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rPr>
          <w:bCs/>
        </w:rPr>
      </w:pPr>
      <w:r>
        <w:rPr>
          <w:rFonts w:hint="eastAsia" w:ascii="宋体" w:hAnsi="宋体"/>
          <w:bCs/>
        </w:rPr>
        <w:t>股票代码：</w:t>
      </w:r>
      <w:sdt>
        <w:sdtPr>
          <w:rPr>
            <w:rFonts w:hint="eastAsia" w:ascii="宋体" w:hAnsi="宋体"/>
            <w:bCs/>
          </w:rPr>
          <w:alias w:val="公司代码"/>
          <w:tag w:val="_GBC_704b7b03ea3f4a93b8d4655a09b2ff61"/>
          <w:id w:val="-1525935920"/>
          <w:placeholder>
            <w:docPart w:val="GBC22222222222222222222222222222"/>
          </w:placeholder>
        </w:sdtPr>
        <w:sdtEndPr>
          <w:rPr>
            <w:rFonts w:hint="eastAsia" w:ascii="宋体" w:hAnsi="宋体"/>
            <w:bCs/>
          </w:rPr>
        </w:sdtEndPr>
        <w:sdtContent>
          <w:r>
            <w:rPr>
              <w:rFonts w:ascii="宋体" w:hAnsi="宋体"/>
              <w:bCs/>
            </w:rPr>
            <w:t>600188</w:t>
          </w:r>
        </w:sdtContent>
      </w:sdt>
      <w:r>
        <w:rPr>
          <w:rFonts w:hint="eastAsia"/>
          <w:bCs/>
        </w:rPr>
        <w:t xml:space="preserve">                                           股票简称：</w:t>
      </w:r>
      <w:sdt>
        <w:sdtPr>
          <w:rPr>
            <w:rFonts w:hint="eastAsia"/>
            <w:bCs/>
          </w:rPr>
          <w:alias w:val="公司简称"/>
          <w:tag w:val="_GBC_0384ae715a1e4b4894a29e4d27f5bef4"/>
          <w:id w:val="960998356"/>
          <w:placeholder>
            <w:docPart w:val="GBC22222222222222222222222222222"/>
          </w:placeholder>
        </w:sdtPr>
        <w:sdtEndPr>
          <w:rPr>
            <w:rFonts w:hint="eastAsia"/>
            <w:bCs/>
          </w:rPr>
        </w:sdtEndPr>
        <w:sdtContent>
          <w:r>
            <w:rPr>
              <w:rFonts w:hint="eastAsia"/>
              <w:bCs/>
            </w:rPr>
            <w:t>兖矿能源</w:t>
          </w:r>
        </w:sdtContent>
      </w:sdt>
    </w:p>
    <w:p>
      <w:pPr>
        <w:pStyle w:val="43"/>
      </w:pPr>
    </w:p>
    <w:p>
      <w:pPr>
        <w:pStyle w:val="43"/>
      </w:pPr>
    </w:p>
    <w:p>
      <w:pPr>
        <w:pStyle w:val="43"/>
      </w:pPr>
    </w:p>
    <w:p>
      <w:pPr>
        <w:pStyle w:val="43"/>
      </w:pPr>
    </w:p>
    <w:p>
      <w:pPr>
        <w:pStyle w:val="43"/>
      </w:pPr>
    </w:p>
    <w:p>
      <w:pPr>
        <w:pStyle w:val="43"/>
      </w:pPr>
    </w:p>
    <w:p>
      <w:pPr>
        <w:rPr>
          <w:b/>
          <w:bCs/>
        </w:rPr>
      </w:pPr>
    </w:p>
    <w:p>
      <w:pPr>
        <w:rPr>
          <w:b/>
          <w:bCs/>
        </w:rPr>
      </w:pPr>
    </w:p>
    <w:p>
      <w:pPr>
        <w:jc w:val="center"/>
        <w:rPr>
          <w:rFonts w:ascii="黑体" w:hAnsi="黑体" w:eastAsia="黑体"/>
          <w:b/>
          <w:bCs/>
          <w:color w:val="FF0000"/>
          <w:sz w:val="44"/>
          <w:szCs w:val="44"/>
        </w:rPr>
      </w:pPr>
      <w:sdt>
        <w:sdtPr>
          <w:rPr>
            <w:rFonts w:hint="eastAsia" w:ascii="黑体" w:hAnsi="黑体" w:eastAsia="黑体"/>
            <w:b/>
            <w:bCs/>
            <w:color w:val="FF0000"/>
            <w:sz w:val="44"/>
            <w:szCs w:val="44"/>
          </w:rPr>
          <w:alias w:val="公司法定中文名称"/>
          <w:tag w:val="_GBC_47adbfeb6fae494fb72f2a2b2c73d969"/>
          <w:id w:val="1216245144"/>
          <w:placeholder>
            <w:docPart w:val="GBC22222222222222222222222222222"/>
          </w:placeholder>
          <w:dataBinding w:prefixMappings="xmlns:clcid-cgi='clcid-cgi'" w:xpath="/*/clcid-cgi:GongSiFaDingZhongWenMingCheng" w:storeItemID="{89EBAB94-44A0-46A2-B712-30D997D04A6D}"/>
          <w:text/>
        </w:sdtPr>
        <w:sdtEndPr>
          <w:rPr>
            <w:rFonts w:hint="eastAsia" w:ascii="黑体" w:hAnsi="黑体" w:eastAsia="黑体"/>
            <w:b/>
            <w:bCs/>
            <w:color w:val="FF0000"/>
            <w:sz w:val="44"/>
            <w:szCs w:val="44"/>
          </w:rPr>
        </w:sdtEndPr>
        <w:sdtContent>
          <w:r>
            <w:rPr>
              <w:rFonts w:hint="eastAsia" w:ascii="黑体" w:hAnsi="黑体" w:eastAsia="黑体"/>
              <w:b/>
              <w:bCs/>
              <w:color w:val="FF0000"/>
              <w:sz w:val="44"/>
              <w:szCs w:val="44"/>
            </w:rPr>
            <w:t>兖矿能源集团股份有限公司</w:t>
          </w:r>
        </w:sdtContent>
      </w:sdt>
    </w:p>
    <w:p>
      <w:pPr>
        <w:jc w:val="center"/>
        <w:rPr>
          <w:rFonts w:ascii="黑体" w:hAnsi="黑体" w:eastAsia="黑体"/>
          <w:b/>
          <w:bCs/>
          <w:color w:val="FF0000"/>
          <w:sz w:val="44"/>
          <w:szCs w:val="44"/>
        </w:rPr>
      </w:pPr>
      <w:r>
        <w:rPr>
          <w:rFonts w:ascii="黑体" w:hAnsi="黑体" w:eastAsia="黑体"/>
          <w:b/>
          <w:bCs/>
          <w:color w:val="FF0000"/>
          <w:sz w:val="44"/>
          <w:szCs w:val="44"/>
        </w:rPr>
        <w:t>2023</w:t>
      </w:r>
      <w:r>
        <w:rPr>
          <w:rFonts w:hint="eastAsia" w:ascii="黑体" w:hAnsi="黑体" w:eastAsia="黑体"/>
          <w:b/>
          <w:bCs/>
          <w:color w:val="FF0000"/>
          <w:sz w:val="44"/>
          <w:szCs w:val="44"/>
        </w:rPr>
        <w:t>年年度报告</w:t>
      </w:r>
    </w:p>
    <w:p>
      <w:pPr>
        <w:pStyle w:val="43"/>
      </w:pPr>
    </w:p>
    <w:p>
      <w:pPr>
        <w:pStyle w:val="43"/>
      </w:pPr>
    </w:p>
    <w:p>
      <w:pPr>
        <w:pStyle w:val="43"/>
      </w:pPr>
    </w:p>
    <w:p>
      <w:pPr>
        <w:pStyle w:val="43"/>
      </w:pPr>
    </w:p>
    <w:p>
      <w:pPr>
        <w:pStyle w:val="43"/>
      </w:pPr>
    </w:p>
    <w:p>
      <w:pPr>
        <w:pStyle w:val="43"/>
      </w:pPr>
    </w:p>
    <w:p>
      <w:pPr>
        <w:pStyle w:val="43"/>
      </w:pPr>
    </w:p>
    <w:p>
      <w:pPr>
        <w:pStyle w:val="43"/>
      </w:pPr>
    </w:p>
    <w:p>
      <w:pPr>
        <w:rPr>
          <w:rFonts w:ascii="黑体" w:hAnsi="黑体" w:eastAsia="黑体"/>
          <w:b/>
          <w:bCs/>
          <w:color w:val="FF0000"/>
          <w:sz w:val="44"/>
          <w:szCs w:val="44"/>
        </w:rPr>
        <w:sectPr>
          <w:headerReference r:id="rId3" w:type="default"/>
          <w:footerReference r:id="rId4" w:type="default"/>
          <w:pgSz w:w="11906" w:h="16838"/>
          <w:pgMar w:top="1525" w:right="1276" w:bottom="1440" w:left="1797" w:header="855" w:footer="992" w:gutter="0"/>
          <w:cols w:space="425" w:num="1"/>
          <w:docGrid w:linePitch="312" w:charSpace="0"/>
        </w:sectPr>
      </w:pPr>
    </w:p>
    <w:p>
      <w:pPr>
        <w:pStyle w:val="43"/>
      </w:pPr>
    </w:p>
    <w:p>
      <w:pPr>
        <w:pStyle w:val="32"/>
        <w:spacing w:after="280" w:afterAutospacing="0"/>
        <w:jc w:val="center"/>
        <w:rPr>
          <w:rFonts w:ascii="黑体" w:eastAsia="黑体"/>
          <w:b/>
          <w:bCs/>
          <w:sz w:val="28"/>
          <w:szCs w:val="28"/>
        </w:rPr>
      </w:pPr>
      <w:bookmarkStart w:id="0" w:name="_Toc387656034"/>
      <w:r>
        <w:rPr>
          <w:rFonts w:hint="eastAsia" w:ascii="黑体" w:eastAsia="黑体"/>
          <w:b/>
          <w:bCs/>
          <w:sz w:val="28"/>
          <w:szCs w:val="28"/>
        </w:rPr>
        <w:t>重要提示</w:t>
      </w:r>
      <w:bookmarkEnd w:id="0"/>
    </w:p>
    <w:sdt>
      <w:sdtPr>
        <w:rPr>
          <w:rFonts w:hint="eastAsia" w:ascii="宋体" w:hAnsi="宋体" w:cs="宋体"/>
          <w:b w:val="0"/>
          <w:bCs w:val="0"/>
          <w:kern w:val="0"/>
          <w:szCs w:val="24"/>
        </w:rPr>
        <w:alias w:val="选项模块:董事会及董事声明"/>
        <w:tag w:val="_SEC_7d2cef92505949c6b5bd6a9bd88e1b07"/>
        <w:id w:val="345989260"/>
        <w:placeholder>
          <w:docPart w:val="F862E363BC5244CB873085F4CD44190D"/>
        </w:placeholder>
      </w:sdtPr>
      <w:sdtEndPr>
        <w:rPr>
          <w:rFonts w:hint="default" w:ascii="Calibri" w:hAnsi="Calibri" w:cs="Times New Roman"/>
          <w:b w:val="0"/>
          <w:bCs w:val="0"/>
          <w:kern w:val="2"/>
          <w:szCs w:val="21"/>
        </w:rPr>
      </w:sdtEndPr>
      <w:sdtContent>
        <w:p>
          <w:pPr>
            <w:pStyle w:val="3"/>
            <w:numPr>
              <w:ilvl w:val="0"/>
              <w:numId w:val="1"/>
            </w:numPr>
            <w:tabs>
              <w:tab w:val="left" w:pos="434"/>
            </w:tabs>
            <w:spacing w:before="0" w:after="0" w:line="360" w:lineRule="auto"/>
            <w:ind w:left="368" w:hanging="367" w:hangingChars="175"/>
          </w:pPr>
          <w:sdt>
            <w:sdtPr>
              <w:rPr>
                <w:rFonts w:hint="eastAsia"/>
              </w:rPr>
              <w:alias w:val="董事会及董事声明"/>
              <w:tag w:val="_GBC_7a4abe6548364d7e8583e54b6ff64105"/>
              <w:id w:val="-1254660143"/>
              <w:placeholder>
                <w:docPart w:val="F862E363BC5244CB873085F4CD44190D"/>
              </w:placeholder>
            </w:sdtPr>
            <w:sdtEndPr>
              <w:rPr>
                <w:rFonts w:hint="eastAsia"/>
              </w:rPr>
            </w:sdtEndPr>
            <w:sdtContent>
              <w:r>
                <w:rPr>
                  <w:rFonts w:ascii="Times New Roman" w:hAnsi="宋体" w:cs="宋体"/>
                  <w:bCs w:val="0"/>
                </w:rPr>
                <w:t>本公司董事会、监事会及董事、监事、高级管理人员保证年度报告内容的真实</w:t>
              </w:r>
              <w:r>
                <w:rPr>
                  <w:rFonts w:hint="eastAsia" w:ascii="Times New Roman" w:hAnsi="宋体" w:cs="宋体"/>
                  <w:bCs w:val="0"/>
                </w:rPr>
                <w:t>性</w:t>
              </w:r>
              <w:r>
                <w:rPr>
                  <w:rFonts w:ascii="Times New Roman" w:hAnsi="宋体" w:cs="宋体"/>
                  <w:bCs w:val="0"/>
                </w:rPr>
                <w:t>、准确</w:t>
              </w:r>
              <w:r>
                <w:rPr>
                  <w:rFonts w:hint="eastAsia" w:ascii="Times New Roman" w:hAnsi="宋体" w:cs="宋体"/>
                  <w:bCs w:val="0"/>
                </w:rPr>
                <w:t>性</w:t>
              </w:r>
              <w:r>
                <w:rPr>
                  <w:rFonts w:ascii="Times New Roman" w:hAnsi="宋体" w:cs="宋体"/>
                  <w:bCs w:val="0"/>
                </w:rPr>
                <w:t>、完整</w:t>
              </w:r>
              <w:r>
                <w:rPr>
                  <w:rFonts w:hint="eastAsia" w:ascii="Times New Roman" w:hAnsi="宋体" w:cs="宋体"/>
                  <w:bCs w:val="0"/>
                </w:rPr>
                <w:t>性</w:t>
              </w:r>
              <w:r>
                <w:rPr>
                  <w:rFonts w:ascii="Times New Roman" w:hAnsi="宋体" w:cs="宋体"/>
                  <w:bCs w:val="0"/>
                </w:rPr>
                <w:t>，不存在虚假记载、误导性陈述或重大遗漏，并承担个别和连带的法律责任。</w:t>
              </w:r>
            </w:sdtContent>
          </w:sdt>
        </w:p>
        <w:p>
          <w:pPr>
            <w:pStyle w:val="501"/>
          </w:pPr>
        </w:p>
      </w:sdtContent>
    </w:sdt>
    <w:sdt>
      <w:sdtPr>
        <w:rPr>
          <w:rFonts w:hint="eastAsia" w:ascii="Calibri" w:hAnsi="Calibri" w:cs="宋体"/>
          <w:b w:val="0"/>
          <w:bCs w:val="0"/>
          <w:kern w:val="0"/>
          <w:sz w:val="24"/>
          <w:szCs w:val="22"/>
        </w:rPr>
        <w:alias w:val="选项模块:公司全体董事出席董事会会议。"/>
        <w:tag w:val="_SEC_22f2821f4b8f443f90d5135b8aaff83a"/>
        <w:id w:val="1684945334"/>
        <w:placeholder>
          <w:docPart w:val="6054E73D7047420480042DF213D98FD0"/>
        </w:placeholder>
      </w:sdtPr>
      <w:sdtEndPr>
        <w:rPr>
          <w:rFonts w:hint="default" w:ascii="Calibri" w:hAnsi="Calibri" w:cs="Times New Roman"/>
          <w:b/>
          <w:bCs w:val="0"/>
          <w:kern w:val="2"/>
          <w:sz w:val="21"/>
          <w:szCs w:val="21"/>
        </w:rPr>
      </w:sdtEndPr>
      <w:sdtContent>
        <w:p>
          <w:pPr>
            <w:pStyle w:val="3"/>
            <w:numPr>
              <w:ilvl w:val="0"/>
              <w:numId w:val="1"/>
            </w:numPr>
            <w:tabs>
              <w:tab w:val="left" w:pos="448"/>
            </w:tabs>
            <w:spacing w:before="0" w:after="0" w:line="360" w:lineRule="auto"/>
            <w:ind w:left="420" w:hangingChars="175"/>
            <w:rPr>
              <w:rFonts w:ascii="Times New Roman" w:hAnsi="宋体" w:cs="宋体"/>
              <w:bCs w:val="0"/>
            </w:rPr>
          </w:pPr>
          <w:r>
            <w:rPr>
              <w:rFonts w:hint="eastAsia" w:ascii="Times New Roman" w:hAnsi="宋体" w:cs="宋体"/>
              <w:bCs w:val="0"/>
            </w:rPr>
            <w:t>《兖矿能源集团</w:t>
          </w:r>
          <w:r>
            <w:rPr>
              <w:rFonts w:hint="eastAsia" w:ascii="宋体" w:hAnsi="宋体" w:cs="宋体"/>
              <w:bCs w:val="0"/>
            </w:rPr>
            <w:t>股份有限公司</w:t>
          </w:r>
          <w:r>
            <w:rPr>
              <w:rFonts w:ascii="宋体" w:hAnsi="宋体" w:cs="宋体"/>
              <w:bCs w:val="0"/>
            </w:rPr>
            <w:t>2023年年度报告》已经公司第</w:t>
          </w:r>
          <w:r>
            <w:rPr>
              <w:rFonts w:hint="eastAsia" w:ascii="宋体" w:hAnsi="宋体" w:cs="宋体"/>
              <w:bCs w:val="0"/>
            </w:rPr>
            <w:t>九</w:t>
          </w:r>
          <w:r>
            <w:rPr>
              <w:rFonts w:ascii="宋体" w:hAnsi="宋体" w:cs="宋体"/>
              <w:bCs w:val="0"/>
            </w:rPr>
            <w:t>届董事会第</w:t>
          </w:r>
          <w:r>
            <w:rPr>
              <w:rFonts w:hint="eastAsia" w:ascii="宋体" w:hAnsi="宋体" w:cs="宋体"/>
              <w:bCs w:val="0"/>
            </w:rPr>
            <w:t>六</w:t>
          </w:r>
          <w:r>
            <w:rPr>
              <w:rFonts w:ascii="宋体" w:hAnsi="宋体" w:cs="宋体"/>
              <w:bCs w:val="0"/>
            </w:rPr>
            <w:t>次会议审</w:t>
          </w:r>
          <w:r>
            <w:rPr>
              <w:rFonts w:hint="eastAsia" w:ascii="宋体" w:hAnsi="宋体" w:cs="宋体"/>
              <w:bCs w:val="0"/>
            </w:rPr>
            <w:t>议通过，会议应出席董事</w:t>
          </w:r>
          <w:r>
            <w:rPr>
              <w:rFonts w:ascii="宋体" w:hAnsi="宋体" w:cs="宋体"/>
              <w:bCs w:val="0"/>
            </w:rPr>
            <w:t>11人，实出席董事11人，</w:t>
          </w:r>
          <w:r>
            <w:rPr>
              <w:rFonts w:hint="eastAsia" w:ascii="Times New Roman" w:hAnsi="宋体" w:cs="宋体"/>
              <w:bCs w:val="0"/>
            </w:rPr>
            <w:t>公司</w:t>
          </w:r>
          <w:sdt>
            <w:sdtPr>
              <w:rPr>
                <w:rFonts w:hint="eastAsia" w:ascii="Times New Roman" w:hAnsi="宋体" w:cs="宋体"/>
                <w:bCs w:val="0"/>
              </w:rPr>
              <w:tag w:val="_PLD_67dfe594d3e24f69b6f9757d86ded61b"/>
              <w:id w:val="976646240"/>
              <w:placeholder>
                <w:docPart w:val="6054E73D7047420480042DF213D98FD0"/>
              </w:placeholder>
            </w:sdtPr>
            <w:sdtEndPr>
              <w:rPr>
                <w:rFonts w:hint="eastAsia" w:ascii="Times New Roman" w:hAnsi="宋体" w:cs="宋体"/>
                <w:bCs w:val="0"/>
              </w:rPr>
            </w:sdtEndPr>
            <w:sdtContent>
              <w:r>
                <w:rPr>
                  <w:rFonts w:hint="eastAsia" w:ascii="Times New Roman" w:hAnsi="宋体" w:cs="宋体"/>
                  <w:bCs w:val="0"/>
                </w:rPr>
                <w:t>全体董事出席</w:t>
              </w:r>
            </w:sdtContent>
          </w:sdt>
          <w:r>
            <w:rPr>
              <w:rFonts w:hint="eastAsia" w:ascii="Times New Roman" w:hAnsi="宋体" w:cs="宋体"/>
              <w:bCs w:val="0"/>
            </w:rPr>
            <w:t>董事会会议。</w:t>
          </w:r>
        </w:p>
        <w:p>
          <w:pPr>
            <w:rPr>
              <w:b/>
            </w:rPr>
          </w:pPr>
        </w:p>
      </w:sdtContent>
    </w:sdt>
    <w:sdt>
      <w:sdtPr>
        <w:rPr>
          <w:rFonts w:hint="eastAsia" w:ascii="Calibri" w:hAnsi="Calibri" w:cs="宋体"/>
          <w:b w:val="0"/>
          <w:bCs w:val="0"/>
          <w:kern w:val="0"/>
          <w:sz w:val="24"/>
          <w:szCs w:val="24"/>
        </w:rPr>
        <w:alias w:val="选项模块:事务所为本公司出具了标准无保留意见的审计报告。"/>
        <w:tag w:val="_SEC_40fba4905c084fec81ccf5c248050f25"/>
        <w:id w:val="2010645721"/>
        <w:placeholder>
          <w:docPart w:val="B260F846A55744568456836B2D984EC9"/>
        </w:placeholder>
      </w:sdtPr>
      <w:sdtEndPr>
        <w:rPr>
          <w:rFonts w:hint="default" w:ascii="Calibri" w:hAnsi="Calibri" w:cs="Times New Roman"/>
          <w:b w:val="0"/>
          <w:bCs w:val="0"/>
          <w:kern w:val="2"/>
          <w:sz w:val="21"/>
          <w:szCs w:val="21"/>
        </w:rPr>
      </w:sdtEndPr>
      <w:sdtContent>
        <w:p>
          <w:pPr>
            <w:pStyle w:val="3"/>
            <w:numPr>
              <w:ilvl w:val="0"/>
              <w:numId w:val="1"/>
            </w:numPr>
            <w:tabs>
              <w:tab w:val="left" w:pos="518"/>
            </w:tabs>
            <w:spacing w:before="0" w:after="0" w:line="360" w:lineRule="auto"/>
            <w:ind w:left="420" w:hangingChars="175"/>
            <w:rPr>
              <w:rFonts w:ascii="宋体" w:hAnsi="宋体"/>
            </w:rPr>
          </w:pPr>
          <w:sdt>
            <w:sdtPr>
              <w:rPr>
                <w:rFonts w:hint="eastAsia" w:ascii="宋体" w:hAnsi="宋体"/>
              </w:rPr>
              <w:alias w:val="公司聘请的境内会计师事务所名称"/>
              <w:tag w:val="_GBC_ad504284986e4ab994733d7125ba1c33"/>
              <w:id w:val="1377204148"/>
              <w:placeholder>
                <w:docPart w:val="B260F846A55744568456836B2D984EC9"/>
              </w:placeholder>
            </w:sdtPr>
            <w:sdtEndPr>
              <w:rPr>
                <w:rFonts w:hint="eastAsia" w:ascii="宋体" w:hAnsi="宋体"/>
              </w:rPr>
            </w:sdtEndPr>
            <w:sdtContent>
              <w:r>
                <w:rPr>
                  <w:rFonts w:hint="eastAsia" w:ascii="宋体" w:hAnsi="宋体"/>
                </w:rPr>
                <w:t>信永中和会计师事务所（特殊普通合伙）</w:t>
              </w:r>
            </w:sdtContent>
          </w:sdt>
          <w:r>
            <w:rPr>
              <w:rFonts w:hint="eastAsia" w:ascii="宋体" w:hAnsi="宋体"/>
            </w:rPr>
            <w:t>为本公司出具了</w:t>
          </w:r>
          <w:sdt>
            <w:sdtPr>
              <w:rPr>
                <w:rFonts w:hint="eastAsia" w:ascii="宋体" w:hAnsi="宋体"/>
              </w:rPr>
              <w:alias w:val="会计师事务所审计意见类型"/>
              <w:tag w:val="_GBC_fc66ac35f9514436909a413223854389"/>
              <w:id w:val="2101373671"/>
              <w:placeholder>
                <w:docPart w:val="B260F846A55744568456836B2D984EC9"/>
              </w:placeholder>
            </w:sdtPr>
            <w:sdtEndPr>
              <w:rPr>
                <w:rFonts w:hint="eastAsia" w:ascii="宋体" w:hAnsi="宋体"/>
              </w:rPr>
            </w:sdtEndPr>
            <w:sdtContent>
              <w:r>
                <w:rPr>
                  <w:rFonts w:hint="eastAsia" w:ascii="宋体" w:hAnsi="宋体"/>
                </w:rPr>
                <w:t>标准无保留意见</w:t>
              </w:r>
            </w:sdtContent>
          </w:sdt>
          <w:r>
            <w:rPr>
              <w:rFonts w:hint="eastAsia" w:ascii="宋体" w:hAnsi="宋体"/>
            </w:rPr>
            <w:t>的审计报告。</w:t>
          </w:r>
        </w:p>
        <w:p>
          <w:pPr>
            <w:pStyle w:val="501"/>
          </w:pPr>
        </w:p>
      </w:sdtContent>
    </w:sdt>
    <w:p>
      <w:pPr>
        <w:pStyle w:val="3"/>
        <w:numPr>
          <w:ilvl w:val="0"/>
          <w:numId w:val="1"/>
        </w:numPr>
        <w:tabs>
          <w:tab w:val="left" w:pos="434"/>
        </w:tabs>
        <w:spacing w:before="0" w:after="0" w:line="360" w:lineRule="auto"/>
        <w:ind w:left="369" w:hanging="369" w:hangingChars="175"/>
        <w:rPr>
          <w:rFonts w:ascii="宋体" w:hAnsi="宋体"/>
        </w:rPr>
      </w:pPr>
      <w:r>
        <w:rPr>
          <w:rFonts w:hint="eastAsia" w:ascii="宋体" w:hAnsi="宋体"/>
        </w:rPr>
        <w:t>公司董事长</w:t>
      </w:r>
      <w:sdt>
        <w:sdtPr>
          <w:rPr>
            <w:rFonts w:hint="eastAsia" w:ascii="宋体" w:hAnsi="宋体"/>
          </w:rPr>
          <w:alias w:val="公司负责人姓名"/>
          <w:tag w:val="_GBC_ba0728eaa9a342098d20addcde59ed31"/>
          <w:id w:val="906656828"/>
          <w:placeholder>
            <w:docPart w:val="GBC22222222222222222222222222222"/>
          </w:placeholder>
          <w:dataBinding w:prefixMappings="xmlns:clcid-mr='clcid-mr'" w:xpath="/*/clcid-mr:GongSiFuZeRenXingMing[not(@periodRef)]" w:storeItemID="{89EBAB94-44A0-46A2-B712-30D997D04A6D}"/>
          <w:text/>
        </w:sdtPr>
        <w:sdtEndPr>
          <w:rPr>
            <w:rFonts w:hint="eastAsia" w:ascii="宋体" w:hAnsi="宋体"/>
          </w:rPr>
        </w:sdtEndPr>
        <w:sdtContent>
          <w:r>
            <w:rPr>
              <w:rFonts w:hint="eastAsia" w:ascii="宋体" w:hAnsi="宋体"/>
            </w:rPr>
            <w:t>李伟</w:t>
          </w:r>
        </w:sdtContent>
      </w:sdt>
      <w:r>
        <w:rPr>
          <w:rFonts w:hint="eastAsia" w:ascii="宋体" w:hAnsi="宋体"/>
        </w:rPr>
        <w:t>先生、财务总监</w:t>
      </w:r>
      <w:sdt>
        <w:sdtPr>
          <w:alias w:val="主管会计工作负责人姓名"/>
          <w:tag w:val="_GBC_9ac791ae357946e68402505d2aa6b3b9"/>
          <w:id w:val="1759405801"/>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rPr>
            <w:t>赵治国</w:t>
          </w:r>
        </w:sdtContent>
      </w:sdt>
      <w:r>
        <w:rPr>
          <w:rFonts w:hint="eastAsia"/>
        </w:rPr>
        <w:t>先生</w:t>
      </w:r>
      <w:r>
        <w:rPr>
          <w:rFonts w:hint="eastAsia" w:ascii="宋体" w:hAnsi="宋体"/>
        </w:rPr>
        <w:t>及财务管理部部长</w:t>
      </w:r>
      <w:sdt>
        <w:sdtPr>
          <w:rPr>
            <w:rFonts w:hint="eastAsia" w:ascii="宋体" w:hAnsi="宋体"/>
          </w:rPr>
          <w:alias w:val="会计机构负责人姓名"/>
          <w:tag w:val="_GBC_c6edcd184788428d9dc08d896d5d98a9"/>
          <w:id w:val="1659490657"/>
          <w:placeholder>
            <w:docPart w:val="GBC22222222222222222222222222222"/>
          </w:placeholder>
          <w:dataBinding w:prefixMappings="xmlns:clcid-mr='clcid-mr'" w:xpath="/*/clcid-mr:KuaiJiJiGouFuZeRenXingMing[not(@periodRef)]" w:storeItemID="{89EBAB94-44A0-46A2-B712-30D997D04A6D}"/>
          <w:text/>
        </w:sdtPr>
        <w:sdtEndPr>
          <w:rPr>
            <w:rFonts w:hint="eastAsia" w:ascii="宋体" w:hAnsi="宋体"/>
          </w:rPr>
        </w:sdtEndPr>
        <w:sdtContent>
          <w:r>
            <w:rPr>
              <w:rFonts w:hint="eastAsia" w:ascii="宋体" w:hAnsi="宋体"/>
            </w:rPr>
            <w:t>于强</w:t>
          </w:r>
        </w:sdtContent>
      </w:sdt>
      <w:r>
        <w:rPr>
          <w:rFonts w:hint="eastAsia" w:ascii="宋体" w:hAnsi="宋体"/>
        </w:rPr>
        <w:t>先生声明：保证年度报告中财务报告的真实、准确、完整。</w:t>
      </w:r>
    </w:p>
    <w:p>
      <w:pPr>
        <w:pStyle w:val="501"/>
      </w:pPr>
    </w:p>
    <w:p>
      <w:pPr>
        <w:pStyle w:val="3"/>
        <w:numPr>
          <w:ilvl w:val="0"/>
          <w:numId w:val="1"/>
        </w:numPr>
        <w:tabs>
          <w:tab w:val="left" w:pos="490"/>
        </w:tabs>
        <w:spacing w:before="0" w:after="0" w:line="360" w:lineRule="auto"/>
        <w:ind w:left="369" w:hanging="369" w:hangingChars="175"/>
        <w:rPr>
          <w:rFonts w:ascii="宋体" w:hAnsi="宋体"/>
        </w:rPr>
      </w:pPr>
      <w:r>
        <w:rPr>
          <w:rFonts w:hint="eastAsia" w:ascii="Calibri" w:hAnsi="Calibri" w:cs="宋体"/>
          <w:kern w:val="0"/>
        </w:rPr>
        <w:t>董事会决议通过的本报告期利润分配预案或公积金转增股本预案</w:t>
      </w:r>
    </w:p>
    <w:sdt>
      <w:sdtPr>
        <w:rPr>
          <w:rFonts w:hint="eastAsia" w:ascii="宋体" w:hAnsi="宋体"/>
        </w:rPr>
        <w:alias w:val="经董事会审议的报告期利润分配预案或公积金转增股本预案"/>
        <w:tag w:val="_GBC_87fdd30c16df49cc824b47e55e4be6d9"/>
        <w:id w:val="-267159302"/>
        <w:placeholder>
          <w:docPart w:val="GBC22222222222222222222222222222"/>
        </w:placeholder>
      </w:sdtPr>
      <w:sdtEndPr>
        <w:rPr>
          <w:rFonts w:hint="eastAsia" w:ascii="宋体" w:hAnsi="宋体"/>
          <w:shd w:val="pct10" w:color="auto" w:fill="FFFFFF"/>
        </w:rPr>
      </w:sdtEndPr>
      <w:sdtContent>
        <w:p>
          <w:pPr>
            <w:ind w:firstLine="420" w:firstLineChars="200"/>
            <w:rPr>
              <w:rFonts w:ascii="宋体" w:hAnsi="宋体"/>
            </w:rPr>
          </w:pPr>
          <w:r>
            <w:rPr>
              <w:rFonts w:hint="eastAsia" w:ascii="宋体" w:hAnsi="宋体"/>
            </w:rPr>
            <w:t>公司董事会建议以权益分派股权登记日的股份数为基数，每10股送红股</w:t>
          </w:r>
          <w:r>
            <w:rPr>
              <w:rFonts w:ascii="宋体" w:hAnsi="宋体"/>
            </w:rPr>
            <w:t>3</w:t>
          </w:r>
          <w:r>
            <w:rPr>
              <w:rFonts w:hint="eastAsia" w:ascii="宋体" w:hAnsi="宋体"/>
            </w:rPr>
            <w:t>股，并每10股派发现金股利</w:t>
          </w:r>
          <w:bookmarkStart w:id="1" w:name="_Hlk162187696"/>
          <w:r>
            <w:rPr>
              <w:rFonts w:ascii="宋体" w:hAnsi="宋体"/>
            </w:rPr>
            <w:t>14.9</w:t>
          </w:r>
          <w:bookmarkEnd w:id="1"/>
          <w:r>
            <w:rPr>
              <w:rFonts w:ascii="宋体" w:hAnsi="宋体"/>
            </w:rPr>
            <w:t>0</w:t>
          </w:r>
          <w:r>
            <w:rPr>
              <w:rFonts w:hint="eastAsia" w:ascii="宋体" w:hAnsi="宋体"/>
            </w:rPr>
            <w:t>元（含税）</w:t>
          </w:r>
          <w:r>
            <w:rPr>
              <w:rFonts w:ascii="宋体" w:hAnsi="宋体"/>
            </w:rPr>
            <w:t>。</w:t>
          </w:r>
        </w:p>
      </w:sdtContent>
    </w:sdt>
    <w:p>
      <w:pPr>
        <w:kinsoku w:val="0"/>
        <w:overflowPunct w:val="0"/>
        <w:autoSpaceDE w:val="0"/>
        <w:autoSpaceDN w:val="0"/>
        <w:adjustRightInd w:val="0"/>
        <w:snapToGrid w:val="0"/>
        <w:spacing w:line="360" w:lineRule="exact"/>
        <w:rPr>
          <w:shd w:val="pct10" w:color="auto" w:fill="FFFFFF"/>
        </w:rPr>
      </w:pPr>
    </w:p>
    <w:p>
      <w:pPr>
        <w:pStyle w:val="3"/>
        <w:numPr>
          <w:ilvl w:val="0"/>
          <w:numId w:val="1"/>
        </w:numPr>
        <w:tabs>
          <w:tab w:val="left" w:pos="504"/>
        </w:tabs>
        <w:spacing w:before="0" w:after="0" w:line="360" w:lineRule="auto"/>
        <w:ind w:left="369" w:hanging="369" w:hangingChars="175"/>
      </w:pPr>
      <w:r>
        <w:t>前瞻性陈述的风险声明</w:t>
      </w:r>
    </w:p>
    <w:sdt>
      <w:sdtPr>
        <w:alias w:val="是否适用：前瞻性陈述的风险声明[双击切换]"/>
        <w:tag w:val="_GBC_5e5553f9f96e47e8b5eded9c0e6a26c0"/>
        <w:id w:val="1708978724"/>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对报告涉及未来计划等前瞻性陈述的声明"/>
        <w:tag w:val="_GBC_1f83625afa8e46e9bb2a951797b077a3"/>
        <w:id w:val="-919559669"/>
        <w:placeholder>
          <w:docPart w:val="GBC22222222222222222222222222222"/>
        </w:placeholder>
      </w:sdtPr>
      <w:sdtEndPr>
        <w:rPr>
          <w:rFonts w:hint="eastAsia"/>
        </w:rPr>
      </w:sdtEndPr>
      <w:sdtContent>
        <w:p>
          <w:pPr>
            <w:ind w:firstLine="420" w:firstLineChars="200"/>
          </w:pPr>
          <w:r>
            <w:rPr>
              <w:rFonts w:hint="eastAsia"/>
            </w:rPr>
            <w:t>本年度报告中有关未来计划等前瞻性陈述，不构成本公司对投资者的实质性承诺，请投资者注意投资风险。</w:t>
          </w:r>
        </w:p>
      </w:sdtContent>
    </w:sdt>
    <w:p>
      <w:pPr>
        <w:kinsoku w:val="0"/>
        <w:overflowPunct w:val="0"/>
        <w:autoSpaceDE w:val="0"/>
        <w:autoSpaceDN w:val="0"/>
        <w:adjustRightInd w:val="0"/>
        <w:snapToGrid w:val="0"/>
        <w:spacing w:line="360" w:lineRule="exact"/>
        <w:rPr>
          <w:shd w:val="pct10" w:color="auto" w:fill="FFFFFF"/>
        </w:rPr>
      </w:pPr>
    </w:p>
    <w:p>
      <w:pPr>
        <w:pStyle w:val="3"/>
        <w:numPr>
          <w:ilvl w:val="0"/>
          <w:numId w:val="1"/>
        </w:numPr>
        <w:tabs>
          <w:tab w:val="left" w:pos="434"/>
          <w:tab w:val="left" w:pos="644"/>
        </w:tabs>
        <w:spacing w:before="0" w:after="0" w:line="360" w:lineRule="auto"/>
        <w:ind w:left="369" w:hanging="369" w:hangingChars="175"/>
      </w:pPr>
      <w:r>
        <w:t>是否存在被控股股东及其</w:t>
      </w:r>
      <w:r>
        <w:rPr>
          <w:rFonts w:hint="eastAsia"/>
        </w:rPr>
        <w:t>他</w:t>
      </w:r>
      <w:r>
        <w:t>关联方非经营性占用资金情况</w:t>
      </w:r>
    </w:p>
    <w:sdt>
      <w:sdtPr>
        <w:rPr>
          <w:rFonts w:hint="eastAsia" w:ascii="Arial" w:hAnsi="Arial"/>
          <w:bCs/>
        </w:rPr>
        <w:alias w:val="本公司是否存在大股东占用资金情况"/>
        <w:tag w:val="_GBC_a9b8d3170fbb4d50a645223c117f8b30"/>
        <w:id w:val="-763294180"/>
        <w:placeholder>
          <w:docPart w:val="GBC22222222222222222222222222222"/>
        </w:placeholder>
        <w:comboBox>
          <w:listItem w:displayText="是" w:value="true"/>
          <w:listItem w:displayText="否" w:value="false"/>
        </w:comboBox>
      </w:sdtPr>
      <w:sdtEndPr>
        <w:rPr>
          <w:rFonts w:hint="eastAsia" w:ascii="Arial" w:hAnsi="Arial"/>
          <w:bCs/>
        </w:rPr>
      </w:sdtEndPr>
      <w:sdtContent>
        <w:p>
          <w:pPr>
            <w:kinsoku w:val="0"/>
            <w:overflowPunct w:val="0"/>
            <w:autoSpaceDE w:val="0"/>
            <w:autoSpaceDN w:val="0"/>
            <w:adjustRightInd w:val="0"/>
            <w:snapToGrid w:val="0"/>
            <w:spacing w:line="360" w:lineRule="exact"/>
            <w:ind w:firstLine="420" w:firstLineChars="200"/>
            <w:rPr>
              <w:rFonts w:ascii="Arial" w:hAnsi="Arial"/>
              <w:bCs/>
            </w:rPr>
          </w:pPr>
          <w:r>
            <w:rPr>
              <w:rFonts w:hint="eastAsia" w:ascii="Arial" w:hAnsi="Arial"/>
              <w:bCs/>
            </w:rPr>
            <w:t>否</w:t>
          </w:r>
        </w:p>
      </w:sdtContent>
    </w:sdt>
    <w:p>
      <w:pPr>
        <w:kinsoku w:val="0"/>
        <w:overflowPunct w:val="0"/>
        <w:autoSpaceDE w:val="0"/>
        <w:autoSpaceDN w:val="0"/>
        <w:adjustRightInd w:val="0"/>
        <w:snapToGrid w:val="0"/>
        <w:spacing w:line="360" w:lineRule="exact"/>
        <w:rPr>
          <w:rFonts w:ascii="Arial" w:hAnsi="Arial"/>
          <w:bCs/>
        </w:rPr>
      </w:pPr>
    </w:p>
    <w:p>
      <w:pPr>
        <w:pStyle w:val="3"/>
        <w:numPr>
          <w:ilvl w:val="0"/>
          <w:numId w:val="1"/>
        </w:numPr>
        <w:tabs>
          <w:tab w:val="left" w:pos="644"/>
        </w:tabs>
        <w:spacing w:before="0" w:after="0" w:line="360" w:lineRule="auto"/>
        <w:ind w:left="369" w:hanging="369" w:hangingChars="175"/>
      </w:pPr>
      <w:r>
        <w:t>是否存在违反规定决策程序对外提供担保的情况</w:t>
      </w:r>
    </w:p>
    <w:sdt>
      <w:sdtPr>
        <w:rPr>
          <w:rFonts w:hint="eastAsia"/>
        </w:rPr>
        <w:alias w:val="本公司是否存在违反规定决策程序对外提供担保的情况"/>
        <w:tag w:val="_GBC_aef7ac6bbdf043bc8051c4f9fb55e5ea"/>
        <w:id w:val="-1554303632"/>
        <w:placeholder>
          <w:docPart w:val="GBC22222222222222222222222222222"/>
        </w:placeholder>
        <w:comboBox>
          <w:listItem w:displayText="是" w:value="true"/>
          <w:listItem w:displayText="否" w:value="false"/>
        </w:comboBox>
      </w:sdtPr>
      <w:sdtEndPr>
        <w:rPr>
          <w:rFonts w:hint="eastAsia"/>
        </w:rPr>
      </w:sdtEndPr>
      <w:sdtContent>
        <w:p>
          <w:pPr>
            <w:ind w:firstLine="420" w:firstLineChars="200"/>
          </w:pPr>
          <w:r>
            <w:rPr>
              <w:rFonts w:hint="eastAsia"/>
            </w:rPr>
            <w:t>否</w:t>
          </w:r>
        </w:p>
      </w:sdtContent>
    </w:sdt>
    <w:p>
      <w:pPr>
        <w:pStyle w:val="501"/>
      </w:pPr>
    </w:p>
    <w:p>
      <w:pPr>
        <w:pStyle w:val="3"/>
        <w:numPr>
          <w:ilvl w:val="0"/>
          <w:numId w:val="1"/>
        </w:numPr>
        <w:tabs>
          <w:tab w:val="left" w:pos="644"/>
        </w:tabs>
        <w:spacing w:before="0" w:after="0" w:line="360" w:lineRule="auto"/>
        <w:ind w:left="369" w:hanging="369" w:hangingChars="175"/>
        <w:rPr>
          <w:rFonts w:ascii="Calibri" w:hAnsi="Calibri" w:cs="宋体"/>
          <w:kern w:val="0"/>
        </w:rPr>
      </w:pPr>
      <w:r>
        <w:rPr>
          <w:rFonts w:ascii="Calibri" w:hAnsi="Calibri" w:cs="宋体"/>
          <w:kern w:val="0"/>
        </w:rPr>
        <w:t>是否存在半数</w:t>
      </w:r>
      <w:r>
        <w:rPr>
          <w:rFonts w:hint="eastAsia" w:ascii="Calibri" w:hAnsi="Calibri" w:cs="宋体"/>
          <w:kern w:val="0"/>
        </w:rPr>
        <w:t>以上</w:t>
      </w:r>
      <w:r>
        <w:rPr>
          <w:rFonts w:ascii="Calibri" w:hAnsi="Calibri" w:cs="宋体"/>
          <w:kern w:val="0"/>
        </w:rPr>
        <w:t>董事无法保证公司所披露年度报告的真实性、准确性和完整性</w:t>
      </w:r>
    </w:p>
    <w:sdt>
      <w:sdtPr>
        <w:rPr>
          <w:rFonts w:hint="eastAsia"/>
        </w:rPr>
        <w:alias w:val="是否存在半数以上董事无法保证公司所披露年度报告的真实性、准确性和完整性"/>
        <w:tag w:val="_GBC_abc43c78fabf487d8ee599f7fe1628a3"/>
        <w:id w:val="1665509591"/>
        <w:placeholder>
          <w:docPart w:val="GBC22222222222222222222222222222"/>
        </w:placeholder>
        <w:comboBox>
          <w:listItem w:displayText="是" w:value="是"/>
          <w:listItem w:displayText="否" w:value="否"/>
        </w:comboBox>
      </w:sdtPr>
      <w:sdtEndPr>
        <w:rPr>
          <w:rFonts w:hint="eastAsia"/>
        </w:rPr>
      </w:sdtEndPr>
      <w:sdtContent>
        <w:p>
          <w:pPr>
            <w:ind w:firstLine="420" w:firstLineChars="200"/>
          </w:pPr>
          <w:r>
            <w:rPr>
              <w:rFonts w:hint="eastAsia"/>
            </w:rPr>
            <w:t>否</w:t>
          </w:r>
        </w:p>
      </w:sdtContent>
    </w:sdt>
    <w:p>
      <w:pPr>
        <w:pStyle w:val="501"/>
      </w:pPr>
    </w:p>
    <w:p>
      <w:pPr>
        <w:pStyle w:val="3"/>
        <w:numPr>
          <w:ilvl w:val="0"/>
          <w:numId w:val="1"/>
        </w:numPr>
        <w:tabs>
          <w:tab w:val="left" w:pos="644"/>
        </w:tabs>
        <w:spacing w:before="0" w:after="0" w:line="360" w:lineRule="auto"/>
        <w:ind w:left="369" w:hanging="369" w:hangingChars="175"/>
      </w:pPr>
      <w:r>
        <w:rPr>
          <w:rFonts w:hint="eastAsia"/>
        </w:rPr>
        <w:t>重大风险提示</w:t>
      </w:r>
    </w:p>
    <w:sdt>
      <w:sdtPr>
        <w:alias w:val="重大风险提示"/>
        <w:tag w:val="_GBC_43a6b8847e0241f1af5326af848c7cec"/>
        <w:id w:val="-1597242947"/>
        <w:placeholder>
          <w:docPart w:val="GBC22222222222222222222222222222"/>
        </w:placeholder>
      </w:sdtPr>
      <w:sdtContent>
        <w:p>
          <w:pPr>
            <w:ind w:firstLine="420" w:firstLineChars="200"/>
          </w:pPr>
          <w:r>
            <w:rPr>
              <w:rFonts w:hint="eastAsia"/>
            </w:rPr>
            <w:t>公司已在本年度报告中披露了本集团面临的主要风险、影响及对策，详情请见本报告“第四节</w:t>
          </w:r>
          <w:r>
            <w:t xml:space="preserve"> 管理层讨论与分析”中的相关内容，敬请投资者予以关注。</w:t>
          </w:r>
        </w:p>
      </w:sdtContent>
    </w:sdt>
    <w:p>
      <w:pPr>
        <w:pStyle w:val="43"/>
      </w:pPr>
    </w:p>
    <w:p>
      <w:pPr>
        <w:pStyle w:val="3"/>
        <w:numPr>
          <w:ilvl w:val="0"/>
          <w:numId w:val="1"/>
        </w:numPr>
        <w:tabs>
          <w:tab w:val="left" w:pos="588"/>
          <w:tab w:val="left" w:pos="644"/>
          <w:tab w:val="left" w:pos="672"/>
        </w:tabs>
        <w:spacing w:before="0" w:after="0" w:line="360" w:lineRule="auto"/>
        <w:ind w:left="369" w:hanging="369" w:hangingChars="175"/>
      </w:pPr>
      <w:r>
        <w:rPr>
          <w:rFonts w:hint="eastAsia"/>
        </w:rPr>
        <w:t>其他</w:t>
      </w:r>
    </w:p>
    <w:sdt>
      <w:sdtPr>
        <w:alias w:val="是否适用：其他重要提示[双击切换]"/>
        <w:tag w:val="_GBC_0eafa210a73340628544c13dacbc7643"/>
        <w:id w:val="74799010"/>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重要提示的其他情况说明"/>
        <w:tag w:val="_GBC_af94cd16edaf46c3bbc1ec9dc56ea822"/>
        <w:id w:val="684175605"/>
        <w:placeholder>
          <w:docPart w:val="GBC22222222222222222222222222222"/>
        </w:placeholder>
      </w:sdtPr>
      <w:sdtContent>
        <w:p>
          <w:pPr>
            <w:ind w:firstLine="420" w:firstLineChars="200"/>
          </w:pPr>
          <w:r>
            <w:rPr>
              <w:rFonts w:hint="eastAsia"/>
            </w:rPr>
            <w:t>本报告的数据经四舍五入，增减幅由四舍五入前的原始数据计算得出。</w:t>
          </w:r>
        </w:p>
        <w:p>
          <w:pPr>
            <w:ind w:firstLine="420" w:firstLineChars="200"/>
          </w:pPr>
          <w:r>
            <w:rPr>
              <w:rFonts w:hint="eastAsia"/>
            </w:rPr>
            <w:t>表格中所示总计数字可能并非其上面数字的算术总和，差异均由四舍五入所致。</w:t>
          </w:r>
        </w:p>
      </w:sdtContent>
    </w:sdt>
    <w:p>
      <w:pPr>
        <w:pStyle w:val="501"/>
      </w:pPr>
      <w:r>
        <w:br w:type="page"/>
      </w:r>
    </w:p>
    <w:p>
      <w:pPr>
        <w:ind w:firstLine="420" w:firstLineChars="200"/>
      </w:pPr>
    </w:p>
    <w:p>
      <w:pPr>
        <w:spacing w:line="480" w:lineRule="auto"/>
        <w:jc w:val="center"/>
        <w:rPr>
          <w:b/>
          <w:sz w:val="28"/>
          <w:szCs w:val="28"/>
        </w:rPr>
      </w:pPr>
      <w:r>
        <w:rPr>
          <w:rFonts w:hint="eastAsia"/>
          <w:b/>
          <w:sz w:val="28"/>
          <w:szCs w:val="28"/>
        </w:rPr>
        <w:t>目录</w:t>
      </w:r>
    </w:p>
    <w:p>
      <w:pPr>
        <w:pStyle w:val="27"/>
        <w:rPr>
          <w:rFonts w:ascii="宋体" w:hAnsi="宋体" w:cstheme="minorBidi"/>
          <w:szCs w:val="22"/>
        </w:rPr>
      </w:pPr>
      <w:r>
        <w:rPr>
          <w:b/>
          <w:bCs/>
        </w:rPr>
        <w:fldChar w:fldCharType="begin"/>
      </w:r>
      <w:r>
        <w:rPr>
          <w:b/>
          <w:bCs/>
        </w:rPr>
        <w:instrText xml:space="preserve"> TOC \o "1-1" \h \z \u </w:instrText>
      </w:r>
      <w:r>
        <w:rPr>
          <w:b/>
          <w:bCs/>
        </w:rPr>
        <w:fldChar w:fldCharType="separate"/>
      </w:r>
      <w:r>
        <w:fldChar w:fldCharType="begin"/>
      </w:r>
      <w:r>
        <w:instrText xml:space="preserve"> HYPERLINK \l "_Toc158217548" </w:instrText>
      </w:r>
      <w:r>
        <w:fldChar w:fldCharType="separate"/>
      </w:r>
      <w:r>
        <w:rPr>
          <w:rStyle w:val="40"/>
          <w:rFonts w:ascii="宋体" w:hAnsi="宋体"/>
        </w:rPr>
        <w:t>第一节</w:t>
      </w:r>
      <w:r>
        <w:rPr>
          <w:rFonts w:ascii="宋体" w:hAnsi="宋体" w:cstheme="minorBidi"/>
          <w:szCs w:val="22"/>
        </w:rPr>
        <w:tab/>
      </w:r>
      <w:r>
        <w:rPr>
          <w:rStyle w:val="40"/>
          <w:rFonts w:ascii="宋体" w:hAnsi="宋体"/>
        </w:rPr>
        <w:t>释义</w:t>
      </w:r>
      <w:r>
        <w:rPr>
          <w:rFonts w:ascii="宋体" w:hAnsi="宋体"/>
        </w:rPr>
        <w:tab/>
      </w:r>
      <w:r>
        <w:rPr>
          <w:rFonts w:ascii="宋体" w:hAnsi="宋体"/>
        </w:rPr>
        <w:fldChar w:fldCharType="begin"/>
      </w:r>
      <w:r>
        <w:rPr>
          <w:rFonts w:ascii="宋体" w:hAnsi="宋体"/>
        </w:rPr>
        <w:instrText xml:space="preserve"> PAGEREF _Toc158217548 \h </w:instrText>
      </w:r>
      <w:r>
        <w:rPr>
          <w:rFonts w:ascii="宋体" w:hAnsi="宋体"/>
        </w:rPr>
        <w:fldChar w:fldCharType="separate"/>
      </w:r>
      <w:r>
        <w:rPr>
          <w:rFonts w:ascii="宋体" w:hAnsi="宋体"/>
        </w:rPr>
        <w:t>4</w:t>
      </w:r>
      <w:r>
        <w:rPr>
          <w:rFonts w:ascii="宋体" w:hAnsi="宋体"/>
        </w:rPr>
        <w:fldChar w:fldCharType="end"/>
      </w:r>
      <w:r>
        <w:rPr>
          <w:rFonts w:ascii="宋体" w:hAnsi="宋体"/>
        </w:rPr>
        <w:fldChar w:fldCharType="end"/>
      </w:r>
    </w:p>
    <w:p>
      <w:pPr>
        <w:pStyle w:val="27"/>
        <w:rPr>
          <w:rFonts w:ascii="宋体" w:hAnsi="宋体" w:cstheme="minorBidi"/>
          <w:szCs w:val="22"/>
        </w:rPr>
      </w:pPr>
      <w:r>
        <w:fldChar w:fldCharType="begin"/>
      </w:r>
      <w:r>
        <w:instrText xml:space="preserve"> HYPERLINK \l "_Toc158217549" </w:instrText>
      </w:r>
      <w:r>
        <w:fldChar w:fldCharType="separate"/>
      </w:r>
      <w:r>
        <w:rPr>
          <w:rStyle w:val="40"/>
          <w:rFonts w:ascii="宋体" w:hAnsi="宋体"/>
        </w:rPr>
        <w:t>第二节</w:t>
      </w:r>
      <w:r>
        <w:rPr>
          <w:rFonts w:ascii="宋体" w:hAnsi="宋体" w:cstheme="minorBidi"/>
          <w:szCs w:val="22"/>
        </w:rPr>
        <w:tab/>
      </w:r>
      <w:r>
        <w:rPr>
          <w:rStyle w:val="40"/>
          <w:rFonts w:ascii="宋体" w:hAnsi="宋体"/>
        </w:rPr>
        <w:t>公司简介和主要财务指标</w:t>
      </w:r>
      <w:r>
        <w:rPr>
          <w:rFonts w:ascii="宋体" w:hAnsi="宋体"/>
        </w:rPr>
        <w:tab/>
      </w:r>
      <w:r>
        <w:rPr>
          <w:rFonts w:ascii="宋体" w:hAnsi="宋体"/>
        </w:rPr>
        <w:fldChar w:fldCharType="begin"/>
      </w:r>
      <w:r>
        <w:rPr>
          <w:rFonts w:ascii="宋体" w:hAnsi="宋体"/>
        </w:rPr>
        <w:instrText xml:space="preserve"> PAGEREF _Toc158217549 \h </w:instrText>
      </w:r>
      <w:r>
        <w:rPr>
          <w:rFonts w:ascii="宋体" w:hAnsi="宋体"/>
        </w:rPr>
        <w:fldChar w:fldCharType="separate"/>
      </w:r>
      <w:r>
        <w:rPr>
          <w:rFonts w:ascii="宋体" w:hAnsi="宋体"/>
        </w:rPr>
        <w:t>7</w:t>
      </w:r>
      <w:r>
        <w:rPr>
          <w:rFonts w:ascii="宋体" w:hAnsi="宋体"/>
        </w:rPr>
        <w:fldChar w:fldCharType="end"/>
      </w:r>
      <w:r>
        <w:rPr>
          <w:rFonts w:ascii="宋体" w:hAnsi="宋体"/>
        </w:rPr>
        <w:fldChar w:fldCharType="end"/>
      </w:r>
    </w:p>
    <w:p>
      <w:pPr>
        <w:pStyle w:val="27"/>
        <w:rPr>
          <w:rFonts w:ascii="宋体" w:hAnsi="宋体" w:cstheme="minorBidi"/>
          <w:szCs w:val="22"/>
        </w:rPr>
      </w:pPr>
      <w:r>
        <w:fldChar w:fldCharType="begin"/>
      </w:r>
      <w:r>
        <w:instrText xml:space="preserve"> HYPERLINK \l "_Toc158217550" </w:instrText>
      </w:r>
      <w:r>
        <w:fldChar w:fldCharType="separate"/>
      </w:r>
      <w:r>
        <w:rPr>
          <w:rStyle w:val="40"/>
          <w:rFonts w:ascii="宋体" w:hAnsi="宋体"/>
        </w:rPr>
        <w:t>第三节</w:t>
      </w:r>
      <w:r>
        <w:rPr>
          <w:rFonts w:ascii="宋体" w:hAnsi="宋体" w:cstheme="minorBidi"/>
          <w:szCs w:val="22"/>
        </w:rPr>
        <w:tab/>
      </w:r>
      <w:r>
        <w:rPr>
          <w:rStyle w:val="40"/>
          <w:rFonts w:ascii="宋体" w:hAnsi="宋体"/>
        </w:rPr>
        <w:t>董事长报告书</w:t>
      </w:r>
      <w:r>
        <w:rPr>
          <w:rFonts w:ascii="宋体" w:hAnsi="宋体"/>
        </w:rPr>
        <w:tab/>
      </w:r>
      <w:r>
        <w:rPr>
          <w:rFonts w:ascii="宋体" w:hAnsi="宋体"/>
        </w:rPr>
        <w:fldChar w:fldCharType="begin"/>
      </w:r>
      <w:r>
        <w:rPr>
          <w:rFonts w:ascii="宋体" w:hAnsi="宋体"/>
        </w:rPr>
        <w:instrText xml:space="preserve"> PAGEREF _Toc158217550 \h </w:instrText>
      </w:r>
      <w:r>
        <w:rPr>
          <w:rFonts w:ascii="宋体" w:hAnsi="宋体"/>
        </w:rPr>
        <w:fldChar w:fldCharType="separate"/>
      </w:r>
      <w:r>
        <w:rPr>
          <w:rFonts w:ascii="宋体" w:hAnsi="宋体"/>
        </w:rPr>
        <w:t>13</w:t>
      </w:r>
      <w:r>
        <w:rPr>
          <w:rFonts w:ascii="宋体" w:hAnsi="宋体"/>
        </w:rPr>
        <w:fldChar w:fldCharType="end"/>
      </w:r>
      <w:r>
        <w:rPr>
          <w:rFonts w:ascii="宋体" w:hAnsi="宋体"/>
        </w:rPr>
        <w:fldChar w:fldCharType="end"/>
      </w:r>
    </w:p>
    <w:p>
      <w:pPr>
        <w:pStyle w:val="27"/>
        <w:rPr>
          <w:rFonts w:ascii="宋体" w:hAnsi="宋体" w:cstheme="minorBidi"/>
          <w:szCs w:val="22"/>
        </w:rPr>
      </w:pPr>
      <w:r>
        <w:fldChar w:fldCharType="begin"/>
      </w:r>
      <w:r>
        <w:instrText xml:space="preserve"> HYPERLINK \l "_Toc158217551" </w:instrText>
      </w:r>
      <w:r>
        <w:fldChar w:fldCharType="separate"/>
      </w:r>
      <w:r>
        <w:rPr>
          <w:rStyle w:val="40"/>
          <w:rFonts w:ascii="宋体" w:hAnsi="宋体"/>
        </w:rPr>
        <w:t>第四节</w:t>
      </w:r>
      <w:r>
        <w:rPr>
          <w:rFonts w:ascii="宋体" w:hAnsi="宋体" w:cstheme="minorBidi"/>
          <w:szCs w:val="22"/>
        </w:rPr>
        <w:tab/>
      </w:r>
      <w:r>
        <w:rPr>
          <w:rStyle w:val="40"/>
          <w:rFonts w:ascii="宋体" w:hAnsi="宋体"/>
        </w:rPr>
        <w:t>管理层讨论与分析</w:t>
      </w:r>
      <w:r>
        <w:rPr>
          <w:rFonts w:ascii="宋体" w:hAnsi="宋体"/>
        </w:rPr>
        <w:tab/>
      </w:r>
      <w:r>
        <w:rPr>
          <w:rFonts w:ascii="宋体" w:hAnsi="宋体"/>
        </w:rPr>
        <w:fldChar w:fldCharType="begin"/>
      </w:r>
      <w:r>
        <w:rPr>
          <w:rFonts w:ascii="宋体" w:hAnsi="宋体"/>
        </w:rPr>
        <w:instrText xml:space="preserve"> PAGEREF _Toc158217551 \h </w:instrText>
      </w:r>
      <w:r>
        <w:rPr>
          <w:rFonts w:ascii="宋体" w:hAnsi="宋体"/>
        </w:rPr>
        <w:fldChar w:fldCharType="separate"/>
      </w:r>
      <w:r>
        <w:rPr>
          <w:rFonts w:ascii="宋体" w:hAnsi="宋体"/>
        </w:rPr>
        <w:t>16</w:t>
      </w:r>
      <w:r>
        <w:rPr>
          <w:rFonts w:ascii="宋体" w:hAnsi="宋体"/>
        </w:rPr>
        <w:fldChar w:fldCharType="end"/>
      </w:r>
      <w:r>
        <w:rPr>
          <w:rFonts w:ascii="宋体" w:hAnsi="宋体"/>
        </w:rPr>
        <w:fldChar w:fldCharType="end"/>
      </w:r>
    </w:p>
    <w:p>
      <w:pPr>
        <w:pStyle w:val="27"/>
        <w:rPr>
          <w:rFonts w:ascii="宋体" w:hAnsi="宋体" w:cstheme="minorBidi"/>
          <w:szCs w:val="22"/>
        </w:rPr>
      </w:pPr>
      <w:r>
        <w:fldChar w:fldCharType="begin"/>
      </w:r>
      <w:r>
        <w:instrText xml:space="preserve"> HYPERLINK \l "_Toc158217552" </w:instrText>
      </w:r>
      <w:r>
        <w:fldChar w:fldCharType="separate"/>
      </w:r>
      <w:r>
        <w:rPr>
          <w:rStyle w:val="40"/>
          <w:rFonts w:ascii="宋体" w:hAnsi="宋体"/>
        </w:rPr>
        <w:t>第五节</w:t>
      </w:r>
      <w:r>
        <w:rPr>
          <w:rFonts w:ascii="宋体" w:hAnsi="宋体" w:cstheme="minorBidi"/>
          <w:szCs w:val="22"/>
        </w:rPr>
        <w:tab/>
      </w:r>
      <w:r>
        <w:rPr>
          <w:rStyle w:val="40"/>
          <w:rFonts w:ascii="宋体" w:hAnsi="宋体"/>
        </w:rPr>
        <w:t>公司治理</w:t>
      </w:r>
      <w:r>
        <w:rPr>
          <w:rFonts w:ascii="宋体" w:hAnsi="宋体"/>
        </w:rPr>
        <w:tab/>
      </w:r>
      <w:r>
        <w:rPr>
          <w:rFonts w:ascii="宋体" w:hAnsi="宋体"/>
        </w:rPr>
        <w:fldChar w:fldCharType="begin"/>
      </w:r>
      <w:r>
        <w:rPr>
          <w:rFonts w:ascii="宋体" w:hAnsi="宋体"/>
        </w:rPr>
        <w:instrText xml:space="preserve"> PAGEREF _Toc158217552 \h </w:instrText>
      </w:r>
      <w:r>
        <w:rPr>
          <w:rFonts w:ascii="宋体" w:hAnsi="宋体"/>
        </w:rPr>
        <w:fldChar w:fldCharType="separate"/>
      </w:r>
      <w:r>
        <w:rPr>
          <w:rFonts w:ascii="宋体" w:hAnsi="宋体"/>
        </w:rPr>
        <w:t>39</w:t>
      </w:r>
      <w:r>
        <w:rPr>
          <w:rFonts w:ascii="宋体" w:hAnsi="宋体"/>
        </w:rPr>
        <w:fldChar w:fldCharType="end"/>
      </w:r>
      <w:r>
        <w:rPr>
          <w:rFonts w:ascii="宋体" w:hAnsi="宋体"/>
        </w:rPr>
        <w:fldChar w:fldCharType="end"/>
      </w:r>
    </w:p>
    <w:p>
      <w:pPr>
        <w:pStyle w:val="27"/>
        <w:rPr>
          <w:rFonts w:ascii="宋体" w:hAnsi="宋体" w:cstheme="minorBidi"/>
          <w:szCs w:val="22"/>
        </w:rPr>
      </w:pPr>
      <w:r>
        <w:fldChar w:fldCharType="begin"/>
      </w:r>
      <w:r>
        <w:instrText xml:space="preserve"> HYPERLINK \l "_Toc158217553" </w:instrText>
      </w:r>
      <w:r>
        <w:fldChar w:fldCharType="separate"/>
      </w:r>
      <w:r>
        <w:rPr>
          <w:rStyle w:val="40"/>
          <w:rFonts w:ascii="宋体" w:hAnsi="宋体"/>
        </w:rPr>
        <w:t>第六节</w:t>
      </w:r>
      <w:r>
        <w:rPr>
          <w:rFonts w:ascii="宋体" w:hAnsi="宋体" w:cstheme="minorBidi"/>
          <w:szCs w:val="22"/>
        </w:rPr>
        <w:tab/>
      </w:r>
      <w:r>
        <w:rPr>
          <w:rStyle w:val="40"/>
          <w:rFonts w:ascii="宋体" w:hAnsi="宋体"/>
        </w:rPr>
        <w:t>环境与社会责任</w:t>
      </w:r>
      <w:r>
        <w:rPr>
          <w:rFonts w:ascii="宋体" w:hAnsi="宋体"/>
        </w:rPr>
        <w:tab/>
      </w:r>
      <w:r>
        <w:rPr>
          <w:rFonts w:ascii="宋体" w:hAnsi="宋体"/>
        </w:rPr>
        <w:fldChar w:fldCharType="begin"/>
      </w:r>
      <w:r>
        <w:rPr>
          <w:rFonts w:ascii="宋体" w:hAnsi="宋体"/>
        </w:rPr>
        <w:instrText xml:space="preserve"> PAGEREF _Toc158217553 \h </w:instrText>
      </w:r>
      <w:r>
        <w:rPr>
          <w:rFonts w:ascii="宋体" w:hAnsi="宋体"/>
        </w:rPr>
        <w:fldChar w:fldCharType="separate"/>
      </w:r>
      <w:r>
        <w:rPr>
          <w:rFonts w:ascii="宋体" w:hAnsi="宋体"/>
        </w:rPr>
        <w:t>78</w:t>
      </w:r>
      <w:r>
        <w:rPr>
          <w:rFonts w:ascii="宋体" w:hAnsi="宋体"/>
        </w:rPr>
        <w:fldChar w:fldCharType="end"/>
      </w:r>
      <w:r>
        <w:rPr>
          <w:rFonts w:ascii="宋体" w:hAnsi="宋体"/>
        </w:rPr>
        <w:fldChar w:fldCharType="end"/>
      </w:r>
    </w:p>
    <w:p>
      <w:pPr>
        <w:pStyle w:val="27"/>
        <w:rPr>
          <w:rFonts w:ascii="宋体" w:hAnsi="宋体" w:cstheme="minorBidi"/>
          <w:szCs w:val="22"/>
        </w:rPr>
      </w:pPr>
      <w:r>
        <w:fldChar w:fldCharType="begin"/>
      </w:r>
      <w:r>
        <w:instrText xml:space="preserve"> HYPERLINK \l "_Toc158217554" </w:instrText>
      </w:r>
      <w:r>
        <w:fldChar w:fldCharType="separate"/>
      </w:r>
      <w:r>
        <w:rPr>
          <w:rStyle w:val="40"/>
          <w:rFonts w:ascii="宋体" w:hAnsi="宋体"/>
        </w:rPr>
        <w:t>第七节</w:t>
      </w:r>
      <w:r>
        <w:rPr>
          <w:rFonts w:ascii="宋体" w:hAnsi="宋体" w:cstheme="minorBidi"/>
          <w:szCs w:val="22"/>
        </w:rPr>
        <w:tab/>
      </w:r>
      <w:r>
        <w:rPr>
          <w:rStyle w:val="40"/>
          <w:rFonts w:ascii="宋体" w:hAnsi="宋体"/>
        </w:rPr>
        <w:t>重要事项</w:t>
      </w:r>
      <w:r>
        <w:rPr>
          <w:rFonts w:ascii="宋体" w:hAnsi="宋体"/>
        </w:rPr>
        <w:tab/>
      </w:r>
      <w:r>
        <w:rPr>
          <w:rFonts w:ascii="宋体" w:hAnsi="宋体"/>
        </w:rPr>
        <w:fldChar w:fldCharType="begin"/>
      </w:r>
      <w:r>
        <w:rPr>
          <w:rFonts w:ascii="宋体" w:hAnsi="宋体"/>
        </w:rPr>
        <w:instrText xml:space="preserve"> PAGEREF _Toc158217554 \h </w:instrText>
      </w:r>
      <w:r>
        <w:rPr>
          <w:rFonts w:ascii="宋体" w:hAnsi="宋体"/>
        </w:rPr>
        <w:fldChar w:fldCharType="separate"/>
      </w:r>
      <w:r>
        <w:rPr>
          <w:rFonts w:ascii="宋体" w:hAnsi="宋体"/>
        </w:rPr>
        <w:t>85</w:t>
      </w:r>
      <w:r>
        <w:rPr>
          <w:rFonts w:ascii="宋体" w:hAnsi="宋体"/>
        </w:rPr>
        <w:fldChar w:fldCharType="end"/>
      </w:r>
      <w:r>
        <w:rPr>
          <w:rFonts w:ascii="宋体" w:hAnsi="宋体"/>
        </w:rPr>
        <w:fldChar w:fldCharType="end"/>
      </w:r>
    </w:p>
    <w:p>
      <w:pPr>
        <w:pStyle w:val="27"/>
        <w:rPr>
          <w:rFonts w:ascii="宋体" w:hAnsi="宋体" w:cstheme="minorBidi"/>
          <w:szCs w:val="22"/>
        </w:rPr>
      </w:pPr>
      <w:r>
        <w:fldChar w:fldCharType="begin"/>
      </w:r>
      <w:r>
        <w:instrText xml:space="preserve"> HYPERLINK \l "_Toc158217555" </w:instrText>
      </w:r>
      <w:r>
        <w:fldChar w:fldCharType="separate"/>
      </w:r>
      <w:r>
        <w:rPr>
          <w:rStyle w:val="40"/>
          <w:rFonts w:ascii="宋体" w:hAnsi="宋体"/>
        </w:rPr>
        <w:t>第八节</w:t>
      </w:r>
      <w:r>
        <w:rPr>
          <w:rFonts w:ascii="宋体" w:hAnsi="宋体" w:cstheme="minorBidi"/>
          <w:szCs w:val="22"/>
        </w:rPr>
        <w:tab/>
      </w:r>
      <w:r>
        <w:rPr>
          <w:rStyle w:val="40"/>
          <w:rFonts w:ascii="宋体" w:hAnsi="宋体"/>
        </w:rPr>
        <w:t>股份变动及股东情况</w:t>
      </w:r>
      <w:r>
        <w:rPr>
          <w:rFonts w:ascii="宋体" w:hAnsi="宋体"/>
        </w:rPr>
        <w:tab/>
      </w:r>
      <w:r>
        <w:rPr>
          <w:rFonts w:ascii="宋体" w:hAnsi="宋体"/>
        </w:rPr>
        <w:fldChar w:fldCharType="begin"/>
      </w:r>
      <w:r>
        <w:rPr>
          <w:rFonts w:ascii="宋体" w:hAnsi="宋体"/>
        </w:rPr>
        <w:instrText xml:space="preserve"> PAGEREF _Toc158217555 \h </w:instrText>
      </w:r>
      <w:r>
        <w:rPr>
          <w:rFonts w:ascii="宋体" w:hAnsi="宋体"/>
        </w:rPr>
        <w:fldChar w:fldCharType="separate"/>
      </w:r>
      <w:r>
        <w:rPr>
          <w:rFonts w:ascii="宋体" w:hAnsi="宋体"/>
        </w:rPr>
        <w:t>111</w:t>
      </w:r>
      <w:r>
        <w:rPr>
          <w:rFonts w:ascii="宋体" w:hAnsi="宋体"/>
        </w:rPr>
        <w:fldChar w:fldCharType="end"/>
      </w:r>
      <w:r>
        <w:rPr>
          <w:rFonts w:ascii="宋体" w:hAnsi="宋体"/>
        </w:rPr>
        <w:fldChar w:fldCharType="end"/>
      </w:r>
    </w:p>
    <w:p>
      <w:pPr>
        <w:pStyle w:val="27"/>
        <w:rPr>
          <w:rFonts w:ascii="宋体" w:hAnsi="宋体" w:cstheme="minorBidi"/>
          <w:szCs w:val="22"/>
        </w:rPr>
      </w:pPr>
      <w:r>
        <w:fldChar w:fldCharType="begin"/>
      </w:r>
      <w:r>
        <w:instrText xml:space="preserve"> HYPERLINK \l "_Toc158217556" </w:instrText>
      </w:r>
      <w:r>
        <w:fldChar w:fldCharType="separate"/>
      </w:r>
      <w:r>
        <w:rPr>
          <w:rStyle w:val="40"/>
          <w:rFonts w:ascii="宋体" w:hAnsi="宋体"/>
        </w:rPr>
        <w:t>第九节</w:t>
      </w:r>
      <w:r>
        <w:rPr>
          <w:rFonts w:ascii="宋体" w:hAnsi="宋体" w:cstheme="minorBidi"/>
          <w:szCs w:val="22"/>
        </w:rPr>
        <w:tab/>
      </w:r>
      <w:r>
        <w:rPr>
          <w:rStyle w:val="40"/>
          <w:rFonts w:ascii="宋体" w:hAnsi="宋体"/>
        </w:rPr>
        <w:t>债券相关情况</w:t>
      </w:r>
      <w:r>
        <w:rPr>
          <w:rFonts w:ascii="宋体" w:hAnsi="宋体"/>
        </w:rPr>
        <w:tab/>
      </w:r>
      <w:r>
        <w:rPr>
          <w:rFonts w:ascii="宋体" w:hAnsi="宋体"/>
        </w:rPr>
        <w:fldChar w:fldCharType="begin"/>
      </w:r>
      <w:r>
        <w:rPr>
          <w:rFonts w:ascii="宋体" w:hAnsi="宋体"/>
        </w:rPr>
        <w:instrText xml:space="preserve"> PAGEREF _Toc158217556 \h </w:instrText>
      </w:r>
      <w:r>
        <w:rPr>
          <w:rFonts w:ascii="宋体" w:hAnsi="宋体"/>
        </w:rPr>
        <w:fldChar w:fldCharType="separate"/>
      </w:r>
      <w:r>
        <w:rPr>
          <w:rFonts w:ascii="宋体" w:hAnsi="宋体"/>
        </w:rPr>
        <w:t>120</w:t>
      </w:r>
      <w:r>
        <w:rPr>
          <w:rFonts w:ascii="宋体" w:hAnsi="宋体"/>
        </w:rPr>
        <w:fldChar w:fldCharType="end"/>
      </w:r>
      <w:r>
        <w:rPr>
          <w:rFonts w:ascii="宋体" w:hAnsi="宋体"/>
        </w:rPr>
        <w:fldChar w:fldCharType="end"/>
      </w:r>
    </w:p>
    <w:p>
      <w:pPr>
        <w:pStyle w:val="27"/>
        <w:rPr>
          <w:rFonts w:ascii="宋体" w:hAnsi="宋体" w:cstheme="minorBidi"/>
          <w:szCs w:val="22"/>
        </w:rPr>
      </w:pPr>
      <w:r>
        <w:fldChar w:fldCharType="begin"/>
      </w:r>
      <w:r>
        <w:instrText xml:space="preserve"> HYPERLINK \l "_Toc158217557" </w:instrText>
      </w:r>
      <w:r>
        <w:fldChar w:fldCharType="separate"/>
      </w:r>
      <w:r>
        <w:rPr>
          <w:rStyle w:val="40"/>
          <w:rFonts w:ascii="宋体" w:hAnsi="宋体"/>
        </w:rPr>
        <w:t>第十节</w:t>
      </w:r>
      <w:r>
        <w:rPr>
          <w:rFonts w:ascii="宋体" w:hAnsi="宋体" w:cstheme="minorBidi"/>
          <w:szCs w:val="22"/>
        </w:rPr>
        <w:tab/>
      </w:r>
      <w:r>
        <w:rPr>
          <w:rStyle w:val="40"/>
          <w:rFonts w:ascii="宋体" w:hAnsi="宋体"/>
        </w:rPr>
        <w:t>财务报告</w:t>
      </w:r>
      <w:r>
        <w:rPr>
          <w:rFonts w:ascii="宋体" w:hAnsi="宋体"/>
        </w:rPr>
        <w:tab/>
      </w:r>
      <w:r>
        <w:rPr>
          <w:rFonts w:ascii="宋体" w:hAnsi="宋体"/>
        </w:rPr>
        <w:fldChar w:fldCharType="begin"/>
      </w:r>
      <w:r>
        <w:rPr>
          <w:rFonts w:ascii="宋体" w:hAnsi="宋体"/>
        </w:rPr>
        <w:instrText xml:space="preserve"> PAGEREF _Toc158217557 \h </w:instrText>
      </w:r>
      <w:r>
        <w:rPr>
          <w:rFonts w:ascii="宋体" w:hAnsi="宋体"/>
        </w:rPr>
        <w:fldChar w:fldCharType="separate"/>
      </w:r>
      <w:r>
        <w:rPr>
          <w:rFonts w:ascii="宋体" w:hAnsi="宋体"/>
        </w:rPr>
        <w:t>134</w:t>
      </w:r>
      <w:r>
        <w:rPr>
          <w:rFonts w:ascii="宋体" w:hAnsi="宋体"/>
        </w:rPr>
        <w:fldChar w:fldCharType="end"/>
      </w:r>
      <w:r>
        <w:rPr>
          <w:rFonts w:ascii="宋体" w:hAnsi="宋体"/>
        </w:rPr>
        <w:fldChar w:fldCharType="end"/>
      </w:r>
    </w:p>
    <w:p>
      <w:pPr>
        <w:pStyle w:val="43"/>
      </w:pPr>
      <w:r>
        <w:rPr>
          <w:b/>
          <w:bCs/>
        </w:rPr>
        <w:fldChar w:fldCharType="end"/>
      </w:r>
    </w:p>
    <w:p>
      <w:pPr>
        <w:spacing w:line="360" w:lineRule="exact"/>
        <w:ind w:right="5"/>
        <w:rPr>
          <w:b/>
          <w:bCs/>
          <w:sz w:val="24"/>
        </w:rPr>
      </w:pPr>
    </w:p>
    <w:tbl>
      <w:tblPr>
        <w:tblStyle w:val="1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294"/>
        <w:gridCol w:w="6599"/>
      </w:tblGrid>
      <w:sdt>
        <w:sdtPr>
          <w:alias w:val="备查文件情况"/>
          <w:tag w:val="_TUP_bb3c6eba15bb4f89aaabf5b28bea5766"/>
          <w:id w:val="-485085599"/>
          <w:placeholder>
            <w:docPart w:val="C1346EEF5DC64C6DAB12BBEB826A4F9A"/>
          </w:placeholder>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restart"/>
                <w:tcBorders>
                  <w:top w:val="single" w:color="auto" w:sz="4" w:space="0"/>
                  <w:left w:val="single" w:color="auto" w:sz="4" w:space="0"/>
                  <w:right w:val="single" w:color="auto" w:sz="4" w:space="0"/>
                </w:tcBorders>
                <w:vAlign w:val="center"/>
              </w:tcPr>
              <w:sdt>
                <w:sdtPr>
                  <w:tag w:val="_PLD_a77548a64feb4f70a4cecbb587219734"/>
                  <w:id w:val="440427494"/>
                </w:sdtPr>
                <w:sdtContent>
                  <w:p>
                    <w:pPr>
                      <w:autoSpaceDE w:val="0"/>
                      <w:autoSpaceDN w:val="0"/>
                      <w:adjustRightInd w:val="0"/>
                      <w:jc w:val="center"/>
                    </w:pPr>
                    <w:bookmarkStart w:id="2" w:name="_Hlk90888086"/>
                    <w:bookmarkStart w:id="3" w:name="_Hlk90893687"/>
                    <w:bookmarkStart w:id="4" w:name="_Hlk90891770"/>
                    <w:r>
                      <w:t>备查文件目录</w:t>
                    </w:r>
                  </w:p>
                </w:sdtContent>
              </w:sdt>
            </w:tc>
            <w:sdt>
              <w:sdtPr>
                <w:alias w:val="备查文件目录"/>
                <w:tag w:val="_GBC_0c6e892b0eee4faaa5b2883811d0eed4"/>
                <w:id w:val="-1080745704"/>
              </w:sdtPr>
              <w:sdtContent>
                <w:tc>
                  <w:tcPr>
                    <w:tcW w:w="3710"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载有公司董事长、财务总监、财务管理部部长签名并盖章的财务报表。</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left w:val="single" w:color="auto" w:sz="4" w:space="0"/>
              <w:right w:val="single" w:color="auto" w:sz="4" w:space="0"/>
            </w:tcBorders>
            <w:vAlign w:val="center"/>
          </w:tcPr>
          <w:p>
            <w:pPr>
              <w:pStyle w:val="43"/>
            </w:pPr>
          </w:p>
        </w:tc>
        <w:tc>
          <w:tcPr>
            <w:tcW w:w="3710" w:type="pct"/>
            <w:tcBorders>
              <w:top w:val="single" w:color="auto" w:sz="4" w:space="0"/>
              <w:left w:val="single" w:color="auto" w:sz="4" w:space="0"/>
              <w:bottom w:val="single" w:color="auto" w:sz="4" w:space="0"/>
              <w:right w:val="single" w:color="auto" w:sz="4" w:space="0"/>
            </w:tcBorders>
          </w:tcPr>
          <w:p>
            <w:pPr>
              <w:pStyle w:val="43"/>
            </w:pPr>
            <w:r>
              <w:rPr>
                <w:rFonts w:hint="eastAsia"/>
              </w:rPr>
              <w:t>载有会计师事务所盖章、注册会计师签名并盖章的审计报告原件。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left w:val="single" w:color="auto" w:sz="4" w:space="0"/>
              <w:right w:val="single" w:color="auto" w:sz="4" w:space="0"/>
            </w:tcBorders>
            <w:vAlign w:val="center"/>
          </w:tcPr>
          <w:p>
            <w:pPr>
              <w:pStyle w:val="43"/>
            </w:pPr>
          </w:p>
        </w:tc>
        <w:tc>
          <w:tcPr>
            <w:tcW w:w="3710"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报告期内在中国证监会指定网站上公开披露过的所有公司文件的正本及公告的原稿。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left w:val="single" w:color="auto" w:sz="4" w:space="0"/>
              <w:bottom w:val="single" w:color="auto" w:sz="4" w:space="0"/>
              <w:right w:val="single" w:color="auto" w:sz="4" w:space="0"/>
            </w:tcBorders>
            <w:vAlign w:val="center"/>
          </w:tcPr>
          <w:p>
            <w:pPr>
              <w:pStyle w:val="43"/>
            </w:pPr>
          </w:p>
        </w:tc>
        <w:tc>
          <w:tcPr>
            <w:tcW w:w="3710"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在其他证券市场公布的年度报告。</w:t>
            </w:r>
          </w:p>
        </w:tc>
      </w:tr>
    </w:tbl>
    <w:p>
      <w:pPr>
        <w:pStyle w:val="43"/>
      </w:pPr>
    </w:p>
    <w:p>
      <w:pPr>
        <w:pStyle w:val="43"/>
      </w:pPr>
    </w:p>
    <w:p>
      <w:pPr>
        <w:pStyle w:val="43"/>
      </w:pPr>
    </w:p>
    <w:bookmarkEnd w:id="2"/>
    <w:p>
      <w:pPr>
        <w:spacing w:line="360" w:lineRule="exact"/>
        <w:jc w:val="right"/>
      </w:pPr>
    </w:p>
    <w:bookmarkEnd w:id="3"/>
    <w:p>
      <w:pPr>
        <w:pStyle w:val="43"/>
      </w:pPr>
    </w:p>
    <w:p>
      <w:pPr>
        <w:pStyle w:val="43"/>
      </w:pPr>
    </w:p>
    <w:bookmarkEnd w:id="4"/>
    <w:p>
      <w:pPr>
        <w:sectPr>
          <w:pgSz w:w="11906" w:h="16838"/>
          <w:pgMar w:top="1440" w:right="1797" w:bottom="1525" w:left="1276" w:header="855" w:footer="992" w:gutter="0"/>
          <w:cols w:space="425" w:num="1"/>
          <w:docGrid w:linePitch="312" w:charSpace="0"/>
        </w:sectPr>
      </w:pPr>
    </w:p>
    <w:p>
      <w:pPr>
        <w:pStyle w:val="2"/>
        <w:numPr>
          <w:ilvl w:val="0"/>
          <w:numId w:val="2"/>
        </w:numPr>
      </w:pPr>
      <w:bookmarkStart w:id="5" w:name="_Toc158217548"/>
      <w:r>
        <w:rPr>
          <w:rFonts w:hint="eastAsia"/>
        </w:rPr>
        <w:t>释义</w:t>
      </w:r>
      <w:bookmarkEnd w:id="5"/>
    </w:p>
    <w:p>
      <w:pPr>
        <w:pStyle w:val="3"/>
        <w:numPr>
          <w:ilvl w:val="0"/>
          <w:numId w:val="3"/>
        </w:numPr>
        <w:tabs>
          <w:tab w:val="left" w:pos="588"/>
        </w:tabs>
        <w:ind w:left="369" w:hanging="369" w:hangingChars="175"/>
      </w:pPr>
      <w:r>
        <w:t>释义</w:t>
      </w:r>
    </w:p>
    <w:p>
      <w:pPr>
        <w:ind w:firstLine="420" w:firstLineChars="200"/>
        <w:rPr>
          <w:rFonts w:asciiTheme="minorEastAsia" w:hAnsiTheme="minorEastAsia" w:eastAsiaTheme="minorEastAsia"/>
        </w:rPr>
      </w:pPr>
      <w:r>
        <w:rPr>
          <w:rFonts w:asciiTheme="minorEastAsia" w:hAnsiTheme="minorEastAsia" w:eastAsiaTheme="minorEastAsia"/>
        </w:rPr>
        <w:t>在本报告书中，除非文义另有所指，下列词语具有如下含义：</w:t>
      </w:r>
    </w:p>
    <w:tbl>
      <w:tblPr>
        <w:tblStyle w:val="2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567"/>
        <w:gridCol w:w="6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f37a984a1d34209a94aac58652eb6b9"/>
            <w:id w:val="-2133085189"/>
          </w:sdtPr>
          <w:sdtEndPr>
            <w:rPr>
              <w:rFonts w:asciiTheme="minorEastAsia" w:hAnsiTheme="minorEastAsia" w:eastAsiaTheme="minorEastAsia"/>
            </w:rPr>
          </w:sdtEndPr>
          <w:sdtContent>
            <w:tc>
              <w:tcPr>
                <w:tcW w:w="8823" w:type="dxa"/>
                <w:gridSpan w:val="3"/>
              </w:tcPr>
              <w:p>
                <w:pPr>
                  <w:jc w:val="center"/>
                  <w:rPr>
                    <w:rFonts w:asciiTheme="minorEastAsia" w:hAnsiTheme="minorEastAsia" w:eastAsiaTheme="minorEastAsia"/>
                  </w:rPr>
                </w:pPr>
                <w:bookmarkStart w:id="6" w:name="_Toc89790249"/>
                <w:bookmarkStart w:id="7" w:name="_Toc437440709"/>
                <w:r>
                  <w:rPr>
                    <w:rFonts w:asciiTheme="minorEastAsia" w:hAnsiTheme="minorEastAsia" w:eastAsiaTheme="minorEastAsia"/>
                  </w:rPr>
                  <w:t>常用词语释义</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“兖矿能源”“公司”“本公司”</w:t>
            </w:r>
          </w:p>
        </w:tc>
        <w:tc>
          <w:tcPr>
            <w:tcW w:w="567" w:type="dxa"/>
            <w:vAlign w:val="center"/>
          </w:tcPr>
          <w:p>
            <w:pPr>
              <w:jc w:val="center"/>
              <w:rPr>
                <w:rFonts w:asciiTheme="minorEastAsia" w:hAnsiTheme="minorEastAsia" w:eastAsiaTheme="minorEastAsia"/>
                <w:highlight w:val="lightGray"/>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兖矿能源集团股份有限公司，于1997年依据中国法律成立的股份有限公司，其H股及A股分别在香港联交所及上交所上市；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“集团”“本集团”</w:t>
            </w:r>
          </w:p>
        </w:tc>
        <w:tc>
          <w:tcPr>
            <w:tcW w:w="567" w:type="dxa"/>
            <w:vAlign w:val="center"/>
          </w:tcPr>
          <w:p>
            <w:pPr>
              <w:jc w:val="center"/>
              <w:rPr>
                <w:rFonts w:asciiTheme="minorEastAsia" w:hAnsiTheme="minorEastAsia" w:eastAsiaTheme="minorEastAsia"/>
                <w:highlight w:val="lightGray"/>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本公司及其附属公司；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“山东能源”“控股股东”</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山东能源集团有限公司，于1996年依据中国法律改制设立的有限责任公司，为本公司的控股股东，于本报告期末直接和间接持有本公司54.</w:t>
            </w:r>
            <w:r>
              <w:rPr>
                <w:rFonts w:asciiTheme="minorEastAsia" w:hAnsiTheme="minorEastAsia" w:eastAsiaTheme="minorEastAsia"/>
              </w:rPr>
              <w:t>69</w:t>
            </w:r>
            <w:r>
              <w:rPr>
                <w:rFonts w:hint="eastAsia" w:asciiTheme="minorEastAsia" w:hAnsiTheme="minorEastAsia" w:eastAsiaTheme="minorEastAsia"/>
              </w:rPr>
              <w:t>%股份；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“菏泽能化”</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兖煤菏泽能化有限公司，于2002年依据中国法律成立的有限责任公司，主要负责山东省菏泽市赵楼煤矿、万福煤矿煤炭资源及电力业务的开发运营，是本公司的控股子公司，于本报告期末本公司持有其98.33%股权；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rPr>
                <w:rFonts w:asciiTheme="minorEastAsia" w:hAnsiTheme="minorEastAsia" w:eastAsiaTheme="minorEastAsia"/>
              </w:rPr>
            </w:pPr>
            <w:r>
              <w:rPr>
                <w:rFonts w:hint="eastAsia" w:asciiTheme="minorEastAsia" w:hAnsiTheme="minorEastAsia" w:eastAsiaTheme="minorEastAsia"/>
              </w:rPr>
              <w:t>“鲁西矿业”</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山东能源集团鲁西矿业有限公司，于2</w:t>
            </w:r>
            <w:r>
              <w:rPr>
                <w:rFonts w:asciiTheme="minorEastAsia" w:hAnsiTheme="minorEastAsia" w:eastAsiaTheme="minorEastAsia"/>
              </w:rPr>
              <w:t>021</w:t>
            </w:r>
            <w:r>
              <w:rPr>
                <w:rFonts w:hint="eastAsia" w:asciiTheme="minorEastAsia" w:hAnsiTheme="minorEastAsia" w:eastAsiaTheme="minorEastAsia"/>
              </w:rPr>
              <w:t>年根据中国法律成立的有限责任公司，主要从事煤炭开采、煤炭洗选、煤炭及制品销售等业务，是本公司的控股子公司，于本报告期末本公司持有其5</w:t>
            </w:r>
            <w:r>
              <w:rPr>
                <w:rFonts w:asciiTheme="minorEastAsia" w:hAnsiTheme="minorEastAsia" w:eastAsiaTheme="minorEastAsia"/>
              </w:rPr>
              <w:t>1%</w:t>
            </w:r>
            <w:r>
              <w:rPr>
                <w:rFonts w:hint="eastAsia" w:asciiTheme="minorEastAsia" w:hAnsiTheme="minorEastAsia" w:eastAsiaTheme="minorEastAsia"/>
              </w:rPr>
              <w:t>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rPr>
                <w:rFonts w:asciiTheme="minorEastAsia" w:hAnsiTheme="minorEastAsia" w:eastAsiaTheme="minorEastAsia"/>
              </w:rPr>
            </w:pPr>
            <w:r>
              <w:rPr>
                <w:rFonts w:hint="eastAsia" w:asciiTheme="minorEastAsia" w:hAnsiTheme="minorEastAsia" w:eastAsiaTheme="minorEastAsia"/>
              </w:rPr>
              <w:t>“天池能源”</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山西和顺天池能源有限责任公司，于1</w:t>
            </w:r>
            <w:r>
              <w:rPr>
                <w:rFonts w:asciiTheme="minorEastAsia" w:hAnsiTheme="minorEastAsia" w:eastAsiaTheme="minorEastAsia"/>
              </w:rPr>
              <w:t>999</w:t>
            </w:r>
            <w:r>
              <w:rPr>
                <w:rFonts w:hint="eastAsia" w:asciiTheme="minorEastAsia" w:hAnsiTheme="minorEastAsia" w:eastAsiaTheme="minorEastAsia"/>
              </w:rPr>
              <w:t>年依据中国法律成立的有限责任公司，主要负责山西省晋中市天池煤矿的生产运营，是本公司的控股子公司，于本报告期末本公司持有其8</w:t>
            </w:r>
            <w:r>
              <w:rPr>
                <w:rFonts w:asciiTheme="minorEastAsia" w:hAnsiTheme="minorEastAsia" w:eastAsiaTheme="minorEastAsia"/>
              </w:rPr>
              <w:t>1</w:t>
            </w:r>
            <w:r>
              <w:rPr>
                <w:rFonts w:hint="eastAsia" w:asciiTheme="minorEastAsia" w:hAnsiTheme="minorEastAsia" w:eastAsiaTheme="minorEastAsia"/>
              </w:rPr>
              <w:t>.3</w:t>
            </w:r>
            <w:r>
              <w:rPr>
                <w:rFonts w:asciiTheme="minorEastAsia" w:hAnsiTheme="minorEastAsia" w:eastAsiaTheme="minorEastAsia"/>
              </w:rPr>
              <w:t>1</w:t>
            </w:r>
            <w:r>
              <w:rPr>
                <w:rFonts w:hint="eastAsia" w:asciiTheme="minorEastAsia" w:hAnsiTheme="minorEastAsia" w:eastAsiaTheme="minorEastAsia"/>
              </w:rPr>
              <w:t>%股权；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“鄂尔多斯公司”</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兖矿能源（鄂尔多斯）有限公司，于2009年依据中国法律成立的有限责任公司，主要从事煤炭资源和化工项目的开发运营，是本公司的全资子公司；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“昊盛煤业”</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内蒙古昊盛煤业有限公司，于2010年依据中国法律成立的有限责任公司，主要负责内蒙古自治区鄂尔多斯市石拉乌素煤矿的生产运营，是本公司的控股子公司，于本报告期末本公司持有其59.38%股权；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“内蒙古矿业”</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内蒙古矿业（集团）有限责任公司，于2013年依据中国法律成立的有限责任公司，主要从事矿产资源投资与管理、煤炭开采和洗选、矿产品销售及进出口贸易等业务，是本公司的控股子公司，于本报告期末本公司持有其51%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rPr>
                <w:rFonts w:asciiTheme="minorEastAsia" w:hAnsiTheme="minorEastAsia" w:eastAsiaTheme="minorEastAsia"/>
              </w:rPr>
            </w:pPr>
            <w:r>
              <w:rPr>
                <w:rFonts w:hint="eastAsia" w:asciiTheme="minorEastAsia" w:hAnsiTheme="minorEastAsia" w:eastAsiaTheme="minorEastAsia"/>
              </w:rPr>
              <w:t>“未来能源”</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陕西未来能源化工有限公司,于2011年依据中国法律成立的有限责任公司，主要从事化工产品的研发、生产和销售，煤炭开采、销售等业务，是本公司的控股子公司，于本报告期末本公司持有其73.97%股权；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rPr>
                <w:rFonts w:asciiTheme="minorEastAsia" w:hAnsiTheme="minorEastAsia" w:eastAsiaTheme="minorEastAsia"/>
              </w:rPr>
            </w:pPr>
            <w:r>
              <w:rPr>
                <w:rFonts w:hint="eastAsia" w:asciiTheme="minorEastAsia" w:hAnsiTheme="minorEastAsia" w:eastAsiaTheme="minorEastAsia"/>
              </w:rPr>
              <w:t>“新疆能化”</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兖矿新疆能化有限公司，于2</w:t>
            </w:r>
            <w:r>
              <w:rPr>
                <w:rFonts w:asciiTheme="minorEastAsia" w:hAnsiTheme="minorEastAsia" w:eastAsiaTheme="minorEastAsia"/>
              </w:rPr>
              <w:t>007</w:t>
            </w:r>
            <w:r>
              <w:rPr>
                <w:rFonts w:hint="eastAsia" w:asciiTheme="minorEastAsia" w:hAnsiTheme="minorEastAsia" w:eastAsiaTheme="minorEastAsia"/>
              </w:rPr>
              <w:t>年根据中国法律成立的有限责任公司，主要从事煤炭开采、煤炭洗选、化工产品生产、煤炭及制品销售等业务，是本公司的控股子公司，于本报告期末本公司持有其5</w:t>
            </w:r>
            <w:r>
              <w:rPr>
                <w:rFonts w:asciiTheme="minorEastAsia" w:hAnsiTheme="minorEastAsia" w:eastAsiaTheme="minorEastAsia"/>
              </w:rPr>
              <w:t>1%</w:t>
            </w:r>
            <w:r>
              <w:rPr>
                <w:rFonts w:hint="eastAsia" w:asciiTheme="minorEastAsia" w:hAnsiTheme="minorEastAsia" w:eastAsiaTheme="minorEastAsia"/>
              </w:rPr>
              <w:t>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rPr>
                <w:rFonts w:asciiTheme="minorEastAsia" w:hAnsiTheme="minorEastAsia" w:eastAsiaTheme="minorEastAsia"/>
              </w:rPr>
            </w:pPr>
            <w:r>
              <w:rPr>
                <w:rFonts w:hint="eastAsia" w:asciiTheme="minorEastAsia" w:hAnsiTheme="minorEastAsia" w:eastAsiaTheme="minorEastAsia"/>
              </w:rPr>
              <w:t>“鲁南化工”</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兖矿鲁南化工有限公司,于2007年依据中国法律成立的有限责任公司，主要从事化工产品的开发、生产和销售等业务，是本公司的全资子公司；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“榆林能化”</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兖州煤业榆林能化有限公司，于2004年依据中国法律成立的有限责任公司，主要从事化工项目的生产运营，是本公司的全资子公司；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“东华重工”</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兖矿东华重工有限公司，于2013年依据中国法律成立的有限责任公司，主要从事矿用设备和机电设备、配件的设计、制造、安装及维修等业务，是本公司的全资子公司；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“兖矿租赁”</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矿融资租赁有限公司（原“中垠融资租赁有限公司”，2023年3月更名为“兖矿融资租赁有限公司”），于2014年依据中国法律成立的有限责任公司，主要从事融资租赁业务、租赁业务、租赁交易咨询和担保、与主营业务有关的商业保理业务等，是本公司的全资附属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“山能财司”</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山东能源集团财务有限公司，于</w:t>
            </w:r>
            <w:r>
              <w:rPr>
                <w:rFonts w:asciiTheme="minorEastAsia" w:hAnsiTheme="minorEastAsia" w:eastAsiaTheme="minorEastAsia"/>
              </w:rPr>
              <w:t>2013年依据中国法律成立的有限责任公司，</w:t>
            </w:r>
            <w:r>
              <w:rPr>
                <w:rFonts w:hint="eastAsia" w:asciiTheme="minorEastAsia" w:hAnsiTheme="minorEastAsia" w:eastAsiaTheme="minorEastAsia"/>
              </w:rPr>
              <w:t>2</w:t>
            </w:r>
            <w:r>
              <w:rPr>
                <w:rFonts w:asciiTheme="minorEastAsia" w:hAnsiTheme="minorEastAsia" w:eastAsiaTheme="minorEastAsia"/>
              </w:rPr>
              <w:t>023</w:t>
            </w:r>
            <w:r>
              <w:rPr>
                <w:rFonts w:hint="eastAsia" w:asciiTheme="minorEastAsia" w:hAnsiTheme="minorEastAsia" w:eastAsiaTheme="minorEastAsia"/>
              </w:rPr>
              <w:t>年吸收合并原兖矿集团财务有限公司（“兖矿财司”，已注销），是本公司的控股子公司，于本报告期末本公司持有其5</w:t>
            </w:r>
            <w:r>
              <w:rPr>
                <w:rFonts w:asciiTheme="minorEastAsia" w:hAnsiTheme="minorEastAsia" w:eastAsiaTheme="minorEastAsia"/>
              </w:rPr>
              <w:t>3.92%股权；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“兖煤澳洲”</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兖煤澳大利亚有限公司，于2004年依据澳大利亚法律成立的有限公司，其股份分别在澳大利亚证券交易所及香港联交所上市，是本公司的控股子公司，于本报告期末本公司持有其约62.26%股权；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“兖煤国际”</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兖煤国际(控股)有限公司，于2011年依据香港法律成立的有限公司，是本公司的全资子公司；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“兖煤国际资源”</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兖煤国际资源开发有限公司，于2011年依据香港法律成立的有限公司，是兖煤国际的全资子公司；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“H股”</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本公司股本中每股面值人民币1.00元的境外上市外资股，在香港联交所上市；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“A股”</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本公司股本中每股面值人民币1.00元的内资股，在上交所上市；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“中国”</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中华人民共和国；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“香港”</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中华人民共和国香港特别行政区；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“中国会计准则”</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中国财政部颁发的企业会计准则及有关讲解；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“国际财务报告准则”</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vAlign w:val="center"/>
          </w:tcPr>
          <w:p>
            <w:pPr>
              <w:rPr>
                <w:rFonts w:asciiTheme="minorEastAsia" w:hAnsiTheme="minorEastAsia" w:eastAsiaTheme="minorEastAsia"/>
              </w:rPr>
            </w:pPr>
            <w:r>
              <w:rPr>
                <w:rFonts w:hint="eastAsia" w:asciiTheme="minorEastAsia" w:hAnsiTheme="minorEastAsia" w:eastAsiaTheme="minorEastAsia"/>
              </w:rPr>
              <w:t>国际会计准则理事会发布的国际财务报告准则；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“中国证监会”</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中国证券监督管理委员会；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“香港上市规则”</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香港联合交易所有限公司证券上市规则；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“香港联交所”</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香港联合交易所有限公司；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“上交所”</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上海证券交易所；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“《公司法》”</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《中华人民共和国公司法》；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“《证券法》”</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《中华人民共和国证券法》；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“《公司章程》”</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本公司章程；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rPr>
                <w:rFonts w:asciiTheme="minorEastAsia" w:hAnsiTheme="minorEastAsia" w:eastAsiaTheme="minorEastAsia"/>
              </w:rPr>
            </w:pPr>
            <w:r>
              <w:rPr>
                <w:rFonts w:asciiTheme="minorEastAsia" w:hAnsiTheme="minorEastAsia" w:eastAsiaTheme="minorEastAsia"/>
              </w:rPr>
              <w:t>“JORC”</w:t>
            </w:r>
          </w:p>
        </w:tc>
        <w:tc>
          <w:tcPr>
            <w:tcW w:w="567" w:type="dxa"/>
            <w:vAlign w:val="center"/>
          </w:tcPr>
          <w:p>
            <w:pPr>
              <w:jc w:val="center"/>
              <w:rPr>
                <w:rFonts w:asciiTheme="minorEastAsia" w:hAnsiTheme="minorEastAsia" w:eastAsiaTheme="minorEastAsia"/>
              </w:rPr>
            </w:pPr>
            <w:r>
              <w:rPr>
                <w:rFonts w:asciiTheme="minorEastAsia" w:hAnsiTheme="minorEastAsia" w:eastAsiaTheme="minorEastAsia"/>
              </w:rPr>
              <w:t>指</w:t>
            </w:r>
          </w:p>
        </w:tc>
        <w:tc>
          <w:tcPr>
            <w:tcW w:w="6134" w:type="dxa"/>
          </w:tcPr>
          <w:p>
            <w:pPr>
              <w:rPr>
                <w:rFonts w:asciiTheme="minorEastAsia" w:hAnsiTheme="minorEastAsia" w:eastAsiaTheme="minorEastAsia"/>
              </w:rPr>
            </w:pPr>
            <w:r>
              <w:rPr>
                <w:rFonts w:asciiTheme="minorEastAsia" w:hAnsiTheme="minorEastAsia" w:eastAsiaTheme="minorEastAsia"/>
              </w:rPr>
              <w:t>由澳大拉西亚矿业与冶金学会、澳大利亚地质科学家学会及澳大利亚矿产理事会组成的矿石储量联合委员会；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rPr>
                <w:rFonts w:asciiTheme="minorEastAsia" w:hAnsiTheme="minorEastAsia" w:eastAsiaTheme="minorEastAsia"/>
              </w:rPr>
            </w:pPr>
            <w:r>
              <w:rPr>
                <w:rFonts w:asciiTheme="minorEastAsia" w:hAnsiTheme="minorEastAsia" w:eastAsiaTheme="minorEastAsia"/>
              </w:rPr>
              <w:t>“JORC规范”</w:t>
            </w:r>
          </w:p>
        </w:tc>
        <w:tc>
          <w:tcPr>
            <w:tcW w:w="567" w:type="dxa"/>
            <w:vAlign w:val="center"/>
          </w:tcPr>
          <w:p>
            <w:pPr>
              <w:jc w:val="center"/>
              <w:rPr>
                <w:rFonts w:asciiTheme="minorEastAsia" w:hAnsiTheme="minorEastAsia" w:eastAsiaTheme="minorEastAsia"/>
              </w:rPr>
            </w:pPr>
            <w:r>
              <w:rPr>
                <w:rFonts w:asciiTheme="minorEastAsia" w:hAnsiTheme="minorEastAsia" w:eastAsiaTheme="minorEastAsia"/>
              </w:rPr>
              <w:t>指</w:t>
            </w:r>
          </w:p>
        </w:tc>
        <w:tc>
          <w:tcPr>
            <w:tcW w:w="6134" w:type="dxa"/>
          </w:tcPr>
          <w:p>
            <w:pPr>
              <w:rPr>
                <w:rFonts w:asciiTheme="minorEastAsia" w:hAnsiTheme="minorEastAsia" w:eastAsiaTheme="minorEastAsia"/>
              </w:rPr>
            </w:pPr>
            <w:r>
              <w:rPr>
                <w:rFonts w:asciiTheme="minorEastAsia" w:hAnsiTheme="minorEastAsia" w:eastAsiaTheme="minorEastAsia"/>
              </w:rPr>
              <w:t>澳大拉西亚勘查结果、矿产资源量与矿石储量报告规范，2012版；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“股东”</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本公司股东；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“董事”</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本公司董事；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“董事会”</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本公司董事会；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“监事”</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本公司监事；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“监事会”</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本公司监事会；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“元”</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人民币元，中国法定货币，除非文义另有所指；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“澳元”</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澳元，澳大利亚法定货币；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“美元”</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美元，美国法定货币；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jc w:val="left"/>
              <w:rPr>
                <w:rFonts w:asciiTheme="minorEastAsia" w:hAnsiTheme="minorEastAsia" w:eastAsiaTheme="minorEastAsia"/>
              </w:rPr>
            </w:pPr>
            <w:r>
              <w:rPr>
                <w:rFonts w:hint="eastAsia" w:asciiTheme="minorEastAsia" w:hAnsiTheme="minorEastAsia" w:eastAsiaTheme="minorEastAsia"/>
              </w:rPr>
              <w:t>“港元”</w:t>
            </w:r>
          </w:p>
        </w:tc>
        <w:tc>
          <w:tcPr>
            <w:tcW w:w="567" w:type="dxa"/>
            <w:vAlign w:val="center"/>
          </w:tcPr>
          <w:p>
            <w:pPr>
              <w:jc w:val="center"/>
              <w:rPr>
                <w:rFonts w:asciiTheme="minorEastAsia" w:hAnsiTheme="minorEastAsia" w:eastAsiaTheme="minorEastAsia"/>
              </w:rPr>
            </w:pPr>
            <w:r>
              <w:rPr>
                <w:rFonts w:hint="eastAsia" w:asciiTheme="minorEastAsia" w:hAnsiTheme="minorEastAsia" w:eastAsiaTheme="minorEastAsia"/>
              </w:rPr>
              <w:t>指</w:t>
            </w:r>
          </w:p>
        </w:tc>
        <w:tc>
          <w:tcPr>
            <w:tcW w:w="6134" w:type="dxa"/>
          </w:tcPr>
          <w:p>
            <w:pPr>
              <w:rPr>
                <w:rFonts w:asciiTheme="minorEastAsia" w:hAnsiTheme="minorEastAsia" w:eastAsiaTheme="minorEastAsia"/>
              </w:rPr>
            </w:pPr>
            <w:r>
              <w:rPr>
                <w:rFonts w:hint="eastAsia" w:asciiTheme="minorEastAsia" w:hAnsiTheme="minorEastAsia" w:eastAsiaTheme="minorEastAsia"/>
              </w:rPr>
              <w:t>港元，香港法定货币。</w:t>
            </w:r>
          </w:p>
        </w:tc>
      </w:tr>
    </w:tbl>
    <w:p>
      <w:pPr>
        <w:pStyle w:val="501"/>
      </w:pPr>
    </w:p>
    <w:p>
      <w:pPr>
        <w:pStyle w:val="501"/>
      </w:pPr>
      <w:r>
        <w:br w:type="page"/>
      </w:r>
    </w:p>
    <w:p>
      <w:pPr>
        <w:pStyle w:val="2"/>
        <w:numPr>
          <w:ilvl w:val="0"/>
          <w:numId w:val="2"/>
        </w:numPr>
        <w:rPr>
          <w:color w:val="FF0000"/>
          <w:u w:val="single"/>
        </w:rPr>
      </w:pPr>
      <w:bookmarkStart w:id="8" w:name="_Toc436392762"/>
      <w:bookmarkStart w:id="9" w:name="_Toc407111355"/>
      <w:bookmarkStart w:id="10" w:name="_Toc158217549"/>
      <w:r>
        <w:rPr>
          <w:rFonts w:hint="eastAsia"/>
        </w:rPr>
        <w:t>公司简介</w:t>
      </w:r>
      <w:bookmarkEnd w:id="8"/>
      <w:bookmarkEnd w:id="9"/>
      <w:r>
        <w:rPr>
          <w:rFonts w:hint="eastAsia"/>
        </w:rPr>
        <w:t>和主要财务指标</w:t>
      </w:r>
      <w:bookmarkEnd w:id="10"/>
    </w:p>
    <w:p>
      <w:pPr>
        <w:pStyle w:val="3"/>
        <w:numPr>
          <w:ilvl w:val="1"/>
          <w:numId w:val="4"/>
        </w:numPr>
        <w:ind w:left="498" w:hanging="498" w:hangingChars="236"/>
        <w:rPr>
          <w:color w:val="FF0000"/>
          <w:u w:val="single"/>
        </w:rPr>
      </w:pPr>
      <w:r>
        <w:rPr>
          <w:rFonts w:hint="eastAsia"/>
        </w:rPr>
        <w:t>公司信息</w:t>
      </w:r>
    </w:p>
    <w:tbl>
      <w:tblPr>
        <w:tblStyle w:val="13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宋体" w:hAnsi="宋体"/>
            </w:rPr>
            <w:tag w:val="_PLD_76a4e08611bc46959c5497248a51b877"/>
            <w:id w:val="9193578"/>
          </w:sdtPr>
          <w:sdtEndPr>
            <w:rPr>
              <w:rFonts w:ascii="宋体" w:hAnsi="宋体"/>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宋体" w:hAnsi="宋体"/>
                  </w:rPr>
                </w:pPr>
                <w:r>
                  <w:rPr>
                    <w:rFonts w:hint="eastAsia" w:ascii="宋体" w:hAnsi="宋体"/>
                  </w:rPr>
                  <w:t>公司的中文名称</w:t>
                </w:r>
              </w:p>
            </w:tc>
          </w:sdtContent>
        </w:sdt>
        <w:sdt>
          <w:sdtPr>
            <w:rPr>
              <w:rFonts w:hint="eastAsia" w:ascii="宋体" w:hAnsi="宋体"/>
            </w:rPr>
            <w:alias w:val="公司法定中文名称"/>
            <w:tag w:val="_GBC_7adfc39908d049d2970c391497a360e4"/>
            <w:id w:val="1435631143"/>
            <w:dataBinding w:prefixMappings="xmlns:clcid-cgi='clcid-cgi'" w:xpath="/*/clcid-cgi:GongSiFaDingZhongWenMingCheng[not(@periodRef)]" w:storeItemID="{89EBAB94-44A0-46A2-B712-30D997D04A6D}"/>
            <w:text/>
          </w:sdtPr>
          <w:sdtEndPr>
            <w:rPr>
              <w:rFonts w:hint="eastAsia" w:ascii="宋体" w:hAnsi="宋体"/>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color w:val="FFC000"/>
                  </w:rPr>
                </w:pPr>
                <w:r>
                  <w:rPr>
                    <w:rFonts w:hint="eastAsia" w:ascii="宋体" w:hAnsi="宋体"/>
                  </w:rPr>
                  <w:t>兖矿能源集团股份有限公司</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宋体" w:hAnsi="宋体"/>
              </w:rPr>
            </w:pPr>
            <w:r>
              <w:rPr>
                <w:rFonts w:hint="eastAsia" w:ascii="宋体" w:hAnsi="宋体"/>
              </w:rPr>
              <w:t>公司的中文简称</w:t>
            </w:r>
          </w:p>
        </w:tc>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hint="eastAsia" w:ascii="宋体" w:hAnsi="宋体"/>
              </w:rPr>
              <w:t>兖矿能源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宋体" w:hAnsi="宋体"/>
              </w:rPr>
            </w:pPr>
            <w:r>
              <w:rPr>
                <w:rFonts w:ascii="宋体" w:hAnsi="宋体"/>
              </w:rPr>
              <w:t>公司的外文名称</w:t>
            </w:r>
          </w:p>
        </w:tc>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ascii="宋体" w:hAnsi="宋体"/>
              </w:rPr>
              <w:t>Yankuang Energy Group Company Limited</w:t>
            </w:r>
            <w:r>
              <w:rPr>
                <w:rFonts w:ascii="宋体" w:hAnsi="宋体"/>
                <w:vertAlign w:val="superscript"/>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宋体" w:hAnsi="宋体"/>
              </w:rPr>
            </w:pPr>
            <w:r>
              <w:rPr>
                <w:rFonts w:ascii="宋体" w:hAnsi="宋体"/>
              </w:rPr>
              <w:t>公司的外文名称缩写</w:t>
            </w:r>
          </w:p>
        </w:tc>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ascii="宋体" w:hAnsi="宋体"/>
              </w:rPr>
              <w:t>YANKUANG ENERGY</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宋体" w:hAnsi="宋体"/>
              </w:rPr>
            </w:pPr>
            <w:r>
              <w:rPr>
                <w:rFonts w:ascii="宋体" w:hAnsi="宋体"/>
              </w:rPr>
              <w:t>公司的法定代表人</w:t>
            </w:r>
          </w:p>
        </w:tc>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hint="eastAsia" w:ascii="宋体" w:hAnsi="宋体"/>
              </w:rPr>
              <w:t>李伟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宋体" w:hAnsi="宋体"/>
              </w:rPr>
            </w:pPr>
            <w:r>
              <w:rPr>
                <w:rFonts w:hint="eastAsia" w:ascii="宋体" w:hAnsi="宋体"/>
              </w:rPr>
              <w:t>香港联交所授权代表</w:t>
            </w:r>
          </w:p>
        </w:tc>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hint="eastAsia" w:ascii="宋体" w:hAnsi="宋体"/>
              </w:rPr>
              <w:t>苏力、黄霄龙</w:t>
            </w:r>
          </w:p>
        </w:tc>
      </w:tr>
    </w:tbl>
    <w:p>
      <w:pPr>
        <w:rPr>
          <w:rFonts w:ascii="宋体" w:hAnsi="宋体"/>
          <w:i/>
        </w:rPr>
      </w:pPr>
      <w:r>
        <w:rPr>
          <w:rFonts w:hint="eastAsia" w:ascii="宋体" w:hAnsi="宋体"/>
        </w:rPr>
        <w:t>*</w:t>
      </w:r>
      <w:r>
        <w:rPr>
          <w:rFonts w:hint="eastAsia" w:ascii="宋体" w:hAnsi="宋体"/>
          <w:i/>
        </w:rPr>
        <w:t>仅供识别</w:t>
      </w:r>
    </w:p>
    <w:p>
      <w:pPr>
        <w:pStyle w:val="43"/>
      </w:pPr>
    </w:p>
    <w:p>
      <w:pPr>
        <w:pStyle w:val="3"/>
        <w:numPr>
          <w:ilvl w:val="1"/>
          <w:numId w:val="4"/>
        </w:numPr>
        <w:ind w:left="498" w:hanging="498" w:hangingChars="236"/>
        <w:rPr>
          <w:rFonts w:ascii="宋体" w:hAnsi="宋体"/>
        </w:rPr>
      </w:pPr>
      <w:r>
        <w:rPr>
          <w:rFonts w:hint="eastAsia" w:ascii="宋体" w:hAnsi="宋体"/>
        </w:rPr>
        <w:t>联系人和联系方式</w:t>
      </w:r>
    </w:p>
    <w:tbl>
      <w:tblPr>
        <w:tblStyle w:val="13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280"/>
        <w:gridCol w:w="3289"/>
        <w:gridCol w:w="3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1" w:hRule="atLeast"/>
        </w:trPr>
        <w:tc>
          <w:tcPr>
            <w:tcW w:w="1282"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宋体" w:hAnsi="宋体"/>
              </w:rPr>
            </w:pPr>
          </w:p>
        </w:tc>
        <w:tc>
          <w:tcPr>
            <w:tcW w:w="1849" w:type="pct"/>
            <w:tcBorders>
              <w:top w:val="single" w:color="auto" w:sz="4" w:space="0"/>
              <w:left w:val="single" w:color="auto" w:sz="4" w:space="0"/>
              <w:bottom w:val="single" w:color="auto" w:sz="4" w:space="0"/>
              <w:right w:val="single" w:color="auto" w:sz="4" w:space="0"/>
            </w:tcBorders>
            <w:shd w:val="clear" w:color="auto" w:fill="auto"/>
          </w:tcPr>
          <w:p>
            <w:pPr>
              <w:pStyle w:val="15"/>
              <w:kinsoku w:val="0"/>
              <w:overflowPunct w:val="0"/>
              <w:autoSpaceDE w:val="0"/>
              <w:autoSpaceDN w:val="0"/>
              <w:adjustRightInd w:val="0"/>
              <w:snapToGrid w:val="0"/>
              <w:jc w:val="center"/>
              <w:rPr>
                <w:rFonts w:ascii="宋体" w:hAnsi="宋体"/>
                <w:color w:val="008000"/>
              </w:rPr>
            </w:pPr>
            <w:sdt>
              <w:sdtPr>
                <w:rPr>
                  <w:rFonts w:ascii="宋体" w:hAnsi="宋体"/>
                </w:rPr>
                <w:tag w:val="_PLD_e3b56ea4d9044947a48312d084d6e0c4"/>
                <w:id w:val="-1995171639"/>
              </w:sdtPr>
              <w:sdtEndPr>
                <w:rPr>
                  <w:rFonts w:ascii="宋体" w:hAnsi="宋体"/>
                </w:rPr>
              </w:sdtEndPr>
              <w:sdtContent>
                <w:r>
                  <w:rPr>
                    <w:rFonts w:hint="eastAsia" w:ascii="宋体" w:hAnsi="宋体" w:cs="宋体"/>
                  </w:rPr>
                  <w:t>董事会秘书</w:t>
                </w:r>
              </w:sdtContent>
            </w:sdt>
          </w:p>
        </w:tc>
        <w:sdt>
          <w:sdtPr>
            <w:rPr>
              <w:rFonts w:ascii="宋体" w:hAnsi="宋体"/>
            </w:rPr>
            <w:tag w:val="_PLD_3c890d5ebae5433cbd8a04f8846a0d9c"/>
            <w:id w:val="623735205"/>
          </w:sdtPr>
          <w:sdtEndPr>
            <w:rPr>
              <w:rFonts w:ascii="宋体" w:hAnsi="宋体"/>
            </w:rPr>
          </w:sdtEndPr>
          <w:sdtContent>
            <w:tc>
              <w:tcPr>
                <w:tcW w:w="1870" w:type="pct"/>
                <w:tcBorders>
                  <w:top w:val="single" w:color="auto" w:sz="4" w:space="0"/>
                  <w:left w:val="single" w:color="auto" w:sz="4" w:space="0"/>
                  <w:bottom w:val="single" w:color="auto" w:sz="4" w:space="0"/>
                </w:tcBorders>
                <w:shd w:val="clear" w:color="auto" w:fill="auto"/>
              </w:tcPr>
              <w:p>
                <w:pPr>
                  <w:pStyle w:val="15"/>
                  <w:kinsoku w:val="0"/>
                  <w:overflowPunct w:val="0"/>
                  <w:autoSpaceDE w:val="0"/>
                  <w:autoSpaceDN w:val="0"/>
                  <w:adjustRightInd w:val="0"/>
                  <w:snapToGrid w:val="0"/>
                  <w:jc w:val="center"/>
                  <w:rPr>
                    <w:rFonts w:ascii="宋体" w:hAnsi="宋体" w:cs="宋体"/>
                  </w:rPr>
                </w:pPr>
                <w:r>
                  <w:rPr>
                    <w:rFonts w:hint="eastAsia" w:ascii="宋体" w:hAnsi="宋体" w:cs="宋体"/>
                  </w:rPr>
                  <w:t>证券事务代表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282"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hint="eastAsia" w:ascii="宋体" w:hAnsi="宋体"/>
              </w:rPr>
              <w:t>姓名</w:t>
            </w:r>
          </w:p>
        </w:tc>
        <w:tc>
          <w:tcPr>
            <w:tcW w:w="1849"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rPr>
                <w:rFonts w:ascii="宋体" w:hAnsi="宋体"/>
              </w:rPr>
            </w:pPr>
            <w:r>
              <w:rPr>
                <w:rFonts w:hint="eastAsia" w:ascii="宋体" w:hAnsi="宋体"/>
              </w:rPr>
              <w:t>黄霄龙</w:t>
            </w:r>
          </w:p>
        </w:tc>
        <w:tc>
          <w:tcPr>
            <w:tcW w:w="1870"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rPr>
                <w:rFonts w:ascii="宋体" w:hAnsi="宋体"/>
              </w:rPr>
            </w:pPr>
            <w:r>
              <w:rPr>
                <w:rFonts w:hint="eastAsia" w:ascii="宋体" w:hAnsi="宋体"/>
              </w:rPr>
              <w:t>商晓宇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282"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hint="eastAsia" w:ascii="宋体" w:hAnsi="宋体"/>
              </w:rPr>
              <w:t>联系地址</w:t>
            </w:r>
          </w:p>
        </w:tc>
        <w:tc>
          <w:tcPr>
            <w:tcW w:w="1849"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rPr>
                <w:rFonts w:ascii="宋体" w:hAnsi="宋体"/>
              </w:rPr>
            </w:pPr>
            <w:r>
              <w:rPr>
                <w:rFonts w:hint="eastAsia" w:ascii="宋体" w:hAnsi="宋体"/>
              </w:rPr>
              <w:t>中国山东省邹城市凫山南路</w:t>
            </w:r>
            <w:r>
              <w:rPr>
                <w:rFonts w:ascii="宋体" w:hAnsi="宋体"/>
              </w:rPr>
              <w:t>949号</w:t>
            </w:r>
          </w:p>
          <w:p>
            <w:pPr>
              <w:kinsoku w:val="0"/>
              <w:overflowPunct w:val="0"/>
              <w:autoSpaceDE w:val="0"/>
              <w:autoSpaceDN w:val="0"/>
              <w:adjustRightInd w:val="0"/>
              <w:snapToGrid w:val="0"/>
              <w:rPr>
                <w:rFonts w:ascii="宋体" w:hAnsi="宋体"/>
              </w:rPr>
            </w:pPr>
            <w:r>
              <w:rPr>
                <w:rFonts w:hint="eastAsia" w:ascii="宋体" w:hAnsi="宋体"/>
              </w:rPr>
              <w:t>兖矿能源集团股份有限公司董事会秘书处</w:t>
            </w:r>
          </w:p>
        </w:tc>
        <w:tc>
          <w:tcPr>
            <w:tcW w:w="1870"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rPr>
                <w:rFonts w:ascii="宋体" w:hAnsi="宋体"/>
              </w:rPr>
            </w:pPr>
            <w:r>
              <w:rPr>
                <w:rFonts w:hint="eastAsia" w:ascii="宋体" w:hAnsi="宋体"/>
              </w:rPr>
              <w:t>中国山东省邹城市凫山南路</w:t>
            </w:r>
            <w:r>
              <w:rPr>
                <w:rFonts w:ascii="宋体" w:hAnsi="宋体"/>
              </w:rPr>
              <w:t>949号</w:t>
            </w:r>
          </w:p>
          <w:p>
            <w:pPr>
              <w:kinsoku w:val="0"/>
              <w:overflowPunct w:val="0"/>
              <w:autoSpaceDE w:val="0"/>
              <w:autoSpaceDN w:val="0"/>
              <w:adjustRightInd w:val="0"/>
              <w:snapToGrid w:val="0"/>
              <w:rPr>
                <w:rFonts w:ascii="宋体" w:hAnsi="宋体"/>
              </w:rPr>
            </w:pPr>
            <w:r>
              <w:rPr>
                <w:rFonts w:hint="eastAsia" w:ascii="宋体" w:hAnsi="宋体"/>
              </w:rPr>
              <w:t>兖矿能源集团股份有限公司董事会秘书处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282"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ascii="宋体" w:hAnsi="宋体"/>
              </w:rPr>
              <w:t>电话</w:t>
            </w:r>
          </w:p>
        </w:tc>
        <w:tc>
          <w:tcPr>
            <w:tcW w:w="1849"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rPr>
                <w:rFonts w:ascii="宋体" w:hAnsi="宋体"/>
              </w:rPr>
            </w:pPr>
            <w:r>
              <w:rPr>
                <w:rFonts w:hint="eastAsia" w:ascii="宋体" w:hAnsi="宋体"/>
              </w:rPr>
              <w:t>（</w:t>
            </w:r>
            <w:r>
              <w:rPr>
                <w:rFonts w:ascii="宋体" w:hAnsi="宋体"/>
              </w:rPr>
              <w:t>86 537）538 2319</w:t>
            </w:r>
          </w:p>
        </w:tc>
        <w:tc>
          <w:tcPr>
            <w:tcW w:w="1870"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rPr>
                <w:rFonts w:ascii="宋体" w:hAnsi="宋体"/>
              </w:rPr>
            </w:pPr>
            <w:r>
              <w:rPr>
                <w:rFonts w:hint="eastAsia" w:ascii="宋体" w:hAnsi="宋体"/>
              </w:rPr>
              <w:t>（</w:t>
            </w:r>
            <w:r>
              <w:rPr>
                <w:rFonts w:ascii="宋体" w:hAnsi="宋体"/>
              </w:rPr>
              <w:t>86 537）539 2377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282"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ascii="宋体" w:hAnsi="宋体"/>
              </w:rPr>
              <w:t>传真</w:t>
            </w:r>
          </w:p>
        </w:tc>
        <w:tc>
          <w:tcPr>
            <w:tcW w:w="1849"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rPr>
                <w:rFonts w:ascii="宋体" w:hAnsi="宋体"/>
              </w:rPr>
            </w:pPr>
            <w:r>
              <w:rPr>
                <w:rFonts w:hint="eastAsia" w:ascii="宋体" w:hAnsi="宋体"/>
              </w:rPr>
              <w:t>（86</w:t>
            </w:r>
            <w:r>
              <w:rPr>
                <w:rFonts w:ascii="宋体" w:hAnsi="宋体"/>
              </w:rPr>
              <w:t xml:space="preserve"> </w:t>
            </w:r>
            <w:r>
              <w:rPr>
                <w:rFonts w:hint="eastAsia" w:ascii="宋体" w:hAnsi="宋体"/>
              </w:rPr>
              <w:t>537）538</w:t>
            </w:r>
            <w:r>
              <w:rPr>
                <w:rFonts w:ascii="宋体" w:hAnsi="宋体"/>
              </w:rPr>
              <w:t xml:space="preserve"> </w:t>
            </w:r>
            <w:r>
              <w:rPr>
                <w:rFonts w:hint="eastAsia" w:ascii="宋体" w:hAnsi="宋体"/>
              </w:rPr>
              <w:t>3311</w:t>
            </w:r>
          </w:p>
        </w:tc>
        <w:tc>
          <w:tcPr>
            <w:tcW w:w="1870"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rPr>
                <w:rFonts w:ascii="宋体" w:hAnsi="宋体"/>
              </w:rPr>
            </w:pPr>
            <w:r>
              <w:rPr>
                <w:rFonts w:hint="eastAsia" w:ascii="宋体" w:hAnsi="宋体"/>
              </w:rPr>
              <w:t>（86</w:t>
            </w:r>
            <w:r>
              <w:rPr>
                <w:rFonts w:ascii="宋体" w:hAnsi="宋体"/>
              </w:rPr>
              <w:t xml:space="preserve"> </w:t>
            </w:r>
            <w:r>
              <w:rPr>
                <w:rFonts w:hint="eastAsia" w:ascii="宋体" w:hAnsi="宋体"/>
              </w:rPr>
              <w:t>537）538</w:t>
            </w:r>
            <w:r>
              <w:rPr>
                <w:rFonts w:ascii="宋体" w:hAnsi="宋体"/>
              </w:rPr>
              <w:t xml:space="preserve"> </w:t>
            </w:r>
            <w:r>
              <w:rPr>
                <w:rFonts w:hint="eastAsia" w:ascii="宋体" w:hAnsi="宋体"/>
              </w:rPr>
              <w:t>3311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282"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ascii="宋体" w:hAnsi="宋体"/>
              </w:rPr>
              <w:t>电子信箱</w:t>
            </w:r>
          </w:p>
        </w:tc>
        <w:tc>
          <w:tcPr>
            <w:tcW w:w="1849" w:type="pct"/>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adjustRightInd w:val="0"/>
              <w:snapToGrid w:val="0"/>
              <w:rPr>
                <w:rFonts w:ascii="宋体" w:hAnsi="宋体"/>
              </w:rPr>
            </w:pPr>
            <w:r>
              <w:rPr>
                <w:rFonts w:ascii="宋体" w:hAnsi="宋体"/>
              </w:rPr>
              <w:t>yzc@yanzhoucoal.com.cn</w:t>
            </w:r>
          </w:p>
        </w:tc>
        <w:tc>
          <w:tcPr>
            <w:tcW w:w="1870" w:type="pct"/>
            <w:tcBorders>
              <w:top w:val="single" w:color="auto" w:sz="4" w:space="0"/>
              <w:left w:val="single" w:color="auto" w:sz="4" w:space="0"/>
              <w:bottom w:val="single" w:color="auto" w:sz="4" w:space="0"/>
            </w:tcBorders>
            <w:vAlign w:val="center"/>
          </w:tcPr>
          <w:p>
            <w:pPr>
              <w:kinsoku w:val="0"/>
              <w:overflowPunct w:val="0"/>
              <w:autoSpaceDE w:val="0"/>
              <w:autoSpaceDN w:val="0"/>
              <w:adjustRightInd w:val="0"/>
              <w:snapToGrid w:val="0"/>
              <w:rPr>
                <w:rFonts w:ascii="宋体" w:hAnsi="宋体"/>
              </w:rPr>
            </w:pPr>
            <w:r>
              <w:rPr>
                <w:rFonts w:ascii="宋体" w:hAnsi="宋体"/>
              </w:rPr>
              <w:t>xyshang.yzc@163.com</w:t>
            </w:r>
          </w:p>
        </w:tc>
      </w:tr>
    </w:tbl>
    <w:p>
      <w:pPr>
        <w:pStyle w:val="43"/>
      </w:pPr>
    </w:p>
    <w:p>
      <w:pPr>
        <w:pStyle w:val="3"/>
        <w:numPr>
          <w:ilvl w:val="1"/>
          <w:numId w:val="4"/>
        </w:numPr>
        <w:ind w:left="498" w:hanging="498" w:hangingChars="236"/>
        <w:rPr>
          <w:rFonts w:ascii="宋体" w:hAnsi="宋体"/>
        </w:rPr>
      </w:pPr>
      <w:r>
        <w:rPr>
          <w:rFonts w:ascii="宋体" w:hAnsi="宋体"/>
        </w:rPr>
        <w:t>基本情况</w:t>
      </w:r>
      <w:r>
        <w:rPr>
          <w:rFonts w:hint="eastAsia" w:ascii="宋体" w:hAnsi="宋体"/>
        </w:rPr>
        <w:t>简介</w:t>
      </w:r>
    </w:p>
    <w:tbl>
      <w:tblPr>
        <w:tblStyle w:val="13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宋体" w:hAnsi="宋体"/>
            </w:rPr>
            <w:tag w:val="_PLD_65800154c9f246eeaabfb6d49f89b105"/>
            <w:id w:val="431710085"/>
          </w:sdtPr>
          <w:sdtEndPr>
            <w:rPr>
              <w:rFonts w:ascii="宋体" w:hAnsi="宋体"/>
            </w:rPr>
          </w:sdtEndPr>
          <w:sdtContent>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ascii="宋体" w:hAnsi="宋体"/>
                  </w:rPr>
                  <w:t>公司注册地址</w:t>
                </w:r>
              </w:p>
            </w:tc>
          </w:sdtContent>
        </w:sdt>
        <w:sdt>
          <w:sdtPr>
            <w:rPr>
              <w:rFonts w:ascii="宋体" w:hAnsi="宋体"/>
            </w:rPr>
            <w:alias w:val="公司注册地址"/>
            <w:tag w:val="_GBC_89833c4f8593417f8d5751e5d0001721"/>
            <w:id w:val="-769004928"/>
          </w:sdtPr>
          <w:sdtEndPr>
            <w:rPr>
              <w:rFonts w:ascii="宋体" w:hAnsi="宋体"/>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hint="eastAsia" w:ascii="宋体" w:hAnsi="宋体"/>
                  </w:rPr>
                  <w:t>中国山东省邹城市凫山南路</w:t>
                </w:r>
                <w:r>
                  <w:rPr>
                    <w:rFonts w:ascii="宋体" w:hAnsi="宋体"/>
                  </w:rPr>
                  <w:t>949号</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ascii="宋体" w:hAnsi="宋体"/>
              </w:rPr>
              <w:t>公司办公地址</w:t>
            </w:r>
          </w:p>
        </w:tc>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hint="eastAsia" w:ascii="宋体" w:hAnsi="宋体"/>
              </w:rPr>
              <w:t>中国山东省邹城市凫山南路</w:t>
            </w:r>
            <w:r>
              <w:rPr>
                <w:rFonts w:ascii="宋体" w:hAnsi="宋体"/>
              </w:rPr>
              <w:t>949号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ascii="宋体" w:hAnsi="宋体"/>
              </w:rPr>
              <w:t>公司办公地址的邮政编码</w:t>
            </w:r>
          </w:p>
        </w:tc>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ascii="宋体" w:hAnsi="宋体"/>
              </w:rPr>
              <w:t>273500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ascii="宋体" w:hAnsi="宋体"/>
              </w:rPr>
              <w:t>公司网址</w:t>
            </w:r>
          </w:p>
        </w:tc>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ascii="宋体" w:hAnsi="宋体"/>
              </w:rPr>
              <w:t>http://www.ykenergy.com/</w:t>
            </w:r>
          </w:p>
          <w:p>
            <w:pPr>
              <w:kinsoku w:val="0"/>
              <w:overflowPunct w:val="0"/>
              <w:autoSpaceDE w:val="0"/>
              <w:autoSpaceDN w:val="0"/>
              <w:adjustRightInd w:val="0"/>
              <w:snapToGrid w:val="0"/>
              <w:rPr>
                <w:rFonts w:ascii="宋体" w:hAnsi="宋体"/>
              </w:rPr>
            </w:pPr>
            <w:r>
              <w:rPr>
                <w:rFonts w:ascii="宋体" w:hAnsi="宋体"/>
              </w:rPr>
              <w:t>http://www.yanzhoucoal.com.cn/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ascii="宋体" w:hAnsi="宋体"/>
              </w:rPr>
              <w:t>电子信箱</w:t>
            </w:r>
          </w:p>
        </w:tc>
        <w:tc>
          <w:tcPr>
            <w:tcW w:w="2831" w:type="pct"/>
            <w:tcBorders>
              <w:top w:val="single" w:color="auto" w:sz="4" w:space="0"/>
              <w:left w:val="single" w:color="auto" w:sz="4" w:space="0"/>
              <w:bottom w:val="single" w:color="auto" w:sz="4" w:space="0"/>
            </w:tcBorders>
          </w:tcPr>
          <w:p>
            <w:pPr>
              <w:rPr>
                <w:rFonts w:ascii="宋体" w:hAnsi="宋体"/>
              </w:rPr>
            </w:pPr>
            <w:r>
              <w:rPr>
                <w:rFonts w:ascii="宋体" w:hAnsi="宋体"/>
              </w:rPr>
              <w:t>yzc@yanzhoucoal.com.cn</w:t>
            </w:r>
          </w:p>
        </w:tc>
      </w:tr>
    </w:tbl>
    <w:p>
      <w:pPr>
        <w:pStyle w:val="43"/>
      </w:pPr>
    </w:p>
    <w:p>
      <w:pPr>
        <w:pStyle w:val="3"/>
        <w:numPr>
          <w:ilvl w:val="1"/>
          <w:numId w:val="4"/>
        </w:numPr>
        <w:ind w:left="498" w:hanging="498" w:hangingChars="236"/>
        <w:rPr>
          <w:rFonts w:ascii="宋体" w:hAnsi="宋体"/>
        </w:rPr>
      </w:pPr>
      <w:r>
        <w:rPr>
          <w:rFonts w:ascii="宋体" w:hAnsi="宋体"/>
        </w:rPr>
        <w:t>信息披露及备置地点</w:t>
      </w:r>
    </w:p>
    <w:tbl>
      <w:tblPr>
        <w:tblStyle w:val="13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4141"/>
        <w:gridCol w:w="47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宋体" w:hAnsi="宋体"/>
            </w:rPr>
            <w:tag w:val="_PLD_bbba55a3ebda46da946a09caf15c63b6"/>
            <w:id w:val="-1924949476"/>
          </w:sdtPr>
          <w:sdtEndPr>
            <w:rPr>
              <w:rFonts w:ascii="宋体" w:hAnsi="宋体"/>
            </w:rPr>
          </w:sdtEndPr>
          <w:sdtContent>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ascii="宋体" w:hAnsi="宋体"/>
                  </w:rPr>
                  <w:t>公司</w:t>
                </w:r>
                <w:r>
                  <w:rPr>
                    <w:rFonts w:hint="eastAsia" w:ascii="宋体" w:hAnsi="宋体"/>
                  </w:rPr>
                  <w:t>披露年度报告的媒体</w:t>
                </w:r>
                <w:r>
                  <w:rPr>
                    <w:rFonts w:ascii="宋体" w:hAnsi="宋体"/>
                  </w:rPr>
                  <w:t>名称</w:t>
                </w:r>
                <w:r>
                  <w:rPr>
                    <w:rFonts w:hint="eastAsia" w:ascii="宋体" w:hAnsi="宋体"/>
                  </w:rPr>
                  <w:t>及网址</w:t>
                </w:r>
              </w:p>
            </w:tc>
          </w:sdtContent>
        </w:sdt>
        <w:sdt>
          <w:sdtPr>
            <w:rPr>
              <w:rFonts w:ascii="宋体" w:hAnsi="宋体"/>
            </w:rPr>
            <w:alias w:val="公司选定的信息披露报纸名称"/>
            <w:tag w:val="_GBC_001b00e5e370415c93177612f89840ec"/>
            <w:id w:val="2049574124"/>
          </w:sdtPr>
          <w:sdtEndPr>
            <w:rPr>
              <w:rFonts w:ascii="宋体" w:hAnsi="宋体"/>
            </w:rPr>
          </w:sdtEndPr>
          <w:sdtContent>
            <w:tc>
              <w:tcPr>
                <w:tcW w:w="2672"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hint="eastAsia" w:ascii="宋体" w:hAnsi="宋体"/>
                  </w:rPr>
                  <w:t>《中国证券报》（http</w:t>
                </w:r>
                <w:r>
                  <w:rPr>
                    <w:rFonts w:ascii="宋体" w:hAnsi="宋体"/>
                  </w:rPr>
                  <w:t>s</w:t>
                </w:r>
                <w:r>
                  <w:rPr>
                    <w:rFonts w:hint="eastAsia" w:ascii="宋体" w:hAnsi="宋体"/>
                  </w:rPr>
                  <w:t>://www.cs.com.cn）</w:t>
                </w:r>
              </w:p>
              <w:p>
                <w:pPr>
                  <w:kinsoku w:val="0"/>
                  <w:overflowPunct w:val="0"/>
                  <w:autoSpaceDE w:val="0"/>
                  <w:autoSpaceDN w:val="0"/>
                  <w:adjustRightInd w:val="0"/>
                  <w:snapToGrid w:val="0"/>
                  <w:rPr>
                    <w:rFonts w:ascii="宋体" w:hAnsi="宋体"/>
                  </w:rPr>
                </w:pPr>
                <w:r>
                  <w:rPr>
                    <w:rFonts w:hint="eastAsia" w:ascii="宋体" w:hAnsi="宋体"/>
                  </w:rPr>
                  <w:t>《上海证券报》（http</w:t>
                </w:r>
                <w:r>
                  <w:rPr>
                    <w:rFonts w:ascii="宋体" w:hAnsi="宋体"/>
                  </w:rPr>
                  <w:t>s</w:t>
                </w:r>
                <w:r>
                  <w:rPr>
                    <w:rFonts w:hint="eastAsia" w:ascii="宋体" w:hAnsi="宋体"/>
                  </w:rPr>
                  <w:t>://www.cnstock.com）</w:t>
                </w:r>
              </w:p>
              <w:p>
                <w:pPr>
                  <w:kinsoku w:val="0"/>
                  <w:overflowPunct w:val="0"/>
                  <w:autoSpaceDE w:val="0"/>
                  <w:autoSpaceDN w:val="0"/>
                  <w:adjustRightInd w:val="0"/>
                  <w:snapToGrid w:val="0"/>
                  <w:rPr>
                    <w:rFonts w:ascii="宋体" w:hAnsi="宋体"/>
                  </w:rPr>
                </w:pPr>
                <w:r>
                  <w:rPr>
                    <w:rFonts w:hint="eastAsia" w:ascii="宋体" w:hAnsi="宋体"/>
                  </w:rPr>
                  <w:t>《证券时报》（https://www.stcn.com）</w:t>
                </w:r>
              </w:p>
              <w:p>
                <w:pPr>
                  <w:kinsoku w:val="0"/>
                  <w:overflowPunct w:val="0"/>
                  <w:autoSpaceDE w:val="0"/>
                  <w:autoSpaceDN w:val="0"/>
                  <w:adjustRightInd w:val="0"/>
                  <w:snapToGrid w:val="0"/>
                  <w:rPr>
                    <w:rFonts w:ascii="宋体" w:hAnsi="宋体"/>
                  </w:rPr>
                </w:pPr>
                <w:r>
                  <w:rPr>
                    <w:rFonts w:hint="eastAsia" w:ascii="宋体" w:hAnsi="宋体"/>
                  </w:rPr>
                  <w:t>《证券日报》（http://www.zqrb.cn）</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hint="eastAsia" w:ascii="宋体" w:hAnsi="宋体"/>
              </w:rPr>
              <w:t>公司披露年度报告的证券交易所</w:t>
            </w:r>
            <w:r>
              <w:rPr>
                <w:rFonts w:ascii="宋体" w:hAnsi="宋体"/>
              </w:rPr>
              <w:t>网址</w:t>
            </w:r>
          </w:p>
        </w:tc>
        <w:tc>
          <w:tcPr>
            <w:tcW w:w="2672"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ascii="宋体" w:hAnsi="宋体"/>
              </w:rPr>
              <w:t>A股年度报告登载网址：http://www.sse.com.cn</w:t>
            </w:r>
          </w:p>
          <w:p>
            <w:pPr>
              <w:kinsoku w:val="0"/>
              <w:overflowPunct w:val="0"/>
              <w:autoSpaceDE w:val="0"/>
              <w:autoSpaceDN w:val="0"/>
              <w:adjustRightInd w:val="0"/>
              <w:snapToGrid w:val="0"/>
              <w:rPr>
                <w:rFonts w:ascii="宋体" w:hAnsi="宋体"/>
              </w:rPr>
            </w:pPr>
            <w:r>
              <w:rPr>
                <w:rFonts w:ascii="宋体" w:hAnsi="宋体"/>
              </w:rPr>
              <w:t>H股年度报告登载网址：http://www.hkexnews.hk</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328"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rPr>
                <w:rFonts w:ascii="宋体" w:hAnsi="宋体"/>
              </w:rPr>
            </w:pPr>
            <w:r>
              <w:rPr>
                <w:rFonts w:ascii="宋体" w:hAnsi="宋体"/>
              </w:rPr>
              <w:t>公司年度报告备置地点</w:t>
            </w:r>
          </w:p>
        </w:tc>
        <w:tc>
          <w:tcPr>
            <w:tcW w:w="2672"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宋体" w:hAnsi="宋体"/>
              </w:rPr>
            </w:pPr>
            <w:r>
              <w:rPr>
                <w:rFonts w:hint="eastAsia" w:ascii="宋体" w:hAnsi="宋体"/>
              </w:rPr>
              <w:t>中国山东省邹城市凫山南路</w:t>
            </w:r>
            <w:r>
              <w:rPr>
                <w:rFonts w:ascii="宋体" w:hAnsi="宋体"/>
              </w:rPr>
              <w:t>949号</w:t>
            </w:r>
          </w:p>
          <w:p>
            <w:pPr>
              <w:kinsoku w:val="0"/>
              <w:overflowPunct w:val="0"/>
              <w:autoSpaceDE w:val="0"/>
              <w:autoSpaceDN w:val="0"/>
              <w:adjustRightInd w:val="0"/>
              <w:snapToGrid w:val="0"/>
              <w:rPr>
                <w:rFonts w:ascii="宋体" w:hAnsi="宋体"/>
              </w:rPr>
            </w:pPr>
            <w:r>
              <w:rPr>
                <w:rFonts w:hint="eastAsia" w:ascii="宋体" w:hAnsi="宋体"/>
              </w:rPr>
              <w:t>兖矿能源集团股份有限公司董事会秘书处</w:t>
            </w:r>
          </w:p>
        </w:tc>
      </w:tr>
    </w:tbl>
    <w:p>
      <w:pPr>
        <w:pStyle w:val="43"/>
      </w:pPr>
    </w:p>
    <w:p>
      <w:pPr>
        <w:pStyle w:val="3"/>
        <w:numPr>
          <w:ilvl w:val="1"/>
          <w:numId w:val="4"/>
        </w:numPr>
        <w:ind w:left="498" w:hanging="498" w:hangingChars="236"/>
        <w:rPr>
          <w:rFonts w:ascii="宋体" w:hAnsi="宋体"/>
        </w:rPr>
      </w:pPr>
      <w:r>
        <w:rPr>
          <w:rFonts w:hint="eastAsia" w:ascii="宋体" w:hAnsi="宋体"/>
        </w:rPr>
        <w:t>公司股票简况</w:t>
      </w:r>
    </w:p>
    <w:tbl>
      <w:tblPr>
        <w:tblStyle w:val="13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222"/>
        <w:gridCol w:w="2224"/>
        <w:gridCol w:w="2224"/>
        <w:gridCol w:w="2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宋体" w:hAnsi="宋体"/>
            </w:rPr>
            <w:tag w:val="_PLD_71e874b79d5946dfbee802d1ebcf10a8"/>
            <w:id w:val="273141012"/>
          </w:sdtPr>
          <w:sdtEndPr>
            <w:rPr>
              <w:rFonts w:ascii="宋体" w:hAnsi="宋体"/>
            </w:rPr>
          </w:sdtEndPr>
          <w:sdtContent>
            <w:tc>
              <w:tcPr>
                <w:tcW w:w="5000" w:type="pct"/>
                <w:gridSpan w:val="4"/>
                <w:tcBorders>
                  <w:top w:val="single" w:color="auto" w:sz="4" w:space="0"/>
                  <w:bottom w:val="single" w:color="auto" w:sz="4" w:space="0"/>
                </w:tcBorders>
                <w:shd w:val="clear" w:color="auto" w:fill="auto"/>
              </w:tcPr>
              <w:p>
                <w:pPr>
                  <w:kinsoku w:val="0"/>
                  <w:overflowPunct w:val="0"/>
                  <w:autoSpaceDE w:val="0"/>
                  <w:autoSpaceDN w:val="0"/>
                  <w:adjustRightInd w:val="0"/>
                  <w:snapToGrid w:val="0"/>
                  <w:jc w:val="center"/>
                  <w:rPr>
                    <w:rFonts w:ascii="宋体" w:hAnsi="宋体"/>
                  </w:rPr>
                </w:pPr>
                <w:r>
                  <w:rPr>
                    <w:rFonts w:hint="eastAsia" w:ascii="宋体" w:hAnsi="宋体"/>
                  </w:rPr>
                  <w:t>公司股票简况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宋体" w:hAnsi="宋体"/>
            </w:rPr>
            <w:tag w:val="_PLD_8c7d8e96d5f4491aa9e7c3c601503603"/>
            <w:id w:val="-393430014"/>
          </w:sdtPr>
          <w:sdtEndPr>
            <w:rPr>
              <w:rFonts w:ascii="宋体" w:hAnsi="宋体"/>
            </w:rPr>
          </w:sdtEndPr>
          <w:sdtContent>
            <w:tc>
              <w:tcPr>
                <w:tcW w:w="1250"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宋体" w:hAnsi="宋体"/>
                  </w:rPr>
                </w:pPr>
                <w:r>
                  <w:rPr>
                    <w:rFonts w:hint="eastAsia" w:ascii="宋体" w:hAnsi="宋体"/>
                  </w:rPr>
                  <w:t>股票种类</w:t>
                </w:r>
              </w:p>
            </w:tc>
          </w:sdtContent>
        </w:sdt>
        <w:sdt>
          <w:sdtPr>
            <w:rPr>
              <w:rFonts w:ascii="宋体" w:hAnsi="宋体"/>
            </w:rPr>
            <w:tag w:val="_PLD_b56a72f5279041b38925f5228f2089f6"/>
            <w:id w:val="-171116358"/>
          </w:sdtPr>
          <w:sdtEndPr>
            <w:rPr>
              <w:rFonts w:ascii="宋体" w:hAnsi="宋体"/>
            </w:rPr>
          </w:sdtEndPr>
          <w:sdtContent>
            <w:tc>
              <w:tcPr>
                <w:tcW w:w="125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宋体" w:hAnsi="宋体"/>
                  </w:rPr>
                </w:pPr>
                <w:r>
                  <w:rPr>
                    <w:rFonts w:hint="eastAsia" w:ascii="宋体" w:hAnsi="宋体"/>
                  </w:rPr>
                  <w:t>股票上市交易所</w:t>
                </w:r>
              </w:p>
            </w:tc>
          </w:sdtContent>
        </w:sdt>
        <w:sdt>
          <w:sdtPr>
            <w:rPr>
              <w:rFonts w:ascii="宋体" w:hAnsi="宋体"/>
            </w:rPr>
            <w:tag w:val="_PLD_6dd4e584e21c4367b3dfe6f7f5c64696"/>
            <w:id w:val="1769275783"/>
          </w:sdtPr>
          <w:sdtEndPr>
            <w:rPr>
              <w:rFonts w:ascii="宋体" w:hAnsi="宋体"/>
            </w:rPr>
          </w:sdtEndPr>
          <w:sdtContent>
            <w:tc>
              <w:tcPr>
                <w:tcW w:w="125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宋体" w:hAnsi="宋体"/>
                  </w:rPr>
                </w:pPr>
                <w:r>
                  <w:rPr>
                    <w:rFonts w:hint="eastAsia" w:ascii="宋体" w:hAnsi="宋体"/>
                  </w:rPr>
                  <w:t>股票简称</w:t>
                </w:r>
              </w:p>
            </w:tc>
          </w:sdtContent>
        </w:sdt>
        <w:sdt>
          <w:sdtPr>
            <w:rPr>
              <w:rFonts w:ascii="宋体" w:hAnsi="宋体"/>
            </w:rPr>
            <w:tag w:val="_PLD_e6f819a9bdc4409c94aa103da8c19dc3"/>
            <w:id w:val="-500663115"/>
          </w:sdtPr>
          <w:sdtEndPr>
            <w:rPr>
              <w:rFonts w:ascii="宋体" w:hAnsi="宋体"/>
            </w:rPr>
          </w:sdtEndPr>
          <w:sdtContent>
            <w:tc>
              <w:tcPr>
                <w:tcW w:w="125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宋体" w:hAnsi="宋体"/>
                  </w:rPr>
                </w:pPr>
                <w:r>
                  <w:rPr>
                    <w:rFonts w:hint="eastAsia" w:ascii="宋体" w:hAnsi="宋体"/>
                  </w:rPr>
                  <w:t>股票代码</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250"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宋体" w:hAnsi="宋体"/>
              </w:rPr>
            </w:pPr>
            <w:r>
              <w:rPr>
                <w:rFonts w:ascii="宋体" w:hAnsi="宋体"/>
              </w:rPr>
              <w:t>A股</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上交所</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兖矿能源</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宋体" w:hAnsi="宋体"/>
              </w:rPr>
            </w:pPr>
            <w:r>
              <w:rPr>
                <w:rFonts w:ascii="宋体" w:hAnsi="宋体"/>
              </w:rPr>
              <w:t>600188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250" w:type="pct"/>
            <w:tcBorders>
              <w:top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宋体" w:hAnsi="宋体"/>
              </w:rPr>
            </w:pPr>
            <w:r>
              <w:rPr>
                <w:rFonts w:ascii="宋体" w:hAnsi="宋体"/>
              </w:rPr>
              <w:t>H股</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香港联交所</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兖矿能源</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utoSpaceDE w:val="0"/>
              <w:autoSpaceDN w:val="0"/>
              <w:adjustRightInd w:val="0"/>
              <w:snapToGrid w:val="0"/>
              <w:jc w:val="center"/>
              <w:rPr>
                <w:rFonts w:ascii="宋体" w:hAnsi="宋体"/>
              </w:rPr>
            </w:pPr>
            <w:r>
              <w:rPr>
                <w:rFonts w:ascii="宋体" w:hAnsi="宋体"/>
              </w:rPr>
              <w:t>01171</w:t>
            </w:r>
          </w:p>
        </w:tc>
      </w:tr>
    </w:tbl>
    <w:p>
      <w:pPr>
        <w:pStyle w:val="43"/>
      </w:pPr>
    </w:p>
    <w:p>
      <w:pPr>
        <w:pStyle w:val="3"/>
        <w:numPr>
          <w:ilvl w:val="1"/>
          <w:numId w:val="4"/>
        </w:numPr>
        <w:ind w:left="498" w:hanging="498" w:hangingChars="236"/>
        <w:rPr>
          <w:rFonts w:ascii="宋体" w:hAnsi="宋体"/>
        </w:rPr>
      </w:pPr>
      <w:r>
        <w:rPr>
          <w:rFonts w:ascii="宋体" w:hAnsi="宋体"/>
        </w:rPr>
        <w:t>其他</w:t>
      </w:r>
      <w:r>
        <w:rPr>
          <w:rFonts w:hint="eastAsia" w:ascii="宋体" w:hAnsi="宋体"/>
        </w:rPr>
        <w:t>相</w:t>
      </w:r>
      <w:r>
        <w:rPr>
          <w:rFonts w:ascii="宋体" w:hAnsi="宋体"/>
        </w:rPr>
        <w:t>关资料</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1890"/>
        <w:gridCol w:w="4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rPr>
              <w:rFonts w:ascii="宋体" w:hAnsi="宋体"/>
            </w:rPr>
            <w:tag w:val="_PLD_e6bf57c678134e2ab9f21f313ee3de3c"/>
            <w:id w:val="-1926798290"/>
          </w:sdtPr>
          <w:sdtEndPr>
            <w:rPr>
              <w:rFonts w:ascii="宋体" w:hAnsi="宋体"/>
            </w:rPr>
          </w:sdtEndPr>
          <w:sdtContent>
            <w:tc>
              <w:tcPr>
                <w:tcW w:w="1443" w:type="pct"/>
                <w:vMerge w:val="restart"/>
                <w:vAlign w:val="center"/>
              </w:tcPr>
              <w:p>
                <w:pPr>
                  <w:rPr>
                    <w:rFonts w:ascii="宋体" w:hAnsi="宋体"/>
                  </w:rPr>
                </w:pPr>
                <w:r>
                  <w:rPr>
                    <w:rFonts w:hint="eastAsia" w:ascii="宋体" w:hAnsi="宋体"/>
                  </w:rPr>
                  <w:t>公司聘请的会计师事务所</w:t>
                </w:r>
              </w:p>
              <w:p>
                <w:pPr>
                  <w:rPr>
                    <w:rFonts w:ascii="宋体" w:hAnsi="宋体"/>
                  </w:rPr>
                </w:pPr>
                <w:r>
                  <w:rPr>
                    <w:rFonts w:hint="eastAsia" w:ascii="宋体" w:hAnsi="宋体"/>
                  </w:rPr>
                  <w:t>（</w:t>
                </w:r>
                <w:r>
                  <w:rPr>
                    <w:rFonts w:ascii="宋体" w:hAnsi="宋体"/>
                  </w:rPr>
                  <w:t>A股</w:t>
                </w:r>
                <w:r>
                  <w:rPr>
                    <w:rFonts w:hint="eastAsia" w:ascii="宋体" w:hAnsi="宋体"/>
                  </w:rPr>
                  <w:t>）</w:t>
                </w:r>
              </w:p>
            </w:tc>
          </w:sdtContent>
        </w:sdt>
        <w:sdt>
          <w:sdtPr>
            <w:rPr>
              <w:rFonts w:ascii="宋体" w:hAnsi="宋体"/>
            </w:rPr>
            <w:tag w:val="_PLD_8ca47cc04c324c599365d04f46dbfb0f"/>
            <w:id w:val="-1796830365"/>
          </w:sdtPr>
          <w:sdtEndPr>
            <w:rPr>
              <w:rFonts w:ascii="宋体" w:hAnsi="宋体"/>
            </w:rPr>
          </w:sdtEndPr>
          <w:sdtContent>
            <w:tc>
              <w:tcPr>
                <w:tcW w:w="1044" w:type="pct"/>
                <w:vAlign w:val="center"/>
              </w:tcPr>
              <w:p>
                <w:pPr>
                  <w:rPr>
                    <w:rFonts w:ascii="宋体" w:hAnsi="宋体"/>
                  </w:rPr>
                </w:pPr>
                <w:r>
                  <w:rPr>
                    <w:rFonts w:hint="eastAsia" w:ascii="宋体" w:hAnsi="宋体"/>
                  </w:rPr>
                  <w:t>名称</w:t>
                </w:r>
              </w:p>
            </w:tc>
          </w:sdtContent>
        </w:sdt>
        <w:sdt>
          <w:sdtPr>
            <w:rPr>
              <w:rFonts w:hint="eastAsia" w:ascii="宋体" w:hAnsi="宋体"/>
            </w:rPr>
            <w:alias w:val="公司聘请的境内会计师事务所明细-名称"/>
            <w:tag w:val="_GBC_5e101497eaf44ba79cb610647f4aa3d5"/>
            <w:id w:val="-1245103742"/>
          </w:sdtPr>
          <w:sdtEndPr>
            <w:rPr>
              <w:rFonts w:hint="eastAsia" w:ascii="宋体" w:hAnsi="宋体"/>
            </w:rPr>
          </w:sdtEndPr>
          <w:sdtContent>
            <w:tc>
              <w:tcPr>
                <w:tcW w:w="2512" w:type="pct"/>
              </w:tcPr>
              <w:p>
                <w:pPr>
                  <w:rPr>
                    <w:rFonts w:ascii="宋体" w:hAnsi="宋体"/>
                  </w:rPr>
                </w:pPr>
                <w:r>
                  <w:rPr>
                    <w:rFonts w:hint="eastAsia" w:ascii="宋体" w:hAnsi="宋体"/>
                  </w:rPr>
                  <w:t>信永中和会计师事务所（特殊普通合伙）</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43" w:type="pct"/>
            <w:vMerge w:val="continue"/>
            <w:vAlign w:val="center"/>
          </w:tcPr>
          <w:p>
            <w:pPr>
              <w:rPr>
                <w:rFonts w:ascii="宋体" w:hAnsi="宋体"/>
              </w:rPr>
            </w:pPr>
          </w:p>
        </w:tc>
        <w:tc>
          <w:tcPr>
            <w:tcW w:w="1044" w:type="pct"/>
            <w:vAlign w:val="center"/>
          </w:tcPr>
          <w:p>
            <w:pPr>
              <w:rPr>
                <w:rFonts w:ascii="宋体" w:hAnsi="宋体"/>
              </w:rPr>
            </w:pPr>
            <w:r>
              <w:rPr>
                <w:rFonts w:hint="eastAsia" w:ascii="宋体" w:hAnsi="宋体"/>
              </w:rPr>
              <w:t>办公地址</w:t>
            </w:r>
          </w:p>
        </w:tc>
        <w:tc>
          <w:tcPr>
            <w:tcW w:w="2512" w:type="pct"/>
          </w:tcPr>
          <w:p>
            <w:pPr>
              <w:rPr>
                <w:rFonts w:ascii="宋体" w:hAnsi="宋体"/>
              </w:rPr>
            </w:pPr>
            <w:r>
              <w:rPr>
                <w:rFonts w:hint="eastAsia" w:ascii="宋体" w:hAnsi="宋体"/>
              </w:rPr>
              <w:t>中国北京市东城区朝阳门北大街</w:t>
            </w:r>
            <w:r>
              <w:rPr>
                <w:rFonts w:ascii="宋体" w:hAnsi="宋体"/>
              </w:rPr>
              <w:t>8号富华大厦A座8层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43" w:type="pct"/>
            <w:vMerge w:val="continue"/>
            <w:vAlign w:val="center"/>
          </w:tcPr>
          <w:p>
            <w:pPr>
              <w:rPr>
                <w:rFonts w:ascii="宋体" w:hAnsi="宋体"/>
              </w:rPr>
            </w:pPr>
          </w:p>
        </w:tc>
        <w:tc>
          <w:tcPr>
            <w:tcW w:w="1044" w:type="pct"/>
            <w:vAlign w:val="center"/>
          </w:tcPr>
          <w:p>
            <w:pPr>
              <w:rPr>
                <w:rFonts w:ascii="宋体" w:hAnsi="宋体"/>
              </w:rPr>
            </w:pPr>
            <w:r>
              <w:rPr>
                <w:rFonts w:hint="eastAsia" w:ascii="宋体" w:hAnsi="宋体"/>
              </w:rPr>
              <w:t>签字会计师姓名</w:t>
            </w:r>
          </w:p>
        </w:tc>
        <w:tc>
          <w:tcPr>
            <w:tcW w:w="2512" w:type="pct"/>
          </w:tcPr>
          <w:p>
            <w:pPr>
              <w:rPr>
                <w:rFonts w:ascii="宋体" w:hAnsi="宋体"/>
              </w:rPr>
            </w:pPr>
            <w:r>
              <w:rPr>
                <w:rFonts w:hint="eastAsia" w:ascii="宋体" w:hAnsi="宋体"/>
              </w:rPr>
              <w:t>季晟、赵晓宇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43" w:type="pct"/>
            <w:vMerge w:val="restart"/>
            <w:vAlign w:val="center"/>
          </w:tcPr>
          <w:p>
            <w:pPr>
              <w:rPr>
                <w:rFonts w:ascii="宋体" w:hAnsi="宋体"/>
              </w:rPr>
            </w:pPr>
            <w:r>
              <w:rPr>
                <w:rFonts w:hint="eastAsia" w:ascii="宋体" w:hAnsi="宋体"/>
              </w:rPr>
              <w:t>公司聘请的会计师事务所</w:t>
            </w:r>
          </w:p>
          <w:p>
            <w:pPr>
              <w:rPr>
                <w:rFonts w:ascii="宋体" w:hAnsi="宋体"/>
              </w:rPr>
            </w:pPr>
            <w:r>
              <w:rPr>
                <w:rFonts w:hint="eastAsia" w:ascii="宋体" w:hAnsi="宋体"/>
              </w:rPr>
              <w:t>（</w:t>
            </w:r>
            <w:r>
              <w:rPr>
                <w:rFonts w:ascii="宋体" w:hAnsi="宋体"/>
              </w:rPr>
              <w:t>H股</w:t>
            </w:r>
            <w:r>
              <w:rPr>
                <w:rFonts w:hint="eastAsia" w:ascii="宋体" w:hAnsi="宋体"/>
              </w:rPr>
              <w:t>）</w:t>
            </w:r>
          </w:p>
        </w:tc>
        <w:tc>
          <w:tcPr>
            <w:tcW w:w="1044" w:type="pct"/>
            <w:vAlign w:val="center"/>
          </w:tcPr>
          <w:p>
            <w:pPr>
              <w:rPr>
                <w:rFonts w:ascii="宋体" w:hAnsi="宋体"/>
              </w:rPr>
            </w:pPr>
            <w:r>
              <w:rPr>
                <w:rFonts w:hint="eastAsia" w:ascii="宋体" w:hAnsi="宋体"/>
              </w:rPr>
              <w:t>名称</w:t>
            </w:r>
          </w:p>
        </w:tc>
        <w:tc>
          <w:tcPr>
            <w:tcW w:w="2512" w:type="pct"/>
          </w:tcPr>
          <w:p>
            <w:pPr>
              <w:rPr>
                <w:rFonts w:ascii="宋体" w:hAnsi="宋体"/>
              </w:rPr>
            </w:pPr>
            <w:r>
              <w:rPr>
                <w:rFonts w:hint="eastAsia" w:ascii="宋体" w:hAnsi="宋体"/>
              </w:rPr>
              <w:t>信永中和（香港）会计师事务所有限公司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443" w:type="pct"/>
            <w:vMerge w:val="continue"/>
            <w:vAlign w:val="center"/>
          </w:tcPr>
          <w:p>
            <w:pPr>
              <w:rPr>
                <w:rFonts w:ascii="宋体" w:hAnsi="宋体"/>
              </w:rPr>
            </w:pPr>
          </w:p>
        </w:tc>
        <w:tc>
          <w:tcPr>
            <w:tcW w:w="1044" w:type="pct"/>
            <w:vAlign w:val="center"/>
          </w:tcPr>
          <w:p>
            <w:pPr>
              <w:rPr>
                <w:rFonts w:ascii="宋体" w:hAnsi="宋体"/>
              </w:rPr>
            </w:pPr>
            <w:r>
              <w:rPr>
                <w:rFonts w:hint="eastAsia" w:ascii="宋体" w:hAnsi="宋体"/>
              </w:rPr>
              <w:t>办公地址</w:t>
            </w:r>
          </w:p>
        </w:tc>
        <w:tc>
          <w:tcPr>
            <w:tcW w:w="2512" w:type="pct"/>
          </w:tcPr>
          <w:p>
            <w:pPr>
              <w:rPr>
                <w:rFonts w:ascii="宋体" w:hAnsi="宋体"/>
              </w:rPr>
            </w:pPr>
            <w:r>
              <w:rPr>
                <w:rFonts w:hint="eastAsia" w:ascii="宋体" w:hAnsi="宋体"/>
              </w:rPr>
              <w:t>香港铜锣湾告士打道</w:t>
            </w:r>
            <w:r>
              <w:rPr>
                <w:rFonts w:ascii="宋体" w:hAnsi="宋体"/>
              </w:rPr>
              <w:t>311号皇室大厦17楼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443" w:type="pct"/>
            <w:vMerge w:val="continue"/>
            <w:vAlign w:val="center"/>
          </w:tcPr>
          <w:p>
            <w:pPr>
              <w:rPr>
                <w:rFonts w:ascii="宋体" w:hAnsi="宋体"/>
              </w:rPr>
            </w:pPr>
          </w:p>
        </w:tc>
        <w:tc>
          <w:tcPr>
            <w:tcW w:w="1044" w:type="pct"/>
            <w:vAlign w:val="center"/>
          </w:tcPr>
          <w:p>
            <w:pPr>
              <w:rPr>
                <w:rFonts w:ascii="宋体" w:hAnsi="宋体"/>
              </w:rPr>
            </w:pPr>
            <w:r>
              <w:rPr>
                <w:rFonts w:hint="eastAsia" w:ascii="宋体" w:hAnsi="宋体"/>
              </w:rPr>
              <w:t>签字会计师姓名</w:t>
            </w:r>
          </w:p>
        </w:tc>
        <w:tc>
          <w:tcPr>
            <w:tcW w:w="2512" w:type="pct"/>
          </w:tcPr>
          <w:p>
            <w:pPr>
              <w:rPr>
                <w:rFonts w:ascii="宋体" w:hAnsi="宋体"/>
              </w:rPr>
            </w:pPr>
            <w:r>
              <w:rPr>
                <w:rFonts w:hint="eastAsia" w:ascii="宋体" w:hAnsi="宋体"/>
              </w:rPr>
              <w:t>彭卫恒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443" w:type="pct"/>
            <w:vMerge w:val="restart"/>
            <w:vAlign w:val="center"/>
          </w:tcPr>
          <w:p>
            <w:pPr>
              <w:rPr>
                <w:rFonts w:ascii="宋体" w:hAnsi="宋体"/>
              </w:rPr>
            </w:pPr>
            <w:r>
              <w:rPr>
                <w:rFonts w:hint="eastAsia" w:ascii="宋体" w:hAnsi="宋体"/>
              </w:rPr>
              <w:t>法律顾问（</w:t>
            </w:r>
            <w:r>
              <w:rPr>
                <w:rFonts w:ascii="宋体" w:hAnsi="宋体"/>
              </w:rPr>
              <w:t>A股）</w:t>
            </w:r>
          </w:p>
        </w:tc>
        <w:tc>
          <w:tcPr>
            <w:tcW w:w="1044" w:type="pct"/>
            <w:vAlign w:val="center"/>
          </w:tcPr>
          <w:p>
            <w:pPr>
              <w:rPr>
                <w:rFonts w:ascii="宋体" w:hAnsi="宋体"/>
              </w:rPr>
            </w:pPr>
            <w:r>
              <w:rPr>
                <w:rFonts w:hint="eastAsia" w:ascii="宋体" w:hAnsi="宋体"/>
              </w:rPr>
              <w:t>名称</w:t>
            </w:r>
          </w:p>
        </w:tc>
        <w:tc>
          <w:tcPr>
            <w:tcW w:w="2512" w:type="pct"/>
          </w:tcPr>
          <w:p>
            <w:pPr>
              <w:rPr>
                <w:rFonts w:ascii="宋体" w:hAnsi="宋体"/>
              </w:rPr>
            </w:pPr>
            <w:r>
              <w:rPr>
                <w:rFonts w:hint="eastAsia" w:ascii="宋体" w:hAnsi="宋体"/>
              </w:rPr>
              <w:t>北京市金杜律师事务所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43" w:type="pct"/>
            <w:vMerge w:val="continue"/>
            <w:vAlign w:val="center"/>
          </w:tcPr>
          <w:p>
            <w:pPr>
              <w:rPr>
                <w:rFonts w:ascii="宋体" w:hAnsi="宋体"/>
              </w:rPr>
            </w:pPr>
          </w:p>
        </w:tc>
        <w:tc>
          <w:tcPr>
            <w:tcW w:w="1044" w:type="pct"/>
            <w:vAlign w:val="center"/>
          </w:tcPr>
          <w:p>
            <w:pPr>
              <w:rPr>
                <w:rFonts w:ascii="宋体" w:hAnsi="宋体"/>
              </w:rPr>
            </w:pPr>
            <w:r>
              <w:rPr>
                <w:rFonts w:hint="eastAsia" w:ascii="宋体" w:hAnsi="宋体"/>
              </w:rPr>
              <w:t>办公地址</w:t>
            </w:r>
          </w:p>
        </w:tc>
        <w:tc>
          <w:tcPr>
            <w:tcW w:w="2512" w:type="pct"/>
          </w:tcPr>
          <w:p>
            <w:pPr>
              <w:rPr>
                <w:rFonts w:ascii="宋体" w:hAnsi="宋体"/>
              </w:rPr>
            </w:pPr>
            <w:r>
              <w:rPr>
                <w:rFonts w:hint="eastAsia" w:ascii="宋体" w:hAnsi="宋体"/>
              </w:rPr>
              <w:t>北京市朝阳区东三环中路</w:t>
            </w:r>
            <w:r>
              <w:rPr>
                <w:rFonts w:ascii="宋体" w:hAnsi="宋体"/>
              </w:rPr>
              <w:t>1号1幢环球金融中心办公楼东楼17-18层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43" w:type="pct"/>
            <w:vMerge w:val="restart"/>
            <w:vAlign w:val="center"/>
          </w:tcPr>
          <w:p>
            <w:pPr>
              <w:rPr>
                <w:rFonts w:ascii="宋体" w:hAnsi="宋体"/>
              </w:rPr>
            </w:pPr>
            <w:r>
              <w:rPr>
                <w:rFonts w:hint="eastAsia" w:ascii="宋体" w:hAnsi="宋体"/>
              </w:rPr>
              <w:t>法律顾问（</w:t>
            </w:r>
            <w:r>
              <w:rPr>
                <w:rFonts w:ascii="宋体" w:hAnsi="宋体"/>
              </w:rPr>
              <w:t>H股）</w:t>
            </w:r>
          </w:p>
        </w:tc>
        <w:tc>
          <w:tcPr>
            <w:tcW w:w="1044" w:type="pct"/>
            <w:vAlign w:val="center"/>
          </w:tcPr>
          <w:p>
            <w:pPr>
              <w:rPr>
                <w:rFonts w:ascii="宋体" w:hAnsi="宋体"/>
              </w:rPr>
            </w:pPr>
            <w:r>
              <w:rPr>
                <w:rFonts w:hint="eastAsia" w:ascii="宋体" w:hAnsi="宋体"/>
              </w:rPr>
              <w:t>名称</w:t>
            </w:r>
          </w:p>
        </w:tc>
        <w:tc>
          <w:tcPr>
            <w:tcW w:w="2512" w:type="pct"/>
          </w:tcPr>
          <w:p>
            <w:pPr>
              <w:rPr>
                <w:rFonts w:ascii="宋体" w:hAnsi="宋体"/>
              </w:rPr>
            </w:pPr>
            <w:r>
              <w:rPr>
                <w:rFonts w:hint="eastAsia" w:ascii="宋体" w:hAnsi="宋体"/>
              </w:rPr>
              <w:t>贝克·麦坚时律师事务所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43" w:type="pct"/>
            <w:vMerge w:val="continue"/>
            <w:vAlign w:val="center"/>
          </w:tcPr>
          <w:p>
            <w:pPr>
              <w:rPr>
                <w:rFonts w:ascii="宋体" w:hAnsi="宋体"/>
              </w:rPr>
            </w:pPr>
          </w:p>
        </w:tc>
        <w:tc>
          <w:tcPr>
            <w:tcW w:w="1044" w:type="pct"/>
            <w:vAlign w:val="center"/>
          </w:tcPr>
          <w:p>
            <w:pPr>
              <w:rPr>
                <w:rFonts w:ascii="宋体" w:hAnsi="宋体"/>
              </w:rPr>
            </w:pPr>
            <w:r>
              <w:rPr>
                <w:rFonts w:hint="eastAsia" w:ascii="宋体" w:hAnsi="宋体"/>
              </w:rPr>
              <w:t>办公地址</w:t>
            </w:r>
          </w:p>
        </w:tc>
        <w:tc>
          <w:tcPr>
            <w:tcW w:w="2512" w:type="pct"/>
          </w:tcPr>
          <w:p>
            <w:pPr>
              <w:rPr>
                <w:rFonts w:ascii="宋体" w:hAnsi="宋体"/>
              </w:rPr>
            </w:pPr>
            <w:r>
              <w:rPr>
                <w:rFonts w:hint="eastAsia" w:ascii="宋体" w:hAnsi="宋体"/>
              </w:rPr>
              <w:t>香港鲗鱼涌英皇道</w:t>
            </w:r>
            <w:r>
              <w:rPr>
                <w:rFonts w:ascii="宋体" w:hAnsi="宋体"/>
              </w:rPr>
              <w:t>979号太古坊一座14楼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43" w:type="pct"/>
            <w:vMerge w:val="restart"/>
            <w:vAlign w:val="center"/>
          </w:tcPr>
          <w:p>
            <w:pPr>
              <w:rPr>
                <w:rFonts w:ascii="宋体" w:hAnsi="宋体"/>
              </w:rPr>
            </w:pPr>
            <w:r>
              <w:rPr>
                <w:rFonts w:hint="eastAsia" w:ascii="宋体" w:hAnsi="宋体"/>
              </w:rPr>
              <w:t>上海股份过户登记处</w:t>
            </w:r>
          </w:p>
        </w:tc>
        <w:tc>
          <w:tcPr>
            <w:tcW w:w="1044" w:type="pct"/>
            <w:vAlign w:val="center"/>
          </w:tcPr>
          <w:p>
            <w:pPr>
              <w:rPr>
                <w:rFonts w:ascii="宋体" w:hAnsi="宋体"/>
              </w:rPr>
            </w:pPr>
            <w:r>
              <w:rPr>
                <w:rFonts w:ascii="宋体" w:hAnsi="宋体"/>
              </w:rPr>
              <w:t>名称</w:t>
            </w:r>
          </w:p>
        </w:tc>
        <w:tc>
          <w:tcPr>
            <w:tcW w:w="2512" w:type="pct"/>
          </w:tcPr>
          <w:p>
            <w:pPr>
              <w:rPr>
                <w:rFonts w:ascii="宋体" w:hAnsi="宋体"/>
              </w:rPr>
            </w:pPr>
            <w:r>
              <w:rPr>
                <w:rFonts w:hint="eastAsia" w:ascii="宋体" w:hAnsi="宋体"/>
              </w:rPr>
              <w:t>中国证券登记结算有限责任公司上海分公司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43" w:type="pct"/>
            <w:vMerge w:val="continue"/>
            <w:vAlign w:val="center"/>
          </w:tcPr>
          <w:p>
            <w:pPr>
              <w:rPr>
                <w:rFonts w:ascii="宋体" w:hAnsi="宋体"/>
              </w:rPr>
            </w:pPr>
          </w:p>
        </w:tc>
        <w:tc>
          <w:tcPr>
            <w:tcW w:w="1044" w:type="pct"/>
            <w:vAlign w:val="center"/>
          </w:tcPr>
          <w:p>
            <w:pPr>
              <w:pStyle w:val="43"/>
              <w:widowControl w:val="0"/>
              <w:jc w:val="both"/>
            </w:pPr>
            <w:r>
              <w:t>办公地址</w:t>
            </w:r>
          </w:p>
        </w:tc>
        <w:tc>
          <w:tcPr>
            <w:tcW w:w="2512" w:type="pct"/>
          </w:tcPr>
          <w:p>
            <w:pPr>
              <w:rPr>
                <w:rFonts w:ascii="宋体" w:hAnsi="宋体"/>
              </w:rPr>
            </w:pPr>
            <w:r>
              <w:rPr>
                <w:rFonts w:hint="eastAsia" w:ascii="宋体" w:hAnsi="宋体"/>
              </w:rPr>
              <w:t>上海市浦东新区杨高南路</w:t>
            </w:r>
            <w:r>
              <w:rPr>
                <w:rFonts w:ascii="宋体" w:hAnsi="宋体"/>
              </w:rPr>
              <w:t>188号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43" w:type="pct"/>
            <w:vMerge w:val="restart"/>
            <w:vAlign w:val="center"/>
          </w:tcPr>
          <w:p>
            <w:pPr>
              <w:rPr>
                <w:rFonts w:ascii="宋体" w:hAnsi="宋体"/>
              </w:rPr>
            </w:pPr>
            <w:r>
              <w:rPr>
                <w:rFonts w:hint="eastAsia" w:ascii="宋体" w:hAnsi="宋体"/>
              </w:rPr>
              <w:t>香港过户登记处</w:t>
            </w:r>
          </w:p>
        </w:tc>
        <w:tc>
          <w:tcPr>
            <w:tcW w:w="1044" w:type="pct"/>
            <w:vAlign w:val="center"/>
          </w:tcPr>
          <w:p>
            <w:pPr>
              <w:rPr>
                <w:rFonts w:ascii="宋体" w:hAnsi="宋体"/>
              </w:rPr>
            </w:pPr>
            <w:r>
              <w:rPr>
                <w:rFonts w:ascii="宋体" w:hAnsi="宋体"/>
              </w:rPr>
              <w:t>名称</w:t>
            </w:r>
          </w:p>
        </w:tc>
        <w:tc>
          <w:tcPr>
            <w:tcW w:w="2512" w:type="pct"/>
          </w:tcPr>
          <w:p>
            <w:pPr>
              <w:rPr>
                <w:rFonts w:ascii="宋体" w:hAnsi="宋体"/>
              </w:rPr>
            </w:pPr>
            <w:r>
              <w:rPr>
                <w:rFonts w:hint="eastAsia" w:ascii="宋体" w:hAnsi="宋体"/>
              </w:rPr>
              <w:t>香港证券登记有限公司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43" w:type="pct"/>
            <w:vMerge w:val="continue"/>
            <w:vAlign w:val="center"/>
          </w:tcPr>
          <w:p>
            <w:pPr>
              <w:rPr>
                <w:rFonts w:ascii="宋体" w:hAnsi="宋体"/>
              </w:rPr>
            </w:pPr>
          </w:p>
        </w:tc>
        <w:tc>
          <w:tcPr>
            <w:tcW w:w="1044" w:type="pct"/>
            <w:vAlign w:val="center"/>
          </w:tcPr>
          <w:p>
            <w:pPr>
              <w:rPr>
                <w:rFonts w:ascii="宋体" w:hAnsi="宋体"/>
              </w:rPr>
            </w:pPr>
            <w:r>
              <w:rPr>
                <w:rFonts w:ascii="宋体" w:hAnsi="宋体"/>
              </w:rPr>
              <w:t>办公地址</w:t>
            </w:r>
          </w:p>
        </w:tc>
        <w:tc>
          <w:tcPr>
            <w:tcW w:w="2512" w:type="pct"/>
          </w:tcPr>
          <w:p>
            <w:pPr>
              <w:rPr>
                <w:rFonts w:ascii="宋体" w:hAnsi="宋体"/>
              </w:rPr>
            </w:pPr>
            <w:r>
              <w:rPr>
                <w:rFonts w:hint="eastAsia" w:ascii="宋体" w:hAnsi="宋体"/>
              </w:rPr>
              <w:t>香港湾仔皇后大道东</w:t>
            </w:r>
            <w:r>
              <w:rPr>
                <w:rFonts w:ascii="宋体" w:hAnsi="宋体"/>
              </w:rPr>
              <w:t>183号合和中心17楼1712至1716号铺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43" w:type="pct"/>
            <w:vMerge w:val="restart"/>
            <w:vAlign w:val="center"/>
          </w:tcPr>
          <w:p>
            <w:pPr>
              <w:rPr>
                <w:rFonts w:ascii="宋体" w:hAnsi="宋体"/>
              </w:rPr>
            </w:pPr>
            <w:r>
              <w:rPr>
                <w:rFonts w:hint="eastAsia" w:ascii="宋体" w:hAnsi="宋体"/>
              </w:rPr>
              <w:t>公司香港联络处</w:t>
            </w:r>
          </w:p>
        </w:tc>
        <w:tc>
          <w:tcPr>
            <w:tcW w:w="1044" w:type="pct"/>
            <w:vAlign w:val="center"/>
          </w:tcPr>
          <w:p>
            <w:pPr>
              <w:rPr>
                <w:rFonts w:ascii="宋体" w:hAnsi="宋体"/>
              </w:rPr>
            </w:pPr>
            <w:r>
              <w:rPr>
                <w:rFonts w:hint="eastAsia" w:ascii="宋体" w:hAnsi="宋体"/>
              </w:rPr>
              <w:t>办公地址</w:t>
            </w:r>
          </w:p>
        </w:tc>
        <w:tc>
          <w:tcPr>
            <w:tcW w:w="2512" w:type="pct"/>
          </w:tcPr>
          <w:p>
            <w:pPr>
              <w:rPr>
                <w:rFonts w:ascii="宋体" w:hAnsi="宋体"/>
              </w:rPr>
            </w:pPr>
            <w:r>
              <w:rPr>
                <w:rFonts w:hint="eastAsia" w:ascii="宋体" w:hAnsi="宋体"/>
              </w:rPr>
              <w:t>香港湾仔皇后大道东</w:t>
            </w:r>
            <w:r>
              <w:rPr>
                <w:rFonts w:ascii="宋体" w:hAnsi="宋体"/>
              </w:rPr>
              <w:t>248号大新金融中心40楼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43" w:type="pct"/>
            <w:vMerge w:val="continue"/>
            <w:vAlign w:val="center"/>
          </w:tcPr>
          <w:p>
            <w:pPr>
              <w:rPr>
                <w:rFonts w:ascii="宋体" w:hAnsi="宋体"/>
              </w:rPr>
            </w:pPr>
          </w:p>
        </w:tc>
        <w:tc>
          <w:tcPr>
            <w:tcW w:w="1044" w:type="pct"/>
            <w:vAlign w:val="center"/>
          </w:tcPr>
          <w:p>
            <w:pPr>
              <w:rPr>
                <w:rFonts w:ascii="宋体" w:hAnsi="宋体"/>
              </w:rPr>
            </w:pPr>
            <w:r>
              <w:rPr>
                <w:rFonts w:hint="eastAsia" w:ascii="宋体" w:hAnsi="宋体"/>
              </w:rPr>
              <w:t>联系人</w:t>
            </w:r>
          </w:p>
        </w:tc>
        <w:tc>
          <w:tcPr>
            <w:tcW w:w="2512" w:type="pct"/>
          </w:tcPr>
          <w:p>
            <w:pPr>
              <w:rPr>
                <w:rFonts w:ascii="宋体" w:hAnsi="宋体"/>
              </w:rPr>
            </w:pPr>
            <w:r>
              <w:rPr>
                <w:rFonts w:hint="eastAsia" w:ascii="宋体" w:hAnsi="宋体"/>
              </w:rPr>
              <w:t>黄伟超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443" w:type="pct"/>
            <w:vMerge w:val="continue"/>
            <w:vAlign w:val="center"/>
          </w:tcPr>
          <w:p>
            <w:pPr>
              <w:rPr>
                <w:rFonts w:ascii="宋体" w:hAnsi="宋体"/>
              </w:rPr>
            </w:pPr>
          </w:p>
        </w:tc>
        <w:tc>
          <w:tcPr>
            <w:tcW w:w="1044" w:type="pct"/>
            <w:vAlign w:val="center"/>
          </w:tcPr>
          <w:p>
            <w:pPr>
              <w:rPr>
                <w:rFonts w:ascii="宋体" w:hAnsi="宋体"/>
              </w:rPr>
            </w:pPr>
            <w:r>
              <w:rPr>
                <w:rFonts w:hint="eastAsia" w:ascii="宋体" w:hAnsi="宋体"/>
              </w:rPr>
              <w:t>电话</w:t>
            </w:r>
          </w:p>
        </w:tc>
        <w:tc>
          <w:tcPr>
            <w:tcW w:w="2512" w:type="pct"/>
          </w:tcPr>
          <w:p>
            <w:pPr>
              <w:rPr>
                <w:rFonts w:ascii="宋体" w:hAnsi="宋体"/>
              </w:rPr>
            </w:pPr>
            <w:r>
              <w:rPr>
                <w:rFonts w:hint="eastAsia" w:ascii="宋体" w:hAnsi="宋体"/>
              </w:rPr>
              <w:t>（</w:t>
            </w:r>
            <w:r>
              <w:rPr>
                <w:rFonts w:ascii="宋体" w:hAnsi="宋体"/>
              </w:rPr>
              <w:t>852）3912 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443" w:type="pct"/>
            <w:vMerge w:val="continue"/>
          </w:tcPr>
          <w:p>
            <w:pPr>
              <w:rPr>
                <w:rFonts w:ascii="宋体" w:hAnsi="宋体"/>
              </w:rPr>
            </w:pPr>
          </w:p>
        </w:tc>
        <w:tc>
          <w:tcPr>
            <w:tcW w:w="1044" w:type="pct"/>
            <w:vAlign w:val="center"/>
          </w:tcPr>
          <w:p>
            <w:pPr>
              <w:rPr>
                <w:rFonts w:ascii="宋体" w:hAnsi="宋体"/>
              </w:rPr>
            </w:pPr>
            <w:r>
              <w:rPr>
                <w:rFonts w:hint="eastAsia" w:ascii="宋体" w:hAnsi="宋体"/>
              </w:rPr>
              <w:t>传真</w:t>
            </w:r>
          </w:p>
        </w:tc>
        <w:tc>
          <w:tcPr>
            <w:tcW w:w="2512" w:type="pct"/>
          </w:tcPr>
          <w:p>
            <w:pPr>
              <w:rPr>
                <w:rFonts w:ascii="宋体" w:hAnsi="宋体"/>
              </w:rPr>
            </w:pPr>
            <w:r>
              <w:rPr>
                <w:rFonts w:hint="eastAsia" w:ascii="宋体" w:hAnsi="宋体"/>
              </w:rPr>
              <w:t>（</w:t>
            </w:r>
            <w:r>
              <w:rPr>
                <w:rFonts w:ascii="宋体" w:hAnsi="宋体"/>
              </w:rPr>
              <w:t>852）3912 0801</w:t>
            </w:r>
          </w:p>
        </w:tc>
      </w:tr>
    </w:tbl>
    <w:p>
      <w:pPr>
        <w:pStyle w:val="43"/>
      </w:pPr>
    </w:p>
    <w:p>
      <w:pPr>
        <w:pStyle w:val="3"/>
        <w:numPr>
          <w:ilvl w:val="1"/>
          <w:numId w:val="4"/>
        </w:numPr>
        <w:ind w:left="498" w:hanging="498" w:hangingChars="236"/>
        <w:rPr>
          <w:rFonts w:ascii="宋体" w:hAnsi="宋体"/>
        </w:rPr>
      </w:pPr>
      <w:bookmarkStart w:id="11" w:name="_Toc342565889"/>
      <w:bookmarkStart w:id="12" w:name="_Toc342056397"/>
      <w:r>
        <w:rPr>
          <w:rFonts w:hint="eastAsia" w:ascii="宋体" w:hAnsi="宋体"/>
        </w:rPr>
        <w:t>近三年主要会计数据和财务指标</w:t>
      </w:r>
      <w:bookmarkEnd w:id="11"/>
      <w:bookmarkEnd w:id="12"/>
    </w:p>
    <w:p>
      <w:pPr>
        <w:pStyle w:val="4"/>
        <w:numPr>
          <w:ilvl w:val="1"/>
          <w:numId w:val="5"/>
        </w:numPr>
        <w:rPr>
          <w:rFonts w:ascii="宋体" w:hAnsi="宋体"/>
        </w:rPr>
      </w:pPr>
      <w:r>
        <w:rPr>
          <w:rFonts w:hint="eastAsia" w:ascii="宋体" w:hAnsi="宋体"/>
        </w:rPr>
        <w:t>主要会计数据</w:t>
      </w:r>
    </w:p>
    <w:p>
      <w:pPr>
        <w:jc w:val="right"/>
        <w:rPr>
          <w:rFonts w:ascii="宋体" w:hAnsi="宋体"/>
        </w:rPr>
      </w:pPr>
      <w:r>
        <w:rPr>
          <w:rFonts w:hint="eastAsia" w:ascii="宋体" w:hAnsi="宋体"/>
        </w:rPr>
        <w:t>单位：</w:t>
      </w:r>
      <w:sdt>
        <w:sdtPr>
          <w:rPr>
            <w:rFonts w:hint="eastAsia" w:ascii="宋体" w:hAnsi="宋体"/>
          </w:rPr>
          <w:alias w:val="单位：报告期末公司前三年主要会计数据和财务指标"/>
          <w:tag w:val="_GBC_831bf622af014dd988d7abf34a230ded"/>
          <w:id w:val="-18388424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千元</w:t>
          </w:r>
        </w:sdtContent>
      </w:sdt>
      <w:r>
        <w:rPr>
          <w:rFonts w:hint="eastAsia" w:ascii="宋体" w:hAnsi="宋体"/>
        </w:rPr>
        <w:t xml:space="preserve">  币种：</w:t>
      </w:r>
      <w:sdt>
        <w:sdtPr>
          <w:rPr>
            <w:rFonts w:hint="eastAsia" w:ascii="宋体" w:hAnsi="宋体"/>
          </w:rPr>
          <w:alias w:val="币种：报告期末公司前三年主要会计数据和财务指标"/>
          <w:tag w:val="_GBC_966177366f0d4256ae6aac54dd779761"/>
          <w:id w:val="-13750655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rPr>
            <w:t>人民币</w:t>
          </w:r>
        </w:sdtContent>
      </w:sdt>
    </w:p>
    <w:tbl>
      <w:tblPr>
        <w:tblStyle w:val="135"/>
        <w:tblW w:w="56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1406"/>
        <w:gridCol w:w="1406"/>
        <w:gridCol w:w="1406"/>
        <w:gridCol w:w="1166"/>
        <w:gridCol w:w="1406"/>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71" w:type="pct"/>
            <w:vMerge w:val="restart"/>
            <w:vAlign w:val="center"/>
          </w:tcPr>
          <w:p>
            <w:pPr>
              <w:kinsoku w:val="0"/>
              <w:overflowPunct w:val="0"/>
              <w:autoSpaceDE w:val="0"/>
              <w:autoSpaceDN w:val="0"/>
              <w:adjustRightInd w:val="0"/>
              <w:snapToGrid w:val="0"/>
              <w:jc w:val="center"/>
              <w:rPr>
                <w:rFonts w:ascii="宋体" w:hAnsi="宋体"/>
              </w:rPr>
            </w:pPr>
            <w:sdt>
              <w:sdtPr>
                <w:rPr>
                  <w:rFonts w:hint="eastAsia" w:ascii="宋体" w:hAnsi="宋体"/>
                </w:rPr>
                <w:tag w:val="_PLD_fff44820de414373a75fb70cbf2af0b0"/>
                <w:id w:val="1684017638"/>
              </w:sdtPr>
              <w:sdtEndPr>
                <w:rPr>
                  <w:rFonts w:hint="default" w:ascii="宋体" w:hAnsi="宋体"/>
                  <w:szCs w:val="20"/>
                </w:rPr>
              </w:sdtEndPr>
              <w:sdtContent>
                <w:r>
                  <w:rPr>
                    <w:rFonts w:hint="eastAsia" w:ascii="宋体" w:hAnsi="宋体"/>
                  </w:rPr>
                  <w:t>主要会计数据</w:t>
                </w:r>
              </w:sdtContent>
            </w:sdt>
          </w:p>
        </w:tc>
        <w:sdt>
          <w:sdtPr>
            <w:rPr>
              <w:rFonts w:ascii="宋体" w:hAnsi="宋体"/>
            </w:rPr>
            <w:tag w:val="_PLD_5660e2f873534d9bb6df13aaf36f1007"/>
            <w:id w:val="-187139742"/>
          </w:sdtPr>
          <w:sdtEndPr>
            <w:rPr>
              <w:rFonts w:ascii="宋体" w:hAnsi="宋体"/>
            </w:rPr>
          </w:sdtEndPr>
          <w:sdtContent>
            <w:tc>
              <w:tcPr>
                <w:tcW w:w="691" w:type="pct"/>
                <w:vMerge w:val="restart"/>
                <w:vAlign w:val="center"/>
              </w:tcPr>
              <w:p>
                <w:pPr>
                  <w:kinsoku w:val="0"/>
                  <w:overflowPunct w:val="0"/>
                  <w:autoSpaceDE w:val="0"/>
                  <w:autoSpaceDN w:val="0"/>
                  <w:adjustRightInd w:val="0"/>
                  <w:snapToGrid w:val="0"/>
                  <w:jc w:val="center"/>
                  <w:rPr>
                    <w:rFonts w:ascii="宋体" w:hAnsi="宋体"/>
                  </w:rPr>
                </w:pPr>
                <w:r>
                  <w:rPr>
                    <w:rFonts w:hint="eastAsia" w:ascii="宋体" w:hAnsi="宋体"/>
                  </w:rPr>
                  <w:t>2023年</w:t>
                </w:r>
              </w:p>
            </w:tc>
          </w:sdtContent>
        </w:sdt>
        <w:sdt>
          <w:sdtPr>
            <w:rPr>
              <w:rFonts w:ascii="宋体" w:hAnsi="宋体"/>
            </w:rPr>
            <w:tag w:val="_PLD_35c8944b2ec84dd7a07dfbd2f24dab65"/>
            <w:id w:val="170454708"/>
          </w:sdtPr>
          <w:sdtEndPr>
            <w:rPr>
              <w:rFonts w:ascii="宋体" w:hAnsi="宋体"/>
            </w:rPr>
          </w:sdtEndPr>
          <w:sdtContent>
            <w:tc>
              <w:tcPr>
                <w:tcW w:w="1382" w:type="pct"/>
                <w:gridSpan w:val="2"/>
                <w:vAlign w:val="center"/>
              </w:tcPr>
              <w:p>
                <w:pPr>
                  <w:kinsoku w:val="0"/>
                  <w:overflowPunct w:val="0"/>
                  <w:autoSpaceDE w:val="0"/>
                  <w:autoSpaceDN w:val="0"/>
                  <w:adjustRightInd w:val="0"/>
                  <w:snapToGrid w:val="0"/>
                  <w:jc w:val="center"/>
                  <w:rPr>
                    <w:rFonts w:ascii="宋体" w:hAnsi="宋体"/>
                  </w:rPr>
                </w:pPr>
                <w:r>
                  <w:rPr>
                    <w:rFonts w:hint="eastAsia" w:ascii="宋体" w:hAnsi="宋体"/>
                  </w:rPr>
                  <w:t>2022年</w:t>
                </w:r>
              </w:p>
            </w:tc>
          </w:sdtContent>
        </w:sdt>
        <w:sdt>
          <w:sdtPr>
            <w:rPr>
              <w:rFonts w:ascii="宋体" w:hAnsi="宋体"/>
            </w:rPr>
            <w:tag w:val="_PLD_583df07a088a4940ae6cf5c51744af19"/>
            <w:id w:val="-391269716"/>
          </w:sdtPr>
          <w:sdtEndPr>
            <w:rPr>
              <w:rFonts w:ascii="宋体" w:hAnsi="宋体"/>
            </w:rPr>
          </w:sdtEndPr>
          <w:sdtContent>
            <w:tc>
              <w:tcPr>
                <w:tcW w:w="573" w:type="pct"/>
                <w:vMerge w:val="restart"/>
                <w:vAlign w:val="center"/>
              </w:tcPr>
              <w:p>
                <w:pPr>
                  <w:kinsoku w:val="0"/>
                  <w:overflowPunct w:val="0"/>
                  <w:autoSpaceDE w:val="0"/>
                  <w:autoSpaceDN w:val="0"/>
                  <w:adjustRightInd w:val="0"/>
                  <w:snapToGrid w:val="0"/>
                  <w:jc w:val="center"/>
                  <w:rPr>
                    <w:rFonts w:ascii="宋体" w:hAnsi="宋体"/>
                  </w:rPr>
                </w:pPr>
                <w:r>
                  <w:rPr>
                    <w:rFonts w:hint="eastAsia" w:ascii="宋体" w:hAnsi="宋体"/>
                  </w:rPr>
                  <w:t>本期比上年同期增减</w:t>
                </w:r>
                <w:r>
                  <w:rPr>
                    <w:rFonts w:ascii="宋体" w:hAnsi="宋体"/>
                  </w:rPr>
                  <w:t>(%)</w:t>
                </w:r>
              </w:p>
            </w:tc>
          </w:sdtContent>
        </w:sdt>
        <w:sdt>
          <w:sdtPr>
            <w:rPr>
              <w:rFonts w:ascii="宋体" w:hAnsi="宋体"/>
            </w:rPr>
            <w:tag w:val="_PLD_edf90a7d6f3a41d99bbbb81245a79f6d"/>
            <w:id w:val="-788361423"/>
          </w:sdtPr>
          <w:sdtEndPr>
            <w:rPr>
              <w:rFonts w:ascii="宋体" w:hAnsi="宋体"/>
            </w:rPr>
          </w:sdtEndPr>
          <w:sdtContent>
            <w:tc>
              <w:tcPr>
                <w:tcW w:w="1382" w:type="pct"/>
                <w:gridSpan w:val="2"/>
                <w:vAlign w:val="center"/>
              </w:tcPr>
              <w:p>
                <w:pPr>
                  <w:kinsoku w:val="0"/>
                  <w:overflowPunct w:val="0"/>
                  <w:autoSpaceDE w:val="0"/>
                  <w:autoSpaceDN w:val="0"/>
                  <w:adjustRightInd w:val="0"/>
                  <w:snapToGrid w:val="0"/>
                  <w:jc w:val="center"/>
                  <w:rPr>
                    <w:rFonts w:ascii="宋体" w:hAnsi="宋体"/>
                  </w:rPr>
                </w:pPr>
                <w:r>
                  <w:rPr>
                    <w:rFonts w:hint="eastAsia" w:ascii="宋体" w:hAnsi="宋体"/>
                  </w:rPr>
                  <w:t>2021年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vMerge w:val="continue"/>
          </w:tcPr>
          <w:p>
            <w:pPr>
              <w:kinsoku w:val="0"/>
              <w:overflowPunct w:val="0"/>
              <w:autoSpaceDE w:val="0"/>
              <w:autoSpaceDN w:val="0"/>
              <w:adjustRightInd w:val="0"/>
              <w:snapToGrid w:val="0"/>
              <w:jc w:val="center"/>
              <w:rPr>
                <w:rFonts w:ascii="宋体" w:hAnsi="宋体"/>
              </w:rPr>
            </w:pPr>
          </w:p>
        </w:tc>
        <w:tc>
          <w:tcPr>
            <w:tcW w:w="691" w:type="pct"/>
            <w:vMerge w:val="continue"/>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b03487562c5a4780869d0645d00e4bbb"/>
            <w:id w:val="-1485304921"/>
          </w:sdtPr>
          <w:sdtEndPr>
            <w:rPr>
              <w:rFonts w:ascii="宋体" w:hAnsi="宋体"/>
            </w:rPr>
          </w:sdtEndPr>
          <w:sdtContent>
            <w:tc>
              <w:tcPr>
                <w:tcW w:w="691"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调整后</w:t>
                </w:r>
              </w:p>
            </w:tc>
          </w:sdtContent>
        </w:sdt>
        <w:sdt>
          <w:sdtPr>
            <w:rPr>
              <w:rFonts w:ascii="宋体" w:hAnsi="宋体"/>
            </w:rPr>
            <w:tag w:val="_PLD_d0d8cd2f11004c2e9d9e3e62579bd79d"/>
            <w:id w:val="1235350783"/>
          </w:sdtPr>
          <w:sdtEndPr>
            <w:rPr>
              <w:rFonts w:ascii="宋体" w:hAnsi="宋体"/>
            </w:rPr>
          </w:sdtEndPr>
          <w:sdtContent>
            <w:tc>
              <w:tcPr>
                <w:tcW w:w="691"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调整前</w:t>
                </w:r>
              </w:p>
            </w:tc>
          </w:sdtContent>
        </w:sdt>
        <w:tc>
          <w:tcPr>
            <w:tcW w:w="573" w:type="pct"/>
            <w:vMerge w:val="continue"/>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dce37bb9485d446f92500166831b0f20"/>
            <w:id w:val="1407807788"/>
          </w:sdtPr>
          <w:sdtEndPr>
            <w:rPr>
              <w:rFonts w:ascii="宋体" w:hAnsi="宋体"/>
            </w:rPr>
          </w:sdtEndPr>
          <w:sdtContent>
            <w:tc>
              <w:tcPr>
                <w:tcW w:w="691"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调整后</w:t>
                </w:r>
              </w:p>
            </w:tc>
          </w:sdtContent>
        </w:sdt>
        <w:sdt>
          <w:sdtPr>
            <w:rPr>
              <w:rFonts w:ascii="宋体" w:hAnsi="宋体"/>
            </w:rPr>
            <w:tag w:val="_PLD_ab84bbd7163a4789942bff3e5bb6438a"/>
            <w:id w:val="118886302"/>
          </w:sdtPr>
          <w:sdtEndPr>
            <w:rPr>
              <w:rFonts w:ascii="宋体" w:hAnsi="宋体"/>
            </w:rPr>
          </w:sdtEndPr>
          <w:sdtContent>
            <w:tc>
              <w:tcPr>
                <w:tcW w:w="691"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调整前</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tcPr>
          <w:p>
            <w:pPr>
              <w:kinsoku w:val="0"/>
              <w:overflowPunct w:val="0"/>
              <w:autoSpaceDE w:val="0"/>
              <w:autoSpaceDN w:val="0"/>
              <w:adjustRightInd w:val="0"/>
              <w:snapToGrid w:val="0"/>
              <w:rPr>
                <w:rFonts w:ascii="宋体" w:hAnsi="宋体"/>
              </w:rPr>
            </w:pPr>
            <w:r>
              <w:rPr>
                <w:rFonts w:hint="eastAsia" w:ascii="宋体" w:hAnsi="宋体"/>
              </w:rPr>
              <w:t>营业收入</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150,024,860</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224,973,103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200,829,269 </w:t>
            </w:r>
          </w:p>
        </w:tc>
        <w:tc>
          <w:tcPr>
            <w:tcW w:w="573" w:type="pct"/>
            <w:vAlign w:val="center"/>
          </w:tcPr>
          <w:p>
            <w:pPr>
              <w:kinsoku w:val="0"/>
              <w:overflowPunct w:val="0"/>
              <w:autoSpaceDE w:val="0"/>
              <w:autoSpaceDN w:val="0"/>
              <w:adjustRightInd w:val="0"/>
              <w:snapToGrid w:val="0"/>
              <w:jc w:val="right"/>
              <w:rPr>
                <w:rFonts w:ascii="宋体" w:hAnsi="宋体"/>
              </w:rPr>
            </w:pPr>
            <w:r>
              <w:rPr>
                <w:rFonts w:ascii="宋体" w:hAnsi="宋体"/>
              </w:rPr>
              <w:t>-33.31</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172,402,628</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151,990,797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tcPr>
          <w:p>
            <w:pPr>
              <w:kinsoku w:val="0"/>
              <w:overflowPunct w:val="0"/>
              <w:autoSpaceDE w:val="0"/>
              <w:autoSpaceDN w:val="0"/>
              <w:adjustRightInd w:val="0"/>
              <w:snapToGrid w:val="0"/>
              <w:rPr>
                <w:rFonts w:ascii="宋体" w:hAnsi="宋体"/>
              </w:rPr>
            </w:pPr>
            <w:r>
              <w:rPr>
                <w:rFonts w:hint="eastAsia" w:ascii="宋体" w:hAnsi="宋体"/>
              </w:rPr>
              <w:t>归属于上市公司股东的净利润</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20,139,502</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33,356,920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30,773,610 </w:t>
            </w:r>
          </w:p>
        </w:tc>
        <w:tc>
          <w:tcPr>
            <w:tcW w:w="573" w:type="pct"/>
            <w:vAlign w:val="center"/>
          </w:tcPr>
          <w:p>
            <w:pPr>
              <w:kinsoku w:val="0"/>
              <w:overflowPunct w:val="0"/>
              <w:autoSpaceDE w:val="0"/>
              <w:autoSpaceDN w:val="0"/>
              <w:adjustRightInd w:val="0"/>
              <w:snapToGrid w:val="0"/>
              <w:jc w:val="right"/>
              <w:rPr>
                <w:rFonts w:ascii="宋体" w:hAnsi="宋体"/>
              </w:rPr>
            </w:pPr>
            <w:r>
              <w:rPr>
                <w:rFonts w:ascii="宋体" w:hAnsi="宋体"/>
              </w:rPr>
              <w:t>-39.62</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17,462,022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16,258,908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tcPr>
          <w:p>
            <w:pPr>
              <w:kinsoku w:val="0"/>
              <w:overflowPunct w:val="0"/>
              <w:autoSpaceDE w:val="0"/>
              <w:autoSpaceDN w:val="0"/>
              <w:adjustRightInd w:val="0"/>
              <w:snapToGrid w:val="0"/>
              <w:rPr>
                <w:rFonts w:ascii="宋体" w:hAnsi="宋体"/>
              </w:rPr>
            </w:pPr>
            <w:r>
              <w:rPr>
                <w:rFonts w:hint="eastAsia" w:ascii="宋体" w:hAnsi="宋体"/>
              </w:rPr>
              <w:t>归属于上市公司股东的扣除非经常性损益的净利润</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18,590,947</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30,282,809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30,465,651 </w:t>
            </w:r>
          </w:p>
        </w:tc>
        <w:tc>
          <w:tcPr>
            <w:tcW w:w="573" w:type="pct"/>
            <w:vAlign w:val="center"/>
          </w:tcPr>
          <w:p>
            <w:pPr>
              <w:kinsoku w:val="0"/>
              <w:overflowPunct w:val="0"/>
              <w:autoSpaceDE w:val="0"/>
              <w:autoSpaceDN w:val="0"/>
              <w:adjustRightInd w:val="0"/>
              <w:snapToGrid w:val="0"/>
              <w:jc w:val="right"/>
              <w:rPr>
                <w:rFonts w:ascii="宋体" w:hAnsi="宋体"/>
              </w:rPr>
            </w:pPr>
            <w:r>
              <w:rPr>
                <w:rFonts w:ascii="宋体" w:hAnsi="宋体"/>
              </w:rPr>
              <w:t>-38.61</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16,168,348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16,211,895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tcPr>
          <w:p>
            <w:pPr>
              <w:kinsoku w:val="0"/>
              <w:overflowPunct w:val="0"/>
              <w:autoSpaceDE w:val="0"/>
              <w:autoSpaceDN w:val="0"/>
              <w:adjustRightInd w:val="0"/>
              <w:snapToGrid w:val="0"/>
              <w:rPr>
                <w:rFonts w:ascii="宋体" w:hAnsi="宋体"/>
                <w:highlight w:val="magenta"/>
              </w:rPr>
            </w:pPr>
            <w:r>
              <w:rPr>
                <w:rFonts w:hint="eastAsia" w:ascii="宋体" w:hAnsi="宋体"/>
              </w:rPr>
              <w:t>经营活动产生的现金流量净额</w:t>
            </w:r>
            <w:r>
              <w:rPr>
                <w:rFonts w:hint="eastAsia" w:ascii="宋体" w:hAnsi="宋体"/>
                <w:vertAlign w:val="superscript"/>
              </w:rPr>
              <w:t>④</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16,167,858</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58,919,830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53,450,431</w:t>
            </w:r>
          </w:p>
        </w:tc>
        <w:tc>
          <w:tcPr>
            <w:tcW w:w="573" w:type="pct"/>
            <w:vAlign w:val="center"/>
          </w:tcPr>
          <w:p>
            <w:pPr>
              <w:kinsoku w:val="0"/>
              <w:overflowPunct w:val="0"/>
              <w:autoSpaceDE w:val="0"/>
              <w:autoSpaceDN w:val="0"/>
              <w:adjustRightInd w:val="0"/>
              <w:snapToGrid w:val="0"/>
              <w:jc w:val="right"/>
              <w:rPr>
                <w:rFonts w:ascii="宋体" w:hAnsi="宋体"/>
              </w:rPr>
            </w:pPr>
            <w:r>
              <w:rPr>
                <w:rFonts w:ascii="宋体" w:hAnsi="宋体"/>
              </w:rPr>
              <w:t>-72.56</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59,023,697</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36,181,686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71" w:type="pct"/>
            <w:vMerge w:val="restart"/>
            <w:tcBorders>
              <w:bottom w:val="single" w:color="auto" w:sz="4" w:space="0"/>
            </w:tcBorders>
          </w:tcPr>
          <w:p>
            <w:pPr>
              <w:kinsoku w:val="0"/>
              <w:overflowPunct w:val="0"/>
              <w:autoSpaceDE w:val="0"/>
              <w:autoSpaceDN w:val="0"/>
              <w:adjustRightInd w:val="0"/>
              <w:snapToGrid w:val="0"/>
              <w:rPr>
                <w:rFonts w:ascii="宋体" w:hAnsi="宋体"/>
              </w:rPr>
            </w:pPr>
          </w:p>
        </w:tc>
        <w:sdt>
          <w:sdtPr>
            <w:rPr>
              <w:rFonts w:ascii="宋体" w:hAnsi="宋体"/>
            </w:rPr>
            <w:tag w:val="_PLD_0d88b20780884c8f8b0a1f55e5d31f2e"/>
            <w:id w:val="1934474800"/>
          </w:sdtPr>
          <w:sdtEndPr>
            <w:rPr>
              <w:rFonts w:ascii="宋体" w:hAnsi="宋体"/>
            </w:rPr>
          </w:sdtEndPr>
          <w:sdtContent>
            <w:tc>
              <w:tcPr>
                <w:tcW w:w="691" w:type="pct"/>
                <w:vMerge w:val="restart"/>
                <w:tcBorders>
                  <w:bottom w:val="single" w:color="auto" w:sz="4" w:space="0"/>
                </w:tcBorders>
                <w:vAlign w:val="center"/>
              </w:tcPr>
              <w:p>
                <w:pPr>
                  <w:kinsoku w:val="0"/>
                  <w:overflowPunct w:val="0"/>
                  <w:autoSpaceDE w:val="0"/>
                  <w:autoSpaceDN w:val="0"/>
                  <w:adjustRightInd w:val="0"/>
                  <w:snapToGrid w:val="0"/>
                  <w:jc w:val="center"/>
                  <w:rPr>
                    <w:rFonts w:ascii="宋体" w:hAnsi="宋体"/>
                  </w:rPr>
                </w:pPr>
                <w:r>
                  <w:rPr>
                    <w:rFonts w:hint="eastAsia" w:ascii="宋体" w:hAnsi="宋体"/>
                  </w:rPr>
                  <w:t>2023年</w:t>
                </w:r>
                <w:r>
                  <w:rPr>
                    <w:rFonts w:ascii="宋体" w:hAnsi="宋体"/>
                  </w:rPr>
                  <w:t>末</w:t>
                </w:r>
              </w:p>
            </w:tc>
          </w:sdtContent>
        </w:sdt>
        <w:sdt>
          <w:sdtPr>
            <w:rPr>
              <w:rFonts w:ascii="宋体" w:hAnsi="宋体"/>
            </w:rPr>
            <w:tag w:val="_PLD_1be51f12ae48471fa42c1f0a53451b67"/>
            <w:id w:val="-1342231416"/>
          </w:sdtPr>
          <w:sdtEndPr>
            <w:rPr>
              <w:rFonts w:ascii="宋体" w:hAnsi="宋体"/>
            </w:rPr>
          </w:sdtEndPr>
          <w:sdtContent>
            <w:tc>
              <w:tcPr>
                <w:tcW w:w="1382" w:type="pct"/>
                <w:gridSpan w:val="2"/>
                <w:tcBorders>
                  <w:bottom w:val="single" w:color="auto" w:sz="4" w:space="0"/>
                </w:tcBorders>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2022年末</w:t>
                </w:r>
              </w:p>
            </w:tc>
          </w:sdtContent>
        </w:sdt>
        <w:sdt>
          <w:sdtPr>
            <w:rPr>
              <w:rFonts w:ascii="宋体" w:hAnsi="宋体"/>
            </w:rPr>
            <w:tag w:val="_PLD_cae4a49474404cfba06bdf34c04fcba6"/>
            <w:id w:val="-1110902835"/>
          </w:sdtPr>
          <w:sdtEndPr>
            <w:rPr>
              <w:rFonts w:ascii="宋体" w:hAnsi="宋体"/>
            </w:rPr>
          </w:sdtEndPr>
          <w:sdtContent>
            <w:tc>
              <w:tcPr>
                <w:tcW w:w="573" w:type="pct"/>
                <w:vMerge w:val="restart"/>
                <w:tcBorders>
                  <w:bottom w:val="single" w:color="auto" w:sz="4" w:space="0"/>
                </w:tcBorders>
                <w:vAlign w:val="center"/>
              </w:tcPr>
              <w:p>
                <w:pPr>
                  <w:kinsoku w:val="0"/>
                  <w:overflowPunct w:val="0"/>
                  <w:autoSpaceDE w:val="0"/>
                  <w:autoSpaceDN w:val="0"/>
                  <w:adjustRightInd w:val="0"/>
                  <w:snapToGrid w:val="0"/>
                  <w:jc w:val="center"/>
                  <w:rPr>
                    <w:rFonts w:ascii="宋体" w:hAnsi="宋体"/>
                  </w:rPr>
                </w:pPr>
                <w:r>
                  <w:rPr>
                    <w:rFonts w:ascii="宋体" w:hAnsi="宋体"/>
                  </w:rPr>
                  <w:t>本期末比上年同期末增减（</w:t>
                </w:r>
                <w:r>
                  <w:rPr>
                    <w:rFonts w:hint="eastAsia" w:ascii="宋体" w:hAnsi="宋体"/>
                  </w:rPr>
                  <w:t>%</w:t>
                </w:r>
                <w:r>
                  <w:rPr>
                    <w:rFonts w:ascii="宋体" w:hAnsi="宋体"/>
                  </w:rPr>
                  <w:t>）</w:t>
                </w:r>
              </w:p>
            </w:tc>
          </w:sdtContent>
        </w:sdt>
        <w:sdt>
          <w:sdtPr>
            <w:rPr>
              <w:rFonts w:ascii="宋体" w:hAnsi="宋体"/>
            </w:rPr>
            <w:tag w:val="_PLD_4285f5ab2f284667927910bc2a0fd13f"/>
            <w:id w:val="-283495941"/>
          </w:sdtPr>
          <w:sdtEndPr>
            <w:rPr>
              <w:rFonts w:ascii="宋体" w:hAnsi="宋体"/>
            </w:rPr>
          </w:sdtEndPr>
          <w:sdtContent>
            <w:tc>
              <w:tcPr>
                <w:tcW w:w="1382" w:type="pct"/>
                <w:gridSpan w:val="2"/>
                <w:tcBorders>
                  <w:bottom w:val="single" w:color="auto" w:sz="4" w:space="0"/>
                </w:tcBorders>
                <w:vAlign w:val="center"/>
              </w:tcPr>
              <w:p>
                <w:pPr>
                  <w:kinsoku w:val="0"/>
                  <w:overflowPunct w:val="0"/>
                  <w:autoSpaceDE w:val="0"/>
                  <w:autoSpaceDN w:val="0"/>
                  <w:adjustRightInd w:val="0"/>
                  <w:snapToGrid w:val="0"/>
                  <w:jc w:val="center"/>
                  <w:rPr>
                    <w:rFonts w:ascii="宋体" w:hAnsi="宋体"/>
                  </w:rPr>
                </w:pPr>
                <w:r>
                  <w:rPr>
                    <w:rFonts w:hint="eastAsia" w:ascii="宋体" w:hAnsi="宋体"/>
                  </w:rPr>
                  <w:t>2021年末</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71" w:type="pct"/>
            <w:vMerge w:val="continue"/>
            <w:tcBorders>
              <w:bottom w:val="single" w:color="auto" w:sz="4" w:space="0"/>
            </w:tcBorders>
          </w:tcPr>
          <w:p>
            <w:pPr>
              <w:kinsoku w:val="0"/>
              <w:overflowPunct w:val="0"/>
              <w:autoSpaceDE w:val="0"/>
              <w:autoSpaceDN w:val="0"/>
              <w:adjustRightInd w:val="0"/>
              <w:snapToGrid w:val="0"/>
              <w:rPr>
                <w:rFonts w:ascii="宋体" w:hAnsi="宋体"/>
              </w:rPr>
            </w:pPr>
          </w:p>
        </w:tc>
        <w:tc>
          <w:tcPr>
            <w:tcW w:w="691" w:type="pct"/>
            <w:vMerge w:val="continue"/>
            <w:tcBorders>
              <w:bottom w:val="single" w:color="auto" w:sz="4" w:space="0"/>
            </w:tcBorders>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07c2b8b4f1c943ac9e2f1b3bd6866a46"/>
            <w:id w:val="-1314781468"/>
          </w:sdtPr>
          <w:sdtEndPr>
            <w:rPr>
              <w:rFonts w:ascii="宋体" w:hAnsi="宋体"/>
            </w:rPr>
          </w:sdtEndPr>
          <w:sdtContent>
            <w:tc>
              <w:tcPr>
                <w:tcW w:w="691" w:type="pct"/>
                <w:tcBorders>
                  <w:bottom w:val="single" w:color="auto" w:sz="4" w:space="0"/>
                </w:tcBorders>
                <w:vAlign w:val="center"/>
              </w:tcPr>
              <w:p>
                <w:pPr>
                  <w:kinsoku w:val="0"/>
                  <w:overflowPunct w:val="0"/>
                  <w:autoSpaceDE w:val="0"/>
                  <w:autoSpaceDN w:val="0"/>
                  <w:adjustRightInd w:val="0"/>
                  <w:snapToGrid w:val="0"/>
                  <w:jc w:val="center"/>
                  <w:rPr>
                    <w:rFonts w:ascii="宋体" w:hAnsi="宋体"/>
                  </w:rPr>
                </w:pPr>
                <w:r>
                  <w:rPr>
                    <w:rFonts w:hint="eastAsia" w:ascii="宋体" w:hAnsi="宋体"/>
                  </w:rPr>
                  <w:t>调整后</w:t>
                </w:r>
              </w:p>
            </w:tc>
          </w:sdtContent>
        </w:sdt>
        <w:sdt>
          <w:sdtPr>
            <w:rPr>
              <w:rFonts w:ascii="宋体" w:hAnsi="宋体"/>
            </w:rPr>
            <w:tag w:val="_PLD_4dc48658027a438e92392fbe0be3c314"/>
            <w:id w:val="-1678951035"/>
          </w:sdtPr>
          <w:sdtEndPr>
            <w:rPr>
              <w:rFonts w:ascii="宋体" w:hAnsi="宋体"/>
            </w:rPr>
          </w:sdtEndPr>
          <w:sdtContent>
            <w:tc>
              <w:tcPr>
                <w:tcW w:w="691" w:type="pct"/>
                <w:tcBorders>
                  <w:bottom w:val="single" w:color="auto" w:sz="4" w:space="0"/>
                </w:tcBorders>
                <w:vAlign w:val="center"/>
              </w:tcPr>
              <w:p>
                <w:pPr>
                  <w:kinsoku w:val="0"/>
                  <w:overflowPunct w:val="0"/>
                  <w:autoSpaceDE w:val="0"/>
                  <w:autoSpaceDN w:val="0"/>
                  <w:adjustRightInd w:val="0"/>
                  <w:snapToGrid w:val="0"/>
                  <w:jc w:val="center"/>
                  <w:rPr>
                    <w:rFonts w:ascii="宋体" w:hAnsi="宋体"/>
                  </w:rPr>
                </w:pPr>
                <w:r>
                  <w:rPr>
                    <w:rFonts w:hint="eastAsia" w:ascii="宋体" w:hAnsi="宋体"/>
                  </w:rPr>
                  <w:t>调整前</w:t>
                </w:r>
              </w:p>
            </w:tc>
          </w:sdtContent>
        </w:sdt>
        <w:tc>
          <w:tcPr>
            <w:tcW w:w="573" w:type="pct"/>
            <w:vMerge w:val="continue"/>
            <w:tcBorders>
              <w:bottom w:val="single" w:color="auto" w:sz="4" w:space="0"/>
            </w:tcBorders>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5b052f7f26054fdab6999b7a61e0be4a"/>
            <w:id w:val="1932936795"/>
          </w:sdtPr>
          <w:sdtEndPr>
            <w:rPr>
              <w:rFonts w:ascii="宋体" w:hAnsi="宋体"/>
            </w:rPr>
          </w:sdtEndPr>
          <w:sdtContent>
            <w:tc>
              <w:tcPr>
                <w:tcW w:w="691" w:type="pct"/>
                <w:tcBorders>
                  <w:bottom w:val="single" w:color="auto" w:sz="4" w:space="0"/>
                </w:tcBorders>
                <w:vAlign w:val="center"/>
              </w:tcPr>
              <w:p>
                <w:pPr>
                  <w:kinsoku w:val="0"/>
                  <w:overflowPunct w:val="0"/>
                  <w:autoSpaceDE w:val="0"/>
                  <w:autoSpaceDN w:val="0"/>
                  <w:adjustRightInd w:val="0"/>
                  <w:snapToGrid w:val="0"/>
                  <w:jc w:val="center"/>
                  <w:rPr>
                    <w:rFonts w:ascii="宋体" w:hAnsi="宋体"/>
                  </w:rPr>
                </w:pPr>
                <w:r>
                  <w:rPr>
                    <w:rFonts w:hint="eastAsia" w:ascii="宋体" w:hAnsi="宋体"/>
                  </w:rPr>
                  <w:t>调整后</w:t>
                </w:r>
              </w:p>
            </w:tc>
          </w:sdtContent>
        </w:sdt>
        <w:sdt>
          <w:sdtPr>
            <w:rPr>
              <w:rFonts w:ascii="宋体" w:hAnsi="宋体"/>
            </w:rPr>
            <w:tag w:val="_PLD_bffd6c17c399445aa2fb60a7726c4774"/>
            <w:id w:val="1829623516"/>
          </w:sdtPr>
          <w:sdtEndPr>
            <w:rPr>
              <w:rFonts w:ascii="宋体" w:hAnsi="宋体"/>
            </w:rPr>
          </w:sdtEndPr>
          <w:sdtContent>
            <w:tc>
              <w:tcPr>
                <w:tcW w:w="691" w:type="pct"/>
                <w:tcBorders>
                  <w:bottom w:val="single" w:color="auto" w:sz="4" w:space="0"/>
                </w:tcBorders>
                <w:vAlign w:val="center"/>
              </w:tcPr>
              <w:p>
                <w:pPr>
                  <w:kinsoku w:val="0"/>
                  <w:overflowPunct w:val="0"/>
                  <w:autoSpaceDE w:val="0"/>
                  <w:autoSpaceDN w:val="0"/>
                  <w:adjustRightInd w:val="0"/>
                  <w:snapToGrid w:val="0"/>
                  <w:jc w:val="center"/>
                  <w:rPr>
                    <w:rFonts w:ascii="宋体" w:hAnsi="宋体"/>
                  </w:rPr>
                </w:pPr>
                <w:r>
                  <w:rPr>
                    <w:rFonts w:hint="eastAsia" w:ascii="宋体" w:hAnsi="宋体"/>
                  </w:rPr>
                  <w:t>调整前</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tcPr>
          <w:p>
            <w:pPr>
              <w:kinsoku w:val="0"/>
              <w:overflowPunct w:val="0"/>
              <w:autoSpaceDE w:val="0"/>
              <w:autoSpaceDN w:val="0"/>
              <w:adjustRightInd w:val="0"/>
              <w:snapToGrid w:val="0"/>
              <w:rPr>
                <w:rFonts w:ascii="宋体" w:hAnsi="宋体"/>
              </w:rPr>
            </w:pPr>
            <w:r>
              <w:rPr>
                <w:rFonts w:hint="eastAsia" w:ascii="宋体" w:hAnsi="宋体"/>
              </w:rPr>
              <w:t>归属于上市公司股东的净资产</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72,693,902</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99,850,638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94,735,306 </w:t>
            </w:r>
          </w:p>
        </w:tc>
        <w:tc>
          <w:tcPr>
            <w:tcW w:w="573" w:type="pct"/>
            <w:vAlign w:val="center"/>
          </w:tcPr>
          <w:p>
            <w:pPr>
              <w:kinsoku w:val="0"/>
              <w:overflowPunct w:val="0"/>
              <w:autoSpaceDE w:val="0"/>
              <w:autoSpaceDN w:val="0"/>
              <w:adjustRightInd w:val="0"/>
              <w:snapToGrid w:val="0"/>
              <w:jc w:val="right"/>
              <w:rPr>
                <w:rFonts w:ascii="宋体" w:hAnsi="宋体"/>
              </w:rPr>
            </w:pPr>
            <w:r>
              <w:rPr>
                <w:rFonts w:ascii="宋体" w:hAnsi="宋体"/>
              </w:rPr>
              <w:t>-27.20</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72,392,833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68,186,190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tcPr>
          <w:p>
            <w:pPr>
              <w:kinsoku w:val="0"/>
              <w:overflowPunct w:val="0"/>
              <w:autoSpaceDE w:val="0"/>
              <w:autoSpaceDN w:val="0"/>
              <w:adjustRightInd w:val="0"/>
              <w:snapToGrid w:val="0"/>
              <w:rPr>
                <w:rFonts w:ascii="宋体" w:hAnsi="宋体"/>
              </w:rPr>
            </w:pPr>
            <w:r>
              <w:rPr>
                <w:rFonts w:hint="eastAsia" w:ascii="宋体" w:hAnsi="宋体"/>
              </w:rPr>
              <w:t>总资产</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354,278,139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377,475,427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295,795,524 </w:t>
            </w:r>
          </w:p>
        </w:tc>
        <w:tc>
          <w:tcPr>
            <w:tcW w:w="57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-6.15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382,480,186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288,695,542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tcPr>
          <w:p>
            <w:pPr>
              <w:kinsoku w:val="0"/>
              <w:overflowPunct w:val="0"/>
              <w:autoSpaceDE w:val="0"/>
              <w:autoSpaceDN w:val="0"/>
              <w:adjustRightInd w:val="0"/>
              <w:snapToGrid w:val="0"/>
              <w:rPr>
                <w:rFonts w:ascii="宋体" w:hAnsi="宋体"/>
              </w:rPr>
            </w:pPr>
            <w:r>
              <w:rPr>
                <w:rFonts w:hint="eastAsia" w:ascii="宋体" w:hAnsi="宋体"/>
              </w:rPr>
              <w:t>期末总股本</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7,439,371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4,948,704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4,948,704 </w:t>
            </w:r>
          </w:p>
        </w:tc>
        <w:tc>
          <w:tcPr>
            <w:tcW w:w="57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50.33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4,874,184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4,874,184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71" w:type="pct"/>
          </w:tcPr>
          <w:p>
            <w:pPr>
              <w:kinsoku w:val="0"/>
              <w:overflowPunct w:val="0"/>
              <w:autoSpaceDE w:val="0"/>
              <w:autoSpaceDN w:val="0"/>
              <w:adjustRightInd w:val="0"/>
              <w:snapToGrid w:val="0"/>
              <w:rPr>
                <w:rFonts w:ascii="宋体" w:hAnsi="宋体"/>
              </w:rPr>
            </w:pPr>
            <w:r>
              <w:rPr>
                <w:rFonts w:hint="eastAsia" w:ascii="宋体" w:hAnsi="宋体"/>
              </w:rPr>
              <w:t>负债总额</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235,944,455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233,564,674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167,710,253 </w:t>
            </w:r>
          </w:p>
        </w:tc>
        <w:tc>
          <w:tcPr>
            <w:tcW w:w="57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1.02 </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271,800,143</w:t>
            </w:r>
          </w:p>
        </w:tc>
        <w:tc>
          <w:tcPr>
            <w:tcW w:w="691"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192,208,450 </w:t>
            </w:r>
          </w:p>
        </w:tc>
      </w:tr>
    </w:tbl>
    <w:p>
      <w:pPr>
        <w:pStyle w:val="43"/>
      </w:pPr>
    </w:p>
    <w:p>
      <w:pPr>
        <w:pStyle w:val="4"/>
        <w:numPr>
          <w:ilvl w:val="1"/>
          <w:numId w:val="5"/>
        </w:numPr>
        <w:rPr>
          <w:rFonts w:ascii="宋体" w:hAnsi="宋体"/>
          <w:szCs w:val="21"/>
        </w:rPr>
      </w:pPr>
      <w:r>
        <w:rPr>
          <w:rFonts w:ascii="宋体" w:hAnsi="宋体"/>
        </w:rPr>
        <w:t>主要财务指标</w:t>
      </w:r>
    </w:p>
    <w:tbl>
      <w:tblPr>
        <w:tblStyle w:val="135"/>
        <w:tblW w:w="52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7"/>
        <w:gridCol w:w="1352"/>
        <w:gridCol w:w="993"/>
        <w:gridCol w:w="986"/>
        <w:gridCol w:w="1299"/>
        <w:gridCol w:w="993"/>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536" w:type="pct"/>
            <w:vMerge w:val="restart"/>
            <w:vAlign w:val="center"/>
          </w:tcPr>
          <w:p>
            <w:pPr>
              <w:kinsoku w:val="0"/>
              <w:overflowPunct w:val="0"/>
              <w:autoSpaceDE w:val="0"/>
              <w:autoSpaceDN w:val="0"/>
              <w:adjustRightInd w:val="0"/>
              <w:snapToGrid w:val="0"/>
              <w:jc w:val="center"/>
              <w:rPr>
                <w:rFonts w:ascii="宋体" w:hAnsi="宋体"/>
              </w:rPr>
            </w:pPr>
            <w:sdt>
              <w:sdtPr>
                <w:rPr>
                  <w:rFonts w:ascii="宋体" w:hAnsi="宋体"/>
                </w:rPr>
                <w:tag w:val="_PLD_93f58c7dfa334f7b9687d4b507301315"/>
                <w:id w:val="710460012"/>
              </w:sdtPr>
              <w:sdtEndPr>
                <w:rPr>
                  <w:rFonts w:ascii="宋体" w:hAnsi="宋体"/>
                  <w:szCs w:val="20"/>
                </w:rPr>
              </w:sdtEndPr>
              <w:sdtContent>
                <w:r>
                  <w:rPr>
                    <w:rFonts w:ascii="宋体" w:hAnsi="宋体"/>
                  </w:rPr>
                  <w:t>主要财务指标</w:t>
                </w:r>
              </w:sdtContent>
            </w:sdt>
          </w:p>
        </w:tc>
        <w:sdt>
          <w:sdtPr>
            <w:rPr>
              <w:rFonts w:ascii="宋体" w:hAnsi="宋体"/>
            </w:rPr>
            <w:tag w:val="_PLD_3659f4cd15124b45a2a65613b16939e4"/>
            <w:id w:val="424626737"/>
          </w:sdtPr>
          <w:sdtEndPr>
            <w:rPr>
              <w:rFonts w:ascii="宋体" w:hAnsi="宋体"/>
            </w:rPr>
          </w:sdtEndPr>
          <w:sdtContent>
            <w:tc>
              <w:tcPr>
                <w:tcW w:w="712" w:type="pct"/>
                <w:vMerge w:val="restart"/>
                <w:vAlign w:val="center"/>
              </w:tcPr>
              <w:p>
                <w:pPr>
                  <w:kinsoku w:val="0"/>
                  <w:overflowPunct w:val="0"/>
                  <w:autoSpaceDE w:val="0"/>
                  <w:autoSpaceDN w:val="0"/>
                  <w:adjustRightInd w:val="0"/>
                  <w:snapToGrid w:val="0"/>
                  <w:jc w:val="center"/>
                  <w:rPr>
                    <w:rFonts w:ascii="宋体" w:hAnsi="宋体"/>
                  </w:rPr>
                </w:pPr>
                <w:r>
                  <w:rPr>
                    <w:rFonts w:hint="eastAsia" w:ascii="宋体" w:hAnsi="宋体"/>
                  </w:rPr>
                  <w:t>2023年</w:t>
                </w:r>
              </w:p>
            </w:tc>
          </w:sdtContent>
        </w:sdt>
        <w:sdt>
          <w:sdtPr>
            <w:rPr>
              <w:rFonts w:ascii="宋体" w:hAnsi="宋体"/>
            </w:rPr>
            <w:tag w:val="_PLD_dae9cb2d710c42bbaa3b9e51a4a464c6"/>
            <w:id w:val="-1669781584"/>
          </w:sdtPr>
          <w:sdtEndPr>
            <w:rPr>
              <w:rFonts w:ascii="宋体" w:hAnsi="宋体"/>
            </w:rPr>
          </w:sdtEndPr>
          <w:sdtContent>
            <w:tc>
              <w:tcPr>
                <w:tcW w:w="1042" w:type="pct"/>
                <w:gridSpan w:val="2"/>
                <w:vAlign w:val="center"/>
              </w:tcPr>
              <w:p>
                <w:pPr>
                  <w:kinsoku w:val="0"/>
                  <w:overflowPunct w:val="0"/>
                  <w:autoSpaceDE w:val="0"/>
                  <w:autoSpaceDN w:val="0"/>
                  <w:adjustRightInd w:val="0"/>
                  <w:snapToGrid w:val="0"/>
                  <w:jc w:val="center"/>
                  <w:rPr>
                    <w:rFonts w:ascii="宋体" w:hAnsi="宋体"/>
                  </w:rPr>
                </w:pPr>
                <w:r>
                  <w:rPr>
                    <w:rFonts w:hint="eastAsia" w:ascii="宋体" w:hAnsi="宋体"/>
                  </w:rPr>
                  <w:t>2022年</w:t>
                </w:r>
              </w:p>
            </w:tc>
          </w:sdtContent>
        </w:sdt>
        <w:sdt>
          <w:sdtPr>
            <w:rPr>
              <w:rFonts w:ascii="宋体" w:hAnsi="宋体"/>
            </w:rPr>
            <w:tag w:val="_PLD_88e29c5ce4054138b5713d7b61f1c304"/>
            <w:id w:val="-563258393"/>
          </w:sdtPr>
          <w:sdtEndPr>
            <w:rPr>
              <w:rFonts w:ascii="宋体" w:hAnsi="宋体"/>
            </w:rPr>
          </w:sdtEndPr>
          <w:sdtContent>
            <w:tc>
              <w:tcPr>
                <w:tcW w:w="684" w:type="pct"/>
                <w:vMerge w:val="restart"/>
                <w:vAlign w:val="center"/>
              </w:tcPr>
              <w:p>
                <w:pPr>
                  <w:kinsoku w:val="0"/>
                  <w:overflowPunct w:val="0"/>
                  <w:autoSpaceDE w:val="0"/>
                  <w:autoSpaceDN w:val="0"/>
                  <w:adjustRightInd w:val="0"/>
                  <w:snapToGrid w:val="0"/>
                  <w:jc w:val="center"/>
                  <w:rPr>
                    <w:rFonts w:ascii="宋体" w:hAnsi="宋体"/>
                  </w:rPr>
                </w:pPr>
                <w:r>
                  <w:rPr>
                    <w:rFonts w:ascii="宋体" w:hAnsi="宋体"/>
                  </w:rPr>
                  <w:t>本期比上年同期增减(%)</w:t>
                </w:r>
              </w:p>
            </w:tc>
          </w:sdtContent>
        </w:sdt>
        <w:sdt>
          <w:sdtPr>
            <w:rPr>
              <w:rFonts w:ascii="宋体" w:hAnsi="宋体"/>
            </w:rPr>
            <w:tag w:val="_PLD_09e97eecc2c848c1ae919afa66c75157"/>
            <w:id w:val="102155030"/>
          </w:sdtPr>
          <w:sdtEndPr>
            <w:rPr>
              <w:rFonts w:ascii="宋体" w:hAnsi="宋体"/>
            </w:rPr>
          </w:sdtEndPr>
          <w:sdtContent>
            <w:tc>
              <w:tcPr>
                <w:tcW w:w="1025" w:type="pct"/>
                <w:gridSpan w:val="2"/>
                <w:vAlign w:val="center"/>
              </w:tcPr>
              <w:p>
                <w:pPr>
                  <w:kinsoku w:val="0"/>
                  <w:overflowPunct w:val="0"/>
                  <w:autoSpaceDE w:val="0"/>
                  <w:autoSpaceDN w:val="0"/>
                  <w:adjustRightInd w:val="0"/>
                  <w:snapToGrid w:val="0"/>
                  <w:jc w:val="center"/>
                  <w:rPr>
                    <w:rFonts w:ascii="宋体" w:hAnsi="宋体"/>
                  </w:rPr>
                </w:pPr>
                <w:r>
                  <w:rPr>
                    <w:rFonts w:hint="eastAsia" w:ascii="宋体" w:hAnsi="宋体"/>
                  </w:rPr>
                  <w:t>2021年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pct"/>
            <w:vMerge w:val="continue"/>
            <w:vAlign w:val="center"/>
          </w:tcPr>
          <w:p>
            <w:pPr>
              <w:kinsoku w:val="0"/>
              <w:overflowPunct w:val="0"/>
              <w:autoSpaceDE w:val="0"/>
              <w:autoSpaceDN w:val="0"/>
              <w:adjustRightInd w:val="0"/>
              <w:snapToGrid w:val="0"/>
              <w:jc w:val="center"/>
              <w:rPr>
                <w:rFonts w:ascii="宋体" w:hAnsi="宋体"/>
              </w:rPr>
            </w:pPr>
          </w:p>
        </w:tc>
        <w:tc>
          <w:tcPr>
            <w:tcW w:w="712" w:type="pct"/>
            <w:vMerge w:val="continue"/>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efc67258aa8b417aaaa22e2605b69561"/>
            <w:id w:val="-1763361991"/>
          </w:sdtPr>
          <w:sdtEndPr>
            <w:rPr>
              <w:rFonts w:ascii="宋体" w:hAnsi="宋体"/>
            </w:rPr>
          </w:sdtEndPr>
          <w:sdtContent>
            <w:tc>
              <w:tcPr>
                <w:tcW w:w="523" w:type="pct"/>
                <w:vAlign w:val="center"/>
              </w:tcPr>
              <w:p>
                <w:pPr>
                  <w:kinsoku w:val="0"/>
                  <w:overflowPunct w:val="0"/>
                  <w:autoSpaceDE w:val="0"/>
                  <w:autoSpaceDN w:val="0"/>
                  <w:adjustRightInd w:val="0"/>
                  <w:snapToGrid w:val="0"/>
                  <w:jc w:val="center"/>
                  <w:rPr>
                    <w:rFonts w:ascii="宋体" w:hAnsi="宋体"/>
                  </w:rPr>
                </w:pPr>
                <w:r>
                  <w:rPr>
                    <w:rFonts w:ascii="宋体" w:hAnsi="宋体"/>
                  </w:rPr>
                  <w:t>调整后</w:t>
                </w:r>
              </w:p>
            </w:tc>
          </w:sdtContent>
        </w:sdt>
        <w:sdt>
          <w:sdtPr>
            <w:rPr>
              <w:rFonts w:ascii="宋体" w:hAnsi="宋体"/>
            </w:rPr>
            <w:tag w:val="_PLD_ed111ad35c7d40cb9525e1b94ec5fea6"/>
            <w:id w:val="1450280327"/>
          </w:sdtPr>
          <w:sdtEndPr>
            <w:rPr>
              <w:rFonts w:ascii="宋体" w:hAnsi="宋体"/>
            </w:rPr>
          </w:sdtEndPr>
          <w:sdtContent>
            <w:tc>
              <w:tcPr>
                <w:tcW w:w="519" w:type="pct"/>
                <w:vAlign w:val="center"/>
              </w:tcPr>
              <w:p>
                <w:pPr>
                  <w:kinsoku w:val="0"/>
                  <w:overflowPunct w:val="0"/>
                  <w:autoSpaceDE w:val="0"/>
                  <w:autoSpaceDN w:val="0"/>
                  <w:adjustRightInd w:val="0"/>
                  <w:snapToGrid w:val="0"/>
                  <w:jc w:val="center"/>
                  <w:rPr>
                    <w:rFonts w:ascii="宋体" w:hAnsi="宋体"/>
                  </w:rPr>
                </w:pPr>
                <w:r>
                  <w:rPr>
                    <w:rFonts w:ascii="宋体" w:hAnsi="宋体"/>
                  </w:rPr>
                  <w:t>调整</w:t>
                </w:r>
                <w:r>
                  <w:rPr>
                    <w:rFonts w:hint="eastAsia" w:ascii="宋体" w:hAnsi="宋体"/>
                  </w:rPr>
                  <w:t>前</w:t>
                </w:r>
              </w:p>
            </w:tc>
          </w:sdtContent>
        </w:sdt>
        <w:tc>
          <w:tcPr>
            <w:tcW w:w="684" w:type="pct"/>
            <w:vMerge w:val="continue"/>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6c02958175014771a1483688056fd1ed"/>
            <w:id w:val="-178357802"/>
          </w:sdtPr>
          <w:sdtEndPr>
            <w:rPr>
              <w:rFonts w:ascii="宋体" w:hAnsi="宋体"/>
            </w:rPr>
          </w:sdtEndPr>
          <w:sdtContent>
            <w:tc>
              <w:tcPr>
                <w:tcW w:w="523" w:type="pct"/>
                <w:vAlign w:val="center"/>
              </w:tcPr>
              <w:p>
                <w:pPr>
                  <w:kinsoku w:val="0"/>
                  <w:overflowPunct w:val="0"/>
                  <w:autoSpaceDE w:val="0"/>
                  <w:autoSpaceDN w:val="0"/>
                  <w:adjustRightInd w:val="0"/>
                  <w:snapToGrid w:val="0"/>
                  <w:jc w:val="center"/>
                  <w:rPr>
                    <w:rFonts w:ascii="宋体" w:hAnsi="宋体"/>
                  </w:rPr>
                </w:pPr>
                <w:r>
                  <w:rPr>
                    <w:rFonts w:ascii="宋体" w:hAnsi="宋体"/>
                  </w:rPr>
                  <w:t>调整后</w:t>
                </w:r>
              </w:p>
            </w:tc>
          </w:sdtContent>
        </w:sdt>
        <w:sdt>
          <w:sdtPr>
            <w:rPr>
              <w:rFonts w:ascii="宋体" w:hAnsi="宋体"/>
            </w:rPr>
            <w:tag w:val="_PLD_bd6188a801534444addb8f8b1d0607ab"/>
            <w:id w:val="1338191853"/>
          </w:sdtPr>
          <w:sdtEndPr>
            <w:rPr>
              <w:rFonts w:ascii="宋体" w:hAnsi="宋体"/>
            </w:rPr>
          </w:sdtEndPr>
          <w:sdtContent>
            <w:tc>
              <w:tcPr>
                <w:tcW w:w="503" w:type="pct"/>
                <w:vAlign w:val="center"/>
              </w:tcPr>
              <w:p>
                <w:pPr>
                  <w:kinsoku w:val="0"/>
                  <w:overflowPunct w:val="0"/>
                  <w:autoSpaceDE w:val="0"/>
                  <w:autoSpaceDN w:val="0"/>
                  <w:adjustRightInd w:val="0"/>
                  <w:snapToGrid w:val="0"/>
                  <w:jc w:val="center"/>
                  <w:rPr>
                    <w:rFonts w:ascii="宋体" w:hAnsi="宋体"/>
                  </w:rPr>
                </w:pPr>
                <w:r>
                  <w:rPr>
                    <w:rFonts w:ascii="宋体" w:hAnsi="宋体"/>
                  </w:rPr>
                  <w:t>调整</w:t>
                </w:r>
                <w:r>
                  <w:rPr>
                    <w:rFonts w:hint="eastAsia" w:ascii="宋体" w:hAnsi="宋体"/>
                  </w:rPr>
                  <w:t>前</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pct"/>
            <w:vAlign w:val="center"/>
          </w:tcPr>
          <w:p>
            <w:pPr>
              <w:kinsoku w:val="0"/>
              <w:overflowPunct w:val="0"/>
              <w:autoSpaceDE w:val="0"/>
              <w:autoSpaceDN w:val="0"/>
              <w:adjustRightInd w:val="0"/>
              <w:snapToGrid w:val="0"/>
              <w:rPr>
                <w:rFonts w:ascii="宋体" w:hAnsi="宋体"/>
              </w:rPr>
            </w:pPr>
            <w:r>
              <w:rPr>
                <w:rFonts w:ascii="宋体" w:hAnsi="宋体"/>
              </w:rPr>
              <w:t>基本每股收益（元／股）</w:t>
            </w:r>
          </w:p>
        </w:tc>
        <w:tc>
          <w:tcPr>
            <w:tcW w:w="712"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2.74 </w:t>
            </w:r>
          </w:p>
        </w:tc>
        <w:tc>
          <w:tcPr>
            <w:tcW w:w="52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4.55 </w:t>
            </w:r>
          </w:p>
        </w:tc>
        <w:tc>
          <w:tcPr>
            <w:tcW w:w="519"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6.30 </w:t>
            </w:r>
          </w:p>
        </w:tc>
        <w:tc>
          <w:tcPr>
            <w:tcW w:w="684"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-39.78 </w:t>
            </w:r>
          </w:p>
        </w:tc>
        <w:tc>
          <w:tcPr>
            <w:tcW w:w="52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2.39 </w:t>
            </w:r>
          </w:p>
        </w:tc>
        <w:tc>
          <w:tcPr>
            <w:tcW w:w="50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pct"/>
            <w:vAlign w:val="center"/>
          </w:tcPr>
          <w:p>
            <w:pPr>
              <w:kinsoku w:val="0"/>
              <w:overflowPunct w:val="0"/>
              <w:autoSpaceDE w:val="0"/>
              <w:autoSpaceDN w:val="0"/>
              <w:adjustRightInd w:val="0"/>
              <w:snapToGrid w:val="0"/>
              <w:rPr>
                <w:rFonts w:ascii="宋体" w:hAnsi="宋体"/>
              </w:rPr>
            </w:pPr>
            <w:r>
              <w:rPr>
                <w:rFonts w:ascii="宋体" w:hAnsi="宋体"/>
              </w:rPr>
              <w:t>稀释每股收益（元／股）</w:t>
            </w:r>
          </w:p>
        </w:tc>
        <w:tc>
          <w:tcPr>
            <w:tcW w:w="712"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2.72 </w:t>
            </w:r>
          </w:p>
        </w:tc>
        <w:tc>
          <w:tcPr>
            <w:tcW w:w="52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4.52 </w:t>
            </w:r>
          </w:p>
        </w:tc>
        <w:tc>
          <w:tcPr>
            <w:tcW w:w="519"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6.25 </w:t>
            </w:r>
          </w:p>
        </w:tc>
        <w:tc>
          <w:tcPr>
            <w:tcW w:w="684"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-39.78 </w:t>
            </w:r>
          </w:p>
        </w:tc>
        <w:tc>
          <w:tcPr>
            <w:tcW w:w="52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2.39 </w:t>
            </w:r>
          </w:p>
        </w:tc>
        <w:tc>
          <w:tcPr>
            <w:tcW w:w="50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pct"/>
            <w:vAlign w:val="center"/>
          </w:tcPr>
          <w:p>
            <w:pPr>
              <w:kinsoku w:val="0"/>
              <w:overflowPunct w:val="0"/>
              <w:autoSpaceDE w:val="0"/>
              <w:autoSpaceDN w:val="0"/>
              <w:adjustRightInd w:val="0"/>
              <w:snapToGrid w:val="0"/>
              <w:rPr>
                <w:rFonts w:ascii="宋体" w:hAnsi="宋体"/>
              </w:rPr>
            </w:pPr>
            <w:r>
              <w:rPr>
                <w:rFonts w:ascii="宋体" w:hAnsi="宋体"/>
              </w:rPr>
              <w:t>扣除非经常性损益后的基本每股收益（元／股）</w:t>
            </w:r>
          </w:p>
        </w:tc>
        <w:tc>
          <w:tcPr>
            <w:tcW w:w="712"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2.53 </w:t>
            </w:r>
          </w:p>
        </w:tc>
        <w:tc>
          <w:tcPr>
            <w:tcW w:w="52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4.13 </w:t>
            </w:r>
          </w:p>
        </w:tc>
        <w:tc>
          <w:tcPr>
            <w:tcW w:w="519"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6.24 </w:t>
            </w:r>
          </w:p>
        </w:tc>
        <w:tc>
          <w:tcPr>
            <w:tcW w:w="684"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-38.77 </w:t>
            </w:r>
          </w:p>
        </w:tc>
        <w:tc>
          <w:tcPr>
            <w:tcW w:w="52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2.21 </w:t>
            </w:r>
          </w:p>
        </w:tc>
        <w:tc>
          <w:tcPr>
            <w:tcW w:w="50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pct"/>
            <w:vAlign w:val="center"/>
          </w:tcPr>
          <w:p>
            <w:pPr>
              <w:kinsoku w:val="0"/>
              <w:overflowPunct w:val="0"/>
              <w:autoSpaceDE w:val="0"/>
              <w:autoSpaceDN w:val="0"/>
              <w:adjustRightInd w:val="0"/>
              <w:snapToGrid w:val="0"/>
              <w:rPr>
                <w:rFonts w:ascii="宋体" w:hAnsi="宋体"/>
              </w:rPr>
            </w:pPr>
            <w:r>
              <w:rPr>
                <w:rFonts w:ascii="宋体" w:hAnsi="宋体"/>
              </w:rPr>
              <w:t>加权平均净资产收益率（%）</w:t>
            </w:r>
          </w:p>
        </w:tc>
        <w:tc>
          <w:tcPr>
            <w:tcW w:w="712"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21.91 </w:t>
            </w:r>
          </w:p>
        </w:tc>
        <w:tc>
          <w:tcPr>
            <w:tcW w:w="52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39.48 </w:t>
            </w:r>
          </w:p>
        </w:tc>
        <w:tc>
          <w:tcPr>
            <w:tcW w:w="519"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38.67 </w:t>
            </w:r>
          </w:p>
        </w:tc>
        <w:tc>
          <w:tcPr>
            <w:tcW w:w="684" w:type="pct"/>
            <w:vAlign w:val="center"/>
          </w:tcPr>
          <w:p>
            <w:pPr>
              <w:kinsoku w:val="0"/>
              <w:overflowPunct w:val="0"/>
              <w:autoSpaceDE w:val="0"/>
              <w:autoSpaceDN w:val="0"/>
              <w:adjustRightInd w:val="0"/>
              <w:snapToGrid w:val="0"/>
              <w:jc w:val="right"/>
              <w:rPr>
                <w:rFonts w:ascii="宋体" w:hAnsi="宋体"/>
              </w:rPr>
            </w:pPr>
            <w:r>
              <w:rPr>
                <w:rFonts w:hint="eastAsia" w:ascii="宋体" w:hAnsi="宋体"/>
              </w:rPr>
              <w:t>减少</w:t>
            </w:r>
            <w:r>
              <w:rPr>
                <w:rFonts w:ascii="宋体" w:hAnsi="宋体"/>
              </w:rPr>
              <w:t>17.57个百分点</w:t>
            </w:r>
          </w:p>
        </w:tc>
        <w:tc>
          <w:tcPr>
            <w:tcW w:w="52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27.83 </w:t>
            </w:r>
          </w:p>
        </w:tc>
        <w:tc>
          <w:tcPr>
            <w:tcW w:w="503" w:type="pct"/>
            <w:vAlign w:val="center"/>
          </w:tcPr>
          <w:p>
            <w:pPr>
              <w:kinsoku w:val="0"/>
              <w:overflowPunct w:val="0"/>
              <w:autoSpaceDE w:val="0"/>
              <w:autoSpaceDN w:val="0"/>
              <w:adjustRightInd w:val="0"/>
              <w:snapToGrid w:val="0"/>
              <w:jc w:val="right"/>
              <w:rPr>
                <w:rFonts w:ascii="宋体" w:hAnsi="宋体"/>
              </w:rPr>
            </w:pPr>
            <w:r>
              <w:rPr>
                <w:rFonts w:ascii="宋体" w:hAnsi="宋体"/>
              </w:rPr>
              <w:t>27.78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pct"/>
            <w:vAlign w:val="center"/>
          </w:tcPr>
          <w:p>
            <w:pPr>
              <w:kinsoku w:val="0"/>
              <w:overflowPunct w:val="0"/>
              <w:autoSpaceDE w:val="0"/>
              <w:autoSpaceDN w:val="0"/>
              <w:adjustRightInd w:val="0"/>
              <w:snapToGrid w:val="0"/>
              <w:rPr>
                <w:rFonts w:ascii="宋体" w:hAnsi="宋体"/>
              </w:rPr>
            </w:pPr>
            <w:r>
              <w:rPr>
                <w:rFonts w:ascii="宋体" w:hAnsi="宋体"/>
              </w:rPr>
              <w:t>扣除非经常性损益后的加权平均净资产收益率（%）</w:t>
            </w:r>
          </w:p>
        </w:tc>
        <w:tc>
          <w:tcPr>
            <w:tcW w:w="712"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20.22 </w:t>
            </w:r>
          </w:p>
        </w:tc>
        <w:tc>
          <w:tcPr>
            <w:tcW w:w="52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35.84 </w:t>
            </w:r>
          </w:p>
        </w:tc>
        <w:tc>
          <w:tcPr>
            <w:tcW w:w="519"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38.28 </w:t>
            </w:r>
          </w:p>
        </w:tc>
        <w:tc>
          <w:tcPr>
            <w:tcW w:w="684" w:type="pct"/>
            <w:vAlign w:val="center"/>
          </w:tcPr>
          <w:p>
            <w:pPr>
              <w:kinsoku w:val="0"/>
              <w:overflowPunct w:val="0"/>
              <w:autoSpaceDE w:val="0"/>
              <w:autoSpaceDN w:val="0"/>
              <w:adjustRightInd w:val="0"/>
              <w:snapToGrid w:val="0"/>
              <w:jc w:val="right"/>
              <w:rPr>
                <w:rFonts w:ascii="宋体" w:hAnsi="宋体"/>
              </w:rPr>
            </w:pPr>
            <w:r>
              <w:rPr>
                <w:rFonts w:hint="eastAsia" w:ascii="宋体" w:hAnsi="宋体"/>
              </w:rPr>
              <w:t>减少</w:t>
            </w:r>
            <w:r>
              <w:rPr>
                <w:rFonts w:ascii="宋体" w:hAnsi="宋体"/>
              </w:rPr>
              <w:t>15.62个百分点</w:t>
            </w:r>
          </w:p>
        </w:tc>
        <w:tc>
          <w:tcPr>
            <w:tcW w:w="523" w:type="pct"/>
            <w:vAlign w:val="center"/>
          </w:tcPr>
          <w:p>
            <w:pPr>
              <w:kinsoku w:val="0"/>
              <w:overflowPunct w:val="0"/>
              <w:autoSpaceDE w:val="0"/>
              <w:autoSpaceDN w:val="0"/>
              <w:adjustRightInd w:val="0"/>
              <w:snapToGrid w:val="0"/>
              <w:jc w:val="right"/>
              <w:rPr>
                <w:rFonts w:ascii="宋体" w:hAnsi="宋体"/>
              </w:rPr>
            </w:pPr>
            <w:r>
              <w:rPr>
                <w:rFonts w:ascii="宋体" w:hAnsi="宋体"/>
              </w:rPr>
              <w:t xml:space="preserve">25.77 </w:t>
            </w:r>
          </w:p>
        </w:tc>
        <w:tc>
          <w:tcPr>
            <w:tcW w:w="503" w:type="pct"/>
            <w:vAlign w:val="center"/>
          </w:tcPr>
          <w:p>
            <w:pPr>
              <w:kinsoku w:val="0"/>
              <w:overflowPunct w:val="0"/>
              <w:autoSpaceDE w:val="0"/>
              <w:autoSpaceDN w:val="0"/>
              <w:adjustRightInd w:val="0"/>
              <w:snapToGrid w:val="0"/>
              <w:jc w:val="right"/>
              <w:rPr>
                <w:rFonts w:ascii="宋体" w:hAnsi="宋体"/>
              </w:rPr>
            </w:pPr>
            <w:r>
              <w:rPr>
                <w:rFonts w:ascii="宋体" w:hAnsi="宋体"/>
              </w:rPr>
              <w:t>27.70</w:t>
            </w:r>
          </w:p>
        </w:tc>
      </w:tr>
    </w:tbl>
    <w:p>
      <w:pPr>
        <w:kinsoku w:val="0"/>
        <w:overflowPunct w:val="0"/>
        <w:autoSpaceDE w:val="0"/>
        <w:autoSpaceDN w:val="0"/>
        <w:adjustRightInd w:val="0"/>
        <w:snapToGrid w:val="0"/>
        <w:rPr>
          <w:rFonts w:ascii="宋体" w:hAnsi="宋体"/>
        </w:rPr>
      </w:pPr>
    </w:p>
    <w:p>
      <w:pPr>
        <w:rPr>
          <w:rFonts w:ascii="宋体" w:hAnsi="宋体"/>
        </w:rPr>
      </w:pPr>
      <w:r>
        <w:rPr>
          <w:rFonts w:hint="eastAsia" w:ascii="宋体" w:hAnsi="宋体"/>
        </w:rPr>
        <w:t>报告期末公司前三年主要会计数据和财务指标的说明</w:t>
      </w:r>
    </w:p>
    <w:sdt>
      <w:sdtPr>
        <w:rPr>
          <w:rFonts w:ascii="宋体" w:hAnsi="宋体"/>
        </w:rPr>
        <w:alias w:val="是否适用：报告期末公司前三年主要会计数据和财务指标的说明[双击切换]"/>
        <w:tag w:val="_GBC_d855ab48af34454bb263a03266267a43"/>
        <w:id w:val="-143597412"/>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报告期末公司前三年主要会计数据和财务指标的说明"/>
        <w:tag w:val="_GBC_3f6a388b622d4cda9ea66de381322aa3"/>
        <w:id w:val="676542975"/>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①公司于报告期内</w:t>
          </w:r>
          <w:r>
            <w:rPr>
              <w:rFonts w:ascii="宋体" w:hAnsi="宋体"/>
            </w:rPr>
            <w:t>新增合并了鲁西矿业、</w:t>
          </w:r>
          <w:r>
            <w:rPr>
              <w:rFonts w:hint="eastAsia" w:ascii="宋体" w:hAnsi="宋体"/>
            </w:rPr>
            <w:t>新疆</w:t>
          </w:r>
          <w:r>
            <w:rPr>
              <w:rFonts w:ascii="宋体" w:hAnsi="宋体"/>
            </w:rPr>
            <w:t>能化</w:t>
          </w:r>
          <w:r>
            <w:rPr>
              <w:rFonts w:hint="eastAsia" w:ascii="宋体" w:hAnsi="宋体"/>
            </w:rPr>
            <w:t>、山能财司、</w:t>
          </w:r>
          <w:r>
            <w:rPr>
              <w:rFonts w:ascii="宋体" w:hAnsi="宋体"/>
            </w:rPr>
            <w:t>山东能源大厦上海有限公司</w:t>
          </w:r>
          <w:r>
            <w:rPr>
              <w:rFonts w:hint="eastAsia" w:ascii="宋体" w:hAnsi="宋体"/>
            </w:rPr>
            <w:t>和兖矿煤化工程有限公司（“煤化工程公司”）</w:t>
          </w:r>
          <w:r>
            <w:rPr>
              <w:rFonts w:ascii="宋体" w:hAnsi="宋体"/>
            </w:rPr>
            <w:t>的财务报表</w:t>
          </w:r>
          <w:r>
            <w:rPr>
              <w:rFonts w:hint="eastAsia" w:ascii="宋体" w:hAnsi="宋体"/>
            </w:rPr>
            <w:t>,</w:t>
          </w:r>
          <w:r>
            <w:rPr>
              <w:rFonts w:ascii="宋体" w:hAnsi="宋体"/>
            </w:rPr>
            <w:t>根据中国会计准则，上述事项构成了同一控制下企业合并，本集团对以前期间相关财务数据进行了追溯调整。</w:t>
          </w:r>
          <w:r>
            <w:rPr>
              <w:rFonts w:hint="eastAsia" w:ascii="宋体" w:hAnsi="宋体"/>
            </w:rPr>
            <w:t>因兖矿财司注销，公司不再合并其财务报表。</w:t>
          </w:r>
        </w:p>
        <w:p>
          <w:pPr>
            <w:ind w:firstLine="420" w:firstLineChars="200"/>
            <w:rPr>
              <w:rFonts w:ascii="宋体" w:hAnsi="宋体"/>
            </w:rPr>
          </w:pPr>
          <w:r>
            <w:rPr>
              <w:rFonts w:hint="eastAsia" w:ascii="宋体" w:hAnsi="宋体"/>
            </w:rPr>
            <w:t>②</w:t>
          </w:r>
          <w:r>
            <w:rPr>
              <w:rFonts w:ascii="宋体" w:hAnsi="宋体"/>
            </w:rPr>
            <w:t>公司</w:t>
          </w:r>
          <w:r>
            <w:rPr>
              <w:rFonts w:hint="eastAsia" w:ascii="宋体" w:hAnsi="宋体"/>
            </w:rPr>
            <w:t>于报告期内</w:t>
          </w:r>
          <w:r>
            <w:rPr>
              <w:rFonts w:ascii="宋体" w:hAnsi="宋体"/>
            </w:rPr>
            <w:t>完成了2018年A股股票期权激励计划第三个行权期自主行权以及相应股份过户登记</w:t>
          </w:r>
          <w:r>
            <w:rPr>
              <w:rFonts w:hint="eastAsia" w:ascii="宋体" w:hAnsi="宋体"/>
            </w:rPr>
            <w:t>、</w:t>
          </w:r>
          <w:r>
            <w:rPr>
              <w:rFonts w:ascii="宋体" w:hAnsi="宋体"/>
            </w:rPr>
            <w:t>2022年度利润分配之股票红利派发</w:t>
          </w:r>
          <w:r>
            <w:rPr>
              <w:rFonts w:hint="eastAsia" w:ascii="宋体" w:hAnsi="宋体"/>
            </w:rPr>
            <w:t>和部分限制性股票回购注销</w:t>
          </w:r>
          <w:r>
            <w:rPr>
              <w:rFonts w:ascii="宋体" w:hAnsi="宋体"/>
            </w:rPr>
            <w:t>，</w:t>
          </w:r>
          <w:bookmarkStart w:id="13" w:name="_Hlk160911083"/>
          <w:r>
            <w:rPr>
              <w:rFonts w:hint="eastAsia" w:ascii="宋体" w:hAnsi="宋体"/>
            </w:rPr>
            <w:t>截至2</w:t>
          </w:r>
          <w:r>
            <w:rPr>
              <w:rFonts w:ascii="宋体" w:hAnsi="宋体"/>
            </w:rPr>
            <w:t>023</w:t>
          </w:r>
          <w:r>
            <w:rPr>
              <w:rFonts w:hint="eastAsia" w:ascii="宋体" w:hAnsi="宋体"/>
            </w:rPr>
            <w:t>年1</w:t>
          </w:r>
          <w:r>
            <w:rPr>
              <w:rFonts w:ascii="宋体" w:hAnsi="宋体"/>
            </w:rPr>
            <w:t>2</w:t>
          </w:r>
          <w:r>
            <w:rPr>
              <w:rFonts w:hint="eastAsia" w:ascii="宋体" w:hAnsi="宋体"/>
            </w:rPr>
            <w:t>月3</w:t>
          </w:r>
          <w:r>
            <w:rPr>
              <w:rFonts w:ascii="宋体" w:hAnsi="宋体"/>
            </w:rPr>
            <w:t>1</w:t>
          </w:r>
          <w:r>
            <w:rPr>
              <w:rFonts w:hint="eastAsia" w:ascii="宋体" w:hAnsi="宋体"/>
            </w:rPr>
            <w:t>日，</w:t>
          </w:r>
          <w:bookmarkEnd w:id="13"/>
          <w:r>
            <w:rPr>
              <w:rFonts w:ascii="宋体" w:hAnsi="宋体"/>
            </w:rPr>
            <w:t>公司总股本</w:t>
          </w:r>
          <w:r>
            <w:rPr>
              <w:rFonts w:hint="eastAsia" w:ascii="宋体" w:hAnsi="宋体"/>
            </w:rPr>
            <w:t>由</w:t>
          </w:r>
          <w:r>
            <w:rPr>
              <w:rFonts w:ascii="宋体" w:hAnsi="宋体"/>
            </w:rPr>
            <w:t>4,948,703,640</w:t>
          </w:r>
          <w:r>
            <w:rPr>
              <w:rFonts w:hint="eastAsia" w:ascii="宋体" w:hAnsi="宋体"/>
            </w:rPr>
            <w:t>股调整</w:t>
          </w:r>
          <w:r>
            <w:rPr>
              <w:rFonts w:ascii="宋体" w:hAnsi="宋体"/>
            </w:rPr>
            <w:t>至7,439,370,720股，每股收益等相关指标以发行在外的普通股加权平均数计算</w:t>
          </w:r>
          <w:r>
            <w:rPr>
              <w:rFonts w:hint="eastAsia" w:ascii="宋体" w:hAnsi="宋体"/>
            </w:rPr>
            <w:t>。</w:t>
          </w:r>
        </w:p>
        <w:p>
          <w:pPr>
            <w:ind w:firstLine="420" w:firstLineChars="200"/>
            <w:rPr>
              <w:rFonts w:ascii="宋体" w:hAnsi="宋体"/>
            </w:rPr>
          </w:pPr>
          <w:r>
            <w:rPr>
              <w:rFonts w:hint="eastAsia" w:ascii="宋体" w:hAnsi="宋体"/>
            </w:rPr>
            <w:t>③报告期内公司派发了股票股利，并遵照新颁布会计准则解释调整了递延所得税会计处理方式，公司根据中国会计准则对以前年度相关财务数据进行了追溯调整。</w:t>
          </w:r>
        </w:p>
        <w:p>
          <w:pPr>
            <w:ind w:firstLine="420" w:firstLineChars="200"/>
            <w:rPr>
              <w:rFonts w:ascii="宋体" w:hAnsi="宋体"/>
              <w:highlight w:val="yellow"/>
            </w:rPr>
          </w:pPr>
          <w:r>
            <w:rPr>
              <w:rFonts w:hint="eastAsia" w:ascii="宋体" w:hAnsi="宋体"/>
            </w:rPr>
            <w:t>④山能财司对外提供存贷款等金融服务，剔除财务公司对经营活动现金流的影响后，2</w:t>
          </w:r>
          <w:r>
            <w:rPr>
              <w:rFonts w:ascii="宋体" w:hAnsi="宋体"/>
            </w:rPr>
            <w:t>023</w:t>
          </w:r>
          <w:r>
            <w:rPr>
              <w:rFonts w:hint="eastAsia" w:ascii="宋体" w:hAnsi="宋体"/>
            </w:rPr>
            <w:t>年本集团经营活动现金流净额为264.</w:t>
          </w:r>
          <w:r>
            <w:rPr>
              <w:rFonts w:ascii="宋体" w:hAnsi="宋体"/>
            </w:rPr>
            <w:t>6</w:t>
          </w:r>
          <w:r>
            <w:rPr>
              <w:rFonts w:hint="eastAsia" w:ascii="宋体" w:hAnsi="宋体"/>
            </w:rPr>
            <w:t>3亿元，同比减少444.37亿元。</w:t>
          </w:r>
        </w:p>
      </w:sdtContent>
    </w:sdt>
    <w:p>
      <w:pPr>
        <w:pStyle w:val="43"/>
      </w:pPr>
    </w:p>
    <w:p>
      <w:pPr>
        <w:pStyle w:val="3"/>
        <w:numPr>
          <w:ilvl w:val="1"/>
          <w:numId w:val="4"/>
        </w:numPr>
        <w:ind w:left="498" w:hanging="498" w:hangingChars="236"/>
        <w:rPr>
          <w:rFonts w:ascii="宋体" w:hAnsi="宋体"/>
        </w:rPr>
      </w:pPr>
      <w:r>
        <w:rPr>
          <w:rFonts w:hint="eastAsia" w:ascii="宋体" w:hAnsi="宋体"/>
        </w:rPr>
        <w:t>境内外会计准则下会计数据差异</w:t>
      </w:r>
    </w:p>
    <w:p>
      <w:pPr>
        <w:pStyle w:val="4"/>
        <w:numPr>
          <w:ilvl w:val="0"/>
          <w:numId w:val="6"/>
        </w:numPr>
        <w:rPr>
          <w:rFonts w:ascii="宋体" w:hAnsi="宋体"/>
          <w:szCs w:val="21"/>
        </w:rPr>
      </w:pPr>
      <w:r>
        <w:rPr>
          <w:rFonts w:hint="eastAsia" w:ascii="宋体" w:hAnsi="宋体"/>
          <w:szCs w:val="21"/>
        </w:rPr>
        <w:t>同时按照国际会计准则与按中国会计准则披露的财务报告中净利润和归属于上市公司股东的净资产差异情况</w:t>
      </w:r>
    </w:p>
    <w:sdt>
      <w:sdtPr>
        <w:rPr>
          <w:rFonts w:ascii="宋体" w:hAnsi="宋体"/>
        </w:rPr>
        <w:alias w:val="是否适用：同时按照国际会计准则与按中国会计准则披露的财务报告中净利润和净资产差异情况[双击切换]"/>
        <w:tag w:val="_GBC_bb9cf96a724c468d909aca01e1066e6b"/>
        <w:id w:val="853934669"/>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tabs>
          <w:tab w:val="left" w:pos="8280"/>
        </w:tabs>
        <w:kinsoku w:val="0"/>
        <w:overflowPunct w:val="0"/>
        <w:autoSpaceDE w:val="0"/>
        <w:autoSpaceDN w:val="0"/>
        <w:adjustRightInd w:val="0"/>
        <w:snapToGrid w:val="0"/>
        <w:ind w:right="25" w:rightChars="12"/>
        <w:jc w:val="right"/>
        <w:rPr>
          <w:rFonts w:ascii="宋体" w:hAnsi="宋体"/>
        </w:rPr>
      </w:pPr>
      <w:r>
        <w:rPr>
          <w:rFonts w:hint="eastAsia" w:ascii="宋体" w:hAnsi="宋体"/>
        </w:rPr>
        <w:t>单位：</w:t>
      </w:r>
      <w:sdt>
        <w:sdtPr>
          <w:rPr>
            <w:rFonts w:hint="eastAsia" w:ascii="宋体" w:hAnsi="宋体"/>
          </w:rPr>
          <w:alias w:val="单位：同时按照国际会计准则与按中国会计准则披露的财务报告中净利润和净资产差异情况"/>
          <w:tag w:val="_GBC_14cb6a26a6344a4db79dfc468b7ffbbf"/>
          <w:id w:val="-2079745568"/>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千元</w:t>
          </w:r>
        </w:sdtContent>
      </w:sdt>
      <w:r>
        <w:rPr>
          <w:rFonts w:hint="eastAsia" w:ascii="宋体" w:hAnsi="宋体"/>
        </w:rPr>
        <w:t xml:space="preserve">  币种：</w:t>
      </w:r>
      <w:sdt>
        <w:sdtPr>
          <w:rPr>
            <w:rFonts w:hint="eastAsia" w:ascii="宋体" w:hAnsi="宋体"/>
          </w:rPr>
          <w:alias w:val="币种：同时按照国际会计准则与按中国会计准则披露的财务报告中净利润和净资产差异情况"/>
          <w:tag w:val="_GBC_7af3236bd967441fb6b9bcf57c2f174a"/>
          <w:id w:val="1986040188"/>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lang w:eastAsia="zh-CN"/>
            </w:rPr>
            <w:t>人民币</w:t>
          </w:r>
        </w:sdtContent>
      </w:sdt>
    </w:p>
    <w:tbl>
      <w:tblPr>
        <w:tblStyle w:val="37"/>
        <w:tblW w:w="50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810"/>
        <w:gridCol w:w="1810"/>
        <w:gridCol w:w="181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vMerge w:val="restart"/>
          </w:tcPr>
          <w:p>
            <w:pPr>
              <w:kinsoku w:val="0"/>
              <w:overflowPunct w:val="0"/>
              <w:autoSpaceDE w:val="0"/>
              <w:autoSpaceDN w:val="0"/>
              <w:adjustRightInd w:val="0"/>
              <w:snapToGrid w:val="0"/>
              <w:jc w:val="center"/>
              <w:rPr>
                <w:rFonts w:ascii="宋体" w:hAnsi="宋体"/>
                <w:color w:val="000000"/>
              </w:rPr>
            </w:pPr>
          </w:p>
        </w:tc>
        <w:sdt>
          <w:sdtPr>
            <w:rPr>
              <w:rFonts w:ascii="宋体" w:hAnsi="宋体"/>
            </w:rPr>
            <w:tag w:val="_PLD_f3df29bb3ba04320b5d912920acb826f"/>
            <w:id w:val="-1838917907"/>
          </w:sdtPr>
          <w:sdtEndPr>
            <w:rPr>
              <w:rFonts w:ascii="宋体" w:hAnsi="宋体"/>
            </w:rPr>
          </w:sdtEndPr>
          <w:sdtContent>
            <w:tc>
              <w:tcPr>
                <w:tcW w:w="1968" w:type="pct"/>
                <w:gridSpan w:val="2"/>
                <w:vAlign w:val="center"/>
              </w:tcPr>
              <w:p>
                <w:pPr>
                  <w:kinsoku w:val="0"/>
                  <w:overflowPunct w:val="0"/>
                  <w:autoSpaceDE w:val="0"/>
                  <w:autoSpaceDN w:val="0"/>
                  <w:adjustRightInd w:val="0"/>
                  <w:snapToGrid w:val="0"/>
                  <w:jc w:val="center"/>
                  <w:rPr>
                    <w:rFonts w:ascii="宋体" w:hAnsi="宋体"/>
                  </w:rPr>
                </w:pPr>
                <w:r>
                  <w:rPr>
                    <w:rFonts w:hint="eastAsia" w:ascii="宋体" w:hAnsi="宋体"/>
                  </w:rPr>
                  <w:t>归属于上市公司股东的净利润</w:t>
                </w:r>
              </w:p>
            </w:tc>
          </w:sdtContent>
        </w:sdt>
        <w:sdt>
          <w:sdtPr>
            <w:rPr>
              <w:rFonts w:ascii="宋体" w:hAnsi="宋体"/>
            </w:rPr>
            <w:tag w:val="_PLD_47524ba6d1c04199a74550f7cb22944e"/>
            <w:id w:val="703903659"/>
          </w:sdtPr>
          <w:sdtEndPr>
            <w:rPr>
              <w:rFonts w:ascii="宋体" w:hAnsi="宋体"/>
            </w:rPr>
          </w:sdtEndPr>
          <w:sdtContent>
            <w:tc>
              <w:tcPr>
                <w:tcW w:w="1968" w:type="pct"/>
                <w:gridSpan w:val="2"/>
                <w:vAlign w:val="center"/>
              </w:tcPr>
              <w:p>
                <w:pPr>
                  <w:kinsoku w:val="0"/>
                  <w:overflowPunct w:val="0"/>
                  <w:autoSpaceDE w:val="0"/>
                  <w:autoSpaceDN w:val="0"/>
                  <w:adjustRightInd w:val="0"/>
                  <w:snapToGrid w:val="0"/>
                  <w:jc w:val="center"/>
                  <w:rPr>
                    <w:rFonts w:ascii="宋体" w:hAnsi="宋体"/>
                  </w:rPr>
                </w:pPr>
                <w:r>
                  <w:rPr>
                    <w:rFonts w:hint="eastAsia" w:ascii="宋体" w:hAnsi="宋体"/>
                  </w:rPr>
                  <w:t>归属于上市公司股东的净资产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vMerge w:val="continue"/>
          </w:tcPr>
          <w:p>
            <w:pPr>
              <w:kinsoku w:val="0"/>
              <w:overflowPunct w:val="0"/>
              <w:autoSpaceDE w:val="0"/>
              <w:autoSpaceDN w:val="0"/>
              <w:adjustRightInd w:val="0"/>
              <w:snapToGrid w:val="0"/>
              <w:rPr>
                <w:rFonts w:ascii="宋体" w:hAnsi="宋体"/>
                <w:color w:val="000000"/>
              </w:rPr>
            </w:pPr>
          </w:p>
        </w:tc>
        <w:sdt>
          <w:sdtPr>
            <w:rPr>
              <w:rFonts w:ascii="宋体" w:hAnsi="宋体"/>
            </w:rPr>
            <w:tag w:val="_PLD_caf94f6d308e4f16a36c7e5e16db18e7"/>
            <w:id w:val="-1846777070"/>
          </w:sdtPr>
          <w:sdtEndPr>
            <w:rPr>
              <w:rFonts w:ascii="宋体" w:hAnsi="宋体"/>
            </w:rPr>
          </w:sdtEndPr>
          <w:sdtContent>
            <w:tc>
              <w:tcPr>
                <w:tcW w:w="984" w:type="pct"/>
                <w:vAlign w:val="center"/>
              </w:tcPr>
              <w:p>
                <w:pPr>
                  <w:kinsoku w:val="0"/>
                  <w:overflowPunct w:val="0"/>
                  <w:autoSpaceDE w:val="0"/>
                  <w:autoSpaceDN w:val="0"/>
                  <w:adjustRightInd w:val="0"/>
                  <w:snapToGrid w:val="0"/>
                  <w:ind w:right="180"/>
                  <w:jc w:val="center"/>
                  <w:rPr>
                    <w:rFonts w:ascii="宋体" w:hAnsi="宋体"/>
                    <w:color w:val="000000"/>
                  </w:rPr>
                </w:pPr>
                <w:r>
                  <w:rPr>
                    <w:rFonts w:hint="eastAsia" w:ascii="宋体" w:hAnsi="宋体"/>
                  </w:rPr>
                  <w:t>本期数</w:t>
                </w:r>
              </w:p>
            </w:tc>
          </w:sdtContent>
        </w:sdt>
        <w:sdt>
          <w:sdtPr>
            <w:rPr>
              <w:rFonts w:ascii="宋体" w:hAnsi="宋体"/>
            </w:rPr>
            <w:tag w:val="_PLD_df82ced3820a41b9ab01b14e70e76e3c"/>
            <w:id w:val="-195777972"/>
          </w:sdtPr>
          <w:sdtEndPr>
            <w:rPr>
              <w:rFonts w:ascii="宋体" w:hAnsi="宋体"/>
            </w:rPr>
          </w:sdtEndPr>
          <w:sdtContent>
            <w:tc>
              <w:tcPr>
                <w:tcW w:w="984" w:type="pct"/>
                <w:vAlign w:val="center"/>
              </w:tcPr>
              <w:p>
                <w:pPr>
                  <w:kinsoku w:val="0"/>
                  <w:overflowPunct w:val="0"/>
                  <w:autoSpaceDE w:val="0"/>
                  <w:autoSpaceDN w:val="0"/>
                  <w:adjustRightInd w:val="0"/>
                  <w:snapToGrid w:val="0"/>
                  <w:ind w:right="180"/>
                  <w:jc w:val="center"/>
                  <w:rPr>
                    <w:rFonts w:ascii="宋体" w:hAnsi="宋体"/>
                    <w:color w:val="000000"/>
                  </w:rPr>
                </w:pPr>
                <w:r>
                  <w:rPr>
                    <w:rFonts w:hint="eastAsia" w:ascii="宋体" w:hAnsi="宋体"/>
                  </w:rPr>
                  <w:t>上期数</w:t>
                </w:r>
              </w:p>
            </w:tc>
          </w:sdtContent>
        </w:sdt>
        <w:sdt>
          <w:sdtPr>
            <w:rPr>
              <w:rFonts w:ascii="宋体" w:hAnsi="宋体"/>
            </w:rPr>
            <w:tag w:val="_PLD_eb4e02e8ebf64df38689c7fedf0e031b"/>
            <w:id w:val="-1955624798"/>
          </w:sdtPr>
          <w:sdtEndPr>
            <w:rPr>
              <w:rFonts w:ascii="宋体" w:hAnsi="宋体"/>
            </w:rPr>
          </w:sdtEndPr>
          <w:sdtContent>
            <w:tc>
              <w:tcPr>
                <w:tcW w:w="984" w:type="pct"/>
                <w:vAlign w:val="center"/>
              </w:tcPr>
              <w:p>
                <w:pPr>
                  <w:kinsoku w:val="0"/>
                  <w:overflowPunct w:val="0"/>
                  <w:autoSpaceDE w:val="0"/>
                  <w:autoSpaceDN w:val="0"/>
                  <w:adjustRightInd w:val="0"/>
                  <w:snapToGrid w:val="0"/>
                  <w:ind w:right="180"/>
                  <w:jc w:val="center"/>
                  <w:rPr>
                    <w:rFonts w:ascii="宋体" w:hAnsi="宋体"/>
                    <w:color w:val="000000"/>
                  </w:rPr>
                </w:pPr>
                <w:r>
                  <w:rPr>
                    <w:rFonts w:hint="eastAsia" w:ascii="宋体" w:hAnsi="宋体"/>
                  </w:rPr>
                  <w:t>期末数</w:t>
                </w:r>
              </w:p>
            </w:tc>
          </w:sdtContent>
        </w:sdt>
        <w:sdt>
          <w:sdtPr>
            <w:rPr>
              <w:rFonts w:ascii="宋体" w:hAnsi="宋体"/>
            </w:rPr>
            <w:tag w:val="_PLD_52ac7649d8b34876beaddd780c59a8a1"/>
            <w:id w:val="528991860"/>
          </w:sdtPr>
          <w:sdtEndPr>
            <w:rPr>
              <w:rFonts w:ascii="宋体" w:hAnsi="宋体"/>
            </w:rPr>
          </w:sdtEndPr>
          <w:sdtContent>
            <w:tc>
              <w:tcPr>
                <w:tcW w:w="984" w:type="pct"/>
                <w:vAlign w:val="center"/>
              </w:tcPr>
              <w:p>
                <w:pPr>
                  <w:kinsoku w:val="0"/>
                  <w:overflowPunct w:val="0"/>
                  <w:autoSpaceDE w:val="0"/>
                  <w:autoSpaceDN w:val="0"/>
                  <w:adjustRightInd w:val="0"/>
                  <w:snapToGrid w:val="0"/>
                  <w:ind w:right="180"/>
                  <w:jc w:val="center"/>
                  <w:rPr>
                    <w:rFonts w:ascii="宋体" w:hAnsi="宋体"/>
                    <w:color w:val="000000"/>
                  </w:rPr>
                </w:pPr>
                <w:r>
                  <w:rPr>
                    <w:rFonts w:hint="eastAsia" w:ascii="宋体" w:hAnsi="宋体"/>
                  </w:rPr>
                  <w:t>期初数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tcPr>
          <w:p>
            <w:pPr>
              <w:kinsoku w:val="0"/>
              <w:overflowPunct w:val="0"/>
              <w:autoSpaceDE w:val="0"/>
              <w:autoSpaceDN w:val="0"/>
              <w:adjustRightInd w:val="0"/>
              <w:snapToGrid w:val="0"/>
              <w:rPr>
                <w:rFonts w:ascii="宋体" w:hAnsi="宋体"/>
                <w:color w:val="000000"/>
              </w:rPr>
            </w:pPr>
            <w:r>
              <w:rPr>
                <w:rFonts w:hint="eastAsia" w:ascii="宋体" w:hAnsi="宋体"/>
              </w:rPr>
              <w:t>按中国会计准则</w:t>
            </w:r>
          </w:p>
        </w:tc>
        <w:tc>
          <w:tcPr>
            <w:tcW w:w="984" w:type="pct"/>
          </w:tcPr>
          <w:p>
            <w:pPr>
              <w:kinsoku w:val="0"/>
              <w:overflowPunct w:val="0"/>
              <w:autoSpaceDE w:val="0"/>
              <w:autoSpaceDN w:val="0"/>
              <w:adjustRightInd w:val="0"/>
              <w:snapToGrid w:val="0"/>
              <w:jc w:val="right"/>
              <w:rPr>
                <w:rFonts w:ascii="宋体" w:hAnsi="宋体"/>
              </w:rPr>
            </w:pPr>
            <w:r>
              <w:rPr>
                <w:rFonts w:ascii="宋体" w:hAnsi="宋体"/>
              </w:rPr>
              <w:t>20,139,502</w:t>
            </w:r>
          </w:p>
        </w:tc>
        <w:tc>
          <w:tcPr>
            <w:tcW w:w="984" w:type="pct"/>
          </w:tcPr>
          <w:p>
            <w:pPr>
              <w:kinsoku w:val="0"/>
              <w:overflowPunct w:val="0"/>
              <w:autoSpaceDE w:val="0"/>
              <w:autoSpaceDN w:val="0"/>
              <w:adjustRightInd w:val="0"/>
              <w:snapToGrid w:val="0"/>
              <w:jc w:val="right"/>
              <w:rPr>
                <w:rFonts w:ascii="宋体" w:hAnsi="宋体"/>
              </w:rPr>
            </w:pPr>
            <w:r>
              <w:rPr>
                <w:rFonts w:ascii="宋体" w:hAnsi="宋体"/>
              </w:rPr>
              <w:t>33,356,920</w:t>
            </w:r>
          </w:p>
        </w:tc>
        <w:tc>
          <w:tcPr>
            <w:tcW w:w="984" w:type="pct"/>
          </w:tcPr>
          <w:p>
            <w:pPr>
              <w:kinsoku w:val="0"/>
              <w:overflowPunct w:val="0"/>
              <w:autoSpaceDE w:val="0"/>
              <w:autoSpaceDN w:val="0"/>
              <w:adjustRightInd w:val="0"/>
              <w:snapToGrid w:val="0"/>
              <w:ind w:left="210" w:leftChars="100"/>
              <w:jc w:val="right"/>
              <w:rPr>
                <w:rFonts w:ascii="宋体" w:hAnsi="宋体"/>
              </w:rPr>
            </w:pPr>
            <w:r>
              <w:rPr>
                <w:rFonts w:ascii="宋体" w:hAnsi="宋体"/>
              </w:rPr>
              <w:t>72,693,902</w:t>
            </w:r>
          </w:p>
        </w:tc>
        <w:tc>
          <w:tcPr>
            <w:tcW w:w="984" w:type="pct"/>
          </w:tcPr>
          <w:p>
            <w:pPr>
              <w:kinsoku w:val="0"/>
              <w:overflowPunct w:val="0"/>
              <w:autoSpaceDE w:val="0"/>
              <w:autoSpaceDN w:val="0"/>
              <w:adjustRightInd w:val="0"/>
              <w:snapToGrid w:val="0"/>
              <w:jc w:val="right"/>
              <w:rPr>
                <w:rFonts w:ascii="宋体" w:hAnsi="宋体"/>
              </w:rPr>
            </w:pPr>
            <w:r>
              <w:rPr>
                <w:rFonts w:ascii="宋体" w:hAnsi="宋体"/>
              </w:rPr>
              <w:t>99,850,638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06fc3e6fa5c2436396cd98b45a0dc4eb"/>
            <w:id w:val="-1011682770"/>
          </w:sdtPr>
          <w:sdtEndPr>
            <w:rPr>
              <w:rFonts w:ascii="宋体" w:hAnsi="宋体"/>
            </w:rPr>
          </w:sdtEndPr>
          <w:sdtContent>
            <w:tc>
              <w:tcPr>
                <w:tcW w:w="5000" w:type="pct"/>
                <w:gridSpan w:val="5"/>
              </w:tcPr>
              <w:p>
                <w:pPr>
                  <w:kinsoku w:val="0"/>
                  <w:overflowPunct w:val="0"/>
                  <w:autoSpaceDE w:val="0"/>
                  <w:autoSpaceDN w:val="0"/>
                  <w:adjustRightInd w:val="0"/>
                  <w:snapToGrid w:val="0"/>
                  <w:ind w:right="180"/>
                  <w:rPr>
                    <w:rFonts w:ascii="宋体" w:hAnsi="宋体"/>
                  </w:rPr>
                </w:pPr>
                <w:r>
                  <w:rPr>
                    <w:rFonts w:hint="eastAsia" w:ascii="宋体" w:hAnsi="宋体"/>
                  </w:rPr>
                  <w:t>按国际会计准则调整的项目及金额：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tcPr>
          <w:p>
            <w:pPr>
              <w:kinsoku w:val="0"/>
              <w:overflowPunct w:val="0"/>
              <w:autoSpaceDE w:val="0"/>
              <w:autoSpaceDN w:val="0"/>
              <w:adjustRightInd w:val="0"/>
              <w:snapToGrid w:val="0"/>
              <w:rPr>
                <w:rFonts w:ascii="宋体" w:hAnsi="宋体" w:cstheme="minorBidi"/>
              </w:rPr>
            </w:pPr>
            <w:r>
              <w:rPr>
                <w:rFonts w:hint="eastAsia" w:ascii="Times New Roman" w:hAnsi="Times New Roman"/>
              </w:rPr>
              <w:t>1. 同一控制下合并</w:t>
            </w:r>
            <w:r>
              <w:rPr>
                <w:rFonts w:hint="eastAsia" w:ascii="宋体" w:hAnsi="宋体"/>
                <w:vertAlign w:val="superscript"/>
              </w:rPr>
              <w:t>①</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1,554,521</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2,905,560</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-31,134,227</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-4,043,076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tcPr>
          <w:p>
            <w:pPr>
              <w:kinsoku w:val="0"/>
              <w:overflowPunct w:val="0"/>
              <w:autoSpaceDE w:val="0"/>
              <w:autoSpaceDN w:val="0"/>
              <w:adjustRightInd w:val="0"/>
              <w:snapToGrid w:val="0"/>
              <w:rPr>
                <w:rFonts w:ascii="宋体" w:hAnsi="宋体" w:cstheme="minorBidi"/>
              </w:rPr>
            </w:pPr>
            <w:r>
              <w:rPr>
                <w:rFonts w:hint="eastAsia" w:ascii="Times New Roman" w:hAnsi="Times New Roman"/>
              </w:rPr>
              <w:t>2. 专项储备</w:t>
            </w:r>
            <w:r>
              <w:rPr>
                <w:rFonts w:hint="eastAsia" w:ascii="宋体" w:hAnsi="宋体"/>
                <w:vertAlign w:val="superscript"/>
              </w:rPr>
              <w:t>②</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1,217,481</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145,643</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-28,157</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-31,613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tcPr>
          <w:p>
            <w:pPr>
              <w:kinsoku w:val="0"/>
              <w:overflowPunct w:val="0"/>
              <w:autoSpaceDE w:val="0"/>
              <w:autoSpaceDN w:val="0"/>
              <w:adjustRightInd w:val="0"/>
              <w:snapToGrid w:val="0"/>
              <w:rPr>
                <w:rFonts w:ascii="宋体" w:hAnsi="宋体" w:cstheme="minorBidi"/>
              </w:rPr>
            </w:pPr>
            <w:r>
              <w:rPr>
                <w:rFonts w:hint="eastAsia" w:ascii="Times New Roman" w:hAnsi="Times New Roman"/>
              </w:rPr>
              <w:t>3. 永续资本债券</w:t>
            </w:r>
            <w:r>
              <w:rPr>
                <w:rFonts w:hint="eastAsia" w:ascii="宋体" w:hAnsi="宋体"/>
                <w:vertAlign w:val="superscript"/>
              </w:rPr>
              <w:t>③</w:t>
            </w:r>
          </w:p>
        </w:tc>
        <w:tc>
          <w:tcPr>
            <w:tcW w:w="984" w:type="pct"/>
            <w:vAlign w:val="center"/>
          </w:tcPr>
          <w:p>
            <w:pPr>
              <w:kinsoku w:val="0"/>
              <w:overflowPunct w:val="0"/>
              <w:autoSpaceDE w:val="0"/>
              <w:autoSpaceDN w:val="0"/>
              <w:adjustRightInd w:val="0"/>
              <w:snapToGrid w:val="0"/>
              <w:jc w:val="right"/>
              <w:rPr>
                <w:rFonts w:ascii="宋体" w:hAnsi="宋体"/>
              </w:rPr>
            </w:pPr>
            <w:r>
              <w:rPr>
                <w:rFonts w:hint="eastAsia" w:ascii="宋体" w:hAnsi="宋体"/>
              </w:rPr>
              <w:t>-</w:t>
            </w:r>
          </w:p>
        </w:tc>
        <w:tc>
          <w:tcPr>
            <w:tcW w:w="984" w:type="pct"/>
            <w:vAlign w:val="center"/>
          </w:tcPr>
          <w:p>
            <w:pPr>
              <w:kinsoku w:val="0"/>
              <w:overflowPunct w:val="0"/>
              <w:autoSpaceDE w:val="0"/>
              <w:autoSpaceDN w:val="0"/>
              <w:adjustRightInd w:val="0"/>
              <w:snapToGrid w:val="0"/>
              <w:jc w:val="right"/>
              <w:rPr>
                <w:rFonts w:ascii="宋体" w:hAnsi="宋体"/>
              </w:rPr>
            </w:pPr>
            <w:r>
              <w:rPr>
                <w:rFonts w:hint="eastAsia" w:ascii="宋体" w:hAnsi="宋体"/>
              </w:rPr>
              <w:t>-</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16,541,777</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13,248,614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tcPr>
          <w:p>
            <w:pPr>
              <w:kinsoku w:val="0"/>
              <w:overflowPunct w:val="0"/>
              <w:autoSpaceDE w:val="0"/>
              <w:autoSpaceDN w:val="0"/>
              <w:adjustRightInd w:val="0"/>
              <w:snapToGrid w:val="0"/>
              <w:rPr>
                <w:rFonts w:ascii="宋体" w:hAnsi="宋体" w:cstheme="minorBidi"/>
              </w:rPr>
            </w:pPr>
            <w:r>
              <w:rPr>
                <w:rFonts w:hint="eastAsia" w:ascii="Times New Roman" w:hAnsi="Times New Roman"/>
              </w:rPr>
              <w:t>4.无形资产减值损失</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10,199</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10,199</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-69,042</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-79,241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tcPr>
          <w:p>
            <w:pPr>
              <w:kinsoku w:val="0"/>
              <w:overflowPunct w:val="0"/>
              <w:autoSpaceDE w:val="0"/>
              <w:autoSpaceDN w:val="0"/>
              <w:adjustRightInd w:val="0"/>
              <w:snapToGrid w:val="0"/>
              <w:rPr>
                <w:rFonts w:ascii="宋体" w:hAnsi="宋体" w:cstheme="minorBidi"/>
              </w:rPr>
            </w:pPr>
            <w:r>
              <w:rPr>
                <w:rFonts w:hint="eastAsia" w:ascii="Times New Roman" w:hAnsi="Times New Roman"/>
              </w:rPr>
              <w:t>5.递延税项</w:t>
            </w:r>
            <w:r>
              <w:rPr>
                <w:rFonts w:hint="eastAsia" w:ascii="宋体" w:hAnsi="宋体"/>
                <w:vertAlign w:val="superscript"/>
              </w:rPr>
              <w:t>④</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-421,671</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-122,704</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-165,665</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256,006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tcPr>
          <w:p>
            <w:pPr>
              <w:kinsoku w:val="0"/>
              <w:overflowPunct w:val="0"/>
              <w:autoSpaceDE w:val="0"/>
              <w:autoSpaceDN w:val="0"/>
              <w:adjustRightInd w:val="0"/>
              <w:snapToGrid w:val="0"/>
              <w:rPr>
                <w:rFonts w:ascii="宋体" w:hAnsi="宋体" w:cstheme="minorBidi"/>
              </w:rPr>
            </w:pPr>
            <w:r>
              <w:rPr>
                <w:rFonts w:hint="eastAsia" w:ascii="宋体" w:hAnsi="宋体" w:cstheme="minorBidi"/>
              </w:rPr>
              <w:t>6</w:t>
            </w:r>
            <w:r>
              <w:rPr>
                <w:rFonts w:ascii="宋体" w:hAnsi="宋体" w:cstheme="minorBidi"/>
              </w:rPr>
              <w:t>.</w:t>
            </w:r>
            <w:r>
              <w:rPr>
                <w:rFonts w:hint="eastAsia" w:ascii="宋体" w:hAnsi="宋体" w:cstheme="minorBidi"/>
              </w:rPr>
              <w:t>其他</w:t>
            </w:r>
          </w:p>
        </w:tc>
        <w:tc>
          <w:tcPr>
            <w:tcW w:w="984" w:type="pct"/>
            <w:vAlign w:val="center"/>
          </w:tcPr>
          <w:p>
            <w:pPr>
              <w:kinsoku w:val="0"/>
              <w:overflowPunct w:val="0"/>
              <w:autoSpaceDE w:val="0"/>
              <w:autoSpaceDN w:val="0"/>
              <w:adjustRightInd w:val="0"/>
              <w:snapToGrid w:val="0"/>
              <w:jc w:val="right"/>
              <w:rPr>
                <w:rFonts w:ascii="宋体" w:hAnsi="宋体"/>
              </w:rPr>
            </w:pPr>
            <w:r>
              <w:rPr>
                <w:rFonts w:hint="eastAsia" w:ascii="宋体" w:hAnsi="宋体"/>
              </w:rPr>
              <w:t>-</w:t>
            </w:r>
          </w:p>
        </w:tc>
        <w:tc>
          <w:tcPr>
            <w:tcW w:w="984" w:type="pct"/>
            <w:vAlign w:val="center"/>
          </w:tcPr>
          <w:p>
            <w:pPr>
              <w:kinsoku w:val="0"/>
              <w:overflowPunct w:val="0"/>
              <w:autoSpaceDE w:val="0"/>
              <w:autoSpaceDN w:val="0"/>
              <w:adjustRightInd w:val="0"/>
              <w:snapToGrid w:val="0"/>
              <w:jc w:val="right"/>
              <w:rPr>
                <w:rFonts w:ascii="宋体" w:hAnsi="宋体"/>
              </w:rPr>
            </w:pPr>
            <w:r>
              <w:rPr>
                <w:rFonts w:hint="eastAsia" w:ascii="宋体" w:hAnsi="宋体"/>
              </w:rPr>
              <w:t>-</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647,648</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647,648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tcPr>
          <w:p>
            <w:pPr>
              <w:kinsoku w:val="0"/>
              <w:overflowPunct w:val="0"/>
              <w:autoSpaceDE w:val="0"/>
              <w:autoSpaceDN w:val="0"/>
              <w:adjustRightInd w:val="0"/>
              <w:snapToGrid w:val="0"/>
              <w:rPr>
                <w:rFonts w:ascii="宋体" w:hAnsi="宋体"/>
                <w:color w:val="000000"/>
              </w:rPr>
            </w:pPr>
            <w:r>
              <w:rPr>
                <w:rFonts w:hint="eastAsia" w:ascii="宋体" w:hAnsi="宋体"/>
              </w:rPr>
              <w:t>按国际会计准则</w:t>
            </w:r>
          </w:p>
        </w:tc>
        <w:tc>
          <w:tcPr>
            <w:tcW w:w="984" w:type="pct"/>
            <w:vAlign w:val="center"/>
          </w:tcPr>
          <w:p>
            <w:pPr>
              <w:kinsoku w:val="0"/>
              <w:overflowPunct w:val="0"/>
              <w:autoSpaceDE w:val="0"/>
              <w:autoSpaceDN w:val="0"/>
              <w:adjustRightInd w:val="0"/>
              <w:snapToGrid w:val="0"/>
              <w:jc w:val="right"/>
              <w:rPr>
                <w:rFonts w:ascii="宋体" w:hAnsi="宋体"/>
              </w:rPr>
            </w:pPr>
            <w:r>
              <w:rPr>
                <w:rFonts w:ascii="宋体" w:hAnsi="宋体"/>
              </w:rPr>
              <w:t>17,778,972</w:t>
            </w:r>
          </w:p>
        </w:tc>
        <w:tc>
          <w:tcPr>
            <w:tcW w:w="984" w:type="pct"/>
            <w:vAlign w:val="center"/>
          </w:tcPr>
          <w:p>
            <w:pPr>
              <w:kinsoku w:val="0"/>
              <w:overflowPunct w:val="0"/>
              <w:autoSpaceDE w:val="0"/>
              <w:autoSpaceDN w:val="0"/>
              <w:adjustRightInd w:val="0"/>
              <w:snapToGrid w:val="0"/>
              <w:jc w:val="right"/>
              <w:rPr>
                <w:rFonts w:ascii="宋体" w:hAnsi="宋体"/>
                <w:bCs/>
              </w:rPr>
            </w:pPr>
            <w:r>
              <w:rPr>
                <w:rFonts w:ascii="宋体" w:hAnsi="宋体"/>
              </w:rPr>
              <w:t>30,418,222</w:t>
            </w:r>
          </w:p>
        </w:tc>
        <w:tc>
          <w:tcPr>
            <w:tcW w:w="984" w:type="pct"/>
            <w:vAlign w:val="center"/>
          </w:tcPr>
          <w:p>
            <w:pPr>
              <w:kinsoku w:val="0"/>
              <w:overflowPunct w:val="0"/>
              <w:autoSpaceDE w:val="0"/>
              <w:autoSpaceDN w:val="0"/>
              <w:adjustRightInd w:val="0"/>
              <w:snapToGrid w:val="0"/>
              <w:ind w:left="420" w:leftChars="200"/>
              <w:jc w:val="right"/>
              <w:rPr>
                <w:rFonts w:ascii="宋体" w:hAnsi="宋体"/>
              </w:rPr>
            </w:pPr>
            <w:r>
              <w:rPr>
                <w:rFonts w:ascii="宋体" w:hAnsi="宋体"/>
              </w:rPr>
              <w:t>86,901,568</w:t>
            </w:r>
          </w:p>
        </w:tc>
        <w:tc>
          <w:tcPr>
            <w:tcW w:w="984" w:type="pct"/>
            <w:vAlign w:val="center"/>
          </w:tcPr>
          <w:p>
            <w:pPr>
              <w:tabs>
                <w:tab w:val="left" w:pos="1594"/>
              </w:tabs>
              <w:kinsoku w:val="0"/>
              <w:overflowPunct w:val="0"/>
              <w:autoSpaceDE w:val="0"/>
              <w:autoSpaceDN w:val="0"/>
              <w:adjustRightInd w:val="0"/>
              <w:snapToGrid w:val="0"/>
              <w:jc w:val="right"/>
              <w:rPr>
                <w:rFonts w:ascii="宋体" w:hAnsi="宋体"/>
                <w:bCs/>
              </w:rPr>
            </w:pPr>
            <w:r>
              <w:rPr>
                <w:rFonts w:ascii="宋体" w:hAnsi="宋体"/>
              </w:rPr>
              <w:t>89,852,300</w:t>
            </w:r>
          </w:p>
        </w:tc>
      </w:tr>
    </w:tbl>
    <w:p>
      <w:pPr>
        <w:pStyle w:val="43"/>
      </w:pPr>
    </w:p>
    <w:p>
      <w:pPr>
        <w:pStyle w:val="4"/>
        <w:numPr>
          <w:ilvl w:val="0"/>
          <w:numId w:val="6"/>
        </w:numPr>
        <w:ind w:left="369" w:hanging="369" w:hangingChars="175"/>
        <w:rPr>
          <w:rFonts w:ascii="宋体" w:hAnsi="宋体"/>
          <w:szCs w:val="21"/>
        </w:rPr>
      </w:pPr>
      <w:r>
        <w:rPr>
          <w:rFonts w:ascii="宋体" w:hAnsi="宋体"/>
          <w:szCs w:val="21"/>
        </w:rPr>
        <w:t>同时按照境外会计准则与按中国会计准则披露的财务报告中净利润和</w:t>
      </w:r>
      <w:r>
        <w:rPr>
          <w:rFonts w:hint="eastAsia" w:ascii="宋体" w:hAnsi="宋体"/>
          <w:szCs w:val="21"/>
        </w:rPr>
        <w:t>归</w:t>
      </w:r>
      <w:r>
        <w:rPr>
          <w:rFonts w:ascii="宋体" w:hAnsi="宋体"/>
          <w:szCs w:val="21"/>
        </w:rPr>
        <w:t>属于上市公司股东的净资产差异情况</w:t>
      </w:r>
    </w:p>
    <w:sdt>
      <w:sdtPr>
        <w:rPr>
          <w:rFonts w:ascii="宋体" w:hAnsi="宋体"/>
        </w:rPr>
        <w:alias w:val="是否适用：同时按照境外会计准则与按中国会计准则披露的财务报告中净利润和净资产差异情况[双击切换]"/>
        <w:tag w:val="_GBC_a97367c44d2842a1bfb53d78727711bb"/>
        <w:id w:val="936245063"/>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43"/>
      </w:pPr>
    </w:p>
    <w:p>
      <w:pPr>
        <w:pStyle w:val="4"/>
        <w:numPr>
          <w:ilvl w:val="0"/>
          <w:numId w:val="6"/>
        </w:numPr>
        <w:ind w:left="369" w:hanging="369" w:hangingChars="175"/>
        <w:rPr>
          <w:rFonts w:ascii="宋体" w:hAnsi="宋体"/>
        </w:rPr>
      </w:pPr>
      <w:r>
        <w:rPr>
          <w:rFonts w:ascii="宋体" w:hAnsi="宋体"/>
        </w:rPr>
        <w:t>境内外会计准则差异的说明：</w:t>
      </w:r>
    </w:p>
    <w:sdt>
      <w:sdtPr>
        <w:alias w:val="是否适用：境内外会计准则差异的说明[双击切换]"/>
        <w:tag w:val="_GBC_fb9a5edc484f49ab948423fc0bade519"/>
        <w:id w:val="-707493130"/>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rPr>
        <w:alias w:val="国内外会计准则差异的说明"/>
        <w:tag w:val="_GBC_0abbe754ce6d409bb5d479143230476f"/>
        <w:id w:val="1948350903"/>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①根据中国会计准则，从山东能源收购的有关资产和子公司为同一控制下的企业合并，被合并方的资产和负债以在合并日被合并方的账面价值计量；本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pPr>
            <w:ind w:firstLine="420" w:firstLineChars="200"/>
            <w:rPr>
              <w:rFonts w:ascii="宋体" w:hAnsi="宋体"/>
            </w:rPr>
          </w:pPr>
          <w:r>
            <w:rPr>
              <w:rFonts w:hint="eastAsia" w:ascii="宋体" w:hAnsi="宋体"/>
            </w:rPr>
            <w:t>②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pPr>
            <w:ind w:firstLine="420" w:firstLineChars="200"/>
            <w:rPr>
              <w:rFonts w:ascii="宋体" w:hAnsi="宋体"/>
            </w:rPr>
          </w:pPr>
          <w:r>
            <w:rPr>
              <w:rFonts w:hint="eastAsia" w:ascii="宋体" w:hAnsi="宋体"/>
            </w:rPr>
            <w:t>③根据中国会计准则，母公司发行的永续资本债券在报表中列示于归属于母公司的所有者权益中，子公司发行的永续资本债券在报表中列示于少数股东权益，而在国际准则中需要在权益变动表单独列示。</w:t>
          </w:r>
        </w:p>
        <w:p>
          <w:pPr>
            <w:ind w:firstLine="420" w:firstLineChars="200"/>
            <w:rPr>
              <w:rFonts w:ascii="宋体" w:hAnsi="宋体"/>
            </w:rPr>
          </w:pPr>
          <w:r>
            <w:rPr>
              <w:rFonts w:hint="eastAsia" w:ascii="宋体" w:hAnsi="宋体"/>
            </w:rPr>
            <w:t>④根据中国会计准则，长期资产减值准备一经确认，不得转回，在国际准则下，长期资产减值准备可以转回。</w:t>
          </w:r>
        </w:p>
        <w:p>
          <w:pPr>
            <w:ind w:firstLine="420" w:firstLineChars="200"/>
            <w:rPr>
              <w:rFonts w:ascii="宋体" w:hAnsi="宋体"/>
            </w:rPr>
          </w:pPr>
          <w:r>
            <w:rPr>
              <w:rFonts w:hint="eastAsia" w:ascii="宋体" w:hAnsi="宋体"/>
            </w:rPr>
            <w:t>⑤上述准则差异同时带来税务及少数股东权益的影响差异。</w:t>
          </w:r>
        </w:p>
      </w:sdtContent>
    </w:sdt>
    <w:p>
      <w:pPr>
        <w:pStyle w:val="43"/>
      </w:pPr>
    </w:p>
    <w:p>
      <w:pPr>
        <w:pStyle w:val="3"/>
        <w:numPr>
          <w:ilvl w:val="1"/>
          <w:numId w:val="4"/>
        </w:numPr>
        <w:ind w:left="498" w:hanging="498" w:hangingChars="236"/>
        <w:rPr>
          <w:rFonts w:ascii="宋体" w:hAnsi="宋体"/>
        </w:rPr>
      </w:pPr>
      <w:r>
        <w:rPr>
          <w:rFonts w:hint="eastAsia" w:ascii="宋体" w:hAnsi="宋体"/>
        </w:rPr>
        <w:t>2023年分季度主要财务数据</w:t>
      </w:r>
    </w:p>
    <w:p>
      <w:pPr>
        <w:jc w:val="right"/>
        <w:rPr>
          <w:rFonts w:ascii="宋体" w:hAnsi="宋体"/>
        </w:rPr>
      </w:pPr>
      <w:r>
        <w:rPr>
          <w:rFonts w:hint="eastAsia" w:ascii="宋体" w:hAnsi="宋体"/>
        </w:rPr>
        <w:t>单位：</w:t>
      </w:r>
      <w:sdt>
        <w:sdtPr>
          <w:rPr>
            <w:rFonts w:hint="eastAsia" w:ascii="宋体" w:hAnsi="宋体"/>
          </w:rPr>
          <w:alias w:val="单位：分季度主要财务数据"/>
          <w:tag w:val="_GBC_c7bf8a69799342519e2da375e77f8d89"/>
          <w:id w:val="-11100415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千元</w:t>
          </w:r>
        </w:sdtContent>
      </w:sdt>
      <w:r>
        <w:rPr>
          <w:rFonts w:hint="eastAsia" w:ascii="宋体" w:hAnsi="宋体"/>
        </w:rPr>
        <w:t xml:space="preserve">  币种：</w:t>
      </w:r>
      <w:sdt>
        <w:sdtPr>
          <w:rPr>
            <w:rFonts w:hint="eastAsia" w:ascii="宋体" w:hAnsi="宋体"/>
          </w:rPr>
          <w:alias w:val="币种：分季度主要财务数据"/>
          <w:tag w:val="_GBC_e825fbcd15674ffd86165e4ed7dcbbaf"/>
          <w:id w:val="-13191856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rPr>
            <w:t>人民币</w:t>
          </w:r>
        </w:sdtContent>
      </w:sdt>
    </w:p>
    <w:tbl>
      <w:tblPr>
        <w:tblStyle w:val="135"/>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843"/>
        <w:gridCol w:w="1559"/>
        <w:gridCol w:w="1559"/>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jc w:val="center"/>
              <w:rPr>
                <w:rFonts w:ascii="宋体" w:hAnsi="宋体"/>
              </w:rPr>
            </w:pPr>
          </w:p>
        </w:tc>
        <w:sdt>
          <w:sdtPr>
            <w:rPr>
              <w:rFonts w:ascii="宋体" w:hAnsi="宋体"/>
            </w:rPr>
            <w:tag w:val="_PLD_2d7ae3b1c4bd43a98e284f10d0bdc51f"/>
            <w:id w:val="-2043897942"/>
          </w:sdtPr>
          <w:sdtEndPr>
            <w:rPr>
              <w:rFonts w:ascii="宋体" w:hAnsi="宋体"/>
            </w:rPr>
          </w:sdtEndPr>
          <w:sdtContent>
            <w:tc>
              <w:tcPr>
                <w:tcW w:w="1843" w:type="dxa"/>
                <w:vAlign w:val="center"/>
              </w:tcPr>
              <w:p>
                <w:pPr>
                  <w:jc w:val="center"/>
                  <w:rPr>
                    <w:rFonts w:ascii="宋体" w:hAnsi="宋体"/>
                  </w:rPr>
                </w:pPr>
                <w:r>
                  <w:rPr>
                    <w:rFonts w:hint="eastAsia" w:ascii="宋体" w:hAnsi="宋体"/>
                  </w:rPr>
                  <w:t>第一季度</w:t>
                </w:r>
              </w:p>
              <w:p>
                <w:pPr>
                  <w:jc w:val="center"/>
                  <w:rPr>
                    <w:rFonts w:ascii="宋体" w:hAnsi="宋体"/>
                  </w:rPr>
                </w:pPr>
                <w:r>
                  <w:rPr>
                    <w:rFonts w:hint="eastAsia" w:ascii="宋体" w:hAnsi="宋体"/>
                  </w:rPr>
                  <w:t>（1-3月份）</w:t>
                </w:r>
              </w:p>
            </w:tc>
          </w:sdtContent>
        </w:sdt>
        <w:sdt>
          <w:sdtPr>
            <w:rPr>
              <w:rFonts w:ascii="宋体" w:hAnsi="宋体"/>
            </w:rPr>
            <w:tag w:val="_PLD_07258d0e3e7e4393960c3400b24cda70"/>
            <w:id w:val="-1130245892"/>
          </w:sdtPr>
          <w:sdtEndPr>
            <w:rPr>
              <w:rFonts w:ascii="宋体" w:hAnsi="宋体"/>
            </w:rPr>
          </w:sdtEndPr>
          <w:sdtContent>
            <w:tc>
              <w:tcPr>
                <w:tcW w:w="1559" w:type="dxa"/>
                <w:vAlign w:val="center"/>
              </w:tcPr>
              <w:p>
                <w:pPr>
                  <w:jc w:val="center"/>
                  <w:rPr>
                    <w:rFonts w:ascii="宋体" w:hAnsi="宋体"/>
                  </w:rPr>
                </w:pPr>
                <w:r>
                  <w:rPr>
                    <w:rFonts w:hint="eastAsia" w:ascii="宋体" w:hAnsi="宋体"/>
                  </w:rPr>
                  <w:t>第二季度</w:t>
                </w:r>
              </w:p>
              <w:p>
                <w:pPr>
                  <w:jc w:val="center"/>
                  <w:rPr>
                    <w:rFonts w:ascii="宋体" w:hAnsi="宋体"/>
                  </w:rPr>
                </w:pPr>
                <w:r>
                  <w:rPr>
                    <w:rFonts w:hint="eastAsia" w:ascii="宋体" w:hAnsi="宋体"/>
                  </w:rPr>
                  <w:t>（4-6月份）</w:t>
                </w:r>
              </w:p>
            </w:tc>
          </w:sdtContent>
        </w:sdt>
        <w:sdt>
          <w:sdtPr>
            <w:rPr>
              <w:rFonts w:ascii="宋体" w:hAnsi="宋体"/>
            </w:rPr>
            <w:tag w:val="_PLD_f34790307d174eceaa953001c5186096"/>
            <w:id w:val="-1192759974"/>
          </w:sdtPr>
          <w:sdtEndPr>
            <w:rPr>
              <w:rFonts w:ascii="宋体" w:hAnsi="宋体"/>
            </w:rPr>
          </w:sdtEndPr>
          <w:sdtContent>
            <w:tc>
              <w:tcPr>
                <w:tcW w:w="1559" w:type="dxa"/>
                <w:vAlign w:val="center"/>
              </w:tcPr>
              <w:p>
                <w:pPr>
                  <w:jc w:val="center"/>
                  <w:rPr>
                    <w:rFonts w:ascii="宋体" w:hAnsi="宋体"/>
                  </w:rPr>
                </w:pPr>
                <w:r>
                  <w:rPr>
                    <w:rFonts w:hint="eastAsia" w:ascii="宋体" w:hAnsi="宋体"/>
                  </w:rPr>
                  <w:t>第三季度</w:t>
                </w:r>
              </w:p>
              <w:p>
                <w:pPr>
                  <w:jc w:val="center"/>
                  <w:rPr>
                    <w:rFonts w:ascii="宋体" w:hAnsi="宋体"/>
                  </w:rPr>
                </w:pPr>
                <w:r>
                  <w:rPr>
                    <w:rFonts w:hint="eastAsia" w:ascii="宋体" w:hAnsi="宋体"/>
                  </w:rPr>
                  <w:t>（7-9月份）</w:t>
                </w:r>
              </w:p>
            </w:tc>
          </w:sdtContent>
        </w:sdt>
        <w:sdt>
          <w:sdtPr>
            <w:rPr>
              <w:rFonts w:ascii="宋体" w:hAnsi="宋体"/>
            </w:rPr>
            <w:tag w:val="_PLD_18cc80c8863d4859a79676f49ef83412"/>
            <w:id w:val="38709783"/>
          </w:sdtPr>
          <w:sdtEndPr>
            <w:rPr>
              <w:rFonts w:ascii="宋体" w:hAnsi="宋体"/>
            </w:rPr>
          </w:sdtEndPr>
          <w:sdtContent>
            <w:tc>
              <w:tcPr>
                <w:tcW w:w="1683" w:type="dxa"/>
                <w:vAlign w:val="center"/>
              </w:tcPr>
              <w:p>
                <w:pPr>
                  <w:jc w:val="center"/>
                  <w:rPr>
                    <w:rFonts w:ascii="宋体" w:hAnsi="宋体"/>
                  </w:rPr>
                </w:pPr>
                <w:r>
                  <w:rPr>
                    <w:rFonts w:hint="eastAsia" w:ascii="宋体" w:hAnsi="宋体"/>
                  </w:rPr>
                  <w:t>第四季度</w:t>
                </w:r>
              </w:p>
              <w:p>
                <w:pPr>
                  <w:jc w:val="center"/>
                  <w:rPr>
                    <w:rFonts w:ascii="宋体" w:hAnsi="宋体"/>
                  </w:rPr>
                </w:pPr>
                <w:r>
                  <w:rPr>
                    <w:rFonts w:hint="eastAsia" w:ascii="宋体" w:hAnsi="宋体"/>
                  </w:rPr>
                  <w:t>（10-12月份）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ascii="宋体" w:hAnsi="宋体"/>
              </w:rPr>
            </w:pPr>
            <w:r>
              <w:rPr>
                <w:rFonts w:hint="eastAsia" w:ascii="宋体" w:hAnsi="宋体"/>
              </w:rPr>
              <w:t>营业收入</w:t>
            </w:r>
          </w:p>
        </w:tc>
        <w:tc>
          <w:tcPr>
            <w:tcW w:w="1843" w:type="dxa"/>
            <w:vAlign w:val="center"/>
          </w:tcPr>
          <w:p>
            <w:pPr>
              <w:jc w:val="right"/>
              <w:rPr>
                <w:rFonts w:ascii="宋体" w:hAnsi="宋体" w:cs="宋体"/>
              </w:rPr>
            </w:pPr>
            <w:r>
              <w:rPr>
                <w:rFonts w:ascii="宋体" w:hAnsi="宋体" w:cs="宋体"/>
              </w:rPr>
              <w:t xml:space="preserve">50,017,358 </w:t>
            </w:r>
          </w:p>
        </w:tc>
        <w:tc>
          <w:tcPr>
            <w:tcW w:w="1559" w:type="dxa"/>
            <w:vAlign w:val="center"/>
          </w:tcPr>
          <w:p>
            <w:pPr>
              <w:jc w:val="right"/>
              <w:rPr>
                <w:rFonts w:ascii="宋体" w:hAnsi="宋体" w:cs="宋体"/>
              </w:rPr>
            </w:pPr>
            <w:r>
              <w:rPr>
                <w:rFonts w:ascii="宋体" w:hAnsi="宋体" w:cs="宋体"/>
              </w:rPr>
              <w:t xml:space="preserve">45,193,316 </w:t>
            </w:r>
          </w:p>
        </w:tc>
        <w:tc>
          <w:tcPr>
            <w:tcW w:w="1559" w:type="dxa"/>
            <w:vAlign w:val="center"/>
          </w:tcPr>
          <w:p>
            <w:pPr>
              <w:jc w:val="right"/>
              <w:rPr>
                <w:rFonts w:ascii="宋体" w:hAnsi="宋体" w:cs="宋体"/>
              </w:rPr>
            </w:pPr>
            <w:r>
              <w:rPr>
                <w:rFonts w:ascii="宋体" w:hAnsi="宋体" w:cs="宋体"/>
              </w:rPr>
              <w:t xml:space="preserve">40,593,116 </w:t>
            </w:r>
          </w:p>
        </w:tc>
        <w:tc>
          <w:tcPr>
            <w:tcW w:w="1683" w:type="dxa"/>
            <w:vAlign w:val="center"/>
          </w:tcPr>
          <w:p>
            <w:pPr>
              <w:jc w:val="right"/>
              <w:rPr>
                <w:rFonts w:ascii="宋体" w:hAnsi="宋体" w:cs="宋体"/>
              </w:rPr>
            </w:pPr>
            <w:r>
              <w:rPr>
                <w:rFonts w:ascii="宋体" w:hAnsi="宋体" w:cs="宋体"/>
              </w:rPr>
              <w:t xml:space="preserve">14,221,069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ascii="宋体" w:hAnsi="宋体"/>
              </w:rPr>
            </w:pPr>
            <w:r>
              <w:rPr>
                <w:rFonts w:hint="eastAsia" w:ascii="宋体" w:hAnsi="宋体"/>
              </w:rPr>
              <w:t>归属于上市公司股东的净利润</w:t>
            </w:r>
          </w:p>
        </w:tc>
        <w:tc>
          <w:tcPr>
            <w:tcW w:w="1843" w:type="dxa"/>
            <w:vAlign w:val="center"/>
          </w:tcPr>
          <w:p>
            <w:pPr>
              <w:jc w:val="right"/>
              <w:rPr>
                <w:rFonts w:ascii="宋体" w:hAnsi="宋体" w:cs="宋体"/>
              </w:rPr>
            </w:pPr>
            <w:r>
              <w:rPr>
                <w:rFonts w:ascii="宋体" w:hAnsi="宋体" w:cs="宋体"/>
              </w:rPr>
              <w:t xml:space="preserve">6,460,863 </w:t>
            </w:r>
          </w:p>
        </w:tc>
        <w:tc>
          <w:tcPr>
            <w:tcW w:w="1559" w:type="dxa"/>
            <w:vAlign w:val="center"/>
          </w:tcPr>
          <w:p>
            <w:pPr>
              <w:jc w:val="right"/>
              <w:rPr>
                <w:rFonts w:ascii="宋体" w:hAnsi="宋体" w:cs="宋体"/>
              </w:rPr>
            </w:pPr>
            <w:r>
              <w:rPr>
                <w:rFonts w:ascii="宋体" w:hAnsi="宋体" w:cs="宋体"/>
              </w:rPr>
              <w:t xml:space="preserve">4,608,912 </w:t>
            </w:r>
          </w:p>
        </w:tc>
        <w:tc>
          <w:tcPr>
            <w:tcW w:w="1559" w:type="dxa"/>
            <w:vAlign w:val="center"/>
          </w:tcPr>
          <w:p>
            <w:pPr>
              <w:jc w:val="right"/>
              <w:rPr>
                <w:rFonts w:ascii="宋体" w:hAnsi="宋体" w:cs="宋体"/>
              </w:rPr>
            </w:pPr>
            <w:r>
              <w:rPr>
                <w:rFonts w:ascii="宋体" w:hAnsi="宋体" w:cs="宋体"/>
              </w:rPr>
              <w:t xml:space="preserve">4,546,837 </w:t>
            </w:r>
          </w:p>
        </w:tc>
        <w:tc>
          <w:tcPr>
            <w:tcW w:w="1683" w:type="dxa"/>
            <w:vAlign w:val="center"/>
          </w:tcPr>
          <w:p>
            <w:pPr>
              <w:jc w:val="right"/>
              <w:rPr>
                <w:rFonts w:ascii="宋体" w:hAnsi="宋体" w:cs="宋体"/>
              </w:rPr>
            </w:pPr>
            <w:r>
              <w:rPr>
                <w:rFonts w:ascii="宋体" w:hAnsi="宋体" w:cs="宋体"/>
              </w:rPr>
              <w:t xml:space="preserve">4,522,890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ascii="宋体" w:hAnsi="宋体"/>
              </w:rPr>
            </w:pPr>
            <w:r>
              <w:rPr>
                <w:rFonts w:hint="eastAsia" w:ascii="宋体" w:hAnsi="宋体"/>
              </w:rPr>
              <w:t>归属于上市公司股东的扣除非经常性损益后的净利润</w:t>
            </w:r>
          </w:p>
        </w:tc>
        <w:tc>
          <w:tcPr>
            <w:tcW w:w="1843" w:type="dxa"/>
            <w:vAlign w:val="center"/>
          </w:tcPr>
          <w:p>
            <w:pPr>
              <w:jc w:val="right"/>
              <w:rPr>
                <w:rFonts w:ascii="宋体" w:hAnsi="宋体" w:cs="宋体"/>
              </w:rPr>
            </w:pPr>
            <w:r>
              <w:rPr>
                <w:rFonts w:ascii="宋体" w:hAnsi="宋体" w:cs="宋体"/>
              </w:rPr>
              <w:t xml:space="preserve">5,766,208 </w:t>
            </w:r>
          </w:p>
        </w:tc>
        <w:tc>
          <w:tcPr>
            <w:tcW w:w="1559" w:type="dxa"/>
            <w:vAlign w:val="center"/>
          </w:tcPr>
          <w:p>
            <w:pPr>
              <w:jc w:val="right"/>
              <w:rPr>
                <w:rFonts w:ascii="宋体" w:hAnsi="宋体" w:cs="宋体"/>
              </w:rPr>
            </w:pPr>
            <w:r>
              <w:rPr>
                <w:rFonts w:ascii="宋体" w:hAnsi="宋体" w:cs="宋体"/>
              </w:rPr>
              <w:t xml:space="preserve">4,283,163 </w:t>
            </w:r>
          </w:p>
        </w:tc>
        <w:tc>
          <w:tcPr>
            <w:tcW w:w="1559" w:type="dxa"/>
            <w:vAlign w:val="center"/>
          </w:tcPr>
          <w:p>
            <w:pPr>
              <w:jc w:val="right"/>
              <w:rPr>
                <w:rFonts w:ascii="宋体" w:hAnsi="宋体" w:cs="宋体"/>
              </w:rPr>
            </w:pPr>
            <w:r>
              <w:rPr>
                <w:rFonts w:ascii="宋体" w:hAnsi="宋体" w:cs="宋体"/>
              </w:rPr>
              <w:t xml:space="preserve">4,199,898 </w:t>
            </w:r>
          </w:p>
        </w:tc>
        <w:tc>
          <w:tcPr>
            <w:tcW w:w="1683" w:type="dxa"/>
            <w:vAlign w:val="center"/>
          </w:tcPr>
          <w:p>
            <w:pPr>
              <w:jc w:val="right"/>
              <w:rPr>
                <w:rFonts w:ascii="宋体" w:hAnsi="宋体" w:cs="宋体"/>
              </w:rPr>
            </w:pPr>
            <w:r>
              <w:rPr>
                <w:rFonts w:ascii="宋体" w:hAnsi="宋体" w:cs="宋体"/>
              </w:rPr>
              <w:t xml:space="preserve">4,341,678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ascii="宋体" w:hAnsi="宋体"/>
              </w:rPr>
            </w:pPr>
            <w:r>
              <w:rPr>
                <w:rFonts w:hint="eastAsia" w:ascii="宋体" w:hAnsi="宋体"/>
              </w:rPr>
              <w:t>经营活动产生的现金流量净额</w:t>
            </w:r>
          </w:p>
        </w:tc>
        <w:tc>
          <w:tcPr>
            <w:tcW w:w="1843" w:type="dxa"/>
            <w:vAlign w:val="center"/>
          </w:tcPr>
          <w:p>
            <w:pPr>
              <w:jc w:val="right"/>
              <w:rPr>
                <w:rFonts w:ascii="宋体" w:hAnsi="宋体" w:cs="宋体"/>
              </w:rPr>
            </w:pPr>
            <w:r>
              <w:rPr>
                <w:rFonts w:ascii="宋体" w:hAnsi="宋体" w:cs="宋体"/>
              </w:rPr>
              <w:t xml:space="preserve">5,444,021 </w:t>
            </w:r>
          </w:p>
        </w:tc>
        <w:tc>
          <w:tcPr>
            <w:tcW w:w="1559" w:type="dxa"/>
            <w:vAlign w:val="center"/>
          </w:tcPr>
          <w:p>
            <w:pPr>
              <w:jc w:val="right"/>
              <w:rPr>
                <w:rFonts w:ascii="宋体" w:hAnsi="宋体" w:cs="宋体"/>
              </w:rPr>
            </w:pPr>
            <w:r>
              <w:rPr>
                <w:rFonts w:ascii="宋体" w:hAnsi="宋体" w:cs="宋体"/>
              </w:rPr>
              <w:t xml:space="preserve">1,469,028 </w:t>
            </w:r>
          </w:p>
        </w:tc>
        <w:tc>
          <w:tcPr>
            <w:tcW w:w="1559" w:type="dxa"/>
            <w:vAlign w:val="center"/>
          </w:tcPr>
          <w:p>
            <w:pPr>
              <w:jc w:val="right"/>
              <w:rPr>
                <w:rFonts w:ascii="宋体" w:hAnsi="宋体" w:cs="宋体"/>
              </w:rPr>
            </w:pPr>
            <w:r>
              <w:rPr>
                <w:rFonts w:ascii="宋体" w:hAnsi="宋体" w:cs="宋体"/>
              </w:rPr>
              <w:t xml:space="preserve">7,830,453 </w:t>
            </w:r>
          </w:p>
        </w:tc>
        <w:tc>
          <w:tcPr>
            <w:tcW w:w="1683" w:type="dxa"/>
            <w:vAlign w:val="center"/>
          </w:tcPr>
          <w:p>
            <w:pPr>
              <w:jc w:val="right"/>
              <w:rPr>
                <w:rFonts w:ascii="宋体" w:hAnsi="宋体" w:cs="宋体"/>
              </w:rPr>
            </w:pPr>
            <w:r>
              <w:rPr>
                <w:rFonts w:ascii="宋体" w:hAnsi="宋体" w:cs="宋体"/>
              </w:rPr>
              <w:t xml:space="preserve">1,424,356 </w:t>
            </w:r>
          </w:p>
        </w:tc>
      </w:tr>
    </w:tbl>
    <w:p>
      <w:pPr>
        <w:pStyle w:val="43"/>
      </w:pPr>
    </w:p>
    <w:p>
      <w:pPr>
        <w:rPr>
          <w:rFonts w:ascii="宋体" w:hAnsi="宋体"/>
          <w:bCs/>
          <w:szCs w:val="32"/>
        </w:rPr>
      </w:pPr>
      <w:r>
        <w:rPr>
          <w:rFonts w:hint="eastAsia" w:ascii="宋体" w:hAnsi="宋体"/>
          <w:bCs/>
          <w:szCs w:val="32"/>
        </w:rPr>
        <w:t>季度数据与已披露定期报告数据差异说明</w:t>
      </w:r>
    </w:p>
    <w:sdt>
      <w:sdtPr>
        <w:rPr>
          <w:rFonts w:ascii="宋体" w:hAnsi="宋体"/>
        </w:rPr>
        <w:alias w:val="是否适用：季度数据与已披露定期报告数据差异说明[双击切换]"/>
        <w:tag w:val="_GBC_90abe51569fb4ccda7eaf6149fe8f3a9"/>
        <w:id w:val="-1702316854"/>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季度数据与已披露定期报告数据差异说明"/>
        <w:tag w:val="_GBC_25611baa6e8c46288aaacb6a177031a7"/>
        <w:id w:val="-34747252"/>
        <w:placeholder>
          <w:docPart w:val="GBC22222222222222222222222222222"/>
        </w:placeholder>
      </w:sdtPr>
      <w:sdtEndPr>
        <w:rPr>
          <w:rFonts w:hint="eastAsia" w:ascii="宋体" w:hAnsi="宋体"/>
          <w:highlight w:val="yellow"/>
        </w:rPr>
      </w:sdtEndPr>
      <w:sdtContent>
        <w:p>
          <w:pPr>
            <w:ind w:firstLine="420" w:firstLineChars="200"/>
            <w:rPr>
              <w:rFonts w:ascii="宋体" w:hAnsi="宋体"/>
            </w:rPr>
          </w:pPr>
          <w:r>
            <w:rPr>
              <w:rFonts w:hint="eastAsia" w:ascii="宋体" w:hAnsi="宋体"/>
            </w:rPr>
            <w:t>报告期内，公司合并了鲁西矿业、新疆能化、山能财司、山东能源大厦上海有限公司和煤化工程公司的财务报表。根据中国会计准则，上述事项构成了同一控制下企业合并，本集团对以前期间相关财务数据进行了追溯调整。上表第一至第三季度的各季度财务指标与已披露的数据不同。</w:t>
          </w:r>
        </w:p>
      </w:sdtContent>
    </w:sdt>
    <w:p>
      <w:pPr>
        <w:pStyle w:val="43"/>
      </w:pPr>
    </w:p>
    <w:p>
      <w:pPr>
        <w:pStyle w:val="3"/>
        <w:numPr>
          <w:ilvl w:val="1"/>
          <w:numId w:val="4"/>
        </w:numPr>
        <w:ind w:left="498" w:hanging="498" w:hangingChars="236"/>
      </w:pPr>
      <w:bookmarkStart w:id="14" w:name="_Hlk152579713"/>
      <w:r>
        <w:rPr>
          <w:rFonts w:hint="eastAsia"/>
        </w:rPr>
        <w:t>非经常性损益项目和金额</w:t>
      </w:r>
    </w:p>
    <w:sdt>
      <w:sdtPr>
        <w:alias w:val="是否适用：扣除非经常性损益项目和金额[双击切换]"/>
        <w:tag w:val="_GBC_d311c3479a4945ceb1266734910915b6"/>
        <w:id w:val="2053109097"/>
      </w:sdtPr>
      <w:sdtContent>
        <w:p>
          <w:pPr>
            <w:pStyle w:val="501"/>
          </w:pPr>
          <w:r>
            <w:fldChar w:fldCharType="begin"/>
          </w:r>
          <w: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pPr>
      <w:r>
        <w:rPr>
          <w:rFonts w:hint="eastAsia"/>
        </w:rPr>
        <w:t>单位:</w:t>
      </w:r>
      <w:sdt>
        <w:sdtPr>
          <w:rPr>
            <w:rFonts w:hint="eastAsia"/>
          </w:rPr>
          <w:alias w:val="单位：扣除非经常性损益项目和金额"/>
          <w:tag w:val="_GBC_120471c8e4434d7bbf8c91141121ab39"/>
          <w:id w:val="644946688"/>
          <w: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扣除非经常性损益项目和金额"/>
          <w:tag w:val="_GBC_8d756f42e06c4610a2149f35e1d51a62"/>
          <w:id w:val="754173141"/>
          <w: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lang w:eastAsia="zh-CN"/>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7"/>
        <w:gridCol w:w="1696"/>
        <w:gridCol w:w="1692"/>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51a5b1d22614c45b1fbba1d8acc3cbb"/>
            <w:id w:val="-2038732205"/>
          </w:sdtPr>
          <w:sdtContent>
            <w:tc>
              <w:tcPr>
                <w:tcW w:w="2203" w:type="pct"/>
                <w:vAlign w:val="center"/>
              </w:tcPr>
              <w:p>
                <w:pPr>
                  <w:pStyle w:val="55"/>
                  <w:ind w:firstLine="0" w:firstLineChars="0"/>
                  <w:jc w:val="center"/>
                  <w:rPr>
                    <w:rFonts w:ascii="宋体" w:hAnsi="宋体"/>
                  </w:rPr>
                </w:pPr>
                <w:r>
                  <w:rPr>
                    <w:rFonts w:hint="eastAsia" w:ascii="宋体" w:hAnsi="宋体"/>
                  </w:rPr>
                  <w:t>非经常性损益项目</w:t>
                </w:r>
              </w:p>
            </w:tc>
          </w:sdtContent>
        </w:sdt>
        <w:sdt>
          <w:sdtPr>
            <w:tag w:val="_PLD_75a853b22038430db055de446a19d683"/>
            <w:id w:val="1017353260"/>
          </w:sdtPr>
          <w:sdtContent>
            <w:tc>
              <w:tcPr>
                <w:tcW w:w="937" w:type="pct"/>
                <w:vAlign w:val="center"/>
              </w:tcPr>
              <w:p>
                <w:pPr>
                  <w:pStyle w:val="55"/>
                  <w:ind w:firstLine="0" w:firstLineChars="0"/>
                  <w:jc w:val="center"/>
                  <w:rPr>
                    <w:rFonts w:ascii="宋体" w:hAnsi="宋体"/>
                  </w:rPr>
                </w:pPr>
                <w:r>
                  <w:rPr>
                    <w:rFonts w:hint="eastAsia" w:ascii="宋体" w:hAnsi="宋体"/>
                  </w:rPr>
                  <w:t>2023年金额</w:t>
                </w:r>
              </w:p>
            </w:tc>
          </w:sdtContent>
        </w:sdt>
        <w:sdt>
          <w:sdtPr>
            <w:tag w:val="_PLD_7178520950424696adfe1eb7e010035c"/>
            <w:id w:val="-1152973178"/>
          </w:sdtPr>
          <w:sdtContent>
            <w:tc>
              <w:tcPr>
                <w:tcW w:w="935" w:type="pct"/>
                <w:vAlign w:val="center"/>
              </w:tcPr>
              <w:p>
                <w:pPr>
                  <w:pStyle w:val="55"/>
                  <w:ind w:firstLine="0" w:firstLineChars="0"/>
                  <w:jc w:val="center"/>
                  <w:rPr>
                    <w:rFonts w:ascii="宋体" w:hAnsi="宋体"/>
                  </w:rPr>
                </w:pPr>
                <w:r>
                  <w:rPr>
                    <w:rFonts w:hint="eastAsia" w:ascii="宋体" w:hAnsi="宋体"/>
                  </w:rPr>
                  <w:t>2022年金额</w:t>
                </w:r>
              </w:p>
            </w:tc>
          </w:sdtContent>
        </w:sdt>
        <w:sdt>
          <w:sdtPr>
            <w:tag w:val="_PLD_870e9453ef9d4928968c60216a29f211"/>
            <w:id w:val="2079397877"/>
          </w:sdtPr>
          <w:sdtContent>
            <w:tc>
              <w:tcPr>
                <w:tcW w:w="925" w:type="pct"/>
                <w:vAlign w:val="center"/>
              </w:tcPr>
              <w:p>
                <w:pPr>
                  <w:pStyle w:val="55"/>
                  <w:ind w:firstLine="0" w:firstLineChars="0"/>
                  <w:jc w:val="center"/>
                  <w:rPr>
                    <w:rFonts w:ascii="宋体" w:hAnsi="宋体"/>
                  </w:rPr>
                </w:pPr>
                <w:r>
                  <w:rPr>
                    <w:rFonts w:hint="eastAsia" w:ascii="宋体" w:hAnsi="宋体"/>
                  </w:rPr>
                  <w:t>2021年金额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1592f91a0de4659bb3a5620170d91a8"/>
            <w:id w:val="-1351030079"/>
          </w:sdtPr>
          <w:sdtContent>
            <w:tc>
              <w:tcPr>
                <w:tcW w:w="2203" w:type="pct"/>
              </w:tcPr>
              <w:p>
                <w:pPr>
                  <w:pStyle w:val="55"/>
                  <w:ind w:firstLine="0" w:firstLineChars="0"/>
                  <w:jc w:val="left"/>
                  <w:rPr>
                    <w:rFonts w:ascii="Times New Roman" w:hAnsi="Times New Roman"/>
                  </w:rPr>
                </w:pPr>
                <w:r>
                  <w:rPr>
                    <w:rFonts w:ascii="Times New Roman" w:hAnsi="Times New Roman"/>
                  </w:rPr>
                  <w:t>非流动</w:t>
                </w:r>
                <w:r>
                  <w:rPr>
                    <w:rFonts w:hint="eastAsia" w:ascii="Times New Roman" w:hAnsi="Times New Roman"/>
                  </w:rPr>
                  <w:t>性</w:t>
                </w:r>
                <w:r>
                  <w:rPr>
                    <w:rFonts w:ascii="Times New Roman" w:hAnsi="Times New Roman"/>
                  </w:rPr>
                  <w:t>资产处置损益</w:t>
                </w:r>
                <w:r>
                  <w:rPr>
                    <w:rFonts w:hint="eastAsia" w:ascii="Times New Roman" w:hAnsi="Times New Roman"/>
                  </w:rPr>
                  <w:t>，包括已计提资产减值准备的冲销部分</w:t>
                </w:r>
              </w:p>
            </w:tc>
          </w:sdtContent>
        </w:sdt>
        <w:sdt>
          <w:sdtPr>
            <w:rPr>
              <w:rFonts w:ascii="宋体" w:hAnsi="宋体"/>
            </w:rPr>
            <w:alias w:val="非流动性资产处置损益，包括已计提资产减值准备的冲销部分（非经常性损益项目）"/>
            <w:tag w:val="_GBC_c496f3613fd8455da446236944e78ea6"/>
            <w:id w:val="1485050582"/>
            <w:dataBinding w:prefixMappings="xmlns:clcid-pte='clcid-pte'" w:xpath="/*/clcid-pte:FeiLiuDongXingZiChanChuZhiSunYiBaoKuoYiJiTiZiChanJianZhiZhunBeiDeChongXiaoBuFenFeiJingChangXingSunYiXiangMu[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-21,668</w:t>
                </w:r>
              </w:p>
            </w:tc>
          </w:sdtContent>
        </w:sdt>
        <w:tc>
          <w:tcPr>
            <w:tcW w:w="935" w:type="pct"/>
            <w:vAlign w:val="center"/>
          </w:tcPr>
          <w:p>
            <w:pPr>
              <w:jc w:val="right"/>
              <w:rPr>
                <w:rFonts w:ascii="宋体" w:hAnsi="宋体"/>
              </w:rPr>
            </w:pPr>
            <w:r>
              <w:rPr>
                <w:rFonts w:hint="eastAsia" w:ascii="宋体" w:hAnsi="宋体"/>
              </w:rPr>
              <w:t>22,832</w:t>
            </w:r>
          </w:p>
        </w:tc>
        <w:tc>
          <w:tcPr>
            <w:tcW w:w="925" w:type="pct"/>
            <w:vAlign w:val="center"/>
          </w:tcPr>
          <w:p>
            <w:pPr>
              <w:jc w:val="right"/>
              <w:rPr>
                <w:rFonts w:ascii="宋体" w:hAnsi="宋体"/>
              </w:rPr>
            </w:pPr>
            <w:r>
              <w:rPr>
                <w:rFonts w:hint="eastAsia" w:ascii="宋体" w:hAnsi="宋体"/>
              </w:rPr>
              <w:t>72,547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5787d84c6374d54abef27ab1f5bfb44"/>
            <w:id w:val="-722828574"/>
          </w:sdtPr>
          <w:sdtContent>
            <w:tc>
              <w:tcPr>
                <w:tcW w:w="2203" w:type="pct"/>
              </w:tcPr>
              <w:p>
                <w:pPr>
                  <w:pStyle w:val="55"/>
                  <w:ind w:firstLine="0" w:firstLineChars="0"/>
                  <w:jc w:val="left"/>
                  <w:rPr>
                    <w:rFonts w:ascii="Times New Roman" w:hAnsi="Times New Roman"/>
                  </w:rPr>
                </w:pPr>
                <w:r>
                  <w:rPr>
                    <w:rFonts w:ascii="Times New Roman" w:hAnsi="Times New Roman"/>
                  </w:rPr>
                  <w:t>计入当期损益的政府补助</w:t>
                </w:r>
                <w:r>
                  <w:rPr>
                    <w:rFonts w:hint="eastAsia" w:ascii="Times New Roman" w:hAnsi="Times New Roman"/>
                  </w:rPr>
                  <w:t>，但与公司正常经营业务密切相关、符合国家政策规定、按照确定的标准享有、对公司损益产生持续影响的政府补助除外</w:t>
                </w:r>
              </w:p>
            </w:tc>
          </w:sdtContent>
        </w:sdt>
        <w:sdt>
          <w:sdtPr>
            <w:rPr>
              <w:rFonts w:ascii="宋体" w:hAnsi="宋体"/>
            </w:rPr>
            <w:alias w:val="计入当期损益的政府补助，但与公司正常经营业务密切相关，符合国家政策规定、按照一定标准定额或定量持续享受的政府补助除外（非经常性损"/>
            <w:tag w:val="_GBC_684dd135702d42389be13fe5b1af7dfd"/>
            <w:id w:val="1848824214"/>
            <w:dataBinding w:prefixMappings="xmlns:clcid-pte='clcid-pte'" w:xpath="/*/clcid-pte:FeiJingChangXingSunYiZhongGeZhongXingShiDeZhengFuBuTie[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264,378</w:t>
                </w:r>
              </w:p>
            </w:tc>
          </w:sdtContent>
        </w:sdt>
        <w:tc>
          <w:tcPr>
            <w:tcW w:w="935" w:type="pct"/>
            <w:vAlign w:val="center"/>
          </w:tcPr>
          <w:p>
            <w:pPr>
              <w:jc w:val="right"/>
              <w:rPr>
                <w:rFonts w:ascii="宋体" w:hAnsi="宋体"/>
              </w:rPr>
            </w:pPr>
            <w:r>
              <w:rPr>
                <w:rFonts w:hint="eastAsia" w:ascii="宋体" w:hAnsi="宋体"/>
              </w:rPr>
              <w:t>176,633</w:t>
            </w:r>
          </w:p>
        </w:tc>
        <w:tc>
          <w:tcPr>
            <w:tcW w:w="925" w:type="pct"/>
            <w:vAlign w:val="center"/>
          </w:tcPr>
          <w:p>
            <w:pPr>
              <w:jc w:val="right"/>
              <w:rPr>
                <w:rFonts w:ascii="宋体" w:hAnsi="宋体"/>
              </w:rPr>
            </w:pPr>
            <w:r>
              <w:rPr>
                <w:rFonts w:hint="eastAsia" w:ascii="宋体" w:hAnsi="宋体"/>
              </w:rPr>
              <w:t>169,279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tcPr>
          <w:sdt>
            <w:sdtPr>
              <w:rPr>
                <w:rFonts w:hint="eastAsia" w:ascii="Times New Roman" w:hAnsi="Times New Roman"/>
              </w:rPr>
              <w:tag w:val="_PLD_a7d8134159f24bc0b38248ac1753e634"/>
              <w:id w:val="-489475693"/>
            </w:sdtPr>
            <w:sdtEndPr>
              <w:rPr>
                <w:rFonts w:hint="eastAsia" w:ascii="Times New Roman" w:hAnsi="Times New Roman"/>
              </w:rPr>
            </w:sdtEndPr>
            <w:sdtContent>
              <w:p>
                <w:pPr>
                  <w:pStyle w:val="55"/>
                  <w:ind w:firstLine="0" w:firstLineChars="0"/>
                  <w:jc w:val="left"/>
                  <w:rPr>
                    <w:rFonts w:ascii="Times New Roman" w:hAnsi="Times New Roman"/>
                  </w:rPr>
                </w:pPr>
                <w:r>
                  <w:rPr>
                    <w:rFonts w:hint="eastAsia" w:ascii="Times New Roman" w:hAnsi="Times New Roman"/>
                  </w:rPr>
                  <w:t>除同公司正常经营业务相关的有效套期保值业务外，</w:t>
                </w:r>
                <w:r>
                  <w:rPr>
                    <w:rFonts w:ascii="Times New Roman" w:hAnsi="Times New Roman"/>
                  </w:rPr>
                  <w:t>非金融企业持有金融资产和金融负债产生的公允价值变动损益以及处置金融资产和金融负债产生的损益</w:t>
                </w:r>
              </w:p>
            </w:sdtContent>
          </w:sdt>
        </w:tc>
        <w:sdt>
          <w:sdtPr>
            <w:rPr>
              <w:rFonts w:ascii="宋体" w:hAnsi="宋体"/>
            </w:rPr>
            <w:alias w:val="除同公司正常经营业务相关的有效套期保值业务外，持有交易性金融资产、衍生金融资产、交易性金融负债、衍生金融负债产生的公允价值变动损"/>
            <w:tag w:val="_GBC_1b0ec51ade214acf8600e6a3b1aa5521"/>
            <w:id w:val="919142620"/>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62,770</w:t>
                </w:r>
              </w:p>
            </w:tc>
          </w:sdtContent>
        </w:sdt>
        <w:tc>
          <w:tcPr>
            <w:tcW w:w="935" w:type="pct"/>
            <w:vAlign w:val="center"/>
          </w:tcPr>
          <w:p>
            <w:pPr>
              <w:jc w:val="right"/>
              <w:rPr>
                <w:rFonts w:ascii="宋体" w:hAnsi="宋体"/>
              </w:rPr>
            </w:pPr>
            <w:r>
              <w:rPr>
                <w:rFonts w:hint="eastAsia" w:ascii="宋体" w:hAnsi="宋体"/>
              </w:rPr>
              <w:t>-135,191</w:t>
            </w:r>
          </w:p>
        </w:tc>
        <w:tc>
          <w:tcPr>
            <w:tcW w:w="925" w:type="pct"/>
            <w:vAlign w:val="center"/>
          </w:tcPr>
          <w:p>
            <w:pPr>
              <w:jc w:val="right"/>
              <w:rPr>
                <w:rFonts w:ascii="宋体" w:hAnsi="宋体"/>
              </w:rPr>
            </w:pPr>
            <w:r>
              <w:rPr>
                <w:rFonts w:hint="eastAsia" w:ascii="宋体" w:hAnsi="宋体"/>
              </w:rPr>
              <w:t>-191,206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pct"/>
          </w:tcPr>
          <w:sdt>
            <w:sdtPr>
              <w:rPr>
                <w:rFonts w:hint="eastAsia" w:ascii="Times New Roman" w:hAnsi="Times New Roman"/>
              </w:rPr>
              <w:tag w:val="_PLD_80928f4e6aa84654839627a9d42d986f"/>
              <w:id w:val="1238521317"/>
            </w:sdtPr>
            <w:sdtEndPr>
              <w:rPr>
                <w:rFonts w:hint="eastAsia" w:ascii="Times New Roman" w:hAnsi="Times New Roman"/>
              </w:rPr>
            </w:sdtEndPr>
            <w:sdtContent>
              <w:p>
                <w:pPr>
                  <w:pStyle w:val="55"/>
                  <w:ind w:firstLine="0" w:firstLineChars="0"/>
                  <w:jc w:val="left"/>
                  <w:rPr>
                    <w:rFonts w:ascii="Times New Roman" w:hAnsi="Times New Roman"/>
                  </w:rPr>
                </w:pPr>
                <w:r>
                  <w:rPr>
                    <w:rFonts w:hint="eastAsia" w:ascii="Times New Roman" w:hAnsi="Times New Roman"/>
                  </w:rPr>
                  <w:t>单独进行减值测试的应收款项减值准备转回</w:t>
                </w:r>
              </w:p>
            </w:sdtContent>
          </w:sdt>
        </w:tc>
        <w:sdt>
          <w:sdtPr>
            <w:rPr>
              <w:rFonts w:ascii="宋体" w:hAnsi="宋体"/>
            </w:rPr>
            <w:alias w:val="单独进行减值测试的应收款项、合同资产减值准备转回（非经常性损益项目） "/>
            <w:tag w:val="_GBC_3d6d92c666984014b4793fec5e18f7c0"/>
            <w:id w:val="-1907678753"/>
            <w:dataBinding w:prefixMappings="xmlns:clcid-pte='clcid-pte'" w:xpath="/*/clcid-pte:DanDuJinXingJianZhiCeShiDeYingShouKuanXiangHeTongZiChanJianZhiZhunBeiZhuanHuiFeiJingChangXingSunYiXiangMu[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128,398</w:t>
                </w:r>
              </w:p>
            </w:tc>
          </w:sdtContent>
        </w:sdt>
        <w:tc>
          <w:tcPr>
            <w:tcW w:w="935" w:type="pct"/>
            <w:vAlign w:val="center"/>
          </w:tcPr>
          <w:p>
            <w:pPr>
              <w:jc w:val="right"/>
              <w:rPr>
                <w:rFonts w:ascii="宋体" w:hAnsi="宋体"/>
              </w:rPr>
            </w:pPr>
            <w:r>
              <w:rPr>
                <w:rFonts w:hint="eastAsia" w:ascii="宋体" w:hAnsi="宋体"/>
              </w:rPr>
              <w:t>206,776</w:t>
            </w:r>
          </w:p>
        </w:tc>
        <w:tc>
          <w:tcPr>
            <w:tcW w:w="925" w:type="pct"/>
            <w:vAlign w:val="center"/>
          </w:tcPr>
          <w:p>
            <w:pPr>
              <w:jc w:val="right"/>
              <w:rPr>
                <w:rFonts w:ascii="宋体" w:hAnsi="宋体"/>
              </w:rPr>
            </w:pPr>
            <w:r>
              <w:rPr>
                <w:rFonts w:hint="eastAsia" w:ascii="宋体" w:hAnsi="宋体"/>
              </w:rPr>
              <w:t>106,107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95accc8391490a8d759283985bbe26"/>
            <w:id w:val="-1471746277"/>
          </w:sdtPr>
          <w:sdtContent>
            <w:tc>
              <w:tcPr>
                <w:tcW w:w="2203" w:type="pct"/>
              </w:tcPr>
              <w:p>
                <w:pPr>
                  <w:pStyle w:val="55"/>
                  <w:ind w:firstLine="0" w:firstLineChars="0"/>
                  <w:jc w:val="left"/>
                  <w:rPr>
                    <w:rFonts w:ascii="Times New Roman" w:hAnsi="Times New Roman"/>
                  </w:rPr>
                </w:pPr>
                <w:r>
                  <w:rPr>
                    <w:rFonts w:ascii="Times New Roman" w:hAnsi="Times New Roman"/>
                  </w:rPr>
                  <w:t>企业取得子公司、联营企业及合营企业的投资成本小于取得投资时应享有被投资单位可辨认净资产公允价值产生的收益</w:t>
                </w:r>
              </w:p>
            </w:tc>
          </w:sdtContent>
        </w:sdt>
        <w:sdt>
          <w:sdtPr>
            <w:rPr>
              <w:rFonts w:hint="eastAsia" w:ascii="宋体" w:hAnsi="宋体"/>
            </w:rPr>
            <w:alias w:val="企业取得子公司、联营企业及合营企业的投资成本小于取得投资时应享有被投资单位可辨认净资产公允价值产生的收益（非经常性损益项目）"/>
            <w:tag w:val="_GBC_923459f1d75c47cda37f504e669c048a"/>
            <w:id w:val="1535854808"/>
            <w:dataBinding w:prefixMappings="xmlns:clcid-pte='clcid-pte'" w:xpath="/*/clcid-pte:QiYeHeBingDeHeBingChengBenXiaoYuHeBingShiYingXiangYouBeiHeBingDanWeiKeBianRenJingZiChanGongYunJiaZhiChanShengDeSunYi[not(@periodRef)]" w:storeItemID="{89EBAB94-44A0-46A2-B712-30D997D04A6D}"/>
            <w:text/>
          </w:sdtPr>
          <w:sdtEndPr>
            <w:rPr>
              <w:rFonts w:hint="eastAsia" w:ascii="宋体" w:hAnsi="宋体"/>
            </w:rPr>
          </w:sdtEndPr>
          <w:sdtContent>
            <w:tc>
              <w:tcPr>
                <w:tcW w:w="937" w:type="pct"/>
                <w:vAlign w:val="center"/>
              </w:tcPr>
              <w:p>
                <w:pPr>
                  <w:jc w:val="right"/>
                  <w:rPr>
                    <w:rFonts w:ascii="宋体" w:hAnsi="宋体"/>
                  </w:rPr>
                </w:pPr>
                <w:r>
                  <w:rPr>
                    <w:rFonts w:hint="eastAsia" w:ascii="宋体" w:hAnsi="宋体"/>
                  </w:rPr>
                  <w:t>-</w:t>
                </w:r>
              </w:p>
            </w:tc>
          </w:sdtContent>
        </w:sdt>
        <w:tc>
          <w:tcPr>
            <w:tcW w:w="935" w:type="pct"/>
            <w:vAlign w:val="center"/>
          </w:tcPr>
          <w:p>
            <w:pPr>
              <w:jc w:val="right"/>
              <w:rPr>
                <w:rFonts w:ascii="宋体" w:hAnsi="宋体"/>
              </w:rPr>
            </w:pPr>
            <w:r>
              <w:rPr>
                <w:rFonts w:hint="eastAsia" w:ascii="宋体" w:hAnsi="宋体"/>
              </w:rPr>
              <w:t>-</w:t>
            </w:r>
          </w:p>
        </w:tc>
        <w:tc>
          <w:tcPr>
            <w:tcW w:w="925" w:type="pct"/>
            <w:vAlign w:val="center"/>
          </w:tcPr>
          <w:p>
            <w:pPr>
              <w:jc w:val="right"/>
              <w:rPr>
                <w:rFonts w:ascii="宋体" w:hAnsi="宋体"/>
              </w:rPr>
            </w:pPr>
            <w:r>
              <w:rPr>
                <w:rFonts w:ascii="宋体" w:hAnsi="宋体"/>
              </w:rPr>
              <w:t>3,188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cffbd5c26d64f63b6f54b856b67ede2"/>
            <w:id w:val="-872142440"/>
          </w:sdtPr>
          <w:sdtContent>
            <w:tc>
              <w:tcPr>
                <w:tcW w:w="2203" w:type="pct"/>
              </w:tcPr>
              <w:p>
                <w:pPr>
                  <w:pStyle w:val="55"/>
                  <w:ind w:firstLine="0" w:firstLineChars="0"/>
                  <w:jc w:val="left"/>
                  <w:rPr>
                    <w:rFonts w:ascii="Times New Roman" w:hAnsi="Times New Roman"/>
                  </w:rPr>
                </w:pPr>
                <w:r>
                  <w:rPr>
                    <w:rFonts w:ascii="Times New Roman" w:hAnsi="Times New Roman"/>
                  </w:rPr>
                  <w:t>同一控制下企业合并产生的子公司期初至合并日的当期净损益</w:t>
                </w:r>
              </w:p>
            </w:tc>
          </w:sdtContent>
        </w:sdt>
        <w:sdt>
          <w:sdtPr>
            <w:rPr>
              <w:rFonts w:ascii="宋体" w:hAnsi="宋体"/>
            </w:rPr>
            <w:alias w:val="同一控制下企业合并产生的子公司期初至合并日的当期净损益（非经常性损益项目）"/>
            <w:tag w:val="_GBC_558ada21214f4fa58c291238eb5d0e53"/>
            <w:id w:val="209383511"/>
            <w:dataBinding w:prefixMappings="xmlns:clcid-pte='clcid-pte'" w:xpath="/*/clcid-pte:TongYiKongZhiXiaQiYeHeBingChanShengDeZiGongSiQiChuZhiHeBingRiDeDangQiJingSunYi[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2,932,102</w:t>
                </w:r>
              </w:p>
            </w:tc>
          </w:sdtContent>
        </w:sdt>
        <w:tc>
          <w:tcPr>
            <w:tcW w:w="935" w:type="pct"/>
            <w:vAlign w:val="center"/>
          </w:tcPr>
          <w:p>
            <w:pPr>
              <w:jc w:val="right"/>
              <w:rPr>
                <w:rFonts w:ascii="宋体" w:hAnsi="宋体"/>
              </w:rPr>
            </w:pPr>
            <w:r>
              <w:rPr>
                <w:rFonts w:ascii="宋体" w:hAnsi="宋体"/>
              </w:rPr>
              <w:t xml:space="preserve">6,591,463 </w:t>
            </w:r>
          </w:p>
        </w:tc>
        <w:tc>
          <w:tcPr>
            <w:tcW w:w="925" w:type="pct"/>
            <w:vAlign w:val="center"/>
          </w:tcPr>
          <w:p>
            <w:pPr>
              <w:jc w:val="right"/>
              <w:rPr>
                <w:rFonts w:ascii="宋体" w:hAnsi="宋体"/>
              </w:rPr>
            </w:pPr>
            <w:r>
              <w:rPr>
                <w:rFonts w:ascii="宋体" w:hAnsi="宋体"/>
              </w:rPr>
              <w:t xml:space="preserve">2,776,190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e059ed47c114c52bbd7d83d7a153bbe"/>
            <w:id w:val="-1746330464"/>
          </w:sdtPr>
          <w:sdtContent>
            <w:tc>
              <w:tcPr>
                <w:tcW w:w="2203" w:type="pct"/>
              </w:tcPr>
              <w:p>
                <w:pPr>
                  <w:pStyle w:val="55"/>
                  <w:ind w:firstLine="0" w:firstLineChars="0"/>
                  <w:jc w:val="left"/>
                  <w:rPr>
                    <w:rFonts w:ascii="Times New Roman" w:hAnsi="Times New Roman"/>
                  </w:rPr>
                </w:pPr>
                <w:r>
                  <w:rPr>
                    <w:rFonts w:ascii="Times New Roman" w:hAnsi="Times New Roman"/>
                  </w:rPr>
                  <w:t>债务重组损益</w:t>
                </w:r>
              </w:p>
            </w:tc>
          </w:sdtContent>
        </w:sdt>
        <w:sdt>
          <w:sdtPr>
            <w:rPr>
              <w:rFonts w:ascii="宋体" w:hAnsi="宋体"/>
            </w:rPr>
            <w:alias w:val="债务重组损益（非经常性损益项目）"/>
            <w:tag w:val="_GBC_bbe9d7c147264bc9b08df780e5650087"/>
            <w:id w:val="-2069486226"/>
            <w:dataBinding w:prefixMappings="xmlns:clcid-pte='clcid-pte'" w:xpath="/*/clcid-pte:FeiJingChangXingSunYiZhongZhaiWuZhongZuSunYi[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2,566</w:t>
                </w:r>
              </w:p>
            </w:tc>
          </w:sdtContent>
        </w:sdt>
        <w:tc>
          <w:tcPr>
            <w:tcW w:w="935" w:type="pct"/>
            <w:vAlign w:val="center"/>
          </w:tcPr>
          <w:p>
            <w:pPr>
              <w:jc w:val="right"/>
              <w:rPr>
                <w:rFonts w:ascii="宋体" w:hAnsi="宋体"/>
              </w:rPr>
            </w:pPr>
            <w:r>
              <w:rPr>
                <w:rFonts w:hint="eastAsia" w:ascii="宋体" w:hAnsi="宋体"/>
              </w:rPr>
              <w:t>15,971</w:t>
            </w:r>
          </w:p>
        </w:tc>
        <w:tc>
          <w:tcPr>
            <w:tcW w:w="925" w:type="pct"/>
            <w:vAlign w:val="center"/>
          </w:tcPr>
          <w:p>
            <w:pPr>
              <w:jc w:val="right"/>
              <w:rPr>
                <w:rFonts w:ascii="宋体" w:hAnsi="宋体"/>
              </w:rPr>
            </w:pPr>
            <w:r>
              <w:rPr>
                <w:rFonts w:hint="eastAsia" w:ascii="宋体" w:hAnsi="宋体"/>
              </w:rPr>
              <w:t>-5,115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12607f364354432893fe8e7b2114a02"/>
            <w:id w:val="1013197456"/>
          </w:sdtPr>
          <w:sdtContent>
            <w:tc>
              <w:tcPr>
                <w:tcW w:w="2203" w:type="pct"/>
              </w:tcPr>
              <w:p>
                <w:pPr>
                  <w:pStyle w:val="55"/>
                  <w:ind w:firstLine="0" w:firstLineChars="0"/>
                  <w:jc w:val="left"/>
                  <w:rPr>
                    <w:rFonts w:ascii="Times New Roman" w:hAnsi="Times New Roman"/>
                  </w:rPr>
                </w:pPr>
                <w:r>
                  <w:rPr>
                    <w:rFonts w:ascii="Times New Roman" w:hAnsi="Times New Roman"/>
                  </w:rPr>
                  <w:t>采用公允价值模式进行后续计量的投资性房地产公允价值变动产生的损益</w:t>
                </w:r>
              </w:p>
            </w:tc>
          </w:sdtContent>
        </w:sdt>
        <w:sdt>
          <w:sdtPr>
            <w:rPr>
              <w:rFonts w:ascii="宋体" w:hAnsi="宋体"/>
            </w:rPr>
            <w:alias w:val="采用公允价值模式进行后续计量的投资性房地产公允价值变动产生的损益（非经常性损益项目）"/>
            <w:tag w:val="_GBC_4aa3bfd55ed94195b78682398dcc8dc2"/>
            <w:id w:val="617885450"/>
            <w:dataBinding w:prefixMappings="xmlns:clcid-pte='clcid-pte'" w:xpath="/*/clcid-pte:CaiYongGongYunJiaZhiMoShiJinXingHouXuJiLiangDeTouZiXingFangDiChanGongYunJiaZhiBianDongChanShengDeSunYi[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18,454</w:t>
                </w:r>
              </w:p>
            </w:tc>
          </w:sdtContent>
        </w:sdt>
        <w:tc>
          <w:tcPr>
            <w:tcW w:w="935" w:type="pct"/>
            <w:vAlign w:val="center"/>
          </w:tcPr>
          <w:p>
            <w:pPr>
              <w:jc w:val="right"/>
              <w:rPr>
                <w:rFonts w:ascii="宋体" w:hAnsi="宋体"/>
              </w:rPr>
            </w:pPr>
            <w:r>
              <w:rPr>
                <w:rFonts w:hint="eastAsia" w:ascii="宋体" w:hAnsi="宋体"/>
              </w:rPr>
              <w:t>46,980</w:t>
            </w:r>
          </w:p>
        </w:tc>
        <w:tc>
          <w:tcPr>
            <w:tcW w:w="925" w:type="pct"/>
            <w:vAlign w:val="center"/>
          </w:tcPr>
          <w:p>
            <w:pPr>
              <w:jc w:val="right"/>
              <w:rPr>
                <w:rFonts w:ascii="宋体" w:hAnsi="宋体"/>
              </w:rPr>
            </w:pPr>
            <w:r>
              <w:rPr>
                <w:rFonts w:hint="eastAsia" w:ascii="宋体" w:hAnsi="宋体"/>
              </w:rPr>
              <w:t>29,016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0fdb8eaef5b42529e0d34c8f8fc9068"/>
            <w:id w:val="-561176513"/>
          </w:sdtPr>
          <w:sdtContent>
            <w:tc>
              <w:tcPr>
                <w:tcW w:w="2203" w:type="pct"/>
              </w:tcPr>
              <w:p>
                <w:pPr>
                  <w:pStyle w:val="55"/>
                  <w:ind w:firstLine="0" w:firstLineChars="0"/>
                  <w:jc w:val="left"/>
                  <w:rPr>
                    <w:rFonts w:ascii="Times New Roman" w:hAnsi="Times New Roman"/>
                  </w:rPr>
                </w:pPr>
                <w:r>
                  <w:rPr>
                    <w:rFonts w:ascii="Times New Roman" w:hAnsi="Times New Roman"/>
                  </w:rPr>
                  <w:t>除上述各项之外的其他营业外收入和支出</w:t>
                </w:r>
              </w:p>
            </w:tc>
          </w:sdtContent>
        </w:sdt>
        <w:sdt>
          <w:sdtPr>
            <w:rPr>
              <w:rFonts w:ascii="宋体" w:hAnsi="宋体"/>
            </w:rPr>
            <w:alias w:val="除上述各项之外的其他营业外收入和支出（非经常性损益项目）"/>
            <w:tag w:val="_GBC_db2b03821cd1474fa2cdeef239f8f685"/>
            <w:id w:val="1654795615"/>
            <w:dataBinding w:prefixMappings="xmlns:clcid-pte='clcid-pte'" w:xpath="/*/clcid-pte:ChuShangShuGeXiangZhiWaiDeQiTaYingYeWaiShouZhiJingE[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58,890</w:t>
                </w:r>
              </w:p>
            </w:tc>
          </w:sdtContent>
        </w:sdt>
        <w:tc>
          <w:tcPr>
            <w:tcW w:w="935" w:type="pct"/>
            <w:vAlign w:val="center"/>
          </w:tcPr>
          <w:p>
            <w:pPr>
              <w:jc w:val="right"/>
              <w:rPr>
                <w:rFonts w:ascii="宋体" w:hAnsi="宋体"/>
              </w:rPr>
            </w:pPr>
            <w:r>
              <w:rPr>
                <w:rFonts w:hint="eastAsia" w:ascii="宋体" w:hAnsi="宋体"/>
              </w:rPr>
              <w:t>42,398</w:t>
            </w:r>
          </w:p>
        </w:tc>
        <w:tc>
          <w:tcPr>
            <w:tcW w:w="925" w:type="pct"/>
            <w:vAlign w:val="center"/>
          </w:tcPr>
          <w:p>
            <w:pPr>
              <w:jc w:val="right"/>
              <w:rPr>
                <w:rFonts w:ascii="宋体" w:hAnsi="宋体"/>
              </w:rPr>
            </w:pPr>
            <w:r>
              <w:rPr>
                <w:rFonts w:hint="eastAsia" w:ascii="宋体" w:hAnsi="宋体"/>
              </w:rPr>
              <w:t>-278,625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6eae18dc5a4044b5b677ca02ddeab5"/>
            <w:id w:val="-654832275"/>
          </w:sdtPr>
          <w:sdtContent>
            <w:tc>
              <w:tcPr>
                <w:tcW w:w="2203" w:type="pct"/>
              </w:tcPr>
              <w:p>
                <w:pPr>
                  <w:pStyle w:val="55"/>
                  <w:ind w:firstLine="0" w:firstLineChars="0"/>
                  <w:jc w:val="left"/>
                  <w:rPr>
                    <w:rFonts w:ascii="Times New Roman" w:hAnsi="Times New Roman"/>
                  </w:rPr>
                </w:pPr>
                <w:r>
                  <w:rPr>
                    <w:rFonts w:ascii="Times New Roman" w:hAnsi="Times New Roman"/>
                  </w:rPr>
                  <w:t>其他符合非经常性损益定义的损益项目</w:t>
                </w:r>
              </w:p>
            </w:tc>
          </w:sdtContent>
        </w:sdt>
        <w:sdt>
          <w:sdtPr>
            <w:rPr>
              <w:rFonts w:hint="eastAsia" w:ascii="宋体" w:hAnsi="宋体"/>
            </w:rPr>
            <w:alias w:val="其他符合非经常性损益定义的损益项目（非经常性损益项目）"/>
            <w:tag w:val="_GBC_1d59cbb8e1894c4ab0cf65804f09e702"/>
            <w:id w:val="1251000939"/>
            <w:dataBinding w:prefixMappings="xmlns:clcid-pte='clcid-pte'" w:xpath="/*/clcid-pte:QiTaFeiJingChangXingSunYiXiangMu[not(@periodRef)]" w:storeItemID="{89EBAB94-44A0-46A2-B712-30D997D04A6D}"/>
            <w:text/>
          </w:sdtPr>
          <w:sdtEndPr>
            <w:rPr>
              <w:rFonts w:hint="eastAsia" w:ascii="宋体" w:hAnsi="宋体"/>
            </w:rPr>
          </w:sdtEndPr>
          <w:sdtContent>
            <w:tc>
              <w:tcPr>
                <w:tcW w:w="937" w:type="pct"/>
                <w:vAlign w:val="center"/>
              </w:tcPr>
              <w:p>
                <w:pPr>
                  <w:jc w:val="right"/>
                  <w:rPr>
                    <w:rFonts w:ascii="宋体" w:hAnsi="宋体"/>
                  </w:rPr>
                </w:pPr>
                <w:r>
                  <w:rPr>
                    <w:rFonts w:hint="eastAsia" w:ascii="宋体" w:hAnsi="宋体"/>
                  </w:rPr>
                  <w:t>-</w:t>
                </w:r>
              </w:p>
            </w:tc>
          </w:sdtContent>
        </w:sdt>
        <w:tc>
          <w:tcPr>
            <w:tcW w:w="935" w:type="pct"/>
            <w:vAlign w:val="center"/>
          </w:tcPr>
          <w:p>
            <w:pPr>
              <w:jc w:val="right"/>
              <w:rPr>
                <w:rFonts w:ascii="宋体" w:hAnsi="宋体"/>
              </w:rPr>
            </w:pPr>
            <w:r>
              <w:rPr>
                <w:rFonts w:hint="eastAsia" w:ascii="宋体" w:hAnsi="宋体"/>
              </w:rPr>
              <w:t>2,082</w:t>
            </w:r>
          </w:p>
        </w:tc>
        <w:tc>
          <w:tcPr>
            <w:tcW w:w="925" w:type="pct"/>
            <w:vAlign w:val="center"/>
          </w:tcPr>
          <w:p>
            <w:pPr>
              <w:jc w:val="right"/>
              <w:rPr>
                <w:rFonts w:ascii="宋体" w:hAnsi="宋体"/>
              </w:rPr>
            </w:pPr>
            <w:r>
              <w:rPr>
                <w:rFonts w:hint="eastAsia" w:ascii="宋体" w:hAnsi="宋体"/>
              </w:rPr>
              <w:t>111,198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2699ece1cea43f4bf68568524fab45b"/>
            <w:id w:val="-215588405"/>
          </w:sdtPr>
          <w:sdtContent>
            <w:tc>
              <w:tcPr>
                <w:tcW w:w="2203" w:type="pct"/>
              </w:tcPr>
              <w:p>
                <w:pPr>
                  <w:pStyle w:val="55"/>
                  <w:ind w:firstLine="0" w:firstLineChars="0"/>
                  <w:jc w:val="left"/>
                  <w:rPr>
                    <w:rFonts w:ascii="Times New Roman" w:hAnsi="Times New Roman"/>
                  </w:rPr>
                </w:pPr>
                <w:r>
                  <w:rPr>
                    <w:rFonts w:hint="eastAsia" w:ascii="Times New Roman" w:hAnsi="Times New Roman"/>
                  </w:rPr>
                  <w:t>减：</w:t>
                </w:r>
                <w:r>
                  <w:rPr>
                    <w:rFonts w:ascii="Times New Roman" w:hAnsi="Times New Roman"/>
                  </w:rPr>
                  <w:t>所得税影响额</w:t>
                </w:r>
              </w:p>
            </w:tc>
          </w:sdtContent>
        </w:sdt>
        <w:sdt>
          <w:sdtPr>
            <w:rPr>
              <w:rFonts w:ascii="宋体" w:hAnsi="宋体"/>
            </w:rPr>
            <w:alias w:val="非经常性损益_对所得税的影响"/>
            <w:tag w:val="_GBC_4def74f50ca149eba55d9413762b05db"/>
            <w:id w:val="208382392"/>
            <w:dataBinding w:prefixMappings="xmlns:clcid-pte='clcid-pte'" w:xpath="/*/clcid-pte:FeiJingChangXingSunYiDeKouChuXiangMuDuiSuoDeShuiDeYingXiang[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136,864</w:t>
                </w:r>
              </w:p>
            </w:tc>
          </w:sdtContent>
        </w:sdt>
        <w:tc>
          <w:tcPr>
            <w:tcW w:w="935" w:type="pct"/>
            <w:vAlign w:val="center"/>
          </w:tcPr>
          <w:p>
            <w:pPr>
              <w:jc w:val="right"/>
              <w:rPr>
                <w:rFonts w:ascii="宋体" w:hAnsi="宋体"/>
              </w:rPr>
            </w:pPr>
            <w:r>
              <w:rPr>
                <w:rFonts w:hint="eastAsia" w:ascii="宋体" w:hAnsi="宋体"/>
              </w:rPr>
              <w:t>127,926</w:t>
            </w:r>
          </w:p>
        </w:tc>
        <w:tc>
          <w:tcPr>
            <w:tcW w:w="925" w:type="pct"/>
            <w:vAlign w:val="center"/>
          </w:tcPr>
          <w:p>
            <w:pPr>
              <w:jc w:val="right"/>
              <w:rPr>
                <w:rFonts w:ascii="宋体" w:hAnsi="宋体"/>
              </w:rPr>
            </w:pPr>
            <w:r>
              <w:rPr>
                <w:rFonts w:hint="eastAsia" w:ascii="宋体" w:hAnsi="宋体"/>
              </w:rPr>
              <w:t>15,737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4e185b6b44f4dd4ab1eef1a78d19692"/>
            <w:id w:val="1479338567"/>
          </w:sdtPr>
          <w:sdtContent>
            <w:tc>
              <w:tcPr>
                <w:tcW w:w="2203" w:type="pct"/>
              </w:tcPr>
              <w:p>
                <w:pPr>
                  <w:pStyle w:val="55"/>
                  <w:jc w:val="left"/>
                  <w:rPr>
                    <w:rFonts w:ascii="Times New Roman" w:hAnsi="Times New Roman"/>
                  </w:rPr>
                </w:pPr>
                <w:r>
                  <w:rPr>
                    <w:rFonts w:ascii="Times New Roman" w:hAnsi="Times New Roman"/>
                  </w:rPr>
                  <w:t>少数股东权益影响额</w:t>
                </w:r>
                <w:r>
                  <w:rPr>
                    <w:rFonts w:hint="eastAsia" w:ascii="Times New Roman" w:hAnsi="Times New Roman"/>
                  </w:rPr>
                  <w:t>（税后）</w:t>
                </w:r>
              </w:p>
            </w:tc>
          </w:sdtContent>
        </w:sdt>
        <w:sdt>
          <w:sdtPr>
            <w:rPr>
              <w:rFonts w:ascii="宋体" w:hAnsi="宋体"/>
            </w:rPr>
            <w:alias w:val="少数股东权益影响额（非经常性损益项目）"/>
            <w:tag w:val="_GBC_3163dc6a2b6f4d2f8c197619d5d0a249"/>
            <w:id w:val="94454890"/>
            <w:dataBinding w:prefixMappings="xmlns:clcid-pte='clcid-pte'" w:xpath="/*/clcid-pte:FeiJingChangXingSunYiXiangMuZhongShaoShuGuDongQuanYiYingXiangE[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1,760,471</w:t>
                </w:r>
              </w:p>
            </w:tc>
          </w:sdtContent>
        </w:sdt>
        <w:tc>
          <w:tcPr>
            <w:tcW w:w="935" w:type="pct"/>
            <w:vAlign w:val="center"/>
          </w:tcPr>
          <w:p>
            <w:pPr>
              <w:jc w:val="right"/>
              <w:rPr>
                <w:rFonts w:ascii="宋体" w:hAnsi="宋体"/>
              </w:rPr>
            </w:pPr>
            <w:r>
              <w:rPr>
                <w:rFonts w:ascii="宋体" w:hAnsi="宋体"/>
              </w:rPr>
              <w:t xml:space="preserve">3,767,907 </w:t>
            </w:r>
          </w:p>
        </w:tc>
        <w:tc>
          <w:tcPr>
            <w:tcW w:w="925" w:type="pct"/>
            <w:vAlign w:val="center"/>
          </w:tcPr>
          <w:p>
            <w:pPr>
              <w:jc w:val="right"/>
              <w:rPr>
                <w:rFonts w:ascii="宋体" w:hAnsi="宋体"/>
              </w:rPr>
            </w:pPr>
            <w:r>
              <w:rPr>
                <w:rFonts w:ascii="宋体" w:hAnsi="宋体"/>
              </w:rPr>
              <w:t xml:space="preserve">1,483,168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b27c48cd04941d4a1e5b523c0d48a23"/>
            <w:id w:val="-607662590"/>
          </w:sdtPr>
          <w:sdtContent>
            <w:tc>
              <w:tcPr>
                <w:tcW w:w="2203" w:type="pct"/>
                <w:vAlign w:val="center"/>
              </w:tcPr>
              <w:p>
                <w:pPr>
                  <w:pStyle w:val="55"/>
                  <w:ind w:firstLine="0" w:firstLineChars="0"/>
                  <w:jc w:val="center"/>
                  <w:rPr>
                    <w:rFonts w:ascii="Times New Roman" w:hAnsi="Times New Roman"/>
                  </w:rPr>
                </w:pPr>
                <w:r>
                  <w:rPr>
                    <w:rFonts w:ascii="Times New Roman" w:hAnsi="Times New Roman"/>
                  </w:rPr>
                  <w:t>合计</w:t>
                </w:r>
              </w:p>
            </w:tc>
          </w:sdtContent>
        </w:sdt>
        <w:sdt>
          <w:sdtPr>
            <w:rPr>
              <w:rFonts w:ascii="宋体" w:hAnsi="宋体"/>
            </w:rPr>
            <w:alias w:val="扣除的非经常性损益合计"/>
            <w:tag w:val="_GBC_a8b2254838ab45f19e48811e3509d38c"/>
            <w:id w:val="-2059085858"/>
            <w:dataBinding w:prefixMappings="xmlns:clcid-pte='clcid-pte'" w:xpath="/*/clcid-pte:KouChuDeFeiJingChangXingSunYiHeJi[not(@periodRef)]" w:storeItemID="{89EBAB94-44A0-46A2-B712-30D997D04A6D}"/>
            <w:text/>
          </w:sdtPr>
          <w:sdtEndPr>
            <w:rPr>
              <w:rFonts w:ascii="宋体" w:hAnsi="宋体"/>
            </w:rPr>
          </w:sdtEndPr>
          <w:sdtContent>
            <w:tc>
              <w:tcPr>
                <w:tcW w:w="937" w:type="pct"/>
                <w:vAlign w:val="center"/>
              </w:tcPr>
              <w:p>
                <w:pPr>
                  <w:jc w:val="right"/>
                  <w:rPr>
                    <w:rFonts w:ascii="宋体" w:hAnsi="宋体"/>
                  </w:rPr>
                </w:pPr>
                <w:r>
                  <w:rPr>
                    <w:rFonts w:ascii="宋体" w:hAnsi="宋体"/>
                  </w:rPr>
                  <w:t>1,548,555</w:t>
                </w:r>
              </w:p>
            </w:tc>
          </w:sdtContent>
        </w:sdt>
        <w:tc>
          <w:tcPr>
            <w:tcW w:w="935" w:type="pct"/>
            <w:vAlign w:val="center"/>
          </w:tcPr>
          <w:p>
            <w:pPr>
              <w:jc w:val="right"/>
              <w:rPr>
                <w:rFonts w:ascii="宋体" w:hAnsi="宋体"/>
              </w:rPr>
            </w:pPr>
            <w:r>
              <w:rPr>
                <w:rFonts w:hint="eastAsia" w:ascii="宋体" w:hAnsi="宋体"/>
              </w:rPr>
              <w:t>3,074,111</w:t>
            </w:r>
          </w:p>
        </w:tc>
        <w:tc>
          <w:tcPr>
            <w:tcW w:w="925" w:type="pct"/>
            <w:vAlign w:val="center"/>
          </w:tcPr>
          <w:p>
            <w:pPr>
              <w:jc w:val="right"/>
              <w:rPr>
                <w:rFonts w:ascii="宋体" w:hAnsi="宋体"/>
              </w:rPr>
            </w:pPr>
            <w:r>
              <w:rPr>
                <w:rFonts w:hint="eastAsia" w:ascii="宋体" w:hAnsi="宋体"/>
              </w:rPr>
              <w:t>1,293,674</w:t>
            </w:r>
          </w:p>
        </w:tc>
      </w:tr>
    </w:tbl>
    <w:p>
      <w:pPr>
        <w:pStyle w:val="501"/>
      </w:pPr>
    </w:p>
    <w:p>
      <w:pPr>
        <w:pStyle w:val="20"/>
        <w:adjustRightInd w:val="0"/>
        <w:snapToGrid w:val="0"/>
        <w:spacing w:line="200" w:lineRule="atLeast"/>
        <w:ind w:firstLine="420" w:firstLineChars="200"/>
        <w:rPr>
          <w:rFonts w:hAnsi="宋体"/>
          <w:kern w:val="0"/>
          <w:szCs w:val="21"/>
        </w:rPr>
      </w:pPr>
      <w:r>
        <w:rPr>
          <w:rFonts w:hint="eastAsia" w:hAnsi="宋体" w:cs="宋体"/>
          <w:kern w:val="0"/>
          <w:szCs w:val="21"/>
        </w:rPr>
        <w:t>对公司</w:t>
      </w:r>
      <w:r>
        <w:rPr>
          <w:rFonts w:hint="eastAsia" w:hAnsi="宋体"/>
          <w:szCs w:val="21"/>
        </w:rPr>
        <w:t>将《公开发行证券的公司信息披露解释性公告第</w:t>
      </w:r>
      <w:r>
        <w:rPr>
          <w:rFonts w:hAnsi="宋体"/>
          <w:szCs w:val="21"/>
        </w:rPr>
        <w:t>1号——非经常性损益》未列举的项目认定为的非经常性损益项目且金额重大的，以及将《公开发行证券的公司信息披露解释性公告第1号——非经常性损益》中列举的非经常性损益项目界定为经常性损益的项目，</w:t>
      </w:r>
      <w:r>
        <w:rPr>
          <w:rFonts w:hAnsi="宋体" w:cs="宋体"/>
          <w:kern w:val="0"/>
          <w:szCs w:val="21"/>
        </w:rPr>
        <w:t>应说明原因。</w:t>
      </w:r>
    </w:p>
    <w:bookmarkEnd w:id="14"/>
    <w:sdt>
      <w:sdtPr>
        <w:rPr>
          <w:rFonts w:ascii="宋体" w:hAnsi="宋体"/>
        </w:rPr>
        <w:alias w:val="是否适用：将非经常性损益项目界定为经常性损益项目[双击切换]"/>
        <w:tag w:val="_GBC_a4930715ddcb47d484e7fbd516fb3ac1"/>
        <w:id w:val="-1228839069"/>
        <w:placeholder>
          <w:docPart w:val="GBC22222222222222222222222222222"/>
        </w:placeholder>
      </w:sdtPr>
      <w:sdtEndPr>
        <w:rPr>
          <w:rFonts w:ascii="宋体" w:hAnsi="宋体"/>
        </w:rPr>
      </w:sdtEndPr>
      <w:sdtContent>
        <w:p>
          <w:pPr>
            <w:ind w:firstLine="420" w:firstLineChars="20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43"/>
      </w:pPr>
    </w:p>
    <w:p>
      <w:pPr>
        <w:pStyle w:val="3"/>
        <w:numPr>
          <w:ilvl w:val="1"/>
          <w:numId w:val="4"/>
        </w:numPr>
        <w:ind w:left="498" w:hanging="498" w:hangingChars="236"/>
        <w:rPr>
          <w:rFonts w:ascii="宋体" w:hAnsi="宋体"/>
        </w:rPr>
      </w:pPr>
      <w:r>
        <w:rPr>
          <w:rFonts w:hint="eastAsia" w:ascii="宋体" w:hAnsi="宋体"/>
        </w:rPr>
        <w:t>采用公允价值计量的项目</w:t>
      </w:r>
    </w:p>
    <w:sdt>
      <w:sdtPr>
        <w:alias w:val="是否适用：采用公允价值计量的项目[双击切换]"/>
        <w:tag w:val="_GBC_e89d76d7486246e0ac1d3db15e4df008"/>
        <w:id w:val="-1634796209"/>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rFonts w:ascii="宋体" w:hAnsi="宋体"/>
        </w:rPr>
      </w:pPr>
      <w:r>
        <w:rPr>
          <w:rFonts w:hint="eastAsia" w:ascii="宋体" w:hAnsi="宋体"/>
        </w:rPr>
        <w:t>单位：</w:t>
      </w:r>
      <w:sdt>
        <w:sdtPr>
          <w:rPr>
            <w:rFonts w:hint="eastAsia" w:ascii="宋体" w:hAnsi="宋体"/>
          </w:rPr>
          <w:alias w:val="单位：采用公允价值计量的项目"/>
          <w:tag w:val="_GBC_3db790decc6f48c79df9bb825ea34c80"/>
          <w:id w:val="9462778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千元</w:t>
          </w:r>
        </w:sdtContent>
      </w:sdt>
      <w:r>
        <w:rPr>
          <w:rFonts w:hint="eastAsia" w:ascii="宋体" w:hAnsi="宋体"/>
        </w:rPr>
        <w:t xml:space="preserve">  币种：</w:t>
      </w:r>
      <w:sdt>
        <w:sdtPr>
          <w:rPr>
            <w:rFonts w:hint="eastAsia" w:ascii="宋体" w:hAnsi="宋体"/>
          </w:rPr>
          <w:alias w:val="币种：采用公允价值计量的项目"/>
          <w:tag w:val="_GBC_6f16a5f9084343f1b7cf46e770d31080"/>
          <w:id w:val="-833836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rPr>
            <w:t>人民币</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1"/>
        <w:gridCol w:w="1658"/>
        <w:gridCol w:w="1666"/>
        <w:gridCol w:w="1652"/>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ascii="宋体" w:hAnsi="宋体"/>
            </w:rPr>
            <w:tag w:val="_PLD_7afb41bb6f11412490d2cf97e6a8af4a"/>
            <w:id w:val="-1474743437"/>
          </w:sdtPr>
          <w:sdtEndPr>
            <w:rPr>
              <w:rFonts w:ascii="宋体" w:hAnsi="宋体"/>
            </w:rPr>
          </w:sdtEndPr>
          <w:sdtContent>
            <w:tc>
              <w:tcPr>
                <w:tcW w:w="1901" w:type="dxa"/>
                <w:vAlign w:val="center"/>
              </w:tcPr>
              <w:p>
                <w:pPr>
                  <w:jc w:val="center"/>
                  <w:rPr>
                    <w:rFonts w:ascii="宋体" w:hAnsi="宋体"/>
                  </w:rPr>
                </w:pPr>
                <w:r>
                  <w:rPr>
                    <w:rFonts w:hint="eastAsia" w:ascii="宋体" w:hAnsi="宋体"/>
                  </w:rPr>
                  <w:t>项目名称</w:t>
                </w:r>
              </w:p>
            </w:tc>
          </w:sdtContent>
        </w:sdt>
        <w:sdt>
          <w:sdtPr>
            <w:rPr>
              <w:rFonts w:ascii="宋体" w:hAnsi="宋体"/>
            </w:rPr>
            <w:tag w:val="_PLD_da0df6228e264965b54ebbf01610457e"/>
            <w:id w:val="530691237"/>
          </w:sdtPr>
          <w:sdtEndPr>
            <w:rPr>
              <w:rFonts w:ascii="宋体" w:hAnsi="宋体"/>
            </w:rPr>
          </w:sdtEndPr>
          <w:sdtContent>
            <w:tc>
              <w:tcPr>
                <w:tcW w:w="1658" w:type="dxa"/>
                <w:vAlign w:val="center"/>
              </w:tcPr>
              <w:p>
                <w:pPr>
                  <w:jc w:val="center"/>
                  <w:rPr>
                    <w:rFonts w:ascii="宋体" w:hAnsi="宋体"/>
                  </w:rPr>
                </w:pPr>
                <w:r>
                  <w:rPr>
                    <w:rFonts w:hint="eastAsia" w:ascii="宋体" w:hAnsi="宋体"/>
                  </w:rPr>
                  <w:t>期初余额</w:t>
                </w:r>
              </w:p>
            </w:tc>
          </w:sdtContent>
        </w:sdt>
        <w:sdt>
          <w:sdtPr>
            <w:rPr>
              <w:rFonts w:ascii="宋体" w:hAnsi="宋体"/>
            </w:rPr>
            <w:tag w:val="_PLD_32f24a9a3da24799945b9be672e1778c"/>
            <w:id w:val="2140377435"/>
          </w:sdtPr>
          <w:sdtEndPr>
            <w:rPr>
              <w:rFonts w:ascii="宋体" w:hAnsi="宋体"/>
            </w:rPr>
          </w:sdtEndPr>
          <w:sdtContent>
            <w:tc>
              <w:tcPr>
                <w:tcW w:w="1666" w:type="dxa"/>
                <w:vAlign w:val="center"/>
              </w:tcPr>
              <w:p>
                <w:pPr>
                  <w:jc w:val="center"/>
                  <w:rPr>
                    <w:rFonts w:ascii="宋体" w:hAnsi="宋体"/>
                  </w:rPr>
                </w:pPr>
                <w:r>
                  <w:rPr>
                    <w:rFonts w:hint="eastAsia" w:ascii="宋体" w:hAnsi="宋体"/>
                  </w:rPr>
                  <w:t>期末余额</w:t>
                </w:r>
              </w:p>
            </w:tc>
          </w:sdtContent>
        </w:sdt>
        <w:sdt>
          <w:sdtPr>
            <w:rPr>
              <w:rFonts w:ascii="宋体" w:hAnsi="宋体"/>
            </w:rPr>
            <w:tag w:val="_PLD_e96c7ea54e9845adafdee1a3e4d1777a"/>
            <w:id w:val="-1377392433"/>
          </w:sdtPr>
          <w:sdtEndPr>
            <w:rPr>
              <w:rFonts w:ascii="宋体" w:hAnsi="宋体"/>
            </w:rPr>
          </w:sdtEndPr>
          <w:sdtContent>
            <w:tc>
              <w:tcPr>
                <w:tcW w:w="1652" w:type="dxa"/>
                <w:vAlign w:val="center"/>
              </w:tcPr>
              <w:p>
                <w:pPr>
                  <w:jc w:val="center"/>
                  <w:rPr>
                    <w:rFonts w:ascii="宋体" w:hAnsi="宋体"/>
                  </w:rPr>
                </w:pPr>
                <w:r>
                  <w:rPr>
                    <w:rFonts w:hint="eastAsia" w:ascii="宋体" w:hAnsi="宋体"/>
                  </w:rPr>
                  <w:t>当期变动</w:t>
                </w:r>
              </w:p>
            </w:tc>
          </w:sdtContent>
        </w:sdt>
        <w:sdt>
          <w:sdtPr>
            <w:rPr>
              <w:rFonts w:ascii="宋体" w:hAnsi="宋体"/>
            </w:rPr>
            <w:tag w:val="_PLD_1472a884c9f543dba7a82865e73f1536"/>
            <w:id w:val="1862005954"/>
          </w:sdtPr>
          <w:sdtEndPr>
            <w:rPr>
              <w:rFonts w:ascii="宋体" w:hAnsi="宋体"/>
            </w:rPr>
          </w:sdtEndPr>
          <w:sdtContent>
            <w:tc>
              <w:tcPr>
                <w:tcW w:w="1946" w:type="dxa"/>
                <w:vAlign w:val="center"/>
              </w:tcPr>
              <w:p>
                <w:pPr>
                  <w:jc w:val="center"/>
                  <w:rPr>
                    <w:rFonts w:ascii="宋体" w:hAnsi="宋体"/>
                  </w:rPr>
                </w:pPr>
                <w:r>
                  <w:rPr>
                    <w:rFonts w:hint="eastAsia" w:ascii="宋体" w:hAnsi="宋体"/>
                  </w:rPr>
                  <w:t>对当期利润的影响金额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01" w:type="dxa"/>
            <w:vAlign w:val="center"/>
          </w:tcPr>
          <w:p>
            <w:pPr>
              <w:rPr>
                <w:rFonts w:ascii="宋体" w:hAnsi="宋体"/>
              </w:rPr>
            </w:pPr>
            <w:r>
              <w:rPr>
                <w:rFonts w:hint="eastAsia" w:ascii="Times New Roman" w:hAnsi="Times New Roman"/>
              </w:rPr>
              <w:t>交易性金融资产</w:t>
            </w:r>
          </w:p>
        </w:tc>
        <w:tc>
          <w:tcPr>
            <w:tcW w:w="1658" w:type="dxa"/>
            <w:vAlign w:val="center"/>
          </w:tcPr>
          <w:p>
            <w:pPr>
              <w:jc w:val="right"/>
              <w:rPr>
                <w:rFonts w:ascii="宋体" w:hAnsi="宋体"/>
              </w:rPr>
            </w:pPr>
            <w:r>
              <w:rPr>
                <w:rFonts w:ascii="宋体" w:hAnsi="宋体"/>
              </w:rPr>
              <w:t>95,713</w:t>
            </w:r>
          </w:p>
        </w:tc>
        <w:tc>
          <w:tcPr>
            <w:tcW w:w="1666" w:type="dxa"/>
            <w:vAlign w:val="center"/>
          </w:tcPr>
          <w:p>
            <w:pPr>
              <w:jc w:val="right"/>
              <w:rPr>
                <w:rFonts w:ascii="宋体" w:hAnsi="宋体"/>
              </w:rPr>
            </w:pPr>
            <w:r>
              <w:rPr>
                <w:rFonts w:ascii="宋体" w:hAnsi="宋体"/>
              </w:rPr>
              <w:t>107,472</w:t>
            </w:r>
          </w:p>
        </w:tc>
        <w:tc>
          <w:tcPr>
            <w:tcW w:w="1652" w:type="dxa"/>
            <w:vAlign w:val="center"/>
          </w:tcPr>
          <w:p>
            <w:pPr>
              <w:jc w:val="right"/>
              <w:rPr>
                <w:rFonts w:ascii="宋体" w:hAnsi="宋体"/>
              </w:rPr>
            </w:pPr>
            <w:r>
              <w:rPr>
                <w:rFonts w:ascii="宋体" w:hAnsi="宋体"/>
              </w:rPr>
              <w:t>11,759</w:t>
            </w:r>
          </w:p>
        </w:tc>
        <w:tc>
          <w:tcPr>
            <w:tcW w:w="1946" w:type="dxa"/>
            <w:vAlign w:val="center"/>
          </w:tcPr>
          <w:p>
            <w:pPr>
              <w:jc w:val="right"/>
              <w:rPr>
                <w:rFonts w:ascii="宋体" w:hAnsi="宋体"/>
              </w:rPr>
            </w:pPr>
            <w:r>
              <w:rPr>
                <w:rFonts w:ascii="宋体" w:hAnsi="宋体"/>
              </w:rPr>
              <w:t>9,923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01" w:type="dxa"/>
            <w:vAlign w:val="center"/>
          </w:tcPr>
          <w:p>
            <w:pPr>
              <w:rPr>
                <w:rFonts w:ascii="宋体" w:hAnsi="宋体"/>
              </w:rPr>
            </w:pPr>
            <w:r>
              <w:rPr>
                <w:rFonts w:hint="eastAsia" w:ascii="Times New Roman" w:hAnsi="Times New Roman"/>
              </w:rPr>
              <w:t>应收款项融资</w:t>
            </w:r>
          </w:p>
        </w:tc>
        <w:tc>
          <w:tcPr>
            <w:tcW w:w="1658" w:type="dxa"/>
            <w:vAlign w:val="center"/>
          </w:tcPr>
          <w:p>
            <w:pPr>
              <w:jc w:val="right"/>
              <w:rPr>
                <w:rFonts w:ascii="宋体" w:hAnsi="宋体"/>
              </w:rPr>
            </w:pPr>
            <w:r>
              <w:rPr>
                <w:rFonts w:ascii="宋体" w:hAnsi="宋体"/>
              </w:rPr>
              <w:t>4,551,436</w:t>
            </w:r>
          </w:p>
        </w:tc>
        <w:tc>
          <w:tcPr>
            <w:tcW w:w="1666" w:type="dxa"/>
            <w:vAlign w:val="center"/>
          </w:tcPr>
          <w:p>
            <w:pPr>
              <w:jc w:val="right"/>
              <w:rPr>
                <w:rFonts w:ascii="宋体" w:hAnsi="宋体"/>
              </w:rPr>
            </w:pPr>
            <w:r>
              <w:rPr>
                <w:rFonts w:ascii="宋体" w:hAnsi="宋体"/>
              </w:rPr>
              <w:t>4,670,738</w:t>
            </w:r>
          </w:p>
        </w:tc>
        <w:tc>
          <w:tcPr>
            <w:tcW w:w="1652" w:type="dxa"/>
            <w:vAlign w:val="center"/>
          </w:tcPr>
          <w:p>
            <w:pPr>
              <w:jc w:val="right"/>
              <w:rPr>
                <w:rFonts w:ascii="宋体" w:hAnsi="宋体"/>
              </w:rPr>
            </w:pPr>
            <w:r>
              <w:rPr>
                <w:rFonts w:ascii="宋体" w:hAnsi="宋体"/>
              </w:rPr>
              <w:t>119,302</w:t>
            </w:r>
          </w:p>
        </w:tc>
        <w:tc>
          <w:tcPr>
            <w:tcW w:w="1946" w:type="dxa"/>
            <w:vAlign w:val="center"/>
          </w:tcPr>
          <w:p>
            <w:pPr>
              <w:jc w:val="right"/>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01" w:type="dxa"/>
            <w:vAlign w:val="center"/>
          </w:tcPr>
          <w:p>
            <w:pPr>
              <w:rPr>
                <w:rFonts w:ascii="宋体" w:hAnsi="宋体"/>
              </w:rPr>
            </w:pPr>
            <w:r>
              <w:rPr>
                <w:rFonts w:hint="eastAsia" w:ascii="Times New Roman" w:hAnsi="Times New Roman"/>
              </w:rPr>
              <w:t>其他权益工具投资</w:t>
            </w:r>
          </w:p>
        </w:tc>
        <w:tc>
          <w:tcPr>
            <w:tcW w:w="1658" w:type="dxa"/>
            <w:vAlign w:val="center"/>
          </w:tcPr>
          <w:p>
            <w:pPr>
              <w:jc w:val="right"/>
              <w:rPr>
                <w:rFonts w:ascii="宋体" w:hAnsi="宋体"/>
              </w:rPr>
            </w:pPr>
            <w:r>
              <w:rPr>
                <w:rFonts w:ascii="宋体" w:hAnsi="宋体"/>
              </w:rPr>
              <w:t>126,764</w:t>
            </w:r>
          </w:p>
        </w:tc>
        <w:tc>
          <w:tcPr>
            <w:tcW w:w="1666" w:type="dxa"/>
            <w:vAlign w:val="center"/>
          </w:tcPr>
          <w:p>
            <w:pPr>
              <w:jc w:val="right"/>
              <w:rPr>
                <w:rFonts w:ascii="宋体" w:hAnsi="宋体"/>
              </w:rPr>
            </w:pPr>
            <w:r>
              <w:rPr>
                <w:rFonts w:ascii="宋体" w:hAnsi="宋体"/>
              </w:rPr>
              <w:t>116,646</w:t>
            </w:r>
          </w:p>
        </w:tc>
        <w:tc>
          <w:tcPr>
            <w:tcW w:w="1652" w:type="dxa"/>
            <w:vAlign w:val="center"/>
          </w:tcPr>
          <w:p>
            <w:pPr>
              <w:jc w:val="right"/>
              <w:rPr>
                <w:rFonts w:ascii="宋体" w:hAnsi="宋体"/>
              </w:rPr>
            </w:pPr>
            <w:r>
              <w:rPr>
                <w:rFonts w:ascii="宋体" w:hAnsi="宋体"/>
              </w:rPr>
              <w:t>-10,118</w:t>
            </w:r>
          </w:p>
        </w:tc>
        <w:tc>
          <w:tcPr>
            <w:tcW w:w="1946" w:type="dxa"/>
            <w:vAlign w:val="center"/>
          </w:tcPr>
          <w:p>
            <w:pPr>
              <w:jc w:val="right"/>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01" w:type="dxa"/>
            <w:vAlign w:val="center"/>
          </w:tcPr>
          <w:p>
            <w:pPr>
              <w:rPr>
                <w:rFonts w:ascii="宋体" w:hAnsi="宋体"/>
              </w:rPr>
            </w:pPr>
            <w:r>
              <w:rPr>
                <w:rFonts w:hint="eastAsia" w:ascii="Times New Roman" w:hAnsi="Times New Roman"/>
              </w:rPr>
              <w:t>其他非流动金融资产</w:t>
            </w:r>
          </w:p>
        </w:tc>
        <w:tc>
          <w:tcPr>
            <w:tcW w:w="1658" w:type="dxa"/>
            <w:vAlign w:val="center"/>
          </w:tcPr>
          <w:p>
            <w:pPr>
              <w:jc w:val="right"/>
              <w:rPr>
                <w:rFonts w:ascii="宋体" w:hAnsi="宋体"/>
              </w:rPr>
            </w:pPr>
            <w:r>
              <w:rPr>
                <w:rFonts w:ascii="宋体" w:hAnsi="宋体"/>
              </w:rPr>
              <w:t>1,538,761</w:t>
            </w:r>
          </w:p>
        </w:tc>
        <w:tc>
          <w:tcPr>
            <w:tcW w:w="1666" w:type="dxa"/>
            <w:vAlign w:val="center"/>
          </w:tcPr>
          <w:p>
            <w:pPr>
              <w:jc w:val="right"/>
              <w:rPr>
                <w:rFonts w:ascii="宋体" w:hAnsi="宋体"/>
              </w:rPr>
            </w:pPr>
            <w:r>
              <w:rPr>
                <w:rFonts w:ascii="宋体" w:hAnsi="宋体"/>
              </w:rPr>
              <w:t>1,503,449</w:t>
            </w:r>
          </w:p>
        </w:tc>
        <w:tc>
          <w:tcPr>
            <w:tcW w:w="1652" w:type="dxa"/>
            <w:vAlign w:val="center"/>
          </w:tcPr>
          <w:p>
            <w:pPr>
              <w:jc w:val="right"/>
              <w:rPr>
                <w:rFonts w:ascii="宋体" w:hAnsi="宋体"/>
              </w:rPr>
            </w:pPr>
            <w:r>
              <w:rPr>
                <w:rFonts w:ascii="宋体" w:hAnsi="宋体"/>
              </w:rPr>
              <w:t>-35,312</w:t>
            </w:r>
          </w:p>
        </w:tc>
        <w:tc>
          <w:tcPr>
            <w:tcW w:w="1946" w:type="dxa"/>
            <w:vAlign w:val="center"/>
          </w:tcPr>
          <w:p>
            <w:pPr>
              <w:jc w:val="right"/>
              <w:rPr>
                <w:rFonts w:ascii="宋体" w:hAnsi="宋体"/>
              </w:rPr>
            </w:pPr>
            <w:r>
              <w:rPr>
                <w:rFonts w:ascii="宋体" w:hAnsi="宋体"/>
              </w:rPr>
              <w:t>-38,954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01" w:type="dxa"/>
            <w:vAlign w:val="center"/>
          </w:tcPr>
          <w:p>
            <w:pPr>
              <w:rPr>
                <w:rFonts w:ascii="宋体" w:hAnsi="宋体"/>
              </w:rPr>
            </w:pPr>
            <w:r>
              <w:rPr>
                <w:rFonts w:hint="eastAsia" w:ascii="Times New Roman" w:hAnsi="Times New Roman"/>
              </w:rPr>
              <w:t>投资性房地产</w:t>
            </w:r>
          </w:p>
        </w:tc>
        <w:tc>
          <w:tcPr>
            <w:tcW w:w="1658" w:type="dxa"/>
            <w:vAlign w:val="center"/>
          </w:tcPr>
          <w:p>
            <w:pPr>
              <w:jc w:val="right"/>
              <w:rPr>
                <w:rFonts w:ascii="宋体" w:hAnsi="宋体"/>
              </w:rPr>
            </w:pPr>
            <w:r>
              <w:rPr>
                <w:rFonts w:ascii="宋体" w:hAnsi="宋体"/>
              </w:rPr>
              <w:t>1,471,730</w:t>
            </w:r>
          </w:p>
        </w:tc>
        <w:tc>
          <w:tcPr>
            <w:tcW w:w="1666" w:type="dxa"/>
            <w:vAlign w:val="center"/>
          </w:tcPr>
          <w:p>
            <w:pPr>
              <w:jc w:val="right"/>
              <w:rPr>
                <w:rFonts w:ascii="宋体" w:hAnsi="宋体"/>
              </w:rPr>
            </w:pPr>
            <w:r>
              <w:rPr>
                <w:rFonts w:ascii="宋体" w:hAnsi="宋体"/>
              </w:rPr>
              <w:t>1,109,569</w:t>
            </w:r>
          </w:p>
        </w:tc>
        <w:tc>
          <w:tcPr>
            <w:tcW w:w="1652" w:type="dxa"/>
            <w:vAlign w:val="center"/>
          </w:tcPr>
          <w:p>
            <w:pPr>
              <w:jc w:val="right"/>
              <w:rPr>
                <w:rFonts w:ascii="宋体" w:hAnsi="宋体"/>
              </w:rPr>
            </w:pPr>
            <w:r>
              <w:rPr>
                <w:rFonts w:ascii="宋体" w:hAnsi="宋体"/>
              </w:rPr>
              <w:t>-362,161</w:t>
            </w:r>
          </w:p>
        </w:tc>
        <w:tc>
          <w:tcPr>
            <w:tcW w:w="1946" w:type="dxa"/>
            <w:vAlign w:val="center"/>
          </w:tcPr>
          <w:p>
            <w:pPr>
              <w:jc w:val="right"/>
              <w:rPr>
                <w:rFonts w:ascii="宋体" w:hAnsi="宋体"/>
              </w:rPr>
            </w:pPr>
            <w:r>
              <w:rPr>
                <w:rFonts w:ascii="宋体" w:hAnsi="宋体"/>
              </w:rPr>
              <w:t>18,454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01" w:type="dxa"/>
            <w:vAlign w:val="center"/>
          </w:tcPr>
          <w:p>
            <w:pPr>
              <w:rPr>
                <w:rFonts w:ascii="宋体" w:hAnsi="宋体"/>
              </w:rPr>
            </w:pPr>
            <w:r>
              <w:rPr>
                <w:rFonts w:hint="eastAsia" w:ascii="Times New Roman" w:hAnsi="Times New Roman"/>
              </w:rPr>
              <w:t>其他流动资产</w:t>
            </w:r>
          </w:p>
        </w:tc>
        <w:tc>
          <w:tcPr>
            <w:tcW w:w="1658" w:type="dxa"/>
            <w:vAlign w:val="center"/>
          </w:tcPr>
          <w:p>
            <w:pPr>
              <w:jc w:val="right"/>
              <w:rPr>
                <w:rFonts w:ascii="宋体" w:hAnsi="宋体"/>
              </w:rPr>
            </w:pPr>
            <w:r>
              <w:rPr>
                <w:rFonts w:ascii="宋体" w:hAnsi="宋体"/>
              </w:rPr>
              <w:t>31,329</w:t>
            </w:r>
          </w:p>
        </w:tc>
        <w:tc>
          <w:tcPr>
            <w:tcW w:w="1666" w:type="dxa"/>
            <w:vAlign w:val="center"/>
          </w:tcPr>
          <w:p>
            <w:pPr>
              <w:jc w:val="right"/>
              <w:rPr>
                <w:rFonts w:ascii="宋体" w:hAnsi="宋体"/>
              </w:rPr>
            </w:pPr>
            <w:r>
              <w:rPr>
                <w:rFonts w:hint="eastAsia" w:ascii="宋体" w:hAnsi="宋体"/>
              </w:rPr>
              <w:t>0</w:t>
            </w:r>
          </w:p>
        </w:tc>
        <w:tc>
          <w:tcPr>
            <w:tcW w:w="1652" w:type="dxa"/>
            <w:vAlign w:val="center"/>
          </w:tcPr>
          <w:p>
            <w:pPr>
              <w:jc w:val="right"/>
              <w:rPr>
                <w:rFonts w:ascii="宋体" w:hAnsi="宋体"/>
              </w:rPr>
            </w:pPr>
            <w:r>
              <w:rPr>
                <w:rFonts w:ascii="宋体" w:hAnsi="宋体"/>
              </w:rPr>
              <w:t>-31,329</w:t>
            </w:r>
          </w:p>
        </w:tc>
        <w:tc>
          <w:tcPr>
            <w:tcW w:w="1946" w:type="dxa"/>
            <w:vAlign w:val="center"/>
          </w:tcPr>
          <w:p>
            <w:pPr>
              <w:jc w:val="right"/>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01" w:type="dxa"/>
            <w:vAlign w:val="center"/>
          </w:tcPr>
          <w:p>
            <w:pPr>
              <w:jc w:val="center"/>
              <w:rPr>
                <w:rFonts w:ascii="Times New Roman" w:hAnsi="Times New Roman"/>
              </w:rPr>
            </w:pPr>
            <w:r>
              <w:rPr>
                <w:rFonts w:hint="eastAsia" w:ascii="Times New Roman" w:hAnsi="Times New Roman"/>
              </w:rPr>
              <w:t>合计</w:t>
            </w:r>
          </w:p>
        </w:tc>
        <w:tc>
          <w:tcPr>
            <w:tcW w:w="1658" w:type="dxa"/>
          </w:tcPr>
          <w:p>
            <w:pPr>
              <w:jc w:val="right"/>
              <w:rPr>
                <w:rFonts w:ascii="宋体" w:hAnsi="宋体"/>
              </w:rPr>
            </w:pPr>
            <w:r>
              <w:rPr>
                <w:rFonts w:ascii="宋体" w:hAnsi="宋体"/>
              </w:rPr>
              <w:t xml:space="preserve">7,815,733 </w:t>
            </w:r>
          </w:p>
        </w:tc>
        <w:tc>
          <w:tcPr>
            <w:tcW w:w="1666" w:type="dxa"/>
          </w:tcPr>
          <w:p>
            <w:pPr>
              <w:jc w:val="right"/>
              <w:rPr>
                <w:rFonts w:ascii="宋体" w:hAnsi="宋体"/>
              </w:rPr>
            </w:pPr>
            <w:r>
              <w:rPr>
                <w:rFonts w:ascii="宋体" w:hAnsi="宋体"/>
              </w:rPr>
              <w:t xml:space="preserve">7,507,874 </w:t>
            </w:r>
          </w:p>
        </w:tc>
        <w:tc>
          <w:tcPr>
            <w:tcW w:w="1652" w:type="dxa"/>
          </w:tcPr>
          <w:p>
            <w:pPr>
              <w:jc w:val="right"/>
              <w:rPr>
                <w:rFonts w:ascii="宋体" w:hAnsi="宋体"/>
              </w:rPr>
            </w:pPr>
            <w:r>
              <w:rPr>
                <w:rFonts w:ascii="宋体" w:hAnsi="宋体"/>
              </w:rPr>
              <w:t xml:space="preserve">-307,859 </w:t>
            </w:r>
          </w:p>
        </w:tc>
        <w:tc>
          <w:tcPr>
            <w:tcW w:w="1946" w:type="dxa"/>
          </w:tcPr>
          <w:p>
            <w:pPr>
              <w:jc w:val="right"/>
              <w:rPr>
                <w:rFonts w:ascii="宋体" w:hAnsi="宋体"/>
              </w:rPr>
            </w:pPr>
            <w:r>
              <w:rPr>
                <w:rFonts w:ascii="宋体" w:hAnsi="宋体"/>
              </w:rPr>
              <w:t xml:space="preserve">-10,577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01" w:type="dxa"/>
          </w:tcPr>
          <w:p>
            <w:pPr>
              <w:pStyle w:val="501"/>
              <w:rPr>
                <w:rFonts w:ascii="Times New Roman" w:hAnsi="Times New Roman"/>
              </w:rPr>
            </w:pPr>
            <w:r>
              <w:rPr>
                <w:rFonts w:hint="eastAsia" w:ascii="Times New Roman" w:hAnsi="Times New Roman"/>
              </w:rPr>
              <w:t>交易性金融负债</w:t>
            </w:r>
          </w:p>
        </w:tc>
        <w:tc>
          <w:tcPr>
            <w:tcW w:w="1658" w:type="dxa"/>
            <w:vAlign w:val="center"/>
          </w:tcPr>
          <w:p>
            <w:pPr>
              <w:jc w:val="right"/>
              <w:rPr>
                <w:rFonts w:ascii="宋体" w:hAnsi="宋体"/>
              </w:rPr>
            </w:pPr>
            <w:r>
              <w:rPr>
                <w:rFonts w:ascii="宋体" w:hAnsi="宋体"/>
              </w:rPr>
              <w:t>634,537</w:t>
            </w:r>
          </w:p>
        </w:tc>
        <w:tc>
          <w:tcPr>
            <w:tcW w:w="1666" w:type="dxa"/>
            <w:vAlign w:val="center"/>
          </w:tcPr>
          <w:p>
            <w:pPr>
              <w:jc w:val="right"/>
              <w:rPr>
                <w:rFonts w:ascii="宋体" w:hAnsi="宋体"/>
              </w:rPr>
            </w:pPr>
            <w:r>
              <w:rPr>
                <w:rFonts w:ascii="宋体" w:hAnsi="宋体"/>
              </w:rPr>
              <w:t>550,761</w:t>
            </w:r>
          </w:p>
        </w:tc>
        <w:tc>
          <w:tcPr>
            <w:tcW w:w="1652" w:type="dxa"/>
            <w:vAlign w:val="center"/>
          </w:tcPr>
          <w:p>
            <w:pPr>
              <w:jc w:val="right"/>
              <w:rPr>
                <w:rFonts w:ascii="宋体" w:hAnsi="宋体"/>
              </w:rPr>
            </w:pPr>
            <w:r>
              <w:rPr>
                <w:rFonts w:ascii="宋体" w:hAnsi="宋体"/>
              </w:rPr>
              <w:t>-83,776</w:t>
            </w:r>
          </w:p>
        </w:tc>
        <w:tc>
          <w:tcPr>
            <w:tcW w:w="1946" w:type="dxa"/>
            <w:vAlign w:val="center"/>
          </w:tcPr>
          <w:p>
            <w:pPr>
              <w:jc w:val="right"/>
              <w:rPr>
                <w:rFonts w:ascii="宋体" w:hAnsi="宋体"/>
              </w:rPr>
            </w:pPr>
            <w:r>
              <w:rPr>
                <w:rFonts w:ascii="宋体" w:hAnsi="宋体"/>
              </w:rPr>
              <w:t>100,480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901" w:type="dxa"/>
            <w:tcBorders>
              <w:bottom w:val="single" w:color="auto" w:sz="4" w:space="0"/>
            </w:tcBorders>
            <w:vAlign w:val="center"/>
          </w:tcPr>
          <w:p>
            <w:pPr>
              <w:jc w:val="center"/>
              <w:rPr>
                <w:rFonts w:ascii="宋体" w:hAnsi="宋体"/>
              </w:rPr>
            </w:pPr>
            <w:r>
              <w:rPr>
                <w:rFonts w:hint="eastAsia" w:ascii="宋体" w:hAnsi="宋体"/>
              </w:rPr>
              <w:t>合计</w:t>
            </w:r>
          </w:p>
        </w:tc>
        <w:tc>
          <w:tcPr>
            <w:tcW w:w="1658" w:type="dxa"/>
            <w:vAlign w:val="center"/>
          </w:tcPr>
          <w:p>
            <w:pPr>
              <w:jc w:val="right"/>
              <w:rPr>
                <w:rFonts w:ascii="宋体" w:hAnsi="宋体"/>
              </w:rPr>
            </w:pPr>
            <w:r>
              <w:rPr>
                <w:rFonts w:ascii="宋体" w:hAnsi="宋体"/>
              </w:rPr>
              <w:t>634,537</w:t>
            </w:r>
          </w:p>
        </w:tc>
        <w:tc>
          <w:tcPr>
            <w:tcW w:w="1666" w:type="dxa"/>
            <w:vAlign w:val="center"/>
          </w:tcPr>
          <w:p>
            <w:pPr>
              <w:jc w:val="right"/>
              <w:rPr>
                <w:rFonts w:ascii="宋体" w:hAnsi="宋体"/>
              </w:rPr>
            </w:pPr>
            <w:r>
              <w:rPr>
                <w:rFonts w:ascii="宋体" w:hAnsi="宋体"/>
              </w:rPr>
              <w:t>550,761</w:t>
            </w:r>
          </w:p>
        </w:tc>
        <w:tc>
          <w:tcPr>
            <w:tcW w:w="1652" w:type="dxa"/>
            <w:vAlign w:val="center"/>
          </w:tcPr>
          <w:p>
            <w:pPr>
              <w:jc w:val="right"/>
              <w:rPr>
                <w:rFonts w:ascii="宋体" w:hAnsi="宋体"/>
              </w:rPr>
            </w:pPr>
            <w:r>
              <w:rPr>
                <w:rFonts w:ascii="宋体" w:hAnsi="宋体"/>
              </w:rPr>
              <w:t>-83,776</w:t>
            </w:r>
          </w:p>
        </w:tc>
        <w:tc>
          <w:tcPr>
            <w:tcW w:w="1946" w:type="dxa"/>
            <w:vAlign w:val="center"/>
          </w:tcPr>
          <w:p>
            <w:pPr>
              <w:jc w:val="right"/>
              <w:rPr>
                <w:rFonts w:ascii="宋体" w:hAnsi="宋体"/>
              </w:rPr>
            </w:pPr>
            <w:r>
              <w:rPr>
                <w:rFonts w:ascii="宋体" w:hAnsi="宋体"/>
              </w:rPr>
              <w:t>100,480</w:t>
            </w:r>
          </w:p>
        </w:tc>
      </w:tr>
    </w:tbl>
    <w:p>
      <w:pPr>
        <w:pStyle w:val="43"/>
      </w:pPr>
    </w:p>
    <w:p>
      <w:pPr>
        <w:pStyle w:val="3"/>
        <w:numPr>
          <w:ilvl w:val="1"/>
          <w:numId w:val="4"/>
        </w:numPr>
        <w:ind w:left="498" w:hanging="498" w:hangingChars="236"/>
        <w:rPr>
          <w:rFonts w:ascii="宋体" w:hAnsi="宋体"/>
        </w:rPr>
      </w:pPr>
      <w:r>
        <w:rPr>
          <w:rFonts w:hint="eastAsia" w:ascii="宋体" w:hAnsi="宋体"/>
        </w:rPr>
        <w:t>其他</w:t>
      </w:r>
    </w:p>
    <w:sdt>
      <w:sdtPr>
        <w:alias w:val="是否适用：公司简介和主要财务指标其他说明[双击切换]"/>
        <w:tag w:val="_GBC_ac20c9ad49eb470dba71a763f930572f"/>
        <w:id w:val="761879750"/>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ascii="宋体" w:hAnsi="宋体"/>
          <w:b/>
          <w:bCs/>
          <w:kern w:val="44"/>
          <w:sz w:val="28"/>
          <w:szCs w:val="44"/>
        </w:rPr>
      </w:pPr>
      <w:r>
        <w:rPr>
          <w:rFonts w:ascii="宋体" w:hAnsi="宋体"/>
        </w:rPr>
        <w:br w:type="page"/>
      </w:r>
    </w:p>
    <w:p>
      <w:pPr>
        <w:pStyle w:val="2"/>
        <w:numPr>
          <w:ilvl w:val="0"/>
          <w:numId w:val="2"/>
        </w:numPr>
        <w:ind w:left="498" w:hanging="498" w:hangingChars="177"/>
        <w:rPr>
          <w:rFonts w:ascii="宋体" w:hAnsi="宋体" w:eastAsia="宋体"/>
        </w:rPr>
      </w:pPr>
      <w:bookmarkStart w:id="15" w:name="_Toc158217550"/>
      <w:r>
        <w:rPr>
          <w:rFonts w:hint="eastAsia" w:ascii="宋体" w:hAnsi="宋体" w:eastAsia="宋体"/>
        </w:rPr>
        <w:t>董事长报告书</w:t>
      </w:r>
      <w:bookmarkEnd w:id="6"/>
      <w:bookmarkEnd w:id="15"/>
    </w:p>
    <w:p>
      <w:pPr>
        <w:rPr>
          <w:rFonts w:asciiTheme="minorEastAsia" w:hAnsiTheme="minorEastAsia" w:eastAsiaTheme="minorEastAsia" w:cstheme="majorEastAsia"/>
        </w:rPr>
      </w:pPr>
      <w:bookmarkStart w:id="16" w:name="_Hlk162123716"/>
      <w:r>
        <w:rPr>
          <w:rFonts w:hint="eastAsia" w:asciiTheme="minorEastAsia" w:hAnsiTheme="minorEastAsia" w:eastAsiaTheme="minorEastAsia" w:cstheme="majorEastAsia"/>
        </w:rPr>
        <w:t>尊敬的各位股东：</w:t>
      </w:r>
    </w:p>
    <w:p>
      <w:pPr>
        <w:ind w:firstLine="420" w:firstLineChars="200"/>
        <w:rPr>
          <w:rFonts w:asciiTheme="minorEastAsia" w:hAnsiTheme="minorEastAsia" w:eastAsiaTheme="minorEastAsia" w:cstheme="majorEastAsia"/>
        </w:rPr>
      </w:pPr>
      <w:r>
        <w:rPr>
          <w:rFonts w:hint="eastAsia" w:asciiTheme="minorEastAsia" w:hAnsiTheme="minorEastAsia" w:eastAsiaTheme="minorEastAsia" w:cstheme="majorEastAsia"/>
        </w:rPr>
        <w:t>我谨代表董事会向各位股东欣然呈报兖矿能源2023年度经营业绩，并向大家报告2024年发展思路。</w:t>
      </w:r>
    </w:p>
    <w:p>
      <w:pPr>
        <w:ind w:firstLine="420" w:firstLineChars="200"/>
        <w:rPr>
          <w:rFonts w:asciiTheme="minorEastAsia" w:hAnsiTheme="minorEastAsia" w:eastAsiaTheme="minorEastAsia"/>
        </w:rPr>
      </w:pPr>
      <w:r>
        <w:rPr>
          <w:rFonts w:hint="eastAsia" w:asciiTheme="minorEastAsia" w:hAnsiTheme="minorEastAsia" w:eastAsiaTheme="minorEastAsia"/>
        </w:rPr>
        <w:t>2023年，世界经济形势复杂严峻，能源市场急剧震荡。煤炭优势产能加速释放，国际供应形势好转、进口煤大幅增长，供需呈现偏宽松格局，价格仍保持在历史较高水平。</w:t>
      </w:r>
    </w:p>
    <w:p>
      <w:pPr>
        <w:ind w:firstLine="420" w:firstLineChars="200"/>
        <w:rPr>
          <w:rFonts w:asciiTheme="minorEastAsia" w:hAnsiTheme="minorEastAsia" w:eastAsiaTheme="minorEastAsia"/>
        </w:rPr>
      </w:pPr>
      <w:r>
        <w:rPr>
          <w:rFonts w:hint="eastAsia" w:asciiTheme="minorEastAsia" w:hAnsiTheme="minorEastAsia" w:eastAsiaTheme="minorEastAsia"/>
        </w:rPr>
        <w:t>一年来，</w:t>
      </w:r>
      <w:r>
        <w:rPr>
          <w:rFonts w:hint="eastAsia" w:asciiTheme="minorEastAsia" w:hAnsiTheme="minorEastAsia" w:eastAsiaTheme="minorEastAsia" w:cstheme="majorEastAsia"/>
        </w:rPr>
        <w:t>面对宏观经济深度调整、市场波动下行等严峻挑战，</w:t>
      </w:r>
      <w:r>
        <w:rPr>
          <w:rFonts w:hint="eastAsia" w:asciiTheme="minorEastAsia" w:hAnsiTheme="minorEastAsia" w:eastAsiaTheme="minorEastAsia"/>
        </w:rPr>
        <w:t>兖矿能源始终保持战略定力，坚定发展信心，全力推动发展方式转变、增量提质拓效，企业综合实力、发展质量、品牌形象和行业影响力实现跨越提升，高质量发展落地有声，扎实有力。2023年，公司</w:t>
      </w:r>
      <w:r>
        <w:rPr>
          <w:rFonts w:hint="eastAsia" w:asciiTheme="minorEastAsia" w:hAnsiTheme="minorEastAsia" w:eastAsiaTheme="minorEastAsia" w:cstheme="majorEastAsia"/>
        </w:rPr>
        <w:t>荣获“金牛奖最具投资价值百强企业”、上交所信息披露A级评价等荣誉；斩获全国质量奖，成为中国屈指可数的三次获奖企业；荣登《财富》中国上市公司500强第68位。</w:t>
      </w:r>
      <w:r>
        <w:rPr>
          <w:rFonts w:hint="eastAsia" w:asciiTheme="minorEastAsia" w:hAnsiTheme="minorEastAsia" w:eastAsiaTheme="minorEastAsia"/>
        </w:rPr>
        <w:t>为真诚回馈投资者，公司拟每</w:t>
      </w:r>
      <w:r>
        <w:rPr>
          <w:rFonts w:hint="eastAsia" w:asciiTheme="minorEastAsia" w:hAnsiTheme="minorEastAsia" w:eastAsiaTheme="minorEastAsia" w:cstheme="majorEastAsia"/>
        </w:rPr>
        <w:t>10</w:t>
      </w:r>
      <w:r>
        <w:rPr>
          <w:rFonts w:hint="eastAsia" w:asciiTheme="minorEastAsia" w:hAnsiTheme="minorEastAsia" w:eastAsiaTheme="minorEastAsia"/>
        </w:rPr>
        <w:t>股派发现金股利</w:t>
      </w:r>
      <w:r>
        <w:rPr>
          <w:rFonts w:asciiTheme="minorEastAsia" w:hAnsiTheme="minorEastAsia" w:eastAsiaTheme="minorEastAsia" w:cstheme="majorEastAsia"/>
        </w:rPr>
        <w:t>14.9</w:t>
      </w:r>
      <w:r>
        <w:rPr>
          <w:rFonts w:hint="eastAsia" w:asciiTheme="minorEastAsia" w:hAnsiTheme="minorEastAsia" w:eastAsiaTheme="minorEastAsia"/>
        </w:rPr>
        <w:t>元</w:t>
      </w:r>
      <w:bookmarkStart w:id="17" w:name="_Hlk162384216"/>
      <w:r>
        <w:rPr>
          <w:rFonts w:hint="eastAsia" w:asciiTheme="minorEastAsia" w:hAnsiTheme="minorEastAsia" w:eastAsiaTheme="minorEastAsia"/>
        </w:rPr>
        <w:t>（含税）</w:t>
      </w:r>
      <w:bookmarkEnd w:id="17"/>
      <w:r>
        <w:rPr>
          <w:rFonts w:hint="eastAsia" w:asciiTheme="minorEastAsia" w:hAnsiTheme="minorEastAsia" w:eastAsiaTheme="minorEastAsia" w:cstheme="majorEastAsia"/>
        </w:rPr>
        <w:t>并</w:t>
      </w:r>
      <w:r>
        <w:rPr>
          <w:rFonts w:hint="eastAsia" w:asciiTheme="minorEastAsia" w:hAnsiTheme="minorEastAsia" w:eastAsiaTheme="minorEastAsia"/>
        </w:rPr>
        <w:t>送红股</w:t>
      </w:r>
      <w:r>
        <w:rPr>
          <w:rFonts w:asciiTheme="minorEastAsia" w:hAnsiTheme="minorEastAsia" w:eastAsiaTheme="minorEastAsia" w:cstheme="majorEastAsia"/>
        </w:rPr>
        <w:t>3</w:t>
      </w:r>
      <w:r>
        <w:rPr>
          <w:rFonts w:hint="eastAsia" w:asciiTheme="minorEastAsia" w:hAnsiTheme="minorEastAsia" w:eastAsiaTheme="minorEastAsia" w:cstheme="majorEastAsia"/>
        </w:rPr>
        <w:t>股</w:t>
      </w:r>
      <w:r>
        <w:rPr>
          <w:rFonts w:hint="eastAsia" w:asciiTheme="minorEastAsia" w:hAnsiTheme="minorEastAsia" w:eastAsiaTheme="minorEastAsia"/>
        </w:rPr>
        <w:t>，分红总额达到</w:t>
      </w:r>
      <w:r>
        <w:rPr>
          <w:rFonts w:asciiTheme="minorEastAsia" w:hAnsiTheme="minorEastAsia" w:eastAsiaTheme="minorEastAsia" w:cstheme="majorEastAsia"/>
        </w:rPr>
        <w:t>110.85</w:t>
      </w:r>
      <w:r>
        <w:rPr>
          <w:rFonts w:hint="eastAsia" w:asciiTheme="minorEastAsia" w:hAnsiTheme="minorEastAsia" w:eastAsiaTheme="minorEastAsia"/>
        </w:rPr>
        <w:t>亿元。</w:t>
      </w:r>
    </w:p>
    <w:p>
      <w:pPr>
        <w:ind w:firstLine="422" w:firstLineChars="200"/>
        <w:rPr>
          <w:rFonts w:asciiTheme="minorEastAsia" w:hAnsiTheme="minorEastAsia" w:eastAsiaTheme="minorEastAsia" w:cstheme="majorEastAsia"/>
        </w:rPr>
      </w:pPr>
      <w:r>
        <w:rPr>
          <w:rFonts w:hint="eastAsia" w:cs="黑体" w:asciiTheme="minorEastAsia" w:hAnsiTheme="minorEastAsia" w:eastAsiaTheme="minorEastAsia"/>
          <w:b/>
          <w:bCs/>
        </w:rPr>
        <w:t>一、经济规模效益保持历史高位。</w:t>
      </w:r>
      <w:r>
        <w:rPr>
          <w:rFonts w:hint="eastAsia" w:asciiTheme="minorEastAsia" w:hAnsiTheme="minorEastAsia" w:eastAsiaTheme="minorEastAsia" w:cstheme="majorEastAsia"/>
        </w:rPr>
        <w:t>全年实现商品煤产量1.</w:t>
      </w:r>
      <w:r>
        <w:rPr>
          <w:rFonts w:asciiTheme="minorEastAsia" w:hAnsiTheme="minorEastAsia" w:eastAsiaTheme="minorEastAsia" w:cstheme="majorEastAsia"/>
        </w:rPr>
        <w:t>3</w:t>
      </w:r>
      <w:r>
        <w:rPr>
          <w:rFonts w:hint="eastAsia" w:asciiTheme="minorEastAsia" w:hAnsiTheme="minorEastAsia" w:eastAsiaTheme="minorEastAsia" w:cstheme="majorEastAsia"/>
        </w:rPr>
        <w:t>亿吨，稳居行业第一方阵。化工品产量</w:t>
      </w:r>
      <w:r>
        <w:rPr>
          <w:rFonts w:asciiTheme="minorEastAsia" w:hAnsiTheme="minorEastAsia" w:eastAsiaTheme="minorEastAsia" w:cstheme="majorEastAsia"/>
        </w:rPr>
        <w:t>859</w:t>
      </w:r>
      <w:r>
        <w:rPr>
          <w:rFonts w:hint="eastAsia" w:asciiTheme="minorEastAsia" w:hAnsiTheme="minorEastAsia" w:eastAsiaTheme="minorEastAsia" w:cstheme="majorEastAsia"/>
        </w:rPr>
        <w:t>万吨，创历史新高。实现营业收入</w:t>
      </w:r>
      <w:r>
        <w:rPr>
          <w:rFonts w:asciiTheme="minorEastAsia" w:hAnsiTheme="minorEastAsia" w:eastAsiaTheme="minorEastAsia" w:cstheme="majorEastAsia"/>
        </w:rPr>
        <w:t>1,500</w:t>
      </w:r>
      <w:r>
        <w:rPr>
          <w:rFonts w:hint="eastAsia" w:asciiTheme="minorEastAsia" w:hAnsiTheme="minorEastAsia" w:eastAsiaTheme="minorEastAsia" w:cstheme="majorEastAsia"/>
        </w:rPr>
        <w:t>亿元，归属于上市公司股东的净利润</w:t>
      </w:r>
      <w:r>
        <w:rPr>
          <w:rFonts w:asciiTheme="minorEastAsia" w:hAnsiTheme="minorEastAsia" w:eastAsiaTheme="minorEastAsia" w:cstheme="majorEastAsia"/>
        </w:rPr>
        <w:t>201</w:t>
      </w:r>
      <w:r>
        <w:rPr>
          <w:rFonts w:hint="eastAsia" w:asciiTheme="minorEastAsia" w:hAnsiTheme="minorEastAsia" w:eastAsiaTheme="minorEastAsia" w:cstheme="majorEastAsia"/>
        </w:rPr>
        <w:t>亿元，盈利</w:t>
      </w:r>
      <w:r>
        <w:rPr>
          <w:rFonts w:hint="eastAsia" w:asciiTheme="minorEastAsia" w:hAnsiTheme="minorEastAsia" w:eastAsiaTheme="minorEastAsia" w:cstheme="majorEastAsia"/>
          <w:lang w:val="en-US" w:eastAsia="zh-CN"/>
        </w:rPr>
        <w:t>能力</w:t>
      </w:r>
      <w:bookmarkStart w:id="385" w:name="_GoBack"/>
      <w:bookmarkEnd w:id="385"/>
      <w:r>
        <w:rPr>
          <w:rFonts w:hint="eastAsia" w:asciiTheme="minorEastAsia" w:hAnsiTheme="minorEastAsia" w:eastAsiaTheme="minorEastAsia" w:cstheme="majorEastAsia"/>
        </w:rPr>
        <w:t>保持行业一流水平。总资产</w:t>
      </w:r>
      <w:r>
        <w:rPr>
          <w:rFonts w:asciiTheme="minorEastAsia" w:hAnsiTheme="minorEastAsia" w:eastAsiaTheme="minorEastAsia" w:cstheme="majorEastAsia"/>
        </w:rPr>
        <w:t>3,543</w:t>
      </w:r>
      <w:r>
        <w:rPr>
          <w:rFonts w:hint="eastAsia" w:asciiTheme="minorEastAsia" w:hAnsiTheme="minorEastAsia" w:eastAsiaTheme="minorEastAsia" w:cstheme="majorEastAsia"/>
        </w:rPr>
        <w:t>亿元，加权平均净资产收益率达到</w:t>
      </w:r>
      <w:r>
        <w:rPr>
          <w:rFonts w:asciiTheme="minorEastAsia" w:hAnsiTheme="minorEastAsia" w:eastAsiaTheme="minorEastAsia" w:cstheme="majorEastAsia"/>
        </w:rPr>
        <w:t>21.9</w:t>
      </w:r>
      <w:r>
        <w:rPr>
          <w:rFonts w:hint="eastAsia" w:asciiTheme="minorEastAsia" w:hAnsiTheme="minorEastAsia" w:eastAsiaTheme="minorEastAsia" w:cstheme="majorEastAsia"/>
        </w:rPr>
        <w:t>%，规模当量、资产质量持续提升。</w:t>
      </w:r>
    </w:p>
    <w:p>
      <w:pPr>
        <w:ind w:firstLine="422" w:firstLineChars="200"/>
        <w:rPr>
          <w:rFonts w:asciiTheme="minorEastAsia" w:hAnsiTheme="minorEastAsia" w:eastAsiaTheme="minorEastAsia" w:cstheme="majorEastAsia"/>
        </w:rPr>
      </w:pPr>
      <w:r>
        <w:rPr>
          <w:rFonts w:hint="eastAsia" w:cs="黑体" w:asciiTheme="minorEastAsia" w:hAnsiTheme="minorEastAsia" w:eastAsiaTheme="minorEastAsia"/>
          <w:b/>
          <w:bCs/>
        </w:rPr>
        <w:t>二、产业转型升级迈出坚实步伐。</w:t>
      </w:r>
      <w:r>
        <w:rPr>
          <w:rFonts w:hint="eastAsia" w:asciiTheme="minorEastAsia" w:hAnsiTheme="minorEastAsia" w:eastAsiaTheme="minorEastAsia" w:cstheme="majorEastAsia"/>
        </w:rPr>
        <w:t>坚定五大产业发展方向不动摇，科学规划、精准施策，在行业变革浪潮中抢抓主动、赢得先机。</w:t>
      </w:r>
      <w:r>
        <w:rPr>
          <w:rFonts w:hint="eastAsia" w:asciiTheme="minorEastAsia" w:hAnsiTheme="minorEastAsia" w:eastAsiaTheme="minorEastAsia" w:cstheme="majorEastAsia"/>
          <w:b/>
          <w:bCs/>
        </w:rPr>
        <w:t>矿业增量提质。</w:t>
      </w:r>
      <w:r>
        <w:rPr>
          <w:rFonts w:hint="eastAsia" w:asciiTheme="minorEastAsia" w:hAnsiTheme="minorEastAsia" w:eastAsiaTheme="minorEastAsia" w:cstheme="majorEastAsia"/>
        </w:rPr>
        <w:t>加速智能化、绿色化发展，7对国家首批智能化示范矿井全部通过验收；新建59个智能化采掘工作面，智能开采占比达到94%。收购鲁西矿业、新疆能化，获取内蒙古霍林河矿区一号井田探矿权，合计新增煤炭资源量266亿吨</w:t>
      </w:r>
      <w:r>
        <w:rPr>
          <w:rFonts w:hint="eastAsia" w:asciiTheme="minorEastAsia" w:hAnsiTheme="minorEastAsia" w:eastAsiaTheme="minorEastAsia"/>
        </w:rPr>
        <w:t>。澳洲基地生产强劲恢复，境内境外协同效应充分释放。</w:t>
      </w:r>
      <w:r>
        <w:rPr>
          <w:rFonts w:hint="eastAsia" w:asciiTheme="minorEastAsia" w:hAnsiTheme="minorEastAsia" w:eastAsiaTheme="minorEastAsia" w:cstheme="majorEastAsia"/>
          <w:b/>
          <w:bCs/>
        </w:rPr>
        <w:t>高端化工新材料产业延链增值。</w:t>
      </w:r>
      <w:r>
        <w:rPr>
          <w:rFonts w:hint="eastAsia" w:asciiTheme="minorEastAsia" w:hAnsiTheme="minorEastAsia" w:eastAsiaTheme="minorEastAsia" w:cstheme="majorEastAsia"/>
        </w:rPr>
        <w:t>未来能源油品产量突破100万吨。鲁南化工己内酰胺一体化项目单体试车，6万吨/年聚甲醛项目开工建设，产业链条加快向高附加值延伸。</w:t>
      </w:r>
      <w:r>
        <w:rPr>
          <w:rFonts w:hint="eastAsia" w:asciiTheme="minorEastAsia" w:hAnsiTheme="minorEastAsia" w:eastAsiaTheme="minorEastAsia" w:cstheme="majorEastAsia"/>
          <w:b/>
          <w:bCs/>
        </w:rPr>
        <w:t>高端装备制造产业塑成优势。</w:t>
      </w:r>
      <w:r>
        <w:rPr>
          <w:rFonts w:hint="eastAsia" w:asciiTheme="minorEastAsia" w:hAnsiTheme="minorEastAsia" w:eastAsiaTheme="minorEastAsia" w:cstheme="majorEastAsia"/>
        </w:rPr>
        <w:t>鲁西智慧制造园区投入运营，液压支架电液控系统、高性能输送带、智能输送机等项目率先投产。</w:t>
      </w:r>
      <w:r>
        <w:rPr>
          <w:rFonts w:hint="eastAsia" w:asciiTheme="minorEastAsia" w:hAnsiTheme="minorEastAsia" w:eastAsiaTheme="minorEastAsia" w:cstheme="majorEastAsia"/>
          <w:snapToGrid w:val="0"/>
        </w:rPr>
        <w:t>收购德国沙尔夫公司，</w:t>
      </w:r>
      <w:r>
        <w:rPr>
          <w:rFonts w:hint="eastAsia" w:asciiTheme="minorEastAsia" w:hAnsiTheme="minorEastAsia" w:eastAsiaTheme="minorEastAsia" w:cstheme="majorEastAsia"/>
        </w:rPr>
        <w:t>延伸</w:t>
      </w:r>
      <w:r>
        <w:rPr>
          <w:rFonts w:hint="eastAsia" w:asciiTheme="minorEastAsia" w:hAnsiTheme="minorEastAsia" w:eastAsiaTheme="minorEastAsia" w:cstheme="majorEastAsia"/>
          <w:snapToGrid w:val="0"/>
        </w:rPr>
        <w:t>井下采矿及辅助</w:t>
      </w:r>
      <w:r>
        <w:rPr>
          <w:rFonts w:hint="eastAsia" w:asciiTheme="minorEastAsia" w:hAnsiTheme="minorEastAsia" w:eastAsiaTheme="minorEastAsia" w:cstheme="majorEastAsia"/>
        </w:rPr>
        <w:t>运输设备产业</w:t>
      </w:r>
      <w:r>
        <w:rPr>
          <w:rFonts w:hint="eastAsia" w:asciiTheme="minorEastAsia" w:hAnsiTheme="minorEastAsia" w:eastAsiaTheme="minorEastAsia" w:cstheme="majorEastAsia"/>
          <w:snapToGrid w:val="0"/>
        </w:rPr>
        <w:t>链</w:t>
      </w:r>
      <w:r>
        <w:rPr>
          <w:rFonts w:hint="eastAsia" w:asciiTheme="minorEastAsia" w:hAnsiTheme="minorEastAsia" w:eastAsiaTheme="minorEastAsia" w:cstheme="majorEastAsia"/>
        </w:rPr>
        <w:t>，成功搭建起欧洲高端装备制造研发平台。</w:t>
      </w:r>
      <w:r>
        <w:rPr>
          <w:rFonts w:hint="eastAsia" w:asciiTheme="minorEastAsia" w:hAnsiTheme="minorEastAsia" w:eastAsiaTheme="minorEastAsia" w:cstheme="majorEastAsia"/>
          <w:b/>
          <w:bCs/>
        </w:rPr>
        <w:t>智慧物流产业聚合增值。</w:t>
      </w:r>
      <w:r>
        <w:rPr>
          <w:rFonts w:hint="eastAsia" w:asciiTheme="minorEastAsia" w:hAnsiTheme="minorEastAsia" w:eastAsiaTheme="minorEastAsia" w:cstheme="majorEastAsia"/>
        </w:rPr>
        <w:t>建成投运泰安港公铁水联运物流园，整合内部物流资产，铁路、公路、港航、园区、平台“五位一体”发展格局初步成型，物流货运能力达到3亿吨/年。</w:t>
      </w:r>
      <w:r>
        <w:rPr>
          <w:rFonts w:hint="eastAsia" w:asciiTheme="minorEastAsia" w:hAnsiTheme="minorEastAsia" w:eastAsiaTheme="minorEastAsia" w:cstheme="majorEastAsia"/>
          <w:b/>
          <w:bCs/>
        </w:rPr>
        <w:t>新能源产业稳步起势。</w:t>
      </w:r>
      <w:r>
        <w:rPr>
          <w:rFonts w:hint="eastAsia" w:asciiTheme="minorEastAsia" w:hAnsiTheme="minorEastAsia" w:eastAsiaTheme="minorEastAsia" w:cstheme="majorEastAsia"/>
        </w:rPr>
        <w:t>统筹推进资源获取与项目建设，省内</w:t>
      </w:r>
      <w:r>
        <w:rPr>
          <w:rFonts w:hint="eastAsia" w:asciiTheme="minorEastAsia" w:hAnsiTheme="minorEastAsia" w:eastAsiaTheme="minorEastAsia" w:cstheme="majorEastAsia"/>
          <w:snapToGrid w:val="0"/>
        </w:rPr>
        <w:t>开工建设一批分布式光伏项目，省外</w:t>
      </w:r>
      <w:r>
        <w:rPr>
          <w:rFonts w:hint="eastAsia" w:asciiTheme="minorEastAsia" w:hAnsiTheme="minorEastAsia" w:eastAsiaTheme="minorEastAsia" w:cstheme="majorEastAsia"/>
        </w:rPr>
        <w:t>有序推进陕蒙、新疆源网荷储一体化等项目</w:t>
      </w:r>
      <w:r>
        <w:rPr>
          <w:rFonts w:asciiTheme="minorEastAsia" w:hAnsiTheme="minorEastAsia" w:eastAsiaTheme="minorEastAsia" w:cstheme="majorEastAsia"/>
        </w:rPr>
        <w:t>。</w:t>
      </w:r>
    </w:p>
    <w:p>
      <w:pPr>
        <w:ind w:firstLine="422" w:firstLineChars="200"/>
        <w:rPr>
          <w:rFonts w:asciiTheme="minorEastAsia" w:hAnsiTheme="minorEastAsia" w:eastAsiaTheme="minorEastAsia" w:cstheme="majorEastAsia"/>
        </w:rPr>
      </w:pPr>
      <w:r>
        <w:rPr>
          <w:rFonts w:hint="eastAsia" w:cs="黑体" w:asciiTheme="minorEastAsia" w:hAnsiTheme="minorEastAsia" w:eastAsiaTheme="minorEastAsia"/>
          <w:b/>
          <w:bCs/>
        </w:rPr>
        <w:t>三、深化精益管理提升增盈水平。</w:t>
      </w:r>
      <w:r>
        <w:rPr>
          <w:rFonts w:hint="eastAsia" w:asciiTheme="minorEastAsia" w:hAnsiTheme="minorEastAsia" w:eastAsiaTheme="minorEastAsia" w:cstheme="majorEastAsia"/>
        </w:rPr>
        <w:t>围绕“管理提效、资产提质”，制定挖潜降本增效的针对性措施，全面提升精益管控水平。</w:t>
      </w:r>
      <w:r>
        <w:rPr>
          <w:rFonts w:hint="eastAsia" w:asciiTheme="minorEastAsia" w:hAnsiTheme="minorEastAsia" w:eastAsiaTheme="minorEastAsia" w:cstheme="majorEastAsia"/>
          <w:b/>
          <w:bCs/>
        </w:rPr>
        <w:t>深挖内潜降本控费。</w:t>
      </w:r>
      <w:r>
        <w:rPr>
          <w:rFonts w:hint="eastAsia" w:asciiTheme="minorEastAsia" w:hAnsiTheme="minorEastAsia" w:eastAsiaTheme="minorEastAsia" w:cstheme="majorEastAsia"/>
        </w:rPr>
        <w:t>制定实施预算控制、物资管理、控员提效等精准降本措施，主要产品单耗同比降低5%。拓展融资渠道，灵活运用融资工具，有序实施低息置换高息、长债置换短债</w:t>
      </w:r>
      <w:r>
        <w:rPr>
          <w:rFonts w:hint="eastAsia" w:asciiTheme="minorEastAsia" w:hAnsiTheme="minorEastAsia" w:eastAsiaTheme="minorEastAsia"/>
        </w:rPr>
        <w:t>，平均融资利率降至3.6%以下。</w:t>
      </w:r>
      <w:r>
        <w:rPr>
          <w:rFonts w:hint="eastAsia" w:asciiTheme="minorEastAsia" w:hAnsiTheme="minorEastAsia" w:eastAsiaTheme="minorEastAsia" w:cstheme="majorEastAsia"/>
          <w:b/>
          <w:bCs/>
        </w:rPr>
        <w:t>智慧营销提升效益。</w:t>
      </w:r>
      <w:r>
        <w:rPr>
          <w:rFonts w:hint="eastAsia" w:asciiTheme="minorEastAsia" w:hAnsiTheme="minorEastAsia" w:eastAsiaTheme="minorEastAsia" w:cstheme="majorEastAsia"/>
        </w:rPr>
        <w:t>超前研判市场形势变化，统筹优化布局、产品、客户、流向，确保效益最大化。充分挖掘产品增值空间，省内精煤销量占比达到5</w:t>
      </w:r>
      <w:r>
        <w:rPr>
          <w:rFonts w:asciiTheme="minorEastAsia" w:hAnsiTheme="minorEastAsia" w:eastAsiaTheme="minorEastAsia" w:cstheme="majorEastAsia"/>
        </w:rPr>
        <w:t>7</w:t>
      </w:r>
      <w:r>
        <w:rPr>
          <w:rFonts w:hint="eastAsia" w:asciiTheme="minorEastAsia" w:hAnsiTheme="minorEastAsia" w:eastAsiaTheme="minorEastAsia" w:cstheme="majorEastAsia"/>
        </w:rPr>
        <w:t>%。</w:t>
      </w:r>
      <w:r>
        <w:rPr>
          <w:rFonts w:hint="eastAsia" w:asciiTheme="minorEastAsia" w:hAnsiTheme="minorEastAsia" w:eastAsiaTheme="minorEastAsia" w:cstheme="majorEastAsia"/>
          <w:b/>
          <w:bCs/>
        </w:rPr>
        <w:t>精益物供降低价格。</w:t>
      </w:r>
      <w:r>
        <w:rPr>
          <w:rFonts w:hint="eastAsia" w:asciiTheme="minorEastAsia" w:hAnsiTheme="minorEastAsia" w:eastAsiaTheme="minorEastAsia" w:cstheme="majorEastAsia"/>
        </w:rPr>
        <w:t>发挥大宗物资集采平台和一体化采购优势，大宗物资厂家直供率达到94%，采购价格同比下降5%。</w:t>
      </w:r>
      <w:r>
        <w:rPr>
          <w:rFonts w:hint="eastAsia" w:asciiTheme="minorEastAsia" w:hAnsiTheme="minorEastAsia" w:eastAsiaTheme="minorEastAsia" w:cstheme="majorEastAsia"/>
          <w:b/>
          <w:bCs/>
        </w:rPr>
        <w:t>清仓利库盘活存量。</w:t>
      </w:r>
      <w:r>
        <w:rPr>
          <w:rFonts w:hint="eastAsia" w:asciiTheme="minorEastAsia" w:hAnsiTheme="minorEastAsia" w:eastAsiaTheme="minorEastAsia" w:cstheme="majorEastAsia"/>
        </w:rPr>
        <w:t>处置低效无效资产，加大修旧利废，加快调节使用，减少库存积压，全年盘活资产14亿元。</w:t>
      </w:r>
    </w:p>
    <w:p>
      <w:pPr>
        <w:ind w:firstLine="422" w:firstLineChars="200"/>
        <w:rPr>
          <w:rFonts w:asciiTheme="minorEastAsia" w:hAnsiTheme="minorEastAsia" w:eastAsiaTheme="minorEastAsia" w:cstheme="majorEastAsia"/>
        </w:rPr>
      </w:pPr>
      <w:r>
        <w:rPr>
          <w:rFonts w:hint="eastAsia" w:cs="黑体" w:asciiTheme="minorEastAsia" w:hAnsiTheme="minorEastAsia" w:eastAsiaTheme="minorEastAsia"/>
          <w:b/>
          <w:bCs/>
        </w:rPr>
        <w:t>四、践行社会责任擦亮品牌形象。</w:t>
      </w:r>
      <w:r>
        <w:rPr>
          <w:rFonts w:hint="eastAsia" w:asciiTheme="minorEastAsia" w:hAnsiTheme="minorEastAsia" w:eastAsiaTheme="minorEastAsia" w:cstheme="majorEastAsia"/>
        </w:rPr>
        <w:t>强化安全生产标准化建设，安全水平保持行业领先。7座矿井入选《全国绿色矿山名录》。加强煤炭供应</w:t>
      </w:r>
      <w:r>
        <w:rPr>
          <w:rFonts w:asciiTheme="minorEastAsia" w:hAnsiTheme="minorEastAsia" w:eastAsiaTheme="minorEastAsia" w:cstheme="majorEastAsia"/>
        </w:rPr>
        <w:t>体系建设</w:t>
      </w:r>
      <w:r>
        <w:rPr>
          <w:rFonts w:hint="eastAsia" w:asciiTheme="minorEastAsia" w:hAnsiTheme="minorEastAsia" w:eastAsiaTheme="minorEastAsia" w:cstheme="majorEastAsia"/>
        </w:rPr>
        <w:t>，煤炭储备能力达到400万吨，全力保障能源安全稳定供应。综合治理采煤塌陷地1.2万亩，稳沉治理率达到100%</w:t>
      </w:r>
      <w:r>
        <w:rPr>
          <w:rFonts w:asciiTheme="minorEastAsia" w:hAnsiTheme="minorEastAsia" w:eastAsiaTheme="minorEastAsia" w:cstheme="majorEastAsia"/>
        </w:rPr>
        <w:t>。</w:t>
      </w:r>
      <w:r>
        <w:rPr>
          <w:rFonts w:hint="eastAsia" w:asciiTheme="minorEastAsia" w:hAnsiTheme="minorEastAsia" w:eastAsiaTheme="minorEastAsia" w:cstheme="majorEastAsia"/>
        </w:rPr>
        <w:t>积极响应和落实联合国可持续发展目标（SDGs目标），加大对教育、环保、社区关怀等领域投入，捐赠、公益项目总投入达到</w:t>
      </w:r>
      <w:bookmarkStart w:id="18" w:name="_Hlk162124026"/>
      <w:r>
        <w:rPr>
          <w:rFonts w:hint="eastAsia" w:asciiTheme="minorEastAsia" w:hAnsiTheme="minorEastAsia" w:eastAsiaTheme="minorEastAsia" w:cstheme="majorEastAsia"/>
        </w:rPr>
        <w:t>5</w:t>
      </w:r>
      <w:r>
        <w:rPr>
          <w:rFonts w:asciiTheme="minorEastAsia" w:hAnsiTheme="minorEastAsia" w:eastAsiaTheme="minorEastAsia" w:cstheme="majorEastAsia"/>
        </w:rPr>
        <w:t>,</w:t>
      </w:r>
      <w:r>
        <w:rPr>
          <w:rFonts w:hint="eastAsia" w:asciiTheme="minorEastAsia" w:hAnsiTheme="minorEastAsia" w:eastAsiaTheme="minorEastAsia" w:cstheme="majorEastAsia"/>
        </w:rPr>
        <w:t>049万元</w:t>
      </w:r>
      <w:bookmarkEnd w:id="18"/>
      <w:r>
        <w:rPr>
          <w:rFonts w:hint="eastAsia" w:asciiTheme="minorEastAsia" w:hAnsiTheme="minorEastAsia" w:eastAsiaTheme="minorEastAsia" w:cstheme="majorEastAsia"/>
        </w:rPr>
        <w:t>。坚持把ESG管理融入企业治理各领域，覆盖生产经营全过程，连续16年披露ESG报告，成为中国首家通过ESG管理体系认证企业，在CDP国际碳披露计划中位列国内同行业第一名。</w:t>
      </w:r>
    </w:p>
    <w:p>
      <w:pPr>
        <w:ind w:firstLine="420" w:firstLineChars="200"/>
        <w:rPr>
          <w:rFonts w:asciiTheme="minorEastAsia" w:hAnsiTheme="minorEastAsia" w:eastAsiaTheme="minorEastAsia" w:cstheme="majorEastAsia"/>
        </w:rPr>
      </w:pPr>
      <w:r>
        <w:rPr>
          <w:rFonts w:hint="eastAsia" w:asciiTheme="minorEastAsia" w:hAnsiTheme="minorEastAsia" w:eastAsiaTheme="minorEastAsia"/>
          <w:snapToGrid w:val="0"/>
        </w:rPr>
        <w:t>展望2024年，世界</w:t>
      </w:r>
      <w:r>
        <w:rPr>
          <w:rFonts w:asciiTheme="minorEastAsia" w:hAnsiTheme="minorEastAsia" w:eastAsiaTheme="minorEastAsia"/>
          <w:snapToGrid w:val="0"/>
        </w:rPr>
        <w:t>宏观经济</w:t>
      </w:r>
      <w:r>
        <w:rPr>
          <w:rFonts w:hint="eastAsia" w:asciiTheme="minorEastAsia" w:hAnsiTheme="minorEastAsia" w:eastAsiaTheme="minorEastAsia"/>
          <w:snapToGrid w:val="0"/>
        </w:rPr>
        <w:t>仍</w:t>
      </w:r>
      <w:r>
        <w:rPr>
          <w:rFonts w:asciiTheme="minorEastAsia" w:hAnsiTheme="minorEastAsia" w:eastAsiaTheme="minorEastAsia"/>
          <w:snapToGrid w:val="0"/>
        </w:rPr>
        <w:t>面临诸多风险挑战</w:t>
      </w:r>
      <w:r>
        <w:rPr>
          <w:rFonts w:hint="eastAsia" w:asciiTheme="minorEastAsia" w:hAnsiTheme="minorEastAsia" w:eastAsiaTheme="minorEastAsia"/>
          <w:snapToGrid w:val="0"/>
        </w:rPr>
        <w:t>，国际能源行业将加速变革转型。中国长期向好的基本趋势没有改变，</w:t>
      </w:r>
      <w:r>
        <w:rPr>
          <w:rFonts w:hint="eastAsia" w:asciiTheme="minorEastAsia" w:hAnsiTheme="minorEastAsia" w:eastAsiaTheme="minorEastAsia" w:cstheme="majorEastAsia"/>
        </w:rPr>
        <w:t>煤炭兜底保障作用依旧显著。预计</w:t>
      </w:r>
      <w:r>
        <w:rPr>
          <w:rFonts w:hint="eastAsia" w:asciiTheme="minorEastAsia" w:hAnsiTheme="minorEastAsia" w:eastAsiaTheme="minorEastAsia"/>
          <w:snapToGrid w:val="0"/>
        </w:rPr>
        <w:t>2024年煤炭供需总体保持平衡，价格维持中高位窄幅波动。化工品市场供需有所改善，仍将维持宽松格局。</w:t>
      </w:r>
      <w:r>
        <w:rPr>
          <w:rFonts w:hint="eastAsia" w:asciiTheme="minorEastAsia" w:hAnsiTheme="minorEastAsia" w:eastAsiaTheme="minorEastAsia" w:cstheme="majorEastAsia"/>
        </w:rPr>
        <w:t>2024年，本集团综合分析研判内外部环境，结合公司运营实际，计划生产商品煤约1.4亿吨，生产化工品约800万吨。</w:t>
      </w:r>
    </w:p>
    <w:p>
      <w:pPr>
        <w:ind w:firstLine="420" w:firstLineChars="200"/>
        <w:rPr>
          <w:rFonts w:asciiTheme="minorEastAsia" w:hAnsiTheme="minorEastAsia" w:eastAsiaTheme="minorEastAsia" w:cstheme="majorEastAsia"/>
        </w:rPr>
      </w:pPr>
      <w:r>
        <w:rPr>
          <w:rFonts w:hint="eastAsia" w:asciiTheme="minorEastAsia" w:hAnsiTheme="minorEastAsia" w:eastAsiaTheme="minorEastAsia" w:cstheme="majorEastAsia"/>
        </w:rPr>
        <w:t>围绕全年经营目标，本集团将重点采取以下措施。</w:t>
      </w:r>
    </w:p>
    <w:p>
      <w:pPr>
        <w:ind w:firstLine="422" w:firstLineChars="200"/>
        <w:rPr>
          <w:rFonts w:asciiTheme="minorEastAsia" w:hAnsiTheme="minorEastAsia" w:eastAsiaTheme="minorEastAsia"/>
        </w:rPr>
      </w:pPr>
      <w:r>
        <w:rPr>
          <w:rFonts w:hint="eastAsia" w:cs="黑体" w:asciiTheme="minorEastAsia" w:hAnsiTheme="minorEastAsia" w:eastAsiaTheme="minorEastAsia"/>
          <w:b/>
          <w:bCs/>
        </w:rPr>
        <w:t>一、做优做强核心主业，夯实永续发展坚实基础。</w:t>
      </w:r>
      <w:r>
        <w:rPr>
          <w:rFonts w:hint="eastAsia" w:asciiTheme="minorEastAsia" w:hAnsiTheme="minorEastAsia" w:eastAsiaTheme="minorEastAsia" w:cstheme="majorEastAsia"/>
        </w:rPr>
        <w:t>加快矿业、高端化工新材料两大核心产业转型升级，在优化布局结构、提升发展质效上加力提速，全面增强发展后劲。</w:t>
      </w:r>
      <w:r>
        <w:rPr>
          <w:rFonts w:hint="eastAsia" w:asciiTheme="minorEastAsia" w:hAnsiTheme="minorEastAsia" w:eastAsiaTheme="minorEastAsia" w:cstheme="majorEastAsia"/>
          <w:b/>
          <w:bCs/>
        </w:rPr>
        <w:t>矿业</w:t>
      </w:r>
      <w:r>
        <w:rPr>
          <w:rFonts w:hint="eastAsia" w:asciiTheme="minorEastAsia" w:hAnsiTheme="minorEastAsia" w:eastAsiaTheme="minorEastAsia" w:cstheme="majorEastAsia"/>
        </w:rPr>
        <w:t>发挥核心引领作用，加快增量崛起。</w:t>
      </w:r>
      <w:r>
        <w:rPr>
          <w:rFonts w:hint="eastAsia" w:asciiTheme="minorEastAsia" w:hAnsiTheme="minorEastAsia" w:eastAsiaTheme="minorEastAsia" w:cstheme="majorEastAsia"/>
          <w:b/>
          <w:bCs/>
        </w:rPr>
        <w:t>陕蒙基地</w:t>
      </w:r>
      <w:r>
        <w:rPr>
          <w:rFonts w:hint="eastAsia" w:asciiTheme="minorEastAsia" w:hAnsiTheme="minorEastAsia" w:eastAsiaTheme="minorEastAsia" w:cstheme="majorEastAsia"/>
        </w:rPr>
        <w:t>千方百计释放产能、获取资源、提升效益。</w:t>
      </w:r>
      <w:r>
        <w:rPr>
          <w:rFonts w:hint="eastAsia" w:asciiTheme="minorEastAsia" w:hAnsiTheme="minorEastAsia" w:eastAsiaTheme="minorEastAsia" w:cstheme="majorEastAsia"/>
          <w:b/>
          <w:bCs/>
        </w:rPr>
        <w:t>澳洲基地</w:t>
      </w:r>
      <w:r>
        <w:rPr>
          <w:rFonts w:hint="eastAsia" w:asciiTheme="minorEastAsia" w:hAnsiTheme="minorEastAsia" w:eastAsiaTheme="minorEastAsia" w:cstheme="majorEastAsia"/>
        </w:rPr>
        <w:t>强化生产运营管理，狠抓增产增量。</w:t>
      </w:r>
      <w:r>
        <w:rPr>
          <w:rFonts w:hint="eastAsia" w:asciiTheme="minorEastAsia" w:hAnsiTheme="minorEastAsia" w:eastAsiaTheme="minorEastAsia" w:cstheme="majorEastAsia"/>
          <w:b/>
          <w:bCs/>
        </w:rPr>
        <w:t>山东基地</w:t>
      </w:r>
      <w:r>
        <w:rPr>
          <w:rFonts w:hint="eastAsia" w:asciiTheme="minorEastAsia" w:hAnsiTheme="minorEastAsia" w:eastAsiaTheme="minorEastAsia" w:cstheme="majorEastAsia"/>
        </w:rPr>
        <w:t>精采细采，充填开采，确保稳产稳量。</w:t>
      </w:r>
      <w:r>
        <w:rPr>
          <w:rFonts w:hint="eastAsia" w:asciiTheme="minorEastAsia" w:hAnsiTheme="minorEastAsia" w:eastAsiaTheme="minorEastAsia" w:cstheme="majorEastAsia"/>
          <w:b/>
          <w:bCs/>
        </w:rPr>
        <w:t>新疆基地</w:t>
      </w:r>
      <w:r>
        <w:rPr>
          <w:rFonts w:hint="eastAsia" w:asciiTheme="minorEastAsia" w:hAnsiTheme="minorEastAsia" w:eastAsiaTheme="minorEastAsia" w:cstheme="majorEastAsia"/>
        </w:rPr>
        <w:t>精干高效组织生产，加快手续办理、项目建设。</w:t>
      </w:r>
      <w:r>
        <w:rPr>
          <w:rFonts w:hint="eastAsia" w:asciiTheme="minorEastAsia" w:hAnsiTheme="minorEastAsia" w:eastAsiaTheme="minorEastAsia" w:cstheme="majorEastAsia"/>
          <w:b/>
          <w:bCs/>
          <w:snapToGrid w:val="0"/>
        </w:rPr>
        <w:t>高端</w:t>
      </w:r>
      <w:r>
        <w:rPr>
          <w:rFonts w:hint="eastAsia" w:asciiTheme="minorEastAsia" w:hAnsiTheme="minorEastAsia" w:eastAsiaTheme="minorEastAsia"/>
          <w:b/>
          <w:bCs/>
        </w:rPr>
        <w:t>化工新材料产业</w:t>
      </w:r>
      <w:r>
        <w:rPr>
          <w:rFonts w:hint="eastAsia" w:asciiTheme="minorEastAsia" w:hAnsiTheme="minorEastAsia" w:eastAsiaTheme="minorEastAsia" w:cstheme="majorEastAsia"/>
        </w:rPr>
        <w:t>发挥产业链优势，</w:t>
      </w:r>
      <w:r>
        <w:rPr>
          <w:rFonts w:asciiTheme="minorEastAsia" w:hAnsiTheme="minorEastAsia" w:eastAsiaTheme="minorEastAsia" w:cstheme="majorEastAsia"/>
        </w:rPr>
        <w:t>增强产业链韧性，</w:t>
      </w:r>
      <w:r>
        <w:rPr>
          <w:rFonts w:hint="eastAsia" w:asciiTheme="minorEastAsia" w:hAnsiTheme="minorEastAsia" w:eastAsiaTheme="minorEastAsia" w:cstheme="majorEastAsia"/>
        </w:rPr>
        <w:t>拓展“一头多线”柔性生产，加快向高技术、高附加值拓展。</w:t>
      </w:r>
      <w:r>
        <w:rPr>
          <w:rFonts w:hint="eastAsia" w:asciiTheme="minorEastAsia" w:hAnsiTheme="minorEastAsia" w:eastAsiaTheme="minorEastAsia"/>
        </w:rPr>
        <w:t>高质量</w:t>
      </w:r>
      <w:r>
        <w:rPr>
          <w:rFonts w:asciiTheme="minorEastAsia" w:hAnsiTheme="minorEastAsia" w:eastAsiaTheme="minorEastAsia"/>
        </w:rPr>
        <w:t>建设</w:t>
      </w:r>
      <w:r>
        <w:rPr>
          <w:rFonts w:hint="eastAsia" w:asciiTheme="minorEastAsia" w:hAnsiTheme="minorEastAsia" w:eastAsiaTheme="minorEastAsia"/>
        </w:rPr>
        <w:t>鲁南化工、未来能源、荣信化工、榆林能化、新疆能化等5个高端精细化工园区，</w:t>
      </w:r>
      <w:r>
        <w:rPr>
          <w:rFonts w:asciiTheme="minorEastAsia" w:hAnsiTheme="minorEastAsia" w:eastAsiaTheme="minorEastAsia"/>
        </w:rPr>
        <w:t>巩固延伸醇基、氨基新材料产业链。</w:t>
      </w:r>
    </w:p>
    <w:p>
      <w:pPr>
        <w:ind w:firstLine="422" w:firstLineChars="200"/>
        <w:rPr>
          <w:rFonts w:asciiTheme="minorEastAsia" w:hAnsiTheme="minorEastAsia" w:eastAsiaTheme="minorEastAsia" w:cstheme="majorEastAsia"/>
          <w:snapToGrid w:val="0"/>
        </w:rPr>
      </w:pPr>
      <w:r>
        <w:rPr>
          <w:rFonts w:hint="eastAsia" w:cs="黑体" w:asciiTheme="minorEastAsia" w:hAnsiTheme="minorEastAsia" w:eastAsiaTheme="minorEastAsia"/>
          <w:b/>
          <w:bCs/>
        </w:rPr>
        <w:t>二、加速崛起新兴产业，推动竞争优势加快聚集。</w:t>
      </w:r>
      <w:r>
        <w:rPr>
          <w:rFonts w:hint="eastAsia" w:asciiTheme="minorEastAsia" w:hAnsiTheme="minorEastAsia" w:eastAsiaTheme="minorEastAsia"/>
        </w:rPr>
        <w:t>创新“资源+资本”发展模式，提升资源集约高效配置能力，不断塑造竞争新优势。</w:t>
      </w:r>
      <w:r>
        <w:rPr>
          <w:rFonts w:hint="eastAsia" w:asciiTheme="minorEastAsia" w:hAnsiTheme="minorEastAsia" w:eastAsiaTheme="minorEastAsia" w:cstheme="majorEastAsia"/>
          <w:b/>
          <w:bCs/>
          <w:snapToGrid w:val="0"/>
        </w:rPr>
        <w:t>高端装备制造产业</w:t>
      </w:r>
      <w:r>
        <w:rPr>
          <w:rFonts w:hint="eastAsia" w:asciiTheme="minorEastAsia" w:hAnsiTheme="minorEastAsia" w:eastAsiaTheme="minorEastAsia" w:cstheme="majorEastAsia"/>
          <w:snapToGrid w:val="0"/>
        </w:rPr>
        <w:t>做强鲁西高端智慧制造园区，确保首批入园企业达产达效；持续引入优质企业</w:t>
      </w:r>
      <w:r>
        <w:rPr>
          <w:rFonts w:hint="eastAsia" w:asciiTheme="minorEastAsia" w:hAnsiTheme="minorEastAsia" w:eastAsiaTheme="minorEastAsia"/>
        </w:rPr>
        <w:t>、高端人才、领先技术，</w:t>
      </w:r>
      <w:r>
        <w:rPr>
          <w:rFonts w:hint="eastAsia" w:asciiTheme="minorEastAsia" w:hAnsiTheme="minorEastAsia" w:eastAsiaTheme="minorEastAsia" w:cstheme="majorEastAsia"/>
          <w:snapToGrid w:val="0"/>
        </w:rPr>
        <w:t>通过合资合作推动装备制造产业提档升级。大力提升高端液压支架等优势产品竞争力，力争实现国际市场输出零突破。</w:t>
      </w:r>
      <w:r>
        <w:rPr>
          <w:rFonts w:hint="eastAsia" w:asciiTheme="minorEastAsia" w:hAnsiTheme="minorEastAsia" w:eastAsiaTheme="minorEastAsia" w:cstheme="majorEastAsia"/>
          <w:b/>
          <w:bCs/>
          <w:snapToGrid w:val="0"/>
        </w:rPr>
        <w:t>智慧物流产业</w:t>
      </w:r>
      <w:r>
        <w:rPr>
          <w:rFonts w:hint="eastAsia" w:asciiTheme="minorEastAsia" w:hAnsiTheme="minorEastAsia" w:eastAsiaTheme="minorEastAsia" w:cstheme="majorEastAsia"/>
        </w:rPr>
        <w:t>建成投用曹家伙场至牛家梁矿区等陕蒙铁路专用线，适时收购物流关键节点项目，推动“乌榆临”铁路开工建设，建成泰安港公铁水联运物流园二期、济三泗河口港，持续拓宽产品外运通道。整合鲁西、新疆区域物流资源，推进与物流头部企业战略合作项目落地，实现平台拓宽、规模壮大。</w:t>
      </w:r>
      <w:r>
        <w:rPr>
          <w:rFonts w:hint="eastAsia" w:asciiTheme="minorEastAsia" w:hAnsiTheme="minorEastAsia" w:eastAsiaTheme="minorEastAsia" w:cstheme="majorEastAsia"/>
          <w:b/>
          <w:bCs/>
        </w:rPr>
        <w:t>新能源产业</w:t>
      </w:r>
      <w:r>
        <w:rPr>
          <w:rFonts w:hint="eastAsia" w:asciiTheme="minorEastAsia" w:hAnsiTheme="minorEastAsia" w:eastAsiaTheme="minorEastAsia" w:cstheme="majorEastAsia"/>
        </w:rPr>
        <w:t>推进自建和并购双轮驱动，以产业投资带动资源获取，推进多能互补、源网荷储发展，加快实现增量突破。</w:t>
      </w:r>
    </w:p>
    <w:p>
      <w:pPr>
        <w:ind w:firstLine="422" w:firstLineChars="200"/>
        <w:rPr>
          <w:rFonts w:asciiTheme="minorEastAsia" w:hAnsiTheme="minorEastAsia" w:eastAsiaTheme="minorEastAsia" w:cstheme="majorEastAsia"/>
        </w:rPr>
      </w:pPr>
      <w:r>
        <w:rPr>
          <w:rFonts w:hint="eastAsia" w:cs="黑体" w:asciiTheme="minorEastAsia" w:hAnsiTheme="minorEastAsia" w:eastAsiaTheme="minorEastAsia"/>
          <w:b/>
          <w:bCs/>
        </w:rPr>
        <w:t>三、深化实施精益管理，提升增盈创效潜能效率。</w:t>
      </w:r>
      <w:r>
        <w:rPr>
          <w:rFonts w:asciiTheme="minorEastAsia" w:hAnsiTheme="minorEastAsia" w:eastAsiaTheme="minorEastAsia" w:cstheme="majorEastAsia"/>
        </w:rPr>
        <w:t>将精益管理全面贯穿</w:t>
      </w:r>
      <w:r>
        <w:rPr>
          <w:rFonts w:hint="eastAsia" w:asciiTheme="minorEastAsia" w:hAnsiTheme="minorEastAsia" w:eastAsiaTheme="minorEastAsia" w:cstheme="majorEastAsia"/>
        </w:rPr>
        <w:t>生产经营</w:t>
      </w:r>
      <w:r>
        <w:rPr>
          <w:rFonts w:asciiTheme="minorEastAsia" w:hAnsiTheme="minorEastAsia" w:eastAsiaTheme="minorEastAsia" w:cstheme="majorEastAsia"/>
        </w:rPr>
        <w:t>全过程,</w:t>
      </w:r>
      <w:r>
        <w:rPr>
          <w:rFonts w:hint="eastAsia" w:asciiTheme="minorEastAsia" w:hAnsiTheme="minorEastAsia" w:eastAsiaTheme="minorEastAsia" w:cstheme="majorEastAsia"/>
        </w:rPr>
        <w:t>深化开展“</w:t>
      </w:r>
      <w:r>
        <w:rPr>
          <w:rFonts w:asciiTheme="minorEastAsia" w:hAnsiTheme="minorEastAsia" w:eastAsiaTheme="minorEastAsia" w:cstheme="majorEastAsia"/>
        </w:rPr>
        <w:t>两增三降四提升”</w:t>
      </w:r>
      <w:r>
        <w:rPr>
          <w:rFonts w:hint="eastAsia" w:asciiTheme="minorEastAsia" w:hAnsiTheme="minorEastAsia" w:eastAsiaTheme="minorEastAsia" w:cstheme="majorEastAsia"/>
        </w:rPr>
        <w:t>活动</w:t>
      </w:r>
      <w:r>
        <w:rPr>
          <w:rFonts w:asciiTheme="minorEastAsia" w:hAnsiTheme="minorEastAsia" w:eastAsiaTheme="minorEastAsia" w:cstheme="majorEastAsia"/>
        </w:rPr>
        <w:t>。</w:t>
      </w:r>
      <w:r>
        <w:rPr>
          <w:rFonts w:hint="eastAsia" w:asciiTheme="minorEastAsia" w:hAnsiTheme="minorEastAsia" w:eastAsiaTheme="minorEastAsia" w:cstheme="majorEastAsia"/>
          <w:b/>
          <w:bCs/>
        </w:rPr>
        <w:t>重点突出产品产量、达产达效项目“两个增加</w:t>
      </w:r>
      <w:r>
        <w:rPr>
          <w:rFonts w:asciiTheme="minorEastAsia" w:hAnsiTheme="minorEastAsia" w:eastAsiaTheme="minorEastAsia" w:cstheme="majorEastAsia"/>
          <w:b/>
          <w:bCs/>
        </w:rPr>
        <w:t>”</w:t>
      </w:r>
      <w:r>
        <w:rPr>
          <w:rFonts w:hint="eastAsia" w:asciiTheme="minorEastAsia" w:hAnsiTheme="minorEastAsia" w:eastAsiaTheme="minorEastAsia" w:cstheme="majorEastAsia"/>
          <w:b/>
          <w:bCs/>
        </w:rPr>
        <w:t>。</w:t>
      </w:r>
      <w:r>
        <w:rPr>
          <w:rFonts w:hint="eastAsia" w:asciiTheme="minorEastAsia" w:hAnsiTheme="minorEastAsia" w:eastAsiaTheme="minorEastAsia"/>
        </w:rPr>
        <w:t>优化石拉乌素、营盘壕等矿井生产组织、工作面设计和采煤工艺，尽快达产达效</w:t>
      </w:r>
      <w:r>
        <w:rPr>
          <w:rFonts w:hint="eastAsia" w:asciiTheme="minorEastAsia" w:hAnsiTheme="minorEastAsia" w:eastAsiaTheme="minorEastAsia" w:cstheme="majorEastAsia"/>
        </w:rPr>
        <w:t>。加快重点增量项目建设，五彩湾四号露天矿年底前剥离见煤。</w:t>
      </w:r>
      <w:r>
        <w:rPr>
          <w:rFonts w:hint="eastAsia" w:asciiTheme="minorEastAsia" w:hAnsiTheme="minorEastAsia" w:eastAsiaTheme="minorEastAsia" w:cstheme="majorEastAsia"/>
          <w:b/>
          <w:bCs/>
        </w:rPr>
        <w:t>坚决做到负债率、成本费用、资金占用“三个降低”。</w:t>
      </w:r>
      <w:r>
        <w:rPr>
          <w:rFonts w:hint="eastAsia" w:asciiTheme="minorEastAsia" w:hAnsiTheme="minorEastAsia" w:eastAsiaTheme="minorEastAsia" w:cstheme="majorEastAsia"/>
        </w:rPr>
        <w:t>强化融资接续管理，科学置换有息负债，合理压降有息负债规模。</w:t>
      </w:r>
      <w:r>
        <w:rPr>
          <w:rFonts w:asciiTheme="minorEastAsia" w:hAnsiTheme="minorEastAsia" w:eastAsiaTheme="minorEastAsia" w:cstheme="majorEastAsia"/>
        </w:rPr>
        <w:t>强化全面预算管理，严格介质消耗管控</w:t>
      </w:r>
      <w:r>
        <w:rPr>
          <w:rFonts w:hint="eastAsia" w:asciiTheme="minorEastAsia" w:hAnsiTheme="minorEastAsia" w:eastAsiaTheme="minorEastAsia" w:cstheme="majorEastAsia"/>
        </w:rPr>
        <w:t>，力争主导产品</w:t>
      </w:r>
      <w:r>
        <w:rPr>
          <w:rFonts w:asciiTheme="minorEastAsia" w:hAnsiTheme="minorEastAsia" w:eastAsiaTheme="minorEastAsia" w:cstheme="majorEastAsia"/>
        </w:rPr>
        <w:t>单耗</w:t>
      </w:r>
      <w:r>
        <w:rPr>
          <w:rFonts w:hint="eastAsia" w:asciiTheme="minorEastAsia" w:hAnsiTheme="minorEastAsia" w:eastAsiaTheme="minorEastAsia" w:cstheme="majorEastAsia"/>
        </w:rPr>
        <w:t>有效降低。实施精益物供，</w:t>
      </w:r>
      <w:r>
        <w:rPr>
          <w:rFonts w:asciiTheme="minorEastAsia" w:hAnsiTheme="minorEastAsia" w:eastAsiaTheme="minorEastAsia" w:cstheme="majorEastAsia"/>
        </w:rPr>
        <w:t>加大资产清查和清仓利库</w:t>
      </w:r>
      <w:r>
        <w:rPr>
          <w:rFonts w:hint="eastAsia" w:asciiTheme="minorEastAsia" w:hAnsiTheme="minorEastAsia" w:eastAsiaTheme="minorEastAsia" w:cstheme="majorEastAsia"/>
        </w:rPr>
        <w:t>力度，</w:t>
      </w:r>
      <w:r>
        <w:rPr>
          <w:rFonts w:asciiTheme="minorEastAsia" w:hAnsiTheme="minorEastAsia" w:eastAsiaTheme="minorEastAsia" w:cstheme="majorEastAsia"/>
        </w:rPr>
        <w:t>压降存货资金占用10%，力争采购降本2亿元以上。</w:t>
      </w:r>
      <w:r>
        <w:rPr>
          <w:rFonts w:hint="eastAsia" w:asciiTheme="minorEastAsia" w:hAnsiTheme="minorEastAsia" w:eastAsiaTheme="minorEastAsia" w:cstheme="majorEastAsia"/>
          <w:b/>
          <w:bCs/>
        </w:rPr>
        <w:t>稳步推动盈利能力、全员劳动生产率、科技研发投入、营业现金比率“四个提升”。</w:t>
      </w:r>
      <w:r>
        <w:rPr>
          <w:rFonts w:asciiTheme="minorEastAsia" w:hAnsiTheme="minorEastAsia" w:eastAsiaTheme="minorEastAsia" w:cstheme="majorEastAsia"/>
        </w:rPr>
        <w:t>优化产品结构、区域结构和用户结构，实施“精煤+定制”战略，</w:t>
      </w:r>
      <w:r>
        <w:rPr>
          <w:rFonts w:hint="eastAsia" w:asciiTheme="minorEastAsia" w:hAnsiTheme="minorEastAsia" w:eastAsiaTheme="minorEastAsia" w:cstheme="majorEastAsia"/>
        </w:rPr>
        <w:t>稳步提升精煤产品占比</w:t>
      </w:r>
      <w:r>
        <w:rPr>
          <w:rFonts w:asciiTheme="minorEastAsia" w:hAnsiTheme="minorEastAsia" w:eastAsiaTheme="minorEastAsia" w:cstheme="majorEastAsia"/>
        </w:rPr>
        <w:t>。</w:t>
      </w:r>
      <w:r>
        <w:rPr>
          <w:rFonts w:hint="eastAsia" w:asciiTheme="minorEastAsia" w:hAnsiTheme="minorEastAsia" w:eastAsiaTheme="minorEastAsia" w:cstheme="majorEastAsia"/>
          <w:snapToGrid w:val="0"/>
        </w:rPr>
        <w:t>动态优化人力资源配置，力争全员劳动生产率保持行业先进水平。实施重大科技专项攻关，在高端精细化工、高端装备制造研发等方面创新突破，培育一批高附加值、高科技的尖端产品。</w:t>
      </w:r>
      <w:r>
        <w:rPr>
          <w:rFonts w:hint="eastAsia" w:asciiTheme="minorEastAsia" w:hAnsiTheme="minorEastAsia" w:eastAsiaTheme="minorEastAsia" w:cstheme="majorEastAsia"/>
        </w:rPr>
        <w:t>加大商业模式创新，</w:t>
      </w:r>
      <w:r>
        <w:rPr>
          <w:rFonts w:asciiTheme="minorEastAsia" w:hAnsiTheme="minorEastAsia" w:eastAsiaTheme="minorEastAsia" w:cstheme="majorEastAsia"/>
        </w:rPr>
        <w:t>优化资金流向</w:t>
      </w:r>
      <w:r>
        <w:rPr>
          <w:rFonts w:hint="eastAsia" w:asciiTheme="minorEastAsia" w:hAnsiTheme="minorEastAsia" w:eastAsiaTheme="minorEastAsia" w:cstheme="majorEastAsia"/>
        </w:rPr>
        <w:t>，最大限度增加现金流入。</w:t>
      </w:r>
    </w:p>
    <w:p>
      <w:pPr>
        <w:ind w:firstLine="422" w:firstLineChars="200"/>
        <w:rPr>
          <w:rFonts w:asciiTheme="minorEastAsia" w:hAnsiTheme="minorEastAsia" w:eastAsiaTheme="minorEastAsia" w:cstheme="majorEastAsia"/>
        </w:rPr>
      </w:pPr>
      <w:r>
        <w:rPr>
          <w:rFonts w:hint="eastAsia" w:cs="黑体" w:asciiTheme="minorEastAsia" w:hAnsiTheme="minorEastAsia" w:eastAsiaTheme="minorEastAsia"/>
          <w:b/>
          <w:bCs/>
        </w:rPr>
        <w:t>四、开展价值创造行动，厚植高质量发展竞争优势。</w:t>
      </w:r>
      <w:r>
        <w:rPr>
          <w:rFonts w:hint="eastAsia" w:asciiTheme="minorEastAsia" w:hAnsiTheme="minorEastAsia" w:eastAsiaTheme="minorEastAsia" w:cstheme="majorEastAsia"/>
        </w:rPr>
        <w:t>坚持世界眼光、国际标准，深入开展对标一流价值创造行动，全面提升发展质量和后劲。</w:t>
      </w:r>
      <w:r>
        <w:rPr>
          <w:rFonts w:hint="eastAsia" w:asciiTheme="minorEastAsia" w:hAnsiTheme="minorEastAsia" w:eastAsiaTheme="minorEastAsia" w:cstheme="majorEastAsia"/>
          <w:b/>
          <w:bCs/>
        </w:rPr>
        <w:t>持续提升资源配置能力。</w:t>
      </w:r>
      <w:r>
        <w:rPr>
          <w:rFonts w:hint="eastAsia" w:asciiTheme="minorEastAsia" w:hAnsiTheme="minorEastAsia" w:eastAsiaTheme="minorEastAsia" w:cstheme="majorEastAsia"/>
          <w:snapToGrid w:val="0"/>
        </w:rPr>
        <w:t>大力推进外延式发展，瞄准境内外优势项目，积极谋划合资合作、战略并购；分批次、分区域注入控股股东优质资产。</w:t>
      </w:r>
      <w:r>
        <w:rPr>
          <w:rFonts w:hint="eastAsia" w:asciiTheme="minorEastAsia" w:hAnsiTheme="minorEastAsia" w:eastAsiaTheme="minorEastAsia" w:cstheme="majorEastAsia"/>
          <w:b/>
          <w:bCs/>
          <w:snapToGrid w:val="0"/>
        </w:rPr>
        <w:t>持续提升</w:t>
      </w:r>
      <w:r>
        <w:rPr>
          <w:rFonts w:hint="eastAsia" w:asciiTheme="minorEastAsia" w:hAnsiTheme="minorEastAsia" w:eastAsiaTheme="minorEastAsia" w:cstheme="majorEastAsia"/>
          <w:b/>
          <w:bCs/>
        </w:rPr>
        <w:t>价值管理能力。</w:t>
      </w:r>
      <w:r>
        <w:rPr>
          <w:rFonts w:hint="eastAsia" w:asciiTheme="minorEastAsia" w:hAnsiTheme="minorEastAsia" w:eastAsiaTheme="minorEastAsia" w:cstheme="majorEastAsia"/>
        </w:rPr>
        <w:t>以提高上市公司质量为主线，强化规范治理、价值共享、高效沟通“三个支撑”，做实精强主业、资本运作、品牌提升、境外协同、工具运用“五大保障”，构建兖矿特色“135”价值管理机制，全面提升企业价值。</w:t>
      </w:r>
      <w:r>
        <w:rPr>
          <w:rFonts w:hint="eastAsia" w:asciiTheme="minorEastAsia" w:hAnsiTheme="minorEastAsia" w:eastAsiaTheme="minorEastAsia" w:cstheme="majorEastAsia"/>
          <w:b/>
          <w:bCs/>
        </w:rPr>
        <w:t>持续提升品牌影响能力。</w:t>
      </w:r>
      <w:r>
        <w:rPr>
          <w:rFonts w:hint="eastAsia" w:asciiTheme="minorEastAsia" w:hAnsiTheme="minorEastAsia" w:eastAsiaTheme="minorEastAsia" w:cstheme="majorEastAsia"/>
        </w:rPr>
        <w:t>开展全产业链质量提升行动，提高企业品牌附加值和品牌引领力。持之以恒做好ESG建设，切实履行社会责任，充分彰显负责任上市公司良好风貌。</w:t>
      </w:r>
    </w:p>
    <w:p>
      <w:pPr>
        <w:ind w:firstLine="420" w:firstLineChars="200"/>
        <w:rPr>
          <w:rFonts w:asciiTheme="minorEastAsia" w:hAnsiTheme="minorEastAsia" w:eastAsiaTheme="minorEastAsia" w:cstheme="majorEastAsia"/>
        </w:rPr>
      </w:pPr>
      <w:r>
        <w:rPr>
          <w:rFonts w:hint="eastAsia" w:asciiTheme="minorEastAsia" w:hAnsiTheme="minorEastAsia" w:eastAsiaTheme="minorEastAsia" w:cstheme="majorEastAsia"/>
        </w:rPr>
        <w:t>百舸争流,奋楫者先；千帆竞发,勇进者胜。2024年，本集团将深刻把握全球能源变革趋势，聚焦绿色低碳高质量发展，全面深化改革创新，加快培育新质生产力，向“绿”而行、向“新”发力、向“智”转型，一步一个脚印把企业战略目标、发展蓝图变为美好现实，以优异成绩为股东及利益相关方创造更多价值回报。</w:t>
      </w:r>
    </w:p>
    <w:p>
      <w:pPr>
        <w:ind w:firstLine="420" w:firstLineChars="200"/>
        <w:rPr>
          <w:rFonts w:asciiTheme="minorEastAsia" w:hAnsiTheme="minorEastAsia" w:eastAsiaTheme="minorEastAsia" w:cstheme="majorEastAsia"/>
        </w:rPr>
      </w:pPr>
    </w:p>
    <w:p>
      <w:pPr>
        <w:ind w:right="840"/>
        <w:jc w:val="right"/>
        <w:rPr>
          <w:rFonts w:asciiTheme="minorEastAsia" w:hAnsiTheme="minorEastAsia" w:eastAsiaTheme="minorEastAsia" w:cstheme="majorEastAsia"/>
        </w:rPr>
      </w:pPr>
      <w:r>
        <w:rPr>
          <w:rFonts w:hint="eastAsia" w:asciiTheme="minorEastAsia" w:hAnsiTheme="minorEastAsia" w:eastAsiaTheme="minorEastAsia" w:cstheme="majorEastAsia"/>
        </w:rPr>
        <w:t>承董事会命</w:t>
      </w:r>
    </w:p>
    <w:p>
      <w:pPr>
        <w:ind w:right="630"/>
        <w:jc w:val="right"/>
        <w:rPr>
          <w:rFonts w:asciiTheme="minorEastAsia" w:hAnsiTheme="minorEastAsia" w:eastAsiaTheme="minorEastAsia" w:cstheme="majorEastAsia"/>
        </w:rPr>
      </w:pPr>
      <w:r>
        <w:rPr>
          <w:rFonts w:hint="eastAsia" w:asciiTheme="minorEastAsia" w:hAnsiTheme="minorEastAsia" w:eastAsiaTheme="minorEastAsia" w:cstheme="majorEastAsia"/>
        </w:rPr>
        <w:t>董事长：李伟</w:t>
      </w:r>
    </w:p>
    <w:p>
      <w:pPr>
        <w:jc w:val="right"/>
        <w:rPr>
          <w:rFonts w:asciiTheme="minorEastAsia" w:hAnsiTheme="minorEastAsia" w:eastAsiaTheme="minorEastAsia" w:cstheme="majorEastAsia"/>
        </w:rPr>
      </w:pPr>
      <w:r>
        <w:rPr>
          <w:rFonts w:hint="eastAsia" w:asciiTheme="minorEastAsia" w:hAnsiTheme="minorEastAsia" w:eastAsiaTheme="minorEastAsia" w:cstheme="majorEastAsia"/>
        </w:rPr>
        <w:t>中国，邹城，2024年3月2</w:t>
      </w:r>
      <w:r>
        <w:rPr>
          <w:rFonts w:asciiTheme="minorEastAsia" w:hAnsiTheme="minorEastAsia" w:eastAsiaTheme="minorEastAsia" w:cstheme="majorEastAsia"/>
        </w:rPr>
        <w:t>8</w:t>
      </w:r>
      <w:r>
        <w:rPr>
          <w:rFonts w:hint="eastAsia" w:asciiTheme="minorEastAsia" w:hAnsiTheme="minorEastAsia" w:eastAsiaTheme="minorEastAsia" w:cstheme="majorEastAsia"/>
        </w:rPr>
        <w:t>日</w:t>
      </w:r>
    </w:p>
    <w:p>
      <w:pPr>
        <w:pStyle w:val="43"/>
      </w:pPr>
    </w:p>
    <w:bookmarkEnd w:id="16"/>
    <w:p>
      <w:pPr>
        <w:pStyle w:val="43"/>
      </w:pPr>
    </w:p>
    <w:p>
      <w:pPr>
        <w:pStyle w:val="43"/>
      </w:pPr>
      <w:r>
        <w:br w:type="page"/>
      </w:r>
    </w:p>
    <w:p>
      <w:pPr>
        <w:pStyle w:val="2"/>
        <w:numPr>
          <w:ilvl w:val="0"/>
          <w:numId w:val="2"/>
        </w:numPr>
        <w:ind w:left="498" w:hanging="498" w:hangingChars="177"/>
        <w:rPr>
          <w:rFonts w:ascii="宋体" w:hAnsi="宋体" w:eastAsia="宋体"/>
        </w:rPr>
      </w:pPr>
      <w:bookmarkStart w:id="19" w:name="_Toc158217551"/>
      <w:r>
        <w:rPr>
          <w:rFonts w:hint="eastAsia" w:ascii="宋体" w:hAnsi="宋体" w:eastAsia="宋体"/>
        </w:rPr>
        <w:t>管理层讨论与分析</w:t>
      </w:r>
      <w:bookmarkEnd w:id="7"/>
      <w:bookmarkEnd w:id="19"/>
    </w:p>
    <w:p>
      <w:pPr>
        <w:pStyle w:val="43"/>
      </w:pPr>
    </w:p>
    <w:p>
      <w:pPr>
        <w:pStyle w:val="3"/>
        <w:numPr>
          <w:ilvl w:val="0"/>
          <w:numId w:val="7"/>
        </w:numPr>
        <w:ind w:left="369" w:hanging="369" w:hangingChars="175"/>
        <w:rPr>
          <w:rFonts w:ascii="宋体" w:hAnsi="宋体"/>
        </w:rPr>
      </w:pPr>
      <w:r>
        <w:rPr>
          <w:rFonts w:hint="eastAsia" w:ascii="宋体" w:hAnsi="宋体"/>
        </w:rPr>
        <w:t>经营情况</w:t>
      </w:r>
      <w:r>
        <w:rPr>
          <w:rFonts w:ascii="宋体" w:hAnsi="宋体"/>
        </w:rPr>
        <w:t>讨论与分析</w:t>
      </w:r>
    </w:p>
    <w:sdt>
      <w:sdtPr>
        <w:rPr>
          <w:rFonts w:hint="eastAsia" w:ascii="宋体" w:hAnsi="宋体"/>
        </w:rPr>
        <w:alias w:val="管理层讨论与分析"/>
        <w:tag w:val="_GBC_75862f3cb18e486fb20eb44dbcc462a9"/>
        <w:id w:val="2012864552"/>
        <w:placeholder>
          <w:docPart w:val="GBC22222222222222222222222222222"/>
        </w:placeholder>
      </w:sdtPr>
      <w:sdtEndPr>
        <w:rPr>
          <w:rFonts w:hint="eastAsia" w:ascii="宋体" w:hAnsi="宋体"/>
        </w:rPr>
      </w:sdtEndPr>
      <w:sdtContent>
        <w:p>
          <w:pPr>
            <w:ind w:firstLine="420" w:firstLineChars="200"/>
            <w:rPr>
              <w:rFonts w:ascii="宋体" w:hAnsi="宋体"/>
            </w:rPr>
          </w:pPr>
          <w:bookmarkStart w:id="20" w:name="bookmark0"/>
          <w:bookmarkEnd w:id="20"/>
          <w:r>
            <w:rPr>
              <w:rFonts w:hint="eastAsia" w:ascii="宋体" w:hAnsi="宋体"/>
            </w:rPr>
            <w:t>业务概况</w:t>
          </w:r>
        </w:p>
        <w:p>
          <w:pPr>
            <w:autoSpaceDE w:val="0"/>
            <w:autoSpaceDN w:val="0"/>
            <w:adjustRightInd w:val="0"/>
            <w:ind w:firstLine="420" w:firstLineChars="200"/>
            <w:rPr>
              <w:rFonts w:ascii="宋体" w:hAnsi="宋体"/>
            </w:rPr>
          </w:pPr>
        </w:p>
        <w:tbl>
          <w:tblPr>
            <w:tblStyle w:val="106"/>
            <w:tblW w:w="9050" w:type="dxa"/>
            <w:jc w:val="center"/>
            <w:tblLayout w:type="fixed"/>
            <w:tblCellMar>
              <w:top w:w="0" w:type="dxa"/>
              <w:left w:w="0" w:type="dxa"/>
              <w:bottom w:w="0" w:type="dxa"/>
              <w:right w:w="0" w:type="dxa"/>
            </w:tblCellMar>
          </w:tblPr>
          <w:tblGrid>
            <w:gridCol w:w="2142"/>
            <w:gridCol w:w="1555"/>
            <w:gridCol w:w="1426"/>
            <w:gridCol w:w="1471"/>
            <w:gridCol w:w="1167"/>
            <w:gridCol w:w="1289"/>
          </w:tblGrid>
          <w:tr>
            <w:tblPrEx>
              <w:tblCellMar>
                <w:top w:w="0" w:type="dxa"/>
                <w:left w:w="0" w:type="dxa"/>
                <w:bottom w:w="0" w:type="dxa"/>
                <w:right w:w="0" w:type="dxa"/>
              </w:tblCellMar>
            </w:tblPrEx>
            <w:trPr>
              <w:trHeight w:val="735" w:hRule="exact"/>
              <w:jc w:val="center"/>
            </w:trPr>
            <w:tc>
              <w:tcPr>
                <w:tcW w:w="2142" w:type="dxa"/>
                <w:tcBorders>
                  <w:top w:val="single" w:color="000000" w:sz="2"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
                  <w:rPr>
                    <w:rFonts w:ascii="宋体" w:hAnsi="宋体" w:eastAsia="宋体"/>
                    <w:sz w:val="14"/>
                    <w:szCs w:val="14"/>
                  </w:rPr>
                </w:pPr>
              </w:p>
              <w:p>
                <w:pPr>
                  <w:kinsoku w:val="0"/>
                  <w:overflowPunct w:val="0"/>
                  <w:autoSpaceDE w:val="0"/>
                  <w:autoSpaceDN w:val="0"/>
                  <w:adjustRightInd w:val="0"/>
                  <w:ind w:left="104"/>
                  <w:jc w:val="center"/>
                  <w:rPr>
                    <w:rFonts w:ascii="宋体" w:hAnsi="宋体" w:eastAsia="宋体" w:cs="Arial"/>
                    <w:szCs w:val="28"/>
                  </w:rPr>
                </w:pPr>
              </w:p>
            </w:tc>
            <w:tc>
              <w:tcPr>
                <w:tcW w:w="1555" w:type="dxa"/>
                <w:tcBorders>
                  <w:top w:val="single" w:color="000000" w:sz="2"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cs="Arial"/>
                    <w:szCs w:val="28"/>
                  </w:rPr>
                </w:pPr>
                <w:r>
                  <w:rPr>
                    <w:rFonts w:hint="eastAsia" w:ascii="宋体" w:hAnsi="宋体" w:eastAsia="宋体"/>
                    <w:b/>
                    <w:bCs/>
                    <w:szCs w:val="21"/>
                  </w:rPr>
                  <w:t>单位</w:t>
                </w:r>
              </w:p>
            </w:tc>
            <w:tc>
              <w:tcPr>
                <w:tcW w:w="1426" w:type="dxa"/>
                <w:tcBorders>
                  <w:top w:val="single" w:color="000000" w:sz="2"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cs="Arial"/>
                    <w:szCs w:val="28"/>
                  </w:rPr>
                </w:pPr>
                <w:r>
                  <w:rPr>
                    <w:rFonts w:ascii="宋体" w:hAnsi="宋体" w:eastAsia="宋体"/>
                    <w:b/>
                    <w:bCs/>
                    <w:szCs w:val="21"/>
                  </w:rPr>
                  <w:t>20</w:t>
                </w:r>
                <w:r>
                  <w:rPr>
                    <w:rFonts w:hint="eastAsia" w:ascii="宋体" w:hAnsi="宋体" w:eastAsia="宋体"/>
                    <w:b/>
                    <w:bCs/>
                    <w:szCs w:val="21"/>
                  </w:rPr>
                  <w:t>2</w:t>
                </w:r>
                <w:r>
                  <w:rPr>
                    <w:rFonts w:ascii="宋体" w:hAnsi="宋体" w:eastAsia="宋体"/>
                    <w:b/>
                    <w:bCs/>
                    <w:szCs w:val="21"/>
                  </w:rPr>
                  <w:t>3</w:t>
                </w:r>
                <w:r>
                  <w:rPr>
                    <w:rFonts w:hint="eastAsia" w:ascii="宋体" w:hAnsi="宋体" w:eastAsia="宋体"/>
                    <w:b/>
                    <w:bCs/>
                    <w:szCs w:val="21"/>
                  </w:rPr>
                  <w:t>年</w:t>
                </w:r>
              </w:p>
            </w:tc>
            <w:tc>
              <w:tcPr>
                <w:tcW w:w="1471" w:type="dxa"/>
                <w:tcBorders>
                  <w:top w:val="single" w:color="000000" w:sz="2"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cs="Arial"/>
                    <w:szCs w:val="28"/>
                  </w:rPr>
                </w:pPr>
                <w:r>
                  <w:rPr>
                    <w:rFonts w:ascii="宋体" w:hAnsi="宋体" w:eastAsia="宋体"/>
                    <w:b/>
                    <w:bCs/>
                    <w:szCs w:val="21"/>
                  </w:rPr>
                  <w:t>2022</w:t>
                </w:r>
                <w:r>
                  <w:rPr>
                    <w:rFonts w:hint="eastAsia" w:ascii="宋体" w:hAnsi="宋体" w:eastAsia="宋体"/>
                    <w:b/>
                    <w:bCs/>
                    <w:szCs w:val="21"/>
                  </w:rPr>
                  <w:t>年</w:t>
                </w:r>
              </w:p>
            </w:tc>
            <w:tc>
              <w:tcPr>
                <w:tcW w:w="1167" w:type="dxa"/>
                <w:tcBorders>
                  <w:top w:val="single" w:color="000000" w:sz="2"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cs="Arial"/>
                    <w:szCs w:val="28"/>
                  </w:rPr>
                </w:pPr>
                <w:r>
                  <w:rPr>
                    <w:rFonts w:hint="eastAsia" w:ascii="宋体" w:hAnsi="宋体" w:eastAsia="宋体"/>
                    <w:b/>
                    <w:bCs/>
                    <w:szCs w:val="21"/>
                  </w:rPr>
                  <w:t>增减</w:t>
                </w:r>
              </w:p>
            </w:tc>
            <w:tc>
              <w:tcPr>
                <w:tcW w:w="1289" w:type="dxa"/>
                <w:tcBorders>
                  <w:top w:val="single" w:color="000000" w:sz="2"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cs="Arial"/>
                    <w:szCs w:val="28"/>
                  </w:rPr>
                </w:pPr>
                <w:r>
                  <w:rPr>
                    <w:rFonts w:hint="eastAsia" w:ascii="宋体" w:hAnsi="宋体" w:eastAsia="宋体"/>
                    <w:b/>
                    <w:bCs/>
                    <w:szCs w:val="21"/>
                  </w:rPr>
                  <w:t>增减幅（%）</w:t>
                </w:r>
              </w:p>
            </w:tc>
          </w:tr>
          <w:tr>
            <w:tblPrEx>
              <w:tblCellMar>
                <w:top w:w="0" w:type="dxa"/>
                <w:left w:w="0" w:type="dxa"/>
                <w:bottom w:w="0" w:type="dxa"/>
                <w:right w:w="0" w:type="dxa"/>
              </w:tblCellMar>
            </w:tblPrEx>
            <w:trPr>
              <w:trHeight w:val="358" w:hRule="exact"/>
              <w:jc w:val="center"/>
            </w:trPr>
            <w:tc>
              <w:tcPr>
                <w:tcW w:w="9050" w:type="dxa"/>
                <w:gridSpan w:val="6"/>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4"/>
                  <w:ind w:left="215"/>
                  <w:rPr>
                    <w:rFonts w:ascii="宋体" w:hAnsi="宋体" w:eastAsia="宋体" w:cs="Arial"/>
                    <w:szCs w:val="28"/>
                  </w:rPr>
                </w:pPr>
                <w:r>
                  <w:rPr>
                    <w:rFonts w:ascii="宋体" w:hAnsi="宋体" w:eastAsia="宋体"/>
                    <w:b/>
                    <w:bCs/>
                    <w:szCs w:val="21"/>
                  </w:rPr>
                  <w:t>1.</w:t>
                </w:r>
                <w:r>
                  <w:rPr>
                    <w:rFonts w:hint="eastAsia" w:ascii="宋体" w:hAnsi="宋体" w:eastAsia="宋体"/>
                    <w:b/>
                    <w:bCs/>
                    <w:szCs w:val="21"/>
                  </w:rPr>
                  <w:t>煤炭业务</w:t>
                </w:r>
              </w:p>
            </w:tc>
          </w:tr>
          <w:tr>
            <w:tblPrEx>
              <w:tblCellMar>
                <w:top w:w="0" w:type="dxa"/>
                <w:left w:w="0" w:type="dxa"/>
                <w:bottom w:w="0" w:type="dxa"/>
                <w:right w:w="0" w:type="dxa"/>
              </w:tblCellMar>
            </w:tblPrEx>
            <w:trPr>
              <w:trHeight w:val="358" w:hRule="exact"/>
              <w:jc w:val="center"/>
            </w:trPr>
            <w:tc>
              <w:tcPr>
                <w:tcW w:w="2142"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4"/>
                  <w:ind w:left="328"/>
                  <w:rPr>
                    <w:rFonts w:ascii="宋体" w:hAnsi="宋体" w:eastAsia="宋体" w:cs="Arial"/>
                    <w:szCs w:val="28"/>
                  </w:rPr>
                </w:pPr>
                <w:r>
                  <w:rPr>
                    <w:rFonts w:hint="eastAsia" w:ascii="宋体" w:hAnsi="宋体" w:eastAsia="宋体"/>
                    <w:szCs w:val="21"/>
                  </w:rPr>
                  <w:t>商品煤产量</w:t>
                </w:r>
              </w:p>
            </w:tc>
            <w:tc>
              <w:tcPr>
                <w:tcW w:w="155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cs="Arial"/>
                    <w:szCs w:val="28"/>
                  </w:rPr>
                </w:pPr>
                <w:r>
                  <w:rPr>
                    <w:rFonts w:hint="eastAsia" w:ascii="宋体" w:hAnsi="宋体" w:eastAsia="宋体"/>
                    <w:szCs w:val="21"/>
                  </w:rPr>
                  <w:t>千吨</w:t>
                </w:r>
              </w:p>
            </w:tc>
            <w:tc>
              <w:tcPr>
                <w:tcW w:w="142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autoSpaceDE w:val="0"/>
                  <w:autoSpaceDN w:val="0"/>
                  <w:adjustRightInd w:val="0"/>
                  <w:jc w:val="right"/>
                  <w:rPr>
                    <w:rFonts w:ascii="宋体" w:hAnsi="宋体" w:eastAsia="宋体"/>
                    <w:szCs w:val="28"/>
                  </w:rPr>
                </w:pPr>
                <w:r>
                  <w:rPr>
                    <w:rFonts w:ascii="宋体" w:hAnsi="宋体" w:eastAsiaTheme="minorEastAsia"/>
                    <w:szCs w:val="28"/>
                  </w:rPr>
                  <w:t xml:space="preserve">132,107 </w:t>
                </w:r>
              </w:p>
            </w:tc>
            <w:tc>
              <w:tcPr>
                <w:tcW w:w="1471"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autoSpaceDE w:val="0"/>
                  <w:autoSpaceDN w:val="0"/>
                  <w:adjustRightInd w:val="0"/>
                  <w:jc w:val="right"/>
                  <w:rPr>
                    <w:rFonts w:ascii="宋体" w:hAnsi="宋体" w:eastAsia="宋体"/>
                    <w:szCs w:val="28"/>
                  </w:rPr>
                </w:pPr>
                <w:r>
                  <w:rPr>
                    <w:rFonts w:ascii="宋体" w:hAnsi="宋体" w:eastAsiaTheme="minorEastAsia"/>
                    <w:szCs w:val="28"/>
                  </w:rPr>
                  <w:t xml:space="preserve">131,306 </w:t>
                </w:r>
              </w:p>
            </w:tc>
            <w:tc>
              <w:tcPr>
                <w:tcW w:w="116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autoSpaceDE w:val="0"/>
                  <w:autoSpaceDN w:val="0"/>
                  <w:adjustRightInd w:val="0"/>
                  <w:jc w:val="right"/>
                  <w:rPr>
                    <w:rFonts w:ascii="宋体" w:hAnsi="宋体" w:eastAsia="宋体"/>
                    <w:szCs w:val="28"/>
                  </w:rPr>
                </w:pPr>
                <w:r>
                  <w:rPr>
                    <w:rFonts w:ascii="宋体" w:hAnsi="宋体" w:eastAsiaTheme="minorEastAsia"/>
                    <w:szCs w:val="28"/>
                  </w:rPr>
                  <w:t xml:space="preserve">801 </w:t>
                </w:r>
              </w:p>
            </w:tc>
            <w:tc>
              <w:tcPr>
                <w:tcW w:w="128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kinsoku w:val="0"/>
                  <w:overflowPunct w:val="0"/>
                  <w:autoSpaceDE w:val="0"/>
                  <w:autoSpaceDN w:val="0"/>
                  <w:adjustRightInd w:val="0"/>
                  <w:spacing w:before="4"/>
                  <w:ind w:right="-3"/>
                  <w:jc w:val="right"/>
                  <w:rPr>
                    <w:rFonts w:ascii="宋体" w:hAnsi="宋体" w:eastAsia="宋体"/>
                    <w:szCs w:val="28"/>
                  </w:rPr>
                </w:pPr>
                <w:r>
                  <w:rPr>
                    <w:rFonts w:ascii="宋体" w:hAnsi="宋体" w:eastAsiaTheme="minorEastAsia"/>
                    <w:szCs w:val="28"/>
                  </w:rPr>
                  <w:t xml:space="preserve">0.61 </w:t>
                </w:r>
              </w:p>
            </w:tc>
          </w:tr>
          <w:tr>
            <w:tblPrEx>
              <w:tblCellMar>
                <w:top w:w="0" w:type="dxa"/>
                <w:left w:w="0" w:type="dxa"/>
                <w:bottom w:w="0" w:type="dxa"/>
                <w:right w:w="0" w:type="dxa"/>
              </w:tblCellMar>
            </w:tblPrEx>
            <w:trPr>
              <w:trHeight w:val="360" w:hRule="exact"/>
              <w:jc w:val="center"/>
            </w:trPr>
            <w:tc>
              <w:tcPr>
                <w:tcW w:w="2142"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4"/>
                  <w:ind w:left="328"/>
                  <w:rPr>
                    <w:rFonts w:ascii="宋体" w:hAnsi="宋体" w:eastAsia="宋体" w:cs="Arial"/>
                    <w:szCs w:val="28"/>
                  </w:rPr>
                </w:pPr>
                <w:r>
                  <w:rPr>
                    <w:rFonts w:hint="eastAsia" w:ascii="宋体" w:hAnsi="宋体" w:eastAsia="宋体"/>
                    <w:szCs w:val="21"/>
                  </w:rPr>
                  <w:t>商品煤销量</w:t>
                </w:r>
              </w:p>
            </w:tc>
            <w:tc>
              <w:tcPr>
                <w:tcW w:w="155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cs="Arial"/>
                    <w:szCs w:val="28"/>
                  </w:rPr>
                </w:pPr>
                <w:r>
                  <w:rPr>
                    <w:rFonts w:hint="eastAsia" w:ascii="宋体" w:hAnsi="宋体" w:eastAsia="宋体"/>
                    <w:szCs w:val="21"/>
                  </w:rPr>
                  <w:t>千吨</w:t>
                </w:r>
              </w:p>
            </w:tc>
            <w:tc>
              <w:tcPr>
                <w:tcW w:w="1426"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autoSpaceDE w:val="0"/>
                  <w:autoSpaceDN w:val="0"/>
                  <w:adjustRightInd w:val="0"/>
                  <w:jc w:val="right"/>
                  <w:rPr>
                    <w:rFonts w:ascii="宋体" w:hAnsi="宋体" w:eastAsia="宋体"/>
                    <w:szCs w:val="28"/>
                  </w:rPr>
                </w:pPr>
                <w:r>
                  <w:rPr>
                    <w:rFonts w:ascii="宋体" w:hAnsi="宋体" w:eastAsiaTheme="minorEastAsia"/>
                    <w:szCs w:val="28"/>
                  </w:rPr>
                  <w:t xml:space="preserve">127,024 </w:t>
                </w:r>
              </w:p>
            </w:tc>
            <w:tc>
              <w:tcPr>
                <w:tcW w:w="1471"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autoSpaceDE w:val="0"/>
                  <w:autoSpaceDN w:val="0"/>
                  <w:adjustRightInd w:val="0"/>
                  <w:jc w:val="right"/>
                  <w:rPr>
                    <w:rFonts w:ascii="宋体" w:hAnsi="宋体" w:eastAsia="宋体"/>
                    <w:szCs w:val="28"/>
                  </w:rPr>
                </w:pPr>
                <w:r>
                  <w:rPr>
                    <w:rFonts w:ascii="宋体" w:hAnsi="宋体" w:eastAsiaTheme="minorEastAsia"/>
                    <w:szCs w:val="28"/>
                  </w:rPr>
                  <w:t xml:space="preserve">135,439 </w:t>
                </w:r>
              </w:p>
            </w:tc>
            <w:tc>
              <w:tcPr>
                <w:tcW w:w="1167"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autoSpaceDE w:val="0"/>
                  <w:autoSpaceDN w:val="0"/>
                  <w:adjustRightInd w:val="0"/>
                  <w:jc w:val="right"/>
                  <w:rPr>
                    <w:rFonts w:ascii="宋体" w:hAnsi="宋体" w:eastAsia="宋体"/>
                    <w:szCs w:val="28"/>
                  </w:rPr>
                </w:pPr>
                <w:r>
                  <w:rPr>
                    <w:rFonts w:ascii="宋体" w:hAnsi="宋体" w:eastAsiaTheme="minorEastAsia"/>
                    <w:szCs w:val="28"/>
                  </w:rPr>
                  <w:t xml:space="preserve">-8,416 </w:t>
                </w:r>
              </w:p>
            </w:tc>
            <w:tc>
              <w:tcPr>
                <w:tcW w:w="128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kinsoku w:val="0"/>
                  <w:overflowPunct w:val="0"/>
                  <w:autoSpaceDE w:val="0"/>
                  <w:autoSpaceDN w:val="0"/>
                  <w:adjustRightInd w:val="0"/>
                  <w:spacing w:before="4"/>
                  <w:ind w:right="-3"/>
                  <w:jc w:val="right"/>
                  <w:rPr>
                    <w:rFonts w:ascii="宋体" w:hAnsi="宋体" w:eastAsia="宋体"/>
                    <w:szCs w:val="28"/>
                  </w:rPr>
                </w:pPr>
                <w:r>
                  <w:rPr>
                    <w:rFonts w:ascii="宋体" w:hAnsi="宋体" w:eastAsiaTheme="minorEastAsia"/>
                    <w:szCs w:val="28"/>
                  </w:rPr>
                  <w:t xml:space="preserve">-6.21 </w:t>
                </w:r>
              </w:p>
            </w:tc>
          </w:tr>
          <w:tr>
            <w:tblPrEx>
              <w:tblCellMar>
                <w:top w:w="0" w:type="dxa"/>
                <w:left w:w="0" w:type="dxa"/>
                <w:bottom w:w="0" w:type="dxa"/>
                <w:right w:w="0" w:type="dxa"/>
              </w:tblCellMar>
            </w:tblPrEx>
            <w:trPr>
              <w:trHeight w:val="358" w:hRule="exact"/>
              <w:jc w:val="center"/>
            </w:trPr>
            <w:tc>
              <w:tcPr>
                <w:tcW w:w="9050"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kinsoku w:val="0"/>
                  <w:overflowPunct w:val="0"/>
                  <w:autoSpaceDE w:val="0"/>
                  <w:autoSpaceDN w:val="0"/>
                  <w:adjustRightInd w:val="0"/>
                  <w:spacing w:before="4"/>
                  <w:ind w:left="102"/>
                  <w:rPr>
                    <w:rFonts w:ascii="宋体" w:hAnsi="宋体" w:eastAsia="宋体" w:cs="Arial"/>
                    <w:szCs w:val="28"/>
                  </w:rPr>
                </w:pPr>
                <w:r>
                  <w:rPr>
                    <w:rFonts w:hint="eastAsia" w:ascii="宋体" w:hAnsi="宋体" w:eastAsia="宋体"/>
                    <w:b/>
                    <w:bCs/>
                    <w:szCs w:val="21"/>
                  </w:rPr>
                  <w:t>2</w:t>
                </w:r>
                <w:r>
                  <w:rPr>
                    <w:rFonts w:ascii="宋体" w:hAnsi="宋体" w:eastAsia="宋体"/>
                    <w:b/>
                    <w:bCs/>
                    <w:szCs w:val="21"/>
                  </w:rPr>
                  <w:t>.</w:t>
                </w:r>
                <w:r>
                  <w:rPr>
                    <w:rFonts w:hint="eastAsia" w:ascii="宋体" w:hAnsi="宋体" w:eastAsia="宋体"/>
                    <w:b/>
                    <w:bCs/>
                    <w:szCs w:val="21"/>
                  </w:rPr>
                  <w:t>煤化工业务</w:t>
                </w:r>
              </w:p>
            </w:tc>
          </w:tr>
          <w:tr>
            <w:tblPrEx>
              <w:tblCellMar>
                <w:top w:w="0" w:type="dxa"/>
                <w:left w:w="0" w:type="dxa"/>
                <w:bottom w:w="0" w:type="dxa"/>
                <w:right w:w="0" w:type="dxa"/>
              </w:tblCellMar>
            </w:tblPrEx>
            <w:trPr>
              <w:trHeight w:val="358" w:hRule="exact"/>
              <w:jc w:val="center"/>
            </w:trPr>
            <w:tc>
              <w:tcPr>
                <w:tcW w:w="2142"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4"/>
                  <w:ind w:left="328"/>
                  <w:rPr>
                    <w:rFonts w:ascii="宋体" w:hAnsi="宋体" w:eastAsia="宋体"/>
                    <w:szCs w:val="21"/>
                  </w:rPr>
                </w:pPr>
                <w:r>
                  <w:rPr>
                    <w:rFonts w:hint="eastAsia" w:ascii="宋体" w:hAnsi="宋体" w:eastAsia="宋体"/>
                    <w:szCs w:val="21"/>
                  </w:rPr>
                  <w:t>化工产品产量</w:t>
                </w:r>
              </w:p>
            </w:tc>
            <w:tc>
              <w:tcPr>
                <w:tcW w:w="155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szCs w:val="21"/>
                  </w:rPr>
                </w:pPr>
                <w:r>
                  <w:rPr>
                    <w:rFonts w:hint="eastAsia" w:ascii="宋体" w:hAnsi="宋体" w:eastAsia="宋体"/>
                    <w:szCs w:val="21"/>
                  </w:rPr>
                  <w:t>千吨</w:t>
                </w:r>
              </w:p>
            </w:tc>
            <w:tc>
              <w:tcPr>
                <w:tcW w:w="1426"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8,587 </w:t>
                </w:r>
              </w:p>
            </w:tc>
            <w:tc>
              <w:tcPr>
                <w:tcW w:w="1471"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7,880 </w:t>
                </w:r>
              </w:p>
            </w:tc>
            <w:tc>
              <w:tcPr>
                <w:tcW w:w="1167"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707 </w:t>
                </w:r>
              </w:p>
            </w:tc>
            <w:tc>
              <w:tcPr>
                <w:tcW w:w="1289"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8.97 </w:t>
                </w:r>
              </w:p>
            </w:tc>
          </w:tr>
          <w:tr>
            <w:tblPrEx>
              <w:tblCellMar>
                <w:top w:w="0" w:type="dxa"/>
                <w:left w:w="0" w:type="dxa"/>
                <w:bottom w:w="0" w:type="dxa"/>
                <w:right w:w="0" w:type="dxa"/>
              </w:tblCellMar>
            </w:tblPrEx>
            <w:trPr>
              <w:trHeight w:val="358" w:hRule="exact"/>
              <w:jc w:val="center"/>
            </w:trPr>
            <w:tc>
              <w:tcPr>
                <w:tcW w:w="2142"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4"/>
                  <w:ind w:left="328"/>
                  <w:rPr>
                    <w:rFonts w:ascii="宋体" w:hAnsi="宋体" w:eastAsia="宋体"/>
                    <w:szCs w:val="21"/>
                  </w:rPr>
                </w:pPr>
                <w:r>
                  <w:rPr>
                    <w:rFonts w:hint="eastAsia" w:ascii="宋体" w:hAnsi="宋体" w:eastAsia="宋体"/>
                    <w:szCs w:val="21"/>
                  </w:rPr>
                  <w:t>化工产品销量</w:t>
                </w:r>
              </w:p>
            </w:tc>
            <w:tc>
              <w:tcPr>
                <w:tcW w:w="155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szCs w:val="21"/>
                  </w:rPr>
                </w:pPr>
                <w:r>
                  <w:rPr>
                    <w:rFonts w:hint="eastAsia" w:ascii="宋体" w:hAnsi="宋体" w:eastAsia="宋体"/>
                    <w:szCs w:val="21"/>
                  </w:rPr>
                  <w:t>千吨</w:t>
                </w:r>
              </w:p>
            </w:tc>
            <w:tc>
              <w:tcPr>
                <w:tcW w:w="1426"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7,862 </w:t>
                </w:r>
              </w:p>
            </w:tc>
            <w:tc>
              <w:tcPr>
                <w:tcW w:w="1471"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7,304 </w:t>
                </w:r>
              </w:p>
            </w:tc>
            <w:tc>
              <w:tcPr>
                <w:tcW w:w="1167"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558 </w:t>
                </w:r>
              </w:p>
            </w:tc>
            <w:tc>
              <w:tcPr>
                <w:tcW w:w="1289"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7.64 </w:t>
                </w:r>
              </w:p>
            </w:tc>
          </w:tr>
          <w:tr>
            <w:tblPrEx>
              <w:tblCellMar>
                <w:top w:w="0" w:type="dxa"/>
                <w:left w:w="0" w:type="dxa"/>
                <w:bottom w:w="0" w:type="dxa"/>
                <w:right w:w="0" w:type="dxa"/>
              </w:tblCellMar>
            </w:tblPrEx>
            <w:trPr>
              <w:trHeight w:val="360" w:hRule="exact"/>
              <w:jc w:val="center"/>
            </w:trPr>
            <w:tc>
              <w:tcPr>
                <w:tcW w:w="9050" w:type="dxa"/>
                <w:gridSpan w:val="6"/>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kinsoku w:val="0"/>
                  <w:overflowPunct w:val="0"/>
                  <w:autoSpaceDE w:val="0"/>
                  <w:autoSpaceDN w:val="0"/>
                  <w:adjustRightInd w:val="0"/>
                  <w:spacing w:before="4"/>
                  <w:ind w:left="103"/>
                  <w:rPr>
                    <w:rFonts w:ascii="宋体" w:hAnsi="宋体" w:eastAsia="宋体" w:cs="Arial"/>
                    <w:szCs w:val="28"/>
                  </w:rPr>
                </w:pPr>
                <w:r>
                  <w:rPr>
                    <w:rFonts w:hint="eastAsia" w:ascii="宋体" w:hAnsi="宋体" w:eastAsia="宋体"/>
                    <w:b/>
                    <w:bCs/>
                    <w:szCs w:val="21"/>
                  </w:rPr>
                  <w:t>3</w:t>
                </w:r>
                <w:r>
                  <w:rPr>
                    <w:rFonts w:ascii="宋体" w:hAnsi="宋体" w:eastAsia="宋体"/>
                    <w:b/>
                    <w:bCs/>
                    <w:szCs w:val="21"/>
                  </w:rPr>
                  <w:t>.</w:t>
                </w:r>
                <w:r>
                  <w:rPr>
                    <w:rFonts w:hint="eastAsia" w:ascii="宋体" w:hAnsi="宋体" w:eastAsia="宋体"/>
                    <w:b/>
                    <w:bCs/>
                    <w:szCs w:val="21"/>
                  </w:rPr>
                  <w:t>电力业务</w:t>
                </w:r>
              </w:p>
            </w:tc>
          </w:tr>
          <w:tr>
            <w:tblPrEx>
              <w:tblCellMar>
                <w:top w:w="0" w:type="dxa"/>
                <w:left w:w="0" w:type="dxa"/>
                <w:bottom w:w="0" w:type="dxa"/>
                <w:right w:w="0" w:type="dxa"/>
              </w:tblCellMar>
            </w:tblPrEx>
            <w:trPr>
              <w:trHeight w:val="358" w:hRule="exact"/>
              <w:jc w:val="center"/>
            </w:trPr>
            <w:tc>
              <w:tcPr>
                <w:tcW w:w="2142"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4"/>
                  <w:ind w:left="328"/>
                  <w:rPr>
                    <w:rFonts w:ascii="宋体" w:hAnsi="宋体" w:eastAsia="宋体"/>
                    <w:szCs w:val="21"/>
                  </w:rPr>
                </w:pPr>
                <w:r>
                  <w:rPr>
                    <w:rFonts w:hint="eastAsia" w:ascii="宋体" w:hAnsi="宋体" w:eastAsia="宋体"/>
                    <w:szCs w:val="21"/>
                  </w:rPr>
                  <w:t>发电量</w:t>
                </w:r>
              </w:p>
            </w:tc>
            <w:tc>
              <w:tcPr>
                <w:tcW w:w="155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szCs w:val="21"/>
                  </w:rPr>
                </w:pPr>
                <w:r>
                  <w:rPr>
                    <w:rFonts w:hint="eastAsia" w:ascii="宋体" w:hAnsi="宋体" w:eastAsia="宋体"/>
                    <w:szCs w:val="21"/>
                  </w:rPr>
                  <w:t>万千瓦时</w:t>
                </w:r>
              </w:p>
            </w:tc>
            <w:tc>
              <w:tcPr>
                <w:tcW w:w="1426"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840,351 </w:t>
                </w:r>
              </w:p>
            </w:tc>
            <w:tc>
              <w:tcPr>
                <w:tcW w:w="1471"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837,252 </w:t>
                </w:r>
              </w:p>
            </w:tc>
            <w:tc>
              <w:tcPr>
                <w:tcW w:w="1167"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3,099 </w:t>
                </w:r>
              </w:p>
            </w:tc>
            <w:tc>
              <w:tcPr>
                <w:tcW w:w="1289"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0.37 </w:t>
                </w:r>
              </w:p>
            </w:tc>
          </w:tr>
          <w:tr>
            <w:tblPrEx>
              <w:tblCellMar>
                <w:top w:w="0" w:type="dxa"/>
                <w:left w:w="0" w:type="dxa"/>
                <w:bottom w:w="0" w:type="dxa"/>
                <w:right w:w="0" w:type="dxa"/>
              </w:tblCellMar>
            </w:tblPrEx>
            <w:trPr>
              <w:trHeight w:val="358" w:hRule="exact"/>
              <w:jc w:val="center"/>
            </w:trPr>
            <w:tc>
              <w:tcPr>
                <w:tcW w:w="2142"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4"/>
                  <w:ind w:left="328"/>
                  <w:rPr>
                    <w:rFonts w:ascii="宋体" w:hAnsi="宋体" w:eastAsia="宋体"/>
                    <w:szCs w:val="21"/>
                  </w:rPr>
                </w:pPr>
                <w:r>
                  <w:rPr>
                    <w:rFonts w:hint="eastAsia" w:ascii="宋体" w:hAnsi="宋体" w:eastAsia="宋体"/>
                    <w:szCs w:val="21"/>
                  </w:rPr>
                  <w:t>售电量</w:t>
                </w:r>
              </w:p>
            </w:tc>
            <w:tc>
              <w:tcPr>
                <w:tcW w:w="155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jc w:val="center"/>
                  <w:rPr>
                    <w:rFonts w:ascii="宋体" w:hAnsi="宋体" w:eastAsia="宋体"/>
                    <w:szCs w:val="21"/>
                  </w:rPr>
                </w:pPr>
                <w:r>
                  <w:rPr>
                    <w:rFonts w:hint="eastAsia" w:ascii="宋体" w:hAnsi="宋体" w:eastAsia="宋体"/>
                    <w:szCs w:val="21"/>
                  </w:rPr>
                  <w:t>万千瓦时</w:t>
                </w:r>
              </w:p>
            </w:tc>
            <w:tc>
              <w:tcPr>
                <w:tcW w:w="1426"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710,722 </w:t>
                </w:r>
              </w:p>
            </w:tc>
            <w:tc>
              <w:tcPr>
                <w:tcW w:w="1471"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726,428 </w:t>
                </w:r>
              </w:p>
            </w:tc>
            <w:tc>
              <w:tcPr>
                <w:tcW w:w="1167"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-15,706 </w:t>
                </w:r>
              </w:p>
            </w:tc>
            <w:tc>
              <w:tcPr>
                <w:tcW w:w="1289" w:type="dxa"/>
                <w:tcBorders>
                  <w:top w:val="single" w:color="000000" w:sz="4" w:space="0"/>
                  <w:left w:val="single" w:color="000000" w:sz="4" w:space="0"/>
                  <w:bottom w:val="single" w:color="000000" w:sz="4" w:space="0"/>
                  <w:right w:val="single" w:color="000000" w:sz="4" w:space="0"/>
                </w:tcBorders>
                <w:tcMar>
                  <w:left w:w="108" w:type="dxa"/>
                  <w:right w:w="108" w:type="dxa"/>
                </w:tcMar>
              </w:tcPr>
              <w:p>
                <w:pPr>
                  <w:autoSpaceDE w:val="0"/>
                  <w:autoSpaceDN w:val="0"/>
                  <w:adjustRightInd w:val="0"/>
                  <w:jc w:val="right"/>
                  <w:rPr>
                    <w:rFonts w:ascii="宋体" w:hAnsi="宋体" w:eastAsia="宋体"/>
                    <w:szCs w:val="28"/>
                  </w:rPr>
                </w:pPr>
                <w:r>
                  <w:rPr>
                    <w:rFonts w:ascii="宋体" w:hAnsi="宋体" w:eastAsiaTheme="minorEastAsia"/>
                    <w:szCs w:val="28"/>
                  </w:rPr>
                  <w:t xml:space="preserve">-2.16 </w:t>
                </w:r>
              </w:p>
            </w:tc>
          </w:tr>
        </w:tbl>
        <w:p>
          <w:pPr>
            <w:autoSpaceDE w:val="0"/>
            <w:autoSpaceDN w:val="0"/>
            <w:adjustRightInd w:val="0"/>
            <w:ind w:firstLine="420" w:firstLineChars="200"/>
            <w:rPr>
              <w:rFonts w:ascii="宋体" w:hAnsi="宋体"/>
            </w:rPr>
          </w:pPr>
          <w:r>
            <w:rPr>
              <w:rFonts w:hint="eastAsia" w:ascii="宋体" w:hAnsi="宋体"/>
            </w:rPr>
            <w:t>注：上表所示本集团商品煤主要包括动力煤、喷吹煤和焦煤。</w:t>
          </w:r>
        </w:p>
        <w:p>
          <w:pPr>
            <w:autoSpaceDE w:val="0"/>
            <w:autoSpaceDN w:val="0"/>
            <w:adjustRightInd w:val="0"/>
            <w:ind w:firstLine="420" w:firstLineChars="200"/>
            <w:rPr>
              <w:rFonts w:ascii="宋体" w:hAnsi="宋体"/>
            </w:rPr>
          </w:pPr>
        </w:p>
        <w:p>
          <w:pPr>
            <w:autoSpaceDE w:val="0"/>
            <w:autoSpaceDN w:val="0"/>
            <w:adjustRightInd w:val="0"/>
            <w:ind w:firstLine="420" w:firstLineChars="200"/>
            <w:rPr>
              <w:rFonts w:ascii="宋体" w:hAnsi="宋体"/>
            </w:rPr>
          </w:pPr>
          <w:r>
            <w:rPr>
              <w:rFonts w:hint="eastAsia" w:ascii="宋体" w:hAnsi="宋体"/>
            </w:rPr>
            <w:t>公司2</w:t>
          </w:r>
          <w:r>
            <w:rPr>
              <w:rFonts w:ascii="宋体" w:hAnsi="宋体"/>
            </w:rPr>
            <w:t>022</w:t>
          </w:r>
          <w:r>
            <w:rPr>
              <w:rFonts w:hint="eastAsia" w:ascii="宋体" w:hAnsi="宋体"/>
            </w:rPr>
            <w:t>年度报告披露的2</w:t>
          </w:r>
          <w:r>
            <w:rPr>
              <w:rFonts w:ascii="宋体" w:hAnsi="宋体"/>
            </w:rPr>
            <w:t>023</w:t>
          </w:r>
          <w:r>
            <w:rPr>
              <w:rFonts w:hint="eastAsia" w:ascii="宋体" w:hAnsi="宋体"/>
            </w:rPr>
            <w:t>年自产煤销量计划为1</w:t>
          </w:r>
          <w:r>
            <w:rPr>
              <w:rFonts w:ascii="宋体" w:hAnsi="宋体"/>
            </w:rPr>
            <w:t>.03</w:t>
          </w:r>
          <w:r>
            <w:rPr>
              <w:rFonts w:hint="eastAsia" w:ascii="宋体" w:hAnsi="宋体"/>
            </w:rPr>
            <w:t>亿吨。2</w:t>
          </w:r>
          <w:r>
            <w:rPr>
              <w:rFonts w:ascii="宋体" w:hAnsi="宋体"/>
            </w:rPr>
            <w:t>023</w:t>
          </w:r>
          <w:r>
            <w:rPr>
              <w:rFonts w:hint="eastAsia" w:ascii="宋体" w:hAnsi="宋体"/>
            </w:rPr>
            <w:t>年，本集团销售自产商品煤</w:t>
          </w:r>
          <w:r>
            <w:rPr>
              <w:rFonts w:ascii="宋体" w:hAnsi="宋体"/>
            </w:rPr>
            <w:t>12,097</w:t>
          </w:r>
          <w:r>
            <w:rPr>
              <w:rFonts w:hint="eastAsia" w:ascii="宋体" w:hAnsi="宋体"/>
            </w:rPr>
            <w:t xml:space="preserve">万吨。 </w:t>
          </w:r>
        </w:p>
      </w:sdtContent>
    </w:sdt>
    <w:p>
      <w:pPr>
        <w:rPr>
          <w:rFonts w:ascii="宋体" w:hAnsi="宋体"/>
        </w:rPr>
      </w:pPr>
    </w:p>
    <w:p>
      <w:pPr>
        <w:pStyle w:val="3"/>
        <w:numPr>
          <w:ilvl w:val="0"/>
          <w:numId w:val="7"/>
        </w:numPr>
        <w:ind w:left="369" w:hanging="369" w:hangingChars="175"/>
        <w:rPr>
          <w:rFonts w:ascii="宋体" w:hAnsi="宋体"/>
        </w:rPr>
      </w:pPr>
      <w:r>
        <w:rPr>
          <w:rFonts w:ascii="宋体" w:hAnsi="宋体"/>
        </w:rPr>
        <w:t>报告期内公司所处行业情况</w:t>
      </w:r>
    </w:p>
    <w:sdt>
      <w:sdtPr>
        <w:rPr>
          <w:rFonts w:hint="eastAsia"/>
        </w:rPr>
        <w:alias w:val="报告期内公司所处行业情况 "/>
        <w:tag w:val="_GBC_62343dd2540e4e58bef438888246bd32"/>
        <w:id w:val="-1101565703"/>
        <w:placeholder>
          <w:docPart w:val="GBC22222222222222222222222222222"/>
        </w:placeholder>
      </w:sdtPr>
      <w:sdtEndPr>
        <w:rPr>
          <w:rFonts w:hint="eastAsia"/>
        </w:rPr>
      </w:sdtEndPr>
      <w:sdtContent>
        <w:p>
          <w:pPr>
            <w:pStyle w:val="43"/>
            <w:ind w:firstLine="420" w:firstLineChars="200"/>
            <w:jc w:val="both"/>
          </w:pPr>
          <w:bookmarkStart w:id="21" w:name="_Hlk162124460"/>
          <w:r>
            <w:rPr>
              <w:rFonts w:hint="eastAsia"/>
            </w:rPr>
            <w:t>2023年中国煤炭优势产能继续释放，国际供应形势好转、进口煤大幅增长，整体供需形势呈现偏宽松格局，煤炭价格保持历史较高水平。煤化工行业市场供需同步增长，保持宽松格局，产品价格整体弱势运行。</w:t>
          </w:r>
        </w:p>
      </w:sdtContent>
    </w:sdt>
    <w:bookmarkEnd w:id="21"/>
    <w:p>
      <w:pPr>
        <w:pStyle w:val="43"/>
      </w:pPr>
    </w:p>
    <w:p>
      <w:pPr>
        <w:pStyle w:val="3"/>
        <w:numPr>
          <w:ilvl w:val="0"/>
          <w:numId w:val="7"/>
        </w:numPr>
        <w:ind w:left="369" w:hanging="369" w:hangingChars="175"/>
        <w:rPr>
          <w:rFonts w:ascii="宋体" w:hAnsi="宋体"/>
        </w:rPr>
      </w:pPr>
      <w:r>
        <w:rPr>
          <w:rFonts w:ascii="宋体" w:hAnsi="宋体"/>
        </w:rPr>
        <w:t>报告期内公司从事的业务情况</w:t>
      </w:r>
    </w:p>
    <w:sdt>
      <w:sdtPr>
        <w:alias w:val="报告期内公司从事的业务情况 "/>
        <w:tag w:val="_GBC_5c2ed6623d994f569eb07915af842807"/>
        <w:id w:val="1286777132"/>
        <w:placeholder>
          <w:docPart w:val="GBC22222222222222222222222222222"/>
        </w:placeholder>
      </w:sdtPr>
      <w:sdtContent>
        <w:p>
          <w:pPr>
            <w:pStyle w:val="43"/>
            <w:ind w:firstLine="420" w:firstLineChars="200"/>
            <w:jc w:val="both"/>
          </w:pPr>
          <w:bookmarkStart w:id="22" w:name="_Hlk162124454"/>
          <w:r>
            <w:rPr>
              <w:rFonts w:hint="eastAsia"/>
            </w:rPr>
            <w:t>（一）主要业务</w:t>
          </w:r>
        </w:p>
        <w:p>
          <w:pPr>
            <w:pStyle w:val="43"/>
            <w:ind w:firstLine="420" w:firstLineChars="200"/>
          </w:pPr>
          <w:r>
            <w:rPr>
              <w:rFonts w:hint="eastAsia"/>
            </w:rPr>
            <w:t>1.煤炭业务</w:t>
          </w:r>
        </w:p>
        <w:p>
          <w:pPr>
            <w:pStyle w:val="43"/>
            <w:ind w:firstLine="420" w:firstLineChars="200"/>
          </w:pPr>
          <w:r>
            <w:rPr>
              <w:rFonts w:hint="eastAsia"/>
            </w:rPr>
            <w:t>本集团煤炭业务主要分布在中国的山东省、陕西省、内蒙古自治区、新疆维吾尔自治区和澳大利亚；产品主要包括动力煤、喷吹煤和焦煤，适用于电力、冶金及化工等行业；产品主要销往中国的华东、华南、华中、华北、西北等地区及日本、韩国、澳大利亚、泰国等国家。</w:t>
          </w:r>
        </w:p>
        <w:p>
          <w:pPr>
            <w:pStyle w:val="43"/>
            <w:ind w:firstLine="420" w:firstLineChars="200"/>
          </w:pPr>
          <w:r>
            <w:rPr>
              <w:rFonts w:hint="eastAsia"/>
            </w:rPr>
            <w:t>2.煤化工业务</w:t>
          </w:r>
        </w:p>
        <w:p>
          <w:pPr>
            <w:pStyle w:val="43"/>
            <w:ind w:firstLine="420" w:firstLineChars="200"/>
            <w:jc w:val="both"/>
          </w:pPr>
          <w:r>
            <w:rPr>
              <w:rFonts w:hint="eastAsia"/>
            </w:rPr>
            <w:t>本集团煤化工业务主要分布在中国的山东省、陕西省、内蒙古自治区和新疆维吾尔自治区；产品主要包括甲醇、醋酸、醋酸乙酯、己内酰胺、石脑油、粗液体蜡等；产品主要销往中国的华北、华东、西北等地区。</w:t>
          </w:r>
        </w:p>
        <w:p>
          <w:pPr>
            <w:pStyle w:val="43"/>
            <w:ind w:firstLine="420" w:firstLineChars="200"/>
            <w:jc w:val="both"/>
          </w:pPr>
          <w:r>
            <w:rPr>
              <w:rFonts w:hint="eastAsia"/>
            </w:rPr>
            <w:t>（二）市场地位、竞争优势及业绩驱动因素</w:t>
          </w:r>
        </w:p>
        <w:p>
          <w:pPr>
            <w:pStyle w:val="43"/>
            <w:ind w:firstLine="420" w:firstLineChars="200"/>
          </w:pPr>
          <w:r>
            <w:rPr>
              <w:rFonts w:hint="eastAsia"/>
            </w:rPr>
            <w:t>本集团是中国和澳大利亚主要的煤炭生产商、销售商和贸易商之一，是华东地区最大煤炭生产商，国内动力煤龙头企业，所属兖煤澳洲是澳大利亚最大专营煤炭生产商。本集团拥有煤气化、煤液化等多条完整煤化工产业链，拥有全国首套百万吨级煤间接液化示范装置，醋酸产能位居全国前列。</w:t>
          </w:r>
        </w:p>
        <w:p>
          <w:pPr>
            <w:pStyle w:val="43"/>
            <w:ind w:firstLine="420" w:firstLineChars="200"/>
            <w:jc w:val="both"/>
          </w:pPr>
          <w:r>
            <w:rPr>
              <w:rFonts w:hint="eastAsia"/>
            </w:rPr>
            <w:t>2023年，煤炭市场震荡波动，价格保持中高位运行。本集团坚定落实发展战略，深化精益管理，针对性采取布局优化、项目并购等超常规举措，产业发展取得显著成效，经营业绩保持历史高位。</w:t>
          </w:r>
        </w:p>
      </w:sdtContent>
    </w:sdt>
    <w:bookmarkEnd w:id="22"/>
    <w:p>
      <w:pPr>
        <w:pStyle w:val="43"/>
      </w:pPr>
    </w:p>
    <w:p>
      <w:pPr>
        <w:pStyle w:val="3"/>
        <w:numPr>
          <w:ilvl w:val="0"/>
          <w:numId w:val="7"/>
        </w:numPr>
        <w:ind w:left="369" w:hanging="369" w:hangingChars="175"/>
        <w:rPr>
          <w:rFonts w:ascii="宋体" w:hAnsi="宋体"/>
        </w:rPr>
      </w:pPr>
      <w:r>
        <w:rPr>
          <w:rFonts w:hint="eastAsia" w:ascii="宋体" w:hAnsi="宋体"/>
        </w:rPr>
        <w:t>报告期内核心竞争力分析</w:t>
      </w:r>
    </w:p>
    <w:sdt>
      <w:sdtPr>
        <w:alias w:val="是否适用：报告期内核心竞争力分析[双击切换]"/>
        <w:tag w:val="_GBC_a03591f0f7444c9b8f5c55d6f75c3136"/>
        <w:id w:val="1727340789"/>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1425032634"/>
        <w:placeholder>
          <w:docPart w:val="GBC22222222222222222222222222222"/>
        </w:placeholder>
      </w:sdtPr>
      <w:sdtEndPr>
        <w:rPr>
          <w:rFonts w:hint="eastAsia"/>
        </w:rPr>
      </w:sdtEndPr>
      <w:sdtContent>
        <w:p>
          <w:pPr>
            <w:pStyle w:val="43"/>
            <w:ind w:firstLine="420" w:firstLineChars="200"/>
            <w:jc w:val="both"/>
          </w:pPr>
          <w:bookmarkStart w:id="23" w:name="_Hlk162124416"/>
          <w:r>
            <w:rPr>
              <w:rFonts w:hint="eastAsia"/>
              <w:b/>
              <w:bCs/>
            </w:rPr>
            <w:t>一是企业规模实力雄厚。</w:t>
          </w:r>
          <w:r>
            <w:rPr>
              <w:rFonts w:hint="eastAsia"/>
            </w:rPr>
            <w:t>本集团资产分布于山东、陕蒙、新疆、澳洲，煤炭原地资源量达到471亿吨（JORC标准），位居行业前列。本集团拥有境内外四地上市平台，是中国国际化程度、资本市场利用效率最高的能源上市公司之一，位列2023年《财富》中国上市公司500强第68位。</w:t>
          </w:r>
        </w:p>
        <w:p>
          <w:pPr>
            <w:pStyle w:val="43"/>
            <w:ind w:firstLine="422" w:firstLineChars="200"/>
            <w:jc w:val="both"/>
          </w:pPr>
          <w:r>
            <w:rPr>
              <w:rFonts w:hint="eastAsia"/>
              <w:b/>
              <w:bCs/>
            </w:rPr>
            <w:t>二是主导产业优势突出。</w:t>
          </w:r>
          <w:r>
            <w:rPr>
              <w:rFonts w:hint="eastAsia"/>
            </w:rPr>
            <w:t>报告期内，本集团坚持战略引领，坚定五大产业发展方向，持续优化区域布局和资源配置，筑牢高质量发展产业基石。矿业高质高效发展，商品煤产量位居行业前列，新增煤炭资源量266亿吨，做强高质量发展的产业支撑。智能矿山建设成效显著，矿井智能开采占比达到94%。高端化工新材料产业延链增值，己内酰胺节能减碳、聚甲醛增产扩能等项目加快推进，产业向延链补链、集群发展转型。高端装备制造产业建成运营鲁西智慧制造园区，收购欧洲装备制造公司搭建技术研发平台，技术、资源优势加速聚集。智慧物流产业实施资源整合，完善“产销储配送”物流体系，货运能力达到3亿吨/年。新能源产业坚持指标获取和项目建设同步推进，分布式光伏、源网荷储一体化等项目加快推进。</w:t>
          </w:r>
        </w:p>
        <w:p>
          <w:pPr>
            <w:pStyle w:val="43"/>
            <w:ind w:firstLine="422" w:firstLineChars="200"/>
            <w:jc w:val="both"/>
          </w:pPr>
          <w:r>
            <w:rPr>
              <w:rFonts w:hint="eastAsia"/>
              <w:b/>
              <w:bCs/>
            </w:rPr>
            <w:t>三是国际化发展成效显著。</w:t>
          </w:r>
          <w:r>
            <w:rPr>
              <w:rFonts w:hint="eastAsia"/>
            </w:rPr>
            <w:t>在海外布局了一批规模大、品质优、竞争力强的矿产资源，在澳洲拥有8座生产矿井，煤炭原地资源量87亿吨（JORC标准），</w:t>
          </w:r>
          <w:bookmarkStart w:id="24" w:name="_Hlk162188150"/>
          <w:r>
            <w:rPr>
              <w:rFonts w:hint="eastAsia"/>
            </w:rPr>
            <w:t>商品煤年产量达到</w:t>
          </w:r>
          <w:r>
            <w:t>3,887</w:t>
          </w:r>
          <w:r>
            <w:rPr>
              <w:rFonts w:hint="eastAsia"/>
            </w:rPr>
            <w:t>万吨，</w:t>
          </w:r>
          <w:bookmarkEnd w:id="24"/>
          <w:r>
            <w:rPr>
              <w:rFonts w:hint="eastAsia"/>
            </w:rPr>
            <w:t>成为澳大利亚最大专营煤炭生产商。</w:t>
          </w:r>
        </w:p>
        <w:p>
          <w:pPr>
            <w:pStyle w:val="43"/>
            <w:ind w:firstLine="422" w:firstLineChars="200"/>
            <w:jc w:val="both"/>
          </w:pPr>
          <w:r>
            <w:rPr>
              <w:rFonts w:hint="eastAsia"/>
              <w:b/>
              <w:bCs/>
            </w:rPr>
            <w:t>四是科技研发实力强劲。</w:t>
          </w:r>
          <w:r>
            <w:rPr>
              <w:rFonts w:hint="eastAsia"/>
            </w:rPr>
            <w:t>本集团拥有先进的煤气化、液化技术，科技部重大攻关项目“4000吨级煤气化示范装置”国际领先。研制应用世界首套8.2米超大采高综采装备；建成全球功能最全、加载能力最大的五万千牛液压支架整架试验台，填补国内超10米大型液压支架加载试验空白。拥有博士后科研工作站、煤矿智能开采研发中心等</w:t>
          </w:r>
          <w:r>
            <w:t>3</w:t>
          </w:r>
          <w:r>
            <w:rPr>
              <w:rFonts w:hint="eastAsia"/>
            </w:rPr>
            <w:t>个国家级研发平台，14个省部级研发平台，高新技术企业达到17家。</w:t>
          </w:r>
        </w:p>
      </w:sdtContent>
    </w:sdt>
    <w:bookmarkEnd w:id="23"/>
    <w:p>
      <w:pPr>
        <w:rPr>
          <w:rFonts w:ascii="宋体" w:hAnsi="宋体"/>
        </w:rPr>
      </w:pPr>
    </w:p>
    <w:p>
      <w:pPr>
        <w:pStyle w:val="3"/>
        <w:numPr>
          <w:ilvl w:val="0"/>
          <w:numId w:val="7"/>
        </w:numPr>
        <w:ind w:left="369" w:hanging="369" w:hangingChars="175"/>
        <w:rPr>
          <w:rFonts w:ascii="宋体" w:hAnsi="宋体"/>
        </w:rPr>
      </w:pPr>
      <w:r>
        <w:rPr>
          <w:rFonts w:hint="eastAsia" w:ascii="宋体" w:hAnsi="宋体"/>
        </w:rPr>
        <w:t>报告期内主要经营情况</w:t>
      </w:r>
    </w:p>
    <w:p>
      <w:pPr>
        <w:keepNext/>
        <w:keepLines/>
        <w:numPr>
          <w:ilvl w:val="0"/>
          <w:numId w:val="8"/>
        </w:numPr>
        <w:spacing w:before="60" w:after="60"/>
        <w:ind w:left="369" w:hanging="369" w:hangingChars="175"/>
        <w:outlineLvl w:val="2"/>
        <w:rPr>
          <w:rFonts w:ascii="宋体" w:hAnsi="宋体"/>
          <w:b/>
          <w:bCs/>
        </w:rPr>
      </w:pPr>
      <w:bookmarkStart w:id="25" w:name="_Hlk161862095"/>
      <w:r>
        <w:rPr>
          <w:rFonts w:hint="eastAsia" w:ascii="宋体" w:hAnsi="宋体"/>
          <w:b/>
          <w:bCs/>
        </w:rPr>
        <w:t>各业务分部经营情况</w:t>
      </w:r>
    </w:p>
    <w:bookmarkEnd w:id="25"/>
    <w:p>
      <w:pPr>
        <w:rPr>
          <w:rFonts w:ascii="宋体" w:hAnsi="宋体"/>
          <w:b/>
          <w:bCs/>
        </w:rPr>
      </w:pPr>
      <w:bookmarkStart w:id="26" w:name="_Hlk161862050"/>
      <w:r>
        <w:rPr>
          <w:rFonts w:hint="eastAsia" w:ascii="宋体" w:hAnsi="宋体"/>
          <w:b/>
          <w:bCs/>
        </w:rPr>
        <w:t>1</w:t>
      </w:r>
      <w:r>
        <w:rPr>
          <w:rFonts w:ascii="宋体" w:hAnsi="宋体"/>
          <w:b/>
          <w:bCs/>
        </w:rPr>
        <w:t>.</w:t>
      </w:r>
      <w:r>
        <w:rPr>
          <w:rFonts w:hint="eastAsia" w:ascii="宋体" w:hAnsi="宋体"/>
          <w:b/>
          <w:bCs/>
        </w:rPr>
        <w:t>煤炭业务</w:t>
      </w:r>
    </w:p>
    <w:p>
      <w:pPr>
        <w:rPr>
          <w:rFonts w:ascii="宋体" w:hAnsi="宋体"/>
          <w:b/>
          <w:bCs/>
        </w:rPr>
      </w:pPr>
      <w:r>
        <w:rPr>
          <w:rFonts w:hint="eastAsia" w:ascii="宋体" w:hAnsi="宋体"/>
          <w:b/>
          <w:bCs/>
        </w:rPr>
        <w:t>（1）煤炭产量</w:t>
      </w:r>
    </w:p>
    <w:p>
      <w:pPr>
        <w:ind w:firstLine="420" w:firstLineChars="200"/>
        <w:rPr>
          <w:rFonts w:ascii="宋体" w:hAnsi="宋体"/>
        </w:rPr>
      </w:pPr>
      <w:r>
        <w:rPr>
          <w:rFonts w:hint="eastAsia" w:ascii="宋体" w:hAnsi="宋体"/>
        </w:rPr>
        <w:t>202</w:t>
      </w:r>
      <w:r>
        <w:rPr>
          <w:rFonts w:ascii="宋体" w:hAnsi="宋体"/>
        </w:rPr>
        <w:t>3</w:t>
      </w:r>
      <w:r>
        <w:rPr>
          <w:rFonts w:hint="eastAsia" w:ascii="宋体" w:hAnsi="宋体"/>
        </w:rPr>
        <w:t>年本集团生产商品煤</w:t>
      </w:r>
      <w:r>
        <w:rPr>
          <w:rFonts w:ascii="宋体" w:hAnsi="宋体"/>
        </w:rPr>
        <w:t>13,211</w:t>
      </w:r>
      <w:r>
        <w:rPr>
          <w:rFonts w:hint="eastAsia" w:ascii="宋体" w:hAnsi="宋体"/>
        </w:rPr>
        <w:t>万吨，同比增加</w:t>
      </w:r>
      <w:r>
        <w:rPr>
          <w:rFonts w:ascii="宋体" w:hAnsi="宋体"/>
        </w:rPr>
        <w:t>80</w:t>
      </w:r>
      <w:r>
        <w:rPr>
          <w:rFonts w:hint="eastAsia" w:ascii="宋体" w:hAnsi="宋体"/>
        </w:rPr>
        <w:t>万吨或</w:t>
      </w:r>
      <w:r>
        <w:rPr>
          <w:rFonts w:ascii="宋体" w:hAnsi="宋体"/>
        </w:rPr>
        <w:t>0.6</w:t>
      </w:r>
      <w:r>
        <w:rPr>
          <w:rFonts w:hint="eastAsia" w:ascii="宋体" w:hAnsi="宋体"/>
        </w:rPr>
        <w:t>%</w:t>
      </w:r>
      <w:bookmarkStart w:id="27" w:name="_Hlk130143476"/>
      <w:r>
        <w:rPr>
          <w:rFonts w:hint="eastAsia" w:ascii="宋体" w:hAnsi="宋体"/>
        </w:rPr>
        <w:t>。</w:t>
      </w:r>
    </w:p>
    <w:bookmarkEnd w:id="27"/>
    <w:p>
      <w:pPr>
        <w:ind w:firstLine="420" w:firstLineChars="200"/>
        <w:rPr>
          <w:rFonts w:ascii="宋体" w:hAnsi="宋体"/>
        </w:rPr>
      </w:pPr>
      <w:r>
        <w:rPr>
          <w:rFonts w:hint="eastAsia" w:ascii="宋体" w:hAnsi="宋体"/>
        </w:rPr>
        <w:t>202</w:t>
      </w:r>
      <w:r>
        <w:rPr>
          <w:rFonts w:ascii="宋体" w:hAnsi="宋体"/>
        </w:rPr>
        <w:t>3</w:t>
      </w:r>
      <w:r>
        <w:rPr>
          <w:rFonts w:hint="eastAsia" w:ascii="宋体" w:hAnsi="宋体"/>
        </w:rPr>
        <w:t>年本集团商品煤产量如下表：</w:t>
      </w:r>
    </w:p>
    <w:p>
      <w:pPr>
        <w:ind w:right="210"/>
        <w:jc w:val="right"/>
        <w:rPr>
          <w:rFonts w:ascii="宋体" w:hAnsi="宋体"/>
        </w:rPr>
      </w:pPr>
      <w:r>
        <w:rPr>
          <w:rFonts w:hint="eastAsia" w:ascii="宋体" w:hAnsi="宋体"/>
        </w:rPr>
        <w:t>单位：</w:t>
      </w:r>
      <w:r>
        <w:rPr>
          <w:rFonts w:ascii="宋体" w:hAnsi="宋体"/>
        </w:rPr>
        <w:t>千吨</w:t>
      </w:r>
    </w:p>
    <w:tbl>
      <w:tblPr>
        <w:tblStyle w:val="117"/>
        <w:tblW w:w="8900" w:type="dxa"/>
        <w:tblInd w:w="0" w:type="dxa"/>
        <w:tblLayout w:type="autofit"/>
        <w:tblCellMar>
          <w:top w:w="0" w:type="dxa"/>
          <w:left w:w="108" w:type="dxa"/>
          <w:bottom w:w="0" w:type="dxa"/>
          <w:right w:w="108" w:type="dxa"/>
        </w:tblCellMar>
      </w:tblPr>
      <w:tblGrid>
        <w:gridCol w:w="2443"/>
        <w:gridCol w:w="1934"/>
        <w:gridCol w:w="1934"/>
        <w:gridCol w:w="1388"/>
        <w:gridCol w:w="1201"/>
      </w:tblGrid>
      <w:tr>
        <w:trPr>
          <w:cantSplit/>
        </w:trPr>
        <w:tc>
          <w:tcPr>
            <w:tcW w:w="2443" w:type="dxa"/>
            <w:tcBorders>
              <w:top w:val="single" w:color="auto" w:sz="4" w:space="0"/>
              <w:left w:val="single" w:color="auto" w:sz="4" w:space="0"/>
              <w:bottom w:val="single" w:color="auto" w:sz="4" w:space="0"/>
              <w:right w:val="single" w:color="auto" w:sz="4" w:space="0"/>
            </w:tcBorders>
          </w:tcPr>
          <w:p>
            <w:pPr>
              <w:jc w:val="center"/>
              <w:rPr>
                <w:rFonts w:ascii="宋体" w:hAnsi="宋体"/>
                <w:sz w:val="21"/>
                <w:szCs w:val="21"/>
              </w:rPr>
            </w:pPr>
            <w:r>
              <w:rPr>
                <w:rFonts w:hint="eastAsia" w:ascii="宋体" w:hAnsi="宋体"/>
                <w:sz w:val="21"/>
                <w:szCs w:val="21"/>
              </w:rPr>
              <w:t>项目</w:t>
            </w:r>
          </w:p>
        </w:tc>
        <w:tc>
          <w:tcPr>
            <w:tcW w:w="1934" w:type="dxa"/>
            <w:tcBorders>
              <w:top w:val="single" w:color="auto" w:sz="4" w:space="0"/>
              <w:left w:val="nil"/>
              <w:bottom w:val="single" w:color="auto" w:sz="4" w:space="0"/>
              <w:right w:val="single" w:color="auto" w:sz="4" w:space="0"/>
            </w:tcBorders>
          </w:tcPr>
          <w:p>
            <w:pPr>
              <w:jc w:val="center"/>
              <w:rPr>
                <w:rFonts w:ascii="宋体" w:hAnsi="宋体"/>
                <w:sz w:val="21"/>
                <w:szCs w:val="21"/>
              </w:rPr>
            </w:pPr>
            <w:r>
              <w:rPr>
                <w:rFonts w:hint="eastAsia" w:ascii="宋体" w:hAnsi="宋体"/>
                <w:sz w:val="21"/>
                <w:szCs w:val="21"/>
              </w:rPr>
              <w:t>202</w:t>
            </w:r>
            <w:r>
              <w:rPr>
                <w:rFonts w:ascii="宋体" w:hAnsi="宋体"/>
                <w:sz w:val="21"/>
                <w:szCs w:val="21"/>
              </w:rPr>
              <w:t>3</w:t>
            </w:r>
            <w:r>
              <w:rPr>
                <w:rFonts w:hint="eastAsia" w:ascii="宋体" w:hAnsi="宋体"/>
                <w:sz w:val="21"/>
                <w:szCs w:val="21"/>
              </w:rPr>
              <w:t>年</w:t>
            </w:r>
          </w:p>
        </w:tc>
        <w:tc>
          <w:tcPr>
            <w:tcW w:w="1934" w:type="dxa"/>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202</w:t>
            </w:r>
            <w:r>
              <w:rPr>
                <w:rFonts w:ascii="宋体" w:hAnsi="宋体"/>
                <w:sz w:val="21"/>
                <w:szCs w:val="21"/>
              </w:rPr>
              <w:t>2</w:t>
            </w:r>
            <w:r>
              <w:rPr>
                <w:rFonts w:hint="eastAsia" w:ascii="宋体" w:hAnsi="宋体"/>
                <w:sz w:val="21"/>
                <w:szCs w:val="21"/>
              </w:rPr>
              <w:t>年</w:t>
            </w:r>
          </w:p>
        </w:tc>
        <w:tc>
          <w:tcPr>
            <w:tcW w:w="1388" w:type="dxa"/>
            <w:tcBorders>
              <w:top w:val="single" w:color="auto" w:sz="4" w:space="0"/>
              <w:left w:val="nil"/>
              <w:bottom w:val="single" w:color="auto" w:sz="4" w:space="0"/>
              <w:right w:val="single" w:color="auto" w:sz="4" w:space="0"/>
            </w:tcBorders>
          </w:tcPr>
          <w:p>
            <w:pPr>
              <w:jc w:val="center"/>
              <w:rPr>
                <w:rFonts w:ascii="宋体" w:hAnsi="宋体"/>
                <w:sz w:val="21"/>
                <w:szCs w:val="21"/>
              </w:rPr>
            </w:pPr>
            <w:r>
              <w:rPr>
                <w:rFonts w:hint="eastAsia" w:ascii="宋体" w:hAnsi="宋体"/>
                <w:sz w:val="21"/>
                <w:szCs w:val="21"/>
              </w:rPr>
              <w:t>增减</w:t>
            </w:r>
          </w:p>
        </w:tc>
        <w:tc>
          <w:tcPr>
            <w:tcW w:w="1201" w:type="dxa"/>
            <w:tcBorders>
              <w:top w:val="single" w:color="auto" w:sz="4" w:space="0"/>
              <w:left w:val="nil"/>
              <w:bottom w:val="single" w:color="auto" w:sz="4" w:space="0"/>
              <w:right w:val="single" w:color="auto" w:sz="4" w:space="0"/>
            </w:tcBorders>
          </w:tcPr>
          <w:p>
            <w:pPr>
              <w:jc w:val="center"/>
              <w:rPr>
                <w:rFonts w:ascii="宋体" w:hAnsi="宋体"/>
                <w:sz w:val="21"/>
                <w:szCs w:val="21"/>
              </w:rPr>
            </w:pPr>
            <w:r>
              <w:rPr>
                <w:rFonts w:hint="eastAsia" w:ascii="宋体" w:hAnsi="宋体"/>
                <w:sz w:val="21"/>
                <w:szCs w:val="21"/>
              </w:rPr>
              <w:t>增减幅(%</w:t>
            </w:r>
            <w:r>
              <w:rPr>
                <w:rFonts w:ascii="宋体" w:hAnsi="宋体"/>
                <w:sz w:val="21"/>
                <w:szCs w:val="21"/>
              </w:rPr>
              <w:t>)</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一、公司</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23,978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24,947</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-969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-3.88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二、菏泽能化</w:t>
            </w:r>
            <w:r>
              <w:rPr>
                <w:rFonts w:hint="eastAsia" w:ascii="宋体" w:hAnsi="宋体"/>
                <w:sz w:val="21"/>
                <w:szCs w:val="21"/>
                <w:vertAlign w:val="superscript"/>
              </w:rPr>
              <w:t>①</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2,645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1,686</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959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56.88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三、鲁西矿业</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10,798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11,313</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-516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-4.56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四、天池能源</w:t>
            </w:r>
            <w:r>
              <w:rPr>
                <w:rFonts w:hint="eastAsia" w:ascii="宋体" w:hAnsi="宋体"/>
                <w:sz w:val="21"/>
                <w:szCs w:val="21"/>
                <w:vertAlign w:val="superscript"/>
              </w:rPr>
              <w:t>②</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1,201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1,086</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115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10.59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五、未来能源</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17,218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17,368</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-150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-0.86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六、鄂尔多斯公司</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9,614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11,711</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-2,097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-17.91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七、昊盛煤业</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4,601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4,284</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317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7.40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八、内蒙古矿业</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3,826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4,090</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-264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-6.45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九、新疆能化</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19,362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20,466</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-1,103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-5.39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十、兖煤澳洲</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33,412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29,435</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3,977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13.51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十一、兖煤国际</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5,453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4,922</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531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10.79 </w:t>
            </w:r>
          </w:p>
        </w:tc>
      </w:tr>
      <w:tr>
        <w:tblPrEx>
          <w:tblCellMar>
            <w:top w:w="0" w:type="dxa"/>
            <w:left w:w="108" w:type="dxa"/>
            <w:bottom w:w="0" w:type="dxa"/>
            <w:right w:w="108" w:type="dxa"/>
          </w:tblCellMar>
        </w:tblPrEx>
        <w:tc>
          <w:tcPr>
            <w:tcW w:w="24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lang w:val="en-GB"/>
              </w:rPr>
              <w:t>合计</w:t>
            </w:r>
          </w:p>
        </w:tc>
        <w:tc>
          <w:tcPr>
            <w:tcW w:w="1934" w:type="dxa"/>
            <w:tcBorders>
              <w:top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132,107 </w:t>
            </w:r>
          </w:p>
        </w:tc>
        <w:tc>
          <w:tcPr>
            <w:tcW w:w="19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131,306 </w:t>
            </w:r>
          </w:p>
        </w:tc>
        <w:tc>
          <w:tcPr>
            <w:tcW w:w="1388"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801 </w:t>
            </w:r>
          </w:p>
        </w:tc>
        <w:tc>
          <w:tcPr>
            <w:tcW w:w="1201"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0.61 </w:t>
            </w:r>
          </w:p>
        </w:tc>
      </w:tr>
    </w:tbl>
    <w:p>
      <w:pPr>
        <w:ind w:firstLine="420" w:firstLineChars="200"/>
        <w:rPr>
          <w:rFonts w:ascii="宋体" w:hAnsi="宋体"/>
        </w:rPr>
      </w:pPr>
      <w:r>
        <w:rPr>
          <w:rFonts w:hint="eastAsia" w:ascii="宋体" w:hAnsi="宋体"/>
        </w:rPr>
        <w:t>注：</w:t>
      </w:r>
    </w:p>
    <w:p>
      <w:pPr>
        <w:ind w:firstLine="420" w:firstLineChars="200"/>
        <w:rPr>
          <w:rFonts w:ascii="宋体" w:hAnsi="宋体"/>
        </w:rPr>
      </w:pPr>
      <w:r>
        <w:rPr>
          <w:rFonts w:hint="eastAsia" w:ascii="宋体" w:hAnsi="宋体"/>
        </w:rPr>
        <w:t>①菏泽能化商品煤产量同比增加，主要是由于：报告期内矿井工作面生产条件较上年同期有所改善，商品煤产量同比增加。</w:t>
      </w:r>
    </w:p>
    <w:p>
      <w:pPr>
        <w:ind w:firstLine="420" w:firstLineChars="200"/>
        <w:rPr>
          <w:rFonts w:ascii="宋体" w:hAnsi="宋体"/>
        </w:rPr>
      </w:pPr>
      <w:r>
        <w:rPr>
          <w:rFonts w:hint="eastAsia" w:ascii="宋体" w:hAnsi="宋体"/>
        </w:rPr>
        <w:t>②报告期内，兖州煤业山西能化有限公司将所持天池能源股权无偿划转至兖矿能源，天池能源继续管理运营天池煤矿。</w:t>
      </w:r>
    </w:p>
    <w:p>
      <w:pPr>
        <w:widowControl/>
        <w:jc w:val="left"/>
        <w:rPr>
          <w:rFonts w:ascii="宋体" w:hAnsi="宋体" w:cs="宋体"/>
          <w:kern w:val="0"/>
        </w:rPr>
      </w:pPr>
    </w:p>
    <w:p>
      <w:pPr>
        <w:rPr>
          <w:rFonts w:ascii="宋体" w:hAnsi="宋体"/>
          <w:b/>
          <w:bCs/>
        </w:rPr>
      </w:pPr>
      <w:r>
        <w:rPr>
          <w:rFonts w:hint="eastAsia" w:ascii="宋体" w:hAnsi="宋体"/>
          <w:b/>
          <w:bCs/>
        </w:rPr>
        <w:t>(2)煤炭价格与销售</w:t>
      </w:r>
    </w:p>
    <w:p>
      <w:pPr>
        <w:ind w:firstLine="420" w:firstLineChars="200"/>
        <w:rPr>
          <w:rFonts w:ascii="宋体" w:hAnsi="宋体"/>
        </w:rPr>
      </w:pPr>
      <w:r>
        <w:rPr>
          <w:rFonts w:hint="eastAsia" w:ascii="宋体" w:hAnsi="宋体"/>
        </w:rPr>
        <w:t>202</w:t>
      </w:r>
      <w:r>
        <w:rPr>
          <w:rFonts w:ascii="宋体" w:hAnsi="宋体"/>
        </w:rPr>
        <w:t>3</w:t>
      </w:r>
      <w:r>
        <w:rPr>
          <w:rFonts w:hint="eastAsia" w:ascii="宋体" w:hAnsi="宋体"/>
        </w:rPr>
        <w:t>年本集团销售煤炭</w:t>
      </w:r>
      <w:r>
        <w:rPr>
          <w:rFonts w:ascii="宋体" w:hAnsi="宋体"/>
        </w:rPr>
        <w:t>12,702</w:t>
      </w:r>
      <w:r>
        <w:rPr>
          <w:rFonts w:hint="eastAsia" w:ascii="宋体" w:hAnsi="宋体"/>
        </w:rPr>
        <w:t>万吨，同比减少</w:t>
      </w:r>
      <w:r>
        <w:rPr>
          <w:rFonts w:ascii="宋体" w:hAnsi="宋体"/>
        </w:rPr>
        <w:t>842</w:t>
      </w:r>
      <w:r>
        <w:rPr>
          <w:rFonts w:hint="eastAsia" w:ascii="宋体" w:hAnsi="宋体"/>
        </w:rPr>
        <w:t>万吨或</w:t>
      </w:r>
      <w:r>
        <w:rPr>
          <w:rFonts w:ascii="宋体" w:hAnsi="宋体"/>
        </w:rPr>
        <w:t>6.2</w:t>
      </w:r>
      <w:r>
        <w:rPr>
          <w:rFonts w:hint="eastAsia" w:ascii="宋体" w:hAnsi="宋体"/>
        </w:rPr>
        <w:t>%。</w:t>
      </w:r>
    </w:p>
    <w:p>
      <w:pPr>
        <w:ind w:firstLine="420" w:firstLineChars="200"/>
        <w:rPr>
          <w:rFonts w:ascii="宋体" w:hAnsi="宋体"/>
        </w:rPr>
      </w:pPr>
      <w:r>
        <w:rPr>
          <w:rFonts w:hint="eastAsia" w:ascii="宋体" w:hAnsi="宋体"/>
        </w:rPr>
        <w:t>202</w:t>
      </w:r>
      <w:r>
        <w:rPr>
          <w:rFonts w:ascii="宋体" w:hAnsi="宋体"/>
        </w:rPr>
        <w:t>3</w:t>
      </w:r>
      <w:r>
        <w:rPr>
          <w:rFonts w:hint="eastAsia" w:ascii="宋体" w:hAnsi="宋体"/>
        </w:rPr>
        <w:t>年本集团实现煤炭业务销售收入</w:t>
      </w:r>
      <w:r>
        <w:rPr>
          <w:rFonts w:ascii="宋体" w:hAnsi="宋体"/>
        </w:rPr>
        <w:t>1,020.19</w:t>
      </w:r>
      <w:r>
        <w:rPr>
          <w:rFonts w:hint="eastAsia" w:ascii="宋体" w:hAnsi="宋体"/>
        </w:rPr>
        <w:t>亿元，同比减少</w:t>
      </w:r>
      <w:r>
        <w:rPr>
          <w:rFonts w:ascii="宋体" w:hAnsi="宋体"/>
        </w:rPr>
        <w:t>439.71</w:t>
      </w:r>
      <w:r>
        <w:rPr>
          <w:rFonts w:hint="eastAsia" w:ascii="宋体" w:hAnsi="宋体"/>
        </w:rPr>
        <w:t>亿元或</w:t>
      </w:r>
      <w:r>
        <w:rPr>
          <w:rFonts w:ascii="宋体" w:hAnsi="宋体"/>
        </w:rPr>
        <w:t>30.1</w:t>
      </w:r>
      <w:r>
        <w:rPr>
          <w:rFonts w:hint="eastAsia" w:ascii="宋体" w:hAnsi="宋体"/>
        </w:rPr>
        <w:t>%</w:t>
      </w:r>
      <w:bookmarkStart w:id="28" w:name="_Hlk161763334"/>
      <w:r>
        <w:rPr>
          <w:rFonts w:hint="eastAsia" w:ascii="宋体" w:hAnsi="宋体"/>
        </w:rPr>
        <w:t>，主要是由于：煤炭销售价格同比下降。</w:t>
      </w:r>
      <w:bookmarkEnd w:id="28"/>
    </w:p>
    <w:p>
      <w:pPr>
        <w:ind w:firstLine="420" w:firstLineChars="200"/>
        <w:rPr>
          <w:rFonts w:ascii="宋体" w:hAnsi="宋体"/>
        </w:rPr>
      </w:pPr>
      <w:r>
        <w:rPr>
          <w:rFonts w:hint="eastAsia" w:ascii="宋体" w:hAnsi="宋体"/>
        </w:rPr>
        <w:t>202</w:t>
      </w:r>
      <w:r>
        <w:rPr>
          <w:rFonts w:ascii="宋体" w:hAnsi="宋体"/>
        </w:rPr>
        <w:t>3</w:t>
      </w:r>
      <w:r>
        <w:rPr>
          <w:rFonts w:hint="eastAsia" w:ascii="宋体" w:hAnsi="宋体"/>
        </w:rPr>
        <w:t>年本集团分煤种产、销情况如下表：</w:t>
      </w:r>
    </w:p>
    <w:p>
      <w:pPr>
        <w:pStyle w:val="43"/>
        <w:rPr>
          <w:szCs w:val="21"/>
        </w:rPr>
      </w:pPr>
    </w:p>
    <w:tbl>
      <w:tblPr>
        <w:tblStyle w:val="117"/>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838"/>
        <w:gridCol w:w="998"/>
        <w:gridCol w:w="992"/>
        <w:gridCol w:w="1134"/>
        <w:gridCol w:w="1276"/>
        <w:gridCol w:w="992"/>
        <w:gridCol w:w="992"/>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Merge w:val="restart"/>
            <w:vAlign w:val="center"/>
          </w:tcPr>
          <w:p>
            <w:pPr>
              <w:rPr>
                <w:rFonts w:ascii="宋体" w:hAnsi="宋体"/>
                <w:sz w:val="21"/>
                <w:szCs w:val="21"/>
              </w:rPr>
            </w:pPr>
            <w:bookmarkStart w:id="29" w:name="_Hlk2602699"/>
            <w:bookmarkEnd w:id="29"/>
          </w:p>
        </w:tc>
        <w:tc>
          <w:tcPr>
            <w:tcW w:w="4400" w:type="dxa"/>
            <w:gridSpan w:val="4"/>
            <w:vAlign w:val="center"/>
          </w:tcPr>
          <w:p>
            <w:pPr>
              <w:jc w:val="center"/>
              <w:rPr>
                <w:rFonts w:ascii="宋体" w:hAnsi="宋体"/>
                <w:sz w:val="21"/>
                <w:szCs w:val="21"/>
              </w:rPr>
            </w:pPr>
            <w:r>
              <w:rPr>
                <w:rFonts w:hint="eastAsia" w:ascii="宋体" w:hAnsi="宋体"/>
                <w:sz w:val="21"/>
                <w:szCs w:val="21"/>
              </w:rPr>
              <w:t>202</w:t>
            </w:r>
            <w:r>
              <w:rPr>
                <w:rFonts w:ascii="宋体" w:hAnsi="宋体"/>
                <w:sz w:val="21"/>
                <w:szCs w:val="21"/>
              </w:rPr>
              <w:t>3</w:t>
            </w:r>
            <w:r>
              <w:rPr>
                <w:rFonts w:hint="eastAsia" w:ascii="宋体" w:hAnsi="宋体"/>
                <w:sz w:val="21"/>
                <w:szCs w:val="21"/>
              </w:rPr>
              <w:t>年</w:t>
            </w:r>
          </w:p>
        </w:tc>
        <w:tc>
          <w:tcPr>
            <w:tcW w:w="4394" w:type="dxa"/>
            <w:gridSpan w:val="4"/>
            <w:vAlign w:val="center"/>
          </w:tcPr>
          <w:p>
            <w:pPr>
              <w:jc w:val="center"/>
              <w:rPr>
                <w:rFonts w:ascii="宋体" w:hAnsi="宋体"/>
                <w:sz w:val="21"/>
                <w:szCs w:val="21"/>
              </w:rPr>
            </w:pPr>
            <w:r>
              <w:rPr>
                <w:rFonts w:hint="eastAsia" w:ascii="宋体" w:hAnsi="宋体"/>
                <w:sz w:val="21"/>
                <w:szCs w:val="21"/>
              </w:rPr>
              <w:t>202</w:t>
            </w:r>
            <w:r>
              <w:rPr>
                <w:rFonts w:ascii="宋体" w:hAnsi="宋体"/>
                <w:sz w:val="21"/>
                <w:szCs w:val="21"/>
              </w:rPr>
              <w:t>2</w:t>
            </w:r>
            <w:r>
              <w:rPr>
                <w:rFonts w:hint="eastAsia" w:ascii="宋体" w:hAnsi="宋体"/>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Merge w:val="continue"/>
            <w:vAlign w:val="center"/>
          </w:tcPr>
          <w:p>
            <w:pPr>
              <w:rPr>
                <w:rFonts w:ascii="宋体" w:hAnsi="宋体"/>
                <w:sz w:val="21"/>
                <w:szCs w:val="21"/>
              </w:rPr>
            </w:pPr>
          </w:p>
        </w:tc>
        <w:tc>
          <w:tcPr>
            <w:tcW w:w="998" w:type="dxa"/>
            <w:vAlign w:val="center"/>
          </w:tcPr>
          <w:p>
            <w:pPr>
              <w:jc w:val="center"/>
              <w:rPr>
                <w:rFonts w:ascii="宋体" w:hAnsi="宋体"/>
                <w:sz w:val="21"/>
                <w:szCs w:val="21"/>
              </w:rPr>
            </w:pPr>
            <w:r>
              <w:rPr>
                <w:rFonts w:hint="eastAsia" w:ascii="宋体" w:hAnsi="宋体"/>
                <w:sz w:val="21"/>
                <w:szCs w:val="21"/>
              </w:rPr>
              <w:t>产量</w:t>
            </w:r>
          </w:p>
        </w:tc>
        <w:tc>
          <w:tcPr>
            <w:tcW w:w="992" w:type="dxa"/>
            <w:vAlign w:val="center"/>
          </w:tcPr>
          <w:p>
            <w:pPr>
              <w:jc w:val="center"/>
              <w:rPr>
                <w:rFonts w:ascii="宋体" w:hAnsi="宋体"/>
                <w:sz w:val="21"/>
                <w:szCs w:val="21"/>
              </w:rPr>
            </w:pPr>
            <w:r>
              <w:rPr>
                <w:rFonts w:hint="eastAsia" w:ascii="宋体" w:hAnsi="宋体"/>
                <w:sz w:val="21"/>
                <w:szCs w:val="21"/>
              </w:rPr>
              <w:t>销量</w:t>
            </w:r>
          </w:p>
        </w:tc>
        <w:tc>
          <w:tcPr>
            <w:tcW w:w="1134" w:type="dxa"/>
            <w:vAlign w:val="center"/>
          </w:tcPr>
          <w:p>
            <w:pPr>
              <w:jc w:val="center"/>
              <w:rPr>
                <w:rFonts w:ascii="宋体" w:hAnsi="宋体"/>
                <w:sz w:val="21"/>
                <w:szCs w:val="21"/>
              </w:rPr>
            </w:pPr>
            <w:r>
              <w:rPr>
                <w:rFonts w:hint="eastAsia" w:ascii="宋体" w:hAnsi="宋体"/>
                <w:sz w:val="21"/>
                <w:szCs w:val="21"/>
              </w:rPr>
              <w:t>销售价格</w:t>
            </w:r>
          </w:p>
        </w:tc>
        <w:tc>
          <w:tcPr>
            <w:tcW w:w="1276" w:type="dxa"/>
            <w:vAlign w:val="center"/>
          </w:tcPr>
          <w:p>
            <w:pPr>
              <w:jc w:val="center"/>
              <w:rPr>
                <w:rFonts w:ascii="宋体" w:hAnsi="宋体"/>
                <w:sz w:val="21"/>
                <w:szCs w:val="21"/>
              </w:rPr>
            </w:pPr>
            <w:r>
              <w:rPr>
                <w:rFonts w:hint="eastAsia" w:ascii="宋体" w:hAnsi="宋体"/>
                <w:sz w:val="21"/>
                <w:szCs w:val="21"/>
              </w:rPr>
              <w:t>销售收入</w:t>
            </w:r>
          </w:p>
        </w:tc>
        <w:tc>
          <w:tcPr>
            <w:tcW w:w="992" w:type="dxa"/>
            <w:vAlign w:val="center"/>
          </w:tcPr>
          <w:p>
            <w:pPr>
              <w:jc w:val="center"/>
              <w:rPr>
                <w:rFonts w:ascii="宋体" w:hAnsi="宋体"/>
                <w:sz w:val="21"/>
                <w:szCs w:val="21"/>
              </w:rPr>
            </w:pPr>
            <w:r>
              <w:rPr>
                <w:rFonts w:hint="eastAsia" w:ascii="宋体" w:hAnsi="宋体"/>
                <w:sz w:val="21"/>
                <w:szCs w:val="21"/>
              </w:rPr>
              <w:t>产量</w:t>
            </w:r>
          </w:p>
        </w:tc>
        <w:tc>
          <w:tcPr>
            <w:tcW w:w="992" w:type="dxa"/>
            <w:vAlign w:val="center"/>
          </w:tcPr>
          <w:p>
            <w:pPr>
              <w:jc w:val="center"/>
              <w:rPr>
                <w:rFonts w:ascii="宋体" w:hAnsi="宋体"/>
                <w:sz w:val="21"/>
                <w:szCs w:val="21"/>
              </w:rPr>
            </w:pPr>
            <w:r>
              <w:rPr>
                <w:rFonts w:hint="eastAsia" w:ascii="宋体" w:hAnsi="宋体"/>
                <w:sz w:val="21"/>
                <w:szCs w:val="21"/>
              </w:rPr>
              <w:t>销量</w:t>
            </w:r>
          </w:p>
        </w:tc>
        <w:tc>
          <w:tcPr>
            <w:tcW w:w="1134" w:type="dxa"/>
            <w:vAlign w:val="center"/>
          </w:tcPr>
          <w:p>
            <w:pPr>
              <w:jc w:val="center"/>
              <w:rPr>
                <w:rFonts w:ascii="宋体" w:hAnsi="宋体"/>
                <w:sz w:val="21"/>
                <w:szCs w:val="21"/>
              </w:rPr>
            </w:pPr>
            <w:r>
              <w:rPr>
                <w:rFonts w:hint="eastAsia" w:ascii="宋体" w:hAnsi="宋体"/>
                <w:sz w:val="21"/>
                <w:szCs w:val="21"/>
              </w:rPr>
              <w:t>销售价格</w:t>
            </w:r>
          </w:p>
        </w:tc>
        <w:tc>
          <w:tcPr>
            <w:tcW w:w="1276" w:type="dxa"/>
            <w:vAlign w:val="center"/>
          </w:tcPr>
          <w:p>
            <w:pPr>
              <w:jc w:val="center"/>
              <w:rPr>
                <w:rFonts w:ascii="宋体" w:hAnsi="宋体"/>
                <w:sz w:val="21"/>
                <w:szCs w:val="21"/>
              </w:rPr>
            </w:pPr>
            <w:r>
              <w:rPr>
                <w:rFonts w:hint="eastAsia" w:ascii="宋体" w:hAnsi="宋体"/>
                <w:sz w:val="21"/>
                <w:szCs w:val="21"/>
              </w:rPr>
              <w:t>销售收入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Merge w:val="continue"/>
            <w:vAlign w:val="center"/>
          </w:tcPr>
          <w:p>
            <w:pPr>
              <w:rPr>
                <w:rFonts w:ascii="宋体" w:hAnsi="宋体"/>
                <w:sz w:val="21"/>
                <w:szCs w:val="21"/>
              </w:rPr>
            </w:pPr>
          </w:p>
        </w:tc>
        <w:tc>
          <w:tcPr>
            <w:tcW w:w="998" w:type="dxa"/>
            <w:vAlign w:val="center"/>
          </w:tcPr>
          <w:p>
            <w:pPr>
              <w:jc w:val="center"/>
              <w:rPr>
                <w:rFonts w:ascii="宋体" w:hAnsi="宋体"/>
                <w:sz w:val="21"/>
                <w:szCs w:val="21"/>
              </w:rPr>
            </w:pPr>
            <w:r>
              <w:rPr>
                <w:rFonts w:hint="eastAsia" w:ascii="宋体" w:hAnsi="宋体"/>
                <w:sz w:val="21"/>
                <w:szCs w:val="21"/>
              </w:rPr>
              <w:t>（千吨）</w:t>
            </w:r>
          </w:p>
        </w:tc>
        <w:tc>
          <w:tcPr>
            <w:tcW w:w="992" w:type="dxa"/>
            <w:vAlign w:val="center"/>
          </w:tcPr>
          <w:p>
            <w:pPr>
              <w:jc w:val="center"/>
              <w:rPr>
                <w:rFonts w:ascii="宋体" w:hAnsi="宋体"/>
                <w:sz w:val="21"/>
                <w:szCs w:val="21"/>
              </w:rPr>
            </w:pPr>
            <w:r>
              <w:rPr>
                <w:rFonts w:hint="eastAsia" w:ascii="宋体" w:hAnsi="宋体"/>
                <w:sz w:val="21"/>
                <w:szCs w:val="21"/>
              </w:rPr>
              <w:t>（千吨）</w:t>
            </w:r>
          </w:p>
        </w:tc>
        <w:tc>
          <w:tcPr>
            <w:tcW w:w="1134" w:type="dxa"/>
            <w:vAlign w:val="center"/>
          </w:tcPr>
          <w:p>
            <w:pPr>
              <w:jc w:val="center"/>
              <w:rPr>
                <w:rFonts w:ascii="宋体" w:hAnsi="宋体"/>
                <w:sz w:val="21"/>
                <w:szCs w:val="21"/>
              </w:rPr>
            </w:pPr>
            <w:r>
              <w:rPr>
                <w:rFonts w:hint="eastAsia" w:ascii="宋体" w:hAnsi="宋体"/>
                <w:sz w:val="21"/>
                <w:szCs w:val="21"/>
              </w:rPr>
              <w:t>（元/吨）</w:t>
            </w:r>
          </w:p>
        </w:tc>
        <w:tc>
          <w:tcPr>
            <w:tcW w:w="1276" w:type="dxa"/>
            <w:vAlign w:val="center"/>
          </w:tcPr>
          <w:p>
            <w:pPr>
              <w:jc w:val="center"/>
              <w:rPr>
                <w:rFonts w:ascii="宋体" w:hAnsi="宋体"/>
                <w:sz w:val="21"/>
                <w:szCs w:val="21"/>
              </w:rPr>
            </w:pPr>
            <w:r>
              <w:rPr>
                <w:rFonts w:hint="eastAsia" w:ascii="宋体" w:hAnsi="宋体"/>
                <w:sz w:val="21"/>
                <w:szCs w:val="21"/>
              </w:rPr>
              <w:t>（百万元）</w:t>
            </w:r>
          </w:p>
        </w:tc>
        <w:tc>
          <w:tcPr>
            <w:tcW w:w="992" w:type="dxa"/>
            <w:vAlign w:val="center"/>
          </w:tcPr>
          <w:p>
            <w:pPr>
              <w:jc w:val="center"/>
              <w:rPr>
                <w:rFonts w:ascii="宋体" w:hAnsi="宋体"/>
                <w:sz w:val="21"/>
                <w:szCs w:val="21"/>
              </w:rPr>
            </w:pPr>
            <w:r>
              <w:rPr>
                <w:rFonts w:hint="eastAsia" w:ascii="宋体" w:hAnsi="宋体"/>
                <w:sz w:val="21"/>
                <w:szCs w:val="21"/>
              </w:rPr>
              <w:t>（千吨）</w:t>
            </w:r>
          </w:p>
        </w:tc>
        <w:tc>
          <w:tcPr>
            <w:tcW w:w="992" w:type="dxa"/>
            <w:vAlign w:val="center"/>
          </w:tcPr>
          <w:p>
            <w:pPr>
              <w:jc w:val="center"/>
              <w:rPr>
                <w:rFonts w:ascii="宋体" w:hAnsi="宋体"/>
                <w:sz w:val="21"/>
                <w:szCs w:val="21"/>
              </w:rPr>
            </w:pPr>
            <w:r>
              <w:rPr>
                <w:rFonts w:hint="eastAsia" w:ascii="宋体" w:hAnsi="宋体"/>
                <w:sz w:val="21"/>
                <w:szCs w:val="21"/>
              </w:rPr>
              <w:t>（千吨）</w:t>
            </w:r>
          </w:p>
        </w:tc>
        <w:tc>
          <w:tcPr>
            <w:tcW w:w="1134" w:type="dxa"/>
            <w:vAlign w:val="center"/>
          </w:tcPr>
          <w:p>
            <w:pPr>
              <w:jc w:val="center"/>
              <w:rPr>
                <w:rFonts w:ascii="宋体" w:hAnsi="宋体"/>
                <w:sz w:val="21"/>
                <w:szCs w:val="21"/>
              </w:rPr>
            </w:pPr>
            <w:r>
              <w:rPr>
                <w:rFonts w:hint="eastAsia" w:ascii="宋体" w:hAnsi="宋体"/>
                <w:sz w:val="21"/>
                <w:szCs w:val="21"/>
              </w:rPr>
              <w:t>（元/吨）</w:t>
            </w:r>
          </w:p>
        </w:tc>
        <w:tc>
          <w:tcPr>
            <w:tcW w:w="1276" w:type="dxa"/>
            <w:vAlign w:val="center"/>
          </w:tcPr>
          <w:p>
            <w:pPr>
              <w:jc w:val="center"/>
              <w:rPr>
                <w:rFonts w:ascii="宋体" w:hAnsi="宋体"/>
                <w:sz w:val="21"/>
                <w:szCs w:val="21"/>
              </w:rPr>
            </w:pPr>
            <w:r>
              <w:rPr>
                <w:rFonts w:hint="eastAsia" w:ascii="宋体" w:hAnsi="宋体"/>
                <w:sz w:val="21"/>
                <w:szCs w:val="21"/>
              </w:rPr>
              <w:t>（百万元）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rPr>
                <w:rFonts w:ascii="宋体" w:hAnsi="宋体"/>
                <w:sz w:val="21"/>
                <w:szCs w:val="21"/>
              </w:rPr>
            </w:pPr>
            <w:r>
              <w:rPr>
                <w:rFonts w:hint="eastAsia" w:ascii="宋体" w:hAnsi="宋体"/>
                <w:sz w:val="21"/>
                <w:szCs w:val="21"/>
              </w:rPr>
              <w:t>一、公司</w:t>
            </w:r>
          </w:p>
        </w:tc>
        <w:tc>
          <w:tcPr>
            <w:tcW w:w="998" w:type="dxa"/>
          </w:tcPr>
          <w:p>
            <w:pPr>
              <w:jc w:val="right"/>
              <w:rPr>
                <w:rFonts w:ascii="宋体" w:hAnsi="宋体"/>
                <w:sz w:val="21"/>
                <w:szCs w:val="21"/>
              </w:rPr>
            </w:pPr>
            <w:r>
              <w:rPr>
                <w:rFonts w:ascii="宋体" w:hAnsi="宋体"/>
                <w:sz w:val="21"/>
                <w:szCs w:val="21"/>
              </w:rPr>
              <w:t xml:space="preserve">23,978 </w:t>
            </w:r>
          </w:p>
        </w:tc>
        <w:tc>
          <w:tcPr>
            <w:tcW w:w="992" w:type="dxa"/>
            <w:shd w:val="clear" w:color="auto" w:fill="auto"/>
          </w:tcPr>
          <w:p>
            <w:pPr>
              <w:jc w:val="right"/>
              <w:rPr>
                <w:rFonts w:ascii="宋体" w:hAnsi="宋体"/>
                <w:sz w:val="21"/>
                <w:szCs w:val="21"/>
              </w:rPr>
            </w:pPr>
            <w:r>
              <w:rPr>
                <w:rFonts w:ascii="宋体" w:hAnsi="宋体"/>
                <w:sz w:val="21"/>
                <w:szCs w:val="21"/>
              </w:rPr>
              <w:t xml:space="preserve">22,956 </w:t>
            </w:r>
          </w:p>
        </w:tc>
        <w:tc>
          <w:tcPr>
            <w:tcW w:w="1134" w:type="dxa"/>
          </w:tcPr>
          <w:p>
            <w:pPr>
              <w:jc w:val="right"/>
              <w:rPr>
                <w:rFonts w:ascii="宋体" w:hAnsi="宋体"/>
                <w:sz w:val="21"/>
                <w:szCs w:val="21"/>
              </w:rPr>
            </w:pPr>
            <w:r>
              <w:rPr>
                <w:rFonts w:ascii="宋体" w:hAnsi="宋体"/>
                <w:sz w:val="21"/>
                <w:szCs w:val="21"/>
              </w:rPr>
              <w:t xml:space="preserve">909.06 </w:t>
            </w:r>
          </w:p>
        </w:tc>
        <w:tc>
          <w:tcPr>
            <w:tcW w:w="1276" w:type="dxa"/>
          </w:tcPr>
          <w:p>
            <w:pPr>
              <w:jc w:val="right"/>
              <w:rPr>
                <w:rFonts w:ascii="宋体" w:hAnsi="宋体"/>
                <w:sz w:val="21"/>
                <w:szCs w:val="21"/>
              </w:rPr>
            </w:pPr>
            <w:r>
              <w:rPr>
                <w:rFonts w:ascii="宋体" w:hAnsi="宋体"/>
                <w:sz w:val="21"/>
                <w:szCs w:val="21"/>
              </w:rPr>
              <w:t xml:space="preserve">20,868 </w:t>
            </w:r>
          </w:p>
        </w:tc>
        <w:tc>
          <w:tcPr>
            <w:tcW w:w="992" w:type="dxa"/>
            <w:vAlign w:val="center"/>
          </w:tcPr>
          <w:p>
            <w:pPr>
              <w:jc w:val="right"/>
              <w:rPr>
                <w:rFonts w:ascii="宋体" w:hAnsi="宋体"/>
                <w:sz w:val="21"/>
                <w:szCs w:val="21"/>
              </w:rPr>
            </w:pPr>
            <w:r>
              <w:rPr>
                <w:rFonts w:ascii="宋体" w:hAnsi="宋体"/>
                <w:sz w:val="21"/>
                <w:szCs w:val="21"/>
              </w:rPr>
              <w:t xml:space="preserve">24,947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25,058 </w:t>
            </w:r>
          </w:p>
        </w:tc>
        <w:tc>
          <w:tcPr>
            <w:tcW w:w="1134" w:type="dxa"/>
            <w:vAlign w:val="center"/>
          </w:tcPr>
          <w:p>
            <w:pPr>
              <w:jc w:val="right"/>
              <w:rPr>
                <w:rFonts w:ascii="宋体" w:hAnsi="宋体"/>
                <w:sz w:val="21"/>
                <w:szCs w:val="21"/>
              </w:rPr>
            </w:pPr>
            <w:r>
              <w:rPr>
                <w:rFonts w:ascii="宋体" w:hAnsi="宋体"/>
                <w:sz w:val="21"/>
                <w:szCs w:val="21"/>
              </w:rPr>
              <w:t xml:space="preserve">1,134.32 </w:t>
            </w:r>
          </w:p>
        </w:tc>
        <w:tc>
          <w:tcPr>
            <w:tcW w:w="1276" w:type="dxa"/>
            <w:vAlign w:val="center"/>
          </w:tcPr>
          <w:p>
            <w:pPr>
              <w:jc w:val="right"/>
              <w:rPr>
                <w:rFonts w:ascii="宋体" w:hAnsi="宋体"/>
                <w:sz w:val="21"/>
                <w:szCs w:val="21"/>
              </w:rPr>
            </w:pPr>
            <w:r>
              <w:rPr>
                <w:rFonts w:ascii="宋体" w:hAnsi="宋体"/>
                <w:sz w:val="21"/>
                <w:szCs w:val="21"/>
              </w:rPr>
              <w:t xml:space="preserve">28,424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1号精煤</w:t>
            </w:r>
          </w:p>
        </w:tc>
        <w:tc>
          <w:tcPr>
            <w:tcW w:w="998" w:type="dxa"/>
          </w:tcPr>
          <w:p>
            <w:pPr>
              <w:jc w:val="right"/>
              <w:rPr>
                <w:rFonts w:ascii="宋体" w:hAnsi="宋体"/>
                <w:sz w:val="21"/>
                <w:szCs w:val="21"/>
              </w:rPr>
            </w:pPr>
            <w:r>
              <w:rPr>
                <w:rFonts w:ascii="宋体" w:hAnsi="宋体"/>
                <w:sz w:val="21"/>
                <w:szCs w:val="21"/>
              </w:rPr>
              <w:t xml:space="preserve">450 </w:t>
            </w:r>
          </w:p>
        </w:tc>
        <w:tc>
          <w:tcPr>
            <w:tcW w:w="992" w:type="dxa"/>
            <w:shd w:val="clear" w:color="auto" w:fill="auto"/>
          </w:tcPr>
          <w:p>
            <w:pPr>
              <w:jc w:val="right"/>
              <w:rPr>
                <w:rFonts w:ascii="宋体" w:hAnsi="宋体"/>
                <w:sz w:val="21"/>
                <w:szCs w:val="21"/>
              </w:rPr>
            </w:pPr>
            <w:r>
              <w:rPr>
                <w:rFonts w:ascii="宋体" w:hAnsi="宋体"/>
                <w:sz w:val="21"/>
                <w:szCs w:val="21"/>
              </w:rPr>
              <w:t xml:space="preserve">457 </w:t>
            </w:r>
          </w:p>
        </w:tc>
        <w:tc>
          <w:tcPr>
            <w:tcW w:w="1134" w:type="dxa"/>
          </w:tcPr>
          <w:p>
            <w:pPr>
              <w:jc w:val="right"/>
              <w:rPr>
                <w:rFonts w:ascii="宋体" w:hAnsi="宋体"/>
                <w:sz w:val="21"/>
                <w:szCs w:val="21"/>
              </w:rPr>
            </w:pPr>
            <w:r>
              <w:rPr>
                <w:rFonts w:ascii="宋体" w:hAnsi="宋体"/>
                <w:sz w:val="21"/>
                <w:szCs w:val="21"/>
              </w:rPr>
              <w:t xml:space="preserve">1,419.01 </w:t>
            </w:r>
          </w:p>
        </w:tc>
        <w:tc>
          <w:tcPr>
            <w:tcW w:w="1276" w:type="dxa"/>
          </w:tcPr>
          <w:p>
            <w:pPr>
              <w:jc w:val="right"/>
              <w:rPr>
                <w:rFonts w:ascii="宋体" w:hAnsi="宋体"/>
                <w:sz w:val="21"/>
                <w:szCs w:val="21"/>
              </w:rPr>
            </w:pPr>
            <w:r>
              <w:rPr>
                <w:rFonts w:ascii="宋体" w:hAnsi="宋体"/>
                <w:sz w:val="21"/>
                <w:szCs w:val="21"/>
              </w:rPr>
              <w:t xml:space="preserve">649 </w:t>
            </w:r>
          </w:p>
        </w:tc>
        <w:tc>
          <w:tcPr>
            <w:tcW w:w="992" w:type="dxa"/>
            <w:vAlign w:val="center"/>
          </w:tcPr>
          <w:p>
            <w:pPr>
              <w:jc w:val="right"/>
              <w:rPr>
                <w:rFonts w:ascii="宋体" w:hAnsi="宋体"/>
                <w:sz w:val="21"/>
                <w:szCs w:val="21"/>
              </w:rPr>
            </w:pPr>
            <w:r>
              <w:rPr>
                <w:rFonts w:ascii="宋体" w:hAnsi="宋体"/>
                <w:sz w:val="21"/>
                <w:szCs w:val="21"/>
              </w:rPr>
              <w:t xml:space="preserve">729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764 </w:t>
            </w:r>
          </w:p>
        </w:tc>
        <w:tc>
          <w:tcPr>
            <w:tcW w:w="1134" w:type="dxa"/>
            <w:vAlign w:val="center"/>
          </w:tcPr>
          <w:p>
            <w:pPr>
              <w:jc w:val="right"/>
              <w:rPr>
                <w:rFonts w:ascii="宋体" w:hAnsi="宋体"/>
                <w:sz w:val="21"/>
                <w:szCs w:val="21"/>
              </w:rPr>
            </w:pPr>
            <w:r>
              <w:rPr>
                <w:rFonts w:ascii="宋体" w:hAnsi="宋体"/>
                <w:sz w:val="21"/>
                <w:szCs w:val="21"/>
              </w:rPr>
              <w:t xml:space="preserve">1,733.28 </w:t>
            </w:r>
          </w:p>
        </w:tc>
        <w:tc>
          <w:tcPr>
            <w:tcW w:w="1276" w:type="dxa"/>
            <w:vAlign w:val="center"/>
          </w:tcPr>
          <w:p>
            <w:pPr>
              <w:jc w:val="right"/>
              <w:rPr>
                <w:rFonts w:ascii="宋体" w:hAnsi="宋体"/>
                <w:sz w:val="21"/>
                <w:szCs w:val="21"/>
              </w:rPr>
            </w:pPr>
            <w:r>
              <w:rPr>
                <w:rFonts w:ascii="宋体" w:hAnsi="宋体"/>
                <w:sz w:val="21"/>
                <w:szCs w:val="21"/>
              </w:rPr>
              <w:t xml:space="preserve">1,324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2号精煤</w:t>
            </w:r>
          </w:p>
        </w:tc>
        <w:tc>
          <w:tcPr>
            <w:tcW w:w="998" w:type="dxa"/>
          </w:tcPr>
          <w:p>
            <w:pPr>
              <w:jc w:val="right"/>
              <w:rPr>
                <w:rFonts w:ascii="宋体" w:hAnsi="宋体"/>
                <w:sz w:val="21"/>
                <w:szCs w:val="21"/>
              </w:rPr>
            </w:pPr>
            <w:r>
              <w:rPr>
                <w:rFonts w:ascii="宋体" w:hAnsi="宋体"/>
                <w:sz w:val="21"/>
                <w:szCs w:val="21"/>
              </w:rPr>
              <w:t xml:space="preserve">7,679 </w:t>
            </w:r>
          </w:p>
        </w:tc>
        <w:tc>
          <w:tcPr>
            <w:tcW w:w="992" w:type="dxa"/>
            <w:shd w:val="clear" w:color="auto" w:fill="auto"/>
          </w:tcPr>
          <w:p>
            <w:pPr>
              <w:jc w:val="right"/>
              <w:rPr>
                <w:rFonts w:ascii="宋体" w:hAnsi="宋体"/>
                <w:sz w:val="21"/>
                <w:szCs w:val="21"/>
              </w:rPr>
            </w:pPr>
            <w:r>
              <w:rPr>
                <w:rFonts w:ascii="宋体" w:hAnsi="宋体"/>
                <w:sz w:val="21"/>
                <w:szCs w:val="21"/>
              </w:rPr>
              <w:t xml:space="preserve">7,636 </w:t>
            </w:r>
          </w:p>
        </w:tc>
        <w:tc>
          <w:tcPr>
            <w:tcW w:w="1134" w:type="dxa"/>
          </w:tcPr>
          <w:p>
            <w:pPr>
              <w:jc w:val="right"/>
              <w:rPr>
                <w:rFonts w:ascii="宋体" w:hAnsi="宋体"/>
                <w:sz w:val="21"/>
                <w:szCs w:val="21"/>
              </w:rPr>
            </w:pPr>
            <w:r>
              <w:rPr>
                <w:rFonts w:ascii="宋体" w:hAnsi="宋体"/>
                <w:sz w:val="21"/>
                <w:szCs w:val="21"/>
              </w:rPr>
              <w:t xml:space="preserve">1,368.22 </w:t>
            </w:r>
          </w:p>
        </w:tc>
        <w:tc>
          <w:tcPr>
            <w:tcW w:w="1276" w:type="dxa"/>
          </w:tcPr>
          <w:p>
            <w:pPr>
              <w:jc w:val="right"/>
              <w:rPr>
                <w:rFonts w:ascii="宋体" w:hAnsi="宋体"/>
                <w:sz w:val="21"/>
                <w:szCs w:val="21"/>
              </w:rPr>
            </w:pPr>
            <w:r>
              <w:rPr>
                <w:rFonts w:ascii="宋体" w:hAnsi="宋体"/>
                <w:sz w:val="21"/>
                <w:szCs w:val="21"/>
              </w:rPr>
              <w:t xml:space="preserve">10,447 </w:t>
            </w:r>
          </w:p>
        </w:tc>
        <w:tc>
          <w:tcPr>
            <w:tcW w:w="992" w:type="dxa"/>
            <w:vAlign w:val="center"/>
          </w:tcPr>
          <w:p>
            <w:pPr>
              <w:jc w:val="right"/>
              <w:rPr>
                <w:rFonts w:ascii="宋体" w:hAnsi="宋体"/>
                <w:sz w:val="21"/>
                <w:szCs w:val="21"/>
              </w:rPr>
            </w:pPr>
            <w:r>
              <w:rPr>
                <w:rFonts w:ascii="宋体" w:hAnsi="宋体"/>
                <w:sz w:val="21"/>
                <w:szCs w:val="21"/>
              </w:rPr>
              <w:t xml:space="preserve">8,060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8,492 </w:t>
            </w:r>
          </w:p>
        </w:tc>
        <w:tc>
          <w:tcPr>
            <w:tcW w:w="1134" w:type="dxa"/>
            <w:vAlign w:val="center"/>
          </w:tcPr>
          <w:p>
            <w:pPr>
              <w:jc w:val="right"/>
              <w:rPr>
                <w:rFonts w:ascii="宋体" w:hAnsi="宋体"/>
                <w:sz w:val="21"/>
                <w:szCs w:val="21"/>
              </w:rPr>
            </w:pPr>
            <w:r>
              <w:rPr>
                <w:rFonts w:ascii="宋体" w:hAnsi="宋体"/>
                <w:sz w:val="21"/>
                <w:szCs w:val="21"/>
              </w:rPr>
              <w:t xml:space="preserve">1,670.59 </w:t>
            </w:r>
          </w:p>
        </w:tc>
        <w:tc>
          <w:tcPr>
            <w:tcW w:w="1276" w:type="dxa"/>
            <w:vAlign w:val="center"/>
          </w:tcPr>
          <w:p>
            <w:pPr>
              <w:jc w:val="right"/>
              <w:rPr>
                <w:rFonts w:ascii="宋体" w:hAnsi="宋体"/>
                <w:sz w:val="21"/>
                <w:szCs w:val="21"/>
              </w:rPr>
            </w:pPr>
            <w:r>
              <w:rPr>
                <w:rFonts w:ascii="宋体" w:hAnsi="宋体"/>
                <w:sz w:val="21"/>
                <w:szCs w:val="21"/>
              </w:rPr>
              <w:t xml:space="preserve">14,186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3号精煤</w:t>
            </w:r>
          </w:p>
        </w:tc>
        <w:tc>
          <w:tcPr>
            <w:tcW w:w="998" w:type="dxa"/>
          </w:tcPr>
          <w:p>
            <w:pPr>
              <w:jc w:val="right"/>
              <w:rPr>
                <w:rFonts w:ascii="宋体" w:hAnsi="宋体"/>
                <w:sz w:val="21"/>
                <w:szCs w:val="21"/>
              </w:rPr>
            </w:pPr>
            <w:r>
              <w:rPr>
                <w:rFonts w:ascii="宋体" w:hAnsi="宋体"/>
                <w:sz w:val="21"/>
                <w:szCs w:val="21"/>
              </w:rPr>
              <w:t xml:space="preserve">2,487 </w:t>
            </w:r>
          </w:p>
        </w:tc>
        <w:tc>
          <w:tcPr>
            <w:tcW w:w="992" w:type="dxa"/>
            <w:shd w:val="clear" w:color="auto" w:fill="auto"/>
          </w:tcPr>
          <w:p>
            <w:pPr>
              <w:jc w:val="right"/>
              <w:rPr>
                <w:rFonts w:ascii="宋体" w:hAnsi="宋体"/>
                <w:sz w:val="21"/>
                <w:szCs w:val="21"/>
              </w:rPr>
            </w:pPr>
            <w:r>
              <w:rPr>
                <w:rFonts w:ascii="宋体" w:hAnsi="宋体"/>
                <w:sz w:val="21"/>
                <w:szCs w:val="21"/>
              </w:rPr>
              <w:t xml:space="preserve">2,625 </w:t>
            </w:r>
          </w:p>
        </w:tc>
        <w:tc>
          <w:tcPr>
            <w:tcW w:w="1134" w:type="dxa"/>
          </w:tcPr>
          <w:p>
            <w:pPr>
              <w:jc w:val="right"/>
              <w:rPr>
                <w:rFonts w:ascii="宋体" w:hAnsi="宋体"/>
                <w:sz w:val="21"/>
                <w:szCs w:val="21"/>
              </w:rPr>
            </w:pPr>
            <w:r>
              <w:rPr>
                <w:rFonts w:ascii="宋体" w:hAnsi="宋体"/>
                <w:sz w:val="21"/>
                <w:szCs w:val="21"/>
              </w:rPr>
              <w:t xml:space="preserve">1,138.94 </w:t>
            </w:r>
          </w:p>
        </w:tc>
        <w:tc>
          <w:tcPr>
            <w:tcW w:w="1276" w:type="dxa"/>
          </w:tcPr>
          <w:p>
            <w:pPr>
              <w:jc w:val="right"/>
              <w:rPr>
                <w:rFonts w:ascii="宋体" w:hAnsi="宋体"/>
                <w:sz w:val="21"/>
                <w:szCs w:val="21"/>
              </w:rPr>
            </w:pPr>
            <w:r>
              <w:rPr>
                <w:rFonts w:ascii="宋体" w:hAnsi="宋体"/>
                <w:sz w:val="21"/>
                <w:szCs w:val="21"/>
              </w:rPr>
              <w:t xml:space="preserve">2,990 </w:t>
            </w:r>
          </w:p>
        </w:tc>
        <w:tc>
          <w:tcPr>
            <w:tcW w:w="992" w:type="dxa"/>
            <w:vAlign w:val="center"/>
          </w:tcPr>
          <w:p>
            <w:pPr>
              <w:jc w:val="right"/>
              <w:rPr>
                <w:rFonts w:ascii="宋体" w:hAnsi="宋体"/>
                <w:sz w:val="21"/>
                <w:szCs w:val="21"/>
              </w:rPr>
            </w:pPr>
            <w:r>
              <w:rPr>
                <w:rFonts w:ascii="宋体" w:hAnsi="宋体"/>
                <w:sz w:val="21"/>
                <w:szCs w:val="21"/>
              </w:rPr>
              <w:t xml:space="preserve">3,038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3,756 </w:t>
            </w:r>
          </w:p>
        </w:tc>
        <w:tc>
          <w:tcPr>
            <w:tcW w:w="1134" w:type="dxa"/>
            <w:vAlign w:val="center"/>
          </w:tcPr>
          <w:p>
            <w:pPr>
              <w:jc w:val="right"/>
              <w:rPr>
                <w:rFonts w:ascii="宋体" w:hAnsi="宋体"/>
                <w:sz w:val="21"/>
                <w:szCs w:val="21"/>
              </w:rPr>
            </w:pPr>
            <w:r>
              <w:rPr>
                <w:rFonts w:ascii="宋体" w:hAnsi="宋体"/>
                <w:sz w:val="21"/>
                <w:szCs w:val="21"/>
              </w:rPr>
              <w:t xml:space="preserve">1,438.24 </w:t>
            </w:r>
          </w:p>
        </w:tc>
        <w:tc>
          <w:tcPr>
            <w:tcW w:w="1276" w:type="dxa"/>
            <w:vAlign w:val="center"/>
          </w:tcPr>
          <w:p>
            <w:pPr>
              <w:jc w:val="right"/>
              <w:rPr>
                <w:rFonts w:ascii="宋体" w:hAnsi="宋体"/>
                <w:sz w:val="21"/>
                <w:szCs w:val="21"/>
              </w:rPr>
            </w:pPr>
            <w:r>
              <w:rPr>
                <w:rFonts w:ascii="宋体" w:hAnsi="宋体"/>
                <w:sz w:val="21"/>
                <w:szCs w:val="21"/>
              </w:rPr>
              <w:t xml:space="preserve">5,402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210" w:firstLineChars="100"/>
              <w:rPr>
                <w:rFonts w:ascii="宋体" w:hAnsi="宋体"/>
                <w:sz w:val="21"/>
                <w:szCs w:val="21"/>
              </w:rPr>
            </w:pPr>
            <w:r>
              <w:rPr>
                <w:rFonts w:hint="eastAsia" w:ascii="宋体" w:hAnsi="宋体"/>
                <w:sz w:val="21"/>
                <w:szCs w:val="21"/>
              </w:rPr>
              <w:t>精煤小计</w:t>
            </w:r>
          </w:p>
        </w:tc>
        <w:tc>
          <w:tcPr>
            <w:tcW w:w="998" w:type="dxa"/>
          </w:tcPr>
          <w:p>
            <w:pPr>
              <w:jc w:val="right"/>
              <w:rPr>
                <w:rFonts w:ascii="宋体" w:hAnsi="宋体"/>
                <w:sz w:val="21"/>
                <w:szCs w:val="21"/>
              </w:rPr>
            </w:pPr>
            <w:r>
              <w:rPr>
                <w:rFonts w:ascii="宋体" w:hAnsi="宋体"/>
                <w:sz w:val="21"/>
                <w:szCs w:val="21"/>
              </w:rPr>
              <w:t xml:space="preserve">10,617 </w:t>
            </w:r>
          </w:p>
        </w:tc>
        <w:tc>
          <w:tcPr>
            <w:tcW w:w="992" w:type="dxa"/>
            <w:shd w:val="clear" w:color="auto" w:fill="auto"/>
          </w:tcPr>
          <w:p>
            <w:pPr>
              <w:jc w:val="right"/>
              <w:rPr>
                <w:rFonts w:ascii="宋体" w:hAnsi="宋体"/>
                <w:sz w:val="21"/>
                <w:szCs w:val="21"/>
              </w:rPr>
            </w:pPr>
            <w:r>
              <w:rPr>
                <w:rFonts w:ascii="宋体" w:hAnsi="宋体"/>
                <w:sz w:val="21"/>
                <w:szCs w:val="21"/>
              </w:rPr>
              <w:t xml:space="preserve">10,719 </w:t>
            </w:r>
          </w:p>
        </w:tc>
        <w:tc>
          <w:tcPr>
            <w:tcW w:w="1134" w:type="dxa"/>
          </w:tcPr>
          <w:p>
            <w:pPr>
              <w:jc w:val="right"/>
              <w:rPr>
                <w:rFonts w:ascii="宋体" w:hAnsi="宋体"/>
                <w:sz w:val="21"/>
                <w:szCs w:val="21"/>
              </w:rPr>
            </w:pPr>
            <w:r>
              <w:rPr>
                <w:rFonts w:ascii="宋体" w:hAnsi="宋体"/>
                <w:sz w:val="21"/>
                <w:szCs w:val="21"/>
              </w:rPr>
              <w:t xml:space="preserve">1,314.22 </w:t>
            </w:r>
          </w:p>
        </w:tc>
        <w:tc>
          <w:tcPr>
            <w:tcW w:w="1276" w:type="dxa"/>
          </w:tcPr>
          <w:p>
            <w:pPr>
              <w:jc w:val="right"/>
              <w:rPr>
                <w:rFonts w:ascii="宋体" w:hAnsi="宋体"/>
                <w:sz w:val="21"/>
                <w:szCs w:val="21"/>
              </w:rPr>
            </w:pPr>
            <w:r>
              <w:rPr>
                <w:rFonts w:ascii="宋体" w:hAnsi="宋体"/>
                <w:sz w:val="21"/>
                <w:szCs w:val="21"/>
              </w:rPr>
              <w:t xml:space="preserve">14,087 </w:t>
            </w:r>
          </w:p>
        </w:tc>
        <w:tc>
          <w:tcPr>
            <w:tcW w:w="992" w:type="dxa"/>
            <w:vAlign w:val="center"/>
          </w:tcPr>
          <w:p>
            <w:pPr>
              <w:jc w:val="right"/>
              <w:rPr>
                <w:rFonts w:ascii="宋体" w:hAnsi="宋体"/>
                <w:sz w:val="21"/>
                <w:szCs w:val="21"/>
              </w:rPr>
            </w:pPr>
            <w:r>
              <w:rPr>
                <w:rFonts w:ascii="宋体" w:hAnsi="宋体"/>
                <w:sz w:val="21"/>
                <w:szCs w:val="21"/>
              </w:rPr>
              <w:t xml:space="preserve">11,827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13,012 </w:t>
            </w:r>
          </w:p>
        </w:tc>
        <w:tc>
          <w:tcPr>
            <w:tcW w:w="1134" w:type="dxa"/>
            <w:vAlign w:val="center"/>
          </w:tcPr>
          <w:p>
            <w:pPr>
              <w:jc w:val="right"/>
              <w:rPr>
                <w:rFonts w:ascii="宋体" w:hAnsi="宋体"/>
                <w:sz w:val="21"/>
                <w:szCs w:val="21"/>
              </w:rPr>
            </w:pPr>
            <w:r>
              <w:rPr>
                <w:rFonts w:ascii="宋体" w:hAnsi="宋体"/>
                <w:sz w:val="21"/>
                <w:szCs w:val="21"/>
              </w:rPr>
              <w:t xml:space="preserve">1,607.20 </w:t>
            </w:r>
          </w:p>
        </w:tc>
        <w:tc>
          <w:tcPr>
            <w:tcW w:w="1276" w:type="dxa"/>
            <w:vAlign w:val="center"/>
          </w:tcPr>
          <w:p>
            <w:pPr>
              <w:jc w:val="right"/>
              <w:rPr>
                <w:rFonts w:ascii="宋体" w:hAnsi="宋体"/>
                <w:sz w:val="21"/>
                <w:szCs w:val="21"/>
              </w:rPr>
            </w:pPr>
            <w:r>
              <w:rPr>
                <w:rFonts w:ascii="宋体" w:hAnsi="宋体"/>
                <w:sz w:val="21"/>
                <w:szCs w:val="21"/>
              </w:rPr>
              <w:t xml:space="preserve">20,912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经筛选原煤</w:t>
            </w:r>
          </w:p>
        </w:tc>
        <w:tc>
          <w:tcPr>
            <w:tcW w:w="998" w:type="dxa"/>
          </w:tcPr>
          <w:p>
            <w:pPr>
              <w:jc w:val="right"/>
              <w:rPr>
                <w:rFonts w:ascii="宋体" w:hAnsi="宋体"/>
                <w:sz w:val="21"/>
                <w:szCs w:val="21"/>
              </w:rPr>
            </w:pPr>
            <w:r>
              <w:rPr>
                <w:rFonts w:ascii="宋体" w:hAnsi="宋体"/>
                <w:sz w:val="21"/>
                <w:szCs w:val="21"/>
              </w:rPr>
              <w:t xml:space="preserve">13,362 </w:t>
            </w:r>
          </w:p>
        </w:tc>
        <w:tc>
          <w:tcPr>
            <w:tcW w:w="992" w:type="dxa"/>
            <w:shd w:val="clear" w:color="auto" w:fill="auto"/>
          </w:tcPr>
          <w:p>
            <w:pPr>
              <w:jc w:val="right"/>
              <w:rPr>
                <w:rFonts w:ascii="宋体" w:hAnsi="宋体"/>
                <w:sz w:val="21"/>
                <w:szCs w:val="21"/>
              </w:rPr>
            </w:pPr>
            <w:r>
              <w:rPr>
                <w:rFonts w:ascii="宋体" w:hAnsi="宋体"/>
                <w:sz w:val="21"/>
                <w:szCs w:val="21"/>
              </w:rPr>
              <w:t xml:space="preserve">12,237 </w:t>
            </w:r>
          </w:p>
        </w:tc>
        <w:tc>
          <w:tcPr>
            <w:tcW w:w="1134" w:type="dxa"/>
          </w:tcPr>
          <w:p>
            <w:pPr>
              <w:jc w:val="right"/>
              <w:rPr>
                <w:rFonts w:ascii="宋体" w:hAnsi="宋体"/>
                <w:sz w:val="21"/>
                <w:szCs w:val="21"/>
              </w:rPr>
            </w:pPr>
            <w:r>
              <w:rPr>
                <w:rFonts w:ascii="宋体" w:hAnsi="宋体"/>
                <w:sz w:val="21"/>
                <w:szCs w:val="21"/>
              </w:rPr>
              <w:t xml:space="preserve">554.17 </w:t>
            </w:r>
          </w:p>
        </w:tc>
        <w:tc>
          <w:tcPr>
            <w:tcW w:w="1276" w:type="dxa"/>
          </w:tcPr>
          <w:p>
            <w:pPr>
              <w:jc w:val="right"/>
              <w:rPr>
                <w:rFonts w:ascii="宋体" w:hAnsi="宋体"/>
                <w:sz w:val="21"/>
                <w:szCs w:val="21"/>
              </w:rPr>
            </w:pPr>
            <w:r>
              <w:rPr>
                <w:rFonts w:ascii="宋体" w:hAnsi="宋体"/>
                <w:sz w:val="21"/>
                <w:szCs w:val="21"/>
              </w:rPr>
              <w:t xml:space="preserve">6,781 </w:t>
            </w:r>
          </w:p>
        </w:tc>
        <w:tc>
          <w:tcPr>
            <w:tcW w:w="992" w:type="dxa"/>
            <w:vAlign w:val="center"/>
          </w:tcPr>
          <w:p>
            <w:pPr>
              <w:jc w:val="right"/>
              <w:rPr>
                <w:rFonts w:ascii="宋体" w:hAnsi="宋体"/>
                <w:sz w:val="21"/>
                <w:szCs w:val="21"/>
              </w:rPr>
            </w:pPr>
            <w:r>
              <w:rPr>
                <w:rFonts w:ascii="宋体" w:hAnsi="宋体"/>
                <w:sz w:val="21"/>
                <w:szCs w:val="21"/>
              </w:rPr>
              <w:t xml:space="preserve">13,120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12,046 </w:t>
            </w:r>
          </w:p>
        </w:tc>
        <w:tc>
          <w:tcPr>
            <w:tcW w:w="1134" w:type="dxa"/>
            <w:vAlign w:val="center"/>
          </w:tcPr>
          <w:p>
            <w:pPr>
              <w:jc w:val="right"/>
              <w:rPr>
                <w:rFonts w:ascii="宋体" w:hAnsi="宋体"/>
                <w:sz w:val="21"/>
                <w:szCs w:val="21"/>
              </w:rPr>
            </w:pPr>
            <w:r>
              <w:rPr>
                <w:rFonts w:ascii="宋体" w:hAnsi="宋体"/>
                <w:sz w:val="21"/>
                <w:szCs w:val="21"/>
              </w:rPr>
              <w:t xml:space="preserve">623.55 </w:t>
            </w:r>
          </w:p>
        </w:tc>
        <w:tc>
          <w:tcPr>
            <w:tcW w:w="1276" w:type="dxa"/>
            <w:vAlign w:val="center"/>
          </w:tcPr>
          <w:p>
            <w:pPr>
              <w:jc w:val="right"/>
              <w:rPr>
                <w:rFonts w:ascii="宋体" w:hAnsi="宋体"/>
                <w:sz w:val="21"/>
                <w:szCs w:val="21"/>
              </w:rPr>
            </w:pPr>
            <w:r>
              <w:rPr>
                <w:rFonts w:ascii="宋体" w:hAnsi="宋体"/>
                <w:sz w:val="21"/>
                <w:szCs w:val="21"/>
              </w:rPr>
              <w:t xml:space="preserve">7,512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rPr>
                <w:rFonts w:ascii="宋体" w:hAnsi="宋体"/>
                <w:sz w:val="21"/>
                <w:szCs w:val="21"/>
              </w:rPr>
            </w:pPr>
            <w:r>
              <w:rPr>
                <w:rFonts w:hint="eastAsia" w:ascii="宋体" w:hAnsi="宋体"/>
                <w:sz w:val="21"/>
                <w:szCs w:val="21"/>
              </w:rPr>
              <w:t>二、菏泽能化</w:t>
            </w:r>
          </w:p>
        </w:tc>
        <w:tc>
          <w:tcPr>
            <w:tcW w:w="998" w:type="dxa"/>
          </w:tcPr>
          <w:p>
            <w:pPr>
              <w:jc w:val="right"/>
              <w:rPr>
                <w:rFonts w:ascii="宋体" w:hAnsi="宋体"/>
                <w:sz w:val="21"/>
                <w:szCs w:val="21"/>
              </w:rPr>
            </w:pPr>
            <w:r>
              <w:rPr>
                <w:rFonts w:ascii="宋体" w:hAnsi="宋体"/>
                <w:sz w:val="21"/>
                <w:szCs w:val="21"/>
              </w:rPr>
              <w:t xml:space="preserve">2,645 </w:t>
            </w:r>
          </w:p>
        </w:tc>
        <w:tc>
          <w:tcPr>
            <w:tcW w:w="992" w:type="dxa"/>
            <w:shd w:val="clear" w:color="auto" w:fill="auto"/>
          </w:tcPr>
          <w:p>
            <w:pPr>
              <w:jc w:val="right"/>
              <w:rPr>
                <w:rFonts w:ascii="宋体" w:hAnsi="宋体"/>
                <w:sz w:val="21"/>
                <w:szCs w:val="21"/>
              </w:rPr>
            </w:pPr>
            <w:r>
              <w:rPr>
                <w:rFonts w:ascii="宋体" w:hAnsi="宋体"/>
                <w:sz w:val="21"/>
                <w:szCs w:val="21"/>
              </w:rPr>
              <w:t xml:space="preserve">2,334 </w:t>
            </w:r>
          </w:p>
        </w:tc>
        <w:tc>
          <w:tcPr>
            <w:tcW w:w="1134" w:type="dxa"/>
          </w:tcPr>
          <w:p>
            <w:pPr>
              <w:jc w:val="right"/>
              <w:rPr>
                <w:rFonts w:ascii="宋体" w:hAnsi="宋体"/>
                <w:sz w:val="21"/>
                <w:szCs w:val="21"/>
              </w:rPr>
            </w:pPr>
            <w:r>
              <w:rPr>
                <w:rFonts w:ascii="宋体" w:hAnsi="宋体"/>
                <w:sz w:val="21"/>
                <w:szCs w:val="21"/>
              </w:rPr>
              <w:t xml:space="preserve">1,394.22 </w:t>
            </w:r>
          </w:p>
        </w:tc>
        <w:tc>
          <w:tcPr>
            <w:tcW w:w="1276" w:type="dxa"/>
          </w:tcPr>
          <w:p>
            <w:pPr>
              <w:jc w:val="right"/>
              <w:rPr>
                <w:rFonts w:ascii="宋体" w:hAnsi="宋体"/>
                <w:sz w:val="21"/>
                <w:szCs w:val="21"/>
              </w:rPr>
            </w:pPr>
            <w:r>
              <w:rPr>
                <w:rFonts w:ascii="宋体" w:hAnsi="宋体"/>
                <w:sz w:val="21"/>
                <w:szCs w:val="21"/>
              </w:rPr>
              <w:t xml:space="preserve">3,254 </w:t>
            </w:r>
          </w:p>
        </w:tc>
        <w:tc>
          <w:tcPr>
            <w:tcW w:w="992" w:type="dxa"/>
            <w:vAlign w:val="center"/>
          </w:tcPr>
          <w:p>
            <w:pPr>
              <w:jc w:val="right"/>
              <w:rPr>
                <w:rFonts w:ascii="宋体" w:hAnsi="宋体"/>
                <w:sz w:val="21"/>
                <w:szCs w:val="21"/>
              </w:rPr>
            </w:pPr>
            <w:r>
              <w:rPr>
                <w:rFonts w:ascii="宋体" w:hAnsi="宋体"/>
                <w:sz w:val="21"/>
                <w:szCs w:val="21"/>
              </w:rPr>
              <w:t xml:space="preserve">1,686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1,591 </w:t>
            </w:r>
          </w:p>
        </w:tc>
        <w:tc>
          <w:tcPr>
            <w:tcW w:w="1134" w:type="dxa"/>
            <w:vAlign w:val="center"/>
          </w:tcPr>
          <w:p>
            <w:pPr>
              <w:jc w:val="right"/>
              <w:rPr>
                <w:rFonts w:ascii="宋体" w:hAnsi="宋体"/>
                <w:sz w:val="21"/>
                <w:szCs w:val="21"/>
              </w:rPr>
            </w:pPr>
            <w:r>
              <w:rPr>
                <w:rFonts w:ascii="宋体" w:hAnsi="宋体"/>
                <w:sz w:val="21"/>
                <w:szCs w:val="21"/>
              </w:rPr>
              <w:t xml:space="preserve">1,957.54 </w:t>
            </w:r>
          </w:p>
        </w:tc>
        <w:tc>
          <w:tcPr>
            <w:tcW w:w="1276" w:type="dxa"/>
            <w:vAlign w:val="center"/>
          </w:tcPr>
          <w:p>
            <w:pPr>
              <w:jc w:val="right"/>
              <w:rPr>
                <w:rFonts w:ascii="宋体" w:hAnsi="宋体"/>
                <w:sz w:val="21"/>
                <w:szCs w:val="21"/>
              </w:rPr>
            </w:pPr>
            <w:r>
              <w:rPr>
                <w:rFonts w:ascii="宋体" w:hAnsi="宋体"/>
                <w:sz w:val="21"/>
                <w:szCs w:val="21"/>
              </w:rPr>
              <w:t xml:space="preserve">3,114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2号精煤</w:t>
            </w:r>
          </w:p>
        </w:tc>
        <w:tc>
          <w:tcPr>
            <w:tcW w:w="998" w:type="dxa"/>
          </w:tcPr>
          <w:p>
            <w:pPr>
              <w:jc w:val="right"/>
              <w:rPr>
                <w:rFonts w:ascii="宋体" w:hAnsi="宋体"/>
                <w:sz w:val="21"/>
                <w:szCs w:val="21"/>
              </w:rPr>
            </w:pPr>
            <w:r>
              <w:rPr>
                <w:rFonts w:ascii="宋体" w:hAnsi="宋体"/>
                <w:sz w:val="21"/>
                <w:szCs w:val="21"/>
              </w:rPr>
              <w:t xml:space="preserve">1,972 </w:t>
            </w:r>
          </w:p>
        </w:tc>
        <w:tc>
          <w:tcPr>
            <w:tcW w:w="992" w:type="dxa"/>
            <w:shd w:val="clear" w:color="auto" w:fill="auto"/>
          </w:tcPr>
          <w:p>
            <w:pPr>
              <w:jc w:val="right"/>
              <w:rPr>
                <w:rFonts w:ascii="宋体" w:hAnsi="宋体"/>
                <w:sz w:val="21"/>
                <w:szCs w:val="21"/>
              </w:rPr>
            </w:pPr>
            <w:r>
              <w:rPr>
                <w:rFonts w:ascii="宋体" w:hAnsi="宋体"/>
                <w:sz w:val="21"/>
                <w:szCs w:val="21"/>
              </w:rPr>
              <w:t xml:space="preserve">1,989 </w:t>
            </w:r>
          </w:p>
        </w:tc>
        <w:tc>
          <w:tcPr>
            <w:tcW w:w="1134" w:type="dxa"/>
          </w:tcPr>
          <w:p>
            <w:pPr>
              <w:jc w:val="right"/>
              <w:rPr>
                <w:rFonts w:ascii="宋体" w:hAnsi="宋体"/>
                <w:sz w:val="21"/>
                <w:szCs w:val="21"/>
              </w:rPr>
            </w:pPr>
            <w:r>
              <w:rPr>
                <w:rFonts w:ascii="宋体" w:hAnsi="宋体"/>
                <w:sz w:val="21"/>
                <w:szCs w:val="21"/>
              </w:rPr>
              <w:t xml:space="preserve">1,540.86 </w:t>
            </w:r>
          </w:p>
        </w:tc>
        <w:tc>
          <w:tcPr>
            <w:tcW w:w="1276" w:type="dxa"/>
          </w:tcPr>
          <w:p>
            <w:pPr>
              <w:jc w:val="right"/>
              <w:rPr>
                <w:rFonts w:ascii="宋体" w:hAnsi="宋体"/>
                <w:sz w:val="21"/>
                <w:szCs w:val="21"/>
              </w:rPr>
            </w:pPr>
            <w:r>
              <w:rPr>
                <w:rFonts w:ascii="宋体" w:hAnsi="宋体"/>
                <w:sz w:val="21"/>
                <w:szCs w:val="21"/>
              </w:rPr>
              <w:t xml:space="preserve">3,065 </w:t>
            </w:r>
          </w:p>
        </w:tc>
        <w:tc>
          <w:tcPr>
            <w:tcW w:w="992" w:type="dxa"/>
            <w:vAlign w:val="center"/>
          </w:tcPr>
          <w:p>
            <w:pPr>
              <w:jc w:val="right"/>
              <w:rPr>
                <w:rFonts w:ascii="宋体" w:hAnsi="宋体"/>
                <w:sz w:val="21"/>
                <w:szCs w:val="21"/>
              </w:rPr>
            </w:pPr>
            <w:r>
              <w:rPr>
                <w:rFonts w:ascii="宋体" w:hAnsi="宋体"/>
                <w:sz w:val="21"/>
                <w:szCs w:val="21"/>
              </w:rPr>
              <w:t xml:space="preserve">1,390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1,591 </w:t>
            </w:r>
          </w:p>
        </w:tc>
        <w:tc>
          <w:tcPr>
            <w:tcW w:w="1134" w:type="dxa"/>
            <w:vAlign w:val="center"/>
          </w:tcPr>
          <w:p>
            <w:pPr>
              <w:jc w:val="right"/>
              <w:rPr>
                <w:rFonts w:ascii="宋体" w:hAnsi="宋体"/>
                <w:sz w:val="21"/>
                <w:szCs w:val="21"/>
              </w:rPr>
            </w:pPr>
            <w:r>
              <w:rPr>
                <w:rFonts w:ascii="宋体" w:hAnsi="宋体"/>
                <w:sz w:val="21"/>
                <w:szCs w:val="21"/>
              </w:rPr>
              <w:t xml:space="preserve">1,957.54 </w:t>
            </w:r>
          </w:p>
        </w:tc>
        <w:tc>
          <w:tcPr>
            <w:tcW w:w="1276" w:type="dxa"/>
            <w:vAlign w:val="center"/>
          </w:tcPr>
          <w:p>
            <w:pPr>
              <w:jc w:val="right"/>
              <w:rPr>
                <w:rFonts w:ascii="宋体" w:hAnsi="宋体"/>
                <w:sz w:val="21"/>
                <w:szCs w:val="21"/>
              </w:rPr>
            </w:pPr>
            <w:r>
              <w:rPr>
                <w:rFonts w:ascii="宋体" w:hAnsi="宋体"/>
                <w:sz w:val="21"/>
                <w:szCs w:val="21"/>
              </w:rPr>
              <w:t xml:space="preserve">3,114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经筛选原煤</w:t>
            </w:r>
          </w:p>
        </w:tc>
        <w:tc>
          <w:tcPr>
            <w:tcW w:w="998" w:type="dxa"/>
          </w:tcPr>
          <w:p>
            <w:pPr>
              <w:jc w:val="right"/>
              <w:rPr>
                <w:rFonts w:ascii="宋体" w:hAnsi="宋体"/>
                <w:sz w:val="21"/>
                <w:szCs w:val="21"/>
              </w:rPr>
            </w:pPr>
            <w:r>
              <w:rPr>
                <w:rFonts w:ascii="宋体" w:hAnsi="宋体"/>
                <w:sz w:val="21"/>
                <w:szCs w:val="21"/>
              </w:rPr>
              <w:t xml:space="preserve">673 </w:t>
            </w:r>
          </w:p>
        </w:tc>
        <w:tc>
          <w:tcPr>
            <w:tcW w:w="992" w:type="dxa"/>
            <w:shd w:val="clear" w:color="auto" w:fill="auto"/>
          </w:tcPr>
          <w:p>
            <w:pPr>
              <w:jc w:val="right"/>
              <w:rPr>
                <w:rFonts w:ascii="宋体" w:hAnsi="宋体"/>
                <w:sz w:val="21"/>
                <w:szCs w:val="21"/>
              </w:rPr>
            </w:pPr>
            <w:r>
              <w:rPr>
                <w:rFonts w:ascii="宋体" w:hAnsi="宋体"/>
                <w:sz w:val="21"/>
                <w:szCs w:val="21"/>
              </w:rPr>
              <w:t xml:space="preserve">345 </w:t>
            </w:r>
          </w:p>
        </w:tc>
        <w:tc>
          <w:tcPr>
            <w:tcW w:w="1134" w:type="dxa"/>
          </w:tcPr>
          <w:p>
            <w:pPr>
              <w:jc w:val="right"/>
              <w:rPr>
                <w:rFonts w:ascii="宋体" w:hAnsi="宋体"/>
                <w:sz w:val="21"/>
                <w:szCs w:val="21"/>
              </w:rPr>
            </w:pPr>
            <w:r>
              <w:rPr>
                <w:rFonts w:ascii="宋体" w:hAnsi="宋体"/>
                <w:sz w:val="21"/>
                <w:szCs w:val="21"/>
              </w:rPr>
              <w:t xml:space="preserve">548.51 </w:t>
            </w:r>
          </w:p>
        </w:tc>
        <w:tc>
          <w:tcPr>
            <w:tcW w:w="1276" w:type="dxa"/>
          </w:tcPr>
          <w:p>
            <w:pPr>
              <w:jc w:val="right"/>
              <w:rPr>
                <w:rFonts w:ascii="宋体" w:hAnsi="宋体"/>
                <w:sz w:val="21"/>
                <w:szCs w:val="21"/>
              </w:rPr>
            </w:pPr>
            <w:r>
              <w:rPr>
                <w:rFonts w:ascii="宋体" w:hAnsi="宋体"/>
                <w:sz w:val="21"/>
                <w:szCs w:val="21"/>
              </w:rPr>
              <w:t xml:space="preserve">189 </w:t>
            </w:r>
          </w:p>
        </w:tc>
        <w:tc>
          <w:tcPr>
            <w:tcW w:w="992" w:type="dxa"/>
            <w:vAlign w:val="center"/>
          </w:tcPr>
          <w:p>
            <w:pPr>
              <w:jc w:val="right"/>
              <w:rPr>
                <w:rFonts w:ascii="宋体" w:hAnsi="宋体"/>
                <w:sz w:val="21"/>
                <w:szCs w:val="21"/>
              </w:rPr>
            </w:pPr>
            <w:r>
              <w:rPr>
                <w:rFonts w:ascii="宋体" w:hAnsi="宋体"/>
                <w:sz w:val="21"/>
                <w:szCs w:val="21"/>
              </w:rPr>
              <w:t xml:space="preserve">296 </w:t>
            </w:r>
          </w:p>
        </w:tc>
        <w:tc>
          <w:tcPr>
            <w:tcW w:w="992" w:type="dxa"/>
            <w:shd w:val="clear" w:color="auto" w:fill="auto"/>
            <w:vAlign w:val="center"/>
          </w:tcPr>
          <w:p>
            <w:pPr>
              <w:jc w:val="right"/>
              <w:rPr>
                <w:rFonts w:ascii="宋体" w:hAnsi="宋体"/>
                <w:sz w:val="21"/>
                <w:szCs w:val="21"/>
              </w:rPr>
            </w:pPr>
            <w:r>
              <w:rPr>
                <w:rFonts w:hint="eastAsia" w:ascii="宋体" w:hAnsi="宋体"/>
                <w:sz w:val="21"/>
                <w:szCs w:val="21"/>
              </w:rPr>
              <w:t>-</w:t>
            </w:r>
          </w:p>
        </w:tc>
        <w:tc>
          <w:tcPr>
            <w:tcW w:w="1134" w:type="dxa"/>
            <w:vAlign w:val="center"/>
          </w:tcPr>
          <w:p>
            <w:pPr>
              <w:jc w:val="right"/>
              <w:rPr>
                <w:rFonts w:ascii="宋体" w:hAnsi="宋体"/>
                <w:sz w:val="21"/>
                <w:szCs w:val="21"/>
              </w:rPr>
            </w:pPr>
            <w:r>
              <w:rPr>
                <w:rFonts w:hint="eastAsia" w:ascii="宋体" w:hAnsi="宋体"/>
                <w:sz w:val="21"/>
                <w:szCs w:val="21"/>
              </w:rPr>
              <w:t>-</w:t>
            </w:r>
            <w:r>
              <w:rPr>
                <w:rFonts w:ascii="宋体" w:hAnsi="宋体"/>
                <w:sz w:val="21"/>
                <w:szCs w:val="21"/>
              </w:rPr>
              <w:t xml:space="preserve"> </w:t>
            </w:r>
          </w:p>
        </w:tc>
        <w:tc>
          <w:tcPr>
            <w:tcW w:w="1276" w:type="dxa"/>
            <w:vAlign w:val="center"/>
          </w:tcPr>
          <w:p>
            <w:pPr>
              <w:jc w:val="right"/>
              <w:rPr>
                <w:rFonts w:ascii="宋体" w:hAnsi="宋体"/>
                <w:sz w:val="21"/>
                <w:szCs w:val="21"/>
              </w:rPr>
            </w:pPr>
            <w:r>
              <w:rPr>
                <w:rFonts w:hint="eastAsia" w:ascii="宋体" w:hAnsi="宋体"/>
                <w:sz w:val="21"/>
                <w:szCs w:val="21"/>
              </w:rPr>
              <w:t>-</w:t>
            </w:r>
            <w:r>
              <w:rPr>
                <w:rFonts w:ascii="宋体" w:hAnsi="宋体"/>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rPr>
                <w:rFonts w:ascii="宋体" w:hAnsi="宋体"/>
                <w:sz w:val="21"/>
                <w:szCs w:val="21"/>
              </w:rPr>
            </w:pPr>
            <w:r>
              <w:rPr>
                <w:rFonts w:hint="eastAsia" w:ascii="宋体" w:hAnsi="宋体"/>
                <w:sz w:val="21"/>
                <w:szCs w:val="21"/>
              </w:rPr>
              <w:t>三、鲁西矿业</w:t>
            </w:r>
          </w:p>
        </w:tc>
        <w:tc>
          <w:tcPr>
            <w:tcW w:w="998" w:type="dxa"/>
          </w:tcPr>
          <w:p>
            <w:pPr>
              <w:jc w:val="right"/>
              <w:rPr>
                <w:rFonts w:ascii="宋体" w:hAnsi="宋体"/>
                <w:sz w:val="21"/>
                <w:szCs w:val="21"/>
              </w:rPr>
            </w:pPr>
            <w:r>
              <w:rPr>
                <w:rFonts w:ascii="宋体" w:hAnsi="宋体"/>
                <w:sz w:val="21"/>
                <w:szCs w:val="21"/>
              </w:rPr>
              <w:t xml:space="preserve">10,798 </w:t>
            </w:r>
          </w:p>
        </w:tc>
        <w:tc>
          <w:tcPr>
            <w:tcW w:w="992" w:type="dxa"/>
            <w:shd w:val="clear" w:color="auto" w:fill="auto"/>
          </w:tcPr>
          <w:p>
            <w:pPr>
              <w:jc w:val="right"/>
              <w:rPr>
                <w:rFonts w:ascii="宋体" w:hAnsi="宋体"/>
                <w:sz w:val="21"/>
                <w:szCs w:val="21"/>
              </w:rPr>
            </w:pPr>
            <w:r>
              <w:rPr>
                <w:rFonts w:ascii="宋体" w:hAnsi="宋体"/>
                <w:sz w:val="21"/>
                <w:szCs w:val="21"/>
              </w:rPr>
              <w:t xml:space="preserve">11,401 </w:t>
            </w:r>
          </w:p>
        </w:tc>
        <w:tc>
          <w:tcPr>
            <w:tcW w:w="1134" w:type="dxa"/>
          </w:tcPr>
          <w:p>
            <w:pPr>
              <w:jc w:val="right"/>
              <w:rPr>
                <w:rFonts w:ascii="宋体" w:hAnsi="宋体"/>
                <w:sz w:val="21"/>
                <w:szCs w:val="21"/>
              </w:rPr>
            </w:pPr>
            <w:r>
              <w:rPr>
                <w:rFonts w:ascii="宋体" w:hAnsi="宋体"/>
                <w:sz w:val="21"/>
                <w:szCs w:val="21"/>
              </w:rPr>
              <w:t xml:space="preserve">1,206.92 </w:t>
            </w:r>
          </w:p>
        </w:tc>
        <w:tc>
          <w:tcPr>
            <w:tcW w:w="1276" w:type="dxa"/>
          </w:tcPr>
          <w:p>
            <w:pPr>
              <w:jc w:val="right"/>
              <w:rPr>
                <w:rFonts w:ascii="宋体" w:hAnsi="宋体"/>
                <w:sz w:val="21"/>
                <w:szCs w:val="21"/>
              </w:rPr>
            </w:pPr>
            <w:r>
              <w:rPr>
                <w:rFonts w:ascii="宋体" w:hAnsi="宋体"/>
                <w:sz w:val="21"/>
                <w:szCs w:val="21"/>
              </w:rPr>
              <w:t xml:space="preserve">13,760 </w:t>
            </w:r>
          </w:p>
        </w:tc>
        <w:tc>
          <w:tcPr>
            <w:tcW w:w="992" w:type="dxa"/>
          </w:tcPr>
          <w:p>
            <w:pPr>
              <w:jc w:val="right"/>
              <w:rPr>
                <w:rFonts w:ascii="宋体" w:hAnsi="宋体"/>
                <w:sz w:val="21"/>
                <w:szCs w:val="21"/>
              </w:rPr>
            </w:pPr>
            <w:r>
              <w:rPr>
                <w:rFonts w:ascii="宋体" w:hAnsi="宋体"/>
                <w:sz w:val="21"/>
                <w:szCs w:val="21"/>
              </w:rPr>
              <w:t xml:space="preserve">11,313 </w:t>
            </w:r>
          </w:p>
        </w:tc>
        <w:tc>
          <w:tcPr>
            <w:tcW w:w="992" w:type="dxa"/>
            <w:shd w:val="clear" w:color="auto" w:fill="auto"/>
          </w:tcPr>
          <w:p>
            <w:pPr>
              <w:jc w:val="right"/>
              <w:rPr>
                <w:rFonts w:ascii="宋体" w:hAnsi="宋体"/>
                <w:sz w:val="21"/>
                <w:szCs w:val="21"/>
              </w:rPr>
            </w:pPr>
            <w:r>
              <w:rPr>
                <w:rFonts w:ascii="宋体" w:hAnsi="宋体"/>
                <w:sz w:val="21"/>
                <w:szCs w:val="21"/>
              </w:rPr>
              <w:t xml:space="preserve">10,933 </w:t>
            </w:r>
          </w:p>
        </w:tc>
        <w:tc>
          <w:tcPr>
            <w:tcW w:w="1134" w:type="dxa"/>
          </w:tcPr>
          <w:p>
            <w:pPr>
              <w:jc w:val="right"/>
              <w:rPr>
                <w:rFonts w:ascii="宋体" w:hAnsi="宋体"/>
                <w:sz w:val="21"/>
                <w:szCs w:val="21"/>
              </w:rPr>
            </w:pPr>
            <w:r>
              <w:rPr>
                <w:rFonts w:ascii="宋体" w:hAnsi="宋体"/>
                <w:sz w:val="21"/>
                <w:szCs w:val="21"/>
              </w:rPr>
              <w:t xml:space="preserve">1,466.10 </w:t>
            </w:r>
          </w:p>
        </w:tc>
        <w:tc>
          <w:tcPr>
            <w:tcW w:w="1276" w:type="dxa"/>
          </w:tcPr>
          <w:p>
            <w:pPr>
              <w:jc w:val="right"/>
              <w:rPr>
                <w:rFonts w:ascii="宋体" w:hAnsi="宋体"/>
                <w:sz w:val="21"/>
                <w:szCs w:val="21"/>
              </w:rPr>
            </w:pPr>
            <w:r>
              <w:rPr>
                <w:rFonts w:ascii="宋体" w:hAnsi="宋体"/>
                <w:sz w:val="21"/>
                <w:szCs w:val="21"/>
              </w:rPr>
              <w:t xml:space="preserve">16,029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tcPr>
          <w:p>
            <w:pPr>
              <w:ind w:firstLine="420" w:firstLineChars="200"/>
              <w:rPr>
                <w:rFonts w:ascii="宋体" w:hAnsi="宋体"/>
                <w:sz w:val="21"/>
                <w:szCs w:val="21"/>
              </w:rPr>
            </w:pPr>
            <w:r>
              <w:rPr>
                <w:rFonts w:hint="eastAsia" w:ascii="宋体" w:hAnsi="宋体"/>
                <w:sz w:val="21"/>
                <w:szCs w:val="21"/>
              </w:rPr>
              <w:t>洗精煤</w:t>
            </w:r>
          </w:p>
        </w:tc>
        <w:tc>
          <w:tcPr>
            <w:tcW w:w="998" w:type="dxa"/>
          </w:tcPr>
          <w:p>
            <w:pPr>
              <w:jc w:val="right"/>
              <w:rPr>
                <w:rFonts w:ascii="宋体" w:hAnsi="宋体"/>
                <w:sz w:val="21"/>
                <w:szCs w:val="21"/>
              </w:rPr>
            </w:pPr>
            <w:r>
              <w:rPr>
                <w:rFonts w:ascii="宋体" w:hAnsi="宋体"/>
                <w:sz w:val="21"/>
                <w:szCs w:val="21"/>
              </w:rPr>
              <w:t xml:space="preserve">8,026 </w:t>
            </w:r>
          </w:p>
        </w:tc>
        <w:tc>
          <w:tcPr>
            <w:tcW w:w="992" w:type="dxa"/>
            <w:shd w:val="clear" w:color="auto" w:fill="auto"/>
          </w:tcPr>
          <w:p>
            <w:pPr>
              <w:jc w:val="right"/>
              <w:rPr>
                <w:rFonts w:ascii="宋体" w:hAnsi="宋体"/>
                <w:sz w:val="21"/>
                <w:szCs w:val="21"/>
              </w:rPr>
            </w:pPr>
            <w:r>
              <w:rPr>
                <w:rFonts w:ascii="宋体" w:hAnsi="宋体"/>
                <w:sz w:val="21"/>
                <w:szCs w:val="21"/>
              </w:rPr>
              <w:t xml:space="preserve">8,198 </w:t>
            </w:r>
          </w:p>
        </w:tc>
        <w:tc>
          <w:tcPr>
            <w:tcW w:w="1134" w:type="dxa"/>
          </w:tcPr>
          <w:p>
            <w:pPr>
              <w:jc w:val="right"/>
              <w:rPr>
                <w:rFonts w:ascii="宋体" w:hAnsi="宋体"/>
                <w:sz w:val="21"/>
                <w:szCs w:val="21"/>
              </w:rPr>
            </w:pPr>
            <w:r>
              <w:rPr>
                <w:rFonts w:ascii="宋体" w:hAnsi="宋体"/>
                <w:sz w:val="21"/>
                <w:szCs w:val="21"/>
              </w:rPr>
              <w:t xml:space="preserve">1,513.15 </w:t>
            </w:r>
          </w:p>
        </w:tc>
        <w:tc>
          <w:tcPr>
            <w:tcW w:w="1276" w:type="dxa"/>
          </w:tcPr>
          <w:p>
            <w:pPr>
              <w:jc w:val="right"/>
              <w:rPr>
                <w:rFonts w:ascii="宋体" w:hAnsi="宋体"/>
                <w:sz w:val="21"/>
                <w:szCs w:val="21"/>
              </w:rPr>
            </w:pPr>
            <w:r>
              <w:rPr>
                <w:rFonts w:ascii="宋体" w:hAnsi="宋体"/>
                <w:sz w:val="21"/>
                <w:szCs w:val="21"/>
              </w:rPr>
              <w:t xml:space="preserve">12,405 </w:t>
            </w:r>
          </w:p>
        </w:tc>
        <w:tc>
          <w:tcPr>
            <w:tcW w:w="992" w:type="dxa"/>
          </w:tcPr>
          <w:p>
            <w:pPr>
              <w:jc w:val="right"/>
              <w:rPr>
                <w:rFonts w:ascii="宋体" w:hAnsi="宋体"/>
                <w:sz w:val="21"/>
                <w:szCs w:val="21"/>
              </w:rPr>
            </w:pPr>
            <w:r>
              <w:rPr>
                <w:rFonts w:ascii="宋体" w:hAnsi="宋体"/>
                <w:sz w:val="21"/>
                <w:szCs w:val="21"/>
              </w:rPr>
              <w:t xml:space="preserve">7,674 </w:t>
            </w:r>
          </w:p>
        </w:tc>
        <w:tc>
          <w:tcPr>
            <w:tcW w:w="992" w:type="dxa"/>
            <w:shd w:val="clear" w:color="auto" w:fill="auto"/>
          </w:tcPr>
          <w:p>
            <w:pPr>
              <w:jc w:val="right"/>
              <w:rPr>
                <w:rFonts w:ascii="宋体" w:hAnsi="宋体"/>
                <w:sz w:val="21"/>
                <w:szCs w:val="21"/>
              </w:rPr>
            </w:pPr>
            <w:r>
              <w:rPr>
                <w:rFonts w:ascii="宋体" w:hAnsi="宋体"/>
                <w:sz w:val="21"/>
                <w:szCs w:val="21"/>
              </w:rPr>
              <w:t xml:space="preserve">7,616 </w:t>
            </w:r>
          </w:p>
        </w:tc>
        <w:tc>
          <w:tcPr>
            <w:tcW w:w="1134" w:type="dxa"/>
          </w:tcPr>
          <w:p>
            <w:pPr>
              <w:jc w:val="right"/>
              <w:rPr>
                <w:rFonts w:ascii="宋体" w:hAnsi="宋体"/>
                <w:sz w:val="21"/>
                <w:szCs w:val="21"/>
              </w:rPr>
            </w:pPr>
            <w:r>
              <w:rPr>
                <w:rFonts w:ascii="宋体" w:hAnsi="宋体"/>
                <w:sz w:val="21"/>
                <w:szCs w:val="21"/>
              </w:rPr>
              <w:t xml:space="preserve">1,889.88 </w:t>
            </w:r>
          </w:p>
        </w:tc>
        <w:tc>
          <w:tcPr>
            <w:tcW w:w="1276" w:type="dxa"/>
          </w:tcPr>
          <w:p>
            <w:pPr>
              <w:jc w:val="right"/>
              <w:rPr>
                <w:rFonts w:ascii="宋体" w:hAnsi="宋体"/>
                <w:sz w:val="21"/>
                <w:szCs w:val="21"/>
              </w:rPr>
            </w:pPr>
            <w:r>
              <w:rPr>
                <w:rFonts w:ascii="宋体" w:hAnsi="宋体"/>
                <w:sz w:val="21"/>
                <w:szCs w:val="21"/>
              </w:rPr>
              <w:t xml:space="preserve">14,392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tcPr>
          <w:p>
            <w:pPr>
              <w:ind w:firstLine="420" w:firstLineChars="200"/>
              <w:rPr>
                <w:rFonts w:ascii="宋体" w:hAnsi="宋体"/>
                <w:sz w:val="21"/>
                <w:szCs w:val="21"/>
              </w:rPr>
            </w:pPr>
            <w:r>
              <w:rPr>
                <w:rFonts w:hint="eastAsia" w:ascii="宋体" w:hAnsi="宋体"/>
                <w:sz w:val="21"/>
                <w:szCs w:val="21"/>
              </w:rPr>
              <w:t>洗混煤</w:t>
            </w:r>
          </w:p>
        </w:tc>
        <w:tc>
          <w:tcPr>
            <w:tcW w:w="998" w:type="dxa"/>
          </w:tcPr>
          <w:p>
            <w:pPr>
              <w:jc w:val="right"/>
              <w:rPr>
                <w:rFonts w:ascii="宋体" w:hAnsi="宋体"/>
                <w:sz w:val="21"/>
                <w:szCs w:val="21"/>
              </w:rPr>
            </w:pPr>
            <w:r>
              <w:rPr>
                <w:rFonts w:ascii="宋体" w:hAnsi="宋体"/>
                <w:sz w:val="21"/>
                <w:szCs w:val="21"/>
              </w:rPr>
              <w:t xml:space="preserve">2,771 </w:t>
            </w:r>
          </w:p>
        </w:tc>
        <w:tc>
          <w:tcPr>
            <w:tcW w:w="992" w:type="dxa"/>
            <w:shd w:val="clear" w:color="auto" w:fill="auto"/>
          </w:tcPr>
          <w:p>
            <w:pPr>
              <w:jc w:val="right"/>
              <w:rPr>
                <w:rFonts w:ascii="宋体" w:hAnsi="宋体"/>
                <w:sz w:val="21"/>
                <w:szCs w:val="21"/>
              </w:rPr>
            </w:pPr>
            <w:r>
              <w:rPr>
                <w:rFonts w:ascii="宋体" w:hAnsi="宋体"/>
                <w:sz w:val="21"/>
                <w:szCs w:val="21"/>
              </w:rPr>
              <w:t xml:space="preserve">3,203 </w:t>
            </w:r>
          </w:p>
        </w:tc>
        <w:tc>
          <w:tcPr>
            <w:tcW w:w="1134" w:type="dxa"/>
          </w:tcPr>
          <w:p>
            <w:pPr>
              <w:jc w:val="right"/>
              <w:rPr>
                <w:rFonts w:ascii="宋体" w:hAnsi="宋体"/>
                <w:sz w:val="21"/>
                <w:szCs w:val="21"/>
              </w:rPr>
            </w:pPr>
            <w:r>
              <w:rPr>
                <w:rFonts w:ascii="宋体" w:hAnsi="宋体"/>
                <w:sz w:val="21"/>
                <w:szCs w:val="21"/>
              </w:rPr>
              <w:t xml:space="preserve">423.16 </w:t>
            </w:r>
          </w:p>
        </w:tc>
        <w:tc>
          <w:tcPr>
            <w:tcW w:w="1276" w:type="dxa"/>
          </w:tcPr>
          <w:p>
            <w:pPr>
              <w:jc w:val="right"/>
              <w:rPr>
                <w:rFonts w:ascii="宋体" w:hAnsi="宋体"/>
                <w:sz w:val="21"/>
                <w:szCs w:val="21"/>
              </w:rPr>
            </w:pPr>
            <w:r>
              <w:rPr>
                <w:rFonts w:ascii="宋体" w:hAnsi="宋体"/>
                <w:sz w:val="21"/>
                <w:szCs w:val="21"/>
              </w:rPr>
              <w:t xml:space="preserve">1,355 </w:t>
            </w:r>
          </w:p>
        </w:tc>
        <w:tc>
          <w:tcPr>
            <w:tcW w:w="992" w:type="dxa"/>
          </w:tcPr>
          <w:p>
            <w:pPr>
              <w:jc w:val="right"/>
              <w:rPr>
                <w:rFonts w:ascii="宋体" w:hAnsi="宋体"/>
                <w:sz w:val="21"/>
                <w:szCs w:val="21"/>
              </w:rPr>
            </w:pPr>
            <w:r>
              <w:rPr>
                <w:rFonts w:ascii="宋体" w:hAnsi="宋体"/>
                <w:sz w:val="21"/>
                <w:szCs w:val="21"/>
              </w:rPr>
              <w:t xml:space="preserve">3,639 </w:t>
            </w:r>
          </w:p>
        </w:tc>
        <w:tc>
          <w:tcPr>
            <w:tcW w:w="992" w:type="dxa"/>
            <w:shd w:val="clear" w:color="auto" w:fill="auto"/>
          </w:tcPr>
          <w:p>
            <w:pPr>
              <w:jc w:val="right"/>
              <w:rPr>
                <w:rFonts w:ascii="宋体" w:hAnsi="宋体"/>
                <w:sz w:val="21"/>
                <w:szCs w:val="21"/>
              </w:rPr>
            </w:pPr>
            <w:r>
              <w:rPr>
                <w:rFonts w:ascii="宋体" w:hAnsi="宋体"/>
                <w:sz w:val="21"/>
                <w:szCs w:val="21"/>
              </w:rPr>
              <w:t xml:space="preserve">3,317 </w:t>
            </w:r>
          </w:p>
        </w:tc>
        <w:tc>
          <w:tcPr>
            <w:tcW w:w="1134" w:type="dxa"/>
          </w:tcPr>
          <w:p>
            <w:pPr>
              <w:jc w:val="right"/>
              <w:rPr>
                <w:rFonts w:ascii="宋体" w:hAnsi="宋体"/>
                <w:sz w:val="21"/>
                <w:szCs w:val="21"/>
              </w:rPr>
            </w:pPr>
            <w:r>
              <w:rPr>
                <w:rFonts w:ascii="宋体" w:hAnsi="宋体"/>
                <w:sz w:val="21"/>
                <w:szCs w:val="21"/>
              </w:rPr>
              <w:t xml:space="preserve">493.20 </w:t>
            </w:r>
          </w:p>
        </w:tc>
        <w:tc>
          <w:tcPr>
            <w:tcW w:w="1276" w:type="dxa"/>
          </w:tcPr>
          <w:p>
            <w:pPr>
              <w:jc w:val="right"/>
              <w:rPr>
                <w:rFonts w:ascii="宋体" w:hAnsi="宋体"/>
                <w:sz w:val="21"/>
                <w:szCs w:val="21"/>
              </w:rPr>
            </w:pPr>
            <w:r>
              <w:rPr>
                <w:rFonts w:ascii="宋体" w:hAnsi="宋体"/>
                <w:sz w:val="21"/>
                <w:szCs w:val="21"/>
              </w:rPr>
              <w:t xml:space="preserve">1,636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rPr>
                <w:rFonts w:ascii="宋体" w:hAnsi="宋体"/>
                <w:sz w:val="21"/>
                <w:szCs w:val="21"/>
              </w:rPr>
            </w:pPr>
            <w:r>
              <w:rPr>
                <w:rFonts w:hint="eastAsia" w:ascii="宋体" w:hAnsi="宋体"/>
                <w:sz w:val="21"/>
                <w:szCs w:val="21"/>
              </w:rPr>
              <w:t>四、天池能源</w:t>
            </w:r>
          </w:p>
        </w:tc>
        <w:tc>
          <w:tcPr>
            <w:tcW w:w="998" w:type="dxa"/>
          </w:tcPr>
          <w:p>
            <w:pPr>
              <w:jc w:val="right"/>
              <w:rPr>
                <w:rFonts w:ascii="宋体" w:hAnsi="宋体"/>
                <w:sz w:val="21"/>
                <w:szCs w:val="21"/>
              </w:rPr>
            </w:pPr>
            <w:r>
              <w:rPr>
                <w:rFonts w:ascii="宋体" w:hAnsi="宋体"/>
                <w:sz w:val="21"/>
                <w:szCs w:val="21"/>
              </w:rPr>
              <w:t xml:space="preserve">1,201 </w:t>
            </w:r>
          </w:p>
        </w:tc>
        <w:tc>
          <w:tcPr>
            <w:tcW w:w="992" w:type="dxa"/>
            <w:shd w:val="clear" w:color="auto" w:fill="auto"/>
          </w:tcPr>
          <w:p>
            <w:pPr>
              <w:jc w:val="right"/>
              <w:rPr>
                <w:rFonts w:ascii="宋体" w:hAnsi="宋体"/>
                <w:sz w:val="21"/>
                <w:szCs w:val="21"/>
              </w:rPr>
            </w:pPr>
            <w:r>
              <w:rPr>
                <w:rFonts w:ascii="宋体" w:hAnsi="宋体"/>
                <w:sz w:val="21"/>
                <w:szCs w:val="21"/>
              </w:rPr>
              <w:t xml:space="preserve">1,206 </w:t>
            </w:r>
          </w:p>
        </w:tc>
        <w:tc>
          <w:tcPr>
            <w:tcW w:w="1134" w:type="dxa"/>
          </w:tcPr>
          <w:p>
            <w:pPr>
              <w:jc w:val="right"/>
              <w:rPr>
                <w:rFonts w:ascii="宋体" w:hAnsi="宋体"/>
                <w:sz w:val="21"/>
                <w:szCs w:val="21"/>
              </w:rPr>
            </w:pPr>
            <w:r>
              <w:rPr>
                <w:rFonts w:ascii="宋体" w:hAnsi="宋体"/>
                <w:sz w:val="21"/>
                <w:szCs w:val="21"/>
              </w:rPr>
              <w:t xml:space="preserve">558.93 </w:t>
            </w:r>
          </w:p>
        </w:tc>
        <w:tc>
          <w:tcPr>
            <w:tcW w:w="1276" w:type="dxa"/>
          </w:tcPr>
          <w:p>
            <w:pPr>
              <w:jc w:val="right"/>
              <w:rPr>
                <w:rFonts w:ascii="宋体" w:hAnsi="宋体"/>
                <w:sz w:val="21"/>
                <w:szCs w:val="21"/>
              </w:rPr>
            </w:pPr>
            <w:r>
              <w:rPr>
                <w:rFonts w:ascii="宋体" w:hAnsi="宋体"/>
                <w:sz w:val="21"/>
                <w:szCs w:val="21"/>
              </w:rPr>
              <w:t xml:space="preserve">674 </w:t>
            </w:r>
          </w:p>
        </w:tc>
        <w:tc>
          <w:tcPr>
            <w:tcW w:w="992" w:type="dxa"/>
            <w:vAlign w:val="center"/>
          </w:tcPr>
          <w:p>
            <w:pPr>
              <w:jc w:val="right"/>
              <w:rPr>
                <w:rFonts w:ascii="宋体" w:hAnsi="宋体"/>
                <w:sz w:val="21"/>
                <w:szCs w:val="21"/>
              </w:rPr>
            </w:pPr>
            <w:r>
              <w:rPr>
                <w:rFonts w:ascii="宋体" w:hAnsi="宋体"/>
                <w:sz w:val="21"/>
                <w:szCs w:val="21"/>
              </w:rPr>
              <w:t xml:space="preserve">1,086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1,086 </w:t>
            </w:r>
          </w:p>
        </w:tc>
        <w:tc>
          <w:tcPr>
            <w:tcW w:w="1134" w:type="dxa"/>
            <w:vAlign w:val="center"/>
          </w:tcPr>
          <w:p>
            <w:pPr>
              <w:jc w:val="right"/>
              <w:rPr>
                <w:rFonts w:ascii="宋体" w:hAnsi="宋体"/>
                <w:sz w:val="21"/>
                <w:szCs w:val="21"/>
              </w:rPr>
            </w:pPr>
            <w:r>
              <w:rPr>
                <w:rFonts w:ascii="宋体" w:hAnsi="宋体"/>
                <w:sz w:val="21"/>
                <w:szCs w:val="21"/>
              </w:rPr>
              <w:t xml:space="preserve">657.38 </w:t>
            </w:r>
          </w:p>
        </w:tc>
        <w:tc>
          <w:tcPr>
            <w:tcW w:w="1276" w:type="dxa"/>
            <w:vAlign w:val="center"/>
          </w:tcPr>
          <w:p>
            <w:pPr>
              <w:jc w:val="right"/>
              <w:rPr>
                <w:rFonts w:ascii="宋体" w:hAnsi="宋体"/>
                <w:sz w:val="21"/>
                <w:szCs w:val="21"/>
              </w:rPr>
            </w:pPr>
            <w:r>
              <w:rPr>
                <w:rFonts w:ascii="宋体" w:hAnsi="宋体"/>
                <w:sz w:val="21"/>
                <w:szCs w:val="21"/>
              </w:rPr>
              <w:t xml:space="preserve">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经筛选原煤</w:t>
            </w:r>
          </w:p>
        </w:tc>
        <w:tc>
          <w:tcPr>
            <w:tcW w:w="998" w:type="dxa"/>
          </w:tcPr>
          <w:p>
            <w:pPr>
              <w:jc w:val="right"/>
              <w:rPr>
                <w:rFonts w:ascii="宋体" w:hAnsi="宋体"/>
                <w:sz w:val="21"/>
                <w:szCs w:val="21"/>
              </w:rPr>
            </w:pPr>
            <w:r>
              <w:rPr>
                <w:rFonts w:ascii="宋体" w:hAnsi="宋体"/>
                <w:sz w:val="21"/>
                <w:szCs w:val="21"/>
              </w:rPr>
              <w:t xml:space="preserve">1,201 </w:t>
            </w:r>
          </w:p>
        </w:tc>
        <w:tc>
          <w:tcPr>
            <w:tcW w:w="992" w:type="dxa"/>
            <w:shd w:val="clear" w:color="auto" w:fill="auto"/>
          </w:tcPr>
          <w:p>
            <w:pPr>
              <w:jc w:val="right"/>
              <w:rPr>
                <w:rFonts w:ascii="宋体" w:hAnsi="宋体"/>
                <w:sz w:val="21"/>
                <w:szCs w:val="21"/>
              </w:rPr>
            </w:pPr>
            <w:r>
              <w:rPr>
                <w:rFonts w:ascii="宋体" w:hAnsi="宋体"/>
                <w:sz w:val="21"/>
                <w:szCs w:val="21"/>
              </w:rPr>
              <w:t xml:space="preserve">1,206 </w:t>
            </w:r>
          </w:p>
        </w:tc>
        <w:tc>
          <w:tcPr>
            <w:tcW w:w="1134" w:type="dxa"/>
          </w:tcPr>
          <w:p>
            <w:pPr>
              <w:jc w:val="right"/>
              <w:rPr>
                <w:rFonts w:ascii="宋体" w:hAnsi="宋体"/>
                <w:sz w:val="21"/>
                <w:szCs w:val="21"/>
              </w:rPr>
            </w:pPr>
            <w:r>
              <w:rPr>
                <w:rFonts w:ascii="宋体" w:hAnsi="宋体"/>
                <w:sz w:val="21"/>
                <w:szCs w:val="21"/>
              </w:rPr>
              <w:t xml:space="preserve">558.93 </w:t>
            </w:r>
          </w:p>
        </w:tc>
        <w:tc>
          <w:tcPr>
            <w:tcW w:w="1276" w:type="dxa"/>
          </w:tcPr>
          <w:p>
            <w:pPr>
              <w:jc w:val="right"/>
              <w:rPr>
                <w:rFonts w:ascii="宋体" w:hAnsi="宋体"/>
                <w:sz w:val="21"/>
                <w:szCs w:val="21"/>
              </w:rPr>
            </w:pPr>
            <w:r>
              <w:rPr>
                <w:rFonts w:ascii="宋体" w:hAnsi="宋体"/>
                <w:sz w:val="21"/>
                <w:szCs w:val="21"/>
              </w:rPr>
              <w:t xml:space="preserve">674 </w:t>
            </w:r>
          </w:p>
        </w:tc>
        <w:tc>
          <w:tcPr>
            <w:tcW w:w="992" w:type="dxa"/>
            <w:vAlign w:val="center"/>
          </w:tcPr>
          <w:p>
            <w:pPr>
              <w:jc w:val="right"/>
              <w:rPr>
                <w:rFonts w:ascii="宋体" w:hAnsi="宋体"/>
                <w:sz w:val="21"/>
                <w:szCs w:val="21"/>
              </w:rPr>
            </w:pPr>
            <w:r>
              <w:rPr>
                <w:rFonts w:ascii="宋体" w:hAnsi="宋体"/>
                <w:sz w:val="21"/>
                <w:szCs w:val="21"/>
              </w:rPr>
              <w:t xml:space="preserve">1,086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1,086 </w:t>
            </w:r>
          </w:p>
        </w:tc>
        <w:tc>
          <w:tcPr>
            <w:tcW w:w="1134" w:type="dxa"/>
            <w:vAlign w:val="center"/>
          </w:tcPr>
          <w:p>
            <w:pPr>
              <w:jc w:val="right"/>
              <w:rPr>
                <w:rFonts w:ascii="宋体" w:hAnsi="宋体"/>
                <w:sz w:val="21"/>
                <w:szCs w:val="21"/>
              </w:rPr>
            </w:pPr>
            <w:r>
              <w:rPr>
                <w:rFonts w:ascii="宋体" w:hAnsi="宋体"/>
                <w:sz w:val="21"/>
                <w:szCs w:val="21"/>
              </w:rPr>
              <w:t xml:space="preserve">657.38 </w:t>
            </w:r>
          </w:p>
        </w:tc>
        <w:tc>
          <w:tcPr>
            <w:tcW w:w="1276" w:type="dxa"/>
            <w:vAlign w:val="center"/>
          </w:tcPr>
          <w:p>
            <w:pPr>
              <w:jc w:val="right"/>
              <w:rPr>
                <w:rFonts w:ascii="宋体" w:hAnsi="宋体"/>
                <w:sz w:val="21"/>
                <w:szCs w:val="21"/>
              </w:rPr>
            </w:pPr>
            <w:r>
              <w:rPr>
                <w:rFonts w:ascii="宋体" w:hAnsi="宋体"/>
                <w:sz w:val="21"/>
                <w:szCs w:val="21"/>
              </w:rPr>
              <w:t xml:space="preserve">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shd w:val="clear" w:color="auto" w:fill="auto"/>
            <w:vAlign w:val="center"/>
          </w:tcPr>
          <w:p>
            <w:pPr>
              <w:rPr>
                <w:rFonts w:ascii="宋体" w:hAnsi="宋体"/>
                <w:sz w:val="21"/>
                <w:szCs w:val="21"/>
              </w:rPr>
            </w:pPr>
            <w:r>
              <w:rPr>
                <w:rFonts w:hint="eastAsia" w:ascii="宋体" w:hAnsi="宋体"/>
                <w:sz w:val="21"/>
                <w:szCs w:val="21"/>
              </w:rPr>
              <w:t>五、未来能源</w:t>
            </w:r>
          </w:p>
        </w:tc>
        <w:tc>
          <w:tcPr>
            <w:tcW w:w="998" w:type="dxa"/>
          </w:tcPr>
          <w:p>
            <w:pPr>
              <w:jc w:val="right"/>
              <w:rPr>
                <w:rFonts w:ascii="宋体" w:hAnsi="宋体"/>
                <w:sz w:val="21"/>
                <w:szCs w:val="21"/>
              </w:rPr>
            </w:pPr>
            <w:r>
              <w:rPr>
                <w:rFonts w:ascii="宋体" w:hAnsi="宋体"/>
                <w:sz w:val="21"/>
                <w:szCs w:val="21"/>
              </w:rPr>
              <w:t xml:space="preserve">17,218 </w:t>
            </w:r>
          </w:p>
        </w:tc>
        <w:tc>
          <w:tcPr>
            <w:tcW w:w="992" w:type="dxa"/>
            <w:shd w:val="clear" w:color="auto" w:fill="auto"/>
          </w:tcPr>
          <w:p>
            <w:pPr>
              <w:jc w:val="right"/>
              <w:rPr>
                <w:rFonts w:ascii="宋体" w:hAnsi="宋体"/>
                <w:sz w:val="21"/>
                <w:szCs w:val="21"/>
              </w:rPr>
            </w:pPr>
            <w:r>
              <w:rPr>
                <w:rFonts w:ascii="宋体" w:hAnsi="宋体"/>
                <w:sz w:val="21"/>
                <w:szCs w:val="21"/>
              </w:rPr>
              <w:t xml:space="preserve">11,242 </w:t>
            </w:r>
          </w:p>
        </w:tc>
        <w:tc>
          <w:tcPr>
            <w:tcW w:w="1134" w:type="dxa"/>
          </w:tcPr>
          <w:p>
            <w:pPr>
              <w:jc w:val="right"/>
              <w:rPr>
                <w:rFonts w:ascii="宋体" w:hAnsi="宋体"/>
                <w:sz w:val="21"/>
                <w:szCs w:val="21"/>
              </w:rPr>
            </w:pPr>
            <w:r>
              <w:rPr>
                <w:rFonts w:ascii="宋体" w:hAnsi="宋体"/>
                <w:sz w:val="21"/>
                <w:szCs w:val="21"/>
              </w:rPr>
              <w:t xml:space="preserve">598.16 </w:t>
            </w:r>
          </w:p>
        </w:tc>
        <w:tc>
          <w:tcPr>
            <w:tcW w:w="1276" w:type="dxa"/>
          </w:tcPr>
          <w:p>
            <w:pPr>
              <w:jc w:val="right"/>
              <w:rPr>
                <w:rFonts w:ascii="宋体" w:hAnsi="宋体"/>
                <w:sz w:val="21"/>
                <w:szCs w:val="21"/>
              </w:rPr>
            </w:pPr>
            <w:r>
              <w:rPr>
                <w:rFonts w:ascii="宋体" w:hAnsi="宋体"/>
                <w:sz w:val="21"/>
                <w:szCs w:val="21"/>
              </w:rPr>
              <w:t xml:space="preserve">6,725 </w:t>
            </w:r>
          </w:p>
        </w:tc>
        <w:tc>
          <w:tcPr>
            <w:tcW w:w="992" w:type="dxa"/>
            <w:vAlign w:val="center"/>
          </w:tcPr>
          <w:p>
            <w:pPr>
              <w:jc w:val="right"/>
              <w:rPr>
                <w:rFonts w:ascii="宋体" w:hAnsi="宋体"/>
                <w:sz w:val="21"/>
                <w:szCs w:val="21"/>
              </w:rPr>
            </w:pPr>
            <w:r>
              <w:rPr>
                <w:rFonts w:ascii="宋体" w:hAnsi="宋体"/>
                <w:sz w:val="21"/>
                <w:szCs w:val="21"/>
              </w:rPr>
              <w:t xml:space="preserve">17,368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11,285 </w:t>
            </w:r>
          </w:p>
        </w:tc>
        <w:tc>
          <w:tcPr>
            <w:tcW w:w="1134" w:type="dxa"/>
            <w:vAlign w:val="center"/>
          </w:tcPr>
          <w:p>
            <w:pPr>
              <w:jc w:val="right"/>
              <w:rPr>
                <w:rFonts w:ascii="宋体" w:hAnsi="宋体"/>
                <w:sz w:val="21"/>
                <w:szCs w:val="21"/>
              </w:rPr>
            </w:pPr>
            <w:r>
              <w:rPr>
                <w:rFonts w:ascii="宋体" w:hAnsi="宋体"/>
                <w:sz w:val="21"/>
                <w:szCs w:val="21"/>
              </w:rPr>
              <w:t xml:space="preserve">796.23 </w:t>
            </w:r>
          </w:p>
        </w:tc>
        <w:tc>
          <w:tcPr>
            <w:tcW w:w="1276" w:type="dxa"/>
            <w:vAlign w:val="center"/>
          </w:tcPr>
          <w:p>
            <w:pPr>
              <w:jc w:val="right"/>
              <w:rPr>
                <w:rFonts w:ascii="宋体" w:hAnsi="宋体"/>
                <w:sz w:val="21"/>
                <w:szCs w:val="21"/>
              </w:rPr>
            </w:pPr>
            <w:r>
              <w:rPr>
                <w:rFonts w:ascii="宋体" w:hAnsi="宋体"/>
                <w:sz w:val="21"/>
                <w:szCs w:val="21"/>
              </w:rPr>
              <w:t xml:space="preserve">8,986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shd w:val="clear" w:color="auto" w:fill="auto"/>
            <w:vAlign w:val="center"/>
          </w:tcPr>
          <w:p>
            <w:pPr>
              <w:ind w:firstLine="420" w:firstLineChars="200"/>
              <w:rPr>
                <w:rFonts w:ascii="宋体" w:hAnsi="宋体"/>
                <w:sz w:val="21"/>
                <w:szCs w:val="21"/>
              </w:rPr>
            </w:pPr>
            <w:r>
              <w:rPr>
                <w:rFonts w:hint="eastAsia" w:ascii="宋体" w:hAnsi="宋体"/>
                <w:sz w:val="21"/>
                <w:szCs w:val="21"/>
              </w:rPr>
              <w:t>3号精煤</w:t>
            </w:r>
          </w:p>
        </w:tc>
        <w:tc>
          <w:tcPr>
            <w:tcW w:w="998" w:type="dxa"/>
          </w:tcPr>
          <w:p>
            <w:pPr>
              <w:jc w:val="right"/>
              <w:rPr>
                <w:rFonts w:ascii="宋体" w:hAnsi="宋体"/>
                <w:sz w:val="21"/>
                <w:szCs w:val="21"/>
              </w:rPr>
            </w:pPr>
            <w:r>
              <w:rPr>
                <w:rFonts w:ascii="宋体" w:hAnsi="宋体"/>
                <w:sz w:val="21"/>
                <w:szCs w:val="21"/>
              </w:rPr>
              <w:t xml:space="preserve">2,061 </w:t>
            </w:r>
          </w:p>
        </w:tc>
        <w:tc>
          <w:tcPr>
            <w:tcW w:w="992" w:type="dxa"/>
            <w:shd w:val="clear" w:color="auto" w:fill="auto"/>
          </w:tcPr>
          <w:p>
            <w:pPr>
              <w:jc w:val="right"/>
              <w:rPr>
                <w:rFonts w:ascii="宋体" w:hAnsi="宋体"/>
                <w:sz w:val="21"/>
                <w:szCs w:val="21"/>
              </w:rPr>
            </w:pPr>
            <w:r>
              <w:rPr>
                <w:rFonts w:ascii="宋体" w:hAnsi="宋体"/>
                <w:sz w:val="21"/>
                <w:szCs w:val="21"/>
              </w:rPr>
              <w:t xml:space="preserve">1,719 </w:t>
            </w:r>
          </w:p>
        </w:tc>
        <w:tc>
          <w:tcPr>
            <w:tcW w:w="1134" w:type="dxa"/>
          </w:tcPr>
          <w:p>
            <w:pPr>
              <w:jc w:val="right"/>
              <w:rPr>
                <w:rFonts w:ascii="宋体" w:hAnsi="宋体"/>
                <w:sz w:val="21"/>
                <w:szCs w:val="21"/>
              </w:rPr>
            </w:pPr>
            <w:r>
              <w:rPr>
                <w:rFonts w:ascii="宋体" w:hAnsi="宋体"/>
                <w:sz w:val="21"/>
                <w:szCs w:val="21"/>
              </w:rPr>
              <w:t xml:space="preserve">792.56 </w:t>
            </w:r>
          </w:p>
        </w:tc>
        <w:tc>
          <w:tcPr>
            <w:tcW w:w="1276" w:type="dxa"/>
          </w:tcPr>
          <w:p>
            <w:pPr>
              <w:jc w:val="right"/>
              <w:rPr>
                <w:rFonts w:ascii="宋体" w:hAnsi="宋体"/>
                <w:sz w:val="21"/>
                <w:szCs w:val="21"/>
              </w:rPr>
            </w:pPr>
            <w:r>
              <w:rPr>
                <w:rFonts w:ascii="宋体" w:hAnsi="宋体"/>
                <w:sz w:val="21"/>
                <w:szCs w:val="21"/>
              </w:rPr>
              <w:t xml:space="preserve">1,362 </w:t>
            </w:r>
          </w:p>
        </w:tc>
        <w:tc>
          <w:tcPr>
            <w:tcW w:w="992" w:type="dxa"/>
            <w:vAlign w:val="center"/>
          </w:tcPr>
          <w:p>
            <w:pPr>
              <w:jc w:val="right"/>
              <w:rPr>
                <w:rFonts w:ascii="宋体" w:hAnsi="宋体"/>
                <w:sz w:val="21"/>
                <w:szCs w:val="21"/>
              </w:rPr>
            </w:pPr>
            <w:r>
              <w:rPr>
                <w:rFonts w:ascii="宋体" w:hAnsi="宋体"/>
                <w:sz w:val="21"/>
                <w:szCs w:val="21"/>
              </w:rPr>
              <w:t xml:space="preserve">2,052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2,037 </w:t>
            </w:r>
          </w:p>
        </w:tc>
        <w:tc>
          <w:tcPr>
            <w:tcW w:w="1134" w:type="dxa"/>
            <w:vAlign w:val="center"/>
          </w:tcPr>
          <w:p>
            <w:pPr>
              <w:jc w:val="right"/>
              <w:rPr>
                <w:rFonts w:ascii="宋体" w:hAnsi="宋体"/>
                <w:sz w:val="21"/>
                <w:szCs w:val="21"/>
              </w:rPr>
            </w:pPr>
            <w:r>
              <w:rPr>
                <w:rFonts w:ascii="宋体" w:hAnsi="宋体"/>
                <w:sz w:val="21"/>
                <w:szCs w:val="21"/>
              </w:rPr>
              <w:t xml:space="preserve">949.19 </w:t>
            </w:r>
          </w:p>
        </w:tc>
        <w:tc>
          <w:tcPr>
            <w:tcW w:w="1276" w:type="dxa"/>
            <w:vAlign w:val="center"/>
          </w:tcPr>
          <w:p>
            <w:pPr>
              <w:jc w:val="right"/>
              <w:rPr>
                <w:rFonts w:ascii="宋体" w:hAnsi="宋体"/>
                <w:sz w:val="21"/>
                <w:szCs w:val="21"/>
              </w:rPr>
            </w:pPr>
            <w:r>
              <w:rPr>
                <w:rFonts w:ascii="宋体" w:hAnsi="宋体"/>
                <w:sz w:val="21"/>
                <w:szCs w:val="21"/>
              </w:rPr>
              <w:t xml:space="preserve">1,933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shd w:val="clear" w:color="auto" w:fill="auto"/>
            <w:vAlign w:val="center"/>
          </w:tcPr>
          <w:p>
            <w:pPr>
              <w:ind w:firstLine="420" w:firstLineChars="200"/>
              <w:rPr>
                <w:rFonts w:ascii="宋体" w:hAnsi="宋体"/>
                <w:sz w:val="21"/>
                <w:szCs w:val="21"/>
              </w:rPr>
            </w:pPr>
            <w:r>
              <w:rPr>
                <w:rFonts w:hint="eastAsia" w:ascii="宋体" w:hAnsi="宋体"/>
                <w:sz w:val="21"/>
                <w:szCs w:val="21"/>
              </w:rPr>
              <w:t>块煤</w:t>
            </w:r>
          </w:p>
        </w:tc>
        <w:tc>
          <w:tcPr>
            <w:tcW w:w="998" w:type="dxa"/>
          </w:tcPr>
          <w:p>
            <w:pPr>
              <w:jc w:val="right"/>
              <w:rPr>
                <w:rFonts w:ascii="宋体" w:hAnsi="宋体"/>
                <w:sz w:val="21"/>
                <w:szCs w:val="21"/>
              </w:rPr>
            </w:pPr>
            <w:r>
              <w:rPr>
                <w:rFonts w:ascii="宋体" w:hAnsi="宋体"/>
                <w:sz w:val="21"/>
                <w:szCs w:val="21"/>
              </w:rPr>
              <w:t xml:space="preserve">3,332 </w:t>
            </w:r>
          </w:p>
        </w:tc>
        <w:tc>
          <w:tcPr>
            <w:tcW w:w="992" w:type="dxa"/>
            <w:shd w:val="clear" w:color="auto" w:fill="auto"/>
          </w:tcPr>
          <w:p>
            <w:pPr>
              <w:jc w:val="right"/>
              <w:rPr>
                <w:rFonts w:ascii="宋体" w:hAnsi="宋体"/>
                <w:sz w:val="21"/>
                <w:szCs w:val="21"/>
              </w:rPr>
            </w:pPr>
            <w:r>
              <w:rPr>
                <w:rFonts w:ascii="宋体" w:hAnsi="宋体"/>
                <w:sz w:val="21"/>
                <w:szCs w:val="21"/>
              </w:rPr>
              <w:t xml:space="preserve">3,068 </w:t>
            </w:r>
          </w:p>
        </w:tc>
        <w:tc>
          <w:tcPr>
            <w:tcW w:w="1134" w:type="dxa"/>
          </w:tcPr>
          <w:p>
            <w:pPr>
              <w:jc w:val="right"/>
              <w:rPr>
                <w:rFonts w:ascii="宋体" w:hAnsi="宋体"/>
                <w:sz w:val="21"/>
                <w:szCs w:val="21"/>
              </w:rPr>
            </w:pPr>
            <w:r>
              <w:rPr>
                <w:rFonts w:ascii="宋体" w:hAnsi="宋体"/>
                <w:sz w:val="21"/>
                <w:szCs w:val="21"/>
              </w:rPr>
              <w:t xml:space="preserve">791.32 </w:t>
            </w:r>
          </w:p>
        </w:tc>
        <w:tc>
          <w:tcPr>
            <w:tcW w:w="1276" w:type="dxa"/>
          </w:tcPr>
          <w:p>
            <w:pPr>
              <w:jc w:val="right"/>
              <w:rPr>
                <w:rFonts w:ascii="宋体" w:hAnsi="宋体"/>
                <w:sz w:val="21"/>
                <w:szCs w:val="21"/>
              </w:rPr>
            </w:pPr>
            <w:r>
              <w:rPr>
                <w:rFonts w:ascii="宋体" w:hAnsi="宋体"/>
                <w:sz w:val="21"/>
                <w:szCs w:val="21"/>
              </w:rPr>
              <w:t xml:space="preserve">2,428 </w:t>
            </w:r>
          </w:p>
        </w:tc>
        <w:tc>
          <w:tcPr>
            <w:tcW w:w="992" w:type="dxa"/>
            <w:vAlign w:val="center"/>
          </w:tcPr>
          <w:p>
            <w:pPr>
              <w:jc w:val="right"/>
              <w:rPr>
                <w:rFonts w:ascii="宋体" w:hAnsi="宋体"/>
                <w:sz w:val="21"/>
                <w:szCs w:val="21"/>
              </w:rPr>
            </w:pPr>
            <w:r>
              <w:rPr>
                <w:rFonts w:ascii="宋体" w:hAnsi="宋体"/>
                <w:sz w:val="21"/>
                <w:szCs w:val="21"/>
              </w:rPr>
              <w:t xml:space="preserve">3,930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3,760 </w:t>
            </w:r>
          </w:p>
        </w:tc>
        <w:tc>
          <w:tcPr>
            <w:tcW w:w="1134" w:type="dxa"/>
            <w:vAlign w:val="center"/>
          </w:tcPr>
          <w:p>
            <w:pPr>
              <w:jc w:val="right"/>
              <w:rPr>
                <w:rFonts w:ascii="宋体" w:hAnsi="宋体"/>
                <w:sz w:val="21"/>
                <w:szCs w:val="21"/>
              </w:rPr>
            </w:pPr>
            <w:r>
              <w:rPr>
                <w:rFonts w:ascii="宋体" w:hAnsi="宋体"/>
                <w:sz w:val="21"/>
                <w:szCs w:val="21"/>
              </w:rPr>
              <w:t xml:space="preserve">960.19 </w:t>
            </w:r>
          </w:p>
        </w:tc>
        <w:tc>
          <w:tcPr>
            <w:tcW w:w="1276" w:type="dxa"/>
            <w:vAlign w:val="center"/>
          </w:tcPr>
          <w:p>
            <w:pPr>
              <w:jc w:val="right"/>
              <w:rPr>
                <w:rFonts w:ascii="宋体" w:hAnsi="宋体"/>
                <w:sz w:val="21"/>
                <w:szCs w:val="21"/>
              </w:rPr>
            </w:pPr>
            <w:r>
              <w:rPr>
                <w:rFonts w:ascii="宋体" w:hAnsi="宋体"/>
                <w:sz w:val="21"/>
                <w:szCs w:val="21"/>
              </w:rPr>
              <w:t xml:space="preserve">3,610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shd w:val="clear" w:color="auto" w:fill="auto"/>
            <w:vAlign w:val="center"/>
          </w:tcPr>
          <w:p>
            <w:pPr>
              <w:ind w:firstLine="420" w:firstLineChars="200"/>
              <w:rPr>
                <w:rFonts w:ascii="宋体" w:hAnsi="宋体"/>
                <w:sz w:val="21"/>
                <w:szCs w:val="21"/>
              </w:rPr>
            </w:pPr>
            <w:r>
              <w:rPr>
                <w:rFonts w:hint="eastAsia" w:ascii="宋体" w:hAnsi="宋体"/>
                <w:sz w:val="21"/>
                <w:szCs w:val="21"/>
              </w:rPr>
              <w:t>经筛选原煤</w:t>
            </w:r>
          </w:p>
        </w:tc>
        <w:tc>
          <w:tcPr>
            <w:tcW w:w="998" w:type="dxa"/>
          </w:tcPr>
          <w:p>
            <w:pPr>
              <w:jc w:val="right"/>
              <w:rPr>
                <w:rFonts w:ascii="宋体" w:hAnsi="宋体"/>
                <w:sz w:val="21"/>
                <w:szCs w:val="21"/>
              </w:rPr>
            </w:pPr>
            <w:r>
              <w:rPr>
                <w:rFonts w:ascii="宋体" w:hAnsi="宋体"/>
                <w:sz w:val="21"/>
                <w:szCs w:val="21"/>
              </w:rPr>
              <w:t xml:space="preserve">11,826 </w:t>
            </w:r>
          </w:p>
        </w:tc>
        <w:tc>
          <w:tcPr>
            <w:tcW w:w="992" w:type="dxa"/>
            <w:shd w:val="clear" w:color="auto" w:fill="auto"/>
          </w:tcPr>
          <w:p>
            <w:pPr>
              <w:jc w:val="right"/>
              <w:rPr>
                <w:rFonts w:ascii="宋体" w:hAnsi="宋体"/>
                <w:sz w:val="21"/>
                <w:szCs w:val="21"/>
              </w:rPr>
            </w:pPr>
            <w:r>
              <w:rPr>
                <w:rFonts w:ascii="宋体" w:hAnsi="宋体"/>
                <w:sz w:val="21"/>
                <w:szCs w:val="21"/>
              </w:rPr>
              <w:t xml:space="preserve">6,455 </w:t>
            </w:r>
          </w:p>
        </w:tc>
        <w:tc>
          <w:tcPr>
            <w:tcW w:w="1134" w:type="dxa"/>
          </w:tcPr>
          <w:p>
            <w:pPr>
              <w:jc w:val="right"/>
              <w:rPr>
                <w:rFonts w:ascii="宋体" w:hAnsi="宋体"/>
                <w:sz w:val="21"/>
                <w:szCs w:val="21"/>
              </w:rPr>
            </w:pPr>
            <w:r>
              <w:rPr>
                <w:rFonts w:ascii="宋体" w:hAnsi="宋体"/>
                <w:sz w:val="21"/>
                <w:szCs w:val="21"/>
              </w:rPr>
              <w:t xml:space="preserve">454.58 </w:t>
            </w:r>
          </w:p>
        </w:tc>
        <w:tc>
          <w:tcPr>
            <w:tcW w:w="1276" w:type="dxa"/>
          </w:tcPr>
          <w:p>
            <w:pPr>
              <w:jc w:val="right"/>
              <w:rPr>
                <w:rFonts w:ascii="宋体" w:hAnsi="宋体"/>
                <w:sz w:val="21"/>
                <w:szCs w:val="21"/>
              </w:rPr>
            </w:pPr>
            <w:r>
              <w:rPr>
                <w:rFonts w:ascii="宋体" w:hAnsi="宋体"/>
                <w:sz w:val="21"/>
                <w:szCs w:val="21"/>
              </w:rPr>
              <w:t xml:space="preserve">2,934 </w:t>
            </w:r>
          </w:p>
        </w:tc>
        <w:tc>
          <w:tcPr>
            <w:tcW w:w="992" w:type="dxa"/>
            <w:vAlign w:val="center"/>
          </w:tcPr>
          <w:p>
            <w:pPr>
              <w:jc w:val="right"/>
              <w:rPr>
                <w:rFonts w:ascii="宋体" w:hAnsi="宋体"/>
                <w:sz w:val="21"/>
                <w:szCs w:val="21"/>
              </w:rPr>
            </w:pPr>
            <w:r>
              <w:rPr>
                <w:rFonts w:ascii="宋体" w:hAnsi="宋体"/>
                <w:sz w:val="21"/>
                <w:szCs w:val="21"/>
              </w:rPr>
              <w:t xml:space="preserve">11,385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5,489 </w:t>
            </w:r>
          </w:p>
        </w:tc>
        <w:tc>
          <w:tcPr>
            <w:tcW w:w="1134" w:type="dxa"/>
            <w:vAlign w:val="center"/>
          </w:tcPr>
          <w:p>
            <w:pPr>
              <w:jc w:val="right"/>
              <w:rPr>
                <w:rFonts w:ascii="宋体" w:hAnsi="宋体"/>
                <w:sz w:val="21"/>
                <w:szCs w:val="21"/>
              </w:rPr>
            </w:pPr>
            <w:r>
              <w:rPr>
                <w:rFonts w:ascii="宋体" w:hAnsi="宋体"/>
                <w:sz w:val="21"/>
                <w:szCs w:val="21"/>
              </w:rPr>
              <w:t xml:space="preserve">627.17 </w:t>
            </w:r>
          </w:p>
        </w:tc>
        <w:tc>
          <w:tcPr>
            <w:tcW w:w="1276" w:type="dxa"/>
            <w:vAlign w:val="center"/>
          </w:tcPr>
          <w:p>
            <w:pPr>
              <w:jc w:val="right"/>
              <w:rPr>
                <w:rFonts w:ascii="宋体" w:hAnsi="宋体"/>
                <w:sz w:val="21"/>
                <w:szCs w:val="21"/>
              </w:rPr>
            </w:pPr>
            <w:r>
              <w:rPr>
                <w:rFonts w:ascii="宋体" w:hAnsi="宋体"/>
                <w:sz w:val="21"/>
                <w:szCs w:val="21"/>
              </w:rPr>
              <w:t xml:space="preserve">3,443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rPr>
                <w:rFonts w:ascii="宋体" w:hAnsi="宋体"/>
                <w:sz w:val="21"/>
                <w:szCs w:val="21"/>
              </w:rPr>
            </w:pPr>
            <w:r>
              <w:rPr>
                <w:rFonts w:hint="eastAsia" w:ascii="宋体" w:hAnsi="宋体"/>
                <w:sz w:val="21"/>
                <w:szCs w:val="21"/>
              </w:rPr>
              <w:t>六、鄂尔多斯公司</w:t>
            </w:r>
          </w:p>
        </w:tc>
        <w:tc>
          <w:tcPr>
            <w:tcW w:w="998" w:type="dxa"/>
          </w:tcPr>
          <w:p>
            <w:pPr>
              <w:jc w:val="right"/>
              <w:rPr>
                <w:rFonts w:ascii="宋体" w:hAnsi="宋体"/>
                <w:sz w:val="21"/>
                <w:szCs w:val="21"/>
              </w:rPr>
            </w:pPr>
            <w:r>
              <w:rPr>
                <w:rFonts w:ascii="宋体" w:hAnsi="宋体"/>
                <w:sz w:val="21"/>
                <w:szCs w:val="21"/>
              </w:rPr>
              <w:t xml:space="preserve">9,614 </w:t>
            </w:r>
          </w:p>
        </w:tc>
        <w:tc>
          <w:tcPr>
            <w:tcW w:w="992" w:type="dxa"/>
            <w:shd w:val="clear" w:color="auto" w:fill="auto"/>
          </w:tcPr>
          <w:p>
            <w:pPr>
              <w:jc w:val="right"/>
              <w:rPr>
                <w:rFonts w:ascii="宋体" w:hAnsi="宋体"/>
                <w:sz w:val="21"/>
                <w:szCs w:val="21"/>
              </w:rPr>
            </w:pPr>
            <w:r>
              <w:rPr>
                <w:rFonts w:ascii="宋体" w:hAnsi="宋体"/>
                <w:sz w:val="21"/>
                <w:szCs w:val="21"/>
              </w:rPr>
              <w:t xml:space="preserve">5,900 </w:t>
            </w:r>
          </w:p>
        </w:tc>
        <w:tc>
          <w:tcPr>
            <w:tcW w:w="1134" w:type="dxa"/>
          </w:tcPr>
          <w:p>
            <w:pPr>
              <w:jc w:val="right"/>
              <w:rPr>
                <w:rFonts w:ascii="宋体" w:hAnsi="宋体"/>
                <w:sz w:val="21"/>
                <w:szCs w:val="21"/>
              </w:rPr>
            </w:pPr>
            <w:r>
              <w:rPr>
                <w:rFonts w:ascii="宋体" w:hAnsi="宋体"/>
                <w:sz w:val="21"/>
                <w:szCs w:val="21"/>
              </w:rPr>
              <w:t xml:space="preserve">398.15 </w:t>
            </w:r>
          </w:p>
        </w:tc>
        <w:tc>
          <w:tcPr>
            <w:tcW w:w="1276" w:type="dxa"/>
          </w:tcPr>
          <w:p>
            <w:pPr>
              <w:jc w:val="right"/>
              <w:rPr>
                <w:rFonts w:ascii="宋体" w:hAnsi="宋体"/>
                <w:sz w:val="21"/>
                <w:szCs w:val="21"/>
              </w:rPr>
            </w:pPr>
            <w:r>
              <w:rPr>
                <w:rFonts w:ascii="宋体" w:hAnsi="宋体"/>
                <w:sz w:val="21"/>
                <w:szCs w:val="21"/>
              </w:rPr>
              <w:t xml:space="preserve">2,349 </w:t>
            </w:r>
          </w:p>
        </w:tc>
        <w:tc>
          <w:tcPr>
            <w:tcW w:w="992" w:type="dxa"/>
            <w:vAlign w:val="center"/>
          </w:tcPr>
          <w:p>
            <w:pPr>
              <w:jc w:val="right"/>
              <w:rPr>
                <w:rFonts w:ascii="宋体" w:hAnsi="宋体"/>
                <w:sz w:val="21"/>
                <w:szCs w:val="21"/>
              </w:rPr>
            </w:pPr>
            <w:r>
              <w:rPr>
                <w:rFonts w:ascii="宋体" w:hAnsi="宋体"/>
                <w:sz w:val="21"/>
                <w:szCs w:val="21"/>
              </w:rPr>
              <w:t xml:space="preserve">11,711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9,859 </w:t>
            </w:r>
          </w:p>
        </w:tc>
        <w:tc>
          <w:tcPr>
            <w:tcW w:w="1134" w:type="dxa"/>
            <w:vAlign w:val="center"/>
          </w:tcPr>
          <w:p>
            <w:pPr>
              <w:jc w:val="right"/>
              <w:rPr>
                <w:rFonts w:ascii="宋体" w:hAnsi="宋体"/>
                <w:sz w:val="21"/>
                <w:szCs w:val="21"/>
              </w:rPr>
            </w:pPr>
            <w:r>
              <w:rPr>
                <w:rFonts w:ascii="宋体" w:hAnsi="宋体"/>
                <w:sz w:val="21"/>
                <w:szCs w:val="21"/>
              </w:rPr>
              <w:t xml:space="preserve">602.84 </w:t>
            </w:r>
          </w:p>
        </w:tc>
        <w:tc>
          <w:tcPr>
            <w:tcW w:w="1276" w:type="dxa"/>
            <w:vAlign w:val="center"/>
          </w:tcPr>
          <w:p>
            <w:pPr>
              <w:jc w:val="right"/>
              <w:rPr>
                <w:rFonts w:ascii="宋体" w:hAnsi="宋体"/>
                <w:sz w:val="21"/>
                <w:szCs w:val="21"/>
              </w:rPr>
            </w:pPr>
            <w:r>
              <w:rPr>
                <w:rFonts w:ascii="宋体" w:hAnsi="宋体"/>
                <w:sz w:val="21"/>
                <w:szCs w:val="21"/>
              </w:rPr>
              <w:t xml:space="preserve">5,943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经筛选原煤</w:t>
            </w:r>
          </w:p>
        </w:tc>
        <w:tc>
          <w:tcPr>
            <w:tcW w:w="998" w:type="dxa"/>
          </w:tcPr>
          <w:p>
            <w:pPr>
              <w:jc w:val="right"/>
              <w:rPr>
                <w:rFonts w:ascii="宋体" w:hAnsi="宋体"/>
                <w:sz w:val="21"/>
                <w:szCs w:val="21"/>
              </w:rPr>
            </w:pPr>
            <w:r>
              <w:rPr>
                <w:rFonts w:ascii="宋体" w:hAnsi="宋体"/>
                <w:sz w:val="21"/>
                <w:szCs w:val="21"/>
              </w:rPr>
              <w:t xml:space="preserve">9,614 </w:t>
            </w:r>
          </w:p>
        </w:tc>
        <w:tc>
          <w:tcPr>
            <w:tcW w:w="992" w:type="dxa"/>
            <w:shd w:val="clear" w:color="auto" w:fill="auto"/>
          </w:tcPr>
          <w:p>
            <w:pPr>
              <w:jc w:val="right"/>
              <w:rPr>
                <w:rFonts w:ascii="宋体" w:hAnsi="宋体"/>
                <w:sz w:val="21"/>
                <w:szCs w:val="21"/>
              </w:rPr>
            </w:pPr>
            <w:r>
              <w:rPr>
                <w:rFonts w:ascii="宋体" w:hAnsi="宋体"/>
                <w:sz w:val="21"/>
                <w:szCs w:val="21"/>
              </w:rPr>
              <w:t xml:space="preserve">5,900 </w:t>
            </w:r>
          </w:p>
        </w:tc>
        <w:tc>
          <w:tcPr>
            <w:tcW w:w="1134" w:type="dxa"/>
          </w:tcPr>
          <w:p>
            <w:pPr>
              <w:jc w:val="right"/>
              <w:rPr>
                <w:rFonts w:ascii="宋体" w:hAnsi="宋体"/>
                <w:sz w:val="21"/>
                <w:szCs w:val="21"/>
              </w:rPr>
            </w:pPr>
            <w:r>
              <w:rPr>
                <w:rFonts w:ascii="宋体" w:hAnsi="宋体"/>
                <w:sz w:val="21"/>
                <w:szCs w:val="21"/>
              </w:rPr>
              <w:t xml:space="preserve">398.15 </w:t>
            </w:r>
          </w:p>
        </w:tc>
        <w:tc>
          <w:tcPr>
            <w:tcW w:w="1276" w:type="dxa"/>
          </w:tcPr>
          <w:p>
            <w:pPr>
              <w:jc w:val="right"/>
              <w:rPr>
                <w:rFonts w:ascii="宋体" w:hAnsi="宋体"/>
                <w:sz w:val="21"/>
                <w:szCs w:val="21"/>
              </w:rPr>
            </w:pPr>
            <w:r>
              <w:rPr>
                <w:rFonts w:ascii="宋体" w:hAnsi="宋体"/>
                <w:sz w:val="21"/>
                <w:szCs w:val="21"/>
              </w:rPr>
              <w:t xml:space="preserve">2,349 </w:t>
            </w:r>
          </w:p>
        </w:tc>
        <w:tc>
          <w:tcPr>
            <w:tcW w:w="992" w:type="dxa"/>
            <w:vAlign w:val="center"/>
          </w:tcPr>
          <w:p>
            <w:pPr>
              <w:jc w:val="right"/>
              <w:rPr>
                <w:rFonts w:ascii="宋体" w:hAnsi="宋体"/>
                <w:sz w:val="21"/>
                <w:szCs w:val="21"/>
              </w:rPr>
            </w:pPr>
            <w:r>
              <w:rPr>
                <w:rFonts w:ascii="宋体" w:hAnsi="宋体"/>
                <w:sz w:val="21"/>
                <w:szCs w:val="21"/>
              </w:rPr>
              <w:t xml:space="preserve">11,711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9,859 </w:t>
            </w:r>
          </w:p>
        </w:tc>
        <w:tc>
          <w:tcPr>
            <w:tcW w:w="1134" w:type="dxa"/>
            <w:vAlign w:val="center"/>
          </w:tcPr>
          <w:p>
            <w:pPr>
              <w:jc w:val="right"/>
              <w:rPr>
                <w:rFonts w:ascii="宋体" w:hAnsi="宋体"/>
                <w:sz w:val="21"/>
                <w:szCs w:val="21"/>
              </w:rPr>
            </w:pPr>
            <w:r>
              <w:rPr>
                <w:rFonts w:ascii="宋体" w:hAnsi="宋体"/>
                <w:sz w:val="21"/>
                <w:szCs w:val="21"/>
              </w:rPr>
              <w:t xml:space="preserve">602.84 </w:t>
            </w:r>
          </w:p>
        </w:tc>
        <w:tc>
          <w:tcPr>
            <w:tcW w:w="1276" w:type="dxa"/>
            <w:vAlign w:val="center"/>
          </w:tcPr>
          <w:p>
            <w:pPr>
              <w:jc w:val="right"/>
              <w:rPr>
                <w:rFonts w:ascii="宋体" w:hAnsi="宋体"/>
                <w:sz w:val="21"/>
                <w:szCs w:val="21"/>
              </w:rPr>
            </w:pPr>
            <w:r>
              <w:rPr>
                <w:rFonts w:ascii="宋体" w:hAnsi="宋体"/>
                <w:sz w:val="21"/>
                <w:szCs w:val="21"/>
              </w:rPr>
              <w:t xml:space="preserve">5,943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rPr>
                <w:rFonts w:ascii="宋体" w:hAnsi="宋体"/>
                <w:sz w:val="21"/>
                <w:szCs w:val="21"/>
              </w:rPr>
            </w:pPr>
            <w:r>
              <w:rPr>
                <w:rFonts w:hint="eastAsia" w:ascii="宋体" w:hAnsi="宋体"/>
                <w:sz w:val="21"/>
                <w:szCs w:val="21"/>
              </w:rPr>
              <w:t>七、昊盛煤业</w:t>
            </w:r>
          </w:p>
        </w:tc>
        <w:tc>
          <w:tcPr>
            <w:tcW w:w="998" w:type="dxa"/>
          </w:tcPr>
          <w:p>
            <w:pPr>
              <w:jc w:val="right"/>
              <w:rPr>
                <w:rFonts w:ascii="宋体" w:hAnsi="宋体"/>
                <w:sz w:val="21"/>
                <w:szCs w:val="21"/>
              </w:rPr>
            </w:pPr>
            <w:r>
              <w:rPr>
                <w:rFonts w:ascii="宋体" w:hAnsi="宋体"/>
                <w:sz w:val="21"/>
                <w:szCs w:val="21"/>
              </w:rPr>
              <w:t xml:space="preserve">4,601 </w:t>
            </w:r>
          </w:p>
        </w:tc>
        <w:tc>
          <w:tcPr>
            <w:tcW w:w="992" w:type="dxa"/>
            <w:shd w:val="clear" w:color="auto" w:fill="auto"/>
          </w:tcPr>
          <w:p>
            <w:pPr>
              <w:jc w:val="right"/>
              <w:rPr>
                <w:rFonts w:ascii="宋体" w:hAnsi="宋体"/>
                <w:sz w:val="21"/>
                <w:szCs w:val="21"/>
              </w:rPr>
            </w:pPr>
            <w:r>
              <w:rPr>
                <w:rFonts w:ascii="宋体" w:hAnsi="宋体"/>
                <w:sz w:val="21"/>
                <w:szCs w:val="21"/>
              </w:rPr>
              <w:t xml:space="preserve">4,607 </w:t>
            </w:r>
          </w:p>
        </w:tc>
        <w:tc>
          <w:tcPr>
            <w:tcW w:w="1134" w:type="dxa"/>
          </w:tcPr>
          <w:p>
            <w:pPr>
              <w:jc w:val="right"/>
              <w:rPr>
                <w:rFonts w:ascii="宋体" w:hAnsi="宋体"/>
                <w:sz w:val="21"/>
                <w:szCs w:val="21"/>
              </w:rPr>
            </w:pPr>
            <w:r>
              <w:rPr>
                <w:rFonts w:ascii="宋体" w:hAnsi="宋体"/>
                <w:sz w:val="21"/>
                <w:szCs w:val="21"/>
              </w:rPr>
              <w:t xml:space="preserve">562.34 </w:t>
            </w:r>
          </w:p>
        </w:tc>
        <w:tc>
          <w:tcPr>
            <w:tcW w:w="1276" w:type="dxa"/>
          </w:tcPr>
          <w:p>
            <w:pPr>
              <w:jc w:val="right"/>
              <w:rPr>
                <w:rFonts w:ascii="宋体" w:hAnsi="宋体"/>
                <w:sz w:val="21"/>
                <w:szCs w:val="21"/>
              </w:rPr>
            </w:pPr>
            <w:r>
              <w:rPr>
                <w:rFonts w:ascii="宋体" w:hAnsi="宋体"/>
                <w:sz w:val="21"/>
                <w:szCs w:val="21"/>
              </w:rPr>
              <w:t xml:space="preserve">2,591 </w:t>
            </w:r>
          </w:p>
        </w:tc>
        <w:tc>
          <w:tcPr>
            <w:tcW w:w="992" w:type="dxa"/>
            <w:vAlign w:val="center"/>
          </w:tcPr>
          <w:p>
            <w:pPr>
              <w:jc w:val="right"/>
              <w:rPr>
                <w:rFonts w:ascii="宋体" w:hAnsi="宋体"/>
                <w:sz w:val="21"/>
                <w:szCs w:val="21"/>
              </w:rPr>
            </w:pPr>
            <w:r>
              <w:rPr>
                <w:rFonts w:ascii="宋体" w:hAnsi="宋体"/>
                <w:sz w:val="21"/>
                <w:szCs w:val="21"/>
              </w:rPr>
              <w:t xml:space="preserve">4,284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4,215 </w:t>
            </w:r>
          </w:p>
        </w:tc>
        <w:tc>
          <w:tcPr>
            <w:tcW w:w="1134" w:type="dxa"/>
            <w:vAlign w:val="center"/>
          </w:tcPr>
          <w:p>
            <w:pPr>
              <w:jc w:val="right"/>
              <w:rPr>
                <w:rFonts w:ascii="宋体" w:hAnsi="宋体"/>
                <w:sz w:val="21"/>
                <w:szCs w:val="21"/>
              </w:rPr>
            </w:pPr>
            <w:r>
              <w:rPr>
                <w:rFonts w:ascii="宋体" w:hAnsi="宋体"/>
                <w:sz w:val="21"/>
                <w:szCs w:val="21"/>
              </w:rPr>
              <w:t xml:space="preserve">772.18 </w:t>
            </w:r>
          </w:p>
        </w:tc>
        <w:tc>
          <w:tcPr>
            <w:tcW w:w="1276" w:type="dxa"/>
            <w:vAlign w:val="center"/>
          </w:tcPr>
          <w:p>
            <w:pPr>
              <w:jc w:val="right"/>
              <w:rPr>
                <w:rFonts w:ascii="宋体" w:hAnsi="宋体"/>
                <w:sz w:val="21"/>
                <w:szCs w:val="21"/>
              </w:rPr>
            </w:pPr>
            <w:r>
              <w:rPr>
                <w:rFonts w:ascii="宋体" w:hAnsi="宋体"/>
                <w:sz w:val="21"/>
                <w:szCs w:val="21"/>
              </w:rPr>
              <w:t xml:space="preserve">3,255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经筛选原煤</w:t>
            </w:r>
          </w:p>
        </w:tc>
        <w:tc>
          <w:tcPr>
            <w:tcW w:w="998" w:type="dxa"/>
          </w:tcPr>
          <w:p>
            <w:pPr>
              <w:jc w:val="right"/>
              <w:rPr>
                <w:rFonts w:ascii="宋体" w:hAnsi="宋体"/>
                <w:sz w:val="21"/>
                <w:szCs w:val="21"/>
              </w:rPr>
            </w:pPr>
            <w:r>
              <w:rPr>
                <w:rFonts w:ascii="宋体" w:hAnsi="宋体"/>
                <w:sz w:val="21"/>
                <w:szCs w:val="21"/>
              </w:rPr>
              <w:t xml:space="preserve">4,601 </w:t>
            </w:r>
          </w:p>
        </w:tc>
        <w:tc>
          <w:tcPr>
            <w:tcW w:w="992" w:type="dxa"/>
            <w:shd w:val="clear" w:color="auto" w:fill="auto"/>
          </w:tcPr>
          <w:p>
            <w:pPr>
              <w:jc w:val="right"/>
              <w:rPr>
                <w:rFonts w:ascii="宋体" w:hAnsi="宋体"/>
                <w:sz w:val="21"/>
                <w:szCs w:val="21"/>
              </w:rPr>
            </w:pPr>
            <w:r>
              <w:rPr>
                <w:rFonts w:ascii="宋体" w:hAnsi="宋体"/>
                <w:sz w:val="21"/>
                <w:szCs w:val="21"/>
              </w:rPr>
              <w:t xml:space="preserve">4,607 </w:t>
            </w:r>
          </w:p>
        </w:tc>
        <w:tc>
          <w:tcPr>
            <w:tcW w:w="1134" w:type="dxa"/>
          </w:tcPr>
          <w:p>
            <w:pPr>
              <w:jc w:val="right"/>
              <w:rPr>
                <w:rFonts w:ascii="宋体" w:hAnsi="宋体"/>
                <w:sz w:val="21"/>
                <w:szCs w:val="21"/>
              </w:rPr>
            </w:pPr>
            <w:r>
              <w:rPr>
                <w:rFonts w:ascii="宋体" w:hAnsi="宋体"/>
                <w:sz w:val="21"/>
                <w:szCs w:val="21"/>
              </w:rPr>
              <w:t xml:space="preserve">562.34 </w:t>
            </w:r>
          </w:p>
        </w:tc>
        <w:tc>
          <w:tcPr>
            <w:tcW w:w="1276" w:type="dxa"/>
          </w:tcPr>
          <w:p>
            <w:pPr>
              <w:jc w:val="right"/>
              <w:rPr>
                <w:rFonts w:ascii="宋体" w:hAnsi="宋体"/>
                <w:sz w:val="21"/>
                <w:szCs w:val="21"/>
              </w:rPr>
            </w:pPr>
            <w:r>
              <w:rPr>
                <w:rFonts w:ascii="宋体" w:hAnsi="宋体"/>
                <w:sz w:val="21"/>
                <w:szCs w:val="21"/>
              </w:rPr>
              <w:t xml:space="preserve">2,591 </w:t>
            </w:r>
          </w:p>
        </w:tc>
        <w:tc>
          <w:tcPr>
            <w:tcW w:w="992" w:type="dxa"/>
            <w:vAlign w:val="center"/>
          </w:tcPr>
          <w:p>
            <w:pPr>
              <w:jc w:val="right"/>
              <w:rPr>
                <w:rFonts w:ascii="宋体" w:hAnsi="宋体"/>
                <w:sz w:val="21"/>
                <w:szCs w:val="21"/>
              </w:rPr>
            </w:pPr>
            <w:r>
              <w:rPr>
                <w:rFonts w:ascii="宋体" w:hAnsi="宋体"/>
                <w:sz w:val="21"/>
                <w:szCs w:val="21"/>
              </w:rPr>
              <w:t xml:space="preserve">4,284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4,215 </w:t>
            </w:r>
          </w:p>
        </w:tc>
        <w:tc>
          <w:tcPr>
            <w:tcW w:w="1134" w:type="dxa"/>
            <w:vAlign w:val="center"/>
          </w:tcPr>
          <w:p>
            <w:pPr>
              <w:jc w:val="right"/>
              <w:rPr>
                <w:rFonts w:ascii="宋体" w:hAnsi="宋体"/>
                <w:sz w:val="21"/>
                <w:szCs w:val="21"/>
              </w:rPr>
            </w:pPr>
            <w:r>
              <w:rPr>
                <w:rFonts w:ascii="宋体" w:hAnsi="宋体"/>
                <w:sz w:val="21"/>
                <w:szCs w:val="21"/>
              </w:rPr>
              <w:t xml:space="preserve">772.18 </w:t>
            </w:r>
          </w:p>
        </w:tc>
        <w:tc>
          <w:tcPr>
            <w:tcW w:w="1276" w:type="dxa"/>
            <w:vAlign w:val="center"/>
          </w:tcPr>
          <w:p>
            <w:pPr>
              <w:jc w:val="right"/>
              <w:rPr>
                <w:rFonts w:ascii="宋体" w:hAnsi="宋体"/>
                <w:sz w:val="21"/>
                <w:szCs w:val="21"/>
              </w:rPr>
            </w:pPr>
            <w:r>
              <w:rPr>
                <w:rFonts w:ascii="宋体" w:hAnsi="宋体"/>
                <w:sz w:val="21"/>
                <w:szCs w:val="21"/>
              </w:rPr>
              <w:t xml:space="preserve">3,255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rPr>
                <w:rFonts w:ascii="宋体" w:hAnsi="宋体"/>
                <w:sz w:val="21"/>
                <w:szCs w:val="21"/>
              </w:rPr>
            </w:pPr>
            <w:r>
              <w:rPr>
                <w:rFonts w:hint="eastAsia" w:ascii="宋体" w:hAnsi="宋体"/>
                <w:sz w:val="21"/>
                <w:szCs w:val="21"/>
              </w:rPr>
              <w:t>八、内蒙古矿业</w:t>
            </w:r>
          </w:p>
        </w:tc>
        <w:tc>
          <w:tcPr>
            <w:tcW w:w="998" w:type="dxa"/>
          </w:tcPr>
          <w:p>
            <w:pPr>
              <w:jc w:val="right"/>
              <w:rPr>
                <w:rFonts w:ascii="宋体" w:hAnsi="宋体"/>
                <w:sz w:val="21"/>
                <w:szCs w:val="21"/>
              </w:rPr>
            </w:pPr>
            <w:r>
              <w:rPr>
                <w:rFonts w:ascii="宋体" w:hAnsi="宋体"/>
                <w:sz w:val="21"/>
                <w:szCs w:val="21"/>
              </w:rPr>
              <w:t xml:space="preserve">3,826 </w:t>
            </w:r>
          </w:p>
        </w:tc>
        <w:tc>
          <w:tcPr>
            <w:tcW w:w="992" w:type="dxa"/>
            <w:shd w:val="clear" w:color="auto" w:fill="auto"/>
          </w:tcPr>
          <w:p>
            <w:pPr>
              <w:jc w:val="right"/>
              <w:rPr>
                <w:rFonts w:ascii="宋体" w:hAnsi="宋体"/>
                <w:sz w:val="21"/>
                <w:szCs w:val="21"/>
              </w:rPr>
            </w:pPr>
            <w:r>
              <w:rPr>
                <w:rFonts w:ascii="宋体" w:hAnsi="宋体"/>
                <w:sz w:val="21"/>
                <w:szCs w:val="21"/>
              </w:rPr>
              <w:t xml:space="preserve">3,931 </w:t>
            </w:r>
          </w:p>
        </w:tc>
        <w:tc>
          <w:tcPr>
            <w:tcW w:w="1134" w:type="dxa"/>
          </w:tcPr>
          <w:p>
            <w:pPr>
              <w:jc w:val="right"/>
              <w:rPr>
                <w:rFonts w:ascii="宋体" w:hAnsi="宋体"/>
                <w:sz w:val="21"/>
                <w:szCs w:val="21"/>
              </w:rPr>
            </w:pPr>
            <w:r>
              <w:rPr>
                <w:rFonts w:ascii="宋体" w:hAnsi="宋体"/>
                <w:sz w:val="21"/>
                <w:szCs w:val="21"/>
              </w:rPr>
              <w:t xml:space="preserve">521.21 </w:t>
            </w:r>
          </w:p>
        </w:tc>
        <w:tc>
          <w:tcPr>
            <w:tcW w:w="1276" w:type="dxa"/>
          </w:tcPr>
          <w:p>
            <w:pPr>
              <w:jc w:val="right"/>
              <w:rPr>
                <w:rFonts w:ascii="宋体" w:hAnsi="宋体"/>
                <w:sz w:val="21"/>
                <w:szCs w:val="21"/>
              </w:rPr>
            </w:pPr>
            <w:r>
              <w:rPr>
                <w:rFonts w:ascii="宋体" w:hAnsi="宋体"/>
                <w:sz w:val="21"/>
                <w:szCs w:val="21"/>
              </w:rPr>
              <w:t xml:space="preserve">2,049 </w:t>
            </w:r>
          </w:p>
        </w:tc>
        <w:tc>
          <w:tcPr>
            <w:tcW w:w="992" w:type="dxa"/>
            <w:vAlign w:val="center"/>
          </w:tcPr>
          <w:p>
            <w:pPr>
              <w:jc w:val="right"/>
              <w:rPr>
                <w:rFonts w:ascii="宋体" w:hAnsi="宋体"/>
                <w:sz w:val="21"/>
                <w:szCs w:val="21"/>
              </w:rPr>
            </w:pPr>
            <w:r>
              <w:rPr>
                <w:rFonts w:ascii="宋体" w:hAnsi="宋体"/>
                <w:sz w:val="21"/>
                <w:szCs w:val="21"/>
              </w:rPr>
              <w:t xml:space="preserve">4,090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3,946 </w:t>
            </w:r>
          </w:p>
        </w:tc>
        <w:tc>
          <w:tcPr>
            <w:tcW w:w="1134" w:type="dxa"/>
            <w:vAlign w:val="center"/>
          </w:tcPr>
          <w:p>
            <w:pPr>
              <w:jc w:val="right"/>
              <w:rPr>
                <w:rFonts w:ascii="宋体" w:hAnsi="宋体"/>
                <w:sz w:val="21"/>
                <w:szCs w:val="21"/>
              </w:rPr>
            </w:pPr>
            <w:r>
              <w:rPr>
                <w:rFonts w:ascii="宋体" w:hAnsi="宋体"/>
                <w:sz w:val="21"/>
                <w:szCs w:val="21"/>
              </w:rPr>
              <w:t xml:space="preserve">633.51 </w:t>
            </w:r>
          </w:p>
        </w:tc>
        <w:tc>
          <w:tcPr>
            <w:tcW w:w="1276" w:type="dxa"/>
            <w:vAlign w:val="center"/>
          </w:tcPr>
          <w:p>
            <w:pPr>
              <w:jc w:val="right"/>
              <w:rPr>
                <w:rFonts w:ascii="宋体" w:hAnsi="宋体"/>
                <w:sz w:val="21"/>
                <w:szCs w:val="21"/>
              </w:rPr>
            </w:pPr>
            <w:r>
              <w:rPr>
                <w:rFonts w:ascii="宋体" w:hAnsi="宋体"/>
                <w:sz w:val="21"/>
                <w:szCs w:val="21"/>
              </w:rPr>
              <w:t xml:space="preserve">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经筛选原煤</w:t>
            </w:r>
          </w:p>
        </w:tc>
        <w:tc>
          <w:tcPr>
            <w:tcW w:w="998" w:type="dxa"/>
          </w:tcPr>
          <w:p>
            <w:pPr>
              <w:jc w:val="right"/>
              <w:rPr>
                <w:rFonts w:ascii="宋体" w:hAnsi="宋体"/>
                <w:sz w:val="21"/>
                <w:szCs w:val="21"/>
              </w:rPr>
            </w:pPr>
            <w:r>
              <w:rPr>
                <w:rFonts w:ascii="宋体" w:hAnsi="宋体"/>
                <w:sz w:val="21"/>
                <w:szCs w:val="21"/>
              </w:rPr>
              <w:t xml:space="preserve">3,826 </w:t>
            </w:r>
          </w:p>
        </w:tc>
        <w:tc>
          <w:tcPr>
            <w:tcW w:w="992" w:type="dxa"/>
            <w:shd w:val="clear" w:color="auto" w:fill="auto"/>
          </w:tcPr>
          <w:p>
            <w:pPr>
              <w:jc w:val="right"/>
              <w:rPr>
                <w:rFonts w:ascii="宋体" w:hAnsi="宋体"/>
                <w:sz w:val="21"/>
                <w:szCs w:val="21"/>
              </w:rPr>
            </w:pPr>
            <w:r>
              <w:rPr>
                <w:rFonts w:ascii="宋体" w:hAnsi="宋体"/>
                <w:sz w:val="21"/>
                <w:szCs w:val="21"/>
              </w:rPr>
              <w:t xml:space="preserve">3,931 </w:t>
            </w:r>
          </w:p>
        </w:tc>
        <w:tc>
          <w:tcPr>
            <w:tcW w:w="1134" w:type="dxa"/>
          </w:tcPr>
          <w:p>
            <w:pPr>
              <w:jc w:val="right"/>
              <w:rPr>
                <w:rFonts w:ascii="宋体" w:hAnsi="宋体"/>
                <w:sz w:val="21"/>
                <w:szCs w:val="21"/>
              </w:rPr>
            </w:pPr>
            <w:r>
              <w:rPr>
                <w:rFonts w:ascii="宋体" w:hAnsi="宋体"/>
                <w:sz w:val="21"/>
                <w:szCs w:val="21"/>
              </w:rPr>
              <w:t xml:space="preserve">521.21 </w:t>
            </w:r>
          </w:p>
        </w:tc>
        <w:tc>
          <w:tcPr>
            <w:tcW w:w="1276" w:type="dxa"/>
          </w:tcPr>
          <w:p>
            <w:pPr>
              <w:jc w:val="right"/>
              <w:rPr>
                <w:rFonts w:ascii="宋体" w:hAnsi="宋体"/>
                <w:sz w:val="21"/>
                <w:szCs w:val="21"/>
              </w:rPr>
            </w:pPr>
            <w:r>
              <w:rPr>
                <w:rFonts w:ascii="宋体" w:hAnsi="宋体"/>
                <w:sz w:val="21"/>
                <w:szCs w:val="21"/>
              </w:rPr>
              <w:t xml:space="preserve">2,049 </w:t>
            </w:r>
          </w:p>
        </w:tc>
        <w:tc>
          <w:tcPr>
            <w:tcW w:w="992" w:type="dxa"/>
            <w:vAlign w:val="center"/>
          </w:tcPr>
          <w:p>
            <w:pPr>
              <w:jc w:val="right"/>
              <w:rPr>
                <w:rFonts w:ascii="宋体" w:hAnsi="宋体"/>
                <w:sz w:val="21"/>
                <w:szCs w:val="21"/>
              </w:rPr>
            </w:pPr>
            <w:r>
              <w:rPr>
                <w:rFonts w:ascii="宋体" w:hAnsi="宋体"/>
                <w:sz w:val="21"/>
                <w:szCs w:val="21"/>
              </w:rPr>
              <w:t xml:space="preserve">4,090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3,946 </w:t>
            </w:r>
          </w:p>
        </w:tc>
        <w:tc>
          <w:tcPr>
            <w:tcW w:w="1134" w:type="dxa"/>
            <w:vAlign w:val="center"/>
          </w:tcPr>
          <w:p>
            <w:pPr>
              <w:jc w:val="right"/>
              <w:rPr>
                <w:rFonts w:ascii="宋体" w:hAnsi="宋体"/>
                <w:sz w:val="21"/>
                <w:szCs w:val="21"/>
              </w:rPr>
            </w:pPr>
            <w:r>
              <w:rPr>
                <w:rFonts w:ascii="宋体" w:hAnsi="宋体"/>
                <w:sz w:val="21"/>
                <w:szCs w:val="21"/>
              </w:rPr>
              <w:t xml:space="preserve">633.51 </w:t>
            </w:r>
          </w:p>
        </w:tc>
        <w:tc>
          <w:tcPr>
            <w:tcW w:w="1276" w:type="dxa"/>
            <w:vAlign w:val="center"/>
          </w:tcPr>
          <w:p>
            <w:pPr>
              <w:jc w:val="right"/>
              <w:rPr>
                <w:rFonts w:ascii="宋体" w:hAnsi="宋体"/>
                <w:sz w:val="21"/>
                <w:szCs w:val="21"/>
              </w:rPr>
            </w:pPr>
            <w:r>
              <w:rPr>
                <w:rFonts w:ascii="宋体" w:hAnsi="宋体"/>
                <w:sz w:val="21"/>
                <w:szCs w:val="21"/>
              </w:rPr>
              <w:t xml:space="preserve">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tcPr>
          <w:p>
            <w:pPr>
              <w:rPr>
                <w:rFonts w:ascii="宋体" w:hAnsi="宋体"/>
                <w:sz w:val="21"/>
                <w:szCs w:val="21"/>
              </w:rPr>
            </w:pPr>
            <w:r>
              <w:rPr>
                <w:rFonts w:hint="eastAsia" w:ascii="宋体" w:hAnsi="宋体"/>
                <w:sz w:val="21"/>
                <w:szCs w:val="21"/>
              </w:rPr>
              <w:t>九、新疆能化</w:t>
            </w:r>
          </w:p>
        </w:tc>
        <w:tc>
          <w:tcPr>
            <w:tcW w:w="998" w:type="dxa"/>
          </w:tcPr>
          <w:p>
            <w:pPr>
              <w:jc w:val="right"/>
              <w:rPr>
                <w:rFonts w:ascii="宋体" w:hAnsi="宋体"/>
                <w:sz w:val="21"/>
                <w:szCs w:val="21"/>
              </w:rPr>
            </w:pPr>
            <w:r>
              <w:rPr>
                <w:rFonts w:ascii="宋体" w:hAnsi="宋体"/>
                <w:sz w:val="21"/>
                <w:szCs w:val="21"/>
              </w:rPr>
              <w:t xml:space="preserve">19,362 </w:t>
            </w:r>
          </w:p>
        </w:tc>
        <w:tc>
          <w:tcPr>
            <w:tcW w:w="992" w:type="dxa"/>
            <w:shd w:val="clear" w:color="auto" w:fill="auto"/>
          </w:tcPr>
          <w:p>
            <w:pPr>
              <w:jc w:val="right"/>
              <w:rPr>
                <w:rFonts w:ascii="宋体" w:hAnsi="宋体"/>
                <w:sz w:val="21"/>
                <w:szCs w:val="21"/>
              </w:rPr>
            </w:pPr>
            <w:r>
              <w:rPr>
                <w:rFonts w:ascii="宋体" w:hAnsi="宋体"/>
                <w:sz w:val="21"/>
                <w:szCs w:val="21"/>
              </w:rPr>
              <w:t xml:space="preserve">18,964 </w:t>
            </w:r>
          </w:p>
        </w:tc>
        <w:tc>
          <w:tcPr>
            <w:tcW w:w="1134" w:type="dxa"/>
          </w:tcPr>
          <w:p>
            <w:pPr>
              <w:jc w:val="right"/>
              <w:rPr>
                <w:rFonts w:ascii="宋体" w:hAnsi="宋体"/>
                <w:sz w:val="21"/>
                <w:szCs w:val="21"/>
              </w:rPr>
            </w:pPr>
            <w:r>
              <w:rPr>
                <w:rFonts w:ascii="宋体" w:hAnsi="宋体"/>
                <w:sz w:val="21"/>
                <w:szCs w:val="21"/>
              </w:rPr>
              <w:t xml:space="preserve">162.60 </w:t>
            </w:r>
          </w:p>
        </w:tc>
        <w:tc>
          <w:tcPr>
            <w:tcW w:w="1276" w:type="dxa"/>
          </w:tcPr>
          <w:p>
            <w:pPr>
              <w:jc w:val="right"/>
              <w:rPr>
                <w:rFonts w:ascii="宋体" w:hAnsi="宋体"/>
                <w:sz w:val="21"/>
                <w:szCs w:val="21"/>
              </w:rPr>
            </w:pPr>
            <w:r>
              <w:rPr>
                <w:rFonts w:ascii="宋体" w:hAnsi="宋体"/>
                <w:sz w:val="21"/>
                <w:szCs w:val="21"/>
              </w:rPr>
              <w:t xml:space="preserve">3,084 </w:t>
            </w:r>
          </w:p>
        </w:tc>
        <w:tc>
          <w:tcPr>
            <w:tcW w:w="992" w:type="dxa"/>
          </w:tcPr>
          <w:p>
            <w:pPr>
              <w:jc w:val="right"/>
              <w:rPr>
                <w:rFonts w:ascii="宋体" w:hAnsi="宋体"/>
                <w:sz w:val="21"/>
                <w:szCs w:val="21"/>
              </w:rPr>
            </w:pPr>
            <w:r>
              <w:rPr>
                <w:rFonts w:ascii="宋体" w:hAnsi="宋体"/>
                <w:sz w:val="21"/>
                <w:szCs w:val="21"/>
              </w:rPr>
              <w:t xml:space="preserve">20,466 </w:t>
            </w:r>
          </w:p>
        </w:tc>
        <w:tc>
          <w:tcPr>
            <w:tcW w:w="992" w:type="dxa"/>
            <w:shd w:val="clear" w:color="auto" w:fill="auto"/>
          </w:tcPr>
          <w:p>
            <w:pPr>
              <w:jc w:val="right"/>
              <w:rPr>
                <w:rFonts w:ascii="宋体" w:hAnsi="宋体"/>
                <w:sz w:val="21"/>
                <w:szCs w:val="21"/>
              </w:rPr>
            </w:pPr>
            <w:r>
              <w:rPr>
                <w:rFonts w:ascii="宋体" w:hAnsi="宋体"/>
                <w:sz w:val="21"/>
                <w:szCs w:val="21"/>
              </w:rPr>
              <w:t xml:space="preserve">20,539 </w:t>
            </w:r>
          </w:p>
        </w:tc>
        <w:tc>
          <w:tcPr>
            <w:tcW w:w="1134" w:type="dxa"/>
          </w:tcPr>
          <w:p>
            <w:pPr>
              <w:jc w:val="right"/>
              <w:rPr>
                <w:rFonts w:ascii="宋体" w:hAnsi="宋体"/>
                <w:sz w:val="21"/>
                <w:szCs w:val="21"/>
              </w:rPr>
            </w:pPr>
            <w:r>
              <w:rPr>
                <w:rFonts w:ascii="宋体" w:hAnsi="宋体"/>
                <w:sz w:val="21"/>
                <w:szCs w:val="21"/>
              </w:rPr>
              <w:t xml:space="preserve">194.08 </w:t>
            </w:r>
          </w:p>
        </w:tc>
        <w:tc>
          <w:tcPr>
            <w:tcW w:w="1276" w:type="dxa"/>
          </w:tcPr>
          <w:p>
            <w:pPr>
              <w:jc w:val="right"/>
              <w:rPr>
                <w:rFonts w:ascii="宋体" w:hAnsi="宋体"/>
                <w:sz w:val="21"/>
                <w:szCs w:val="21"/>
              </w:rPr>
            </w:pPr>
            <w:r>
              <w:rPr>
                <w:rFonts w:ascii="宋体" w:hAnsi="宋体"/>
                <w:sz w:val="21"/>
                <w:szCs w:val="21"/>
              </w:rPr>
              <w:t xml:space="preserve">3,986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tcPr>
          <w:p>
            <w:pPr>
              <w:ind w:firstLine="420" w:firstLineChars="200"/>
              <w:rPr>
                <w:rFonts w:ascii="宋体" w:hAnsi="宋体"/>
                <w:sz w:val="21"/>
                <w:szCs w:val="21"/>
              </w:rPr>
            </w:pPr>
            <w:r>
              <w:rPr>
                <w:rFonts w:hint="eastAsia" w:ascii="宋体" w:hAnsi="宋体"/>
                <w:sz w:val="21"/>
                <w:szCs w:val="21"/>
              </w:rPr>
              <w:t>经筛选原煤</w:t>
            </w:r>
          </w:p>
        </w:tc>
        <w:tc>
          <w:tcPr>
            <w:tcW w:w="998" w:type="dxa"/>
          </w:tcPr>
          <w:p>
            <w:pPr>
              <w:jc w:val="right"/>
              <w:rPr>
                <w:rFonts w:ascii="宋体" w:hAnsi="宋体"/>
                <w:sz w:val="21"/>
                <w:szCs w:val="21"/>
              </w:rPr>
            </w:pPr>
            <w:r>
              <w:rPr>
                <w:rFonts w:ascii="宋体" w:hAnsi="宋体"/>
                <w:sz w:val="21"/>
                <w:szCs w:val="21"/>
              </w:rPr>
              <w:t xml:space="preserve">19,362 </w:t>
            </w:r>
          </w:p>
        </w:tc>
        <w:tc>
          <w:tcPr>
            <w:tcW w:w="992" w:type="dxa"/>
            <w:shd w:val="clear" w:color="auto" w:fill="auto"/>
          </w:tcPr>
          <w:p>
            <w:pPr>
              <w:jc w:val="right"/>
              <w:rPr>
                <w:rFonts w:ascii="宋体" w:hAnsi="宋体"/>
                <w:sz w:val="21"/>
                <w:szCs w:val="21"/>
              </w:rPr>
            </w:pPr>
            <w:r>
              <w:rPr>
                <w:rFonts w:ascii="宋体" w:hAnsi="宋体"/>
                <w:sz w:val="21"/>
                <w:szCs w:val="21"/>
              </w:rPr>
              <w:t xml:space="preserve">18,964 </w:t>
            </w:r>
          </w:p>
        </w:tc>
        <w:tc>
          <w:tcPr>
            <w:tcW w:w="1134" w:type="dxa"/>
          </w:tcPr>
          <w:p>
            <w:pPr>
              <w:jc w:val="right"/>
              <w:rPr>
                <w:rFonts w:ascii="宋体" w:hAnsi="宋体"/>
                <w:sz w:val="21"/>
                <w:szCs w:val="21"/>
              </w:rPr>
            </w:pPr>
            <w:r>
              <w:rPr>
                <w:rFonts w:ascii="宋体" w:hAnsi="宋体"/>
                <w:sz w:val="21"/>
                <w:szCs w:val="21"/>
              </w:rPr>
              <w:t xml:space="preserve">162.60 </w:t>
            </w:r>
          </w:p>
        </w:tc>
        <w:tc>
          <w:tcPr>
            <w:tcW w:w="1276" w:type="dxa"/>
          </w:tcPr>
          <w:p>
            <w:pPr>
              <w:jc w:val="right"/>
              <w:rPr>
                <w:rFonts w:ascii="宋体" w:hAnsi="宋体"/>
                <w:sz w:val="21"/>
                <w:szCs w:val="21"/>
              </w:rPr>
            </w:pPr>
            <w:r>
              <w:rPr>
                <w:rFonts w:ascii="宋体" w:hAnsi="宋体"/>
                <w:sz w:val="21"/>
                <w:szCs w:val="21"/>
              </w:rPr>
              <w:t xml:space="preserve">3,084 </w:t>
            </w:r>
          </w:p>
        </w:tc>
        <w:tc>
          <w:tcPr>
            <w:tcW w:w="992" w:type="dxa"/>
          </w:tcPr>
          <w:p>
            <w:pPr>
              <w:jc w:val="right"/>
              <w:rPr>
                <w:rFonts w:ascii="宋体" w:hAnsi="宋体"/>
                <w:sz w:val="21"/>
                <w:szCs w:val="21"/>
              </w:rPr>
            </w:pPr>
            <w:r>
              <w:rPr>
                <w:rFonts w:ascii="宋体" w:hAnsi="宋体"/>
                <w:sz w:val="21"/>
                <w:szCs w:val="21"/>
              </w:rPr>
              <w:t xml:space="preserve">20,466 </w:t>
            </w:r>
          </w:p>
        </w:tc>
        <w:tc>
          <w:tcPr>
            <w:tcW w:w="992" w:type="dxa"/>
            <w:shd w:val="clear" w:color="auto" w:fill="auto"/>
          </w:tcPr>
          <w:p>
            <w:pPr>
              <w:jc w:val="right"/>
              <w:rPr>
                <w:rFonts w:ascii="宋体" w:hAnsi="宋体"/>
                <w:sz w:val="21"/>
                <w:szCs w:val="21"/>
              </w:rPr>
            </w:pPr>
            <w:r>
              <w:rPr>
                <w:rFonts w:ascii="宋体" w:hAnsi="宋体"/>
                <w:sz w:val="21"/>
                <w:szCs w:val="21"/>
              </w:rPr>
              <w:t xml:space="preserve">20,539 </w:t>
            </w:r>
          </w:p>
        </w:tc>
        <w:tc>
          <w:tcPr>
            <w:tcW w:w="1134" w:type="dxa"/>
          </w:tcPr>
          <w:p>
            <w:pPr>
              <w:jc w:val="right"/>
              <w:rPr>
                <w:rFonts w:ascii="宋体" w:hAnsi="宋体"/>
                <w:sz w:val="21"/>
                <w:szCs w:val="21"/>
              </w:rPr>
            </w:pPr>
            <w:r>
              <w:rPr>
                <w:rFonts w:ascii="宋体" w:hAnsi="宋体"/>
                <w:sz w:val="21"/>
                <w:szCs w:val="21"/>
              </w:rPr>
              <w:t xml:space="preserve">194.08 </w:t>
            </w:r>
          </w:p>
        </w:tc>
        <w:tc>
          <w:tcPr>
            <w:tcW w:w="1276" w:type="dxa"/>
          </w:tcPr>
          <w:p>
            <w:pPr>
              <w:jc w:val="right"/>
              <w:rPr>
                <w:rFonts w:ascii="宋体" w:hAnsi="宋体"/>
                <w:sz w:val="21"/>
                <w:szCs w:val="21"/>
              </w:rPr>
            </w:pPr>
            <w:r>
              <w:rPr>
                <w:rFonts w:ascii="宋体" w:hAnsi="宋体"/>
                <w:sz w:val="21"/>
                <w:szCs w:val="21"/>
              </w:rPr>
              <w:t xml:space="preserve">3,986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rPr>
                <w:rFonts w:ascii="宋体" w:hAnsi="宋体"/>
                <w:sz w:val="21"/>
                <w:szCs w:val="21"/>
              </w:rPr>
            </w:pPr>
            <w:r>
              <w:rPr>
                <w:rFonts w:hint="eastAsia" w:ascii="宋体" w:hAnsi="宋体"/>
                <w:sz w:val="21"/>
                <w:szCs w:val="21"/>
              </w:rPr>
              <w:t>十、兖煤澳洲</w:t>
            </w:r>
          </w:p>
        </w:tc>
        <w:tc>
          <w:tcPr>
            <w:tcW w:w="998" w:type="dxa"/>
          </w:tcPr>
          <w:p>
            <w:pPr>
              <w:jc w:val="right"/>
              <w:rPr>
                <w:rFonts w:ascii="宋体" w:hAnsi="宋体"/>
                <w:sz w:val="21"/>
                <w:szCs w:val="21"/>
              </w:rPr>
            </w:pPr>
            <w:r>
              <w:rPr>
                <w:rFonts w:ascii="宋体" w:hAnsi="宋体"/>
                <w:sz w:val="21"/>
                <w:szCs w:val="21"/>
              </w:rPr>
              <w:t xml:space="preserve">33,412 </w:t>
            </w:r>
          </w:p>
        </w:tc>
        <w:tc>
          <w:tcPr>
            <w:tcW w:w="992" w:type="dxa"/>
            <w:shd w:val="clear" w:color="auto" w:fill="auto"/>
          </w:tcPr>
          <w:p>
            <w:pPr>
              <w:jc w:val="right"/>
              <w:rPr>
                <w:rFonts w:ascii="宋体" w:hAnsi="宋体"/>
                <w:sz w:val="21"/>
                <w:szCs w:val="21"/>
              </w:rPr>
            </w:pPr>
            <w:r>
              <w:rPr>
                <w:rFonts w:ascii="宋体" w:hAnsi="宋体"/>
                <w:sz w:val="21"/>
                <w:szCs w:val="21"/>
              </w:rPr>
              <w:t xml:space="preserve">33,102 </w:t>
            </w:r>
          </w:p>
        </w:tc>
        <w:tc>
          <w:tcPr>
            <w:tcW w:w="1134" w:type="dxa"/>
          </w:tcPr>
          <w:p>
            <w:pPr>
              <w:jc w:val="right"/>
              <w:rPr>
                <w:rFonts w:ascii="宋体" w:hAnsi="宋体"/>
                <w:sz w:val="21"/>
                <w:szCs w:val="21"/>
              </w:rPr>
            </w:pPr>
            <w:r>
              <w:rPr>
                <w:rFonts w:ascii="宋体" w:hAnsi="宋体"/>
                <w:sz w:val="21"/>
                <w:szCs w:val="21"/>
              </w:rPr>
              <w:t xml:space="preserve">1,063.73 </w:t>
            </w:r>
          </w:p>
        </w:tc>
        <w:tc>
          <w:tcPr>
            <w:tcW w:w="1276" w:type="dxa"/>
          </w:tcPr>
          <w:p>
            <w:pPr>
              <w:jc w:val="right"/>
              <w:rPr>
                <w:rFonts w:ascii="宋体" w:hAnsi="宋体"/>
                <w:sz w:val="21"/>
                <w:szCs w:val="21"/>
              </w:rPr>
            </w:pPr>
            <w:r>
              <w:rPr>
                <w:rFonts w:ascii="宋体" w:hAnsi="宋体"/>
                <w:sz w:val="21"/>
                <w:szCs w:val="21"/>
              </w:rPr>
              <w:t xml:space="preserve">35,212 </w:t>
            </w:r>
          </w:p>
        </w:tc>
        <w:tc>
          <w:tcPr>
            <w:tcW w:w="992" w:type="dxa"/>
            <w:vAlign w:val="center"/>
          </w:tcPr>
          <w:p>
            <w:pPr>
              <w:jc w:val="right"/>
              <w:rPr>
                <w:rFonts w:ascii="宋体" w:hAnsi="宋体"/>
                <w:sz w:val="21"/>
                <w:szCs w:val="21"/>
              </w:rPr>
            </w:pPr>
            <w:r>
              <w:rPr>
                <w:rFonts w:ascii="宋体" w:hAnsi="宋体"/>
                <w:sz w:val="21"/>
                <w:szCs w:val="21"/>
              </w:rPr>
              <w:t xml:space="preserve">29,435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29,253 </w:t>
            </w:r>
          </w:p>
        </w:tc>
        <w:tc>
          <w:tcPr>
            <w:tcW w:w="1134" w:type="dxa"/>
            <w:vAlign w:val="center"/>
          </w:tcPr>
          <w:p>
            <w:pPr>
              <w:jc w:val="right"/>
              <w:rPr>
                <w:rFonts w:ascii="宋体" w:hAnsi="宋体"/>
                <w:sz w:val="21"/>
                <w:szCs w:val="21"/>
              </w:rPr>
            </w:pPr>
            <w:r>
              <w:rPr>
                <w:rFonts w:ascii="宋体" w:hAnsi="宋体"/>
                <w:sz w:val="21"/>
                <w:szCs w:val="21"/>
              </w:rPr>
              <w:t xml:space="preserve">1,647.20 </w:t>
            </w:r>
          </w:p>
        </w:tc>
        <w:tc>
          <w:tcPr>
            <w:tcW w:w="1276" w:type="dxa"/>
            <w:vAlign w:val="center"/>
          </w:tcPr>
          <w:p>
            <w:pPr>
              <w:jc w:val="right"/>
              <w:rPr>
                <w:rFonts w:ascii="宋体" w:hAnsi="宋体"/>
                <w:sz w:val="21"/>
                <w:szCs w:val="21"/>
              </w:rPr>
            </w:pPr>
            <w:r>
              <w:rPr>
                <w:rFonts w:ascii="宋体" w:hAnsi="宋体"/>
                <w:sz w:val="21"/>
                <w:szCs w:val="21"/>
              </w:rPr>
              <w:t xml:space="preserve">48,185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半硬焦煤</w:t>
            </w:r>
          </w:p>
        </w:tc>
        <w:tc>
          <w:tcPr>
            <w:tcW w:w="998" w:type="dxa"/>
          </w:tcPr>
          <w:p>
            <w:pPr>
              <w:jc w:val="right"/>
              <w:rPr>
                <w:rFonts w:ascii="宋体" w:hAnsi="宋体"/>
                <w:sz w:val="21"/>
                <w:szCs w:val="21"/>
              </w:rPr>
            </w:pPr>
            <w:r>
              <w:rPr>
                <w:rFonts w:ascii="宋体" w:hAnsi="宋体"/>
                <w:sz w:val="21"/>
                <w:szCs w:val="21"/>
              </w:rPr>
              <w:t xml:space="preserve">160 </w:t>
            </w:r>
          </w:p>
        </w:tc>
        <w:tc>
          <w:tcPr>
            <w:tcW w:w="992" w:type="dxa"/>
            <w:shd w:val="clear" w:color="auto" w:fill="auto"/>
          </w:tcPr>
          <w:p>
            <w:pPr>
              <w:jc w:val="right"/>
              <w:rPr>
                <w:rFonts w:ascii="宋体" w:hAnsi="宋体"/>
                <w:sz w:val="21"/>
                <w:szCs w:val="21"/>
              </w:rPr>
            </w:pPr>
            <w:r>
              <w:rPr>
                <w:rFonts w:ascii="宋体" w:hAnsi="宋体"/>
                <w:sz w:val="21"/>
                <w:szCs w:val="21"/>
              </w:rPr>
              <w:t xml:space="preserve">159 </w:t>
            </w:r>
          </w:p>
        </w:tc>
        <w:tc>
          <w:tcPr>
            <w:tcW w:w="1134" w:type="dxa"/>
          </w:tcPr>
          <w:p>
            <w:pPr>
              <w:jc w:val="right"/>
              <w:rPr>
                <w:rFonts w:ascii="宋体" w:hAnsi="宋体"/>
                <w:sz w:val="21"/>
                <w:szCs w:val="21"/>
              </w:rPr>
            </w:pPr>
            <w:r>
              <w:rPr>
                <w:rFonts w:ascii="宋体" w:hAnsi="宋体"/>
                <w:sz w:val="21"/>
                <w:szCs w:val="21"/>
              </w:rPr>
              <w:t xml:space="preserve">1,708.09 </w:t>
            </w:r>
          </w:p>
        </w:tc>
        <w:tc>
          <w:tcPr>
            <w:tcW w:w="1276" w:type="dxa"/>
          </w:tcPr>
          <w:p>
            <w:pPr>
              <w:jc w:val="right"/>
              <w:rPr>
                <w:rFonts w:ascii="宋体" w:hAnsi="宋体"/>
                <w:sz w:val="21"/>
                <w:szCs w:val="21"/>
              </w:rPr>
            </w:pPr>
            <w:r>
              <w:rPr>
                <w:rFonts w:ascii="宋体" w:hAnsi="宋体"/>
                <w:sz w:val="21"/>
                <w:szCs w:val="21"/>
              </w:rPr>
              <w:t xml:space="preserve">271 </w:t>
            </w:r>
          </w:p>
        </w:tc>
        <w:tc>
          <w:tcPr>
            <w:tcW w:w="992" w:type="dxa"/>
            <w:vAlign w:val="center"/>
          </w:tcPr>
          <w:p>
            <w:pPr>
              <w:jc w:val="right"/>
              <w:rPr>
                <w:rFonts w:ascii="宋体" w:hAnsi="宋体"/>
                <w:sz w:val="21"/>
                <w:szCs w:val="21"/>
              </w:rPr>
            </w:pPr>
            <w:r>
              <w:rPr>
                <w:rFonts w:ascii="宋体" w:hAnsi="宋体"/>
                <w:sz w:val="21"/>
                <w:szCs w:val="21"/>
              </w:rPr>
              <w:t xml:space="preserve">237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235 </w:t>
            </w:r>
          </w:p>
        </w:tc>
        <w:tc>
          <w:tcPr>
            <w:tcW w:w="1134" w:type="dxa"/>
            <w:vAlign w:val="center"/>
          </w:tcPr>
          <w:p>
            <w:pPr>
              <w:jc w:val="right"/>
              <w:rPr>
                <w:rFonts w:ascii="宋体" w:hAnsi="宋体"/>
                <w:sz w:val="21"/>
                <w:szCs w:val="21"/>
              </w:rPr>
            </w:pPr>
            <w:r>
              <w:rPr>
                <w:rFonts w:ascii="宋体" w:hAnsi="宋体"/>
                <w:sz w:val="21"/>
                <w:szCs w:val="21"/>
              </w:rPr>
              <w:t xml:space="preserve">1,463.28 </w:t>
            </w:r>
          </w:p>
        </w:tc>
        <w:tc>
          <w:tcPr>
            <w:tcW w:w="1276" w:type="dxa"/>
            <w:vAlign w:val="center"/>
          </w:tcPr>
          <w:p>
            <w:pPr>
              <w:jc w:val="right"/>
              <w:rPr>
                <w:rFonts w:ascii="宋体" w:hAnsi="宋体"/>
                <w:sz w:val="21"/>
                <w:szCs w:val="21"/>
              </w:rPr>
            </w:pPr>
            <w:r>
              <w:rPr>
                <w:rFonts w:ascii="宋体" w:hAnsi="宋体"/>
                <w:sz w:val="21"/>
                <w:szCs w:val="21"/>
              </w:rPr>
              <w:t xml:space="preserve">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半软焦煤</w:t>
            </w:r>
          </w:p>
        </w:tc>
        <w:tc>
          <w:tcPr>
            <w:tcW w:w="998" w:type="dxa"/>
          </w:tcPr>
          <w:p>
            <w:pPr>
              <w:jc w:val="right"/>
              <w:rPr>
                <w:rFonts w:ascii="宋体" w:hAnsi="宋体"/>
                <w:sz w:val="21"/>
                <w:szCs w:val="21"/>
              </w:rPr>
            </w:pPr>
            <w:r>
              <w:rPr>
                <w:rFonts w:ascii="宋体" w:hAnsi="宋体"/>
                <w:sz w:val="21"/>
                <w:szCs w:val="21"/>
              </w:rPr>
              <w:t xml:space="preserve">2,457 </w:t>
            </w:r>
          </w:p>
        </w:tc>
        <w:tc>
          <w:tcPr>
            <w:tcW w:w="992" w:type="dxa"/>
            <w:shd w:val="clear" w:color="auto" w:fill="auto"/>
          </w:tcPr>
          <w:p>
            <w:pPr>
              <w:jc w:val="right"/>
              <w:rPr>
                <w:rFonts w:ascii="宋体" w:hAnsi="宋体"/>
                <w:sz w:val="21"/>
                <w:szCs w:val="21"/>
              </w:rPr>
            </w:pPr>
            <w:r>
              <w:rPr>
                <w:rFonts w:ascii="宋体" w:hAnsi="宋体"/>
                <w:sz w:val="21"/>
                <w:szCs w:val="21"/>
              </w:rPr>
              <w:t xml:space="preserve">2,434 </w:t>
            </w:r>
          </w:p>
        </w:tc>
        <w:tc>
          <w:tcPr>
            <w:tcW w:w="1134" w:type="dxa"/>
          </w:tcPr>
          <w:p>
            <w:pPr>
              <w:jc w:val="right"/>
              <w:rPr>
                <w:rFonts w:ascii="宋体" w:hAnsi="宋体"/>
                <w:sz w:val="21"/>
                <w:szCs w:val="21"/>
              </w:rPr>
            </w:pPr>
            <w:r>
              <w:rPr>
                <w:rFonts w:ascii="宋体" w:hAnsi="宋体"/>
                <w:sz w:val="21"/>
                <w:szCs w:val="21"/>
              </w:rPr>
              <w:t xml:space="preserve">1,731.78 </w:t>
            </w:r>
          </w:p>
        </w:tc>
        <w:tc>
          <w:tcPr>
            <w:tcW w:w="1276" w:type="dxa"/>
          </w:tcPr>
          <w:p>
            <w:pPr>
              <w:jc w:val="right"/>
              <w:rPr>
                <w:rFonts w:ascii="宋体" w:hAnsi="宋体"/>
                <w:sz w:val="21"/>
                <w:szCs w:val="21"/>
              </w:rPr>
            </w:pPr>
            <w:r>
              <w:rPr>
                <w:rFonts w:ascii="宋体" w:hAnsi="宋体"/>
                <w:sz w:val="21"/>
                <w:szCs w:val="21"/>
              </w:rPr>
              <w:t xml:space="preserve">4,216 </w:t>
            </w:r>
          </w:p>
        </w:tc>
        <w:tc>
          <w:tcPr>
            <w:tcW w:w="992" w:type="dxa"/>
            <w:vAlign w:val="center"/>
          </w:tcPr>
          <w:p>
            <w:pPr>
              <w:jc w:val="right"/>
              <w:rPr>
                <w:rFonts w:ascii="宋体" w:hAnsi="宋体"/>
                <w:sz w:val="21"/>
                <w:szCs w:val="21"/>
              </w:rPr>
            </w:pPr>
            <w:r>
              <w:rPr>
                <w:rFonts w:ascii="宋体" w:hAnsi="宋体"/>
                <w:sz w:val="21"/>
                <w:szCs w:val="21"/>
              </w:rPr>
              <w:t xml:space="preserve">2,578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2,562 </w:t>
            </w:r>
          </w:p>
        </w:tc>
        <w:tc>
          <w:tcPr>
            <w:tcW w:w="1134" w:type="dxa"/>
            <w:vAlign w:val="center"/>
          </w:tcPr>
          <w:p>
            <w:pPr>
              <w:jc w:val="right"/>
              <w:rPr>
                <w:rFonts w:ascii="宋体" w:hAnsi="宋体"/>
                <w:sz w:val="21"/>
                <w:szCs w:val="21"/>
              </w:rPr>
            </w:pPr>
            <w:r>
              <w:rPr>
                <w:rFonts w:ascii="宋体" w:hAnsi="宋体"/>
                <w:sz w:val="21"/>
                <w:szCs w:val="21"/>
              </w:rPr>
              <w:t xml:space="preserve">1,783.79 </w:t>
            </w:r>
          </w:p>
        </w:tc>
        <w:tc>
          <w:tcPr>
            <w:tcW w:w="1276" w:type="dxa"/>
            <w:vAlign w:val="center"/>
          </w:tcPr>
          <w:p>
            <w:pPr>
              <w:jc w:val="right"/>
              <w:rPr>
                <w:rFonts w:ascii="宋体" w:hAnsi="宋体"/>
                <w:sz w:val="21"/>
                <w:szCs w:val="21"/>
              </w:rPr>
            </w:pPr>
            <w:r>
              <w:rPr>
                <w:rFonts w:ascii="宋体" w:hAnsi="宋体"/>
                <w:sz w:val="21"/>
                <w:szCs w:val="21"/>
              </w:rPr>
              <w:t xml:space="preserve">4,570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喷吹煤</w:t>
            </w:r>
          </w:p>
        </w:tc>
        <w:tc>
          <w:tcPr>
            <w:tcW w:w="998" w:type="dxa"/>
          </w:tcPr>
          <w:p>
            <w:pPr>
              <w:jc w:val="right"/>
              <w:rPr>
                <w:rFonts w:ascii="宋体" w:hAnsi="宋体"/>
                <w:sz w:val="21"/>
                <w:szCs w:val="21"/>
              </w:rPr>
            </w:pPr>
            <w:r>
              <w:rPr>
                <w:rFonts w:ascii="宋体" w:hAnsi="宋体"/>
                <w:sz w:val="21"/>
                <w:szCs w:val="21"/>
              </w:rPr>
              <w:t xml:space="preserve">2,124 </w:t>
            </w:r>
          </w:p>
        </w:tc>
        <w:tc>
          <w:tcPr>
            <w:tcW w:w="992" w:type="dxa"/>
            <w:shd w:val="clear" w:color="auto" w:fill="auto"/>
          </w:tcPr>
          <w:p>
            <w:pPr>
              <w:jc w:val="right"/>
              <w:rPr>
                <w:rFonts w:ascii="宋体" w:hAnsi="宋体"/>
                <w:sz w:val="21"/>
                <w:szCs w:val="21"/>
              </w:rPr>
            </w:pPr>
            <w:r>
              <w:rPr>
                <w:rFonts w:ascii="宋体" w:hAnsi="宋体"/>
                <w:sz w:val="21"/>
                <w:szCs w:val="21"/>
              </w:rPr>
              <w:t xml:space="preserve">2,105 </w:t>
            </w:r>
          </w:p>
        </w:tc>
        <w:tc>
          <w:tcPr>
            <w:tcW w:w="1134" w:type="dxa"/>
          </w:tcPr>
          <w:p>
            <w:pPr>
              <w:jc w:val="right"/>
              <w:rPr>
                <w:rFonts w:ascii="宋体" w:hAnsi="宋体"/>
                <w:sz w:val="21"/>
                <w:szCs w:val="21"/>
              </w:rPr>
            </w:pPr>
            <w:r>
              <w:rPr>
                <w:rFonts w:ascii="宋体" w:hAnsi="宋体"/>
                <w:sz w:val="21"/>
                <w:szCs w:val="21"/>
              </w:rPr>
              <w:t xml:space="preserve">1,675.45 </w:t>
            </w:r>
          </w:p>
        </w:tc>
        <w:tc>
          <w:tcPr>
            <w:tcW w:w="1276" w:type="dxa"/>
          </w:tcPr>
          <w:p>
            <w:pPr>
              <w:jc w:val="right"/>
              <w:rPr>
                <w:rFonts w:ascii="宋体" w:hAnsi="宋体"/>
                <w:sz w:val="21"/>
                <w:szCs w:val="21"/>
              </w:rPr>
            </w:pPr>
            <w:r>
              <w:rPr>
                <w:rFonts w:ascii="宋体" w:hAnsi="宋体"/>
                <w:sz w:val="21"/>
                <w:szCs w:val="21"/>
              </w:rPr>
              <w:t xml:space="preserve">3,526 </w:t>
            </w:r>
          </w:p>
        </w:tc>
        <w:tc>
          <w:tcPr>
            <w:tcW w:w="992" w:type="dxa"/>
            <w:vAlign w:val="center"/>
          </w:tcPr>
          <w:p>
            <w:pPr>
              <w:jc w:val="right"/>
              <w:rPr>
                <w:rFonts w:ascii="宋体" w:hAnsi="宋体"/>
                <w:sz w:val="21"/>
                <w:szCs w:val="21"/>
              </w:rPr>
            </w:pPr>
            <w:r>
              <w:rPr>
                <w:rFonts w:ascii="宋体" w:hAnsi="宋体"/>
                <w:sz w:val="21"/>
                <w:szCs w:val="21"/>
              </w:rPr>
              <w:t xml:space="preserve">1,928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1,916 </w:t>
            </w:r>
          </w:p>
        </w:tc>
        <w:tc>
          <w:tcPr>
            <w:tcW w:w="1134" w:type="dxa"/>
            <w:vAlign w:val="center"/>
          </w:tcPr>
          <w:p>
            <w:pPr>
              <w:jc w:val="right"/>
              <w:rPr>
                <w:rFonts w:ascii="宋体" w:hAnsi="宋体"/>
                <w:sz w:val="21"/>
                <w:szCs w:val="21"/>
              </w:rPr>
            </w:pPr>
            <w:r>
              <w:rPr>
                <w:rFonts w:ascii="宋体" w:hAnsi="宋体"/>
                <w:sz w:val="21"/>
                <w:szCs w:val="21"/>
              </w:rPr>
              <w:t xml:space="preserve">2,084.14 </w:t>
            </w:r>
          </w:p>
        </w:tc>
        <w:tc>
          <w:tcPr>
            <w:tcW w:w="1276" w:type="dxa"/>
            <w:vAlign w:val="center"/>
          </w:tcPr>
          <w:p>
            <w:pPr>
              <w:jc w:val="right"/>
              <w:rPr>
                <w:rFonts w:ascii="宋体" w:hAnsi="宋体"/>
                <w:sz w:val="21"/>
                <w:szCs w:val="21"/>
              </w:rPr>
            </w:pPr>
            <w:r>
              <w:rPr>
                <w:rFonts w:ascii="宋体" w:hAnsi="宋体"/>
                <w:sz w:val="21"/>
                <w:szCs w:val="21"/>
              </w:rPr>
              <w:t xml:space="preserve">3,993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动力煤</w:t>
            </w:r>
          </w:p>
        </w:tc>
        <w:tc>
          <w:tcPr>
            <w:tcW w:w="998" w:type="dxa"/>
          </w:tcPr>
          <w:p>
            <w:pPr>
              <w:jc w:val="right"/>
              <w:rPr>
                <w:rFonts w:ascii="宋体" w:hAnsi="宋体"/>
                <w:sz w:val="21"/>
                <w:szCs w:val="21"/>
              </w:rPr>
            </w:pPr>
            <w:r>
              <w:rPr>
                <w:rFonts w:ascii="宋体" w:hAnsi="宋体"/>
                <w:sz w:val="21"/>
                <w:szCs w:val="21"/>
              </w:rPr>
              <w:t xml:space="preserve">28,671 </w:t>
            </w:r>
          </w:p>
        </w:tc>
        <w:tc>
          <w:tcPr>
            <w:tcW w:w="992" w:type="dxa"/>
            <w:shd w:val="clear" w:color="auto" w:fill="auto"/>
          </w:tcPr>
          <w:p>
            <w:pPr>
              <w:jc w:val="right"/>
              <w:rPr>
                <w:rFonts w:ascii="宋体" w:hAnsi="宋体"/>
                <w:sz w:val="21"/>
                <w:szCs w:val="21"/>
              </w:rPr>
            </w:pPr>
            <w:r>
              <w:rPr>
                <w:rFonts w:ascii="宋体" w:hAnsi="宋体"/>
                <w:sz w:val="21"/>
                <w:szCs w:val="21"/>
              </w:rPr>
              <w:t xml:space="preserve">28,405 </w:t>
            </w:r>
          </w:p>
        </w:tc>
        <w:tc>
          <w:tcPr>
            <w:tcW w:w="1134" w:type="dxa"/>
          </w:tcPr>
          <w:p>
            <w:pPr>
              <w:jc w:val="right"/>
              <w:rPr>
                <w:rFonts w:ascii="宋体" w:hAnsi="宋体"/>
                <w:sz w:val="21"/>
                <w:szCs w:val="21"/>
              </w:rPr>
            </w:pPr>
            <w:r>
              <w:rPr>
                <w:rFonts w:ascii="宋体" w:hAnsi="宋体"/>
                <w:sz w:val="21"/>
                <w:szCs w:val="21"/>
              </w:rPr>
              <w:t xml:space="preserve">957.56 </w:t>
            </w:r>
          </w:p>
        </w:tc>
        <w:tc>
          <w:tcPr>
            <w:tcW w:w="1276" w:type="dxa"/>
          </w:tcPr>
          <w:p>
            <w:pPr>
              <w:jc w:val="right"/>
              <w:rPr>
                <w:rFonts w:ascii="宋体" w:hAnsi="宋体"/>
                <w:sz w:val="21"/>
                <w:szCs w:val="21"/>
              </w:rPr>
            </w:pPr>
            <w:r>
              <w:rPr>
                <w:rFonts w:ascii="宋体" w:hAnsi="宋体"/>
                <w:sz w:val="21"/>
                <w:szCs w:val="21"/>
              </w:rPr>
              <w:t xml:space="preserve">27,199 </w:t>
            </w:r>
          </w:p>
        </w:tc>
        <w:tc>
          <w:tcPr>
            <w:tcW w:w="992" w:type="dxa"/>
            <w:vAlign w:val="center"/>
          </w:tcPr>
          <w:p>
            <w:pPr>
              <w:jc w:val="right"/>
              <w:rPr>
                <w:rFonts w:ascii="宋体" w:hAnsi="宋体"/>
                <w:sz w:val="21"/>
                <w:szCs w:val="21"/>
              </w:rPr>
            </w:pPr>
            <w:r>
              <w:rPr>
                <w:rFonts w:ascii="宋体" w:hAnsi="宋体"/>
                <w:sz w:val="21"/>
                <w:szCs w:val="21"/>
              </w:rPr>
              <w:t xml:space="preserve">24,692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24,539 </w:t>
            </w:r>
          </w:p>
        </w:tc>
        <w:tc>
          <w:tcPr>
            <w:tcW w:w="1134" w:type="dxa"/>
            <w:vAlign w:val="center"/>
          </w:tcPr>
          <w:p>
            <w:pPr>
              <w:jc w:val="right"/>
              <w:rPr>
                <w:rFonts w:ascii="宋体" w:hAnsi="宋体"/>
                <w:sz w:val="21"/>
                <w:szCs w:val="21"/>
              </w:rPr>
            </w:pPr>
            <w:r>
              <w:rPr>
                <w:rFonts w:ascii="宋体" w:hAnsi="宋体"/>
                <w:sz w:val="21"/>
                <w:szCs w:val="21"/>
              </w:rPr>
              <w:t xml:space="preserve">1,600.58 </w:t>
            </w:r>
          </w:p>
        </w:tc>
        <w:tc>
          <w:tcPr>
            <w:tcW w:w="1276" w:type="dxa"/>
            <w:vAlign w:val="center"/>
          </w:tcPr>
          <w:p>
            <w:pPr>
              <w:jc w:val="right"/>
              <w:rPr>
                <w:rFonts w:ascii="宋体" w:hAnsi="宋体"/>
                <w:sz w:val="21"/>
                <w:szCs w:val="21"/>
              </w:rPr>
            </w:pPr>
            <w:r>
              <w:rPr>
                <w:rFonts w:ascii="宋体" w:hAnsi="宋体"/>
                <w:sz w:val="21"/>
                <w:szCs w:val="21"/>
              </w:rPr>
              <w:t xml:space="preserve">39,277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rPr>
                <w:rFonts w:ascii="宋体" w:hAnsi="宋体"/>
                <w:sz w:val="21"/>
                <w:szCs w:val="21"/>
              </w:rPr>
            </w:pPr>
            <w:r>
              <w:rPr>
                <w:rFonts w:hint="eastAsia" w:ascii="宋体" w:hAnsi="宋体"/>
                <w:sz w:val="21"/>
                <w:szCs w:val="21"/>
              </w:rPr>
              <w:t>十一、兖煤国际</w:t>
            </w:r>
          </w:p>
        </w:tc>
        <w:tc>
          <w:tcPr>
            <w:tcW w:w="998" w:type="dxa"/>
          </w:tcPr>
          <w:p>
            <w:pPr>
              <w:jc w:val="right"/>
              <w:rPr>
                <w:rFonts w:ascii="宋体" w:hAnsi="宋体"/>
                <w:sz w:val="21"/>
                <w:szCs w:val="21"/>
              </w:rPr>
            </w:pPr>
            <w:r>
              <w:rPr>
                <w:rFonts w:ascii="宋体" w:hAnsi="宋体"/>
                <w:sz w:val="21"/>
                <w:szCs w:val="21"/>
              </w:rPr>
              <w:t xml:space="preserve">5,453 </w:t>
            </w:r>
          </w:p>
        </w:tc>
        <w:tc>
          <w:tcPr>
            <w:tcW w:w="992" w:type="dxa"/>
            <w:shd w:val="clear" w:color="auto" w:fill="auto"/>
          </w:tcPr>
          <w:p>
            <w:pPr>
              <w:jc w:val="right"/>
              <w:rPr>
                <w:rFonts w:ascii="宋体" w:hAnsi="宋体"/>
                <w:sz w:val="21"/>
                <w:szCs w:val="21"/>
              </w:rPr>
            </w:pPr>
            <w:r>
              <w:rPr>
                <w:rFonts w:ascii="宋体" w:hAnsi="宋体"/>
                <w:sz w:val="21"/>
                <w:szCs w:val="21"/>
              </w:rPr>
              <w:t xml:space="preserve">5,330 </w:t>
            </w:r>
          </w:p>
        </w:tc>
        <w:tc>
          <w:tcPr>
            <w:tcW w:w="1134" w:type="dxa"/>
          </w:tcPr>
          <w:p>
            <w:pPr>
              <w:jc w:val="right"/>
              <w:rPr>
                <w:rFonts w:ascii="宋体" w:hAnsi="宋体"/>
                <w:sz w:val="21"/>
                <w:szCs w:val="21"/>
              </w:rPr>
            </w:pPr>
            <w:r>
              <w:rPr>
                <w:rFonts w:ascii="宋体" w:hAnsi="宋体"/>
                <w:sz w:val="21"/>
                <w:szCs w:val="21"/>
              </w:rPr>
              <w:t xml:space="preserve">830.01 </w:t>
            </w:r>
          </w:p>
        </w:tc>
        <w:tc>
          <w:tcPr>
            <w:tcW w:w="1276" w:type="dxa"/>
          </w:tcPr>
          <w:p>
            <w:pPr>
              <w:jc w:val="right"/>
              <w:rPr>
                <w:rFonts w:ascii="宋体" w:hAnsi="宋体"/>
                <w:sz w:val="21"/>
                <w:szCs w:val="21"/>
              </w:rPr>
            </w:pPr>
            <w:r>
              <w:rPr>
                <w:rFonts w:ascii="宋体" w:hAnsi="宋体"/>
                <w:sz w:val="21"/>
                <w:szCs w:val="21"/>
              </w:rPr>
              <w:t xml:space="preserve">4,424 </w:t>
            </w:r>
          </w:p>
        </w:tc>
        <w:tc>
          <w:tcPr>
            <w:tcW w:w="992" w:type="dxa"/>
            <w:vAlign w:val="center"/>
          </w:tcPr>
          <w:p>
            <w:pPr>
              <w:jc w:val="right"/>
              <w:rPr>
                <w:rFonts w:ascii="宋体" w:hAnsi="宋体"/>
                <w:sz w:val="21"/>
                <w:szCs w:val="21"/>
              </w:rPr>
            </w:pPr>
            <w:r>
              <w:rPr>
                <w:rFonts w:ascii="宋体" w:hAnsi="宋体"/>
                <w:sz w:val="21"/>
                <w:szCs w:val="21"/>
              </w:rPr>
              <w:t xml:space="preserve">4,922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4,880 </w:t>
            </w:r>
          </w:p>
        </w:tc>
        <w:tc>
          <w:tcPr>
            <w:tcW w:w="1134" w:type="dxa"/>
            <w:vAlign w:val="center"/>
          </w:tcPr>
          <w:p>
            <w:pPr>
              <w:jc w:val="right"/>
              <w:rPr>
                <w:rFonts w:ascii="宋体" w:hAnsi="宋体"/>
                <w:sz w:val="21"/>
                <w:szCs w:val="21"/>
              </w:rPr>
            </w:pPr>
            <w:r>
              <w:rPr>
                <w:rFonts w:ascii="宋体" w:hAnsi="宋体"/>
                <w:sz w:val="21"/>
                <w:szCs w:val="21"/>
              </w:rPr>
              <w:t xml:space="preserve">1,127.94 </w:t>
            </w:r>
          </w:p>
        </w:tc>
        <w:tc>
          <w:tcPr>
            <w:tcW w:w="1276" w:type="dxa"/>
            <w:vAlign w:val="center"/>
          </w:tcPr>
          <w:p>
            <w:pPr>
              <w:jc w:val="right"/>
              <w:rPr>
                <w:rFonts w:ascii="宋体" w:hAnsi="宋体"/>
                <w:sz w:val="21"/>
                <w:szCs w:val="21"/>
              </w:rPr>
            </w:pPr>
            <w:r>
              <w:rPr>
                <w:rFonts w:ascii="宋体" w:hAnsi="宋体"/>
                <w:sz w:val="21"/>
                <w:szCs w:val="21"/>
              </w:rPr>
              <w:t xml:space="preserve">5,504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420" w:firstLineChars="200"/>
              <w:rPr>
                <w:rFonts w:ascii="宋体" w:hAnsi="宋体"/>
                <w:sz w:val="21"/>
                <w:szCs w:val="21"/>
              </w:rPr>
            </w:pPr>
            <w:r>
              <w:rPr>
                <w:rFonts w:hint="eastAsia" w:ascii="宋体" w:hAnsi="宋体"/>
                <w:sz w:val="21"/>
                <w:szCs w:val="21"/>
              </w:rPr>
              <w:t>动力煤</w:t>
            </w:r>
          </w:p>
        </w:tc>
        <w:tc>
          <w:tcPr>
            <w:tcW w:w="998" w:type="dxa"/>
          </w:tcPr>
          <w:p>
            <w:pPr>
              <w:jc w:val="right"/>
              <w:rPr>
                <w:rFonts w:ascii="宋体" w:hAnsi="宋体"/>
                <w:sz w:val="21"/>
                <w:szCs w:val="21"/>
              </w:rPr>
            </w:pPr>
            <w:r>
              <w:rPr>
                <w:rFonts w:ascii="宋体" w:hAnsi="宋体"/>
                <w:sz w:val="21"/>
                <w:szCs w:val="21"/>
              </w:rPr>
              <w:t xml:space="preserve">5,453 </w:t>
            </w:r>
          </w:p>
        </w:tc>
        <w:tc>
          <w:tcPr>
            <w:tcW w:w="992" w:type="dxa"/>
            <w:shd w:val="clear" w:color="auto" w:fill="auto"/>
          </w:tcPr>
          <w:p>
            <w:pPr>
              <w:jc w:val="right"/>
              <w:rPr>
                <w:rFonts w:ascii="宋体" w:hAnsi="宋体"/>
                <w:sz w:val="21"/>
                <w:szCs w:val="21"/>
              </w:rPr>
            </w:pPr>
            <w:r>
              <w:rPr>
                <w:rFonts w:ascii="宋体" w:hAnsi="宋体"/>
                <w:sz w:val="21"/>
                <w:szCs w:val="21"/>
              </w:rPr>
              <w:t xml:space="preserve">5,330 </w:t>
            </w:r>
          </w:p>
        </w:tc>
        <w:tc>
          <w:tcPr>
            <w:tcW w:w="1134" w:type="dxa"/>
          </w:tcPr>
          <w:p>
            <w:pPr>
              <w:jc w:val="right"/>
              <w:rPr>
                <w:rFonts w:ascii="宋体" w:hAnsi="宋体"/>
                <w:sz w:val="21"/>
                <w:szCs w:val="21"/>
              </w:rPr>
            </w:pPr>
            <w:r>
              <w:rPr>
                <w:rFonts w:ascii="宋体" w:hAnsi="宋体"/>
                <w:sz w:val="21"/>
                <w:szCs w:val="21"/>
              </w:rPr>
              <w:t xml:space="preserve">830.01 </w:t>
            </w:r>
          </w:p>
        </w:tc>
        <w:tc>
          <w:tcPr>
            <w:tcW w:w="1276" w:type="dxa"/>
          </w:tcPr>
          <w:p>
            <w:pPr>
              <w:jc w:val="right"/>
              <w:rPr>
                <w:rFonts w:ascii="宋体" w:hAnsi="宋体"/>
                <w:sz w:val="21"/>
                <w:szCs w:val="21"/>
              </w:rPr>
            </w:pPr>
            <w:r>
              <w:rPr>
                <w:rFonts w:ascii="宋体" w:hAnsi="宋体"/>
                <w:sz w:val="21"/>
                <w:szCs w:val="21"/>
              </w:rPr>
              <w:t xml:space="preserve">4,424 </w:t>
            </w:r>
          </w:p>
        </w:tc>
        <w:tc>
          <w:tcPr>
            <w:tcW w:w="992" w:type="dxa"/>
            <w:vAlign w:val="center"/>
          </w:tcPr>
          <w:p>
            <w:pPr>
              <w:jc w:val="right"/>
              <w:rPr>
                <w:rFonts w:ascii="宋体" w:hAnsi="宋体"/>
                <w:sz w:val="21"/>
                <w:szCs w:val="21"/>
              </w:rPr>
            </w:pPr>
            <w:r>
              <w:rPr>
                <w:rFonts w:ascii="宋体" w:hAnsi="宋体"/>
                <w:sz w:val="21"/>
                <w:szCs w:val="21"/>
              </w:rPr>
              <w:t xml:space="preserve">4,922 </w:t>
            </w:r>
          </w:p>
        </w:tc>
        <w:tc>
          <w:tcPr>
            <w:tcW w:w="992" w:type="dxa"/>
            <w:shd w:val="clear" w:color="auto" w:fill="auto"/>
            <w:vAlign w:val="center"/>
          </w:tcPr>
          <w:p>
            <w:pPr>
              <w:jc w:val="right"/>
              <w:rPr>
                <w:rFonts w:ascii="宋体" w:hAnsi="宋体"/>
                <w:sz w:val="21"/>
                <w:szCs w:val="21"/>
              </w:rPr>
            </w:pPr>
            <w:r>
              <w:rPr>
                <w:rFonts w:ascii="宋体" w:hAnsi="宋体"/>
                <w:sz w:val="21"/>
                <w:szCs w:val="21"/>
              </w:rPr>
              <w:t xml:space="preserve">4,880 </w:t>
            </w:r>
          </w:p>
        </w:tc>
        <w:tc>
          <w:tcPr>
            <w:tcW w:w="1134" w:type="dxa"/>
            <w:vAlign w:val="center"/>
          </w:tcPr>
          <w:p>
            <w:pPr>
              <w:jc w:val="right"/>
              <w:rPr>
                <w:rFonts w:ascii="宋体" w:hAnsi="宋体"/>
                <w:sz w:val="21"/>
                <w:szCs w:val="21"/>
              </w:rPr>
            </w:pPr>
            <w:r>
              <w:rPr>
                <w:rFonts w:ascii="宋体" w:hAnsi="宋体"/>
                <w:sz w:val="21"/>
                <w:szCs w:val="21"/>
              </w:rPr>
              <w:t xml:space="preserve">1,127.94 </w:t>
            </w:r>
          </w:p>
        </w:tc>
        <w:tc>
          <w:tcPr>
            <w:tcW w:w="1276" w:type="dxa"/>
            <w:vAlign w:val="center"/>
          </w:tcPr>
          <w:p>
            <w:pPr>
              <w:jc w:val="right"/>
              <w:rPr>
                <w:rFonts w:ascii="宋体" w:hAnsi="宋体"/>
                <w:sz w:val="21"/>
                <w:szCs w:val="21"/>
              </w:rPr>
            </w:pPr>
            <w:r>
              <w:rPr>
                <w:rFonts w:ascii="宋体" w:hAnsi="宋体"/>
                <w:sz w:val="21"/>
                <w:szCs w:val="21"/>
              </w:rPr>
              <w:t xml:space="preserve">5,504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rPr>
                <w:rFonts w:ascii="宋体" w:hAnsi="宋体"/>
                <w:sz w:val="21"/>
                <w:szCs w:val="21"/>
              </w:rPr>
            </w:pPr>
            <w:r>
              <w:rPr>
                <w:rFonts w:hint="eastAsia" w:ascii="宋体" w:hAnsi="宋体"/>
                <w:sz w:val="21"/>
                <w:szCs w:val="21"/>
              </w:rPr>
              <w:t>十二、贸易煤</w:t>
            </w:r>
          </w:p>
        </w:tc>
        <w:tc>
          <w:tcPr>
            <w:tcW w:w="998" w:type="dxa"/>
          </w:tcPr>
          <w:p>
            <w:pPr>
              <w:jc w:val="right"/>
              <w:rPr>
                <w:rFonts w:ascii="宋体" w:hAnsi="宋体"/>
                <w:sz w:val="21"/>
                <w:szCs w:val="21"/>
              </w:rPr>
            </w:pPr>
            <w:r>
              <w:rPr>
                <w:rFonts w:hint="eastAsia" w:ascii="宋体" w:hAnsi="宋体"/>
                <w:sz w:val="21"/>
                <w:szCs w:val="21"/>
              </w:rPr>
              <w:t>-</w:t>
            </w:r>
          </w:p>
        </w:tc>
        <w:tc>
          <w:tcPr>
            <w:tcW w:w="992" w:type="dxa"/>
            <w:shd w:val="clear" w:color="auto" w:fill="auto"/>
          </w:tcPr>
          <w:p>
            <w:pPr>
              <w:jc w:val="right"/>
              <w:rPr>
                <w:rFonts w:ascii="宋体" w:hAnsi="宋体"/>
                <w:sz w:val="21"/>
                <w:szCs w:val="21"/>
              </w:rPr>
            </w:pPr>
            <w:r>
              <w:rPr>
                <w:rFonts w:ascii="宋体" w:hAnsi="宋体"/>
                <w:sz w:val="21"/>
                <w:szCs w:val="21"/>
              </w:rPr>
              <w:t xml:space="preserve">6,051 </w:t>
            </w:r>
          </w:p>
        </w:tc>
        <w:tc>
          <w:tcPr>
            <w:tcW w:w="1134" w:type="dxa"/>
          </w:tcPr>
          <w:p>
            <w:pPr>
              <w:jc w:val="right"/>
              <w:rPr>
                <w:rFonts w:ascii="宋体" w:hAnsi="宋体"/>
                <w:sz w:val="21"/>
                <w:szCs w:val="21"/>
              </w:rPr>
            </w:pPr>
            <w:r>
              <w:rPr>
                <w:rFonts w:ascii="宋体" w:hAnsi="宋体"/>
                <w:sz w:val="21"/>
                <w:szCs w:val="21"/>
              </w:rPr>
              <w:t xml:space="preserve">1,161.81 </w:t>
            </w:r>
          </w:p>
        </w:tc>
        <w:tc>
          <w:tcPr>
            <w:tcW w:w="1276" w:type="dxa"/>
          </w:tcPr>
          <w:p>
            <w:pPr>
              <w:jc w:val="right"/>
              <w:rPr>
                <w:rFonts w:ascii="宋体" w:hAnsi="宋体"/>
                <w:sz w:val="21"/>
                <w:szCs w:val="21"/>
              </w:rPr>
            </w:pPr>
            <w:r>
              <w:rPr>
                <w:rFonts w:ascii="宋体" w:hAnsi="宋体"/>
                <w:sz w:val="21"/>
                <w:szCs w:val="21"/>
              </w:rPr>
              <w:t xml:space="preserve">7,030 </w:t>
            </w:r>
          </w:p>
        </w:tc>
        <w:tc>
          <w:tcPr>
            <w:tcW w:w="992" w:type="dxa"/>
            <w:vAlign w:val="center"/>
          </w:tcPr>
          <w:p>
            <w:pPr>
              <w:jc w:val="right"/>
              <w:rPr>
                <w:rFonts w:ascii="宋体" w:hAnsi="宋体"/>
                <w:sz w:val="21"/>
                <w:szCs w:val="21"/>
              </w:rPr>
            </w:pPr>
            <w:r>
              <w:rPr>
                <w:rFonts w:hint="eastAsia" w:ascii="宋体" w:hAnsi="宋体"/>
                <w:sz w:val="21"/>
                <w:szCs w:val="21"/>
              </w:rPr>
              <w:t>-</w:t>
            </w:r>
          </w:p>
        </w:tc>
        <w:tc>
          <w:tcPr>
            <w:tcW w:w="992" w:type="dxa"/>
            <w:shd w:val="clear" w:color="auto" w:fill="auto"/>
          </w:tcPr>
          <w:p>
            <w:pPr>
              <w:jc w:val="right"/>
              <w:rPr>
                <w:rFonts w:ascii="宋体" w:hAnsi="宋体"/>
                <w:sz w:val="21"/>
                <w:szCs w:val="21"/>
              </w:rPr>
            </w:pPr>
            <w:r>
              <w:rPr>
                <w:rFonts w:ascii="宋体" w:hAnsi="宋体"/>
                <w:sz w:val="21"/>
                <w:szCs w:val="21"/>
              </w:rPr>
              <w:t xml:space="preserve">12,795 </w:t>
            </w:r>
          </w:p>
        </w:tc>
        <w:tc>
          <w:tcPr>
            <w:tcW w:w="1134" w:type="dxa"/>
          </w:tcPr>
          <w:p>
            <w:pPr>
              <w:jc w:val="right"/>
              <w:rPr>
                <w:rFonts w:ascii="宋体" w:hAnsi="宋体"/>
                <w:sz w:val="21"/>
                <w:szCs w:val="21"/>
              </w:rPr>
            </w:pPr>
            <w:r>
              <w:rPr>
                <w:rFonts w:ascii="宋体" w:hAnsi="宋体"/>
                <w:sz w:val="21"/>
                <w:szCs w:val="21"/>
              </w:rPr>
              <w:t xml:space="preserve">1,512.43 </w:t>
            </w:r>
          </w:p>
        </w:tc>
        <w:tc>
          <w:tcPr>
            <w:tcW w:w="1276" w:type="dxa"/>
          </w:tcPr>
          <w:p>
            <w:pPr>
              <w:jc w:val="right"/>
              <w:rPr>
                <w:rFonts w:ascii="宋体" w:hAnsi="宋体"/>
                <w:sz w:val="21"/>
                <w:szCs w:val="21"/>
              </w:rPr>
            </w:pPr>
            <w:r>
              <w:rPr>
                <w:rFonts w:ascii="宋体" w:hAnsi="宋体"/>
                <w:sz w:val="21"/>
                <w:szCs w:val="21"/>
              </w:rPr>
              <w:t xml:space="preserve">19,352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838" w:type="dxa"/>
            <w:vAlign w:val="center"/>
          </w:tcPr>
          <w:p>
            <w:pPr>
              <w:ind w:firstLine="210" w:firstLineChars="100"/>
              <w:rPr>
                <w:rFonts w:ascii="宋体" w:hAnsi="宋体"/>
                <w:sz w:val="21"/>
                <w:szCs w:val="21"/>
              </w:rPr>
            </w:pPr>
            <w:r>
              <w:rPr>
                <w:rFonts w:hint="eastAsia" w:ascii="宋体" w:hAnsi="宋体"/>
                <w:sz w:val="21"/>
                <w:szCs w:val="21"/>
              </w:rPr>
              <w:t>本集团总计</w:t>
            </w:r>
          </w:p>
        </w:tc>
        <w:tc>
          <w:tcPr>
            <w:tcW w:w="998" w:type="dxa"/>
          </w:tcPr>
          <w:p>
            <w:pPr>
              <w:jc w:val="right"/>
              <w:rPr>
                <w:rFonts w:ascii="宋体" w:hAnsi="宋体"/>
                <w:sz w:val="21"/>
                <w:szCs w:val="21"/>
              </w:rPr>
            </w:pPr>
            <w:r>
              <w:rPr>
                <w:rFonts w:ascii="宋体" w:hAnsi="宋体"/>
                <w:sz w:val="21"/>
                <w:szCs w:val="21"/>
              </w:rPr>
              <w:t>132,107</w:t>
            </w:r>
          </w:p>
        </w:tc>
        <w:tc>
          <w:tcPr>
            <w:tcW w:w="992" w:type="dxa"/>
            <w:shd w:val="clear" w:color="auto" w:fill="auto"/>
          </w:tcPr>
          <w:p>
            <w:pPr>
              <w:jc w:val="right"/>
              <w:rPr>
                <w:rFonts w:ascii="宋体" w:hAnsi="宋体"/>
                <w:sz w:val="21"/>
                <w:szCs w:val="21"/>
              </w:rPr>
            </w:pPr>
            <w:r>
              <w:rPr>
                <w:rFonts w:ascii="宋体" w:hAnsi="宋体"/>
                <w:sz w:val="21"/>
                <w:szCs w:val="21"/>
              </w:rPr>
              <w:t xml:space="preserve">127,024 </w:t>
            </w:r>
          </w:p>
        </w:tc>
        <w:tc>
          <w:tcPr>
            <w:tcW w:w="1134" w:type="dxa"/>
          </w:tcPr>
          <w:p>
            <w:pPr>
              <w:jc w:val="right"/>
              <w:rPr>
                <w:rFonts w:ascii="宋体" w:hAnsi="宋体"/>
                <w:sz w:val="21"/>
                <w:szCs w:val="21"/>
              </w:rPr>
            </w:pPr>
            <w:r>
              <w:rPr>
                <w:rFonts w:ascii="宋体" w:hAnsi="宋体"/>
                <w:sz w:val="21"/>
                <w:szCs w:val="21"/>
              </w:rPr>
              <w:t>803.15</w:t>
            </w:r>
          </w:p>
        </w:tc>
        <w:tc>
          <w:tcPr>
            <w:tcW w:w="1276" w:type="dxa"/>
          </w:tcPr>
          <w:p>
            <w:pPr>
              <w:jc w:val="right"/>
              <w:rPr>
                <w:rFonts w:ascii="宋体" w:hAnsi="宋体"/>
                <w:sz w:val="21"/>
                <w:szCs w:val="21"/>
              </w:rPr>
            </w:pPr>
            <w:r>
              <w:rPr>
                <w:rFonts w:ascii="宋体" w:hAnsi="宋体"/>
                <w:sz w:val="21"/>
                <w:szCs w:val="21"/>
              </w:rPr>
              <w:t xml:space="preserve">102,019 </w:t>
            </w:r>
          </w:p>
        </w:tc>
        <w:tc>
          <w:tcPr>
            <w:tcW w:w="992" w:type="dxa"/>
            <w:vAlign w:val="center"/>
          </w:tcPr>
          <w:p>
            <w:pPr>
              <w:jc w:val="right"/>
              <w:rPr>
                <w:rFonts w:ascii="宋体" w:hAnsi="宋体"/>
                <w:sz w:val="21"/>
                <w:szCs w:val="21"/>
              </w:rPr>
            </w:pPr>
            <w:r>
              <w:rPr>
                <w:rFonts w:ascii="宋体" w:hAnsi="宋体"/>
                <w:sz w:val="21"/>
                <w:szCs w:val="21"/>
              </w:rPr>
              <w:t>131,306</w:t>
            </w:r>
          </w:p>
        </w:tc>
        <w:tc>
          <w:tcPr>
            <w:tcW w:w="992" w:type="dxa"/>
            <w:shd w:val="clear" w:color="auto" w:fill="auto"/>
          </w:tcPr>
          <w:p>
            <w:pPr>
              <w:jc w:val="right"/>
              <w:rPr>
                <w:rFonts w:ascii="宋体" w:hAnsi="宋体"/>
                <w:sz w:val="21"/>
                <w:szCs w:val="21"/>
              </w:rPr>
            </w:pPr>
            <w:r>
              <w:rPr>
                <w:rFonts w:ascii="宋体" w:hAnsi="宋体"/>
                <w:sz w:val="21"/>
                <w:szCs w:val="21"/>
              </w:rPr>
              <w:t xml:space="preserve">135,439 </w:t>
            </w:r>
          </w:p>
        </w:tc>
        <w:tc>
          <w:tcPr>
            <w:tcW w:w="1134" w:type="dxa"/>
          </w:tcPr>
          <w:p>
            <w:pPr>
              <w:jc w:val="right"/>
              <w:rPr>
                <w:rFonts w:ascii="宋体" w:hAnsi="宋体"/>
                <w:sz w:val="21"/>
                <w:szCs w:val="21"/>
              </w:rPr>
            </w:pPr>
            <w:r>
              <w:rPr>
                <w:rFonts w:ascii="宋体" w:hAnsi="宋体"/>
                <w:sz w:val="21"/>
                <w:szCs w:val="21"/>
              </w:rPr>
              <w:t xml:space="preserve">1,077.90 </w:t>
            </w:r>
          </w:p>
        </w:tc>
        <w:tc>
          <w:tcPr>
            <w:tcW w:w="1276" w:type="dxa"/>
          </w:tcPr>
          <w:p>
            <w:pPr>
              <w:jc w:val="right"/>
              <w:rPr>
                <w:rFonts w:ascii="宋体" w:hAnsi="宋体"/>
                <w:sz w:val="21"/>
                <w:szCs w:val="21"/>
              </w:rPr>
            </w:pPr>
            <w:r>
              <w:rPr>
                <w:rFonts w:ascii="宋体" w:hAnsi="宋体"/>
                <w:sz w:val="21"/>
                <w:szCs w:val="21"/>
              </w:rPr>
              <w:t xml:space="preserve">145,991 </w:t>
            </w:r>
          </w:p>
        </w:tc>
      </w:tr>
    </w:tbl>
    <w:p>
      <w:pPr>
        <w:pStyle w:val="43"/>
        <w:rPr>
          <w:szCs w:val="21"/>
        </w:rPr>
      </w:pPr>
    </w:p>
    <w:p>
      <w:pPr>
        <w:ind w:firstLine="420" w:firstLineChars="200"/>
        <w:rPr>
          <w:rFonts w:ascii="宋体" w:hAnsi="宋体"/>
        </w:rPr>
      </w:pPr>
      <w:r>
        <w:rPr>
          <w:rFonts w:hint="eastAsia" w:ascii="宋体" w:hAnsi="宋体"/>
        </w:rPr>
        <w:t>影响煤炭业务销售收入变动因素分析如下表：</w:t>
      </w:r>
    </w:p>
    <w:tbl>
      <w:tblPr>
        <w:tblStyle w:val="117"/>
        <w:tblW w:w="8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8"/>
        <w:gridCol w:w="3129"/>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Merge w:val="restart"/>
          </w:tcPr>
          <w:p>
            <w:pPr>
              <w:rPr>
                <w:rFonts w:ascii="宋体" w:hAnsi="宋体"/>
                <w:sz w:val="21"/>
                <w:szCs w:val="21"/>
              </w:rPr>
            </w:pPr>
            <w:bookmarkStart w:id="30" w:name="_Hlk67517613"/>
          </w:p>
        </w:tc>
        <w:tc>
          <w:tcPr>
            <w:tcW w:w="3129" w:type="dxa"/>
            <w:vAlign w:val="center"/>
          </w:tcPr>
          <w:p>
            <w:pPr>
              <w:jc w:val="center"/>
              <w:rPr>
                <w:rFonts w:ascii="宋体" w:hAnsi="宋体"/>
                <w:sz w:val="21"/>
                <w:szCs w:val="21"/>
              </w:rPr>
            </w:pPr>
            <w:r>
              <w:rPr>
                <w:rFonts w:hint="eastAsia" w:ascii="宋体" w:hAnsi="宋体"/>
                <w:sz w:val="21"/>
                <w:szCs w:val="21"/>
              </w:rPr>
              <w:t>煤炭销量变化影响</w:t>
            </w:r>
          </w:p>
        </w:tc>
        <w:tc>
          <w:tcPr>
            <w:tcW w:w="3065" w:type="dxa"/>
            <w:vAlign w:val="center"/>
          </w:tcPr>
          <w:p>
            <w:pPr>
              <w:jc w:val="center"/>
              <w:rPr>
                <w:rFonts w:ascii="宋体" w:hAnsi="宋体"/>
                <w:sz w:val="21"/>
                <w:szCs w:val="21"/>
              </w:rPr>
            </w:pPr>
            <w:r>
              <w:rPr>
                <w:rFonts w:hint="eastAsia" w:ascii="宋体" w:hAnsi="宋体"/>
                <w:sz w:val="21"/>
                <w:szCs w:val="21"/>
              </w:rPr>
              <w:t>煤炭销售价格变化影响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rPr>
                <w:rFonts w:ascii="宋体" w:hAnsi="宋体"/>
                <w:sz w:val="21"/>
                <w:szCs w:val="21"/>
              </w:rPr>
            </w:pPr>
          </w:p>
        </w:tc>
        <w:tc>
          <w:tcPr>
            <w:tcW w:w="3129" w:type="dxa"/>
            <w:vAlign w:val="center"/>
          </w:tcPr>
          <w:p>
            <w:pPr>
              <w:jc w:val="center"/>
              <w:rPr>
                <w:rFonts w:ascii="宋体" w:hAnsi="宋体"/>
                <w:sz w:val="21"/>
                <w:szCs w:val="21"/>
              </w:rPr>
            </w:pPr>
            <w:r>
              <w:rPr>
                <w:rFonts w:hint="eastAsia" w:ascii="宋体" w:hAnsi="宋体"/>
                <w:sz w:val="21"/>
                <w:szCs w:val="21"/>
              </w:rPr>
              <w:t>（百万元）</w:t>
            </w:r>
          </w:p>
        </w:tc>
        <w:tc>
          <w:tcPr>
            <w:tcW w:w="3065" w:type="dxa"/>
            <w:vAlign w:val="center"/>
          </w:tcPr>
          <w:p>
            <w:pPr>
              <w:jc w:val="center"/>
              <w:rPr>
                <w:rFonts w:ascii="宋体" w:hAnsi="宋体"/>
                <w:sz w:val="21"/>
                <w:szCs w:val="21"/>
              </w:rPr>
            </w:pPr>
            <w:r>
              <w:rPr>
                <w:rFonts w:hint="eastAsia" w:ascii="宋体" w:hAnsi="宋体"/>
                <w:sz w:val="21"/>
                <w:szCs w:val="21"/>
              </w:rPr>
              <w:t>（百万元）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公司</w:t>
            </w:r>
          </w:p>
        </w:tc>
        <w:tc>
          <w:tcPr>
            <w:tcW w:w="3129" w:type="dxa"/>
            <w:vAlign w:val="center"/>
          </w:tcPr>
          <w:p>
            <w:pPr>
              <w:jc w:val="right"/>
              <w:rPr>
                <w:rFonts w:ascii="宋体" w:hAnsi="宋体"/>
                <w:sz w:val="21"/>
                <w:szCs w:val="21"/>
              </w:rPr>
            </w:pPr>
            <w:r>
              <w:rPr>
                <w:rFonts w:ascii="宋体" w:hAnsi="宋体"/>
                <w:sz w:val="21"/>
                <w:szCs w:val="21"/>
              </w:rPr>
              <w:t xml:space="preserve">-2,384 </w:t>
            </w:r>
          </w:p>
        </w:tc>
        <w:tc>
          <w:tcPr>
            <w:tcW w:w="3065" w:type="dxa"/>
            <w:vAlign w:val="center"/>
          </w:tcPr>
          <w:p>
            <w:pPr>
              <w:jc w:val="right"/>
              <w:rPr>
                <w:rFonts w:ascii="宋体" w:hAnsi="宋体"/>
                <w:sz w:val="21"/>
                <w:szCs w:val="21"/>
              </w:rPr>
            </w:pPr>
            <w:r>
              <w:rPr>
                <w:rFonts w:ascii="宋体" w:hAnsi="宋体"/>
                <w:sz w:val="21"/>
                <w:szCs w:val="21"/>
              </w:rPr>
              <w:t xml:space="preserve">-5,171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菏泽能化</w:t>
            </w:r>
          </w:p>
        </w:tc>
        <w:tc>
          <w:tcPr>
            <w:tcW w:w="3129" w:type="dxa"/>
            <w:vAlign w:val="center"/>
          </w:tcPr>
          <w:p>
            <w:pPr>
              <w:jc w:val="right"/>
              <w:rPr>
                <w:rFonts w:ascii="宋体" w:hAnsi="宋体"/>
                <w:sz w:val="21"/>
                <w:szCs w:val="21"/>
              </w:rPr>
            </w:pPr>
            <w:r>
              <w:rPr>
                <w:rFonts w:ascii="宋体" w:hAnsi="宋体"/>
                <w:sz w:val="21"/>
                <w:szCs w:val="21"/>
              </w:rPr>
              <w:t xml:space="preserve">1,455 </w:t>
            </w:r>
          </w:p>
        </w:tc>
        <w:tc>
          <w:tcPr>
            <w:tcW w:w="3065" w:type="dxa"/>
            <w:vAlign w:val="center"/>
          </w:tcPr>
          <w:p>
            <w:pPr>
              <w:jc w:val="right"/>
              <w:rPr>
                <w:rFonts w:ascii="宋体" w:hAnsi="宋体"/>
                <w:sz w:val="21"/>
                <w:szCs w:val="21"/>
              </w:rPr>
            </w:pPr>
            <w:r>
              <w:rPr>
                <w:rFonts w:ascii="宋体" w:hAnsi="宋体"/>
                <w:sz w:val="21"/>
                <w:szCs w:val="21"/>
              </w:rPr>
              <w:t xml:space="preserve">-1,315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鲁西矿业</w:t>
            </w:r>
          </w:p>
        </w:tc>
        <w:tc>
          <w:tcPr>
            <w:tcW w:w="3129" w:type="dxa"/>
            <w:vAlign w:val="center"/>
          </w:tcPr>
          <w:p>
            <w:pPr>
              <w:jc w:val="right"/>
              <w:rPr>
                <w:rFonts w:ascii="宋体" w:hAnsi="宋体"/>
                <w:sz w:val="21"/>
                <w:szCs w:val="21"/>
              </w:rPr>
            </w:pPr>
            <w:r>
              <w:rPr>
                <w:rFonts w:ascii="宋体" w:hAnsi="宋体"/>
                <w:sz w:val="21"/>
                <w:szCs w:val="21"/>
              </w:rPr>
              <w:t xml:space="preserve">686 </w:t>
            </w:r>
          </w:p>
        </w:tc>
        <w:tc>
          <w:tcPr>
            <w:tcW w:w="3065" w:type="dxa"/>
            <w:vAlign w:val="center"/>
          </w:tcPr>
          <w:p>
            <w:pPr>
              <w:jc w:val="right"/>
              <w:rPr>
                <w:rFonts w:ascii="宋体" w:hAnsi="宋体"/>
                <w:sz w:val="21"/>
                <w:szCs w:val="21"/>
              </w:rPr>
            </w:pPr>
            <w:r>
              <w:rPr>
                <w:rFonts w:ascii="宋体" w:hAnsi="宋体"/>
                <w:sz w:val="21"/>
                <w:szCs w:val="21"/>
              </w:rPr>
              <w:t xml:space="preserve">-2,955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天池能源</w:t>
            </w:r>
          </w:p>
        </w:tc>
        <w:tc>
          <w:tcPr>
            <w:tcW w:w="3129" w:type="dxa"/>
            <w:vAlign w:val="center"/>
          </w:tcPr>
          <w:p>
            <w:pPr>
              <w:jc w:val="right"/>
              <w:rPr>
                <w:rFonts w:ascii="宋体" w:hAnsi="宋体"/>
                <w:sz w:val="21"/>
                <w:szCs w:val="21"/>
              </w:rPr>
            </w:pPr>
            <w:r>
              <w:rPr>
                <w:rFonts w:ascii="宋体" w:hAnsi="宋体"/>
                <w:sz w:val="21"/>
                <w:szCs w:val="21"/>
              </w:rPr>
              <w:t xml:space="preserve">79 </w:t>
            </w:r>
          </w:p>
        </w:tc>
        <w:tc>
          <w:tcPr>
            <w:tcW w:w="3065" w:type="dxa"/>
            <w:vAlign w:val="center"/>
          </w:tcPr>
          <w:p>
            <w:pPr>
              <w:jc w:val="right"/>
              <w:rPr>
                <w:rFonts w:ascii="宋体" w:hAnsi="宋体"/>
                <w:sz w:val="21"/>
                <w:szCs w:val="21"/>
              </w:rPr>
            </w:pPr>
            <w:r>
              <w:rPr>
                <w:rFonts w:ascii="宋体" w:hAnsi="宋体"/>
                <w:sz w:val="21"/>
                <w:szCs w:val="21"/>
              </w:rPr>
              <w:t xml:space="preserve">-119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未来能源</w:t>
            </w:r>
          </w:p>
        </w:tc>
        <w:tc>
          <w:tcPr>
            <w:tcW w:w="3129" w:type="dxa"/>
            <w:vAlign w:val="center"/>
          </w:tcPr>
          <w:p>
            <w:pPr>
              <w:jc w:val="right"/>
              <w:rPr>
                <w:rFonts w:ascii="宋体" w:hAnsi="宋体"/>
                <w:sz w:val="21"/>
                <w:szCs w:val="21"/>
              </w:rPr>
            </w:pPr>
            <w:r>
              <w:rPr>
                <w:rFonts w:ascii="宋体" w:hAnsi="宋体"/>
                <w:sz w:val="21"/>
                <w:szCs w:val="21"/>
              </w:rPr>
              <w:t xml:space="preserve">-34 </w:t>
            </w:r>
          </w:p>
        </w:tc>
        <w:tc>
          <w:tcPr>
            <w:tcW w:w="3065" w:type="dxa"/>
            <w:vAlign w:val="center"/>
          </w:tcPr>
          <w:p>
            <w:pPr>
              <w:jc w:val="right"/>
              <w:rPr>
                <w:rFonts w:ascii="宋体" w:hAnsi="宋体"/>
                <w:sz w:val="21"/>
                <w:szCs w:val="21"/>
              </w:rPr>
            </w:pPr>
            <w:r>
              <w:rPr>
                <w:rFonts w:ascii="宋体" w:hAnsi="宋体"/>
                <w:sz w:val="21"/>
                <w:szCs w:val="21"/>
              </w:rPr>
              <w:t xml:space="preserve">-2,227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鄂尔多斯公司</w:t>
            </w:r>
          </w:p>
        </w:tc>
        <w:tc>
          <w:tcPr>
            <w:tcW w:w="3129" w:type="dxa"/>
            <w:vAlign w:val="center"/>
          </w:tcPr>
          <w:p>
            <w:pPr>
              <w:jc w:val="right"/>
              <w:rPr>
                <w:rFonts w:ascii="宋体" w:hAnsi="宋体"/>
                <w:sz w:val="21"/>
                <w:szCs w:val="21"/>
              </w:rPr>
            </w:pPr>
            <w:r>
              <w:rPr>
                <w:rFonts w:ascii="宋体" w:hAnsi="宋体"/>
                <w:sz w:val="21"/>
                <w:szCs w:val="21"/>
              </w:rPr>
              <w:t xml:space="preserve">-2,386 </w:t>
            </w:r>
          </w:p>
        </w:tc>
        <w:tc>
          <w:tcPr>
            <w:tcW w:w="3065" w:type="dxa"/>
            <w:vAlign w:val="center"/>
          </w:tcPr>
          <w:p>
            <w:pPr>
              <w:jc w:val="right"/>
              <w:rPr>
                <w:rFonts w:ascii="宋体" w:hAnsi="宋体"/>
                <w:sz w:val="21"/>
                <w:szCs w:val="21"/>
              </w:rPr>
            </w:pPr>
            <w:r>
              <w:rPr>
                <w:rFonts w:ascii="宋体" w:hAnsi="宋体"/>
                <w:sz w:val="21"/>
                <w:szCs w:val="21"/>
              </w:rPr>
              <w:t xml:space="preserve">-1,208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昊盛煤业</w:t>
            </w:r>
          </w:p>
        </w:tc>
        <w:tc>
          <w:tcPr>
            <w:tcW w:w="3129" w:type="dxa"/>
            <w:vAlign w:val="center"/>
          </w:tcPr>
          <w:p>
            <w:pPr>
              <w:jc w:val="right"/>
              <w:rPr>
                <w:rFonts w:ascii="宋体" w:hAnsi="宋体"/>
                <w:sz w:val="21"/>
                <w:szCs w:val="21"/>
              </w:rPr>
            </w:pPr>
            <w:r>
              <w:rPr>
                <w:rFonts w:ascii="宋体" w:hAnsi="宋体"/>
                <w:sz w:val="21"/>
                <w:szCs w:val="21"/>
              </w:rPr>
              <w:t xml:space="preserve">302 </w:t>
            </w:r>
          </w:p>
        </w:tc>
        <w:tc>
          <w:tcPr>
            <w:tcW w:w="3065" w:type="dxa"/>
            <w:vAlign w:val="center"/>
          </w:tcPr>
          <w:p>
            <w:pPr>
              <w:jc w:val="right"/>
              <w:rPr>
                <w:rFonts w:ascii="宋体" w:hAnsi="宋体"/>
                <w:sz w:val="21"/>
                <w:szCs w:val="21"/>
              </w:rPr>
            </w:pPr>
            <w:r>
              <w:rPr>
                <w:rFonts w:ascii="宋体" w:hAnsi="宋体"/>
                <w:sz w:val="21"/>
                <w:szCs w:val="21"/>
              </w:rPr>
              <w:t xml:space="preserve">-967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内蒙古矿业</w:t>
            </w:r>
          </w:p>
        </w:tc>
        <w:tc>
          <w:tcPr>
            <w:tcW w:w="3129" w:type="dxa"/>
            <w:vAlign w:val="center"/>
          </w:tcPr>
          <w:p>
            <w:pPr>
              <w:jc w:val="right"/>
              <w:rPr>
                <w:rFonts w:ascii="宋体" w:hAnsi="宋体"/>
                <w:sz w:val="21"/>
                <w:szCs w:val="21"/>
              </w:rPr>
            </w:pPr>
            <w:r>
              <w:rPr>
                <w:rFonts w:ascii="宋体" w:hAnsi="宋体"/>
                <w:sz w:val="21"/>
                <w:szCs w:val="21"/>
              </w:rPr>
              <w:t xml:space="preserve">-9 </w:t>
            </w:r>
          </w:p>
        </w:tc>
        <w:tc>
          <w:tcPr>
            <w:tcW w:w="3065" w:type="dxa"/>
            <w:vAlign w:val="center"/>
          </w:tcPr>
          <w:p>
            <w:pPr>
              <w:jc w:val="right"/>
              <w:rPr>
                <w:rFonts w:ascii="宋体" w:hAnsi="宋体"/>
                <w:sz w:val="21"/>
                <w:szCs w:val="21"/>
              </w:rPr>
            </w:pPr>
            <w:r>
              <w:rPr>
                <w:rFonts w:ascii="宋体" w:hAnsi="宋体"/>
                <w:sz w:val="21"/>
                <w:szCs w:val="21"/>
              </w:rPr>
              <w:t xml:space="preserve">-441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新疆能化</w:t>
            </w:r>
          </w:p>
        </w:tc>
        <w:tc>
          <w:tcPr>
            <w:tcW w:w="3129" w:type="dxa"/>
            <w:vAlign w:val="center"/>
          </w:tcPr>
          <w:p>
            <w:pPr>
              <w:jc w:val="right"/>
              <w:rPr>
                <w:rFonts w:ascii="宋体" w:hAnsi="宋体"/>
                <w:sz w:val="21"/>
                <w:szCs w:val="21"/>
              </w:rPr>
            </w:pPr>
            <w:r>
              <w:rPr>
                <w:rFonts w:ascii="宋体" w:hAnsi="宋体"/>
                <w:sz w:val="21"/>
                <w:szCs w:val="21"/>
              </w:rPr>
              <w:t xml:space="preserve">-306 </w:t>
            </w:r>
          </w:p>
        </w:tc>
        <w:tc>
          <w:tcPr>
            <w:tcW w:w="3065" w:type="dxa"/>
            <w:vAlign w:val="center"/>
          </w:tcPr>
          <w:p>
            <w:pPr>
              <w:jc w:val="right"/>
              <w:rPr>
                <w:rFonts w:ascii="宋体" w:hAnsi="宋体"/>
                <w:sz w:val="21"/>
                <w:szCs w:val="21"/>
              </w:rPr>
            </w:pPr>
            <w:r>
              <w:rPr>
                <w:rFonts w:ascii="宋体" w:hAnsi="宋体"/>
                <w:sz w:val="21"/>
                <w:szCs w:val="21"/>
              </w:rPr>
              <w:t xml:space="preserve">-596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兖煤澳洲</w:t>
            </w:r>
          </w:p>
        </w:tc>
        <w:tc>
          <w:tcPr>
            <w:tcW w:w="3129" w:type="dxa"/>
            <w:vAlign w:val="center"/>
          </w:tcPr>
          <w:p>
            <w:pPr>
              <w:jc w:val="right"/>
              <w:rPr>
                <w:rFonts w:ascii="宋体" w:hAnsi="宋体"/>
                <w:sz w:val="21"/>
                <w:szCs w:val="21"/>
              </w:rPr>
            </w:pPr>
            <w:r>
              <w:rPr>
                <w:rFonts w:ascii="宋体" w:hAnsi="宋体"/>
                <w:sz w:val="21"/>
                <w:szCs w:val="21"/>
              </w:rPr>
              <w:t xml:space="preserve">6,341 </w:t>
            </w:r>
          </w:p>
        </w:tc>
        <w:tc>
          <w:tcPr>
            <w:tcW w:w="3065" w:type="dxa"/>
            <w:vAlign w:val="center"/>
          </w:tcPr>
          <w:p>
            <w:pPr>
              <w:jc w:val="right"/>
              <w:rPr>
                <w:rFonts w:ascii="宋体" w:hAnsi="宋体"/>
                <w:sz w:val="21"/>
                <w:szCs w:val="21"/>
              </w:rPr>
            </w:pPr>
            <w:r>
              <w:rPr>
                <w:rFonts w:ascii="宋体" w:hAnsi="宋体"/>
                <w:sz w:val="21"/>
                <w:szCs w:val="21"/>
              </w:rPr>
              <w:t xml:space="preserve">-19,314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兖煤国际</w:t>
            </w:r>
          </w:p>
        </w:tc>
        <w:tc>
          <w:tcPr>
            <w:tcW w:w="3129" w:type="dxa"/>
            <w:vAlign w:val="center"/>
          </w:tcPr>
          <w:p>
            <w:pPr>
              <w:jc w:val="right"/>
              <w:rPr>
                <w:rFonts w:ascii="宋体" w:hAnsi="宋体"/>
                <w:sz w:val="21"/>
                <w:szCs w:val="21"/>
              </w:rPr>
            </w:pPr>
            <w:r>
              <w:rPr>
                <w:rFonts w:ascii="宋体" w:hAnsi="宋体"/>
                <w:sz w:val="21"/>
                <w:szCs w:val="21"/>
              </w:rPr>
              <w:t xml:space="preserve">508 </w:t>
            </w:r>
          </w:p>
        </w:tc>
        <w:tc>
          <w:tcPr>
            <w:tcW w:w="3065" w:type="dxa"/>
            <w:vAlign w:val="center"/>
          </w:tcPr>
          <w:p>
            <w:pPr>
              <w:jc w:val="right"/>
              <w:rPr>
                <w:rFonts w:ascii="宋体" w:hAnsi="宋体"/>
                <w:sz w:val="21"/>
                <w:szCs w:val="21"/>
              </w:rPr>
            </w:pPr>
            <w:r>
              <w:rPr>
                <w:rFonts w:ascii="宋体" w:hAnsi="宋体"/>
                <w:sz w:val="21"/>
                <w:szCs w:val="21"/>
              </w:rPr>
              <w:t xml:space="preserve">-1,588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28" w:type="dxa"/>
            <w:vAlign w:val="center"/>
          </w:tcPr>
          <w:p>
            <w:pPr>
              <w:rPr>
                <w:rFonts w:ascii="宋体" w:hAnsi="宋体"/>
                <w:sz w:val="21"/>
                <w:szCs w:val="21"/>
              </w:rPr>
            </w:pPr>
            <w:r>
              <w:rPr>
                <w:rFonts w:hint="eastAsia" w:ascii="宋体" w:hAnsi="宋体"/>
                <w:sz w:val="21"/>
                <w:szCs w:val="21"/>
              </w:rPr>
              <w:t>贸易煤</w:t>
            </w:r>
          </w:p>
        </w:tc>
        <w:tc>
          <w:tcPr>
            <w:tcW w:w="3129" w:type="dxa"/>
            <w:vAlign w:val="center"/>
          </w:tcPr>
          <w:p>
            <w:pPr>
              <w:jc w:val="right"/>
              <w:rPr>
                <w:rFonts w:ascii="宋体" w:hAnsi="宋体"/>
                <w:sz w:val="21"/>
                <w:szCs w:val="21"/>
              </w:rPr>
            </w:pPr>
            <w:r>
              <w:rPr>
                <w:rFonts w:ascii="宋体" w:hAnsi="宋体"/>
                <w:sz w:val="21"/>
                <w:szCs w:val="21"/>
              </w:rPr>
              <w:t xml:space="preserve">-10,201 </w:t>
            </w:r>
          </w:p>
        </w:tc>
        <w:tc>
          <w:tcPr>
            <w:tcW w:w="3065" w:type="dxa"/>
            <w:vAlign w:val="center"/>
          </w:tcPr>
          <w:p>
            <w:pPr>
              <w:jc w:val="right"/>
              <w:rPr>
                <w:rFonts w:ascii="宋体" w:hAnsi="宋体"/>
                <w:sz w:val="21"/>
                <w:szCs w:val="21"/>
              </w:rPr>
            </w:pPr>
            <w:r>
              <w:rPr>
                <w:rFonts w:ascii="宋体" w:hAnsi="宋体"/>
                <w:sz w:val="21"/>
                <w:szCs w:val="21"/>
              </w:rPr>
              <w:t xml:space="preserve">-2,121 </w:t>
            </w:r>
          </w:p>
        </w:tc>
      </w:tr>
      <w:bookmarkEnd w:id="30"/>
    </w:tbl>
    <w:p>
      <w:pPr>
        <w:pStyle w:val="43"/>
        <w:rPr>
          <w:szCs w:val="21"/>
        </w:rPr>
      </w:pPr>
    </w:p>
    <w:p>
      <w:pPr>
        <w:ind w:firstLine="420" w:firstLineChars="200"/>
        <w:rPr>
          <w:rFonts w:ascii="宋体" w:hAnsi="宋体"/>
        </w:rPr>
      </w:pPr>
      <w:r>
        <w:rPr>
          <w:rFonts w:hint="eastAsia" w:ascii="宋体" w:hAnsi="宋体"/>
        </w:rPr>
        <w:t>本集团煤炭产品销售主要集中于中国、日本、韩国、澳大利亚、泰国等市场。</w:t>
      </w:r>
    </w:p>
    <w:p>
      <w:pPr>
        <w:ind w:firstLine="420" w:firstLineChars="200"/>
        <w:rPr>
          <w:rFonts w:ascii="宋体" w:hAnsi="宋体"/>
        </w:rPr>
      </w:pPr>
      <w:r>
        <w:rPr>
          <w:rFonts w:hint="eastAsia" w:ascii="宋体" w:hAnsi="宋体"/>
        </w:rPr>
        <w:t>202</w:t>
      </w:r>
      <w:r>
        <w:rPr>
          <w:rFonts w:ascii="宋体" w:hAnsi="宋体"/>
        </w:rPr>
        <w:t>3</w:t>
      </w:r>
      <w:r>
        <w:rPr>
          <w:rFonts w:hint="eastAsia" w:ascii="宋体" w:hAnsi="宋体"/>
        </w:rPr>
        <w:t>年本集团按地区分类的煤炭销售情况如下表：</w:t>
      </w:r>
    </w:p>
    <w:tbl>
      <w:tblPr>
        <w:tblStyle w:val="117"/>
        <w:tblW w:w="4871" w:type="pct"/>
        <w:jc w:val="center"/>
        <w:tblLayout w:type="autofit"/>
        <w:tblCellMar>
          <w:top w:w="0" w:type="dxa"/>
          <w:left w:w="108" w:type="dxa"/>
          <w:bottom w:w="0" w:type="dxa"/>
          <w:right w:w="108" w:type="dxa"/>
        </w:tblCellMar>
      </w:tblPr>
      <w:tblGrid>
        <w:gridCol w:w="2373"/>
        <w:gridCol w:w="1594"/>
        <w:gridCol w:w="1647"/>
        <w:gridCol w:w="1703"/>
        <w:gridCol w:w="1499"/>
      </w:tblGrid>
      <w:tr>
        <w:tblPrEx>
          <w:tblCellMar>
            <w:top w:w="0" w:type="dxa"/>
            <w:left w:w="108" w:type="dxa"/>
            <w:bottom w:w="0" w:type="dxa"/>
            <w:right w:w="108" w:type="dxa"/>
          </w:tblCellMar>
        </w:tblPrEx>
        <w:trPr>
          <w:trHeight w:val="333" w:hRule="atLeast"/>
          <w:jc w:val="center"/>
        </w:trPr>
        <w:tc>
          <w:tcPr>
            <w:tcW w:w="1346"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1838"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202</w:t>
            </w:r>
            <w:r>
              <w:rPr>
                <w:rFonts w:ascii="宋体" w:hAnsi="宋体"/>
                <w:sz w:val="21"/>
                <w:szCs w:val="21"/>
              </w:rPr>
              <w:t>3</w:t>
            </w:r>
            <w:r>
              <w:rPr>
                <w:rFonts w:hint="eastAsia" w:ascii="宋体" w:hAnsi="宋体"/>
                <w:sz w:val="21"/>
                <w:szCs w:val="21"/>
              </w:rPr>
              <w:t>年</w:t>
            </w:r>
          </w:p>
        </w:tc>
        <w:tc>
          <w:tcPr>
            <w:tcW w:w="1816" w:type="pct"/>
            <w:gridSpan w:val="2"/>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202</w:t>
            </w:r>
            <w:r>
              <w:rPr>
                <w:rFonts w:ascii="宋体" w:hAnsi="宋体"/>
                <w:sz w:val="21"/>
                <w:szCs w:val="21"/>
              </w:rPr>
              <w:t>2</w:t>
            </w:r>
            <w:r>
              <w:rPr>
                <w:rFonts w:hint="eastAsia" w:ascii="宋体" w:hAnsi="宋体"/>
                <w:sz w:val="21"/>
                <w:szCs w:val="21"/>
              </w:rPr>
              <w:t>年</w:t>
            </w:r>
          </w:p>
        </w:tc>
      </w:tr>
      <w:tr>
        <w:tblPrEx>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904" w:type="pct"/>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销量</w:t>
            </w:r>
          </w:p>
        </w:tc>
        <w:tc>
          <w:tcPr>
            <w:tcW w:w="934" w:type="pct"/>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销售收入</w:t>
            </w:r>
          </w:p>
        </w:tc>
        <w:tc>
          <w:tcPr>
            <w:tcW w:w="966" w:type="pct"/>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销量</w:t>
            </w:r>
          </w:p>
        </w:tc>
        <w:tc>
          <w:tcPr>
            <w:tcW w:w="850" w:type="pct"/>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销售收入</w:t>
            </w:r>
          </w:p>
        </w:tc>
      </w:tr>
      <w:tr>
        <w:tblPrEx>
          <w:tblCellMar>
            <w:top w:w="0" w:type="dxa"/>
            <w:left w:w="108" w:type="dxa"/>
            <w:bottom w:w="0" w:type="dxa"/>
            <w:right w:w="108" w:type="dxa"/>
          </w:tblCellMar>
        </w:tblPrEx>
        <w:trPr>
          <w:trHeight w:val="7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904" w:type="pct"/>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（千吨）</w:t>
            </w:r>
          </w:p>
        </w:tc>
        <w:tc>
          <w:tcPr>
            <w:tcW w:w="934" w:type="pct"/>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（百万元）</w:t>
            </w:r>
          </w:p>
        </w:tc>
        <w:tc>
          <w:tcPr>
            <w:tcW w:w="966" w:type="pct"/>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（千吨）</w:t>
            </w:r>
          </w:p>
        </w:tc>
        <w:tc>
          <w:tcPr>
            <w:tcW w:w="850" w:type="pct"/>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（百万元）</w:t>
            </w:r>
          </w:p>
        </w:tc>
      </w:tr>
      <w:tr>
        <w:tblPrEx>
          <w:tblCellMar>
            <w:top w:w="0" w:type="dxa"/>
            <w:left w:w="108" w:type="dxa"/>
            <w:bottom w:w="0" w:type="dxa"/>
            <w:right w:w="108" w:type="dxa"/>
          </w:tblCellMar>
        </w:tblPrEx>
        <w:trPr>
          <w:trHeight w:val="349"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一、中国</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102,725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76,252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105,831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102,647 </w:t>
            </w:r>
          </w:p>
        </w:tc>
      </w:tr>
      <w:tr>
        <w:tblPrEx>
          <w:tblCellMar>
            <w:top w:w="0" w:type="dxa"/>
            <w:left w:w="108" w:type="dxa"/>
            <w:bottom w:w="0" w:type="dxa"/>
            <w:right w:w="108" w:type="dxa"/>
          </w:tblCellMar>
        </w:tblPrEx>
        <w:trPr>
          <w:trHeight w:val="333"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sz w:val="21"/>
                <w:szCs w:val="21"/>
              </w:rPr>
            </w:pPr>
            <w:r>
              <w:rPr>
                <w:rFonts w:hint="eastAsia" w:ascii="宋体" w:hAnsi="宋体"/>
                <w:sz w:val="21"/>
                <w:szCs w:val="21"/>
              </w:rPr>
              <w:t>华东地区</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49,584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46,700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53,213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67,364 </w:t>
            </w:r>
          </w:p>
        </w:tc>
      </w:tr>
      <w:tr>
        <w:tblPrEx>
          <w:tblCellMar>
            <w:top w:w="0" w:type="dxa"/>
            <w:left w:w="108" w:type="dxa"/>
            <w:bottom w:w="0" w:type="dxa"/>
            <w:right w:w="108" w:type="dxa"/>
          </w:tblCellMar>
        </w:tblPrEx>
        <w:trPr>
          <w:trHeight w:val="333"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sz w:val="21"/>
                <w:szCs w:val="21"/>
              </w:rPr>
            </w:pPr>
            <w:r>
              <w:rPr>
                <w:rFonts w:hint="eastAsia" w:ascii="宋体" w:hAnsi="宋体"/>
                <w:sz w:val="21"/>
                <w:szCs w:val="21"/>
              </w:rPr>
              <w:t>华南地区</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11,044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7,963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2,507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2,399 </w:t>
            </w:r>
          </w:p>
        </w:tc>
      </w:tr>
      <w:tr>
        <w:tblPrEx>
          <w:tblCellMar>
            <w:top w:w="0" w:type="dxa"/>
            <w:left w:w="108" w:type="dxa"/>
            <w:bottom w:w="0" w:type="dxa"/>
            <w:right w:w="108" w:type="dxa"/>
          </w:tblCellMar>
        </w:tblPrEx>
        <w:trPr>
          <w:trHeight w:val="333"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sz w:val="21"/>
                <w:szCs w:val="21"/>
              </w:rPr>
            </w:pPr>
            <w:r>
              <w:rPr>
                <w:rFonts w:hint="eastAsia" w:ascii="宋体" w:hAnsi="宋体"/>
                <w:sz w:val="21"/>
                <w:szCs w:val="21"/>
              </w:rPr>
              <w:t>华中地区</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6,217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6,388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7,545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9,619 </w:t>
            </w:r>
          </w:p>
        </w:tc>
      </w:tr>
      <w:tr>
        <w:tblPrEx>
          <w:tblCellMar>
            <w:top w:w="0" w:type="dxa"/>
            <w:left w:w="108" w:type="dxa"/>
            <w:bottom w:w="0" w:type="dxa"/>
            <w:right w:w="108" w:type="dxa"/>
          </w:tblCellMar>
        </w:tblPrEx>
        <w:trPr>
          <w:trHeight w:val="333"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sz w:val="21"/>
                <w:szCs w:val="21"/>
              </w:rPr>
            </w:pPr>
            <w:r>
              <w:rPr>
                <w:rFonts w:hint="eastAsia" w:ascii="宋体" w:hAnsi="宋体"/>
                <w:sz w:val="21"/>
                <w:szCs w:val="21"/>
              </w:rPr>
              <w:t>华北地区</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9,169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6,988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14,669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13,243 </w:t>
            </w:r>
          </w:p>
        </w:tc>
      </w:tr>
      <w:tr>
        <w:tblPrEx>
          <w:tblCellMar>
            <w:top w:w="0" w:type="dxa"/>
            <w:left w:w="108" w:type="dxa"/>
            <w:bottom w:w="0" w:type="dxa"/>
            <w:right w:w="108" w:type="dxa"/>
          </w:tblCellMar>
        </w:tblPrEx>
        <w:trPr>
          <w:trHeight w:val="333"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sz w:val="21"/>
                <w:szCs w:val="21"/>
              </w:rPr>
            </w:pPr>
            <w:r>
              <w:rPr>
                <w:rFonts w:hint="eastAsia" w:ascii="宋体" w:hAnsi="宋体"/>
                <w:sz w:val="21"/>
                <w:szCs w:val="21"/>
              </w:rPr>
              <w:t>西北地区</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25,050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6,438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26,308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7,722 </w:t>
            </w:r>
          </w:p>
        </w:tc>
      </w:tr>
      <w:tr>
        <w:tblPrEx>
          <w:tblCellMar>
            <w:top w:w="0" w:type="dxa"/>
            <w:left w:w="108" w:type="dxa"/>
            <w:bottom w:w="0" w:type="dxa"/>
            <w:right w:w="108" w:type="dxa"/>
          </w:tblCellMar>
        </w:tblPrEx>
        <w:trPr>
          <w:trHeight w:val="349"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sz w:val="21"/>
                <w:szCs w:val="21"/>
              </w:rPr>
            </w:pPr>
            <w:r>
              <w:rPr>
                <w:rFonts w:hint="eastAsia" w:ascii="宋体" w:hAnsi="宋体"/>
                <w:sz w:val="21"/>
                <w:szCs w:val="21"/>
              </w:rPr>
              <w:t>其他地区</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1,660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1,775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1,591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2,301 </w:t>
            </w:r>
          </w:p>
        </w:tc>
      </w:tr>
      <w:tr>
        <w:tblPrEx>
          <w:tblCellMar>
            <w:top w:w="0" w:type="dxa"/>
            <w:left w:w="108" w:type="dxa"/>
            <w:bottom w:w="0" w:type="dxa"/>
            <w:right w:w="108" w:type="dxa"/>
          </w:tblCellMar>
        </w:tblPrEx>
        <w:trPr>
          <w:trHeight w:val="349"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二、日本</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8,470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12,735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10,286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21,961 </w:t>
            </w:r>
          </w:p>
        </w:tc>
      </w:tr>
      <w:tr>
        <w:tblPrEx>
          <w:tblCellMar>
            <w:top w:w="0" w:type="dxa"/>
            <w:left w:w="108" w:type="dxa"/>
            <w:bottom w:w="0" w:type="dxa"/>
            <w:right w:w="108" w:type="dxa"/>
          </w:tblCellMar>
        </w:tblPrEx>
        <w:trPr>
          <w:trHeight w:val="349"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三、韩国</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4,386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5,641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4,186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7,036 </w:t>
            </w:r>
          </w:p>
        </w:tc>
      </w:tr>
      <w:tr>
        <w:tblPrEx>
          <w:tblCellMar>
            <w:top w:w="0" w:type="dxa"/>
            <w:left w:w="108" w:type="dxa"/>
            <w:bottom w:w="0" w:type="dxa"/>
            <w:right w:w="108" w:type="dxa"/>
          </w:tblCellMar>
        </w:tblPrEx>
        <w:trPr>
          <w:trHeight w:val="349"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四、澳大利亚</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4,080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2,288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3,214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1,250 </w:t>
            </w:r>
          </w:p>
        </w:tc>
      </w:tr>
      <w:tr>
        <w:tblPrEx>
          <w:tblCellMar>
            <w:top w:w="0" w:type="dxa"/>
            <w:left w:w="108" w:type="dxa"/>
            <w:bottom w:w="0" w:type="dxa"/>
            <w:right w:w="108" w:type="dxa"/>
          </w:tblCellMar>
        </w:tblPrEx>
        <w:trPr>
          <w:trHeight w:val="349"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五、泰国</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3,594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1,740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4,118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1,991 </w:t>
            </w:r>
          </w:p>
        </w:tc>
      </w:tr>
      <w:tr>
        <w:tblPrEx>
          <w:tblCellMar>
            <w:top w:w="0" w:type="dxa"/>
            <w:left w:w="108" w:type="dxa"/>
            <w:bottom w:w="0" w:type="dxa"/>
            <w:right w:w="108" w:type="dxa"/>
          </w:tblCellMar>
        </w:tblPrEx>
        <w:trPr>
          <w:trHeight w:val="349"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六、其他</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3,769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3,362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7,805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11,105 </w:t>
            </w:r>
          </w:p>
        </w:tc>
      </w:tr>
      <w:tr>
        <w:tblPrEx>
          <w:tblCellMar>
            <w:top w:w="0" w:type="dxa"/>
            <w:left w:w="108" w:type="dxa"/>
            <w:bottom w:w="0" w:type="dxa"/>
            <w:right w:w="108" w:type="dxa"/>
          </w:tblCellMar>
        </w:tblPrEx>
        <w:trPr>
          <w:trHeight w:val="349" w:hRule="atLeast"/>
          <w:jc w:val="center"/>
        </w:trPr>
        <w:tc>
          <w:tcPr>
            <w:tcW w:w="1346" w:type="pct"/>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七、本集团总计</w:t>
            </w:r>
          </w:p>
        </w:tc>
        <w:tc>
          <w:tcPr>
            <w:tcW w:w="90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127,024 </w:t>
            </w:r>
          </w:p>
        </w:tc>
        <w:tc>
          <w:tcPr>
            <w:tcW w:w="934" w:type="pct"/>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102,019 </w:t>
            </w:r>
          </w:p>
        </w:tc>
        <w:tc>
          <w:tcPr>
            <w:tcW w:w="966"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135,439 </w:t>
            </w:r>
          </w:p>
        </w:tc>
        <w:tc>
          <w:tcPr>
            <w:tcW w:w="850" w:type="pct"/>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145,991 </w:t>
            </w:r>
          </w:p>
        </w:tc>
      </w:tr>
    </w:tbl>
    <w:p>
      <w:pPr>
        <w:pStyle w:val="43"/>
        <w:rPr>
          <w:szCs w:val="21"/>
        </w:rPr>
      </w:pPr>
    </w:p>
    <w:p>
      <w:pPr>
        <w:ind w:firstLine="420" w:firstLineChars="200"/>
        <w:rPr>
          <w:rFonts w:ascii="宋体" w:hAnsi="宋体"/>
        </w:rPr>
      </w:pPr>
      <w:r>
        <w:rPr>
          <w:rFonts w:hint="eastAsia" w:ascii="宋体" w:hAnsi="宋体"/>
        </w:rPr>
        <w:t>本集团煤炭产品大部分销往电力、冶金、化工、商贸等行业。</w:t>
      </w:r>
    </w:p>
    <w:p>
      <w:pPr>
        <w:ind w:firstLine="420" w:firstLineChars="200"/>
        <w:rPr>
          <w:rFonts w:ascii="宋体" w:hAnsi="宋体"/>
        </w:rPr>
      </w:pPr>
      <w:r>
        <w:rPr>
          <w:rFonts w:hint="eastAsia" w:ascii="宋体" w:hAnsi="宋体"/>
        </w:rPr>
        <w:t>202</w:t>
      </w:r>
      <w:r>
        <w:rPr>
          <w:rFonts w:ascii="宋体" w:hAnsi="宋体"/>
        </w:rPr>
        <w:t>3</w:t>
      </w:r>
      <w:r>
        <w:rPr>
          <w:rFonts w:hint="eastAsia" w:ascii="宋体" w:hAnsi="宋体"/>
        </w:rPr>
        <w:t>年本集团按行业分类的煤炭销售情况如下表：</w:t>
      </w:r>
    </w:p>
    <w:p>
      <w:pPr>
        <w:pStyle w:val="43"/>
        <w:rPr>
          <w:szCs w:val="21"/>
        </w:rPr>
      </w:pPr>
    </w:p>
    <w:tbl>
      <w:tblPr>
        <w:tblStyle w:val="117"/>
        <w:tblW w:w="9070" w:type="dxa"/>
        <w:jc w:val="center"/>
        <w:tblLayout w:type="fixed"/>
        <w:tblCellMar>
          <w:top w:w="0" w:type="dxa"/>
          <w:left w:w="108" w:type="dxa"/>
          <w:bottom w:w="0" w:type="dxa"/>
          <w:right w:w="108" w:type="dxa"/>
        </w:tblCellMar>
      </w:tblPr>
      <w:tblGrid>
        <w:gridCol w:w="2278"/>
        <w:gridCol w:w="1697"/>
        <w:gridCol w:w="1699"/>
        <w:gridCol w:w="1697"/>
        <w:gridCol w:w="1699"/>
      </w:tblGrid>
      <w:tr>
        <w:tblPrEx>
          <w:tblCellMar>
            <w:top w:w="0" w:type="dxa"/>
            <w:left w:w="108" w:type="dxa"/>
            <w:bottom w:w="0" w:type="dxa"/>
            <w:right w:w="108" w:type="dxa"/>
          </w:tblCellMar>
        </w:tblPrEx>
        <w:trPr>
          <w:trHeight w:val="348" w:hRule="atLeast"/>
          <w:jc w:val="center"/>
        </w:trPr>
        <w:tc>
          <w:tcPr>
            <w:tcW w:w="2278"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3396"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202</w:t>
            </w:r>
            <w:r>
              <w:rPr>
                <w:rFonts w:ascii="宋体" w:hAnsi="宋体"/>
                <w:sz w:val="21"/>
                <w:szCs w:val="21"/>
              </w:rPr>
              <w:t>3</w:t>
            </w:r>
            <w:r>
              <w:rPr>
                <w:rFonts w:hint="eastAsia" w:ascii="宋体" w:hAnsi="宋体"/>
                <w:sz w:val="21"/>
                <w:szCs w:val="21"/>
              </w:rPr>
              <w:t>年</w:t>
            </w:r>
          </w:p>
        </w:tc>
        <w:tc>
          <w:tcPr>
            <w:tcW w:w="3396"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202</w:t>
            </w:r>
            <w:r>
              <w:rPr>
                <w:rFonts w:ascii="宋体" w:hAnsi="宋体"/>
                <w:sz w:val="21"/>
                <w:szCs w:val="21"/>
              </w:rPr>
              <w:t>2</w:t>
            </w:r>
            <w:r>
              <w:rPr>
                <w:rFonts w:hint="eastAsia" w:ascii="宋体" w:hAnsi="宋体"/>
                <w:sz w:val="21"/>
                <w:szCs w:val="21"/>
              </w:rPr>
              <w:t>年</w:t>
            </w:r>
          </w:p>
        </w:tc>
      </w:tr>
      <w:tr>
        <w:tblPrEx>
          <w:tblCellMar>
            <w:top w:w="0" w:type="dxa"/>
            <w:left w:w="108" w:type="dxa"/>
            <w:bottom w:w="0" w:type="dxa"/>
            <w:right w:w="108" w:type="dxa"/>
          </w:tblCellMar>
        </w:tblPrEx>
        <w:trPr>
          <w:trHeight w:val="161" w:hRule="atLeast"/>
          <w:jc w:val="center"/>
        </w:trPr>
        <w:tc>
          <w:tcPr>
            <w:tcW w:w="2278"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1697" w:type="dxa"/>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销量</w:t>
            </w:r>
          </w:p>
        </w:tc>
        <w:tc>
          <w:tcPr>
            <w:tcW w:w="1699" w:type="dxa"/>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销售收入</w:t>
            </w:r>
          </w:p>
        </w:tc>
        <w:tc>
          <w:tcPr>
            <w:tcW w:w="1697" w:type="dxa"/>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销量</w:t>
            </w:r>
          </w:p>
        </w:tc>
        <w:tc>
          <w:tcPr>
            <w:tcW w:w="1699" w:type="dxa"/>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销售收入</w:t>
            </w:r>
          </w:p>
        </w:tc>
      </w:tr>
      <w:tr>
        <w:tblPrEx>
          <w:tblCellMar>
            <w:top w:w="0" w:type="dxa"/>
            <w:left w:w="108" w:type="dxa"/>
            <w:bottom w:w="0" w:type="dxa"/>
            <w:right w:w="108" w:type="dxa"/>
          </w:tblCellMar>
        </w:tblPrEx>
        <w:trPr>
          <w:trHeight w:val="161" w:hRule="atLeast"/>
          <w:jc w:val="center"/>
        </w:trPr>
        <w:tc>
          <w:tcPr>
            <w:tcW w:w="2278"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p>
        </w:tc>
        <w:tc>
          <w:tcPr>
            <w:tcW w:w="1697" w:type="dxa"/>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（千吨）</w:t>
            </w:r>
          </w:p>
        </w:tc>
        <w:tc>
          <w:tcPr>
            <w:tcW w:w="1699" w:type="dxa"/>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（百万元）</w:t>
            </w:r>
          </w:p>
        </w:tc>
        <w:tc>
          <w:tcPr>
            <w:tcW w:w="1697" w:type="dxa"/>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（千吨）</w:t>
            </w:r>
          </w:p>
        </w:tc>
        <w:tc>
          <w:tcPr>
            <w:tcW w:w="1699" w:type="dxa"/>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hint="eastAsia" w:ascii="宋体" w:hAnsi="宋体"/>
                <w:sz w:val="21"/>
                <w:szCs w:val="21"/>
              </w:rPr>
              <w:t>（百万元）</w:t>
            </w:r>
          </w:p>
        </w:tc>
      </w:tr>
      <w:tr>
        <w:tblPrEx>
          <w:tblCellMar>
            <w:top w:w="0" w:type="dxa"/>
            <w:left w:w="108" w:type="dxa"/>
            <w:bottom w:w="0" w:type="dxa"/>
            <w:right w:w="108" w:type="dxa"/>
          </w:tblCellMar>
        </w:tblPrEx>
        <w:trPr>
          <w:trHeight w:val="280" w:hRule="atLeast"/>
          <w:jc w:val="center"/>
        </w:trPr>
        <w:tc>
          <w:tcPr>
            <w:tcW w:w="22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一、电力</w:t>
            </w:r>
          </w:p>
        </w:tc>
        <w:tc>
          <w:tcPr>
            <w:tcW w:w="1697"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65,022 </w:t>
            </w:r>
          </w:p>
        </w:tc>
        <w:tc>
          <w:tcPr>
            <w:tcW w:w="1699"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46,495 </w:t>
            </w:r>
          </w:p>
        </w:tc>
        <w:tc>
          <w:tcPr>
            <w:tcW w:w="1697"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59,133 </w:t>
            </w:r>
          </w:p>
        </w:tc>
        <w:tc>
          <w:tcPr>
            <w:tcW w:w="1699"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63,545 </w:t>
            </w:r>
          </w:p>
        </w:tc>
      </w:tr>
      <w:tr>
        <w:tblPrEx>
          <w:tblCellMar>
            <w:top w:w="0" w:type="dxa"/>
            <w:left w:w="108" w:type="dxa"/>
            <w:bottom w:w="0" w:type="dxa"/>
            <w:right w:w="108" w:type="dxa"/>
          </w:tblCellMar>
        </w:tblPrEx>
        <w:trPr>
          <w:trHeight w:val="335" w:hRule="atLeast"/>
          <w:jc w:val="center"/>
        </w:trPr>
        <w:tc>
          <w:tcPr>
            <w:tcW w:w="22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二、冶金</w:t>
            </w:r>
          </w:p>
        </w:tc>
        <w:tc>
          <w:tcPr>
            <w:tcW w:w="1697"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14,213 </w:t>
            </w:r>
          </w:p>
        </w:tc>
        <w:tc>
          <w:tcPr>
            <w:tcW w:w="1699"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22,019 </w:t>
            </w:r>
          </w:p>
        </w:tc>
        <w:tc>
          <w:tcPr>
            <w:tcW w:w="1697"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16,870 </w:t>
            </w:r>
          </w:p>
        </w:tc>
        <w:tc>
          <w:tcPr>
            <w:tcW w:w="1699"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29,485 </w:t>
            </w:r>
          </w:p>
        </w:tc>
      </w:tr>
      <w:tr>
        <w:tblPrEx>
          <w:tblCellMar>
            <w:top w:w="0" w:type="dxa"/>
            <w:left w:w="108" w:type="dxa"/>
            <w:bottom w:w="0" w:type="dxa"/>
            <w:right w:w="108" w:type="dxa"/>
          </w:tblCellMar>
        </w:tblPrEx>
        <w:trPr>
          <w:trHeight w:val="295" w:hRule="atLeast"/>
          <w:jc w:val="center"/>
        </w:trPr>
        <w:tc>
          <w:tcPr>
            <w:tcW w:w="22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三、化工</w:t>
            </w:r>
          </w:p>
        </w:tc>
        <w:tc>
          <w:tcPr>
            <w:tcW w:w="1697"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17,092 </w:t>
            </w:r>
          </w:p>
        </w:tc>
        <w:tc>
          <w:tcPr>
            <w:tcW w:w="1699"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10,793 </w:t>
            </w:r>
          </w:p>
        </w:tc>
        <w:tc>
          <w:tcPr>
            <w:tcW w:w="1697"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22,708 </w:t>
            </w:r>
          </w:p>
        </w:tc>
        <w:tc>
          <w:tcPr>
            <w:tcW w:w="1699"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18,551 </w:t>
            </w:r>
          </w:p>
        </w:tc>
      </w:tr>
      <w:tr>
        <w:tblPrEx>
          <w:tblCellMar>
            <w:top w:w="0" w:type="dxa"/>
            <w:left w:w="108" w:type="dxa"/>
            <w:bottom w:w="0" w:type="dxa"/>
            <w:right w:w="108" w:type="dxa"/>
          </w:tblCellMar>
        </w:tblPrEx>
        <w:trPr>
          <w:trHeight w:val="295" w:hRule="atLeast"/>
          <w:jc w:val="center"/>
        </w:trPr>
        <w:tc>
          <w:tcPr>
            <w:tcW w:w="22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四、商贸</w:t>
            </w:r>
          </w:p>
        </w:tc>
        <w:tc>
          <w:tcPr>
            <w:tcW w:w="1697"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28,504 </w:t>
            </w:r>
          </w:p>
        </w:tc>
        <w:tc>
          <w:tcPr>
            <w:tcW w:w="1699"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20,965 </w:t>
            </w:r>
          </w:p>
        </w:tc>
        <w:tc>
          <w:tcPr>
            <w:tcW w:w="1697"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30,981 </w:t>
            </w:r>
          </w:p>
        </w:tc>
        <w:tc>
          <w:tcPr>
            <w:tcW w:w="1699"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27,314 </w:t>
            </w:r>
          </w:p>
        </w:tc>
      </w:tr>
      <w:tr>
        <w:tblPrEx>
          <w:tblCellMar>
            <w:top w:w="0" w:type="dxa"/>
            <w:left w:w="108" w:type="dxa"/>
            <w:bottom w:w="0" w:type="dxa"/>
            <w:right w:w="108" w:type="dxa"/>
          </w:tblCellMar>
        </w:tblPrEx>
        <w:trPr>
          <w:trHeight w:val="335" w:hRule="atLeast"/>
          <w:jc w:val="center"/>
        </w:trPr>
        <w:tc>
          <w:tcPr>
            <w:tcW w:w="22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五、其他</w:t>
            </w:r>
          </w:p>
        </w:tc>
        <w:tc>
          <w:tcPr>
            <w:tcW w:w="1697"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2,192 </w:t>
            </w:r>
          </w:p>
        </w:tc>
        <w:tc>
          <w:tcPr>
            <w:tcW w:w="1699"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1,747 </w:t>
            </w:r>
          </w:p>
        </w:tc>
        <w:tc>
          <w:tcPr>
            <w:tcW w:w="1697"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5,747 </w:t>
            </w:r>
          </w:p>
        </w:tc>
        <w:tc>
          <w:tcPr>
            <w:tcW w:w="1699"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7,095 </w:t>
            </w:r>
          </w:p>
        </w:tc>
      </w:tr>
      <w:tr>
        <w:tblPrEx>
          <w:tblCellMar>
            <w:top w:w="0" w:type="dxa"/>
            <w:left w:w="108" w:type="dxa"/>
            <w:bottom w:w="0" w:type="dxa"/>
            <w:right w:w="108" w:type="dxa"/>
          </w:tblCellMar>
        </w:tblPrEx>
        <w:trPr>
          <w:trHeight w:val="351" w:hRule="atLeast"/>
          <w:jc w:val="center"/>
        </w:trPr>
        <w:tc>
          <w:tcPr>
            <w:tcW w:w="22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六、本集团总计</w:t>
            </w:r>
          </w:p>
        </w:tc>
        <w:tc>
          <w:tcPr>
            <w:tcW w:w="1697"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127,024 </w:t>
            </w:r>
          </w:p>
        </w:tc>
        <w:tc>
          <w:tcPr>
            <w:tcW w:w="1699" w:type="dxa"/>
            <w:tcBorders>
              <w:top w:val="single" w:color="auto" w:sz="4" w:space="0"/>
              <w:left w:val="nil"/>
              <w:bottom w:val="single" w:color="auto" w:sz="4" w:space="0"/>
              <w:right w:val="single" w:color="auto" w:sz="4" w:space="0"/>
            </w:tcBorders>
          </w:tcPr>
          <w:p>
            <w:pPr>
              <w:jc w:val="right"/>
              <w:rPr>
                <w:rFonts w:ascii="宋体" w:hAnsi="宋体"/>
                <w:sz w:val="21"/>
                <w:szCs w:val="21"/>
              </w:rPr>
            </w:pPr>
            <w:r>
              <w:rPr>
                <w:rFonts w:ascii="宋体" w:hAnsi="宋体"/>
                <w:sz w:val="21"/>
                <w:szCs w:val="21"/>
              </w:rPr>
              <w:t xml:space="preserve">102,019 </w:t>
            </w:r>
          </w:p>
        </w:tc>
        <w:tc>
          <w:tcPr>
            <w:tcW w:w="1697"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135,439 </w:t>
            </w:r>
          </w:p>
        </w:tc>
        <w:tc>
          <w:tcPr>
            <w:tcW w:w="1699" w:type="dxa"/>
            <w:tcBorders>
              <w:top w:val="single" w:color="auto" w:sz="4" w:space="0"/>
              <w:left w:val="nil"/>
              <w:bottom w:val="single" w:color="auto" w:sz="4" w:space="0"/>
              <w:right w:val="single" w:color="auto" w:sz="4" w:space="0"/>
            </w:tcBorders>
            <w:vAlign w:val="center"/>
          </w:tcPr>
          <w:p>
            <w:pPr>
              <w:jc w:val="right"/>
              <w:rPr>
                <w:rFonts w:ascii="宋体" w:hAnsi="宋体"/>
                <w:sz w:val="21"/>
                <w:szCs w:val="21"/>
              </w:rPr>
            </w:pPr>
            <w:r>
              <w:rPr>
                <w:rFonts w:ascii="宋体" w:hAnsi="宋体"/>
                <w:sz w:val="21"/>
                <w:szCs w:val="21"/>
              </w:rPr>
              <w:t xml:space="preserve">145,991 </w:t>
            </w:r>
          </w:p>
        </w:tc>
      </w:tr>
    </w:tbl>
    <w:p>
      <w:pPr>
        <w:pStyle w:val="43"/>
        <w:rPr>
          <w:szCs w:val="21"/>
        </w:rPr>
      </w:pPr>
    </w:p>
    <w:p>
      <w:pPr>
        <w:rPr>
          <w:rFonts w:ascii="宋体" w:hAnsi="宋体"/>
          <w:b/>
          <w:bCs/>
        </w:rPr>
      </w:pPr>
      <w:r>
        <w:rPr>
          <w:rFonts w:hint="eastAsia" w:ascii="宋体" w:hAnsi="宋体"/>
          <w:b/>
          <w:bCs/>
        </w:rPr>
        <w:t>(3)煤炭销售成本</w:t>
      </w:r>
    </w:p>
    <w:p>
      <w:pPr>
        <w:ind w:firstLine="420" w:firstLineChars="200"/>
        <w:rPr>
          <w:rFonts w:ascii="宋体" w:hAnsi="宋体"/>
        </w:rPr>
      </w:pPr>
      <w:r>
        <w:rPr>
          <w:rFonts w:hint="eastAsia" w:ascii="宋体" w:hAnsi="宋体"/>
        </w:rPr>
        <w:t>202</w:t>
      </w:r>
      <w:r>
        <w:rPr>
          <w:rFonts w:ascii="宋体" w:hAnsi="宋体"/>
        </w:rPr>
        <w:t>3</w:t>
      </w:r>
      <w:r>
        <w:rPr>
          <w:rFonts w:hint="eastAsia" w:ascii="宋体" w:hAnsi="宋体"/>
        </w:rPr>
        <w:t>年本集团煤炭业务销售成本</w:t>
      </w:r>
      <w:r>
        <w:rPr>
          <w:rFonts w:ascii="宋体" w:hAnsi="宋体"/>
        </w:rPr>
        <w:t>493.31</w:t>
      </w:r>
      <w:r>
        <w:rPr>
          <w:rFonts w:hint="eastAsia" w:ascii="宋体" w:hAnsi="宋体"/>
        </w:rPr>
        <w:t>亿元，同比减少</w:t>
      </w:r>
      <w:r>
        <w:rPr>
          <w:rFonts w:ascii="宋体" w:hAnsi="宋体"/>
        </w:rPr>
        <w:t>96.89</w:t>
      </w:r>
      <w:r>
        <w:rPr>
          <w:rFonts w:hint="eastAsia" w:ascii="宋体" w:hAnsi="宋体"/>
        </w:rPr>
        <w:t>亿元或</w:t>
      </w:r>
      <w:r>
        <w:rPr>
          <w:rFonts w:ascii="宋体" w:hAnsi="宋体"/>
        </w:rPr>
        <w:t>16.4</w:t>
      </w:r>
      <w:r>
        <w:rPr>
          <w:rFonts w:hint="eastAsia" w:ascii="宋体" w:hAnsi="宋体"/>
        </w:rPr>
        <w:t>%。</w:t>
      </w:r>
    </w:p>
    <w:p>
      <w:pPr>
        <w:ind w:firstLine="420" w:firstLineChars="200"/>
        <w:rPr>
          <w:rFonts w:ascii="宋体" w:hAnsi="宋体"/>
        </w:rPr>
      </w:pPr>
      <w:r>
        <w:rPr>
          <w:rFonts w:hint="eastAsia" w:ascii="宋体" w:hAnsi="宋体"/>
        </w:rPr>
        <w:t>按经营主体分类的煤炭业务销售成本情况如下表：</w:t>
      </w:r>
    </w:p>
    <w:p>
      <w:pPr>
        <w:pStyle w:val="43"/>
        <w:rPr>
          <w:szCs w:val="21"/>
        </w:rPr>
      </w:pPr>
    </w:p>
    <w:tbl>
      <w:tblPr>
        <w:tblStyle w:val="117"/>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99"/>
        <w:gridCol w:w="857"/>
        <w:gridCol w:w="1427"/>
        <w:gridCol w:w="1284"/>
        <w:gridCol w:w="1393"/>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154" w:type="dxa"/>
            <w:gridSpan w:val="2"/>
          </w:tcPr>
          <w:p>
            <w:pPr>
              <w:rPr>
                <w:rFonts w:ascii="宋体" w:hAnsi="宋体"/>
                <w:sz w:val="21"/>
                <w:szCs w:val="21"/>
              </w:rPr>
            </w:pPr>
            <w:bookmarkStart w:id="31" w:name="_Hlk129109185"/>
          </w:p>
        </w:tc>
        <w:tc>
          <w:tcPr>
            <w:tcW w:w="857" w:type="dxa"/>
            <w:vAlign w:val="center"/>
          </w:tcPr>
          <w:p>
            <w:pPr>
              <w:jc w:val="center"/>
              <w:rPr>
                <w:rFonts w:ascii="宋体" w:hAnsi="宋体"/>
                <w:sz w:val="21"/>
                <w:szCs w:val="21"/>
              </w:rPr>
            </w:pPr>
            <w:r>
              <w:rPr>
                <w:rFonts w:hint="eastAsia" w:ascii="宋体" w:hAnsi="宋体"/>
                <w:sz w:val="21"/>
                <w:szCs w:val="21"/>
              </w:rPr>
              <w:t>单位</w:t>
            </w:r>
          </w:p>
        </w:tc>
        <w:tc>
          <w:tcPr>
            <w:tcW w:w="1427" w:type="dxa"/>
            <w:vAlign w:val="center"/>
          </w:tcPr>
          <w:p>
            <w:pPr>
              <w:jc w:val="center"/>
              <w:rPr>
                <w:rFonts w:ascii="宋体" w:hAnsi="宋体"/>
                <w:sz w:val="21"/>
                <w:szCs w:val="21"/>
              </w:rPr>
            </w:pPr>
            <w:r>
              <w:rPr>
                <w:rFonts w:hint="eastAsia" w:ascii="宋体" w:hAnsi="宋体"/>
                <w:sz w:val="21"/>
                <w:szCs w:val="21"/>
              </w:rPr>
              <w:t>202</w:t>
            </w:r>
            <w:r>
              <w:rPr>
                <w:rFonts w:ascii="宋体" w:hAnsi="宋体"/>
                <w:sz w:val="21"/>
                <w:szCs w:val="21"/>
              </w:rPr>
              <w:t>3</w:t>
            </w:r>
            <w:r>
              <w:rPr>
                <w:rFonts w:hint="eastAsia" w:ascii="宋体" w:hAnsi="宋体"/>
                <w:sz w:val="21"/>
                <w:szCs w:val="21"/>
              </w:rPr>
              <w:t>年</w:t>
            </w:r>
          </w:p>
        </w:tc>
        <w:tc>
          <w:tcPr>
            <w:tcW w:w="1284" w:type="dxa"/>
            <w:vAlign w:val="center"/>
          </w:tcPr>
          <w:p>
            <w:pPr>
              <w:jc w:val="center"/>
              <w:rPr>
                <w:rFonts w:ascii="宋体" w:hAnsi="宋体"/>
                <w:sz w:val="21"/>
                <w:szCs w:val="21"/>
              </w:rPr>
            </w:pPr>
            <w:r>
              <w:rPr>
                <w:rFonts w:hint="eastAsia" w:ascii="宋体" w:hAnsi="宋体"/>
                <w:sz w:val="21"/>
                <w:szCs w:val="21"/>
              </w:rPr>
              <w:t>202</w:t>
            </w:r>
            <w:r>
              <w:rPr>
                <w:rFonts w:ascii="宋体" w:hAnsi="宋体"/>
                <w:sz w:val="21"/>
                <w:szCs w:val="21"/>
              </w:rPr>
              <w:t>2</w:t>
            </w:r>
            <w:r>
              <w:rPr>
                <w:rFonts w:hint="eastAsia" w:ascii="宋体" w:hAnsi="宋体"/>
                <w:sz w:val="21"/>
                <w:szCs w:val="21"/>
              </w:rPr>
              <w:t>年</w:t>
            </w:r>
          </w:p>
        </w:tc>
        <w:tc>
          <w:tcPr>
            <w:tcW w:w="1393" w:type="dxa"/>
            <w:vAlign w:val="center"/>
          </w:tcPr>
          <w:p>
            <w:pPr>
              <w:jc w:val="center"/>
              <w:rPr>
                <w:rFonts w:ascii="宋体" w:hAnsi="宋体"/>
                <w:sz w:val="21"/>
                <w:szCs w:val="21"/>
              </w:rPr>
            </w:pPr>
            <w:r>
              <w:rPr>
                <w:rFonts w:hint="eastAsia" w:ascii="宋体" w:hAnsi="宋体"/>
                <w:sz w:val="21"/>
                <w:szCs w:val="21"/>
              </w:rPr>
              <w:t>增减</w:t>
            </w:r>
          </w:p>
        </w:tc>
        <w:tc>
          <w:tcPr>
            <w:tcW w:w="1461" w:type="dxa"/>
            <w:vAlign w:val="center"/>
          </w:tcPr>
          <w:p>
            <w:pPr>
              <w:jc w:val="center"/>
              <w:rPr>
                <w:rFonts w:ascii="宋体" w:hAnsi="宋体"/>
                <w:sz w:val="21"/>
                <w:szCs w:val="21"/>
              </w:rPr>
            </w:pPr>
            <w:r>
              <w:rPr>
                <w:rFonts w:hint="eastAsia" w:ascii="宋体" w:hAnsi="宋体"/>
                <w:sz w:val="21"/>
                <w:szCs w:val="21"/>
              </w:rPr>
              <w:t>增减幅（%）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公司</w:t>
            </w:r>
          </w:p>
        </w:tc>
        <w:tc>
          <w:tcPr>
            <w:tcW w:w="1599" w:type="dxa"/>
          </w:tcPr>
          <w:p>
            <w:pPr>
              <w:rPr>
                <w:rFonts w:ascii="宋体" w:hAnsi="宋体"/>
                <w:sz w:val="21"/>
                <w:szCs w:val="21"/>
              </w:rPr>
            </w:pPr>
            <w:r>
              <w:rPr>
                <w:rFonts w:hint="eastAsia" w:ascii="宋体" w:hAnsi="宋体"/>
                <w:sz w:val="21"/>
                <w:szCs w:val="21"/>
              </w:rPr>
              <w:t>销售成本总额</w:t>
            </w:r>
          </w:p>
        </w:tc>
        <w:tc>
          <w:tcPr>
            <w:tcW w:w="857" w:type="dxa"/>
          </w:tcPr>
          <w:p>
            <w:pPr>
              <w:rPr>
                <w:rFonts w:ascii="宋体" w:hAnsi="宋体"/>
                <w:sz w:val="21"/>
                <w:szCs w:val="21"/>
              </w:rPr>
            </w:pPr>
            <w:r>
              <w:rPr>
                <w:rFonts w:hint="eastAsia"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7,801 </w:t>
            </w:r>
          </w:p>
        </w:tc>
        <w:tc>
          <w:tcPr>
            <w:tcW w:w="1284" w:type="dxa"/>
            <w:shd w:val="clear" w:color="auto" w:fill="auto"/>
          </w:tcPr>
          <w:p>
            <w:pPr>
              <w:jc w:val="right"/>
              <w:rPr>
                <w:rFonts w:ascii="宋体" w:hAnsi="宋体"/>
                <w:sz w:val="21"/>
                <w:szCs w:val="21"/>
              </w:rPr>
            </w:pPr>
            <w:r>
              <w:rPr>
                <w:rFonts w:ascii="宋体" w:hAnsi="宋体"/>
                <w:sz w:val="21"/>
                <w:szCs w:val="21"/>
              </w:rPr>
              <w:t>8,778</w:t>
            </w:r>
          </w:p>
        </w:tc>
        <w:tc>
          <w:tcPr>
            <w:tcW w:w="1393" w:type="dxa"/>
            <w:shd w:val="clear" w:color="auto" w:fill="auto"/>
          </w:tcPr>
          <w:p>
            <w:pPr>
              <w:jc w:val="right"/>
              <w:rPr>
                <w:rFonts w:ascii="宋体" w:hAnsi="宋体"/>
                <w:sz w:val="21"/>
                <w:szCs w:val="21"/>
              </w:rPr>
            </w:pPr>
            <w:r>
              <w:rPr>
                <w:rFonts w:ascii="宋体" w:hAnsi="宋体"/>
                <w:sz w:val="21"/>
                <w:szCs w:val="21"/>
              </w:rPr>
              <w:t xml:space="preserve">-977 </w:t>
            </w:r>
          </w:p>
        </w:tc>
        <w:tc>
          <w:tcPr>
            <w:tcW w:w="1461" w:type="dxa"/>
            <w:shd w:val="clear" w:color="auto" w:fill="auto"/>
          </w:tcPr>
          <w:p>
            <w:pPr>
              <w:jc w:val="right"/>
              <w:rPr>
                <w:rFonts w:ascii="宋体" w:hAnsi="宋体"/>
                <w:sz w:val="21"/>
                <w:szCs w:val="21"/>
              </w:rPr>
            </w:pPr>
            <w:r>
              <w:rPr>
                <w:rFonts w:ascii="宋体" w:hAnsi="宋体"/>
                <w:sz w:val="21"/>
                <w:szCs w:val="21"/>
              </w:rPr>
              <w:t xml:space="preserve">-11.13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555" w:type="dxa"/>
            <w:vMerge w:val="continue"/>
          </w:tcPr>
          <w:p>
            <w:pPr>
              <w:rPr>
                <w:rFonts w:ascii="宋体" w:hAnsi="宋体"/>
                <w:sz w:val="21"/>
                <w:szCs w:val="21"/>
              </w:rPr>
            </w:pPr>
          </w:p>
        </w:tc>
        <w:tc>
          <w:tcPr>
            <w:tcW w:w="1599" w:type="dxa"/>
          </w:tcPr>
          <w:p>
            <w:pPr>
              <w:rPr>
                <w:rFonts w:ascii="宋体" w:hAnsi="宋体"/>
                <w:sz w:val="21"/>
                <w:szCs w:val="21"/>
              </w:rPr>
            </w:pPr>
            <w:r>
              <w:rPr>
                <w:rFonts w:hint="eastAsia" w:ascii="宋体" w:hAnsi="宋体"/>
                <w:sz w:val="21"/>
                <w:szCs w:val="21"/>
              </w:rPr>
              <w:t>吨煤销售成本</w:t>
            </w:r>
          </w:p>
        </w:tc>
        <w:tc>
          <w:tcPr>
            <w:tcW w:w="857" w:type="dxa"/>
          </w:tcPr>
          <w:p>
            <w:pPr>
              <w:rPr>
                <w:rFonts w:ascii="宋体" w:hAnsi="宋体"/>
                <w:sz w:val="21"/>
                <w:szCs w:val="21"/>
              </w:rPr>
            </w:pPr>
            <w:r>
              <w:rPr>
                <w:rFonts w:hint="eastAsia"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317.05 </w:t>
            </w:r>
          </w:p>
        </w:tc>
        <w:tc>
          <w:tcPr>
            <w:tcW w:w="1284" w:type="dxa"/>
            <w:shd w:val="clear" w:color="auto" w:fill="auto"/>
          </w:tcPr>
          <w:p>
            <w:pPr>
              <w:jc w:val="right"/>
              <w:rPr>
                <w:rFonts w:ascii="宋体" w:hAnsi="宋体"/>
                <w:sz w:val="21"/>
                <w:szCs w:val="21"/>
              </w:rPr>
            </w:pPr>
            <w:r>
              <w:rPr>
                <w:rFonts w:ascii="宋体" w:hAnsi="宋体"/>
                <w:sz w:val="21"/>
                <w:szCs w:val="21"/>
              </w:rPr>
              <w:t xml:space="preserve">328.71 </w:t>
            </w:r>
          </w:p>
        </w:tc>
        <w:tc>
          <w:tcPr>
            <w:tcW w:w="1393" w:type="dxa"/>
            <w:shd w:val="clear" w:color="auto" w:fill="auto"/>
          </w:tcPr>
          <w:p>
            <w:pPr>
              <w:jc w:val="right"/>
              <w:rPr>
                <w:rFonts w:ascii="宋体" w:hAnsi="宋体"/>
                <w:sz w:val="21"/>
                <w:szCs w:val="21"/>
              </w:rPr>
            </w:pPr>
            <w:r>
              <w:rPr>
                <w:rFonts w:ascii="宋体" w:hAnsi="宋体"/>
                <w:sz w:val="21"/>
                <w:szCs w:val="21"/>
              </w:rPr>
              <w:t xml:space="preserve">-11.66 </w:t>
            </w:r>
          </w:p>
        </w:tc>
        <w:tc>
          <w:tcPr>
            <w:tcW w:w="1461" w:type="dxa"/>
            <w:shd w:val="clear" w:color="auto" w:fill="auto"/>
          </w:tcPr>
          <w:p>
            <w:pPr>
              <w:jc w:val="right"/>
              <w:rPr>
                <w:rFonts w:ascii="宋体" w:hAnsi="宋体"/>
                <w:sz w:val="21"/>
                <w:szCs w:val="21"/>
              </w:rPr>
            </w:pPr>
            <w:r>
              <w:rPr>
                <w:rFonts w:ascii="宋体" w:hAnsi="宋体"/>
                <w:sz w:val="21"/>
                <w:szCs w:val="21"/>
              </w:rPr>
              <w:t xml:space="preserve">-3.55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ascii="宋体" w:hAnsi="宋体"/>
                <w:sz w:val="21"/>
                <w:szCs w:val="21"/>
              </w:rPr>
              <w:t>菏泽能化</w:t>
            </w:r>
          </w:p>
        </w:tc>
        <w:tc>
          <w:tcPr>
            <w:tcW w:w="1599" w:type="dxa"/>
            <w:vAlign w:val="center"/>
          </w:tcPr>
          <w:p>
            <w:pPr>
              <w:rPr>
                <w:rFonts w:ascii="宋体" w:hAnsi="宋体"/>
                <w:sz w:val="21"/>
                <w:szCs w:val="21"/>
              </w:rPr>
            </w:pPr>
            <w:r>
              <w:rPr>
                <w:rFonts w:ascii="宋体" w:hAnsi="宋体"/>
                <w:sz w:val="21"/>
                <w:szCs w:val="21"/>
              </w:rPr>
              <w:t>销售成本总额</w:t>
            </w:r>
          </w:p>
        </w:tc>
        <w:tc>
          <w:tcPr>
            <w:tcW w:w="857" w:type="dxa"/>
            <w:vAlign w:val="center"/>
          </w:tcPr>
          <w:p>
            <w:pPr>
              <w:rPr>
                <w:rFonts w:ascii="宋体" w:hAnsi="宋体"/>
                <w:sz w:val="21"/>
                <w:szCs w:val="21"/>
              </w:rPr>
            </w:pPr>
            <w:r>
              <w:rPr>
                <w:rFonts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1,481 </w:t>
            </w:r>
          </w:p>
        </w:tc>
        <w:tc>
          <w:tcPr>
            <w:tcW w:w="1284" w:type="dxa"/>
            <w:shd w:val="clear" w:color="auto" w:fill="auto"/>
          </w:tcPr>
          <w:p>
            <w:pPr>
              <w:jc w:val="right"/>
              <w:rPr>
                <w:rFonts w:ascii="宋体" w:hAnsi="宋体"/>
                <w:sz w:val="21"/>
                <w:szCs w:val="21"/>
              </w:rPr>
            </w:pPr>
            <w:r>
              <w:rPr>
                <w:rFonts w:ascii="宋体" w:hAnsi="宋体"/>
                <w:sz w:val="21"/>
                <w:szCs w:val="21"/>
              </w:rPr>
              <w:t>1,443</w:t>
            </w:r>
          </w:p>
        </w:tc>
        <w:tc>
          <w:tcPr>
            <w:tcW w:w="1393" w:type="dxa"/>
            <w:shd w:val="clear" w:color="auto" w:fill="auto"/>
          </w:tcPr>
          <w:p>
            <w:pPr>
              <w:jc w:val="right"/>
              <w:rPr>
                <w:rFonts w:ascii="宋体" w:hAnsi="宋体"/>
                <w:sz w:val="21"/>
                <w:szCs w:val="21"/>
              </w:rPr>
            </w:pPr>
            <w:r>
              <w:rPr>
                <w:rFonts w:ascii="宋体" w:hAnsi="宋体"/>
                <w:sz w:val="21"/>
                <w:szCs w:val="21"/>
              </w:rPr>
              <w:t xml:space="preserve">38 </w:t>
            </w:r>
          </w:p>
        </w:tc>
        <w:tc>
          <w:tcPr>
            <w:tcW w:w="1461" w:type="dxa"/>
            <w:shd w:val="clear" w:color="auto" w:fill="auto"/>
          </w:tcPr>
          <w:p>
            <w:pPr>
              <w:jc w:val="right"/>
              <w:rPr>
                <w:rFonts w:ascii="宋体" w:hAnsi="宋体"/>
                <w:sz w:val="21"/>
                <w:szCs w:val="21"/>
              </w:rPr>
            </w:pPr>
            <w:r>
              <w:rPr>
                <w:rFonts w:ascii="宋体" w:hAnsi="宋体"/>
                <w:sz w:val="21"/>
                <w:szCs w:val="21"/>
              </w:rPr>
              <w:t xml:space="preserve">2.63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ascii="宋体" w:hAnsi="宋体"/>
                <w:sz w:val="21"/>
                <w:szCs w:val="21"/>
              </w:rPr>
              <w:t>吨煤销售成本</w:t>
            </w:r>
          </w:p>
        </w:tc>
        <w:tc>
          <w:tcPr>
            <w:tcW w:w="857" w:type="dxa"/>
            <w:vAlign w:val="center"/>
          </w:tcPr>
          <w:p>
            <w:pPr>
              <w:rPr>
                <w:rFonts w:ascii="宋体" w:hAnsi="宋体"/>
                <w:sz w:val="21"/>
                <w:szCs w:val="21"/>
              </w:rPr>
            </w:pPr>
            <w:r>
              <w:rPr>
                <w:rFonts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634.33 </w:t>
            </w:r>
          </w:p>
        </w:tc>
        <w:tc>
          <w:tcPr>
            <w:tcW w:w="1284" w:type="dxa"/>
            <w:shd w:val="clear" w:color="auto" w:fill="auto"/>
          </w:tcPr>
          <w:p>
            <w:pPr>
              <w:jc w:val="right"/>
              <w:rPr>
                <w:rFonts w:ascii="宋体" w:hAnsi="宋体"/>
                <w:sz w:val="21"/>
                <w:szCs w:val="21"/>
              </w:rPr>
            </w:pPr>
            <w:r>
              <w:rPr>
                <w:rFonts w:ascii="宋体" w:hAnsi="宋体"/>
                <w:sz w:val="21"/>
                <w:szCs w:val="21"/>
              </w:rPr>
              <w:t xml:space="preserve">766.38 </w:t>
            </w:r>
          </w:p>
        </w:tc>
        <w:tc>
          <w:tcPr>
            <w:tcW w:w="1393" w:type="dxa"/>
            <w:shd w:val="clear" w:color="auto" w:fill="auto"/>
          </w:tcPr>
          <w:p>
            <w:pPr>
              <w:jc w:val="right"/>
              <w:rPr>
                <w:rFonts w:ascii="宋体" w:hAnsi="宋体"/>
                <w:sz w:val="21"/>
                <w:szCs w:val="21"/>
              </w:rPr>
            </w:pPr>
            <w:r>
              <w:rPr>
                <w:rFonts w:ascii="宋体" w:hAnsi="宋体"/>
                <w:sz w:val="21"/>
                <w:szCs w:val="21"/>
              </w:rPr>
              <w:t xml:space="preserve">-132.05 </w:t>
            </w:r>
          </w:p>
        </w:tc>
        <w:tc>
          <w:tcPr>
            <w:tcW w:w="1461" w:type="dxa"/>
            <w:shd w:val="clear" w:color="auto" w:fill="auto"/>
          </w:tcPr>
          <w:p>
            <w:pPr>
              <w:jc w:val="right"/>
              <w:rPr>
                <w:rFonts w:ascii="宋体" w:hAnsi="宋体"/>
                <w:sz w:val="21"/>
                <w:szCs w:val="21"/>
              </w:rPr>
            </w:pPr>
            <w:r>
              <w:rPr>
                <w:rFonts w:ascii="宋体" w:hAnsi="宋体"/>
                <w:sz w:val="21"/>
                <w:szCs w:val="21"/>
              </w:rPr>
              <w:t xml:space="preserve">-17.23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鲁西矿业</w:t>
            </w:r>
          </w:p>
        </w:tc>
        <w:tc>
          <w:tcPr>
            <w:tcW w:w="1599" w:type="dxa"/>
            <w:vAlign w:val="center"/>
          </w:tcPr>
          <w:p>
            <w:pPr>
              <w:rPr>
                <w:rFonts w:ascii="宋体" w:hAnsi="宋体"/>
                <w:sz w:val="21"/>
                <w:szCs w:val="21"/>
              </w:rPr>
            </w:pPr>
            <w:r>
              <w:rPr>
                <w:rFonts w:ascii="宋体" w:hAnsi="宋体"/>
                <w:sz w:val="21"/>
                <w:szCs w:val="21"/>
              </w:rPr>
              <w:t>销售成本总额</w:t>
            </w:r>
          </w:p>
        </w:tc>
        <w:tc>
          <w:tcPr>
            <w:tcW w:w="857" w:type="dxa"/>
            <w:vAlign w:val="center"/>
          </w:tcPr>
          <w:p>
            <w:pPr>
              <w:rPr>
                <w:rFonts w:ascii="宋体" w:hAnsi="宋体"/>
                <w:sz w:val="21"/>
                <w:szCs w:val="21"/>
              </w:rPr>
            </w:pPr>
            <w:r>
              <w:rPr>
                <w:rFonts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6,887 </w:t>
            </w:r>
          </w:p>
        </w:tc>
        <w:tc>
          <w:tcPr>
            <w:tcW w:w="1284" w:type="dxa"/>
            <w:shd w:val="clear" w:color="auto" w:fill="auto"/>
          </w:tcPr>
          <w:p>
            <w:pPr>
              <w:jc w:val="right"/>
              <w:rPr>
                <w:rFonts w:ascii="宋体" w:hAnsi="宋体"/>
                <w:sz w:val="21"/>
                <w:szCs w:val="21"/>
              </w:rPr>
            </w:pPr>
            <w:r>
              <w:rPr>
                <w:rFonts w:ascii="宋体" w:hAnsi="宋体"/>
                <w:sz w:val="21"/>
                <w:szCs w:val="21"/>
              </w:rPr>
              <w:t xml:space="preserve">6,727 </w:t>
            </w:r>
          </w:p>
        </w:tc>
        <w:tc>
          <w:tcPr>
            <w:tcW w:w="1393" w:type="dxa"/>
            <w:shd w:val="clear" w:color="auto" w:fill="auto"/>
          </w:tcPr>
          <w:p>
            <w:pPr>
              <w:jc w:val="right"/>
              <w:rPr>
                <w:rFonts w:ascii="宋体" w:hAnsi="宋体"/>
                <w:sz w:val="21"/>
                <w:szCs w:val="21"/>
              </w:rPr>
            </w:pPr>
            <w:r>
              <w:rPr>
                <w:rFonts w:ascii="宋体" w:hAnsi="宋体"/>
                <w:sz w:val="21"/>
                <w:szCs w:val="21"/>
              </w:rPr>
              <w:t xml:space="preserve">161 </w:t>
            </w:r>
          </w:p>
        </w:tc>
        <w:tc>
          <w:tcPr>
            <w:tcW w:w="1461" w:type="dxa"/>
            <w:shd w:val="clear" w:color="auto" w:fill="auto"/>
          </w:tcPr>
          <w:p>
            <w:pPr>
              <w:jc w:val="right"/>
              <w:rPr>
                <w:rFonts w:ascii="宋体" w:hAnsi="宋体"/>
                <w:sz w:val="21"/>
                <w:szCs w:val="21"/>
              </w:rPr>
            </w:pPr>
            <w:r>
              <w:rPr>
                <w:rFonts w:ascii="宋体" w:hAnsi="宋体"/>
                <w:sz w:val="21"/>
                <w:szCs w:val="21"/>
              </w:rPr>
              <w:t xml:space="preserve">2.39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ascii="宋体" w:hAnsi="宋体"/>
                <w:sz w:val="21"/>
                <w:szCs w:val="21"/>
              </w:rPr>
              <w:t>吨煤销售成本</w:t>
            </w:r>
          </w:p>
        </w:tc>
        <w:tc>
          <w:tcPr>
            <w:tcW w:w="857" w:type="dxa"/>
            <w:vAlign w:val="center"/>
          </w:tcPr>
          <w:p>
            <w:pPr>
              <w:rPr>
                <w:rFonts w:ascii="宋体" w:hAnsi="宋体"/>
                <w:sz w:val="21"/>
                <w:szCs w:val="21"/>
              </w:rPr>
            </w:pPr>
            <w:r>
              <w:rPr>
                <w:rFonts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604.10 </w:t>
            </w:r>
          </w:p>
        </w:tc>
        <w:tc>
          <w:tcPr>
            <w:tcW w:w="1284" w:type="dxa"/>
            <w:shd w:val="clear" w:color="auto" w:fill="auto"/>
          </w:tcPr>
          <w:p>
            <w:pPr>
              <w:jc w:val="right"/>
              <w:rPr>
                <w:rFonts w:ascii="宋体" w:hAnsi="宋体"/>
                <w:sz w:val="21"/>
                <w:szCs w:val="21"/>
              </w:rPr>
            </w:pPr>
            <w:r>
              <w:rPr>
                <w:rFonts w:ascii="宋体" w:hAnsi="宋体"/>
                <w:sz w:val="21"/>
                <w:szCs w:val="21"/>
              </w:rPr>
              <w:t xml:space="preserve">615.26 </w:t>
            </w:r>
          </w:p>
        </w:tc>
        <w:tc>
          <w:tcPr>
            <w:tcW w:w="1393" w:type="dxa"/>
            <w:shd w:val="clear" w:color="auto" w:fill="auto"/>
          </w:tcPr>
          <w:p>
            <w:pPr>
              <w:jc w:val="right"/>
              <w:rPr>
                <w:rFonts w:ascii="宋体" w:hAnsi="宋体"/>
                <w:sz w:val="21"/>
                <w:szCs w:val="21"/>
              </w:rPr>
            </w:pPr>
            <w:r>
              <w:rPr>
                <w:rFonts w:ascii="宋体" w:hAnsi="宋体"/>
                <w:sz w:val="21"/>
                <w:szCs w:val="21"/>
              </w:rPr>
              <w:t xml:space="preserve">-11.16 </w:t>
            </w:r>
          </w:p>
        </w:tc>
        <w:tc>
          <w:tcPr>
            <w:tcW w:w="1461" w:type="dxa"/>
            <w:shd w:val="clear" w:color="auto" w:fill="auto"/>
          </w:tcPr>
          <w:p>
            <w:pPr>
              <w:jc w:val="right"/>
              <w:rPr>
                <w:rFonts w:ascii="宋体" w:hAnsi="宋体"/>
                <w:sz w:val="21"/>
                <w:szCs w:val="21"/>
              </w:rPr>
            </w:pPr>
            <w:r>
              <w:rPr>
                <w:rFonts w:ascii="宋体" w:hAnsi="宋体"/>
                <w:sz w:val="21"/>
                <w:szCs w:val="21"/>
              </w:rPr>
              <w:t xml:space="preserve">-1.81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天池能源</w:t>
            </w:r>
          </w:p>
        </w:tc>
        <w:tc>
          <w:tcPr>
            <w:tcW w:w="1599" w:type="dxa"/>
            <w:vAlign w:val="center"/>
          </w:tcPr>
          <w:p>
            <w:pPr>
              <w:rPr>
                <w:rFonts w:ascii="宋体" w:hAnsi="宋体"/>
                <w:sz w:val="21"/>
                <w:szCs w:val="21"/>
              </w:rPr>
            </w:pPr>
            <w:r>
              <w:rPr>
                <w:rFonts w:hint="eastAsia" w:ascii="宋体" w:hAnsi="宋体"/>
                <w:sz w:val="21"/>
                <w:szCs w:val="21"/>
              </w:rPr>
              <w:t>销售成本总额</w:t>
            </w:r>
          </w:p>
        </w:tc>
        <w:tc>
          <w:tcPr>
            <w:tcW w:w="857" w:type="dxa"/>
            <w:vAlign w:val="center"/>
          </w:tcPr>
          <w:p>
            <w:pPr>
              <w:rPr>
                <w:rFonts w:ascii="宋体" w:hAnsi="宋体"/>
                <w:sz w:val="21"/>
                <w:szCs w:val="21"/>
              </w:rPr>
            </w:pPr>
            <w:r>
              <w:rPr>
                <w:rFonts w:hint="eastAsia"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407 </w:t>
            </w:r>
          </w:p>
        </w:tc>
        <w:tc>
          <w:tcPr>
            <w:tcW w:w="1284" w:type="dxa"/>
            <w:shd w:val="clear" w:color="auto" w:fill="auto"/>
          </w:tcPr>
          <w:p>
            <w:pPr>
              <w:jc w:val="right"/>
              <w:rPr>
                <w:rFonts w:ascii="宋体" w:hAnsi="宋体"/>
                <w:sz w:val="21"/>
                <w:szCs w:val="21"/>
              </w:rPr>
            </w:pPr>
            <w:r>
              <w:rPr>
                <w:rFonts w:ascii="宋体" w:hAnsi="宋体"/>
                <w:sz w:val="21"/>
                <w:szCs w:val="21"/>
              </w:rPr>
              <w:t xml:space="preserve">420 </w:t>
            </w:r>
          </w:p>
        </w:tc>
        <w:tc>
          <w:tcPr>
            <w:tcW w:w="1393" w:type="dxa"/>
            <w:shd w:val="clear" w:color="auto" w:fill="auto"/>
          </w:tcPr>
          <w:p>
            <w:pPr>
              <w:jc w:val="right"/>
              <w:rPr>
                <w:rFonts w:ascii="宋体" w:hAnsi="宋体"/>
                <w:sz w:val="21"/>
                <w:szCs w:val="21"/>
              </w:rPr>
            </w:pPr>
            <w:r>
              <w:rPr>
                <w:rFonts w:ascii="宋体" w:hAnsi="宋体"/>
                <w:sz w:val="21"/>
                <w:szCs w:val="21"/>
              </w:rPr>
              <w:t xml:space="preserve">-13 </w:t>
            </w:r>
          </w:p>
        </w:tc>
        <w:tc>
          <w:tcPr>
            <w:tcW w:w="1461" w:type="dxa"/>
            <w:shd w:val="clear" w:color="auto" w:fill="auto"/>
          </w:tcPr>
          <w:p>
            <w:pPr>
              <w:jc w:val="right"/>
              <w:rPr>
                <w:rFonts w:ascii="宋体" w:hAnsi="宋体"/>
                <w:sz w:val="21"/>
                <w:szCs w:val="21"/>
              </w:rPr>
            </w:pPr>
            <w:r>
              <w:rPr>
                <w:rFonts w:ascii="宋体" w:hAnsi="宋体"/>
                <w:sz w:val="21"/>
                <w:szCs w:val="21"/>
              </w:rPr>
              <w:t xml:space="preserve">-3.16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hint="eastAsia" w:ascii="宋体" w:hAnsi="宋体"/>
                <w:sz w:val="21"/>
                <w:szCs w:val="21"/>
              </w:rPr>
              <w:t>吨煤销售成本</w:t>
            </w:r>
          </w:p>
        </w:tc>
        <w:tc>
          <w:tcPr>
            <w:tcW w:w="857" w:type="dxa"/>
            <w:vAlign w:val="center"/>
          </w:tcPr>
          <w:p>
            <w:pPr>
              <w:rPr>
                <w:rFonts w:ascii="宋体" w:hAnsi="宋体"/>
                <w:sz w:val="21"/>
                <w:szCs w:val="21"/>
              </w:rPr>
            </w:pPr>
            <w:r>
              <w:rPr>
                <w:rFonts w:hint="eastAsia"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337.41 </w:t>
            </w:r>
          </w:p>
        </w:tc>
        <w:tc>
          <w:tcPr>
            <w:tcW w:w="1284" w:type="dxa"/>
            <w:shd w:val="clear" w:color="auto" w:fill="auto"/>
          </w:tcPr>
          <w:p>
            <w:pPr>
              <w:jc w:val="right"/>
              <w:rPr>
                <w:rFonts w:ascii="宋体" w:hAnsi="宋体"/>
                <w:sz w:val="21"/>
                <w:szCs w:val="21"/>
              </w:rPr>
            </w:pPr>
            <w:r>
              <w:rPr>
                <w:rFonts w:ascii="宋体" w:hAnsi="宋体"/>
                <w:sz w:val="21"/>
                <w:szCs w:val="21"/>
              </w:rPr>
              <w:t xml:space="preserve">386.88 </w:t>
            </w:r>
          </w:p>
        </w:tc>
        <w:tc>
          <w:tcPr>
            <w:tcW w:w="1393" w:type="dxa"/>
            <w:shd w:val="clear" w:color="auto" w:fill="auto"/>
          </w:tcPr>
          <w:p>
            <w:pPr>
              <w:jc w:val="right"/>
              <w:rPr>
                <w:rFonts w:ascii="宋体" w:hAnsi="宋体"/>
                <w:sz w:val="21"/>
                <w:szCs w:val="21"/>
              </w:rPr>
            </w:pPr>
            <w:r>
              <w:rPr>
                <w:rFonts w:ascii="宋体" w:hAnsi="宋体"/>
                <w:sz w:val="21"/>
                <w:szCs w:val="21"/>
              </w:rPr>
              <w:t xml:space="preserve">-49.47 </w:t>
            </w:r>
          </w:p>
        </w:tc>
        <w:tc>
          <w:tcPr>
            <w:tcW w:w="1461" w:type="dxa"/>
            <w:shd w:val="clear" w:color="auto" w:fill="auto"/>
          </w:tcPr>
          <w:p>
            <w:pPr>
              <w:jc w:val="right"/>
              <w:rPr>
                <w:rFonts w:ascii="宋体" w:hAnsi="宋体"/>
                <w:sz w:val="21"/>
                <w:szCs w:val="21"/>
              </w:rPr>
            </w:pPr>
            <w:r>
              <w:rPr>
                <w:rFonts w:ascii="宋体" w:hAnsi="宋体"/>
                <w:sz w:val="21"/>
                <w:szCs w:val="21"/>
              </w:rPr>
              <w:t xml:space="preserve">-12.79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未来能源</w:t>
            </w:r>
          </w:p>
        </w:tc>
        <w:tc>
          <w:tcPr>
            <w:tcW w:w="1599" w:type="dxa"/>
            <w:vAlign w:val="center"/>
          </w:tcPr>
          <w:p>
            <w:pPr>
              <w:rPr>
                <w:rFonts w:ascii="宋体" w:hAnsi="宋体"/>
                <w:sz w:val="21"/>
                <w:szCs w:val="21"/>
              </w:rPr>
            </w:pPr>
            <w:r>
              <w:rPr>
                <w:rFonts w:ascii="宋体" w:hAnsi="宋体"/>
                <w:sz w:val="21"/>
                <w:szCs w:val="21"/>
              </w:rPr>
              <w:t>销售成本总额</w:t>
            </w:r>
          </w:p>
        </w:tc>
        <w:tc>
          <w:tcPr>
            <w:tcW w:w="857" w:type="dxa"/>
            <w:vAlign w:val="center"/>
          </w:tcPr>
          <w:p>
            <w:pPr>
              <w:rPr>
                <w:rFonts w:ascii="宋体" w:hAnsi="宋体"/>
                <w:sz w:val="21"/>
                <w:szCs w:val="21"/>
              </w:rPr>
            </w:pPr>
            <w:r>
              <w:rPr>
                <w:rFonts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1,838 </w:t>
            </w:r>
          </w:p>
        </w:tc>
        <w:tc>
          <w:tcPr>
            <w:tcW w:w="1284" w:type="dxa"/>
            <w:shd w:val="clear" w:color="auto" w:fill="auto"/>
          </w:tcPr>
          <w:p>
            <w:pPr>
              <w:jc w:val="right"/>
              <w:rPr>
                <w:rFonts w:ascii="宋体" w:hAnsi="宋体"/>
                <w:sz w:val="21"/>
                <w:szCs w:val="21"/>
              </w:rPr>
            </w:pPr>
            <w:r>
              <w:rPr>
                <w:rFonts w:ascii="宋体" w:hAnsi="宋体"/>
                <w:sz w:val="21"/>
                <w:szCs w:val="21"/>
              </w:rPr>
              <w:t>2,139</w:t>
            </w:r>
          </w:p>
        </w:tc>
        <w:tc>
          <w:tcPr>
            <w:tcW w:w="1393" w:type="dxa"/>
            <w:shd w:val="clear" w:color="auto" w:fill="auto"/>
          </w:tcPr>
          <w:p>
            <w:pPr>
              <w:jc w:val="right"/>
              <w:rPr>
                <w:rFonts w:ascii="宋体" w:hAnsi="宋体"/>
                <w:sz w:val="21"/>
                <w:szCs w:val="21"/>
              </w:rPr>
            </w:pPr>
            <w:r>
              <w:rPr>
                <w:rFonts w:ascii="宋体" w:hAnsi="宋体"/>
                <w:sz w:val="21"/>
                <w:szCs w:val="21"/>
              </w:rPr>
              <w:t xml:space="preserve">-301 </w:t>
            </w:r>
          </w:p>
        </w:tc>
        <w:tc>
          <w:tcPr>
            <w:tcW w:w="1461" w:type="dxa"/>
            <w:shd w:val="clear" w:color="auto" w:fill="auto"/>
          </w:tcPr>
          <w:p>
            <w:pPr>
              <w:jc w:val="right"/>
              <w:rPr>
                <w:rFonts w:ascii="宋体" w:hAnsi="宋体"/>
                <w:sz w:val="21"/>
                <w:szCs w:val="21"/>
              </w:rPr>
            </w:pPr>
            <w:r>
              <w:rPr>
                <w:rFonts w:ascii="宋体" w:hAnsi="宋体"/>
                <w:sz w:val="21"/>
                <w:szCs w:val="21"/>
              </w:rPr>
              <w:t xml:space="preserve">-14.08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ascii="宋体" w:hAnsi="宋体"/>
                <w:sz w:val="21"/>
                <w:szCs w:val="21"/>
              </w:rPr>
              <w:t>吨煤销售成本</w:t>
            </w:r>
          </w:p>
        </w:tc>
        <w:tc>
          <w:tcPr>
            <w:tcW w:w="857" w:type="dxa"/>
            <w:vAlign w:val="center"/>
          </w:tcPr>
          <w:p>
            <w:pPr>
              <w:rPr>
                <w:rFonts w:ascii="宋体" w:hAnsi="宋体"/>
                <w:sz w:val="21"/>
                <w:szCs w:val="21"/>
              </w:rPr>
            </w:pPr>
            <w:r>
              <w:rPr>
                <w:rFonts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132.84 </w:t>
            </w:r>
          </w:p>
        </w:tc>
        <w:tc>
          <w:tcPr>
            <w:tcW w:w="1284" w:type="dxa"/>
            <w:shd w:val="clear" w:color="auto" w:fill="auto"/>
          </w:tcPr>
          <w:p>
            <w:pPr>
              <w:jc w:val="right"/>
              <w:rPr>
                <w:rFonts w:ascii="宋体" w:hAnsi="宋体"/>
                <w:sz w:val="21"/>
                <w:szCs w:val="21"/>
              </w:rPr>
            </w:pPr>
            <w:r>
              <w:rPr>
                <w:rFonts w:ascii="宋体" w:hAnsi="宋体"/>
                <w:sz w:val="21"/>
                <w:szCs w:val="21"/>
              </w:rPr>
              <w:t xml:space="preserve">145.65 </w:t>
            </w:r>
          </w:p>
        </w:tc>
        <w:tc>
          <w:tcPr>
            <w:tcW w:w="1393" w:type="dxa"/>
            <w:shd w:val="clear" w:color="auto" w:fill="auto"/>
          </w:tcPr>
          <w:p>
            <w:pPr>
              <w:jc w:val="right"/>
              <w:rPr>
                <w:rFonts w:ascii="宋体" w:hAnsi="宋体"/>
                <w:sz w:val="21"/>
                <w:szCs w:val="21"/>
              </w:rPr>
            </w:pPr>
            <w:r>
              <w:rPr>
                <w:rFonts w:ascii="宋体" w:hAnsi="宋体"/>
                <w:sz w:val="21"/>
                <w:szCs w:val="21"/>
              </w:rPr>
              <w:t xml:space="preserve">-12.81 </w:t>
            </w:r>
          </w:p>
        </w:tc>
        <w:tc>
          <w:tcPr>
            <w:tcW w:w="1461" w:type="dxa"/>
            <w:shd w:val="clear" w:color="auto" w:fill="auto"/>
          </w:tcPr>
          <w:p>
            <w:pPr>
              <w:jc w:val="right"/>
              <w:rPr>
                <w:rFonts w:ascii="宋体" w:hAnsi="宋体"/>
                <w:sz w:val="21"/>
                <w:szCs w:val="21"/>
              </w:rPr>
            </w:pPr>
            <w:r>
              <w:rPr>
                <w:rFonts w:ascii="宋体" w:hAnsi="宋体"/>
                <w:sz w:val="21"/>
                <w:szCs w:val="21"/>
              </w:rPr>
              <w:t xml:space="preserve">-8.80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鄂尔多斯公司</w:t>
            </w:r>
          </w:p>
        </w:tc>
        <w:tc>
          <w:tcPr>
            <w:tcW w:w="1599" w:type="dxa"/>
            <w:vAlign w:val="center"/>
          </w:tcPr>
          <w:p>
            <w:pPr>
              <w:rPr>
                <w:rFonts w:ascii="宋体" w:hAnsi="宋体"/>
                <w:sz w:val="21"/>
                <w:szCs w:val="21"/>
              </w:rPr>
            </w:pPr>
            <w:r>
              <w:rPr>
                <w:rFonts w:hint="eastAsia" w:ascii="宋体" w:hAnsi="宋体"/>
                <w:sz w:val="21"/>
                <w:szCs w:val="21"/>
              </w:rPr>
              <w:t>销售成本总额</w:t>
            </w:r>
          </w:p>
        </w:tc>
        <w:tc>
          <w:tcPr>
            <w:tcW w:w="857" w:type="dxa"/>
            <w:vAlign w:val="center"/>
          </w:tcPr>
          <w:p>
            <w:pPr>
              <w:rPr>
                <w:rFonts w:ascii="宋体" w:hAnsi="宋体"/>
                <w:sz w:val="21"/>
                <w:szCs w:val="21"/>
              </w:rPr>
            </w:pPr>
            <w:r>
              <w:rPr>
                <w:rFonts w:hint="eastAsia"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1,495 </w:t>
            </w:r>
          </w:p>
        </w:tc>
        <w:tc>
          <w:tcPr>
            <w:tcW w:w="1284" w:type="dxa"/>
            <w:shd w:val="clear" w:color="auto" w:fill="auto"/>
          </w:tcPr>
          <w:p>
            <w:pPr>
              <w:jc w:val="right"/>
              <w:rPr>
                <w:rFonts w:ascii="宋体" w:hAnsi="宋体"/>
                <w:sz w:val="21"/>
                <w:szCs w:val="21"/>
              </w:rPr>
            </w:pPr>
            <w:r>
              <w:rPr>
                <w:rFonts w:ascii="宋体" w:hAnsi="宋体"/>
                <w:sz w:val="21"/>
                <w:szCs w:val="21"/>
              </w:rPr>
              <w:t>1,721</w:t>
            </w:r>
          </w:p>
        </w:tc>
        <w:tc>
          <w:tcPr>
            <w:tcW w:w="1393" w:type="dxa"/>
            <w:shd w:val="clear" w:color="auto" w:fill="auto"/>
          </w:tcPr>
          <w:p>
            <w:pPr>
              <w:jc w:val="right"/>
              <w:rPr>
                <w:rFonts w:ascii="宋体" w:hAnsi="宋体"/>
                <w:sz w:val="21"/>
                <w:szCs w:val="21"/>
              </w:rPr>
            </w:pPr>
            <w:r>
              <w:rPr>
                <w:rFonts w:ascii="宋体" w:hAnsi="宋体"/>
                <w:sz w:val="21"/>
                <w:szCs w:val="21"/>
              </w:rPr>
              <w:t xml:space="preserve">-226 </w:t>
            </w:r>
          </w:p>
        </w:tc>
        <w:tc>
          <w:tcPr>
            <w:tcW w:w="1461" w:type="dxa"/>
            <w:shd w:val="clear" w:color="auto" w:fill="auto"/>
          </w:tcPr>
          <w:p>
            <w:pPr>
              <w:jc w:val="right"/>
              <w:rPr>
                <w:rFonts w:ascii="宋体" w:hAnsi="宋体"/>
                <w:sz w:val="21"/>
                <w:szCs w:val="21"/>
              </w:rPr>
            </w:pPr>
            <w:r>
              <w:rPr>
                <w:rFonts w:ascii="宋体" w:hAnsi="宋体"/>
                <w:sz w:val="21"/>
                <w:szCs w:val="21"/>
              </w:rPr>
              <w:t xml:space="preserve">-13.16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hint="eastAsia" w:ascii="宋体" w:hAnsi="宋体"/>
                <w:sz w:val="21"/>
                <w:szCs w:val="21"/>
              </w:rPr>
              <w:t>吨煤销售成本</w:t>
            </w:r>
          </w:p>
        </w:tc>
        <w:tc>
          <w:tcPr>
            <w:tcW w:w="857" w:type="dxa"/>
            <w:vAlign w:val="center"/>
          </w:tcPr>
          <w:p>
            <w:pPr>
              <w:rPr>
                <w:rFonts w:ascii="宋体" w:hAnsi="宋体"/>
                <w:sz w:val="21"/>
                <w:szCs w:val="21"/>
              </w:rPr>
            </w:pPr>
            <w:r>
              <w:rPr>
                <w:rFonts w:hint="eastAsia"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195.57 </w:t>
            </w:r>
          </w:p>
        </w:tc>
        <w:tc>
          <w:tcPr>
            <w:tcW w:w="1284" w:type="dxa"/>
            <w:shd w:val="clear" w:color="auto" w:fill="auto"/>
          </w:tcPr>
          <w:p>
            <w:pPr>
              <w:jc w:val="right"/>
              <w:rPr>
                <w:rFonts w:ascii="宋体" w:hAnsi="宋体"/>
                <w:sz w:val="21"/>
                <w:szCs w:val="21"/>
              </w:rPr>
            </w:pPr>
            <w:r>
              <w:rPr>
                <w:rFonts w:ascii="宋体" w:hAnsi="宋体"/>
                <w:sz w:val="21"/>
                <w:szCs w:val="21"/>
              </w:rPr>
              <w:t xml:space="preserve">174.56 </w:t>
            </w:r>
          </w:p>
        </w:tc>
        <w:tc>
          <w:tcPr>
            <w:tcW w:w="1393" w:type="dxa"/>
            <w:shd w:val="clear" w:color="auto" w:fill="auto"/>
          </w:tcPr>
          <w:p>
            <w:pPr>
              <w:jc w:val="right"/>
              <w:rPr>
                <w:rFonts w:ascii="宋体" w:hAnsi="宋体"/>
                <w:sz w:val="21"/>
                <w:szCs w:val="21"/>
              </w:rPr>
            </w:pPr>
            <w:r>
              <w:rPr>
                <w:rFonts w:ascii="宋体" w:hAnsi="宋体"/>
                <w:sz w:val="21"/>
                <w:szCs w:val="21"/>
              </w:rPr>
              <w:t xml:space="preserve">21.01 </w:t>
            </w:r>
          </w:p>
        </w:tc>
        <w:tc>
          <w:tcPr>
            <w:tcW w:w="1461" w:type="dxa"/>
            <w:shd w:val="clear" w:color="auto" w:fill="auto"/>
          </w:tcPr>
          <w:p>
            <w:pPr>
              <w:jc w:val="right"/>
              <w:rPr>
                <w:rFonts w:ascii="宋体" w:hAnsi="宋体"/>
                <w:sz w:val="21"/>
                <w:szCs w:val="21"/>
              </w:rPr>
            </w:pPr>
            <w:r>
              <w:rPr>
                <w:rFonts w:ascii="宋体" w:hAnsi="宋体"/>
                <w:sz w:val="21"/>
                <w:szCs w:val="21"/>
              </w:rPr>
              <w:t xml:space="preserve">12.03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昊盛煤业</w:t>
            </w:r>
          </w:p>
        </w:tc>
        <w:tc>
          <w:tcPr>
            <w:tcW w:w="1599" w:type="dxa"/>
            <w:vAlign w:val="center"/>
          </w:tcPr>
          <w:p>
            <w:pPr>
              <w:rPr>
                <w:rFonts w:ascii="宋体" w:hAnsi="宋体"/>
                <w:sz w:val="21"/>
                <w:szCs w:val="21"/>
              </w:rPr>
            </w:pPr>
            <w:r>
              <w:rPr>
                <w:rFonts w:hint="eastAsia" w:ascii="宋体" w:hAnsi="宋体"/>
                <w:sz w:val="21"/>
                <w:szCs w:val="21"/>
              </w:rPr>
              <w:t>销售成本总额</w:t>
            </w:r>
          </w:p>
        </w:tc>
        <w:tc>
          <w:tcPr>
            <w:tcW w:w="857" w:type="dxa"/>
            <w:vAlign w:val="center"/>
          </w:tcPr>
          <w:p>
            <w:pPr>
              <w:rPr>
                <w:rFonts w:ascii="宋体" w:hAnsi="宋体"/>
                <w:sz w:val="21"/>
                <w:szCs w:val="21"/>
              </w:rPr>
            </w:pPr>
            <w:r>
              <w:rPr>
                <w:rFonts w:hint="eastAsia"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1,652 </w:t>
            </w:r>
          </w:p>
        </w:tc>
        <w:tc>
          <w:tcPr>
            <w:tcW w:w="1284" w:type="dxa"/>
            <w:shd w:val="clear" w:color="auto" w:fill="auto"/>
          </w:tcPr>
          <w:p>
            <w:pPr>
              <w:jc w:val="right"/>
              <w:rPr>
                <w:rFonts w:ascii="宋体" w:hAnsi="宋体"/>
                <w:sz w:val="21"/>
                <w:szCs w:val="21"/>
              </w:rPr>
            </w:pPr>
            <w:r>
              <w:rPr>
                <w:rFonts w:ascii="宋体" w:hAnsi="宋体"/>
                <w:sz w:val="21"/>
                <w:szCs w:val="21"/>
              </w:rPr>
              <w:t>1,779</w:t>
            </w:r>
          </w:p>
        </w:tc>
        <w:tc>
          <w:tcPr>
            <w:tcW w:w="1393" w:type="dxa"/>
            <w:shd w:val="clear" w:color="auto" w:fill="auto"/>
          </w:tcPr>
          <w:p>
            <w:pPr>
              <w:jc w:val="right"/>
              <w:rPr>
                <w:rFonts w:ascii="宋体" w:hAnsi="宋体"/>
                <w:sz w:val="21"/>
                <w:szCs w:val="21"/>
              </w:rPr>
            </w:pPr>
            <w:r>
              <w:rPr>
                <w:rFonts w:ascii="宋体" w:hAnsi="宋体"/>
                <w:sz w:val="21"/>
                <w:szCs w:val="21"/>
              </w:rPr>
              <w:t xml:space="preserve">-128 </w:t>
            </w:r>
          </w:p>
        </w:tc>
        <w:tc>
          <w:tcPr>
            <w:tcW w:w="1461" w:type="dxa"/>
            <w:shd w:val="clear" w:color="auto" w:fill="auto"/>
          </w:tcPr>
          <w:p>
            <w:pPr>
              <w:jc w:val="right"/>
              <w:rPr>
                <w:rFonts w:ascii="宋体" w:hAnsi="宋体"/>
                <w:sz w:val="21"/>
                <w:szCs w:val="21"/>
              </w:rPr>
            </w:pPr>
            <w:r>
              <w:rPr>
                <w:rFonts w:ascii="宋体" w:hAnsi="宋体"/>
                <w:sz w:val="21"/>
                <w:szCs w:val="21"/>
              </w:rPr>
              <w:t xml:space="preserve">-7.18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hint="eastAsia" w:ascii="宋体" w:hAnsi="宋体"/>
                <w:sz w:val="21"/>
                <w:szCs w:val="21"/>
              </w:rPr>
              <w:t>吨煤销售成本</w:t>
            </w:r>
          </w:p>
        </w:tc>
        <w:tc>
          <w:tcPr>
            <w:tcW w:w="857" w:type="dxa"/>
            <w:vAlign w:val="center"/>
          </w:tcPr>
          <w:p>
            <w:pPr>
              <w:rPr>
                <w:rFonts w:ascii="宋体" w:hAnsi="宋体"/>
                <w:sz w:val="21"/>
                <w:szCs w:val="21"/>
              </w:rPr>
            </w:pPr>
            <w:r>
              <w:rPr>
                <w:rFonts w:hint="eastAsia"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358.51 </w:t>
            </w:r>
          </w:p>
        </w:tc>
        <w:tc>
          <w:tcPr>
            <w:tcW w:w="1284" w:type="dxa"/>
            <w:shd w:val="clear" w:color="auto" w:fill="auto"/>
          </w:tcPr>
          <w:p>
            <w:pPr>
              <w:jc w:val="right"/>
              <w:rPr>
                <w:rFonts w:ascii="宋体" w:hAnsi="宋体"/>
                <w:sz w:val="21"/>
                <w:szCs w:val="21"/>
              </w:rPr>
            </w:pPr>
            <w:r>
              <w:rPr>
                <w:rFonts w:ascii="宋体" w:hAnsi="宋体"/>
                <w:sz w:val="21"/>
                <w:szCs w:val="21"/>
              </w:rPr>
              <w:t xml:space="preserve">422.12 </w:t>
            </w:r>
          </w:p>
        </w:tc>
        <w:tc>
          <w:tcPr>
            <w:tcW w:w="1393" w:type="dxa"/>
            <w:shd w:val="clear" w:color="auto" w:fill="auto"/>
          </w:tcPr>
          <w:p>
            <w:pPr>
              <w:jc w:val="right"/>
              <w:rPr>
                <w:rFonts w:ascii="宋体" w:hAnsi="宋体"/>
                <w:sz w:val="21"/>
                <w:szCs w:val="21"/>
              </w:rPr>
            </w:pPr>
            <w:r>
              <w:rPr>
                <w:rFonts w:ascii="宋体" w:hAnsi="宋体"/>
                <w:sz w:val="21"/>
                <w:szCs w:val="21"/>
              </w:rPr>
              <w:t xml:space="preserve">-63.60 </w:t>
            </w:r>
          </w:p>
        </w:tc>
        <w:tc>
          <w:tcPr>
            <w:tcW w:w="1461" w:type="dxa"/>
            <w:shd w:val="clear" w:color="auto" w:fill="auto"/>
          </w:tcPr>
          <w:p>
            <w:pPr>
              <w:jc w:val="right"/>
              <w:rPr>
                <w:rFonts w:ascii="宋体" w:hAnsi="宋体"/>
                <w:sz w:val="21"/>
                <w:szCs w:val="21"/>
              </w:rPr>
            </w:pPr>
            <w:r>
              <w:rPr>
                <w:rFonts w:ascii="宋体" w:hAnsi="宋体"/>
                <w:sz w:val="21"/>
                <w:szCs w:val="21"/>
              </w:rPr>
              <w:t xml:space="preserve">-15.07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内蒙古矿业</w:t>
            </w:r>
          </w:p>
        </w:tc>
        <w:tc>
          <w:tcPr>
            <w:tcW w:w="1599" w:type="dxa"/>
            <w:vAlign w:val="center"/>
          </w:tcPr>
          <w:p>
            <w:pPr>
              <w:rPr>
                <w:rFonts w:ascii="宋体" w:hAnsi="宋体"/>
                <w:sz w:val="21"/>
                <w:szCs w:val="21"/>
              </w:rPr>
            </w:pPr>
            <w:r>
              <w:rPr>
                <w:rFonts w:hint="eastAsia" w:ascii="宋体" w:hAnsi="宋体"/>
                <w:sz w:val="21"/>
                <w:szCs w:val="21"/>
              </w:rPr>
              <w:t>销售成本总额</w:t>
            </w:r>
          </w:p>
        </w:tc>
        <w:tc>
          <w:tcPr>
            <w:tcW w:w="857" w:type="dxa"/>
            <w:vAlign w:val="center"/>
          </w:tcPr>
          <w:p>
            <w:pPr>
              <w:rPr>
                <w:rFonts w:ascii="宋体" w:hAnsi="宋体"/>
                <w:sz w:val="21"/>
                <w:szCs w:val="21"/>
              </w:rPr>
            </w:pPr>
            <w:r>
              <w:rPr>
                <w:rFonts w:hint="eastAsia"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1,303 </w:t>
            </w:r>
          </w:p>
        </w:tc>
        <w:tc>
          <w:tcPr>
            <w:tcW w:w="1284" w:type="dxa"/>
            <w:shd w:val="clear" w:color="auto" w:fill="auto"/>
          </w:tcPr>
          <w:p>
            <w:pPr>
              <w:jc w:val="right"/>
              <w:rPr>
                <w:rFonts w:ascii="宋体" w:hAnsi="宋体"/>
                <w:sz w:val="21"/>
                <w:szCs w:val="21"/>
              </w:rPr>
            </w:pPr>
            <w:r>
              <w:rPr>
                <w:rFonts w:ascii="宋体" w:hAnsi="宋体"/>
                <w:sz w:val="21"/>
                <w:szCs w:val="21"/>
              </w:rPr>
              <w:t>1,155</w:t>
            </w:r>
          </w:p>
        </w:tc>
        <w:tc>
          <w:tcPr>
            <w:tcW w:w="1393" w:type="dxa"/>
            <w:shd w:val="clear" w:color="auto" w:fill="auto"/>
          </w:tcPr>
          <w:p>
            <w:pPr>
              <w:jc w:val="right"/>
              <w:rPr>
                <w:rFonts w:ascii="宋体" w:hAnsi="宋体"/>
                <w:sz w:val="21"/>
                <w:szCs w:val="21"/>
              </w:rPr>
            </w:pPr>
            <w:r>
              <w:rPr>
                <w:rFonts w:ascii="宋体" w:hAnsi="宋体"/>
                <w:sz w:val="21"/>
                <w:szCs w:val="21"/>
              </w:rPr>
              <w:t xml:space="preserve">147 </w:t>
            </w:r>
          </w:p>
        </w:tc>
        <w:tc>
          <w:tcPr>
            <w:tcW w:w="1461" w:type="dxa"/>
            <w:shd w:val="clear" w:color="auto" w:fill="auto"/>
          </w:tcPr>
          <w:p>
            <w:pPr>
              <w:jc w:val="right"/>
              <w:rPr>
                <w:rFonts w:ascii="宋体" w:hAnsi="宋体"/>
                <w:sz w:val="21"/>
                <w:szCs w:val="21"/>
              </w:rPr>
            </w:pPr>
            <w:r>
              <w:rPr>
                <w:rFonts w:ascii="宋体" w:hAnsi="宋体"/>
                <w:sz w:val="21"/>
                <w:szCs w:val="21"/>
              </w:rPr>
              <w:t xml:space="preserve">12.74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hint="eastAsia" w:ascii="宋体" w:hAnsi="宋体"/>
                <w:sz w:val="21"/>
                <w:szCs w:val="21"/>
              </w:rPr>
              <w:t>吨煤销售成本</w:t>
            </w:r>
          </w:p>
        </w:tc>
        <w:tc>
          <w:tcPr>
            <w:tcW w:w="857" w:type="dxa"/>
            <w:vAlign w:val="center"/>
          </w:tcPr>
          <w:p>
            <w:pPr>
              <w:rPr>
                <w:rFonts w:ascii="宋体" w:hAnsi="宋体"/>
                <w:sz w:val="21"/>
                <w:szCs w:val="21"/>
              </w:rPr>
            </w:pPr>
            <w:r>
              <w:rPr>
                <w:rFonts w:hint="eastAsia"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331.33 </w:t>
            </w:r>
          </w:p>
        </w:tc>
        <w:tc>
          <w:tcPr>
            <w:tcW w:w="1284" w:type="dxa"/>
            <w:shd w:val="clear" w:color="auto" w:fill="auto"/>
          </w:tcPr>
          <w:p>
            <w:pPr>
              <w:jc w:val="right"/>
              <w:rPr>
                <w:rFonts w:ascii="宋体" w:hAnsi="宋体"/>
                <w:sz w:val="21"/>
                <w:szCs w:val="21"/>
              </w:rPr>
            </w:pPr>
            <w:r>
              <w:rPr>
                <w:rFonts w:ascii="宋体" w:hAnsi="宋体"/>
                <w:sz w:val="21"/>
                <w:szCs w:val="21"/>
              </w:rPr>
              <w:t xml:space="preserve">292.82 </w:t>
            </w:r>
          </w:p>
        </w:tc>
        <w:tc>
          <w:tcPr>
            <w:tcW w:w="1393" w:type="dxa"/>
            <w:shd w:val="clear" w:color="auto" w:fill="auto"/>
          </w:tcPr>
          <w:p>
            <w:pPr>
              <w:jc w:val="right"/>
              <w:rPr>
                <w:rFonts w:ascii="宋体" w:hAnsi="宋体"/>
                <w:sz w:val="21"/>
                <w:szCs w:val="21"/>
              </w:rPr>
            </w:pPr>
            <w:r>
              <w:rPr>
                <w:rFonts w:ascii="宋体" w:hAnsi="宋体"/>
                <w:sz w:val="21"/>
                <w:szCs w:val="21"/>
              </w:rPr>
              <w:t xml:space="preserve">38.52 </w:t>
            </w:r>
          </w:p>
        </w:tc>
        <w:tc>
          <w:tcPr>
            <w:tcW w:w="1461" w:type="dxa"/>
            <w:shd w:val="clear" w:color="auto" w:fill="auto"/>
          </w:tcPr>
          <w:p>
            <w:pPr>
              <w:jc w:val="right"/>
              <w:rPr>
                <w:rFonts w:ascii="宋体" w:hAnsi="宋体"/>
                <w:sz w:val="21"/>
                <w:szCs w:val="21"/>
              </w:rPr>
            </w:pPr>
            <w:r>
              <w:rPr>
                <w:rFonts w:ascii="宋体" w:hAnsi="宋体"/>
                <w:sz w:val="21"/>
                <w:szCs w:val="21"/>
              </w:rPr>
              <w:t xml:space="preserve">13.15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新疆能化</w:t>
            </w:r>
          </w:p>
        </w:tc>
        <w:tc>
          <w:tcPr>
            <w:tcW w:w="1599" w:type="dxa"/>
            <w:vAlign w:val="center"/>
          </w:tcPr>
          <w:p>
            <w:pPr>
              <w:rPr>
                <w:rFonts w:ascii="宋体" w:hAnsi="宋体"/>
                <w:sz w:val="21"/>
                <w:szCs w:val="21"/>
              </w:rPr>
            </w:pPr>
            <w:r>
              <w:rPr>
                <w:rFonts w:hint="eastAsia" w:ascii="宋体" w:hAnsi="宋体"/>
                <w:sz w:val="21"/>
                <w:szCs w:val="21"/>
              </w:rPr>
              <w:t>销售成本总额</w:t>
            </w:r>
          </w:p>
        </w:tc>
        <w:tc>
          <w:tcPr>
            <w:tcW w:w="857" w:type="dxa"/>
            <w:vAlign w:val="center"/>
          </w:tcPr>
          <w:p>
            <w:pPr>
              <w:rPr>
                <w:rFonts w:ascii="宋体" w:hAnsi="宋体"/>
                <w:sz w:val="21"/>
                <w:szCs w:val="21"/>
              </w:rPr>
            </w:pPr>
            <w:r>
              <w:rPr>
                <w:rFonts w:hint="eastAsia"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1,932 </w:t>
            </w:r>
          </w:p>
        </w:tc>
        <w:tc>
          <w:tcPr>
            <w:tcW w:w="1284" w:type="dxa"/>
            <w:shd w:val="clear" w:color="auto" w:fill="auto"/>
          </w:tcPr>
          <w:p>
            <w:pPr>
              <w:jc w:val="right"/>
              <w:rPr>
                <w:rFonts w:ascii="宋体" w:hAnsi="宋体"/>
                <w:sz w:val="21"/>
                <w:szCs w:val="21"/>
              </w:rPr>
            </w:pPr>
            <w:r>
              <w:rPr>
                <w:rFonts w:ascii="宋体" w:hAnsi="宋体"/>
                <w:sz w:val="21"/>
                <w:szCs w:val="21"/>
              </w:rPr>
              <w:t xml:space="preserve">1,751 </w:t>
            </w:r>
          </w:p>
        </w:tc>
        <w:tc>
          <w:tcPr>
            <w:tcW w:w="1393" w:type="dxa"/>
            <w:shd w:val="clear" w:color="auto" w:fill="auto"/>
          </w:tcPr>
          <w:p>
            <w:pPr>
              <w:jc w:val="right"/>
              <w:rPr>
                <w:rFonts w:ascii="宋体" w:hAnsi="宋体"/>
                <w:sz w:val="21"/>
                <w:szCs w:val="21"/>
              </w:rPr>
            </w:pPr>
            <w:r>
              <w:rPr>
                <w:rFonts w:ascii="宋体" w:hAnsi="宋体"/>
                <w:sz w:val="21"/>
                <w:szCs w:val="21"/>
              </w:rPr>
              <w:t xml:space="preserve">181 </w:t>
            </w:r>
          </w:p>
        </w:tc>
        <w:tc>
          <w:tcPr>
            <w:tcW w:w="1461" w:type="dxa"/>
            <w:shd w:val="clear" w:color="auto" w:fill="auto"/>
          </w:tcPr>
          <w:p>
            <w:pPr>
              <w:jc w:val="right"/>
              <w:rPr>
                <w:rFonts w:ascii="宋体" w:hAnsi="宋体"/>
                <w:sz w:val="21"/>
                <w:szCs w:val="21"/>
              </w:rPr>
            </w:pPr>
            <w:r>
              <w:rPr>
                <w:rFonts w:ascii="宋体" w:hAnsi="宋体"/>
                <w:sz w:val="21"/>
                <w:szCs w:val="21"/>
              </w:rPr>
              <w:t xml:space="preserve">10.32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hint="eastAsia" w:ascii="宋体" w:hAnsi="宋体"/>
                <w:sz w:val="21"/>
                <w:szCs w:val="21"/>
              </w:rPr>
              <w:t>吨煤销售成本</w:t>
            </w:r>
          </w:p>
        </w:tc>
        <w:tc>
          <w:tcPr>
            <w:tcW w:w="857" w:type="dxa"/>
            <w:vAlign w:val="center"/>
          </w:tcPr>
          <w:p>
            <w:pPr>
              <w:rPr>
                <w:rFonts w:ascii="宋体" w:hAnsi="宋体"/>
                <w:sz w:val="21"/>
                <w:szCs w:val="21"/>
              </w:rPr>
            </w:pPr>
            <w:r>
              <w:rPr>
                <w:rFonts w:hint="eastAsia"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101.86 </w:t>
            </w:r>
          </w:p>
        </w:tc>
        <w:tc>
          <w:tcPr>
            <w:tcW w:w="1284" w:type="dxa"/>
            <w:shd w:val="clear" w:color="auto" w:fill="auto"/>
          </w:tcPr>
          <w:p>
            <w:pPr>
              <w:jc w:val="right"/>
              <w:rPr>
                <w:rFonts w:ascii="宋体" w:hAnsi="宋体"/>
                <w:sz w:val="21"/>
                <w:szCs w:val="21"/>
              </w:rPr>
            </w:pPr>
            <w:r>
              <w:rPr>
                <w:rFonts w:ascii="宋体" w:hAnsi="宋体"/>
                <w:sz w:val="21"/>
                <w:szCs w:val="21"/>
              </w:rPr>
              <w:t xml:space="preserve">85.25 </w:t>
            </w:r>
          </w:p>
        </w:tc>
        <w:tc>
          <w:tcPr>
            <w:tcW w:w="1393" w:type="dxa"/>
            <w:shd w:val="clear" w:color="auto" w:fill="auto"/>
          </w:tcPr>
          <w:p>
            <w:pPr>
              <w:jc w:val="right"/>
              <w:rPr>
                <w:rFonts w:ascii="宋体" w:hAnsi="宋体"/>
                <w:sz w:val="21"/>
                <w:szCs w:val="21"/>
              </w:rPr>
            </w:pPr>
            <w:r>
              <w:rPr>
                <w:rFonts w:ascii="宋体" w:hAnsi="宋体"/>
                <w:sz w:val="21"/>
                <w:szCs w:val="21"/>
              </w:rPr>
              <w:t xml:space="preserve">16.61 </w:t>
            </w:r>
          </w:p>
        </w:tc>
        <w:tc>
          <w:tcPr>
            <w:tcW w:w="1461" w:type="dxa"/>
            <w:shd w:val="clear" w:color="auto" w:fill="auto"/>
          </w:tcPr>
          <w:p>
            <w:pPr>
              <w:jc w:val="right"/>
              <w:rPr>
                <w:rFonts w:ascii="宋体" w:hAnsi="宋体"/>
                <w:sz w:val="21"/>
                <w:szCs w:val="21"/>
              </w:rPr>
            </w:pPr>
            <w:r>
              <w:rPr>
                <w:rFonts w:ascii="宋体" w:hAnsi="宋体"/>
                <w:sz w:val="21"/>
                <w:szCs w:val="21"/>
              </w:rPr>
              <w:t xml:space="preserve">19.49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兖煤澳洲</w:t>
            </w:r>
          </w:p>
        </w:tc>
        <w:tc>
          <w:tcPr>
            <w:tcW w:w="1599" w:type="dxa"/>
            <w:vAlign w:val="center"/>
          </w:tcPr>
          <w:p>
            <w:pPr>
              <w:rPr>
                <w:rFonts w:ascii="宋体" w:hAnsi="宋体"/>
                <w:sz w:val="21"/>
                <w:szCs w:val="21"/>
              </w:rPr>
            </w:pPr>
            <w:r>
              <w:rPr>
                <w:rFonts w:hint="eastAsia" w:ascii="宋体" w:hAnsi="宋体"/>
                <w:sz w:val="21"/>
                <w:szCs w:val="21"/>
              </w:rPr>
              <w:t>销售成本总额</w:t>
            </w:r>
          </w:p>
        </w:tc>
        <w:tc>
          <w:tcPr>
            <w:tcW w:w="857" w:type="dxa"/>
            <w:vAlign w:val="center"/>
          </w:tcPr>
          <w:p>
            <w:pPr>
              <w:rPr>
                <w:rFonts w:ascii="宋体" w:hAnsi="宋体"/>
                <w:sz w:val="21"/>
                <w:szCs w:val="21"/>
              </w:rPr>
            </w:pPr>
            <w:r>
              <w:rPr>
                <w:rFonts w:hint="eastAsia"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19,002 </w:t>
            </w:r>
          </w:p>
        </w:tc>
        <w:tc>
          <w:tcPr>
            <w:tcW w:w="1284" w:type="dxa"/>
            <w:shd w:val="clear" w:color="auto" w:fill="auto"/>
          </w:tcPr>
          <w:p>
            <w:pPr>
              <w:jc w:val="right"/>
              <w:rPr>
                <w:rFonts w:ascii="宋体" w:hAnsi="宋体"/>
                <w:sz w:val="21"/>
                <w:szCs w:val="21"/>
              </w:rPr>
            </w:pPr>
            <w:r>
              <w:rPr>
                <w:rFonts w:ascii="宋体" w:hAnsi="宋体"/>
                <w:sz w:val="21"/>
                <w:szCs w:val="21"/>
              </w:rPr>
              <w:t>16,036</w:t>
            </w:r>
          </w:p>
        </w:tc>
        <w:tc>
          <w:tcPr>
            <w:tcW w:w="1393" w:type="dxa"/>
            <w:shd w:val="clear" w:color="auto" w:fill="auto"/>
          </w:tcPr>
          <w:p>
            <w:pPr>
              <w:jc w:val="right"/>
              <w:rPr>
                <w:rFonts w:ascii="宋体" w:hAnsi="宋体"/>
                <w:sz w:val="21"/>
                <w:szCs w:val="21"/>
              </w:rPr>
            </w:pPr>
            <w:r>
              <w:rPr>
                <w:rFonts w:ascii="宋体" w:hAnsi="宋体"/>
                <w:sz w:val="21"/>
                <w:szCs w:val="21"/>
              </w:rPr>
              <w:t xml:space="preserve">2,965 </w:t>
            </w:r>
          </w:p>
        </w:tc>
        <w:tc>
          <w:tcPr>
            <w:tcW w:w="1461" w:type="dxa"/>
            <w:shd w:val="clear" w:color="auto" w:fill="auto"/>
          </w:tcPr>
          <w:p>
            <w:pPr>
              <w:jc w:val="right"/>
              <w:rPr>
                <w:rFonts w:ascii="宋体" w:hAnsi="宋体"/>
                <w:sz w:val="21"/>
                <w:szCs w:val="21"/>
              </w:rPr>
            </w:pPr>
            <w:r>
              <w:rPr>
                <w:rFonts w:ascii="宋体" w:hAnsi="宋体"/>
                <w:sz w:val="21"/>
                <w:szCs w:val="21"/>
              </w:rPr>
              <w:t xml:space="preserve">18.49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hint="eastAsia" w:ascii="宋体" w:hAnsi="宋体"/>
                <w:sz w:val="21"/>
                <w:szCs w:val="21"/>
              </w:rPr>
              <w:t>吨煤销售成本</w:t>
            </w:r>
          </w:p>
        </w:tc>
        <w:tc>
          <w:tcPr>
            <w:tcW w:w="857" w:type="dxa"/>
            <w:vAlign w:val="center"/>
          </w:tcPr>
          <w:p>
            <w:pPr>
              <w:rPr>
                <w:rFonts w:ascii="宋体" w:hAnsi="宋体"/>
                <w:sz w:val="21"/>
                <w:szCs w:val="21"/>
              </w:rPr>
            </w:pPr>
            <w:r>
              <w:rPr>
                <w:rFonts w:hint="eastAsia"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574.04 </w:t>
            </w:r>
          </w:p>
        </w:tc>
        <w:tc>
          <w:tcPr>
            <w:tcW w:w="1284" w:type="dxa"/>
            <w:shd w:val="clear" w:color="auto" w:fill="auto"/>
          </w:tcPr>
          <w:p>
            <w:pPr>
              <w:jc w:val="right"/>
              <w:rPr>
                <w:rFonts w:ascii="宋体" w:hAnsi="宋体"/>
                <w:sz w:val="21"/>
                <w:szCs w:val="21"/>
              </w:rPr>
            </w:pPr>
            <w:r>
              <w:rPr>
                <w:rFonts w:ascii="宋体" w:hAnsi="宋体"/>
                <w:sz w:val="21"/>
                <w:szCs w:val="21"/>
              </w:rPr>
              <w:t xml:space="preserve">548.20 </w:t>
            </w:r>
          </w:p>
        </w:tc>
        <w:tc>
          <w:tcPr>
            <w:tcW w:w="1393" w:type="dxa"/>
            <w:shd w:val="clear" w:color="auto" w:fill="auto"/>
          </w:tcPr>
          <w:p>
            <w:pPr>
              <w:jc w:val="right"/>
              <w:rPr>
                <w:rFonts w:ascii="宋体" w:hAnsi="宋体"/>
                <w:sz w:val="21"/>
                <w:szCs w:val="21"/>
              </w:rPr>
            </w:pPr>
            <w:r>
              <w:rPr>
                <w:rFonts w:ascii="宋体" w:hAnsi="宋体"/>
                <w:sz w:val="21"/>
                <w:szCs w:val="21"/>
              </w:rPr>
              <w:t xml:space="preserve">25.83 </w:t>
            </w:r>
          </w:p>
        </w:tc>
        <w:tc>
          <w:tcPr>
            <w:tcW w:w="1461" w:type="dxa"/>
            <w:shd w:val="clear" w:color="auto" w:fill="auto"/>
          </w:tcPr>
          <w:p>
            <w:pPr>
              <w:jc w:val="right"/>
              <w:rPr>
                <w:rFonts w:ascii="宋体" w:hAnsi="宋体"/>
                <w:sz w:val="21"/>
                <w:szCs w:val="21"/>
              </w:rPr>
            </w:pPr>
            <w:r>
              <w:rPr>
                <w:rFonts w:ascii="宋体" w:hAnsi="宋体"/>
                <w:sz w:val="21"/>
                <w:szCs w:val="21"/>
              </w:rPr>
              <w:t xml:space="preserve">4.71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兖煤国际</w:t>
            </w:r>
          </w:p>
        </w:tc>
        <w:tc>
          <w:tcPr>
            <w:tcW w:w="1599" w:type="dxa"/>
            <w:vAlign w:val="center"/>
          </w:tcPr>
          <w:p>
            <w:pPr>
              <w:rPr>
                <w:rFonts w:ascii="宋体" w:hAnsi="宋体"/>
                <w:sz w:val="21"/>
                <w:szCs w:val="21"/>
              </w:rPr>
            </w:pPr>
            <w:r>
              <w:rPr>
                <w:rFonts w:hint="eastAsia" w:ascii="宋体" w:hAnsi="宋体"/>
                <w:sz w:val="21"/>
                <w:szCs w:val="21"/>
              </w:rPr>
              <w:t>销售成本总额</w:t>
            </w:r>
          </w:p>
        </w:tc>
        <w:tc>
          <w:tcPr>
            <w:tcW w:w="857" w:type="dxa"/>
            <w:vAlign w:val="center"/>
          </w:tcPr>
          <w:p>
            <w:pPr>
              <w:rPr>
                <w:rFonts w:ascii="宋体" w:hAnsi="宋体"/>
                <w:sz w:val="21"/>
                <w:szCs w:val="21"/>
              </w:rPr>
            </w:pPr>
            <w:r>
              <w:rPr>
                <w:rFonts w:hint="eastAsia"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2,531 </w:t>
            </w:r>
          </w:p>
        </w:tc>
        <w:tc>
          <w:tcPr>
            <w:tcW w:w="1284" w:type="dxa"/>
            <w:shd w:val="clear" w:color="auto" w:fill="auto"/>
          </w:tcPr>
          <w:p>
            <w:pPr>
              <w:jc w:val="right"/>
              <w:rPr>
                <w:rFonts w:ascii="宋体" w:hAnsi="宋体"/>
                <w:sz w:val="21"/>
                <w:szCs w:val="21"/>
              </w:rPr>
            </w:pPr>
            <w:r>
              <w:rPr>
                <w:rFonts w:ascii="宋体" w:hAnsi="宋体"/>
                <w:sz w:val="21"/>
                <w:szCs w:val="21"/>
              </w:rPr>
              <w:t>2,249</w:t>
            </w:r>
          </w:p>
        </w:tc>
        <w:tc>
          <w:tcPr>
            <w:tcW w:w="1393" w:type="dxa"/>
            <w:shd w:val="clear" w:color="auto" w:fill="auto"/>
          </w:tcPr>
          <w:p>
            <w:pPr>
              <w:jc w:val="right"/>
              <w:rPr>
                <w:rFonts w:ascii="宋体" w:hAnsi="宋体"/>
                <w:sz w:val="21"/>
                <w:szCs w:val="21"/>
              </w:rPr>
            </w:pPr>
            <w:r>
              <w:rPr>
                <w:rFonts w:ascii="宋体" w:hAnsi="宋体"/>
                <w:sz w:val="21"/>
                <w:szCs w:val="21"/>
              </w:rPr>
              <w:t xml:space="preserve">282 </w:t>
            </w:r>
          </w:p>
        </w:tc>
        <w:tc>
          <w:tcPr>
            <w:tcW w:w="1461" w:type="dxa"/>
            <w:shd w:val="clear" w:color="auto" w:fill="auto"/>
          </w:tcPr>
          <w:p>
            <w:pPr>
              <w:jc w:val="right"/>
              <w:rPr>
                <w:rFonts w:ascii="宋体" w:hAnsi="宋体"/>
                <w:sz w:val="21"/>
                <w:szCs w:val="21"/>
              </w:rPr>
            </w:pPr>
            <w:r>
              <w:rPr>
                <w:rFonts w:ascii="宋体" w:hAnsi="宋体"/>
                <w:sz w:val="21"/>
                <w:szCs w:val="21"/>
              </w:rPr>
              <w:t xml:space="preserve">12.53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hint="eastAsia" w:ascii="宋体" w:hAnsi="宋体"/>
                <w:sz w:val="21"/>
                <w:szCs w:val="21"/>
              </w:rPr>
              <w:t>吨煤销售成本</w:t>
            </w:r>
          </w:p>
        </w:tc>
        <w:tc>
          <w:tcPr>
            <w:tcW w:w="857" w:type="dxa"/>
            <w:vAlign w:val="center"/>
          </w:tcPr>
          <w:p>
            <w:pPr>
              <w:rPr>
                <w:rFonts w:ascii="宋体" w:hAnsi="宋体"/>
                <w:sz w:val="21"/>
                <w:szCs w:val="21"/>
              </w:rPr>
            </w:pPr>
            <w:r>
              <w:rPr>
                <w:rFonts w:hint="eastAsia"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474.89 </w:t>
            </w:r>
          </w:p>
        </w:tc>
        <w:tc>
          <w:tcPr>
            <w:tcW w:w="1284" w:type="dxa"/>
            <w:shd w:val="clear" w:color="auto" w:fill="auto"/>
          </w:tcPr>
          <w:p>
            <w:pPr>
              <w:jc w:val="right"/>
              <w:rPr>
                <w:rFonts w:ascii="宋体" w:hAnsi="宋体"/>
                <w:sz w:val="21"/>
                <w:szCs w:val="21"/>
              </w:rPr>
            </w:pPr>
            <w:r>
              <w:rPr>
                <w:rFonts w:ascii="宋体" w:hAnsi="宋体"/>
                <w:sz w:val="21"/>
                <w:szCs w:val="21"/>
              </w:rPr>
              <w:t xml:space="preserve">460.98 </w:t>
            </w:r>
          </w:p>
        </w:tc>
        <w:tc>
          <w:tcPr>
            <w:tcW w:w="1393" w:type="dxa"/>
            <w:shd w:val="clear" w:color="auto" w:fill="auto"/>
          </w:tcPr>
          <w:p>
            <w:pPr>
              <w:jc w:val="right"/>
              <w:rPr>
                <w:rFonts w:ascii="宋体" w:hAnsi="宋体"/>
                <w:sz w:val="21"/>
                <w:szCs w:val="21"/>
              </w:rPr>
            </w:pPr>
            <w:r>
              <w:rPr>
                <w:rFonts w:ascii="宋体" w:hAnsi="宋体"/>
                <w:sz w:val="21"/>
                <w:szCs w:val="21"/>
              </w:rPr>
              <w:t xml:space="preserve">13.91 </w:t>
            </w:r>
          </w:p>
        </w:tc>
        <w:tc>
          <w:tcPr>
            <w:tcW w:w="1461" w:type="dxa"/>
            <w:shd w:val="clear" w:color="auto" w:fill="auto"/>
          </w:tcPr>
          <w:p>
            <w:pPr>
              <w:jc w:val="right"/>
              <w:rPr>
                <w:rFonts w:ascii="宋体" w:hAnsi="宋体"/>
                <w:sz w:val="21"/>
                <w:szCs w:val="21"/>
              </w:rPr>
            </w:pPr>
            <w:r>
              <w:rPr>
                <w:rFonts w:ascii="宋体" w:hAnsi="宋体"/>
                <w:sz w:val="21"/>
                <w:szCs w:val="21"/>
              </w:rPr>
              <w:t xml:space="preserve">3.02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restart"/>
            <w:vAlign w:val="center"/>
          </w:tcPr>
          <w:p>
            <w:pPr>
              <w:rPr>
                <w:rFonts w:ascii="宋体" w:hAnsi="宋体"/>
                <w:sz w:val="21"/>
                <w:szCs w:val="21"/>
              </w:rPr>
            </w:pPr>
            <w:r>
              <w:rPr>
                <w:rFonts w:hint="eastAsia" w:ascii="宋体" w:hAnsi="宋体"/>
                <w:sz w:val="21"/>
                <w:szCs w:val="21"/>
              </w:rPr>
              <w:t>贸易煤</w:t>
            </w:r>
          </w:p>
        </w:tc>
        <w:tc>
          <w:tcPr>
            <w:tcW w:w="1599" w:type="dxa"/>
            <w:vAlign w:val="center"/>
          </w:tcPr>
          <w:p>
            <w:pPr>
              <w:rPr>
                <w:rFonts w:ascii="宋体" w:hAnsi="宋体"/>
                <w:sz w:val="21"/>
                <w:szCs w:val="21"/>
              </w:rPr>
            </w:pPr>
            <w:r>
              <w:rPr>
                <w:rFonts w:hint="eastAsia" w:ascii="宋体" w:hAnsi="宋体"/>
                <w:sz w:val="21"/>
                <w:szCs w:val="21"/>
              </w:rPr>
              <w:t>销售成本总额</w:t>
            </w:r>
          </w:p>
        </w:tc>
        <w:tc>
          <w:tcPr>
            <w:tcW w:w="857" w:type="dxa"/>
            <w:vAlign w:val="center"/>
          </w:tcPr>
          <w:p>
            <w:pPr>
              <w:rPr>
                <w:rFonts w:ascii="宋体" w:hAnsi="宋体"/>
                <w:sz w:val="21"/>
                <w:szCs w:val="21"/>
              </w:rPr>
            </w:pPr>
            <w:r>
              <w:rPr>
                <w:rFonts w:hint="eastAsia" w:ascii="宋体" w:hAnsi="宋体"/>
                <w:sz w:val="21"/>
                <w:szCs w:val="21"/>
              </w:rPr>
              <w:t>百万元</w:t>
            </w:r>
          </w:p>
        </w:tc>
        <w:tc>
          <w:tcPr>
            <w:tcW w:w="1427" w:type="dxa"/>
            <w:shd w:val="clear" w:color="auto" w:fill="auto"/>
          </w:tcPr>
          <w:p>
            <w:pPr>
              <w:jc w:val="right"/>
              <w:rPr>
                <w:rFonts w:ascii="宋体" w:hAnsi="宋体"/>
                <w:sz w:val="21"/>
                <w:szCs w:val="21"/>
              </w:rPr>
            </w:pPr>
            <w:r>
              <w:rPr>
                <w:rFonts w:ascii="宋体" w:hAnsi="宋体"/>
                <w:sz w:val="21"/>
                <w:szCs w:val="21"/>
              </w:rPr>
              <w:t xml:space="preserve">7,058 </w:t>
            </w:r>
          </w:p>
        </w:tc>
        <w:tc>
          <w:tcPr>
            <w:tcW w:w="1284" w:type="dxa"/>
            <w:shd w:val="clear" w:color="auto" w:fill="auto"/>
          </w:tcPr>
          <w:p>
            <w:pPr>
              <w:jc w:val="right"/>
              <w:rPr>
                <w:rFonts w:ascii="宋体" w:hAnsi="宋体"/>
                <w:sz w:val="21"/>
                <w:szCs w:val="21"/>
              </w:rPr>
            </w:pPr>
            <w:r>
              <w:rPr>
                <w:rFonts w:ascii="宋体" w:hAnsi="宋体"/>
                <w:sz w:val="21"/>
                <w:szCs w:val="21"/>
              </w:rPr>
              <w:t xml:space="preserve">19,009 </w:t>
            </w:r>
          </w:p>
        </w:tc>
        <w:tc>
          <w:tcPr>
            <w:tcW w:w="1393" w:type="dxa"/>
            <w:shd w:val="clear" w:color="auto" w:fill="auto"/>
          </w:tcPr>
          <w:p>
            <w:pPr>
              <w:jc w:val="right"/>
              <w:rPr>
                <w:rFonts w:ascii="宋体" w:hAnsi="宋体"/>
                <w:sz w:val="21"/>
                <w:szCs w:val="21"/>
              </w:rPr>
            </w:pPr>
            <w:r>
              <w:rPr>
                <w:rFonts w:ascii="宋体" w:hAnsi="宋体"/>
                <w:sz w:val="21"/>
                <w:szCs w:val="21"/>
              </w:rPr>
              <w:t xml:space="preserve">-11,951 </w:t>
            </w:r>
          </w:p>
        </w:tc>
        <w:tc>
          <w:tcPr>
            <w:tcW w:w="1461" w:type="dxa"/>
            <w:shd w:val="clear" w:color="auto" w:fill="auto"/>
          </w:tcPr>
          <w:p>
            <w:pPr>
              <w:jc w:val="right"/>
              <w:rPr>
                <w:rFonts w:ascii="宋体" w:hAnsi="宋体"/>
                <w:sz w:val="21"/>
                <w:szCs w:val="21"/>
              </w:rPr>
            </w:pPr>
            <w:r>
              <w:rPr>
                <w:rFonts w:ascii="宋体" w:hAnsi="宋体"/>
                <w:sz w:val="21"/>
                <w:szCs w:val="21"/>
              </w:rPr>
              <w:t xml:space="preserve">-62.87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555" w:type="dxa"/>
            <w:vMerge w:val="continue"/>
            <w:vAlign w:val="center"/>
          </w:tcPr>
          <w:p>
            <w:pPr>
              <w:rPr>
                <w:rFonts w:ascii="宋体" w:hAnsi="宋体"/>
                <w:sz w:val="21"/>
                <w:szCs w:val="21"/>
              </w:rPr>
            </w:pPr>
          </w:p>
        </w:tc>
        <w:tc>
          <w:tcPr>
            <w:tcW w:w="1599" w:type="dxa"/>
            <w:vAlign w:val="center"/>
          </w:tcPr>
          <w:p>
            <w:pPr>
              <w:rPr>
                <w:rFonts w:ascii="宋体" w:hAnsi="宋体"/>
                <w:sz w:val="21"/>
                <w:szCs w:val="21"/>
              </w:rPr>
            </w:pPr>
            <w:r>
              <w:rPr>
                <w:rFonts w:hint="eastAsia" w:ascii="宋体" w:hAnsi="宋体"/>
                <w:sz w:val="21"/>
                <w:szCs w:val="21"/>
              </w:rPr>
              <w:t>吨煤销售成本</w:t>
            </w:r>
          </w:p>
        </w:tc>
        <w:tc>
          <w:tcPr>
            <w:tcW w:w="857" w:type="dxa"/>
            <w:vAlign w:val="center"/>
          </w:tcPr>
          <w:p>
            <w:pPr>
              <w:rPr>
                <w:rFonts w:ascii="宋体" w:hAnsi="宋体"/>
                <w:sz w:val="21"/>
                <w:szCs w:val="21"/>
              </w:rPr>
            </w:pPr>
            <w:r>
              <w:rPr>
                <w:rFonts w:hint="eastAsia" w:ascii="宋体" w:hAnsi="宋体"/>
                <w:sz w:val="21"/>
                <w:szCs w:val="21"/>
              </w:rPr>
              <w:t>元/吨</w:t>
            </w:r>
          </w:p>
        </w:tc>
        <w:tc>
          <w:tcPr>
            <w:tcW w:w="1427" w:type="dxa"/>
            <w:shd w:val="clear" w:color="auto" w:fill="auto"/>
          </w:tcPr>
          <w:p>
            <w:pPr>
              <w:jc w:val="right"/>
              <w:rPr>
                <w:rFonts w:ascii="宋体" w:hAnsi="宋体"/>
                <w:sz w:val="21"/>
                <w:szCs w:val="21"/>
              </w:rPr>
            </w:pPr>
            <w:r>
              <w:rPr>
                <w:rFonts w:ascii="宋体" w:hAnsi="宋体"/>
                <w:sz w:val="21"/>
                <w:szCs w:val="21"/>
              </w:rPr>
              <w:t xml:space="preserve">1,166.56 </w:t>
            </w:r>
          </w:p>
        </w:tc>
        <w:tc>
          <w:tcPr>
            <w:tcW w:w="1284" w:type="dxa"/>
            <w:shd w:val="clear" w:color="auto" w:fill="auto"/>
          </w:tcPr>
          <w:p>
            <w:pPr>
              <w:jc w:val="right"/>
              <w:rPr>
                <w:rFonts w:ascii="宋体" w:hAnsi="宋体"/>
                <w:sz w:val="21"/>
                <w:szCs w:val="21"/>
              </w:rPr>
            </w:pPr>
            <w:r>
              <w:rPr>
                <w:rFonts w:ascii="宋体" w:hAnsi="宋体"/>
                <w:sz w:val="21"/>
                <w:szCs w:val="21"/>
              </w:rPr>
              <w:t xml:space="preserve">1,485.68 </w:t>
            </w:r>
          </w:p>
        </w:tc>
        <w:tc>
          <w:tcPr>
            <w:tcW w:w="1393" w:type="dxa"/>
            <w:shd w:val="clear" w:color="auto" w:fill="auto"/>
          </w:tcPr>
          <w:p>
            <w:pPr>
              <w:jc w:val="right"/>
              <w:rPr>
                <w:rFonts w:ascii="宋体" w:hAnsi="宋体"/>
                <w:sz w:val="21"/>
                <w:szCs w:val="21"/>
              </w:rPr>
            </w:pPr>
            <w:r>
              <w:rPr>
                <w:rFonts w:ascii="宋体" w:hAnsi="宋体"/>
                <w:sz w:val="21"/>
                <w:szCs w:val="21"/>
              </w:rPr>
              <w:t xml:space="preserve">-319.12 </w:t>
            </w:r>
          </w:p>
        </w:tc>
        <w:tc>
          <w:tcPr>
            <w:tcW w:w="1461" w:type="dxa"/>
            <w:shd w:val="clear" w:color="auto" w:fill="auto"/>
          </w:tcPr>
          <w:p>
            <w:pPr>
              <w:jc w:val="right"/>
              <w:rPr>
                <w:rFonts w:ascii="宋体" w:hAnsi="宋体"/>
                <w:sz w:val="21"/>
                <w:szCs w:val="21"/>
              </w:rPr>
            </w:pPr>
            <w:r>
              <w:rPr>
                <w:rFonts w:ascii="宋体" w:hAnsi="宋体"/>
                <w:sz w:val="21"/>
                <w:szCs w:val="21"/>
              </w:rPr>
              <w:t xml:space="preserve">-21.48 </w:t>
            </w:r>
          </w:p>
        </w:tc>
      </w:tr>
      <w:bookmarkEnd w:id="31"/>
    </w:tbl>
    <w:p>
      <w:pPr>
        <w:ind w:firstLine="420" w:firstLineChars="200"/>
        <w:rPr>
          <w:rFonts w:ascii="宋体" w:hAnsi="宋体"/>
        </w:rPr>
      </w:pPr>
    </w:p>
    <w:p>
      <w:pPr>
        <w:rPr>
          <w:rFonts w:ascii="宋体" w:hAnsi="宋体"/>
          <w:b/>
          <w:bCs/>
        </w:rPr>
      </w:pPr>
      <w:r>
        <w:rPr>
          <w:rFonts w:hint="eastAsia" w:ascii="宋体" w:hAnsi="宋体"/>
          <w:b/>
          <w:bCs/>
        </w:rPr>
        <w:t>2</w:t>
      </w:r>
      <w:r>
        <w:rPr>
          <w:rFonts w:ascii="宋体" w:hAnsi="宋体"/>
          <w:b/>
          <w:bCs/>
        </w:rPr>
        <w:t>.</w:t>
      </w:r>
      <w:r>
        <w:rPr>
          <w:rFonts w:hint="eastAsia" w:ascii="宋体" w:hAnsi="宋体"/>
          <w:b/>
          <w:bCs/>
        </w:rPr>
        <w:t>煤化工业务</w:t>
      </w:r>
    </w:p>
    <w:p>
      <w:pPr>
        <w:ind w:firstLine="420" w:firstLineChars="200"/>
        <w:rPr>
          <w:rFonts w:ascii="宋体" w:hAnsi="宋体"/>
        </w:rPr>
      </w:pPr>
      <w:r>
        <w:rPr>
          <w:rFonts w:hint="eastAsia" w:ascii="宋体" w:hAnsi="宋体"/>
        </w:rPr>
        <w:t>202</w:t>
      </w:r>
      <w:r>
        <w:rPr>
          <w:rFonts w:ascii="宋体" w:hAnsi="宋体"/>
        </w:rPr>
        <w:t>3</w:t>
      </w:r>
      <w:r>
        <w:rPr>
          <w:rFonts w:hint="eastAsia" w:ascii="宋体" w:hAnsi="宋体"/>
        </w:rPr>
        <w:t>年本集团煤化工业务经营情况如下表：</w:t>
      </w:r>
    </w:p>
    <w:p>
      <w:pPr>
        <w:pStyle w:val="43"/>
        <w:rPr>
          <w:szCs w:val="21"/>
        </w:rPr>
      </w:pPr>
    </w:p>
    <w:tbl>
      <w:tblPr>
        <w:tblStyle w:val="116"/>
        <w:tblW w:w="10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108" w:type="dxa"/>
        </w:tblCellMar>
      </w:tblPr>
      <w:tblGrid>
        <w:gridCol w:w="2127"/>
        <w:gridCol w:w="962"/>
        <w:gridCol w:w="840"/>
        <w:gridCol w:w="1007"/>
        <w:gridCol w:w="1002"/>
        <w:gridCol w:w="992"/>
        <w:gridCol w:w="99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vMerge w:val="restart"/>
            <w:vAlign w:val="center"/>
          </w:tcPr>
          <w:p>
            <w:pPr>
              <w:spacing w:line="240" w:lineRule="atLeast"/>
              <w:rPr>
                <w:rFonts w:ascii="宋体" w:hAnsi="宋体" w:eastAsia="宋体"/>
                <w:szCs w:val="21"/>
              </w:rPr>
            </w:pPr>
            <w:bookmarkStart w:id="32" w:name="_Hlk3298498"/>
            <w:bookmarkEnd w:id="32"/>
          </w:p>
        </w:tc>
        <w:tc>
          <w:tcPr>
            <w:tcW w:w="3811" w:type="dxa"/>
            <w:gridSpan w:val="4"/>
            <w:vAlign w:val="center"/>
          </w:tcPr>
          <w:p>
            <w:pPr>
              <w:spacing w:line="240" w:lineRule="atLeast"/>
              <w:jc w:val="center"/>
              <w:rPr>
                <w:rFonts w:ascii="宋体" w:hAnsi="宋体" w:eastAsia="宋体"/>
                <w:szCs w:val="21"/>
              </w:rPr>
            </w:pPr>
            <w:r>
              <w:rPr>
                <w:rFonts w:hint="eastAsia" w:ascii="宋体" w:hAnsi="宋体" w:eastAsia="宋体"/>
                <w:szCs w:val="21"/>
              </w:rPr>
              <w:t>202</w:t>
            </w:r>
            <w:r>
              <w:rPr>
                <w:rFonts w:ascii="宋体" w:hAnsi="宋体" w:eastAsia="宋体"/>
                <w:szCs w:val="21"/>
              </w:rPr>
              <w:t>3</w:t>
            </w:r>
            <w:r>
              <w:rPr>
                <w:rFonts w:hint="eastAsia" w:ascii="宋体" w:hAnsi="宋体" w:eastAsia="宋体"/>
                <w:szCs w:val="21"/>
              </w:rPr>
              <w:t>年</w:t>
            </w:r>
          </w:p>
        </w:tc>
        <w:tc>
          <w:tcPr>
            <w:tcW w:w="4252" w:type="dxa"/>
            <w:gridSpan w:val="4"/>
            <w:vAlign w:val="center"/>
          </w:tcPr>
          <w:p>
            <w:pPr>
              <w:spacing w:line="240" w:lineRule="atLeast"/>
              <w:jc w:val="center"/>
              <w:rPr>
                <w:rFonts w:ascii="宋体" w:hAnsi="宋体" w:eastAsia="宋体"/>
                <w:szCs w:val="21"/>
              </w:rPr>
            </w:pPr>
            <w:r>
              <w:rPr>
                <w:rFonts w:hint="eastAsia" w:ascii="宋体" w:hAnsi="宋体" w:eastAsia="宋体"/>
                <w:szCs w:val="21"/>
              </w:rPr>
              <w:t>20</w:t>
            </w:r>
            <w:r>
              <w:rPr>
                <w:rFonts w:ascii="宋体" w:hAnsi="宋体" w:eastAsia="宋体"/>
                <w:szCs w:val="21"/>
              </w:rPr>
              <w:t>22</w:t>
            </w:r>
            <w:r>
              <w:rPr>
                <w:rFonts w:hint="eastAsia" w:ascii="宋体" w:hAnsi="宋体" w:eastAsia="宋体"/>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vMerge w:val="continue"/>
            <w:vAlign w:val="center"/>
          </w:tcPr>
          <w:p>
            <w:pPr>
              <w:spacing w:line="240" w:lineRule="atLeast"/>
              <w:rPr>
                <w:rFonts w:ascii="宋体" w:hAnsi="宋体" w:eastAsia="宋体"/>
                <w:szCs w:val="21"/>
              </w:rPr>
            </w:pPr>
          </w:p>
        </w:tc>
        <w:tc>
          <w:tcPr>
            <w:tcW w:w="962" w:type="dxa"/>
            <w:vAlign w:val="center"/>
          </w:tcPr>
          <w:p>
            <w:pPr>
              <w:jc w:val="center"/>
              <w:rPr>
                <w:rFonts w:ascii="宋体" w:hAnsi="宋体" w:eastAsia="宋体"/>
                <w:szCs w:val="21"/>
              </w:rPr>
            </w:pPr>
            <w:r>
              <w:rPr>
                <w:rFonts w:hint="eastAsia" w:ascii="宋体" w:hAnsi="宋体" w:eastAsia="宋体"/>
                <w:szCs w:val="21"/>
              </w:rPr>
              <w:t>产量</w:t>
            </w:r>
          </w:p>
        </w:tc>
        <w:tc>
          <w:tcPr>
            <w:tcW w:w="840" w:type="dxa"/>
            <w:vAlign w:val="center"/>
          </w:tcPr>
          <w:p>
            <w:pPr>
              <w:jc w:val="center"/>
              <w:rPr>
                <w:rFonts w:ascii="宋体" w:hAnsi="宋体" w:eastAsia="宋体"/>
                <w:szCs w:val="21"/>
              </w:rPr>
            </w:pPr>
            <w:r>
              <w:rPr>
                <w:rFonts w:hint="eastAsia" w:ascii="宋体" w:hAnsi="宋体" w:eastAsia="宋体"/>
                <w:szCs w:val="21"/>
              </w:rPr>
              <w:t>销量</w:t>
            </w:r>
          </w:p>
        </w:tc>
        <w:tc>
          <w:tcPr>
            <w:tcW w:w="1007" w:type="dxa"/>
            <w:vAlign w:val="center"/>
          </w:tcPr>
          <w:p>
            <w:pPr>
              <w:jc w:val="center"/>
              <w:rPr>
                <w:rFonts w:ascii="宋体" w:hAnsi="宋体" w:eastAsia="宋体"/>
                <w:szCs w:val="21"/>
              </w:rPr>
            </w:pPr>
            <w:r>
              <w:rPr>
                <w:rFonts w:hint="eastAsia" w:ascii="宋体" w:hAnsi="宋体" w:eastAsia="宋体"/>
                <w:szCs w:val="21"/>
              </w:rPr>
              <w:t>销售收入</w:t>
            </w:r>
          </w:p>
        </w:tc>
        <w:tc>
          <w:tcPr>
            <w:tcW w:w="1002" w:type="dxa"/>
            <w:vAlign w:val="center"/>
          </w:tcPr>
          <w:p>
            <w:pPr>
              <w:jc w:val="center"/>
              <w:rPr>
                <w:rFonts w:ascii="宋体" w:hAnsi="宋体" w:eastAsia="宋体"/>
                <w:szCs w:val="21"/>
              </w:rPr>
            </w:pPr>
            <w:r>
              <w:rPr>
                <w:rFonts w:hint="eastAsia" w:ascii="宋体" w:hAnsi="宋体" w:eastAsia="宋体"/>
                <w:szCs w:val="21"/>
              </w:rPr>
              <w:t>销售成本</w:t>
            </w:r>
          </w:p>
        </w:tc>
        <w:tc>
          <w:tcPr>
            <w:tcW w:w="992" w:type="dxa"/>
            <w:vAlign w:val="center"/>
          </w:tcPr>
          <w:p>
            <w:pPr>
              <w:jc w:val="center"/>
              <w:rPr>
                <w:rFonts w:ascii="宋体" w:hAnsi="宋体" w:eastAsia="宋体"/>
                <w:szCs w:val="21"/>
              </w:rPr>
            </w:pPr>
            <w:r>
              <w:rPr>
                <w:rFonts w:hint="eastAsia" w:ascii="宋体" w:hAnsi="宋体" w:eastAsia="宋体"/>
                <w:szCs w:val="21"/>
              </w:rPr>
              <w:t>产量</w:t>
            </w:r>
          </w:p>
        </w:tc>
        <w:tc>
          <w:tcPr>
            <w:tcW w:w="992" w:type="dxa"/>
            <w:vAlign w:val="center"/>
          </w:tcPr>
          <w:p>
            <w:pPr>
              <w:jc w:val="center"/>
              <w:rPr>
                <w:rFonts w:ascii="宋体" w:hAnsi="宋体" w:eastAsia="宋体"/>
                <w:szCs w:val="21"/>
              </w:rPr>
            </w:pPr>
            <w:r>
              <w:rPr>
                <w:rFonts w:hint="eastAsia" w:ascii="宋体" w:hAnsi="宋体" w:eastAsia="宋体"/>
                <w:szCs w:val="21"/>
              </w:rPr>
              <w:t>销量</w:t>
            </w:r>
          </w:p>
        </w:tc>
        <w:tc>
          <w:tcPr>
            <w:tcW w:w="1134" w:type="dxa"/>
            <w:vAlign w:val="center"/>
          </w:tcPr>
          <w:p>
            <w:pPr>
              <w:jc w:val="center"/>
              <w:rPr>
                <w:rFonts w:ascii="宋体" w:hAnsi="宋体" w:eastAsia="宋体"/>
                <w:szCs w:val="21"/>
              </w:rPr>
            </w:pPr>
            <w:r>
              <w:rPr>
                <w:rFonts w:hint="eastAsia" w:ascii="宋体" w:hAnsi="宋体" w:eastAsia="宋体"/>
                <w:szCs w:val="21"/>
              </w:rPr>
              <w:t>销售收入</w:t>
            </w:r>
          </w:p>
        </w:tc>
        <w:tc>
          <w:tcPr>
            <w:tcW w:w="1134" w:type="dxa"/>
            <w:vAlign w:val="center"/>
          </w:tcPr>
          <w:p>
            <w:pPr>
              <w:jc w:val="center"/>
              <w:rPr>
                <w:rFonts w:ascii="宋体" w:hAnsi="宋体" w:eastAsia="宋体"/>
                <w:szCs w:val="21"/>
              </w:rPr>
            </w:pPr>
            <w:r>
              <w:rPr>
                <w:rFonts w:hint="eastAsia" w:ascii="宋体" w:hAnsi="宋体" w:eastAsia="宋体"/>
                <w:szCs w:val="21"/>
              </w:rPr>
              <w:t>销售成本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vMerge w:val="continue"/>
            <w:vAlign w:val="center"/>
          </w:tcPr>
          <w:p>
            <w:pPr>
              <w:spacing w:line="240" w:lineRule="atLeast"/>
              <w:rPr>
                <w:rFonts w:ascii="宋体" w:hAnsi="宋体" w:eastAsia="宋体"/>
                <w:bCs/>
                <w:szCs w:val="21"/>
              </w:rPr>
            </w:pPr>
          </w:p>
        </w:tc>
        <w:tc>
          <w:tcPr>
            <w:tcW w:w="962" w:type="dxa"/>
            <w:vAlign w:val="center"/>
          </w:tcPr>
          <w:p>
            <w:pPr>
              <w:ind w:left="-105" w:leftChars="-50" w:right="-105" w:rightChars="-50"/>
              <w:jc w:val="center"/>
              <w:rPr>
                <w:rFonts w:ascii="宋体" w:hAnsi="宋体" w:eastAsia="宋体"/>
                <w:szCs w:val="21"/>
              </w:rPr>
            </w:pPr>
            <w:r>
              <w:rPr>
                <w:rFonts w:hint="eastAsia" w:ascii="宋体" w:hAnsi="宋体" w:eastAsia="宋体"/>
                <w:szCs w:val="21"/>
              </w:rPr>
              <w:t>（千吨）</w:t>
            </w:r>
          </w:p>
        </w:tc>
        <w:tc>
          <w:tcPr>
            <w:tcW w:w="840" w:type="dxa"/>
            <w:vAlign w:val="center"/>
          </w:tcPr>
          <w:p>
            <w:pPr>
              <w:ind w:left="-105" w:leftChars="-50" w:right="-105" w:rightChars="-50"/>
              <w:jc w:val="center"/>
              <w:rPr>
                <w:rFonts w:ascii="宋体" w:hAnsi="宋体" w:eastAsia="宋体"/>
                <w:szCs w:val="21"/>
              </w:rPr>
            </w:pPr>
            <w:r>
              <w:rPr>
                <w:rFonts w:hint="eastAsia" w:ascii="宋体" w:hAnsi="宋体" w:eastAsia="宋体"/>
                <w:szCs w:val="21"/>
              </w:rPr>
              <w:t>（千吨）</w:t>
            </w:r>
          </w:p>
        </w:tc>
        <w:tc>
          <w:tcPr>
            <w:tcW w:w="1007" w:type="dxa"/>
            <w:vAlign w:val="center"/>
          </w:tcPr>
          <w:p>
            <w:pPr>
              <w:ind w:left="-105" w:leftChars="-50" w:right="-105" w:rightChars="-50"/>
              <w:jc w:val="center"/>
              <w:rPr>
                <w:rFonts w:ascii="宋体" w:hAnsi="宋体" w:eastAsia="宋体"/>
                <w:szCs w:val="21"/>
              </w:rPr>
            </w:pPr>
            <w:r>
              <w:rPr>
                <w:rFonts w:hint="eastAsia" w:ascii="宋体" w:hAnsi="宋体" w:eastAsia="宋体"/>
                <w:szCs w:val="21"/>
              </w:rPr>
              <w:t>（百万元）</w:t>
            </w:r>
          </w:p>
        </w:tc>
        <w:tc>
          <w:tcPr>
            <w:tcW w:w="1002" w:type="dxa"/>
            <w:vAlign w:val="center"/>
          </w:tcPr>
          <w:p>
            <w:pPr>
              <w:ind w:left="-105" w:leftChars="-50" w:right="-105" w:rightChars="-50"/>
              <w:jc w:val="center"/>
              <w:rPr>
                <w:rFonts w:ascii="宋体" w:hAnsi="宋体" w:eastAsia="宋体"/>
                <w:szCs w:val="21"/>
              </w:rPr>
            </w:pPr>
            <w:r>
              <w:rPr>
                <w:rFonts w:hint="eastAsia" w:ascii="宋体" w:hAnsi="宋体" w:eastAsia="宋体"/>
                <w:szCs w:val="21"/>
              </w:rPr>
              <w:t>（百万元）</w:t>
            </w:r>
          </w:p>
        </w:tc>
        <w:tc>
          <w:tcPr>
            <w:tcW w:w="992" w:type="dxa"/>
            <w:vAlign w:val="center"/>
          </w:tcPr>
          <w:p>
            <w:pPr>
              <w:ind w:left="-105" w:leftChars="-50" w:right="-105" w:rightChars="-50"/>
              <w:jc w:val="center"/>
              <w:rPr>
                <w:rFonts w:ascii="宋体" w:hAnsi="宋体" w:eastAsia="宋体"/>
                <w:szCs w:val="21"/>
              </w:rPr>
            </w:pPr>
            <w:r>
              <w:rPr>
                <w:rFonts w:hint="eastAsia" w:ascii="宋体" w:hAnsi="宋体" w:eastAsia="宋体"/>
                <w:szCs w:val="21"/>
              </w:rPr>
              <w:t>（千吨）</w:t>
            </w:r>
          </w:p>
        </w:tc>
        <w:tc>
          <w:tcPr>
            <w:tcW w:w="992" w:type="dxa"/>
            <w:vAlign w:val="center"/>
          </w:tcPr>
          <w:p>
            <w:pPr>
              <w:ind w:left="-105" w:leftChars="-50" w:right="-105" w:rightChars="-50"/>
              <w:jc w:val="center"/>
              <w:rPr>
                <w:rFonts w:ascii="宋体" w:hAnsi="宋体" w:eastAsia="宋体"/>
                <w:szCs w:val="21"/>
              </w:rPr>
            </w:pPr>
            <w:r>
              <w:rPr>
                <w:rFonts w:hint="eastAsia" w:ascii="宋体" w:hAnsi="宋体" w:eastAsia="宋体"/>
                <w:szCs w:val="21"/>
              </w:rPr>
              <w:t>（千吨）</w:t>
            </w:r>
          </w:p>
        </w:tc>
        <w:tc>
          <w:tcPr>
            <w:tcW w:w="1134" w:type="dxa"/>
            <w:vAlign w:val="center"/>
          </w:tcPr>
          <w:p>
            <w:pPr>
              <w:ind w:left="-105" w:leftChars="-50" w:right="-105" w:rightChars="-50"/>
              <w:jc w:val="center"/>
              <w:rPr>
                <w:rFonts w:ascii="宋体" w:hAnsi="宋体" w:eastAsia="宋体"/>
                <w:szCs w:val="21"/>
              </w:rPr>
            </w:pPr>
            <w:r>
              <w:rPr>
                <w:rFonts w:hint="eastAsia" w:ascii="宋体" w:hAnsi="宋体" w:eastAsia="宋体"/>
                <w:szCs w:val="21"/>
              </w:rPr>
              <w:t>（百万元）</w:t>
            </w:r>
          </w:p>
        </w:tc>
        <w:tc>
          <w:tcPr>
            <w:tcW w:w="1134" w:type="dxa"/>
            <w:vAlign w:val="center"/>
          </w:tcPr>
          <w:p>
            <w:pPr>
              <w:ind w:left="-105" w:leftChars="-50" w:right="-105" w:rightChars="-50"/>
              <w:jc w:val="center"/>
              <w:rPr>
                <w:rFonts w:ascii="宋体" w:hAnsi="宋体" w:eastAsia="宋体"/>
                <w:szCs w:val="21"/>
              </w:rPr>
            </w:pPr>
            <w:r>
              <w:rPr>
                <w:rFonts w:hint="eastAsia" w:ascii="宋体" w:hAnsi="宋体" w:eastAsia="宋体"/>
                <w:szCs w:val="21"/>
              </w:rPr>
              <w:t>（百万元）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vAlign w:val="center"/>
          </w:tcPr>
          <w:p>
            <w:pPr>
              <w:ind w:firstLine="420" w:firstLineChars="200"/>
              <w:rPr>
                <w:rFonts w:ascii="宋体" w:hAnsi="宋体" w:eastAsia="宋体"/>
                <w:szCs w:val="21"/>
              </w:rPr>
            </w:pPr>
            <w:r>
              <w:rPr>
                <w:rFonts w:hint="eastAsia" w:ascii="宋体" w:hAnsi="宋体" w:eastAsia="宋体"/>
                <w:szCs w:val="21"/>
              </w:rPr>
              <w:t>甲醇</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4,016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3,955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7,235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6,782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3,789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3,789</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7,619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7,165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vAlign w:val="center"/>
          </w:tcPr>
          <w:p>
            <w:pPr>
              <w:ind w:firstLine="420" w:firstLineChars="200"/>
              <w:rPr>
                <w:rFonts w:ascii="宋体" w:hAnsi="宋体" w:eastAsia="宋体"/>
                <w:szCs w:val="21"/>
              </w:rPr>
            </w:pPr>
            <w:r>
              <w:rPr>
                <w:rFonts w:hint="eastAsia" w:ascii="宋体" w:hAnsi="宋体" w:eastAsia="宋体"/>
                <w:szCs w:val="21"/>
              </w:rPr>
              <w:t>醋酸</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1,139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738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2,057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1,726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1,036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712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2,453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1,861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vAlign w:val="center"/>
          </w:tcPr>
          <w:p>
            <w:pPr>
              <w:ind w:firstLine="420" w:firstLineChars="200"/>
              <w:rPr>
                <w:rFonts w:ascii="宋体" w:hAnsi="宋体" w:eastAsia="宋体"/>
                <w:szCs w:val="21"/>
              </w:rPr>
            </w:pPr>
            <w:r>
              <w:rPr>
                <w:rFonts w:hint="eastAsia" w:ascii="宋体" w:hAnsi="宋体" w:eastAsia="宋体"/>
                <w:szCs w:val="21"/>
              </w:rPr>
              <w:t>醋酸乙酯</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423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426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2,421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2,287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368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364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2,292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2,029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vAlign w:val="center"/>
          </w:tcPr>
          <w:p>
            <w:pPr>
              <w:ind w:firstLine="420" w:firstLineChars="200"/>
              <w:rPr>
                <w:rFonts w:ascii="宋体" w:hAnsi="宋体" w:eastAsia="宋体"/>
                <w:szCs w:val="21"/>
              </w:rPr>
            </w:pPr>
            <w:r>
              <w:rPr>
                <w:rFonts w:hint="eastAsia" w:ascii="宋体" w:hAnsi="宋体" w:eastAsia="宋体"/>
                <w:szCs w:val="21"/>
              </w:rPr>
              <w:t>己内酰胺</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297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297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3,224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3,080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273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273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3,067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2,795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vAlign w:val="center"/>
          </w:tcPr>
          <w:p>
            <w:pPr>
              <w:ind w:firstLine="420" w:firstLineChars="200"/>
              <w:rPr>
                <w:rFonts w:ascii="宋体" w:hAnsi="宋体" w:eastAsia="宋体"/>
                <w:szCs w:val="21"/>
              </w:rPr>
            </w:pPr>
            <w:r>
              <w:rPr>
                <w:rFonts w:hint="eastAsia" w:ascii="宋体" w:hAnsi="宋体" w:eastAsia="宋体"/>
                <w:szCs w:val="21"/>
              </w:rPr>
              <w:t>聚甲醛</w:t>
            </w:r>
            <w:r>
              <w:rPr>
                <w:rFonts w:ascii="宋体" w:hAnsi="宋体" w:eastAsia="宋体" w:cs="Calibri"/>
                <w:szCs w:val="21"/>
                <w:vertAlign w:val="superscript"/>
              </w:rPr>
              <w:t>①</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74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74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776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613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74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74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1,124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646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shd w:val="clear" w:color="auto" w:fill="auto"/>
            <w:vAlign w:val="center"/>
          </w:tcPr>
          <w:p>
            <w:pPr>
              <w:ind w:firstLine="420" w:firstLineChars="200"/>
              <w:rPr>
                <w:rFonts w:ascii="宋体" w:hAnsi="宋体" w:eastAsia="宋体"/>
                <w:szCs w:val="21"/>
              </w:rPr>
            </w:pPr>
            <w:r>
              <w:rPr>
                <w:rFonts w:hint="eastAsia" w:ascii="宋体" w:hAnsi="宋体" w:eastAsia="宋体"/>
                <w:szCs w:val="21"/>
              </w:rPr>
              <w:t>粗液体蜡</w:t>
            </w:r>
            <w:r>
              <w:rPr>
                <w:rFonts w:hint="eastAsia" w:ascii="宋体" w:hAnsi="宋体" w:eastAsia="宋体" w:cs="宋体"/>
                <w:szCs w:val="21"/>
                <w:vertAlign w:val="superscript"/>
              </w:rPr>
              <w:t>②</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162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146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995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337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242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252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1,710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587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shd w:val="clear" w:color="auto" w:fill="auto"/>
            <w:vAlign w:val="center"/>
          </w:tcPr>
          <w:p>
            <w:pPr>
              <w:ind w:firstLine="420" w:firstLineChars="200"/>
              <w:rPr>
                <w:rFonts w:ascii="宋体" w:hAnsi="宋体" w:eastAsia="宋体"/>
                <w:szCs w:val="21"/>
              </w:rPr>
            </w:pPr>
            <w:r>
              <w:rPr>
                <w:rFonts w:hint="eastAsia" w:ascii="宋体" w:hAnsi="宋体" w:eastAsia="宋体"/>
                <w:szCs w:val="21"/>
              </w:rPr>
              <w:t>柴油</w:t>
            </w:r>
            <w:r>
              <w:rPr>
                <w:rFonts w:hint="eastAsia" w:ascii="宋体" w:hAnsi="宋体" w:eastAsia="宋体" w:cs="宋体"/>
                <w:szCs w:val="21"/>
                <w:vertAlign w:val="superscript"/>
              </w:rPr>
              <w:t>②</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277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269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1,800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595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158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154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1,144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464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shd w:val="clear" w:color="auto" w:fill="auto"/>
            <w:vAlign w:val="center"/>
          </w:tcPr>
          <w:p>
            <w:pPr>
              <w:ind w:firstLine="420" w:firstLineChars="200"/>
              <w:rPr>
                <w:rFonts w:ascii="宋体" w:hAnsi="宋体" w:eastAsia="宋体"/>
                <w:szCs w:val="21"/>
              </w:rPr>
            </w:pPr>
            <w:r>
              <w:rPr>
                <w:rFonts w:hint="eastAsia" w:ascii="宋体" w:hAnsi="宋体" w:eastAsia="宋体" w:cs="宋体"/>
                <w:szCs w:val="21"/>
              </w:rPr>
              <w:t>石脑油</w:t>
            </w:r>
            <w:r>
              <w:rPr>
                <w:rFonts w:hint="eastAsia" w:ascii="宋体" w:hAnsi="宋体" w:eastAsia="宋体" w:cs="宋体"/>
                <w:szCs w:val="21"/>
                <w:vertAlign w:val="superscript"/>
              </w:rPr>
              <w:t>②</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256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254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1,697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586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84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81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530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216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shd w:val="clear" w:color="auto" w:fill="auto"/>
            <w:vAlign w:val="center"/>
          </w:tcPr>
          <w:p>
            <w:pPr>
              <w:ind w:firstLine="420" w:firstLineChars="200"/>
              <w:rPr>
                <w:rFonts w:ascii="宋体" w:hAnsi="宋体" w:eastAsia="宋体"/>
                <w:szCs w:val="21"/>
              </w:rPr>
            </w:pPr>
            <w:r>
              <w:rPr>
                <w:rFonts w:hint="eastAsia" w:ascii="宋体" w:hAnsi="宋体" w:eastAsia="宋体"/>
                <w:szCs w:val="21"/>
              </w:rPr>
              <w:t>乙二醇</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360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391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1,332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1,107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311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321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1,252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1,135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shd w:val="clear" w:color="auto" w:fill="auto"/>
            <w:vAlign w:val="center"/>
          </w:tcPr>
          <w:p>
            <w:pPr>
              <w:ind w:firstLine="420" w:firstLineChars="200"/>
              <w:rPr>
                <w:rFonts w:ascii="宋体" w:hAnsi="宋体" w:eastAsia="宋体"/>
                <w:szCs w:val="21"/>
              </w:rPr>
            </w:pPr>
            <w:r>
              <w:rPr>
                <w:rFonts w:hint="eastAsia" w:ascii="宋体" w:hAnsi="宋体" w:eastAsia="宋体"/>
                <w:szCs w:val="21"/>
              </w:rPr>
              <w:t>尿素</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591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615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1,208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873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658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633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1,330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863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70" w:hRule="atLeast"/>
          <w:jc w:val="center"/>
        </w:trPr>
        <w:tc>
          <w:tcPr>
            <w:tcW w:w="2127" w:type="dxa"/>
            <w:shd w:val="clear" w:color="auto" w:fill="auto"/>
            <w:vAlign w:val="center"/>
          </w:tcPr>
          <w:p>
            <w:pPr>
              <w:ind w:firstLine="420" w:firstLineChars="200"/>
              <w:jc w:val="left"/>
              <w:rPr>
                <w:rFonts w:ascii="宋体" w:hAnsi="宋体" w:eastAsia="宋体"/>
                <w:szCs w:val="21"/>
              </w:rPr>
            </w:pPr>
            <w:r>
              <w:rPr>
                <w:rFonts w:hint="eastAsia" w:ascii="宋体" w:hAnsi="宋体" w:eastAsia="宋体"/>
                <w:szCs w:val="21"/>
              </w:rPr>
              <w:t>其他</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991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697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3,654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3,145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888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652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3,815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2,996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2127" w:type="dxa"/>
            <w:shd w:val="clear" w:color="auto" w:fill="auto"/>
            <w:vAlign w:val="center"/>
          </w:tcPr>
          <w:p>
            <w:pPr>
              <w:jc w:val="center"/>
              <w:rPr>
                <w:rFonts w:ascii="宋体" w:hAnsi="宋体" w:eastAsia="宋体"/>
                <w:szCs w:val="21"/>
              </w:rPr>
            </w:pPr>
            <w:r>
              <w:rPr>
                <w:rFonts w:hint="eastAsia" w:ascii="宋体" w:hAnsi="宋体" w:eastAsia="宋体"/>
                <w:szCs w:val="21"/>
              </w:rPr>
              <w:t>合计</w:t>
            </w:r>
          </w:p>
        </w:tc>
        <w:tc>
          <w:tcPr>
            <w:tcW w:w="962" w:type="dxa"/>
            <w:shd w:val="clear" w:color="auto" w:fill="auto"/>
            <w:vAlign w:val="center"/>
          </w:tcPr>
          <w:p>
            <w:pPr>
              <w:jc w:val="right"/>
              <w:rPr>
                <w:rFonts w:ascii="宋体" w:hAnsi="宋体" w:eastAsia="宋体"/>
                <w:szCs w:val="21"/>
              </w:rPr>
            </w:pPr>
            <w:r>
              <w:rPr>
                <w:rFonts w:ascii="宋体" w:hAnsi="宋体" w:eastAsia="宋体"/>
                <w:szCs w:val="21"/>
              </w:rPr>
              <w:t xml:space="preserve">8,587 </w:t>
            </w:r>
          </w:p>
        </w:tc>
        <w:tc>
          <w:tcPr>
            <w:tcW w:w="840" w:type="dxa"/>
            <w:shd w:val="clear" w:color="auto" w:fill="auto"/>
            <w:vAlign w:val="center"/>
          </w:tcPr>
          <w:p>
            <w:pPr>
              <w:jc w:val="right"/>
              <w:rPr>
                <w:rFonts w:ascii="宋体" w:hAnsi="宋体" w:eastAsia="宋体"/>
                <w:szCs w:val="21"/>
              </w:rPr>
            </w:pPr>
            <w:r>
              <w:rPr>
                <w:rFonts w:ascii="宋体" w:hAnsi="宋体" w:eastAsia="宋体"/>
                <w:szCs w:val="21"/>
              </w:rPr>
              <w:t xml:space="preserve">7,862 </w:t>
            </w:r>
          </w:p>
        </w:tc>
        <w:tc>
          <w:tcPr>
            <w:tcW w:w="1007" w:type="dxa"/>
            <w:shd w:val="clear" w:color="auto" w:fill="auto"/>
            <w:vAlign w:val="center"/>
          </w:tcPr>
          <w:p>
            <w:pPr>
              <w:jc w:val="right"/>
              <w:rPr>
                <w:rFonts w:ascii="宋体" w:hAnsi="宋体" w:eastAsia="宋体"/>
                <w:szCs w:val="21"/>
              </w:rPr>
            </w:pPr>
            <w:r>
              <w:rPr>
                <w:rFonts w:ascii="宋体" w:hAnsi="宋体" w:eastAsia="宋体"/>
                <w:szCs w:val="21"/>
              </w:rPr>
              <w:t xml:space="preserve">26,398 </w:t>
            </w:r>
          </w:p>
        </w:tc>
        <w:tc>
          <w:tcPr>
            <w:tcW w:w="1002" w:type="dxa"/>
            <w:shd w:val="clear" w:color="auto" w:fill="auto"/>
            <w:vAlign w:val="center"/>
          </w:tcPr>
          <w:p>
            <w:pPr>
              <w:jc w:val="right"/>
              <w:rPr>
                <w:rFonts w:ascii="宋体" w:hAnsi="宋体" w:eastAsia="宋体"/>
                <w:szCs w:val="21"/>
              </w:rPr>
            </w:pPr>
            <w:r>
              <w:rPr>
                <w:rFonts w:ascii="宋体" w:hAnsi="宋体" w:eastAsia="宋体"/>
                <w:szCs w:val="21"/>
              </w:rPr>
              <w:t xml:space="preserve">21,130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7,880 </w:t>
            </w:r>
          </w:p>
        </w:tc>
        <w:tc>
          <w:tcPr>
            <w:tcW w:w="992" w:type="dxa"/>
            <w:shd w:val="clear" w:color="auto" w:fill="auto"/>
            <w:vAlign w:val="center"/>
          </w:tcPr>
          <w:p>
            <w:pPr>
              <w:jc w:val="right"/>
              <w:rPr>
                <w:rFonts w:ascii="宋体" w:hAnsi="宋体" w:eastAsia="宋体"/>
                <w:szCs w:val="21"/>
              </w:rPr>
            </w:pPr>
            <w:r>
              <w:rPr>
                <w:rFonts w:ascii="宋体" w:hAnsi="宋体" w:eastAsia="宋体"/>
                <w:szCs w:val="21"/>
              </w:rPr>
              <w:t xml:space="preserve">7,304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26,337 </w:t>
            </w:r>
          </w:p>
        </w:tc>
        <w:tc>
          <w:tcPr>
            <w:tcW w:w="1134" w:type="dxa"/>
            <w:shd w:val="clear" w:color="auto" w:fill="auto"/>
            <w:vAlign w:val="center"/>
          </w:tcPr>
          <w:p>
            <w:pPr>
              <w:jc w:val="right"/>
              <w:rPr>
                <w:rFonts w:ascii="宋体" w:hAnsi="宋体" w:eastAsia="宋体"/>
                <w:szCs w:val="21"/>
              </w:rPr>
            </w:pPr>
            <w:r>
              <w:rPr>
                <w:rFonts w:ascii="宋体" w:hAnsi="宋体" w:eastAsia="宋体"/>
                <w:szCs w:val="21"/>
              </w:rPr>
              <w:t xml:space="preserve">20,757 </w:t>
            </w:r>
          </w:p>
        </w:tc>
      </w:tr>
    </w:tbl>
    <w:p>
      <w:pPr>
        <w:ind w:firstLine="420" w:firstLineChars="200"/>
        <w:rPr>
          <w:rFonts w:ascii="宋体" w:hAnsi="宋体"/>
        </w:rPr>
      </w:pPr>
      <w:r>
        <w:rPr>
          <w:rFonts w:hint="eastAsia" w:ascii="宋体" w:hAnsi="宋体"/>
        </w:rPr>
        <w:t>注：</w:t>
      </w:r>
    </w:p>
    <w:p>
      <w:pPr>
        <w:ind w:firstLine="420" w:firstLineChars="200"/>
        <w:rPr>
          <w:rFonts w:ascii="宋体" w:hAnsi="宋体"/>
        </w:rPr>
      </w:pPr>
      <w:r>
        <w:rPr>
          <w:rFonts w:hint="eastAsia" w:ascii="宋体" w:hAnsi="宋体"/>
        </w:rPr>
        <w:t>①聚甲醛销售收入同比减少，主要是由于：销售价格同比降低。</w:t>
      </w:r>
    </w:p>
    <w:p>
      <w:pPr>
        <w:ind w:firstLine="420" w:firstLineChars="200"/>
        <w:rPr>
          <w:rFonts w:ascii="宋体" w:hAnsi="宋体"/>
        </w:rPr>
      </w:pPr>
      <w:r>
        <w:rPr>
          <w:rFonts w:hint="eastAsia" w:ascii="宋体" w:hAnsi="宋体"/>
        </w:rPr>
        <w:t>②粗液体蜡、柴油、石脑油产量、销量、收入、成本变动同比增减变动，主要是由于：未来能源积极应对市场环境变化，进行柔性生产，不断优化产品结构，影响其化工产品产量、销量、收入、成本变动。</w:t>
      </w:r>
    </w:p>
    <w:p>
      <w:pPr>
        <w:ind w:firstLine="420" w:firstLineChars="200"/>
        <w:rPr>
          <w:rFonts w:ascii="宋体" w:hAnsi="宋体"/>
        </w:rPr>
      </w:pPr>
    </w:p>
    <w:p>
      <w:pPr>
        <w:rPr>
          <w:rFonts w:ascii="宋体" w:hAnsi="宋体"/>
          <w:b/>
          <w:bCs/>
        </w:rPr>
      </w:pPr>
      <w:r>
        <w:rPr>
          <w:rFonts w:hint="eastAsia" w:ascii="宋体" w:hAnsi="宋体"/>
          <w:b/>
          <w:bCs/>
        </w:rPr>
        <w:t>3</w:t>
      </w:r>
      <w:r>
        <w:rPr>
          <w:rFonts w:ascii="宋体" w:hAnsi="宋体"/>
          <w:b/>
          <w:bCs/>
        </w:rPr>
        <w:t>.</w:t>
      </w:r>
      <w:r>
        <w:rPr>
          <w:rFonts w:hint="eastAsia" w:ascii="宋体" w:hAnsi="宋体"/>
          <w:b/>
          <w:bCs/>
        </w:rPr>
        <w:t>电力业务</w:t>
      </w:r>
    </w:p>
    <w:p>
      <w:pPr>
        <w:ind w:firstLine="420" w:firstLineChars="200"/>
        <w:rPr>
          <w:rFonts w:ascii="宋体" w:hAnsi="宋体"/>
        </w:rPr>
      </w:pPr>
      <w:r>
        <w:rPr>
          <w:rFonts w:hint="eastAsia" w:ascii="宋体" w:hAnsi="宋体"/>
        </w:rPr>
        <w:t>202</w:t>
      </w:r>
      <w:r>
        <w:rPr>
          <w:rFonts w:ascii="宋体" w:hAnsi="宋体"/>
        </w:rPr>
        <w:t>3</w:t>
      </w:r>
      <w:r>
        <w:rPr>
          <w:rFonts w:hint="eastAsia" w:ascii="宋体" w:hAnsi="宋体"/>
        </w:rPr>
        <w:t>年本集团电力业务经营情况如下：</w:t>
      </w:r>
    </w:p>
    <w:tbl>
      <w:tblPr>
        <w:tblStyle w:val="116"/>
        <w:tblW w:w="10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108" w:type="dxa"/>
        </w:tblCellMar>
      </w:tblPr>
      <w:tblGrid>
        <w:gridCol w:w="1695"/>
        <w:gridCol w:w="1070"/>
        <w:gridCol w:w="1198"/>
        <w:gridCol w:w="1134"/>
        <w:gridCol w:w="992"/>
        <w:gridCol w:w="1134"/>
        <w:gridCol w:w="1134"/>
        <w:gridCol w:w="104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1695" w:type="dxa"/>
            <w:vMerge w:val="restart"/>
            <w:vAlign w:val="center"/>
          </w:tcPr>
          <w:p>
            <w:pPr>
              <w:spacing w:line="240" w:lineRule="atLeast"/>
              <w:rPr>
                <w:rFonts w:ascii="宋体" w:hAnsi="宋体" w:eastAsia="宋体"/>
                <w:szCs w:val="21"/>
              </w:rPr>
            </w:pPr>
            <w:bookmarkStart w:id="33" w:name="_Hlk3298539"/>
            <w:bookmarkEnd w:id="33"/>
          </w:p>
        </w:tc>
        <w:tc>
          <w:tcPr>
            <w:tcW w:w="4394" w:type="dxa"/>
            <w:gridSpan w:val="4"/>
            <w:vAlign w:val="center"/>
          </w:tcPr>
          <w:p>
            <w:pPr>
              <w:spacing w:line="240" w:lineRule="atLeast"/>
              <w:jc w:val="center"/>
              <w:rPr>
                <w:rFonts w:ascii="宋体" w:hAnsi="宋体" w:eastAsia="宋体"/>
                <w:szCs w:val="21"/>
              </w:rPr>
            </w:pPr>
            <w:r>
              <w:rPr>
                <w:rFonts w:hint="eastAsia" w:ascii="宋体" w:hAnsi="宋体" w:eastAsia="宋体"/>
                <w:szCs w:val="21"/>
              </w:rPr>
              <w:t>202</w:t>
            </w:r>
            <w:r>
              <w:rPr>
                <w:rFonts w:ascii="宋体" w:hAnsi="宋体" w:eastAsia="宋体"/>
                <w:szCs w:val="21"/>
              </w:rPr>
              <w:t>3</w:t>
            </w:r>
            <w:r>
              <w:rPr>
                <w:rFonts w:hint="eastAsia" w:ascii="宋体" w:hAnsi="宋体" w:eastAsia="宋体"/>
                <w:szCs w:val="21"/>
              </w:rPr>
              <w:t>年</w:t>
            </w:r>
          </w:p>
        </w:tc>
        <w:tc>
          <w:tcPr>
            <w:tcW w:w="4304" w:type="dxa"/>
            <w:gridSpan w:val="4"/>
            <w:vAlign w:val="center"/>
          </w:tcPr>
          <w:p>
            <w:pPr>
              <w:spacing w:line="240" w:lineRule="atLeast"/>
              <w:jc w:val="center"/>
              <w:rPr>
                <w:rFonts w:ascii="宋体" w:hAnsi="宋体" w:eastAsia="宋体"/>
                <w:szCs w:val="21"/>
              </w:rPr>
            </w:pPr>
            <w:r>
              <w:rPr>
                <w:rFonts w:hint="eastAsia" w:ascii="宋体" w:hAnsi="宋体" w:eastAsia="宋体"/>
                <w:szCs w:val="21"/>
              </w:rPr>
              <w:t>20</w:t>
            </w:r>
            <w:r>
              <w:rPr>
                <w:rFonts w:ascii="宋体" w:hAnsi="宋体" w:eastAsia="宋体"/>
                <w:szCs w:val="21"/>
              </w:rPr>
              <w:t>22</w:t>
            </w:r>
            <w:r>
              <w:rPr>
                <w:rFonts w:hint="eastAsia" w:ascii="宋体" w:hAnsi="宋体" w:eastAsia="宋体"/>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1695" w:type="dxa"/>
            <w:vMerge w:val="continue"/>
            <w:vAlign w:val="center"/>
          </w:tcPr>
          <w:p>
            <w:pPr>
              <w:spacing w:line="240" w:lineRule="atLeast"/>
              <w:rPr>
                <w:rFonts w:ascii="宋体" w:hAnsi="宋体" w:eastAsia="宋体"/>
                <w:szCs w:val="21"/>
              </w:rPr>
            </w:pPr>
          </w:p>
        </w:tc>
        <w:tc>
          <w:tcPr>
            <w:tcW w:w="1070" w:type="dxa"/>
            <w:vAlign w:val="center"/>
          </w:tcPr>
          <w:p>
            <w:pPr>
              <w:jc w:val="center"/>
              <w:rPr>
                <w:rFonts w:ascii="宋体" w:hAnsi="宋体" w:eastAsia="宋体"/>
                <w:szCs w:val="21"/>
              </w:rPr>
            </w:pPr>
            <w:r>
              <w:rPr>
                <w:rFonts w:hint="eastAsia" w:ascii="宋体" w:hAnsi="宋体" w:eastAsia="宋体"/>
                <w:szCs w:val="21"/>
              </w:rPr>
              <w:t>发电量</w:t>
            </w:r>
          </w:p>
        </w:tc>
        <w:tc>
          <w:tcPr>
            <w:tcW w:w="1198" w:type="dxa"/>
            <w:vAlign w:val="center"/>
          </w:tcPr>
          <w:p>
            <w:pPr>
              <w:jc w:val="center"/>
              <w:rPr>
                <w:rFonts w:ascii="宋体" w:hAnsi="宋体" w:eastAsia="宋体"/>
                <w:szCs w:val="21"/>
              </w:rPr>
            </w:pPr>
            <w:r>
              <w:rPr>
                <w:rFonts w:hint="eastAsia" w:ascii="宋体" w:hAnsi="宋体" w:eastAsia="宋体"/>
                <w:szCs w:val="21"/>
              </w:rPr>
              <w:t>售电量</w:t>
            </w:r>
          </w:p>
        </w:tc>
        <w:tc>
          <w:tcPr>
            <w:tcW w:w="1134" w:type="dxa"/>
            <w:vAlign w:val="center"/>
          </w:tcPr>
          <w:p>
            <w:pPr>
              <w:jc w:val="center"/>
              <w:rPr>
                <w:rFonts w:ascii="宋体" w:hAnsi="宋体" w:eastAsia="宋体"/>
                <w:szCs w:val="21"/>
              </w:rPr>
            </w:pPr>
            <w:r>
              <w:rPr>
                <w:rFonts w:hint="eastAsia" w:ascii="宋体" w:hAnsi="宋体" w:eastAsia="宋体"/>
                <w:szCs w:val="21"/>
              </w:rPr>
              <w:t>销售收入</w:t>
            </w:r>
          </w:p>
        </w:tc>
        <w:tc>
          <w:tcPr>
            <w:tcW w:w="992" w:type="dxa"/>
            <w:vAlign w:val="center"/>
          </w:tcPr>
          <w:p>
            <w:pPr>
              <w:jc w:val="center"/>
              <w:rPr>
                <w:rFonts w:ascii="宋体" w:hAnsi="宋体" w:eastAsia="宋体"/>
                <w:szCs w:val="21"/>
              </w:rPr>
            </w:pPr>
            <w:r>
              <w:rPr>
                <w:rFonts w:hint="eastAsia" w:ascii="宋体" w:hAnsi="宋体" w:eastAsia="宋体"/>
                <w:szCs w:val="21"/>
              </w:rPr>
              <w:t>销售成本</w:t>
            </w:r>
          </w:p>
        </w:tc>
        <w:tc>
          <w:tcPr>
            <w:tcW w:w="1134" w:type="dxa"/>
            <w:vAlign w:val="center"/>
          </w:tcPr>
          <w:p>
            <w:pPr>
              <w:jc w:val="center"/>
              <w:rPr>
                <w:rFonts w:ascii="宋体" w:hAnsi="宋体" w:eastAsia="宋体"/>
                <w:szCs w:val="21"/>
              </w:rPr>
            </w:pPr>
            <w:r>
              <w:rPr>
                <w:rFonts w:hint="eastAsia" w:ascii="宋体" w:hAnsi="宋体" w:eastAsia="宋体"/>
                <w:szCs w:val="21"/>
              </w:rPr>
              <w:t>发电量</w:t>
            </w:r>
          </w:p>
        </w:tc>
        <w:tc>
          <w:tcPr>
            <w:tcW w:w="1134" w:type="dxa"/>
            <w:vAlign w:val="center"/>
          </w:tcPr>
          <w:p>
            <w:pPr>
              <w:jc w:val="center"/>
              <w:rPr>
                <w:rFonts w:ascii="宋体" w:hAnsi="宋体" w:eastAsia="宋体"/>
                <w:szCs w:val="21"/>
              </w:rPr>
            </w:pPr>
            <w:r>
              <w:rPr>
                <w:rFonts w:hint="eastAsia" w:ascii="宋体" w:hAnsi="宋体" w:eastAsia="宋体"/>
                <w:szCs w:val="21"/>
              </w:rPr>
              <w:t>售电量</w:t>
            </w:r>
          </w:p>
        </w:tc>
        <w:tc>
          <w:tcPr>
            <w:tcW w:w="1044" w:type="dxa"/>
            <w:vAlign w:val="center"/>
          </w:tcPr>
          <w:p>
            <w:pPr>
              <w:jc w:val="center"/>
              <w:rPr>
                <w:rFonts w:ascii="宋体" w:hAnsi="宋体" w:eastAsia="宋体"/>
                <w:szCs w:val="21"/>
              </w:rPr>
            </w:pPr>
            <w:r>
              <w:rPr>
                <w:rFonts w:hint="eastAsia" w:ascii="宋体" w:hAnsi="宋体" w:eastAsia="宋体"/>
                <w:szCs w:val="21"/>
              </w:rPr>
              <w:t>销售收入</w:t>
            </w:r>
          </w:p>
        </w:tc>
        <w:tc>
          <w:tcPr>
            <w:tcW w:w="992" w:type="dxa"/>
            <w:vAlign w:val="center"/>
          </w:tcPr>
          <w:p>
            <w:pPr>
              <w:jc w:val="center"/>
              <w:rPr>
                <w:rFonts w:ascii="宋体" w:hAnsi="宋体" w:eastAsia="宋体"/>
                <w:szCs w:val="21"/>
              </w:rPr>
            </w:pPr>
            <w:r>
              <w:rPr>
                <w:rFonts w:hint="eastAsia" w:ascii="宋体" w:hAnsi="宋体" w:eastAsia="宋体"/>
                <w:szCs w:val="21"/>
              </w:rPr>
              <w:t>销售成本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1695" w:type="dxa"/>
            <w:vMerge w:val="continue"/>
            <w:vAlign w:val="center"/>
          </w:tcPr>
          <w:p>
            <w:pPr>
              <w:spacing w:line="240" w:lineRule="atLeast"/>
              <w:rPr>
                <w:rFonts w:ascii="宋体" w:hAnsi="宋体" w:eastAsia="宋体"/>
                <w:bCs/>
                <w:szCs w:val="21"/>
              </w:rPr>
            </w:pPr>
          </w:p>
        </w:tc>
        <w:tc>
          <w:tcPr>
            <w:tcW w:w="1070" w:type="dxa"/>
            <w:vAlign w:val="center"/>
          </w:tcPr>
          <w:p>
            <w:pPr>
              <w:ind w:left="-105" w:leftChars="-50" w:right="-105" w:rightChars="-50"/>
              <w:jc w:val="center"/>
              <w:rPr>
                <w:rFonts w:ascii="宋体" w:hAnsi="宋体" w:eastAsia="宋体"/>
                <w:spacing w:val="-20"/>
                <w:szCs w:val="21"/>
              </w:rPr>
            </w:pPr>
            <w:r>
              <w:rPr>
                <w:rFonts w:hint="eastAsia" w:ascii="宋体" w:hAnsi="宋体" w:eastAsia="宋体"/>
                <w:spacing w:val="-20"/>
                <w:szCs w:val="21"/>
              </w:rPr>
              <w:t>（万千瓦时）</w:t>
            </w:r>
          </w:p>
        </w:tc>
        <w:tc>
          <w:tcPr>
            <w:tcW w:w="1198" w:type="dxa"/>
            <w:vAlign w:val="center"/>
          </w:tcPr>
          <w:p>
            <w:pPr>
              <w:ind w:left="-105" w:leftChars="-50" w:right="-105" w:rightChars="-50"/>
              <w:jc w:val="center"/>
              <w:rPr>
                <w:rFonts w:ascii="宋体" w:hAnsi="宋体" w:eastAsia="宋体"/>
                <w:spacing w:val="-20"/>
                <w:szCs w:val="21"/>
              </w:rPr>
            </w:pPr>
            <w:r>
              <w:rPr>
                <w:rFonts w:hint="eastAsia" w:ascii="宋体" w:hAnsi="宋体" w:eastAsia="宋体"/>
                <w:spacing w:val="-20"/>
                <w:szCs w:val="21"/>
              </w:rPr>
              <w:t>（万千瓦时）</w:t>
            </w:r>
          </w:p>
        </w:tc>
        <w:tc>
          <w:tcPr>
            <w:tcW w:w="1134" w:type="dxa"/>
            <w:vAlign w:val="center"/>
          </w:tcPr>
          <w:p>
            <w:pPr>
              <w:ind w:left="-105" w:leftChars="-50" w:right="-105" w:rightChars="-50"/>
              <w:jc w:val="center"/>
              <w:rPr>
                <w:rFonts w:ascii="宋体" w:hAnsi="宋体" w:eastAsia="宋体"/>
                <w:spacing w:val="-20"/>
                <w:szCs w:val="21"/>
              </w:rPr>
            </w:pPr>
            <w:r>
              <w:rPr>
                <w:rFonts w:hint="eastAsia" w:ascii="宋体" w:hAnsi="宋体" w:eastAsia="宋体"/>
                <w:spacing w:val="-20"/>
                <w:szCs w:val="21"/>
              </w:rPr>
              <w:t>（百万元）</w:t>
            </w:r>
          </w:p>
        </w:tc>
        <w:tc>
          <w:tcPr>
            <w:tcW w:w="992" w:type="dxa"/>
            <w:vAlign w:val="center"/>
          </w:tcPr>
          <w:p>
            <w:pPr>
              <w:ind w:left="-105" w:leftChars="-50" w:right="-105" w:rightChars="-50"/>
              <w:jc w:val="center"/>
              <w:rPr>
                <w:rFonts w:ascii="宋体" w:hAnsi="宋体" w:eastAsia="宋体"/>
                <w:spacing w:val="-20"/>
                <w:szCs w:val="21"/>
              </w:rPr>
            </w:pPr>
            <w:r>
              <w:rPr>
                <w:rFonts w:hint="eastAsia" w:ascii="宋体" w:hAnsi="宋体" w:eastAsia="宋体"/>
                <w:spacing w:val="-20"/>
                <w:szCs w:val="21"/>
              </w:rPr>
              <w:t>（百万元）</w:t>
            </w:r>
          </w:p>
        </w:tc>
        <w:tc>
          <w:tcPr>
            <w:tcW w:w="1134" w:type="dxa"/>
            <w:vAlign w:val="center"/>
          </w:tcPr>
          <w:p>
            <w:pPr>
              <w:ind w:left="-105" w:leftChars="-50" w:right="-105" w:rightChars="-50"/>
              <w:jc w:val="center"/>
              <w:rPr>
                <w:rFonts w:ascii="宋体" w:hAnsi="宋体" w:eastAsia="宋体"/>
                <w:spacing w:val="-20"/>
                <w:szCs w:val="21"/>
              </w:rPr>
            </w:pPr>
            <w:r>
              <w:rPr>
                <w:rFonts w:hint="eastAsia" w:ascii="宋体" w:hAnsi="宋体" w:eastAsia="宋体"/>
                <w:spacing w:val="-20"/>
                <w:szCs w:val="21"/>
              </w:rPr>
              <w:t>（万千瓦时）</w:t>
            </w:r>
          </w:p>
        </w:tc>
        <w:tc>
          <w:tcPr>
            <w:tcW w:w="1134" w:type="dxa"/>
            <w:vAlign w:val="center"/>
          </w:tcPr>
          <w:p>
            <w:pPr>
              <w:ind w:left="-105" w:leftChars="-50" w:right="-105" w:rightChars="-50"/>
              <w:jc w:val="center"/>
              <w:rPr>
                <w:rFonts w:ascii="宋体" w:hAnsi="宋体" w:eastAsia="宋体"/>
                <w:spacing w:val="-20"/>
                <w:szCs w:val="21"/>
              </w:rPr>
            </w:pPr>
            <w:r>
              <w:rPr>
                <w:rFonts w:hint="eastAsia" w:ascii="宋体" w:hAnsi="宋体" w:eastAsia="宋体"/>
                <w:spacing w:val="-20"/>
                <w:szCs w:val="21"/>
              </w:rPr>
              <w:t>（万千瓦时）</w:t>
            </w:r>
          </w:p>
        </w:tc>
        <w:tc>
          <w:tcPr>
            <w:tcW w:w="1044" w:type="dxa"/>
            <w:vAlign w:val="center"/>
          </w:tcPr>
          <w:p>
            <w:pPr>
              <w:ind w:left="-105" w:leftChars="-50" w:right="-105" w:rightChars="-50"/>
              <w:jc w:val="center"/>
              <w:rPr>
                <w:rFonts w:ascii="宋体" w:hAnsi="宋体" w:eastAsia="宋体"/>
                <w:spacing w:val="-20"/>
                <w:szCs w:val="21"/>
              </w:rPr>
            </w:pPr>
            <w:r>
              <w:rPr>
                <w:rFonts w:hint="eastAsia" w:ascii="宋体" w:hAnsi="宋体" w:eastAsia="宋体"/>
                <w:spacing w:val="-20"/>
                <w:szCs w:val="21"/>
              </w:rPr>
              <w:t>（百万元）</w:t>
            </w:r>
          </w:p>
        </w:tc>
        <w:tc>
          <w:tcPr>
            <w:tcW w:w="992" w:type="dxa"/>
            <w:vAlign w:val="center"/>
          </w:tcPr>
          <w:p>
            <w:pPr>
              <w:ind w:left="-105" w:leftChars="-50" w:right="-105" w:rightChars="-50"/>
              <w:jc w:val="center"/>
              <w:rPr>
                <w:rFonts w:ascii="宋体" w:hAnsi="宋体" w:eastAsia="宋体"/>
                <w:spacing w:val="-20"/>
                <w:szCs w:val="21"/>
              </w:rPr>
            </w:pPr>
            <w:r>
              <w:rPr>
                <w:rFonts w:hint="eastAsia" w:ascii="宋体" w:hAnsi="宋体" w:eastAsia="宋体"/>
                <w:spacing w:val="-20"/>
                <w:szCs w:val="21"/>
              </w:rPr>
              <w:t>（百万元）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1695" w:type="dxa"/>
          </w:tcPr>
          <w:p>
            <w:pPr>
              <w:rPr>
                <w:rFonts w:ascii="宋体" w:hAnsi="宋体" w:eastAsia="宋体"/>
                <w:szCs w:val="21"/>
              </w:rPr>
            </w:pPr>
            <w:r>
              <w:rPr>
                <w:rFonts w:hint="eastAsia" w:ascii="宋体" w:hAnsi="宋体" w:eastAsia="宋体"/>
                <w:szCs w:val="21"/>
              </w:rPr>
              <w:t>一、济三电力</w:t>
            </w:r>
            <w:r>
              <w:rPr>
                <w:rFonts w:hint="eastAsia" w:ascii="宋体" w:hAnsi="宋体" w:eastAsia="宋体"/>
                <w:szCs w:val="21"/>
                <w:vertAlign w:val="superscript"/>
              </w:rPr>
              <w:t>①</w:t>
            </w:r>
          </w:p>
        </w:tc>
        <w:tc>
          <w:tcPr>
            <w:tcW w:w="1070" w:type="dxa"/>
            <w:shd w:val="clear" w:color="auto" w:fill="auto"/>
          </w:tcPr>
          <w:p>
            <w:pPr>
              <w:jc w:val="right"/>
              <w:rPr>
                <w:rFonts w:ascii="宋体" w:hAnsi="宋体" w:eastAsia="宋体"/>
                <w:szCs w:val="21"/>
              </w:rPr>
            </w:pPr>
            <w:r>
              <w:rPr>
                <w:rFonts w:ascii="宋体" w:hAnsi="宋体" w:eastAsia="宋体"/>
                <w:szCs w:val="21"/>
              </w:rPr>
              <w:t xml:space="preserve">148,645 </w:t>
            </w:r>
          </w:p>
        </w:tc>
        <w:tc>
          <w:tcPr>
            <w:tcW w:w="1198" w:type="dxa"/>
            <w:shd w:val="clear" w:color="auto" w:fill="auto"/>
          </w:tcPr>
          <w:p>
            <w:pPr>
              <w:jc w:val="right"/>
              <w:rPr>
                <w:rFonts w:ascii="宋体" w:hAnsi="宋体" w:eastAsia="宋体"/>
                <w:szCs w:val="21"/>
              </w:rPr>
            </w:pPr>
            <w:r>
              <w:rPr>
                <w:rFonts w:ascii="宋体" w:hAnsi="宋体" w:eastAsia="宋体"/>
                <w:szCs w:val="21"/>
              </w:rPr>
              <w:t xml:space="preserve">128,226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539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406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149,911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133,313 </w:t>
            </w:r>
          </w:p>
        </w:tc>
        <w:tc>
          <w:tcPr>
            <w:tcW w:w="1044" w:type="dxa"/>
            <w:shd w:val="clear" w:color="auto" w:fill="auto"/>
          </w:tcPr>
          <w:p>
            <w:pPr>
              <w:jc w:val="right"/>
              <w:rPr>
                <w:rFonts w:ascii="宋体" w:hAnsi="宋体" w:eastAsia="宋体"/>
                <w:szCs w:val="21"/>
              </w:rPr>
            </w:pPr>
            <w:r>
              <w:rPr>
                <w:rFonts w:ascii="宋体" w:hAnsi="宋体" w:eastAsia="宋体"/>
                <w:szCs w:val="21"/>
              </w:rPr>
              <w:t xml:space="preserve">563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423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1695" w:type="dxa"/>
            <w:vAlign w:val="center"/>
          </w:tcPr>
          <w:p>
            <w:pPr>
              <w:rPr>
                <w:rFonts w:ascii="宋体" w:hAnsi="宋体" w:eastAsia="宋体"/>
                <w:szCs w:val="21"/>
              </w:rPr>
            </w:pPr>
            <w:r>
              <w:rPr>
                <w:rFonts w:hint="eastAsia" w:ascii="宋体" w:hAnsi="宋体" w:eastAsia="宋体"/>
                <w:szCs w:val="21"/>
              </w:rPr>
              <w:t>二、菏泽能化</w:t>
            </w:r>
          </w:p>
        </w:tc>
        <w:tc>
          <w:tcPr>
            <w:tcW w:w="1070" w:type="dxa"/>
            <w:shd w:val="clear" w:color="auto" w:fill="auto"/>
          </w:tcPr>
          <w:p>
            <w:pPr>
              <w:jc w:val="right"/>
              <w:rPr>
                <w:rFonts w:ascii="宋体" w:hAnsi="宋体" w:eastAsia="宋体"/>
                <w:szCs w:val="21"/>
              </w:rPr>
            </w:pPr>
            <w:r>
              <w:rPr>
                <w:rFonts w:ascii="宋体" w:hAnsi="宋体" w:eastAsia="宋体"/>
                <w:szCs w:val="21"/>
              </w:rPr>
              <w:t xml:space="preserve">152,175 </w:t>
            </w:r>
          </w:p>
        </w:tc>
        <w:tc>
          <w:tcPr>
            <w:tcW w:w="1198" w:type="dxa"/>
            <w:shd w:val="clear" w:color="auto" w:fill="auto"/>
          </w:tcPr>
          <w:p>
            <w:pPr>
              <w:jc w:val="right"/>
              <w:rPr>
                <w:rFonts w:ascii="宋体" w:hAnsi="宋体" w:eastAsia="宋体"/>
                <w:szCs w:val="21"/>
              </w:rPr>
            </w:pPr>
            <w:r>
              <w:rPr>
                <w:rFonts w:ascii="宋体" w:hAnsi="宋体" w:eastAsia="宋体"/>
                <w:szCs w:val="21"/>
              </w:rPr>
              <w:t xml:space="preserve">135,961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538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448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155,843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140,969 </w:t>
            </w:r>
          </w:p>
        </w:tc>
        <w:tc>
          <w:tcPr>
            <w:tcW w:w="1044" w:type="dxa"/>
            <w:shd w:val="clear" w:color="auto" w:fill="auto"/>
          </w:tcPr>
          <w:p>
            <w:pPr>
              <w:jc w:val="right"/>
              <w:rPr>
                <w:rFonts w:ascii="宋体" w:hAnsi="宋体" w:eastAsia="宋体"/>
                <w:szCs w:val="21"/>
              </w:rPr>
            </w:pPr>
            <w:r>
              <w:rPr>
                <w:rFonts w:ascii="宋体" w:hAnsi="宋体" w:eastAsia="宋体"/>
                <w:szCs w:val="21"/>
              </w:rPr>
              <w:t xml:space="preserve">579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439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1695" w:type="dxa"/>
            <w:shd w:val="clear" w:color="auto" w:fill="auto"/>
            <w:vAlign w:val="center"/>
          </w:tcPr>
          <w:p>
            <w:pPr>
              <w:rPr>
                <w:rFonts w:ascii="宋体" w:hAnsi="宋体" w:eastAsia="宋体"/>
                <w:szCs w:val="21"/>
              </w:rPr>
            </w:pPr>
            <w:r>
              <w:rPr>
                <w:rFonts w:hint="eastAsia" w:ascii="宋体" w:hAnsi="宋体" w:eastAsia="宋体"/>
                <w:szCs w:val="21"/>
              </w:rPr>
              <w:t>三、鲁南化工</w:t>
            </w:r>
            <w:r>
              <w:rPr>
                <w:rFonts w:hint="eastAsia" w:ascii="宋体" w:hAnsi="宋体" w:eastAsia="宋体"/>
                <w:szCs w:val="21"/>
                <w:vertAlign w:val="superscript"/>
              </w:rPr>
              <w:t>②</w:t>
            </w:r>
          </w:p>
        </w:tc>
        <w:tc>
          <w:tcPr>
            <w:tcW w:w="1070" w:type="dxa"/>
            <w:shd w:val="clear" w:color="auto" w:fill="auto"/>
          </w:tcPr>
          <w:p>
            <w:pPr>
              <w:jc w:val="right"/>
              <w:rPr>
                <w:rFonts w:ascii="宋体" w:hAnsi="宋体" w:eastAsia="宋体"/>
                <w:szCs w:val="21"/>
              </w:rPr>
            </w:pPr>
            <w:r>
              <w:rPr>
                <w:rFonts w:ascii="宋体" w:hAnsi="宋体" w:eastAsia="宋体"/>
                <w:szCs w:val="21"/>
              </w:rPr>
              <w:t xml:space="preserve">33,170 </w:t>
            </w:r>
          </w:p>
        </w:tc>
        <w:tc>
          <w:tcPr>
            <w:tcW w:w="1198" w:type="dxa"/>
            <w:shd w:val="clear" w:color="auto" w:fill="auto"/>
          </w:tcPr>
          <w:p>
            <w:pPr>
              <w:jc w:val="right"/>
              <w:rPr>
                <w:rFonts w:ascii="宋体" w:hAnsi="宋体" w:eastAsia="宋体"/>
                <w:szCs w:val="21"/>
              </w:rPr>
            </w:pPr>
            <w:r>
              <w:rPr>
                <w:rFonts w:ascii="宋体" w:hAnsi="宋体" w:eastAsia="宋体"/>
                <w:szCs w:val="21"/>
              </w:rPr>
              <w:t xml:space="preserve">25,167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88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74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36,894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30,812 </w:t>
            </w:r>
          </w:p>
        </w:tc>
        <w:tc>
          <w:tcPr>
            <w:tcW w:w="1044" w:type="dxa"/>
            <w:shd w:val="clear" w:color="auto" w:fill="auto"/>
          </w:tcPr>
          <w:p>
            <w:pPr>
              <w:jc w:val="right"/>
              <w:rPr>
                <w:rFonts w:ascii="宋体" w:hAnsi="宋体" w:eastAsia="宋体"/>
                <w:szCs w:val="21"/>
              </w:rPr>
            </w:pPr>
            <w:r>
              <w:rPr>
                <w:rFonts w:ascii="宋体" w:hAnsi="宋体" w:eastAsia="宋体"/>
                <w:szCs w:val="21"/>
              </w:rPr>
              <w:t xml:space="preserve">112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1695" w:type="dxa"/>
            <w:shd w:val="clear" w:color="auto" w:fill="auto"/>
            <w:vAlign w:val="center"/>
          </w:tcPr>
          <w:p>
            <w:pPr>
              <w:rPr>
                <w:rFonts w:ascii="宋体" w:hAnsi="宋体" w:eastAsia="宋体"/>
                <w:szCs w:val="21"/>
              </w:rPr>
            </w:pPr>
            <w:r>
              <w:rPr>
                <w:rFonts w:hint="eastAsia" w:ascii="宋体" w:hAnsi="宋体" w:eastAsia="宋体"/>
                <w:szCs w:val="21"/>
              </w:rPr>
              <w:t>四、榆林能化</w:t>
            </w:r>
          </w:p>
        </w:tc>
        <w:tc>
          <w:tcPr>
            <w:tcW w:w="1070" w:type="dxa"/>
            <w:shd w:val="clear" w:color="auto" w:fill="auto"/>
          </w:tcPr>
          <w:p>
            <w:pPr>
              <w:jc w:val="right"/>
              <w:rPr>
                <w:rFonts w:ascii="宋体" w:hAnsi="宋体" w:eastAsia="宋体"/>
                <w:szCs w:val="21"/>
              </w:rPr>
            </w:pPr>
            <w:r>
              <w:rPr>
                <w:rFonts w:ascii="宋体" w:hAnsi="宋体" w:eastAsia="宋体"/>
                <w:szCs w:val="21"/>
              </w:rPr>
              <w:t xml:space="preserve">19,369 </w:t>
            </w:r>
          </w:p>
        </w:tc>
        <w:tc>
          <w:tcPr>
            <w:tcW w:w="1198" w:type="dxa"/>
            <w:shd w:val="clear" w:color="auto" w:fill="auto"/>
          </w:tcPr>
          <w:p>
            <w:pPr>
              <w:jc w:val="right"/>
              <w:rPr>
                <w:rFonts w:ascii="宋体" w:hAnsi="宋体" w:eastAsia="宋体"/>
                <w:szCs w:val="21"/>
              </w:rPr>
            </w:pPr>
            <w:r>
              <w:rPr>
                <w:rFonts w:ascii="宋体" w:hAnsi="宋体" w:eastAsia="宋体"/>
                <w:szCs w:val="21"/>
              </w:rPr>
              <w:t xml:space="preserve">17,074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42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42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19,971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16,389 </w:t>
            </w:r>
          </w:p>
        </w:tc>
        <w:tc>
          <w:tcPr>
            <w:tcW w:w="1044" w:type="dxa"/>
            <w:shd w:val="clear" w:color="auto" w:fill="auto"/>
          </w:tcPr>
          <w:p>
            <w:pPr>
              <w:jc w:val="right"/>
              <w:rPr>
                <w:rFonts w:ascii="宋体" w:hAnsi="宋体" w:eastAsia="宋体"/>
                <w:szCs w:val="21"/>
              </w:rPr>
            </w:pPr>
            <w:r>
              <w:rPr>
                <w:rFonts w:ascii="宋体" w:hAnsi="宋体" w:eastAsia="宋体"/>
                <w:szCs w:val="21"/>
              </w:rPr>
              <w:t xml:space="preserve">39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1695" w:type="dxa"/>
            <w:shd w:val="clear" w:color="auto" w:fill="auto"/>
          </w:tcPr>
          <w:p>
            <w:pPr>
              <w:rPr>
                <w:rFonts w:ascii="宋体" w:hAnsi="宋体" w:eastAsia="宋体"/>
                <w:szCs w:val="21"/>
              </w:rPr>
            </w:pPr>
            <w:r>
              <w:rPr>
                <w:rFonts w:hint="eastAsia" w:ascii="宋体" w:hAnsi="宋体" w:eastAsia="宋体"/>
                <w:szCs w:val="21"/>
              </w:rPr>
              <w:t>五、未来能源</w:t>
            </w:r>
          </w:p>
        </w:tc>
        <w:tc>
          <w:tcPr>
            <w:tcW w:w="1070" w:type="dxa"/>
            <w:shd w:val="clear" w:color="auto" w:fill="auto"/>
          </w:tcPr>
          <w:p>
            <w:pPr>
              <w:jc w:val="right"/>
              <w:rPr>
                <w:rFonts w:ascii="宋体" w:hAnsi="宋体" w:eastAsia="宋体"/>
                <w:szCs w:val="21"/>
              </w:rPr>
            </w:pPr>
            <w:r>
              <w:rPr>
                <w:rFonts w:ascii="宋体" w:hAnsi="宋体" w:eastAsia="宋体"/>
                <w:szCs w:val="21"/>
              </w:rPr>
              <w:t xml:space="preserve">111,659 </w:t>
            </w:r>
          </w:p>
        </w:tc>
        <w:tc>
          <w:tcPr>
            <w:tcW w:w="1198" w:type="dxa"/>
            <w:shd w:val="clear" w:color="auto" w:fill="auto"/>
          </w:tcPr>
          <w:p>
            <w:pPr>
              <w:jc w:val="right"/>
              <w:rPr>
                <w:rFonts w:ascii="宋体" w:hAnsi="宋体" w:eastAsia="宋体"/>
                <w:szCs w:val="21"/>
              </w:rPr>
            </w:pPr>
            <w:r>
              <w:rPr>
                <w:rFonts w:ascii="宋体" w:hAnsi="宋体" w:eastAsia="宋体"/>
                <w:szCs w:val="21"/>
              </w:rPr>
              <w:t xml:space="preserve">39,636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112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144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105,527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35,839 </w:t>
            </w:r>
          </w:p>
        </w:tc>
        <w:tc>
          <w:tcPr>
            <w:tcW w:w="1044" w:type="dxa"/>
            <w:shd w:val="clear" w:color="auto" w:fill="auto"/>
          </w:tcPr>
          <w:p>
            <w:pPr>
              <w:jc w:val="right"/>
              <w:rPr>
                <w:rFonts w:ascii="宋体" w:hAnsi="宋体" w:eastAsia="宋体"/>
                <w:szCs w:val="21"/>
              </w:rPr>
            </w:pPr>
            <w:r>
              <w:rPr>
                <w:rFonts w:ascii="宋体" w:hAnsi="宋体" w:eastAsia="宋体"/>
                <w:szCs w:val="21"/>
              </w:rPr>
              <w:t xml:space="preserve">96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1695" w:type="dxa"/>
            <w:shd w:val="clear" w:color="auto" w:fill="auto"/>
          </w:tcPr>
          <w:p>
            <w:pPr>
              <w:rPr>
                <w:rFonts w:ascii="宋体" w:hAnsi="宋体" w:eastAsia="宋体"/>
                <w:szCs w:val="21"/>
              </w:rPr>
            </w:pPr>
            <w:r>
              <w:rPr>
                <w:rFonts w:hint="eastAsia" w:ascii="宋体" w:hAnsi="宋体" w:eastAsia="宋体"/>
                <w:szCs w:val="21"/>
              </w:rPr>
              <w:t>六、内蒙古矿业</w:t>
            </w:r>
          </w:p>
        </w:tc>
        <w:tc>
          <w:tcPr>
            <w:tcW w:w="1070" w:type="dxa"/>
            <w:shd w:val="clear" w:color="auto" w:fill="auto"/>
          </w:tcPr>
          <w:p>
            <w:pPr>
              <w:jc w:val="right"/>
              <w:rPr>
                <w:rFonts w:ascii="宋体" w:hAnsi="宋体" w:eastAsia="宋体"/>
                <w:szCs w:val="21"/>
              </w:rPr>
            </w:pPr>
            <w:r>
              <w:rPr>
                <w:rFonts w:ascii="宋体" w:hAnsi="宋体" w:eastAsia="宋体"/>
                <w:szCs w:val="21"/>
              </w:rPr>
              <w:t xml:space="preserve">375,333 </w:t>
            </w:r>
          </w:p>
        </w:tc>
        <w:tc>
          <w:tcPr>
            <w:tcW w:w="1198" w:type="dxa"/>
            <w:shd w:val="clear" w:color="auto" w:fill="auto"/>
          </w:tcPr>
          <w:p>
            <w:pPr>
              <w:jc w:val="right"/>
              <w:rPr>
                <w:rFonts w:ascii="宋体" w:hAnsi="宋体" w:eastAsia="宋体"/>
                <w:szCs w:val="21"/>
              </w:rPr>
            </w:pPr>
            <w:r>
              <w:rPr>
                <w:rFonts w:ascii="宋体" w:hAnsi="宋体" w:eastAsia="宋体"/>
                <w:szCs w:val="21"/>
              </w:rPr>
              <w:t xml:space="preserve">364,657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1,269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1,237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369,107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369,106 </w:t>
            </w:r>
          </w:p>
        </w:tc>
        <w:tc>
          <w:tcPr>
            <w:tcW w:w="1044" w:type="dxa"/>
            <w:shd w:val="clear" w:color="auto" w:fill="auto"/>
          </w:tcPr>
          <w:p>
            <w:pPr>
              <w:jc w:val="right"/>
              <w:rPr>
                <w:rFonts w:ascii="宋体" w:hAnsi="宋体" w:eastAsia="宋体"/>
                <w:szCs w:val="21"/>
              </w:rPr>
            </w:pPr>
            <w:r>
              <w:rPr>
                <w:rFonts w:ascii="宋体" w:hAnsi="宋体" w:eastAsia="宋体"/>
                <w:szCs w:val="21"/>
              </w:rPr>
              <w:t xml:space="preserve">1,334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1,156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12" w:hRule="atLeast"/>
          <w:jc w:val="center"/>
        </w:trPr>
        <w:tc>
          <w:tcPr>
            <w:tcW w:w="1695" w:type="dxa"/>
            <w:shd w:val="clear" w:color="auto" w:fill="auto"/>
            <w:vAlign w:val="center"/>
          </w:tcPr>
          <w:p>
            <w:pPr>
              <w:jc w:val="center"/>
              <w:rPr>
                <w:rFonts w:ascii="宋体" w:hAnsi="宋体" w:eastAsia="宋体"/>
                <w:szCs w:val="21"/>
              </w:rPr>
            </w:pPr>
            <w:r>
              <w:rPr>
                <w:rFonts w:hint="eastAsia" w:ascii="宋体" w:hAnsi="宋体" w:eastAsia="宋体"/>
                <w:szCs w:val="21"/>
              </w:rPr>
              <w:t>合计</w:t>
            </w:r>
          </w:p>
        </w:tc>
        <w:tc>
          <w:tcPr>
            <w:tcW w:w="1070" w:type="dxa"/>
            <w:shd w:val="clear" w:color="auto" w:fill="auto"/>
          </w:tcPr>
          <w:p>
            <w:pPr>
              <w:jc w:val="right"/>
              <w:rPr>
                <w:rFonts w:ascii="宋体" w:hAnsi="宋体" w:eastAsia="宋体"/>
                <w:szCs w:val="21"/>
              </w:rPr>
            </w:pPr>
            <w:r>
              <w:rPr>
                <w:rFonts w:ascii="宋体" w:hAnsi="宋体" w:eastAsia="宋体"/>
                <w:szCs w:val="21"/>
              </w:rPr>
              <w:t xml:space="preserve">840,351 </w:t>
            </w:r>
          </w:p>
        </w:tc>
        <w:tc>
          <w:tcPr>
            <w:tcW w:w="1198" w:type="dxa"/>
            <w:shd w:val="clear" w:color="auto" w:fill="auto"/>
          </w:tcPr>
          <w:p>
            <w:pPr>
              <w:jc w:val="right"/>
              <w:rPr>
                <w:rFonts w:ascii="宋体" w:hAnsi="宋体" w:eastAsia="宋体"/>
                <w:szCs w:val="21"/>
              </w:rPr>
            </w:pPr>
            <w:r>
              <w:rPr>
                <w:rFonts w:ascii="宋体" w:hAnsi="宋体" w:eastAsia="宋体"/>
                <w:szCs w:val="21"/>
              </w:rPr>
              <w:t xml:space="preserve">710,722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2,589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2,351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837,252 </w:t>
            </w:r>
          </w:p>
        </w:tc>
        <w:tc>
          <w:tcPr>
            <w:tcW w:w="1134" w:type="dxa"/>
            <w:shd w:val="clear" w:color="auto" w:fill="auto"/>
          </w:tcPr>
          <w:p>
            <w:pPr>
              <w:jc w:val="right"/>
              <w:rPr>
                <w:rFonts w:ascii="宋体" w:hAnsi="宋体" w:eastAsia="宋体"/>
                <w:szCs w:val="21"/>
              </w:rPr>
            </w:pPr>
            <w:r>
              <w:rPr>
                <w:rFonts w:ascii="宋体" w:hAnsi="宋体" w:eastAsia="宋体"/>
                <w:szCs w:val="21"/>
              </w:rPr>
              <w:t xml:space="preserve">726,428 </w:t>
            </w:r>
          </w:p>
        </w:tc>
        <w:tc>
          <w:tcPr>
            <w:tcW w:w="1044" w:type="dxa"/>
            <w:shd w:val="clear" w:color="auto" w:fill="auto"/>
          </w:tcPr>
          <w:p>
            <w:pPr>
              <w:jc w:val="right"/>
              <w:rPr>
                <w:rFonts w:ascii="宋体" w:hAnsi="宋体" w:eastAsia="宋体"/>
                <w:szCs w:val="21"/>
              </w:rPr>
            </w:pPr>
            <w:r>
              <w:rPr>
                <w:rFonts w:ascii="宋体" w:hAnsi="宋体" w:eastAsia="宋体"/>
                <w:szCs w:val="21"/>
              </w:rPr>
              <w:t xml:space="preserve">2,724 </w:t>
            </w:r>
          </w:p>
        </w:tc>
        <w:tc>
          <w:tcPr>
            <w:tcW w:w="992" w:type="dxa"/>
            <w:shd w:val="clear" w:color="auto" w:fill="auto"/>
          </w:tcPr>
          <w:p>
            <w:pPr>
              <w:jc w:val="right"/>
              <w:rPr>
                <w:rFonts w:ascii="宋体" w:hAnsi="宋体" w:eastAsia="宋体"/>
                <w:szCs w:val="21"/>
              </w:rPr>
            </w:pPr>
            <w:r>
              <w:rPr>
                <w:rFonts w:ascii="宋体" w:hAnsi="宋体" w:eastAsia="宋体"/>
                <w:szCs w:val="21"/>
              </w:rPr>
              <w:t xml:space="preserve">2,238 </w:t>
            </w:r>
          </w:p>
        </w:tc>
      </w:tr>
    </w:tbl>
    <w:p>
      <w:pPr>
        <w:ind w:firstLine="420" w:firstLineChars="200"/>
        <w:rPr>
          <w:rFonts w:ascii="宋体" w:hAnsi="宋体"/>
        </w:rPr>
      </w:pPr>
      <w:bookmarkStart w:id="34" w:name="_Hlk160607301"/>
      <w:r>
        <w:rPr>
          <w:rFonts w:hint="eastAsia" w:ascii="宋体" w:hAnsi="宋体"/>
        </w:rPr>
        <w:t>注：</w:t>
      </w:r>
    </w:p>
    <w:p>
      <w:pPr>
        <w:ind w:firstLine="420" w:firstLineChars="200"/>
        <w:rPr>
          <w:rFonts w:ascii="宋体" w:hAnsi="宋体"/>
        </w:rPr>
      </w:pPr>
      <w:r>
        <w:rPr>
          <w:rFonts w:hint="eastAsia" w:ascii="宋体" w:hAnsi="宋体"/>
        </w:rPr>
        <w:t>①济三电力是指山东兖矿济三电力有限公司。</w:t>
      </w:r>
    </w:p>
    <w:bookmarkEnd w:id="34"/>
    <w:p>
      <w:pPr>
        <w:ind w:firstLine="420" w:firstLineChars="200"/>
        <w:rPr>
          <w:rFonts w:ascii="宋体" w:hAnsi="宋体"/>
        </w:rPr>
      </w:pPr>
      <w:r>
        <w:rPr>
          <w:rFonts w:hint="eastAsia" w:ascii="宋体" w:hAnsi="宋体"/>
        </w:rPr>
        <w:t>②鲁南化工电力业务销售成本同比增加，主要是由于：报告期内发电机组检修，影响成本同比增加。</w:t>
      </w:r>
    </w:p>
    <w:bookmarkEnd w:id="26"/>
    <w:p>
      <w:pPr>
        <w:ind w:firstLine="420" w:firstLineChars="200"/>
        <w:rPr>
          <w:rFonts w:ascii="宋体" w:hAnsi="宋体"/>
        </w:rPr>
      </w:pPr>
    </w:p>
    <w:p>
      <w:pPr>
        <w:keepNext/>
        <w:keepLines/>
        <w:numPr>
          <w:ilvl w:val="0"/>
          <w:numId w:val="8"/>
        </w:numPr>
        <w:spacing w:before="60" w:after="60"/>
        <w:ind w:left="369" w:hanging="369" w:hangingChars="175"/>
        <w:outlineLvl w:val="2"/>
      </w:pPr>
      <w:r>
        <w:rPr>
          <w:rFonts w:hint="eastAsia"/>
          <w:b/>
          <w:bCs/>
        </w:rPr>
        <w:t>主营业务分析</w:t>
      </w:r>
    </w:p>
    <w:p>
      <w:pPr>
        <w:pStyle w:val="5"/>
        <w:numPr>
          <w:ilvl w:val="0"/>
          <w:numId w:val="9"/>
        </w:numPr>
        <w:rPr>
          <w:rFonts w:ascii="宋体" w:hAnsi="宋体" w:eastAsia="宋体"/>
        </w:rPr>
      </w:pPr>
      <w:r>
        <w:rPr>
          <w:rFonts w:ascii="宋体" w:hAnsi="宋体" w:eastAsia="宋体"/>
        </w:rPr>
        <w:t>利润表及现金流量表相关科目变动分析表</w:t>
      </w:r>
    </w:p>
    <w:p>
      <w:pPr>
        <w:pStyle w:val="55"/>
        <w:ind w:left="360" w:firstLine="0" w:firstLineChars="0"/>
        <w:jc w:val="right"/>
        <w:rPr>
          <w:rFonts w:ascii="宋体" w:hAnsi="宋体"/>
        </w:rPr>
      </w:pPr>
      <w:r>
        <w:rPr>
          <w:rFonts w:hint="eastAsia" w:ascii="宋体" w:hAnsi="宋体"/>
          <w:szCs w:val="21"/>
        </w:rPr>
        <w:t>单位</w:t>
      </w:r>
      <w:r>
        <w:rPr>
          <w:rFonts w:ascii="宋体" w:hAnsi="宋体"/>
          <w:szCs w:val="21"/>
        </w:rPr>
        <w:t>：</w:t>
      </w:r>
      <w:bookmarkStart w:id="35" w:name="_Hlk89098131"/>
      <w:bookmarkStart w:id="36" w:name="_Hlk10208083"/>
      <w:sdt>
        <w:sdtPr>
          <w:rPr>
            <w:rFonts w:ascii="宋体" w:hAnsi="宋体"/>
            <w:szCs w:val="21"/>
          </w:rPr>
          <w:alias w:val="单位：利润表及现金流量表相关科目变动分析表"/>
          <w:tag w:val="_GBC_a5fffb3a862348719225255f65c5850b"/>
          <w:id w:val="17112311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szCs w:val="21"/>
          </w:rPr>
        </w:sdtEndPr>
        <w:sdtContent>
          <w:r>
            <w:rPr>
              <w:rFonts w:ascii="宋体" w:hAnsi="宋体"/>
              <w:szCs w:val="21"/>
            </w:rPr>
            <w:t>百万元</w:t>
          </w:r>
        </w:sdtContent>
      </w:sdt>
      <w:r>
        <w:rPr>
          <w:rFonts w:hint="eastAsia" w:ascii="宋体" w:hAnsi="宋体"/>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9067552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szCs w:val="21"/>
          </w:rPr>
        </w:sdtEndPr>
        <w:sdtContent>
          <w:r>
            <w:rPr>
              <w:rFonts w:hint="eastAsia" w:ascii="宋体" w:hAnsi="宋体"/>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126"/>
        <w:gridCol w:w="198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e184eafc8be3478d9fc8a544274385f7"/>
            <w:id w:val="-1680426306"/>
          </w:sdtPr>
          <w:sdtEndPr>
            <w:rPr>
              <w:rFonts w:ascii="宋体" w:hAnsi="宋体"/>
            </w:rPr>
          </w:sdtEndPr>
          <w:sdtContent>
            <w:tc>
              <w:tcPr>
                <w:tcW w:w="1707" w:type="pct"/>
              </w:tcPr>
              <w:p>
                <w:pPr>
                  <w:pStyle w:val="55"/>
                  <w:ind w:firstLine="0" w:firstLineChars="0"/>
                  <w:rPr>
                    <w:rFonts w:ascii="宋体" w:hAnsi="宋体"/>
                    <w:szCs w:val="21"/>
                  </w:rPr>
                </w:pPr>
                <w:bookmarkStart w:id="37" w:name="_Hlk10208057"/>
                <w:r>
                  <w:rPr>
                    <w:rFonts w:hint="eastAsia" w:ascii="宋体" w:hAnsi="宋体"/>
                    <w:szCs w:val="21"/>
                  </w:rPr>
                  <w:t>科目</w:t>
                </w:r>
              </w:p>
            </w:tc>
          </w:sdtContent>
        </w:sdt>
        <w:sdt>
          <w:sdtPr>
            <w:rPr>
              <w:rFonts w:ascii="宋体" w:hAnsi="宋体"/>
            </w:rPr>
            <w:tag w:val="_PLD_c49cd176da60479fbcfeedd35cc9f509"/>
            <w:id w:val="1913966966"/>
          </w:sdtPr>
          <w:sdtEndPr>
            <w:rPr>
              <w:rFonts w:ascii="宋体" w:hAnsi="宋体"/>
            </w:rPr>
          </w:sdtEndPr>
          <w:sdtContent>
            <w:tc>
              <w:tcPr>
                <w:tcW w:w="1176" w:type="pct"/>
                <w:vAlign w:val="center"/>
              </w:tcPr>
              <w:p>
                <w:pPr>
                  <w:pStyle w:val="55"/>
                  <w:ind w:firstLine="0" w:firstLineChars="0"/>
                  <w:jc w:val="center"/>
                  <w:rPr>
                    <w:rFonts w:ascii="宋体" w:hAnsi="宋体"/>
                    <w:szCs w:val="21"/>
                  </w:rPr>
                </w:pPr>
                <w:r>
                  <w:rPr>
                    <w:rFonts w:hint="eastAsia" w:ascii="宋体" w:hAnsi="宋体"/>
                    <w:szCs w:val="21"/>
                  </w:rPr>
                  <w:t>本期数</w:t>
                </w:r>
              </w:p>
            </w:tc>
          </w:sdtContent>
        </w:sdt>
        <w:sdt>
          <w:sdtPr>
            <w:rPr>
              <w:rFonts w:ascii="宋体" w:hAnsi="宋体"/>
            </w:rPr>
            <w:tag w:val="_PLD_0b6df7534554463db9f304bbe9b6a71e"/>
            <w:id w:val="63462309"/>
          </w:sdtPr>
          <w:sdtEndPr>
            <w:rPr>
              <w:rFonts w:ascii="宋体" w:hAnsi="宋体"/>
            </w:rPr>
          </w:sdtEndPr>
          <w:sdtContent>
            <w:tc>
              <w:tcPr>
                <w:tcW w:w="1098" w:type="pct"/>
                <w:vAlign w:val="center"/>
              </w:tcPr>
              <w:p>
                <w:pPr>
                  <w:pStyle w:val="55"/>
                  <w:ind w:firstLine="0" w:firstLineChars="0"/>
                  <w:jc w:val="center"/>
                  <w:rPr>
                    <w:rFonts w:ascii="宋体" w:hAnsi="宋体"/>
                    <w:szCs w:val="21"/>
                  </w:rPr>
                </w:pPr>
                <w:r>
                  <w:rPr>
                    <w:rFonts w:hint="eastAsia" w:ascii="宋体" w:hAnsi="宋体"/>
                    <w:szCs w:val="21"/>
                  </w:rPr>
                  <w:t>上年同期数</w:t>
                </w:r>
              </w:p>
            </w:tc>
          </w:sdtContent>
        </w:sdt>
        <w:sdt>
          <w:sdtPr>
            <w:rPr>
              <w:rFonts w:ascii="宋体" w:hAnsi="宋体"/>
            </w:rPr>
            <w:tag w:val="_PLD_a903eeff1728490ba821c9389249303c"/>
            <w:id w:val="851919257"/>
          </w:sdtPr>
          <w:sdtEndPr>
            <w:rPr>
              <w:rFonts w:ascii="宋体" w:hAnsi="宋体"/>
            </w:rPr>
          </w:sdtEndPr>
          <w:sdtContent>
            <w:tc>
              <w:tcPr>
                <w:tcW w:w="1019" w:type="pct"/>
                <w:vAlign w:val="center"/>
              </w:tcPr>
              <w:p>
                <w:pPr>
                  <w:pStyle w:val="55"/>
                  <w:ind w:firstLine="0" w:firstLineChars="0"/>
                  <w:jc w:val="center"/>
                  <w:rPr>
                    <w:rFonts w:ascii="宋体" w:hAnsi="宋体"/>
                    <w:szCs w:val="21"/>
                  </w:rPr>
                </w:pPr>
                <w:r>
                  <w:rPr>
                    <w:rFonts w:hint="eastAsia" w:ascii="宋体" w:hAnsi="宋体"/>
                    <w:szCs w:val="21"/>
                  </w:rPr>
                  <w:t>变动比例（%）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宋体" w:hAnsi="宋体"/>
                <w:szCs w:val="21"/>
              </w:rPr>
            </w:pPr>
            <w:r>
              <w:rPr>
                <w:rFonts w:hint="eastAsia" w:ascii="宋体" w:hAnsi="宋体"/>
                <w:szCs w:val="21"/>
              </w:rPr>
              <w:t>营业收入</w:t>
            </w:r>
          </w:p>
        </w:tc>
        <w:tc>
          <w:tcPr>
            <w:tcW w:w="1176" w:type="pct"/>
            <w:tcBorders>
              <w:bottom w:val="single" w:color="auto" w:sz="4" w:space="0"/>
            </w:tcBorders>
          </w:tcPr>
          <w:p>
            <w:pPr>
              <w:pStyle w:val="55"/>
              <w:ind w:firstLine="0" w:firstLineChars="0"/>
              <w:jc w:val="right"/>
              <w:rPr>
                <w:rFonts w:ascii="宋体" w:hAnsi="宋体"/>
              </w:rPr>
            </w:pPr>
            <w:r>
              <w:rPr>
                <w:rFonts w:ascii="宋体" w:hAnsi="宋体"/>
              </w:rPr>
              <w:t xml:space="preserve">150,025 </w:t>
            </w:r>
          </w:p>
        </w:tc>
        <w:tc>
          <w:tcPr>
            <w:tcW w:w="1098" w:type="pct"/>
            <w:tcBorders>
              <w:bottom w:val="single" w:color="auto" w:sz="4" w:space="0"/>
            </w:tcBorders>
          </w:tcPr>
          <w:p>
            <w:pPr>
              <w:pStyle w:val="55"/>
              <w:ind w:firstLine="0" w:firstLineChars="0"/>
              <w:jc w:val="right"/>
              <w:rPr>
                <w:rFonts w:ascii="宋体" w:hAnsi="宋体"/>
              </w:rPr>
            </w:pPr>
            <w:r>
              <w:rPr>
                <w:rFonts w:ascii="宋体" w:hAnsi="宋体"/>
              </w:rPr>
              <w:t xml:space="preserve">224,973 </w:t>
            </w:r>
          </w:p>
        </w:tc>
        <w:tc>
          <w:tcPr>
            <w:tcW w:w="1019" w:type="pct"/>
            <w:tcBorders>
              <w:bottom w:val="single" w:color="auto" w:sz="4" w:space="0"/>
            </w:tcBorders>
          </w:tcPr>
          <w:p>
            <w:pPr>
              <w:pStyle w:val="55"/>
              <w:ind w:firstLine="0" w:firstLineChars="0"/>
              <w:jc w:val="right"/>
              <w:rPr>
                <w:rFonts w:ascii="宋体" w:hAnsi="宋体"/>
              </w:rPr>
            </w:pPr>
            <w:r>
              <w:rPr>
                <w:rFonts w:ascii="宋体" w:hAnsi="宋体"/>
              </w:rPr>
              <w:t xml:space="preserve">-33.31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宋体" w:hAnsi="宋体"/>
                <w:szCs w:val="21"/>
              </w:rPr>
            </w:pPr>
            <w:r>
              <w:rPr>
                <w:rFonts w:ascii="宋体" w:hAnsi="宋体"/>
                <w:szCs w:val="21"/>
              </w:rPr>
              <w:t>营业成本</w:t>
            </w:r>
          </w:p>
        </w:tc>
        <w:tc>
          <w:tcPr>
            <w:tcW w:w="1176" w:type="pct"/>
            <w:tcBorders>
              <w:bottom w:val="single" w:color="auto" w:sz="4" w:space="0"/>
            </w:tcBorders>
          </w:tcPr>
          <w:p>
            <w:pPr>
              <w:pStyle w:val="55"/>
              <w:ind w:firstLine="0" w:firstLineChars="0"/>
              <w:jc w:val="right"/>
              <w:rPr>
                <w:rFonts w:ascii="宋体" w:hAnsi="宋体"/>
              </w:rPr>
            </w:pPr>
            <w:r>
              <w:rPr>
                <w:rFonts w:ascii="宋体" w:hAnsi="宋体"/>
              </w:rPr>
              <w:t xml:space="preserve">89,061 </w:t>
            </w:r>
          </w:p>
        </w:tc>
        <w:tc>
          <w:tcPr>
            <w:tcW w:w="1098" w:type="pct"/>
            <w:tcBorders>
              <w:bottom w:val="single" w:color="auto" w:sz="4" w:space="0"/>
            </w:tcBorders>
          </w:tcPr>
          <w:p>
            <w:pPr>
              <w:pStyle w:val="55"/>
              <w:ind w:firstLine="0" w:firstLineChars="0"/>
              <w:jc w:val="right"/>
              <w:rPr>
                <w:rFonts w:ascii="宋体" w:hAnsi="宋体"/>
              </w:rPr>
            </w:pPr>
            <w:r>
              <w:rPr>
                <w:rFonts w:ascii="宋体" w:hAnsi="宋体"/>
              </w:rPr>
              <w:t xml:space="preserve">129,487 </w:t>
            </w:r>
          </w:p>
        </w:tc>
        <w:tc>
          <w:tcPr>
            <w:tcW w:w="1019" w:type="pct"/>
            <w:tcBorders>
              <w:bottom w:val="single" w:color="auto" w:sz="4" w:space="0"/>
            </w:tcBorders>
          </w:tcPr>
          <w:p>
            <w:pPr>
              <w:pStyle w:val="55"/>
              <w:ind w:firstLine="0" w:firstLineChars="0"/>
              <w:jc w:val="right"/>
              <w:rPr>
                <w:rFonts w:ascii="宋体" w:hAnsi="宋体"/>
              </w:rPr>
            </w:pPr>
            <w:r>
              <w:rPr>
                <w:rFonts w:ascii="宋体" w:hAnsi="宋体"/>
              </w:rPr>
              <w:t xml:space="preserve">-31.22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宋体" w:hAnsi="宋体"/>
                <w:szCs w:val="21"/>
              </w:rPr>
            </w:pPr>
            <w:r>
              <w:rPr>
                <w:rFonts w:ascii="宋体" w:hAnsi="宋体"/>
                <w:szCs w:val="21"/>
              </w:rPr>
              <w:t>销售费用</w:t>
            </w:r>
          </w:p>
        </w:tc>
        <w:tc>
          <w:tcPr>
            <w:tcW w:w="1176" w:type="pct"/>
            <w:tcBorders>
              <w:bottom w:val="single" w:color="auto" w:sz="4" w:space="0"/>
            </w:tcBorders>
            <w:vAlign w:val="center"/>
          </w:tcPr>
          <w:p>
            <w:pPr>
              <w:pStyle w:val="55"/>
              <w:ind w:firstLine="0" w:firstLineChars="0"/>
              <w:jc w:val="right"/>
              <w:rPr>
                <w:rFonts w:ascii="宋体" w:hAnsi="宋体"/>
              </w:rPr>
            </w:pPr>
            <w:r>
              <w:rPr>
                <w:rFonts w:ascii="宋体" w:hAnsi="宋体"/>
              </w:rPr>
              <w:t xml:space="preserve">5,002 </w:t>
            </w:r>
          </w:p>
        </w:tc>
        <w:tc>
          <w:tcPr>
            <w:tcW w:w="1098" w:type="pct"/>
            <w:tcBorders>
              <w:bottom w:val="single" w:color="auto" w:sz="4" w:space="0"/>
            </w:tcBorders>
            <w:vAlign w:val="center"/>
          </w:tcPr>
          <w:p>
            <w:pPr>
              <w:pStyle w:val="55"/>
              <w:ind w:firstLine="0" w:firstLineChars="0"/>
              <w:jc w:val="right"/>
              <w:rPr>
                <w:rFonts w:ascii="宋体" w:hAnsi="宋体"/>
              </w:rPr>
            </w:pPr>
            <w:r>
              <w:rPr>
                <w:rFonts w:ascii="宋体" w:hAnsi="宋体"/>
              </w:rPr>
              <w:t xml:space="preserve">6,835 </w:t>
            </w:r>
          </w:p>
        </w:tc>
        <w:tc>
          <w:tcPr>
            <w:tcW w:w="1019" w:type="pct"/>
            <w:tcBorders>
              <w:bottom w:val="single" w:color="auto" w:sz="4" w:space="0"/>
            </w:tcBorders>
            <w:vAlign w:val="center"/>
          </w:tcPr>
          <w:p>
            <w:pPr>
              <w:pStyle w:val="55"/>
              <w:ind w:firstLine="0" w:firstLineChars="0"/>
              <w:jc w:val="right"/>
              <w:rPr>
                <w:rFonts w:ascii="宋体" w:hAnsi="宋体"/>
              </w:rPr>
            </w:pPr>
            <w:r>
              <w:rPr>
                <w:rFonts w:ascii="宋体" w:hAnsi="宋体"/>
              </w:rPr>
              <w:t xml:space="preserve">-26.82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宋体" w:hAnsi="宋体"/>
                <w:szCs w:val="21"/>
              </w:rPr>
            </w:pPr>
            <w:r>
              <w:rPr>
                <w:rFonts w:ascii="宋体" w:hAnsi="宋体"/>
                <w:szCs w:val="21"/>
              </w:rPr>
              <w:t>管理费用</w:t>
            </w:r>
          </w:p>
        </w:tc>
        <w:tc>
          <w:tcPr>
            <w:tcW w:w="1176" w:type="pct"/>
            <w:tcBorders>
              <w:top w:val="single" w:color="auto" w:sz="4" w:space="0"/>
            </w:tcBorders>
            <w:vAlign w:val="center"/>
          </w:tcPr>
          <w:p>
            <w:pPr>
              <w:pStyle w:val="55"/>
              <w:ind w:firstLine="0" w:firstLineChars="0"/>
              <w:jc w:val="right"/>
              <w:rPr>
                <w:rFonts w:ascii="宋体" w:hAnsi="宋体"/>
              </w:rPr>
            </w:pPr>
            <w:r>
              <w:rPr>
                <w:rFonts w:ascii="宋体" w:hAnsi="宋体"/>
              </w:rPr>
              <w:t xml:space="preserve">8,482 </w:t>
            </w:r>
          </w:p>
        </w:tc>
        <w:tc>
          <w:tcPr>
            <w:tcW w:w="1098" w:type="pct"/>
            <w:tcBorders>
              <w:top w:val="single" w:color="auto" w:sz="4" w:space="0"/>
            </w:tcBorders>
            <w:vAlign w:val="center"/>
          </w:tcPr>
          <w:p>
            <w:pPr>
              <w:pStyle w:val="55"/>
              <w:ind w:firstLine="0" w:firstLineChars="0"/>
              <w:jc w:val="right"/>
              <w:rPr>
                <w:rFonts w:ascii="宋体" w:hAnsi="宋体"/>
              </w:rPr>
            </w:pPr>
            <w:r>
              <w:rPr>
                <w:rFonts w:ascii="宋体" w:hAnsi="宋体"/>
              </w:rPr>
              <w:t xml:space="preserve">8,615 </w:t>
            </w:r>
          </w:p>
        </w:tc>
        <w:tc>
          <w:tcPr>
            <w:tcW w:w="1019" w:type="pct"/>
            <w:tcBorders>
              <w:top w:val="single" w:color="auto" w:sz="4" w:space="0"/>
            </w:tcBorders>
            <w:vAlign w:val="center"/>
          </w:tcPr>
          <w:p>
            <w:pPr>
              <w:pStyle w:val="55"/>
              <w:ind w:firstLine="0" w:firstLineChars="0"/>
              <w:jc w:val="right"/>
              <w:rPr>
                <w:rFonts w:ascii="宋体" w:hAnsi="宋体"/>
              </w:rPr>
            </w:pPr>
            <w:r>
              <w:rPr>
                <w:rFonts w:ascii="宋体" w:hAnsi="宋体"/>
              </w:rPr>
              <w:t xml:space="preserve">-1.55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宋体" w:hAnsi="宋体"/>
                <w:szCs w:val="21"/>
              </w:rPr>
            </w:pPr>
            <w:r>
              <w:rPr>
                <w:rFonts w:ascii="宋体" w:hAnsi="宋体"/>
                <w:szCs w:val="21"/>
              </w:rPr>
              <w:t>财务费用</w:t>
            </w:r>
          </w:p>
        </w:tc>
        <w:tc>
          <w:tcPr>
            <w:tcW w:w="1176" w:type="pct"/>
            <w:vAlign w:val="center"/>
          </w:tcPr>
          <w:p>
            <w:pPr>
              <w:pStyle w:val="55"/>
              <w:ind w:firstLine="0" w:firstLineChars="0"/>
              <w:jc w:val="right"/>
              <w:rPr>
                <w:rFonts w:ascii="宋体" w:hAnsi="宋体"/>
              </w:rPr>
            </w:pPr>
            <w:r>
              <w:rPr>
                <w:rFonts w:ascii="宋体" w:hAnsi="宋体"/>
              </w:rPr>
              <w:t xml:space="preserve">3,904 </w:t>
            </w:r>
          </w:p>
        </w:tc>
        <w:tc>
          <w:tcPr>
            <w:tcW w:w="1098" w:type="pct"/>
            <w:vAlign w:val="center"/>
          </w:tcPr>
          <w:p>
            <w:pPr>
              <w:pStyle w:val="55"/>
              <w:ind w:firstLine="0" w:firstLineChars="0"/>
              <w:jc w:val="right"/>
              <w:rPr>
                <w:rFonts w:ascii="宋体" w:hAnsi="宋体"/>
              </w:rPr>
            </w:pPr>
            <w:r>
              <w:rPr>
                <w:rFonts w:ascii="宋体" w:hAnsi="宋体"/>
              </w:rPr>
              <w:t xml:space="preserve">6,113 </w:t>
            </w:r>
          </w:p>
        </w:tc>
        <w:tc>
          <w:tcPr>
            <w:tcW w:w="1019" w:type="pct"/>
            <w:vAlign w:val="center"/>
          </w:tcPr>
          <w:p>
            <w:pPr>
              <w:pStyle w:val="55"/>
              <w:ind w:firstLine="0" w:firstLineChars="0"/>
              <w:jc w:val="right"/>
              <w:rPr>
                <w:rFonts w:ascii="宋体" w:hAnsi="宋体"/>
              </w:rPr>
            </w:pPr>
            <w:r>
              <w:rPr>
                <w:rFonts w:ascii="宋体" w:hAnsi="宋体"/>
              </w:rPr>
              <w:t xml:space="preserve">-36.13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宋体" w:hAnsi="宋体"/>
                <w:szCs w:val="21"/>
              </w:rPr>
            </w:pPr>
            <w:r>
              <w:rPr>
                <w:rFonts w:hint="eastAsia" w:ascii="宋体" w:hAnsi="宋体"/>
                <w:szCs w:val="21"/>
              </w:rPr>
              <w:t>研发费用</w:t>
            </w:r>
          </w:p>
        </w:tc>
        <w:tc>
          <w:tcPr>
            <w:tcW w:w="1176" w:type="pct"/>
            <w:vAlign w:val="center"/>
          </w:tcPr>
          <w:p>
            <w:pPr>
              <w:pStyle w:val="55"/>
              <w:ind w:firstLine="0" w:firstLineChars="0"/>
              <w:jc w:val="right"/>
              <w:rPr>
                <w:rFonts w:ascii="宋体" w:hAnsi="宋体"/>
              </w:rPr>
            </w:pPr>
            <w:r>
              <w:rPr>
                <w:rFonts w:ascii="宋体" w:hAnsi="宋体"/>
              </w:rPr>
              <w:t xml:space="preserve">2,907 </w:t>
            </w:r>
          </w:p>
        </w:tc>
        <w:tc>
          <w:tcPr>
            <w:tcW w:w="1098" w:type="pct"/>
            <w:vAlign w:val="center"/>
          </w:tcPr>
          <w:p>
            <w:pPr>
              <w:pStyle w:val="55"/>
              <w:ind w:firstLine="0" w:firstLineChars="0"/>
              <w:jc w:val="right"/>
              <w:rPr>
                <w:rFonts w:ascii="宋体" w:hAnsi="宋体"/>
              </w:rPr>
            </w:pPr>
            <w:r>
              <w:rPr>
                <w:rFonts w:ascii="宋体" w:hAnsi="宋体"/>
              </w:rPr>
              <w:t xml:space="preserve">2,926 </w:t>
            </w:r>
          </w:p>
        </w:tc>
        <w:tc>
          <w:tcPr>
            <w:tcW w:w="1019" w:type="pct"/>
            <w:vAlign w:val="center"/>
          </w:tcPr>
          <w:p>
            <w:pPr>
              <w:pStyle w:val="55"/>
              <w:ind w:firstLine="0" w:firstLineChars="0"/>
              <w:jc w:val="right"/>
              <w:rPr>
                <w:rFonts w:ascii="宋体" w:hAnsi="宋体"/>
              </w:rPr>
            </w:pPr>
            <w:r>
              <w:rPr>
                <w:rFonts w:ascii="宋体" w:hAnsi="宋体"/>
              </w:rPr>
              <w:t xml:space="preserve">-0.67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707" w:type="pct"/>
          </w:tcPr>
          <w:p>
            <w:pPr>
              <w:pStyle w:val="55"/>
              <w:ind w:firstLine="0" w:firstLineChars="0"/>
              <w:rPr>
                <w:rFonts w:ascii="宋体" w:hAnsi="宋体"/>
                <w:szCs w:val="21"/>
              </w:rPr>
            </w:pPr>
            <w:r>
              <w:rPr>
                <w:rFonts w:ascii="宋体" w:hAnsi="宋体"/>
                <w:szCs w:val="21"/>
              </w:rPr>
              <w:t>经营活动产生的现金流量净额</w:t>
            </w:r>
          </w:p>
        </w:tc>
        <w:tc>
          <w:tcPr>
            <w:tcW w:w="1176" w:type="pct"/>
            <w:vAlign w:val="center"/>
          </w:tcPr>
          <w:p>
            <w:pPr>
              <w:pStyle w:val="55"/>
              <w:ind w:firstLine="0" w:firstLineChars="0"/>
              <w:jc w:val="right"/>
              <w:rPr>
                <w:rFonts w:ascii="宋体" w:hAnsi="宋体"/>
              </w:rPr>
            </w:pPr>
            <w:r>
              <w:rPr>
                <w:rFonts w:ascii="宋体" w:hAnsi="宋体"/>
              </w:rPr>
              <w:t xml:space="preserve">16,168 </w:t>
            </w:r>
          </w:p>
        </w:tc>
        <w:tc>
          <w:tcPr>
            <w:tcW w:w="1098" w:type="pct"/>
            <w:vAlign w:val="center"/>
          </w:tcPr>
          <w:p>
            <w:pPr>
              <w:pStyle w:val="55"/>
              <w:ind w:firstLine="0" w:firstLineChars="0"/>
              <w:jc w:val="right"/>
              <w:rPr>
                <w:rFonts w:ascii="宋体" w:hAnsi="宋体"/>
              </w:rPr>
            </w:pPr>
            <w:r>
              <w:rPr>
                <w:rFonts w:ascii="宋体" w:hAnsi="宋体"/>
              </w:rPr>
              <w:t xml:space="preserve">58,920 </w:t>
            </w:r>
          </w:p>
        </w:tc>
        <w:tc>
          <w:tcPr>
            <w:tcW w:w="1019" w:type="pct"/>
            <w:vAlign w:val="center"/>
          </w:tcPr>
          <w:p>
            <w:pPr>
              <w:pStyle w:val="55"/>
              <w:ind w:firstLine="0" w:firstLineChars="0"/>
              <w:jc w:val="right"/>
              <w:rPr>
                <w:rFonts w:ascii="宋体" w:hAnsi="宋体"/>
              </w:rPr>
            </w:pPr>
            <w:r>
              <w:rPr>
                <w:rFonts w:ascii="宋体" w:hAnsi="宋体"/>
              </w:rPr>
              <w:t xml:space="preserve">-72.56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宋体" w:hAnsi="宋体"/>
                <w:szCs w:val="21"/>
              </w:rPr>
            </w:pPr>
            <w:r>
              <w:rPr>
                <w:rFonts w:ascii="宋体" w:hAnsi="宋体"/>
                <w:szCs w:val="21"/>
              </w:rPr>
              <w:t>投资活动产生的现金流量净额</w:t>
            </w:r>
          </w:p>
        </w:tc>
        <w:tc>
          <w:tcPr>
            <w:tcW w:w="1176" w:type="pct"/>
            <w:vAlign w:val="center"/>
          </w:tcPr>
          <w:p>
            <w:pPr>
              <w:pStyle w:val="55"/>
              <w:ind w:firstLine="0" w:firstLineChars="0"/>
              <w:jc w:val="right"/>
              <w:rPr>
                <w:rFonts w:ascii="宋体" w:hAnsi="宋体"/>
              </w:rPr>
            </w:pPr>
            <w:r>
              <w:rPr>
                <w:rFonts w:ascii="宋体" w:hAnsi="宋体"/>
              </w:rPr>
              <w:t>-12,203</w:t>
            </w:r>
          </w:p>
        </w:tc>
        <w:tc>
          <w:tcPr>
            <w:tcW w:w="1098" w:type="pct"/>
            <w:vAlign w:val="center"/>
          </w:tcPr>
          <w:p>
            <w:pPr>
              <w:pStyle w:val="55"/>
              <w:ind w:firstLine="0" w:firstLineChars="0"/>
              <w:jc w:val="right"/>
              <w:rPr>
                <w:rFonts w:ascii="宋体" w:hAnsi="宋体"/>
              </w:rPr>
            </w:pPr>
            <w:r>
              <w:rPr>
                <w:rFonts w:ascii="宋体" w:hAnsi="宋体"/>
              </w:rPr>
              <w:t xml:space="preserve">-14,935 </w:t>
            </w:r>
          </w:p>
        </w:tc>
        <w:tc>
          <w:tcPr>
            <w:tcW w:w="1019" w:type="pct"/>
            <w:vAlign w:val="center"/>
          </w:tcPr>
          <w:p>
            <w:pPr>
              <w:pStyle w:val="55"/>
              <w:ind w:firstLine="0" w:firstLineChars="0"/>
              <w:jc w:val="right"/>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宋体" w:hAnsi="宋体"/>
                <w:szCs w:val="21"/>
              </w:rPr>
            </w:pPr>
            <w:r>
              <w:rPr>
                <w:rFonts w:ascii="宋体" w:hAnsi="宋体"/>
                <w:szCs w:val="21"/>
              </w:rPr>
              <w:t>筹资活动产生的现金流量净额</w:t>
            </w:r>
          </w:p>
        </w:tc>
        <w:tc>
          <w:tcPr>
            <w:tcW w:w="1176" w:type="pct"/>
          </w:tcPr>
          <w:p>
            <w:pPr>
              <w:pStyle w:val="55"/>
              <w:ind w:firstLine="0" w:firstLineChars="0"/>
              <w:jc w:val="right"/>
              <w:rPr>
                <w:rFonts w:ascii="宋体" w:hAnsi="宋体"/>
              </w:rPr>
            </w:pPr>
            <w:r>
              <w:rPr>
                <w:rFonts w:ascii="宋体" w:hAnsi="宋体"/>
              </w:rPr>
              <w:t xml:space="preserve">-32,513 </w:t>
            </w:r>
          </w:p>
        </w:tc>
        <w:tc>
          <w:tcPr>
            <w:tcW w:w="1098" w:type="pct"/>
          </w:tcPr>
          <w:p>
            <w:pPr>
              <w:pStyle w:val="55"/>
              <w:ind w:firstLine="0" w:firstLineChars="0"/>
              <w:jc w:val="right"/>
              <w:rPr>
                <w:rFonts w:ascii="宋体" w:hAnsi="宋体"/>
              </w:rPr>
            </w:pPr>
            <w:r>
              <w:rPr>
                <w:rFonts w:ascii="宋体" w:hAnsi="宋体"/>
              </w:rPr>
              <w:t xml:space="preserve">-46,289 </w:t>
            </w:r>
          </w:p>
        </w:tc>
        <w:tc>
          <w:tcPr>
            <w:tcW w:w="1019" w:type="pct"/>
            <w:vAlign w:val="center"/>
          </w:tcPr>
          <w:p>
            <w:pPr>
              <w:pStyle w:val="55"/>
              <w:ind w:firstLine="0" w:firstLineChars="0"/>
              <w:jc w:val="right"/>
              <w:rPr>
                <w:rFonts w:ascii="宋体" w:hAnsi="宋体"/>
              </w:rPr>
            </w:pPr>
            <w:r>
              <w:rPr>
                <w:rFonts w:hint="eastAsia" w:ascii="宋体" w:hAnsi="宋体"/>
              </w:rPr>
              <w:t>-</w:t>
            </w:r>
            <w:r>
              <w:rPr>
                <w:rFonts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55"/>
              <w:ind w:firstLine="0" w:firstLineChars="0"/>
              <w:rPr>
                <w:rFonts w:ascii="宋体" w:hAnsi="宋体"/>
                <w:szCs w:val="21"/>
              </w:rPr>
            </w:pPr>
            <w:r>
              <w:rPr>
                <w:rFonts w:hint="eastAsia" w:ascii="宋体" w:hAnsi="宋体"/>
                <w:szCs w:val="21"/>
              </w:rPr>
              <w:t>所得税费用</w:t>
            </w:r>
          </w:p>
        </w:tc>
        <w:tc>
          <w:tcPr>
            <w:tcW w:w="1176" w:type="pct"/>
            <w:vAlign w:val="center"/>
          </w:tcPr>
          <w:p>
            <w:pPr>
              <w:pStyle w:val="55"/>
              <w:ind w:firstLine="0" w:firstLineChars="0"/>
              <w:jc w:val="right"/>
              <w:rPr>
                <w:rFonts w:ascii="宋体" w:hAnsi="宋体"/>
              </w:rPr>
            </w:pPr>
            <w:r>
              <w:rPr>
                <w:rFonts w:ascii="宋体" w:hAnsi="宋体"/>
              </w:rPr>
              <w:t xml:space="preserve">9,857 </w:t>
            </w:r>
          </w:p>
        </w:tc>
        <w:tc>
          <w:tcPr>
            <w:tcW w:w="1098" w:type="pct"/>
            <w:vAlign w:val="center"/>
          </w:tcPr>
          <w:p>
            <w:pPr>
              <w:pStyle w:val="55"/>
              <w:ind w:firstLine="0" w:firstLineChars="0"/>
              <w:jc w:val="right"/>
              <w:rPr>
                <w:rFonts w:ascii="宋体" w:hAnsi="宋体"/>
              </w:rPr>
            </w:pPr>
            <w:r>
              <w:rPr>
                <w:rFonts w:ascii="宋体" w:hAnsi="宋体"/>
              </w:rPr>
              <w:t xml:space="preserve">16,112 </w:t>
            </w:r>
          </w:p>
        </w:tc>
        <w:tc>
          <w:tcPr>
            <w:tcW w:w="1019" w:type="pct"/>
            <w:vAlign w:val="center"/>
          </w:tcPr>
          <w:p>
            <w:pPr>
              <w:pStyle w:val="55"/>
              <w:ind w:firstLine="0" w:firstLineChars="0"/>
              <w:jc w:val="right"/>
              <w:rPr>
                <w:rFonts w:ascii="宋体" w:hAnsi="宋体"/>
              </w:rPr>
            </w:pPr>
            <w:r>
              <w:rPr>
                <w:rFonts w:ascii="宋体" w:hAnsi="宋体"/>
              </w:rPr>
              <w:t xml:space="preserve">-38.82 </w:t>
            </w:r>
          </w:p>
        </w:tc>
      </w:tr>
      <w:bookmarkEnd w:id="37"/>
    </w:tbl>
    <w:p>
      <w:pPr>
        <w:pStyle w:val="55"/>
        <w:rPr>
          <w:rFonts w:ascii="宋体" w:hAnsi="宋体"/>
        </w:rPr>
      </w:pPr>
      <w:r>
        <w:rPr>
          <w:rFonts w:hint="eastAsia" w:ascii="宋体" w:hAnsi="宋体"/>
        </w:rPr>
        <w:t>营业收入变动原因说明：</w:t>
      </w:r>
      <w:sdt>
        <w:sdtPr>
          <w:rPr>
            <w:rFonts w:ascii="宋体" w:hAnsi="宋体"/>
            <w:szCs w:val="21"/>
          </w:rPr>
          <w:alias w:val="营业收入变动原因说明"/>
          <w:tag w:val="_GBC_02f544181db247728469e929886776a1"/>
          <w:id w:val="-329054022"/>
          <w:placeholder>
            <w:docPart w:val="GBC22222222222222222222222222222"/>
          </w:placeholder>
        </w:sdtPr>
        <w:sdtEndPr>
          <w:rPr>
            <w:rFonts w:ascii="宋体" w:hAnsi="宋体"/>
            <w:szCs w:val="21"/>
          </w:rPr>
        </w:sdtEndPr>
        <w:sdtContent>
          <w:r>
            <w:rPr>
              <w:rFonts w:hint="eastAsia" w:ascii="宋体" w:hAnsi="宋体"/>
              <w:szCs w:val="21"/>
            </w:rPr>
            <w:t>①非煤贸易业务收入同比减少</w:t>
          </w:r>
          <w:r>
            <w:rPr>
              <w:rFonts w:ascii="宋体" w:hAnsi="宋体"/>
              <w:szCs w:val="21"/>
            </w:rPr>
            <w:t>310.30</w:t>
          </w:r>
          <w:r>
            <w:rPr>
              <w:rFonts w:hint="eastAsia" w:ascii="宋体" w:hAnsi="宋体"/>
              <w:szCs w:val="21"/>
            </w:rPr>
            <w:t>亿元；②煤炭业务收入同比减少</w:t>
          </w:r>
          <w:r>
            <w:rPr>
              <w:rFonts w:ascii="宋体" w:hAnsi="宋体"/>
              <w:szCs w:val="21"/>
            </w:rPr>
            <w:t>439.71</w:t>
          </w:r>
          <w:r>
            <w:rPr>
              <w:rFonts w:hint="eastAsia" w:ascii="宋体" w:hAnsi="宋体"/>
              <w:szCs w:val="21"/>
            </w:rPr>
            <w:t>亿元。</w:t>
          </w:r>
        </w:sdtContent>
      </w:sdt>
    </w:p>
    <w:p>
      <w:pPr>
        <w:pStyle w:val="55"/>
        <w:rPr>
          <w:rFonts w:ascii="宋体" w:hAnsi="宋体"/>
        </w:rPr>
      </w:pPr>
      <w:r>
        <w:rPr>
          <w:rFonts w:hint="eastAsia" w:ascii="宋体" w:hAnsi="宋体"/>
        </w:rPr>
        <w:t>营业成本变动原因说明：非煤贸易业务成本同比减少</w:t>
      </w:r>
      <w:r>
        <w:rPr>
          <w:rFonts w:ascii="宋体" w:hAnsi="宋体"/>
        </w:rPr>
        <w:t>309.75</w:t>
      </w:r>
      <w:r>
        <w:rPr>
          <w:rFonts w:hint="eastAsia" w:ascii="宋体" w:hAnsi="宋体"/>
        </w:rPr>
        <w:t>亿元。</w:t>
      </w:r>
    </w:p>
    <w:p>
      <w:pPr>
        <w:pStyle w:val="55"/>
        <w:rPr>
          <w:rFonts w:ascii="宋体" w:hAnsi="宋体"/>
        </w:rPr>
      </w:pPr>
      <w:r>
        <w:rPr>
          <w:rFonts w:hint="eastAsia" w:ascii="宋体" w:hAnsi="宋体"/>
        </w:rPr>
        <w:t>销售费用变动原因说明：</w:t>
      </w:r>
      <w:sdt>
        <w:sdtPr>
          <w:rPr>
            <w:rFonts w:hint="eastAsia" w:ascii="宋体" w:hAnsi="宋体"/>
          </w:rPr>
          <w:alias w:val="销售费用变动原因说明"/>
          <w:tag w:val="_GBC_c5a5f680c2ee494fb0392b5c43f82ada"/>
          <w:id w:val="45336307"/>
          <w:placeholder>
            <w:docPart w:val="GBC22222222222222222222222222222"/>
          </w:placeholder>
        </w:sdtPr>
        <w:sdtEndPr>
          <w:rPr>
            <w:rFonts w:hint="eastAsia" w:ascii="宋体" w:hAnsi="宋体"/>
          </w:rPr>
        </w:sdtEndPr>
        <w:sdtContent>
          <w:r>
            <w:rPr>
              <w:rFonts w:hint="eastAsia" w:ascii="宋体" w:hAnsi="宋体"/>
            </w:rPr>
            <w:t>兖煤澳洲、兖煤国际与销售价格挂钩的开采权使用费同比减少</w:t>
          </w:r>
          <w:r>
            <w:rPr>
              <w:rFonts w:ascii="宋体" w:hAnsi="宋体"/>
            </w:rPr>
            <w:t>16.43</w:t>
          </w:r>
          <w:r>
            <w:rPr>
              <w:rFonts w:hint="eastAsia" w:ascii="宋体" w:hAnsi="宋体"/>
            </w:rPr>
            <w:t>亿元。</w:t>
          </w:r>
        </w:sdtContent>
      </w:sdt>
    </w:p>
    <w:p>
      <w:pPr>
        <w:pStyle w:val="55"/>
        <w:rPr>
          <w:rFonts w:ascii="宋体" w:hAnsi="宋体"/>
        </w:rPr>
      </w:pPr>
      <w:r>
        <w:rPr>
          <w:rFonts w:hint="eastAsia" w:ascii="宋体" w:hAnsi="宋体"/>
        </w:rPr>
        <w:t>财务费用变动原因说明：</w:t>
      </w:r>
      <w:sdt>
        <w:sdtPr>
          <w:rPr>
            <w:rFonts w:hint="eastAsia" w:ascii="宋体" w:hAnsi="宋体"/>
          </w:rPr>
          <w:alias w:val="财务费用变动原因说明"/>
          <w:tag w:val="_GBC_ae0e447440184dbb94565c35b97d07a6"/>
          <w:id w:val="-1135406027"/>
          <w:placeholder>
            <w:docPart w:val="GBC22222222222222222222222222222"/>
          </w:placeholder>
        </w:sdtPr>
        <w:sdtEndPr>
          <w:rPr>
            <w:rFonts w:hint="eastAsia" w:ascii="宋体" w:hAnsi="宋体"/>
          </w:rPr>
        </w:sdtEndPr>
        <w:sdtContent>
          <w:r>
            <w:rPr>
              <w:rFonts w:hint="eastAsia" w:ascii="宋体" w:hAnsi="宋体"/>
            </w:rPr>
            <w:t>利息费用同比减少。</w:t>
          </w:r>
        </w:sdtContent>
      </w:sdt>
    </w:p>
    <w:p>
      <w:pPr>
        <w:pStyle w:val="55"/>
        <w:rPr>
          <w:rFonts w:ascii="宋体" w:hAnsi="宋体"/>
        </w:rPr>
      </w:pPr>
      <w:r>
        <w:rPr>
          <w:rFonts w:ascii="宋体" w:hAnsi="宋体"/>
          <w:szCs w:val="21"/>
        </w:rPr>
        <w:t>经营活动产生的现金流量净额</w:t>
      </w:r>
      <w:r>
        <w:rPr>
          <w:rFonts w:hint="eastAsia" w:ascii="宋体" w:hAnsi="宋体"/>
          <w:szCs w:val="21"/>
        </w:rPr>
        <w:t>变动原因说明：</w:t>
      </w:r>
      <w:sdt>
        <w:sdtPr>
          <w:rPr>
            <w:rFonts w:hint="eastAsia" w:ascii="宋体" w:hAnsi="宋体"/>
            <w:szCs w:val="21"/>
          </w:rPr>
          <w:alias w:val="经营活动产生的现金流量净额变动原因说明"/>
          <w:tag w:val="_GBC_5968661d4f024738ae5c039168b68a45"/>
          <w:id w:val="-2087908232"/>
          <w:placeholder>
            <w:docPart w:val="GBC22222222222222222222222222222"/>
          </w:placeholder>
        </w:sdtPr>
        <w:sdtEndPr>
          <w:rPr>
            <w:rFonts w:hint="eastAsia" w:ascii="宋体" w:hAnsi="宋体"/>
            <w:szCs w:val="21"/>
          </w:rPr>
        </w:sdtEndPr>
        <w:sdtContent>
          <w:r>
            <w:rPr>
              <w:rFonts w:hint="eastAsia" w:ascii="宋体" w:hAnsi="宋体"/>
              <w:szCs w:val="21"/>
            </w:rPr>
            <w:t>山能财司对外提供存贷款等金融服务净额同比增加</w:t>
          </w:r>
          <w:r>
            <w:rPr>
              <w:rFonts w:ascii="宋体" w:hAnsi="宋体"/>
              <w:szCs w:val="21"/>
            </w:rPr>
            <w:t>16.85</w:t>
          </w:r>
          <w:r>
            <w:rPr>
              <w:rFonts w:hint="eastAsia" w:ascii="宋体" w:hAnsi="宋体"/>
              <w:szCs w:val="21"/>
            </w:rPr>
            <w:t>亿元，剔除财务公司对经营活动现金流的影响后，本集团经营活动现金流净额为</w:t>
          </w:r>
          <w:r>
            <w:rPr>
              <w:rFonts w:ascii="宋体" w:hAnsi="宋体"/>
              <w:szCs w:val="21"/>
            </w:rPr>
            <w:t>264.63</w:t>
          </w:r>
          <w:r>
            <w:rPr>
              <w:rFonts w:hint="eastAsia" w:ascii="宋体" w:hAnsi="宋体"/>
              <w:szCs w:val="21"/>
            </w:rPr>
            <w:t>亿元，同比减少</w:t>
          </w:r>
          <w:r>
            <w:rPr>
              <w:rFonts w:ascii="宋体" w:hAnsi="宋体"/>
              <w:szCs w:val="21"/>
            </w:rPr>
            <w:t>444.37</w:t>
          </w:r>
          <w:r>
            <w:rPr>
              <w:rFonts w:hint="eastAsia" w:ascii="宋体" w:hAnsi="宋体"/>
              <w:szCs w:val="21"/>
            </w:rPr>
            <w:t>亿元。主要是由于：①销售商品、提供劳务收到的现金同比减少</w:t>
          </w:r>
          <w:r>
            <w:rPr>
              <w:rFonts w:ascii="宋体" w:hAnsi="宋体"/>
              <w:szCs w:val="21"/>
            </w:rPr>
            <w:t>299.75</w:t>
          </w:r>
          <w:r>
            <w:rPr>
              <w:rFonts w:hint="eastAsia" w:ascii="宋体" w:hAnsi="宋体"/>
              <w:szCs w:val="21"/>
            </w:rPr>
            <w:t>亿元；②购买商品、接受劳务支付的现金同比增加6</w:t>
          </w:r>
          <w:r>
            <w:rPr>
              <w:rFonts w:ascii="宋体" w:hAnsi="宋体"/>
              <w:szCs w:val="21"/>
            </w:rPr>
            <w:t>5.80</w:t>
          </w:r>
          <w:r>
            <w:rPr>
              <w:rFonts w:hint="eastAsia" w:ascii="宋体" w:hAnsi="宋体"/>
              <w:szCs w:val="21"/>
            </w:rPr>
            <w:t>亿元。</w:t>
          </w:r>
        </w:sdtContent>
      </w:sdt>
    </w:p>
    <w:p>
      <w:pPr>
        <w:pStyle w:val="55"/>
        <w:rPr>
          <w:rFonts w:ascii="宋体" w:hAnsi="宋体"/>
          <w:szCs w:val="21"/>
        </w:rPr>
      </w:pPr>
      <w:r>
        <w:rPr>
          <w:rFonts w:hint="eastAsia" w:ascii="宋体" w:hAnsi="宋体"/>
          <w:szCs w:val="21"/>
        </w:rPr>
        <w:t>筹资活动产生的现金流量净额变动说明：偿还债务所支付的现金同比减少1</w:t>
      </w:r>
      <w:r>
        <w:rPr>
          <w:rFonts w:ascii="宋体" w:hAnsi="宋体"/>
          <w:szCs w:val="21"/>
        </w:rPr>
        <w:t>10.76</w:t>
      </w:r>
      <w:r>
        <w:rPr>
          <w:rFonts w:hint="eastAsia" w:ascii="宋体" w:hAnsi="宋体"/>
          <w:szCs w:val="21"/>
        </w:rPr>
        <w:t>亿元。</w:t>
      </w:r>
    </w:p>
    <w:sdt>
      <w:sdtPr>
        <w:rPr>
          <w:rFonts w:hint="eastAsia" w:ascii="宋体" w:hAnsi="宋体"/>
          <w:szCs w:val="21"/>
        </w:rPr>
        <w:alias w:val="利润表及现金流量表相关科目变动分析"/>
        <w:tag w:val="_TUP_5989ae500ae74401876a819076b8f108"/>
        <w:id w:val="1887527516"/>
        <w:placeholder>
          <w:docPart w:val="GBC22222222222222222222222222222"/>
        </w:placeholder>
      </w:sdtPr>
      <w:sdtEndPr>
        <w:rPr>
          <w:rFonts w:hint="eastAsia" w:ascii="宋体" w:hAnsi="宋体"/>
          <w:szCs w:val="21"/>
        </w:rPr>
      </w:sdtEndPr>
      <w:sdtContent>
        <w:p>
          <w:pPr>
            <w:pStyle w:val="55"/>
            <w:rPr>
              <w:rFonts w:ascii="宋体" w:hAnsi="宋体" w:cs="宋体"/>
              <w:kern w:val="0"/>
              <w:szCs w:val="24"/>
            </w:rPr>
          </w:pPr>
          <w:sdt>
            <w:sdtPr>
              <w:rPr>
                <w:rFonts w:hint="eastAsia" w:ascii="宋体" w:hAnsi="宋体"/>
                <w:szCs w:val="21"/>
              </w:rPr>
              <w:alias w:val="利润表及现金流量表相关科目变动分析-科目名称"/>
              <w:tag w:val="_GBC_6a3b5b3ab1e744efb8a1a528ee1c5244"/>
              <w:id w:val="-1721743204"/>
              <w:placeholder>
                <w:docPart w:val="GBC22222222222222222222222222222"/>
              </w:placeholder>
            </w:sdtPr>
            <w:sdtEndPr>
              <w:rPr>
                <w:rFonts w:hint="eastAsia" w:ascii="宋体" w:hAnsi="宋体"/>
                <w:szCs w:val="21"/>
              </w:rPr>
            </w:sdtEndPr>
            <w:sdtContent>
              <w:r>
                <w:rPr>
                  <w:rFonts w:hint="eastAsia" w:ascii="宋体" w:hAnsi="宋体"/>
                  <w:szCs w:val="21"/>
                </w:rPr>
                <w:t>所得税费用</w:t>
              </w:r>
            </w:sdtContent>
          </w:sdt>
          <w:r>
            <w:rPr>
              <w:rFonts w:hint="eastAsia" w:ascii="宋体" w:hAnsi="宋体"/>
              <w:szCs w:val="21"/>
            </w:rPr>
            <w:t>变动原因说明：</w:t>
          </w:r>
          <w:sdt>
            <w:sdtPr>
              <w:rPr>
                <w:rFonts w:hint="eastAsia" w:ascii="宋体" w:hAnsi="宋体"/>
                <w:szCs w:val="21"/>
              </w:rPr>
              <w:alias w:val="利润表及现金流量表相关科目变动分析-变动原因说明"/>
              <w:tag w:val="_GBC_65e672f3a2fd46a7b2e0f2ced7a1bdb6"/>
              <w:id w:val="-417709320"/>
              <w:placeholder>
                <w:docPart w:val="GBC22222222222222222222222222222"/>
              </w:placeholder>
            </w:sdtPr>
            <w:sdtEndPr>
              <w:rPr>
                <w:rFonts w:hint="eastAsia" w:ascii="宋体" w:hAnsi="宋体"/>
                <w:szCs w:val="21"/>
              </w:rPr>
            </w:sdtEndPr>
            <w:sdtContent>
              <w:r>
                <w:rPr>
                  <w:rFonts w:hint="eastAsia" w:ascii="宋体" w:hAnsi="宋体"/>
                  <w:szCs w:val="21"/>
                </w:rPr>
                <w:t>本集团应纳税所得额同比减少。</w:t>
              </w:r>
            </w:sdtContent>
          </w:sdt>
        </w:p>
      </w:sdtContent>
    </w:sdt>
    <w:bookmarkEnd w:id="35"/>
    <w:bookmarkEnd w:id="36"/>
    <w:p>
      <w:pPr>
        <w:rPr>
          <w:rFonts w:ascii="宋体" w:hAnsi="宋体"/>
          <w:highlight w:val="yellow"/>
        </w:rPr>
      </w:pPr>
    </w:p>
    <w:p>
      <w:pPr>
        <w:rPr>
          <w:rFonts w:ascii="宋体" w:hAnsi="宋体"/>
        </w:rPr>
      </w:pPr>
      <w:r>
        <w:rPr>
          <w:rFonts w:hint="eastAsia" w:ascii="宋体" w:hAnsi="宋体"/>
        </w:rPr>
        <w:t>本期</w:t>
      </w:r>
      <w:r>
        <w:rPr>
          <w:rFonts w:ascii="宋体" w:hAnsi="宋体"/>
        </w:rPr>
        <w:t>公司</w:t>
      </w:r>
      <w:r>
        <w:rPr>
          <w:rFonts w:hint="eastAsia" w:ascii="宋体" w:hAnsi="宋体"/>
        </w:rPr>
        <w:t>业务类型、</w:t>
      </w:r>
      <w:r>
        <w:rPr>
          <w:rFonts w:ascii="宋体" w:hAnsi="宋体"/>
        </w:rPr>
        <w:t>利润构成或利润来源发生重大变动的详细说明</w:t>
      </w:r>
    </w:p>
    <w:sdt>
      <w:sdtPr>
        <w:alias w:val="是否适用：公司利润构成或利润来源发生重大变动的详细说明[双击切换]"/>
        <w:tag w:val="_GBC_f76226f4a75345f0b64ffa67d16a3159"/>
        <w:id w:val="-1208257935"/>
        <w:placeholder>
          <w:docPart w:val="GBC22222222222222222222222222222"/>
        </w:placeholder>
      </w:sdtPr>
      <w:sdtContent>
        <w:p>
          <w:pPr>
            <w:pStyle w:val="43"/>
          </w:pPr>
          <w:bookmarkStart w:id="38" w:name="_Hlk8909882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8"/>
    <w:p>
      <w:pPr>
        <w:pStyle w:val="43"/>
      </w:pPr>
    </w:p>
    <w:p>
      <w:pPr>
        <w:pStyle w:val="5"/>
        <w:numPr>
          <w:ilvl w:val="0"/>
          <w:numId w:val="9"/>
        </w:numPr>
        <w:rPr>
          <w:rFonts w:ascii="宋体" w:hAnsi="宋体" w:eastAsia="宋体"/>
        </w:rPr>
      </w:pPr>
      <w:r>
        <w:rPr>
          <w:rFonts w:hint="eastAsia" w:ascii="宋体" w:hAnsi="宋体" w:eastAsia="宋体"/>
        </w:rPr>
        <w:t>收入和成本分析</w:t>
      </w:r>
    </w:p>
    <w:sdt>
      <w:sdtPr>
        <w:alias w:val="是否适用：收入和成本分析[双击切换]"/>
        <w:tag w:val="_GBC_c1a771ff956341da84dd26322335800f"/>
        <w:id w:val="-1241021516"/>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6"/>
        <w:numPr>
          <w:ilvl w:val="0"/>
          <w:numId w:val="10"/>
        </w:numPr>
        <w:tabs>
          <w:tab w:val="left" w:pos="567"/>
        </w:tabs>
        <w:ind w:left="105" w:firstLine="0"/>
        <w:rPr>
          <w:rFonts w:ascii="宋体" w:hAnsi="宋体"/>
        </w:rPr>
      </w:pPr>
      <w:r>
        <w:rPr>
          <w:rFonts w:ascii="宋体" w:hAnsi="宋体"/>
        </w:rPr>
        <w:t>主营业务</w:t>
      </w:r>
      <w:r>
        <w:rPr>
          <w:rFonts w:hint="eastAsia" w:ascii="宋体" w:hAnsi="宋体"/>
        </w:rPr>
        <w:t>分</w:t>
      </w:r>
      <w:r>
        <w:rPr>
          <w:rFonts w:ascii="宋体" w:hAnsi="宋体"/>
        </w:rPr>
        <w:t>行业</w:t>
      </w:r>
      <w:r>
        <w:rPr>
          <w:rFonts w:hint="eastAsia" w:ascii="宋体" w:hAnsi="宋体"/>
        </w:rPr>
        <w:t>、分</w:t>
      </w:r>
      <w:r>
        <w:rPr>
          <w:rFonts w:ascii="宋体" w:hAnsi="宋体"/>
        </w:rPr>
        <w:t>产品</w:t>
      </w:r>
      <w:r>
        <w:rPr>
          <w:rFonts w:hint="eastAsia" w:ascii="宋体" w:hAnsi="宋体"/>
        </w:rPr>
        <w:t>、分地区、分销售模式情况</w:t>
      </w:r>
    </w:p>
    <w:p>
      <w:pPr>
        <w:jc w:val="right"/>
        <w:rPr>
          <w:rFonts w:ascii="宋体" w:hAnsi="宋体"/>
        </w:rPr>
      </w:pPr>
      <w:r>
        <w:rPr>
          <w:rFonts w:hint="eastAsia" w:ascii="宋体" w:hAnsi="宋体"/>
        </w:rPr>
        <w:t>单位</w:t>
      </w:r>
      <w:r>
        <w:rPr>
          <w:rFonts w:ascii="宋体" w:hAnsi="宋体"/>
        </w:rPr>
        <w:t>:</w:t>
      </w:r>
      <w:bookmarkStart w:id="39" w:name="_Hlk89876312"/>
      <w:sdt>
        <w:sdtPr>
          <w:rPr>
            <w:rFonts w:ascii="宋体" w:hAnsi="宋体"/>
          </w:rPr>
          <w:alias w:val="单位：主营业务分行业、分产品情况表"/>
          <w:tag w:val="_GBC_f77c8e6b92b44adf9014b95a44af704b"/>
          <w:id w:val="-2936072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rPr>
        </w:sdtEndPr>
        <w:sdtContent>
          <w:r>
            <w:rPr>
              <w:rFonts w:ascii="宋体" w:hAnsi="宋体"/>
            </w:rPr>
            <w:t>百万元</w:t>
          </w:r>
        </w:sdtContent>
      </w:sdt>
      <w:r>
        <w:rPr>
          <w:rFonts w:hint="eastAsia" w:ascii="宋体" w:hAnsi="宋体"/>
        </w:rPr>
        <w:t xml:space="preserve">  币种</w:t>
      </w:r>
      <w:r>
        <w:rPr>
          <w:rFonts w:ascii="宋体" w:hAnsi="宋体"/>
        </w:rPr>
        <w:t>:</w:t>
      </w:r>
      <w:sdt>
        <w:sdtPr>
          <w:rPr>
            <w:rFonts w:ascii="宋体" w:hAnsi="宋体"/>
          </w:rPr>
          <w:alias w:val="币种：主营业务分行业、分产品情况表"/>
          <w:tag w:val="_GBC_3341f58078504155bf0c18cadb3b7f9d"/>
          <w:id w:val="-10371221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rPr>
        </w:sdtEndPr>
        <w:sdtContent>
          <w:r>
            <w:rPr>
              <w:rFonts w:ascii="宋体" w:hAnsi="宋体"/>
            </w:rPr>
            <w:t>人民币</w:t>
          </w:r>
        </w:sdtContent>
      </w:sdt>
    </w:p>
    <w:tbl>
      <w:tblPr>
        <w:tblStyle w:val="37"/>
        <w:tblW w:w="5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1162"/>
        <w:gridCol w:w="1307"/>
        <w:gridCol w:w="999"/>
        <w:gridCol w:w="1238"/>
        <w:gridCol w:w="1238"/>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b5033a4d190942bd99650d59a8d741f9"/>
            <w:id w:val="1086886527"/>
          </w:sdtPr>
          <w:sdtEndPr>
            <w:rPr>
              <w:rFonts w:ascii="宋体" w:hAnsi="宋体"/>
            </w:rPr>
          </w:sdtEndPr>
          <w:sdtContent>
            <w:tc>
              <w:tcPr>
                <w:tcW w:w="5000" w:type="pct"/>
                <w:gridSpan w:val="7"/>
                <w:vAlign w:val="center"/>
              </w:tcPr>
              <w:p>
                <w:pPr>
                  <w:jc w:val="center"/>
                  <w:rPr>
                    <w:rFonts w:ascii="宋体" w:hAnsi="宋体"/>
                  </w:rPr>
                </w:pPr>
                <w:r>
                  <w:rPr>
                    <w:rFonts w:hint="eastAsia" w:ascii="宋体" w:hAnsi="宋体"/>
                  </w:rPr>
                  <w:t>主营业务分行业情况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ab888f46a9d64f09b94dccfab854ad45"/>
            <w:id w:val="2104992346"/>
          </w:sdtPr>
          <w:sdtEndPr>
            <w:rPr>
              <w:rFonts w:ascii="宋体" w:hAnsi="宋体"/>
            </w:rPr>
          </w:sdtEndPr>
          <w:sdtContent>
            <w:tc>
              <w:tcPr>
                <w:tcW w:w="1001" w:type="pct"/>
                <w:vAlign w:val="center"/>
              </w:tcPr>
              <w:p>
                <w:pPr>
                  <w:jc w:val="center"/>
                  <w:rPr>
                    <w:rFonts w:ascii="宋体" w:hAnsi="宋体"/>
                  </w:rPr>
                </w:pPr>
                <w:r>
                  <w:rPr>
                    <w:rFonts w:ascii="宋体" w:hAnsi="宋体"/>
                  </w:rPr>
                  <w:t>分行业</w:t>
                </w:r>
              </w:p>
            </w:tc>
          </w:sdtContent>
        </w:sdt>
        <w:sdt>
          <w:sdtPr>
            <w:rPr>
              <w:rFonts w:ascii="宋体" w:hAnsi="宋体"/>
            </w:rPr>
            <w:tag w:val="_PLD_7fe8bd490c23482eac6c726b40c3125c"/>
            <w:id w:val="-971977969"/>
          </w:sdtPr>
          <w:sdtEndPr>
            <w:rPr>
              <w:rFonts w:ascii="宋体" w:hAnsi="宋体"/>
            </w:rPr>
          </w:sdtEndPr>
          <w:sdtContent>
            <w:tc>
              <w:tcPr>
                <w:tcW w:w="571" w:type="pct"/>
                <w:vAlign w:val="center"/>
              </w:tcPr>
              <w:p>
                <w:pPr>
                  <w:jc w:val="center"/>
                  <w:rPr>
                    <w:rFonts w:ascii="宋体" w:hAnsi="宋体"/>
                  </w:rPr>
                </w:pPr>
                <w:r>
                  <w:rPr>
                    <w:rFonts w:ascii="宋体" w:hAnsi="宋体"/>
                  </w:rPr>
                  <w:t>营业收入</w:t>
                </w:r>
              </w:p>
            </w:tc>
          </w:sdtContent>
        </w:sdt>
        <w:sdt>
          <w:sdtPr>
            <w:rPr>
              <w:rFonts w:ascii="宋体" w:hAnsi="宋体"/>
            </w:rPr>
            <w:tag w:val="_PLD_43ea5bcd646542838f56af8b6a2863cb"/>
            <w:id w:val="1816992388"/>
          </w:sdtPr>
          <w:sdtEndPr>
            <w:rPr>
              <w:rFonts w:ascii="宋体" w:hAnsi="宋体"/>
            </w:rPr>
          </w:sdtEndPr>
          <w:sdtContent>
            <w:tc>
              <w:tcPr>
                <w:tcW w:w="642" w:type="pct"/>
                <w:vAlign w:val="center"/>
              </w:tcPr>
              <w:p>
                <w:pPr>
                  <w:jc w:val="center"/>
                  <w:rPr>
                    <w:rFonts w:ascii="宋体" w:hAnsi="宋体"/>
                  </w:rPr>
                </w:pPr>
                <w:r>
                  <w:rPr>
                    <w:rFonts w:ascii="宋体" w:hAnsi="宋体"/>
                  </w:rPr>
                  <w:t>营业成本</w:t>
                </w:r>
              </w:p>
            </w:tc>
          </w:sdtContent>
        </w:sdt>
        <w:sdt>
          <w:sdtPr>
            <w:rPr>
              <w:rFonts w:ascii="宋体" w:hAnsi="宋体"/>
            </w:rPr>
            <w:tag w:val="_PLD_2beea8e29ca14ce68ca930225f6b78ba"/>
            <w:id w:val="2009323487"/>
          </w:sdtPr>
          <w:sdtEndPr>
            <w:rPr>
              <w:rFonts w:ascii="宋体" w:hAnsi="宋体"/>
            </w:rPr>
          </w:sdtEndPr>
          <w:sdtContent>
            <w:tc>
              <w:tcPr>
                <w:tcW w:w="491" w:type="pct"/>
                <w:vAlign w:val="center"/>
              </w:tcPr>
              <w:p>
                <w:pPr>
                  <w:jc w:val="center"/>
                  <w:rPr>
                    <w:rFonts w:ascii="宋体" w:hAnsi="宋体"/>
                  </w:rPr>
                </w:pPr>
                <w:r>
                  <w:rPr>
                    <w:rFonts w:hint="eastAsia" w:ascii="宋体" w:hAnsi="宋体"/>
                  </w:rPr>
                  <w:t>毛利率</w:t>
                </w:r>
                <w:r>
                  <w:rPr>
                    <w:rFonts w:ascii="宋体" w:hAnsi="宋体"/>
                  </w:rPr>
                  <w:t>（</w:t>
                </w:r>
                <w:r>
                  <w:rPr>
                    <w:rFonts w:hint="eastAsia" w:ascii="宋体" w:hAnsi="宋体"/>
                  </w:rPr>
                  <w:t>%</w:t>
                </w:r>
                <w:r>
                  <w:rPr>
                    <w:rFonts w:ascii="宋体" w:hAnsi="宋体"/>
                  </w:rPr>
                  <w:t>）</w:t>
                </w:r>
              </w:p>
            </w:tc>
          </w:sdtContent>
        </w:sdt>
        <w:sdt>
          <w:sdtPr>
            <w:rPr>
              <w:rFonts w:ascii="宋体" w:hAnsi="宋体"/>
            </w:rPr>
            <w:tag w:val="_PLD_f9dadced328346f0b76bc97b709dc071"/>
            <w:id w:val="-482235297"/>
          </w:sdtPr>
          <w:sdtEndPr>
            <w:rPr>
              <w:rFonts w:ascii="宋体" w:hAnsi="宋体"/>
            </w:rPr>
          </w:sdtEndPr>
          <w:sdtContent>
            <w:tc>
              <w:tcPr>
                <w:tcW w:w="608" w:type="pct"/>
                <w:vAlign w:val="center"/>
              </w:tcPr>
              <w:p>
                <w:pPr>
                  <w:jc w:val="center"/>
                  <w:rPr>
                    <w:rFonts w:ascii="宋体" w:hAnsi="宋体"/>
                  </w:rPr>
                </w:pPr>
                <w:r>
                  <w:rPr>
                    <w:rFonts w:ascii="宋体" w:hAnsi="宋体"/>
                  </w:rPr>
                  <w:t>营业收入比上年增减（</w:t>
                </w:r>
                <w:r>
                  <w:rPr>
                    <w:rFonts w:hint="eastAsia" w:ascii="宋体" w:hAnsi="宋体"/>
                  </w:rPr>
                  <w:t>%</w:t>
                </w:r>
                <w:r>
                  <w:rPr>
                    <w:rFonts w:ascii="宋体" w:hAnsi="宋体"/>
                  </w:rPr>
                  <w:t>）</w:t>
                </w:r>
              </w:p>
            </w:tc>
          </w:sdtContent>
        </w:sdt>
        <w:sdt>
          <w:sdtPr>
            <w:rPr>
              <w:rFonts w:ascii="宋体" w:hAnsi="宋体"/>
            </w:rPr>
            <w:tag w:val="_PLD_c02171812b4a4964854b289e6b6282d1"/>
            <w:id w:val="704919770"/>
          </w:sdtPr>
          <w:sdtEndPr>
            <w:rPr>
              <w:rFonts w:ascii="宋体" w:hAnsi="宋体"/>
            </w:rPr>
          </w:sdtEndPr>
          <w:sdtContent>
            <w:tc>
              <w:tcPr>
                <w:tcW w:w="608" w:type="pct"/>
                <w:vAlign w:val="center"/>
              </w:tcPr>
              <w:p>
                <w:pPr>
                  <w:jc w:val="center"/>
                  <w:rPr>
                    <w:rFonts w:ascii="宋体" w:hAnsi="宋体"/>
                  </w:rPr>
                </w:pPr>
                <w:r>
                  <w:rPr>
                    <w:rFonts w:ascii="宋体" w:hAnsi="宋体"/>
                  </w:rPr>
                  <w:t>营业成本比上年增减（</w:t>
                </w:r>
                <w:r>
                  <w:rPr>
                    <w:rFonts w:hint="eastAsia" w:ascii="宋体" w:hAnsi="宋体"/>
                  </w:rPr>
                  <w:t>%</w:t>
                </w:r>
                <w:r>
                  <w:rPr>
                    <w:rFonts w:ascii="宋体" w:hAnsi="宋体"/>
                  </w:rPr>
                  <w:t>）</w:t>
                </w:r>
              </w:p>
            </w:tc>
          </w:sdtContent>
        </w:sdt>
        <w:sdt>
          <w:sdtPr>
            <w:rPr>
              <w:rFonts w:ascii="宋体" w:hAnsi="宋体"/>
            </w:rPr>
            <w:tag w:val="_PLD_6ec6853f40254c1e8badc94bd41729ab"/>
            <w:id w:val="1120258624"/>
          </w:sdtPr>
          <w:sdtEndPr>
            <w:rPr>
              <w:rFonts w:ascii="宋体" w:hAnsi="宋体"/>
            </w:rPr>
          </w:sdtEndPr>
          <w:sdtContent>
            <w:tc>
              <w:tcPr>
                <w:tcW w:w="1079" w:type="pct"/>
                <w:vAlign w:val="center"/>
              </w:tcPr>
              <w:p>
                <w:pPr>
                  <w:jc w:val="center"/>
                  <w:rPr>
                    <w:rFonts w:ascii="宋体" w:hAnsi="宋体"/>
                  </w:rPr>
                </w:pPr>
                <w:r>
                  <w:rPr>
                    <w:rFonts w:hint="eastAsia" w:ascii="宋体" w:hAnsi="宋体"/>
                  </w:rPr>
                  <w:t>毛利率</w:t>
                </w:r>
                <w:r>
                  <w:rPr>
                    <w:rFonts w:ascii="宋体" w:hAnsi="宋体"/>
                  </w:rPr>
                  <w:t>比上年增减（</w:t>
                </w:r>
                <w:r>
                  <w:rPr>
                    <w:rFonts w:hint="eastAsia" w:ascii="宋体" w:hAnsi="宋体"/>
                  </w:rPr>
                  <w:t>%</w:t>
                </w:r>
                <w:r>
                  <w:rPr>
                    <w:rFonts w:ascii="宋体" w:hAnsi="宋体"/>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0" w:firstLineChars="0"/>
              <w:jc w:val="left"/>
              <w:rPr>
                <w:rFonts w:ascii="宋体" w:hAnsi="宋体" w:cs="宋体"/>
                <w:kern w:val="0"/>
                <w:szCs w:val="21"/>
              </w:rPr>
            </w:pPr>
            <w:r>
              <w:rPr>
                <w:rFonts w:ascii="宋体" w:hAnsi="宋体" w:cs="宋体"/>
                <w:szCs w:val="21"/>
              </w:rPr>
              <w:t>1.煤炭业务</w:t>
            </w:r>
          </w:p>
        </w:tc>
        <w:tc>
          <w:tcPr>
            <w:tcW w:w="571" w:type="pct"/>
            <w:vAlign w:val="center"/>
          </w:tcPr>
          <w:p>
            <w:pPr>
              <w:jc w:val="right"/>
              <w:rPr>
                <w:rFonts w:ascii="宋体" w:hAnsi="宋体"/>
              </w:rPr>
            </w:pPr>
            <w:r>
              <w:rPr>
                <w:rFonts w:ascii="宋体" w:hAnsi="宋体"/>
              </w:rPr>
              <w:t xml:space="preserve">102,019 </w:t>
            </w:r>
          </w:p>
        </w:tc>
        <w:tc>
          <w:tcPr>
            <w:tcW w:w="642" w:type="pct"/>
            <w:vAlign w:val="center"/>
          </w:tcPr>
          <w:p>
            <w:pPr>
              <w:jc w:val="right"/>
              <w:rPr>
                <w:rFonts w:ascii="宋体" w:hAnsi="宋体"/>
              </w:rPr>
            </w:pPr>
            <w:r>
              <w:rPr>
                <w:rFonts w:ascii="宋体" w:hAnsi="宋体"/>
              </w:rPr>
              <w:t xml:space="preserve">49,331 </w:t>
            </w:r>
          </w:p>
        </w:tc>
        <w:tc>
          <w:tcPr>
            <w:tcW w:w="491" w:type="pct"/>
            <w:vAlign w:val="center"/>
          </w:tcPr>
          <w:p>
            <w:pPr>
              <w:jc w:val="right"/>
              <w:rPr>
                <w:rFonts w:ascii="宋体" w:hAnsi="宋体"/>
              </w:rPr>
            </w:pPr>
            <w:r>
              <w:rPr>
                <w:rFonts w:ascii="宋体" w:hAnsi="宋体"/>
              </w:rPr>
              <w:t xml:space="preserve">51.65 </w:t>
            </w:r>
          </w:p>
        </w:tc>
        <w:tc>
          <w:tcPr>
            <w:tcW w:w="608" w:type="pct"/>
          </w:tcPr>
          <w:p>
            <w:pPr>
              <w:jc w:val="right"/>
              <w:rPr>
                <w:rFonts w:ascii="宋体" w:hAnsi="宋体"/>
              </w:rPr>
            </w:pPr>
            <w:r>
              <w:rPr>
                <w:rFonts w:ascii="宋体" w:hAnsi="宋体"/>
              </w:rPr>
              <w:t xml:space="preserve">-30.12 </w:t>
            </w:r>
          </w:p>
        </w:tc>
        <w:tc>
          <w:tcPr>
            <w:tcW w:w="608" w:type="pct"/>
          </w:tcPr>
          <w:p>
            <w:pPr>
              <w:jc w:val="right"/>
              <w:rPr>
                <w:rFonts w:ascii="宋体" w:hAnsi="宋体"/>
              </w:rPr>
            </w:pPr>
            <w:r>
              <w:rPr>
                <w:rFonts w:ascii="宋体" w:hAnsi="宋体"/>
              </w:rPr>
              <w:t xml:space="preserve">-16.42 </w:t>
            </w:r>
          </w:p>
        </w:tc>
        <w:tc>
          <w:tcPr>
            <w:tcW w:w="1079" w:type="pct"/>
          </w:tcPr>
          <w:p>
            <w:pPr>
              <w:jc w:val="right"/>
              <w:rPr>
                <w:rFonts w:ascii="宋体" w:hAnsi="宋体"/>
              </w:rPr>
            </w:pPr>
            <w:r>
              <w:rPr>
                <w:rFonts w:hint="eastAsia" w:ascii="宋体" w:hAnsi="宋体"/>
              </w:rPr>
              <w:t>减少</w:t>
            </w:r>
            <w:r>
              <w:rPr>
                <w:rFonts w:ascii="宋体" w:hAnsi="宋体"/>
              </w:rPr>
              <w:t>7.93个百分点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0" w:firstLineChars="0"/>
              <w:jc w:val="left"/>
              <w:rPr>
                <w:rFonts w:ascii="宋体" w:hAnsi="宋体" w:cs="宋体"/>
                <w:kern w:val="0"/>
                <w:szCs w:val="21"/>
              </w:rPr>
            </w:pPr>
            <w:r>
              <w:rPr>
                <w:rFonts w:hint="eastAsia" w:ascii="宋体" w:hAnsi="宋体" w:cs="宋体"/>
                <w:szCs w:val="21"/>
              </w:rPr>
              <w:t>其中：自产煤业务</w:t>
            </w:r>
          </w:p>
        </w:tc>
        <w:tc>
          <w:tcPr>
            <w:tcW w:w="571" w:type="pct"/>
            <w:vAlign w:val="center"/>
          </w:tcPr>
          <w:p>
            <w:pPr>
              <w:jc w:val="right"/>
              <w:rPr>
                <w:rFonts w:ascii="宋体" w:hAnsi="宋体"/>
              </w:rPr>
            </w:pPr>
            <w:r>
              <w:rPr>
                <w:rFonts w:ascii="宋体" w:hAnsi="宋体"/>
              </w:rPr>
              <w:t xml:space="preserve">94,990 </w:t>
            </w:r>
          </w:p>
        </w:tc>
        <w:tc>
          <w:tcPr>
            <w:tcW w:w="642" w:type="pct"/>
            <w:vAlign w:val="center"/>
          </w:tcPr>
          <w:p>
            <w:pPr>
              <w:jc w:val="right"/>
              <w:rPr>
                <w:rFonts w:ascii="宋体" w:hAnsi="宋体"/>
              </w:rPr>
            </w:pPr>
            <w:r>
              <w:rPr>
                <w:rFonts w:ascii="宋体" w:hAnsi="宋体"/>
              </w:rPr>
              <w:t xml:space="preserve">42,273 </w:t>
            </w:r>
          </w:p>
        </w:tc>
        <w:tc>
          <w:tcPr>
            <w:tcW w:w="491" w:type="pct"/>
            <w:vAlign w:val="center"/>
          </w:tcPr>
          <w:p>
            <w:pPr>
              <w:jc w:val="right"/>
              <w:rPr>
                <w:rFonts w:ascii="宋体" w:hAnsi="宋体"/>
              </w:rPr>
            </w:pPr>
            <w:r>
              <w:rPr>
                <w:rFonts w:ascii="宋体" w:hAnsi="宋体"/>
              </w:rPr>
              <w:t xml:space="preserve">55.50 </w:t>
            </w:r>
          </w:p>
        </w:tc>
        <w:tc>
          <w:tcPr>
            <w:tcW w:w="608" w:type="pct"/>
          </w:tcPr>
          <w:p>
            <w:pPr>
              <w:jc w:val="right"/>
              <w:rPr>
                <w:rFonts w:ascii="宋体" w:hAnsi="宋体"/>
              </w:rPr>
            </w:pPr>
            <w:r>
              <w:rPr>
                <w:rFonts w:ascii="宋体" w:hAnsi="宋体"/>
              </w:rPr>
              <w:t xml:space="preserve">-24.99 </w:t>
            </w:r>
          </w:p>
        </w:tc>
        <w:tc>
          <w:tcPr>
            <w:tcW w:w="608" w:type="pct"/>
          </w:tcPr>
          <w:p>
            <w:pPr>
              <w:jc w:val="right"/>
              <w:rPr>
                <w:rFonts w:ascii="宋体" w:hAnsi="宋体"/>
              </w:rPr>
            </w:pPr>
            <w:r>
              <w:rPr>
                <w:rFonts w:ascii="宋体" w:hAnsi="宋体"/>
              </w:rPr>
              <w:t xml:space="preserve">5.65 </w:t>
            </w:r>
          </w:p>
        </w:tc>
        <w:tc>
          <w:tcPr>
            <w:tcW w:w="1079" w:type="pct"/>
          </w:tcPr>
          <w:p>
            <w:pPr>
              <w:jc w:val="right"/>
              <w:rPr>
                <w:rFonts w:ascii="宋体" w:hAnsi="宋体"/>
              </w:rPr>
            </w:pPr>
            <w:r>
              <w:rPr>
                <w:rFonts w:hint="eastAsia" w:ascii="宋体" w:hAnsi="宋体"/>
              </w:rPr>
              <w:t>减少</w:t>
            </w:r>
            <w:r>
              <w:rPr>
                <w:rFonts w:ascii="宋体" w:hAnsi="宋体"/>
              </w:rPr>
              <w:t>12.91个百分点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630" w:firstLineChars="300"/>
              <w:jc w:val="left"/>
              <w:rPr>
                <w:rFonts w:ascii="宋体" w:hAnsi="宋体" w:cs="宋体"/>
                <w:kern w:val="0"/>
                <w:szCs w:val="21"/>
              </w:rPr>
            </w:pPr>
            <w:r>
              <w:rPr>
                <w:rFonts w:hint="eastAsia" w:ascii="宋体" w:hAnsi="宋体" w:cs="宋体"/>
                <w:szCs w:val="21"/>
              </w:rPr>
              <w:t>贸易煤业务</w:t>
            </w:r>
          </w:p>
        </w:tc>
        <w:tc>
          <w:tcPr>
            <w:tcW w:w="571" w:type="pct"/>
            <w:vAlign w:val="center"/>
          </w:tcPr>
          <w:p>
            <w:pPr>
              <w:jc w:val="right"/>
              <w:rPr>
                <w:rFonts w:ascii="宋体" w:hAnsi="宋体"/>
              </w:rPr>
            </w:pPr>
            <w:r>
              <w:rPr>
                <w:rFonts w:ascii="宋体" w:hAnsi="宋体"/>
              </w:rPr>
              <w:t xml:space="preserve">7,030 </w:t>
            </w:r>
          </w:p>
        </w:tc>
        <w:tc>
          <w:tcPr>
            <w:tcW w:w="642" w:type="pct"/>
            <w:vAlign w:val="center"/>
          </w:tcPr>
          <w:p>
            <w:pPr>
              <w:jc w:val="right"/>
              <w:rPr>
                <w:rFonts w:ascii="宋体" w:hAnsi="宋体"/>
              </w:rPr>
            </w:pPr>
            <w:r>
              <w:rPr>
                <w:rFonts w:ascii="宋体" w:hAnsi="宋体"/>
              </w:rPr>
              <w:t xml:space="preserve">7,058 </w:t>
            </w:r>
          </w:p>
        </w:tc>
        <w:tc>
          <w:tcPr>
            <w:tcW w:w="491" w:type="pct"/>
            <w:vAlign w:val="center"/>
          </w:tcPr>
          <w:p>
            <w:pPr>
              <w:jc w:val="right"/>
              <w:rPr>
                <w:rFonts w:ascii="宋体" w:hAnsi="宋体"/>
              </w:rPr>
            </w:pPr>
            <w:r>
              <w:rPr>
                <w:rFonts w:ascii="宋体" w:hAnsi="宋体"/>
              </w:rPr>
              <w:t xml:space="preserve">-0.41 </w:t>
            </w:r>
          </w:p>
        </w:tc>
        <w:tc>
          <w:tcPr>
            <w:tcW w:w="608" w:type="pct"/>
          </w:tcPr>
          <w:p>
            <w:pPr>
              <w:jc w:val="right"/>
              <w:rPr>
                <w:rFonts w:ascii="宋体" w:hAnsi="宋体"/>
              </w:rPr>
            </w:pPr>
            <w:r>
              <w:rPr>
                <w:rFonts w:ascii="宋体" w:hAnsi="宋体"/>
              </w:rPr>
              <w:t xml:space="preserve">-63.67 </w:t>
            </w:r>
          </w:p>
        </w:tc>
        <w:tc>
          <w:tcPr>
            <w:tcW w:w="608" w:type="pct"/>
          </w:tcPr>
          <w:p>
            <w:pPr>
              <w:jc w:val="right"/>
              <w:rPr>
                <w:rFonts w:ascii="宋体" w:hAnsi="宋体"/>
              </w:rPr>
            </w:pPr>
            <w:r>
              <w:rPr>
                <w:rFonts w:ascii="宋体" w:hAnsi="宋体"/>
              </w:rPr>
              <w:t xml:space="preserve">-62.87 </w:t>
            </w:r>
          </w:p>
        </w:tc>
        <w:tc>
          <w:tcPr>
            <w:tcW w:w="1079" w:type="pct"/>
          </w:tcPr>
          <w:p>
            <w:pPr>
              <w:jc w:val="right"/>
              <w:rPr>
                <w:rFonts w:ascii="宋体" w:hAnsi="宋体"/>
              </w:rPr>
            </w:pPr>
            <w:r>
              <w:rPr>
                <w:rFonts w:hint="eastAsia" w:ascii="宋体" w:hAnsi="宋体"/>
              </w:rPr>
              <w:t>减少</w:t>
            </w:r>
            <w:r>
              <w:rPr>
                <w:rFonts w:ascii="宋体" w:hAnsi="宋体"/>
              </w:rPr>
              <w:t>2.18个百分点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0" w:firstLineChars="0"/>
              <w:jc w:val="left"/>
              <w:rPr>
                <w:rFonts w:ascii="宋体" w:hAnsi="宋体" w:cs="宋体"/>
                <w:kern w:val="0"/>
                <w:szCs w:val="21"/>
              </w:rPr>
            </w:pPr>
            <w:r>
              <w:rPr>
                <w:rFonts w:ascii="宋体" w:hAnsi="宋体" w:cs="宋体"/>
                <w:szCs w:val="21"/>
              </w:rPr>
              <w:t>2.煤化工业务</w:t>
            </w:r>
          </w:p>
        </w:tc>
        <w:tc>
          <w:tcPr>
            <w:tcW w:w="571" w:type="pct"/>
            <w:vAlign w:val="center"/>
          </w:tcPr>
          <w:p>
            <w:pPr>
              <w:jc w:val="right"/>
              <w:rPr>
                <w:rFonts w:ascii="宋体" w:hAnsi="宋体"/>
              </w:rPr>
            </w:pPr>
            <w:r>
              <w:rPr>
                <w:rFonts w:ascii="宋体" w:hAnsi="宋体"/>
              </w:rPr>
              <w:t xml:space="preserve">26,398 </w:t>
            </w:r>
          </w:p>
        </w:tc>
        <w:tc>
          <w:tcPr>
            <w:tcW w:w="642" w:type="pct"/>
            <w:vAlign w:val="center"/>
          </w:tcPr>
          <w:p>
            <w:pPr>
              <w:jc w:val="right"/>
              <w:rPr>
                <w:rFonts w:ascii="宋体" w:hAnsi="宋体"/>
              </w:rPr>
            </w:pPr>
            <w:r>
              <w:rPr>
                <w:rFonts w:ascii="宋体" w:hAnsi="宋体"/>
              </w:rPr>
              <w:t xml:space="preserve">21,130 </w:t>
            </w:r>
          </w:p>
        </w:tc>
        <w:tc>
          <w:tcPr>
            <w:tcW w:w="491" w:type="pct"/>
            <w:vAlign w:val="center"/>
          </w:tcPr>
          <w:p>
            <w:pPr>
              <w:jc w:val="right"/>
              <w:rPr>
                <w:rFonts w:ascii="宋体" w:hAnsi="宋体"/>
              </w:rPr>
            </w:pPr>
            <w:r>
              <w:rPr>
                <w:rFonts w:ascii="宋体" w:hAnsi="宋体"/>
              </w:rPr>
              <w:t xml:space="preserve">19.95 </w:t>
            </w:r>
          </w:p>
        </w:tc>
        <w:tc>
          <w:tcPr>
            <w:tcW w:w="608" w:type="pct"/>
          </w:tcPr>
          <w:p>
            <w:pPr>
              <w:jc w:val="right"/>
              <w:rPr>
                <w:rFonts w:ascii="宋体" w:hAnsi="宋体"/>
              </w:rPr>
            </w:pPr>
            <w:r>
              <w:rPr>
                <w:rFonts w:ascii="宋体" w:hAnsi="宋体"/>
              </w:rPr>
              <w:t xml:space="preserve">0.23 </w:t>
            </w:r>
          </w:p>
        </w:tc>
        <w:tc>
          <w:tcPr>
            <w:tcW w:w="608" w:type="pct"/>
          </w:tcPr>
          <w:p>
            <w:pPr>
              <w:jc w:val="right"/>
              <w:rPr>
                <w:rFonts w:ascii="宋体" w:hAnsi="宋体"/>
              </w:rPr>
            </w:pPr>
            <w:r>
              <w:rPr>
                <w:rFonts w:ascii="宋体" w:hAnsi="宋体"/>
              </w:rPr>
              <w:t xml:space="preserve">1.80 </w:t>
            </w:r>
          </w:p>
        </w:tc>
        <w:tc>
          <w:tcPr>
            <w:tcW w:w="1079" w:type="pct"/>
          </w:tcPr>
          <w:p>
            <w:pPr>
              <w:jc w:val="right"/>
              <w:rPr>
                <w:rFonts w:ascii="宋体" w:hAnsi="宋体"/>
              </w:rPr>
            </w:pPr>
            <w:r>
              <w:rPr>
                <w:rFonts w:hint="eastAsia" w:ascii="宋体" w:hAnsi="宋体"/>
              </w:rPr>
              <w:t>减少</w:t>
            </w:r>
            <w:r>
              <w:rPr>
                <w:rFonts w:ascii="宋体" w:hAnsi="宋体"/>
              </w:rPr>
              <w:t>1.23个百分点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0" w:firstLineChars="0"/>
              <w:jc w:val="left"/>
              <w:rPr>
                <w:rFonts w:ascii="宋体" w:hAnsi="宋体" w:cs="宋体"/>
                <w:kern w:val="0"/>
                <w:szCs w:val="21"/>
              </w:rPr>
            </w:pPr>
            <w:r>
              <w:rPr>
                <w:rFonts w:ascii="宋体" w:hAnsi="宋体" w:cs="宋体"/>
                <w:szCs w:val="21"/>
              </w:rPr>
              <w:t>3.电力业务</w:t>
            </w:r>
          </w:p>
        </w:tc>
        <w:tc>
          <w:tcPr>
            <w:tcW w:w="571" w:type="pct"/>
            <w:vAlign w:val="center"/>
          </w:tcPr>
          <w:p>
            <w:pPr>
              <w:jc w:val="right"/>
              <w:rPr>
                <w:rFonts w:ascii="宋体" w:hAnsi="宋体"/>
              </w:rPr>
            </w:pPr>
            <w:r>
              <w:rPr>
                <w:rFonts w:ascii="宋体" w:hAnsi="宋体"/>
              </w:rPr>
              <w:t xml:space="preserve">2,589 </w:t>
            </w:r>
          </w:p>
        </w:tc>
        <w:tc>
          <w:tcPr>
            <w:tcW w:w="642" w:type="pct"/>
            <w:vAlign w:val="center"/>
          </w:tcPr>
          <w:p>
            <w:pPr>
              <w:jc w:val="right"/>
              <w:rPr>
                <w:rFonts w:ascii="宋体" w:hAnsi="宋体"/>
              </w:rPr>
            </w:pPr>
            <w:r>
              <w:rPr>
                <w:rFonts w:ascii="宋体" w:hAnsi="宋体"/>
              </w:rPr>
              <w:t xml:space="preserve">2,351 </w:t>
            </w:r>
          </w:p>
        </w:tc>
        <w:tc>
          <w:tcPr>
            <w:tcW w:w="491" w:type="pct"/>
            <w:vAlign w:val="center"/>
          </w:tcPr>
          <w:p>
            <w:pPr>
              <w:jc w:val="right"/>
              <w:rPr>
                <w:rFonts w:ascii="宋体" w:hAnsi="宋体"/>
              </w:rPr>
            </w:pPr>
            <w:r>
              <w:rPr>
                <w:rFonts w:ascii="宋体" w:hAnsi="宋体"/>
              </w:rPr>
              <w:t xml:space="preserve">9.17 </w:t>
            </w:r>
          </w:p>
        </w:tc>
        <w:tc>
          <w:tcPr>
            <w:tcW w:w="608" w:type="pct"/>
          </w:tcPr>
          <w:p>
            <w:pPr>
              <w:jc w:val="right"/>
              <w:rPr>
                <w:rFonts w:ascii="宋体" w:hAnsi="宋体"/>
              </w:rPr>
            </w:pPr>
            <w:r>
              <w:rPr>
                <w:rFonts w:ascii="宋体" w:hAnsi="宋体"/>
              </w:rPr>
              <w:t xml:space="preserve">-4.95 </w:t>
            </w:r>
          </w:p>
        </w:tc>
        <w:tc>
          <w:tcPr>
            <w:tcW w:w="608" w:type="pct"/>
          </w:tcPr>
          <w:p>
            <w:pPr>
              <w:jc w:val="right"/>
              <w:rPr>
                <w:rFonts w:ascii="宋体" w:hAnsi="宋体"/>
              </w:rPr>
            </w:pPr>
            <w:r>
              <w:rPr>
                <w:rFonts w:ascii="宋体" w:hAnsi="宋体"/>
              </w:rPr>
              <w:t xml:space="preserve">5.08 </w:t>
            </w:r>
          </w:p>
        </w:tc>
        <w:tc>
          <w:tcPr>
            <w:tcW w:w="1079" w:type="pct"/>
          </w:tcPr>
          <w:p>
            <w:pPr>
              <w:jc w:val="right"/>
              <w:rPr>
                <w:rFonts w:ascii="宋体" w:hAnsi="宋体"/>
              </w:rPr>
            </w:pPr>
            <w:r>
              <w:rPr>
                <w:rFonts w:hint="eastAsia" w:ascii="宋体" w:hAnsi="宋体"/>
              </w:rPr>
              <w:t>减少</w:t>
            </w:r>
            <w:r>
              <w:rPr>
                <w:rFonts w:ascii="宋体" w:hAnsi="宋体"/>
              </w:rPr>
              <w:t>8.67个百分点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0" w:firstLineChars="0"/>
              <w:jc w:val="left"/>
              <w:rPr>
                <w:rFonts w:ascii="宋体" w:hAnsi="宋体" w:cs="宋体"/>
                <w:szCs w:val="21"/>
              </w:rPr>
            </w:pPr>
            <w:r>
              <w:rPr>
                <w:rFonts w:ascii="宋体" w:hAnsi="宋体" w:cs="宋体"/>
                <w:szCs w:val="21"/>
              </w:rPr>
              <w:t>4.</w:t>
            </w:r>
            <w:r>
              <w:rPr>
                <w:rFonts w:hint="eastAsia" w:ascii="宋体" w:hAnsi="宋体" w:cs="宋体"/>
                <w:szCs w:val="21"/>
              </w:rPr>
              <w:t>其他业务</w:t>
            </w:r>
          </w:p>
        </w:tc>
        <w:tc>
          <w:tcPr>
            <w:tcW w:w="571" w:type="pct"/>
            <w:vAlign w:val="center"/>
          </w:tcPr>
          <w:p>
            <w:pPr>
              <w:jc w:val="right"/>
              <w:rPr>
                <w:rFonts w:ascii="宋体" w:hAnsi="宋体"/>
              </w:rPr>
            </w:pPr>
            <w:r>
              <w:rPr>
                <w:rFonts w:ascii="宋体" w:hAnsi="宋体"/>
              </w:rPr>
              <w:t xml:space="preserve">1,737 </w:t>
            </w:r>
          </w:p>
        </w:tc>
        <w:tc>
          <w:tcPr>
            <w:tcW w:w="642" w:type="pct"/>
            <w:vAlign w:val="center"/>
          </w:tcPr>
          <w:p>
            <w:pPr>
              <w:jc w:val="right"/>
              <w:rPr>
                <w:rFonts w:ascii="宋体" w:hAnsi="宋体"/>
              </w:rPr>
            </w:pPr>
            <w:r>
              <w:rPr>
                <w:rFonts w:ascii="宋体" w:hAnsi="宋体"/>
              </w:rPr>
              <w:t xml:space="preserve">1,715 </w:t>
            </w:r>
          </w:p>
        </w:tc>
        <w:tc>
          <w:tcPr>
            <w:tcW w:w="491" w:type="pct"/>
            <w:vAlign w:val="center"/>
          </w:tcPr>
          <w:p>
            <w:pPr>
              <w:jc w:val="right"/>
              <w:rPr>
                <w:rFonts w:ascii="宋体" w:hAnsi="宋体"/>
              </w:rPr>
            </w:pPr>
            <w:r>
              <w:rPr>
                <w:rFonts w:ascii="宋体" w:hAnsi="宋体"/>
              </w:rPr>
              <w:t xml:space="preserve">1.26 </w:t>
            </w:r>
          </w:p>
        </w:tc>
        <w:tc>
          <w:tcPr>
            <w:tcW w:w="608" w:type="pct"/>
            <w:vAlign w:val="center"/>
          </w:tcPr>
          <w:p>
            <w:pPr>
              <w:jc w:val="right"/>
              <w:rPr>
                <w:rFonts w:ascii="宋体" w:hAnsi="宋体"/>
              </w:rPr>
            </w:pPr>
            <w:r>
              <w:rPr>
                <w:rFonts w:ascii="宋体" w:hAnsi="宋体"/>
              </w:rPr>
              <w:t>-1.41</w:t>
            </w:r>
          </w:p>
        </w:tc>
        <w:tc>
          <w:tcPr>
            <w:tcW w:w="608" w:type="pct"/>
            <w:vAlign w:val="center"/>
          </w:tcPr>
          <w:p>
            <w:pPr>
              <w:jc w:val="right"/>
              <w:rPr>
                <w:rFonts w:ascii="宋体" w:hAnsi="宋体"/>
              </w:rPr>
            </w:pPr>
            <w:r>
              <w:rPr>
                <w:rFonts w:ascii="宋体" w:hAnsi="宋体"/>
              </w:rPr>
              <w:t xml:space="preserve">3.56 </w:t>
            </w:r>
          </w:p>
        </w:tc>
        <w:tc>
          <w:tcPr>
            <w:tcW w:w="1079" w:type="pct"/>
          </w:tcPr>
          <w:p>
            <w:pPr>
              <w:jc w:val="right"/>
              <w:rPr>
                <w:rFonts w:ascii="宋体" w:hAnsi="宋体"/>
              </w:rPr>
            </w:pPr>
            <w:r>
              <w:rPr>
                <w:rFonts w:hint="eastAsia" w:ascii="宋体" w:hAnsi="宋体"/>
              </w:rPr>
              <w:t>减少</w:t>
            </w:r>
            <w:r>
              <w:rPr>
                <w:rFonts w:ascii="宋体" w:hAnsi="宋体"/>
              </w:rPr>
              <w:t>4.74个百分点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49258193d94b4f5fa47e482cd615784f"/>
            <w:id w:val="1605994148"/>
          </w:sdtPr>
          <w:sdtEndPr>
            <w:rPr>
              <w:rFonts w:ascii="宋体" w:hAnsi="宋体"/>
            </w:rPr>
          </w:sdtEndPr>
          <w:sdtContent>
            <w:tc>
              <w:tcPr>
                <w:tcW w:w="5000" w:type="pct"/>
                <w:gridSpan w:val="7"/>
                <w:vAlign w:val="center"/>
              </w:tcPr>
              <w:p>
                <w:pPr>
                  <w:jc w:val="center"/>
                  <w:rPr>
                    <w:rFonts w:ascii="宋体" w:hAnsi="宋体"/>
                  </w:rPr>
                </w:pPr>
                <w:r>
                  <w:rPr>
                    <w:rFonts w:hint="eastAsia" w:ascii="宋体" w:hAnsi="宋体"/>
                  </w:rPr>
                  <w:t>主营业务分产品情况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1d72749a5d4248359cb1b92e381ef722"/>
            <w:id w:val="-1443451272"/>
          </w:sdtPr>
          <w:sdtEndPr>
            <w:rPr>
              <w:rFonts w:ascii="宋体" w:hAnsi="宋体"/>
            </w:rPr>
          </w:sdtEndPr>
          <w:sdtContent>
            <w:tc>
              <w:tcPr>
                <w:tcW w:w="1001" w:type="pct"/>
                <w:vAlign w:val="center"/>
              </w:tcPr>
              <w:p>
                <w:pPr>
                  <w:pStyle w:val="55"/>
                  <w:ind w:firstLine="0" w:firstLineChars="0"/>
                  <w:jc w:val="center"/>
                  <w:rPr>
                    <w:rFonts w:ascii="宋体" w:hAnsi="宋体"/>
                    <w:szCs w:val="21"/>
                  </w:rPr>
                </w:pPr>
                <w:r>
                  <w:rPr>
                    <w:rFonts w:hint="eastAsia" w:ascii="宋体" w:hAnsi="宋体"/>
                    <w:szCs w:val="21"/>
                  </w:rPr>
                  <w:t>分产品</w:t>
                </w:r>
              </w:p>
            </w:tc>
          </w:sdtContent>
        </w:sdt>
        <w:sdt>
          <w:sdtPr>
            <w:rPr>
              <w:rFonts w:ascii="宋体" w:hAnsi="宋体"/>
            </w:rPr>
            <w:tag w:val="_PLD_5e318ae25ee540258ffd6821c201e0af"/>
            <w:id w:val="-1728608042"/>
          </w:sdtPr>
          <w:sdtEndPr>
            <w:rPr>
              <w:rFonts w:ascii="宋体" w:hAnsi="宋体"/>
            </w:rPr>
          </w:sdtEndPr>
          <w:sdtContent>
            <w:tc>
              <w:tcPr>
                <w:tcW w:w="571" w:type="pct"/>
                <w:vAlign w:val="center"/>
              </w:tcPr>
              <w:p>
                <w:pPr>
                  <w:jc w:val="center"/>
                  <w:rPr>
                    <w:rFonts w:ascii="宋体" w:hAnsi="宋体"/>
                  </w:rPr>
                </w:pPr>
                <w:r>
                  <w:rPr>
                    <w:rFonts w:hint="eastAsia" w:ascii="宋体" w:hAnsi="宋体"/>
                  </w:rPr>
                  <w:t>营业收入</w:t>
                </w:r>
              </w:p>
            </w:tc>
          </w:sdtContent>
        </w:sdt>
        <w:sdt>
          <w:sdtPr>
            <w:rPr>
              <w:rFonts w:ascii="宋体" w:hAnsi="宋体"/>
            </w:rPr>
            <w:tag w:val="_PLD_d7023b8e0b18494eaae569b7bcd4781f"/>
            <w:id w:val="-564956535"/>
          </w:sdtPr>
          <w:sdtEndPr>
            <w:rPr>
              <w:rFonts w:ascii="宋体" w:hAnsi="宋体"/>
            </w:rPr>
          </w:sdtEndPr>
          <w:sdtContent>
            <w:tc>
              <w:tcPr>
                <w:tcW w:w="642" w:type="pct"/>
                <w:vAlign w:val="center"/>
              </w:tcPr>
              <w:p>
                <w:pPr>
                  <w:jc w:val="center"/>
                  <w:rPr>
                    <w:rFonts w:ascii="宋体" w:hAnsi="宋体"/>
                  </w:rPr>
                </w:pPr>
                <w:r>
                  <w:rPr>
                    <w:rFonts w:hint="eastAsia" w:ascii="宋体" w:hAnsi="宋体"/>
                  </w:rPr>
                  <w:t>营业成本</w:t>
                </w:r>
              </w:p>
            </w:tc>
          </w:sdtContent>
        </w:sdt>
        <w:sdt>
          <w:sdtPr>
            <w:rPr>
              <w:rFonts w:ascii="宋体" w:hAnsi="宋体"/>
            </w:rPr>
            <w:tag w:val="_PLD_c7e7c31f672744488b53ec34a4e0abde"/>
            <w:id w:val="1560289021"/>
          </w:sdtPr>
          <w:sdtEndPr>
            <w:rPr>
              <w:rFonts w:ascii="宋体" w:hAnsi="宋体"/>
            </w:rPr>
          </w:sdtEndPr>
          <w:sdtContent>
            <w:tc>
              <w:tcPr>
                <w:tcW w:w="491" w:type="pct"/>
                <w:vAlign w:val="center"/>
              </w:tcPr>
              <w:p>
                <w:pPr>
                  <w:jc w:val="center"/>
                  <w:rPr>
                    <w:rFonts w:ascii="宋体" w:hAnsi="宋体"/>
                  </w:rPr>
                </w:pPr>
                <w:r>
                  <w:rPr>
                    <w:rFonts w:hint="eastAsia" w:ascii="宋体" w:hAnsi="宋体"/>
                  </w:rPr>
                  <w:t>毛利率（%）</w:t>
                </w:r>
              </w:p>
            </w:tc>
          </w:sdtContent>
        </w:sdt>
        <w:sdt>
          <w:sdtPr>
            <w:rPr>
              <w:rFonts w:ascii="宋体" w:hAnsi="宋体"/>
            </w:rPr>
            <w:tag w:val="_PLD_0ca65e94b76d4933977b3fe13864caf2"/>
            <w:id w:val="441193936"/>
          </w:sdtPr>
          <w:sdtEndPr>
            <w:rPr>
              <w:rFonts w:ascii="宋体" w:hAnsi="宋体"/>
            </w:rPr>
          </w:sdtEndPr>
          <w:sdtContent>
            <w:tc>
              <w:tcPr>
                <w:tcW w:w="608" w:type="pct"/>
                <w:vAlign w:val="center"/>
              </w:tcPr>
              <w:p>
                <w:pPr>
                  <w:jc w:val="center"/>
                  <w:rPr>
                    <w:rFonts w:ascii="宋体" w:hAnsi="宋体"/>
                  </w:rPr>
                </w:pPr>
                <w:r>
                  <w:rPr>
                    <w:rFonts w:hint="eastAsia" w:ascii="宋体" w:hAnsi="宋体"/>
                  </w:rPr>
                  <w:t>营业收入比上年增减（%）</w:t>
                </w:r>
              </w:p>
            </w:tc>
          </w:sdtContent>
        </w:sdt>
        <w:sdt>
          <w:sdtPr>
            <w:rPr>
              <w:rFonts w:ascii="宋体" w:hAnsi="宋体"/>
            </w:rPr>
            <w:tag w:val="_PLD_0fcddf8af1ce40e3bbe0b8e78c8c2496"/>
            <w:id w:val="159042772"/>
          </w:sdtPr>
          <w:sdtEndPr>
            <w:rPr>
              <w:rFonts w:ascii="宋体" w:hAnsi="宋体"/>
            </w:rPr>
          </w:sdtEndPr>
          <w:sdtContent>
            <w:tc>
              <w:tcPr>
                <w:tcW w:w="608" w:type="pct"/>
                <w:vAlign w:val="center"/>
              </w:tcPr>
              <w:p>
                <w:pPr>
                  <w:jc w:val="center"/>
                  <w:rPr>
                    <w:rFonts w:ascii="宋体" w:hAnsi="宋体"/>
                  </w:rPr>
                </w:pPr>
                <w:r>
                  <w:rPr>
                    <w:rFonts w:hint="eastAsia" w:ascii="宋体" w:hAnsi="宋体"/>
                  </w:rPr>
                  <w:t>营业成本比上年增减（%）</w:t>
                </w:r>
              </w:p>
            </w:tc>
          </w:sdtContent>
        </w:sdt>
        <w:sdt>
          <w:sdtPr>
            <w:rPr>
              <w:rFonts w:ascii="宋体" w:hAnsi="宋体"/>
            </w:rPr>
            <w:tag w:val="_PLD_fd695ef26ff948df8cd16c66ef5ffea9"/>
            <w:id w:val="1460448488"/>
          </w:sdtPr>
          <w:sdtEndPr>
            <w:rPr>
              <w:rFonts w:ascii="宋体" w:hAnsi="宋体"/>
            </w:rPr>
          </w:sdtEndPr>
          <w:sdtContent>
            <w:tc>
              <w:tcPr>
                <w:tcW w:w="1079" w:type="pct"/>
                <w:vAlign w:val="center"/>
              </w:tcPr>
              <w:p>
                <w:pPr>
                  <w:jc w:val="center"/>
                  <w:rPr>
                    <w:rFonts w:ascii="宋体" w:hAnsi="宋体"/>
                  </w:rPr>
                </w:pPr>
                <w:r>
                  <w:rPr>
                    <w:rFonts w:hint="eastAsia" w:ascii="宋体" w:hAnsi="宋体"/>
                  </w:rPr>
                  <w:t>毛利率</w:t>
                </w:r>
                <w:r>
                  <w:rPr>
                    <w:rFonts w:ascii="宋体" w:hAnsi="宋体"/>
                  </w:rPr>
                  <w:t>比上年增减（</w:t>
                </w:r>
                <w:r>
                  <w:rPr>
                    <w:rFonts w:hint="eastAsia" w:ascii="宋体" w:hAnsi="宋体"/>
                  </w:rPr>
                  <w:t>%</w:t>
                </w:r>
                <w:r>
                  <w:rPr>
                    <w:rFonts w:ascii="宋体" w:hAnsi="宋体"/>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0" w:firstLineChars="0"/>
              <w:jc w:val="left"/>
              <w:rPr>
                <w:rFonts w:ascii="宋体" w:hAnsi="宋体" w:cs="宋体"/>
                <w:kern w:val="0"/>
                <w:szCs w:val="21"/>
              </w:rPr>
            </w:pPr>
            <w:r>
              <w:rPr>
                <w:rFonts w:ascii="宋体" w:hAnsi="宋体" w:cs="宋体"/>
                <w:szCs w:val="21"/>
              </w:rPr>
              <w:t>1.煤炭业务</w:t>
            </w:r>
          </w:p>
        </w:tc>
        <w:tc>
          <w:tcPr>
            <w:tcW w:w="571" w:type="pct"/>
            <w:vAlign w:val="center"/>
          </w:tcPr>
          <w:p>
            <w:pPr>
              <w:jc w:val="right"/>
              <w:rPr>
                <w:rFonts w:ascii="宋体" w:hAnsi="宋体"/>
              </w:rPr>
            </w:pPr>
            <w:r>
              <w:rPr>
                <w:rFonts w:ascii="宋体" w:hAnsi="宋体"/>
              </w:rPr>
              <w:t xml:space="preserve">102,019 </w:t>
            </w:r>
          </w:p>
        </w:tc>
        <w:tc>
          <w:tcPr>
            <w:tcW w:w="642" w:type="pct"/>
            <w:vAlign w:val="center"/>
          </w:tcPr>
          <w:p>
            <w:pPr>
              <w:jc w:val="right"/>
              <w:rPr>
                <w:rFonts w:ascii="宋体" w:hAnsi="宋体"/>
              </w:rPr>
            </w:pPr>
            <w:r>
              <w:rPr>
                <w:rFonts w:ascii="宋体" w:hAnsi="宋体"/>
              </w:rPr>
              <w:t xml:space="preserve">49,331 </w:t>
            </w:r>
          </w:p>
        </w:tc>
        <w:tc>
          <w:tcPr>
            <w:tcW w:w="491" w:type="pct"/>
            <w:vAlign w:val="center"/>
          </w:tcPr>
          <w:p>
            <w:pPr>
              <w:jc w:val="right"/>
              <w:rPr>
                <w:rFonts w:ascii="宋体" w:hAnsi="宋体"/>
              </w:rPr>
            </w:pPr>
            <w:r>
              <w:rPr>
                <w:rFonts w:ascii="宋体" w:hAnsi="宋体"/>
              </w:rPr>
              <w:t xml:space="preserve">51.65 </w:t>
            </w:r>
          </w:p>
        </w:tc>
        <w:tc>
          <w:tcPr>
            <w:tcW w:w="608" w:type="pct"/>
          </w:tcPr>
          <w:p>
            <w:pPr>
              <w:jc w:val="right"/>
              <w:rPr>
                <w:rFonts w:ascii="宋体" w:hAnsi="宋体"/>
              </w:rPr>
            </w:pPr>
            <w:r>
              <w:rPr>
                <w:rFonts w:ascii="宋体" w:hAnsi="宋体"/>
              </w:rPr>
              <w:t xml:space="preserve">-30.12 </w:t>
            </w:r>
          </w:p>
        </w:tc>
        <w:tc>
          <w:tcPr>
            <w:tcW w:w="608" w:type="pct"/>
          </w:tcPr>
          <w:p>
            <w:pPr>
              <w:jc w:val="right"/>
              <w:rPr>
                <w:rFonts w:ascii="宋体" w:hAnsi="宋体"/>
              </w:rPr>
            </w:pPr>
            <w:r>
              <w:rPr>
                <w:rFonts w:ascii="宋体" w:hAnsi="宋体"/>
              </w:rPr>
              <w:t xml:space="preserve">-16.42 </w:t>
            </w:r>
          </w:p>
        </w:tc>
        <w:tc>
          <w:tcPr>
            <w:tcW w:w="1079" w:type="pct"/>
          </w:tcPr>
          <w:p>
            <w:pPr>
              <w:jc w:val="right"/>
              <w:rPr>
                <w:rFonts w:ascii="宋体" w:hAnsi="宋体"/>
              </w:rPr>
            </w:pPr>
            <w:r>
              <w:rPr>
                <w:rFonts w:hint="eastAsia" w:ascii="宋体" w:hAnsi="宋体"/>
              </w:rPr>
              <w:t>减少</w:t>
            </w:r>
            <w:r>
              <w:rPr>
                <w:rFonts w:ascii="宋体" w:hAnsi="宋体"/>
              </w:rPr>
              <w:t>7.93个百分点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0" w:firstLineChars="0"/>
              <w:jc w:val="left"/>
              <w:rPr>
                <w:rFonts w:ascii="宋体" w:hAnsi="宋体" w:cs="宋体"/>
                <w:kern w:val="0"/>
                <w:szCs w:val="21"/>
              </w:rPr>
            </w:pPr>
            <w:r>
              <w:rPr>
                <w:rFonts w:hint="eastAsia" w:ascii="宋体" w:hAnsi="宋体" w:cs="宋体"/>
                <w:szCs w:val="21"/>
              </w:rPr>
              <w:t>其中：自产煤业务</w:t>
            </w:r>
          </w:p>
        </w:tc>
        <w:tc>
          <w:tcPr>
            <w:tcW w:w="571" w:type="pct"/>
            <w:vAlign w:val="center"/>
          </w:tcPr>
          <w:p>
            <w:pPr>
              <w:jc w:val="right"/>
              <w:rPr>
                <w:rFonts w:ascii="宋体" w:hAnsi="宋体"/>
              </w:rPr>
            </w:pPr>
            <w:r>
              <w:rPr>
                <w:rFonts w:ascii="宋体" w:hAnsi="宋体"/>
              </w:rPr>
              <w:t xml:space="preserve">94,990 </w:t>
            </w:r>
          </w:p>
        </w:tc>
        <w:tc>
          <w:tcPr>
            <w:tcW w:w="642" w:type="pct"/>
            <w:vAlign w:val="center"/>
          </w:tcPr>
          <w:p>
            <w:pPr>
              <w:jc w:val="right"/>
              <w:rPr>
                <w:rFonts w:ascii="宋体" w:hAnsi="宋体"/>
              </w:rPr>
            </w:pPr>
            <w:r>
              <w:rPr>
                <w:rFonts w:ascii="宋体" w:hAnsi="宋体"/>
              </w:rPr>
              <w:t xml:space="preserve">42,273 </w:t>
            </w:r>
          </w:p>
        </w:tc>
        <w:tc>
          <w:tcPr>
            <w:tcW w:w="491" w:type="pct"/>
            <w:vAlign w:val="center"/>
          </w:tcPr>
          <w:p>
            <w:pPr>
              <w:jc w:val="right"/>
              <w:rPr>
                <w:rFonts w:ascii="宋体" w:hAnsi="宋体"/>
              </w:rPr>
            </w:pPr>
            <w:r>
              <w:rPr>
                <w:rFonts w:ascii="宋体" w:hAnsi="宋体"/>
              </w:rPr>
              <w:t xml:space="preserve">55.50 </w:t>
            </w:r>
          </w:p>
        </w:tc>
        <w:tc>
          <w:tcPr>
            <w:tcW w:w="608" w:type="pct"/>
          </w:tcPr>
          <w:p>
            <w:pPr>
              <w:jc w:val="right"/>
              <w:rPr>
                <w:rFonts w:ascii="宋体" w:hAnsi="宋体"/>
              </w:rPr>
            </w:pPr>
            <w:r>
              <w:rPr>
                <w:rFonts w:ascii="宋体" w:hAnsi="宋体"/>
              </w:rPr>
              <w:t xml:space="preserve">-24.99 </w:t>
            </w:r>
          </w:p>
        </w:tc>
        <w:tc>
          <w:tcPr>
            <w:tcW w:w="608" w:type="pct"/>
          </w:tcPr>
          <w:p>
            <w:pPr>
              <w:jc w:val="right"/>
              <w:rPr>
                <w:rFonts w:ascii="宋体" w:hAnsi="宋体"/>
              </w:rPr>
            </w:pPr>
            <w:r>
              <w:rPr>
                <w:rFonts w:ascii="宋体" w:hAnsi="宋体"/>
              </w:rPr>
              <w:t xml:space="preserve">5.65 </w:t>
            </w:r>
          </w:p>
        </w:tc>
        <w:tc>
          <w:tcPr>
            <w:tcW w:w="1079" w:type="pct"/>
          </w:tcPr>
          <w:p>
            <w:pPr>
              <w:jc w:val="right"/>
              <w:rPr>
                <w:rFonts w:ascii="宋体" w:hAnsi="宋体"/>
              </w:rPr>
            </w:pPr>
            <w:r>
              <w:rPr>
                <w:rFonts w:hint="eastAsia" w:ascii="宋体" w:hAnsi="宋体"/>
              </w:rPr>
              <w:t>减少</w:t>
            </w:r>
            <w:r>
              <w:rPr>
                <w:rFonts w:ascii="宋体" w:hAnsi="宋体"/>
              </w:rPr>
              <w:t>12.91个百分点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630" w:firstLineChars="300"/>
              <w:jc w:val="left"/>
              <w:rPr>
                <w:rFonts w:ascii="宋体" w:hAnsi="宋体" w:cs="宋体"/>
                <w:kern w:val="0"/>
                <w:szCs w:val="21"/>
              </w:rPr>
            </w:pPr>
            <w:r>
              <w:rPr>
                <w:rFonts w:hint="eastAsia" w:ascii="宋体" w:hAnsi="宋体" w:cs="宋体"/>
                <w:szCs w:val="21"/>
              </w:rPr>
              <w:t>贸易煤业务</w:t>
            </w:r>
          </w:p>
        </w:tc>
        <w:tc>
          <w:tcPr>
            <w:tcW w:w="571" w:type="pct"/>
            <w:vAlign w:val="center"/>
          </w:tcPr>
          <w:p>
            <w:pPr>
              <w:jc w:val="right"/>
              <w:rPr>
                <w:rFonts w:ascii="宋体" w:hAnsi="宋体"/>
                <w:u w:val="single"/>
              </w:rPr>
            </w:pPr>
            <w:r>
              <w:rPr>
                <w:rFonts w:ascii="宋体" w:hAnsi="宋体"/>
              </w:rPr>
              <w:t xml:space="preserve">7,030 </w:t>
            </w:r>
          </w:p>
        </w:tc>
        <w:tc>
          <w:tcPr>
            <w:tcW w:w="642" w:type="pct"/>
            <w:vAlign w:val="center"/>
          </w:tcPr>
          <w:p>
            <w:pPr>
              <w:jc w:val="right"/>
              <w:rPr>
                <w:rFonts w:ascii="宋体" w:hAnsi="宋体"/>
                <w:u w:val="single"/>
              </w:rPr>
            </w:pPr>
            <w:r>
              <w:rPr>
                <w:rFonts w:ascii="宋体" w:hAnsi="宋体"/>
              </w:rPr>
              <w:t xml:space="preserve">7,058 </w:t>
            </w:r>
          </w:p>
        </w:tc>
        <w:tc>
          <w:tcPr>
            <w:tcW w:w="491" w:type="pct"/>
            <w:vAlign w:val="center"/>
          </w:tcPr>
          <w:p>
            <w:pPr>
              <w:jc w:val="right"/>
              <w:rPr>
                <w:rFonts w:ascii="宋体" w:hAnsi="宋体"/>
                <w:u w:val="single"/>
              </w:rPr>
            </w:pPr>
            <w:r>
              <w:rPr>
                <w:rFonts w:ascii="宋体" w:hAnsi="宋体"/>
              </w:rPr>
              <w:t xml:space="preserve">-0.41 </w:t>
            </w:r>
          </w:p>
        </w:tc>
        <w:tc>
          <w:tcPr>
            <w:tcW w:w="608" w:type="pct"/>
          </w:tcPr>
          <w:p>
            <w:pPr>
              <w:jc w:val="right"/>
              <w:rPr>
                <w:rFonts w:ascii="宋体" w:hAnsi="宋体"/>
                <w:u w:val="single"/>
              </w:rPr>
            </w:pPr>
            <w:r>
              <w:rPr>
                <w:rFonts w:ascii="宋体" w:hAnsi="宋体"/>
              </w:rPr>
              <w:t xml:space="preserve">-63.67 </w:t>
            </w:r>
          </w:p>
        </w:tc>
        <w:tc>
          <w:tcPr>
            <w:tcW w:w="608" w:type="pct"/>
          </w:tcPr>
          <w:p>
            <w:pPr>
              <w:jc w:val="right"/>
              <w:rPr>
                <w:rFonts w:ascii="宋体" w:hAnsi="宋体"/>
                <w:u w:val="single"/>
              </w:rPr>
            </w:pPr>
            <w:r>
              <w:rPr>
                <w:rFonts w:ascii="宋体" w:hAnsi="宋体"/>
              </w:rPr>
              <w:t xml:space="preserve">-62.87 </w:t>
            </w:r>
          </w:p>
        </w:tc>
        <w:tc>
          <w:tcPr>
            <w:tcW w:w="1079" w:type="pct"/>
          </w:tcPr>
          <w:p>
            <w:pPr>
              <w:jc w:val="right"/>
              <w:rPr>
                <w:rFonts w:ascii="宋体" w:hAnsi="宋体"/>
                <w:u w:val="single"/>
              </w:rPr>
            </w:pPr>
            <w:r>
              <w:rPr>
                <w:rFonts w:hint="eastAsia" w:ascii="宋体" w:hAnsi="宋体"/>
              </w:rPr>
              <w:t>减少</w:t>
            </w:r>
            <w:r>
              <w:rPr>
                <w:rFonts w:ascii="宋体" w:hAnsi="宋体"/>
              </w:rPr>
              <w:t>2.18个百分点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0" w:firstLineChars="0"/>
              <w:jc w:val="left"/>
              <w:rPr>
                <w:rFonts w:ascii="宋体" w:hAnsi="宋体" w:cs="宋体"/>
                <w:kern w:val="0"/>
                <w:szCs w:val="21"/>
              </w:rPr>
            </w:pPr>
            <w:r>
              <w:rPr>
                <w:rFonts w:ascii="宋体" w:hAnsi="宋体" w:cs="宋体"/>
                <w:szCs w:val="21"/>
              </w:rPr>
              <w:t>2.煤化工业务</w:t>
            </w:r>
          </w:p>
        </w:tc>
        <w:tc>
          <w:tcPr>
            <w:tcW w:w="571" w:type="pct"/>
            <w:vAlign w:val="center"/>
          </w:tcPr>
          <w:p>
            <w:pPr>
              <w:jc w:val="right"/>
              <w:rPr>
                <w:rFonts w:ascii="宋体" w:hAnsi="宋体"/>
              </w:rPr>
            </w:pPr>
            <w:r>
              <w:rPr>
                <w:rFonts w:ascii="宋体" w:hAnsi="宋体"/>
              </w:rPr>
              <w:t xml:space="preserve">26,398 </w:t>
            </w:r>
          </w:p>
        </w:tc>
        <w:tc>
          <w:tcPr>
            <w:tcW w:w="642" w:type="pct"/>
            <w:vAlign w:val="center"/>
          </w:tcPr>
          <w:p>
            <w:pPr>
              <w:jc w:val="right"/>
              <w:rPr>
                <w:rFonts w:ascii="宋体" w:hAnsi="宋体"/>
              </w:rPr>
            </w:pPr>
            <w:r>
              <w:rPr>
                <w:rFonts w:ascii="宋体" w:hAnsi="宋体"/>
              </w:rPr>
              <w:t xml:space="preserve">21,130 </w:t>
            </w:r>
          </w:p>
        </w:tc>
        <w:tc>
          <w:tcPr>
            <w:tcW w:w="491" w:type="pct"/>
            <w:vAlign w:val="center"/>
          </w:tcPr>
          <w:p>
            <w:pPr>
              <w:jc w:val="right"/>
              <w:rPr>
                <w:rFonts w:ascii="宋体" w:hAnsi="宋体"/>
              </w:rPr>
            </w:pPr>
            <w:r>
              <w:rPr>
                <w:rFonts w:ascii="宋体" w:hAnsi="宋体"/>
              </w:rPr>
              <w:t xml:space="preserve">19.95 </w:t>
            </w:r>
          </w:p>
        </w:tc>
        <w:tc>
          <w:tcPr>
            <w:tcW w:w="608" w:type="pct"/>
          </w:tcPr>
          <w:p>
            <w:pPr>
              <w:jc w:val="right"/>
              <w:rPr>
                <w:rFonts w:ascii="宋体" w:hAnsi="宋体"/>
              </w:rPr>
            </w:pPr>
            <w:r>
              <w:rPr>
                <w:rFonts w:ascii="宋体" w:hAnsi="宋体"/>
              </w:rPr>
              <w:t xml:space="preserve">0.23 </w:t>
            </w:r>
          </w:p>
        </w:tc>
        <w:tc>
          <w:tcPr>
            <w:tcW w:w="608" w:type="pct"/>
          </w:tcPr>
          <w:p>
            <w:pPr>
              <w:jc w:val="right"/>
              <w:rPr>
                <w:rFonts w:ascii="宋体" w:hAnsi="宋体"/>
              </w:rPr>
            </w:pPr>
            <w:r>
              <w:rPr>
                <w:rFonts w:ascii="宋体" w:hAnsi="宋体"/>
              </w:rPr>
              <w:t xml:space="preserve">1.80 </w:t>
            </w:r>
          </w:p>
        </w:tc>
        <w:tc>
          <w:tcPr>
            <w:tcW w:w="1079" w:type="pct"/>
          </w:tcPr>
          <w:p>
            <w:pPr>
              <w:jc w:val="right"/>
              <w:rPr>
                <w:rFonts w:ascii="宋体" w:hAnsi="宋体"/>
              </w:rPr>
            </w:pPr>
            <w:r>
              <w:rPr>
                <w:rFonts w:hint="eastAsia" w:ascii="宋体" w:hAnsi="宋体"/>
              </w:rPr>
              <w:t>减少</w:t>
            </w:r>
            <w:r>
              <w:rPr>
                <w:rFonts w:ascii="宋体" w:hAnsi="宋体"/>
              </w:rPr>
              <w:t>1.23个百分点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0" w:firstLineChars="0"/>
              <w:jc w:val="left"/>
              <w:rPr>
                <w:rFonts w:ascii="宋体" w:hAnsi="宋体" w:cs="宋体"/>
                <w:kern w:val="0"/>
                <w:szCs w:val="21"/>
              </w:rPr>
            </w:pPr>
            <w:r>
              <w:rPr>
                <w:rFonts w:ascii="宋体" w:hAnsi="宋体" w:cs="宋体"/>
                <w:szCs w:val="21"/>
              </w:rPr>
              <w:t>3.电力业务</w:t>
            </w:r>
          </w:p>
        </w:tc>
        <w:tc>
          <w:tcPr>
            <w:tcW w:w="571" w:type="pct"/>
            <w:vAlign w:val="center"/>
          </w:tcPr>
          <w:p>
            <w:pPr>
              <w:jc w:val="right"/>
              <w:rPr>
                <w:rFonts w:ascii="宋体" w:hAnsi="宋体"/>
              </w:rPr>
            </w:pPr>
            <w:r>
              <w:rPr>
                <w:rFonts w:ascii="宋体" w:hAnsi="宋体"/>
              </w:rPr>
              <w:t xml:space="preserve">2,589 </w:t>
            </w:r>
          </w:p>
        </w:tc>
        <w:tc>
          <w:tcPr>
            <w:tcW w:w="642" w:type="pct"/>
            <w:vAlign w:val="center"/>
          </w:tcPr>
          <w:p>
            <w:pPr>
              <w:jc w:val="right"/>
              <w:rPr>
                <w:rFonts w:ascii="宋体" w:hAnsi="宋体"/>
              </w:rPr>
            </w:pPr>
            <w:r>
              <w:rPr>
                <w:rFonts w:ascii="宋体" w:hAnsi="宋体"/>
              </w:rPr>
              <w:t xml:space="preserve">2,351 </w:t>
            </w:r>
          </w:p>
        </w:tc>
        <w:tc>
          <w:tcPr>
            <w:tcW w:w="491" w:type="pct"/>
            <w:vAlign w:val="center"/>
          </w:tcPr>
          <w:p>
            <w:pPr>
              <w:jc w:val="right"/>
              <w:rPr>
                <w:rFonts w:ascii="宋体" w:hAnsi="宋体"/>
              </w:rPr>
            </w:pPr>
            <w:r>
              <w:rPr>
                <w:rFonts w:ascii="宋体" w:hAnsi="宋体"/>
              </w:rPr>
              <w:t xml:space="preserve">9.17 </w:t>
            </w:r>
          </w:p>
        </w:tc>
        <w:tc>
          <w:tcPr>
            <w:tcW w:w="608" w:type="pct"/>
          </w:tcPr>
          <w:p>
            <w:pPr>
              <w:jc w:val="right"/>
              <w:rPr>
                <w:rFonts w:ascii="宋体" w:hAnsi="宋体"/>
              </w:rPr>
            </w:pPr>
            <w:r>
              <w:rPr>
                <w:rFonts w:ascii="宋体" w:hAnsi="宋体"/>
              </w:rPr>
              <w:t xml:space="preserve">-4.95 </w:t>
            </w:r>
          </w:p>
        </w:tc>
        <w:tc>
          <w:tcPr>
            <w:tcW w:w="608" w:type="pct"/>
          </w:tcPr>
          <w:p>
            <w:pPr>
              <w:jc w:val="right"/>
              <w:rPr>
                <w:rFonts w:ascii="宋体" w:hAnsi="宋体"/>
              </w:rPr>
            </w:pPr>
            <w:r>
              <w:rPr>
                <w:rFonts w:ascii="宋体" w:hAnsi="宋体"/>
              </w:rPr>
              <w:t xml:space="preserve">5.08 </w:t>
            </w:r>
          </w:p>
        </w:tc>
        <w:tc>
          <w:tcPr>
            <w:tcW w:w="1079" w:type="pct"/>
          </w:tcPr>
          <w:p>
            <w:pPr>
              <w:jc w:val="right"/>
              <w:rPr>
                <w:rFonts w:ascii="宋体" w:hAnsi="宋体"/>
              </w:rPr>
            </w:pPr>
            <w:r>
              <w:rPr>
                <w:rFonts w:hint="eastAsia" w:ascii="宋体" w:hAnsi="宋体"/>
              </w:rPr>
              <w:t>减少</w:t>
            </w:r>
            <w:r>
              <w:rPr>
                <w:rFonts w:ascii="宋体" w:hAnsi="宋体"/>
              </w:rPr>
              <w:t>8.67个百分点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vAlign w:val="center"/>
          </w:tcPr>
          <w:p>
            <w:pPr>
              <w:pStyle w:val="55"/>
              <w:ind w:firstLine="0" w:firstLineChars="0"/>
              <w:jc w:val="left"/>
              <w:rPr>
                <w:rFonts w:ascii="宋体" w:hAnsi="宋体" w:cs="宋体"/>
                <w:kern w:val="0"/>
                <w:szCs w:val="21"/>
              </w:rPr>
            </w:pPr>
            <w:r>
              <w:rPr>
                <w:rFonts w:ascii="宋体" w:hAnsi="宋体" w:cs="宋体"/>
                <w:szCs w:val="21"/>
              </w:rPr>
              <w:t>4.</w:t>
            </w:r>
            <w:r>
              <w:rPr>
                <w:rFonts w:hint="eastAsia" w:ascii="宋体" w:hAnsi="宋体" w:cs="宋体"/>
                <w:szCs w:val="21"/>
              </w:rPr>
              <w:t>其他业务</w:t>
            </w:r>
          </w:p>
        </w:tc>
        <w:tc>
          <w:tcPr>
            <w:tcW w:w="571" w:type="pct"/>
            <w:vAlign w:val="center"/>
          </w:tcPr>
          <w:p>
            <w:pPr>
              <w:jc w:val="right"/>
              <w:rPr>
                <w:rFonts w:ascii="宋体" w:hAnsi="宋体"/>
              </w:rPr>
            </w:pPr>
            <w:r>
              <w:rPr>
                <w:rFonts w:ascii="宋体" w:hAnsi="宋体"/>
              </w:rPr>
              <w:t xml:space="preserve">1,737 </w:t>
            </w:r>
          </w:p>
        </w:tc>
        <w:tc>
          <w:tcPr>
            <w:tcW w:w="642" w:type="pct"/>
            <w:vAlign w:val="center"/>
          </w:tcPr>
          <w:p>
            <w:pPr>
              <w:jc w:val="right"/>
              <w:rPr>
                <w:rFonts w:ascii="宋体" w:hAnsi="宋体"/>
              </w:rPr>
            </w:pPr>
            <w:r>
              <w:rPr>
                <w:rFonts w:ascii="宋体" w:hAnsi="宋体"/>
              </w:rPr>
              <w:t xml:space="preserve">1,715 </w:t>
            </w:r>
          </w:p>
        </w:tc>
        <w:tc>
          <w:tcPr>
            <w:tcW w:w="491" w:type="pct"/>
            <w:vAlign w:val="center"/>
          </w:tcPr>
          <w:p>
            <w:pPr>
              <w:jc w:val="right"/>
              <w:rPr>
                <w:rFonts w:ascii="宋体" w:hAnsi="宋体"/>
              </w:rPr>
            </w:pPr>
            <w:r>
              <w:rPr>
                <w:rFonts w:ascii="宋体" w:hAnsi="宋体"/>
              </w:rPr>
              <w:t xml:space="preserve">1.26 </w:t>
            </w:r>
          </w:p>
        </w:tc>
        <w:tc>
          <w:tcPr>
            <w:tcW w:w="608" w:type="pct"/>
            <w:vAlign w:val="center"/>
          </w:tcPr>
          <w:p>
            <w:pPr>
              <w:jc w:val="right"/>
              <w:rPr>
                <w:rFonts w:ascii="宋体" w:hAnsi="宋体"/>
              </w:rPr>
            </w:pPr>
            <w:r>
              <w:rPr>
                <w:rFonts w:ascii="宋体" w:hAnsi="宋体"/>
              </w:rPr>
              <w:t>-1.41</w:t>
            </w:r>
          </w:p>
        </w:tc>
        <w:tc>
          <w:tcPr>
            <w:tcW w:w="608" w:type="pct"/>
            <w:vAlign w:val="center"/>
          </w:tcPr>
          <w:p>
            <w:pPr>
              <w:jc w:val="right"/>
              <w:rPr>
                <w:rFonts w:ascii="宋体" w:hAnsi="宋体"/>
                <w:u w:val="single"/>
              </w:rPr>
            </w:pPr>
            <w:r>
              <w:rPr>
                <w:rFonts w:ascii="宋体" w:hAnsi="宋体"/>
              </w:rPr>
              <w:t xml:space="preserve">3.56 </w:t>
            </w:r>
          </w:p>
        </w:tc>
        <w:tc>
          <w:tcPr>
            <w:tcW w:w="1079" w:type="pct"/>
          </w:tcPr>
          <w:p>
            <w:pPr>
              <w:jc w:val="right"/>
              <w:rPr>
                <w:rFonts w:ascii="宋体" w:hAnsi="宋体"/>
                <w:u w:val="single"/>
              </w:rPr>
            </w:pPr>
            <w:r>
              <w:rPr>
                <w:rFonts w:hint="eastAsia" w:ascii="宋体" w:hAnsi="宋体"/>
              </w:rPr>
              <w:t>减少</w:t>
            </w:r>
            <w:r>
              <w:rPr>
                <w:rFonts w:ascii="宋体" w:hAnsi="宋体"/>
              </w:rPr>
              <w:t>4.74个百分点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fe4b98c3f70c495d9eb9797ce0f7b5f6"/>
            <w:id w:val="-1413388506"/>
          </w:sdtPr>
          <w:sdtEndPr>
            <w:rPr>
              <w:rFonts w:ascii="宋体" w:hAnsi="宋体"/>
            </w:rPr>
          </w:sdtEndPr>
          <w:sdtContent>
            <w:tc>
              <w:tcPr>
                <w:tcW w:w="5000" w:type="pct"/>
                <w:gridSpan w:val="7"/>
              </w:tcPr>
              <w:p>
                <w:pPr>
                  <w:jc w:val="center"/>
                  <w:rPr>
                    <w:rFonts w:ascii="宋体" w:hAnsi="宋体"/>
                  </w:rPr>
                </w:pPr>
                <w:r>
                  <w:rPr>
                    <w:rFonts w:hint="eastAsia" w:ascii="宋体" w:hAnsi="宋体"/>
                  </w:rPr>
                  <w:t>主营业务分地区情况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88d8ea3d867f4a97a5a66d059c2a507e"/>
            <w:id w:val="-2102791933"/>
          </w:sdtPr>
          <w:sdtEndPr>
            <w:rPr>
              <w:rFonts w:ascii="宋体" w:hAnsi="宋体"/>
            </w:rPr>
          </w:sdtEndPr>
          <w:sdtContent>
            <w:tc>
              <w:tcPr>
                <w:tcW w:w="1001" w:type="pct"/>
                <w:vAlign w:val="center"/>
              </w:tcPr>
              <w:p>
                <w:pPr>
                  <w:jc w:val="center"/>
                  <w:rPr>
                    <w:rFonts w:ascii="宋体" w:hAnsi="宋体"/>
                  </w:rPr>
                </w:pPr>
                <w:r>
                  <w:rPr>
                    <w:rFonts w:hint="eastAsia" w:ascii="宋体" w:hAnsi="宋体"/>
                  </w:rPr>
                  <w:t>分地区</w:t>
                </w:r>
              </w:p>
            </w:tc>
          </w:sdtContent>
        </w:sdt>
        <w:sdt>
          <w:sdtPr>
            <w:rPr>
              <w:rFonts w:ascii="宋体" w:hAnsi="宋体"/>
            </w:rPr>
            <w:tag w:val="_PLD_d960c947c6424e2a87acbd6f4d534b0a"/>
            <w:id w:val="1800573003"/>
          </w:sdtPr>
          <w:sdtEndPr>
            <w:rPr>
              <w:rFonts w:ascii="宋体" w:hAnsi="宋体"/>
            </w:rPr>
          </w:sdtEndPr>
          <w:sdtContent>
            <w:tc>
              <w:tcPr>
                <w:tcW w:w="571" w:type="pct"/>
                <w:vAlign w:val="center"/>
              </w:tcPr>
              <w:p>
                <w:pPr>
                  <w:jc w:val="center"/>
                  <w:rPr>
                    <w:rFonts w:ascii="宋体" w:hAnsi="宋体"/>
                  </w:rPr>
                </w:pPr>
                <w:r>
                  <w:rPr>
                    <w:rFonts w:hint="eastAsia" w:ascii="宋体" w:hAnsi="宋体"/>
                  </w:rPr>
                  <w:t>营业收入</w:t>
                </w:r>
              </w:p>
            </w:tc>
          </w:sdtContent>
        </w:sdt>
        <w:sdt>
          <w:sdtPr>
            <w:rPr>
              <w:rFonts w:ascii="宋体" w:hAnsi="宋体"/>
            </w:rPr>
            <w:tag w:val="_PLD_0cab657ed1664cda8d161069df0d4ffe"/>
            <w:id w:val="-540515585"/>
          </w:sdtPr>
          <w:sdtEndPr>
            <w:rPr>
              <w:rFonts w:ascii="宋体" w:hAnsi="宋体"/>
            </w:rPr>
          </w:sdtEndPr>
          <w:sdtContent>
            <w:tc>
              <w:tcPr>
                <w:tcW w:w="642" w:type="pct"/>
                <w:vAlign w:val="center"/>
              </w:tcPr>
              <w:p>
                <w:pPr>
                  <w:jc w:val="center"/>
                  <w:rPr>
                    <w:rFonts w:ascii="宋体" w:hAnsi="宋体"/>
                  </w:rPr>
                </w:pPr>
                <w:r>
                  <w:rPr>
                    <w:rFonts w:hint="eastAsia" w:ascii="宋体" w:hAnsi="宋体"/>
                  </w:rPr>
                  <w:t>营业成本</w:t>
                </w:r>
              </w:p>
            </w:tc>
          </w:sdtContent>
        </w:sdt>
        <w:sdt>
          <w:sdtPr>
            <w:rPr>
              <w:rFonts w:ascii="宋体" w:hAnsi="宋体"/>
            </w:rPr>
            <w:tag w:val="_PLD_de52f565c0c94f5f8930a8d275890566"/>
            <w:id w:val="589660974"/>
          </w:sdtPr>
          <w:sdtEndPr>
            <w:rPr>
              <w:rFonts w:ascii="宋体" w:hAnsi="宋体"/>
            </w:rPr>
          </w:sdtEndPr>
          <w:sdtContent>
            <w:tc>
              <w:tcPr>
                <w:tcW w:w="491" w:type="pct"/>
                <w:vAlign w:val="center"/>
              </w:tcPr>
              <w:p>
                <w:pPr>
                  <w:jc w:val="center"/>
                  <w:rPr>
                    <w:rFonts w:ascii="宋体" w:hAnsi="宋体"/>
                  </w:rPr>
                </w:pPr>
                <w:r>
                  <w:rPr>
                    <w:rFonts w:hint="eastAsia" w:ascii="宋体" w:hAnsi="宋体"/>
                  </w:rPr>
                  <w:t>毛利率（%）</w:t>
                </w:r>
              </w:p>
            </w:tc>
          </w:sdtContent>
        </w:sdt>
        <w:sdt>
          <w:sdtPr>
            <w:rPr>
              <w:rFonts w:ascii="宋体" w:hAnsi="宋体"/>
            </w:rPr>
            <w:tag w:val="_PLD_66acbff90fbb46ac8fc6c5840a2a1352"/>
            <w:id w:val="-791049238"/>
          </w:sdtPr>
          <w:sdtEndPr>
            <w:rPr>
              <w:rFonts w:ascii="宋体" w:hAnsi="宋体"/>
            </w:rPr>
          </w:sdtEndPr>
          <w:sdtContent>
            <w:tc>
              <w:tcPr>
                <w:tcW w:w="608" w:type="pct"/>
                <w:vAlign w:val="center"/>
              </w:tcPr>
              <w:p>
                <w:pPr>
                  <w:jc w:val="center"/>
                  <w:rPr>
                    <w:rFonts w:ascii="宋体" w:hAnsi="宋体"/>
                  </w:rPr>
                </w:pPr>
                <w:r>
                  <w:rPr>
                    <w:rFonts w:hint="eastAsia" w:ascii="宋体" w:hAnsi="宋体"/>
                  </w:rPr>
                  <w:t>营业收入比上年增减（%）</w:t>
                </w:r>
              </w:p>
            </w:tc>
          </w:sdtContent>
        </w:sdt>
        <w:sdt>
          <w:sdtPr>
            <w:rPr>
              <w:rFonts w:ascii="宋体" w:hAnsi="宋体"/>
            </w:rPr>
            <w:tag w:val="_PLD_24222e0fb06f4b87bb8e6a25bfc923a9"/>
            <w:id w:val="-154379747"/>
          </w:sdtPr>
          <w:sdtEndPr>
            <w:rPr>
              <w:rFonts w:ascii="宋体" w:hAnsi="宋体"/>
            </w:rPr>
          </w:sdtEndPr>
          <w:sdtContent>
            <w:tc>
              <w:tcPr>
                <w:tcW w:w="608" w:type="pct"/>
                <w:vAlign w:val="center"/>
              </w:tcPr>
              <w:p>
                <w:pPr>
                  <w:jc w:val="center"/>
                  <w:rPr>
                    <w:rFonts w:ascii="宋体" w:hAnsi="宋体"/>
                  </w:rPr>
                </w:pPr>
                <w:r>
                  <w:rPr>
                    <w:rFonts w:hint="eastAsia" w:ascii="宋体" w:hAnsi="宋体"/>
                  </w:rPr>
                  <w:t>营业成本比上年增减（%）</w:t>
                </w:r>
              </w:p>
            </w:tc>
          </w:sdtContent>
        </w:sdt>
        <w:sdt>
          <w:sdtPr>
            <w:rPr>
              <w:rFonts w:ascii="宋体" w:hAnsi="宋体"/>
            </w:rPr>
            <w:tag w:val="_PLD_055160da443c4e4a8c520dbbde5baec3"/>
            <w:id w:val="1460913041"/>
          </w:sdtPr>
          <w:sdtEndPr>
            <w:rPr>
              <w:rFonts w:ascii="宋体" w:hAnsi="宋体"/>
            </w:rPr>
          </w:sdtEndPr>
          <w:sdtContent>
            <w:tc>
              <w:tcPr>
                <w:tcW w:w="1079" w:type="pct"/>
                <w:vAlign w:val="center"/>
              </w:tcPr>
              <w:p>
                <w:pPr>
                  <w:jc w:val="center"/>
                  <w:rPr>
                    <w:rFonts w:ascii="宋体" w:hAnsi="宋体"/>
                  </w:rPr>
                </w:pPr>
                <w:r>
                  <w:rPr>
                    <w:rFonts w:hint="eastAsia" w:ascii="宋体" w:hAnsi="宋体"/>
                  </w:rPr>
                  <w:t>毛利率</w:t>
                </w:r>
                <w:r>
                  <w:rPr>
                    <w:rFonts w:ascii="宋体" w:hAnsi="宋体"/>
                  </w:rPr>
                  <w:t>比上年增减（</w:t>
                </w:r>
                <w:r>
                  <w:rPr>
                    <w:rFonts w:hint="eastAsia" w:ascii="宋体" w:hAnsi="宋体"/>
                  </w:rPr>
                  <w:t>%</w:t>
                </w:r>
                <w:r>
                  <w:rPr>
                    <w:rFonts w:ascii="宋体" w:hAnsi="宋体"/>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tcPr>
          <w:p>
            <w:pPr>
              <w:pStyle w:val="55"/>
              <w:ind w:firstLine="0" w:firstLineChars="0"/>
              <w:jc w:val="left"/>
              <w:rPr>
                <w:rFonts w:ascii="宋体" w:hAnsi="宋体" w:cs="宋体"/>
                <w:kern w:val="0"/>
                <w:szCs w:val="21"/>
              </w:rPr>
            </w:pPr>
            <w:r>
              <w:rPr>
                <w:rFonts w:hint="eastAsia" w:ascii="宋体" w:hAnsi="宋体"/>
              </w:rPr>
              <w:t>国内</w:t>
            </w:r>
          </w:p>
        </w:tc>
        <w:tc>
          <w:tcPr>
            <w:tcW w:w="571" w:type="pct"/>
          </w:tcPr>
          <w:p>
            <w:pPr>
              <w:jc w:val="right"/>
              <w:rPr>
                <w:rFonts w:ascii="宋体" w:hAnsi="宋体"/>
              </w:rPr>
            </w:pPr>
            <w:r>
              <w:rPr>
                <w:rFonts w:ascii="宋体" w:hAnsi="宋体"/>
              </w:rPr>
              <w:t xml:space="preserve">92,233 </w:t>
            </w:r>
          </w:p>
        </w:tc>
        <w:tc>
          <w:tcPr>
            <w:tcW w:w="642" w:type="pct"/>
          </w:tcPr>
          <w:p>
            <w:pPr>
              <w:jc w:val="right"/>
              <w:rPr>
                <w:rFonts w:ascii="宋体" w:hAnsi="宋体"/>
              </w:rPr>
            </w:pPr>
            <w:r>
              <w:rPr>
                <w:rFonts w:ascii="宋体" w:hAnsi="宋体"/>
              </w:rPr>
              <w:t xml:space="preserve">52,218 </w:t>
            </w:r>
          </w:p>
        </w:tc>
        <w:tc>
          <w:tcPr>
            <w:tcW w:w="491" w:type="pct"/>
          </w:tcPr>
          <w:p>
            <w:pPr>
              <w:jc w:val="right"/>
              <w:rPr>
                <w:rFonts w:ascii="宋体" w:hAnsi="宋体"/>
              </w:rPr>
            </w:pPr>
            <w:r>
              <w:rPr>
                <w:rFonts w:ascii="宋体" w:hAnsi="宋体"/>
              </w:rPr>
              <w:t xml:space="preserve">43.38 </w:t>
            </w:r>
          </w:p>
        </w:tc>
        <w:tc>
          <w:tcPr>
            <w:tcW w:w="608" w:type="pct"/>
          </w:tcPr>
          <w:p>
            <w:pPr>
              <w:jc w:val="right"/>
              <w:rPr>
                <w:rFonts w:ascii="宋体" w:hAnsi="宋体"/>
              </w:rPr>
            </w:pPr>
            <w:r>
              <w:rPr>
                <w:rFonts w:ascii="宋体" w:hAnsi="宋体"/>
              </w:rPr>
              <w:t xml:space="preserve">-24.56 </w:t>
            </w:r>
          </w:p>
        </w:tc>
        <w:tc>
          <w:tcPr>
            <w:tcW w:w="608" w:type="pct"/>
          </w:tcPr>
          <w:p>
            <w:pPr>
              <w:jc w:val="right"/>
              <w:rPr>
                <w:rFonts w:ascii="宋体" w:hAnsi="宋体"/>
              </w:rPr>
            </w:pPr>
            <w:r>
              <w:rPr>
                <w:rFonts w:ascii="宋体" w:hAnsi="宋体"/>
              </w:rPr>
              <w:t xml:space="preserve">-19.06 </w:t>
            </w:r>
          </w:p>
        </w:tc>
        <w:tc>
          <w:tcPr>
            <w:tcW w:w="1079" w:type="pct"/>
          </w:tcPr>
          <w:p>
            <w:pPr>
              <w:jc w:val="right"/>
              <w:rPr>
                <w:rFonts w:ascii="宋体" w:hAnsi="宋体"/>
              </w:rPr>
            </w:pPr>
            <w:r>
              <w:rPr>
                <w:rFonts w:hint="eastAsia" w:ascii="宋体" w:hAnsi="宋体"/>
              </w:rPr>
              <w:t>减少</w:t>
            </w:r>
            <w:r>
              <w:rPr>
                <w:rFonts w:ascii="宋体" w:hAnsi="宋体"/>
              </w:rPr>
              <w:t>3.84个百分点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tcPr>
          <w:p>
            <w:pPr>
              <w:pStyle w:val="55"/>
              <w:ind w:firstLine="0" w:firstLineChars="0"/>
              <w:jc w:val="left"/>
              <w:rPr>
                <w:rFonts w:ascii="宋体" w:hAnsi="宋体" w:cs="宋体"/>
                <w:kern w:val="0"/>
                <w:szCs w:val="21"/>
              </w:rPr>
            </w:pPr>
            <w:r>
              <w:rPr>
                <w:rFonts w:hint="eastAsia" w:ascii="宋体" w:hAnsi="宋体"/>
              </w:rPr>
              <w:t>国外</w:t>
            </w:r>
          </w:p>
        </w:tc>
        <w:tc>
          <w:tcPr>
            <w:tcW w:w="571" w:type="pct"/>
          </w:tcPr>
          <w:p>
            <w:pPr>
              <w:jc w:val="right"/>
              <w:rPr>
                <w:rFonts w:ascii="宋体" w:hAnsi="宋体"/>
              </w:rPr>
            </w:pPr>
            <w:r>
              <w:rPr>
                <w:rFonts w:ascii="宋体" w:hAnsi="宋体"/>
              </w:rPr>
              <w:t xml:space="preserve">40,510 </w:t>
            </w:r>
          </w:p>
        </w:tc>
        <w:tc>
          <w:tcPr>
            <w:tcW w:w="642" w:type="pct"/>
          </w:tcPr>
          <w:p>
            <w:pPr>
              <w:jc w:val="right"/>
              <w:rPr>
                <w:rFonts w:ascii="宋体" w:hAnsi="宋体"/>
              </w:rPr>
            </w:pPr>
            <w:r>
              <w:rPr>
                <w:rFonts w:ascii="宋体" w:hAnsi="宋体"/>
              </w:rPr>
              <w:t xml:space="preserve">22,310 </w:t>
            </w:r>
          </w:p>
        </w:tc>
        <w:tc>
          <w:tcPr>
            <w:tcW w:w="491" w:type="pct"/>
          </w:tcPr>
          <w:p>
            <w:pPr>
              <w:jc w:val="right"/>
              <w:rPr>
                <w:rFonts w:ascii="宋体" w:hAnsi="宋体"/>
              </w:rPr>
            </w:pPr>
            <w:r>
              <w:rPr>
                <w:rFonts w:ascii="宋体" w:hAnsi="宋体"/>
              </w:rPr>
              <w:t xml:space="preserve">44.93 </w:t>
            </w:r>
          </w:p>
        </w:tc>
        <w:tc>
          <w:tcPr>
            <w:tcW w:w="608" w:type="pct"/>
          </w:tcPr>
          <w:p>
            <w:pPr>
              <w:jc w:val="right"/>
              <w:rPr>
                <w:rFonts w:ascii="宋体" w:hAnsi="宋体"/>
              </w:rPr>
            </w:pPr>
            <w:r>
              <w:rPr>
                <w:rFonts w:ascii="宋体" w:hAnsi="宋体"/>
              </w:rPr>
              <w:t xml:space="preserve">-25.75 </w:t>
            </w:r>
          </w:p>
        </w:tc>
        <w:tc>
          <w:tcPr>
            <w:tcW w:w="608" w:type="pct"/>
          </w:tcPr>
          <w:p>
            <w:pPr>
              <w:jc w:val="right"/>
              <w:rPr>
                <w:rFonts w:ascii="宋体" w:hAnsi="宋体"/>
              </w:rPr>
            </w:pPr>
            <w:r>
              <w:rPr>
                <w:rFonts w:ascii="宋体" w:hAnsi="宋体"/>
              </w:rPr>
              <w:t xml:space="preserve">16.46 </w:t>
            </w:r>
          </w:p>
        </w:tc>
        <w:tc>
          <w:tcPr>
            <w:tcW w:w="1079" w:type="pct"/>
          </w:tcPr>
          <w:p>
            <w:pPr>
              <w:jc w:val="right"/>
              <w:rPr>
                <w:rFonts w:ascii="宋体" w:hAnsi="宋体"/>
              </w:rPr>
            </w:pPr>
            <w:r>
              <w:rPr>
                <w:rFonts w:hint="eastAsia" w:ascii="宋体" w:hAnsi="宋体"/>
              </w:rPr>
              <w:t>减少</w:t>
            </w:r>
            <w:r>
              <w:rPr>
                <w:rFonts w:ascii="宋体" w:hAnsi="宋体"/>
              </w:rPr>
              <w:t>19.96个百分点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Pr>
          <w:p>
            <w:pPr>
              <w:jc w:val="center"/>
              <w:rPr>
                <w:rFonts w:ascii="宋体" w:hAnsi="宋体"/>
              </w:rPr>
            </w:pPr>
            <w:sdt>
              <w:sdtPr>
                <w:rPr>
                  <w:rFonts w:hint="eastAsia" w:ascii="宋体" w:hAnsi="宋体"/>
                </w:rPr>
                <w:tag w:val="_PLD_4be57b876a364ef5aee49673f139ef4a"/>
                <w:id w:val="-326440593"/>
              </w:sdtPr>
              <w:sdtEndPr>
                <w:rPr>
                  <w:rFonts w:hint="eastAsia" w:ascii="宋体" w:hAnsi="宋体"/>
                </w:rPr>
              </w:sdtEndPr>
              <w:sdtContent>
                <w:r>
                  <w:rPr>
                    <w:rFonts w:hint="eastAsia" w:ascii="宋体" w:hAnsi="宋体"/>
                  </w:rPr>
                  <w:t>主营业务分销售模式情况</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hint="eastAsia" w:ascii="宋体" w:hAnsi="宋体" w:cs="宋体"/>
              <w:kern w:val="0"/>
              <w:szCs w:val="21"/>
            </w:rPr>
            <w:tag w:val="_PLD_fe8c7b7bf3a444db814cf5c56b1b72e0"/>
            <w:id w:val="-1488865198"/>
          </w:sdtPr>
          <w:sdtEndPr>
            <w:rPr>
              <w:rFonts w:hint="eastAsia" w:ascii="宋体" w:hAnsi="宋体" w:cs="宋体"/>
              <w:kern w:val="0"/>
              <w:szCs w:val="21"/>
            </w:rPr>
          </w:sdtEndPr>
          <w:sdtContent>
            <w:tc>
              <w:tcPr>
                <w:tcW w:w="1001" w:type="pct"/>
                <w:vAlign w:val="center"/>
              </w:tcPr>
              <w:p>
                <w:pPr>
                  <w:pStyle w:val="55"/>
                  <w:ind w:firstLine="0" w:firstLineChars="0"/>
                  <w:jc w:val="center"/>
                  <w:rPr>
                    <w:rFonts w:ascii="宋体" w:hAnsi="宋体" w:cs="宋体"/>
                    <w:kern w:val="0"/>
                    <w:szCs w:val="21"/>
                  </w:rPr>
                </w:pPr>
                <w:r>
                  <w:rPr>
                    <w:rFonts w:hint="eastAsia" w:ascii="宋体" w:hAnsi="宋体" w:cs="宋体"/>
                    <w:kern w:val="0"/>
                    <w:szCs w:val="21"/>
                  </w:rPr>
                  <w:t>销售模式</w:t>
                </w:r>
              </w:p>
            </w:tc>
          </w:sdtContent>
        </w:sdt>
        <w:sdt>
          <w:sdtPr>
            <w:rPr>
              <w:rFonts w:hint="eastAsia" w:ascii="宋体" w:hAnsi="宋体"/>
            </w:rPr>
            <w:tag w:val="_PLD_a8a3a2b010534c9d820c7f9b6fd92caf"/>
            <w:id w:val="-2101941271"/>
          </w:sdtPr>
          <w:sdtEndPr>
            <w:rPr>
              <w:rFonts w:hint="eastAsia" w:ascii="宋体" w:hAnsi="宋体"/>
            </w:rPr>
          </w:sdtEndPr>
          <w:sdtContent>
            <w:tc>
              <w:tcPr>
                <w:tcW w:w="571" w:type="pct"/>
                <w:vAlign w:val="center"/>
              </w:tcPr>
              <w:p>
                <w:pPr>
                  <w:jc w:val="center"/>
                  <w:rPr>
                    <w:rFonts w:ascii="宋体" w:hAnsi="宋体"/>
                  </w:rPr>
                </w:pPr>
                <w:r>
                  <w:rPr>
                    <w:rFonts w:hint="eastAsia" w:ascii="宋体" w:hAnsi="宋体"/>
                  </w:rPr>
                  <w:t>营业收入</w:t>
                </w:r>
              </w:p>
            </w:tc>
          </w:sdtContent>
        </w:sdt>
        <w:sdt>
          <w:sdtPr>
            <w:rPr>
              <w:rFonts w:hint="eastAsia" w:ascii="宋体" w:hAnsi="宋体"/>
            </w:rPr>
            <w:tag w:val="_PLD_cc237396dacd4c16b49a8294763c220b"/>
            <w:id w:val="-1058093457"/>
          </w:sdtPr>
          <w:sdtEndPr>
            <w:rPr>
              <w:rFonts w:hint="eastAsia" w:ascii="宋体" w:hAnsi="宋体"/>
            </w:rPr>
          </w:sdtEndPr>
          <w:sdtContent>
            <w:tc>
              <w:tcPr>
                <w:tcW w:w="642" w:type="pct"/>
                <w:vAlign w:val="center"/>
              </w:tcPr>
              <w:p>
                <w:pPr>
                  <w:jc w:val="center"/>
                  <w:rPr>
                    <w:rFonts w:ascii="宋体" w:hAnsi="宋体"/>
                  </w:rPr>
                </w:pPr>
                <w:r>
                  <w:rPr>
                    <w:rFonts w:hint="eastAsia" w:ascii="宋体" w:hAnsi="宋体"/>
                  </w:rPr>
                  <w:t>营业成本</w:t>
                </w:r>
              </w:p>
            </w:tc>
          </w:sdtContent>
        </w:sdt>
        <w:sdt>
          <w:sdtPr>
            <w:rPr>
              <w:rFonts w:hint="eastAsia" w:ascii="宋体" w:hAnsi="宋体"/>
            </w:rPr>
            <w:tag w:val="_PLD_941b22ab04a244cdbd8aa22ae424dacb"/>
            <w:id w:val="55989554"/>
          </w:sdtPr>
          <w:sdtEndPr>
            <w:rPr>
              <w:rFonts w:hint="default" w:ascii="Times New Roman" w:hAnsi="Times New Roman"/>
            </w:rPr>
          </w:sdtEndPr>
          <w:sdtContent>
            <w:tc>
              <w:tcPr>
                <w:tcW w:w="491" w:type="pct"/>
                <w:vAlign w:val="center"/>
              </w:tcPr>
              <w:p>
                <w:pPr>
                  <w:jc w:val="center"/>
                  <w:rPr>
                    <w:rFonts w:ascii="宋体" w:hAnsi="宋体"/>
                  </w:rPr>
                </w:pPr>
                <w:r>
                  <w:rPr>
                    <w:rFonts w:hint="eastAsia" w:ascii="宋体" w:hAnsi="宋体"/>
                  </w:rPr>
                  <w:t>毛利率（</w:t>
                </w:r>
                <w:r>
                  <w:rPr>
                    <w:rFonts w:ascii="宋体" w:hAnsi="宋体"/>
                  </w:rPr>
                  <w:t>%）</w:t>
                </w:r>
              </w:p>
            </w:tc>
          </w:sdtContent>
        </w:sdt>
        <w:sdt>
          <w:sdtPr>
            <w:rPr>
              <w:rFonts w:hint="eastAsia" w:ascii="宋体" w:hAnsi="宋体"/>
            </w:rPr>
            <w:tag w:val="_PLD_e219c48b013d406696797c069f5c1054"/>
            <w:id w:val="-1550833303"/>
          </w:sdtPr>
          <w:sdtEndPr>
            <w:rPr>
              <w:rFonts w:hint="default" w:ascii="Times New Roman" w:hAnsi="Times New Roman"/>
            </w:rPr>
          </w:sdtEndPr>
          <w:sdtContent>
            <w:tc>
              <w:tcPr>
                <w:tcW w:w="608" w:type="pct"/>
                <w:vAlign w:val="center"/>
              </w:tcPr>
              <w:p>
                <w:pPr>
                  <w:jc w:val="center"/>
                  <w:rPr>
                    <w:rFonts w:ascii="宋体" w:hAnsi="宋体"/>
                  </w:rPr>
                </w:pPr>
                <w:r>
                  <w:rPr>
                    <w:rFonts w:hint="eastAsia" w:ascii="宋体" w:hAnsi="宋体"/>
                  </w:rPr>
                  <w:t>营业收入比上年增减（</w:t>
                </w:r>
                <w:r>
                  <w:rPr>
                    <w:rFonts w:ascii="宋体" w:hAnsi="宋体"/>
                  </w:rPr>
                  <w:t>%）</w:t>
                </w:r>
              </w:p>
            </w:tc>
          </w:sdtContent>
        </w:sdt>
        <w:sdt>
          <w:sdtPr>
            <w:rPr>
              <w:rFonts w:hint="eastAsia" w:ascii="宋体" w:hAnsi="宋体"/>
            </w:rPr>
            <w:tag w:val="_PLD_ea6dd0b86c3c4f81ac1d0aab660982a0"/>
            <w:id w:val="-546602764"/>
          </w:sdtPr>
          <w:sdtEndPr>
            <w:rPr>
              <w:rFonts w:hint="default" w:ascii="Times New Roman" w:hAnsi="Times New Roman"/>
            </w:rPr>
          </w:sdtEndPr>
          <w:sdtContent>
            <w:tc>
              <w:tcPr>
                <w:tcW w:w="608" w:type="pct"/>
                <w:vAlign w:val="center"/>
              </w:tcPr>
              <w:p>
                <w:pPr>
                  <w:jc w:val="center"/>
                  <w:rPr>
                    <w:rFonts w:ascii="宋体" w:hAnsi="宋体"/>
                  </w:rPr>
                </w:pPr>
                <w:r>
                  <w:rPr>
                    <w:rFonts w:hint="eastAsia" w:ascii="宋体" w:hAnsi="宋体"/>
                  </w:rPr>
                  <w:t>营业成本比上年增减（</w:t>
                </w:r>
                <w:r>
                  <w:rPr>
                    <w:rFonts w:ascii="宋体" w:hAnsi="宋体"/>
                  </w:rPr>
                  <w:t>%）</w:t>
                </w:r>
              </w:p>
            </w:tc>
          </w:sdtContent>
        </w:sdt>
        <w:sdt>
          <w:sdtPr>
            <w:rPr>
              <w:rFonts w:hint="eastAsia" w:ascii="宋体" w:hAnsi="宋体"/>
            </w:rPr>
            <w:tag w:val="_PLD_b228d83849d948259a50feeb3c8039e4"/>
            <w:id w:val="1901168297"/>
          </w:sdtPr>
          <w:sdtEndPr>
            <w:rPr>
              <w:rFonts w:hint="default" w:ascii="Times New Roman" w:hAnsi="Times New Roman"/>
            </w:rPr>
          </w:sdtEndPr>
          <w:sdtContent>
            <w:tc>
              <w:tcPr>
                <w:tcW w:w="1079" w:type="pct"/>
                <w:vAlign w:val="center"/>
              </w:tcPr>
              <w:p>
                <w:pPr>
                  <w:jc w:val="center"/>
                  <w:rPr>
                    <w:rFonts w:ascii="宋体" w:hAnsi="宋体"/>
                  </w:rPr>
                </w:pPr>
                <w:r>
                  <w:rPr>
                    <w:rFonts w:hint="eastAsia" w:ascii="宋体" w:hAnsi="宋体"/>
                  </w:rPr>
                  <w:t>毛利率比上年增减（</w:t>
                </w:r>
                <w:r>
                  <w:rPr>
                    <w:rFonts w:ascii="宋体" w:hAnsi="宋体"/>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pct"/>
          </w:tcPr>
          <w:p>
            <w:pPr>
              <w:pStyle w:val="55"/>
              <w:ind w:firstLine="0" w:firstLineChars="0"/>
              <w:jc w:val="left"/>
              <w:rPr>
                <w:rFonts w:ascii="宋体" w:hAnsi="宋体" w:cs="宋体"/>
                <w:kern w:val="0"/>
                <w:szCs w:val="21"/>
              </w:rPr>
            </w:pPr>
            <w:r>
              <w:rPr>
                <w:rFonts w:hint="eastAsia" w:ascii="宋体" w:hAnsi="宋体" w:cs="宋体"/>
                <w:kern w:val="0"/>
                <w:szCs w:val="21"/>
              </w:rPr>
              <w:t>直销</w:t>
            </w:r>
          </w:p>
        </w:tc>
        <w:tc>
          <w:tcPr>
            <w:tcW w:w="571" w:type="pct"/>
          </w:tcPr>
          <w:p>
            <w:pPr>
              <w:jc w:val="right"/>
              <w:rPr>
                <w:rFonts w:ascii="宋体" w:hAnsi="宋体"/>
              </w:rPr>
            </w:pPr>
            <w:r>
              <w:rPr>
                <w:rFonts w:ascii="宋体" w:hAnsi="宋体"/>
              </w:rPr>
              <w:t xml:space="preserve">132,743 </w:t>
            </w:r>
          </w:p>
        </w:tc>
        <w:tc>
          <w:tcPr>
            <w:tcW w:w="642" w:type="pct"/>
          </w:tcPr>
          <w:p>
            <w:pPr>
              <w:jc w:val="right"/>
              <w:rPr>
                <w:rFonts w:ascii="宋体" w:hAnsi="宋体"/>
              </w:rPr>
            </w:pPr>
            <w:r>
              <w:rPr>
                <w:rFonts w:ascii="宋体" w:hAnsi="宋体"/>
              </w:rPr>
              <w:t xml:space="preserve">74,527 </w:t>
            </w:r>
          </w:p>
        </w:tc>
        <w:tc>
          <w:tcPr>
            <w:tcW w:w="491" w:type="pct"/>
          </w:tcPr>
          <w:p>
            <w:pPr>
              <w:jc w:val="right"/>
              <w:rPr>
                <w:rFonts w:ascii="宋体" w:hAnsi="宋体"/>
              </w:rPr>
            </w:pPr>
            <w:r>
              <w:rPr>
                <w:rFonts w:ascii="宋体" w:hAnsi="宋体"/>
              </w:rPr>
              <w:t xml:space="preserve">43.86 </w:t>
            </w:r>
          </w:p>
        </w:tc>
        <w:tc>
          <w:tcPr>
            <w:tcW w:w="608" w:type="pct"/>
          </w:tcPr>
          <w:p>
            <w:pPr>
              <w:jc w:val="right"/>
              <w:rPr>
                <w:rFonts w:ascii="宋体" w:hAnsi="宋体"/>
              </w:rPr>
            </w:pPr>
            <w:r>
              <w:rPr>
                <w:rFonts w:ascii="宋体" w:hAnsi="宋体"/>
              </w:rPr>
              <w:t xml:space="preserve">-24.92 </w:t>
            </w:r>
          </w:p>
        </w:tc>
        <w:tc>
          <w:tcPr>
            <w:tcW w:w="608" w:type="pct"/>
          </w:tcPr>
          <w:p>
            <w:pPr>
              <w:jc w:val="right"/>
              <w:rPr>
                <w:rFonts w:ascii="宋体" w:hAnsi="宋体"/>
              </w:rPr>
            </w:pPr>
            <w:r>
              <w:rPr>
                <w:rFonts w:ascii="宋体" w:hAnsi="宋体"/>
              </w:rPr>
              <w:t xml:space="preserve">-10.93 </w:t>
            </w:r>
          </w:p>
        </w:tc>
        <w:tc>
          <w:tcPr>
            <w:tcW w:w="1079" w:type="pct"/>
          </w:tcPr>
          <w:p>
            <w:pPr>
              <w:jc w:val="right"/>
              <w:rPr>
                <w:rFonts w:ascii="宋体" w:hAnsi="宋体"/>
              </w:rPr>
            </w:pPr>
            <w:r>
              <w:rPr>
                <w:rFonts w:hint="eastAsia" w:ascii="宋体" w:hAnsi="宋体"/>
              </w:rPr>
              <w:t>减少</w:t>
            </w:r>
            <w:r>
              <w:rPr>
                <w:rFonts w:ascii="宋体" w:hAnsi="宋体"/>
              </w:rPr>
              <w:t>8.82个百分点</w:t>
            </w:r>
          </w:p>
        </w:tc>
      </w:tr>
    </w:tbl>
    <w:p>
      <w:pPr>
        <w:rPr>
          <w:rFonts w:ascii="宋体" w:hAnsi="宋体"/>
        </w:rPr>
      </w:pPr>
      <w:r>
        <w:rPr>
          <w:rFonts w:ascii="宋体" w:hAnsi="宋体"/>
        </w:rPr>
        <w:t>主营业务分行业</w:t>
      </w:r>
      <w:r>
        <w:rPr>
          <w:rFonts w:hint="eastAsia" w:ascii="宋体" w:hAnsi="宋体"/>
        </w:rPr>
        <w:t>、</w:t>
      </w:r>
      <w:r>
        <w:rPr>
          <w:rFonts w:ascii="宋体" w:hAnsi="宋体"/>
        </w:rPr>
        <w:t>分产品、分地区</w:t>
      </w:r>
      <w:r>
        <w:rPr>
          <w:rFonts w:hint="eastAsia" w:ascii="宋体" w:hAnsi="宋体"/>
        </w:rPr>
        <w:t>、分销售模式</w:t>
      </w:r>
      <w:r>
        <w:rPr>
          <w:rFonts w:ascii="宋体" w:hAnsi="宋体"/>
        </w:rPr>
        <w:t>情况的说明</w:t>
      </w:r>
    </w:p>
    <w:sdt>
      <w:sdtPr>
        <w:rPr>
          <w:rFonts w:hint="eastAsia" w:ascii="宋体" w:hAnsi="宋体"/>
        </w:rPr>
        <w:alias w:val="主营业务分行业和分产品情况的说明"/>
        <w:tag w:val="_GBC_81b87428f4384bf2959419c3aea2dad2"/>
        <w:id w:val="1675752901"/>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上述各业务分部间销售详情请见按中国会计准则编制的财务报表附注“其他重要事项—分部信息”。</w:t>
          </w:r>
        </w:p>
      </w:sdtContent>
    </w:sdt>
    <w:bookmarkEnd w:id="39"/>
    <w:p>
      <w:pPr>
        <w:pStyle w:val="43"/>
      </w:pPr>
    </w:p>
    <w:p>
      <w:pPr>
        <w:pStyle w:val="6"/>
        <w:numPr>
          <w:ilvl w:val="0"/>
          <w:numId w:val="10"/>
        </w:numPr>
        <w:tabs>
          <w:tab w:val="left" w:pos="567"/>
        </w:tabs>
        <w:ind w:left="105" w:firstLine="0"/>
        <w:rPr>
          <w:rFonts w:ascii="宋体" w:hAnsi="宋体"/>
          <w:szCs w:val="21"/>
        </w:rPr>
      </w:pPr>
      <w:r>
        <w:rPr>
          <w:rFonts w:hint="eastAsia" w:ascii="宋体" w:hAnsi="宋体"/>
        </w:rPr>
        <w:t>产销量情况</w:t>
      </w:r>
      <w:r>
        <w:rPr>
          <w:rFonts w:ascii="宋体" w:hAnsi="宋体"/>
          <w:szCs w:val="21"/>
        </w:rPr>
        <w:t>分析表</w:t>
      </w:r>
    </w:p>
    <w:sdt>
      <w:sdtPr>
        <w:alias w:val="是否适用：产销量情况分析表[双击切换]"/>
        <w:tag w:val="_GBC_6ff51c492b3040799712ea51f78bdcc0"/>
        <w:id w:val="-354041798"/>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163"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1131"/>
        <w:gridCol w:w="1131"/>
        <w:gridCol w:w="1133"/>
        <w:gridCol w:w="1133"/>
        <w:gridCol w:w="1131"/>
        <w:gridCol w:w="1131"/>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259e79e9293847dfb1bd7816b6ad48e6"/>
            <w:id w:val="-636872632"/>
          </w:sdtPr>
          <w:sdtEndPr>
            <w:rPr>
              <w:rFonts w:ascii="宋体" w:hAnsi="宋体"/>
            </w:rPr>
          </w:sdtEndPr>
          <w:sdtContent>
            <w:tc>
              <w:tcPr>
                <w:tcW w:w="763" w:type="pct"/>
                <w:vAlign w:val="center"/>
              </w:tcPr>
              <w:p>
                <w:pPr>
                  <w:jc w:val="center"/>
                  <w:rPr>
                    <w:rFonts w:ascii="宋体" w:hAnsi="宋体"/>
                  </w:rPr>
                </w:pPr>
                <w:r>
                  <w:rPr>
                    <w:rFonts w:hint="eastAsia" w:ascii="宋体" w:hAnsi="宋体"/>
                  </w:rPr>
                  <w:t>主要产品</w:t>
                </w:r>
              </w:p>
            </w:tc>
          </w:sdtContent>
        </w:sdt>
        <w:tc>
          <w:tcPr>
            <w:tcW w:w="605" w:type="pct"/>
            <w:vAlign w:val="center"/>
          </w:tcPr>
          <w:sdt>
            <w:sdtPr>
              <w:rPr>
                <w:rFonts w:hint="eastAsia" w:ascii="宋体" w:hAnsi="宋体"/>
              </w:rPr>
              <w:tag w:val="_PLD_6d13c84fd3694535a3f1b6bcdd58d107"/>
              <w:id w:val="-1119672801"/>
            </w:sdtPr>
            <w:sdtEndPr>
              <w:rPr>
                <w:rFonts w:hint="eastAsia" w:ascii="宋体" w:hAnsi="宋体"/>
              </w:rPr>
            </w:sdtEndPr>
            <w:sdtContent>
              <w:p>
                <w:pPr>
                  <w:jc w:val="center"/>
                  <w:rPr>
                    <w:rFonts w:ascii="宋体" w:hAnsi="宋体"/>
                  </w:rPr>
                </w:pPr>
                <w:r>
                  <w:rPr>
                    <w:rFonts w:hint="eastAsia" w:ascii="宋体" w:hAnsi="宋体"/>
                  </w:rPr>
                  <w:t>单位</w:t>
                </w:r>
              </w:p>
            </w:sdtContent>
          </w:sdt>
        </w:tc>
        <w:sdt>
          <w:sdtPr>
            <w:rPr>
              <w:rFonts w:ascii="宋体" w:hAnsi="宋体"/>
            </w:rPr>
            <w:tag w:val="_PLD_3645c9ae184248f6bd2dda9de0540406"/>
            <w:id w:val="-1134556241"/>
          </w:sdtPr>
          <w:sdtEndPr>
            <w:rPr>
              <w:rFonts w:ascii="宋体" w:hAnsi="宋体"/>
            </w:rPr>
          </w:sdtEndPr>
          <w:sdtContent>
            <w:tc>
              <w:tcPr>
                <w:tcW w:w="605" w:type="pct"/>
                <w:vAlign w:val="center"/>
              </w:tcPr>
              <w:p>
                <w:pPr>
                  <w:jc w:val="center"/>
                  <w:rPr>
                    <w:rFonts w:ascii="宋体" w:hAnsi="宋体"/>
                  </w:rPr>
                </w:pPr>
                <w:r>
                  <w:rPr>
                    <w:rFonts w:hint="eastAsia" w:ascii="宋体" w:hAnsi="宋体"/>
                  </w:rPr>
                  <w:t>生产量</w:t>
                </w:r>
              </w:p>
            </w:tc>
          </w:sdtContent>
        </w:sdt>
        <w:sdt>
          <w:sdtPr>
            <w:rPr>
              <w:rFonts w:ascii="宋体" w:hAnsi="宋体"/>
            </w:rPr>
            <w:tag w:val="_PLD_b4bd7da564c3452cb40ff15542829b7a"/>
            <w:id w:val="-2074498272"/>
          </w:sdtPr>
          <w:sdtEndPr>
            <w:rPr>
              <w:rFonts w:ascii="宋体" w:hAnsi="宋体"/>
            </w:rPr>
          </w:sdtEndPr>
          <w:sdtContent>
            <w:tc>
              <w:tcPr>
                <w:tcW w:w="606" w:type="pct"/>
                <w:vAlign w:val="center"/>
              </w:tcPr>
              <w:p>
                <w:pPr>
                  <w:jc w:val="center"/>
                  <w:rPr>
                    <w:rFonts w:ascii="宋体" w:hAnsi="宋体"/>
                  </w:rPr>
                </w:pPr>
                <w:r>
                  <w:rPr>
                    <w:rFonts w:hint="eastAsia" w:ascii="宋体" w:hAnsi="宋体"/>
                  </w:rPr>
                  <w:t>销售量</w:t>
                </w:r>
              </w:p>
            </w:tc>
          </w:sdtContent>
        </w:sdt>
        <w:sdt>
          <w:sdtPr>
            <w:rPr>
              <w:rFonts w:ascii="宋体" w:hAnsi="宋体"/>
            </w:rPr>
            <w:tag w:val="_PLD_4f74a09ae16245a3a6e2c536c1266361"/>
            <w:id w:val="1503461241"/>
          </w:sdtPr>
          <w:sdtEndPr>
            <w:rPr>
              <w:rFonts w:ascii="宋体" w:hAnsi="宋体"/>
            </w:rPr>
          </w:sdtEndPr>
          <w:sdtContent>
            <w:tc>
              <w:tcPr>
                <w:tcW w:w="606" w:type="pct"/>
                <w:vAlign w:val="center"/>
              </w:tcPr>
              <w:p>
                <w:pPr>
                  <w:jc w:val="center"/>
                  <w:rPr>
                    <w:rFonts w:ascii="宋体" w:hAnsi="宋体"/>
                  </w:rPr>
                </w:pPr>
                <w:r>
                  <w:rPr>
                    <w:rFonts w:hint="eastAsia" w:ascii="宋体" w:hAnsi="宋体"/>
                  </w:rPr>
                  <w:t>库存量</w:t>
                </w:r>
              </w:p>
            </w:tc>
          </w:sdtContent>
        </w:sdt>
        <w:sdt>
          <w:sdtPr>
            <w:rPr>
              <w:rFonts w:ascii="宋体" w:hAnsi="宋体"/>
            </w:rPr>
            <w:tag w:val="_PLD_21bd7a4d992742feb4b83db592f976fd"/>
            <w:id w:val="1136993851"/>
          </w:sdtPr>
          <w:sdtEndPr>
            <w:rPr>
              <w:rFonts w:ascii="宋体" w:hAnsi="宋体"/>
            </w:rPr>
          </w:sdtEndPr>
          <w:sdtContent>
            <w:tc>
              <w:tcPr>
                <w:tcW w:w="605" w:type="pct"/>
                <w:vAlign w:val="center"/>
              </w:tcPr>
              <w:p>
                <w:pPr>
                  <w:jc w:val="center"/>
                  <w:rPr>
                    <w:rFonts w:ascii="宋体" w:hAnsi="宋体"/>
                  </w:rPr>
                </w:pPr>
                <w:r>
                  <w:rPr>
                    <w:rFonts w:hint="eastAsia" w:ascii="宋体" w:hAnsi="宋体"/>
                  </w:rPr>
                  <w:t>生产量比上年增减（%）</w:t>
                </w:r>
              </w:p>
            </w:tc>
          </w:sdtContent>
        </w:sdt>
        <w:sdt>
          <w:sdtPr>
            <w:rPr>
              <w:rFonts w:ascii="宋体" w:hAnsi="宋体"/>
            </w:rPr>
            <w:tag w:val="_PLD_37e055a5474a4aac989b4e3a88756935"/>
            <w:id w:val="-181053008"/>
          </w:sdtPr>
          <w:sdtEndPr>
            <w:rPr>
              <w:rFonts w:ascii="宋体" w:hAnsi="宋体"/>
            </w:rPr>
          </w:sdtEndPr>
          <w:sdtContent>
            <w:tc>
              <w:tcPr>
                <w:tcW w:w="605" w:type="pct"/>
                <w:vAlign w:val="center"/>
              </w:tcPr>
              <w:p>
                <w:pPr>
                  <w:jc w:val="center"/>
                  <w:rPr>
                    <w:rFonts w:ascii="宋体" w:hAnsi="宋体"/>
                  </w:rPr>
                </w:pPr>
                <w:r>
                  <w:rPr>
                    <w:rFonts w:hint="eastAsia" w:ascii="宋体" w:hAnsi="宋体"/>
                  </w:rPr>
                  <w:t>销售量比上年增减（%）</w:t>
                </w:r>
              </w:p>
            </w:tc>
          </w:sdtContent>
        </w:sdt>
        <w:sdt>
          <w:sdtPr>
            <w:rPr>
              <w:rFonts w:ascii="宋体" w:hAnsi="宋体"/>
            </w:rPr>
            <w:tag w:val="_PLD_d03cdf85475e4722ae39e10ea525eee5"/>
            <w:id w:val="301580832"/>
          </w:sdtPr>
          <w:sdtEndPr>
            <w:rPr>
              <w:rFonts w:ascii="宋体" w:hAnsi="宋体"/>
            </w:rPr>
          </w:sdtEndPr>
          <w:sdtContent>
            <w:tc>
              <w:tcPr>
                <w:tcW w:w="603" w:type="pct"/>
                <w:vAlign w:val="center"/>
              </w:tcPr>
              <w:p>
                <w:pPr>
                  <w:jc w:val="center"/>
                  <w:rPr>
                    <w:rFonts w:ascii="宋体" w:hAnsi="宋体"/>
                  </w:rPr>
                </w:pPr>
                <w:r>
                  <w:rPr>
                    <w:rFonts w:hint="eastAsia" w:ascii="宋体" w:hAnsi="宋体"/>
                  </w:rPr>
                  <w:t>库存量比上年增减（%）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自产商品煤</w:t>
            </w:r>
          </w:p>
        </w:tc>
        <w:tc>
          <w:tcPr>
            <w:tcW w:w="605" w:type="pct"/>
            <w:vAlign w:val="center"/>
          </w:tcPr>
          <w:p>
            <w:pPr>
              <w:jc w:val="center"/>
              <w:rPr>
                <w:rFonts w:ascii="宋体" w:hAnsi="宋体"/>
              </w:rPr>
            </w:pPr>
            <w:r>
              <w:rPr>
                <w:rFonts w:hint="eastAsia" w:ascii="宋体" w:hAnsi="宋体"/>
              </w:rPr>
              <w:t>千吨</w:t>
            </w:r>
          </w:p>
        </w:tc>
        <w:tc>
          <w:tcPr>
            <w:tcW w:w="605" w:type="pct"/>
          </w:tcPr>
          <w:p>
            <w:pPr>
              <w:jc w:val="right"/>
              <w:rPr>
                <w:rFonts w:ascii="宋体" w:hAnsi="宋体"/>
              </w:rPr>
            </w:pPr>
            <w:r>
              <w:rPr>
                <w:rFonts w:ascii="宋体" w:hAnsi="宋体"/>
              </w:rPr>
              <w:t xml:space="preserve">132,107 </w:t>
            </w:r>
          </w:p>
        </w:tc>
        <w:tc>
          <w:tcPr>
            <w:tcW w:w="606" w:type="pct"/>
          </w:tcPr>
          <w:p>
            <w:pPr>
              <w:jc w:val="right"/>
              <w:rPr>
                <w:rFonts w:ascii="宋体" w:hAnsi="宋体"/>
              </w:rPr>
            </w:pPr>
            <w:r>
              <w:rPr>
                <w:rFonts w:ascii="宋体" w:hAnsi="宋体"/>
              </w:rPr>
              <w:t xml:space="preserve">120,973 </w:t>
            </w:r>
          </w:p>
        </w:tc>
        <w:tc>
          <w:tcPr>
            <w:tcW w:w="606" w:type="pct"/>
          </w:tcPr>
          <w:p>
            <w:pPr>
              <w:jc w:val="right"/>
              <w:rPr>
                <w:rFonts w:ascii="宋体" w:hAnsi="宋体"/>
              </w:rPr>
            </w:pPr>
            <w:r>
              <w:rPr>
                <w:rFonts w:ascii="宋体" w:hAnsi="宋体"/>
              </w:rPr>
              <w:t>6,393</w:t>
            </w:r>
          </w:p>
        </w:tc>
        <w:tc>
          <w:tcPr>
            <w:tcW w:w="605" w:type="pct"/>
          </w:tcPr>
          <w:p>
            <w:pPr>
              <w:jc w:val="right"/>
              <w:rPr>
                <w:rFonts w:ascii="宋体" w:hAnsi="宋体"/>
              </w:rPr>
            </w:pPr>
            <w:r>
              <w:rPr>
                <w:rFonts w:ascii="宋体" w:hAnsi="宋体"/>
              </w:rPr>
              <w:t xml:space="preserve">0.61 </w:t>
            </w:r>
          </w:p>
        </w:tc>
        <w:tc>
          <w:tcPr>
            <w:tcW w:w="605" w:type="pct"/>
          </w:tcPr>
          <w:p>
            <w:pPr>
              <w:jc w:val="right"/>
              <w:rPr>
                <w:rFonts w:ascii="宋体" w:hAnsi="宋体"/>
              </w:rPr>
            </w:pPr>
            <w:r>
              <w:rPr>
                <w:rFonts w:ascii="宋体" w:hAnsi="宋体"/>
              </w:rPr>
              <w:t xml:space="preserve">-1.36 </w:t>
            </w:r>
          </w:p>
        </w:tc>
        <w:tc>
          <w:tcPr>
            <w:tcW w:w="603" w:type="pct"/>
          </w:tcPr>
          <w:p>
            <w:pPr>
              <w:jc w:val="right"/>
              <w:rPr>
                <w:rFonts w:ascii="宋体" w:hAnsi="宋体"/>
              </w:rPr>
            </w:pPr>
            <w:r>
              <w:rPr>
                <w:rFonts w:ascii="宋体" w:hAnsi="宋体"/>
              </w:rPr>
              <w:t xml:space="preserve">13.44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甲醇</w:t>
            </w:r>
          </w:p>
        </w:tc>
        <w:tc>
          <w:tcPr>
            <w:tcW w:w="605" w:type="pct"/>
            <w:vAlign w:val="center"/>
          </w:tcPr>
          <w:p>
            <w:pPr>
              <w:jc w:val="center"/>
              <w:rPr>
                <w:rFonts w:ascii="宋体" w:hAnsi="宋体"/>
              </w:rPr>
            </w:pPr>
            <w:r>
              <w:rPr>
                <w:rFonts w:hint="eastAsia" w:ascii="宋体" w:hAnsi="宋体"/>
              </w:rPr>
              <w:t>千吨</w:t>
            </w:r>
          </w:p>
        </w:tc>
        <w:tc>
          <w:tcPr>
            <w:tcW w:w="605" w:type="pct"/>
            <w:vAlign w:val="center"/>
          </w:tcPr>
          <w:p>
            <w:pPr>
              <w:jc w:val="right"/>
              <w:rPr>
                <w:rFonts w:ascii="宋体" w:hAnsi="宋体"/>
              </w:rPr>
            </w:pPr>
            <w:r>
              <w:rPr>
                <w:rFonts w:ascii="宋体" w:hAnsi="宋体"/>
              </w:rPr>
              <w:t xml:space="preserve">4,016 </w:t>
            </w:r>
          </w:p>
        </w:tc>
        <w:tc>
          <w:tcPr>
            <w:tcW w:w="606" w:type="pct"/>
            <w:vAlign w:val="center"/>
          </w:tcPr>
          <w:p>
            <w:pPr>
              <w:jc w:val="right"/>
              <w:rPr>
                <w:rFonts w:ascii="宋体" w:hAnsi="宋体"/>
              </w:rPr>
            </w:pPr>
            <w:r>
              <w:rPr>
                <w:rFonts w:ascii="宋体" w:hAnsi="宋体"/>
              </w:rPr>
              <w:t xml:space="preserve">3,955 </w:t>
            </w:r>
          </w:p>
        </w:tc>
        <w:tc>
          <w:tcPr>
            <w:tcW w:w="606" w:type="pct"/>
          </w:tcPr>
          <w:p>
            <w:pPr>
              <w:jc w:val="right"/>
              <w:rPr>
                <w:rFonts w:ascii="宋体" w:hAnsi="宋体"/>
              </w:rPr>
            </w:pPr>
            <w:r>
              <w:rPr>
                <w:rFonts w:ascii="宋体" w:hAnsi="宋体"/>
              </w:rPr>
              <w:t xml:space="preserve">66 </w:t>
            </w:r>
          </w:p>
        </w:tc>
        <w:tc>
          <w:tcPr>
            <w:tcW w:w="605" w:type="pct"/>
            <w:vAlign w:val="center"/>
          </w:tcPr>
          <w:p>
            <w:pPr>
              <w:jc w:val="right"/>
              <w:rPr>
                <w:rFonts w:ascii="宋体" w:hAnsi="宋体"/>
              </w:rPr>
            </w:pPr>
            <w:r>
              <w:rPr>
                <w:rFonts w:ascii="宋体" w:hAnsi="宋体"/>
              </w:rPr>
              <w:t>6</w:t>
            </w:r>
            <w:r>
              <w:rPr>
                <w:rFonts w:ascii="Times New Roman" w:hAnsi="Times New Roman"/>
              </w:rPr>
              <w:t>.01</w:t>
            </w:r>
            <w:r>
              <w:rPr>
                <w:rFonts w:ascii="宋体" w:hAnsi="宋体"/>
              </w:rPr>
              <w:t xml:space="preserve"> </w:t>
            </w:r>
          </w:p>
        </w:tc>
        <w:tc>
          <w:tcPr>
            <w:tcW w:w="605" w:type="pct"/>
            <w:vAlign w:val="center"/>
          </w:tcPr>
          <w:p>
            <w:pPr>
              <w:jc w:val="right"/>
              <w:rPr>
                <w:rFonts w:ascii="宋体" w:hAnsi="宋体"/>
              </w:rPr>
            </w:pPr>
            <w:r>
              <w:rPr>
                <w:rFonts w:ascii="宋体" w:hAnsi="宋体"/>
              </w:rPr>
              <w:t>4.3</w:t>
            </w:r>
            <w:r>
              <w:rPr>
                <w:rFonts w:ascii="Times New Roman" w:hAnsi="Times New Roman"/>
              </w:rPr>
              <w:t>6</w:t>
            </w:r>
          </w:p>
        </w:tc>
        <w:tc>
          <w:tcPr>
            <w:tcW w:w="603" w:type="pct"/>
          </w:tcPr>
          <w:p>
            <w:pPr>
              <w:jc w:val="right"/>
              <w:rPr>
                <w:rFonts w:ascii="宋体" w:hAnsi="宋体"/>
              </w:rPr>
            </w:pPr>
            <w:r>
              <w:rPr>
                <w:rFonts w:ascii="宋体" w:hAnsi="宋体"/>
              </w:rPr>
              <w:t xml:space="preserve">-47.57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乙二醇</w:t>
            </w:r>
          </w:p>
        </w:tc>
        <w:tc>
          <w:tcPr>
            <w:tcW w:w="605" w:type="pct"/>
            <w:vAlign w:val="center"/>
          </w:tcPr>
          <w:p>
            <w:pPr>
              <w:jc w:val="center"/>
              <w:rPr>
                <w:rFonts w:ascii="宋体" w:hAnsi="宋体"/>
              </w:rPr>
            </w:pPr>
            <w:r>
              <w:rPr>
                <w:rFonts w:hint="eastAsia" w:ascii="宋体" w:hAnsi="宋体"/>
              </w:rPr>
              <w:t>千吨</w:t>
            </w:r>
          </w:p>
        </w:tc>
        <w:tc>
          <w:tcPr>
            <w:tcW w:w="605" w:type="pct"/>
            <w:vAlign w:val="center"/>
          </w:tcPr>
          <w:p>
            <w:pPr>
              <w:jc w:val="right"/>
              <w:rPr>
                <w:rFonts w:ascii="宋体" w:hAnsi="宋体"/>
              </w:rPr>
            </w:pPr>
            <w:r>
              <w:rPr>
                <w:rFonts w:ascii="宋体" w:hAnsi="宋体"/>
              </w:rPr>
              <w:t xml:space="preserve">360 </w:t>
            </w:r>
          </w:p>
        </w:tc>
        <w:tc>
          <w:tcPr>
            <w:tcW w:w="606" w:type="pct"/>
            <w:vAlign w:val="center"/>
          </w:tcPr>
          <w:p>
            <w:pPr>
              <w:jc w:val="right"/>
              <w:rPr>
                <w:rFonts w:ascii="宋体" w:hAnsi="宋体"/>
              </w:rPr>
            </w:pPr>
            <w:r>
              <w:rPr>
                <w:rFonts w:ascii="宋体" w:hAnsi="宋体"/>
              </w:rPr>
              <w:t xml:space="preserve">391 </w:t>
            </w:r>
          </w:p>
        </w:tc>
        <w:tc>
          <w:tcPr>
            <w:tcW w:w="606" w:type="pct"/>
          </w:tcPr>
          <w:p>
            <w:pPr>
              <w:jc w:val="right"/>
              <w:rPr>
                <w:rFonts w:ascii="宋体" w:hAnsi="宋体"/>
              </w:rPr>
            </w:pPr>
            <w:r>
              <w:rPr>
                <w:rFonts w:ascii="宋体" w:hAnsi="宋体"/>
              </w:rPr>
              <w:t xml:space="preserve">18 </w:t>
            </w:r>
          </w:p>
        </w:tc>
        <w:tc>
          <w:tcPr>
            <w:tcW w:w="605" w:type="pct"/>
            <w:vAlign w:val="center"/>
          </w:tcPr>
          <w:p>
            <w:pPr>
              <w:jc w:val="right"/>
              <w:rPr>
                <w:rFonts w:ascii="宋体" w:hAnsi="宋体"/>
              </w:rPr>
            </w:pPr>
            <w:r>
              <w:rPr>
                <w:rFonts w:ascii="宋体" w:hAnsi="宋体"/>
              </w:rPr>
              <w:t xml:space="preserve">15.87 </w:t>
            </w:r>
          </w:p>
        </w:tc>
        <w:tc>
          <w:tcPr>
            <w:tcW w:w="605" w:type="pct"/>
            <w:vAlign w:val="center"/>
          </w:tcPr>
          <w:p>
            <w:pPr>
              <w:jc w:val="right"/>
              <w:rPr>
                <w:rFonts w:ascii="宋体" w:hAnsi="宋体"/>
              </w:rPr>
            </w:pPr>
            <w:r>
              <w:rPr>
                <w:rFonts w:ascii="宋体" w:hAnsi="宋体"/>
              </w:rPr>
              <w:t xml:space="preserve">21.87 </w:t>
            </w:r>
          </w:p>
        </w:tc>
        <w:tc>
          <w:tcPr>
            <w:tcW w:w="603" w:type="pct"/>
          </w:tcPr>
          <w:p>
            <w:pPr>
              <w:jc w:val="right"/>
              <w:rPr>
                <w:rFonts w:ascii="宋体" w:hAnsi="宋体"/>
              </w:rPr>
            </w:pPr>
            <w:r>
              <w:rPr>
                <w:rFonts w:ascii="宋体" w:hAnsi="宋体"/>
              </w:rPr>
              <w:t xml:space="preserve">-63.47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醋酸</w:t>
            </w:r>
          </w:p>
        </w:tc>
        <w:tc>
          <w:tcPr>
            <w:tcW w:w="605" w:type="pct"/>
            <w:vAlign w:val="center"/>
          </w:tcPr>
          <w:p>
            <w:pPr>
              <w:jc w:val="center"/>
              <w:rPr>
                <w:rFonts w:ascii="宋体" w:hAnsi="宋体"/>
              </w:rPr>
            </w:pPr>
            <w:r>
              <w:rPr>
                <w:rFonts w:hint="eastAsia" w:ascii="宋体" w:hAnsi="宋体"/>
              </w:rPr>
              <w:t>千吨</w:t>
            </w:r>
          </w:p>
        </w:tc>
        <w:tc>
          <w:tcPr>
            <w:tcW w:w="605" w:type="pct"/>
            <w:vAlign w:val="center"/>
          </w:tcPr>
          <w:p>
            <w:pPr>
              <w:jc w:val="right"/>
              <w:rPr>
                <w:rFonts w:ascii="宋体" w:hAnsi="宋体"/>
              </w:rPr>
            </w:pPr>
            <w:r>
              <w:rPr>
                <w:rFonts w:ascii="宋体" w:hAnsi="宋体"/>
              </w:rPr>
              <w:t xml:space="preserve">1,139 </w:t>
            </w:r>
          </w:p>
        </w:tc>
        <w:tc>
          <w:tcPr>
            <w:tcW w:w="606" w:type="pct"/>
            <w:vAlign w:val="center"/>
          </w:tcPr>
          <w:p>
            <w:pPr>
              <w:jc w:val="right"/>
              <w:rPr>
                <w:rFonts w:ascii="宋体" w:hAnsi="宋体"/>
              </w:rPr>
            </w:pPr>
            <w:r>
              <w:rPr>
                <w:rFonts w:ascii="宋体" w:hAnsi="宋体"/>
              </w:rPr>
              <w:t xml:space="preserve">738 </w:t>
            </w:r>
          </w:p>
        </w:tc>
        <w:tc>
          <w:tcPr>
            <w:tcW w:w="606" w:type="pct"/>
          </w:tcPr>
          <w:p>
            <w:pPr>
              <w:jc w:val="right"/>
              <w:rPr>
                <w:rFonts w:ascii="宋体" w:hAnsi="宋体"/>
              </w:rPr>
            </w:pPr>
            <w:r>
              <w:rPr>
                <w:rFonts w:ascii="宋体" w:hAnsi="宋体"/>
              </w:rPr>
              <w:t xml:space="preserve">5 </w:t>
            </w:r>
          </w:p>
        </w:tc>
        <w:tc>
          <w:tcPr>
            <w:tcW w:w="605" w:type="pct"/>
            <w:vAlign w:val="center"/>
          </w:tcPr>
          <w:p>
            <w:pPr>
              <w:jc w:val="right"/>
              <w:rPr>
                <w:rFonts w:ascii="宋体" w:hAnsi="宋体"/>
              </w:rPr>
            </w:pPr>
            <w:r>
              <w:rPr>
                <w:rFonts w:ascii="宋体" w:hAnsi="宋体"/>
              </w:rPr>
              <w:t xml:space="preserve">10.00 </w:t>
            </w:r>
          </w:p>
        </w:tc>
        <w:tc>
          <w:tcPr>
            <w:tcW w:w="605" w:type="pct"/>
            <w:vAlign w:val="center"/>
          </w:tcPr>
          <w:p>
            <w:pPr>
              <w:jc w:val="right"/>
              <w:rPr>
                <w:rFonts w:ascii="宋体" w:hAnsi="宋体"/>
              </w:rPr>
            </w:pPr>
            <w:r>
              <w:rPr>
                <w:rFonts w:ascii="宋体" w:hAnsi="宋体"/>
              </w:rPr>
              <w:t xml:space="preserve">3.77 </w:t>
            </w:r>
          </w:p>
        </w:tc>
        <w:tc>
          <w:tcPr>
            <w:tcW w:w="603" w:type="pct"/>
          </w:tcPr>
          <w:p>
            <w:pPr>
              <w:jc w:val="right"/>
              <w:rPr>
                <w:rFonts w:ascii="宋体" w:hAnsi="宋体"/>
              </w:rPr>
            </w:pPr>
            <w:r>
              <w:rPr>
                <w:rFonts w:ascii="宋体" w:hAnsi="宋体"/>
              </w:rPr>
              <w:t xml:space="preserve">4.60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醋酸乙酯</w:t>
            </w:r>
          </w:p>
        </w:tc>
        <w:tc>
          <w:tcPr>
            <w:tcW w:w="605" w:type="pct"/>
            <w:vAlign w:val="center"/>
          </w:tcPr>
          <w:p>
            <w:pPr>
              <w:jc w:val="center"/>
              <w:rPr>
                <w:rFonts w:ascii="宋体" w:hAnsi="宋体"/>
              </w:rPr>
            </w:pPr>
            <w:r>
              <w:rPr>
                <w:rFonts w:hint="eastAsia" w:ascii="宋体" w:hAnsi="宋体"/>
              </w:rPr>
              <w:t>千吨</w:t>
            </w:r>
          </w:p>
        </w:tc>
        <w:tc>
          <w:tcPr>
            <w:tcW w:w="605" w:type="pct"/>
            <w:vAlign w:val="center"/>
          </w:tcPr>
          <w:p>
            <w:pPr>
              <w:jc w:val="right"/>
              <w:rPr>
                <w:rFonts w:ascii="宋体" w:hAnsi="宋体"/>
              </w:rPr>
            </w:pPr>
            <w:r>
              <w:rPr>
                <w:rFonts w:ascii="宋体" w:hAnsi="宋体"/>
              </w:rPr>
              <w:t xml:space="preserve">423 </w:t>
            </w:r>
          </w:p>
        </w:tc>
        <w:tc>
          <w:tcPr>
            <w:tcW w:w="606" w:type="pct"/>
            <w:vAlign w:val="center"/>
          </w:tcPr>
          <w:p>
            <w:pPr>
              <w:jc w:val="right"/>
              <w:rPr>
                <w:rFonts w:ascii="宋体" w:hAnsi="宋体"/>
              </w:rPr>
            </w:pPr>
            <w:r>
              <w:rPr>
                <w:rFonts w:ascii="宋体" w:hAnsi="宋体"/>
              </w:rPr>
              <w:t xml:space="preserve">426 </w:t>
            </w:r>
          </w:p>
        </w:tc>
        <w:tc>
          <w:tcPr>
            <w:tcW w:w="606" w:type="pct"/>
          </w:tcPr>
          <w:p>
            <w:pPr>
              <w:jc w:val="right"/>
              <w:rPr>
                <w:rFonts w:ascii="宋体" w:hAnsi="宋体"/>
              </w:rPr>
            </w:pPr>
            <w:r>
              <w:rPr>
                <w:rFonts w:ascii="宋体" w:hAnsi="宋体"/>
              </w:rPr>
              <w:t xml:space="preserve">4 </w:t>
            </w:r>
          </w:p>
        </w:tc>
        <w:tc>
          <w:tcPr>
            <w:tcW w:w="605" w:type="pct"/>
            <w:vAlign w:val="center"/>
          </w:tcPr>
          <w:p>
            <w:pPr>
              <w:jc w:val="right"/>
              <w:rPr>
                <w:rFonts w:ascii="宋体" w:hAnsi="宋体"/>
              </w:rPr>
            </w:pPr>
            <w:r>
              <w:rPr>
                <w:rFonts w:ascii="宋体" w:hAnsi="宋体"/>
              </w:rPr>
              <w:t xml:space="preserve">15.04 </w:t>
            </w:r>
          </w:p>
        </w:tc>
        <w:tc>
          <w:tcPr>
            <w:tcW w:w="605" w:type="pct"/>
            <w:vAlign w:val="center"/>
          </w:tcPr>
          <w:p>
            <w:pPr>
              <w:jc w:val="right"/>
              <w:rPr>
                <w:rFonts w:ascii="宋体" w:hAnsi="宋体"/>
              </w:rPr>
            </w:pPr>
            <w:r>
              <w:rPr>
                <w:rFonts w:ascii="宋体" w:hAnsi="宋体"/>
              </w:rPr>
              <w:t xml:space="preserve">17.14 </w:t>
            </w:r>
          </w:p>
        </w:tc>
        <w:tc>
          <w:tcPr>
            <w:tcW w:w="603" w:type="pct"/>
          </w:tcPr>
          <w:p>
            <w:pPr>
              <w:jc w:val="right"/>
              <w:rPr>
                <w:rFonts w:ascii="宋体" w:hAnsi="宋体"/>
              </w:rPr>
            </w:pPr>
            <w:r>
              <w:rPr>
                <w:rFonts w:ascii="宋体" w:hAnsi="宋体"/>
              </w:rPr>
              <w:t xml:space="preserve">-42.29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聚甲醛</w:t>
            </w:r>
          </w:p>
        </w:tc>
        <w:tc>
          <w:tcPr>
            <w:tcW w:w="605" w:type="pct"/>
            <w:vAlign w:val="center"/>
          </w:tcPr>
          <w:p>
            <w:pPr>
              <w:jc w:val="center"/>
              <w:rPr>
                <w:rFonts w:ascii="宋体" w:hAnsi="宋体"/>
              </w:rPr>
            </w:pPr>
            <w:r>
              <w:rPr>
                <w:rFonts w:hint="eastAsia" w:ascii="宋体" w:hAnsi="宋体"/>
              </w:rPr>
              <w:t>千吨</w:t>
            </w:r>
          </w:p>
        </w:tc>
        <w:tc>
          <w:tcPr>
            <w:tcW w:w="605" w:type="pct"/>
            <w:vAlign w:val="center"/>
          </w:tcPr>
          <w:p>
            <w:pPr>
              <w:jc w:val="right"/>
              <w:rPr>
                <w:rFonts w:ascii="宋体" w:hAnsi="宋体"/>
              </w:rPr>
            </w:pPr>
            <w:r>
              <w:rPr>
                <w:rFonts w:ascii="宋体" w:hAnsi="宋体"/>
              </w:rPr>
              <w:t xml:space="preserve">74 </w:t>
            </w:r>
          </w:p>
        </w:tc>
        <w:tc>
          <w:tcPr>
            <w:tcW w:w="606" w:type="pct"/>
            <w:vAlign w:val="center"/>
          </w:tcPr>
          <w:p>
            <w:pPr>
              <w:jc w:val="right"/>
              <w:rPr>
                <w:rFonts w:ascii="宋体" w:hAnsi="宋体"/>
              </w:rPr>
            </w:pPr>
            <w:r>
              <w:rPr>
                <w:rFonts w:ascii="宋体" w:hAnsi="宋体"/>
              </w:rPr>
              <w:t xml:space="preserve">74 </w:t>
            </w:r>
          </w:p>
        </w:tc>
        <w:tc>
          <w:tcPr>
            <w:tcW w:w="606" w:type="pct"/>
          </w:tcPr>
          <w:p>
            <w:pPr>
              <w:jc w:val="right"/>
              <w:rPr>
                <w:rFonts w:ascii="宋体" w:hAnsi="宋体"/>
              </w:rPr>
            </w:pPr>
            <w:r>
              <w:rPr>
                <w:rFonts w:ascii="宋体" w:hAnsi="宋体"/>
              </w:rPr>
              <w:t xml:space="preserve">1 </w:t>
            </w:r>
          </w:p>
        </w:tc>
        <w:tc>
          <w:tcPr>
            <w:tcW w:w="605" w:type="pct"/>
            <w:vAlign w:val="center"/>
          </w:tcPr>
          <w:p>
            <w:pPr>
              <w:jc w:val="right"/>
              <w:rPr>
                <w:rFonts w:ascii="宋体" w:hAnsi="宋体"/>
              </w:rPr>
            </w:pPr>
            <w:r>
              <w:rPr>
                <w:rFonts w:ascii="宋体" w:hAnsi="宋体"/>
              </w:rPr>
              <w:t xml:space="preserve">-0.09 </w:t>
            </w:r>
          </w:p>
        </w:tc>
        <w:tc>
          <w:tcPr>
            <w:tcW w:w="605" w:type="pct"/>
            <w:vAlign w:val="center"/>
          </w:tcPr>
          <w:p>
            <w:pPr>
              <w:jc w:val="right"/>
              <w:rPr>
                <w:rFonts w:ascii="宋体" w:hAnsi="宋体"/>
              </w:rPr>
            </w:pPr>
            <w:r>
              <w:rPr>
                <w:rFonts w:ascii="宋体" w:hAnsi="宋体"/>
              </w:rPr>
              <w:t xml:space="preserve">0.16 </w:t>
            </w:r>
          </w:p>
        </w:tc>
        <w:tc>
          <w:tcPr>
            <w:tcW w:w="603" w:type="pct"/>
          </w:tcPr>
          <w:p>
            <w:pPr>
              <w:jc w:val="right"/>
              <w:rPr>
                <w:rFonts w:ascii="宋体" w:hAnsi="宋体"/>
              </w:rPr>
            </w:pPr>
            <w:r>
              <w:rPr>
                <w:rFonts w:ascii="宋体" w:hAnsi="宋体"/>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己内酰胺</w:t>
            </w:r>
          </w:p>
        </w:tc>
        <w:tc>
          <w:tcPr>
            <w:tcW w:w="605" w:type="pct"/>
            <w:vAlign w:val="center"/>
          </w:tcPr>
          <w:p>
            <w:pPr>
              <w:jc w:val="center"/>
              <w:rPr>
                <w:rFonts w:ascii="宋体" w:hAnsi="宋体"/>
              </w:rPr>
            </w:pPr>
            <w:r>
              <w:rPr>
                <w:rFonts w:hint="eastAsia" w:ascii="宋体" w:hAnsi="宋体"/>
              </w:rPr>
              <w:t>千吨</w:t>
            </w:r>
          </w:p>
        </w:tc>
        <w:tc>
          <w:tcPr>
            <w:tcW w:w="605" w:type="pct"/>
            <w:vAlign w:val="center"/>
          </w:tcPr>
          <w:p>
            <w:pPr>
              <w:jc w:val="right"/>
              <w:rPr>
                <w:rFonts w:ascii="宋体" w:hAnsi="宋体"/>
              </w:rPr>
            </w:pPr>
            <w:r>
              <w:rPr>
                <w:rFonts w:ascii="宋体" w:hAnsi="宋体"/>
              </w:rPr>
              <w:t xml:space="preserve">297 </w:t>
            </w:r>
          </w:p>
        </w:tc>
        <w:tc>
          <w:tcPr>
            <w:tcW w:w="606" w:type="pct"/>
            <w:vAlign w:val="center"/>
          </w:tcPr>
          <w:p>
            <w:pPr>
              <w:jc w:val="right"/>
              <w:rPr>
                <w:rFonts w:ascii="宋体" w:hAnsi="宋体"/>
              </w:rPr>
            </w:pPr>
            <w:r>
              <w:rPr>
                <w:rFonts w:ascii="宋体" w:hAnsi="宋体"/>
              </w:rPr>
              <w:t xml:space="preserve">297 </w:t>
            </w:r>
          </w:p>
        </w:tc>
        <w:tc>
          <w:tcPr>
            <w:tcW w:w="606" w:type="pct"/>
          </w:tcPr>
          <w:p>
            <w:pPr>
              <w:jc w:val="right"/>
              <w:rPr>
                <w:rFonts w:ascii="宋体" w:hAnsi="宋体"/>
              </w:rPr>
            </w:pPr>
            <w:r>
              <w:rPr>
                <w:rFonts w:ascii="宋体" w:hAnsi="宋体"/>
              </w:rPr>
              <w:t xml:space="preserve">2 </w:t>
            </w:r>
          </w:p>
        </w:tc>
        <w:tc>
          <w:tcPr>
            <w:tcW w:w="605" w:type="pct"/>
            <w:vAlign w:val="center"/>
          </w:tcPr>
          <w:p>
            <w:pPr>
              <w:jc w:val="right"/>
              <w:rPr>
                <w:rFonts w:ascii="宋体" w:hAnsi="宋体"/>
              </w:rPr>
            </w:pPr>
            <w:r>
              <w:rPr>
                <w:rFonts w:ascii="宋体" w:hAnsi="宋体"/>
              </w:rPr>
              <w:t xml:space="preserve">8.76 </w:t>
            </w:r>
          </w:p>
        </w:tc>
        <w:tc>
          <w:tcPr>
            <w:tcW w:w="605" w:type="pct"/>
            <w:vAlign w:val="center"/>
          </w:tcPr>
          <w:p>
            <w:pPr>
              <w:jc w:val="right"/>
              <w:rPr>
                <w:rFonts w:ascii="宋体" w:hAnsi="宋体"/>
              </w:rPr>
            </w:pPr>
            <w:r>
              <w:rPr>
                <w:rFonts w:ascii="宋体" w:hAnsi="宋体"/>
              </w:rPr>
              <w:t xml:space="preserve">8.72 </w:t>
            </w:r>
          </w:p>
        </w:tc>
        <w:tc>
          <w:tcPr>
            <w:tcW w:w="603" w:type="pct"/>
          </w:tcPr>
          <w:p>
            <w:pPr>
              <w:jc w:val="right"/>
              <w:rPr>
                <w:rFonts w:ascii="宋体" w:hAnsi="宋体"/>
              </w:rPr>
            </w:pPr>
            <w:r>
              <w:rPr>
                <w:rFonts w:ascii="宋体" w:hAnsi="宋体"/>
              </w:rPr>
              <w:t xml:space="preserve">-7.50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粗液体蜡</w:t>
            </w:r>
          </w:p>
        </w:tc>
        <w:tc>
          <w:tcPr>
            <w:tcW w:w="605" w:type="pct"/>
            <w:vAlign w:val="center"/>
          </w:tcPr>
          <w:p>
            <w:pPr>
              <w:jc w:val="center"/>
              <w:rPr>
                <w:rFonts w:ascii="宋体" w:hAnsi="宋体"/>
              </w:rPr>
            </w:pPr>
            <w:r>
              <w:rPr>
                <w:rFonts w:hint="eastAsia" w:ascii="宋体" w:hAnsi="宋体"/>
              </w:rPr>
              <w:t>千吨</w:t>
            </w:r>
          </w:p>
        </w:tc>
        <w:tc>
          <w:tcPr>
            <w:tcW w:w="605" w:type="pct"/>
            <w:vAlign w:val="center"/>
          </w:tcPr>
          <w:p>
            <w:pPr>
              <w:jc w:val="right"/>
              <w:rPr>
                <w:rFonts w:ascii="宋体" w:hAnsi="宋体"/>
              </w:rPr>
            </w:pPr>
            <w:r>
              <w:rPr>
                <w:rFonts w:ascii="宋体" w:hAnsi="宋体"/>
              </w:rPr>
              <w:t xml:space="preserve">162 </w:t>
            </w:r>
          </w:p>
        </w:tc>
        <w:tc>
          <w:tcPr>
            <w:tcW w:w="606" w:type="pct"/>
            <w:vAlign w:val="center"/>
          </w:tcPr>
          <w:p>
            <w:pPr>
              <w:jc w:val="right"/>
              <w:rPr>
                <w:rFonts w:ascii="宋体" w:hAnsi="宋体"/>
              </w:rPr>
            </w:pPr>
            <w:r>
              <w:rPr>
                <w:rFonts w:ascii="宋体" w:hAnsi="宋体"/>
              </w:rPr>
              <w:t xml:space="preserve">146 </w:t>
            </w:r>
          </w:p>
        </w:tc>
        <w:tc>
          <w:tcPr>
            <w:tcW w:w="606" w:type="pct"/>
          </w:tcPr>
          <w:p>
            <w:pPr>
              <w:jc w:val="right"/>
              <w:rPr>
                <w:rFonts w:ascii="宋体" w:hAnsi="宋体"/>
              </w:rPr>
            </w:pPr>
            <w:r>
              <w:rPr>
                <w:rFonts w:ascii="宋体" w:hAnsi="宋体"/>
              </w:rPr>
              <w:t xml:space="preserve">13 </w:t>
            </w:r>
          </w:p>
        </w:tc>
        <w:tc>
          <w:tcPr>
            <w:tcW w:w="605" w:type="pct"/>
            <w:vAlign w:val="center"/>
          </w:tcPr>
          <w:p>
            <w:pPr>
              <w:jc w:val="right"/>
              <w:rPr>
                <w:rFonts w:ascii="宋体" w:hAnsi="宋体"/>
              </w:rPr>
            </w:pPr>
            <w:r>
              <w:rPr>
                <w:rFonts w:ascii="宋体" w:hAnsi="宋体"/>
              </w:rPr>
              <w:t xml:space="preserve">-32.99 </w:t>
            </w:r>
          </w:p>
        </w:tc>
        <w:tc>
          <w:tcPr>
            <w:tcW w:w="605" w:type="pct"/>
            <w:vAlign w:val="center"/>
          </w:tcPr>
          <w:p>
            <w:pPr>
              <w:jc w:val="right"/>
              <w:rPr>
                <w:rFonts w:ascii="宋体" w:hAnsi="宋体"/>
              </w:rPr>
            </w:pPr>
            <w:r>
              <w:rPr>
                <w:rFonts w:ascii="宋体" w:hAnsi="宋体"/>
              </w:rPr>
              <w:t xml:space="preserve">-42.10 </w:t>
            </w:r>
          </w:p>
        </w:tc>
        <w:tc>
          <w:tcPr>
            <w:tcW w:w="603" w:type="pct"/>
          </w:tcPr>
          <w:p>
            <w:pPr>
              <w:jc w:val="right"/>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柴油</w:t>
            </w:r>
          </w:p>
        </w:tc>
        <w:tc>
          <w:tcPr>
            <w:tcW w:w="605" w:type="pct"/>
            <w:vAlign w:val="center"/>
          </w:tcPr>
          <w:p>
            <w:pPr>
              <w:jc w:val="center"/>
              <w:rPr>
                <w:rFonts w:ascii="宋体" w:hAnsi="宋体"/>
              </w:rPr>
            </w:pPr>
            <w:r>
              <w:rPr>
                <w:rFonts w:hint="eastAsia" w:ascii="宋体" w:hAnsi="宋体"/>
              </w:rPr>
              <w:t>千吨</w:t>
            </w:r>
          </w:p>
        </w:tc>
        <w:tc>
          <w:tcPr>
            <w:tcW w:w="605" w:type="pct"/>
            <w:vAlign w:val="center"/>
          </w:tcPr>
          <w:p>
            <w:pPr>
              <w:jc w:val="right"/>
              <w:rPr>
                <w:rFonts w:ascii="宋体" w:hAnsi="宋体"/>
              </w:rPr>
            </w:pPr>
            <w:r>
              <w:rPr>
                <w:rFonts w:ascii="宋体" w:hAnsi="宋体"/>
              </w:rPr>
              <w:t xml:space="preserve">277 </w:t>
            </w:r>
          </w:p>
        </w:tc>
        <w:tc>
          <w:tcPr>
            <w:tcW w:w="606" w:type="pct"/>
            <w:vAlign w:val="center"/>
          </w:tcPr>
          <w:p>
            <w:pPr>
              <w:jc w:val="right"/>
              <w:rPr>
                <w:rFonts w:ascii="宋体" w:hAnsi="宋体"/>
              </w:rPr>
            </w:pPr>
            <w:r>
              <w:rPr>
                <w:rFonts w:ascii="宋体" w:hAnsi="宋体"/>
              </w:rPr>
              <w:t xml:space="preserve">269 </w:t>
            </w:r>
          </w:p>
        </w:tc>
        <w:tc>
          <w:tcPr>
            <w:tcW w:w="606" w:type="pct"/>
          </w:tcPr>
          <w:p>
            <w:pPr>
              <w:jc w:val="right"/>
              <w:rPr>
                <w:rFonts w:ascii="宋体" w:hAnsi="宋体"/>
              </w:rPr>
            </w:pPr>
            <w:r>
              <w:rPr>
                <w:rFonts w:ascii="宋体" w:hAnsi="宋体"/>
              </w:rPr>
              <w:t xml:space="preserve">9 </w:t>
            </w:r>
          </w:p>
        </w:tc>
        <w:tc>
          <w:tcPr>
            <w:tcW w:w="605" w:type="pct"/>
            <w:vAlign w:val="center"/>
          </w:tcPr>
          <w:p>
            <w:pPr>
              <w:jc w:val="right"/>
              <w:rPr>
                <w:rFonts w:ascii="宋体" w:hAnsi="宋体"/>
              </w:rPr>
            </w:pPr>
            <w:r>
              <w:rPr>
                <w:rFonts w:ascii="宋体" w:hAnsi="宋体"/>
              </w:rPr>
              <w:t xml:space="preserve">75.78 </w:t>
            </w:r>
          </w:p>
        </w:tc>
        <w:tc>
          <w:tcPr>
            <w:tcW w:w="605" w:type="pct"/>
            <w:vAlign w:val="center"/>
          </w:tcPr>
          <w:p>
            <w:pPr>
              <w:jc w:val="right"/>
              <w:rPr>
                <w:rFonts w:ascii="宋体" w:hAnsi="宋体"/>
              </w:rPr>
            </w:pPr>
            <w:r>
              <w:rPr>
                <w:rFonts w:ascii="宋体" w:hAnsi="宋体"/>
              </w:rPr>
              <w:t xml:space="preserve">75.03 </w:t>
            </w:r>
          </w:p>
        </w:tc>
        <w:tc>
          <w:tcPr>
            <w:tcW w:w="603" w:type="pct"/>
          </w:tcPr>
          <w:p>
            <w:pPr>
              <w:jc w:val="right"/>
              <w:rPr>
                <w:rFonts w:ascii="宋体" w:hAnsi="宋体"/>
              </w:rPr>
            </w:pPr>
            <w:r>
              <w:rPr>
                <w:rFonts w:ascii="宋体" w:hAnsi="宋体"/>
              </w:rPr>
              <w:t xml:space="preserve">131.85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石脑油</w:t>
            </w:r>
          </w:p>
        </w:tc>
        <w:tc>
          <w:tcPr>
            <w:tcW w:w="605" w:type="pct"/>
            <w:vAlign w:val="center"/>
          </w:tcPr>
          <w:p>
            <w:pPr>
              <w:jc w:val="center"/>
              <w:rPr>
                <w:rFonts w:ascii="宋体" w:hAnsi="宋体"/>
              </w:rPr>
            </w:pPr>
            <w:r>
              <w:rPr>
                <w:rFonts w:hint="eastAsia" w:ascii="宋体" w:hAnsi="宋体"/>
              </w:rPr>
              <w:t>千吨</w:t>
            </w:r>
          </w:p>
        </w:tc>
        <w:tc>
          <w:tcPr>
            <w:tcW w:w="605" w:type="pct"/>
            <w:vAlign w:val="center"/>
          </w:tcPr>
          <w:p>
            <w:pPr>
              <w:jc w:val="right"/>
              <w:rPr>
                <w:rFonts w:ascii="宋体" w:hAnsi="宋体"/>
              </w:rPr>
            </w:pPr>
            <w:r>
              <w:rPr>
                <w:rFonts w:ascii="宋体" w:hAnsi="宋体"/>
              </w:rPr>
              <w:t xml:space="preserve">256 </w:t>
            </w:r>
          </w:p>
        </w:tc>
        <w:tc>
          <w:tcPr>
            <w:tcW w:w="606" w:type="pct"/>
            <w:vAlign w:val="center"/>
          </w:tcPr>
          <w:p>
            <w:pPr>
              <w:jc w:val="right"/>
              <w:rPr>
                <w:rFonts w:ascii="宋体" w:hAnsi="宋体"/>
              </w:rPr>
            </w:pPr>
            <w:r>
              <w:rPr>
                <w:rFonts w:ascii="宋体" w:hAnsi="宋体"/>
              </w:rPr>
              <w:t xml:space="preserve">254 </w:t>
            </w:r>
          </w:p>
        </w:tc>
        <w:tc>
          <w:tcPr>
            <w:tcW w:w="606" w:type="pct"/>
          </w:tcPr>
          <w:p>
            <w:pPr>
              <w:jc w:val="right"/>
              <w:rPr>
                <w:rFonts w:ascii="宋体" w:hAnsi="宋体"/>
              </w:rPr>
            </w:pPr>
            <w:r>
              <w:rPr>
                <w:rFonts w:ascii="宋体" w:hAnsi="宋体"/>
              </w:rPr>
              <w:t xml:space="preserve">5 </w:t>
            </w:r>
          </w:p>
        </w:tc>
        <w:tc>
          <w:tcPr>
            <w:tcW w:w="605" w:type="pct"/>
            <w:vAlign w:val="center"/>
          </w:tcPr>
          <w:p>
            <w:pPr>
              <w:jc w:val="right"/>
              <w:rPr>
                <w:rFonts w:ascii="宋体" w:hAnsi="宋体"/>
              </w:rPr>
            </w:pPr>
            <w:r>
              <w:rPr>
                <w:rFonts w:ascii="宋体" w:hAnsi="宋体"/>
              </w:rPr>
              <w:t xml:space="preserve">204.74 </w:t>
            </w:r>
          </w:p>
        </w:tc>
        <w:tc>
          <w:tcPr>
            <w:tcW w:w="605" w:type="pct"/>
            <w:vAlign w:val="center"/>
          </w:tcPr>
          <w:p>
            <w:pPr>
              <w:jc w:val="right"/>
              <w:rPr>
                <w:rFonts w:ascii="宋体" w:hAnsi="宋体"/>
              </w:rPr>
            </w:pPr>
            <w:r>
              <w:rPr>
                <w:rFonts w:ascii="宋体" w:hAnsi="宋体"/>
              </w:rPr>
              <w:t xml:space="preserve">214.44 </w:t>
            </w:r>
          </w:p>
        </w:tc>
        <w:tc>
          <w:tcPr>
            <w:tcW w:w="603" w:type="pct"/>
          </w:tcPr>
          <w:p>
            <w:pPr>
              <w:jc w:val="right"/>
              <w:rPr>
                <w:rFonts w:ascii="宋体" w:hAnsi="宋体"/>
              </w:rPr>
            </w:pPr>
            <w:r>
              <w:rPr>
                <w:rFonts w:ascii="宋体" w:hAnsi="宋体"/>
              </w:rPr>
              <w:t xml:space="preserve">63.00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63" w:type="pct"/>
          </w:tcPr>
          <w:p>
            <w:pPr>
              <w:rPr>
                <w:rFonts w:ascii="宋体" w:hAnsi="宋体"/>
              </w:rPr>
            </w:pPr>
            <w:r>
              <w:rPr>
                <w:rFonts w:hint="eastAsia" w:ascii="宋体" w:hAnsi="宋体"/>
              </w:rPr>
              <w:t>尿素</w:t>
            </w:r>
          </w:p>
        </w:tc>
        <w:tc>
          <w:tcPr>
            <w:tcW w:w="605" w:type="pct"/>
            <w:vAlign w:val="center"/>
          </w:tcPr>
          <w:p>
            <w:pPr>
              <w:jc w:val="center"/>
              <w:rPr>
                <w:rFonts w:ascii="宋体" w:hAnsi="宋体"/>
              </w:rPr>
            </w:pPr>
            <w:r>
              <w:rPr>
                <w:rFonts w:hint="eastAsia" w:ascii="宋体" w:hAnsi="宋体"/>
              </w:rPr>
              <w:t>千吨</w:t>
            </w:r>
          </w:p>
        </w:tc>
        <w:tc>
          <w:tcPr>
            <w:tcW w:w="605" w:type="pct"/>
            <w:vAlign w:val="center"/>
          </w:tcPr>
          <w:p>
            <w:pPr>
              <w:jc w:val="right"/>
              <w:rPr>
                <w:rFonts w:ascii="宋体" w:hAnsi="宋体"/>
              </w:rPr>
            </w:pPr>
            <w:r>
              <w:rPr>
                <w:rFonts w:ascii="宋体" w:hAnsi="宋体"/>
              </w:rPr>
              <w:t xml:space="preserve">591 </w:t>
            </w:r>
          </w:p>
        </w:tc>
        <w:tc>
          <w:tcPr>
            <w:tcW w:w="606" w:type="pct"/>
            <w:vAlign w:val="center"/>
          </w:tcPr>
          <w:p>
            <w:pPr>
              <w:jc w:val="right"/>
              <w:rPr>
                <w:rFonts w:ascii="宋体" w:hAnsi="宋体"/>
              </w:rPr>
            </w:pPr>
            <w:r>
              <w:rPr>
                <w:rFonts w:ascii="宋体" w:hAnsi="宋体"/>
              </w:rPr>
              <w:t xml:space="preserve">615 </w:t>
            </w:r>
          </w:p>
        </w:tc>
        <w:tc>
          <w:tcPr>
            <w:tcW w:w="606" w:type="pct"/>
          </w:tcPr>
          <w:p>
            <w:pPr>
              <w:jc w:val="right"/>
              <w:rPr>
                <w:rFonts w:ascii="宋体" w:hAnsi="宋体"/>
              </w:rPr>
            </w:pPr>
            <w:r>
              <w:rPr>
                <w:rFonts w:ascii="宋体" w:hAnsi="宋体"/>
              </w:rPr>
              <w:t xml:space="preserve">1 </w:t>
            </w:r>
          </w:p>
        </w:tc>
        <w:tc>
          <w:tcPr>
            <w:tcW w:w="605" w:type="pct"/>
            <w:vAlign w:val="center"/>
          </w:tcPr>
          <w:p>
            <w:pPr>
              <w:jc w:val="right"/>
              <w:rPr>
                <w:rFonts w:ascii="宋体" w:hAnsi="宋体"/>
              </w:rPr>
            </w:pPr>
            <w:r>
              <w:rPr>
                <w:rFonts w:ascii="宋体" w:hAnsi="宋体"/>
              </w:rPr>
              <w:t>-10.13</w:t>
            </w:r>
          </w:p>
        </w:tc>
        <w:tc>
          <w:tcPr>
            <w:tcW w:w="605" w:type="pct"/>
            <w:vAlign w:val="center"/>
          </w:tcPr>
          <w:p>
            <w:pPr>
              <w:jc w:val="right"/>
              <w:rPr>
                <w:rFonts w:ascii="宋体" w:hAnsi="宋体"/>
              </w:rPr>
            </w:pPr>
            <w:r>
              <w:rPr>
                <w:rFonts w:ascii="宋体" w:hAnsi="宋体"/>
              </w:rPr>
              <w:t xml:space="preserve">-2.72 </w:t>
            </w:r>
          </w:p>
        </w:tc>
        <w:tc>
          <w:tcPr>
            <w:tcW w:w="603" w:type="pct"/>
          </w:tcPr>
          <w:p>
            <w:pPr>
              <w:jc w:val="right"/>
              <w:rPr>
                <w:rFonts w:ascii="宋体" w:hAnsi="宋体"/>
              </w:rPr>
            </w:pPr>
            <w:r>
              <w:rPr>
                <w:rFonts w:ascii="宋体" w:hAnsi="宋体"/>
              </w:rPr>
              <w:t xml:space="preserve">-97.36 </w:t>
            </w:r>
          </w:p>
        </w:tc>
      </w:tr>
    </w:tbl>
    <w:p>
      <w:pPr>
        <w:rPr>
          <w:rFonts w:ascii="宋体" w:hAnsi="宋体"/>
        </w:rPr>
      </w:pPr>
    </w:p>
    <w:p>
      <w:pPr>
        <w:rPr>
          <w:rFonts w:ascii="宋体" w:hAnsi="宋体"/>
        </w:rPr>
      </w:pPr>
      <w:r>
        <w:rPr>
          <w:rFonts w:hint="eastAsia" w:ascii="宋体" w:hAnsi="宋体"/>
        </w:rPr>
        <w:t>产销量情况说明</w:t>
      </w:r>
    </w:p>
    <w:sdt>
      <w:sdtPr>
        <w:rPr>
          <w:rFonts w:hint="eastAsia" w:ascii="宋体" w:hAnsi="宋体"/>
        </w:rPr>
        <w:alias w:val="产销量情况说明"/>
        <w:tag w:val="_GBC_1aea839efa9940859168bf3f05061254"/>
        <w:id w:val="237751444"/>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主要产品的产销量变动详情请见本节之“各业务分部经营情况”相关内容。</w:t>
          </w:r>
        </w:p>
      </w:sdtContent>
    </w:sdt>
    <w:p>
      <w:pPr>
        <w:pStyle w:val="43"/>
      </w:pPr>
    </w:p>
    <w:p>
      <w:pPr>
        <w:pStyle w:val="6"/>
        <w:numPr>
          <w:ilvl w:val="0"/>
          <w:numId w:val="10"/>
        </w:numPr>
        <w:tabs>
          <w:tab w:val="left" w:pos="567"/>
        </w:tabs>
        <w:ind w:left="105" w:firstLine="0"/>
        <w:rPr>
          <w:rFonts w:ascii="宋体" w:hAnsi="宋体"/>
        </w:rPr>
      </w:pPr>
      <w:bookmarkStart w:id="40" w:name="_Hlk89876471"/>
      <w:r>
        <w:rPr>
          <w:rFonts w:hint="eastAsia" w:ascii="宋体" w:hAnsi="宋体"/>
        </w:rPr>
        <w:t>重大采购合同、重大销售合同的履行情况</w:t>
      </w:r>
    </w:p>
    <w:sdt>
      <w:sdtPr>
        <w:rPr>
          <w:rFonts w:hint="eastAsia"/>
        </w:rPr>
        <w:alias w:val="是否适用：重大采购合同、重大销售合同的履行情况 [双击切换]"/>
        <w:tag w:val="_GBC_7db64bb10282470b9d1599cd986236d4"/>
        <w:id w:val="-1378150364"/>
        <w:placeholder>
          <w:docPart w:val="GBC22222222222222222222222222222"/>
        </w:placeholder>
      </w:sdtPr>
      <w:sdtEndPr>
        <w:rPr>
          <w:rFonts w:hint="eastAsia"/>
        </w:rPr>
      </w:sdtEnd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43"/>
      </w:pPr>
    </w:p>
    <w:p>
      <w:pPr>
        <w:pStyle w:val="6"/>
        <w:numPr>
          <w:ilvl w:val="0"/>
          <w:numId w:val="10"/>
        </w:numPr>
        <w:tabs>
          <w:tab w:val="left" w:pos="567"/>
        </w:tabs>
        <w:ind w:left="105" w:firstLine="0"/>
        <w:rPr>
          <w:rFonts w:ascii="宋体" w:hAnsi="宋体"/>
          <w:szCs w:val="21"/>
        </w:rPr>
      </w:pPr>
      <w:r>
        <w:rPr>
          <w:rFonts w:ascii="宋体" w:hAnsi="宋体"/>
          <w:szCs w:val="21"/>
        </w:rPr>
        <w:t>成本分析表</w:t>
      </w:r>
    </w:p>
    <w:p>
      <w:pPr>
        <w:pStyle w:val="55"/>
        <w:ind w:firstLine="0" w:firstLineChars="0"/>
        <w:jc w:val="right"/>
        <w:rPr>
          <w:rFonts w:ascii="宋体" w:hAnsi="宋体"/>
          <w:szCs w:val="21"/>
        </w:rPr>
      </w:pPr>
      <w:r>
        <w:rPr>
          <w:rFonts w:hint="eastAsia" w:ascii="宋体" w:hAnsi="宋体"/>
          <w:szCs w:val="21"/>
        </w:rPr>
        <w:t>单位：</w:t>
      </w:r>
      <w:bookmarkEnd w:id="40"/>
      <w:sdt>
        <w:sdtPr>
          <w:rPr>
            <w:rFonts w:hint="eastAsia" w:ascii="宋体" w:hAnsi="宋体"/>
            <w:szCs w:val="21"/>
          </w:rPr>
          <w:alias w:val="单位：成本分析表"/>
          <w:tag w:val="_GBC_b04622a3125b4989a822b6e63bf483c3"/>
          <w:id w:val="20948906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百万元</w:t>
          </w:r>
        </w:sdtContent>
      </w:sdt>
    </w:p>
    <w:tbl>
      <w:tblPr>
        <w:tblStyle w:val="37"/>
        <w:tblW w:w="54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1341"/>
        <w:gridCol w:w="1654"/>
        <w:gridCol w:w="1613"/>
        <w:gridCol w:w="1583"/>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sdt>
          <w:sdtPr>
            <w:rPr>
              <w:rFonts w:ascii="宋体" w:hAnsi="宋体"/>
            </w:rPr>
            <w:tag w:val="_PLD_23eca1a24a6a46819aede5056d21b4e0"/>
            <w:id w:val="-746341457"/>
          </w:sdtPr>
          <w:sdtEndPr>
            <w:rPr>
              <w:rFonts w:ascii="宋体" w:hAnsi="宋体"/>
            </w:rPr>
          </w:sdtEndPr>
          <w:sdtContent>
            <w:tc>
              <w:tcPr>
                <w:tcW w:w="5000" w:type="pct"/>
                <w:gridSpan w:val="6"/>
                <w:vAlign w:val="center"/>
              </w:tcPr>
              <w:p>
                <w:pPr>
                  <w:jc w:val="center"/>
                  <w:rPr>
                    <w:rFonts w:ascii="宋体" w:hAnsi="宋体"/>
                  </w:rPr>
                </w:pPr>
                <w:r>
                  <w:rPr>
                    <w:rFonts w:ascii="宋体" w:hAnsi="宋体"/>
                  </w:rPr>
                  <w:t>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sdt>
          <w:sdtPr>
            <w:rPr>
              <w:rFonts w:ascii="宋体" w:hAnsi="宋体"/>
            </w:rPr>
            <w:tag w:val="_PLD_11eb33bcb20d4489a1b9fff2216d0a84"/>
            <w:id w:val="-2016133863"/>
          </w:sdtPr>
          <w:sdtEndPr>
            <w:rPr>
              <w:rFonts w:ascii="宋体" w:hAnsi="宋体"/>
            </w:rPr>
          </w:sdtEndPr>
          <w:sdtContent>
            <w:tc>
              <w:tcPr>
                <w:tcW w:w="1040" w:type="pct"/>
                <w:vAlign w:val="center"/>
              </w:tcPr>
              <w:p>
                <w:pPr>
                  <w:jc w:val="center"/>
                  <w:rPr>
                    <w:rFonts w:ascii="宋体" w:hAnsi="宋体"/>
                  </w:rPr>
                </w:pPr>
                <w:r>
                  <w:rPr>
                    <w:rFonts w:ascii="宋体" w:hAnsi="宋体"/>
                  </w:rPr>
                  <w:t>成本构成项目</w:t>
                </w:r>
              </w:p>
            </w:tc>
          </w:sdtContent>
        </w:sdt>
        <w:sdt>
          <w:sdtPr>
            <w:rPr>
              <w:rFonts w:ascii="宋体" w:hAnsi="宋体"/>
            </w:rPr>
            <w:tag w:val="_PLD_25c03477e66a432199f6493c38aaca71"/>
            <w:id w:val="758334359"/>
          </w:sdtPr>
          <w:sdtEndPr>
            <w:rPr>
              <w:rFonts w:ascii="宋体" w:hAnsi="宋体"/>
            </w:rPr>
          </w:sdtEndPr>
          <w:sdtContent>
            <w:tc>
              <w:tcPr>
                <w:tcW w:w="685" w:type="pct"/>
                <w:vAlign w:val="center"/>
              </w:tcPr>
              <w:p>
                <w:pPr>
                  <w:jc w:val="center"/>
                  <w:rPr>
                    <w:rFonts w:ascii="宋体" w:hAnsi="宋体"/>
                  </w:rPr>
                </w:pPr>
                <w:r>
                  <w:rPr>
                    <w:rFonts w:ascii="宋体" w:hAnsi="宋体"/>
                  </w:rPr>
                  <w:t>本期金额</w:t>
                </w:r>
              </w:p>
            </w:tc>
          </w:sdtContent>
        </w:sdt>
        <w:sdt>
          <w:sdtPr>
            <w:rPr>
              <w:rFonts w:ascii="宋体" w:hAnsi="宋体"/>
            </w:rPr>
            <w:tag w:val="_PLD_29b86b13ed1449cfb64b8547d9ed08a7"/>
            <w:id w:val="952289723"/>
          </w:sdtPr>
          <w:sdtEndPr>
            <w:rPr>
              <w:rFonts w:ascii="宋体" w:hAnsi="宋体"/>
            </w:rPr>
          </w:sdtEndPr>
          <w:sdtContent>
            <w:tc>
              <w:tcPr>
                <w:tcW w:w="845" w:type="pct"/>
                <w:vAlign w:val="center"/>
              </w:tcPr>
              <w:p>
                <w:pPr>
                  <w:jc w:val="center"/>
                  <w:rPr>
                    <w:rFonts w:ascii="宋体" w:hAnsi="宋体"/>
                  </w:rPr>
                </w:pPr>
                <w:r>
                  <w:rPr>
                    <w:rFonts w:ascii="宋体" w:hAnsi="宋体"/>
                  </w:rPr>
                  <w:t>本期占总成本比例(</w:t>
                </w:r>
                <w:r>
                  <w:rPr>
                    <w:rFonts w:hint="eastAsia" w:ascii="宋体" w:hAnsi="宋体"/>
                  </w:rPr>
                  <w:t>%</w:t>
                </w:r>
                <w:r>
                  <w:rPr>
                    <w:rFonts w:ascii="宋体" w:hAnsi="宋体"/>
                  </w:rPr>
                  <w:t>)</w:t>
                </w:r>
              </w:p>
            </w:tc>
          </w:sdtContent>
        </w:sdt>
        <w:sdt>
          <w:sdtPr>
            <w:rPr>
              <w:rFonts w:ascii="宋体" w:hAnsi="宋体"/>
            </w:rPr>
            <w:tag w:val="_PLD_5ff02c2ae2d941d5bb2ed5b1e6bfa8e6"/>
            <w:id w:val="1732812989"/>
          </w:sdtPr>
          <w:sdtEndPr>
            <w:rPr>
              <w:rFonts w:ascii="宋体" w:hAnsi="宋体"/>
            </w:rPr>
          </w:sdtEndPr>
          <w:sdtContent>
            <w:tc>
              <w:tcPr>
                <w:tcW w:w="824" w:type="pct"/>
                <w:vAlign w:val="center"/>
              </w:tcPr>
              <w:p>
                <w:pPr>
                  <w:jc w:val="center"/>
                  <w:rPr>
                    <w:rFonts w:ascii="宋体" w:hAnsi="宋体"/>
                  </w:rPr>
                </w:pPr>
                <w:r>
                  <w:rPr>
                    <w:rFonts w:ascii="宋体" w:hAnsi="宋体"/>
                  </w:rPr>
                  <w:t>上年同期金额</w:t>
                </w:r>
              </w:p>
            </w:tc>
          </w:sdtContent>
        </w:sdt>
        <w:sdt>
          <w:sdtPr>
            <w:rPr>
              <w:rFonts w:ascii="宋体" w:hAnsi="宋体"/>
            </w:rPr>
            <w:tag w:val="_PLD_517f7979a01748fba12b11d5561fdcdd"/>
            <w:id w:val="-756128972"/>
          </w:sdtPr>
          <w:sdtEndPr>
            <w:rPr>
              <w:rFonts w:ascii="宋体" w:hAnsi="宋体"/>
            </w:rPr>
          </w:sdtEndPr>
          <w:sdtContent>
            <w:tc>
              <w:tcPr>
                <w:tcW w:w="809" w:type="pct"/>
                <w:vAlign w:val="center"/>
              </w:tcPr>
              <w:p>
                <w:pPr>
                  <w:jc w:val="center"/>
                  <w:rPr>
                    <w:rFonts w:ascii="宋体" w:hAnsi="宋体"/>
                  </w:rPr>
                </w:pPr>
                <w:r>
                  <w:rPr>
                    <w:rFonts w:ascii="宋体" w:hAnsi="宋体"/>
                  </w:rPr>
                  <w:t>上年同期占总成本比例(</w:t>
                </w:r>
                <w:r>
                  <w:rPr>
                    <w:rFonts w:hint="eastAsia" w:ascii="宋体" w:hAnsi="宋体"/>
                  </w:rPr>
                  <w:t>%</w:t>
                </w:r>
                <w:r>
                  <w:rPr>
                    <w:rFonts w:ascii="宋体" w:hAnsi="宋体"/>
                  </w:rPr>
                  <w:t>)</w:t>
                </w:r>
              </w:p>
            </w:tc>
          </w:sdtContent>
        </w:sdt>
        <w:sdt>
          <w:sdtPr>
            <w:rPr>
              <w:rFonts w:ascii="宋体" w:hAnsi="宋体"/>
            </w:rPr>
            <w:tag w:val="_PLD_51133d067ddc4eeda00133d4c26d206f"/>
            <w:id w:val="224733201"/>
          </w:sdtPr>
          <w:sdtEndPr>
            <w:rPr>
              <w:rFonts w:ascii="宋体" w:hAnsi="宋体"/>
            </w:rPr>
          </w:sdtEndPr>
          <w:sdtContent>
            <w:tc>
              <w:tcPr>
                <w:tcW w:w="797" w:type="pct"/>
                <w:vAlign w:val="center"/>
              </w:tcPr>
              <w:p>
                <w:pPr>
                  <w:jc w:val="center"/>
                  <w:rPr>
                    <w:rFonts w:ascii="宋体" w:hAnsi="宋体"/>
                  </w:rPr>
                </w:pPr>
                <w:r>
                  <w:rPr>
                    <w:rFonts w:ascii="宋体" w:hAnsi="宋体"/>
                  </w:rPr>
                  <w:t>本期金额较上年同期变动比例(</w:t>
                </w:r>
                <w:r>
                  <w:rPr>
                    <w:rFonts w:hint="eastAsia" w:ascii="宋体" w:hAnsi="宋体"/>
                  </w:rPr>
                  <w:t>%</w:t>
                </w:r>
                <w:r>
                  <w:rPr>
                    <w:rFonts w:ascii="宋体" w:hAnsi="宋体"/>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Pr>
          <w:p>
            <w:pPr>
              <w:jc w:val="left"/>
              <w:rPr>
                <w:rFonts w:ascii="宋体" w:hAnsi="宋体"/>
              </w:rPr>
            </w:pPr>
            <w:r>
              <w:rPr>
                <w:rFonts w:hint="eastAsia" w:ascii="宋体" w:hAnsi="宋体" w:cstheme="minorBidi"/>
              </w:rPr>
              <w:t>一、自产煤成本</w:t>
            </w:r>
          </w:p>
        </w:tc>
        <w:tc>
          <w:tcPr>
            <w:tcW w:w="685" w:type="pct"/>
          </w:tcPr>
          <w:p>
            <w:pPr>
              <w:jc w:val="right"/>
              <w:rPr>
                <w:rFonts w:ascii="宋体" w:hAnsi="宋体"/>
              </w:rPr>
            </w:pPr>
            <w:r>
              <w:rPr>
                <w:rFonts w:ascii="宋体" w:hAnsi="宋体"/>
              </w:rPr>
              <w:t xml:space="preserve">42,273 </w:t>
            </w:r>
          </w:p>
        </w:tc>
        <w:tc>
          <w:tcPr>
            <w:tcW w:w="845" w:type="pct"/>
          </w:tcPr>
          <w:p>
            <w:pPr>
              <w:jc w:val="right"/>
              <w:rPr>
                <w:rFonts w:ascii="宋体" w:hAnsi="宋体"/>
              </w:rPr>
            </w:pPr>
            <w:r>
              <w:rPr>
                <w:rFonts w:ascii="宋体" w:hAnsi="宋体"/>
              </w:rPr>
              <w:t xml:space="preserve">100.00 </w:t>
            </w:r>
          </w:p>
        </w:tc>
        <w:tc>
          <w:tcPr>
            <w:tcW w:w="824" w:type="pct"/>
          </w:tcPr>
          <w:p>
            <w:pPr>
              <w:jc w:val="right"/>
              <w:rPr>
                <w:rFonts w:ascii="宋体" w:hAnsi="宋体"/>
              </w:rPr>
            </w:pPr>
            <w:r>
              <w:rPr>
                <w:rFonts w:ascii="宋体" w:hAnsi="宋体"/>
              </w:rPr>
              <w:t xml:space="preserve">40,011 </w:t>
            </w:r>
          </w:p>
        </w:tc>
        <w:tc>
          <w:tcPr>
            <w:tcW w:w="809" w:type="pct"/>
          </w:tcPr>
          <w:p>
            <w:pPr>
              <w:jc w:val="right"/>
              <w:rPr>
                <w:rFonts w:ascii="宋体" w:hAnsi="宋体"/>
              </w:rPr>
            </w:pPr>
            <w:r>
              <w:rPr>
                <w:rFonts w:ascii="宋体" w:hAnsi="宋体"/>
              </w:rPr>
              <w:t xml:space="preserve">100.00 </w:t>
            </w:r>
          </w:p>
        </w:tc>
        <w:tc>
          <w:tcPr>
            <w:tcW w:w="797" w:type="pct"/>
          </w:tcPr>
          <w:p>
            <w:pPr>
              <w:jc w:val="right"/>
              <w:rPr>
                <w:rFonts w:ascii="宋体" w:hAnsi="宋体"/>
              </w:rPr>
            </w:pPr>
            <w:r>
              <w:rPr>
                <w:rFonts w:ascii="宋体" w:hAnsi="宋体"/>
              </w:rPr>
              <w:t xml:space="preserve">5.65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Pr>
          <w:p>
            <w:pPr>
              <w:jc w:val="left"/>
              <w:rPr>
                <w:rFonts w:ascii="宋体" w:hAnsi="宋体"/>
              </w:rPr>
            </w:pPr>
            <w:r>
              <w:rPr>
                <w:rFonts w:ascii="宋体" w:hAnsi="宋体" w:cstheme="minorBidi"/>
              </w:rPr>
              <w:t>1.材料</w:t>
            </w:r>
          </w:p>
        </w:tc>
        <w:tc>
          <w:tcPr>
            <w:tcW w:w="685" w:type="pct"/>
          </w:tcPr>
          <w:p>
            <w:pPr>
              <w:jc w:val="right"/>
              <w:rPr>
                <w:rFonts w:ascii="宋体" w:hAnsi="宋体"/>
              </w:rPr>
            </w:pPr>
            <w:r>
              <w:rPr>
                <w:rFonts w:ascii="宋体" w:hAnsi="宋体"/>
              </w:rPr>
              <w:t xml:space="preserve">5,960 </w:t>
            </w:r>
          </w:p>
        </w:tc>
        <w:tc>
          <w:tcPr>
            <w:tcW w:w="845" w:type="pct"/>
          </w:tcPr>
          <w:p>
            <w:pPr>
              <w:jc w:val="right"/>
              <w:rPr>
                <w:rFonts w:ascii="宋体" w:hAnsi="宋体"/>
              </w:rPr>
            </w:pPr>
            <w:r>
              <w:rPr>
                <w:rFonts w:ascii="宋体" w:hAnsi="宋体"/>
              </w:rPr>
              <w:t xml:space="preserve">14.10 </w:t>
            </w:r>
          </w:p>
        </w:tc>
        <w:tc>
          <w:tcPr>
            <w:tcW w:w="824" w:type="pct"/>
          </w:tcPr>
          <w:p>
            <w:pPr>
              <w:jc w:val="right"/>
              <w:rPr>
                <w:rFonts w:ascii="宋体" w:hAnsi="宋体"/>
              </w:rPr>
            </w:pPr>
            <w:r>
              <w:rPr>
                <w:rFonts w:ascii="宋体" w:hAnsi="宋体"/>
              </w:rPr>
              <w:t xml:space="preserve">5,214 </w:t>
            </w:r>
          </w:p>
        </w:tc>
        <w:tc>
          <w:tcPr>
            <w:tcW w:w="809" w:type="pct"/>
          </w:tcPr>
          <w:p>
            <w:pPr>
              <w:jc w:val="right"/>
              <w:rPr>
                <w:rFonts w:ascii="宋体" w:hAnsi="宋体"/>
              </w:rPr>
            </w:pPr>
            <w:r>
              <w:rPr>
                <w:rFonts w:ascii="宋体" w:hAnsi="宋体"/>
              </w:rPr>
              <w:t xml:space="preserve">13.03 </w:t>
            </w:r>
          </w:p>
        </w:tc>
        <w:tc>
          <w:tcPr>
            <w:tcW w:w="797" w:type="pct"/>
          </w:tcPr>
          <w:p>
            <w:pPr>
              <w:jc w:val="right"/>
              <w:rPr>
                <w:rFonts w:ascii="宋体" w:hAnsi="宋体"/>
              </w:rPr>
            </w:pPr>
            <w:r>
              <w:rPr>
                <w:rFonts w:ascii="宋体" w:hAnsi="宋体"/>
              </w:rPr>
              <w:t xml:space="preserve">14.32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Pr>
          <w:p>
            <w:pPr>
              <w:pStyle w:val="43"/>
              <w:widowControl w:val="0"/>
              <w:jc w:val="both"/>
            </w:pPr>
            <w:r>
              <w:rPr>
                <w:rFonts w:cstheme="minorBidi"/>
                <w:kern w:val="2"/>
              </w:rPr>
              <w:t>2.工资及雇员福利</w:t>
            </w:r>
          </w:p>
        </w:tc>
        <w:tc>
          <w:tcPr>
            <w:tcW w:w="685" w:type="pct"/>
          </w:tcPr>
          <w:p>
            <w:pPr>
              <w:jc w:val="right"/>
              <w:rPr>
                <w:rFonts w:ascii="宋体" w:hAnsi="宋体"/>
              </w:rPr>
            </w:pPr>
            <w:r>
              <w:rPr>
                <w:rFonts w:ascii="宋体" w:hAnsi="宋体"/>
              </w:rPr>
              <w:t xml:space="preserve">10,597 </w:t>
            </w:r>
          </w:p>
        </w:tc>
        <w:tc>
          <w:tcPr>
            <w:tcW w:w="845" w:type="pct"/>
          </w:tcPr>
          <w:p>
            <w:pPr>
              <w:jc w:val="right"/>
              <w:rPr>
                <w:rFonts w:ascii="宋体" w:hAnsi="宋体"/>
              </w:rPr>
            </w:pPr>
            <w:r>
              <w:rPr>
                <w:rFonts w:ascii="宋体" w:hAnsi="宋体"/>
              </w:rPr>
              <w:t xml:space="preserve">25.07 </w:t>
            </w:r>
          </w:p>
        </w:tc>
        <w:tc>
          <w:tcPr>
            <w:tcW w:w="824" w:type="pct"/>
          </w:tcPr>
          <w:p>
            <w:pPr>
              <w:jc w:val="right"/>
              <w:rPr>
                <w:rFonts w:ascii="宋体" w:hAnsi="宋体"/>
              </w:rPr>
            </w:pPr>
            <w:r>
              <w:rPr>
                <w:rFonts w:ascii="宋体" w:hAnsi="宋体"/>
              </w:rPr>
              <w:t xml:space="preserve">10,296 </w:t>
            </w:r>
          </w:p>
        </w:tc>
        <w:tc>
          <w:tcPr>
            <w:tcW w:w="809" w:type="pct"/>
          </w:tcPr>
          <w:p>
            <w:pPr>
              <w:jc w:val="right"/>
              <w:rPr>
                <w:rFonts w:ascii="宋体" w:hAnsi="宋体"/>
              </w:rPr>
            </w:pPr>
            <w:r>
              <w:rPr>
                <w:rFonts w:ascii="宋体" w:hAnsi="宋体"/>
              </w:rPr>
              <w:t xml:space="preserve">25.73 </w:t>
            </w:r>
          </w:p>
        </w:tc>
        <w:tc>
          <w:tcPr>
            <w:tcW w:w="797" w:type="pct"/>
          </w:tcPr>
          <w:p>
            <w:pPr>
              <w:jc w:val="right"/>
              <w:rPr>
                <w:rFonts w:ascii="宋体" w:hAnsi="宋体"/>
              </w:rPr>
            </w:pPr>
            <w:r>
              <w:rPr>
                <w:rFonts w:ascii="宋体" w:hAnsi="宋体"/>
              </w:rPr>
              <w:t xml:space="preserve">2.92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Pr>
          <w:p>
            <w:pPr>
              <w:pStyle w:val="43"/>
              <w:widowControl w:val="0"/>
              <w:jc w:val="both"/>
            </w:pPr>
            <w:r>
              <w:rPr>
                <w:rFonts w:cstheme="minorBidi"/>
                <w:kern w:val="2"/>
              </w:rPr>
              <w:t>3.电力</w:t>
            </w:r>
          </w:p>
        </w:tc>
        <w:tc>
          <w:tcPr>
            <w:tcW w:w="685" w:type="pct"/>
          </w:tcPr>
          <w:p>
            <w:pPr>
              <w:jc w:val="right"/>
              <w:rPr>
                <w:rFonts w:ascii="宋体" w:hAnsi="宋体"/>
              </w:rPr>
            </w:pPr>
            <w:r>
              <w:rPr>
                <w:rFonts w:ascii="宋体" w:hAnsi="宋体"/>
              </w:rPr>
              <w:t xml:space="preserve">1,928 </w:t>
            </w:r>
          </w:p>
        </w:tc>
        <w:tc>
          <w:tcPr>
            <w:tcW w:w="845" w:type="pct"/>
          </w:tcPr>
          <w:p>
            <w:pPr>
              <w:jc w:val="right"/>
              <w:rPr>
                <w:rFonts w:ascii="宋体" w:hAnsi="宋体"/>
              </w:rPr>
            </w:pPr>
            <w:r>
              <w:rPr>
                <w:rFonts w:ascii="宋体" w:hAnsi="宋体"/>
              </w:rPr>
              <w:t xml:space="preserve">4.56 </w:t>
            </w:r>
          </w:p>
        </w:tc>
        <w:tc>
          <w:tcPr>
            <w:tcW w:w="824" w:type="pct"/>
          </w:tcPr>
          <w:p>
            <w:pPr>
              <w:jc w:val="right"/>
              <w:rPr>
                <w:rFonts w:ascii="宋体" w:hAnsi="宋体"/>
              </w:rPr>
            </w:pPr>
            <w:r>
              <w:rPr>
                <w:rFonts w:ascii="宋体" w:hAnsi="宋体"/>
              </w:rPr>
              <w:t xml:space="preserve">1,571 </w:t>
            </w:r>
          </w:p>
        </w:tc>
        <w:tc>
          <w:tcPr>
            <w:tcW w:w="809" w:type="pct"/>
          </w:tcPr>
          <w:p>
            <w:pPr>
              <w:jc w:val="right"/>
              <w:rPr>
                <w:rFonts w:ascii="宋体" w:hAnsi="宋体"/>
              </w:rPr>
            </w:pPr>
            <w:r>
              <w:rPr>
                <w:rFonts w:ascii="宋体" w:hAnsi="宋体"/>
              </w:rPr>
              <w:t xml:space="preserve">3.93 </w:t>
            </w:r>
          </w:p>
        </w:tc>
        <w:tc>
          <w:tcPr>
            <w:tcW w:w="797" w:type="pct"/>
          </w:tcPr>
          <w:p>
            <w:pPr>
              <w:jc w:val="right"/>
              <w:rPr>
                <w:rFonts w:ascii="宋体" w:hAnsi="宋体"/>
              </w:rPr>
            </w:pPr>
            <w:r>
              <w:rPr>
                <w:rFonts w:ascii="宋体" w:hAnsi="宋体"/>
              </w:rPr>
              <w:t xml:space="preserve">22.74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Pr>
          <w:p>
            <w:pPr>
              <w:pStyle w:val="43"/>
              <w:widowControl w:val="0"/>
              <w:jc w:val="both"/>
            </w:pPr>
            <w:r>
              <w:rPr>
                <w:rFonts w:cstheme="minorBidi"/>
                <w:kern w:val="2"/>
              </w:rPr>
              <w:t>4.折旧</w:t>
            </w:r>
          </w:p>
        </w:tc>
        <w:tc>
          <w:tcPr>
            <w:tcW w:w="685" w:type="pct"/>
          </w:tcPr>
          <w:p>
            <w:pPr>
              <w:jc w:val="right"/>
              <w:rPr>
                <w:rFonts w:ascii="宋体" w:hAnsi="宋体"/>
              </w:rPr>
            </w:pPr>
            <w:r>
              <w:rPr>
                <w:rFonts w:ascii="宋体" w:hAnsi="宋体"/>
              </w:rPr>
              <w:t xml:space="preserve">5,939 </w:t>
            </w:r>
          </w:p>
        </w:tc>
        <w:tc>
          <w:tcPr>
            <w:tcW w:w="845" w:type="pct"/>
          </w:tcPr>
          <w:p>
            <w:pPr>
              <w:jc w:val="right"/>
              <w:rPr>
                <w:rFonts w:ascii="宋体" w:hAnsi="宋体"/>
              </w:rPr>
            </w:pPr>
            <w:r>
              <w:rPr>
                <w:rFonts w:ascii="宋体" w:hAnsi="宋体"/>
              </w:rPr>
              <w:t xml:space="preserve">14.05 </w:t>
            </w:r>
          </w:p>
        </w:tc>
        <w:tc>
          <w:tcPr>
            <w:tcW w:w="824" w:type="pct"/>
          </w:tcPr>
          <w:p>
            <w:pPr>
              <w:jc w:val="right"/>
              <w:rPr>
                <w:rFonts w:ascii="宋体" w:hAnsi="宋体"/>
              </w:rPr>
            </w:pPr>
            <w:r>
              <w:rPr>
                <w:rFonts w:ascii="宋体" w:hAnsi="宋体"/>
              </w:rPr>
              <w:t xml:space="preserve">4,842 </w:t>
            </w:r>
          </w:p>
        </w:tc>
        <w:tc>
          <w:tcPr>
            <w:tcW w:w="809" w:type="pct"/>
          </w:tcPr>
          <w:p>
            <w:pPr>
              <w:jc w:val="right"/>
              <w:rPr>
                <w:rFonts w:ascii="宋体" w:hAnsi="宋体"/>
              </w:rPr>
            </w:pPr>
            <w:r>
              <w:rPr>
                <w:rFonts w:ascii="宋体" w:hAnsi="宋体"/>
              </w:rPr>
              <w:t xml:space="preserve">12.10 </w:t>
            </w:r>
          </w:p>
        </w:tc>
        <w:tc>
          <w:tcPr>
            <w:tcW w:w="797" w:type="pct"/>
          </w:tcPr>
          <w:p>
            <w:pPr>
              <w:jc w:val="right"/>
              <w:rPr>
                <w:rFonts w:ascii="宋体" w:hAnsi="宋体"/>
              </w:rPr>
            </w:pPr>
            <w:r>
              <w:rPr>
                <w:rFonts w:ascii="宋体" w:hAnsi="宋体"/>
              </w:rPr>
              <w:t xml:space="preserve">22.67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Pr>
          <w:p>
            <w:pPr>
              <w:pStyle w:val="43"/>
              <w:widowControl w:val="0"/>
              <w:jc w:val="both"/>
            </w:pPr>
            <w:r>
              <w:rPr>
                <w:rFonts w:cstheme="minorBidi"/>
                <w:kern w:val="2"/>
              </w:rPr>
              <w:t>5.塌陷费</w:t>
            </w:r>
          </w:p>
        </w:tc>
        <w:tc>
          <w:tcPr>
            <w:tcW w:w="685" w:type="pct"/>
          </w:tcPr>
          <w:p>
            <w:pPr>
              <w:jc w:val="right"/>
              <w:rPr>
                <w:rFonts w:ascii="宋体" w:hAnsi="宋体"/>
              </w:rPr>
            </w:pPr>
            <w:r>
              <w:rPr>
                <w:rFonts w:ascii="宋体" w:hAnsi="宋体"/>
              </w:rPr>
              <w:t xml:space="preserve">2,522 </w:t>
            </w:r>
          </w:p>
        </w:tc>
        <w:tc>
          <w:tcPr>
            <w:tcW w:w="845" w:type="pct"/>
          </w:tcPr>
          <w:p>
            <w:pPr>
              <w:jc w:val="right"/>
              <w:rPr>
                <w:rFonts w:ascii="宋体" w:hAnsi="宋体"/>
              </w:rPr>
            </w:pPr>
            <w:r>
              <w:rPr>
                <w:rFonts w:ascii="宋体" w:hAnsi="宋体"/>
              </w:rPr>
              <w:t xml:space="preserve">5.97 </w:t>
            </w:r>
          </w:p>
        </w:tc>
        <w:tc>
          <w:tcPr>
            <w:tcW w:w="824" w:type="pct"/>
          </w:tcPr>
          <w:p>
            <w:pPr>
              <w:jc w:val="right"/>
              <w:rPr>
                <w:rFonts w:ascii="宋体" w:hAnsi="宋体"/>
              </w:rPr>
            </w:pPr>
            <w:r>
              <w:rPr>
                <w:rFonts w:ascii="宋体" w:hAnsi="宋体"/>
              </w:rPr>
              <w:t xml:space="preserve">3,285 </w:t>
            </w:r>
          </w:p>
        </w:tc>
        <w:tc>
          <w:tcPr>
            <w:tcW w:w="809" w:type="pct"/>
          </w:tcPr>
          <w:p>
            <w:pPr>
              <w:jc w:val="right"/>
              <w:rPr>
                <w:rFonts w:ascii="宋体" w:hAnsi="宋体"/>
              </w:rPr>
            </w:pPr>
            <w:r>
              <w:rPr>
                <w:rFonts w:ascii="宋体" w:hAnsi="宋体"/>
              </w:rPr>
              <w:t xml:space="preserve">8.21 </w:t>
            </w:r>
          </w:p>
        </w:tc>
        <w:tc>
          <w:tcPr>
            <w:tcW w:w="797" w:type="pct"/>
          </w:tcPr>
          <w:p>
            <w:pPr>
              <w:jc w:val="right"/>
              <w:rPr>
                <w:rFonts w:ascii="宋体" w:hAnsi="宋体"/>
              </w:rPr>
            </w:pPr>
            <w:r>
              <w:rPr>
                <w:rFonts w:ascii="宋体" w:hAnsi="宋体"/>
              </w:rPr>
              <w:t xml:space="preserve">-23.23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Pr>
          <w:p>
            <w:pPr>
              <w:pStyle w:val="43"/>
              <w:widowControl w:val="0"/>
              <w:jc w:val="both"/>
            </w:pPr>
            <w:r>
              <w:rPr>
                <w:rFonts w:cstheme="minorBidi"/>
                <w:kern w:val="2"/>
              </w:rPr>
              <w:t>6.修理费</w:t>
            </w:r>
          </w:p>
        </w:tc>
        <w:tc>
          <w:tcPr>
            <w:tcW w:w="685" w:type="pct"/>
          </w:tcPr>
          <w:p>
            <w:pPr>
              <w:jc w:val="right"/>
              <w:rPr>
                <w:rFonts w:ascii="宋体" w:hAnsi="宋体"/>
              </w:rPr>
            </w:pPr>
            <w:r>
              <w:rPr>
                <w:rFonts w:ascii="宋体" w:hAnsi="宋体"/>
              </w:rPr>
              <w:t xml:space="preserve">2,660 </w:t>
            </w:r>
          </w:p>
        </w:tc>
        <w:tc>
          <w:tcPr>
            <w:tcW w:w="845" w:type="pct"/>
          </w:tcPr>
          <w:p>
            <w:pPr>
              <w:jc w:val="right"/>
              <w:rPr>
                <w:rFonts w:ascii="宋体" w:hAnsi="宋体"/>
              </w:rPr>
            </w:pPr>
            <w:r>
              <w:rPr>
                <w:rFonts w:ascii="宋体" w:hAnsi="宋体"/>
              </w:rPr>
              <w:t xml:space="preserve">6.29 </w:t>
            </w:r>
          </w:p>
        </w:tc>
        <w:tc>
          <w:tcPr>
            <w:tcW w:w="824" w:type="pct"/>
          </w:tcPr>
          <w:p>
            <w:pPr>
              <w:jc w:val="right"/>
              <w:rPr>
                <w:rFonts w:ascii="宋体" w:hAnsi="宋体"/>
              </w:rPr>
            </w:pPr>
            <w:r>
              <w:rPr>
                <w:rFonts w:ascii="宋体" w:hAnsi="宋体"/>
              </w:rPr>
              <w:t xml:space="preserve">2,126 </w:t>
            </w:r>
          </w:p>
        </w:tc>
        <w:tc>
          <w:tcPr>
            <w:tcW w:w="809" w:type="pct"/>
          </w:tcPr>
          <w:p>
            <w:pPr>
              <w:jc w:val="right"/>
              <w:rPr>
                <w:rFonts w:ascii="宋体" w:hAnsi="宋体"/>
              </w:rPr>
            </w:pPr>
            <w:r>
              <w:rPr>
                <w:rFonts w:ascii="宋体" w:hAnsi="宋体"/>
              </w:rPr>
              <w:t xml:space="preserve">5.31 </w:t>
            </w:r>
          </w:p>
        </w:tc>
        <w:tc>
          <w:tcPr>
            <w:tcW w:w="797" w:type="pct"/>
          </w:tcPr>
          <w:p>
            <w:pPr>
              <w:jc w:val="right"/>
              <w:rPr>
                <w:rFonts w:ascii="宋体" w:hAnsi="宋体"/>
              </w:rPr>
            </w:pPr>
            <w:r>
              <w:rPr>
                <w:rFonts w:ascii="宋体" w:hAnsi="宋体"/>
              </w:rPr>
              <w:t xml:space="preserve">25.08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Pr>
          <w:p>
            <w:pPr>
              <w:pStyle w:val="43"/>
              <w:widowControl w:val="0"/>
              <w:jc w:val="both"/>
            </w:pPr>
            <w:r>
              <w:rPr>
                <w:rFonts w:cstheme="minorBidi"/>
                <w:kern w:val="2"/>
              </w:rPr>
              <w:t>7.采矿权摊销</w:t>
            </w:r>
          </w:p>
        </w:tc>
        <w:tc>
          <w:tcPr>
            <w:tcW w:w="685" w:type="pct"/>
          </w:tcPr>
          <w:p>
            <w:pPr>
              <w:jc w:val="right"/>
              <w:rPr>
                <w:rFonts w:ascii="宋体" w:hAnsi="宋体"/>
              </w:rPr>
            </w:pPr>
            <w:r>
              <w:rPr>
                <w:rFonts w:ascii="宋体" w:hAnsi="宋体"/>
              </w:rPr>
              <w:t xml:space="preserve">2,360 </w:t>
            </w:r>
          </w:p>
        </w:tc>
        <w:tc>
          <w:tcPr>
            <w:tcW w:w="845" w:type="pct"/>
          </w:tcPr>
          <w:p>
            <w:pPr>
              <w:jc w:val="right"/>
              <w:rPr>
                <w:rFonts w:ascii="宋体" w:hAnsi="宋体"/>
              </w:rPr>
            </w:pPr>
            <w:r>
              <w:rPr>
                <w:rFonts w:ascii="宋体" w:hAnsi="宋体"/>
              </w:rPr>
              <w:t xml:space="preserve">5.58 </w:t>
            </w:r>
          </w:p>
        </w:tc>
        <w:tc>
          <w:tcPr>
            <w:tcW w:w="824" w:type="pct"/>
          </w:tcPr>
          <w:p>
            <w:pPr>
              <w:jc w:val="right"/>
              <w:rPr>
                <w:rFonts w:ascii="宋体" w:hAnsi="宋体"/>
              </w:rPr>
            </w:pPr>
            <w:r>
              <w:rPr>
                <w:rFonts w:ascii="宋体" w:hAnsi="宋体"/>
              </w:rPr>
              <w:t xml:space="preserve">2,241 </w:t>
            </w:r>
          </w:p>
        </w:tc>
        <w:tc>
          <w:tcPr>
            <w:tcW w:w="809" w:type="pct"/>
          </w:tcPr>
          <w:p>
            <w:pPr>
              <w:jc w:val="right"/>
              <w:rPr>
                <w:rFonts w:ascii="宋体" w:hAnsi="宋体"/>
              </w:rPr>
            </w:pPr>
            <w:r>
              <w:rPr>
                <w:rFonts w:ascii="宋体" w:hAnsi="宋体"/>
              </w:rPr>
              <w:t xml:space="preserve">5.60 </w:t>
            </w:r>
          </w:p>
        </w:tc>
        <w:tc>
          <w:tcPr>
            <w:tcW w:w="797" w:type="pct"/>
          </w:tcPr>
          <w:p>
            <w:pPr>
              <w:jc w:val="right"/>
              <w:rPr>
                <w:rFonts w:ascii="宋体" w:hAnsi="宋体"/>
              </w:rPr>
            </w:pPr>
            <w:r>
              <w:rPr>
                <w:rFonts w:ascii="宋体" w:hAnsi="宋体"/>
              </w:rPr>
              <w:t xml:space="preserve">5.32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Borders>
              <w:bottom w:val="single" w:color="auto" w:sz="4" w:space="0"/>
            </w:tcBorders>
          </w:tcPr>
          <w:p>
            <w:pPr>
              <w:jc w:val="left"/>
              <w:rPr>
                <w:rFonts w:ascii="宋体" w:hAnsi="宋体"/>
              </w:rPr>
            </w:pPr>
            <w:r>
              <w:rPr>
                <w:rFonts w:ascii="宋体" w:hAnsi="宋体" w:cstheme="minorBidi"/>
              </w:rPr>
              <w:t>8.运输</w:t>
            </w:r>
          </w:p>
        </w:tc>
        <w:tc>
          <w:tcPr>
            <w:tcW w:w="685" w:type="pct"/>
            <w:tcBorders>
              <w:bottom w:val="single" w:color="auto" w:sz="4" w:space="0"/>
            </w:tcBorders>
          </w:tcPr>
          <w:p>
            <w:pPr>
              <w:jc w:val="right"/>
              <w:rPr>
                <w:rFonts w:ascii="宋体" w:hAnsi="宋体"/>
              </w:rPr>
            </w:pPr>
            <w:r>
              <w:rPr>
                <w:rFonts w:ascii="宋体" w:hAnsi="宋体"/>
              </w:rPr>
              <w:t xml:space="preserve">4,499 </w:t>
            </w:r>
          </w:p>
        </w:tc>
        <w:tc>
          <w:tcPr>
            <w:tcW w:w="845" w:type="pct"/>
            <w:tcBorders>
              <w:bottom w:val="single" w:color="auto" w:sz="4" w:space="0"/>
            </w:tcBorders>
          </w:tcPr>
          <w:p>
            <w:pPr>
              <w:jc w:val="right"/>
              <w:rPr>
                <w:rFonts w:ascii="宋体" w:hAnsi="宋体"/>
              </w:rPr>
            </w:pPr>
            <w:r>
              <w:rPr>
                <w:rFonts w:ascii="宋体" w:hAnsi="宋体"/>
              </w:rPr>
              <w:t xml:space="preserve">10.64 </w:t>
            </w:r>
          </w:p>
        </w:tc>
        <w:tc>
          <w:tcPr>
            <w:tcW w:w="824" w:type="pct"/>
            <w:tcBorders>
              <w:bottom w:val="single" w:color="auto" w:sz="4" w:space="0"/>
            </w:tcBorders>
          </w:tcPr>
          <w:p>
            <w:pPr>
              <w:jc w:val="right"/>
              <w:rPr>
                <w:rFonts w:ascii="宋体" w:hAnsi="宋体"/>
              </w:rPr>
            </w:pPr>
            <w:r>
              <w:rPr>
                <w:rFonts w:ascii="宋体" w:hAnsi="宋体"/>
              </w:rPr>
              <w:t xml:space="preserve">3,772 </w:t>
            </w:r>
          </w:p>
        </w:tc>
        <w:tc>
          <w:tcPr>
            <w:tcW w:w="809" w:type="pct"/>
            <w:tcBorders>
              <w:bottom w:val="single" w:color="auto" w:sz="4" w:space="0"/>
            </w:tcBorders>
          </w:tcPr>
          <w:p>
            <w:pPr>
              <w:jc w:val="right"/>
              <w:rPr>
                <w:rFonts w:ascii="宋体" w:hAnsi="宋体"/>
              </w:rPr>
            </w:pPr>
            <w:r>
              <w:rPr>
                <w:rFonts w:ascii="宋体" w:hAnsi="宋体"/>
              </w:rPr>
              <w:t xml:space="preserve">9.43 </w:t>
            </w:r>
          </w:p>
        </w:tc>
        <w:tc>
          <w:tcPr>
            <w:tcW w:w="797" w:type="pct"/>
            <w:tcBorders>
              <w:bottom w:val="single" w:color="auto" w:sz="4" w:space="0"/>
            </w:tcBorders>
          </w:tcPr>
          <w:p>
            <w:pPr>
              <w:jc w:val="right"/>
              <w:rPr>
                <w:rFonts w:ascii="宋体" w:hAnsi="宋体"/>
              </w:rPr>
            </w:pPr>
            <w:r>
              <w:rPr>
                <w:rFonts w:ascii="宋体" w:hAnsi="宋体"/>
              </w:rPr>
              <w:t xml:space="preserve">19.29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Pr>
          <w:p>
            <w:pPr>
              <w:pStyle w:val="43"/>
              <w:widowControl w:val="0"/>
              <w:jc w:val="both"/>
            </w:pPr>
            <w:r>
              <w:rPr>
                <w:rFonts w:cstheme="minorBidi"/>
                <w:kern w:val="2"/>
              </w:rPr>
              <w:t>9.其他</w:t>
            </w:r>
          </w:p>
        </w:tc>
        <w:tc>
          <w:tcPr>
            <w:tcW w:w="685" w:type="pct"/>
          </w:tcPr>
          <w:p>
            <w:pPr>
              <w:jc w:val="right"/>
              <w:rPr>
                <w:rFonts w:ascii="宋体" w:hAnsi="宋体"/>
              </w:rPr>
            </w:pPr>
            <w:r>
              <w:rPr>
                <w:rFonts w:ascii="宋体" w:hAnsi="宋体"/>
              </w:rPr>
              <w:t>5,806</w:t>
            </w:r>
          </w:p>
        </w:tc>
        <w:tc>
          <w:tcPr>
            <w:tcW w:w="845" w:type="pct"/>
          </w:tcPr>
          <w:p>
            <w:pPr>
              <w:jc w:val="right"/>
              <w:rPr>
                <w:rFonts w:ascii="宋体" w:hAnsi="宋体"/>
              </w:rPr>
            </w:pPr>
            <w:r>
              <w:rPr>
                <w:rFonts w:ascii="宋体" w:hAnsi="宋体"/>
              </w:rPr>
              <w:t xml:space="preserve">13.74 </w:t>
            </w:r>
          </w:p>
        </w:tc>
        <w:tc>
          <w:tcPr>
            <w:tcW w:w="824" w:type="pct"/>
          </w:tcPr>
          <w:p>
            <w:pPr>
              <w:jc w:val="right"/>
              <w:rPr>
                <w:rFonts w:ascii="宋体" w:hAnsi="宋体"/>
              </w:rPr>
            </w:pPr>
            <w:r>
              <w:rPr>
                <w:rFonts w:ascii="宋体" w:hAnsi="宋体"/>
              </w:rPr>
              <w:t>6,664</w:t>
            </w:r>
          </w:p>
        </w:tc>
        <w:tc>
          <w:tcPr>
            <w:tcW w:w="809" w:type="pct"/>
          </w:tcPr>
          <w:p>
            <w:pPr>
              <w:jc w:val="right"/>
              <w:rPr>
                <w:rFonts w:ascii="宋体" w:hAnsi="宋体"/>
              </w:rPr>
            </w:pPr>
            <w:r>
              <w:rPr>
                <w:rFonts w:ascii="宋体" w:hAnsi="宋体"/>
              </w:rPr>
              <w:t xml:space="preserve">16.65 </w:t>
            </w:r>
          </w:p>
        </w:tc>
        <w:tc>
          <w:tcPr>
            <w:tcW w:w="797" w:type="pct"/>
          </w:tcPr>
          <w:p>
            <w:pPr>
              <w:jc w:val="right"/>
              <w:rPr>
                <w:rFonts w:ascii="宋体" w:hAnsi="宋体"/>
              </w:rPr>
            </w:pPr>
            <w:r>
              <w:rPr>
                <w:rFonts w:ascii="宋体" w:hAnsi="宋体"/>
              </w:rPr>
              <w:t xml:space="preserve">-12.86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Pr>
          <w:p>
            <w:pPr>
              <w:pStyle w:val="43"/>
              <w:widowControl w:val="0"/>
              <w:jc w:val="both"/>
            </w:pPr>
            <w:r>
              <w:rPr>
                <w:rFonts w:hint="eastAsia" w:cstheme="minorBidi"/>
                <w:kern w:val="2"/>
              </w:rPr>
              <w:t>二、贸易煤成本</w:t>
            </w:r>
          </w:p>
        </w:tc>
        <w:tc>
          <w:tcPr>
            <w:tcW w:w="685" w:type="pct"/>
          </w:tcPr>
          <w:p>
            <w:pPr>
              <w:jc w:val="right"/>
              <w:rPr>
                <w:rFonts w:ascii="宋体" w:hAnsi="宋体"/>
              </w:rPr>
            </w:pPr>
            <w:r>
              <w:rPr>
                <w:rFonts w:ascii="宋体" w:hAnsi="宋体"/>
              </w:rPr>
              <w:t xml:space="preserve">7,058 </w:t>
            </w:r>
          </w:p>
        </w:tc>
        <w:tc>
          <w:tcPr>
            <w:tcW w:w="845" w:type="pct"/>
          </w:tcPr>
          <w:p>
            <w:pPr>
              <w:jc w:val="right"/>
              <w:rPr>
                <w:rFonts w:ascii="宋体" w:hAnsi="宋体"/>
              </w:rPr>
            </w:pPr>
            <w:r>
              <w:rPr>
                <w:rFonts w:ascii="宋体" w:hAnsi="宋体"/>
              </w:rPr>
              <w:t>-</w:t>
            </w:r>
          </w:p>
        </w:tc>
        <w:tc>
          <w:tcPr>
            <w:tcW w:w="824" w:type="pct"/>
          </w:tcPr>
          <w:p>
            <w:pPr>
              <w:jc w:val="right"/>
              <w:rPr>
                <w:rFonts w:ascii="宋体" w:hAnsi="宋体"/>
              </w:rPr>
            </w:pPr>
            <w:r>
              <w:rPr>
                <w:rFonts w:ascii="宋体" w:hAnsi="宋体"/>
              </w:rPr>
              <w:t xml:space="preserve">19,009 </w:t>
            </w:r>
          </w:p>
        </w:tc>
        <w:tc>
          <w:tcPr>
            <w:tcW w:w="809" w:type="pct"/>
          </w:tcPr>
          <w:p>
            <w:pPr>
              <w:jc w:val="right"/>
              <w:rPr>
                <w:rFonts w:ascii="宋体" w:hAnsi="宋体"/>
              </w:rPr>
            </w:pPr>
            <w:r>
              <w:rPr>
                <w:rFonts w:ascii="宋体" w:hAnsi="宋体"/>
              </w:rPr>
              <w:t>-</w:t>
            </w:r>
          </w:p>
        </w:tc>
        <w:tc>
          <w:tcPr>
            <w:tcW w:w="797" w:type="pct"/>
          </w:tcPr>
          <w:p>
            <w:pPr>
              <w:jc w:val="right"/>
              <w:rPr>
                <w:rFonts w:ascii="宋体" w:hAnsi="宋体"/>
              </w:rPr>
            </w:pPr>
            <w:r>
              <w:rPr>
                <w:rFonts w:ascii="宋体" w:hAnsi="宋体"/>
              </w:rPr>
              <w:t xml:space="preserve">-62.87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40" w:type="pct"/>
            <w:tcBorders>
              <w:bottom w:val="single" w:color="auto" w:sz="4" w:space="0"/>
            </w:tcBorders>
          </w:tcPr>
          <w:p>
            <w:pPr>
              <w:pStyle w:val="43"/>
              <w:widowControl w:val="0"/>
              <w:jc w:val="both"/>
            </w:pPr>
            <w:r>
              <w:rPr>
                <w:rFonts w:hint="eastAsia" w:cstheme="minorBidi"/>
                <w:kern w:val="2"/>
              </w:rPr>
              <w:t>三、合计</w:t>
            </w:r>
          </w:p>
        </w:tc>
        <w:tc>
          <w:tcPr>
            <w:tcW w:w="685" w:type="pct"/>
            <w:tcBorders>
              <w:bottom w:val="single" w:color="auto" w:sz="4" w:space="0"/>
            </w:tcBorders>
          </w:tcPr>
          <w:p>
            <w:pPr>
              <w:jc w:val="right"/>
              <w:rPr>
                <w:rFonts w:ascii="宋体" w:hAnsi="宋体"/>
              </w:rPr>
            </w:pPr>
            <w:r>
              <w:rPr>
                <w:rFonts w:ascii="宋体" w:hAnsi="宋体"/>
              </w:rPr>
              <w:t xml:space="preserve">49,331 </w:t>
            </w:r>
          </w:p>
        </w:tc>
        <w:tc>
          <w:tcPr>
            <w:tcW w:w="845" w:type="pct"/>
            <w:tcBorders>
              <w:bottom w:val="single" w:color="auto" w:sz="4" w:space="0"/>
            </w:tcBorders>
          </w:tcPr>
          <w:p>
            <w:pPr>
              <w:jc w:val="right"/>
              <w:rPr>
                <w:rFonts w:ascii="宋体" w:hAnsi="宋体"/>
              </w:rPr>
            </w:pPr>
            <w:r>
              <w:rPr>
                <w:rFonts w:ascii="宋体" w:hAnsi="宋体"/>
              </w:rPr>
              <w:t>-</w:t>
            </w:r>
          </w:p>
        </w:tc>
        <w:tc>
          <w:tcPr>
            <w:tcW w:w="824" w:type="pct"/>
            <w:tcBorders>
              <w:bottom w:val="single" w:color="auto" w:sz="4" w:space="0"/>
            </w:tcBorders>
          </w:tcPr>
          <w:p>
            <w:pPr>
              <w:jc w:val="right"/>
              <w:rPr>
                <w:rFonts w:ascii="宋体" w:hAnsi="宋体"/>
              </w:rPr>
            </w:pPr>
            <w:r>
              <w:rPr>
                <w:rFonts w:ascii="宋体" w:hAnsi="宋体"/>
              </w:rPr>
              <w:t xml:space="preserve">59,020 </w:t>
            </w:r>
          </w:p>
        </w:tc>
        <w:tc>
          <w:tcPr>
            <w:tcW w:w="809" w:type="pct"/>
            <w:tcBorders>
              <w:bottom w:val="single" w:color="auto" w:sz="4" w:space="0"/>
            </w:tcBorders>
          </w:tcPr>
          <w:p>
            <w:pPr>
              <w:jc w:val="right"/>
              <w:rPr>
                <w:rFonts w:ascii="宋体" w:hAnsi="宋体"/>
              </w:rPr>
            </w:pPr>
            <w:r>
              <w:rPr>
                <w:rFonts w:ascii="宋体" w:hAnsi="宋体"/>
              </w:rPr>
              <w:t>-</w:t>
            </w:r>
          </w:p>
        </w:tc>
        <w:tc>
          <w:tcPr>
            <w:tcW w:w="797" w:type="pct"/>
            <w:tcBorders>
              <w:bottom w:val="single" w:color="auto" w:sz="4" w:space="0"/>
            </w:tcBorders>
          </w:tcPr>
          <w:p>
            <w:pPr>
              <w:jc w:val="right"/>
              <w:rPr>
                <w:rFonts w:ascii="宋体" w:hAnsi="宋体"/>
              </w:rPr>
            </w:pPr>
            <w:r>
              <w:rPr>
                <w:rFonts w:ascii="宋体" w:hAnsi="宋体"/>
              </w:rPr>
              <w:t xml:space="preserve">-16.42 </w:t>
            </w:r>
          </w:p>
        </w:tc>
      </w:tr>
    </w:tbl>
    <w:p>
      <w:pPr>
        <w:pStyle w:val="43"/>
      </w:pPr>
    </w:p>
    <w:p>
      <w:pPr>
        <w:rPr>
          <w:rFonts w:ascii="宋体" w:hAnsi="宋体"/>
        </w:rPr>
      </w:pPr>
      <w:r>
        <w:rPr>
          <w:rFonts w:hint="eastAsia" w:ascii="宋体" w:hAnsi="宋体"/>
        </w:rPr>
        <w:t>成本分析其他情况说明</w:t>
      </w:r>
    </w:p>
    <w:sdt>
      <w:sdtPr>
        <w:rPr>
          <w:rFonts w:hint="eastAsia" w:ascii="宋体" w:hAnsi="宋体"/>
        </w:rPr>
        <w:alias w:val="成本分析其他情况"/>
        <w:tag w:val="_GBC_93fdd34ed0d546d3bf448336c6187b3a"/>
        <w:id w:val="1886675076"/>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因煤炭业务销售成本占本集团主营业务成本（其他业务基本为贸易业务）的6</w:t>
          </w:r>
          <w:r>
            <w:rPr>
              <w:rFonts w:ascii="宋体" w:hAnsi="宋体"/>
            </w:rPr>
            <w:t>6.2%，故上表所列分行业成本构成仅为报告期内本集团煤炭业务销售成本的构成。</w:t>
          </w:r>
        </w:p>
      </w:sdtContent>
    </w:sdt>
    <w:p>
      <w:pPr>
        <w:rPr>
          <w:rFonts w:ascii="宋体" w:hAnsi="宋体"/>
        </w:rPr>
      </w:pPr>
    </w:p>
    <w:p>
      <w:pPr>
        <w:pStyle w:val="6"/>
        <w:numPr>
          <w:ilvl w:val="0"/>
          <w:numId w:val="10"/>
        </w:numPr>
        <w:tabs>
          <w:tab w:val="left" w:pos="567"/>
        </w:tabs>
        <w:ind w:left="105" w:firstLine="0"/>
        <w:rPr>
          <w:rFonts w:ascii="宋体" w:hAnsi="宋体"/>
          <w:szCs w:val="21"/>
        </w:rPr>
      </w:pPr>
      <w:r>
        <w:rPr>
          <w:rFonts w:ascii="宋体" w:hAnsi="宋体"/>
          <w:szCs w:val="21"/>
        </w:rPr>
        <w:t>报告期</w:t>
      </w:r>
      <w:r>
        <w:rPr>
          <w:rFonts w:ascii="宋体" w:hAnsi="宋体"/>
        </w:rPr>
        <w:t>主要子公司股权变动导致合并范围变化</w:t>
      </w:r>
    </w:p>
    <w:sdt>
      <w:sdtPr>
        <w:alias w:val="是否适用：报告期主要子公司股权变动导致合并范围变化 [双击切换]"/>
        <w:tag w:val="_GBC_f684be8377fd464e8fc7d9a0e6df7b78"/>
        <w:id w:val="62075208"/>
        <w:placeholder>
          <w:docPart w:val="GBC22222222222222222222222222222"/>
        </w:placeholder>
      </w:sdtPr>
      <w:sdtContent>
        <w:p>
          <w:pPr>
            <w:pStyle w:val="43"/>
          </w:pPr>
          <w:bookmarkStart w:id="41" w:name="_Hlk8987651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color w:val="333399"/>
        </w:rPr>
        <w:alias w:val="报告期主要子公司股权变动导致合并范围变化 "/>
        <w:tag w:val="_GBC_f76ab547bfda48a7bfad4c28f29bb995"/>
        <w:id w:val="-505669329"/>
        <w:placeholder>
          <w:docPart w:val="F49A525FF0F64AE7B9118478C808E6E1"/>
        </w:placeholder>
      </w:sdtPr>
      <w:sdtEndPr>
        <w:rPr>
          <w:rFonts w:hint="eastAsia" w:ascii="宋体" w:hAnsi="宋体"/>
          <w:color w:val="333399"/>
        </w:rPr>
      </w:sdtEndPr>
      <w:sdtContent>
        <w:p>
          <w:pPr>
            <w:ind w:firstLine="420" w:firstLineChars="200"/>
            <w:rPr>
              <w:rFonts w:ascii="宋体" w:hAnsi="宋体"/>
            </w:rPr>
          </w:pPr>
          <w:r>
            <w:rPr>
              <w:rFonts w:hint="eastAsia" w:ascii="宋体" w:hAnsi="宋体"/>
            </w:rPr>
            <w:t>有关合并范围变化详情请见按中国会计准则编制的财务报表附注“合并范围的变更”相关内容。</w:t>
          </w:r>
        </w:p>
      </w:sdtContent>
    </w:sdt>
    <w:p>
      <w:pPr>
        <w:pStyle w:val="43"/>
      </w:pPr>
    </w:p>
    <w:p>
      <w:pPr>
        <w:pStyle w:val="6"/>
        <w:numPr>
          <w:ilvl w:val="0"/>
          <w:numId w:val="10"/>
        </w:numPr>
        <w:tabs>
          <w:tab w:val="left" w:pos="567"/>
        </w:tabs>
        <w:ind w:left="105" w:firstLine="0"/>
        <w:rPr>
          <w:rFonts w:ascii="宋体" w:hAnsi="宋体"/>
          <w:szCs w:val="21"/>
        </w:rPr>
      </w:pPr>
      <w:r>
        <w:rPr>
          <w:rFonts w:ascii="宋体" w:hAnsi="宋体"/>
          <w:szCs w:val="21"/>
        </w:rPr>
        <w:t>公司报告期内业务、产品或服务发生重大变化或调整有关情况</w:t>
      </w:r>
    </w:p>
    <w:sdt>
      <w:sdtPr>
        <w:rPr>
          <w:rFonts w:ascii="宋体" w:hAnsi="宋体"/>
        </w:rPr>
        <w:alias w:val="是否适用：公司报告期内业务、产品或服务发生重大变化或调整有关情况  [双击切换]"/>
        <w:tag w:val="_GBC_f5a966f2eb244fd68a4bc2176691f92b"/>
        <w:id w:val="1722097796"/>
        <w:placeholder>
          <w:docPart w:val="GBC22222222222222222222222222222"/>
        </w:placeholder>
      </w:sdtPr>
      <w:sdtEndPr>
        <w:rPr>
          <w:rFonts w:ascii="宋体" w:hAnsi="宋体"/>
        </w:rPr>
      </w:sdtEndPr>
      <w:sdtContent>
        <w:p>
          <w:pPr>
            <w:rPr>
              <w:rFonts w:ascii="宋体" w:hAnsi="宋体"/>
              <w:color w:val="333399"/>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bookmarkEnd w:id="41"/>
    <w:p>
      <w:pPr>
        <w:pStyle w:val="6"/>
        <w:numPr>
          <w:ilvl w:val="0"/>
          <w:numId w:val="10"/>
        </w:numPr>
        <w:tabs>
          <w:tab w:val="left" w:pos="567"/>
        </w:tabs>
        <w:ind w:left="105" w:firstLine="0"/>
        <w:rPr>
          <w:rFonts w:ascii="宋体" w:hAnsi="宋体"/>
          <w:szCs w:val="21"/>
        </w:rPr>
      </w:pPr>
      <w:r>
        <w:rPr>
          <w:rFonts w:ascii="宋体" w:hAnsi="宋体"/>
          <w:szCs w:val="21"/>
        </w:rPr>
        <w:t>主要销售客户及主要供应商情况</w:t>
      </w:r>
    </w:p>
    <w:p>
      <w:pPr>
        <w:autoSpaceDE w:val="0"/>
        <w:autoSpaceDN w:val="0"/>
        <w:adjustRightInd w:val="0"/>
        <w:rPr>
          <w:rFonts w:ascii="宋体" w:hAnsi="宋体"/>
          <w:b/>
          <w:szCs w:val="22"/>
          <w:lang w:val="zh-CN"/>
        </w:rPr>
      </w:pPr>
      <w:r>
        <w:rPr>
          <w:rFonts w:hint="eastAsia" w:ascii="宋体" w:hAnsi="宋体"/>
          <w:b/>
        </w:rPr>
        <w:t>A.</w:t>
      </w:r>
      <w:r>
        <w:rPr>
          <w:rFonts w:hint="eastAsia" w:ascii="宋体" w:hAnsi="宋体"/>
          <w:b/>
          <w:lang w:val="zh-CN"/>
        </w:rPr>
        <w:t>公司主要销售客户情况</w:t>
      </w:r>
    </w:p>
    <w:sdt>
      <w:sdtPr>
        <w:rPr>
          <w:rFonts w:ascii="宋体" w:hAnsi="宋体"/>
        </w:rPr>
        <w:alias w:val="是否适用：主要销售客户情况[双击切换]"/>
        <w:tag w:val="_GBC_a2403594b48a40da9560c8bc71e01f56"/>
        <w:id w:val="-1399666336"/>
        <w:lock w:val="contentLocked"/>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firstLine="420" w:firstLineChars="200"/>
        <w:rPr>
          <w:rFonts w:ascii="宋体" w:hAnsi="宋体"/>
        </w:rPr>
      </w:pPr>
      <w:r>
        <w:rPr>
          <w:rFonts w:hint="eastAsia" w:ascii="宋体" w:hAnsi="宋体"/>
          <w:bCs/>
        </w:rPr>
        <w:t>最大客户销售额</w:t>
      </w:r>
      <w:bookmarkStart w:id="42" w:name="_Hlk161601786"/>
      <w:r>
        <w:rPr>
          <w:rFonts w:ascii="宋体" w:hAnsi="宋体"/>
          <w:bCs/>
        </w:rPr>
        <w:t>104.58</w:t>
      </w:r>
      <w:bookmarkEnd w:id="42"/>
      <w:r>
        <w:rPr>
          <w:rFonts w:ascii="宋体" w:hAnsi="宋体"/>
          <w:bCs/>
        </w:rPr>
        <w:t>亿元，占年度销售总额</w:t>
      </w:r>
      <w:bookmarkStart w:id="43" w:name="_Hlk161601793"/>
      <w:r>
        <w:rPr>
          <w:rFonts w:ascii="宋体" w:hAnsi="宋体"/>
          <w:bCs/>
        </w:rPr>
        <w:t>8.3</w:t>
      </w:r>
      <w:bookmarkEnd w:id="43"/>
      <w:r>
        <w:rPr>
          <w:rFonts w:ascii="宋体" w:hAnsi="宋体"/>
          <w:bCs/>
        </w:rPr>
        <w:t>%；</w:t>
      </w:r>
      <w:r>
        <w:rPr>
          <w:rFonts w:hint="eastAsia" w:ascii="宋体" w:hAnsi="宋体"/>
        </w:rPr>
        <w:t>前五名客户销售额</w:t>
      </w:r>
      <w:bookmarkStart w:id="44" w:name="_Hlk161601801"/>
      <w:sdt>
        <w:sdtPr>
          <w:rPr>
            <w:rFonts w:hint="eastAsia" w:ascii="宋体" w:hAnsi="宋体"/>
          </w:rPr>
          <w:alias w:val="前五名客户销售额"/>
          <w:tag w:val="_GBC_e497000fdfbc4e548555b7f8ddf9780c"/>
          <w:id w:val="-1009367232"/>
          <w:placeholder>
            <w:docPart w:val="GBC22222222222222222222222222222"/>
          </w:placeholder>
        </w:sdtPr>
        <w:sdtEndPr>
          <w:rPr>
            <w:rFonts w:hint="eastAsia" w:ascii="宋体" w:hAnsi="宋体"/>
          </w:rPr>
        </w:sdtEndPr>
        <w:sdtContent>
          <w:r>
            <w:rPr>
              <w:rFonts w:ascii="宋体" w:hAnsi="宋体"/>
            </w:rPr>
            <w:t>225.68</w:t>
          </w:r>
        </w:sdtContent>
      </w:sdt>
      <w:bookmarkEnd w:id="44"/>
      <w:sdt>
        <w:sdtPr>
          <w:rPr>
            <w:rFonts w:hint="eastAsia" w:ascii="宋体" w:hAnsi="宋体"/>
          </w:rPr>
          <w:alias w:val="单位：前五名客户销售额"/>
          <w:tag w:val="_GBC_4bd6620b209a4bae8dc3404e8b89ea35"/>
          <w:id w:val="-13777749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亿元</w:t>
          </w:r>
        </w:sdtContent>
      </w:sdt>
      <w:r>
        <w:rPr>
          <w:rFonts w:ascii="宋体" w:hAnsi="宋体"/>
        </w:rPr>
        <w:t>，占年度销售总额</w:t>
      </w:r>
      <w:bookmarkStart w:id="45" w:name="_Hlk161601811"/>
      <w:sdt>
        <w:sdtPr>
          <w:rPr>
            <w:rFonts w:ascii="宋体" w:hAnsi="宋体"/>
          </w:rPr>
          <w:alias w:val="前五名客户销售额占年度销售总额比例"/>
          <w:tag w:val="_GBC_68b3c8b493d04b6c9db16e7e475d7b35"/>
          <w:id w:val="130225101"/>
          <w:placeholder>
            <w:docPart w:val="GBC22222222222222222222222222222"/>
          </w:placeholder>
        </w:sdtPr>
        <w:sdtEndPr>
          <w:rPr>
            <w:rFonts w:ascii="宋体" w:hAnsi="宋体"/>
          </w:rPr>
        </w:sdtEndPr>
        <w:sdtContent>
          <w:r>
            <w:rPr>
              <w:rFonts w:ascii="宋体" w:hAnsi="宋体"/>
            </w:rPr>
            <w:t>18.0</w:t>
          </w:r>
        </w:sdtContent>
      </w:sdt>
      <w:bookmarkEnd w:id="45"/>
      <w:r>
        <w:rPr>
          <w:rFonts w:ascii="宋体" w:hAnsi="宋体"/>
        </w:rPr>
        <w:t>%；其中前五名客户销售额中关联方销售额</w:t>
      </w:r>
      <w:bookmarkStart w:id="46" w:name="_Hlk161601819"/>
      <w:sdt>
        <w:sdtPr>
          <w:rPr>
            <w:rFonts w:ascii="宋体" w:hAnsi="宋体"/>
          </w:rPr>
          <w:alias w:val="前五名客户销售额中关联方销售额"/>
          <w:tag w:val="_GBC_bfa0971257a44f65996f01cfb0497b07"/>
          <w:id w:val="-325894006"/>
          <w:placeholder>
            <w:docPart w:val="GBC22222222222222222222222222222"/>
          </w:placeholder>
        </w:sdtPr>
        <w:sdtEndPr>
          <w:rPr>
            <w:rFonts w:ascii="宋体" w:hAnsi="宋体"/>
          </w:rPr>
        </w:sdtEndPr>
        <w:sdtContent>
          <w:r>
            <w:rPr>
              <w:rFonts w:ascii="宋体" w:hAnsi="宋体"/>
            </w:rPr>
            <w:t>152.45</w:t>
          </w:r>
        </w:sdtContent>
      </w:sdt>
      <w:bookmarkEnd w:id="46"/>
      <w:sdt>
        <w:sdtPr>
          <w:rPr>
            <w:rFonts w:ascii="宋体" w:hAnsi="宋体"/>
          </w:rPr>
          <w:alias w:val="单位：前五名客户销售额中关联方销售额"/>
          <w:tag w:val="_GBC_f3c03afc93a5429f9fa45fc25f9018ab"/>
          <w:id w:val="8456701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rPr>
        </w:sdtEndPr>
        <w:sdtContent>
          <w:r>
            <w:rPr>
              <w:rFonts w:ascii="宋体" w:hAnsi="宋体"/>
            </w:rPr>
            <w:t>亿元</w:t>
          </w:r>
        </w:sdtContent>
      </w:sdt>
      <w:r>
        <w:rPr>
          <w:rFonts w:ascii="宋体" w:hAnsi="宋体"/>
        </w:rPr>
        <w:t>，占年度销售总额</w:t>
      </w:r>
      <w:bookmarkStart w:id="47" w:name="_Hlk161601829"/>
      <w:sdt>
        <w:sdtPr>
          <w:rPr>
            <w:rFonts w:ascii="宋体" w:hAnsi="宋体"/>
          </w:rPr>
          <w:alias w:val="前五名客户销售额中关联方销售额占年度销售总额比例"/>
          <w:tag w:val="_GBC_a84a9f2fd5cd467fa7226eab846a8fd4"/>
          <w:id w:val="-546755827"/>
          <w:placeholder>
            <w:docPart w:val="GBC22222222222222222222222222222"/>
          </w:placeholder>
        </w:sdtPr>
        <w:sdtEndPr>
          <w:rPr>
            <w:rFonts w:ascii="宋体" w:hAnsi="宋体"/>
          </w:rPr>
        </w:sdtEndPr>
        <w:sdtContent>
          <w:r>
            <w:rPr>
              <w:rFonts w:ascii="宋体" w:hAnsi="宋体"/>
            </w:rPr>
            <w:t>12.1</w:t>
          </w:r>
        </w:sdtContent>
      </w:sdt>
      <w:bookmarkEnd w:id="47"/>
      <w:r>
        <w:rPr>
          <w:rFonts w:ascii="宋体" w:hAnsi="宋体"/>
        </w:rPr>
        <w:t>%。</w:t>
      </w:r>
    </w:p>
    <w:p>
      <w:pPr>
        <w:rPr>
          <w:rFonts w:ascii="宋体" w:hAnsi="宋体"/>
        </w:rPr>
      </w:pPr>
    </w:p>
    <w:p>
      <w:pPr>
        <w:rPr>
          <w:rFonts w:ascii="宋体" w:hAnsi="宋体"/>
        </w:rPr>
      </w:pPr>
      <w:r>
        <w:rPr>
          <w:rFonts w:hint="eastAsia" w:ascii="宋体" w:hAnsi="宋体"/>
        </w:rPr>
        <w:t>报告期内向单个客户的销售比例超过总额的</w:t>
      </w:r>
      <w:r>
        <w:rPr>
          <w:rFonts w:ascii="宋体" w:hAnsi="宋体"/>
        </w:rPr>
        <w:t>50%、前</w:t>
      </w:r>
      <w:r>
        <w:rPr>
          <w:rFonts w:hint="eastAsia" w:ascii="宋体" w:hAnsi="宋体"/>
        </w:rPr>
        <w:t>5</w:t>
      </w:r>
      <w:r>
        <w:rPr>
          <w:rFonts w:ascii="宋体" w:hAnsi="宋体"/>
        </w:rPr>
        <w:t>名客户中存在新增客户的或严重依赖于少数客户的情形</w:t>
      </w:r>
    </w:p>
    <w:sdt>
      <w:sdtPr>
        <w:rPr>
          <w:rFonts w:ascii="宋体" w:hAnsi="宋体"/>
        </w:rPr>
        <w:alias w:val="是否适用：前5名销售客户中存在新增客户的或严重依赖于少数客户的情形表[双击切换]"/>
        <w:tag w:val="_GBC_9335bc17e9fb4b00a212f4c3a2cf1884"/>
        <w:id w:val="-265080086"/>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rPr>
          <w:rFonts w:ascii="宋体" w:hAnsi="宋体"/>
        </w:rPr>
      </w:pPr>
      <w:r>
        <w:rPr>
          <w:rFonts w:hint="eastAsia" w:ascii="宋体" w:hAnsi="宋体"/>
        </w:rPr>
        <w:t>单位</w:t>
      </w:r>
      <w:r>
        <w:rPr>
          <w:rFonts w:ascii="宋体" w:hAnsi="宋体"/>
        </w:rPr>
        <w:t>:</w:t>
      </w:r>
      <w:sdt>
        <w:sdtPr>
          <w:rPr>
            <w:rFonts w:ascii="宋体" w:hAnsi="宋体"/>
          </w:rPr>
          <w:alias w:val="单位：前5名销售客户中存在新增客户的或严重依赖于少数客户的情形表"/>
          <w:tag w:val="_GBC_22674a8b80bc41d9ba2de131e15d1af2"/>
          <w:id w:val="-17372403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ascii="宋体" w:hAnsi="宋体"/>
          </w:rPr>
        </w:sdtEndPr>
        <w:sdtContent>
          <w:r>
            <w:rPr>
              <w:rFonts w:ascii="宋体" w:hAnsi="宋体"/>
            </w:rPr>
            <w:t>亿元</w:t>
          </w:r>
        </w:sdtContent>
      </w:sdt>
      <w:r>
        <w:rPr>
          <w:rFonts w:hint="eastAsia" w:ascii="宋体" w:hAnsi="宋体"/>
        </w:rPr>
        <w:t xml:space="preserve">  币种</w:t>
      </w:r>
      <w:r>
        <w:rPr>
          <w:rFonts w:ascii="宋体" w:hAnsi="宋体"/>
        </w:rPr>
        <w:t>:</w:t>
      </w:r>
      <w:sdt>
        <w:sdtPr>
          <w:rPr>
            <w:rFonts w:ascii="宋体" w:hAnsi="宋体"/>
          </w:rPr>
          <w:alias w:val="币种：前5名销售客户中存在新增客户的或严重依赖于少数客户的情形表"/>
          <w:tag w:val="_GBC_e2457c42f05f41bb95eff5baccf7c4df"/>
          <w:id w:val="-17677542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rPr>
        </w:sdtEndPr>
        <w:sdtContent>
          <w:r>
            <w:rPr>
              <w:rFonts w:ascii="宋体" w:hAnsi="宋体"/>
            </w:rPr>
            <w:t>人民币</w:t>
          </w:r>
        </w:sdtContent>
      </w:sdt>
    </w:p>
    <w:tbl>
      <w:tblPr>
        <w:tblStyle w:val="135"/>
        <w:tblW w:w="5083"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3293"/>
        <w:gridCol w:w="1308"/>
        <w:gridCol w:w="1601"/>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2" w:type="pct"/>
            <w:vAlign w:val="center"/>
          </w:tcPr>
          <w:p>
            <w:pPr>
              <w:jc w:val="center"/>
              <w:rPr>
                <w:rFonts w:ascii="宋体" w:hAnsi="宋体"/>
              </w:rPr>
            </w:pPr>
            <w:r>
              <w:rPr>
                <w:rFonts w:hint="eastAsia" w:ascii="宋体" w:hAnsi="宋体"/>
              </w:rPr>
              <w:t>序号</w:t>
            </w:r>
          </w:p>
        </w:tc>
        <w:tc>
          <w:tcPr>
            <w:tcW w:w="1790" w:type="pct"/>
            <w:shd w:val="clear" w:color="auto" w:fill="auto"/>
            <w:vAlign w:val="center"/>
          </w:tcPr>
          <w:p>
            <w:pPr>
              <w:jc w:val="center"/>
              <w:rPr>
                <w:rFonts w:ascii="宋体" w:hAnsi="宋体"/>
              </w:rPr>
            </w:pPr>
            <w:r>
              <w:rPr>
                <w:rFonts w:hint="eastAsia" w:ascii="宋体" w:hAnsi="宋体"/>
              </w:rPr>
              <w:t>客户名称</w:t>
            </w:r>
          </w:p>
        </w:tc>
        <w:tc>
          <w:tcPr>
            <w:tcW w:w="711" w:type="pct"/>
            <w:shd w:val="clear" w:color="auto" w:fill="auto"/>
            <w:vAlign w:val="center"/>
          </w:tcPr>
          <w:p>
            <w:pPr>
              <w:jc w:val="center"/>
              <w:rPr>
                <w:rFonts w:ascii="宋体" w:hAnsi="宋体"/>
              </w:rPr>
            </w:pPr>
            <w:r>
              <w:rPr>
                <w:rFonts w:hint="eastAsia" w:ascii="宋体" w:hAnsi="宋体"/>
              </w:rPr>
              <w:t>销售额</w:t>
            </w:r>
          </w:p>
        </w:tc>
        <w:tc>
          <w:tcPr>
            <w:tcW w:w="870" w:type="pct"/>
            <w:vAlign w:val="center"/>
          </w:tcPr>
          <w:p>
            <w:pPr>
              <w:jc w:val="center"/>
              <w:rPr>
                <w:rFonts w:ascii="宋体" w:hAnsi="宋体"/>
              </w:rPr>
            </w:pPr>
            <w:r>
              <w:rPr>
                <w:rFonts w:hint="eastAsia" w:ascii="宋体" w:hAnsi="宋体"/>
              </w:rPr>
              <w:t>占年度销售总额比例（%）</w:t>
            </w:r>
          </w:p>
        </w:tc>
        <w:tc>
          <w:tcPr>
            <w:tcW w:w="1207" w:type="pct"/>
            <w:vAlign w:val="center"/>
          </w:tcPr>
          <w:p>
            <w:pPr>
              <w:jc w:val="center"/>
              <w:rPr>
                <w:rFonts w:ascii="宋体" w:hAnsi="宋体"/>
              </w:rPr>
            </w:pPr>
            <w:r>
              <w:rPr>
                <w:rFonts w:hint="eastAsia" w:ascii="宋体" w:hAnsi="宋体"/>
              </w:rPr>
              <w:t>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22" w:type="pct"/>
            <w:vAlign w:val="center"/>
          </w:tcPr>
          <w:p>
            <w:pPr>
              <w:jc w:val="center"/>
              <w:rPr>
                <w:rStyle w:val="101"/>
                <w:rFonts w:ascii="宋体" w:hAnsi="宋体"/>
                <w:b w:val="0"/>
                <w:szCs w:val="21"/>
              </w:rPr>
            </w:pPr>
            <w:r>
              <w:rPr>
                <w:rStyle w:val="101"/>
                <w:rFonts w:hint="eastAsia" w:ascii="宋体" w:hAnsi="宋体"/>
                <w:b w:val="0"/>
                <w:szCs w:val="21"/>
              </w:rPr>
              <w:t>1</w:t>
            </w:r>
          </w:p>
        </w:tc>
        <w:tc>
          <w:tcPr>
            <w:tcW w:w="1790" w:type="pct"/>
            <w:shd w:val="clear" w:color="auto" w:fill="auto"/>
          </w:tcPr>
          <w:p>
            <w:pPr>
              <w:rPr>
                <w:rStyle w:val="101"/>
                <w:rFonts w:ascii="宋体" w:hAnsi="宋体"/>
                <w:szCs w:val="21"/>
              </w:rPr>
            </w:pPr>
            <w:r>
              <w:rPr>
                <w:rFonts w:hint="eastAsia"/>
              </w:rPr>
              <w:t>山东能源集团煤炭营销有限公司</w:t>
            </w:r>
          </w:p>
        </w:tc>
        <w:tc>
          <w:tcPr>
            <w:tcW w:w="711" w:type="pct"/>
            <w:shd w:val="clear" w:color="auto" w:fill="auto"/>
          </w:tcPr>
          <w:p>
            <w:pPr>
              <w:jc w:val="right"/>
              <w:rPr>
                <w:rStyle w:val="101"/>
                <w:rFonts w:ascii="宋体" w:hAnsi="宋体"/>
                <w:b w:val="0"/>
                <w:szCs w:val="21"/>
              </w:rPr>
            </w:pPr>
            <w:r>
              <w:rPr>
                <w:rFonts w:hint="eastAsia" w:ascii="宋体" w:hAnsi="宋体"/>
              </w:rPr>
              <w:t xml:space="preserve">104.58 </w:t>
            </w:r>
          </w:p>
        </w:tc>
        <w:tc>
          <w:tcPr>
            <w:tcW w:w="870" w:type="pct"/>
          </w:tcPr>
          <w:p>
            <w:pPr>
              <w:jc w:val="right"/>
              <w:rPr>
                <w:rStyle w:val="101"/>
                <w:rFonts w:ascii="宋体" w:hAnsi="宋体"/>
                <w:b w:val="0"/>
                <w:szCs w:val="21"/>
              </w:rPr>
            </w:pPr>
            <w:r>
              <w:rPr>
                <w:rFonts w:hint="eastAsia" w:ascii="宋体" w:hAnsi="宋体"/>
              </w:rPr>
              <w:t>8.3</w:t>
            </w:r>
          </w:p>
        </w:tc>
        <w:tc>
          <w:tcPr>
            <w:tcW w:w="1207" w:type="pct"/>
            <w:vAlign w:val="center"/>
          </w:tcPr>
          <w:p>
            <w:pPr>
              <w:jc w:val="center"/>
              <w:rPr>
                <w:rFonts w:ascii="宋体" w:hAnsi="宋体"/>
              </w:rPr>
            </w:pPr>
            <w:r>
              <w:rPr>
                <w:rFonts w:hint="eastAsia" w:ascii="宋体" w:hAnsi="宋体"/>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22" w:type="pct"/>
            <w:vAlign w:val="center"/>
          </w:tcPr>
          <w:p>
            <w:pPr>
              <w:jc w:val="center"/>
              <w:rPr>
                <w:rStyle w:val="101"/>
                <w:rFonts w:ascii="宋体" w:hAnsi="宋体"/>
                <w:b w:val="0"/>
                <w:szCs w:val="21"/>
              </w:rPr>
            </w:pPr>
            <w:r>
              <w:rPr>
                <w:rStyle w:val="101"/>
                <w:rFonts w:hint="eastAsia" w:ascii="宋体" w:hAnsi="宋体"/>
                <w:b w:val="0"/>
                <w:szCs w:val="21"/>
              </w:rPr>
              <w:t>2</w:t>
            </w:r>
          </w:p>
        </w:tc>
        <w:tc>
          <w:tcPr>
            <w:tcW w:w="1790" w:type="pct"/>
            <w:shd w:val="clear" w:color="auto" w:fill="auto"/>
          </w:tcPr>
          <w:p>
            <w:pPr>
              <w:rPr>
                <w:rStyle w:val="101"/>
                <w:rFonts w:ascii="宋体" w:hAnsi="宋体"/>
                <w:szCs w:val="21"/>
              </w:rPr>
            </w:pPr>
            <w:r>
              <w:rPr>
                <w:rFonts w:hint="eastAsia"/>
              </w:rPr>
              <w:t>新汶矿业集团有限责任公司</w:t>
            </w:r>
          </w:p>
        </w:tc>
        <w:tc>
          <w:tcPr>
            <w:tcW w:w="711" w:type="pct"/>
            <w:shd w:val="clear" w:color="auto" w:fill="auto"/>
          </w:tcPr>
          <w:p>
            <w:pPr>
              <w:jc w:val="right"/>
              <w:rPr>
                <w:rStyle w:val="101"/>
                <w:rFonts w:ascii="宋体" w:hAnsi="宋体"/>
                <w:b w:val="0"/>
                <w:szCs w:val="21"/>
              </w:rPr>
            </w:pPr>
            <w:r>
              <w:rPr>
                <w:rFonts w:hint="eastAsia" w:ascii="宋体" w:hAnsi="宋体"/>
              </w:rPr>
              <w:t xml:space="preserve">47.87 </w:t>
            </w:r>
          </w:p>
        </w:tc>
        <w:tc>
          <w:tcPr>
            <w:tcW w:w="870" w:type="pct"/>
          </w:tcPr>
          <w:p>
            <w:pPr>
              <w:jc w:val="right"/>
              <w:rPr>
                <w:rStyle w:val="101"/>
                <w:rFonts w:ascii="宋体" w:hAnsi="宋体"/>
                <w:b w:val="0"/>
                <w:szCs w:val="21"/>
              </w:rPr>
            </w:pPr>
            <w:r>
              <w:rPr>
                <w:rFonts w:hint="eastAsia" w:ascii="宋体" w:hAnsi="宋体"/>
              </w:rPr>
              <w:t>3.8</w:t>
            </w:r>
          </w:p>
        </w:tc>
        <w:tc>
          <w:tcPr>
            <w:tcW w:w="1207" w:type="pct"/>
            <w:vAlign w:val="center"/>
          </w:tcPr>
          <w:p>
            <w:pPr>
              <w:jc w:val="center"/>
              <w:rPr>
                <w:rFonts w:ascii="宋体" w:hAnsi="宋体"/>
              </w:rPr>
            </w:pPr>
            <w:r>
              <w:rPr>
                <w:rFonts w:hint="eastAsia" w:ascii="宋体" w:hAnsi="宋体"/>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22" w:type="pct"/>
            <w:vAlign w:val="center"/>
          </w:tcPr>
          <w:p>
            <w:pPr>
              <w:jc w:val="center"/>
              <w:rPr>
                <w:rStyle w:val="101"/>
                <w:rFonts w:ascii="宋体" w:hAnsi="宋体"/>
                <w:b w:val="0"/>
                <w:szCs w:val="21"/>
              </w:rPr>
            </w:pPr>
            <w:r>
              <w:rPr>
                <w:rStyle w:val="101"/>
                <w:rFonts w:hint="eastAsia" w:ascii="宋体" w:hAnsi="宋体"/>
                <w:b w:val="0"/>
                <w:szCs w:val="21"/>
              </w:rPr>
              <w:t>3</w:t>
            </w:r>
          </w:p>
        </w:tc>
        <w:tc>
          <w:tcPr>
            <w:tcW w:w="1790" w:type="pct"/>
            <w:shd w:val="clear" w:color="auto" w:fill="auto"/>
          </w:tcPr>
          <w:p>
            <w:pPr>
              <w:rPr>
                <w:rStyle w:val="101"/>
                <w:rFonts w:ascii="宋体" w:hAnsi="宋体"/>
                <w:b w:val="0"/>
                <w:bCs w:val="0"/>
                <w:szCs w:val="21"/>
              </w:rPr>
            </w:pPr>
            <w:r>
              <w:rPr>
                <w:rStyle w:val="101"/>
                <w:rFonts w:hint="eastAsia" w:ascii="宋体" w:hAnsi="宋体"/>
                <w:b w:val="0"/>
                <w:bCs w:val="0"/>
                <w:szCs w:val="21"/>
              </w:rPr>
              <w:t>新日本制铁株式会社</w:t>
            </w:r>
          </w:p>
        </w:tc>
        <w:tc>
          <w:tcPr>
            <w:tcW w:w="711" w:type="pct"/>
            <w:shd w:val="clear" w:color="auto" w:fill="auto"/>
          </w:tcPr>
          <w:p>
            <w:pPr>
              <w:jc w:val="right"/>
              <w:rPr>
                <w:rStyle w:val="101"/>
                <w:rFonts w:ascii="宋体" w:hAnsi="宋体"/>
                <w:b w:val="0"/>
                <w:bCs w:val="0"/>
                <w:szCs w:val="21"/>
              </w:rPr>
            </w:pPr>
            <w:r>
              <w:rPr>
                <w:rFonts w:ascii="宋体" w:hAnsi="宋体"/>
              </w:rPr>
              <w:t xml:space="preserve">24.37 </w:t>
            </w:r>
          </w:p>
        </w:tc>
        <w:tc>
          <w:tcPr>
            <w:tcW w:w="870" w:type="pct"/>
          </w:tcPr>
          <w:p>
            <w:pPr>
              <w:jc w:val="right"/>
              <w:rPr>
                <w:rStyle w:val="101"/>
                <w:rFonts w:ascii="宋体" w:hAnsi="宋体"/>
                <w:b w:val="0"/>
                <w:bCs w:val="0"/>
                <w:szCs w:val="21"/>
              </w:rPr>
            </w:pPr>
            <w:r>
              <w:rPr>
                <w:rFonts w:ascii="宋体" w:hAnsi="宋体"/>
              </w:rPr>
              <w:t>1.9</w:t>
            </w:r>
          </w:p>
        </w:tc>
        <w:tc>
          <w:tcPr>
            <w:tcW w:w="1207" w:type="pct"/>
            <w:vAlign w:val="center"/>
          </w:tcPr>
          <w:p>
            <w:pPr>
              <w:jc w:val="center"/>
              <w:rPr>
                <w:rFonts w:ascii="宋体" w:hAnsi="宋体"/>
              </w:rPr>
            </w:pPr>
            <w:r>
              <w:rPr>
                <w:rFonts w:hint="eastAsia" w:ascii="宋体" w:hAnsi="宋体"/>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22" w:type="pct"/>
            <w:vAlign w:val="center"/>
          </w:tcPr>
          <w:p>
            <w:pPr>
              <w:jc w:val="center"/>
              <w:rPr>
                <w:rStyle w:val="101"/>
                <w:rFonts w:ascii="宋体" w:hAnsi="宋体"/>
                <w:b w:val="0"/>
                <w:szCs w:val="21"/>
              </w:rPr>
            </w:pPr>
            <w:r>
              <w:rPr>
                <w:rStyle w:val="101"/>
                <w:rFonts w:hint="eastAsia" w:ascii="宋体" w:hAnsi="宋体"/>
                <w:b w:val="0"/>
                <w:szCs w:val="21"/>
              </w:rPr>
              <w:t>4</w:t>
            </w:r>
          </w:p>
        </w:tc>
        <w:tc>
          <w:tcPr>
            <w:tcW w:w="1790" w:type="pct"/>
            <w:shd w:val="clear" w:color="auto" w:fill="auto"/>
          </w:tcPr>
          <w:p>
            <w:pPr>
              <w:rPr>
                <w:rStyle w:val="101"/>
                <w:rFonts w:ascii="宋体" w:hAnsi="宋体"/>
                <w:b w:val="0"/>
                <w:bCs w:val="0"/>
                <w:szCs w:val="21"/>
              </w:rPr>
            </w:pPr>
            <w:r>
              <w:rPr>
                <w:rStyle w:val="101"/>
                <w:rFonts w:hint="eastAsia" w:ascii="宋体" w:hAnsi="宋体"/>
                <w:b w:val="0"/>
                <w:bCs w:val="0"/>
                <w:szCs w:val="21"/>
              </w:rPr>
              <w:t>台湾电力公司</w:t>
            </w:r>
          </w:p>
        </w:tc>
        <w:tc>
          <w:tcPr>
            <w:tcW w:w="711" w:type="pct"/>
            <w:shd w:val="clear" w:color="auto" w:fill="auto"/>
          </w:tcPr>
          <w:p>
            <w:pPr>
              <w:jc w:val="right"/>
              <w:rPr>
                <w:rStyle w:val="101"/>
                <w:rFonts w:ascii="宋体" w:hAnsi="宋体"/>
                <w:b w:val="0"/>
                <w:bCs w:val="0"/>
                <w:szCs w:val="21"/>
              </w:rPr>
            </w:pPr>
            <w:r>
              <w:rPr>
                <w:rFonts w:ascii="宋体" w:hAnsi="宋体"/>
              </w:rPr>
              <w:t xml:space="preserve">21.67 </w:t>
            </w:r>
          </w:p>
        </w:tc>
        <w:tc>
          <w:tcPr>
            <w:tcW w:w="870" w:type="pct"/>
          </w:tcPr>
          <w:p>
            <w:pPr>
              <w:jc w:val="right"/>
              <w:rPr>
                <w:rStyle w:val="101"/>
                <w:rFonts w:ascii="宋体" w:hAnsi="宋体"/>
                <w:b w:val="0"/>
                <w:bCs w:val="0"/>
                <w:szCs w:val="21"/>
              </w:rPr>
            </w:pPr>
            <w:r>
              <w:rPr>
                <w:rFonts w:ascii="宋体" w:hAnsi="宋体"/>
              </w:rPr>
              <w:t>1.7</w:t>
            </w:r>
          </w:p>
        </w:tc>
        <w:tc>
          <w:tcPr>
            <w:tcW w:w="1207" w:type="pct"/>
            <w:vAlign w:val="center"/>
          </w:tcPr>
          <w:p>
            <w:pPr>
              <w:jc w:val="center"/>
              <w:rPr>
                <w:rFonts w:ascii="宋体" w:hAnsi="宋体"/>
              </w:rPr>
            </w:pPr>
            <w:r>
              <w:rPr>
                <w:rFonts w:hint="eastAsia" w:ascii="宋体" w:hAnsi="宋体"/>
              </w:rPr>
              <w:t>新增</w:t>
            </w:r>
          </w:p>
        </w:tc>
      </w:tr>
    </w:tbl>
    <w:p>
      <w:pPr>
        <w:ind w:firstLine="420" w:firstLineChars="200"/>
        <w:rPr>
          <w:rFonts w:ascii="宋体" w:hAnsi="宋体"/>
        </w:rPr>
      </w:pPr>
      <w:bookmarkStart w:id="48" w:name="_Hlk162189128"/>
      <w:r>
        <w:rPr>
          <w:rFonts w:hint="eastAsia" w:ascii="宋体" w:hAnsi="宋体"/>
        </w:rPr>
        <w:t>注：鲁西矿业2</w:t>
      </w:r>
      <w:r>
        <w:rPr>
          <w:rFonts w:ascii="宋体" w:hAnsi="宋体"/>
        </w:rPr>
        <w:t>023</w:t>
      </w:r>
      <w:r>
        <w:rPr>
          <w:rFonts w:hint="eastAsia" w:ascii="宋体" w:hAnsi="宋体"/>
        </w:rPr>
        <w:t>年根据签订的销售合同，通过山东能源集团煤炭营销有限公司和新汶矿业集团有限责任公司对外销售煤炭产品，2</w:t>
      </w:r>
      <w:r>
        <w:rPr>
          <w:rFonts w:ascii="宋体" w:hAnsi="宋体"/>
        </w:rPr>
        <w:t>024</w:t>
      </w:r>
      <w:r>
        <w:rPr>
          <w:rFonts w:hint="eastAsia" w:ascii="宋体" w:hAnsi="宋体"/>
        </w:rPr>
        <w:t>年已自行对外销售煤炭产品。</w:t>
      </w:r>
    </w:p>
    <w:bookmarkEnd w:id="48"/>
    <w:p>
      <w:pPr>
        <w:rPr>
          <w:rFonts w:ascii="宋体" w:hAnsi="宋体"/>
        </w:rPr>
      </w:pPr>
    </w:p>
    <w:p>
      <w:pPr>
        <w:rPr>
          <w:rFonts w:ascii="宋体" w:hAnsi="宋体"/>
        </w:rPr>
      </w:pPr>
      <w:r>
        <w:rPr>
          <w:rFonts w:hint="eastAsia" w:ascii="宋体" w:hAnsi="宋体"/>
          <w:b/>
        </w:rPr>
        <w:t>B.</w:t>
      </w:r>
      <w:r>
        <w:rPr>
          <w:rFonts w:hint="eastAsia" w:ascii="宋体" w:hAnsi="宋体"/>
          <w:b/>
          <w:lang w:val="zh-CN"/>
        </w:rPr>
        <w:t>公司主要供应商情况</w:t>
      </w:r>
    </w:p>
    <w:sdt>
      <w:sdtPr>
        <w:rPr>
          <w:rFonts w:ascii="宋体" w:hAnsi="宋体"/>
        </w:rPr>
        <w:alias w:val="是否适用：主要供应商情况[双击切换]"/>
        <w:tag w:val="_GBC_fea16361481c4fe3babe7fcb670d973f"/>
        <w:id w:val="-956942682"/>
        <w:lock w:val="contentLocked"/>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firstLine="420" w:firstLineChars="200"/>
        <w:rPr>
          <w:rFonts w:ascii="宋体" w:hAnsi="宋体"/>
        </w:rPr>
      </w:pPr>
      <w:r>
        <w:rPr>
          <w:rFonts w:hint="eastAsia" w:ascii="宋体" w:hAnsi="宋体"/>
          <w:bCs/>
        </w:rPr>
        <w:t>最大供应商采购额</w:t>
      </w:r>
      <w:bookmarkStart w:id="49" w:name="_Hlk161667668"/>
      <w:r>
        <w:rPr>
          <w:rFonts w:ascii="宋体" w:hAnsi="宋体"/>
          <w:bCs/>
        </w:rPr>
        <w:t>26.73</w:t>
      </w:r>
      <w:bookmarkEnd w:id="49"/>
      <w:r>
        <w:rPr>
          <w:rFonts w:hint="eastAsia" w:ascii="宋体" w:hAnsi="宋体"/>
          <w:bCs/>
        </w:rPr>
        <w:t>亿元，占年度采购总额</w:t>
      </w:r>
      <w:bookmarkStart w:id="50" w:name="_Hlk161667675"/>
      <w:r>
        <w:rPr>
          <w:rFonts w:ascii="宋体" w:hAnsi="宋体"/>
          <w:bCs/>
        </w:rPr>
        <w:t>8.6</w:t>
      </w:r>
      <w:bookmarkEnd w:id="50"/>
      <w:r>
        <w:rPr>
          <w:rFonts w:hint="eastAsia" w:ascii="宋体" w:hAnsi="宋体"/>
          <w:bCs/>
        </w:rPr>
        <w:t>%；</w:t>
      </w:r>
      <w:r>
        <w:rPr>
          <w:rFonts w:hint="eastAsia" w:ascii="宋体" w:hAnsi="宋体"/>
        </w:rPr>
        <w:t>前五名供应商采购额</w:t>
      </w:r>
      <w:bookmarkStart w:id="51" w:name="_Hlk161601874"/>
      <w:sdt>
        <w:sdtPr>
          <w:rPr>
            <w:rFonts w:hint="eastAsia" w:ascii="宋体" w:hAnsi="宋体"/>
          </w:rPr>
          <w:alias w:val="前五名供应商采购额"/>
          <w:tag w:val="_GBC_4552254972a04ec6983b359a0f18d4bf"/>
          <w:id w:val="-995875388"/>
          <w:placeholder>
            <w:docPart w:val="GBC22222222222222222222222222222"/>
          </w:placeholder>
        </w:sdtPr>
        <w:sdtEndPr>
          <w:rPr>
            <w:rFonts w:hint="eastAsia" w:ascii="宋体" w:hAnsi="宋体"/>
          </w:rPr>
        </w:sdtEndPr>
        <w:sdtContent>
          <w:r>
            <w:rPr>
              <w:rFonts w:ascii="宋体" w:hAnsi="宋体"/>
            </w:rPr>
            <w:t>64.57</w:t>
          </w:r>
        </w:sdtContent>
      </w:sdt>
      <w:bookmarkEnd w:id="51"/>
      <w:sdt>
        <w:sdtPr>
          <w:rPr>
            <w:rFonts w:hint="eastAsia" w:ascii="宋体" w:hAnsi="宋体"/>
          </w:rPr>
          <w:alias w:val="单位：前五名供应商采购额"/>
          <w:tag w:val="_GBC_418fcbdb1c1a4643afb7cce014bdeca2"/>
          <w:id w:val="5470393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亿元</w:t>
          </w:r>
        </w:sdtContent>
      </w:sdt>
      <w:r>
        <w:rPr>
          <w:rFonts w:ascii="宋体" w:hAnsi="宋体"/>
        </w:rPr>
        <w:t>，占年度采购总额</w:t>
      </w:r>
      <w:bookmarkStart w:id="52" w:name="_Hlk161601883"/>
      <w:sdt>
        <w:sdtPr>
          <w:rPr>
            <w:rFonts w:ascii="宋体" w:hAnsi="宋体"/>
          </w:rPr>
          <w:alias w:val="前五名供应商采购额占年度采购总额比例"/>
          <w:tag w:val="_GBC_f32c49f691154cc4b6ba587f4a582958"/>
          <w:id w:val="-1392951239"/>
          <w:placeholder>
            <w:docPart w:val="GBC22222222222222222222222222222"/>
          </w:placeholder>
        </w:sdtPr>
        <w:sdtEndPr>
          <w:rPr>
            <w:rFonts w:ascii="宋体" w:hAnsi="宋体"/>
          </w:rPr>
        </w:sdtEndPr>
        <w:sdtContent>
          <w:r>
            <w:rPr>
              <w:rFonts w:ascii="宋体" w:hAnsi="宋体"/>
            </w:rPr>
            <w:t>20.8</w:t>
          </w:r>
        </w:sdtContent>
      </w:sdt>
      <w:bookmarkEnd w:id="52"/>
      <w:r>
        <w:rPr>
          <w:rFonts w:ascii="宋体" w:hAnsi="宋体"/>
        </w:rPr>
        <w:t>%</w:t>
      </w:r>
      <w:r>
        <w:rPr>
          <w:rFonts w:hint="eastAsia" w:ascii="宋体" w:hAnsi="宋体"/>
        </w:rPr>
        <w:t>；其中前五名供应商采购额中关联方采购额0亿元，占年度采购总额0%。</w:t>
      </w:r>
    </w:p>
    <w:p>
      <w:pPr>
        <w:rPr>
          <w:rFonts w:ascii="宋体" w:hAnsi="宋体"/>
        </w:rPr>
      </w:pPr>
    </w:p>
    <w:p>
      <w:pPr>
        <w:rPr>
          <w:rFonts w:ascii="宋体" w:hAnsi="宋体"/>
        </w:rPr>
      </w:pPr>
      <w:r>
        <w:rPr>
          <w:rFonts w:ascii="宋体" w:hAnsi="宋体"/>
        </w:rPr>
        <w:t>报告期内向单个供应商的采购比例超过总额的50%、前5名供应商中存在新增供应商的或严重依赖于少数供应商的情形</w:t>
      </w:r>
    </w:p>
    <w:sdt>
      <w:sdtPr>
        <w:rPr>
          <w:rFonts w:ascii="宋体" w:hAnsi="宋体"/>
        </w:rPr>
        <w:alias w:val="是否适用：前5名供应商中存在新增供应商的或严重依赖于少数供应商的情形表[双击切换]"/>
        <w:tag w:val="_GBC_1e4a3af63f0f41888dc455d8c1a979a8"/>
        <w:id w:val="567077084"/>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rPr>
          <w:rFonts w:ascii="宋体" w:hAnsi="宋体"/>
        </w:rPr>
      </w:pPr>
      <w:r>
        <w:rPr>
          <w:rFonts w:hint="eastAsia" w:ascii="宋体" w:hAnsi="宋体"/>
        </w:rPr>
        <w:t>单位</w:t>
      </w:r>
      <w:r>
        <w:rPr>
          <w:rFonts w:ascii="宋体" w:hAnsi="宋体"/>
        </w:rPr>
        <w:t>:</w:t>
      </w:r>
      <w:sdt>
        <w:sdtPr>
          <w:rPr>
            <w:rFonts w:ascii="宋体" w:hAnsi="宋体"/>
          </w:rPr>
          <w:alias w:val="单位：前5名供应商中存在新增供应商的或严重依赖于少数供应商的情形表"/>
          <w:tag w:val="_GBC_036521f9552a4945b789f303a5ebc076"/>
          <w:id w:val="-129074262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ascii="宋体" w:hAnsi="宋体"/>
          </w:rPr>
        </w:sdtEndPr>
        <w:sdtContent>
          <w:r>
            <w:rPr>
              <w:rFonts w:ascii="宋体" w:hAnsi="宋体"/>
            </w:rPr>
            <w:t>亿元</w:t>
          </w:r>
        </w:sdtContent>
      </w:sdt>
      <w:r>
        <w:rPr>
          <w:rFonts w:hint="eastAsia" w:ascii="宋体" w:hAnsi="宋体"/>
        </w:rPr>
        <w:t xml:space="preserve">  币种</w:t>
      </w:r>
      <w:r>
        <w:rPr>
          <w:rFonts w:ascii="宋体" w:hAnsi="宋体"/>
        </w:rPr>
        <w:t>:</w:t>
      </w:r>
      <w:sdt>
        <w:sdtPr>
          <w:rPr>
            <w:rFonts w:ascii="宋体" w:hAnsi="宋体"/>
          </w:rPr>
          <w:alias w:val="币种：前5名供应商中存在新增供应商的或严重依赖于少数供应商的情形表"/>
          <w:tag w:val="_GBC_4f8542d2517f47e5bd8480fca623c3f2"/>
          <w:id w:val="-14322694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rPr>
        </w:sdtEndPr>
        <w:sdtContent>
          <w:r>
            <w:rPr>
              <w:rFonts w:ascii="宋体" w:hAnsi="宋体"/>
            </w:rPr>
            <w:t>人民币</w:t>
          </w:r>
        </w:sdtContent>
      </w:sdt>
    </w:p>
    <w:tbl>
      <w:tblPr>
        <w:tblStyle w:val="135"/>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3026"/>
        <w:gridCol w:w="1599"/>
        <w:gridCol w:w="1550"/>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15" w:type="pct"/>
          </w:tcPr>
          <w:p>
            <w:pPr>
              <w:jc w:val="center"/>
              <w:rPr>
                <w:rFonts w:ascii="宋体" w:hAnsi="宋体"/>
              </w:rPr>
            </w:pPr>
            <w:r>
              <w:rPr>
                <w:rFonts w:hint="eastAsia" w:ascii="宋体" w:hAnsi="宋体"/>
              </w:rPr>
              <w:t>序号</w:t>
            </w:r>
          </w:p>
        </w:tc>
        <w:tc>
          <w:tcPr>
            <w:tcW w:w="1671" w:type="pct"/>
            <w:shd w:val="clear" w:color="auto" w:fill="auto"/>
            <w:vAlign w:val="center"/>
          </w:tcPr>
          <w:p>
            <w:pPr>
              <w:jc w:val="center"/>
              <w:rPr>
                <w:rFonts w:ascii="宋体" w:hAnsi="宋体"/>
              </w:rPr>
            </w:pPr>
            <w:r>
              <w:rPr>
                <w:rFonts w:hint="eastAsia" w:ascii="宋体" w:hAnsi="宋体"/>
              </w:rPr>
              <w:t>供应商名称</w:t>
            </w:r>
          </w:p>
        </w:tc>
        <w:tc>
          <w:tcPr>
            <w:tcW w:w="883" w:type="pct"/>
            <w:shd w:val="clear" w:color="auto" w:fill="auto"/>
            <w:vAlign w:val="center"/>
          </w:tcPr>
          <w:p>
            <w:pPr>
              <w:jc w:val="center"/>
              <w:rPr>
                <w:rFonts w:ascii="宋体" w:hAnsi="宋体"/>
              </w:rPr>
            </w:pPr>
            <w:r>
              <w:rPr>
                <w:rFonts w:hint="eastAsia" w:ascii="宋体" w:hAnsi="宋体"/>
              </w:rPr>
              <w:t>采购额</w:t>
            </w:r>
          </w:p>
        </w:tc>
        <w:tc>
          <w:tcPr>
            <w:tcW w:w="856" w:type="pct"/>
          </w:tcPr>
          <w:p>
            <w:pPr>
              <w:jc w:val="center"/>
              <w:rPr>
                <w:rFonts w:ascii="宋体" w:hAnsi="宋体"/>
              </w:rPr>
            </w:pPr>
            <w:r>
              <w:rPr>
                <w:rFonts w:hint="eastAsia" w:ascii="宋体" w:hAnsi="宋体"/>
              </w:rPr>
              <w:t>占年度采购总额比例（%）</w:t>
            </w:r>
          </w:p>
        </w:tc>
        <w:tc>
          <w:tcPr>
            <w:tcW w:w="1174" w:type="pct"/>
            <w:vAlign w:val="center"/>
          </w:tcPr>
          <w:p>
            <w:pPr>
              <w:jc w:val="center"/>
              <w:rPr>
                <w:rFonts w:ascii="宋体" w:hAnsi="宋体"/>
              </w:rPr>
            </w:pPr>
            <w:r>
              <w:rPr>
                <w:rFonts w:hint="eastAsia" w:ascii="宋体" w:hAnsi="宋体"/>
              </w:rPr>
              <w:t>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15" w:type="pct"/>
            <w:vAlign w:val="center"/>
          </w:tcPr>
          <w:p>
            <w:pPr>
              <w:jc w:val="center"/>
              <w:rPr>
                <w:rStyle w:val="101"/>
                <w:rFonts w:ascii="宋体" w:hAnsi="宋体"/>
                <w:b w:val="0"/>
                <w:szCs w:val="21"/>
              </w:rPr>
            </w:pPr>
            <w:r>
              <w:rPr>
                <w:rStyle w:val="101"/>
                <w:rFonts w:hint="eastAsia" w:ascii="宋体" w:hAnsi="宋体"/>
                <w:b w:val="0"/>
                <w:szCs w:val="21"/>
              </w:rPr>
              <w:t>1</w:t>
            </w:r>
          </w:p>
        </w:tc>
        <w:tc>
          <w:tcPr>
            <w:tcW w:w="1671" w:type="pct"/>
            <w:shd w:val="clear" w:color="auto" w:fill="auto"/>
          </w:tcPr>
          <w:p>
            <w:pPr>
              <w:rPr>
                <w:rFonts w:ascii="宋体" w:hAnsi="宋体"/>
              </w:rPr>
            </w:pPr>
            <w:r>
              <w:rPr>
                <w:rStyle w:val="101"/>
                <w:rFonts w:hint="eastAsia" w:ascii="宋体" w:hAnsi="宋体"/>
                <w:b w:val="0"/>
                <w:bCs w:val="0"/>
                <w:szCs w:val="21"/>
              </w:rPr>
              <w:t>纽卡斯尔煤炭基建集团</w:t>
            </w:r>
          </w:p>
        </w:tc>
        <w:tc>
          <w:tcPr>
            <w:tcW w:w="883" w:type="pct"/>
            <w:shd w:val="clear" w:color="auto" w:fill="auto"/>
          </w:tcPr>
          <w:p>
            <w:pPr>
              <w:jc w:val="right"/>
              <w:rPr>
                <w:rFonts w:ascii="宋体" w:hAnsi="宋体"/>
              </w:rPr>
            </w:pPr>
            <w:r>
              <w:rPr>
                <w:rFonts w:ascii="宋体" w:hAnsi="宋体"/>
              </w:rPr>
              <w:t xml:space="preserve">12.71 </w:t>
            </w:r>
          </w:p>
        </w:tc>
        <w:tc>
          <w:tcPr>
            <w:tcW w:w="856" w:type="pct"/>
          </w:tcPr>
          <w:p>
            <w:pPr>
              <w:jc w:val="right"/>
              <w:rPr>
                <w:rFonts w:ascii="宋体" w:hAnsi="宋体"/>
              </w:rPr>
            </w:pPr>
            <w:r>
              <w:rPr>
                <w:rFonts w:ascii="宋体" w:hAnsi="宋体"/>
              </w:rPr>
              <w:t>4.1</w:t>
            </w:r>
          </w:p>
        </w:tc>
        <w:tc>
          <w:tcPr>
            <w:tcW w:w="1174" w:type="pct"/>
            <w:vAlign w:val="center"/>
          </w:tcPr>
          <w:p>
            <w:pPr>
              <w:jc w:val="center"/>
              <w:rPr>
                <w:rFonts w:ascii="宋体" w:hAnsi="宋体"/>
              </w:rPr>
            </w:pPr>
            <w:r>
              <w:rPr>
                <w:rFonts w:hint="eastAsia" w:ascii="宋体" w:hAnsi="宋体"/>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15" w:type="pct"/>
            <w:vAlign w:val="center"/>
          </w:tcPr>
          <w:p>
            <w:pPr>
              <w:jc w:val="center"/>
              <w:rPr>
                <w:rStyle w:val="101"/>
                <w:rFonts w:ascii="宋体" w:hAnsi="宋体"/>
                <w:b w:val="0"/>
                <w:szCs w:val="21"/>
              </w:rPr>
            </w:pPr>
            <w:r>
              <w:rPr>
                <w:rStyle w:val="101"/>
                <w:rFonts w:hint="eastAsia" w:ascii="宋体" w:hAnsi="宋体"/>
                <w:b w:val="0"/>
                <w:szCs w:val="21"/>
              </w:rPr>
              <w:t>2</w:t>
            </w:r>
          </w:p>
        </w:tc>
        <w:tc>
          <w:tcPr>
            <w:tcW w:w="1671" w:type="pct"/>
            <w:shd w:val="clear" w:color="auto" w:fill="auto"/>
          </w:tcPr>
          <w:p>
            <w:pPr>
              <w:rPr>
                <w:rStyle w:val="101"/>
                <w:rFonts w:ascii="宋体" w:hAnsi="宋体"/>
                <w:szCs w:val="21"/>
              </w:rPr>
            </w:pPr>
            <w:r>
              <w:rPr>
                <w:rFonts w:hint="eastAsia" w:ascii="宋体" w:hAnsi="宋体"/>
              </w:rPr>
              <w:t>陕西中太能源投资有限公司</w:t>
            </w:r>
          </w:p>
        </w:tc>
        <w:tc>
          <w:tcPr>
            <w:tcW w:w="883" w:type="pct"/>
            <w:shd w:val="clear" w:color="auto" w:fill="auto"/>
          </w:tcPr>
          <w:p>
            <w:pPr>
              <w:jc w:val="right"/>
              <w:rPr>
                <w:rStyle w:val="101"/>
                <w:rFonts w:ascii="宋体" w:hAnsi="宋体"/>
                <w:szCs w:val="21"/>
              </w:rPr>
            </w:pPr>
            <w:r>
              <w:rPr>
                <w:rFonts w:hint="eastAsia" w:ascii="宋体" w:hAnsi="宋体"/>
              </w:rPr>
              <w:t xml:space="preserve">8.67 </w:t>
            </w:r>
          </w:p>
        </w:tc>
        <w:tc>
          <w:tcPr>
            <w:tcW w:w="856" w:type="pct"/>
          </w:tcPr>
          <w:p>
            <w:pPr>
              <w:jc w:val="right"/>
              <w:rPr>
                <w:rStyle w:val="101"/>
                <w:rFonts w:ascii="宋体" w:hAnsi="宋体"/>
                <w:szCs w:val="21"/>
              </w:rPr>
            </w:pPr>
            <w:r>
              <w:rPr>
                <w:rFonts w:hint="eastAsia" w:ascii="宋体" w:hAnsi="宋体"/>
              </w:rPr>
              <w:t>2.8</w:t>
            </w:r>
          </w:p>
        </w:tc>
        <w:tc>
          <w:tcPr>
            <w:tcW w:w="1174" w:type="pct"/>
            <w:vAlign w:val="center"/>
          </w:tcPr>
          <w:p>
            <w:pPr>
              <w:jc w:val="center"/>
              <w:rPr>
                <w:rFonts w:ascii="宋体" w:hAnsi="宋体"/>
              </w:rPr>
            </w:pPr>
            <w:r>
              <w:rPr>
                <w:rFonts w:hint="eastAsia" w:ascii="宋体" w:hAnsi="宋体"/>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15" w:type="pct"/>
            <w:vAlign w:val="center"/>
          </w:tcPr>
          <w:p>
            <w:pPr>
              <w:jc w:val="center"/>
              <w:rPr>
                <w:rStyle w:val="101"/>
                <w:rFonts w:ascii="宋体" w:hAnsi="宋体"/>
                <w:b w:val="0"/>
                <w:szCs w:val="21"/>
              </w:rPr>
            </w:pPr>
            <w:r>
              <w:rPr>
                <w:rStyle w:val="101"/>
                <w:rFonts w:hint="eastAsia" w:ascii="宋体" w:hAnsi="宋体"/>
                <w:b w:val="0"/>
                <w:szCs w:val="21"/>
              </w:rPr>
              <w:t>3</w:t>
            </w:r>
          </w:p>
        </w:tc>
        <w:tc>
          <w:tcPr>
            <w:tcW w:w="1671" w:type="pct"/>
            <w:shd w:val="clear" w:color="auto" w:fill="auto"/>
          </w:tcPr>
          <w:p>
            <w:pPr>
              <w:rPr>
                <w:rStyle w:val="101"/>
                <w:rFonts w:ascii="宋体" w:hAnsi="宋体"/>
                <w:szCs w:val="21"/>
              </w:rPr>
            </w:pPr>
            <w:r>
              <w:rPr>
                <w:rFonts w:hint="eastAsia" w:ascii="宋体" w:hAnsi="宋体"/>
              </w:rPr>
              <w:t>内蒙古伊泰煤炭股份有限公司</w:t>
            </w:r>
          </w:p>
        </w:tc>
        <w:tc>
          <w:tcPr>
            <w:tcW w:w="883" w:type="pct"/>
            <w:shd w:val="clear" w:color="auto" w:fill="auto"/>
          </w:tcPr>
          <w:p>
            <w:pPr>
              <w:jc w:val="right"/>
              <w:rPr>
                <w:rStyle w:val="101"/>
                <w:rFonts w:ascii="宋体" w:hAnsi="宋体"/>
                <w:szCs w:val="21"/>
              </w:rPr>
            </w:pPr>
            <w:r>
              <w:rPr>
                <w:rFonts w:hint="eastAsia" w:ascii="宋体" w:hAnsi="宋体"/>
              </w:rPr>
              <w:t xml:space="preserve">8.42 </w:t>
            </w:r>
          </w:p>
        </w:tc>
        <w:tc>
          <w:tcPr>
            <w:tcW w:w="856" w:type="pct"/>
          </w:tcPr>
          <w:p>
            <w:pPr>
              <w:jc w:val="right"/>
              <w:rPr>
                <w:rStyle w:val="101"/>
                <w:rFonts w:ascii="宋体" w:hAnsi="宋体"/>
                <w:szCs w:val="21"/>
              </w:rPr>
            </w:pPr>
            <w:r>
              <w:rPr>
                <w:rFonts w:hint="eastAsia" w:ascii="宋体" w:hAnsi="宋体"/>
              </w:rPr>
              <w:t>2.7</w:t>
            </w:r>
          </w:p>
        </w:tc>
        <w:tc>
          <w:tcPr>
            <w:tcW w:w="1174" w:type="pct"/>
            <w:vAlign w:val="center"/>
          </w:tcPr>
          <w:p>
            <w:pPr>
              <w:jc w:val="center"/>
              <w:rPr>
                <w:rFonts w:ascii="宋体" w:hAnsi="宋体"/>
              </w:rPr>
            </w:pPr>
            <w:r>
              <w:rPr>
                <w:rFonts w:hint="eastAsia" w:ascii="宋体" w:hAnsi="宋体"/>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15" w:type="pct"/>
            <w:vAlign w:val="center"/>
          </w:tcPr>
          <w:p>
            <w:pPr>
              <w:jc w:val="center"/>
              <w:rPr>
                <w:rStyle w:val="101"/>
                <w:rFonts w:ascii="宋体" w:hAnsi="宋体"/>
                <w:b w:val="0"/>
                <w:szCs w:val="21"/>
              </w:rPr>
            </w:pPr>
            <w:r>
              <w:rPr>
                <w:rStyle w:val="101"/>
                <w:rFonts w:hint="eastAsia" w:ascii="宋体" w:hAnsi="宋体"/>
                <w:b w:val="0"/>
                <w:szCs w:val="21"/>
              </w:rPr>
              <w:t>4</w:t>
            </w:r>
          </w:p>
        </w:tc>
        <w:tc>
          <w:tcPr>
            <w:tcW w:w="1671" w:type="pct"/>
            <w:shd w:val="clear" w:color="auto" w:fill="auto"/>
          </w:tcPr>
          <w:p>
            <w:pPr>
              <w:rPr>
                <w:rStyle w:val="101"/>
                <w:rFonts w:ascii="宋体" w:hAnsi="宋体"/>
                <w:b w:val="0"/>
                <w:bCs w:val="0"/>
                <w:szCs w:val="21"/>
              </w:rPr>
            </w:pPr>
            <w:r>
              <w:rPr>
                <w:rStyle w:val="101"/>
                <w:rFonts w:hint="eastAsia" w:ascii="宋体" w:hAnsi="宋体"/>
                <w:b w:val="0"/>
                <w:bCs w:val="0"/>
                <w:szCs w:val="21"/>
              </w:rPr>
              <w:t>韦斯特拉克有限公司</w:t>
            </w:r>
          </w:p>
        </w:tc>
        <w:tc>
          <w:tcPr>
            <w:tcW w:w="883" w:type="pct"/>
            <w:shd w:val="clear" w:color="auto" w:fill="auto"/>
          </w:tcPr>
          <w:p>
            <w:pPr>
              <w:jc w:val="right"/>
              <w:rPr>
                <w:rStyle w:val="101"/>
                <w:rFonts w:ascii="宋体" w:hAnsi="宋体"/>
                <w:b w:val="0"/>
                <w:bCs w:val="0"/>
                <w:szCs w:val="21"/>
              </w:rPr>
            </w:pPr>
            <w:r>
              <w:rPr>
                <w:rFonts w:ascii="宋体" w:hAnsi="宋体"/>
              </w:rPr>
              <w:t xml:space="preserve">8.04 </w:t>
            </w:r>
          </w:p>
        </w:tc>
        <w:tc>
          <w:tcPr>
            <w:tcW w:w="856" w:type="pct"/>
          </w:tcPr>
          <w:p>
            <w:pPr>
              <w:jc w:val="right"/>
              <w:rPr>
                <w:rStyle w:val="101"/>
                <w:rFonts w:ascii="宋体" w:hAnsi="宋体"/>
                <w:b w:val="0"/>
                <w:bCs w:val="0"/>
                <w:szCs w:val="21"/>
              </w:rPr>
            </w:pPr>
            <w:r>
              <w:rPr>
                <w:rFonts w:ascii="宋体" w:hAnsi="宋体"/>
              </w:rPr>
              <w:t>2.6</w:t>
            </w:r>
          </w:p>
        </w:tc>
        <w:tc>
          <w:tcPr>
            <w:tcW w:w="1174" w:type="pct"/>
            <w:vAlign w:val="center"/>
          </w:tcPr>
          <w:p>
            <w:pPr>
              <w:jc w:val="center"/>
              <w:rPr>
                <w:rFonts w:ascii="宋体" w:hAnsi="宋体"/>
              </w:rPr>
            </w:pPr>
            <w:r>
              <w:rPr>
                <w:rFonts w:hint="eastAsia" w:ascii="宋体" w:hAnsi="宋体"/>
              </w:rPr>
              <w:t>新增</w:t>
            </w:r>
          </w:p>
        </w:tc>
      </w:tr>
    </w:tbl>
    <w:p>
      <w:pPr>
        <w:rPr>
          <w:rFonts w:ascii="宋体" w:hAnsi="宋体"/>
        </w:rPr>
      </w:pPr>
    </w:p>
    <w:p>
      <w:pPr>
        <w:rPr>
          <w:rFonts w:ascii="宋体" w:hAnsi="宋体"/>
        </w:rPr>
      </w:pPr>
      <w:r>
        <w:rPr>
          <w:rFonts w:hint="eastAsia" w:ascii="宋体" w:hAnsi="宋体"/>
        </w:rPr>
        <w:t>其他说明</w:t>
      </w:r>
    </w:p>
    <w:sdt>
      <w:sdtPr>
        <w:rPr>
          <w:rFonts w:ascii="宋体" w:hAnsi="宋体"/>
        </w:rPr>
        <w:alias w:val="主要销售客户及主要供应商情况其他说明"/>
        <w:tag w:val="_GBC_671f841429ed4c5aaa013b86ad58b88f"/>
        <w:id w:val="-1273928221"/>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①最大客户、前五大客户和最大供应商、前五大供应商为本集团主营业务自产商品的相关客户和供应商。</w:t>
          </w:r>
        </w:p>
        <w:p>
          <w:pPr>
            <w:ind w:firstLine="420" w:firstLineChars="200"/>
            <w:rPr>
              <w:rFonts w:ascii="宋体" w:hAnsi="宋体"/>
            </w:rPr>
          </w:pPr>
          <w:r>
            <w:rPr>
              <w:rFonts w:hint="eastAsia" w:ascii="宋体" w:hAnsi="宋体"/>
            </w:rPr>
            <w:t>②上述客户及供应商均为稳定运营的境内外公司。本集团设有专业机构，对客户及供应商进行资质审查、授信管理等动态监测及调整，以防范风险。</w:t>
          </w:r>
        </w:p>
      </w:sdtContent>
    </w:sdt>
    <w:p>
      <w:pPr>
        <w:rPr>
          <w:rFonts w:ascii="宋体" w:hAnsi="宋体"/>
        </w:rPr>
      </w:pPr>
    </w:p>
    <w:p>
      <w:pPr>
        <w:pStyle w:val="5"/>
        <w:numPr>
          <w:ilvl w:val="0"/>
          <w:numId w:val="9"/>
        </w:numPr>
        <w:rPr>
          <w:rFonts w:ascii="宋体" w:hAnsi="宋体" w:eastAsia="宋体"/>
        </w:rPr>
      </w:pPr>
      <w:r>
        <w:rPr>
          <w:rFonts w:hint="eastAsia" w:ascii="宋体" w:hAnsi="宋体" w:eastAsia="宋体"/>
        </w:rPr>
        <w:t>费用</w:t>
      </w:r>
    </w:p>
    <w:sdt>
      <w:sdtPr>
        <w:alias w:val="是否适用：费用[双击切换]"/>
        <w:tag w:val="_GBC_fa9cd5e43a8f426c8b793a737190d8db"/>
        <w:id w:val="552654234"/>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rPr>
        <w:alias w:val="费用情况说明"/>
        <w:tag w:val="_GBC_02a46af1e8d349d8b753768e17da35a1"/>
        <w:id w:val="-570820981"/>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费用变动分析详情请见本节“利润表及现金流量表相关科目变动分析表”相关内容。</w:t>
          </w:r>
        </w:p>
        <w:p>
          <w:pPr>
            <w:rPr>
              <w:rFonts w:ascii="宋体" w:hAnsi="宋体"/>
            </w:rPr>
          </w:pPr>
        </w:p>
      </w:sdtContent>
    </w:sdt>
    <w:p>
      <w:pPr>
        <w:pStyle w:val="5"/>
        <w:numPr>
          <w:ilvl w:val="0"/>
          <w:numId w:val="9"/>
        </w:numPr>
        <w:rPr>
          <w:rStyle w:val="48"/>
          <w:rFonts w:ascii="宋体" w:hAnsi="宋体" w:eastAsia="宋体"/>
          <w:b/>
          <w:bCs/>
        </w:rPr>
      </w:pPr>
      <w:bookmarkStart w:id="53" w:name="_Hlk157153389"/>
      <w:r>
        <w:rPr>
          <w:rFonts w:hint="eastAsia" w:ascii="宋体" w:hAnsi="宋体" w:eastAsia="宋体"/>
        </w:rPr>
        <w:t>研发投入</w:t>
      </w:r>
    </w:p>
    <w:p>
      <w:pPr>
        <w:pStyle w:val="55"/>
        <w:numPr>
          <w:ilvl w:val="0"/>
          <w:numId w:val="11"/>
        </w:numPr>
        <w:spacing w:before="60" w:after="60"/>
        <w:ind w:firstLineChars="0"/>
        <w:rPr>
          <w:rStyle w:val="48"/>
          <w:rFonts w:ascii="宋体" w:hAnsi="宋体"/>
          <w:szCs w:val="21"/>
        </w:rPr>
      </w:pPr>
      <w:r>
        <w:rPr>
          <w:rStyle w:val="48"/>
          <w:rFonts w:ascii="宋体" w:hAnsi="宋体"/>
          <w:szCs w:val="21"/>
        </w:rPr>
        <w:t>研发</w:t>
      </w:r>
      <w:r>
        <w:rPr>
          <w:rStyle w:val="48"/>
          <w:rFonts w:hint="eastAsia" w:ascii="宋体" w:hAnsi="宋体"/>
          <w:szCs w:val="21"/>
        </w:rPr>
        <w:t>投入</w:t>
      </w:r>
      <w:r>
        <w:rPr>
          <w:rStyle w:val="48"/>
          <w:rFonts w:ascii="宋体" w:hAnsi="宋体"/>
          <w:szCs w:val="21"/>
        </w:rPr>
        <w:t>情况表</w:t>
      </w:r>
    </w:p>
    <w:sdt>
      <w:sdtPr>
        <w:rPr>
          <w:rStyle w:val="48"/>
          <w:rFonts w:hint="eastAsia" w:ascii="宋体" w:hAnsi="宋体"/>
          <w:b w:val="0"/>
          <w:szCs w:val="21"/>
        </w:rPr>
        <w:alias w:val="是否适用：研发投入情况表[双击切换]"/>
        <w:tag w:val="_GBC_b745f9cad6de412690fcb0f363f3eadb"/>
        <w:id w:val="-1303299032"/>
        <w:placeholder>
          <w:docPart w:val="GBC22222222222222222222222222222"/>
        </w:placeholder>
      </w:sdtPr>
      <w:sdtEndPr>
        <w:rPr>
          <w:rStyle w:val="48"/>
          <w:rFonts w:hint="eastAsia" w:ascii="宋体" w:hAnsi="宋体"/>
          <w:b w:val="0"/>
          <w:szCs w:val="21"/>
        </w:rPr>
      </w:sdtEndPr>
      <w:sdtContent>
        <w:p>
          <w:pPr>
            <w:rPr>
              <w:rStyle w:val="48"/>
              <w:rFonts w:ascii="宋体" w:hAnsi="宋体"/>
              <w:b w:val="0"/>
              <w:szCs w:val="21"/>
            </w:rPr>
          </w:pPr>
          <w:r>
            <w:rPr>
              <w:rStyle w:val="48"/>
              <w:rFonts w:ascii="宋体" w:hAnsi="宋体"/>
              <w:b w:val="0"/>
              <w:szCs w:val="21"/>
            </w:rPr>
            <w:fldChar w:fldCharType="begin"/>
          </w:r>
          <w:r>
            <w:rPr>
              <w:rStyle w:val="48"/>
              <w:rFonts w:ascii="宋体" w:hAnsi="宋体"/>
              <w:b w:val="0"/>
              <w:szCs w:val="21"/>
            </w:rPr>
            <w:instrText xml:space="preserve"> MACROBUTTON  SnrToggleCheckbox √适用  </w:instrText>
          </w:r>
          <w:r>
            <w:rPr>
              <w:rStyle w:val="48"/>
              <w:rFonts w:ascii="宋体" w:hAnsi="宋体"/>
              <w:b w:val="0"/>
              <w:szCs w:val="21"/>
            </w:rPr>
            <w:fldChar w:fldCharType="end"/>
          </w:r>
          <w:r>
            <w:rPr>
              <w:rStyle w:val="48"/>
              <w:rFonts w:ascii="宋体" w:hAnsi="宋体"/>
              <w:b w:val="0"/>
              <w:szCs w:val="21"/>
            </w:rPr>
            <w:fldChar w:fldCharType="begin"/>
          </w:r>
          <w:r>
            <w:rPr>
              <w:rStyle w:val="48"/>
              <w:rFonts w:ascii="宋体" w:hAnsi="宋体"/>
              <w:b w:val="0"/>
              <w:szCs w:val="21"/>
            </w:rPr>
            <w:instrText xml:space="preserve"> MACROBUTTON  SnrToggleCheckbox □不适用 </w:instrText>
          </w:r>
          <w:r>
            <w:rPr>
              <w:rStyle w:val="48"/>
              <w:rFonts w:ascii="宋体" w:hAnsi="宋体"/>
              <w:b w:val="0"/>
              <w:szCs w:val="21"/>
            </w:rPr>
            <w:fldChar w:fldCharType="end"/>
          </w:r>
        </w:p>
      </w:sdtContent>
    </w:sdt>
    <w:p>
      <w:pPr>
        <w:jc w:val="right"/>
        <w:rPr>
          <w:rStyle w:val="48"/>
          <w:rFonts w:ascii="宋体" w:hAnsi="宋体"/>
          <w:b w:val="0"/>
          <w:szCs w:val="21"/>
        </w:rPr>
      </w:pPr>
      <w:r>
        <w:rPr>
          <w:rFonts w:hint="eastAsia" w:ascii="宋体" w:hAnsi="宋体"/>
        </w:rPr>
        <w:t>单位：</w:t>
      </w:r>
      <w:sdt>
        <w:sdtPr>
          <w:rPr>
            <w:rFonts w:hint="eastAsia" w:ascii="宋体" w:hAnsi="宋体"/>
          </w:rPr>
          <w:alias w:val="单位：研发支出"/>
          <w:tag w:val="_GBC_74cd81424a3c41dd9b3b9f335eae8c21"/>
          <w:id w:val="4578443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百万元</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5"/>
        <w:gridCol w:w="5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rPr>
              <w:rFonts w:ascii="宋体" w:hAnsi="宋体"/>
            </w:rPr>
            <w:tag w:val="_PLD_34e4faf6ae244cfbac1fd41757cfe96b"/>
            <w:id w:val="-1622762171"/>
          </w:sdtPr>
          <w:sdtEndPr>
            <w:rPr>
              <w:rFonts w:ascii="宋体" w:hAnsi="宋体"/>
            </w:rPr>
          </w:sdtEndPr>
          <w:sdtContent>
            <w:tc>
              <w:tcPr>
                <w:tcW w:w="2097" w:type="pct"/>
              </w:tcPr>
              <w:p>
                <w:pPr>
                  <w:rPr>
                    <w:rStyle w:val="48"/>
                    <w:rFonts w:ascii="宋体" w:hAnsi="宋体"/>
                    <w:b w:val="0"/>
                    <w:bCs w:val="0"/>
                    <w:szCs w:val="21"/>
                  </w:rPr>
                </w:pPr>
                <w:r>
                  <w:rPr>
                    <w:rFonts w:ascii="宋体" w:hAnsi="宋体"/>
                  </w:rPr>
                  <w:t>本期费用化研发</w:t>
                </w:r>
                <w:r>
                  <w:rPr>
                    <w:rFonts w:hint="eastAsia" w:ascii="宋体" w:hAnsi="宋体"/>
                  </w:rPr>
                  <w:t>投入</w:t>
                </w:r>
              </w:p>
            </w:tc>
          </w:sdtContent>
        </w:sdt>
        <w:sdt>
          <w:sdtPr>
            <w:rPr>
              <w:rStyle w:val="48"/>
              <w:rFonts w:hint="eastAsia" w:ascii="宋体" w:hAnsi="宋体"/>
              <w:b w:val="0"/>
              <w:szCs w:val="21"/>
            </w:rPr>
            <w:alias w:val="费用化研发投入"/>
            <w:tag w:val="_GBC_4fb175bc5990483bb41db359eecfdbdb"/>
            <w:id w:val="-790821247"/>
          </w:sdtPr>
          <w:sdtEndPr>
            <w:rPr>
              <w:rStyle w:val="48"/>
              <w:rFonts w:hint="eastAsia" w:ascii="Times New Roman" w:hAnsi="Times New Roman"/>
              <w:b w:val="0"/>
              <w:szCs w:val="21"/>
            </w:rPr>
          </w:sdtEndPr>
          <w:sdtContent>
            <w:tc>
              <w:tcPr>
                <w:tcW w:w="2903" w:type="pct"/>
              </w:tcPr>
              <w:p>
                <w:pPr>
                  <w:jc w:val="right"/>
                  <w:rPr>
                    <w:rStyle w:val="48"/>
                    <w:rFonts w:ascii="宋体" w:hAnsi="宋体"/>
                    <w:b w:val="0"/>
                    <w:szCs w:val="21"/>
                  </w:rPr>
                </w:pPr>
                <w:r>
                  <w:rPr>
                    <w:rStyle w:val="48"/>
                    <w:rFonts w:ascii="宋体" w:hAnsi="宋体"/>
                    <w:b w:val="0"/>
                    <w:szCs w:val="21"/>
                  </w:rPr>
                  <w:t>2,907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97" w:type="pct"/>
          </w:tcPr>
          <w:p>
            <w:pPr>
              <w:rPr>
                <w:rStyle w:val="48"/>
                <w:rFonts w:ascii="宋体" w:hAnsi="宋体"/>
                <w:szCs w:val="21"/>
              </w:rPr>
            </w:pPr>
            <w:r>
              <w:rPr>
                <w:rFonts w:ascii="宋体" w:hAnsi="宋体"/>
              </w:rPr>
              <w:t>本期资本化研发</w:t>
            </w:r>
            <w:r>
              <w:rPr>
                <w:rFonts w:hint="eastAsia" w:ascii="宋体" w:hAnsi="宋体"/>
              </w:rPr>
              <w:t>投入</w:t>
            </w:r>
          </w:p>
        </w:tc>
        <w:tc>
          <w:tcPr>
            <w:tcW w:w="2903" w:type="pct"/>
          </w:tcPr>
          <w:p>
            <w:pPr>
              <w:jc w:val="right"/>
              <w:rPr>
                <w:rStyle w:val="48"/>
                <w:rFonts w:ascii="宋体" w:hAnsi="宋体"/>
                <w:b w:val="0"/>
                <w:szCs w:val="21"/>
              </w:rPr>
            </w:pPr>
            <w:r>
              <w:rPr>
                <w:rStyle w:val="48"/>
                <w:rFonts w:hint="eastAsia" w:ascii="宋体" w:hAnsi="宋体"/>
                <w:b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097" w:type="pct"/>
          </w:tcPr>
          <w:p>
            <w:pPr>
              <w:rPr>
                <w:rStyle w:val="48"/>
                <w:rFonts w:ascii="宋体" w:hAnsi="宋体"/>
                <w:szCs w:val="21"/>
              </w:rPr>
            </w:pPr>
            <w:r>
              <w:rPr>
                <w:rFonts w:ascii="宋体" w:hAnsi="宋体"/>
              </w:rPr>
              <w:t>研发</w:t>
            </w:r>
            <w:r>
              <w:rPr>
                <w:rFonts w:hint="eastAsia" w:ascii="宋体" w:hAnsi="宋体"/>
              </w:rPr>
              <w:t>投入</w:t>
            </w:r>
            <w:r>
              <w:rPr>
                <w:rFonts w:ascii="宋体" w:hAnsi="宋体"/>
              </w:rPr>
              <w:t>合计</w:t>
            </w:r>
          </w:p>
        </w:tc>
        <w:tc>
          <w:tcPr>
            <w:tcW w:w="2903" w:type="pct"/>
          </w:tcPr>
          <w:p>
            <w:pPr>
              <w:jc w:val="right"/>
              <w:rPr>
                <w:rStyle w:val="48"/>
                <w:rFonts w:ascii="宋体" w:hAnsi="宋体"/>
                <w:b w:val="0"/>
                <w:szCs w:val="21"/>
              </w:rPr>
            </w:pPr>
            <w:r>
              <w:rPr>
                <w:rStyle w:val="48"/>
                <w:rFonts w:ascii="宋体" w:hAnsi="宋体"/>
                <w:b w:val="0"/>
                <w:szCs w:val="21"/>
              </w:rPr>
              <w:t>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7" w:type="pct"/>
          </w:tcPr>
          <w:p>
            <w:pPr>
              <w:rPr>
                <w:rStyle w:val="48"/>
                <w:rFonts w:ascii="宋体" w:hAnsi="宋体"/>
                <w:szCs w:val="21"/>
              </w:rPr>
            </w:pPr>
            <w:r>
              <w:rPr>
                <w:rFonts w:ascii="宋体" w:hAnsi="宋体"/>
              </w:rPr>
              <w:t>研发</w:t>
            </w:r>
            <w:r>
              <w:rPr>
                <w:rFonts w:hint="eastAsia" w:ascii="宋体" w:hAnsi="宋体"/>
              </w:rPr>
              <w:t>投入</w:t>
            </w:r>
            <w:r>
              <w:rPr>
                <w:rFonts w:ascii="宋体" w:hAnsi="宋体"/>
              </w:rPr>
              <w:t>总额占营业收入比例（%）</w:t>
            </w:r>
          </w:p>
        </w:tc>
        <w:tc>
          <w:tcPr>
            <w:tcW w:w="2903" w:type="pct"/>
          </w:tcPr>
          <w:p>
            <w:pPr>
              <w:jc w:val="right"/>
              <w:rPr>
                <w:rStyle w:val="48"/>
                <w:rFonts w:ascii="宋体" w:hAnsi="宋体"/>
                <w:b w:val="0"/>
                <w:szCs w:val="21"/>
              </w:rPr>
            </w:pPr>
            <w:r>
              <w:rPr>
                <w:rStyle w:val="48"/>
                <w:rFonts w:hint="eastAsia" w:ascii="宋体" w:hAnsi="宋体"/>
                <w:b w:val="0"/>
                <w:szCs w:val="21"/>
              </w:rPr>
              <w:t>1</w:t>
            </w:r>
            <w:r>
              <w:rPr>
                <w:rStyle w:val="48"/>
                <w:rFonts w:ascii="宋体" w:hAnsi="宋体"/>
                <w:b w:val="0"/>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97" w:type="pct"/>
          </w:tcPr>
          <w:p>
            <w:pPr>
              <w:rPr>
                <w:rFonts w:ascii="宋体" w:hAnsi="宋体"/>
              </w:rPr>
            </w:pPr>
            <w:r>
              <w:rPr>
                <w:rFonts w:hint="eastAsia" w:ascii="宋体" w:hAnsi="宋体"/>
              </w:rPr>
              <w:t>研发投入资本化的比重</w:t>
            </w:r>
            <w:r>
              <w:rPr>
                <w:rFonts w:ascii="宋体" w:hAnsi="宋体"/>
              </w:rPr>
              <w:t>（%）</w:t>
            </w:r>
          </w:p>
        </w:tc>
        <w:tc>
          <w:tcPr>
            <w:tcW w:w="2903" w:type="pct"/>
          </w:tcPr>
          <w:p>
            <w:pPr>
              <w:jc w:val="right"/>
              <w:rPr>
                <w:rFonts w:ascii="宋体" w:hAnsi="宋体"/>
                <w:bCs/>
              </w:rPr>
            </w:pPr>
            <w:r>
              <w:rPr>
                <w:rFonts w:hint="eastAsia" w:ascii="宋体" w:hAnsi="宋体"/>
                <w:bCs/>
              </w:rPr>
              <w:t>0</w:t>
            </w:r>
          </w:p>
        </w:tc>
      </w:tr>
    </w:tbl>
    <w:p>
      <w:pPr>
        <w:pStyle w:val="43"/>
      </w:pPr>
    </w:p>
    <w:p>
      <w:pPr>
        <w:pStyle w:val="55"/>
        <w:numPr>
          <w:ilvl w:val="0"/>
          <w:numId w:val="11"/>
        </w:numPr>
        <w:spacing w:before="60" w:after="60"/>
        <w:ind w:firstLineChars="0"/>
        <w:rPr>
          <w:rStyle w:val="48"/>
          <w:rFonts w:ascii="宋体" w:hAnsi="宋体"/>
          <w:szCs w:val="21"/>
        </w:rPr>
      </w:pPr>
      <w:r>
        <w:rPr>
          <w:rStyle w:val="48"/>
          <w:rFonts w:hint="eastAsia" w:ascii="宋体" w:hAnsi="宋体"/>
          <w:szCs w:val="21"/>
        </w:rPr>
        <w:t>研发人员情况表</w:t>
      </w:r>
    </w:p>
    <w:sdt>
      <w:sdtPr>
        <w:rPr>
          <w:rFonts w:hint="eastAsia"/>
        </w:rPr>
        <w:alias w:val="是否适用：研发人员情况[双击切换]"/>
        <w:tag w:val="_GBC_ef3f376f125b4e219be789ed3078c140"/>
        <w:id w:val="-1104869679"/>
        <w:placeholder>
          <w:docPart w:val="GBC22222222222222222222222222222"/>
        </w:placeholder>
      </w:sdtPr>
      <w:sdtEndPr>
        <w:rPr>
          <w:rFonts w:hint="eastAsia"/>
        </w:rPr>
      </w:sdtEndPr>
      <w:sdtContent>
        <w:p>
          <w:pPr>
            <w:pStyle w:val="43"/>
          </w:pPr>
          <w:bookmarkStart w:id="54" w:name="_Hlk8987662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43"/>
      </w:pPr>
    </w:p>
    <w:tbl>
      <w:tblPr>
        <w:tblStyle w:val="135"/>
        <w:tblW w:w="9150" w:type="dxa"/>
        <w:jc w:val="center"/>
        <w:tblLayout w:type="autofit"/>
        <w:tblCellMar>
          <w:top w:w="0" w:type="dxa"/>
          <w:left w:w="108" w:type="dxa"/>
          <w:bottom w:w="0" w:type="dxa"/>
          <w:right w:w="108" w:type="dxa"/>
        </w:tblCellMar>
      </w:tblPr>
      <w:tblGrid>
        <w:gridCol w:w="5808"/>
        <w:gridCol w:w="3342"/>
      </w:tblGrid>
      <w:tr>
        <w:tblPrEx>
          <w:tblCellMar>
            <w:top w:w="0" w:type="dxa"/>
            <w:left w:w="108" w:type="dxa"/>
            <w:bottom w:w="0" w:type="dxa"/>
            <w:right w:w="108" w:type="dxa"/>
          </w:tblCellMar>
        </w:tblPrEx>
        <w:trPr>
          <w:trHeight w:val="270" w:hRule="atLeast"/>
          <w:jc w:val="center"/>
        </w:trPr>
        <w:sdt>
          <w:sdtPr>
            <w:rPr>
              <w:rFonts w:hint="eastAsia" w:ascii="宋体" w:hAnsi="宋体"/>
            </w:rPr>
            <w:tag w:val="_PLD_13cec8f1a3504661b1b570efe7519fa3"/>
            <w:id w:val="-945538875"/>
          </w:sdtPr>
          <w:sdtEndPr>
            <w:rPr>
              <w:rFonts w:hint="eastAsia" w:ascii="宋体" w:hAnsi="宋体"/>
            </w:rPr>
          </w:sdtEndPr>
          <w:sdtContent>
            <w:tc>
              <w:tcPr>
                <w:tcW w:w="580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公司研发人员的数量</w:t>
                </w:r>
              </w:p>
            </w:tc>
          </w:sdtContent>
        </w:sdt>
        <w:sdt>
          <w:sdtPr>
            <w:rPr>
              <w:rFonts w:hint="eastAsia" w:ascii="宋体" w:hAnsi="宋体"/>
            </w:rPr>
            <w:alias w:val="公司研发人员的数量"/>
            <w:tag w:val="_GBC_a84a5cadb95b4b7595981b8f24d727c8"/>
            <w:id w:val="709147528"/>
          </w:sdtPr>
          <w:sdtEndPr>
            <w:rPr>
              <w:rFonts w:hint="eastAsia" w:ascii="宋体" w:hAnsi="宋体"/>
            </w:rPr>
          </w:sdtEndPr>
          <w:sdtContent>
            <w:tc>
              <w:tcPr>
                <w:tcW w:w="3342" w:type="dxa"/>
                <w:tcBorders>
                  <w:top w:val="single" w:color="auto" w:sz="4" w:space="0"/>
                  <w:left w:val="nil"/>
                  <w:bottom w:val="single" w:color="auto" w:sz="4" w:space="0"/>
                  <w:right w:val="single" w:color="auto" w:sz="4" w:space="0"/>
                </w:tcBorders>
                <w:shd w:val="clear" w:color="auto" w:fill="auto"/>
                <w:vAlign w:val="center"/>
              </w:tcPr>
              <w:p>
                <w:pPr>
                  <w:jc w:val="right"/>
                  <w:rPr>
                    <w:rFonts w:ascii="宋体" w:hAnsi="宋体"/>
                  </w:rPr>
                </w:pPr>
                <w:r>
                  <w:rPr>
                    <w:rFonts w:ascii="宋体" w:hAnsi="宋体"/>
                  </w:rPr>
                  <w:t>4,495</w:t>
                </w:r>
              </w:p>
            </w:tc>
          </w:sdtContent>
        </w:sdt>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研发人员数量占公司总人数的比例（%）</w:t>
            </w:r>
          </w:p>
        </w:tc>
        <w:tc>
          <w:tcPr>
            <w:tcW w:w="3342" w:type="dxa"/>
            <w:tcBorders>
              <w:top w:val="nil"/>
              <w:left w:val="nil"/>
              <w:bottom w:val="single" w:color="auto" w:sz="4" w:space="0"/>
              <w:right w:val="single" w:color="auto" w:sz="4" w:space="0"/>
            </w:tcBorders>
            <w:shd w:val="clear" w:color="auto" w:fill="auto"/>
            <w:vAlign w:val="center"/>
          </w:tcPr>
          <w:p>
            <w:pPr>
              <w:jc w:val="right"/>
              <w:rPr>
                <w:rFonts w:ascii="宋体" w:hAnsi="宋体"/>
              </w:rPr>
            </w:pPr>
            <w:r>
              <w:rPr>
                <w:rFonts w:ascii="宋体" w:hAnsi="宋体"/>
              </w:rPr>
              <w:t>5.67</w:t>
            </w:r>
          </w:p>
        </w:tc>
      </w:tr>
      <w:tr>
        <w:tblPrEx>
          <w:tblCellMar>
            <w:top w:w="0" w:type="dxa"/>
            <w:left w:w="108" w:type="dxa"/>
            <w:bottom w:w="0" w:type="dxa"/>
            <w:right w:w="108" w:type="dxa"/>
          </w:tblCellMar>
        </w:tblPrEx>
        <w:trPr>
          <w:trHeight w:val="270" w:hRule="atLeast"/>
          <w:jc w:val="center"/>
        </w:trPr>
        <w:sdt>
          <w:sdtPr>
            <w:rPr>
              <w:rFonts w:hint="eastAsia" w:ascii="宋体" w:hAnsi="宋体"/>
            </w:rPr>
            <w:tag w:val="_PLD_b048dc379aae455a86f744476f1bb4a1"/>
            <w:id w:val="-1072881401"/>
          </w:sdtPr>
          <w:sdtEndPr>
            <w:rPr>
              <w:rFonts w:hint="eastAsia" w:ascii="宋体" w:hAnsi="宋体"/>
            </w:rPr>
          </w:sdtEndPr>
          <w:sdtContent>
            <w:tc>
              <w:tcPr>
                <w:tcW w:w="91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研发人员学历结构</w:t>
                </w:r>
              </w:p>
            </w:tc>
          </w:sdtContent>
        </w:sdt>
      </w:tr>
      <w:tr>
        <w:tblPrEx>
          <w:tblCellMar>
            <w:top w:w="0" w:type="dxa"/>
            <w:left w:w="108" w:type="dxa"/>
            <w:bottom w:w="0" w:type="dxa"/>
            <w:right w:w="108" w:type="dxa"/>
          </w:tblCellMar>
        </w:tblPrEx>
        <w:trPr>
          <w:trHeight w:val="270" w:hRule="atLeast"/>
          <w:jc w:val="center"/>
        </w:trPr>
        <w:sdt>
          <w:sdtPr>
            <w:rPr>
              <w:rFonts w:hint="eastAsia" w:ascii="宋体" w:hAnsi="宋体"/>
            </w:rPr>
            <w:tag w:val="_PLD_f770501e43654648a563d2a86970204f"/>
            <w:id w:val="1428232190"/>
          </w:sdtPr>
          <w:sdtEndPr>
            <w:rPr>
              <w:rFonts w:hint="eastAsia" w:ascii="宋体" w:hAnsi="宋体"/>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学历结构类别</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rPr>
              <w:t>学历结构人数</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博士研究生</w:t>
            </w:r>
          </w:p>
        </w:tc>
        <w:tc>
          <w:tcPr>
            <w:tcW w:w="3342" w:type="dxa"/>
            <w:tcBorders>
              <w:top w:val="nil"/>
              <w:left w:val="nil"/>
              <w:bottom w:val="single" w:color="auto" w:sz="4" w:space="0"/>
              <w:right w:val="single" w:color="auto" w:sz="4" w:space="0"/>
            </w:tcBorders>
            <w:shd w:val="clear" w:color="auto" w:fill="auto"/>
            <w:noWrap/>
          </w:tcPr>
          <w:p>
            <w:pPr>
              <w:jc w:val="right"/>
              <w:rPr>
                <w:rFonts w:ascii="宋体" w:hAnsi="宋体"/>
              </w:rPr>
            </w:pPr>
            <w:r>
              <w:rPr>
                <w:rFonts w:ascii="宋体" w:hAnsi="宋体"/>
              </w:rPr>
              <w:t>4</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硕士研究生</w:t>
            </w:r>
          </w:p>
        </w:tc>
        <w:tc>
          <w:tcPr>
            <w:tcW w:w="3342" w:type="dxa"/>
            <w:tcBorders>
              <w:top w:val="nil"/>
              <w:left w:val="nil"/>
              <w:bottom w:val="single" w:color="auto" w:sz="4" w:space="0"/>
              <w:right w:val="single" w:color="auto" w:sz="4" w:space="0"/>
            </w:tcBorders>
            <w:shd w:val="clear" w:color="auto" w:fill="auto"/>
            <w:noWrap/>
          </w:tcPr>
          <w:p>
            <w:pPr>
              <w:jc w:val="right"/>
              <w:rPr>
                <w:rFonts w:ascii="宋体" w:hAnsi="宋体"/>
              </w:rPr>
            </w:pPr>
            <w:r>
              <w:rPr>
                <w:rFonts w:ascii="宋体" w:hAnsi="宋体"/>
              </w:rPr>
              <w:t>237</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本科</w:t>
            </w:r>
          </w:p>
        </w:tc>
        <w:tc>
          <w:tcPr>
            <w:tcW w:w="3342" w:type="dxa"/>
            <w:tcBorders>
              <w:top w:val="nil"/>
              <w:left w:val="nil"/>
              <w:bottom w:val="single" w:color="auto" w:sz="4" w:space="0"/>
              <w:right w:val="single" w:color="auto" w:sz="4" w:space="0"/>
            </w:tcBorders>
            <w:shd w:val="clear" w:color="auto" w:fill="auto"/>
            <w:noWrap/>
          </w:tcPr>
          <w:p>
            <w:pPr>
              <w:jc w:val="right"/>
              <w:rPr>
                <w:rFonts w:ascii="宋体" w:hAnsi="宋体"/>
              </w:rPr>
            </w:pPr>
            <w:r>
              <w:rPr>
                <w:rFonts w:ascii="宋体" w:hAnsi="宋体"/>
              </w:rPr>
              <w:t>3,308</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专科</w:t>
            </w:r>
          </w:p>
        </w:tc>
        <w:tc>
          <w:tcPr>
            <w:tcW w:w="3342" w:type="dxa"/>
            <w:tcBorders>
              <w:top w:val="nil"/>
              <w:left w:val="nil"/>
              <w:bottom w:val="single" w:color="auto" w:sz="4" w:space="0"/>
              <w:right w:val="single" w:color="auto" w:sz="4" w:space="0"/>
            </w:tcBorders>
            <w:shd w:val="clear" w:color="auto" w:fill="auto"/>
            <w:noWrap/>
          </w:tcPr>
          <w:p>
            <w:pPr>
              <w:jc w:val="right"/>
              <w:rPr>
                <w:rFonts w:ascii="宋体" w:hAnsi="宋体"/>
              </w:rPr>
            </w:pPr>
            <w:r>
              <w:rPr>
                <w:rFonts w:ascii="宋体" w:hAnsi="宋体"/>
              </w:rPr>
              <w:t>707</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高中及以下</w:t>
            </w:r>
          </w:p>
        </w:tc>
        <w:tc>
          <w:tcPr>
            <w:tcW w:w="3342" w:type="dxa"/>
            <w:tcBorders>
              <w:top w:val="nil"/>
              <w:left w:val="nil"/>
              <w:bottom w:val="single" w:color="auto" w:sz="4" w:space="0"/>
              <w:right w:val="single" w:color="auto" w:sz="4" w:space="0"/>
            </w:tcBorders>
            <w:shd w:val="clear" w:color="auto" w:fill="auto"/>
            <w:noWrap/>
          </w:tcPr>
          <w:p>
            <w:pPr>
              <w:jc w:val="right"/>
              <w:rPr>
                <w:rFonts w:ascii="宋体" w:hAnsi="宋体"/>
              </w:rPr>
            </w:pPr>
            <w:r>
              <w:rPr>
                <w:rFonts w:ascii="宋体" w:hAnsi="宋体"/>
              </w:rPr>
              <w:t>239</w:t>
            </w:r>
          </w:p>
        </w:tc>
      </w:tr>
      <w:tr>
        <w:tblPrEx>
          <w:tblCellMar>
            <w:top w:w="0" w:type="dxa"/>
            <w:left w:w="108" w:type="dxa"/>
            <w:bottom w:w="0" w:type="dxa"/>
            <w:right w:w="108" w:type="dxa"/>
          </w:tblCellMar>
        </w:tblPrEx>
        <w:trPr>
          <w:trHeight w:val="270" w:hRule="atLeast"/>
          <w:jc w:val="center"/>
        </w:trPr>
        <w:sdt>
          <w:sdtPr>
            <w:rPr>
              <w:rFonts w:hint="eastAsia" w:ascii="宋体" w:hAnsi="宋体"/>
            </w:rPr>
            <w:tag w:val="_PLD_10352dc928264c50aa8776e0ae8ec569"/>
            <w:id w:val="-1213652168"/>
          </w:sdtPr>
          <w:sdtEndPr>
            <w:rPr>
              <w:rFonts w:hint="eastAsia" w:ascii="宋体" w:hAnsi="宋体"/>
            </w:rPr>
          </w:sdtEndPr>
          <w:sdtContent>
            <w:tc>
              <w:tcPr>
                <w:tcW w:w="9150" w:type="dxa"/>
                <w:gridSpan w:val="2"/>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研发人员年龄结构</w:t>
                </w:r>
              </w:p>
            </w:tc>
          </w:sdtContent>
        </w:sdt>
      </w:tr>
      <w:tr>
        <w:tblPrEx>
          <w:tblCellMar>
            <w:top w:w="0" w:type="dxa"/>
            <w:left w:w="108" w:type="dxa"/>
            <w:bottom w:w="0" w:type="dxa"/>
            <w:right w:w="108" w:type="dxa"/>
          </w:tblCellMar>
        </w:tblPrEx>
        <w:trPr>
          <w:trHeight w:val="270" w:hRule="atLeast"/>
          <w:jc w:val="center"/>
        </w:trPr>
        <w:sdt>
          <w:sdtPr>
            <w:rPr>
              <w:rFonts w:hint="eastAsia" w:ascii="宋体" w:hAnsi="宋体"/>
            </w:rPr>
            <w:tag w:val="_PLD_b9dd411387bd4ae4b04fe660cc0aac1b"/>
            <w:id w:val="1714075950"/>
          </w:sdtPr>
          <w:sdtEndPr>
            <w:rPr>
              <w:rFonts w:hint="eastAsia" w:ascii="宋体" w:hAnsi="宋体"/>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年龄结构类别</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rPr>
              <w:t>年龄结构人数</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30岁以下（不含30岁）</w:t>
            </w:r>
          </w:p>
        </w:tc>
        <w:tc>
          <w:tcPr>
            <w:tcW w:w="3342" w:type="dxa"/>
            <w:tcBorders>
              <w:top w:val="nil"/>
              <w:left w:val="nil"/>
              <w:bottom w:val="single" w:color="auto" w:sz="4" w:space="0"/>
              <w:right w:val="single" w:color="auto" w:sz="4" w:space="0"/>
            </w:tcBorders>
            <w:shd w:val="clear" w:color="auto" w:fill="auto"/>
            <w:noWrap/>
          </w:tcPr>
          <w:p>
            <w:pPr>
              <w:jc w:val="right"/>
              <w:rPr>
                <w:rFonts w:ascii="宋体" w:hAnsi="宋体"/>
              </w:rPr>
            </w:pPr>
            <w:r>
              <w:rPr>
                <w:rFonts w:ascii="宋体" w:hAnsi="宋体"/>
              </w:rPr>
              <w:t>531</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30-40岁（含30岁，不含40岁）</w:t>
            </w:r>
          </w:p>
        </w:tc>
        <w:tc>
          <w:tcPr>
            <w:tcW w:w="3342" w:type="dxa"/>
            <w:tcBorders>
              <w:top w:val="nil"/>
              <w:left w:val="nil"/>
              <w:bottom w:val="single" w:color="auto" w:sz="4" w:space="0"/>
              <w:right w:val="single" w:color="auto" w:sz="4" w:space="0"/>
            </w:tcBorders>
            <w:shd w:val="clear" w:color="auto" w:fill="auto"/>
            <w:noWrap/>
          </w:tcPr>
          <w:p>
            <w:pPr>
              <w:jc w:val="right"/>
              <w:rPr>
                <w:rFonts w:ascii="宋体" w:hAnsi="宋体"/>
              </w:rPr>
            </w:pPr>
            <w:r>
              <w:rPr>
                <w:rFonts w:ascii="宋体" w:hAnsi="宋体"/>
              </w:rPr>
              <w:t>1</w:t>
            </w:r>
            <w:r>
              <w:rPr>
                <w:rFonts w:hint="eastAsia" w:ascii="宋体" w:hAnsi="宋体"/>
              </w:rPr>
              <w:t>,</w:t>
            </w:r>
            <w:r>
              <w:rPr>
                <w:rFonts w:ascii="宋体" w:hAnsi="宋体"/>
              </w:rPr>
              <w:t>835</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40-50岁（含40岁，不含50岁）</w:t>
            </w:r>
          </w:p>
        </w:tc>
        <w:tc>
          <w:tcPr>
            <w:tcW w:w="3342" w:type="dxa"/>
            <w:tcBorders>
              <w:top w:val="nil"/>
              <w:left w:val="nil"/>
              <w:bottom w:val="single" w:color="auto" w:sz="4" w:space="0"/>
              <w:right w:val="single" w:color="auto" w:sz="4" w:space="0"/>
            </w:tcBorders>
            <w:shd w:val="clear" w:color="auto" w:fill="auto"/>
            <w:noWrap/>
          </w:tcPr>
          <w:p>
            <w:pPr>
              <w:jc w:val="right"/>
              <w:rPr>
                <w:rFonts w:ascii="宋体" w:hAnsi="宋体"/>
              </w:rPr>
            </w:pPr>
            <w:r>
              <w:rPr>
                <w:rFonts w:ascii="宋体" w:hAnsi="宋体"/>
              </w:rPr>
              <w:t>1,715</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50-60岁（含50岁，不含60岁）</w:t>
            </w:r>
          </w:p>
        </w:tc>
        <w:tc>
          <w:tcPr>
            <w:tcW w:w="3342" w:type="dxa"/>
            <w:tcBorders>
              <w:top w:val="nil"/>
              <w:left w:val="nil"/>
              <w:bottom w:val="single" w:color="auto" w:sz="4" w:space="0"/>
              <w:right w:val="single" w:color="auto" w:sz="4" w:space="0"/>
            </w:tcBorders>
            <w:shd w:val="clear" w:color="auto" w:fill="auto"/>
            <w:noWrap/>
          </w:tcPr>
          <w:p>
            <w:pPr>
              <w:jc w:val="right"/>
              <w:rPr>
                <w:rFonts w:ascii="宋体" w:hAnsi="宋体"/>
              </w:rPr>
            </w:pPr>
            <w:r>
              <w:rPr>
                <w:rFonts w:ascii="宋体" w:hAnsi="宋体"/>
              </w:rPr>
              <w:t>413</w:t>
            </w:r>
          </w:p>
        </w:tc>
      </w:tr>
      <w:tr>
        <w:tblPrEx>
          <w:tblCellMar>
            <w:top w:w="0" w:type="dxa"/>
            <w:left w:w="108" w:type="dxa"/>
            <w:bottom w:w="0" w:type="dxa"/>
            <w:right w:w="108" w:type="dxa"/>
          </w:tblCellMar>
        </w:tblPrEx>
        <w:trPr>
          <w:trHeight w:val="270" w:hRule="atLeast"/>
          <w:jc w:val="center"/>
        </w:trPr>
        <w:tc>
          <w:tcPr>
            <w:tcW w:w="5808"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60岁及以上</w:t>
            </w:r>
          </w:p>
        </w:tc>
        <w:tc>
          <w:tcPr>
            <w:tcW w:w="3342" w:type="dxa"/>
            <w:tcBorders>
              <w:top w:val="nil"/>
              <w:left w:val="nil"/>
              <w:bottom w:val="single" w:color="auto" w:sz="4" w:space="0"/>
              <w:right w:val="single" w:color="auto" w:sz="4" w:space="0"/>
            </w:tcBorders>
            <w:shd w:val="clear" w:color="auto" w:fill="auto"/>
            <w:noWrap/>
          </w:tcPr>
          <w:p>
            <w:pPr>
              <w:jc w:val="right"/>
              <w:rPr>
                <w:rFonts w:ascii="宋体" w:hAnsi="宋体"/>
              </w:rPr>
            </w:pPr>
            <w:r>
              <w:rPr>
                <w:rFonts w:ascii="宋体" w:hAnsi="宋体"/>
              </w:rPr>
              <w:t>1</w:t>
            </w:r>
          </w:p>
        </w:tc>
      </w:tr>
      <w:bookmarkEnd w:id="54"/>
    </w:tbl>
    <w:p>
      <w:pPr>
        <w:pStyle w:val="43"/>
      </w:pPr>
    </w:p>
    <w:p>
      <w:pPr>
        <w:pStyle w:val="55"/>
        <w:numPr>
          <w:ilvl w:val="0"/>
          <w:numId w:val="11"/>
        </w:numPr>
        <w:spacing w:before="60" w:after="60"/>
        <w:ind w:firstLineChars="0"/>
        <w:rPr>
          <w:rStyle w:val="48"/>
          <w:rFonts w:ascii="宋体" w:hAnsi="宋体"/>
          <w:szCs w:val="21"/>
        </w:rPr>
      </w:pPr>
      <w:r>
        <w:rPr>
          <w:rStyle w:val="48"/>
          <w:rFonts w:ascii="宋体" w:hAnsi="宋体"/>
          <w:szCs w:val="21"/>
        </w:rPr>
        <w:t>情况说明</w:t>
      </w:r>
    </w:p>
    <w:sdt>
      <w:sdtPr>
        <w:rPr>
          <w:rStyle w:val="48"/>
          <w:rFonts w:ascii="宋体" w:hAnsi="宋体"/>
          <w:b w:val="0"/>
          <w:szCs w:val="21"/>
        </w:rPr>
        <w:alias w:val="是否适用：研发支出情况说明[双击切换]"/>
        <w:tag w:val="_GBC_b983f5c63407411d82434ca6547deae8"/>
        <w:id w:val="-1884471293"/>
        <w:placeholder>
          <w:docPart w:val="GBC22222222222222222222222222222"/>
        </w:placeholder>
      </w:sdtPr>
      <w:sdtEndPr>
        <w:rPr>
          <w:rStyle w:val="48"/>
          <w:rFonts w:ascii="宋体" w:hAnsi="宋体"/>
          <w:b w:val="0"/>
          <w:szCs w:val="21"/>
        </w:rPr>
      </w:sdtEndPr>
      <w:sdtContent>
        <w:p>
          <w:pPr>
            <w:spacing w:before="60" w:after="60"/>
            <w:rPr>
              <w:rStyle w:val="48"/>
              <w:rFonts w:ascii="宋体" w:hAnsi="宋体"/>
              <w:b w:val="0"/>
              <w:szCs w:val="21"/>
            </w:rPr>
          </w:pPr>
          <w:r>
            <w:rPr>
              <w:rStyle w:val="48"/>
              <w:rFonts w:ascii="宋体" w:hAnsi="宋体"/>
              <w:b w:val="0"/>
              <w:szCs w:val="21"/>
            </w:rPr>
            <w:fldChar w:fldCharType="begin"/>
          </w:r>
          <w:r>
            <w:rPr>
              <w:rStyle w:val="48"/>
              <w:rFonts w:ascii="宋体" w:hAnsi="宋体"/>
              <w:b w:val="0"/>
              <w:szCs w:val="21"/>
            </w:rPr>
            <w:instrText xml:space="preserve">MACROBUTTON  SnrToggleCheckbox √适用 </w:instrText>
          </w:r>
          <w:r>
            <w:rPr>
              <w:rStyle w:val="48"/>
              <w:rFonts w:ascii="宋体" w:hAnsi="宋体"/>
              <w:b w:val="0"/>
              <w:szCs w:val="21"/>
            </w:rPr>
            <w:fldChar w:fldCharType="end"/>
          </w:r>
          <w:r>
            <w:rPr>
              <w:rStyle w:val="48"/>
              <w:rFonts w:ascii="宋体" w:hAnsi="宋体"/>
              <w:b w:val="0"/>
              <w:szCs w:val="21"/>
            </w:rPr>
            <w:fldChar w:fldCharType="begin"/>
          </w:r>
          <w:r>
            <w:rPr>
              <w:rStyle w:val="48"/>
              <w:rFonts w:ascii="宋体" w:hAnsi="宋体"/>
              <w:b w:val="0"/>
              <w:szCs w:val="21"/>
            </w:rPr>
            <w:instrText xml:space="preserve"> MACROBUTTON  SnrToggleCheckbox □不适用 </w:instrText>
          </w:r>
          <w:r>
            <w:rPr>
              <w:rStyle w:val="48"/>
              <w:rFonts w:ascii="宋体" w:hAnsi="宋体"/>
              <w:b w:val="0"/>
              <w:szCs w:val="21"/>
            </w:rPr>
            <w:fldChar w:fldCharType="end"/>
          </w:r>
        </w:p>
      </w:sdtContent>
    </w:sdt>
    <w:sdt>
      <w:sdtPr>
        <w:rPr>
          <w:rStyle w:val="48"/>
          <w:rFonts w:hint="eastAsia" w:ascii="宋体" w:hAnsi="宋体"/>
          <w:b w:val="0"/>
          <w:szCs w:val="21"/>
        </w:rPr>
        <w:alias w:val="研发投入情况说明"/>
        <w:tag w:val="_GBC_29b7bc5a44244641bea57d5a14dde83b"/>
        <w:id w:val="-37825806"/>
        <w:placeholder>
          <w:docPart w:val="GBC22222222222222222222222222222"/>
        </w:placeholder>
      </w:sdtPr>
      <w:sdtEndPr>
        <w:rPr>
          <w:rStyle w:val="48"/>
          <w:rFonts w:hint="eastAsia" w:ascii="宋体" w:hAnsi="宋体"/>
          <w:b/>
          <w:szCs w:val="21"/>
        </w:rPr>
      </w:sdtEndPr>
      <w:sdtContent>
        <w:p>
          <w:pPr>
            <w:ind w:firstLine="420" w:firstLineChars="200"/>
            <w:rPr>
              <w:rStyle w:val="48"/>
              <w:rFonts w:ascii="宋体" w:hAnsi="宋体"/>
              <w:b w:val="0"/>
              <w:szCs w:val="21"/>
            </w:rPr>
          </w:pPr>
          <w:r>
            <w:rPr>
              <w:rStyle w:val="48"/>
              <w:rFonts w:hint="eastAsia" w:ascii="宋体" w:hAnsi="宋体"/>
              <w:b w:val="0"/>
              <w:szCs w:val="21"/>
            </w:rPr>
            <w:t>兖矿能源牢固树立“科技是第一生产力”理念，加快推动以“抢占战略先机、带动产业突破、解决生产难题”为中心的重大科技攻关，全面提升自主创新能力，掌握一批关键核心技术，</w:t>
          </w:r>
          <w:r>
            <w:rPr>
              <w:rStyle w:val="48"/>
              <w:rFonts w:ascii="宋体" w:hAnsi="宋体"/>
              <w:b w:val="0"/>
              <w:szCs w:val="21"/>
            </w:rPr>
            <w:t>不断增强产业竞争优势，为加快建设</w:t>
          </w:r>
          <w:r>
            <w:rPr>
              <w:rStyle w:val="48"/>
              <w:rFonts w:hint="eastAsia" w:ascii="宋体" w:hAnsi="宋体"/>
              <w:b w:val="0"/>
              <w:szCs w:val="21"/>
            </w:rPr>
            <w:t>国际一流、可持续发展的清洁能源引领示范企业提供坚强支撑，建有国家企业技术中心、博士后科研工作站、煤矿智能开采研发中心等3个国家级研发平台，拥有高新技术企业</w:t>
          </w:r>
          <w:r>
            <w:rPr>
              <w:rStyle w:val="48"/>
              <w:rFonts w:ascii="宋体" w:hAnsi="宋体"/>
              <w:b w:val="0"/>
              <w:szCs w:val="21"/>
            </w:rPr>
            <w:t>17家。2023年</w:t>
          </w:r>
          <w:r>
            <w:rPr>
              <w:rStyle w:val="48"/>
              <w:rFonts w:hint="eastAsia" w:ascii="宋体" w:hAnsi="宋体"/>
              <w:b w:val="0"/>
              <w:szCs w:val="21"/>
            </w:rPr>
            <w:t>本集团</w:t>
          </w:r>
          <w:r>
            <w:rPr>
              <w:rStyle w:val="48"/>
              <w:rFonts w:ascii="宋体" w:hAnsi="宋体"/>
              <w:b w:val="0"/>
              <w:szCs w:val="21"/>
            </w:rPr>
            <w:t>获得授权专利276件，其中发明58件，实用新型204件，外观设计14件；取得软件著作权19项</w:t>
          </w:r>
          <w:r>
            <w:rPr>
              <w:rStyle w:val="48"/>
              <w:rFonts w:hint="eastAsia" w:ascii="宋体" w:hAnsi="宋体"/>
              <w:b w:val="0"/>
              <w:szCs w:val="21"/>
            </w:rPr>
            <w:t>；获得</w:t>
          </w:r>
          <w:r>
            <w:rPr>
              <w:rStyle w:val="48"/>
              <w:rFonts w:ascii="宋体" w:hAnsi="宋体"/>
              <w:b w:val="0"/>
              <w:szCs w:val="21"/>
            </w:rPr>
            <w:t>省部级科技奖励48项。</w:t>
          </w:r>
        </w:p>
        <w:p>
          <w:pPr>
            <w:ind w:firstLine="422" w:firstLineChars="200"/>
            <w:rPr>
              <w:rStyle w:val="48"/>
              <w:rFonts w:ascii="宋体" w:hAnsi="宋体"/>
              <w:szCs w:val="21"/>
            </w:rPr>
          </w:pPr>
        </w:p>
      </w:sdtContent>
    </w:sdt>
    <w:p>
      <w:pPr>
        <w:pStyle w:val="55"/>
        <w:numPr>
          <w:ilvl w:val="0"/>
          <w:numId w:val="11"/>
        </w:numPr>
        <w:spacing w:before="60" w:after="60"/>
        <w:ind w:firstLineChars="0"/>
        <w:rPr>
          <w:rStyle w:val="48"/>
          <w:rFonts w:ascii="宋体" w:hAnsi="宋体"/>
          <w:szCs w:val="21"/>
        </w:rPr>
      </w:pPr>
      <w:r>
        <w:rPr>
          <w:rStyle w:val="48"/>
          <w:rFonts w:hint="eastAsia" w:ascii="宋体" w:hAnsi="宋体"/>
          <w:szCs w:val="21"/>
        </w:rPr>
        <w:t>研发人员构成发生重大变化的原因及对公司未来发展的影响</w:t>
      </w:r>
    </w:p>
    <w:sdt>
      <w:sdtPr>
        <w:rPr>
          <w:rStyle w:val="101"/>
          <w:rFonts w:ascii="宋体" w:hAnsi="宋体"/>
          <w:b w:val="0"/>
          <w:szCs w:val="21"/>
          <w:highlight w:val="yellow"/>
        </w:rPr>
        <w:alias w:val="是否适用：研发人员构成发生重大变化的原因及对公司未来发展的影响 [双击切换]"/>
        <w:tag w:val="_GBC_03b44883afff4742a08c198d082c26b3"/>
        <w:id w:val="-286968007"/>
        <w:placeholder>
          <w:docPart w:val="GBC22222222222222222222222222222"/>
        </w:placeholder>
      </w:sdtPr>
      <w:sdtEndPr>
        <w:rPr>
          <w:rStyle w:val="101"/>
          <w:rFonts w:ascii="宋体" w:hAnsi="宋体"/>
          <w:b w:val="0"/>
          <w:szCs w:val="21"/>
          <w:highlight w:val="none"/>
        </w:rPr>
      </w:sdtEndPr>
      <w:sdtContent>
        <w:p>
          <w:pPr>
            <w:spacing w:before="60" w:after="60"/>
            <w:rPr>
              <w:rStyle w:val="101"/>
              <w:rFonts w:ascii="宋体" w:hAnsi="宋体"/>
              <w:szCs w:val="21"/>
            </w:rPr>
          </w:pPr>
          <w:bookmarkStart w:id="55" w:name="_Hlk89876701"/>
          <w:r>
            <w:rPr>
              <w:rStyle w:val="101"/>
              <w:rFonts w:ascii="宋体" w:hAnsi="宋体"/>
              <w:b w:val="0"/>
              <w:szCs w:val="21"/>
            </w:rPr>
            <w:fldChar w:fldCharType="begin"/>
          </w:r>
          <w:r>
            <w:rPr>
              <w:rStyle w:val="101"/>
              <w:rFonts w:ascii="宋体" w:hAnsi="宋体"/>
              <w:b w:val="0"/>
              <w:szCs w:val="21"/>
            </w:rPr>
            <w:instrText xml:space="preserve"> MACROBUTTON  SnrToggleCheckbox □适用 </w:instrText>
          </w:r>
          <w:r>
            <w:rPr>
              <w:rStyle w:val="101"/>
              <w:rFonts w:ascii="宋体" w:hAnsi="宋体"/>
              <w:b w:val="0"/>
              <w:szCs w:val="21"/>
            </w:rPr>
            <w:fldChar w:fldCharType="end"/>
          </w:r>
          <w:r>
            <w:rPr>
              <w:rStyle w:val="101"/>
              <w:rFonts w:ascii="宋体" w:hAnsi="宋体"/>
              <w:b w:val="0"/>
              <w:szCs w:val="21"/>
            </w:rPr>
            <w:fldChar w:fldCharType="begin"/>
          </w:r>
          <w:r>
            <w:rPr>
              <w:rStyle w:val="101"/>
              <w:rFonts w:ascii="宋体" w:hAnsi="宋体"/>
              <w:b w:val="0"/>
              <w:szCs w:val="21"/>
            </w:rPr>
            <w:instrText xml:space="preserve"> MACROBUTTON  SnrToggleCheckbox √不适用 </w:instrText>
          </w:r>
          <w:r>
            <w:rPr>
              <w:rStyle w:val="101"/>
              <w:rFonts w:ascii="宋体" w:hAnsi="宋体"/>
              <w:b w:val="0"/>
              <w:szCs w:val="21"/>
            </w:rPr>
            <w:fldChar w:fldCharType="end"/>
          </w:r>
        </w:p>
      </w:sdtContent>
    </w:sdt>
    <w:bookmarkEnd w:id="53"/>
    <w:bookmarkEnd w:id="55"/>
    <w:p>
      <w:pPr>
        <w:rPr>
          <w:rFonts w:ascii="宋体" w:hAnsi="宋体"/>
        </w:rPr>
      </w:pPr>
    </w:p>
    <w:p>
      <w:pPr>
        <w:pStyle w:val="5"/>
        <w:numPr>
          <w:ilvl w:val="0"/>
          <w:numId w:val="9"/>
        </w:numPr>
        <w:rPr>
          <w:rFonts w:ascii="宋体" w:hAnsi="宋体" w:eastAsia="宋体"/>
        </w:rPr>
      </w:pPr>
      <w:r>
        <w:rPr>
          <w:rFonts w:hint="eastAsia" w:ascii="宋体" w:hAnsi="宋体" w:eastAsia="宋体"/>
        </w:rPr>
        <w:t>现金流</w:t>
      </w:r>
    </w:p>
    <w:sdt>
      <w:sdtPr>
        <w:alias w:val="是否适用：现金流[双击切换]"/>
        <w:tag w:val="_GBC_3340f2fc4f854cc1882e18412cf992f6"/>
        <w:id w:val="-906690879"/>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rPr>
        <w:alias w:val="现金流的影响分析"/>
        <w:tag w:val="_GBC_586311c345aa4f48bab3f8f8d5347f93"/>
        <w:id w:val="-1837606285"/>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现金流变动分析详情请见本节“利润表及现金流量表相关科目变动分析表”相关内容。</w:t>
          </w:r>
        </w:p>
        <w:p>
          <w:pPr>
            <w:ind w:firstLine="420" w:firstLineChars="200"/>
            <w:rPr>
              <w:rFonts w:ascii="宋体" w:hAnsi="宋体"/>
            </w:rPr>
          </w:pPr>
        </w:p>
        <w:p>
          <w:pPr>
            <w:ind w:firstLine="420" w:firstLineChars="200"/>
            <w:rPr>
              <w:rFonts w:ascii="宋体" w:hAnsi="宋体"/>
            </w:rPr>
          </w:pPr>
          <w:r>
            <w:rPr>
              <w:rFonts w:hint="eastAsia" w:ascii="宋体" w:hAnsi="宋体"/>
            </w:rPr>
            <w:t>资金来源和运用</w:t>
          </w:r>
        </w:p>
        <w:p>
          <w:pPr>
            <w:ind w:firstLine="420" w:firstLineChars="200"/>
            <w:rPr>
              <w:rFonts w:ascii="宋体" w:hAnsi="宋体"/>
              <w:u w:val="single"/>
            </w:rPr>
          </w:pPr>
          <w:r>
            <w:rPr>
              <w:rFonts w:ascii="宋体" w:hAnsi="宋体"/>
            </w:rPr>
            <w:t>2023年本集团的资金来源主要是营业现金收入、发行债券及银行贷款。资金主要用于经营业务支出，购置固定资产、在建工程和工程物资，支付股东股息，偿还银行贷款，支付收购资产和股权价款等。</w:t>
          </w:r>
        </w:p>
        <w:p>
          <w:pPr>
            <w:ind w:firstLine="420" w:firstLineChars="200"/>
            <w:rPr>
              <w:rFonts w:ascii="宋体" w:hAnsi="宋体"/>
            </w:rPr>
          </w:pPr>
          <w:r>
            <w:rPr>
              <w:rFonts w:ascii="宋体" w:hAnsi="宋体"/>
            </w:rPr>
            <w:t>2023年本集团用于固定资产、在建工程和工程物资的资本性支出为181.23亿元。</w:t>
          </w:r>
        </w:p>
      </w:sdtContent>
    </w:sdt>
    <w:p>
      <w:pPr>
        <w:rPr>
          <w:rFonts w:ascii="宋体" w:hAnsi="宋体"/>
        </w:rPr>
      </w:pPr>
    </w:p>
    <w:p>
      <w:pPr>
        <w:numPr>
          <w:ilvl w:val="0"/>
          <w:numId w:val="8"/>
        </w:numPr>
        <w:ind w:left="368" w:hanging="367" w:hangingChars="175"/>
        <w:rPr>
          <w:rFonts w:ascii="宋体" w:hAnsi="宋体"/>
        </w:rPr>
      </w:pPr>
      <w:r>
        <w:rPr>
          <w:rFonts w:hint="eastAsia" w:ascii="宋体" w:hAnsi="宋体"/>
        </w:rPr>
        <w:t>非主营业务导致利润重大变化的说明</w:t>
      </w:r>
    </w:p>
    <w:sdt>
      <w:sdtPr>
        <w:rPr>
          <w:rFonts w:ascii="宋体" w:hAnsi="宋体"/>
        </w:rPr>
        <w:alias w:val="是否适用：非主营业务来源分析[双击切换]"/>
        <w:tag w:val="_GBC_e76b46ce658b44e591e71db49febe73d"/>
        <w:id w:val="1407192413"/>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numPr>
          <w:ilvl w:val="0"/>
          <w:numId w:val="8"/>
        </w:numPr>
        <w:rPr>
          <w:rFonts w:ascii="宋体" w:hAnsi="宋体"/>
        </w:rPr>
      </w:pPr>
      <w:r>
        <w:rPr>
          <w:rFonts w:ascii="宋体" w:hAnsi="宋体"/>
        </w:rPr>
        <w:t>资产、负债情况分析</w:t>
      </w:r>
    </w:p>
    <w:p>
      <w:pPr>
        <w:pStyle w:val="43"/>
      </w:pPr>
      <w:sdt>
        <w:sdtPr>
          <w:rPr>
            <w:rFonts w:hint="eastAsia"/>
          </w:rPr>
          <w:alias w:val="是否适用：资产、负债情况分析[双击切换]"/>
          <w:tag w:val="_GBC_73f72b786f764d01bef1bb70d2d6e5c6"/>
          <w:id w:val="-374313804"/>
          <w:lock w:val="contentLocked"/>
          <w:placeholder>
            <w:docPart w:val="GBC22222222222222222222222222222"/>
          </w:placeholder>
        </w:sdtPr>
        <w:sdtEndPr>
          <w:rPr>
            <w:rFonts w:hint="eastAsia"/>
          </w:rPr>
        </w:sdtEnd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p>
      <w:pPr>
        <w:pStyle w:val="5"/>
        <w:numPr>
          <w:ilvl w:val="0"/>
          <w:numId w:val="12"/>
        </w:numPr>
        <w:rPr>
          <w:rFonts w:ascii="宋体" w:hAnsi="宋体" w:eastAsia="宋体"/>
        </w:rPr>
      </w:pPr>
      <w:r>
        <w:rPr>
          <w:rFonts w:ascii="宋体" w:hAnsi="宋体" w:eastAsia="宋体"/>
        </w:rPr>
        <w:t>资产</w:t>
      </w:r>
      <w:r>
        <w:rPr>
          <w:rFonts w:hint="eastAsia" w:ascii="宋体" w:hAnsi="宋体" w:eastAsia="宋体"/>
        </w:rPr>
        <w:t>及</w:t>
      </w:r>
      <w:r>
        <w:rPr>
          <w:rFonts w:ascii="宋体" w:hAnsi="宋体" w:eastAsia="宋体"/>
        </w:rPr>
        <w:t>负债</w:t>
      </w:r>
      <w:r>
        <w:rPr>
          <w:rFonts w:hint="eastAsia" w:ascii="宋体" w:hAnsi="宋体" w:eastAsia="宋体"/>
          <w:szCs w:val="21"/>
        </w:rPr>
        <w:t>状</w:t>
      </w:r>
      <w:r>
        <w:rPr>
          <w:rFonts w:ascii="宋体" w:hAnsi="宋体" w:eastAsia="宋体"/>
          <w:szCs w:val="21"/>
        </w:rPr>
        <w:t>况</w:t>
      </w:r>
    </w:p>
    <w:p>
      <w:pPr>
        <w:jc w:val="right"/>
        <w:rPr>
          <w:rFonts w:ascii="宋体" w:hAnsi="宋体"/>
        </w:rPr>
      </w:pPr>
      <w:r>
        <w:rPr>
          <w:rFonts w:hint="eastAsia" w:ascii="宋体" w:hAnsi="宋体"/>
        </w:rPr>
        <w:t>单位：</w:t>
      </w:r>
      <w:sdt>
        <w:sdtPr>
          <w:rPr>
            <w:rFonts w:hint="eastAsia" w:ascii="宋体" w:hAnsi="宋体"/>
          </w:rPr>
          <w:alias w:val="单位：资产负债状况分析"/>
          <w:tag w:val="_GBC_f016c1cffd884dd784e4fb134fd0d4df"/>
          <w:id w:val="-19353576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百万元</w:t>
          </w:r>
        </w:sdtContent>
      </w:sdt>
    </w:p>
    <w:tbl>
      <w:tblPr>
        <w:tblStyle w:val="37"/>
        <w:tblW w:w="5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1187"/>
        <w:gridCol w:w="1404"/>
        <w:gridCol w:w="1202"/>
        <w:gridCol w:w="1355"/>
        <w:gridCol w:w="1314"/>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sdt>
          <w:sdtPr>
            <w:rPr>
              <w:rFonts w:ascii="宋体" w:hAnsi="宋体"/>
            </w:rPr>
            <w:tag w:val="_PLD_8f1f37d9a09f4bf3a8f4c407297e58ed"/>
            <w:id w:val="-2079892244"/>
          </w:sdtPr>
          <w:sdtEndPr>
            <w:rPr>
              <w:rFonts w:ascii="宋体" w:hAnsi="宋体"/>
            </w:rPr>
          </w:sdtEndPr>
          <w:sdtContent>
            <w:tc>
              <w:tcPr>
                <w:tcW w:w="711" w:type="pct"/>
                <w:vAlign w:val="center"/>
              </w:tcPr>
              <w:p>
                <w:pPr>
                  <w:jc w:val="center"/>
                  <w:rPr>
                    <w:rStyle w:val="48"/>
                    <w:rFonts w:ascii="宋体" w:hAnsi="宋体"/>
                    <w:szCs w:val="21"/>
                  </w:rPr>
                </w:pPr>
                <w:r>
                  <w:rPr>
                    <w:rFonts w:ascii="宋体" w:hAnsi="宋体"/>
                  </w:rPr>
                  <w:t>项目名称</w:t>
                </w:r>
              </w:p>
            </w:tc>
          </w:sdtContent>
        </w:sdt>
        <w:sdt>
          <w:sdtPr>
            <w:rPr>
              <w:rFonts w:ascii="宋体" w:hAnsi="宋体"/>
            </w:rPr>
            <w:tag w:val="_PLD_a4c00a3d0d0a42e28bc6a14dd6d26320"/>
            <w:id w:val="827780813"/>
          </w:sdtPr>
          <w:sdtEndPr>
            <w:rPr>
              <w:rFonts w:ascii="宋体" w:hAnsi="宋体"/>
            </w:rPr>
          </w:sdtEndPr>
          <w:sdtContent>
            <w:tc>
              <w:tcPr>
                <w:tcW w:w="552" w:type="pct"/>
                <w:vAlign w:val="center"/>
              </w:tcPr>
              <w:p>
                <w:pPr>
                  <w:jc w:val="center"/>
                  <w:rPr>
                    <w:rStyle w:val="48"/>
                    <w:rFonts w:ascii="宋体" w:hAnsi="宋体"/>
                    <w:szCs w:val="21"/>
                  </w:rPr>
                </w:pPr>
                <w:r>
                  <w:rPr>
                    <w:rFonts w:ascii="宋体" w:hAnsi="宋体"/>
                  </w:rPr>
                  <w:t>本期期末数</w:t>
                </w:r>
              </w:p>
            </w:tc>
          </w:sdtContent>
        </w:sdt>
        <w:sdt>
          <w:sdtPr>
            <w:rPr>
              <w:rFonts w:ascii="宋体" w:hAnsi="宋体"/>
            </w:rPr>
            <w:tag w:val="_PLD_17de20223ad64b528b824744807b0036"/>
            <w:id w:val="-1621370968"/>
          </w:sdtPr>
          <w:sdtEndPr>
            <w:rPr>
              <w:rFonts w:ascii="宋体" w:hAnsi="宋体"/>
            </w:rPr>
          </w:sdtEndPr>
          <w:sdtContent>
            <w:tc>
              <w:tcPr>
                <w:tcW w:w="653" w:type="pct"/>
                <w:vAlign w:val="center"/>
              </w:tcPr>
              <w:p>
                <w:pPr>
                  <w:jc w:val="center"/>
                  <w:rPr>
                    <w:rStyle w:val="48"/>
                    <w:rFonts w:ascii="宋体" w:hAnsi="宋体"/>
                    <w:szCs w:val="21"/>
                  </w:rPr>
                </w:pPr>
                <w:r>
                  <w:rPr>
                    <w:rFonts w:ascii="宋体" w:hAnsi="宋体"/>
                  </w:rPr>
                  <w:t>本期期末数占总资产的比例（%）</w:t>
                </w:r>
              </w:p>
            </w:tc>
          </w:sdtContent>
        </w:sdt>
        <w:sdt>
          <w:sdtPr>
            <w:rPr>
              <w:rFonts w:ascii="宋体" w:hAnsi="宋体"/>
            </w:rPr>
            <w:tag w:val="_PLD_d1b9e9483c3a41358f877758b5adb0fb"/>
            <w:id w:val="-1038505474"/>
          </w:sdtPr>
          <w:sdtEndPr>
            <w:rPr>
              <w:rFonts w:ascii="宋体" w:hAnsi="宋体"/>
            </w:rPr>
          </w:sdtEndPr>
          <w:sdtContent>
            <w:tc>
              <w:tcPr>
                <w:tcW w:w="559" w:type="pct"/>
                <w:vAlign w:val="center"/>
              </w:tcPr>
              <w:p>
                <w:pPr>
                  <w:jc w:val="center"/>
                  <w:rPr>
                    <w:rStyle w:val="48"/>
                    <w:rFonts w:ascii="宋体" w:hAnsi="宋体"/>
                    <w:szCs w:val="21"/>
                  </w:rPr>
                </w:pPr>
                <w:r>
                  <w:rPr>
                    <w:rFonts w:ascii="宋体" w:hAnsi="宋体"/>
                  </w:rPr>
                  <w:t>上期期末数</w:t>
                </w:r>
              </w:p>
            </w:tc>
          </w:sdtContent>
        </w:sdt>
        <w:sdt>
          <w:sdtPr>
            <w:rPr>
              <w:rFonts w:ascii="宋体" w:hAnsi="宋体"/>
            </w:rPr>
            <w:tag w:val="_PLD_3a8a8577e1a84f26856a900f7202f9a8"/>
            <w:id w:val="-622768389"/>
          </w:sdtPr>
          <w:sdtEndPr>
            <w:rPr>
              <w:rFonts w:ascii="宋体" w:hAnsi="宋体"/>
            </w:rPr>
          </w:sdtEndPr>
          <w:sdtContent>
            <w:tc>
              <w:tcPr>
                <w:tcW w:w="630" w:type="pct"/>
                <w:vAlign w:val="center"/>
              </w:tcPr>
              <w:p>
                <w:pPr>
                  <w:jc w:val="center"/>
                  <w:rPr>
                    <w:rStyle w:val="48"/>
                    <w:rFonts w:ascii="宋体" w:hAnsi="宋体"/>
                    <w:szCs w:val="21"/>
                  </w:rPr>
                </w:pPr>
                <w:r>
                  <w:rPr>
                    <w:rFonts w:ascii="宋体" w:hAnsi="宋体"/>
                  </w:rPr>
                  <w:t>上期期末数占总资产的比例（%）</w:t>
                </w:r>
              </w:p>
            </w:tc>
          </w:sdtContent>
        </w:sdt>
        <w:sdt>
          <w:sdtPr>
            <w:rPr>
              <w:rFonts w:ascii="宋体" w:hAnsi="宋体"/>
            </w:rPr>
            <w:tag w:val="_PLD_8af1894621b84d44aec1deba51e3a7da"/>
            <w:id w:val="1031066804"/>
          </w:sdtPr>
          <w:sdtEndPr>
            <w:rPr>
              <w:rFonts w:ascii="宋体" w:hAnsi="宋体"/>
            </w:rPr>
          </w:sdtEndPr>
          <w:sdtContent>
            <w:tc>
              <w:tcPr>
                <w:tcW w:w="611" w:type="pct"/>
                <w:vAlign w:val="center"/>
              </w:tcPr>
              <w:p>
                <w:pPr>
                  <w:jc w:val="center"/>
                  <w:rPr>
                    <w:rStyle w:val="48"/>
                    <w:rFonts w:ascii="宋体" w:hAnsi="宋体"/>
                    <w:szCs w:val="21"/>
                  </w:rPr>
                </w:pPr>
                <w:r>
                  <w:rPr>
                    <w:rFonts w:ascii="宋体" w:hAnsi="宋体"/>
                  </w:rPr>
                  <w:t>本期期末金额较上期期末变动比例（%）</w:t>
                </w:r>
              </w:p>
            </w:tc>
          </w:sdtContent>
        </w:sdt>
        <w:sdt>
          <w:sdtPr>
            <w:rPr>
              <w:rFonts w:ascii="宋体" w:hAnsi="宋体"/>
            </w:rPr>
            <w:tag w:val="_PLD_495436d1d45e4a9391194459a895631e"/>
            <w:id w:val="1852533576"/>
          </w:sdtPr>
          <w:sdtEndPr>
            <w:rPr>
              <w:rFonts w:ascii="宋体" w:hAnsi="宋体"/>
            </w:rPr>
          </w:sdtEndPr>
          <w:sdtContent>
            <w:tc>
              <w:tcPr>
                <w:tcW w:w="1284" w:type="pct"/>
                <w:vAlign w:val="center"/>
              </w:tcPr>
              <w:p>
                <w:pPr>
                  <w:jc w:val="center"/>
                  <w:rPr>
                    <w:rStyle w:val="48"/>
                    <w:rFonts w:ascii="宋体" w:hAnsi="宋体"/>
                    <w:szCs w:val="21"/>
                  </w:rPr>
                </w:pPr>
                <w:r>
                  <w:rPr>
                    <w:rFonts w:ascii="宋体" w:hAnsi="宋体"/>
                  </w:rPr>
                  <w:t>情况说明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Style w:val="48"/>
                <w:rFonts w:ascii="宋体" w:hAnsi="宋体"/>
                <w:b w:val="0"/>
                <w:szCs w:val="21"/>
              </w:rPr>
            </w:pPr>
            <w:r>
              <w:rPr>
                <w:rFonts w:hint="eastAsia" w:ascii="Times New Roman" w:hAnsi="Times New Roman"/>
              </w:rPr>
              <w:t>货币资金</w:t>
            </w:r>
          </w:p>
        </w:tc>
        <w:tc>
          <w:tcPr>
            <w:tcW w:w="552" w:type="pct"/>
            <w:vAlign w:val="center"/>
          </w:tcPr>
          <w:p>
            <w:pPr>
              <w:jc w:val="right"/>
              <w:rPr>
                <w:rFonts w:ascii="Times New Roman" w:hAnsi="Times New Roman"/>
                <w:bCs/>
              </w:rPr>
            </w:pPr>
            <w:r>
              <w:rPr>
                <w:rFonts w:ascii="宋体" w:hAnsi="宋体"/>
              </w:rPr>
              <w:t xml:space="preserve">37,597 </w:t>
            </w:r>
          </w:p>
        </w:tc>
        <w:tc>
          <w:tcPr>
            <w:tcW w:w="653" w:type="pct"/>
            <w:vAlign w:val="center"/>
          </w:tcPr>
          <w:p>
            <w:pPr>
              <w:jc w:val="right"/>
              <w:rPr>
                <w:rFonts w:ascii="Times New Roman" w:hAnsi="Times New Roman"/>
                <w:bCs/>
              </w:rPr>
            </w:pPr>
            <w:r>
              <w:rPr>
                <w:rFonts w:ascii="宋体" w:hAnsi="宋体"/>
              </w:rPr>
              <w:t xml:space="preserve">10.61 </w:t>
            </w:r>
          </w:p>
        </w:tc>
        <w:tc>
          <w:tcPr>
            <w:tcW w:w="559" w:type="pct"/>
            <w:vAlign w:val="center"/>
          </w:tcPr>
          <w:p>
            <w:pPr>
              <w:jc w:val="right"/>
              <w:rPr>
                <w:rFonts w:ascii="Times New Roman" w:hAnsi="Times New Roman"/>
                <w:bCs/>
              </w:rPr>
            </w:pPr>
            <w:r>
              <w:rPr>
                <w:rFonts w:ascii="宋体" w:hAnsi="宋体"/>
              </w:rPr>
              <w:t xml:space="preserve">66,593 </w:t>
            </w:r>
          </w:p>
        </w:tc>
        <w:tc>
          <w:tcPr>
            <w:tcW w:w="630" w:type="pct"/>
            <w:vAlign w:val="center"/>
          </w:tcPr>
          <w:p>
            <w:pPr>
              <w:jc w:val="right"/>
              <w:rPr>
                <w:rFonts w:ascii="Times New Roman" w:hAnsi="Times New Roman"/>
                <w:bCs/>
              </w:rPr>
            </w:pPr>
            <w:r>
              <w:rPr>
                <w:rFonts w:ascii="宋体" w:hAnsi="宋体"/>
              </w:rPr>
              <w:t xml:space="preserve">17.64 </w:t>
            </w:r>
          </w:p>
        </w:tc>
        <w:tc>
          <w:tcPr>
            <w:tcW w:w="611" w:type="pct"/>
            <w:vAlign w:val="center"/>
          </w:tcPr>
          <w:p>
            <w:pPr>
              <w:jc w:val="right"/>
              <w:rPr>
                <w:rFonts w:ascii="Times New Roman" w:hAnsi="Times New Roman"/>
                <w:bCs/>
              </w:rPr>
            </w:pPr>
            <w:r>
              <w:rPr>
                <w:rFonts w:ascii="宋体" w:hAnsi="宋体"/>
              </w:rPr>
              <w:t xml:space="preserve">-43.54 </w:t>
            </w:r>
          </w:p>
        </w:tc>
        <w:tc>
          <w:tcPr>
            <w:tcW w:w="1284" w:type="pct"/>
            <w:vAlign w:val="center"/>
          </w:tcPr>
          <w:p>
            <w:pPr>
              <w:rPr>
                <w:rStyle w:val="48"/>
                <w:rFonts w:ascii="宋体" w:hAnsi="宋体"/>
                <w:b w:val="0"/>
                <w:szCs w:val="21"/>
              </w:rPr>
            </w:pPr>
            <w:r>
              <w:rPr>
                <w:rStyle w:val="48"/>
                <w:rFonts w:hint="eastAsia" w:ascii="宋体" w:hAnsi="宋体"/>
                <w:b w:val="0"/>
                <w:szCs w:val="21"/>
              </w:rPr>
              <w:t>报告期内公司支付股东股息213.34亿元。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Style w:val="48"/>
                <w:rFonts w:ascii="宋体" w:hAnsi="宋体"/>
                <w:b w:val="0"/>
                <w:szCs w:val="21"/>
              </w:rPr>
            </w:pPr>
            <w:r>
              <w:rPr>
                <w:rFonts w:hint="eastAsia" w:ascii="Times New Roman" w:hAnsi="Times New Roman"/>
              </w:rPr>
              <w:t>一年内到期的非流动资产</w:t>
            </w:r>
          </w:p>
        </w:tc>
        <w:tc>
          <w:tcPr>
            <w:tcW w:w="552" w:type="pct"/>
            <w:vAlign w:val="center"/>
          </w:tcPr>
          <w:p>
            <w:pPr>
              <w:jc w:val="right"/>
              <w:rPr>
                <w:rFonts w:ascii="宋体" w:hAnsi="宋体"/>
              </w:rPr>
            </w:pPr>
            <w:r>
              <w:rPr>
                <w:rFonts w:hint="eastAsia" w:ascii="宋体" w:hAnsi="宋体"/>
              </w:rPr>
              <w:t>2,186</w:t>
            </w:r>
          </w:p>
        </w:tc>
        <w:tc>
          <w:tcPr>
            <w:tcW w:w="653" w:type="pct"/>
            <w:vAlign w:val="center"/>
          </w:tcPr>
          <w:p>
            <w:pPr>
              <w:jc w:val="right"/>
              <w:rPr>
                <w:rFonts w:ascii="宋体" w:hAnsi="宋体"/>
              </w:rPr>
            </w:pPr>
            <w:r>
              <w:rPr>
                <w:rFonts w:hint="eastAsia" w:ascii="宋体" w:hAnsi="宋体"/>
              </w:rPr>
              <w:t>0.62</w:t>
            </w:r>
          </w:p>
        </w:tc>
        <w:tc>
          <w:tcPr>
            <w:tcW w:w="559" w:type="pct"/>
            <w:vAlign w:val="center"/>
          </w:tcPr>
          <w:p>
            <w:pPr>
              <w:jc w:val="right"/>
              <w:rPr>
                <w:rFonts w:ascii="宋体" w:hAnsi="宋体"/>
              </w:rPr>
            </w:pPr>
            <w:r>
              <w:rPr>
                <w:rFonts w:hint="eastAsia" w:ascii="宋体" w:hAnsi="宋体"/>
              </w:rPr>
              <w:t>6,399</w:t>
            </w:r>
          </w:p>
        </w:tc>
        <w:tc>
          <w:tcPr>
            <w:tcW w:w="630" w:type="pct"/>
            <w:vAlign w:val="center"/>
          </w:tcPr>
          <w:p>
            <w:pPr>
              <w:jc w:val="right"/>
              <w:rPr>
                <w:rFonts w:ascii="宋体" w:hAnsi="宋体"/>
              </w:rPr>
            </w:pPr>
            <w:r>
              <w:rPr>
                <w:rFonts w:hint="eastAsia" w:ascii="宋体" w:hAnsi="宋体"/>
              </w:rPr>
              <w:t>1.</w:t>
            </w:r>
            <w:r>
              <w:rPr>
                <w:rFonts w:ascii="宋体" w:hAnsi="宋体"/>
              </w:rPr>
              <w:t>70</w:t>
            </w:r>
          </w:p>
        </w:tc>
        <w:tc>
          <w:tcPr>
            <w:tcW w:w="611" w:type="pct"/>
            <w:vAlign w:val="center"/>
          </w:tcPr>
          <w:p>
            <w:pPr>
              <w:jc w:val="right"/>
              <w:rPr>
                <w:rFonts w:ascii="宋体" w:hAnsi="宋体"/>
              </w:rPr>
            </w:pPr>
            <w:r>
              <w:rPr>
                <w:rFonts w:hint="eastAsia" w:ascii="宋体" w:hAnsi="宋体"/>
              </w:rPr>
              <w:t>-65.84</w:t>
            </w:r>
          </w:p>
        </w:tc>
        <w:tc>
          <w:tcPr>
            <w:tcW w:w="1284" w:type="pct"/>
            <w:vAlign w:val="center"/>
          </w:tcPr>
          <w:p>
            <w:pPr>
              <w:rPr>
                <w:rStyle w:val="48"/>
                <w:rFonts w:ascii="宋体" w:hAnsi="宋体"/>
                <w:b w:val="0"/>
                <w:szCs w:val="21"/>
              </w:rPr>
            </w:pPr>
            <w:r>
              <w:rPr>
                <w:rStyle w:val="48"/>
                <w:rFonts w:hint="eastAsia" w:ascii="宋体" w:hAnsi="宋体"/>
                <w:b w:val="0"/>
                <w:szCs w:val="21"/>
              </w:rPr>
              <w:t>报告期内山能财司收回一年内到期的对外贷款</w:t>
            </w:r>
            <w:r>
              <w:rPr>
                <w:rStyle w:val="48"/>
                <w:rFonts w:ascii="宋体" w:hAnsi="宋体"/>
                <w:b w:val="0"/>
                <w:szCs w:val="21"/>
              </w:rPr>
              <w:t>3</w:t>
            </w:r>
            <w:r>
              <w:rPr>
                <w:rStyle w:val="48"/>
                <w:rFonts w:ascii="宋体" w:hAnsi="宋体"/>
                <w:b w:val="0"/>
              </w:rPr>
              <w:t>7.78</w:t>
            </w:r>
            <w:r>
              <w:rPr>
                <w:rStyle w:val="48"/>
                <w:rFonts w:hint="eastAsia" w:ascii="宋体" w:hAnsi="宋体"/>
                <w:b w:val="0"/>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Fonts w:ascii="Times New Roman" w:hAnsi="Times New Roman"/>
              </w:rPr>
            </w:pPr>
            <w:r>
              <w:rPr>
                <w:rFonts w:hint="eastAsia" w:ascii="Times New Roman" w:hAnsi="Times New Roman"/>
              </w:rPr>
              <w:t>其他流动资产</w:t>
            </w:r>
          </w:p>
        </w:tc>
        <w:tc>
          <w:tcPr>
            <w:tcW w:w="552" w:type="pct"/>
            <w:vAlign w:val="center"/>
          </w:tcPr>
          <w:p>
            <w:pPr>
              <w:jc w:val="right"/>
              <w:rPr>
                <w:rFonts w:ascii="宋体" w:hAnsi="宋体"/>
              </w:rPr>
            </w:pPr>
            <w:r>
              <w:rPr>
                <w:rFonts w:ascii="宋体" w:hAnsi="宋体"/>
              </w:rPr>
              <w:t xml:space="preserve">26,747 </w:t>
            </w:r>
          </w:p>
        </w:tc>
        <w:tc>
          <w:tcPr>
            <w:tcW w:w="653" w:type="pct"/>
            <w:vAlign w:val="center"/>
          </w:tcPr>
          <w:p>
            <w:pPr>
              <w:jc w:val="right"/>
              <w:rPr>
                <w:rFonts w:ascii="宋体" w:hAnsi="宋体"/>
              </w:rPr>
            </w:pPr>
            <w:r>
              <w:rPr>
                <w:rFonts w:ascii="宋体" w:hAnsi="宋体"/>
              </w:rPr>
              <w:t xml:space="preserve">7.55 </w:t>
            </w:r>
          </w:p>
        </w:tc>
        <w:tc>
          <w:tcPr>
            <w:tcW w:w="559" w:type="pct"/>
            <w:vAlign w:val="center"/>
          </w:tcPr>
          <w:p>
            <w:pPr>
              <w:jc w:val="right"/>
              <w:rPr>
                <w:rFonts w:ascii="宋体" w:hAnsi="宋体"/>
              </w:rPr>
            </w:pPr>
            <w:r>
              <w:rPr>
                <w:rFonts w:ascii="宋体" w:hAnsi="宋体"/>
              </w:rPr>
              <w:t xml:space="preserve">19,569 </w:t>
            </w:r>
          </w:p>
        </w:tc>
        <w:tc>
          <w:tcPr>
            <w:tcW w:w="630" w:type="pct"/>
            <w:vAlign w:val="center"/>
          </w:tcPr>
          <w:p>
            <w:pPr>
              <w:jc w:val="right"/>
              <w:rPr>
                <w:rFonts w:ascii="宋体" w:hAnsi="宋体"/>
              </w:rPr>
            </w:pPr>
            <w:r>
              <w:rPr>
                <w:rFonts w:ascii="宋体" w:hAnsi="宋体"/>
              </w:rPr>
              <w:t xml:space="preserve">5.18 </w:t>
            </w:r>
          </w:p>
        </w:tc>
        <w:tc>
          <w:tcPr>
            <w:tcW w:w="611" w:type="pct"/>
            <w:vAlign w:val="center"/>
          </w:tcPr>
          <w:p>
            <w:pPr>
              <w:jc w:val="right"/>
              <w:rPr>
                <w:rFonts w:ascii="宋体" w:hAnsi="宋体"/>
              </w:rPr>
            </w:pPr>
            <w:r>
              <w:rPr>
                <w:rFonts w:ascii="宋体" w:hAnsi="宋体"/>
              </w:rPr>
              <w:t xml:space="preserve">36.68 </w:t>
            </w:r>
          </w:p>
        </w:tc>
        <w:tc>
          <w:tcPr>
            <w:tcW w:w="1284" w:type="pct"/>
            <w:vAlign w:val="center"/>
          </w:tcPr>
          <w:p>
            <w:pPr>
              <w:rPr>
                <w:rStyle w:val="48"/>
                <w:rFonts w:ascii="宋体" w:hAnsi="宋体"/>
                <w:b w:val="0"/>
                <w:szCs w:val="21"/>
              </w:rPr>
            </w:pPr>
            <w:r>
              <w:rPr>
                <w:rStyle w:val="48"/>
                <w:rFonts w:hint="eastAsia" w:ascii="宋体" w:hAnsi="宋体"/>
                <w:b w:val="0"/>
                <w:szCs w:val="21"/>
              </w:rPr>
              <w:t>①山能财司发放的贷款及垫款比年初增加3</w:t>
            </w:r>
            <w:r>
              <w:rPr>
                <w:rStyle w:val="48"/>
                <w:rFonts w:ascii="宋体" w:hAnsi="宋体"/>
                <w:b w:val="0"/>
              </w:rPr>
              <w:t>9.81</w:t>
            </w:r>
            <w:r>
              <w:rPr>
                <w:rStyle w:val="48"/>
                <w:rFonts w:hint="eastAsia" w:ascii="宋体" w:hAnsi="宋体"/>
                <w:b w:val="0"/>
              </w:rPr>
              <w:t>亿元；②土地塌陷、复原、重整及环保支出比年初增加3</w:t>
            </w:r>
            <w:r>
              <w:rPr>
                <w:rStyle w:val="48"/>
                <w:rFonts w:ascii="宋体" w:hAnsi="宋体"/>
                <w:b w:val="0"/>
              </w:rPr>
              <w:t>7.71</w:t>
            </w:r>
            <w:r>
              <w:rPr>
                <w:rStyle w:val="48"/>
                <w:rFonts w:hint="eastAsia" w:ascii="宋体" w:hAnsi="宋体"/>
                <w:b w:val="0"/>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Style w:val="48"/>
                <w:rFonts w:ascii="宋体" w:hAnsi="宋体"/>
                <w:b w:val="0"/>
                <w:szCs w:val="21"/>
              </w:rPr>
            </w:pPr>
            <w:r>
              <w:rPr>
                <w:rFonts w:hint="eastAsia" w:ascii="Times New Roman" w:hAnsi="Times New Roman"/>
              </w:rPr>
              <w:t>短期借款</w:t>
            </w:r>
          </w:p>
        </w:tc>
        <w:tc>
          <w:tcPr>
            <w:tcW w:w="552" w:type="pct"/>
            <w:vAlign w:val="center"/>
          </w:tcPr>
          <w:p>
            <w:pPr>
              <w:jc w:val="right"/>
              <w:rPr>
                <w:rFonts w:ascii="宋体" w:hAnsi="宋体"/>
              </w:rPr>
            </w:pPr>
            <w:r>
              <w:rPr>
                <w:rFonts w:hint="eastAsia" w:ascii="宋体" w:hAnsi="宋体"/>
              </w:rPr>
              <w:t>4,084</w:t>
            </w:r>
          </w:p>
        </w:tc>
        <w:tc>
          <w:tcPr>
            <w:tcW w:w="653" w:type="pct"/>
            <w:vAlign w:val="center"/>
          </w:tcPr>
          <w:p>
            <w:pPr>
              <w:jc w:val="right"/>
              <w:rPr>
                <w:rFonts w:ascii="宋体" w:hAnsi="宋体"/>
              </w:rPr>
            </w:pPr>
            <w:r>
              <w:rPr>
                <w:rFonts w:hint="eastAsia" w:ascii="宋体" w:hAnsi="宋体"/>
              </w:rPr>
              <w:t>1.15</w:t>
            </w:r>
          </w:p>
        </w:tc>
        <w:tc>
          <w:tcPr>
            <w:tcW w:w="559" w:type="pct"/>
            <w:vAlign w:val="center"/>
          </w:tcPr>
          <w:p>
            <w:pPr>
              <w:jc w:val="right"/>
              <w:rPr>
                <w:rFonts w:ascii="宋体" w:hAnsi="宋体"/>
              </w:rPr>
            </w:pPr>
            <w:r>
              <w:rPr>
                <w:rFonts w:hint="eastAsia" w:ascii="宋体" w:hAnsi="宋体"/>
              </w:rPr>
              <w:t>6,486</w:t>
            </w:r>
          </w:p>
        </w:tc>
        <w:tc>
          <w:tcPr>
            <w:tcW w:w="630" w:type="pct"/>
            <w:vAlign w:val="center"/>
          </w:tcPr>
          <w:p>
            <w:pPr>
              <w:jc w:val="right"/>
              <w:rPr>
                <w:rFonts w:ascii="宋体" w:hAnsi="宋体"/>
              </w:rPr>
            </w:pPr>
            <w:r>
              <w:rPr>
                <w:rFonts w:hint="eastAsia" w:ascii="宋体" w:hAnsi="宋体"/>
              </w:rPr>
              <w:t>1.7</w:t>
            </w:r>
            <w:r>
              <w:rPr>
                <w:rFonts w:ascii="宋体" w:hAnsi="宋体"/>
              </w:rPr>
              <w:t>2</w:t>
            </w:r>
          </w:p>
        </w:tc>
        <w:tc>
          <w:tcPr>
            <w:tcW w:w="611" w:type="pct"/>
            <w:vAlign w:val="center"/>
          </w:tcPr>
          <w:p>
            <w:pPr>
              <w:jc w:val="right"/>
              <w:rPr>
                <w:rFonts w:ascii="宋体" w:hAnsi="宋体"/>
              </w:rPr>
            </w:pPr>
            <w:r>
              <w:rPr>
                <w:rFonts w:hint="eastAsia" w:ascii="宋体" w:hAnsi="宋体"/>
              </w:rPr>
              <w:t>-37.03</w:t>
            </w:r>
          </w:p>
        </w:tc>
        <w:tc>
          <w:tcPr>
            <w:tcW w:w="1284" w:type="pct"/>
            <w:vAlign w:val="center"/>
          </w:tcPr>
          <w:p>
            <w:pPr>
              <w:rPr>
                <w:rStyle w:val="48"/>
                <w:rFonts w:ascii="宋体" w:hAnsi="宋体"/>
                <w:b w:val="0"/>
                <w:szCs w:val="21"/>
              </w:rPr>
            </w:pPr>
            <w:r>
              <w:rPr>
                <w:rStyle w:val="48"/>
                <w:rFonts w:hint="eastAsia" w:ascii="宋体" w:hAnsi="宋体"/>
                <w:b w:val="0"/>
                <w:szCs w:val="21"/>
              </w:rPr>
              <w:t>报告期内本集团偿还部分短期借款。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Style w:val="48"/>
                <w:rFonts w:ascii="宋体" w:hAnsi="宋体"/>
                <w:b w:val="0"/>
                <w:szCs w:val="21"/>
              </w:rPr>
            </w:pPr>
            <w:r>
              <w:rPr>
                <w:rFonts w:hint="eastAsia" w:ascii="Times New Roman" w:hAnsi="Times New Roman"/>
              </w:rPr>
              <w:t>应交税费</w:t>
            </w:r>
          </w:p>
        </w:tc>
        <w:tc>
          <w:tcPr>
            <w:tcW w:w="552" w:type="pct"/>
            <w:vAlign w:val="center"/>
          </w:tcPr>
          <w:p>
            <w:pPr>
              <w:jc w:val="right"/>
              <w:rPr>
                <w:rFonts w:ascii="宋体" w:hAnsi="宋体"/>
              </w:rPr>
            </w:pPr>
            <w:r>
              <w:rPr>
                <w:rFonts w:ascii="宋体" w:hAnsi="宋体"/>
              </w:rPr>
              <w:t xml:space="preserve">4,050 </w:t>
            </w:r>
          </w:p>
        </w:tc>
        <w:tc>
          <w:tcPr>
            <w:tcW w:w="653" w:type="pct"/>
            <w:vAlign w:val="center"/>
          </w:tcPr>
          <w:p>
            <w:pPr>
              <w:jc w:val="right"/>
              <w:rPr>
                <w:rFonts w:ascii="宋体" w:hAnsi="宋体"/>
              </w:rPr>
            </w:pPr>
            <w:r>
              <w:rPr>
                <w:rFonts w:ascii="宋体" w:hAnsi="宋体"/>
              </w:rPr>
              <w:t xml:space="preserve">1.14 </w:t>
            </w:r>
          </w:p>
        </w:tc>
        <w:tc>
          <w:tcPr>
            <w:tcW w:w="559" w:type="pct"/>
            <w:vAlign w:val="center"/>
          </w:tcPr>
          <w:p>
            <w:pPr>
              <w:jc w:val="right"/>
              <w:rPr>
                <w:rFonts w:ascii="宋体" w:hAnsi="宋体"/>
              </w:rPr>
            </w:pPr>
            <w:r>
              <w:rPr>
                <w:rFonts w:ascii="宋体" w:hAnsi="宋体"/>
              </w:rPr>
              <w:t xml:space="preserve">12,733 </w:t>
            </w:r>
          </w:p>
        </w:tc>
        <w:tc>
          <w:tcPr>
            <w:tcW w:w="630" w:type="pct"/>
            <w:vAlign w:val="center"/>
          </w:tcPr>
          <w:p>
            <w:pPr>
              <w:jc w:val="right"/>
              <w:rPr>
                <w:rFonts w:ascii="宋体" w:hAnsi="宋体"/>
              </w:rPr>
            </w:pPr>
            <w:r>
              <w:rPr>
                <w:rFonts w:ascii="宋体" w:hAnsi="宋体"/>
              </w:rPr>
              <w:t xml:space="preserve">3.37 </w:t>
            </w:r>
          </w:p>
        </w:tc>
        <w:tc>
          <w:tcPr>
            <w:tcW w:w="611" w:type="pct"/>
            <w:vAlign w:val="center"/>
          </w:tcPr>
          <w:p>
            <w:pPr>
              <w:jc w:val="right"/>
              <w:rPr>
                <w:rFonts w:ascii="宋体" w:hAnsi="宋体"/>
              </w:rPr>
            </w:pPr>
            <w:r>
              <w:rPr>
                <w:rFonts w:ascii="宋体" w:hAnsi="宋体"/>
              </w:rPr>
              <w:t xml:space="preserve">-68.19 </w:t>
            </w:r>
          </w:p>
        </w:tc>
        <w:tc>
          <w:tcPr>
            <w:tcW w:w="1284" w:type="pct"/>
            <w:vAlign w:val="center"/>
          </w:tcPr>
          <w:p>
            <w:pPr>
              <w:rPr>
                <w:rFonts w:ascii="宋体" w:hAnsi="宋体"/>
                <w:bCs/>
              </w:rPr>
            </w:pPr>
            <w:r>
              <w:rPr>
                <w:rFonts w:hint="eastAsia" w:ascii="宋体" w:hAnsi="宋体"/>
                <w:bCs/>
              </w:rPr>
              <w:t>本集团应交企业所得税比年初减少</w:t>
            </w:r>
            <w:r>
              <w:rPr>
                <w:rFonts w:ascii="宋体" w:hAnsi="宋体"/>
                <w:bCs/>
              </w:rPr>
              <w:t>80.09</w:t>
            </w:r>
            <w:r>
              <w:rPr>
                <w:rFonts w:hint="eastAsia" w:ascii="宋体" w:hAnsi="宋体"/>
                <w:bCs/>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Style w:val="48"/>
                <w:rFonts w:ascii="宋体" w:hAnsi="宋体"/>
                <w:b w:val="0"/>
                <w:szCs w:val="21"/>
              </w:rPr>
            </w:pPr>
            <w:r>
              <w:rPr>
                <w:rFonts w:hint="eastAsia" w:ascii="Times New Roman" w:hAnsi="Times New Roman"/>
              </w:rPr>
              <w:t>其他流动负债</w:t>
            </w:r>
          </w:p>
        </w:tc>
        <w:tc>
          <w:tcPr>
            <w:tcW w:w="552" w:type="pct"/>
            <w:vAlign w:val="center"/>
          </w:tcPr>
          <w:p>
            <w:pPr>
              <w:jc w:val="right"/>
              <w:rPr>
                <w:rFonts w:ascii="Times New Roman" w:hAnsi="Times New Roman"/>
                <w:bCs/>
              </w:rPr>
            </w:pPr>
            <w:r>
              <w:rPr>
                <w:rFonts w:ascii="宋体" w:hAnsi="宋体"/>
              </w:rPr>
              <w:t xml:space="preserve">1,135 </w:t>
            </w:r>
          </w:p>
        </w:tc>
        <w:tc>
          <w:tcPr>
            <w:tcW w:w="653" w:type="pct"/>
            <w:vAlign w:val="center"/>
          </w:tcPr>
          <w:p>
            <w:pPr>
              <w:jc w:val="right"/>
              <w:rPr>
                <w:rFonts w:ascii="宋体" w:hAnsi="宋体"/>
                <w:bCs/>
              </w:rPr>
            </w:pPr>
            <w:r>
              <w:rPr>
                <w:rFonts w:ascii="宋体" w:hAnsi="宋体"/>
              </w:rPr>
              <w:t xml:space="preserve">0.32 </w:t>
            </w:r>
          </w:p>
        </w:tc>
        <w:tc>
          <w:tcPr>
            <w:tcW w:w="559" w:type="pct"/>
            <w:vAlign w:val="center"/>
          </w:tcPr>
          <w:p>
            <w:pPr>
              <w:jc w:val="right"/>
              <w:rPr>
                <w:rFonts w:ascii="宋体" w:hAnsi="宋体"/>
                <w:bCs/>
              </w:rPr>
            </w:pPr>
            <w:r>
              <w:rPr>
                <w:rFonts w:ascii="宋体" w:hAnsi="宋体"/>
              </w:rPr>
              <w:t xml:space="preserve">2,466 </w:t>
            </w:r>
          </w:p>
        </w:tc>
        <w:tc>
          <w:tcPr>
            <w:tcW w:w="630" w:type="pct"/>
            <w:vAlign w:val="center"/>
          </w:tcPr>
          <w:p>
            <w:pPr>
              <w:jc w:val="right"/>
              <w:rPr>
                <w:rFonts w:ascii="宋体" w:hAnsi="宋体"/>
              </w:rPr>
            </w:pPr>
            <w:r>
              <w:rPr>
                <w:rFonts w:ascii="宋体" w:hAnsi="宋体"/>
              </w:rPr>
              <w:t xml:space="preserve">0.65 </w:t>
            </w:r>
          </w:p>
        </w:tc>
        <w:tc>
          <w:tcPr>
            <w:tcW w:w="611" w:type="pct"/>
            <w:vAlign w:val="center"/>
          </w:tcPr>
          <w:p>
            <w:pPr>
              <w:jc w:val="right"/>
              <w:rPr>
                <w:rFonts w:ascii="宋体" w:hAnsi="宋体"/>
              </w:rPr>
            </w:pPr>
            <w:r>
              <w:rPr>
                <w:rFonts w:ascii="宋体" w:hAnsi="宋体"/>
              </w:rPr>
              <w:t xml:space="preserve">-53.97 </w:t>
            </w:r>
          </w:p>
        </w:tc>
        <w:tc>
          <w:tcPr>
            <w:tcW w:w="1284" w:type="pct"/>
            <w:vAlign w:val="center"/>
          </w:tcPr>
          <w:p>
            <w:pPr>
              <w:rPr>
                <w:rFonts w:ascii="宋体" w:hAnsi="宋体"/>
                <w:bCs/>
              </w:rPr>
            </w:pPr>
            <w:r>
              <w:rPr>
                <w:rFonts w:hint="eastAsia" w:ascii="宋体" w:hAnsi="宋体"/>
                <w:bCs/>
              </w:rPr>
              <w:t>本集团应支付塌陷费比年初增加1</w:t>
            </w:r>
            <w:r>
              <w:rPr>
                <w:rFonts w:ascii="宋体" w:hAnsi="宋体"/>
                <w:bCs/>
              </w:rPr>
              <w:t>0.00</w:t>
            </w:r>
            <w:r>
              <w:rPr>
                <w:rFonts w:hint="eastAsia" w:ascii="宋体" w:hAnsi="宋体"/>
                <w:bCs/>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Style w:val="48"/>
                <w:rFonts w:ascii="宋体" w:hAnsi="宋体"/>
                <w:b w:val="0"/>
                <w:szCs w:val="21"/>
              </w:rPr>
            </w:pPr>
            <w:r>
              <w:rPr>
                <w:rFonts w:hint="eastAsia" w:ascii="Times New Roman" w:hAnsi="Times New Roman"/>
              </w:rPr>
              <w:t>长期借款</w:t>
            </w:r>
          </w:p>
        </w:tc>
        <w:tc>
          <w:tcPr>
            <w:tcW w:w="552" w:type="pct"/>
            <w:vAlign w:val="center"/>
          </w:tcPr>
          <w:p>
            <w:pPr>
              <w:jc w:val="right"/>
              <w:rPr>
                <w:rFonts w:ascii="Times New Roman" w:hAnsi="Times New Roman"/>
                <w:bCs/>
              </w:rPr>
            </w:pPr>
            <w:r>
              <w:rPr>
                <w:rFonts w:ascii="宋体" w:hAnsi="宋体"/>
              </w:rPr>
              <w:t xml:space="preserve">61,355 </w:t>
            </w:r>
          </w:p>
        </w:tc>
        <w:tc>
          <w:tcPr>
            <w:tcW w:w="653" w:type="pct"/>
            <w:vAlign w:val="center"/>
          </w:tcPr>
          <w:p>
            <w:pPr>
              <w:jc w:val="right"/>
              <w:rPr>
                <w:rFonts w:ascii="宋体" w:hAnsi="宋体"/>
                <w:bCs/>
              </w:rPr>
            </w:pPr>
            <w:r>
              <w:rPr>
                <w:rFonts w:ascii="宋体" w:hAnsi="宋体"/>
              </w:rPr>
              <w:t xml:space="preserve">17.32 </w:t>
            </w:r>
          </w:p>
        </w:tc>
        <w:tc>
          <w:tcPr>
            <w:tcW w:w="559" w:type="pct"/>
            <w:vAlign w:val="center"/>
          </w:tcPr>
          <w:p>
            <w:pPr>
              <w:jc w:val="right"/>
              <w:rPr>
                <w:rFonts w:ascii="宋体" w:hAnsi="宋体"/>
                <w:bCs/>
              </w:rPr>
            </w:pPr>
            <w:r>
              <w:rPr>
                <w:rFonts w:ascii="宋体" w:hAnsi="宋体"/>
              </w:rPr>
              <w:t xml:space="preserve">42,829 </w:t>
            </w:r>
          </w:p>
        </w:tc>
        <w:tc>
          <w:tcPr>
            <w:tcW w:w="630" w:type="pct"/>
            <w:vAlign w:val="center"/>
          </w:tcPr>
          <w:p>
            <w:pPr>
              <w:jc w:val="right"/>
              <w:rPr>
                <w:rFonts w:ascii="宋体" w:hAnsi="宋体"/>
              </w:rPr>
            </w:pPr>
            <w:r>
              <w:rPr>
                <w:rFonts w:ascii="宋体" w:hAnsi="宋体"/>
              </w:rPr>
              <w:t xml:space="preserve">11.35 </w:t>
            </w:r>
          </w:p>
        </w:tc>
        <w:tc>
          <w:tcPr>
            <w:tcW w:w="611" w:type="pct"/>
            <w:vAlign w:val="center"/>
          </w:tcPr>
          <w:p>
            <w:pPr>
              <w:jc w:val="right"/>
              <w:rPr>
                <w:rFonts w:ascii="宋体" w:hAnsi="宋体"/>
              </w:rPr>
            </w:pPr>
            <w:r>
              <w:rPr>
                <w:rFonts w:ascii="宋体" w:hAnsi="宋体"/>
              </w:rPr>
              <w:t xml:space="preserve">43.26 </w:t>
            </w:r>
          </w:p>
        </w:tc>
        <w:tc>
          <w:tcPr>
            <w:tcW w:w="1284" w:type="pct"/>
            <w:vAlign w:val="center"/>
          </w:tcPr>
          <w:p>
            <w:pPr>
              <w:rPr>
                <w:rFonts w:ascii="宋体" w:hAnsi="宋体"/>
                <w:bCs/>
              </w:rPr>
            </w:pPr>
            <w:r>
              <w:rPr>
                <w:rFonts w:hint="eastAsia" w:ascii="宋体" w:hAnsi="宋体"/>
                <w:bCs/>
              </w:rPr>
              <w:t>本集团长期借款比年初增加。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Style w:val="48"/>
                <w:rFonts w:ascii="宋体" w:hAnsi="宋体"/>
                <w:b w:val="0"/>
                <w:szCs w:val="21"/>
              </w:rPr>
            </w:pPr>
            <w:r>
              <w:rPr>
                <w:rFonts w:hint="eastAsia" w:ascii="Times New Roman" w:hAnsi="Times New Roman"/>
              </w:rPr>
              <w:t>应付债券</w:t>
            </w:r>
          </w:p>
        </w:tc>
        <w:tc>
          <w:tcPr>
            <w:tcW w:w="552" w:type="pct"/>
            <w:vAlign w:val="center"/>
          </w:tcPr>
          <w:p>
            <w:pPr>
              <w:jc w:val="right"/>
              <w:rPr>
                <w:rFonts w:ascii="Times New Roman" w:hAnsi="Times New Roman"/>
                <w:bCs/>
              </w:rPr>
            </w:pPr>
            <w:r>
              <w:rPr>
                <w:rFonts w:ascii="宋体" w:hAnsi="宋体"/>
              </w:rPr>
              <w:t xml:space="preserve">12,173 </w:t>
            </w:r>
          </w:p>
        </w:tc>
        <w:tc>
          <w:tcPr>
            <w:tcW w:w="653" w:type="pct"/>
            <w:vAlign w:val="center"/>
          </w:tcPr>
          <w:p>
            <w:pPr>
              <w:jc w:val="right"/>
              <w:rPr>
                <w:rFonts w:ascii="宋体" w:hAnsi="宋体"/>
                <w:bCs/>
              </w:rPr>
            </w:pPr>
            <w:r>
              <w:rPr>
                <w:rFonts w:ascii="宋体" w:hAnsi="宋体"/>
              </w:rPr>
              <w:t xml:space="preserve">3.44 </w:t>
            </w:r>
          </w:p>
        </w:tc>
        <w:tc>
          <w:tcPr>
            <w:tcW w:w="559" w:type="pct"/>
            <w:vAlign w:val="center"/>
          </w:tcPr>
          <w:p>
            <w:pPr>
              <w:jc w:val="right"/>
              <w:rPr>
                <w:rFonts w:ascii="宋体" w:hAnsi="宋体"/>
                <w:bCs/>
              </w:rPr>
            </w:pPr>
            <w:r>
              <w:rPr>
                <w:rFonts w:ascii="宋体" w:hAnsi="宋体"/>
              </w:rPr>
              <w:t xml:space="preserve">20,792 </w:t>
            </w:r>
          </w:p>
        </w:tc>
        <w:tc>
          <w:tcPr>
            <w:tcW w:w="630" w:type="pct"/>
            <w:vAlign w:val="center"/>
          </w:tcPr>
          <w:p>
            <w:pPr>
              <w:jc w:val="right"/>
              <w:rPr>
                <w:rFonts w:ascii="宋体" w:hAnsi="宋体"/>
                <w:bCs/>
              </w:rPr>
            </w:pPr>
            <w:r>
              <w:rPr>
                <w:rFonts w:ascii="宋体" w:hAnsi="宋体"/>
              </w:rPr>
              <w:t xml:space="preserve">5.51 </w:t>
            </w:r>
          </w:p>
        </w:tc>
        <w:tc>
          <w:tcPr>
            <w:tcW w:w="611" w:type="pct"/>
            <w:vAlign w:val="center"/>
          </w:tcPr>
          <w:p>
            <w:pPr>
              <w:jc w:val="right"/>
              <w:rPr>
                <w:rFonts w:ascii="宋体" w:hAnsi="宋体"/>
                <w:bCs/>
              </w:rPr>
            </w:pPr>
            <w:r>
              <w:rPr>
                <w:rFonts w:ascii="宋体" w:hAnsi="宋体"/>
              </w:rPr>
              <w:t xml:space="preserve">-41.46 </w:t>
            </w:r>
          </w:p>
        </w:tc>
        <w:tc>
          <w:tcPr>
            <w:tcW w:w="1284" w:type="pct"/>
            <w:vAlign w:val="center"/>
          </w:tcPr>
          <w:p>
            <w:pPr>
              <w:rPr>
                <w:rStyle w:val="48"/>
                <w:rFonts w:ascii="宋体" w:hAnsi="宋体"/>
                <w:b w:val="0"/>
                <w:szCs w:val="21"/>
              </w:rPr>
            </w:pPr>
            <w:r>
              <w:rPr>
                <w:rStyle w:val="48"/>
                <w:rFonts w:hint="eastAsia" w:ascii="宋体" w:hAnsi="宋体"/>
                <w:b w:val="0"/>
                <w:szCs w:val="21"/>
              </w:rPr>
              <w:t>公司将一年内到期的80.50 亿元债券重分类至一年内到期的非流动负债。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Fonts w:ascii="Times New Roman" w:hAnsi="Times New Roman"/>
              </w:rPr>
            </w:pPr>
            <w:r>
              <w:rPr>
                <w:rFonts w:hint="eastAsia" w:ascii="Times New Roman" w:hAnsi="Times New Roman"/>
              </w:rPr>
              <w:t>股本</w:t>
            </w:r>
          </w:p>
        </w:tc>
        <w:tc>
          <w:tcPr>
            <w:tcW w:w="552" w:type="pct"/>
            <w:vAlign w:val="center"/>
          </w:tcPr>
          <w:p>
            <w:pPr>
              <w:jc w:val="right"/>
              <w:rPr>
                <w:rFonts w:ascii="宋体" w:hAnsi="宋体"/>
              </w:rPr>
            </w:pPr>
            <w:r>
              <w:rPr>
                <w:rFonts w:hint="eastAsia" w:ascii="宋体" w:hAnsi="宋体"/>
              </w:rPr>
              <w:t>7,439</w:t>
            </w:r>
          </w:p>
        </w:tc>
        <w:tc>
          <w:tcPr>
            <w:tcW w:w="653" w:type="pct"/>
            <w:vAlign w:val="center"/>
          </w:tcPr>
          <w:p>
            <w:pPr>
              <w:jc w:val="right"/>
              <w:rPr>
                <w:rFonts w:ascii="宋体" w:hAnsi="宋体"/>
              </w:rPr>
            </w:pPr>
            <w:r>
              <w:rPr>
                <w:rFonts w:hint="eastAsia" w:ascii="宋体" w:hAnsi="宋体"/>
              </w:rPr>
              <w:t>2.10</w:t>
            </w:r>
          </w:p>
        </w:tc>
        <w:tc>
          <w:tcPr>
            <w:tcW w:w="559" w:type="pct"/>
            <w:vAlign w:val="center"/>
          </w:tcPr>
          <w:p>
            <w:pPr>
              <w:jc w:val="right"/>
              <w:rPr>
                <w:rFonts w:ascii="宋体" w:hAnsi="宋体"/>
              </w:rPr>
            </w:pPr>
            <w:r>
              <w:rPr>
                <w:rFonts w:hint="eastAsia" w:ascii="宋体" w:hAnsi="宋体"/>
              </w:rPr>
              <w:t>4,949</w:t>
            </w:r>
          </w:p>
        </w:tc>
        <w:tc>
          <w:tcPr>
            <w:tcW w:w="630" w:type="pct"/>
            <w:vAlign w:val="center"/>
          </w:tcPr>
          <w:p>
            <w:pPr>
              <w:jc w:val="right"/>
              <w:rPr>
                <w:rFonts w:ascii="宋体" w:hAnsi="宋体"/>
              </w:rPr>
            </w:pPr>
            <w:r>
              <w:rPr>
                <w:rFonts w:hint="eastAsia" w:ascii="宋体" w:hAnsi="宋体"/>
              </w:rPr>
              <w:t>1.3</w:t>
            </w:r>
            <w:r>
              <w:rPr>
                <w:rFonts w:ascii="宋体" w:hAnsi="宋体"/>
              </w:rPr>
              <w:t>1</w:t>
            </w:r>
          </w:p>
        </w:tc>
        <w:tc>
          <w:tcPr>
            <w:tcW w:w="611" w:type="pct"/>
            <w:vAlign w:val="center"/>
          </w:tcPr>
          <w:p>
            <w:pPr>
              <w:jc w:val="right"/>
              <w:rPr>
                <w:rFonts w:ascii="宋体" w:hAnsi="宋体"/>
              </w:rPr>
            </w:pPr>
            <w:r>
              <w:rPr>
                <w:rFonts w:hint="eastAsia" w:ascii="宋体" w:hAnsi="宋体"/>
              </w:rPr>
              <w:t>50.33</w:t>
            </w:r>
          </w:p>
        </w:tc>
        <w:tc>
          <w:tcPr>
            <w:tcW w:w="1284" w:type="pct"/>
            <w:vAlign w:val="center"/>
          </w:tcPr>
          <w:p>
            <w:pPr>
              <w:rPr>
                <w:rStyle w:val="48"/>
                <w:rFonts w:ascii="宋体" w:hAnsi="宋体"/>
                <w:b w:val="0"/>
                <w:szCs w:val="21"/>
              </w:rPr>
            </w:pPr>
            <w:r>
              <w:rPr>
                <w:rStyle w:val="48"/>
                <w:rFonts w:hint="eastAsia" w:ascii="宋体" w:hAnsi="宋体"/>
                <w:b w:val="0"/>
                <w:szCs w:val="21"/>
              </w:rPr>
              <w:t>报告期内公司完成了2022年度利润分配之股票红利派发，股本比年初增加。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Fonts w:ascii="Times New Roman" w:hAnsi="Times New Roman"/>
              </w:rPr>
            </w:pPr>
            <w:r>
              <w:rPr>
                <w:rFonts w:hint="eastAsia" w:ascii="Times New Roman" w:hAnsi="Times New Roman"/>
              </w:rPr>
              <w:t>资本公积</w:t>
            </w:r>
          </w:p>
        </w:tc>
        <w:tc>
          <w:tcPr>
            <w:tcW w:w="552" w:type="pct"/>
            <w:vAlign w:val="center"/>
          </w:tcPr>
          <w:p>
            <w:pPr>
              <w:jc w:val="right"/>
              <w:rPr>
                <w:rFonts w:ascii="宋体" w:hAnsi="宋体"/>
              </w:rPr>
            </w:pPr>
            <w:r>
              <w:rPr>
                <w:rFonts w:hint="eastAsia" w:ascii="宋体" w:hAnsi="宋体"/>
              </w:rPr>
              <w:t>-79</w:t>
            </w:r>
          </w:p>
        </w:tc>
        <w:tc>
          <w:tcPr>
            <w:tcW w:w="653" w:type="pct"/>
            <w:vAlign w:val="center"/>
          </w:tcPr>
          <w:p>
            <w:pPr>
              <w:jc w:val="right"/>
              <w:rPr>
                <w:rFonts w:ascii="宋体" w:hAnsi="宋体"/>
              </w:rPr>
            </w:pPr>
            <w:r>
              <w:rPr>
                <w:rFonts w:hint="eastAsia" w:ascii="宋体" w:hAnsi="宋体"/>
              </w:rPr>
              <w:t>-0.02</w:t>
            </w:r>
          </w:p>
        </w:tc>
        <w:tc>
          <w:tcPr>
            <w:tcW w:w="559" w:type="pct"/>
            <w:vAlign w:val="center"/>
          </w:tcPr>
          <w:p>
            <w:pPr>
              <w:jc w:val="right"/>
              <w:rPr>
                <w:rFonts w:ascii="宋体" w:hAnsi="宋体"/>
              </w:rPr>
            </w:pPr>
            <w:r>
              <w:rPr>
                <w:rFonts w:hint="eastAsia" w:ascii="宋体" w:hAnsi="宋体"/>
              </w:rPr>
              <w:t>6,579</w:t>
            </w:r>
          </w:p>
        </w:tc>
        <w:tc>
          <w:tcPr>
            <w:tcW w:w="630" w:type="pct"/>
            <w:vAlign w:val="center"/>
          </w:tcPr>
          <w:p>
            <w:pPr>
              <w:jc w:val="right"/>
              <w:rPr>
                <w:rFonts w:ascii="宋体" w:hAnsi="宋体"/>
              </w:rPr>
            </w:pPr>
            <w:r>
              <w:rPr>
                <w:rFonts w:hint="eastAsia" w:ascii="宋体" w:hAnsi="宋体"/>
              </w:rPr>
              <w:t>1.7</w:t>
            </w:r>
            <w:r>
              <w:rPr>
                <w:rFonts w:ascii="宋体" w:hAnsi="宋体"/>
              </w:rPr>
              <w:t>4</w:t>
            </w:r>
          </w:p>
        </w:tc>
        <w:tc>
          <w:tcPr>
            <w:tcW w:w="611" w:type="pct"/>
            <w:vAlign w:val="center"/>
          </w:tcPr>
          <w:p>
            <w:pPr>
              <w:jc w:val="right"/>
              <w:rPr>
                <w:rFonts w:ascii="宋体" w:hAnsi="宋体"/>
              </w:rPr>
            </w:pPr>
            <w:r>
              <w:rPr>
                <w:rFonts w:hint="eastAsia" w:ascii="宋体" w:hAnsi="宋体"/>
              </w:rPr>
              <w:t>-101.20</w:t>
            </w:r>
          </w:p>
        </w:tc>
        <w:tc>
          <w:tcPr>
            <w:tcW w:w="1284" w:type="pct"/>
            <w:vAlign w:val="center"/>
          </w:tcPr>
          <w:p>
            <w:pPr>
              <w:rPr>
                <w:rStyle w:val="48"/>
                <w:rFonts w:ascii="宋体" w:hAnsi="宋体"/>
                <w:b w:val="0"/>
                <w:szCs w:val="21"/>
              </w:rPr>
            </w:pPr>
            <w:r>
              <w:rPr>
                <w:rStyle w:val="48"/>
                <w:rFonts w:hint="eastAsia" w:ascii="宋体" w:hAnsi="宋体"/>
                <w:b w:val="0"/>
                <w:szCs w:val="21"/>
              </w:rPr>
              <w:t>本集团取得鲁西矿业、新疆能化的净资产账面价值与支付的公允价值的差额，冲减资本公积。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11" w:type="pct"/>
            <w:vAlign w:val="center"/>
          </w:tcPr>
          <w:p>
            <w:pPr>
              <w:jc w:val="center"/>
              <w:rPr>
                <w:rFonts w:ascii="Times New Roman" w:hAnsi="Times New Roman"/>
              </w:rPr>
            </w:pPr>
            <w:r>
              <w:rPr>
                <w:rFonts w:hint="eastAsia" w:ascii="Times New Roman" w:hAnsi="Times New Roman"/>
              </w:rPr>
              <w:t>未分配利润</w:t>
            </w:r>
          </w:p>
        </w:tc>
        <w:tc>
          <w:tcPr>
            <w:tcW w:w="552" w:type="pct"/>
            <w:vAlign w:val="center"/>
          </w:tcPr>
          <w:p>
            <w:pPr>
              <w:jc w:val="right"/>
              <w:rPr>
                <w:rFonts w:ascii="宋体" w:hAnsi="宋体"/>
              </w:rPr>
            </w:pPr>
            <w:r>
              <w:rPr>
                <w:rFonts w:ascii="宋体" w:hAnsi="宋体"/>
              </w:rPr>
              <w:t xml:space="preserve">50,201 </w:t>
            </w:r>
          </w:p>
        </w:tc>
        <w:tc>
          <w:tcPr>
            <w:tcW w:w="653" w:type="pct"/>
            <w:vAlign w:val="center"/>
          </w:tcPr>
          <w:p>
            <w:pPr>
              <w:jc w:val="right"/>
              <w:rPr>
                <w:rFonts w:ascii="宋体" w:hAnsi="宋体"/>
              </w:rPr>
            </w:pPr>
            <w:r>
              <w:rPr>
                <w:rFonts w:ascii="宋体" w:hAnsi="宋体"/>
              </w:rPr>
              <w:t xml:space="preserve">14.17 </w:t>
            </w:r>
          </w:p>
        </w:tc>
        <w:tc>
          <w:tcPr>
            <w:tcW w:w="559" w:type="pct"/>
            <w:vAlign w:val="center"/>
          </w:tcPr>
          <w:p>
            <w:pPr>
              <w:jc w:val="right"/>
              <w:rPr>
                <w:rFonts w:ascii="宋体" w:hAnsi="宋体"/>
              </w:rPr>
            </w:pPr>
            <w:r>
              <w:rPr>
                <w:rFonts w:ascii="宋体" w:hAnsi="宋体"/>
              </w:rPr>
              <w:t xml:space="preserve">77,238 </w:t>
            </w:r>
          </w:p>
        </w:tc>
        <w:tc>
          <w:tcPr>
            <w:tcW w:w="630" w:type="pct"/>
            <w:vAlign w:val="center"/>
          </w:tcPr>
          <w:p>
            <w:pPr>
              <w:jc w:val="right"/>
              <w:rPr>
                <w:rFonts w:ascii="宋体" w:hAnsi="宋体"/>
              </w:rPr>
            </w:pPr>
            <w:r>
              <w:rPr>
                <w:rFonts w:ascii="宋体" w:hAnsi="宋体"/>
              </w:rPr>
              <w:t xml:space="preserve">20.46 </w:t>
            </w:r>
          </w:p>
        </w:tc>
        <w:tc>
          <w:tcPr>
            <w:tcW w:w="611" w:type="pct"/>
            <w:vAlign w:val="center"/>
          </w:tcPr>
          <w:p>
            <w:pPr>
              <w:jc w:val="right"/>
              <w:rPr>
                <w:rFonts w:ascii="宋体" w:hAnsi="宋体"/>
              </w:rPr>
            </w:pPr>
            <w:r>
              <w:rPr>
                <w:rFonts w:ascii="宋体" w:hAnsi="宋体"/>
              </w:rPr>
              <w:t xml:space="preserve">-35.00 </w:t>
            </w:r>
          </w:p>
        </w:tc>
        <w:tc>
          <w:tcPr>
            <w:tcW w:w="1284" w:type="pct"/>
            <w:vAlign w:val="center"/>
          </w:tcPr>
          <w:p>
            <w:pPr>
              <w:rPr>
                <w:rStyle w:val="48"/>
                <w:rFonts w:ascii="宋体" w:hAnsi="宋体"/>
                <w:b w:val="0"/>
                <w:szCs w:val="21"/>
              </w:rPr>
            </w:pPr>
            <w:r>
              <w:rPr>
                <w:rStyle w:val="48"/>
                <w:rFonts w:hint="eastAsia" w:ascii="宋体" w:hAnsi="宋体"/>
                <w:b w:val="0"/>
                <w:szCs w:val="21"/>
              </w:rPr>
              <w:t>报告期内公司支付股东股息213.34亿元。</w:t>
            </w:r>
          </w:p>
        </w:tc>
      </w:tr>
    </w:tbl>
    <w:p>
      <w:pPr>
        <w:rPr>
          <w:rFonts w:ascii="宋体" w:hAnsi="宋体"/>
        </w:rPr>
      </w:pPr>
      <w:r>
        <w:rPr>
          <w:rFonts w:hint="eastAsia" w:ascii="宋体" w:hAnsi="宋体"/>
        </w:rPr>
        <w:t>其他说明</w:t>
      </w:r>
    </w:p>
    <w:sdt>
      <w:sdtPr>
        <w:rPr>
          <w:rFonts w:hint="eastAsia" w:ascii="宋体" w:hAnsi="宋体"/>
        </w:rPr>
        <w:alias w:val="资产及负债状况的其他说明"/>
        <w:tag w:val="_GBC_3aee54264edd4bb08807d2335eb33f43"/>
        <w:id w:val="186194477"/>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w:t>
          </w:r>
          <w:r>
            <w:rPr>
              <w:rFonts w:ascii="宋体" w:hAnsi="宋体"/>
            </w:rPr>
            <w:t>1）资本负债比率</w:t>
          </w:r>
        </w:p>
        <w:p>
          <w:pPr>
            <w:ind w:firstLine="420" w:firstLineChars="200"/>
            <w:rPr>
              <w:rFonts w:ascii="宋体" w:hAnsi="宋体"/>
            </w:rPr>
          </w:pPr>
          <w:r>
            <w:rPr>
              <w:rFonts w:hint="eastAsia" w:ascii="宋体" w:hAnsi="宋体"/>
            </w:rPr>
            <w:t>截至</w:t>
          </w:r>
          <w:r>
            <w:rPr>
              <w:rFonts w:ascii="宋体" w:hAnsi="宋体"/>
            </w:rPr>
            <w:t>2023年12月31日，归属于母公司股东权益为726.94亿元，有息负债为1,061.43亿元，</w:t>
          </w:r>
          <w:r>
            <w:rPr>
              <w:rFonts w:hint="eastAsia" w:ascii="宋体" w:hAnsi="宋体"/>
            </w:rPr>
            <w:t>资本负债比率（等于有息负债除以</w:t>
          </w:r>
          <w:r>
            <w:rPr>
              <w:rFonts w:ascii="宋体" w:hAnsi="宋体"/>
            </w:rPr>
            <w:t>归属于母公司股东权益</w:t>
          </w:r>
          <w:r>
            <w:rPr>
              <w:rFonts w:hint="eastAsia" w:ascii="宋体" w:hAnsi="宋体"/>
            </w:rPr>
            <w:t>）为</w:t>
          </w:r>
          <w:r>
            <w:rPr>
              <w:rFonts w:ascii="宋体" w:hAnsi="宋体"/>
            </w:rPr>
            <w:t>146.0%。</w:t>
          </w:r>
        </w:p>
        <w:p>
          <w:pPr>
            <w:ind w:firstLine="420" w:firstLineChars="200"/>
            <w:rPr>
              <w:rFonts w:ascii="宋体" w:hAnsi="宋体"/>
            </w:rPr>
          </w:pPr>
          <w:r>
            <w:rPr>
              <w:rFonts w:hint="eastAsia" w:ascii="宋体" w:hAnsi="宋体"/>
            </w:rPr>
            <w:t>有关有息负债详情请见按中国会计准则编制的财务报告附注“与金融工具相关风险—各类风险管理目标和政策”。</w:t>
          </w:r>
        </w:p>
        <w:p>
          <w:pPr>
            <w:ind w:firstLine="420" w:firstLineChars="200"/>
            <w:rPr>
              <w:rFonts w:ascii="宋体" w:hAnsi="宋体"/>
            </w:rPr>
          </w:pPr>
          <w:r>
            <w:rPr>
              <w:rFonts w:hint="eastAsia" w:ascii="宋体" w:hAnsi="宋体"/>
            </w:rPr>
            <w:t>（</w:t>
          </w:r>
          <w:r>
            <w:rPr>
              <w:rFonts w:ascii="宋体" w:hAnsi="宋体"/>
            </w:rPr>
            <w:t>2）或有负债</w:t>
          </w:r>
        </w:p>
        <w:p>
          <w:pPr>
            <w:ind w:firstLine="420" w:firstLineChars="200"/>
            <w:rPr>
              <w:rFonts w:ascii="宋体" w:hAnsi="宋体"/>
            </w:rPr>
          </w:pPr>
          <w:r>
            <w:rPr>
              <w:rFonts w:hint="eastAsia" w:ascii="宋体" w:hAnsi="宋体"/>
            </w:rPr>
            <w:t>有关或有负债详情请见按国际财务报告准则编制的财务报表附注“或有负债”。</w:t>
          </w:r>
        </w:p>
        <w:p>
          <w:pPr>
            <w:ind w:firstLine="420" w:firstLineChars="200"/>
            <w:rPr>
              <w:rFonts w:ascii="宋体" w:hAnsi="宋体"/>
            </w:rPr>
          </w:pPr>
          <w:r>
            <w:rPr>
              <w:rFonts w:hint="eastAsia" w:ascii="宋体" w:hAnsi="宋体"/>
            </w:rPr>
            <w:t>（</w:t>
          </w:r>
          <w:r>
            <w:rPr>
              <w:rFonts w:ascii="宋体" w:hAnsi="宋体"/>
            </w:rPr>
            <w:t>3）资产抵押</w:t>
          </w:r>
        </w:p>
        <w:p>
          <w:pPr>
            <w:ind w:firstLine="420" w:firstLineChars="200"/>
            <w:rPr>
              <w:rFonts w:ascii="宋体" w:hAnsi="宋体"/>
            </w:rPr>
          </w:pPr>
          <w:r>
            <w:rPr>
              <w:rFonts w:hint="eastAsia" w:ascii="宋体" w:hAnsi="宋体"/>
            </w:rPr>
            <w:t>有关资产抵押详情请见按中国会计准则编制的财务报表附注“合并财务报表项目注释—所有权或使用权受到限制的资产”。</w:t>
          </w:r>
        </w:p>
        <w:p>
          <w:pPr>
            <w:rPr>
              <w:rFonts w:ascii="宋体" w:hAnsi="宋体"/>
            </w:rPr>
          </w:pPr>
        </w:p>
      </w:sdtContent>
    </w:sdt>
    <w:p>
      <w:pPr>
        <w:pStyle w:val="5"/>
        <w:numPr>
          <w:ilvl w:val="0"/>
          <w:numId w:val="12"/>
        </w:numPr>
        <w:rPr>
          <w:rFonts w:ascii="宋体" w:hAnsi="宋体" w:eastAsia="宋体" w:cs="宋体"/>
          <w:kern w:val="0"/>
          <w:szCs w:val="21"/>
        </w:rPr>
      </w:pPr>
      <w:bookmarkStart w:id="56" w:name="_Hlk89877438"/>
      <w:r>
        <w:rPr>
          <w:rFonts w:hint="eastAsia" w:ascii="宋体" w:hAnsi="宋体" w:eastAsia="宋体" w:cs="宋体"/>
          <w:kern w:val="0"/>
          <w:szCs w:val="21"/>
        </w:rPr>
        <w:t>境外资产情况</w:t>
      </w:r>
    </w:p>
    <w:sdt>
      <w:sdtPr>
        <w:rPr>
          <w:rFonts w:hint="eastAsia" w:ascii="宋体" w:hAnsi="宋体"/>
        </w:rPr>
        <w:alias w:val="是否适用：境外资产情况 [双击切换]"/>
        <w:tag w:val="_GBC_7c019689b55740839a263ecc68721e10"/>
        <w:id w:val="1828861124"/>
        <w:lock w:val="contentLocked"/>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6"/>
        <w:numPr>
          <w:ilvl w:val="0"/>
          <w:numId w:val="13"/>
        </w:numPr>
        <w:ind w:left="555" w:hanging="450"/>
        <w:rPr>
          <w:rFonts w:ascii="宋体" w:hAnsi="宋体"/>
          <w:szCs w:val="21"/>
        </w:rPr>
      </w:pPr>
      <w:r>
        <w:rPr>
          <w:rFonts w:hint="eastAsia" w:ascii="宋体" w:hAnsi="宋体"/>
          <w:szCs w:val="21"/>
        </w:rPr>
        <w:t>资产规模</w:t>
      </w:r>
    </w:p>
    <w:p>
      <w:pPr>
        <w:rPr>
          <w:rFonts w:ascii="宋体" w:hAnsi="宋体"/>
        </w:rPr>
      </w:pPr>
      <w:r>
        <w:rPr>
          <w:rFonts w:hint="eastAsia" w:ascii="宋体" w:hAnsi="宋体"/>
        </w:rPr>
        <w:t>截至</w:t>
      </w:r>
      <w:r>
        <w:rPr>
          <w:rFonts w:ascii="宋体" w:hAnsi="宋体"/>
        </w:rPr>
        <w:t>2023年12月31日，</w:t>
      </w:r>
      <w:r>
        <w:rPr>
          <w:rFonts w:hint="eastAsia" w:ascii="宋体" w:hAnsi="宋体"/>
        </w:rPr>
        <w:t>本集团境外资产</w:t>
      </w:r>
      <w:bookmarkStart w:id="57" w:name="_Hlk74646369"/>
      <w:bookmarkStart w:id="58" w:name="_Hlk89175643"/>
      <w:sdt>
        <w:sdtPr>
          <w:rPr>
            <w:rFonts w:hint="eastAsia" w:ascii="宋体" w:hAnsi="宋体"/>
          </w:rPr>
          <w:alias w:val="报告期内公司境外资产变化"/>
          <w:tag w:val="_GBC_cbb65327857a4a80a4f343e0bf736822"/>
          <w:id w:val="-1514839393"/>
          <w:placeholder>
            <w:docPart w:val="GBC22222222222222222222222222222"/>
          </w:placeholder>
        </w:sdtPr>
        <w:sdtEndPr>
          <w:rPr>
            <w:rFonts w:hint="eastAsia" w:ascii="宋体" w:hAnsi="宋体"/>
          </w:rPr>
        </w:sdtEndPr>
        <w:sdtContent>
          <w:r>
            <w:rPr>
              <w:rFonts w:ascii="宋体" w:hAnsi="宋体"/>
            </w:rPr>
            <w:t>711.67</w:t>
          </w:r>
        </w:sdtContent>
      </w:sdt>
      <w:sdt>
        <w:sdtPr>
          <w:rPr>
            <w:rFonts w:hint="eastAsia" w:ascii="宋体" w:hAnsi="宋体"/>
          </w:rPr>
          <w:alias w:val="单位：报告期内公司境外资产变化"/>
          <w:tag w:val="_GBC_269723869c544fd5af5f26c6edeeb598"/>
          <w:id w:val="-8458553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亿元</w:t>
          </w:r>
        </w:sdtContent>
      </w:sdt>
      <w:r>
        <w:rPr>
          <w:rFonts w:hint="eastAsia" w:ascii="宋体" w:hAnsi="宋体"/>
        </w:rPr>
        <w:t>，占总资产的比例为</w:t>
      </w:r>
      <w:sdt>
        <w:sdtPr>
          <w:rPr>
            <w:rFonts w:hint="eastAsia" w:ascii="宋体" w:hAnsi="宋体"/>
          </w:rPr>
          <w:alias w:val="报告期内公司境外资产变化占总资产的比例"/>
          <w:tag w:val="_GBC_5480c4d77db342bdbf4d43b6611f0966"/>
          <w:id w:val="676550085"/>
          <w:placeholder>
            <w:docPart w:val="GBC22222222222222222222222222222"/>
          </w:placeholder>
        </w:sdtPr>
        <w:sdtEndPr>
          <w:rPr>
            <w:rFonts w:hint="eastAsia" w:ascii="宋体" w:hAnsi="宋体"/>
          </w:rPr>
        </w:sdtEndPr>
        <w:sdtContent>
          <w:r>
            <w:rPr>
              <w:rFonts w:ascii="宋体" w:hAnsi="宋体"/>
            </w:rPr>
            <w:t>20.1</w:t>
          </w:r>
        </w:sdtContent>
      </w:sdt>
      <w:r>
        <w:rPr>
          <w:rFonts w:hint="eastAsia" w:ascii="宋体" w:hAnsi="宋体"/>
        </w:rPr>
        <w:t>%。</w:t>
      </w:r>
    </w:p>
    <w:bookmarkEnd w:id="57"/>
    <w:p>
      <w:pPr>
        <w:rPr>
          <w:rFonts w:ascii="宋体" w:hAnsi="宋体"/>
        </w:rPr>
      </w:pPr>
    </w:p>
    <w:p>
      <w:pPr>
        <w:pStyle w:val="6"/>
        <w:numPr>
          <w:ilvl w:val="0"/>
          <w:numId w:val="13"/>
        </w:numPr>
        <w:ind w:left="555" w:hanging="450"/>
        <w:rPr>
          <w:rFonts w:ascii="宋体" w:hAnsi="宋体"/>
          <w:szCs w:val="21"/>
        </w:rPr>
      </w:pPr>
      <w:r>
        <w:rPr>
          <w:rFonts w:hint="eastAsia" w:ascii="宋体" w:hAnsi="宋体"/>
          <w:szCs w:val="21"/>
        </w:rPr>
        <w:t>境外资产占比较高的相关说明</w:t>
      </w:r>
    </w:p>
    <w:bookmarkEnd w:id="58"/>
    <w:sdt>
      <w:sdtPr>
        <w:rPr>
          <w:rFonts w:hint="eastAsia" w:ascii="宋体" w:hAnsi="宋体"/>
        </w:rPr>
        <w:alias w:val="是否适用：境外资产占比较高的相关说明  [双击切换]"/>
        <w:tag w:val="_GBC_2dd8a14582494b7fb2da678323726771"/>
        <w:id w:val="-1371526573"/>
        <w:placeholder>
          <w:docPart w:val="GBC22222222222222222222222222222"/>
        </w:placeholder>
      </w:sdtPr>
      <w:sdtEndPr>
        <w:rPr>
          <w:rFonts w:hint="eastAsia" w:ascii="宋体" w:hAnsi="宋体"/>
        </w:rPr>
      </w:sdtEndPr>
      <w:sdtContent>
        <w:p>
          <w:pPr>
            <w:rPr>
              <w:rFonts w:ascii="宋体" w:hAnsi="宋体"/>
            </w:rPr>
          </w:pPr>
          <w:bookmarkStart w:id="59" w:name="_Hlk89176028"/>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rPr>
          <w:rFonts w:ascii="宋体" w:hAnsi="宋体"/>
        </w:rPr>
      </w:pPr>
      <w:r>
        <w:rPr>
          <w:rFonts w:hint="eastAsia" w:ascii="宋体" w:hAnsi="宋体"/>
        </w:rPr>
        <w:t>单位</w:t>
      </w:r>
      <w:r>
        <w:rPr>
          <w:rFonts w:ascii="宋体" w:hAnsi="宋体"/>
        </w:rPr>
        <w:t>:</w:t>
      </w:r>
      <w:sdt>
        <w:sdtPr>
          <w:rPr>
            <w:rFonts w:ascii="宋体" w:hAnsi="宋体"/>
          </w:rPr>
          <w:alias w:val="单位：境外资产占比较高的相关说明  "/>
          <w:tag w:val="_GBC_447d29dc63b64b7d96201657146f7d1e"/>
          <w:id w:val="9545559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ascii="宋体" w:hAnsi="宋体"/>
          </w:rPr>
        </w:sdtEndPr>
        <w:sdtContent>
          <w:r>
            <w:rPr>
              <w:rFonts w:ascii="宋体" w:hAnsi="宋体"/>
            </w:rPr>
            <w:t>百万元</w:t>
          </w:r>
        </w:sdtContent>
      </w:sdt>
      <w:r>
        <w:rPr>
          <w:rFonts w:hint="eastAsia" w:ascii="宋体" w:hAnsi="宋体"/>
        </w:rPr>
        <w:t xml:space="preserve">  币种</w:t>
      </w:r>
      <w:r>
        <w:rPr>
          <w:rFonts w:ascii="宋体" w:hAnsi="宋体"/>
        </w:rPr>
        <w:t>:</w:t>
      </w:r>
      <w:sdt>
        <w:sdtPr>
          <w:rPr>
            <w:rFonts w:ascii="宋体" w:hAnsi="宋体"/>
          </w:rPr>
          <w:alias w:val="币种：境外资产占比较高的相关说明  "/>
          <w:tag w:val="_GBC_9e5c0e50e96b4e36bea32b4b38ac56b1"/>
          <w:id w:val="-593287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rPr>
        </w:sdtEndPr>
        <w:sdtContent>
          <w:r>
            <w:rPr>
              <w:rFonts w:ascii="宋体" w:hAnsi="宋体"/>
            </w:rPr>
            <w:t>人民币</w:t>
          </w:r>
        </w:sdtContent>
      </w:sdt>
    </w:p>
    <w:tbl>
      <w:tblPr>
        <w:tblStyle w:val="135"/>
        <w:tblW w:w="8946" w:type="dxa"/>
        <w:tblInd w:w="93" w:type="dxa"/>
        <w:tblLayout w:type="fixed"/>
        <w:tblCellMar>
          <w:top w:w="0" w:type="dxa"/>
          <w:left w:w="108" w:type="dxa"/>
          <w:bottom w:w="0" w:type="dxa"/>
          <w:right w:w="108" w:type="dxa"/>
        </w:tblCellMar>
      </w:tblPr>
      <w:tblGrid>
        <w:gridCol w:w="1575"/>
        <w:gridCol w:w="2003"/>
        <w:gridCol w:w="2107"/>
        <w:gridCol w:w="1701"/>
        <w:gridCol w:w="1560"/>
      </w:tblGrid>
      <w:tr>
        <w:tblPrEx>
          <w:tblCellMar>
            <w:top w:w="0" w:type="dxa"/>
            <w:left w:w="108" w:type="dxa"/>
            <w:bottom w:w="0" w:type="dxa"/>
            <w:right w:w="108" w:type="dxa"/>
          </w:tblCellMar>
        </w:tblPrEx>
        <w:trPr>
          <w:trHeight w:val="303" w:hRule="atLeast"/>
        </w:trPr>
        <w:sdt>
          <w:sdtPr>
            <w:rPr>
              <w:rFonts w:hint="eastAsia" w:ascii="宋体" w:hAnsi="宋体"/>
            </w:rPr>
            <w:tag w:val="_PLD_d6a563414a4f4480b44cc32922a7159b"/>
            <w:id w:val="1666594412"/>
          </w:sdtPr>
          <w:sdtEndPr>
            <w:rPr>
              <w:rFonts w:hint="eastAsia" w:ascii="宋体" w:hAnsi="宋体"/>
            </w:rPr>
          </w:sdtEndPr>
          <w:sdtContent>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rPr>
                  <w:t>境外资产名称</w:t>
                </w:r>
              </w:p>
            </w:tc>
          </w:sdtContent>
        </w:sdt>
        <w:sdt>
          <w:sdtPr>
            <w:rPr>
              <w:rFonts w:hint="eastAsia" w:ascii="宋体" w:hAnsi="宋体"/>
            </w:rPr>
            <w:tag w:val="_PLD_d4ef4f1b52e5497eb13a8073698b2c5a"/>
            <w:id w:val="688026242"/>
          </w:sdtPr>
          <w:sdtEndPr>
            <w:rPr>
              <w:rFonts w:hint="eastAsia" w:ascii="宋体" w:hAnsi="宋体"/>
            </w:rPr>
          </w:sdtEndPr>
          <w:sdtContent>
            <w:tc>
              <w:tcPr>
                <w:tcW w:w="200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rPr>
                  <w:t>形成原因</w:t>
                </w:r>
              </w:p>
            </w:tc>
          </w:sdtContent>
        </w:sdt>
        <w:sdt>
          <w:sdtPr>
            <w:rPr>
              <w:rFonts w:hint="eastAsia" w:ascii="宋体" w:hAnsi="宋体"/>
            </w:rPr>
            <w:tag w:val="_PLD_9ba1a7c57df94beba3126647d031eb9c"/>
            <w:id w:val="1260635446"/>
          </w:sdtPr>
          <w:sdtEndPr>
            <w:rPr>
              <w:rFonts w:hint="eastAsia" w:ascii="宋体" w:hAnsi="宋体"/>
            </w:rPr>
          </w:sdtEndPr>
          <w:sdtContent>
            <w:tc>
              <w:tcPr>
                <w:tcW w:w="210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rPr>
                  <w:t>运营模式</w:t>
                </w:r>
              </w:p>
            </w:tc>
          </w:sdtContent>
        </w:sdt>
        <w:sdt>
          <w:sdtPr>
            <w:rPr>
              <w:rFonts w:hint="eastAsia" w:ascii="宋体" w:hAnsi="宋体"/>
            </w:rPr>
            <w:tag w:val="_PLD_37fd5de7b50c491680082fc66ba171cc"/>
            <w:id w:val="398250655"/>
          </w:sdtPr>
          <w:sdtEndPr>
            <w:rPr>
              <w:rFonts w:hint="eastAsia" w:ascii="宋体" w:hAnsi="宋体"/>
            </w:rPr>
          </w:sdtEndPr>
          <w:sdtContent>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rPr>
                  <w:t>本报告期</w:t>
                </w:r>
              </w:p>
              <w:p>
                <w:pPr>
                  <w:jc w:val="center"/>
                  <w:rPr>
                    <w:rFonts w:ascii="宋体" w:hAnsi="宋体"/>
                  </w:rPr>
                </w:pPr>
                <w:r>
                  <w:rPr>
                    <w:rFonts w:hint="eastAsia" w:ascii="宋体" w:hAnsi="宋体"/>
                  </w:rPr>
                  <w:t>营业收入</w:t>
                </w:r>
              </w:p>
            </w:tc>
          </w:sdtContent>
        </w:sdt>
        <w:sdt>
          <w:sdtPr>
            <w:rPr>
              <w:rFonts w:hint="eastAsia" w:ascii="宋体" w:hAnsi="宋体"/>
            </w:rPr>
            <w:tag w:val="_PLD_1a3ec7da73fb408ba288b57da492e648"/>
            <w:id w:val="-1830511340"/>
          </w:sdtPr>
          <w:sdtEndPr>
            <w:rPr>
              <w:rFonts w:hint="eastAsia" w:ascii="宋体" w:hAnsi="宋体"/>
            </w:rPr>
          </w:sdtEndPr>
          <w:sdtContent>
            <w:tc>
              <w:tcPr>
                <w:tcW w:w="156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rPr>
                  <w:t>本报告期</w:t>
                </w:r>
              </w:p>
              <w:p>
                <w:pPr>
                  <w:jc w:val="center"/>
                  <w:rPr>
                    <w:rFonts w:ascii="宋体" w:hAnsi="宋体"/>
                  </w:rPr>
                </w:pPr>
                <w:r>
                  <w:rPr>
                    <w:rFonts w:hint="eastAsia" w:ascii="宋体" w:hAnsi="宋体"/>
                  </w:rPr>
                  <w:t>净利润</w:t>
                </w:r>
              </w:p>
            </w:tc>
          </w:sdtContent>
        </w:sdt>
      </w:tr>
      <w:tr>
        <w:tblPrEx>
          <w:tblCellMar>
            <w:top w:w="0" w:type="dxa"/>
            <w:left w:w="108" w:type="dxa"/>
            <w:bottom w:w="0" w:type="dxa"/>
            <w:right w:w="108" w:type="dxa"/>
          </w:tblCellMar>
        </w:tblPrEx>
        <w:trPr>
          <w:trHeight w:val="285" w:hRule="atLeast"/>
        </w:trPr>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color w:val="000000"/>
              </w:rPr>
              <w:t>兖煤澳洲</w:t>
            </w:r>
          </w:p>
        </w:tc>
        <w:tc>
          <w:tcPr>
            <w:tcW w:w="200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rPr>
              <w:t>出资设立</w:t>
            </w:r>
          </w:p>
        </w:tc>
        <w:tc>
          <w:tcPr>
            <w:tcW w:w="210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rPr>
              <w:t>自营</w:t>
            </w:r>
          </w:p>
        </w:tc>
        <w:tc>
          <w:tcPr>
            <w:tcW w:w="1701" w:type="dxa"/>
            <w:tcBorders>
              <w:top w:val="single" w:color="auto" w:sz="4" w:space="0"/>
              <w:left w:val="nil"/>
              <w:bottom w:val="single" w:color="auto" w:sz="4" w:space="0"/>
              <w:right w:val="single" w:color="auto" w:sz="4" w:space="0"/>
            </w:tcBorders>
            <w:shd w:val="clear" w:color="auto" w:fill="auto"/>
            <w:noWrap/>
          </w:tcPr>
          <w:p>
            <w:pPr>
              <w:jc w:val="center"/>
              <w:rPr>
                <w:rFonts w:ascii="宋体" w:hAnsi="宋体"/>
              </w:rPr>
            </w:pPr>
            <w:r>
              <w:rPr>
                <w:rFonts w:ascii="宋体" w:hAnsi="宋体"/>
              </w:rPr>
              <w:t xml:space="preserve">36,752 </w:t>
            </w:r>
          </w:p>
        </w:tc>
        <w:tc>
          <w:tcPr>
            <w:tcW w:w="1560" w:type="dxa"/>
            <w:tcBorders>
              <w:top w:val="single" w:color="auto" w:sz="4" w:space="0"/>
              <w:left w:val="nil"/>
              <w:bottom w:val="single" w:color="auto" w:sz="4" w:space="0"/>
              <w:right w:val="single" w:color="auto" w:sz="4" w:space="0"/>
            </w:tcBorders>
            <w:shd w:val="clear" w:color="auto" w:fill="auto"/>
            <w:noWrap/>
          </w:tcPr>
          <w:p>
            <w:pPr>
              <w:jc w:val="center"/>
              <w:rPr>
                <w:rFonts w:ascii="宋体" w:hAnsi="宋体"/>
              </w:rPr>
            </w:pPr>
            <w:r>
              <w:rPr>
                <w:rFonts w:ascii="宋体" w:hAnsi="宋体"/>
              </w:rPr>
              <w:t xml:space="preserve">8,697 </w:t>
            </w:r>
          </w:p>
        </w:tc>
      </w:tr>
      <w:tr>
        <w:tblPrEx>
          <w:tblCellMar>
            <w:top w:w="0" w:type="dxa"/>
            <w:left w:w="108" w:type="dxa"/>
            <w:bottom w:w="0" w:type="dxa"/>
            <w:right w:w="108" w:type="dxa"/>
          </w:tblCellMar>
        </w:tblPrEx>
        <w:trPr>
          <w:trHeight w:val="285" w:hRule="atLeast"/>
        </w:trPr>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color w:val="000000"/>
              </w:rPr>
              <w:t>兖煤国际</w:t>
            </w:r>
          </w:p>
        </w:tc>
        <w:tc>
          <w:tcPr>
            <w:tcW w:w="200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rPr>
            </w:pPr>
            <w:r>
              <w:rPr>
                <w:rFonts w:hint="eastAsia" w:ascii="宋体" w:hAnsi="宋体"/>
              </w:rPr>
              <w:t>出资设立</w:t>
            </w:r>
          </w:p>
        </w:tc>
        <w:tc>
          <w:tcPr>
            <w:tcW w:w="210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rPr>
            </w:pPr>
            <w:r>
              <w:rPr>
                <w:rFonts w:ascii="宋体" w:hAnsi="宋体"/>
              </w:rPr>
              <w:t>自营</w:t>
            </w:r>
          </w:p>
        </w:tc>
        <w:tc>
          <w:tcPr>
            <w:tcW w:w="1701" w:type="dxa"/>
            <w:tcBorders>
              <w:top w:val="single" w:color="auto" w:sz="4" w:space="0"/>
              <w:left w:val="nil"/>
              <w:bottom w:val="single" w:color="auto" w:sz="4" w:space="0"/>
              <w:right w:val="single" w:color="auto" w:sz="4" w:space="0"/>
            </w:tcBorders>
            <w:shd w:val="clear" w:color="auto" w:fill="auto"/>
            <w:noWrap/>
          </w:tcPr>
          <w:p>
            <w:pPr>
              <w:jc w:val="center"/>
              <w:rPr>
                <w:rFonts w:ascii="宋体" w:hAnsi="宋体"/>
              </w:rPr>
            </w:pPr>
            <w:r>
              <w:rPr>
                <w:rFonts w:ascii="宋体" w:hAnsi="宋体"/>
              </w:rPr>
              <w:t xml:space="preserve">4,545 </w:t>
            </w:r>
          </w:p>
        </w:tc>
        <w:tc>
          <w:tcPr>
            <w:tcW w:w="1560" w:type="dxa"/>
            <w:tcBorders>
              <w:top w:val="single" w:color="auto" w:sz="4" w:space="0"/>
              <w:left w:val="nil"/>
              <w:bottom w:val="single" w:color="auto" w:sz="4" w:space="0"/>
              <w:right w:val="single" w:color="auto" w:sz="4" w:space="0"/>
            </w:tcBorders>
            <w:shd w:val="clear" w:color="auto" w:fill="auto"/>
            <w:noWrap/>
          </w:tcPr>
          <w:p>
            <w:pPr>
              <w:jc w:val="center"/>
              <w:rPr>
                <w:rFonts w:ascii="宋体" w:hAnsi="宋体"/>
              </w:rPr>
            </w:pPr>
            <w:r>
              <w:rPr>
                <w:rFonts w:ascii="宋体" w:hAnsi="宋体"/>
              </w:rPr>
              <w:t xml:space="preserve">1,427 </w:t>
            </w:r>
          </w:p>
        </w:tc>
      </w:tr>
      <w:bookmarkEnd w:id="59"/>
    </w:tbl>
    <w:p>
      <w:pPr>
        <w:rPr>
          <w:rFonts w:ascii="宋体" w:hAnsi="宋体"/>
        </w:rPr>
      </w:pPr>
    </w:p>
    <w:p>
      <w:pPr>
        <w:pStyle w:val="5"/>
        <w:numPr>
          <w:ilvl w:val="0"/>
          <w:numId w:val="12"/>
        </w:numPr>
        <w:rPr>
          <w:rFonts w:ascii="宋体" w:hAnsi="宋体" w:eastAsia="宋体"/>
        </w:rPr>
      </w:pPr>
      <w:r>
        <w:rPr>
          <w:rFonts w:ascii="宋体" w:hAnsi="宋体" w:eastAsia="宋体"/>
        </w:rPr>
        <w:t>截至报告期末主要资产受限情</w:t>
      </w:r>
      <w:r>
        <w:rPr>
          <w:rFonts w:hint="eastAsia" w:ascii="宋体" w:hAnsi="宋体" w:eastAsia="宋体"/>
        </w:rPr>
        <w:t>况</w:t>
      </w:r>
    </w:p>
    <w:bookmarkEnd w:id="56"/>
    <w:sdt>
      <w:sdtPr>
        <w:rPr>
          <w:rFonts w:hint="eastAsia" w:ascii="宋体" w:hAnsi="宋体"/>
        </w:rPr>
        <w:alias w:val="是否适用：主要资产受限情况[双击切换]"/>
        <w:tag w:val="_GBC_01311ee451194f52a953344cf249b1b9"/>
        <w:id w:val="2034221644"/>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主要资产受限情况"/>
        <w:tag w:val="_GBC_cb7fe3db517742e2a0cff2593f270f8e"/>
        <w:id w:val="1344127489"/>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截至</w:t>
          </w:r>
          <w:r>
            <w:rPr>
              <w:rFonts w:ascii="宋体" w:hAnsi="宋体"/>
            </w:rPr>
            <w:t>2023年末，本集团受限资产金额为</w:t>
          </w:r>
          <w:bookmarkStart w:id="60" w:name="_Hlk162189457"/>
          <w:r>
            <w:rPr>
              <w:rFonts w:ascii="宋体" w:hAnsi="宋体"/>
            </w:rPr>
            <w:t>977.13亿</w:t>
          </w:r>
          <w:bookmarkEnd w:id="60"/>
          <w:r>
            <w:rPr>
              <w:rFonts w:ascii="宋体" w:hAnsi="宋体"/>
            </w:rPr>
            <w:t>元，主要是</w:t>
          </w:r>
          <w:bookmarkStart w:id="61" w:name="_Hlk161602200"/>
          <w:r>
            <w:rPr>
              <w:rFonts w:hint="eastAsia" w:ascii="宋体" w:hAnsi="宋体"/>
            </w:rPr>
            <w:t>货币资金、应收款项融资及取得借款而抵押的相关资产</w:t>
          </w:r>
          <w:bookmarkEnd w:id="61"/>
          <w:r>
            <w:rPr>
              <w:rFonts w:ascii="宋体" w:hAnsi="宋体"/>
            </w:rPr>
            <w:t>。详情请见按中国会计准则编制的财务报告附注“合并财务报表主要项目注释—所有权或使用权受到限制的资产”。</w:t>
          </w:r>
        </w:p>
      </w:sdtContent>
    </w:sdt>
    <w:p>
      <w:pPr>
        <w:rPr>
          <w:rFonts w:ascii="宋体" w:hAnsi="宋体"/>
        </w:rPr>
      </w:pPr>
    </w:p>
    <w:p>
      <w:pPr>
        <w:pStyle w:val="5"/>
        <w:numPr>
          <w:ilvl w:val="0"/>
          <w:numId w:val="12"/>
        </w:numPr>
        <w:rPr>
          <w:rFonts w:ascii="宋体" w:hAnsi="宋体" w:eastAsia="宋体"/>
        </w:rPr>
      </w:pPr>
      <w:r>
        <w:rPr>
          <w:rFonts w:ascii="宋体" w:hAnsi="宋体" w:eastAsia="宋体"/>
        </w:rPr>
        <w:t>其他说明</w:t>
      </w:r>
    </w:p>
    <w:sdt>
      <w:sdtPr>
        <w:rPr>
          <w:rFonts w:hint="eastAsia" w:ascii="宋体" w:hAnsi="宋体"/>
        </w:rPr>
        <w:alias w:val="是否适用：资产及负债状况的其他说明[双击切换]"/>
        <w:tag w:val="_GBC_364e24c8cf1a4469ba88a4ae16e0417f"/>
        <w:id w:val="-8989820"/>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numPr>
          <w:ilvl w:val="0"/>
          <w:numId w:val="8"/>
        </w:numPr>
        <w:rPr>
          <w:rFonts w:ascii="宋体" w:hAnsi="宋体"/>
        </w:rPr>
      </w:pPr>
      <w:r>
        <w:rPr>
          <w:rFonts w:hint="eastAsia" w:ascii="宋体" w:hAnsi="宋体"/>
        </w:rPr>
        <w:t>行业经营性信息分析</w:t>
      </w:r>
    </w:p>
    <w:sdt>
      <w:sdtPr>
        <w:rPr>
          <w:rFonts w:hint="eastAsia" w:ascii="宋体" w:hAnsi="宋体"/>
        </w:rPr>
        <w:alias w:val="是否适用：行业经营性信息分析[双击切换]"/>
        <w:tag w:val="_GBC_8a02ac4934eb426ab273323b8694d88c"/>
        <w:id w:val="-556705454"/>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行业经营性信息分析"/>
        <w:tag w:val="_GBC_e16bc1aa6d5e4cdd94278d9bb9b9d44b"/>
        <w:id w:val="-89312973"/>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ascii="宋体" w:hAnsi="宋体"/>
            </w:rPr>
            <w:t>2023年度，本集团煤炭业务主要经营情况详情请见本节之“各业务分部经营情况”的相关内容。</w:t>
          </w:r>
        </w:p>
      </w:sdtContent>
    </w:sdt>
    <w:p>
      <w:pPr>
        <w:rPr>
          <w:rFonts w:ascii="宋体" w:hAnsi="宋体"/>
        </w:rPr>
        <w:sectPr>
          <w:pgSz w:w="11906" w:h="16838"/>
          <w:pgMar w:top="1440" w:right="1797" w:bottom="1525" w:left="1276" w:header="855" w:footer="992" w:gutter="0"/>
          <w:cols w:space="425" w:num="1"/>
          <w:docGrid w:type="lines" w:linePitch="312" w:charSpace="0"/>
        </w:sectPr>
      </w:pPr>
    </w:p>
    <w:sdt>
      <w:sdtPr>
        <w:alias w:val="煤炭主要经营情况"/>
        <w:tag w:val="_SEC_3fe2ceb3f87f4c319dc247c4a8d6611b"/>
        <w:id w:val="-863360751"/>
        <w:placeholder>
          <w:docPart w:val="FEAC71F4CBB347E0A60CDE12A52ED0F7"/>
        </w:placeholder>
        <w:showingPlcHdr/>
      </w:sdtPr>
      <w:sdtContent>
        <w:p>
          <w:pPr>
            <w:pStyle w:val="43"/>
          </w:pPr>
        </w:p>
      </w:sdtContent>
    </w:sdt>
    <w:p>
      <w:pPr>
        <w:pStyle w:val="6"/>
        <w:numPr>
          <w:ilvl w:val="0"/>
          <w:numId w:val="14"/>
        </w:numPr>
        <w:ind w:left="530"/>
        <w:rPr>
          <w:rFonts w:ascii="宋体" w:hAnsi="宋体"/>
          <w:bCs w:val="0"/>
          <w:szCs w:val="21"/>
        </w:rPr>
      </w:pPr>
      <w:r>
        <w:rPr>
          <w:rFonts w:hint="eastAsia" w:ascii="宋体" w:hAnsi="宋体"/>
          <w:bCs w:val="0"/>
          <w:szCs w:val="21"/>
        </w:rPr>
        <w:t>煤炭储量情况</w:t>
      </w:r>
    </w:p>
    <w:sdt>
      <w:sdtPr>
        <w:rPr>
          <w:rFonts w:hint="eastAsia" w:ascii="宋体" w:hAnsi="宋体"/>
        </w:rPr>
        <w:alias w:val="是否适用：煤炭储量情况[双击切换]"/>
        <w:tag w:val="_GBC_5deeb0e0f537429c850217d32425e9a4"/>
        <w:id w:val="-1193154912"/>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tbl>
      <w:tblPr>
        <w:tblStyle w:val="135"/>
        <w:tblW w:w="57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84"/>
        <w:gridCol w:w="1297"/>
        <w:gridCol w:w="1009"/>
        <w:gridCol w:w="1295"/>
        <w:gridCol w:w="1307"/>
        <w:gridCol w:w="1282"/>
        <w:gridCol w:w="1295"/>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vMerge w:val="restart"/>
            <w:vAlign w:val="center"/>
          </w:tcPr>
          <w:p>
            <w:pPr>
              <w:jc w:val="center"/>
              <w:rPr>
                <w:rFonts w:ascii="宋体" w:hAnsi="宋体"/>
              </w:rPr>
            </w:pPr>
            <w:r>
              <w:rPr>
                <w:rFonts w:hint="eastAsia" w:ascii="宋体" w:hAnsi="宋体"/>
              </w:rPr>
              <w:t>主要矿区</w:t>
            </w:r>
          </w:p>
        </w:tc>
        <w:tc>
          <w:tcPr>
            <w:tcW w:w="626" w:type="pct"/>
            <w:vMerge w:val="restart"/>
            <w:vAlign w:val="center"/>
          </w:tcPr>
          <w:p>
            <w:pPr>
              <w:jc w:val="center"/>
              <w:rPr>
                <w:rFonts w:ascii="宋体" w:hAnsi="宋体"/>
              </w:rPr>
            </w:pPr>
            <w:r>
              <w:rPr>
                <w:rFonts w:hint="eastAsia" w:ascii="宋体" w:hAnsi="宋体"/>
              </w:rPr>
              <w:t>地理位置</w:t>
            </w:r>
          </w:p>
        </w:tc>
        <w:tc>
          <w:tcPr>
            <w:tcW w:w="487" w:type="pct"/>
            <w:vMerge w:val="restart"/>
            <w:vAlign w:val="center"/>
          </w:tcPr>
          <w:p>
            <w:pPr>
              <w:jc w:val="center"/>
              <w:rPr>
                <w:rFonts w:ascii="宋体" w:hAnsi="宋体"/>
              </w:rPr>
            </w:pPr>
            <w:r>
              <w:rPr>
                <w:rFonts w:hint="eastAsia" w:ascii="宋体" w:hAnsi="宋体"/>
              </w:rPr>
              <w:t>主要煤种</w:t>
            </w:r>
          </w:p>
        </w:tc>
        <w:tc>
          <w:tcPr>
            <w:tcW w:w="1875" w:type="pct"/>
            <w:gridSpan w:val="3"/>
            <w:vAlign w:val="center"/>
          </w:tcPr>
          <w:p>
            <w:pPr>
              <w:jc w:val="center"/>
              <w:rPr>
                <w:rFonts w:ascii="宋体" w:hAnsi="宋体"/>
              </w:rPr>
            </w:pPr>
            <w:r>
              <w:rPr>
                <w:rFonts w:hint="eastAsia" w:ascii="宋体" w:hAnsi="宋体"/>
              </w:rPr>
              <w:t>中国国家标准</w:t>
            </w:r>
            <w:r>
              <w:rPr>
                <w:rFonts w:hint="eastAsia" w:ascii="宋体" w:hAnsi="宋体"/>
                <w:vertAlign w:val="superscript"/>
              </w:rPr>
              <w:t>①</w:t>
            </w:r>
          </w:p>
        </w:tc>
        <w:tc>
          <w:tcPr>
            <w:tcW w:w="1246" w:type="pct"/>
            <w:gridSpan w:val="2"/>
            <w:vAlign w:val="center"/>
          </w:tcPr>
          <w:p>
            <w:pPr>
              <w:jc w:val="center"/>
              <w:rPr>
                <w:rFonts w:ascii="宋体" w:hAnsi="宋体"/>
              </w:rPr>
            </w:pPr>
            <w:r>
              <w:rPr>
                <w:rFonts w:ascii="宋体" w:hAnsi="宋体"/>
              </w:rPr>
              <w:t>JORC规范</w:t>
            </w:r>
            <w:r>
              <w:rPr>
                <w:rFonts w:ascii="宋体" w:hAnsi="宋体"/>
                <w:vertAlign w:val="superscript"/>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vMerge w:val="continue"/>
            <w:vAlign w:val="center"/>
          </w:tcPr>
          <w:p>
            <w:pPr>
              <w:jc w:val="center"/>
              <w:rPr>
                <w:rFonts w:ascii="宋体" w:hAnsi="宋体"/>
              </w:rPr>
            </w:pPr>
          </w:p>
        </w:tc>
        <w:tc>
          <w:tcPr>
            <w:tcW w:w="626" w:type="pct"/>
            <w:vMerge w:val="continue"/>
            <w:vAlign w:val="center"/>
          </w:tcPr>
          <w:p>
            <w:pPr>
              <w:jc w:val="center"/>
              <w:rPr>
                <w:rFonts w:ascii="宋体" w:hAnsi="宋体"/>
              </w:rPr>
            </w:pPr>
          </w:p>
        </w:tc>
        <w:tc>
          <w:tcPr>
            <w:tcW w:w="487" w:type="pct"/>
            <w:vMerge w:val="continue"/>
            <w:vAlign w:val="center"/>
          </w:tcPr>
          <w:p>
            <w:pPr>
              <w:jc w:val="center"/>
              <w:rPr>
                <w:rFonts w:ascii="宋体" w:hAnsi="宋体"/>
              </w:rPr>
            </w:pPr>
          </w:p>
        </w:tc>
        <w:tc>
          <w:tcPr>
            <w:tcW w:w="625" w:type="pct"/>
            <w:vAlign w:val="center"/>
          </w:tcPr>
          <w:p>
            <w:pPr>
              <w:jc w:val="center"/>
              <w:rPr>
                <w:rFonts w:ascii="宋体" w:hAnsi="宋体"/>
              </w:rPr>
            </w:pPr>
            <w:r>
              <w:rPr>
                <w:rFonts w:hint="eastAsia" w:ascii="宋体" w:hAnsi="宋体"/>
              </w:rPr>
              <w:t>资源量</w:t>
            </w:r>
          </w:p>
          <w:p>
            <w:pPr>
              <w:jc w:val="center"/>
              <w:rPr>
                <w:rFonts w:ascii="宋体" w:hAnsi="宋体"/>
              </w:rPr>
            </w:pPr>
            <w:r>
              <w:rPr>
                <w:rFonts w:hint="eastAsia" w:ascii="宋体" w:hAnsi="宋体"/>
              </w:rPr>
              <w:t>（百万吨）</w:t>
            </w:r>
          </w:p>
        </w:tc>
        <w:tc>
          <w:tcPr>
            <w:tcW w:w="631" w:type="pct"/>
            <w:vAlign w:val="center"/>
          </w:tcPr>
          <w:p>
            <w:pPr>
              <w:jc w:val="center"/>
              <w:rPr>
                <w:rFonts w:ascii="宋体" w:hAnsi="宋体"/>
              </w:rPr>
            </w:pPr>
            <w:r>
              <w:rPr>
                <w:rFonts w:hint="eastAsia" w:ascii="宋体" w:hAnsi="宋体"/>
              </w:rPr>
              <w:t>证实储量</w:t>
            </w:r>
          </w:p>
          <w:p>
            <w:pPr>
              <w:jc w:val="center"/>
              <w:rPr>
                <w:rFonts w:ascii="宋体" w:hAnsi="宋体"/>
              </w:rPr>
            </w:pPr>
            <w:r>
              <w:rPr>
                <w:rFonts w:hint="eastAsia" w:ascii="宋体" w:hAnsi="宋体"/>
              </w:rPr>
              <w:t>（百万吨）</w:t>
            </w:r>
          </w:p>
        </w:tc>
        <w:tc>
          <w:tcPr>
            <w:tcW w:w="619" w:type="pct"/>
            <w:vAlign w:val="center"/>
          </w:tcPr>
          <w:p>
            <w:pPr>
              <w:jc w:val="center"/>
              <w:rPr>
                <w:rFonts w:ascii="宋体" w:hAnsi="宋体"/>
              </w:rPr>
            </w:pPr>
            <w:r>
              <w:rPr>
                <w:rFonts w:hint="eastAsia" w:ascii="宋体" w:hAnsi="宋体"/>
              </w:rPr>
              <w:t>可信储量</w:t>
            </w:r>
          </w:p>
          <w:p>
            <w:pPr>
              <w:jc w:val="center"/>
              <w:rPr>
                <w:rFonts w:ascii="宋体" w:hAnsi="宋体"/>
              </w:rPr>
            </w:pPr>
            <w:r>
              <w:rPr>
                <w:rFonts w:hint="eastAsia" w:ascii="宋体" w:hAnsi="宋体"/>
              </w:rPr>
              <w:t>（百万吨）</w:t>
            </w:r>
          </w:p>
        </w:tc>
        <w:tc>
          <w:tcPr>
            <w:tcW w:w="625" w:type="pct"/>
            <w:vAlign w:val="center"/>
          </w:tcPr>
          <w:p>
            <w:pPr>
              <w:jc w:val="center"/>
              <w:rPr>
                <w:rFonts w:ascii="宋体" w:hAnsi="宋体"/>
              </w:rPr>
            </w:pPr>
            <w:r>
              <w:rPr>
                <w:rFonts w:hint="eastAsia" w:ascii="宋体" w:hAnsi="宋体"/>
              </w:rPr>
              <w:t>原地资源量</w:t>
            </w:r>
          </w:p>
          <w:p>
            <w:pPr>
              <w:jc w:val="center"/>
              <w:rPr>
                <w:rFonts w:ascii="宋体" w:hAnsi="宋体"/>
              </w:rPr>
            </w:pPr>
            <w:r>
              <w:rPr>
                <w:rFonts w:hint="eastAsia" w:ascii="宋体" w:hAnsi="宋体"/>
              </w:rPr>
              <w:t>（百万吨）</w:t>
            </w:r>
          </w:p>
        </w:tc>
        <w:tc>
          <w:tcPr>
            <w:tcW w:w="621" w:type="pct"/>
            <w:vAlign w:val="center"/>
          </w:tcPr>
          <w:p>
            <w:pPr>
              <w:jc w:val="center"/>
              <w:rPr>
                <w:rFonts w:ascii="宋体" w:hAnsi="宋体"/>
              </w:rPr>
            </w:pPr>
            <w:r>
              <w:rPr>
                <w:rFonts w:hint="eastAsia" w:ascii="宋体" w:hAnsi="宋体"/>
              </w:rPr>
              <w:t>可采储量</w:t>
            </w:r>
          </w:p>
          <w:p>
            <w:pPr>
              <w:jc w:val="center"/>
              <w:rPr>
                <w:rFonts w:ascii="宋体" w:hAnsi="宋体"/>
              </w:rPr>
            </w:pPr>
            <w:r>
              <w:rPr>
                <w:rFonts w:hint="eastAsia" w:ascii="宋体" w:hAnsi="宋体"/>
              </w:rPr>
              <w:t>（百万吨）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公司所属煤矿</w:t>
            </w:r>
            <w:r>
              <w:rPr>
                <w:rFonts w:hint="eastAsia" w:ascii="宋体" w:hAnsi="宋体"/>
                <w:vertAlign w:val="superscript"/>
              </w:rPr>
              <w:t>④</w:t>
            </w:r>
          </w:p>
        </w:tc>
        <w:tc>
          <w:tcPr>
            <w:tcW w:w="62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山东省济宁市、内蒙古通辽市</w:t>
            </w:r>
          </w:p>
        </w:tc>
        <w:tc>
          <w:tcPr>
            <w:tcW w:w="487"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动力煤</w:t>
            </w:r>
          </w:p>
        </w:tc>
        <w:tc>
          <w:tcPr>
            <w:tcW w:w="625" w:type="pct"/>
            <w:vAlign w:val="center"/>
          </w:tcPr>
          <w:p>
            <w:pPr>
              <w:jc w:val="right"/>
              <w:rPr>
                <w:rFonts w:ascii="宋体" w:hAnsi="宋体"/>
              </w:rPr>
            </w:pPr>
            <w:r>
              <w:rPr>
                <w:rFonts w:ascii="宋体" w:hAnsi="宋体"/>
              </w:rPr>
              <w:t xml:space="preserve">4,143 </w:t>
            </w:r>
          </w:p>
        </w:tc>
        <w:tc>
          <w:tcPr>
            <w:tcW w:w="631" w:type="pct"/>
            <w:vAlign w:val="center"/>
          </w:tcPr>
          <w:p>
            <w:pPr>
              <w:jc w:val="right"/>
              <w:rPr>
                <w:rFonts w:ascii="宋体" w:hAnsi="宋体"/>
              </w:rPr>
            </w:pPr>
            <w:r>
              <w:rPr>
                <w:rFonts w:ascii="宋体" w:hAnsi="宋体"/>
              </w:rPr>
              <w:t xml:space="preserve">288 </w:t>
            </w:r>
          </w:p>
        </w:tc>
        <w:tc>
          <w:tcPr>
            <w:tcW w:w="619" w:type="pct"/>
            <w:vAlign w:val="center"/>
          </w:tcPr>
          <w:p>
            <w:pPr>
              <w:jc w:val="right"/>
              <w:rPr>
                <w:rFonts w:ascii="宋体" w:hAnsi="宋体"/>
              </w:rPr>
            </w:pPr>
            <w:r>
              <w:rPr>
                <w:rFonts w:ascii="宋体" w:hAnsi="宋体"/>
              </w:rPr>
              <w:t xml:space="preserve">140 </w:t>
            </w:r>
          </w:p>
        </w:tc>
        <w:tc>
          <w:tcPr>
            <w:tcW w:w="625" w:type="pct"/>
            <w:vAlign w:val="center"/>
          </w:tcPr>
          <w:p>
            <w:pPr>
              <w:jc w:val="right"/>
              <w:rPr>
                <w:rFonts w:ascii="宋体" w:hAnsi="宋体"/>
              </w:rPr>
            </w:pPr>
            <w:r>
              <w:rPr>
                <w:rFonts w:ascii="宋体" w:hAnsi="宋体"/>
              </w:rPr>
              <w:t xml:space="preserve">1,808 </w:t>
            </w:r>
          </w:p>
        </w:tc>
        <w:tc>
          <w:tcPr>
            <w:tcW w:w="621" w:type="pct"/>
            <w:vAlign w:val="center"/>
          </w:tcPr>
          <w:p>
            <w:pPr>
              <w:jc w:val="right"/>
              <w:rPr>
                <w:rFonts w:ascii="宋体" w:hAnsi="宋体"/>
              </w:rPr>
            </w:pPr>
            <w:r>
              <w:rPr>
                <w:rFonts w:ascii="宋体" w:hAnsi="宋体"/>
              </w:rPr>
              <w:t xml:space="preserve">260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菏泽能化所属煤矿</w:t>
            </w:r>
          </w:p>
        </w:tc>
        <w:tc>
          <w:tcPr>
            <w:tcW w:w="62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山东省菏泽市</w:t>
            </w:r>
          </w:p>
        </w:tc>
        <w:tc>
          <w:tcPr>
            <w:tcW w:w="487"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1/3焦煤</w:t>
            </w:r>
          </w:p>
        </w:tc>
        <w:tc>
          <w:tcPr>
            <w:tcW w:w="625" w:type="pct"/>
            <w:vAlign w:val="center"/>
          </w:tcPr>
          <w:p>
            <w:pPr>
              <w:jc w:val="right"/>
              <w:rPr>
                <w:rFonts w:ascii="宋体" w:hAnsi="宋体"/>
              </w:rPr>
            </w:pPr>
            <w:r>
              <w:rPr>
                <w:rFonts w:ascii="宋体" w:hAnsi="宋体"/>
              </w:rPr>
              <w:t xml:space="preserve">646 </w:t>
            </w:r>
          </w:p>
        </w:tc>
        <w:tc>
          <w:tcPr>
            <w:tcW w:w="631" w:type="pct"/>
            <w:vAlign w:val="center"/>
          </w:tcPr>
          <w:p>
            <w:pPr>
              <w:jc w:val="right"/>
              <w:rPr>
                <w:rFonts w:ascii="宋体" w:hAnsi="宋体"/>
              </w:rPr>
            </w:pPr>
            <w:r>
              <w:rPr>
                <w:rFonts w:ascii="宋体" w:hAnsi="宋体"/>
              </w:rPr>
              <w:t xml:space="preserve">163 </w:t>
            </w:r>
          </w:p>
        </w:tc>
        <w:tc>
          <w:tcPr>
            <w:tcW w:w="619" w:type="pct"/>
            <w:vAlign w:val="center"/>
          </w:tcPr>
          <w:p>
            <w:pPr>
              <w:jc w:val="right"/>
              <w:rPr>
                <w:rFonts w:ascii="宋体" w:hAnsi="宋体"/>
              </w:rPr>
            </w:pPr>
            <w:r>
              <w:rPr>
                <w:rFonts w:ascii="宋体" w:hAnsi="宋体"/>
              </w:rPr>
              <w:t xml:space="preserve">106 </w:t>
            </w:r>
          </w:p>
        </w:tc>
        <w:tc>
          <w:tcPr>
            <w:tcW w:w="625" w:type="pct"/>
            <w:vAlign w:val="center"/>
          </w:tcPr>
          <w:p>
            <w:pPr>
              <w:jc w:val="right"/>
              <w:rPr>
                <w:rFonts w:ascii="宋体" w:hAnsi="宋体"/>
              </w:rPr>
            </w:pPr>
            <w:r>
              <w:rPr>
                <w:rFonts w:ascii="宋体" w:hAnsi="宋体"/>
              </w:rPr>
              <w:t xml:space="preserve">163 </w:t>
            </w:r>
          </w:p>
        </w:tc>
        <w:tc>
          <w:tcPr>
            <w:tcW w:w="621" w:type="pct"/>
            <w:vAlign w:val="center"/>
          </w:tcPr>
          <w:p>
            <w:pPr>
              <w:jc w:val="right"/>
              <w:rPr>
                <w:rFonts w:ascii="宋体" w:hAnsi="宋体"/>
              </w:rPr>
            </w:pPr>
            <w:r>
              <w:rPr>
                <w:rFonts w:ascii="宋体" w:hAnsi="宋体"/>
              </w:rPr>
              <w:t xml:space="preserve">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鲁西矿业所属煤矿</w:t>
            </w:r>
          </w:p>
        </w:tc>
        <w:tc>
          <w:tcPr>
            <w:tcW w:w="62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山东省菏泽市</w:t>
            </w:r>
          </w:p>
        </w:tc>
        <w:tc>
          <w:tcPr>
            <w:tcW w:w="487"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1/3焦煤、动力煤</w:t>
            </w:r>
          </w:p>
        </w:tc>
        <w:tc>
          <w:tcPr>
            <w:tcW w:w="625" w:type="pct"/>
            <w:vAlign w:val="center"/>
          </w:tcPr>
          <w:p>
            <w:pPr>
              <w:jc w:val="right"/>
              <w:rPr>
                <w:rFonts w:ascii="宋体" w:hAnsi="宋体"/>
              </w:rPr>
            </w:pPr>
            <w:r>
              <w:rPr>
                <w:rFonts w:ascii="宋体" w:hAnsi="宋体"/>
              </w:rPr>
              <w:t xml:space="preserve">3,788 </w:t>
            </w:r>
          </w:p>
        </w:tc>
        <w:tc>
          <w:tcPr>
            <w:tcW w:w="631" w:type="pct"/>
            <w:vAlign w:val="center"/>
          </w:tcPr>
          <w:p>
            <w:pPr>
              <w:jc w:val="right"/>
              <w:rPr>
                <w:rFonts w:ascii="宋体" w:hAnsi="宋体"/>
              </w:rPr>
            </w:pPr>
            <w:r>
              <w:rPr>
                <w:rFonts w:ascii="宋体" w:hAnsi="宋体"/>
              </w:rPr>
              <w:t xml:space="preserve">476 </w:t>
            </w:r>
          </w:p>
        </w:tc>
        <w:tc>
          <w:tcPr>
            <w:tcW w:w="619" w:type="pct"/>
            <w:vAlign w:val="center"/>
          </w:tcPr>
          <w:p>
            <w:pPr>
              <w:jc w:val="right"/>
              <w:rPr>
                <w:rFonts w:ascii="宋体" w:hAnsi="宋体"/>
              </w:rPr>
            </w:pPr>
            <w:r>
              <w:rPr>
                <w:rFonts w:ascii="宋体" w:hAnsi="宋体"/>
              </w:rPr>
              <w:t xml:space="preserve">384 </w:t>
            </w:r>
          </w:p>
        </w:tc>
        <w:tc>
          <w:tcPr>
            <w:tcW w:w="625" w:type="pct"/>
            <w:vAlign w:val="center"/>
          </w:tcPr>
          <w:p>
            <w:pPr>
              <w:jc w:val="right"/>
              <w:rPr>
                <w:rFonts w:ascii="宋体" w:hAnsi="宋体"/>
              </w:rPr>
            </w:pPr>
            <w:r>
              <w:rPr>
                <w:rFonts w:ascii="宋体" w:hAnsi="宋体"/>
              </w:rPr>
              <w:t xml:space="preserve">1,822 </w:t>
            </w:r>
          </w:p>
        </w:tc>
        <w:tc>
          <w:tcPr>
            <w:tcW w:w="621" w:type="pct"/>
            <w:vAlign w:val="center"/>
          </w:tcPr>
          <w:p>
            <w:pPr>
              <w:jc w:val="right"/>
              <w:rPr>
                <w:rFonts w:ascii="宋体" w:hAnsi="宋体"/>
              </w:rPr>
            </w:pPr>
            <w:r>
              <w:rPr>
                <w:rFonts w:ascii="宋体" w:hAnsi="宋体"/>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天池能源所属煤矿</w:t>
            </w:r>
          </w:p>
        </w:tc>
        <w:tc>
          <w:tcPr>
            <w:tcW w:w="62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山西省和顺县</w:t>
            </w:r>
          </w:p>
        </w:tc>
        <w:tc>
          <w:tcPr>
            <w:tcW w:w="487"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动力煤</w:t>
            </w:r>
          </w:p>
        </w:tc>
        <w:tc>
          <w:tcPr>
            <w:tcW w:w="625" w:type="pct"/>
            <w:vAlign w:val="center"/>
          </w:tcPr>
          <w:p>
            <w:pPr>
              <w:jc w:val="right"/>
              <w:rPr>
                <w:rFonts w:ascii="宋体" w:hAnsi="宋体"/>
              </w:rPr>
            </w:pPr>
            <w:r>
              <w:rPr>
                <w:rFonts w:ascii="宋体" w:hAnsi="宋体"/>
              </w:rPr>
              <w:t xml:space="preserve">103 </w:t>
            </w:r>
          </w:p>
        </w:tc>
        <w:tc>
          <w:tcPr>
            <w:tcW w:w="631" w:type="pct"/>
            <w:vAlign w:val="center"/>
          </w:tcPr>
          <w:p>
            <w:pPr>
              <w:jc w:val="right"/>
              <w:rPr>
                <w:rFonts w:ascii="宋体" w:hAnsi="宋体"/>
              </w:rPr>
            </w:pPr>
            <w:r>
              <w:rPr>
                <w:rFonts w:ascii="宋体" w:hAnsi="宋体"/>
              </w:rPr>
              <w:t xml:space="preserve">33 </w:t>
            </w:r>
          </w:p>
        </w:tc>
        <w:tc>
          <w:tcPr>
            <w:tcW w:w="619" w:type="pct"/>
            <w:vAlign w:val="center"/>
          </w:tcPr>
          <w:p>
            <w:pPr>
              <w:jc w:val="right"/>
              <w:rPr>
                <w:rFonts w:ascii="宋体" w:hAnsi="宋体"/>
              </w:rPr>
            </w:pPr>
            <w:r>
              <w:rPr>
                <w:rFonts w:ascii="宋体" w:hAnsi="宋体"/>
              </w:rPr>
              <w:t xml:space="preserve">15 </w:t>
            </w:r>
          </w:p>
        </w:tc>
        <w:tc>
          <w:tcPr>
            <w:tcW w:w="625" w:type="pct"/>
            <w:vAlign w:val="center"/>
          </w:tcPr>
          <w:p>
            <w:pPr>
              <w:jc w:val="right"/>
              <w:rPr>
                <w:rFonts w:ascii="宋体" w:hAnsi="宋体"/>
              </w:rPr>
            </w:pPr>
            <w:r>
              <w:rPr>
                <w:rFonts w:ascii="宋体" w:hAnsi="宋体"/>
              </w:rPr>
              <w:t xml:space="preserve">45 </w:t>
            </w:r>
          </w:p>
        </w:tc>
        <w:tc>
          <w:tcPr>
            <w:tcW w:w="621" w:type="pct"/>
            <w:vAlign w:val="center"/>
          </w:tcPr>
          <w:p>
            <w:pPr>
              <w:jc w:val="right"/>
              <w:rPr>
                <w:rFonts w:ascii="宋体" w:hAnsi="宋体"/>
              </w:rPr>
            </w:pPr>
            <w:r>
              <w:rPr>
                <w:rFonts w:ascii="宋体" w:hAnsi="宋体"/>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未来能源所属煤矿</w:t>
            </w:r>
          </w:p>
        </w:tc>
        <w:tc>
          <w:tcPr>
            <w:tcW w:w="62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陕西省榆林市</w:t>
            </w:r>
          </w:p>
        </w:tc>
        <w:tc>
          <w:tcPr>
            <w:tcW w:w="487"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动力煤</w:t>
            </w:r>
          </w:p>
        </w:tc>
        <w:tc>
          <w:tcPr>
            <w:tcW w:w="625" w:type="pct"/>
            <w:vAlign w:val="center"/>
          </w:tcPr>
          <w:p>
            <w:pPr>
              <w:jc w:val="right"/>
              <w:rPr>
                <w:rFonts w:ascii="宋体" w:hAnsi="宋体"/>
              </w:rPr>
            </w:pPr>
            <w:r>
              <w:rPr>
                <w:rFonts w:ascii="宋体" w:hAnsi="宋体"/>
              </w:rPr>
              <w:t xml:space="preserve">1,611 </w:t>
            </w:r>
          </w:p>
        </w:tc>
        <w:tc>
          <w:tcPr>
            <w:tcW w:w="631" w:type="pct"/>
            <w:vAlign w:val="center"/>
          </w:tcPr>
          <w:p>
            <w:pPr>
              <w:jc w:val="right"/>
              <w:rPr>
                <w:rFonts w:ascii="宋体" w:hAnsi="宋体"/>
              </w:rPr>
            </w:pPr>
            <w:r>
              <w:rPr>
                <w:rFonts w:ascii="宋体" w:hAnsi="宋体"/>
              </w:rPr>
              <w:t xml:space="preserve">632 </w:t>
            </w:r>
          </w:p>
        </w:tc>
        <w:tc>
          <w:tcPr>
            <w:tcW w:w="619" w:type="pct"/>
            <w:vAlign w:val="center"/>
          </w:tcPr>
          <w:p>
            <w:pPr>
              <w:jc w:val="right"/>
              <w:rPr>
                <w:rFonts w:ascii="宋体" w:hAnsi="宋体"/>
              </w:rPr>
            </w:pPr>
            <w:r>
              <w:rPr>
                <w:rFonts w:ascii="宋体" w:hAnsi="宋体"/>
              </w:rPr>
              <w:t xml:space="preserve">226 </w:t>
            </w:r>
          </w:p>
        </w:tc>
        <w:tc>
          <w:tcPr>
            <w:tcW w:w="625" w:type="pct"/>
            <w:vAlign w:val="center"/>
          </w:tcPr>
          <w:p>
            <w:pPr>
              <w:jc w:val="right"/>
              <w:rPr>
                <w:rFonts w:ascii="宋体" w:hAnsi="宋体"/>
              </w:rPr>
            </w:pPr>
            <w:r>
              <w:rPr>
                <w:rFonts w:ascii="宋体" w:hAnsi="宋体"/>
              </w:rPr>
              <w:t xml:space="preserve">943 </w:t>
            </w:r>
          </w:p>
        </w:tc>
        <w:tc>
          <w:tcPr>
            <w:tcW w:w="621" w:type="pct"/>
            <w:vAlign w:val="center"/>
          </w:tcPr>
          <w:p>
            <w:pPr>
              <w:jc w:val="right"/>
              <w:rPr>
                <w:rFonts w:ascii="宋体" w:hAnsi="宋体"/>
              </w:rPr>
            </w:pPr>
            <w:r>
              <w:rPr>
                <w:rFonts w:ascii="宋体" w:hAnsi="宋体"/>
              </w:rPr>
              <w:t xml:space="preserve">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鄂尔多斯公司所属煤矿</w:t>
            </w:r>
          </w:p>
        </w:tc>
        <w:tc>
          <w:tcPr>
            <w:tcW w:w="62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内蒙古鄂尔多斯市</w:t>
            </w:r>
          </w:p>
        </w:tc>
        <w:tc>
          <w:tcPr>
            <w:tcW w:w="487"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动力煤</w:t>
            </w:r>
          </w:p>
        </w:tc>
        <w:tc>
          <w:tcPr>
            <w:tcW w:w="625" w:type="pct"/>
            <w:vAlign w:val="center"/>
          </w:tcPr>
          <w:p>
            <w:pPr>
              <w:jc w:val="right"/>
              <w:rPr>
                <w:rFonts w:ascii="宋体" w:hAnsi="宋体"/>
              </w:rPr>
            </w:pPr>
            <w:r>
              <w:rPr>
                <w:rFonts w:ascii="宋体" w:hAnsi="宋体"/>
              </w:rPr>
              <w:t xml:space="preserve">492 </w:t>
            </w:r>
          </w:p>
        </w:tc>
        <w:tc>
          <w:tcPr>
            <w:tcW w:w="631" w:type="pct"/>
            <w:vAlign w:val="center"/>
          </w:tcPr>
          <w:p>
            <w:pPr>
              <w:jc w:val="right"/>
              <w:rPr>
                <w:rFonts w:ascii="宋体" w:hAnsi="宋体"/>
              </w:rPr>
            </w:pPr>
            <w:r>
              <w:rPr>
                <w:rFonts w:ascii="宋体" w:hAnsi="宋体"/>
              </w:rPr>
              <w:t xml:space="preserve">196 </w:t>
            </w:r>
          </w:p>
        </w:tc>
        <w:tc>
          <w:tcPr>
            <w:tcW w:w="619" w:type="pct"/>
            <w:vAlign w:val="center"/>
          </w:tcPr>
          <w:p>
            <w:pPr>
              <w:jc w:val="right"/>
              <w:rPr>
                <w:rFonts w:ascii="宋体" w:hAnsi="宋体"/>
              </w:rPr>
            </w:pPr>
            <w:r>
              <w:rPr>
                <w:rFonts w:ascii="宋体" w:hAnsi="宋体"/>
              </w:rPr>
              <w:t xml:space="preserve">36 </w:t>
            </w:r>
          </w:p>
        </w:tc>
        <w:tc>
          <w:tcPr>
            <w:tcW w:w="625" w:type="pct"/>
            <w:vAlign w:val="center"/>
          </w:tcPr>
          <w:p>
            <w:pPr>
              <w:jc w:val="right"/>
              <w:rPr>
                <w:rFonts w:ascii="宋体" w:hAnsi="宋体"/>
              </w:rPr>
            </w:pPr>
            <w:r>
              <w:rPr>
                <w:rFonts w:ascii="宋体" w:hAnsi="宋体"/>
              </w:rPr>
              <w:t xml:space="preserve">307 </w:t>
            </w:r>
          </w:p>
        </w:tc>
        <w:tc>
          <w:tcPr>
            <w:tcW w:w="621" w:type="pct"/>
            <w:vAlign w:val="center"/>
          </w:tcPr>
          <w:p>
            <w:pPr>
              <w:jc w:val="right"/>
              <w:rPr>
                <w:rFonts w:ascii="宋体" w:hAnsi="宋体"/>
              </w:rPr>
            </w:pPr>
            <w:r>
              <w:rPr>
                <w:rFonts w:ascii="宋体" w:hAnsi="宋体"/>
              </w:rPr>
              <w:t xml:space="preserve">205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昊盛煤业所属煤矿</w:t>
            </w:r>
          </w:p>
        </w:tc>
        <w:tc>
          <w:tcPr>
            <w:tcW w:w="62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内蒙古鄂尔多斯市</w:t>
            </w:r>
          </w:p>
        </w:tc>
        <w:tc>
          <w:tcPr>
            <w:tcW w:w="487"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动力煤</w:t>
            </w:r>
          </w:p>
        </w:tc>
        <w:tc>
          <w:tcPr>
            <w:tcW w:w="625" w:type="pct"/>
            <w:vAlign w:val="center"/>
          </w:tcPr>
          <w:p>
            <w:pPr>
              <w:jc w:val="right"/>
              <w:rPr>
                <w:rFonts w:ascii="宋体" w:hAnsi="宋体"/>
              </w:rPr>
            </w:pPr>
            <w:r>
              <w:rPr>
                <w:rFonts w:ascii="宋体" w:hAnsi="宋体"/>
              </w:rPr>
              <w:t xml:space="preserve">2,310 </w:t>
            </w:r>
          </w:p>
        </w:tc>
        <w:tc>
          <w:tcPr>
            <w:tcW w:w="631" w:type="pct"/>
            <w:vAlign w:val="center"/>
          </w:tcPr>
          <w:p>
            <w:pPr>
              <w:jc w:val="right"/>
              <w:rPr>
                <w:rFonts w:ascii="宋体" w:hAnsi="宋体"/>
              </w:rPr>
            </w:pPr>
            <w:r>
              <w:rPr>
                <w:rFonts w:ascii="宋体" w:hAnsi="宋体"/>
              </w:rPr>
              <w:t xml:space="preserve">679 </w:t>
            </w:r>
          </w:p>
        </w:tc>
        <w:tc>
          <w:tcPr>
            <w:tcW w:w="619" w:type="pct"/>
            <w:vAlign w:val="center"/>
          </w:tcPr>
          <w:p>
            <w:pPr>
              <w:jc w:val="right"/>
              <w:rPr>
                <w:rFonts w:ascii="宋体" w:hAnsi="宋体"/>
              </w:rPr>
            </w:pPr>
            <w:r>
              <w:rPr>
                <w:rFonts w:ascii="宋体" w:hAnsi="宋体"/>
              </w:rPr>
              <w:t xml:space="preserve">386 </w:t>
            </w:r>
          </w:p>
        </w:tc>
        <w:tc>
          <w:tcPr>
            <w:tcW w:w="625" w:type="pct"/>
            <w:vAlign w:val="center"/>
          </w:tcPr>
          <w:p>
            <w:pPr>
              <w:jc w:val="right"/>
              <w:rPr>
                <w:rFonts w:ascii="宋体" w:hAnsi="宋体"/>
              </w:rPr>
            </w:pPr>
            <w:r>
              <w:rPr>
                <w:rFonts w:ascii="宋体" w:hAnsi="宋体"/>
              </w:rPr>
              <w:t xml:space="preserve">729 </w:t>
            </w:r>
          </w:p>
        </w:tc>
        <w:tc>
          <w:tcPr>
            <w:tcW w:w="621" w:type="pct"/>
            <w:vAlign w:val="center"/>
          </w:tcPr>
          <w:p>
            <w:pPr>
              <w:jc w:val="right"/>
              <w:rPr>
                <w:rFonts w:ascii="宋体" w:hAnsi="宋体"/>
              </w:rPr>
            </w:pPr>
            <w:r>
              <w:rPr>
                <w:rFonts w:ascii="宋体" w:hAnsi="宋体"/>
              </w:rPr>
              <w:t xml:space="preserve">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Pr>
          <w:p>
            <w:pPr>
              <w:rPr>
                <w:rFonts w:ascii="宋体" w:hAnsi="宋体"/>
              </w:rPr>
            </w:pPr>
            <w:r>
              <w:rPr>
                <w:rFonts w:hint="eastAsia" w:ascii="宋体" w:hAnsi="宋体"/>
              </w:rPr>
              <w:t>内蒙古矿业所属矿区</w:t>
            </w:r>
            <w:r>
              <w:rPr>
                <w:rFonts w:hint="eastAsia" w:ascii="宋体" w:hAnsi="宋体"/>
                <w:vertAlign w:val="superscript"/>
              </w:rPr>
              <w:t>③</w:t>
            </w:r>
          </w:p>
        </w:tc>
        <w:tc>
          <w:tcPr>
            <w:tcW w:w="626" w:type="pct"/>
            <w:vAlign w:val="center"/>
          </w:tcPr>
          <w:p>
            <w:pPr>
              <w:rPr>
                <w:rFonts w:ascii="宋体" w:hAnsi="宋体"/>
              </w:rPr>
            </w:pPr>
            <w:r>
              <w:rPr>
                <w:rFonts w:hint="eastAsia" w:ascii="宋体" w:hAnsi="宋体"/>
              </w:rPr>
              <w:t>内蒙古鄂尔多斯市</w:t>
            </w:r>
          </w:p>
        </w:tc>
        <w:tc>
          <w:tcPr>
            <w:tcW w:w="487" w:type="pct"/>
            <w:vAlign w:val="center"/>
          </w:tcPr>
          <w:p>
            <w:pPr>
              <w:rPr>
                <w:rFonts w:ascii="宋体" w:hAnsi="宋体"/>
              </w:rPr>
            </w:pPr>
            <w:r>
              <w:rPr>
                <w:rFonts w:hint="eastAsia" w:ascii="宋体" w:hAnsi="宋体"/>
              </w:rPr>
              <w:t>动力煤</w:t>
            </w:r>
          </w:p>
        </w:tc>
        <w:tc>
          <w:tcPr>
            <w:tcW w:w="625" w:type="pct"/>
            <w:vAlign w:val="center"/>
          </w:tcPr>
          <w:p>
            <w:pPr>
              <w:jc w:val="right"/>
              <w:rPr>
                <w:rFonts w:ascii="宋体" w:hAnsi="宋体"/>
              </w:rPr>
            </w:pPr>
            <w:r>
              <w:rPr>
                <w:rFonts w:ascii="宋体" w:hAnsi="宋体"/>
              </w:rPr>
              <w:t xml:space="preserve">6,430 </w:t>
            </w:r>
          </w:p>
        </w:tc>
        <w:tc>
          <w:tcPr>
            <w:tcW w:w="631" w:type="pct"/>
            <w:vAlign w:val="center"/>
          </w:tcPr>
          <w:p>
            <w:pPr>
              <w:jc w:val="right"/>
              <w:rPr>
                <w:rFonts w:ascii="宋体" w:hAnsi="宋体"/>
              </w:rPr>
            </w:pPr>
            <w:r>
              <w:rPr>
                <w:rFonts w:ascii="宋体" w:hAnsi="宋体"/>
              </w:rPr>
              <w:t xml:space="preserve">1,039 </w:t>
            </w:r>
          </w:p>
        </w:tc>
        <w:tc>
          <w:tcPr>
            <w:tcW w:w="619" w:type="pct"/>
            <w:vAlign w:val="center"/>
          </w:tcPr>
          <w:p>
            <w:pPr>
              <w:jc w:val="right"/>
              <w:rPr>
                <w:rFonts w:ascii="宋体" w:hAnsi="宋体"/>
              </w:rPr>
            </w:pPr>
            <w:r>
              <w:rPr>
                <w:rFonts w:ascii="宋体" w:hAnsi="宋体"/>
              </w:rPr>
              <w:t xml:space="preserve">447 </w:t>
            </w:r>
          </w:p>
        </w:tc>
        <w:tc>
          <w:tcPr>
            <w:tcW w:w="625" w:type="pct"/>
            <w:vAlign w:val="center"/>
          </w:tcPr>
          <w:p>
            <w:pPr>
              <w:jc w:val="right"/>
              <w:rPr>
                <w:rFonts w:ascii="宋体" w:hAnsi="宋体"/>
              </w:rPr>
            </w:pPr>
            <w:r>
              <w:rPr>
                <w:rFonts w:ascii="宋体" w:hAnsi="宋体"/>
              </w:rPr>
              <w:t xml:space="preserve">6,113 </w:t>
            </w:r>
          </w:p>
        </w:tc>
        <w:tc>
          <w:tcPr>
            <w:tcW w:w="621" w:type="pct"/>
            <w:vAlign w:val="center"/>
          </w:tcPr>
          <w:p>
            <w:pPr>
              <w:jc w:val="right"/>
              <w:rPr>
                <w:rFonts w:ascii="宋体" w:hAnsi="宋体"/>
              </w:rPr>
            </w:pPr>
            <w:r>
              <w:rPr>
                <w:rFonts w:ascii="宋体" w:hAnsi="宋体"/>
              </w:rPr>
              <w:t xml:space="preserve">1,415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Pr>
          <w:p>
            <w:pPr>
              <w:rPr>
                <w:rFonts w:ascii="宋体" w:hAnsi="宋体"/>
              </w:rPr>
            </w:pPr>
            <w:r>
              <w:rPr>
                <w:rFonts w:hint="eastAsia" w:ascii="宋体" w:hAnsi="宋体"/>
              </w:rPr>
              <w:t>新疆能化所属矿区</w:t>
            </w:r>
          </w:p>
        </w:tc>
        <w:tc>
          <w:tcPr>
            <w:tcW w:w="626" w:type="pct"/>
            <w:vAlign w:val="center"/>
          </w:tcPr>
          <w:p>
            <w:pPr>
              <w:rPr>
                <w:rFonts w:ascii="宋体" w:hAnsi="宋体"/>
              </w:rPr>
            </w:pPr>
            <w:r>
              <w:rPr>
                <w:rFonts w:hint="eastAsia" w:ascii="宋体" w:hAnsi="宋体"/>
              </w:rPr>
              <w:t>新疆伊犁州、昌吉州</w:t>
            </w:r>
          </w:p>
        </w:tc>
        <w:tc>
          <w:tcPr>
            <w:tcW w:w="487" w:type="pct"/>
            <w:vAlign w:val="center"/>
          </w:tcPr>
          <w:p>
            <w:pPr>
              <w:rPr>
                <w:rFonts w:ascii="宋体" w:hAnsi="宋体"/>
              </w:rPr>
            </w:pPr>
            <w:r>
              <w:rPr>
                <w:rFonts w:hint="eastAsia" w:ascii="宋体" w:hAnsi="宋体"/>
              </w:rPr>
              <w:t>动力煤</w:t>
            </w:r>
          </w:p>
        </w:tc>
        <w:tc>
          <w:tcPr>
            <w:tcW w:w="625" w:type="pct"/>
            <w:vAlign w:val="center"/>
          </w:tcPr>
          <w:p>
            <w:pPr>
              <w:jc w:val="right"/>
              <w:rPr>
                <w:rFonts w:ascii="宋体" w:hAnsi="宋体"/>
              </w:rPr>
            </w:pPr>
            <w:r>
              <w:rPr>
                <w:rFonts w:ascii="宋体" w:hAnsi="宋体"/>
              </w:rPr>
              <w:t xml:space="preserve">27,285 </w:t>
            </w:r>
          </w:p>
        </w:tc>
        <w:tc>
          <w:tcPr>
            <w:tcW w:w="631" w:type="pct"/>
            <w:vAlign w:val="center"/>
          </w:tcPr>
          <w:p>
            <w:pPr>
              <w:jc w:val="right"/>
              <w:rPr>
                <w:rFonts w:ascii="宋体" w:hAnsi="宋体"/>
              </w:rPr>
            </w:pPr>
            <w:r>
              <w:rPr>
                <w:rFonts w:ascii="宋体" w:hAnsi="宋体"/>
              </w:rPr>
              <w:t xml:space="preserve">1,356 </w:t>
            </w:r>
          </w:p>
        </w:tc>
        <w:tc>
          <w:tcPr>
            <w:tcW w:w="619" w:type="pct"/>
            <w:vAlign w:val="center"/>
          </w:tcPr>
          <w:p>
            <w:pPr>
              <w:jc w:val="right"/>
              <w:rPr>
                <w:rFonts w:ascii="宋体" w:hAnsi="宋体"/>
              </w:rPr>
            </w:pPr>
            <w:r>
              <w:rPr>
                <w:rFonts w:ascii="宋体" w:hAnsi="宋体"/>
              </w:rPr>
              <w:t xml:space="preserve">987 </w:t>
            </w:r>
          </w:p>
        </w:tc>
        <w:tc>
          <w:tcPr>
            <w:tcW w:w="625" w:type="pct"/>
            <w:vAlign w:val="center"/>
          </w:tcPr>
          <w:p>
            <w:pPr>
              <w:jc w:val="right"/>
              <w:rPr>
                <w:rFonts w:ascii="宋体" w:hAnsi="宋体"/>
              </w:rPr>
            </w:pPr>
            <w:r>
              <w:rPr>
                <w:rFonts w:ascii="宋体" w:hAnsi="宋体"/>
                <w:color w:val="000000" w:themeColor="text1"/>
                <w14:textFill>
                  <w14:solidFill>
                    <w14:schemeClr w14:val="tx1"/>
                  </w14:solidFill>
                </w14:textFill>
              </w:rPr>
              <w:t xml:space="preserve">26,418 </w:t>
            </w:r>
          </w:p>
        </w:tc>
        <w:tc>
          <w:tcPr>
            <w:tcW w:w="621" w:type="pct"/>
            <w:vAlign w:val="center"/>
          </w:tcPr>
          <w:p>
            <w:pPr>
              <w:jc w:val="right"/>
              <w:rPr>
                <w:rFonts w:ascii="宋体" w:hAnsi="宋体"/>
              </w:rPr>
            </w:pPr>
            <w:r>
              <w:rPr>
                <w:rFonts w:ascii="宋体" w:hAnsi="宋体"/>
              </w:rPr>
              <w:t xml:space="preserve">1,349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Pr>
          <w:p>
            <w:pPr>
              <w:rPr>
                <w:rFonts w:ascii="宋体" w:hAnsi="宋体"/>
                <w:b/>
                <w:bCs/>
              </w:rPr>
            </w:pPr>
            <w:r>
              <w:rPr>
                <w:rFonts w:hint="eastAsia" w:ascii="宋体" w:hAnsi="宋体"/>
                <w:b/>
                <w:bCs/>
              </w:rPr>
              <w:t>境内矿井煤炭储量小计</w:t>
            </w:r>
          </w:p>
        </w:tc>
        <w:tc>
          <w:tcPr>
            <w:tcW w:w="626" w:type="pct"/>
            <w:vAlign w:val="center"/>
          </w:tcPr>
          <w:p>
            <w:pPr>
              <w:rPr>
                <w:rFonts w:ascii="宋体" w:hAnsi="宋体"/>
              </w:rPr>
            </w:pPr>
            <w:r>
              <w:rPr>
                <w:rFonts w:hint="eastAsia" w:ascii="宋体" w:hAnsi="宋体"/>
              </w:rPr>
              <w:t>-</w:t>
            </w:r>
          </w:p>
        </w:tc>
        <w:tc>
          <w:tcPr>
            <w:tcW w:w="487" w:type="pct"/>
            <w:vAlign w:val="center"/>
          </w:tcPr>
          <w:p>
            <w:pPr>
              <w:rPr>
                <w:rFonts w:ascii="宋体" w:hAnsi="宋体"/>
              </w:rPr>
            </w:pPr>
            <w:r>
              <w:rPr>
                <w:rFonts w:hint="eastAsia" w:ascii="宋体" w:hAnsi="宋体"/>
              </w:rPr>
              <w:t>-</w:t>
            </w:r>
          </w:p>
        </w:tc>
        <w:tc>
          <w:tcPr>
            <w:tcW w:w="625" w:type="pct"/>
            <w:vAlign w:val="center"/>
          </w:tcPr>
          <w:p>
            <w:pPr>
              <w:jc w:val="right"/>
              <w:rPr>
                <w:rFonts w:ascii="宋体" w:hAnsi="宋体"/>
              </w:rPr>
            </w:pPr>
            <w:r>
              <w:rPr>
                <w:rFonts w:ascii="宋体" w:hAnsi="宋体"/>
              </w:rPr>
              <w:t xml:space="preserve">46,807 </w:t>
            </w:r>
          </w:p>
        </w:tc>
        <w:tc>
          <w:tcPr>
            <w:tcW w:w="631" w:type="pct"/>
            <w:vAlign w:val="center"/>
          </w:tcPr>
          <w:p>
            <w:pPr>
              <w:jc w:val="right"/>
              <w:rPr>
                <w:rFonts w:ascii="宋体" w:hAnsi="宋体"/>
              </w:rPr>
            </w:pPr>
            <w:r>
              <w:rPr>
                <w:rFonts w:ascii="宋体" w:hAnsi="宋体"/>
              </w:rPr>
              <w:t xml:space="preserve">4,862 </w:t>
            </w:r>
          </w:p>
        </w:tc>
        <w:tc>
          <w:tcPr>
            <w:tcW w:w="619" w:type="pct"/>
            <w:vAlign w:val="center"/>
          </w:tcPr>
          <w:p>
            <w:pPr>
              <w:jc w:val="right"/>
              <w:rPr>
                <w:rFonts w:ascii="宋体" w:hAnsi="宋体"/>
              </w:rPr>
            </w:pPr>
            <w:r>
              <w:rPr>
                <w:rFonts w:ascii="宋体" w:hAnsi="宋体"/>
              </w:rPr>
              <w:t xml:space="preserve">2,728 </w:t>
            </w:r>
          </w:p>
        </w:tc>
        <w:tc>
          <w:tcPr>
            <w:tcW w:w="625" w:type="pct"/>
            <w:vAlign w:val="center"/>
          </w:tcPr>
          <w:p>
            <w:pPr>
              <w:jc w:val="right"/>
              <w:rPr>
                <w:rFonts w:ascii="宋体" w:hAnsi="宋体"/>
              </w:rPr>
            </w:pPr>
            <w:r>
              <w:rPr>
                <w:rFonts w:ascii="宋体" w:hAnsi="宋体"/>
              </w:rPr>
              <w:t xml:space="preserve">38,349 </w:t>
            </w:r>
          </w:p>
        </w:tc>
        <w:tc>
          <w:tcPr>
            <w:tcW w:w="621" w:type="pct"/>
            <w:vAlign w:val="center"/>
          </w:tcPr>
          <w:p>
            <w:pPr>
              <w:jc w:val="right"/>
              <w:rPr>
                <w:rFonts w:ascii="宋体" w:hAnsi="宋体"/>
              </w:rPr>
            </w:pPr>
            <w:r>
              <w:rPr>
                <w:rFonts w:ascii="宋体" w:hAnsi="宋体"/>
              </w:rPr>
              <w:t xml:space="preserve">4,588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兖煤澳洲所属煤矿</w:t>
            </w:r>
          </w:p>
        </w:tc>
        <w:tc>
          <w:tcPr>
            <w:tcW w:w="62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昆士兰州及新南威尔士州</w:t>
            </w:r>
          </w:p>
        </w:tc>
        <w:tc>
          <w:tcPr>
            <w:tcW w:w="487"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喷吹煤、动力煤、半软焦煤、半硬焦煤</w:t>
            </w:r>
          </w:p>
        </w:tc>
        <w:tc>
          <w:tcPr>
            <w:tcW w:w="625" w:type="pct"/>
            <w:vAlign w:val="center"/>
          </w:tcPr>
          <w:p>
            <w:pPr>
              <w:jc w:val="right"/>
              <w:rPr>
                <w:rFonts w:ascii="宋体" w:hAnsi="宋体"/>
              </w:rPr>
            </w:pPr>
            <w:r>
              <w:t>/</w:t>
            </w:r>
          </w:p>
        </w:tc>
        <w:tc>
          <w:tcPr>
            <w:tcW w:w="631" w:type="pct"/>
            <w:vAlign w:val="center"/>
          </w:tcPr>
          <w:p>
            <w:pPr>
              <w:jc w:val="right"/>
              <w:rPr>
                <w:rFonts w:ascii="宋体" w:hAnsi="宋体"/>
              </w:rPr>
            </w:pPr>
            <w:r>
              <w:t>/</w:t>
            </w:r>
          </w:p>
        </w:tc>
        <w:tc>
          <w:tcPr>
            <w:tcW w:w="619" w:type="pct"/>
            <w:vAlign w:val="center"/>
          </w:tcPr>
          <w:p>
            <w:pPr>
              <w:jc w:val="right"/>
              <w:rPr>
                <w:rFonts w:ascii="宋体" w:hAnsi="宋体"/>
              </w:rPr>
            </w:pPr>
            <w:r>
              <w:t>/</w:t>
            </w:r>
          </w:p>
        </w:tc>
        <w:tc>
          <w:tcPr>
            <w:tcW w:w="625" w:type="pct"/>
            <w:vAlign w:val="center"/>
          </w:tcPr>
          <w:p>
            <w:pPr>
              <w:jc w:val="right"/>
              <w:rPr>
                <w:rFonts w:ascii="宋体" w:hAnsi="宋体"/>
              </w:rPr>
            </w:pPr>
            <w:r>
              <w:rPr>
                <w:rFonts w:ascii="宋体" w:hAnsi="宋体"/>
              </w:rPr>
              <w:t xml:space="preserve">7,207 </w:t>
            </w:r>
          </w:p>
        </w:tc>
        <w:tc>
          <w:tcPr>
            <w:tcW w:w="621" w:type="pct"/>
            <w:vAlign w:val="center"/>
          </w:tcPr>
          <w:p>
            <w:pPr>
              <w:jc w:val="right"/>
              <w:rPr>
                <w:rFonts w:ascii="宋体" w:hAnsi="宋体"/>
              </w:rPr>
            </w:pPr>
            <w:r>
              <w:rPr>
                <w:rFonts w:ascii="宋体" w:hAnsi="宋体"/>
              </w:rPr>
              <w:t xml:space="preserve">1,440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兖煤国际所属煤矿</w:t>
            </w:r>
          </w:p>
        </w:tc>
        <w:tc>
          <w:tcPr>
            <w:tcW w:w="62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昆士兰州及西澳大利亚州</w:t>
            </w:r>
          </w:p>
        </w:tc>
        <w:tc>
          <w:tcPr>
            <w:tcW w:w="487"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喷吹煤、动力煤</w:t>
            </w:r>
          </w:p>
        </w:tc>
        <w:tc>
          <w:tcPr>
            <w:tcW w:w="625" w:type="pct"/>
            <w:vAlign w:val="center"/>
          </w:tcPr>
          <w:p>
            <w:pPr>
              <w:jc w:val="right"/>
              <w:rPr>
                <w:rFonts w:ascii="宋体" w:hAnsi="宋体"/>
              </w:rPr>
            </w:pPr>
            <w:r>
              <w:t>/</w:t>
            </w:r>
          </w:p>
        </w:tc>
        <w:tc>
          <w:tcPr>
            <w:tcW w:w="631" w:type="pct"/>
            <w:vAlign w:val="center"/>
          </w:tcPr>
          <w:p>
            <w:pPr>
              <w:jc w:val="right"/>
              <w:rPr>
                <w:rFonts w:ascii="宋体" w:hAnsi="宋体"/>
              </w:rPr>
            </w:pPr>
            <w:r>
              <w:t>/</w:t>
            </w:r>
          </w:p>
        </w:tc>
        <w:tc>
          <w:tcPr>
            <w:tcW w:w="619" w:type="pct"/>
            <w:vAlign w:val="center"/>
          </w:tcPr>
          <w:p>
            <w:pPr>
              <w:jc w:val="right"/>
              <w:rPr>
                <w:rFonts w:ascii="宋体" w:hAnsi="宋体"/>
              </w:rPr>
            </w:pPr>
            <w:r>
              <w:t>/</w:t>
            </w:r>
          </w:p>
        </w:tc>
        <w:tc>
          <w:tcPr>
            <w:tcW w:w="625" w:type="pct"/>
            <w:vAlign w:val="center"/>
          </w:tcPr>
          <w:p>
            <w:pPr>
              <w:jc w:val="right"/>
              <w:rPr>
                <w:rFonts w:ascii="宋体" w:hAnsi="宋体"/>
              </w:rPr>
            </w:pPr>
            <w:r>
              <w:rPr>
                <w:rFonts w:ascii="宋体" w:hAnsi="宋体"/>
              </w:rPr>
              <w:t xml:space="preserve">1,541 </w:t>
            </w:r>
          </w:p>
        </w:tc>
        <w:tc>
          <w:tcPr>
            <w:tcW w:w="621" w:type="pct"/>
            <w:vAlign w:val="center"/>
          </w:tcPr>
          <w:p>
            <w:pPr>
              <w:jc w:val="right"/>
              <w:rPr>
                <w:rFonts w:ascii="宋体" w:hAnsi="宋体"/>
              </w:rPr>
            </w:pPr>
            <w:r>
              <w:rPr>
                <w:rFonts w:ascii="宋体" w:hAnsi="宋体"/>
              </w:rPr>
              <w:t xml:space="preserve">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Pr>
          <w:p>
            <w:pPr>
              <w:jc w:val="center"/>
              <w:rPr>
                <w:rFonts w:ascii="宋体" w:hAnsi="宋体"/>
              </w:rPr>
            </w:pPr>
            <w:r>
              <w:rPr>
                <w:rFonts w:hint="eastAsia" w:ascii="宋体" w:hAnsi="宋体"/>
                <w:b/>
                <w:bCs/>
              </w:rPr>
              <w:t>境外矿井煤炭储量小计</w:t>
            </w:r>
          </w:p>
        </w:tc>
        <w:tc>
          <w:tcPr>
            <w:tcW w:w="626" w:type="pct"/>
            <w:vAlign w:val="center"/>
          </w:tcPr>
          <w:p>
            <w:pPr>
              <w:rPr>
                <w:rFonts w:ascii="宋体" w:hAnsi="宋体"/>
              </w:rPr>
            </w:pPr>
            <w:r>
              <w:rPr>
                <w:rFonts w:hint="eastAsia" w:ascii="宋体" w:hAnsi="宋体"/>
              </w:rPr>
              <w:t>-</w:t>
            </w:r>
          </w:p>
        </w:tc>
        <w:tc>
          <w:tcPr>
            <w:tcW w:w="487" w:type="pct"/>
            <w:vAlign w:val="center"/>
          </w:tcPr>
          <w:p>
            <w:pPr>
              <w:rPr>
                <w:rFonts w:ascii="宋体" w:hAnsi="宋体"/>
              </w:rPr>
            </w:pPr>
            <w:r>
              <w:rPr>
                <w:rFonts w:hint="eastAsia" w:ascii="宋体" w:hAnsi="宋体"/>
              </w:rPr>
              <w:t>-</w:t>
            </w:r>
          </w:p>
        </w:tc>
        <w:tc>
          <w:tcPr>
            <w:tcW w:w="625" w:type="pct"/>
            <w:vAlign w:val="center"/>
          </w:tcPr>
          <w:p>
            <w:pPr>
              <w:jc w:val="right"/>
              <w:rPr>
                <w:rFonts w:ascii="宋体" w:hAnsi="宋体"/>
              </w:rPr>
            </w:pPr>
            <w:r>
              <w:t>/</w:t>
            </w:r>
          </w:p>
        </w:tc>
        <w:tc>
          <w:tcPr>
            <w:tcW w:w="631" w:type="pct"/>
            <w:vAlign w:val="center"/>
          </w:tcPr>
          <w:p>
            <w:pPr>
              <w:jc w:val="right"/>
              <w:rPr>
                <w:rFonts w:ascii="宋体" w:hAnsi="宋体"/>
              </w:rPr>
            </w:pPr>
            <w:r>
              <w:t>/</w:t>
            </w:r>
          </w:p>
        </w:tc>
        <w:tc>
          <w:tcPr>
            <w:tcW w:w="619" w:type="pct"/>
            <w:vAlign w:val="center"/>
          </w:tcPr>
          <w:p>
            <w:pPr>
              <w:jc w:val="right"/>
              <w:rPr>
                <w:rFonts w:ascii="宋体" w:hAnsi="宋体"/>
              </w:rPr>
            </w:pPr>
            <w:r>
              <w:t>/</w:t>
            </w:r>
          </w:p>
        </w:tc>
        <w:tc>
          <w:tcPr>
            <w:tcW w:w="625" w:type="pct"/>
            <w:vAlign w:val="center"/>
          </w:tcPr>
          <w:p>
            <w:pPr>
              <w:jc w:val="right"/>
              <w:rPr>
                <w:rFonts w:ascii="宋体" w:hAnsi="宋体"/>
              </w:rPr>
            </w:pPr>
            <w:r>
              <w:rPr>
                <w:rFonts w:ascii="宋体" w:hAnsi="宋体"/>
              </w:rPr>
              <w:t xml:space="preserve">8,748 </w:t>
            </w:r>
          </w:p>
        </w:tc>
        <w:tc>
          <w:tcPr>
            <w:tcW w:w="621" w:type="pct"/>
            <w:vAlign w:val="center"/>
          </w:tcPr>
          <w:p>
            <w:pPr>
              <w:jc w:val="right"/>
              <w:rPr>
                <w:rFonts w:ascii="宋体" w:hAnsi="宋体"/>
              </w:rPr>
            </w:pPr>
            <w:r>
              <w:rPr>
                <w:rFonts w:ascii="宋体" w:hAnsi="宋体"/>
              </w:rPr>
              <w:t xml:space="preserve">1,570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5" w:type="pct"/>
          </w:tcPr>
          <w:p>
            <w:pPr>
              <w:jc w:val="center"/>
              <w:rPr>
                <w:rFonts w:ascii="宋体" w:hAnsi="宋体"/>
              </w:rPr>
            </w:pPr>
            <w:r>
              <w:rPr>
                <w:rFonts w:hint="eastAsia" w:ascii="宋体" w:hAnsi="宋体"/>
              </w:rPr>
              <w:t>合计</w:t>
            </w:r>
          </w:p>
        </w:tc>
        <w:tc>
          <w:tcPr>
            <w:tcW w:w="626" w:type="pct"/>
            <w:vAlign w:val="center"/>
          </w:tcPr>
          <w:p>
            <w:pPr>
              <w:rPr>
                <w:rFonts w:ascii="宋体" w:hAnsi="宋体"/>
              </w:rPr>
            </w:pPr>
            <w:r>
              <w:rPr>
                <w:rFonts w:hint="eastAsia" w:ascii="宋体" w:hAnsi="宋体"/>
              </w:rPr>
              <w:t>-</w:t>
            </w:r>
          </w:p>
        </w:tc>
        <w:tc>
          <w:tcPr>
            <w:tcW w:w="487" w:type="pct"/>
            <w:vAlign w:val="center"/>
          </w:tcPr>
          <w:p>
            <w:pPr>
              <w:rPr>
                <w:rFonts w:ascii="宋体" w:hAnsi="宋体"/>
              </w:rPr>
            </w:pPr>
            <w:r>
              <w:rPr>
                <w:rFonts w:hint="eastAsia" w:ascii="宋体" w:hAnsi="宋体"/>
              </w:rPr>
              <w:t>-</w:t>
            </w:r>
          </w:p>
        </w:tc>
        <w:tc>
          <w:tcPr>
            <w:tcW w:w="625" w:type="pct"/>
            <w:vAlign w:val="center"/>
          </w:tcPr>
          <w:p>
            <w:pPr>
              <w:jc w:val="right"/>
              <w:rPr>
                <w:rFonts w:ascii="宋体" w:hAnsi="宋体"/>
              </w:rPr>
            </w:pPr>
            <w:r>
              <w:rPr>
                <w:rFonts w:ascii="宋体" w:hAnsi="宋体"/>
              </w:rPr>
              <w:t xml:space="preserve">46,807 </w:t>
            </w:r>
          </w:p>
        </w:tc>
        <w:tc>
          <w:tcPr>
            <w:tcW w:w="631" w:type="pct"/>
            <w:vAlign w:val="center"/>
          </w:tcPr>
          <w:p>
            <w:pPr>
              <w:jc w:val="right"/>
              <w:rPr>
                <w:rFonts w:ascii="宋体" w:hAnsi="宋体"/>
              </w:rPr>
            </w:pPr>
            <w:r>
              <w:rPr>
                <w:rFonts w:ascii="宋体" w:hAnsi="宋体"/>
              </w:rPr>
              <w:t xml:space="preserve">4,862 </w:t>
            </w:r>
          </w:p>
        </w:tc>
        <w:tc>
          <w:tcPr>
            <w:tcW w:w="619" w:type="pct"/>
            <w:vAlign w:val="center"/>
          </w:tcPr>
          <w:p>
            <w:pPr>
              <w:jc w:val="right"/>
              <w:rPr>
                <w:rFonts w:ascii="宋体" w:hAnsi="宋体"/>
              </w:rPr>
            </w:pPr>
            <w:r>
              <w:rPr>
                <w:rFonts w:ascii="宋体" w:hAnsi="宋体"/>
              </w:rPr>
              <w:t xml:space="preserve">2,728 </w:t>
            </w:r>
          </w:p>
        </w:tc>
        <w:tc>
          <w:tcPr>
            <w:tcW w:w="625" w:type="pct"/>
          </w:tcPr>
          <w:p>
            <w:pPr>
              <w:jc w:val="right"/>
              <w:rPr>
                <w:rFonts w:ascii="宋体" w:hAnsi="宋体"/>
              </w:rPr>
            </w:pPr>
            <w:r>
              <w:rPr>
                <w:rFonts w:ascii="宋体" w:hAnsi="宋体"/>
              </w:rPr>
              <w:t xml:space="preserve">47,097 </w:t>
            </w:r>
          </w:p>
        </w:tc>
        <w:tc>
          <w:tcPr>
            <w:tcW w:w="621" w:type="pct"/>
          </w:tcPr>
          <w:p>
            <w:pPr>
              <w:jc w:val="right"/>
              <w:rPr>
                <w:rFonts w:ascii="宋体" w:hAnsi="宋体"/>
              </w:rPr>
            </w:pPr>
            <w:r>
              <w:rPr>
                <w:rFonts w:ascii="宋体" w:hAnsi="宋体"/>
              </w:rPr>
              <w:t xml:space="preserve">6,158 </w:t>
            </w:r>
          </w:p>
        </w:tc>
      </w:tr>
    </w:tbl>
    <w:p>
      <w:pPr>
        <w:autoSpaceDE w:val="0"/>
        <w:autoSpaceDN w:val="0"/>
        <w:adjustRightInd w:val="0"/>
        <w:ind w:firstLine="420" w:firstLineChars="200"/>
        <w:rPr>
          <w:rFonts w:ascii="宋体" w:hAnsi="宋体"/>
        </w:rPr>
      </w:pPr>
      <w:r>
        <w:rPr>
          <w:rFonts w:hint="eastAsia" w:ascii="宋体" w:hAnsi="宋体"/>
        </w:rPr>
        <w:t>注：</w:t>
      </w:r>
    </w:p>
    <w:p>
      <w:pPr>
        <w:ind w:firstLine="420" w:firstLineChars="200"/>
        <w:rPr>
          <w:rFonts w:ascii="宋体" w:hAnsi="宋体"/>
        </w:rPr>
      </w:pPr>
      <w:r>
        <w:rPr>
          <w:rFonts w:hint="eastAsia" w:ascii="宋体" w:hAnsi="宋体"/>
        </w:rPr>
        <w:t>①按照《固体矿产资源储量分类》（中华人民共和国国家标准GB/T17766-2020），资源量：经矿产资源勘查查明并经概略研究，预期可经济开采的固体矿产资源，其数量、品位或质量是依据地质信息、地质认识及相关技术要求而估算的。证实储量：经过预可行性研究、可行性研究或与之相当的技术经济评价，基于探明资源量而估算的储量。可信储量：经过预可行性研究、可行性研究或与之相当的技术经济评价，基于控制的资源量而估算的储量；或某些转换因素尚存在不确定性时，基于探明资源量而估算的储量。</w:t>
      </w:r>
    </w:p>
    <w:p>
      <w:pPr>
        <w:ind w:firstLine="420" w:firstLineChars="200"/>
        <w:rPr>
          <w:rFonts w:ascii="宋体" w:hAnsi="宋体"/>
        </w:rPr>
      </w:pPr>
      <w:r>
        <w:rPr>
          <w:rFonts w:hint="eastAsia" w:ascii="宋体" w:hAnsi="宋体"/>
        </w:rPr>
        <w:t>②按照香港联交所要求，本集团统一对中国境内所属煤矿依据</w:t>
      </w:r>
      <w:r>
        <w:rPr>
          <w:rFonts w:ascii="宋体" w:hAnsi="宋体"/>
        </w:rPr>
        <w:t>JORC规范</w:t>
      </w:r>
      <w:r>
        <w:rPr>
          <w:rFonts w:hint="eastAsia" w:ascii="宋体" w:hAnsi="宋体"/>
        </w:rPr>
        <w:t>进行了资源储量评估。</w:t>
      </w:r>
    </w:p>
    <w:p>
      <w:pPr>
        <w:ind w:firstLine="420" w:firstLineChars="200"/>
        <w:rPr>
          <w:rFonts w:ascii="宋体" w:hAnsi="宋体"/>
        </w:rPr>
      </w:pPr>
      <w:r>
        <w:rPr>
          <w:rFonts w:hint="eastAsia" w:ascii="宋体" w:hAnsi="宋体"/>
        </w:rPr>
        <w:t>原地资源量、可采储量均为截至202</w:t>
      </w:r>
      <w:r>
        <w:rPr>
          <w:rFonts w:ascii="宋体" w:hAnsi="宋体"/>
        </w:rPr>
        <w:t>3</w:t>
      </w:r>
      <w:r>
        <w:rPr>
          <w:rFonts w:hint="eastAsia" w:ascii="宋体" w:hAnsi="宋体"/>
        </w:rPr>
        <w:t>年12月31日各煤矿按100%权益和</w:t>
      </w:r>
      <w:r>
        <w:rPr>
          <w:rFonts w:ascii="宋体" w:hAnsi="宋体"/>
        </w:rPr>
        <w:t>JORC规范</w:t>
      </w:r>
      <w:r>
        <w:rPr>
          <w:rFonts w:hint="eastAsia" w:ascii="宋体" w:hAnsi="宋体"/>
        </w:rPr>
        <w:t>估算。其中：中国境内煤矿原地资源量、可采储量引用自约翰T·博德公司于202</w:t>
      </w:r>
      <w:r>
        <w:rPr>
          <w:rFonts w:ascii="宋体" w:hAnsi="宋体"/>
        </w:rPr>
        <w:t>4</w:t>
      </w:r>
      <w:r>
        <w:rPr>
          <w:rFonts w:hint="eastAsia" w:ascii="宋体" w:hAnsi="宋体"/>
        </w:rPr>
        <w:t>年</w:t>
      </w:r>
      <w:r>
        <w:rPr>
          <w:rFonts w:ascii="宋体" w:hAnsi="宋体"/>
        </w:rPr>
        <w:t>3</w:t>
      </w:r>
      <w:r>
        <w:rPr>
          <w:rFonts w:hint="eastAsia" w:ascii="宋体" w:hAnsi="宋体"/>
        </w:rPr>
        <w:t>月出具的合资格人士报告；境外煤矿原地资源量、可采储量引用自境外附属公司委任的合资格人士出具的报告。</w:t>
      </w:r>
    </w:p>
    <w:p>
      <w:pPr>
        <w:ind w:firstLine="420" w:firstLineChars="200"/>
        <w:rPr>
          <w:rFonts w:ascii="宋体" w:hAnsi="宋体"/>
        </w:rPr>
      </w:pPr>
      <w:r>
        <w:rPr>
          <w:rFonts w:hint="eastAsia" w:ascii="宋体" w:hAnsi="宋体"/>
        </w:rPr>
        <w:t>③内蒙古矿业除营盘壕煤矿外，还持有刘三圪旦井田、嘎鲁图井田的探矿权，截至2023年12月31日，刘三圪旦井田、嘎鲁图井田中国国家标准下资源量合计约为41.73亿吨；JORC规范下原地资源量合计约为42.62亿吨。</w:t>
      </w:r>
    </w:p>
    <w:p>
      <w:pPr>
        <w:ind w:firstLine="420" w:firstLineChars="200"/>
        <w:rPr>
          <w:rFonts w:ascii="宋体" w:hAnsi="宋体"/>
        </w:rPr>
      </w:pPr>
      <w:r>
        <w:rPr>
          <w:rFonts w:hint="eastAsia" w:ascii="宋体" w:hAnsi="宋体"/>
        </w:rPr>
        <w:t>④2023年12月8日，公司竞拍获得霍林河一号井田探矿权。截至2023年12月31日，霍林河一号井田中国国家标准下资源量约为10.41亿吨；JORC规范下原地资源量约为10.28亿吨。</w:t>
      </w:r>
    </w:p>
    <w:p>
      <w:pPr>
        <w:ind w:firstLine="420" w:firstLineChars="200"/>
        <w:rPr>
          <w:rFonts w:ascii="宋体" w:hAnsi="宋体"/>
        </w:rPr>
      </w:pPr>
      <w:r>
        <w:rPr>
          <w:rFonts w:hint="eastAsia" w:ascii="宋体" w:hAnsi="宋体"/>
        </w:rPr>
        <w:t>⑤兖煤澳洲及兖煤国际所属煤矿未进行中国国家标准资源储量评估。</w:t>
      </w:r>
    </w:p>
    <w:p>
      <w:pPr>
        <w:pStyle w:val="43"/>
      </w:pPr>
    </w:p>
    <w:p>
      <w:pPr>
        <w:pStyle w:val="6"/>
        <w:numPr>
          <w:ilvl w:val="0"/>
          <w:numId w:val="14"/>
        </w:numPr>
        <w:ind w:left="530"/>
        <w:rPr>
          <w:rFonts w:ascii="宋体" w:hAnsi="宋体"/>
          <w:bCs w:val="0"/>
          <w:szCs w:val="21"/>
        </w:rPr>
      </w:pPr>
      <w:r>
        <w:rPr>
          <w:rFonts w:hint="eastAsia" w:ascii="宋体" w:hAnsi="宋体"/>
          <w:bCs w:val="0"/>
          <w:szCs w:val="21"/>
        </w:rPr>
        <w:t>其他说明</w:t>
      </w:r>
    </w:p>
    <w:sdt>
      <w:sdtPr>
        <w:rPr>
          <w:rFonts w:hint="eastAsia" w:ascii="宋体" w:hAnsi="宋体"/>
        </w:rPr>
        <w:alias w:val="是否适用：煤炭行业经营性信息分析其他情况说明[双击切换]"/>
        <w:tag w:val="_GBC_2ce1067042c14ad384774217c1531dc0"/>
        <w:id w:val="-514155871"/>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煤炭行业经营性信息分析其他情况说明"/>
        <w:tag w:val="_GBC_22477097e055473db880c840f62a0a9d"/>
        <w:id w:val="1957519862"/>
        <w:placeholder>
          <w:docPart w:val="GBC22222222222222222222222222222"/>
        </w:placeholder>
      </w:sdtPr>
      <w:sdtEndPr>
        <w:rPr>
          <w:rFonts w:ascii="宋体" w:hAnsi="宋体"/>
        </w:rPr>
      </w:sdtEndPr>
      <w:sdtContent>
        <w:p>
          <w:pPr>
            <w:ind w:firstLine="420"/>
            <w:rPr>
              <w:rFonts w:ascii="宋体" w:hAnsi="宋体"/>
              <w:szCs w:val="28"/>
            </w:rPr>
          </w:pPr>
          <w:bookmarkStart w:id="62" w:name="_Hlk160617104"/>
          <w:r>
            <w:rPr>
              <w:rFonts w:hint="eastAsia" w:ascii="宋体" w:hAnsi="宋体"/>
            </w:rPr>
            <w:t>（1）</w:t>
          </w:r>
          <w:r>
            <w:rPr>
              <w:rFonts w:ascii="宋体" w:hAnsi="宋体"/>
              <w:szCs w:val="28"/>
            </w:rPr>
            <w:t>报告期内煤炭勘探、开发及开采情况</w:t>
          </w:r>
        </w:p>
        <w:p>
          <w:pPr>
            <w:autoSpaceDE w:val="0"/>
            <w:autoSpaceDN w:val="0"/>
            <w:adjustRightInd w:val="0"/>
            <w:ind w:firstLine="420" w:firstLineChars="200"/>
            <w:rPr>
              <w:rFonts w:ascii="宋体" w:hAnsi="宋体"/>
              <w:szCs w:val="28"/>
            </w:rPr>
          </w:pPr>
          <w:r>
            <w:rPr>
              <w:rFonts w:ascii="宋体" w:hAnsi="宋体"/>
              <w:szCs w:val="28"/>
            </w:rPr>
            <w:t>2023年，本集团煤炭勘探支出</w:t>
          </w:r>
          <w:bookmarkStart w:id="63" w:name="_Hlk161842597"/>
          <w:r>
            <w:rPr>
              <w:rFonts w:ascii="宋体" w:hAnsi="宋体"/>
              <w:szCs w:val="28"/>
            </w:rPr>
            <w:t>9,460</w:t>
          </w:r>
          <w:bookmarkEnd w:id="63"/>
          <w:r>
            <w:rPr>
              <w:rFonts w:hint="eastAsia" w:ascii="宋体" w:hAnsi="宋体"/>
              <w:szCs w:val="28"/>
            </w:rPr>
            <w:t>千</w:t>
          </w:r>
          <w:r>
            <w:rPr>
              <w:rFonts w:ascii="宋体" w:hAnsi="宋体"/>
              <w:szCs w:val="28"/>
            </w:rPr>
            <w:t>元，主要是：</w:t>
          </w:r>
          <w:bookmarkStart w:id="64" w:name="_Hlk161842605"/>
          <w:r>
            <w:rPr>
              <w:rFonts w:hint="eastAsia" w:ascii="宋体" w:hAnsi="宋体"/>
              <w:szCs w:val="28"/>
            </w:rPr>
            <w:t>澳洲莫拉本煤矿、</w:t>
          </w:r>
          <w:bookmarkStart w:id="65" w:name="_Hlk162384043"/>
          <w:r>
            <w:rPr>
              <w:rFonts w:hint="eastAsia" w:ascii="宋体" w:hAnsi="宋体"/>
              <w:szCs w:val="28"/>
            </w:rPr>
            <w:t>普力玛</w:t>
          </w:r>
          <w:bookmarkEnd w:id="65"/>
          <w:r>
            <w:rPr>
              <w:rFonts w:hint="eastAsia" w:ascii="宋体" w:hAnsi="宋体"/>
              <w:szCs w:val="28"/>
            </w:rPr>
            <w:t>煤矿开采优化支出和兖煤国际勘探支出</w:t>
          </w:r>
          <w:bookmarkEnd w:id="64"/>
          <w:r>
            <w:rPr>
              <w:rFonts w:ascii="宋体" w:hAnsi="宋体"/>
              <w:szCs w:val="28"/>
            </w:rPr>
            <w:t>；煤炭开发及开采相关的资本性支出约</w:t>
          </w:r>
          <w:bookmarkStart w:id="66" w:name="_Hlk161842612"/>
          <w:bookmarkStart w:id="67" w:name="_Hlk129804538"/>
          <w:r>
            <w:rPr>
              <w:rFonts w:ascii="宋体" w:hAnsi="宋体"/>
              <w:szCs w:val="28"/>
            </w:rPr>
            <w:t>83</w:t>
          </w:r>
          <w:bookmarkEnd w:id="66"/>
          <w:r>
            <w:rPr>
              <w:rFonts w:ascii="宋体" w:hAnsi="宋体"/>
              <w:szCs w:val="28"/>
            </w:rPr>
            <w:t>.01亿元</w:t>
          </w:r>
          <w:bookmarkEnd w:id="67"/>
          <w:r>
            <w:rPr>
              <w:rFonts w:ascii="宋体" w:hAnsi="宋体"/>
              <w:szCs w:val="28"/>
            </w:rPr>
            <w:t>，主要是</w:t>
          </w:r>
          <w:bookmarkStart w:id="68" w:name="_Hlk161842691"/>
          <w:r>
            <w:rPr>
              <w:rFonts w:hint="eastAsia" w:ascii="宋体" w:hAnsi="宋体"/>
              <w:szCs w:val="28"/>
            </w:rPr>
            <w:t>现有矿井的固定资产开支投入及万福煤矿、兖煤澳洲和兖煤国际所属煤矿的开发及开采费用</w:t>
          </w:r>
          <w:bookmarkEnd w:id="68"/>
          <w:r>
            <w:rPr>
              <w:rFonts w:ascii="宋体" w:hAnsi="宋体"/>
              <w:szCs w:val="28"/>
            </w:rPr>
            <w:t>。</w:t>
          </w:r>
        </w:p>
        <w:p>
          <w:pPr>
            <w:autoSpaceDE w:val="0"/>
            <w:autoSpaceDN w:val="0"/>
            <w:adjustRightInd w:val="0"/>
            <w:ind w:firstLine="420" w:firstLineChars="200"/>
            <w:rPr>
              <w:rFonts w:ascii="宋体" w:hAnsi="宋体"/>
            </w:rPr>
          </w:pPr>
          <w:r>
            <w:rPr>
              <w:rFonts w:hint="eastAsia" w:ascii="宋体" w:hAnsi="宋体"/>
            </w:rPr>
            <w:t>（2）</w:t>
          </w:r>
          <w:r>
            <w:rPr>
              <w:rFonts w:ascii="宋体" w:hAnsi="宋体"/>
            </w:rPr>
            <w:t>重大煤矿建设项目</w:t>
          </w:r>
        </w:p>
        <w:p>
          <w:pPr>
            <w:autoSpaceDE w:val="0"/>
            <w:autoSpaceDN w:val="0"/>
            <w:adjustRightInd w:val="0"/>
            <w:ind w:firstLine="420" w:firstLineChars="200"/>
            <w:rPr>
              <w:rFonts w:ascii="宋体" w:hAnsi="宋体"/>
            </w:rPr>
          </w:pPr>
          <w:r>
            <w:rPr>
              <w:rFonts w:hint="eastAsia" w:ascii="宋体" w:hAnsi="宋体"/>
            </w:rPr>
            <w:t>截至本报告期末，本集团重大煤矿建设项目的进展情况如下：</w:t>
          </w:r>
        </w:p>
        <w:tbl>
          <w:tblPr>
            <w:tblStyle w:val="107"/>
            <w:tblW w:w="8674" w:type="dxa"/>
            <w:tblInd w:w="110" w:type="dxa"/>
            <w:tblLayout w:type="fixed"/>
            <w:tblCellMar>
              <w:top w:w="0" w:type="dxa"/>
              <w:left w:w="0" w:type="dxa"/>
              <w:bottom w:w="0" w:type="dxa"/>
              <w:right w:w="0" w:type="dxa"/>
            </w:tblCellMar>
          </w:tblPr>
          <w:tblGrid>
            <w:gridCol w:w="639"/>
            <w:gridCol w:w="1514"/>
            <w:gridCol w:w="1560"/>
            <w:gridCol w:w="2126"/>
            <w:gridCol w:w="2835"/>
          </w:tblGrid>
          <w:tr>
            <w:tblPrEx>
              <w:tblCellMar>
                <w:top w:w="0" w:type="dxa"/>
                <w:left w:w="0" w:type="dxa"/>
                <w:bottom w:w="0" w:type="dxa"/>
                <w:right w:w="0" w:type="dxa"/>
              </w:tblCellMar>
            </w:tblPrEx>
            <w:trPr>
              <w:trHeight w:val="554" w:hRule="exact"/>
            </w:trPr>
            <w:tc>
              <w:tcPr>
                <w:tcW w:w="639"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2"/>
                  <w:ind w:left="136" w:right="30"/>
                  <w:jc w:val="center"/>
                  <w:rPr>
                    <w:rFonts w:ascii="宋体" w:hAnsi="宋体" w:eastAsia="宋体" w:cs="Arial"/>
                    <w:sz w:val="24"/>
                    <w:szCs w:val="28"/>
                  </w:rPr>
                </w:pPr>
                <w:bookmarkStart w:id="69" w:name="_Hlk92976269"/>
                <w:r>
                  <w:rPr>
                    <w:rFonts w:hint="eastAsia" w:ascii="宋体" w:hAnsi="宋体" w:eastAsia="宋体"/>
                    <w:b/>
                    <w:bCs/>
                    <w:szCs w:val="21"/>
                  </w:rPr>
                  <w:t>序号</w:t>
                </w:r>
              </w:p>
            </w:tc>
            <w:tc>
              <w:tcPr>
                <w:tcW w:w="1514"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2"/>
                  <w:ind w:left="135" w:right="32"/>
                  <w:jc w:val="center"/>
                  <w:rPr>
                    <w:rFonts w:ascii="宋体" w:hAnsi="宋体" w:eastAsia="宋体" w:cs="Arial"/>
                    <w:sz w:val="24"/>
                    <w:szCs w:val="28"/>
                  </w:rPr>
                </w:pPr>
                <w:r>
                  <w:rPr>
                    <w:rFonts w:hint="eastAsia" w:ascii="宋体" w:hAnsi="宋体" w:eastAsia="宋体"/>
                    <w:b/>
                    <w:bCs/>
                    <w:szCs w:val="21"/>
                  </w:rPr>
                  <w:t>项目名称</w:t>
                </w:r>
              </w:p>
            </w:tc>
            <w:tc>
              <w:tcPr>
                <w:tcW w:w="15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40" w:lineRule="exact"/>
                  <w:ind w:left="132" w:right="32"/>
                  <w:jc w:val="center"/>
                  <w:rPr>
                    <w:rFonts w:ascii="宋体" w:hAnsi="宋体" w:eastAsia="宋体"/>
                    <w:b/>
                    <w:bCs/>
                    <w:w w:val="99"/>
                    <w:szCs w:val="21"/>
                  </w:rPr>
                </w:pPr>
                <w:r>
                  <w:rPr>
                    <w:rFonts w:hint="eastAsia" w:ascii="宋体" w:hAnsi="宋体" w:eastAsia="宋体"/>
                    <w:b/>
                    <w:bCs/>
                    <w:szCs w:val="21"/>
                  </w:rPr>
                  <w:t>设计产能</w:t>
                </w:r>
              </w:p>
              <w:p>
                <w:pPr>
                  <w:kinsoku w:val="0"/>
                  <w:overflowPunct w:val="0"/>
                  <w:autoSpaceDE w:val="0"/>
                  <w:autoSpaceDN w:val="0"/>
                  <w:adjustRightInd w:val="0"/>
                  <w:spacing w:line="274" w:lineRule="exact"/>
                  <w:ind w:left="133" w:right="32"/>
                  <w:jc w:val="center"/>
                  <w:rPr>
                    <w:rFonts w:ascii="宋体" w:hAnsi="宋体" w:eastAsia="宋体" w:cs="Arial"/>
                    <w:sz w:val="24"/>
                    <w:szCs w:val="28"/>
                  </w:rPr>
                </w:pPr>
                <w:r>
                  <w:rPr>
                    <w:rFonts w:hint="eastAsia" w:ascii="宋体" w:hAnsi="宋体" w:eastAsia="宋体"/>
                    <w:b/>
                    <w:bCs/>
                    <w:szCs w:val="21"/>
                  </w:rPr>
                  <w:t>（万吨</w:t>
                </w:r>
                <w:r>
                  <w:rPr>
                    <w:rFonts w:ascii="宋体" w:hAnsi="宋体" w:eastAsia="宋体"/>
                    <w:b/>
                    <w:bCs/>
                    <w:szCs w:val="21"/>
                  </w:rPr>
                  <w:t>/</w:t>
                </w:r>
                <w:r>
                  <w:rPr>
                    <w:rFonts w:hint="eastAsia" w:ascii="宋体" w:hAnsi="宋体" w:eastAsia="宋体"/>
                    <w:b/>
                    <w:bCs/>
                    <w:szCs w:val="21"/>
                  </w:rPr>
                  <w:t>年）</w:t>
                </w:r>
              </w:p>
            </w:tc>
            <w:tc>
              <w:tcPr>
                <w:tcW w:w="212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240" w:lineRule="exact"/>
                  <w:ind w:left="231" w:right="126"/>
                  <w:jc w:val="center"/>
                  <w:rPr>
                    <w:rFonts w:ascii="宋体" w:hAnsi="宋体" w:eastAsia="宋体"/>
                    <w:b/>
                    <w:bCs/>
                    <w:szCs w:val="21"/>
                  </w:rPr>
                </w:pPr>
                <w:r>
                  <w:rPr>
                    <w:rFonts w:hint="eastAsia" w:ascii="宋体" w:hAnsi="宋体" w:eastAsia="宋体"/>
                    <w:b/>
                    <w:bCs/>
                    <w:szCs w:val="21"/>
                  </w:rPr>
                  <w:t>截至报告期末</w:t>
                </w:r>
              </w:p>
              <w:p>
                <w:pPr>
                  <w:kinsoku w:val="0"/>
                  <w:overflowPunct w:val="0"/>
                  <w:autoSpaceDE w:val="0"/>
                  <w:autoSpaceDN w:val="0"/>
                  <w:adjustRightInd w:val="0"/>
                  <w:spacing w:line="240" w:lineRule="exact"/>
                  <w:ind w:left="231" w:right="126"/>
                  <w:jc w:val="center"/>
                  <w:rPr>
                    <w:rFonts w:ascii="宋体" w:hAnsi="宋体" w:eastAsia="宋体" w:cs="Arial"/>
                    <w:sz w:val="24"/>
                    <w:szCs w:val="28"/>
                  </w:rPr>
                </w:pPr>
                <w:r>
                  <w:rPr>
                    <w:rFonts w:hint="eastAsia" w:ascii="宋体" w:hAnsi="宋体" w:eastAsia="宋体"/>
                    <w:b/>
                    <w:bCs/>
                    <w:szCs w:val="21"/>
                  </w:rPr>
                  <w:t>投资额（亿元）</w:t>
                </w:r>
              </w:p>
            </w:tc>
            <w:tc>
              <w:tcPr>
                <w:tcW w:w="2835" w:type="dxa"/>
                <w:tcBorders>
                  <w:top w:val="single" w:color="000000" w:sz="4" w:space="0"/>
                  <w:left w:val="single" w:color="000000" w:sz="4" w:space="0"/>
                  <w:bottom w:val="single" w:color="000000" w:sz="4" w:space="0"/>
                  <w:right w:val="single" w:color="000000" w:sz="2" w:space="0"/>
                </w:tcBorders>
                <w:vAlign w:val="center"/>
              </w:tcPr>
              <w:p>
                <w:pPr>
                  <w:kinsoku w:val="0"/>
                  <w:overflowPunct w:val="0"/>
                  <w:autoSpaceDE w:val="0"/>
                  <w:autoSpaceDN w:val="0"/>
                  <w:adjustRightInd w:val="0"/>
                  <w:spacing w:before="102"/>
                  <w:jc w:val="center"/>
                  <w:rPr>
                    <w:rFonts w:ascii="宋体" w:hAnsi="宋体" w:eastAsia="宋体" w:cs="Arial"/>
                    <w:sz w:val="24"/>
                    <w:szCs w:val="28"/>
                  </w:rPr>
                </w:pPr>
                <w:r>
                  <w:rPr>
                    <w:rFonts w:hint="eastAsia" w:ascii="宋体" w:hAnsi="宋体" w:eastAsia="宋体"/>
                    <w:b/>
                    <w:bCs/>
                    <w:szCs w:val="21"/>
                  </w:rPr>
                  <w:t>建设进度</w:t>
                </w:r>
              </w:p>
            </w:tc>
          </w:tr>
          <w:tr>
            <w:tblPrEx>
              <w:tblCellMar>
                <w:top w:w="0" w:type="dxa"/>
                <w:left w:w="0" w:type="dxa"/>
                <w:bottom w:w="0" w:type="dxa"/>
                <w:right w:w="0" w:type="dxa"/>
              </w:tblCellMar>
            </w:tblPrEx>
            <w:trPr>
              <w:trHeight w:val="552" w:hRule="exact"/>
            </w:trPr>
            <w:tc>
              <w:tcPr>
                <w:tcW w:w="639"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0"/>
                  <w:ind w:left="135" w:right="30"/>
                  <w:jc w:val="center"/>
                  <w:rPr>
                    <w:rFonts w:ascii="宋体" w:hAnsi="宋体" w:eastAsia="宋体" w:cs="Arial"/>
                    <w:sz w:val="24"/>
                    <w:szCs w:val="28"/>
                  </w:rPr>
                </w:pPr>
                <w:r>
                  <w:rPr>
                    <w:rFonts w:ascii="宋体" w:hAnsi="宋体" w:eastAsia="宋体"/>
                    <w:szCs w:val="21"/>
                  </w:rPr>
                  <w:t>1</w:t>
                </w:r>
              </w:p>
            </w:tc>
            <w:tc>
              <w:tcPr>
                <w:tcW w:w="1514"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0"/>
                  <w:ind w:left="108" w:right="56"/>
                  <w:jc w:val="center"/>
                  <w:rPr>
                    <w:rFonts w:ascii="宋体" w:hAnsi="宋体" w:eastAsia="宋体" w:cs="Arial"/>
                    <w:sz w:val="24"/>
                    <w:szCs w:val="28"/>
                  </w:rPr>
                </w:pPr>
                <w:r>
                  <w:rPr>
                    <w:rFonts w:hint="eastAsia" w:ascii="宋体" w:hAnsi="宋体" w:eastAsia="宋体"/>
                    <w:szCs w:val="21"/>
                  </w:rPr>
                  <w:t>万福煤矿</w:t>
                </w:r>
              </w:p>
            </w:tc>
            <w:tc>
              <w:tcPr>
                <w:tcW w:w="15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0"/>
                  <w:ind w:left="108" w:right="56"/>
                  <w:jc w:val="center"/>
                  <w:rPr>
                    <w:rFonts w:ascii="宋体" w:hAnsi="宋体" w:eastAsia="宋体"/>
                    <w:szCs w:val="21"/>
                  </w:rPr>
                </w:pPr>
                <w:r>
                  <w:rPr>
                    <w:rFonts w:hint="eastAsia" w:ascii="宋体" w:hAnsi="宋体" w:eastAsia="宋体"/>
                    <w:szCs w:val="21"/>
                  </w:rPr>
                  <w:t>180</w:t>
                </w:r>
              </w:p>
            </w:tc>
            <w:tc>
              <w:tcPr>
                <w:tcW w:w="212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0"/>
                  <w:ind w:left="108" w:right="56"/>
                  <w:jc w:val="center"/>
                  <w:rPr>
                    <w:rFonts w:ascii="宋体" w:hAnsi="宋体" w:eastAsia="宋体"/>
                    <w:szCs w:val="21"/>
                  </w:rPr>
                </w:pPr>
                <w:r>
                  <w:rPr>
                    <w:rFonts w:ascii="宋体" w:hAnsi="宋体" w:eastAsia="宋体"/>
                    <w:szCs w:val="21"/>
                  </w:rPr>
                  <w:t>58.28</w:t>
                </w:r>
              </w:p>
            </w:tc>
            <w:tc>
              <w:tcPr>
                <w:tcW w:w="2835" w:type="dxa"/>
                <w:tcBorders>
                  <w:top w:val="single" w:color="000000" w:sz="4" w:space="0"/>
                  <w:left w:val="single" w:color="000000" w:sz="4" w:space="0"/>
                  <w:bottom w:val="single" w:color="000000" w:sz="4" w:space="0"/>
                  <w:right w:val="single" w:color="000000" w:sz="2" w:space="0"/>
                </w:tcBorders>
                <w:vAlign w:val="center"/>
              </w:tcPr>
              <w:p>
                <w:pPr>
                  <w:kinsoku w:val="0"/>
                  <w:overflowPunct w:val="0"/>
                  <w:autoSpaceDE w:val="0"/>
                  <w:autoSpaceDN w:val="0"/>
                  <w:adjustRightInd w:val="0"/>
                  <w:spacing w:before="100"/>
                  <w:ind w:left="108" w:right="56"/>
                  <w:jc w:val="center"/>
                  <w:rPr>
                    <w:rFonts w:ascii="宋体" w:hAnsi="宋体" w:eastAsia="宋体"/>
                    <w:szCs w:val="21"/>
                  </w:rPr>
                </w:pPr>
                <w:r>
                  <w:rPr>
                    <w:rFonts w:hint="eastAsia" w:ascii="宋体" w:hAnsi="宋体" w:eastAsia="宋体"/>
                    <w:szCs w:val="21"/>
                  </w:rPr>
                  <w:t>计划2</w:t>
                </w:r>
                <w:r>
                  <w:rPr>
                    <w:rFonts w:ascii="宋体" w:hAnsi="宋体" w:eastAsia="宋体"/>
                    <w:szCs w:val="21"/>
                  </w:rPr>
                  <w:t>024年投产</w:t>
                </w:r>
              </w:p>
            </w:tc>
          </w:tr>
          <w:tr>
            <w:tblPrEx>
              <w:tblCellMar>
                <w:top w:w="0" w:type="dxa"/>
                <w:left w:w="0" w:type="dxa"/>
                <w:bottom w:w="0" w:type="dxa"/>
                <w:right w:w="0" w:type="dxa"/>
              </w:tblCellMar>
            </w:tblPrEx>
            <w:trPr>
              <w:trHeight w:val="941" w:hRule="exact"/>
            </w:trPr>
            <w:tc>
              <w:tcPr>
                <w:tcW w:w="639"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0"/>
                  <w:ind w:left="135" w:right="30"/>
                  <w:jc w:val="center"/>
                  <w:rPr>
                    <w:rFonts w:ascii="宋体" w:hAnsi="宋体" w:eastAsia="宋体"/>
                    <w:szCs w:val="21"/>
                  </w:rPr>
                </w:pPr>
                <w:r>
                  <w:rPr>
                    <w:rFonts w:ascii="宋体" w:hAnsi="宋体" w:eastAsia="宋体"/>
                    <w:szCs w:val="21"/>
                  </w:rPr>
                  <w:t>2</w:t>
                </w:r>
              </w:p>
            </w:tc>
            <w:tc>
              <w:tcPr>
                <w:tcW w:w="1514"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0"/>
                  <w:ind w:left="108" w:right="56"/>
                  <w:jc w:val="center"/>
                  <w:rPr>
                    <w:rFonts w:ascii="宋体" w:hAnsi="宋体" w:eastAsia="宋体"/>
                    <w:szCs w:val="21"/>
                  </w:rPr>
                </w:pPr>
                <w:r>
                  <w:rPr>
                    <w:rFonts w:hint="eastAsia" w:ascii="宋体" w:hAnsi="宋体" w:eastAsia="宋体"/>
                    <w:szCs w:val="21"/>
                  </w:rPr>
                  <w:t>五彩湾四号煤矿</w:t>
                </w:r>
              </w:p>
            </w:tc>
            <w:tc>
              <w:tcPr>
                <w:tcW w:w="15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0"/>
                  <w:ind w:left="108" w:right="56"/>
                  <w:jc w:val="center"/>
                  <w:rPr>
                    <w:rFonts w:ascii="宋体" w:hAnsi="宋体" w:eastAsia="宋体"/>
                    <w:szCs w:val="21"/>
                  </w:rPr>
                </w:pPr>
                <w:r>
                  <w:rPr>
                    <w:rFonts w:hint="eastAsia" w:ascii="宋体" w:hAnsi="宋体" w:eastAsia="宋体"/>
                    <w:szCs w:val="21"/>
                  </w:rPr>
                  <w:t>1</w:t>
                </w:r>
                <w:r>
                  <w:rPr>
                    <w:rFonts w:ascii="宋体" w:hAnsi="宋体" w:eastAsia="宋体"/>
                    <w:szCs w:val="21"/>
                  </w:rPr>
                  <w:t>,000</w:t>
                </w:r>
              </w:p>
            </w:tc>
            <w:tc>
              <w:tcPr>
                <w:tcW w:w="2126"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0"/>
                  <w:ind w:left="108" w:right="56"/>
                  <w:jc w:val="center"/>
                  <w:rPr>
                    <w:rFonts w:ascii="宋体" w:hAnsi="宋体" w:eastAsia="宋体"/>
                    <w:szCs w:val="21"/>
                  </w:rPr>
                </w:pPr>
                <w:r>
                  <w:rPr>
                    <w:rFonts w:ascii="宋体" w:hAnsi="宋体" w:eastAsia="宋体"/>
                    <w:szCs w:val="21"/>
                  </w:rPr>
                  <w:t>0.67</w:t>
                </w:r>
              </w:p>
            </w:tc>
            <w:tc>
              <w:tcPr>
                <w:tcW w:w="2835" w:type="dxa"/>
                <w:tcBorders>
                  <w:top w:val="single" w:color="000000" w:sz="4" w:space="0"/>
                  <w:left w:val="single" w:color="000000" w:sz="4" w:space="0"/>
                  <w:bottom w:val="single" w:color="000000" w:sz="4" w:space="0"/>
                  <w:right w:val="single" w:color="000000" w:sz="2" w:space="0"/>
                </w:tcBorders>
                <w:vAlign w:val="center"/>
              </w:tcPr>
              <w:p>
                <w:pPr>
                  <w:kinsoku w:val="0"/>
                  <w:overflowPunct w:val="0"/>
                  <w:autoSpaceDE w:val="0"/>
                  <w:autoSpaceDN w:val="0"/>
                  <w:adjustRightInd w:val="0"/>
                  <w:spacing w:before="100"/>
                  <w:ind w:left="108" w:right="56"/>
                  <w:jc w:val="center"/>
                  <w:rPr>
                    <w:rFonts w:ascii="宋体" w:hAnsi="宋体" w:eastAsia="宋体"/>
                    <w:szCs w:val="21"/>
                  </w:rPr>
                </w:pPr>
                <w:r>
                  <w:rPr>
                    <w:rFonts w:hint="eastAsia" w:ascii="宋体" w:hAnsi="宋体" w:eastAsia="宋体"/>
                    <w:szCs w:val="21"/>
                  </w:rPr>
                  <w:t>计划2</w:t>
                </w:r>
                <w:r>
                  <w:rPr>
                    <w:rFonts w:ascii="宋体" w:hAnsi="宋体" w:eastAsia="宋体"/>
                    <w:szCs w:val="21"/>
                  </w:rPr>
                  <w:t>025</w:t>
                </w:r>
                <w:r>
                  <w:rPr>
                    <w:rFonts w:hint="eastAsia" w:ascii="宋体" w:hAnsi="宋体" w:eastAsia="宋体"/>
                    <w:szCs w:val="21"/>
                  </w:rPr>
                  <w:t>年投产</w:t>
                </w:r>
              </w:p>
            </w:tc>
          </w:tr>
          <w:tr>
            <w:tblPrEx>
              <w:tblCellMar>
                <w:top w:w="0" w:type="dxa"/>
                <w:left w:w="0" w:type="dxa"/>
                <w:bottom w:w="0" w:type="dxa"/>
                <w:right w:w="0" w:type="dxa"/>
              </w:tblCellMar>
            </w:tblPrEx>
            <w:trPr>
              <w:trHeight w:val="552" w:hRule="exact"/>
            </w:trPr>
            <w:tc>
              <w:tcPr>
                <w:tcW w:w="2153" w:type="dxa"/>
                <w:gridSpan w:val="2"/>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0"/>
                  <w:ind w:left="657"/>
                  <w:rPr>
                    <w:rFonts w:ascii="宋体" w:hAnsi="宋体" w:eastAsia="宋体" w:cs="Arial"/>
                    <w:sz w:val="24"/>
                    <w:szCs w:val="28"/>
                  </w:rPr>
                </w:pPr>
                <w:r>
                  <w:rPr>
                    <w:rFonts w:hint="eastAsia" w:ascii="宋体" w:hAnsi="宋体" w:eastAsia="宋体"/>
                    <w:szCs w:val="21"/>
                  </w:rPr>
                  <w:t>合计</w:t>
                </w:r>
              </w:p>
            </w:tc>
            <w:tc>
              <w:tcPr>
                <w:tcW w:w="15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100"/>
                  <w:ind w:left="108" w:right="56"/>
                  <w:jc w:val="center"/>
                  <w:rPr>
                    <w:rFonts w:ascii="宋体" w:hAnsi="宋体" w:eastAsia="宋体"/>
                    <w:szCs w:val="21"/>
                  </w:rPr>
                </w:pPr>
                <w:r>
                  <w:rPr>
                    <w:rFonts w:hint="eastAsia" w:ascii="宋体" w:hAnsi="宋体" w:eastAsia="宋体"/>
                    <w:szCs w:val="21"/>
                  </w:rPr>
                  <w:t>1</w:t>
                </w:r>
                <w:r>
                  <w:rPr>
                    <w:rFonts w:ascii="宋体" w:hAnsi="宋体" w:eastAsia="宋体"/>
                    <w:szCs w:val="21"/>
                  </w:rPr>
                  <w:t>,180</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left="108" w:right="56"/>
                  <w:jc w:val="center"/>
                  <w:rPr>
                    <w:rFonts w:ascii="宋体" w:hAnsi="宋体" w:eastAsia="宋体"/>
                    <w:szCs w:val="21"/>
                  </w:rPr>
                </w:pPr>
                <w:r>
                  <w:rPr>
                    <w:rFonts w:ascii="宋体" w:hAnsi="宋体" w:eastAsia="宋体"/>
                    <w:szCs w:val="21"/>
                  </w:rPr>
                  <w:t>58.95</w:t>
                </w:r>
              </w:p>
            </w:tc>
            <w:tc>
              <w:tcPr>
                <w:tcW w:w="2835" w:type="dxa"/>
                <w:tcBorders>
                  <w:top w:val="single" w:color="000000" w:sz="4" w:space="0"/>
                  <w:left w:val="single" w:color="000000" w:sz="4" w:space="0"/>
                  <w:bottom w:val="single" w:color="000000" w:sz="4" w:space="0"/>
                  <w:right w:val="single" w:color="000000" w:sz="2" w:space="0"/>
                </w:tcBorders>
                <w:vAlign w:val="center"/>
              </w:tcPr>
              <w:p>
                <w:pPr>
                  <w:autoSpaceDE w:val="0"/>
                  <w:autoSpaceDN w:val="0"/>
                  <w:adjustRightInd w:val="0"/>
                  <w:ind w:left="108" w:right="56"/>
                  <w:jc w:val="center"/>
                  <w:rPr>
                    <w:rFonts w:ascii="宋体" w:hAnsi="宋体" w:eastAsia="宋体"/>
                    <w:szCs w:val="21"/>
                  </w:rPr>
                </w:pPr>
                <w:r>
                  <w:rPr>
                    <w:rFonts w:hint="eastAsia" w:ascii="宋体" w:hAnsi="宋体" w:eastAsia="宋体"/>
                    <w:szCs w:val="21"/>
                  </w:rPr>
                  <w:t>—</w:t>
                </w:r>
              </w:p>
            </w:tc>
          </w:tr>
        </w:tbl>
        <w:p>
          <w:pPr>
            <w:rPr>
              <w:rFonts w:ascii="宋体" w:hAnsi="宋体"/>
            </w:rPr>
          </w:pPr>
        </w:p>
      </w:sdtContent>
    </w:sdt>
    <w:bookmarkEnd w:id="62"/>
    <w:bookmarkEnd w:id="69"/>
    <w:p>
      <w:pPr>
        <w:pStyle w:val="72"/>
        <w:rPr>
          <w:rFonts w:ascii="宋体" w:hAnsi="宋体"/>
        </w:rPr>
      </w:pPr>
    </w:p>
    <w:p>
      <w:pPr>
        <w:pStyle w:val="86"/>
        <w:snapToGrid w:val="0"/>
        <w:spacing w:before="60" w:after="60"/>
        <w:ind w:firstLine="0" w:firstLineChars="0"/>
        <w:rPr>
          <w:rFonts w:ascii="宋体" w:hAnsi="宋体"/>
        </w:rPr>
        <w:sectPr>
          <w:pgSz w:w="11906" w:h="16838"/>
          <w:pgMar w:top="1525" w:right="1276" w:bottom="1440" w:left="1797" w:header="855" w:footer="992" w:gutter="0"/>
          <w:cols w:space="425" w:num="1"/>
          <w:docGrid w:linePitch="312" w:charSpace="0"/>
        </w:sectPr>
      </w:pPr>
    </w:p>
    <w:p>
      <w:pPr>
        <w:numPr>
          <w:ilvl w:val="0"/>
          <w:numId w:val="8"/>
        </w:numPr>
        <w:rPr>
          <w:rFonts w:ascii="宋体" w:hAnsi="宋体"/>
        </w:rPr>
      </w:pPr>
      <w:r>
        <w:rPr>
          <w:rFonts w:hint="eastAsia" w:ascii="宋体" w:hAnsi="宋体"/>
        </w:rPr>
        <w:t>投资状况分析</w:t>
      </w:r>
    </w:p>
    <w:p>
      <w:pPr>
        <w:rPr>
          <w:rFonts w:ascii="宋体" w:hAnsi="宋体"/>
          <w:b/>
          <w:bCs/>
        </w:rPr>
      </w:pPr>
      <w:r>
        <w:rPr>
          <w:rFonts w:ascii="宋体" w:hAnsi="宋体"/>
          <w:b/>
          <w:bCs/>
        </w:rPr>
        <w:t>对外股权投资总体分析</w:t>
      </w:r>
    </w:p>
    <w:sdt>
      <w:sdtPr>
        <w:rPr>
          <w:rFonts w:ascii="宋体" w:hAnsi="宋体"/>
        </w:rPr>
        <w:alias w:val="是否适用：对外股权投资总体分析[双击切换]"/>
        <w:tag w:val="_GBC_cfb706fadf2c47bbbaf1bf90c054ccaf"/>
        <w:id w:val="1625038966"/>
        <w:placeholder>
          <w:docPart w:val="GBC22222222222222222222222222222"/>
        </w:placeholder>
      </w:sdtPr>
      <w:sdtEndPr>
        <w:rPr>
          <w:rFonts w:ascii="宋体" w:hAnsi="宋体"/>
        </w:rPr>
      </w:sdtEndPr>
      <w:sdtContent>
        <w:p>
          <w:pPr>
            <w:rPr>
              <w:rFonts w:ascii="宋体" w:hAnsi="宋体"/>
            </w:rPr>
          </w:pPr>
          <w:bookmarkStart w:id="70" w:name="_Hlk533433706"/>
          <w:bookmarkEnd w:id="70"/>
          <w:bookmarkStart w:id="71" w:name="_Hlk533435130"/>
          <w:bookmarkEnd w:id="71"/>
          <w:bookmarkStart w:id="72" w:name="_Hlk533435360"/>
          <w:bookmarkEnd w:id="72"/>
          <w:bookmarkStart w:id="73" w:name="_Hlk533666971"/>
          <w:bookmarkEnd w:id="73"/>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pStyle w:val="5"/>
        <w:numPr>
          <w:ilvl w:val="0"/>
          <w:numId w:val="15"/>
        </w:numPr>
        <w:rPr>
          <w:rFonts w:ascii="宋体" w:hAnsi="宋体" w:eastAsia="宋体"/>
        </w:rPr>
      </w:pPr>
      <w:r>
        <w:rPr>
          <w:rFonts w:hint="eastAsia" w:ascii="宋体" w:hAnsi="宋体" w:eastAsia="宋体"/>
        </w:rPr>
        <w:t>重大的股权投资</w:t>
      </w:r>
    </w:p>
    <w:sdt>
      <w:sdtPr>
        <w:rPr>
          <w:rFonts w:hint="eastAsia"/>
        </w:rPr>
        <w:alias w:val="是否适用：重大的股权投资[双击切换]"/>
        <w:tag w:val="_GBC_b20506918d854c13b13a3b89dd84c7d3"/>
        <w:id w:val="-1665234568"/>
        <w:placeholder>
          <w:docPart w:val="GBC22222222222222222222222222222"/>
        </w:placeholder>
      </w:sdtPr>
      <w:sdtEndPr>
        <w:rPr>
          <w:rFonts w:hint="eastAsia"/>
        </w:rPr>
      </w:sdtEnd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宋体" w:hAnsi="宋体"/>
        </w:rPr>
      </w:pPr>
      <w:r>
        <w:rPr>
          <w:rFonts w:hint="eastAsia" w:ascii="宋体" w:hAnsi="宋体"/>
        </w:rPr>
        <w:t>单位：</w:t>
      </w:r>
      <w:sdt>
        <w:sdtPr>
          <w:rPr>
            <w:rFonts w:hint="eastAsia" w:ascii="宋体" w:hAnsi="宋体"/>
          </w:rPr>
          <w:alias w:val="单位：重大的股权投资"/>
          <w:tag w:val="_GBC_96e7f45f18474abea1a9b2ab31b6520a"/>
          <w:id w:val="31570136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宋体" w:hAnsi="宋体"/>
          </w:rPr>
        </w:sdtEndPr>
        <w:sdtContent>
          <w:r>
            <w:rPr>
              <w:rFonts w:hint="eastAsia" w:ascii="宋体" w:hAnsi="宋体"/>
            </w:rPr>
            <w:t>亿元</w:t>
          </w:r>
        </w:sdtContent>
      </w:sdt>
      <w:r>
        <w:rPr>
          <w:rFonts w:hint="eastAsia" w:ascii="宋体" w:hAnsi="宋体"/>
        </w:rPr>
        <w:t xml:space="preserve">  币种：</w:t>
      </w:r>
      <w:sdt>
        <w:sdtPr>
          <w:rPr>
            <w:rFonts w:hint="eastAsia" w:ascii="宋体" w:hAnsi="宋体"/>
          </w:rPr>
          <w:alias w:val="币种：重大的股权投资"/>
          <w:tag w:val="_GBC_efad39b1478445f8b40617b65fb1fcbb"/>
          <w:id w:val="20243620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rPr>
            <w:t>人民币</w:t>
          </w:r>
        </w:sdtContent>
      </w:sdt>
    </w:p>
    <w:tbl>
      <w:tblPr>
        <w:tblStyle w:val="135"/>
        <w:tblW w:w="15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933"/>
        <w:gridCol w:w="779"/>
        <w:gridCol w:w="705"/>
        <w:gridCol w:w="846"/>
        <w:gridCol w:w="836"/>
        <w:gridCol w:w="505"/>
        <w:gridCol w:w="833"/>
        <w:gridCol w:w="684"/>
        <w:gridCol w:w="833"/>
        <w:gridCol w:w="1092"/>
        <w:gridCol w:w="1074"/>
        <w:gridCol w:w="832"/>
        <w:gridCol w:w="956"/>
        <w:gridCol w:w="426"/>
        <w:gridCol w:w="1161"/>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hint="eastAsia" w:ascii="宋体" w:hAnsi="宋体"/>
              <w:color w:val="000000"/>
            </w:rPr>
            <w:tag w:val="_PLD_a054c5f1bc29497c87630c6d6acb2840"/>
            <w:id w:val="-699311292"/>
          </w:sdtPr>
          <w:sdtEndPr>
            <w:rPr>
              <w:rFonts w:hint="eastAsia" w:ascii="宋体" w:hAnsi="宋体"/>
              <w:color w:val="000000"/>
            </w:rPr>
          </w:sdtEndPr>
          <w:sdtContent>
            <w:tc>
              <w:tcPr>
                <w:tcW w:w="693" w:type="dxa"/>
                <w:shd w:val="clear" w:color="auto" w:fill="auto"/>
                <w:vAlign w:val="center"/>
              </w:tcPr>
              <w:p>
                <w:pPr>
                  <w:jc w:val="center"/>
                  <w:rPr>
                    <w:rFonts w:ascii="宋体" w:hAnsi="宋体"/>
                    <w:color w:val="000000"/>
                  </w:rPr>
                </w:pPr>
                <w:r>
                  <w:rPr>
                    <w:rFonts w:hint="eastAsia" w:ascii="宋体" w:hAnsi="宋体"/>
                    <w:color w:val="000000"/>
                  </w:rPr>
                  <w:t>被投资公司名称</w:t>
                </w:r>
              </w:p>
            </w:tc>
          </w:sdtContent>
        </w:sdt>
        <w:sdt>
          <w:sdtPr>
            <w:rPr>
              <w:rFonts w:hint="eastAsia" w:ascii="宋体" w:hAnsi="宋体"/>
              <w:color w:val="000000"/>
            </w:rPr>
            <w:tag w:val="_PLD_a1e004bb2c8a4b9da518f48f348e9afa"/>
            <w:id w:val="-1642498767"/>
          </w:sdtPr>
          <w:sdtEndPr>
            <w:rPr>
              <w:rFonts w:hint="eastAsia" w:ascii="宋体" w:hAnsi="宋体"/>
              <w:color w:val="000000"/>
            </w:rPr>
          </w:sdtEndPr>
          <w:sdtContent>
            <w:tc>
              <w:tcPr>
                <w:tcW w:w="943" w:type="dxa"/>
                <w:shd w:val="clear" w:color="auto" w:fill="auto"/>
                <w:vAlign w:val="center"/>
              </w:tcPr>
              <w:p>
                <w:pPr>
                  <w:jc w:val="center"/>
                  <w:rPr>
                    <w:rFonts w:ascii="宋体" w:hAnsi="宋体"/>
                    <w:color w:val="000000"/>
                  </w:rPr>
                </w:pPr>
                <w:r>
                  <w:rPr>
                    <w:rFonts w:hint="eastAsia" w:ascii="宋体" w:hAnsi="宋体"/>
                    <w:color w:val="000000"/>
                  </w:rPr>
                  <w:t>主要业务</w:t>
                </w:r>
              </w:p>
            </w:tc>
          </w:sdtContent>
        </w:sdt>
        <w:sdt>
          <w:sdtPr>
            <w:rPr>
              <w:rFonts w:hint="eastAsia" w:ascii="宋体" w:hAnsi="宋体"/>
              <w:color w:val="000000"/>
            </w:rPr>
            <w:tag w:val="_PLD_e2649e50d0794f7d8b120fed5ec2ae5d"/>
            <w:id w:val="1159959444"/>
          </w:sdtPr>
          <w:sdtEndPr>
            <w:rPr>
              <w:rFonts w:hint="eastAsia" w:ascii="宋体" w:hAnsi="宋体"/>
              <w:color w:val="000000"/>
            </w:rPr>
          </w:sdtEndPr>
          <w:sdtContent>
            <w:tc>
              <w:tcPr>
                <w:tcW w:w="791" w:type="dxa"/>
                <w:vAlign w:val="center"/>
              </w:tcPr>
              <w:p>
                <w:pPr>
                  <w:jc w:val="center"/>
                  <w:rPr>
                    <w:rFonts w:ascii="宋体" w:hAnsi="宋体"/>
                    <w:color w:val="000000"/>
                  </w:rPr>
                </w:pPr>
                <w:r>
                  <w:rPr>
                    <w:rFonts w:hint="eastAsia" w:ascii="宋体" w:hAnsi="宋体"/>
                    <w:color w:val="000000"/>
                  </w:rPr>
                  <w:t>标的是否主营投资业务</w:t>
                </w:r>
              </w:p>
            </w:tc>
          </w:sdtContent>
        </w:sdt>
        <w:sdt>
          <w:sdtPr>
            <w:rPr>
              <w:rFonts w:hint="eastAsia" w:ascii="宋体" w:hAnsi="宋体"/>
              <w:color w:val="000000"/>
            </w:rPr>
            <w:tag w:val="_PLD_b162f442b33748cfa8a4d0fa9f92d359"/>
            <w:id w:val="1559287"/>
          </w:sdtPr>
          <w:sdtEndPr>
            <w:rPr>
              <w:rFonts w:hint="eastAsia" w:ascii="宋体" w:hAnsi="宋体"/>
              <w:color w:val="000000"/>
            </w:rPr>
          </w:sdtEndPr>
          <w:sdtContent>
            <w:tc>
              <w:tcPr>
                <w:tcW w:w="714" w:type="dxa"/>
                <w:shd w:val="clear" w:color="auto" w:fill="auto"/>
                <w:vAlign w:val="center"/>
              </w:tcPr>
              <w:p>
                <w:pPr>
                  <w:jc w:val="center"/>
                  <w:rPr>
                    <w:rFonts w:ascii="宋体" w:hAnsi="宋体"/>
                    <w:color w:val="000000"/>
                  </w:rPr>
                </w:pPr>
                <w:r>
                  <w:rPr>
                    <w:rFonts w:hint="eastAsia" w:ascii="宋体" w:hAnsi="宋体"/>
                    <w:color w:val="000000"/>
                  </w:rPr>
                  <w:t>投资方式</w:t>
                </w:r>
              </w:p>
            </w:tc>
          </w:sdtContent>
        </w:sdt>
        <w:sdt>
          <w:sdtPr>
            <w:rPr>
              <w:rFonts w:hint="eastAsia" w:ascii="宋体" w:hAnsi="宋体"/>
              <w:color w:val="000000"/>
            </w:rPr>
            <w:tag w:val="_PLD_aea0412aac6d49dfaf7f78ef2ede7e2f"/>
            <w:id w:val="-1045371379"/>
          </w:sdtPr>
          <w:sdtEndPr>
            <w:rPr>
              <w:rFonts w:hint="eastAsia" w:ascii="宋体" w:hAnsi="宋体"/>
              <w:color w:val="000000"/>
            </w:rPr>
          </w:sdtEndPr>
          <w:sdtContent>
            <w:tc>
              <w:tcPr>
                <w:tcW w:w="846" w:type="dxa"/>
                <w:shd w:val="clear" w:color="auto" w:fill="auto"/>
                <w:vAlign w:val="center"/>
              </w:tcPr>
              <w:p>
                <w:pPr>
                  <w:jc w:val="center"/>
                  <w:rPr>
                    <w:rFonts w:ascii="宋体" w:hAnsi="宋体"/>
                    <w:color w:val="000000"/>
                  </w:rPr>
                </w:pPr>
                <w:r>
                  <w:rPr>
                    <w:rFonts w:hint="eastAsia" w:ascii="宋体" w:hAnsi="宋体"/>
                    <w:color w:val="000000"/>
                  </w:rPr>
                  <w:t>投资金额</w:t>
                </w:r>
              </w:p>
            </w:tc>
          </w:sdtContent>
        </w:sdt>
        <w:sdt>
          <w:sdtPr>
            <w:rPr>
              <w:rFonts w:hint="eastAsia" w:ascii="宋体" w:hAnsi="宋体"/>
              <w:color w:val="000000"/>
            </w:rPr>
            <w:tag w:val="_PLD_3c6bb9a0405b4c6eae97b9ffd3020891"/>
            <w:id w:val="-637807798"/>
          </w:sdtPr>
          <w:sdtEndPr>
            <w:rPr>
              <w:rFonts w:hint="eastAsia" w:ascii="宋体" w:hAnsi="宋体"/>
              <w:color w:val="000000"/>
            </w:rPr>
          </w:sdtEndPr>
          <w:sdtContent>
            <w:tc>
              <w:tcPr>
                <w:tcW w:w="846" w:type="dxa"/>
                <w:shd w:val="clear" w:color="auto" w:fill="auto"/>
                <w:vAlign w:val="center"/>
              </w:tcPr>
              <w:p>
                <w:pPr>
                  <w:jc w:val="center"/>
                  <w:rPr>
                    <w:rFonts w:ascii="宋体" w:hAnsi="宋体"/>
                    <w:color w:val="000000"/>
                  </w:rPr>
                </w:pPr>
                <w:r>
                  <w:rPr>
                    <w:rFonts w:hint="eastAsia" w:ascii="宋体" w:hAnsi="宋体"/>
                    <w:color w:val="000000"/>
                  </w:rPr>
                  <w:t>持股比例</w:t>
                </w:r>
              </w:p>
            </w:tc>
          </w:sdtContent>
        </w:sdt>
        <w:sdt>
          <w:sdtPr>
            <w:rPr>
              <w:rFonts w:hint="eastAsia" w:ascii="宋体" w:hAnsi="宋体"/>
              <w:color w:val="000000"/>
            </w:rPr>
            <w:tag w:val="_PLD_f99930313def4e9eb5d7063d288dd0c2"/>
            <w:id w:val="334895451"/>
          </w:sdtPr>
          <w:sdtEndPr>
            <w:rPr>
              <w:rFonts w:hint="eastAsia" w:ascii="宋体" w:hAnsi="宋体"/>
              <w:color w:val="000000"/>
            </w:rPr>
          </w:sdtEndPr>
          <w:sdtContent>
            <w:tc>
              <w:tcPr>
                <w:tcW w:w="508" w:type="dxa"/>
                <w:shd w:val="clear" w:color="auto" w:fill="auto"/>
                <w:vAlign w:val="center"/>
              </w:tcPr>
              <w:p>
                <w:pPr>
                  <w:jc w:val="center"/>
                  <w:rPr>
                    <w:rFonts w:ascii="宋体" w:hAnsi="宋体"/>
                    <w:color w:val="000000"/>
                  </w:rPr>
                </w:pPr>
                <w:r>
                  <w:rPr>
                    <w:rFonts w:hint="eastAsia" w:ascii="宋体" w:hAnsi="宋体"/>
                    <w:color w:val="000000"/>
                  </w:rPr>
                  <w:t>是否并表</w:t>
                </w:r>
              </w:p>
            </w:tc>
          </w:sdtContent>
        </w:sdt>
        <w:sdt>
          <w:sdtPr>
            <w:rPr>
              <w:rFonts w:hint="eastAsia" w:ascii="宋体" w:hAnsi="宋体"/>
              <w:color w:val="000000"/>
            </w:rPr>
            <w:tag w:val="_PLD_26581a77f14f4792b755d4f0e5ab3464"/>
            <w:id w:val="-81531266"/>
          </w:sdtPr>
          <w:sdtEndPr>
            <w:rPr>
              <w:rFonts w:hint="eastAsia" w:ascii="宋体" w:hAnsi="宋体"/>
              <w:color w:val="000000"/>
            </w:rPr>
          </w:sdtEndPr>
          <w:sdtContent>
            <w:tc>
              <w:tcPr>
                <w:tcW w:w="840" w:type="dxa"/>
                <w:shd w:val="clear" w:color="auto" w:fill="auto"/>
                <w:vAlign w:val="center"/>
              </w:tcPr>
              <w:p>
                <w:pPr>
                  <w:jc w:val="center"/>
                  <w:rPr>
                    <w:rFonts w:ascii="宋体" w:hAnsi="宋体"/>
                    <w:color w:val="000000"/>
                  </w:rPr>
                </w:pPr>
                <w:r>
                  <w:rPr>
                    <w:rFonts w:hint="eastAsia" w:ascii="宋体" w:hAnsi="宋体"/>
                    <w:color w:val="000000"/>
                  </w:rPr>
                  <w:t>报表科目（如适用）</w:t>
                </w:r>
              </w:p>
            </w:tc>
          </w:sdtContent>
        </w:sdt>
        <w:sdt>
          <w:sdtPr>
            <w:rPr>
              <w:rFonts w:hint="eastAsia" w:ascii="宋体" w:hAnsi="宋体"/>
              <w:color w:val="000000"/>
            </w:rPr>
            <w:tag w:val="_PLD_8ff767e612e04cdeb3c396fea6238aa2"/>
            <w:id w:val="-1200698459"/>
          </w:sdtPr>
          <w:sdtEndPr>
            <w:rPr>
              <w:rFonts w:hint="eastAsia" w:ascii="宋体" w:hAnsi="宋体"/>
              <w:color w:val="000000"/>
            </w:rPr>
          </w:sdtEndPr>
          <w:sdtContent>
            <w:tc>
              <w:tcPr>
                <w:tcW w:w="693" w:type="dxa"/>
                <w:shd w:val="clear" w:color="auto" w:fill="auto"/>
                <w:vAlign w:val="center"/>
              </w:tcPr>
              <w:p>
                <w:pPr>
                  <w:jc w:val="center"/>
                  <w:rPr>
                    <w:rFonts w:ascii="宋体" w:hAnsi="宋体"/>
                    <w:color w:val="000000"/>
                  </w:rPr>
                </w:pPr>
                <w:r>
                  <w:rPr>
                    <w:rFonts w:hint="eastAsia" w:ascii="宋体" w:hAnsi="宋体"/>
                    <w:color w:val="000000"/>
                  </w:rPr>
                  <w:t>资金来源</w:t>
                </w:r>
              </w:p>
            </w:tc>
          </w:sdtContent>
        </w:sdt>
        <w:sdt>
          <w:sdtPr>
            <w:rPr>
              <w:rFonts w:hint="eastAsia" w:ascii="宋体" w:hAnsi="宋体"/>
              <w:color w:val="000000"/>
            </w:rPr>
            <w:tag w:val="_PLD_54cf4717f9854bf29615fba206f2098a"/>
            <w:id w:val="-532803174"/>
          </w:sdtPr>
          <w:sdtEndPr>
            <w:rPr>
              <w:rFonts w:hint="eastAsia" w:ascii="宋体" w:hAnsi="宋体"/>
              <w:color w:val="000000"/>
            </w:rPr>
          </w:sdtEndPr>
          <w:sdtContent>
            <w:tc>
              <w:tcPr>
                <w:tcW w:w="840" w:type="dxa"/>
                <w:shd w:val="clear" w:color="auto" w:fill="auto"/>
                <w:vAlign w:val="center"/>
              </w:tcPr>
              <w:p>
                <w:pPr>
                  <w:jc w:val="center"/>
                  <w:rPr>
                    <w:rFonts w:ascii="宋体" w:hAnsi="宋体"/>
                    <w:color w:val="000000"/>
                  </w:rPr>
                </w:pPr>
                <w:r>
                  <w:rPr>
                    <w:rFonts w:hint="eastAsia" w:ascii="宋体" w:hAnsi="宋体"/>
                    <w:color w:val="000000"/>
                  </w:rPr>
                  <w:t>合作方（如适用）</w:t>
                </w:r>
              </w:p>
            </w:tc>
          </w:sdtContent>
        </w:sdt>
        <w:sdt>
          <w:sdtPr>
            <w:rPr>
              <w:rFonts w:hint="eastAsia" w:ascii="宋体" w:hAnsi="宋体"/>
              <w:color w:val="000000"/>
            </w:rPr>
            <w:tag w:val="_PLD_acd01c8a891045168e34dd91f863cdbd"/>
            <w:id w:val="-2065179131"/>
          </w:sdtPr>
          <w:sdtEndPr>
            <w:rPr>
              <w:rFonts w:hint="eastAsia" w:ascii="宋体" w:hAnsi="宋体"/>
              <w:color w:val="000000"/>
            </w:rPr>
          </w:sdtEndPr>
          <w:sdtContent>
            <w:tc>
              <w:tcPr>
                <w:tcW w:w="1107" w:type="dxa"/>
                <w:shd w:val="clear" w:color="auto" w:fill="auto"/>
                <w:vAlign w:val="center"/>
              </w:tcPr>
              <w:p>
                <w:pPr>
                  <w:jc w:val="center"/>
                  <w:rPr>
                    <w:rFonts w:ascii="宋体" w:hAnsi="宋体"/>
                    <w:color w:val="000000"/>
                  </w:rPr>
                </w:pPr>
                <w:r>
                  <w:rPr>
                    <w:rFonts w:hint="eastAsia" w:ascii="宋体" w:hAnsi="宋体"/>
                    <w:color w:val="000000"/>
                  </w:rPr>
                  <w:t>投资期限（如有）</w:t>
                </w:r>
              </w:p>
            </w:tc>
          </w:sdtContent>
        </w:sdt>
        <w:sdt>
          <w:sdtPr>
            <w:rPr>
              <w:rFonts w:hint="eastAsia" w:ascii="宋体" w:hAnsi="宋体"/>
              <w:color w:val="000000"/>
            </w:rPr>
            <w:tag w:val="_PLD_6fd3a48800ca4880b60875025be161bb"/>
            <w:id w:val="-629857118"/>
          </w:sdtPr>
          <w:sdtEndPr>
            <w:rPr>
              <w:rFonts w:hint="eastAsia" w:ascii="宋体" w:hAnsi="宋体"/>
              <w:color w:val="000000"/>
            </w:rPr>
          </w:sdtEndPr>
          <w:sdtContent>
            <w:tc>
              <w:tcPr>
                <w:tcW w:w="1096" w:type="dxa"/>
                <w:shd w:val="clear" w:color="auto" w:fill="auto"/>
                <w:vAlign w:val="center"/>
              </w:tcPr>
              <w:p>
                <w:pPr>
                  <w:jc w:val="center"/>
                  <w:rPr>
                    <w:rFonts w:ascii="宋体" w:hAnsi="宋体"/>
                    <w:color w:val="000000"/>
                  </w:rPr>
                </w:pPr>
                <w:r>
                  <w:rPr>
                    <w:rFonts w:hint="eastAsia" w:ascii="宋体" w:hAnsi="宋体"/>
                    <w:color w:val="000000"/>
                  </w:rPr>
                  <w:t>截至资产负债表日的进展情况</w:t>
                </w:r>
              </w:p>
            </w:tc>
          </w:sdtContent>
        </w:sdt>
        <w:sdt>
          <w:sdtPr>
            <w:rPr>
              <w:rFonts w:hint="eastAsia" w:ascii="宋体" w:hAnsi="宋体"/>
              <w:color w:val="000000"/>
            </w:rPr>
            <w:tag w:val="_PLD_42ad11dcb59c486b9c5849db8447600e"/>
            <w:id w:val="-1412299165"/>
          </w:sdtPr>
          <w:sdtEndPr>
            <w:rPr>
              <w:rFonts w:hint="eastAsia" w:ascii="宋体" w:hAnsi="宋体"/>
              <w:color w:val="000000"/>
            </w:rPr>
          </w:sdtEndPr>
          <w:sdtContent>
            <w:tc>
              <w:tcPr>
                <w:tcW w:w="839" w:type="dxa"/>
                <w:shd w:val="clear" w:color="auto" w:fill="auto"/>
                <w:vAlign w:val="center"/>
              </w:tcPr>
              <w:p>
                <w:pPr>
                  <w:jc w:val="center"/>
                  <w:rPr>
                    <w:rFonts w:ascii="宋体" w:hAnsi="宋体"/>
                    <w:color w:val="000000"/>
                  </w:rPr>
                </w:pPr>
                <w:r>
                  <w:rPr>
                    <w:rFonts w:hint="eastAsia" w:ascii="宋体" w:hAnsi="宋体"/>
                    <w:color w:val="000000"/>
                  </w:rPr>
                  <w:t>预计收益（如有）</w:t>
                </w:r>
              </w:p>
            </w:tc>
          </w:sdtContent>
        </w:sdt>
        <w:sdt>
          <w:sdtPr>
            <w:rPr>
              <w:rFonts w:hint="eastAsia" w:ascii="宋体" w:hAnsi="宋体"/>
              <w:color w:val="000000"/>
            </w:rPr>
            <w:tag w:val="_PLD_53e14d85db8e4927a8f87eba54a5ae80"/>
            <w:id w:val="1145163475"/>
          </w:sdtPr>
          <w:sdtEndPr>
            <w:rPr>
              <w:rFonts w:hint="eastAsia" w:ascii="宋体" w:hAnsi="宋体"/>
              <w:color w:val="000000"/>
            </w:rPr>
          </w:sdtEndPr>
          <w:sdtContent>
            <w:tc>
              <w:tcPr>
                <w:tcW w:w="963" w:type="dxa"/>
                <w:shd w:val="clear" w:color="auto" w:fill="auto"/>
                <w:vAlign w:val="center"/>
              </w:tcPr>
              <w:p>
                <w:pPr>
                  <w:jc w:val="center"/>
                  <w:rPr>
                    <w:rFonts w:ascii="宋体" w:hAnsi="宋体"/>
                    <w:color w:val="000000"/>
                  </w:rPr>
                </w:pPr>
                <w:r>
                  <w:rPr>
                    <w:rFonts w:hint="eastAsia" w:ascii="宋体" w:hAnsi="宋体"/>
                    <w:color w:val="000000"/>
                  </w:rPr>
                  <w:t>本期损益影响</w:t>
                </w:r>
              </w:p>
            </w:tc>
          </w:sdtContent>
        </w:sdt>
        <w:sdt>
          <w:sdtPr>
            <w:rPr>
              <w:rFonts w:hint="eastAsia" w:ascii="宋体" w:hAnsi="宋体"/>
              <w:color w:val="000000"/>
            </w:rPr>
            <w:tag w:val="_PLD_3b4edae7be1a41e7947bb6e43869b553"/>
            <w:id w:val="474884145"/>
          </w:sdtPr>
          <w:sdtEndPr>
            <w:rPr>
              <w:rFonts w:hint="eastAsia" w:ascii="宋体" w:hAnsi="宋体"/>
              <w:color w:val="000000"/>
            </w:rPr>
          </w:sdtEndPr>
          <w:sdtContent>
            <w:tc>
              <w:tcPr>
                <w:tcW w:w="426" w:type="dxa"/>
                <w:shd w:val="clear" w:color="auto" w:fill="auto"/>
                <w:vAlign w:val="center"/>
              </w:tcPr>
              <w:p>
                <w:pPr>
                  <w:jc w:val="center"/>
                  <w:rPr>
                    <w:rFonts w:ascii="宋体" w:hAnsi="宋体"/>
                    <w:color w:val="000000"/>
                  </w:rPr>
                </w:pPr>
                <w:r>
                  <w:rPr>
                    <w:rFonts w:hint="eastAsia" w:ascii="宋体" w:hAnsi="宋体"/>
                    <w:color w:val="000000"/>
                  </w:rPr>
                  <w:t>是否涉诉</w:t>
                </w:r>
              </w:p>
            </w:tc>
          </w:sdtContent>
        </w:sdt>
        <w:sdt>
          <w:sdtPr>
            <w:rPr>
              <w:rFonts w:hint="eastAsia" w:ascii="宋体" w:hAnsi="宋体"/>
              <w:color w:val="000000"/>
            </w:rPr>
            <w:tag w:val="_PLD_957ccfee53564ed4a34b76afb3f1bc95"/>
            <w:id w:val="695653536"/>
          </w:sdtPr>
          <w:sdtEndPr>
            <w:rPr>
              <w:rFonts w:hint="eastAsia" w:ascii="宋体" w:hAnsi="宋体"/>
              <w:color w:val="000000"/>
            </w:rPr>
          </w:sdtEndPr>
          <w:sdtContent>
            <w:tc>
              <w:tcPr>
                <w:tcW w:w="979" w:type="dxa"/>
                <w:shd w:val="clear" w:color="auto" w:fill="auto"/>
                <w:vAlign w:val="center"/>
              </w:tcPr>
              <w:p>
                <w:pPr>
                  <w:jc w:val="center"/>
                  <w:rPr>
                    <w:rFonts w:ascii="宋体" w:hAnsi="宋体"/>
                    <w:color w:val="000000"/>
                  </w:rPr>
                </w:pPr>
                <w:r>
                  <w:rPr>
                    <w:rFonts w:hint="eastAsia" w:ascii="宋体" w:hAnsi="宋体"/>
                    <w:color w:val="000000"/>
                  </w:rPr>
                  <w:t>披露日期（如有）</w:t>
                </w:r>
              </w:p>
            </w:tc>
          </w:sdtContent>
        </w:sdt>
        <w:sdt>
          <w:sdtPr>
            <w:rPr>
              <w:rFonts w:hint="eastAsia" w:ascii="宋体" w:hAnsi="宋体"/>
              <w:color w:val="000000"/>
            </w:rPr>
            <w:tag w:val="_PLD_f77e215aed16430c8c1dfff4dcd8f405"/>
            <w:id w:val="1479721723"/>
          </w:sdtPr>
          <w:sdtEndPr>
            <w:rPr>
              <w:rFonts w:hint="eastAsia" w:ascii="宋体" w:hAnsi="宋体"/>
              <w:color w:val="000000"/>
            </w:rPr>
          </w:sdtEndPr>
          <w:sdtContent>
            <w:tc>
              <w:tcPr>
                <w:tcW w:w="2322" w:type="dxa"/>
                <w:shd w:val="clear" w:color="auto" w:fill="auto"/>
                <w:vAlign w:val="center"/>
              </w:tcPr>
              <w:p>
                <w:pPr>
                  <w:jc w:val="center"/>
                  <w:rPr>
                    <w:rFonts w:ascii="宋体" w:hAnsi="宋体"/>
                    <w:color w:val="000000"/>
                  </w:rPr>
                </w:pPr>
                <w:r>
                  <w:rPr>
                    <w:rFonts w:hint="eastAsia" w:ascii="宋体" w:hAnsi="宋体"/>
                    <w:color w:val="000000"/>
                  </w:rPr>
                  <w:t>披露索引（如有）</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shd w:val="clear" w:color="auto" w:fill="auto"/>
            <w:vAlign w:val="center"/>
          </w:tcPr>
          <w:p>
            <w:pPr>
              <w:rPr>
                <w:rFonts w:ascii="宋体" w:hAnsi="宋体"/>
              </w:rPr>
            </w:pPr>
            <w:r>
              <w:rPr>
                <w:rFonts w:hint="eastAsia" w:ascii="宋体" w:hAnsi="宋体"/>
              </w:rPr>
              <w:t>鲁西矿业</w:t>
            </w:r>
          </w:p>
        </w:tc>
        <w:tc>
          <w:tcPr>
            <w:tcW w:w="943" w:type="dxa"/>
            <w:shd w:val="clear" w:color="auto" w:fill="auto"/>
            <w:vAlign w:val="center"/>
          </w:tcPr>
          <w:p>
            <w:pPr>
              <w:rPr>
                <w:rFonts w:ascii="宋体" w:hAnsi="宋体"/>
              </w:rPr>
            </w:pPr>
            <w:r>
              <w:rPr>
                <w:rFonts w:hint="eastAsia" w:ascii="宋体" w:hAnsi="宋体"/>
              </w:rPr>
              <w:t>主要从事煤炭开采，煤炭洗选，煤炭及制品销售等业务</w:t>
            </w:r>
          </w:p>
        </w:tc>
        <w:tc>
          <w:tcPr>
            <w:tcW w:w="791" w:type="dxa"/>
            <w:vAlign w:val="center"/>
          </w:tcPr>
          <w:p>
            <w:pPr>
              <w:jc w:val="center"/>
              <w:rPr>
                <w:rFonts w:ascii="宋体" w:hAnsi="宋体"/>
              </w:rPr>
            </w:pPr>
            <w:r>
              <w:rPr>
                <w:rFonts w:hint="eastAsia" w:ascii="宋体" w:hAnsi="宋体"/>
              </w:rPr>
              <w:t>否</w:t>
            </w:r>
          </w:p>
        </w:tc>
        <w:tc>
          <w:tcPr>
            <w:tcW w:w="714" w:type="dxa"/>
            <w:shd w:val="clear" w:color="auto" w:fill="auto"/>
            <w:vAlign w:val="center"/>
          </w:tcPr>
          <w:p>
            <w:pPr>
              <w:jc w:val="center"/>
              <w:rPr>
                <w:rFonts w:ascii="宋体" w:hAnsi="宋体"/>
              </w:rPr>
            </w:pPr>
            <w:r>
              <w:rPr>
                <w:rFonts w:hint="eastAsia" w:ascii="宋体" w:hAnsi="宋体"/>
              </w:rPr>
              <w:t>收购</w:t>
            </w:r>
          </w:p>
        </w:tc>
        <w:tc>
          <w:tcPr>
            <w:tcW w:w="846" w:type="dxa"/>
            <w:shd w:val="clear" w:color="auto" w:fill="auto"/>
            <w:vAlign w:val="center"/>
          </w:tcPr>
          <w:p>
            <w:pPr>
              <w:jc w:val="center"/>
              <w:rPr>
                <w:rFonts w:ascii="宋体" w:hAnsi="宋体"/>
              </w:rPr>
            </w:pPr>
            <w:r>
              <w:rPr>
                <w:rFonts w:hint="eastAsia" w:ascii="宋体" w:hAnsi="宋体"/>
              </w:rPr>
              <w:t>1</w:t>
            </w:r>
            <w:r>
              <w:rPr>
                <w:rFonts w:ascii="宋体" w:hAnsi="宋体"/>
              </w:rPr>
              <w:t>83.19</w:t>
            </w:r>
          </w:p>
        </w:tc>
        <w:tc>
          <w:tcPr>
            <w:tcW w:w="846" w:type="dxa"/>
            <w:shd w:val="clear" w:color="auto" w:fill="auto"/>
            <w:vAlign w:val="center"/>
          </w:tcPr>
          <w:p>
            <w:pPr>
              <w:jc w:val="center"/>
              <w:rPr>
                <w:rFonts w:ascii="宋体" w:hAnsi="宋体"/>
              </w:rPr>
            </w:pPr>
            <w:r>
              <w:rPr>
                <w:rFonts w:hint="eastAsia" w:ascii="宋体" w:hAnsi="宋体"/>
              </w:rPr>
              <w:t>5</w:t>
            </w:r>
            <w:r>
              <w:rPr>
                <w:rFonts w:ascii="宋体" w:hAnsi="宋体"/>
              </w:rPr>
              <w:t>1</w:t>
            </w:r>
            <w:r>
              <w:rPr>
                <w:rFonts w:hint="eastAsia" w:ascii="宋体" w:hAnsi="宋体"/>
              </w:rPr>
              <w:t>%</w:t>
            </w:r>
          </w:p>
        </w:tc>
        <w:tc>
          <w:tcPr>
            <w:tcW w:w="508" w:type="dxa"/>
            <w:shd w:val="clear" w:color="auto" w:fill="auto"/>
            <w:vAlign w:val="center"/>
          </w:tcPr>
          <w:p>
            <w:pPr>
              <w:jc w:val="center"/>
              <w:rPr>
                <w:rFonts w:ascii="宋体" w:hAnsi="宋体"/>
              </w:rPr>
            </w:pPr>
            <w:r>
              <w:rPr>
                <w:rFonts w:hint="eastAsia" w:ascii="宋体" w:hAnsi="宋体"/>
              </w:rPr>
              <w:t>是</w:t>
            </w:r>
          </w:p>
        </w:tc>
        <w:tc>
          <w:tcPr>
            <w:tcW w:w="840" w:type="dxa"/>
            <w:shd w:val="clear" w:color="auto" w:fill="auto"/>
            <w:vAlign w:val="center"/>
          </w:tcPr>
          <w:p>
            <w:pPr>
              <w:jc w:val="center"/>
              <w:rPr>
                <w:rFonts w:ascii="宋体" w:hAnsi="宋体"/>
              </w:rPr>
            </w:pPr>
            <w:r>
              <w:rPr>
                <w:rFonts w:hint="eastAsia" w:ascii="宋体" w:hAnsi="宋体"/>
              </w:rPr>
              <w:t>长期股权投资</w:t>
            </w:r>
          </w:p>
        </w:tc>
        <w:tc>
          <w:tcPr>
            <w:tcW w:w="693" w:type="dxa"/>
            <w:shd w:val="clear" w:color="auto" w:fill="auto"/>
            <w:vAlign w:val="center"/>
          </w:tcPr>
          <w:p>
            <w:pPr>
              <w:jc w:val="center"/>
              <w:rPr>
                <w:rFonts w:ascii="宋体" w:hAnsi="宋体"/>
              </w:rPr>
            </w:pPr>
            <w:r>
              <w:rPr>
                <w:rFonts w:hint="eastAsia" w:ascii="宋体" w:hAnsi="宋体"/>
              </w:rPr>
              <w:t>自有资金</w:t>
            </w:r>
          </w:p>
        </w:tc>
        <w:tc>
          <w:tcPr>
            <w:tcW w:w="840" w:type="dxa"/>
            <w:shd w:val="clear" w:color="auto" w:fill="auto"/>
            <w:vAlign w:val="center"/>
          </w:tcPr>
          <w:p>
            <w:pPr>
              <w:jc w:val="center"/>
              <w:rPr>
                <w:rFonts w:ascii="宋体" w:hAnsi="宋体"/>
              </w:rPr>
            </w:pPr>
            <w:r>
              <w:rPr>
                <w:rFonts w:hint="eastAsia" w:ascii="宋体" w:hAnsi="宋体"/>
              </w:rPr>
              <w:t>-</w:t>
            </w:r>
          </w:p>
        </w:tc>
        <w:tc>
          <w:tcPr>
            <w:tcW w:w="1107" w:type="dxa"/>
            <w:shd w:val="clear" w:color="auto" w:fill="auto"/>
            <w:vAlign w:val="center"/>
          </w:tcPr>
          <w:p>
            <w:pPr>
              <w:jc w:val="center"/>
              <w:rPr>
                <w:rFonts w:ascii="宋体" w:hAnsi="宋体"/>
              </w:rPr>
            </w:pPr>
            <w:r>
              <w:rPr>
                <w:rFonts w:hint="eastAsia" w:ascii="宋体" w:hAnsi="宋体"/>
              </w:rPr>
              <w:t>-</w:t>
            </w:r>
          </w:p>
        </w:tc>
        <w:tc>
          <w:tcPr>
            <w:tcW w:w="1096" w:type="dxa"/>
            <w:shd w:val="clear" w:color="auto" w:fill="auto"/>
            <w:vAlign w:val="center"/>
          </w:tcPr>
          <w:p>
            <w:pPr>
              <w:jc w:val="center"/>
              <w:rPr>
                <w:rFonts w:ascii="宋体" w:hAnsi="宋体"/>
              </w:rPr>
            </w:pPr>
            <w:r>
              <w:rPr>
                <w:rFonts w:hint="eastAsia" w:ascii="宋体" w:hAnsi="宋体"/>
              </w:rPr>
              <w:t>已完成股权交割及工商变更程序</w:t>
            </w:r>
          </w:p>
        </w:tc>
        <w:tc>
          <w:tcPr>
            <w:tcW w:w="839" w:type="dxa"/>
            <w:shd w:val="clear" w:color="auto" w:fill="auto"/>
            <w:vAlign w:val="center"/>
          </w:tcPr>
          <w:p>
            <w:pPr>
              <w:jc w:val="center"/>
              <w:rPr>
                <w:rFonts w:ascii="宋体" w:hAnsi="宋体"/>
              </w:rPr>
            </w:pPr>
            <w:r>
              <w:rPr>
                <w:rFonts w:hint="eastAsia" w:ascii="宋体" w:hAnsi="宋体"/>
              </w:rPr>
              <w:t>-</w:t>
            </w:r>
          </w:p>
        </w:tc>
        <w:tc>
          <w:tcPr>
            <w:tcW w:w="963" w:type="dxa"/>
            <w:shd w:val="clear" w:color="auto" w:fill="auto"/>
            <w:vAlign w:val="center"/>
          </w:tcPr>
          <w:p>
            <w:pPr>
              <w:jc w:val="center"/>
              <w:rPr>
                <w:rFonts w:ascii="宋体" w:hAnsi="宋体"/>
              </w:rPr>
            </w:pPr>
            <w:r>
              <w:rPr>
                <w:rFonts w:ascii="宋体" w:hAnsi="宋体"/>
              </w:rPr>
              <w:t>16.27</w:t>
            </w:r>
          </w:p>
        </w:tc>
        <w:tc>
          <w:tcPr>
            <w:tcW w:w="426" w:type="dxa"/>
            <w:shd w:val="clear" w:color="auto" w:fill="auto"/>
            <w:vAlign w:val="center"/>
          </w:tcPr>
          <w:p>
            <w:pPr>
              <w:jc w:val="center"/>
              <w:rPr>
                <w:rFonts w:ascii="宋体" w:hAnsi="宋体"/>
              </w:rPr>
            </w:pPr>
            <w:r>
              <w:rPr>
                <w:rFonts w:hint="eastAsia" w:ascii="宋体" w:hAnsi="宋体"/>
              </w:rPr>
              <w:t>否</w:t>
            </w:r>
          </w:p>
        </w:tc>
        <w:tc>
          <w:tcPr>
            <w:tcW w:w="979" w:type="dxa"/>
            <w:shd w:val="clear" w:color="auto" w:fill="auto"/>
            <w:vAlign w:val="center"/>
          </w:tcPr>
          <w:p>
            <w:pPr>
              <w:jc w:val="center"/>
              <w:rPr>
                <w:rFonts w:ascii="宋体" w:hAnsi="宋体"/>
              </w:rPr>
            </w:pPr>
            <w:r>
              <w:rPr>
                <w:rFonts w:ascii="宋体" w:hAnsi="宋体"/>
              </w:rPr>
              <w:t>2023-4-28</w:t>
            </w:r>
          </w:p>
        </w:tc>
        <w:tc>
          <w:tcPr>
            <w:tcW w:w="2322" w:type="dxa"/>
            <w:shd w:val="clear" w:color="auto" w:fill="auto"/>
            <w:vAlign w:val="center"/>
          </w:tcPr>
          <w:p>
            <w:pPr>
              <w:rPr>
                <w:rFonts w:ascii="宋体" w:hAnsi="宋体"/>
              </w:rPr>
            </w:pPr>
            <w:r>
              <w:rPr>
                <w:rFonts w:hint="eastAsia" w:ascii="宋体" w:hAnsi="宋体"/>
              </w:rPr>
              <w:t>有关详情请见本报告“第七节 重要事项”之重大关联/关连交易相关内容。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shd w:val="clear" w:color="auto" w:fill="auto"/>
            <w:vAlign w:val="center"/>
          </w:tcPr>
          <w:p>
            <w:pPr>
              <w:rPr>
                <w:rFonts w:ascii="宋体" w:hAnsi="宋体"/>
              </w:rPr>
            </w:pPr>
            <w:r>
              <w:rPr>
                <w:rFonts w:hint="eastAsia" w:ascii="宋体" w:hAnsi="宋体"/>
              </w:rPr>
              <w:t>新疆能化</w:t>
            </w:r>
          </w:p>
        </w:tc>
        <w:tc>
          <w:tcPr>
            <w:tcW w:w="943" w:type="dxa"/>
            <w:shd w:val="clear" w:color="auto" w:fill="auto"/>
            <w:vAlign w:val="center"/>
          </w:tcPr>
          <w:p>
            <w:pPr>
              <w:rPr>
                <w:rFonts w:ascii="宋体" w:hAnsi="宋体"/>
              </w:rPr>
            </w:pPr>
            <w:r>
              <w:rPr>
                <w:rFonts w:hint="eastAsia" w:ascii="宋体" w:hAnsi="宋体"/>
              </w:rPr>
              <w:t>主要从事煤炭开采，煤炭洗选，化工产品生产，煤炭及制品销售等业务</w:t>
            </w:r>
          </w:p>
        </w:tc>
        <w:tc>
          <w:tcPr>
            <w:tcW w:w="791" w:type="dxa"/>
            <w:vAlign w:val="center"/>
          </w:tcPr>
          <w:p>
            <w:pPr>
              <w:jc w:val="center"/>
              <w:rPr>
                <w:rFonts w:ascii="宋体" w:hAnsi="宋体"/>
              </w:rPr>
            </w:pPr>
            <w:r>
              <w:rPr>
                <w:rFonts w:hint="eastAsia" w:ascii="宋体" w:hAnsi="宋体"/>
              </w:rPr>
              <w:t>否</w:t>
            </w:r>
          </w:p>
        </w:tc>
        <w:tc>
          <w:tcPr>
            <w:tcW w:w="714" w:type="dxa"/>
            <w:shd w:val="clear" w:color="auto" w:fill="auto"/>
            <w:vAlign w:val="center"/>
          </w:tcPr>
          <w:p>
            <w:pPr>
              <w:jc w:val="center"/>
              <w:rPr>
                <w:rFonts w:ascii="宋体" w:hAnsi="宋体"/>
              </w:rPr>
            </w:pPr>
            <w:r>
              <w:rPr>
                <w:rFonts w:hint="eastAsia" w:ascii="宋体" w:hAnsi="宋体"/>
              </w:rPr>
              <w:t>收购</w:t>
            </w:r>
          </w:p>
        </w:tc>
        <w:tc>
          <w:tcPr>
            <w:tcW w:w="846" w:type="dxa"/>
            <w:shd w:val="clear" w:color="auto" w:fill="auto"/>
            <w:vAlign w:val="center"/>
          </w:tcPr>
          <w:p>
            <w:pPr>
              <w:jc w:val="center"/>
              <w:rPr>
                <w:rFonts w:ascii="宋体" w:hAnsi="宋体"/>
              </w:rPr>
            </w:pPr>
            <w:r>
              <w:rPr>
                <w:rFonts w:hint="eastAsia" w:ascii="宋体" w:hAnsi="宋体"/>
              </w:rPr>
              <w:t>8</w:t>
            </w:r>
            <w:r>
              <w:rPr>
                <w:rFonts w:ascii="宋体" w:hAnsi="宋体"/>
              </w:rPr>
              <w:t>1.12</w:t>
            </w:r>
          </w:p>
        </w:tc>
        <w:tc>
          <w:tcPr>
            <w:tcW w:w="846" w:type="dxa"/>
            <w:shd w:val="clear" w:color="auto" w:fill="auto"/>
            <w:vAlign w:val="center"/>
          </w:tcPr>
          <w:p>
            <w:pPr>
              <w:jc w:val="center"/>
              <w:rPr>
                <w:rFonts w:ascii="宋体" w:hAnsi="宋体"/>
              </w:rPr>
            </w:pPr>
            <w:r>
              <w:rPr>
                <w:rFonts w:hint="eastAsia" w:ascii="宋体" w:hAnsi="宋体"/>
              </w:rPr>
              <w:t>5</w:t>
            </w:r>
            <w:r>
              <w:rPr>
                <w:rFonts w:ascii="宋体" w:hAnsi="宋体"/>
              </w:rPr>
              <w:t>1</w:t>
            </w:r>
            <w:r>
              <w:rPr>
                <w:rFonts w:hint="eastAsia" w:ascii="宋体" w:hAnsi="宋体"/>
              </w:rPr>
              <w:t>%</w:t>
            </w:r>
          </w:p>
        </w:tc>
        <w:tc>
          <w:tcPr>
            <w:tcW w:w="508" w:type="dxa"/>
            <w:shd w:val="clear" w:color="auto" w:fill="auto"/>
            <w:vAlign w:val="center"/>
          </w:tcPr>
          <w:p>
            <w:pPr>
              <w:jc w:val="center"/>
              <w:rPr>
                <w:rFonts w:ascii="宋体" w:hAnsi="宋体"/>
              </w:rPr>
            </w:pPr>
            <w:r>
              <w:rPr>
                <w:rFonts w:hint="eastAsia" w:ascii="宋体" w:hAnsi="宋体"/>
              </w:rPr>
              <w:t>是</w:t>
            </w:r>
          </w:p>
        </w:tc>
        <w:tc>
          <w:tcPr>
            <w:tcW w:w="840" w:type="dxa"/>
            <w:shd w:val="clear" w:color="auto" w:fill="auto"/>
            <w:vAlign w:val="center"/>
          </w:tcPr>
          <w:p>
            <w:pPr>
              <w:jc w:val="center"/>
              <w:rPr>
                <w:rFonts w:ascii="宋体" w:hAnsi="宋体"/>
              </w:rPr>
            </w:pPr>
            <w:r>
              <w:rPr>
                <w:rFonts w:hint="eastAsia" w:ascii="宋体" w:hAnsi="宋体"/>
              </w:rPr>
              <w:t>长期股权投资</w:t>
            </w:r>
          </w:p>
        </w:tc>
        <w:tc>
          <w:tcPr>
            <w:tcW w:w="693" w:type="dxa"/>
            <w:shd w:val="clear" w:color="auto" w:fill="auto"/>
            <w:vAlign w:val="center"/>
          </w:tcPr>
          <w:p>
            <w:pPr>
              <w:jc w:val="center"/>
              <w:rPr>
                <w:rFonts w:ascii="宋体" w:hAnsi="宋体"/>
              </w:rPr>
            </w:pPr>
            <w:r>
              <w:rPr>
                <w:rFonts w:hint="eastAsia" w:ascii="宋体" w:hAnsi="宋体"/>
              </w:rPr>
              <w:t>自有资金</w:t>
            </w:r>
          </w:p>
        </w:tc>
        <w:tc>
          <w:tcPr>
            <w:tcW w:w="840" w:type="dxa"/>
            <w:shd w:val="clear" w:color="auto" w:fill="auto"/>
            <w:vAlign w:val="center"/>
          </w:tcPr>
          <w:p>
            <w:pPr>
              <w:jc w:val="center"/>
              <w:rPr>
                <w:rFonts w:ascii="宋体" w:hAnsi="宋体"/>
              </w:rPr>
            </w:pPr>
            <w:r>
              <w:rPr>
                <w:rFonts w:hint="eastAsia" w:ascii="宋体" w:hAnsi="宋体"/>
              </w:rPr>
              <w:t>-</w:t>
            </w:r>
          </w:p>
        </w:tc>
        <w:tc>
          <w:tcPr>
            <w:tcW w:w="1107" w:type="dxa"/>
            <w:shd w:val="clear" w:color="auto" w:fill="auto"/>
            <w:vAlign w:val="center"/>
          </w:tcPr>
          <w:p>
            <w:pPr>
              <w:jc w:val="center"/>
              <w:rPr>
                <w:rFonts w:ascii="宋体" w:hAnsi="宋体"/>
              </w:rPr>
            </w:pPr>
            <w:r>
              <w:rPr>
                <w:rFonts w:hint="eastAsia" w:ascii="宋体" w:hAnsi="宋体"/>
              </w:rPr>
              <w:t>-</w:t>
            </w:r>
          </w:p>
        </w:tc>
        <w:tc>
          <w:tcPr>
            <w:tcW w:w="1096" w:type="dxa"/>
            <w:shd w:val="clear" w:color="auto" w:fill="auto"/>
            <w:vAlign w:val="center"/>
          </w:tcPr>
          <w:p>
            <w:pPr>
              <w:jc w:val="center"/>
              <w:rPr>
                <w:rFonts w:ascii="宋体" w:hAnsi="宋体"/>
              </w:rPr>
            </w:pPr>
            <w:r>
              <w:rPr>
                <w:rFonts w:hint="eastAsia" w:ascii="宋体" w:hAnsi="宋体"/>
              </w:rPr>
              <w:t>已完成股权交割及工商变更程序</w:t>
            </w:r>
          </w:p>
        </w:tc>
        <w:tc>
          <w:tcPr>
            <w:tcW w:w="839" w:type="dxa"/>
            <w:shd w:val="clear" w:color="auto" w:fill="auto"/>
            <w:vAlign w:val="center"/>
          </w:tcPr>
          <w:p>
            <w:pPr>
              <w:jc w:val="center"/>
              <w:rPr>
                <w:rFonts w:ascii="宋体" w:hAnsi="宋体"/>
              </w:rPr>
            </w:pPr>
            <w:r>
              <w:rPr>
                <w:rFonts w:ascii="宋体" w:hAnsi="宋体"/>
              </w:rPr>
              <w:t>-</w:t>
            </w:r>
          </w:p>
        </w:tc>
        <w:tc>
          <w:tcPr>
            <w:tcW w:w="963" w:type="dxa"/>
            <w:shd w:val="clear" w:color="auto" w:fill="auto"/>
            <w:vAlign w:val="center"/>
          </w:tcPr>
          <w:p>
            <w:pPr>
              <w:jc w:val="center"/>
              <w:rPr>
                <w:rFonts w:ascii="宋体" w:hAnsi="宋体"/>
              </w:rPr>
            </w:pPr>
            <w:r>
              <w:rPr>
                <w:rFonts w:ascii="宋体" w:hAnsi="宋体"/>
              </w:rPr>
              <w:t>4.26</w:t>
            </w:r>
          </w:p>
        </w:tc>
        <w:tc>
          <w:tcPr>
            <w:tcW w:w="426" w:type="dxa"/>
            <w:shd w:val="clear" w:color="auto" w:fill="auto"/>
            <w:vAlign w:val="center"/>
          </w:tcPr>
          <w:p>
            <w:pPr>
              <w:jc w:val="center"/>
              <w:rPr>
                <w:rFonts w:ascii="宋体" w:hAnsi="宋体"/>
              </w:rPr>
            </w:pPr>
            <w:r>
              <w:rPr>
                <w:rFonts w:hint="eastAsia" w:ascii="宋体" w:hAnsi="宋体"/>
              </w:rPr>
              <w:t>否</w:t>
            </w:r>
          </w:p>
        </w:tc>
        <w:tc>
          <w:tcPr>
            <w:tcW w:w="979" w:type="dxa"/>
            <w:shd w:val="clear" w:color="auto" w:fill="auto"/>
            <w:vAlign w:val="center"/>
          </w:tcPr>
          <w:p>
            <w:pPr>
              <w:jc w:val="center"/>
              <w:rPr>
                <w:rFonts w:ascii="宋体" w:hAnsi="宋体"/>
              </w:rPr>
            </w:pPr>
            <w:r>
              <w:rPr>
                <w:rFonts w:ascii="宋体" w:hAnsi="宋体"/>
              </w:rPr>
              <w:t>2023-4-28</w:t>
            </w:r>
          </w:p>
        </w:tc>
        <w:tc>
          <w:tcPr>
            <w:tcW w:w="2322" w:type="dxa"/>
            <w:shd w:val="clear" w:color="auto" w:fill="auto"/>
            <w:vAlign w:val="center"/>
          </w:tcPr>
          <w:p>
            <w:pPr>
              <w:rPr>
                <w:rFonts w:ascii="宋体" w:hAnsi="宋体"/>
              </w:rPr>
            </w:pPr>
            <w:r>
              <w:rPr>
                <w:rFonts w:hint="eastAsia" w:ascii="宋体" w:hAnsi="宋体"/>
              </w:rPr>
              <w:t>有关详情请见本报告“第七节 重要事项”之重大关联/关连交易相关内容。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shd w:val="clear" w:color="auto" w:fill="auto"/>
          </w:tcPr>
          <w:p>
            <w:pPr>
              <w:jc w:val="center"/>
              <w:rPr>
                <w:rFonts w:ascii="宋体" w:hAnsi="宋体"/>
              </w:rPr>
            </w:pPr>
            <w:r>
              <w:rPr>
                <w:rFonts w:hint="eastAsia" w:ascii="宋体" w:hAnsi="宋体"/>
              </w:rPr>
              <w:t>合计</w:t>
            </w:r>
          </w:p>
        </w:tc>
        <w:tc>
          <w:tcPr>
            <w:tcW w:w="943" w:type="dxa"/>
            <w:shd w:val="clear" w:color="auto" w:fill="auto"/>
          </w:tcPr>
          <w:p>
            <w:pPr>
              <w:jc w:val="center"/>
              <w:rPr>
                <w:rFonts w:ascii="宋体" w:hAnsi="宋体"/>
              </w:rPr>
            </w:pPr>
            <w:r>
              <w:rPr>
                <w:rFonts w:hint="eastAsia" w:ascii="宋体" w:hAnsi="宋体"/>
              </w:rPr>
              <w:t>/</w:t>
            </w:r>
          </w:p>
        </w:tc>
        <w:tc>
          <w:tcPr>
            <w:tcW w:w="791" w:type="dxa"/>
            <w:vAlign w:val="center"/>
          </w:tcPr>
          <w:p>
            <w:pPr>
              <w:jc w:val="center"/>
              <w:rPr>
                <w:rFonts w:ascii="宋体" w:hAnsi="宋体"/>
              </w:rPr>
            </w:pPr>
            <w:r>
              <w:rPr>
                <w:rFonts w:hint="eastAsia" w:ascii="宋体" w:hAnsi="宋体"/>
              </w:rPr>
              <w:t>/</w:t>
            </w:r>
          </w:p>
        </w:tc>
        <w:tc>
          <w:tcPr>
            <w:tcW w:w="714" w:type="dxa"/>
            <w:shd w:val="clear" w:color="auto" w:fill="auto"/>
            <w:vAlign w:val="center"/>
          </w:tcPr>
          <w:p>
            <w:pPr>
              <w:jc w:val="center"/>
              <w:rPr>
                <w:rFonts w:ascii="宋体" w:hAnsi="宋体"/>
              </w:rPr>
            </w:pPr>
            <w:r>
              <w:rPr>
                <w:rFonts w:hint="eastAsia" w:ascii="宋体" w:hAnsi="宋体"/>
              </w:rPr>
              <w:t>/</w:t>
            </w:r>
          </w:p>
        </w:tc>
        <w:tc>
          <w:tcPr>
            <w:tcW w:w="846" w:type="dxa"/>
            <w:shd w:val="clear" w:color="auto" w:fill="auto"/>
            <w:vAlign w:val="center"/>
          </w:tcPr>
          <w:p>
            <w:pPr>
              <w:jc w:val="center"/>
              <w:rPr>
                <w:rFonts w:ascii="宋体" w:hAnsi="宋体"/>
              </w:rPr>
            </w:pPr>
            <w:r>
              <w:rPr>
                <w:rFonts w:ascii="宋体" w:hAnsi="宋体"/>
              </w:rPr>
              <w:t>264.31</w:t>
            </w:r>
          </w:p>
        </w:tc>
        <w:tc>
          <w:tcPr>
            <w:tcW w:w="846" w:type="dxa"/>
            <w:shd w:val="clear" w:color="auto" w:fill="auto"/>
            <w:vAlign w:val="center"/>
          </w:tcPr>
          <w:p>
            <w:pPr>
              <w:jc w:val="center"/>
              <w:rPr>
                <w:rFonts w:ascii="宋体" w:hAnsi="宋体"/>
              </w:rPr>
            </w:pPr>
            <w:r>
              <w:rPr>
                <w:rFonts w:hint="eastAsia" w:ascii="宋体" w:hAnsi="宋体"/>
              </w:rPr>
              <w:t>/</w:t>
            </w:r>
          </w:p>
        </w:tc>
        <w:tc>
          <w:tcPr>
            <w:tcW w:w="508" w:type="dxa"/>
            <w:shd w:val="clear" w:color="auto" w:fill="auto"/>
            <w:vAlign w:val="center"/>
          </w:tcPr>
          <w:p>
            <w:pPr>
              <w:jc w:val="center"/>
              <w:rPr>
                <w:rFonts w:ascii="宋体" w:hAnsi="宋体"/>
              </w:rPr>
            </w:pPr>
            <w:r>
              <w:rPr>
                <w:rFonts w:hint="eastAsia" w:ascii="宋体" w:hAnsi="宋体"/>
              </w:rPr>
              <w:t>/</w:t>
            </w:r>
          </w:p>
        </w:tc>
        <w:tc>
          <w:tcPr>
            <w:tcW w:w="840" w:type="dxa"/>
            <w:shd w:val="clear" w:color="auto" w:fill="auto"/>
            <w:vAlign w:val="center"/>
          </w:tcPr>
          <w:p>
            <w:pPr>
              <w:jc w:val="center"/>
              <w:rPr>
                <w:rFonts w:ascii="宋体" w:hAnsi="宋体"/>
              </w:rPr>
            </w:pPr>
            <w:r>
              <w:rPr>
                <w:rFonts w:hint="eastAsia" w:ascii="宋体" w:hAnsi="宋体"/>
              </w:rPr>
              <w:t>/</w:t>
            </w:r>
          </w:p>
        </w:tc>
        <w:tc>
          <w:tcPr>
            <w:tcW w:w="693" w:type="dxa"/>
            <w:shd w:val="clear" w:color="auto" w:fill="auto"/>
            <w:vAlign w:val="center"/>
          </w:tcPr>
          <w:p>
            <w:pPr>
              <w:jc w:val="center"/>
              <w:rPr>
                <w:rFonts w:ascii="宋体" w:hAnsi="宋体"/>
              </w:rPr>
            </w:pPr>
            <w:r>
              <w:rPr>
                <w:rFonts w:hint="eastAsia" w:ascii="宋体" w:hAnsi="宋体"/>
              </w:rPr>
              <w:t>/</w:t>
            </w:r>
          </w:p>
        </w:tc>
        <w:tc>
          <w:tcPr>
            <w:tcW w:w="840" w:type="dxa"/>
            <w:shd w:val="clear" w:color="auto" w:fill="auto"/>
            <w:vAlign w:val="center"/>
          </w:tcPr>
          <w:p>
            <w:pPr>
              <w:jc w:val="center"/>
              <w:rPr>
                <w:rFonts w:ascii="宋体" w:hAnsi="宋体"/>
              </w:rPr>
            </w:pPr>
            <w:r>
              <w:rPr>
                <w:rFonts w:hint="eastAsia" w:ascii="宋体" w:hAnsi="宋体"/>
              </w:rPr>
              <w:t>/</w:t>
            </w:r>
          </w:p>
        </w:tc>
        <w:tc>
          <w:tcPr>
            <w:tcW w:w="1107" w:type="dxa"/>
            <w:shd w:val="clear" w:color="auto" w:fill="auto"/>
            <w:vAlign w:val="center"/>
          </w:tcPr>
          <w:p>
            <w:pPr>
              <w:jc w:val="center"/>
              <w:rPr>
                <w:rFonts w:ascii="宋体" w:hAnsi="宋体"/>
              </w:rPr>
            </w:pPr>
            <w:r>
              <w:rPr>
                <w:rFonts w:hint="eastAsia" w:ascii="宋体" w:hAnsi="宋体"/>
              </w:rPr>
              <w:t>/</w:t>
            </w:r>
          </w:p>
        </w:tc>
        <w:tc>
          <w:tcPr>
            <w:tcW w:w="1096" w:type="dxa"/>
            <w:shd w:val="clear" w:color="auto" w:fill="auto"/>
            <w:vAlign w:val="center"/>
          </w:tcPr>
          <w:p>
            <w:pPr>
              <w:jc w:val="center"/>
              <w:rPr>
                <w:rFonts w:ascii="宋体" w:hAnsi="宋体"/>
              </w:rPr>
            </w:pPr>
            <w:r>
              <w:rPr>
                <w:rFonts w:hint="eastAsia" w:ascii="宋体" w:hAnsi="宋体"/>
              </w:rPr>
              <w:t>/</w:t>
            </w:r>
          </w:p>
        </w:tc>
        <w:tc>
          <w:tcPr>
            <w:tcW w:w="839" w:type="dxa"/>
            <w:shd w:val="clear" w:color="auto" w:fill="auto"/>
            <w:vAlign w:val="center"/>
          </w:tcPr>
          <w:p>
            <w:pPr>
              <w:jc w:val="center"/>
              <w:rPr>
                <w:rFonts w:ascii="宋体" w:hAnsi="宋体"/>
              </w:rPr>
            </w:pPr>
            <w:r>
              <w:rPr>
                <w:rFonts w:hint="eastAsia" w:ascii="宋体" w:hAnsi="宋体"/>
              </w:rPr>
              <w:t>-</w:t>
            </w:r>
          </w:p>
        </w:tc>
        <w:tc>
          <w:tcPr>
            <w:tcW w:w="963" w:type="dxa"/>
            <w:shd w:val="clear" w:color="auto" w:fill="auto"/>
            <w:vAlign w:val="center"/>
          </w:tcPr>
          <w:p>
            <w:pPr>
              <w:jc w:val="center"/>
              <w:rPr>
                <w:rFonts w:ascii="宋体" w:hAnsi="宋体"/>
              </w:rPr>
            </w:pPr>
            <w:r>
              <w:rPr>
                <w:rFonts w:ascii="宋体" w:hAnsi="宋体"/>
              </w:rPr>
              <w:t>20.53</w:t>
            </w:r>
          </w:p>
        </w:tc>
        <w:tc>
          <w:tcPr>
            <w:tcW w:w="426" w:type="dxa"/>
            <w:shd w:val="clear" w:color="auto" w:fill="auto"/>
            <w:vAlign w:val="center"/>
          </w:tcPr>
          <w:p>
            <w:pPr>
              <w:jc w:val="center"/>
              <w:rPr>
                <w:rFonts w:ascii="宋体" w:hAnsi="宋体"/>
              </w:rPr>
            </w:pPr>
            <w:r>
              <w:rPr>
                <w:rFonts w:hint="eastAsia" w:ascii="宋体" w:hAnsi="宋体"/>
              </w:rPr>
              <w:t>/</w:t>
            </w:r>
          </w:p>
        </w:tc>
        <w:tc>
          <w:tcPr>
            <w:tcW w:w="979" w:type="dxa"/>
            <w:shd w:val="clear" w:color="auto" w:fill="auto"/>
            <w:vAlign w:val="center"/>
          </w:tcPr>
          <w:p>
            <w:pPr>
              <w:jc w:val="center"/>
              <w:rPr>
                <w:rFonts w:ascii="宋体" w:hAnsi="宋体"/>
              </w:rPr>
            </w:pPr>
            <w:r>
              <w:rPr>
                <w:rFonts w:hint="eastAsia" w:ascii="宋体" w:hAnsi="宋体"/>
              </w:rPr>
              <w:t>/</w:t>
            </w:r>
          </w:p>
        </w:tc>
        <w:tc>
          <w:tcPr>
            <w:tcW w:w="2322" w:type="dxa"/>
            <w:shd w:val="clear" w:color="auto" w:fill="auto"/>
          </w:tcPr>
          <w:p>
            <w:pPr>
              <w:jc w:val="center"/>
              <w:rPr>
                <w:rFonts w:ascii="宋体" w:hAnsi="宋体"/>
              </w:rPr>
            </w:pPr>
            <w:r>
              <w:rPr>
                <w:rFonts w:hint="eastAsia" w:ascii="宋体" w:hAnsi="宋体"/>
              </w:rPr>
              <w:t>/</w:t>
            </w:r>
          </w:p>
        </w:tc>
      </w:tr>
    </w:tbl>
    <w:p>
      <w:pPr>
        <w:pStyle w:val="43"/>
      </w:pPr>
      <w:bookmarkStart w:id="74" w:name="_Hlk162383924"/>
      <w:r>
        <w:rPr>
          <w:rFonts w:hint="eastAsia"/>
        </w:rPr>
        <w:t>注：上表“本期损益影响”为被投资单位1</w:t>
      </w:r>
      <w:r>
        <w:t>00</w:t>
      </w:r>
      <w:r>
        <w:rPr>
          <w:rFonts w:hint="eastAsia"/>
        </w:rPr>
        <w:t>%权益的合并报表净利润数据。</w:t>
      </w:r>
    </w:p>
    <w:bookmarkEnd w:id="74"/>
    <w:p>
      <w:pPr>
        <w:pStyle w:val="43"/>
      </w:pPr>
    </w:p>
    <w:p>
      <w:pPr>
        <w:pStyle w:val="5"/>
        <w:numPr>
          <w:ilvl w:val="0"/>
          <w:numId w:val="15"/>
        </w:numPr>
        <w:rPr>
          <w:rFonts w:ascii="宋体" w:hAnsi="宋体" w:eastAsia="宋体" w:cs="宋体"/>
          <w:kern w:val="0"/>
        </w:rPr>
      </w:pPr>
      <w:r>
        <w:rPr>
          <w:rFonts w:hint="eastAsia" w:ascii="宋体" w:hAnsi="宋体" w:eastAsia="宋体" w:cs="宋体"/>
          <w:kern w:val="0"/>
        </w:rPr>
        <w:t>重大的非股权投资</w:t>
      </w:r>
    </w:p>
    <w:sdt>
      <w:sdtPr>
        <w:rPr>
          <w:rFonts w:hint="eastAsia"/>
        </w:rPr>
        <w:alias w:val="是否适用：重大的非股权投资[双击切换]"/>
        <w:tag w:val="_GBC_fbd46075a5b9414d9e28cd2404e5d47c"/>
        <w:id w:val="1933007855"/>
        <w:placeholder>
          <w:docPart w:val="GBC22222222222222222222222222222"/>
        </w:placeholder>
      </w:sdtPr>
      <w:sdtEndPr>
        <w:rPr>
          <w:rFonts w:hint="eastAsia"/>
        </w:rPr>
      </w:sdtEnd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43"/>
      </w:pPr>
    </w:p>
    <w:p>
      <w:pPr>
        <w:pStyle w:val="5"/>
        <w:numPr>
          <w:ilvl w:val="0"/>
          <w:numId w:val="15"/>
        </w:numPr>
        <w:rPr>
          <w:rFonts w:ascii="宋体" w:hAnsi="宋体" w:eastAsia="宋体" w:cs="宋体"/>
          <w:kern w:val="0"/>
        </w:rPr>
      </w:pPr>
      <w:bookmarkStart w:id="75" w:name="_Hlk161496791"/>
      <w:r>
        <w:rPr>
          <w:rFonts w:hint="eastAsia" w:ascii="宋体" w:hAnsi="宋体" w:eastAsia="宋体" w:cs="宋体"/>
          <w:kern w:val="0"/>
        </w:rPr>
        <w:t>以公允价值计量的金融资产</w:t>
      </w:r>
    </w:p>
    <w:sdt>
      <w:sdtPr>
        <w:rPr>
          <w:rFonts w:hint="eastAsia" w:ascii="宋体" w:hAnsi="宋体"/>
        </w:rPr>
        <w:alias w:val="是否适用：以公允价值计量的金融资产[双击切换]"/>
        <w:tag w:val="_GBC_27fa42d1c8fd489d9e8648bed00ddd53"/>
        <w:id w:val="743151998"/>
        <w:placeholder>
          <w:docPart w:val="GBC22222222222222222222222222222"/>
        </w:placeholder>
      </w:sdtPr>
      <w:sdtEndPr>
        <w:rPr>
          <w:rFonts w:hint="eastAsia" w:ascii="宋体" w:hAnsi="宋体"/>
        </w:rPr>
      </w:sdtEndPr>
      <w:sdtContent>
        <w:p>
          <w:pPr>
            <w:rPr>
              <w:rFonts w:ascii="宋体" w:hAnsi="宋体"/>
            </w:rPr>
          </w:pPr>
          <w:bookmarkStart w:id="76" w:name="_Hlk40532846"/>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86"/>
        <w:wordWrap w:val="0"/>
        <w:ind w:left="360" w:firstLine="0" w:firstLineChars="0"/>
        <w:jc w:val="right"/>
        <w:rPr>
          <w:rFonts w:ascii="宋体" w:hAnsi="宋体"/>
        </w:rPr>
      </w:pPr>
      <w:r>
        <w:rPr>
          <w:rFonts w:hint="eastAsia" w:ascii="宋体" w:hAnsi="宋体"/>
        </w:rPr>
        <w:t>单位：</w:t>
      </w:r>
      <w:sdt>
        <w:sdtPr>
          <w:rPr>
            <w:rFonts w:hint="eastAsia" w:ascii="宋体" w:hAnsi="宋体"/>
          </w:rPr>
          <w:alias w:val="单位：以公允价值计量的金融资产"/>
          <w:tag w:val="_GBC_b2e3ce23c85c488ab3fa1ba1294ef546"/>
          <w:id w:val="-73153807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宋体" w:hAnsi="宋体"/>
          </w:rPr>
        </w:sdtEndPr>
        <w:sdtContent>
          <w:r>
            <w:rPr>
              <w:rFonts w:hint="eastAsia" w:ascii="宋体" w:hAnsi="宋体"/>
            </w:rPr>
            <w:t>千元</w:t>
          </w:r>
        </w:sdtContent>
      </w:sdt>
      <w:r>
        <w:rPr>
          <w:rFonts w:hint="eastAsia" w:ascii="宋体" w:hAnsi="宋体"/>
        </w:rPr>
        <w:t xml:space="preserve">  币种：</w:t>
      </w:r>
      <w:sdt>
        <w:sdtPr>
          <w:rPr>
            <w:rFonts w:hint="eastAsia" w:ascii="宋体" w:hAnsi="宋体"/>
          </w:rPr>
          <w:alias w:val="币种：以公允价值计量的金融资产"/>
          <w:tag w:val="_GBC_77ed3303d22c48dc98ae781142db662c"/>
          <w:id w:val="20748486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rPr>
            <w:t>人民币</w:t>
          </w:r>
        </w:sdtContent>
      </w:sdt>
    </w:p>
    <w:tbl>
      <w:tblPr>
        <w:tblStyle w:val="1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540"/>
        <w:gridCol w:w="1540"/>
        <w:gridCol w:w="1541"/>
        <w:gridCol w:w="1540"/>
        <w:gridCol w:w="1541"/>
        <w:gridCol w:w="1540"/>
        <w:gridCol w:w="15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宋体" w:hAnsi="宋体"/>
              <w:szCs w:val="22"/>
            </w:rPr>
            <w:tag w:val="_PLD_0c54b9fd583d4e649fc12d33a6f94086"/>
            <w:id w:val="-1011452123"/>
          </w:sdtPr>
          <w:sdtEndPr>
            <w:rPr>
              <w:rFonts w:hint="eastAsia" w:ascii="宋体" w:hAnsi="宋体"/>
              <w:szCs w:val="22"/>
            </w:rPr>
          </w:sdtEndPr>
          <w:sdtContent>
            <w:tc>
              <w:tcPr>
                <w:tcW w:w="1539" w:type="dxa"/>
                <w:shd w:val="clear" w:color="auto" w:fill="auto"/>
                <w:vAlign w:val="center"/>
              </w:tcPr>
              <w:p>
                <w:pPr>
                  <w:jc w:val="center"/>
                  <w:rPr>
                    <w:rFonts w:ascii="宋体" w:hAnsi="宋体"/>
                  </w:rPr>
                </w:pPr>
                <w:r>
                  <w:rPr>
                    <w:rFonts w:hint="eastAsia" w:ascii="宋体" w:hAnsi="宋体"/>
                    <w:szCs w:val="22"/>
                  </w:rPr>
                  <w:t>资产类别</w:t>
                </w:r>
              </w:p>
            </w:tc>
          </w:sdtContent>
        </w:sdt>
        <w:sdt>
          <w:sdtPr>
            <w:rPr>
              <w:rFonts w:hint="eastAsia" w:ascii="宋体" w:hAnsi="宋体"/>
            </w:rPr>
            <w:tag w:val="_PLD_4b84ad0ddc154021b1b8d9a6bffa6c39"/>
            <w:id w:val="687955481"/>
          </w:sdtPr>
          <w:sdtEndPr>
            <w:rPr>
              <w:rFonts w:hint="eastAsia" w:ascii="宋体" w:hAnsi="宋体"/>
            </w:rPr>
          </w:sdtEndPr>
          <w:sdtContent>
            <w:tc>
              <w:tcPr>
                <w:tcW w:w="1540" w:type="dxa"/>
                <w:shd w:val="clear" w:color="auto" w:fill="auto"/>
                <w:vAlign w:val="center"/>
              </w:tcPr>
              <w:p>
                <w:pPr>
                  <w:jc w:val="center"/>
                  <w:rPr>
                    <w:rFonts w:ascii="宋体" w:hAnsi="宋体"/>
                  </w:rPr>
                </w:pPr>
                <w:r>
                  <w:rPr>
                    <w:rFonts w:hint="eastAsia" w:ascii="宋体" w:hAnsi="宋体"/>
                  </w:rPr>
                  <w:t>期初数</w:t>
                </w:r>
              </w:p>
            </w:tc>
          </w:sdtContent>
        </w:sdt>
        <w:sdt>
          <w:sdtPr>
            <w:rPr>
              <w:rFonts w:hint="eastAsia" w:ascii="宋体" w:hAnsi="宋体"/>
            </w:rPr>
            <w:tag w:val="_PLD_fa8919b699f843d2b03f2004a27810b6"/>
            <w:id w:val="719174596"/>
          </w:sdtPr>
          <w:sdtEndPr>
            <w:rPr>
              <w:rFonts w:hint="eastAsia" w:ascii="宋体" w:hAnsi="宋体"/>
            </w:rPr>
          </w:sdtEndPr>
          <w:sdtContent>
            <w:tc>
              <w:tcPr>
                <w:tcW w:w="1540" w:type="dxa"/>
                <w:shd w:val="clear" w:color="auto" w:fill="auto"/>
                <w:vAlign w:val="center"/>
              </w:tcPr>
              <w:p>
                <w:pPr>
                  <w:jc w:val="center"/>
                  <w:rPr>
                    <w:rFonts w:ascii="宋体" w:hAnsi="宋体"/>
                    <w:b/>
                  </w:rPr>
                </w:pPr>
                <w:r>
                  <w:rPr>
                    <w:rFonts w:hint="eastAsia" w:ascii="宋体" w:hAnsi="宋体"/>
                  </w:rPr>
                  <w:t>本期公允价值变动损益</w:t>
                </w:r>
              </w:p>
            </w:tc>
          </w:sdtContent>
        </w:sdt>
        <w:sdt>
          <w:sdtPr>
            <w:rPr>
              <w:rFonts w:hint="eastAsia" w:ascii="宋体" w:hAnsi="宋体"/>
            </w:rPr>
            <w:tag w:val="_PLD_81fc9fd2b35c49e2bfd3b55b8724ae1d"/>
            <w:id w:val="-1014224936"/>
          </w:sdtPr>
          <w:sdtEndPr>
            <w:rPr>
              <w:rFonts w:hint="eastAsia" w:ascii="宋体" w:hAnsi="宋体"/>
            </w:rPr>
          </w:sdtEndPr>
          <w:sdtContent>
            <w:tc>
              <w:tcPr>
                <w:tcW w:w="1541" w:type="dxa"/>
                <w:shd w:val="clear" w:color="auto" w:fill="auto"/>
                <w:vAlign w:val="center"/>
              </w:tcPr>
              <w:p>
                <w:pPr>
                  <w:jc w:val="center"/>
                  <w:rPr>
                    <w:rFonts w:ascii="宋体" w:hAnsi="宋体"/>
                  </w:rPr>
                </w:pPr>
                <w:r>
                  <w:rPr>
                    <w:rFonts w:hint="eastAsia" w:ascii="宋体" w:hAnsi="宋体"/>
                  </w:rPr>
                  <w:t>计入权益的累计公允价值变动</w:t>
                </w:r>
              </w:p>
            </w:tc>
          </w:sdtContent>
        </w:sdt>
        <w:sdt>
          <w:sdtPr>
            <w:rPr>
              <w:rFonts w:hint="eastAsia" w:ascii="宋体" w:hAnsi="宋体"/>
            </w:rPr>
            <w:tag w:val="_PLD_d6f12030ef654b5cad4265cc31977836"/>
            <w:id w:val="-645205469"/>
          </w:sdtPr>
          <w:sdtEndPr>
            <w:rPr>
              <w:rFonts w:hint="eastAsia" w:ascii="宋体" w:hAnsi="宋体"/>
            </w:rPr>
          </w:sdtEndPr>
          <w:sdtContent>
            <w:tc>
              <w:tcPr>
                <w:tcW w:w="1540" w:type="dxa"/>
                <w:shd w:val="clear" w:color="auto" w:fill="auto"/>
                <w:vAlign w:val="center"/>
              </w:tcPr>
              <w:p>
                <w:pPr>
                  <w:jc w:val="center"/>
                  <w:rPr>
                    <w:rFonts w:ascii="宋体" w:hAnsi="宋体"/>
                  </w:rPr>
                </w:pPr>
                <w:r>
                  <w:rPr>
                    <w:rFonts w:hint="eastAsia" w:ascii="宋体" w:hAnsi="宋体"/>
                  </w:rPr>
                  <w:t>本期计提的减值</w:t>
                </w:r>
              </w:p>
            </w:tc>
          </w:sdtContent>
        </w:sdt>
        <w:sdt>
          <w:sdtPr>
            <w:rPr>
              <w:rFonts w:hint="eastAsia" w:ascii="宋体" w:hAnsi="宋体"/>
            </w:rPr>
            <w:tag w:val="_PLD_8693ec76f7f14d898c4b16665659ded9"/>
            <w:id w:val="-1739770841"/>
          </w:sdtPr>
          <w:sdtEndPr>
            <w:rPr>
              <w:rFonts w:hint="eastAsia" w:ascii="宋体" w:hAnsi="宋体"/>
            </w:rPr>
          </w:sdtEndPr>
          <w:sdtContent>
            <w:tc>
              <w:tcPr>
                <w:tcW w:w="1541" w:type="dxa"/>
                <w:shd w:val="clear" w:color="auto" w:fill="auto"/>
                <w:vAlign w:val="center"/>
              </w:tcPr>
              <w:p>
                <w:pPr>
                  <w:jc w:val="center"/>
                  <w:rPr>
                    <w:rFonts w:ascii="宋体" w:hAnsi="宋体"/>
                  </w:rPr>
                </w:pPr>
                <w:r>
                  <w:rPr>
                    <w:rFonts w:hint="eastAsia" w:ascii="宋体" w:hAnsi="宋体"/>
                  </w:rPr>
                  <w:t>本期购买金额</w:t>
                </w:r>
              </w:p>
            </w:tc>
          </w:sdtContent>
        </w:sdt>
        <w:sdt>
          <w:sdtPr>
            <w:rPr>
              <w:rFonts w:hint="eastAsia" w:ascii="宋体" w:hAnsi="宋体"/>
            </w:rPr>
            <w:tag w:val="_PLD_ba0671fda1cb4d8c8d3c1e5b16cc6e5a"/>
            <w:id w:val="-52619350"/>
          </w:sdtPr>
          <w:sdtEndPr>
            <w:rPr>
              <w:rFonts w:hint="eastAsia" w:ascii="宋体" w:hAnsi="宋体"/>
            </w:rPr>
          </w:sdtEndPr>
          <w:sdtContent>
            <w:tc>
              <w:tcPr>
                <w:tcW w:w="1540" w:type="dxa"/>
                <w:shd w:val="clear" w:color="auto" w:fill="auto"/>
                <w:vAlign w:val="center"/>
              </w:tcPr>
              <w:p>
                <w:pPr>
                  <w:jc w:val="center"/>
                  <w:rPr>
                    <w:rFonts w:ascii="宋体" w:hAnsi="宋体"/>
                  </w:rPr>
                </w:pPr>
                <w:r>
                  <w:rPr>
                    <w:rFonts w:hint="eastAsia" w:ascii="宋体" w:hAnsi="宋体"/>
                  </w:rPr>
                  <w:t>本期出售/赎回金额</w:t>
                </w:r>
              </w:p>
            </w:tc>
          </w:sdtContent>
        </w:sdt>
        <w:sdt>
          <w:sdtPr>
            <w:rPr>
              <w:rFonts w:hint="eastAsia" w:ascii="宋体" w:hAnsi="宋体"/>
            </w:rPr>
            <w:tag w:val="_PLD_50b7e7d4561f48f190f80d486d12a170"/>
            <w:id w:val="561530778"/>
          </w:sdtPr>
          <w:sdtEndPr>
            <w:rPr>
              <w:rFonts w:hint="eastAsia" w:ascii="宋体" w:hAnsi="宋体"/>
            </w:rPr>
          </w:sdtEndPr>
          <w:sdtContent>
            <w:tc>
              <w:tcPr>
                <w:tcW w:w="1541" w:type="dxa"/>
                <w:shd w:val="clear" w:color="auto" w:fill="auto"/>
                <w:vAlign w:val="center"/>
              </w:tcPr>
              <w:p>
                <w:pPr>
                  <w:jc w:val="center"/>
                  <w:rPr>
                    <w:rFonts w:ascii="宋体" w:hAnsi="宋体"/>
                  </w:rPr>
                </w:pPr>
                <w:r>
                  <w:rPr>
                    <w:rFonts w:hint="eastAsia" w:ascii="宋体" w:hAnsi="宋体"/>
                  </w:rPr>
                  <w:t>其他变动</w:t>
                </w:r>
              </w:p>
            </w:tc>
          </w:sdtContent>
        </w:sdt>
        <w:sdt>
          <w:sdtPr>
            <w:rPr>
              <w:rFonts w:hint="eastAsia" w:ascii="宋体" w:hAnsi="宋体"/>
            </w:rPr>
            <w:tag w:val="_PLD_816d427a273240d9af67db4a5feee586"/>
            <w:id w:val="1025138803"/>
          </w:sdtPr>
          <w:sdtEndPr>
            <w:rPr>
              <w:rFonts w:hint="eastAsia" w:ascii="宋体" w:hAnsi="宋体"/>
            </w:rPr>
          </w:sdtEndPr>
          <w:sdtContent>
            <w:tc>
              <w:tcPr>
                <w:tcW w:w="1541" w:type="dxa"/>
                <w:shd w:val="clear" w:color="auto" w:fill="auto"/>
                <w:vAlign w:val="center"/>
              </w:tcPr>
              <w:p>
                <w:pPr>
                  <w:jc w:val="center"/>
                  <w:rPr>
                    <w:rFonts w:ascii="宋体" w:hAnsi="宋体"/>
                  </w:rPr>
                </w:pPr>
                <w:r>
                  <w:rPr>
                    <w:rFonts w:hint="eastAsia" w:ascii="宋体" w:hAnsi="宋体"/>
                  </w:rPr>
                  <w:t>期末数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alias w:val="以公允价值计量的金融资产情况明细_资产类别"/>
            <w:tag w:val="_GBC_cc72d7a8c8f74a64a251dbd2114ca4fe"/>
            <w:id w:val="2090813057"/>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rPr>
              <w:rFonts w:ascii="宋体" w:hAnsi="宋体"/>
            </w:rPr>
          </w:sdtEndPr>
          <w:sdtContent>
            <w:tc>
              <w:tcPr>
                <w:tcW w:w="1539" w:type="dxa"/>
                <w:shd w:val="clear" w:color="auto" w:fill="auto"/>
              </w:tcPr>
              <w:p>
                <w:pPr>
                  <w:rPr>
                    <w:rFonts w:ascii="宋体" w:hAnsi="宋体"/>
                  </w:rPr>
                </w:pPr>
                <w:r>
                  <w:rPr>
                    <w:rFonts w:ascii="宋体" w:hAnsi="宋体"/>
                  </w:rPr>
                  <w:t>股票</w:t>
                </w:r>
              </w:p>
            </w:tc>
          </w:sdtContent>
        </w:sdt>
        <w:tc>
          <w:tcPr>
            <w:tcW w:w="1540" w:type="dxa"/>
            <w:shd w:val="clear" w:color="auto" w:fill="auto"/>
          </w:tcPr>
          <w:p>
            <w:pPr>
              <w:jc w:val="right"/>
              <w:rPr>
                <w:rFonts w:ascii="宋体" w:hAnsi="宋体"/>
              </w:rPr>
            </w:pPr>
            <w:r>
              <w:rPr>
                <w:rFonts w:ascii="宋体" w:hAnsi="宋体"/>
              </w:rPr>
              <w:t>866</w:t>
            </w:r>
          </w:p>
        </w:tc>
        <w:tc>
          <w:tcPr>
            <w:tcW w:w="1540" w:type="dxa"/>
            <w:shd w:val="clear" w:color="auto" w:fill="auto"/>
          </w:tcPr>
          <w:p>
            <w:pPr>
              <w:jc w:val="right"/>
              <w:rPr>
                <w:rFonts w:ascii="宋体" w:hAnsi="宋体"/>
              </w:rPr>
            </w:pPr>
            <w:r>
              <w:rPr>
                <w:rFonts w:ascii="宋体" w:hAnsi="宋体"/>
              </w:rPr>
              <w:t>-200</w:t>
            </w:r>
          </w:p>
        </w:tc>
        <w:tc>
          <w:tcPr>
            <w:tcW w:w="1541" w:type="dxa"/>
            <w:shd w:val="clear" w:color="auto" w:fill="auto"/>
          </w:tcPr>
          <w:p>
            <w:pPr>
              <w:jc w:val="right"/>
              <w:rPr>
                <w:rFonts w:ascii="宋体" w:hAnsi="宋体"/>
              </w:rPr>
            </w:pPr>
            <w:r>
              <w:rPr>
                <w:rFonts w:ascii="宋体" w:hAnsi="宋体"/>
              </w:rPr>
              <w:t>-74</w:t>
            </w:r>
          </w:p>
        </w:tc>
        <w:tc>
          <w:tcPr>
            <w:tcW w:w="1540"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w:t>
            </w:r>
          </w:p>
        </w:tc>
        <w:tc>
          <w:tcPr>
            <w:tcW w:w="1540"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alias w:val="以公允价值计量的金融资产情况明细_资产类别"/>
            <w:tag w:val="_GBC_cc72d7a8c8f74a64a251dbd2114ca4fe"/>
            <w:id w:val="652029580"/>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rPr>
              <w:rFonts w:ascii="宋体" w:hAnsi="宋体"/>
            </w:rPr>
          </w:sdtEndPr>
          <w:sdtContent>
            <w:tc>
              <w:tcPr>
                <w:tcW w:w="1539" w:type="dxa"/>
                <w:shd w:val="clear" w:color="auto" w:fill="auto"/>
              </w:tcPr>
              <w:p>
                <w:pPr>
                  <w:rPr>
                    <w:rFonts w:ascii="宋体" w:hAnsi="宋体"/>
                  </w:rPr>
                </w:pPr>
                <w:r>
                  <w:rPr>
                    <w:rFonts w:ascii="宋体" w:hAnsi="宋体"/>
                  </w:rPr>
                  <w:t>信托产品</w:t>
                </w:r>
              </w:p>
            </w:tc>
          </w:sdtContent>
        </w:sdt>
        <w:tc>
          <w:tcPr>
            <w:tcW w:w="1540" w:type="dxa"/>
            <w:shd w:val="clear" w:color="auto" w:fill="auto"/>
          </w:tcPr>
          <w:p>
            <w:pPr>
              <w:jc w:val="right"/>
              <w:rPr>
                <w:rFonts w:ascii="宋体" w:hAnsi="宋体"/>
              </w:rPr>
            </w:pPr>
            <w:r>
              <w:rPr>
                <w:rFonts w:ascii="宋体" w:hAnsi="宋体"/>
              </w:rPr>
              <w:t>70,520</w:t>
            </w:r>
          </w:p>
        </w:tc>
        <w:tc>
          <w:tcPr>
            <w:tcW w:w="1540"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w:t>
            </w:r>
          </w:p>
        </w:tc>
        <w:tc>
          <w:tcPr>
            <w:tcW w:w="1540"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w:t>
            </w:r>
          </w:p>
        </w:tc>
        <w:tc>
          <w:tcPr>
            <w:tcW w:w="1540"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70,520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tcPr>
          <w:p>
            <w:pPr>
              <w:rPr>
                <w:rFonts w:ascii="宋体" w:hAnsi="宋体"/>
              </w:rPr>
            </w:pPr>
            <w:r>
              <w:rPr>
                <w:rFonts w:hint="eastAsia" w:ascii="宋体" w:hAnsi="宋体"/>
              </w:rPr>
              <w:t>衍生工具</w:t>
            </w:r>
          </w:p>
        </w:tc>
        <w:tc>
          <w:tcPr>
            <w:tcW w:w="1540" w:type="dxa"/>
            <w:shd w:val="clear" w:color="auto" w:fill="auto"/>
          </w:tcPr>
          <w:p>
            <w:pPr>
              <w:jc w:val="right"/>
              <w:rPr>
                <w:rFonts w:ascii="宋体" w:hAnsi="宋体"/>
              </w:rPr>
            </w:pPr>
            <w:r>
              <w:rPr>
                <w:rFonts w:ascii="宋体" w:hAnsi="宋体"/>
              </w:rPr>
              <w:t>31,329</w:t>
            </w:r>
          </w:p>
        </w:tc>
        <w:tc>
          <w:tcPr>
            <w:tcW w:w="1540"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w:t>
            </w:r>
          </w:p>
        </w:tc>
        <w:tc>
          <w:tcPr>
            <w:tcW w:w="1540"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w:t>
            </w:r>
          </w:p>
        </w:tc>
        <w:tc>
          <w:tcPr>
            <w:tcW w:w="1540" w:type="dxa"/>
            <w:shd w:val="clear" w:color="auto" w:fill="auto"/>
          </w:tcPr>
          <w:p>
            <w:pPr>
              <w:jc w:val="right"/>
              <w:rPr>
                <w:rFonts w:ascii="宋体" w:hAnsi="宋体"/>
              </w:rPr>
            </w:pPr>
            <w:r>
              <w:rPr>
                <w:rFonts w:ascii="宋体" w:hAnsi="宋体"/>
              </w:rPr>
              <w:t>31,329</w:t>
            </w:r>
          </w:p>
        </w:tc>
        <w:tc>
          <w:tcPr>
            <w:tcW w:w="1541"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tcPr>
          <w:p>
            <w:pPr>
              <w:rPr>
                <w:rFonts w:ascii="宋体" w:hAnsi="宋体"/>
              </w:rPr>
            </w:pPr>
            <w:r>
              <w:rPr>
                <w:rFonts w:hint="eastAsia" w:ascii="宋体" w:hAnsi="宋体"/>
              </w:rPr>
              <w:t>其他</w:t>
            </w:r>
          </w:p>
        </w:tc>
        <w:tc>
          <w:tcPr>
            <w:tcW w:w="1540" w:type="dxa"/>
            <w:shd w:val="clear" w:color="auto" w:fill="auto"/>
          </w:tcPr>
          <w:p>
            <w:pPr>
              <w:jc w:val="right"/>
              <w:rPr>
                <w:rFonts w:ascii="宋体" w:hAnsi="宋体"/>
              </w:rPr>
            </w:pPr>
            <w:r>
              <w:rPr>
                <w:rFonts w:ascii="宋体" w:hAnsi="宋体"/>
              </w:rPr>
              <w:t>1,689,875</w:t>
            </w:r>
          </w:p>
        </w:tc>
        <w:tc>
          <w:tcPr>
            <w:tcW w:w="1540" w:type="dxa"/>
            <w:shd w:val="clear" w:color="auto" w:fill="auto"/>
          </w:tcPr>
          <w:p>
            <w:pPr>
              <w:jc w:val="right"/>
              <w:rPr>
                <w:rFonts w:ascii="宋体" w:hAnsi="宋体"/>
              </w:rPr>
            </w:pPr>
            <w:r>
              <w:rPr>
                <w:rFonts w:ascii="宋体" w:hAnsi="宋体"/>
              </w:rPr>
              <w:t>42,886</w:t>
            </w:r>
          </w:p>
        </w:tc>
        <w:tc>
          <w:tcPr>
            <w:tcW w:w="1541" w:type="dxa"/>
            <w:shd w:val="clear" w:color="auto" w:fill="auto"/>
          </w:tcPr>
          <w:p>
            <w:pPr>
              <w:jc w:val="right"/>
              <w:rPr>
                <w:rFonts w:ascii="宋体" w:hAnsi="宋体"/>
              </w:rPr>
            </w:pPr>
            <w:r>
              <w:rPr>
                <w:rFonts w:ascii="宋体" w:hAnsi="宋体"/>
              </w:rPr>
              <w:t>-145</w:t>
            </w:r>
          </w:p>
        </w:tc>
        <w:tc>
          <w:tcPr>
            <w:tcW w:w="1540"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w:t>
            </w:r>
          </w:p>
        </w:tc>
        <w:tc>
          <w:tcPr>
            <w:tcW w:w="1540" w:type="dxa"/>
            <w:shd w:val="clear" w:color="auto" w:fill="auto"/>
          </w:tcPr>
          <w:p>
            <w:pPr>
              <w:jc w:val="right"/>
              <w:rPr>
                <w:rFonts w:ascii="宋体" w:hAnsi="宋体"/>
              </w:rPr>
            </w:pPr>
            <w:r>
              <w:rPr>
                <w:rFonts w:ascii="宋体" w:hAnsi="宋体"/>
              </w:rPr>
              <w:t>10,911</w:t>
            </w:r>
          </w:p>
        </w:tc>
        <w:tc>
          <w:tcPr>
            <w:tcW w:w="1541" w:type="dxa"/>
            <w:shd w:val="clear" w:color="auto" w:fill="auto"/>
          </w:tcPr>
          <w:p>
            <w:pPr>
              <w:jc w:val="right"/>
              <w:rPr>
                <w:rFonts w:ascii="宋体" w:hAnsi="宋体"/>
              </w:rPr>
            </w:pPr>
            <w:r>
              <w:rPr>
                <w:rFonts w:ascii="宋体" w:hAnsi="宋体"/>
              </w:rPr>
              <w:t>-65,228</w:t>
            </w:r>
          </w:p>
        </w:tc>
        <w:tc>
          <w:tcPr>
            <w:tcW w:w="1541" w:type="dxa"/>
            <w:shd w:val="clear" w:color="auto" w:fill="auto"/>
          </w:tcPr>
          <w:p>
            <w:pPr>
              <w:jc w:val="right"/>
              <w:rPr>
                <w:rFonts w:ascii="宋体" w:hAnsi="宋体"/>
              </w:rPr>
            </w:pPr>
            <w:r>
              <w:rPr>
                <w:rFonts w:ascii="宋体" w:hAnsi="宋体"/>
              </w:rPr>
              <w:t>1,656,478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shd w:val="clear" w:color="auto" w:fill="auto"/>
          </w:tcPr>
          <w:p>
            <w:pPr>
              <w:jc w:val="center"/>
              <w:rPr>
                <w:rFonts w:ascii="宋体" w:hAnsi="宋体"/>
              </w:rPr>
            </w:pPr>
            <w:r>
              <w:rPr>
                <w:rFonts w:ascii="宋体" w:hAnsi="宋体"/>
              </w:rPr>
              <w:t>合计</w:t>
            </w:r>
          </w:p>
        </w:tc>
        <w:tc>
          <w:tcPr>
            <w:tcW w:w="1540" w:type="dxa"/>
            <w:shd w:val="clear" w:color="auto" w:fill="auto"/>
          </w:tcPr>
          <w:p>
            <w:pPr>
              <w:jc w:val="right"/>
              <w:rPr>
                <w:rFonts w:ascii="宋体" w:hAnsi="宋体"/>
              </w:rPr>
            </w:pPr>
            <w:r>
              <w:rPr>
                <w:rFonts w:ascii="宋体" w:hAnsi="宋体"/>
              </w:rPr>
              <w:t>1,792,590</w:t>
            </w:r>
          </w:p>
        </w:tc>
        <w:tc>
          <w:tcPr>
            <w:tcW w:w="1540" w:type="dxa"/>
            <w:shd w:val="clear" w:color="auto" w:fill="auto"/>
          </w:tcPr>
          <w:p>
            <w:pPr>
              <w:jc w:val="right"/>
              <w:rPr>
                <w:rFonts w:ascii="宋体" w:hAnsi="宋体"/>
              </w:rPr>
            </w:pPr>
            <w:r>
              <w:rPr>
                <w:rFonts w:ascii="宋体" w:hAnsi="宋体"/>
              </w:rPr>
              <w:t>42,686</w:t>
            </w:r>
          </w:p>
        </w:tc>
        <w:tc>
          <w:tcPr>
            <w:tcW w:w="1541" w:type="dxa"/>
            <w:shd w:val="clear" w:color="auto" w:fill="auto"/>
          </w:tcPr>
          <w:p>
            <w:pPr>
              <w:jc w:val="right"/>
              <w:rPr>
                <w:rFonts w:ascii="宋体" w:hAnsi="宋体"/>
              </w:rPr>
            </w:pPr>
            <w:r>
              <w:rPr>
                <w:rFonts w:ascii="宋体" w:hAnsi="宋体"/>
              </w:rPr>
              <w:t>-219</w:t>
            </w:r>
          </w:p>
        </w:tc>
        <w:tc>
          <w:tcPr>
            <w:tcW w:w="1540" w:type="dxa"/>
            <w:shd w:val="clear" w:color="auto" w:fill="auto"/>
          </w:tcPr>
          <w:p>
            <w:pPr>
              <w:jc w:val="right"/>
              <w:rPr>
                <w:rFonts w:ascii="宋体" w:hAnsi="宋体"/>
              </w:rPr>
            </w:pPr>
            <w:r>
              <w:rPr>
                <w:rFonts w:ascii="宋体" w:hAnsi="宋体"/>
              </w:rPr>
              <w:t>-</w:t>
            </w:r>
          </w:p>
        </w:tc>
        <w:tc>
          <w:tcPr>
            <w:tcW w:w="1541" w:type="dxa"/>
            <w:shd w:val="clear" w:color="auto" w:fill="auto"/>
          </w:tcPr>
          <w:p>
            <w:pPr>
              <w:jc w:val="right"/>
              <w:rPr>
                <w:rFonts w:ascii="宋体" w:hAnsi="宋体"/>
              </w:rPr>
            </w:pPr>
            <w:r>
              <w:rPr>
                <w:rFonts w:ascii="宋体" w:hAnsi="宋体"/>
              </w:rPr>
              <w:t>-</w:t>
            </w:r>
          </w:p>
        </w:tc>
        <w:tc>
          <w:tcPr>
            <w:tcW w:w="1540" w:type="dxa"/>
            <w:shd w:val="clear" w:color="auto" w:fill="auto"/>
          </w:tcPr>
          <w:p>
            <w:pPr>
              <w:jc w:val="right"/>
              <w:rPr>
                <w:rFonts w:ascii="宋体" w:hAnsi="宋体"/>
              </w:rPr>
            </w:pPr>
            <w:r>
              <w:rPr>
                <w:rFonts w:ascii="宋体" w:hAnsi="宋体"/>
              </w:rPr>
              <w:t>42,240</w:t>
            </w:r>
          </w:p>
        </w:tc>
        <w:tc>
          <w:tcPr>
            <w:tcW w:w="1541" w:type="dxa"/>
            <w:shd w:val="clear" w:color="auto" w:fill="auto"/>
          </w:tcPr>
          <w:p>
            <w:pPr>
              <w:jc w:val="right"/>
              <w:rPr>
                <w:rFonts w:ascii="宋体" w:hAnsi="宋体"/>
              </w:rPr>
            </w:pPr>
            <w:r>
              <w:rPr>
                <w:rFonts w:ascii="宋体" w:hAnsi="宋体"/>
              </w:rPr>
              <w:t>-65,228</w:t>
            </w:r>
          </w:p>
        </w:tc>
        <w:tc>
          <w:tcPr>
            <w:tcW w:w="1541" w:type="dxa"/>
            <w:shd w:val="clear" w:color="auto" w:fill="auto"/>
          </w:tcPr>
          <w:p>
            <w:pPr>
              <w:jc w:val="right"/>
              <w:rPr>
                <w:rFonts w:ascii="宋体" w:hAnsi="宋体"/>
              </w:rPr>
            </w:pPr>
            <w:r>
              <w:rPr>
                <w:rFonts w:ascii="宋体" w:hAnsi="宋体"/>
              </w:rPr>
              <w:t>1,727,590</w:t>
            </w:r>
          </w:p>
        </w:tc>
      </w:tr>
      <w:bookmarkEnd w:id="76"/>
    </w:tbl>
    <w:p>
      <w:pPr>
        <w:rPr>
          <w:rFonts w:ascii="宋体" w:hAnsi="宋体"/>
          <w:u w:val="single"/>
        </w:rPr>
      </w:pPr>
    </w:p>
    <w:p>
      <w:pPr>
        <w:rPr>
          <w:rFonts w:ascii="宋体" w:hAnsi="宋体"/>
        </w:rPr>
      </w:pPr>
      <w:r>
        <w:rPr>
          <w:rFonts w:hint="eastAsia" w:ascii="宋体" w:hAnsi="宋体"/>
        </w:rPr>
        <w:t>证券投资情况</w:t>
      </w:r>
    </w:p>
    <w:sdt>
      <w:sdtPr>
        <w:rPr>
          <w:rFonts w:ascii="宋体" w:hAnsi="宋体"/>
        </w:rPr>
        <w:alias w:val="是否适用：证券投资情况[双击切换]"/>
        <w:tag w:val="_GBC_7d04680e71454924aa49897089c6ec88"/>
        <w:id w:val="52055262"/>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86"/>
        <w:wordWrap w:val="0"/>
        <w:ind w:left="360" w:firstLine="0" w:firstLineChars="0"/>
        <w:jc w:val="right"/>
        <w:rPr>
          <w:rFonts w:ascii="宋体" w:hAnsi="宋体"/>
        </w:rPr>
      </w:pPr>
      <w:r>
        <w:rPr>
          <w:rFonts w:hint="eastAsia" w:ascii="宋体" w:hAnsi="宋体"/>
        </w:rPr>
        <w:t>单位：</w:t>
      </w:r>
      <w:sdt>
        <w:sdtPr>
          <w:rPr>
            <w:rFonts w:hint="eastAsia" w:ascii="宋体" w:hAnsi="宋体"/>
          </w:rPr>
          <w:alias w:val="单位：证券投资情况"/>
          <w:tag w:val="_GBC_9030571ec97a42438b5264832c2a5326"/>
          <w:id w:val="100671909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宋体" w:hAnsi="宋体"/>
          </w:rPr>
        </w:sdtEndPr>
        <w:sdtContent>
          <w:r>
            <w:rPr>
              <w:rFonts w:hint="eastAsia" w:ascii="宋体" w:hAnsi="宋体"/>
            </w:rPr>
            <w:t>千元</w:t>
          </w:r>
        </w:sdtContent>
      </w:sdt>
      <w:r>
        <w:rPr>
          <w:rFonts w:hint="eastAsia" w:ascii="宋体" w:hAnsi="宋体"/>
        </w:rPr>
        <w:t xml:space="preserve">  币种：</w:t>
      </w:r>
      <w:sdt>
        <w:sdtPr>
          <w:rPr>
            <w:rFonts w:hint="eastAsia" w:ascii="宋体" w:hAnsi="宋体"/>
          </w:rPr>
          <w:alias w:val="币种：证券投资情况"/>
          <w:tag w:val="_GBC_21a6e145782e410295a95d0cfa95a807"/>
          <w:id w:val="-11345547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rPr>
            <w:t>人民币</w:t>
          </w:r>
        </w:sdtContent>
      </w:sdt>
    </w:p>
    <w:tbl>
      <w:tblPr>
        <w:tblStyle w:val="1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085"/>
        <w:gridCol w:w="1085"/>
        <w:gridCol w:w="1085"/>
        <w:gridCol w:w="1085"/>
        <w:gridCol w:w="1085"/>
        <w:gridCol w:w="1082"/>
        <w:gridCol w:w="1085"/>
        <w:gridCol w:w="1085"/>
        <w:gridCol w:w="1085"/>
        <w:gridCol w:w="1085"/>
        <w:gridCol w:w="108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宋体" w:hAnsi="宋体"/>
            </w:rPr>
            <w:tag w:val="_PLD_a2aca594a908499a93ab70468f6a23b7"/>
            <w:id w:val="1182701979"/>
          </w:sdtPr>
          <w:sdtEndPr>
            <w:rPr>
              <w:rFonts w:hint="eastAsia" w:ascii="宋体" w:hAnsi="宋体"/>
            </w:rPr>
          </w:sdtEndPr>
          <w:sdtContent>
            <w:tc>
              <w:tcPr>
                <w:tcW w:w="384" w:type="pct"/>
                <w:shd w:val="clear" w:color="auto" w:fill="auto"/>
                <w:vAlign w:val="center"/>
              </w:tcPr>
              <w:p>
                <w:pPr>
                  <w:jc w:val="center"/>
                  <w:rPr>
                    <w:rFonts w:ascii="宋体" w:hAnsi="宋体"/>
                  </w:rPr>
                </w:pPr>
                <w:bookmarkStart w:id="77" w:name="_Hlk40533881"/>
                <w:r>
                  <w:rPr>
                    <w:rFonts w:hint="eastAsia" w:ascii="宋体" w:hAnsi="宋体"/>
                  </w:rPr>
                  <w:t>证券品种</w:t>
                </w:r>
              </w:p>
            </w:tc>
          </w:sdtContent>
        </w:sdt>
        <w:sdt>
          <w:sdtPr>
            <w:rPr>
              <w:rFonts w:hint="eastAsia" w:ascii="宋体" w:hAnsi="宋体"/>
            </w:rPr>
            <w:tag w:val="_PLD_2a8a447db28f48a89b3e24843ac8c0b0"/>
            <w:id w:val="869274682"/>
          </w:sdtPr>
          <w:sdtEndPr>
            <w:rPr>
              <w:rFonts w:hint="eastAsia" w:ascii="宋体" w:hAnsi="宋体"/>
            </w:rPr>
          </w:sdtEndPr>
          <w:sdtContent>
            <w:tc>
              <w:tcPr>
                <w:tcW w:w="385" w:type="pct"/>
                <w:shd w:val="clear" w:color="auto" w:fill="auto"/>
                <w:vAlign w:val="center"/>
              </w:tcPr>
              <w:p>
                <w:pPr>
                  <w:jc w:val="center"/>
                  <w:rPr>
                    <w:rFonts w:ascii="宋体" w:hAnsi="宋体"/>
                  </w:rPr>
                </w:pPr>
                <w:r>
                  <w:rPr>
                    <w:rFonts w:hint="eastAsia" w:ascii="宋体" w:hAnsi="宋体"/>
                  </w:rPr>
                  <w:t>证券代码</w:t>
                </w:r>
              </w:p>
            </w:tc>
          </w:sdtContent>
        </w:sdt>
        <w:sdt>
          <w:sdtPr>
            <w:rPr>
              <w:rFonts w:hint="eastAsia" w:ascii="宋体" w:hAnsi="宋体"/>
            </w:rPr>
            <w:tag w:val="_PLD_b4b2dd48041247c08674576b86c9470b"/>
            <w:id w:val="992987965"/>
          </w:sdtPr>
          <w:sdtEndPr>
            <w:rPr>
              <w:rFonts w:hint="eastAsia" w:ascii="宋体" w:hAnsi="宋体"/>
            </w:rPr>
          </w:sdtEndPr>
          <w:sdtContent>
            <w:tc>
              <w:tcPr>
                <w:tcW w:w="385" w:type="pct"/>
                <w:shd w:val="clear" w:color="auto" w:fill="auto"/>
                <w:vAlign w:val="center"/>
              </w:tcPr>
              <w:p>
                <w:pPr>
                  <w:tabs>
                    <w:tab w:val="left" w:pos="60"/>
                  </w:tabs>
                  <w:jc w:val="center"/>
                  <w:rPr>
                    <w:rFonts w:ascii="宋体" w:hAnsi="宋体"/>
                  </w:rPr>
                </w:pPr>
                <w:r>
                  <w:rPr>
                    <w:rFonts w:hint="eastAsia" w:ascii="宋体" w:hAnsi="宋体"/>
                  </w:rPr>
                  <w:t>证券简称</w:t>
                </w:r>
              </w:p>
            </w:tc>
          </w:sdtContent>
        </w:sdt>
        <w:sdt>
          <w:sdtPr>
            <w:rPr>
              <w:rFonts w:hint="eastAsia" w:ascii="宋体" w:hAnsi="宋体"/>
            </w:rPr>
            <w:tag w:val="_PLD_3c80e02ab5694d799cfd3d5d2ac9c797"/>
            <w:id w:val="1005171968"/>
          </w:sdtPr>
          <w:sdtEndPr>
            <w:rPr>
              <w:rFonts w:hint="eastAsia" w:ascii="宋体" w:hAnsi="宋体"/>
            </w:rPr>
          </w:sdtEndPr>
          <w:sdtContent>
            <w:tc>
              <w:tcPr>
                <w:tcW w:w="385" w:type="pct"/>
                <w:shd w:val="clear" w:color="auto" w:fill="auto"/>
                <w:vAlign w:val="center"/>
              </w:tcPr>
              <w:p>
                <w:pPr>
                  <w:jc w:val="center"/>
                  <w:rPr>
                    <w:rFonts w:ascii="宋体" w:hAnsi="宋体"/>
                  </w:rPr>
                </w:pPr>
                <w:r>
                  <w:rPr>
                    <w:rFonts w:hint="eastAsia" w:ascii="宋体" w:hAnsi="宋体"/>
                  </w:rPr>
                  <w:t>最初投资成本</w:t>
                </w:r>
              </w:p>
            </w:tc>
          </w:sdtContent>
        </w:sdt>
        <w:sdt>
          <w:sdtPr>
            <w:rPr>
              <w:rFonts w:hint="eastAsia" w:ascii="宋体" w:hAnsi="宋体"/>
            </w:rPr>
            <w:tag w:val="_PLD_873ecdbb8a3343d6b6fcaa48e4cf64dc"/>
            <w:id w:val="636609376"/>
          </w:sdtPr>
          <w:sdtEndPr>
            <w:rPr>
              <w:rFonts w:hint="eastAsia" w:ascii="宋体" w:hAnsi="宋体"/>
            </w:rPr>
          </w:sdtEndPr>
          <w:sdtContent>
            <w:tc>
              <w:tcPr>
                <w:tcW w:w="385" w:type="pct"/>
                <w:shd w:val="clear" w:color="auto" w:fill="auto"/>
                <w:vAlign w:val="center"/>
              </w:tcPr>
              <w:p>
                <w:pPr>
                  <w:jc w:val="center"/>
                  <w:rPr>
                    <w:rFonts w:ascii="宋体" w:hAnsi="宋体"/>
                  </w:rPr>
                </w:pPr>
                <w:r>
                  <w:rPr>
                    <w:rFonts w:hint="eastAsia" w:ascii="宋体" w:hAnsi="宋体"/>
                  </w:rPr>
                  <w:t>资金来源</w:t>
                </w:r>
              </w:p>
            </w:tc>
          </w:sdtContent>
        </w:sdt>
        <w:sdt>
          <w:sdtPr>
            <w:rPr>
              <w:rFonts w:hint="eastAsia" w:ascii="宋体" w:hAnsi="宋体"/>
            </w:rPr>
            <w:tag w:val="_PLD_b0de4dcfc59f4ead974d9d61a70ccc80"/>
            <w:id w:val="1029763367"/>
          </w:sdtPr>
          <w:sdtEndPr>
            <w:rPr>
              <w:rFonts w:hint="eastAsia" w:ascii="宋体" w:hAnsi="宋体"/>
            </w:rPr>
          </w:sdtEndPr>
          <w:sdtContent>
            <w:tc>
              <w:tcPr>
                <w:tcW w:w="385" w:type="pct"/>
                <w:shd w:val="clear" w:color="auto" w:fill="auto"/>
                <w:vAlign w:val="center"/>
              </w:tcPr>
              <w:p>
                <w:pPr>
                  <w:jc w:val="center"/>
                  <w:rPr>
                    <w:rFonts w:ascii="宋体" w:hAnsi="宋体"/>
                  </w:rPr>
                </w:pPr>
                <w:r>
                  <w:rPr>
                    <w:rFonts w:hint="eastAsia" w:ascii="宋体" w:hAnsi="宋体"/>
                  </w:rPr>
                  <w:t>期初账面价值</w:t>
                </w:r>
              </w:p>
            </w:tc>
          </w:sdtContent>
        </w:sdt>
        <w:sdt>
          <w:sdtPr>
            <w:rPr>
              <w:rFonts w:hint="eastAsia" w:ascii="宋体" w:hAnsi="宋体"/>
            </w:rPr>
            <w:tag w:val="_PLD_ca5b1b460dec4af98a137b84d77794ce"/>
            <w:id w:val="-507913539"/>
          </w:sdtPr>
          <w:sdtEndPr>
            <w:rPr>
              <w:rFonts w:hint="eastAsia" w:ascii="宋体" w:hAnsi="宋体"/>
            </w:rPr>
          </w:sdtEndPr>
          <w:sdtContent>
            <w:tc>
              <w:tcPr>
                <w:tcW w:w="384" w:type="pct"/>
                <w:shd w:val="clear" w:color="auto" w:fill="auto"/>
                <w:vAlign w:val="center"/>
              </w:tcPr>
              <w:p>
                <w:pPr>
                  <w:jc w:val="center"/>
                  <w:rPr>
                    <w:rFonts w:ascii="宋体" w:hAnsi="宋体"/>
                  </w:rPr>
                </w:pPr>
                <w:r>
                  <w:rPr>
                    <w:rFonts w:hint="eastAsia" w:ascii="宋体" w:hAnsi="宋体"/>
                  </w:rPr>
                  <w:t>本期公允价值变动损益</w:t>
                </w:r>
              </w:p>
            </w:tc>
          </w:sdtContent>
        </w:sdt>
        <w:sdt>
          <w:sdtPr>
            <w:rPr>
              <w:rFonts w:hint="eastAsia" w:ascii="宋体" w:hAnsi="宋体"/>
            </w:rPr>
            <w:tag w:val="_PLD_cf51b58b5b4641d797351424d3c1ceeb"/>
            <w:id w:val="-301617497"/>
          </w:sdtPr>
          <w:sdtEndPr>
            <w:rPr>
              <w:rFonts w:hint="eastAsia" w:ascii="宋体" w:hAnsi="宋体"/>
            </w:rPr>
          </w:sdtEndPr>
          <w:sdtContent>
            <w:tc>
              <w:tcPr>
                <w:tcW w:w="385" w:type="pct"/>
                <w:shd w:val="clear" w:color="auto" w:fill="auto"/>
                <w:vAlign w:val="center"/>
              </w:tcPr>
              <w:p>
                <w:pPr>
                  <w:jc w:val="center"/>
                  <w:rPr>
                    <w:rFonts w:ascii="宋体" w:hAnsi="宋体"/>
                  </w:rPr>
                </w:pPr>
                <w:r>
                  <w:rPr>
                    <w:rFonts w:hint="eastAsia" w:ascii="宋体" w:hAnsi="宋体"/>
                  </w:rPr>
                  <w:t>计入权益的累计公允价值变动</w:t>
                </w:r>
              </w:p>
            </w:tc>
          </w:sdtContent>
        </w:sdt>
        <w:sdt>
          <w:sdtPr>
            <w:rPr>
              <w:rFonts w:hint="eastAsia" w:ascii="宋体" w:hAnsi="宋体"/>
            </w:rPr>
            <w:tag w:val="_PLD_fa8acb6152da45658a6e5987a179057d"/>
            <w:id w:val="-1910380557"/>
          </w:sdtPr>
          <w:sdtEndPr>
            <w:rPr>
              <w:rFonts w:hint="eastAsia" w:ascii="宋体" w:hAnsi="宋体"/>
            </w:rPr>
          </w:sdtEndPr>
          <w:sdtContent>
            <w:tc>
              <w:tcPr>
                <w:tcW w:w="385" w:type="pct"/>
                <w:shd w:val="clear" w:color="auto" w:fill="auto"/>
                <w:vAlign w:val="center"/>
              </w:tcPr>
              <w:p>
                <w:pPr>
                  <w:jc w:val="center"/>
                  <w:rPr>
                    <w:rFonts w:ascii="宋体" w:hAnsi="宋体"/>
                  </w:rPr>
                </w:pPr>
                <w:r>
                  <w:rPr>
                    <w:rFonts w:hint="eastAsia" w:ascii="宋体" w:hAnsi="宋体"/>
                  </w:rPr>
                  <w:t>本期购买金额</w:t>
                </w:r>
              </w:p>
            </w:tc>
          </w:sdtContent>
        </w:sdt>
        <w:sdt>
          <w:sdtPr>
            <w:rPr>
              <w:rFonts w:hint="eastAsia" w:ascii="宋体" w:hAnsi="宋体"/>
            </w:rPr>
            <w:tag w:val="_PLD_6e2790d24c5846da999681b434e6731d"/>
            <w:id w:val="-1009828040"/>
          </w:sdtPr>
          <w:sdtEndPr>
            <w:rPr>
              <w:rFonts w:hint="eastAsia" w:ascii="宋体" w:hAnsi="宋体"/>
            </w:rPr>
          </w:sdtEndPr>
          <w:sdtContent>
            <w:tc>
              <w:tcPr>
                <w:tcW w:w="385" w:type="pct"/>
                <w:shd w:val="clear" w:color="auto" w:fill="auto"/>
                <w:vAlign w:val="center"/>
              </w:tcPr>
              <w:p>
                <w:pPr>
                  <w:jc w:val="center"/>
                  <w:rPr>
                    <w:rFonts w:ascii="宋体" w:hAnsi="宋体"/>
                  </w:rPr>
                </w:pPr>
                <w:r>
                  <w:rPr>
                    <w:rFonts w:hint="eastAsia" w:ascii="宋体" w:hAnsi="宋体"/>
                  </w:rPr>
                  <w:t>本期出售金额</w:t>
                </w:r>
              </w:p>
            </w:tc>
          </w:sdtContent>
        </w:sdt>
        <w:sdt>
          <w:sdtPr>
            <w:rPr>
              <w:rFonts w:hint="eastAsia" w:ascii="宋体" w:hAnsi="宋体"/>
            </w:rPr>
            <w:tag w:val="_PLD_b053cb2d8ab44a05be4e28df1b11bd04"/>
            <w:id w:val="-1561555644"/>
          </w:sdtPr>
          <w:sdtEndPr>
            <w:rPr>
              <w:rFonts w:hint="eastAsia" w:ascii="宋体" w:hAnsi="宋体"/>
            </w:rPr>
          </w:sdtEndPr>
          <w:sdtContent>
            <w:tc>
              <w:tcPr>
                <w:tcW w:w="385" w:type="pct"/>
                <w:shd w:val="clear" w:color="auto" w:fill="auto"/>
                <w:vAlign w:val="center"/>
              </w:tcPr>
              <w:p>
                <w:pPr>
                  <w:jc w:val="center"/>
                  <w:rPr>
                    <w:rFonts w:ascii="宋体" w:hAnsi="宋体"/>
                  </w:rPr>
                </w:pPr>
                <w:r>
                  <w:rPr>
                    <w:rFonts w:hint="eastAsia" w:ascii="宋体" w:hAnsi="宋体"/>
                  </w:rPr>
                  <w:t>本期投资损益</w:t>
                </w:r>
              </w:p>
            </w:tc>
          </w:sdtContent>
        </w:sdt>
        <w:sdt>
          <w:sdtPr>
            <w:rPr>
              <w:rFonts w:hint="eastAsia" w:ascii="宋体" w:hAnsi="宋体"/>
            </w:rPr>
            <w:tag w:val="_PLD_dc3183c5ec5e48d491b77e65bd093780"/>
            <w:id w:val="-737083282"/>
          </w:sdtPr>
          <w:sdtEndPr>
            <w:rPr>
              <w:rFonts w:hint="eastAsia" w:ascii="宋体" w:hAnsi="宋体"/>
            </w:rPr>
          </w:sdtEndPr>
          <w:sdtContent>
            <w:tc>
              <w:tcPr>
                <w:tcW w:w="385" w:type="pct"/>
                <w:shd w:val="clear" w:color="auto" w:fill="auto"/>
                <w:vAlign w:val="center"/>
              </w:tcPr>
              <w:p>
                <w:pPr>
                  <w:jc w:val="center"/>
                  <w:rPr>
                    <w:rFonts w:ascii="宋体" w:hAnsi="宋体"/>
                  </w:rPr>
                </w:pPr>
                <w:r>
                  <w:rPr>
                    <w:rFonts w:hint="eastAsia" w:ascii="宋体" w:hAnsi="宋体"/>
                  </w:rPr>
                  <w:t>期末账面价值</w:t>
                </w:r>
              </w:p>
            </w:tc>
          </w:sdtContent>
        </w:sdt>
        <w:sdt>
          <w:sdtPr>
            <w:rPr>
              <w:rFonts w:hint="eastAsia" w:ascii="宋体" w:hAnsi="宋体"/>
            </w:rPr>
            <w:tag w:val="_PLD_953da3c8a977443ba41ba5b33c46abac"/>
            <w:id w:val="-813330108"/>
          </w:sdtPr>
          <w:sdtEndPr>
            <w:rPr>
              <w:rFonts w:hint="eastAsia" w:ascii="宋体" w:hAnsi="宋体"/>
            </w:rPr>
          </w:sdtEndPr>
          <w:sdtContent>
            <w:tc>
              <w:tcPr>
                <w:tcW w:w="382" w:type="pct"/>
                <w:shd w:val="clear" w:color="auto" w:fill="auto"/>
                <w:vAlign w:val="center"/>
              </w:tcPr>
              <w:p>
                <w:pPr>
                  <w:jc w:val="center"/>
                  <w:rPr>
                    <w:rFonts w:ascii="宋体" w:hAnsi="宋体"/>
                  </w:rPr>
                </w:pPr>
                <w:r>
                  <w:rPr>
                    <w:rFonts w:hint="eastAsia" w:ascii="宋体" w:hAnsi="宋体"/>
                  </w:rPr>
                  <w:t>会计核算科目</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alias w:val="上市公司证券投资情况明细－证券品种"/>
            <w:tag w:val="_GBC_5869f90e2f4241cba6edaadfa74944d0"/>
            <w:id w:val="74569639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rPr>
              <w:rFonts w:ascii="宋体" w:hAnsi="宋体"/>
            </w:rPr>
          </w:sdtEndPr>
          <w:sdtContent>
            <w:tc>
              <w:tcPr>
                <w:tcW w:w="384" w:type="pct"/>
                <w:shd w:val="clear" w:color="auto" w:fill="auto"/>
                <w:vAlign w:val="center"/>
              </w:tcPr>
              <w:p>
                <w:pPr>
                  <w:jc w:val="center"/>
                  <w:rPr>
                    <w:rFonts w:ascii="宋体" w:hAnsi="宋体"/>
                  </w:rPr>
                </w:pPr>
                <w:r>
                  <w:rPr>
                    <w:rFonts w:ascii="宋体" w:hAnsi="宋体"/>
                  </w:rPr>
                  <w:t>股票</w:t>
                </w:r>
              </w:p>
            </w:tc>
          </w:sdtContent>
        </w:sdt>
        <w:tc>
          <w:tcPr>
            <w:tcW w:w="385" w:type="pct"/>
            <w:shd w:val="clear" w:color="auto" w:fill="auto"/>
            <w:vAlign w:val="center"/>
          </w:tcPr>
          <w:p>
            <w:pPr>
              <w:jc w:val="center"/>
              <w:rPr>
                <w:rFonts w:ascii="宋体" w:hAnsi="宋体"/>
              </w:rPr>
            </w:pPr>
            <w:r>
              <w:rPr>
                <w:rFonts w:hint="eastAsia" w:ascii="宋体" w:hAnsi="宋体"/>
              </w:rPr>
              <w:t>601777</w:t>
            </w:r>
          </w:p>
        </w:tc>
        <w:tc>
          <w:tcPr>
            <w:tcW w:w="385" w:type="pct"/>
            <w:shd w:val="clear" w:color="auto" w:fill="auto"/>
            <w:vAlign w:val="center"/>
          </w:tcPr>
          <w:p>
            <w:pPr>
              <w:jc w:val="center"/>
              <w:rPr>
                <w:rFonts w:ascii="宋体" w:hAnsi="宋体"/>
              </w:rPr>
            </w:pPr>
            <w:r>
              <w:rPr>
                <w:rFonts w:hint="eastAsia" w:ascii="宋体" w:hAnsi="宋体"/>
              </w:rPr>
              <w:t>力帆科技</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center"/>
              <w:rPr>
                <w:rFonts w:ascii="宋体" w:hAnsi="宋体"/>
              </w:rPr>
            </w:pPr>
            <w:r>
              <w:rPr>
                <w:rFonts w:hint="eastAsia" w:ascii="宋体" w:hAnsi="宋体"/>
              </w:rPr>
              <w:t>债务重组</w:t>
            </w:r>
          </w:p>
        </w:tc>
        <w:tc>
          <w:tcPr>
            <w:tcW w:w="385" w:type="pct"/>
            <w:shd w:val="clear" w:color="auto" w:fill="auto"/>
            <w:vAlign w:val="center"/>
          </w:tcPr>
          <w:p>
            <w:pPr>
              <w:jc w:val="right"/>
              <w:rPr>
                <w:rFonts w:ascii="宋体" w:hAnsi="宋体"/>
              </w:rPr>
            </w:pPr>
            <w:r>
              <w:rPr>
                <w:rFonts w:hint="eastAsia" w:ascii="宋体" w:hAnsi="宋体"/>
              </w:rPr>
              <w:t>425</w:t>
            </w:r>
          </w:p>
        </w:tc>
        <w:tc>
          <w:tcPr>
            <w:tcW w:w="384" w:type="pct"/>
            <w:shd w:val="clear" w:color="auto" w:fill="auto"/>
            <w:vAlign w:val="center"/>
          </w:tcPr>
          <w:p>
            <w:pPr>
              <w:jc w:val="right"/>
              <w:rPr>
                <w:rFonts w:ascii="宋体" w:hAnsi="宋体"/>
              </w:rPr>
            </w:pPr>
            <w:r>
              <w:rPr>
                <w:rFonts w:hint="eastAsia" w:ascii="宋体" w:hAnsi="宋体"/>
              </w:rPr>
              <w:t>-200</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hint="eastAsia" w:ascii="宋体" w:hAnsi="宋体"/>
              </w:rPr>
              <w:t>225</w:t>
            </w:r>
          </w:p>
        </w:tc>
        <w:sdt>
          <w:sdtPr>
            <w:rPr>
              <w:rFonts w:ascii="宋体" w:hAnsi="宋体"/>
            </w:rPr>
            <w:alias w:val="上市公司证券投资情况明细－会计核算科目"/>
            <w:tag w:val="_GBC_76b2a58bd6904ac98cdb4e48af86b25a"/>
            <w:id w:val="-1240779676"/>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rPr>
              <w:rFonts w:ascii="宋体" w:hAnsi="宋体"/>
            </w:rPr>
          </w:sdtEndPr>
          <w:sdtContent>
            <w:tc>
              <w:tcPr>
                <w:tcW w:w="382" w:type="pct"/>
                <w:shd w:val="clear" w:color="auto" w:fill="auto"/>
                <w:vAlign w:val="center"/>
              </w:tcPr>
              <w:p>
                <w:pPr>
                  <w:jc w:val="center"/>
                  <w:rPr>
                    <w:rFonts w:ascii="宋体" w:hAnsi="宋体"/>
                  </w:rPr>
                </w:pPr>
                <w:r>
                  <w:rPr>
                    <w:rFonts w:ascii="宋体" w:hAnsi="宋体"/>
                  </w:rPr>
                  <w:t>交易性金融资产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alias w:val="上市公司证券投资情况明细－证券品种"/>
            <w:tag w:val="_GBC_5869f90e2f4241cba6edaadfa74944d0"/>
            <w:id w:val="721100738"/>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rPr>
              <w:rFonts w:ascii="宋体" w:hAnsi="宋体"/>
            </w:rPr>
          </w:sdtEndPr>
          <w:sdtContent>
            <w:tc>
              <w:tcPr>
                <w:tcW w:w="384" w:type="pct"/>
                <w:shd w:val="clear" w:color="auto" w:fill="auto"/>
                <w:vAlign w:val="center"/>
              </w:tcPr>
              <w:p>
                <w:pPr>
                  <w:jc w:val="center"/>
                  <w:rPr>
                    <w:rFonts w:ascii="宋体" w:hAnsi="宋体"/>
                  </w:rPr>
                </w:pPr>
                <w:r>
                  <w:rPr>
                    <w:rFonts w:ascii="宋体" w:hAnsi="宋体"/>
                  </w:rPr>
                  <w:t>股票</w:t>
                </w:r>
              </w:p>
            </w:tc>
          </w:sdtContent>
        </w:sdt>
        <w:tc>
          <w:tcPr>
            <w:tcW w:w="385" w:type="pct"/>
            <w:shd w:val="clear" w:color="auto" w:fill="auto"/>
            <w:vAlign w:val="center"/>
          </w:tcPr>
          <w:p>
            <w:pPr>
              <w:jc w:val="center"/>
              <w:rPr>
                <w:rFonts w:ascii="宋体" w:hAnsi="宋体"/>
              </w:rPr>
            </w:pPr>
            <w:r>
              <w:rPr>
                <w:rFonts w:ascii="宋体" w:hAnsi="宋体"/>
              </w:rPr>
              <w:t>601008</w:t>
            </w:r>
          </w:p>
        </w:tc>
        <w:tc>
          <w:tcPr>
            <w:tcW w:w="385" w:type="pct"/>
            <w:shd w:val="clear" w:color="auto" w:fill="auto"/>
            <w:vAlign w:val="center"/>
          </w:tcPr>
          <w:p>
            <w:pPr>
              <w:jc w:val="center"/>
              <w:rPr>
                <w:rFonts w:ascii="宋体" w:hAnsi="宋体"/>
              </w:rPr>
            </w:pPr>
            <w:r>
              <w:rPr>
                <w:rFonts w:hint="eastAsia" w:ascii="宋体" w:hAnsi="宋体"/>
              </w:rPr>
              <w:t>连云港</w:t>
            </w:r>
          </w:p>
        </w:tc>
        <w:tc>
          <w:tcPr>
            <w:tcW w:w="385" w:type="pct"/>
            <w:shd w:val="clear" w:color="auto" w:fill="auto"/>
            <w:vAlign w:val="center"/>
          </w:tcPr>
          <w:p>
            <w:pPr>
              <w:jc w:val="right"/>
              <w:rPr>
                <w:rFonts w:ascii="宋体" w:hAnsi="宋体"/>
              </w:rPr>
            </w:pPr>
            <w:r>
              <w:rPr>
                <w:rFonts w:ascii="宋体" w:hAnsi="宋体"/>
              </w:rPr>
              <w:t>89</w:t>
            </w:r>
          </w:p>
        </w:tc>
        <w:tc>
          <w:tcPr>
            <w:tcW w:w="385" w:type="pct"/>
            <w:shd w:val="clear" w:color="auto" w:fill="auto"/>
            <w:vAlign w:val="center"/>
          </w:tcPr>
          <w:p>
            <w:pPr>
              <w:jc w:val="center"/>
              <w:rPr>
                <w:rFonts w:ascii="宋体" w:hAnsi="宋体"/>
              </w:rPr>
            </w:pPr>
            <w:r>
              <w:rPr>
                <w:rFonts w:hint="eastAsia" w:ascii="宋体" w:hAnsi="宋体"/>
              </w:rPr>
              <w:t>货币资金</w:t>
            </w:r>
          </w:p>
        </w:tc>
        <w:tc>
          <w:tcPr>
            <w:tcW w:w="385" w:type="pct"/>
            <w:shd w:val="clear" w:color="auto" w:fill="auto"/>
            <w:vAlign w:val="center"/>
          </w:tcPr>
          <w:p>
            <w:pPr>
              <w:jc w:val="right"/>
              <w:rPr>
                <w:rFonts w:ascii="宋体" w:hAnsi="宋体"/>
              </w:rPr>
            </w:pPr>
            <w:r>
              <w:rPr>
                <w:rFonts w:hint="eastAsia" w:ascii="宋体" w:hAnsi="宋体"/>
              </w:rPr>
              <w:t>4</w:t>
            </w:r>
            <w:r>
              <w:rPr>
                <w:rFonts w:ascii="宋体" w:hAnsi="宋体"/>
              </w:rPr>
              <w:t>40</w:t>
            </w:r>
          </w:p>
        </w:tc>
        <w:tc>
          <w:tcPr>
            <w:tcW w:w="384"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hint="eastAsia" w:ascii="宋体" w:hAnsi="宋体"/>
              </w:rPr>
              <w:t>-</w:t>
            </w:r>
            <w:r>
              <w:rPr>
                <w:rFonts w:ascii="宋体" w:hAnsi="宋体"/>
              </w:rPr>
              <w:t>74</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hint="eastAsia" w:ascii="宋体" w:hAnsi="宋体"/>
              </w:rPr>
              <w:t>3</w:t>
            </w:r>
            <w:r>
              <w:rPr>
                <w:rFonts w:ascii="宋体" w:hAnsi="宋体"/>
              </w:rPr>
              <w:t>66</w:t>
            </w:r>
          </w:p>
        </w:tc>
        <w:sdt>
          <w:sdtPr>
            <w:rPr>
              <w:rFonts w:ascii="宋体" w:hAnsi="宋体"/>
            </w:rPr>
            <w:alias w:val="上市公司证券投资情况明细－会计核算科目"/>
            <w:tag w:val="_GBC_76b2a58bd6904ac98cdb4e48af86b25a"/>
            <w:id w:val="-1603713087"/>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rPr>
              <w:rFonts w:ascii="宋体" w:hAnsi="宋体"/>
            </w:rPr>
          </w:sdtEndPr>
          <w:sdtContent>
            <w:tc>
              <w:tcPr>
                <w:tcW w:w="382" w:type="pct"/>
                <w:shd w:val="clear" w:color="auto" w:fill="auto"/>
                <w:vAlign w:val="center"/>
              </w:tcPr>
              <w:p>
                <w:pPr>
                  <w:jc w:val="center"/>
                  <w:rPr>
                    <w:rFonts w:ascii="宋体" w:hAnsi="宋体"/>
                  </w:rPr>
                </w:pPr>
                <w:r>
                  <w:rPr>
                    <w:rFonts w:ascii="宋体" w:hAnsi="宋体"/>
                  </w:rPr>
                  <w:t>其他权益工具投资</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shd w:val="clear" w:color="auto" w:fill="auto"/>
            <w:vAlign w:val="center"/>
          </w:tcPr>
          <w:p>
            <w:pPr>
              <w:jc w:val="center"/>
              <w:rPr>
                <w:rFonts w:ascii="宋体" w:hAnsi="宋体"/>
              </w:rPr>
            </w:pPr>
            <w:r>
              <w:rPr>
                <w:rFonts w:hint="eastAsia" w:ascii="宋体" w:hAnsi="宋体"/>
              </w:rPr>
              <w:t>基金</w:t>
            </w:r>
          </w:p>
        </w:tc>
        <w:tc>
          <w:tcPr>
            <w:tcW w:w="385" w:type="pct"/>
            <w:shd w:val="clear" w:color="auto" w:fill="auto"/>
            <w:vAlign w:val="center"/>
          </w:tcPr>
          <w:p>
            <w:pPr>
              <w:jc w:val="center"/>
              <w:rPr>
                <w:rFonts w:ascii="宋体" w:hAnsi="宋体"/>
              </w:rPr>
            </w:pPr>
            <w:r>
              <w:rPr>
                <w:rFonts w:ascii="宋体" w:hAnsi="宋体"/>
              </w:rPr>
              <w:t>4968</w:t>
            </w:r>
          </w:p>
        </w:tc>
        <w:tc>
          <w:tcPr>
            <w:tcW w:w="385" w:type="pct"/>
            <w:shd w:val="clear" w:color="auto" w:fill="auto"/>
            <w:vAlign w:val="center"/>
          </w:tcPr>
          <w:p>
            <w:pPr>
              <w:jc w:val="center"/>
              <w:rPr>
                <w:rFonts w:ascii="宋体" w:hAnsi="宋体"/>
              </w:rPr>
            </w:pPr>
            <w:r>
              <w:rPr>
                <w:rFonts w:hint="eastAsia" w:ascii="宋体" w:hAnsi="宋体"/>
              </w:rPr>
              <w:t>红土创新货币</w:t>
            </w:r>
            <w:r>
              <w:rPr>
                <w:rFonts w:ascii="宋体" w:hAnsi="宋体"/>
              </w:rPr>
              <w:t>B</w:t>
            </w:r>
          </w:p>
        </w:tc>
        <w:tc>
          <w:tcPr>
            <w:tcW w:w="385" w:type="pct"/>
            <w:shd w:val="clear" w:color="auto" w:fill="auto"/>
            <w:vAlign w:val="center"/>
          </w:tcPr>
          <w:p>
            <w:pPr>
              <w:jc w:val="right"/>
              <w:rPr>
                <w:rFonts w:ascii="宋体" w:hAnsi="宋体"/>
              </w:rPr>
            </w:pPr>
            <w:r>
              <w:rPr>
                <w:rFonts w:ascii="宋体" w:hAnsi="宋体"/>
              </w:rPr>
              <w:t>5,000</w:t>
            </w:r>
          </w:p>
        </w:tc>
        <w:tc>
          <w:tcPr>
            <w:tcW w:w="385" w:type="pct"/>
            <w:shd w:val="clear" w:color="auto" w:fill="auto"/>
            <w:vAlign w:val="center"/>
          </w:tcPr>
          <w:p>
            <w:pPr>
              <w:jc w:val="center"/>
              <w:rPr>
                <w:rFonts w:ascii="宋体" w:hAnsi="宋体"/>
              </w:rPr>
            </w:pPr>
            <w:r>
              <w:rPr>
                <w:rFonts w:hint="eastAsia" w:ascii="宋体" w:hAnsi="宋体"/>
              </w:rPr>
              <w:t>货币资金</w:t>
            </w:r>
          </w:p>
        </w:tc>
        <w:tc>
          <w:tcPr>
            <w:tcW w:w="385" w:type="pct"/>
            <w:shd w:val="clear" w:color="auto" w:fill="auto"/>
            <w:vAlign w:val="center"/>
          </w:tcPr>
          <w:p>
            <w:pPr>
              <w:jc w:val="right"/>
              <w:rPr>
                <w:rFonts w:ascii="宋体" w:hAnsi="宋体"/>
              </w:rPr>
            </w:pPr>
            <w:r>
              <w:rPr>
                <w:rFonts w:hint="eastAsia" w:ascii="宋体" w:hAnsi="宋体"/>
              </w:rPr>
              <w:t>1,0</w:t>
            </w:r>
            <w:r>
              <w:rPr>
                <w:rFonts w:ascii="宋体" w:hAnsi="宋体"/>
              </w:rPr>
              <w:t>12</w:t>
            </w:r>
          </w:p>
        </w:tc>
        <w:tc>
          <w:tcPr>
            <w:tcW w:w="384" w:type="pct"/>
            <w:shd w:val="clear" w:color="auto" w:fill="auto"/>
            <w:vAlign w:val="center"/>
          </w:tcPr>
          <w:p>
            <w:pPr>
              <w:jc w:val="right"/>
              <w:rPr>
                <w:rFonts w:ascii="宋体" w:hAnsi="宋体"/>
              </w:rPr>
            </w:pPr>
            <w:r>
              <w:rPr>
                <w:rFonts w:hint="eastAsia" w:ascii="宋体" w:hAnsi="宋体"/>
              </w:rPr>
              <w:t>-</w:t>
            </w:r>
            <w:r>
              <w:rPr>
                <w:rFonts w:ascii="宋体" w:hAnsi="宋体"/>
              </w:rPr>
              <w:t>12</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ascii="宋体" w:hAnsi="宋体"/>
              </w:rPr>
              <w:t>1,000</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ascii="宋体" w:hAnsi="宋体"/>
              </w:rPr>
              <w:t>-</w:t>
            </w:r>
          </w:p>
        </w:tc>
        <w:tc>
          <w:tcPr>
            <w:tcW w:w="382" w:type="pct"/>
            <w:shd w:val="clear" w:color="auto" w:fill="auto"/>
            <w:vAlign w:val="center"/>
          </w:tcPr>
          <w:p>
            <w:pPr>
              <w:jc w:val="center"/>
              <w:rPr>
                <w:rFonts w:ascii="宋体" w:hAnsi="宋体"/>
              </w:rPr>
            </w:pPr>
            <w:r>
              <w:rPr>
                <w:rFonts w:hint="eastAsia" w:ascii="宋体" w:hAnsi="宋体"/>
              </w:rPr>
              <w:t>交易性金融资产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shd w:val="clear" w:color="auto" w:fill="auto"/>
            <w:vAlign w:val="center"/>
          </w:tcPr>
          <w:p>
            <w:pPr>
              <w:jc w:val="center"/>
              <w:rPr>
                <w:rFonts w:ascii="宋体" w:hAnsi="宋体"/>
              </w:rPr>
            </w:pPr>
            <w:r>
              <w:rPr>
                <w:rFonts w:hint="eastAsia" w:ascii="宋体" w:hAnsi="宋体"/>
              </w:rPr>
              <w:t>信托产品</w:t>
            </w:r>
          </w:p>
        </w:tc>
        <w:tc>
          <w:tcPr>
            <w:tcW w:w="385" w:type="pct"/>
            <w:shd w:val="clear" w:color="auto" w:fill="auto"/>
            <w:vAlign w:val="center"/>
          </w:tcPr>
          <w:p>
            <w:pPr>
              <w:jc w:val="center"/>
              <w:rPr>
                <w:rFonts w:ascii="宋体" w:hAnsi="宋体"/>
              </w:rPr>
            </w:pPr>
            <w:r>
              <w:rPr>
                <w:rFonts w:ascii="宋体" w:hAnsi="宋体"/>
              </w:rPr>
              <w:t>-</w:t>
            </w:r>
          </w:p>
        </w:tc>
        <w:tc>
          <w:tcPr>
            <w:tcW w:w="385" w:type="pct"/>
            <w:shd w:val="clear" w:color="auto" w:fill="auto"/>
            <w:vAlign w:val="center"/>
          </w:tcPr>
          <w:p>
            <w:pPr>
              <w:jc w:val="center"/>
              <w:rPr>
                <w:rFonts w:ascii="宋体" w:hAnsi="宋体"/>
              </w:rPr>
            </w:pPr>
            <w:r>
              <w:rPr>
                <w:rFonts w:hint="eastAsia" w:ascii="宋体" w:hAnsi="宋体"/>
              </w:rPr>
              <w:t>建信信托</w:t>
            </w:r>
            <w:r>
              <w:rPr>
                <w:rFonts w:ascii="宋体" w:hAnsi="宋体"/>
              </w:rPr>
              <w:t>-彩蝶6号财产权信托计划</w:t>
            </w:r>
          </w:p>
        </w:tc>
        <w:tc>
          <w:tcPr>
            <w:tcW w:w="385" w:type="pct"/>
            <w:shd w:val="clear" w:color="auto" w:fill="auto"/>
            <w:vAlign w:val="center"/>
          </w:tcPr>
          <w:p>
            <w:pPr>
              <w:jc w:val="right"/>
              <w:rPr>
                <w:rFonts w:ascii="宋体" w:hAnsi="宋体"/>
              </w:rPr>
            </w:pPr>
            <w:r>
              <w:rPr>
                <w:rFonts w:ascii="宋体" w:hAnsi="宋体"/>
              </w:rPr>
              <w:t>43,731</w:t>
            </w:r>
          </w:p>
        </w:tc>
        <w:tc>
          <w:tcPr>
            <w:tcW w:w="385" w:type="pct"/>
            <w:shd w:val="clear" w:color="auto" w:fill="auto"/>
            <w:vAlign w:val="center"/>
          </w:tcPr>
          <w:p>
            <w:pPr>
              <w:jc w:val="center"/>
              <w:rPr>
                <w:rFonts w:ascii="宋体" w:hAnsi="宋体"/>
              </w:rPr>
            </w:pPr>
            <w:r>
              <w:rPr>
                <w:rFonts w:hint="eastAsia" w:ascii="宋体" w:hAnsi="宋体"/>
              </w:rPr>
              <w:t>债务重组</w:t>
            </w:r>
          </w:p>
        </w:tc>
        <w:tc>
          <w:tcPr>
            <w:tcW w:w="385" w:type="pct"/>
            <w:shd w:val="clear" w:color="auto" w:fill="auto"/>
            <w:vAlign w:val="center"/>
          </w:tcPr>
          <w:p>
            <w:pPr>
              <w:jc w:val="right"/>
              <w:rPr>
                <w:rFonts w:ascii="宋体" w:hAnsi="宋体"/>
              </w:rPr>
            </w:pPr>
            <w:r>
              <w:rPr>
                <w:rFonts w:ascii="宋体" w:hAnsi="宋体"/>
              </w:rPr>
              <w:t>70,520</w:t>
            </w:r>
          </w:p>
        </w:tc>
        <w:tc>
          <w:tcPr>
            <w:tcW w:w="384" w:type="pct"/>
            <w:shd w:val="clear" w:color="auto" w:fill="auto"/>
            <w:vAlign w:val="center"/>
          </w:tcPr>
          <w:p>
            <w:pPr>
              <w:jc w:val="right"/>
              <w:rPr>
                <w:rFonts w:ascii="宋体" w:hAnsi="宋体"/>
              </w:rPr>
            </w:pPr>
          </w:p>
        </w:tc>
        <w:tc>
          <w:tcPr>
            <w:tcW w:w="385" w:type="pct"/>
            <w:shd w:val="clear" w:color="auto" w:fill="auto"/>
            <w:vAlign w:val="center"/>
          </w:tcPr>
          <w:p>
            <w:pPr>
              <w:jc w:val="right"/>
              <w:rPr>
                <w:rFonts w:ascii="宋体" w:hAnsi="宋体"/>
              </w:rPr>
            </w:pPr>
          </w:p>
        </w:tc>
        <w:tc>
          <w:tcPr>
            <w:tcW w:w="385" w:type="pct"/>
            <w:shd w:val="clear" w:color="auto" w:fill="auto"/>
            <w:vAlign w:val="center"/>
          </w:tcPr>
          <w:p>
            <w:pPr>
              <w:jc w:val="right"/>
              <w:rPr>
                <w:rFonts w:ascii="宋体" w:hAnsi="宋体"/>
              </w:rPr>
            </w:pPr>
          </w:p>
        </w:tc>
        <w:tc>
          <w:tcPr>
            <w:tcW w:w="385" w:type="pct"/>
            <w:shd w:val="clear" w:color="auto" w:fill="auto"/>
            <w:vAlign w:val="center"/>
          </w:tcPr>
          <w:p>
            <w:pPr>
              <w:jc w:val="right"/>
              <w:rPr>
                <w:rFonts w:ascii="宋体" w:hAnsi="宋体"/>
              </w:rPr>
            </w:pPr>
          </w:p>
        </w:tc>
        <w:tc>
          <w:tcPr>
            <w:tcW w:w="385" w:type="pct"/>
            <w:shd w:val="clear" w:color="auto" w:fill="auto"/>
            <w:vAlign w:val="center"/>
          </w:tcPr>
          <w:p>
            <w:pPr>
              <w:jc w:val="right"/>
              <w:rPr>
                <w:rFonts w:ascii="宋体" w:hAnsi="宋体"/>
              </w:rPr>
            </w:pPr>
          </w:p>
        </w:tc>
        <w:tc>
          <w:tcPr>
            <w:tcW w:w="385" w:type="pct"/>
            <w:shd w:val="clear" w:color="auto" w:fill="auto"/>
            <w:vAlign w:val="center"/>
          </w:tcPr>
          <w:p>
            <w:pPr>
              <w:jc w:val="right"/>
              <w:rPr>
                <w:rFonts w:ascii="宋体" w:hAnsi="宋体"/>
              </w:rPr>
            </w:pPr>
            <w:r>
              <w:rPr>
                <w:rFonts w:ascii="宋体" w:hAnsi="宋体"/>
              </w:rPr>
              <w:t>70,520</w:t>
            </w:r>
          </w:p>
        </w:tc>
        <w:tc>
          <w:tcPr>
            <w:tcW w:w="382" w:type="pct"/>
            <w:shd w:val="clear" w:color="auto" w:fill="auto"/>
            <w:vAlign w:val="center"/>
          </w:tcPr>
          <w:p>
            <w:pPr>
              <w:jc w:val="center"/>
              <w:rPr>
                <w:rFonts w:ascii="宋体" w:hAnsi="宋体"/>
              </w:rPr>
            </w:pPr>
            <w:r>
              <w:rPr>
                <w:rFonts w:hint="eastAsia" w:ascii="宋体" w:hAnsi="宋体"/>
              </w:rPr>
              <w:t>其他权益工具投资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shd w:val="clear" w:color="auto" w:fill="auto"/>
            <w:vAlign w:val="center"/>
          </w:tcPr>
          <w:p>
            <w:pPr>
              <w:jc w:val="center"/>
              <w:rPr>
                <w:rFonts w:ascii="宋体" w:hAnsi="宋体"/>
              </w:rPr>
            </w:pPr>
            <w:r>
              <w:rPr>
                <w:rFonts w:ascii="宋体" w:hAnsi="宋体"/>
              </w:rPr>
              <w:t>合计</w:t>
            </w:r>
          </w:p>
        </w:tc>
        <w:tc>
          <w:tcPr>
            <w:tcW w:w="385" w:type="pct"/>
            <w:shd w:val="clear" w:color="auto" w:fill="auto"/>
            <w:vAlign w:val="center"/>
          </w:tcPr>
          <w:p>
            <w:pPr>
              <w:jc w:val="center"/>
              <w:rPr>
                <w:rFonts w:ascii="宋体" w:hAnsi="宋体"/>
              </w:rPr>
            </w:pPr>
            <w:r>
              <w:rPr>
                <w:rFonts w:hint="eastAsia" w:ascii="宋体" w:hAnsi="宋体"/>
              </w:rPr>
              <w:t>/</w:t>
            </w:r>
          </w:p>
        </w:tc>
        <w:tc>
          <w:tcPr>
            <w:tcW w:w="385" w:type="pct"/>
            <w:shd w:val="clear" w:color="auto" w:fill="auto"/>
            <w:vAlign w:val="center"/>
          </w:tcPr>
          <w:p>
            <w:pPr>
              <w:jc w:val="center"/>
              <w:rPr>
                <w:rFonts w:ascii="宋体" w:hAnsi="宋体"/>
              </w:rPr>
            </w:pPr>
            <w:r>
              <w:rPr>
                <w:rFonts w:hint="eastAsia" w:ascii="宋体" w:hAnsi="宋体"/>
              </w:rPr>
              <w:t>/</w:t>
            </w:r>
          </w:p>
        </w:tc>
        <w:tc>
          <w:tcPr>
            <w:tcW w:w="385" w:type="pct"/>
            <w:shd w:val="clear" w:color="auto" w:fill="auto"/>
            <w:vAlign w:val="center"/>
          </w:tcPr>
          <w:p>
            <w:pPr>
              <w:jc w:val="right"/>
              <w:rPr>
                <w:rFonts w:ascii="宋体" w:hAnsi="宋体"/>
              </w:rPr>
            </w:pPr>
            <w:r>
              <w:rPr>
                <w:rFonts w:ascii="宋体" w:hAnsi="宋体"/>
              </w:rPr>
              <w:t>48,820</w:t>
            </w:r>
          </w:p>
        </w:tc>
        <w:tc>
          <w:tcPr>
            <w:tcW w:w="385" w:type="pct"/>
            <w:shd w:val="clear" w:color="auto" w:fill="auto"/>
            <w:vAlign w:val="center"/>
          </w:tcPr>
          <w:p>
            <w:pPr>
              <w:jc w:val="center"/>
              <w:rPr>
                <w:rFonts w:ascii="宋体" w:hAnsi="宋体"/>
              </w:rPr>
            </w:pPr>
            <w:r>
              <w:rPr>
                <w:rFonts w:hint="eastAsia" w:ascii="宋体" w:hAnsi="宋体"/>
              </w:rPr>
              <w:t>/</w:t>
            </w:r>
          </w:p>
        </w:tc>
        <w:tc>
          <w:tcPr>
            <w:tcW w:w="385" w:type="pct"/>
            <w:shd w:val="clear" w:color="auto" w:fill="auto"/>
            <w:vAlign w:val="center"/>
          </w:tcPr>
          <w:p>
            <w:pPr>
              <w:jc w:val="right"/>
              <w:rPr>
                <w:rFonts w:ascii="宋体" w:hAnsi="宋体"/>
              </w:rPr>
            </w:pPr>
            <w:r>
              <w:rPr>
                <w:rFonts w:ascii="宋体" w:hAnsi="宋体"/>
              </w:rPr>
              <w:t>72,396</w:t>
            </w:r>
          </w:p>
        </w:tc>
        <w:tc>
          <w:tcPr>
            <w:tcW w:w="384" w:type="pct"/>
            <w:shd w:val="clear" w:color="auto" w:fill="auto"/>
            <w:vAlign w:val="center"/>
          </w:tcPr>
          <w:p>
            <w:pPr>
              <w:jc w:val="right"/>
              <w:rPr>
                <w:rFonts w:ascii="宋体" w:hAnsi="宋体"/>
              </w:rPr>
            </w:pPr>
            <w:r>
              <w:rPr>
                <w:rFonts w:ascii="宋体" w:hAnsi="宋体"/>
              </w:rPr>
              <w:t>-212</w:t>
            </w:r>
          </w:p>
        </w:tc>
        <w:tc>
          <w:tcPr>
            <w:tcW w:w="385" w:type="pct"/>
            <w:shd w:val="clear" w:color="auto" w:fill="auto"/>
            <w:vAlign w:val="center"/>
          </w:tcPr>
          <w:p>
            <w:pPr>
              <w:jc w:val="right"/>
              <w:rPr>
                <w:rFonts w:ascii="宋体" w:hAnsi="宋体"/>
              </w:rPr>
            </w:pPr>
            <w:r>
              <w:rPr>
                <w:rFonts w:ascii="宋体" w:hAnsi="宋体"/>
              </w:rPr>
              <w:t>-74</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ascii="宋体" w:hAnsi="宋体"/>
              </w:rPr>
              <w:t>1,000</w:t>
            </w:r>
          </w:p>
        </w:tc>
        <w:tc>
          <w:tcPr>
            <w:tcW w:w="385" w:type="pct"/>
            <w:shd w:val="clear" w:color="auto" w:fill="auto"/>
            <w:vAlign w:val="center"/>
          </w:tcPr>
          <w:p>
            <w:pPr>
              <w:jc w:val="right"/>
              <w:rPr>
                <w:rFonts w:ascii="宋体" w:hAnsi="宋体"/>
              </w:rPr>
            </w:pPr>
            <w:r>
              <w:rPr>
                <w:rFonts w:ascii="宋体" w:hAnsi="宋体"/>
              </w:rPr>
              <w:t>-</w:t>
            </w:r>
          </w:p>
        </w:tc>
        <w:tc>
          <w:tcPr>
            <w:tcW w:w="385" w:type="pct"/>
            <w:shd w:val="clear" w:color="auto" w:fill="auto"/>
            <w:vAlign w:val="center"/>
          </w:tcPr>
          <w:p>
            <w:pPr>
              <w:jc w:val="right"/>
              <w:rPr>
                <w:rFonts w:ascii="宋体" w:hAnsi="宋体"/>
              </w:rPr>
            </w:pPr>
            <w:r>
              <w:rPr>
                <w:rFonts w:ascii="宋体" w:hAnsi="宋体"/>
              </w:rPr>
              <w:t>71,110</w:t>
            </w:r>
          </w:p>
        </w:tc>
        <w:tc>
          <w:tcPr>
            <w:tcW w:w="382" w:type="pct"/>
            <w:shd w:val="clear" w:color="auto" w:fill="auto"/>
            <w:vAlign w:val="center"/>
          </w:tcPr>
          <w:p>
            <w:pPr>
              <w:jc w:val="center"/>
              <w:rPr>
                <w:rFonts w:ascii="宋体" w:hAnsi="宋体"/>
              </w:rPr>
            </w:pPr>
            <w:r>
              <w:rPr>
                <w:rFonts w:hint="eastAsia" w:ascii="宋体" w:hAnsi="宋体"/>
              </w:rPr>
              <w:t>/</w:t>
            </w:r>
          </w:p>
        </w:tc>
      </w:tr>
    </w:tbl>
    <w:p>
      <w:pPr>
        <w:rPr>
          <w:rFonts w:ascii="宋体" w:hAnsi="宋体"/>
        </w:rPr>
      </w:pPr>
    </w:p>
    <w:p>
      <w:pPr>
        <w:rPr>
          <w:rFonts w:ascii="宋体" w:hAnsi="宋体"/>
        </w:rPr>
      </w:pPr>
      <w:r>
        <w:rPr>
          <w:rFonts w:hint="eastAsia" w:ascii="宋体" w:hAnsi="宋体"/>
        </w:rPr>
        <w:t>证券投资情况的说明</w:t>
      </w:r>
    </w:p>
    <w:bookmarkEnd w:id="77"/>
    <w:sdt>
      <w:sdtPr>
        <w:rPr>
          <w:rFonts w:ascii="宋体" w:hAnsi="宋体"/>
        </w:rPr>
        <w:alias w:val="是否适用：证券投资情况的说明[双击切换]"/>
        <w:tag w:val="_GBC_846a2917c37545bbb004e11b14dfefbc"/>
        <w:id w:val="222484204"/>
        <w:placeholder>
          <w:docPart w:val="GBC22222222222222222222222222222"/>
        </w:placeholder>
      </w:sdtPr>
      <w:sdtEndPr>
        <w:rPr>
          <w:rFonts w:ascii="宋体" w:hAnsi="宋体"/>
        </w:rPr>
      </w:sdtEndPr>
      <w:sdtContent>
        <w:p>
          <w:pPr>
            <w:rPr>
              <w:rFonts w:ascii="宋体" w:hAnsi="宋体"/>
            </w:rPr>
          </w:pPr>
          <w:bookmarkStart w:id="78" w:name="_Hlk15113512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rPr>
          <w:rFonts w:ascii="宋体" w:hAnsi="宋体"/>
        </w:rPr>
      </w:pPr>
      <w:r>
        <w:rPr>
          <w:rFonts w:hint="eastAsia" w:ascii="宋体" w:hAnsi="宋体"/>
        </w:rPr>
        <w:t>私募基金投资情况</w:t>
      </w:r>
    </w:p>
    <w:bookmarkEnd w:id="78"/>
    <w:sdt>
      <w:sdtPr>
        <w:rPr>
          <w:rFonts w:ascii="宋体" w:hAnsi="宋体"/>
        </w:rPr>
        <w:alias w:val="是否适用：私募基金投资情况[双击切换]"/>
        <w:tag w:val="_GBC_6e916a873a4e4af3a90d6fc81d187ac8"/>
        <w:id w:val="1992828672"/>
        <w:placeholder>
          <w:docPart w:val="GBC22222222222222222222222222222"/>
        </w:placeholder>
      </w:sdtPr>
      <w:sdtEndPr>
        <w:rPr>
          <w:rFonts w:ascii="宋体" w:hAnsi="宋体"/>
        </w:rPr>
      </w:sdtEndPr>
      <w:sdtContent>
        <w:p>
          <w:pPr>
            <w:rPr>
              <w:rFonts w:ascii="宋体" w:hAnsi="宋体"/>
            </w:rPr>
          </w:pPr>
          <w:bookmarkStart w:id="79" w:name="_Hlk40534809"/>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79"/>
    <w:p>
      <w:pPr>
        <w:rPr>
          <w:rFonts w:ascii="宋体" w:hAnsi="宋体"/>
        </w:rPr>
      </w:pPr>
    </w:p>
    <w:p>
      <w:pPr>
        <w:rPr>
          <w:rFonts w:ascii="宋体" w:hAnsi="宋体"/>
        </w:rPr>
      </w:pPr>
      <w:r>
        <w:rPr>
          <w:rFonts w:hint="eastAsia" w:ascii="宋体" w:hAnsi="宋体"/>
        </w:rPr>
        <w:t>衍生品投资情况</w:t>
      </w:r>
    </w:p>
    <w:sdt>
      <w:sdtPr>
        <w:rPr>
          <w:rFonts w:hint="eastAsia" w:ascii="宋体" w:hAnsi="宋体"/>
        </w:rPr>
        <w:alias w:val="是否适用：衍生品投资情况  [双击切换]"/>
        <w:tag w:val="_GBC_0155f13d04cb48bc8f6a2a16edfe26b3"/>
        <w:id w:val="1842285228"/>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bookmarkStart w:id="80" w:name="_Hlk155617745"/>
      <w:bookmarkStart w:id="81" w:name="_Hlk94111679"/>
    </w:p>
    <w:bookmarkEnd w:id="75"/>
    <w:p>
      <w:pPr>
        <w:rPr>
          <w:rFonts w:ascii="宋体" w:hAnsi="宋体"/>
        </w:rPr>
      </w:pPr>
    </w:p>
    <w:p>
      <w:pPr>
        <w:rPr>
          <w:rFonts w:ascii="宋体" w:hAnsi="宋体"/>
        </w:rPr>
      </w:pPr>
    </w:p>
    <w:p>
      <w:pPr>
        <w:rPr>
          <w:rFonts w:ascii="宋体" w:hAnsi="宋体"/>
        </w:rPr>
        <w:sectPr>
          <w:pgSz w:w="16838" w:h="11906" w:orient="landscape"/>
          <w:pgMar w:top="1797" w:right="1525" w:bottom="1276" w:left="1440" w:header="855" w:footer="992" w:gutter="0"/>
          <w:cols w:space="425" w:num="1"/>
          <w:docGrid w:linePitch="312" w:charSpace="0"/>
        </w:sectPr>
      </w:pPr>
    </w:p>
    <w:p>
      <w:pPr>
        <w:pStyle w:val="5"/>
        <w:numPr>
          <w:ilvl w:val="0"/>
          <w:numId w:val="15"/>
        </w:numPr>
        <w:rPr>
          <w:rFonts w:ascii="宋体" w:hAnsi="宋体" w:eastAsia="宋体" w:cs="宋体"/>
          <w:kern w:val="0"/>
        </w:rPr>
      </w:pPr>
      <w:r>
        <w:rPr>
          <w:rFonts w:hint="eastAsia" w:ascii="宋体" w:hAnsi="宋体" w:eastAsia="宋体" w:cs="宋体"/>
          <w:kern w:val="0"/>
        </w:rPr>
        <w:t>报告期内重大资产重组整合的具体进展情况</w:t>
      </w:r>
    </w:p>
    <w:bookmarkEnd w:id="80"/>
    <w:sdt>
      <w:sdtPr>
        <w:alias w:val="是否适用：报告期内重大资产重组整合的具体进展情况[双击切换]"/>
        <w:tag w:val="_GBC_c52695d1957b4fa89b0b7326da1f5a10"/>
        <w:id w:val="-1398284865"/>
        <w:placeholder>
          <w:docPart w:val="GBC22222222222222222222222222222"/>
        </w:placeholder>
      </w:sdt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43"/>
      </w:pPr>
    </w:p>
    <w:p>
      <w:pPr>
        <w:numPr>
          <w:ilvl w:val="0"/>
          <w:numId w:val="8"/>
        </w:numPr>
        <w:rPr>
          <w:rFonts w:ascii="宋体" w:hAnsi="宋体"/>
        </w:rPr>
      </w:pPr>
      <w:r>
        <w:rPr>
          <w:rFonts w:hint="eastAsia" w:ascii="宋体" w:hAnsi="宋体"/>
        </w:rPr>
        <w:t>重大资产和股权出售</w:t>
      </w:r>
    </w:p>
    <w:bookmarkEnd w:id="81"/>
    <w:sdt>
      <w:sdtPr>
        <w:rPr>
          <w:rFonts w:hint="eastAsia" w:ascii="宋体" w:hAnsi="宋体"/>
        </w:rPr>
        <w:alias w:val="是否适用：重大资产和股权出售[双击切换]"/>
        <w:tag w:val="_GBC_949dc5a581604be69ba935fceadc4b1d"/>
        <w:id w:val="1156960262"/>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numPr>
          <w:ilvl w:val="0"/>
          <w:numId w:val="8"/>
        </w:numPr>
        <w:rPr>
          <w:rFonts w:ascii="宋体" w:hAnsi="宋体"/>
        </w:rPr>
      </w:pPr>
      <w:r>
        <w:rPr>
          <w:rFonts w:hint="eastAsia" w:ascii="宋体" w:hAnsi="宋体"/>
        </w:rPr>
        <w:t>主要控股参股公司分析</w:t>
      </w:r>
    </w:p>
    <w:sdt>
      <w:sdtPr>
        <w:rPr>
          <w:rFonts w:hint="eastAsia" w:ascii="宋体" w:hAnsi="宋体"/>
        </w:rPr>
        <w:alias w:val="是否适用：主要控股参股公司分析[双击切换]"/>
        <w:tag w:val="_GBC_aec86f2481734c53a2a2b022c83d4449"/>
        <w:id w:val="-269320953"/>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主要子公司、参股公司分析"/>
        <w:tag w:val="_GBC_7bf13fe6d2e94f23a67acf0193f14a86"/>
        <w:id w:val="-1013219677"/>
        <w:placeholder>
          <w:docPart w:val="GBC22222222222222222222222222222"/>
        </w:placeholder>
      </w:sdtPr>
      <w:sdtEndPr>
        <w:rPr>
          <w:rFonts w:hint="eastAsia" w:ascii="宋体" w:hAnsi="宋体"/>
        </w:rPr>
      </w:sdtEndPr>
      <w:sdtContent>
        <w:p>
          <w:pPr>
            <w:ind w:firstLine="420" w:firstLineChars="200"/>
            <w:rPr>
              <w:rFonts w:ascii="宋体" w:hAnsi="宋体"/>
              <w:b/>
              <w:szCs w:val="28"/>
            </w:rPr>
          </w:pPr>
          <w:bookmarkStart w:id="82" w:name="_Hlk157013652"/>
          <w:r>
            <w:rPr>
              <w:rFonts w:hint="eastAsia" w:ascii="宋体" w:hAnsi="宋体"/>
              <w:b/>
              <w:szCs w:val="28"/>
            </w:rPr>
            <w:t>1.主要控股公司</w:t>
          </w:r>
        </w:p>
        <w:p>
          <w:pPr>
            <w:autoSpaceDE w:val="0"/>
            <w:autoSpaceDN w:val="0"/>
            <w:adjustRightInd w:val="0"/>
            <w:spacing w:before="120" w:beforeLines="50" w:after="120" w:afterLines="50"/>
            <w:ind w:firstLine="420" w:firstLineChars="200"/>
            <w:rPr>
              <w:rFonts w:ascii="宋体" w:hAnsi="宋体"/>
              <w:szCs w:val="28"/>
            </w:rPr>
          </w:pPr>
          <w:r>
            <w:rPr>
              <w:rFonts w:hint="eastAsia" w:ascii="宋体" w:hAnsi="宋体"/>
              <w:szCs w:val="28"/>
            </w:rPr>
            <w:t>（1）对本集团归属于上市公司净利润影响较大的控股公司请见下表：</w:t>
          </w:r>
        </w:p>
        <w:p>
          <w:pPr>
            <w:autoSpaceDE w:val="0"/>
            <w:autoSpaceDN w:val="0"/>
            <w:adjustRightInd w:val="0"/>
            <w:ind w:right="315" w:firstLine="200"/>
            <w:jc w:val="right"/>
            <w:rPr>
              <w:rFonts w:ascii="宋体" w:hAnsi="宋体"/>
              <w:szCs w:val="28"/>
            </w:rPr>
          </w:pPr>
          <w:r>
            <w:rPr>
              <w:rFonts w:hint="eastAsia" w:ascii="宋体" w:hAnsi="宋体"/>
              <w:szCs w:val="28"/>
            </w:rPr>
            <w:t>单位：百万元</w:t>
          </w:r>
        </w:p>
        <w:tbl>
          <w:tblPr>
            <w:tblStyle w:val="108"/>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1770"/>
            <w:gridCol w:w="1581"/>
            <w:gridCol w:w="1581"/>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884" w:type="dxa"/>
                <w:vMerge w:val="restart"/>
                <w:vAlign w:val="center"/>
              </w:tcPr>
              <w:p>
                <w:pPr>
                  <w:autoSpaceDE w:val="0"/>
                  <w:autoSpaceDN w:val="0"/>
                  <w:adjustRightInd w:val="0"/>
                  <w:jc w:val="center"/>
                  <w:rPr>
                    <w:rFonts w:ascii="宋体" w:hAnsi="宋体" w:eastAsia="宋体"/>
                    <w:szCs w:val="28"/>
                  </w:rPr>
                </w:pPr>
                <w:r>
                  <w:rPr>
                    <w:rFonts w:hint="eastAsia" w:ascii="宋体" w:hAnsi="宋体" w:eastAsia="宋体"/>
                    <w:szCs w:val="28"/>
                  </w:rPr>
                  <w:t>公司名称</w:t>
                </w:r>
              </w:p>
            </w:tc>
            <w:tc>
              <w:tcPr>
                <w:tcW w:w="1770" w:type="dxa"/>
                <w:vMerge w:val="restart"/>
                <w:vAlign w:val="center"/>
              </w:tcPr>
              <w:p>
                <w:pPr>
                  <w:autoSpaceDE w:val="0"/>
                  <w:autoSpaceDN w:val="0"/>
                  <w:adjustRightInd w:val="0"/>
                  <w:jc w:val="center"/>
                  <w:rPr>
                    <w:rFonts w:ascii="宋体" w:hAnsi="宋体" w:eastAsia="宋体"/>
                    <w:szCs w:val="28"/>
                  </w:rPr>
                </w:pPr>
                <w:r>
                  <w:rPr>
                    <w:rFonts w:ascii="宋体" w:hAnsi="宋体" w:eastAsia="宋体"/>
                    <w:szCs w:val="28"/>
                  </w:rPr>
                  <w:t>注册资本</w:t>
                </w:r>
              </w:p>
            </w:tc>
            <w:tc>
              <w:tcPr>
                <w:tcW w:w="3162" w:type="dxa"/>
                <w:gridSpan w:val="2"/>
                <w:vAlign w:val="center"/>
              </w:tcPr>
              <w:p>
                <w:pPr>
                  <w:autoSpaceDE w:val="0"/>
                  <w:autoSpaceDN w:val="0"/>
                  <w:adjustRightInd w:val="0"/>
                  <w:jc w:val="center"/>
                  <w:rPr>
                    <w:rFonts w:ascii="宋体" w:hAnsi="宋体" w:eastAsia="宋体"/>
                    <w:szCs w:val="28"/>
                  </w:rPr>
                </w:pPr>
                <w:r>
                  <w:rPr>
                    <w:rFonts w:hint="eastAsia" w:ascii="宋体" w:hAnsi="宋体" w:eastAsia="宋体"/>
                    <w:szCs w:val="28"/>
                  </w:rPr>
                  <w:t>202</w:t>
                </w:r>
                <w:r>
                  <w:rPr>
                    <w:rFonts w:ascii="宋体" w:hAnsi="宋体" w:eastAsia="宋体"/>
                    <w:szCs w:val="28"/>
                  </w:rPr>
                  <w:t>3</w:t>
                </w:r>
                <w:r>
                  <w:rPr>
                    <w:rFonts w:hint="eastAsia" w:ascii="宋体" w:hAnsi="宋体" w:eastAsia="宋体"/>
                    <w:szCs w:val="28"/>
                  </w:rPr>
                  <w:t>年12月31日</w:t>
                </w:r>
              </w:p>
            </w:tc>
            <w:tc>
              <w:tcPr>
                <w:tcW w:w="1814" w:type="dxa"/>
                <w:vMerge w:val="restart"/>
                <w:vAlign w:val="center"/>
              </w:tcPr>
              <w:p>
                <w:pPr>
                  <w:autoSpaceDE w:val="0"/>
                  <w:autoSpaceDN w:val="0"/>
                  <w:adjustRightInd w:val="0"/>
                  <w:jc w:val="center"/>
                  <w:rPr>
                    <w:rFonts w:ascii="宋体" w:hAnsi="宋体" w:eastAsia="宋体"/>
                    <w:szCs w:val="28"/>
                  </w:rPr>
                </w:pPr>
                <w:r>
                  <w:rPr>
                    <w:rFonts w:hint="eastAsia" w:ascii="宋体" w:hAnsi="宋体" w:eastAsia="宋体"/>
                    <w:szCs w:val="28"/>
                  </w:rPr>
                  <w:t>202</w:t>
                </w:r>
                <w:r>
                  <w:rPr>
                    <w:rFonts w:ascii="宋体" w:hAnsi="宋体" w:eastAsia="宋体"/>
                    <w:szCs w:val="28"/>
                  </w:rPr>
                  <w:t>3</w:t>
                </w:r>
                <w:r>
                  <w:rPr>
                    <w:rFonts w:hint="eastAsia" w:ascii="宋体" w:hAnsi="宋体" w:eastAsia="宋体"/>
                    <w:szCs w:val="28"/>
                  </w:rPr>
                  <w:t>年净利润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884" w:type="dxa"/>
                <w:vMerge w:val="continue"/>
              </w:tcPr>
              <w:p>
                <w:pPr>
                  <w:autoSpaceDE w:val="0"/>
                  <w:autoSpaceDN w:val="0"/>
                  <w:adjustRightInd w:val="0"/>
                  <w:jc w:val="center"/>
                  <w:rPr>
                    <w:rFonts w:ascii="宋体" w:hAnsi="宋体" w:eastAsia="宋体"/>
                    <w:szCs w:val="28"/>
                  </w:rPr>
                </w:pPr>
              </w:p>
            </w:tc>
            <w:tc>
              <w:tcPr>
                <w:tcW w:w="1770" w:type="dxa"/>
                <w:vMerge w:val="continue"/>
              </w:tcPr>
              <w:p>
                <w:pPr>
                  <w:autoSpaceDE w:val="0"/>
                  <w:autoSpaceDN w:val="0"/>
                  <w:adjustRightInd w:val="0"/>
                  <w:jc w:val="center"/>
                  <w:rPr>
                    <w:rFonts w:ascii="宋体" w:hAnsi="宋体" w:eastAsia="宋体"/>
                    <w:szCs w:val="28"/>
                  </w:rPr>
                </w:pPr>
              </w:p>
            </w:tc>
            <w:tc>
              <w:tcPr>
                <w:tcW w:w="1581" w:type="dxa"/>
                <w:vAlign w:val="center"/>
              </w:tcPr>
              <w:p>
                <w:pPr>
                  <w:autoSpaceDE w:val="0"/>
                  <w:autoSpaceDN w:val="0"/>
                  <w:adjustRightInd w:val="0"/>
                  <w:jc w:val="center"/>
                  <w:rPr>
                    <w:rFonts w:ascii="宋体" w:hAnsi="宋体" w:eastAsia="宋体"/>
                    <w:szCs w:val="28"/>
                  </w:rPr>
                </w:pPr>
                <w:r>
                  <w:rPr>
                    <w:rFonts w:hint="eastAsia" w:ascii="宋体" w:hAnsi="宋体" w:eastAsia="宋体"/>
                    <w:szCs w:val="28"/>
                  </w:rPr>
                  <w:t>总资产</w:t>
                </w:r>
              </w:p>
            </w:tc>
            <w:tc>
              <w:tcPr>
                <w:tcW w:w="1581" w:type="dxa"/>
                <w:vAlign w:val="center"/>
              </w:tcPr>
              <w:p>
                <w:pPr>
                  <w:autoSpaceDE w:val="0"/>
                  <w:autoSpaceDN w:val="0"/>
                  <w:adjustRightInd w:val="0"/>
                  <w:jc w:val="center"/>
                  <w:rPr>
                    <w:rFonts w:ascii="宋体" w:hAnsi="宋体" w:eastAsia="宋体"/>
                    <w:szCs w:val="28"/>
                  </w:rPr>
                </w:pPr>
                <w:r>
                  <w:rPr>
                    <w:rFonts w:hint="eastAsia" w:ascii="宋体" w:hAnsi="宋体" w:eastAsia="宋体"/>
                    <w:szCs w:val="28"/>
                  </w:rPr>
                  <w:t>净资产</w:t>
                </w:r>
              </w:p>
            </w:tc>
            <w:tc>
              <w:tcPr>
                <w:tcW w:w="1814" w:type="dxa"/>
                <w:vMerge w:val="continue"/>
              </w:tcPr>
              <w:p>
                <w:pPr>
                  <w:autoSpaceDE w:val="0"/>
                  <w:autoSpaceDN w:val="0"/>
                  <w:adjustRightInd w:val="0"/>
                  <w:rPr>
                    <w:rFonts w:ascii="宋体" w:hAnsi="宋体" w:eastAsia="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884" w:type="dxa"/>
              </w:tcPr>
              <w:p>
                <w:pPr>
                  <w:autoSpaceDE w:val="0"/>
                  <w:autoSpaceDN w:val="0"/>
                  <w:adjustRightInd w:val="0"/>
                  <w:jc w:val="center"/>
                  <w:rPr>
                    <w:rFonts w:ascii="宋体" w:hAnsi="宋体" w:eastAsia="宋体"/>
                    <w:szCs w:val="21"/>
                  </w:rPr>
                </w:pPr>
                <w:r>
                  <w:rPr>
                    <w:rFonts w:hint="eastAsia" w:ascii="Times New Roman" w:hAnsi="Times New Roman" w:eastAsiaTheme="minorEastAsia"/>
                    <w:szCs w:val="28"/>
                  </w:rPr>
                  <w:t>未来能源</w:t>
                </w:r>
              </w:p>
            </w:tc>
            <w:tc>
              <w:tcPr>
                <w:tcW w:w="1770" w:type="dxa"/>
                <w:vAlign w:val="center"/>
              </w:tcPr>
              <w:p>
                <w:pPr>
                  <w:autoSpaceDE w:val="0"/>
                  <w:autoSpaceDN w:val="0"/>
                  <w:adjustRightInd w:val="0"/>
                  <w:jc w:val="right"/>
                  <w:rPr>
                    <w:rFonts w:ascii="宋体" w:hAnsi="宋体" w:eastAsia="宋体"/>
                    <w:szCs w:val="21"/>
                  </w:rPr>
                </w:pPr>
                <w:r>
                  <w:rPr>
                    <w:rFonts w:ascii="宋体" w:hAnsi="宋体" w:eastAsia="宋体"/>
                    <w:szCs w:val="21"/>
                  </w:rPr>
                  <w:t>5,400</w:t>
                </w:r>
              </w:p>
            </w:tc>
            <w:tc>
              <w:tcPr>
                <w:tcW w:w="1581" w:type="dxa"/>
                <w:vAlign w:val="center"/>
              </w:tcPr>
              <w:p>
                <w:pPr>
                  <w:autoSpaceDE w:val="0"/>
                  <w:autoSpaceDN w:val="0"/>
                  <w:adjustRightInd w:val="0"/>
                  <w:jc w:val="right"/>
                  <w:rPr>
                    <w:rFonts w:ascii="宋体" w:hAnsi="宋体" w:eastAsia="宋体"/>
                    <w:szCs w:val="28"/>
                  </w:rPr>
                </w:pPr>
                <w:r>
                  <w:rPr>
                    <w:rFonts w:ascii="宋体" w:hAnsi="宋体" w:eastAsia="宋体"/>
                    <w:szCs w:val="28"/>
                  </w:rPr>
                  <w:t xml:space="preserve">31,394 </w:t>
                </w:r>
              </w:p>
            </w:tc>
            <w:tc>
              <w:tcPr>
                <w:tcW w:w="1581" w:type="dxa"/>
                <w:vAlign w:val="center"/>
              </w:tcPr>
              <w:p>
                <w:pPr>
                  <w:autoSpaceDE w:val="0"/>
                  <w:autoSpaceDN w:val="0"/>
                  <w:adjustRightInd w:val="0"/>
                  <w:jc w:val="right"/>
                  <w:rPr>
                    <w:rFonts w:ascii="宋体" w:hAnsi="宋体" w:eastAsia="宋体"/>
                    <w:szCs w:val="28"/>
                  </w:rPr>
                </w:pPr>
                <w:r>
                  <w:rPr>
                    <w:rFonts w:ascii="宋体" w:hAnsi="宋体" w:eastAsia="宋体"/>
                    <w:szCs w:val="28"/>
                  </w:rPr>
                  <w:t xml:space="preserve">24,841 </w:t>
                </w:r>
              </w:p>
            </w:tc>
            <w:tc>
              <w:tcPr>
                <w:tcW w:w="1814" w:type="dxa"/>
                <w:vAlign w:val="center"/>
              </w:tcPr>
              <w:p>
                <w:pPr>
                  <w:autoSpaceDE w:val="0"/>
                  <w:autoSpaceDN w:val="0"/>
                  <w:adjustRightInd w:val="0"/>
                  <w:jc w:val="right"/>
                  <w:rPr>
                    <w:rFonts w:ascii="宋体" w:hAnsi="宋体" w:eastAsia="宋体"/>
                    <w:szCs w:val="28"/>
                  </w:rPr>
                </w:pPr>
                <w:r>
                  <w:rPr>
                    <w:rFonts w:ascii="宋体" w:hAnsi="宋体" w:eastAsia="宋体"/>
                    <w:szCs w:val="28"/>
                  </w:rPr>
                  <w:t xml:space="preserve">5,650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884" w:type="dxa"/>
              </w:tcPr>
              <w:p>
                <w:pPr>
                  <w:autoSpaceDE w:val="0"/>
                  <w:autoSpaceDN w:val="0"/>
                  <w:adjustRightInd w:val="0"/>
                  <w:jc w:val="center"/>
                  <w:rPr>
                    <w:rFonts w:ascii="Times New Roman" w:hAnsi="Times New Roman" w:eastAsiaTheme="minorEastAsia"/>
                    <w:szCs w:val="28"/>
                  </w:rPr>
                </w:pPr>
                <w:r>
                  <w:rPr>
                    <w:rFonts w:hint="eastAsia" w:ascii="Times New Roman" w:hAnsi="Times New Roman" w:eastAsiaTheme="minorEastAsia"/>
                    <w:szCs w:val="28"/>
                  </w:rPr>
                  <w:t>兖煤澳洲</w:t>
                </w:r>
              </w:p>
            </w:tc>
            <w:tc>
              <w:tcPr>
                <w:tcW w:w="1770" w:type="dxa"/>
                <w:vAlign w:val="center"/>
              </w:tcPr>
              <w:p>
                <w:pPr>
                  <w:autoSpaceDE w:val="0"/>
                  <w:autoSpaceDN w:val="0"/>
                  <w:adjustRightInd w:val="0"/>
                  <w:jc w:val="right"/>
                  <w:rPr>
                    <w:rFonts w:ascii="宋体" w:hAnsi="宋体" w:eastAsiaTheme="minorEastAsia"/>
                    <w:szCs w:val="28"/>
                  </w:rPr>
                </w:pPr>
                <w:r>
                  <w:rPr>
                    <w:rFonts w:hint="eastAsia" w:ascii="宋体" w:hAnsi="宋体" w:eastAsia="宋体"/>
                    <w:szCs w:val="21"/>
                  </w:rPr>
                  <w:t>6,027百万澳元</w:t>
                </w:r>
              </w:p>
            </w:tc>
            <w:tc>
              <w:tcPr>
                <w:tcW w:w="1581" w:type="dxa"/>
                <w:vAlign w:val="center"/>
              </w:tcPr>
              <w:p>
                <w:pPr>
                  <w:autoSpaceDE w:val="0"/>
                  <w:autoSpaceDN w:val="0"/>
                  <w:adjustRightInd w:val="0"/>
                  <w:jc w:val="right"/>
                  <w:rPr>
                    <w:rFonts w:ascii="宋体" w:hAnsi="宋体" w:eastAsiaTheme="minorEastAsia"/>
                    <w:szCs w:val="28"/>
                  </w:rPr>
                </w:pPr>
                <w:r>
                  <w:rPr>
                    <w:rFonts w:ascii="宋体" w:hAnsi="宋体" w:eastAsia="宋体"/>
                    <w:szCs w:val="28"/>
                  </w:rPr>
                  <w:t xml:space="preserve">54,279 </w:t>
                </w:r>
              </w:p>
            </w:tc>
            <w:tc>
              <w:tcPr>
                <w:tcW w:w="1581" w:type="dxa"/>
                <w:vAlign w:val="center"/>
              </w:tcPr>
              <w:p>
                <w:pPr>
                  <w:autoSpaceDE w:val="0"/>
                  <w:autoSpaceDN w:val="0"/>
                  <w:adjustRightInd w:val="0"/>
                  <w:jc w:val="right"/>
                  <w:rPr>
                    <w:rFonts w:ascii="宋体" w:hAnsi="宋体" w:eastAsiaTheme="minorEastAsia"/>
                    <w:szCs w:val="28"/>
                  </w:rPr>
                </w:pPr>
                <w:r>
                  <w:rPr>
                    <w:rFonts w:ascii="宋体" w:hAnsi="宋体" w:eastAsia="宋体"/>
                    <w:szCs w:val="28"/>
                  </w:rPr>
                  <w:t xml:space="preserve">40,941 </w:t>
                </w:r>
              </w:p>
            </w:tc>
            <w:tc>
              <w:tcPr>
                <w:tcW w:w="1814" w:type="dxa"/>
                <w:vAlign w:val="center"/>
              </w:tcPr>
              <w:p>
                <w:pPr>
                  <w:autoSpaceDE w:val="0"/>
                  <w:autoSpaceDN w:val="0"/>
                  <w:adjustRightInd w:val="0"/>
                  <w:jc w:val="right"/>
                  <w:rPr>
                    <w:rFonts w:ascii="宋体" w:hAnsi="宋体" w:eastAsiaTheme="minorEastAsia"/>
                    <w:szCs w:val="28"/>
                  </w:rPr>
                </w:pPr>
                <w:r>
                  <w:rPr>
                    <w:rFonts w:ascii="宋体" w:hAnsi="宋体" w:eastAsia="宋体"/>
                    <w:szCs w:val="28"/>
                  </w:rPr>
                  <w:t xml:space="preserve">8,697 </w:t>
                </w:r>
              </w:p>
            </w:tc>
          </w:tr>
        </w:tbl>
        <w:p>
          <w:pPr>
            <w:autoSpaceDE w:val="0"/>
            <w:autoSpaceDN w:val="0"/>
            <w:adjustRightInd w:val="0"/>
            <w:rPr>
              <w:rFonts w:ascii="宋体" w:hAnsi="宋体"/>
              <w:szCs w:val="28"/>
            </w:rPr>
          </w:pPr>
        </w:p>
        <w:p>
          <w:pPr>
            <w:autoSpaceDE w:val="0"/>
            <w:autoSpaceDN w:val="0"/>
            <w:adjustRightInd w:val="0"/>
            <w:ind w:firstLine="420" w:firstLineChars="200"/>
            <w:rPr>
              <w:rFonts w:ascii="宋体" w:hAnsi="宋体"/>
              <w:szCs w:val="28"/>
            </w:rPr>
          </w:pPr>
          <w:r>
            <w:rPr>
              <w:rFonts w:hint="eastAsia" w:ascii="宋体" w:hAnsi="宋体"/>
              <w:szCs w:val="28"/>
            </w:rPr>
            <w:t>注：本集团主要控股子公司的主要业务、主要财务指标等相关资料请见按中国会计准则编制的财务报表附注“在其他主体中的权益—在子公司中的权益”。</w:t>
          </w:r>
        </w:p>
        <w:p>
          <w:pPr>
            <w:autoSpaceDE w:val="0"/>
            <w:autoSpaceDN w:val="0"/>
            <w:adjustRightInd w:val="0"/>
            <w:ind w:firstLine="420" w:firstLineChars="200"/>
            <w:rPr>
              <w:rFonts w:ascii="宋体" w:hAnsi="宋体"/>
              <w:szCs w:val="28"/>
            </w:rPr>
          </w:pPr>
        </w:p>
        <w:p>
          <w:pPr>
            <w:autoSpaceDE w:val="0"/>
            <w:autoSpaceDN w:val="0"/>
            <w:adjustRightInd w:val="0"/>
            <w:ind w:firstLine="420" w:firstLineChars="200"/>
            <w:rPr>
              <w:rFonts w:ascii="宋体" w:hAnsi="宋体"/>
              <w:szCs w:val="28"/>
            </w:rPr>
          </w:pPr>
          <w:r>
            <w:rPr>
              <w:rFonts w:hint="eastAsia" w:ascii="宋体" w:hAnsi="宋体"/>
              <w:szCs w:val="28"/>
            </w:rPr>
            <w:t>（2）本年度经营业绩同比出现大幅波动的主要控股公司如下：</w:t>
          </w:r>
        </w:p>
        <w:p>
          <w:pPr>
            <w:autoSpaceDE w:val="0"/>
            <w:autoSpaceDN w:val="0"/>
            <w:adjustRightInd w:val="0"/>
            <w:ind w:firstLine="422" w:firstLineChars="200"/>
            <w:rPr>
              <w:rFonts w:ascii="宋体" w:hAnsi="宋体"/>
              <w:b/>
              <w:bCs/>
              <w:szCs w:val="28"/>
            </w:rPr>
          </w:pPr>
          <w:r>
            <w:rPr>
              <w:rFonts w:hint="eastAsia" w:ascii="宋体" w:hAnsi="宋体"/>
              <w:b/>
              <w:bCs/>
              <w:szCs w:val="28"/>
            </w:rPr>
            <w:t>兖煤澳洲</w:t>
          </w:r>
        </w:p>
        <w:p>
          <w:pPr>
            <w:autoSpaceDE w:val="0"/>
            <w:autoSpaceDN w:val="0"/>
            <w:adjustRightInd w:val="0"/>
            <w:ind w:firstLine="420" w:firstLineChars="200"/>
            <w:rPr>
              <w:rFonts w:ascii="宋体" w:hAnsi="宋体"/>
              <w:szCs w:val="28"/>
            </w:rPr>
          </w:pPr>
          <w:r>
            <w:rPr>
              <w:rFonts w:hint="eastAsia" w:ascii="宋体" w:hAnsi="宋体"/>
              <w:szCs w:val="28"/>
            </w:rPr>
            <w:t>2023年兖煤澳洲实现净利润</w:t>
          </w:r>
          <w:r>
            <w:rPr>
              <w:rFonts w:ascii="宋体" w:hAnsi="宋体"/>
              <w:szCs w:val="28"/>
            </w:rPr>
            <w:t>86.97</w:t>
          </w:r>
          <w:r>
            <w:rPr>
              <w:rFonts w:hint="eastAsia" w:ascii="宋体" w:hAnsi="宋体"/>
              <w:szCs w:val="28"/>
            </w:rPr>
            <w:t>亿元,同比减少</w:t>
          </w:r>
          <w:r>
            <w:rPr>
              <w:rFonts w:ascii="宋体" w:hAnsi="宋体"/>
              <w:szCs w:val="28"/>
            </w:rPr>
            <w:t>80.42</w:t>
          </w:r>
          <w:r>
            <w:rPr>
              <w:rFonts w:hint="eastAsia" w:ascii="宋体" w:hAnsi="宋体"/>
              <w:szCs w:val="28"/>
            </w:rPr>
            <w:t>亿元或</w:t>
          </w:r>
          <w:r>
            <w:rPr>
              <w:rFonts w:ascii="宋体" w:hAnsi="宋体"/>
              <w:szCs w:val="28"/>
            </w:rPr>
            <w:t>48.0%</w:t>
          </w:r>
          <w:r>
            <w:rPr>
              <w:rFonts w:hint="eastAsia" w:ascii="宋体" w:hAnsi="宋体"/>
              <w:szCs w:val="28"/>
            </w:rPr>
            <w:t>，主要是由于：煤炭产品销售价格同比下降。</w:t>
          </w:r>
        </w:p>
        <w:p>
          <w:pPr>
            <w:autoSpaceDE w:val="0"/>
            <w:autoSpaceDN w:val="0"/>
            <w:adjustRightInd w:val="0"/>
            <w:ind w:firstLine="420" w:firstLineChars="200"/>
            <w:rPr>
              <w:rFonts w:ascii="宋体" w:hAnsi="宋体"/>
              <w:szCs w:val="28"/>
            </w:rPr>
          </w:pPr>
        </w:p>
        <w:p>
          <w:pPr>
            <w:autoSpaceDE w:val="0"/>
            <w:autoSpaceDN w:val="0"/>
            <w:adjustRightInd w:val="0"/>
            <w:spacing w:before="120" w:beforeLines="50" w:after="120" w:afterLines="50"/>
            <w:ind w:firstLine="422" w:firstLineChars="200"/>
            <w:rPr>
              <w:rFonts w:ascii="宋体" w:hAnsi="宋体"/>
              <w:b/>
              <w:szCs w:val="28"/>
            </w:rPr>
          </w:pPr>
          <w:r>
            <w:rPr>
              <w:rFonts w:hint="eastAsia" w:ascii="宋体" w:hAnsi="宋体"/>
              <w:b/>
              <w:szCs w:val="28"/>
            </w:rPr>
            <w:t>2.</w:t>
          </w:r>
          <w:r>
            <w:rPr>
              <w:rFonts w:ascii="宋体" w:hAnsi="宋体"/>
              <w:b/>
              <w:szCs w:val="28"/>
            </w:rPr>
            <w:t>主要参股公司</w:t>
          </w:r>
        </w:p>
        <w:p>
          <w:pPr>
            <w:autoSpaceDE w:val="0"/>
            <w:autoSpaceDN w:val="0"/>
            <w:adjustRightInd w:val="0"/>
            <w:ind w:firstLine="420" w:firstLineChars="200"/>
            <w:rPr>
              <w:rFonts w:ascii="宋体" w:hAnsi="宋体"/>
              <w:szCs w:val="28"/>
            </w:rPr>
          </w:pPr>
          <w:r>
            <w:rPr>
              <w:rFonts w:hint="eastAsia" w:ascii="宋体" w:hAnsi="宋体"/>
              <w:szCs w:val="28"/>
            </w:rPr>
            <w:t>本集团主要参股公司的主要业务、主要财务指标等相关资料请见按中国会计准则编制的财务报表附注“</w:t>
          </w:r>
          <w:r>
            <w:rPr>
              <w:rFonts w:ascii="宋体" w:hAnsi="宋体"/>
              <w:szCs w:val="28"/>
            </w:rPr>
            <w:t>在其他主体中的权益</w:t>
          </w:r>
          <w:r>
            <w:rPr>
              <w:rFonts w:hint="eastAsia" w:ascii="宋体" w:hAnsi="宋体"/>
              <w:szCs w:val="28"/>
            </w:rPr>
            <w:t>—</w:t>
          </w:r>
          <w:r>
            <w:rPr>
              <w:rFonts w:ascii="宋体" w:hAnsi="宋体"/>
              <w:szCs w:val="28"/>
            </w:rPr>
            <w:t>在合营企业或联营企业中的权益</w:t>
          </w:r>
          <w:r>
            <w:rPr>
              <w:rFonts w:hint="eastAsia" w:ascii="宋体" w:hAnsi="宋体"/>
              <w:szCs w:val="28"/>
            </w:rPr>
            <w:t>”。</w:t>
          </w:r>
        </w:p>
        <w:p>
          <w:pPr>
            <w:rPr>
              <w:rFonts w:ascii="宋体" w:hAnsi="宋体"/>
            </w:rPr>
          </w:pPr>
        </w:p>
      </w:sdtContent>
    </w:sdt>
    <w:bookmarkEnd w:id="82"/>
    <w:p>
      <w:pPr>
        <w:numPr>
          <w:ilvl w:val="0"/>
          <w:numId w:val="8"/>
        </w:numPr>
        <w:ind w:hangingChars="200"/>
        <w:rPr>
          <w:rFonts w:ascii="宋体" w:hAnsi="宋体"/>
        </w:rPr>
      </w:pPr>
      <w:r>
        <w:rPr>
          <w:rFonts w:ascii="宋体" w:hAnsi="宋体"/>
        </w:rPr>
        <w:t>公司控制的</w:t>
      </w:r>
      <w:r>
        <w:rPr>
          <w:rFonts w:hint="eastAsia" w:ascii="宋体" w:hAnsi="宋体"/>
        </w:rPr>
        <w:t>结构化</w:t>
      </w:r>
      <w:r>
        <w:rPr>
          <w:rFonts w:ascii="宋体" w:hAnsi="宋体"/>
        </w:rPr>
        <w:t>主体情况</w:t>
      </w:r>
    </w:p>
    <w:sdt>
      <w:sdtPr>
        <w:rPr>
          <w:rFonts w:hint="eastAsia" w:ascii="宋体" w:hAnsi="宋体"/>
        </w:rPr>
        <w:alias w:val="是否适用：公司控制的结构化主体情况[双击切换]"/>
        <w:tag w:val="_GBC_844e5a5ece8c488e933f7fbfd0650339"/>
        <w:id w:val="-1893719821"/>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pStyle w:val="3"/>
        <w:numPr>
          <w:ilvl w:val="0"/>
          <w:numId w:val="7"/>
        </w:numPr>
        <w:ind w:left="422" w:hanging="422" w:hangingChars="200"/>
        <w:rPr>
          <w:rFonts w:ascii="宋体" w:hAnsi="宋体"/>
        </w:rPr>
      </w:pPr>
      <w:r>
        <w:rPr>
          <w:rFonts w:hint="eastAsia" w:ascii="宋体" w:hAnsi="宋体"/>
        </w:rPr>
        <w:t>公司</w:t>
      </w:r>
      <w:r>
        <w:rPr>
          <w:rFonts w:ascii="宋体" w:hAnsi="宋体"/>
        </w:rPr>
        <w:t>关于公司未来发展的讨论与分析</w:t>
      </w:r>
    </w:p>
    <w:p>
      <w:pPr>
        <w:pStyle w:val="4"/>
        <w:numPr>
          <w:ilvl w:val="3"/>
          <w:numId w:val="16"/>
        </w:numPr>
        <w:ind w:left="422" w:hanging="422" w:hangingChars="200"/>
        <w:rPr>
          <w:rFonts w:ascii="宋体" w:hAnsi="宋体"/>
          <w:szCs w:val="21"/>
        </w:rPr>
      </w:pPr>
      <w:r>
        <w:rPr>
          <w:rFonts w:ascii="宋体" w:hAnsi="宋体"/>
          <w:szCs w:val="21"/>
        </w:rPr>
        <w:t>行业格局和趋势</w:t>
      </w:r>
    </w:p>
    <w:sdt>
      <w:sdtPr>
        <w:rPr>
          <w:rFonts w:hint="eastAsia" w:ascii="宋体" w:hAnsi="宋体"/>
        </w:rPr>
        <w:alias w:val="是否适用：行业格局和趋势[双击切换]"/>
        <w:tag w:val="_GBC_da53e2a4423f4116b5d03ba76b630af9"/>
        <w:id w:val="1290857597"/>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行业竞争格局和发展趋势"/>
        <w:tag w:val="_GBC_c38788dc300c4c4592543c5db64e9308"/>
        <w:id w:val="-697233199"/>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有关行业竞争格局和趋势详情请见本年报“第三节 董事长报告书”的相关内容。</w:t>
          </w:r>
        </w:p>
      </w:sdtContent>
    </w:sdt>
    <w:p>
      <w:pPr>
        <w:rPr>
          <w:rFonts w:ascii="宋体" w:hAnsi="宋体"/>
        </w:rPr>
      </w:pPr>
    </w:p>
    <w:p>
      <w:pPr>
        <w:pStyle w:val="4"/>
        <w:numPr>
          <w:ilvl w:val="3"/>
          <w:numId w:val="16"/>
        </w:numPr>
        <w:ind w:left="422" w:hanging="422" w:hangingChars="200"/>
        <w:rPr>
          <w:rFonts w:ascii="宋体" w:hAnsi="宋体"/>
          <w:szCs w:val="21"/>
        </w:rPr>
      </w:pPr>
      <w:r>
        <w:rPr>
          <w:rFonts w:ascii="宋体" w:hAnsi="宋体"/>
          <w:szCs w:val="21"/>
        </w:rPr>
        <w:t>公司发展战略</w:t>
      </w:r>
    </w:p>
    <w:sdt>
      <w:sdtPr>
        <w:rPr>
          <w:rFonts w:hint="eastAsia" w:ascii="宋体" w:hAnsi="宋体"/>
        </w:rPr>
        <w:alias w:val="是否适用：公司发展战略[双击切换]"/>
        <w:tag w:val="_GBC_5cdf4718a6044c1fbf76e22df729f9b7"/>
        <w:id w:val="1600992607"/>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公司发展战略"/>
        <w:tag w:val="_GBC_afe9ed534944441fae5223f90c2521f1"/>
        <w:id w:val="-991554247"/>
        <w:placeholder>
          <w:docPart w:val="GBC22222222222222222222222222222"/>
        </w:placeholder>
      </w:sdtPr>
      <w:sdtEndPr>
        <w:rPr>
          <w:rFonts w:hint="eastAsia" w:ascii="宋体" w:hAnsi="宋体"/>
        </w:rPr>
      </w:sdtEndPr>
      <w:sdtContent>
        <w:p>
          <w:pPr>
            <w:ind w:firstLine="420" w:firstLineChars="200"/>
            <w:rPr>
              <w:rFonts w:ascii="宋体" w:hAnsi="宋体" w:cs="宋体"/>
              <w:kern w:val="0"/>
              <w:szCs w:val="24"/>
            </w:rPr>
          </w:pPr>
          <w:bookmarkStart w:id="83" w:name="_Hlk162189504"/>
          <w:r>
            <w:rPr>
              <w:rFonts w:hint="eastAsia" w:ascii="宋体" w:hAnsi="宋体" w:cs="宋体"/>
              <w:kern w:val="0"/>
              <w:szCs w:val="24"/>
            </w:rPr>
            <w:t>全球能源格局发生深刻变化，公司顺应能源发展趋势，</w:t>
          </w:r>
          <w:r>
            <w:rPr>
              <w:rFonts w:ascii="宋体" w:hAnsi="宋体" w:cs="宋体"/>
              <w:kern w:val="0"/>
              <w:szCs w:val="24"/>
            </w:rPr>
            <w:t>全面审视未来发展，</w:t>
          </w:r>
          <w:r>
            <w:rPr>
              <w:rFonts w:hint="eastAsia" w:ascii="宋体" w:hAnsi="宋体" w:cs="宋体"/>
              <w:kern w:val="0"/>
              <w:szCs w:val="24"/>
            </w:rPr>
            <w:t>于</w:t>
          </w:r>
          <w:r>
            <w:rPr>
              <w:rFonts w:ascii="宋体" w:hAnsi="宋体" w:cs="宋体"/>
              <w:kern w:val="0"/>
              <w:szCs w:val="24"/>
            </w:rPr>
            <w:t>2021年12月1日第八届董事会第十八次会议审议通过</w:t>
          </w:r>
          <w:r>
            <w:rPr>
              <w:rFonts w:hint="eastAsia" w:ascii="宋体" w:hAnsi="宋体" w:cs="宋体"/>
              <w:kern w:val="0"/>
              <w:szCs w:val="24"/>
            </w:rPr>
            <w:t>《发展战略纲要》，对“双碳”目标下的低碳转型路径，以及未来</w:t>
          </w:r>
          <w:r>
            <w:rPr>
              <w:rFonts w:ascii="宋体" w:hAnsi="宋体" w:cs="宋体"/>
              <w:kern w:val="0"/>
              <w:szCs w:val="24"/>
            </w:rPr>
            <w:t>5-10年产业布局做出纲领性规划，明确</w:t>
          </w:r>
          <w:r>
            <w:rPr>
              <w:rFonts w:hint="eastAsia" w:ascii="宋体" w:hAnsi="宋体" w:cs="宋体"/>
              <w:kern w:val="0"/>
              <w:szCs w:val="24"/>
            </w:rPr>
            <w:t>建设国际一流、可持续发展的清洁能源引领示范企业的企业愿景，规划发展</w:t>
          </w:r>
          <w:r>
            <w:rPr>
              <w:rFonts w:ascii="宋体" w:hAnsi="宋体" w:cs="宋体"/>
              <w:kern w:val="0"/>
              <w:szCs w:val="24"/>
            </w:rPr>
            <w:t>矿业、高端化工新材料、新能源、高端装备制造、</w:t>
          </w:r>
          <w:r>
            <w:rPr>
              <w:rFonts w:hint="eastAsia" w:ascii="宋体" w:hAnsi="宋体" w:cs="宋体"/>
              <w:kern w:val="0"/>
              <w:szCs w:val="24"/>
            </w:rPr>
            <w:t>智慧物流“五大主导产业”，全力打造新技术、新产业、新业态、新模式，加快向高质高效、绿色低碳的新型能源集团转变。</w:t>
          </w:r>
          <w:r>
            <w:rPr>
              <w:rFonts w:ascii="宋体" w:hAnsi="宋体" w:cs="宋体"/>
              <w:kern w:val="0"/>
              <w:szCs w:val="24"/>
            </w:rPr>
            <w:t>公司主要产业发展定位及目标为：</w:t>
          </w:r>
        </w:p>
        <w:p>
          <w:pPr>
            <w:widowControl/>
            <w:ind w:firstLine="420" w:firstLineChars="200"/>
            <w:rPr>
              <w:rFonts w:ascii="宋体" w:hAnsi="宋体" w:cs="宋体"/>
              <w:kern w:val="0"/>
              <w:szCs w:val="24"/>
            </w:rPr>
          </w:pPr>
          <w:r>
            <w:rPr>
              <w:rFonts w:ascii="宋体" w:hAnsi="宋体" w:cs="宋体"/>
              <w:kern w:val="0"/>
              <w:szCs w:val="24"/>
            </w:rPr>
            <w:t>1.矿业：</w:t>
          </w:r>
          <w:r>
            <w:rPr>
              <w:rFonts w:hint="eastAsia" w:ascii="宋体" w:hAnsi="宋体" w:cs="宋体"/>
              <w:kern w:val="0"/>
              <w:szCs w:val="24"/>
            </w:rPr>
            <w:t>智能高效，做优做强。</w:t>
          </w:r>
          <w:r>
            <w:rPr>
              <w:rFonts w:ascii="宋体" w:hAnsi="宋体" w:cs="宋体"/>
              <w:kern w:val="0"/>
              <w:szCs w:val="24"/>
            </w:rPr>
            <w:t>煤炭产量规模达到3亿吨/年，建成8座以上千万吨级绿色智能矿</w:t>
          </w:r>
          <w:r>
            <w:rPr>
              <w:rFonts w:hint="eastAsia" w:ascii="宋体" w:hAnsi="宋体" w:cs="宋体"/>
              <w:kern w:val="0"/>
              <w:szCs w:val="24"/>
            </w:rPr>
            <w:t>山。在现有多种非煤矿产资产的基础上，拓展钼、金、铜、铁、钾等矿产领域，实现由单一煤炭开采向多矿种开发转型。</w:t>
          </w:r>
        </w:p>
        <w:p>
          <w:pPr>
            <w:widowControl/>
            <w:ind w:firstLine="420" w:firstLineChars="200"/>
            <w:rPr>
              <w:rFonts w:ascii="宋体" w:hAnsi="宋体" w:cs="宋体"/>
              <w:kern w:val="0"/>
              <w:szCs w:val="24"/>
            </w:rPr>
          </w:pPr>
          <w:r>
            <w:rPr>
              <w:rFonts w:ascii="宋体" w:hAnsi="宋体" w:cs="宋体"/>
              <w:kern w:val="0"/>
              <w:szCs w:val="24"/>
            </w:rPr>
            <w:t>2.高端化工新材料产业：</w:t>
          </w:r>
          <w:r>
            <w:rPr>
              <w:rFonts w:hint="eastAsia" w:ascii="宋体" w:hAnsi="宋体" w:cs="宋体"/>
              <w:kern w:val="0"/>
              <w:szCs w:val="24"/>
            </w:rPr>
            <w:t>延链强链，价值提升。</w:t>
          </w:r>
          <w:r>
            <w:rPr>
              <w:rFonts w:ascii="宋体" w:hAnsi="宋体" w:cs="宋体"/>
              <w:kern w:val="0"/>
              <w:szCs w:val="24"/>
            </w:rPr>
            <w:t>按照高端绿色低碳发展方向，延伸现有化工产业链，建设化工新材</w:t>
          </w:r>
          <w:r>
            <w:rPr>
              <w:rFonts w:hint="eastAsia" w:ascii="宋体" w:hAnsi="宋体" w:cs="宋体"/>
              <w:kern w:val="0"/>
              <w:szCs w:val="24"/>
            </w:rPr>
            <w:t>料研发生产基地。</w:t>
          </w:r>
          <w:r>
            <w:rPr>
              <w:rFonts w:ascii="宋体" w:hAnsi="宋体" w:cs="宋体"/>
              <w:kern w:val="0"/>
              <w:szCs w:val="24"/>
            </w:rPr>
            <w:t>化工品年产量2,000万吨以上，其中化工新材料和高端化工品占比</w:t>
          </w:r>
          <w:r>
            <w:rPr>
              <w:rFonts w:hint="eastAsia" w:ascii="宋体" w:hAnsi="宋体" w:cs="宋体"/>
              <w:kern w:val="0"/>
              <w:szCs w:val="24"/>
            </w:rPr>
            <w:t>超过</w:t>
          </w:r>
          <w:r>
            <w:rPr>
              <w:rFonts w:ascii="宋体" w:hAnsi="宋体" w:cs="宋体"/>
              <w:kern w:val="0"/>
              <w:szCs w:val="24"/>
            </w:rPr>
            <w:t>70%。</w:t>
          </w:r>
        </w:p>
        <w:p>
          <w:pPr>
            <w:widowControl/>
            <w:ind w:firstLine="420" w:firstLineChars="200"/>
            <w:rPr>
              <w:rFonts w:ascii="宋体" w:hAnsi="宋体" w:cs="宋体"/>
              <w:kern w:val="0"/>
              <w:szCs w:val="24"/>
            </w:rPr>
          </w:pPr>
          <w:r>
            <w:rPr>
              <w:rFonts w:ascii="宋体" w:hAnsi="宋体" w:cs="宋体"/>
              <w:kern w:val="0"/>
              <w:szCs w:val="24"/>
            </w:rPr>
            <w:t>3.新能源产业：</w:t>
          </w:r>
          <w:r>
            <w:rPr>
              <w:rFonts w:hint="eastAsia" w:ascii="宋体" w:hAnsi="宋体" w:cs="宋体"/>
              <w:kern w:val="0"/>
              <w:szCs w:val="24"/>
            </w:rPr>
            <w:t>战略优先，加快发展。</w:t>
          </w:r>
          <w:r>
            <w:rPr>
              <w:rFonts w:ascii="宋体" w:hAnsi="宋体" w:cs="宋体"/>
              <w:kern w:val="0"/>
              <w:szCs w:val="24"/>
            </w:rPr>
            <w:t>推进风电、光伏及配套储能等新能源产业项目开发建设</w:t>
          </w:r>
          <w:r>
            <w:rPr>
              <w:rFonts w:hint="eastAsia" w:ascii="宋体" w:hAnsi="宋体" w:cs="宋体"/>
              <w:kern w:val="0"/>
              <w:szCs w:val="24"/>
            </w:rPr>
            <w:t>，</w:t>
          </w:r>
          <w:r>
            <w:rPr>
              <w:rFonts w:ascii="宋体" w:hAnsi="宋体" w:cs="宋体"/>
              <w:kern w:val="0"/>
              <w:szCs w:val="24"/>
            </w:rPr>
            <w:t>新能源发电装机规模达到1,000万千瓦以上。</w:t>
          </w:r>
        </w:p>
        <w:p>
          <w:pPr>
            <w:widowControl/>
            <w:ind w:firstLine="420" w:firstLineChars="200"/>
            <w:rPr>
              <w:rFonts w:ascii="宋体" w:hAnsi="宋体" w:cs="宋体"/>
              <w:kern w:val="0"/>
              <w:szCs w:val="24"/>
            </w:rPr>
          </w:pPr>
          <w:r>
            <w:rPr>
              <w:rFonts w:ascii="宋体" w:hAnsi="宋体" w:cs="宋体"/>
              <w:kern w:val="0"/>
              <w:szCs w:val="24"/>
            </w:rPr>
            <w:t>4.高端装备制造产业：</w:t>
          </w:r>
          <w:r>
            <w:rPr>
              <w:rFonts w:hint="eastAsia" w:ascii="宋体" w:hAnsi="宋体" w:cs="宋体"/>
              <w:kern w:val="0"/>
              <w:szCs w:val="24"/>
            </w:rPr>
            <w:t>重点突破，专精特新。</w:t>
          </w:r>
          <w:r>
            <w:rPr>
              <w:rFonts w:ascii="宋体" w:hAnsi="宋体" w:cs="宋体"/>
              <w:kern w:val="0"/>
              <w:szCs w:val="24"/>
            </w:rPr>
            <w:t>在现有装备制造产业基础上，专注发展高端煤机制造等传统优势产品，</w:t>
          </w:r>
          <w:r>
            <w:rPr>
              <w:rFonts w:hint="eastAsia" w:ascii="宋体" w:hAnsi="宋体" w:cs="宋体"/>
              <w:kern w:val="0"/>
              <w:szCs w:val="24"/>
            </w:rPr>
            <w:t>拓展风机等新能源装备制造，培育中高端系列产品。</w:t>
          </w:r>
        </w:p>
        <w:p>
          <w:pPr>
            <w:widowControl/>
            <w:ind w:firstLine="420" w:firstLineChars="200"/>
            <w:rPr>
              <w:rFonts w:ascii="宋体" w:hAnsi="宋体" w:cs="宋体"/>
              <w:kern w:val="0"/>
              <w:szCs w:val="24"/>
            </w:rPr>
          </w:pPr>
          <w:r>
            <w:rPr>
              <w:rFonts w:ascii="宋体" w:hAnsi="宋体" w:cs="宋体"/>
              <w:kern w:val="0"/>
              <w:szCs w:val="24"/>
            </w:rPr>
            <w:t>5.智慧物流产业：</w:t>
          </w:r>
          <w:r>
            <w:rPr>
              <w:rFonts w:hint="eastAsia" w:ascii="宋体" w:hAnsi="宋体" w:cs="宋体"/>
              <w:kern w:val="0"/>
              <w:szCs w:val="24"/>
            </w:rPr>
            <w:t>数字驱动，协同增效。</w:t>
          </w:r>
          <w:r>
            <w:rPr>
              <w:rFonts w:ascii="宋体" w:hAnsi="宋体" w:cs="宋体"/>
              <w:kern w:val="0"/>
              <w:szCs w:val="24"/>
            </w:rPr>
            <w:t>统筹产品、用户、第三方服务商，构建智慧化物流体系。</w:t>
          </w:r>
        </w:p>
        <w:p>
          <w:pPr>
            <w:widowControl/>
            <w:ind w:firstLine="420" w:firstLineChars="200"/>
            <w:rPr>
              <w:rFonts w:ascii="宋体" w:hAnsi="宋体" w:cs="宋体"/>
              <w:kern w:val="0"/>
            </w:rPr>
          </w:pPr>
          <w:r>
            <w:rPr>
              <w:rFonts w:hint="eastAsia" w:ascii="宋体" w:hAnsi="宋体" w:cs="宋体"/>
              <w:kern w:val="0"/>
            </w:rPr>
            <w:t>有关本集团发展战略详情请见日期为</w:t>
          </w:r>
          <w:r>
            <w:rPr>
              <w:rFonts w:ascii="宋体" w:hAnsi="宋体" w:cs="宋体"/>
              <w:kern w:val="0"/>
            </w:rPr>
            <w:t>2021年12月15日的公司董事会决议公告</w:t>
          </w:r>
          <w:r>
            <w:rPr>
              <w:rFonts w:hint="eastAsia" w:ascii="宋体" w:hAnsi="宋体" w:cs="宋体"/>
              <w:kern w:val="0"/>
            </w:rPr>
            <w:t>，</w:t>
          </w:r>
          <w:r>
            <w:rPr>
              <w:rFonts w:ascii="宋体" w:hAnsi="宋体" w:cs="宋体"/>
              <w:kern w:val="0"/>
            </w:rPr>
            <w:t>该等资料载于上交所网站、香港联交所网站、公司网站及/或中国境内《中国证券报》《上海证券报》《证券时报》《证券日报》。</w:t>
          </w:r>
          <w:r>
            <w:rPr>
              <w:rFonts w:hint="eastAsia" w:ascii="宋体" w:hAnsi="宋体" w:cs="宋体"/>
              <w:kern w:val="0"/>
            </w:rPr>
            <w:t>2023年发展战略规划</w:t>
          </w:r>
          <w:bookmarkStart w:id="84" w:name="_Hlk162351324"/>
          <w:r>
            <w:rPr>
              <w:rFonts w:hint="eastAsia" w:ascii="宋体" w:hAnsi="宋体" w:cs="宋体"/>
              <w:kern w:val="0"/>
            </w:rPr>
            <w:t>进展情况</w:t>
          </w:r>
          <w:bookmarkEnd w:id="84"/>
          <w:r>
            <w:rPr>
              <w:rFonts w:hint="eastAsia"/>
            </w:rPr>
            <w:t>详情请见本年报“第三节</w:t>
          </w:r>
          <w:r>
            <w:t xml:space="preserve"> </w:t>
          </w:r>
          <w:r>
            <w:rPr>
              <w:rFonts w:hint="eastAsia"/>
            </w:rPr>
            <w:t>董事长报告书”相关内容</w:t>
          </w:r>
          <w:r>
            <w:rPr>
              <w:rFonts w:ascii="宋体" w:hAnsi="宋体" w:cs="宋体"/>
              <w:kern w:val="0"/>
            </w:rPr>
            <w:t>。</w:t>
          </w:r>
        </w:p>
        <w:p>
          <w:pPr>
            <w:rPr>
              <w:rFonts w:ascii="宋体" w:hAnsi="宋体"/>
            </w:rPr>
          </w:pPr>
        </w:p>
      </w:sdtContent>
    </w:sdt>
    <w:bookmarkEnd w:id="83"/>
    <w:p>
      <w:pPr>
        <w:rPr>
          <w:rFonts w:ascii="宋体" w:hAnsi="宋体"/>
        </w:rPr>
      </w:pPr>
    </w:p>
    <w:p>
      <w:pPr>
        <w:pStyle w:val="4"/>
        <w:numPr>
          <w:ilvl w:val="3"/>
          <w:numId w:val="16"/>
        </w:numPr>
        <w:ind w:left="422" w:hanging="422" w:hangingChars="200"/>
        <w:rPr>
          <w:rFonts w:ascii="宋体" w:hAnsi="宋体"/>
          <w:szCs w:val="21"/>
        </w:rPr>
      </w:pPr>
      <w:r>
        <w:rPr>
          <w:rFonts w:ascii="宋体" w:hAnsi="宋体"/>
          <w:szCs w:val="21"/>
        </w:rPr>
        <w:t>经营计划</w:t>
      </w:r>
    </w:p>
    <w:sdt>
      <w:sdtPr>
        <w:rPr>
          <w:rFonts w:hint="eastAsia" w:ascii="宋体" w:hAnsi="宋体"/>
        </w:rPr>
        <w:alias w:val="是否适用：经营计划[双击切换]"/>
        <w:tag w:val="_GBC_871dbf3fc5a0422cadcc3452003278de"/>
        <w:id w:val="-2089993810"/>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公司经营计划"/>
        <w:tag w:val="_GBC_3f9bf7d7a36444cab37005d22ebc798c"/>
        <w:id w:val="149414190"/>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有关本集团经营计划详情请见本年报“第三节 董事长报告书”相关内容。</w:t>
          </w:r>
        </w:p>
        <w:p>
          <w:pPr>
            <w:ind w:firstLine="420" w:firstLineChars="200"/>
            <w:rPr>
              <w:rFonts w:ascii="宋体" w:hAnsi="宋体"/>
            </w:rPr>
          </w:pPr>
          <w:r>
            <w:rPr>
              <w:rFonts w:hint="eastAsia" w:ascii="宋体" w:hAnsi="宋体"/>
            </w:rPr>
            <w:t>相关经营计划不构成公司对投资者的业绩承诺，请投资者保持足够的风险意识，并且理解经营计划和业绩承诺之间的差异。</w:t>
          </w:r>
        </w:p>
      </w:sdtContent>
    </w:sdt>
    <w:p>
      <w:pPr>
        <w:rPr>
          <w:rFonts w:ascii="宋体" w:hAnsi="宋体"/>
        </w:rPr>
      </w:pPr>
    </w:p>
    <w:p>
      <w:pPr>
        <w:pStyle w:val="4"/>
        <w:numPr>
          <w:ilvl w:val="3"/>
          <w:numId w:val="16"/>
        </w:numPr>
        <w:ind w:left="420"/>
        <w:rPr>
          <w:rFonts w:ascii="宋体" w:hAnsi="宋体"/>
          <w:szCs w:val="21"/>
        </w:rPr>
      </w:pPr>
      <w:r>
        <w:rPr>
          <w:rFonts w:hint="eastAsia" w:ascii="宋体" w:hAnsi="宋体"/>
          <w:szCs w:val="21"/>
        </w:rPr>
        <w:t>资本开支</w:t>
      </w:r>
      <w:r>
        <w:rPr>
          <w:rFonts w:ascii="宋体" w:hAnsi="宋体"/>
          <w:szCs w:val="21"/>
        </w:rPr>
        <w:t>计划</w:t>
      </w:r>
    </w:p>
    <w:p>
      <w:pPr>
        <w:autoSpaceDE w:val="0"/>
        <w:autoSpaceDN w:val="0"/>
        <w:adjustRightInd w:val="0"/>
        <w:ind w:firstLine="420" w:firstLineChars="200"/>
        <w:rPr>
          <w:rFonts w:ascii="宋体" w:hAnsi="宋体"/>
          <w:szCs w:val="28"/>
          <w:u w:val="single"/>
        </w:rPr>
      </w:pPr>
      <w:r>
        <w:rPr>
          <w:rFonts w:hint="eastAsia" w:ascii="宋体" w:hAnsi="宋体"/>
          <w:szCs w:val="28"/>
        </w:rPr>
        <w:t>预计202</w:t>
      </w:r>
      <w:r>
        <w:rPr>
          <w:rFonts w:ascii="宋体" w:hAnsi="宋体"/>
          <w:szCs w:val="28"/>
        </w:rPr>
        <w:t>4</w:t>
      </w:r>
      <w:r>
        <w:rPr>
          <w:rFonts w:hint="eastAsia" w:ascii="宋体" w:hAnsi="宋体"/>
          <w:szCs w:val="28"/>
        </w:rPr>
        <w:t>年本集团资本性支出为</w:t>
      </w:r>
      <w:r>
        <w:rPr>
          <w:rFonts w:ascii="宋体" w:hAnsi="宋体"/>
          <w:szCs w:val="28"/>
        </w:rPr>
        <w:t>197.02</w:t>
      </w:r>
      <w:r>
        <w:rPr>
          <w:rFonts w:hint="eastAsia" w:ascii="宋体" w:hAnsi="宋体"/>
          <w:szCs w:val="28"/>
        </w:rPr>
        <w:t>亿元，资金来源主要是本集团自有资金、银行贷款和发行债券等。</w:t>
      </w:r>
    </w:p>
    <w:p>
      <w:pPr>
        <w:autoSpaceDE w:val="0"/>
        <w:autoSpaceDN w:val="0"/>
        <w:adjustRightInd w:val="0"/>
        <w:ind w:firstLine="420" w:firstLineChars="200"/>
        <w:rPr>
          <w:rFonts w:ascii="宋体" w:hAnsi="宋体"/>
          <w:szCs w:val="28"/>
        </w:rPr>
      </w:pPr>
      <w:r>
        <w:rPr>
          <w:rFonts w:hint="eastAsia" w:ascii="宋体" w:hAnsi="宋体"/>
          <w:szCs w:val="28"/>
        </w:rPr>
        <w:t>本集团202</w:t>
      </w:r>
      <w:r>
        <w:rPr>
          <w:rFonts w:ascii="宋体" w:hAnsi="宋体"/>
          <w:szCs w:val="28"/>
        </w:rPr>
        <w:t>3</w:t>
      </w:r>
      <w:r>
        <w:rPr>
          <w:rFonts w:hint="eastAsia" w:ascii="宋体" w:hAnsi="宋体"/>
          <w:szCs w:val="28"/>
        </w:rPr>
        <w:t>年及预计202</w:t>
      </w:r>
      <w:r>
        <w:rPr>
          <w:rFonts w:ascii="宋体" w:hAnsi="宋体"/>
          <w:szCs w:val="28"/>
        </w:rPr>
        <w:t>4</w:t>
      </w:r>
      <w:r>
        <w:rPr>
          <w:rFonts w:hint="eastAsia" w:ascii="宋体" w:hAnsi="宋体"/>
          <w:szCs w:val="28"/>
        </w:rPr>
        <w:t>年资本性支出情况(依照经营主体划分</w:t>
      </w:r>
      <w:r>
        <w:rPr>
          <w:rFonts w:ascii="宋体" w:hAnsi="宋体"/>
          <w:szCs w:val="28"/>
        </w:rPr>
        <w:t>)</w:t>
      </w:r>
      <w:r>
        <w:rPr>
          <w:rFonts w:hint="eastAsia" w:ascii="宋体" w:hAnsi="宋体"/>
          <w:szCs w:val="28"/>
        </w:rPr>
        <w:t>如下表：</w:t>
      </w:r>
    </w:p>
    <w:p>
      <w:pPr>
        <w:autoSpaceDE w:val="0"/>
        <w:autoSpaceDN w:val="0"/>
        <w:adjustRightInd w:val="0"/>
        <w:ind w:right="630" w:rightChars="300"/>
        <w:jc w:val="right"/>
        <w:rPr>
          <w:rFonts w:ascii="宋体" w:hAnsi="宋体"/>
          <w:szCs w:val="28"/>
        </w:rPr>
      </w:pPr>
      <w:r>
        <w:rPr>
          <w:rFonts w:hint="eastAsia" w:ascii="宋体" w:hAnsi="宋体"/>
          <w:szCs w:val="28"/>
        </w:rPr>
        <w:t>单位：亿元</w:t>
      </w:r>
    </w:p>
    <w:tbl>
      <w:tblPr>
        <w:tblStyle w:val="111"/>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1469"/>
        <w:gridCol w:w="1555"/>
        <w:gridCol w:w="3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8"/>
              </w:rPr>
            </w:pPr>
            <w:bookmarkStart w:id="85" w:name="_Hlk157065060"/>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124"/>
              <w:rPr>
                <w:rFonts w:ascii="宋体" w:hAnsi="宋体" w:eastAsia="宋体"/>
                <w:b/>
                <w:bCs/>
                <w:szCs w:val="28"/>
              </w:rPr>
            </w:pPr>
            <w:r>
              <w:rPr>
                <w:rFonts w:hint="eastAsia" w:ascii="宋体" w:hAnsi="宋体" w:eastAsia="宋体"/>
                <w:b/>
                <w:bCs/>
                <w:szCs w:val="28"/>
              </w:rPr>
              <w:t>202</w:t>
            </w:r>
            <w:r>
              <w:rPr>
                <w:rFonts w:ascii="宋体" w:hAnsi="宋体" w:eastAsia="宋体"/>
                <w:b/>
                <w:bCs/>
                <w:szCs w:val="28"/>
              </w:rPr>
              <w:t>4</w:t>
            </w:r>
            <w:r>
              <w:rPr>
                <w:rFonts w:hint="eastAsia" w:ascii="宋体" w:hAnsi="宋体" w:eastAsia="宋体"/>
                <w:b/>
                <w:bCs/>
                <w:szCs w:val="28"/>
              </w:rPr>
              <w:t>年计划</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eastAsia="宋体"/>
                <w:b/>
                <w:bCs/>
                <w:szCs w:val="28"/>
              </w:rPr>
            </w:pPr>
            <w:r>
              <w:rPr>
                <w:rFonts w:hint="eastAsia" w:ascii="宋体" w:hAnsi="宋体" w:eastAsia="宋体"/>
                <w:b/>
                <w:bCs/>
                <w:szCs w:val="28"/>
              </w:rPr>
              <w:t>202</w:t>
            </w:r>
            <w:r>
              <w:rPr>
                <w:rFonts w:ascii="宋体" w:hAnsi="宋体" w:eastAsia="宋体"/>
                <w:b/>
                <w:bCs/>
                <w:szCs w:val="28"/>
              </w:rPr>
              <w:t>3</w:t>
            </w:r>
            <w:r>
              <w:rPr>
                <w:rFonts w:hint="eastAsia" w:ascii="宋体" w:hAnsi="宋体" w:eastAsia="宋体"/>
                <w:b/>
                <w:bCs/>
                <w:szCs w:val="28"/>
              </w:rPr>
              <w:t>年</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eastAsia="宋体"/>
                <w:b/>
                <w:bCs/>
                <w:szCs w:val="28"/>
              </w:rPr>
            </w:pPr>
            <w:r>
              <w:rPr>
                <w:rFonts w:hint="eastAsia" w:ascii="宋体" w:hAnsi="宋体" w:eastAsia="宋体"/>
                <w:b/>
                <w:bCs/>
                <w:szCs w:val="28"/>
              </w:rPr>
              <w:t>主要项目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Theme="minorEastAsia"/>
                <w:szCs w:val="28"/>
              </w:rPr>
            </w:pPr>
            <w:r>
              <w:rPr>
                <w:rFonts w:hint="eastAsia" w:ascii="宋体" w:hAnsi="宋体" w:eastAsiaTheme="minorEastAsia"/>
                <w:szCs w:val="28"/>
              </w:rPr>
              <w:t>公司</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Theme="minorEastAsia"/>
                <w:szCs w:val="28"/>
                <w:u w:val="single"/>
              </w:rPr>
            </w:pPr>
            <w:r>
              <w:rPr>
                <w:rFonts w:ascii="宋体" w:hAnsi="宋体" w:eastAsiaTheme="minorEastAsia"/>
                <w:szCs w:val="28"/>
              </w:rPr>
              <w:t xml:space="preserve">46.93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Theme="minorEastAsia"/>
                <w:szCs w:val="28"/>
              </w:rPr>
            </w:pPr>
            <w:r>
              <w:rPr>
                <w:rFonts w:ascii="宋体" w:hAnsi="宋体" w:eastAsiaTheme="minorEastAsia"/>
                <w:szCs w:val="28"/>
              </w:rPr>
              <w:t>75.45</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Theme="minorEastAsia"/>
                <w:szCs w:val="28"/>
              </w:rPr>
            </w:pPr>
            <w:r>
              <w:rPr>
                <w:rFonts w:hint="eastAsia" w:ascii="宋体" w:hAnsi="宋体" w:eastAsia="宋体"/>
                <w:szCs w:val="21"/>
              </w:rPr>
              <w:t>矿井装备升级、数据中心、智慧制造园区、维简、安全等投入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8"/>
              </w:rPr>
              <w:t>东华重工</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3.39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1.05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项目建设等投入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Theme="minorEastAsia"/>
                <w:szCs w:val="28"/>
              </w:rPr>
            </w:pPr>
            <w:r>
              <w:rPr>
                <w:rFonts w:hint="eastAsia" w:ascii="宋体" w:hAnsi="宋体" w:eastAsiaTheme="minorEastAsia"/>
                <w:szCs w:val="28"/>
              </w:rPr>
              <w:t>铁路物流公司</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Theme="minorEastAsia"/>
                <w:szCs w:val="28"/>
                <w:u w:val="single"/>
              </w:rPr>
            </w:pPr>
            <w:r>
              <w:rPr>
                <w:rFonts w:ascii="宋体" w:hAnsi="宋体" w:eastAsiaTheme="minorEastAsia"/>
                <w:szCs w:val="28"/>
              </w:rPr>
              <w:t xml:space="preserve">3.64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Theme="minorEastAsia"/>
                <w:szCs w:val="28"/>
              </w:rPr>
            </w:pPr>
            <w:r>
              <w:rPr>
                <w:rFonts w:ascii="宋体" w:hAnsi="宋体" w:eastAsiaTheme="minorEastAsia"/>
                <w:szCs w:val="28"/>
              </w:rPr>
              <w:t xml:space="preserve">4.00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Theme="minorEastAsia"/>
                <w:szCs w:val="28"/>
              </w:rPr>
            </w:pPr>
            <w:r>
              <w:rPr>
                <w:rFonts w:hint="eastAsia" w:ascii="宋体" w:hAnsi="宋体" w:eastAsiaTheme="minorEastAsia"/>
                <w:szCs w:val="28"/>
              </w:rPr>
              <w:t>铁路线项目</w:t>
            </w:r>
            <w:r>
              <w:rPr>
                <w:rFonts w:hint="eastAsia" w:ascii="宋体" w:hAnsi="宋体" w:eastAsia="宋体"/>
                <w:szCs w:val="21"/>
              </w:rPr>
              <w:t>等</w:t>
            </w:r>
            <w:r>
              <w:rPr>
                <w:rFonts w:hint="eastAsia" w:ascii="宋体" w:hAnsi="宋体" w:eastAsiaTheme="minorEastAsia"/>
                <w:szCs w:val="28"/>
              </w:rPr>
              <w:t>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8"/>
              </w:rPr>
              <w:t>菏泽能化</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14.86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2.09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万福煤矿建设项目等投入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8"/>
              </w:rPr>
              <w:t>鲁西矿业</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8.08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22.83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矿井装备升级、配套设施、智能化、维简、安全等投入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8"/>
              </w:rPr>
            </w:pPr>
            <w:r>
              <w:rPr>
                <w:rFonts w:hint="eastAsia" w:ascii="宋体" w:hAnsi="宋体" w:eastAsia="宋体"/>
                <w:szCs w:val="28"/>
              </w:rPr>
              <w:t>鲁南化工</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7.86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12.51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己内酰胺及配套项目、聚甲醛项目等投入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8"/>
              </w:rPr>
              <w:t>未来能源</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7.95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3.18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煤矿配套设施以及高温费托制化学品相关项目等投入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8"/>
              </w:rPr>
              <w:t>鄂尔多斯公司</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7.89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4.36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化工项目等投入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8"/>
              </w:rPr>
              <w:t>昊盛煤业</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2.57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1.90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矿井煤层开采等投入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内蒙古矿业</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2.36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2.46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8"/>
              </w:rPr>
            </w:pPr>
            <w:r>
              <w:rPr>
                <w:rFonts w:hint="eastAsia" w:ascii="宋体" w:hAnsi="宋体" w:eastAsia="宋体"/>
                <w:szCs w:val="28"/>
              </w:rPr>
              <w:t>矿权前期工作及技改等投入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Theme="minorEastAsia"/>
                <w:szCs w:val="28"/>
              </w:rPr>
            </w:pPr>
            <w:r>
              <w:rPr>
                <w:rFonts w:hint="eastAsia" w:ascii="宋体" w:hAnsi="宋体" w:eastAsia="宋体"/>
                <w:szCs w:val="28"/>
              </w:rPr>
              <w:t>新疆能化</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Theme="minorEastAsia"/>
                <w:szCs w:val="28"/>
                <w:u w:val="single"/>
              </w:rPr>
            </w:pPr>
            <w:r>
              <w:rPr>
                <w:rFonts w:ascii="宋体" w:hAnsi="宋体" w:eastAsiaTheme="minorEastAsia"/>
                <w:szCs w:val="28"/>
              </w:rPr>
              <w:t xml:space="preserve">43.44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Theme="minorEastAsia"/>
                <w:szCs w:val="28"/>
              </w:rPr>
            </w:pPr>
            <w:r>
              <w:rPr>
                <w:rFonts w:ascii="宋体" w:hAnsi="宋体" w:eastAsiaTheme="minorEastAsia"/>
                <w:szCs w:val="28"/>
              </w:rPr>
              <w:t xml:space="preserve">10.41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Theme="minorEastAsia"/>
                <w:szCs w:val="28"/>
              </w:rPr>
            </w:pPr>
            <w:r>
              <w:rPr>
                <w:rFonts w:hint="eastAsia" w:ascii="宋体" w:hAnsi="宋体" w:eastAsiaTheme="minorEastAsia"/>
                <w:szCs w:val="28"/>
              </w:rPr>
              <w:t>五彩湾露天矿及配套设施建设、烯烃及三聚氰胺等化工项目建设等投入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8"/>
              </w:rPr>
            </w:pPr>
            <w:r>
              <w:rPr>
                <w:rFonts w:hint="eastAsia" w:ascii="宋体" w:hAnsi="宋体" w:eastAsia="宋体"/>
                <w:szCs w:val="28"/>
              </w:rPr>
              <w:t>兖煤澳洲</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35.34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24.25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维简、安全环保、勘探等投入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8"/>
              </w:rPr>
              <w:t>兖煤国际</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8.41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12.30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泰安港公铁水联运物流园项目及维简、安全环保等投入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其他子公司</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4.30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Theme="minorEastAsia"/>
                <w:szCs w:val="28"/>
              </w:rPr>
              <w:t xml:space="preserve">4.43 </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eastAsia="宋体"/>
                <w:szCs w:val="21"/>
                <w:u w:val="single"/>
              </w:rPr>
            </w:pPr>
            <w:r>
              <w:rPr>
                <w:rFonts w:hint="eastAsia" w:ascii="宋体" w:hAnsi="宋体" w:eastAsia="宋体"/>
                <w:szCs w:val="21"/>
              </w:rPr>
              <w:t>合计</w:t>
            </w:r>
          </w:p>
        </w:tc>
        <w:tc>
          <w:tcPr>
            <w:tcW w:w="14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u w:val="single"/>
              </w:rPr>
            </w:pPr>
            <w:r>
              <w:rPr>
                <w:rFonts w:ascii="宋体" w:hAnsi="宋体" w:eastAsiaTheme="minorEastAsia"/>
                <w:szCs w:val="28"/>
              </w:rPr>
              <w:t xml:space="preserve">197.02 </w:t>
            </w:r>
          </w:p>
        </w:tc>
        <w:tc>
          <w:tcPr>
            <w:tcW w:w="15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eastAsia="宋体"/>
                <w:szCs w:val="21"/>
              </w:rPr>
            </w:pPr>
            <w:r>
              <w:rPr>
                <w:rFonts w:ascii="宋体" w:hAnsi="宋体" w:eastAsia="宋体"/>
                <w:szCs w:val="21"/>
              </w:rPr>
              <w:t>181.23</w:t>
            </w:r>
          </w:p>
        </w:tc>
        <w:tc>
          <w:tcPr>
            <w:tcW w:w="38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eastAsia="宋体"/>
                <w:szCs w:val="21"/>
              </w:rPr>
            </w:pPr>
            <w:r>
              <w:rPr>
                <w:rFonts w:hint="eastAsia" w:ascii="宋体" w:hAnsi="宋体" w:eastAsia="宋体"/>
                <w:szCs w:val="21"/>
              </w:rPr>
              <w:t>-</w:t>
            </w:r>
          </w:p>
        </w:tc>
      </w:tr>
      <w:bookmarkEnd w:id="85"/>
    </w:tbl>
    <w:p>
      <w:pPr>
        <w:autoSpaceDE w:val="0"/>
        <w:autoSpaceDN w:val="0"/>
        <w:adjustRightInd w:val="0"/>
        <w:rPr>
          <w:rFonts w:ascii="宋体" w:hAnsi="宋体"/>
        </w:rPr>
      </w:pPr>
    </w:p>
    <w:p>
      <w:pPr>
        <w:autoSpaceDE w:val="0"/>
        <w:autoSpaceDN w:val="0"/>
        <w:adjustRightInd w:val="0"/>
        <w:ind w:firstLine="420" w:firstLineChars="200"/>
        <w:rPr>
          <w:rFonts w:ascii="宋体" w:hAnsi="宋体"/>
          <w:szCs w:val="28"/>
        </w:rPr>
      </w:pPr>
      <w:r>
        <w:rPr>
          <w:rFonts w:hint="eastAsia" w:ascii="宋体" w:hAnsi="宋体"/>
          <w:szCs w:val="28"/>
        </w:rPr>
        <w:t>本集团202</w:t>
      </w:r>
      <w:r>
        <w:rPr>
          <w:rFonts w:ascii="宋体" w:hAnsi="宋体"/>
          <w:szCs w:val="28"/>
        </w:rPr>
        <w:t>3</w:t>
      </w:r>
      <w:r>
        <w:rPr>
          <w:rFonts w:hint="eastAsia" w:ascii="宋体" w:hAnsi="宋体"/>
          <w:szCs w:val="28"/>
        </w:rPr>
        <w:t>年及预计202</w:t>
      </w:r>
      <w:r>
        <w:rPr>
          <w:rFonts w:ascii="宋体" w:hAnsi="宋体"/>
          <w:szCs w:val="28"/>
        </w:rPr>
        <w:t>4</w:t>
      </w:r>
      <w:r>
        <w:rPr>
          <w:rFonts w:hint="eastAsia" w:ascii="宋体" w:hAnsi="宋体"/>
          <w:szCs w:val="28"/>
        </w:rPr>
        <w:t>年资本性支出情况(依照资金用途划分</w:t>
      </w:r>
      <w:r>
        <w:rPr>
          <w:rFonts w:ascii="宋体" w:hAnsi="宋体"/>
          <w:szCs w:val="28"/>
        </w:rPr>
        <w:t>)</w:t>
      </w:r>
      <w:r>
        <w:rPr>
          <w:rFonts w:hint="eastAsia" w:ascii="宋体" w:hAnsi="宋体"/>
          <w:szCs w:val="28"/>
        </w:rPr>
        <w:t>如下表：</w:t>
      </w:r>
    </w:p>
    <w:p>
      <w:pPr>
        <w:ind w:left="1260" w:right="752" w:rightChars="358"/>
        <w:jc w:val="right"/>
        <w:rPr>
          <w:rFonts w:ascii="宋体" w:hAnsi="宋体"/>
          <w:szCs w:val="22"/>
        </w:rPr>
      </w:pPr>
      <w:r>
        <w:rPr>
          <w:rFonts w:hint="eastAsia" w:ascii="宋体" w:hAnsi="宋体"/>
          <w:szCs w:val="22"/>
        </w:rPr>
        <w:t>单位：亿元</w:t>
      </w:r>
    </w:p>
    <w:tbl>
      <w:tblPr>
        <w:tblStyle w:val="1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2261"/>
        <w:gridCol w:w="2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rPr>
                <w:rFonts w:ascii="宋体" w:hAnsi="宋体" w:eastAsia="宋体"/>
                <w:szCs w:val="28"/>
              </w:rPr>
            </w:pPr>
          </w:p>
        </w:tc>
        <w:tc>
          <w:tcPr>
            <w:tcW w:w="2261" w:type="dxa"/>
          </w:tcPr>
          <w:p>
            <w:pPr>
              <w:autoSpaceDE w:val="0"/>
              <w:autoSpaceDN w:val="0"/>
              <w:adjustRightInd w:val="0"/>
              <w:jc w:val="center"/>
              <w:rPr>
                <w:rFonts w:ascii="宋体" w:hAnsi="宋体" w:eastAsia="宋体"/>
                <w:b/>
                <w:bCs/>
                <w:szCs w:val="28"/>
              </w:rPr>
            </w:pPr>
            <w:r>
              <w:rPr>
                <w:rFonts w:ascii="宋体" w:hAnsi="宋体" w:eastAsia="宋体"/>
                <w:b/>
                <w:bCs/>
                <w:szCs w:val="28"/>
              </w:rPr>
              <w:t>2024年计划</w:t>
            </w:r>
          </w:p>
        </w:tc>
        <w:tc>
          <w:tcPr>
            <w:tcW w:w="2353" w:type="dxa"/>
          </w:tcPr>
          <w:p>
            <w:pPr>
              <w:autoSpaceDE w:val="0"/>
              <w:autoSpaceDN w:val="0"/>
              <w:adjustRightInd w:val="0"/>
              <w:jc w:val="center"/>
              <w:rPr>
                <w:rFonts w:ascii="宋体" w:hAnsi="宋体" w:eastAsia="宋体"/>
                <w:b/>
                <w:bCs/>
                <w:szCs w:val="28"/>
              </w:rPr>
            </w:pPr>
            <w:r>
              <w:rPr>
                <w:rFonts w:ascii="宋体" w:hAnsi="宋体" w:eastAsia="宋体"/>
                <w:b/>
                <w:bCs/>
                <w:szCs w:val="28"/>
              </w:rPr>
              <w:t>20</w:t>
            </w:r>
            <w:r>
              <w:rPr>
                <w:rFonts w:hint="eastAsia" w:ascii="宋体" w:hAnsi="宋体" w:eastAsia="宋体"/>
                <w:b/>
                <w:bCs/>
                <w:szCs w:val="28"/>
              </w:rPr>
              <w:t>2</w:t>
            </w:r>
            <w:r>
              <w:rPr>
                <w:rFonts w:ascii="宋体" w:hAnsi="宋体" w:eastAsia="宋体"/>
                <w:b/>
                <w:bCs/>
                <w:szCs w:val="28"/>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rPr>
                <w:rFonts w:ascii="宋体" w:hAnsi="宋体" w:eastAsia="宋体"/>
                <w:szCs w:val="28"/>
              </w:rPr>
            </w:pPr>
            <w:r>
              <w:rPr>
                <w:rFonts w:hint="eastAsia" w:ascii="宋体" w:hAnsi="宋体" w:eastAsia="宋体"/>
                <w:szCs w:val="28"/>
              </w:rPr>
              <w:t>基建项目</w:t>
            </w:r>
          </w:p>
        </w:tc>
        <w:tc>
          <w:tcPr>
            <w:tcW w:w="2261"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79.50</w:t>
            </w:r>
          </w:p>
        </w:tc>
        <w:tc>
          <w:tcPr>
            <w:tcW w:w="2353"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 xml:space="preserve">82.28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ind w:firstLine="315" w:firstLineChars="150"/>
              <w:rPr>
                <w:rFonts w:ascii="宋体" w:hAnsi="宋体" w:eastAsia="宋体"/>
                <w:szCs w:val="28"/>
              </w:rPr>
            </w:pPr>
            <w:r>
              <w:rPr>
                <w:rFonts w:hint="eastAsia" w:ascii="宋体" w:hAnsi="宋体" w:eastAsia="宋体"/>
                <w:szCs w:val="28"/>
              </w:rPr>
              <w:t>煤炭矿井基建</w:t>
            </w:r>
          </w:p>
        </w:tc>
        <w:tc>
          <w:tcPr>
            <w:tcW w:w="2261"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47.94</w:t>
            </w:r>
          </w:p>
        </w:tc>
        <w:tc>
          <w:tcPr>
            <w:tcW w:w="2353"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 xml:space="preserve">48.94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ind w:firstLine="315" w:firstLineChars="150"/>
              <w:rPr>
                <w:rFonts w:ascii="宋体" w:hAnsi="宋体" w:eastAsia="宋体"/>
                <w:szCs w:val="28"/>
              </w:rPr>
            </w:pPr>
            <w:r>
              <w:rPr>
                <w:rFonts w:hint="eastAsia" w:ascii="宋体" w:hAnsi="宋体" w:eastAsia="宋体"/>
                <w:szCs w:val="28"/>
              </w:rPr>
              <w:t>化工项目基建</w:t>
            </w:r>
          </w:p>
        </w:tc>
        <w:tc>
          <w:tcPr>
            <w:tcW w:w="2261"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18.10</w:t>
            </w:r>
          </w:p>
        </w:tc>
        <w:tc>
          <w:tcPr>
            <w:tcW w:w="2353"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 xml:space="preserve">18.32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ind w:firstLine="315" w:firstLineChars="150"/>
              <w:rPr>
                <w:rFonts w:ascii="宋体" w:hAnsi="宋体" w:eastAsia="宋体"/>
                <w:szCs w:val="28"/>
              </w:rPr>
            </w:pPr>
            <w:r>
              <w:rPr>
                <w:rFonts w:hint="eastAsia" w:ascii="宋体" w:hAnsi="宋体" w:eastAsia="宋体"/>
                <w:szCs w:val="28"/>
              </w:rPr>
              <w:t>物流和储配项目基建</w:t>
            </w:r>
          </w:p>
        </w:tc>
        <w:tc>
          <w:tcPr>
            <w:tcW w:w="2261"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8.70</w:t>
            </w:r>
          </w:p>
        </w:tc>
        <w:tc>
          <w:tcPr>
            <w:tcW w:w="2353"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 xml:space="preserve">9.83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ind w:firstLine="315" w:firstLineChars="150"/>
              <w:rPr>
                <w:rFonts w:ascii="宋体" w:hAnsi="宋体" w:eastAsia="宋体"/>
                <w:szCs w:val="28"/>
              </w:rPr>
            </w:pPr>
            <w:r>
              <w:rPr>
                <w:rFonts w:hint="eastAsia" w:ascii="宋体" w:hAnsi="宋体" w:eastAsia="宋体"/>
                <w:szCs w:val="28"/>
              </w:rPr>
              <w:t>其他基建</w:t>
            </w:r>
          </w:p>
        </w:tc>
        <w:tc>
          <w:tcPr>
            <w:tcW w:w="2261"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4.75</w:t>
            </w:r>
          </w:p>
        </w:tc>
        <w:tc>
          <w:tcPr>
            <w:tcW w:w="2353"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 xml:space="preserve">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rPr>
                <w:rFonts w:ascii="宋体" w:hAnsi="宋体" w:eastAsia="宋体"/>
                <w:szCs w:val="28"/>
              </w:rPr>
            </w:pPr>
            <w:r>
              <w:rPr>
                <w:rFonts w:hint="eastAsia" w:ascii="宋体" w:hAnsi="宋体" w:eastAsia="宋体"/>
                <w:szCs w:val="28"/>
              </w:rPr>
              <w:t>维持简单再生产</w:t>
            </w:r>
          </w:p>
        </w:tc>
        <w:tc>
          <w:tcPr>
            <w:tcW w:w="2261"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101.64</w:t>
            </w:r>
          </w:p>
        </w:tc>
        <w:tc>
          <w:tcPr>
            <w:tcW w:w="2353"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82.35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rPr>
                <w:rFonts w:ascii="宋体" w:hAnsi="宋体" w:eastAsia="宋体"/>
                <w:szCs w:val="28"/>
              </w:rPr>
            </w:pPr>
            <w:r>
              <w:rPr>
                <w:rFonts w:hint="eastAsia" w:ascii="宋体" w:hAnsi="宋体" w:eastAsia="宋体"/>
                <w:szCs w:val="28"/>
              </w:rPr>
              <w:t>安全生产计划支出</w:t>
            </w:r>
          </w:p>
        </w:tc>
        <w:tc>
          <w:tcPr>
            <w:tcW w:w="2261"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12.84</w:t>
            </w:r>
          </w:p>
        </w:tc>
        <w:tc>
          <w:tcPr>
            <w:tcW w:w="2353"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 xml:space="preserve">13.54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rPr>
                <w:rFonts w:ascii="宋体" w:hAnsi="宋体" w:eastAsia="宋体"/>
                <w:szCs w:val="28"/>
              </w:rPr>
            </w:pPr>
            <w:r>
              <w:rPr>
                <w:rFonts w:hint="eastAsia" w:ascii="宋体" w:hAnsi="宋体" w:eastAsia="宋体"/>
                <w:szCs w:val="28"/>
              </w:rPr>
              <w:t>科技开发计划</w:t>
            </w:r>
          </w:p>
        </w:tc>
        <w:tc>
          <w:tcPr>
            <w:tcW w:w="2261"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2.08</w:t>
            </w:r>
          </w:p>
        </w:tc>
        <w:tc>
          <w:tcPr>
            <w:tcW w:w="2353"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rPr>
                <w:rFonts w:ascii="宋体" w:hAnsi="宋体" w:eastAsia="宋体"/>
                <w:szCs w:val="28"/>
              </w:rPr>
            </w:pPr>
            <w:r>
              <w:rPr>
                <w:rFonts w:hint="eastAsia" w:ascii="宋体" w:hAnsi="宋体" w:eastAsia="宋体"/>
                <w:szCs w:val="28"/>
              </w:rPr>
              <w:t>技改计划</w:t>
            </w:r>
          </w:p>
        </w:tc>
        <w:tc>
          <w:tcPr>
            <w:tcW w:w="2261"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0.96</w:t>
            </w:r>
          </w:p>
        </w:tc>
        <w:tc>
          <w:tcPr>
            <w:tcW w:w="2353"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 xml:space="preserve">3.06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6" w:type="dxa"/>
          </w:tcPr>
          <w:p>
            <w:pPr>
              <w:autoSpaceDE w:val="0"/>
              <w:autoSpaceDN w:val="0"/>
              <w:adjustRightInd w:val="0"/>
              <w:jc w:val="center"/>
              <w:rPr>
                <w:rFonts w:ascii="宋体" w:hAnsi="宋体" w:eastAsia="宋体"/>
                <w:szCs w:val="28"/>
              </w:rPr>
            </w:pPr>
            <w:r>
              <w:rPr>
                <w:rFonts w:hint="eastAsia" w:ascii="宋体" w:hAnsi="宋体" w:eastAsia="宋体"/>
                <w:szCs w:val="28"/>
              </w:rPr>
              <w:t>合计</w:t>
            </w:r>
          </w:p>
        </w:tc>
        <w:tc>
          <w:tcPr>
            <w:tcW w:w="2261" w:type="dxa"/>
          </w:tcPr>
          <w:p>
            <w:pPr>
              <w:autoSpaceDE w:val="0"/>
              <w:autoSpaceDN w:val="0"/>
              <w:adjustRightInd w:val="0"/>
              <w:jc w:val="right"/>
              <w:rPr>
                <w:rFonts w:ascii="宋体" w:hAnsi="宋体" w:eastAsia="宋体"/>
                <w:szCs w:val="28"/>
              </w:rPr>
            </w:pPr>
            <w:r>
              <w:rPr>
                <w:rFonts w:ascii="宋体" w:hAnsi="宋体" w:eastAsia="宋体"/>
                <w:szCs w:val="28"/>
              </w:rPr>
              <w:t>197.02</w:t>
            </w:r>
          </w:p>
        </w:tc>
        <w:tc>
          <w:tcPr>
            <w:tcW w:w="2353" w:type="dxa"/>
          </w:tcPr>
          <w:p>
            <w:pPr>
              <w:autoSpaceDE w:val="0"/>
              <w:autoSpaceDN w:val="0"/>
              <w:adjustRightInd w:val="0"/>
              <w:ind w:firstLine="420" w:firstLineChars="200"/>
              <w:jc w:val="right"/>
              <w:rPr>
                <w:rFonts w:ascii="宋体" w:hAnsi="宋体" w:eastAsia="宋体"/>
                <w:szCs w:val="28"/>
              </w:rPr>
            </w:pPr>
            <w:r>
              <w:rPr>
                <w:rFonts w:ascii="宋体" w:hAnsi="宋体" w:eastAsia="宋体"/>
                <w:szCs w:val="28"/>
              </w:rPr>
              <w:t>181.23</w:t>
            </w:r>
          </w:p>
        </w:tc>
      </w:tr>
    </w:tbl>
    <w:p>
      <w:pPr>
        <w:autoSpaceDE w:val="0"/>
        <w:autoSpaceDN w:val="0"/>
        <w:adjustRightInd w:val="0"/>
        <w:ind w:firstLine="420" w:firstLineChars="200"/>
        <w:rPr>
          <w:rFonts w:ascii="宋体" w:hAnsi="宋体"/>
          <w:szCs w:val="28"/>
        </w:rPr>
      </w:pPr>
    </w:p>
    <w:p>
      <w:pPr>
        <w:autoSpaceDE w:val="0"/>
        <w:autoSpaceDN w:val="0"/>
        <w:adjustRightInd w:val="0"/>
        <w:ind w:firstLine="420" w:firstLineChars="200"/>
        <w:rPr>
          <w:rFonts w:ascii="宋体" w:hAnsi="宋体"/>
          <w:szCs w:val="28"/>
        </w:rPr>
      </w:pPr>
      <w:r>
        <w:rPr>
          <w:rFonts w:hint="eastAsia" w:ascii="宋体" w:hAnsi="宋体"/>
          <w:szCs w:val="28"/>
        </w:rPr>
        <w:t>本集团目前拥有较充裕的现金和畅通融资渠道，预计能够满足营运和发展的需要。</w:t>
      </w:r>
    </w:p>
    <w:p>
      <w:pPr>
        <w:rPr>
          <w:rFonts w:ascii="宋体" w:hAnsi="宋体"/>
        </w:rPr>
      </w:pPr>
    </w:p>
    <w:p>
      <w:pPr>
        <w:pStyle w:val="4"/>
        <w:numPr>
          <w:ilvl w:val="3"/>
          <w:numId w:val="16"/>
        </w:numPr>
        <w:ind w:left="422" w:hanging="422" w:hangingChars="200"/>
        <w:rPr>
          <w:rFonts w:ascii="宋体" w:hAnsi="宋体"/>
          <w:szCs w:val="21"/>
        </w:rPr>
      </w:pPr>
      <w:r>
        <w:rPr>
          <w:rFonts w:ascii="宋体" w:hAnsi="宋体"/>
          <w:szCs w:val="21"/>
        </w:rPr>
        <w:t>可能面对的风险</w:t>
      </w:r>
    </w:p>
    <w:sdt>
      <w:sdtPr>
        <w:rPr>
          <w:rFonts w:hint="eastAsia" w:ascii="宋体" w:hAnsi="宋体"/>
        </w:rPr>
        <w:alias w:val="是否适用：可能面对的风险[双击切换]"/>
        <w:tag w:val="_GBC_1b74f2e1039c4fe9acc819e860071020"/>
        <w:id w:val="-107590052"/>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公司可能面对的风险"/>
        <w:tag w:val="_GBC_c62723d12603412ba692148cd4961de5"/>
        <w:id w:val="1715922773"/>
        <w:placeholder>
          <w:docPart w:val="GBC22222222222222222222222222222"/>
        </w:placeholder>
      </w:sdtPr>
      <w:sdtEndPr>
        <w:rPr>
          <w:rFonts w:hint="eastAsia" w:ascii="宋体" w:hAnsi="宋体"/>
        </w:rPr>
      </w:sdtEndPr>
      <w:sdtContent>
        <w:p>
          <w:pPr>
            <w:ind w:firstLine="420" w:firstLineChars="200"/>
            <w:rPr>
              <w:rFonts w:ascii="宋体" w:hAnsi="宋体"/>
            </w:rPr>
          </w:pPr>
          <w:bookmarkStart w:id="86" w:name="_Hlk160692095"/>
          <w:r>
            <w:rPr>
              <w:rFonts w:hint="eastAsia" w:ascii="宋体" w:hAnsi="宋体"/>
            </w:rPr>
            <w:t>安全管理风险</w:t>
          </w:r>
        </w:p>
        <w:p>
          <w:pPr>
            <w:ind w:firstLine="420" w:firstLineChars="200"/>
            <w:rPr>
              <w:rFonts w:ascii="宋体" w:hAnsi="宋体"/>
            </w:rPr>
          </w:pPr>
          <w:r>
            <w:rPr>
              <w:rFonts w:hint="eastAsia" w:ascii="宋体" w:hAnsi="宋体"/>
            </w:rPr>
            <w:t>本集团业务板块中“煤炭开采、煤化工”均属于高危行业，安全生产的不确定性因素比较复杂，易产生安全管理风险。</w:t>
          </w:r>
        </w:p>
        <w:p>
          <w:pPr>
            <w:ind w:firstLine="420" w:firstLineChars="200"/>
            <w:rPr>
              <w:rFonts w:ascii="宋体" w:hAnsi="宋体"/>
            </w:rPr>
          </w:pPr>
          <w:r>
            <w:rPr>
              <w:rFonts w:hint="eastAsia" w:ascii="宋体" w:hAnsi="宋体"/>
            </w:rPr>
            <w:t>应对措施：完善双重预防信息系统, 健全完善重大安全隐患汇报、治理、验收等管控流程,全面深入开展煤炭、煤化工隐蔽致灾治理工作。</w:t>
          </w:r>
        </w:p>
        <w:p>
          <w:pPr>
            <w:ind w:firstLine="420" w:firstLineChars="200"/>
            <w:rPr>
              <w:rFonts w:ascii="宋体" w:hAnsi="宋体"/>
            </w:rPr>
          </w:pPr>
        </w:p>
        <w:p>
          <w:pPr>
            <w:ind w:firstLine="420" w:firstLineChars="200"/>
            <w:rPr>
              <w:rFonts w:ascii="宋体" w:hAnsi="宋体"/>
            </w:rPr>
          </w:pPr>
          <w:r>
            <w:rPr>
              <w:rFonts w:hint="eastAsia" w:ascii="宋体" w:hAnsi="宋体"/>
            </w:rPr>
            <w:t>环境保护风险</w:t>
          </w:r>
        </w:p>
        <w:p>
          <w:pPr>
            <w:ind w:firstLine="420" w:firstLineChars="200"/>
            <w:rPr>
              <w:rFonts w:ascii="宋体" w:hAnsi="宋体"/>
            </w:rPr>
          </w:pPr>
          <w:r>
            <w:rPr>
              <w:rFonts w:hint="eastAsia" w:ascii="宋体" w:hAnsi="宋体"/>
            </w:rPr>
            <w:t>国家环保政策趋严，全社会对环保重视程度不断提高，使本集团面临更为严格的环保约束。我国向世界作出实现“碳达峰、碳中和”的庄严承诺，对公司煤炭业务的经营发展带来重大影响。</w:t>
          </w:r>
        </w:p>
        <w:p>
          <w:pPr>
            <w:ind w:firstLine="420" w:firstLineChars="200"/>
            <w:rPr>
              <w:rFonts w:ascii="宋体" w:hAnsi="宋体"/>
            </w:rPr>
          </w:pPr>
          <w:r>
            <w:rPr>
              <w:rFonts w:hint="eastAsia" w:ascii="宋体" w:hAnsi="宋体"/>
            </w:rPr>
            <w:t xml:space="preserve">应对措施：本集团将严格落实环保法规要求，积极推进设施升级改造，提升设施运行管理水平，确保污染物达标排放。实施战略转型，积极推动传统产业转型和新兴产业崛起，走绿色低碳发展的道路。推动煤炭高效清洁利用，继续发挥煤炭在能源结构中的压舱石作用。 </w:t>
          </w:r>
        </w:p>
        <w:p>
          <w:pPr>
            <w:ind w:firstLine="420" w:firstLineChars="200"/>
            <w:rPr>
              <w:rFonts w:ascii="宋体" w:hAnsi="宋体"/>
            </w:rPr>
          </w:pPr>
        </w:p>
        <w:p>
          <w:pPr>
            <w:ind w:firstLine="420" w:firstLineChars="200"/>
            <w:rPr>
              <w:rFonts w:ascii="宋体" w:hAnsi="宋体"/>
            </w:rPr>
          </w:pPr>
          <w:r>
            <w:rPr>
              <w:rFonts w:hint="eastAsia" w:ascii="宋体" w:hAnsi="宋体"/>
            </w:rPr>
            <w:t>汇率风险</w:t>
          </w:r>
        </w:p>
        <w:p>
          <w:pPr>
            <w:ind w:firstLine="420" w:firstLineChars="200"/>
            <w:rPr>
              <w:rFonts w:ascii="宋体" w:hAnsi="宋体"/>
            </w:rPr>
          </w:pPr>
          <w:r>
            <w:rPr>
              <w:rFonts w:hint="eastAsia" w:ascii="宋体" w:hAnsi="宋体"/>
            </w:rPr>
            <w:t>作为国际化跨国公司，本集团的境外投资、境外融资、国际贸易等业务均受汇率波动影响，对本集团的经营业绩和发展战略带来诸多不确定性。</w:t>
          </w:r>
        </w:p>
        <w:p>
          <w:pPr>
            <w:ind w:firstLine="420" w:firstLineChars="200"/>
            <w:rPr>
              <w:rFonts w:ascii="宋体" w:hAnsi="宋体"/>
            </w:rPr>
          </w:pPr>
          <w:r>
            <w:rPr>
              <w:rFonts w:hint="eastAsia" w:ascii="宋体" w:hAnsi="宋体"/>
            </w:rPr>
            <w:t>应对措施：加强汇率走势研判，综合运用多种金融工具降低汇率波动风险。根据交易货币汇率变动趋势，在交易合同中订立适当的保值条款。灵活运用外汇衍生产品工具，签订远期外汇交易合同，锁定汇率波动。</w:t>
          </w:r>
        </w:p>
        <w:p>
          <w:pPr>
            <w:ind w:firstLine="420" w:firstLineChars="200"/>
            <w:rPr>
              <w:rFonts w:ascii="宋体" w:hAnsi="宋体"/>
            </w:rPr>
          </w:pPr>
        </w:p>
        <w:p>
          <w:pPr>
            <w:ind w:firstLine="420" w:firstLineChars="200"/>
            <w:rPr>
              <w:rFonts w:ascii="宋体" w:hAnsi="宋体"/>
            </w:rPr>
          </w:pPr>
          <w:r>
            <w:rPr>
              <w:rFonts w:hint="eastAsia" w:ascii="宋体" w:hAnsi="宋体"/>
            </w:rPr>
            <w:t>地缘政治风险</w:t>
          </w:r>
        </w:p>
        <w:p>
          <w:pPr>
            <w:ind w:firstLine="420" w:firstLineChars="200"/>
            <w:rPr>
              <w:rFonts w:ascii="宋体" w:hAnsi="宋体"/>
            </w:rPr>
          </w:pPr>
          <w:r>
            <w:rPr>
              <w:rFonts w:hint="eastAsia" w:ascii="宋体" w:hAnsi="宋体"/>
            </w:rPr>
            <w:t>本集团业务跨越不同地域与国家，境外业务会受当地政府政策、经济及国际关系变化等因素影响。若这些因素出现任何重大不利变化，则本集团业务、财务状况及经营业绩将可能会受到不利影响。</w:t>
          </w:r>
        </w:p>
        <w:p>
          <w:pPr>
            <w:ind w:firstLine="420" w:firstLineChars="200"/>
            <w:rPr>
              <w:rFonts w:ascii="宋体" w:hAnsi="宋体"/>
            </w:rPr>
          </w:pPr>
          <w:r>
            <w:rPr>
              <w:rFonts w:hint="eastAsia" w:ascii="宋体" w:hAnsi="宋体"/>
            </w:rPr>
            <w:t>应对措施：一是密切关注国际动态，加强对业务所在地政治、经济等发展形势的分析，及时识别和预判境外业务可能面临的地缘政治风险，并制定应对策略。二是继续坚持属地化策略，遵守所在地法律法规，积极融入所在地经济社会发展。</w:t>
          </w:r>
        </w:p>
      </w:sdtContent>
    </w:sdt>
    <w:bookmarkEnd w:id="86"/>
    <w:p>
      <w:pPr>
        <w:rPr>
          <w:rFonts w:ascii="宋体" w:hAnsi="宋体"/>
        </w:rPr>
      </w:pPr>
    </w:p>
    <w:p>
      <w:pPr>
        <w:pStyle w:val="4"/>
        <w:numPr>
          <w:ilvl w:val="3"/>
          <w:numId w:val="16"/>
        </w:numPr>
        <w:ind w:left="422" w:hanging="422" w:hangingChars="200"/>
        <w:rPr>
          <w:rFonts w:ascii="宋体" w:hAnsi="宋体"/>
          <w:szCs w:val="21"/>
        </w:rPr>
      </w:pPr>
      <w:r>
        <w:rPr>
          <w:rFonts w:ascii="宋体" w:hAnsi="宋体"/>
          <w:szCs w:val="21"/>
        </w:rPr>
        <w:t>其他</w:t>
      </w:r>
    </w:p>
    <w:sdt>
      <w:sdtPr>
        <w:rPr>
          <w:rFonts w:hint="eastAsia" w:ascii="宋体" w:hAnsi="宋体"/>
        </w:rPr>
        <w:alias w:val="是否适用：公司其他未来发展的讨论和分析[双击切换]"/>
        <w:tag w:val="_GBC_aad5c59ba9344d37bc5cc7a8eba5f048"/>
        <w:id w:val="366957942"/>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firstLine="422" w:firstLineChars="200"/>
        <w:rPr>
          <w:rFonts w:ascii="宋体" w:hAnsi="宋体"/>
          <w:b/>
        </w:rPr>
      </w:pPr>
      <w:r>
        <w:rPr>
          <w:rFonts w:ascii="宋体" w:hAnsi="宋体"/>
          <w:b/>
        </w:rPr>
        <w:t>1.汇率变动影响</w:t>
      </w:r>
    </w:p>
    <w:p>
      <w:pPr>
        <w:autoSpaceDE w:val="0"/>
        <w:autoSpaceDN w:val="0"/>
        <w:adjustRightInd w:val="0"/>
        <w:ind w:firstLine="420" w:firstLineChars="200"/>
        <w:rPr>
          <w:rFonts w:ascii="宋体" w:hAnsi="宋体"/>
        </w:rPr>
      </w:pPr>
      <w:bookmarkStart w:id="87" w:name="_Hlk96009698"/>
      <w:r>
        <w:rPr>
          <w:rFonts w:hint="eastAsia" w:ascii="宋体" w:hAnsi="宋体"/>
        </w:rPr>
        <w:t>汇率变动对本集团的影响主要体现在：</w:t>
      </w:r>
    </w:p>
    <w:p>
      <w:pPr>
        <w:autoSpaceDE w:val="0"/>
        <w:autoSpaceDN w:val="0"/>
        <w:adjustRightInd w:val="0"/>
        <w:ind w:firstLine="420" w:firstLineChars="200"/>
        <w:rPr>
          <w:rFonts w:ascii="宋体" w:hAnsi="宋体"/>
        </w:rPr>
      </w:pPr>
      <w:r>
        <w:rPr>
          <w:rFonts w:ascii="宋体" w:hAnsi="宋体"/>
        </w:rPr>
        <w:t>(1)本集团煤炭境外销售分别以美元、澳元计价，对境外煤炭销售收入产生影响；</w:t>
      </w:r>
    </w:p>
    <w:p>
      <w:pPr>
        <w:autoSpaceDE w:val="0"/>
        <w:autoSpaceDN w:val="0"/>
        <w:adjustRightInd w:val="0"/>
        <w:ind w:firstLine="420" w:firstLineChars="200"/>
        <w:rPr>
          <w:rFonts w:ascii="宋体" w:hAnsi="宋体"/>
        </w:rPr>
      </w:pPr>
      <w:r>
        <w:rPr>
          <w:rFonts w:ascii="宋体" w:hAnsi="宋体"/>
        </w:rPr>
        <w:t>(2)对外币存、贷款的汇兑损益产生影响；</w:t>
      </w:r>
    </w:p>
    <w:p>
      <w:pPr>
        <w:autoSpaceDE w:val="0"/>
        <w:autoSpaceDN w:val="0"/>
        <w:adjustRightInd w:val="0"/>
        <w:ind w:firstLine="420" w:firstLineChars="200"/>
        <w:rPr>
          <w:rFonts w:ascii="宋体" w:hAnsi="宋体"/>
        </w:rPr>
      </w:pPr>
      <w:r>
        <w:rPr>
          <w:rFonts w:ascii="宋体" w:hAnsi="宋体"/>
        </w:rPr>
        <w:t>(3)对本集团进口设备和配件的成本产生影响。</w:t>
      </w:r>
    </w:p>
    <w:p>
      <w:pPr>
        <w:autoSpaceDE w:val="0"/>
        <w:autoSpaceDN w:val="0"/>
        <w:adjustRightInd w:val="0"/>
        <w:ind w:firstLine="420" w:firstLineChars="200"/>
        <w:rPr>
          <w:rFonts w:ascii="宋体" w:hAnsi="宋体"/>
        </w:rPr>
      </w:pPr>
      <w:r>
        <w:rPr>
          <w:rFonts w:hint="eastAsia" w:ascii="宋体" w:hAnsi="宋体"/>
        </w:rPr>
        <w:t>受汇率变动影响，报告期内本集团产生账面汇兑收益</w:t>
      </w:r>
      <w:r>
        <w:rPr>
          <w:rFonts w:ascii="宋体" w:hAnsi="宋体"/>
        </w:rPr>
        <w:t>1.54亿元。</w:t>
      </w:r>
    </w:p>
    <w:p>
      <w:pPr>
        <w:autoSpaceDE w:val="0"/>
        <w:autoSpaceDN w:val="0"/>
        <w:adjustRightInd w:val="0"/>
        <w:ind w:firstLine="420" w:firstLineChars="200"/>
        <w:rPr>
          <w:rFonts w:ascii="宋体" w:hAnsi="宋体"/>
        </w:rPr>
      </w:pPr>
      <w:r>
        <w:rPr>
          <w:rFonts w:hint="eastAsia" w:ascii="宋体" w:hAnsi="宋体"/>
        </w:rPr>
        <w:t>为管理预期销售收入的外币风险，兖煤澳洲与银行签订了外汇套期保值合约。</w:t>
      </w:r>
    </w:p>
    <w:p>
      <w:pPr>
        <w:autoSpaceDE w:val="0"/>
        <w:autoSpaceDN w:val="0"/>
        <w:adjustRightInd w:val="0"/>
        <w:ind w:firstLine="420" w:firstLineChars="200"/>
        <w:rPr>
          <w:rFonts w:ascii="宋体" w:hAnsi="宋体"/>
        </w:rPr>
      </w:pPr>
      <w:r>
        <w:rPr>
          <w:rFonts w:hint="eastAsia" w:ascii="宋体" w:hAnsi="宋体"/>
        </w:rPr>
        <w:t>为对冲汇率波动造成的美元债务汇兑损益，兖煤澳洲、兖煤国际对美元债务采用会计方法进行了套期保值，有效规避了汇率波动对当期损益的影响。报告期末，兖煤澳洲美元贷款已全额结清，但根据会计自然套保规则，提前偿贷带来的汇兑损益将仍在贷款到期日进行确认，对未来会计年度产生非现金影响。</w:t>
      </w:r>
    </w:p>
    <w:p>
      <w:pPr>
        <w:autoSpaceDE w:val="0"/>
        <w:autoSpaceDN w:val="0"/>
        <w:adjustRightInd w:val="0"/>
        <w:ind w:firstLine="420" w:firstLineChars="200"/>
        <w:rPr>
          <w:rFonts w:ascii="宋体" w:hAnsi="宋体"/>
        </w:rPr>
      </w:pPr>
      <w:r>
        <w:rPr>
          <w:rFonts w:hint="eastAsia" w:ascii="宋体" w:hAnsi="宋体"/>
        </w:rPr>
        <w:t>除上述披露外，本集团在本报告期内并未对其他外汇采取套期保值措施，并未就人民币与外币之间的汇率加以对冲。</w:t>
      </w:r>
    </w:p>
    <w:bookmarkEnd w:id="87"/>
    <w:p>
      <w:pPr>
        <w:autoSpaceDE w:val="0"/>
        <w:autoSpaceDN w:val="0"/>
        <w:adjustRightInd w:val="0"/>
        <w:ind w:firstLine="422" w:firstLineChars="200"/>
        <w:rPr>
          <w:rFonts w:ascii="宋体" w:hAnsi="宋体"/>
          <w:b/>
        </w:rPr>
      </w:pPr>
      <w:r>
        <w:rPr>
          <w:rFonts w:ascii="宋体" w:hAnsi="宋体"/>
          <w:b/>
        </w:rPr>
        <w:t>2.税项</w:t>
      </w:r>
    </w:p>
    <w:p>
      <w:pPr>
        <w:autoSpaceDE w:val="0"/>
        <w:autoSpaceDN w:val="0"/>
        <w:adjustRightInd w:val="0"/>
        <w:ind w:firstLine="420" w:firstLineChars="200"/>
        <w:rPr>
          <w:rFonts w:ascii="宋体" w:hAnsi="宋体"/>
        </w:rPr>
      </w:pPr>
      <w:r>
        <w:rPr>
          <w:rFonts w:ascii="宋体" w:hAnsi="宋体"/>
        </w:rPr>
        <w:t>20</w:t>
      </w:r>
      <w:r>
        <w:rPr>
          <w:rFonts w:hint="eastAsia" w:ascii="宋体" w:hAnsi="宋体"/>
        </w:rPr>
        <w:t>2</w:t>
      </w:r>
      <w:r>
        <w:rPr>
          <w:rFonts w:ascii="宋体" w:hAnsi="宋体"/>
        </w:rPr>
        <w:t>3年度，除部分中国境内子公司享受所得税优惠政策，就应课税利润缴纳15%的所得税外，本公司及其他中国境内的子公司须就应课税利润缴纳25%的所得税；</w:t>
      </w:r>
      <w:bookmarkStart w:id="88" w:name="_Hlk96009661"/>
      <w:r>
        <w:rPr>
          <w:rFonts w:ascii="宋体" w:hAnsi="宋体"/>
        </w:rPr>
        <w:t>兖煤澳洲须就应课税利润缴纳30%的所得税；兖煤国际须就应课税利润缴纳16.5%的所得税。</w:t>
      </w:r>
    </w:p>
    <w:bookmarkEnd w:id="88"/>
    <w:p>
      <w:pPr>
        <w:autoSpaceDE w:val="0"/>
        <w:autoSpaceDN w:val="0"/>
        <w:adjustRightInd w:val="0"/>
        <w:ind w:firstLine="420" w:firstLineChars="200"/>
        <w:rPr>
          <w:rFonts w:ascii="宋体" w:hAnsi="宋体"/>
        </w:rPr>
      </w:pPr>
      <w:r>
        <w:rPr>
          <w:rFonts w:hint="eastAsia" w:ascii="宋体" w:hAnsi="宋体"/>
        </w:rPr>
        <w:t>中国境内子公司有关所得税优惠政策和税率详情请见按中国会计准则编制的财务报表附注“税收优惠”。</w:t>
      </w:r>
    </w:p>
    <w:p>
      <w:pPr>
        <w:autoSpaceDE w:val="0"/>
        <w:autoSpaceDN w:val="0"/>
        <w:adjustRightInd w:val="0"/>
        <w:ind w:firstLine="422" w:firstLineChars="200"/>
        <w:rPr>
          <w:rFonts w:ascii="宋体" w:hAnsi="宋体"/>
          <w:b/>
        </w:rPr>
      </w:pPr>
      <w:r>
        <w:rPr>
          <w:rFonts w:ascii="宋体" w:hAnsi="宋体"/>
          <w:b/>
        </w:rPr>
        <w:t>3.职工退休金计划</w:t>
      </w:r>
    </w:p>
    <w:p>
      <w:pPr>
        <w:autoSpaceDE w:val="0"/>
        <w:autoSpaceDN w:val="0"/>
        <w:adjustRightInd w:val="0"/>
        <w:ind w:firstLine="420" w:firstLineChars="200"/>
        <w:rPr>
          <w:rFonts w:ascii="宋体" w:hAnsi="宋体"/>
          <w:u w:val="single"/>
        </w:rPr>
      </w:pPr>
      <w:r>
        <w:rPr>
          <w:rFonts w:hint="eastAsia" w:ascii="宋体" w:hAnsi="宋体"/>
        </w:rPr>
        <w:t>有关职工退休金计划的详情请见按国际财务报告准则编制的财务报表附注“退休福利”。</w:t>
      </w:r>
    </w:p>
    <w:p>
      <w:pPr>
        <w:autoSpaceDE w:val="0"/>
        <w:autoSpaceDN w:val="0"/>
        <w:adjustRightInd w:val="0"/>
        <w:ind w:firstLine="422" w:firstLineChars="200"/>
        <w:rPr>
          <w:rFonts w:ascii="宋体" w:hAnsi="宋体"/>
          <w:b/>
        </w:rPr>
      </w:pPr>
      <w:r>
        <w:rPr>
          <w:rFonts w:ascii="宋体" w:hAnsi="宋体"/>
          <w:b/>
        </w:rPr>
        <w:t>4.</w:t>
      </w:r>
      <w:r>
        <w:rPr>
          <w:rFonts w:hint="eastAsia" w:ascii="宋体" w:hAnsi="宋体"/>
          <w:b/>
        </w:rPr>
        <w:t>储备</w:t>
      </w:r>
    </w:p>
    <w:p>
      <w:pPr>
        <w:autoSpaceDE w:val="0"/>
        <w:autoSpaceDN w:val="0"/>
        <w:adjustRightInd w:val="0"/>
        <w:ind w:firstLine="420" w:firstLineChars="200"/>
        <w:rPr>
          <w:rFonts w:ascii="宋体" w:hAnsi="宋体"/>
          <w:szCs w:val="28"/>
        </w:rPr>
      </w:pPr>
      <w:r>
        <w:rPr>
          <w:rFonts w:hint="eastAsia" w:ascii="宋体" w:hAnsi="宋体"/>
          <w:szCs w:val="28"/>
        </w:rPr>
        <w:t>有关本年度的储备变动情况及于202</w:t>
      </w:r>
      <w:r>
        <w:rPr>
          <w:rFonts w:ascii="宋体" w:hAnsi="宋体"/>
          <w:szCs w:val="28"/>
        </w:rPr>
        <w:t>3</w:t>
      </w:r>
      <w:r>
        <w:rPr>
          <w:rFonts w:hint="eastAsia" w:ascii="宋体" w:hAnsi="宋体"/>
          <w:szCs w:val="28"/>
        </w:rPr>
        <w:t>年12月31日之可分配储备情况请见按国际财务报告准则编制的财务报表附注“股东权益”。</w:t>
      </w:r>
    </w:p>
    <w:p>
      <w:pPr>
        <w:autoSpaceDE w:val="0"/>
        <w:autoSpaceDN w:val="0"/>
        <w:adjustRightInd w:val="0"/>
        <w:ind w:firstLine="422" w:firstLineChars="200"/>
        <w:rPr>
          <w:rFonts w:ascii="宋体" w:hAnsi="宋体"/>
          <w:b/>
        </w:rPr>
      </w:pPr>
      <w:r>
        <w:rPr>
          <w:rFonts w:hint="eastAsia" w:ascii="宋体" w:hAnsi="宋体"/>
          <w:b/>
        </w:rPr>
        <w:t>5</w:t>
      </w:r>
      <w:r>
        <w:rPr>
          <w:rFonts w:ascii="宋体" w:hAnsi="宋体"/>
          <w:b/>
        </w:rPr>
        <w:t>.捐款</w:t>
      </w:r>
    </w:p>
    <w:p>
      <w:pPr>
        <w:autoSpaceDE w:val="0"/>
        <w:autoSpaceDN w:val="0"/>
        <w:adjustRightInd w:val="0"/>
        <w:ind w:firstLine="420" w:firstLineChars="200"/>
        <w:rPr>
          <w:rFonts w:ascii="宋体" w:hAnsi="宋体"/>
        </w:rPr>
      </w:pPr>
      <w:bookmarkStart w:id="89" w:name="_Hlk129698856"/>
      <w:r>
        <w:rPr>
          <w:rFonts w:hint="eastAsia" w:ascii="宋体" w:hAnsi="宋体"/>
        </w:rPr>
        <w:t>本集团于</w:t>
      </w:r>
      <w:r>
        <w:rPr>
          <w:rFonts w:ascii="宋体" w:hAnsi="宋体"/>
        </w:rPr>
        <w:t>2</w:t>
      </w:r>
      <w:r>
        <w:rPr>
          <w:rFonts w:hint="eastAsia" w:ascii="宋体" w:hAnsi="宋体"/>
        </w:rPr>
        <w:t>02</w:t>
      </w:r>
      <w:r>
        <w:rPr>
          <w:rFonts w:ascii="宋体" w:hAnsi="宋体"/>
        </w:rPr>
        <w:t>3年度的捐款支出为</w:t>
      </w:r>
      <w:bookmarkStart w:id="90" w:name="_Hlk161494621"/>
      <w:r>
        <w:rPr>
          <w:rFonts w:ascii="宋体" w:hAnsi="宋体"/>
        </w:rPr>
        <w:t>50,486</w:t>
      </w:r>
      <w:bookmarkEnd w:id="90"/>
      <w:r>
        <w:rPr>
          <w:rFonts w:ascii="宋体" w:hAnsi="宋体"/>
        </w:rPr>
        <w:t>千元。</w:t>
      </w:r>
    </w:p>
    <w:bookmarkEnd w:id="89"/>
    <w:p>
      <w:pPr>
        <w:autoSpaceDE w:val="0"/>
        <w:autoSpaceDN w:val="0"/>
        <w:adjustRightInd w:val="0"/>
        <w:ind w:firstLine="422" w:firstLineChars="200"/>
        <w:rPr>
          <w:rFonts w:ascii="宋体" w:hAnsi="宋体"/>
          <w:b/>
        </w:rPr>
      </w:pPr>
      <w:r>
        <w:rPr>
          <w:rFonts w:ascii="宋体" w:hAnsi="宋体"/>
          <w:b/>
        </w:rPr>
        <w:t>6.环境政策和表现</w:t>
      </w:r>
    </w:p>
    <w:p>
      <w:pPr>
        <w:autoSpaceDE w:val="0"/>
        <w:autoSpaceDN w:val="0"/>
        <w:adjustRightInd w:val="0"/>
        <w:ind w:firstLine="420" w:firstLineChars="200"/>
        <w:rPr>
          <w:rFonts w:ascii="宋体" w:hAnsi="宋体"/>
        </w:rPr>
      </w:pPr>
      <w:r>
        <w:rPr>
          <w:rFonts w:hint="eastAsia" w:ascii="宋体" w:hAnsi="宋体"/>
        </w:rPr>
        <w:t>请见本年报“第六节 环境与社会责任”有关内容。</w:t>
      </w:r>
    </w:p>
    <w:p>
      <w:pPr>
        <w:autoSpaceDE w:val="0"/>
        <w:autoSpaceDN w:val="0"/>
        <w:adjustRightInd w:val="0"/>
        <w:ind w:firstLine="422" w:firstLineChars="200"/>
        <w:rPr>
          <w:rFonts w:ascii="宋体" w:hAnsi="宋体"/>
          <w:b/>
        </w:rPr>
      </w:pPr>
      <w:r>
        <w:rPr>
          <w:rFonts w:ascii="宋体" w:hAnsi="宋体"/>
          <w:b/>
        </w:rPr>
        <w:t>7.遵守法律法规情况</w:t>
      </w:r>
    </w:p>
    <w:p>
      <w:pPr>
        <w:autoSpaceDE w:val="0"/>
        <w:autoSpaceDN w:val="0"/>
        <w:adjustRightInd w:val="0"/>
        <w:ind w:firstLine="420" w:firstLineChars="200"/>
        <w:rPr>
          <w:rFonts w:ascii="宋体" w:hAnsi="宋体"/>
        </w:rPr>
      </w:pPr>
      <w:r>
        <w:rPr>
          <w:rFonts w:hint="eastAsia" w:ascii="宋体" w:hAnsi="宋体"/>
        </w:rPr>
        <w:t>公司深悉遵守法律、法规及规则要求的重要性，且已建立较为成熟的制度以确保持续遵守适用的法律、法规及规则。于报告期内，尽公司所知，公司所有重大事项均遵守了适用的法律、法规及规则，包括但不限于《中华人民共和国安全生产法》《中华人民共和国职业病防治法》等在公司主营业务中对公司营运有重大意义或影响的法律及法规。公司作为于上交所及香港联交所上市的公司，于报告期内，亦遵守了上市地上市规则。</w:t>
      </w:r>
    </w:p>
    <w:p>
      <w:pPr>
        <w:autoSpaceDE w:val="0"/>
        <w:autoSpaceDN w:val="0"/>
        <w:adjustRightInd w:val="0"/>
        <w:ind w:firstLine="422" w:firstLineChars="200"/>
        <w:rPr>
          <w:rFonts w:ascii="宋体" w:hAnsi="宋体"/>
          <w:b/>
        </w:rPr>
      </w:pPr>
      <w:r>
        <w:rPr>
          <w:rFonts w:ascii="宋体" w:hAnsi="宋体"/>
          <w:b/>
        </w:rPr>
        <w:t>8.报告期后的重大事项</w:t>
      </w:r>
    </w:p>
    <w:p>
      <w:pPr>
        <w:autoSpaceDE w:val="0"/>
        <w:autoSpaceDN w:val="0"/>
        <w:adjustRightInd w:val="0"/>
        <w:ind w:firstLine="420" w:firstLineChars="200"/>
        <w:rPr>
          <w:rFonts w:eastAsiaTheme="minorEastAsia"/>
        </w:rPr>
      </w:pPr>
      <w:r>
        <w:rPr>
          <w:rFonts w:hint="eastAsia" w:ascii="宋体" w:hAnsi="宋体"/>
        </w:rPr>
        <w:t>请见本年报“第七节 重要事项”之“</w:t>
      </w:r>
      <w:r>
        <w:rPr>
          <w:rFonts w:hint="eastAsia" w:eastAsiaTheme="minorEastAsia"/>
        </w:rPr>
        <w:t>其他对投资者作出价值判断和投资决策有重大影响的重大事项的说明”有关内容。</w:t>
      </w:r>
    </w:p>
    <w:p>
      <w:pPr>
        <w:pStyle w:val="501"/>
      </w:pPr>
    </w:p>
    <w:p>
      <w:pPr>
        <w:pStyle w:val="3"/>
        <w:numPr>
          <w:ilvl w:val="0"/>
          <w:numId w:val="7"/>
        </w:numPr>
        <w:rPr>
          <w:rFonts w:ascii="Cambria" w:hAnsi="Cambria"/>
        </w:rPr>
      </w:pPr>
      <w:r>
        <w:rPr>
          <w:rFonts w:hint="eastAsia" w:ascii="Cambria" w:hAnsi="Cambr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27478630"/>
        <w:placeholder>
          <w:docPart w:val="GBC22222222222222222222222222222"/>
        </w:placeholder>
      </w:sdtPr>
      <w:sdtEndPr>
        <w:rPr>
          <w:rFonts w:hint="eastAsia"/>
        </w:rPr>
      </w:sdtEnd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r>
        <w:br w:type="page"/>
      </w:r>
    </w:p>
    <w:p>
      <w:pPr>
        <w:pStyle w:val="2"/>
        <w:numPr>
          <w:ilvl w:val="0"/>
          <w:numId w:val="2"/>
        </w:numPr>
        <w:spacing w:before="0" w:after="0"/>
        <w:rPr>
          <w:bCs w:val="0"/>
        </w:rPr>
      </w:pPr>
      <w:bookmarkStart w:id="91" w:name="_Toc89790251"/>
      <w:bookmarkStart w:id="92" w:name="_Toc158217552"/>
      <w:bookmarkStart w:id="93" w:name="_Toc437440716"/>
      <w:bookmarkStart w:id="94" w:name="_Toc409437610"/>
      <w:r>
        <w:rPr>
          <w:bCs w:val="0"/>
        </w:rPr>
        <w:t>公司治理</w:t>
      </w:r>
      <w:bookmarkEnd w:id="91"/>
      <w:bookmarkEnd w:id="92"/>
      <w:bookmarkEnd w:id="93"/>
      <w:bookmarkEnd w:id="94"/>
    </w:p>
    <w:p>
      <w:pPr>
        <w:pStyle w:val="3"/>
        <w:numPr>
          <w:ilvl w:val="0"/>
          <w:numId w:val="17"/>
        </w:numPr>
      </w:pPr>
      <w:r>
        <w:t>公司治理相关情况说明</w:t>
      </w:r>
    </w:p>
    <w:sdt>
      <w:sdtPr>
        <w:rPr>
          <w:rFonts w:hint="eastAsia"/>
        </w:rPr>
        <w:alias w:val="是否适用：公司治理相关情况说明[双击切换]"/>
        <w:tag w:val="_GBC_fcded3e74c5842408b5da723b3a757fa"/>
        <w:id w:val="-1948447127"/>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治理相关情况说明"/>
        <w:tag w:val="_GBC_b4d29a30dc2b4ea6b942196a3b52c2d0"/>
        <w:id w:val="585194129"/>
        <w:placeholder>
          <w:docPart w:val="GBC22222222222222222222222222222"/>
        </w:placeholder>
      </w:sdtPr>
      <w:sdtEndPr>
        <w:rPr>
          <w:rFonts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公司密切关注证券市场规范化、法治化进程，根据自身情况主动完善法人治理结构。报告期内，公司进一步强化公司治理，根据《上市公司独立董事管理办法》等最新法律法规和监管规则，制定了《独立董事专门会议工作细则》《股权投资管理办法》《党委会、股东大会、董事会、总经理办公会决策事项流程表》等制度；修订完善了《公司章程》《党委会议事规则》《股东大会议事规则》《董事会议事规则》《监事会议事规则》《总经理办公会议事规则》《审计委员会工作细则》《薪酬委员会工作细则》《可持续发展委员会工作细则》《独立董事工作制度》《董事会秘书工作制度》等基本治理制度，</w:t>
          </w:r>
          <w:r>
            <w:rPr>
              <w:rFonts w:hint="eastAsia" w:asciiTheme="minorEastAsia" w:hAnsiTheme="minorEastAsia" w:eastAsiaTheme="minorEastAsia"/>
              <w:bCs/>
            </w:rPr>
            <w:t>健全以《公司章程》为核心的公司治理体系，确保</w:t>
          </w:r>
          <w:r>
            <w:rPr>
              <w:rFonts w:hint="eastAsia" w:asciiTheme="minorEastAsia" w:hAnsiTheme="minorEastAsia" w:eastAsiaTheme="minorEastAsia"/>
            </w:rPr>
            <w:t>公司规范高效运行。</w:t>
          </w:r>
        </w:p>
        <w:p>
          <w:pPr>
            <w:ind w:firstLine="420" w:firstLineChars="200"/>
            <w:rPr>
              <w:rFonts w:asciiTheme="minorEastAsia" w:hAnsiTheme="minorEastAsia" w:eastAsiaTheme="minorEastAsia"/>
            </w:rPr>
          </w:pPr>
          <w:r>
            <w:rPr>
              <w:rFonts w:hint="eastAsia" w:asciiTheme="minorEastAsia" w:hAnsiTheme="minorEastAsia" w:eastAsiaTheme="minorEastAsia"/>
            </w:rPr>
            <w:t>经2023年6月30日召开的2022年度股东周年大会审议批准，公司根据最新修订的法律、法规及监管要求，结合实际运营需要修订了《公司章程》及相关议事规则。详情请见本公司日期为2022年10月28日的公告、日期为2023年4月24日的公告、日期为2023年6月9日的通函以及日期为2023年6月20日的股东大会材料。</w:t>
          </w:r>
        </w:p>
        <w:p>
          <w:pPr>
            <w:ind w:firstLine="420" w:firstLineChars="200"/>
            <w:rPr>
              <w:rFonts w:asciiTheme="minorEastAsia" w:hAnsiTheme="minorEastAsia" w:eastAsiaTheme="minorEastAsia"/>
            </w:rPr>
          </w:pPr>
          <w:r>
            <w:rPr>
              <w:rFonts w:hint="eastAsia" w:asciiTheme="minorEastAsia" w:hAnsiTheme="minorEastAsia" w:eastAsiaTheme="minorEastAsia"/>
            </w:rPr>
            <w:t>经2023年10月27日召开的2023年度第一次临时股东大会审议批准，公司为反映股本结构及注册资本的变动、符合中国证监会新颁布的《上市公司独立董事管理办法》、进一步完善“党建入章”的相关表述修订了《公司章程》。详情请见本公司日期为2023年8月25日的公告、日期为2023年9月28日的通函以及日期为2023年10月19日的股东大会材料。</w:t>
          </w:r>
        </w:p>
      </w:sdtContent>
    </w:sdt>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公司治理</w:t>
      </w:r>
      <w:r>
        <w:rPr>
          <w:rFonts w:hint="eastAsia" w:asciiTheme="minorEastAsia" w:hAnsiTheme="minorEastAsia" w:eastAsiaTheme="minorEastAsia"/>
        </w:rPr>
        <w:t>与法律、行政法规和中国证监会关于上市公司治理的规定</w:t>
      </w:r>
      <w:r>
        <w:rPr>
          <w:rFonts w:asciiTheme="minorEastAsia" w:hAnsiTheme="minorEastAsia" w:eastAsiaTheme="minorEastAsia"/>
        </w:rPr>
        <w:t>是否存在</w:t>
      </w:r>
      <w:r>
        <w:rPr>
          <w:rFonts w:hint="eastAsia" w:asciiTheme="minorEastAsia" w:hAnsiTheme="minorEastAsia" w:eastAsiaTheme="minorEastAsia"/>
        </w:rPr>
        <w:t>重大</w:t>
      </w:r>
      <w:r>
        <w:rPr>
          <w:rFonts w:asciiTheme="minorEastAsia" w:hAnsiTheme="minorEastAsia" w:eastAsiaTheme="minorEastAsia"/>
        </w:rPr>
        <w:t>差异；如有</w:t>
      </w:r>
      <w:r>
        <w:rPr>
          <w:rFonts w:hint="eastAsia" w:asciiTheme="minorEastAsia" w:hAnsiTheme="minorEastAsia" w:eastAsiaTheme="minorEastAsia"/>
        </w:rPr>
        <w:t>重大</w:t>
      </w:r>
      <w:r>
        <w:rPr>
          <w:rFonts w:asciiTheme="minorEastAsia" w:hAnsiTheme="minorEastAsia" w:eastAsiaTheme="minorEastAsia"/>
        </w:rPr>
        <w:t>差异，应当说明原因</w:t>
      </w:r>
    </w:p>
    <w:sdt>
      <w:sdtPr>
        <w:rPr>
          <w:rFonts w:asciiTheme="minorEastAsia" w:hAnsiTheme="minorEastAsia" w:eastAsiaTheme="minorEastAsia"/>
        </w:rPr>
        <w:alias w:val="是否适用：公司治理与中国证监会相关规定的要求是否存在重大差异[双击切换]"/>
        <w:tag w:val="_GBC_19571e68abe346ceb8159aac5aa1b941"/>
        <w:id w:val="-890187185"/>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asciiTheme="minorEastAsia" w:hAnsiTheme="minorEastAsia" w:eastAsiaTheme="minorEastAsia"/>
        </w:rPr>
        <w:alias w:val="公司治理与相关规定存在差异的说明"/>
        <w:tag w:val="_GBC_7b14321ef36b48d3ab2ed46ae95a6865"/>
        <w:id w:val="-2032633664"/>
        <w:placeholder>
          <w:docPart w:val="GBC22222222222222222222222222222"/>
        </w:placeholder>
      </w:sdtPr>
      <w:sdtEndPr>
        <w:rPr>
          <w:rFonts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公司自上市以来，按照《公司法》《证券法》及上市地有关监管规定，遵循透明、问责、维护全体股东权益的原则，建立了规范、稳健的企业法人治理结构，与中国证监会有关文件的要求不存在重大差异。</w:t>
          </w:r>
        </w:p>
      </w:sdtContent>
    </w:sdt>
    <w:p>
      <w:pPr>
        <w:rPr>
          <w:rFonts w:asciiTheme="minorEastAsia" w:hAnsiTheme="minorEastAsia" w:eastAsiaTheme="minorEastAsia"/>
        </w:rPr>
      </w:pPr>
    </w:p>
    <w:p>
      <w:pPr>
        <w:pStyle w:val="3"/>
        <w:numPr>
          <w:ilvl w:val="0"/>
          <w:numId w:val="17"/>
        </w:numPr>
        <w:ind w:left="450" w:hanging="450"/>
        <w:rPr>
          <w:rFonts w:asciiTheme="minorEastAsia" w:hAnsiTheme="minorEastAsia" w:eastAsiaTheme="minorEastAsia"/>
        </w:rPr>
      </w:pPr>
      <w:r>
        <w:rPr>
          <w:rFonts w:hint="eastAsia" w:asciiTheme="minorEastAsia" w:hAnsiTheme="minorEastAsia" w:eastAsiaTheme="minorEastAsia"/>
        </w:rPr>
        <w:t>公司</w:t>
      </w:r>
      <w:r>
        <w:rPr>
          <w:rFonts w:asciiTheme="minorEastAsia" w:hAnsiTheme="minorEastAsia" w:eastAsiaTheme="minorEastAsia"/>
        </w:rPr>
        <w:t>控股股东、实际控制人</w:t>
      </w:r>
      <w:r>
        <w:rPr>
          <w:rFonts w:hint="eastAsia" w:asciiTheme="minorEastAsia" w:hAnsiTheme="minorEastAsia" w:eastAsiaTheme="minorEastAsia"/>
        </w:rPr>
        <w:t>在保证公司</w:t>
      </w:r>
      <w:r>
        <w:rPr>
          <w:rFonts w:asciiTheme="minorEastAsia" w:hAnsiTheme="minorEastAsia" w:eastAsiaTheme="minorEastAsia"/>
        </w:rPr>
        <w:t>资产、人员、财务、机构、业务等方面独立性的具体措施，以及</w:t>
      </w:r>
      <w:r>
        <w:rPr>
          <w:rFonts w:hint="eastAsia" w:asciiTheme="minorEastAsia" w:hAnsiTheme="minorEastAsia" w:eastAsiaTheme="minorEastAsia"/>
        </w:rPr>
        <w:t>影响公司独立性而采取的解决方案、工作进度及后续工作计划</w:t>
      </w:r>
    </w:p>
    <w:sdt>
      <w:sdtPr>
        <w:rPr>
          <w:rFonts w:hint="eastAsia" w:asciiTheme="minorEastAsia" w:hAnsiTheme="minorEastAsia" w:eastAsiaTheme="minorEastAsia"/>
        </w:rPr>
        <w:alias w:val="是否适用：公司就其与控股股东在业务、人员、资产、机构、财务等方面存在的不能保证独立性、不能保持自主经营能力的情况说明[双击切换]"/>
        <w:tag w:val="_GBC_50c3f410fb5f41fcb5dafe7e6ee9876f"/>
        <w:id w:val="-996034146"/>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公司就其与控股股东在业务、人员、资产、机构、财务等方面存在的不能保证独立性、不能保持自主经营能力的情况说明"/>
        <w:tag w:val="_GBC_70c36110d2e1487fb53e14e63f815473"/>
        <w:id w:val="1444807707"/>
        <w:placeholder>
          <w:docPart w:val="GBC22222222222222222222222222222"/>
        </w:placeholder>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山东能源作出承诺：确保兖矿能源的独立性并充分尊重兖矿能源的经营自主权。</w:t>
          </w:r>
        </w:p>
      </w:sdtContent>
    </w:sdt>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控</w:t>
      </w:r>
      <w:r>
        <w:rPr>
          <w:rFonts w:hint="eastAsia" w:asciiTheme="minorEastAsia" w:hAnsiTheme="minorEastAsia" w:eastAsiaTheme="minor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asciiTheme="minorEastAsia" w:hAnsiTheme="minorEastAsia" w:eastAsiaTheme="minorEastAsia"/>
        </w:rPr>
        <w:alias w:val="是否适用：存在同业竞争的，公司相应的解决措施、工作进度及后续工作计划[双击切换]"/>
        <w:tag w:val="_GBC_1883b6583caa4429822c73ae5e75f9f4"/>
        <w:id w:val="-1174799563"/>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因部分改制、行业特性、国家政策或收购兼并等原因导致的同业竞争和关联交易情况"/>
        <w:tag w:val="_GBC_fef9712559874aababcda00a55efbb32"/>
        <w:id w:val="-1992171780"/>
        <w:placeholder>
          <w:docPart w:val="GBC22222222222222222222222222222"/>
        </w:placeholder>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山东能源将继续履行解决同业竞争的承诺，采取各种有效措施避免与本集团产生同业竞争。</w:t>
          </w:r>
        </w:p>
      </w:sdtContent>
    </w:sdt>
    <w:p>
      <w:pPr>
        <w:rPr>
          <w:rFonts w:asciiTheme="minorEastAsia" w:hAnsiTheme="minorEastAsia" w:eastAsiaTheme="minorEastAsia"/>
        </w:rPr>
      </w:pPr>
    </w:p>
    <w:p>
      <w:pPr>
        <w:pStyle w:val="3"/>
        <w:numPr>
          <w:ilvl w:val="0"/>
          <w:numId w:val="17"/>
        </w:numPr>
        <w:rPr>
          <w:rFonts w:asciiTheme="minorEastAsia" w:hAnsiTheme="minorEastAsia" w:eastAsiaTheme="minorEastAsia"/>
        </w:rPr>
      </w:pPr>
      <w:r>
        <w:rPr>
          <w:rFonts w:asciiTheme="minorEastAsia" w:hAnsiTheme="minorEastAsia" w:eastAsiaTheme="minorEastAsia"/>
        </w:rPr>
        <w:t>股东大会情况简介</w:t>
      </w:r>
    </w:p>
    <w:tbl>
      <w:tblPr>
        <w:tblStyle w:val="20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366"/>
        <w:gridCol w:w="3471"/>
        <w:gridCol w:w="1366"/>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asciiTheme="minorEastAsia" w:hAnsiTheme="minorEastAsia" w:eastAsiaTheme="minorEastAsia"/>
            </w:rPr>
            <w:tag w:val="_PLD_ca305564151a412a8452996542c336c8"/>
            <w:id w:val="-628710614"/>
          </w:sdtPr>
          <w:sdtEndPr>
            <w:rPr>
              <w:rFonts w:asciiTheme="minorEastAsia" w:hAnsiTheme="minorEastAsia" w:eastAsiaTheme="minorEastAsia"/>
            </w:rPr>
          </w:sdtEndPr>
          <w:sdtContent>
            <w:tc>
              <w:tcPr>
                <w:tcW w:w="1030" w:type="pct"/>
                <w:vAlign w:val="center"/>
              </w:tcPr>
              <w:p>
                <w:pPr>
                  <w:jc w:val="center"/>
                  <w:rPr>
                    <w:rFonts w:asciiTheme="minorEastAsia" w:hAnsiTheme="minorEastAsia" w:eastAsiaTheme="minorEastAsia"/>
                  </w:rPr>
                </w:pPr>
                <w:r>
                  <w:rPr>
                    <w:rFonts w:asciiTheme="minorEastAsia" w:hAnsiTheme="minorEastAsia" w:eastAsiaTheme="minorEastAsia"/>
                  </w:rPr>
                  <w:t>会议届次</w:t>
                </w:r>
              </w:p>
            </w:tc>
          </w:sdtContent>
        </w:sdt>
        <w:sdt>
          <w:sdtPr>
            <w:rPr>
              <w:rFonts w:asciiTheme="minorEastAsia" w:hAnsiTheme="minorEastAsia" w:eastAsiaTheme="minorEastAsia"/>
            </w:rPr>
            <w:tag w:val="_PLD_339c8451b8064684a85c81b08813156b"/>
            <w:id w:val="-205409532"/>
          </w:sdtPr>
          <w:sdtEndPr>
            <w:rPr>
              <w:rFonts w:asciiTheme="minorEastAsia" w:hAnsiTheme="minorEastAsia" w:eastAsiaTheme="minorEastAsia"/>
            </w:rPr>
          </w:sdtEndPr>
          <w:sdtContent>
            <w:tc>
              <w:tcPr>
                <w:tcW w:w="966" w:type="pct"/>
                <w:vAlign w:val="center"/>
              </w:tcPr>
              <w:p>
                <w:pPr>
                  <w:jc w:val="center"/>
                  <w:rPr>
                    <w:rFonts w:asciiTheme="minorEastAsia" w:hAnsiTheme="minorEastAsia" w:eastAsiaTheme="minorEastAsia"/>
                  </w:rPr>
                </w:pPr>
                <w:r>
                  <w:rPr>
                    <w:rFonts w:asciiTheme="minorEastAsia" w:hAnsiTheme="minorEastAsia" w:eastAsiaTheme="minorEastAsia"/>
                  </w:rPr>
                  <w:t>召开日期</w:t>
                </w:r>
              </w:p>
            </w:tc>
          </w:sdtContent>
        </w:sdt>
        <w:sdt>
          <w:sdtPr>
            <w:rPr>
              <w:rFonts w:asciiTheme="minorEastAsia" w:hAnsiTheme="minorEastAsia" w:eastAsiaTheme="minorEastAsia"/>
            </w:rPr>
            <w:tag w:val="_PLD_7b97e84dc8f648a0b4bd3bbd757797d1"/>
            <w:id w:val="42566189"/>
          </w:sdtPr>
          <w:sdtEndPr>
            <w:rPr>
              <w:rFonts w:asciiTheme="minorEastAsia" w:hAnsiTheme="minorEastAsia" w:eastAsiaTheme="minorEastAsia"/>
            </w:rPr>
          </w:sdtEndPr>
          <w:sdtContent>
            <w:tc>
              <w:tcPr>
                <w:tcW w:w="1073" w:type="pct"/>
                <w:vAlign w:val="center"/>
              </w:tcPr>
              <w:p>
                <w:pPr>
                  <w:jc w:val="center"/>
                  <w:rPr>
                    <w:rFonts w:asciiTheme="minorEastAsia" w:hAnsiTheme="minorEastAsia" w:eastAsiaTheme="minorEastAsia"/>
                  </w:rPr>
                </w:pPr>
                <w:r>
                  <w:rPr>
                    <w:rFonts w:asciiTheme="minorEastAsia" w:hAnsiTheme="minorEastAsia" w:eastAsiaTheme="minorEastAsia"/>
                  </w:rPr>
                  <w:t>决议刊登的指定网站的查询索引</w:t>
                </w:r>
              </w:p>
            </w:tc>
          </w:sdtContent>
        </w:sdt>
        <w:sdt>
          <w:sdtPr>
            <w:rPr>
              <w:rFonts w:asciiTheme="minorEastAsia" w:hAnsiTheme="minorEastAsia" w:eastAsiaTheme="minorEastAsia"/>
            </w:rPr>
            <w:tag w:val="_PLD_e175ad3c6edc4dc8a87f046a04fe2d07"/>
            <w:id w:val="1281769394"/>
          </w:sdtPr>
          <w:sdtEndPr>
            <w:rPr>
              <w:rFonts w:asciiTheme="minorEastAsia" w:hAnsiTheme="minorEastAsia" w:eastAsiaTheme="minorEastAsia"/>
            </w:rPr>
          </w:sdtEndPr>
          <w:sdtContent>
            <w:tc>
              <w:tcPr>
                <w:tcW w:w="966" w:type="pct"/>
                <w:vAlign w:val="center"/>
              </w:tcPr>
              <w:p>
                <w:pPr>
                  <w:jc w:val="center"/>
                  <w:rPr>
                    <w:rFonts w:asciiTheme="minorEastAsia" w:hAnsiTheme="minorEastAsia" w:eastAsiaTheme="minorEastAsia"/>
                  </w:rPr>
                </w:pPr>
                <w:r>
                  <w:rPr>
                    <w:rFonts w:asciiTheme="minorEastAsia" w:hAnsiTheme="minorEastAsia" w:eastAsiaTheme="minorEastAsia"/>
                  </w:rPr>
                  <w:t>决议刊登的披露日期</w:t>
                </w:r>
              </w:p>
            </w:tc>
          </w:sdtContent>
        </w:sdt>
        <w:sdt>
          <w:sdtPr>
            <w:rPr>
              <w:rFonts w:hint="eastAsia" w:asciiTheme="minorEastAsia" w:hAnsiTheme="minorEastAsia" w:eastAsiaTheme="minorEastAsia"/>
            </w:rPr>
            <w:tag w:val="_PLD_23fd9aa41f9444b4a6b91c96589bb344"/>
            <w:id w:val="-355817557"/>
          </w:sdtPr>
          <w:sdtEndPr>
            <w:rPr>
              <w:rFonts w:hint="eastAsia" w:asciiTheme="minorEastAsia" w:hAnsiTheme="minorEastAsia" w:eastAsiaTheme="minorEastAsia"/>
            </w:rPr>
          </w:sdtEndPr>
          <w:sdtContent>
            <w:tc>
              <w:tcPr>
                <w:tcW w:w="965" w:type="pct"/>
                <w:vAlign w:val="center"/>
              </w:tcPr>
              <w:p>
                <w:pPr>
                  <w:jc w:val="center"/>
                  <w:rPr>
                    <w:rFonts w:asciiTheme="minorEastAsia" w:hAnsiTheme="minorEastAsia" w:eastAsiaTheme="minorEastAsia"/>
                  </w:rPr>
                </w:pPr>
                <w:r>
                  <w:rPr>
                    <w:rFonts w:hint="eastAsia" w:asciiTheme="minorEastAsia" w:hAnsiTheme="minorEastAsia" w:eastAsiaTheme="minorEastAsia"/>
                  </w:rPr>
                  <w:t>会议决议</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0" w:type="pct"/>
          </w:tcPr>
          <w:p>
            <w:pPr>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2</w:t>
            </w:r>
            <w:r>
              <w:rPr>
                <w:rFonts w:hint="eastAsia" w:asciiTheme="minorEastAsia" w:hAnsiTheme="minorEastAsia" w:eastAsiaTheme="minorEastAsia"/>
              </w:rPr>
              <w:t>年度股东周年大会</w:t>
            </w:r>
          </w:p>
        </w:tc>
        <w:tc>
          <w:tcPr>
            <w:tcW w:w="966" w:type="pct"/>
          </w:tcPr>
          <w:p>
            <w:pPr>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年6月30日</w:t>
            </w:r>
          </w:p>
        </w:tc>
        <w:tc>
          <w:tcPr>
            <w:tcW w:w="1073" w:type="pct"/>
            <w:vMerge w:val="restart"/>
          </w:tcPr>
          <w:p>
            <w:pPr>
              <w:rPr>
                <w:rFonts w:asciiTheme="minorEastAsia" w:hAnsiTheme="minorEastAsia" w:eastAsiaTheme="minorEastAsia"/>
              </w:rPr>
            </w:pPr>
            <w:r>
              <w:rPr>
                <w:rFonts w:hint="eastAsia" w:asciiTheme="minorEastAsia" w:hAnsiTheme="minorEastAsia" w:eastAsiaTheme="minorEastAsia"/>
              </w:rPr>
              <w:t>上交所网站</w:t>
            </w:r>
          </w:p>
          <w:p>
            <w:pPr>
              <w:rPr>
                <w:rFonts w:asciiTheme="minorEastAsia" w:hAnsiTheme="minorEastAsia" w:eastAsiaTheme="minorEastAsia"/>
              </w:rPr>
            </w:pPr>
            <w:r>
              <w:rPr>
                <w:rFonts w:hint="eastAsia" w:asciiTheme="minorEastAsia" w:hAnsiTheme="minorEastAsia" w:eastAsiaTheme="minorEastAsia"/>
              </w:rPr>
              <w:t>（http://www.sse.com.cn）</w:t>
            </w:r>
          </w:p>
          <w:p>
            <w:pPr>
              <w:rPr>
                <w:rFonts w:asciiTheme="minorEastAsia" w:hAnsiTheme="minorEastAsia" w:eastAsiaTheme="minorEastAsia"/>
              </w:rPr>
            </w:pPr>
            <w:r>
              <w:rPr>
                <w:rFonts w:hint="eastAsia" w:asciiTheme="minorEastAsia" w:hAnsiTheme="minorEastAsia" w:eastAsiaTheme="minorEastAsia"/>
              </w:rPr>
              <w:t>香港联交所网站</w:t>
            </w:r>
          </w:p>
          <w:p>
            <w:pPr>
              <w:rPr>
                <w:rFonts w:asciiTheme="minorEastAsia" w:hAnsiTheme="minorEastAsia" w:eastAsiaTheme="minorEastAsia"/>
              </w:rPr>
            </w:pPr>
            <w:r>
              <w:rPr>
                <w:rFonts w:hint="eastAsia" w:asciiTheme="minorEastAsia" w:hAnsiTheme="minorEastAsia" w:eastAsiaTheme="minorEastAsia"/>
              </w:rPr>
              <w:t>（http://www.hkexnews.hk）</w:t>
            </w:r>
          </w:p>
          <w:p>
            <w:pPr>
              <w:rPr>
                <w:rFonts w:asciiTheme="minorEastAsia" w:hAnsiTheme="minorEastAsia" w:eastAsiaTheme="minorEastAsia"/>
              </w:rPr>
            </w:pPr>
            <w:r>
              <w:rPr>
                <w:rFonts w:hint="eastAsia" w:asciiTheme="minorEastAsia" w:hAnsiTheme="minorEastAsia" w:eastAsiaTheme="minorEastAsia"/>
              </w:rPr>
              <w:t>公司网站</w:t>
            </w:r>
          </w:p>
          <w:p>
            <w:pPr>
              <w:rPr>
                <w:rFonts w:asciiTheme="minorEastAsia" w:hAnsiTheme="minorEastAsia" w:eastAsiaTheme="minorEastAsia"/>
              </w:rPr>
            </w:pPr>
            <w:r>
              <w:rPr>
                <w:rFonts w:hint="eastAsia" w:asciiTheme="minorEastAsia" w:hAnsiTheme="minorEastAsia" w:eastAsiaTheme="minorEastAsia"/>
              </w:rPr>
              <w:t>（http://www.ykenergy.com</w:t>
            </w:r>
          </w:p>
          <w:p>
            <w:pPr>
              <w:rPr>
                <w:rFonts w:asciiTheme="minorEastAsia" w:hAnsiTheme="minorEastAsia" w:eastAsiaTheme="minorEastAsia"/>
              </w:rPr>
            </w:pPr>
            <w:r>
              <w:rPr>
                <w:rFonts w:hint="eastAsia" w:asciiTheme="minorEastAsia" w:hAnsiTheme="minorEastAsia" w:eastAsiaTheme="minorEastAsia"/>
              </w:rPr>
              <w:t>http://www.yanzhoucoal.com.cn）</w:t>
            </w:r>
          </w:p>
          <w:p>
            <w:pPr>
              <w:rPr>
                <w:rFonts w:asciiTheme="minorEastAsia" w:hAnsiTheme="minorEastAsia" w:eastAsiaTheme="minorEastAsia"/>
              </w:rPr>
            </w:pPr>
          </w:p>
        </w:tc>
        <w:tc>
          <w:tcPr>
            <w:tcW w:w="966" w:type="pct"/>
          </w:tcPr>
          <w:p>
            <w:pPr>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年6月30日</w:t>
            </w:r>
          </w:p>
        </w:tc>
        <w:tc>
          <w:tcPr>
            <w:tcW w:w="965" w:type="pct"/>
          </w:tcPr>
          <w:p>
            <w:pPr>
              <w:rPr>
                <w:rFonts w:asciiTheme="minorEastAsia" w:hAnsiTheme="minorEastAsia" w:eastAsiaTheme="minorEastAsia"/>
              </w:rPr>
            </w:pPr>
            <w:r>
              <w:rPr>
                <w:rFonts w:hint="eastAsia" w:asciiTheme="minorEastAsia" w:hAnsiTheme="minorEastAsia" w:eastAsiaTheme="minorEastAsia"/>
              </w:rPr>
              <w:t>通过所有议案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0" w:type="pct"/>
            <w:vAlign w:val="center"/>
          </w:tcPr>
          <w:p>
            <w:pPr>
              <w:rPr>
                <w:rFonts w:asciiTheme="minorEastAsia" w:hAnsiTheme="minorEastAsia" w:eastAsiaTheme="minorEastAsia"/>
              </w:rPr>
            </w:pPr>
            <w:r>
              <w:rPr>
                <w:rFonts w:hint="eastAsia" w:asciiTheme="minorEastAsia" w:hAnsiTheme="minorEastAsia" w:eastAsiaTheme="minorEastAsia"/>
              </w:rPr>
              <w:t>2023年度第一次A股类别股东大会</w:t>
            </w:r>
          </w:p>
        </w:tc>
        <w:tc>
          <w:tcPr>
            <w:tcW w:w="966" w:type="pct"/>
            <w:vAlign w:val="center"/>
          </w:tcPr>
          <w:p>
            <w:pPr>
              <w:rPr>
                <w:rFonts w:asciiTheme="minorEastAsia" w:hAnsiTheme="minorEastAsia" w:eastAsiaTheme="minorEastAsia"/>
              </w:rPr>
            </w:pPr>
            <w:r>
              <w:rPr>
                <w:rFonts w:hint="eastAsia" w:asciiTheme="minorEastAsia" w:hAnsiTheme="minorEastAsia" w:eastAsiaTheme="minorEastAsia"/>
              </w:rPr>
              <w:t>2023年6月30日</w:t>
            </w:r>
          </w:p>
        </w:tc>
        <w:tc>
          <w:tcPr>
            <w:tcW w:w="1073" w:type="pct"/>
            <w:vMerge w:val="continue"/>
          </w:tcPr>
          <w:p>
            <w:pPr>
              <w:rPr>
                <w:rFonts w:asciiTheme="minorEastAsia" w:hAnsiTheme="minorEastAsia" w:eastAsiaTheme="minorEastAsia"/>
              </w:rPr>
            </w:pPr>
          </w:p>
        </w:tc>
        <w:tc>
          <w:tcPr>
            <w:tcW w:w="966" w:type="pct"/>
            <w:vAlign w:val="center"/>
          </w:tcPr>
          <w:p>
            <w:pPr>
              <w:rPr>
                <w:rFonts w:asciiTheme="minorEastAsia" w:hAnsiTheme="minorEastAsia" w:eastAsiaTheme="minorEastAsia"/>
              </w:rPr>
            </w:pPr>
            <w:r>
              <w:rPr>
                <w:rFonts w:hint="eastAsia" w:asciiTheme="minorEastAsia" w:hAnsiTheme="minorEastAsia" w:eastAsiaTheme="minorEastAsia"/>
              </w:rPr>
              <w:t>2023年6月30日</w:t>
            </w:r>
          </w:p>
        </w:tc>
        <w:tc>
          <w:tcPr>
            <w:tcW w:w="965" w:type="pct"/>
            <w:vAlign w:val="center"/>
          </w:tcPr>
          <w:p>
            <w:pPr>
              <w:rPr>
                <w:rFonts w:asciiTheme="minorEastAsia" w:hAnsiTheme="minorEastAsia" w:eastAsiaTheme="minorEastAsia"/>
              </w:rPr>
            </w:pPr>
            <w:r>
              <w:rPr>
                <w:rFonts w:hint="eastAsia" w:asciiTheme="minorEastAsia" w:hAnsiTheme="minorEastAsia" w:eastAsiaTheme="minorEastAsia"/>
              </w:rPr>
              <w:t>通过所有议案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0" w:type="pct"/>
            <w:vAlign w:val="center"/>
          </w:tcPr>
          <w:p>
            <w:pPr>
              <w:rPr>
                <w:rFonts w:asciiTheme="minorEastAsia" w:hAnsiTheme="minorEastAsia" w:eastAsiaTheme="minorEastAsia"/>
              </w:rPr>
            </w:pPr>
            <w:r>
              <w:rPr>
                <w:rFonts w:hint="eastAsia" w:asciiTheme="minorEastAsia" w:hAnsiTheme="minorEastAsia" w:eastAsiaTheme="minorEastAsia"/>
              </w:rPr>
              <w:t>2023年度第一次H股类别股东大会</w:t>
            </w:r>
          </w:p>
        </w:tc>
        <w:tc>
          <w:tcPr>
            <w:tcW w:w="966" w:type="pct"/>
            <w:vAlign w:val="center"/>
          </w:tcPr>
          <w:p>
            <w:pPr>
              <w:rPr>
                <w:rFonts w:asciiTheme="minorEastAsia" w:hAnsiTheme="minorEastAsia" w:eastAsiaTheme="minorEastAsia"/>
              </w:rPr>
            </w:pPr>
            <w:r>
              <w:rPr>
                <w:rFonts w:hint="eastAsia" w:asciiTheme="minorEastAsia" w:hAnsiTheme="minorEastAsia" w:eastAsiaTheme="minorEastAsia"/>
              </w:rPr>
              <w:t>2023年6月30日</w:t>
            </w:r>
          </w:p>
        </w:tc>
        <w:tc>
          <w:tcPr>
            <w:tcW w:w="1073" w:type="pct"/>
            <w:vMerge w:val="continue"/>
          </w:tcPr>
          <w:p>
            <w:pPr>
              <w:rPr>
                <w:rFonts w:asciiTheme="minorEastAsia" w:hAnsiTheme="minorEastAsia" w:eastAsiaTheme="minorEastAsia"/>
              </w:rPr>
            </w:pPr>
          </w:p>
        </w:tc>
        <w:tc>
          <w:tcPr>
            <w:tcW w:w="966" w:type="pct"/>
            <w:vAlign w:val="center"/>
          </w:tcPr>
          <w:p>
            <w:pPr>
              <w:rPr>
                <w:rFonts w:asciiTheme="minorEastAsia" w:hAnsiTheme="minorEastAsia" w:eastAsiaTheme="minorEastAsia"/>
              </w:rPr>
            </w:pPr>
            <w:r>
              <w:rPr>
                <w:rFonts w:hint="eastAsia" w:asciiTheme="minorEastAsia" w:hAnsiTheme="minorEastAsia" w:eastAsiaTheme="minorEastAsia"/>
              </w:rPr>
              <w:t>2023年6月30日</w:t>
            </w:r>
          </w:p>
        </w:tc>
        <w:tc>
          <w:tcPr>
            <w:tcW w:w="965" w:type="pct"/>
            <w:vAlign w:val="center"/>
          </w:tcPr>
          <w:p>
            <w:pPr>
              <w:rPr>
                <w:rFonts w:asciiTheme="minorEastAsia" w:hAnsiTheme="minorEastAsia" w:eastAsiaTheme="minorEastAsia"/>
              </w:rPr>
            </w:pPr>
            <w:r>
              <w:rPr>
                <w:rFonts w:hint="eastAsia" w:asciiTheme="minorEastAsia" w:hAnsiTheme="minorEastAsia" w:eastAsiaTheme="minorEastAsia"/>
              </w:rPr>
              <w:t>通过所有议案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30" w:type="pct"/>
          </w:tcPr>
          <w:p>
            <w:pPr>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年度第一次临时股东大会</w:t>
            </w:r>
          </w:p>
        </w:tc>
        <w:tc>
          <w:tcPr>
            <w:tcW w:w="966" w:type="pct"/>
          </w:tcPr>
          <w:p>
            <w:pPr>
              <w:rPr>
                <w:rFonts w:asciiTheme="minorEastAsia" w:hAnsiTheme="minorEastAsia" w:eastAsiaTheme="minorEastAsia"/>
              </w:rPr>
            </w:pPr>
            <w:r>
              <w:rPr>
                <w:rFonts w:asciiTheme="minorEastAsia" w:hAnsiTheme="minorEastAsia" w:eastAsiaTheme="minorEastAsia"/>
              </w:rPr>
              <w:t>2023</w:t>
            </w:r>
            <w:r>
              <w:rPr>
                <w:rFonts w:hint="eastAsia" w:asciiTheme="minorEastAsia" w:hAnsiTheme="minorEastAsia" w:eastAsiaTheme="minorEastAsia"/>
              </w:rPr>
              <w:t>年1</w:t>
            </w:r>
            <w:r>
              <w:rPr>
                <w:rFonts w:asciiTheme="minorEastAsia" w:hAnsiTheme="minorEastAsia" w:eastAsiaTheme="minorEastAsia"/>
              </w:rPr>
              <w:t>0</w:t>
            </w:r>
            <w:r>
              <w:rPr>
                <w:rFonts w:hint="eastAsia" w:asciiTheme="minorEastAsia" w:hAnsiTheme="minorEastAsia" w:eastAsiaTheme="minorEastAsia"/>
              </w:rPr>
              <w:t>月2</w:t>
            </w:r>
            <w:r>
              <w:rPr>
                <w:rFonts w:asciiTheme="minorEastAsia" w:hAnsiTheme="minorEastAsia" w:eastAsiaTheme="minorEastAsia"/>
              </w:rPr>
              <w:t>7</w:t>
            </w:r>
            <w:r>
              <w:rPr>
                <w:rFonts w:hint="eastAsia" w:asciiTheme="minorEastAsia" w:hAnsiTheme="minorEastAsia" w:eastAsiaTheme="minorEastAsia"/>
              </w:rPr>
              <w:t>日</w:t>
            </w:r>
          </w:p>
        </w:tc>
        <w:tc>
          <w:tcPr>
            <w:tcW w:w="1073" w:type="pct"/>
            <w:vMerge w:val="continue"/>
          </w:tcPr>
          <w:p>
            <w:pPr>
              <w:rPr>
                <w:rFonts w:asciiTheme="minorEastAsia" w:hAnsiTheme="minorEastAsia" w:eastAsiaTheme="minorEastAsia"/>
              </w:rPr>
            </w:pPr>
          </w:p>
        </w:tc>
        <w:tc>
          <w:tcPr>
            <w:tcW w:w="966" w:type="pct"/>
          </w:tcPr>
          <w:p>
            <w:pPr>
              <w:rPr>
                <w:rFonts w:asciiTheme="minorEastAsia" w:hAnsiTheme="minorEastAsia" w:eastAsiaTheme="minorEastAsia"/>
              </w:rPr>
            </w:pPr>
            <w:r>
              <w:rPr>
                <w:rFonts w:asciiTheme="minorEastAsia" w:hAnsiTheme="minorEastAsia" w:eastAsiaTheme="minorEastAsia"/>
              </w:rPr>
              <w:t>2023</w:t>
            </w:r>
            <w:r>
              <w:rPr>
                <w:rFonts w:hint="eastAsia" w:asciiTheme="minorEastAsia" w:hAnsiTheme="minorEastAsia" w:eastAsiaTheme="minorEastAsia"/>
              </w:rPr>
              <w:t>年1</w:t>
            </w:r>
            <w:r>
              <w:rPr>
                <w:rFonts w:asciiTheme="minorEastAsia" w:hAnsiTheme="minorEastAsia" w:eastAsiaTheme="minorEastAsia"/>
              </w:rPr>
              <w:t>0</w:t>
            </w:r>
            <w:r>
              <w:rPr>
                <w:rFonts w:hint="eastAsia" w:asciiTheme="minorEastAsia" w:hAnsiTheme="minorEastAsia" w:eastAsiaTheme="minorEastAsia"/>
              </w:rPr>
              <w:t>月2</w:t>
            </w:r>
            <w:r>
              <w:rPr>
                <w:rFonts w:asciiTheme="minorEastAsia" w:hAnsiTheme="minorEastAsia" w:eastAsiaTheme="minorEastAsia"/>
              </w:rPr>
              <w:t>7</w:t>
            </w:r>
            <w:r>
              <w:rPr>
                <w:rFonts w:hint="eastAsia" w:asciiTheme="minorEastAsia" w:hAnsiTheme="minorEastAsia" w:eastAsiaTheme="minorEastAsia"/>
              </w:rPr>
              <w:t>日</w:t>
            </w:r>
          </w:p>
        </w:tc>
        <w:tc>
          <w:tcPr>
            <w:tcW w:w="965" w:type="pct"/>
          </w:tcPr>
          <w:p>
            <w:pPr>
              <w:rPr>
                <w:rFonts w:asciiTheme="minorEastAsia" w:hAnsiTheme="minorEastAsia" w:eastAsiaTheme="minorEastAsia"/>
              </w:rPr>
            </w:pPr>
            <w:r>
              <w:rPr>
                <w:rFonts w:hint="eastAsia" w:asciiTheme="minorEastAsia" w:hAnsiTheme="minorEastAsia" w:eastAsiaTheme="minorEastAsia"/>
              </w:rPr>
              <w:t>通过所有议案</w:t>
            </w:r>
          </w:p>
        </w:tc>
      </w:tr>
    </w:tbl>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注：上表中“决议刊登的披露日期”为决议公告所载日期。</w:t>
      </w:r>
    </w:p>
    <w:p>
      <w:pPr>
        <w:rPr>
          <w:rFonts w:asciiTheme="minorEastAsia" w:hAnsiTheme="minorEastAsia" w:eastAsiaTheme="minorEastAsia"/>
        </w:rPr>
      </w:pPr>
    </w:p>
    <w:p>
      <w:pPr>
        <w:rPr>
          <w:rFonts w:asciiTheme="minorEastAsia" w:hAnsiTheme="minorEastAsia" w:eastAsiaTheme="minorEastAsia"/>
          <w:bCs/>
        </w:rPr>
      </w:pPr>
      <w:r>
        <w:rPr>
          <w:rFonts w:hint="eastAsia" w:asciiTheme="minorEastAsia" w:hAnsiTheme="minorEastAsia" w:eastAsiaTheme="minorEastAsia"/>
          <w:bCs/>
        </w:rPr>
        <w:t>表决权恢复的优先股股东请求召开临时股东大会</w:t>
      </w:r>
    </w:p>
    <w:sdt>
      <w:sdtPr>
        <w:rPr>
          <w:rFonts w:asciiTheme="minorEastAsia" w:hAnsiTheme="minorEastAsia" w:eastAsiaTheme="minorEastAsia"/>
        </w:rPr>
        <w:alias w:val="是否适用：表决权恢复的优先股股东请求召开临时股东大会[双击切换]"/>
        <w:tag w:val="_GBC_daa6d818841c4c078ecf082b84efd616"/>
        <w:id w:val="-1422794925"/>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color w:val="333399"/>
            </w:rPr>
          </w:pPr>
          <w:bookmarkStart w:id="95" w:name="_Hlk41294309"/>
          <w:bookmarkStart w:id="96" w:name="_Hlk89178901"/>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bookmarkEnd w:id="95"/>
    <w:bookmarkEnd w:id="96"/>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股东大会情况说明</w:t>
      </w:r>
    </w:p>
    <w:sdt>
      <w:sdtPr>
        <w:rPr>
          <w:rFonts w:asciiTheme="minorEastAsia" w:hAnsiTheme="minorEastAsia" w:eastAsiaTheme="minorEastAsia"/>
        </w:rPr>
        <w:alias w:val="是否适用：股东大会情况说明[双击切换]"/>
        <w:tag w:val="_GBC_417d33555ab14709b5640c8830ff5a67"/>
        <w:id w:val="-256141645"/>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sectPr>
          <w:pgSz w:w="11906" w:h="16838"/>
          <w:pgMar w:top="1525" w:right="1276" w:bottom="1440" w:left="1797" w:header="855" w:footer="992" w:gutter="0"/>
          <w:cols w:space="425" w:num="1"/>
          <w:docGrid w:linePitch="312" w:charSpace="0"/>
        </w:sectPr>
      </w:pPr>
    </w:p>
    <w:p>
      <w:pPr>
        <w:pStyle w:val="3"/>
        <w:numPr>
          <w:ilvl w:val="0"/>
          <w:numId w:val="17"/>
        </w:numPr>
        <w:ind w:left="450" w:hanging="450"/>
        <w:rPr>
          <w:rFonts w:asciiTheme="minorEastAsia" w:hAnsiTheme="minorEastAsia" w:eastAsiaTheme="minorEastAsia"/>
        </w:rPr>
      </w:pPr>
      <w:r>
        <w:rPr>
          <w:rFonts w:asciiTheme="minorEastAsia" w:hAnsiTheme="minorEastAsia" w:eastAsiaTheme="minorEastAsia"/>
        </w:rPr>
        <w:t>董事、监事和高级管理人员的情况</w:t>
      </w:r>
    </w:p>
    <w:p>
      <w:pPr>
        <w:pStyle w:val="4"/>
        <w:numPr>
          <w:ilvl w:val="0"/>
          <w:numId w:val="18"/>
        </w:numPr>
        <w:ind w:left="0" w:firstLine="0"/>
        <w:rPr>
          <w:rFonts w:asciiTheme="minorEastAsia" w:hAnsiTheme="minorEastAsia" w:eastAsiaTheme="minorEastAsia"/>
        </w:rPr>
      </w:pPr>
      <w:r>
        <w:rPr>
          <w:rFonts w:hint="eastAsia" w:asciiTheme="minorEastAsia" w:hAnsiTheme="minorEastAsia" w:eastAsiaTheme="minorEastAsia"/>
        </w:rPr>
        <w:t xml:space="preserve"> </w:t>
      </w:r>
      <w:bookmarkStart w:id="97" w:name="_Hlk160363200"/>
      <w:r>
        <w:rPr>
          <w:rFonts w:asciiTheme="minorEastAsia" w:hAnsiTheme="minorEastAsia" w:eastAsiaTheme="minorEastAsia"/>
        </w:rPr>
        <w:t>现任及报告期内离任董事</w:t>
      </w:r>
      <w:r>
        <w:rPr>
          <w:rFonts w:hint="eastAsia" w:asciiTheme="minorEastAsia" w:hAnsiTheme="minorEastAsia" w:eastAsiaTheme="minorEastAsia"/>
        </w:rPr>
        <w:t>、监事和</w:t>
      </w:r>
      <w:r>
        <w:rPr>
          <w:rFonts w:asciiTheme="minorEastAsia" w:hAnsiTheme="minorEastAsia" w:eastAsiaTheme="minorEastAsia"/>
        </w:rPr>
        <w:t>高级管理人员持股变动及报酬情况</w:t>
      </w:r>
      <w:bookmarkEnd w:id="97"/>
    </w:p>
    <w:p>
      <w:pPr>
        <w:ind w:firstLine="420" w:firstLineChars="200"/>
        <w:rPr>
          <w:rFonts w:asciiTheme="minorEastAsia" w:hAnsiTheme="minorEastAsia" w:eastAsiaTheme="minorEastAsia"/>
        </w:rPr>
      </w:pPr>
      <w:r>
        <w:rPr>
          <w:rFonts w:hint="eastAsia" w:asciiTheme="minorEastAsia" w:hAnsiTheme="minorEastAsia" w:eastAsiaTheme="minorEastAsia"/>
        </w:rPr>
        <w:t>截至本报告期末，除下述披露外，本公司董事、监事及最高行政人员概无在本公司或其任何相联法团（定义见香港《证券及期货条例》第</w:t>
      </w:r>
      <w:r>
        <w:rPr>
          <w:rFonts w:asciiTheme="minorEastAsia" w:hAnsiTheme="minorEastAsia" w:eastAsiaTheme="minorEastAsia"/>
        </w:rPr>
        <w:t>XV</w:t>
      </w:r>
      <w:r>
        <w:rPr>
          <w:rFonts w:hint="eastAsia" w:asciiTheme="minorEastAsia" w:hAnsiTheme="minorEastAsia" w:eastAsiaTheme="minorEastAsia"/>
        </w:rPr>
        <w:t>部所指的相联法团）的股份、相关股份及债券中拥有权益及淡仓，而该等权益及淡仓（</w:t>
      </w:r>
      <w:r>
        <w:rPr>
          <w:rFonts w:asciiTheme="minorEastAsia" w:hAnsiTheme="minorEastAsia" w:eastAsiaTheme="minorEastAsia"/>
        </w:rPr>
        <w:t>i</w:t>
      </w:r>
      <w:r>
        <w:rPr>
          <w:rFonts w:hint="eastAsia" w:asciiTheme="minorEastAsia" w:hAnsiTheme="minorEastAsia" w:eastAsiaTheme="minorEastAsia"/>
        </w:rPr>
        <w:t>）根据香港《证券及期货条例》第</w:t>
      </w:r>
      <w:r>
        <w:rPr>
          <w:rFonts w:asciiTheme="minorEastAsia" w:hAnsiTheme="minorEastAsia" w:eastAsiaTheme="minorEastAsia"/>
        </w:rPr>
        <w:t>352</w:t>
      </w:r>
      <w:r>
        <w:rPr>
          <w:rFonts w:hint="eastAsia" w:asciiTheme="minorEastAsia" w:hAnsiTheme="minorEastAsia" w:eastAsiaTheme="minorEastAsia"/>
        </w:rPr>
        <w:t>条规定，应记录在须予备存的登记册中；或（</w:t>
      </w:r>
      <w:r>
        <w:rPr>
          <w:rFonts w:asciiTheme="minorEastAsia" w:hAnsiTheme="minorEastAsia" w:eastAsiaTheme="minorEastAsia"/>
        </w:rPr>
        <w:t>ii</w:t>
      </w:r>
      <w:r>
        <w:rPr>
          <w:rFonts w:hint="eastAsia" w:asciiTheme="minorEastAsia" w:hAnsiTheme="minorEastAsia" w:eastAsiaTheme="minorEastAsia"/>
        </w:rPr>
        <w:t>）根据《上市发行人董事进行证券交易的标准守则》（“《标准守则》”）规定，需通知本公司及香港联交所。</w:t>
      </w:r>
    </w:p>
    <w:p>
      <w:pPr>
        <w:ind w:firstLine="420" w:firstLineChars="200"/>
        <w:rPr>
          <w:rFonts w:asciiTheme="minorEastAsia" w:hAnsiTheme="minorEastAsia" w:eastAsiaTheme="minorEastAsia"/>
        </w:rPr>
      </w:pPr>
    </w:p>
    <w:sdt>
      <w:sdtPr>
        <w:rPr>
          <w:rFonts w:asciiTheme="minorEastAsia" w:hAnsiTheme="minorEastAsia" w:eastAsiaTheme="minorEastAsia"/>
        </w:rPr>
        <w:alias w:val="是否适用：董事、监事和高级管理人员持股变动[双击切换]"/>
        <w:tag w:val="_GBC_336639f5f1254c87a3d81a366e432afd"/>
        <w:id w:val="-1034024704"/>
        <w:lock w:val="contentLocked"/>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bookmarkStart w:id="98" w:name="_Hlk89179934"/>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jc w:val="right"/>
        <w:rPr>
          <w:rFonts w:asciiTheme="minorEastAsia" w:hAnsiTheme="minorEastAsia" w:eastAsiaTheme="minorEastAsia"/>
        </w:rPr>
      </w:pPr>
      <w:r>
        <w:rPr>
          <w:rFonts w:hint="eastAsia" w:asciiTheme="minorEastAsia" w:hAnsiTheme="minorEastAsia" w:eastAsiaTheme="minorEastAsia"/>
        </w:rPr>
        <w:t>单位：</w:t>
      </w:r>
      <w:sdt>
        <w:sdtPr>
          <w:rPr>
            <w:rFonts w:hint="eastAsia" w:asciiTheme="minorEastAsia" w:hAnsiTheme="minorEastAsia" w:eastAsiaTheme="minorEastAsia"/>
          </w:rPr>
          <w:alias w:val="单位：董事、监事、高级管理人员基本情况"/>
          <w:tag w:val="_GBC_3851936d51d842bf9f2c82131d0787cc"/>
          <w:id w:val="-1583828634"/>
          <w:comboBox>
            <w:listItem w:displayText="股" w:value="1"/>
            <w:listItem w:displayText="千股" w:value="1000"/>
            <w:listItem w:displayText="万股" w:value="10000"/>
            <w:listItem w:displayText="百万股" w:value="1000000"/>
            <w:listItem w:displayText="亿股" w:value="100000000"/>
          </w:comboBox>
        </w:sdtPr>
        <w:sdtEndPr>
          <w:rPr>
            <w:rFonts w:hint="eastAsia" w:asciiTheme="minorEastAsia" w:hAnsiTheme="minorEastAsia" w:eastAsiaTheme="minorEastAsia"/>
          </w:rPr>
        </w:sdtEndPr>
        <w:sdtContent>
          <w:r>
            <w:rPr>
              <w:rFonts w:hint="eastAsia" w:asciiTheme="minorEastAsia" w:hAnsiTheme="minorEastAsia" w:eastAsiaTheme="minorEastAsia"/>
            </w:rPr>
            <w:t>股</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1584"/>
        <w:gridCol w:w="578"/>
        <w:gridCol w:w="721"/>
        <w:gridCol w:w="1296"/>
        <w:gridCol w:w="1530"/>
        <w:gridCol w:w="1192"/>
        <w:gridCol w:w="1181"/>
        <w:gridCol w:w="1364"/>
        <w:gridCol w:w="1505"/>
        <w:gridCol w:w="1152"/>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sdt>
          <w:sdtPr>
            <w:rPr>
              <w:rFonts w:asciiTheme="minorEastAsia" w:hAnsiTheme="minorEastAsia" w:eastAsiaTheme="minorEastAsia"/>
            </w:rPr>
            <w:tag w:val="_PLD_3e935958e5b542f38f53ca8a2618690d"/>
            <w:id w:val="-361516944"/>
          </w:sdtPr>
          <w:sdtEndPr>
            <w:rPr>
              <w:rFonts w:asciiTheme="minorEastAsia" w:hAnsiTheme="minorEastAsia" w:eastAsiaTheme="minorEastAsia"/>
            </w:rPr>
          </w:sdtEndPr>
          <w:sdtContent>
            <w:tc>
              <w:tcPr>
                <w:tcW w:w="356" w:type="pct"/>
                <w:vAlign w:val="center"/>
              </w:tcPr>
              <w:p>
                <w:pPr>
                  <w:jc w:val="center"/>
                  <w:rPr>
                    <w:rFonts w:asciiTheme="minorEastAsia" w:hAnsiTheme="minorEastAsia" w:eastAsiaTheme="minorEastAsia"/>
                  </w:rPr>
                </w:pPr>
                <w:r>
                  <w:rPr>
                    <w:rFonts w:asciiTheme="minorEastAsia" w:hAnsiTheme="minorEastAsia" w:eastAsiaTheme="minorEastAsia"/>
                  </w:rPr>
                  <w:t>姓名</w:t>
                </w:r>
              </w:p>
            </w:tc>
          </w:sdtContent>
        </w:sdt>
        <w:sdt>
          <w:sdtPr>
            <w:rPr>
              <w:rFonts w:asciiTheme="minorEastAsia" w:hAnsiTheme="minorEastAsia" w:eastAsiaTheme="minorEastAsia"/>
            </w:rPr>
            <w:tag w:val="_PLD_5ecaa59058dd4312acb6ebb4d88eb6c8"/>
            <w:id w:val="295263322"/>
          </w:sdtPr>
          <w:sdtEndPr>
            <w:rPr>
              <w:rFonts w:asciiTheme="minorEastAsia" w:hAnsiTheme="minorEastAsia" w:eastAsiaTheme="minorEastAsia"/>
            </w:rPr>
          </w:sdtEndPr>
          <w:sdtContent>
            <w:tc>
              <w:tcPr>
                <w:tcW w:w="562" w:type="pct"/>
                <w:vAlign w:val="center"/>
              </w:tcPr>
              <w:p>
                <w:pPr>
                  <w:jc w:val="center"/>
                  <w:rPr>
                    <w:rFonts w:asciiTheme="minorEastAsia" w:hAnsiTheme="minorEastAsia" w:eastAsiaTheme="minorEastAsia"/>
                  </w:rPr>
                </w:pPr>
                <w:r>
                  <w:rPr>
                    <w:rFonts w:asciiTheme="minorEastAsia" w:hAnsiTheme="minorEastAsia" w:eastAsiaTheme="minorEastAsia"/>
                  </w:rPr>
                  <w:t>职务</w:t>
                </w:r>
              </w:p>
            </w:tc>
          </w:sdtContent>
        </w:sdt>
        <w:sdt>
          <w:sdtPr>
            <w:rPr>
              <w:rFonts w:asciiTheme="minorEastAsia" w:hAnsiTheme="minorEastAsia" w:eastAsiaTheme="minorEastAsia"/>
            </w:rPr>
            <w:tag w:val="_PLD_f907f9c5cdf94b2ba9e217c0aaaf2c60"/>
            <w:id w:val="1389681567"/>
          </w:sdtPr>
          <w:sdtEndPr>
            <w:rPr>
              <w:rFonts w:asciiTheme="minorEastAsia" w:hAnsiTheme="minorEastAsia" w:eastAsiaTheme="minorEastAsia"/>
            </w:rPr>
          </w:sdtEndPr>
          <w:sdtContent>
            <w:tc>
              <w:tcPr>
                <w:tcW w:w="205" w:type="pct"/>
                <w:vAlign w:val="center"/>
              </w:tcPr>
              <w:p>
                <w:pPr>
                  <w:jc w:val="center"/>
                  <w:rPr>
                    <w:rFonts w:asciiTheme="minorEastAsia" w:hAnsiTheme="minorEastAsia" w:eastAsiaTheme="minorEastAsia"/>
                  </w:rPr>
                </w:pPr>
                <w:r>
                  <w:rPr>
                    <w:rFonts w:asciiTheme="minorEastAsia" w:hAnsiTheme="minorEastAsia" w:eastAsiaTheme="minorEastAsia"/>
                  </w:rPr>
                  <w:t>性别</w:t>
                </w:r>
              </w:p>
            </w:tc>
          </w:sdtContent>
        </w:sdt>
        <w:sdt>
          <w:sdtPr>
            <w:rPr>
              <w:rFonts w:asciiTheme="minorEastAsia" w:hAnsiTheme="minorEastAsia" w:eastAsiaTheme="minorEastAsia"/>
            </w:rPr>
            <w:tag w:val="_PLD_9b2689bca35f4a3ebc7adf135b295bd6"/>
            <w:id w:val="-793601714"/>
          </w:sdtPr>
          <w:sdtEndPr>
            <w:rPr>
              <w:rFonts w:asciiTheme="minorEastAsia" w:hAnsiTheme="minorEastAsia" w:eastAsiaTheme="minorEastAsia"/>
            </w:rPr>
          </w:sdtEndPr>
          <w:sdtContent>
            <w:tc>
              <w:tcPr>
                <w:tcW w:w="256" w:type="pct"/>
                <w:vAlign w:val="center"/>
              </w:tcPr>
              <w:p>
                <w:pPr>
                  <w:jc w:val="center"/>
                  <w:rPr>
                    <w:rFonts w:asciiTheme="minorEastAsia" w:hAnsiTheme="minorEastAsia" w:eastAsiaTheme="minorEastAsia"/>
                  </w:rPr>
                </w:pPr>
                <w:r>
                  <w:rPr>
                    <w:rFonts w:asciiTheme="minorEastAsia" w:hAnsiTheme="minorEastAsia" w:eastAsiaTheme="minorEastAsia"/>
                  </w:rPr>
                  <w:t>年龄</w:t>
                </w:r>
              </w:p>
            </w:tc>
          </w:sdtContent>
        </w:sdt>
        <w:sdt>
          <w:sdtPr>
            <w:rPr>
              <w:rFonts w:asciiTheme="minorEastAsia" w:hAnsiTheme="minorEastAsia" w:eastAsiaTheme="minorEastAsia"/>
            </w:rPr>
            <w:tag w:val="_PLD_3844eb481c79444fba199a9d3c3b8bf7"/>
            <w:id w:val="-1682583756"/>
          </w:sdtPr>
          <w:sdtEndPr>
            <w:rPr>
              <w:rFonts w:asciiTheme="minorEastAsia" w:hAnsiTheme="minorEastAsia" w:eastAsiaTheme="minorEastAsia"/>
            </w:rPr>
          </w:sdtEndPr>
          <w:sdtContent>
            <w:tc>
              <w:tcPr>
                <w:tcW w:w="460" w:type="pct"/>
                <w:vAlign w:val="center"/>
              </w:tcPr>
              <w:p>
                <w:pPr>
                  <w:jc w:val="center"/>
                  <w:rPr>
                    <w:rFonts w:asciiTheme="minorEastAsia" w:hAnsiTheme="minorEastAsia" w:eastAsiaTheme="minorEastAsia"/>
                  </w:rPr>
                </w:pPr>
                <w:r>
                  <w:rPr>
                    <w:rFonts w:asciiTheme="minorEastAsia" w:hAnsiTheme="minorEastAsia" w:eastAsiaTheme="minorEastAsia"/>
                  </w:rPr>
                  <w:t>任期起始日期</w:t>
                </w:r>
              </w:p>
            </w:tc>
          </w:sdtContent>
        </w:sdt>
        <w:sdt>
          <w:sdtPr>
            <w:rPr>
              <w:rFonts w:asciiTheme="minorEastAsia" w:hAnsiTheme="minorEastAsia" w:eastAsiaTheme="minorEastAsia"/>
            </w:rPr>
            <w:tag w:val="_PLD_94806df607544b4b97b389da94daaf66"/>
            <w:id w:val="1595055217"/>
          </w:sdtPr>
          <w:sdtEndPr>
            <w:rPr>
              <w:rFonts w:asciiTheme="minorEastAsia" w:hAnsiTheme="minorEastAsia" w:eastAsiaTheme="minorEastAsia"/>
            </w:rPr>
          </w:sdtEndPr>
          <w:sdtContent>
            <w:tc>
              <w:tcPr>
                <w:tcW w:w="543" w:type="pct"/>
                <w:vAlign w:val="center"/>
              </w:tcPr>
              <w:p>
                <w:pPr>
                  <w:jc w:val="center"/>
                  <w:rPr>
                    <w:rFonts w:asciiTheme="minorEastAsia" w:hAnsiTheme="minorEastAsia" w:eastAsiaTheme="minorEastAsia"/>
                  </w:rPr>
                </w:pPr>
                <w:r>
                  <w:rPr>
                    <w:rFonts w:asciiTheme="minorEastAsia" w:hAnsiTheme="minorEastAsia" w:eastAsiaTheme="minorEastAsia"/>
                  </w:rPr>
                  <w:t>任期终止日期</w:t>
                </w:r>
              </w:p>
            </w:tc>
          </w:sdtContent>
        </w:sdt>
        <w:sdt>
          <w:sdtPr>
            <w:rPr>
              <w:rFonts w:asciiTheme="minorEastAsia" w:hAnsiTheme="minorEastAsia" w:eastAsiaTheme="minorEastAsia"/>
            </w:rPr>
            <w:tag w:val="_PLD_5e35d588fd7f4cb3af49fcbd9e313ac2"/>
            <w:id w:val="181788943"/>
          </w:sdtPr>
          <w:sdtEndPr>
            <w:rPr>
              <w:rFonts w:asciiTheme="minorEastAsia" w:hAnsiTheme="minorEastAsia" w:eastAsiaTheme="minorEastAsia"/>
            </w:rPr>
          </w:sdtEndPr>
          <w:sdtContent>
            <w:tc>
              <w:tcPr>
                <w:tcW w:w="423" w:type="pct"/>
                <w:vAlign w:val="center"/>
              </w:tcPr>
              <w:p>
                <w:pPr>
                  <w:jc w:val="center"/>
                  <w:rPr>
                    <w:rFonts w:asciiTheme="minorEastAsia" w:hAnsiTheme="minorEastAsia" w:eastAsiaTheme="minorEastAsia"/>
                  </w:rPr>
                </w:pPr>
                <w:r>
                  <w:rPr>
                    <w:rFonts w:asciiTheme="minorEastAsia" w:hAnsiTheme="minorEastAsia" w:eastAsiaTheme="minorEastAsia"/>
                  </w:rPr>
                  <w:t>年初持股数</w:t>
                </w:r>
              </w:p>
            </w:tc>
          </w:sdtContent>
        </w:sdt>
        <w:sdt>
          <w:sdtPr>
            <w:rPr>
              <w:rFonts w:asciiTheme="minorEastAsia" w:hAnsiTheme="minorEastAsia" w:eastAsiaTheme="minorEastAsia"/>
            </w:rPr>
            <w:tag w:val="_PLD_af0cabd7e3f44b95b26464bc652333c2"/>
            <w:id w:val="1554808672"/>
          </w:sdtPr>
          <w:sdtEndPr>
            <w:rPr>
              <w:rFonts w:asciiTheme="minorEastAsia" w:hAnsiTheme="minorEastAsia" w:eastAsiaTheme="minorEastAsia"/>
            </w:rPr>
          </w:sdtEndPr>
          <w:sdtContent>
            <w:tc>
              <w:tcPr>
                <w:tcW w:w="419" w:type="pct"/>
                <w:vAlign w:val="center"/>
              </w:tcPr>
              <w:p>
                <w:pPr>
                  <w:jc w:val="center"/>
                  <w:rPr>
                    <w:rFonts w:asciiTheme="minorEastAsia" w:hAnsiTheme="minorEastAsia" w:eastAsiaTheme="minorEastAsia"/>
                  </w:rPr>
                </w:pPr>
                <w:r>
                  <w:rPr>
                    <w:rFonts w:asciiTheme="minorEastAsia" w:hAnsiTheme="minorEastAsia" w:eastAsiaTheme="minorEastAsia"/>
                  </w:rPr>
                  <w:t>年末持股数</w:t>
                </w:r>
              </w:p>
            </w:tc>
          </w:sdtContent>
        </w:sdt>
        <w:sdt>
          <w:sdtPr>
            <w:rPr>
              <w:rFonts w:asciiTheme="minorEastAsia" w:hAnsiTheme="minorEastAsia" w:eastAsiaTheme="minorEastAsia"/>
            </w:rPr>
            <w:tag w:val="_PLD_0b9453da77b34ba68718efe69463399a"/>
            <w:id w:val="-791830914"/>
          </w:sdtPr>
          <w:sdtEndPr>
            <w:rPr>
              <w:rFonts w:asciiTheme="minorEastAsia" w:hAnsiTheme="minorEastAsia" w:eastAsiaTheme="minorEastAsia"/>
            </w:rPr>
          </w:sdtEndPr>
          <w:sdtContent>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年度内股份增减变动量</w:t>
                </w:r>
              </w:p>
            </w:tc>
          </w:sdtContent>
        </w:sdt>
        <w:sdt>
          <w:sdtPr>
            <w:rPr>
              <w:rFonts w:asciiTheme="minorEastAsia" w:hAnsiTheme="minorEastAsia" w:eastAsiaTheme="minorEastAsia"/>
            </w:rPr>
            <w:tag w:val="_PLD_32c045d1529e42b7999b1f0c6b6e43a6"/>
            <w:id w:val="-1694913853"/>
          </w:sdtPr>
          <w:sdtEndPr>
            <w:rPr>
              <w:rFonts w:asciiTheme="minorEastAsia" w:hAnsiTheme="minorEastAsia" w:eastAsiaTheme="minorEastAsia"/>
            </w:rPr>
          </w:sdtEndPr>
          <w:sdtContent>
            <w:tc>
              <w:tcPr>
                <w:tcW w:w="534" w:type="pct"/>
                <w:vAlign w:val="center"/>
              </w:tcPr>
              <w:p>
                <w:pPr>
                  <w:jc w:val="center"/>
                  <w:rPr>
                    <w:rFonts w:asciiTheme="minorEastAsia" w:hAnsiTheme="minorEastAsia" w:eastAsiaTheme="minorEastAsia"/>
                  </w:rPr>
                </w:pPr>
                <w:r>
                  <w:rPr>
                    <w:rFonts w:asciiTheme="minorEastAsia" w:hAnsiTheme="minorEastAsia" w:eastAsiaTheme="minorEastAsia"/>
                  </w:rPr>
                  <w:t>增减变动原因</w:t>
                </w:r>
              </w:p>
            </w:tc>
          </w:sdtContent>
        </w:sdt>
        <w:sdt>
          <w:sdtPr>
            <w:rPr>
              <w:rFonts w:hint="eastAsia" w:asciiTheme="minorEastAsia" w:hAnsiTheme="minorEastAsia" w:eastAsiaTheme="minorEastAsia"/>
            </w:rPr>
            <w:tag w:val="_PLD_47ee572944fa4c8098ef9eeca67d2eb2"/>
            <w:id w:val="1175005411"/>
            <w:placeholder>
              <w:docPart w:val="199D8A1F681540A29E50925E47FF635A"/>
            </w:placeholder>
          </w:sdtPr>
          <w:sdtEndPr>
            <w:rPr>
              <w:rFonts w:hint="eastAsia" w:asciiTheme="minorEastAsia" w:hAnsiTheme="minorEastAsia" w:eastAsiaTheme="minorEastAsia"/>
            </w:rPr>
          </w:sdtEndPr>
          <w:sdtContent>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报告期内从公司获得的税前报酬总额（</w:t>
                </w:r>
                <w:sdt>
                  <w:sdtPr>
                    <w:rPr>
                      <w:rFonts w:hint="eastAsia" w:asciiTheme="minorEastAsia" w:hAnsiTheme="minorEastAsia" w:eastAsiaTheme="minorEastAsia"/>
                    </w:rPr>
                    <w:alias w:val="单位：报告期内从公司获得的税前报酬总额"/>
                    <w:tag w:val="_GBC_84bf98b6209e4e62813239bd0860e78d"/>
                    <w:id w:val="1321767877"/>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heme="minorEastAsia" w:hAnsiTheme="minorEastAsia" w:eastAsiaTheme="minorEastAsia"/>
                    </w:rPr>
                  </w:sdtEndPr>
                  <w:sdtContent>
                    <w:r>
                      <w:rPr>
                        <w:rFonts w:hint="eastAsia" w:asciiTheme="minorEastAsia" w:hAnsiTheme="minorEastAsia" w:eastAsiaTheme="minorEastAsia"/>
                      </w:rPr>
                      <w:t>万元</w:t>
                    </w:r>
                  </w:sdtContent>
                </w:sdt>
                <w:r>
                  <w:rPr>
                    <w:rFonts w:hint="eastAsia" w:asciiTheme="minorEastAsia" w:hAnsiTheme="minorEastAsia" w:eastAsiaTheme="minorEastAsia"/>
                  </w:rPr>
                  <w:t>）</w:t>
                </w:r>
              </w:p>
            </w:tc>
          </w:sdtContent>
        </w:sdt>
        <w:sdt>
          <w:sdtPr>
            <w:rPr>
              <w:rFonts w:hint="eastAsia" w:asciiTheme="minorEastAsia" w:hAnsiTheme="minorEastAsia" w:eastAsiaTheme="minorEastAsia"/>
            </w:rPr>
            <w:tag w:val="_PLD_efdfb631398b46bfa3656e39fd8c5fca"/>
            <w:id w:val="-479619649"/>
          </w:sdtPr>
          <w:sdtEndPr>
            <w:rPr>
              <w:rFonts w:hint="eastAsia" w:asciiTheme="minorEastAsia" w:hAnsiTheme="minorEastAsia" w:eastAsiaTheme="minorEastAsia"/>
            </w:rPr>
          </w:sdtEndPr>
          <w:sdtContent>
            <w:tc>
              <w:tcPr>
                <w:tcW w:w="349" w:type="pct"/>
                <w:vAlign w:val="center"/>
              </w:tcPr>
              <w:p>
                <w:pPr>
                  <w:jc w:val="center"/>
                  <w:rPr>
                    <w:rFonts w:asciiTheme="minorEastAsia" w:hAnsiTheme="minorEastAsia" w:eastAsiaTheme="minorEastAsia"/>
                  </w:rPr>
                </w:pPr>
                <w:r>
                  <w:rPr>
                    <w:rFonts w:hint="eastAsia" w:asciiTheme="minorEastAsia" w:hAnsiTheme="minorEastAsia" w:eastAsiaTheme="minorEastAsia"/>
                  </w:rPr>
                  <w:t>是否在公司关联方获取报酬</w:t>
                </w:r>
              </w:p>
            </w:tc>
          </w:sdtContent>
        </w:sdt>
      </w:tr>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393542117"/>
          <w:lock w:val="sdtLocked"/>
          <w:placeholder>
            <w:docPart w:val="AF00D5B7361840E2B118A138FB98214B"/>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李  伟</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董事、董事长</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7</w:t>
                </w:r>
              </w:p>
            </w:tc>
            <w:tc>
              <w:tcPr>
                <w:tcW w:w="460" w:type="pct"/>
                <w:vAlign w:val="center"/>
              </w:tcPr>
              <w:p>
                <w:pPr>
                  <w:jc w:val="center"/>
                  <w:rPr>
                    <w:rFonts w:asciiTheme="minorEastAsia" w:hAnsiTheme="minorEastAsia" w:eastAsiaTheme="minorEastAsia"/>
                  </w:rPr>
                </w:pPr>
                <w:r>
                  <w:rPr>
                    <w:rFonts w:asciiTheme="minorEastAsia" w:hAnsiTheme="minorEastAsia" w:eastAsiaTheme="minorEastAsia"/>
                  </w:rPr>
                  <w:t>2021-08-20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10,000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5</w:t>
                </w:r>
                <w:r>
                  <w:rPr>
                    <w:rFonts w:hint="eastAsia" w:asciiTheme="minorEastAsia" w:hAnsiTheme="minorEastAsia" w:eastAsiaTheme="minorEastAsia"/>
                  </w:rPr>
                  <w:t>,000</w:t>
                </w:r>
              </w:p>
            </w:tc>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,000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送红股</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sdt>
              <w:sdtPr>
                <w:rPr>
                  <w:rFonts w:asciiTheme="minorEastAsia" w:hAnsiTheme="minorEastAsia" w:eastAsiaTheme="minorEastAsia"/>
                </w:rPr>
                <w:alias w:val="董事、监事、高级管理人员是否在公司关联方获取报酬"/>
                <w:tag w:val="_GBC_ca79c4e139754ecd84ca3e60eb23b31d"/>
                <w:id w:val="680244860"/>
                <w:lock w:val="sdtLocked"/>
                <w:placeholder>
                  <w:docPart w:val="A48A9F31FFB440E6843D546D9A539B33"/>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是</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912841532"/>
          <w:lock w:val="sdtLocked"/>
          <w:placeholder>
            <w:docPart w:val="A2322E3BDC454CFCA9D05276D4877C2B"/>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肖耀猛</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205"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1</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2021-08-20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299,000</w:t>
                </w:r>
              </w:p>
            </w:tc>
            <w:tc>
              <w:tcPr>
                <w:tcW w:w="419"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525</w:t>
                </w:r>
                <w:r>
                  <w:rPr>
                    <w:rFonts w:hint="eastAsia" w:asciiTheme="minorEastAsia" w:hAnsiTheme="minorEastAsia" w:eastAsiaTheme="minorEastAsia"/>
                  </w:rPr>
                  <w:t>,000</w:t>
                </w:r>
              </w:p>
            </w:tc>
            <w:tc>
              <w:tcPr>
                <w:tcW w:w="484"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226</w:t>
                </w:r>
                <w:r>
                  <w:rPr>
                    <w:rFonts w:hint="eastAsia" w:asciiTheme="minorEastAsia" w:hAnsiTheme="minorEastAsia" w:eastAsiaTheme="minorEastAsia"/>
                  </w:rPr>
                  <w:t>,000</w:t>
                </w:r>
              </w:p>
            </w:tc>
            <w:tc>
              <w:tcPr>
                <w:tcW w:w="534"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股票期权行权及送红股</w:t>
                </w:r>
              </w:p>
            </w:tc>
            <w:tc>
              <w:tcPr>
                <w:tcW w:w="409"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115.14</w:t>
                </w:r>
              </w:p>
            </w:tc>
            <w:tc>
              <w:tcPr>
                <w:tcW w:w="349" w:type="pct"/>
                <w:vMerge w:val="restart"/>
                <w:vAlign w:val="center"/>
              </w:tcPr>
              <w:sdt>
                <w:sdtPr>
                  <w:rPr>
                    <w:rFonts w:asciiTheme="minorEastAsia" w:hAnsiTheme="minorEastAsia" w:eastAsiaTheme="minorEastAsia"/>
                  </w:rPr>
                  <w:alias w:val="董事、监事、高级管理人员是否在公司关联方获取报酬"/>
                  <w:tag w:val="_GBC_ca79c4e139754ecd84ca3e60eb23b31d"/>
                  <w:id w:val="567157241"/>
                  <w:lock w:val="sdtLocked"/>
                  <w:comboBox>
                    <w:listItem w:displayText="是" w:value="是"/>
                    <w:listItem w:displayText="否" w:value="否"/>
                  </w:comboBox>
                </w:sdtPr>
                <w:sdtEndPr>
                  <w:rPr>
                    <w:rFonts w:asciiTheme="minorEastAsia" w:hAnsiTheme="minorEastAsia" w:eastAsiaTheme="minorEastAsia"/>
                  </w:rPr>
                </w:sdtEndPr>
                <w:sdtContent>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sdtContent>
              </w:sdt>
            </w:tc>
          </w:tr>
        </w:sdtContent>
      </w:sdt>
      <w:sdt>
        <w:sdtPr>
          <w:rPr>
            <w:rFonts w:asciiTheme="minorEastAsia" w:hAnsiTheme="minorEastAsia" w:eastAsiaTheme="minorEastAsia"/>
          </w:rPr>
          <w:alias w:val="董事、监事、高级管理人员基本情况"/>
          <w:tag w:val="_TUP_7890760e7fef44f4bcc994fe788f22ef"/>
          <w:id w:val="1511248052"/>
          <w:lock w:val="sdtLocked"/>
          <w:placeholder>
            <w:docPart w:val="A2322E3BDC454CFCA9D05276D4877C2B"/>
          </w:placeholder>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continue"/>
                <w:vAlign w:val="center"/>
              </w:tcPr>
              <w:p>
                <w:pPr>
                  <w:jc w:val="center"/>
                  <w:rPr>
                    <w:rFonts w:asciiTheme="minorEastAsia" w:hAnsiTheme="minorEastAsia" w:eastAsiaTheme="minorEastAsia"/>
                  </w:rPr>
                </w:pP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总经理</w:t>
                </w:r>
              </w:p>
            </w:tc>
            <w:tc>
              <w:tcPr>
                <w:tcW w:w="205" w:type="pct"/>
                <w:vMerge w:val="continue"/>
                <w:vAlign w:val="center"/>
              </w:tcPr>
              <w:p>
                <w:pPr>
                  <w:jc w:val="center"/>
                  <w:rPr>
                    <w:rFonts w:asciiTheme="minorEastAsia" w:hAnsiTheme="minorEastAsia" w:eastAsiaTheme="minorEastAsia"/>
                  </w:rPr>
                </w:pPr>
              </w:p>
            </w:tc>
            <w:tc>
              <w:tcPr>
                <w:tcW w:w="256" w:type="pct"/>
                <w:vMerge w:val="continue"/>
                <w:vAlign w:val="center"/>
              </w:tcPr>
              <w:p>
                <w:pPr>
                  <w:jc w:val="center"/>
                  <w:rPr>
                    <w:rFonts w:asciiTheme="minorEastAsia" w:hAnsiTheme="minorEastAsia" w:eastAsiaTheme="minorEastAsia"/>
                  </w:rPr>
                </w:pP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2021-07-30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Merge w:val="continue"/>
                <w:vAlign w:val="center"/>
              </w:tcPr>
              <w:p>
                <w:pPr>
                  <w:jc w:val="center"/>
                  <w:rPr>
                    <w:rFonts w:asciiTheme="minorEastAsia" w:hAnsiTheme="minorEastAsia" w:eastAsiaTheme="minorEastAsia"/>
                  </w:rPr>
                </w:pPr>
              </w:p>
            </w:tc>
            <w:tc>
              <w:tcPr>
                <w:tcW w:w="419" w:type="pct"/>
                <w:vMerge w:val="continue"/>
                <w:vAlign w:val="center"/>
              </w:tcPr>
              <w:p>
                <w:pPr>
                  <w:jc w:val="center"/>
                  <w:rPr>
                    <w:rFonts w:asciiTheme="minorEastAsia" w:hAnsiTheme="minorEastAsia" w:eastAsiaTheme="minorEastAsia"/>
                  </w:rPr>
                </w:pPr>
              </w:p>
            </w:tc>
            <w:tc>
              <w:tcPr>
                <w:tcW w:w="484" w:type="pct"/>
                <w:vMerge w:val="continue"/>
                <w:vAlign w:val="center"/>
              </w:tcPr>
              <w:p>
                <w:pPr>
                  <w:jc w:val="center"/>
                  <w:rPr>
                    <w:rFonts w:asciiTheme="minorEastAsia" w:hAnsiTheme="minorEastAsia" w:eastAsiaTheme="minorEastAsia"/>
                  </w:rPr>
                </w:pPr>
              </w:p>
            </w:tc>
            <w:tc>
              <w:tcPr>
                <w:tcW w:w="534" w:type="pct"/>
                <w:vMerge w:val="continue"/>
                <w:vAlign w:val="center"/>
              </w:tcPr>
              <w:p>
                <w:pPr>
                  <w:jc w:val="center"/>
                  <w:rPr>
                    <w:rFonts w:asciiTheme="minorEastAsia" w:hAnsiTheme="minorEastAsia" w:eastAsiaTheme="minorEastAsia"/>
                  </w:rPr>
                </w:pPr>
              </w:p>
            </w:tc>
            <w:tc>
              <w:tcPr>
                <w:tcW w:w="409" w:type="pct"/>
                <w:vMerge w:val="continue"/>
                <w:vAlign w:val="center"/>
              </w:tcPr>
              <w:p>
                <w:pPr>
                  <w:jc w:val="center"/>
                  <w:rPr>
                    <w:rFonts w:asciiTheme="minorEastAsia" w:hAnsiTheme="minorEastAsia" w:eastAsiaTheme="minorEastAsia"/>
                  </w:rPr>
                </w:pPr>
              </w:p>
            </w:tc>
            <w:tc>
              <w:tcPr>
                <w:tcW w:w="349" w:type="pct"/>
                <w:vMerge w:val="continue"/>
                <w:vAlign w:val="center"/>
              </w:tcPr>
              <w:p>
                <w:pPr>
                  <w:jc w:val="center"/>
                  <w:rPr>
                    <w:rFonts w:asciiTheme="minorEastAsia" w:hAnsiTheme="minorEastAsia" w:eastAsiaTheme="minorEastAsia" w:cstheme="minorBidi"/>
                    <w14:ligatures w14:val="standardContextual"/>
                  </w:rPr>
                </w:pPr>
              </w:p>
            </w:tc>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782560705"/>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刘  健</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5</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2019-05-24</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85,800</w:t>
                </w:r>
              </w:p>
            </w:tc>
            <w:tc>
              <w:tcPr>
                <w:tcW w:w="419" w:type="pct"/>
                <w:vAlign w:val="center"/>
              </w:tcPr>
              <w:p>
                <w:pPr>
                  <w:jc w:val="center"/>
                  <w:rPr>
                    <w:rFonts w:asciiTheme="minorEastAsia" w:hAnsiTheme="minorEastAsia" w:eastAsiaTheme="minorEastAsia"/>
                  </w:rPr>
                </w:pPr>
                <w:r>
                  <w:rPr>
                    <w:rFonts w:asciiTheme="minorEastAsia" w:hAnsiTheme="minorEastAsia" w:eastAsiaTheme="minorEastAsia"/>
                  </w:rPr>
                  <w:t>128</w:t>
                </w:r>
                <w:r>
                  <w:rPr>
                    <w:rFonts w:hint="eastAsia" w:asciiTheme="minorEastAsia" w:hAnsiTheme="minorEastAsia" w:eastAsiaTheme="minorEastAsia"/>
                  </w:rPr>
                  <w:t>,</w:t>
                </w:r>
                <w:r>
                  <w:rPr>
                    <w:rFonts w:asciiTheme="minorEastAsia" w:hAnsiTheme="minorEastAsia" w:eastAsiaTheme="minorEastAsia"/>
                  </w:rPr>
                  <w:t>700</w:t>
                </w:r>
              </w:p>
            </w:tc>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42</w:t>
                </w:r>
                <w:r>
                  <w:rPr>
                    <w:rFonts w:hint="eastAsia" w:asciiTheme="minorEastAsia" w:hAnsiTheme="minorEastAsia" w:eastAsiaTheme="minorEastAsia"/>
                  </w:rPr>
                  <w:t>,</w:t>
                </w:r>
                <w:r>
                  <w:rPr>
                    <w:rFonts w:asciiTheme="minorEastAsia" w:hAnsiTheme="minorEastAsia" w:eastAsiaTheme="minorEastAsia"/>
                  </w:rPr>
                  <w:t>900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送红股</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sdt>
              <w:sdtPr>
                <w:rPr>
                  <w:rFonts w:asciiTheme="minorEastAsia" w:hAnsiTheme="minorEastAsia" w:eastAsiaTheme="minorEastAsia"/>
                </w:rPr>
                <w:alias w:val="董事、监事、高级管理人员是否在公司关联方获取报酬"/>
                <w:tag w:val="_GBC_ca79c4e139754ecd84ca3e60eb23b31d"/>
                <w:id w:val="-205874673"/>
                <w:lock w:val="sdtLocked"/>
                <w:placeholder>
                  <w:docPart w:val="2E1AF27F41D44D33B2F35D9C38E13AEE"/>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是</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923600731"/>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 xml:space="preserve">刘 </w:t>
                </w:r>
                <w:r>
                  <w:rPr>
                    <w:rFonts w:asciiTheme="minorEastAsia" w:hAnsiTheme="minorEastAsia" w:eastAsiaTheme="minorEastAsia"/>
                  </w:rPr>
                  <w:t xml:space="preserve"> </w:t>
                </w:r>
                <w:r>
                  <w:rPr>
                    <w:rFonts w:hint="eastAsia" w:asciiTheme="minorEastAsia" w:hAnsiTheme="minorEastAsia" w:eastAsiaTheme="minorEastAsia"/>
                  </w:rPr>
                  <w:t>强</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1</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asciiTheme="minorEastAsia" w:hAnsiTheme="minorEastAsia" w:eastAsiaTheme="minorEastAsia"/>
                  </w:rPr>
                  <w:t>160</w:t>
                </w:r>
                <w:r>
                  <w:rPr>
                    <w:rFonts w:hint="eastAsia" w:asciiTheme="minorEastAsia" w:hAnsiTheme="minorEastAsia" w:eastAsiaTheme="minorEastAsia"/>
                  </w:rPr>
                  <w:t>,</w:t>
                </w:r>
                <w:r>
                  <w:rPr>
                    <w:rFonts w:asciiTheme="minorEastAsia" w:hAnsiTheme="minorEastAsia" w:eastAsiaTheme="minorEastAsia"/>
                  </w:rPr>
                  <w:t>000</w:t>
                </w:r>
              </w:p>
            </w:tc>
            <w:tc>
              <w:tcPr>
                <w:tcW w:w="419" w:type="pct"/>
                <w:vAlign w:val="center"/>
              </w:tcPr>
              <w:p>
                <w:pPr>
                  <w:jc w:val="center"/>
                  <w:rPr>
                    <w:rFonts w:asciiTheme="minorEastAsia" w:hAnsiTheme="minorEastAsia" w:eastAsiaTheme="minorEastAsia"/>
                  </w:rPr>
                </w:pPr>
                <w:r>
                  <w:rPr>
                    <w:rFonts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-160</w:t>
                </w:r>
                <w:r>
                  <w:rPr>
                    <w:rFonts w:hint="eastAsia" w:asciiTheme="minorEastAsia" w:hAnsiTheme="minorEastAsia" w:eastAsiaTheme="minorEastAsia"/>
                  </w:rPr>
                  <w:t>,</w:t>
                </w:r>
                <w:r>
                  <w:rPr>
                    <w:rFonts w:asciiTheme="minorEastAsia" w:hAnsiTheme="minorEastAsia" w:eastAsiaTheme="minorEastAsia"/>
                  </w:rPr>
                  <w:t>000</w:t>
                </w:r>
                <w:r>
                  <w:rPr>
                    <w:rFonts w:asciiTheme="minorEastAsia" w:hAnsiTheme="minorEastAsia" w:eastAsiaTheme="minorEastAsia"/>
                    <w:vertAlign w:val="superscript"/>
                  </w:rPr>
                  <w:fldChar w:fldCharType="begin"/>
                </w:r>
                <w:r>
                  <w:rPr>
                    <w:rFonts w:asciiTheme="minorEastAsia" w:hAnsiTheme="minorEastAsia" w:eastAsiaTheme="minorEastAsia"/>
                    <w:vertAlign w:val="superscript"/>
                  </w:rPr>
                  <w:instrText xml:space="preserve"> </w:instrText>
                </w:r>
                <w:r>
                  <w:rPr>
                    <w:rFonts w:hint="eastAsia" w:asciiTheme="minorEastAsia" w:hAnsiTheme="minorEastAsia" w:eastAsiaTheme="minorEastAsia"/>
                    <w:vertAlign w:val="superscript"/>
                  </w:rPr>
                  <w:instrText xml:space="preserve">= 1 \* GB3</w:instrText>
                </w:r>
                <w:r>
                  <w:rPr>
                    <w:rFonts w:asciiTheme="minorEastAsia" w:hAnsiTheme="minorEastAsia" w:eastAsiaTheme="minorEastAsia"/>
                    <w:vertAlign w:val="superscript"/>
                  </w:rPr>
                  <w:instrText xml:space="preserve"> </w:instrText>
                </w:r>
                <w:r>
                  <w:rPr>
                    <w:rFonts w:asciiTheme="minorEastAsia" w:hAnsiTheme="minorEastAsia" w:eastAsiaTheme="minorEastAsia"/>
                    <w:vertAlign w:val="superscript"/>
                  </w:rPr>
                  <w:fldChar w:fldCharType="separate"/>
                </w:r>
                <w:r>
                  <w:rPr>
                    <w:rFonts w:hint="eastAsia" w:asciiTheme="minorEastAsia" w:hAnsiTheme="minorEastAsia" w:eastAsiaTheme="minorEastAsia"/>
                    <w:vertAlign w:val="superscript"/>
                  </w:rPr>
                  <w:t>①</w:t>
                </w:r>
                <w:r>
                  <w:rPr>
                    <w:rFonts w:asciiTheme="minorEastAsia" w:hAnsiTheme="minorEastAsia" w:eastAsiaTheme="minorEastAsia"/>
                    <w:vertAlign w:val="superscript"/>
                  </w:rPr>
                  <w:fldChar w:fldCharType="end"/>
                </w:r>
              </w:p>
            </w:tc>
            <w:tc>
              <w:tcPr>
                <w:tcW w:w="534" w:type="pct"/>
                <w:vAlign w:val="center"/>
              </w:tcPr>
              <w:p>
                <w:pPr>
                  <w:jc w:val="center"/>
                  <w:rPr>
                    <w:rFonts w:asciiTheme="minorEastAsia" w:hAnsiTheme="minorEastAsia" w:eastAsiaTheme="minorEastAsia"/>
                  </w:rPr>
                </w:pPr>
                <w:r>
                  <w:rPr>
                    <w:rFonts w:asciiTheme="minorEastAsia" w:hAnsiTheme="minorEastAsia" w:eastAsiaTheme="minorEastAsia"/>
                  </w:rPr>
                  <w:t>限制性股票回购注销</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sdt>
              <w:sdtPr>
                <w:rPr>
                  <w:rFonts w:asciiTheme="minorEastAsia" w:hAnsiTheme="minorEastAsia" w:eastAsiaTheme="minorEastAsia"/>
                </w:rPr>
                <w:alias w:val="董事、监事、高级管理人员是否在公司关联方获取报酬"/>
                <w:tag w:val="_GBC_ca79c4e139754ecd84ca3e60eb23b31d"/>
                <w:id w:val="-225917352"/>
                <w:lock w:val="sdtLocked"/>
                <w:placeholder>
                  <w:docPart w:val="2E1AF27F41D44D33B2F35D9C38E13AEE"/>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是</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704146021"/>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张海军</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0</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sdt>
              <w:sdtPr>
                <w:rPr>
                  <w:rFonts w:asciiTheme="minorEastAsia" w:hAnsiTheme="minorEastAsia" w:eastAsiaTheme="minorEastAsia"/>
                </w:rPr>
                <w:alias w:val="董事、监事、高级管理人员是否在公司关联方获取报酬"/>
                <w:tag w:val="_GBC_ca79c4e139754ecd84ca3e60eb23b31d"/>
                <w:id w:val="-9997648"/>
                <w:lock w:val="sdtLocked"/>
                <w:placeholder>
                  <w:docPart w:val="2E1AF27F41D44D33B2F35D9C38E13AEE"/>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是</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137994101"/>
          <w:lock w:val="sdtLocked"/>
          <w:placeholder>
            <w:docPart w:val="70888E37997C408DB77B8C24FD0C181E"/>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苏</w:t>
                </w:r>
                <w:r>
                  <w:rPr>
                    <w:rFonts w:asciiTheme="minorEastAsia" w:hAnsiTheme="minorEastAsia" w:eastAsiaTheme="minorEastAsia"/>
                  </w:rPr>
                  <w:t xml:space="preserve">  </w:t>
                </w:r>
                <w:r>
                  <w:rPr>
                    <w:rFonts w:hint="eastAsia" w:asciiTheme="minorEastAsia" w:hAnsiTheme="minorEastAsia" w:eastAsiaTheme="minorEastAsia"/>
                  </w:rPr>
                  <w:t>力</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职工董事</w:t>
                </w:r>
              </w:p>
            </w:tc>
            <w:tc>
              <w:tcPr>
                <w:tcW w:w="205"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1</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023-04-19</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95.82</w:t>
                </w:r>
              </w:p>
            </w:tc>
            <w:tc>
              <w:tcPr>
                <w:tcW w:w="349" w:type="pct"/>
                <w:vMerge w:val="restart"/>
                <w:vAlign w:val="center"/>
              </w:tcPr>
              <w:sdt>
                <w:sdtPr>
                  <w:rPr>
                    <w:rFonts w:asciiTheme="minorEastAsia" w:hAnsiTheme="minorEastAsia" w:eastAsiaTheme="minorEastAsia"/>
                  </w:rPr>
                  <w:alias w:val="董事、监事、高级管理人员是否在公司关联方获取报酬"/>
                  <w:tag w:val="_GBC_ca79c4e139754ecd84ca3e60eb23b31d"/>
                  <w:id w:val="-162004792"/>
                  <w:lock w:val="sdtLocked"/>
                  <w:comboBox>
                    <w:listItem w:displayText="是" w:value="是"/>
                    <w:listItem w:displayText="否" w:value="否"/>
                  </w:comboBox>
                </w:sdtPr>
                <w:sdtEndPr>
                  <w:rPr>
                    <w:rFonts w:asciiTheme="minorEastAsia" w:hAnsiTheme="minorEastAsia" w:eastAsiaTheme="minorEastAsia"/>
                  </w:rPr>
                </w:sdtEndPr>
                <w:sdtContent>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sdtContent>
              </w:sdt>
              <w:p>
                <w:pPr>
                  <w:jc w:val="center"/>
                  <w:rPr>
                    <w:rFonts w:asciiTheme="minorEastAsia" w:hAnsiTheme="minorEastAsia" w:eastAsiaTheme="minorEastAsia" w:cstheme="minorBidi"/>
                    <w14:ligatures w14:val="standardContextual"/>
                  </w:rPr>
                </w:pPr>
              </w:p>
            </w:tc>
          </w:tr>
        </w:sdtContent>
      </w:sdt>
      <w:sdt>
        <w:sdtPr>
          <w:rPr>
            <w:rFonts w:asciiTheme="minorEastAsia" w:hAnsiTheme="minorEastAsia" w:eastAsiaTheme="minorEastAsia"/>
          </w:rPr>
          <w:alias w:val="董事、监事、高级管理人员基本情况"/>
          <w:tag w:val="_TUP_7890760e7fef44f4bcc994fe788f22ef"/>
          <w:id w:val="268133326"/>
          <w:lock w:val="sdtLocked"/>
          <w:placeholder>
            <w:docPart w:val="70888E37997C408DB77B8C24FD0C181E"/>
          </w:placeholder>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continue"/>
                <w:vAlign w:val="center"/>
              </w:tcPr>
              <w:p>
                <w:pPr>
                  <w:jc w:val="center"/>
                  <w:rPr>
                    <w:rFonts w:asciiTheme="minorEastAsia" w:hAnsiTheme="minorEastAsia" w:eastAsiaTheme="minorEastAsia"/>
                  </w:rPr>
                </w:pP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职工监事</w:t>
                </w:r>
              </w:p>
              <w:p>
                <w:pPr>
                  <w:jc w:val="center"/>
                  <w:rPr>
                    <w:rFonts w:asciiTheme="minorEastAsia" w:hAnsiTheme="minorEastAsia" w:eastAsiaTheme="minorEastAsia"/>
                  </w:rPr>
                </w:pPr>
                <w:r>
                  <w:rPr>
                    <w:rFonts w:hint="eastAsia" w:asciiTheme="minorEastAsia" w:hAnsiTheme="minorEastAsia" w:eastAsiaTheme="minorEastAsia"/>
                  </w:rPr>
                  <w:t>（离任）</w:t>
                </w:r>
              </w:p>
            </w:tc>
            <w:tc>
              <w:tcPr>
                <w:tcW w:w="205" w:type="pct"/>
                <w:vMerge w:val="continue"/>
                <w:vAlign w:val="center"/>
              </w:tcPr>
              <w:p>
                <w:pPr>
                  <w:jc w:val="center"/>
                  <w:rPr>
                    <w:rFonts w:asciiTheme="minorEastAsia" w:hAnsiTheme="minorEastAsia" w:eastAsiaTheme="minorEastAsia"/>
                  </w:rPr>
                </w:pPr>
              </w:p>
            </w:tc>
            <w:tc>
              <w:tcPr>
                <w:tcW w:w="256" w:type="pct"/>
                <w:vMerge w:val="continue"/>
                <w:vAlign w:val="center"/>
              </w:tcPr>
              <w:p>
                <w:pPr>
                  <w:jc w:val="center"/>
                  <w:rPr>
                    <w:rFonts w:asciiTheme="minorEastAsia" w:hAnsiTheme="minorEastAsia" w:eastAsiaTheme="minorEastAsia"/>
                  </w:rPr>
                </w:pP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2020-06-17</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023-04-19</w:t>
                </w:r>
              </w:p>
            </w:tc>
            <w:tc>
              <w:tcPr>
                <w:tcW w:w="423" w:type="pct"/>
                <w:vMerge w:val="continue"/>
                <w:vAlign w:val="center"/>
              </w:tcPr>
              <w:p>
                <w:pPr>
                  <w:jc w:val="center"/>
                  <w:rPr>
                    <w:rFonts w:asciiTheme="minorEastAsia" w:hAnsiTheme="minorEastAsia" w:eastAsiaTheme="minorEastAsia"/>
                  </w:rPr>
                </w:pPr>
              </w:p>
            </w:tc>
            <w:tc>
              <w:tcPr>
                <w:tcW w:w="419" w:type="pct"/>
                <w:vMerge w:val="continue"/>
                <w:vAlign w:val="center"/>
              </w:tcPr>
              <w:p>
                <w:pPr>
                  <w:jc w:val="center"/>
                  <w:rPr>
                    <w:rFonts w:asciiTheme="minorEastAsia" w:hAnsiTheme="minorEastAsia" w:eastAsiaTheme="minorEastAsia"/>
                  </w:rPr>
                </w:pPr>
              </w:p>
            </w:tc>
            <w:tc>
              <w:tcPr>
                <w:tcW w:w="484" w:type="pct"/>
                <w:vMerge w:val="continue"/>
                <w:vAlign w:val="center"/>
              </w:tcPr>
              <w:p>
                <w:pPr>
                  <w:jc w:val="center"/>
                  <w:rPr>
                    <w:rFonts w:asciiTheme="minorEastAsia" w:hAnsiTheme="minorEastAsia" w:eastAsiaTheme="minorEastAsia"/>
                  </w:rPr>
                </w:pPr>
              </w:p>
            </w:tc>
            <w:tc>
              <w:tcPr>
                <w:tcW w:w="534" w:type="pct"/>
                <w:vMerge w:val="continue"/>
                <w:vAlign w:val="center"/>
              </w:tcPr>
              <w:p>
                <w:pPr>
                  <w:jc w:val="center"/>
                  <w:rPr>
                    <w:rFonts w:asciiTheme="minorEastAsia" w:hAnsiTheme="minorEastAsia" w:eastAsiaTheme="minorEastAsia"/>
                  </w:rPr>
                </w:pPr>
              </w:p>
            </w:tc>
            <w:tc>
              <w:tcPr>
                <w:tcW w:w="409" w:type="pct"/>
                <w:vMerge w:val="continue"/>
                <w:vAlign w:val="center"/>
              </w:tcPr>
              <w:p>
                <w:pPr>
                  <w:jc w:val="center"/>
                  <w:rPr>
                    <w:rFonts w:asciiTheme="minorEastAsia" w:hAnsiTheme="minorEastAsia" w:eastAsiaTheme="minorEastAsia"/>
                  </w:rPr>
                </w:pPr>
              </w:p>
            </w:tc>
            <w:tc>
              <w:tcPr>
                <w:tcW w:w="349" w:type="pct"/>
                <w:vMerge w:val="continue"/>
                <w:vAlign w:val="center"/>
              </w:tcPr>
              <w:p>
                <w:pPr>
                  <w:jc w:val="center"/>
                  <w:rPr>
                    <w:rFonts w:asciiTheme="minorEastAsia" w:hAnsiTheme="minorEastAsia" w:eastAsiaTheme="minorEastAsia" w:cstheme="minorBidi"/>
                    <w14:ligatures w14:val="standardContextual"/>
                  </w:rPr>
                </w:pPr>
              </w:p>
            </w:tc>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685718391"/>
          <w:lock w:val="sdtLocked"/>
          <w:placeholder>
            <w:docPart w:val="81086E202D034C39837ACB69C0914051"/>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黄霄龙</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205"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6</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2021-08-20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160,000</w:t>
                </w:r>
              </w:p>
            </w:tc>
            <w:tc>
              <w:tcPr>
                <w:tcW w:w="419"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240</w:t>
                </w:r>
                <w:r>
                  <w:rPr>
                    <w:rFonts w:hint="eastAsia" w:asciiTheme="minorEastAsia" w:hAnsiTheme="minorEastAsia" w:eastAsiaTheme="minorEastAsia"/>
                  </w:rPr>
                  <w:t>,</w:t>
                </w:r>
                <w:r>
                  <w:rPr>
                    <w:rFonts w:asciiTheme="minorEastAsia" w:hAnsiTheme="minorEastAsia" w:eastAsiaTheme="minorEastAsia"/>
                  </w:rPr>
                  <w:t>000</w:t>
                </w:r>
              </w:p>
            </w:tc>
            <w:tc>
              <w:tcPr>
                <w:tcW w:w="484"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0,</w:t>
                </w:r>
                <w:r>
                  <w:rPr>
                    <w:rFonts w:asciiTheme="minorEastAsia" w:hAnsiTheme="minorEastAsia" w:eastAsiaTheme="minorEastAsia"/>
                  </w:rPr>
                  <w:t>000</w:t>
                </w:r>
              </w:p>
            </w:tc>
            <w:tc>
              <w:tcPr>
                <w:tcW w:w="534"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送红股</w:t>
                </w:r>
              </w:p>
            </w:tc>
            <w:tc>
              <w:tcPr>
                <w:tcW w:w="409"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94.91</w:t>
                </w:r>
              </w:p>
            </w:tc>
            <w:tc>
              <w:tcPr>
                <w:tcW w:w="349" w:type="pct"/>
                <w:vMerge w:val="restart"/>
                <w:vAlign w:val="center"/>
              </w:tcPr>
              <w:sdt>
                <w:sdtPr>
                  <w:rPr>
                    <w:rFonts w:asciiTheme="minorEastAsia" w:hAnsiTheme="minorEastAsia" w:eastAsiaTheme="minorEastAsia"/>
                  </w:rPr>
                  <w:alias w:val="董事、监事、高级管理人员是否在公司关联方获取报酬"/>
                  <w:tag w:val="_GBC_ca79c4e139754ecd84ca3e60eb23b31d"/>
                  <w:id w:val="1541244363"/>
                  <w:lock w:val="sdtLocked"/>
                  <w:comboBox>
                    <w:listItem w:displayText="是" w:value="是"/>
                    <w:listItem w:displayText="否" w:value="否"/>
                  </w:comboBox>
                </w:sdtPr>
                <w:sdtEndPr>
                  <w:rPr>
                    <w:rFonts w:asciiTheme="minorEastAsia" w:hAnsiTheme="minorEastAsia" w:eastAsiaTheme="minorEastAsia"/>
                  </w:rPr>
                </w:sdtEndPr>
                <w:sdtContent>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sdtContent>
              </w:sdt>
            </w:tc>
          </w:tr>
        </w:sdtContent>
      </w:sdt>
      <w:sdt>
        <w:sdtPr>
          <w:rPr>
            <w:rFonts w:asciiTheme="minorEastAsia" w:hAnsiTheme="minorEastAsia" w:eastAsiaTheme="minorEastAsia"/>
          </w:rPr>
          <w:alias w:val="董事、监事、高级管理人员基本情况"/>
          <w:tag w:val="_TUP_7890760e7fef44f4bcc994fe788f22ef"/>
          <w:id w:val="-1994872248"/>
          <w:lock w:val="sdtLocked"/>
          <w:placeholder>
            <w:docPart w:val="81086E202D034C39837ACB69C0914051"/>
          </w:placeholder>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continue"/>
                <w:vAlign w:val="center"/>
              </w:tcPr>
              <w:p>
                <w:pPr>
                  <w:jc w:val="center"/>
                  <w:rPr>
                    <w:rFonts w:asciiTheme="minorEastAsia" w:hAnsiTheme="minorEastAsia" w:eastAsiaTheme="minorEastAsia"/>
                  </w:rPr>
                </w:pP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董事会秘书</w:t>
                </w:r>
              </w:p>
            </w:tc>
            <w:tc>
              <w:tcPr>
                <w:tcW w:w="205" w:type="pct"/>
                <w:vMerge w:val="continue"/>
                <w:vAlign w:val="center"/>
              </w:tcPr>
              <w:p>
                <w:pPr>
                  <w:jc w:val="center"/>
                  <w:rPr>
                    <w:rFonts w:asciiTheme="minorEastAsia" w:hAnsiTheme="minorEastAsia" w:eastAsiaTheme="minorEastAsia"/>
                  </w:rPr>
                </w:pPr>
              </w:p>
            </w:tc>
            <w:tc>
              <w:tcPr>
                <w:tcW w:w="256" w:type="pct"/>
                <w:vMerge w:val="continue"/>
                <w:vAlign w:val="center"/>
              </w:tcPr>
              <w:p>
                <w:pPr>
                  <w:jc w:val="center"/>
                  <w:rPr>
                    <w:rFonts w:asciiTheme="minorEastAsia" w:hAnsiTheme="minorEastAsia" w:eastAsiaTheme="minorEastAsia"/>
                  </w:rPr>
                </w:pP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2021-07-30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Merge w:val="continue"/>
                <w:vAlign w:val="center"/>
              </w:tcPr>
              <w:p>
                <w:pPr>
                  <w:jc w:val="center"/>
                  <w:rPr>
                    <w:rFonts w:asciiTheme="minorEastAsia" w:hAnsiTheme="minorEastAsia" w:eastAsiaTheme="minorEastAsia"/>
                  </w:rPr>
                </w:pPr>
              </w:p>
            </w:tc>
            <w:tc>
              <w:tcPr>
                <w:tcW w:w="419" w:type="pct"/>
                <w:vMerge w:val="continue"/>
                <w:vAlign w:val="center"/>
              </w:tcPr>
              <w:p>
                <w:pPr>
                  <w:jc w:val="center"/>
                  <w:rPr>
                    <w:rFonts w:asciiTheme="minorEastAsia" w:hAnsiTheme="minorEastAsia" w:eastAsiaTheme="minorEastAsia"/>
                  </w:rPr>
                </w:pPr>
              </w:p>
            </w:tc>
            <w:tc>
              <w:tcPr>
                <w:tcW w:w="484" w:type="pct"/>
                <w:vMerge w:val="continue"/>
                <w:vAlign w:val="center"/>
              </w:tcPr>
              <w:p>
                <w:pPr>
                  <w:jc w:val="center"/>
                  <w:rPr>
                    <w:rFonts w:asciiTheme="minorEastAsia" w:hAnsiTheme="minorEastAsia" w:eastAsiaTheme="minorEastAsia"/>
                  </w:rPr>
                </w:pPr>
              </w:p>
            </w:tc>
            <w:tc>
              <w:tcPr>
                <w:tcW w:w="534" w:type="pct"/>
                <w:vMerge w:val="continue"/>
                <w:vAlign w:val="center"/>
              </w:tcPr>
              <w:p>
                <w:pPr>
                  <w:jc w:val="center"/>
                  <w:rPr>
                    <w:rFonts w:asciiTheme="minorEastAsia" w:hAnsiTheme="minorEastAsia" w:eastAsiaTheme="minorEastAsia"/>
                  </w:rPr>
                </w:pPr>
              </w:p>
            </w:tc>
            <w:tc>
              <w:tcPr>
                <w:tcW w:w="409" w:type="pct"/>
                <w:vMerge w:val="continue"/>
                <w:vAlign w:val="center"/>
              </w:tcPr>
              <w:p>
                <w:pPr>
                  <w:jc w:val="center"/>
                  <w:rPr>
                    <w:rFonts w:asciiTheme="minorEastAsia" w:hAnsiTheme="minorEastAsia" w:eastAsiaTheme="minorEastAsia"/>
                  </w:rPr>
                </w:pPr>
              </w:p>
            </w:tc>
            <w:tc>
              <w:tcPr>
                <w:tcW w:w="349" w:type="pct"/>
                <w:vMerge w:val="continue"/>
                <w:vAlign w:val="center"/>
              </w:tcPr>
              <w:p>
                <w:pPr>
                  <w:jc w:val="center"/>
                  <w:rPr>
                    <w:rFonts w:asciiTheme="minorEastAsia" w:hAnsiTheme="minorEastAsia" w:eastAsiaTheme="minorEastAsia" w:cstheme="minorBidi"/>
                    <w14:ligatures w14:val="standardContextual"/>
                  </w:rPr>
                </w:pPr>
              </w:p>
            </w:tc>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421177374"/>
          <w:lock w:val="sdtLocked"/>
          <w:placeholder>
            <w:docPart w:val="7FB72124F2144CC6A8D56503AB87A927"/>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彭苏萍</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4</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7.50</w:t>
                </w:r>
              </w:p>
            </w:tc>
            <w:sdt>
              <w:sdtPr>
                <w:rPr>
                  <w:rFonts w:asciiTheme="minorEastAsia" w:hAnsiTheme="minorEastAsia" w:eastAsiaTheme="minorEastAsia"/>
                </w:rPr>
                <w:alias w:val="董事、监事、高级管理人员是否在公司关联方获取报酬"/>
                <w:tag w:val="_GBC_ca79c4e139754ecd84ca3e60eb23b31d"/>
                <w:id w:val="-599022185"/>
                <w:lock w:val="sdtLocked"/>
                <w:placeholder>
                  <w:docPart w:val="53D586851DB44F429FCDDFC9DBD2F972"/>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807972453"/>
          <w:lock w:val="sdtLocked"/>
          <w:placeholder>
            <w:docPart w:val="7FB72124F2144CC6A8D56503AB87A927"/>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朱利民</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7</w:t>
                </w:r>
                <w:r>
                  <w:rPr>
                    <w:rFonts w:asciiTheme="minorEastAsia" w:hAnsiTheme="minorEastAsia" w:eastAsiaTheme="minorEastAsia"/>
                  </w:rPr>
                  <w:t>2</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2020-06-19</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15</w:t>
                </w:r>
                <w:r>
                  <w:rPr>
                    <w:rFonts w:hint="eastAsia" w:asciiTheme="minorEastAsia" w:hAnsiTheme="minorEastAsia" w:eastAsiaTheme="minorEastAsia"/>
                  </w:rPr>
                  <w:t>.</w:t>
                </w:r>
                <w:r>
                  <w:rPr>
                    <w:rFonts w:asciiTheme="minorEastAsia" w:hAnsiTheme="minorEastAsia" w:eastAsiaTheme="minorEastAsia"/>
                  </w:rPr>
                  <w:t>00</w:t>
                </w:r>
              </w:p>
            </w:tc>
            <w:sdt>
              <w:sdtPr>
                <w:rPr>
                  <w:rFonts w:asciiTheme="minorEastAsia" w:hAnsiTheme="minorEastAsia" w:eastAsiaTheme="minorEastAsia"/>
                </w:rPr>
                <w:alias w:val="董事、监事、高级管理人员是否在公司关联方获取报酬"/>
                <w:tag w:val="_GBC_ca79c4e139754ecd84ca3e60eb23b31d"/>
                <w:id w:val="-1132323482"/>
                <w:lock w:val="sdtLocked"/>
                <w:placeholder>
                  <w:docPart w:val="53D586851DB44F429FCDDFC9DBD2F972"/>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724356852"/>
          <w:lock w:val="sdtLocked"/>
          <w:placeholder>
            <w:docPart w:val="7FB72124F2144CC6A8D56503AB87A927"/>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胡家栋</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4</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7.50</w:t>
                </w:r>
              </w:p>
            </w:tc>
            <w:sdt>
              <w:sdtPr>
                <w:rPr>
                  <w:rFonts w:asciiTheme="minorEastAsia" w:hAnsiTheme="minorEastAsia" w:eastAsiaTheme="minorEastAsia"/>
                </w:rPr>
                <w:alias w:val="董事、监事、高级管理人员是否在公司关联方获取报酬"/>
                <w:tag w:val="_GBC_ca79c4e139754ecd84ca3e60eb23b31d"/>
                <w:id w:val="-1194927703"/>
                <w:lock w:val="sdtLocked"/>
                <w:placeholder>
                  <w:docPart w:val="53D586851DB44F429FCDDFC9DBD2F972"/>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277716248"/>
          <w:lock w:val="sdtLocked"/>
          <w:placeholder>
            <w:docPart w:val="7FB72124F2144CC6A8D56503AB87A927"/>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朱</w:t>
                </w:r>
                <w:r>
                  <w:rPr>
                    <w:rFonts w:asciiTheme="minorEastAsia" w:hAnsiTheme="minorEastAsia" w:eastAsiaTheme="minorEastAsia"/>
                  </w:rPr>
                  <w:t xml:space="preserve">  </w:t>
                </w:r>
                <w:r>
                  <w:rPr>
                    <w:rFonts w:hint="eastAsia" w:asciiTheme="minorEastAsia" w:hAnsiTheme="minorEastAsia" w:eastAsiaTheme="minorEastAsia"/>
                  </w:rPr>
                  <w:t>睿</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女</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9</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7.50</w:t>
                </w:r>
              </w:p>
            </w:tc>
            <w:sdt>
              <w:sdtPr>
                <w:rPr>
                  <w:rFonts w:asciiTheme="minorEastAsia" w:hAnsiTheme="minorEastAsia" w:eastAsiaTheme="minorEastAsia"/>
                </w:rPr>
                <w:alias w:val="董事、监事、高级管理人员是否在公司关联方获取报酬"/>
                <w:tag w:val="_GBC_ca79c4e139754ecd84ca3e60eb23b31d"/>
                <w:id w:val="-1598082330"/>
                <w:lock w:val="sdtLocked"/>
                <w:placeholder>
                  <w:docPart w:val="53D586851DB44F429FCDDFC9DBD2F972"/>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459844978"/>
          <w:lock w:val="sdtLocked"/>
          <w:placeholder>
            <w:docPart w:val="7B943DD8E39D4B4892DB62B7ED653034"/>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李士鹏</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监事</w:t>
                </w:r>
              </w:p>
            </w:tc>
            <w:tc>
              <w:tcPr>
                <w:tcW w:w="205"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6</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2020-06-19</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Merge w:val="restart"/>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349" w:type="pct"/>
                <w:vMerge w:val="restart"/>
                <w:vAlign w:val="center"/>
              </w:tcPr>
              <w:sdt>
                <w:sdtPr>
                  <w:rPr>
                    <w:rFonts w:asciiTheme="minorEastAsia" w:hAnsiTheme="minorEastAsia" w:eastAsiaTheme="minorEastAsia"/>
                  </w:rPr>
                  <w:alias w:val="董事、监事、高级管理人员是否在公司关联方获取报酬"/>
                  <w:tag w:val="_GBC_ca79c4e139754ecd84ca3e60eb23b31d"/>
                  <w:id w:val="-1105808587"/>
                  <w:lock w:val="sdtLocked"/>
                  <w:comboBox>
                    <w:listItem w:displayText="是" w:value="是"/>
                    <w:listItem w:displayText="否" w:value="否"/>
                  </w:comboBox>
                </w:sdtPr>
                <w:sdtEndPr>
                  <w:rPr>
                    <w:rFonts w:asciiTheme="minorEastAsia" w:hAnsiTheme="minorEastAsia" w:eastAsiaTheme="minorEastAsia"/>
                  </w:rPr>
                </w:sdtEndPr>
                <w:sdtContent>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是</w:t>
                    </w:r>
                  </w:p>
                </w:sdtContent>
              </w:sdt>
            </w:tc>
          </w:tr>
        </w:sdtContent>
      </w:sdt>
      <w:sdt>
        <w:sdtPr>
          <w:rPr>
            <w:rFonts w:asciiTheme="minorEastAsia" w:hAnsiTheme="minorEastAsia" w:eastAsiaTheme="minorEastAsia" w:cstheme="minorBidi"/>
            <w14:ligatures w14:val="standardContextual"/>
          </w:rPr>
          <w:alias w:val="董事、监事、高级管理人员基本情况"/>
          <w:tag w:val="_TUP_7890760e7fef44f4bcc994fe788f22ef"/>
          <w:id w:val="-1548756080"/>
          <w:lock w:val="sdtLocked"/>
          <w:placeholder>
            <w:docPart w:val="14073CA7BC0D41E1B9C4B099AAD86488"/>
          </w:placeholder>
        </w:sdtPr>
        <w:sdtEndPr>
          <w:rPr>
            <w:rFonts w:ascii="Times New Roman" w:hAnsi="Times New Roman" w:cs="Times New Roman" w:eastAsiaTheme="minorEastAsia"/>
            <w14:ligatures w14:val="none"/>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continue"/>
                <w:vAlign w:val="center"/>
              </w:tcPr>
              <w:p>
                <w:pPr>
                  <w:jc w:val="center"/>
                  <w:rPr>
                    <w:rFonts w:asciiTheme="minorEastAsia" w:hAnsiTheme="minorEastAsia" w:eastAsiaTheme="minorEastAsia" w:cstheme="minorBidi"/>
                    <w14:ligatures w14:val="standardContextual"/>
                  </w:rPr>
                </w:pP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监事会主席</w:t>
                </w:r>
              </w:p>
            </w:tc>
            <w:tc>
              <w:tcPr>
                <w:tcW w:w="205" w:type="pct"/>
                <w:vMerge w:val="continue"/>
                <w:vAlign w:val="center"/>
              </w:tcPr>
              <w:p>
                <w:pPr>
                  <w:jc w:val="center"/>
                  <w:rPr>
                    <w:rFonts w:asciiTheme="minorEastAsia" w:hAnsiTheme="minorEastAsia" w:eastAsiaTheme="minorEastAsia"/>
                  </w:rPr>
                </w:pPr>
              </w:p>
            </w:tc>
            <w:tc>
              <w:tcPr>
                <w:tcW w:w="256" w:type="pct"/>
                <w:vMerge w:val="continue"/>
                <w:vAlign w:val="center"/>
              </w:tcPr>
              <w:p>
                <w:pPr>
                  <w:jc w:val="center"/>
                  <w:rPr>
                    <w:rFonts w:asciiTheme="minorEastAsia" w:hAnsiTheme="minorEastAsia" w:eastAsiaTheme="minorEastAsia"/>
                  </w:rPr>
                </w:pP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Merge w:val="continue"/>
                <w:vAlign w:val="center"/>
              </w:tcPr>
              <w:p>
                <w:pPr>
                  <w:jc w:val="center"/>
                  <w:rPr>
                    <w:rFonts w:asciiTheme="minorEastAsia" w:hAnsiTheme="minorEastAsia" w:eastAsiaTheme="minorEastAsia"/>
                  </w:rPr>
                </w:pPr>
              </w:p>
            </w:tc>
            <w:tc>
              <w:tcPr>
                <w:tcW w:w="419" w:type="pct"/>
                <w:vMerge w:val="continue"/>
                <w:vAlign w:val="center"/>
              </w:tcPr>
              <w:p>
                <w:pPr>
                  <w:jc w:val="center"/>
                  <w:rPr>
                    <w:rFonts w:asciiTheme="minorEastAsia" w:hAnsiTheme="minorEastAsia" w:eastAsiaTheme="minorEastAsia"/>
                  </w:rPr>
                </w:pPr>
              </w:p>
            </w:tc>
            <w:tc>
              <w:tcPr>
                <w:tcW w:w="484" w:type="pct"/>
                <w:vMerge w:val="continue"/>
                <w:vAlign w:val="center"/>
              </w:tcPr>
              <w:p>
                <w:pPr>
                  <w:jc w:val="center"/>
                  <w:rPr>
                    <w:rFonts w:asciiTheme="minorEastAsia" w:hAnsiTheme="minorEastAsia" w:eastAsiaTheme="minorEastAsia"/>
                  </w:rPr>
                </w:pPr>
              </w:p>
            </w:tc>
            <w:tc>
              <w:tcPr>
                <w:tcW w:w="534" w:type="pct"/>
                <w:vMerge w:val="continue"/>
                <w:vAlign w:val="center"/>
              </w:tcPr>
              <w:p>
                <w:pPr>
                  <w:jc w:val="center"/>
                  <w:rPr>
                    <w:rFonts w:asciiTheme="minorEastAsia" w:hAnsiTheme="minorEastAsia" w:eastAsiaTheme="minorEastAsia"/>
                  </w:rPr>
                </w:pPr>
              </w:p>
            </w:tc>
            <w:tc>
              <w:tcPr>
                <w:tcW w:w="409" w:type="pct"/>
                <w:vMerge w:val="continue"/>
                <w:vAlign w:val="center"/>
              </w:tcPr>
              <w:p>
                <w:pPr>
                  <w:jc w:val="center"/>
                  <w:rPr>
                    <w:rFonts w:asciiTheme="minorEastAsia" w:hAnsiTheme="minorEastAsia" w:eastAsiaTheme="minorEastAsia"/>
                  </w:rPr>
                </w:pPr>
              </w:p>
            </w:tc>
            <w:tc>
              <w:tcPr>
                <w:tcW w:w="349" w:type="pct"/>
                <w:vMerge w:val="continue"/>
                <w:vAlign w:val="center"/>
              </w:tcPr>
              <w:p>
                <w:pPr>
                  <w:jc w:val="center"/>
                  <w:rPr>
                    <w:rFonts w:asciiTheme="minorEastAsia" w:hAnsiTheme="minorEastAsia" w:eastAsiaTheme="minorEastAsia" w:cstheme="minorBidi"/>
                    <w14:ligatures w14:val="standardContextual"/>
                  </w:rPr>
                </w:pPr>
              </w:p>
            </w:tc>
          </w:tr>
        </w:sdtContent>
      </w:sdt>
      <w:sdt>
        <w:sdtPr>
          <w:rPr>
            <w:rFonts w:asciiTheme="minorEastAsia" w:hAnsiTheme="minorEastAsia" w:eastAsiaTheme="minorEastAsia"/>
          </w:rPr>
          <w:alias w:val="董事、监事、高级管理人员基本情况"/>
          <w:tag w:val="_TUP_7890760e7fef44f4bcc994fe788f22ef"/>
          <w:id w:val="-1933033217"/>
          <w:lock w:val="sdtLocked"/>
          <w:placeholder>
            <w:docPart w:val="8A42B123078C4C2B85C6A863314C493D"/>
          </w:placeholder>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continue"/>
                <w:vAlign w:val="center"/>
              </w:tcPr>
              <w:p>
                <w:pPr>
                  <w:jc w:val="center"/>
                  <w:rPr>
                    <w:rFonts w:asciiTheme="minorEastAsia" w:hAnsiTheme="minorEastAsia" w:eastAsiaTheme="minorEastAsia"/>
                  </w:rPr>
                </w:pP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监事会副主席（离任）</w:t>
                </w:r>
              </w:p>
            </w:tc>
            <w:tc>
              <w:tcPr>
                <w:tcW w:w="205" w:type="pct"/>
                <w:vMerge w:val="continue"/>
                <w:vAlign w:val="center"/>
              </w:tcPr>
              <w:p>
                <w:pPr>
                  <w:jc w:val="center"/>
                  <w:rPr>
                    <w:rFonts w:asciiTheme="minorEastAsia" w:hAnsiTheme="minorEastAsia" w:eastAsiaTheme="minorEastAsia"/>
                  </w:rPr>
                </w:pPr>
              </w:p>
            </w:tc>
            <w:tc>
              <w:tcPr>
                <w:tcW w:w="256" w:type="pct"/>
                <w:vMerge w:val="continue"/>
                <w:vAlign w:val="center"/>
              </w:tcPr>
              <w:p>
                <w:pPr>
                  <w:jc w:val="center"/>
                  <w:rPr>
                    <w:rFonts w:asciiTheme="minorEastAsia" w:hAnsiTheme="minorEastAsia" w:eastAsiaTheme="minorEastAsia"/>
                  </w:rPr>
                </w:pP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021-08-</w:t>
                </w:r>
                <w:r>
                  <w:rPr>
                    <w:rFonts w:hint="eastAsia" w:asciiTheme="minorEastAsia" w:hAnsiTheme="minorEastAsia" w:eastAsiaTheme="minorEastAsia"/>
                  </w:rPr>
                  <w:t>2</w:t>
                </w:r>
                <w:r>
                  <w:rPr>
                    <w:rFonts w:asciiTheme="minorEastAsia" w:hAnsiTheme="minorEastAsia" w:eastAsiaTheme="minorEastAsia"/>
                  </w:rPr>
                  <w:t>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w:t>
                </w:r>
                <w:r>
                  <w:rPr>
                    <w:rFonts w:hint="eastAsia" w:asciiTheme="minorEastAsia" w:hAnsiTheme="minorEastAsia" w:eastAsiaTheme="minorEastAsia"/>
                  </w:rPr>
                  <w:t>3</w:t>
                </w:r>
                <w:r>
                  <w:rPr>
                    <w:rFonts w:asciiTheme="minorEastAsia" w:hAnsiTheme="minorEastAsia" w:eastAsiaTheme="minorEastAsia"/>
                  </w:rPr>
                  <w:t>0</w:t>
                </w:r>
              </w:p>
            </w:tc>
            <w:tc>
              <w:tcPr>
                <w:tcW w:w="423" w:type="pct"/>
                <w:vMerge w:val="continue"/>
                <w:vAlign w:val="center"/>
              </w:tcPr>
              <w:p>
                <w:pPr>
                  <w:jc w:val="center"/>
                  <w:rPr>
                    <w:rFonts w:asciiTheme="minorEastAsia" w:hAnsiTheme="minorEastAsia" w:eastAsiaTheme="minorEastAsia"/>
                  </w:rPr>
                </w:pPr>
              </w:p>
            </w:tc>
            <w:tc>
              <w:tcPr>
                <w:tcW w:w="419" w:type="pct"/>
                <w:vMerge w:val="continue"/>
                <w:vAlign w:val="center"/>
              </w:tcPr>
              <w:p>
                <w:pPr>
                  <w:jc w:val="center"/>
                  <w:rPr>
                    <w:rFonts w:asciiTheme="minorEastAsia" w:hAnsiTheme="minorEastAsia" w:eastAsiaTheme="minorEastAsia"/>
                  </w:rPr>
                </w:pPr>
              </w:p>
            </w:tc>
            <w:tc>
              <w:tcPr>
                <w:tcW w:w="484" w:type="pct"/>
                <w:vMerge w:val="continue"/>
                <w:vAlign w:val="center"/>
              </w:tcPr>
              <w:p>
                <w:pPr>
                  <w:jc w:val="center"/>
                  <w:rPr>
                    <w:rFonts w:asciiTheme="minorEastAsia" w:hAnsiTheme="minorEastAsia" w:eastAsiaTheme="minorEastAsia"/>
                  </w:rPr>
                </w:pPr>
              </w:p>
            </w:tc>
            <w:tc>
              <w:tcPr>
                <w:tcW w:w="534" w:type="pct"/>
                <w:vMerge w:val="continue"/>
                <w:vAlign w:val="center"/>
              </w:tcPr>
              <w:p>
                <w:pPr>
                  <w:jc w:val="center"/>
                  <w:rPr>
                    <w:rFonts w:asciiTheme="minorEastAsia" w:hAnsiTheme="minorEastAsia" w:eastAsiaTheme="minorEastAsia"/>
                  </w:rPr>
                </w:pPr>
              </w:p>
            </w:tc>
            <w:tc>
              <w:tcPr>
                <w:tcW w:w="409" w:type="pct"/>
                <w:vMerge w:val="continue"/>
                <w:vAlign w:val="center"/>
              </w:tcPr>
              <w:p>
                <w:pPr>
                  <w:jc w:val="center"/>
                  <w:rPr>
                    <w:rFonts w:asciiTheme="minorEastAsia" w:hAnsiTheme="minorEastAsia" w:eastAsiaTheme="minorEastAsia"/>
                  </w:rPr>
                </w:pPr>
              </w:p>
            </w:tc>
            <w:tc>
              <w:tcPr>
                <w:tcW w:w="349" w:type="pct"/>
                <w:vMerge w:val="continue"/>
                <w:vAlign w:val="center"/>
              </w:tcPr>
              <w:p>
                <w:pPr>
                  <w:jc w:val="center"/>
                  <w:rPr>
                    <w:rFonts w:asciiTheme="minorEastAsia" w:hAnsiTheme="minorEastAsia" w:eastAsiaTheme="minorEastAsia" w:cstheme="minorBidi"/>
                    <w14:ligatures w14:val="standardContextual"/>
                  </w:rPr>
                </w:pPr>
              </w:p>
            </w:tc>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135474990"/>
          <w:lock w:val="sdtLocked"/>
          <w:placeholder>
            <w:docPart w:val="1CE536B17E1F49008C286F7DCB190A50"/>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 xml:space="preserve">朱 </w:t>
                </w:r>
                <w:r>
                  <w:rPr>
                    <w:rFonts w:asciiTheme="minorEastAsia" w:hAnsiTheme="minorEastAsia" w:eastAsiaTheme="minorEastAsia"/>
                  </w:rPr>
                  <w:t xml:space="preserve"> </w:t>
                </w:r>
                <w:r>
                  <w:rPr>
                    <w:rFonts w:hint="eastAsia" w:asciiTheme="minorEastAsia" w:hAnsiTheme="minorEastAsia" w:eastAsiaTheme="minorEastAsia"/>
                  </w:rPr>
                  <w:t>昊</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监事</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2</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2021-08-20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sdt>
              <w:sdtPr>
                <w:rPr>
                  <w:rFonts w:asciiTheme="minorEastAsia" w:hAnsiTheme="minorEastAsia" w:eastAsiaTheme="minorEastAsia"/>
                </w:rPr>
                <w:alias w:val="董事、监事、高级管理人员是否在公司关联方获取报酬"/>
                <w:tag w:val="_GBC_ca79c4e139754ecd84ca3e60eb23b31d"/>
                <w:id w:val="-787047673"/>
                <w:lock w:val="sdtLocked"/>
                <w:placeholder>
                  <w:docPart w:val="DBE535E22BAB49FE8ED44002E25C1FB6"/>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是</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847240728"/>
          <w:lock w:val="sdtLocked"/>
          <w:placeholder>
            <w:docPart w:val="1CE536B17E1F49008C286F7DCB190A50"/>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靳家皓</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职工监事</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2</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023-04-19</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59.26</w:t>
                </w:r>
              </w:p>
            </w:tc>
            <w:sdt>
              <w:sdtPr>
                <w:rPr>
                  <w:rFonts w:asciiTheme="minorEastAsia" w:hAnsiTheme="minorEastAsia" w:eastAsiaTheme="minorEastAsia"/>
                </w:rPr>
                <w:alias w:val="董事、监事、高级管理人员是否在公司关联方获取报酬"/>
                <w:tag w:val="_GBC_ca79c4e139754ecd84ca3e60eb23b31d"/>
                <w:id w:val="-66186685"/>
                <w:lock w:val="sdtLocked"/>
                <w:placeholder>
                  <w:docPart w:val="DBE535E22BAB49FE8ED44002E25C1FB6"/>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403144036"/>
          <w:lock w:val="sdtLocked"/>
          <w:placeholder>
            <w:docPart w:val="1CE536B17E1F49008C286F7DCB190A50"/>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李洪国</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副总经理</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4</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2023-03-24</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58.45</w:t>
                </w:r>
              </w:p>
            </w:tc>
            <w:sdt>
              <w:sdtPr>
                <w:rPr>
                  <w:rFonts w:asciiTheme="minorEastAsia" w:hAnsiTheme="minorEastAsia" w:eastAsiaTheme="minorEastAsia"/>
                </w:rPr>
                <w:alias w:val="董事、监事、高级管理人员是否在公司关联方获取报酬"/>
                <w:tag w:val="_GBC_ca79c4e139754ecd84ca3e60eb23b31d"/>
                <w:id w:val="-17004610"/>
                <w:lock w:val="sdtLocked"/>
                <w:placeholder>
                  <w:docPart w:val="DBE535E22BAB49FE8ED44002E25C1FB6"/>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854688370"/>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张传昌</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副总经理</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5</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2020-04-22</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160,000</w:t>
                </w:r>
              </w:p>
            </w:tc>
            <w:tc>
              <w:tcPr>
                <w:tcW w:w="419" w:type="pct"/>
                <w:vAlign w:val="center"/>
              </w:tcPr>
              <w:p>
                <w:pPr>
                  <w:jc w:val="center"/>
                  <w:rPr>
                    <w:rFonts w:asciiTheme="minorEastAsia" w:hAnsiTheme="minorEastAsia" w:eastAsiaTheme="minorEastAsia"/>
                  </w:rPr>
                </w:pPr>
                <w:r>
                  <w:rPr>
                    <w:rFonts w:asciiTheme="minorEastAsia" w:hAnsiTheme="minorEastAsia" w:eastAsiaTheme="minorEastAsia"/>
                  </w:rPr>
                  <w:t>240</w:t>
                </w:r>
                <w:r>
                  <w:rPr>
                    <w:rFonts w:hint="eastAsia" w:asciiTheme="minorEastAsia" w:hAnsiTheme="minorEastAsia" w:eastAsiaTheme="minorEastAsia"/>
                  </w:rPr>
                  <w:t>,000</w:t>
                </w:r>
              </w:p>
            </w:tc>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80</w:t>
                </w:r>
                <w:r>
                  <w:rPr>
                    <w:rFonts w:hint="eastAsia" w:asciiTheme="minorEastAsia" w:hAnsiTheme="minorEastAsia" w:eastAsiaTheme="minorEastAsia"/>
                  </w:rPr>
                  <w:t>,</w:t>
                </w:r>
                <w:r>
                  <w:rPr>
                    <w:rFonts w:asciiTheme="minorEastAsia" w:hAnsiTheme="minorEastAsia" w:eastAsiaTheme="minorEastAsia"/>
                  </w:rPr>
                  <w:t>000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送红股</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94.84</w:t>
                </w:r>
              </w:p>
            </w:tc>
            <w:sdt>
              <w:sdtPr>
                <w:rPr>
                  <w:rFonts w:asciiTheme="minorEastAsia" w:hAnsiTheme="minorEastAsia" w:eastAsiaTheme="minorEastAsia"/>
                </w:rPr>
                <w:alias w:val="董事、监事、高级管理人员是否在公司关联方获取报酬"/>
                <w:tag w:val="_GBC_ca79c4e139754ecd84ca3e60eb23b31d"/>
                <w:id w:val="141787220"/>
                <w:lock w:val="sdtLocked"/>
                <w:placeholder>
                  <w:docPart w:val="6A526675F6F24EA4AA727F86C9C46CD8"/>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502549828"/>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马俊鹏</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总工程师</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0</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2022-03-30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131,600</w:t>
                </w:r>
              </w:p>
            </w:tc>
            <w:tc>
              <w:tcPr>
                <w:tcW w:w="419" w:type="pct"/>
                <w:vAlign w:val="center"/>
              </w:tcPr>
              <w:p>
                <w:pPr>
                  <w:jc w:val="center"/>
                  <w:rPr>
                    <w:rFonts w:asciiTheme="minorEastAsia" w:hAnsiTheme="minorEastAsia" w:eastAsiaTheme="minorEastAsia"/>
                  </w:rPr>
                </w:pPr>
                <w:r>
                  <w:rPr>
                    <w:rFonts w:asciiTheme="minorEastAsia" w:hAnsiTheme="minorEastAsia" w:eastAsiaTheme="minorEastAsia"/>
                  </w:rPr>
                  <w:t>273</w:t>
                </w:r>
                <w:r>
                  <w:rPr>
                    <w:rFonts w:hint="eastAsia" w:asciiTheme="minorEastAsia" w:hAnsiTheme="minorEastAsia" w:eastAsiaTheme="minorEastAsia"/>
                  </w:rPr>
                  <w:t>,</w:t>
                </w:r>
                <w:r>
                  <w:rPr>
                    <w:rFonts w:asciiTheme="minorEastAsia" w:hAnsiTheme="minorEastAsia" w:eastAsiaTheme="minorEastAsia"/>
                  </w:rPr>
                  <w:t>900</w:t>
                </w:r>
              </w:p>
            </w:tc>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142</w:t>
                </w:r>
                <w:r>
                  <w:rPr>
                    <w:rFonts w:hint="eastAsia" w:asciiTheme="minorEastAsia" w:hAnsiTheme="minorEastAsia" w:eastAsiaTheme="minorEastAsia"/>
                  </w:rPr>
                  <w:t>,</w:t>
                </w:r>
                <w:r>
                  <w:rPr>
                    <w:rFonts w:asciiTheme="minorEastAsia" w:hAnsiTheme="minorEastAsia" w:eastAsiaTheme="minorEastAsia"/>
                  </w:rPr>
                  <w:t>300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股票期权行权及送红股</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95.49</w:t>
                </w:r>
              </w:p>
            </w:tc>
            <w:sdt>
              <w:sdtPr>
                <w:rPr>
                  <w:rFonts w:asciiTheme="minorEastAsia" w:hAnsiTheme="minorEastAsia" w:eastAsiaTheme="minorEastAsia"/>
                </w:rPr>
                <w:alias w:val="董事、监事、高级管理人员是否在公司关联方获取报酬"/>
                <w:tag w:val="_GBC_ca79c4e139754ecd84ca3e60eb23b31d"/>
                <w:id w:val="261040925"/>
                <w:lock w:val="sdtLocked"/>
                <w:placeholder>
                  <w:docPart w:val="6A526675F6F24EA4AA727F86C9C46CD8"/>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835568727"/>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康</w:t>
                </w:r>
                <w:r>
                  <w:rPr>
                    <w:rFonts w:asciiTheme="minorEastAsia" w:hAnsiTheme="minorEastAsia" w:eastAsiaTheme="minorEastAsia"/>
                  </w:rPr>
                  <w:t xml:space="preserve">  </w:t>
                </w:r>
                <w:r>
                  <w:rPr>
                    <w:rFonts w:hint="eastAsia" w:asciiTheme="minorEastAsia" w:hAnsiTheme="minorEastAsia" w:eastAsiaTheme="minorEastAsia"/>
                  </w:rPr>
                  <w:t>丹</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安全总监</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4</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2022-04-29</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80,000</w:t>
                </w:r>
              </w:p>
            </w:tc>
            <w:tc>
              <w:tcPr>
                <w:tcW w:w="419" w:type="pct"/>
                <w:vAlign w:val="center"/>
              </w:tcPr>
              <w:p>
                <w:pPr>
                  <w:jc w:val="center"/>
                  <w:rPr>
                    <w:rFonts w:asciiTheme="minorEastAsia" w:hAnsiTheme="minorEastAsia" w:eastAsiaTheme="minorEastAsia"/>
                  </w:rPr>
                </w:pPr>
                <w:r>
                  <w:rPr>
                    <w:rFonts w:asciiTheme="minorEastAsia" w:hAnsiTheme="minorEastAsia" w:eastAsiaTheme="minorEastAsia"/>
                  </w:rPr>
                  <w:t>181</w:t>
                </w:r>
                <w:r>
                  <w:rPr>
                    <w:rFonts w:hint="eastAsia" w:asciiTheme="minorEastAsia" w:hAnsiTheme="minorEastAsia" w:eastAsiaTheme="minorEastAsia"/>
                  </w:rPr>
                  <w:t>,</w:t>
                </w:r>
                <w:r>
                  <w:rPr>
                    <w:rFonts w:asciiTheme="minorEastAsia" w:hAnsiTheme="minorEastAsia" w:eastAsiaTheme="minorEastAsia"/>
                  </w:rPr>
                  <w:t>200</w:t>
                </w:r>
              </w:p>
            </w:tc>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101</w:t>
                </w:r>
                <w:r>
                  <w:rPr>
                    <w:rFonts w:hint="eastAsia" w:asciiTheme="minorEastAsia" w:hAnsiTheme="minorEastAsia" w:eastAsiaTheme="minorEastAsia"/>
                  </w:rPr>
                  <w:t>,</w:t>
                </w:r>
                <w:r>
                  <w:rPr>
                    <w:rFonts w:asciiTheme="minorEastAsia" w:hAnsiTheme="minorEastAsia" w:eastAsiaTheme="minorEastAsia"/>
                  </w:rPr>
                  <w:t>200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股票期权行权及送红股</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94.31</w:t>
                </w:r>
              </w:p>
            </w:tc>
            <w:sdt>
              <w:sdtPr>
                <w:rPr>
                  <w:rFonts w:asciiTheme="minorEastAsia" w:hAnsiTheme="minorEastAsia" w:eastAsiaTheme="minorEastAsia"/>
                </w:rPr>
                <w:alias w:val="董事、监事、高级管理人员是否在公司关联方获取报酬"/>
                <w:tag w:val="_GBC_ca79c4e139754ecd84ca3e60eb23b31d"/>
                <w:id w:val="-866454946"/>
                <w:lock w:val="sdtLocked"/>
                <w:placeholder>
                  <w:docPart w:val="6A526675F6F24EA4AA727F86C9C46CD8"/>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965801396"/>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王九红</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副总经理</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7</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2022-10-28</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80,000</w:t>
                </w:r>
              </w:p>
            </w:tc>
            <w:tc>
              <w:tcPr>
                <w:tcW w:w="419" w:type="pct"/>
                <w:vAlign w:val="center"/>
              </w:tcPr>
              <w:p>
                <w:pPr>
                  <w:jc w:val="center"/>
                  <w:rPr>
                    <w:rFonts w:asciiTheme="minorEastAsia" w:hAnsiTheme="minorEastAsia" w:eastAsiaTheme="minorEastAsia"/>
                  </w:rPr>
                </w:pPr>
                <w:r>
                  <w:rPr>
                    <w:rFonts w:asciiTheme="minorEastAsia" w:hAnsiTheme="minorEastAsia" w:eastAsiaTheme="minorEastAsia"/>
                  </w:rPr>
                  <w:t>181</w:t>
                </w:r>
                <w:r>
                  <w:rPr>
                    <w:rFonts w:hint="eastAsia" w:asciiTheme="minorEastAsia" w:hAnsiTheme="minorEastAsia" w:eastAsiaTheme="minorEastAsia"/>
                  </w:rPr>
                  <w:t>,</w:t>
                </w:r>
                <w:r>
                  <w:rPr>
                    <w:rFonts w:asciiTheme="minorEastAsia" w:hAnsiTheme="minorEastAsia" w:eastAsiaTheme="minorEastAsia"/>
                  </w:rPr>
                  <w:t>200</w:t>
                </w:r>
              </w:p>
            </w:tc>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101</w:t>
                </w:r>
                <w:r>
                  <w:rPr>
                    <w:rFonts w:hint="eastAsia" w:asciiTheme="minorEastAsia" w:hAnsiTheme="minorEastAsia" w:eastAsiaTheme="minorEastAsia"/>
                  </w:rPr>
                  <w:t>,</w:t>
                </w:r>
                <w:r>
                  <w:rPr>
                    <w:rFonts w:asciiTheme="minorEastAsia" w:hAnsiTheme="minorEastAsia" w:eastAsiaTheme="minorEastAsia"/>
                  </w:rPr>
                  <w:t>200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股票期权行权及送红股</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87.39</w:t>
                </w:r>
              </w:p>
            </w:tc>
            <w:sdt>
              <w:sdtPr>
                <w:rPr>
                  <w:rFonts w:asciiTheme="minorEastAsia" w:hAnsiTheme="minorEastAsia" w:eastAsiaTheme="minorEastAsia"/>
                </w:rPr>
                <w:alias w:val="董事、监事、高级管理人员是否在公司关联方获取报酬"/>
                <w:tag w:val="_GBC_ca79c4e139754ecd84ca3e60eb23b31d"/>
                <w:id w:val="-190075446"/>
                <w:lock w:val="sdtLocked"/>
                <w:placeholder>
                  <w:docPart w:val="6A526675F6F24EA4AA727F86C9C46CD8"/>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763683597"/>
          <w:lock w:val="sdtLocked"/>
          <w:placeholder>
            <w:docPart w:val="31D465E1482548A39C461B0022E74200"/>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 xml:space="preserve">岳 </w:t>
                </w:r>
                <w:r>
                  <w:rPr>
                    <w:rFonts w:asciiTheme="minorEastAsia" w:hAnsiTheme="minorEastAsia" w:eastAsiaTheme="minorEastAsia"/>
                  </w:rPr>
                  <w:t xml:space="preserve"> </w:t>
                </w:r>
                <w:r>
                  <w:rPr>
                    <w:rFonts w:hint="eastAsia" w:asciiTheme="minorEastAsia" w:hAnsiTheme="minorEastAsia" w:eastAsiaTheme="minorEastAsia"/>
                  </w:rPr>
                  <w:t>宁</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副总经理</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5</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023-10-27</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asciiTheme="minorEastAsia" w:hAnsiTheme="minorEastAsia" w:eastAsiaTheme="minorEastAsia"/>
                  </w:rPr>
                  <w:t>80,000</w:t>
                </w:r>
              </w:p>
            </w:tc>
            <w:tc>
              <w:tcPr>
                <w:tcW w:w="419" w:type="pct"/>
                <w:vAlign w:val="center"/>
              </w:tcPr>
              <w:p>
                <w:pPr>
                  <w:jc w:val="center"/>
                  <w:rPr>
                    <w:rFonts w:asciiTheme="minorEastAsia" w:hAnsiTheme="minorEastAsia" w:eastAsiaTheme="minorEastAsia"/>
                  </w:rPr>
                </w:pPr>
                <w:r>
                  <w:rPr>
                    <w:rFonts w:asciiTheme="minorEastAsia" w:hAnsiTheme="minorEastAsia" w:eastAsiaTheme="minorEastAsia"/>
                  </w:rPr>
                  <w:t>120,000</w:t>
                </w:r>
              </w:p>
            </w:tc>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40,000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送红股</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225</w:t>
                </w:r>
                <w:r>
                  <w:rPr>
                    <w:rFonts w:hint="eastAsia" w:asciiTheme="minorEastAsia" w:hAnsiTheme="minorEastAsia" w:eastAsiaTheme="minorEastAsia"/>
                  </w:rPr>
                  <w:t>.</w:t>
                </w:r>
                <w:r>
                  <w:rPr>
                    <w:rFonts w:asciiTheme="minorEastAsia" w:hAnsiTheme="minorEastAsia" w:eastAsiaTheme="minorEastAsia"/>
                  </w:rPr>
                  <w:t>29</w:t>
                </w:r>
              </w:p>
            </w:tc>
            <w:sdt>
              <w:sdtPr>
                <w:rPr>
                  <w:rFonts w:asciiTheme="minorEastAsia" w:hAnsiTheme="minorEastAsia" w:eastAsiaTheme="minorEastAsia"/>
                </w:rPr>
                <w:alias w:val="董事、监事、高级管理人员是否在公司关联方获取报酬"/>
                <w:tag w:val="_GBC_ca79c4e139754ecd84ca3e60eb23b31d"/>
                <w:id w:val="-258762504"/>
                <w:lock w:val="sdtLocked"/>
                <w:placeholder>
                  <w:docPart w:val="268272D3732E473191511F58DD95A84E"/>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925944304"/>
          <w:lock w:val="sdtLocked"/>
          <w:placeholder>
            <w:docPart w:val="31D465E1482548A39C461B0022E74200"/>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赵治国</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财务总监</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5</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023-10-27</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Align w:val="center"/>
              </w:tcPr>
              <w:p>
                <w:pPr>
                  <w:jc w:val="center"/>
                  <w:rPr>
                    <w:rFonts w:asciiTheme="minorEastAsia" w:hAnsiTheme="minorEastAsia" w:eastAsiaTheme="minorEastAsia"/>
                  </w:rPr>
                </w:pPr>
                <w:r>
                  <w:rPr>
                    <w:rFonts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87.57</w:t>
                </w:r>
              </w:p>
            </w:tc>
            <w:sdt>
              <w:sdtPr>
                <w:rPr>
                  <w:rFonts w:asciiTheme="minorEastAsia" w:hAnsiTheme="minorEastAsia" w:eastAsiaTheme="minorEastAsia"/>
                </w:rPr>
                <w:alias w:val="董事、监事、高级管理人员是否在公司关联方获取报酬"/>
                <w:tag w:val="_GBC_ca79c4e139754ecd84ca3e60eb23b31d"/>
                <w:id w:val="-497575436"/>
                <w:lock w:val="sdtLocked"/>
                <w:placeholder>
                  <w:docPart w:val="268272D3732E473191511F58DD95A84E"/>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2028133304"/>
          <w:lock w:val="sdtLocked"/>
          <w:placeholder>
            <w:docPart w:val="31D465E1482548A39C461B0022E74200"/>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高春雷</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总工程师</w:t>
                </w:r>
              </w:p>
              <w:p>
                <w:pPr>
                  <w:jc w:val="center"/>
                  <w:rPr>
                    <w:rFonts w:asciiTheme="minorEastAsia" w:hAnsiTheme="minorEastAsia" w:eastAsiaTheme="minorEastAsia"/>
                  </w:rPr>
                </w:pPr>
                <w:r>
                  <w:rPr>
                    <w:rFonts w:hint="eastAsia" w:asciiTheme="minorEastAsia" w:hAnsiTheme="minorEastAsia" w:eastAsiaTheme="minorEastAsia"/>
                  </w:rPr>
                  <w:t>（化工）</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2</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024-03-28</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asciiTheme="minorEastAsia" w:hAnsiTheme="minorEastAsia" w:eastAsiaTheme="minorEastAsia"/>
                  </w:rPr>
                  <w:t>80,000</w:t>
                </w:r>
              </w:p>
            </w:tc>
            <w:tc>
              <w:tcPr>
                <w:tcW w:w="419" w:type="pct"/>
                <w:vAlign w:val="center"/>
              </w:tcPr>
              <w:p>
                <w:pPr>
                  <w:jc w:val="center"/>
                  <w:rPr>
                    <w:rFonts w:asciiTheme="minorEastAsia" w:hAnsiTheme="minorEastAsia" w:eastAsiaTheme="minorEastAsia"/>
                  </w:rPr>
                </w:pPr>
                <w:r>
                  <w:rPr>
                    <w:rFonts w:asciiTheme="minorEastAsia" w:hAnsiTheme="minorEastAsia" w:eastAsiaTheme="minorEastAsia"/>
                  </w:rPr>
                  <w:t>120,000</w:t>
                </w:r>
              </w:p>
            </w:tc>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40,000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股票期权行权、减持及送红股</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85.91</w:t>
                </w:r>
              </w:p>
            </w:tc>
            <w:sdt>
              <w:sdtPr>
                <w:rPr>
                  <w:rFonts w:asciiTheme="minorEastAsia" w:hAnsiTheme="minorEastAsia" w:eastAsiaTheme="minorEastAsia"/>
                </w:rPr>
                <w:alias w:val="董事、监事、高级管理人员是否在公司关联方获取报酬"/>
                <w:tag w:val="_GBC_ca79c4e139754ecd84ca3e60eb23b31d"/>
                <w:id w:val="241530650"/>
                <w:lock w:val="sdtLocked"/>
                <w:placeholder>
                  <w:docPart w:val="268272D3732E473191511F58DD95A84E"/>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594205241"/>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张</w:t>
                </w:r>
                <w:r>
                  <w:rPr>
                    <w:rFonts w:asciiTheme="minorEastAsia" w:hAnsiTheme="minorEastAsia" w:eastAsiaTheme="minorEastAsia"/>
                  </w:rPr>
                  <w:t xml:space="preserve">  </w:t>
                </w:r>
                <w:r>
                  <w:rPr>
                    <w:rFonts w:hint="eastAsia" w:asciiTheme="minorEastAsia" w:hAnsiTheme="minorEastAsia" w:eastAsiaTheme="minorEastAsia"/>
                  </w:rPr>
                  <w:t>磊</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投资总监</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1</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020-03-27</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026-06-30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454.06</w:t>
                </w:r>
              </w:p>
            </w:tc>
            <w:sdt>
              <w:sdtPr>
                <w:rPr>
                  <w:rFonts w:asciiTheme="minorEastAsia" w:hAnsiTheme="minorEastAsia" w:eastAsiaTheme="minorEastAsia"/>
                </w:rPr>
                <w:alias w:val="董事、监事、高级管理人员是否在公司关联方获取报酬"/>
                <w:tag w:val="_GBC_ca79c4e139754ecd84ca3e60eb23b31d"/>
                <w:id w:val="-1796829820"/>
                <w:lock w:val="sdtLocked"/>
                <w:placeholder>
                  <w:docPart w:val="6A526675F6F24EA4AA727F86C9C46CD8"/>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635559369"/>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祝庆瑞</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董事（离任）</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8</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2021-08-20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sdt>
              <w:sdtPr>
                <w:rPr>
                  <w:rFonts w:asciiTheme="minorEastAsia" w:hAnsiTheme="minorEastAsia" w:eastAsiaTheme="minorEastAsia"/>
                </w:rPr>
                <w:alias w:val="董事、监事、高级管理人员是否在公司关联方获取报酬"/>
                <w:tag w:val="_GBC_ca79c4e139754ecd84ca3e60eb23b31d"/>
                <w:id w:val="-1990931882"/>
                <w:lock w:val="sdtLocked"/>
                <w:placeholder>
                  <w:docPart w:val="6A526675F6F24EA4AA727F86C9C46CD8"/>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是</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831868880"/>
          <w:lock w:val="sdtLocked"/>
          <w:placeholder>
            <w:docPart w:val="B962DF8E7D5C4E6A9E4A571F81CD4530"/>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赵青春</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董事（离任）</w:t>
                </w:r>
              </w:p>
            </w:tc>
            <w:tc>
              <w:tcPr>
                <w:tcW w:w="205"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6</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2016-06-03</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423"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331,600</w:t>
                </w:r>
              </w:p>
            </w:tc>
            <w:tc>
              <w:tcPr>
                <w:tcW w:w="419"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630</w:t>
                </w:r>
                <w:r>
                  <w:rPr>
                    <w:rFonts w:hint="eastAsia" w:asciiTheme="minorEastAsia" w:hAnsiTheme="minorEastAsia" w:eastAsiaTheme="minorEastAsia"/>
                  </w:rPr>
                  <w:t>,</w:t>
                </w:r>
                <w:r>
                  <w:rPr>
                    <w:rFonts w:asciiTheme="minorEastAsia" w:hAnsiTheme="minorEastAsia" w:eastAsiaTheme="minorEastAsia"/>
                  </w:rPr>
                  <w:t>000</w:t>
                </w:r>
              </w:p>
            </w:tc>
            <w:tc>
              <w:tcPr>
                <w:tcW w:w="484"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298</w:t>
                </w:r>
                <w:r>
                  <w:rPr>
                    <w:rFonts w:hint="eastAsia" w:asciiTheme="minorEastAsia" w:hAnsiTheme="minorEastAsia" w:eastAsiaTheme="minorEastAsia"/>
                  </w:rPr>
                  <w:t>,</w:t>
                </w:r>
                <w:r>
                  <w:rPr>
                    <w:rFonts w:asciiTheme="minorEastAsia" w:hAnsiTheme="minorEastAsia" w:eastAsiaTheme="minorEastAsia"/>
                  </w:rPr>
                  <w:t>400</w:t>
                </w:r>
              </w:p>
            </w:tc>
            <w:tc>
              <w:tcPr>
                <w:tcW w:w="534"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股票期权行权及送红股</w:t>
                </w:r>
              </w:p>
            </w:tc>
            <w:tc>
              <w:tcPr>
                <w:tcW w:w="409"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85.53</w:t>
                </w:r>
              </w:p>
            </w:tc>
            <w:tc>
              <w:tcPr>
                <w:tcW w:w="349" w:type="pct"/>
                <w:vMerge w:val="restart"/>
                <w:vAlign w:val="center"/>
              </w:tcPr>
              <w:sdt>
                <w:sdtPr>
                  <w:rPr>
                    <w:rFonts w:asciiTheme="minorEastAsia" w:hAnsiTheme="minorEastAsia" w:eastAsiaTheme="minorEastAsia"/>
                  </w:rPr>
                  <w:alias w:val="董事、监事、高级管理人员是否在公司关联方获取报酬"/>
                  <w:tag w:val="_GBC_ca79c4e139754ecd84ca3e60eb23b31d"/>
                  <w:id w:val="-2065555640"/>
                  <w:lock w:val="sdtLocked"/>
                  <w:comboBox>
                    <w:listItem w:displayText="是" w:value="是"/>
                    <w:listItem w:displayText="否" w:value="否"/>
                  </w:comboBox>
                </w:sdtPr>
                <w:sdtEndPr>
                  <w:rPr>
                    <w:rFonts w:asciiTheme="minorEastAsia" w:hAnsiTheme="minorEastAsia" w:eastAsiaTheme="minorEastAsia"/>
                  </w:rPr>
                </w:sdtEndPr>
                <w:sdtContent>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sdtContent>
              </w:sdt>
              <w:p>
                <w:pPr>
                  <w:jc w:val="center"/>
                  <w:rPr>
                    <w:rFonts w:asciiTheme="minorEastAsia" w:hAnsiTheme="minorEastAsia" w:eastAsiaTheme="minorEastAsia" w:cstheme="minorBidi"/>
                    <w14:ligatures w14:val="standardContextual"/>
                  </w:rPr>
                </w:pPr>
              </w:p>
            </w:tc>
          </w:tr>
        </w:sdtContent>
      </w:sdt>
      <w:sdt>
        <w:sdtPr>
          <w:rPr>
            <w:rFonts w:asciiTheme="minorEastAsia" w:hAnsiTheme="minorEastAsia" w:eastAsiaTheme="minorEastAsia"/>
          </w:rPr>
          <w:alias w:val="董事、监事、高级管理人员基本情况"/>
          <w:tag w:val="_TUP_7890760e7fef44f4bcc994fe788f22ef"/>
          <w:id w:val="-1657445813"/>
          <w:lock w:val="sdtLocked"/>
          <w:placeholder>
            <w:docPart w:val="B962DF8E7D5C4E6A9E4A571F81CD4530"/>
          </w:placeholder>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Merge w:val="continue"/>
                <w:vAlign w:val="center"/>
              </w:tcPr>
              <w:p>
                <w:pPr>
                  <w:jc w:val="center"/>
                  <w:rPr>
                    <w:rFonts w:asciiTheme="minorEastAsia" w:hAnsiTheme="minorEastAsia" w:eastAsiaTheme="minorEastAsia"/>
                  </w:rPr>
                </w:pP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财务总监</w:t>
                </w:r>
              </w:p>
              <w:p>
                <w:pPr>
                  <w:jc w:val="center"/>
                  <w:rPr>
                    <w:rFonts w:asciiTheme="minorEastAsia" w:hAnsiTheme="minorEastAsia" w:eastAsiaTheme="minorEastAsia"/>
                  </w:rPr>
                </w:pPr>
                <w:r>
                  <w:rPr>
                    <w:rFonts w:hint="eastAsia" w:asciiTheme="minorEastAsia" w:hAnsiTheme="minorEastAsia" w:eastAsiaTheme="minorEastAsia"/>
                  </w:rPr>
                  <w:t>（离任）</w:t>
                </w:r>
              </w:p>
            </w:tc>
            <w:tc>
              <w:tcPr>
                <w:tcW w:w="205" w:type="pct"/>
                <w:vMerge w:val="continue"/>
                <w:vAlign w:val="center"/>
              </w:tcPr>
              <w:p>
                <w:pPr>
                  <w:jc w:val="center"/>
                  <w:rPr>
                    <w:rFonts w:asciiTheme="minorEastAsia" w:hAnsiTheme="minorEastAsia" w:eastAsiaTheme="minorEastAsia"/>
                  </w:rPr>
                </w:pPr>
              </w:p>
            </w:tc>
            <w:tc>
              <w:tcPr>
                <w:tcW w:w="256" w:type="pct"/>
                <w:vMerge w:val="continue"/>
                <w:vAlign w:val="center"/>
              </w:tcPr>
              <w:p>
                <w:pPr>
                  <w:jc w:val="center"/>
                  <w:rPr>
                    <w:rFonts w:asciiTheme="minorEastAsia" w:hAnsiTheme="minorEastAsia" w:eastAsiaTheme="minorEastAsia"/>
                  </w:rPr>
                </w:pP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2016-01-06</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023-10-27</w:t>
                </w:r>
              </w:p>
            </w:tc>
            <w:tc>
              <w:tcPr>
                <w:tcW w:w="423" w:type="pct"/>
                <w:vMerge w:val="continue"/>
                <w:vAlign w:val="center"/>
              </w:tcPr>
              <w:p>
                <w:pPr>
                  <w:jc w:val="center"/>
                  <w:rPr>
                    <w:rFonts w:asciiTheme="minorEastAsia" w:hAnsiTheme="minorEastAsia" w:eastAsiaTheme="minorEastAsia"/>
                  </w:rPr>
                </w:pPr>
              </w:p>
            </w:tc>
            <w:tc>
              <w:tcPr>
                <w:tcW w:w="419" w:type="pct"/>
                <w:vMerge w:val="continue"/>
                <w:vAlign w:val="center"/>
              </w:tcPr>
              <w:p>
                <w:pPr>
                  <w:jc w:val="center"/>
                  <w:rPr>
                    <w:rFonts w:asciiTheme="minorEastAsia" w:hAnsiTheme="minorEastAsia" w:eastAsiaTheme="minorEastAsia"/>
                  </w:rPr>
                </w:pPr>
              </w:p>
            </w:tc>
            <w:tc>
              <w:tcPr>
                <w:tcW w:w="484" w:type="pct"/>
                <w:vMerge w:val="continue"/>
                <w:vAlign w:val="center"/>
              </w:tcPr>
              <w:p>
                <w:pPr>
                  <w:jc w:val="center"/>
                  <w:rPr>
                    <w:rFonts w:asciiTheme="minorEastAsia" w:hAnsiTheme="minorEastAsia" w:eastAsiaTheme="minorEastAsia"/>
                  </w:rPr>
                </w:pPr>
              </w:p>
            </w:tc>
            <w:tc>
              <w:tcPr>
                <w:tcW w:w="534" w:type="pct"/>
                <w:vMerge w:val="continue"/>
                <w:vAlign w:val="center"/>
              </w:tcPr>
              <w:p>
                <w:pPr>
                  <w:jc w:val="center"/>
                  <w:rPr>
                    <w:rFonts w:asciiTheme="minorEastAsia" w:hAnsiTheme="minorEastAsia" w:eastAsiaTheme="minorEastAsia"/>
                  </w:rPr>
                </w:pPr>
              </w:p>
            </w:tc>
            <w:tc>
              <w:tcPr>
                <w:tcW w:w="409" w:type="pct"/>
                <w:vMerge w:val="continue"/>
                <w:vAlign w:val="center"/>
              </w:tcPr>
              <w:p>
                <w:pPr>
                  <w:jc w:val="center"/>
                  <w:rPr>
                    <w:rFonts w:asciiTheme="minorEastAsia" w:hAnsiTheme="minorEastAsia" w:eastAsiaTheme="minorEastAsia"/>
                  </w:rPr>
                </w:pPr>
              </w:p>
            </w:tc>
            <w:tc>
              <w:tcPr>
                <w:tcW w:w="349" w:type="pct"/>
                <w:vMerge w:val="continue"/>
                <w:vAlign w:val="center"/>
              </w:tcPr>
              <w:p>
                <w:pPr>
                  <w:jc w:val="center"/>
                  <w:rPr>
                    <w:rFonts w:asciiTheme="minorEastAsia" w:hAnsiTheme="minorEastAsia" w:eastAsiaTheme="minorEastAsia" w:cstheme="minorBidi"/>
                    <w14:ligatures w14:val="standardContextual"/>
                  </w:rPr>
                </w:pPr>
              </w:p>
            </w:tc>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2007119857"/>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 xml:space="preserve">田 </w:t>
                </w:r>
                <w:r>
                  <w:rPr>
                    <w:rFonts w:asciiTheme="minorEastAsia" w:hAnsiTheme="minorEastAsia" w:eastAsiaTheme="minorEastAsia"/>
                  </w:rPr>
                  <w:t xml:space="preserve"> </w:t>
                </w:r>
                <w:r>
                  <w:rPr>
                    <w:rFonts w:hint="eastAsia" w:asciiTheme="minorEastAsia" w:hAnsiTheme="minorEastAsia" w:eastAsiaTheme="minorEastAsia"/>
                  </w:rPr>
                  <w:t>会</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独立董事</w:t>
                </w:r>
              </w:p>
              <w:p>
                <w:pPr>
                  <w:jc w:val="center"/>
                  <w:rPr>
                    <w:rFonts w:asciiTheme="minorEastAsia" w:hAnsiTheme="minorEastAsia" w:eastAsiaTheme="minorEastAsia"/>
                  </w:rPr>
                </w:pPr>
                <w:r>
                  <w:rPr>
                    <w:rFonts w:hint="eastAsia" w:asciiTheme="minorEastAsia" w:hAnsiTheme="minorEastAsia" w:eastAsiaTheme="minorEastAsia"/>
                  </w:rPr>
                  <w:t>（离任）</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7</w:t>
                </w:r>
                <w:r>
                  <w:rPr>
                    <w:rFonts w:asciiTheme="minorEastAsia" w:hAnsiTheme="minorEastAsia" w:eastAsiaTheme="minorEastAsia"/>
                  </w:rPr>
                  <w:t>2</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2020-06-19</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7.50</w:t>
                </w:r>
              </w:p>
            </w:tc>
            <w:sdt>
              <w:sdtPr>
                <w:rPr>
                  <w:rFonts w:asciiTheme="minorEastAsia" w:hAnsiTheme="minorEastAsia" w:eastAsiaTheme="minorEastAsia"/>
                </w:rPr>
                <w:alias w:val="董事、监事、高级管理人员是否在公司关联方获取报酬"/>
                <w:tag w:val="_GBC_ca79c4e139754ecd84ca3e60eb23b31d"/>
                <w:id w:val="760114196"/>
                <w:lock w:val="sdtLocked"/>
                <w:placeholder>
                  <w:docPart w:val="669F43E9218C4B0391F647708A48662C"/>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439599497"/>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蔡</w:t>
                </w:r>
                <w:r>
                  <w:rPr>
                    <w:rFonts w:asciiTheme="minorEastAsia" w:hAnsiTheme="minorEastAsia" w:eastAsiaTheme="minorEastAsia"/>
                  </w:rPr>
                  <w:t xml:space="preserve">  </w:t>
                </w:r>
                <w:r>
                  <w:rPr>
                    <w:rFonts w:hint="eastAsia" w:asciiTheme="minorEastAsia" w:hAnsiTheme="minorEastAsia" w:eastAsiaTheme="minorEastAsia"/>
                  </w:rPr>
                  <w:t>昌</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独立董事</w:t>
                </w:r>
              </w:p>
              <w:p>
                <w:pPr>
                  <w:jc w:val="center"/>
                  <w:rPr>
                    <w:rFonts w:asciiTheme="minorEastAsia" w:hAnsiTheme="minorEastAsia" w:eastAsiaTheme="minorEastAsia"/>
                  </w:rPr>
                </w:pPr>
                <w:r>
                  <w:rPr>
                    <w:rFonts w:hint="eastAsia" w:asciiTheme="minorEastAsia" w:hAnsiTheme="minorEastAsia" w:eastAsiaTheme="minorEastAsia"/>
                  </w:rPr>
                  <w:t>（离任）</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2</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2017-11-27</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7.50</w:t>
                </w:r>
              </w:p>
            </w:tc>
            <w:sdt>
              <w:sdtPr>
                <w:rPr>
                  <w:rFonts w:asciiTheme="minorEastAsia" w:hAnsiTheme="minorEastAsia" w:eastAsiaTheme="minorEastAsia"/>
                </w:rPr>
                <w:alias w:val="董事、监事、高级管理人员是否在公司关联方获取报酬"/>
                <w:tag w:val="_GBC_ca79c4e139754ecd84ca3e60eb23b31d"/>
                <w:id w:val="1090503702"/>
                <w:lock w:val="sdtLocked"/>
                <w:placeholder>
                  <w:docPart w:val="669F43E9218C4B0391F647708A48662C"/>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061474665"/>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潘昭国</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独立董事</w:t>
                </w:r>
              </w:p>
              <w:p>
                <w:pPr>
                  <w:jc w:val="center"/>
                  <w:rPr>
                    <w:rFonts w:asciiTheme="minorEastAsia" w:hAnsiTheme="minorEastAsia" w:eastAsiaTheme="minorEastAsia"/>
                  </w:rPr>
                </w:pPr>
                <w:r>
                  <w:rPr>
                    <w:rFonts w:hint="eastAsia" w:asciiTheme="minorEastAsia" w:hAnsiTheme="minorEastAsia" w:eastAsiaTheme="minorEastAsia"/>
                  </w:rPr>
                  <w:t>（离任）</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1</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2017-06-29</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7.50</w:t>
                </w:r>
              </w:p>
            </w:tc>
            <w:sdt>
              <w:sdtPr>
                <w:rPr>
                  <w:rFonts w:asciiTheme="minorEastAsia" w:hAnsiTheme="minorEastAsia" w:eastAsiaTheme="minorEastAsia"/>
                </w:rPr>
                <w:alias w:val="董事、监事、高级管理人员是否在公司关联方获取报酬"/>
                <w:tag w:val="_GBC_ca79c4e139754ecd84ca3e60eb23b31d"/>
                <w:id w:val="-1531640812"/>
                <w:lock w:val="sdtLocked"/>
                <w:placeholder>
                  <w:docPart w:val="669F43E9218C4B0391F647708A48662C"/>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249584966"/>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秦言坡</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监事（离任）</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9</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2020-06-19</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023-06-30</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sdt>
              <w:sdtPr>
                <w:rPr>
                  <w:rFonts w:asciiTheme="minorEastAsia" w:hAnsiTheme="minorEastAsia" w:eastAsiaTheme="minorEastAsia"/>
                </w:rPr>
                <w:alias w:val="董事、监事、高级管理人员是否在公司关联方获取报酬"/>
                <w:tag w:val="_GBC_ca79c4e139754ecd84ca3e60eb23b31d"/>
                <w:id w:val="-1432504249"/>
                <w:lock w:val="sdtLocked"/>
                <w:placeholder>
                  <w:docPart w:val="669F43E9218C4B0391F647708A48662C"/>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是</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1518842255"/>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 xml:space="preserve">邓 </w:t>
                </w:r>
                <w:r>
                  <w:rPr>
                    <w:rFonts w:asciiTheme="minorEastAsia" w:hAnsiTheme="minorEastAsia" w:eastAsiaTheme="minorEastAsia"/>
                  </w:rPr>
                  <w:t xml:space="preserve"> </w:t>
                </w:r>
                <w:r>
                  <w:rPr>
                    <w:rFonts w:hint="eastAsia" w:asciiTheme="minorEastAsia" w:hAnsiTheme="minorEastAsia" w:eastAsiaTheme="minorEastAsia"/>
                  </w:rPr>
                  <w:t>辉</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职工监事</w:t>
                </w:r>
              </w:p>
              <w:p>
                <w:pPr>
                  <w:jc w:val="center"/>
                  <w:rPr>
                    <w:rFonts w:asciiTheme="minorEastAsia" w:hAnsiTheme="minorEastAsia" w:eastAsiaTheme="minorEastAsia"/>
                  </w:rPr>
                </w:pPr>
                <w:r>
                  <w:rPr>
                    <w:rFonts w:hint="eastAsia" w:asciiTheme="minorEastAsia" w:hAnsiTheme="minorEastAsia" w:eastAsiaTheme="minorEastAsia"/>
                  </w:rPr>
                  <w:t>（离任）</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1</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2021-11-30</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023-04-19</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sdt>
              <w:sdtPr>
                <w:rPr>
                  <w:rFonts w:asciiTheme="minorEastAsia" w:hAnsiTheme="minorEastAsia" w:eastAsiaTheme="minorEastAsia"/>
                </w:rPr>
                <w:alias w:val="董事、监事、高级管理人员是否在公司关联方获取报酬"/>
                <w:tag w:val="_GBC_ca79c4e139754ecd84ca3e60eb23b31d"/>
                <w:id w:val="298655542"/>
                <w:lock w:val="sdtLocked"/>
                <w:placeholder>
                  <w:docPart w:val="669F43E9218C4B0391F647708A48662C"/>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是</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263767691"/>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田兆华</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副总经理</w:t>
                </w:r>
              </w:p>
              <w:p>
                <w:pPr>
                  <w:jc w:val="center"/>
                  <w:rPr>
                    <w:rFonts w:asciiTheme="minorEastAsia" w:hAnsiTheme="minorEastAsia" w:eastAsiaTheme="minorEastAsia"/>
                  </w:rPr>
                </w:pPr>
                <w:r>
                  <w:rPr>
                    <w:rFonts w:hint="eastAsia" w:asciiTheme="minorEastAsia" w:hAnsiTheme="minorEastAsia" w:eastAsiaTheme="minorEastAsia"/>
                  </w:rPr>
                  <w:t>（离任）</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7</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2020-12-09</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023-10-27</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259,000</w:t>
                </w:r>
              </w:p>
            </w:tc>
            <w:tc>
              <w:tcPr>
                <w:tcW w:w="419" w:type="pct"/>
                <w:vAlign w:val="center"/>
              </w:tcPr>
              <w:p>
                <w:pPr>
                  <w:jc w:val="center"/>
                  <w:rPr>
                    <w:rFonts w:asciiTheme="minorEastAsia" w:hAnsiTheme="minorEastAsia" w:eastAsiaTheme="minorEastAsia"/>
                  </w:rPr>
                </w:pPr>
                <w:r>
                  <w:rPr>
                    <w:rFonts w:asciiTheme="minorEastAsia" w:hAnsiTheme="minorEastAsia" w:eastAsiaTheme="minorEastAsia"/>
                  </w:rPr>
                  <w:t>465</w:t>
                </w:r>
                <w:r>
                  <w:rPr>
                    <w:rFonts w:hint="eastAsia" w:asciiTheme="minorEastAsia" w:hAnsiTheme="minorEastAsia" w:eastAsiaTheme="minorEastAsia"/>
                  </w:rPr>
                  <w:t>,</w:t>
                </w:r>
                <w:r>
                  <w:rPr>
                    <w:rFonts w:asciiTheme="minorEastAsia" w:hAnsiTheme="minorEastAsia" w:eastAsiaTheme="minorEastAsia"/>
                  </w:rPr>
                  <w:t>000</w:t>
                </w:r>
              </w:p>
            </w:tc>
            <w:tc>
              <w:tcPr>
                <w:tcW w:w="484" w:type="pct"/>
                <w:vAlign w:val="center"/>
              </w:tcPr>
              <w:p>
                <w:pPr>
                  <w:jc w:val="center"/>
                  <w:rPr>
                    <w:rFonts w:asciiTheme="minorEastAsia" w:hAnsiTheme="minorEastAsia" w:eastAsiaTheme="minorEastAsia"/>
                  </w:rPr>
                </w:pPr>
                <w:r>
                  <w:rPr>
                    <w:rFonts w:asciiTheme="minorEastAsia" w:hAnsiTheme="minorEastAsia" w:eastAsiaTheme="minorEastAsia"/>
                  </w:rPr>
                  <w:t>206</w:t>
                </w:r>
                <w:r>
                  <w:rPr>
                    <w:rFonts w:hint="eastAsia" w:asciiTheme="minorEastAsia" w:hAnsiTheme="minorEastAsia" w:eastAsiaTheme="minorEastAsia"/>
                  </w:rPr>
                  <w:t>,0</w:t>
                </w:r>
                <w:r>
                  <w:rPr>
                    <w:rFonts w:asciiTheme="minorEastAsia" w:hAnsiTheme="minorEastAsia" w:eastAsiaTheme="minorEastAsia"/>
                  </w:rPr>
                  <w:t>00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股票期权行权及送红股</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90.59</w:t>
                </w:r>
              </w:p>
            </w:tc>
            <w:sdt>
              <w:sdtPr>
                <w:rPr>
                  <w:rFonts w:asciiTheme="minorEastAsia" w:hAnsiTheme="minorEastAsia" w:eastAsiaTheme="minorEastAsia"/>
                </w:rPr>
                <w:alias w:val="董事、监事、高级管理人员是否在公司关联方获取报酬"/>
                <w:tag w:val="_GBC_ca79c4e139754ecd84ca3e60eb23b31d"/>
                <w:id w:val="-1733000375"/>
                <w:lock w:val="sdtLocked"/>
                <w:placeholder>
                  <w:docPart w:val="669F43E9218C4B0391F647708A48662C"/>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sdt>
        <w:sdtPr>
          <w:rPr>
            <w:rFonts w:asciiTheme="minorEastAsia" w:hAnsiTheme="minorEastAsia" w:eastAsiaTheme="minorEastAsia" w:cstheme="minorBidi"/>
            <w:sz w:val="22"/>
            <w14:ligatures w14:val="standardContextual"/>
          </w:rPr>
          <w:alias w:val="董事、监事、高级管理人员基本情况"/>
          <w:tag w:val="_TUP_7890760e7fef44f4bcc994fe788f22ef"/>
          <w:id w:val="564920964"/>
          <w:lock w:val="sdtLocked"/>
          <w:placeholder>
            <w:docPart w:val="5878820652694359A5EA09C3BA30D7F3"/>
          </w:placeholder>
        </w:sdtPr>
        <w:sdtEndPr>
          <w:rPr>
            <w:rFonts w:asciiTheme="minorEastAsia" w:hAnsiTheme="minorEastAsia" w:eastAsiaTheme="minorEastAsia" w:cstheme="minorBidi"/>
            <w:sz w:val="22"/>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56" w:type="pct"/>
                <w:vAlign w:val="center"/>
              </w:tcPr>
              <w:p>
                <w:pPr>
                  <w:jc w:val="center"/>
                  <w:rPr>
                    <w:rFonts w:asciiTheme="minorEastAsia" w:hAnsiTheme="minorEastAsia" w:eastAsiaTheme="minorEastAsia" w:cstheme="minorBidi"/>
                    <w14:ligatures w14:val="standardContextual"/>
                  </w:rPr>
                </w:pPr>
                <w:r>
                  <w:rPr>
                    <w:rFonts w:hint="eastAsia" w:asciiTheme="minorEastAsia" w:hAnsiTheme="minorEastAsia" w:eastAsiaTheme="minorEastAsia"/>
                  </w:rPr>
                  <w:t>尤加强</w:t>
                </w:r>
              </w:p>
            </w:tc>
            <w:tc>
              <w:tcPr>
                <w:tcW w:w="562" w:type="pct"/>
                <w:vAlign w:val="center"/>
              </w:tcPr>
              <w:p>
                <w:pPr>
                  <w:jc w:val="center"/>
                  <w:rPr>
                    <w:rFonts w:asciiTheme="minorEastAsia" w:hAnsiTheme="minorEastAsia" w:eastAsiaTheme="minorEastAsia"/>
                  </w:rPr>
                </w:pPr>
                <w:r>
                  <w:rPr>
                    <w:rFonts w:hint="eastAsia" w:asciiTheme="minorEastAsia" w:hAnsiTheme="minorEastAsia" w:eastAsiaTheme="minorEastAsia"/>
                  </w:rPr>
                  <w:t>副总经理</w:t>
                </w:r>
              </w:p>
              <w:p>
                <w:pPr>
                  <w:jc w:val="center"/>
                  <w:rPr>
                    <w:rFonts w:asciiTheme="minorEastAsia" w:hAnsiTheme="minorEastAsia" w:eastAsiaTheme="minorEastAsia"/>
                  </w:rPr>
                </w:pPr>
                <w:r>
                  <w:rPr>
                    <w:rFonts w:hint="eastAsia" w:asciiTheme="minorEastAsia" w:hAnsiTheme="minorEastAsia" w:eastAsiaTheme="minorEastAsia"/>
                  </w:rPr>
                  <w:t>（离任）</w:t>
                </w:r>
              </w:p>
            </w:tc>
            <w:tc>
              <w:tcPr>
                <w:tcW w:w="205" w:type="pct"/>
                <w:vAlign w:val="center"/>
              </w:tcPr>
              <w:p>
                <w:pPr>
                  <w:jc w:val="center"/>
                  <w:rPr>
                    <w:rFonts w:asciiTheme="minorEastAsia" w:hAnsiTheme="minorEastAsia" w:eastAsiaTheme="minorEastAsia"/>
                  </w:rPr>
                </w:pPr>
                <w:r>
                  <w:rPr>
                    <w:rFonts w:hint="eastAsia" w:asciiTheme="minorEastAsia" w:hAnsiTheme="minorEastAsia" w:eastAsiaTheme="minorEastAsia"/>
                  </w:rPr>
                  <w:t>男</w:t>
                </w:r>
              </w:p>
            </w:tc>
            <w:tc>
              <w:tcPr>
                <w:tcW w:w="256"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3</w:t>
                </w:r>
              </w:p>
            </w:tc>
            <w:tc>
              <w:tcPr>
                <w:tcW w:w="460" w:type="pct"/>
                <w:vAlign w:val="center"/>
              </w:tcPr>
              <w:p>
                <w:pPr>
                  <w:jc w:val="center"/>
                  <w:rPr>
                    <w:rFonts w:asciiTheme="minorEastAsia" w:hAnsiTheme="minorEastAsia" w:eastAsiaTheme="minorEastAsia"/>
                  </w:rPr>
                </w:pPr>
                <w:r>
                  <w:rPr>
                    <w:rFonts w:hint="eastAsia" w:asciiTheme="minorEastAsia" w:hAnsiTheme="minorEastAsia" w:eastAsiaTheme="minorEastAsia"/>
                  </w:rPr>
                  <w:t>2022-10-28</w:t>
                </w:r>
              </w:p>
            </w:tc>
            <w:tc>
              <w:tcPr>
                <w:tcW w:w="543"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023-10-27</w:t>
                </w:r>
              </w:p>
            </w:tc>
            <w:tc>
              <w:tcPr>
                <w:tcW w:w="423"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19"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84"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534"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vAlign w:val="center"/>
              </w:tcPr>
              <w:p>
                <w:pPr>
                  <w:jc w:val="center"/>
                  <w:rPr>
                    <w:rFonts w:asciiTheme="minorEastAsia" w:hAnsiTheme="minorEastAsia" w:eastAsiaTheme="minorEastAsia"/>
                  </w:rPr>
                </w:pPr>
                <w:r>
                  <w:rPr>
                    <w:rFonts w:asciiTheme="minorEastAsia" w:hAnsiTheme="minorEastAsia" w:eastAsiaTheme="minorEastAsia"/>
                  </w:rPr>
                  <w:t>44.53</w:t>
                </w:r>
              </w:p>
            </w:tc>
            <w:sdt>
              <w:sdtPr>
                <w:rPr>
                  <w:rFonts w:asciiTheme="minorEastAsia" w:hAnsiTheme="minorEastAsia" w:eastAsiaTheme="minorEastAsia"/>
                </w:rPr>
                <w:alias w:val="董事、监事、高级管理人员是否在公司关联方获取报酬"/>
                <w:tag w:val="_GBC_ca79c4e139754ecd84ca3e60eb23b31d"/>
                <w:id w:val="-2111805927"/>
                <w:lock w:val="sdtLocked"/>
                <w:placeholder>
                  <w:docPart w:val="669F43E9218C4B0391F647708A48662C"/>
                </w:placeholder>
                <w:comboBox>
                  <w:listItem w:displayText="是" w:value="是"/>
                  <w:listItem w:displayText="否" w:value="否"/>
                </w:comboBox>
              </w:sdtPr>
              <w:sdtEndPr>
                <w:rPr>
                  <w:rFonts w:asciiTheme="minorEastAsia" w:hAnsiTheme="minorEastAsia" w:eastAsiaTheme="minorEastAsia"/>
                </w:rPr>
              </w:sdtEndPr>
              <w:sdtContent>
                <w:tc>
                  <w:tcPr>
                    <w:tcW w:w="349" w:type="pct"/>
                    <w:vAlign w:val="center"/>
                  </w:tcPr>
                  <w:p>
                    <w:pPr>
                      <w:jc w:val="center"/>
                      <w:rPr>
                        <w:rFonts w:asciiTheme="minorEastAsia" w:hAnsiTheme="minorEastAsia" w:eastAsiaTheme="minorEastAsia" w:cstheme="minorBidi"/>
                        <w14:ligatures w14:val="standardContextual"/>
                      </w:rPr>
                    </w:pPr>
                    <w:r>
                      <w:rPr>
                        <w:rFonts w:asciiTheme="minorEastAsia" w:hAnsiTheme="minorEastAsia" w:eastAsiaTheme="minorEastAsia"/>
                      </w:rPr>
                      <w:t>否</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sdt>
          <w:sdtPr>
            <w:rPr>
              <w:rFonts w:asciiTheme="minorEastAsia" w:hAnsiTheme="minorEastAsia" w:eastAsiaTheme="minorEastAsia"/>
            </w:rPr>
            <w:tag w:val="_PLD_ec35e2b055c74eb6bc4d2c4ece7ee884"/>
            <w:id w:val="-608272115"/>
          </w:sdtPr>
          <w:sdtEndPr>
            <w:rPr>
              <w:rFonts w:asciiTheme="minorEastAsia" w:hAnsiTheme="minorEastAsia" w:eastAsiaTheme="minorEastAsia"/>
            </w:rPr>
          </w:sdtEndPr>
          <w:sdtContent>
            <w:tc>
              <w:tcPr>
                <w:tcW w:w="356" w:type="pct"/>
                <w:tcBorders>
                  <w:bottom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562" w:type="pct"/>
            <w:tcBorders>
              <w:bottom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c>
          <w:tcPr>
            <w:tcW w:w="205" w:type="pct"/>
            <w:tcBorders>
              <w:bottom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c>
          <w:tcPr>
            <w:tcW w:w="256" w:type="pct"/>
            <w:tcBorders>
              <w:bottom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c>
          <w:tcPr>
            <w:tcW w:w="460" w:type="pct"/>
            <w:tcBorders>
              <w:bottom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c>
          <w:tcPr>
            <w:tcW w:w="543" w:type="pct"/>
            <w:tcBorders>
              <w:bottom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c>
          <w:tcPr>
            <w:tcW w:w="423" w:type="pct"/>
            <w:tcBorders>
              <w:bottom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1,917,000</w:t>
            </w:r>
          </w:p>
        </w:tc>
        <w:tc>
          <w:tcPr>
            <w:tcW w:w="419" w:type="pct"/>
            <w:tcBorders>
              <w:bottom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,120,000</w:t>
            </w:r>
          </w:p>
        </w:tc>
        <w:tc>
          <w:tcPr>
            <w:tcW w:w="484" w:type="pct"/>
            <w:tcBorders>
              <w:bottom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1,203,000</w:t>
            </w:r>
          </w:p>
        </w:tc>
        <w:tc>
          <w:tcPr>
            <w:tcW w:w="534" w:type="pct"/>
            <w:tcBorders>
              <w:bottom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c>
          <w:tcPr>
            <w:tcW w:w="409" w:type="pct"/>
            <w:tcBorders>
              <w:bottom w:val="single" w:color="auto" w:sz="4" w:space="0"/>
            </w:tcBorders>
          </w:tcPr>
          <w:p>
            <w:pPr>
              <w:jc w:val="right"/>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929.09</w:t>
            </w:r>
          </w:p>
        </w:tc>
        <w:tc>
          <w:tcPr>
            <w:tcW w:w="349" w:type="pct"/>
            <w:tcBorders>
              <w:bottom w:val="single" w:color="auto" w:sz="4" w:space="0"/>
            </w:tcBorders>
          </w:tcPr>
          <w:p>
            <w:pPr>
              <w:jc w:val="center"/>
              <w:rPr>
                <w:rFonts w:asciiTheme="minorEastAsia" w:hAnsiTheme="minorEastAsia" w:eastAsiaTheme="minorEastAsia"/>
              </w:rPr>
            </w:pPr>
            <w:r>
              <w:rPr>
                <w:rFonts w:asciiTheme="minorEastAsia" w:hAnsiTheme="minorEastAsia" w:eastAsiaTheme="minorEastAsia"/>
              </w:rPr>
              <w:t>/</w:t>
            </w:r>
          </w:p>
        </w:tc>
      </w:tr>
    </w:tbl>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注：</w:t>
      </w:r>
    </w:p>
    <w:p>
      <w:pPr>
        <w:ind w:firstLine="420" w:firstLineChars="200"/>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 1 \* GB3</w:instrText>
      </w:r>
      <w:r>
        <w:rPr>
          <w:rFonts w:asciiTheme="minorEastAsia" w:hAnsiTheme="minorEastAsia" w:eastAsiaTheme="minorEastAsia"/>
        </w:rPr>
        <w:instrText xml:space="preserve"> </w:instrText>
      </w:r>
      <w:r>
        <w:rPr>
          <w:rFonts w:asciiTheme="minorEastAsia" w:hAnsiTheme="minorEastAsia" w:eastAsiaTheme="minorEastAsia"/>
        </w:rPr>
        <w:fldChar w:fldCharType="separate"/>
      </w:r>
      <w:r>
        <w:rPr>
          <w:rFonts w:hint="eastAsia" w:asciiTheme="minorEastAsia" w:hAnsiTheme="minorEastAsia" w:eastAsiaTheme="minorEastAsia"/>
        </w:rPr>
        <w:t>①</w:t>
      </w:r>
      <w:r>
        <w:rPr>
          <w:rFonts w:asciiTheme="minorEastAsia" w:hAnsiTheme="minorEastAsia" w:eastAsiaTheme="minorEastAsia"/>
        </w:rPr>
        <w:fldChar w:fldCharType="end"/>
      </w:r>
      <w:r>
        <w:rPr>
          <w:rFonts w:hint="eastAsia" w:asciiTheme="minorEastAsia" w:hAnsiTheme="minorEastAsia" w:eastAsiaTheme="minorEastAsia"/>
        </w:rPr>
        <w:t>刘强董事因之前工作调整，不符合激励条件，因此回购注销其已获授但尚未解除限售的限制性股票。由于公司于本报告期内，每股送红股0</w:t>
      </w:r>
      <w:r>
        <w:rPr>
          <w:rFonts w:asciiTheme="minorEastAsia" w:hAnsiTheme="minorEastAsia" w:eastAsiaTheme="minorEastAsia"/>
        </w:rPr>
        <w:t>.5</w:t>
      </w:r>
      <w:r>
        <w:rPr>
          <w:rFonts w:hint="eastAsia" w:asciiTheme="minorEastAsia" w:hAnsiTheme="minorEastAsia" w:eastAsiaTheme="minorEastAsia"/>
        </w:rPr>
        <w:t>股，其已获授但尚未解除限售的限制性股票由1</w:t>
      </w:r>
      <w:r>
        <w:rPr>
          <w:rFonts w:asciiTheme="minorEastAsia" w:hAnsiTheme="minorEastAsia" w:eastAsiaTheme="minorEastAsia"/>
        </w:rPr>
        <w:t>6</w:t>
      </w:r>
      <w:r>
        <w:rPr>
          <w:rFonts w:hint="eastAsia" w:asciiTheme="minorEastAsia" w:hAnsiTheme="minorEastAsia" w:eastAsiaTheme="minorEastAsia"/>
        </w:rPr>
        <w:t>万股调整为2</w:t>
      </w:r>
      <w:r>
        <w:rPr>
          <w:rFonts w:asciiTheme="minorEastAsia" w:hAnsiTheme="minorEastAsia" w:eastAsiaTheme="minorEastAsia"/>
        </w:rPr>
        <w:t>4</w:t>
      </w:r>
      <w:r>
        <w:rPr>
          <w:rFonts w:hint="eastAsia" w:asciiTheme="minorEastAsia" w:hAnsiTheme="minorEastAsia" w:eastAsiaTheme="minorEastAsia"/>
        </w:rPr>
        <w:t>万股，实际回购注销2</w:t>
      </w:r>
      <w:r>
        <w:rPr>
          <w:rFonts w:asciiTheme="minorEastAsia" w:hAnsiTheme="minorEastAsia" w:eastAsiaTheme="minorEastAsia"/>
        </w:rPr>
        <w:t>4</w:t>
      </w:r>
      <w:r>
        <w:rPr>
          <w:rFonts w:hint="eastAsia" w:asciiTheme="minorEastAsia" w:hAnsiTheme="minorEastAsia" w:eastAsiaTheme="minorEastAsia"/>
        </w:rPr>
        <w:t>万股。董事、高级管理人员持股情况请见本节</w:t>
      </w:r>
      <w:r>
        <w:rPr>
          <w:rFonts w:hint="eastAsia"/>
        </w:rPr>
        <w:t>之“</w:t>
      </w:r>
      <w:r>
        <w:rPr>
          <w:rFonts w:hint="eastAsia" w:asciiTheme="minorEastAsia" w:hAnsiTheme="minorEastAsia" w:eastAsiaTheme="minorEastAsia"/>
        </w:rPr>
        <w:t>公司股权激励计划、员工持股计划或其他员工激励措施的情况及其影响</w:t>
      </w:r>
      <w:r>
        <w:rPr>
          <w:rFonts w:hint="eastAsia"/>
        </w:rPr>
        <w:t>”相关内容。</w:t>
      </w:r>
    </w:p>
    <w:p>
      <w:pPr>
        <w:ind w:firstLine="420" w:firstLineChars="200"/>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 2 \* GB3</w:instrText>
      </w:r>
      <w:r>
        <w:rPr>
          <w:rFonts w:asciiTheme="minorEastAsia" w:hAnsiTheme="minorEastAsia" w:eastAsiaTheme="minorEastAsia"/>
        </w:rPr>
        <w:instrText xml:space="preserve"> </w:instrText>
      </w:r>
      <w:r>
        <w:rPr>
          <w:rFonts w:asciiTheme="minorEastAsia" w:hAnsiTheme="minorEastAsia" w:eastAsiaTheme="minorEastAsia"/>
        </w:rPr>
        <w:fldChar w:fldCharType="separate"/>
      </w:r>
      <w:r>
        <w:rPr>
          <w:rFonts w:hint="eastAsia" w:asciiTheme="minorEastAsia" w:hAnsiTheme="minorEastAsia" w:eastAsiaTheme="minorEastAsia"/>
        </w:rPr>
        <w:t>②</w:t>
      </w:r>
      <w:r>
        <w:rPr>
          <w:rFonts w:asciiTheme="minorEastAsia" w:hAnsiTheme="minorEastAsia" w:eastAsiaTheme="minorEastAsia"/>
        </w:rPr>
        <w:fldChar w:fldCharType="end"/>
      </w:r>
      <w:r>
        <w:rPr>
          <w:rFonts w:hint="eastAsia" w:asciiTheme="minorEastAsia" w:hAnsiTheme="minorEastAsia" w:eastAsiaTheme="minorEastAsia"/>
        </w:rPr>
        <w:t>于本报告期末，公司现任及报告期内离任董事、监事和高级管理人员共持有3</w:t>
      </w:r>
      <w:r>
        <w:rPr>
          <w:rFonts w:asciiTheme="minorEastAsia" w:hAnsiTheme="minorEastAsia" w:eastAsiaTheme="minorEastAsia"/>
        </w:rPr>
        <w:t>,120,000</w:t>
      </w:r>
      <w:r>
        <w:rPr>
          <w:rFonts w:hint="eastAsia" w:asciiTheme="minorEastAsia" w:hAnsiTheme="minorEastAsia" w:eastAsiaTheme="minorEastAsia"/>
        </w:rPr>
        <w:t>股A股股票，约占公司总股本的0</w:t>
      </w:r>
      <w:r>
        <w:rPr>
          <w:rFonts w:asciiTheme="minorEastAsia" w:hAnsiTheme="minorEastAsia" w:eastAsiaTheme="minorEastAsia"/>
        </w:rPr>
        <w:t>.042</w:t>
      </w:r>
      <w:r>
        <w:rPr>
          <w:rFonts w:hint="eastAsia" w:asciiTheme="minorEastAsia" w:hAnsiTheme="minorEastAsia" w:eastAsiaTheme="minorEastAsia"/>
        </w:rPr>
        <w:t>%。所有上述披露之权益皆代表持有公司好仓股份。</w:t>
      </w:r>
    </w:p>
    <w:p>
      <w:pPr>
        <w:rPr>
          <w:rFonts w:asciiTheme="minorEastAsia" w:hAnsiTheme="minorEastAsia" w:eastAsiaTheme="minorEastAsia"/>
        </w:rPr>
      </w:pPr>
    </w:p>
    <w:tbl>
      <w:tblPr>
        <w:tblStyle w:val="2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1525b90cb0c248978acb54a7f361f6a2"/>
            <w:id w:val="433330005"/>
          </w:sdtPr>
          <w:sdtEndPr>
            <w:rPr>
              <w:rFonts w:asciiTheme="minorEastAsia" w:hAnsiTheme="minorEastAsia" w:eastAsiaTheme="minorEastAsia"/>
            </w:rPr>
          </w:sdtEndPr>
          <w:sdtContent>
            <w:tc>
              <w:tcPr>
                <w:tcW w:w="1368" w:type="dxa"/>
                <w:vAlign w:val="center"/>
              </w:tcPr>
              <w:p>
                <w:pPr>
                  <w:jc w:val="center"/>
                  <w:rPr>
                    <w:rFonts w:asciiTheme="minorEastAsia" w:hAnsiTheme="minorEastAsia" w:eastAsiaTheme="minorEastAsia"/>
                  </w:rPr>
                </w:pPr>
                <w:bookmarkStart w:id="99" w:name="_Hlk155082088"/>
                <w:r>
                  <w:rPr>
                    <w:rFonts w:hint="eastAsia" w:asciiTheme="minorEastAsia" w:hAnsiTheme="minorEastAsia" w:eastAsiaTheme="minorEastAsia"/>
                  </w:rPr>
                  <w:t>姓名</w:t>
                </w:r>
              </w:p>
            </w:tc>
          </w:sdtContent>
        </w:sdt>
        <w:sdt>
          <w:sdtPr>
            <w:rPr>
              <w:rFonts w:asciiTheme="minorEastAsia" w:hAnsiTheme="minorEastAsia" w:eastAsiaTheme="minorEastAsia"/>
            </w:rPr>
            <w:tag w:val="_PLD_61b466aae87d4dac813a38c2c8e6a492"/>
            <w:id w:val="2002765944"/>
          </w:sdtPr>
          <w:sdtEndPr>
            <w:rPr>
              <w:rFonts w:asciiTheme="minorEastAsia" w:hAnsiTheme="minorEastAsia" w:eastAsiaTheme="minorEastAsia"/>
            </w:rPr>
          </w:sdtEndPr>
          <w:sdtContent>
            <w:tc>
              <w:tcPr>
                <w:tcW w:w="12495" w:type="dxa"/>
                <w:vAlign w:val="center"/>
              </w:tcPr>
              <w:p>
                <w:pPr>
                  <w:jc w:val="center"/>
                  <w:rPr>
                    <w:rFonts w:asciiTheme="minorEastAsia" w:hAnsiTheme="minorEastAsia" w:eastAsiaTheme="minorEastAsia"/>
                  </w:rPr>
                </w:pPr>
                <w:r>
                  <w:rPr>
                    <w:rFonts w:asciiTheme="minorEastAsia" w:hAnsiTheme="minorEastAsia" w:eastAsiaTheme="minorEastAsia"/>
                  </w:rPr>
                  <w:t>主要工作经历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李  伟</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1966年9月，工程技术应用研究员，工学博士，本公司董事长，山东能源党委书记、董事长。李先生1988年加入前身公司，1996年12月任兖矿集团有限公司鲍店煤矿副矿长，2002年5月任兖矿集团有限公司战略资源开发部重组处处长，2002年9月任兖矿锡林能化有限公司党委书记、董事长、总经理，2004年3月主持本公司鲍店煤矿党政全面工作，2004年9月任本公司鲍店煤矿党委副书记、矿长，2007年8月任本公司南屯煤矿党委副书记、矿长，2009年8月任兖矿集团有限公司副总工程师兼安全监察局副局长，2010年4月</w:t>
            </w:r>
            <w:r>
              <w:rPr>
                <w:rFonts w:hint="eastAsia" w:asciiTheme="minorEastAsia" w:hAnsiTheme="minorEastAsia" w:eastAsiaTheme="minorEastAsia"/>
              </w:rPr>
              <w:t>任兖矿集团有限公司副总经理、安全监察局局长，</w:t>
            </w:r>
            <w:r>
              <w:rPr>
                <w:rFonts w:asciiTheme="minorEastAsia" w:hAnsiTheme="minorEastAsia" w:eastAsiaTheme="minorEastAsia"/>
              </w:rPr>
              <w:t>2015年5月任兖矿集团有限公司党委副书记、董事、总经理，2016年6月任本公司副董事长，2020年8月任华鲁控股集团有限公司党委副书记、董事、总经理，2021年6月任山东能源党委书记、董事长，2021年8月任本公司董事长。李先生毕业于北京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肖耀猛</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1972年3月，工程技术应用研究员，工程硕士，本公司党委书记、董事、总经理。肖先生1994年加入前身公司，2013年8月任本公司东滩煤矿安全监察处处长，2014年10月任贵州五轮山煤业有限公司党委书记、董事长、总经理，2016年12月任兖矿贵州能化有限公司副总经理兼贵州五轮山煤业有限公司党委书记、董事长，2018年7月任本公司济宁三号煤矿党委副书记、矿长，2020年4月任本公司副总经理，2021年7月任本公司党委书记、总经理，2021年8月任本公司董事。肖先生毕业于中国矿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刘  健</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1969年2月，工程技术应用研究员，工程硕士，本公司董事，山东能源党委常委、副总经理。刘先生1992年加入前身公司，2009年任本公司东滩煤矿副矿长，2014年3月任本公司济宁三号煤矿党委副书记、矿长，2016年1月任本公司东滩煤矿党委副书记、矿长，2016年12月任本公司副总经理，2020年4月任本公司党委书记、总经理，2021年2月任山东能源党委常委、副总经理，2019年5月任本公司董事。刘先生毕业于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 xml:space="preserve">刘 </w:t>
            </w:r>
            <w:r>
              <w:rPr>
                <w:rFonts w:asciiTheme="minorEastAsia" w:hAnsiTheme="minorEastAsia" w:eastAsiaTheme="minorEastAsia"/>
              </w:rPr>
              <w:t xml:space="preserve"> </w:t>
            </w:r>
            <w:r>
              <w:rPr>
                <w:rFonts w:hint="eastAsia" w:asciiTheme="minorEastAsia" w:hAnsiTheme="minorEastAsia" w:eastAsiaTheme="minorEastAsia"/>
              </w:rPr>
              <w:t>强</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1972年10月，</w:t>
            </w:r>
            <w:r>
              <w:rPr>
                <w:rFonts w:hint="eastAsia" w:asciiTheme="minorEastAsia" w:hAnsiTheme="minorEastAsia" w:eastAsiaTheme="minorEastAsia"/>
              </w:rPr>
              <w:t>工程技术应用研究员</w:t>
            </w:r>
            <w:r>
              <w:rPr>
                <w:rFonts w:asciiTheme="minorEastAsia" w:hAnsiTheme="minorEastAsia" w:eastAsiaTheme="minorEastAsia"/>
              </w:rPr>
              <w:t>，工程硕士，本公司董事，山东能源党委常委、副总经理。刘先生2008年10月任兖矿国泰化工有限公司副总经理，2012年5月任鲁南化工副总经理，2014年3月任兖矿煤化工程有限公司</w:t>
            </w:r>
            <w:r>
              <w:rPr>
                <w:rFonts w:hint="eastAsia" w:asciiTheme="minorEastAsia" w:hAnsiTheme="minorEastAsia" w:eastAsiaTheme="minorEastAsia"/>
              </w:rPr>
              <w:t>党委书记、</w:t>
            </w:r>
            <w:r>
              <w:rPr>
                <w:rFonts w:asciiTheme="minorEastAsia" w:hAnsiTheme="minorEastAsia" w:eastAsiaTheme="minorEastAsia"/>
              </w:rPr>
              <w:t>执行董事、总经理，2016年4月任鲁南化工党委副书记、总经理，2017年5月任鲁南化工</w:t>
            </w:r>
            <w:r>
              <w:rPr>
                <w:rFonts w:hint="eastAsia" w:asciiTheme="minorEastAsia" w:hAnsiTheme="minorEastAsia" w:eastAsiaTheme="minorEastAsia"/>
              </w:rPr>
              <w:t>党委书记、</w:t>
            </w:r>
            <w:r>
              <w:rPr>
                <w:rFonts w:asciiTheme="minorEastAsia" w:hAnsiTheme="minorEastAsia" w:eastAsiaTheme="minorEastAsia"/>
              </w:rPr>
              <w:t>董事长、总经理，2019年9月任兖矿化工有限公司副总经理，鲁南化工党委书记、董事长，2021年9月任本公司副总经理，2022年3月任山</w:t>
            </w:r>
            <w:r>
              <w:rPr>
                <w:rFonts w:hint="eastAsia" w:asciiTheme="minorEastAsia" w:hAnsiTheme="minorEastAsia" w:eastAsiaTheme="minorEastAsia"/>
              </w:rPr>
              <w:t>东能源党委常委、副总经理，</w:t>
            </w:r>
            <w:r>
              <w:rPr>
                <w:rFonts w:asciiTheme="minorEastAsia" w:hAnsiTheme="minorEastAsia" w:eastAsiaTheme="minorEastAsia"/>
              </w:rPr>
              <w:t>2023年6月任本公司董事。刘先生毕业于华东理工大学、浙江大学。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张海军</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1973年12月，高级会计师，本公司董事，山东能源规划发展部部长。张先生1996年加入前身公司，2013年12月任兖矿集团有限公司电铝分公司财务处副处长（主持工作），2014年11月任兖矿集团有限公司电铝分公司财务处处长，2015年11月任兖矿集团有限公司电铝分公司财务总监、总法律顾问，2018年5月任兖矿集团有限公司投资发展部部长、决策咨询中心主任，2020年8月任山东能源投资发展部部长，2022年5月任山东能源规划发展部部长</w:t>
            </w:r>
            <w:r>
              <w:rPr>
                <w:rFonts w:hint="eastAsia" w:asciiTheme="minorEastAsia" w:hAnsiTheme="minorEastAsia" w:eastAsiaTheme="minorEastAsia"/>
              </w:rPr>
              <w:t>，</w:t>
            </w:r>
            <w:r>
              <w:rPr>
                <w:rFonts w:asciiTheme="minorEastAsia" w:hAnsiTheme="minorEastAsia" w:eastAsiaTheme="minorEastAsia"/>
              </w:rPr>
              <w:t>2023年6月任本公司董事。张先生毕业于中共山东省委党校。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苏</w:t>
            </w:r>
            <w:r>
              <w:rPr>
                <w:rFonts w:asciiTheme="minorEastAsia" w:hAnsiTheme="minorEastAsia" w:eastAsiaTheme="minorEastAsia"/>
              </w:rPr>
              <w:t xml:space="preserve">  </w:t>
            </w:r>
            <w:r>
              <w:rPr>
                <w:rFonts w:hint="eastAsia" w:asciiTheme="minorEastAsia" w:hAnsiTheme="minorEastAsia" w:eastAsiaTheme="minorEastAsia"/>
              </w:rPr>
              <w:t>力</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1972年7月，教授级高级政工师、高级经济师，硕士研究生，本公司党委副书记、职工董事、工会主席。苏先生1996年加入前身公司，2008年10月任兖矿集团有限公司总经理办公室副主任，2012年6月任兖矿东华集团有限公司人力资源处处长，2014年3月任本公司人力资源部部长，2016年1月任本公司总经理助理、人力资源部部长，2016年6月任本公司总经理助理、党委组织部（人力资源部）部长，2020年3月任本公司纪委书记，2020年6月任本公司职工监事，</w:t>
            </w:r>
            <w:r>
              <w:rPr>
                <w:rFonts w:hint="eastAsia" w:asciiTheme="minorEastAsia" w:hAnsiTheme="minorEastAsia" w:eastAsiaTheme="minorEastAsia"/>
              </w:rPr>
              <w:t>2021年12月任鄂尔多斯公司监事，</w:t>
            </w:r>
            <w:r>
              <w:rPr>
                <w:rFonts w:asciiTheme="minorEastAsia" w:hAnsiTheme="minorEastAsia" w:eastAsiaTheme="minorEastAsia"/>
              </w:rPr>
              <w:t>2022年9月任本公司党委副书记、工会负责人，2023年</w:t>
            </w:r>
            <w:r>
              <w:rPr>
                <w:rFonts w:hint="eastAsia" w:asciiTheme="minorEastAsia" w:hAnsiTheme="minorEastAsia" w:eastAsiaTheme="minorEastAsia"/>
              </w:rPr>
              <w:t>4月任本公司职工董事，2</w:t>
            </w:r>
            <w:r>
              <w:rPr>
                <w:rFonts w:asciiTheme="minorEastAsia" w:hAnsiTheme="minorEastAsia" w:eastAsiaTheme="minorEastAsia"/>
              </w:rPr>
              <w:t>023年</w:t>
            </w:r>
            <w:r>
              <w:rPr>
                <w:rFonts w:hint="eastAsia" w:asciiTheme="minorEastAsia" w:hAnsiTheme="minorEastAsia" w:eastAsiaTheme="minorEastAsia"/>
              </w:rPr>
              <w:t>5月任本公司工会主席。苏先生毕业于中国矿业大学。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黄霄龙</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1977年11月，高级经济师，法律硕士，本公司董事、董事会秘书。黄先生</w:t>
            </w:r>
            <w:r>
              <w:rPr>
                <w:rFonts w:hint="eastAsia" w:asciiTheme="minorEastAsia" w:hAnsiTheme="minorEastAsia" w:eastAsiaTheme="minorEastAsia"/>
              </w:rPr>
              <w:t>1999年加入前身公司，</w:t>
            </w:r>
            <w:r>
              <w:rPr>
                <w:rFonts w:asciiTheme="minorEastAsia" w:hAnsiTheme="minorEastAsia" w:eastAsiaTheme="minorEastAsia"/>
              </w:rPr>
              <w:t>2006年任本公司证券事务代表，2008年任本公司董事会秘书处副处级秘书，2012年任本公司董事会秘书处副处长，2013年任原山东能源集团有限公司股权改革改制办公室处长，2020年8月任山东能源董事会秘书处部务委员，2021年7月任本公司董事会秘书，2021年8月任本公司董事。黄先生毕业于对外经济贸易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彭苏萍</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1959年6月，地质专业博士，中国工程院院士，本公司独立董事。彭先生曾任中国工程院能源学部副主任、主任,中国神华股份有限公司、天地科技股份有限公司、西藏华钰矿业股份有限公司、北京龙软科技股份有限公司和北京昊华能源股份有限公司独立董事。彭先生目前担任中国矿业大学（北京）教授、中国工程院院士、中国矿业大学(北京)煤炭资源与安全开采国家重点实验室主任、国家电投集团氢能科技发展有限公司独立董事，2023年6月任本公司独立董事。彭先生毕业于淮南矿业学院、中国矿业大学北京研究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朱利民</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1951年10月，经济学硕士，本公司独立董事。朱先生曾任原国家体改委试点司副处长，原国家体改委综合规划试点司处长，原国家体改委下属中华企业股份制咨询公司副总经理，中国证监会稽查部副主任，中国证监会稽查局副局长，中国证监会派出机构工作协调部主任兼投资者教育办公室主任，中信建投证券有限责任公司合规总监、中信建投证券股份有限公司监事会主席。朱先生目前担任焦点科技股份有限公司董事、华润化学材料科技股份有限公司以及</w:t>
            </w:r>
            <w:r>
              <w:rPr>
                <w:rFonts w:hint="eastAsia" w:asciiTheme="minorEastAsia" w:hAnsiTheme="minorEastAsia" w:eastAsiaTheme="minorEastAsia"/>
              </w:rPr>
              <w:t>南通</w:t>
            </w:r>
            <w:r>
              <w:rPr>
                <w:rFonts w:asciiTheme="minorEastAsia" w:hAnsiTheme="minorEastAsia" w:eastAsiaTheme="minorEastAsia"/>
              </w:rPr>
              <w:t>国盛智科股份有限公司独立董事，2020年6月任本公司独立董事。</w:t>
            </w:r>
            <w:r>
              <w:rPr>
                <w:rFonts w:hint="eastAsia" w:asciiTheme="minorEastAsia" w:hAnsiTheme="minorEastAsia" w:eastAsiaTheme="minorEastAsia"/>
              </w:rPr>
              <w:t>朱先生毕业于南开大学、中国人民大学。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胡家栋</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1969年6月，商业学士学位，香港会计师公会资深会员，澳洲会计师公会会员，本公司独立董事。胡先生曾在香港安达信会计师事务所任职执业会计师，及后在荷兰商业银行(ING)、中信证券及瑞士信贷的投资银行部任职，并曾任华能新能源股份有限公司、铁江现货有限公司独立董事。胡先生目前担任国微技术控股有限公司、远大中国控股有限公司独立董事，2023年6月任本公司独立董事。胡先生毕业于澳洲新南威尔士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朱</w:t>
            </w:r>
            <w:r>
              <w:rPr>
                <w:rFonts w:asciiTheme="minorEastAsia" w:hAnsiTheme="minorEastAsia" w:eastAsiaTheme="minorEastAsia"/>
              </w:rPr>
              <w:t xml:space="preserve">  </w:t>
            </w:r>
            <w:r>
              <w:rPr>
                <w:rFonts w:hint="eastAsia" w:asciiTheme="minorEastAsia" w:hAnsiTheme="minorEastAsia" w:eastAsiaTheme="minorEastAsia"/>
              </w:rPr>
              <w:t>睿</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1975年2月，工商管理博士学位，本公司独立董事。朱女士曾任加拿大英属哥伦比亚大学副教授，美国莱斯大学助理教授。朱女士目前担任长江商学院市场营销学教授、ESG与社会创新研究中心主任，并担任九毛九国际控股有限公司、万物新生公司（纽约证券交易所上市公司ATRenew Inc）独立董事，2023年6月任本公司独立董事。朱女士毕业于对外经济贸易大学、美国明尼苏达大学。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李士鹏</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1978年2月，高级会计师，工程硕士，本公司监事会主席，山东能源财务管理部部长。李先生</w:t>
            </w:r>
            <w:r>
              <w:rPr>
                <w:rFonts w:hint="eastAsia" w:asciiTheme="minorEastAsia" w:hAnsiTheme="minorEastAsia" w:eastAsiaTheme="minorEastAsia"/>
              </w:rPr>
              <w:t>2000年加入本公司，</w:t>
            </w:r>
            <w:r>
              <w:rPr>
                <w:rFonts w:asciiTheme="minorEastAsia" w:hAnsiTheme="minorEastAsia" w:eastAsiaTheme="minorEastAsia"/>
              </w:rPr>
              <w:t>2017年11月任兖矿集团有限公司财务管理部主任会计师，2020年1月任兖矿集团有限公司财务管理部副部长（主持工作），2020年</w:t>
            </w:r>
            <w:r>
              <w:rPr>
                <w:rFonts w:hint="eastAsia" w:asciiTheme="minorEastAsia" w:hAnsiTheme="minorEastAsia" w:eastAsiaTheme="minorEastAsia"/>
              </w:rPr>
              <w:t>8</w:t>
            </w:r>
            <w:r>
              <w:rPr>
                <w:rFonts w:asciiTheme="minorEastAsia" w:hAnsiTheme="minorEastAsia" w:eastAsiaTheme="minorEastAsia"/>
              </w:rPr>
              <w:t>月任山东能源财务管理部部长，2020年6月任本公司监事，2021年8月任本公司监事会副主席，</w:t>
            </w:r>
            <w:r>
              <w:rPr>
                <w:rFonts w:hint="eastAsia" w:asciiTheme="minorEastAsia" w:hAnsiTheme="minorEastAsia" w:eastAsiaTheme="minorEastAsia"/>
              </w:rPr>
              <w:t>2</w:t>
            </w:r>
            <w:r>
              <w:rPr>
                <w:rFonts w:asciiTheme="minorEastAsia" w:hAnsiTheme="minorEastAsia" w:eastAsiaTheme="minorEastAsia"/>
              </w:rPr>
              <w:t>023年</w:t>
            </w:r>
            <w:r>
              <w:rPr>
                <w:rFonts w:hint="eastAsia" w:asciiTheme="minorEastAsia" w:hAnsiTheme="minorEastAsia" w:eastAsiaTheme="minorEastAsia"/>
              </w:rPr>
              <w:t>6</w:t>
            </w:r>
            <w:r>
              <w:rPr>
                <w:rFonts w:asciiTheme="minorEastAsia" w:hAnsiTheme="minorEastAsia" w:eastAsiaTheme="minorEastAsia"/>
              </w:rPr>
              <w:t>月任本公司监事会主席。李先生毕业于中国石油大学。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 xml:space="preserve">朱 </w:t>
            </w:r>
            <w:r>
              <w:rPr>
                <w:rFonts w:asciiTheme="minorEastAsia" w:hAnsiTheme="minorEastAsia" w:eastAsiaTheme="minorEastAsia"/>
              </w:rPr>
              <w:t xml:space="preserve"> </w:t>
            </w:r>
            <w:r>
              <w:rPr>
                <w:rFonts w:hint="eastAsia" w:asciiTheme="minorEastAsia" w:hAnsiTheme="minorEastAsia" w:eastAsiaTheme="minorEastAsia"/>
              </w:rPr>
              <w:t>昊</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1971年10月，高级经济师，</w:t>
            </w:r>
            <w:r>
              <w:rPr>
                <w:rFonts w:hint="eastAsia" w:asciiTheme="minorEastAsia" w:hAnsiTheme="minorEastAsia" w:eastAsiaTheme="minorEastAsia"/>
              </w:rPr>
              <w:t>大学学历，</w:t>
            </w:r>
            <w:r>
              <w:rPr>
                <w:rFonts w:asciiTheme="minorEastAsia" w:hAnsiTheme="minorEastAsia" w:eastAsiaTheme="minorEastAsia"/>
              </w:rPr>
              <w:t>本公司监事，山东能源运营管理部部长。朱先生2001年任新汶矿业集团有限公司（“新矿集团”） 孙村煤矿总经济师，2007年任新矿集团孙村煤矿党委委员、总经济师，2010年任新矿集团经营管理部副主任，2012年任新矿集团经营管理部部长兼督查办公室主任，2014年任原山东能源集团有限公司绩效运营部副总经理，2017年任原山东能源集团有限公司经济运行部部长，2020年8月任山东能源运营管理部部长，2021年8月任本公司监事。朱先生毕业于山</w:t>
            </w:r>
            <w:r>
              <w:rPr>
                <w:rFonts w:hint="eastAsia" w:asciiTheme="minorEastAsia" w:hAnsiTheme="minorEastAsia" w:eastAsiaTheme="minorEastAsia"/>
              </w:rPr>
              <w:t>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靳家皓</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1971年8月，高级经济师，大学学历，本公司党委委员、职工监事、纪委书记。靳先生</w:t>
            </w:r>
            <w:r>
              <w:rPr>
                <w:rFonts w:hint="eastAsia" w:asciiTheme="minorEastAsia" w:hAnsiTheme="minorEastAsia" w:eastAsiaTheme="minorEastAsia"/>
              </w:rPr>
              <w:t>2022年10月加入本公司，</w:t>
            </w:r>
            <w:r>
              <w:rPr>
                <w:rFonts w:asciiTheme="minorEastAsia" w:hAnsiTheme="minorEastAsia" w:eastAsiaTheme="minorEastAsia"/>
              </w:rPr>
              <w:t>2004年10月任</w:t>
            </w:r>
            <w:r>
              <w:rPr>
                <w:rFonts w:hint="eastAsia" w:asciiTheme="minorEastAsia" w:hAnsiTheme="minorEastAsia" w:eastAsiaTheme="minorEastAsia"/>
              </w:rPr>
              <w:t>枣庄矿业（集团）有限责任公司（“枣矿集团”）</w:t>
            </w:r>
            <w:r>
              <w:rPr>
                <w:rFonts w:asciiTheme="minorEastAsia" w:hAnsiTheme="minorEastAsia" w:eastAsiaTheme="minorEastAsia"/>
              </w:rPr>
              <w:t>董事会秘书处副处长、党委办公室副主任，2012年10月任枣矿集团铁路运输处党委副书记、工会主席，2013年8月任枣矿集团铁路运输处党委书记、工会主席，2015年9月任枣矿集团新安煤业公司党委书记，2017年4月任枣矿集团办公室主任，2017年8月任枣矿集团董事会秘书、办公室主任，2019年11月任枣矿集团董事会秘书、办公室主任、政策研究室主任，2020年5月任</w:t>
            </w:r>
            <w:r>
              <w:rPr>
                <w:rFonts w:hint="eastAsia" w:asciiTheme="minorEastAsia" w:hAnsiTheme="minorEastAsia" w:eastAsiaTheme="minorEastAsia"/>
              </w:rPr>
              <w:t>临沂矿业集团有限责任公司（“</w:t>
            </w:r>
            <w:r>
              <w:rPr>
                <w:rFonts w:asciiTheme="minorEastAsia" w:hAnsiTheme="minorEastAsia" w:eastAsiaTheme="minorEastAsia"/>
              </w:rPr>
              <w:t>临矿</w:t>
            </w:r>
            <w:r>
              <w:rPr>
                <w:rFonts w:hint="eastAsia" w:asciiTheme="minorEastAsia" w:hAnsiTheme="minorEastAsia" w:eastAsiaTheme="minorEastAsia"/>
              </w:rPr>
              <w:t>集团”）党委常委、纪委书记，</w:t>
            </w:r>
            <w:r>
              <w:rPr>
                <w:rFonts w:asciiTheme="minorEastAsia" w:hAnsiTheme="minorEastAsia" w:eastAsiaTheme="minorEastAsia"/>
              </w:rPr>
              <w:t>2021年11月任鲁西矿业党委委员、纪委书记，2022年10月任本公司党委委员、纪委书记，2023年4月任本公司职工监事。靳先生毕业于山东科技大学。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李洪国</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1969年4月，工程技术应用研究员，大学学历，本公司党委委员、副总经理。李先生2016年9月任新矿集团孙村煤矿副矿长，2018年2月任</w:t>
            </w:r>
            <w:r>
              <w:rPr>
                <w:rFonts w:hint="eastAsia" w:asciiTheme="minorEastAsia" w:hAnsiTheme="minorEastAsia" w:eastAsiaTheme="minorEastAsia"/>
              </w:rPr>
              <w:t>新矿集团新巨龙公司</w:t>
            </w:r>
            <w:r>
              <w:rPr>
                <w:rFonts w:asciiTheme="minorEastAsia" w:hAnsiTheme="minorEastAsia" w:eastAsiaTheme="minorEastAsia"/>
              </w:rPr>
              <w:t>副总经理，2019年6月任新矿集团协庄煤矿矿长，泰安百川纸业有限责任公司董事、董事长，2022年1月任新矿集团安全总监，</w:t>
            </w:r>
            <w:r>
              <w:rPr>
                <w:rFonts w:hint="eastAsia" w:asciiTheme="minorEastAsia" w:hAnsiTheme="minorEastAsia" w:eastAsiaTheme="minorEastAsia"/>
              </w:rPr>
              <w:t>2</w:t>
            </w:r>
            <w:r>
              <w:rPr>
                <w:rFonts w:asciiTheme="minorEastAsia" w:hAnsiTheme="minorEastAsia" w:eastAsiaTheme="minorEastAsia"/>
              </w:rPr>
              <w:t>022</w:t>
            </w:r>
            <w:r>
              <w:rPr>
                <w:rFonts w:hint="eastAsia" w:asciiTheme="minorEastAsia" w:hAnsiTheme="minorEastAsia" w:eastAsiaTheme="minorEastAsia"/>
              </w:rPr>
              <w:t>年1</w:t>
            </w:r>
            <w:r>
              <w:rPr>
                <w:rFonts w:asciiTheme="minorEastAsia" w:hAnsiTheme="minorEastAsia" w:eastAsiaTheme="minorEastAsia"/>
              </w:rPr>
              <w:t>2</w:t>
            </w:r>
            <w:r>
              <w:rPr>
                <w:rFonts w:hint="eastAsia" w:asciiTheme="minorEastAsia" w:hAnsiTheme="minorEastAsia" w:eastAsiaTheme="minorEastAsia"/>
              </w:rPr>
              <w:t>月任本公司党委委员，</w:t>
            </w:r>
            <w:r>
              <w:rPr>
                <w:rFonts w:asciiTheme="minorEastAsia" w:hAnsiTheme="minorEastAsia" w:eastAsiaTheme="minorEastAsia"/>
              </w:rPr>
              <w:t>2023年3月任本公司副总经理。李先生毕业于山东科技大学。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张传昌</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1968年10月，工程技术应用研究员，工程硕士，本公司副总经理。张先生1990年加入前身公司，2006年任榆树湾煤矿副矿长，2014年任陕西未来能源化工有限公司金鸡滩煤矿矿长，2018年5月任陕西未来能源化工有限公司副总经理、陕西未来能源化工有限公司金鸡滩煤矿矿长，2020年4月任鄂尔多斯公司党委副书记、董事长、总经理，2020年4月任本公司副总经理。张先生毕业于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马俊鹏</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1973年3月，工程技术应用研究员，大学学历，工程硕士,本公司总工程师。马先生2013年8月任本公司兴隆庄煤矿总工程师，2016年12月任本公司兴隆庄煤矿副矿长、总工程师，2017年1月任本公司兴隆庄煤矿党委副书记、矿长，2021年5月任本公司南屯煤矿党委副书记、矿长，2022年3月任本公司总工程师。马先生毕业于中国矿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康</w:t>
            </w:r>
            <w:r>
              <w:rPr>
                <w:rFonts w:asciiTheme="minorEastAsia" w:hAnsiTheme="minorEastAsia" w:eastAsiaTheme="minorEastAsia"/>
              </w:rPr>
              <w:t xml:space="preserve">  </w:t>
            </w:r>
            <w:r>
              <w:rPr>
                <w:rFonts w:hint="eastAsia" w:asciiTheme="minorEastAsia" w:hAnsiTheme="minorEastAsia" w:eastAsiaTheme="minorEastAsia"/>
              </w:rPr>
              <w:t>丹</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1980年3月，高级工程师，大学学历，工程硕士，本公司安全总监。康先生2016年3月任本公司南屯煤矿副矿长，2020年4月任本公司南屯煤矿党委副书记、矿长，2021年5月任本公司兴隆庄煤矿党委副书记、矿长，2022年4月任本公司安全总监。康先生毕业于中国矿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王九红</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1976年6月，高级工程师，大学学历，工学学士，本公司党委委员、副总经理。王先生2014年9月任本公司南屯煤矿总工程师，2016年12月任兖州煤业鄂尔多斯能化有限公司安源煤矿党总支书记、矿长，2017年10月任本公司生产技术部副部长、通防部副部长，2018年9月任鄂尔多斯市转龙湾煤炭有限公司党总支书记、执行董事、总经理，2020年12月任兖州煤业鄂尔多斯能化有限公司副总经理、昊盛煤业党总支书记、董事、总经理，2021年11月任兖州煤业鄂尔多斯能化有限公司党委书记、总经理，昊盛煤业董事长，2022年6月任昊盛</w:t>
            </w:r>
            <w:r>
              <w:rPr>
                <w:rFonts w:hint="eastAsia" w:asciiTheme="minorEastAsia" w:hAnsiTheme="minorEastAsia" w:eastAsiaTheme="minorEastAsia"/>
              </w:rPr>
              <w:t>煤业董事，</w:t>
            </w:r>
            <w:r>
              <w:rPr>
                <w:rFonts w:asciiTheme="minorEastAsia" w:hAnsiTheme="minorEastAsia" w:eastAsiaTheme="minorEastAsia"/>
              </w:rPr>
              <w:t>2022年10月任本公司副总经理，鄂尔多斯公司党委书记、董事长、总经理，内蒙古矿业党委书记、董事长</w:t>
            </w:r>
            <w:r>
              <w:rPr>
                <w:rFonts w:hint="eastAsia" w:asciiTheme="minorEastAsia" w:hAnsiTheme="minorEastAsia" w:eastAsiaTheme="minorEastAsia"/>
              </w:rPr>
              <w:t>，2023年5月任鄂尔多斯公司党委书记、董事长，2</w:t>
            </w:r>
            <w:r>
              <w:rPr>
                <w:rFonts w:asciiTheme="minorEastAsia" w:hAnsiTheme="minorEastAsia" w:eastAsiaTheme="minorEastAsia"/>
              </w:rPr>
              <w:t>022</w:t>
            </w:r>
            <w:r>
              <w:rPr>
                <w:rFonts w:hint="eastAsia" w:asciiTheme="minorEastAsia" w:hAnsiTheme="minorEastAsia" w:eastAsiaTheme="minorEastAsia"/>
              </w:rPr>
              <w:t>年1</w:t>
            </w:r>
            <w:r>
              <w:rPr>
                <w:rFonts w:asciiTheme="minorEastAsia" w:hAnsiTheme="minorEastAsia" w:eastAsiaTheme="minorEastAsia"/>
              </w:rPr>
              <w:t>2</w:t>
            </w:r>
            <w:r>
              <w:rPr>
                <w:rFonts w:hint="eastAsia" w:asciiTheme="minorEastAsia" w:hAnsiTheme="minorEastAsia" w:eastAsiaTheme="minorEastAsia"/>
              </w:rPr>
              <w:t>月任本公司党委委员</w:t>
            </w:r>
            <w:r>
              <w:rPr>
                <w:rFonts w:asciiTheme="minorEastAsia" w:hAnsiTheme="minorEastAsia" w:eastAsiaTheme="minorEastAsia"/>
              </w:rPr>
              <w:t>。王先生毕业于河北建筑科技学院。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 xml:space="preserve">岳 </w:t>
            </w:r>
            <w:r>
              <w:rPr>
                <w:rFonts w:asciiTheme="minorEastAsia" w:hAnsiTheme="minorEastAsia" w:eastAsiaTheme="minorEastAsia"/>
              </w:rPr>
              <w:t xml:space="preserve"> </w:t>
            </w:r>
            <w:r>
              <w:rPr>
                <w:rFonts w:hint="eastAsia" w:asciiTheme="minorEastAsia" w:hAnsiTheme="minorEastAsia" w:eastAsiaTheme="minorEastAsia"/>
              </w:rPr>
              <w:t>宁</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1978年8月，工程技术应用研究员，大学学历，本公司副总经理。岳先生2015年6月任陕西未来能源化工有限公司金鸡滩煤矿总工程师，2018年12月任金鸡滩煤矿副矿长，2020年4月任金鸡滩煤矿矿长，2023年9月任兖煤澳大利亚有限公司执行董事、联席副董事长、执行委员会主席，2023年10月任本公司副总经理。岳先生毕业于中国矿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赵治国</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1978年4月，高级会计师，大学学历，本公司财务总监。赵先生2016年8月任临沂矿业集团菏泽煤电有限公司党委委员、总会计师，2017年9月任临矿集团财务部副部长（主持工作）、资本证券化领导小组办公室副主任，2018年8月任</w:t>
            </w:r>
            <w:r>
              <w:rPr>
                <w:rFonts w:hint="eastAsia" w:asciiTheme="minorEastAsia" w:hAnsiTheme="minorEastAsia" w:eastAsiaTheme="minorEastAsia"/>
              </w:rPr>
              <w:t>临矿</w:t>
            </w:r>
            <w:r>
              <w:rPr>
                <w:rFonts w:asciiTheme="minorEastAsia" w:hAnsiTheme="minorEastAsia" w:eastAsiaTheme="minorEastAsia"/>
              </w:rPr>
              <w:t>集团财务部部长、大数据分析室主任、资本证券化领导小组办公室副主任。2021年10月任山东能源财务管理部部务委员，2022年2月任本公司财务管理部部长，2023年10月任本公司财务总监。赵先生毕业于陕西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高春雷</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1981年5月，正高级工程师，工程硕士，本公司总工程师（化工）。高先生2011年11月任兖州煤业榆林能化有限公司甲醇厂党委委员、副厂长，2018年11月任兖州煤业榆林能化有限公司党委副书记、厂长，2021年10月任兖州煤业榆林能化有限公司党委书记、董事长、总经理，2022年6月任兖矿能源集团股份有限公司山东能源化工分公司党委委员、副总经理，2022年10月任兖矿能源集团股份有限公司山东能源化工分公司党委委员、副总经理、安全总监，2023年10月任兖矿能源现代煤化工事业部总经理，2024年3月任本公司总工程师（化工）。高先生毕业于黑龙江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jc w:val="center"/>
              <w:rPr>
                <w:rFonts w:asciiTheme="minorEastAsia" w:hAnsiTheme="minorEastAsia" w:eastAsiaTheme="minorEastAsia"/>
              </w:rPr>
            </w:pPr>
            <w:r>
              <w:rPr>
                <w:rFonts w:hint="eastAsia" w:asciiTheme="minorEastAsia" w:hAnsiTheme="minorEastAsia" w:eastAsiaTheme="minorEastAsia"/>
              </w:rPr>
              <w:t>张</w:t>
            </w:r>
            <w:r>
              <w:rPr>
                <w:rFonts w:asciiTheme="minorEastAsia" w:hAnsiTheme="minorEastAsia" w:eastAsiaTheme="minorEastAsia"/>
              </w:rPr>
              <w:t xml:space="preserve">  </w:t>
            </w:r>
            <w:r>
              <w:rPr>
                <w:rFonts w:hint="eastAsia" w:asciiTheme="minorEastAsia" w:hAnsiTheme="minorEastAsia" w:eastAsiaTheme="minorEastAsia"/>
              </w:rPr>
              <w:t>磊</w:t>
            </w:r>
          </w:p>
        </w:tc>
        <w:tc>
          <w:tcPr>
            <w:tcW w:w="12495" w:type="dxa"/>
          </w:tcPr>
          <w:p>
            <w:pPr>
              <w:rPr>
                <w:rFonts w:asciiTheme="minorEastAsia" w:hAnsiTheme="minorEastAsia" w:eastAsiaTheme="minorEastAsia"/>
              </w:rPr>
            </w:pPr>
            <w:r>
              <w:rPr>
                <w:rFonts w:hint="eastAsia" w:asciiTheme="minorEastAsia" w:hAnsiTheme="minorEastAsia" w:eastAsiaTheme="minorEastAsia"/>
              </w:rPr>
              <w:t>出生于</w:t>
            </w:r>
            <w:r>
              <w:rPr>
                <w:rFonts w:asciiTheme="minorEastAsia" w:hAnsiTheme="minorEastAsia" w:eastAsiaTheme="minorEastAsia"/>
              </w:rPr>
              <w:t>1972年5月，国际注册高级会计师、澳洲注册会计师，工商管理硕士、经济学博士，本公司投资总监。张先生2008年9月至2010年9月担任西门子（中国）有限公司副总裁兼西门子东北亚房地产集团首席财务官；2010年9月至 2012年6月担任中铝矿业国际执行董事兼首席财务官，中铝海外控股有限公司副总裁兼首席财务官；2012年7月至2013年3月担任壳牌远东区商务财务并购总经理；2013年3月至2014年3月担任韩国SK大中华区高级副总裁兼董事总经理。张先生于2014年加入本公司，历任兖煤澳洲首席财务官、</w:t>
            </w:r>
            <w:r>
              <w:rPr>
                <w:rFonts w:hint="eastAsia" w:asciiTheme="minorEastAsia" w:hAnsiTheme="minorEastAsia" w:eastAsiaTheme="minorEastAsia"/>
              </w:rPr>
              <w:t>澳斯达首席执行官、兖煤国际总经理，</w:t>
            </w:r>
            <w:r>
              <w:rPr>
                <w:rFonts w:asciiTheme="minorEastAsia" w:hAnsiTheme="minorEastAsia" w:eastAsiaTheme="minorEastAsia"/>
              </w:rPr>
              <w:t>2020年3月任本公司投资总监。张先生毕业于北京大学光华管理学院、中国社会科学院研究生院。</w:t>
            </w:r>
          </w:p>
        </w:tc>
      </w:tr>
      <w:bookmarkEnd w:id="99"/>
    </w:tbl>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其它情况说明</w:t>
      </w:r>
    </w:p>
    <w:sdt>
      <w:sdtPr>
        <w:rPr>
          <w:rFonts w:asciiTheme="minorEastAsia" w:hAnsiTheme="minorEastAsia" w:eastAsiaTheme="minorEastAsia"/>
        </w:rPr>
        <w:alias w:val="是否适用：董事、监事 和高级管理人员持股变动及报酬情况其他情况说明[双击切换]"/>
        <w:tag w:val="_GBC_9b04f21816b544bc9606e29c2556c9ba"/>
        <w:id w:val="-82075383"/>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bookmarkEnd w:id="98"/>
    <w:p>
      <w:pPr>
        <w:rPr>
          <w:rFonts w:asciiTheme="minorEastAsia" w:hAnsiTheme="minorEastAsia" w:eastAsiaTheme="minorEastAsia"/>
        </w:rPr>
      </w:pPr>
    </w:p>
    <w:p>
      <w:pPr>
        <w:rPr>
          <w:rFonts w:asciiTheme="minorEastAsia" w:hAnsiTheme="minorEastAsia" w:eastAsiaTheme="minorEastAsia"/>
        </w:rPr>
        <w:sectPr>
          <w:pgSz w:w="16838" w:h="11906" w:orient="landscape"/>
          <w:pgMar w:top="1797" w:right="1525" w:bottom="1276" w:left="1440" w:header="855" w:footer="992" w:gutter="0"/>
          <w:cols w:space="425" w:num="1"/>
          <w:docGrid w:linePitch="312" w:charSpace="0"/>
        </w:sectPr>
      </w:pPr>
    </w:p>
    <w:p>
      <w:pPr>
        <w:pStyle w:val="4"/>
        <w:numPr>
          <w:ilvl w:val="0"/>
          <w:numId w:val="18"/>
        </w:numPr>
        <w:ind w:left="0" w:firstLine="0"/>
        <w:rPr>
          <w:rFonts w:asciiTheme="minorEastAsia" w:hAnsiTheme="minorEastAsia" w:eastAsiaTheme="minorEastAsia"/>
        </w:rPr>
      </w:pPr>
      <w:r>
        <w:rPr>
          <w:rFonts w:hint="eastAsia" w:asciiTheme="minorEastAsia" w:hAnsiTheme="minorEastAsia" w:eastAsiaTheme="minorEastAsia"/>
        </w:rPr>
        <w:t>现任及报告期内离任董事、监事和高级管理人员的任职情况</w:t>
      </w:r>
    </w:p>
    <w:p>
      <w:pPr>
        <w:pStyle w:val="216"/>
        <w:numPr>
          <w:ilvl w:val="0"/>
          <w:numId w:val="19"/>
        </w:numPr>
        <w:ind w:firstLineChars="0"/>
        <w:rPr>
          <w:rFonts w:asciiTheme="minorEastAsia" w:hAnsiTheme="minorEastAsia" w:eastAsiaTheme="minorEastAsia"/>
          <w:b/>
          <w:bCs/>
        </w:rPr>
      </w:pPr>
      <w:r>
        <w:rPr>
          <w:rFonts w:asciiTheme="minorEastAsia" w:hAnsiTheme="minorEastAsia" w:eastAsiaTheme="minorEastAsia"/>
          <w:b/>
          <w:bCs/>
        </w:rPr>
        <w:t>在股东单位任职情况</w:t>
      </w:r>
    </w:p>
    <w:sdt>
      <w:sdtPr>
        <w:rPr>
          <w:rFonts w:asciiTheme="minorEastAsia" w:hAnsiTheme="minorEastAsia" w:eastAsiaTheme="minorEastAsia"/>
        </w:rPr>
        <w:alias w:val="是否适用：在股东单位任职情况[双击切换]"/>
        <w:tag w:val="_GBC_c450b54d9ea443cf85cc614c8528526b"/>
        <w:id w:val="1251772587"/>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tbl>
      <w:tblPr>
        <w:tblStyle w:val="202"/>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560"/>
        <w:gridCol w:w="425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696" w:type="dxa"/>
            <w:vAlign w:val="center"/>
          </w:tcPr>
          <w:p>
            <w:pPr>
              <w:jc w:val="center"/>
              <w:rPr>
                <w:rFonts w:asciiTheme="minorEastAsia" w:hAnsiTheme="minorEastAsia" w:eastAsiaTheme="minorEastAsia"/>
              </w:rPr>
            </w:pPr>
            <w:r>
              <w:rPr>
                <w:rFonts w:asciiTheme="minorEastAsia" w:hAnsiTheme="minorEastAsia" w:eastAsiaTheme="minorEastAsia"/>
              </w:rPr>
              <w:t>任职人员姓名</w:t>
            </w:r>
          </w:p>
        </w:tc>
        <w:tc>
          <w:tcPr>
            <w:tcW w:w="1560" w:type="dxa"/>
            <w:vAlign w:val="center"/>
          </w:tcPr>
          <w:p>
            <w:pPr>
              <w:jc w:val="center"/>
              <w:rPr>
                <w:rFonts w:asciiTheme="minorEastAsia" w:hAnsiTheme="minorEastAsia" w:eastAsiaTheme="minorEastAsia"/>
              </w:rPr>
            </w:pPr>
            <w:r>
              <w:rPr>
                <w:rFonts w:asciiTheme="minorEastAsia" w:hAnsiTheme="minorEastAsia" w:eastAsiaTheme="minorEastAsia"/>
              </w:rPr>
              <w:t>股东单位名称</w:t>
            </w:r>
          </w:p>
        </w:tc>
        <w:tc>
          <w:tcPr>
            <w:tcW w:w="4252" w:type="dxa"/>
            <w:vAlign w:val="center"/>
          </w:tcPr>
          <w:p>
            <w:pPr>
              <w:jc w:val="center"/>
              <w:rPr>
                <w:rFonts w:asciiTheme="minorEastAsia" w:hAnsiTheme="minorEastAsia" w:eastAsiaTheme="minorEastAsia"/>
              </w:rPr>
            </w:pPr>
            <w:r>
              <w:rPr>
                <w:rFonts w:asciiTheme="minorEastAsia" w:hAnsiTheme="minorEastAsia" w:eastAsiaTheme="minorEastAsia"/>
              </w:rPr>
              <w:t>在股东单位担任的职务</w:t>
            </w:r>
          </w:p>
        </w:tc>
        <w:tc>
          <w:tcPr>
            <w:tcW w:w="1418" w:type="dxa"/>
            <w:vAlign w:val="center"/>
          </w:tcPr>
          <w:p>
            <w:pPr>
              <w:jc w:val="center"/>
              <w:rPr>
                <w:rFonts w:asciiTheme="minorEastAsia" w:hAnsiTheme="minorEastAsia" w:eastAsiaTheme="minorEastAsia"/>
              </w:rPr>
            </w:pPr>
            <w:r>
              <w:rPr>
                <w:rFonts w:asciiTheme="minorEastAsia" w:hAnsiTheme="minorEastAsia" w:eastAsiaTheme="minorEastAsia"/>
              </w:rPr>
              <w:t>任期起始日期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96" w:type="dxa"/>
          </w:tcPr>
          <w:p>
            <w:pPr>
              <w:jc w:val="center"/>
              <w:rPr>
                <w:rFonts w:asciiTheme="minorEastAsia" w:hAnsiTheme="minorEastAsia" w:eastAsiaTheme="minorEastAsia"/>
              </w:rPr>
            </w:pPr>
            <w:r>
              <w:rPr>
                <w:rFonts w:hint="eastAsia" w:asciiTheme="minorEastAsia" w:hAnsiTheme="minorEastAsia" w:eastAsiaTheme="minorEastAsia"/>
              </w:rPr>
              <w:t xml:space="preserve">李 </w:t>
            </w:r>
            <w:r>
              <w:rPr>
                <w:rFonts w:asciiTheme="minorEastAsia" w:hAnsiTheme="minorEastAsia" w:eastAsiaTheme="minorEastAsia"/>
              </w:rPr>
              <w:t xml:space="preserve"> </w:t>
            </w:r>
            <w:r>
              <w:rPr>
                <w:rFonts w:hint="eastAsia" w:asciiTheme="minorEastAsia" w:hAnsiTheme="minorEastAsia" w:eastAsiaTheme="minorEastAsia"/>
              </w:rPr>
              <w:t>伟</w:t>
            </w:r>
          </w:p>
        </w:tc>
        <w:tc>
          <w:tcPr>
            <w:tcW w:w="1560" w:type="dxa"/>
          </w:tcPr>
          <w:p>
            <w:pPr>
              <w:jc w:val="center"/>
              <w:rPr>
                <w:rFonts w:asciiTheme="minorEastAsia" w:hAnsiTheme="minorEastAsia" w:eastAsiaTheme="minorEastAsia"/>
              </w:rPr>
            </w:pPr>
            <w:r>
              <w:rPr>
                <w:rFonts w:hint="eastAsia" w:asciiTheme="minorEastAsia" w:hAnsiTheme="minorEastAsia" w:eastAsiaTheme="minorEastAsia"/>
              </w:rPr>
              <w:t>山东能源</w:t>
            </w:r>
          </w:p>
        </w:tc>
        <w:tc>
          <w:tcPr>
            <w:tcW w:w="4252" w:type="dxa"/>
          </w:tcPr>
          <w:p>
            <w:pPr>
              <w:rPr>
                <w:rFonts w:asciiTheme="minorEastAsia" w:hAnsiTheme="minorEastAsia" w:eastAsiaTheme="minorEastAsia"/>
              </w:rPr>
            </w:pPr>
            <w:r>
              <w:rPr>
                <w:rFonts w:hint="eastAsia" w:asciiTheme="minorEastAsia" w:hAnsiTheme="minorEastAsia" w:eastAsiaTheme="minorEastAsia"/>
              </w:rPr>
              <w:t>党委书记、董事长</w:t>
            </w:r>
          </w:p>
        </w:tc>
        <w:tc>
          <w:tcPr>
            <w:tcW w:w="1418" w:type="dxa"/>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021-06-29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trPr>
        <w:tc>
          <w:tcPr>
            <w:tcW w:w="1696" w:type="dxa"/>
          </w:tcPr>
          <w:p>
            <w:pPr>
              <w:jc w:val="center"/>
              <w:rPr>
                <w:rFonts w:asciiTheme="minorEastAsia" w:hAnsiTheme="minorEastAsia" w:eastAsiaTheme="minorEastAsia"/>
              </w:rPr>
            </w:pPr>
            <w:r>
              <w:rPr>
                <w:rFonts w:hint="eastAsia" w:asciiTheme="minorEastAsia" w:hAnsiTheme="minorEastAsia" w:eastAsiaTheme="minorEastAsia"/>
              </w:rPr>
              <w:t xml:space="preserve">刘 </w:t>
            </w:r>
            <w:r>
              <w:rPr>
                <w:rFonts w:asciiTheme="minorEastAsia" w:hAnsiTheme="minorEastAsia" w:eastAsiaTheme="minorEastAsia"/>
              </w:rPr>
              <w:t xml:space="preserve"> </w:t>
            </w:r>
            <w:r>
              <w:rPr>
                <w:rFonts w:hint="eastAsia" w:asciiTheme="minorEastAsia" w:hAnsiTheme="minorEastAsia" w:eastAsiaTheme="minorEastAsia"/>
              </w:rPr>
              <w:t>健</w:t>
            </w:r>
          </w:p>
        </w:tc>
        <w:tc>
          <w:tcPr>
            <w:tcW w:w="1560" w:type="dxa"/>
          </w:tcPr>
          <w:p>
            <w:pPr>
              <w:jc w:val="center"/>
              <w:rPr>
                <w:rFonts w:asciiTheme="minorEastAsia" w:hAnsiTheme="minorEastAsia" w:eastAsiaTheme="minorEastAsia"/>
              </w:rPr>
            </w:pPr>
            <w:r>
              <w:rPr>
                <w:rFonts w:hint="eastAsia" w:asciiTheme="minorEastAsia" w:hAnsiTheme="minorEastAsia" w:eastAsiaTheme="minorEastAsia"/>
              </w:rPr>
              <w:t>山东能源</w:t>
            </w:r>
          </w:p>
        </w:tc>
        <w:tc>
          <w:tcPr>
            <w:tcW w:w="4252" w:type="dxa"/>
          </w:tcPr>
          <w:p>
            <w:pPr>
              <w:rPr>
                <w:rFonts w:asciiTheme="minorEastAsia" w:hAnsiTheme="minorEastAsia" w:eastAsiaTheme="minorEastAsia"/>
              </w:rPr>
            </w:pPr>
            <w:r>
              <w:rPr>
                <w:rFonts w:hint="eastAsia" w:asciiTheme="minorEastAsia" w:hAnsiTheme="minorEastAsia" w:eastAsiaTheme="minorEastAsia"/>
              </w:rPr>
              <w:t>党委常委、副总经理</w:t>
            </w:r>
          </w:p>
        </w:tc>
        <w:tc>
          <w:tcPr>
            <w:tcW w:w="1418" w:type="dxa"/>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021-02-02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96" w:type="dxa"/>
          </w:tcPr>
          <w:p>
            <w:pPr>
              <w:jc w:val="center"/>
              <w:rPr>
                <w:rFonts w:asciiTheme="minorEastAsia" w:hAnsiTheme="minorEastAsia" w:eastAsiaTheme="minorEastAsia"/>
              </w:rPr>
            </w:pPr>
            <w:r>
              <w:rPr>
                <w:rFonts w:hint="eastAsia" w:asciiTheme="minorEastAsia" w:hAnsiTheme="minorEastAsia" w:eastAsiaTheme="minorEastAsia"/>
              </w:rPr>
              <w:t xml:space="preserve">刘 </w:t>
            </w:r>
            <w:r>
              <w:rPr>
                <w:rFonts w:asciiTheme="minorEastAsia" w:hAnsiTheme="minorEastAsia" w:eastAsiaTheme="minorEastAsia"/>
              </w:rPr>
              <w:t xml:space="preserve"> </w:t>
            </w:r>
            <w:r>
              <w:rPr>
                <w:rFonts w:hint="eastAsia" w:asciiTheme="minorEastAsia" w:hAnsiTheme="minorEastAsia" w:eastAsiaTheme="minorEastAsia"/>
              </w:rPr>
              <w:t>强</w:t>
            </w:r>
          </w:p>
        </w:tc>
        <w:tc>
          <w:tcPr>
            <w:tcW w:w="1560" w:type="dxa"/>
          </w:tcPr>
          <w:p>
            <w:pPr>
              <w:jc w:val="center"/>
              <w:rPr>
                <w:rFonts w:asciiTheme="minorEastAsia" w:hAnsiTheme="minorEastAsia" w:eastAsiaTheme="minorEastAsia"/>
              </w:rPr>
            </w:pPr>
            <w:r>
              <w:rPr>
                <w:rFonts w:hint="eastAsia" w:asciiTheme="minorEastAsia" w:hAnsiTheme="minorEastAsia" w:eastAsiaTheme="minorEastAsia"/>
              </w:rPr>
              <w:t>山东能源</w:t>
            </w:r>
          </w:p>
        </w:tc>
        <w:tc>
          <w:tcPr>
            <w:tcW w:w="4252" w:type="dxa"/>
          </w:tcPr>
          <w:p>
            <w:pPr>
              <w:rPr>
                <w:rFonts w:asciiTheme="minorEastAsia" w:hAnsiTheme="minorEastAsia" w:eastAsiaTheme="minorEastAsia"/>
              </w:rPr>
            </w:pPr>
            <w:r>
              <w:rPr>
                <w:rFonts w:hint="eastAsia" w:asciiTheme="minorEastAsia" w:hAnsiTheme="minorEastAsia" w:eastAsiaTheme="minorEastAsia"/>
              </w:rPr>
              <w:t>党委常委、副总经理</w:t>
            </w:r>
          </w:p>
        </w:tc>
        <w:tc>
          <w:tcPr>
            <w:tcW w:w="1418" w:type="dxa"/>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022-03-14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96" w:type="dxa"/>
          </w:tcPr>
          <w:p>
            <w:pPr>
              <w:jc w:val="center"/>
              <w:rPr>
                <w:rFonts w:asciiTheme="minorEastAsia" w:hAnsiTheme="minorEastAsia" w:eastAsiaTheme="minorEastAsia"/>
              </w:rPr>
            </w:pPr>
            <w:r>
              <w:rPr>
                <w:rFonts w:hint="eastAsia" w:asciiTheme="minorEastAsia" w:hAnsiTheme="minorEastAsia" w:eastAsiaTheme="minorEastAsia"/>
              </w:rPr>
              <w:t>张海军</w:t>
            </w:r>
          </w:p>
        </w:tc>
        <w:tc>
          <w:tcPr>
            <w:tcW w:w="1560" w:type="dxa"/>
          </w:tcPr>
          <w:p>
            <w:pPr>
              <w:jc w:val="center"/>
              <w:rPr>
                <w:rFonts w:asciiTheme="minorEastAsia" w:hAnsiTheme="minorEastAsia" w:eastAsiaTheme="minorEastAsia"/>
              </w:rPr>
            </w:pPr>
            <w:r>
              <w:rPr>
                <w:rFonts w:hint="eastAsia" w:asciiTheme="minorEastAsia" w:hAnsiTheme="minorEastAsia" w:eastAsiaTheme="minorEastAsia"/>
              </w:rPr>
              <w:t>山东能源</w:t>
            </w:r>
          </w:p>
        </w:tc>
        <w:tc>
          <w:tcPr>
            <w:tcW w:w="4252" w:type="dxa"/>
          </w:tcPr>
          <w:p>
            <w:pPr>
              <w:rPr>
                <w:rFonts w:asciiTheme="minorEastAsia" w:hAnsiTheme="minorEastAsia" w:eastAsiaTheme="minorEastAsia"/>
              </w:rPr>
            </w:pPr>
            <w:r>
              <w:rPr>
                <w:rFonts w:hint="eastAsia" w:asciiTheme="minorEastAsia" w:hAnsiTheme="minorEastAsia" w:eastAsiaTheme="minorEastAsia"/>
              </w:rPr>
              <w:t>规划发展部部长</w:t>
            </w:r>
          </w:p>
        </w:tc>
        <w:tc>
          <w:tcPr>
            <w:tcW w:w="1418" w:type="dxa"/>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022-05-</w:t>
            </w:r>
            <w:r>
              <w:rPr>
                <w:rFonts w:hint="eastAsia" w:asciiTheme="minorEastAsia" w:hAnsiTheme="minorEastAsia" w:eastAsiaTheme="minorEastAsia"/>
              </w:rPr>
              <w:t>0</w:t>
            </w:r>
            <w:r>
              <w:rPr>
                <w:rFonts w:asciiTheme="minorEastAsia" w:hAnsiTheme="minorEastAsia" w:eastAsiaTheme="minor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96" w:type="dxa"/>
          </w:tcPr>
          <w:p>
            <w:pPr>
              <w:jc w:val="center"/>
              <w:rPr>
                <w:rFonts w:asciiTheme="minorEastAsia" w:hAnsiTheme="minorEastAsia" w:eastAsiaTheme="minorEastAsia"/>
              </w:rPr>
            </w:pPr>
            <w:r>
              <w:rPr>
                <w:rFonts w:hint="eastAsia" w:asciiTheme="minorEastAsia" w:hAnsiTheme="minorEastAsia" w:eastAsiaTheme="minorEastAsia"/>
              </w:rPr>
              <w:t>李士鹏</w:t>
            </w:r>
          </w:p>
        </w:tc>
        <w:tc>
          <w:tcPr>
            <w:tcW w:w="1560" w:type="dxa"/>
          </w:tcPr>
          <w:p>
            <w:pPr>
              <w:jc w:val="center"/>
              <w:rPr>
                <w:rFonts w:asciiTheme="minorEastAsia" w:hAnsiTheme="minorEastAsia" w:eastAsiaTheme="minorEastAsia"/>
              </w:rPr>
            </w:pPr>
            <w:r>
              <w:rPr>
                <w:rFonts w:hint="eastAsia" w:asciiTheme="minorEastAsia" w:hAnsiTheme="minorEastAsia" w:eastAsiaTheme="minorEastAsia"/>
              </w:rPr>
              <w:t>山东能源</w:t>
            </w:r>
          </w:p>
        </w:tc>
        <w:tc>
          <w:tcPr>
            <w:tcW w:w="4252" w:type="dxa"/>
          </w:tcPr>
          <w:p>
            <w:pPr>
              <w:rPr>
                <w:rFonts w:asciiTheme="minorEastAsia" w:hAnsiTheme="minorEastAsia" w:eastAsiaTheme="minorEastAsia"/>
              </w:rPr>
            </w:pPr>
            <w:r>
              <w:rPr>
                <w:rFonts w:hint="eastAsia" w:asciiTheme="minorEastAsia" w:hAnsiTheme="minorEastAsia" w:eastAsiaTheme="minorEastAsia"/>
              </w:rPr>
              <w:t>财务管理部部长</w:t>
            </w:r>
          </w:p>
        </w:tc>
        <w:tc>
          <w:tcPr>
            <w:tcW w:w="1418" w:type="dxa"/>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020-08-</w:t>
            </w:r>
            <w:r>
              <w:rPr>
                <w:rFonts w:hint="eastAsia" w:asciiTheme="minorEastAsia" w:hAnsiTheme="minorEastAsia" w:eastAsiaTheme="minorEastAsi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96" w:type="dxa"/>
          </w:tcPr>
          <w:p>
            <w:pPr>
              <w:jc w:val="center"/>
              <w:rPr>
                <w:rFonts w:asciiTheme="minorEastAsia" w:hAnsiTheme="minorEastAsia" w:eastAsiaTheme="minorEastAsia"/>
              </w:rPr>
            </w:pPr>
            <w:r>
              <w:rPr>
                <w:rFonts w:hint="eastAsia" w:asciiTheme="minorEastAsia" w:hAnsiTheme="minorEastAsia" w:eastAsiaTheme="minorEastAsia"/>
              </w:rPr>
              <w:t xml:space="preserve">朱 </w:t>
            </w:r>
            <w:r>
              <w:rPr>
                <w:rFonts w:asciiTheme="minorEastAsia" w:hAnsiTheme="minorEastAsia" w:eastAsiaTheme="minorEastAsia"/>
              </w:rPr>
              <w:t xml:space="preserve"> </w:t>
            </w:r>
            <w:r>
              <w:rPr>
                <w:rFonts w:hint="eastAsia" w:asciiTheme="minorEastAsia" w:hAnsiTheme="minorEastAsia" w:eastAsiaTheme="minorEastAsia"/>
              </w:rPr>
              <w:t>昊</w:t>
            </w:r>
          </w:p>
        </w:tc>
        <w:tc>
          <w:tcPr>
            <w:tcW w:w="1560" w:type="dxa"/>
          </w:tcPr>
          <w:p>
            <w:pPr>
              <w:jc w:val="center"/>
              <w:rPr>
                <w:rFonts w:asciiTheme="minorEastAsia" w:hAnsiTheme="minorEastAsia" w:eastAsiaTheme="minorEastAsia"/>
              </w:rPr>
            </w:pPr>
            <w:r>
              <w:rPr>
                <w:rFonts w:hint="eastAsia" w:asciiTheme="minorEastAsia" w:hAnsiTheme="minorEastAsia" w:eastAsiaTheme="minorEastAsia"/>
              </w:rPr>
              <w:t>山东能源</w:t>
            </w:r>
          </w:p>
        </w:tc>
        <w:tc>
          <w:tcPr>
            <w:tcW w:w="4252" w:type="dxa"/>
          </w:tcPr>
          <w:p>
            <w:pPr>
              <w:rPr>
                <w:rFonts w:asciiTheme="minorEastAsia" w:hAnsiTheme="minorEastAsia" w:eastAsiaTheme="minorEastAsia"/>
              </w:rPr>
            </w:pPr>
            <w:r>
              <w:rPr>
                <w:rFonts w:hint="eastAsia" w:asciiTheme="minorEastAsia" w:hAnsiTheme="minorEastAsia" w:eastAsiaTheme="minorEastAsia"/>
              </w:rPr>
              <w:t>运营管理部部长</w:t>
            </w:r>
          </w:p>
        </w:tc>
        <w:tc>
          <w:tcPr>
            <w:tcW w:w="1418" w:type="dxa"/>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020-08-15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96" w:type="dxa"/>
          </w:tcPr>
          <w:p>
            <w:pPr>
              <w:jc w:val="center"/>
              <w:rPr>
                <w:rFonts w:asciiTheme="minorEastAsia" w:hAnsiTheme="minorEastAsia" w:eastAsiaTheme="minorEastAsia"/>
              </w:rPr>
            </w:pPr>
            <w:r>
              <w:rPr>
                <w:rFonts w:hint="eastAsia" w:asciiTheme="minorEastAsia" w:hAnsiTheme="minorEastAsia" w:eastAsiaTheme="minorEastAsia"/>
              </w:rPr>
              <w:t>祝庆瑞（离任）</w:t>
            </w:r>
          </w:p>
        </w:tc>
        <w:tc>
          <w:tcPr>
            <w:tcW w:w="1560" w:type="dxa"/>
          </w:tcPr>
          <w:p>
            <w:pPr>
              <w:jc w:val="center"/>
              <w:rPr>
                <w:rFonts w:asciiTheme="minorEastAsia" w:hAnsiTheme="minorEastAsia" w:eastAsiaTheme="minorEastAsia"/>
              </w:rPr>
            </w:pPr>
            <w:r>
              <w:rPr>
                <w:rFonts w:hint="eastAsia" w:asciiTheme="minorEastAsia" w:hAnsiTheme="minorEastAsia" w:eastAsiaTheme="minorEastAsia"/>
              </w:rPr>
              <w:t>山东能源</w:t>
            </w:r>
          </w:p>
        </w:tc>
        <w:tc>
          <w:tcPr>
            <w:tcW w:w="4252" w:type="dxa"/>
          </w:tcPr>
          <w:p>
            <w:pPr>
              <w:rPr>
                <w:rFonts w:asciiTheme="minorEastAsia" w:hAnsiTheme="minorEastAsia" w:eastAsiaTheme="minorEastAsia"/>
              </w:rPr>
            </w:pPr>
            <w:r>
              <w:rPr>
                <w:rFonts w:hint="eastAsia" w:asciiTheme="minorEastAsia" w:hAnsiTheme="minorEastAsia" w:eastAsiaTheme="minorEastAsia"/>
              </w:rPr>
              <w:t>总工程师（化工专业）</w:t>
            </w:r>
          </w:p>
        </w:tc>
        <w:tc>
          <w:tcPr>
            <w:tcW w:w="1418" w:type="dxa"/>
          </w:tcPr>
          <w:p>
            <w:pPr>
              <w:widowControl/>
              <w:jc w:val="center"/>
              <w:rPr>
                <w:rFonts w:asciiTheme="minorEastAsia" w:hAnsiTheme="minorEastAsia" w:eastAsiaTheme="minorEastAsia"/>
              </w:rPr>
            </w:pPr>
            <w:r>
              <w:rPr>
                <w:rFonts w:asciiTheme="minorEastAsia" w:hAnsiTheme="minorEastAsia" w:eastAsiaTheme="minorEastAsia"/>
              </w:rPr>
              <w:t>2022-08-05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96" w:type="dxa"/>
            <w:vAlign w:val="center"/>
          </w:tcPr>
          <w:p>
            <w:pPr>
              <w:jc w:val="center"/>
              <w:rPr>
                <w:rFonts w:asciiTheme="minorEastAsia" w:hAnsiTheme="minorEastAsia" w:eastAsiaTheme="minorEastAsia"/>
              </w:rPr>
            </w:pPr>
            <w:r>
              <w:rPr>
                <w:rFonts w:hint="eastAsia" w:asciiTheme="minorEastAsia" w:hAnsiTheme="minorEastAsia" w:eastAsiaTheme="minorEastAsia"/>
              </w:rPr>
              <w:t xml:space="preserve">邓 </w:t>
            </w:r>
            <w:r>
              <w:rPr>
                <w:rFonts w:asciiTheme="minorEastAsia" w:hAnsiTheme="minorEastAsia" w:eastAsiaTheme="minorEastAsia"/>
              </w:rPr>
              <w:t xml:space="preserve"> </w:t>
            </w:r>
            <w:r>
              <w:rPr>
                <w:rFonts w:hint="eastAsia" w:asciiTheme="minorEastAsia" w:hAnsiTheme="minorEastAsia" w:eastAsiaTheme="minorEastAsia"/>
              </w:rPr>
              <w:t>辉（离任）</w:t>
            </w:r>
          </w:p>
        </w:tc>
        <w:tc>
          <w:tcPr>
            <w:tcW w:w="1560" w:type="dxa"/>
            <w:vAlign w:val="center"/>
          </w:tcPr>
          <w:p>
            <w:pPr>
              <w:jc w:val="center"/>
              <w:rPr>
                <w:rFonts w:asciiTheme="minorEastAsia" w:hAnsiTheme="minorEastAsia" w:eastAsiaTheme="minorEastAsia"/>
              </w:rPr>
            </w:pPr>
            <w:r>
              <w:rPr>
                <w:rFonts w:hint="eastAsia" w:asciiTheme="minorEastAsia" w:hAnsiTheme="minorEastAsia" w:eastAsiaTheme="minorEastAsia"/>
              </w:rPr>
              <w:t>山东能源</w:t>
            </w:r>
          </w:p>
        </w:tc>
        <w:tc>
          <w:tcPr>
            <w:tcW w:w="4252" w:type="dxa"/>
          </w:tcPr>
          <w:p>
            <w:pPr>
              <w:rPr>
                <w:rFonts w:asciiTheme="minorEastAsia" w:hAnsiTheme="minorEastAsia" w:eastAsiaTheme="minorEastAsia"/>
              </w:rPr>
            </w:pPr>
            <w:r>
              <w:rPr>
                <w:rFonts w:hint="eastAsia" w:asciiTheme="minorEastAsia" w:hAnsiTheme="minorEastAsia" w:eastAsiaTheme="minorEastAsia"/>
              </w:rPr>
              <w:t>山东兖矿国际焦化有限公司党委书记、副董事长</w:t>
            </w:r>
          </w:p>
        </w:tc>
        <w:tc>
          <w:tcPr>
            <w:tcW w:w="1418" w:type="dxa"/>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022-08-</w:t>
            </w:r>
            <w:r>
              <w:rPr>
                <w:rFonts w:hint="eastAsia" w:asciiTheme="minorEastAsia" w:hAnsiTheme="minorEastAsia" w:eastAsiaTheme="minorEastAsia"/>
              </w:rPr>
              <w:t>0</w:t>
            </w:r>
            <w:r>
              <w:rPr>
                <w:rFonts w:asciiTheme="minorEastAsia" w:hAnsiTheme="minorEastAsia" w:eastAsiaTheme="min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696" w:type="dxa"/>
            <w:vAlign w:val="center"/>
          </w:tcPr>
          <w:p>
            <w:pPr>
              <w:jc w:val="center"/>
              <w:rPr>
                <w:rFonts w:asciiTheme="minorEastAsia" w:hAnsiTheme="minorEastAsia" w:eastAsiaTheme="minorEastAsia"/>
              </w:rPr>
            </w:pPr>
            <w:r>
              <w:rPr>
                <w:rFonts w:hint="eastAsia" w:asciiTheme="minorEastAsia" w:hAnsiTheme="minorEastAsia" w:eastAsiaTheme="minorEastAsia"/>
              </w:rPr>
              <w:t>尤加强（离任）</w:t>
            </w:r>
          </w:p>
        </w:tc>
        <w:tc>
          <w:tcPr>
            <w:tcW w:w="1560" w:type="dxa"/>
            <w:vAlign w:val="center"/>
          </w:tcPr>
          <w:p>
            <w:pPr>
              <w:jc w:val="center"/>
              <w:rPr>
                <w:rFonts w:asciiTheme="minorEastAsia" w:hAnsiTheme="minorEastAsia" w:eastAsiaTheme="minorEastAsia"/>
              </w:rPr>
            </w:pPr>
            <w:r>
              <w:rPr>
                <w:rFonts w:hint="eastAsia" w:asciiTheme="minorEastAsia" w:hAnsiTheme="minorEastAsia" w:eastAsiaTheme="minorEastAsia"/>
              </w:rPr>
              <w:t>山东能源</w:t>
            </w:r>
          </w:p>
        </w:tc>
        <w:tc>
          <w:tcPr>
            <w:tcW w:w="4252" w:type="dxa"/>
          </w:tcPr>
          <w:p>
            <w:pPr>
              <w:rPr>
                <w:rFonts w:asciiTheme="minorEastAsia" w:hAnsiTheme="minorEastAsia" w:eastAsiaTheme="minorEastAsia"/>
              </w:rPr>
            </w:pPr>
            <w:r>
              <w:rPr>
                <w:rFonts w:hint="eastAsia" w:asciiTheme="minorEastAsia" w:hAnsiTheme="minorEastAsia" w:eastAsiaTheme="minorEastAsia"/>
              </w:rPr>
              <w:t>副总工程师、化工产业发展中心主任</w:t>
            </w:r>
          </w:p>
        </w:tc>
        <w:tc>
          <w:tcPr>
            <w:tcW w:w="1418" w:type="dxa"/>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96" w:type="dxa"/>
          </w:tcPr>
          <w:p>
            <w:pPr>
              <w:rPr>
                <w:rFonts w:asciiTheme="minorEastAsia" w:hAnsiTheme="minorEastAsia" w:eastAsiaTheme="minorEastAsia"/>
              </w:rPr>
            </w:pPr>
            <w:r>
              <w:rPr>
                <w:rFonts w:asciiTheme="minorEastAsia" w:hAnsiTheme="minorEastAsia" w:eastAsiaTheme="minorEastAsia"/>
              </w:rPr>
              <w:t>在股东单位任职情况的说明</w:t>
            </w:r>
          </w:p>
        </w:tc>
        <w:tc>
          <w:tcPr>
            <w:tcW w:w="7230" w:type="dxa"/>
            <w:gridSpan w:val="3"/>
            <w:vAlign w:val="center"/>
          </w:tcPr>
          <w:p>
            <w:pPr>
              <w:jc w:val="left"/>
              <w:rPr>
                <w:rFonts w:asciiTheme="minorEastAsia" w:hAnsiTheme="minorEastAsia" w:eastAsiaTheme="minorEastAsia"/>
              </w:rPr>
            </w:pPr>
            <w:r>
              <w:rPr>
                <w:rFonts w:hint="eastAsia" w:asciiTheme="minorEastAsia" w:hAnsiTheme="minorEastAsia" w:eastAsiaTheme="minorEastAsia"/>
              </w:rPr>
              <w:t>无</w:t>
            </w:r>
          </w:p>
        </w:tc>
      </w:tr>
    </w:tbl>
    <w:p>
      <w:pPr>
        <w:rPr>
          <w:rFonts w:asciiTheme="minorEastAsia" w:hAnsiTheme="minorEastAsia" w:eastAsiaTheme="minorEastAsia"/>
        </w:rPr>
      </w:pPr>
    </w:p>
    <w:p>
      <w:pPr>
        <w:pStyle w:val="216"/>
        <w:numPr>
          <w:ilvl w:val="0"/>
          <w:numId w:val="19"/>
        </w:numPr>
        <w:ind w:firstLineChars="0"/>
        <w:rPr>
          <w:rFonts w:asciiTheme="minorEastAsia" w:hAnsiTheme="minorEastAsia" w:eastAsiaTheme="minorEastAsia"/>
          <w:b/>
          <w:bCs/>
        </w:rPr>
      </w:pPr>
      <w:r>
        <w:rPr>
          <w:rFonts w:asciiTheme="minorEastAsia" w:hAnsiTheme="minorEastAsia" w:eastAsiaTheme="minorEastAsia"/>
          <w:b/>
          <w:bCs/>
        </w:rPr>
        <w:t>在其他单位任职情况</w:t>
      </w:r>
    </w:p>
    <w:sdt>
      <w:sdtPr>
        <w:rPr>
          <w:rFonts w:asciiTheme="minorEastAsia" w:hAnsiTheme="minorEastAsia" w:eastAsiaTheme="minorEastAsia"/>
        </w:rPr>
        <w:alias w:val="是否适用：在其他单位任职情况[双击切换]"/>
        <w:tag w:val="_GBC_31c17de709bb42fdb7ba137e843fe054"/>
        <w:id w:val="1833647504"/>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tbl>
      <w:tblPr>
        <w:tblStyle w:val="20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5"/>
        <w:gridCol w:w="2812"/>
        <w:gridCol w:w="1966"/>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sdt>
          <w:sdtPr>
            <w:rPr>
              <w:rFonts w:asciiTheme="minorEastAsia" w:hAnsiTheme="minorEastAsia" w:eastAsiaTheme="minorEastAsia"/>
            </w:rPr>
            <w:tag w:val="_PLD_84cb4ce7fc4643b1be607267619a4b88"/>
            <w:id w:val="-38748112"/>
          </w:sdtPr>
          <w:sdtEndPr>
            <w:rPr>
              <w:rFonts w:asciiTheme="minorEastAsia" w:hAnsiTheme="minorEastAsia" w:eastAsiaTheme="minorEastAsia"/>
            </w:rPr>
          </w:sdtEndPr>
          <w:sdtContent>
            <w:tc>
              <w:tcPr>
                <w:tcW w:w="2145" w:type="dxa"/>
                <w:vAlign w:val="center"/>
              </w:tcPr>
              <w:p>
                <w:pPr>
                  <w:jc w:val="center"/>
                  <w:rPr>
                    <w:rFonts w:asciiTheme="minorEastAsia" w:hAnsiTheme="minorEastAsia" w:eastAsiaTheme="minorEastAsia"/>
                  </w:rPr>
                </w:pPr>
                <w:r>
                  <w:rPr>
                    <w:rFonts w:asciiTheme="minorEastAsia" w:hAnsiTheme="minorEastAsia" w:eastAsiaTheme="minorEastAsia"/>
                  </w:rPr>
                  <w:t>任职人员姓名</w:t>
                </w:r>
              </w:p>
            </w:tc>
          </w:sdtContent>
        </w:sdt>
        <w:sdt>
          <w:sdtPr>
            <w:rPr>
              <w:rFonts w:asciiTheme="minorEastAsia" w:hAnsiTheme="minorEastAsia" w:eastAsiaTheme="minorEastAsia"/>
            </w:rPr>
            <w:tag w:val="_PLD_9c5aac001d5a4c2eb3cc0bf1e1f66afe"/>
            <w:id w:val="1259874744"/>
          </w:sdtPr>
          <w:sdtEndPr>
            <w:rPr>
              <w:rFonts w:asciiTheme="minorEastAsia" w:hAnsiTheme="minorEastAsia" w:eastAsiaTheme="minorEastAsia"/>
            </w:rPr>
          </w:sdtEndPr>
          <w:sdtContent>
            <w:tc>
              <w:tcPr>
                <w:tcW w:w="2812" w:type="dxa"/>
                <w:vAlign w:val="center"/>
              </w:tcPr>
              <w:p>
                <w:pPr>
                  <w:jc w:val="center"/>
                  <w:rPr>
                    <w:rFonts w:asciiTheme="minorEastAsia" w:hAnsiTheme="minorEastAsia" w:eastAsiaTheme="minorEastAsia"/>
                  </w:rPr>
                </w:pPr>
                <w:r>
                  <w:rPr>
                    <w:rFonts w:asciiTheme="minorEastAsia" w:hAnsiTheme="minorEastAsia" w:eastAsiaTheme="minorEastAsia"/>
                  </w:rPr>
                  <w:t>其他单位名称</w:t>
                </w:r>
              </w:p>
            </w:tc>
          </w:sdtContent>
        </w:sdt>
        <w:sdt>
          <w:sdtPr>
            <w:rPr>
              <w:rFonts w:asciiTheme="minorEastAsia" w:hAnsiTheme="minorEastAsia" w:eastAsiaTheme="minorEastAsia"/>
            </w:rPr>
            <w:tag w:val="_PLD_a3a2822cc76542afbd1a58b94268af1d"/>
            <w:id w:val="-758134591"/>
          </w:sdtPr>
          <w:sdtEndPr>
            <w:rPr>
              <w:rFonts w:asciiTheme="minorEastAsia" w:hAnsiTheme="minorEastAsia" w:eastAsiaTheme="minorEastAsia"/>
            </w:rPr>
          </w:sdtEndPr>
          <w:sdtContent>
            <w:tc>
              <w:tcPr>
                <w:tcW w:w="1966" w:type="dxa"/>
                <w:vAlign w:val="center"/>
              </w:tcPr>
              <w:p>
                <w:pPr>
                  <w:jc w:val="center"/>
                  <w:rPr>
                    <w:rFonts w:asciiTheme="minorEastAsia" w:hAnsiTheme="minorEastAsia" w:eastAsiaTheme="minorEastAsia"/>
                  </w:rPr>
                </w:pPr>
                <w:r>
                  <w:rPr>
                    <w:rFonts w:asciiTheme="minorEastAsia" w:hAnsiTheme="minorEastAsia" w:eastAsiaTheme="minorEastAsia"/>
                  </w:rPr>
                  <w:t>在其他单位担任的职务</w:t>
                </w:r>
              </w:p>
            </w:tc>
          </w:sdtContent>
        </w:sdt>
        <w:sdt>
          <w:sdtPr>
            <w:rPr>
              <w:rFonts w:asciiTheme="minorEastAsia" w:hAnsiTheme="minorEastAsia" w:eastAsiaTheme="minorEastAsia"/>
            </w:rPr>
            <w:tag w:val="_PLD_1afbd86b2e47420ca2c5a75f01567f2a"/>
            <w:id w:val="45655871"/>
          </w:sdtPr>
          <w:sdtEndPr>
            <w:rPr>
              <w:rFonts w:asciiTheme="minorEastAsia" w:hAnsiTheme="minorEastAsia" w:eastAsiaTheme="minorEastAsia"/>
            </w:rPr>
          </w:sdtEndPr>
          <w:sdtContent>
            <w:tc>
              <w:tcPr>
                <w:tcW w:w="1898" w:type="dxa"/>
                <w:vAlign w:val="center"/>
              </w:tcPr>
              <w:p>
                <w:pPr>
                  <w:jc w:val="center"/>
                  <w:rPr>
                    <w:rFonts w:asciiTheme="minorEastAsia" w:hAnsiTheme="minorEastAsia" w:eastAsiaTheme="minorEastAsia"/>
                  </w:rPr>
                </w:pPr>
                <w:r>
                  <w:rPr>
                    <w:rFonts w:asciiTheme="minorEastAsia" w:hAnsiTheme="minorEastAsia" w:eastAsiaTheme="minorEastAsia"/>
                  </w:rPr>
                  <w:t>任期起始日期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肖耀猛</w:t>
            </w:r>
          </w:p>
        </w:tc>
        <w:tc>
          <w:tcPr>
            <w:tcW w:w="2812" w:type="dxa"/>
            <w:vAlign w:val="center"/>
          </w:tcPr>
          <w:p>
            <w:pPr>
              <w:rPr>
                <w:rFonts w:asciiTheme="minorEastAsia" w:hAnsiTheme="minorEastAsia" w:eastAsiaTheme="minorEastAsia"/>
              </w:rPr>
            </w:pPr>
            <w:r>
              <w:rPr>
                <w:rFonts w:ascii="Times New Roman" w:hAnsi="Times New Roman"/>
              </w:rPr>
              <w:t>兖煤澳大利亚有限公司</w:t>
            </w:r>
          </w:p>
        </w:tc>
        <w:tc>
          <w:tcPr>
            <w:tcW w:w="1966" w:type="dxa"/>
            <w:vAlign w:val="center"/>
          </w:tcPr>
          <w:p>
            <w:pPr>
              <w:jc w:val="center"/>
              <w:rPr>
                <w:rFonts w:asciiTheme="minorEastAsia" w:hAnsiTheme="minorEastAsia" w:eastAsiaTheme="minorEastAsia"/>
              </w:rPr>
            </w:pPr>
            <w:r>
              <w:rPr>
                <w:rFonts w:ascii="Times New Roman" w:hAnsi="Times New Roman"/>
              </w:rPr>
              <w:t>董事</w:t>
            </w:r>
          </w:p>
        </w:tc>
        <w:tc>
          <w:tcPr>
            <w:tcW w:w="1898" w:type="dxa"/>
            <w:vAlign w:val="center"/>
          </w:tcPr>
          <w:p>
            <w:pPr>
              <w:jc w:val="center"/>
              <w:rPr>
                <w:rFonts w:asciiTheme="minorEastAsia" w:hAnsiTheme="minorEastAsia" w:eastAsiaTheme="minorEastAsia"/>
              </w:rPr>
            </w:pPr>
            <w:r>
              <w:rPr>
                <w:rFonts w:asciiTheme="minorEastAsia" w:hAnsiTheme="minorEastAsia" w:eastAsiaTheme="minorEastAsia"/>
              </w:rPr>
              <w:t>2022-05-30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兖矿东华重工有限公司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董事长</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兖煤国际（控股）有限公司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Align w:val="center"/>
          </w:tcPr>
          <w:p>
            <w:pPr>
              <w:jc w:val="center"/>
              <w:rPr>
                <w:rFonts w:asciiTheme="minorEastAsia" w:hAnsiTheme="minorEastAsia" w:eastAsiaTheme="minorEastAsia"/>
              </w:rPr>
            </w:pPr>
            <w:r>
              <w:rPr>
                <w:rFonts w:asciiTheme="minorEastAsia" w:hAnsiTheme="minorEastAsia" w:eastAsiaTheme="minorEastAsia"/>
              </w:rPr>
              <w:t>苏</w:t>
            </w:r>
            <w:r>
              <w:rPr>
                <w:rFonts w:hint="eastAsia" w:asciiTheme="minorEastAsia" w:hAnsiTheme="minorEastAsia" w:eastAsiaTheme="minorEastAsia"/>
              </w:rPr>
              <w:t xml:space="preserve"> </w:t>
            </w:r>
            <w:r>
              <w:rPr>
                <w:rFonts w:asciiTheme="minorEastAsia" w:hAnsiTheme="minorEastAsia" w:eastAsiaTheme="minorEastAsia"/>
              </w:rPr>
              <w:t xml:space="preserve"> 力</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兖矿能源（鄂尔多斯）有限公司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监事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2021-12-15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asciiTheme="minorEastAsia" w:hAnsiTheme="minorEastAsia" w:eastAsiaTheme="minorEastAsia"/>
              </w:rPr>
              <w:t>黄霄龙</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山东华聚能源股份有限公司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监事会主席</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兖煤国际（控股）有限公司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兖煤澳大利亚有限公司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05</w:t>
            </w:r>
            <w:r>
              <w:rPr>
                <w:rFonts w:hint="eastAsia" w:asciiTheme="minorEastAsia" w:hAnsiTheme="minorEastAsia" w:eastAsiaTheme="minorEastAsia"/>
              </w:rPr>
              <w:t>-</w:t>
            </w:r>
            <w:r>
              <w:rPr>
                <w:rFonts w:asciiTheme="minorEastAsia" w:hAnsiTheme="minorEastAsia" w:eastAsiaTheme="minorEastAsia"/>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兖矿新疆能化有限公司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Align w:val="center"/>
          </w:tcPr>
          <w:p>
            <w:pPr>
              <w:jc w:val="center"/>
              <w:rPr>
                <w:rFonts w:asciiTheme="minorEastAsia" w:hAnsiTheme="minorEastAsia" w:eastAsiaTheme="minorEastAsia"/>
              </w:rPr>
            </w:pPr>
            <w:r>
              <w:rPr>
                <w:rFonts w:asciiTheme="minorEastAsia" w:hAnsiTheme="minorEastAsia" w:eastAsiaTheme="minorEastAsia"/>
              </w:rPr>
              <w:t>彭苏萍</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国家电投集团氢能科技发展有限公司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0</w:t>
            </w:r>
            <w:r>
              <w:rPr>
                <w:rFonts w:hint="eastAsia" w:asciiTheme="minorEastAsia" w:hAnsiTheme="minorEastAsia" w:eastAsiaTheme="minorEastAsia"/>
              </w:rPr>
              <w:t>-</w:t>
            </w:r>
            <w:r>
              <w:rPr>
                <w:rFonts w:asciiTheme="minorEastAsia" w:hAnsiTheme="minorEastAsia" w:eastAsiaTheme="minorEastAsia"/>
              </w:rPr>
              <w:t>07</w:t>
            </w:r>
            <w:r>
              <w:rPr>
                <w:rFonts w:hint="eastAsia" w:asciiTheme="minorEastAsia" w:hAnsiTheme="minorEastAsia" w:eastAsiaTheme="minorEastAsia"/>
              </w:rPr>
              <w:t>-0</w:t>
            </w:r>
            <w:r>
              <w:rPr>
                <w:rFonts w:asciiTheme="minorEastAsia" w:hAnsiTheme="minorEastAsia" w:eastAsiaTheme="minor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朱利民</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焦点科技股份有限公司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2020-03-02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华润化学材料科技股份有限公司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2020-04-07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南通国盛智能科技集团股份有限公司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2022-07-01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asciiTheme="minorEastAsia" w:hAnsiTheme="minorEastAsia" w:eastAsiaTheme="minorEastAsia"/>
              </w:rPr>
              <w:t>胡家栋</w:t>
            </w: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远大中国控股有限公司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2011-04-12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国微技术控股有限公司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2016-03-06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asciiTheme="minorEastAsia" w:hAnsiTheme="minorEastAsia" w:eastAsiaTheme="minorEastAsia"/>
              </w:rPr>
              <w:t>朱</w:t>
            </w:r>
            <w:r>
              <w:rPr>
                <w:rFonts w:hint="eastAsia" w:asciiTheme="minorEastAsia" w:hAnsiTheme="minorEastAsia" w:eastAsiaTheme="minorEastAsia"/>
              </w:rPr>
              <w:t xml:space="preserve"> </w:t>
            </w:r>
            <w:r>
              <w:rPr>
                <w:rFonts w:asciiTheme="minorEastAsia" w:hAnsiTheme="minorEastAsia" w:eastAsiaTheme="minorEastAsia"/>
              </w:rPr>
              <w:t xml:space="preserve"> 睿</w:t>
            </w: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九毛九国际控股有限公司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tcPr>
          <w:p>
            <w:pPr>
              <w:jc w:val="center"/>
              <w:rPr>
                <w:rFonts w:asciiTheme="minorEastAsia" w:hAnsiTheme="minorEastAsia" w:eastAsiaTheme="minorEastAsia"/>
              </w:rPr>
            </w:pPr>
            <w:r>
              <w:rPr>
                <w:rFonts w:hint="eastAsia" w:asciiTheme="minorEastAsia" w:hAnsiTheme="minorEastAsia" w:eastAsiaTheme="minorEastAsia"/>
              </w:rPr>
              <w:t>2021-04-16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万物新生公司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tcPr>
          <w:p>
            <w:pPr>
              <w:jc w:val="center"/>
              <w:rPr>
                <w:rFonts w:asciiTheme="minorEastAsia" w:hAnsiTheme="minorEastAsia" w:eastAsiaTheme="minorEastAsia"/>
              </w:rPr>
            </w:pPr>
            <w:r>
              <w:rPr>
                <w:rFonts w:hint="eastAsia" w:asciiTheme="minorEastAsia" w:hAnsiTheme="minorEastAsia" w:eastAsiaTheme="minorEastAsia"/>
              </w:rPr>
              <w:t>2022-01-01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asciiTheme="minorEastAsia" w:hAnsiTheme="minorEastAsia" w:eastAsiaTheme="minorEastAsia"/>
              </w:rPr>
              <w:t>李士鹏</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山东能源集团财务有限公司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董事长</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11</w:t>
            </w:r>
            <w:r>
              <w:rPr>
                <w:rFonts w:hint="eastAsia" w:asciiTheme="minorEastAsia" w:hAnsiTheme="minorEastAsia" w:eastAsiaTheme="minorEastAsia"/>
              </w:rPr>
              <w:t>-0</w:t>
            </w:r>
            <w:r>
              <w:rPr>
                <w:rFonts w:asciiTheme="minorEastAsia" w:hAnsiTheme="minorEastAsia" w:eastAsiaTheme="minorEastAsi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tcPr>
          <w:p>
            <w:pPr>
              <w:rPr>
                <w:rFonts w:asciiTheme="minorEastAsia" w:hAnsiTheme="minorEastAsia" w:eastAsiaTheme="minorEastAsia"/>
              </w:rPr>
            </w:pPr>
            <w:r>
              <w:rPr>
                <w:rFonts w:hint="eastAsia" w:asciiTheme="minorEastAsia" w:hAnsiTheme="minorEastAsia" w:eastAsiaTheme="minorEastAsia"/>
              </w:rPr>
              <w:t>山东能源（海南）智慧国际科技有限公司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2022-10-24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兖矿融资租赁有限公司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董事长</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10</w:t>
            </w:r>
            <w:r>
              <w:rPr>
                <w:rFonts w:hint="eastAsia" w:asciiTheme="minorEastAsia" w:hAnsiTheme="minorEastAsia" w:eastAsiaTheme="minorEastAsia"/>
              </w:rPr>
              <w:t>-0</w:t>
            </w:r>
            <w:r>
              <w:rPr>
                <w:rFonts w:asciiTheme="minorEastAsia" w:hAnsiTheme="minorEastAsia" w:eastAsiaTheme="minor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Align w:val="center"/>
          </w:tcPr>
          <w:p>
            <w:pPr>
              <w:jc w:val="center"/>
              <w:rPr>
                <w:rFonts w:asciiTheme="minorEastAsia" w:hAnsiTheme="minorEastAsia" w:eastAsiaTheme="minorEastAsia"/>
              </w:rPr>
            </w:pPr>
            <w:r>
              <w:rPr>
                <w:rFonts w:hint="eastAsia" w:asciiTheme="minorEastAsia" w:hAnsiTheme="minorEastAsia" w:eastAsiaTheme="minorEastAsia"/>
              </w:rPr>
              <w:t>李洪国</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山东能源集团鲁西矿业有限公司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11</w:t>
            </w:r>
            <w:r>
              <w:rPr>
                <w:rFonts w:hint="eastAsia" w:asciiTheme="minorEastAsia" w:hAnsiTheme="minorEastAsia" w:eastAsiaTheme="minorEastAsia"/>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asciiTheme="minorEastAsia" w:hAnsiTheme="minorEastAsia" w:eastAsiaTheme="minorEastAsia"/>
              </w:rPr>
              <w:t>王九红</w:t>
            </w:r>
          </w:p>
        </w:tc>
        <w:tc>
          <w:tcPr>
            <w:tcW w:w="2812" w:type="dxa"/>
            <w:vAlign w:val="center"/>
          </w:tcPr>
          <w:p>
            <w:pPr>
              <w:rPr>
                <w:rFonts w:asciiTheme="minorEastAsia" w:hAnsiTheme="minorEastAsia" w:eastAsiaTheme="minorEastAsia"/>
              </w:rPr>
            </w:pPr>
            <w:r>
              <w:rPr>
                <w:rFonts w:ascii="Times New Roman" w:hAnsi="Times New Roman"/>
              </w:rPr>
              <w:t>内蒙古昊盛煤业有限公司</w:t>
            </w:r>
          </w:p>
        </w:tc>
        <w:tc>
          <w:tcPr>
            <w:tcW w:w="1966" w:type="dxa"/>
            <w:vAlign w:val="center"/>
          </w:tcPr>
          <w:p>
            <w:pPr>
              <w:jc w:val="center"/>
              <w:rPr>
                <w:rFonts w:asciiTheme="minorEastAsia" w:hAnsiTheme="minorEastAsia" w:eastAsiaTheme="minorEastAsia"/>
              </w:rPr>
            </w:pPr>
            <w:r>
              <w:rPr>
                <w:rFonts w:ascii="Times New Roman" w:hAnsi="Times New Roman"/>
              </w:rPr>
              <w:t>董事</w:t>
            </w:r>
          </w:p>
        </w:tc>
        <w:tc>
          <w:tcPr>
            <w:tcW w:w="1898" w:type="dxa"/>
            <w:vAlign w:val="center"/>
          </w:tcPr>
          <w:p>
            <w:pPr>
              <w:jc w:val="center"/>
              <w:rPr>
                <w:rFonts w:asciiTheme="minorEastAsia" w:hAnsiTheme="minorEastAsia" w:eastAsiaTheme="minorEastAsia"/>
              </w:rPr>
            </w:pPr>
            <w:r>
              <w:rPr>
                <w:rFonts w:asciiTheme="minorEastAsia" w:hAnsiTheme="minorEastAsia" w:eastAsiaTheme="minorEastAsia"/>
              </w:rPr>
              <w:t>202</w:t>
            </w:r>
            <w:r>
              <w:rPr>
                <w:rFonts w:hint="eastAsia" w:asciiTheme="minorEastAsia" w:hAnsiTheme="minorEastAsia" w:eastAsiaTheme="minorEastAsia"/>
              </w:rPr>
              <w:t>0</w:t>
            </w:r>
            <w:r>
              <w:rPr>
                <w:rFonts w:asciiTheme="minorEastAsia" w:hAnsiTheme="minorEastAsia" w:eastAsiaTheme="minorEastAsia"/>
              </w:rPr>
              <w:t>-</w:t>
            </w:r>
            <w:r>
              <w:rPr>
                <w:rFonts w:hint="eastAsia" w:asciiTheme="minorEastAsia" w:hAnsiTheme="minorEastAsia" w:eastAsiaTheme="minorEastAsia"/>
              </w:rPr>
              <w:t>12</w:t>
            </w:r>
            <w:r>
              <w:rPr>
                <w:rFonts w:asciiTheme="minorEastAsia" w:hAnsiTheme="minorEastAsia" w:eastAsiaTheme="minorEastAsia"/>
              </w:rPr>
              <w:t>-2</w:t>
            </w:r>
            <w:r>
              <w:rPr>
                <w:rFonts w:hint="eastAsia" w:asciiTheme="minorEastAsia" w:hAnsiTheme="minorEastAsia" w:eastAsiaTheme="minor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兖矿能源（鄂尔多斯）有限公司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党委书记、董事长</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2022-10-27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内蒙古矿业（集团）有限责任公司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党委书记、董事长</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2022-10-27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asciiTheme="minorEastAsia" w:hAnsiTheme="minorEastAsia" w:eastAsiaTheme="minorEastAsia"/>
              </w:rPr>
              <w:t>岳  宁</w:t>
            </w:r>
          </w:p>
        </w:tc>
        <w:tc>
          <w:tcPr>
            <w:tcW w:w="2812" w:type="dxa"/>
            <w:vAlign w:val="center"/>
          </w:tcPr>
          <w:p>
            <w:pPr>
              <w:rPr>
                <w:rFonts w:asciiTheme="minorEastAsia" w:hAnsiTheme="minorEastAsia" w:eastAsiaTheme="minorEastAsia"/>
              </w:rPr>
            </w:pPr>
            <w:r>
              <w:rPr>
                <w:rFonts w:ascii="Times New Roman" w:hAnsi="Times New Roman"/>
              </w:rPr>
              <w:t>陕西未来能源化工有限公司</w:t>
            </w:r>
          </w:p>
        </w:tc>
        <w:tc>
          <w:tcPr>
            <w:tcW w:w="1966" w:type="dxa"/>
            <w:vAlign w:val="center"/>
          </w:tcPr>
          <w:p>
            <w:pPr>
              <w:jc w:val="center"/>
              <w:rPr>
                <w:rFonts w:asciiTheme="minorEastAsia" w:hAnsiTheme="minorEastAsia" w:eastAsiaTheme="minorEastAsia"/>
              </w:rPr>
            </w:pPr>
            <w:r>
              <w:rPr>
                <w:rFonts w:ascii="Times New Roman" w:hAnsi="Times New Roman"/>
              </w:rPr>
              <w:t>董事</w:t>
            </w:r>
          </w:p>
        </w:tc>
        <w:tc>
          <w:tcPr>
            <w:tcW w:w="1898" w:type="dxa"/>
            <w:vAlign w:val="center"/>
          </w:tcPr>
          <w:p>
            <w:pPr>
              <w:jc w:val="center"/>
              <w:rPr>
                <w:rFonts w:asciiTheme="minorEastAsia" w:hAnsiTheme="minorEastAsia" w:eastAsiaTheme="minorEastAsia"/>
              </w:rPr>
            </w:pPr>
            <w:r>
              <w:rPr>
                <w:rFonts w:asciiTheme="minorEastAsia" w:hAnsiTheme="minorEastAsia" w:eastAsiaTheme="minorEastAsia"/>
              </w:rPr>
              <w:t>2021-12-27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asciiTheme="minorEastAsia" w:hAnsiTheme="minorEastAsia" w:eastAsiaTheme="minorEastAsia"/>
              </w:rPr>
              <w:t>兖煤澳大利亚有限公司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执行</w:t>
            </w:r>
            <w:r>
              <w:rPr>
                <w:rFonts w:asciiTheme="minorEastAsia" w:hAnsiTheme="minorEastAsia" w:eastAsiaTheme="minorEastAsia"/>
              </w:rPr>
              <w:t>董事、</w:t>
            </w:r>
            <w:r>
              <w:rPr>
                <w:rFonts w:hint="eastAsia" w:asciiTheme="minorEastAsia" w:hAnsiTheme="minorEastAsia" w:eastAsiaTheme="minorEastAsia"/>
              </w:rPr>
              <w:t>联席</w:t>
            </w:r>
            <w:r>
              <w:rPr>
                <w:rFonts w:asciiTheme="minorEastAsia" w:hAnsiTheme="minorEastAsia" w:eastAsiaTheme="minorEastAsia"/>
              </w:rPr>
              <w:t>副董事长、执行委员会主席</w:t>
            </w:r>
          </w:p>
        </w:tc>
        <w:tc>
          <w:tcPr>
            <w:tcW w:w="1898" w:type="dxa"/>
            <w:vAlign w:val="center"/>
          </w:tcPr>
          <w:p>
            <w:pPr>
              <w:jc w:val="center"/>
              <w:rPr>
                <w:rFonts w:asciiTheme="minorEastAsia" w:hAnsiTheme="minorEastAsia" w:eastAsiaTheme="minorEastAsia"/>
              </w:rPr>
            </w:pPr>
            <w:r>
              <w:rPr>
                <w:rFonts w:asciiTheme="minorEastAsia" w:hAnsiTheme="minorEastAsia" w:eastAsiaTheme="minorEastAsia"/>
              </w:rPr>
              <w:t>2023-</w:t>
            </w:r>
            <w:r>
              <w:rPr>
                <w:rFonts w:hint="eastAsia" w:asciiTheme="minorEastAsia" w:hAnsiTheme="minorEastAsia" w:eastAsiaTheme="minorEastAsia"/>
              </w:rPr>
              <w:t>09</w:t>
            </w:r>
            <w:r>
              <w:rPr>
                <w:rFonts w:asciiTheme="minorEastAsia" w:hAnsiTheme="minorEastAsia" w:eastAsiaTheme="minorEastAsia"/>
              </w:rPr>
              <w:t>-</w:t>
            </w:r>
            <w:r>
              <w:rPr>
                <w:rFonts w:hint="eastAsia" w:asciiTheme="minorEastAsia" w:hAnsiTheme="minorEastAsia" w:eastAsiaTheme="minorEastAsia"/>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赵治国</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内蒙古矿业（集团）有限责任公司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2021-12-15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Style w:val="260"/>
                <w:rFonts w:hint="default" w:asciiTheme="minorEastAsia" w:hAnsiTheme="minorEastAsia" w:eastAsiaTheme="minorEastAsia"/>
              </w:rPr>
            </w:pPr>
            <w:r>
              <w:rPr>
                <w:rFonts w:hint="eastAsia" w:asciiTheme="minorEastAsia" w:hAnsiTheme="minorEastAsia" w:eastAsiaTheme="minorEastAsia"/>
              </w:rPr>
              <w:t>端信投资控股（北京）有限公司</w:t>
            </w:r>
          </w:p>
        </w:tc>
        <w:tc>
          <w:tcPr>
            <w:tcW w:w="1966" w:type="dxa"/>
            <w:vAlign w:val="center"/>
          </w:tcPr>
          <w:p>
            <w:pPr>
              <w:jc w:val="center"/>
              <w:rPr>
                <w:rStyle w:val="260"/>
                <w:rFonts w:hint="default" w:asciiTheme="minorEastAsia" w:hAnsiTheme="minorEastAsia" w:eastAsiaTheme="minorEastAsia"/>
              </w:rPr>
            </w:pPr>
            <w:r>
              <w:rPr>
                <w:rFonts w:hint="eastAsia" w:asciiTheme="minorEastAsia" w:hAnsiTheme="minorEastAsia" w:eastAsiaTheme="minorEastAsia"/>
              </w:rPr>
              <w:t>董事长</w:t>
            </w:r>
          </w:p>
        </w:tc>
        <w:tc>
          <w:tcPr>
            <w:tcW w:w="1898" w:type="dxa"/>
            <w:vAlign w:val="center"/>
          </w:tcPr>
          <w:p>
            <w:pPr>
              <w:jc w:val="center"/>
              <w:rPr>
                <w:rFonts w:asciiTheme="minorEastAsia" w:hAnsiTheme="minorEastAsia" w:eastAsiaTheme="minorEastAsia"/>
                <w:color w:val="000000"/>
              </w:rPr>
            </w:pPr>
            <w:r>
              <w:rPr>
                <w:rFonts w:hint="eastAsia" w:asciiTheme="minorEastAsia" w:hAnsiTheme="minorEastAsia" w:eastAsiaTheme="minorEastAsia"/>
              </w:rPr>
              <w:t>2022-02-15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兖矿中科清洁能源科技有限公司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监事长</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2022-04-26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山东东岳泰恒发展有限公司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董事长</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Style w:val="260"/>
                <w:rFonts w:hint="default" w:asciiTheme="minorEastAsia" w:hAnsiTheme="minorEastAsia" w:eastAsiaTheme="minorEastAsia"/>
              </w:rPr>
            </w:pPr>
            <w:r>
              <w:rPr>
                <w:rFonts w:hint="eastAsia" w:asciiTheme="minorEastAsia" w:hAnsiTheme="minorEastAsia" w:eastAsiaTheme="minorEastAsia"/>
              </w:rPr>
              <w:t>青岛端信资产管理有限公司</w:t>
            </w:r>
          </w:p>
        </w:tc>
        <w:tc>
          <w:tcPr>
            <w:tcW w:w="1966" w:type="dxa"/>
            <w:vAlign w:val="center"/>
          </w:tcPr>
          <w:p>
            <w:pPr>
              <w:jc w:val="center"/>
              <w:rPr>
                <w:rStyle w:val="260"/>
                <w:rFonts w:hint="default" w:asciiTheme="minorEastAsia" w:hAnsiTheme="minorEastAsia" w:eastAsiaTheme="minorEastAsia"/>
              </w:rPr>
            </w:pPr>
            <w:r>
              <w:rPr>
                <w:rFonts w:hint="eastAsia" w:asciiTheme="minorEastAsia" w:hAnsiTheme="minorEastAsia" w:eastAsiaTheme="minorEastAsia"/>
              </w:rPr>
              <w:t>执行董事</w:t>
            </w:r>
          </w:p>
        </w:tc>
        <w:tc>
          <w:tcPr>
            <w:tcW w:w="1898" w:type="dxa"/>
            <w:vAlign w:val="center"/>
          </w:tcPr>
          <w:p>
            <w:pPr>
              <w:jc w:val="center"/>
              <w:rPr>
                <w:rFonts w:asciiTheme="minorEastAsia" w:hAnsiTheme="minorEastAsia" w:eastAsiaTheme="minorEastAsia"/>
                <w:color w:val="000000"/>
              </w:rPr>
            </w:pPr>
            <w:r>
              <w:rPr>
                <w:rFonts w:hint="eastAsia" w:asciiTheme="minorEastAsia" w:hAnsiTheme="minorEastAsia" w:eastAsiaTheme="minorEastAsia"/>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Style w:val="260"/>
                <w:rFonts w:hint="default" w:asciiTheme="minorEastAsia" w:hAnsiTheme="minorEastAsia" w:eastAsiaTheme="minorEastAsia"/>
              </w:rPr>
            </w:pPr>
            <w:r>
              <w:rPr>
                <w:rFonts w:hint="eastAsia" w:asciiTheme="minorEastAsia" w:hAnsiTheme="minorEastAsia" w:eastAsiaTheme="minorEastAsia"/>
              </w:rPr>
              <w:t>兖矿能源（无锡）有限公司</w:t>
            </w:r>
          </w:p>
        </w:tc>
        <w:tc>
          <w:tcPr>
            <w:tcW w:w="1966" w:type="dxa"/>
            <w:vAlign w:val="center"/>
          </w:tcPr>
          <w:p>
            <w:pPr>
              <w:jc w:val="center"/>
              <w:rPr>
                <w:rStyle w:val="260"/>
                <w:rFonts w:hint="default" w:asciiTheme="minorEastAsia" w:hAnsiTheme="minorEastAsia" w:eastAsiaTheme="minorEastAsia"/>
              </w:rPr>
            </w:pPr>
            <w:r>
              <w:rPr>
                <w:rFonts w:hint="eastAsia" w:asciiTheme="minorEastAsia" w:hAnsiTheme="minorEastAsia" w:eastAsiaTheme="minorEastAsia"/>
              </w:rPr>
              <w:t>董事长</w:t>
            </w:r>
          </w:p>
        </w:tc>
        <w:tc>
          <w:tcPr>
            <w:tcW w:w="1898" w:type="dxa"/>
            <w:vAlign w:val="center"/>
          </w:tcPr>
          <w:p>
            <w:pPr>
              <w:jc w:val="center"/>
              <w:rPr>
                <w:rFonts w:asciiTheme="minorEastAsia" w:hAnsiTheme="minorEastAsia" w:eastAsiaTheme="minorEastAsia"/>
                <w:color w:val="000000"/>
              </w:rPr>
            </w:pPr>
            <w:r>
              <w:rPr>
                <w:rFonts w:hint="eastAsia" w:asciiTheme="minorEastAsia" w:hAnsiTheme="minorEastAsia" w:eastAsiaTheme="minorEastAsia"/>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Style w:val="260"/>
                <w:rFonts w:hint="default" w:asciiTheme="minorEastAsia" w:hAnsiTheme="minorEastAsia" w:eastAsiaTheme="minorEastAsia"/>
              </w:rPr>
            </w:pPr>
            <w:r>
              <w:rPr>
                <w:rFonts w:hint="eastAsia" w:asciiTheme="minorEastAsia" w:hAnsiTheme="minorEastAsia" w:eastAsiaTheme="minorEastAsia"/>
              </w:rPr>
              <w:t>端信投资控股（深圳）有限公司</w:t>
            </w:r>
          </w:p>
        </w:tc>
        <w:tc>
          <w:tcPr>
            <w:tcW w:w="1966" w:type="dxa"/>
            <w:vAlign w:val="center"/>
          </w:tcPr>
          <w:p>
            <w:pPr>
              <w:jc w:val="center"/>
              <w:rPr>
                <w:rStyle w:val="260"/>
                <w:rFonts w:hint="default"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color w:val="000000"/>
              </w:rPr>
            </w:pPr>
            <w:r>
              <w:rPr>
                <w:rFonts w:hint="eastAsia" w:asciiTheme="minorEastAsia" w:hAnsiTheme="minorEastAsia" w:eastAsiaTheme="minorEastAsia"/>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上海巨匠资产管理有限公司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董事长</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兖矿东华重工有限公司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Style w:val="260"/>
                <w:rFonts w:hint="default" w:asciiTheme="minorEastAsia" w:hAnsiTheme="minorEastAsia" w:eastAsiaTheme="minorEastAsia"/>
              </w:rPr>
            </w:pPr>
            <w:r>
              <w:rPr>
                <w:rFonts w:hint="eastAsia" w:asciiTheme="minorEastAsia" w:hAnsiTheme="minorEastAsia" w:eastAsiaTheme="minorEastAsia"/>
              </w:rPr>
              <w:t>兖矿瑞丰国际贸易有限公司</w:t>
            </w:r>
          </w:p>
        </w:tc>
        <w:tc>
          <w:tcPr>
            <w:tcW w:w="1966" w:type="dxa"/>
            <w:vAlign w:val="center"/>
          </w:tcPr>
          <w:p>
            <w:pPr>
              <w:jc w:val="center"/>
              <w:rPr>
                <w:rStyle w:val="260"/>
                <w:rFonts w:hint="default" w:asciiTheme="minorEastAsia" w:hAnsiTheme="minorEastAsia" w:eastAsiaTheme="minorEastAsia"/>
              </w:rPr>
            </w:pPr>
            <w:r>
              <w:rPr>
                <w:rFonts w:hint="eastAsia" w:asciiTheme="minorEastAsia" w:hAnsiTheme="minorEastAsia" w:eastAsiaTheme="minorEastAsia"/>
              </w:rPr>
              <w:t>董事长</w:t>
            </w:r>
          </w:p>
        </w:tc>
        <w:tc>
          <w:tcPr>
            <w:tcW w:w="1898" w:type="dxa"/>
            <w:vAlign w:val="center"/>
          </w:tcPr>
          <w:p>
            <w:pPr>
              <w:jc w:val="center"/>
              <w:rPr>
                <w:rFonts w:asciiTheme="minorEastAsia" w:hAnsiTheme="minorEastAsia" w:eastAsiaTheme="minorEastAsia"/>
                <w:color w:val="000000"/>
              </w:rPr>
            </w:pPr>
            <w:r>
              <w:rPr>
                <w:rFonts w:hint="eastAsia" w:asciiTheme="minorEastAsia" w:hAnsiTheme="minorEastAsia" w:eastAsiaTheme="minorEastAsia"/>
              </w:rPr>
              <w:t>2023-01-05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Style w:val="260"/>
                <w:rFonts w:hint="default" w:asciiTheme="minorEastAsia" w:hAnsiTheme="minorEastAsia" w:eastAsiaTheme="minorEastAsia"/>
              </w:rPr>
            </w:pPr>
            <w:r>
              <w:rPr>
                <w:rFonts w:hint="eastAsia" w:asciiTheme="minorEastAsia" w:hAnsiTheme="minorEastAsia" w:eastAsiaTheme="minorEastAsia"/>
              </w:rPr>
              <w:t>山能融资租赁（深圳）有限公司</w:t>
            </w:r>
          </w:p>
        </w:tc>
        <w:tc>
          <w:tcPr>
            <w:tcW w:w="1966" w:type="dxa"/>
            <w:vAlign w:val="center"/>
          </w:tcPr>
          <w:p>
            <w:pPr>
              <w:jc w:val="center"/>
              <w:rPr>
                <w:rStyle w:val="260"/>
                <w:rFonts w:hint="default"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color w:val="000000"/>
              </w:rPr>
            </w:pPr>
            <w:r>
              <w:rPr>
                <w:rFonts w:hint="eastAsia" w:asciiTheme="minorEastAsia" w:hAnsiTheme="minorEastAsia" w:eastAsiaTheme="minorEastAsia"/>
              </w:rPr>
              <w:t>2023-03-20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Style w:val="260"/>
                <w:rFonts w:hint="default" w:asciiTheme="minorEastAsia" w:hAnsiTheme="minorEastAsia" w:eastAsiaTheme="minorEastAsia"/>
              </w:rPr>
            </w:pPr>
            <w:r>
              <w:rPr>
                <w:rFonts w:hint="eastAsia" w:asciiTheme="minorEastAsia" w:hAnsiTheme="minorEastAsia" w:eastAsiaTheme="minorEastAsia"/>
              </w:rPr>
              <w:t>内蒙古昊盛煤业有限公司</w:t>
            </w:r>
          </w:p>
        </w:tc>
        <w:tc>
          <w:tcPr>
            <w:tcW w:w="1966" w:type="dxa"/>
            <w:vAlign w:val="center"/>
          </w:tcPr>
          <w:p>
            <w:pPr>
              <w:jc w:val="center"/>
              <w:rPr>
                <w:rStyle w:val="260"/>
                <w:rFonts w:hint="default"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color w:val="000000"/>
              </w:rPr>
            </w:pPr>
            <w:r>
              <w:rPr>
                <w:rFonts w:hint="eastAsia" w:asciiTheme="minorEastAsia" w:hAnsiTheme="minorEastAsia" w:eastAsiaTheme="minorEastAsia"/>
              </w:rPr>
              <w:t>2023-04-10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陕西未来能源化工有限公司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2023-04-20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齐鲁银行股份有限公司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2023-09-11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山东能源集团鲁西矿业有限公司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2023-11-08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Style w:val="260"/>
                <w:rFonts w:hint="default" w:asciiTheme="minorEastAsia" w:hAnsiTheme="minorEastAsia" w:eastAsiaTheme="minorEastAsia"/>
              </w:rPr>
            </w:pPr>
            <w:r>
              <w:rPr>
                <w:rFonts w:hint="eastAsia" w:asciiTheme="minorEastAsia" w:hAnsiTheme="minorEastAsia" w:eastAsiaTheme="minorEastAsia"/>
              </w:rPr>
              <w:t>山东能源集团财务有限公司</w:t>
            </w:r>
          </w:p>
        </w:tc>
        <w:tc>
          <w:tcPr>
            <w:tcW w:w="1966" w:type="dxa"/>
            <w:vAlign w:val="center"/>
          </w:tcPr>
          <w:p>
            <w:pPr>
              <w:jc w:val="center"/>
              <w:rPr>
                <w:rStyle w:val="260"/>
                <w:rFonts w:hint="default"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color w:val="000000"/>
              </w:rPr>
            </w:pPr>
            <w:r>
              <w:rPr>
                <w:rFonts w:hint="eastAsia" w:asciiTheme="minorEastAsia" w:hAnsiTheme="minorEastAsia" w:eastAsiaTheme="minorEastAsia"/>
              </w:rPr>
              <w:t>2023-12-21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Align w:val="center"/>
          </w:tcPr>
          <w:p>
            <w:pPr>
              <w:jc w:val="center"/>
              <w:rPr>
                <w:rFonts w:asciiTheme="minorEastAsia" w:hAnsiTheme="minorEastAsia" w:eastAsiaTheme="minorEastAsia"/>
              </w:rPr>
            </w:pPr>
            <w:r>
              <w:rPr>
                <w:rFonts w:asciiTheme="minorEastAsia" w:hAnsiTheme="minorEastAsia" w:eastAsiaTheme="minorEastAsia"/>
              </w:rPr>
              <w:t>张</w:t>
            </w:r>
            <w:r>
              <w:rPr>
                <w:rFonts w:hint="eastAsia" w:asciiTheme="minorEastAsia" w:hAnsiTheme="minorEastAsia" w:eastAsiaTheme="minorEastAsia"/>
              </w:rPr>
              <w:t xml:space="preserve"> </w:t>
            </w:r>
            <w:r>
              <w:rPr>
                <w:rFonts w:asciiTheme="minorEastAsia" w:hAnsiTheme="minorEastAsia" w:eastAsiaTheme="minorEastAsia"/>
              </w:rPr>
              <w:t xml:space="preserve"> 磊</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兖煤国际（控股）有限公司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总经理</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2020-03-27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asciiTheme="minorEastAsia" w:hAnsiTheme="minorEastAsia" w:eastAsiaTheme="minorEastAsia"/>
              </w:rPr>
              <w:t>田</w:t>
            </w:r>
            <w:r>
              <w:rPr>
                <w:rFonts w:hint="eastAsia" w:asciiTheme="minorEastAsia" w:hAnsiTheme="minorEastAsia" w:eastAsiaTheme="minorEastAsia"/>
              </w:rPr>
              <w:t xml:space="preserve"> </w:t>
            </w:r>
            <w:r>
              <w:rPr>
                <w:rFonts w:asciiTheme="minorEastAsia" w:hAnsiTheme="minorEastAsia" w:eastAsiaTheme="minorEastAsia"/>
              </w:rPr>
              <w:t xml:space="preserve"> 会</w:t>
            </w:r>
            <w:r>
              <w:rPr>
                <w:rFonts w:hint="eastAsia" w:asciiTheme="minorEastAsia" w:hAnsiTheme="minorEastAsia" w:eastAsiaTheme="minorEastAsia"/>
              </w:rPr>
              <w:t>（离任）</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中国银河投资管理有限公司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2021-11-02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中国铁路工程装备集团有限公司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asciiTheme="minorEastAsia" w:hAnsiTheme="minorEastAsia" w:eastAsiaTheme="minorEastAsia"/>
              </w:rPr>
              <w:t>蔡</w:t>
            </w:r>
            <w:r>
              <w:rPr>
                <w:rFonts w:hint="eastAsia" w:asciiTheme="minorEastAsia" w:hAnsiTheme="minorEastAsia" w:eastAsiaTheme="minorEastAsia"/>
              </w:rPr>
              <w:t xml:space="preserve"> </w:t>
            </w:r>
            <w:r>
              <w:rPr>
                <w:rFonts w:asciiTheme="minorEastAsia" w:hAnsiTheme="minorEastAsia" w:eastAsiaTheme="minorEastAsia"/>
              </w:rPr>
              <w:t xml:space="preserve"> 昌</w:t>
            </w:r>
            <w:r>
              <w:rPr>
                <w:rFonts w:hint="eastAsia" w:asciiTheme="minorEastAsia" w:hAnsiTheme="minorEastAsia" w:eastAsiaTheme="minorEastAsia"/>
              </w:rPr>
              <w:t>（离任）</w:t>
            </w:r>
          </w:p>
        </w:tc>
        <w:tc>
          <w:tcPr>
            <w:tcW w:w="2812" w:type="dxa"/>
            <w:vAlign w:val="center"/>
          </w:tcPr>
          <w:p>
            <w:pPr>
              <w:rPr>
                <w:rFonts w:asciiTheme="minorEastAsia" w:hAnsiTheme="minorEastAsia" w:eastAsiaTheme="minorEastAsia"/>
              </w:rPr>
            </w:pPr>
            <w:r>
              <w:rPr>
                <w:rFonts w:ascii="Times New Roman" w:hAnsi="Times New Roman"/>
              </w:rPr>
              <w:t>阳光资产管理有限公司</w:t>
            </w:r>
          </w:p>
        </w:tc>
        <w:tc>
          <w:tcPr>
            <w:tcW w:w="1966" w:type="dxa"/>
            <w:vAlign w:val="center"/>
          </w:tcPr>
          <w:p>
            <w:pPr>
              <w:jc w:val="center"/>
              <w:rPr>
                <w:rFonts w:asciiTheme="minorEastAsia" w:hAnsiTheme="minorEastAsia" w:eastAsiaTheme="minorEastAsia"/>
              </w:rPr>
            </w:pPr>
            <w:r>
              <w:rPr>
                <w:rFonts w:ascii="Times New Roman" w:hAnsi="Times New Roman"/>
              </w:rPr>
              <w:t>独立董事</w:t>
            </w:r>
          </w:p>
        </w:tc>
        <w:tc>
          <w:tcPr>
            <w:tcW w:w="1898" w:type="dxa"/>
            <w:vAlign w:val="center"/>
          </w:tcPr>
          <w:p>
            <w:pPr>
              <w:jc w:val="center"/>
              <w:rPr>
                <w:rFonts w:asciiTheme="minorEastAsia" w:hAnsiTheme="minorEastAsia" w:eastAsiaTheme="minorEastAsia"/>
              </w:rPr>
            </w:pPr>
            <w:r>
              <w:rPr>
                <w:rFonts w:asciiTheme="minorEastAsia" w:hAnsiTheme="minorEastAsia" w:eastAsiaTheme="minorEastAsia"/>
              </w:rPr>
              <w:t>2018-01-01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北京车讯互联网股份有限公司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2021-04-19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浙江华睿科技股份有限公司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2021-06-30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博思数采科技股份有限公司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2023-09-01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asciiTheme="minorEastAsia" w:hAnsiTheme="minorEastAsia" w:eastAsiaTheme="minorEastAsia"/>
              </w:rPr>
              <w:t>潘昭国</w:t>
            </w:r>
            <w:r>
              <w:rPr>
                <w:rFonts w:hint="eastAsia" w:asciiTheme="minorEastAsia" w:hAnsiTheme="minorEastAsia" w:eastAsiaTheme="minorEastAsia"/>
              </w:rPr>
              <w:t>（离任）</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华宝国际控股有限公司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执行董事、副总裁、公司秘书</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2006-05-01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远大中国控股有限公司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2011-04-12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融创中国控股有限公司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2011-06-08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重庆长安民生物流股份有限公司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2011-09-30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三一重装国际控股有限公司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2015-12-18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奥克斯国际控股有限公司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2015-05-15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绿城服务集团有限公司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2016-06-13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vAlign w:val="center"/>
          </w:tcPr>
          <w:p>
            <w:pPr>
              <w:rPr>
                <w:rFonts w:asciiTheme="minorEastAsia" w:hAnsiTheme="minorEastAsia" w:eastAsiaTheme="minorEastAsia"/>
                <w:highlight w:val="yellow"/>
              </w:rPr>
            </w:pPr>
            <w:r>
              <w:rPr>
                <w:rFonts w:hint="eastAsia" w:asciiTheme="minorEastAsia" w:hAnsiTheme="minorEastAsia" w:eastAsiaTheme="minorEastAsia"/>
              </w:rPr>
              <w:t>金川集团国际资源有限公司</w:t>
            </w:r>
          </w:p>
        </w:tc>
        <w:tc>
          <w:tcPr>
            <w:tcW w:w="1966"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独立董事</w:t>
            </w:r>
          </w:p>
        </w:tc>
        <w:tc>
          <w:tcPr>
            <w:tcW w:w="1898" w:type="dxa"/>
            <w:vAlign w:val="center"/>
          </w:tcPr>
          <w:p>
            <w:pPr>
              <w:jc w:val="center"/>
              <w:rPr>
                <w:rFonts w:asciiTheme="minorEastAsia" w:hAnsiTheme="minorEastAsia" w:eastAsiaTheme="minorEastAsia"/>
                <w:highlight w:val="yellow"/>
              </w:rPr>
            </w:pPr>
            <w:r>
              <w:rPr>
                <w:rFonts w:hint="eastAsia" w:asciiTheme="minorEastAsia" w:hAnsiTheme="minorEastAsia" w:eastAsiaTheme="minorEastAsia"/>
              </w:rPr>
              <w:t>2017-03-21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tcPr>
          <w:p>
            <w:pPr>
              <w:rPr>
                <w:rFonts w:asciiTheme="minorEastAsia" w:hAnsiTheme="minorEastAsia" w:eastAsiaTheme="minorEastAsia"/>
              </w:rPr>
            </w:pPr>
            <w:r>
              <w:rPr>
                <w:rFonts w:hint="eastAsia" w:ascii="Times New Roman" w:hAnsi="Times New Roman"/>
              </w:rPr>
              <w:t>中国同辐股份有限公司</w:t>
            </w:r>
          </w:p>
        </w:tc>
        <w:tc>
          <w:tcPr>
            <w:tcW w:w="1966" w:type="dxa"/>
          </w:tcPr>
          <w:p>
            <w:pPr>
              <w:jc w:val="center"/>
              <w:rPr>
                <w:rFonts w:asciiTheme="minorEastAsia" w:hAnsiTheme="minorEastAsia" w:eastAsiaTheme="minorEastAsia"/>
              </w:rPr>
            </w:pPr>
            <w:r>
              <w:rPr>
                <w:rFonts w:hint="eastAsia" w:ascii="Times New Roman" w:hAnsi="Times New Roman"/>
              </w:rPr>
              <w:t>独立董事</w:t>
            </w:r>
          </w:p>
        </w:tc>
        <w:tc>
          <w:tcPr>
            <w:tcW w:w="1898" w:type="dxa"/>
          </w:tcPr>
          <w:p>
            <w:pPr>
              <w:jc w:val="center"/>
              <w:rPr>
                <w:rFonts w:asciiTheme="minorEastAsia" w:hAnsiTheme="minorEastAsia" w:eastAsiaTheme="minorEastAsia"/>
              </w:rPr>
            </w:pPr>
            <w:r>
              <w:rPr>
                <w:rFonts w:hint="eastAsia" w:asciiTheme="minorEastAsia" w:hAnsiTheme="minorEastAsia" w:eastAsiaTheme="minorEastAsia"/>
              </w:rPr>
              <w:t>2023-06-30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秦言坡（离任）</w:t>
            </w:r>
          </w:p>
        </w:tc>
        <w:tc>
          <w:tcPr>
            <w:tcW w:w="2812" w:type="dxa"/>
            <w:vAlign w:val="center"/>
          </w:tcPr>
          <w:p>
            <w:pPr>
              <w:rPr>
                <w:rFonts w:asciiTheme="minorEastAsia" w:hAnsiTheme="minorEastAsia" w:eastAsiaTheme="minorEastAsia"/>
              </w:rPr>
            </w:pPr>
            <w:r>
              <w:rPr>
                <w:rFonts w:hint="eastAsia" w:asciiTheme="minorEastAsia" w:hAnsiTheme="minorEastAsia" w:eastAsiaTheme="minorEastAsia"/>
              </w:rPr>
              <w:t>山东能源集团鲁西矿业有限公司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董事、财务总监</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021-11-21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145" w:type="dxa"/>
            <w:vMerge w:val="continue"/>
            <w:vAlign w:val="center"/>
          </w:tcPr>
          <w:p>
            <w:pPr>
              <w:jc w:val="center"/>
              <w:rPr>
                <w:rFonts w:asciiTheme="minorEastAsia" w:hAnsiTheme="minorEastAsia" w:eastAsiaTheme="minorEastAsia"/>
              </w:rPr>
            </w:pPr>
          </w:p>
        </w:tc>
        <w:tc>
          <w:tcPr>
            <w:tcW w:w="2812" w:type="dxa"/>
          </w:tcPr>
          <w:p>
            <w:pPr>
              <w:rPr>
                <w:rFonts w:asciiTheme="minorEastAsia" w:hAnsiTheme="minorEastAsia" w:eastAsiaTheme="minorEastAsia"/>
              </w:rPr>
            </w:pPr>
            <w:r>
              <w:rPr>
                <w:rFonts w:hint="eastAsia" w:asciiTheme="minorEastAsia" w:hAnsiTheme="minorEastAsia" w:eastAsiaTheme="minorEastAsia"/>
              </w:rPr>
              <w:t>山东能源集团财务有限公司</w:t>
            </w:r>
          </w:p>
        </w:tc>
        <w:tc>
          <w:tcPr>
            <w:tcW w:w="1966" w:type="dxa"/>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1898" w:type="dxa"/>
            <w:vAlign w:val="center"/>
          </w:tcPr>
          <w:p>
            <w:pPr>
              <w:jc w:val="center"/>
              <w:rPr>
                <w:rFonts w:asciiTheme="minorEastAsia" w:hAnsiTheme="minorEastAsia" w:eastAsiaTheme="minorEastAsia"/>
              </w:rPr>
            </w:pPr>
            <w:r>
              <w:rPr>
                <w:rFonts w:hint="eastAsia" w:asciiTheme="minorEastAsia" w:hAnsiTheme="minorEastAsia" w:eastAsiaTheme="minorEastAsia"/>
              </w:rPr>
              <w:t>2023-12-21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145" w:type="dxa"/>
          </w:tcPr>
          <w:p>
            <w:pPr>
              <w:rPr>
                <w:rFonts w:asciiTheme="minorEastAsia" w:hAnsiTheme="minorEastAsia" w:eastAsiaTheme="minorEastAsia"/>
              </w:rPr>
            </w:pPr>
            <w:r>
              <w:rPr>
                <w:rFonts w:hint="eastAsia" w:asciiTheme="minorEastAsia" w:hAnsiTheme="minorEastAsia" w:eastAsiaTheme="minorEastAsia"/>
              </w:rPr>
              <w:t>在其他单位任职情况的说明</w:t>
            </w:r>
          </w:p>
        </w:tc>
        <w:tc>
          <w:tcPr>
            <w:tcW w:w="6676" w:type="dxa"/>
            <w:gridSpan w:val="3"/>
            <w:vAlign w:val="center"/>
          </w:tcPr>
          <w:p>
            <w:pPr>
              <w:rPr>
                <w:rFonts w:asciiTheme="minorEastAsia" w:hAnsiTheme="minorEastAsia" w:eastAsiaTheme="minorEastAsia"/>
              </w:rPr>
            </w:pPr>
            <w:r>
              <w:rPr>
                <w:rFonts w:hint="eastAsia" w:asciiTheme="minorEastAsia" w:hAnsiTheme="minorEastAsia" w:eastAsiaTheme="minorEastAsia"/>
              </w:rPr>
              <w:t>无</w:t>
            </w:r>
          </w:p>
        </w:tc>
      </w:tr>
    </w:tbl>
    <w:p>
      <w:pPr>
        <w:rPr>
          <w:rFonts w:asciiTheme="minorEastAsia" w:hAnsiTheme="minorEastAsia" w:eastAsiaTheme="minorEastAsia"/>
        </w:rPr>
      </w:pPr>
    </w:p>
    <w:p>
      <w:pPr>
        <w:pStyle w:val="4"/>
        <w:numPr>
          <w:ilvl w:val="0"/>
          <w:numId w:val="18"/>
        </w:numPr>
        <w:ind w:left="0" w:firstLine="0"/>
        <w:rPr>
          <w:rFonts w:asciiTheme="minorEastAsia" w:hAnsiTheme="minorEastAsia" w:eastAsiaTheme="minorEastAsia"/>
        </w:rPr>
      </w:pPr>
      <w:r>
        <w:rPr>
          <w:rFonts w:asciiTheme="minorEastAsia" w:hAnsiTheme="minorEastAsia" w:eastAsiaTheme="minorEastAsia"/>
        </w:rPr>
        <w:t>董事、监事、高级管理人员报酬情况</w:t>
      </w:r>
    </w:p>
    <w:sdt>
      <w:sdtPr>
        <w:rPr>
          <w:rFonts w:asciiTheme="minorEastAsia" w:hAnsiTheme="minorEastAsia" w:eastAsiaTheme="minorEastAsia"/>
        </w:rPr>
        <w:alias w:val="是否适用：董事、监事、高级管理人员报酬情况[双击切换]"/>
        <w:tag w:val="_GBC_670a12b9c1e34498888f2aafd9509848"/>
        <w:id w:val="2064288087"/>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tbl>
      <w:tblPr>
        <w:tblStyle w:val="2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1"/>
        <w:gridCol w:w="5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rPr>
              <w:rFonts w:asciiTheme="minorEastAsia" w:hAnsiTheme="minorEastAsia" w:eastAsiaTheme="minorEastAsia"/>
            </w:rPr>
            <w:tag w:val="_PLD_9e63d19b4bb64b9f8ebbe91d33a629c4"/>
            <w:id w:val="518967274"/>
          </w:sdtPr>
          <w:sdtEndPr>
            <w:rPr>
              <w:rFonts w:asciiTheme="minorEastAsia" w:hAnsiTheme="minorEastAsia" w:eastAsiaTheme="minorEastAsia"/>
            </w:rPr>
          </w:sdtEndPr>
          <w:sdtContent>
            <w:tc>
              <w:tcPr>
                <w:tcW w:w="2831" w:type="dxa"/>
                <w:vAlign w:val="center"/>
              </w:tcPr>
              <w:p>
                <w:pPr>
                  <w:rPr>
                    <w:rFonts w:asciiTheme="minorEastAsia" w:hAnsiTheme="minorEastAsia" w:eastAsiaTheme="minorEastAsia"/>
                  </w:rPr>
                </w:pPr>
                <w:r>
                  <w:rPr>
                    <w:rFonts w:asciiTheme="minorEastAsia" w:hAnsiTheme="minorEastAsia" w:eastAsiaTheme="minorEastAsia"/>
                  </w:rPr>
                  <w:t>决策程序</w:t>
                </w:r>
              </w:p>
            </w:tc>
          </w:sdtContent>
        </w:sdt>
        <w:sdt>
          <w:sdtPr>
            <w:rPr>
              <w:rFonts w:hint="eastAsia" w:asciiTheme="minorEastAsia" w:hAnsiTheme="minorEastAsia" w:eastAsiaTheme="minorEastAsia"/>
            </w:rPr>
            <w:alias w:val="董事、监事、高级管理人员报酬的决策程序"/>
            <w:tag w:val="_GBC_bf64cad6b5d7435388a8e69e2c05dea2"/>
            <w:id w:val="-1636012840"/>
          </w:sdtPr>
          <w:sdtEndPr>
            <w:rPr>
              <w:rFonts w:hint="eastAsia" w:asciiTheme="minorEastAsia" w:hAnsiTheme="minorEastAsia" w:eastAsiaTheme="minorEastAsia"/>
            </w:rPr>
          </w:sdtEndPr>
          <w:sdtContent>
            <w:tc>
              <w:tcPr>
                <w:tcW w:w="5992" w:type="dxa"/>
              </w:tcPr>
              <w:p>
                <w:pPr>
                  <w:rPr>
                    <w:rFonts w:asciiTheme="minorEastAsia" w:hAnsiTheme="minorEastAsia" w:eastAsiaTheme="minorEastAsia"/>
                  </w:rPr>
                </w:pPr>
                <w:r>
                  <w:rPr>
                    <w:rFonts w:hint="eastAsia" w:asciiTheme="minorEastAsia" w:hAnsiTheme="minorEastAsia" w:eastAsiaTheme="minorEastAsia"/>
                  </w:rPr>
                  <w:t>公司董事、监事和高级管理人员的薪酬，由董事会薪酬委员会向董事会提出建议，董事和监事薪酬经董事会审议通过后提交股东大会批准，高级管理人员薪酬由董事会审议批准。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831" w:type="dxa"/>
            <w:vAlign w:val="center"/>
          </w:tcPr>
          <w:p>
            <w:pPr>
              <w:rPr>
                <w:rFonts w:asciiTheme="minorEastAsia" w:hAnsiTheme="minorEastAsia" w:eastAsiaTheme="minorEastAsia"/>
              </w:rPr>
            </w:pPr>
            <w:r>
              <w:rPr>
                <w:rFonts w:hint="eastAsia" w:asciiTheme="minorEastAsia" w:hAnsiTheme="minorEastAsia" w:eastAsiaTheme="minorEastAsia"/>
              </w:rPr>
              <w:t>董事在董事会讨论本人薪酬事项时是否回避</w:t>
            </w:r>
          </w:p>
        </w:tc>
        <w:sdt>
          <w:sdtPr>
            <w:rPr>
              <w:rFonts w:asciiTheme="minorEastAsia" w:hAnsiTheme="minorEastAsia" w:eastAsiaTheme="minorEastAsia"/>
            </w:rPr>
            <w:alias w:val="董事在董事会讨论本人薪酬事项时是否回避"/>
            <w:tag w:val="_GBC_5e64defbd18444939e9dface4daa0619"/>
            <w:id w:val="54752649"/>
            <w:comboBox>
              <w:listItem w:displayText="是" w:value="是"/>
              <w:listItem w:displayText="否" w:value="否"/>
            </w:comboBox>
          </w:sdtPr>
          <w:sdtEndPr>
            <w:rPr>
              <w:rFonts w:asciiTheme="minorEastAsia" w:hAnsiTheme="minorEastAsia" w:eastAsiaTheme="minorEastAsia"/>
            </w:rPr>
          </w:sdtEndPr>
          <w:sdtContent>
            <w:tc>
              <w:tcPr>
                <w:tcW w:w="5992" w:type="dxa"/>
                <w:vAlign w:val="center"/>
              </w:tcPr>
              <w:p>
                <w:pPr>
                  <w:rPr>
                    <w:rFonts w:asciiTheme="minorEastAsia" w:hAnsiTheme="minorEastAsia" w:eastAsiaTheme="minorEastAsia"/>
                  </w:rPr>
                </w:pPr>
                <w:r>
                  <w:rPr>
                    <w:rFonts w:asciiTheme="minorEastAsia" w:hAnsiTheme="minorEastAsia" w:eastAsiaTheme="minorEastAsia"/>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831" w:type="dxa"/>
            <w:vAlign w:val="center"/>
          </w:tcPr>
          <w:p>
            <w:pPr>
              <w:rPr>
                <w:rFonts w:asciiTheme="minorEastAsia" w:hAnsiTheme="minorEastAsia" w:eastAsiaTheme="minorEastAsia"/>
              </w:rPr>
            </w:pPr>
            <w:r>
              <w:rPr>
                <w:rFonts w:hint="eastAsia" w:asciiTheme="minorEastAsia" w:hAnsiTheme="minorEastAsia" w:eastAsiaTheme="minorEastAsia"/>
              </w:rPr>
              <w:t>薪酬委员会关于董事、监事、高级管理人员报酬事项发表建议的具体情况</w:t>
            </w:r>
          </w:p>
        </w:tc>
        <w:tc>
          <w:tcPr>
            <w:tcW w:w="5992" w:type="dxa"/>
          </w:tcPr>
          <w:p>
            <w:pP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建议公司</w:t>
            </w:r>
            <w:r>
              <w:rPr>
                <w:rFonts w:asciiTheme="minorEastAsia" w:hAnsiTheme="minorEastAsia" w:eastAsiaTheme="minorEastAsia"/>
              </w:rPr>
              <w:t>2023年度完成经营目标后，按照公司薪酬考核政策，确定从公司领取薪酬的非独立董事、监事薪酬水平。</w:t>
            </w:r>
          </w:p>
          <w:p>
            <w:pP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w:t>
            </w:r>
            <w:r>
              <w:rPr>
                <w:rFonts w:hint="eastAsia" w:asciiTheme="minorEastAsia" w:hAnsiTheme="minorEastAsia" w:eastAsiaTheme="minorEastAsia"/>
              </w:rPr>
              <w:t>建议公司独立董事</w:t>
            </w:r>
            <w:r>
              <w:rPr>
                <w:rFonts w:asciiTheme="minorEastAsia" w:hAnsiTheme="minorEastAsia" w:eastAsiaTheme="minorEastAsia"/>
              </w:rPr>
              <w:t>2023年度人均酬金为人民币15万元(含税)。</w:t>
            </w:r>
          </w:p>
          <w:p>
            <w:pPr>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w:t>
            </w:r>
            <w:r>
              <w:rPr>
                <w:rFonts w:hint="eastAsia" w:asciiTheme="minorEastAsia" w:hAnsiTheme="minorEastAsia" w:eastAsiaTheme="minorEastAsia"/>
              </w:rPr>
              <w:t>建议公司</w:t>
            </w:r>
            <w:r>
              <w:rPr>
                <w:rFonts w:asciiTheme="minorEastAsia" w:hAnsiTheme="minorEastAsia" w:eastAsiaTheme="minorEastAsia"/>
              </w:rPr>
              <w:t>2023年度完成经营目标后，按照公司薪酬考核政策，确定非董事高级管理人员薪酬水平。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831" w:type="dxa"/>
            <w:vAlign w:val="center"/>
          </w:tcPr>
          <w:p>
            <w:pPr>
              <w:rPr>
                <w:rFonts w:asciiTheme="minorEastAsia" w:hAnsiTheme="minorEastAsia" w:eastAsiaTheme="minorEastAsia"/>
              </w:rPr>
            </w:pPr>
            <w:r>
              <w:rPr>
                <w:rFonts w:asciiTheme="minorEastAsia" w:hAnsiTheme="minorEastAsia" w:eastAsiaTheme="minorEastAsia"/>
              </w:rPr>
              <w:t>确定依据</w:t>
            </w:r>
          </w:p>
        </w:tc>
        <w:tc>
          <w:tcPr>
            <w:tcW w:w="5992" w:type="dxa"/>
          </w:tcPr>
          <w:p>
            <w:pPr>
              <w:rPr>
                <w:rFonts w:asciiTheme="minorEastAsia" w:hAnsiTheme="minorEastAsia" w:eastAsiaTheme="minorEastAsia"/>
              </w:rPr>
            </w:pPr>
            <w:r>
              <w:rPr>
                <w:rFonts w:hint="eastAsia" w:asciiTheme="minorEastAsia" w:hAnsiTheme="minorEastAsia" w:eastAsiaTheme="minorEastAsia"/>
              </w:rPr>
              <w:t>公司对董事及高级管理人员推行年度薪酬考评及激励机制。年薪包含基本年薪和绩效年薪：基本年薪根据公司生产经营规模、盈利能力、经营管理难度、职工工资水平等因素综合确定；绩效年薪根据实际经营成果确定。董事和高级管理人员的基本年薪按月度标准预付，绩效年薪于次年审计考核后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831" w:type="dxa"/>
            <w:vAlign w:val="center"/>
          </w:tcPr>
          <w:p>
            <w:pPr>
              <w:rPr>
                <w:rFonts w:asciiTheme="minorEastAsia" w:hAnsiTheme="minorEastAsia" w:eastAsiaTheme="minorEastAsia"/>
              </w:rPr>
            </w:pPr>
            <w:r>
              <w:rPr>
                <w:rFonts w:hint="eastAsia" w:asciiTheme="minorEastAsia" w:hAnsiTheme="minorEastAsia" w:eastAsiaTheme="minorEastAsia"/>
              </w:rPr>
              <w:t>实际支付</w:t>
            </w:r>
            <w:r>
              <w:rPr>
                <w:rFonts w:asciiTheme="minorEastAsia" w:hAnsiTheme="minorEastAsia" w:eastAsiaTheme="minorEastAsia"/>
              </w:rPr>
              <w:t>情况</w:t>
            </w:r>
          </w:p>
        </w:tc>
        <w:tc>
          <w:tcPr>
            <w:tcW w:w="5992" w:type="dxa"/>
          </w:tcPr>
          <w:p>
            <w:pPr>
              <w:rPr>
                <w:rFonts w:asciiTheme="minorEastAsia" w:hAnsiTheme="minorEastAsia" w:eastAsiaTheme="minorEastAsia"/>
                <w:highlight w:val="yellow"/>
              </w:rPr>
            </w:pPr>
            <w:r>
              <w:rPr>
                <w:rFonts w:hint="eastAsia" w:asciiTheme="minorEastAsia" w:hAnsiTheme="minorEastAsia" w:eastAsiaTheme="minorEastAsia"/>
              </w:rPr>
              <w:t>详情请见本节“现任及报告期内离任董事、监事和高级管理人员持股变动及报酬情况”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831" w:type="dxa"/>
            <w:vAlign w:val="center"/>
          </w:tcPr>
          <w:p>
            <w:pPr>
              <w:rPr>
                <w:rFonts w:asciiTheme="minorEastAsia" w:hAnsiTheme="minorEastAsia" w:eastAsiaTheme="minorEastAsia"/>
              </w:rPr>
            </w:pPr>
            <w:r>
              <w:rPr>
                <w:rFonts w:asciiTheme="minorEastAsia" w:hAnsiTheme="minorEastAsia" w:eastAsiaTheme="minorEastAsia"/>
              </w:rPr>
              <w:t>实际获得的报酬合计</w:t>
            </w:r>
          </w:p>
        </w:tc>
        <w:tc>
          <w:tcPr>
            <w:tcW w:w="5992" w:type="dxa"/>
          </w:tcPr>
          <w:p>
            <w:pPr>
              <w:rPr>
                <w:rFonts w:asciiTheme="minorEastAsia" w:hAnsiTheme="minorEastAsia" w:eastAsiaTheme="minorEastAsia"/>
                <w:highlight w:val="yellow"/>
              </w:rPr>
            </w:pPr>
            <w:r>
              <w:rPr>
                <w:rFonts w:hint="eastAsia" w:asciiTheme="minorEastAsia" w:hAnsiTheme="minorEastAsia" w:eastAsiaTheme="minorEastAsia"/>
              </w:rPr>
              <w:t>详情请见本节“现任及报告期内离任董事、监事和高级管理人员持股变动及报酬情况”</w:t>
            </w:r>
          </w:p>
        </w:tc>
      </w:tr>
    </w:tbl>
    <w:p>
      <w:pPr>
        <w:rPr>
          <w:rFonts w:asciiTheme="minorEastAsia" w:hAnsiTheme="minorEastAsia" w:eastAsiaTheme="minorEastAsia"/>
        </w:rPr>
      </w:pPr>
    </w:p>
    <w:p>
      <w:pPr>
        <w:pStyle w:val="4"/>
        <w:numPr>
          <w:ilvl w:val="0"/>
          <w:numId w:val="18"/>
        </w:numPr>
        <w:ind w:left="0" w:firstLine="0"/>
        <w:rPr>
          <w:rFonts w:asciiTheme="minorEastAsia" w:hAnsiTheme="minorEastAsia" w:eastAsiaTheme="minorEastAsia"/>
        </w:rPr>
      </w:pPr>
      <w:r>
        <w:rPr>
          <w:rFonts w:asciiTheme="minorEastAsia" w:hAnsiTheme="minorEastAsia" w:eastAsiaTheme="minorEastAsia"/>
        </w:rPr>
        <w:t>公司董事、监事、高级管理人员变动情况</w:t>
      </w:r>
    </w:p>
    <w:sdt>
      <w:sdtPr>
        <w:rPr>
          <w:rFonts w:asciiTheme="minorEastAsia" w:hAnsiTheme="minorEastAsia" w:eastAsiaTheme="minorEastAsia"/>
        </w:rPr>
        <w:alias w:val="是否适用：公司董事、监事、高级管理人员变动情况[双击切换]"/>
        <w:tag w:val="_GBC_a00df019796e4666a1adff20d55baa46"/>
        <w:id w:val="1943255422"/>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tbl>
      <w:tblPr>
        <w:tblStyle w:val="2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2206"/>
        <w:gridCol w:w="2206"/>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trPr>
        <w:sdt>
          <w:sdtPr>
            <w:rPr>
              <w:rFonts w:asciiTheme="minorEastAsia" w:hAnsiTheme="minorEastAsia" w:eastAsiaTheme="minorEastAsia"/>
            </w:rPr>
            <w:tag w:val="_PLD_10c0965136c84bf6abfceaef8557ae99"/>
            <w:id w:val="-1953160641"/>
          </w:sdtPr>
          <w:sdtEndPr>
            <w:rPr>
              <w:rFonts w:asciiTheme="minorEastAsia" w:hAnsiTheme="minorEastAsia" w:eastAsiaTheme="minorEastAsia"/>
            </w:rPr>
          </w:sdtEndPr>
          <w:sdtContent>
            <w:tc>
              <w:tcPr>
                <w:tcW w:w="2205" w:type="dxa"/>
                <w:vAlign w:val="center"/>
              </w:tcPr>
              <w:p>
                <w:pPr>
                  <w:jc w:val="center"/>
                  <w:rPr>
                    <w:rFonts w:asciiTheme="minorEastAsia" w:hAnsiTheme="minorEastAsia" w:eastAsiaTheme="minorEastAsia"/>
                  </w:rPr>
                </w:pPr>
                <w:r>
                  <w:rPr>
                    <w:rFonts w:asciiTheme="minorEastAsia" w:hAnsiTheme="minorEastAsia" w:eastAsiaTheme="minorEastAsia"/>
                  </w:rPr>
                  <w:t>姓名</w:t>
                </w:r>
              </w:p>
            </w:tc>
          </w:sdtContent>
        </w:sdt>
        <w:sdt>
          <w:sdtPr>
            <w:rPr>
              <w:rFonts w:asciiTheme="minorEastAsia" w:hAnsiTheme="minorEastAsia" w:eastAsiaTheme="minorEastAsia"/>
            </w:rPr>
            <w:tag w:val="_PLD_b53cc0c0661e4cffa4f7fa4f6423187d"/>
            <w:id w:val="143704130"/>
          </w:sdtPr>
          <w:sdtEndPr>
            <w:rPr>
              <w:rFonts w:asciiTheme="minorEastAsia" w:hAnsiTheme="minorEastAsia" w:eastAsiaTheme="minorEastAsia"/>
            </w:rPr>
          </w:sdtEndPr>
          <w:sdtContent>
            <w:tc>
              <w:tcPr>
                <w:tcW w:w="2206" w:type="dxa"/>
                <w:vAlign w:val="center"/>
              </w:tcPr>
              <w:p>
                <w:pPr>
                  <w:jc w:val="center"/>
                  <w:rPr>
                    <w:rFonts w:asciiTheme="minorEastAsia" w:hAnsiTheme="minorEastAsia" w:eastAsiaTheme="minorEastAsia"/>
                  </w:rPr>
                </w:pPr>
                <w:r>
                  <w:rPr>
                    <w:rFonts w:asciiTheme="minorEastAsia" w:hAnsiTheme="minorEastAsia" w:eastAsiaTheme="minorEastAsia"/>
                  </w:rPr>
                  <w:t>担任的职务</w:t>
                </w:r>
              </w:p>
            </w:tc>
          </w:sdtContent>
        </w:sdt>
        <w:sdt>
          <w:sdtPr>
            <w:rPr>
              <w:rFonts w:asciiTheme="minorEastAsia" w:hAnsiTheme="minorEastAsia" w:eastAsiaTheme="minorEastAsia"/>
            </w:rPr>
            <w:tag w:val="_PLD_012859f523ec430da1dfc6a86c6dde35"/>
            <w:id w:val="-58337606"/>
          </w:sdtPr>
          <w:sdtEndPr>
            <w:rPr>
              <w:rFonts w:asciiTheme="minorEastAsia" w:hAnsiTheme="minorEastAsia" w:eastAsiaTheme="minorEastAsia"/>
            </w:rPr>
          </w:sdtEndPr>
          <w:sdtContent>
            <w:tc>
              <w:tcPr>
                <w:tcW w:w="2206" w:type="dxa"/>
                <w:vAlign w:val="center"/>
              </w:tcPr>
              <w:p>
                <w:pPr>
                  <w:jc w:val="center"/>
                  <w:rPr>
                    <w:rFonts w:asciiTheme="minorEastAsia" w:hAnsiTheme="minorEastAsia" w:eastAsiaTheme="minorEastAsia"/>
                  </w:rPr>
                </w:pPr>
                <w:r>
                  <w:rPr>
                    <w:rFonts w:asciiTheme="minorEastAsia" w:hAnsiTheme="minorEastAsia" w:eastAsiaTheme="minorEastAsia"/>
                  </w:rPr>
                  <w:t>变动情形</w:t>
                </w:r>
              </w:p>
            </w:tc>
          </w:sdtContent>
        </w:sdt>
        <w:sdt>
          <w:sdtPr>
            <w:rPr>
              <w:rFonts w:asciiTheme="minorEastAsia" w:hAnsiTheme="minorEastAsia" w:eastAsiaTheme="minorEastAsia"/>
            </w:rPr>
            <w:tag w:val="_PLD_bf76757c55de435a9638407bd56b5199"/>
            <w:id w:val="-163626560"/>
          </w:sdtPr>
          <w:sdtEndPr>
            <w:rPr>
              <w:rFonts w:asciiTheme="minorEastAsia" w:hAnsiTheme="minorEastAsia" w:eastAsiaTheme="minorEastAsia"/>
            </w:rPr>
          </w:sdtEndPr>
          <w:sdtContent>
            <w:tc>
              <w:tcPr>
                <w:tcW w:w="2206" w:type="dxa"/>
                <w:vAlign w:val="center"/>
              </w:tcPr>
              <w:p>
                <w:pPr>
                  <w:jc w:val="center"/>
                  <w:rPr>
                    <w:rFonts w:asciiTheme="minorEastAsia" w:hAnsiTheme="minorEastAsia" w:eastAsiaTheme="minorEastAsia"/>
                  </w:rPr>
                </w:pPr>
                <w:r>
                  <w:rPr>
                    <w:rFonts w:asciiTheme="minorEastAsia" w:hAnsiTheme="minorEastAsia" w:eastAsiaTheme="minorEastAsia"/>
                  </w:rPr>
                  <w:t>变动原因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 xml:space="preserve">刘 </w:t>
            </w:r>
            <w:r>
              <w:rPr>
                <w:rFonts w:asciiTheme="minorEastAsia" w:hAnsiTheme="minorEastAsia" w:eastAsiaTheme="minorEastAsia"/>
              </w:rPr>
              <w:t xml:space="preserve"> </w:t>
            </w:r>
            <w:r>
              <w:rPr>
                <w:rFonts w:hint="eastAsia" w:asciiTheme="minorEastAsia" w:hAnsiTheme="minorEastAsia" w:eastAsiaTheme="minorEastAsia"/>
              </w:rPr>
              <w:t>强</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2206" w:type="dxa"/>
          </w:tcPr>
          <w:p>
            <w:pPr>
              <w:jc w:val="center"/>
              <w:rPr>
                <w:rFonts w:asciiTheme="minorEastAsia" w:hAnsiTheme="minorEastAsia" w:eastAsiaTheme="minorEastAsia"/>
              </w:rPr>
            </w:pPr>
            <w:r>
              <w:rPr>
                <w:rFonts w:asciiTheme="minorEastAsia" w:hAnsiTheme="minorEastAsia" w:eastAsiaTheme="minorEastAsia"/>
              </w:rPr>
              <w:t>选举</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张海军</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2206" w:type="dxa"/>
          </w:tcPr>
          <w:p>
            <w:pPr>
              <w:jc w:val="center"/>
              <w:rPr>
                <w:rFonts w:asciiTheme="minorEastAsia" w:hAnsiTheme="minorEastAsia" w:eastAsiaTheme="minorEastAsia"/>
              </w:rPr>
            </w:pPr>
            <w:r>
              <w:rPr>
                <w:rFonts w:asciiTheme="minorEastAsia" w:hAnsiTheme="minorEastAsia" w:eastAsiaTheme="minorEastAsia"/>
              </w:rPr>
              <w:t>选举</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 xml:space="preserve">苏 </w:t>
            </w:r>
            <w:r>
              <w:rPr>
                <w:rFonts w:asciiTheme="minorEastAsia" w:hAnsiTheme="minorEastAsia" w:eastAsiaTheme="minorEastAsia"/>
              </w:rPr>
              <w:t xml:space="preserve"> </w:t>
            </w:r>
            <w:r>
              <w:rPr>
                <w:rFonts w:hint="eastAsia" w:asciiTheme="minorEastAsia" w:hAnsiTheme="minorEastAsia" w:eastAsiaTheme="minorEastAsia"/>
              </w:rPr>
              <w:t>力</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职工董事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选举</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彭苏萍</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选举</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胡家栋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选举</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 xml:space="preserve">朱 </w:t>
            </w:r>
            <w:r>
              <w:rPr>
                <w:rFonts w:asciiTheme="minorEastAsia" w:hAnsiTheme="minorEastAsia" w:eastAsiaTheme="minorEastAsia"/>
              </w:rPr>
              <w:t xml:space="preserve"> </w:t>
            </w:r>
            <w:r>
              <w:rPr>
                <w:rFonts w:hint="eastAsia" w:asciiTheme="minorEastAsia" w:hAnsiTheme="minorEastAsia" w:eastAsiaTheme="minorEastAsia"/>
              </w:rPr>
              <w:t>睿</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选举</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李士鹏</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监事会主席</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选举</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靳家皓</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职工监事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选举</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李洪国</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副总经理</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聘任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 xml:space="preserve">岳 </w:t>
            </w:r>
            <w:r>
              <w:rPr>
                <w:rFonts w:asciiTheme="minorEastAsia" w:hAnsiTheme="minorEastAsia" w:eastAsiaTheme="minorEastAsia"/>
              </w:rPr>
              <w:t xml:space="preserve"> </w:t>
            </w:r>
            <w:r>
              <w:rPr>
                <w:rFonts w:hint="eastAsia" w:asciiTheme="minorEastAsia" w:hAnsiTheme="minorEastAsia" w:eastAsiaTheme="minorEastAsia"/>
              </w:rPr>
              <w:t>宁</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副总经理</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聘任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赵治国</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财务总监</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聘任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高春雷</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总工程师（化工）</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聘任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祝庆瑞</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任期届满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赵青春</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董事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任期届满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 xml:space="preserve">田 </w:t>
            </w:r>
            <w:r>
              <w:rPr>
                <w:rFonts w:asciiTheme="minorEastAsia" w:hAnsiTheme="minorEastAsia" w:eastAsiaTheme="minorEastAsia"/>
              </w:rPr>
              <w:t xml:space="preserve"> </w:t>
            </w:r>
            <w:r>
              <w:rPr>
                <w:rFonts w:hint="eastAsia" w:asciiTheme="minorEastAsia" w:hAnsiTheme="minorEastAsia" w:eastAsiaTheme="minorEastAsia"/>
              </w:rPr>
              <w:t>会</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任期届满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 xml:space="preserve">蔡 </w:t>
            </w:r>
            <w:r>
              <w:rPr>
                <w:rFonts w:asciiTheme="minorEastAsia" w:hAnsiTheme="minorEastAsia" w:eastAsiaTheme="minorEastAsia"/>
              </w:rPr>
              <w:t xml:space="preserve"> </w:t>
            </w:r>
            <w:r>
              <w:rPr>
                <w:rFonts w:hint="eastAsia" w:asciiTheme="minorEastAsia" w:hAnsiTheme="minorEastAsia" w:eastAsiaTheme="minorEastAsia"/>
              </w:rPr>
              <w:t>昌</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任期届满</w:t>
            </w:r>
          </w:p>
        </w:tc>
      </w:tr>
      <w:tr>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潘昭国</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独立董事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任期届满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李士鹏</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监事会副主席</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任期届满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秦言坡</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监事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任期届满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 xml:space="preserve">苏 </w:t>
            </w:r>
            <w:r>
              <w:rPr>
                <w:rFonts w:asciiTheme="minorEastAsia" w:hAnsiTheme="minorEastAsia" w:eastAsiaTheme="minorEastAsia"/>
              </w:rPr>
              <w:t xml:space="preserve"> </w:t>
            </w:r>
            <w:r>
              <w:rPr>
                <w:rFonts w:hint="eastAsia" w:asciiTheme="minorEastAsia" w:hAnsiTheme="minorEastAsia" w:eastAsiaTheme="minorEastAsia"/>
              </w:rPr>
              <w:t>力</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职工监事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任期届满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 xml:space="preserve">邓 </w:t>
            </w:r>
            <w:r>
              <w:rPr>
                <w:rFonts w:asciiTheme="minorEastAsia" w:hAnsiTheme="minorEastAsia" w:eastAsiaTheme="minorEastAsia"/>
              </w:rPr>
              <w:t xml:space="preserve"> </w:t>
            </w:r>
            <w:r>
              <w:rPr>
                <w:rFonts w:hint="eastAsia" w:asciiTheme="minorEastAsia" w:hAnsiTheme="minorEastAsia" w:eastAsiaTheme="minorEastAsia"/>
              </w:rPr>
              <w:t>辉</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职工监事</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任期届满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赵青春</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财务总监</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田兆华</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副总经理</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205" w:type="dxa"/>
          </w:tcPr>
          <w:p>
            <w:pPr>
              <w:jc w:val="center"/>
              <w:rPr>
                <w:rFonts w:asciiTheme="minorEastAsia" w:hAnsiTheme="minorEastAsia" w:eastAsiaTheme="minorEastAsia"/>
              </w:rPr>
            </w:pPr>
            <w:r>
              <w:rPr>
                <w:rFonts w:hint="eastAsia" w:asciiTheme="minorEastAsia" w:hAnsiTheme="minorEastAsia" w:eastAsiaTheme="minorEastAsia"/>
              </w:rPr>
              <w:t>尤加强</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副总经理</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离任</w:t>
            </w:r>
          </w:p>
        </w:tc>
        <w:tc>
          <w:tcPr>
            <w:tcW w:w="2206" w:type="dxa"/>
          </w:tcPr>
          <w:p>
            <w:pPr>
              <w:jc w:val="center"/>
              <w:rPr>
                <w:rFonts w:asciiTheme="minorEastAsia" w:hAnsiTheme="minorEastAsia" w:eastAsiaTheme="minorEastAsia"/>
              </w:rPr>
            </w:pPr>
            <w:r>
              <w:rPr>
                <w:rFonts w:hint="eastAsia" w:asciiTheme="minorEastAsia" w:hAnsiTheme="minorEastAsia" w:eastAsiaTheme="minorEastAsia"/>
              </w:rPr>
              <w:t>工作调整</w:t>
            </w:r>
          </w:p>
        </w:tc>
      </w:tr>
    </w:tbl>
    <w:p>
      <w:pPr>
        <w:rPr>
          <w:rFonts w:asciiTheme="minorEastAsia" w:hAnsiTheme="minorEastAsia" w:eastAsiaTheme="minorEastAsia"/>
        </w:rPr>
      </w:pPr>
    </w:p>
    <w:p>
      <w:pPr>
        <w:ind w:firstLine="422" w:firstLineChars="200"/>
        <w:rPr>
          <w:rFonts w:asciiTheme="minorEastAsia" w:hAnsiTheme="minorEastAsia" w:eastAsiaTheme="minorEastAsia"/>
          <w:b/>
          <w:bCs/>
        </w:rPr>
      </w:pPr>
      <w:r>
        <w:rPr>
          <w:rFonts w:hint="eastAsia" w:asciiTheme="minorEastAsia" w:hAnsiTheme="minorEastAsia" w:eastAsiaTheme="minorEastAsia"/>
          <w:b/>
          <w:bCs/>
        </w:rPr>
        <w:t>1.董事会成员变动情况</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经202</w:t>
      </w:r>
      <w:r>
        <w:rPr>
          <w:rFonts w:asciiTheme="minorEastAsia" w:hAnsiTheme="minorEastAsia" w:eastAsiaTheme="minorEastAsia"/>
        </w:rPr>
        <w:t>3</w:t>
      </w:r>
      <w:r>
        <w:rPr>
          <w:rFonts w:hint="eastAsia" w:asciiTheme="minorEastAsia" w:hAnsiTheme="minorEastAsia" w:eastAsiaTheme="minorEastAsia"/>
        </w:rPr>
        <w:t>年6月3</w:t>
      </w:r>
      <w:r>
        <w:rPr>
          <w:rFonts w:asciiTheme="minorEastAsia" w:hAnsiTheme="minorEastAsia" w:eastAsiaTheme="minorEastAsia"/>
        </w:rPr>
        <w:t>0</w:t>
      </w:r>
      <w:r>
        <w:rPr>
          <w:rFonts w:hint="eastAsia" w:asciiTheme="minorEastAsia" w:hAnsiTheme="minorEastAsia" w:eastAsiaTheme="minorEastAsia"/>
        </w:rPr>
        <w:t>日召开的公司2</w:t>
      </w:r>
      <w:r>
        <w:rPr>
          <w:rFonts w:asciiTheme="minorEastAsia" w:hAnsiTheme="minorEastAsia" w:eastAsiaTheme="minorEastAsia"/>
        </w:rPr>
        <w:t>022</w:t>
      </w:r>
      <w:r>
        <w:rPr>
          <w:rFonts w:hint="eastAsia" w:asciiTheme="minorEastAsia" w:hAnsiTheme="minorEastAsia" w:eastAsiaTheme="minorEastAsia"/>
        </w:rPr>
        <w:t>年度股东周年大会审议批准，选举李伟、肖耀猛、刘健、刘强、张海军、黄霄龙、彭苏萍、朱利民、胡家栋各位先生及朱睿女士为公司第九届董事会非职工代表董事，任期自2</w:t>
      </w:r>
      <w:r>
        <w:rPr>
          <w:rFonts w:asciiTheme="minorEastAsia" w:hAnsiTheme="minorEastAsia" w:eastAsiaTheme="minorEastAsia"/>
        </w:rPr>
        <w:t>022</w:t>
      </w:r>
      <w:r>
        <w:rPr>
          <w:rFonts w:hint="eastAsia" w:asciiTheme="minorEastAsia" w:hAnsiTheme="minorEastAsia" w:eastAsiaTheme="minorEastAsia"/>
        </w:rPr>
        <w:t>年度股东周年大会结束之日起，至选举产生公司第十届董事会非职工代表董事的股东大会结束之日止。</w:t>
      </w:r>
    </w:p>
    <w:p>
      <w:pPr>
        <w:ind w:firstLine="420" w:firstLineChars="200"/>
        <w:rPr>
          <w:rFonts w:asciiTheme="minorEastAsia" w:hAnsiTheme="minorEastAsia" w:eastAsiaTheme="minorEastAsia"/>
        </w:rPr>
      </w:pPr>
      <w:r>
        <w:rPr>
          <w:rFonts w:hint="eastAsia" w:asciiTheme="minorEastAsia" w:hAnsiTheme="minorEastAsia" w:eastAsiaTheme="minorEastAsia"/>
        </w:rPr>
        <w:t>经202</w:t>
      </w:r>
      <w:r>
        <w:rPr>
          <w:rFonts w:asciiTheme="minorEastAsia" w:hAnsiTheme="minorEastAsia" w:eastAsiaTheme="minorEastAsia"/>
        </w:rPr>
        <w:t>3</w:t>
      </w:r>
      <w:r>
        <w:rPr>
          <w:rFonts w:hint="eastAsia" w:asciiTheme="minorEastAsia" w:hAnsiTheme="minorEastAsia" w:eastAsiaTheme="minorEastAsia"/>
        </w:rPr>
        <w:t>年6月3</w:t>
      </w:r>
      <w:r>
        <w:rPr>
          <w:rFonts w:asciiTheme="minorEastAsia" w:hAnsiTheme="minorEastAsia" w:eastAsiaTheme="minorEastAsia"/>
        </w:rPr>
        <w:t>0</w:t>
      </w:r>
      <w:r>
        <w:rPr>
          <w:rFonts w:hint="eastAsia" w:asciiTheme="minorEastAsia" w:hAnsiTheme="minorEastAsia" w:eastAsiaTheme="minorEastAsia"/>
        </w:rPr>
        <w:t>日召开的公司第九届董事会第一次会议审议批准，选举李伟先生为公司第九届董事会董事长。</w:t>
      </w:r>
    </w:p>
    <w:p>
      <w:pPr>
        <w:ind w:firstLine="420" w:firstLineChars="200"/>
        <w:rPr>
          <w:rFonts w:asciiTheme="minorEastAsia" w:hAnsiTheme="minorEastAsia" w:eastAsiaTheme="minorEastAsia"/>
        </w:rPr>
      </w:pPr>
      <w:r>
        <w:rPr>
          <w:rFonts w:hint="eastAsia" w:asciiTheme="minorEastAsia" w:hAnsiTheme="minorEastAsia" w:eastAsiaTheme="minorEastAsia"/>
        </w:rPr>
        <w:t>经2</w:t>
      </w:r>
      <w:r>
        <w:rPr>
          <w:rFonts w:asciiTheme="minorEastAsia" w:hAnsiTheme="minorEastAsia" w:eastAsiaTheme="minorEastAsia"/>
        </w:rPr>
        <w:t>023</w:t>
      </w:r>
      <w:r>
        <w:rPr>
          <w:rFonts w:hint="eastAsia" w:asciiTheme="minorEastAsia" w:hAnsiTheme="minorEastAsia" w:eastAsiaTheme="minorEastAsia"/>
        </w:rPr>
        <w:t>年4月1</w:t>
      </w:r>
      <w:r>
        <w:rPr>
          <w:rFonts w:asciiTheme="minorEastAsia" w:hAnsiTheme="minorEastAsia" w:eastAsiaTheme="minorEastAsia"/>
        </w:rPr>
        <w:t>9</w:t>
      </w:r>
      <w:r>
        <w:rPr>
          <w:rFonts w:hint="eastAsia" w:asciiTheme="minorEastAsia" w:hAnsiTheme="minorEastAsia" w:eastAsiaTheme="minorEastAsia"/>
        </w:rPr>
        <w:t>日召开的公司第三届四次职工代表大会民主选举，选举苏力先生为公司第九届董事会职工代表董事，于2022年度股东周年大会结束之日起生效，任期与公司第九届董事会一致。</w:t>
      </w:r>
    </w:p>
    <w:p>
      <w:pPr>
        <w:ind w:firstLine="420" w:firstLineChars="200"/>
        <w:rPr>
          <w:rFonts w:asciiTheme="minorEastAsia" w:hAnsiTheme="minorEastAsia" w:eastAsiaTheme="minorEastAsia"/>
        </w:rPr>
      </w:pPr>
      <w:r>
        <w:rPr>
          <w:rFonts w:hint="eastAsia" w:asciiTheme="minorEastAsia" w:hAnsiTheme="minorEastAsia" w:eastAsiaTheme="minorEastAsia"/>
        </w:rPr>
        <w:t>报告期内每名新任董事均已确认其知悉作为上市发行人董事的责任。</w:t>
      </w:r>
    </w:p>
    <w:p>
      <w:pPr>
        <w:ind w:firstLine="420" w:firstLineChars="200"/>
        <w:rPr>
          <w:rFonts w:asciiTheme="minorEastAsia" w:hAnsiTheme="minorEastAsia" w:eastAsiaTheme="minorEastAsia"/>
        </w:rPr>
      </w:pPr>
      <w:r>
        <w:rPr>
          <w:rFonts w:hint="eastAsia" w:asciiTheme="minorEastAsia" w:hAnsiTheme="minorEastAsia" w:eastAsiaTheme="minorEastAsia"/>
        </w:rPr>
        <w:t>由于第八届董事会任期届满，自2022年度股东周年大会结束之日起，祝庆瑞、赵青春、田会、蔡昌及潘昭国各位先生不再担任本公司董事职务。</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2" w:firstLineChars="200"/>
        <w:rPr>
          <w:rFonts w:asciiTheme="minorEastAsia" w:hAnsiTheme="minorEastAsia" w:eastAsiaTheme="minorEastAsia"/>
          <w:b/>
          <w:bCs/>
        </w:rPr>
      </w:pPr>
      <w:r>
        <w:rPr>
          <w:rFonts w:hint="eastAsia" w:asciiTheme="minorEastAsia" w:hAnsiTheme="minorEastAsia" w:eastAsiaTheme="minorEastAsia"/>
          <w:b/>
          <w:bCs/>
        </w:rPr>
        <w:t>2.监事会成员变动情况</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经202</w:t>
      </w:r>
      <w:r>
        <w:rPr>
          <w:rFonts w:asciiTheme="minorEastAsia" w:hAnsiTheme="minorEastAsia" w:eastAsiaTheme="minorEastAsia"/>
        </w:rPr>
        <w:t>3</w:t>
      </w:r>
      <w:r>
        <w:rPr>
          <w:rFonts w:hint="eastAsia" w:asciiTheme="minorEastAsia" w:hAnsiTheme="minorEastAsia" w:eastAsiaTheme="minorEastAsia"/>
        </w:rPr>
        <w:t>年6月3</w:t>
      </w:r>
      <w:r>
        <w:rPr>
          <w:rFonts w:asciiTheme="minorEastAsia" w:hAnsiTheme="minorEastAsia" w:eastAsiaTheme="minorEastAsia"/>
        </w:rPr>
        <w:t>0</w:t>
      </w:r>
      <w:r>
        <w:rPr>
          <w:rFonts w:hint="eastAsia" w:asciiTheme="minorEastAsia" w:hAnsiTheme="minorEastAsia" w:eastAsiaTheme="minorEastAsia"/>
        </w:rPr>
        <w:t>日召开的公司2</w:t>
      </w:r>
      <w:r>
        <w:rPr>
          <w:rFonts w:asciiTheme="minorEastAsia" w:hAnsiTheme="minorEastAsia" w:eastAsiaTheme="minorEastAsia"/>
        </w:rPr>
        <w:t>022</w:t>
      </w:r>
      <w:r>
        <w:rPr>
          <w:rFonts w:hint="eastAsia" w:asciiTheme="minorEastAsia" w:hAnsiTheme="minorEastAsia" w:eastAsiaTheme="minorEastAsia"/>
        </w:rPr>
        <w:t>年度股东周年大会审议批准，选举李士鹏先生、朱昊先生为公司第九届监事会非职工代表监事，任期自2</w:t>
      </w:r>
      <w:r>
        <w:rPr>
          <w:rFonts w:asciiTheme="minorEastAsia" w:hAnsiTheme="minorEastAsia" w:eastAsiaTheme="minorEastAsia"/>
        </w:rPr>
        <w:t>022</w:t>
      </w:r>
      <w:r>
        <w:rPr>
          <w:rFonts w:hint="eastAsia" w:asciiTheme="minorEastAsia" w:hAnsiTheme="minorEastAsia" w:eastAsiaTheme="minorEastAsia"/>
        </w:rPr>
        <w:t>年度股东周年大会结束之日起，至选举产生公司第十届监事会非职工代表监事的股东大会结束之日止。</w:t>
      </w:r>
    </w:p>
    <w:p>
      <w:pPr>
        <w:ind w:firstLine="420" w:firstLineChars="200"/>
        <w:rPr>
          <w:rFonts w:asciiTheme="minorEastAsia" w:hAnsiTheme="minorEastAsia" w:eastAsiaTheme="minorEastAsia"/>
        </w:rPr>
      </w:pPr>
      <w:r>
        <w:rPr>
          <w:rFonts w:hint="eastAsia" w:asciiTheme="minorEastAsia" w:hAnsiTheme="minorEastAsia" w:eastAsiaTheme="minorEastAsia"/>
        </w:rPr>
        <w:t>经202</w:t>
      </w:r>
      <w:r>
        <w:rPr>
          <w:rFonts w:asciiTheme="minorEastAsia" w:hAnsiTheme="minorEastAsia" w:eastAsiaTheme="minorEastAsia"/>
        </w:rPr>
        <w:t>3</w:t>
      </w:r>
      <w:r>
        <w:rPr>
          <w:rFonts w:hint="eastAsia" w:asciiTheme="minorEastAsia" w:hAnsiTheme="minorEastAsia" w:eastAsiaTheme="minorEastAsia"/>
        </w:rPr>
        <w:t>年6月3</w:t>
      </w:r>
      <w:r>
        <w:rPr>
          <w:rFonts w:asciiTheme="minorEastAsia" w:hAnsiTheme="minorEastAsia" w:eastAsiaTheme="minorEastAsia"/>
        </w:rPr>
        <w:t>0</w:t>
      </w:r>
      <w:r>
        <w:rPr>
          <w:rFonts w:hint="eastAsia" w:asciiTheme="minorEastAsia" w:hAnsiTheme="minorEastAsia" w:eastAsiaTheme="minorEastAsia"/>
        </w:rPr>
        <w:t>日召开的公司第九届监事会第一次会议审议批准，选举李士鹏先生为公司第九届监事会主席。</w:t>
      </w:r>
    </w:p>
    <w:p>
      <w:pPr>
        <w:ind w:firstLine="420" w:firstLineChars="200"/>
        <w:rPr>
          <w:rFonts w:asciiTheme="minorEastAsia" w:hAnsiTheme="minorEastAsia" w:eastAsiaTheme="minorEastAsia"/>
        </w:rPr>
      </w:pPr>
      <w:r>
        <w:rPr>
          <w:rFonts w:hint="eastAsia" w:asciiTheme="minorEastAsia" w:hAnsiTheme="minorEastAsia" w:eastAsiaTheme="minorEastAsia"/>
        </w:rPr>
        <w:t>经2</w:t>
      </w:r>
      <w:r>
        <w:rPr>
          <w:rFonts w:asciiTheme="minorEastAsia" w:hAnsiTheme="minorEastAsia" w:eastAsiaTheme="minorEastAsia"/>
        </w:rPr>
        <w:t>023</w:t>
      </w:r>
      <w:r>
        <w:rPr>
          <w:rFonts w:hint="eastAsia" w:asciiTheme="minorEastAsia" w:hAnsiTheme="minorEastAsia" w:eastAsiaTheme="minorEastAsia"/>
        </w:rPr>
        <w:t>年4月1</w:t>
      </w:r>
      <w:r>
        <w:rPr>
          <w:rFonts w:asciiTheme="minorEastAsia" w:hAnsiTheme="minorEastAsia" w:eastAsiaTheme="minorEastAsia"/>
        </w:rPr>
        <w:t>9</w:t>
      </w:r>
      <w:r>
        <w:rPr>
          <w:rFonts w:hint="eastAsia" w:asciiTheme="minorEastAsia" w:hAnsiTheme="minorEastAsia" w:eastAsiaTheme="minorEastAsia"/>
        </w:rPr>
        <w:t>日召开的公司第三届四次职工代表大会民主选举，选举靳家皓先生为公司第九届监事会职工代表监事，于2022年度股东周年大会结束之日起生效，任期与公司第九届监事会一致。</w:t>
      </w:r>
    </w:p>
    <w:p>
      <w:pPr>
        <w:ind w:firstLine="420" w:firstLineChars="200"/>
        <w:rPr>
          <w:rFonts w:asciiTheme="minorEastAsia" w:hAnsiTheme="minorEastAsia" w:eastAsiaTheme="minorEastAsia"/>
        </w:rPr>
      </w:pPr>
      <w:r>
        <w:rPr>
          <w:rFonts w:hint="eastAsia" w:asciiTheme="minorEastAsia" w:hAnsiTheme="minorEastAsia" w:eastAsiaTheme="minorEastAsia"/>
        </w:rPr>
        <w:t>由于第八届监事会任期届满，自2022年度股东周年大会结束之日起，秦言坡先生、苏力先生及邓辉先生不再担任本公司监事职务。</w:t>
      </w:r>
    </w:p>
    <w:p>
      <w:pPr>
        <w:ind w:firstLine="422" w:firstLineChars="200"/>
        <w:rPr>
          <w:rFonts w:asciiTheme="minorEastAsia" w:hAnsiTheme="minorEastAsia" w:eastAsiaTheme="minorEastAsia"/>
          <w:b/>
          <w:bCs/>
        </w:rPr>
      </w:pPr>
    </w:p>
    <w:p>
      <w:pPr>
        <w:ind w:firstLine="422" w:firstLineChars="200"/>
        <w:rPr>
          <w:rFonts w:asciiTheme="minorEastAsia" w:hAnsiTheme="minorEastAsia" w:eastAsiaTheme="minorEastAsia"/>
          <w:b/>
          <w:bCs/>
        </w:rPr>
      </w:pPr>
      <w:r>
        <w:rPr>
          <w:rFonts w:hint="eastAsia" w:asciiTheme="minorEastAsia" w:hAnsiTheme="minorEastAsia" w:eastAsiaTheme="minorEastAsia"/>
          <w:b/>
          <w:bCs/>
        </w:rPr>
        <w:t>3.高级管理人员变动情况</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（1）第八届董事会期间变动情况</w:t>
      </w:r>
    </w:p>
    <w:p>
      <w:pPr>
        <w:ind w:firstLine="420" w:firstLineChars="200"/>
        <w:rPr>
          <w:rFonts w:asciiTheme="minorEastAsia" w:hAnsiTheme="minorEastAsia" w:eastAsiaTheme="minorEastAsia"/>
        </w:rPr>
      </w:pPr>
      <w:r>
        <w:rPr>
          <w:rFonts w:hint="eastAsia" w:asciiTheme="minorEastAsia" w:hAnsiTheme="minorEastAsia" w:eastAsiaTheme="minorEastAsia"/>
        </w:rPr>
        <w:t>经202</w:t>
      </w:r>
      <w:r>
        <w:rPr>
          <w:rFonts w:asciiTheme="minorEastAsia" w:hAnsiTheme="minorEastAsia" w:eastAsiaTheme="minorEastAsia"/>
        </w:rPr>
        <w:t>3</w:t>
      </w:r>
      <w:r>
        <w:rPr>
          <w:rFonts w:hint="eastAsia" w:asciiTheme="minorEastAsia" w:hAnsiTheme="minorEastAsia" w:eastAsiaTheme="minorEastAsia"/>
        </w:rPr>
        <w:t>年</w:t>
      </w:r>
      <w:r>
        <w:rPr>
          <w:rFonts w:asciiTheme="minorEastAsia" w:hAnsiTheme="minorEastAsia" w:eastAsiaTheme="minorEastAsia"/>
        </w:rPr>
        <w:t>3</w:t>
      </w:r>
      <w:r>
        <w:rPr>
          <w:rFonts w:hint="eastAsia" w:asciiTheme="minorEastAsia" w:hAnsiTheme="minorEastAsia" w:eastAsiaTheme="minorEastAsia"/>
        </w:rPr>
        <w:t>月</w:t>
      </w:r>
      <w:r>
        <w:rPr>
          <w:rFonts w:asciiTheme="minorEastAsia" w:hAnsiTheme="minorEastAsia" w:eastAsiaTheme="minorEastAsia"/>
        </w:rPr>
        <w:t>24</w:t>
      </w:r>
      <w:r>
        <w:rPr>
          <w:rFonts w:hint="eastAsia" w:asciiTheme="minorEastAsia" w:hAnsiTheme="minorEastAsia" w:eastAsiaTheme="minorEastAsia"/>
        </w:rPr>
        <w:t>日召开的公司第八届董事会第二十七次会议审议批准，聘任李洪国先生为公司副总经理，任期与公司第八届董事会聘任的其他高级管理人员一致。</w:t>
      </w:r>
    </w:p>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（2）第九届董事会期间变动情况</w:t>
      </w:r>
    </w:p>
    <w:p>
      <w:pPr>
        <w:ind w:firstLine="420" w:firstLineChars="200"/>
        <w:rPr>
          <w:rFonts w:asciiTheme="minorEastAsia" w:hAnsiTheme="minorEastAsia" w:eastAsiaTheme="minorEastAsia"/>
        </w:rPr>
      </w:pPr>
      <w:r>
        <w:rPr>
          <w:rFonts w:hint="eastAsia" w:asciiTheme="minorEastAsia" w:hAnsiTheme="minorEastAsia" w:eastAsiaTheme="minorEastAsia"/>
        </w:rPr>
        <w:t>经202</w:t>
      </w:r>
      <w:r>
        <w:rPr>
          <w:rFonts w:asciiTheme="minorEastAsia" w:hAnsiTheme="minorEastAsia" w:eastAsiaTheme="minorEastAsia"/>
        </w:rPr>
        <w:t>3</w:t>
      </w:r>
      <w:r>
        <w:rPr>
          <w:rFonts w:hint="eastAsia" w:asciiTheme="minorEastAsia" w:hAnsiTheme="minorEastAsia" w:eastAsiaTheme="minorEastAsia"/>
        </w:rPr>
        <w:t>年</w:t>
      </w:r>
      <w:r>
        <w:rPr>
          <w:rFonts w:asciiTheme="minorEastAsia" w:hAnsiTheme="minorEastAsia" w:eastAsiaTheme="minorEastAsia"/>
        </w:rPr>
        <w:t>6</w:t>
      </w:r>
      <w:r>
        <w:rPr>
          <w:rFonts w:hint="eastAsia" w:asciiTheme="minorEastAsia" w:hAnsiTheme="minorEastAsia" w:eastAsiaTheme="minorEastAsia"/>
        </w:rPr>
        <w:t>月3</w:t>
      </w:r>
      <w:r>
        <w:rPr>
          <w:rFonts w:asciiTheme="minorEastAsia" w:hAnsiTheme="minorEastAsia" w:eastAsiaTheme="minorEastAsia"/>
        </w:rPr>
        <w:t>0</w:t>
      </w:r>
      <w:r>
        <w:rPr>
          <w:rFonts w:hint="eastAsia" w:asciiTheme="minorEastAsia" w:hAnsiTheme="minorEastAsia" w:eastAsiaTheme="minorEastAsia"/>
        </w:rPr>
        <w:t>日召开的公司第九届董事会第一次会议审议批准，聘任李洪国、张传昌、田兆华、尤加强、王九红</w:t>
      </w:r>
      <w:r>
        <w:rPr>
          <w:rFonts w:asciiTheme="minorEastAsia" w:hAnsiTheme="minorEastAsia" w:eastAsiaTheme="minorEastAsia"/>
        </w:rPr>
        <w:t>各位</w:t>
      </w:r>
      <w:r>
        <w:rPr>
          <w:rFonts w:hint="eastAsia" w:asciiTheme="minorEastAsia" w:hAnsiTheme="minorEastAsia" w:eastAsiaTheme="minorEastAsia"/>
        </w:rPr>
        <w:t>先生为公司副总经理，赵青春先生为公司财务总监，黄霄龙先生为公司董事会秘书、公司秘书，马俊鹏先生为公司总工程师，康丹先生为公司安全总监，张磊先生为公司投资总监，任期自第九届董事会第一次会议结束之日起，至聘任公司第十届高级管理人员的董事会会议结束之日止。</w:t>
      </w:r>
    </w:p>
    <w:p>
      <w:pPr>
        <w:ind w:firstLine="420" w:firstLineChars="200"/>
        <w:rPr>
          <w:rFonts w:asciiTheme="minorEastAsia" w:hAnsiTheme="minorEastAsia" w:eastAsiaTheme="minorEastAsia"/>
        </w:rPr>
      </w:pPr>
      <w:r>
        <w:rPr>
          <w:rFonts w:hint="eastAsia" w:asciiTheme="minorEastAsia" w:hAnsiTheme="minorEastAsia" w:eastAsiaTheme="minorEastAsia"/>
        </w:rPr>
        <w:t>经202</w:t>
      </w:r>
      <w:r>
        <w:rPr>
          <w:rFonts w:asciiTheme="minorEastAsia" w:hAnsiTheme="minorEastAsia" w:eastAsiaTheme="minorEastAsia"/>
        </w:rPr>
        <w:t>3</w:t>
      </w:r>
      <w:r>
        <w:rPr>
          <w:rFonts w:hint="eastAsia" w:asciiTheme="minorEastAsia" w:hAnsiTheme="minorEastAsia" w:eastAsiaTheme="minorEastAsia"/>
        </w:rPr>
        <w:t>年</w:t>
      </w:r>
      <w:r>
        <w:rPr>
          <w:rFonts w:asciiTheme="minorEastAsia" w:hAnsiTheme="minorEastAsia" w:eastAsiaTheme="minorEastAsia"/>
        </w:rPr>
        <w:t>10</w:t>
      </w:r>
      <w:r>
        <w:rPr>
          <w:rFonts w:hint="eastAsia" w:asciiTheme="minorEastAsia" w:hAnsiTheme="minorEastAsia" w:eastAsiaTheme="minorEastAsia"/>
        </w:rPr>
        <w:t>月2</w:t>
      </w:r>
      <w:r>
        <w:rPr>
          <w:rFonts w:asciiTheme="minorEastAsia" w:hAnsiTheme="minorEastAsia" w:eastAsiaTheme="minorEastAsia"/>
        </w:rPr>
        <w:t>7</w:t>
      </w:r>
      <w:r>
        <w:rPr>
          <w:rFonts w:hint="eastAsia" w:asciiTheme="minorEastAsia" w:hAnsiTheme="minorEastAsia" w:eastAsiaTheme="minorEastAsia"/>
        </w:rPr>
        <w:t>日召开的公司第九届董事会第三次会议审议批准，聘任岳宁先生为公司副总经理，赵治国先生为公司财务总监，任期与公司第九届董事会聘任的其他高级管理人员一致。</w:t>
      </w:r>
    </w:p>
    <w:p>
      <w:pPr>
        <w:ind w:firstLine="420" w:firstLineChars="20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w:t>
      </w:r>
      <w:r>
        <w:rPr>
          <w:rFonts w:hint="eastAsia" w:asciiTheme="minorEastAsia" w:hAnsiTheme="minorEastAsia" w:eastAsiaTheme="minorEastAsia"/>
        </w:rPr>
        <w:t>年1</w:t>
      </w:r>
      <w:r>
        <w:rPr>
          <w:rFonts w:asciiTheme="minorEastAsia" w:hAnsiTheme="minorEastAsia" w:eastAsiaTheme="minorEastAsia"/>
        </w:rPr>
        <w:t>0</w:t>
      </w:r>
      <w:r>
        <w:rPr>
          <w:rFonts w:hint="eastAsia" w:asciiTheme="minorEastAsia" w:hAnsiTheme="minorEastAsia" w:eastAsiaTheme="minorEastAsia"/>
        </w:rPr>
        <w:t>月2</w:t>
      </w:r>
      <w:r>
        <w:rPr>
          <w:rFonts w:asciiTheme="minorEastAsia" w:hAnsiTheme="minorEastAsia" w:eastAsiaTheme="minorEastAsia"/>
        </w:rPr>
        <w:t>7</w:t>
      </w:r>
      <w:r>
        <w:rPr>
          <w:rFonts w:hint="eastAsia" w:asciiTheme="minorEastAsia" w:hAnsiTheme="minorEastAsia" w:eastAsiaTheme="minorEastAsia"/>
        </w:rPr>
        <w:t>日，董事会收到公司财务总监赵青春先生、副总经理田兆华先生和尤加强先生的辞职报告，赵青春先生因工作调整辞去公司财务总监职务，田兆华先生和尤加强先生因工作调整辞去公司副总经理职务。</w:t>
      </w:r>
    </w:p>
    <w:p>
      <w:pPr>
        <w:ind w:firstLine="411" w:firstLineChars="196"/>
        <w:rPr>
          <w:b/>
        </w:rPr>
      </w:pPr>
      <w:r>
        <w:rPr>
          <w:rFonts w:hint="eastAsia" w:asciiTheme="minorEastAsia" w:hAnsiTheme="minorEastAsia" w:eastAsiaTheme="minorEastAsia"/>
        </w:rPr>
        <w:t>经202</w:t>
      </w:r>
      <w:r>
        <w:rPr>
          <w:rFonts w:asciiTheme="minorEastAsia" w:hAnsiTheme="minorEastAsia" w:eastAsiaTheme="minorEastAsia"/>
        </w:rPr>
        <w:t>4</w:t>
      </w:r>
      <w:r>
        <w:rPr>
          <w:rFonts w:hint="eastAsia" w:asciiTheme="minorEastAsia" w:hAnsiTheme="minorEastAsia" w:eastAsiaTheme="minorEastAsia"/>
        </w:rPr>
        <w:t>年3月2</w:t>
      </w:r>
      <w:r>
        <w:rPr>
          <w:rFonts w:asciiTheme="minorEastAsia" w:hAnsiTheme="minorEastAsia" w:eastAsiaTheme="minorEastAsia"/>
        </w:rPr>
        <w:t>8</w:t>
      </w:r>
      <w:r>
        <w:rPr>
          <w:rFonts w:hint="eastAsia" w:asciiTheme="minorEastAsia" w:hAnsiTheme="minorEastAsia" w:eastAsiaTheme="minorEastAsia"/>
        </w:rPr>
        <w:t>日召开的公司第九届董事会第六次会议审议批准，聘任高春雷先生为公司总工程师（化工），任期与公司第九届董事会聘任的其他高级管理人员一致。</w:t>
      </w:r>
    </w:p>
    <w:p>
      <w:pPr>
        <w:ind w:firstLine="413" w:firstLineChars="196"/>
        <w:rPr>
          <w:b/>
        </w:rPr>
      </w:pPr>
    </w:p>
    <w:p>
      <w:pPr>
        <w:ind w:firstLine="413" w:firstLineChars="196"/>
        <w:rPr>
          <w:b/>
        </w:rPr>
      </w:pPr>
      <w:r>
        <w:rPr>
          <w:rFonts w:hint="eastAsia" w:asciiTheme="minorEastAsia" w:hAnsiTheme="minorEastAsia" w:eastAsiaTheme="minorEastAsia"/>
          <w:b/>
        </w:rPr>
        <w:t>4.在本</w:t>
      </w:r>
      <w:r>
        <w:rPr>
          <w:rFonts w:hint="eastAsia"/>
          <w:b/>
        </w:rPr>
        <w:t>公司附属公司任职变动情况（按香港上市监管规定编制）</w:t>
      </w:r>
    </w:p>
    <w:p>
      <w:pPr>
        <w:ind w:firstLine="420" w:firstLineChars="200"/>
      </w:pPr>
      <w:r>
        <w:rPr>
          <w:rFonts w:hint="eastAsia"/>
        </w:rPr>
        <w:t xml:space="preserve"> </w:t>
      </w:r>
    </w:p>
    <w:tbl>
      <w:tblPr>
        <w:tblStyle w:val="205"/>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851"/>
        <w:gridCol w:w="2239"/>
        <w:gridCol w:w="2126"/>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本公司任职</w:t>
            </w:r>
          </w:p>
        </w:tc>
        <w:tc>
          <w:tcPr>
            <w:tcW w:w="851"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姓名</w:t>
            </w:r>
          </w:p>
        </w:tc>
        <w:tc>
          <w:tcPr>
            <w:tcW w:w="2239"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变动前</w:t>
            </w:r>
          </w:p>
        </w:tc>
        <w:tc>
          <w:tcPr>
            <w:tcW w:w="2126"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变动后</w:t>
            </w:r>
          </w:p>
        </w:tc>
        <w:tc>
          <w:tcPr>
            <w:tcW w:w="199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变动时间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rPr>
              <w:t>董事、董事会秘书</w:t>
            </w:r>
          </w:p>
        </w:tc>
        <w:tc>
          <w:tcPr>
            <w:tcW w:w="851"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21"/>
                <w:szCs w:val="21"/>
                <w:highlight w:val="yellow"/>
              </w:rPr>
            </w:pPr>
            <w:r>
              <w:rPr>
                <w:rFonts w:asciiTheme="minorEastAsia" w:hAnsiTheme="minorEastAsia" w:eastAsiaTheme="minorEastAsia"/>
                <w:sz w:val="21"/>
                <w:szCs w:val="21"/>
              </w:rPr>
              <w:t>黄霄龙</w:t>
            </w: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rPr>
              <w:t>兖煤澳大利亚有限公司董事</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2023年5月31日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0"/>
                <w:szCs w:val="21"/>
              </w:rPr>
            </w:pPr>
          </w:p>
        </w:tc>
        <w:tc>
          <w:tcPr>
            <w:tcW w:w="851"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0"/>
                <w:szCs w:val="21"/>
              </w:rPr>
            </w:pP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兖矿新疆能化有限公司董事</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w:t>
            </w:r>
            <w:r>
              <w:rPr>
                <w:rFonts w:asciiTheme="minorEastAsia" w:hAnsiTheme="minorEastAsia" w:eastAsiaTheme="minorEastAsia"/>
                <w:sz w:val="21"/>
                <w:szCs w:val="21"/>
              </w:rPr>
              <w:t>1</w:t>
            </w:r>
            <w:r>
              <w:rPr>
                <w:rFonts w:hint="eastAsia" w:asciiTheme="minorEastAsia" w:hAnsiTheme="minorEastAsia" w:eastAsiaTheme="minorEastAsia"/>
                <w:sz w:val="21"/>
                <w:szCs w:val="21"/>
              </w:rPr>
              <w:t>0月13日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rPr>
              <w:t>监事、监事会主席</w:t>
            </w:r>
          </w:p>
        </w:tc>
        <w:tc>
          <w:tcPr>
            <w:tcW w:w="851" w:type="dxa"/>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21"/>
                <w:szCs w:val="21"/>
                <w:highlight w:val="yellow"/>
              </w:rPr>
            </w:pPr>
            <w:r>
              <w:rPr>
                <w:rFonts w:asciiTheme="minorEastAsia" w:hAnsiTheme="minorEastAsia" w:eastAsiaTheme="minorEastAsia"/>
                <w:sz w:val="21"/>
                <w:szCs w:val="21"/>
              </w:rPr>
              <w:t>李士鹏</w:t>
            </w: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兖矿融资租赁有限公司董事长</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w:t>
            </w:r>
            <w:r>
              <w:rPr>
                <w:rFonts w:asciiTheme="minorEastAsia" w:hAnsiTheme="minorEastAsia" w:eastAsiaTheme="minorEastAsia"/>
                <w:sz w:val="21"/>
                <w:szCs w:val="21"/>
              </w:rPr>
              <w:t>10</w:t>
            </w:r>
            <w:r>
              <w:rPr>
                <w:rFonts w:hint="eastAsia" w:asciiTheme="minorEastAsia" w:hAnsiTheme="minorEastAsia" w:eastAsiaTheme="minorEastAsia"/>
                <w:sz w:val="21"/>
                <w:szCs w:val="21"/>
              </w:rPr>
              <w:t>月</w:t>
            </w:r>
            <w:r>
              <w:rPr>
                <w:rFonts w:asciiTheme="minorEastAsia" w:hAnsiTheme="minorEastAsia" w:eastAsiaTheme="minorEastAsia"/>
                <w:sz w:val="21"/>
                <w:szCs w:val="21"/>
              </w:rPr>
              <w:t>5</w:t>
            </w:r>
            <w:r>
              <w:rPr>
                <w:rFonts w:hint="eastAsia" w:asciiTheme="minorEastAsia" w:hAnsiTheme="minorEastAsia" w:eastAsiaTheme="minorEastAsia"/>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副总经理</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李洪国</w:t>
            </w: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山东能源集团鲁西矿业有限公司董事</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w:t>
            </w:r>
            <w:r>
              <w:rPr>
                <w:rFonts w:asciiTheme="minorEastAsia" w:hAnsiTheme="minorEastAsia" w:eastAsiaTheme="minorEastAsia"/>
                <w:sz w:val="21"/>
                <w:szCs w:val="21"/>
              </w:rPr>
              <w:t>11</w:t>
            </w:r>
            <w:r>
              <w:rPr>
                <w:rFonts w:hint="eastAsia" w:asciiTheme="minorEastAsia" w:hAnsiTheme="minorEastAsia" w:eastAsiaTheme="minorEastAsia"/>
                <w:sz w:val="21"/>
                <w:szCs w:val="21"/>
              </w:rPr>
              <w:t>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rPr>
              <w:t>副总经理</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highlight w:val="yellow"/>
              </w:rPr>
            </w:pPr>
            <w:r>
              <w:rPr>
                <w:rFonts w:asciiTheme="minorEastAsia" w:hAnsiTheme="minorEastAsia" w:eastAsiaTheme="minorEastAsia"/>
                <w:sz w:val="21"/>
                <w:szCs w:val="21"/>
              </w:rPr>
              <w:t>王九红</w:t>
            </w:r>
          </w:p>
        </w:tc>
        <w:tc>
          <w:tcPr>
            <w:tcW w:w="223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兖矿能源（鄂尔多斯）有限公司总经理</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2023年5月6日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highlight w:val="yellow"/>
              </w:rPr>
            </w:pPr>
            <w:r>
              <w:rPr>
                <w:rFonts w:hint="eastAsia" w:asciiTheme="minorEastAsia" w:hAnsiTheme="minorEastAsia" w:eastAsiaTheme="minorEastAsia"/>
                <w:sz w:val="21"/>
                <w:szCs w:val="21"/>
              </w:rPr>
              <w:t>副总经理</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highlight w:val="yellow"/>
              </w:rPr>
            </w:pPr>
            <w:r>
              <w:rPr>
                <w:rFonts w:asciiTheme="minorEastAsia" w:hAnsiTheme="minorEastAsia" w:eastAsiaTheme="minorEastAsia"/>
                <w:sz w:val="21"/>
                <w:szCs w:val="21"/>
              </w:rPr>
              <w:t>岳  宁</w:t>
            </w: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兖煤澳大利亚有限公司执行董事、联席副董事长、执行委员会主席</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2023年9月27日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restart"/>
            <w:tcBorders>
              <w:left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财务总监</w:t>
            </w:r>
          </w:p>
        </w:tc>
        <w:tc>
          <w:tcPr>
            <w:tcW w:w="851" w:type="dxa"/>
            <w:vMerge w:val="restart"/>
            <w:tcBorders>
              <w:left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赵治国</w:t>
            </w: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rPr>
                <w:rStyle w:val="260"/>
                <w:rFonts w:hint="default" w:asciiTheme="minorEastAsia" w:hAnsiTheme="minorEastAsia" w:eastAsiaTheme="minorEastAsia"/>
              </w:rPr>
            </w:pPr>
            <w:r>
              <w:rPr>
                <w:rFonts w:hint="eastAsia" w:asciiTheme="minorEastAsia" w:hAnsiTheme="minorEastAsia" w:eastAsiaTheme="minorEastAsia"/>
                <w:sz w:val="21"/>
                <w:szCs w:val="21"/>
              </w:rPr>
              <w:t>兖矿瑞丰国际贸易有限公司董事长</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2023年1月5日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left w:val="single" w:color="auto" w:sz="4" w:space="0"/>
              <w:right w:val="single" w:color="auto" w:sz="4" w:space="0"/>
            </w:tcBorders>
            <w:vAlign w:val="center"/>
          </w:tcPr>
          <w:p>
            <w:pPr>
              <w:jc w:val="center"/>
              <w:rPr>
                <w:rFonts w:asciiTheme="minorEastAsia" w:hAnsiTheme="minorEastAsia" w:eastAsiaTheme="minorEastAsia"/>
                <w:sz w:val="21"/>
                <w:szCs w:val="21"/>
              </w:rPr>
            </w:pPr>
          </w:p>
        </w:tc>
        <w:tc>
          <w:tcPr>
            <w:tcW w:w="851" w:type="dxa"/>
            <w:vMerge w:val="continue"/>
            <w:tcBorders>
              <w:left w:val="single" w:color="auto" w:sz="4" w:space="0"/>
              <w:right w:val="single" w:color="auto" w:sz="4" w:space="0"/>
            </w:tcBorders>
            <w:vAlign w:val="center"/>
          </w:tcPr>
          <w:p>
            <w:pPr>
              <w:jc w:val="center"/>
              <w:rPr>
                <w:rFonts w:asciiTheme="minorEastAsia" w:hAnsiTheme="minorEastAsia" w:eastAsiaTheme="minorEastAsia"/>
                <w:sz w:val="21"/>
                <w:szCs w:val="21"/>
              </w:rPr>
            </w:pP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内蒙古昊盛煤业有限公司董事</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2023年4月10日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left w:val="single" w:color="auto" w:sz="4" w:space="0"/>
              <w:right w:val="single" w:color="auto" w:sz="4" w:space="0"/>
            </w:tcBorders>
            <w:vAlign w:val="center"/>
          </w:tcPr>
          <w:p>
            <w:pPr>
              <w:jc w:val="center"/>
              <w:rPr>
                <w:rFonts w:asciiTheme="minorEastAsia" w:hAnsiTheme="minorEastAsia" w:eastAsiaTheme="minorEastAsia"/>
                <w:sz w:val="21"/>
                <w:szCs w:val="21"/>
              </w:rPr>
            </w:pPr>
          </w:p>
        </w:tc>
        <w:tc>
          <w:tcPr>
            <w:tcW w:w="851" w:type="dxa"/>
            <w:vMerge w:val="continue"/>
            <w:tcBorders>
              <w:left w:val="single" w:color="auto" w:sz="4" w:space="0"/>
              <w:right w:val="single" w:color="auto" w:sz="4" w:space="0"/>
            </w:tcBorders>
            <w:vAlign w:val="center"/>
          </w:tcPr>
          <w:p>
            <w:pPr>
              <w:jc w:val="center"/>
              <w:rPr>
                <w:rFonts w:asciiTheme="minorEastAsia" w:hAnsiTheme="minorEastAsia" w:eastAsiaTheme="minorEastAsia"/>
                <w:sz w:val="21"/>
                <w:szCs w:val="21"/>
              </w:rPr>
            </w:pP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rPr>
                <w:rStyle w:val="260"/>
                <w:rFonts w:hint="default" w:asciiTheme="minorEastAsia" w:hAnsiTheme="minorEastAsia" w:eastAsiaTheme="minorEastAsia"/>
              </w:rPr>
            </w:pPr>
            <w:r>
              <w:rPr>
                <w:rFonts w:hint="eastAsia" w:asciiTheme="minorEastAsia" w:hAnsiTheme="minorEastAsia" w:eastAsiaTheme="minorEastAsia"/>
                <w:sz w:val="21"/>
                <w:szCs w:val="21"/>
              </w:rPr>
              <w:t>陕西未来能源化工有限公司董事</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2023年4月20日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left w:val="single" w:color="auto" w:sz="4" w:space="0"/>
              <w:right w:val="single" w:color="auto" w:sz="4" w:space="0"/>
            </w:tcBorders>
            <w:vAlign w:val="center"/>
          </w:tcPr>
          <w:p>
            <w:pPr>
              <w:jc w:val="center"/>
              <w:rPr>
                <w:rFonts w:asciiTheme="minorEastAsia" w:hAnsiTheme="minorEastAsia" w:eastAsiaTheme="minorEastAsia"/>
                <w:sz w:val="21"/>
                <w:szCs w:val="21"/>
              </w:rPr>
            </w:pPr>
          </w:p>
        </w:tc>
        <w:tc>
          <w:tcPr>
            <w:tcW w:w="851" w:type="dxa"/>
            <w:vMerge w:val="continue"/>
            <w:tcBorders>
              <w:left w:val="single" w:color="auto" w:sz="4" w:space="0"/>
              <w:right w:val="single" w:color="auto" w:sz="4" w:space="0"/>
            </w:tcBorders>
            <w:vAlign w:val="center"/>
          </w:tcPr>
          <w:p>
            <w:pPr>
              <w:jc w:val="center"/>
              <w:rPr>
                <w:rFonts w:asciiTheme="minorEastAsia" w:hAnsiTheme="minorEastAsia" w:eastAsiaTheme="minorEastAsia"/>
                <w:sz w:val="21"/>
                <w:szCs w:val="21"/>
              </w:rPr>
            </w:pP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山东能源集团鲁西矿业有限公司董事</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2023年11月8日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p>
        </w:tc>
        <w:tc>
          <w:tcPr>
            <w:tcW w:w="851"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山东能源集团财务有限公司董事</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2023年12月21日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董事、</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财务总监（离任）</w:t>
            </w:r>
          </w:p>
        </w:tc>
        <w:tc>
          <w:tcPr>
            <w:tcW w:w="851"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赵青春</w:t>
            </w:r>
          </w:p>
        </w:tc>
        <w:tc>
          <w:tcPr>
            <w:tcW w:w="223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兖煤澳大利亚有限公司董事</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2023年5月31日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left w:val="single" w:color="auto" w:sz="4" w:space="0"/>
              <w:right w:val="single" w:color="auto" w:sz="4" w:space="0"/>
            </w:tcBorders>
          </w:tcPr>
          <w:p>
            <w:pPr>
              <w:jc w:val="center"/>
              <w:rPr>
                <w:rFonts w:asciiTheme="minorEastAsia" w:hAnsiTheme="minorEastAsia" w:eastAsiaTheme="minorEastAsia"/>
                <w:sz w:val="20"/>
                <w:szCs w:val="21"/>
              </w:rPr>
            </w:pPr>
          </w:p>
        </w:tc>
        <w:tc>
          <w:tcPr>
            <w:tcW w:w="851" w:type="dxa"/>
            <w:vMerge w:val="continue"/>
            <w:tcBorders>
              <w:left w:val="single" w:color="auto" w:sz="4" w:space="0"/>
              <w:right w:val="single" w:color="auto" w:sz="4" w:space="0"/>
            </w:tcBorders>
            <w:vAlign w:val="center"/>
          </w:tcPr>
          <w:p>
            <w:pPr>
              <w:jc w:val="center"/>
              <w:rPr>
                <w:rFonts w:asciiTheme="minorEastAsia" w:hAnsiTheme="minorEastAsia" w:eastAsiaTheme="minorEastAsia"/>
                <w:sz w:val="20"/>
                <w:szCs w:val="21"/>
              </w:rPr>
            </w:pPr>
          </w:p>
        </w:tc>
        <w:tc>
          <w:tcPr>
            <w:tcW w:w="223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兖矿集团财务有限公司董事</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w:t>
            </w:r>
            <w:r>
              <w:rPr>
                <w:rFonts w:asciiTheme="minorEastAsia" w:hAnsiTheme="minorEastAsia" w:eastAsiaTheme="minorEastAsia"/>
                <w:sz w:val="21"/>
                <w:szCs w:val="21"/>
              </w:rPr>
              <w:t>10</w:t>
            </w:r>
            <w:r>
              <w:rPr>
                <w:rFonts w:hint="eastAsia" w:asciiTheme="minorEastAsia" w:hAnsiTheme="minorEastAsia" w:eastAsiaTheme="minorEastAsia"/>
                <w:sz w:val="21"/>
                <w:szCs w:val="21"/>
              </w:rPr>
              <w:t>月</w:t>
            </w:r>
            <w:r>
              <w:rPr>
                <w:rFonts w:asciiTheme="minorEastAsia" w:hAnsiTheme="minorEastAsia" w:eastAsiaTheme="minorEastAsia"/>
                <w:sz w:val="21"/>
                <w:szCs w:val="21"/>
              </w:rPr>
              <w:t>27</w:t>
            </w:r>
            <w:r>
              <w:rPr>
                <w:rFonts w:hint="eastAsia" w:asciiTheme="minorEastAsia" w:hAnsiTheme="minorEastAsia" w:eastAsiaTheme="minorEastAsia"/>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left w:val="single" w:color="auto" w:sz="4" w:space="0"/>
              <w:right w:val="single" w:color="auto" w:sz="4" w:space="0"/>
            </w:tcBorders>
          </w:tcPr>
          <w:p>
            <w:pPr>
              <w:jc w:val="center"/>
              <w:rPr>
                <w:rFonts w:asciiTheme="minorEastAsia" w:hAnsiTheme="minorEastAsia" w:eastAsiaTheme="minorEastAsia"/>
                <w:sz w:val="20"/>
                <w:szCs w:val="21"/>
              </w:rPr>
            </w:pPr>
          </w:p>
        </w:tc>
        <w:tc>
          <w:tcPr>
            <w:tcW w:w="851" w:type="dxa"/>
            <w:vMerge w:val="continue"/>
            <w:tcBorders>
              <w:left w:val="single" w:color="auto" w:sz="4" w:space="0"/>
              <w:right w:val="single" w:color="auto" w:sz="4" w:space="0"/>
            </w:tcBorders>
            <w:vAlign w:val="center"/>
          </w:tcPr>
          <w:p>
            <w:pPr>
              <w:jc w:val="center"/>
              <w:rPr>
                <w:rFonts w:asciiTheme="minorEastAsia" w:hAnsiTheme="minorEastAsia" w:eastAsiaTheme="minorEastAsia"/>
                <w:sz w:val="20"/>
                <w:szCs w:val="21"/>
              </w:rPr>
            </w:pPr>
          </w:p>
        </w:tc>
        <w:tc>
          <w:tcPr>
            <w:tcW w:w="223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陕西未来能源化工有限公司监事会主席</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w:t>
            </w:r>
            <w:r>
              <w:rPr>
                <w:rFonts w:asciiTheme="minorEastAsia" w:hAnsiTheme="minorEastAsia" w:eastAsiaTheme="minorEastAsia"/>
                <w:sz w:val="21"/>
                <w:szCs w:val="21"/>
              </w:rPr>
              <w:t>10</w:t>
            </w:r>
            <w:r>
              <w:rPr>
                <w:rFonts w:hint="eastAsia" w:asciiTheme="minorEastAsia" w:hAnsiTheme="minorEastAsia" w:eastAsiaTheme="minorEastAsia"/>
                <w:sz w:val="21"/>
                <w:szCs w:val="21"/>
              </w:rPr>
              <w:t>月</w:t>
            </w:r>
            <w:r>
              <w:rPr>
                <w:rFonts w:asciiTheme="minorEastAsia" w:hAnsiTheme="minorEastAsia" w:eastAsiaTheme="minorEastAsia"/>
                <w:sz w:val="21"/>
                <w:szCs w:val="21"/>
              </w:rPr>
              <w:t>27</w:t>
            </w:r>
            <w:r>
              <w:rPr>
                <w:rFonts w:hint="eastAsia" w:asciiTheme="minorEastAsia" w:hAnsiTheme="minorEastAsia" w:eastAsiaTheme="minorEastAsia"/>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left w:val="single" w:color="auto" w:sz="4" w:space="0"/>
              <w:right w:val="single" w:color="auto" w:sz="4" w:space="0"/>
            </w:tcBorders>
          </w:tcPr>
          <w:p>
            <w:pPr>
              <w:jc w:val="center"/>
              <w:rPr>
                <w:rFonts w:asciiTheme="minorEastAsia" w:hAnsiTheme="minorEastAsia" w:eastAsiaTheme="minorEastAsia"/>
                <w:sz w:val="20"/>
                <w:szCs w:val="21"/>
              </w:rPr>
            </w:pPr>
          </w:p>
        </w:tc>
        <w:tc>
          <w:tcPr>
            <w:tcW w:w="851" w:type="dxa"/>
            <w:vMerge w:val="continue"/>
            <w:tcBorders>
              <w:left w:val="single" w:color="auto" w:sz="4" w:space="0"/>
              <w:right w:val="single" w:color="auto" w:sz="4" w:space="0"/>
            </w:tcBorders>
            <w:vAlign w:val="center"/>
          </w:tcPr>
          <w:p>
            <w:pPr>
              <w:jc w:val="center"/>
              <w:rPr>
                <w:rFonts w:asciiTheme="minorEastAsia" w:hAnsiTheme="minorEastAsia" w:eastAsiaTheme="minorEastAsia"/>
                <w:sz w:val="20"/>
                <w:szCs w:val="21"/>
              </w:rPr>
            </w:pPr>
          </w:p>
        </w:tc>
        <w:tc>
          <w:tcPr>
            <w:tcW w:w="223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兖煤国际（控股）有限公司董事</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w:t>
            </w:r>
            <w:r>
              <w:rPr>
                <w:rFonts w:asciiTheme="minorEastAsia" w:hAnsiTheme="minorEastAsia" w:eastAsiaTheme="minorEastAsia"/>
                <w:sz w:val="21"/>
                <w:szCs w:val="21"/>
              </w:rPr>
              <w:t>10</w:t>
            </w:r>
            <w:r>
              <w:rPr>
                <w:rFonts w:hint="eastAsia" w:asciiTheme="minorEastAsia" w:hAnsiTheme="minorEastAsia" w:eastAsiaTheme="minorEastAsia"/>
                <w:sz w:val="21"/>
                <w:szCs w:val="21"/>
              </w:rPr>
              <w:t>月</w:t>
            </w:r>
            <w:r>
              <w:rPr>
                <w:rFonts w:asciiTheme="minorEastAsia" w:hAnsiTheme="minorEastAsia" w:eastAsiaTheme="minorEastAsia"/>
                <w:sz w:val="21"/>
                <w:szCs w:val="21"/>
              </w:rPr>
              <w:t>27</w:t>
            </w:r>
            <w:r>
              <w:rPr>
                <w:rFonts w:hint="eastAsia" w:asciiTheme="minorEastAsia" w:hAnsiTheme="minorEastAsia" w:eastAsiaTheme="minorEastAsia"/>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left w:val="single" w:color="auto" w:sz="4" w:space="0"/>
              <w:bottom w:val="single" w:color="auto" w:sz="4" w:space="0"/>
              <w:right w:val="single" w:color="auto" w:sz="4" w:space="0"/>
            </w:tcBorders>
          </w:tcPr>
          <w:p>
            <w:pPr>
              <w:jc w:val="center"/>
              <w:rPr>
                <w:rFonts w:asciiTheme="minorEastAsia" w:hAnsiTheme="minorEastAsia" w:eastAsiaTheme="minorEastAsia"/>
                <w:sz w:val="20"/>
                <w:szCs w:val="21"/>
              </w:rPr>
            </w:pPr>
          </w:p>
        </w:tc>
        <w:tc>
          <w:tcPr>
            <w:tcW w:w="851"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0"/>
                <w:szCs w:val="21"/>
              </w:rPr>
            </w:pPr>
          </w:p>
        </w:tc>
        <w:tc>
          <w:tcPr>
            <w:tcW w:w="223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内蒙古矿业（集团）有限责任公司董事</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w:t>
            </w:r>
            <w:r>
              <w:rPr>
                <w:rFonts w:asciiTheme="minorEastAsia" w:hAnsiTheme="minorEastAsia" w:eastAsiaTheme="minorEastAsia"/>
                <w:sz w:val="21"/>
                <w:szCs w:val="21"/>
              </w:rPr>
              <w:t>10</w:t>
            </w:r>
            <w:r>
              <w:rPr>
                <w:rFonts w:hint="eastAsia" w:asciiTheme="minorEastAsia" w:hAnsiTheme="minorEastAsia" w:eastAsiaTheme="minorEastAsia"/>
                <w:sz w:val="21"/>
                <w:szCs w:val="21"/>
              </w:rPr>
              <w:t>月</w:t>
            </w:r>
            <w:r>
              <w:rPr>
                <w:rFonts w:asciiTheme="minorEastAsia" w:hAnsiTheme="minorEastAsia" w:eastAsiaTheme="minorEastAsia"/>
                <w:sz w:val="21"/>
                <w:szCs w:val="21"/>
              </w:rPr>
              <w:t>27</w:t>
            </w:r>
            <w:r>
              <w:rPr>
                <w:rFonts w:hint="eastAsia" w:asciiTheme="minorEastAsia" w:hAnsiTheme="minorEastAsia" w:eastAsiaTheme="minorEastAsia"/>
                <w:sz w:val="21"/>
                <w:szCs w:val="21"/>
              </w:rPr>
              <w:t>日</w:t>
            </w:r>
          </w:p>
        </w:tc>
      </w:tr>
    </w:tbl>
    <w:p>
      <w:pPr>
        <w:rPr>
          <w:rFonts w:asciiTheme="minorEastAsia" w:hAnsiTheme="minorEastAsia" w:eastAsiaTheme="minorEastAsia"/>
        </w:rPr>
      </w:pPr>
    </w:p>
    <w:p>
      <w:pPr>
        <w:pStyle w:val="4"/>
        <w:numPr>
          <w:ilvl w:val="0"/>
          <w:numId w:val="18"/>
        </w:numPr>
        <w:ind w:left="0" w:firstLine="0"/>
        <w:rPr>
          <w:rFonts w:asciiTheme="minorEastAsia" w:hAnsiTheme="minorEastAsia" w:eastAsiaTheme="minorEastAsia"/>
        </w:rPr>
      </w:pPr>
      <w:r>
        <w:rPr>
          <w:rFonts w:hint="eastAsia" w:asciiTheme="minorEastAsia" w:hAnsiTheme="minorEastAsia" w:eastAsiaTheme="minorEastAsia"/>
        </w:rPr>
        <w:t>近三年受证券监管机构处罚的情况说明</w:t>
      </w:r>
    </w:p>
    <w:sdt>
      <w:sdtPr>
        <w:rPr>
          <w:rFonts w:asciiTheme="minorEastAsia" w:hAnsiTheme="minorEastAsia" w:eastAsiaTheme="minorEastAsia"/>
        </w:rPr>
        <w:alias w:val="是否适用：近三年受证券监管机构处罚的情况说明[双击切换]"/>
        <w:tag w:val="_GBC_7955674a80d94ddc9e00915de353286e"/>
        <w:id w:val="-1274932521"/>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公司独立董事田会先生（已离任）在北京昊华能源股份有限公司（证券简称：昊华能源；证券代码：</w:t>
      </w:r>
      <w:r>
        <w:rPr>
          <w:rFonts w:asciiTheme="minorEastAsia" w:hAnsiTheme="minorEastAsia" w:eastAsiaTheme="minorEastAsia"/>
        </w:rPr>
        <w:t>601101）担任独立董事期间，因昊华能源涉及信息披露违法行为，2021年11月，被中国证监会北京监管局予以警告，并处以10万元罚款；2022年2月，被上交所予以通报批评。</w:t>
      </w:r>
    </w:p>
    <w:p>
      <w:pPr>
        <w:pStyle w:val="4"/>
        <w:numPr>
          <w:ilvl w:val="0"/>
          <w:numId w:val="18"/>
        </w:numPr>
        <w:ind w:left="0" w:firstLine="0"/>
        <w:rPr>
          <w:rFonts w:asciiTheme="minorEastAsia" w:hAnsiTheme="minorEastAsia" w:eastAsiaTheme="minorEastAsia"/>
        </w:rPr>
      </w:pPr>
      <w:r>
        <w:rPr>
          <w:rFonts w:hint="eastAsia" w:asciiTheme="minorEastAsia" w:hAnsiTheme="minorEastAsia" w:eastAsiaTheme="minorEastAsia"/>
        </w:rPr>
        <w:t>其他</w:t>
      </w:r>
    </w:p>
    <w:sdt>
      <w:sdtPr>
        <w:rPr>
          <w:rFonts w:hint="eastAsia" w:asciiTheme="minorEastAsia" w:hAnsiTheme="minorEastAsia" w:eastAsiaTheme="minorEastAsia"/>
          <w:bCs/>
        </w:rPr>
        <w:alias w:val="是否适用：其他董事、监事、高级管理人员情况说明[双击切换]"/>
        <w:tag w:val="_GBC_6698e1cba7354d29b0fcdbb38e7287d6"/>
        <w:id w:val="-49545872"/>
        <w:placeholder>
          <w:docPart w:val="GBC22222222222222222222222222222"/>
        </w:placeholder>
      </w:sdtPr>
      <w:sdtEndPr>
        <w:rPr>
          <w:rFonts w:hint="eastAsia" w:asciiTheme="minorEastAsia" w:hAnsiTheme="minorEastAsia" w:eastAsiaTheme="minorEastAsia"/>
          <w:bCs/>
        </w:rPr>
      </w:sdtEndPr>
      <w:sdtContent>
        <w:p>
          <w:pPr>
            <w:rPr>
              <w:rFonts w:asciiTheme="minorEastAsia" w:hAnsiTheme="minorEastAsia" w:eastAsiaTheme="minorEastAsia"/>
              <w:bCs/>
            </w:rPr>
          </w:pPr>
          <w:bookmarkStart w:id="100" w:name="_Hlk89182759"/>
          <w:r>
            <w:rPr>
              <w:rFonts w:asciiTheme="minorEastAsia" w:hAnsiTheme="minorEastAsia" w:eastAsiaTheme="minorEastAsia"/>
              <w:bCs/>
            </w:rPr>
            <w:fldChar w:fldCharType="begin"/>
          </w:r>
          <w:r>
            <w:rPr>
              <w:rFonts w:asciiTheme="minorEastAsia" w:hAnsiTheme="minorEastAsia" w:eastAsiaTheme="minorEastAsia"/>
              <w:bCs/>
            </w:rPr>
            <w:instrText xml:space="preserve"> </w:instrText>
          </w:r>
          <w:r>
            <w:rPr>
              <w:rFonts w:hint="eastAsia" w:asciiTheme="minorEastAsia" w:hAnsiTheme="minorEastAsia" w:eastAsiaTheme="minorEastAsia"/>
              <w:bCs/>
            </w:rPr>
            <w:instrText xml:space="preserve">MACROBUTTON  SnrToggleCheckbox √适用 </w:instrText>
          </w:r>
          <w:r>
            <w:rPr>
              <w:rFonts w:asciiTheme="minorEastAsia" w:hAnsiTheme="minorEastAsia" w:eastAsiaTheme="minorEastAsia"/>
              <w:bCs/>
            </w:rPr>
            <w:instrText xml:space="preserve"> </w:instrText>
          </w:r>
          <w:r>
            <w:rPr>
              <w:rFonts w:asciiTheme="minorEastAsia" w:hAnsiTheme="minorEastAsia" w:eastAsiaTheme="minorEastAsia"/>
              <w:bCs/>
            </w:rPr>
            <w:fldChar w:fldCharType="end"/>
          </w:r>
          <w:r>
            <w:rPr>
              <w:rFonts w:asciiTheme="minorEastAsia" w:hAnsiTheme="minorEastAsia" w:eastAsiaTheme="minorEastAsia"/>
              <w:bCs/>
            </w:rPr>
            <w:fldChar w:fldCharType="begin"/>
          </w:r>
          <w:r>
            <w:rPr>
              <w:rFonts w:asciiTheme="minorEastAsia" w:hAnsiTheme="minorEastAsia" w:eastAsiaTheme="minorEastAsia"/>
              <w:bCs/>
            </w:rPr>
            <w:instrText xml:space="preserve"> MACROBUTTON  SnrToggleCheckbox □不适用 </w:instrText>
          </w:r>
          <w:r>
            <w:rPr>
              <w:rFonts w:asciiTheme="minorEastAsia" w:hAnsiTheme="minorEastAsia" w:eastAsiaTheme="minorEastAsia"/>
              <w:bCs/>
            </w:rPr>
            <w:fldChar w:fldCharType="end"/>
          </w:r>
        </w:p>
      </w:sdtContent>
    </w:sdt>
    <w:sdt>
      <w:sdtPr>
        <w:rPr>
          <w:rFonts w:asciiTheme="minorEastAsia" w:hAnsiTheme="minorEastAsia" w:eastAsiaTheme="minorEastAsia"/>
          <w:bCs/>
        </w:rPr>
        <w:alias w:val="其他董事、监事、高级管理人员和员工情况 "/>
        <w:tag w:val="_GBC_b0be50694429422c9e18f05901db890f"/>
        <w:id w:val="500396410"/>
        <w:placeholder>
          <w:docPart w:val="GBC22222222222222222222222222222"/>
        </w:placeholder>
      </w:sdtPr>
      <w:sdtEndPr>
        <w:rPr>
          <w:rFonts w:asciiTheme="minorEastAsia" w:hAnsiTheme="minorEastAsia" w:eastAsiaTheme="minorEastAsia"/>
          <w:b/>
          <w:bCs/>
        </w:rPr>
      </w:sdtEndPr>
      <w:sdtContent>
        <w:p>
          <w:pPr>
            <w:ind w:firstLine="420" w:firstLineChars="200"/>
            <w:rPr>
              <w:rFonts w:asciiTheme="minorEastAsia" w:hAnsiTheme="minorEastAsia" w:eastAsiaTheme="minorEastAsia"/>
              <w:bCs/>
            </w:rPr>
          </w:pPr>
          <w:r>
            <w:rPr>
              <w:rFonts w:hint="eastAsia" w:asciiTheme="minorEastAsia" w:hAnsiTheme="minorEastAsia" w:eastAsiaTheme="minorEastAsia"/>
              <w:bCs/>
            </w:rPr>
            <w:t>1.董事、监事之服务合同</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没有任何董事或监事与公司订立任何公司不能在一年内无赔偿终止的服务合约（除了法定赔偿以外）。</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2.董事、监事及高级管理人员之合约权益</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各董事、监事及高级管理人员在本公司、其任何子公司、其控股公司或控股股东子公司截至202</w:t>
          </w:r>
          <w:r>
            <w:rPr>
              <w:rFonts w:asciiTheme="minorEastAsia" w:hAnsiTheme="minorEastAsia" w:eastAsiaTheme="minorEastAsia"/>
              <w:bCs/>
            </w:rPr>
            <w:t>3</w:t>
          </w:r>
          <w:r>
            <w:rPr>
              <w:rFonts w:hint="eastAsia" w:asciiTheme="minorEastAsia" w:hAnsiTheme="minorEastAsia" w:eastAsiaTheme="minorEastAsia"/>
              <w:bCs/>
            </w:rPr>
            <w:t>年12月31日年度内订立或履行的重要合约中，概无直接或间接拥有任何重大权益。</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3.董事、监事及高级管理人员在与本公司构成竞争的业务所占的权益</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截至202</w:t>
          </w:r>
          <w:r>
            <w:rPr>
              <w:rFonts w:asciiTheme="minorEastAsia" w:hAnsiTheme="minorEastAsia" w:eastAsiaTheme="minorEastAsia"/>
              <w:bCs/>
            </w:rPr>
            <w:t>3</w:t>
          </w:r>
          <w:r>
            <w:rPr>
              <w:rFonts w:hint="eastAsia" w:asciiTheme="minorEastAsia" w:hAnsiTheme="minorEastAsia" w:eastAsiaTheme="minorEastAsia"/>
              <w:bCs/>
            </w:rPr>
            <w:t>年12月31日，各董事、监事及高级管理人员没有在与公司直接或者间接构成或可能构成竞争的业务中持有任何权益。</w:t>
          </w:r>
        </w:p>
        <w:p>
          <w:pPr>
            <w:ind w:firstLine="420" w:firstLineChars="200"/>
            <w:rPr>
              <w:rFonts w:asciiTheme="minorEastAsia" w:hAnsiTheme="minorEastAsia" w:eastAsiaTheme="minorEastAsia"/>
            </w:rPr>
          </w:pPr>
          <w:r>
            <w:rPr>
              <w:rFonts w:hint="eastAsia" w:asciiTheme="minorEastAsia" w:hAnsiTheme="minorEastAsia" w:eastAsiaTheme="minorEastAsia"/>
              <w:bCs/>
            </w:rPr>
            <w:t>本公司董事、监事、高级管理人员之间，除工作关系之外，不存在任何财务、业务、家属方面或其他方面的实质关系。</w:t>
          </w:r>
        </w:p>
        <w:p>
          <w:pPr>
            <w:rPr>
              <w:rFonts w:asciiTheme="minorEastAsia" w:hAnsiTheme="minorEastAsia" w:eastAsiaTheme="minorEastAsia"/>
            </w:rPr>
          </w:pPr>
        </w:p>
      </w:sdtContent>
    </w:sdt>
    <w:p>
      <w:pPr>
        <w:pStyle w:val="3"/>
        <w:numPr>
          <w:ilvl w:val="0"/>
          <w:numId w:val="17"/>
        </w:numPr>
        <w:ind w:left="450" w:hanging="450"/>
        <w:rPr>
          <w:rFonts w:asciiTheme="minorEastAsia" w:hAnsiTheme="minorEastAsia" w:eastAsiaTheme="minorEastAsia"/>
        </w:rPr>
      </w:pPr>
      <w:r>
        <w:rPr>
          <w:rFonts w:asciiTheme="minorEastAsia" w:hAnsiTheme="minorEastAsia" w:eastAsiaTheme="minorEastAsia"/>
        </w:rPr>
        <w:t>报告期内召开的董事会有关情况</w:t>
      </w:r>
    </w:p>
    <w:bookmarkEnd w:id="100"/>
    <w:tbl>
      <w:tblPr>
        <w:tblStyle w:val="20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8"/>
        <w:gridCol w:w="2617"/>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asciiTheme="minorEastAsia" w:hAnsiTheme="minorEastAsia" w:eastAsiaTheme="minorEastAsia"/>
            </w:rPr>
            <w:tag w:val="_PLD_419815d8d7794e1c9b7ce587c2f61ac6"/>
            <w:id w:val="-1540343957"/>
          </w:sdtPr>
          <w:sdtEndPr>
            <w:rPr>
              <w:rFonts w:asciiTheme="minorEastAsia" w:hAnsiTheme="minorEastAsia" w:eastAsiaTheme="minorEastAsia"/>
            </w:rPr>
          </w:sdtEndPr>
          <w:sdtContent>
            <w:tc>
              <w:tcPr>
                <w:tcW w:w="1684" w:type="pct"/>
                <w:vAlign w:val="center"/>
              </w:tcPr>
              <w:p>
                <w:pPr>
                  <w:jc w:val="center"/>
                  <w:rPr>
                    <w:rFonts w:asciiTheme="minorEastAsia" w:hAnsiTheme="minorEastAsia" w:eastAsiaTheme="minorEastAsia"/>
                  </w:rPr>
                </w:pPr>
                <w:bookmarkStart w:id="101" w:name="_Hlk89182953"/>
                <w:r>
                  <w:rPr>
                    <w:rFonts w:asciiTheme="minorEastAsia" w:hAnsiTheme="minorEastAsia" w:eastAsiaTheme="minorEastAsia"/>
                  </w:rPr>
                  <w:t>会议届次</w:t>
                </w:r>
              </w:p>
            </w:tc>
          </w:sdtContent>
        </w:sdt>
        <w:sdt>
          <w:sdtPr>
            <w:rPr>
              <w:rFonts w:asciiTheme="minorEastAsia" w:hAnsiTheme="minorEastAsia" w:eastAsiaTheme="minorEastAsia"/>
            </w:rPr>
            <w:tag w:val="_PLD_ab185594a631433a8b0a8263eb8e554f"/>
            <w:id w:val="1597751588"/>
          </w:sdtPr>
          <w:sdtEndPr>
            <w:rPr>
              <w:rFonts w:asciiTheme="minorEastAsia" w:hAnsiTheme="minorEastAsia" w:eastAsiaTheme="minorEastAsia"/>
            </w:rPr>
          </w:sdtEndPr>
          <w:sdtContent>
            <w:tc>
              <w:tcPr>
                <w:tcW w:w="1446" w:type="pct"/>
                <w:vAlign w:val="center"/>
              </w:tcPr>
              <w:p>
                <w:pPr>
                  <w:jc w:val="center"/>
                  <w:rPr>
                    <w:rFonts w:asciiTheme="minorEastAsia" w:hAnsiTheme="minorEastAsia" w:eastAsiaTheme="minorEastAsia"/>
                  </w:rPr>
                </w:pPr>
                <w:r>
                  <w:rPr>
                    <w:rFonts w:asciiTheme="minorEastAsia" w:hAnsiTheme="minorEastAsia" w:eastAsiaTheme="minorEastAsia"/>
                  </w:rPr>
                  <w:t>召开日期</w:t>
                </w:r>
              </w:p>
            </w:tc>
          </w:sdtContent>
        </w:sdt>
        <w:sdt>
          <w:sdtPr>
            <w:rPr>
              <w:rFonts w:hint="eastAsia" w:asciiTheme="minorEastAsia" w:hAnsiTheme="minorEastAsia" w:eastAsiaTheme="minorEastAsia"/>
            </w:rPr>
            <w:tag w:val="_PLD_12539db1b22e4f4592d7456feb9f22a6"/>
            <w:id w:val="-403379222"/>
          </w:sdtPr>
          <w:sdtEndPr>
            <w:rPr>
              <w:rFonts w:hint="eastAsia" w:asciiTheme="minorEastAsia" w:hAnsiTheme="minorEastAsia" w:eastAsiaTheme="minorEastAsia"/>
            </w:rPr>
          </w:sdtEndPr>
          <w:sdtContent>
            <w:tc>
              <w:tcPr>
                <w:tcW w:w="1870" w:type="pct"/>
                <w:vAlign w:val="center"/>
              </w:tcPr>
              <w:p>
                <w:pPr>
                  <w:jc w:val="center"/>
                  <w:rPr>
                    <w:rFonts w:asciiTheme="minorEastAsia" w:hAnsiTheme="minorEastAsia" w:eastAsiaTheme="minorEastAsia"/>
                  </w:rPr>
                </w:pPr>
                <w:r>
                  <w:rPr>
                    <w:rFonts w:hint="eastAsia" w:asciiTheme="minorEastAsia" w:hAnsiTheme="minorEastAsia" w:eastAsiaTheme="minorEastAsia"/>
                  </w:rPr>
                  <w:t>会议决议</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4" w:type="pct"/>
          </w:tcPr>
          <w:p>
            <w:pPr>
              <w:rPr>
                <w:rFonts w:asciiTheme="minorEastAsia" w:hAnsiTheme="minorEastAsia" w:eastAsiaTheme="minorEastAsia"/>
              </w:rPr>
            </w:pPr>
            <w:r>
              <w:rPr>
                <w:rFonts w:hint="eastAsia" w:asciiTheme="minorEastAsia" w:hAnsiTheme="minorEastAsia" w:eastAsiaTheme="minorEastAsia"/>
              </w:rPr>
              <w:t>第八届董事会第二十七次会议</w:t>
            </w:r>
          </w:p>
        </w:tc>
        <w:tc>
          <w:tcPr>
            <w:tcW w:w="1446" w:type="pct"/>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w:t>
            </w:r>
            <w:r>
              <w:rPr>
                <w:rFonts w:hint="eastAsia" w:asciiTheme="minorEastAsia" w:hAnsiTheme="minorEastAsia" w:eastAsiaTheme="minorEastAsia"/>
              </w:rPr>
              <w:t>年3月2</w:t>
            </w:r>
            <w:r>
              <w:rPr>
                <w:rFonts w:asciiTheme="minorEastAsia" w:hAnsiTheme="minorEastAsia" w:eastAsiaTheme="minorEastAsia"/>
              </w:rPr>
              <w:t>4</w:t>
            </w:r>
            <w:r>
              <w:rPr>
                <w:rFonts w:hint="eastAsia" w:asciiTheme="minorEastAsia" w:hAnsiTheme="minorEastAsia" w:eastAsiaTheme="minorEastAsia"/>
              </w:rPr>
              <w:t>日</w:t>
            </w:r>
          </w:p>
        </w:tc>
        <w:tc>
          <w:tcPr>
            <w:tcW w:w="1870" w:type="pct"/>
          </w:tcPr>
          <w:p>
            <w:pPr>
              <w:jc w:val="center"/>
              <w:rPr>
                <w:rFonts w:asciiTheme="minorEastAsia" w:hAnsiTheme="minorEastAsia" w:eastAsiaTheme="minorEastAsia"/>
              </w:rPr>
            </w:pPr>
            <w:r>
              <w:rPr>
                <w:rFonts w:hint="eastAsia" w:asciiTheme="minorEastAsia" w:hAnsiTheme="minorEastAsia" w:eastAsiaTheme="minorEastAsia"/>
              </w:rPr>
              <w:t>通过所有议案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4" w:type="pct"/>
          </w:tcPr>
          <w:p>
            <w:pPr>
              <w:rPr>
                <w:rFonts w:asciiTheme="minorEastAsia" w:hAnsiTheme="minorEastAsia" w:eastAsiaTheme="minorEastAsia"/>
              </w:rPr>
            </w:pPr>
            <w:r>
              <w:rPr>
                <w:rFonts w:hint="eastAsia" w:asciiTheme="minorEastAsia" w:hAnsiTheme="minorEastAsia" w:eastAsiaTheme="minorEastAsia"/>
              </w:rPr>
              <w:t>第八届董事会第二十八次会议</w:t>
            </w:r>
          </w:p>
        </w:tc>
        <w:tc>
          <w:tcPr>
            <w:tcW w:w="1446" w:type="pct"/>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w:t>
            </w:r>
            <w:r>
              <w:rPr>
                <w:rFonts w:hint="eastAsia" w:asciiTheme="minorEastAsia" w:hAnsiTheme="minorEastAsia" w:eastAsiaTheme="minorEastAsia"/>
              </w:rPr>
              <w:t>年4月2</w:t>
            </w:r>
            <w:r>
              <w:rPr>
                <w:rFonts w:asciiTheme="minorEastAsia" w:hAnsiTheme="minorEastAsia" w:eastAsiaTheme="minorEastAsia"/>
              </w:rPr>
              <w:t>4</w:t>
            </w:r>
            <w:r>
              <w:rPr>
                <w:rFonts w:hint="eastAsia" w:asciiTheme="minorEastAsia" w:hAnsiTheme="minorEastAsia" w:eastAsiaTheme="minorEastAsia"/>
              </w:rPr>
              <w:t>日</w:t>
            </w:r>
          </w:p>
        </w:tc>
        <w:tc>
          <w:tcPr>
            <w:tcW w:w="1870" w:type="pct"/>
          </w:tcPr>
          <w:p>
            <w:pPr>
              <w:jc w:val="center"/>
              <w:rPr>
                <w:rFonts w:asciiTheme="minorEastAsia" w:hAnsiTheme="minorEastAsia" w:eastAsiaTheme="minorEastAsia"/>
              </w:rPr>
            </w:pPr>
            <w:r>
              <w:rPr>
                <w:rFonts w:hint="eastAsia" w:asciiTheme="minorEastAsia" w:hAnsiTheme="minorEastAsia" w:eastAsiaTheme="minorEastAsia"/>
              </w:rPr>
              <w:t>通过所有议案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4" w:type="pct"/>
          </w:tcPr>
          <w:p>
            <w:pPr>
              <w:rPr>
                <w:rFonts w:asciiTheme="minorEastAsia" w:hAnsiTheme="minorEastAsia" w:eastAsiaTheme="minorEastAsia"/>
              </w:rPr>
            </w:pPr>
            <w:r>
              <w:rPr>
                <w:rFonts w:hint="eastAsia" w:asciiTheme="minorEastAsia" w:hAnsiTheme="minorEastAsia" w:eastAsiaTheme="minorEastAsia"/>
              </w:rPr>
              <w:t>第八届董事会第二十九次会议</w:t>
            </w:r>
          </w:p>
        </w:tc>
        <w:tc>
          <w:tcPr>
            <w:tcW w:w="1446" w:type="pct"/>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w:t>
            </w:r>
            <w:r>
              <w:rPr>
                <w:rFonts w:hint="eastAsia" w:asciiTheme="minorEastAsia" w:hAnsiTheme="minorEastAsia" w:eastAsiaTheme="minorEastAsia"/>
              </w:rPr>
              <w:t>年4月2</w:t>
            </w:r>
            <w:r>
              <w:rPr>
                <w:rFonts w:asciiTheme="minorEastAsia" w:hAnsiTheme="minorEastAsia" w:eastAsiaTheme="minorEastAsia"/>
              </w:rPr>
              <w:t>8</w:t>
            </w:r>
            <w:r>
              <w:rPr>
                <w:rFonts w:hint="eastAsia" w:asciiTheme="minorEastAsia" w:hAnsiTheme="minorEastAsia" w:eastAsiaTheme="minorEastAsia"/>
              </w:rPr>
              <w:t>日</w:t>
            </w:r>
          </w:p>
        </w:tc>
        <w:tc>
          <w:tcPr>
            <w:tcW w:w="1870" w:type="pct"/>
          </w:tcPr>
          <w:p>
            <w:pPr>
              <w:jc w:val="center"/>
              <w:rPr>
                <w:rFonts w:asciiTheme="minorEastAsia" w:hAnsiTheme="minorEastAsia" w:eastAsiaTheme="minorEastAsia"/>
              </w:rPr>
            </w:pPr>
            <w:r>
              <w:rPr>
                <w:rFonts w:hint="eastAsia" w:asciiTheme="minorEastAsia" w:hAnsiTheme="minorEastAsia" w:eastAsiaTheme="minorEastAsia"/>
              </w:rPr>
              <w:t>通过所有议案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4" w:type="pct"/>
          </w:tcPr>
          <w:p>
            <w:pPr>
              <w:rPr>
                <w:rFonts w:asciiTheme="minorEastAsia" w:hAnsiTheme="minorEastAsia" w:eastAsiaTheme="minorEastAsia"/>
              </w:rPr>
            </w:pPr>
            <w:r>
              <w:rPr>
                <w:rFonts w:hint="eastAsia" w:asciiTheme="minorEastAsia" w:hAnsiTheme="minorEastAsia" w:eastAsiaTheme="minorEastAsia"/>
              </w:rPr>
              <w:t>第九届董事会第一次会议</w:t>
            </w:r>
          </w:p>
        </w:tc>
        <w:tc>
          <w:tcPr>
            <w:tcW w:w="1446" w:type="pct"/>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w:t>
            </w:r>
            <w:r>
              <w:rPr>
                <w:rFonts w:hint="eastAsia" w:asciiTheme="minorEastAsia" w:hAnsiTheme="minorEastAsia" w:eastAsiaTheme="minorEastAsia"/>
              </w:rPr>
              <w:t>年6月3</w:t>
            </w:r>
            <w:r>
              <w:rPr>
                <w:rFonts w:asciiTheme="minorEastAsia" w:hAnsiTheme="minorEastAsia" w:eastAsiaTheme="minorEastAsia"/>
              </w:rPr>
              <w:t>0</w:t>
            </w:r>
            <w:r>
              <w:rPr>
                <w:rFonts w:hint="eastAsia" w:asciiTheme="minorEastAsia" w:hAnsiTheme="minorEastAsia" w:eastAsiaTheme="minorEastAsia"/>
              </w:rPr>
              <w:t>日</w:t>
            </w:r>
          </w:p>
        </w:tc>
        <w:tc>
          <w:tcPr>
            <w:tcW w:w="1870" w:type="pct"/>
          </w:tcPr>
          <w:p>
            <w:pPr>
              <w:jc w:val="center"/>
              <w:rPr>
                <w:rFonts w:asciiTheme="minorEastAsia" w:hAnsiTheme="minorEastAsia" w:eastAsiaTheme="minorEastAsia"/>
              </w:rPr>
            </w:pPr>
            <w:r>
              <w:rPr>
                <w:rFonts w:hint="eastAsia" w:asciiTheme="minorEastAsia" w:hAnsiTheme="minorEastAsia" w:eastAsiaTheme="minorEastAsia"/>
              </w:rPr>
              <w:t>通过所有议案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4" w:type="pct"/>
          </w:tcPr>
          <w:p>
            <w:pPr>
              <w:rPr>
                <w:rFonts w:asciiTheme="minorEastAsia" w:hAnsiTheme="minorEastAsia" w:eastAsiaTheme="minorEastAsia"/>
              </w:rPr>
            </w:pPr>
            <w:r>
              <w:rPr>
                <w:rFonts w:hint="eastAsia" w:asciiTheme="minorEastAsia" w:hAnsiTheme="minorEastAsia" w:eastAsiaTheme="minorEastAsia"/>
              </w:rPr>
              <w:t>第九届董事会第二次会议</w:t>
            </w:r>
          </w:p>
        </w:tc>
        <w:tc>
          <w:tcPr>
            <w:tcW w:w="1446" w:type="pct"/>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w:t>
            </w:r>
            <w:r>
              <w:rPr>
                <w:rFonts w:hint="eastAsia" w:asciiTheme="minorEastAsia" w:hAnsiTheme="minorEastAsia" w:eastAsiaTheme="minorEastAsia"/>
              </w:rPr>
              <w:t>年8月2</w:t>
            </w:r>
            <w:r>
              <w:rPr>
                <w:rFonts w:asciiTheme="minorEastAsia" w:hAnsiTheme="minorEastAsia" w:eastAsiaTheme="minorEastAsia"/>
              </w:rPr>
              <w:t>5</w:t>
            </w:r>
            <w:r>
              <w:rPr>
                <w:rFonts w:hint="eastAsia" w:asciiTheme="minorEastAsia" w:hAnsiTheme="minorEastAsia" w:eastAsiaTheme="minorEastAsia"/>
              </w:rPr>
              <w:t>日</w:t>
            </w:r>
          </w:p>
        </w:tc>
        <w:tc>
          <w:tcPr>
            <w:tcW w:w="1870" w:type="pct"/>
          </w:tcPr>
          <w:p>
            <w:pPr>
              <w:jc w:val="center"/>
              <w:rPr>
                <w:rFonts w:asciiTheme="minorEastAsia" w:hAnsiTheme="minorEastAsia" w:eastAsiaTheme="minorEastAsia"/>
              </w:rPr>
            </w:pPr>
            <w:r>
              <w:rPr>
                <w:rFonts w:hint="eastAsia" w:asciiTheme="minorEastAsia" w:hAnsiTheme="minorEastAsia" w:eastAsiaTheme="minorEastAsia"/>
              </w:rPr>
              <w:t>通过所有议案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684" w:type="pct"/>
          </w:tcPr>
          <w:p>
            <w:pPr>
              <w:rPr>
                <w:rFonts w:asciiTheme="minorEastAsia" w:hAnsiTheme="minorEastAsia" w:eastAsiaTheme="minorEastAsia"/>
              </w:rPr>
            </w:pPr>
            <w:r>
              <w:rPr>
                <w:rFonts w:hint="eastAsia" w:asciiTheme="minorEastAsia" w:hAnsiTheme="minorEastAsia" w:eastAsiaTheme="minorEastAsia"/>
              </w:rPr>
              <w:t>第九届董事会第三次会议</w:t>
            </w:r>
          </w:p>
        </w:tc>
        <w:tc>
          <w:tcPr>
            <w:tcW w:w="1446" w:type="pct"/>
          </w:tcPr>
          <w:p>
            <w:pPr>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023</w:t>
            </w:r>
            <w:r>
              <w:rPr>
                <w:rFonts w:hint="eastAsia" w:asciiTheme="minorEastAsia" w:hAnsiTheme="minorEastAsia" w:eastAsiaTheme="minorEastAsia"/>
              </w:rPr>
              <w:t>年1</w:t>
            </w:r>
            <w:r>
              <w:rPr>
                <w:rFonts w:asciiTheme="minorEastAsia" w:hAnsiTheme="minorEastAsia" w:eastAsiaTheme="minorEastAsia"/>
              </w:rPr>
              <w:t>0</w:t>
            </w:r>
            <w:r>
              <w:rPr>
                <w:rFonts w:hint="eastAsia" w:asciiTheme="minorEastAsia" w:hAnsiTheme="minorEastAsia" w:eastAsiaTheme="minorEastAsia"/>
              </w:rPr>
              <w:t>月2</w:t>
            </w:r>
            <w:r>
              <w:rPr>
                <w:rFonts w:asciiTheme="minorEastAsia" w:hAnsiTheme="minorEastAsia" w:eastAsiaTheme="minorEastAsia"/>
              </w:rPr>
              <w:t>7</w:t>
            </w:r>
            <w:r>
              <w:rPr>
                <w:rFonts w:hint="eastAsia" w:asciiTheme="minorEastAsia" w:hAnsiTheme="minorEastAsia" w:eastAsiaTheme="minorEastAsia"/>
              </w:rPr>
              <w:t>日</w:t>
            </w:r>
          </w:p>
        </w:tc>
        <w:tc>
          <w:tcPr>
            <w:tcW w:w="1870" w:type="pct"/>
          </w:tcPr>
          <w:p>
            <w:pPr>
              <w:jc w:val="center"/>
              <w:rPr>
                <w:rFonts w:asciiTheme="minorEastAsia" w:hAnsiTheme="minorEastAsia" w:eastAsiaTheme="minorEastAsia"/>
              </w:rPr>
            </w:pPr>
            <w:r>
              <w:rPr>
                <w:rFonts w:hint="eastAsia" w:asciiTheme="minorEastAsia" w:hAnsiTheme="minorEastAsia" w:eastAsiaTheme="minorEastAsia"/>
              </w:rPr>
              <w:t>通过所有议案</w:t>
            </w:r>
          </w:p>
        </w:tc>
      </w:tr>
      <w:bookmarkEnd w:id="101"/>
    </w:tbl>
    <w:p>
      <w:pPr>
        <w:rPr>
          <w:rFonts w:asciiTheme="minorEastAsia" w:hAnsiTheme="minorEastAsia" w:eastAsiaTheme="minorEastAsia"/>
        </w:rPr>
      </w:pPr>
    </w:p>
    <w:p>
      <w:pPr>
        <w:pStyle w:val="3"/>
        <w:numPr>
          <w:ilvl w:val="0"/>
          <w:numId w:val="17"/>
        </w:numPr>
        <w:rPr>
          <w:rFonts w:asciiTheme="minorEastAsia" w:hAnsiTheme="minorEastAsia" w:eastAsiaTheme="minorEastAsia"/>
        </w:rPr>
      </w:pPr>
      <w:r>
        <w:rPr>
          <w:rFonts w:asciiTheme="minorEastAsia" w:hAnsiTheme="minorEastAsia" w:eastAsiaTheme="minorEastAsia"/>
        </w:rPr>
        <w:t>董事履行职责情况</w:t>
      </w:r>
    </w:p>
    <w:p>
      <w:pPr>
        <w:pStyle w:val="4"/>
        <w:numPr>
          <w:ilvl w:val="0"/>
          <w:numId w:val="20"/>
        </w:numPr>
        <w:rPr>
          <w:rFonts w:asciiTheme="minorEastAsia" w:hAnsiTheme="minorEastAsia" w:eastAsiaTheme="minorEastAsia"/>
        </w:rPr>
      </w:pPr>
      <w:r>
        <w:rPr>
          <w:rFonts w:asciiTheme="minorEastAsia" w:hAnsiTheme="minorEastAsia" w:eastAsiaTheme="minorEastAsia"/>
        </w:rPr>
        <w:t>董事参加董事会和股东大会的情况</w:t>
      </w:r>
    </w:p>
    <w:tbl>
      <w:tblPr>
        <w:tblStyle w:val="20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847"/>
        <w:gridCol w:w="1099"/>
        <w:gridCol w:w="852"/>
        <w:gridCol w:w="968"/>
        <w:gridCol w:w="905"/>
        <w:gridCol w:w="845"/>
        <w:gridCol w:w="1292"/>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sdt>
          <w:sdtPr>
            <w:rPr>
              <w:rFonts w:asciiTheme="minorEastAsia" w:hAnsiTheme="minorEastAsia" w:eastAsiaTheme="minorEastAsia"/>
            </w:rPr>
            <w:tag w:val="_PLD_fdf987702b2e46a4aaa1e3f20787a76c"/>
            <w:id w:val="-905915121"/>
          </w:sdtPr>
          <w:sdtEndPr>
            <w:rPr>
              <w:rFonts w:asciiTheme="minorEastAsia" w:hAnsiTheme="minorEastAsia" w:eastAsiaTheme="minorEastAsia"/>
            </w:rPr>
          </w:sdtEndPr>
          <w:sdtContent>
            <w:tc>
              <w:tcPr>
                <w:tcW w:w="542"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董事</w:t>
                </w:r>
              </w:p>
              <w:p>
                <w:pPr>
                  <w:jc w:val="center"/>
                  <w:rPr>
                    <w:rFonts w:asciiTheme="minorEastAsia" w:hAnsiTheme="minorEastAsia" w:eastAsiaTheme="minorEastAsia"/>
                  </w:rPr>
                </w:pPr>
                <w:r>
                  <w:rPr>
                    <w:rFonts w:hint="eastAsia" w:asciiTheme="minorEastAsia" w:hAnsiTheme="minorEastAsia" w:eastAsiaTheme="minorEastAsia"/>
                  </w:rPr>
                  <w:t>姓名</w:t>
                </w:r>
              </w:p>
            </w:tc>
          </w:sdtContent>
        </w:sdt>
        <w:sdt>
          <w:sdtPr>
            <w:rPr>
              <w:rFonts w:asciiTheme="minorEastAsia" w:hAnsiTheme="minorEastAsia" w:eastAsiaTheme="minorEastAsia"/>
            </w:rPr>
            <w:tag w:val="_PLD_8c944f740a3a4784938038ab19e3a6ed"/>
            <w:id w:val="294882697"/>
          </w:sdtPr>
          <w:sdtEndPr>
            <w:rPr>
              <w:rFonts w:asciiTheme="minorEastAsia" w:hAnsiTheme="minorEastAsia" w:eastAsiaTheme="minorEastAsia"/>
            </w:rPr>
          </w:sdtEndPr>
          <w:sdtContent>
            <w:tc>
              <w:tcPr>
                <w:tcW w:w="468" w:type="pct"/>
                <w:vMerge w:val="restart"/>
                <w:vAlign w:val="center"/>
              </w:tcPr>
              <w:p>
                <w:pPr>
                  <w:jc w:val="center"/>
                  <w:rPr>
                    <w:rFonts w:asciiTheme="minorEastAsia" w:hAnsiTheme="minorEastAsia" w:eastAsiaTheme="minorEastAsia"/>
                  </w:rPr>
                </w:pPr>
                <w:r>
                  <w:rPr>
                    <w:rFonts w:asciiTheme="minorEastAsia" w:hAnsiTheme="minorEastAsia" w:eastAsiaTheme="minorEastAsia"/>
                  </w:rPr>
                  <w:t>是否独立董事</w:t>
                </w:r>
              </w:p>
            </w:tc>
          </w:sdtContent>
        </w:sdt>
        <w:sdt>
          <w:sdtPr>
            <w:rPr>
              <w:rFonts w:asciiTheme="minorEastAsia" w:hAnsiTheme="minorEastAsia" w:eastAsiaTheme="minorEastAsia"/>
            </w:rPr>
            <w:tag w:val="_PLD_41002b55426142459adadb76d790d586"/>
            <w:id w:val="239685053"/>
          </w:sdtPr>
          <w:sdtEndPr>
            <w:rPr>
              <w:rFonts w:asciiTheme="minorEastAsia" w:hAnsiTheme="minorEastAsia" w:eastAsiaTheme="minorEastAsia"/>
            </w:rPr>
          </w:sdtEndPr>
          <w:sdtContent>
            <w:tc>
              <w:tcPr>
                <w:tcW w:w="3294" w:type="pct"/>
                <w:gridSpan w:val="6"/>
                <w:vAlign w:val="center"/>
              </w:tcPr>
              <w:p>
                <w:pPr>
                  <w:jc w:val="center"/>
                  <w:rPr>
                    <w:rFonts w:asciiTheme="minorEastAsia" w:hAnsiTheme="minorEastAsia" w:eastAsiaTheme="minorEastAsia"/>
                  </w:rPr>
                </w:pPr>
                <w:r>
                  <w:rPr>
                    <w:rFonts w:asciiTheme="minorEastAsia" w:hAnsiTheme="minorEastAsia" w:eastAsiaTheme="minorEastAsia"/>
                  </w:rPr>
                  <w:t>参加董事会情况</w:t>
                </w:r>
              </w:p>
            </w:tc>
          </w:sdtContent>
        </w:sdt>
        <w:sdt>
          <w:sdtPr>
            <w:rPr>
              <w:rFonts w:asciiTheme="minorEastAsia" w:hAnsiTheme="minorEastAsia" w:eastAsiaTheme="minorEastAsia"/>
            </w:rPr>
            <w:tag w:val="_PLD_a86ab0ba65874193bf46821cd6a13f4f"/>
            <w:id w:val="-1416702074"/>
          </w:sdtPr>
          <w:sdtEndPr>
            <w:rPr>
              <w:rFonts w:asciiTheme="minorEastAsia" w:hAnsiTheme="minorEastAsia" w:eastAsiaTheme="minorEastAsia"/>
            </w:rPr>
          </w:sdtEndPr>
          <w:sdtContent>
            <w:tc>
              <w:tcPr>
                <w:tcW w:w="696" w:type="pct"/>
                <w:vAlign w:val="center"/>
              </w:tcPr>
              <w:p>
                <w:pPr>
                  <w:jc w:val="center"/>
                  <w:rPr>
                    <w:rFonts w:asciiTheme="minorEastAsia" w:hAnsiTheme="minorEastAsia" w:eastAsiaTheme="minorEastAsia"/>
                  </w:rPr>
                </w:pPr>
                <w:r>
                  <w:rPr>
                    <w:rFonts w:asciiTheme="minorEastAsia" w:hAnsiTheme="minorEastAsia" w:eastAsiaTheme="minorEastAsia"/>
                  </w:rPr>
                  <w:t>参加股东大会情况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2" w:type="pct"/>
            <w:vMerge w:val="continue"/>
          </w:tcPr>
          <w:p>
            <w:pPr>
              <w:jc w:val="center"/>
              <w:rPr>
                <w:rFonts w:asciiTheme="minorEastAsia" w:hAnsiTheme="minorEastAsia" w:eastAsiaTheme="minorEastAsia"/>
              </w:rPr>
            </w:pPr>
          </w:p>
        </w:tc>
        <w:tc>
          <w:tcPr>
            <w:tcW w:w="468" w:type="pct"/>
            <w:vMerge w:val="continue"/>
          </w:tcPr>
          <w:p>
            <w:pPr>
              <w:jc w:val="center"/>
              <w:rPr>
                <w:rFonts w:asciiTheme="minorEastAsia" w:hAnsiTheme="minorEastAsia" w:eastAsiaTheme="minorEastAsia"/>
              </w:rPr>
            </w:pPr>
          </w:p>
        </w:tc>
        <w:sdt>
          <w:sdtPr>
            <w:rPr>
              <w:rFonts w:asciiTheme="minorEastAsia" w:hAnsiTheme="minorEastAsia" w:eastAsiaTheme="minorEastAsia"/>
            </w:rPr>
            <w:tag w:val="_PLD_1be3bc3a3d894e22b017b70a7c691233"/>
            <w:id w:val="-2005119263"/>
          </w:sdtPr>
          <w:sdtEndPr>
            <w:rPr>
              <w:rFonts w:asciiTheme="minorEastAsia" w:hAnsiTheme="minorEastAsia" w:eastAsiaTheme="minorEastAsia"/>
            </w:rPr>
          </w:sdtEndPr>
          <w:sdtContent>
            <w:tc>
              <w:tcPr>
                <w:tcW w:w="607" w:type="pct"/>
                <w:vAlign w:val="center"/>
              </w:tcPr>
              <w:p>
                <w:pPr>
                  <w:jc w:val="center"/>
                  <w:rPr>
                    <w:rFonts w:asciiTheme="minorEastAsia" w:hAnsiTheme="minorEastAsia" w:eastAsiaTheme="minorEastAsia"/>
                  </w:rPr>
                </w:pPr>
                <w:r>
                  <w:rPr>
                    <w:rFonts w:asciiTheme="minorEastAsia" w:hAnsiTheme="minorEastAsia" w:eastAsiaTheme="minorEastAsia"/>
                  </w:rPr>
                  <w:t>本年应参加董事会次数</w:t>
                </w:r>
              </w:p>
            </w:tc>
          </w:sdtContent>
        </w:sdt>
        <w:sdt>
          <w:sdtPr>
            <w:rPr>
              <w:rFonts w:asciiTheme="minorEastAsia" w:hAnsiTheme="minorEastAsia" w:eastAsiaTheme="minorEastAsia"/>
            </w:rPr>
            <w:tag w:val="_PLD_3e45fc9802f241cb8e17735983417e9b"/>
            <w:id w:val="1451512051"/>
          </w:sdtPr>
          <w:sdtEndPr>
            <w:rPr>
              <w:rFonts w:asciiTheme="minorEastAsia" w:hAnsiTheme="minorEastAsia" w:eastAsiaTheme="minorEastAsia"/>
            </w:rPr>
          </w:sdtEndPr>
          <w:sdtContent>
            <w:tc>
              <w:tcPr>
                <w:tcW w:w="471" w:type="pct"/>
                <w:vAlign w:val="center"/>
              </w:tcPr>
              <w:p>
                <w:pPr>
                  <w:jc w:val="center"/>
                  <w:rPr>
                    <w:rFonts w:asciiTheme="minorEastAsia" w:hAnsiTheme="minorEastAsia" w:eastAsiaTheme="minorEastAsia"/>
                  </w:rPr>
                </w:pPr>
                <w:r>
                  <w:rPr>
                    <w:rFonts w:asciiTheme="minorEastAsia" w:hAnsiTheme="minorEastAsia" w:eastAsiaTheme="minorEastAsia"/>
                  </w:rPr>
                  <w:t>亲自出席次数</w:t>
                </w:r>
              </w:p>
            </w:tc>
          </w:sdtContent>
        </w:sdt>
        <w:sdt>
          <w:sdtPr>
            <w:rPr>
              <w:rFonts w:asciiTheme="minorEastAsia" w:hAnsiTheme="minorEastAsia" w:eastAsiaTheme="minorEastAsia"/>
            </w:rPr>
            <w:tag w:val="_PLD_5b2f1e699fe34def868fe8b765d768ba"/>
            <w:id w:val="-980607244"/>
          </w:sdtPr>
          <w:sdtEndPr>
            <w:rPr>
              <w:rFonts w:asciiTheme="minorEastAsia" w:hAnsiTheme="minorEastAsia" w:eastAsiaTheme="minorEastAsia"/>
            </w:rPr>
          </w:sdtEndPr>
          <w:sdtContent>
            <w:tc>
              <w:tcPr>
                <w:tcW w:w="535" w:type="pct"/>
                <w:vAlign w:val="center"/>
              </w:tcPr>
              <w:p>
                <w:pPr>
                  <w:jc w:val="center"/>
                  <w:rPr>
                    <w:rFonts w:asciiTheme="minorEastAsia" w:hAnsiTheme="minorEastAsia" w:eastAsiaTheme="minorEastAsia"/>
                  </w:rPr>
                </w:pPr>
                <w:r>
                  <w:rPr>
                    <w:rFonts w:asciiTheme="minorEastAsia" w:hAnsiTheme="minorEastAsia" w:eastAsiaTheme="minorEastAsia"/>
                  </w:rPr>
                  <w:t>以通讯方式参加次数</w:t>
                </w:r>
              </w:p>
            </w:tc>
          </w:sdtContent>
        </w:sdt>
        <w:sdt>
          <w:sdtPr>
            <w:rPr>
              <w:rFonts w:asciiTheme="minorEastAsia" w:hAnsiTheme="minorEastAsia" w:eastAsiaTheme="minorEastAsia"/>
            </w:rPr>
            <w:tag w:val="_PLD_981a0cb863d94703a5482c1ca67d4cb5"/>
            <w:id w:val="-995724079"/>
          </w:sdtPr>
          <w:sdtEndPr>
            <w:rPr>
              <w:rFonts w:asciiTheme="minorEastAsia" w:hAnsiTheme="minorEastAsia" w:eastAsiaTheme="minorEastAsia"/>
            </w:rPr>
          </w:sdtEndPr>
          <w:sdtContent>
            <w:tc>
              <w:tcPr>
                <w:tcW w:w="500" w:type="pct"/>
                <w:vAlign w:val="center"/>
              </w:tcPr>
              <w:p>
                <w:pPr>
                  <w:jc w:val="center"/>
                  <w:rPr>
                    <w:rFonts w:asciiTheme="minorEastAsia" w:hAnsiTheme="minorEastAsia" w:eastAsiaTheme="minorEastAsia"/>
                  </w:rPr>
                </w:pPr>
                <w:r>
                  <w:rPr>
                    <w:rFonts w:asciiTheme="minorEastAsia" w:hAnsiTheme="minorEastAsia" w:eastAsiaTheme="minorEastAsia"/>
                  </w:rPr>
                  <w:t>委托出席次数</w:t>
                </w:r>
              </w:p>
            </w:tc>
          </w:sdtContent>
        </w:sdt>
        <w:sdt>
          <w:sdtPr>
            <w:rPr>
              <w:rFonts w:asciiTheme="minorEastAsia" w:hAnsiTheme="minorEastAsia" w:eastAsiaTheme="minorEastAsia"/>
            </w:rPr>
            <w:tag w:val="_PLD_e955143b8973461bb11aa6e64e6bb542"/>
            <w:id w:val="-1102267048"/>
          </w:sdtPr>
          <w:sdtEndPr>
            <w:rPr>
              <w:rFonts w:asciiTheme="minorEastAsia" w:hAnsiTheme="minorEastAsia" w:eastAsiaTheme="minorEastAsia"/>
            </w:rPr>
          </w:sdtEndPr>
          <w:sdtContent>
            <w:tc>
              <w:tcPr>
                <w:tcW w:w="467" w:type="pct"/>
                <w:vAlign w:val="center"/>
              </w:tcPr>
              <w:p>
                <w:pPr>
                  <w:jc w:val="center"/>
                  <w:rPr>
                    <w:rFonts w:asciiTheme="minorEastAsia" w:hAnsiTheme="minorEastAsia" w:eastAsiaTheme="minorEastAsia"/>
                  </w:rPr>
                </w:pPr>
                <w:r>
                  <w:rPr>
                    <w:rFonts w:asciiTheme="minorEastAsia" w:hAnsiTheme="minorEastAsia" w:eastAsiaTheme="minorEastAsia"/>
                  </w:rPr>
                  <w:t>缺席</w:t>
                </w:r>
              </w:p>
              <w:p>
                <w:pPr>
                  <w:jc w:val="center"/>
                  <w:rPr>
                    <w:rFonts w:asciiTheme="minorEastAsia" w:hAnsiTheme="minorEastAsia" w:eastAsiaTheme="minorEastAsia"/>
                  </w:rPr>
                </w:pPr>
                <w:r>
                  <w:rPr>
                    <w:rFonts w:asciiTheme="minorEastAsia" w:hAnsiTheme="minorEastAsia" w:eastAsiaTheme="minorEastAsia"/>
                  </w:rPr>
                  <w:t>次数</w:t>
                </w:r>
              </w:p>
            </w:tc>
          </w:sdtContent>
        </w:sdt>
        <w:sdt>
          <w:sdtPr>
            <w:rPr>
              <w:rFonts w:asciiTheme="minorEastAsia" w:hAnsiTheme="minorEastAsia" w:eastAsiaTheme="minorEastAsia"/>
            </w:rPr>
            <w:tag w:val="_PLD_c94de7a455d94af5b8ffe4cc736c4b46"/>
            <w:id w:val="1000927630"/>
          </w:sdtPr>
          <w:sdtEndPr>
            <w:rPr>
              <w:rFonts w:asciiTheme="minorEastAsia" w:hAnsiTheme="minorEastAsia" w:eastAsiaTheme="minorEastAsia"/>
            </w:rPr>
          </w:sdtEndPr>
          <w:sdtContent>
            <w:tc>
              <w:tcPr>
                <w:tcW w:w="714" w:type="pct"/>
                <w:vAlign w:val="center"/>
              </w:tcPr>
              <w:p>
                <w:pPr>
                  <w:jc w:val="center"/>
                  <w:rPr>
                    <w:rFonts w:asciiTheme="minorEastAsia" w:hAnsiTheme="minorEastAsia" w:eastAsiaTheme="minorEastAsia"/>
                  </w:rPr>
                </w:pPr>
                <w:r>
                  <w:rPr>
                    <w:rFonts w:asciiTheme="minorEastAsia" w:hAnsiTheme="minorEastAsia" w:eastAsiaTheme="minorEastAsia"/>
                  </w:rPr>
                  <w:t>是否连续两次未亲自参加会议</w:t>
                </w:r>
              </w:p>
            </w:tc>
          </w:sdtContent>
        </w:sdt>
        <w:sdt>
          <w:sdtPr>
            <w:rPr>
              <w:rFonts w:asciiTheme="minorEastAsia" w:hAnsiTheme="minorEastAsia" w:eastAsiaTheme="minorEastAsia"/>
            </w:rPr>
            <w:tag w:val="_PLD_7f17c2a5ff9540709fafff9460b0756d"/>
            <w:id w:val="1177701906"/>
          </w:sdtPr>
          <w:sdtEndPr>
            <w:rPr>
              <w:rFonts w:asciiTheme="minorEastAsia" w:hAnsiTheme="minorEastAsia" w:eastAsiaTheme="minorEastAsia"/>
            </w:rPr>
          </w:sdtEndPr>
          <w:sdtContent>
            <w:tc>
              <w:tcPr>
                <w:tcW w:w="696" w:type="pct"/>
                <w:vAlign w:val="center"/>
              </w:tcPr>
              <w:p>
                <w:pPr>
                  <w:jc w:val="center"/>
                  <w:rPr>
                    <w:rFonts w:asciiTheme="minorEastAsia" w:hAnsiTheme="minorEastAsia" w:eastAsiaTheme="minorEastAsia"/>
                    <w:b/>
                  </w:rPr>
                </w:pPr>
                <w:r>
                  <w:rPr>
                    <w:rFonts w:asciiTheme="minorEastAsia" w:hAnsiTheme="minorEastAsia" w:eastAsiaTheme="minorEastAsia"/>
                  </w:rPr>
                  <w:t>出席股东大会的次数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 xml:space="preserve">李 </w:t>
            </w:r>
            <w:r>
              <w:rPr>
                <w:rFonts w:asciiTheme="minorEastAsia" w:hAnsiTheme="minorEastAsia" w:eastAsiaTheme="minorEastAsia"/>
              </w:rPr>
              <w:t xml:space="preserve"> </w:t>
            </w:r>
            <w:r>
              <w:rPr>
                <w:rFonts w:hint="eastAsia" w:asciiTheme="minorEastAsia" w:hAnsiTheme="minorEastAsia" w:eastAsiaTheme="minorEastAsia"/>
              </w:rPr>
              <w:t>伟</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肖耀猛</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 xml:space="preserve">刘 </w:t>
            </w:r>
            <w:r>
              <w:rPr>
                <w:rFonts w:asciiTheme="minorEastAsia" w:hAnsiTheme="minorEastAsia" w:eastAsiaTheme="minorEastAsia"/>
              </w:rPr>
              <w:t xml:space="preserve"> </w:t>
            </w:r>
            <w:r>
              <w:rPr>
                <w:rFonts w:hint="eastAsia" w:asciiTheme="minorEastAsia" w:hAnsiTheme="minorEastAsia" w:eastAsiaTheme="minorEastAsia"/>
              </w:rPr>
              <w:t>健</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5</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 xml:space="preserve">刘 </w:t>
            </w:r>
            <w:r>
              <w:rPr>
                <w:rFonts w:asciiTheme="minorEastAsia" w:hAnsiTheme="minorEastAsia" w:eastAsiaTheme="minorEastAsia"/>
              </w:rPr>
              <w:t xml:space="preserve"> </w:t>
            </w:r>
            <w:r>
              <w:rPr>
                <w:rFonts w:hint="eastAsia" w:asciiTheme="minorEastAsia" w:hAnsiTheme="minorEastAsia" w:eastAsiaTheme="minorEastAsia"/>
              </w:rPr>
              <w:t>强</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1</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张海军</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1</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 xml:space="preserve">苏 </w:t>
            </w:r>
            <w:r>
              <w:rPr>
                <w:rFonts w:asciiTheme="minorEastAsia" w:hAnsiTheme="minorEastAsia" w:eastAsiaTheme="minorEastAsia"/>
              </w:rPr>
              <w:t xml:space="preserve"> </w:t>
            </w:r>
            <w:r>
              <w:rPr>
                <w:rFonts w:hint="eastAsia" w:asciiTheme="minorEastAsia" w:hAnsiTheme="minorEastAsia" w:eastAsiaTheme="minorEastAsia"/>
              </w:rPr>
              <w:t>力</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07" w:type="pct"/>
            <w:vAlign w:val="center"/>
          </w:tcPr>
          <w:p>
            <w:pPr>
              <w:jc w:val="center"/>
              <w:rPr>
                <w:rFonts w:asciiTheme="minorEastAsia" w:hAnsiTheme="minorEastAsia" w:eastAsiaTheme="minorEastAsia"/>
              </w:rPr>
            </w:pPr>
            <w:r>
              <w:rPr>
                <w:rFonts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asciiTheme="minorEastAsia" w:hAnsiTheme="minorEastAsia" w:eastAsiaTheme="minorEastAsia"/>
              </w:rPr>
              <w:t>1</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asciiTheme="minorEastAsia" w:hAnsiTheme="minorEastAsia" w:eastAsia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黄霄龙</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彭苏萍</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是</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朱利民</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是</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胡家栋</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是</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1</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 xml:space="preserve">朱 </w:t>
            </w:r>
            <w:r>
              <w:rPr>
                <w:rFonts w:asciiTheme="minorEastAsia" w:hAnsiTheme="minorEastAsia" w:eastAsiaTheme="minorEastAsia"/>
              </w:rPr>
              <w:t xml:space="preserve"> </w:t>
            </w:r>
            <w:r>
              <w:rPr>
                <w:rFonts w:hint="eastAsia" w:asciiTheme="minorEastAsia" w:hAnsiTheme="minorEastAsia" w:eastAsiaTheme="minorEastAsia"/>
              </w:rPr>
              <w:t>睿</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是</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2</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祝庆瑞</w:t>
            </w:r>
          </w:p>
          <w:p>
            <w:pPr>
              <w:rPr>
                <w:rFonts w:asciiTheme="minorEastAsia" w:hAnsiTheme="minorEastAsia" w:eastAsiaTheme="minorEastAsia"/>
              </w:rPr>
            </w:pPr>
            <w:r>
              <w:rPr>
                <w:rFonts w:hint="eastAsia" w:asciiTheme="minorEastAsia" w:hAnsiTheme="minorEastAsia" w:eastAsiaTheme="minorEastAsia"/>
              </w:rPr>
              <w:t>(离任)</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赵青春</w:t>
            </w:r>
          </w:p>
          <w:p>
            <w:pPr>
              <w:rPr>
                <w:rFonts w:asciiTheme="minorEastAsia" w:hAnsiTheme="minorEastAsia" w:eastAsiaTheme="minorEastAsia"/>
              </w:rPr>
            </w:pPr>
            <w:r>
              <w:rPr>
                <w:rFonts w:hint="eastAsia" w:asciiTheme="minorEastAsia" w:hAnsiTheme="minorEastAsia" w:eastAsiaTheme="minorEastAsia"/>
              </w:rPr>
              <w:t>(离任)</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 xml:space="preserve">田 </w:t>
            </w:r>
            <w:r>
              <w:rPr>
                <w:rFonts w:asciiTheme="minorEastAsia" w:hAnsiTheme="minorEastAsia" w:eastAsiaTheme="minorEastAsia"/>
              </w:rPr>
              <w:t xml:space="preserve"> </w:t>
            </w:r>
            <w:r>
              <w:rPr>
                <w:rFonts w:hint="eastAsia" w:asciiTheme="minorEastAsia" w:hAnsiTheme="minorEastAsia" w:eastAsiaTheme="minorEastAsia"/>
              </w:rPr>
              <w:t>会</w:t>
            </w:r>
          </w:p>
          <w:p>
            <w:pPr>
              <w:rPr>
                <w:rFonts w:asciiTheme="minorEastAsia" w:hAnsiTheme="minorEastAsia" w:eastAsiaTheme="minorEastAsia"/>
              </w:rPr>
            </w:pPr>
            <w:r>
              <w:rPr>
                <w:rFonts w:hint="eastAsia" w:asciiTheme="minorEastAsia" w:hAnsiTheme="minorEastAsia" w:eastAsiaTheme="minorEastAsia"/>
              </w:rPr>
              <w:t>(离任)</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是</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 xml:space="preserve">蔡 </w:t>
            </w:r>
            <w:r>
              <w:rPr>
                <w:rFonts w:asciiTheme="minorEastAsia" w:hAnsiTheme="minorEastAsia" w:eastAsiaTheme="minorEastAsia"/>
              </w:rPr>
              <w:t xml:space="preserve"> </w:t>
            </w:r>
            <w:r>
              <w:rPr>
                <w:rFonts w:hint="eastAsia" w:asciiTheme="minorEastAsia" w:hAnsiTheme="minorEastAsia" w:eastAsiaTheme="minorEastAsia"/>
              </w:rPr>
              <w:t>昌</w:t>
            </w:r>
          </w:p>
          <w:p>
            <w:pPr>
              <w:rPr>
                <w:rFonts w:asciiTheme="minorEastAsia" w:hAnsiTheme="minorEastAsia" w:eastAsiaTheme="minorEastAsia"/>
              </w:rPr>
            </w:pPr>
            <w:r>
              <w:rPr>
                <w:rFonts w:hint="eastAsia" w:asciiTheme="minorEastAsia" w:hAnsiTheme="minorEastAsia" w:eastAsiaTheme="minorEastAsia"/>
              </w:rPr>
              <w:t>(离任)</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是</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2" w:type="pct"/>
          </w:tcPr>
          <w:p>
            <w:pPr>
              <w:rPr>
                <w:rFonts w:asciiTheme="minorEastAsia" w:hAnsiTheme="minorEastAsia" w:eastAsiaTheme="minorEastAsia"/>
              </w:rPr>
            </w:pPr>
            <w:r>
              <w:rPr>
                <w:rFonts w:hint="eastAsia" w:asciiTheme="minorEastAsia" w:hAnsiTheme="minorEastAsia" w:eastAsiaTheme="minorEastAsia"/>
              </w:rPr>
              <w:t>潘昭国</w:t>
            </w:r>
          </w:p>
          <w:p>
            <w:pPr>
              <w:rPr>
                <w:rFonts w:asciiTheme="minorEastAsia" w:hAnsiTheme="minorEastAsia" w:eastAsiaTheme="minorEastAsia"/>
              </w:rPr>
            </w:pPr>
            <w:r>
              <w:rPr>
                <w:rFonts w:hint="eastAsia" w:asciiTheme="minorEastAsia" w:hAnsiTheme="minorEastAsia" w:eastAsiaTheme="minorEastAsia"/>
              </w:rPr>
              <w:t>(离任)</w:t>
            </w:r>
          </w:p>
        </w:tc>
        <w:tc>
          <w:tcPr>
            <w:tcW w:w="468" w:type="pct"/>
            <w:vAlign w:val="center"/>
          </w:tcPr>
          <w:p>
            <w:pPr>
              <w:jc w:val="center"/>
              <w:rPr>
                <w:rFonts w:asciiTheme="minorEastAsia" w:hAnsiTheme="minorEastAsia" w:eastAsiaTheme="minorEastAsia"/>
              </w:rPr>
            </w:pPr>
            <w:r>
              <w:rPr>
                <w:rFonts w:hint="eastAsia" w:asciiTheme="minorEastAsia" w:hAnsiTheme="minorEastAsia" w:eastAsiaTheme="minorEastAsia"/>
              </w:rPr>
              <w:t>是</w:t>
            </w:r>
          </w:p>
        </w:tc>
        <w:tc>
          <w:tcPr>
            <w:tcW w:w="607"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471"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35"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500"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467" w:type="pct"/>
            <w:vAlign w:val="center"/>
          </w:tcPr>
          <w:p>
            <w:pPr>
              <w:jc w:val="center"/>
              <w:rPr>
                <w:rFonts w:asciiTheme="minorEastAsia" w:hAnsiTheme="minorEastAsia" w:eastAsiaTheme="minorEastAsia"/>
              </w:rPr>
            </w:pPr>
            <w:r>
              <w:rPr>
                <w:rFonts w:hint="eastAsia" w:asciiTheme="minorEastAsia" w:hAnsiTheme="minorEastAsia" w:eastAsiaTheme="minorEastAsia"/>
              </w:rPr>
              <w:t>0</w:t>
            </w:r>
          </w:p>
        </w:tc>
        <w:tc>
          <w:tcPr>
            <w:tcW w:w="714" w:type="pct"/>
            <w:vAlign w:val="center"/>
          </w:tcPr>
          <w:p>
            <w:pPr>
              <w:jc w:val="center"/>
              <w:rPr>
                <w:rFonts w:asciiTheme="minorEastAsia" w:hAnsiTheme="minorEastAsia" w:eastAsiaTheme="minorEastAsia"/>
              </w:rPr>
            </w:pPr>
            <w:r>
              <w:rPr>
                <w:rFonts w:hint="eastAsia" w:asciiTheme="minorEastAsia" w:hAnsiTheme="minorEastAsia" w:eastAsiaTheme="minorEastAsia"/>
              </w:rPr>
              <w:t>否</w:t>
            </w:r>
          </w:p>
        </w:tc>
        <w:tc>
          <w:tcPr>
            <w:tcW w:w="696" w:type="pct"/>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r>
    </w:tbl>
    <w:p>
      <w:pPr>
        <w:rPr>
          <w:rFonts w:asciiTheme="minorEastAsia" w:hAnsiTheme="minorEastAsia" w:eastAsiaTheme="minorEastAsia"/>
        </w:rPr>
      </w:pPr>
      <w:r>
        <w:rPr>
          <w:rFonts w:hint="eastAsia" w:asciiTheme="minorEastAsia" w:hAnsiTheme="minorEastAsia" w:eastAsiaTheme="minorEastAsia"/>
        </w:rPr>
        <w:t>注:朱睿董事因工作原因，未能亲自出席公司2023年度第一次临时股东大会,已向董事会提交了书面请假材料。</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连续两次未亲自出席董事会会议的说明</w:t>
      </w:r>
    </w:p>
    <w:sdt>
      <w:sdtPr>
        <w:rPr>
          <w:rFonts w:asciiTheme="minorEastAsia" w:hAnsiTheme="minorEastAsia" w:eastAsiaTheme="minorEastAsia"/>
        </w:rPr>
        <w:alias w:val="是否适用：连续两次未亲自出席董事会会议的说明[双击切换]"/>
        <w:tag w:val="_GBC_866534c9760844d1a6f6fa69c39ae52d"/>
        <w:id w:val="1818218361"/>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tbl>
      <w:tblPr>
        <w:tblStyle w:val="202"/>
        <w:tblW w:w="893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4"/>
        <w:gridCol w:w="4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4" w:type="dxa"/>
          </w:tcPr>
          <w:p>
            <w:pPr>
              <w:rPr>
                <w:rFonts w:asciiTheme="minorEastAsia" w:hAnsiTheme="minorEastAsia" w:eastAsiaTheme="minorEastAsia"/>
              </w:rPr>
            </w:pPr>
            <w:r>
              <w:rPr>
                <w:rFonts w:asciiTheme="minorEastAsia" w:hAnsiTheme="minorEastAsia" w:eastAsiaTheme="minorEastAsia"/>
              </w:rPr>
              <w:t>年内召开董事会会议次数</w:t>
            </w:r>
          </w:p>
        </w:tc>
        <w:tc>
          <w:tcPr>
            <w:tcW w:w="4367" w:type="dxa"/>
          </w:tcPr>
          <w:p>
            <w:pPr>
              <w:rPr>
                <w:rFonts w:asciiTheme="minorEastAsia" w:hAnsiTheme="minorEastAsia" w:eastAsiaTheme="minorEastAsia"/>
              </w:rPr>
            </w:pPr>
            <w:r>
              <w:rPr>
                <w:rFonts w:asciiTheme="minorEastAsia" w:hAnsiTheme="minorEastAsia" w:eastAsiaTheme="minor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4" w:type="dxa"/>
          </w:tcPr>
          <w:p>
            <w:pPr>
              <w:rPr>
                <w:rFonts w:asciiTheme="minorEastAsia" w:hAnsiTheme="minorEastAsia" w:eastAsiaTheme="minorEastAsia"/>
              </w:rPr>
            </w:pPr>
            <w:r>
              <w:rPr>
                <w:rFonts w:asciiTheme="minorEastAsia" w:hAnsiTheme="minorEastAsia" w:eastAsiaTheme="minorEastAsia"/>
              </w:rPr>
              <w:t>其中：现场会议次数</w:t>
            </w:r>
          </w:p>
        </w:tc>
        <w:tc>
          <w:tcPr>
            <w:tcW w:w="4367" w:type="dxa"/>
          </w:tcPr>
          <w:p>
            <w:pPr>
              <w:rPr>
                <w:rFonts w:asciiTheme="minorEastAsia" w:hAnsiTheme="minorEastAsia" w:eastAsiaTheme="minorEastAsia"/>
              </w:rPr>
            </w:pPr>
            <w:r>
              <w:rPr>
                <w:rFonts w:hint="eastAsia" w:asciiTheme="minorEastAsia" w:hAnsiTheme="minorEastAsia" w:eastAsiaTheme="min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4" w:type="dxa"/>
          </w:tcPr>
          <w:p>
            <w:pPr>
              <w:rPr>
                <w:rFonts w:asciiTheme="minorEastAsia" w:hAnsiTheme="minorEastAsia" w:eastAsiaTheme="minorEastAsia"/>
              </w:rPr>
            </w:pPr>
            <w:r>
              <w:rPr>
                <w:rFonts w:asciiTheme="minorEastAsia" w:hAnsiTheme="minorEastAsia" w:eastAsiaTheme="minorEastAsia"/>
              </w:rPr>
              <w:t>通讯方式召开会议次数</w:t>
            </w:r>
          </w:p>
        </w:tc>
        <w:tc>
          <w:tcPr>
            <w:tcW w:w="4367" w:type="dxa"/>
          </w:tcPr>
          <w:p>
            <w:pPr>
              <w:rPr>
                <w:rFonts w:asciiTheme="minorEastAsia" w:hAnsiTheme="minorEastAsia" w:eastAsiaTheme="minorEastAsia"/>
              </w:rPr>
            </w:pPr>
            <w:r>
              <w:rPr>
                <w:rFonts w:hint="eastAsia" w:asciiTheme="minorEastAsia" w:hAnsiTheme="minorEastAsia" w:eastAsiaTheme="minor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4" w:type="dxa"/>
          </w:tcPr>
          <w:p>
            <w:pPr>
              <w:rPr>
                <w:rFonts w:asciiTheme="minorEastAsia" w:hAnsiTheme="minorEastAsia" w:eastAsiaTheme="minorEastAsia"/>
              </w:rPr>
            </w:pPr>
            <w:r>
              <w:rPr>
                <w:rFonts w:asciiTheme="minorEastAsia" w:hAnsiTheme="minorEastAsia" w:eastAsiaTheme="minorEastAsia"/>
              </w:rPr>
              <w:t>现场结合通讯方式召开会议次数</w:t>
            </w:r>
          </w:p>
        </w:tc>
        <w:tc>
          <w:tcPr>
            <w:tcW w:w="4367" w:type="dxa"/>
          </w:tcPr>
          <w:p>
            <w:pPr>
              <w:rPr>
                <w:rFonts w:asciiTheme="minorEastAsia" w:hAnsiTheme="minorEastAsia" w:eastAsiaTheme="minorEastAsia"/>
              </w:rPr>
            </w:pPr>
            <w:r>
              <w:rPr>
                <w:rFonts w:hint="eastAsia" w:asciiTheme="minorEastAsia" w:hAnsiTheme="minorEastAsia" w:eastAsiaTheme="minorEastAsia"/>
              </w:rPr>
              <w:t>2</w:t>
            </w:r>
          </w:p>
        </w:tc>
      </w:tr>
    </w:tbl>
    <w:p>
      <w:pPr>
        <w:rPr>
          <w:rFonts w:asciiTheme="minorEastAsia" w:hAnsiTheme="minorEastAsia" w:eastAsiaTheme="minorEastAsia"/>
        </w:rPr>
      </w:pPr>
    </w:p>
    <w:p>
      <w:pPr>
        <w:pStyle w:val="4"/>
        <w:numPr>
          <w:ilvl w:val="0"/>
          <w:numId w:val="20"/>
        </w:numPr>
        <w:rPr>
          <w:rFonts w:asciiTheme="minorEastAsia" w:hAnsiTheme="minorEastAsia" w:eastAsiaTheme="minorEastAsia"/>
          <w:szCs w:val="21"/>
        </w:rPr>
      </w:pPr>
      <w:r>
        <w:rPr>
          <w:rFonts w:asciiTheme="minorEastAsia" w:hAnsiTheme="minorEastAsia" w:eastAsiaTheme="minorEastAsia"/>
          <w:szCs w:val="21"/>
        </w:rPr>
        <w:t>董事对公司有关事项提出异议的情况</w:t>
      </w:r>
    </w:p>
    <w:sdt>
      <w:sdtPr>
        <w:rPr>
          <w:rFonts w:asciiTheme="minorEastAsia" w:hAnsiTheme="minorEastAsia" w:eastAsiaTheme="minorEastAsia"/>
        </w:rPr>
        <w:alias w:val="是否适用：独立董事对公司有关事项提出异议的情况[双击切换]"/>
        <w:tag w:val="_GBC_1369df39a53747ff843be7f892cb0cbd"/>
        <w:id w:val="-822814195"/>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4"/>
        <w:numPr>
          <w:ilvl w:val="0"/>
          <w:numId w:val="20"/>
        </w:numPr>
        <w:rPr>
          <w:rFonts w:asciiTheme="minorEastAsia" w:hAnsiTheme="minorEastAsia" w:eastAsiaTheme="minorEastAsia"/>
          <w:szCs w:val="21"/>
        </w:rPr>
      </w:pPr>
      <w:r>
        <w:rPr>
          <w:rFonts w:asciiTheme="minorEastAsia" w:hAnsiTheme="minorEastAsia" w:eastAsiaTheme="minorEastAsia"/>
          <w:szCs w:val="21"/>
        </w:rPr>
        <w:t>其他</w:t>
      </w:r>
    </w:p>
    <w:sdt>
      <w:sdtPr>
        <w:rPr>
          <w:rFonts w:hint="eastAsia" w:asciiTheme="minorEastAsia" w:hAnsiTheme="minorEastAsia" w:eastAsiaTheme="minorEastAsia"/>
        </w:rPr>
        <w:alias w:val="是否适用：其他董事履行职责情况说明[双击切换]"/>
        <w:tag w:val="_GBC_ba1a70dda14046559f72c5b524ca1125"/>
        <w:id w:val="-1681813451"/>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pStyle w:val="3"/>
        <w:numPr>
          <w:ilvl w:val="0"/>
          <w:numId w:val="17"/>
        </w:numPr>
        <w:ind w:left="450" w:hanging="450"/>
        <w:rPr>
          <w:rFonts w:asciiTheme="minorEastAsia" w:hAnsiTheme="minorEastAsia" w:eastAsiaTheme="minorEastAsia"/>
        </w:rPr>
      </w:pPr>
      <w:r>
        <w:rPr>
          <w:rFonts w:hint="eastAsia" w:asciiTheme="minorEastAsia" w:hAnsiTheme="minorEastAsia" w:eastAsiaTheme="minorEastAsia"/>
        </w:rPr>
        <w:t>董事会下设专门委员会情况</w:t>
      </w:r>
    </w:p>
    <w:p>
      <w:pPr>
        <w:rPr>
          <w:rFonts w:asciiTheme="minorEastAsia" w:hAnsiTheme="minorEastAsia" w:eastAsiaTheme="minorEastAsia"/>
        </w:rPr>
      </w:pPr>
      <w:sdt>
        <w:sdtPr>
          <w:rPr>
            <w:rFonts w:hint="eastAsia" w:asciiTheme="minorEastAsia" w:hAnsiTheme="minorEastAsia" w:eastAsiaTheme="minorEastAsia"/>
          </w:rPr>
          <w:alias w:val="是否适用：董事会下设专门委员会情况[双击切换]"/>
          <w:tag w:val="_GBC_88389a2d52e44644a2332ba32500fe69"/>
          <w:id w:val="-1913849481"/>
          <w:placeholder>
            <w:docPart w:val="GBC22222222222222222222222222222"/>
          </w:placeholder>
        </w:sdtPr>
        <w:sdtEndPr>
          <w:rPr>
            <w:rFonts w:hint="eastAsia" w:asciiTheme="minorEastAsia" w:hAnsiTheme="minorEastAsia" w:eastAsiaTheme="minorEastAsia"/>
          </w:rPr>
        </w:sdtEndPr>
        <w:sdtContent>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sdtContent>
      </w:sdt>
      <w:r>
        <w:rPr>
          <w:rFonts w:asciiTheme="minorEastAsia" w:hAnsiTheme="minorEastAsia" w:eastAsiaTheme="minorEastAsia"/>
        </w:rPr>
        <w:t xml:space="preserve"> </w:t>
      </w:r>
    </w:p>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经202</w:t>
      </w:r>
      <w:r>
        <w:rPr>
          <w:rFonts w:asciiTheme="minorEastAsia" w:hAnsiTheme="minorEastAsia" w:eastAsiaTheme="minorEastAsia"/>
        </w:rPr>
        <w:t>3</w:t>
      </w:r>
      <w:r>
        <w:rPr>
          <w:rFonts w:hint="eastAsia" w:asciiTheme="minorEastAsia" w:hAnsiTheme="minorEastAsia" w:eastAsiaTheme="minorEastAsia"/>
        </w:rPr>
        <w:t>年6月</w:t>
      </w:r>
      <w:r>
        <w:rPr>
          <w:rFonts w:asciiTheme="minorEastAsia" w:hAnsiTheme="minorEastAsia" w:eastAsiaTheme="minorEastAsia"/>
        </w:rPr>
        <w:t>30</w:t>
      </w:r>
      <w:r>
        <w:rPr>
          <w:rFonts w:hint="eastAsia" w:asciiTheme="minorEastAsia" w:hAnsiTheme="minorEastAsia" w:eastAsiaTheme="minorEastAsia"/>
        </w:rPr>
        <w:t>日召开的第九届董事会第一次会议批准，本公司设立了第九届董事会审计委员会、提名委员会、薪酬委员会、战略与发展委员会和可持续发展委员会。公司董事会下属各专门委员会均制定了工作细则，载列了各委员会的角色、组成和职能。报告期内，各委员会严格按照工作细则要求履行了职责。</w:t>
      </w:r>
    </w:p>
    <w:p>
      <w:pPr>
        <w:ind w:firstLine="420" w:firstLineChars="200"/>
        <w:rPr>
          <w:rFonts w:asciiTheme="minorEastAsia" w:hAnsiTheme="minorEastAsia" w:eastAsiaTheme="minorEastAsia"/>
        </w:rPr>
      </w:pPr>
      <w:r>
        <w:rPr>
          <w:rFonts w:hint="eastAsia" w:asciiTheme="minorEastAsia" w:hAnsiTheme="minorEastAsia" w:eastAsiaTheme="minorEastAsia"/>
        </w:rPr>
        <w:t>公司未设立专门的企业管治委员会，企业管治职能由董事会负责，主要包括：（1）制定及检讨公司的企业管治政策及常规；（2）检讨及监察董事及高级管理人员的培训及持续专业发展；（3）检讨及监察公司在遵守法律及监管规定方面的政策及常规；（4）制定、检讨及监察雇员及董事的操守准则及合规手册；及（5）检讨公司遵守证券上市地《企业管治守则》的情况及在《企业管治报告》内的披露。</w:t>
      </w:r>
    </w:p>
    <w:p>
      <w:pPr>
        <w:rPr>
          <w:rFonts w:asciiTheme="minorEastAsia" w:hAnsiTheme="minorEastAsia" w:eastAsiaTheme="minorEastAsia"/>
        </w:rPr>
      </w:pPr>
    </w:p>
    <w:p>
      <w:pPr>
        <w:pStyle w:val="4"/>
        <w:numPr>
          <w:ilvl w:val="0"/>
          <w:numId w:val="21"/>
        </w:numPr>
        <w:rPr>
          <w:rFonts w:asciiTheme="minorEastAsia" w:hAnsiTheme="minorEastAsia" w:eastAsiaTheme="minorEastAsia"/>
        </w:rPr>
      </w:pPr>
      <w:r>
        <w:rPr>
          <w:rFonts w:hint="eastAsia" w:asciiTheme="minorEastAsia" w:hAnsiTheme="minorEastAsia" w:eastAsiaTheme="minorEastAsia"/>
        </w:rPr>
        <w:t>董事会下设专门委员会成员情况</w:t>
      </w:r>
    </w:p>
    <w:tbl>
      <w:tblPr>
        <w:tblStyle w:val="201"/>
        <w:tblW w:w="9051" w:type="dxa"/>
        <w:jc w:val="center"/>
        <w:tblLayout w:type="autofit"/>
        <w:tblCellMar>
          <w:top w:w="0" w:type="dxa"/>
          <w:left w:w="108" w:type="dxa"/>
          <w:bottom w:w="0" w:type="dxa"/>
          <w:right w:w="108" w:type="dxa"/>
        </w:tblCellMar>
      </w:tblPr>
      <w:tblGrid>
        <w:gridCol w:w="2586"/>
        <w:gridCol w:w="6465"/>
      </w:tblGrid>
      <w:tr>
        <w:tblPrEx>
          <w:tblCellMar>
            <w:top w:w="0" w:type="dxa"/>
            <w:left w:w="108" w:type="dxa"/>
            <w:bottom w:w="0" w:type="dxa"/>
            <w:right w:w="108" w:type="dxa"/>
          </w:tblCellMar>
        </w:tblPrEx>
        <w:trPr>
          <w:trHeight w:val="270" w:hRule="atLeast"/>
          <w:jc w:val="center"/>
        </w:trPr>
        <w:sdt>
          <w:sdtPr>
            <w:rPr>
              <w:rFonts w:hint="eastAsia" w:asciiTheme="minorEastAsia" w:hAnsiTheme="minorEastAsia" w:eastAsiaTheme="minorEastAsia"/>
              <w:color w:val="000000"/>
              <w:sz w:val="22"/>
            </w:rPr>
            <w:tag w:val="_PLD_d469fc77cfdc44b0b043e0b1ab52e604"/>
            <w:id w:val="-1245566658"/>
          </w:sdtPr>
          <w:sdtEndPr>
            <w:rPr>
              <w:rFonts w:hint="eastAsia" w:asciiTheme="minorEastAsia" w:hAnsiTheme="minorEastAsia" w:eastAsiaTheme="minorEastAsia"/>
              <w:color w:val="000000"/>
              <w:sz w:val="22"/>
            </w:rPr>
          </w:sdtEndPr>
          <w:sdtContent>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000000"/>
                    <w:sz w:val="22"/>
                  </w:rPr>
                </w:pPr>
                <w:r>
                  <w:rPr>
                    <w:rFonts w:hint="eastAsia" w:asciiTheme="minorEastAsia" w:hAnsiTheme="minorEastAsia" w:eastAsiaTheme="minorEastAsia"/>
                    <w:color w:val="000000"/>
                    <w:sz w:val="22"/>
                  </w:rPr>
                  <w:t>专门委员会类别</w:t>
                </w:r>
              </w:p>
            </w:tc>
          </w:sdtContent>
        </w:sdt>
        <w:sdt>
          <w:sdtPr>
            <w:rPr>
              <w:rFonts w:hint="eastAsia" w:asciiTheme="minorEastAsia" w:hAnsiTheme="minorEastAsia" w:eastAsiaTheme="minorEastAsia"/>
              <w:color w:val="000000"/>
              <w:sz w:val="22"/>
            </w:rPr>
            <w:tag w:val="_PLD_32d037161ea94d0eb907c4e766b75044"/>
            <w:id w:val="-1873672939"/>
          </w:sdtPr>
          <w:sdtEndPr>
            <w:rPr>
              <w:rFonts w:hint="eastAsia" w:asciiTheme="minorEastAsia" w:hAnsiTheme="minorEastAsia" w:eastAsiaTheme="minorEastAsia"/>
              <w:color w:val="000000"/>
              <w:sz w:val="22"/>
            </w:rPr>
          </w:sdtEndPr>
          <w:sdtContent>
            <w:tc>
              <w:tcPr>
                <w:tcW w:w="646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000000"/>
                    <w:sz w:val="22"/>
                  </w:rPr>
                </w:pPr>
                <w:r>
                  <w:rPr>
                    <w:rFonts w:hint="eastAsia" w:asciiTheme="minorEastAsia" w:hAnsiTheme="minorEastAsia" w:eastAsiaTheme="minorEastAsia"/>
                    <w:color w:val="000000"/>
                    <w:sz w:val="22"/>
                  </w:rPr>
                  <w:t>成员姓名</w:t>
                </w:r>
              </w:p>
            </w:tc>
          </w:sdtContent>
        </w:sdt>
      </w:tr>
      <w:tr>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000000"/>
                <w:sz w:val="22"/>
              </w:rPr>
            </w:pPr>
            <w:r>
              <w:rPr>
                <w:rFonts w:hint="eastAsia" w:asciiTheme="minorEastAsia" w:hAnsiTheme="minorEastAsia" w:eastAsiaTheme="minorEastAsia"/>
                <w:color w:val="000000"/>
                <w:sz w:val="22"/>
              </w:rPr>
              <w:t>审计委员会</w:t>
            </w:r>
          </w:p>
        </w:tc>
        <w:tc>
          <w:tcPr>
            <w:tcW w:w="6465"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2"/>
              </w:rPr>
            </w:pPr>
            <w:r>
              <w:rPr>
                <w:rFonts w:hint="eastAsia" w:asciiTheme="minorEastAsia" w:hAnsiTheme="minorEastAsia" w:eastAsiaTheme="minorEastAsia"/>
                <w:sz w:val="22"/>
              </w:rPr>
              <w:t>胡家栋、朱利民、朱睿</w:t>
            </w:r>
          </w:p>
        </w:tc>
      </w:tr>
      <w:tr>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000000"/>
                <w:sz w:val="22"/>
              </w:rPr>
            </w:pPr>
            <w:r>
              <w:rPr>
                <w:rFonts w:hint="eastAsia" w:asciiTheme="minorEastAsia" w:hAnsiTheme="minorEastAsia" w:eastAsiaTheme="minorEastAsia"/>
                <w:color w:val="000000"/>
                <w:sz w:val="22"/>
              </w:rPr>
              <w:t>提名委员会</w:t>
            </w:r>
          </w:p>
        </w:tc>
        <w:tc>
          <w:tcPr>
            <w:tcW w:w="6465"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2"/>
              </w:rPr>
            </w:pPr>
            <w:r>
              <w:rPr>
                <w:rFonts w:hint="eastAsia" w:asciiTheme="minorEastAsia" w:hAnsiTheme="minorEastAsia" w:eastAsiaTheme="minorEastAsia"/>
                <w:sz w:val="22"/>
              </w:rPr>
              <w:t>彭苏萍、李伟、胡家栋</w:t>
            </w:r>
          </w:p>
        </w:tc>
      </w:tr>
      <w:tr>
        <w:tblPrEx>
          <w:tblCellMar>
            <w:top w:w="0" w:type="dxa"/>
            <w:left w:w="108" w:type="dxa"/>
            <w:bottom w:w="0" w:type="dxa"/>
            <w:right w:w="108" w:type="dxa"/>
          </w:tblCellMar>
        </w:tblPrEx>
        <w:trPr>
          <w:trHeight w:val="270" w:hRule="atLeast"/>
          <w:jc w:val="center"/>
        </w:trPr>
        <w:tc>
          <w:tcPr>
            <w:tcW w:w="2586"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000000"/>
                <w:sz w:val="22"/>
              </w:rPr>
            </w:pPr>
            <w:r>
              <w:rPr>
                <w:rFonts w:hint="eastAsia" w:asciiTheme="minorEastAsia" w:hAnsiTheme="minorEastAsia" w:eastAsiaTheme="minorEastAsia"/>
                <w:color w:val="000000"/>
                <w:sz w:val="22"/>
              </w:rPr>
              <w:t>薪酬委员会</w:t>
            </w:r>
          </w:p>
        </w:tc>
        <w:tc>
          <w:tcPr>
            <w:tcW w:w="6465"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2"/>
              </w:rPr>
            </w:pPr>
            <w:r>
              <w:rPr>
                <w:rFonts w:hint="eastAsia" w:asciiTheme="minorEastAsia" w:hAnsiTheme="minorEastAsia" w:eastAsiaTheme="minorEastAsia"/>
                <w:sz w:val="22"/>
              </w:rPr>
              <w:t>朱利民、胡家栋、朱睿</w:t>
            </w:r>
          </w:p>
        </w:tc>
      </w:tr>
      <w:tr>
        <w:tblPrEx>
          <w:tblCellMar>
            <w:top w:w="0" w:type="dxa"/>
            <w:left w:w="108" w:type="dxa"/>
            <w:bottom w:w="0" w:type="dxa"/>
            <w:right w:w="108" w:type="dxa"/>
          </w:tblCellMar>
        </w:tblPrEx>
        <w:trPr>
          <w:trHeight w:val="270" w:hRule="atLeast"/>
          <w:jc w:val="center"/>
        </w:trPr>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color w:val="000000"/>
                <w:sz w:val="22"/>
              </w:rPr>
            </w:pPr>
            <w:r>
              <w:rPr>
                <w:rFonts w:hint="eastAsia" w:asciiTheme="minorEastAsia" w:hAnsiTheme="minorEastAsia" w:eastAsiaTheme="minorEastAsia"/>
                <w:color w:val="000000"/>
                <w:sz w:val="22"/>
              </w:rPr>
              <w:t>战略与发展委员会</w:t>
            </w:r>
          </w:p>
        </w:tc>
        <w:tc>
          <w:tcPr>
            <w:tcW w:w="646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2"/>
              </w:rPr>
            </w:pPr>
            <w:r>
              <w:rPr>
                <w:rFonts w:hint="eastAsia" w:asciiTheme="minorEastAsia" w:hAnsiTheme="minorEastAsia" w:eastAsiaTheme="minorEastAsia"/>
                <w:sz w:val="22"/>
              </w:rPr>
              <w:t>李伟、肖耀猛、刘健、彭苏萍、朱利民</w:t>
            </w:r>
          </w:p>
        </w:tc>
      </w:tr>
      <w:tr>
        <w:tblPrEx>
          <w:tblCellMar>
            <w:top w:w="0" w:type="dxa"/>
            <w:left w:w="108" w:type="dxa"/>
            <w:bottom w:w="0" w:type="dxa"/>
            <w:right w:w="108" w:type="dxa"/>
          </w:tblCellMar>
        </w:tblPrEx>
        <w:trPr>
          <w:trHeight w:val="270" w:hRule="atLeast"/>
          <w:jc w:val="center"/>
        </w:trPr>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2"/>
              </w:rPr>
            </w:pPr>
            <w:r>
              <w:rPr>
                <w:rFonts w:hint="eastAsia" w:asciiTheme="minorEastAsia" w:hAnsiTheme="minorEastAsia" w:eastAsiaTheme="minorEastAsia"/>
                <w:color w:val="000000"/>
                <w:sz w:val="22"/>
              </w:rPr>
              <w:t>可持续发展委员会</w:t>
            </w:r>
          </w:p>
        </w:tc>
        <w:tc>
          <w:tcPr>
            <w:tcW w:w="646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2"/>
              </w:rPr>
            </w:pPr>
            <w:r>
              <w:rPr>
                <w:rFonts w:hint="eastAsia" w:asciiTheme="minorEastAsia" w:hAnsiTheme="minorEastAsia" w:eastAsiaTheme="minorEastAsia"/>
                <w:sz w:val="22"/>
              </w:rPr>
              <w:t>朱睿、肖耀猛、朱利民</w:t>
            </w:r>
          </w:p>
        </w:tc>
      </w:tr>
    </w:tbl>
    <w:p>
      <w:pPr>
        <w:rPr>
          <w:rFonts w:asciiTheme="minorEastAsia" w:hAnsiTheme="minorEastAsia" w:eastAsiaTheme="minorEastAsia"/>
        </w:rPr>
      </w:pPr>
    </w:p>
    <w:p>
      <w:pPr>
        <w:pStyle w:val="4"/>
        <w:numPr>
          <w:ilvl w:val="0"/>
          <w:numId w:val="21"/>
        </w:numPr>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报告期内董事会</w:t>
      </w:r>
      <w:sdt>
        <w:sdtPr>
          <w:rPr>
            <w:rFonts w:hint="eastAsia" w:cs="宋体" w:asciiTheme="minorEastAsia" w:hAnsiTheme="minorEastAsia" w:eastAsiaTheme="minorEastAsia"/>
            <w:kern w:val="0"/>
            <w:szCs w:val="24"/>
          </w:rPr>
          <w:alias w:val="召开会议的专门委员会类别"/>
          <w:tag w:val="_GBC_adf76ecbe3584f07b573642215a867bd"/>
          <w:id w:val="1364250177"/>
          <w:placeholder>
            <w:docPart w:val="GBC22222222222222222222222222222"/>
          </w:placeholder>
        </w:sdtPr>
        <w:sdtEndPr>
          <w:rPr>
            <w:rFonts w:hint="eastAsia" w:cs="宋体" w:asciiTheme="minorEastAsia" w:hAnsiTheme="minorEastAsia" w:eastAsiaTheme="minorEastAsia"/>
            <w:kern w:val="0"/>
            <w:szCs w:val="24"/>
          </w:rPr>
        </w:sdtEndPr>
        <w:sdtContent>
          <w:r>
            <w:rPr>
              <w:rFonts w:hint="eastAsia" w:cs="宋体" w:asciiTheme="minorEastAsia" w:hAnsiTheme="minorEastAsia" w:eastAsiaTheme="minorEastAsia"/>
              <w:kern w:val="0"/>
              <w:szCs w:val="24"/>
            </w:rPr>
            <w:t>审计</w:t>
          </w:r>
        </w:sdtContent>
      </w:sdt>
      <w:r>
        <w:rPr>
          <w:rFonts w:hint="eastAsia" w:cs="宋体" w:asciiTheme="minorEastAsia" w:hAnsiTheme="minorEastAsia" w:eastAsiaTheme="minorEastAsia"/>
          <w:kern w:val="0"/>
          <w:szCs w:val="24"/>
        </w:rPr>
        <w:t>委员会召开</w:t>
      </w:r>
      <w:sdt>
        <w:sdtPr>
          <w:rPr>
            <w:rFonts w:hint="eastAsia" w:cs="宋体" w:asciiTheme="minorEastAsia" w:hAnsiTheme="minorEastAsia" w:eastAsiaTheme="minorEastAsia"/>
            <w:kern w:val="0"/>
            <w:szCs w:val="24"/>
          </w:rPr>
          <w:alias w:val="报告期内召开专门委员会会议次数"/>
          <w:tag w:val="_GBC_7bf2cd7c3a6a4685ac9c89ee396352a0"/>
          <w:id w:val="-295602183"/>
          <w:placeholder>
            <w:docPart w:val="GBC22222222222222222222222222222"/>
          </w:placeholder>
        </w:sdtPr>
        <w:sdtEndPr>
          <w:rPr>
            <w:rFonts w:hint="eastAsia" w:cs="宋体" w:asciiTheme="minorEastAsia" w:hAnsiTheme="minorEastAsia" w:eastAsiaTheme="minorEastAsia"/>
            <w:kern w:val="0"/>
            <w:szCs w:val="24"/>
          </w:rPr>
        </w:sdtEndPr>
        <w:sdtContent>
          <w:r>
            <w:rPr>
              <w:rFonts w:cs="宋体" w:asciiTheme="minorEastAsia" w:hAnsiTheme="minorEastAsia" w:eastAsiaTheme="minorEastAsia"/>
              <w:kern w:val="0"/>
              <w:szCs w:val="24"/>
            </w:rPr>
            <w:t>7</w:t>
          </w:r>
        </w:sdtContent>
      </w:sdt>
      <w:r>
        <w:rPr>
          <w:rFonts w:hint="eastAsia" w:cs="宋体" w:asciiTheme="minorEastAsia" w:hAnsiTheme="minorEastAsia" w:eastAsiaTheme="minorEastAsia"/>
          <w:kern w:val="0"/>
          <w:szCs w:val="24"/>
        </w:rPr>
        <w:t>次会议</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公司董事会审计委员会委员为独立董事胡家栋、朱利民各位先生及朱睿女士。胡家栋先生担任审计委员会主任。</w:t>
      </w:r>
    </w:p>
    <w:p>
      <w:pPr>
        <w:ind w:firstLine="420" w:firstLineChars="200"/>
        <w:rPr>
          <w:rFonts w:asciiTheme="minorEastAsia" w:hAnsiTheme="minorEastAsia" w:eastAsiaTheme="minorEastAsia"/>
        </w:rPr>
      </w:pPr>
      <w:r>
        <w:rPr>
          <w:rFonts w:hint="eastAsia" w:asciiTheme="minorEastAsia" w:hAnsiTheme="minorEastAsia" w:eastAsiaTheme="minorEastAsia"/>
        </w:rPr>
        <w:t>董事会审计委员会主要职责为：</w:t>
      </w:r>
      <w:r>
        <w:rPr>
          <w:rFonts w:asciiTheme="minorEastAsia" w:hAnsiTheme="minorEastAsia" w:eastAsiaTheme="minorEastAsia"/>
        </w:rPr>
        <w:t>a.审核外部审计机构的工作，提议聘任、续聘或解聘外部审计机构；b.监督公司的内部审计制度及其实施；c.负责内部审计与外部审计之间的沟通；d.</w:t>
      </w:r>
      <w:r>
        <w:rPr>
          <w:rFonts w:hint="eastAsia" w:asciiTheme="minorEastAsia" w:hAnsiTheme="minorEastAsia" w:eastAsiaTheme="minorEastAsia"/>
        </w:rPr>
        <w:t xml:space="preserve"> 审核公司财务信息及披露</w:t>
      </w:r>
      <w:r>
        <w:rPr>
          <w:rFonts w:asciiTheme="minorEastAsia" w:hAnsiTheme="minorEastAsia" w:eastAsiaTheme="minorEastAsia"/>
        </w:rPr>
        <w:t>；e.审查公司的内部监控制度及风险管理系统</w:t>
      </w:r>
      <w:r>
        <w:rPr>
          <w:rFonts w:hint="eastAsia" w:asciiTheme="minorEastAsia" w:hAnsiTheme="minorEastAsia" w:eastAsiaTheme="minorEastAsia"/>
        </w:rPr>
        <w:t>；f</w:t>
      </w:r>
      <w:r>
        <w:rPr>
          <w:rFonts w:asciiTheme="minorEastAsia" w:hAnsiTheme="minorEastAsia" w:eastAsiaTheme="minorEastAsia"/>
        </w:rPr>
        <w:t>.</w:t>
      </w:r>
      <w:r>
        <w:rPr>
          <w:rFonts w:hint="eastAsia" w:asciiTheme="minorEastAsia" w:hAnsiTheme="minorEastAsia" w:eastAsiaTheme="minorEastAsia"/>
        </w:rPr>
        <w:t>研究讨论聘任或者解聘财务负责人。</w:t>
      </w:r>
    </w:p>
    <w:p>
      <w:pPr>
        <w:ind w:firstLine="420" w:firstLineChars="200"/>
        <w:rPr>
          <w:rFonts w:asciiTheme="minorEastAsia" w:hAnsiTheme="minorEastAsia" w:eastAsiaTheme="minorEastAsia"/>
        </w:rPr>
      </w:pPr>
      <w:r>
        <w:rPr>
          <w:rFonts w:hint="eastAsia" w:asciiTheme="minorEastAsia" w:hAnsiTheme="minorEastAsia" w:eastAsiaTheme="minorEastAsia"/>
        </w:rPr>
        <w:t>截至本报告披露日，董事会审计委员会认真履行《兖矿能源集团股份有限公司董事会审计委员会工作细则》规定的工作职责，严格、规范开展各项工作。审计委员会已经审阅了本公司</w:t>
      </w:r>
      <w:r>
        <w:rPr>
          <w:rFonts w:asciiTheme="minorEastAsia" w:hAnsiTheme="minorEastAsia" w:eastAsiaTheme="minorEastAsia"/>
        </w:rPr>
        <w:t>2023年中期业绩、2023年年度业绩，并对本集团2023年度风险管理及内部监控系统的成效进行了检讨，有关检讨涵盖了财务监控、运作监控、合规监控等所有重要的监控方面，认为本集团的风险管理及内部监控系统</w:t>
      </w:r>
      <w:r>
        <w:rPr>
          <w:rFonts w:hint="eastAsia" w:asciiTheme="minorEastAsia" w:hAnsiTheme="minorEastAsia" w:eastAsiaTheme="minorEastAsia"/>
        </w:rPr>
        <w:t>充分有效</w:t>
      </w:r>
      <w:r>
        <w:rPr>
          <w:rFonts w:asciiTheme="minorEastAsia" w:hAnsiTheme="minorEastAsia" w:eastAsiaTheme="minorEastAsia"/>
        </w:rPr>
        <w:t>。报告期内审计委员会召开7次会议，具体情况如下：</w:t>
      </w:r>
    </w:p>
    <w:p>
      <w:pPr>
        <w:ind w:firstLine="420" w:firstLineChars="200"/>
        <w:rPr>
          <w:rFonts w:asciiTheme="minorEastAsia" w:hAnsiTheme="minorEastAsia" w:eastAsiaTheme="minorEastAsia"/>
        </w:rPr>
      </w:pPr>
    </w:p>
    <w:tbl>
      <w:tblPr>
        <w:tblStyle w:val="20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452"/>
        <w:gridCol w:w="2325"/>
        <w:gridCol w:w="1600"/>
        <w:gridCol w:w="1311"/>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heme="minorEastAsia" w:hAnsiTheme="minorEastAsia" w:eastAsiaTheme="minorEastAsia"/>
            </w:rPr>
            <w:tag w:val="_PLD_81aefc289fbf48b1865138608d8bd14f"/>
            <w:id w:val="-1021545502"/>
          </w:sdtPr>
          <w:sdtEndPr>
            <w:rPr>
              <w:rFonts w:hint="eastAsia" w:asciiTheme="minorEastAsia" w:hAnsiTheme="minorEastAsia" w:eastAsiaTheme="minorEastAsia"/>
            </w:rPr>
          </w:sdtEndPr>
          <w:sdtContent>
            <w:tc>
              <w:tcPr>
                <w:tcW w:w="642"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召开日期</w:t>
                </w:r>
              </w:p>
            </w:tc>
          </w:sdtContent>
        </w:sdt>
        <w:sdt>
          <w:sdtPr>
            <w:rPr>
              <w:rFonts w:hint="eastAsia" w:asciiTheme="minorEastAsia" w:hAnsiTheme="minorEastAsia" w:eastAsiaTheme="minorEastAsia"/>
            </w:rPr>
            <w:tag w:val="_PLD_9d24b601ec70414eb969daf6b393edc8"/>
            <w:id w:val="153814958"/>
          </w:sdtPr>
          <w:sdtEndPr>
            <w:rPr>
              <w:rFonts w:hint="eastAsia" w:asciiTheme="minorEastAsia" w:hAnsiTheme="minorEastAsia" w:eastAsiaTheme="minorEastAsia"/>
            </w:rPr>
          </w:sdtEndPr>
          <w:sdtContent>
            <w:tc>
              <w:tcPr>
                <w:tcW w:w="803"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会议内容</w:t>
                </w:r>
              </w:p>
            </w:tc>
          </w:sdtContent>
        </w:sdt>
        <w:sdt>
          <w:sdtPr>
            <w:rPr>
              <w:rFonts w:hint="eastAsia" w:asciiTheme="minorEastAsia" w:hAnsiTheme="minorEastAsia" w:eastAsiaTheme="minorEastAsia"/>
            </w:rPr>
            <w:tag w:val="_PLD_6ea19dadc3684e98a6d98faaf035a9d9"/>
            <w:id w:val="-265772256"/>
          </w:sdtPr>
          <w:sdtEndPr>
            <w:rPr>
              <w:rFonts w:hint="eastAsia" w:asciiTheme="minorEastAsia" w:hAnsiTheme="minorEastAsia" w:eastAsiaTheme="minorEastAsia"/>
            </w:rPr>
          </w:sdtEndPr>
          <w:sdtContent>
            <w:tc>
              <w:tcPr>
                <w:tcW w:w="1286"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重要意见和建议</w:t>
                </w:r>
              </w:p>
            </w:tc>
          </w:sdtContent>
        </w:sdt>
        <w:tc>
          <w:tcPr>
            <w:tcW w:w="88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委员</w:t>
            </w:r>
          </w:p>
        </w:tc>
        <w:tc>
          <w:tcPr>
            <w:tcW w:w="72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出席会议</w:t>
            </w:r>
          </w:p>
        </w:tc>
        <w:sdt>
          <w:sdtPr>
            <w:rPr>
              <w:rFonts w:hint="eastAsia" w:asciiTheme="minorEastAsia" w:hAnsiTheme="minorEastAsia" w:eastAsiaTheme="minorEastAsia"/>
            </w:rPr>
            <w:tag w:val="_PLD_ef03d3ffb00740008011022cb6a96805"/>
            <w:id w:val="1929543379"/>
          </w:sdtPr>
          <w:sdtEndPr>
            <w:rPr>
              <w:rFonts w:hint="eastAsia" w:asciiTheme="minorEastAsia" w:hAnsiTheme="minorEastAsia" w:eastAsiaTheme="minorEastAsia"/>
            </w:rPr>
          </w:sdtEndPr>
          <w:sdtContent>
            <w:tc>
              <w:tcPr>
                <w:tcW w:w="65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其他履行职责情况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shd w:val="clear" w:color="auto" w:fill="auto"/>
            <w:vAlign w:val="center"/>
          </w:tcPr>
          <w:p>
            <w:pPr>
              <w:rPr>
                <w:rFonts w:asciiTheme="minorEastAsia" w:hAnsiTheme="minorEastAsia" w:eastAsiaTheme="minorEastAsia"/>
              </w:rPr>
            </w:pPr>
            <w:r>
              <w:rPr>
                <w:rFonts w:hint="eastAsia" w:cs="Calibri" w:asciiTheme="minorEastAsia" w:hAnsiTheme="minorEastAsia" w:eastAsiaTheme="minorEastAsia"/>
              </w:rPr>
              <w:t>2</w:t>
            </w:r>
            <w:r>
              <w:rPr>
                <w:rFonts w:asciiTheme="minorEastAsia" w:hAnsiTheme="minorEastAsia" w:eastAsiaTheme="minorEastAsia"/>
              </w:rPr>
              <w:t>023</w:t>
            </w:r>
            <w:r>
              <w:rPr>
                <w:rFonts w:hint="eastAsia" w:asciiTheme="minorEastAsia" w:hAnsiTheme="minorEastAsia" w:eastAsiaTheme="minorEastAsia"/>
              </w:rPr>
              <w:t>年</w:t>
            </w:r>
            <w:r>
              <w:rPr>
                <w:rFonts w:hint="eastAsia" w:cs="Calibri" w:asciiTheme="minorEastAsia" w:hAnsiTheme="minorEastAsia" w:eastAsiaTheme="minorEastAsia"/>
              </w:rPr>
              <w:t>2</w:t>
            </w:r>
            <w:r>
              <w:rPr>
                <w:rFonts w:hint="eastAsia" w:asciiTheme="minorEastAsia" w:hAnsiTheme="minorEastAsia" w:eastAsiaTheme="minorEastAsia"/>
              </w:rPr>
              <w:t>月</w:t>
            </w:r>
            <w:r>
              <w:rPr>
                <w:rFonts w:hint="eastAsia" w:cs="Calibri" w:asciiTheme="minorEastAsia" w:hAnsiTheme="minorEastAsia" w:eastAsiaTheme="minorEastAsia"/>
              </w:rPr>
              <w:t>7</w:t>
            </w:r>
            <w:r>
              <w:rPr>
                <w:rFonts w:hint="eastAsia" w:asciiTheme="minorEastAsia" w:hAnsiTheme="minorEastAsia" w:eastAsiaTheme="minorEastAsia"/>
              </w:rPr>
              <w:t>日</w:t>
            </w:r>
          </w:p>
        </w:tc>
        <w:tc>
          <w:tcPr>
            <w:tcW w:w="803"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听取年审会计师关于公司2022年年报预审事项的汇报。</w:t>
            </w:r>
          </w:p>
        </w:tc>
        <w:tc>
          <w:tcPr>
            <w:tcW w:w="1286"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审计委员会督促年审会计师按时间计划出具审计报告，确保公司2022年年报的及时、准确与完整。</w:t>
            </w:r>
          </w:p>
        </w:tc>
        <w:tc>
          <w:tcPr>
            <w:tcW w:w="88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 xml:space="preserve">蔡 </w:t>
            </w:r>
            <w:r>
              <w:rPr>
                <w:rFonts w:asciiTheme="minorEastAsia" w:hAnsiTheme="minorEastAsia" w:eastAsiaTheme="minorEastAsia"/>
              </w:rPr>
              <w:t xml:space="preserve"> </w:t>
            </w:r>
            <w:r>
              <w:rPr>
                <w:rFonts w:hint="eastAsia" w:asciiTheme="minorEastAsia" w:hAnsiTheme="minorEastAsia" w:eastAsiaTheme="minorEastAsia"/>
              </w:rPr>
              <w:t>昌</w:t>
            </w:r>
          </w:p>
          <w:p>
            <w:pPr>
              <w:jc w:val="center"/>
              <w:rPr>
                <w:rFonts w:asciiTheme="minorEastAsia" w:hAnsiTheme="minorEastAsia" w:eastAsiaTheme="minorEastAsia"/>
              </w:rPr>
            </w:pPr>
            <w:r>
              <w:rPr>
                <w:rFonts w:hint="eastAsia" w:asciiTheme="minorEastAsia" w:hAnsiTheme="minorEastAsia" w:eastAsiaTheme="minorEastAsia"/>
              </w:rPr>
              <w:t xml:space="preserve">田 </w:t>
            </w:r>
            <w:r>
              <w:rPr>
                <w:rFonts w:asciiTheme="minorEastAsia" w:hAnsiTheme="minorEastAsia" w:eastAsiaTheme="minorEastAsia"/>
              </w:rPr>
              <w:t xml:space="preserve"> </w:t>
            </w:r>
            <w:r>
              <w:rPr>
                <w:rFonts w:hint="eastAsia" w:asciiTheme="minorEastAsia" w:hAnsiTheme="minorEastAsia" w:eastAsiaTheme="minorEastAsia"/>
              </w:rPr>
              <w:t>会</w:t>
            </w:r>
          </w:p>
          <w:p>
            <w:pPr>
              <w:jc w:val="center"/>
              <w:rPr>
                <w:rFonts w:asciiTheme="minorEastAsia" w:hAnsiTheme="minorEastAsia" w:eastAsiaTheme="minorEastAsia"/>
              </w:rPr>
            </w:pPr>
            <w:r>
              <w:rPr>
                <w:rFonts w:hint="eastAsia" w:asciiTheme="minorEastAsia" w:hAnsiTheme="minorEastAsia" w:eastAsiaTheme="minorEastAsia"/>
              </w:rPr>
              <w:t>朱利民</w:t>
            </w:r>
          </w:p>
          <w:p>
            <w:pPr>
              <w:jc w:val="center"/>
              <w:rPr>
                <w:rFonts w:asciiTheme="minorEastAsia" w:hAnsiTheme="minorEastAsia" w:eastAsiaTheme="minorEastAsia"/>
              </w:rPr>
            </w:pPr>
            <w:r>
              <w:rPr>
                <w:rFonts w:hint="eastAsia" w:asciiTheme="minorEastAsia" w:hAnsiTheme="minorEastAsia" w:eastAsiaTheme="minorEastAsia"/>
              </w:rPr>
              <w:t>潘昭国</w:t>
            </w:r>
          </w:p>
        </w:tc>
        <w:tc>
          <w:tcPr>
            <w:tcW w:w="72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tc>
        <w:tc>
          <w:tcPr>
            <w:tcW w:w="65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2" w:type="pct"/>
            <w:shd w:val="clear" w:color="auto" w:fill="auto"/>
            <w:vAlign w:val="center"/>
          </w:tcPr>
          <w:p>
            <w:pPr>
              <w:rPr>
                <w:rFonts w:asciiTheme="minorEastAsia" w:hAnsiTheme="minorEastAsia" w:eastAsiaTheme="minorEastAsia"/>
              </w:rPr>
            </w:pPr>
            <w:r>
              <w:rPr>
                <w:rFonts w:hint="eastAsia" w:cs="Calibri"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w:t>
            </w:r>
            <w:r>
              <w:rPr>
                <w:rFonts w:hint="eastAsia" w:cs="Calibri" w:asciiTheme="minorEastAsia" w:hAnsiTheme="minorEastAsia" w:eastAsiaTheme="minorEastAsia"/>
              </w:rPr>
              <w:t>3</w:t>
            </w:r>
            <w:r>
              <w:rPr>
                <w:rFonts w:hint="eastAsia" w:asciiTheme="minorEastAsia" w:hAnsiTheme="minorEastAsia" w:eastAsiaTheme="minorEastAsia"/>
              </w:rPr>
              <w:t>月2</w:t>
            </w:r>
            <w:r>
              <w:rPr>
                <w:rFonts w:asciiTheme="minorEastAsia" w:hAnsiTheme="minorEastAsia" w:eastAsiaTheme="minorEastAsia"/>
              </w:rPr>
              <w:t>1</w:t>
            </w:r>
            <w:r>
              <w:rPr>
                <w:rFonts w:hint="eastAsia" w:asciiTheme="minorEastAsia" w:hAnsiTheme="minorEastAsia" w:eastAsiaTheme="minorEastAsia"/>
              </w:rPr>
              <w:t>日</w:t>
            </w:r>
          </w:p>
          <w:p>
            <w:pPr>
              <w:rPr>
                <w:rFonts w:asciiTheme="minorEastAsia" w:hAnsiTheme="minorEastAsia" w:eastAsiaTheme="minorEastAsia"/>
              </w:rPr>
            </w:pPr>
          </w:p>
        </w:tc>
        <w:tc>
          <w:tcPr>
            <w:tcW w:w="803"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听取年审会计师关于公司2022年年报审计事项的汇报；审议公司</w:t>
            </w:r>
            <w:r>
              <w:rPr>
                <w:rFonts w:cs="Calibri" w:asciiTheme="minorEastAsia" w:hAnsiTheme="minorEastAsia" w:eastAsiaTheme="minorEastAsia"/>
              </w:rPr>
              <w:t>2022</w:t>
            </w:r>
            <w:r>
              <w:rPr>
                <w:rFonts w:asciiTheme="minorEastAsia" w:hAnsiTheme="minorEastAsia" w:eastAsiaTheme="minorEastAsia"/>
              </w:rPr>
              <w:t>年度财务会计报表。</w:t>
            </w:r>
          </w:p>
        </w:tc>
        <w:tc>
          <w:tcPr>
            <w:tcW w:w="1286"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审计委员会审阅公司2022年度财务会计报表，认为财务报表能真实、完整的反映公司的资产状况和经营成果，同意提交董事会审核。</w:t>
            </w:r>
          </w:p>
        </w:tc>
        <w:tc>
          <w:tcPr>
            <w:tcW w:w="88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 xml:space="preserve">蔡 </w:t>
            </w:r>
            <w:r>
              <w:rPr>
                <w:rFonts w:asciiTheme="minorEastAsia" w:hAnsiTheme="minorEastAsia" w:eastAsiaTheme="minorEastAsia"/>
              </w:rPr>
              <w:t xml:space="preserve"> </w:t>
            </w:r>
            <w:r>
              <w:rPr>
                <w:rFonts w:hint="eastAsia" w:asciiTheme="minorEastAsia" w:hAnsiTheme="minorEastAsia" w:eastAsiaTheme="minorEastAsia"/>
              </w:rPr>
              <w:t>昌</w:t>
            </w:r>
          </w:p>
          <w:p>
            <w:pPr>
              <w:jc w:val="center"/>
              <w:rPr>
                <w:rFonts w:asciiTheme="minorEastAsia" w:hAnsiTheme="minorEastAsia" w:eastAsiaTheme="minorEastAsia"/>
              </w:rPr>
            </w:pPr>
            <w:r>
              <w:rPr>
                <w:rFonts w:hint="eastAsia" w:asciiTheme="minorEastAsia" w:hAnsiTheme="minorEastAsia" w:eastAsiaTheme="minorEastAsia"/>
              </w:rPr>
              <w:t xml:space="preserve">田 </w:t>
            </w:r>
            <w:r>
              <w:rPr>
                <w:rFonts w:asciiTheme="minorEastAsia" w:hAnsiTheme="minorEastAsia" w:eastAsiaTheme="minorEastAsia"/>
              </w:rPr>
              <w:t xml:space="preserve"> </w:t>
            </w:r>
            <w:r>
              <w:rPr>
                <w:rFonts w:hint="eastAsia" w:asciiTheme="minorEastAsia" w:hAnsiTheme="minorEastAsia" w:eastAsiaTheme="minorEastAsia"/>
              </w:rPr>
              <w:t>会</w:t>
            </w:r>
          </w:p>
          <w:p>
            <w:pPr>
              <w:jc w:val="center"/>
              <w:rPr>
                <w:rFonts w:asciiTheme="minorEastAsia" w:hAnsiTheme="minorEastAsia" w:eastAsiaTheme="minorEastAsia"/>
              </w:rPr>
            </w:pPr>
            <w:r>
              <w:rPr>
                <w:rFonts w:hint="eastAsia" w:asciiTheme="minorEastAsia" w:hAnsiTheme="minorEastAsia" w:eastAsiaTheme="minorEastAsia"/>
              </w:rPr>
              <w:t>朱利民</w:t>
            </w:r>
          </w:p>
          <w:p>
            <w:pPr>
              <w:jc w:val="center"/>
              <w:rPr>
                <w:rFonts w:asciiTheme="minorEastAsia" w:hAnsiTheme="minorEastAsia" w:eastAsiaTheme="minorEastAsia"/>
              </w:rPr>
            </w:pPr>
            <w:r>
              <w:rPr>
                <w:rFonts w:hint="eastAsia" w:asciiTheme="minorEastAsia" w:hAnsiTheme="minorEastAsia" w:eastAsiaTheme="minorEastAsia"/>
              </w:rPr>
              <w:t>潘昭国</w:t>
            </w:r>
          </w:p>
        </w:tc>
        <w:tc>
          <w:tcPr>
            <w:tcW w:w="72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tc>
        <w:tc>
          <w:tcPr>
            <w:tcW w:w="65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2" w:type="pct"/>
            <w:shd w:val="clear" w:color="auto" w:fill="auto"/>
            <w:vAlign w:val="center"/>
          </w:tcPr>
          <w:p>
            <w:pPr>
              <w:rPr>
                <w:rFonts w:asciiTheme="minorEastAsia" w:hAnsiTheme="minorEastAsia" w:eastAsiaTheme="minorEastAsia"/>
              </w:rPr>
            </w:pPr>
            <w:r>
              <w:rPr>
                <w:rFonts w:hint="eastAsia" w:cs="Calibri"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w:t>
            </w:r>
            <w:r>
              <w:rPr>
                <w:rFonts w:hint="eastAsia" w:cs="Calibri" w:asciiTheme="minorEastAsia" w:hAnsiTheme="minorEastAsia" w:eastAsiaTheme="minorEastAsia"/>
              </w:rPr>
              <w:t>3</w:t>
            </w:r>
            <w:r>
              <w:rPr>
                <w:rFonts w:hint="eastAsia" w:asciiTheme="minorEastAsia" w:hAnsiTheme="minorEastAsia" w:eastAsiaTheme="minorEastAsia"/>
              </w:rPr>
              <w:t>月2</w:t>
            </w:r>
            <w:r>
              <w:rPr>
                <w:rFonts w:asciiTheme="minorEastAsia" w:hAnsiTheme="minorEastAsia" w:eastAsiaTheme="minorEastAsia"/>
              </w:rPr>
              <w:t>1</w:t>
            </w:r>
            <w:r>
              <w:rPr>
                <w:rFonts w:hint="eastAsia" w:asciiTheme="minorEastAsia" w:hAnsiTheme="minorEastAsia" w:eastAsiaTheme="minorEastAsia"/>
              </w:rPr>
              <w:t>日</w:t>
            </w:r>
          </w:p>
          <w:p>
            <w:pPr>
              <w:rPr>
                <w:rFonts w:asciiTheme="minorEastAsia" w:hAnsiTheme="minorEastAsia" w:eastAsiaTheme="minorEastAsia"/>
              </w:rPr>
            </w:pPr>
          </w:p>
        </w:tc>
        <w:tc>
          <w:tcPr>
            <w:tcW w:w="803"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听取了公司管理层关于内控工作开展情况的汇报，审批审计委员会2022年度履职情况报告</w:t>
            </w:r>
            <w:r>
              <w:rPr>
                <w:rFonts w:hint="eastAsia" w:asciiTheme="minorEastAsia" w:hAnsiTheme="minorEastAsia" w:eastAsiaTheme="minorEastAsia"/>
              </w:rPr>
              <w:t>及兖矿集团财务有限公司综合授信审批及服务提供情况</w:t>
            </w:r>
            <w:r>
              <w:rPr>
                <w:rFonts w:asciiTheme="minorEastAsia" w:hAnsiTheme="minorEastAsia" w:eastAsiaTheme="minorEastAsia"/>
              </w:rPr>
              <w:t>。</w:t>
            </w:r>
          </w:p>
        </w:tc>
        <w:tc>
          <w:tcPr>
            <w:tcW w:w="1286"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审议通过《董事会审计委员会2022年度履职情况报告》《公司</w:t>
            </w:r>
            <w:r>
              <w:rPr>
                <w:rFonts w:cs="Calibri" w:asciiTheme="minorEastAsia" w:hAnsiTheme="minorEastAsia" w:eastAsiaTheme="minorEastAsia"/>
              </w:rPr>
              <w:t>2022</w:t>
            </w:r>
            <w:r>
              <w:rPr>
                <w:rFonts w:asciiTheme="minorEastAsia" w:hAnsiTheme="minorEastAsia" w:eastAsiaTheme="minorEastAsia"/>
              </w:rPr>
              <w:t>年度内控工作报告》</w:t>
            </w:r>
            <w:r>
              <w:rPr>
                <w:rFonts w:hint="eastAsia" w:asciiTheme="minorEastAsia" w:hAnsiTheme="minorEastAsia" w:eastAsiaTheme="minorEastAsia"/>
              </w:rPr>
              <w:t>《</w:t>
            </w:r>
            <w:r>
              <w:rPr>
                <w:rFonts w:hint="eastAsia" w:cs="Calibri" w:asciiTheme="minorEastAsia" w:hAnsiTheme="minorEastAsia" w:eastAsiaTheme="minorEastAsia"/>
              </w:rPr>
              <w:t>202</w:t>
            </w:r>
            <w:r>
              <w:rPr>
                <w:rFonts w:asciiTheme="minorEastAsia" w:hAnsiTheme="minorEastAsia" w:eastAsiaTheme="minorEastAsia"/>
              </w:rPr>
              <w:t>2</w:t>
            </w:r>
            <w:r>
              <w:rPr>
                <w:rFonts w:hint="eastAsia" w:asciiTheme="minorEastAsia" w:hAnsiTheme="minorEastAsia" w:eastAsiaTheme="minorEastAsia"/>
              </w:rPr>
              <w:t>年度内部控制评价报告》《</w:t>
            </w:r>
            <w:r>
              <w:rPr>
                <w:rFonts w:hint="eastAsia" w:cs="Calibri" w:asciiTheme="minorEastAsia" w:hAnsiTheme="minorEastAsia" w:eastAsiaTheme="minorEastAsia"/>
              </w:rPr>
              <w:t>2</w:t>
            </w:r>
            <w:r>
              <w:rPr>
                <w:rFonts w:asciiTheme="minorEastAsia" w:hAnsiTheme="minorEastAsia" w:eastAsiaTheme="minorEastAsia"/>
              </w:rPr>
              <w:t>022</w:t>
            </w:r>
            <w:r>
              <w:rPr>
                <w:rFonts w:hint="eastAsia" w:asciiTheme="minorEastAsia" w:hAnsiTheme="minorEastAsia" w:eastAsiaTheme="minorEastAsia"/>
              </w:rPr>
              <w:t>年兖矿集团财务有限公司与山东能源集团有限公司综合授信审批及服务提供情况》。</w:t>
            </w:r>
          </w:p>
        </w:tc>
        <w:tc>
          <w:tcPr>
            <w:tcW w:w="88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 xml:space="preserve">蔡 </w:t>
            </w:r>
            <w:r>
              <w:rPr>
                <w:rFonts w:asciiTheme="minorEastAsia" w:hAnsiTheme="minorEastAsia" w:eastAsiaTheme="minorEastAsia"/>
              </w:rPr>
              <w:t xml:space="preserve"> </w:t>
            </w:r>
            <w:r>
              <w:rPr>
                <w:rFonts w:hint="eastAsia" w:asciiTheme="minorEastAsia" w:hAnsiTheme="minorEastAsia" w:eastAsiaTheme="minorEastAsia"/>
              </w:rPr>
              <w:t>昌</w:t>
            </w:r>
          </w:p>
          <w:p>
            <w:pPr>
              <w:jc w:val="center"/>
              <w:rPr>
                <w:rFonts w:asciiTheme="minorEastAsia" w:hAnsiTheme="minorEastAsia" w:eastAsiaTheme="minorEastAsia"/>
              </w:rPr>
            </w:pPr>
            <w:r>
              <w:rPr>
                <w:rFonts w:hint="eastAsia" w:asciiTheme="minorEastAsia" w:hAnsiTheme="minorEastAsia" w:eastAsiaTheme="minorEastAsia"/>
              </w:rPr>
              <w:t xml:space="preserve">田 </w:t>
            </w:r>
            <w:r>
              <w:rPr>
                <w:rFonts w:asciiTheme="minorEastAsia" w:hAnsiTheme="minorEastAsia" w:eastAsiaTheme="minorEastAsia"/>
              </w:rPr>
              <w:t xml:space="preserve"> </w:t>
            </w:r>
            <w:r>
              <w:rPr>
                <w:rFonts w:hint="eastAsia" w:asciiTheme="minorEastAsia" w:hAnsiTheme="minorEastAsia" w:eastAsiaTheme="minorEastAsia"/>
              </w:rPr>
              <w:t>会</w:t>
            </w:r>
          </w:p>
          <w:p>
            <w:pPr>
              <w:jc w:val="center"/>
              <w:rPr>
                <w:rFonts w:asciiTheme="minorEastAsia" w:hAnsiTheme="minorEastAsia" w:eastAsiaTheme="minorEastAsia"/>
              </w:rPr>
            </w:pPr>
            <w:r>
              <w:rPr>
                <w:rFonts w:hint="eastAsia" w:asciiTheme="minorEastAsia" w:hAnsiTheme="minorEastAsia" w:eastAsiaTheme="minorEastAsia"/>
              </w:rPr>
              <w:t>朱利民</w:t>
            </w:r>
          </w:p>
          <w:p>
            <w:pPr>
              <w:jc w:val="center"/>
              <w:rPr>
                <w:rFonts w:asciiTheme="minorEastAsia" w:hAnsiTheme="minorEastAsia" w:eastAsiaTheme="minorEastAsia"/>
              </w:rPr>
            </w:pPr>
            <w:r>
              <w:rPr>
                <w:rFonts w:hint="eastAsia" w:asciiTheme="minorEastAsia" w:hAnsiTheme="minorEastAsia" w:eastAsiaTheme="minorEastAsia"/>
              </w:rPr>
              <w:t>潘昭国</w:t>
            </w:r>
          </w:p>
        </w:tc>
        <w:tc>
          <w:tcPr>
            <w:tcW w:w="72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tc>
        <w:tc>
          <w:tcPr>
            <w:tcW w:w="65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2" w:type="pct"/>
            <w:shd w:val="clear" w:color="auto" w:fill="auto"/>
            <w:vAlign w:val="center"/>
          </w:tcPr>
          <w:p>
            <w:pPr>
              <w:rPr>
                <w:rFonts w:asciiTheme="minorEastAsia" w:hAnsiTheme="minorEastAsia" w:eastAsiaTheme="minorEastAsia"/>
              </w:rPr>
            </w:pPr>
            <w:r>
              <w:rPr>
                <w:rFonts w:hint="eastAsia" w:cs="Calibri"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w:t>
            </w:r>
            <w:r>
              <w:rPr>
                <w:rFonts w:asciiTheme="minorEastAsia" w:hAnsiTheme="minorEastAsia" w:eastAsiaTheme="minorEastAsia"/>
              </w:rPr>
              <w:t>4</w:t>
            </w:r>
            <w:r>
              <w:rPr>
                <w:rFonts w:hint="eastAsia" w:asciiTheme="minorEastAsia" w:hAnsiTheme="minorEastAsia" w:eastAsiaTheme="minorEastAsia"/>
              </w:rPr>
              <w:t>月</w:t>
            </w:r>
            <w:r>
              <w:rPr>
                <w:rFonts w:asciiTheme="minorEastAsia" w:hAnsiTheme="minorEastAsia" w:eastAsiaTheme="minorEastAsia"/>
              </w:rPr>
              <w:t>21</w:t>
            </w:r>
            <w:r>
              <w:rPr>
                <w:rFonts w:hint="eastAsia" w:asciiTheme="minorEastAsia" w:hAnsiTheme="minorEastAsia" w:eastAsiaTheme="minorEastAsia"/>
              </w:rPr>
              <w:t>日</w:t>
            </w:r>
          </w:p>
        </w:tc>
        <w:tc>
          <w:tcPr>
            <w:tcW w:w="803"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听取了</w:t>
            </w:r>
            <w:r>
              <w:rPr>
                <w:rFonts w:asciiTheme="minorEastAsia" w:hAnsiTheme="minorEastAsia" w:eastAsiaTheme="minorEastAsia"/>
              </w:rPr>
              <w:t>2023年度续聘会计师意见。</w:t>
            </w:r>
          </w:p>
        </w:tc>
        <w:tc>
          <w:tcPr>
            <w:tcW w:w="1286" w:type="pct"/>
            <w:shd w:val="clear" w:color="auto" w:fill="auto"/>
            <w:vAlign w:val="center"/>
          </w:tcPr>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审议通过《董事会审计委员会关于续聘2023年度外部审计机构及其酬金安排的</w:t>
            </w:r>
            <w:r>
              <w:rPr>
                <w:rFonts w:hint="eastAsia" w:asciiTheme="minorEastAsia" w:hAnsiTheme="minorEastAsia" w:eastAsiaTheme="minorEastAsia"/>
              </w:rPr>
              <w:t>意见</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p>
        </w:tc>
        <w:tc>
          <w:tcPr>
            <w:tcW w:w="88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 xml:space="preserve">蔡 </w:t>
            </w:r>
            <w:r>
              <w:rPr>
                <w:rFonts w:asciiTheme="minorEastAsia" w:hAnsiTheme="minorEastAsia" w:eastAsiaTheme="minorEastAsia"/>
              </w:rPr>
              <w:t xml:space="preserve"> </w:t>
            </w:r>
            <w:r>
              <w:rPr>
                <w:rFonts w:hint="eastAsia" w:asciiTheme="minorEastAsia" w:hAnsiTheme="minorEastAsia" w:eastAsiaTheme="minorEastAsia"/>
              </w:rPr>
              <w:t>昌</w:t>
            </w:r>
          </w:p>
          <w:p>
            <w:pPr>
              <w:jc w:val="center"/>
              <w:rPr>
                <w:rFonts w:asciiTheme="minorEastAsia" w:hAnsiTheme="minorEastAsia" w:eastAsiaTheme="minorEastAsia"/>
              </w:rPr>
            </w:pPr>
            <w:r>
              <w:rPr>
                <w:rFonts w:hint="eastAsia" w:asciiTheme="minorEastAsia" w:hAnsiTheme="minorEastAsia" w:eastAsiaTheme="minorEastAsia"/>
              </w:rPr>
              <w:t xml:space="preserve">田 </w:t>
            </w:r>
            <w:r>
              <w:rPr>
                <w:rFonts w:asciiTheme="minorEastAsia" w:hAnsiTheme="minorEastAsia" w:eastAsiaTheme="minorEastAsia"/>
              </w:rPr>
              <w:t xml:space="preserve"> </w:t>
            </w:r>
            <w:r>
              <w:rPr>
                <w:rFonts w:hint="eastAsia" w:asciiTheme="minorEastAsia" w:hAnsiTheme="minorEastAsia" w:eastAsiaTheme="minorEastAsia"/>
              </w:rPr>
              <w:t>会</w:t>
            </w:r>
          </w:p>
          <w:p>
            <w:pPr>
              <w:jc w:val="center"/>
              <w:rPr>
                <w:rFonts w:asciiTheme="minorEastAsia" w:hAnsiTheme="minorEastAsia" w:eastAsiaTheme="minorEastAsia"/>
              </w:rPr>
            </w:pPr>
            <w:r>
              <w:rPr>
                <w:rFonts w:hint="eastAsia" w:asciiTheme="minorEastAsia" w:hAnsiTheme="minorEastAsia" w:eastAsiaTheme="minorEastAsia"/>
              </w:rPr>
              <w:t>朱利民</w:t>
            </w:r>
          </w:p>
          <w:p>
            <w:pPr>
              <w:jc w:val="center"/>
              <w:rPr>
                <w:rFonts w:asciiTheme="minorEastAsia" w:hAnsiTheme="minorEastAsia" w:eastAsiaTheme="minorEastAsia"/>
              </w:rPr>
            </w:pPr>
            <w:r>
              <w:rPr>
                <w:rFonts w:hint="eastAsia" w:asciiTheme="minorEastAsia" w:hAnsiTheme="minorEastAsia" w:eastAsiaTheme="minorEastAsia"/>
              </w:rPr>
              <w:t>潘昭国</w:t>
            </w:r>
          </w:p>
        </w:tc>
        <w:tc>
          <w:tcPr>
            <w:tcW w:w="72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tc>
        <w:tc>
          <w:tcPr>
            <w:tcW w:w="65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2" w:type="pct"/>
            <w:shd w:val="clear" w:color="auto" w:fill="auto"/>
            <w:vAlign w:val="center"/>
          </w:tcPr>
          <w:p>
            <w:pPr>
              <w:rPr>
                <w:rFonts w:asciiTheme="minorEastAsia" w:hAnsiTheme="minorEastAsia" w:eastAsiaTheme="minorEastAsia"/>
              </w:rPr>
            </w:pPr>
            <w:r>
              <w:rPr>
                <w:rFonts w:hint="eastAsia" w:cs="Calibri"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w:t>
            </w:r>
            <w:r>
              <w:rPr>
                <w:rFonts w:asciiTheme="minorEastAsia" w:hAnsiTheme="minorEastAsia" w:eastAsiaTheme="minorEastAsia"/>
              </w:rPr>
              <w:t>8</w:t>
            </w:r>
            <w:r>
              <w:rPr>
                <w:rFonts w:hint="eastAsia" w:asciiTheme="minorEastAsia" w:hAnsiTheme="minorEastAsia" w:eastAsiaTheme="minorEastAsia"/>
              </w:rPr>
              <w:t>月</w:t>
            </w:r>
            <w:r>
              <w:rPr>
                <w:rFonts w:asciiTheme="minorEastAsia" w:hAnsiTheme="minorEastAsia" w:eastAsiaTheme="minorEastAsia"/>
              </w:rPr>
              <w:t>15</w:t>
            </w:r>
            <w:r>
              <w:rPr>
                <w:rFonts w:hint="eastAsia" w:asciiTheme="minorEastAsia" w:hAnsiTheme="minorEastAsia" w:eastAsiaTheme="minorEastAsia"/>
              </w:rPr>
              <w:t>日</w:t>
            </w:r>
          </w:p>
        </w:tc>
        <w:tc>
          <w:tcPr>
            <w:tcW w:w="803"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听取年审会计师关于公司2023年中期审计事项的汇报。</w:t>
            </w:r>
          </w:p>
        </w:tc>
        <w:tc>
          <w:tcPr>
            <w:tcW w:w="1286"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听取</w:t>
            </w:r>
            <w:r>
              <w:rPr>
                <w:rFonts w:hint="eastAsia" w:asciiTheme="minorEastAsia" w:hAnsiTheme="minorEastAsia" w:eastAsiaTheme="minorEastAsia"/>
              </w:rPr>
              <w:t>会计</w:t>
            </w:r>
            <w:r>
              <w:rPr>
                <w:rFonts w:asciiTheme="minorEastAsia" w:hAnsiTheme="minorEastAsia" w:eastAsiaTheme="minorEastAsia"/>
              </w:rPr>
              <w:t>师在公司2023年中期财务报告工作中发现的主要问题和改进建议，审阅公司</w:t>
            </w:r>
            <w:r>
              <w:rPr>
                <w:rFonts w:cs="Calibri" w:asciiTheme="minorEastAsia" w:hAnsiTheme="minorEastAsia" w:eastAsiaTheme="minorEastAsia"/>
              </w:rPr>
              <w:t>2023</w:t>
            </w:r>
            <w:r>
              <w:rPr>
                <w:rFonts w:asciiTheme="minorEastAsia" w:hAnsiTheme="minorEastAsia" w:eastAsiaTheme="minorEastAsia"/>
              </w:rPr>
              <w:t>年中期财务会计报表，委员会认为财务报表能真实、完整的反映公司的资产状况和经营成果，同意提交董事会审核。</w:t>
            </w:r>
          </w:p>
        </w:tc>
        <w:tc>
          <w:tcPr>
            <w:tcW w:w="88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胡家栋</w:t>
            </w:r>
          </w:p>
          <w:p>
            <w:pPr>
              <w:jc w:val="center"/>
              <w:rPr>
                <w:rFonts w:asciiTheme="minorEastAsia" w:hAnsiTheme="minorEastAsia" w:eastAsiaTheme="minorEastAsia"/>
              </w:rPr>
            </w:pPr>
            <w:r>
              <w:rPr>
                <w:rFonts w:hint="eastAsia" w:asciiTheme="minorEastAsia" w:hAnsiTheme="minorEastAsia" w:eastAsiaTheme="minorEastAsia"/>
              </w:rPr>
              <w:t>朱利民</w:t>
            </w:r>
          </w:p>
          <w:p>
            <w:pPr>
              <w:jc w:val="center"/>
              <w:rPr>
                <w:rFonts w:asciiTheme="minorEastAsia" w:hAnsiTheme="minorEastAsia" w:eastAsiaTheme="minorEastAsia"/>
              </w:rPr>
            </w:pPr>
            <w:r>
              <w:rPr>
                <w:rFonts w:hint="eastAsia" w:asciiTheme="minorEastAsia" w:hAnsiTheme="minorEastAsia" w:eastAsiaTheme="minorEastAsia"/>
              </w:rPr>
              <w:t xml:space="preserve">朱 </w:t>
            </w:r>
            <w:r>
              <w:rPr>
                <w:rFonts w:asciiTheme="minorEastAsia" w:hAnsiTheme="minorEastAsia" w:eastAsiaTheme="minorEastAsia"/>
              </w:rPr>
              <w:t xml:space="preserve"> </w:t>
            </w:r>
            <w:r>
              <w:rPr>
                <w:rFonts w:hint="eastAsia" w:asciiTheme="minorEastAsia" w:hAnsiTheme="minorEastAsia" w:eastAsiaTheme="minorEastAsia"/>
              </w:rPr>
              <w:t>睿</w:t>
            </w:r>
          </w:p>
        </w:tc>
        <w:tc>
          <w:tcPr>
            <w:tcW w:w="72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tc>
        <w:tc>
          <w:tcPr>
            <w:tcW w:w="65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2" w:type="pct"/>
            <w:shd w:val="clear" w:color="auto" w:fill="auto"/>
            <w:vAlign w:val="center"/>
          </w:tcPr>
          <w:p>
            <w:pPr>
              <w:rPr>
                <w:rFonts w:asciiTheme="minorEastAsia" w:hAnsiTheme="minorEastAsia" w:eastAsiaTheme="minorEastAsia"/>
              </w:rPr>
            </w:pPr>
            <w:r>
              <w:rPr>
                <w:rFonts w:hint="eastAsia" w:cs="Calibri"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w:t>
            </w:r>
            <w:r>
              <w:rPr>
                <w:rFonts w:asciiTheme="minorEastAsia" w:hAnsiTheme="minorEastAsia" w:eastAsiaTheme="minorEastAsia"/>
              </w:rPr>
              <w:t>8</w:t>
            </w:r>
            <w:r>
              <w:rPr>
                <w:rFonts w:hint="eastAsia" w:asciiTheme="minorEastAsia" w:hAnsiTheme="minorEastAsia" w:eastAsiaTheme="minorEastAsia"/>
              </w:rPr>
              <w:t>月</w:t>
            </w:r>
            <w:r>
              <w:rPr>
                <w:rFonts w:asciiTheme="minorEastAsia" w:hAnsiTheme="minorEastAsia" w:eastAsiaTheme="minorEastAsia"/>
              </w:rPr>
              <w:t>15</w:t>
            </w:r>
            <w:r>
              <w:rPr>
                <w:rFonts w:hint="eastAsia" w:asciiTheme="minorEastAsia" w:hAnsiTheme="minorEastAsia" w:eastAsiaTheme="minorEastAsia"/>
              </w:rPr>
              <w:t>日</w:t>
            </w:r>
          </w:p>
        </w:tc>
        <w:tc>
          <w:tcPr>
            <w:tcW w:w="803"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听取兖矿集团财务有限公司综合授信审批及服务提供情况，审批选聘年报及中报审计（核数）师管理办法（试行）。</w:t>
            </w:r>
          </w:p>
        </w:tc>
        <w:tc>
          <w:tcPr>
            <w:tcW w:w="1286"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kern w:val="0"/>
              </w:rPr>
              <w:t>审议通过《2023年上半年兖矿集团财务有限公司与山东能源集团有限公司综合授信审批及服务提供情况的议案》《兖矿能源选聘年报及中报审计（核数）师管理办法（试行）》，会议要求公司按照国资监管规定及选聘办法及时做好2023年的选聘工作，确保2024年的审计工作正常、有序开展。</w:t>
            </w:r>
          </w:p>
        </w:tc>
        <w:tc>
          <w:tcPr>
            <w:tcW w:w="88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胡家栋</w:t>
            </w:r>
          </w:p>
          <w:p>
            <w:pPr>
              <w:jc w:val="center"/>
              <w:rPr>
                <w:rFonts w:asciiTheme="minorEastAsia" w:hAnsiTheme="minorEastAsia" w:eastAsiaTheme="minorEastAsia"/>
              </w:rPr>
            </w:pPr>
            <w:r>
              <w:rPr>
                <w:rFonts w:hint="eastAsia" w:asciiTheme="minorEastAsia" w:hAnsiTheme="minorEastAsia" w:eastAsiaTheme="minorEastAsia"/>
              </w:rPr>
              <w:t>朱利民</w:t>
            </w:r>
          </w:p>
          <w:p>
            <w:pPr>
              <w:jc w:val="center"/>
              <w:rPr>
                <w:rFonts w:asciiTheme="minorEastAsia" w:hAnsiTheme="minorEastAsia" w:eastAsiaTheme="minorEastAsia"/>
              </w:rPr>
            </w:pPr>
            <w:r>
              <w:rPr>
                <w:rFonts w:hint="eastAsia" w:asciiTheme="minorEastAsia" w:hAnsiTheme="minorEastAsia" w:eastAsiaTheme="minorEastAsia"/>
              </w:rPr>
              <w:t xml:space="preserve">朱 </w:t>
            </w:r>
            <w:r>
              <w:rPr>
                <w:rFonts w:asciiTheme="minorEastAsia" w:hAnsiTheme="minorEastAsia" w:eastAsiaTheme="minorEastAsia"/>
              </w:rPr>
              <w:t xml:space="preserve"> </w:t>
            </w:r>
            <w:r>
              <w:rPr>
                <w:rFonts w:hint="eastAsia" w:asciiTheme="minorEastAsia" w:hAnsiTheme="minorEastAsia" w:eastAsiaTheme="minorEastAsia"/>
              </w:rPr>
              <w:t>睿</w:t>
            </w:r>
          </w:p>
        </w:tc>
        <w:tc>
          <w:tcPr>
            <w:tcW w:w="72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tc>
        <w:tc>
          <w:tcPr>
            <w:tcW w:w="65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42" w:type="pct"/>
            <w:shd w:val="clear" w:color="auto" w:fill="auto"/>
            <w:vAlign w:val="center"/>
          </w:tcPr>
          <w:p>
            <w:pPr>
              <w:rPr>
                <w:rFonts w:asciiTheme="minorEastAsia" w:hAnsiTheme="minorEastAsia" w:eastAsiaTheme="minorEastAsia"/>
              </w:rPr>
            </w:pPr>
            <w:r>
              <w:rPr>
                <w:rFonts w:hint="eastAsia" w:cs="Calibri"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w:t>
            </w:r>
            <w:r>
              <w:rPr>
                <w:rFonts w:asciiTheme="minorEastAsia" w:hAnsiTheme="minorEastAsia" w:eastAsiaTheme="minorEastAsia"/>
              </w:rPr>
              <w:t>10</w:t>
            </w:r>
            <w:r>
              <w:rPr>
                <w:rFonts w:hint="eastAsia" w:asciiTheme="minorEastAsia" w:hAnsiTheme="minorEastAsia" w:eastAsiaTheme="minorEastAsia"/>
              </w:rPr>
              <w:t>月</w:t>
            </w:r>
            <w:r>
              <w:rPr>
                <w:rFonts w:asciiTheme="minorEastAsia" w:hAnsiTheme="minorEastAsia" w:eastAsiaTheme="minorEastAsia"/>
              </w:rPr>
              <w:t>20</w:t>
            </w:r>
            <w:r>
              <w:rPr>
                <w:rFonts w:hint="eastAsia" w:asciiTheme="minorEastAsia" w:hAnsiTheme="minorEastAsia" w:eastAsiaTheme="minorEastAsia"/>
              </w:rPr>
              <w:t>日</w:t>
            </w:r>
          </w:p>
        </w:tc>
        <w:tc>
          <w:tcPr>
            <w:tcW w:w="803"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kern w:val="0"/>
              </w:rPr>
              <w:t>审议聘任赵治国先生为公司财务总监。</w:t>
            </w:r>
          </w:p>
        </w:tc>
        <w:tc>
          <w:tcPr>
            <w:tcW w:w="1286"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经审计委员会审阅个人履历等相关资料，</w:t>
            </w:r>
            <w:r>
              <w:rPr>
                <w:rFonts w:asciiTheme="minorEastAsia" w:hAnsiTheme="minorEastAsia" w:eastAsiaTheme="minorEastAsia"/>
              </w:rPr>
              <w:t>委员会</w:t>
            </w:r>
            <w:r>
              <w:rPr>
                <w:rFonts w:hint="eastAsia" w:asciiTheme="minorEastAsia" w:hAnsiTheme="minorEastAsia" w:eastAsiaTheme="minorEastAsia"/>
              </w:rPr>
              <w:t>认为赵治国先生任职资格符合《公司法》、上市地监管规则及《公司章程》相关规定，</w:t>
            </w:r>
            <w:r>
              <w:rPr>
                <w:rFonts w:asciiTheme="minorEastAsia" w:hAnsiTheme="minorEastAsia" w:eastAsiaTheme="minorEastAsia"/>
              </w:rPr>
              <w:t>同意提交董事会审核</w:t>
            </w:r>
            <w:r>
              <w:rPr>
                <w:rFonts w:hint="eastAsia" w:asciiTheme="minorEastAsia" w:hAnsiTheme="minorEastAsia" w:eastAsiaTheme="minorEastAsia"/>
              </w:rPr>
              <w:t>。</w:t>
            </w:r>
          </w:p>
        </w:tc>
        <w:tc>
          <w:tcPr>
            <w:tcW w:w="88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胡家栋</w:t>
            </w:r>
          </w:p>
          <w:p>
            <w:pPr>
              <w:jc w:val="center"/>
              <w:rPr>
                <w:rFonts w:asciiTheme="minorEastAsia" w:hAnsiTheme="minorEastAsia" w:eastAsiaTheme="minorEastAsia"/>
              </w:rPr>
            </w:pPr>
            <w:r>
              <w:rPr>
                <w:rFonts w:hint="eastAsia" w:asciiTheme="minorEastAsia" w:hAnsiTheme="minorEastAsia" w:eastAsiaTheme="minorEastAsia"/>
              </w:rPr>
              <w:t>朱利民</w:t>
            </w:r>
          </w:p>
          <w:p>
            <w:pPr>
              <w:jc w:val="center"/>
              <w:rPr>
                <w:rFonts w:asciiTheme="minorEastAsia" w:hAnsiTheme="minorEastAsia" w:eastAsiaTheme="minorEastAsia"/>
              </w:rPr>
            </w:pPr>
            <w:r>
              <w:rPr>
                <w:rFonts w:hint="eastAsia" w:asciiTheme="minorEastAsia" w:hAnsiTheme="minorEastAsia" w:eastAsiaTheme="minorEastAsia"/>
              </w:rPr>
              <w:t xml:space="preserve">朱 </w:t>
            </w:r>
            <w:r>
              <w:rPr>
                <w:rFonts w:asciiTheme="minorEastAsia" w:hAnsiTheme="minorEastAsia" w:eastAsiaTheme="minorEastAsia"/>
              </w:rPr>
              <w:t xml:space="preserve"> </w:t>
            </w:r>
            <w:r>
              <w:rPr>
                <w:rFonts w:hint="eastAsia" w:asciiTheme="minorEastAsia" w:hAnsiTheme="minorEastAsia" w:eastAsiaTheme="minorEastAsia"/>
              </w:rPr>
              <w:t>睿</w:t>
            </w:r>
          </w:p>
        </w:tc>
        <w:tc>
          <w:tcPr>
            <w:tcW w:w="72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p>
            <w:pPr>
              <w:jc w:val="center"/>
              <w:rPr>
                <w:rFonts w:asciiTheme="minorEastAsia" w:hAnsiTheme="minorEastAsia" w:eastAsiaTheme="minorEastAsia"/>
              </w:rPr>
            </w:pPr>
            <w:r>
              <w:rPr>
                <w:rFonts w:hint="eastAsia" w:asciiTheme="minorEastAsia" w:hAnsiTheme="minorEastAsia" w:eastAsiaTheme="minorEastAsia"/>
              </w:rPr>
              <w:t>√</w:t>
            </w:r>
          </w:p>
        </w:tc>
        <w:tc>
          <w:tcPr>
            <w:tcW w:w="65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r>
    </w:tbl>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注：经公司202</w:t>
      </w:r>
      <w:r>
        <w:rPr>
          <w:rFonts w:asciiTheme="minorEastAsia" w:hAnsiTheme="minorEastAsia" w:eastAsiaTheme="minorEastAsia"/>
        </w:rPr>
        <w:t>3</w:t>
      </w:r>
      <w:r>
        <w:rPr>
          <w:rFonts w:hint="eastAsia" w:asciiTheme="minorEastAsia" w:hAnsiTheme="minorEastAsia" w:eastAsiaTheme="minorEastAsia"/>
        </w:rPr>
        <w:t>年6月30日召开的第九届董事会第一次会议讨论审议，批准由</w:t>
      </w:r>
      <w:r>
        <w:rPr>
          <w:rFonts w:hint="eastAsia" w:cs="MHei-Light-Identity-H" w:asciiTheme="minorEastAsia" w:hAnsiTheme="minorEastAsia" w:eastAsiaTheme="minorEastAsia"/>
        </w:rPr>
        <w:t>胡家栋</w:t>
      </w:r>
      <w:r>
        <w:rPr>
          <w:rFonts w:hint="eastAsia" w:asciiTheme="minorEastAsia" w:hAnsiTheme="minorEastAsia" w:eastAsiaTheme="minorEastAsia"/>
        </w:rPr>
        <w:t>先生、朱利民先生、朱睿女士三位委员组成公司第九届董事会审计委员会，</w:t>
      </w:r>
      <w:r>
        <w:rPr>
          <w:rFonts w:hint="eastAsia" w:cs="MHei-Light-Identity-H" w:asciiTheme="minorEastAsia" w:hAnsiTheme="minorEastAsia" w:eastAsiaTheme="minorEastAsia"/>
        </w:rPr>
        <w:t>胡家栋</w:t>
      </w:r>
      <w:r>
        <w:rPr>
          <w:rFonts w:hint="eastAsia" w:asciiTheme="minorEastAsia" w:hAnsiTheme="minorEastAsia" w:eastAsiaTheme="minorEastAsia"/>
        </w:rPr>
        <w:t>先生担任审计委员会主任。</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asciiTheme="minorEastAsia" w:hAnsiTheme="minorEastAsia" w:eastAsiaTheme="minorEastAsia"/>
        </w:rPr>
        <w:t>202</w:t>
      </w:r>
      <w:r>
        <w:rPr>
          <w:rFonts w:hint="eastAsia" w:cs="Calibri" w:asciiTheme="minorEastAsia" w:hAnsiTheme="minorEastAsia" w:eastAsiaTheme="minorEastAsia"/>
        </w:rPr>
        <w:t>4</w:t>
      </w:r>
      <w:r>
        <w:rPr>
          <w:rFonts w:asciiTheme="minorEastAsia" w:hAnsiTheme="minorEastAsia" w:eastAsiaTheme="minorEastAsia"/>
        </w:rPr>
        <w:t>年</w:t>
      </w:r>
      <w:r>
        <w:rPr>
          <w:rFonts w:hint="eastAsia" w:cs="Calibri" w:asciiTheme="minorEastAsia" w:hAnsiTheme="minorEastAsia" w:eastAsiaTheme="minorEastAsia"/>
        </w:rPr>
        <w:t>1</w:t>
      </w:r>
      <w:r>
        <w:rPr>
          <w:rFonts w:asciiTheme="minorEastAsia" w:hAnsiTheme="minorEastAsia" w:eastAsiaTheme="minorEastAsia"/>
        </w:rPr>
        <w:t>月</w:t>
      </w:r>
      <w:r>
        <w:rPr>
          <w:rFonts w:hint="eastAsia" w:cs="Calibri" w:asciiTheme="minorEastAsia" w:hAnsiTheme="minorEastAsia" w:eastAsiaTheme="minorEastAsia"/>
        </w:rPr>
        <w:t>31</w:t>
      </w:r>
      <w:r>
        <w:rPr>
          <w:rFonts w:asciiTheme="minorEastAsia" w:hAnsiTheme="minorEastAsia" w:eastAsiaTheme="minorEastAsia"/>
        </w:rPr>
        <w:t>日，</w:t>
      </w:r>
      <w:r>
        <w:rPr>
          <w:rFonts w:hint="eastAsia" w:asciiTheme="minorEastAsia" w:hAnsiTheme="minorEastAsia" w:eastAsiaTheme="minorEastAsia"/>
        </w:rPr>
        <w:t>公司召开第九届董事会</w:t>
      </w:r>
      <w:r>
        <w:rPr>
          <w:rFonts w:asciiTheme="minorEastAsia" w:hAnsiTheme="minorEastAsia" w:eastAsiaTheme="minorEastAsia"/>
        </w:rPr>
        <w:t>审计委员会</w:t>
      </w:r>
      <w:r>
        <w:rPr>
          <w:rFonts w:hint="eastAsia" w:asciiTheme="minorEastAsia" w:hAnsiTheme="minorEastAsia" w:eastAsiaTheme="minorEastAsia"/>
        </w:rPr>
        <w:t>第四次</w:t>
      </w:r>
      <w:r>
        <w:rPr>
          <w:rFonts w:asciiTheme="minorEastAsia" w:hAnsiTheme="minorEastAsia" w:eastAsiaTheme="minorEastAsia"/>
        </w:rPr>
        <w:t>会议，听取年审会计师关于公司202</w:t>
      </w:r>
      <w:r>
        <w:rPr>
          <w:rFonts w:hint="eastAsia" w:cs="Calibri" w:asciiTheme="minorEastAsia" w:hAnsiTheme="minorEastAsia" w:eastAsiaTheme="minorEastAsia"/>
        </w:rPr>
        <w:t>3</w:t>
      </w:r>
      <w:r>
        <w:rPr>
          <w:rFonts w:asciiTheme="minorEastAsia" w:hAnsiTheme="minorEastAsia" w:eastAsiaTheme="minorEastAsia"/>
        </w:rPr>
        <w:t>年年报预审事项的汇报。</w:t>
      </w:r>
    </w:p>
    <w:p>
      <w:pPr>
        <w:ind w:firstLine="420" w:firstLineChars="200"/>
        <w:rPr>
          <w:rFonts w:asciiTheme="minorEastAsia" w:hAnsiTheme="minorEastAsia" w:eastAsiaTheme="minorEastAsia"/>
        </w:rPr>
      </w:pPr>
      <w:r>
        <w:rPr>
          <w:rFonts w:asciiTheme="minorEastAsia" w:hAnsiTheme="minorEastAsia" w:eastAsiaTheme="minorEastAsia"/>
        </w:rPr>
        <w:t>202</w:t>
      </w:r>
      <w:r>
        <w:rPr>
          <w:rFonts w:hint="eastAsia" w:cs="Calibri" w:asciiTheme="minorEastAsia" w:hAnsiTheme="minorEastAsia" w:eastAsiaTheme="minorEastAsia"/>
        </w:rPr>
        <w:t>4</w:t>
      </w:r>
      <w:r>
        <w:rPr>
          <w:rFonts w:asciiTheme="minorEastAsia" w:hAnsiTheme="minorEastAsia" w:eastAsiaTheme="minorEastAsia"/>
        </w:rPr>
        <w:t>年</w:t>
      </w:r>
      <w:r>
        <w:rPr>
          <w:rFonts w:hint="eastAsia" w:cs="Calibri" w:asciiTheme="minorEastAsia" w:hAnsiTheme="minorEastAsia" w:eastAsiaTheme="minorEastAsia"/>
        </w:rPr>
        <w:t>1</w:t>
      </w:r>
      <w:r>
        <w:rPr>
          <w:rFonts w:asciiTheme="minorEastAsia" w:hAnsiTheme="minorEastAsia" w:eastAsiaTheme="minorEastAsia"/>
        </w:rPr>
        <w:t>月</w:t>
      </w:r>
      <w:r>
        <w:rPr>
          <w:rFonts w:hint="eastAsia" w:cs="Calibri" w:asciiTheme="minorEastAsia" w:hAnsiTheme="minorEastAsia" w:eastAsiaTheme="minorEastAsia"/>
        </w:rPr>
        <w:t>31</w:t>
      </w:r>
      <w:r>
        <w:rPr>
          <w:rFonts w:asciiTheme="minorEastAsia" w:hAnsiTheme="minorEastAsia" w:eastAsiaTheme="minorEastAsia"/>
        </w:rPr>
        <w:t>日，</w:t>
      </w:r>
      <w:r>
        <w:rPr>
          <w:rFonts w:hint="eastAsia" w:asciiTheme="minorEastAsia" w:hAnsiTheme="minorEastAsia" w:eastAsiaTheme="minorEastAsia"/>
        </w:rPr>
        <w:t>公司召开第九届董事会</w:t>
      </w:r>
      <w:r>
        <w:rPr>
          <w:rFonts w:asciiTheme="minorEastAsia" w:hAnsiTheme="minorEastAsia" w:eastAsiaTheme="minorEastAsia"/>
        </w:rPr>
        <w:t>审计委员会</w:t>
      </w:r>
      <w:r>
        <w:rPr>
          <w:rFonts w:hint="eastAsia" w:asciiTheme="minorEastAsia" w:hAnsiTheme="minorEastAsia" w:eastAsiaTheme="minorEastAsia"/>
        </w:rPr>
        <w:t>第五次</w:t>
      </w:r>
      <w:r>
        <w:rPr>
          <w:rFonts w:asciiTheme="minorEastAsia" w:hAnsiTheme="minorEastAsia" w:eastAsiaTheme="minorEastAsia"/>
        </w:rPr>
        <w:t>会议，</w:t>
      </w:r>
      <w:r>
        <w:rPr>
          <w:rFonts w:hint="eastAsia" w:asciiTheme="minorEastAsia" w:hAnsiTheme="minorEastAsia" w:eastAsiaTheme="minorEastAsia"/>
        </w:rPr>
        <w:t>通过《关于调整</w:t>
      </w:r>
      <w:r>
        <w:rPr>
          <w:rFonts w:hint="eastAsia" w:cs="Calibri"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年度外部审计机构酬金安排的议案》，并提交董事会讨论审议。</w:t>
      </w:r>
    </w:p>
    <w:p>
      <w:pPr>
        <w:ind w:firstLine="420" w:firstLineChars="200"/>
        <w:rPr>
          <w:rFonts w:asciiTheme="minorEastAsia" w:hAnsiTheme="minorEastAsia" w:eastAsiaTheme="minorEastAsia"/>
        </w:rPr>
      </w:pPr>
      <w:r>
        <w:rPr>
          <w:rFonts w:asciiTheme="minorEastAsia" w:hAnsiTheme="minorEastAsia" w:eastAsiaTheme="minorEastAsia"/>
        </w:rPr>
        <w:t>202</w:t>
      </w:r>
      <w:r>
        <w:rPr>
          <w:rFonts w:hint="eastAsia" w:cs="Calibri" w:asciiTheme="minorEastAsia" w:hAnsiTheme="minorEastAsia" w:eastAsiaTheme="minorEastAsia"/>
        </w:rPr>
        <w:t>4</w:t>
      </w:r>
      <w:r>
        <w:rPr>
          <w:rFonts w:asciiTheme="minorEastAsia" w:hAnsiTheme="minorEastAsia" w:eastAsiaTheme="minorEastAsia"/>
        </w:rPr>
        <w:t>年</w:t>
      </w:r>
      <w:r>
        <w:rPr>
          <w:rFonts w:hint="eastAsia" w:cs="Calibri" w:asciiTheme="minorEastAsia" w:hAnsiTheme="minorEastAsia" w:eastAsiaTheme="minorEastAsia"/>
        </w:rPr>
        <w:t>3</w:t>
      </w:r>
      <w:r>
        <w:rPr>
          <w:rFonts w:asciiTheme="minorEastAsia" w:hAnsiTheme="minorEastAsia" w:eastAsiaTheme="minorEastAsia"/>
        </w:rPr>
        <w:t>月</w:t>
      </w:r>
      <w:r>
        <w:rPr>
          <w:rFonts w:hint="eastAsia" w:asciiTheme="minorEastAsia" w:hAnsiTheme="minorEastAsia" w:eastAsiaTheme="minorEastAsia"/>
        </w:rPr>
        <w:t>1</w:t>
      </w:r>
      <w:r>
        <w:rPr>
          <w:rFonts w:asciiTheme="minorEastAsia" w:hAnsiTheme="minorEastAsia" w:eastAsiaTheme="minorEastAsia"/>
        </w:rPr>
        <w:t>9日，</w:t>
      </w:r>
      <w:r>
        <w:rPr>
          <w:rFonts w:hint="eastAsia" w:asciiTheme="minorEastAsia" w:hAnsiTheme="minorEastAsia" w:eastAsiaTheme="minorEastAsia"/>
        </w:rPr>
        <w:t>公司召开第九届董事会</w:t>
      </w:r>
      <w:r>
        <w:rPr>
          <w:rFonts w:asciiTheme="minorEastAsia" w:hAnsiTheme="minorEastAsia" w:eastAsiaTheme="minorEastAsia"/>
        </w:rPr>
        <w:t>审计委员会</w:t>
      </w:r>
      <w:r>
        <w:rPr>
          <w:rFonts w:hint="eastAsia" w:asciiTheme="minorEastAsia" w:hAnsiTheme="minorEastAsia" w:eastAsiaTheme="minorEastAsia"/>
        </w:rPr>
        <w:t>第六次</w:t>
      </w:r>
      <w:r>
        <w:rPr>
          <w:rFonts w:asciiTheme="minorEastAsia" w:hAnsiTheme="minorEastAsia" w:eastAsiaTheme="minorEastAsia"/>
        </w:rPr>
        <w:t>会议，听取信永中和会计师事务所</w:t>
      </w:r>
      <w:r>
        <w:rPr>
          <w:rFonts w:hint="eastAsia" w:asciiTheme="minorEastAsia" w:hAnsiTheme="minorEastAsia" w:eastAsiaTheme="minorEastAsia"/>
        </w:rPr>
        <w:t>（特殊普通合伙）</w:t>
      </w:r>
      <w:r>
        <w:rPr>
          <w:rFonts w:asciiTheme="minorEastAsia" w:hAnsiTheme="minorEastAsia" w:eastAsiaTheme="minorEastAsia"/>
        </w:rPr>
        <w:t>、信永中和（香港）会计师事务所</w:t>
      </w:r>
      <w:r>
        <w:rPr>
          <w:rFonts w:hint="eastAsia" w:asciiTheme="minorEastAsia" w:hAnsiTheme="minorEastAsia" w:eastAsiaTheme="minorEastAsia"/>
        </w:rPr>
        <w:t>有限公司对</w:t>
      </w:r>
      <w:r>
        <w:rPr>
          <w:rFonts w:asciiTheme="minorEastAsia" w:hAnsiTheme="minorEastAsia" w:eastAsiaTheme="minorEastAsia"/>
        </w:rPr>
        <w:t>202</w:t>
      </w:r>
      <w:r>
        <w:rPr>
          <w:rFonts w:hint="eastAsia" w:cs="Calibri" w:asciiTheme="minorEastAsia" w:hAnsiTheme="minorEastAsia" w:eastAsiaTheme="minorEastAsia"/>
        </w:rPr>
        <w:t>3</w:t>
      </w:r>
      <w:r>
        <w:rPr>
          <w:rFonts w:asciiTheme="minorEastAsia" w:hAnsiTheme="minorEastAsia" w:eastAsiaTheme="minorEastAsia"/>
        </w:rPr>
        <w:t>年年报审计工作</w:t>
      </w:r>
      <w:r>
        <w:rPr>
          <w:rFonts w:hint="eastAsia" w:asciiTheme="minorEastAsia" w:hAnsiTheme="minorEastAsia" w:eastAsiaTheme="minorEastAsia"/>
        </w:rPr>
        <w:t>的汇报</w:t>
      </w:r>
      <w:r>
        <w:rPr>
          <w:rFonts w:asciiTheme="minorEastAsia" w:hAnsiTheme="minorEastAsia" w:eastAsiaTheme="minorEastAsia"/>
        </w:rPr>
        <w:t>，对202</w:t>
      </w:r>
      <w:r>
        <w:rPr>
          <w:rFonts w:hint="eastAsia" w:cs="Calibri" w:asciiTheme="minorEastAsia" w:hAnsiTheme="minorEastAsia" w:eastAsiaTheme="minorEastAsia"/>
        </w:rPr>
        <w:t>3</w:t>
      </w:r>
      <w:r>
        <w:rPr>
          <w:rFonts w:asciiTheme="minorEastAsia" w:hAnsiTheme="minorEastAsia" w:eastAsiaTheme="minorEastAsia"/>
        </w:rPr>
        <w:t>年度财务会计报表进行表决，形成决议后提交董事会审核。</w:t>
      </w:r>
    </w:p>
    <w:p>
      <w:pPr>
        <w:ind w:firstLine="420" w:firstLineChars="200"/>
        <w:rPr>
          <w:rFonts w:asciiTheme="minorEastAsia" w:hAnsiTheme="minorEastAsia" w:eastAsiaTheme="minorEastAsia"/>
        </w:rPr>
      </w:pPr>
    </w:p>
    <w:p>
      <w:pPr>
        <w:pStyle w:val="4"/>
        <w:numPr>
          <w:ilvl w:val="0"/>
          <w:numId w:val="21"/>
        </w:numPr>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报告期内董事会提名委员会召开</w:t>
      </w:r>
      <w:r>
        <w:rPr>
          <w:rFonts w:cs="宋体" w:asciiTheme="minorEastAsia" w:hAnsiTheme="minorEastAsia" w:eastAsiaTheme="minorEastAsia"/>
          <w:kern w:val="0"/>
          <w:szCs w:val="24"/>
        </w:rPr>
        <w:t>3</w:t>
      </w:r>
      <w:r>
        <w:rPr>
          <w:rFonts w:hint="eastAsia" w:cs="宋体" w:asciiTheme="minorEastAsia" w:hAnsiTheme="minorEastAsia" w:eastAsiaTheme="minorEastAsia"/>
          <w:kern w:val="0"/>
          <w:szCs w:val="24"/>
        </w:rPr>
        <w:t>次会议</w:t>
      </w:r>
    </w:p>
    <w:p>
      <w:pPr>
        <w:rPr>
          <w:rFonts w:asciiTheme="minorEastAsia" w:hAnsiTheme="minorEastAsia" w:eastAsiaTheme="minorEastAsia"/>
        </w:rPr>
      </w:pPr>
    </w:p>
    <w:p>
      <w:pPr>
        <w:ind w:firstLine="420" w:firstLineChars="200"/>
        <w:rPr>
          <w:rFonts w:asciiTheme="minorEastAsia" w:hAnsiTheme="minorEastAsia" w:eastAsiaTheme="minorEastAsia"/>
          <w:b/>
          <w:bCs/>
        </w:rPr>
      </w:pPr>
      <w:r>
        <w:rPr>
          <w:rFonts w:hint="eastAsia" w:asciiTheme="minorEastAsia" w:hAnsiTheme="minorEastAsia" w:eastAsiaTheme="minorEastAsia"/>
        </w:rPr>
        <w:t>公司董事会提名委员会委员为独立董事彭苏萍、胡家栋各位先生及董事长李伟先生。彭苏萍先生担任提名委员会主任。</w:t>
      </w:r>
    </w:p>
    <w:p>
      <w:pPr>
        <w:ind w:firstLine="420" w:firstLineChars="20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.董事会提名委员会的主要职责包括：a</w:t>
      </w:r>
      <w:r>
        <w:rPr>
          <w:rFonts w:asciiTheme="minorEastAsia" w:hAnsiTheme="minorEastAsia" w:eastAsiaTheme="minorEastAsia"/>
        </w:rPr>
        <w:t>.</w:t>
      </w:r>
      <w:r>
        <w:rPr>
          <w:rFonts w:hint="eastAsia" w:asciiTheme="minorEastAsia" w:hAnsiTheme="minorEastAsia" w:eastAsiaTheme="minorEastAsia"/>
        </w:rPr>
        <w:t>根据公司的经营情况、资产规模和股权结构，每年至少一次检审董事会的架构、人数和组成（包括技能、知识及经验方面），并就任何为配合公司策略而拟对董事会作出的变动提出建议；b</w:t>
      </w:r>
      <w:r>
        <w:rPr>
          <w:rFonts w:asciiTheme="minorEastAsia" w:hAnsiTheme="minorEastAsia" w:eastAsiaTheme="minorEastAsia"/>
        </w:rPr>
        <w:t>.</w:t>
      </w:r>
      <w:r>
        <w:rPr>
          <w:rFonts w:hint="eastAsia" w:asciiTheme="minorEastAsia" w:hAnsiTheme="minorEastAsia" w:eastAsiaTheme="minorEastAsia"/>
        </w:rPr>
        <w:t>研究董事、高级管理人员的选择标准、程序和方法，并向董事会提出建议；c</w:t>
      </w:r>
      <w:r>
        <w:rPr>
          <w:rFonts w:asciiTheme="minorEastAsia" w:hAnsiTheme="minorEastAsia" w:eastAsiaTheme="minorEastAsia"/>
        </w:rPr>
        <w:t>.</w:t>
      </w:r>
      <w:r>
        <w:rPr>
          <w:rFonts w:hint="eastAsia" w:asciiTheme="minorEastAsia" w:hAnsiTheme="minorEastAsia" w:eastAsiaTheme="minorEastAsia"/>
        </w:rPr>
        <w:t>遴选具备适合资格可担任公司董事、高级管理人员的人选，并挑选提名有关人士出任董事、高级管理人员和就此向董事会提出建议；d</w:t>
      </w:r>
      <w:r>
        <w:rPr>
          <w:rFonts w:asciiTheme="minorEastAsia" w:hAnsiTheme="minorEastAsia" w:eastAsiaTheme="minorEastAsia"/>
        </w:rPr>
        <w:t>.</w:t>
      </w:r>
      <w:r>
        <w:rPr>
          <w:rFonts w:hint="eastAsia" w:asciiTheme="minorEastAsia" w:hAnsiTheme="minorEastAsia" w:eastAsiaTheme="minorEastAsia"/>
        </w:rPr>
        <w:t>对董事、高级管理人员候选人的资格进行审查，并向董事会提出意见及任职建议；e</w:t>
      </w:r>
      <w:r>
        <w:rPr>
          <w:rFonts w:asciiTheme="minorEastAsia" w:hAnsiTheme="minorEastAsia" w:eastAsiaTheme="minorEastAsia"/>
        </w:rPr>
        <w:t>.</w:t>
      </w:r>
      <w:r>
        <w:rPr>
          <w:rFonts w:hint="eastAsia" w:asciiTheme="minorEastAsia" w:hAnsiTheme="minorEastAsia" w:eastAsiaTheme="minorEastAsia"/>
        </w:rPr>
        <w:t>对董事、高级管理人员的委任或重新委任以及董事、高级管理人员的继任计划等有关事宜向董事会提出建议；f</w:t>
      </w:r>
      <w:r>
        <w:rPr>
          <w:rFonts w:asciiTheme="minorEastAsia" w:hAnsiTheme="minorEastAsia" w:eastAsiaTheme="minorEastAsia"/>
        </w:rPr>
        <w:t>.</w:t>
      </w:r>
      <w:r>
        <w:rPr>
          <w:rFonts w:hint="eastAsia" w:asciiTheme="minorEastAsia" w:hAnsiTheme="minorEastAsia" w:eastAsiaTheme="minorEastAsia"/>
        </w:rPr>
        <w:t>评估独立董事的独立性。</w:t>
      </w:r>
    </w:p>
    <w:p>
      <w:pPr>
        <w:ind w:firstLine="420" w:firstLineChars="20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.本公司董事会成员多元化政策概要</w:t>
      </w:r>
    </w:p>
    <w:p>
      <w:pPr>
        <w:ind w:firstLine="420" w:firstLineChars="200"/>
        <w:rPr>
          <w:rFonts w:asciiTheme="minorEastAsia" w:hAnsiTheme="minorEastAsia" w:eastAsiaTheme="minorEastAsia"/>
        </w:rPr>
      </w:pPr>
      <w:r>
        <w:rPr>
          <w:rFonts w:hint="eastAsia" w:asciiTheme="minorEastAsia" w:hAnsiTheme="minorEastAsia" w:eastAsiaTheme="minorEastAsia"/>
        </w:rPr>
        <w:t>提名委员会从多个方面考虑董事会成员多元化，包括但不限于性别、年龄、文化及教育背景、专业经验、技能及服务年限等。在考虑上述有关因素后，提名委员会按董事人选的长处及可为公司及董事会作出的贡献，向董事会提出最终的委任建议。</w:t>
      </w:r>
    </w:p>
    <w:p>
      <w:pPr>
        <w:ind w:firstLine="420" w:firstLineChars="20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.本公司董事提名政策及执行情况</w:t>
      </w:r>
    </w:p>
    <w:p>
      <w:pPr>
        <w:ind w:firstLine="420" w:firstLineChars="200"/>
        <w:rPr>
          <w:rFonts w:asciiTheme="minorEastAsia" w:hAnsiTheme="minorEastAsia" w:eastAsiaTheme="minorEastAsia"/>
        </w:rPr>
      </w:pPr>
      <w:r>
        <w:rPr>
          <w:rFonts w:hint="eastAsia" w:asciiTheme="minorEastAsia" w:hAnsiTheme="minorEastAsia" w:eastAsiaTheme="minorEastAsia"/>
        </w:rPr>
        <w:t>职工董事由公司职工通过职工代表大会或者其他形式民主选举产生。</w:t>
      </w:r>
    </w:p>
    <w:p>
      <w:pPr>
        <w:ind w:firstLine="420" w:firstLineChars="200"/>
        <w:rPr>
          <w:rFonts w:asciiTheme="minorEastAsia" w:hAnsiTheme="minorEastAsia" w:eastAsiaTheme="minorEastAsia"/>
        </w:rPr>
      </w:pPr>
      <w:r>
        <w:rPr>
          <w:rFonts w:hint="eastAsia" w:asciiTheme="minorEastAsia" w:hAnsiTheme="minorEastAsia" w:eastAsiaTheme="minorEastAsia"/>
        </w:rPr>
        <w:t>非职工代表董事候选人一般情况下由公司董事会以提案方式提交股东大会。公司股东、监事会可按《公司章程》规定提名非职工代表董事候选人。</w:t>
      </w:r>
    </w:p>
    <w:p>
      <w:pPr>
        <w:ind w:firstLine="420" w:firstLineChars="200"/>
        <w:rPr>
          <w:rFonts w:asciiTheme="minorEastAsia" w:hAnsiTheme="minorEastAsia" w:eastAsiaTheme="minorEastAsia"/>
          <w:bCs/>
        </w:rPr>
      </w:pPr>
      <w:r>
        <w:rPr>
          <w:rFonts w:hint="eastAsia" w:asciiTheme="minorEastAsia" w:hAnsiTheme="minorEastAsia" w:eastAsiaTheme="minorEastAsia"/>
        </w:rPr>
        <w:t>公司董事会、监事会、单独或者合并持有公司已发行股份百分之一以上的股东可以提出独立董事候选人，并经股东大会选举决定。报告期内</w:t>
      </w:r>
      <w:r>
        <w:rPr>
          <w:rFonts w:hint="eastAsia" w:asciiTheme="minorEastAsia" w:hAnsiTheme="minorEastAsia" w:eastAsiaTheme="minorEastAsia"/>
          <w:bCs/>
        </w:rPr>
        <w:t>董事会提名委员会召开3次会议，具体情况如下：</w:t>
      </w:r>
    </w:p>
    <w:p>
      <w:pPr>
        <w:ind w:firstLine="420" w:firstLineChars="200"/>
        <w:rPr>
          <w:rFonts w:asciiTheme="minorEastAsia" w:hAnsiTheme="minorEastAsia" w:eastAsiaTheme="minorEastAsia"/>
          <w:bCs/>
        </w:rPr>
      </w:pPr>
    </w:p>
    <w:tbl>
      <w:tblPr>
        <w:tblStyle w:val="20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600"/>
        <w:gridCol w:w="2907"/>
        <w:gridCol w:w="1017"/>
        <w:gridCol w:w="727"/>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召开日期</w:t>
            </w:r>
          </w:p>
        </w:tc>
        <w:tc>
          <w:tcPr>
            <w:tcW w:w="88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会议内容</w:t>
            </w:r>
          </w:p>
        </w:tc>
        <w:tc>
          <w:tcPr>
            <w:tcW w:w="1606"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重要意见和建议</w:t>
            </w:r>
          </w:p>
        </w:tc>
        <w:tc>
          <w:tcPr>
            <w:tcW w:w="56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委员</w:t>
            </w:r>
          </w:p>
        </w:tc>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出席会议</w:t>
            </w:r>
          </w:p>
        </w:tc>
        <w:tc>
          <w:tcPr>
            <w:tcW w:w="906"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其他履行职责情况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202</w:t>
            </w:r>
            <w:r>
              <w:rPr>
                <w:rFonts w:asciiTheme="minorEastAsia" w:hAnsiTheme="minorEastAsia" w:eastAsiaTheme="minorEastAsia"/>
                <w:sz w:val="21"/>
                <w:szCs w:val="21"/>
              </w:rPr>
              <w:t>3</w:t>
            </w:r>
            <w:r>
              <w:rPr>
                <w:rFonts w:hint="eastAsia" w:asciiTheme="minorEastAsia" w:hAnsiTheme="minorEastAsia" w:eastAsiaTheme="minorEastAsia"/>
                <w:sz w:val="21"/>
                <w:szCs w:val="21"/>
              </w:rPr>
              <w:t>年3月</w:t>
            </w:r>
            <w:r>
              <w:rPr>
                <w:rFonts w:asciiTheme="minorEastAsia" w:hAnsiTheme="minorEastAsia" w:eastAsiaTheme="minorEastAsia"/>
                <w:sz w:val="21"/>
                <w:szCs w:val="21"/>
              </w:rPr>
              <w:t>19</w:t>
            </w:r>
            <w:r>
              <w:rPr>
                <w:rFonts w:hint="eastAsia" w:asciiTheme="minorEastAsia" w:hAnsiTheme="minorEastAsia" w:eastAsiaTheme="minorEastAsia"/>
                <w:sz w:val="21"/>
                <w:szCs w:val="21"/>
              </w:rPr>
              <w:t>日</w:t>
            </w:r>
          </w:p>
        </w:tc>
        <w:tc>
          <w:tcPr>
            <w:tcW w:w="884"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1.关于提名第九届董事会非职工董事候选人的议案。</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w:t>
            </w:r>
            <w:r>
              <w:rPr>
                <w:rFonts w:hint="eastAsia" w:asciiTheme="minorEastAsia" w:hAnsiTheme="minorEastAsia" w:eastAsiaTheme="minorEastAsia"/>
                <w:sz w:val="21"/>
                <w:szCs w:val="21"/>
              </w:rPr>
              <w:t>关于提名公司副总经理的议案。</w:t>
            </w:r>
          </w:p>
        </w:tc>
        <w:tc>
          <w:tcPr>
            <w:tcW w:w="1606"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w:t>
            </w:r>
            <w:r>
              <w:rPr>
                <w:rFonts w:hint="eastAsia" w:asciiTheme="minorEastAsia" w:hAnsiTheme="minorEastAsia" w:eastAsiaTheme="minorEastAsia"/>
                <w:sz w:val="21"/>
                <w:szCs w:val="21"/>
              </w:rPr>
              <w:t>通过《关于提名第九届董事会非职工董事候选人的议案》，并向董事会提名李伟、肖耀猛、刘健、刘强、张海军、黄霄龙、朱利民、彭苏萍、胡家栋、朱睿（女）为公司第九届董事会非职工董事候选人。</w:t>
            </w:r>
          </w:p>
          <w:p>
            <w:pPr>
              <w:rPr>
                <w:rFonts w:asciiTheme="minorEastAsia" w:hAnsiTheme="minorEastAsia" w:eastAsiaTheme="minorEastAsia"/>
                <w:sz w:val="21"/>
                <w:szCs w:val="21"/>
              </w:rPr>
            </w:pPr>
            <w:r>
              <w:rPr>
                <w:rFonts w:asciiTheme="minorEastAsia" w:hAnsiTheme="minorEastAsia" w:eastAsiaTheme="minorEastAsia"/>
                <w:sz w:val="21"/>
                <w:szCs w:val="21"/>
              </w:rPr>
              <w:t>2.</w:t>
            </w:r>
            <w:r>
              <w:rPr>
                <w:rFonts w:hint="eastAsia" w:asciiTheme="minorEastAsia" w:hAnsiTheme="minorEastAsia" w:eastAsiaTheme="minorEastAsia"/>
                <w:sz w:val="21"/>
                <w:szCs w:val="21"/>
              </w:rPr>
              <w:t>通过《关于提名公司副总经理的议案》，并向董事会提名李洪国先生为公司副总经理。</w:t>
            </w:r>
          </w:p>
        </w:tc>
        <w:tc>
          <w:tcPr>
            <w:tcW w:w="56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潘昭国</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李 </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伟</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田 </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会</w:t>
            </w:r>
          </w:p>
        </w:tc>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906"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经审阅上述人员个人履历等相关资料，上述人员任职资格符合《公司法》、上市地监管规则及《公司章程》相关规定。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202</w:t>
            </w:r>
            <w:r>
              <w:rPr>
                <w:rFonts w:asciiTheme="minorEastAsia" w:hAnsiTheme="minorEastAsia" w:eastAsiaTheme="minorEastAsia"/>
                <w:sz w:val="21"/>
                <w:szCs w:val="21"/>
              </w:rPr>
              <w:t>3</w:t>
            </w:r>
            <w:r>
              <w:rPr>
                <w:rFonts w:hint="eastAsia" w:asciiTheme="minorEastAsia" w:hAnsiTheme="minorEastAsia" w:eastAsiaTheme="minorEastAsia"/>
                <w:sz w:val="21"/>
                <w:szCs w:val="21"/>
              </w:rPr>
              <w:t>年</w:t>
            </w:r>
            <w:r>
              <w:rPr>
                <w:rFonts w:asciiTheme="minorEastAsia" w:hAnsiTheme="minorEastAsia" w:eastAsiaTheme="minorEastAsia"/>
                <w:sz w:val="21"/>
                <w:szCs w:val="21"/>
              </w:rPr>
              <w:t>6</w:t>
            </w:r>
            <w:r>
              <w:rPr>
                <w:rFonts w:hint="eastAsia" w:asciiTheme="minorEastAsia" w:hAnsiTheme="minorEastAsia" w:eastAsiaTheme="minorEastAsia"/>
                <w:sz w:val="21"/>
                <w:szCs w:val="21"/>
              </w:rPr>
              <w:t>月2</w:t>
            </w:r>
            <w:r>
              <w:rPr>
                <w:rFonts w:asciiTheme="minorEastAsia" w:hAnsiTheme="minorEastAsia" w:eastAsiaTheme="minorEastAsia"/>
                <w:sz w:val="21"/>
                <w:szCs w:val="21"/>
              </w:rPr>
              <w:t>6</w:t>
            </w:r>
            <w:r>
              <w:rPr>
                <w:rFonts w:hint="eastAsia" w:asciiTheme="minorEastAsia" w:hAnsiTheme="minorEastAsia" w:eastAsiaTheme="minorEastAsia"/>
                <w:sz w:val="21"/>
                <w:szCs w:val="21"/>
              </w:rPr>
              <w:t>日</w:t>
            </w:r>
          </w:p>
        </w:tc>
        <w:tc>
          <w:tcPr>
            <w:tcW w:w="884"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1.关于提名公司总经理的议案。</w:t>
            </w:r>
          </w:p>
          <w:p>
            <w:pPr>
              <w:rPr>
                <w:rFonts w:asciiTheme="minorEastAsia" w:hAnsiTheme="minorEastAsia" w:eastAsiaTheme="minorEastAsia"/>
                <w:sz w:val="21"/>
                <w:szCs w:val="21"/>
              </w:rPr>
            </w:pPr>
            <w:r>
              <w:rPr>
                <w:rFonts w:asciiTheme="minorEastAsia" w:hAnsiTheme="minorEastAsia" w:eastAsiaTheme="minorEastAsia"/>
                <w:sz w:val="21"/>
                <w:szCs w:val="21"/>
              </w:rPr>
              <w:t>2.</w:t>
            </w:r>
            <w:r>
              <w:rPr>
                <w:rFonts w:hint="eastAsia" w:asciiTheme="minorEastAsia" w:hAnsiTheme="minorEastAsia" w:eastAsiaTheme="minorEastAsia"/>
                <w:sz w:val="21"/>
                <w:szCs w:val="21"/>
              </w:rPr>
              <w:t>关于提名公司副总经理等高级管理人员的议案。</w:t>
            </w:r>
          </w:p>
        </w:tc>
        <w:tc>
          <w:tcPr>
            <w:tcW w:w="1606"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通过《关于提名公司总经理的议案》，并向董事会提名肖耀猛先生为公司总经理。</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w:t>
            </w:r>
            <w:r>
              <w:rPr>
                <w:rFonts w:hint="eastAsia" w:asciiTheme="minorEastAsia" w:hAnsiTheme="minorEastAsia" w:eastAsiaTheme="minorEastAsia"/>
                <w:sz w:val="21"/>
                <w:szCs w:val="21"/>
              </w:rPr>
              <w:t>通过《关于提名公司副总经理等高级管理人员的议案》，并向董事会提名李洪国先生、张传昌先生、田兆华先生、尤加强先生、王九红先生为副总经理，赵青春先生为财务总监，黄霄龙先生为董事会秘书、公司秘书，马俊鹏先生为总工程师，康丹先生为安全总监，张磊先生为投资总监。</w:t>
            </w:r>
          </w:p>
        </w:tc>
        <w:tc>
          <w:tcPr>
            <w:tcW w:w="56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潘昭国</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李  伟</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田  会</w:t>
            </w:r>
          </w:p>
        </w:tc>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906"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经审阅上述人员个人履历等相关资料，上述人员任职资格符合《公司法》、上市地监管规则及《公司章程》相关规定。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202</w:t>
            </w:r>
            <w:r>
              <w:rPr>
                <w:rFonts w:asciiTheme="minorEastAsia" w:hAnsiTheme="minorEastAsia" w:eastAsiaTheme="minorEastAsia"/>
                <w:sz w:val="21"/>
                <w:szCs w:val="21"/>
              </w:rPr>
              <w:t>3</w:t>
            </w:r>
            <w:r>
              <w:rPr>
                <w:rFonts w:hint="eastAsia" w:asciiTheme="minorEastAsia" w:hAnsiTheme="minorEastAsia" w:eastAsiaTheme="minorEastAsia"/>
                <w:sz w:val="21"/>
                <w:szCs w:val="21"/>
              </w:rPr>
              <w:t>年10月2</w:t>
            </w:r>
            <w:r>
              <w:rPr>
                <w:rFonts w:asciiTheme="minorEastAsia" w:hAnsiTheme="minorEastAsia" w:eastAsiaTheme="minorEastAsia"/>
                <w:sz w:val="21"/>
                <w:szCs w:val="21"/>
              </w:rPr>
              <w:t>0</w:t>
            </w:r>
            <w:r>
              <w:rPr>
                <w:rFonts w:hint="eastAsia" w:asciiTheme="minorEastAsia" w:hAnsiTheme="minorEastAsia" w:eastAsiaTheme="minorEastAsia"/>
                <w:sz w:val="21"/>
                <w:szCs w:val="21"/>
              </w:rPr>
              <w:t>日</w:t>
            </w:r>
          </w:p>
        </w:tc>
        <w:tc>
          <w:tcPr>
            <w:tcW w:w="884"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关于提名公司高级管理人员的议案。</w:t>
            </w:r>
          </w:p>
        </w:tc>
        <w:tc>
          <w:tcPr>
            <w:tcW w:w="1606"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通过《关于提名公司高级管理人员的议案》，并向董事会提名岳宁先生为公司副总经理，赵治国先生为公司财务总监。</w:t>
            </w:r>
          </w:p>
        </w:tc>
        <w:tc>
          <w:tcPr>
            <w:tcW w:w="56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彭苏萍</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李  伟</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胡家栋</w:t>
            </w:r>
          </w:p>
        </w:tc>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906"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经审阅岳宁先生、赵治国先生个人履历等相关资料，岳宁先生、赵治国先生任职资格符合《公司法》、上市地监管规则及《公司章程》相关规定。</w:t>
            </w:r>
          </w:p>
        </w:tc>
      </w:tr>
    </w:tbl>
    <w:p>
      <w:pPr>
        <w:ind w:firstLine="420" w:firstLineChars="200"/>
        <w:rPr>
          <w:rFonts w:asciiTheme="minorEastAsia" w:hAnsiTheme="minorEastAsia" w:eastAsiaTheme="minorEastAsia"/>
        </w:rPr>
      </w:pPr>
      <w:r>
        <w:rPr>
          <w:rFonts w:hint="eastAsia" w:asciiTheme="minorEastAsia" w:hAnsiTheme="minorEastAsia" w:eastAsiaTheme="minorEastAsia"/>
        </w:rPr>
        <w:t>注：经公司202</w:t>
      </w:r>
      <w:r>
        <w:rPr>
          <w:rFonts w:asciiTheme="minorEastAsia" w:hAnsiTheme="minorEastAsia" w:eastAsiaTheme="minorEastAsia"/>
        </w:rPr>
        <w:t>3</w:t>
      </w:r>
      <w:r>
        <w:rPr>
          <w:rFonts w:hint="eastAsia" w:asciiTheme="minorEastAsia" w:hAnsiTheme="minorEastAsia" w:eastAsiaTheme="minorEastAsia"/>
        </w:rPr>
        <w:t>年6月30日召开的第九届董事会第一次会议讨论审议，批准由</w:t>
      </w:r>
      <w:r>
        <w:rPr>
          <w:rFonts w:hint="eastAsia" w:cs="MHei-Light-Identity-H" w:asciiTheme="minorEastAsia" w:hAnsiTheme="minorEastAsia" w:eastAsiaTheme="minorEastAsia"/>
        </w:rPr>
        <w:t>彭苏萍</w:t>
      </w:r>
      <w:r>
        <w:rPr>
          <w:rFonts w:hint="eastAsia" w:asciiTheme="minorEastAsia" w:hAnsiTheme="minorEastAsia" w:eastAsiaTheme="minorEastAsia"/>
        </w:rPr>
        <w:t>先生、胡家栋先生、李伟先生三位委员组成公司第九届董事会提名委员会，</w:t>
      </w:r>
      <w:r>
        <w:rPr>
          <w:rFonts w:hint="eastAsia" w:cs="MHei-Light-Identity-H" w:asciiTheme="minorEastAsia" w:hAnsiTheme="minorEastAsia" w:eastAsiaTheme="minorEastAsia"/>
        </w:rPr>
        <w:t>彭苏萍</w:t>
      </w:r>
      <w:r>
        <w:rPr>
          <w:rFonts w:hint="eastAsia" w:asciiTheme="minorEastAsia" w:hAnsiTheme="minorEastAsia" w:eastAsiaTheme="minorEastAsia"/>
        </w:rPr>
        <w:t>先生担任提名委员会主任。</w:t>
      </w:r>
    </w:p>
    <w:p>
      <w:pPr>
        <w:pStyle w:val="256"/>
        <w:ind w:firstLine="420" w:firstLineChars="200"/>
        <w:jc w:val="both"/>
        <w:rPr>
          <w:rFonts w:asciiTheme="minorEastAsia" w:hAnsiTheme="minorEastAsia" w:eastAsiaTheme="minorEastAsia"/>
          <w:kern w:val="0"/>
        </w:rPr>
      </w:pPr>
    </w:p>
    <w:p>
      <w:pPr>
        <w:ind w:firstLine="420" w:firstLineChars="200"/>
        <w:rPr>
          <w:rFonts w:asciiTheme="minorEastAsia" w:hAnsiTheme="minorEastAsia" w:eastAsiaTheme="minorEastAsia"/>
        </w:rPr>
      </w:pPr>
      <w:r>
        <w:rPr>
          <w:rFonts w:asciiTheme="minorEastAsia" w:hAnsiTheme="minorEastAsia" w:eastAsiaTheme="minorEastAsia"/>
          <w:kern w:val="0"/>
        </w:rPr>
        <w:t>202</w:t>
      </w:r>
      <w:r>
        <w:rPr>
          <w:rFonts w:hint="eastAsia" w:cs="Calibri" w:asciiTheme="minorEastAsia" w:hAnsiTheme="minorEastAsia" w:eastAsiaTheme="minorEastAsia"/>
          <w:kern w:val="0"/>
        </w:rPr>
        <w:t>4</w:t>
      </w:r>
      <w:r>
        <w:rPr>
          <w:rFonts w:asciiTheme="minorEastAsia" w:hAnsiTheme="minorEastAsia" w:eastAsiaTheme="minorEastAsia"/>
          <w:kern w:val="0"/>
        </w:rPr>
        <w:t>年</w:t>
      </w:r>
      <w:r>
        <w:rPr>
          <w:rFonts w:hint="eastAsia" w:cs="Calibri" w:asciiTheme="minorEastAsia" w:hAnsiTheme="minorEastAsia" w:eastAsiaTheme="minorEastAsia"/>
        </w:rPr>
        <w:t>3</w:t>
      </w:r>
      <w:r>
        <w:rPr>
          <w:rFonts w:asciiTheme="minorEastAsia" w:hAnsiTheme="minorEastAsia" w:eastAsiaTheme="minorEastAsia"/>
          <w:kern w:val="0"/>
        </w:rPr>
        <w:t>月</w:t>
      </w:r>
      <w:r>
        <w:rPr>
          <w:rFonts w:hint="eastAsia" w:asciiTheme="minorEastAsia" w:hAnsiTheme="minorEastAsia" w:eastAsiaTheme="minorEastAsia"/>
        </w:rPr>
        <w:t>19</w:t>
      </w:r>
      <w:r>
        <w:rPr>
          <w:rFonts w:asciiTheme="minorEastAsia" w:hAnsiTheme="minorEastAsia" w:eastAsiaTheme="minorEastAsia"/>
          <w:kern w:val="0"/>
        </w:rPr>
        <w:t>日</w:t>
      </w:r>
      <w:r>
        <w:rPr>
          <w:rFonts w:hint="eastAsia" w:asciiTheme="minorEastAsia" w:hAnsiTheme="minorEastAsia" w:eastAsiaTheme="minorEastAsia"/>
          <w:kern w:val="0"/>
        </w:rPr>
        <w:t>，公司召开第九届董事会提名委员会第</w:t>
      </w:r>
      <w:r>
        <w:rPr>
          <w:rFonts w:hint="eastAsia" w:asciiTheme="minorEastAsia" w:hAnsiTheme="minorEastAsia" w:eastAsiaTheme="minorEastAsia"/>
        </w:rPr>
        <w:t>二</w:t>
      </w:r>
      <w:r>
        <w:rPr>
          <w:rFonts w:hint="eastAsia" w:asciiTheme="minorEastAsia" w:hAnsiTheme="minorEastAsia" w:eastAsiaTheme="minorEastAsia"/>
          <w:kern w:val="0"/>
        </w:rPr>
        <w:t>次会议，通过《关于提名公司总工程师（化工）的议案》，并向董事会提名高春雷先生为公司总工程师（化工）。经审阅高春雷先生个人履历等相关资料，高春雷先生任职资格符合《公司法》、上市地监管规则及《公司章程》相关规定，建议董事会履行聘任程序。</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报告期内，按照《公司章程》等相关规定，董事会提名委员会根据公司的经营情况、资产规模和股权结构，检讨董事会的架构、人数和构成（包括技能、知识及经验方面），认为当前董事会构成和规模符合公司发展策略；公司独立非执行董事的独立性均符合要求。</w:t>
      </w:r>
    </w:p>
    <w:p>
      <w:pPr>
        <w:rPr>
          <w:rFonts w:asciiTheme="minorEastAsia" w:hAnsiTheme="minorEastAsia" w:eastAsiaTheme="minorEastAsia"/>
        </w:rPr>
      </w:pPr>
    </w:p>
    <w:p>
      <w:pPr>
        <w:pStyle w:val="4"/>
        <w:numPr>
          <w:ilvl w:val="0"/>
          <w:numId w:val="21"/>
        </w:numPr>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报告期内董事会薪酬委员会召开</w:t>
      </w:r>
      <w:r>
        <w:rPr>
          <w:rFonts w:cs="宋体" w:asciiTheme="minorEastAsia" w:hAnsiTheme="minorEastAsia" w:eastAsiaTheme="minorEastAsia"/>
          <w:kern w:val="0"/>
          <w:szCs w:val="24"/>
        </w:rPr>
        <w:t>3</w:t>
      </w:r>
      <w:r>
        <w:rPr>
          <w:rFonts w:hint="eastAsia" w:cs="宋体" w:asciiTheme="minorEastAsia" w:hAnsiTheme="minorEastAsia" w:eastAsiaTheme="minorEastAsia"/>
          <w:kern w:val="0"/>
          <w:szCs w:val="24"/>
        </w:rPr>
        <w:t>次会议</w:t>
      </w:r>
    </w:p>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公司董事会薪酬委员会委员为独立董事朱利民、胡家栋各位先生及朱睿女士。朱利民先生担任薪酬委员会主任。</w:t>
      </w:r>
    </w:p>
    <w:p>
      <w:pPr>
        <w:pStyle w:val="257"/>
        <w:rPr>
          <w:rFonts w:asciiTheme="minorEastAsia" w:hAnsiTheme="minorEastAsia" w:eastAsiaTheme="minorEastAsia"/>
          <w:b/>
          <w:bCs/>
        </w:rPr>
      </w:pPr>
      <w:r>
        <w:rPr>
          <w:rFonts w:hint="eastAsia" w:asciiTheme="minorEastAsia" w:hAnsiTheme="minorEastAsia" w:eastAsiaTheme="minorEastAsia"/>
        </w:rPr>
        <w:t>董事会薪酬委员会的主要职责包括：a.考虑董事、监事及高级管理人员岗位的主要范围、所承担的职责、须付出的时间、集团内其他职位的雇佣条件以及其他相关企业相关岗位的薪酬水平等因素，制定薪酬计划或方案，并向董事会提出建议；薪酬计划或方案主要包括但不限于参照董事会通过的公司目标制定绩效评价标准、程序及主要评价体系，奖励和惩罚的主要方案和制度等；b.对公司董事、监事及高级管理人员薪酬制度执行情况进行监督；c.参照董事会所订公司方针及目标，审查公司董事、监事及高级管理人员的履行职责情况并对其进行年度绩效考评，向董事会提出董事、监事及高级管理人员薪酬建议；d.对公司的股权激励方案进行研究并提出建议；e</w:t>
      </w:r>
      <w:r>
        <w:rPr>
          <w:rFonts w:asciiTheme="minorEastAsia" w:hAnsiTheme="minorEastAsia" w:eastAsiaTheme="minorEastAsia"/>
        </w:rPr>
        <w:t>.</w:t>
      </w:r>
      <w:r>
        <w:rPr>
          <w:rFonts w:hint="eastAsia" w:asciiTheme="minorEastAsia" w:hAnsiTheme="minorEastAsia" w:eastAsiaTheme="minorEastAsia"/>
        </w:rPr>
        <w:t>董事、高级管理人员在拟分拆所属子公司安排持股计划。报告期内</w:t>
      </w:r>
      <w:r>
        <w:rPr>
          <w:rFonts w:hint="eastAsia" w:asciiTheme="minorEastAsia" w:hAnsiTheme="minorEastAsia" w:eastAsiaTheme="minorEastAsia"/>
          <w:bCs/>
        </w:rPr>
        <w:t>董事会薪酬委员会召开3次会议。具体情况如下：</w:t>
      </w:r>
    </w:p>
    <w:tbl>
      <w:tblPr>
        <w:tblStyle w:val="20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599"/>
        <w:gridCol w:w="2035"/>
        <w:gridCol w:w="1018"/>
        <w:gridCol w:w="727"/>
        <w:gridCol w:w="2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0"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召开日期</w:t>
            </w:r>
          </w:p>
        </w:tc>
        <w:tc>
          <w:tcPr>
            <w:tcW w:w="88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会议内容</w:t>
            </w:r>
          </w:p>
        </w:tc>
        <w:tc>
          <w:tcPr>
            <w:tcW w:w="112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重要意见和建议</w:t>
            </w:r>
          </w:p>
        </w:tc>
        <w:tc>
          <w:tcPr>
            <w:tcW w:w="56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委员</w:t>
            </w:r>
          </w:p>
        </w:tc>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出席会议</w:t>
            </w:r>
          </w:p>
        </w:tc>
        <w:tc>
          <w:tcPr>
            <w:tcW w:w="1387"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其他履行职责情况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202</w:t>
            </w:r>
            <w:r>
              <w:rPr>
                <w:rFonts w:asciiTheme="minorEastAsia" w:hAnsiTheme="minorEastAsia" w:eastAsiaTheme="minorEastAsia"/>
                <w:sz w:val="21"/>
                <w:szCs w:val="21"/>
              </w:rPr>
              <w:t>3</w:t>
            </w:r>
            <w:r>
              <w:rPr>
                <w:rFonts w:hint="eastAsia" w:asciiTheme="minorEastAsia" w:hAnsiTheme="minorEastAsia" w:eastAsiaTheme="minorEastAsia"/>
                <w:sz w:val="21"/>
                <w:szCs w:val="21"/>
              </w:rPr>
              <w:t>年</w:t>
            </w:r>
            <w:r>
              <w:rPr>
                <w:rFonts w:asciiTheme="minorEastAsia" w:hAnsiTheme="minorEastAsia" w:eastAsiaTheme="minorEastAsia"/>
                <w:sz w:val="21"/>
                <w:szCs w:val="21"/>
              </w:rPr>
              <w:t>3</w:t>
            </w:r>
            <w:r>
              <w:rPr>
                <w:rFonts w:hint="eastAsia" w:asciiTheme="minorEastAsia" w:hAnsiTheme="minorEastAsia" w:eastAsiaTheme="minorEastAsia"/>
                <w:sz w:val="21"/>
                <w:szCs w:val="21"/>
              </w:rPr>
              <w:t>月</w:t>
            </w:r>
            <w:r>
              <w:rPr>
                <w:rFonts w:asciiTheme="minorEastAsia" w:hAnsiTheme="minorEastAsia" w:eastAsiaTheme="minorEastAsia"/>
                <w:sz w:val="21"/>
                <w:szCs w:val="21"/>
              </w:rPr>
              <w:t>17</w:t>
            </w:r>
            <w:r>
              <w:rPr>
                <w:rFonts w:hint="eastAsia" w:asciiTheme="minorEastAsia" w:hAnsiTheme="minorEastAsia" w:eastAsiaTheme="minorEastAsia"/>
                <w:sz w:val="21"/>
                <w:szCs w:val="21"/>
              </w:rPr>
              <w:t>日</w:t>
            </w:r>
          </w:p>
        </w:tc>
        <w:tc>
          <w:tcPr>
            <w:tcW w:w="883"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1.关于讨论审议公司董事、监事</w:t>
            </w:r>
            <w:r>
              <w:rPr>
                <w:rFonts w:asciiTheme="minorEastAsia" w:hAnsiTheme="minorEastAsia" w:eastAsiaTheme="minorEastAsia"/>
                <w:sz w:val="21"/>
                <w:szCs w:val="21"/>
              </w:rPr>
              <w:t>2023年度酬金的议案</w:t>
            </w:r>
            <w:r>
              <w:rPr>
                <w:rFonts w:hint="eastAsia" w:asciiTheme="minorEastAsia" w:hAnsiTheme="minorEastAsia" w:eastAsiaTheme="minorEastAsia"/>
                <w:sz w:val="21"/>
                <w:szCs w:val="21"/>
              </w:rPr>
              <w: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2.关于讨论审议公司高级管理人员</w:t>
            </w:r>
            <w:r>
              <w:rPr>
                <w:rFonts w:asciiTheme="minorEastAsia" w:hAnsiTheme="minorEastAsia" w:eastAsiaTheme="minorEastAsia"/>
                <w:sz w:val="21"/>
                <w:szCs w:val="21"/>
              </w:rPr>
              <w:t>2023年度酬金的议案</w:t>
            </w:r>
            <w:r>
              <w:rPr>
                <w:rFonts w:hint="eastAsia" w:asciiTheme="minorEastAsia" w:hAnsiTheme="minorEastAsia" w:eastAsiaTheme="minorEastAsia"/>
                <w:sz w:val="21"/>
                <w:szCs w:val="21"/>
              </w:rPr>
              <w:t>。</w:t>
            </w:r>
          </w:p>
        </w:tc>
        <w:tc>
          <w:tcPr>
            <w:tcW w:w="1124"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1.通过《关于讨论审议公司董事、监事</w:t>
            </w:r>
            <w:r>
              <w:rPr>
                <w:rFonts w:asciiTheme="minorEastAsia" w:hAnsiTheme="minorEastAsia" w:eastAsiaTheme="minorEastAsia"/>
                <w:sz w:val="21"/>
                <w:szCs w:val="21"/>
              </w:rPr>
              <w:t>2023年度酬金的议案</w:t>
            </w:r>
            <w:r>
              <w:rPr>
                <w:rFonts w:hint="eastAsia" w:asciiTheme="minorEastAsia" w:hAnsiTheme="minorEastAsia" w:eastAsiaTheme="minorEastAsia"/>
                <w:sz w:val="21"/>
                <w:szCs w:val="21"/>
              </w:rPr>
              <w:t>》，并提交公司董事会讨论审议。</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2.通过《关于讨论审议公司高级管理人员</w:t>
            </w:r>
            <w:r>
              <w:rPr>
                <w:rFonts w:asciiTheme="minorEastAsia" w:hAnsiTheme="minorEastAsia" w:eastAsiaTheme="minorEastAsia"/>
                <w:sz w:val="21"/>
                <w:szCs w:val="21"/>
              </w:rPr>
              <w:t>2023年度酬金的议案</w:t>
            </w:r>
            <w:r>
              <w:rPr>
                <w:rFonts w:hint="eastAsia" w:asciiTheme="minorEastAsia" w:hAnsiTheme="minorEastAsia" w:eastAsiaTheme="minorEastAsia"/>
                <w:sz w:val="21"/>
                <w:szCs w:val="21"/>
              </w:rPr>
              <w:t>》，并提交公司董事会讨论审议。</w:t>
            </w:r>
          </w:p>
        </w:tc>
        <w:tc>
          <w:tcPr>
            <w:tcW w:w="56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朱利民</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蔡  昌</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潘昭国</w:t>
            </w:r>
          </w:p>
        </w:tc>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387"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asciiTheme="minorEastAsia" w:hAnsiTheme="minorEastAsia" w:eastAsiaTheme="minorEastAsia"/>
                <w:sz w:val="21"/>
                <w:szCs w:val="21"/>
              </w:rPr>
              <w:t>1.建议公司独立董事2023年度人均酬金为15万元(含税)。建议公司2023年度完成经营目标后，按照公司薪酬考核政策，确定从公司领取薪酬的非独立董事、监事薪酬水平。</w:t>
            </w:r>
          </w:p>
          <w:p>
            <w:pPr>
              <w:rPr>
                <w:rFonts w:asciiTheme="minorEastAsia" w:hAnsiTheme="minorEastAsia" w:eastAsiaTheme="minorEastAsia"/>
                <w:sz w:val="21"/>
                <w:szCs w:val="21"/>
              </w:rPr>
            </w:pPr>
            <w:r>
              <w:rPr>
                <w:rFonts w:asciiTheme="minorEastAsia" w:hAnsiTheme="minorEastAsia" w:eastAsiaTheme="minorEastAsia"/>
                <w:sz w:val="21"/>
                <w:szCs w:val="21"/>
              </w:rPr>
              <w:t>2.建议公司2023年度完成经营目标后，按照公司薪酬考核政策，确定非董事高级管理人员薪酬水平。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202</w:t>
            </w:r>
            <w:r>
              <w:rPr>
                <w:rFonts w:asciiTheme="minorEastAsia" w:hAnsiTheme="minorEastAsia" w:eastAsiaTheme="minorEastAsia"/>
                <w:sz w:val="21"/>
                <w:szCs w:val="21"/>
              </w:rPr>
              <w:t>3</w:t>
            </w:r>
            <w:r>
              <w:rPr>
                <w:rFonts w:hint="eastAsia" w:asciiTheme="minorEastAsia" w:hAnsiTheme="minorEastAsia" w:eastAsiaTheme="minorEastAsia"/>
                <w:sz w:val="21"/>
                <w:szCs w:val="21"/>
              </w:rPr>
              <w:t>年</w:t>
            </w:r>
            <w:r>
              <w:rPr>
                <w:rFonts w:asciiTheme="minorEastAsia" w:hAnsiTheme="minorEastAsia" w:eastAsiaTheme="minorEastAsia"/>
                <w:sz w:val="21"/>
                <w:szCs w:val="21"/>
              </w:rPr>
              <w:t>4</w:t>
            </w:r>
            <w:r>
              <w:rPr>
                <w:rFonts w:hint="eastAsia" w:asciiTheme="minorEastAsia" w:hAnsiTheme="minorEastAsia" w:eastAsiaTheme="minorEastAsia"/>
                <w:sz w:val="21"/>
                <w:szCs w:val="21"/>
              </w:rPr>
              <w:t>月2</w:t>
            </w:r>
            <w:r>
              <w:rPr>
                <w:rFonts w:asciiTheme="minorEastAsia" w:hAnsiTheme="minorEastAsia" w:eastAsiaTheme="minorEastAsia"/>
                <w:sz w:val="21"/>
                <w:szCs w:val="21"/>
              </w:rPr>
              <w:t>1</w:t>
            </w:r>
            <w:r>
              <w:rPr>
                <w:rFonts w:hint="eastAsia" w:asciiTheme="minorEastAsia" w:hAnsiTheme="minorEastAsia" w:eastAsiaTheme="minorEastAsia"/>
                <w:sz w:val="21"/>
                <w:szCs w:val="21"/>
              </w:rPr>
              <w:t>日</w:t>
            </w:r>
          </w:p>
        </w:tc>
        <w:tc>
          <w:tcPr>
            <w:tcW w:w="883"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1.关于调整</w:t>
            </w:r>
            <w:r>
              <w:rPr>
                <w:rFonts w:asciiTheme="minorEastAsia" w:hAnsiTheme="minorEastAsia" w:eastAsiaTheme="minorEastAsia"/>
                <w:sz w:val="21"/>
                <w:szCs w:val="21"/>
              </w:rPr>
              <w:t>2018年A股股票期权激励计划相关事项的议案</w:t>
            </w:r>
            <w:r>
              <w:rPr>
                <w:rFonts w:hint="eastAsia" w:asciiTheme="minorEastAsia" w:hAnsiTheme="minorEastAsia" w:eastAsiaTheme="minorEastAsia"/>
                <w:sz w:val="21"/>
                <w:szCs w:val="21"/>
              </w:rPr>
              <w:t>。</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2.关于</w:t>
            </w:r>
            <w:r>
              <w:rPr>
                <w:rFonts w:asciiTheme="minorEastAsia" w:hAnsiTheme="minorEastAsia" w:eastAsiaTheme="minorEastAsia"/>
                <w:sz w:val="21"/>
                <w:szCs w:val="21"/>
              </w:rPr>
              <w:t>2018年A股股票期权激励计划行权条件成就的议案</w:t>
            </w:r>
            <w:r>
              <w:rPr>
                <w:rFonts w:hint="eastAsia" w:asciiTheme="minorEastAsia" w:hAnsiTheme="minorEastAsia" w:eastAsiaTheme="minorEastAsia"/>
                <w:sz w:val="21"/>
                <w:szCs w:val="21"/>
              </w:rPr>
              <w:t>。</w:t>
            </w:r>
          </w:p>
        </w:tc>
        <w:tc>
          <w:tcPr>
            <w:tcW w:w="1124"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1.通过《关于调整</w:t>
            </w:r>
            <w:r>
              <w:rPr>
                <w:rFonts w:asciiTheme="minorEastAsia" w:hAnsiTheme="minorEastAsia" w:eastAsiaTheme="minorEastAsia"/>
                <w:sz w:val="21"/>
                <w:szCs w:val="21"/>
              </w:rPr>
              <w:t>2018年A股股票期权激励计划相关事项的议案</w:t>
            </w:r>
            <w:r>
              <w:rPr>
                <w:rFonts w:hint="eastAsia" w:asciiTheme="minorEastAsia" w:hAnsiTheme="minorEastAsia" w:eastAsiaTheme="minorEastAsia"/>
                <w:sz w:val="21"/>
                <w:szCs w:val="21"/>
              </w:rPr>
              <w:t>》，并提交公司董事会讨论审议。</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2.通过</w:t>
            </w:r>
            <w:r>
              <w:rPr>
                <w:rFonts w:asciiTheme="minorEastAsia" w:hAnsiTheme="minorEastAsia" w:eastAsiaTheme="minorEastAsia"/>
                <w:sz w:val="21"/>
                <w:szCs w:val="21"/>
              </w:rPr>
              <w:t>2018年A股股票期权激励计划第三个行权期绩效考核报告以及激励对象的考核结果，并将《关于2018年A股股票期权激励计划</w:t>
            </w:r>
            <w:r>
              <w:rPr>
                <w:rFonts w:hint="eastAsia" w:asciiTheme="minorEastAsia" w:hAnsiTheme="minorEastAsia" w:eastAsiaTheme="minorEastAsia"/>
                <w:sz w:val="21"/>
                <w:szCs w:val="21"/>
              </w:rPr>
              <w:t>第三个行权期</w:t>
            </w:r>
            <w:r>
              <w:rPr>
                <w:rFonts w:asciiTheme="minorEastAsia" w:hAnsiTheme="minorEastAsia" w:eastAsiaTheme="minorEastAsia"/>
                <w:sz w:val="21"/>
                <w:szCs w:val="21"/>
              </w:rPr>
              <w:t>行权条件成就的议案》提交公司董事会讨论审议</w:t>
            </w:r>
            <w:r>
              <w:rPr>
                <w:rFonts w:hint="eastAsia" w:asciiTheme="minorEastAsia" w:hAnsiTheme="minorEastAsia" w:eastAsiaTheme="minorEastAsia"/>
                <w:sz w:val="21"/>
                <w:szCs w:val="21"/>
              </w:rPr>
              <w:t>。</w:t>
            </w:r>
          </w:p>
        </w:tc>
        <w:tc>
          <w:tcPr>
            <w:tcW w:w="56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朱利民</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蔡  昌</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潘昭国</w:t>
            </w:r>
          </w:p>
        </w:tc>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387"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202</w:t>
            </w:r>
            <w:r>
              <w:rPr>
                <w:rFonts w:asciiTheme="minorEastAsia" w:hAnsiTheme="minorEastAsia" w:eastAsiaTheme="minorEastAsia"/>
                <w:sz w:val="21"/>
                <w:szCs w:val="21"/>
              </w:rPr>
              <w:t>3</w:t>
            </w:r>
            <w:r>
              <w:rPr>
                <w:rFonts w:hint="eastAsia" w:asciiTheme="minorEastAsia" w:hAnsiTheme="minorEastAsia" w:eastAsiaTheme="minorEastAsia"/>
                <w:sz w:val="21"/>
                <w:szCs w:val="21"/>
              </w:rPr>
              <w:t>年</w:t>
            </w:r>
            <w:r>
              <w:rPr>
                <w:rFonts w:asciiTheme="minorEastAsia" w:hAnsiTheme="minorEastAsia" w:eastAsiaTheme="minorEastAsia"/>
                <w:sz w:val="21"/>
                <w:szCs w:val="21"/>
              </w:rPr>
              <w:t>8</w:t>
            </w:r>
            <w:r>
              <w:rPr>
                <w:rFonts w:hint="eastAsia" w:asciiTheme="minorEastAsia" w:hAnsiTheme="minorEastAsia" w:eastAsiaTheme="minorEastAsia"/>
                <w:sz w:val="21"/>
                <w:szCs w:val="21"/>
              </w:rPr>
              <w:t>月</w:t>
            </w:r>
            <w:r>
              <w:rPr>
                <w:rFonts w:asciiTheme="minorEastAsia" w:hAnsiTheme="minorEastAsia" w:eastAsiaTheme="minorEastAsia"/>
                <w:sz w:val="21"/>
                <w:szCs w:val="21"/>
              </w:rPr>
              <w:t>15</w:t>
            </w:r>
            <w:r>
              <w:rPr>
                <w:rFonts w:hint="eastAsia" w:asciiTheme="minorEastAsia" w:hAnsiTheme="minorEastAsia" w:eastAsiaTheme="minorEastAsia"/>
                <w:sz w:val="21"/>
                <w:szCs w:val="21"/>
              </w:rPr>
              <w:t>日</w:t>
            </w:r>
          </w:p>
        </w:tc>
        <w:tc>
          <w:tcPr>
            <w:tcW w:w="883"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关于调整</w:t>
            </w:r>
            <w:r>
              <w:rPr>
                <w:rFonts w:asciiTheme="minorEastAsia" w:hAnsiTheme="minorEastAsia" w:eastAsiaTheme="minorEastAsia"/>
                <w:sz w:val="21"/>
                <w:szCs w:val="21"/>
              </w:rPr>
              <w:t>2021年A股限制性股票激励计划相关事项</w:t>
            </w:r>
            <w:r>
              <w:rPr>
                <w:rFonts w:hint="eastAsia" w:asciiTheme="minorEastAsia" w:hAnsiTheme="minorEastAsia" w:eastAsiaTheme="minorEastAsia"/>
                <w:sz w:val="21"/>
                <w:szCs w:val="21"/>
              </w:rPr>
              <w:t>并回购注销部分限制性股票的议案。</w:t>
            </w:r>
          </w:p>
        </w:tc>
        <w:tc>
          <w:tcPr>
            <w:tcW w:w="1124"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通过《关于调整</w:t>
            </w:r>
            <w:r>
              <w:rPr>
                <w:rFonts w:asciiTheme="minorEastAsia" w:hAnsiTheme="minorEastAsia" w:eastAsiaTheme="minorEastAsia"/>
                <w:sz w:val="21"/>
                <w:szCs w:val="21"/>
              </w:rPr>
              <w:t>2021年A股限制性股票激励计划相关事项</w:t>
            </w:r>
            <w:r>
              <w:rPr>
                <w:rFonts w:hint="eastAsia" w:asciiTheme="minorEastAsia" w:hAnsiTheme="minorEastAsia" w:eastAsiaTheme="minorEastAsia"/>
                <w:sz w:val="21"/>
                <w:szCs w:val="21"/>
              </w:rPr>
              <w:t>并回购注销部分限制性股票的议案》，并提交公司董事会讨论审议。</w:t>
            </w:r>
          </w:p>
        </w:tc>
        <w:tc>
          <w:tcPr>
            <w:tcW w:w="56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朱利民</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胡家栋</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朱 </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睿</w:t>
            </w:r>
          </w:p>
        </w:tc>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387"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bl>
    <w:p>
      <w:pPr>
        <w:ind w:firstLine="420" w:firstLineChars="200"/>
        <w:rPr>
          <w:rFonts w:asciiTheme="minorEastAsia" w:hAnsiTheme="minorEastAsia" w:eastAsiaTheme="minorEastAsia"/>
        </w:rPr>
      </w:pPr>
      <w:r>
        <w:rPr>
          <w:rFonts w:hint="eastAsia" w:asciiTheme="minorEastAsia" w:hAnsiTheme="minorEastAsia" w:eastAsiaTheme="minorEastAsia"/>
        </w:rPr>
        <w:t>注：经公司202</w:t>
      </w:r>
      <w:r>
        <w:rPr>
          <w:rFonts w:asciiTheme="minorEastAsia" w:hAnsiTheme="minorEastAsia" w:eastAsiaTheme="minorEastAsia"/>
        </w:rPr>
        <w:t>3</w:t>
      </w:r>
      <w:r>
        <w:rPr>
          <w:rFonts w:hint="eastAsia" w:asciiTheme="minorEastAsia" w:hAnsiTheme="minorEastAsia" w:eastAsiaTheme="minorEastAsia"/>
        </w:rPr>
        <w:t>年6月3</w:t>
      </w:r>
      <w:r>
        <w:rPr>
          <w:rFonts w:asciiTheme="minorEastAsia" w:hAnsiTheme="minorEastAsia" w:eastAsiaTheme="minorEastAsia"/>
        </w:rPr>
        <w:t>0</w:t>
      </w:r>
      <w:r>
        <w:rPr>
          <w:rFonts w:hint="eastAsia" w:asciiTheme="minorEastAsia" w:hAnsiTheme="minorEastAsia" w:eastAsiaTheme="minorEastAsia"/>
        </w:rPr>
        <w:t>日召开的第九届董事会第一次会议讨论审议，批准由朱利民先生、胡家栋先生及朱睿女士三位委员组成公司第九届董事会薪酬委员会，朱利民先生担任薪酬委员会主任。</w:t>
      </w:r>
    </w:p>
    <w:p>
      <w:pPr>
        <w:ind w:firstLine="420" w:firstLineChars="200"/>
        <w:rPr>
          <w:rFonts w:asciiTheme="minorEastAsia" w:hAnsiTheme="minorEastAsia" w:eastAsiaTheme="minorEastAsia"/>
        </w:rPr>
      </w:pPr>
    </w:p>
    <w:p>
      <w:pPr>
        <w:pStyle w:val="259"/>
        <w:ind w:firstLine="420" w:firstLineChars="200"/>
        <w:rPr>
          <w:rFonts w:asciiTheme="minorEastAsia" w:hAnsiTheme="minorEastAsia" w:eastAsiaTheme="minorEastAsia"/>
          <w:kern w:val="0"/>
        </w:rPr>
      </w:pPr>
      <w:r>
        <w:rPr>
          <w:rFonts w:asciiTheme="minorEastAsia" w:hAnsiTheme="minorEastAsia" w:eastAsiaTheme="minorEastAsia"/>
          <w:kern w:val="0"/>
        </w:rPr>
        <w:t>2024</w:t>
      </w:r>
      <w:r>
        <w:rPr>
          <w:rFonts w:hint="eastAsia" w:asciiTheme="minorEastAsia" w:hAnsiTheme="minorEastAsia" w:eastAsiaTheme="minorEastAsia"/>
          <w:kern w:val="0"/>
        </w:rPr>
        <w:t>年2月2</w:t>
      </w:r>
      <w:r>
        <w:rPr>
          <w:rFonts w:asciiTheme="minorEastAsia" w:hAnsiTheme="minorEastAsia" w:eastAsiaTheme="minorEastAsia"/>
          <w:kern w:val="0"/>
        </w:rPr>
        <w:t>3</w:t>
      </w:r>
      <w:r>
        <w:rPr>
          <w:rFonts w:hint="eastAsia" w:asciiTheme="minorEastAsia" w:hAnsiTheme="minorEastAsia" w:eastAsiaTheme="minorEastAsia"/>
          <w:kern w:val="0"/>
        </w:rPr>
        <w:t>日，公司召开第九届董事会薪酬委员会第二次会议，通过《关于回购注销部分激励对象限制性股票的议案》《关于2</w:t>
      </w:r>
      <w:r>
        <w:rPr>
          <w:rFonts w:asciiTheme="minorEastAsia" w:hAnsiTheme="minorEastAsia" w:eastAsiaTheme="minorEastAsia"/>
          <w:kern w:val="0"/>
        </w:rPr>
        <w:t>021</w:t>
      </w:r>
      <w:r>
        <w:rPr>
          <w:rFonts w:hint="eastAsia" w:asciiTheme="minorEastAsia" w:hAnsiTheme="minorEastAsia" w:eastAsiaTheme="minorEastAsia"/>
          <w:kern w:val="0"/>
        </w:rPr>
        <w:t>年A股限制性股票激励计划第一个解除限售期条件成就的议案》</w:t>
      </w:r>
      <w:r>
        <w:rPr>
          <w:rFonts w:asciiTheme="minorEastAsia" w:hAnsiTheme="minorEastAsia" w:eastAsiaTheme="minorEastAsia"/>
          <w:kern w:val="0"/>
        </w:rPr>
        <w:t>，并提交公司董事会讨论审议</w:t>
      </w:r>
      <w:r>
        <w:rPr>
          <w:rFonts w:hint="eastAsia" w:asciiTheme="minorEastAsia" w:hAnsiTheme="minorEastAsia" w:eastAsiaTheme="minorEastAsia"/>
          <w:kern w:val="0"/>
        </w:rPr>
        <w:t>。</w:t>
      </w:r>
    </w:p>
    <w:p>
      <w:pPr>
        <w:pStyle w:val="259"/>
        <w:ind w:firstLine="420" w:firstLineChars="200"/>
        <w:rPr>
          <w:rFonts w:asciiTheme="minorEastAsia" w:hAnsiTheme="minorEastAsia" w:eastAsiaTheme="minorEastAsia"/>
        </w:rPr>
      </w:pPr>
      <w:r>
        <w:rPr>
          <w:rFonts w:asciiTheme="minorEastAsia" w:hAnsiTheme="minorEastAsia" w:eastAsiaTheme="minorEastAsia"/>
          <w:kern w:val="0"/>
        </w:rPr>
        <w:t>202</w:t>
      </w:r>
      <w:r>
        <w:rPr>
          <w:rFonts w:hint="eastAsia" w:asciiTheme="minorEastAsia" w:hAnsiTheme="minorEastAsia" w:eastAsiaTheme="minorEastAsia"/>
          <w:kern w:val="0"/>
        </w:rPr>
        <w:t>4</w:t>
      </w:r>
      <w:r>
        <w:rPr>
          <w:rFonts w:asciiTheme="minorEastAsia" w:hAnsiTheme="minorEastAsia" w:eastAsiaTheme="minorEastAsia"/>
          <w:kern w:val="0"/>
        </w:rPr>
        <w:t>年</w:t>
      </w:r>
      <w:r>
        <w:rPr>
          <w:rFonts w:hint="eastAsia" w:asciiTheme="minorEastAsia" w:hAnsiTheme="minorEastAsia" w:eastAsiaTheme="minorEastAsia"/>
          <w:kern w:val="0"/>
        </w:rPr>
        <w:t>3</w:t>
      </w:r>
      <w:r>
        <w:rPr>
          <w:rFonts w:asciiTheme="minorEastAsia" w:hAnsiTheme="minorEastAsia" w:eastAsiaTheme="minorEastAsia"/>
          <w:kern w:val="0"/>
        </w:rPr>
        <w:t>月</w:t>
      </w:r>
      <w:r>
        <w:rPr>
          <w:rFonts w:hint="eastAsia" w:asciiTheme="minorEastAsia" w:hAnsiTheme="minorEastAsia" w:eastAsiaTheme="minorEastAsia"/>
          <w:kern w:val="0"/>
        </w:rPr>
        <w:t>19</w:t>
      </w:r>
      <w:r>
        <w:rPr>
          <w:rFonts w:asciiTheme="minorEastAsia" w:hAnsiTheme="minorEastAsia" w:eastAsiaTheme="minorEastAsia"/>
          <w:kern w:val="0"/>
        </w:rPr>
        <w:t>日</w:t>
      </w:r>
      <w:r>
        <w:rPr>
          <w:rFonts w:hint="eastAsia" w:asciiTheme="minorEastAsia" w:hAnsiTheme="minorEastAsia" w:eastAsiaTheme="minorEastAsia"/>
          <w:kern w:val="0"/>
        </w:rPr>
        <w:t>，公司召开第九届董事会薪酬委员会第三次会议，通过</w:t>
      </w:r>
      <w:r>
        <w:rPr>
          <w:rFonts w:asciiTheme="minorEastAsia" w:hAnsiTheme="minorEastAsia" w:eastAsiaTheme="minorEastAsia"/>
          <w:kern w:val="0"/>
        </w:rPr>
        <w:t>《关于讨论审议董事、监事202</w:t>
      </w:r>
      <w:r>
        <w:rPr>
          <w:rFonts w:hint="eastAsia" w:asciiTheme="minorEastAsia" w:hAnsiTheme="minorEastAsia" w:eastAsiaTheme="minorEastAsia"/>
          <w:kern w:val="0"/>
        </w:rPr>
        <w:t>4</w:t>
      </w:r>
      <w:r>
        <w:rPr>
          <w:rFonts w:asciiTheme="minorEastAsia" w:hAnsiTheme="minorEastAsia" w:eastAsiaTheme="minorEastAsia"/>
          <w:kern w:val="0"/>
        </w:rPr>
        <w:t>年度酬金的议案》《关于讨论审议高级管理人员202</w:t>
      </w:r>
      <w:r>
        <w:rPr>
          <w:rFonts w:hint="eastAsia" w:asciiTheme="minorEastAsia" w:hAnsiTheme="minorEastAsia" w:eastAsiaTheme="minorEastAsia"/>
          <w:kern w:val="0"/>
        </w:rPr>
        <w:t>4</w:t>
      </w:r>
      <w:r>
        <w:rPr>
          <w:rFonts w:asciiTheme="minorEastAsia" w:hAnsiTheme="minorEastAsia" w:eastAsiaTheme="minorEastAsia"/>
          <w:kern w:val="0"/>
        </w:rPr>
        <w:t>年度酬金的议案》，并提交公司董事会讨论审议。</w:t>
      </w:r>
    </w:p>
    <w:p>
      <w:pPr>
        <w:pStyle w:val="259"/>
        <w:ind w:firstLine="420" w:firstLineChars="200"/>
        <w:rPr>
          <w:rFonts w:asciiTheme="minorEastAsia" w:hAnsiTheme="minorEastAsia" w:eastAsiaTheme="minorEastAsia"/>
        </w:rPr>
      </w:pPr>
    </w:p>
    <w:p>
      <w:pPr>
        <w:pStyle w:val="4"/>
        <w:numPr>
          <w:ilvl w:val="0"/>
          <w:numId w:val="21"/>
        </w:numPr>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报告期内董事会战略与发展委员会召开</w:t>
      </w:r>
      <w:r>
        <w:rPr>
          <w:rFonts w:cs="宋体" w:asciiTheme="minorEastAsia" w:hAnsiTheme="minorEastAsia" w:eastAsiaTheme="minorEastAsia"/>
          <w:kern w:val="0"/>
          <w:szCs w:val="24"/>
        </w:rPr>
        <w:t>2</w:t>
      </w:r>
      <w:r>
        <w:rPr>
          <w:rFonts w:hint="eastAsia" w:cs="宋体" w:asciiTheme="minorEastAsia" w:hAnsiTheme="minorEastAsia" w:eastAsiaTheme="minorEastAsia"/>
          <w:kern w:val="0"/>
          <w:szCs w:val="24"/>
        </w:rPr>
        <w:t>次会议</w:t>
      </w:r>
    </w:p>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公司董事会战略与发展委员会委员为董事李伟、肖耀猛、刘健各位先生及独立董事彭苏萍先生、朱利民先生。李伟先生担任战略与发展委员会主任。</w:t>
      </w:r>
    </w:p>
    <w:p>
      <w:pPr>
        <w:ind w:firstLine="420" w:firstLineChars="200"/>
        <w:rPr>
          <w:rFonts w:asciiTheme="minorEastAsia" w:hAnsiTheme="minorEastAsia" w:eastAsiaTheme="minorEastAsia"/>
        </w:rPr>
      </w:pPr>
    </w:p>
    <w:p>
      <w:pPr>
        <w:pStyle w:val="257"/>
        <w:rPr>
          <w:rFonts w:asciiTheme="minorEastAsia" w:hAnsiTheme="minorEastAsia" w:eastAsiaTheme="minorEastAsia"/>
        </w:rPr>
      </w:pPr>
      <w:r>
        <w:rPr>
          <w:rFonts w:hint="eastAsia" w:asciiTheme="minorEastAsia" w:hAnsiTheme="minorEastAsia" w:eastAsiaTheme="minorEastAsia"/>
        </w:rPr>
        <w:t>董事会战略与发展委员会的主要职责包括：a</w:t>
      </w:r>
      <w:r>
        <w:rPr>
          <w:rFonts w:asciiTheme="minorEastAsia" w:hAnsiTheme="minorEastAsia" w:eastAsiaTheme="minorEastAsia"/>
        </w:rPr>
        <w:t>.</w:t>
      </w:r>
      <w:r>
        <w:rPr>
          <w:rFonts w:hint="eastAsia" w:asciiTheme="minorEastAsia" w:hAnsiTheme="minorEastAsia" w:eastAsiaTheme="minorEastAsia"/>
        </w:rPr>
        <w:t>对公司长期发展战略和重大投资决策进行研究并提出建议；b</w:t>
      </w:r>
      <w:r>
        <w:rPr>
          <w:rFonts w:asciiTheme="minorEastAsia" w:hAnsiTheme="minorEastAsia" w:eastAsiaTheme="minorEastAsia"/>
        </w:rPr>
        <w:t>．对公司的年度战略发展计划和经营计划进行研究并提出建议；</w:t>
      </w:r>
      <w:r>
        <w:rPr>
          <w:rFonts w:hint="eastAsia" w:asciiTheme="minorEastAsia" w:hAnsiTheme="minorEastAsia" w:eastAsiaTheme="minorEastAsia"/>
        </w:rPr>
        <w:t>c</w:t>
      </w:r>
      <w:r>
        <w:rPr>
          <w:rFonts w:asciiTheme="minorEastAsia" w:hAnsiTheme="minorEastAsia" w:eastAsiaTheme="minorEastAsia"/>
        </w:rPr>
        <w:t>．对影响公司发展的其他重大事项进行研究并提出建议；</w:t>
      </w:r>
      <w:r>
        <w:rPr>
          <w:rFonts w:hint="eastAsia" w:asciiTheme="minorEastAsia" w:hAnsiTheme="minorEastAsia" w:eastAsiaTheme="minorEastAsia"/>
        </w:rPr>
        <w:t>d</w:t>
      </w:r>
      <w:r>
        <w:rPr>
          <w:rFonts w:asciiTheme="minorEastAsia" w:hAnsiTheme="minorEastAsia" w:eastAsiaTheme="minorEastAsia"/>
        </w:rPr>
        <w:t>．对以上事项的实施情况进行监督</w:t>
      </w:r>
      <w:r>
        <w:rPr>
          <w:rFonts w:hint="eastAsia" w:asciiTheme="minorEastAsia" w:hAnsiTheme="minorEastAsia" w:eastAsiaTheme="minorEastAsia"/>
        </w:rPr>
        <w:t>。报告期内</w:t>
      </w:r>
      <w:r>
        <w:rPr>
          <w:rFonts w:hint="eastAsia" w:asciiTheme="minorEastAsia" w:hAnsiTheme="minorEastAsia" w:eastAsiaTheme="minorEastAsia"/>
          <w:bCs/>
        </w:rPr>
        <w:t>董事会战略与发展委员会召开</w:t>
      </w:r>
      <w:r>
        <w:rPr>
          <w:rFonts w:asciiTheme="minorEastAsia" w:hAnsiTheme="minorEastAsia" w:eastAsiaTheme="minorEastAsia"/>
          <w:bCs/>
        </w:rPr>
        <w:t>2</w:t>
      </w:r>
      <w:r>
        <w:rPr>
          <w:rFonts w:hint="eastAsia" w:asciiTheme="minorEastAsia" w:hAnsiTheme="minorEastAsia" w:eastAsiaTheme="minorEastAsia"/>
          <w:bCs/>
        </w:rPr>
        <w:t>次会议。具体情况如下：</w:t>
      </w:r>
    </w:p>
    <w:tbl>
      <w:tblPr>
        <w:tblStyle w:val="20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892"/>
        <w:gridCol w:w="2471"/>
        <w:gridCol w:w="1164"/>
        <w:gridCol w:w="1164"/>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召开日期</w:t>
            </w:r>
          </w:p>
        </w:tc>
        <w:tc>
          <w:tcPr>
            <w:tcW w:w="1046"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会议内容</w:t>
            </w:r>
          </w:p>
        </w:tc>
        <w:tc>
          <w:tcPr>
            <w:tcW w:w="136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重要意见和建议</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委员</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出席会议</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其他履行职责情况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202</w:t>
            </w:r>
            <w:r>
              <w:rPr>
                <w:rFonts w:asciiTheme="minorEastAsia" w:hAnsiTheme="minorEastAsia" w:eastAsiaTheme="minorEastAsia"/>
                <w:sz w:val="21"/>
                <w:szCs w:val="21"/>
              </w:rPr>
              <w:t>3</w:t>
            </w:r>
            <w:r>
              <w:rPr>
                <w:rFonts w:hint="eastAsia" w:asciiTheme="minorEastAsia" w:hAnsiTheme="minorEastAsia" w:eastAsiaTheme="minorEastAsia"/>
                <w:sz w:val="21"/>
                <w:szCs w:val="21"/>
              </w:rPr>
              <w:t>年</w:t>
            </w:r>
            <w:r>
              <w:rPr>
                <w:rFonts w:asciiTheme="minorEastAsia" w:hAnsiTheme="minorEastAsia" w:eastAsiaTheme="minorEastAsia"/>
                <w:sz w:val="21"/>
                <w:szCs w:val="21"/>
              </w:rPr>
              <w:t>3</w:t>
            </w:r>
            <w:r>
              <w:rPr>
                <w:rFonts w:hint="eastAsia" w:asciiTheme="minorEastAsia" w:hAnsiTheme="minorEastAsia" w:eastAsiaTheme="minorEastAsia"/>
                <w:sz w:val="21"/>
                <w:szCs w:val="21"/>
              </w:rPr>
              <w:t>月</w:t>
            </w:r>
            <w:r>
              <w:rPr>
                <w:rFonts w:asciiTheme="minorEastAsia" w:hAnsiTheme="minorEastAsia" w:eastAsiaTheme="minorEastAsia"/>
                <w:sz w:val="21"/>
                <w:szCs w:val="21"/>
              </w:rPr>
              <w:t>17</w:t>
            </w:r>
            <w:r>
              <w:rPr>
                <w:rFonts w:hint="eastAsia" w:asciiTheme="minorEastAsia" w:hAnsiTheme="minorEastAsia" w:eastAsiaTheme="minorEastAsia"/>
                <w:sz w:val="21"/>
                <w:szCs w:val="21"/>
              </w:rPr>
              <w:t>日</w:t>
            </w:r>
          </w:p>
        </w:tc>
        <w:tc>
          <w:tcPr>
            <w:tcW w:w="1046"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关于讨论审议《</w:t>
            </w:r>
            <w:r>
              <w:rPr>
                <w:rFonts w:asciiTheme="minorEastAsia" w:hAnsiTheme="minorEastAsia" w:eastAsiaTheme="minorEastAsia"/>
                <w:sz w:val="21"/>
                <w:szCs w:val="21"/>
              </w:rPr>
              <w:t>2023年度生产经营和资本性开支计划</w:t>
            </w:r>
            <w:r>
              <w:rPr>
                <w:rFonts w:hint="eastAsia" w:asciiTheme="minorEastAsia" w:hAnsiTheme="minorEastAsia" w:eastAsiaTheme="minorEastAsia"/>
                <w:sz w:val="21"/>
                <w:szCs w:val="21"/>
              </w:rPr>
              <w:t>》的议案。</w:t>
            </w:r>
          </w:p>
        </w:tc>
        <w:tc>
          <w:tcPr>
            <w:tcW w:w="1365"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通过《关于讨论审议</w:t>
            </w:r>
            <w:r>
              <w:rPr>
                <w:rFonts w:asciiTheme="minorEastAsia" w:hAnsiTheme="minorEastAsia" w:eastAsiaTheme="minorEastAsia"/>
                <w:sz w:val="21"/>
                <w:szCs w:val="21"/>
              </w:rPr>
              <w:t>&lt;2023年度生产经营和资本性开支计划&gt;的议案</w:t>
            </w:r>
            <w:r>
              <w:rPr>
                <w:rFonts w:hint="eastAsia" w:asciiTheme="minorEastAsia" w:hAnsiTheme="minorEastAsia" w:eastAsiaTheme="minorEastAsia"/>
                <w:sz w:val="21"/>
                <w:szCs w:val="21"/>
              </w:rPr>
              <w:t>》，并提交公司董事会讨论审议。</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李 </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伟</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肖耀猛</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刘 </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健</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朱利民</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潘昭国</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202</w:t>
            </w:r>
            <w:r>
              <w:rPr>
                <w:rFonts w:asciiTheme="minorEastAsia" w:hAnsiTheme="minorEastAsia" w:eastAsiaTheme="minorEastAsia"/>
                <w:sz w:val="21"/>
                <w:szCs w:val="21"/>
              </w:rPr>
              <w:t>3</w:t>
            </w:r>
            <w:r>
              <w:rPr>
                <w:rFonts w:hint="eastAsia" w:asciiTheme="minorEastAsia" w:hAnsiTheme="minorEastAsia" w:eastAsiaTheme="minorEastAsia"/>
                <w:sz w:val="21"/>
                <w:szCs w:val="21"/>
              </w:rPr>
              <w:t>年</w:t>
            </w:r>
            <w:r>
              <w:rPr>
                <w:rFonts w:asciiTheme="minorEastAsia" w:hAnsiTheme="minorEastAsia" w:eastAsiaTheme="minorEastAsia"/>
                <w:sz w:val="21"/>
                <w:szCs w:val="21"/>
              </w:rPr>
              <w:t>4</w:t>
            </w:r>
            <w:r>
              <w:rPr>
                <w:rFonts w:hint="eastAsia" w:asciiTheme="minorEastAsia" w:hAnsiTheme="minorEastAsia" w:eastAsiaTheme="minorEastAsia"/>
                <w:sz w:val="21"/>
                <w:szCs w:val="21"/>
              </w:rPr>
              <w:t>月2</w:t>
            </w:r>
            <w:r>
              <w:rPr>
                <w:rFonts w:asciiTheme="minorEastAsia" w:hAnsiTheme="minorEastAsia" w:eastAsiaTheme="minorEastAsia"/>
                <w:sz w:val="21"/>
                <w:szCs w:val="21"/>
              </w:rPr>
              <w:t>1</w:t>
            </w:r>
            <w:r>
              <w:rPr>
                <w:rFonts w:hint="eastAsia" w:asciiTheme="minorEastAsia" w:hAnsiTheme="minorEastAsia" w:eastAsiaTheme="minorEastAsia"/>
                <w:sz w:val="21"/>
                <w:szCs w:val="21"/>
              </w:rPr>
              <w:t>日</w:t>
            </w:r>
          </w:p>
        </w:tc>
        <w:tc>
          <w:tcPr>
            <w:tcW w:w="1046"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关于收购鲁西矿业</w:t>
            </w:r>
            <w:r>
              <w:rPr>
                <w:rFonts w:asciiTheme="minorEastAsia" w:hAnsiTheme="minorEastAsia" w:eastAsiaTheme="minorEastAsia"/>
                <w:sz w:val="21"/>
                <w:szCs w:val="21"/>
              </w:rPr>
              <w:t>51%股权和新疆能化51%股权的议案</w:t>
            </w:r>
            <w:r>
              <w:rPr>
                <w:rFonts w:hint="eastAsia" w:asciiTheme="minorEastAsia" w:hAnsiTheme="minorEastAsia" w:eastAsiaTheme="minorEastAsia"/>
                <w:sz w:val="21"/>
                <w:szCs w:val="21"/>
              </w:rPr>
              <w:t>。</w:t>
            </w:r>
          </w:p>
        </w:tc>
        <w:tc>
          <w:tcPr>
            <w:tcW w:w="1365"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通过《关于收购鲁西矿业</w:t>
            </w:r>
            <w:r>
              <w:rPr>
                <w:rFonts w:asciiTheme="minorEastAsia" w:hAnsiTheme="minorEastAsia" w:eastAsiaTheme="minorEastAsia"/>
                <w:sz w:val="21"/>
                <w:szCs w:val="21"/>
              </w:rPr>
              <w:t>51%股权和新疆能化51%股权的议案</w:t>
            </w:r>
            <w:r>
              <w:rPr>
                <w:rFonts w:hint="eastAsia" w:asciiTheme="minorEastAsia" w:hAnsiTheme="minorEastAsia" w:eastAsiaTheme="minorEastAsia"/>
                <w:sz w:val="21"/>
                <w:szCs w:val="21"/>
              </w:rPr>
              <w:t>》，并提交公司董事会讨论审议。</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李 </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伟</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肖耀猛</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刘 </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健</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朱利民</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潘昭国</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w:t>
            </w:r>
          </w:p>
        </w:tc>
      </w:tr>
    </w:tbl>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注：经公司202</w:t>
      </w:r>
      <w:r>
        <w:rPr>
          <w:rFonts w:asciiTheme="minorEastAsia" w:hAnsiTheme="minorEastAsia" w:eastAsiaTheme="minorEastAsia"/>
        </w:rPr>
        <w:t>3</w:t>
      </w:r>
      <w:r>
        <w:rPr>
          <w:rFonts w:hint="eastAsia" w:asciiTheme="minorEastAsia" w:hAnsiTheme="minorEastAsia" w:eastAsiaTheme="minorEastAsia"/>
        </w:rPr>
        <w:t>年6月3</w:t>
      </w:r>
      <w:r>
        <w:rPr>
          <w:rFonts w:asciiTheme="minorEastAsia" w:hAnsiTheme="minorEastAsia" w:eastAsiaTheme="minorEastAsia"/>
        </w:rPr>
        <w:t>0</w:t>
      </w:r>
      <w:r>
        <w:rPr>
          <w:rFonts w:hint="eastAsia" w:asciiTheme="minorEastAsia" w:hAnsiTheme="minorEastAsia" w:eastAsiaTheme="minorEastAsia"/>
        </w:rPr>
        <w:t>日召开的第九届董事会第一次会议讨论审议，批准由李伟先生、肖耀猛先生、刘健先生、彭苏萍先生、朱利民先生五位委员组成公司第九届董事会战略与发展委员会，李伟先生担任战略与发展委员会主任。</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asciiTheme="minorEastAsia" w:hAnsiTheme="minorEastAsia" w:eastAsiaTheme="minorEastAsia"/>
          <w:kern w:val="0"/>
        </w:rPr>
        <w:t>202</w:t>
      </w:r>
      <w:r>
        <w:rPr>
          <w:rFonts w:hint="eastAsia" w:asciiTheme="minorEastAsia" w:hAnsiTheme="minorEastAsia" w:eastAsiaTheme="minorEastAsia"/>
          <w:kern w:val="0"/>
        </w:rPr>
        <w:t>4</w:t>
      </w:r>
      <w:r>
        <w:rPr>
          <w:rFonts w:asciiTheme="minorEastAsia" w:hAnsiTheme="minorEastAsia" w:eastAsiaTheme="minorEastAsia"/>
          <w:kern w:val="0"/>
        </w:rPr>
        <w:t>年</w:t>
      </w:r>
      <w:r>
        <w:rPr>
          <w:rFonts w:hint="eastAsia" w:asciiTheme="minorEastAsia" w:hAnsiTheme="minorEastAsia" w:eastAsiaTheme="minorEastAsia"/>
          <w:kern w:val="0"/>
        </w:rPr>
        <w:t>3</w:t>
      </w:r>
      <w:r>
        <w:rPr>
          <w:rFonts w:asciiTheme="minorEastAsia" w:hAnsiTheme="minorEastAsia" w:eastAsiaTheme="minorEastAsia"/>
          <w:kern w:val="0"/>
        </w:rPr>
        <w:t>月</w:t>
      </w:r>
      <w:r>
        <w:rPr>
          <w:rFonts w:hint="eastAsia" w:asciiTheme="minorEastAsia" w:hAnsiTheme="minorEastAsia" w:eastAsiaTheme="minorEastAsia"/>
          <w:kern w:val="0"/>
        </w:rPr>
        <w:t>19</w:t>
      </w:r>
      <w:r>
        <w:rPr>
          <w:rFonts w:asciiTheme="minorEastAsia" w:hAnsiTheme="minorEastAsia" w:eastAsiaTheme="minorEastAsia"/>
          <w:kern w:val="0"/>
        </w:rPr>
        <w:t>日</w:t>
      </w:r>
      <w:r>
        <w:rPr>
          <w:rFonts w:hint="eastAsia" w:asciiTheme="minorEastAsia" w:hAnsiTheme="minorEastAsia" w:eastAsiaTheme="minorEastAsia"/>
          <w:kern w:val="0"/>
        </w:rPr>
        <w:t>，公司召开第九届董事会战略与发展委员会第一次会议，通过</w:t>
      </w:r>
      <w:r>
        <w:rPr>
          <w:rFonts w:asciiTheme="minorEastAsia" w:hAnsiTheme="minorEastAsia" w:eastAsiaTheme="minorEastAsia"/>
          <w:kern w:val="0"/>
        </w:rPr>
        <w:t>《</w:t>
      </w:r>
      <w:r>
        <w:rPr>
          <w:rFonts w:asciiTheme="minorEastAsia" w:hAnsiTheme="minorEastAsia" w:eastAsiaTheme="minorEastAsia"/>
        </w:rPr>
        <w:t>关于讨论审议</w:t>
      </w:r>
      <w:r>
        <w:rPr>
          <w:rFonts w:hint="eastAsia" w:asciiTheme="minorEastAsia" w:hAnsiTheme="minorEastAsia" w:eastAsiaTheme="minorEastAsia"/>
        </w:rPr>
        <w:t>公司</w:t>
      </w:r>
      <w:r>
        <w:rPr>
          <w:rFonts w:asciiTheme="minorEastAsia" w:hAnsiTheme="minorEastAsia" w:eastAsiaTheme="minorEastAsia"/>
        </w:rPr>
        <w:t>&lt;202</w:t>
      </w:r>
      <w:r>
        <w:rPr>
          <w:rFonts w:hint="eastAsia" w:asciiTheme="minorEastAsia" w:hAnsiTheme="minorEastAsia" w:eastAsiaTheme="minorEastAsia"/>
        </w:rPr>
        <w:t>4</w:t>
      </w:r>
      <w:r>
        <w:rPr>
          <w:rFonts w:asciiTheme="minorEastAsia" w:hAnsiTheme="minorEastAsia" w:eastAsiaTheme="minorEastAsia"/>
        </w:rPr>
        <w:t>年度生产经营和资本性开支计划&gt;的议案</w:t>
      </w:r>
      <w:r>
        <w:rPr>
          <w:rFonts w:asciiTheme="minorEastAsia" w:hAnsiTheme="minorEastAsia" w:eastAsiaTheme="minorEastAsia"/>
          <w:kern w:val="0"/>
        </w:rPr>
        <w:t>》，并提交公司董事会讨论审议。</w:t>
      </w:r>
    </w:p>
    <w:p>
      <w:pPr>
        <w:ind w:firstLine="420" w:firstLineChars="200"/>
        <w:rPr>
          <w:rFonts w:asciiTheme="minorEastAsia" w:hAnsiTheme="minorEastAsia" w:eastAsiaTheme="minorEastAsia"/>
        </w:rPr>
      </w:pPr>
    </w:p>
    <w:p>
      <w:pPr>
        <w:pStyle w:val="4"/>
        <w:numPr>
          <w:ilvl w:val="0"/>
          <w:numId w:val="21"/>
        </w:numPr>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报告期内董事会可持续发展委员会召开</w:t>
      </w:r>
      <w:r>
        <w:rPr>
          <w:rFonts w:cs="宋体" w:asciiTheme="minorEastAsia" w:hAnsiTheme="minorEastAsia" w:eastAsiaTheme="minorEastAsia"/>
          <w:kern w:val="0"/>
          <w:szCs w:val="24"/>
        </w:rPr>
        <w:t>1</w:t>
      </w:r>
      <w:r>
        <w:rPr>
          <w:rFonts w:hint="eastAsia" w:cs="宋体" w:asciiTheme="minorEastAsia" w:hAnsiTheme="minorEastAsia" w:eastAsiaTheme="minorEastAsia"/>
          <w:kern w:val="0"/>
          <w:szCs w:val="24"/>
        </w:rPr>
        <w:t>次会议</w:t>
      </w:r>
    </w:p>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公司董事会可持续发展委员会委员为董事肖耀猛先生及独立董事朱睿女士、朱利民先生，朱睿女士担任可持续发展委员会主任。</w:t>
      </w:r>
    </w:p>
    <w:p>
      <w:pPr>
        <w:pStyle w:val="257"/>
        <w:rPr>
          <w:rFonts w:asciiTheme="minorEastAsia" w:hAnsiTheme="minorEastAsia" w:eastAsiaTheme="minorEastAsia"/>
        </w:rPr>
      </w:pPr>
      <w:r>
        <w:rPr>
          <w:rFonts w:hint="eastAsia" w:asciiTheme="minorEastAsia" w:hAnsiTheme="minorEastAsia" w:eastAsiaTheme="minorEastAsia"/>
        </w:rPr>
        <w:t>董事会可持续发展委员会的主要职责包括：a</w:t>
      </w:r>
      <w:r>
        <w:rPr>
          <w:rFonts w:asciiTheme="minorEastAsia" w:hAnsiTheme="minorEastAsia" w:eastAsiaTheme="minorEastAsia"/>
        </w:rPr>
        <w:t>.对公司的企业管治、环境及社会责任相关政策和策略进行审阅，确保其符合法律、法规和标准；</w:t>
      </w:r>
      <w:r>
        <w:rPr>
          <w:rFonts w:hint="eastAsia" w:asciiTheme="minorEastAsia" w:hAnsiTheme="minorEastAsia" w:eastAsiaTheme="minorEastAsia"/>
        </w:rPr>
        <w:t>b.</w:t>
      </w:r>
      <w:r>
        <w:rPr>
          <w:rFonts w:asciiTheme="minorEastAsia" w:hAnsiTheme="minorEastAsia" w:eastAsiaTheme="minorEastAsia"/>
        </w:rPr>
        <w:t>对公司的企业管治、环境及社会责任相关风险及机遇进行评估和梳理，并向董事会提出建议；</w:t>
      </w:r>
      <w:r>
        <w:rPr>
          <w:rFonts w:hint="eastAsia" w:asciiTheme="minorEastAsia" w:hAnsiTheme="minorEastAsia" w:eastAsiaTheme="minorEastAsia"/>
        </w:rPr>
        <w:t>c</w:t>
      </w:r>
      <w:r>
        <w:rPr>
          <w:rFonts w:asciiTheme="minorEastAsia" w:hAnsiTheme="minorEastAsia" w:eastAsiaTheme="minorEastAsia"/>
        </w:rPr>
        <w:t>.审查公司的企业管治、环境及社会责任管理及内部监控系统，就其适当性和有效性向董事会提出建议；</w:t>
      </w:r>
      <w:r>
        <w:rPr>
          <w:rFonts w:hint="eastAsia" w:asciiTheme="minorEastAsia" w:hAnsiTheme="minorEastAsia" w:eastAsiaTheme="minorEastAsia"/>
        </w:rPr>
        <w:t>d</w:t>
      </w:r>
      <w:r>
        <w:rPr>
          <w:rFonts w:asciiTheme="minorEastAsia" w:hAnsiTheme="minorEastAsia" w:eastAsiaTheme="minorEastAsia"/>
        </w:rPr>
        <w:t>.对公司的企业管治、环境及社会责任相关工作的目标和实施情况进行审查和监督，评估工作情况，并向董事会提出建议；</w:t>
      </w:r>
      <w:r>
        <w:rPr>
          <w:rFonts w:hint="eastAsia" w:asciiTheme="minorEastAsia" w:hAnsiTheme="minorEastAsia" w:eastAsiaTheme="minorEastAsia"/>
        </w:rPr>
        <w:t>e</w:t>
      </w:r>
      <w:r>
        <w:rPr>
          <w:rFonts w:asciiTheme="minorEastAsia" w:hAnsiTheme="minorEastAsia" w:eastAsiaTheme="minorEastAsia"/>
        </w:rPr>
        <w:t>.审阅公司对外披露的社会责任报告，并向董事会提出建议；</w:t>
      </w:r>
      <w:r>
        <w:rPr>
          <w:rFonts w:hint="eastAsia" w:asciiTheme="minorEastAsia" w:hAnsiTheme="minorEastAsia" w:eastAsiaTheme="minorEastAsia"/>
        </w:rPr>
        <w:t>f</w:t>
      </w:r>
      <w:r>
        <w:rPr>
          <w:rFonts w:asciiTheme="minorEastAsia" w:hAnsiTheme="minorEastAsia" w:eastAsiaTheme="minorEastAsia"/>
        </w:rPr>
        <w:t>.对公司的企业管治、环境及社会责任管理愿景、目标及策略的制定进行指导，并向董事会提出建议</w:t>
      </w:r>
      <w:r>
        <w:rPr>
          <w:rFonts w:hint="eastAsia" w:asciiTheme="minorEastAsia" w:hAnsiTheme="minorEastAsia" w:eastAsiaTheme="minorEastAsia"/>
        </w:rPr>
        <w:t>。报告期内</w:t>
      </w:r>
      <w:r>
        <w:rPr>
          <w:rFonts w:hint="eastAsia" w:asciiTheme="minorEastAsia" w:hAnsiTheme="minorEastAsia" w:eastAsiaTheme="minorEastAsia"/>
          <w:bCs/>
        </w:rPr>
        <w:t>董事会可持续发展委员会召开</w:t>
      </w:r>
      <w:r>
        <w:rPr>
          <w:rFonts w:asciiTheme="minorEastAsia" w:hAnsiTheme="minorEastAsia" w:eastAsiaTheme="minorEastAsia"/>
          <w:bCs/>
        </w:rPr>
        <w:t>1</w:t>
      </w:r>
      <w:r>
        <w:rPr>
          <w:rFonts w:hint="eastAsia" w:asciiTheme="minorEastAsia" w:hAnsiTheme="minorEastAsia" w:eastAsiaTheme="minorEastAsia"/>
          <w:bCs/>
        </w:rPr>
        <w:t>次会议。具体情况如下：</w:t>
      </w:r>
    </w:p>
    <w:tbl>
      <w:tblPr>
        <w:tblStyle w:val="20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891"/>
        <w:gridCol w:w="2471"/>
        <w:gridCol w:w="1164"/>
        <w:gridCol w:w="1164"/>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召开日期</w:t>
            </w:r>
          </w:p>
        </w:tc>
        <w:tc>
          <w:tcPr>
            <w:tcW w:w="104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会议内容</w:t>
            </w:r>
          </w:p>
        </w:tc>
        <w:tc>
          <w:tcPr>
            <w:tcW w:w="136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重要意见和建议</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委员</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出席会议</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其他履行职责情况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w:t>
            </w:r>
            <w:r>
              <w:rPr>
                <w:rFonts w:asciiTheme="minorEastAsia" w:hAnsiTheme="minorEastAsia" w:eastAsiaTheme="minorEastAsia"/>
                <w:sz w:val="21"/>
                <w:szCs w:val="21"/>
              </w:rPr>
              <w:t>3</w:t>
            </w:r>
            <w:r>
              <w:rPr>
                <w:rFonts w:hint="eastAsia" w:asciiTheme="minorEastAsia" w:hAnsiTheme="minorEastAsia" w:eastAsiaTheme="minorEastAsia"/>
                <w:sz w:val="21"/>
                <w:szCs w:val="21"/>
              </w:rPr>
              <w:t>年</w:t>
            </w:r>
            <w:r>
              <w:rPr>
                <w:rFonts w:asciiTheme="minorEastAsia" w:hAnsiTheme="minorEastAsia" w:eastAsiaTheme="minorEastAsia"/>
                <w:sz w:val="21"/>
                <w:szCs w:val="21"/>
              </w:rPr>
              <w:t>3</w:t>
            </w:r>
            <w:r>
              <w:rPr>
                <w:rFonts w:hint="eastAsia" w:asciiTheme="minorEastAsia" w:hAnsiTheme="minorEastAsia" w:eastAsiaTheme="minorEastAsia"/>
                <w:sz w:val="21"/>
                <w:szCs w:val="21"/>
              </w:rPr>
              <w:t>月</w:t>
            </w:r>
            <w:r>
              <w:rPr>
                <w:rFonts w:asciiTheme="minorEastAsia" w:hAnsiTheme="minorEastAsia" w:eastAsiaTheme="minorEastAsia"/>
                <w:sz w:val="21"/>
                <w:szCs w:val="21"/>
              </w:rPr>
              <w:t>17</w:t>
            </w:r>
            <w:r>
              <w:rPr>
                <w:rFonts w:hint="eastAsia" w:asciiTheme="minorEastAsia" w:hAnsiTheme="minorEastAsia" w:eastAsiaTheme="minorEastAsia"/>
                <w:sz w:val="21"/>
                <w:szCs w:val="21"/>
              </w:rPr>
              <w:t>日</w:t>
            </w:r>
          </w:p>
        </w:tc>
        <w:tc>
          <w:tcPr>
            <w:tcW w:w="1045"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关于讨论审议《公司</w:t>
            </w:r>
            <w:r>
              <w:rPr>
                <w:rFonts w:asciiTheme="minorEastAsia" w:hAnsiTheme="minorEastAsia" w:eastAsiaTheme="minorEastAsia"/>
                <w:sz w:val="21"/>
                <w:szCs w:val="21"/>
              </w:rPr>
              <w:t>2022年度环境、社会及管治报告</w:t>
            </w:r>
            <w:r>
              <w:rPr>
                <w:rFonts w:hint="eastAsia" w:asciiTheme="minorEastAsia" w:hAnsiTheme="minorEastAsia" w:eastAsiaTheme="minorEastAsia"/>
                <w:sz w:val="21"/>
                <w:szCs w:val="21"/>
              </w:rPr>
              <w:t>》</w:t>
            </w:r>
            <w:r>
              <w:rPr>
                <w:rFonts w:asciiTheme="minorEastAsia" w:hAnsiTheme="minorEastAsia" w:eastAsiaTheme="minorEastAsia"/>
                <w:sz w:val="21"/>
                <w:szCs w:val="21"/>
              </w:rPr>
              <w:t>的议案</w:t>
            </w:r>
            <w:r>
              <w:rPr>
                <w:rFonts w:hint="eastAsia" w:asciiTheme="minorEastAsia" w:hAnsiTheme="minorEastAsia" w:eastAsiaTheme="minorEastAsia"/>
                <w:sz w:val="21"/>
                <w:szCs w:val="21"/>
              </w:rPr>
              <w:t>。</w:t>
            </w:r>
          </w:p>
        </w:tc>
        <w:tc>
          <w:tcPr>
            <w:tcW w:w="1365"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通过《关于讨论审议〈公司</w:t>
            </w:r>
            <w:r>
              <w:rPr>
                <w:rFonts w:asciiTheme="minorEastAsia" w:hAnsiTheme="minorEastAsia" w:eastAsiaTheme="minorEastAsia"/>
                <w:sz w:val="21"/>
                <w:szCs w:val="21"/>
              </w:rPr>
              <w:t>2022年度环境、社会及管治报告〉的议案</w:t>
            </w:r>
            <w:r>
              <w:rPr>
                <w:rFonts w:hint="eastAsia" w:asciiTheme="minorEastAsia" w:hAnsiTheme="minorEastAsia" w:eastAsiaTheme="minorEastAsia"/>
                <w:sz w:val="21"/>
                <w:szCs w:val="21"/>
              </w:rPr>
              <w:t>》，并提交公司董事会讨论审议。</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肖耀猛</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田 </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会</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朱利民</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bl>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注：经公司202</w:t>
      </w:r>
      <w:r>
        <w:rPr>
          <w:rFonts w:asciiTheme="minorEastAsia" w:hAnsiTheme="minorEastAsia" w:eastAsiaTheme="minorEastAsia"/>
        </w:rPr>
        <w:t>3</w:t>
      </w:r>
      <w:r>
        <w:rPr>
          <w:rFonts w:hint="eastAsia" w:asciiTheme="minorEastAsia" w:hAnsiTheme="minorEastAsia" w:eastAsiaTheme="minorEastAsia"/>
        </w:rPr>
        <w:t>年6月3</w:t>
      </w:r>
      <w:r>
        <w:rPr>
          <w:rFonts w:asciiTheme="minorEastAsia" w:hAnsiTheme="minorEastAsia" w:eastAsiaTheme="minorEastAsia"/>
        </w:rPr>
        <w:t>0</w:t>
      </w:r>
      <w:r>
        <w:rPr>
          <w:rFonts w:hint="eastAsia" w:asciiTheme="minorEastAsia" w:hAnsiTheme="minorEastAsia" w:eastAsiaTheme="minorEastAsia"/>
        </w:rPr>
        <w:t>日召开的第九届董事会第一次会议讨论审议，批准由朱睿女士、肖耀猛先生、朱利民先生三位委员组成公司第九届董事会可持续发展委员会，朱睿女士担任可持续发展委员会主任。</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asciiTheme="minorEastAsia" w:hAnsiTheme="minorEastAsia" w:eastAsiaTheme="minorEastAsia"/>
          <w:kern w:val="0"/>
        </w:rPr>
        <w:t>202</w:t>
      </w:r>
      <w:r>
        <w:rPr>
          <w:rFonts w:hint="eastAsia" w:cs="Calibri" w:asciiTheme="minorEastAsia" w:hAnsiTheme="minorEastAsia" w:eastAsiaTheme="minorEastAsia"/>
          <w:kern w:val="0"/>
        </w:rPr>
        <w:t>4</w:t>
      </w:r>
      <w:r>
        <w:rPr>
          <w:rFonts w:asciiTheme="minorEastAsia" w:hAnsiTheme="minorEastAsia" w:eastAsiaTheme="minorEastAsia"/>
          <w:kern w:val="0"/>
        </w:rPr>
        <w:t>年</w:t>
      </w:r>
      <w:r>
        <w:rPr>
          <w:rFonts w:hint="eastAsia" w:cs="Calibri" w:asciiTheme="minorEastAsia" w:hAnsiTheme="minorEastAsia" w:eastAsiaTheme="minorEastAsia"/>
          <w:kern w:val="0"/>
        </w:rPr>
        <w:t>3</w:t>
      </w:r>
      <w:r>
        <w:rPr>
          <w:rFonts w:asciiTheme="minorEastAsia" w:hAnsiTheme="minorEastAsia" w:eastAsiaTheme="minorEastAsia"/>
          <w:kern w:val="0"/>
        </w:rPr>
        <w:t>月</w:t>
      </w:r>
      <w:r>
        <w:rPr>
          <w:rFonts w:hint="eastAsia" w:cs="Calibri" w:asciiTheme="minorEastAsia" w:hAnsiTheme="minorEastAsia" w:eastAsiaTheme="minorEastAsia"/>
          <w:kern w:val="0"/>
        </w:rPr>
        <w:t>19</w:t>
      </w:r>
      <w:r>
        <w:rPr>
          <w:rFonts w:asciiTheme="minorEastAsia" w:hAnsiTheme="minorEastAsia" w:eastAsiaTheme="minorEastAsia"/>
          <w:kern w:val="0"/>
        </w:rPr>
        <w:t>日</w:t>
      </w:r>
      <w:r>
        <w:rPr>
          <w:rFonts w:hint="eastAsia" w:asciiTheme="minorEastAsia" w:hAnsiTheme="minorEastAsia" w:eastAsiaTheme="minorEastAsia"/>
          <w:kern w:val="0"/>
        </w:rPr>
        <w:t>，公司召开第九届董事会</w:t>
      </w:r>
      <w:r>
        <w:rPr>
          <w:rFonts w:hint="eastAsia" w:asciiTheme="minorEastAsia" w:hAnsiTheme="minorEastAsia" w:eastAsiaTheme="minorEastAsia"/>
        </w:rPr>
        <w:t>可持续发展委员会</w:t>
      </w:r>
      <w:r>
        <w:rPr>
          <w:rFonts w:hint="eastAsia" w:asciiTheme="minorEastAsia" w:hAnsiTheme="minorEastAsia" w:eastAsiaTheme="minorEastAsia"/>
          <w:kern w:val="0"/>
        </w:rPr>
        <w:t>第一次会议，通过</w:t>
      </w:r>
      <w:r>
        <w:rPr>
          <w:rFonts w:asciiTheme="minorEastAsia" w:hAnsiTheme="minorEastAsia" w:eastAsiaTheme="minorEastAsia"/>
          <w:kern w:val="0"/>
        </w:rPr>
        <w:t>《</w:t>
      </w:r>
      <w:r>
        <w:rPr>
          <w:rFonts w:asciiTheme="minorEastAsia" w:hAnsiTheme="minorEastAsia" w:eastAsiaTheme="minorEastAsia"/>
        </w:rPr>
        <w:t>关于讨论审议公司〈202</w:t>
      </w:r>
      <w:r>
        <w:rPr>
          <w:rFonts w:hint="eastAsia" w:cs="Calibri" w:asciiTheme="minorEastAsia" w:hAnsiTheme="minorEastAsia" w:eastAsiaTheme="minorEastAsia"/>
        </w:rPr>
        <w:t>3</w:t>
      </w:r>
      <w:r>
        <w:rPr>
          <w:rFonts w:asciiTheme="minorEastAsia" w:hAnsiTheme="minorEastAsia" w:eastAsiaTheme="minorEastAsia"/>
        </w:rPr>
        <w:t>年度</w:t>
      </w:r>
      <w:r>
        <w:rPr>
          <w:rFonts w:hint="eastAsia" w:asciiTheme="minorEastAsia" w:hAnsiTheme="minorEastAsia" w:eastAsiaTheme="minorEastAsia"/>
        </w:rPr>
        <w:t>环境、社会及管治</w:t>
      </w:r>
      <w:r>
        <w:rPr>
          <w:rFonts w:asciiTheme="minorEastAsia" w:hAnsiTheme="minorEastAsia" w:eastAsiaTheme="minorEastAsia"/>
        </w:rPr>
        <w:t>报告〉的议案</w:t>
      </w:r>
      <w:r>
        <w:rPr>
          <w:rFonts w:asciiTheme="minorEastAsia" w:hAnsiTheme="minorEastAsia" w:eastAsiaTheme="minorEastAsia"/>
          <w:kern w:val="0"/>
        </w:rPr>
        <w:t>》，并提交公司董事会讨论审议。</w:t>
      </w:r>
    </w:p>
    <w:p>
      <w:pPr>
        <w:ind w:firstLine="420" w:firstLineChars="200"/>
        <w:rPr>
          <w:rFonts w:asciiTheme="minorEastAsia" w:hAnsiTheme="minorEastAsia" w:eastAsiaTheme="minorEastAsia"/>
        </w:rPr>
      </w:pPr>
    </w:p>
    <w:p>
      <w:pPr>
        <w:pStyle w:val="4"/>
        <w:numPr>
          <w:ilvl w:val="0"/>
          <w:numId w:val="21"/>
        </w:numPr>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存在异议事项的具体情况</w:t>
      </w:r>
    </w:p>
    <w:sdt>
      <w:sdtPr>
        <w:rPr>
          <w:rFonts w:hint="eastAsia" w:asciiTheme="minorEastAsia" w:hAnsiTheme="minorEastAsia" w:eastAsiaTheme="minorEastAsia"/>
        </w:rPr>
        <w:alias w:val="是否适用：董事会下设专门委员会在报告期内履行职责时所提出的重要意见和建议[双击切换]"/>
        <w:tag w:val="_GBC_f61de8443c9e4bc6b27047ea31f34f46"/>
        <w:id w:val="-1060712564"/>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pStyle w:val="3"/>
        <w:numPr>
          <w:ilvl w:val="0"/>
          <w:numId w:val="17"/>
        </w:numPr>
        <w:rPr>
          <w:rFonts w:asciiTheme="minorEastAsia" w:hAnsiTheme="minorEastAsia" w:eastAsiaTheme="minorEastAsia"/>
        </w:rPr>
      </w:pPr>
      <w:r>
        <w:rPr>
          <w:rFonts w:asciiTheme="minorEastAsia" w:hAnsiTheme="minorEastAsia" w:eastAsiaTheme="minorEastAsia"/>
        </w:rPr>
        <w:t>监事会发现公司存在风险的说明</w:t>
      </w:r>
    </w:p>
    <w:sdt>
      <w:sdtPr>
        <w:rPr>
          <w:rFonts w:asciiTheme="minorEastAsia" w:hAnsiTheme="minorEastAsia" w:eastAsiaTheme="minorEastAsia"/>
        </w:rPr>
        <w:alias w:val="是否适用：监事会发现公司存在风险的说明[双击切换]"/>
        <w:tag w:val="_GBC_987bc6e795084351a58e9d0bca47f246"/>
        <w:id w:val="-1610430390"/>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p>
          <w:pPr>
            <w:ind w:firstLine="420" w:firstLineChars="200"/>
            <w:rPr>
              <w:rFonts w:asciiTheme="minorEastAsia" w:hAnsiTheme="minorEastAsia" w:eastAsiaTheme="minorEastAsia"/>
            </w:rPr>
          </w:pPr>
          <w:r>
            <w:rPr>
              <w:rFonts w:hint="eastAsia" w:asciiTheme="minorEastAsia" w:hAnsiTheme="minorEastAsia" w:eastAsiaTheme="minorEastAsia"/>
            </w:rPr>
            <w:t>报告期内，本公司全体监事按照《公司法》《公司章程》的有关规定，依据《监事会议事规则》认真履行监督职能，维护公司和全体股东权益，遵照诚信原则谨慎、勤勉地开展工作。</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本公司监事会对报告期内监督事项无异议，在报告期内未发现公司存在风险。</w:t>
          </w:r>
        </w:p>
      </w:sdtContent>
    </w:sdt>
    <w:p>
      <w:pPr>
        <w:pStyle w:val="3"/>
        <w:numPr>
          <w:ilvl w:val="0"/>
          <w:numId w:val="17"/>
        </w:numPr>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报告期末</w:t>
      </w:r>
      <w:r>
        <w:rPr>
          <w:rFonts w:cs="宋体" w:asciiTheme="minorEastAsia" w:hAnsiTheme="minorEastAsia" w:eastAsiaTheme="minorEastAsia"/>
          <w:kern w:val="0"/>
          <w:szCs w:val="24"/>
        </w:rPr>
        <w:t>母公司和主要子公司的员工情况</w:t>
      </w:r>
    </w:p>
    <w:p>
      <w:pPr>
        <w:pStyle w:val="4"/>
        <w:numPr>
          <w:ilvl w:val="0"/>
          <w:numId w:val="22"/>
        </w:numPr>
        <w:rPr>
          <w:rFonts w:asciiTheme="minorEastAsia" w:hAnsiTheme="minorEastAsia" w:eastAsiaTheme="minorEastAsia"/>
          <w:szCs w:val="21"/>
        </w:rPr>
      </w:pPr>
      <w:r>
        <w:rPr>
          <w:rFonts w:asciiTheme="minorEastAsia" w:hAnsiTheme="minorEastAsia" w:eastAsiaTheme="minorEastAsia"/>
          <w:szCs w:val="21"/>
        </w:rPr>
        <w:t>员工情况</w:t>
      </w:r>
    </w:p>
    <w:tbl>
      <w:tblPr>
        <w:tblStyle w:val="20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3"/>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rPr>
              <w:rFonts w:asciiTheme="minorEastAsia" w:hAnsiTheme="minorEastAsia" w:eastAsiaTheme="minorEastAsia"/>
            </w:rPr>
            <w:tag w:val="_PLD_cff5d8823807446facbb16ac3f50949e"/>
            <w:id w:val="806438481"/>
          </w:sdtPr>
          <w:sdtEndPr>
            <w:rPr>
              <w:rFonts w:asciiTheme="minorEastAsia" w:hAnsiTheme="minorEastAsia" w:eastAsiaTheme="minorEastAsia"/>
            </w:rPr>
          </w:sdtEndPr>
          <w:sdtContent>
            <w:tc>
              <w:tcPr>
                <w:tcW w:w="2500" w:type="pct"/>
              </w:tcPr>
              <w:p>
                <w:pPr>
                  <w:rPr>
                    <w:rFonts w:asciiTheme="minorEastAsia" w:hAnsiTheme="minorEastAsia" w:eastAsiaTheme="minorEastAsia"/>
                  </w:rPr>
                </w:pPr>
                <w:bookmarkStart w:id="102" w:name="_Hlk161247237"/>
                <w:bookmarkStart w:id="103" w:name="_Hlk89184114"/>
                <w:r>
                  <w:rPr>
                    <w:rFonts w:asciiTheme="minorEastAsia" w:hAnsiTheme="minorEastAsia" w:eastAsiaTheme="minorEastAsia"/>
                  </w:rPr>
                  <w:t>母公司在职员工的数量</w:t>
                </w:r>
              </w:p>
            </w:tc>
          </w:sdtContent>
        </w:sdt>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35,203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500" w:type="pct"/>
          </w:tcPr>
          <w:p>
            <w:pPr>
              <w:rPr>
                <w:rFonts w:asciiTheme="minorEastAsia" w:hAnsiTheme="minorEastAsia" w:eastAsiaTheme="minorEastAsia"/>
              </w:rPr>
            </w:pPr>
            <w:r>
              <w:rPr>
                <w:rFonts w:asciiTheme="minorEastAsia" w:hAnsiTheme="minorEastAsia" w:eastAsiaTheme="minorEastAsia"/>
              </w:rPr>
              <w:t>主要子公司在职员工的数量</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44,039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500" w:type="pct"/>
          </w:tcPr>
          <w:p>
            <w:pPr>
              <w:rPr>
                <w:rFonts w:asciiTheme="minorEastAsia" w:hAnsiTheme="minorEastAsia" w:eastAsiaTheme="minorEastAsia"/>
              </w:rPr>
            </w:pPr>
            <w:r>
              <w:rPr>
                <w:rFonts w:asciiTheme="minorEastAsia" w:hAnsiTheme="minorEastAsia" w:eastAsiaTheme="minorEastAsia"/>
              </w:rPr>
              <w:t>在职员工的数量合计</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79,242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500" w:type="pct"/>
          </w:tcPr>
          <w:p>
            <w:pPr>
              <w:rPr>
                <w:rFonts w:asciiTheme="minorEastAsia" w:hAnsiTheme="minorEastAsia" w:eastAsiaTheme="minorEastAsia"/>
              </w:rPr>
            </w:pPr>
            <w:r>
              <w:rPr>
                <w:rFonts w:asciiTheme="minorEastAsia" w:hAnsiTheme="minorEastAsia" w:eastAsiaTheme="minorEastAsia"/>
              </w:rPr>
              <w:t>母公司及主要子公司需承担费用的离退休职工人数</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81,616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rPr>
              <w:rFonts w:asciiTheme="minorEastAsia" w:hAnsiTheme="minorEastAsia" w:eastAsiaTheme="minorEastAsia"/>
            </w:rPr>
            <w:tag w:val="_PLD_f37d0297c6bb44dea272632ad4d910e4"/>
            <w:id w:val="-210654410"/>
          </w:sdtPr>
          <w:sdtEndPr>
            <w:rPr>
              <w:rFonts w:asciiTheme="minorEastAsia" w:hAnsiTheme="minorEastAsia" w:eastAsiaTheme="minorEastAsia"/>
            </w:rPr>
          </w:sdtEndPr>
          <w:sdtContent>
            <w:tc>
              <w:tcPr>
                <w:tcW w:w="5000" w:type="pct"/>
                <w:gridSpan w:val="2"/>
                <w:vAlign w:val="center"/>
              </w:tcPr>
              <w:p>
                <w:pPr>
                  <w:jc w:val="center"/>
                  <w:rPr>
                    <w:rFonts w:asciiTheme="minorEastAsia" w:hAnsiTheme="minorEastAsia" w:eastAsiaTheme="minorEastAsia"/>
                  </w:rPr>
                </w:pPr>
                <w:r>
                  <w:rPr>
                    <w:rFonts w:asciiTheme="minorEastAsia" w:hAnsiTheme="minorEastAsia" w:eastAsiaTheme="minorEastAsia"/>
                  </w:rPr>
                  <w:t>专业构成</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rPr>
              <w:rFonts w:asciiTheme="minorEastAsia" w:hAnsiTheme="minorEastAsia" w:eastAsiaTheme="minorEastAsia"/>
            </w:rPr>
            <w:tag w:val="_PLD_90bef974c0c14508b11a7e84e6f364c5"/>
            <w:id w:val="-1988773147"/>
          </w:sdtPr>
          <w:sdtEndPr>
            <w:rPr>
              <w:rFonts w:asciiTheme="minorEastAsia" w:hAnsiTheme="minorEastAsia" w:eastAsiaTheme="minorEastAsia"/>
            </w:rPr>
          </w:sdtEndPr>
          <w:sdtContent>
            <w:tc>
              <w:tcPr>
                <w:tcW w:w="2500" w:type="pct"/>
              </w:tcPr>
              <w:p>
                <w:pPr>
                  <w:jc w:val="center"/>
                  <w:rPr>
                    <w:rFonts w:asciiTheme="minorEastAsia" w:hAnsiTheme="minorEastAsia" w:eastAsiaTheme="minorEastAsia"/>
                  </w:rPr>
                </w:pPr>
                <w:r>
                  <w:rPr>
                    <w:rFonts w:asciiTheme="minorEastAsia" w:hAnsiTheme="minorEastAsia" w:eastAsiaTheme="minorEastAsia"/>
                  </w:rPr>
                  <w:t>专业构成类别</w:t>
                </w:r>
              </w:p>
            </w:tc>
          </w:sdtContent>
        </w:sdt>
        <w:tc>
          <w:tcPr>
            <w:tcW w:w="2500" w:type="pct"/>
            <w:vAlign w:val="center"/>
          </w:tcPr>
          <w:p>
            <w:pPr>
              <w:jc w:val="center"/>
              <w:rPr>
                <w:rFonts w:asciiTheme="minorEastAsia" w:hAnsiTheme="minorEastAsia" w:eastAsiaTheme="minorEastAsia"/>
              </w:rPr>
            </w:pPr>
            <w:r>
              <w:rPr>
                <w:rFonts w:asciiTheme="minorEastAsia" w:hAnsiTheme="minorEastAsia" w:eastAsiaTheme="minorEastAsia"/>
              </w:rPr>
              <w:t>专业构成人数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500" w:type="pct"/>
          </w:tcPr>
          <w:p>
            <w:pPr>
              <w:jc w:val="center"/>
              <w:rPr>
                <w:rFonts w:asciiTheme="minorEastAsia" w:hAnsiTheme="minorEastAsia" w:eastAsiaTheme="minorEastAsia"/>
              </w:rPr>
            </w:pPr>
            <w:r>
              <w:rPr>
                <w:rFonts w:asciiTheme="minorEastAsia" w:hAnsiTheme="minorEastAsia" w:eastAsiaTheme="minorEastAsia"/>
              </w:rPr>
              <w:t>生产人员</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43,470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500" w:type="pct"/>
          </w:tcPr>
          <w:p>
            <w:pPr>
              <w:jc w:val="center"/>
              <w:rPr>
                <w:rFonts w:asciiTheme="minorEastAsia" w:hAnsiTheme="minorEastAsia" w:eastAsiaTheme="minorEastAsia"/>
              </w:rPr>
            </w:pPr>
            <w:r>
              <w:rPr>
                <w:rFonts w:asciiTheme="minorEastAsia" w:hAnsiTheme="minorEastAsia" w:eastAsiaTheme="minorEastAsia"/>
              </w:rPr>
              <w:t>销售人员</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500" w:type="pct"/>
          </w:tcPr>
          <w:p>
            <w:pPr>
              <w:jc w:val="center"/>
              <w:rPr>
                <w:rFonts w:asciiTheme="minorEastAsia" w:hAnsiTheme="minorEastAsia" w:eastAsiaTheme="minorEastAsia"/>
              </w:rPr>
            </w:pPr>
            <w:r>
              <w:rPr>
                <w:rFonts w:asciiTheme="minorEastAsia" w:hAnsiTheme="minorEastAsia" w:eastAsiaTheme="minorEastAsia"/>
              </w:rPr>
              <w:t>技术人员</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6,543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2500" w:type="pct"/>
          </w:tcPr>
          <w:p>
            <w:pPr>
              <w:jc w:val="center"/>
              <w:rPr>
                <w:rFonts w:asciiTheme="minorEastAsia" w:hAnsiTheme="minorEastAsia" w:eastAsiaTheme="minorEastAsia"/>
              </w:rPr>
            </w:pPr>
            <w:r>
              <w:rPr>
                <w:rFonts w:asciiTheme="minorEastAsia" w:hAnsiTheme="minorEastAsia" w:eastAsiaTheme="minorEastAsia"/>
              </w:rPr>
              <w:t>财务人员</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500" w:type="pct"/>
          </w:tcPr>
          <w:p>
            <w:pPr>
              <w:jc w:val="center"/>
              <w:rPr>
                <w:rFonts w:asciiTheme="minorEastAsia" w:hAnsiTheme="minorEastAsia" w:eastAsiaTheme="minorEastAsia"/>
              </w:rPr>
            </w:pPr>
            <w:r>
              <w:rPr>
                <w:rFonts w:asciiTheme="minorEastAsia" w:hAnsiTheme="minorEastAsia" w:eastAsiaTheme="minorEastAsia"/>
              </w:rPr>
              <w:t>行政人员</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4,482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heme="minorEastAsia" w:hAnsiTheme="minorEastAsia" w:eastAsiaTheme="minorEastAsia"/>
              </w:rPr>
            </w:pPr>
            <w:r>
              <w:rPr>
                <w:rFonts w:asciiTheme="minorEastAsia" w:hAnsiTheme="minorEastAsia" w:eastAsiaTheme="minorEastAsia"/>
              </w:rPr>
              <w:t>其他辅助人员</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22,944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heme="minorEastAsia" w:hAnsiTheme="minorEastAsia" w:eastAsiaTheme="minorEastAsia"/>
              </w:rPr>
            </w:pPr>
            <w:r>
              <w:rPr>
                <w:rFonts w:asciiTheme="minorEastAsia" w:hAnsiTheme="minorEastAsia" w:eastAsiaTheme="minorEastAsia"/>
              </w:rPr>
              <w:t>合计</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79,242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rPr>
              <w:rFonts w:asciiTheme="minorEastAsia" w:hAnsiTheme="minorEastAsia" w:eastAsiaTheme="minorEastAsia"/>
            </w:rPr>
            <w:tag w:val="_PLD_ea58f2d9c900463a8694fdc78940295e"/>
            <w:id w:val="1447971463"/>
          </w:sdtPr>
          <w:sdtEndPr>
            <w:rPr>
              <w:rFonts w:asciiTheme="minorEastAsia" w:hAnsiTheme="minorEastAsia" w:eastAsiaTheme="minorEastAsia"/>
            </w:rPr>
          </w:sdtEndPr>
          <w:sdtContent>
            <w:tc>
              <w:tcPr>
                <w:tcW w:w="5000" w:type="pct"/>
                <w:gridSpan w:val="2"/>
                <w:vAlign w:val="center"/>
              </w:tcPr>
              <w:p>
                <w:pPr>
                  <w:jc w:val="center"/>
                  <w:rPr>
                    <w:rFonts w:asciiTheme="minorEastAsia" w:hAnsiTheme="minorEastAsia" w:eastAsiaTheme="minorEastAsia"/>
                  </w:rPr>
                </w:pPr>
                <w:r>
                  <w:rPr>
                    <w:rFonts w:asciiTheme="minorEastAsia" w:hAnsiTheme="minorEastAsia" w:eastAsiaTheme="minorEastAsia"/>
                  </w:rPr>
                  <w:t>教育程度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rPr>
              <w:rFonts w:asciiTheme="minorEastAsia" w:hAnsiTheme="minorEastAsia" w:eastAsiaTheme="minorEastAsia"/>
            </w:rPr>
            <w:tag w:val="_PLD_92fefeded22c454881177d08c5c97d97"/>
            <w:id w:val="1839731519"/>
          </w:sdtPr>
          <w:sdtEndPr>
            <w:rPr>
              <w:rFonts w:asciiTheme="minorEastAsia" w:hAnsiTheme="minorEastAsia" w:eastAsiaTheme="minorEastAsia"/>
            </w:rPr>
          </w:sdtEndPr>
          <w:sdtContent>
            <w:tc>
              <w:tcPr>
                <w:tcW w:w="2500" w:type="pct"/>
              </w:tcPr>
              <w:p>
                <w:pPr>
                  <w:jc w:val="center"/>
                  <w:rPr>
                    <w:rFonts w:asciiTheme="minorEastAsia" w:hAnsiTheme="minorEastAsia" w:eastAsiaTheme="minorEastAsia"/>
                  </w:rPr>
                </w:pPr>
                <w:r>
                  <w:rPr>
                    <w:rFonts w:asciiTheme="minorEastAsia" w:hAnsiTheme="minorEastAsia" w:eastAsiaTheme="minorEastAsia"/>
                  </w:rPr>
                  <w:t>教育程度类别</w:t>
                </w:r>
              </w:p>
            </w:tc>
          </w:sdtContent>
        </w:sdt>
        <w:tc>
          <w:tcPr>
            <w:tcW w:w="2500" w:type="pct"/>
            <w:vAlign w:val="center"/>
          </w:tcPr>
          <w:p>
            <w:pPr>
              <w:jc w:val="center"/>
              <w:rPr>
                <w:rFonts w:asciiTheme="minorEastAsia" w:hAnsiTheme="minorEastAsia" w:eastAsiaTheme="minorEastAsia"/>
              </w:rPr>
            </w:pPr>
            <w:r>
              <w:rPr>
                <w:rFonts w:asciiTheme="minorEastAsia" w:hAnsiTheme="minorEastAsia" w:eastAsiaTheme="minorEastAsia"/>
              </w:rPr>
              <w:t>数量（人）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heme="minorEastAsia" w:hAnsiTheme="minorEastAsia" w:eastAsiaTheme="minorEastAsia"/>
              </w:rPr>
            </w:pPr>
            <w:r>
              <w:rPr>
                <w:rFonts w:asciiTheme="minorEastAsia" w:hAnsiTheme="minorEastAsia" w:eastAsiaTheme="minorEastAsia"/>
              </w:rPr>
              <w:t>大专及以上</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37,008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heme="minorEastAsia" w:hAnsiTheme="minorEastAsia" w:eastAsiaTheme="minorEastAsia"/>
              </w:rPr>
            </w:pPr>
            <w:r>
              <w:rPr>
                <w:rFonts w:asciiTheme="minorEastAsia" w:hAnsiTheme="minorEastAsia" w:eastAsiaTheme="minorEastAsia"/>
              </w:rPr>
              <w:t>中等学历</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26,279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heme="minorEastAsia" w:hAnsiTheme="minorEastAsia" w:eastAsiaTheme="minorEastAsia"/>
              </w:rPr>
            </w:pPr>
            <w:r>
              <w:rPr>
                <w:rFonts w:asciiTheme="minorEastAsia" w:hAnsiTheme="minorEastAsia" w:eastAsiaTheme="minorEastAsia"/>
              </w:rPr>
              <w:t>初中及以下</w:t>
            </w:r>
          </w:p>
        </w:tc>
        <w:tc>
          <w:tcPr>
            <w:tcW w:w="2500" w:type="pct"/>
            <w:vAlign w:val="center"/>
          </w:tcPr>
          <w:p>
            <w:pPr>
              <w:jc w:val="right"/>
              <w:rPr>
                <w:rFonts w:asciiTheme="minorEastAsia" w:hAnsiTheme="minorEastAsia" w:eastAsiaTheme="minorEastAsia"/>
              </w:rPr>
            </w:pPr>
            <w:r>
              <w:rPr>
                <w:rFonts w:asciiTheme="minorEastAsia" w:hAnsiTheme="minorEastAsia" w:eastAsiaTheme="minorEastAsia"/>
              </w:rPr>
              <w:t>15,955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500" w:type="pct"/>
            <w:tcBorders>
              <w:bottom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合计</w:t>
            </w:r>
          </w:p>
        </w:tc>
        <w:tc>
          <w:tcPr>
            <w:tcW w:w="2500" w:type="pct"/>
            <w:tcBorders>
              <w:bottom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79,242</w:t>
            </w:r>
          </w:p>
        </w:tc>
      </w:tr>
      <w:bookmarkEnd w:id="102"/>
    </w:tbl>
    <w:p>
      <w:pPr>
        <w:rPr>
          <w:rFonts w:asciiTheme="minorEastAsia" w:hAnsiTheme="minorEastAsia" w:eastAsiaTheme="minorEastAsia"/>
        </w:rPr>
      </w:pPr>
    </w:p>
    <w:p>
      <w:pPr>
        <w:pStyle w:val="4"/>
        <w:numPr>
          <w:ilvl w:val="0"/>
          <w:numId w:val="22"/>
        </w:numPr>
        <w:rPr>
          <w:rFonts w:asciiTheme="minorEastAsia" w:hAnsiTheme="minorEastAsia" w:eastAsiaTheme="minorEastAsia"/>
          <w:szCs w:val="21"/>
        </w:rPr>
      </w:pPr>
      <w:r>
        <w:rPr>
          <w:rFonts w:asciiTheme="minorEastAsia" w:hAnsiTheme="minorEastAsia" w:eastAsiaTheme="minorEastAsia"/>
        </w:rPr>
        <w:t>薪</w:t>
      </w:r>
      <w:r>
        <w:rPr>
          <w:rFonts w:asciiTheme="minorEastAsia" w:hAnsiTheme="minorEastAsia" w:eastAsiaTheme="minorEastAsia"/>
          <w:szCs w:val="21"/>
        </w:rPr>
        <w:t>酬政策</w:t>
      </w:r>
    </w:p>
    <w:bookmarkEnd w:id="103"/>
    <w:sdt>
      <w:sdtPr>
        <w:rPr>
          <w:rFonts w:hint="eastAsia" w:asciiTheme="minorEastAsia" w:hAnsiTheme="minorEastAsia" w:eastAsiaTheme="minorEastAsia"/>
        </w:rPr>
        <w:alias w:val="是否适用：薪酬政策[双击切换]"/>
        <w:tag w:val="_GBC_13404877597d44c38f554884f31b3123"/>
        <w:id w:val="-1362199495"/>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员工薪酬政策"/>
        <w:tag w:val="_GBC_c66914a8847a42b2b50437dbe93cdad1"/>
        <w:id w:val="56061755"/>
        <w:placeholder>
          <w:docPart w:val="GBC22222222222222222222222222222"/>
        </w:placeholder>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3</w:t>
          </w:r>
          <w:r>
            <w:rPr>
              <w:rFonts w:hint="eastAsia" w:asciiTheme="minorEastAsia" w:hAnsiTheme="minorEastAsia" w:eastAsiaTheme="minorEastAsia"/>
            </w:rPr>
            <w:t>年度本集团员工的工资与津贴总额为147亿元。董事、监事、高级管理人员薪酬政策详情请见本节“</w:t>
          </w:r>
          <w:r>
            <w:rPr>
              <w:rFonts w:asciiTheme="minorEastAsia" w:hAnsiTheme="minorEastAsia" w:eastAsiaTheme="minorEastAsia"/>
            </w:rPr>
            <w:t>现任及报告期内离任董事</w:t>
          </w:r>
          <w:r>
            <w:rPr>
              <w:rFonts w:hint="eastAsia" w:asciiTheme="minorEastAsia" w:hAnsiTheme="minorEastAsia" w:eastAsiaTheme="minorEastAsia"/>
            </w:rPr>
            <w:t>、监事和</w:t>
          </w:r>
          <w:r>
            <w:rPr>
              <w:rFonts w:asciiTheme="minorEastAsia" w:hAnsiTheme="minorEastAsia" w:eastAsiaTheme="minorEastAsia"/>
            </w:rPr>
            <w:t>高级管理人员持股变动及报酬情况</w:t>
          </w:r>
          <w:r>
            <w:rPr>
              <w:rFonts w:hint="eastAsia" w:asciiTheme="minorEastAsia" w:hAnsiTheme="minorEastAsia" w:eastAsiaTheme="minorEastAsia"/>
            </w:rPr>
            <w:t>”。</w:t>
          </w:r>
        </w:p>
        <w:p>
          <w:pPr>
            <w:ind w:firstLine="420" w:firstLineChars="200"/>
            <w:rPr>
              <w:rFonts w:asciiTheme="minorEastAsia" w:hAnsiTheme="minorEastAsia" w:eastAsiaTheme="minorEastAsia"/>
            </w:rPr>
          </w:pPr>
          <w:r>
            <w:rPr>
              <w:rFonts w:hint="eastAsia" w:asciiTheme="minorEastAsia" w:hAnsiTheme="minorEastAsia" w:eastAsiaTheme="minorEastAsia"/>
            </w:rPr>
            <w:t>本集团其他员工的薪酬政策主要是实行以岗位职责及量化考核结果为基础的岗位绩效工资制，并将绩效工资与公司的整体经济效益及个人业绩挂钩考核兑现。</w:t>
          </w:r>
        </w:p>
      </w:sdtContent>
    </w:sdt>
    <w:p>
      <w:pPr>
        <w:rPr>
          <w:rFonts w:asciiTheme="minorEastAsia" w:hAnsiTheme="minorEastAsia" w:eastAsiaTheme="minorEastAsia"/>
        </w:rPr>
      </w:pPr>
    </w:p>
    <w:p>
      <w:pPr>
        <w:pStyle w:val="4"/>
        <w:numPr>
          <w:ilvl w:val="0"/>
          <w:numId w:val="22"/>
        </w:numPr>
        <w:rPr>
          <w:rFonts w:asciiTheme="minorEastAsia" w:hAnsiTheme="minorEastAsia" w:eastAsiaTheme="minorEastAsia"/>
          <w:szCs w:val="21"/>
        </w:rPr>
      </w:pPr>
      <w:r>
        <w:rPr>
          <w:rFonts w:asciiTheme="minorEastAsia" w:hAnsiTheme="minorEastAsia" w:eastAsiaTheme="minorEastAsia"/>
          <w:szCs w:val="21"/>
        </w:rPr>
        <w:t>培训计划</w:t>
      </w:r>
    </w:p>
    <w:sdt>
      <w:sdtPr>
        <w:rPr>
          <w:rFonts w:hint="eastAsia" w:asciiTheme="minorEastAsia" w:hAnsiTheme="minorEastAsia" w:eastAsiaTheme="minorEastAsia"/>
        </w:rPr>
        <w:alias w:val="是否适用：培训计划[双击切换]"/>
        <w:tag w:val="_GBC_123cfa2c006d4970ae10b316c2c1f95a"/>
        <w:id w:val="-1885315327"/>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员工培训计划"/>
        <w:tag w:val="_GBC_266f6e1d93824387ae96645a471738b7"/>
        <w:id w:val="318086545"/>
        <w:placeholder>
          <w:docPart w:val="GBC22222222222222222222222222222"/>
        </w:placeholder>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本集团重视员工技能和业务素质培训。不断拓宽教育培训渠道，充分利用各类培训机构，采用形式多样的培训方式，有重点地进行业务技能培训，稳步推进实施管理培训、继续教育、技能培训、安全培训、转岗培训、岗前培训及其他培训。202</w:t>
          </w:r>
          <w:r>
            <w:rPr>
              <w:rFonts w:asciiTheme="minorEastAsia" w:hAnsiTheme="minorEastAsia" w:eastAsiaTheme="minorEastAsia"/>
            </w:rPr>
            <w:t>3</w:t>
          </w:r>
          <w:r>
            <w:rPr>
              <w:rFonts w:hint="eastAsia" w:asciiTheme="minorEastAsia" w:hAnsiTheme="minorEastAsia" w:eastAsiaTheme="minorEastAsia"/>
            </w:rPr>
            <w:t>年全年计划脱产培训1</w:t>
          </w:r>
          <w:r>
            <w:rPr>
              <w:rFonts w:asciiTheme="minorEastAsia" w:hAnsiTheme="minorEastAsia" w:eastAsiaTheme="minorEastAsia"/>
            </w:rPr>
            <w:t>0</w:t>
          </w:r>
          <w:r>
            <w:rPr>
              <w:rFonts w:hint="eastAsia" w:asciiTheme="minorEastAsia" w:hAnsiTheme="minorEastAsia" w:eastAsiaTheme="minorEastAsia"/>
            </w:rPr>
            <w:t>万人次，实际完成1</w:t>
          </w:r>
          <w:r>
            <w:rPr>
              <w:rFonts w:asciiTheme="minorEastAsia" w:hAnsiTheme="minorEastAsia" w:eastAsiaTheme="minorEastAsia"/>
            </w:rPr>
            <w:t>4.3</w:t>
          </w:r>
          <w:r>
            <w:rPr>
              <w:rFonts w:hint="eastAsia" w:asciiTheme="minorEastAsia" w:hAnsiTheme="minorEastAsia" w:eastAsiaTheme="minorEastAsia"/>
            </w:rPr>
            <w:t>万人次，完成计划的1</w:t>
          </w:r>
          <w:r>
            <w:rPr>
              <w:rFonts w:asciiTheme="minorEastAsia" w:hAnsiTheme="minorEastAsia" w:eastAsiaTheme="minorEastAsia"/>
            </w:rPr>
            <w:t>43</w:t>
          </w:r>
          <w:r>
            <w:rPr>
              <w:rFonts w:hint="eastAsia" w:asciiTheme="minorEastAsia" w:hAnsiTheme="minorEastAsia" w:eastAsiaTheme="minorEastAsia"/>
            </w:rPr>
            <w:t>%。</w:t>
          </w:r>
        </w:p>
      </w:sdtContent>
    </w:sdt>
    <w:p>
      <w:pPr>
        <w:rPr>
          <w:rFonts w:asciiTheme="minorEastAsia" w:hAnsiTheme="minorEastAsia" w:eastAsiaTheme="minorEastAsia"/>
        </w:rPr>
      </w:pPr>
    </w:p>
    <w:p>
      <w:pPr>
        <w:pStyle w:val="4"/>
        <w:numPr>
          <w:ilvl w:val="0"/>
          <w:numId w:val="22"/>
        </w:numPr>
        <w:rPr>
          <w:rFonts w:asciiTheme="minorEastAsia" w:hAnsiTheme="minorEastAsia" w:eastAsiaTheme="minorEastAsia"/>
          <w:szCs w:val="21"/>
        </w:rPr>
      </w:pPr>
      <w:r>
        <w:rPr>
          <w:rFonts w:asciiTheme="minorEastAsia" w:hAnsiTheme="minorEastAsia" w:eastAsiaTheme="minorEastAsia"/>
          <w:szCs w:val="21"/>
        </w:rPr>
        <w:t>劳务外包情况</w:t>
      </w:r>
    </w:p>
    <w:sdt>
      <w:sdtPr>
        <w:rPr>
          <w:rFonts w:asciiTheme="minorEastAsia" w:hAnsiTheme="minorEastAsia" w:eastAsiaTheme="minorEastAsia"/>
        </w:rPr>
        <w:alias w:val="是否适用：劳务外包情况[双击切换]"/>
        <w:tag w:val="_GBC_0682caf48f0d4ff9b0e5259fc3a31660"/>
        <w:id w:val="330101591"/>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pStyle w:val="3"/>
        <w:numPr>
          <w:ilvl w:val="0"/>
          <w:numId w:val="17"/>
        </w:numPr>
        <w:ind w:left="450" w:hanging="450"/>
        <w:rPr>
          <w:rFonts w:asciiTheme="minorEastAsia" w:hAnsiTheme="minorEastAsia" w:eastAsiaTheme="minorEastAsia"/>
        </w:rPr>
      </w:pPr>
      <w:r>
        <w:rPr>
          <w:rFonts w:asciiTheme="minorEastAsia" w:hAnsiTheme="minorEastAsia" w:eastAsiaTheme="minorEastAsia"/>
        </w:rPr>
        <w:t>利润分配或资本公积金转增预案</w:t>
      </w:r>
    </w:p>
    <w:p>
      <w:pPr>
        <w:pStyle w:val="4"/>
        <w:numPr>
          <w:ilvl w:val="0"/>
          <w:numId w:val="23"/>
        </w:numPr>
        <w:rPr>
          <w:rFonts w:asciiTheme="minorEastAsia" w:hAnsiTheme="minorEastAsia" w:eastAsiaTheme="minorEastAsia"/>
        </w:rPr>
      </w:pPr>
      <w:r>
        <w:rPr>
          <w:rFonts w:hint="eastAsia" w:asciiTheme="minorEastAsia" w:hAnsiTheme="minorEastAsia" w:eastAsiaTheme="minorEastAsia"/>
        </w:rPr>
        <w:t>现金分红政策的制定、执行或调整情况</w:t>
      </w:r>
    </w:p>
    <w:sdt>
      <w:sdtPr>
        <w:rPr>
          <w:rFonts w:hint="eastAsia" w:asciiTheme="minorEastAsia" w:hAnsiTheme="minorEastAsia" w:eastAsiaTheme="minorEastAsia"/>
        </w:rPr>
        <w:alias w:val="是否适用：现金分红政策的制定、执行或调整情况[双击切换]"/>
        <w:tag w:val="_GBC_44e2e78b73644e40b44c85d34ce008ea"/>
        <w:id w:val="-977062004"/>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asciiTheme="minorEastAsia" w:hAnsiTheme="minorEastAsia" w:eastAsiaTheme="minorEastAsia"/>
        </w:rPr>
        <w:alias w:val="现金分红政策的执行情况"/>
        <w:tag w:val="_GBC_0ba57968760941749cc2f420644f2599"/>
        <w:id w:val="-1760054766"/>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p>
        <w:sdt>
          <w:sdtPr>
            <w:rPr>
              <w:rFonts w:asciiTheme="minorEastAsia" w:hAnsiTheme="minorEastAsia" w:eastAsiaTheme="minorEastAsia"/>
            </w:rPr>
            <w:alias w:val="现金分红政策的执行情况"/>
            <w:tag w:val="_GBC_0ba57968760941749cc2f420644f2599"/>
            <w:id w:val="1354537427"/>
            <w:placeholder>
              <w:docPart w:val="C564243FBD514009BE916ADF348E715E"/>
            </w:placeholder>
          </w:sdtPr>
          <w:sdtEndPr>
            <w:rPr>
              <w:rFonts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公司规定的现金分红政策为：公司可以采用现金、股票或者现金与股票相结合的方式进行利润分配。当具备现金分红条件时，现金股利优先于股票股利。公司在分配有关会计年度的税后利润时，以两种财务报表（按中国会计准则编制的财务报表、按国际或者境外上市地会计准则编制的财务报表）税后利润数较少者为准。公司分配当年税后利润时，应当提取利润的百分之十列入公司法定公积金。公司法定公积金累计额为公司注册资本的百分之五十以上的，可以不再提取。公司每年分配末期股利一次，由股东大会通过普通决议授权董事会分配和支付该末期股利；经董事会和股东大会审议批准，公司可以进行中期现金分红。公司派发现金股利的会计期间间隔应不少于六个月。在优先保证公司可持续发展、公司当年盈利且累计未分配利润为正的前提下，除有重大投资计划或重大现金需求外，公司在该会计年度分配的现金股利总额，应占公司该年度扣除法定储备后净利润的约百分之三十五。公司在经营情况良好，并且董事会认为公司股票价格与公司股本规模不匹配、发放股票股利有利于公司全体股东整体利益及其他必要情形时，可采用股票形式进行利润分配。</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经公司</w:t>
              </w:r>
              <w:r>
                <w:rPr>
                  <w:rFonts w:asciiTheme="minorEastAsia" w:hAnsiTheme="minorEastAsia" w:eastAsiaTheme="minorEastAsia"/>
                </w:rPr>
                <w:t>2020年12月9日召开的2020年度第二次临时股东大会审议批准，公司2020-2024年度现金分红比例确定为：公司在各会计年度分配的现金股利总额，应占公司该年度扣除法定储备后净利润的约百分之五十，且每股现金股利不低于0.50元。</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经公司</w:t>
              </w:r>
              <w:r>
                <w:rPr>
                  <w:rFonts w:asciiTheme="minorEastAsia" w:hAnsiTheme="minorEastAsia" w:eastAsiaTheme="minorEastAsia"/>
                </w:rPr>
                <w:t>2023年6月30日召开的2022年度股东周年大会审议批准，公司</w:t>
              </w:r>
              <w:r>
                <w:rPr>
                  <w:rFonts w:hint="eastAsia" w:asciiTheme="minorEastAsia" w:hAnsiTheme="minorEastAsia" w:eastAsiaTheme="minorEastAsia"/>
                </w:rPr>
                <w:t>权益分派方案为每</w:t>
              </w:r>
              <w:r>
                <w:rPr>
                  <w:rFonts w:asciiTheme="minorEastAsia" w:hAnsiTheme="minorEastAsia" w:eastAsiaTheme="minorEastAsia"/>
                </w:rPr>
                <w:t>10股送红股5股，并每10股派发2022年度现金股利43.0元（含税）。截至本报告披露日，2023年度</w:t>
              </w:r>
              <w:r>
                <w:rPr>
                  <w:rFonts w:hint="eastAsia" w:asciiTheme="minorEastAsia" w:hAnsiTheme="minorEastAsia" w:eastAsiaTheme="minorEastAsia"/>
                </w:rPr>
                <w:t>权益分派已实施完毕</w:t>
              </w:r>
              <w:r>
                <w:rPr>
                  <w:rFonts w:asciiTheme="minorEastAsia" w:hAnsiTheme="minorEastAsia" w:eastAsiaTheme="minorEastAsia"/>
                </w:rPr>
                <w:t>。</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经公司</w:t>
              </w:r>
              <w:r>
                <w:rPr>
                  <w:rFonts w:asciiTheme="minorEastAsia" w:hAnsiTheme="minorEastAsia" w:eastAsiaTheme="minorEastAsia"/>
                </w:rPr>
                <w:t>2023年10月27日召开的2023年</w:t>
              </w:r>
              <w:r>
                <w:rPr>
                  <w:rFonts w:hint="eastAsia" w:asciiTheme="minorEastAsia" w:hAnsiTheme="minorEastAsia" w:eastAsiaTheme="minorEastAsia"/>
                </w:rPr>
                <w:t>第一次临时股东</w:t>
              </w:r>
              <w:r>
                <w:rPr>
                  <w:rFonts w:asciiTheme="minorEastAsia" w:hAnsiTheme="minorEastAsia" w:eastAsiaTheme="minorEastAsia"/>
                </w:rPr>
                <w:t>大会审议批准，公司2023-2025年度现金分红比例确定为：公司在各会计年度分配的现金股利总额，应占公司该年度扣除法定储备后净利润的约百分之</w:t>
              </w:r>
              <w:r>
                <w:rPr>
                  <w:rFonts w:hint="eastAsia" w:asciiTheme="minorEastAsia" w:hAnsiTheme="minorEastAsia" w:eastAsiaTheme="minorEastAsia"/>
                </w:rPr>
                <w:t>六</w:t>
              </w:r>
              <w:r>
                <w:rPr>
                  <w:rFonts w:asciiTheme="minorEastAsia" w:hAnsiTheme="minorEastAsia" w:eastAsiaTheme="minorEastAsia"/>
                </w:rPr>
                <w:t>十，且每股现金股利不低于0.50元。</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公司董事会建议以权益分派股权登记日总股本为基数，</w:t>
              </w:r>
              <w:r>
                <w:rPr>
                  <w:rFonts w:hint="eastAsia" w:ascii="宋体" w:hAnsi="宋体"/>
                </w:rPr>
                <w:t>每</w:t>
              </w:r>
              <w:r>
                <w:rPr>
                  <w:rFonts w:ascii="宋体" w:hAnsi="宋体"/>
                </w:rPr>
                <w:t>10股送红股3</w:t>
              </w:r>
              <w:r>
                <w:rPr>
                  <w:rFonts w:hint="eastAsia" w:ascii="宋体" w:hAnsi="宋体"/>
                </w:rPr>
                <w:t>股，并每</w:t>
              </w:r>
              <w:r>
                <w:rPr>
                  <w:rFonts w:ascii="宋体" w:hAnsi="宋体"/>
                </w:rPr>
                <w:t>10股派发</w:t>
              </w:r>
              <w:r>
                <w:rPr>
                  <w:rFonts w:hint="eastAsia" w:ascii="宋体" w:hAnsi="宋体"/>
                </w:rPr>
                <w:t>2</w:t>
              </w:r>
              <w:r>
                <w:rPr>
                  <w:rFonts w:ascii="宋体" w:hAnsi="宋体"/>
                </w:rPr>
                <w:t>023</w:t>
              </w:r>
              <w:r>
                <w:rPr>
                  <w:rFonts w:hint="eastAsia" w:ascii="宋体" w:hAnsi="宋体"/>
                </w:rPr>
                <w:t>年度</w:t>
              </w:r>
              <w:r>
                <w:rPr>
                  <w:rFonts w:ascii="宋体" w:hAnsi="宋体"/>
                </w:rPr>
                <w:t>现金股利14.90</w:t>
              </w:r>
              <w:r>
                <w:rPr>
                  <w:rFonts w:hint="eastAsia" w:ascii="宋体" w:hAnsi="宋体"/>
                </w:rPr>
                <w:t>元（含税）</w:t>
              </w:r>
              <w:r>
                <w:rPr>
                  <w:rFonts w:hint="eastAsia" w:ascii="宋体" w:hAnsi="宋体"/>
                  <w:bCs/>
                </w:rPr>
                <w:t>。</w:t>
              </w:r>
              <w:r>
                <w:rPr>
                  <w:rFonts w:asciiTheme="minorEastAsia" w:hAnsiTheme="minorEastAsia" w:eastAsiaTheme="minorEastAsia"/>
                </w:rPr>
                <w:t>该等分配方案将提交2023年度股东周年大会审议，并于股东周年大会批准后两个月内（若被通过）发放给公司股东。根据《公司章程》规定，现金股利将以人民币计算和宣布。</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在实施权益分派的股权登记日前公司总股本发生变动的，拟维持每股分配金额和每股送红股股数不变，相应调整分配总额，并另行公告具体调整情况。</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公司利润分配方案的制定已充分听取和考虑本公司股东特别是中小股东的意见和诉求，并符合《公司章程》规定，经本公司独立董事</w:t>
              </w:r>
              <w:r>
                <w:rPr>
                  <w:rFonts w:asciiTheme="minorEastAsia" w:hAnsiTheme="minorEastAsia" w:eastAsiaTheme="minorEastAsia"/>
                </w:rPr>
                <w:t>(即香港上市规则项下之独立非执行董事)同意、董事会和股东大会批准执行。</w:t>
              </w:r>
            </w:p>
          </w:sdtContent>
        </w:sdt>
      </w:sdtContent>
    </w:sdt>
    <w:p>
      <w:pPr>
        <w:rPr>
          <w:rFonts w:asciiTheme="minorEastAsia" w:hAnsiTheme="minorEastAsia" w:eastAsiaTheme="minorEastAsia"/>
        </w:rPr>
      </w:pPr>
    </w:p>
    <w:p>
      <w:pPr>
        <w:pStyle w:val="4"/>
        <w:numPr>
          <w:ilvl w:val="0"/>
          <w:numId w:val="23"/>
        </w:numPr>
        <w:ind w:left="450" w:hanging="450"/>
        <w:rPr>
          <w:rFonts w:asciiTheme="minorEastAsia" w:hAnsiTheme="minorEastAsia" w:eastAsiaTheme="minorEastAsia"/>
        </w:rPr>
      </w:pPr>
      <w:r>
        <w:rPr>
          <w:rFonts w:asciiTheme="minorEastAsia" w:hAnsiTheme="minorEastAsia" w:eastAsiaTheme="minorEastAsia"/>
        </w:rPr>
        <w:t>现金分红政策的专项说明</w:t>
      </w:r>
    </w:p>
    <w:sdt>
      <w:sdtPr>
        <w:rPr>
          <w:rFonts w:asciiTheme="minorEastAsia" w:hAnsiTheme="minorEastAsia" w:eastAsiaTheme="minorEastAsia"/>
        </w:rPr>
        <w:alias w:val="是否适用：现金分红政策的专项说明 [双击切换]"/>
        <w:tag w:val="_GBC_715d8b6c04924cf19dcd2347ae32471f"/>
        <w:id w:val="-1206095935"/>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bookmarkStart w:id="104" w:name="_Hlk89446160"/>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tbl>
      <w:tblPr>
        <w:tblStyle w:val="20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5"/>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heme="minorEastAsia" w:hAnsiTheme="minorEastAsia" w:eastAsiaTheme="minorEastAsia"/>
            </w:rPr>
            <w:tag w:val="_PLD_be5b642d619e47719375899ad34c31f6"/>
            <w:id w:val="-1947149446"/>
          </w:sdtPr>
          <w:sdtEndPr>
            <w:rPr>
              <w:rFonts w:hint="eastAsia" w:asciiTheme="minorEastAsia" w:hAnsiTheme="minorEastAsia" w:eastAsiaTheme="minorEastAsia"/>
            </w:rPr>
          </w:sdtEndPr>
          <w:sdtContent>
            <w:tc>
              <w:tcPr>
                <w:tcW w:w="3898" w:type="pct"/>
              </w:tcPr>
              <w:p>
                <w:pPr>
                  <w:rPr>
                    <w:rFonts w:asciiTheme="minorEastAsia" w:hAnsiTheme="minorEastAsia" w:eastAsiaTheme="minorEastAsia"/>
                  </w:rPr>
                </w:pPr>
                <w:r>
                  <w:rPr>
                    <w:rFonts w:hint="eastAsia" w:asciiTheme="minorEastAsia" w:hAnsiTheme="minorEastAsia" w:eastAsiaTheme="minorEastAsia"/>
                  </w:rPr>
                  <w:t>是否符合公司章程的规定或股东大会决议的要求</w:t>
                </w:r>
              </w:p>
            </w:tc>
          </w:sdtContent>
        </w:sdt>
        <w:sdt>
          <w:sdtPr>
            <w:rPr>
              <w:rFonts w:asciiTheme="minorEastAsia" w:hAnsiTheme="minorEastAsia" w:eastAsiaTheme="minorEastAsia"/>
            </w:rPr>
            <w:alias w:val="是否符合公司章程的规定或股东大会决议的要求[双击切换]"/>
            <w:tag w:val="_GBC_c4c31977f51f4fa0a4f1f65cff248b5c"/>
            <w:id w:val="1343592929"/>
          </w:sdtPr>
          <w:sdtEndPr>
            <w:rPr>
              <w:rFonts w:asciiTheme="minorEastAsia" w:hAnsiTheme="minorEastAsia" w:eastAsiaTheme="minorEastAsia"/>
            </w:rPr>
          </w:sdtEndPr>
          <w:sdtContent>
            <w:tc>
              <w:tcPr>
                <w:tcW w:w="1102" w:type="pct"/>
                <w:vAlign w:val="center"/>
              </w:tcPr>
              <w:p>
                <w:pPr>
                  <w:jc w:val="cente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√是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□否 </w:instrText>
                </w:r>
                <w:r>
                  <w:rPr>
                    <w:rFonts w:asciiTheme="minorEastAsia" w:hAnsiTheme="minorEastAsia" w:eastAsiaTheme="minorEastAsia"/>
                  </w:rP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Pr>
          <w:p>
            <w:pPr>
              <w:rPr>
                <w:rFonts w:asciiTheme="minorEastAsia" w:hAnsiTheme="minorEastAsia" w:eastAsiaTheme="minorEastAsia"/>
              </w:rPr>
            </w:pPr>
            <w:r>
              <w:rPr>
                <w:rFonts w:hint="eastAsia" w:asciiTheme="minorEastAsia" w:hAnsiTheme="minorEastAsia" w:eastAsiaTheme="minorEastAsia"/>
              </w:rPr>
              <w:t>分红标准和比例是否明确和清晰</w:t>
            </w:r>
          </w:p>
        </w:tc>
        <w:sdt>
          <w:sdtPr>
            <w:rPr>
              <w:rFonts w:asciiTheme="minorEastAsia" w:hAnsiTheme="minorEastAsia" w:eastAsiaTheme="minorEastAsia"/>
            </w:rPr>
            <w:alias w:val="分红标准和比例是否明确和清晰[双击切换]"/>
            <w:tag w:val="_GBC_c8bbad0601c544fca3faeac3b11ee218"/>
            <w:id w:val="-1269314173"/>
          </w:sdtPr>
          <w:sdtEndPr>
            <w:rPr>
              <w:rFonts w:asciiTheme="minorEastAsia" w:hAnsiTheme="minorEastAsia" w:eastAsiaTheme="minorEastAsia"/>
            </w:rPr>
          </w:sdtEndPr>
          <w:sdtContent>
            <w:tc>
              <w:tcPr>
                <w:tcW w:w="1102" w:type="pct"/>
                <w:vAlign w:val="center"/>
              </w:tcPr>
              <w:p>
                <w:pPr>
                  <w:jc w:val="cente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√是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□否 </w:instrText>
                </w:r>
                <w:r>
                  <w:rPr>
                    <w:rFonts w:asciiTheme="minorEastAsia" w:hAnsiTheme="minorEastAsia" w:eastAsiaTheme="minorEastAsia"/>
                  </w:rP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相关的决策程序和机制是否完备</w:t>
            </w:r>
          </w:p>
        </w:tc>
        <w:sdt>
          <w:sdtPr>
            <w:rPr>
              <w:rFonts w:asciiTheme="minorEastAsia" w:hAnsiTheme="minorEastAsia" w:eastAsiaTheme="minorEastAsia"/>
            </w:rPr>
            <w:alias w:val="相关的决策程序和机制是否完备[双击切换]"/>
            <w:tag w:val="_GBC_b2d0d75abb6f4f14a51595902d0ad7b9"/>
            <w:id w:val="-1794280952"/>
          </w:sdtPr>
          <w:sdtEndPr>
            <w:rPr>
              <w:rFonts w:asciiTheme="minorEastAsia" w:hAnsiTheme="minorEastAsia" w:eastAsiaTheme="minorEastAsia"/>
            </w:rPr>
          </w:sdtEndPr>
          <w:sdtContent>
            <w:tc>
              <w:tcPr>
                <w:tcW w:w="11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√是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□否 </w:instrText>
                </w:r>
                <w:r>
                  <w:rPr>
                    <w:rFonts w:asciiTheme="minorEastAsia" w:hAnsiTheme="minorEastAsia" w:eastAsiaTheme="minorEastAsia"/>
                  </w:rP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独立董事是否履职尽责并发挥了应有的作用</w:t>
            </w:r>
          </w:p>
        </w:tc>
        <w:sdt>
          <w:sdtPr>
            <w:rPr>
              <w:rFonts w:asciiTheme="minorEastAsia" w:hAnsiTheme="minorEastAsia" w:eastAsiaTheme="minorEastAsia"/>
            </w:rPr>
            <w:alias w:val="独立董事是否履职尽责并发挥了应有的作用[双击切换]"/>
            <w:tag w:val="_GBC_0b8d249fbcc74af893077c4c7eee16ef"/>
            <w:id w:val="48808898"/>
          </w:sdtPr>
          <w:sdtEndPr>
            <w:rPr>
              <w:rFonts w:asciiTheme="minorEastAsia" w:hAnsiTheme="minorEastAsia" w:eastAsiaTheme="minorEastAsia"/>
            </w:rPr>
          </w:sdtEndPr>
          <w:sdtContent>
            <w:tc>
              <w:tcPr>
                <w:tcW w:w="11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√是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□否 </w:instrText>
                </w:r>
                <w:r>
                  <w:rPr>
                    <w:rFonts w:asciiTheme="minorEastAsia" w:hAnsiTheme="minorEastAsia" w:eastAsiaTheme="minorEastAsia"/>
                  </w:rP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中小股东是否有充分表达意见和诉求的机会，其合法权益是否得到了充分保护</w:t>
            </w:r>
          </w:p>
        </w:tc>
        <w:sdt>
          <w:sdtPr>
            <w:rPr>
              <w:rFonts w:asciiTheme="minorEastAsia" w:hAnsiTheme="minorEastAsia" w:eastAsiaTheme="minorEastAsia"/>
            </w:rPr>
            <w:alias w:val="中小股东是否有充分表达意见和诉求的机会，其合法权益是否得到了充分保护[双击切换]"/>
            <w:tag w:val="_GBC_827122507d054bfd80b4c5e8d243a91b"/>
            <w:id w:val="1578396305"/>
          </w:sdtPr>
          <w:sdtEndPr>
            <w:rPr>
              <w:rFonts w:asciiTheme="minorEastAsia" w:hAnsiTheme="minorEastAsia" w:eastAsiaTheme="minorEastAsia"/>
            </w:rPr>
          </w:sdtEndPr>
          <w:sdtContent>
            <w:tc>
              <w:tcPr>
                <w:tcW w:w="110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√是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□否 </w:instrText>
                </w:r>
                <w:r>
                  <w:rPr>
                    <w:rFonts w:asciiTheme="minorEastAsia" w:hAnsiTheme="minorEastAsia" w:eastAsiaTheme="minorEastAsia"/>
                  </w:rPr>
                  <w:fldChar w:fldCharType="end"/>
                </w:r>
              </w:p>
            </w:tc>
          </w:sdtContent>
        </w:sdt>
      </w:tr>
      <w:bookmarkEnd w:id="104"/>
    </w:tbl>
    <w:p>
      <w:pPr>
        <w:rPr>
          <w:rFonts w:asciiTheme="minorEastAsia" w:hAnsiTheme="minorEastAsia" w:eastAsiaTheme="minorEastAsia"/>
        </w:rPr>
      </w:pPr>
    </w:p>
    <w:p>
      <w:pPr>
        <w:pStyle w:val="4"/>
        <w:numPr>
          <w:ilvl w:val="0"/>
          <w:numId w:val="23"/>
        </w:numPr>
        <w:rPr>
          <w:rFonts w:asciiTheme="minorEastAsia" w:hAnsiTheme="minorEastAsia" w:eastAsiaTheme="minorEastAsia"/>
        </w:rPr>
      </w:pPr>
      <w:r>
        <w:rPr>
          <w:rFonts w:hint="eastAsia" w:asciiTheme="minorEastAsia" w:hAnsiTheme="minorEastAsia" w:eastAsiaTheme="minorEastAsia"/>
        </w:rPr>
        <w:t>报告期内盈利且母公司可供股东分配利润为正，但未提出现金利润分配方案预案的，公司应当详细披露原因以及未分配利润的用途和使用计划</w:t>
      </w:r>
    </w:p>
    <w:sdt>
      <w:sdtPr>
        <w:rPr>
          <w:rFonts w:asciiTheme="minorEastAsia" w:hAnsiTheme="minorEastAsia" w:eastAsiaTheme="minorEastAsia"/>
        </w:rPr>
        <w:alias w:val="是否适用：公司本报告期内盈利但未提出现金利润分配预案[双击切换]"/>
        <w:tag w:val="_GBC_5eea41352c0e4778a6748c9a20117653"/>
        <w:id w:val="-2075646036"/>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pStyle w:val="4"/>
        <w:numPr>
          <w:ilvl w:val="0"/>
          <w:numId w:val="23"/>
        </w:numPr>
        <w:ind w:left="450" w:hanging="450"/>
        <w:rPr>
          <w:rFonts w:asciiTheme="minorEastAsia" w:hAnsiTheme="minorEastAsia" w:eastAsiaTheme="minorEastAsia"/>
        </w:rPr>
      </w:pPr>
      <w:r>
        <w:rPr>
          <w:rFonts w:hint="eastAsia" w:asciiTheme="minorEastAsia" w:hAnsiTheme="minorEastAsia" w:eastAsiaTheme="minorEastAsia"/>
        </w:rPr>
        <w:t>本报告期利润分配及资本公积金转增股本预案</w:t>
      </w:r>
    </w:p>
    <w:sdt>
      <w:sdtPr>
        <w:rPr>
          <w:rFonts w:asciiTheme="minorEastAsia" w:hAnsiTheme="minorEastAsia" w:eastAsiaTheme="minorEastAsia"/>
        </w:rPr>
        <w:alias w:val="是否适用：利润分配及资本公积金转增股本情况[双击切换]"/>
        <w:tag w:val="_GBC_495a4ba42a0f42f09a8ad4b2fade6559"/>
        <w:id w:val="1132365969"/>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jc w:val="right"/>
        <w:rPr>
          <w:rFonts w:asciiTheme="minorEastAsia" w:hAnsiTheme="minorEastAsia" w:eastAsiaTheme="minorEastAsia"/>
        </w:rPr>
      </w:pPr>
      <w:r>
        <w:rPr>
          <w:rFonts w:hint="eastAsia" w:asciiTheme="minorEastAsia" w:hAnsiTheme="minorEastAsia" w:eastAsiaTheme="minorEastAsia"/>
        </w:rPr>
        <w:t>单位:</w:t>
      </w:r>
      <w:sdt>
        <w:sdtPr>
          <w:rPr>
            <w:rFonts w:hint="eastAsia" w:asciiTheme="minorEastAsia" w:hAnsiTheme="minorEastAsia" w:eastAsiaTheme="minorEastAsia"/>
          </w:rPr>
          <w:alias w:val="单位：利润分配及资本公积金转增股本情况"/>
          <w:tag w:val="_GBC_13401d941a944aa6845e12add2d0dd0e"/>
          <w:id w:val="-212383491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heme="minorEastAsia" w:hAnsiTheme="minorEastAsia" w:eastAsiaTheme="minorEastAsia"/>
          </w:rPr>
        </w:sdtEndPr>
        <w:sdtContent>
          <w:r>
            <w:rPr>
              <w:rFonts w:hint="eastAsia" w:asciiTheme="minorEastAsia" w:hAnsiTheme="minorEastAsia" w:eastAsiaTheme="minorEastAsia"/>
            </w:rPr>
            <w:t>千元</w:t>
          </w:r>
        </w:sdtContent>
      </w:sdt>
      <w:r>
        <w:rPr>
          <w:rFonts w:hint="eastAsia" w:asciiTheme="minorEastAsia" w:hAnsiTheme="minorEastAsia" w:eastAsiaTheme="minorEastAsia"/>
        </w:rPr>
        <w:t xml:space="preserve">  币种:</w:t>
      </w:r>
      <w:sdt>
        <w:sdtPr>
          <w:rPr>
            <w:rFonts w:hint="eastAsia" w:asciiTheme="minorEastAsia" w:hAnsiTheme="minorEastAsia" w:eastAsiaTheme="minorEastAsia"/>
          </w:rPr>
          <w:alias w:val="币种：利润分配及资本公积金转增股本情况"/>
          <w:tag w:val="_GBC_7b66af31a51f46208037a812a69070e9"/>
          <w:id w:val="-12717707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rPr>
        </w:sdtEndPr>
        <w:sdtContent>
          <w:r>
            <w:rPr>
              <w:rFonts w:hint="eastAsia" w:asciiTheme="minorEastAsia" w:hAnsiTheme="minorEastAsia" w:eastAsiaTheme="minorEastAsia"/>
            </w:rPr>
            <w:t>人民币</w:t>
          </w:r>
        </w:sdtContent>
      </w:sdt>
    </w:p>
    <w:tbl>
      <w:tblPr>
        <w:tblStyle w:val="20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528"/>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80" w:hRule="atLeast"/>
        </w:trPr>
        <w:sdt>
          <w:sdtPr>
            <w:rPr>
              <w:rFonts w:asciiTheme="minorEastAsia" w:hAnsiTheme="minorEastAsia" w:eastAsiaTheme="minorEastAsia"/>
            </w:rPr>
            <w:tag w:val="_PLD_28cd685f5155420cab6b327b3f81025e"/>
            <w:id w:val="548884632"/>
          </w:sdtPr>
          <w:sdtEndPr>
            <w:rPr>
              <w:rFonts w:asciiTheme="minorEastAsia" w:hAnsiTheme="minorEastAsia" w:eastAsiaTheme="minorEastAsia"/>
            </w:rPr>
          </w:sdtEndPr>
          <w:sdtContent>
            <w:tc>
              <w:tcPr>
                <w:tcW w:w="2499"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每10股送红股数（股）</w:t>
                </w:r>
              </w:p>
            </w:tc>
          </w:sdtContent>
        </w:sdt>
        <w:tc>
          <w:tcPr>
            <w:tcW w:w="2501" w:type="pct"/>
            <w:vAlign w:val="center"/>
          </w:tcPr>
          <w:p>
            <w:pPr>
              <w:jc w:val="right"/>
              <w:rPr>
                <w:rFonts w:asciiTheme="minorEastAsia" w:hAnsiTheme="minorEastAsia" w:eastAsiaTheme="minorEastAsia"/>
              </w:rPr>
            </w:pPr>
            <w:r>
              <w:rPr>
                <w:rFonts w:asciiTheme="minorEastAsia" w:hAnsiTheme="minorEastAsia" w:eastAsiaTheme="minor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每</w:t>
            </w:r>
            <w:r>
              <w:rPr>
                <w:rFonts w:asciiTheme="minorEastAsia" w:hAnsiTheme="minorEastAsia" w:eastAsiaTheme="minorEastAsia"/>
              </w:rPr>
              <w:t>10</w:t>
            </w:r>
            <w:r>
              <w:rPr>
                <w:rFonts w:hint="eastAsia" w:asciiTheme="minorEastAsia" w:hAnsiTheme="minorEastAsia" w:eastAsiaTheme="minorEastAsia"/>
              </w:rPr>
              <w:t>股派息数（元）（含税）</w:t>
            </w:r>
          </w:p>
        </w:tc>
        <w:tc>
          <w:tcPr>
            <w:tcW w:w="2501" w:type="pct"/>
            <w:vAlign w:val="center"/>
          </w:tcPr>
          <w:p>
            <w:pPr>
              <w:jc w:val="right"/>
              <w:rPr>
                <w:rFonts w:asciiTheme="minorEastAsia" w:hAnsiTheme="minorEastAsia" w:eastAsiaTheme="minorEastAsia"/>
              </w:rPr>
            </w:pPr>
            <w:r>
              <w:rPr>
                <w:rFonts w:ascii="宋体" w:hAnsi="宋体"/>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每</w:t>
            </w:r>
            <w:r>
              <w:rPr>
                <w:rFonts w:asciiTheme="minorEastAsia" w:hAnsiTheme="minorEastAsia" w:eastAsiaTheme="minorEastAsia"/>
              </w:rPr>
              <w:t>10</w:t>
            </w:r>
            <w:r>
              <w:rPr>
                <w:rFonts w:hint="eastAsia" w:asciiTheme="minorEastAsia" w:hAnsiTheme="minorEastAsia" w:eastAsiaTheme="minorEastAsia"/>
              </w:rPr>
              <w:t>股转增数（股）</w:t>
            </w:r>
          </w:p>
        </w:tc>
        <w:tc>
          <w:tcPr>
            <w:tcW w:w="2501" w:type="pct"/>
            <w:vAlign w:val="center"/>
          </w:tcPr>
          <w:p>
            <w:pPr>
              <w:jc w:val="right"/>
              <w:rPr>
                <w:rFonts w:asciiTheme="minorEastAsia" w:hAnsiTheme="minorEastAsia" w:eastAsiaTheme="minorEastAsia"/>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现金分红金额（含税）</w:t>
            </w:r>
          </w:p>
        </w:tc>
        <w:tc>
          <w:tcPr>
            <w:tcW w:w="2501" w:type="pct"/>
            <w:vAlign w:val="center"/>
          </w:tcPr>
          <w:p>
            <w:pPr>
              <w:jc w:val="right"/>
              <w:rPr>
                <w:rFonts w:asciiTheme="minorEastAsia" w:hAnsiTheme="minorEastAsia" w:eastAsiaTheme="minorEastAsia"/>
              </w:rPr>
            </w:pPr>
            <w:r>
              <w:rPr>
                <w:rFonts w:ascii="宋体" w:hAnsi="宋体"/>
              </w:rPr>
              <w:t xml:space="preserve">11,084,662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分红年度合并报表中归属于上市公司</w:t>
            </w:r>
            <w:r>
              <w:rPr>
                <w:rFonts w:hint="eastAsia" w:asciiTheme="minorEastAsia" w:hAnsiTheme="minorEastAsia" w:eastAsiaTheme="minorEastAsia"/>
              </w:rPr>
              <w:t>普通股</w:t>
            </w:r>
            <w:r>
              <w:rPr>
                <w:rFonts w:asciiTheme="minorEastAsia" w:hAnsiTheme="minorEastAsia" w:eastAsiaTheme="minorEastAsia"/>
              </w:rPr>
              <w:t>股东的净利润</w:t>
            </w:r>
          </w:p>
        </w:tc>
        <w:tc>
          <w:tcPr>
            <w:tcW w:w="250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宋体" w:hAnsi="宋体"/>
              </w:rPr>
              <w:t xml:space="preserve">20,139,502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占合并报表中归属于上市公司</w:t>
            </w:r>
            <w:r>
              <w:rPr>
                <w:rFonts w:hint="eastAsia" w:asciiTheme="minorEastAsia" w:hAnsiTheme="minorEastAsia" w:eastAsiaTheme="minorEastAsia"/>
              </w:rPr>
              <w:t>普通股</w:t>
            </w:r>
            <w:r>
              <w:rPr>
                <w:rFonts w:asciiTheme="minorEastAsia" w:hAnsiTheme="minorEastAsia" w:eastAsiaTheme="minorEastAsia"/>
              </w:rPr>
              <w:t>股东的净利润的比率</w:t>
            </w:r>
            <w:r>
              <w:rPr>
                <w:rFonts w:hint="eastAsia" w:asciiTheme="minorEastAsia" w:hAnsiTheme="minorEastAsia" w:eastAsiaTheme="minorEastAsia"/>
              </w:rPr>
              <w:t>（%）</w:t>
            </w:r>
          </w:p>
        </w:tc>
        <w:tc>
          <w:tcPr>
            <w:tcW w:w="250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宋体" w:hAnsi="宋体"/>
              </w:rPr>
              <w:t>55.04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以</w:t>
            </w:r>
            <w:r>
              <w:rPr>
                <w:rFonts w:asciiTheme="minorEastAsia" w:hAnsiTheme="minorEastAsia" w:eastAsiaTheme="minorEastAsia"/>
              </w:rPr>
              <w:t>现金方式回购股份计入现金分红的</w:t>
            </w:r>
            <w:r>
              <w:rPr>
                <w:rFonts w:hint="eastAsia" w:asciiTheme="minorEastAsia" w:hAnsiTheme="minorEastAsia" w:eastAsiaTheme="minorEastAsia"/>
              </w:rPr>
              <w:t>金额</w:t>
            </w:r>
          </w:p>
        </w:tc>
        <w:tc>
          <w:tcPr>
            <w:tcW w:w="2501" w:type="pct"/>
            <w:vAlign w:val="center"/>
          </w:tcPr>
          <w:p>
            <w:pPr>
              <w:jc w:val="right"/>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合计分红金额（含税）</w:t>
            </w:r>
          </w:p>
        </w:tc>
        <w:tc>
          <w:tcPr>
            <w:tcW w:w="2501" w:type="pct"/>
            <w:vAlign w:val="center"/>
          </w:tcPr>
          <w:p>
            <w:pPr>
              <w:jc w:val="right"/>
              <w:rPr>
                <w:rFonts w:asciiTheme="minorEastAsia" w:hAnsiTheme="minorEastAsia" w:eastAsiaTheme="minorEastAsia"/>
              </w:rPr>
            </w:pPr>
            <w:r>
              <w:rPr>
                <w:rFonts w:ascii="宋体" w:hAnsi="宋体"/>
              </w:rPr>
              <w:t>11,084,662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2499"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合计分红金额</w:t>
            </w:r>
            <w:r>
              <w:rPr>
                <w:rFonts w:asciiTheme="minorEastAsia" w:hAnsiTheme="minorEastAsia" w:eastAsiaTheme="minorEastAsia"/>
              </w:rPr>
              <w:t>占合并报表中归属于上市公司</w:t>
            </w:r>
            <w:r>
              <w:rPr>
                <w:rFonts w:hint="eastAsia" w:asciiTheme="minorEastAsia" w:hAnsiTheme="minorEastAsia" w:eastAsiaTheme="minorEastAsia"/>
              </w:rPr>
              <w:t>普通股</w:t>
            </w:r>
            <w:r>
              <w:rPr>
                <w:rFonts w:asciiTheme="minorEastAsia" w:hAnsiTheme="minorEastAsia" w:eastAsiaTheme="minorEastAsia"/>
              </w:rPr>
              <w:t>股东的净利润的比率</w:t>
            </w:r>
            <w:r>
              <w:rPr>
                <w:rFonts w:hint="eastAsia" w:asciiTheme="minorEastAsia" w:hAnsiTheme="minorEastAsia" w:eastAsiaTheme="minorEastAsia"/>
              </w:rPr>
              <w:t>（%）</w:t>
            </w:r>
          </w:p>
        </w:tc>
        <w:tc>
          <w:tcPr>
            <w:tcW w:w="2501" w:type="pct"/>
            <w:vAlign w:val="center"/>
          </w:tcPr>
          <w:p>
            <w:pPr>
              <w:jc w:val="right"/>
              <w:rPr>
                <w:rFonts w:asciiTheme="minorEastAsia" w:hAnsiTheme="minorEastAsia" w:eastAsiaTheme="minorEastAsia"/>
              </w:rPr>
            </w:pPr>
            <w:r>
              <w:rPr>
                <w:rFonts w:ascii="宋体" w:hAnsi="宋体"/>
              </w:rPr>
              <w:t>55.04</w:t>
            </w:r>
          </w:p>
        </w:tc>
      </w:tr>
    </w:tbl>
    <w:p>
      <w:pPr>
        <w:rPr>
          <w:rFonts w:asciiTheme="minorEastAsia" w:hAnsiTheme="minorEastAsia" w:eastAsiaTheme="minorEastAsia"/>
        </w:rPr>
      </w:pPr>
    </w:p>
    <w:p>
      <w:pPr>
        <w:pStyle w:val="4"/>
        <w:numPr>
          <w:ilvl w:val="0"/>
          <w:numId w:val="23"/>
        </w:numPr>
        <w:ind w:left="450" w:hanging="450"/>
        <w:rPr>
          <w:rFonts w:asciiTheme="minorEastAsia" w:hAnsiTheme="minorEastAsia" w:eastAsiaTheme="minorEastAsia"/>
        </w:rPr>
      </w:pPr>
      <w:r>
        <w:rPr>
          <w:rFonts w:hint="eastAsia" w:asciiTheme="minorEastAsia" w:hAnsiTheme="minorEastAsia" w:eastAsiaTheme="minorEastAsia"/>
        </w:rPr>
        <w:t>税项及税项减免</w:t>
      </w:r>
    </w:p>
    <w:p>
      <w:pPr>
        <w:ind w:firstLine="420" w:firstLineChars="200"/>
        <w:rPr>
          <w:rFonts w:asciiTheme="minorEastAsia" w:hAnsiTheme="minorEastAsia" w:eastAsiaTheme="minorEastAsia"/>
        </w:rPr>
      </w:pPr>
      <w:r>
        <w:rPr>
          <w:rFonts w:hint="eastAsia" w:asciiTheme="minorEastAsia" w:hAnsiTheme="minorEastAsia" w:eastAsiaTheme="minorEastAsia"/>
        </w:rPr>
        <w:t>1.A股投资者股息红利所得税代扣代缴及税项减免相关规定，详情请见本公司日期为202</w:t>
      </w:r>
      <w:r>
        <w:rPr>
          <w:rFonts w:asciiTheme="minorEastAsia" w:hAnsiTheme="minorEastAsia" w:eastAsiaTheme="minorEastAsia"/>
        </w:rPr>
        <w:t>3</w:t>
      </w:r>
      <w:r>
        <w:rPr>
          <w:rFonts w:hint="eastAsia" w:asciiTheme="minorEastAsia" w:hAnsiTheme="minorEastAsia" w:eastAsiaTheme="minorEastAsia"/>
        </w:rPr>
        <w:t>年7月</w:t>
      </w:r>
      <w:r>
        <w:rPr>
          <w:rFonts w:asciiTheme="minorEastAsia" w:hAnsiTheme="minorEastAsia" w:eastAsiaTheme="minorEastAsia"/>
        </w:rPr>
        <w:t>7</w:t>
      </w:r>
      <w:r>
        <w:rPr>
          <w:rFonts w:hint="eastAsia" w:asciiTheme="minorEastAsia" w:hAnsiTheme="minorEastAsia" w:eastAsiaTheme="minorEastAsia"/>
        </w:rPr>
        <w:t>日的公司《202</w:t>
      </w:r>
      <w:r>
        <w:rPr>
          <w:rFonts w:asciiTheme="minorEastAsia" w:hAnsiTheme="minorEastAsia" w:eastAsiaTheme="minorEastAsia"/>
        </w:rPr>
        <w:t>2</w:t>
      </w:r>
      <w:r>
        <w:rPr>
          <w:rFonts w:hint="eastAsia" w:asciiTheme="minorEastAsia" w:hAnsiTheme="minorEastAsia" w:eastAsiaTheme="minorEastAsia"/>
        </w:rPr>
        <w:t>年年度权益分派实施公告》有关内容，该等资料刊载于上交所网站、公司网站及/或中国境内《中国证券报》《上海证券报》《证券时报》《证券日报》。</w:t>
      </w:r>
    </w:p>
    <w:p>
      <w:pPr>
        <w:ind w:firstLine="420" w:firstLineChars="200"/>
        <w:rPr>
          <w:rFonts w:asciiTheme="minorEastAsia" w:hAnsiTheme="minorEastAsia" w:eastAsiaTheme="minorEastAsia"/>
        </w:rPr>
      </w:pPr>
      <w:r>
        <w:rPr>
          <w:rFonts w:hint="eastAsia" w:asciiTheme="minorEastAsia" w:hAnsiTheme="minorEastAsia" w:eastAsiaTheme="minorEastAsia"/>
        </w:rPr>
        <w:t>2.H股投资者股息红利所得税代扣代缴及税项减免</w:t>
      </w:r>
    </w:p>
    <w:p>
      <w:pPr>
        <w:ind w:firstLine="420" w:firstLineChars="200"/>
        <w:rPr>
          <w:rFonts w:asciiTheme="minorEastAsia" w:hAnsiTheme="minorEastAsia" w:eastAsiaTheme="minorEastAsia"/>
        </w:rPr>
      </w:pPr>
      <w:r>
        <w:rPr>
          <w:rFonts w:hint="eastAsia" w:asciiTheme="minorEastAsia" w:hAnsiTheme="minorEastAsia" w:eastAsiaTheme="minorEastAsia"/>
        </w:rPr>
        <w:t>(1)代扣代缴境外非居民企业股东企业所得税</w:t>
      </w:r>
    </w:p>
    <w:p>
      <w:pPr>
        <w:ind w:firstLine="420" w:firstLineChars="200"/>
        <w:rPr>
          <w:rFonts w:asciiTheme="minorEastAsia" w:hAnsiTheme="minorEastAsia" w:eastAsiaTheme="minorEastAsia"/>
        </w:rPr>
      </w:pPr>
      <w:r>
        <w:rPr>
          <w:rFonts w:hint="eastAsia" w:asciiTheme="minorEastAsia" w:hAnsiTheme="minorEastAsia" w:eastAsiaTheme="minorEastAsia"/>
        </w:rPr>
        <w:t>根据《中华人民共和国企业所得税法》及其实施条例以及相关规定，本公司向名列于H股股东名册上的非居民企业股东派发202</w:t>
      </w:r>
      <w:r>
        <w:rPr>
          <w:rFonts w:asciiTheme="minorEastAsia" w:hAnsiTheme="minorEastAsia" w:eastAsiaTheme="minorEastAsia"/>
        </w:rPr>
        <w:t>2</w:t>
      </w:r>
      <w:r>
        <w:rPr>
          <w:rFonts w:hint="eastAsia" w:asciiTheme="minorEastAsia" w:hAnsiTheme="minorEastAsia" w:eastAsiaTheme="minorEastAsia"/>
        </w:rPr>
        <w:t>年末期股息时，有义务代扣代缴企业所得税，税率为10%。任何以非个人股东名义，包括以香港中央结算（代理人）有限公司、其他代理人或受托人、或其他组织及团体名义登记的股份皆被视为非居民企业股东所持的股份，其应得之股息将被扣除企业所得税。</w:t>
      </w:r>
    </w:p>
    <w:p>
      <w:pPr>
        <w:ind w:firstLine="420" w:firstLineChars="200"/>
        <w:rPr>
          <w:rFonts w:asciiTheme="minorEastAsia" w:hAnsiTheme="minorEastAsia" w:eastAsiaTheme="minorEastAsia"/>
        </w:rPr>
      </w:pPr>
      <w:r>
        <w:rPr>
          <w:rFonts w:hint="eastAsia" w:asciiTheme="minorEastAsia" w:hAnsiTheme="minorEastAsia" w:eastAsiaTheme="minorEastAsia"/>
        </w:rPr>
        <w:t>(2)代扣代缴境外个人股东个人所得税</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本公司将按照如下安排为H股个人股东代扣代缴股息的个人所得税：</w:t>
      </w:r>
    </w:p>
    <w:p>
      <w:pPr>
        <w:ind w:firstLine="420" w:firstLineChars="200"/>
        <w:rPr>
          <w:rFonts w:asciiTheme="minorEastAsia" w:hAnsiTheme="minorEastAsia" w:eastAsiaTheme="minorEastAsia"/>
        </w:rPr>
      </w:pPr>
      <w:r>
        <w:rPr>
          <w:rFonts w:hint="eastAsia" w:asciiTheme="minorEastAsia" w:hAnsiTheme="minorEastAsia" w:eastAsiaTheme="minorEastAsia"/>
        </w:rPr>
        <w:t>①取得股息的H股个人股东为香港或澳门居民或其他与中国签订10%股息税率的税收协议的国家（地区）的居民，本公司派发股息时将按10%的税率代扣代缴个人所得税。</w:t>
      </w:r>
    </w:p>
    <w:p>
      <w:pPr>
        <w:ind w:firstLine="420" w:firstLineChars="200"/>
        <w:rPr>
          <w:rFonts w:asciiTheme="minorEastAsia" w:hAnsiTheme="minorEastAsia" w:eastAsiaTheme="minorEastAsia"/>
        </w:rPr>
      </w:pPr>
      <w:r>
        <w:rPr>
          <w:rFonts w:hint="eastAsia" w:asciiTheme="minorEastAsia" w:hAnsiTheme="minorEastAsia" w:eastAsiaTheme="minorEastAsia"/>
        </w:rPr>
        <w:t>②取得股息的H股个人股东为与中国签订低于10%股息税率的税收协议的国家（地区）的居民，本公司派发股息时将暂按10%的税率代扣代缴个人所得税。名列本公司H股股东名册的个人股东，如属于低于10%税率的协议国家居民，请依照股东周年大会决议安排向H股股份过户登记处呈交书面委托以及有关申报材料，并经本公司转呈主管税务机关审核批准后，本公司可以根据中国税务机关有关规定，代为办理享受有关协议待遇申请。</w:t>
      </w:r>
    </w:p>
    <w:p>
      <w:pPr>
        <w:ind w:firstLine="420" w:firstLineChars="200"/>
        <w:rPr>
          <w:rFonts w:asciiTheme="minorEastAsia" w:hAnsiTheme="minorEastAsia" w:eastAsiaTheme="minorEastAsia"/>
        </w:rPr>
      </w:pPr>
      <w:r>
        <w:rPr>
          <w:rFonts w:hint="eastAsia" w:asciiTheme="minorEastAsia" w:hAnsiTheme="minorEastAsia" w:eastAsiaTheme="minorEastAsia"/>
        </w:rPr>
        <w:t>③取得股息的H股个人股东为与中国签订高于10%但低于20%股息税率的税收协议的国家（地区）的居民，本公司派发股息时将按相关税收协议规定的实际税率代扣代缴个人所得税。</w:t>
      </w:r>
    </w:p>
    <w:p>
      <w:pPr>
        <w:ind w:firstLine="420" w:firstLineChars="200"/>
        <w:rPr>
          <w:rFonts w:asciiTheme="minorEastAsia" w:hAnsiTheme="minorEastAsia" w:eastAsiaTheme="minorEastAsia"/>
        </w:rPr>
      </w:pPr>
      <w:r>
        <w:rPr>
          <w:rFonts w:hint="eastAsia" w:asciiTheme="minorEastAsia" w:hAnsiTheme="minorEastAsia" w:eastAsiaTheme="minorEastAsia"/>
        </w:rPr>
        <w:t>④取得股息的H股个人股东为与中国签订20%股息税率的税收协议的国家（地区）居民、与中国没有税收协议的国家（地区）居民或其他情况，本公司派发股息时将按20%的税率代扣代缴个人所得税。</w:t>
      </w:r>
    </w:p>
    <w:p>
      <w:pPr>
        <w:ind w:firstLine="420" w:firstLineChars="200"/>
        <w:rPr>
          <w:rFonts w:asciiTheme="minorEastAsia" w:hAnsiTheme="minorEastAsia" w:eastAsiaTheme="minorEastAsia"/>
        </w:rPr>
      </w:pPr>
      <w:r>
        <w:rPr>
          <w:rFonts w:hint="eastAsia" w:asciiTheme="minorEastAsia" w:hAnsiTheme="minorEastAsia" w:eastAsiaTheme="minorEastAsia"/>
        </w:rPr>
        <w:t>（3）港股通投资者的所得税扣缴方式</w:t>
      </w:r>
    </w:p>
    <w:p>
      <w:pPr>
        <w:ind w:firstLine="420" w:firstLineChars="200"/>
        <w:rPr>
          <w:rFonts w:asciiTheme="minorEastAsia" w:hAnsiTheme="minorEastAsia" w:eastAsiaTheme="minorEastAsia"/>
          <w:u w:val="single"/>
        </w:rPr>
      </w:pPr>
      <w:r>
        <w:rPr>
          <w:rFonts w:hint="eastAsia" w:asciiTheme="minorEastAsia" w:hAnsiTheme="minorEastAsia" w:eastAsiaTheme="minorEastAsia"/>
        </w:rPr>
        <w:t>根据中国财政部、国家税务总局、中国证监会联合发布的《沪港股票市场交易互联互通机制试点涉及的有关税收政策的通知（财税〔2014〕81号）》及《关于深港股票市场交易互联互通机制试点有关税收政策的通知（财税〔2016〕127号）》的相关规定，内地个人投资者通过沪港通或深港通投资香港联交所上市H股取得的股息红利由本公司按照20%的税率代扣个人所得税。对内地证券投资基金通过沪港通或深港通投资香港联交所上市股票取得的股息红利所得参照个人投资者征税。对内地企业投资者不代扣股息红利所得税款，应纳税款由企业自行申报缴纳。</w:t>
      </w:r>
    </w:p>
    <w:p>
      <w:pPr>
        <w:rPr>
          <w:rFonts w:asciiTheme="minorEastAsia" w:hAnsiTheme="minorEastAsia" w:eastAsiaTheme="minorEastAsia"/>
        </w:rPr>
      </w:pPr>
      <w:r>
        <w:rPr>
          <w:rFonts w:asciiTheme="minorEastAsia" w:hAnsiTheme="minorEastAsia" w:eastAsiaTheme="minorEastAsia"/>
        </w:rPr>
        <w:br w:type="page"/>
      </w:r>
    </w:p>
    <w:p>
      <w:pPr>
        <w:pStyle w:val="3"/>
        <w:numPr>
          <w:ilvl w:val="0"/>
          <w:numId w:val="17"/>
        </w:numPr>
        <w:ind w:left="450" w:hanging="450"/>
        <w:rPr>
          <w:rFonts w:asciiTheme="minorEastAsia" w:hAnsiTheme="minorEastAsia" w:eastAsiaTheme="minorEastAsia"/>
        </w:rPr>
      </w:pPr>
      <w:bookmarkStart w:id="105" w:name="_Toc342491956"/>
      <w:bookmarkStart w:id="106" w:name="_Toc342565948"/>
      <w:r>
        <w:rPr>
          <w:rFonts w:hint="eastAsia" w:asciiTheme="minorEastAsia" w:hAnsiTheme="minorEastAsia" w:eastAsiaTheme="minorEastAsia"/>
        </w:rPr>
        <w:t>公司股权激励计划、员工持股计划或其他员工激励措施的情况及其影响</w:t>
      </w:r>
      <w:bookmarkEnd w:id="105"/>
      <w:bookmarkEnd w:id="106"/>
    </w:p>
    <w:p>
      <w:pPr>
        <w:pStyle w:val="4"/>
        <w:numPr>
          <w:ilvl w:val="1"/>
          <w:numId w:val="24"/>
        </w:numPr>
        <w:rPr>
          <w:rFonts w:asciiTheme="minorEastAsia" w:hAnsiTheme="minorEastAsia" w:eastAsiaTheme="minorEastAsia"/>
          <w:kern w:val="44"/>
          <w:szCs w:val="21"/>
        </w:rPr>
      </w:pPr>
      <w:r>
        <w:rPr>
          <w:rFonts w:hint="eastAsia" w:asciiTheme="minorEastAsia" w:hAnsiTheme="minorEastAsia" w:eastAsiaTheme="minorEastAsia"/>
          <w:kern w:val="44"/>
          <w:szCs w:val="21"/>
        </w:rPr>
        <w:t>相关激励事项已在临时公告披露且后续实施无进展或变化的</w:t>
      </w:r>
    </w:p>
    <w:sdt>
      <w:sdtPr>
        <w:rPr>
          <w:rFonts w:asciiTheme="minorEastAsia" w:hAnsiTheme="minorEastAsia" w:eastAsiaTheme="minorEastAsia"/>
        </w:rPr>
        <w:alias w:val="是否适用：相关激励事项已在临时公告披露且后续实施无进展或变化的[双击切换]"/>
        <w:tag w:val="_GBC_0af9dca2858d42619c57d7878f3a7792"/>
        <w:id w:val="824012203"/>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pStyle w:val="4"/>
        <w:numPr>
          <w:ilvl w:val="1"/>
          <w:numId w:val="24"/>
        </w:numPr>
        <w:rPr>
          <w:rFonts w:asciiTheme="minorEastAsia" w:hAnsiTheme="minorEastAsia" w:eastAsiaTheme="minorEastAsia"/>
          <w:kern w:val="44"/>
          <w:szCs w:val="21"/>
        </w:rPr>
      </w:pPr>
      <w:r>
        <w:rPr>
          <w:rFonts w:hint="eastAsia" w:asciiTheme="minorEastAsia" w:hAnsiTheme="minorEastAsia" w:eastAsiaTheme="minorEastAsia"/>
          <w:kern w:val="44"/>
          <w:szCs w:val="21"/>
        </w:rPr>
        <w:t>临时公告未披露或有后续进展的激励情况</w:t>
      </w:r>
    </w:p>
    <w:p>
      <w:pPr>
        <w:rPr>
          <w:rFonts w:asciiTheme="minorEastAsia" w:hAnsiTheme="minorEastAsia" w:eastAsiaTheme="minorEastAsia"/>
        </w:rPr>
      </w:pPr>
      <w:r>
        <w:rPr>
          <w:rFonts w:hint="eastAsia" w:asciiTheme="minorEastAsia" w:hAnsiTheme="minorEastAsia" w:eastAsiaTheme="minorEastAsia"/>
        </w:rPr>
        <w:t>股权激励情况</w:t>
      </w:r>
    </w:p>
    <w:p>
      <w:pPr>
        <w:rPr>
          <w:rFonts w:asciiTheme="minorEastAsia" w:hAnsiTheme="minorEastAsia" w:eastAsiaTheme="minorEastAsia"/>
        </w:rPr>
      </w:pPr>
      <w:sdt>
        <w:sdtPr>
          <w:rPr>
            <w:rFonts w:asciiTheme="minorEastAsia" w:hAnsiTheme="minorEastAsia" w:eastAsiaTheme="minorEastAsia"/>
          </w:rPr>
          <w:alias w:val="是否适用：股权激励情况[双击切换]"/>
          <w:tag w:val="_GBC_002ad948ce1449c2a805bfbb132b2202"/>
          <w:id w:val="-1547749043"/>
          <w:placeholder>
            <w:docPart w:val="GBC22222222222222222222222222222"/>
          </w:placeholder>
        </w:sdtPr>
        <w:sdtEndPr>
          <w:rPr>
            <w:rFonts w:asciiTheme="minorEastAsia" w:hAnsiTheme="minorEastAsia" w:eastAsiaTheme="minorEastAsia"/>
          </w:rPr>
        </w:sdtEndPr>
        <w:sdtContent>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sdtContent>
      </w:sdt>
    </w:p>
    <w:p>
      <w:pPr>
        <w:rPr>
          <w:rFonts w:asciiTheme="minorEastAsia" w:hAnsiTheme="minorEastAsia" w:eastAsiaTheme="minorEastAsia"/>
          <w:b/>
          <w:bCs/>
        </w:rPr>
      </w:pPr>
      <w:sdt>
        <w:sdtPr>
          <w:rPr>
            <w:rFonts w:hint="eastAsia" w:asciiTheme="minorEastAsia" w:hAnsiTheme="minorEastAsia" w:eastAsiaTheme="minorEastAsia"/>
          </w:rPr>
          <w:alias w:val="股权激励计划年份"/>
          <w:tag w:val="_GBC_8c608b750e98413fbea3e815e4c9162c"/>
          <w:id w:val="2109933211"/>
          <w:placeholder>
            <w:docPart w:val="GBC22222222222222222222222222222"/>
          </w:placeholder>
        </w:sdtPr>
        <w:sdtEndPr>
          <w:rPr>
            <w:rFonts w:hint="eastAsia" w:asciiTheme="minorEastAsia" w:hAnsiTheme="minorEastAsia" w:eastAsiaTheme="minorEastAsia"/>
            <w:b/>
            <w:bCs/>
          </w:rPr>
        </w:sdtEndPr>
        <w:sdtContent>
          <w:r>
            <w:rPr>
              <w:rFonts w:asciiTheme="minorEastAsia" w:hAnsiTheme="minorEastAsia" w:eastAsiaTheme="minorEastAsia"/>
              <w:b/>
              <w:bCs/>
            </w:rPr>
            <w:t>2018</w:t>
          </w:r>
        </w:sdtContent>
      </w:sdt>
      <w:r>
        <w:rPr>
          <w:rFonts w:hint="eastAsia" w:asciiTheme="minorEastAsia" w:hAnsiTheme="minorEastAsia" w:eastAsiaTheme="minorEastAsia"/>
          <w:b/>
          <w:bCs/>
        </w:rPr>
        <w:t>年</w:t>
      </w:r>
      <w:sdt>
        <w:sdtPr>
          <w:rPr>
            <w:rFonts w:hint="eastAsia" w:asciiTheme="minorEastAsia" w:hAnsiTheme="minorEastAsia" w:eastAsiaTheme="minorEastAsia"/>
            <w:b/>
            <w:bCs/>
          </w:rPr>
          <w:alias w:val="股权激励计划执行次数"/>
          <w:tag w:val="_GBC_0d4c8424e0e44370819dff37a3a57f27"/>
          <w:id w:val="-1146505078"/>
          <w:placeholder>
            <w:docPart w:val="GBC22222222222222222222222222222"/>
          </w:placeholder>
        </w:sdtPr>
        <w:sdtEndPr>
          <w:rPr>
            <w:rFonts w:hint="eastAsia" w:asciiTheme="minorEastAsia" w:hAnsiTheme="minorEastAsia" w:eastAsiaTheme="minorEastAsia"/>
            <w:b/>
            <w:bCs/>
          </w:rPr>
        </w:sdtEndPr>
        <w:sdtContent>
          <w:r>
            <w:rPr>
              <w:rFonts w:asciiTheme="minorEastAsia" w:hAnsiTheme="minorEastAsia" w:eastAsiaTheme="minorEastAsia"/>
              <w:b/>
              <w:bCs/>
            </w:rPr>
            <w:t>A股股票期权激励计划</w:t>
          </w:r>
        </w:sdtContent>
      </w:sdt>
    </w:p>
    <w:p>
      <w:pPr>
        <w:ind w:firstLine="420" w:firstLineChars="200"/>
        <w:rPr>
          <w:rFonts w:asciiTheme="minorEastAsia" w:hAnsiTheme="minorEastAsia" w:eastAsiaTheme="minorEastAsia"/>
        </w:rPr>
      </w:pPr>
      <w:r>
        <w:rPr>
          <w:rFonts w:hint="eastAsia" w:asciiTheme="minorEastAsia" w:hAnsiTheme="minorEastAsia" w:eastAsiaTheme="minorEastAsia"/>
        </w:rPr>
        <w:t>激励方式</w:t>
      </w:r>
      <w:r>
        <w:rPr>
          <w:rFonts w:asciiTheme="minorEastAsia" w:hAnsiTheme="minorEastAsia" w:eastAsiaTheme="minorEastAsia"/>
        </w:rPr>
        <w:t>:</w:t>
      </w:r>
      <w:sdt>
        <w:sdtPr>
          <w:rPr>
            <w:rFonts w:asciiTheme="minorEastAsia" w:hAnsiTheme="minorEastAsia" w:eastAsiaTheme="minorEastAsia"/>
          </w:rPr>
          <w:alias w:val="公司股权激励方式"/>
          <w:tag w:val="_GBC_a761ce34631247a78f1c34cf742f6749"/>
          <w:id w:val="-595407446"/>
          <w:placeholder>
            <w:docPart w:val="GBC22222222222222222222222222222"/>
          </w:placeholder>
          <w:comboBox>
            <w:listItem w:displayText="限制性股票" w:value="限制性股票"/>
            <w:listItem w:displayText="股票期权" w:value="股票期权"/>
            <w:listItem w:displayText="其他" w:value="其他"/>
          </w:comboBox>
        </w:sdtPr>
        <w:sdtEndPr>
          <w:rPr>
            <w:rFonts w:asciiTheme="minorEastAsia" w:hAnsiTheme="minorEastAsia" w:eastAsiaTheme="minorEastAsia"/>
          </w:rPr>
        </w:sdtEndPr>
        <w:sdtContent>
          <w:r>
            <w:rPr>
              <w:rFonts w:asciiTheme="minorEastAsia" w:hAnsiTheme="minorEastAsia" w:eastAsiaTheme="minorEastAsia"/>
            </w:rPr>
            <w:t>股票期权</w:t>
          </w:r>
        </w:sdtContent>
      </w:sdt>
    </w:p>
    <w:p>
      <w:pPr>
        <w:ind w:firstLine="420" w:firstLineChars="200"/>
        <w:rPr>
          <w:rFonts w:asciiTheme="minorEastAsia" w:hAnsiTheme="minorEastAsia" w:eastAsiaTheme="minorEastAsia"/>
        </w:rPr>
      </w:pPr>
      <w:r>
        <w:rPr>
          <w:rFonts w:hint="eastAsia" w:asciiTheme="minorEastAsia" w:hAnsiTheme="minorEastAsia" w:eastAsiaTheme="minorEastAsia"/>
        </w:rPr>
        <w:t>标的股票来源</w:t>
      </w:r>
      <w:r>
        <w:rPr>
          <w:rFonts w:asciiTheme="minorEastAsia" w:hAnsiTheme="minorEastAsia" w:eastAsiaTheme="minorEastAsia"/>
        </w:rPr>
        <w:t>:</w:t>
      </w:r>
      <w:sdt>
        <w:sdtPr>
          <w:rPr>
            <w:rFonts w:asciiTheme="minorEastAsia" w:hAnsiTheme="minorEastAsia" w:eastAsiaTheme="minorEastAsia"/>
          </w:rPr>
          <w:alias w:val="公司股权激励的标的股票来源"/>
          <w:tag w:val="_GBC_52a8d93837e1430ba8062d77dd075fce"/>
          <w:id w:val="1572086763"/>
          <w:placeholder>
            <w:docPart w:val="GBC22222222222222222222222222222"/>
          </w:placeholder>
          <w:comboBox>
            <w:listItem w:displayText="向激励对象发行股份" w:value="向激励对象发行股份"/>
            <w:listItem w:displayText="公司回购股份" w:value="公司回购股份"/>
            <w:listItem w:displayText="提取激励基金委托" w:value="提取激励基金委托"/>
            <w:listItem w:displayText="他人购买股份" w:value="他人购买股份"/>
          </w:comboBox>
        </w:sdtPr>
        <w:sdtEndPr>
          <w:rPr>
            <w:rFonts w:asciiTheme="minorEastAsia" w:hAnsiTheme="minorEastAsia" w:eastAsiaTheme="minorEastAsia"/>
          </w:rPr>
        </w:sdtEndPr>
        <w:sdtContent>
          <w:r>
            <w:rPr>
              <w:rFonts w:asciiTheme="minorEastAsia" w:hAnsiTheme="minorEastAsia" w:eastAsiaTheme="minorEastAsia"/>
            </w:rPr>
            <w:t>向激励对象发行股份</w:t>
          </w:r>
        </w:sdtContent>
      </w:sdt>
    </w:p>
    <w:p>
      <w:pPr>
        <w:ind w:firstLine="420" w:firstLineChars="200"/>
        <w:rPr>
          <w:rFonts w:asciiTheme="minorEastAsia" w:hAnsiTheme="minorEastAsia" w:eastAsiaTheme="minorEastAsia"/>
        </w:rPr>
      </w:pPr>
      <w:r>
        <w:rPr>
          <w:rFonts w:hint="eastAsia" w:asciiTheme="minorEastAsia" w:hAnsiTheme="minorEastAsia" w:eastAsiaTheme="minorEastAsia"/>
        </w:rPr>
        <w:t>权益工具公允价值的计量方法、参数的选取标准及结果</w:t>
      </w:r>
    </w:p>
    <w:tbl>
      <w:tblPr>
        <w:tblStyle w:val="20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8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4" w:type="pct"/>
            <w:shd w:val="clear" w:color="auto" w:fill="auto"/>
            <w:noWrap/>
            <w:vAlign w:val="center"/>
          </w:tcPr>
          <w:p>
            <w:pPr>
              <w:rPr>
                <w:rFonts w:asciiTheme="minorEastAsia" w:hAnsiTheme="minorEastAsia" w:eastAsiaTheme="minorEastAsia"/>
              </w:rPr>
            </w:pPr>
            <w:r>
              <w:rPr>
                <w:rFonts w:hint="eastAsia" w:asciiTheme="minorEastAsia" w:hAnsiTheme="minorEastAsia" w:eastAsiaTheme="minorEastAsia"/>
              </w:rPr>
              <w:t>计量方法</w:t>
            </w:r>
          </w:p>
        </w:tc>
        <w:tc>
          <w:tcPr>
            <w:tcW w:w="3246" w:type="pct"/>
            <w:shd w:val="clear" w:color="auto" w:fill="auto"/>
            <w:noWrap/>
            <w:vAlign w:val="center"/>
          </w:tcPr>
          <w:p>
            <w:pPr>
              <w:rPr>
                <w:rFonts w:asciiTheme="minorEastAsia" w:hAnsiTheme="minorEastAsia" w:eastAsiaTheme="minorEastAsia"/>
              </w:rPr>
            </w:pPr>
            <w:sdt>
              <w:sdtPr>
                <w:rPr>
                  <w:rFonts w:hint="eastAsia" w:asciiTheme="minorEastAsia" w:hAnsiTheme="minorEastAsia" w:eastAsiaTheme="minorEastAsia"/>
                </w:rPr>
                <w:alias w:val="公司股权激励权益工具公允价值的计量方法的说明"/>
                <w:tag w:val="_GBC_415841c7cd124bb1b7875bef2ba0658d"/>
                <w:id w:val="1260177351"/>
              </w:sdtPr>
              <w:sdtEndPr>
                <w:rPr>
                  <w:rFonts w:hint="eastAsia" w:asciiTheme="minorEastAsia" w:hAnsiTheme="minorEastAsia" w:eastAsiaTheme="minorEastAsia"/>
                </w:rPr>
              </w:sdtEndPr>
              <w:sdtContent>
                <w:r>
                  <w:rPr>
                    <w:rFonts w:hint="eastAsia" w:asciiTheme="minorEastAsia" w:hAnsiTheme="minorEastAsia" w:eastAsiaTheme="minorEastAsia"/>
                  </w:rPr>
                  <w:t>Black-Scholes模型（B-S 模型）。</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4" w:type="pct"/>
            <w:shd w:val="clear" w:color="auto" w:fill="auto"/>
            <w:noWrap/>
            <w:vAlign w:val="center"/>
          </w:tcPr>
          <w:p>
            <w:pPr>
              <w:rPr>
                <w:rFonts w:asciiTheme="minorEastAsia" w:hAnsiTheme="minorEastAsia" w:eastAsiaTheme="minorEastAsia"/>
              </w:rPr>
            </w:pPr>
            <w:r>
              <w:rPr>
                <w:rFonts w:hint="eastAsia" w:asciiTheme="minorEastAsia" w:hAnsiTheme="minorEastAsia" w:eastAsiaTheme="minorEastAsia"/>
              </w:rPr>
              <w:t>参数名称</w:t>
            </w:r>
          </w:p>
        </w:tc>
        <w:tc>
          <w:tcPr>
            <w:tcW w:w="3246" w:type="pct"/>
            <w:shd w:val="clear" w:color="auto" w:fill="auto"/>
            <w:noWrap/>
            <w:vAlign w:val="center"/>
          </w:tcPr>
          <w:p>
            <w:pPr>
              <w:rPr>
                <w:rFonts w:asciiTheme="minorEastAsia" w:hAnsiTheme="minorEastAsia" w:eastAsiaTheme="minorEastAsia"/>
              </w:rPr>
            </w:pPr>
            <w:r>
              <w:rPr>
                <w:rFonts w:hint="eastAsia" w:asciiTheme="minorEastAsia" w:hAnsiTheme="minorEastAsia" w:eastAsiaTheme="minorEastAsia"/>
              </w:rPr>
              <w:t>标的股价：8.75元；有效期：4年；历史波动率：26.44%；无风险利率：2.98%。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4" w:type="pct"/>
            <w:shd w:val="clear" w:color="auto" w:fill="auto"/>
            <w:noWrap/>
            <w:vAlign w:val="center"/>
          </w:tcPr>
          <w:p>
            <w:pPr>
              <w:rPr>
                <w:rFonts w:asciiTheme="minorEastAsia" w:hAnsiTheme="minorEastAsia" w:eastAsiaTheme="minorEastAsia"/>
              </w:rPr>
            </w:pPr>
            <w:r>
              <w:rPr>
                <w:rFonts w:hint="eastAsia" w:asciiTheme="minorEastAsia" w:hAnsiTheme="minorEastAsia" w:eastAsiaTheme="minorEastAsia"/>
              </w:rPr>
              <w:t>计量结果</w:t>
            </w:r>
          </w:p>
        </w:tc>
        <w:tc>
          <w:tcPr>
            <w:tcW w:w="3246" w:type="pct"/>
            <w:shd w:val="clear" w:color="auto" w:fill="auto"/>
            <w:noWrap/>
            <w:vAlign w:val="center"/>
          </w:tcPr>
          <w:p>
            <w:pPr>
              <w:rPr>
                <w:rFonts w:asciiTheme="minorEastAsia" w:hAnsiTheme="minorEastAsia" w:eastAsiaTheme="minorEastAsia"/>
              </w:rPr>
            </w:pPr>
            <w:r>
              <w:rPr>
                <w:rFonts w:hint="eastAsia" w:asciiTheme="minorEastAsia" w:hAnsiTheme="minorEastAsia" w:eastAsiaTheme="minorEastAsia"/>
              </w:rPr>
              <w:t>每份股票期权的公允价值为2.21元（详见日期为2019年2月12日的《关于向2018年A股股票期权激励计划激励对象授予股票期权的公告》）。</w:t>
            </w:r>
          </w:p>
        </w:tc>
      </w:tr>
    </w:tbl>
    <w:p>
      <w:pPr>
        <w:rPr>
          <w:rFonts w:asciiTheme="minorEastAsia" w:hAnsiTheme="minorEastAsia" w:eastAsiaTheme="minorEastAsia"/>
        </w:rPr>
      </w:pPr>
    </w:p>
    <w:p>
      <w:pPr>
        <w:ind w:firstLine="420"/>
        <w:rPr>
          <w:rFonts w:asciiTheme="minorEastAsia" w:hAnsiTheme="minorEastAsia" w:eastAsiaTheme="minorEastAsia"/>
        </w:rPr>
      </w:pPr>
      <w:r>
        <w:rPr>
          <w:rFonts w:hint="eastAsia" w:asciiTheme="minorEastAsia" w:hAnsiTheme="minorEastAsia" w:eastAsiaTheme="minorEastAsia"/>
        </w:rPr>
        <w:t>经2019年2月12日召开的公司2019年度第一次临时股东大会、第一次A股/</w:t>
      </w:r>
      <w:r>
        <w:rPr>
          <w:rFonts w:asciiTheme="minorEastAsia" w:hAnsiTheme="minorEastAsia" w:eastAsiaTheme="minorEastAsia"/>
        </w:rPr>
        <w:t>H</w:t>
      </w:r>
      <w:r>
        <w:rPr>
          <w:rFonts w:hint="eastAsia" w:asciiTheme="minorEastAsia" w:hAnsiTheme="minorEastAsia" w:eastAsiaTheme="minorEastAsia"/>
        </w:rPr>
        <w:t>股类别股东大会及第七届董事会第二十三次会议批准，公司根据2018年A股股票期权激励计划（“期权激励计划”）向激励对象授出股票期权。</w:t>
      </w:r>
    </w:p>
    <w:p>
      <w:pPr>
        <w:ind w:firstLine="420"/>
        <w:rPr>
          <w:rFonts w:asciiTheme="minorEastAsia" w:hAnsiTheme="minorEastAsia" w:eastAsiaTheme="minorEastAsia"/>
        </w:rPr>
      </w:pPr>
      <w:r>
        <w:rPr>
          <w:rFonts w:hint="eastAsia" w:asciiTheme="minorEastAsia" w:hAnsiTheme="minorEastAsia" w:eastAsiaTheme="minorEastAsia"/>
        </w:rPr>
        <w:t>经2021年1月13日召开的公司第八届董事会第八次会议审议批准，确认期权激励计划第一个行权期行权条件已成就，行权期为2021年2月18日起至2022年2月11日止。截至2021年5月19日，469名激励对象</w:t>
      </w:r>
      <w:r>
        <w:rPr>
          <w:rFonts w:hint="eastAsia" w:cs="Arial" w:asciiTheme="minorEastAsia" w:hAnsiTheme="minorEastAsia" w:eastAsiaTheme="minorEastAsia"/>
        </w:rPr>
        <w:t>累计行权14,184,060股。</w:t>
      </w:r>
    </w:p>
    <w:p>
      <w:pPr>
        <w:ind w:firstLine="420"/>
        <w:rPr>
          <w:rFonts w:asciiTheme="minorEastAsia" w:hAnsiTheme="minorEastAsia" w:eastAsiaTheme="minorEastAsia"/>
        </w:rPr>
      </w:pPr>
      <w:r>
        <w:rPr>
          <w:rFonts w:hint="eastAsia" w:asciiTheme="minorEastAsia" w:hAnsiTheme="minorEastAsia" w:eastAsiaTheme="minorEastAsia"/>
        </w:rPr>
        <w:t>经2022年1月27日召开的公司第八届董事会第二十次会议审议批准，确认期权激励计划第二个行权期行权条件已成就，行权期为2022年2月14日起至2023年2月10日止。截至2022年4月29日，435名激励对象</w:t>
      </w:r>
      <w:r>
        <w:rPr>
          <w:rFonts w:hint="eastAsia" w:cs="Arial" w:asciiTheme="minorEastAsia" w:hAnsiTheme="minorEastAsia" w:eastAsiaTheme="minorEastAsia"/>
        </w:rPr>
        <w:t>累计行权12,779,580股。</w:t>
      </w:r>
    </w:p>
    <w:p>
      <w:pPr>
        <w:ind w:firstLine="420" w:firstLineChars="200"/>
        <w:rPr>
          <w:rFonts w:asciiTheme="minorEastAsia" w:hAnsiTheme="minorEastAsia" w:eastAsiaTheme="minorEastAsia"/>
        </w:rPr>
      </w:pPr>
      <w:r>
        <w:rPr>
          <w:rFonts w:hint="eastAsia" w:asciiTheme="minorEastAsia" w:hAnsiTheme="minorEastAsia" w:eastAsiaTheme="minorEastAsia"/>
        </w:rPr>
        <w:t>经2023年4月24日召开的公司第八届董事会第二十八次会议审议批准，确认期权激励计划第三个行权期行权条件已成就，行权期为2023年2月13日起至2024年2月8日止。截至2023年5月25日，419名激励对象累计行权12,656,840股。</w:t>
      </w:r>
    </w:p>
    <w:p>
      <w:pPr>
        <w:ind w:firstLine="420"/>
        <w:rPr>
          <w:rFonts w:asciiTheme="minorEastAsia" w:hAnsiTheme="minorEastAsia" w:eastAsiaTheme="minorEastAsia"/>
          <w:b/>
        </w:rPr>
      </w:pPr>
      <w:r>
        <w:rPr>
          <w:rFonts w:hint="eastAsia" w:asciiTheme="minorEastAsia" w:hAnsiTheme="minorEastAsia" w:eastAsiaTheme="minorEastAsia"/>
          <w:b/>
        </w:rPr>
        <w:t xml:space="preserve"> </w:t>
      </w:r>
    </w:p>
    <w:p>
      <w:pPr>
        <w:ind w:firstLine="420"/>
        <w:rPr>
          <w:rFonts w:asciiTheme="minorEastAsia" w:hAnsiTheme="minorEastAsia" w:eastAsiaTheme="minorEastAsia"/>
          <w:b/>
        </w:rPr>
      </w:pPr>
      <w:r>
        <w:rPr>
          <w:rFonts w:hint="eastAsia" w:asciiTheme="minorEastAsia" w:hAnsiTheme="minorEastAsia" w:eastAsiaTheme="minorEastAsia"/>
          <w:b/>
        </w:rPr>
        <w:t>期权激励计划摘要</w:t>
      </w:r>
    </w:p>
    <w:p>
      <w:pPr>
        <w:ind w:firstLine="420"/>
        <w:rPr>
          <w:rFonts w:asciiTheme="minorEastAsia" w:hAnsiTheme="minorEastAsia" w:eastAsiaTheme="minorEastAsia"/>
        </w:rPr>
      </w:pPr>
      <w:r>
        <w:rPr>
          <w:rFonts w:hint="eastAsia" w:asciiTheme="minorEastAsia" w:hAnsiTheme="minorEastAsia" w:eastAsiaTheme="minorEastAsia"/>
        </w:rPr>
        <w:t xml:space="preserve"> </w:t>
      </w:r>
    </w:p>
    <w:p>
      <w:pPr>
        <w:ind w:firstLine="420"/>
        <w:rPr>
          <w:rFonts w:asciiTheme="minorEastAsia" w:hAnsiTheme="minorEastAsia" w:eastAsiaTheme="minorEastAsia"/>
        </w:rPr>
      </w:pPr>
      <w:r>
        <w:rPr>
          <w:rFonts w:hint="eastAsia" w:asciiTheme="minorEastAsia" w:hAnsiTheme="minorEastAsia" w:eastAsiaTheme="minorEastAsia"/>
        </w:rPr>
        <w:t>（一）期权激励计划授予情况</w:t>
      </w:r>
    </w:p>
    <w:p>
      <w:pPr>
        <w:ind w:firstLine="420"/>
        <w:rPr>
          <w:rFonts w:asciiTheme="minorEastAsia" w:hAnsiTheme="minorEastAsia" w:eastAsiaTheme="minorEastAsia"/>
        </w:rPr>
      </w:pPr>
      <w:r>
        <w:rPr>
          <w:rFonts w:hint="eastAsia" w:asciiTheme="minorEastAsia" w:hAnsiTheme="minorEastAsia" w:eastAsiaTheme="minorEastAsia"/>
        </w:rPr>
        <w:t>1.期权激励计划的目的</w:t>
      </w:r>
    </w:p>
    <w:p>
      <w:pPr>
        <w:ind w:firstLine="420"/>
        <w:rPr>
          <w:rFonts w:asciiTheme="minorEastAsia" w:hAnsiTheme="minorEastAsia" w:eastAsiaTheme="minorEastAsia"/>
        </w:rPr>
      </w:pPr>
      <w:r>
        <w:rPr>
          <w:rFonts w:hint="eastAsia" w:asciiTheme="minorEastAsia" w:hAnsiTheme="minorEastAsia" w:eastAsiaTheme="minorEastAsia"/>
        </w:rPr>
        <w:t>为进一步建立健全公司长效激励机制，吸引和留住优秀人才，充分调动公司董事、高级管理人员、中层管理人员及核心骨干人员的积极性，有效地将股东利益、公司利益和经营者个人利益紧密结合，使各方共同关注公司的长远发展。</w:t>
      </w:r>
    </w:p>
    <w:p>
      <w:pPr>
        <w:ind w:firstLine="420"/>
        <w:rPr>
          <w:rFonts w:asciiTheme="minorEastAsia" w:hAnsiTheme="minorEastAsia" w:eastAsiaTheme="minorEastAsia"/>
        </w:rPr>
      </w:pPr>
      <w:r>
        <w:rPr>
          <w:rFonts w:hint="eastAsia" w:asciiTheme="minorEastAsia" w:hAnsiTheme="minorEastAsia" w:eastAsiaTheme="minorEastAsia"/>
        </w:rPr>
        <w:t>2.激励对象的范围</w:t>
      </w:r>
    </w:p>
    <w:p>
      <w:pPr>
        <w:ind w:firstLine="420"/>
        <w:rPr>
          <w:rFonts w:asciiTheme="minorEastAsia" w:hAnsiTheme="minorEastAsia" w:eastAsiaTheme="minorEastAsia"/>
        </w:rPr>
      </w:pPr>
      <w:r>
        <w:rPr>
          <w:rFonts w:hint="eastAsia" w:asciiTheme="minorEastAsia" w:hAnsiTheme="minorEastAsia" w:eastAsiaTheme="minorEastAsia"/>
        </w:rPr>
        <w:t>期权激励计划的激励对象为当时担任公司董事、高级管理人员、中层管理人员、核心骨干人员等，不包括外部董事（含独立董事）、监事及单独或合计持有公司5%以上股份的股东或实际控制人及其配偶、父母、子女。</w:t>
      </w:r>
    </w:p>
    <w:p>
      <w:pPr>
        <w:ind w:firstLine="420"/>
        <w:rPr>
          <w:rFonts w:asciiTheme="minorEastAsia" w:hAnsiTheme="minorEastAsia" w:eastAsiaTheme="minorEastAsia"/>
        </w:rPr>
      </w:pPr>
      <w:r>
        <w:rPr>
          <w:rFonts w:hint="eastAsia" w:asciiTheme="minorEastAsia" w:hAnsiTheme="minorEastAsia" w:eastAsiaTheme="minorEastAsia"/>
        </w:rPr>
        <w:t>3.标的股票数量</w:t>
      </w:r>
    </w:p>
    <w:p>
      <w:pPr>
        <w:ind w:firstLine="420" w:firstLineChars="200"/>
        <w:rPr>
          <w:rFonts w:asciiTheme="minorEastAsia" w:hAnsiTheme="minorEastAsia" w:eastAsiaTheme="minorEastAsia"/>
          <w:kern w:val="0"/>
        </w:rPr>
      </w:pPr>
      <w:r>
        <w:rPr>
          <w:rFonts w:hint="eastAsia" w:asciiTheme="minorEastAsia" w:hAnsiTheme="minorEastAsia" w:eastAsiaTheme="minorEastAsia"/>
        </w:rPr>
        <w:t>经2019年2月12日召开的公司2019年度第一次临时股东大会、第一次A股/</w:t>
      </w:r>
      <w:r>
        <w:rPr>
          <w:rFonts w:asciiTheme="minorEastAsia" w:hAnsiTheme="minorEastAsia" w:eastAsiaTheme="minorEastAsia"/>
        </w:rPr>
        <w:t>H</w:t>
      </w:r>
      <w:r>
        <w:rPr>
          <w:rFonts w:hint="eastAsia" w:asciiTheme="minorEastAsia" w:hAnsiTheme="minorEastAsia" w:eastAsiaTheme="minorEastAsia"/>
        </w:rPr>
        <w:t>股类别股东大会及第七届董事会第二十三次会议批准，向激励对象499人授予4,632万份股票期权（占本报告披露日公司已发行总股本的约0.62%），所有股票期权已于2019年2月12日（“授予日”）授予完毕。涉及的标的股票种类为人民币普通股（A股）股票。</w:t>
      </w:r>
    </w:p>
    <w:p>
      <w:pPr>
        <w:ind w:firstLine="420"/>
        <w:rPr>
          <w:rFonts w:asciiTheme="minorEastAsia" w:hAnsiTheme="minorEastAsia" w:eastAsiaTheme="minorEastAsia"/>
        </w:rPr>
      </w:pPr>
      <w:r>
        <w:rPr>
          <w:rFonts w:hint="eastAsia" w:asciiTheme="minorEastAsia" w:hAnsiTheme="minorEastAsia" w:eastAsiaTheme="minorEastAsia"/>
        </w:rPr>
        <w:t>4.每名参与人可获授权益上限</w:t>
      </w:r>
    </w:p>
    <w:p>
      <w:pPr>
        <w:ind w:firstLine="420"/>
        <w:rPr>
          <w:rFonts w:asciiTheme="minorEastAsia" w:hAnsiTheme="minorEastAsia" w:eastAsiaTheme="minorEastAsia"/>
        </w:rPr>
      </w:pPr>
      <w:r>
        <w:rPr>
          <w:rFonts w:hint="eastAsia" w:asciiTheme="minorEastAsia" w:hAnsiTheme="minorEastAsia" w:eastAsiaTheme="minorEastAsia"/>
        </w:rPr>
        <w:t>任何一名激励对象通过全部有效的股权激励计划获授的公司股票，均未超过期权激励计划经股东大会审议通过之日公司总股本的1%，且不超过同日公司A股总股本的1%。</w:t>
      </w:r>
    </w:p>
    <w:p>
      <w:pPr>
        <w:ind w:firstLine="420"/>
        <w:rPr>
          <w:rFonts w:asciiTheme="minorEastAsia" w:hAnsiTheme="minorEastAsia" w:eastAsiaTheme="minorEastAsia"/>
        </w:rPr>
      </w:pPr>
      <w:r>
        <w:rPr>
          <w:rFonts w:hint="eastAsia" w:asciiTheme="minorEastAsia" w:hAnsiTheme="minorEastAsia" w:eastAsiaTheme="minorEastAsia"/>
        </w:rPr>
        <w:t>5.等待期</w:t>
      </w:r>
    </w:p>
    <w:p>
      <w:pPr>
        <w:ind w:firstLine="420"/>
        <w:rPr>
          <w:rFonts w:asciiTheme="minorEastAsia" w:hAnsiTheme="minorEastAsia" w:eastAsiaTheme="minorEastAsia"/>
        </w:rPr>
      </w:pPr>
      <w:r>
        <w:rPr>
          <w:rFonts w:hint="eastAsia" w:asciiTheme="minorEastAsia" w:hAnsiTheme="minorEastAsia" w:eastAsiaTheme="minorEastAsia"/>
        </w:rPr>
        <w:t>等待期为股票期权授予日至股票期权可行权日之间的时间，期权激励计划授予的股票期权等待期为自授予之日起24个月、36个月、48个月。</w:t>
      </w:r>
    </w:p>
    <w:p>
      <w:pPr>
        <w:ind w:firstLine="420"/>
        <w:rPr>
          <w:rFonts w:asciiTheme="minorEastAsia" w:hAnsiTheme="minorEastAsia" w:eastAsiaTheme="minorEastAsia"/>
        </w:rPr>
      </w:pPr>
      <w:r>
        <w:rPr>
          <w:rFonts w:hint="eastAsia" w:asciiTheme="minorEastAsia" w:hAnsiTheme="minorEastAsia" w:eastAsiaTheme="minorEastAsia"/>
        </w:rPr>
        <w:t>6.可行权日</w:t>
      </w:r>
    </w:p>
    <w:p>
      <w:pPr>
        <w:ind w:firstLine="420"/>
        <w:rPr>
          <w:rFonts w:asciiTheme="minorEastAsia" w:hAnsiTheme="minorEastAsia" w:eastAsiaTheme="minorEastAsia"/>
        </w:rPr>
      </w:pPr>
      <w:r>
        <w:rPr>
          <w:rFonts w:hint="eastAsia" w:asciiTheme="minorEastAsia" w:hAnsiTheme="minorEastAsia" w:eastAsiaTheme="minorEastAsia"/>
        </w:rPr>
        <w:t>期权激励计划授予的股票期权自授予日起满24个月后可以开始行权。可行权日必须为交易日，但不得在下列期间内行权：</w:t>
      </w:r>
    </w:p>
    <w:p>
      <w:pPr>
        <w:ind w:firstLine="420"/>
        <w:rPr>
          <w:rFonts w:asciiTheme="minorEastAsia" w:hAnsiTheme="minorEastAsia" w:eastAsiaTheme="minorEastAsia"/>
        </w:rPr>
      </w:pPr>
      <w:r>
        <w:rPr>
          <w:rFonts w:hint="eastAsia" w:asciiTheme="minorEastAsia" w:hAnsiTheme="minorEastAsia" w:eastAsiaTheme="minorEastAsia"/>
        </w:rPr>
        <w:t>（1）公司定期报告公告前30日内，因特殊原因推迟定期报告公告日期的，自原预约公告日前30日起算，至公告前1日；</w:t>
      </w:r>
    </w:p>
    <w:p>
      <w:pPr>
        <w:ind w:firstLine="420"/>
        <w:rPr>
          <w:rFonts w:asciiTheme="minorEastAsia" w:hAnsiTheme="minorEastAsia" w:eastAsiaTheme="minorEastAsia"/>
        </w:rPr>
      </w:pPr>
      <w:r>
        <w:rPr>
          <w:rFonts w:hint="eastAsia" w:asciiTheme="minorEastAsia" w:hAnsiTheme="minorEastAsia" w:eastAsiaTheme="minorEastAsia"/>
        </w:rPr>
        <w:t>（2）公司业绩预告、业绩快报公告前10日内；</w:t>
      </w:r>
    </w:p>
    <w:p>
      <w:pPr>
        <w:ind w:firstLine="420"/>
        <w:rPr>
          <w:rFonts w:asciiTheme="minorEastAsia" w:hAnsiTheme="minorEastAsia" w:eastAsiaTheme="minorEastAsia"/>
        </w:rPr>
      </w:pPr>
      <w:r>
        <w:rPr>
          <w:rFonts w:hint="eastAsia" w:asciiTheme="minorEastAsia" w:hAnsiTheme="minorEastAsia" w:eastAsiaTheme="minorEastAsia"/>
        </w:rPr>
        <w:t>（3）自可能对公司股票及其衍生品种交易价格产生较大影响的重大事件发生之日或者进入决策程序之日，至依法披露后2个交易日内；</w:t>
      </w:r>
    </w:p>
    <w:p>
      <w:pPr>
        <w:ind w:firstLine="420" w:firstLineChars="200"/>
        <w:rPr>
          <w:rFonts w:asciiTheme="minorEastAsia" w:hAnsiTheme="minorEastAsia" w:eastAsiaTheme="minorEastAsia"/>
        </w:rPr>
      </w:pPr>
      <w:r>
        <w:rPr>
          <w:rFonts w:hint="eastAsia" w:asciiTheme="minorEastAsia" w:hAnsiTheme="minorEastAsia" w:eastAsiaTheme="minorEastAsia"/>
        </w:rPr>
        <w:t>（4）中国证监会及上交所规定的其他期间。</w:t>
      </w:r>
    </w:p>
    <w:p>
      <w:pPr>
        <w:ind w:firstLine="420"/>
        <w:rPr>
          <w:rFonts w:asciiTheme="minorEastAsia" w:hAnsiTheme="minorEastAsia" w:eastAsiaTheme="minorEastAsia"/>
        </w:rPr>
      </w:pPr>
      <w:r>
        <w:rPr>
          <w:rFonts w:hint="eastAsia" w:asciiTheme="minorEastAsia" w:hAnsiTheme="minorEastAsia" w:eastAsiaTheme="minorEastAsia"/>
        </w:rPr>
        <w:t>本次授予期权行权期及各期行权时间安排如下表所示：</w:t>
      </w:r>
    </w:p>
    <w:tbl>
      <w:tblPr>
        <w:tblStyle w:val="203"/>
        <w:tblW w:w="858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77"/>
        <w:gridCol w:w="5091"/>
        <w:gridCol w:w="19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1577" w:type="dxa"/>
            <w:tcBorders>
              <w:top w:val="single" w:color="auto" w:sz="12" w:space="0"/>
              <w:left w:val="single" w:color="auto" w:sz="12" w:space="0"/>
              <w:bottom w:val="single" w:color="auto" w:sz="8" w:space="0"/>
              <w:right w:val="single" w:color="auto" w:sz="8" w:space="0"/>
            </w:tcBorders>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行权安排</w:t>
            </w:r>
          </w:p>
        </w:tc>
        <w:tc>
          <w:tcPr>
            <w:tcW w:w="5091" w:type="dxa"/>
            <w:tcBorders>
              <w:top w:val="single" w:color="auto" w:sz="12" w:space="0"/>
              <w:left w:val="nil"/>
              <w:bottom w:val="single" w:color="auto" w:sz="8" w:space="0"/>
              <w:right w:val="single" w:color="auto" w:sz="8" w:space="0"/>
            </w:tcBorders>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行权时间</w:t>
            </w:r>
          </w:p>
        </w:tc>
        <w:tc>
          <w:tcPr>
            <w:tcW w:w="1915" w:type="dxa"/>
            <w:tcBorders>
              <w:top w:val="single" w:color="auto" w:sz="12" w:space="0"/>
              <w:left w:val="nil"/>
              <w:bottom w:val="single" w:color="auto" w:sz="8" w:space="0"/>
              <w:right w:val="single" w:color="auto" w:sz="12" w:space="0"/>
            </w:tcBorders>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可行权数量占获授权益数量比例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6" w:hRule="atLeast"/>
          <w:jc w:val="center"/>
        </w:trPr>
        <w:tc>
          <w:tcPr>
            <w:tcW w:w="1577" w:type="dxa"/>
            <w:tcBorders>
              <w:top w:val="single" w:color="auto" w:sz="8" w:space="0"/>
              <w:left w:val="single" w:color="auto" w:sz="12" w:space="0"/>
              <w:bottom w:val="single" w:color="auto" w:sz="8" w:space="0"/>
              <w:right w:val="single" w:color="auto" w:sz="8" w:space="0"/>
            </w:tcBorders>
            <w:vAlign w:val="center"/>
          </w:tcPr>
          <w:p>
            <w:pPr>
              <w:jc w:val="center"/>
              <w:rPr>
                <w:rFonts w:asciiTheme="minorEastAsia" w:hAnsiTheme="minorEastAsia" w:eastAsiaTheme="minorEastAsia"/>
                <w:color w:val="000000"/>
                <w:sz w:val="20"/>
                <w:szCs w:val="20"/>
              </w:rPr>
            </w:pPr>
            <w:r>
              <w:rPr>
                <w:rFonts w:hint="eastAsia" w:asciiTheme="minorEastAsia" w:hAnsiTheme="minorEastAsia" w:eastAsiaTheme="minorEastAsia"/>
                <w:sz w:val="20"/>
                <w:szCs w:val="20"/>
              </w:rPr>
              <w:t>第一个行权期</w:t>
            </w:r>
          </w:p>
        </w:tc>
        <w:tc>
          <w:tcPr>
            <w:tcW w:w="5091" w:type="dxa"/>
            <w:tcBorders>
              <w:top w:val="single" w:color="auto" w:sz="8" w:space="0"/>
              <w:left w:val="nil"/>
              <w:bottom w:val="single" w:color="auto" w:sz="8" w:space="0"/>
              <w:right w:val="single" w:color="auto" w:sz="8" w:space="0"/>
            </w:tcBorders>
            <w:vAlign w:val="center"/>
          </w:tcPr>
          <w:p>
            <w:pPr>
              <w:pStyle w:val="254"/>
              <w:rPr>
                <w:rFonts w:asciiTheme="minorEastAsia" w:hAnsiTheme="minorEastAsia" w:eastAsiaTheme="minorEastAsia"/>
                <w:sz w:val="20"/>
                <w:szCs w:val="20"/>
              </w:rPr>
            </w:pPr>
            <w:r>
              <w:rPr>
                <w:rFonts w:hint="eastAsia" w:asciiTheme="minorEastAsia" w:hAnsiTheme="minorEastAsia" w:eastAsiaTheme="minorEastAsia"/>
                <w:sz w:val="20"/>
                <w:szCs w:val="20"/>
              </w:rPr>
              <w:t>自授予日起24个月后的首个交易日起至授予日起36个月内的最后一个交易日当日止</w:t>
            </w:r>
          </w:p>
        </w:tc>
        <w:tc>
          <w:tcPr>
            <w:tcW w:w="1915" w:type="dxa"/>
            <w:tcBorders>
              <w:top w:val="single" w:color="auto" w:sz="8" w:space="0"/>
              <w:left w:val="nil"/>
              <w:bottom w:val="single" w:color="auto" w:sz="8" w:space="0"/>
              <w:right w:val="single" w:color="auto" w:sz="12"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4" w:hRule="atLeast"/>
          <w:jc w:val="center"/>
        </w:trPr>
        <w:tc>
          <w:tcPr>
            <w:tcW w:w="1577" w:type="dxa"/>
            <w:tcBorders>
              <w:top w:val="single" w:color="auto" w:sz="8" w:space="0"/>
              <w:left w:val="single" w:color="auto" w:sz="12" w:space="0"/>
              <w:bottom w:val="single" w:color="auto" w:sz="8" w:space="0"/>
              <w:right w:val="single" w:color="auto" w:sz="8"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第二个行权期</w:t>
            </w:r>
          </w:p>
        </w:tc>
        <w:tc>
          <w:tcPr>
            <w:tcW w:w="5091" w:type="dxa"/>
            <w:tcBorders>
              <w:top w:val="single" w:color="auto" w:sz="8" w:space="0"/>
              <w:left w:val="nil"/>
              <w:bottom w:val="single" w:color="auto" w:sz="8" w:space="0"/>
              <w:right w:val="single" w:color="auto" w:sz="8" w:space="0"/>
            </w:tcBorders>
            <w:vAlign w:val="center"/>
          </w:tcPr>
          <w:p>
            <w:pPr>
              <w:pStyle w:val="254"/>
              <w:rPr>
                <w:rFonts w:asciiTheme="minorEastAsia" w:hAnsiTheme="minorEastAsia" w:eastAsiaTheme="minorEastAsia"/>
                <w:sz w:val="20"/>
                <w:szCs w:val="20"/>
              </w:rPr>
            </w:pPr>
            <w:r>
              <w:rPr>
                <w:rFonts w:hint="eastAsia" w:asciiTheme="minorEastAsia" w:hAnsiTheme="minorEastAsia" w:eastAsiaTheme="minorEastAsia"/>
                <w:sz w:val="20"/>
                <w:szCs w:val="20"/>
              </w:rPr>
              <w:t>自授予日起36个月后的首个交易日起至授予日起48个月内的最后一个交易日当日止</w:t>
            </w:r>
          </w:p>
        </w:tc>
        <w:tc>
          <w:tcPr>
            <w:tcW w:w="1915" w:type="dxa"/>
            <w:tcBorders>
              <w:top w:val="single" w:color="auto" w:sz="8" w:space="0"/>
              <w:left w:val="nil"/>
              <w:bottom w:val="single" w:color="auto" w:sz="8" w:space="0"/>
              <w:right w:val="single" w:color="auto" w:sz="12"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4" w:hRule="atLeast"/>
          <w:jc w:val="center"/>
        </w:trPr>
        <w:tc>
          <w:tcPr>
            <w:tcW w:w="1577" w:type="dxa"/>
            <w:tcBorders>
              <w:top w:val="single" w:color="auto" w:sz="8" w:space="0"/>
              <w:left w:val="single" w:color="auto" w:sz="12" w:space="0"/>
              <w:bottom w:val="single" w:color="auto" w:sz="12" w:space="0"/>
              <w:right w:val="single" w:color="auto" w:sz="8"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第三个行权期</w:t>
            </w:r>
          </w:p>
        </w:tc>
        <w:tc>
          <w:tcPr>
            <w:tcW w:w="5091" w:type="dxa"/>
            <w:tcBorders>
              <w:top w:val="single" w:color="auto" w:sz="8" w:space="0"/>
              <w:left w:val="nil"/>
              <w:bottom w:val="single" w:color="auto" w:sz="12" w:space="0"/>
              <w:right w:val="single" w:color="auto" w:sz="8" w:space="0"/>
            </w:tcBorders>
            <w:vAlign w:val="center"/>
          </w:tcPr>
          <w:p>
            <w:pPr>
              <w:pStyle w:val="254"/>
              <w:rPr>
                <w:rFonts w:asciiTheme="minorEastAsia" w:hAnsiTheme="minorEastAsia" w:eastAsiaTheme="minorEastAsia"/>
                <w:sz w:val="20"/>
                <w:szCs w:val="20"/>
              </w:rPr>
            </w:pPr>
            <w:r>
              <w:rPr>
                <w:rFonts w:hint="eastAsia" w:asciiTheme="minorEastAsia" w:hAnsiTheme="minorEastAsia" w:eastAsiaTheme="minorEastAsia"/>
                <w:sz w:val="20"/>
                <w:szCs w:val="20"/>
              </w:rPr>
              <w:t>自授予日起48个月后的首个交易日起至授予日起60个月内的最后一个交易日当日止</w:t>
            </w:r>
          </w:p>
        </w:tc>
        <w:tc>
          <w:tcPr>
            <w:tcW w:w="1915" w:type="dxa"/>
            <w:tcBorders>
              <w:top w:val="single" w:color="auto" w:sz="8" w:space="0"/>
              <w:left w:val="nil"/>
              <w:bottom w:val="single" w:color="auto" w:sz="12" w:space="0"/>
              <w:right w:val="single" w:color="auto" w:sz="12"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34%</w:t>
            </w:r>
          </w:p>
        </w:tc>
      </w:tr>
    </w:tbl>
    <w:p>
      <w:pPr>
        <w:ind w:firstLine="420"/>
        <w:rPr>
          <w:rFonts w:asciiTheme="minorEastAsia" w:hAnsiTheme="minorEastAsia" w:eastAsiaTheme="minorEastAsia"/>
        </w:rPr>
      </w:pPr>
      <w:r>
        <w:rPr>
          <w:rFonts w:hint="eastAsia" w:asciiTheme="minorEastAsia" w:hAnsiTheme="minorEastAsia" w:eastAsiaTheme="minorEastAsia"/>
        </w:rPr>
        <w:t>激励对象必须在各批次股票期权行权的有效期内行权完毕。若达不到行权条件，则当期股票期权不得行权。若符合行权条件，但未在上述行权期全部行权的该部分股票期权由公司注销。</w:t>
      </w:r>
    </w:p>
    <w:p>
      <w:pPr>
        <w:ind w:firstLine="420"/>
        <w:rPr>
          <w:rFonts w:asciiTheme="minorEastAsia" w:hAnsiTheme="minorEastAsia" w:eastAsiaTheme="minorEastAsia"/>
        </w:rPr>
      </w:pPr>
      <w:r>
        <w:rPr>
          <w:rFonts w:hint="eastAsia" w:asciiTheme="minorEastAsia" w:hAnsiTheme="minorEastAsia" w:eastAsiaTheme="minorEastAsia"/>
        </w:rPr>
        <w:t>7.行权价格</w:t>
      </w:r>
    </w:p>
    <w:p>
      <w:pPr>
        <w:ind w:firstLine="420"/>
        <w:rPr>
          <w:rFonts w:asciiTheme="minorEastAsia" w:hAnsiTheme="minorEastAsia" w:eastAsiaTheme="minorEastAsia"/>
        </w:rPr>
      </w:pPr>
      <w:r>
        <w:rPr>
          <w:rFonts w:hint="eastAsia" w:asciiTheme="minorEastAsia" w:hAnsiTheme="minorEastAsia" w:eastAsiaTheme="minorEastAsia"/>
        </w:rPr>
        <w:t>本次授予的股票期权的行权价格为9.64元/份。在期权激励计划公告当日至激励对象完成股票期权行权期间，若公司发生资本公积转增股本、派发股票红利、股份拆细或缩股、配股、派息等事宜，股票期权的行权价格将做相应的调整。</w:t>
      </w:r>
    </w:p>
    <w:p>
      <w:pPr>
        <w:ind w:firstLine="420"/>
        <w:rPr>
          <w:rFonts w:asciiTheme="minorEastAsia" w:hAnsiTheme="minorEastAsia" w:eastAsiaTheme="minorEastAsia"/>
        </w:rPr>
      </w:pPr>
      <w:r>
        <w:rPr>
          <w:rFonts w:hint="eastAsia" w:asciiTheme="minorEastAsia" w:hAnsiTheme="minorEastAsia" w:eastAsiaTheme="minorEastAsia"/>
        </w:rPr>
        <w:t>8.期权激励计划股票期权的行权价格的确定方法</w:t>
      </w:r>
    </w:p>
    <w:p>
      <w:pPr>
        <w:ind w:firstLine="420"/>
        <w:rPr>
          <w:rFonts w:asciiTheme="minorEastAsia" w:hAnsiTheme="minorEastAsia" w:eastAsiaTheme="minorEastAsia"/>
        </w:rPr>
      </w:pPr>
      <w:r>
        <w:rPr>
          <w:rFonts w:hint="eastAsia" w:asciiTheme="minorEastAsia" w:hAnsiTheme="minorEastAsia" w:eastAsiaTheme="minorEastAsia"/>
        </w:rPr>
        <w:t>股票期权的行权价格不得低于公司A股股票票面金额，且不得低于下列价格较高者：</w:t>
      </w:r>
    </w:p>
    <w:p>
      <w:pPr>
        <w:ind w:firstLine="420"/>
        <w:rPr>
          <w:rFonts w:asciiTheme="minorEastAsia" w:hAnsiTheme="minorEastAsia" w:eastAsiaTheme="minorEastAsia"/>
        </w:rPr>
      </w:pPr>
      <w:r>
        <w:rPr>
          <w:rFonts w:hint="eastAsia" w:asciiTheme="minorEastAsia" w:hAnsiTheme="minorEastAsia" w:eastAsiaTheme="minorEastAsia"/>
        </w:rPr>
        <w:t>（1）期权激励计划草案公告前1个交易日公司A股股票交易均价，每股8.92元；</w:t>
      </w:r>
    </w:p>
    <w:p>
      <w:pPr>
        <w:ind w:firstLine="420"/>
        <w:rPr>
          <w:rFonts w:asciiTheme="minorEastAsia" w:hAnsiTheme="minorEastAsia" w:eastAsiaTheme="minorEastAsia"/>
        </w:rPr>
      </w:pPr>
      <w:r>
        <w:rPr>
          <w:rFonts w:hint="eastAsia" w:asciiTheme="minorEastAsia" w:hAnsiTheme="minorEastAsia" w:eastAsiaTheme="minorEastAsia"/>
        </w:rPr>
        <w:t>（2）期权激励计划草案公告前20个交易日公司A股股票交易均价，每股9.58元；</w:t>
      </w:r>
    </w:p>
    <w:p>
      <w:pPr>
        <w:ind w:firstLine="420"/>
        <w:rPr>
          <w:rFonts w:asciiTheme="minorEastAsia" w:hAnsiTheme="minorEastAsia" w:eastAsiaTheme="minorEastAsia"/>
        </w:rPr>
      </w:pPr>
      <w:r>
        <w:rPr>
          <w:rFonts w:hint="eastAsia" w:asciiTheme="minorEastAsia" w:hAnsiTheme="minorEastAsia" w:eastAsiaTheme="minorEastAsia"/>
        </w:rPr>
        <w:t>（3）期权激励计划草案公告前1个交易日公司A股股票收盘价，每股8.75元；</w:t>
      </w:r>
    </w:p>
    <w:p>
      <w:pPr>
        <w:ind w:firstLine="420"/>
        <w:rPr>
          <w:rFonts w:asciiTheme="minorEastAsia" w:hAnsiTheme="minorEastAsia" w:eastAsiaTheme="minorEastAsia"/>
        </w:rPr>
      </w:pPr>
      <w:r>
        <w:rPr>
          <w:rFonts w:hint="eastAsia" w:asciiTheme="minorEastAsia" w:hAnsiTheme="minorEastAsia" w:eastAsiaTheme="minorEastAsia"/>
        </w:rPr>
        <w:t>（4）期权激励计划草案公告前30个交易日内公司A股股票平均收盘价，每股9.64元。</w:t>
      </w:r>
    </w:p>
    <w:p>
      <w:pPr>
        <w:ind w:firstLine="420"/>
        <w:rPr>
          <w:rFonts w:asciiTheme="minorEastAsia" w:hAnsiTheme="minorEastAsia" w:eastAsiaTheme="minorEastAsia"/>
        </w:rPr>
      </w:pPr>
      <w:r>
        <w:rPr>
          <w:rFonts w:hint="eastAsia" w:asciiTheme="minorEastAsia" w:hAnsiTheme="minorEastAsia" w:eastAsiaTheme="minorEastAsia"/>
        </w:rPr>
        <w:t>9.有效期</w:t>
      </w:r>
    </w:p>
    <w:p>
      <w:pPr>
        <w:ind w:firstLine="420"/>
        <w:rPr>
          <w:rFonts w:asciiTheme="minorEastAsia" w:hAnsiTheme="minorEastAsia" w:eastAsiaTheme="minorEastAsia"/>
        </w:rPr>
      </w:pPr>
      <w:r>
        <w:rPr>
          <w:rFonts w:hint="eastAsia" w:asciiTheme="minorEastAsia" w:hAnsiTheme="minorEastAsia" w:eastAsiaTheme="minorEastAsia"/>
        </w:rPr>
        <w:t>期权激励计划经2019年2月12日召开的公司2019年度第一次临时股东大会、2019年度第一次A股类别股东大会及2019年度第一次H股类别股东大会批准生效。根据期权激励计划授出的股票期权的有效期自授予日起计算，最长不超过60个月。</w:t>
      </w:r>
    </w:p>
    <w:p>
      <w:pPr>
        <w:ind w:firstLine="420"/>
        <w:rPr>
          <w:rFonts w:asciiTheme="minorEastAsia" w:hAnsiTheme="minorEastAsia" w:eastAsiaTheme="minorEastAsia"/>
        </w:rPr>
      </w:pPr>
      <w:r>
        <w:rPr>
          <w:rFonts w:hint="eastAsia" w:asciiTheme="minorEastAsia" w:hAnsiTheme="minorEastAsia" w:eastAsiaTheme="minorEastAsia"/>
        </w:rPr>
        <w:t>（二）历次调整情况</w:t>
      </w:r>
    </w:p>
    <w:p>
      <w:pPr>
        <w:ind w:firstLine="420"/>
        <w:rPr>
          <w:rFonts w:asciiTheme="minorEastAsia" w:hAnsiTheme="minorEastAsia" w:eastAsiaTheme="minorEastAsia"/>
        </w:rPr>
      </w:pPr>
      <w:r>
        <w:rPr>
          <w:rFonts w:hint="eastAsia" w:asciiTheme="minorEastAsia" w:hAnsiTheme="minorEastAsia" w:eastAsiaTheme="minorEastAsia"/>
        </w:rPr>
        <w:t>经2021年1月13日召开的公司第八届董事会第八次会议</w:t>
      </w:r>
      <w:r>
        <w:rPr>
          <w:rFonts w:hint="eastAsia" w:asciiTheme="minorEastAsia" w:hAnsiTheme="minorEastAsia" w:eastAsiaTheme="minorEastAsia"/>
          <w:kern w:val="44"/>
        </w:rPr>
        <w:t>审议</w:t>
      </w:r>
      <w:r>
        <w:rPr>
          <w:rFonts w:hint="eastAsia" w:asciiTheme="minorEastAsia" w:hAnsiTheme="minorEastAsia" w:eastAsiaTheme="minorEastAsia"/>
        </w:rPr>
        <w:t>批准，33名激励对象因离职、个人绩效等原因，公司注销股票期权3,299,140份，经调整后，授予的股票期权数量由46,320,000份调整为43,020,860份。由于公司于等待期内进行了分红派息，公司董事会对期权激励计划的行权价格进行调整，本次调整后的股票期权行权价格为7.52元/份。</w:t>
      </w:r>
    </w:p>
    <w:p>
      <w:pPr>
        <w:ind w:firstLine="420"/>
        <w:rPr>
          <w:rFonts w:asciiTheme="minorEastAsia" w:hAnsiTheme="minorEastAsia" w:eastAsiaTheme="minorEastAsia"/>
        </w:rPr>
      </w:pPr>
      <w:r>
        <w:rPr>
          <w:rFonts w:hint="eastAsia" w:asciiTheme="minorEastAsia" w:hAnsiTheme="minorEastAsia" w:eastAsiaTheme="minorEastAsia"/>
        </w:rPr>
        <w:t>经2022年1月27日召开的公司第八届董事会第二十次会议</w:t>
      </w:r>
      <w:r>
        <w:rPr>
          <w:rFonts w:hint="eastAsia" w:asciiTheme="minorEastAsia" w:hAnsiTheme="minorEastAsia" w:eastAsiaTheme="minorEastAsia"/>
          <w:kern w:val="44"/>
        </w:rPr>
        <w:t>审议</w:t>
      </w:r>
      <w:r>
        <w:rPr>
          <w:rFonts w:hint="eastAsia" w:asciiTheme="minorEastAsia" w:hAnsiTheme="minorEastAsia" w:eastAsiaTheme="minorEastAsia"/>
        </w:rPr>
        <w:t>批准，37名激励对象因离职、个人绩效等原因，公司注销股票期权2,831,720份，经调整后，已获授但尚未行权的期权数量由28,836,800份调整为26,005,080份。由于公司于等待期内进行了分红派息，公司董事会对期权激励计划的行权价格进行调整，本次调整后的股票期权行权价格为6.52元/份。</w:t>
      </w:r>
    </w:p>
    <w:p>
      <w:pPr>
        <w:ind w:firstLine="420"/>
        <w:rPr>
          <w:rFonts w:asciiTheme="minorEastAsia" w:hAnsiTheme="minorEastAsia" w:eastAsiaTheme="minorEastAsia"/>
        </w:rPr>
      </w:pPr>
      <w:r>
        <w:rPr>
          <w:rFonts w:hint="eastAsia" w:asciiTheme="minorEastAsia" w:hAnsiTheme="minorEastAsia" w:eastAsiaTheme="minorEastAsia"/>
        </w:rPr>
        <w:t>经2022年4月29日召开的公司第八届董事会第二十二次会议</w:t>
      </w:r>
      <w:r>
        <w:rPr>
          <w:rFonts w:hint="eastAsia" w:asciiTheme="minorEastAsia" w:hAnsiTheme="minorEastAsia" w:eastAsiaTheme="minorEastAsia"/>
          <w:kern w:val="44"/>
        </w:rPr>
        <w:t>审议</w:t>
      </w:r>
      <w:r>
        <w:rPr>
          <w:rFonts w:hint="eastAsia" w:asciiTheme="minorEastAsia" w:hAnsiTheme="minorEastAsia" w:eastAsiaTheme="minorEastAsia"/>
        </w:rPr>
        <w:t>批准，6名激励对象因离职等原因，公司注销股票期权210,300份。经调整后，已获授但尚未行权的期权数量由13,225,500份调整为13,015,200份。</w:t>
      </w:r>
    </w:p>
    <w:p>
      <w:pPr>
        <w:ind w:firstLine="420"/>
        <w:rPr>
          <w:rFonts w:asciiTheme="minorEastAsia" w:hAnsiTheme="minorEastAsia" w:eastAsiaTheme="minorEastAsia"/>
        </w:rPr>
      </w:pPr>
      <w:r>
        <w:rPr>
          <w:rFonts w:hint="eastAsia" w:asciiTheme="minorEastAsia" w:hAnsiTheme="minorEastAsia" w:eastAsiaTheme="minorEastAsia"/>
        </w:rPr>
        <w:t>经2023年4月24日召开的公司第八届董事会第二十八次会议审议批准，12名激励对象因离职、个人绩效等原因，公司注销股票期权358,360份。经调整，已获授但尚未行权的期权数量由13,015,200份调整为12,656,840份。由于公司于等待期内进行了分红派息，公司董事会对期权激励计划的行权价格进行调整，本次调整后的股票期权行权价格为4.52元/份。</w:t>
      </w:r>
    </w:p>
    <w:p>
      <w:pPr>
        <w:ind w:firstLine="420"/>
        <w:rPr>
          <w:rFonts w:asciiTheme="minorEastAsia" w:hAnsiTheme="minorEastAsia" w:eastAsiaTheme="minorEastAsia"/>
        </w:rPr>
      </w:pPr>
      <w:r>
        <w:rPr>
          <w:rFonts w:hint="eastAsia" w:asciiTheme="minorEastAsia" w:hAnsiTheme="minorEastAsia" w:eastAsiaTheme="minorEastAsia"/>
        </w:rPr>
        <w:t>（三）所得款项使用情况</w:t>
      </w:r>
    </w:p>
    <w:p>
      <w:pPr>
        <w:ind w:firstLine="420"/>
        <w:rPr>
          <w:rFonts w:asciiTheme="minorEastAsia" w:hAnsiTheme="minorEastAsia" w:eastAsiaTheme="minorEastAsia"/>
        </w:rPr>
      </w:pPr>
      <w:r>
        <w:rPr>
          <w:rFonts w:hint="eastAsia" w:asciiTheme="minorEastAsia" w:hAnsiTheme="minorEastAsia" w:eastAsiaTheme="minorEastAsia"/>
        </w:rPr>
        <w:t>行权所得款项合计人民币24,719.59万元,用于补充公司营运资金。</w:t>
      </w:r>
    </w:p>
    <w:p>
      <w:pPr>
        <w:rPr>
          <w:rFonts w:asciiTheme="minorEastAsia" w:hAnsiTheme="minorEastAsia" w:eastAsiaTheme="minorEastAsia"/>
        </w:rPr>
      </w:pPr>
    </w:p>
    <w:p>
      <w:pPr>
        <w:rPr>
          <w:rFonts w:asciiTheme="minorEastAsia" w:hAnsiTheme="minorEastAsia" w:eastAsiaTheme="minorEastAsia"/>
          <w:b/>
          <w:bCs/>
        </w:rPr>
      </w:pPr>
      <w:sdt>
        <w:sdtPr>
          <w:rPr>
            <w:rFonts w:hint="eastAsia" w:asciiTheme="minorEastAsia" w:hAnsiTheme="minorEastAsia" w:eastAsiaTheme="minorEastAsia"/>
          </w:rPr>
          <w:alias w:val="股权激励计划年份"/>
          <w:tag w:val="_GBC_8c608b750e98413fbea3e815e4c9162c"/>
          <w:id w:val="-1966804999"/>
        </w:sdtPr>
        <w:sdtEndPr>
          <w:rPr>
            <w:rFonts w:hint="eastAsia" w:asciiTheme="minorEastAsia" w:hAnsiTheme="minorEastAsia" w:eastAsiaTheme="minorEastAsia"/>
            <w:b/>
            <w:bCs/>
          </w:rPr>
        </w:sdtEndPr>
        <w:sdtContent>
          <w:r>
            <w:rPr>
              <w:rFonts w:asciiTheme="minorEastAsia" w:hAnsiTheme="minorEastAsia" w:eastAsiaTheme="minorEastAsia"/>
              <w:b/>
              <w:bCs/>
            </w:rPr>
            <w:t>2021</w:t>
          </w:r>
        </w:sdtContent>
      </w:sdt>
      <w:r>
        <w:rPr>
          <w:rFonts w:hint="eastAsia" w:asciiTheme="minorEastAsia" w:hAnsiTheme="minorEastAsia" w:eastAsiaTheme="minorEastAsia"/>
          <w:b/>
          <w:bCs/>
        </w:rPr>
        <w:t>年</w:t>
      </w:r>
      <w:sdt>
        <w:sdtPr>
          <w:rPr>
            <w:rFonts w:hint="eastAsia" w:asciiTheme="minorEastAsia" w:hAnsiTheme="minorEastAsia" w:eastAsiaTheme="minorEastAsia"/>
            <w:b/>
            <w:bCs/>
          </w:rPr>
          <w:alias w:val="股权激励计划执行次数"/>
          <w:tag w:val="_GBC_0d4c8424e0e44370819dff37a3a57f27"/>
          <w:id w:val="-1703236729"/>
        </w:sdtPr>
        <w:sdtEndPr>
          <w:rPr>
            <w:rFonts w:hint="eastAsia" w:asciiTheme="minorEastAsia" w:hAnsiTheme="minorEastAsia" w:eastAsiaTheme="minorEastAsia"/>
            <w:b/>
            <w:bCs/>
          </w:rPr>
        </w:sdtEndPr>
        <w:sdtContent>
          <w:r>
            <w:rPr>
              <w:rFonts w:asciiTheme="minorEastAsia" w:hAnsiTheme="minorEastAsia" w:eastAsiaTheme="minorEastAsia"/>
              <w:b/>
              <w:bCs/>
            </w:rPr>
            <w:t>A股限制性股票激励计划</w:t>
          </w:r>
        </w:sdtContent>
      </w:sdt>
    </w:p>
    <w:p>
      <w:pPr>
        <w:rPr>
          <w:rFonts w:asciiTheme="minorEastAsia" w:hAnsiTheme="minorEastAsia" w:eastAsiaTheme="minorEastAsia"/>
        </w:rPr>
      </w:pPr>
      <w:r>
        <w:rPr>
          <w:rFonts w:hint="eastAsia" w:asciiTheme="minorEastAsia" w:hAnsiTheme="minorEastAsia" w:eastAsiaTheme="minorEastAsia"/>
        </w:rPr>
        <w:t>激励方式</w:t>
      </w:r>
      <w:r>
        <w:rPr>
          <w:rFonts w:asciiTheme="minorEastAsia" w:hAnsiTheme="minorEastAsia" w:eastAsiaTheme="minorEastAsia"/>
        </w:rPr>
        <w:t>:</w:t>
      </w:r>
      <w:sdt>
        <w:sdtPr>
          <w:rPr>
            <w:rFonts w:asciiTheme="minorEastAsia" w:hAnsiTheme="minorEastAsia" w:eastAsiaTheme="minorEastAsia"/>
          </w:rPr>
          <w:alias w:val="公司股权激励方式"/>
          <w:tag w:val="_GBC_a761ce34631247a78f1c34cf742f6749"/>
          <w:id w:val="-1393415292"/>
          <w:comboBox>
            <w:listItem w:displayText="限制性股票" w:value="限制性股票"/>
            <w:listItem w:displayText="股票期权" w:value="股票期权"/>
            <w:listItem w:displayText="其他" w:value="其他"/>
          </w:comboBox>
        </w:sdtPr>
        <w:sdtEndPr>
          <w:rPr>
            <w:rFonts w:asciiTheme="minorEastAsia" w:hAnsiTheme="minorEastAsia" w:eastAsiaTheme="minorEastAsia"/>
          </w:rPr>
        </w:sdtEndPr>
        <w:sdtContent>
          <w:r>
            <w:rPr>
              <w:rFonts w:asciiTheme="minorEastAsia" w:hAnsiTheme="minorEastAsia" w:eastAsiaTheme="minorEastAsia"/>
            </w:rPr>
            <w:t>限制性股票</w:t>
          </w:r>
        </w:sdtContent>
      </w:sdt>
    </w:p>
    <w:p>
      <w:pPr>
        <w:rPr>
          <w:rFonts w:asciiTheme="minorEastAsia" w:hAnsiTheme="minorEastAsia" w:eastAsiaTheme="minorEastAsia"/>
        </w:rPr>
      </w:pPr>
      <w:r>
        <w:rPr>
          <w:rFonts w:hint="eastAsia" w:asciiTheme="minorEastAsia" w:hAnsiTheme="minorEastAsia" w:eastAsiaTheme="minorEastAsia"/>
        </w:rPr>
        <w:t>标的股票来源</w:t>
      </w:r>
      <w:r>
        <w:rPr>
          <w:rFonts w:asciiTheme="minorEastAsia" w:hAnsiTheme="minorEastAsia" w:eastAsiaTheme="minorEastAsia"/>
        </w:rPr>
        <w:t>:</w:t>
      </w:r>
      <w:sdt>
        <w:sdtPr>
          <w:rPr>
            <w:rFonts w:asciiTheme="minorEastAsia" w:hAnsiTheme="minorEastAsia" w:eastAsiaTheme="minorEastAsia"/>
          </w:rPr>
          <w:alias w:val="公司股权激励的标的股票来源"/>
          <w:tag w:val="_GBC_52a8d93837e1430ba8062d77dd075fce"/>
          <w:id w:val="-1141876268"/>
          <w:comboBox>
            <w:listItem w:displayText="向激励对象发行股份" w:value="向激励对象发行股份"/>
            <w:listItem w:displayText="公司回购股份" w:value="公司回购股份"/>
            <w:listItem w:displayText="提取激励基金委托" w:value="提取激励基金委托"/>
            <w:listItem w:displayText="他人购买股份" w:value="他人购买股份"/>
          </w:comboBox>
        </w:sdtPr>
        <w:sdtEndPr>
          <w:rPr>
            <w:rFonts w:asciiTheme="minorEastAsia" w:hAnsiTheme="minorEastAsia" w:eastAsiaTheme="minorEastAsia"/>
          </w:rPr>
        </w:sdtEndPr>
        <w:sdtContent>
          <w:r>
            <w:rPr>
              <w:rFonts w:asciiTheme="minorEastAsia" w:hAnsiTheme="minorEastAsia" w:eastAsiaTheme="minorEastAsia"/>
            </w:rPr>
            <w:t>向激励对象发行股份</w:t>
          </w:r>
        </w:sdtContent>
      </w:sdt>
    </w:p>
    <w:p>
      <w:pPr>
        <w:rPr>
          <w:rFonts w:asciiTheme="minorEastAsia" w:hAnsiTheme="minorEastAsia" w:eastAsiaTheme="minorEastAsia"/>
        </w:rPr>
      </w:pPr>
      <w:r>
        <w:rPr>
          <w:rFonts w:hint="eastAsia" w:asciiTheme="minorEastAsia" w:hAnsiTheme="minorEastAsia" w:eastAsiaTheme="minorEastAsia"/>
        </w:rPr>
        <w:t>权益工具公允价值的计量方法、参数的选取标准及结果</w:t>
      </w:r>
    </w:p>
    <w:tbl>
      <w:tblPr>
        <w:tblStyle w:val="201"/>
        <w:tblW w:w="5164"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6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3" w:type="pct"/>
            <w:shd w:val="clear" w:color="auto" w:fill="auto"/>
            <w:noWrap/>
            <w:vAlign w:val="center"/>
          </w:tcPr>
          <w:p>
            <w:pPr>
              <w:rPr>
                <w:rFonts w:asciiTheme="minorEastAsia" w:hAnsiTheme="minorEastAsia" w:eastAsiaTheme="minorEastAsia"/>
              </w:rPr>
            </w:pPr>
            <w:r>
              <w:rPr>
                <w:rFonts w:hint="eastAsia" w:asciiTheme="minorEastAsia" w:hAnsiTheme="minorEastAsia" w:eastAsiaTheme="minorEastAsia"/>
              </w:rPr>
              <w:t>计量方法</w:t>
            </w:r>
          </w:p>
        </w:tc>
        <w:tc>
          <w:tcPr>
            <w:tcW w:w="4497" w:type="pct"/>
            <w:shd w:val="clear" w:color="auto" w:fill="auto"/>
            <w:noWrap/>
            <w:vAlign w:val="center"/>
          </w:tcPr>
          <w:p>
            <w:pPr>
              <w:rPr>
                <w:rFonts w:asciiTheme="minorEastAsia" w:hAnsiTheme="minorEastAsia" w:eastAsiaTheme="minorEastAsia"/>
              </w:rPr>
            </w:pPr>
            <w:sdt>
              <w:sdtPr>
                <w:rPr>
                  <w:rFonts w:hint="eastAsia" w:asciiTheme="minorEastAsia" w:hAnsiTheme="minorEastAsia" w:eastAsiaTheme="minorEastAsia"/>
                </w:rPr>
                <w:alias w:val="公司股权激励权益工具公允价值的计量方法的说明"/>
                <w:tag w:val="_GBC_415841c7cd124bb1b7875bef2ba0658d"/>
                <w:id w:val="1980024841"/>
              </w:sdtPr>
              <w:sdtEndPr>
                <w:rPr>
                  <w:rFonts w:hint="eastAsia" w:asciiTheme="minorEastAsia" w:hAnsiTheme="minorEastAsia" w:eastAsiaTheme="minorEastAsia"/>
                </w:rPr>
              </w:sdtEndPr>
              <w:sdtContent>
                <w:r>
                  <w:rPr>
                    <w:rFonts w:hint="eastAsia" w:asciiTheme="minorEastAsia" w:hAnsiTheme="minorEastAsia" w:eastAsiaTheme="minorEastAsia"/>
                  </w:rPr>
                  <w:t>根据《企业会计准则第11号——股份支付》，公司以授予日股票收盘价与授予价格之间的差额作为每股限制性股票的股份支付成本，并将最终确认本激励计划的股份支付费用。</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3" w:type="pct"/>
            <w:shd w:val="clear" w:color="auto" w:fill="auto"/>
            <w:noWrap/>
            <w:vAlign w:val="center"/>
          </w:tcPr>
          <w:p>
            <w:pPr>
              <w:rPr>
                <w:rFonts w:asciiTheme="minorEastAsia" w:hAnsiTheme="minorEastAsia" w:eastAsiaTheme="minorEastAsia"/>
              </w:rPr>
            </w:pPr>
            <w:r>
              <w:rPr>
                <w:rFonts w:hint="eastAsia" w:asciiTheme="minorEastAsia" w:hAnsiTheme="minorEastAsia" w:eastAsiaTheme="minorEastAsia"/>
              </w:rPr>
              <w:t>参数名称</w:t>
            </w:r>
          </w:p>
        </w:tc>
        <w:tc>
          <w:tcPr>
            <w:tcW w:w="4497" w:type="pct"/>
            <w:shd w:val="clear" w:color="auto" w:fill="auto"/>
            <w:noWrap/>
            <w:vAlign w:val="center"/>
          </w:tcPr>
          <w:p>
            <w:pPr>
              <w:rPr>
                <w:rFonts w:asciiTheme="minorEastAsia" w:hAnsiTheme="minorEastAsia" w:eastAsiaTheme="minorEastAsia"/>
              </w:rPr>
            </w:pPr>
            <w:r>
              <w:rPr>
                <w:rFonts w:hint="eastAsia" w:asciiTheme="minorEastAsia" w:hAnsiTheme="minorEastAsia" w:eastAsiaTheme="minorEastAsia"/>
              </w:rPr>
              <w:t>授予日股票收盘价、授予价格。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3" w:type="pct"/>
            <w:shd w:val="clear" w:color="auto" w:fill="auto"/>
            <w:noWrap/>
            <w:vAlign w:val="center"/>
          </w:tcPr>
          <w:p>
            <w:pPr>
              <w:rPr>
                <w:rFonts w:asciiTheme="minorEastAsia" w:hAnsiTheme="minorEastAsia" w:eastAsiaTheme="minorEastAsia"/>
              </w:rPr>
            </w:pPr>
            <w:r>
              <w:rPr>
                <w:rFonts w:hint="eastAsia" w:asciiTheme="minorEastAsia" w:hAnsiTheme="minorEastAsia" w:eastAsiaTheme="minorEastAsia"/>
              </w:rPr>
              <w:t>计量结果</w:t>
            </w:r>
          </w:p>
        </w:tc>
        <w:tc>
          <w:tcPr>
            <w:tcW w:w="4497" w:type="pct"/>
            <w:shd w:val="clear" w:color="auto" w:fill="auto"/>
            <w:noWrap/>
            <w:vAlign w:val="center"/>
          </w:tcPr>
          <w:p>
            <w:pPr>
              <w:rPr>
                <w:rFonts w:asciiTheme="minorEastAsia" w:hAnsiTheme="minorEastAsia" w:eastAsiaTheme="minorEastAsia"/>
              </w:rPr>
            </w:pPr>
            <w:r>
              <w:rPr>
                <w:rFonts w:hint="eastAsia" w:asciiTheme="minorEastAsia" w:hAnsiTheme="minorEastAsia" w:eastAsiaTheme="minorEastAsia"/>
              </w:rPr>
              <w:t>每股限制性股票的公允价值为12.80元。</w:t>
            </w:r>
          </w:p>
        </w:tc>
      </w:tr>
    </w:tbl>
    <w:p>
      <w:pPr>
        <w:rPr>
          <w:rFonts w:asciiTheme="minorEastAsia" w:hAnsiTheme="minorEastAsia" w:eastAsiaTheme="minorEastAsia"/>
        </w:rPr>
      </w:pPr>
    </w:p>
    <w:p>
      <w:pPr>
        <w:ind w:firstLine="420"/>
        <w:rPr>
          <w:rFonts w:asciiTheme="minorEastAsia" w:hAnsiTheme="minorEastAsia" w:eastAsiaTheme="minorEastAsia"/>
        </w:rPr>
      </w:pPr>
      <w:r>
        <w:rPr>
          <w:rFonts w:hint="eastAsia" w:asciiTheme="minorEastAsia" w:hAnsiTheme="minorEastAsia" w:eastAsiaTheme="minorEastAsia"/>
        </w:rPr>
        <w:t>经2022年1月27日召开的公司2022年度第一次临时股东大会、第一次A股/</w:t>
      </w:r>
      <w:r>
        <w:rPr>
          <w:rFonts w:asciiTheme="minorEastAsia" w:hAnsiTheme="minorEastAsia" w:eastAsiaTheme="minorEastAsia"/>
        </w:rPr>
        <w:t>H</w:t>
      </w:r>
      <w:r>
        <w:rPr>
          <w:rFonts w:hint="eastAsia" w:asciiTheme="minorEastAsia" w:hAnsiTheme="minorEastAsia" w:eastAsiaTheme="minorEastAsia"/>
        </w:rPr>
        <w:t>股类别股东大会及第八届董事会第二十次会议批准，公司根据2021年A股限制性股票激励计划（“限制性股票激励计划”）向激励对象授出限制性股票。</w:t>
      </w:r>
    </w:p>
    <w:p>
      <w:pPr>
        <w:ind w:firstLine="420"/>
        <w:rPr>
          <w:rFonts w:asciiTheme="minorEastAsia" w:hAnsiTheme="minorEastAsia" w:eastAsiaTheme="minorEastAsia"/>
        </w:rPr>
      </w:pPr>
      <w:bookmarkStart w:id="107" w:name="_Hlk160366031"/>
      <w:bookmarkStart w:id="108" w:name="_Hlk160802034"/>
      <w:r>
        <w:rPr>
          <w:rFonts w:hint="eastAsia" w:asciiTheme="minorEastAsia" w:hAnsiTheme="minorEastAsia" w:eastAsiaTheme="minorEastAsia"/>
        </w:rPr>
        <w:t>经2</w:t>
      </w:r>
      <w:r>
        <w:rPr>
          <w:rFonts w:asciiTheme="minorEastAsia" w:hAnsiTheme="minorEastAsia" w:eastAsiaTheme="minorEastAsia"/>
        </w:rPr>
        <w:t>024</w:t>
      </w:r>
      <w:r>
        <w:rPr>
          <w:rFonts w:hint="eastAsia" w:asciiTheme="minorEastAsia" w:hAnsiTheme="minorEastAsia" w:eastAsiaTheme="minorEastAsia"/>
        </w:rPr>
        <w:t>年2月2</w:t>
      </w:r>
      <w:r>
        <w:rPr>
          <w:rFonts w:asciiTheme="minorEastAsia" w:hAnsiTheme="minorEastAsia" w:eastAsiaTheme="minorEastAsia"/>
        </w:rPr>
        <w:t>3</w:t>
      </w:r>
      <w:r>
        <w:rPr>
          <w:rFonts w:hint="eastAsia" w:asciiTheme="minorEastAsia" w:hAnsiTheme="minorEastAsia" w:eastAsiaTheme="minorEastAsia"/>
        </w:rPr>
        <w:t>日召开的公司第九届董事会第五次会议批准，确认限制性股票激励计划第一个解除限售期条件已经成就</w:t>
      </w:r>
      <w:bookmarkEnd w:id="107"/>
      <w:bookmarkStart w:id="109" w:name="_Hlk160609320"/>
      <w:r>
        <w:rPr>
          <w:rFonts w:hint="eastAsia" w:asciiTheme="minorEastAsia" w:hAnsiTheme="minorEastAsia" w:eastAsiaTheme="minorEastAsia"/>
        </w:rPr>
        <w:t>，公司对1,201名激励对象所获授的2,916.342万股限制性股票解除限售。</w:t>
      </w:r>
      <w:bookmarkEnd w:id="109"/>
      <w:r>
        <w:rPr>
          <w:rFonts w:hint="eastAsia" w:asciiTheme="minorEastAsia" w:hAnsiTheme="minorEastAsia" w:eastAsiaTheme="minorEastAsia"/>
        </w:rPr>
        <w:t>2</w:t>
      </w:r>
      <w:r>
        <w:rPr>
          <w:rFonts w:asciiTheme="minorEastAsia" w:hAnsiTheme="minorEastAsia" w:eastAsiaTheme="minorEastAsia"/>
        </w:rPr>
        <w:t>024</w:t>
      </w:r>
      <w:r>
        <w:rPr>
          <w:rFonts w:hint="eastAsia" w:asciiTheme="minorEastAsia" w:hAnsiTheme="minorEastAsia" w:eastAsiaTheme="minorEastAsia"/>
        </w:rPr>
        <w:t>年3月8日，解除限售的限制性股票上市流通。</w:t>
      </w:r>
      <w:bookmarkEnd w:id="108"/>
    </w:p>
    <w:p>
      <w:pPr>
        <w:ind w:firstLine="420"/>
        <w:rPr>
          <w:rFonts w:asciiTheme="minorEastAsia" w:hAnsiTheme="minorEastAsia" w:eastAsiaTheme="minorEastAsia"/>
        </w:rPr>
      </w:pPr>
    </w:p>
    <w:p>
      <w:pPr>
        <w:ind w:firstLine="420"/>
        <w:rPr>
          <w:rFonts w:asciiTheme="minorEastAsia" w:hAnsiTheme="minorEastAsia" w:eastAsiaTheme="minorEastAsia"/>
        </w:rPr>
      </w:pPr>
      <w:r>
        <w:rPr>
          <w:rFonts w:hint="eastAsia" w:asciiTheme="minorEastAsia" w:hAnsiTheme="minorEastAsia" w:eastAsiaTheme="minorEastAsia"/>
        </w:rPr>
        <w:t xml:space="preserve"> </w:t>
      </w:r>
    </w:p>
    <w:p>
      <w:pPr>
        <w:ind w:firstLine="420"/>
        <w:rPr>
          <w:rFonts w:asciiTheme="minorEastAsia" w:hAnsiTheme="minorEastAsia" w:eastAsiaTheme="minorEastAsia"/>
          <w:b/>
        </w:rPr>
      </w:pPr>
      <w:r>
        <w:rPr>
          <w:rFonts w:hint="eastAsia" w:asciiTheme="minorEastAsia" w:hAnsiTheme="minorEastAsia" w:eastAsiaTheme="minorEastAsia"/>
          <w:b/>
        </w:rPr>
        <w:t>限制性股票激励计划摘要</w:t>
      </w:r>
    </w:p>
    <w:p>
      <w:pPr>
        <w:ind w:firstLine="420"/>
        <w:rPr>
          <w:rFonts w:asciiTheme="minorEastAsia" w:hAnsiTheme="minorEastAsia" w:eastAsiaTheme="minorEastAsia"/>
          <w:b/>
        </w:rPr>
      </w:pPr>
      <w:r>
        <w:rPr>
          <w:rFonts w:hint="eastAsia" w:asciiTheme="minorEastAsia" w:hAnsiTheme="minorEastAsia" w:eastAsiaTheme="minorEastAsia"/>
          <w:b/>
        </w:rPr>
        <w:t xml:space="preserve"> </w:t>
      </w:r>
    </w:p>
    <w:p>
      <w:pPr>
        <w:ind w:firstLine="420"/>
        <w:rPr>
          <w:rFonts w:asciiTheme="minorEastAsia" w:hAnsiTheme="minorEastAsia" w:eastAsiaTheme="minorEastAsia"/>
        </w:rPr>
      </w:pPr>
      <w:r>
        <w:rPr>
          <w:rFonts w:hint="eastAsia" w:asciiTheme="minorEastAsia" w:hAnsiTheme="minorEastAsia" w:eastAsiaTheme="minorEastAsia"/>
        </w:rPr>
        <w:t>（一）限制性股票激励计划授予情况</w:t>
      </w:r>
    </w:p>
    <w:p>
      <w:pPr>
        <w:ind w:firstLine="420"/>
        <w:rPr>
          <w:rFonts w:asciiTheme="minorEastAsia" w:hAnsiTheme="minorEastAsia" w:eastAsiaTheme="minorEastAsia"/>
        </w:rPr>
      </w:pPr>
      <w:r>
        <w:rPr>
          <w:rFonts w:hint="eastAsia" w:asciiTheme="minorEastAsia" w:hAnsiTheme="minorEastAsia" w:eastAsiaTheme="minorEastAsia"/>
        </w:rPr>
        <w:t>1.限制性股票激励计划的目的</w:t>
      </w:r>
    </w:p>
    <w:p>
      <w:pPr>
        <w:ind w:firstLine="420"/>
        <w:rPr>
          <w:rFonts w:asciiTheme="minorEastAsia" w:hAnsiTheme="minorEastAsia" w:eastAsiaTheme="minorEastAsia"/>
        </w:rPr>
      </w:pPr>
      <w:r>
        <w:rPr>
          <w:rFonts w:hint="eastAsia" w:asciiTheme="minorEastAsia" w:hAnsiTheme="minorEastAsia" w:eastAsiaTheme="minorEastAsia"/>
        </w:rPr>
        <w:t>为进一步健全中长期激励机制，充分调动公司管理团队及骨干员工积极性，将股东利益、公司利益和核心团队个人利益紧密结合，提升公司的市场竞争能力与可持续发展能力。</w:t>
      </w:r>
    </w:p>
    <w:p>
      <w:pPr>
        <w:ind w:firstLine="420"/>
        <w:rPr>
          <w:rFonts w:asciiTheme="minorEastAsia" w:hAnsiTheme="minorEastAsia" w:eastAsiaTheme="minorEastAsia"/>
        </w:rPr>
      </w:pPr>
      <w:r>
        <w:rPr>
          <w:rFonts w:hint="eastAsia" w:asciiTheme="minorEastAsia" w:hAnsiTheme="minorEastAsia" w:eastAsiaTheme="minorEastAsia"/>
        </w:rPr>
        <w:t>2.激励对象的范围</w:t>
      </w:r>
    </w:p>
    <w:p>
      <w:pPr>
        <w:ind w:firstLine="420"/>
        <w:rPr>
          <w:rFonts w:asciiTheme="minorEastAsia" w:hAnsiTheme="minorEastAsia" w:eastAsiaTheme="minorEastAsia"/>
        </w:rPr>
      </w:pPr>
      <w:r>
        <w:rPr>
          <w:rFonts w:hint="eastAsia" w:asciiTheme="minorEastAsia" w:hAnsiTheme="minorEastAsia" w:eastAsiaTheme="minorEastAsia"/>
        </w:rPr>
        <w:t>限制性股票激励计划的激励对象为当时担任公司董事、高级管理人员、中层管理人员、核心骨干人员等，不包括外部董事（含独立董事）、监事及单独或合计持有公司5%以上股份的股东或实际控制人及其配偶、父母、子女。</w:t>
      </w:r>
    </w:p>
    <w:p>
      <w:pPr>
        <w:ind w:firstLine="420"/>
        <w:rPr>
          <w:rFonts w:asciiTheme="minorEastAsia" w:hAnsiTheme="minorEastAsia" w:eastAsiaTheme="minorEastAsia"/>
        </w:rPr>
      </w:pPr>
      <w:r>
        <w:rPr>
          <w:rFonts w:hint="eastAsia" w:asciiTheme="minorEastAsia" w:hAnsiTheme="minorEastAsia" w:eastAsiaTheme="minorEastAsia"/>
        </w:rPr>
        <w:t>3.标的股票数量</w:t>
      </w:r>
    </w:p>
    <w:p>
      <w:pPr>
        <w:ind w:firstLine="420"/>
        <w:rPr>
          <w:rFonts w:asciiTheme="minorEastAsia" w:hAnsiTheme="minorEastAsia" w:eastAsiaTheme="minorEastAsia"/>
        </w:rPr>
      </w:pPr>
      <w:bookmarkStart w:id="110" w:name="_Hlk160804499"/>
      <w:r>
        <w:rPr>
          <w:rFonts w:hint="eastAsia" w:asciiTheme="minorEastAsia" w:hAnsiTheme="minorEastAsia" w:eastAsiaTheme="minorEastAsia"/>
        </w:rPr>
        <w:t>经2022年1月27日召开的公司2022年度第一次临时股东大会、第一次A股/</w:t>
      </w:r>
      <w:r>
        <w:rPr>
          <w:rFonts w:asciiTheme="minorEastAsia" w:hAnsiTheme="minorEastAsia" w:eastAsiaTheme="minorEastAsia"/>
        </w:rPr>
        <w:t>H</w:t>
      </w:r>
      <w:r>
        <w:rPr>
          <w:rFonts w:hint="eastAsia" w:asciiTheme="minorEastAsia" w:hAnsiTheme="minorEastAsia" w:eastAsiaTheme="minorEastAsia"/>
        </w:rPr>
        <w:t>股类别股东大会及第八届董事会第二十次会议批准，向激励对象1,2</w:t>
      </w:r>
      <w:r>
        <w:rPr>
          <w:rFonts w:asciiTheme="minorEastAsia" w:hAnsiTheme="minorEastAsia" w:eastAsiaTheme="minorEastAsia"/>
        </w:rPr>
        <w:t>45</w:t>
      </w:r>
      <w:r>
        <w:rPr>
          <w:rFonts w:hint="eastAsia" w:asciiTheme="minorEastAsia" w:hAnsiTheme="minorEastAsia" w:eastAsiaTheme="minorEastAsia"/>
        </w:rPr>
        <w:t>人授予</w:t>
      </w:r>
      <w:r>
        <w:rPr>
          <w:rFonts w:asciiTheme="minorEastAsia" w:hAnsiTheme="minorEastAsia" w:eastAsiaTheme="minorEastAsia"/>
        </w:rPr>
        <w:t>6</w:t>
      </w:r>
      <w:r>
        <w:rPr>
          <w:rFonts w:hint="eastAsia" w:asciiTheme="minorEastAsia" w:hAnsiTheme="minorEastAsia" w:eastAsiaTheme="minorEastAsia"/>
        </w:rPr>
        <w:t>,</w:t>
      </w:r>
      <w:r>
        <w:rPr>
          <w:rFonts w:asciiTheme="minorEastAsia" w:hAnsiTheme="minorEastAsia" w:eastAsiaTheme="minorEastAsia"/>
        </w:rPr>
        <w:t>174</w:t>
      </w:r>
      <w:r>
        <w:rPr>
          <w:rFonts w:hint="eastAsia" w:asciiTheme="minorEastAsia" w:hAnsiTheme="minorEastAsia" w:eastAsiaTheme="minorEastAsia"/>
        </w:rPr>
        <w:t>万股限制性股票（占本报告披露日公司已发行总股本的约0.83%），所有限制性股票已于2022年1月27日（“授予日”）授予完毕。涉及的标的股票种类为人民币普通股（A股）股票。</w:t>
      </w:r>
      <w:bookmarkEnd w:id="110"/>
    </w:p>
    <w:p>
      <w:pPr>
        <w:ind w:firstLine="420"/>
        <w:rPr>
          <w:rFonts w:asciiTheme="minorEastAsia" w:hAnsiTheme="minorEastAsia" w:eastAsiaTheme="minorEastAsia"/>
        </w:rPr>
      </w:pPr>
      <w:r>
        <w:rPr>
          <w:rFonts w:hint="eastAsia" w:asciiTheme="minorEastAsia" w:hAnsiTheme="minorEastAsia" w:eastAsiaTheme="minorEastAsia"/>
        </w:rPr>
        <w:t>4.每名参与人可获授权益上限</w:t>
      </w:r>
    </w:p>
    <w:p>
      <w:pPr>
        <w:ind w:firstLine="420"/>
        <w:rPr>
          <w:rFonts w:asciiTheme="minorEastAsia" w:hAnsiTheme="minorEastAsia" w:eastAsiaTheme="minorEastAsia"/>
        </w:rPr>
      </w:pPr>
      <w:r>
        <w:rPr>
          <w:rFonts w:hint="eastAsia" w:asciiTheme="minorEastAsia" w:hAnsiTheme="minorEastAsia" w:eastAsiaTheme="minorEastAsia"/>
        </w:rPr>
        <w:t>任何一名激励对象通过全部在有效期内的股权激励计划获授的公司股票数量，累计未超过限制性股票激励计划草案公告日公司股本总额的1%。</w:t>
      </w:r>
    </w:p>
    <w:p>
      <w:pPr>
        <w:ind w:firstLine="420"/>
        <w:rPr>
          <w:rFonts w:asciiTheme="minorEastAsia" w:hAnsiTheme="minorEastAsia" w:eastAsiaTheme="minorEastAsia"/>
        </w:rPr>
      </w:pPr>
      <w:r>
        <w:rPr>
          <w:rFonts w:hint="eastAsia" w:asciiTheme="minorEastAsia" w:hAnsiTheme="minorEastAsia" w:eastAsiaTheme="minorEastAsia"/>
        </w:rPr>
        <w:t>5.授予日</w:t>
      </w:r>
    </w:p>
    <w:p>
      <w:pPr>
        <w:ind w:firstLine="420"/>
        <w:rPr>
          <w:rFonts w:asciiTheme="minorEastAsia" w:hAnsiTheme="minorEastAsia" w:eastAsiaTheme="minorEastAsia"/>
        </w:rPr>
      </w:pPr>
      <w:r>
        <w:rPr>
          <w:rFonts w:hint="eastAsia" w:asciiTheme="minorEastAsia" w:hAnsiTheme="minorEastAsia" w:eastAsiaTheme="minorEastAsia"/>
        </w:rPr>
        <w:t>经2022年1月27日召开的公司第八届董事会第二十次会议审议批准，授予日为2022年1月27日。</w:t>
      </w:r>
    </w:p>
    <w:p>
      <w:pPr>
        <w:ind w:firstLine="420"/>
        <w:rPr>
          <w:rFonts w:asciiTheme="minorEastAsia" w:hAnsiTheme="minorEastAsia" w:eastAsiaTheme="minorEastAsia"/>
        </w:rPr>
      </w:pPr>
      <w:r>
        <w:rPr>
          <w:rFonts w:hint="eastAsia" w:asciiTheme="minorEastAsia" w:hAnsiTheme="minorEastAsia" w:eastAsiaTheme="minorEastAsia"/>
        </w:rPr>
        <w:t>6.限售期</w:t>
      </w:r>
    </w:p>
    <w:p>
      <w:pPr>
        <w:ind w:firstLine="420"/>
        <w:rPr>
          <w:rFonts w:asciiTheme="minorEastAsia" w:hAnsiTheme="minorEastAsia" w:eastAsiaTheme="minorEastAsia"/>
        </w:rPr>
      </w:pPr>
      <w:r>
        <w:rPr>
          <w:rFonts w:hint="eastAsia" w:asciiTheme="minorEastAsia" w:hAnsiTheme="minorEastAsia" w:eastAsiaTheme="minorEastAsia"/>
        </w:rPr>
        <w:t>限制性股票激励计划限售期分别为自限制性股票授予登记完成之日起24个月、36个月、48个月。</w:t>
      </w:r>
    </w:p>
    <w:p>
      <w:pPr>
        <w:ind w:firstLine="420"/>
        <w:rPr>
          <w:rFonts w:asciiTheme="minorEastAsia" w:hAnsiTheme="minorEastAsia" w:eastAsiaTheme="minorEastAsia"/>
        </w:rPr>
      </w:pPr>
      <w:r>
        <w:rPr>
          <w:rFonts w:hint="eastAsia" w:asciiTheme="minorEastAsia" w:hAnsiTheme="minorEastAsia" w:eastAsiaTheme="minorEastAsia"/>
        </w:rPr>
        <w:t>7.解除限售安排</w:t>
      </w:r>
    </w:p>
    <w:p>
      <w:pPr>
        <w:ind w:firstLine="420"/>
        <w:rPr>
          <w:rFonts w:asciiTheme="minorEastAsia" w:hAnsiTheme="minorEastAsia" w:eastAsiaTheme="minorEastAsia"/>
        </w:rPr>
      </w:pPr>
      <w:r>
        <w:rPr>
          <w:rFonts w:hint="eastAsia" w:asciiTheme="minorEastAsia" w:hAnsiTheme="minorEastAsia" w:eastAsiaTheme="minorEastAsia"/>
        </w:rPr>
        <w:t>限制性股票激励计划授予限制性股票的解除限售期及各期解除限售时间安排如下表所示：</w:t>
      </w:r>
    </w:p>
    <w:tbl>
      <w:tblPr>
        <w:tblStyle w:val="203"/>
        <w:tblW w:w="858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77"/>
        <w:gridCol w:w="5091"/>
        <w:gridCol w:w="19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1577" w:type="dxa"/>
            <w:tcBorders>
              <w:top w:val="single" w:color="auto" w:sz="12" w:space="0"/>
              <w:left w:val="single" w:color="auto" w:sz="12" w:space="0"/>
              <w:bottom w:val="single" w:color="auto" w:sz="8" w:space="0"/>
              <w:right w:val="single" w:color="auto" w:sz="8" w:space="0"/>
            </w:tcBorders>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解除限售安排</w:t>
            </w:r>
          </w:p>
        </w:tc>
        <w:tc>
          <w:tcPr>
            <w:tcW w:w="5091" w:type="dxa"/>
            <w:tcBorders>
              <w:top w:val="single" w:color="auto" w:sz="12" w:space="0"/>
              <w:left w:val="single" w:color="auto" w:sz="8" w:space="0"/>
              <w:bottom w:val="single" w:color="auto" w:sz="8" w:space="0"/>
              <w:right w:val="single" w:color="auto" w:sz="8" w:space="0"/>
            </w:tcBorders>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解除限售时间</w:t>
            </w:r>
          </w:p>
        </w:tc>
        <w:tc>
          <w:tcPr>
            <w:tcW w:w="1915" w:type="dxa"/>
            <w:tcBorders>
              <w:top w:val="single" w:color="auto" w:sz="12" w:space="0"/>
              <w:left w:val="single" w:color="auto" w:sz="8" w:space="0"/>
              <w:bottom w:val="single" w:color="auto" w:sz="8" w:space="0"/>
              <w:right w:val="single" w:color="auto" w:sz="12" w:space="0"/>
            </w:tcBorders>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解除限售比例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6" w:hRule="atLeast"/>
          <w:jc w:val="center"/>
        </w:trPr>
        <w:tc>
          <w:tcPr>
            <w:tcW w:w="1577" w:type="dxa"/>
            <w:tcBorders>
              <w:top w:val="single" w:color="auto" w:sz="8" w:space="0"/>
              <w:left w:val="single" w:color="auto" w:sz="12" w:space="0"/>
              <w:bottom w:val="single" w:color="auto" w:sz="8" w:space="0"/>
              <w:right w:val="single" w:color="auto" w:sz="8"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第一个解除限售期</w:t>
            </w:r>
          </w:p>
        </w:tc>
        <w:tc>
          <w:tcPr>
            <w:tcW w:w="5091" w:type="dxa"/>
            <w:tcBorders>
              <w:top w:val="single" w:color="auto" w:sz="8" w:space="0"/>
              <w:left w:val="single" w:color="auto" w:sz="8" w:space="0"/>
              <w:bottom w:val="single" w:color="auto" w:sz="8" w:space="0"/>
              <w:right w:val="single" w:color="auto" w:sz="8" w:space="0"/>
            </w:tcBorders>
            <w:vAlign w:val="center"/>
          </w:tcPr>
          <w:p>
            <w:pPr>
              <w:rPr>
                <w:rFonts w:asciiTheme="minorEastAsia" w:hAnsiTheme="minorEastAsia" w:eastAsiaTheme="minorEastAsia"/>
                <w:sz w:val="20"/>
                <w:szCs w:val="20"/>
              </w:rPr>
            </w:pPr>
            <w:r>
              <w:rPr>
                <w:rFonts w:hint="eastAsia" w:asciiTheme="minorEastAsia" w:hAnsiTheme="minorEastAsia" w:eastAsiaTheme="minorEastAsia"/>
                <w:sz w:val="20"/>
                <w:szCs w:val="20"/>
              </w:rPr>
              <w:t>自限制性股票完成登记日起24个月后的首个交易日起至限制性股票完成登记日起36个月内的最后一个交易日当日止</w:t>
            </w:r>
          </w:p>
        </w:tc>
        <w:tc>
          <w:tcPr>
            <w:tcW w:w="1915" w:type="dxa"/>
            <w:tcBorders>
              <w:top w:val="single" w:color="auto" w:sz="8" w:space="0"/>
              <w:left w:val="single" w:color="auto" w:sz="8" w:space="0"/>
              <w:bottom w:val="single" w:color="auto" w:sz="8" w:space="0"/>
              <w:right w:val="single" w:color="auto" w:sz="12"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4" w:hRule="atLeast"/>
          <w:jc w:val="center"/>
        </w:trPr>
        <w:tc>
          <w:tcPr>
            <w:tcW w:w="1577" w:type="dxa"/>
            <w:tcBorders>
              <w:top w:val="single" w:color="auto" w:sz="8" w:space="0"/>
              <w:left w:val="single" w:color="auto" w:sz="12" w:space="0"/>
              <w:bottom w:val="single" w:color="auto" w:sz="8" w:space="0"/>
              <w:right w:val="single" w:color="auto" w:sz="8"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第二个解除限售期</w:t>
            </w:r>
          </w:p>
        </w:tc>
        <w:tc>
          <w:tcPr>
            <w:tcW w:w="5091" w:type="dxa"/>
            <w:tcBorders>
              <w:top w:val="single" w:color="auto" w:sz="8" w:space="0"/>
              <w:left w:val="single" w:color="auto" w:sz="8" w:space="0"/>
              <w:bottom w:val="single" w:color="auto" w:sz="8" w:space="0"/>
              <w:right w:val="single" w:color="auto" w:sz="8" w:space="0"/>
            </w:tcBorders>
            <w:vAlign w:val="center"/>
          </w:tcPr>
          <w:p>
            <w:pPr>
              <w:rPr>
                <w:rFonts w:asciiTheme="minorEastAsia" w:hAnsiTheme="minorEastAsia" w:eastAsiaTheme="minorEastAsia"/>
                <w:sz w:val="20"/>
                <w:szCs w:val="20"/>
              </w:rPr>
            </w:pPr>
            <w:r>
              <w:rPr>
                <w:rFonts w:hint="eastAsia" w:asciiTheme="minorEastAsia" w:hAnsiTheme="minorEastAsia" w:eastAsiaTheme="minorEastAsia"/>
                <w:sz w:val="20"/>
                <w:szCs w:val="20"/>
              </w:rPr>
              <w:t>自限制性股票完成登记日起36个月后的首个交易日起至限制性股票完成登记日起48个月内的最后一个交易日当日止</w:t>
            </w:r>
          </w:p>
        </w:tc>
        <w:tc>
          <w:tcPr>
            <w:tcW w:w="1915" w:type="dxa"/>
            <w:tcBorders>
              <w:top w:val="single" w:color="auto" w:sz="8" w:space="0"/>
              <w:left w:val="single" w:color="auto" w:sz="8" w:space="0"/>
              <w:bottom w:val="single" w:color="auto" w:sz="8" w:space="0"/>
              <w:right w:val="single" w:color="auto" w:sz="12"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44" w:hRule="atLeast"/>
          <w:jc w:val="center"/>
        </w:trPr>
        <w:tc>
          <w:tcPr>
            <w:tcW w:w="1577" w:type="dxa"/>
            <w:tcBorders>
              <w:top w:val="single" w:color="auto" w:sz="8" w:space="0"/>
              <w:left w:val="single" w:color="auto" w:sz="12" w:space="0"/>
              <w:bottom w:val="single" w:color="auto" w:sz="12" w:space="0"/>
              <w:right w:val="single" w:color="auto" w:sz="8"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第三个解除限售期</w:t>
            </w:r>
          </w:p>
        </w:tc>
        <w:tc>
          <w:tcPr>
            <w:tcW w:w="5091" w:type="dxa"/>
            <w:tcBorders>
              <w:top w:val="single" w:color="auto" w:sz="8" w:space="0"/>
              <w:left w:val="single" w:color="auto" w:sz="8" w:space="0"/>
              <w:bottom w:val="single" w:color="auto" w:sz="12" w:space="0"/>
              <w:right w:val="single" w:color="auto" w:sz="8" w:space="0"/>
            </w:tcBorders>
            <w:vAlign w:val="center"/>
          </w:tcPr>
          <w:p>
            <w:pPr>
              <w:rPr>
                <w:rFonts w:asciiTheme="minorEastAsia" w:hAnsiTheme="minorEastAsia" w:eastAsiaTheme="minorEastAsia"/>
                <w:sz w:val="20"/>
                <w:szCs w:val="20"/>
              </w:rPr>
            </w:pPr>
            <w:r>
              <w:rPr>
                <w:rFonts w:hint="eastAsia" w:asciiTheme="minorEastAsia" w:hAnsiTheme="minorEastAsia" w:eastAsiaTheme="minorEastAsia"/>
                <w:sz w:val="20"/>
                <w:szCs w:val="20"/>
              </w:rPr>
              <w:t>自限制性股票完成登记日起48个月后的首个交易日起至限制性股票完成登记日起60个月内的最后一个交易日当日止</w:t>
            </w:r>
          </w:p>
        </w:tc>
        <w:tc>
          <w:tcPr>
            <w:tcW w:w="1915" w:type="dxa"/>
            <w:tcBorders>
              <w:top w:val="single" w:color="auto" w:sz="8" w:space="0"/>
              <w:left w:val="single" w:color="auto" w:sz="8" w:space="0"/>
              <w:bottom w:val="single" w:color="auto" w:sz="12" w:space="0"/>
              <w:right w:val="single" w:color="auto" w:sz="12"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34%</w:t>
            </w:r>
          </w:p>
        </w:tc>
      </w:tr>
    </w:tbl>
    <w:p>
      <w:pPr>
        <w:pStyle w:val="254"/>
        <w:rPr>
          <w:rFonts w:asciiTheme="minorEastAsia" w:hAnsiTheme="minorEastAsia" w:eastAsiaTheme="minorEastAsia"/>
        </w:rPr>
      </w:pPr>
      <w:r>
        <w:rPr>
          <w:rFonts w:hint="eastAsia" w:asciiTheme="minorEastAsia" w:hAnsiTheme="minorEastAsia" w:eastAsiaTheme="minorEastAsia"/>
        </w:rPr>
        <w:t xml:space="preserve"> </w:t>
      </w:r>
    </w:p>
    <w:p>
      <w:pPr>
        <w:ind w:firstLine="420"/>
        <w:rPr>
          <w:rFonts w:asciiTheme="minorEastAsia" w:hAnsiTheme="minorEastAsia" w:eastAsiaTheme="minorEastAsia"/>
        </w:rPr>
      </w:pPr>
      <w:r>
        <w:rPr>
          <w:rFonts w:hint="eastAsia" w:asciiTheme="minorEastAsia" w:hAnsiTheme="minorEastAsia" w:eastAsiaTheme="minorEastAsia"/>
        </w:rPr>
        <w:t>8.授予价格</w:t>
      </w:r>
    </w:p>
    <w:p>
      <w:pPr>
        <w:ind w:firstLine="420"/>
        <w:rPr>
          <w:rFonts w:asciiTheme="minorEastAsia" w:hAnsiTheme="minorEastAsia" w:eastAsiaTheme="minorEastAsia"/>
        </w:rPr>
      </w:pPr>
      <w:r>
        <w:rPr>
          <w:rFonts w:hint="eastAsia" w:asciiTheme="minorEastAsia" w:hAnsiTheme="minorEastAsia" w:eastAsiaTheme="minorEastAsia"/>
        </w:rPr>
        <w:t>限制性股票激励计划的授予价格为11.72元/股，即满足授予条件后，激励对象可以每股11.72元的价格购买公司向激励对象增发的公司限制性股票。</w:t>
      </w:r>
    </w:p>
    <w:p>
      <w:pPr>
        <w:ind w:firstLine="420"/>
        <w:rPr>
          <w:rFonts w:asciiTheme="minorEastAsia" w:hAnsiTheme="minorEastAsia" w:eastAsiaTheme="minorEastAsia"/>
        </w:rPr>
      </w:pPr>
      <w:r>
        <w:rPr>
          <w:rFonts w:hint="eastAsia" w:asciiTheme="minorEastAsia" w:hAnsiTheme="minorEastAsia" w:eastAsiaTheme="minorEastAsia"/>
        </w:rPr>
        <w:t>9.授予价格的确定方法</w:t>
      </w:r>
    </w:p>
    <w:p>
      <w:pPr>
        <w:ind w:firstLine="420"/>
        <w:rPr>
          <w:rFonts w:asciiTheme="minorEastAsia" w:hAnsiTheme="minorEastAsia" w:eastAsiaTheme="minorEastAsia"/>
        </w:rPr>
      </w:pPr>
      <w:r>
        <w:rPr>
          <w:rFonts w:hint="eastAsia" w:asciiTheme="minorEastAsia" w:hAnsiTheme="minorEastAsia" w:eastAsiaTheme="minorEastAsia"/>
        </w:rPr>
        <w:t>授予价格不低于股票票面金额，且不低于公平市场价格的50%，公平市场价格按以下价格的较高者确定：</w:t>
      </w:r>
    </w:p>
    <w:p>
      <w:pPr>
        <w:ind w:firstLine="420"/>
        <w:rPr>
          <w:rFonts w:asciiTheme="minorEastAsia" w:hAnsiTheme="minorEastAsia" w:eastAsiaTheme="minorEastAsia"/>
        </w:rPr>
      </w:pPr>
      <w:r>
        <w:rPr>
          <w:rFonts w:hint="eastAsia" w:asciiTheme="minorEastAsia" w:hAnsiTheme="minorEastAsia" w:eastAsiaTheme="minorEastAsia"/>
        </w:rPr>
        <w:t>标准一、限制性股票激励计划草案公布前1个交易日的公司标的股票交易均价；</w:t>
      </w:r>
    </w:p>
    <w:p>
      <w:pPr>
        <w:ind w:firstLine="420"/>
        <w:rPr>
          <w:rFonts w:asciiTheme="minorEastAsia" w:hAnsiTheme="minorEastAsia" w:eastAsiaTheme="minorEastAsia"/>
        </w:rPr>
      </w:pPr>
      <w:r>
        <w:rPr>
          <w:rFonts w:hint="eastAsia" w:asciiTheme="minorEastAsia" w:hAnsiTheme="minorEastAsia" w:eastAsiaTheme="minorEastAsia"/>
        </w:rPr>
        <w:t>标准二、限制性股票激励计划草案公布前20个交易日、60个交易日或者120个交易日的公司标的股票交易均价之一。</w:t>
      </w:r>
    </w:p>
    <w:p>
      <w:pPr>
        <w:ind w:firstLine="420"/>
        <w:rPr>
          <w:rFonts w:asciiTheme="minorEastAsia" w:hAnsiTheme="minorEastAsia" w:eastAsiaTheme="minorEastAsia"/>
        </w:rPr>
      </w:pPr>
      <w:r>
        <w:rPr>
          <w:rFonts w:hint="eastAsia" w:asciiTheme="minorEastAsia" w:hAnsiTheme="minorEastAsia" w:eastAsiaTheme="minorEastAsia"/>
        </w:rPr>
        <w:t>详情请见下表：</w:t>
      </w:r>
    </w:p>
    <w:p>
      <w:pPr>
        <w:ind w:firstLine="6720" w:firstLineChars="3200"/>
        <w:rPr>
          <w:rFonts w:asciiTheme="minorEastAsia" w:hAnsiTheme="minorEastAsia" w:eastAsiaTheme="minorEastAsia"/>
        </w:rPr>
      </w:pPr>
      <w:r>
        <w:rPr>
          <w:rFonts w:hint="eastAsia" w:asciiTheme="minorEastAsia" w:hAnsiTheme="minorEastAsia" w:eastAsiaTheme="minorEastAsia"/>
        </w:rPr>
        <w:t>单位：元/股</w:t>
      </w:r>
    </w:p>
    <w:tbl>
      <w:tblPr>
        <w:tblStyle w:val="20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557"/>
        <w:gridCol w:w="1510"/>
        <w:gridCol w:w="1559"/>
        <w:gridCol w:w="1559"/>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Merge w:val="restart"/>
            <w:tcBorders>
              <w:top w:val="single" w:color="auto" w:sz="4" w:space="0"/>
              <w:left w:val="single" w:color="auto" w:sz="4" w:space="0"/>
              <w:bottom w:val="single" w:color="auto" w:sz="4" w:space="0"/>
              <w:right w:val="single" w:color="auto" w:sz="4" w:space="0"/>
            </w:tcBorders>
          </w:tcPr>
          <w:p>
            <w:pPr>
              <w:spacing w:line="560" w:lineRule="exact"/>
              <w:rPr>
                <w:rFonts w:asciiTheme="minorEastAsia" w:hAnsiTheme="minorEastAsia" w:eastAsiaTheme="minorEastAsia"/>
                <w:sz w:val="20"/>
                <w:szCs w:val="20"/>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标准一</w:t>
            </w:r>
          </w:p>
        </w:tc>
        <w:tc>
          <w:tcPr>
            <w:tcW w:w="4628"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标准二</w:t>
            </w:r>
          </w:p>
        </w:tc>
        <w:tc>
          <w:tcPr>
            <w:tcW w:w="1317"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最低授予价格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0"/>
                <w:szCs w:val="21"/>
              </w:rPr>
            </w:pPr>
          </w:p>
        </w:tc>
        <w:tc>
          <w:tcPr>
            <w:tcW w:w="155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前1个交易日的公司股票交易均价</w:t>
            </w:r>
          </w:p>
        </w:tc>
        <w:tc>
          <w:tcPr>
            <w:tcW w:w="151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前20个交易日的公司股票交易均价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前60个交易日的公司股票交易均价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前120个交易日的公司股票交易均价</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A股</w:t>
            </w:r>
          </w:p>
        </w:tc>
        <w:tc>
          <w:tcPr>
            <w:tcW w:w="155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23.44</w:t>
            </w:r>
          </w:p>
        </w:tc>
        <w:tc>
          <w:tcPr>
            <w:tcW w:w="151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23.29</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27.03</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22.55</w:t>
            </w:r>
          </w:p>
        </w:tc>
        <w:tc>
          <w:tcPr>
            <w:tcW w:w="13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11.72</w:t>
            </w:r>
          </w:p>
        </w:tc>
      </w:tr>
    </w:tbl>
    <w:p>
      <w:pPr>
        <w:ind w:firstLine="420"/>
        <w:rPr>
          <w:rFonts w:asciiTheme="minorEastAsia" w:hAnsiTheme="minorEastAsia" w:eastAsiaTheme="minorEastAsia"/>
        </w:rPr>
      </w:pPr>
      <w:r>
        <w:rPr>
          <w:rFonts w:hint="eastAsia" w:asciiTheme="minorEastAsia" w:hAnsiTheme="minorEastAsia" w:eastAsiaTheme="minorEastAsia"/>
        </w:rPr>
        <w:t>10.回购原则</w:t>
      </w:r>
    </w:p>
    <w:p>
      <w:pPr>
        <w:ind w:firstLine="420"/>
        <w:rPr>
          <w:rFonts w:asciiTheme="minorEastAsia" w:hAnsiTheme="minorEastAsia" w:eastAsiaTheme="minorEastAsia"/>
        </w:rPr>
      </w:pPr>
      <w:r>
        <w:rPr>
          <w:rFonts w:hint="eastAsia" w:asciiTheme="minorEastAsia" w:hAnsiTheme="minorEastAsia" w:eastAsiaTheme="minorEastAsia"/>
        </w:rPr>
        <w:t>激励对象获授的限制性股票完成股份登记后，公司有资本公积转增股本、派送股票红利、股份拆细、配股、缩股等影响公司股本总额或公司股票价格事项的，公司应对尚未解除限售的限制性股票的回购数量、价格做相应的调整。具体调整方法请见2022年1月27日公告的《兖矿能源2021年A股限制性股票激励计划》。</w:t>
      </w:r>
    </w:p>
    <w:p>
      <w:pPr>
        <w:ind w:firstLine="420"/>
        <w:rPr>
          <w:rFonts w:asciiTheme="minorEastAsia" w:hAnsiTheme="minorEastAsia" w:eastAsiaTheme="minorEastAsia"/>
        </w:rPr>
      </w:pPr>
      <w:r>
        <w:rPr>
          <w:rFonts w:hint="eastAsia" w:asciiTheme="minorEastAsia" w:hAnsiTheme="minorEastAsia" w:eastAsiaTheme="minorEastAsia"/>
        </w:rPr>
        <w:t>激励对象因调动、免职、退休、死亡、丧失民事行为能力等客观原因与公司解除或者终止劳动关系时，尚未解除限售的限制性股票，由公司按授予价格（调整后的，下同）加上同期银行存款利息回购注销。</w:t>
      </w:r>
    </w:p>
    <w:p>
      <w:pPr>
        <w:ind w:firstLine="420"/>
        <w:rPr>
          <w:rFonts w:asciiTheme="minorEastAsia" w:hAnsiTheme="minorEastAsia" w:eastAsiaTheme="minorEastAsia"/>
        </w:rPr>
      </w:pPr>
      <w:r>
        <w:rPr>
          <w:rFonts w:hint="eastAsia" w:asciiTheme="minorEastAsia" w:hAnsiTheme="minorEastAsia" w:eastAsiaTheme="minorEastAsia"/>
        </w:rPr>
        <w:t>激励对象辞职、因个人原因被解除劳动关系的，已获授但尚未解除限售的限制性股票由公司回购注销，回购价格为授予价格与回购时公司股票市场价格的孰低值（市场价格为董事会审议回购事项前1交易日公司标的股票交易均价，下同）。</w:t>
      </w:r>
    </w:p>
    <w:p>
      <w:pPr>
        <w:ind w:firstLine="420"/>
        <w:rPr>
          <w:rFonts w:asciiTheme="minorEastAsia" w:hAnsiTheme="minorEastAsia" w:eastAsiaTheme="minorEastAsia"/>
        </w:rPr>
      </w:pPr>
      <w:r>
        <w:rPr>
          <w:rFonts w:hint="eastAsia" w:asciiTheme="minorEastAsia" w:hAnsiTheme="minorEastAsia" w:eastAsiaTheme="minorEastAsia"/>
        </w:rPr>
        <w:t>若限制性股票某个解除限售期的公司业绩考核目标未达成，则所有激励对象当期限制性股票不可解除限售，由公司回购注销；因个人层面绩效考核结果导致当期不可解除限售的限制性股票，由公司回购注销。回购价格不得高于授予价格与市场价格的较低者。</w:t>
      </w:r>
    </w:p>
    <w:p>
      <w:pPr>
        <w:ind w:firstLine="420"/>
        <w:rPr>
          <w:rFonts w:asciiTheme="minorEastAsia" w:hAnsiTheme="minorEastAsia" w:eastAsiaTheme="minorEastAsia"/>
        </w:rPr>
      </w:pPr>
      <w:r>
        <w:rPr>
          <w:rFonts w:hint="eastAsia" w:asciiTheme="minorEastAsia" w:hAnsiTheme="minorEastAsia" w:eastAsiaTheme="minorEastAsia"/>
        </w:rPr>
        <w:t>11.有效期</w:t>
      </w:r>
    </w:p>
    <w:p>
      <w:pPr>
        <w:ind w:firstLine="420"/>
        <w:rPr>
          <w:rFonts w:asciiTheme="minorEastAsia" w:hAnsiTheme="minorEastAsia" w:eastAsiaTheme="minorEastAsia"/>
        </w:rPr>
      </w:pPr>
      <w:r>
        <w:rPr>
          <w:rFonts w:hint="eastAsia" w:asciiTheme="minorEastAsia" w:hAnsiTheme="minorEastAsia" w:eastAsiaTheme="minorEastAsia"/>
        </w:rPr>
        <w:t>限制性股票激励计划经2022年1月27日召开的公司2022年度第一次临时股东大会、2022年度第一次A股</w:t>
      </w:r>
      <w:bookmarkStart w:id="111" w:name="_Hlk160804689"/>
      <w:r>
        <w:rPr>
          <w:rFonts w:hint="eastAsia" w:asciiTheme="minorEastAsia" w:hAnsiTheme="minorEastAsia" w:eastAsiaTheme="minorEastAsia"/>
        </w:rPr>
        <w:t>/H股</w:t>
      </w:r>
      <w:bookmarkEnd w:id="111"/>
      <w:r>
        <w:rPr>
          <w:rFonts w:hint="eastAsia" w:asciiTheme="minorEastAsia" w:hAnsiTheme="minorEastAsia" w:eastAsiaTheme="minorEastAsia"/>
        </w:rPr>
        <w:t>类别股东大会批准生效。有效期自限制性股票授予登记完成之日起至激励对象获授的限制性股票全部解除限售或回购注销完成之日止，最长不超过60个月。</w:t>
      </w:r>
    </w:p>
    <w:p>
      <w:pPr>
        <w:ind w:firstLine="420"/>
        <w:rPr>
          <w:rFonts w:asciiTheme="minorEastAsia" w:hAnsiTheme="minorEastAsia" w:eastAsiaTheme="minorEastAsia"/>
        </w:rPr>
      </w:pPr>
      <w:r>
        <w:rPr>
          <w:rFonts w:hint="eastAsia" w:asciiTheme="minorEastAsia" w:hAnsiTheme="minorEastAsia" w:eastAsiaTheme="minorEastAsia"/>
        </w:rPr>
        <w:t>12.授予完成情况</w:t>
      </w:r>
    </w:p>
    <w:p>
      <w:pPr>
        <w:ind w:firstLine="420"/>
        <w:rPr>
          <w:rFonts w:asciiTheme="minorEastAsia" w:hAnsiTheme="minorEastAsia" w:eastAsiaTheme="minorEastAsia"/>
        </w:rPr>
      </w:pPr>
      <w:r>
        <w:rPr>
          <w:rFonts w:hint="eastAsia" w:asciiTheme="minorEastAsia" w:hAnsiTheme="minorEastAsia" w:eastAsiaTheme="minorEastAsia"/>
        </w:rPr>
        <w:t>2022年2月24日，公司在中国结算上海分公司完成了限制性股票的授予登记工作。有关详情请见公司日期为2022年2月25日的关于2021年A股限制性股票激励计划授予结果的公告。</w:t>
      </w:r>
    </w:p>
    <w:p>
      <w:pPr>
        <w:ind w:firstLine="420"/>
        <w:rPr>
          <w:rFonts w:asciiTheme="minorEastAsia" w:hAnsiTheme="minorEastAsia" w:eastAsiaTheme="minorEastAsia"/>
        </w:rPr>
      </w:pPr>
    </w:p>
    <w:p>
      <w:pPr>
        <w:pStyle w:val="255"/>
        <w:ind w:firstLineChars="0"/>
        <w:rPr>
          <w:rFonts w:asciiTheme="minorEastAsia" w:hAnsiTheme="minorEastAsia" w:eastAsiaTheme="minorEastAsia"/>
        </w:rPr>
      </w:pPr>
      <w:r>
        <w:rPr>
          <w:rFonts w:hint="eastAsia" w:asciiTheme="minorEastAsia" w:hAnsiTheme="minorEastAsia" w:eastAsiaTheme="minorEastAsia"/>
        </w:rPr>
        <w:t>（二）历次调整情况</w:t>
      </w:r>
    </w:p>
    <w:p>
      <w:pPr>
        <w:ind w:firstLine="420" w:firstLineChars="200"/>
        <w:rPr>
          <w:rFonts w:asciiTheme="minorEastAsia" w:hAnsiTheme="minorEastAsia" w:eastAsiaTheme="minorEastAsia"/>
        </w:rPr>
      </w:pPr>
      <w:r>
        <w:rPr>
          <w:rFonts w:hint="eastAsia" w:asciiTheme="minorEastAsia" w:hAnsiTheme="minorEastAsia" w:eastAsiaTheme="minorEastAsia"/>
        </w:rPr>
        <w:t>经2023年8月25日召开的公司第九届董事会第二次会议审议批准，由于公司于限售期内进行两次利润分配，另外每股派送红股0.5股，因此公司董事会对限制性股票回购价格、数量进行调整，本次调整后，回购价格由11.72元/股调整为3.6133元/股，已获授但未解除限售的限制性股票数量由6,174万股调整为9,261万股；26名激励对象因调动、退休等原因，公司注销其已获授但未解除限售的限制性股票267万股。</w:t>
      </w:r>
    </w:p>
    <w:p>
      <w:pPr>
        <w:ind w:firstLine="420" w:firstLineChars="200"/>
        <w:rPr>
          <w:rFonts w:asciiTheme="minorEastAsia" w:hAnsiTheme="minorEastAsia" w:eastAsiaTheme="minorEastAsia"/>
        </w:rPr>
      </w:pPr>
      <w:bookmarkStart w:id="112" w:name="_Hlk160805442"/>
      <w:r>
        <w:rPr>
          <w:rFonts w:hint="eastAsia" w:asciiTheme="minorEastAsia" w:hAnsiTheme="minorEastAsia" w:eastAsiaTheme="minorEastAsia"/>
        </w:rPr>
        <w:t>经2</w:t>
      </w:r>
      <w:r>
        <w:rPr>
          <w:rFonts w:asciiTheme="minorEastAsia" w:hAnsiTheme="minorEastAsia" w:eastAsiaTheme="minorEastAsia"/>
        </w:rPr>
        <w:t>024</w:t>
      </w:r>
      <w:r>
        <w:rPr>
          <w:rFonts w:hint="eastAsia" w:asciiTheme="minorEastAsia" w:hAnsiTheme="minorEastAsia" w:eastAsiaTheme="minorEastAsia"/>
        </w:rPr>
        <w:t>年2月2</w:t>
      </w:r>
      <w:r>
        <w:rPr>
          <w:rFonts w:asciiTheme="minorEastAsia" w:hAnsiTheme="minorEastAsia" w:eastAsiaTheme="minorEastAsia"/>
        </w:rPr>
        <w:t>3</w:t>
      </w:r>
      <w:r>
        <w:rPr>
          <w:rFonts w:hint="eastAsia" w:asciiTheme="minorEastAsia" w:hAnsiTheme="minorEastAsia" w:eastAsiaTheme="minorEastAsia"/>
        </w:rPr>
        <w:t>日召开的公司第九届董事会第五次会议审议批准，鉴于激励计划16名激励对象因职务调动等原因已不符合激励条件，2名激励对象绩效考核结果为“不合格”，4名激励对象绩效考核结果为“达标”，应对上述22名激励对象已获授但尚未解除限售的限制性股票140.118万股进行回购注销</w:t>
      </w:r>
      <w:bookmarkEnd w:id="112"/>
      <w:r>
        <w:rPr>
          <w:rFonts w:hint="eastAsia" w:asciiTheme="minorEastAsia" w:hAnsiTheme="minorEastAsia" w:eastAsiaTheme="minorEastAsia"/>
        </w:rPr>
        <w:t>。</w:t>
      </w:r>
      <w:r>
        <w:rPr>
          <w:rFonts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rPr>
          <w:rFonts w:asciiTheme="minorEastAsia" w:hAnsiTheme="minorEastAsia" w:eastAsiaTheme="minorEastAsia"/>
        </w:rPr>
      </w:pPr>
      <w:r>
        <w:rPr>
          <w:rFonts w:hint="eastAsia" w:asciiTheme="minorEastAsia" w:hAnsiTheme="minorEastAsia" w:eastAsiaTheme="minorEastAsia"/>
        </w:rPr>
        <w:t>（三）所得款项使用情况</w:t>
      </w:r>
    </w:p>
    <w:p>
      <w:pPr>
        <w:ind w:firstLine="420"/>
        <w:rPr>
          <w:rFonts w:asciiTheme="minorEastAsia" w:hAnsiTheme="minorEastAsia" w:eastAsiaTheme="minorEastAsia"/>
        </w:rPr>
      </w:pPr>
      <w:r>
        <w:rPr>
          <w:rFonts w:hint="eastAsia" w:asciiTheme="minorEastAsia" w:hAnsiTheme="minorEastAsia" w:eastAsiaTheme="minorEastAsia"/>
        </w:rPr>
        <w:t>授予限制性股票所得款项合计人民币72,359.29万元,用于补充本公司营运资金。</w:t>
      </w:r>
    </w:p>
    <w:p>
      <w:pPr>
        <w:ind w:firstLine="420"/>
        <w:rPr>
          <w:rFonts w:asciiTheme="minorEastAsia" w:hAnsiTheme="minorEastAsia" w:eastAsiaTheme="minorEastAsia"/>
          <w:b/>
        </w:rPr>
      </w:pPr>
      <w:r>
        <w:rPr>
          <w:rFonts w:hint="eastAsia" w:asciiTheme="minorEastAsia" w:hAnsiTheme="minorEastAsia" w:eastAsiaTheme="minorEastAsia"/>
          <w:b/>
        </w:rPr>
        <w:t xml:space="preserve"> </w:t>
      </w:r>
    </w:p>
    <w:p>
      <w:pPr>
        <w:ind w:firstLine="420"/>
        <w:rPr>
          <w:rFonts w:asciiTheme="minorEastAsia" w:hAnsiTheme="minorEastAsia" w:eastAsiaTheme="minorEastAsia"/>
          <w:b/>
        </w:rPr>
      </w:pPr>
      <w:r>
        <w:rPr>
          <w:rFonts w:hint="eastAsia" w:asciiTheme="minorEastAsia" w:hAnsiTheme="minorEastAsia" w:eastAsiaTheme="minorEastAsia"/>
          <w:b/>
        </w:rPr>
        <w:t>兖煤澳洲长期股权激励计划</w:t>
      </w:r>
    </w:p>
    <w:p>
      <w:pPr>
        <w:ind w:firstLine="420"/>
        <w:rPr>
          <w:rFonts w:asciiTheme="minorEastAsia" w:hAnsiTheme="minorEastAsia" w:eastAsiaTheme="minorEastAsia"/>
          <w:b/>
        </w:rPr>
      </w:pPr>
      <w:r>
        <w:rPr>
          <w:rFonts w:hint="eastAsia" w:asciiTheme="minorEastAsia" w:hAnsiTheme="minorEastAsia" w:eastAsiaTheme="minorEastAsia"/>
          <w:b/>
        </w:rPr>
        <w:t xml:space="preserve"> </w:t>
      </w:r>
    </w:p>
    <w:p>
      <w:pPr>
        <w:ind w:firstLine="420"/>
        <w:rPr>
          <w:rFonts w:asciiTheme="minorEastAsia" w:hAnsiTheme="minorEastAsia" w:eastAsiaTheme="minorEastAsia"/>
          <w:b/>
        </w:rPr>
      </w:pPr>
      <w:r>
        <w:rPr>
          <w:rFonts w:hint="eastAsia" w:asciiTheme="minorEastAsia" w:hAnsiTheme="minorEastAsia" w:eastAsiaTheme="minorEastAsia"/>
        </w:rPr>
        <w:t>为吸引和保留优秀人才，将高管人员的薪酬与股东利益相结合，确保员工注重创建公司中长期目标，经兖煤澳洲</w:t>
      </w:r>
      <w:r>
        <w:rPr>
          <w:rFonts w:asciiTheme="minorEastAsia" w:hAnsiTheme="minorEastAsia" w:eastAsiaTheme="minorEastAsia"/>
        </w:rPr>
        <w:t>2018年度股东大会批准，兖煤澳洲于2018年实施了一项股权激励计划。</w:t>
      </w:r>
    </w:p>
    <w:p>
      <w:pPr>
        <w:ind w:firstLine="420"/>
        <w:rPr>
          <w:rFonts w:asciiTheme="minorEastAsia" w:hAnsiTheme="minorEastAsia" w:eastAsiaTheme="minorEastAsia"/>
        </w:rPr>
      </w:pPr>
      <w:r>
        <w:rPr>
          <w:rFonts w:hint="eastAsia" w:asciiTheme="minorEastAsia" w:hAnsiTheme="minorEastAsia" w:eastAsiaTheme="minorEastAsia"/>
        </w:rPr>
        <w:t>有关详情请见兖煤澳洲日期为</w:t>
      </w:r>
      <w:r>
        <w:rPr>
          <w:rFonts w:asciiTheme="minorEastAsia" w:hAnsiTheme="minorEastAsia" w:eastAsiaTheme="minorEastAsia"/>
        </w:rPr>
        <w:t>2018年5月30日的2018年度股东大会决议公告、日期为2024年2月23日的截至2023年12月31日止年度财务公告和薪酬报告</w:t>
      </w:r>
      <w:bookmarkStart w:id="113" w:name="_Hlk161347656"/>
      <w:r>
        <w:rPr>
          <w:rFonts w:hint="eastAsia" w:asciiTheme="minorEastAsia" w:hAnsiTheme="minorEastAsia" w:eastAsiaTheme="minorEastAsia"/>
        </w:rPr>
        <w:t>、日期为2024年3月11日的兖煤澳洲有关2021年短期激励计划权利及2022年短期激励计划权利的更新资料公告。该等资料载于兖煤澳洲公司网站、澳大利亚证券交易所网站及/或香港联交所网站。</w:t>
      </w:r>
      <w:bookmarkEnd w:id="113"/>
    </w:p>
    <w:p>
      <w:pPr>
        <w:rPr>
          <w:rFonts w:asciiTheme="minorEastAsia" w:hAnsiTheme="minorEastAsia" w:eastAsiaTheme="minorEastAsia"/>
        </w:rPr>
      </w:pPr>
      <w:r>
        <w:rPr>
          <w:rFonts w:hint="eastAsia" w:asciiTheme="minorEastAsia" w:hAnsiTheme="minorEastAsia" w:eastAsiaTheme="minorEastAsia"/>
        </w:rPr>
        <w:t>其他说明</w:t>
      </w:r>
    </w:p>
    <w:sdt>
      <w:sdtPr>
        <w:rPr>
          <w:rFonts w:hint="eastAsia" w:asciiTheme="minorEastAsia" w:hAnsiTheme="minorEastAsia" w:eastAsiaTheme="minorEastAsia"/>
        </w:rPr>
        <w:alias w:val="是否适用：股权激励情况的说明[双击切换]"/>
        <w:tag w:val="_GBC_67421581adf34d0f9f06e3042b8d7199"/>
        <w:id w:val="1686937266"/>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bCs/>
        </w:rPr>
      </w:pPr>
      <w:r>
        <w:rPr>
          <w:rFonts w:hint="eastAsia" w:asciiTheme="minorEastAsia" w:hAnsiTheme="minorEastAsia" w:eastAsiaTheme="minorEastAsia"/>
          <w:bCs/>
        </w:rPr>
        <w:t>员工持股计划情况</w:t>
      </w:r>
    </w:p>
    <w:sdt>
      <w:sdtPr>
        <w:rPr>
          <w:rFonts w:hint="eastAsia" w:asciiTheme="minorEastAsia" w:hAnsiTheme="minorEastAsia" w:eastAsiaTheme="minorEastAsia"/>
          <w:bCs/>
        </w:rPr>
        <w:alias w:val="是否适用：员工持股计划情况[双击切换]"/>
        <w:tag w:val="_GBC_58bc54aaaba24427a2a569de76f7f83e"/>
        <w:id w:val="1981497266"/>
        <w:placeholder>
          <w:docPart w:val="GBC22222222222222222222222222222"/>
        </w:placeholder>
      </w:sdtPr>
      <w:sdtEndPr>
        <w:rPr>
          <w:rFonts w:hint="eastAsia" w:asciiTheme="minorEastAsia" w:hAnsiTheme="minorEastAsia" w:eastAsiaTheme="minorEastAsia"/>
          <w:bCs/>
        </w:rPr>
      </w:sdtEndPr>
      <w:sdtContent>
        <w:p>
          <w:pPr>
            <w:rPr>
              <w:rFonts w:asciiTheme="minorEastAsia" w:hAnsiTheme="minorEastAsia" w:eastAsiaTheme="minorEastAsia"/>
              <w:bCs/>
            </w:rPr>
          </w:pPr>
          <w:r>
            <w:rPr>
              <w:rFonts w:asciiTheme="minorEastAsia" w:hAnsiTheme="minorEastAsia" w:eastAsiaTheme="minorEastAsia"/>
              <w:bCs/>
            </w:rPr>
            <w:fldChar w:fldCharType="begin"/>
          </w:r>
          <w:r>
            <w:rPr>
              <w:rFonts w:asciiTheme="minorEastAsia" w:hAnsiTheme="minorEastAsia" w:eastAsiaTheme="minorEastAsia"/>
              <w:bCs/>
            </w:rPr>
            <w:instrText xml:space="preserve"> MACROBUTTON  SnrToggleCheckbox □适用  </w:instrText>
          </w:r>
          <w:r>
            <w:rPr>
              <w:rFonts w:asciiTheme="minorEastAsia" w:hAnsiTheme="minorEastAsia" w:eastAsiaTheme="minorEastAsia"/>
              <w:bCs/>
            </w:rPr>
            <w:fldChar w:fldCharType="end"/>
          </w:r>
          <w:r>
            <w:rPr>
              <w:rFonts w:asciiTheme="minorEastAsia" w:hAnsiTheme="minorEastAsia" w:eastAsiaTheme="minorEastAsia"/>
              <w:bCs/>
            </w:rPr>
            <w:fldChar w:fldCharType="begin"/>
          </w:r>
          <w:r>
            <w:rPr>
              <w:rFonts w:asciiTheme="minorEastAsia" w:hAnsiTheme="minorEastAsia" w:eastAsiaTheme="minorEastAsia"/>
              <w:bCs/>
            </w:rPr>
            <w:instrText xml:space="preserve"> MACROBUTTON  SnrToggleCheckbox √不适用 </w:instrText>
          </w:r>
          <w:r>
            <w:rPr>
              <w:rFonts w:asciiTheme="minorEastAsia" w:hAnsiTheme="minorEastAsia" w:eastAsiaTheme="minorEastAsia"/>
              <w:bCs/>
            </w:rPr>
            <w:fldChar w:fldCharType="end"/>
          </w:r>
        </w:p>
      </w:sdtContent>
    </w:sdt>
    <w:p>
      <w:pPr>
        <w:rPr>
          <w:rFonts w:asciiTheme="minorEastAsia" w:hAnsiTheme="minorEastAsia" w:eastAsiaTheme="minorEastAsia"/>
          <w:bCs/>
        </w:rPr>
      </w:pPr>
    </w:p>
    <w:p>
      <w:pPr>
        <w:rPr>
          <w:rFonts w:asciiTheme="minorEastAsia" w:hAnsiTheme="minorEastAsia" w:eastAsiaTheme="minorEastAsia"/>
          <w:bCs/>
        </w:rPr>
      </w:pPr>
    </w:p>
    <w:p>
      <w:pPr>
        <w:rPr>
          <w:rFonts w:asciiTheme="minorEastAsia" w:hAnsiTheme="minorEastAsia" w:eastAsiaTheme="minorEastAsia"/>
          <w:bCs/>
        </w:rPr>
      </w:pPr>
      <w:r>
        <w:rPr>
          <w:rFonts w:hint="eastAsia" w:asciiTheme="minorEastAsia" w:hAnsiTheme="minorEastAsia" w:eastAsiaTheme="minorEastAsia"/>
          <w:bCs/>
        </w:rPr>
        <w:t>其他激励措施</w:t>
      </w:r>
    </w:p>
    <w:sdt>
      <w:sdtPr>
        <w:rPr>
          <w:rFonts w:asciiTheme="minorEastAsia" w:hAnsiTheme="minorEastAsia" w:eastAsiaTheme="minorEastAsia"/>
        </w:rPr>
        <w:alias w:val="是否适用：其他激励措施[双击切换]"/>
        <w:tag w:val="_GBC_1273f753309d4658962c7982b10fa010"/>
        <w:id w:val="-386260063"/>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bCs/>
        </w:rPr>
      </w:pPr>
    </w:p>
    <w:p>
      <w:pPr>
        <w:rPr>
          <w:rFonts w:asciiTheme="minorEastAsia" w:hAnsiTheme="minorEastAsia" w:eastAsiaTheme="minorEastAsia"/>
          <w:bCs/>
        </w:rPr>
        <w:sectPr>
          <w:pgSz w:w="11906" w:h="16838"/>
          <w:pgMar w:top="1525" w:right="1276" w:bottom="1440" w:left="1797" w:header="851" w:footer="992" w:gutter="0"/>
          <w:cols w:space="425" w:num="1"/>
          <w:docGrid w:linePitch="312" w:charSpace="0"/>
        </w:sectPr>
      </w:pPr>
    </w:p>
    <w:p>
      <w:pPr>
        <w:rPr>
          <w:rFonts w:asciiTheme="minorEastAsia" w:hAnsiTheme="minorEastAsia" w:eastAsiaTheme="minorEastAsia"/>
          <w:bCs/>
        </w:rPr>
      </w:pPr>
    </w:p>
    <w:p>
      <w:pPr>
        <w:pStyle w:val="4"/>
        <w:numPr>
          <w:ilvl w:val="1"/>
          <w:numId w:val="24"/>
        </w:numPr>
        <w:rPr>
          <w:rFonts w:asciiTheme="minorEastAsia" w:hAnsiTheme="minorEastAsia" w:eastAsiaTheme="minorEastAsia"/>
          <w:szCs w:val="21"/>
        </w:rPr>
      </w:pPr>
      <w:r>
        <w:rPr>
          <w:rFonts w:hint="eastAsia" w:asciiTheme="minorEastAsia" w:hAnsiTheme="minorEastAsia" w:eastAsiaTheme="minorEastAsia"/>
          <w:szCs w:val="21"/>
        </w:rPr>
        <w:t>董事、高级管理人员报告期内被授予的</w:t>
      </w:r>
      <w:r>
        <w:rPr>
          <w:rFonts w:hint="eastAsia" w:asciiTheme="minorEastAsia" w:hAnsiTheme="minorEastAsia" w:eastAsiaTheme="minorEastAsia"/>
          <w:kern w:val="44"/>
          <w:szCs w:val="21"/>
        </w:rPr>
        <w:t>股权</w:t>
      </w:r>
      <w:r>
        <w:rPr>
          <w:rFonts w:hint="eastAsia" w:asciiTheme="minorEastAsia" w:hAnsiTheme="minorEastAsia" w:eastAsiaTheme="minorEastAsia"/>
          <w:szCs w:val="21"/>
        </w:rPr>
        <w:t>激励情况</w:t>
      </w:r>
    </w:p>
    <w:p>
      <w:pPr>
        <w:kinsoku w:val="0"/>
        <w:overflowPunct w:val="0"/>
        <w:autoSpaceDE w:val="0"/>
        <w:autoSpaceDN w:val="0"/>
        <w:adjustRightInd w:val="0"/>
        <w:snapToGrid w:val="0"/>
        <w:rPr>
          <w:rFonts w:asciiTheme="minorEastAsia" w:hAnsiTheme="minorEastAsia" w:eastAsiaTheme="minorEastAsia"/>
        </w:rPr>
      </w:pPr>
      <w:sdt>
        <w:sdtPr>
          <w:rPr>
            <w:rFonts w:hint="eastAsia" w:asciiTheme="minorEastAsia" w:hAnsiTheme="minorEastAsia" w:eastAsiaTheme="minorEastAsia"/>
          </w:rPr>
          <w:alias w:val="是否适用：董事、监事、高级管理人员报告期内被授予的股权激励情况[双击切换]"/>
          <w:tag w:val="_GBC_c2d0a53ac8044ce0b5022c6f5ccdc0a9"/>
          <w:id w:val="390548107"/>
          <w:placeholder>
            <w:docPart w:val="GBC22222222222222222222222222222"/>
          </w:placeholder>
        </w:sdtPr>
        <w:sdtEndPr>
          <w:rPr>
            <w:rFonts w:hint="eastAsia" w:asciiTheme="minorEastAsia" w:hAnsiTheme="minorEastAsia" w:eastAsiaTheme="minorEastAsia"/>
          </w:rPr>
        </w:sdtEndPr>
        <w:sdtContent>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sdtContent>
      </w:sdt>
    </w:p>
    <w:p>
      <w:pPr>
        <w:kinsoku w:val="0"/>
        <w:overflowPunct w:val="0"/>
        <w:autoSpaceDE w:val="0"/>
        <w:autoSpaceDN w:val="0"/>
        <w:adjustRightInd w:val="0"/>
        <w:snapToGrid w:val="0"/>
        <w:rPr>
          <w:rFonts w:ascii="宋体" w:hAnsi="宋体"/>
        </w:rPr>
      </w:pPr>
      <w:r>
        <w:rPr>
          <w:rFonts w:hint="eastAsia" w:ascii="宋体" w:hAnsi="宋体"/>
        </w:rPr>
        <w:t>期权激励计划</w:t>
      </w:r>
    </w:p>
    <w:p>
      <w:pPr>
        <w:kinsoku w:val="0"/>
        <w:overflowPunct w:val="0"/>
        <w:autoSpaceDE w:val="0"/>
        <w:autoSpaceDN w:val="0"/>
        <w:adjustRightInd w:val="0"/>
        <w:snapToGrid w:val="0"/>
        <w:rPr>
          <w:rFonts w:ascii="宋体" w:hAnsi="宋体"/>
        </w:rPr>
      </w:pPr>
    </w:p>
    <w:p>
      <w:pPr>
        <w:kinsoku w:val="0"/>
        <w:overflowPunct w:val="0"/>
        <w:autoSpaceDE w:val="0"/>
        <w:autoSpaceDN w:val="0"/>
        <w:adjustRightInd w:val="0"/>
        <w:snapToGrid w:val="0"/>
        <w:jc w:val="right"/>
        <w:rPr>
          <w:rFonts w:ascii="宋体" w:hAnsi="宋体"/>
        </w:rPr>
      </w:pPr>
      <w:r>
        <w:rPr>
          <w:rFonts w:hint="eastAsia" w:ascii="宋体" w:hAnsi="宋体"/>
        </w:rPr>
        <w:t>单位</w:t>
      </w:r>
      <w:r>
        <w:rPr>
          <w:rFonts w:ascii="宋体" w:hAnsi="宋体"/>
        </w:rPr>
        <w:t>:</w:t>
      </w:r>
      <w:sdt>
        <w:sdtPr>
          <w:rPr>
            <w:rFonts w:ascii="宋体" w:hAnsi="宋体"/>
          </w:rPr>
          <w:alias w:val="单位：董事、监事、高级管理人员报告期内被授予的股权激励情况"/>
          <w:tag w:val="_GBC_e9dfdf16ff4b4c14946b861f9e90e4fd"/>
          <w:id w:val="500394257"/>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ascii="宋体" w:hAnsi="宋体"/>
          </w:rPr>
        </w:sdtEndPr>
        <w:sdtContent>
          <w:r>
            <w:rPr>
              <w:rFonts w:ascii="宋体" w:hAnsi="宋体"/>
            </w:rPr>
            <w:t>万股</w:t>
          </w:r>
        </w:sdtContent>
      </w:sdt>
    </w:p>
    <w:tbl>
      <w:tblPr>
        <w:tblStyle w:val="20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570"/>
        <w:gridCol w:w="1559"/>
        <w:gridCol w:w="1103"/>
        <w:gridCol w:w="1271"/>
        <w:gridCol w:w="1238"/>
        <w:gridCol w:w="1296"/>
        <w:gridCol w:w="1369"/>
        <w:gridCol w:w="879"/>
        <w:gridCol w:w="1335"/>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sdt>
          <w:sdtPr>
            <w:rPr>
              <w:rFonts w:ascii="宋体" w:hAnsi="宋体"/>
            </w:rPr>
            <w:tag w:val="_PLD_0b622a0ac9f34609a9e5e92a0d9d1fac"/>
            <w:id w:val="51046727"/>
          </w:sdtPr>
          <w:sdtEndPr>
            <w:rPr>
              <w:rFonts w:ascii="宋体" w:hAnsi="宋体"/>
            </w:rPr>
          </w:sdtEndPr>
          <w:sdtContent>
            <w:tc>
              <w:tcPr>
                <w:tcW w:w="469" w:type="pct"/>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姓名</w:t>
                </w:r>
              </w:p>
            </w:tc>
          </w:sdtContent>
        </w:sdt>
        <w:sdt>
          <w:sdtPr>
            <w:rPr>
              <w:rFonts w:ascii="宋体" w:hAnsi="宋体"/>
            </w:rPr>
            <w:tag w:val="_PLD_5af2a92a9cb541b4a19b4bae7f675666"/>
            <w:id w:val="-1012299735"/>
          </w:sdtPr>
          <w:sdtEndPr>
            <w:rPr>
              <w:rFonts w:ascii="宋体" w:hAnsi="宋体"/>
            </w:rPr>
          </w:sdtEndPr>
          <w:sdtContent>
            <w:tc>
              <w:tcPr>
                <w:tcW w:w="557" w:type="pct"/>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职务</w:t>
                </w:r>
              </w:p>
            </w:tc>
          </w:sdtContent>
        </w:sdt>
        <w:sdt>
          <w:sdtPr>
            <w:rPr>
              <w:rFonts w:ascii="宋体" w:hAnsi="宋体"/>
            </w:rPr>
            <w:tag w:val="_PLD_5e37c62ebc6a47d0a21e8a4a7abb5714"/>
            <w:id w:val="-308874756"/>
          </w:sdtPr>
          <w:sdtEndPr>
            <w:rPr>
              <w:rFonts w:ascii="宋体" w:hAnsi="宋体"/>
            </w:rPr>
          </w:sdtEndPr>
          <w:sdtContent>
            <w:tc>
              <w:tcPr>
                <w:tcW w:w="553" w:type="pct"/>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年初持有股票期权数量</w:t>
                </w:r>
              </w:p>
            </w:tc>
          </w:sdtContent>
        </w:sdt>
        <w:sdt>
          <w:sdtPr>
            <w:rPr>
              <w:rFonts w:ascii="宋体" w:hAnsi="宋体"/>
            </w:rPr>
            <w:tag w:val="_PLD_f64cc4938729457d9d19acfa29e61c1f"/>
            <w:id w:val="-986007992"/>
          </w:sdtPr>
          <w:sdtEndPr>
            <w:rPr>
              <w:rFonts w:ascii="宋体" w:hAnsi="宋体"/>
            </w:rPr>
          </w:sdtEndPr>
          <w:sdtContent>
            <w:tc>
              <w:tcPr>
                <w:tcW w:w="391" w:type="pct"/>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报告期新授予股票期权数量</w:t>
                </w:r>
              </w:p>
            </w:tc>
          </w:sdtContent>
        </w:sdt>
        <w:tc>
          <w:tcPr>
            <w:tcW w:w="451" w:type="pct"/>
            <w:shd w:val="clear" w:color="auto" w:fill="auto"/>
            <w:vAlign w:val="center"/>
          </w:tcPr>
          <w:p>
            <w:pPr>
              <w:rPr>
                <w:rFonts w:ascii="宋体" w:hAnsi="宋体"/>
                <w:kern w:val="0"/>
              </w:rPr>
            </w:pPr>
            <w:r>
              <w:rPr>
                <w:rFonts w:hint="eastAsia" w:ascii="宋体" w:hAnsi="宋体"/>
              </w:rPr>
              <w:t>报告期内注销股票期权数量</w:t>
            </w:r>
          </w:p>
        </w:tc>
        <w:tc>
          <w:tcPr>
            <w:tcW w:w="439" w:type="pct"/>
            <w:shd w:val="clear" w:color="auto" w:fill="auto"/>
            <w:vAlign w:val="center"/>
          </w:tcPr>
          <w:p>
            <w:pPr>
              <w:rPr>
                <w:rFonts w:ascii="宋体" w:hAnsi="宋体"/>
                <w:kern w:val="0"/>
              </w:rPr>
            </w:pPr>
            <w:r>
              <w:rPr>
                <w:rFonts w:hint="eastAsia" w:ascii="宋体" w:hAnsi="宋体"/>
              </w:rPr>
              <w:t>报告期内失效股票期权数量</w:t>
            </w:r>
          </w:p>
        </w:tc>
        <w:sdt>
          <w:sdtPr>
            <w:rPr>
              <w:rFonts w:ascii="宋体" w:hAnsi="宋体"/>
            </w:rPr>
            <w:tag w:val="_PLD_fd446647b40b4c41981da0ffd424f480"/>
            <w:id w:val="1142780045"/>
          </w:sdtPr>
          <w:sdtEndPr>
            <w:rPr>
              <w:rFonts w:ascii="宋体" w:hAnsi="宋体"/>
            </w:rPr>
          </w:sdtEndPr>
          <w:sdtContent>
            <w:tc>
              <w:tcPr>
                <w:tcW w:w="460" w:type="pct"/>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报告期内可行权股份</w:t>
                </w:r>
              </w:p>
            </w:tc>
          </w:sdtContent>
        </w:sdt>
        <w:sdt>
          <w:sdtPr>
            <w:rPr>
              <w:rFonts w:ascii="宋体" w:hAnsi="宋体"/>
            </w:rPr>
            <w:tag w:val="_PLD_22978334c1bc4efeab16cc86a1f5f911"/>
            <w:id w:val="630907382"/>
          </w:sdtPr>
          <w:sdtEndPr>
            <w:rPr>
              <w:rFonts w:ascii="宋体" w:hAnsi="宋体"/>
            </w:rPr>
          </w:sdtEndPr>
          <w:sdtContent>
            <w:tc>
              <w:tcPr>
                <w:tcW w:w="486" w:type="pct"/>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报告期股票期权行权股份</w:t>
                </w:r>
              </w:p>
            </w:tc>
          </w:sdtContent>
        </w:sdt>
        <w:sdt>
          <w:sdtPr>
            <w:rPr>
              <w:rFonts w:ascii="宋体" w:hAnsi="宋体"/>
            </w:rPr>
            <w:tag w:val="_PLD_8f40b7da3f2b42c49d1f26310f83a561"/>
            <w:id w:val="-131254876"/>
          </w:sdtPr>
          <w:sdtEndPr>
            <w:rPr>
              <w:rFonts w:ascii="宋体" w:hAnsi="宋体"/>
            </w:rPr>
          </w:sdtEndPr>
          <w:sdtContent>
            <w:tc>
              <w:tcPr>
                <w:tcW w:w="312" w:type="pct"/>
                <w:vAlign w:val="center"/>
              </w:tcPr>
              <w:p>
                <w:pPr>
                  <w:kinsoku w:val="0"/>
                  <w:overflowPunct w:val="0"/>
                  <w:autoSpaceDE w:val="0"/>
                  <w:autoSpaceDN w:val="0"/>
                  <w:adjustRightInd w:val="0"/>
                  <w:snapToGrid w:val="0"/>
                  <w:jc w:val="center"/>
                  <w:rPr>
                    <w:rFonts w:ascii="宋体" w:hAnsi="宋体"/>
                  </w:rPr>
                </w:pPr>
                <w:r>
                  <w:rPr>
                    <w:rFonts w:ascii="宋体" w:hAnsi="宋体"/>
                  </w:rPr>
                  <w:t>股票期权行权价格</w:t>
                </w:r>
              </w:p>
              <w:p>
                <w:pPr>
                  <w:kinsoku w:val="0"/>
                  <w:overflowPunct w:val="0"/>
                  <w:autoSpaceDE w:val="0"/>
                  <w:autoSpaceDN w:val="0"/>
                  <w:adjustRightInd w:val="0"/>
                  <w:snapToGrid w:val="0"/>
                  <w:jc w:val="center"/>
                  <w:rPr>
                    <w:rFonts w:ascii="宋体" w:hAnsi="宋体"/>
                  </w:rPr>
                </w:pPr>
                <w:r>
                  <w:rPr>
                    <w:rFonts w:ascii="宋体" w:hAnsi="宋体"/>
                  </w:rPr>
                  <w:t>(元)</w:t>
                </w:r>
              </w:p>
            </w:tc>
          </w:sdtContent>
        </w:sdt>
        <w:sdt>
          <w:sdtPr>
            <w:rPr>
              <w:rFonts w:ascii="宋体" w:hAnsi="宋体"/>
            </w:rPr>
            <w:tag w:val="_PLD_8b2c1a9bbc8c457eb138a974b2f38baf"/>
            <w:id w:val="746310246"/>
          </w:sdtPr>
          <w:sdtEndPr>
            <w:rPr>
              <w:rFonts w:ascii="宋体" w:hAnsi="宋体"/>
            </w:rPr>
          </w:sdtEndPr>
          <w:sdtContent>
            <w:tc>
              <w:tcPr>
                <w:tcW w:w="474" w:type="pct"/>
                <w:shd w:val="clear" w:color="auto" w:fill="auto"/>
                <w:vAlign w:val="center"/>
              </w:tcPr>
              <w:p>
                <w:pPr>
                  <w:kinsoku w:val="0"/>
                  <w:overflowPunct w:val="0"/>
                  <w:autoSpaceDE w:val="0"/>
                  <w:autoSpaceDN w:val="0"/>
                  <w:adjustRightInd w:val="0"/>
                  <w:snapToGrid w:val="0"/>
                  <w:jc w:val="center"/>
                  <w:rPr>
                    <w:rFonts w:ascii="宋体" w:hAnsi="宋体"/>
                  </w:rPr>
                </w:pPr>
                <w:r>
                  <w:rPr>
                    <w:rFonts w:hint="eastAsia" w:ascii="宋体" w:hAnsi="宋体"/>
                  </w:rPr>
                  <w:t>期末持有股票期权数量</w:t>
                </w:r>
              </w:p>
            </w:tc>
          </w:sdtContent>
        </w:sdt>
        <w:tc>
          <w:tcPr>
            <w:tcW w:w="40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报告期末市价</w:t>
            </w:r>
          </w:p>
          <w:p>
            <w:pPr>
              <w:kinsoku w:val="0"/>
              <w:overflowPunct w:val="0"/>
              <w:autoSpaceDE w:val="0"/>
              <w:autoSpaceDN w:val="0"/>
              <w:adjustRightInd w:val="0"/>
              <w:snapToGrid w:val="0"/>
              <w:jc w:val="center"/>
              <w:rPr>
                <w:rFonts w:ascii="宋体" w:hAnsi="宋体"/>
              </w:rPr>
            </w:pPr>
            <w:r>
              <w:rPr>
                <w:rFonts w:hint="eastAsia" w:ascii="宋体" w:hAnsi="宋体"/>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46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肖耀猛</w:t>
            </w:r>
          </w:p>
        </w:tc>
        <w:tc>
          <w:tcPr>
            <w:tcW w:w="55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党委书记、</w:t>
            </w:r>
          </w:p>
          <w:p>
            <w:pPr>
              <w:kinsoku w:val="0"/>
              <w:overflowPunct w:val="0"/>
              <w:autoSpaceDE w:val="0"/>
              <w:autoSpaceDN w:val="0"/>
              <w:adjustRightInd w:val="0"/>
              <w:snapToGrid w:val="0"/>
              <w:ind w:right="26"/>
              <w:jc w:val="center"/>
              <w:rPr>
                <w:rFonts w:ascii="宋体" w:hAnsi="宋体"/>
              </w:rPr>
            </w:pPr>
            <w:r>
              <w:rPr>
                <w:rFonts w:hint="eastAsia" w:ascii="宋体" w:hAnsi="宋体"/>
              </w:rPr>
              <w:t>董事、总经理</w:t>
            </w:r>
          </w:p>
        </w:tc>
        <w:tc>
          <w:tcPr>
            <w:tcW w:w="553" w:type="pct"/>
            <w:vAlign w:val="center"/>
          </w:tcPr>
          <w:p>
            <w:pPr>
              <w:jc w:val="center"/>
              <w:rPr>
                <w:rFonts w:ascii="宋体" w:hAnsi="宋体"/>
              </w:rPr>
            </w:pPr>
            <w:r>
              <w:rPr>
                <w:rFonts w:hint="eastAsia" w:ascii="宋体" w:hAnsi="宋体"/>
              </w:rPr>
              <w:t>5.10</w:t>
            </w:r>
          </w:p>
        </w:tc>
        <w:tc>
          <w:tcPr>
            <w:tcW w:w="391"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51"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0</w:t>
            </w:r>
          </w:p>
        </w:tc>
        <w:tc>
          <w:tcPr>
            <w:tcW w:w="43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60"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5.10</w:t>
            </w:r>
          </w:p>
        </w:tc>
        <w:tc>
          <w:tcPr>
            <w:tcW w:w="486"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5.10</w:t>
            </w:r>
          </w:p>
        </w:tc>
        <w:tc>
          <w:tcPr>
            <w:tcW w:w="312"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4.52</w:t>
            </w:r>
          </w:p>
        </w:tc>
        <w:tc>
          <w:tcPr>
            <w:tcW w:w="474"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0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马俊鹏</w:t>
            </w:r>
          </w:p>
        </w:tc>
        <w:tc>
          <w:tcPr>
            <w:tcW w:w="55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总工程师</w:t>
            </w:r>
          </w:p>
        </w:tc>
        <w:tc>
          <w:tcPr>
            <w:tcW w:w="553" w:type="pct"/>
            <w:vAlign w:val="center"/>
          </w:tcPr>
          <w:p>
            <w:pPr>
              <w:jc w:val="center"/>
              <w:rPr>
                <w:rFonts w:ascii="宋体" w:hAnsi="宋体"/>
              </w:rPr>
            </w:pPr>
            <w:r>
              <w:rPr>
                <w:rFonts w:hint="eastAsia" w:ascii="宋体" w:hAnsi="宋体"/>
              </w:rPr>
              <w:t>5.10</w:t>
            </w:r>
          </w:p>
        </w:tc>
        <w:tc>
          <w:tcPr>
            <w:tcW w:w="391"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51"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0</w:t>
            </w:r>
          </w:p>
        </w:tc>
        <w:tc>
          <w:tcPr>
            <w:tcW w:w="43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60"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5.1</w:t>
            </w:r>
            <w:r>
              <w:rPr>
                <w:rFonts w:hint="eastAsia" w:ascii="宋体" w:hAnsi="宋体"/>
              </w:rPr>
              <w:t>0</w:t>
            </w:r>
          </w:p>
        </w:tc>
        <w:tc>
          <w:tcPr>
            <w:tcW w:w="486"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5.10</w:t>
            </w:r>
          </w:p>
        </w:tc>
        <w:tc>
          <w:tcPr>
            <w:tcW w:w="312"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w:t>
            </w:r>
            <w:r>
              <w:rPr>
                <w:rFonts w:ascii="宋体" w:hAnsi="宋体"/>
              </w:rPr>
              <w:t>.52</w:t>
            </w:r>
          </w:p>
        </w:tc>
        <w:tc>
          <w:tcPr>
            <w:tcW w:w="474"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0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 xml:space="preserve">康 </w:t>
            </w:r>
            <w:r>
              <w:rPr>
                <w:rFonts w:ascii="宋体" w:hAnsi="宋体"/>
              </w:rPr>
              <w:t xml:space="preserve"> </w:t>
            </w:r>
            <w:r>
              <w:rPr>
                <w:rFonts w:hint="eastAsia" w:ascii="宋体" w:hAnsi="宋体"/>
              </w:rPr>
              <w:t>丹</w:t>
            </w:r>
          </w:p>
        </w:tc>
        <w:tc>
          <w:tcPr>
            <w:tcW w:w="55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安全总监</w:t>
            </w:r>
          </w:p>
        </w:tc>
        <w:tc>
          <w:tcPr>
            <w:tcW w:w="553"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4.08</w:t>
            </w:r>
          </w:p>
        </w:tc>
        <w:tc>
          <w:tcPr>
            <w:tcW w:w="391"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51"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0</w:t>
            </w:r>
          </w:p>
        </w:tc>
        <w:tc>
          <w:tcPr>
            <w:tcW w:w="43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60"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4.</w:t>
            </w:r>
            <w:r>
              <w:rPr>
                <w:rFonts w:hint="eastAsia" w:ascii="宋体" w:hAnsi="宋体"/>
              </w:rPr>
              <w:t>0</w:t>
            </w:r>
            <w:r>
              <w:rPr>
                <w:rFonts w:ascii="宋体" w:hAnsi="宋体"/>
              </w:rPr>
              <w:t>8</w:t>
            </w:r>
          </w:p>
        </w:tc>
        <w:tc>
          <w:tcPr>
            <w:tcW w:w="486"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4.08</w:t>
            </w:r>
          </w:p>
        </w:tc>
        <w:tc>
          <w:tcPr>
            <w:tcW w:w="312"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w:t>
            </w:r>
            <w:r>
              <w:rPr>
                <w:rFonts w:ascii="宋体" w:hAnsi="宋体"/>
              </w:rPr>
              <w:t>52</w:t>
            </w:r>
          </w:p>
        </w:tc>
        <w:tc>
          <w:tcPr>
            <w:tcW w:w="474"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0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王九红</w:t>
            </w:r>
          </w:p>
        </w:tc>
        <w:tc>
          <w:tcPr>
            <w:tcW w:w="55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副总经理</w:t>
            </w:r>
          </w:p>
        </w:tc>
        <w:tc>
          <w:tcPr>
            <w:tcW w:w="553"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4.08</w:t>
            </w:r>
          </w:p>
        </w:tc>
        <w:tc>
          <w:tcPr>
            <w:tcW w:w="391"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51"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0</w:t>
            </w:r>
          </w:p>
        </w:tc>
        <w:tc>
          <w:tcPr>
            <w:tcW w:w="43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60"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4.08</w:t>
            </w:r>
          </w:p>
        </w:tc>
        <w:tc>
          <w:tcPr>
            <w:tcW w:w="486"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4.08</w:t>
            </w:r>
          </w:p>
        </w:tc>
        <w:tc>
          <w:tcPr>
            <w:tcW w:w="312"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w:t>
            </w:r>
            <w:r>
              <w:rPr>
                <w:rFonts w:ascii="宋体" w:hAnsi="宋体"/>
              </w:rPr>
              <w:t>52</w:t>
            </w:r>
          </w:p>
        </w:tc>
        <w:tc>
          <w:tcPr>
            <w:tcW w:w="474"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0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pct"/>
            <w:vAlign w:val="center"/>
          </w:tcPr>
          <w:p>
            <w:pPr>
              <w:kinsoku w:val="0"/>
              <w:overflowPunct w:val="0"/>
              <w:autoSpaceDE w:val="0"/>
              <w:autoSpaceDN w:val="0"/>
              <w:adjustRightInd w:val="0"/>
              <w:snapToGrid w:val="0"/>
              <w:ind w:right="26"/>
              <w:jc w:val="center"/>
              <w:rPr>
                <w:rFonts w:ascii="宋体" w:hAnsi="宋体"/>
              </w:rPr>
            </w:pPr>
            <w:r>
              <w:rPr>
                <w:rFonts w:hint="eastAsia" w:asciiTheme="minorEastAsia" w:hAnsiTheme="minorEastAsia" w:eastAsiaTheme="minorEastAsia"/>
              </w:rPr>
              <w:t>高春雷</w:t>
            </w:r>
          </w:p>
        </w:tc>
        <w:tc>
          <w:tcPr>
            <w:tcW w:w="55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总工程师</w:t>
            </w:r>
          </w:p>
          <w:p>
            <w:pPr>
              <w:kinsoku w:val="0"/>
              <w:overflowPunct w:val="0"/>
              <w:autoSpaceDE w:val="0"/>
              <w:autoSpaceDN w:val="0"/>
              <w:adjustRightInd w:val="0"/>
              <w:snapToGrid w:val="0"/>
              <w:ind w:right="26"/>
              <w:jc w:val="center"/>
              <w:rPr>
                <w:rFonts w:ascii="宋体" w:hAnsi="宋体"/>
              </w:rPr>
            </w:pPr>
            <w:r>
              <w:rPr>
                <w:rFonts w:hint="eastAsia" w:ascii="宋体" w:hAnsi="宋体"/>
              </w:rPr>
              <w:t>（化工）</w:t>
            </w:r>
          </w:p>
        </w:tc>
        <w:tc>
          <w:tcPr>
            <w:tcW w:w="553" w:type="pct"/>
            <w:vAlign w:val="center"/>
          </w:tcPr>
          <w:p>
            <w:pPr>
              <w:kinsoku w:val="0"/>
              <w:overflowPunct w:val="0"/>
              <w:autoSpaceDE w:val="0"/>
              <w:autoSpaceDN w:val="0"/>
              <w:adjustRightInd w:val="0"/>
              <w:snapToGrid w:val="0"/>
              <w:ind w:right="26"/>
              <w:jc w:val="center"/>
              <w:rPr>
                <w:rFonts w:ascii="宋体" w:hAnsi="宋体"/>
              </w:rPr>
            </w:pPr>
            <w:r>
              <w:rPr>
                <w:rFonts w:hint="eastAsia" w:asciiTheme="minorEastAsia" w:hAnsiTheme="minorEastAsia" w:eastAsiaTheme="minorEastAsia"/>
              </w:rPr>
              <w:t>5.10</w:t>
            </w:r>
          </w:p>
        </w:tc>
        <w:tc>
          <w:tcPr>
            <w:tcW w:w="391" w:type="pct"/>
            <w:vAlign w:val="center"/>
          </w:tcPr>
          <w:p>
            <w:pPr>
              <w:kinsoku w:val="0"/>
              <w:overflowPunct w:val="0"/>
              <w:autoSpaceDE w:val="0"/>
              <w:autoSpaceDN w:val="0"/>
              <w:adjustRightInd w:val="0"/>
              <w:snapToGrid w:val="0"/>
              <w:ind w:right="26"/>
              <w:jc w:val="center"/>
              <w:rPr>
                <w:rFonts w:ascii="宋体" w:hAnsi="宋体"/>
              </w:rPr>
            </w:pPr>
            <w:r>
              <w:rPr>
                <w:rFonts w:hint="eastAsia" w:asciiTheme="minorEastAsia" w:hAnsiTheme="minorEastAsia" w:eastAsiaTheme="minorEastAsia"/>
              </w:rPr>
              <w:t>0</w:t>
            </w:r>
          </w:p>
        </w:tc>
        <w:tc>
          <w:tcPr>
            <w:tcW w:w="451" w:type="pct"/>
            <w:vAlign w:val="center"/>
          </w:tcPr>
          <w:p>
            <w:pPr>
              <w:kinsoku w:val="0"/>
              <w:overflowPunct w:val="0"/>
              <w:autoSpaceDE w:val="0"/>
              <w:autoSpaceDN w:val="0"/>
              <w:adjustRightInd w:val="0"/>
              <w:snapToGrid w:val="0"/>
              <w:ind w:right="26"/>
              <w:jc w:val="center"/>
              <w:rPr>
                <w:rFonts w:ascii="宋体" w:hAnsi="宋体"/>
              </w:rPr>
            </w:pPr>
            <w:r>
              <w:rPr>
                <w:rFonts w:hint="eastAsia" w:asciiTheme="minorEastAsia" w:hAnsiTheme="minorEastAsia" w:eastAsiaTheme="minorEastAsia"/>
              </w:rPr>
              <w:t>0</w:t>
            </w:r>
          </w:p>
        </w:tc>
        <w:tc>
          <w:tcPr>
            <w:tcW w:w="439" w:type="pct"/>
            <w:vAlign w:val="center"/>
          </w:tcPr>
          <w:p>
            <w:pPr>
              <w:kinsoku w:val="0"/>
              <w:overflowPunct w:val="0"/>
              <w:autoSpaceDE w:val="0"/>
              <w:autoSpaceDN w:val="0"/>
              <w:adjustRightInd w:val="0"/>
              <w:snapToGrid w:val="0"/>
              <w:ind w:right="26"/>
              <w:jc w:val="center"/>
              <w:rPr>
                <w:rFonts w:ascii="宋体" w:hAnsi="宋体"/>
              </w:rPr>
            </w:pPr>
            <w:r>
              <w:rPr>
                <w:rFonts w:hint="eastAsia" w:asciiTheme="minorEastAsia" w:hAnsiTheme="minorEastAsia" w:eastAsiaTheme="minorEastAsia"/>
              </w:rPr>
              <w:t>0</w:t>
            </w:r>
          </w:p>
        </w:tc>
        <w:tc>
          <w:tcPr>
            <w:tcW w:w="460" w:type="pct"/>
            <w:vAlign w:val="center"/>
          </w:tcPr>
          <w:p>
            <w:pPr>
              <w:kinsoku w:val="0"/>
              <w:overflowPunct w:val="0"/>
              <w:autoSpaceDE w:val="0"/>
              <w:autoSpaceDN w:val="0"/>
              <w:adjustRightInd w:val="0"/>
              <w:snapToGrid w:val="0"/>
              <w:ind w:right="26"/>
              <w:jc w:val="center"/>
              <w:rPr>
                <w:rFonts w:ascii="宋体" w:hAnsi="宋体"/>
              </w:rPr>
            </w:pPr>
            <w:r>
              <w:rPr>
                <w:rFonts w:hint="eastAsia" w:asciiTheme="minorEastAsia" w:hAnsiTheme="minorEastAsia" w:eastAsiaTheme="minorEastAsia"/>
              </w:rPr>
              <w:t>5.10</w:t>
            </w:r>
          </w:p>
        </w:tc>
        <w:tc>
          <w:tcPr>
            <w:tcW w:w="486" w:type="pct"/>
            <w:vAlign w:val="center"/>
          </w:tcPr>
          <w:p>
            <w:pPr>
              <w:kinsoku w:val="0"/>
              <w:overflowPunct w:val="0"/>
              <w:autoSpaceDE w:val="0"/>
              <w:autoSpaceDN w:val="0"/>
              <w:adjustRightInd w:val="0"/>
              <w:snapToGrid w:val="0"/>
              <w:ind w:right="26"/>
              <w:jc w:val="center"/>
              <w:rPr>
                <w:rFonts w:ascii="宋体" w:hAnsi="宋体"/>
              </w:rPr>
            </w:pPr>
            <w:r>
              <w:rPr>
                <w:rFonts w:hint="eastAsia" w:asciiTheme="minorEastAsia" w:hAnsiTheme="minorEastAsia" w:eastAsiaTheme="minorEastAsia"/>
              </w:rPr>
              <w:t>5.10</w:t>
            </w:r>
          </w:p>
        </w:tc>
        <w:tc>
          <w:tcPr>
            <w:tcW w:w="312" w:type="pct"/>
            <w:vAlign w:val="center"/>
          </w:tcPr>
          <w:p>
            <w:pPr>
              <w:kinsoku w:val="0"/>
              <w:overflowPunct w:val="0"/>
              <w:autoSpaceDE w:val="0"/>
              <w:autoSpaceDN w:val="0"/>
              <w:adjustRightInd w:val="0"/>
              <w:snapToGrid w:val="0"/>
              <w:ind w:right="26"/>
              <w:jc w:val="center"/>
              <w:rPr>
                <w:rFonts w:ascii="宋体" w:hAnsi="宋体"/>
              </w:rPr>
            </w:pPr>
            <w:r>
              <w:rPr>
                <w:rFonts w:hint="eastAsia" w:asciiTheme="minorEastAsia" w:hAnsiTheme="minorEastAsia" w:eastAsiaTheme="minorEastAsia"/>
              </w:rPr>
              <w:t>4.52</w:t>
            </w:r>
          </w:p>
        </w:tc>
        <w:tc>
          <w:tcPr>
            <w:tcW w:w="474" w:type="pct"/>
            <w:vAlign w:val="center"/>
          </w:tcPr>
          <w:p>
            <w:pPr>
              <w:kinsoku w:val="0"/>
              <w:overflowPunct w:val="0"/>
              <w:autoSpaceDE w:val="0"/>
              <w:autoSpaceDN w:val="0"/>
              <w:adjustRightInd w:val="0"/>
              <w:snapToGrid w:val="0"/>
              <w:ind w:right="26"/>
              <w:jc w:val="center"/>
              <w:rPr>
                <w:rFonts w:ascii="宋体" w:hAnsi="宋体"/>
              </w:rPr>
            </w:pPr>
            <w:r>
              <w:rPr>
                <w:rFonts w:hint="eastAsia" w:asciiTheme="minorEastAsia" w:hAnsiTheme="minorEastAsia" w:eastAsiaTheme="minorEastAsia"/>
              </w:rPr>
              <w:t>0</w:t>
            </w:r>
          </w:p>
        </w:tc>
        <w:tc>
          <w:tcPr>
            <w:tcW w:w="407" w:type="pct"/>
            <w:vAlign w:val="center"/>
          </w:tcPr>
          <w:p>
            <w:pPr>
              <w:kinsoku w:val="0"/>
              <w:overflowPunct w:val="0"/>
              <w:autoSpaceDE w:val="0"/>
              <w:autoSpaceDN w:val="0"/>
              <w:adjustRightInd w:val="0"/>
              <w:snapToGrid w:val="0"/>
              <w:ind w:right="26"/>
              <w:jc w:val="center"/>
              <w:rPr>
                <w:rFonts w:ascii="宋体" w:hAnsi="宋体"/>
              </w:rPr>
            </w:pPr>
            <w:r>
              <w:rPr>
                <w:rFonts w:hint="eastAsia" w:asciiTheme="minorEastAsia" w:hAnsiTheme="minorEastAsia" w:eastAsiaTheme="minorEastAsia"/>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赵青春</w:t>
            </w:r>
          </w:p>
        </w:tc>
        <w:tc>
          <w:tcPr>
            <w:tcW w:w="55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董事、财务</w:t>
            </w:r>
          </w:p>
          <w:p>
            <w:pPr>
              <w:kinsoku w:val="0"/>
              <w:overflowPunct w:val="0"/>
              <w:autoSpaceDE w:val="0"/>
              <w:autoSpaceDN w:val="0"/>
              <w:adjustRightInd w:val="0"/>
              <w:snapToGrid w:val="0"/>
              <w:ind w:right="26"/>
              <w:jc w:val="center"/>
              <w:rPr>
                <w:rFonts w:ascii="宋体" w:hAnsi="宋体"/>
              </w:rPr>
            </w:pPr>
            <w:r>
              <w:rPr>
                <w:rFonts w:hint="eastAsia" w:ascii="宋体" w:hAnsi="宋体"/>
              </w:rPr>
              <w:t>总监（离任）</w:t>
            </w:r>
          </w:p>
        </w:tc>
        <w:tc>
          <w:tcPr>
            <w:tcW w:w="553" w:type="pct"/>
            <w:vAlign w:val="center"/>
          </w:tcPr>
          <w:p>
            <w:pPr>
              <w:jc w:val="center"/>
              <w:rPr>
                <w:rFonts w:ascii="宋体" w:hAnsi="宋体"/>
              </w:rPr>
            </w:pPr>
            <w:r>
              <w:rPr>
                <w:rFonts w:hint="eastAsia" w:ascii="宋体" w:hAnsi="宋体"/>
              </w:rPr>
              <w:t>8</w:t>
            </w:r>
            <w:r>
              <w:rPr>
                <w:rFonts w:ascii="宋体" w:hAnsi="宋体"/>
              </w:rPr>
              <w:t>.84</w:t>
            </w:r>
          </w:p>
        </w:tc>
        <w:tc>
          <w:tcPr>
            <w:tcW w:w="391"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51"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0</w:t>
            </w:r>
          </w:p>
        </w:tc>
        <w:tc>
          <w:tcPr>
            <w:tcW w:w="43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60"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8.84</w:t>
            </w:r>
          </w:p>
        </w:tc>
        <w:tc>
          <w:tcPr>
            <w:tcW w:w="486"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8</w:t>
            </w:r>
            <w:r>
              <w:rPr>
                <w:rFonts w:ascii="宋体" w:hAnsi="宋体"/>
              </w:rPr>
              <w:t>.84</w:t>
            </w:r>
          </w:p>
        </w:tc>
        <w:tc>
          <w:tcPr>
            <w:tcW w:w="312"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w:t>
            </w:r>
            <w:r>
              <w:rPr>
                <w:rFonts w:ascii="宋体" w:hAnsi="宋体"/>
              </w:rPr>
              <w:t>.52</w:t>
            </w:r>
          </w:p>
        </w:tc>
        <w:tc>
          <w:tcPr>
            <w:tcW w:w="474"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0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田兆华</w:t>
            </w:r>
          </w:p>
        </w:tc>
        <w:tc>
          <w:tcPr>
            <w:tcW w:w="55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副总经理</w:t>
            </w:r>
          </w:p>
          <w:p>
            <w:pPr>
              <w:kinsoku w:val="0"/>
              <w:overflowPunct w:val="0"/>
              <w:autoSpaceDE w:val="0"/>
              <w:autoSpaceDN w:val="0"/>
              <w:adjustRightInd w:val="0"/>
              <w:snapToGrid w:val="0"/>
              <w:ind w:right="26"/>
              <w:jc w:val="center"/>
              <w:rPr>
                <w:rFonts w:ascii="宋体" w:hAnsi="宋体"/>
              </w:rPr>
            </w:pPr>
            <w:r>
              <w:rPr>
                <w:rFonts w:hint="eastAsia" w:ascii="宋体" w:hAnsi="宋体"/>
              </w:rPr>
              <w:t>（离任）</w:t>
            </w:r>
          </w:p>
        </w:tc>
        <w:tc>
          <w:tcPr>
            <w:tcW w:w="553" w:type="pct"/>
            <w:vAlign w:val="center"/>
          </w:tcPr>
          <w:p>
            <w:pPr>
              <w:jc w:val="center"/>
              <w:rPr>
                <w:rFonts w:ascii="宋体" w:hAnsi="宋体"/>
              </w:rPr>
            </w:pPr>
            <w:r>
              <w:rPr>
                <w:rFonts w:hint="eastAsia" w:ascii="宋体" w:hAnsi="宋体"/>
              </w:rPr>
              <w:t>5</w:t>
            </w:r>
            <w:r>
              <w:rPr>
                <w:rFonts w:ascii="宋体" w:hAnsi="宋体"/>
              </w:rPr>
              <w:t>.10</w:t>
            </w:r>
          </w:p>
        </w:tc>
        <w:tc>
          <w:tcPr>
            <w:tcW w:w="391"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51"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0</w:t>
            </w:r>
          </w:p>
        </w:tc>
        <w:tc>
          <w:tcPr>
            <w:tcW w:w="43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60"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5.10</w:t>
            </w:r>
          </w:p>
        </w:tc>
        <w:tc>
          <w:tcPr>
            <w:tcW w:w="486"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5</w:t>
            </w:r>
            <w:r>
              <w:rPr>
                <w:rFonts w:ascii="宋体" w:hAnsi="宋体"/>
              </w:rPr>
              <w:t>.10</w:t>
            </w:r>
          </w:p>
        </w:tc>
        <w:tc>
          <w:tcPr>
            <w:tcW w:w="312"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w:t>
            </w:r>
            <w:r>
              <w:rPr>
                <w:rFonts w:ascii="宋体" w:hAnsi="宋体"/>
              </w:rPr>
              <w:t>.52</w:t>
            </w:r>
          </w:p>
        </w:tc>
        <w:tc>
          <w:tcPr>
            <w:tcW w:w="474"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0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pct"/>
            <w:gridSpan w:val="2"/>
            <w:shd w:val="clear" w:color="auto" w:fill="auto"/>
            <w:vAlign w:val="center"/>
          </w:tcPr>
          <w:p>
            <w:pPr>
              <w:jc w:val="center"/>
              <w:rPr>
                <w:rFonts w:ascii="宋体" w:hAnsi="宋体"/>
              </w:rPr>
            </w:pPr>
            <w:r>
              <w:rPr>
                <w:rFonts w:hint="eastAsia" w:ascii="宋体" w:hAnsi="宋体"/>
              </w:rPr>
              <w:t>董事和高管合计</w:t>
            </w:r>
          </w:p>
        </w:tc>
        <w:tc>
          <w:tcPr>
            <w:tcW w:w="553"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37.4</w:t>
            </w:r>
            <w:r>
              <w:rPr>
                <w:rFonts w:ascii="宋体" w:hAnsi="宋体"/>
              </w:rPr>
              <w:t>0</w:t>
            </w:r>
          </w:p>
        </w:tc>
        <w:tc>
          <w:tcPr>
            <w:tcW w:w="391"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51"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0</w:t>
            </w:r>
          </w:p>
        </w:tc>
        <w:tc>
          <w:tcPr>
            <w:tcW w:w="439"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0</w:t>
            </w:r>
          </w:p>
        </w:tc>
        <w:tc>
          <w:tcPr>
            <w:tcW w:w="460"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37</w:t>
            </w:r>
            <w:r>
              <w:rPr>
                <w:rFonts w:ascii="宋体" w:hAnsi="宋体"/>
              </w:rPr>
              <w:t>.</w:t>
            </w:r>
            <w:r>
              <w:rPr>
                <w:rFonts w:hint="eastAsia" w:ascii="宋体" w:hAnsi="宋体"/>
              </w:rPr>
              <w:t>4</w:t>
            </w:r>
            <w:r>
              <w:rPr>
                <w:rFonts w:ascii="宋体" w:hAnsi="宋体"/>
              </w:rPr>
              <w:t>0</w:t>
            </w:r>
          </w:p>
        </w:tc>
        <w:tc>
          <w:tcPr>
            <w:tcW w:w="486"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37.4</w:t>
            </w:r>
            <w:r>
              <w:rPr>
                <w:rFonts w:ascii="宋体" w:hAnsi="宋体"/>
              </w:rPr>
              <w:t>0</w:t>
            </w:r>
          </w:p>
        </w:tc>
        <w:tc>
          <w:tcPr>
            <w:tcW w:w="312"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w:t>
            </w:r>
            <w:r>
              <w:rPr>
                <w:rFonts w:ascii="宋体" w:hAnsi="宋体"/>
              </w:rPr>
              <w:t>.52</w:t>
            </w:r>
          </w:p>
        </w:tc>
        <w:tc>
          <w:tcPr>
            <w:tcW w:w="474"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0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pct"/>
            <w:gridSpan w:val="2"/>
            <w:shd w:val="clear" w:color="auto" w:fill="auto"/>
            <w:vAlign w:val="center"/>
          </w:tcPr>
          <w:p>
            <w:pPr>
              <w:jc w:val="center"/>
              <w:rPr>
                <w:rFonts w:ascii="宋体" w:hAnsi="宋体"/>
              </w:rPr>
            </w:pPr>
            <w:r>
              <w:rPr>
                <w:rFonts w:hint="eastAsia" w:ascii="宋体" w:hAnsi="宋体"/>
              </w:rPr>
              <w:t>其他人员合计</w:t>
            </w:r>
          </w:p>
        </w:tc>
        <w:tc>
          <w:tcPr>
            <w:tcW w:w="553"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1,2</w:t>
            </w:r>
            <w:r>
              <w:rPr>
                <w:rFonts w:ascii="宋体" w:hAnsi="宋体"/>
              </w:rPr>
              <w:t>6</w:t>
            </w:r>
            <w:r>
              <w:rPr>
                <w:rFonts w:hint="eastAsia" w:ascii="宋体" w:hAnsi="宋体"/>
              </w:rPr>
              <w:t>4</w:t>
            </w:r>
            <w:r>
              <w:rPr>
                <w:rFonts w:ascii="宋体" w:hAnsi="宋体"/>
              </w:rPr>
              <w:t>.</w:t>
            </w:r>
            <w:r>
              <w:rPr>
                <w:rFonts w:hint="eastAsia" w:ascii="宋体" w:hAnsi="宋体"/>
              </w:rPr>
              <w:t>1</w:t>
            </w:r>
            <w:r>
              <w:rPr>
                <w:rFonts w:ascii="宋体" w:hAnsi="宋体"/>
              </w:rPr>
              <w:t>2</w:t>
            </w:r>
          </w:p>
        </w:tc>
        <w:tc>
          <w:tcPr>
            <w:tcW w:w="391"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51" w:type="pct"/>
            <w:vAlign w:val="center"/>
          </w:tcPr>
          <w:p>
            <w:pPr>
              <w:jc w:val="center"/>
              <w:rPr>
                <w:rFonts w:ascii="宋体" w:hAnsi="宋体"/>
              </w:rPr>
            </w:pPr>
            <w:r>
              <w:rPr>
                <w:rFonts w:hint="eastAsia" w:ascii="宋体" w:hAnsi="宋体"/>
              </w:rPr>
              <w:t>35.836</w:t>
            </w:r>
          </w:p>
        </w:tc>
        <w:tc>
          <w:tcPr>
            <w:tcW w:w="43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60" w:type="pct"/>
            <w:vAlign w:val="center"/>
          </w:tcPr>
          <w:p>
            <w:pPr>
              <w:rPr>
                <w:rFonts w:ascii="宋体" w:hAnsi="宋体"/>
              </w:rPr>
            </w:pPr>
            <w:r>
              <w:rPr>
                <w:rFonts w:hint="eastAsia" w:ascii="宋体" w:hAnsi="宋体" w:cs="Calibri"/>
              </w:rPr>
              <w:t>1,228.2</w:t>
            </w:r>
            <w:r>
              <w:rPr>
                <w:rFonts w:ascii="宋体" w:hAnsi="宋体"/>
              </w:rPr>
              <w:t>8</w:t>
            </w:r>
            <w:r>
              <w:rPr>
                <w:rFonts w:hint="eastAsia" w:ascii="宋体" w:hAnsi="宋体" w:cs="Calibri"/>
              </w:rPr>
              <w:t>4</w:t>
            </w:r>
          </w:p>
        </w:tc>
        <w:tc>
          <w:tcPr>
            <w:tcW w:w="486"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cs="Calibri"/>
              </w:rPr>
              <w:t>1,228.2</w:t>
            </w:r>
            <w:r>
              <w:rPr>
                <w:rFonts w:ascii="宋体" w:hAnsi="宋体"/>
              </w:rPr>
              <w:t>8</w:t>
            </w:r>
            <w:r>
              <w:rPr>
                <w:rFonts w:hint="eastAsia" w:ascii="宋体" w:hAnsi="宋体" w:cs="Calibri"/>
              </w:rPr>
              <w:t>4</w:t>
            </w:r>
          </w:p>
        </w:tc>
        <w:tc>
          <w:tcPr>
            <w:tcW w:w="312"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4</w:t>
            </w:r>
            <w:r>
              <w:rPr>
                <w:rFonts w:ascii="宋体" w:hAnsi="宋体"/>
              </w:rPr>
              <w:t>.52</w:t>
            </w:r>
          </w:p>
        </w:tc>
        <w:tc>
          <w:tcPr>
            <w:tcW w:w="474"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0</w:t>
            </w:r>
          </w:p>
        </w:tc>
        <w:tc>
          <w:tcPr>
            <w:tcW w:w="40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pct"/>
            <w:shd w:val="clear" w:color="auto" w:fill="auto"/>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合计</w:t>
            </w:r>
          </w:p>
        </w:tc>
        <w:tc>
          <w:tcPr>
            <w:tcW w:w="557"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w:t>
            </w:r>
          </w:p>
        </w:tc>
        <w:tc>
          <w:tcPr>
            <w:tcW w:w="553"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1</w:t>
            </w:r>
            <w:r>
              <w:rPr>
                <w:rFonts w:hint="eastAsia" w:ascii="宋体" w:hAnsi="宋体"/>
              </w:rPr>
              <w:t>,</w:t>
            </w:r>
            <w:r>
              <w:rPr>
                <w:rFonts w:ascii="宋体" w:hAnsi="宋体"/>
              </w:rPr>
              <w:t>30</w:t>
            </w:r>
            <w:r>
              <w:rPr>
                <w:rFonts w:hint="eastAsia" w:ascii="宋体" w:hAnsi="宋体"/>
              </w:rPr>
              <w:t>1</w:t>
            </w:r>
            <w:r>
              <w:rPr>
                <w:rFonts w:ascii="宋体" w:hAnsi="宋体"/>
              </w:rPr>
              <w:t>.</w:t>
            </w:r>
            <w:r>
              <w:rPr>
                <w:rFonts w:hint="eastAsia" w:ascii="宋体" w:hAnsi="宋体"/>
              </w:rPr>
              <w:t>5</w:t>
            </w:r>
            <w:r>
              <w:rPr>
                <w:rFonts w:ascii="宋体" w:hAnsi="宋体"/>
              </w:rPr>
              <w:t>2</w:t>
            </w:r>
          </w:p>
        </w:tc>
        <w:tc>
          <w:tcPr>
            <w:tcW w:w="391"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51"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35.836</w:t>
            </w:r>
          </w:p>
        </w:tc>
        <w:tc>
          <w:tcPr>
            <w:tcW w:w="439"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60" w:type="pct"/>
            <w:vAlign w:val="center"/>
          </w:tcPr>
          <w:p>
            <w:pPr>
              <w:rPr>
                <w:rFonts w:ascii="宋体" w:hAnsi="宋体"/>
              </w:rPr>
            </w:pPr>
            <w:r>
              <w:rPr>
                <w:rFonts w:hint="eastAsia" w:ascii="宋体" w:hAnsi="宋体" w:cs="Calibri"/>
              </w:rPr>
              <w:t>1,265.6</w:t>
            </w:r>
            <w:r>
              <w:rPr>
                <w:rFonts w:ascii="宋体" w:hAnsi="宋体"/>
              </w:rPr>
              <w:t>8</w:t>
            </w:r>
            <w:r>
              <w:rPr>
                <w:rFonts w:hint="eastAsia" w:ascii="宋体" w:hAnsi="宋体" w:cs="Calibri"/>
              </w:rPr>
              <w:t>4</w:t>
            </w:r>
          </w:p>
        </w:tc>
        <w:tc>
          <w:tcPr>
            <w:tcW w:w="486" w:type="pct"/>
            <w:vAlign w:val="center"/>
          </w:tcPr>
          <w:p>
            <w:pPr>
              <w:kinsoku w:val="0"/>
              <w:overflowPunct w:val="0"/>
              <w:autoSpaceDE w:val="0"/>
              <w:autoSpaceDN w:val="0"/>
              <w:adjustRightInd w:val="0"/>
              <w:snapToGrid w:val="0"/>
              <w:ind w:right="26"/>
              <w:jc w:val="center"/>
              <w:rPr>
                <w:rFonts w:ascii="宋体" w:hAnsi="宋体"/>
              </w:rPr>
            </w:pPr>
            <w:r>
              <w:rPr>
                <w:rFonts w:ascii="宋体" w:hAnsi="宋体"/>
              </w:rPr>
              <w:t>1,2</w:t>
            </w:r>
            <w:r>
              <w:rPr>
                <w:rFonts w:hint="eastAsia" w:ascii="宋体" w:hAnsi="宋体"/>
              </w:rPr>
              <w:t>65</w:t>
            </w:r>
            <w:r>
              <w:rPr>
                <w:rFonts w:ascii="宋体" w:hAnsi="宋体"/>
              </w:rPr>
              <w:t>.</w:t>
            </w:r>
            <w:r>
              <w:rPr>
                <w:rFonts w:hint="eastAsia" w:ascii="宋体" w:hAnsi="宋体"/>
              </w:rPr>
              <w:t>6</w:t>
            </w:r>
            <w:r>
              <w:rPr>
                <w:rFonts w:ascii="宋体" w:hAnsi="宋体"/>
              </w:rPr>
              <w:t>84</w:t>
            </w:r>
          </w:p>
        </w:tc>
        <w:tc>
          <w:tcPr>
            <w:tcW w:w="312"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w:t>
            </w:r>
          </w:p>
        </w:tc>
        <w:tc>
          <w:tcPr>
            <w:tcW w:w="474"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0</w:t>
            </w:r>
          </w:p>
        </w:tc>
        <w:tc>
          <w:tcPr>
            <w:tcW w:w="407" w:type="pct"/>
            <w:vAlign w:val="center"/>
          </w:tcPr>
          <w:p>
            <w:pPr>
              <w:kinsoku w:val="0"/>
              <w:overflowPunct w:val="0"/>
              <w:autoSpaceDE w:val="0"/>
              <w:autoSpaceDN w:val="0"/>
              <w:adjustRightInd w:val="0"/>
              <w:snapToGrid w:val="0"/>
              <w:ind w:right="26"/>
              <w:jc w:val="center"/>
              <w:rPr>
                <w:rFonts w:ascii="宋体" w:hAnsi="宋体"/>
              </w:rPr>
            </w:pPr>
            <w:r>
              <w:rPr>
                <w:rFonts w:hint="eastAsia" w:ascii="宋体" w:hAnsi="宋体"/>
              </w:rPr>
              <w:t>/</w:t>
            </w:r>
          </w:p>
        </w:tc>
      </w:tr>
    </w:tbl>
    <w:p>
      <w:pPr>
        <w:rPr>
          <w:rFonts w:ascii="宋体" w:hAnsi="宋体"/>
        </w:rPr>
      </w:pPr>
    </w:p>
    <w:p>
      <w:pPr>
        <w:ind w:firstLine="420" w:firstLineChars="200"/>
        <w:rPr>
          <w:rFonts w:ascii="宋体" w:hAnsi="宋体"/>
        </w:rPr>
      </w:pPr>
      <w:r>
        <w:rPr>
          <w:rFonts w:hint="eastAsia" w:ascii="宋体" w:hAnsi="宋体"/>
        </w:rPr>
        <w:t>注：</w:t>
      </w:r>
    </w:p>
    <w:p>
      <w:pPr>
        <w:ind w:firstLine="420" w:firstLineChars="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r>
        <w:rPr>
          <w:rFonts w:hint="eastAsia" w:ascii="宋体" w:hAnsi="宋体"/>
        </w:rPr>
        <w:t>截至本报告披露日，公司对董事、高级管理人员进行了一定的调整，上表根据本报告披露日公司董事、高级管理人员任职情况填列。</w:t>
      </w:r>
    </w:p>
    <w:p>
      <w:pPr>
        <w:ind w:firstLine="420" w:firstLineChars="200"/>
        <w:rPr>
          <w:rFonts w:ascii="宋体" w:hAnsi="宋体"/>
        </w:rPr>
      </w:pPr>
      <w:r>
        <w:rPr>
          <w:rFonts w:hint="eastAsia" w:ascii="宋体" w:hAnsi="宋体"/>
        </w:rPr>
        <w:t>②本表中各激励对象于2023年初持有尚未行使的股票期权之授出日期为2019年2月12日。</w:t>
      </w:r>
    </w:p>
    <w:p>
      <w:pPr>
        <w:ind w:firstLine="420" w:firstLineChars="200"/>
        <w:rPr>
          <w:rFonts w:ascii="宋体" w:hAnsi="宋体"/>
        </w:rPr>
      </w:pPr>
      <w:r>
        <w:rPr>
          <w:rFonts w:hint="eastAsia" w:ascii="宋体" w:hAnsi="宋体"/>
        </w:rPr>
        <w:t>③本表中各激励对象于2023年初持有股票期权可行权期间为2023年2月13日至2024年2月8日。</w:t>
      </w:r>
    </w:p>
    <w:p>
      <w:pPr>
        <w:ind w:firstLine="420" w:firstLineChars="200"/>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4 \* GB3</w:instrText>
      </w:r>
      <w:r>
        <w:rPr>
          <w:rFonts w:ascii="宋体" w:hAnsi="宋体"/>
        </w:rPr>
        <w:instrText xml:space="preserve">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经</w:t>
      </w:r>
      <w:r>
        <w:rPr>
          <w:rFonts w:ascii="宋体" w:hAnsi="宋体"/>
        </w:rPr>
        <w:t>2023年4月24日召开的公司第八届董事会第二十八次会议审议批准，12名激励对象因离职、个人绩效等原因，公司注销股票期权358,360份。</w:t>
      </w:r>
    </w:p>
    <w:p>
      <w:pPr>
        <w:kinsoku w:val="0"/>
        <w:overflowPunct w:val="0"/>
        <w:autoSpaceDE w:val="0"/>
        <w:autoSpaceDN w:val="0"/>
        <w:adjustRightInd w:val="0"/>
        <w:snapToGrid w:val="0"/>
        <w:ind w:firstLine="420" w:firstLineChars="200"/>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 5 \* GB3 </w:instrText>
      </w:r>
      <w:r>
        <w:rPr>
          <w:rFonts w:asciiTheme="minorEastAsia" w:hAnsiTheme="minorEastAsia" w:eastAsiaTheme="minorEastAsia"/>
        </w:rPr>
        <w:fldChar w:fldCharType="separate"/>
      </w:r>
      <w:r>
        <w:rPr>
          <w:rFonts w:hint="eastAsia" w:asciiTheme="minorEastAsia" w:hAnsiTheme="minorEastAsia" w:eastAsiaTheme="minorEastAsia"/>
        </w:rPr>
        <w:t>⑤</w:t>
      </w:r>
      <w:r>
        <w:rPr>
          <w:rFonts w:asciiTheme="minorEastAsia" w:hAnsiTheme="minorEastAsia" w:eastAsiaTheme="minorEastAsia"/>
        </w:rPr>
        <w:fldChar w:fldCharType="end"/>
      </w:r>
      <w:bookmarkStart w:id="114" w:name="_Hlk161154644"/>
      <w:r>
        <w:rPr>
          <w:rFonts w:hint="eastAsia" w:asciiTheme="minorEastAsia" w:hAnsiTheme="minorEastAsia" w:eastAsiaTheme="minorEastAsia"/>
        </w:rPr>
        <w:t>根据期权激励计划，表内各激励对象于</w:t>
      </w:r>
      <w:r>
        <w:rPr>
          <w:rFonts w:asciiTheme="minorEastAsia" w:hAnsiTheme="minorEastAsia" w:eastAsiaTheme="minorEastAsia"/>
        </w:rPr>
        <w:t>20</w:t>
      </w:r>
      <w:r>
        <w:rPr>
          <w:rFonts w:hint="eastAsia" w:asciiTheme="minorEastAsia" w:hAnsiTheme="minorEastAsia" w:eastAsiaTheme="minorEastAsia"/>
        </w:rPr>
        <w:t>19</w:t>
      </w:r>
      <w:r>
        <w:rPr>
          <w:rFonts w:asciiTheme="minorEastAsia" w:hAnsiTheme="minorEastAsia" w:eastAsiaTheme="minorEastAsia"/>
        </w:rPr>
        <w:t>年</w:t>
      </w:r>
      <w:r>
        <w:rPr>
          <w:rFonts w:hint="eastAsia" w:asciiTheme="minorEastAsia" w:hAnsiTheme="minorEastAsia" w:eastAsiaTheme="minorEastAsia"/>
        </w:rPr>
        <w:t>2</w:t>
      </w:r>
      <w:r>
        <w:rPr>
          <w:rFonts w:asciiTheme="minorEastAsia" w:hAnsiTheme="minorEastAsia" w:eastAsiaTheme="minorEastAsia"/>
        </w:rPr>
        <w:t>月</w:t>
      </w:r>
      <w:r>
        <w:rPr>
          <w:rFonts w:hint="eastAsia" w:asciiTheme="minorEastAsia" w:hAnsiTheme="minorEastAsia" w:eastAsiaTheme="minorEastAsia"/>
        </w:rPr>
        <w:t>12</w:t>
      </w:r>
      <w:r>
        <w:rPr>
          <w:rFonts w:asciiTheme="minorEastAsia" w:hAnsiTheme="minorEastAsia" w:eastAsiaTheme="minorEastAsia"/>
        </w:rPr>
        <w:t>日获授</w:t>
      </w:r>
      <w:r>
        <w:rPr>
          <w:rFonts w:hint="eastAsia" w:asciiTheme="minorEastAsia" w:hAnsiTheme="minorEastAsia" w:eastAsiaTheme="minorEastAsia"/>
        </w:rPr>
        <w:t>股票期权</w:t>
      </w:r>
      <w:r>
        <w:rPr>
          <w:rFonts w:asciiTheme="minorEastAsia" w:hAnsiTheme="minorEastAsia" w:eastAsiaTheme="minorEastAsia"/>
        </w:rPr>
        <w:t>，紧接该等</w:t>
      </w:r>
      <w:r>
        <w:rPr>
          <w:rFonts w:hint="eastAsia" w:asciiTheme="minorEastAsia" w:hAnsiTheme="minorEastAsia" w:eastAsiaTheme="minorEastAsia"/>
        </w:rPr>
        <w:t>股票期权</w:t>
      </w:r>
      <w:r>
        <w:rPr>
          <w:rFonts w:asciiTheme="minorEastAsia" w:hAnsiTheme="minorEastAsia" w:eastAsiaTheme="minorEastAsia"/>
        </w:rPr>
        <w:t>授出日期之前的</w:t>
      </w:r>
      <w:r>
        <w:rPr>
          <w:rFonts w:hint="eastAsia" w:asciiTheme="minorEastAsia" w:hAnsiTheme="minorEastAsia" w:eastAsiaTheme="minorEastAsia"/>
        </w:rPr>
        <w:t>加权平均收市价为人民币9.20元</w:t>
      </w:r>
      <w:r>
        <w:rPr>
          <w:rFonts w:hint="eastAsia" w:ascii="宋体" w:hAnsi="宋体"/>
        </w:rPr>
        <w:t>（除权除息前价格）</w:t>
      </w:r>
      <w:r>
        <w:rPr>
          <w:rFonts w:asciiTheme="minorEastAsia" w:hAnsiTheme="minorEastAsia" w:eastAsiaTheme="minorEastAsia"/>
        </w:rPr>
        <w:t>。</w:t>
      </w:r>
      <w:bookmarkEnd w:id="114"/>
    </w:p>
    <w:p>
      <w:pPr>
        <w:kinsoku w:val="0"/>
        <w:overflowPunct w:val="0"/>
        <w:autoSpaceDE w:val="0"/>
        <w:autoSpaceDN w:val="0"/>
        <w:adjustRightInd w:val="0"/>
        <w:snapToGrid w:val="0"/>
        <w:ind w:firstLine="420" w:firstLineChars="200"/>
        <w:rPr>
          <w:rFonts w:asciiTheme="minorEastAsia" w:hAnsiTheme="minorEastAsia" w:eastAsiaTheme="minorEastAsia"/>
          <w:color w:val="0000FF"/>
        </w:rPr>
      </w:pPr>
      <w:r>
        <w:rPr>
          <w:rFonts w:hint="eastAsia" w:asciiTheme="minorEastAsia" w:hAnsiTheme="minorEastAsia" w:eastAsiaTheme="minorEastAsia"/>
        </w:rPr>
        <w:t>⑥报告期内，紧接根据期权激励计划行权日期（即2023年5月23日）之前的加权平均收市价为34.60元</w:t>
      </w:r>
      <w:r>
        <w:rPr>
          <w:rFonts w:hint="eastAsia" w:ascii="宋体" w:hAnsi="宋体"/>
        </w:rPr>
        <w:t>（除权除息前价格）</w:t>
      </w:r>
      <w:r>
        <w:rPr>
          <w:rFonts w:hint="eastAsia" w:asciiTheme="minorEastAsia" w:hAnsiTheme="minorEastAsia" w:eastAsiaTheme="minorEastAsia"/>
        </w:rPr>
        <w:t>。</w:t>
      </w:r>
    </w:p>
    <w:p>
      <w:pPr>
        <w:ind w:firstLine="420" w:firstLineChars="200"/>
        <w:rPr>
          <w:rFonts w:ascii="宋体" w:hAnsi="宋体"/>
        </w:rPr>
      </w:pPr>
    </w:p>
    <w:p>
      <w:pPr>
        <w:kinsoku w:val="0"/>
        <w:overflowPunct w:val="0"/>
        <w:autoSpaceDE w:val="0"/>
        <w:autoSpaceDN w:val="0"/>
        <w:adjustRightInd w:val="0"/>
        <w:snapToGrid w:val="0"/>
        <w:rPr>
          <w:rFonts w:ascii="宋体" w:hAnsi="宋体"/>
          <w:color w:val="0000FF"/>
        </w:rPr>
      </w:pPr>
    </w:p>
    <w:sdt>
      <w:sdtPr>
        <w:rPr>
          <w:rFonts w:hint="eastAsia" w:ascii="宋体" w:hAnsi="宋体"/>
        </w:rPr>
        <w:alias w:val="是否适用：董事、监事、高级管理人员报告期内被授予的限制性股票激励情况[双击切换]"/>
        <w:tag w:val="_GBC_fab645ff85b74c30b698dafe2aa5cba6"/>
        <w:id w:val="329486613"/>
        <w:placeholder>
          <w:docPart w:val="GBC22222222222222222222222222222"/>
        </w:placeholder>
      </w:sdtPr>
      <w:sdtEndPr>
        <w:rPr>
          <w:rFonts w:hint="eastAsia" w:ascii="宋体" w:hAnsi="宋体"/>
        </w:rPr>
      </w:sdtEndPr>
      <w:sdtContent>
        <w:p>
          <w:pPr>
            <w:kinsoku w:val="0"/>
            <w:overflowPunct w:val="0"/>
            <w:autoSpaceDE w:val="0"/>
            <w:autoSpaceDN w:val="0"/>
            <w:adjustRightInd w:val="0"/>
            <w:snapToGrid w:val="0"/>
            <w:rPr>
              <w:rFonts w:ascii="宋体" w:hAnsi="宋体"/>
            </w:rPr>
          </w:pPr>
          <w:bookmarkStart w:id="115" w:name="_Hlk56780992"/>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r>
        <w:rPr>
          <w:rFonts w:hint="eastAsia" w:ascii="宋体" w:hAnsi="宋体"/>
        </w:rPr>
        <w:t>限制性股票激励计划</w:t>
      </w:r>
    </w:p>
    <w:p>
      <w:pPr>
        <w:kinsoku w:val="0"/>
        <w:overflowPunct w:val="0"/>
        <w:autoSpaceDE w:val="0"/>
        <w:autoSpaceDN w:val="0"/>
        <w:adjustRightInd w:val="0"/>
        <w:snapToGrid w:val="0"/>
        <w:jc w:val="right"/>
        <w:rPr>
          <w:rFonts w:ascii="宋体" w:hAnsi="宋体"/>
        </w:rPr>
      </w:pPr>
      <w:r>
        <w:rPr>
          <w:rFonts w:hint="eastAsia" w:ascii="宋体" w:hAnsi="宋体"/>
        </w:rPr>
        <w:t>单位:</w:t>
      </w:r>
      <w:sdt>
        <w:sdtPr>
          <w:rPr>
            <w:rFonts w:hint="eastAsia" w:ascii="宋体" w:hAnsi="宋体"/>
          </w:rPr>
          <w:alias w:val="单位：董事、监事、高级管理人员报告期内被授予的股权激励情况"/>
          <w:tag w:val="_GBC_fd6c88cda94949d6a3e4b29026628a1d"/>
          <w:id w:val="103701323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ascii="宋体" w:hAnsi="宋体"/>
          </w:rPr>
        </w:sdtEndPr>
        <w:sdtContent>
          <w:r>
            <w:rPr>
              <w:rFonts w:hint="eastAsia" w:ascii="宋体" w:hAnsi="宋体"/>
            </w:rPr>
            <w:t>万股</w:t>
          </w:r>
        </w:sdtContent>
      </w:sdt>
    </w:p>
    <w:bookmarkEnd w:id="115"/>
    <w:tbl>
      <w:tblPr>
        <w:tblStyle w:val="20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2018"/>
        <w:gridCol w:w="1014"/>
        <w:gridCol w:w="1341"/>
        <w:gridCol w:w="1389"/>
        <w:gridCol w:w="1136"/>
        <w:gridCol w:w="1200"/>
        <w:gridCol w:w="1344"/>
        <w:gridCol w:w="1344"/>
        <w:gridCol w:w="120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c9bbc87e326c4f249ca30ca583c2371e"/>
            <w:id w:val="-1296448412"/>
          </w:sdtPr>
          <w:sdtEndPr>
            <w:rPr>
              <w:rFonts w:ascii="宋体" w:hAnsi="宋体"/>
            </w:rPr>
          </w:sdtEndPr>
          <w:sdtContent>
            <w:tc>
              <w:tcPr>
                <w:tcW w:w="35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姓名</w:t>
                </w:r>
              </w:p>
            </w:tc>
          </w:sdtContent>
        </w:sdt>
        <w:sdt>
          <w:sdtPr>
            <w:rPr>
              <w:rFonts w:ascii="宋体" w:hAnsi="宋体"/>
            </w:rPr>
            <w:tag w:val="_PLD_0f5c9d3a544444b980080b1d8d4d85eb"/>
            <w:id w:val="-1998946319"/>
          </w:sdtPr>
          <w:sdtEndPr>
            <w:rPr>
              <w:rFonts w:ascii="宋体" w:hAnsi="宋体"/>
            </w:rPr>
          </w:sdtEndPr>
          <w:sdtContent>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职务</w:t>
                </w:r>
              </w:p>
            </w:tc>
          </w:sdtContent>
        </w:sdt>
        <w:sdt>
          <w:sdtPr>
            <w:rPr>
              <w:rFonts w:ascii="宋体" w:hAnsi="宋体"/>
            </w:rPr>
            <w:tag w:val="_PLD_bc6ad7db9a354aa8970b23561b28ee9a"/>
            <w:id w:val="-1469974319"/>
          </w:sdtPr>
          <w:sdtEndPr>
            <w:rPr>
              <w:rFonts w:ascii="宋体" w:hAnsi="宋体"/>
            </w:rPr>
          </w:sdtEndPr>
          <w:sdtContent>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年</w:t>
                </w:r>
                <w:r>
                  <w:rPr>
                    <w:rFonts w:ascii="宋体" w:hAnsi="宋体"/>
                  </w:rPr>
                  <w:t>初持有限制性股票数量</w:t>
                </w:r>
              </w:p>
            </w:tc>
          </w:sdtContent>
        </w:sdt>
        <w:sdt>
          <w:sdtPr>
            <w:rPr>
              <w:rFonts w:ascii="宋体" w:hAnsi="宋体"/>
            </w:rPr>
            <w:tag w:val="_PLD_e9aed798fa4f41c8983f815df23bfc9e"/>
            <w:id w:val="-593855783"/>
          </w:sdtPr>
          <w:sdtEndPr>
            <w:rPr>
              <w:rFonts w:ascii="宋体" w:hAnsi="宋体"/>
            </w:rPr>
          </w:sdtEndPr>
          <w:sdtContent>
            <w:tc>
              <w:tcPr>
                <w:tcW w:w="476" w:type="pct"/>
                <w:vAlign w:val="center"/>
              </w:tcPr>
              <w:p>
                <w:pPr>
                  <w:kinsoku w:val="0"/>
                  <w:overflowPunct w:val="0"/>
                  <w:autoSpaceDE w:val="0"/>
                  <w:autoSpaceDN w:val="0"/>
                  <w:adjustRightInd w:val="0"/>
                  <w:snapToGrid w:val="0"/>
                  <w:jc w:val="center"/>
                  <w:rPr>
                    <w:rFonts w:ascii="宋体" w:hAnsi="宋体"/>
                  </w:rPr>
                </w:pPr>
                <w:r>
                  <w:rPr>
                    <w:rFonts w:ascii="宋体" w:hAnsi="宋体"/>
                  </w:rPr>
                  <w:t>报告期新授予限制性股票数量</w:t>
                </w:r>
              </w:p>
            </w:tc>
          </w:sdtContent>
        </w:sdt>
        <w:tc>
          <w:tcPr>
            <w:tcW w:w="493" w:type="pct"/>
          </w:tcPr>
          <w:p>
            <w:pPr>
              <w:kinsoku w:val="0"/>
              <w:overflowPunct w:val="0"/>
              <w:autoSpaceDE w:val="0"/>
              <w:autoSpaceDN w:val="0"/>
              <w:adjustRightInd w:val="0"/>
              <w:snapToGrid w:val="0"/>
              <w:jc w:val="center"/>
              <w:rPr>
                <w:rFonts w:ascii="宋体" w:hAnsi="宋体"/>
              </w:rPr>
            </w:pPr>
            <w:r>
              <w:rPr>
                <w:rFonts w:hint="eastAsia" w:ascii="宋体" w:hAnsi="宋体"/>
              </w:rPr>
              <w:t>报告期内注销限制性股票数量</w:t>
            </w:r>
          </w:p>
        </w:tc>
        <w:tc>
          <w:tcPr>
            <w:tcW w:w="403" w:type="pct"/>
          </w:tcPr>
          <w:p>
            <w:pPr>
              <w:kinsoku w:val="0"/>
              <w:overflowPunct w:val="0"/>
              <w:autoSpaceDE w:val="0"/>
              <w:autoSpaceDN w:val="0"/>
              <w:adjustRightInd w:val="0"/>
              <w:snapToGrid w:val="0"/>
              <w:jc w:val="center"/>
              <w:rPr>
                <w:rFonts w:ascii="宋体" w:hAnsi="宋体"/>
              </w:rPr>
            </w:pPr>
            <w:r>
              <w:rPr>
                <w:rFonts w:hint="eastAsia" w:ascii="宋体" w:hAnsi="宋体"/>
              </w:rPr>
              <w:t>报告期内失效限制性股票数量</w:t>
            </w:r>
          </w:p>
        </w:tc>
        <w:sdt>
          <w:sdtPr>
            <w:rPr>
              <w:rFonts w:ascii="宋体" w:hAnsi="宋体"/>
            </w:rPr>
            <w:tag w:val="_PLD_303c7257ef864533a238566b9850dc2b"/>
            <w:id w:val="938790554"/>
          </w:sdtPr>
          <w:sdtEndPr>
            <w:rPr>
              <w:rFonts w:ascii="宋体" w:hAnsi="宋体"/>
            </w:rPr>
          </w:sdtEndPr>
          <w:sdtContent>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限制性股票的授予价格</w:t>
                </w:r>
              </w:p>
              <w:p>
                <w:pPr>
                  <w:kinsoku w:val="0"/>
                  <w:overflowPunct w:val="0"/>
                  <w:autoSpaceDE w:val="0"/>
                  <w:autoSpaceDN w:val="0"/>
                  <w:adjustRightInd w:val="0"/>
                  <w:snapToGrid w:val="0"/>
                  <w:jc w:val="center"/>
                  <w:rPr>
                    <w:rFonts w:ascii="宋体" w:hAnsi="宋体"/>
                  </w:rPr>
                </w:pPr>
                <w:r>
                  <w:rPr>
                    <w:rFonts w:ascii="宋体" w:hAnsi="宋体"/>
                  </w:rPr>
                  <w:t>（元）</w:t>
                </w:r>
              </w:p>
            </w:tc>
          </w:sdtContent>
        </w:sdt>
        <w:sdt>
          <w:sdtPr>
            <w:rPr>
              <w:rFonts w:ascii="宋体" w:hAnsi="宋体"/>
            </w:rPr>
            <w:tag w:val="_PLD_aadbcbfa95d44aae8fb08edd516c6c4d"/>
            <w:id w:val="1349052489"/>
          </w:sdtPr>
          <w:sdtEndPr>
            <w:rPr>
              <w:rFonts w:ascii="宋体" w:hAnsi="宋体"/>
            </w:rPr>
          </w:sdtEndPr>
          <w:sdtContent>
            <w:tc>
              <w:tcPr>
                <w:tcW w:w="477" w:type="pct"/>
                <w:vAlign w:val="center"/>
              </w:tcPr>
              <w:p>
                <w:pPr>
                  <w:kinsoku w:val="0"/>
                  <w:overflowPunct w:val="0"/>
                  <w:autoSpaceDE w:val="0"/>
                  <w:autoSpaceDN w:val="0"/>
                  <w:adjustRightInd w:val="0"/>
                  <w:snapToGrid w:val="0"/>
                  <w:jc w:val="center"/>
                  <w:rPr>
                    <w:rFonts w:ascii="宋体" w:hAnsi="宋体"/>
                  </w:rPr>
                </w:pPr>
                <w:r>
                  <w:rPr>
                    <w:rFonts w:ascii="宋体" w:hAnsi="宋体"/>
                  </w:rPr>
                  <w:t>已解锁股份</w:t>
                </w:r>
              </w:p>
            </w:tc>
          </w:sdtContent>
        </w:sdt>
        <w:sdt>
          <w:sdtPr>
            <w:rPr>
              <w:rFonts w:ascii="宋体" w:hAnsi="宋体"/>
            </w:rPr>
            <w:tag w:val="_PLD_63c4030dc8754c0bb4fe02ea53b33c48"/>
            <w:id w:val="-1573106694"/>
          </w:sdtPr>
          <w:sdtEndPr>
            <w:rPr>
              <w:rFonts w:ascii="宋体" w:hAnsi="宋体"/>
            </w:rPr>
          </w:sdtEndPr>
          <w:sdtContent>
            <w:tc>
              <w:tcPr>
                <w:tcW w:w="477" w:type="pct"/>
                <w:vAlign w:val="center"/>
              </w:tcPr>
              <w:p>
                <w:pPr>
                  <w:kinsoku w:val="0"/>
                  <w:overflowPunct w:val="0"/>
                  <w:autoSpaceDE w:val="0"/>
                  <w:autoSpaceDN w:val="0"/>
                  <w:adjustRightInd w:val="0"/>
                  <w:snapToGrid w:val="0"/>
                  <w:jc w:val="center"/>
                  <w:rPr>
                    <w:rFonts w:ascii="宋体" w:hAnsi="宋体"/>
                  </w:rPr>
                </w:pPr>
                <w:r>
                  <w:rPr>
                    <w:rFonts w:ascii="宋体" w:hAnsi="宋体"/>
                  </w:rPr>
                  <w:t>未解锁股份</w:t>
                </w:r>
              </w:p>
            </w:tc>
          </w:sdtContent>
        </w:sdt>
        <w:sdt>
          <w:sdtPr>
            <w:rPr>
              <w:rFonts w:ascii="宋体" w:hAnsi="宋体"/>
            </w:rPr>
            <w:tag w:val="_PLD_8bd0578e24f24186a40ea12feaed00ee"/>
            <w:id w:val="214858166"/>
          </w:sdtPr>
          <w:sdtEndPr>
            <w:rPr>
              <w:rFonts w:ascii="宋体" w:hAnsi="宋体"/>
            </w:rPr>
          </w:sdtEndPr>
          <w:sdtContent>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期末持有限制性股票数量</w:t>
                </w:r>
              </w:p>
            </w:tc>
          </w:sdtContent>
        </w:sdt>
        <w:sdt>
          <w:sdtPr>
            <w:rPr>
              <w:rFonts w:ascii="宋体" w:hAnsi="宋体"/>
            </w:rPr>
            <w:tag w:val="_PLD_187f1fb43a3442bc943be5430b7104ae"/>
            <w:id w:val="-1975596664"/>
          </w:sdtPr>
          <w:sdtEndPr>
            <w:rPr>
              <w:rFonts w:ascii="宋体" w:hAnsi="宋体"/>
            </w:rPr>
          </w:sdtEndPr>
          <w:sdtContent>
            <w:tc>
              <w:tcPr>
                <w:tcW w:w="390" w:type="pct"/>
                <w:vAlign w:val="center"/>
              </w:tcPr>
              <w:p>
                <w:pPr>
                  <w:kinsoku w:val="0"/>
                  <w:overflowPunct w:val="0"/>
                  <w:autoSpaceDE w:val="0"/>
                  <w:autoSpaceDN w:val="0"/>
                  <w:adjustRightInd w:val="0"/>
                  <w:snapToGrid w:val="0"/>
                  <w:jc w:val="center"/>
                  <w:rPr>
                    <w:rFonts w:ascii="宋体" w:hAnsi="宋体"/>
                  </w:rPr>
                </w:pPr>
                <w:r>
                  <w:rPr>
                    <w:rFonts w:ascii="宋体" w:hAnsi="宋体"/>
                  </w:rPr>
                  <w:t>报告期末市价</w:t>
                </w:r>
              </w:p>
              <w:p>
                <w:pPr>
                  <w:kinsoku w:val="0"/>
                  <w:overflowPunct w:val="0"/>
                  <w:autoSpaceDE w:val="0"/>
                  <w:autoSpaceDN w:val="0"/>
                  <w:adjustRightInd w:val="0"/>
                  <w:snapToGrid w:val="0"/>
                  <w:jc w:val="center"/>
                  <w:rPr>
                    <w:rFonts w:ascii="宋体" w:hAnsi="宋体"/>
                  </w:rPr>
                </w:pPr>
                <w:r>
                  <w:rPr>
                    <w:rFonts w:ascii="宋体" w:hAnsi="宋体"/>
                  </w:rPr>
                  <w:t>（元）</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cstheme="minorBidi"/>
              </w:rPr>
            </w:pPr>
            <w:r>
              <w:rPr>
                <w:rFonts w:hint="eastAsia" w:ascii="宋体" w:hAnsi="宋体"/>
              </w:rPr>
              <w:t>肖耀猛</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党委书记、董事、总经理</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20</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10</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ascii="宋体" w:hAnsi="宋体"/>
              </w:rPr>
              <w:t>3</w:t>
            </w: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3</w:t>
            </w:r>
            <w:r>
              <w:rPr>
                <w:rFonts w:hint="eastAsia" w:ascii="宋体" w:hAnsi="宋体"/>
              </w:rPr>
              <w:t>0</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rPr>
            </w:pPr>
            <w:r>
              <w:rPr>
                <w:rFonts w:hint="eastAsia" w:ascii="宋体" w:hAnsi="宋体"/>
              </w:rPr>
              <w:t>刘  强</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董事</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16</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24</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cstheme="minorBidi"/>
              </w:rPr>
            </w:pPr>
            <w:r>
              <w:rPr>
                <w:rFonts w:hint="eastAsia" w:ascii="宋体" w:hAnsi="宋体"/>
              </w:rPr>
              <w:t>张传昌</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副总经理</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16</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w:t>
            </w:r>
            <w:r>
              <w:rPr>
                <w:rFonts w:ascii="宋体" w:hAnsi="宋体"/>
              </w:rPr>
              <w:t>4</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w:t>
            </w:r>
            <w:r>
              <w:rPr>
                <w:rFonts w:ascii="宋体" w:hAnsi="宋体"/>
              </w:rPr>
              <w:t>4</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cstheme="minorBidi"/>
              </w:rPr>
            </w:pPr>
            <w:r>
              <w:rPr>
                <w:rFonts w:hint="eastAsia" w:ascii="宋体" w:hAnsi="宋体"/>
              </w:rPr>
              <w:t>黄霄龙</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董事、董事会秘书</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16</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w:t>
            </w:r>
            <w:r>
              <w:rPr>
                <w:rFonts w:ascii="宋体" w:hAnsi="宋体"/>
              </w:rPr>
              <w:t>4</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w:t>
            </w:r>
            <w:r>
              <w:rPr>
                <w:rFonts w:ascii="宋体" w:hAnsi="宋体"/>
              </w:rPr>
              <w:t>4</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cstheme="minorBidi"/>
              </w:rPr>
            </w:pPr>
            <w:r>
              <w:rPr>
                <w:rFonts w:hint="eastAsia" w:ascii="宋体" w:hAnsi="宋体"/>
              </w:rPr>
              <w:t>马俊鹏</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总工程师</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4</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2</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2</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cstheme="minorBidi"/>
              </w:rPr>
            </w:pPr>
            <w:r>
              <w:rPr>
                <w:rFonts w:hint="eastAsia" w:ascii="宋体" w:hAnsi="宋体"/>
              </w:rPr>
              <w:t xml:space="preserve">康 </w:t>
            </w:r>
            <w:r>
              <w:rPr>
                <w:rFonts w:ascii="宋体" w:hAnsi="宋体"/>
              </w:rPr>
              <w:t xml:space="preserve"> </w:t>
            </w:r>
            <w:r>
              <w:rPr>
                <w:rFonts w:hint="eastAsia" w:ascii="宋体" w:hAnsi="宋体"/>
              </w:rPr>
              <w:t>丹</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安全总监</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4</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2</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2</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cstheme="minorBidi"/>
              </w:rPr>
            </w:pPr>
            <w:r>
              <w:rPr>
                <w:rFonts w:hint="eastAsia" w:ascii="宋体" w:hAnsi="宋体"/>
              </w:rPr>
              <w:t>王九红</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副总经理</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4</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2</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2</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cstheme="minorBidi"/>
              </w:rPr>
            </w:pPr>
            <w:r>
              <w:rPr>
                <w:rFonts w:hint="eastAsia" w:ascii="宋体" w:hAnsi="宋体"/>
              </w:rPr>
              <w:t xml:space="preserve">岳 </w:t>
            </w:r>
            <w:r>
              <w:rPr>
                <w:rFonts w:ascii="宋体" w:hAnsi="宋体"/>
              </w:rPr>
              <w:t xml:space="preserve"> </w:t>
            </w:r>
            <w:r>
              <w:rPr>
                <w:rFonts w:hint="eastAsia" w:ascii="宋体" w:hAnsi="宋体"/>
              </w:rPr>
              <w:t>宁</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副总经理</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4</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2</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2</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rPr>
            </w:pPr>
            <w:r>
              <w:rPr>
                <w:rFonts w:hint="eastAsia" w:ascii="宋体" w:hAnsi="宋体"/>
              </w:rPr>
              <w:t>高春雷</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总工程师</w:t>
            </w:r>
          </w:p>
          <w:p>
            <w:pPr>
              <w:kinsoku w:val="0"/>
              <w:overflowPunct w:val="0"/>
              <w:autoSpaceDE w:val="0"/>
              <w:autoSpaceDN w:val="0"/>
              <w:adjustRightInd w:val="0"/>
              <w:snapToGrid w:val="0"/>
              <w:jc w:val="center"/>
              <w:rPr>
                <w:rFonts w:ascii="宋体" w:hAnsi="宋体"/>
              </w:rPr>
            </w:pPr>
            <w:r>
              <w:rPr>
                <w:rFonts w:hint="eastAsia" w:ascii="宋体" w:hAnsi="宋体"/>
              </w:rPr>
              <w:t>（化工）</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4</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2</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2</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cstheme="minorBidi"/>
              </w:rPr>
            </w:pPr>
            <w:r>
              <w:rPr>
                <w:rFonts w:hint="eastAsia" w:ascii="宋体" w:hAnsi="宋体"/>
              </w:rPr>
              <w:t>赵青春</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董事、</w:t>
            </w:r>
          </w:p>
          <w:p>
            <w:pPr>
              <w:kinsoku w:val="0"/>
              <w:overflowPunct w:val="0"/>
              <w:autoSpaceDE w:val="0"/>
              <w:autoSpaceDN w:val="0"/>
              <w:adjustRightInd w:val="0"/>
              <w:snapToGrid w:val="0"/>
              <w:jc w:val="center"/>
              <w:rPr>
                <w:rFonts w:ascii="宋体" w:hAnsi="宋体"/>
              </w:rPr>
            </w:pPr>
            <w:r>
              <w:rPr>
                <w:rFonts w:hint="eastAsia" w:ascii="宋体" w:hAnsi="宋体"/>
              </w:rPr>
              <w:t>财务总监（离任）</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16</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w:t>
            </w:r>
            <w:r>
              <w:rPr>
                <w:rFonts w:ascii="宋体" w:hAnsi="宋体"/>
              </w:rPr>
              <w:t>4</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w:t>
            </w:r>
            <w:r>
              <w:rPr>
                <w:rFonts w:ascii="宋体" w:hAnsi="宋体"/>
              </w:rPr>
              <w:t>4</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kinsoku w:val="0"/>
              <w:overflowPunct w:val="0"/>
              <w:autoSpaceDE w:val="0"/>
              <w:autoSpaceDN w:val="0"/>
              <w:adjustRightInd w:val="0"/>
              <w:snapToGrid w:val="0"/>
              <w:rPr>
                <w:rFonts w:ascii="宋体" w:hAnsi="宋体" w:cstheme="minorBidi"/>
              </w:rPr>
            </w:pPr>
            <w:r>
              <w:rPr>
                <w:rFonts w:hint="eastAsia" w:ascii="宋体" w:hAnsi="宋体"/>
              </w:rPr>
              <w:t>田兆华</w:t>
            </w:r>
          </w:p>
        </w:tc>
        <w:tc>
          <w:tcPr>
            <w:tcW w:w="71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副总经理（离任）</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16</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0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w:t>
            </w:r>
            <w:r>
              <w:rPr>
                <w:rFonts w:ascii="宋体" w:hAnsi="宋体"/>
              </w:rPr>
              <w:t>4</w:t>
            </w:r>
          </w:p>
        </w:tc>
        <w:tc>
          <w:tcPr>
            <w:tcW w:w="42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w:t>
            </w:r>
            <w:r>
              <w:rPr>
                <w:rFonts w:ascii="宋体" w:hAnsi="宋体"/>
              </w:rPr>
              <w:t>4</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gridSpan w:val="2"/>
            <w:vAlign w:val="center"/>
          </w:tcPr>
          <w:p>
            <w:pPr>
              <w:widowControl/>
              <w:jc w:val="center"/>
              <w:rPr>
                <w:rFonts w:ascii="宋体" w:hAnsi="宋体"/>
              </w:rPr>
            </w:pPr>
            <w:r>
              <w:rPr>
                <w:rFonts w:hint="eastAsia" w:ascii="宋体" w:hAnsi="宋体"/>
              </w:rPr>
              <w:t>董事和高管合计</w:t>
            </w:r>
          </w:p>
        </w:tc>
        <w:tc>
          <w:tcPr>
            <w:tcW w:w="360" w:type="pct"/>
            <w:vAlign w:val="center"/>
          </w:tcPr>
          <w:p>
            <w:pPr>
              <w:kinsoku w:val="0"/>
              <w:overflowPunct w:val="0"/>
              <w:autoSpaceDE w:val="0"/>
              <w:autoSpaceDN w:val="0"/>
              <w:adjustRightInd w:val="0"/>
              <w:snapToGrid w:val="0"/>
              <w:jc w:val="center"/>
              <w:rPr>
                <w:rFonts w:ascii="宋体" w:hAnsi="宋体"/>
                <w:highlight w:val="yellow"/>
              </w:rPr>
            </w:pPr>
            <w:r>
              <w:rPr>
                <w:rFonts w:ascii="宋体" w:hAnsi="宋体"/>
                <w:highlight w:val="yellow"/>
              </w:rPr>
              <w:t>1</w:t>
            </w:r>
            <w:r>
              <w:rPr>
                <w:rFonts w:hint="eastAsia" w:ascii="宋体" w:hAnsi="宋体"/>
                <w:highlight w:val="yellow"/>
              </w:rPr>
              <w:t>40</w:t>
            </w:r>
          </w:p>
        </w:tc>
        <w:tc>
          <w:tcPr>
            <w:tcW w:w="476" w:type="pct"/>
            <w:vAlign w:val="center"/>
          </w:tcPr>
          <w:p>
            <w:pPr>
              <w:kinsoku w:val="0"/>
              <w:overflowPunct w:val="0"/>
              <w:autoSpaceDE w:val="0"/>
              <w:autoSpaceDN w:val="0"/>
              <w:adjustRightInd w:val="0"/>
              <w:snapToGrid w:val="0"/>
              <w:jc w:val="center"/>
              <w:rPr>
                <w:rFonts w:ascii="宋体" w:hAnsi="宋体"/>
                <w:highlight w:val="yellow"/>
              </w:rPr>
            </w:pPr>
            <w:r>
              <w:rPr>
                <w:rFonts w:hint="eastAsia" w:ascii="宋体" w:hAnsi="宋体"/>
                <w:highlight w:val="yellow"/>
              </w:rPr>
              <w:t>70</w:t>
            </w:r>
          </w:p>
        </w:tc>
        <w:tc>
          <w:tcPr>
            <w:tcW w:w="493" w:type="pct"/>
            <w:vAlign w:val="center"/>
          </w:tcPr>
          <w:p>
            <w:pPr>
              <w:kinsoku w:val="0"/>
              <w:overflowPunct w:val="0"/>
              <w:autoSpaceDE w:val="0"/>
              <w:autoSpaceDN w:val="0"/>
              <w:adjustRightInd w:val="0"/>
              <w:snapToGrid w:val="0"/>
              <w:jc w:val="center"/>
              <w:rPr>
                <w:rFonts w:ascii="宋体" w:hAnsi="宋体"/>
                <w:highlight w:val="yellow"/>
              </w:rPr>
            </w:pPr>
            <w:r>
              <w:rPr>
                <w:rFonts w:hint="eastAsia" w:ascii="宋体" w:hAnsi="宋体"/>
                <w:highlight w:val="yellow"/>
              </w:rPr>
              <w:t>24</w:t>
            </w:r>
          </w:p>
        </w:tc>
        <w:tc>
          <w:tcPr>
            <w:tcW w:w="403" w:type="pct"/>
          </w:tcPr>
          <w:p>
            <w:pPr>
              <w:kinsoku w:val="0"/>
              <w:overflowPunct w:val="0"/>
              <w:autoSpaceDE w:val="0"/>
              <w:autoSpaceDN w:val="0"/>
              <w:adjustRightInd w:val="0"/>
              <w:snapToGrid w:val="0"/>
              <w:jc w:val="center"/>
              <w:rPr>
                <w:rFonts w:ascii="宋体" w:hAnsi="宋体"/>
                <w:highlight w:val="yellow"/>
              </w:rPr>
            </w:pPr>
            <w:r>
              <w:rPr>
                <w:rFonts w:hint="eastAsia" w:ascii="宋体" w:hAnsi="宋体"/>
                <w:highlight w:val="yellow"/>
              </w:rPr>
              <w:t>0</w:t>
            </w:r>
          </w:p>
        </w:tc>
        <w:tc>
          <w:tcPr>
            <w:tcW w:w="426" w:type="pct"/>
          </w:tcPr>
          <w:p>
            <w:pPr>
              <w:kinsoku w:val="0"/>
              <w:overflowPunct w:val="0"/>
              <w:autoSpaceDE w:val="0"/>
              <w:autoSpaceDN w:val="0"/>
              <w:adjustRightInd w:val="0"/>
              <w:snapToGrid w:val="0"/>
              <w:jc w:val="center"/>
              <w:rPr>
                <w:rFonts w:ascii="宋体" w:hAnsi="宋体"/>
                <w:highlight w:val="yellow"/>
              </w:rPr>
            </w:pPr>
            <w:r>
              <w:rPr>
                <w:rFonts w:ascii="宋体" w:hAnsi="宋体"/>
                <w:highlight w:val="yellow"/>
              </w:rPr>
              <w:t>11.72</w:t>
            </w:r>
          </w:p>
        </w:tc>
        <w:tc>
          <w:tcPr>
            <w:tcW w:w="477" w:type="pct"/>
          </w:tcPr>
          <w:p>
            <w:pPr>
              <w:kinsoku w:val="0"/>
              <w:overflowPunct w:val="0"/>
              <w:autoSpaceDE w:val="0"/>
              <w:autoSpaceDN w:val="0"/>
              <w:adjustRightInd w:val="0"/>
              <w:snapToGrid w:val="0"/>
              <w:jc w:val="center"/>
              <w:rPr>
                <w:rFonts w:ascii="宋体" w:hAnsi="宋体"/>
                <w:highlight w:val="yellow"/>
              </w:rPr>
            </w:pPr>
            <w:r>
              <w:rPr>
                <w:rFonts w:hint="eastAsia" w:ascii="宋体" w:hAnsi="宋体"/>
                <w:highlight w:val="yellow"/>
              </w:rPr>
              <w:t>0</w:t>
            </w:r>
          </w:p>
        </w:tc>
        <w:tc>
          <w:tcPr>
            <w:tcW w:w="477" w:type="pct"/>
            <w:vAlign w:val="center"/>
          </w:tcPr>
          <w:p>
            <w:pPr>
              <w:kinsoku w:val="0"/>
              <w:overflowPunct w:val="0"/>
              <w:autoSpaceDE w:val="0"/>
              <w:autoSpaceDN w:val="0"/>
              <w:adjustRightInd w:val="0"/>
              <w:snapToGrid w:val="0"/>
              <w:jc w:val="center"/>
              <w:rPr>
                <w:rFonts w:ascii="宋体" w:hAnsi="宋体"/>
                <w:highlight w:val="yellow"/>
              </w:rPr>
            </w:pPr>
            <w:r>
              <w:rPr>
                <w:rFonts w:hint="eastAsia" w:ascii="宋体" w:hAnsi="宋体"/>
                <w:highlight w:val="yellow"/>
              </w:rPr>
              <w:t>186</w:t>
            </w:r>
          </w:p>
        </w:tc>
        <w:tc>
          <w:tcPr>
            <w:tcW w:w="426" w:type="pct"/>
            <w:vAlign w:val="center"/>
          </w:tcPr>
          <w:p>
            <w:pPr>
              <w:kinsoku w:val="0"/>
              <w:overflowPunct w:val="0"/>
              <w:autoSpaceDE w:val="0"/>
              <w:autoSpaceDN w:val="0"/>
              <w:adjustRightInd w:val="0"/>
              <w:snapToGrid w:val="0"/>
              <w:jc w:val="center"/>
              <w:rPr>
                <w:rFonts w:ascii="宋体" w:hAnsi="宋体"/>
                <w:highlight w:val="yellow"/>
              </w:rPr>
            </w:pPr>
            <w:r>
              <w:rPr>
                <w:rFonts w:ascii="宋体" w:hAnsi="宋体"/>
                <w:highlight w:val="yellow"/>
              </w:rPr>
              <w:t>186</w:t>
            </w:r>
          </w:p>
        </w:tc>
        <w:tc>
          <w:tcPr>
            <w:tcW w:w="390" w:type="pct"/>
            <w:vAlign w:val="center"/>
          </w:tcPr>
          <w:p>
            <w:pPr>
              <w:kinsoku w:val="0"/>
              <w:overflowPunct w:val="0"/>
              <w:autoSpaceDE w:val="0"/>
              <w:autoSpaceDN w:val="0"/>
              <w:adjustRightInd w:val="0"/>
              <w:snapToGrid w:val="0"/>
              <w:jc w:val="center"/>
              <w:rPr>
                <w:rFonts w:ascii="宋体" w:hAnsi="宋体"/>
                <w:highlight w:val="yellow"/>
              </w:rPr>
            </w:pPr>
            <w:r>
              <w:rPr>
                <w:rFonts w:hint="eastAsia" w:ascii="宋体" w:hAnsi="宋体"/>
                <w:highlight w:val="yellow"/>
              </w:rPr>
              <w:t>1</w:t>
            </w:r>
            <w:r>
              <w:rPr>
                <w:rFonts w:ascii="宋体" w:hAnsi="宋体"/>
                <w:highlight w:val="yellow"/>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gridSpan w:val="2"/>
            <w:vAlign w:val="center"/>
          </w:tcPr>
          <w:p>
            <w:pPr>
              <w:widowControl/>
              <w:jc w:val="center"/>
              <w:rPr>
                <w:rFonts w:ascii="宋体" w:hAnsi="宋体"/>
              </w:rPr>
            </w:pPr>
            <w:r>
              <w:rPr>
                <w:rFonts w:hint="eastAsia" w:ascii="宋体" w:hAnsi="宋体"/>
              </w:rPr>
              <w:t>其他人员合计</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6</w:t>
            </w:r>
            <w:r>
              <w:rPr>
                <w:rFonts w:ascii="宋体" w:hAnsi="宋体"/>
              </w:rPr>
              <w:t>,0</w:t>
            </w:r>
            <w:r>
              <w:rPr>
                <w:rFonts w:hint="eastAsia" w:ascii="宋体" w:hAnsi="宋体"/>
              </w:rPr>
              <w:t>34</w:t>
            </w:r>
          </w:p>
        </w:tc>
        <w:tc>
          <w:tcPr>
            <w:tcW w:w="476"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3</w:t>
            </w:r>
            <w:r>
              <w:rPr>
                <w:rFonts w:ascii="宋体" w:hAnsi="宋体"/>
              </w:rPr>
              <w:t>,</w:t>
            </w:r>
            <w:r>
              <w:rPr>
                <w:rFonts w:hint="eastAsia" w:ascii="宋体" w:hAnsi="宋体"/>
              </w:rPr>
              <w:t>017</w:t>
            </w:r>
          </w:p>
        </w:tc>
        <w:tc>
          <w:tcPr>
            <w:tcW w:w="493" w:type="pct"/>
            <w:vAlign w:val="center"/>
          </w:tcPr>
          <w:p>
            <w:pPr>
              <w:kinsoku w:val="0"/>
              <w:overflowPunct w:val="0"/>
              <w:autoSpaceDE w:val="0"/>
              <w:autoSpaceDN w:val="0"/>
              <w:adjustRightInd w:val="0"/>
              <w:snapToGrid w:val="0"/>
              <w:jc w:val="center"/>
              <w:rPr>
                <w:rFonts w:ascii="宋体" w:hAnsi="宋体"/>
              </w:rPr>
            </w:pPr>
            <w:r>
              <w:rPr>
                <w:rFonts w:ascii="宋体" w:hAnsi="宋体"/>
              </w:rPr>
              <w:t>243</w:t>
            </w:r>
          </w:p>
        </w:tc>
        <w:tc>
          <w:tcPr>
            <w:tcW w:w="403" w:type="pct"/>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tcPr>
          <w:p>
            <w:pPr>
              <w:kinsoku w:val="0"/>
              <w:overflowPunct w:val="0"/>
              <w:autoSpaceDE w:val="0"/>
              <w:autoSpaceDN w:val="0"/>
              <w:adjustRightInd w:val="0"/>
              <w:snapToGrid w:val="0"/>
              <w:jc w:val="center"/>
              <w:rPr>
                <w:rFonts w:ascii="宋体" w:hAnsi="宋体"/>
              </w:rPr>
            </w:pPr>
            <w:r>
              <w:rPr>
                <w:rFonts w:ascii="宋体" w:hAnsi="宋体"/>
              </w:rPr>
              <w:t>11.72</w:t>
            </w:r>
          </w:p>
        </w:tc>
        <w:tc>
          <w:tcPr>
            <w:tcW w:w="477" w:type="pct"/>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ascii="宋体" w:hAnsi="宋体"/>
              </w:rPr>
              <w:t>8,808</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8,808</w:t>
            </w:r>
          </w:p>
        </w:tc>
        <w:tc>
          <w:tcPr>
            <w:tcW w:w="39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1</w:t>
            </w:r>
            <w:r>
              <w:rPr>
                <w:rFonts w:ascii="宋体" w:hAnsi="宋体"/>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pct"/>
            <w:gridSpan w:val="2"/>
            <w:vAlign w:val="center"/>
          </w:tcPr>
          <w:p>
            <w:pPr>
              <w:kinsoku w:val="0"/>
              <w:overflowPunct w:val="0"/>
              <w:autoSpaceDE w:val="0"/>
              <w:autoSpaceDN w:val="0"/>
              <w:adjustRightInd w:val="0"/>
              <w:snapToGrid w:val="0"/>
              <w:jc w:val="center"/>
              <w:rPr>
                <w:rFonts w:ascii="宋体" w:hAnsi="宋体"/>
              </w:rPr>
            </w:pPr>
            <w:r>
              <w:rPr>
                <w:rFonts w:ascii="宋体" w:hAnsi="宋体"/>
              </w:rPr>
              <w:t>合计</w:t>
            </w:r>
          </w:p>
        </w:tc>
        <w:tc>
          <w:tcPr>
            <w:tcW w:w="360"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6,</w:t>
            </w:r>
            <w:r>
              <w:rPr>
                <w:rFonts w:ascii="宋体" w:hAnsi="宋体"/>
              </w:rPr>
              <w:t>1</w:t>
            </w:r>
            <w:r>
              <w:rPr>
                <w:rFonts w:hint="eastAsia" w:ascii="宋体" w:hAnsi="宋体"/>
              </w:rPr>
              <w:t>74</w:t>
            </w:r>
          </w:p>
        </w:tc>
        <w:tc>
          <w:tcPr>
            <w:tcW w:w="476" w:type="pct"/>
            <w:vAlign w:val="center"/>
          </w:tcPr>
          <w:p>
            <w:pPr>
              <w:kinsoku w:val="0"/>
              <w:overflowPunct w:val="0"/>
              <w:autoSpaceDE w:val="0"/>
              <w:autoSpaceDN w:val="0"/>
              <w:adjustRightInd w:val="0"/>
              <w:snapToGrid w:val="0"/>
              <w:jc w:val="center"/>
              <w:rPr>
                <w:rFonts w:ascii="宋体" w:hAnsi="宋体"/>
              </w:rPr>
            </w:pPr>
            <w:r>
              <w:rPr>
                <w:rFonts w:ascii="宋体" w:hAnsi="宋体"/>
              </w:rPr>
              <w:t>3,087</w:t>
            </w:r>
          </w:p>
        </w:tc>
        <w:tc>
          <w:tcPr>
            <w:tcW w:w="493"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267</w:t>
            </w:r>
          </w:p>
        </w:tc>
        <w:tc>
          <w:tcPr>
            <w:tcW w:w="403" w:type="pct"/>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26" w:type="pct"/>
          </w:tcPr>
          <w:p>
            <w:pPr>
              <w:kinsoku w:val="0"/>
              <w:overflowPunct w:val="0"/>
              <w:autoSpaceDE w:val="0"/>
              <w:autoSpaceDN w:val="0"/>
              <w:adjustRightInd w:val="0"/>
              <w:snapToGrid w:val="0"/>
              <w:jc w:val="center"/>
              <w:rPr>
                <w:rFonts w:ascii="宋体" w:hAnsi="宋体"/>
              </w:rPr>
            </w:pPr>
            <w:r>
              <w:rPr>
                <w:rFonts w:ascii="宋体" w:hAnsi="宋体"/>
              </w:rPr>
              <w:t>/</w:t>
            </w:r>
          </w:p>
        </w:tc>
        <w:tc>
          <w:tcPr>
            <w:tcW w:w="477" w:type="pct"/>
          </w:tcPr>
          <w:p>
            <w:pPr>
              <w:kinsoku w:val="0"/>
              <w:overflowPunct w:val="0"/>
              <w:autoSpaceDE w:val="0"/>
              <w:autoSpaceDN w:val="0"/>
              <w:adjustRightInd w:val="0"/>
              <w:snapToGrid w:val="0"/>
              <w:jc w:val="center"/>
              <w:rPr>
                <w:rFonts w:ascii="宋体" w:hAnsi="宋体"/>
              </w:rPr>
            </w:pPr>
            <w:r>
              <w:rPr>
                <w:rFonts w:hint="eastAsia" w:ascii="宋体" w:hAnsi="宋体"/>
              </w:rPr>
              <w:t>0</w:t>
            </w:r>
          </w:p>
        </w:tc>
        <w:tc>
          <w:tcPr>
            <w:tcW w:w="477" w:type="pct"/>
            <w:vAlign w:val="center"/>
          </w:tcPr>
          <w:p>
            <w:pPr>
              <w:kinsoku w:val="0"/>
              <w:overflowPunct w:val="0"/>
              <w:autoSpaceDE w:val="0"/>
              <w:autoSpaceDN w:val="0"/>
              <w:adjustRightInd w:val="0"/>
              <w:snapToGrid w:val="0"/>
              <w:jc w:val="center"/>
              <w:rPr>
                <w:rFonts w:ascii="宋体" w:hAnsi="宋体"/>
              </w:rPr>
            </w:pPr>
            <w:r>
              <w:rPr>
                <w:rFonts w:hint="eastAsia" w:ascii="宋体" w:hAnsi="宋体"/>
              </w:rPr>
              <w:t>8</w:t>
            </w:r>
            <w:r>
              <w:rPr>
                <w:rFonts w:ascii="宋体" w:hAnsi="宋体"/>
              </w:rPr>
              <w:t>,</w:t>
            </w:r>
            <w:r>
              <w:rPr>
                <w:rFonts w:hint="eastAsia" w:ascii="宋体" w:hAnsi="宋体"/>
              </w:rPr>
              <w:t>994</w:t>
            </w:r>
          </w:p>
        </w:tc>
        <w:tc>
          <w:tcPr>
            <w:tcW w:w="426" w:type="pct"/>
            <w:vAlign w:val="center"/>
          </w:tcPr>
          <w:p>
            <w:pPr>
              <w:kinsoku w:val="0"/>
              <w:overflowPunct w:val="0"/>
              <w:autoSpaceDE w:val="0"/>
              <w:autoSpaceDN w:val="0"/>
              <w:adjustRightInd w:val="0"/>
              <w:snapToGrid w:val="0"/>
              <w:jc w:val="center"/>
              <w:rPr>
                <w:rFonts w:ascii="宋体" w:hAnsi="宋体"/>
              </w:rPr>
            </w:pPr>
            <w:r>
              <w:rPr>
                <w:rFonts w:ascii="宋体" w:hAnsi="宋体"/>
              </w:rPr>
              <w:t>8,994</w:t>
            </w:r>
          </w:p>
        </w:tc>
        <w:tc>
          <w:tcPr>
            <w:tcW w:w="390" w:type="pct"/>
            <w:vAlign w:val="center"/>
          </w:tcPr>
          <w:p>
            <w:pPr>
              <w:jc w:val="center"/>
              <w:rPr>
                <w:rFonts w:ascii="宋体" w:hAnsi="宋体"/>
              </w:rPr>
            </w:pPr>
            <w:r>
              <w:rPr>
                <w:rFonts w:hint="eastAsia" w:ascii="宋体" w:hAnsi="宋体"/>
              </w:rPr>
              <w:t>/</w:t>
            </w:r>
          </w:p>
        </w:tc>
      </w:tr>
    </w:tbl>
    <w:p>
      <w:pPr>
        <w:rPr>
          <w:rFonts w:ascii="宋体" w:hAnsi="宋体"/>
        </w:rPr>
      </w:pPr>
    </w:p>
    <w:p>
      <w:pPr>
        <w:widowControl/>
        <w:jc w:val="left"/>
        <w:rPr>
          <w:rFonts w:ascii="宋体" w:hAnsi="宋体"/>
        </w:rPr>
        <w:sectPr>
          <w:pgSz w:w="16838" w:h="11906" w:orient="landscape"/>
          <w:pgMar w:top="1797" w:right="1525" w:bottom="1276" w:left="1440" w:header="851" w:footer="992" w:gutter="0"/>
          <w:cols w:space="425" w:num="1"/>
          <w:docGrid w:linePitch="312" w:charSpace="0"/>
        </w:sectPr>
      </w:pPr>
    </w:p>
    <w:p>
      <w:pPr>
        <w:ind w:firstLine="420" w:firstLineChars="200"/>
        <w:rPr>
          <w:rFonts w:ascii="宋体" w:hAnsi="宋体"/>
        </w:rPr>
      </w:pPr>
      <w:r>
        <w:rPr>
          <w:rFonts w:hint="eastAsia" w:ascii="宋体" w:hAnsi="宋体"/>
        </w:rPr>
        <w:t>注：</w:t>
      </w:r>
    </w:p>
    <w:p>
      <w:pPr>
        <w:ind w:firstLine="420" w:firstLineChars="200"/>
        <w:rPr>
          <w:rFonts w:asciiTheme="minorEastAsia" w:hAnsiTheme="minorEastAsia" w:eastAsiaTheme="minorEastAsia"/>
        </w:rPr>
      </w:pPr>
      <w:bookmarkStart w:id="116" w:name="_Hlk161154676"/>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 1 \* GB3</w:instrText>
      </w:r>
      <w:r>
        <w:rPr>
          <w:rFonts w:asciiTheme="minorEastAsia" w:hAnsiTheme="minorEastAsia" w:eastAsiaTheme="minorEastAsia"/>
        </w:rPr>
        <w:instrText xml:space="preserve"> </w:instrText>
      </w:r>
      <w:r>
        <w:rPr>
          <w:rFonts w:asciiTheme="minorEastAsia" w:hAnsiTheme="minorEastAsia" w:eastAsiaTheme="minorEastAsia"/>
        </w:rPr>
        <w:fldChar w:fldCharType="separate"/>
      </w:r>
      <w:r>
        <w:rPr>
          <w:rFonts w:hint="eastAsia" w:asciiTheme="minorEastAsia" w:hAnsiTheme="minorEastAsia" w:eastAsiaTheme="minorEastAsia"/>
        </w:rPr>
        <w:t>①</w:t>
      </w:r>
      <w:r>
        <w:rPr>
          <w:rFonts w:asciiTheme="minorEastAsia" w:hAnsiTheme="minorEastAsia" w:eastAsiaTheme="minorEastAsia"/>
        </w:rPr>
        <w:fldChar w:fldCharType="end"/>
      </w:r>
      <w:r>
        <w:rPr>
          <w:rFonts w:hint="eastAsia" w:asciiTheme="minorEastAsia" w:hAnsiTheme="minorEastAsia" w:eastAsiaTheme="minorEastAsia"/>
        </w:rPr>
        <w:t>截至本报告披露日，公司对董事、高级管理人员进行了一定的调整，上表根据本报告披露日公司董事、高级管理人员任职情况填列。</w:t>
      </w:r>
    </w:p>
    <w:p>
      <w:pPr>
        <w:ind w:firstLine="420" w:firstLineChars="200"/>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 2 \* GB3</w:instrText>
      </w:r>
      <w:r>
        <w:rPr>
          <w:rFonts w:asciiTheme="minorEastAsia" w:hAnsiTheme="minorEastAsia" w:eastAsiaTheme="minorEastAsia"/>
        </w:rPr>
        <w:instrText xml:space="preserve"> </w:instrText>
      </w:r>
      <w:r>
        <w:rPr>
          <w:rFonts w:asciiTheme="minorEastAsia" w:hAnsiTheme="minorEastAsia" w:eastAsiaTheme="minorEastAsia"/>
        </w:rPr>
        <w:fldChar w:fldCharType="separate"/>
      </w:r>
      <w:r>
        <w:rPr>
          <w:rFonts w:hint="eastAsia" w:asciiTheme="minorEastAsia" w:hAnsiTheme="minorEastAsia" w:eastAsiaTheme="minorEastAsia"/>
        </w:rPr>
        <w:t>②</w:t>
      </w:r>
      <w:r>
        <w:rPr>
          <w:rFonts w:asciiTheme="minorEastAsia" w:hAnsiTheme="minorEastAsia" w:eastAsiaTheme="minorEastAsia"/>
        </w:rPr>
        <w:fldChar w:fldCharType="end"/>
      </w:r>
      <w:r>
        <w:rPr>
          <w:rFonts w:hint="eastAsia" w:asciiTheme="minorEastAsia" w:hAnsiTheme="minorEastAsia" w:eastAsiaTheme="minorEastAsia"/>
        </w:rPr>
        <w:t>上表“报告期新授予限制性股票数量”反映的是分红股情况，由于公司于限售期内每股派送红股</w:t>
      </w:r>
      <w:r>
        <w:rPr>
          <w:rFonts w:asciiTheme="minorEastAsia" w:hAnsiTheme="minorEastAsia" w:eastAsiaTheme="minorEastAsia"/>
        </w:rPr>
        <w:t>0.5</w:t>
      </w:r>
      <w:r>
        <w:rPr>
          <w:rFonts w:hint="eastAsia" w:asciiTheme="minorEastAsia" w:hAnsiTheme="minorEastAsia" w:eastAsiaTheme="minorEastAsia"/>
        </w:rPr>
        <w:t>股，因此已获授但未解除限售的限制性股票数量由</w:t>
      </w:r>
      <w:r>
        <w:rPr>
          <w:rFonts w:asciiTheme="minorEastAsia" w:hAnsiTheme="minorEastAsia" w:eastAsiaTheme="minorEastAsia"/>
        </w:rPr>
        <w:t>6,174</w:t>
      </w:r>
      <w:r>
        <w:rPr>
          <w:rFonts w:hint="eastAsia" w:asciiTheme="minorEastAsia" w:hAnsiTheme="minorEastAsia" w:eastAsiaTheme="minorEastAsia"/>
        </w:rPr>
        <w:t>万股调整为</w:t>
      </w:r>
      <w:r>
        <w:rPr>
          <w:rFonts w:asciiTheme="minorEastAsia" w:hAnsiTheme="minorEastAsia" w:eastAsiaTheme="minorEastAsia"/>
        </w:rPr>
        <w:t>9,261</w:t>
      </w:r>
      <w:r>
        <w:rPr>
          <w:rFonts w:hint="eastAsia" w:asciiTheme="minorEastAsia" w:hAnsiTheme="minorEastAsia" w:eastAsiaTheme="minorEastAsia"/>
        </w:rPr>
        <w:t>万股，另外</w:t>
      </w:r>
      <w:r>
        <w:rPr>
          <w:rFonts w:asciiTheme="minorEastAsia" w:hAnsiTheme="minorEastAsia" w:eastAsiaTheme="minorEastAsia"/>
        </w:rPr>
        <w:t>26</w:t>
      </w:r>
      <w:r>
        <w:rPr>
          <w:rFonts w:hint="eastAsia" w:asciiTheme="minorEastAsia" w:hAnsiTheme="minorEastAsia" w:eastAsiaTheme="minorEastAsia"/>
        </w:rPr>
        <w:t>名激励对象因调动、退休等原因，公司回购注销其已获授但未解除限售的限制性股票</w:t>
      </w:r>
      <w:r>
        <w:rPr>
          <w:rFonts w:asciiTheme="minorEastAsia" w:hAnsiTheme="minorEastAsia" w:eastAsiaTheme="minorEastAsia"/>
        </w:rPr>
        <w:t>267</w:t>
      </w:r>
      <w:r>
        <w:rPr>
          <w:rFonts w:hint="eastAsia" w:asciiTheme="minorEastAsia" w:hAnsiTheme="minorEastAsia" w:eastAsiaTheme="minorEastAsia"/>
        </w:rPr>
        <w:t>万股，回购价格为3.6133元/股。详见本节“限制性股票激励计划摘要”之“（二）历次调整情况”。</w:t>
      </w:r>
    </w:p>
    <w:p>
      <w:pPr>
        <w:ind w:firstLine="420" w:firstLineChars="200"/>
        <w:rPr>
          <w:rFonts w:asciiTheme="minorEastAsia" w:hAnsiTheme="minorEastAsia" w:eastAsiaTheme="minorEastAsia"/>
        </w:rPr>
      </w:pPr>
      <w:r>
        <w:rPr>
          <w:rFonts w:hint="eastAsia" w:asciiTheme="minorEastAsia" w:hAnsiTheme="minorEastAsia" w:eastAsiaTheme="minorEastAsia"/>
        </w:rPr>
        <w:t>③根据有关要求，公司将回购注销岳宁先生的限制性股票。</w:t>
      </w:r>
    </w:p>
    <w:p>
      <w:pPr>
        <w:ind w:firstLine="420" w:firstLineChars="200"/>
        <w:rPr>
          <w:rFonts w:asciiTheme="minorEastAsia" w:hAnsiTheme="minorEastAsia" w:eastAsiaTheme="minorEastAsia"/>
        </w:rPr>
      </w:pPr>
      <w:r>
        <w:rPr>
          <w:rFonts w:hint="eastAsia" w:asciiTheme="minorEastAsia" w:hAnsiTheme="minorEastAsia" w:eastAsiaTheme="minorEastAsia"/>
        </w:rPr>
        <w:t>④根据公司限制性股票激励计划，表内各激励对象于</w:t>
      </w:r>
      <w:r>
        <w:rPr>
          <w:rFonts w:asciiTheme="minorEastAsia" w:hAnsiTheme="minorEastAsia" w:eastAsiaTheme="minorEastAsia"/>
        </w:rPr>
        <w:t>2022年1月27日获授全部未解锁的限制性股票，紧接该等限制性股票授出日期之前的</w:t>
      </w:r>
      <w:r>
        <w:rPr>
          <w:rFonts w:hint="eastAsia" w:asciiTheme="minorEastAsia" w:hAnsiTheme="minorEastAsia" w:eastAsiaTheme="minorEastAsia"/>
        </w:rPr>
        <w:t>加权平均收市价为人民币24.16元</w:t>
      </w:r>
      <w:r>
        <w:rPr>
          <w:rFonts w:hint="eastAsia" w:ascii="宋体" w:hAnsi="宋体"/>
        </w:rPr>
        <w:t>（除权除息前价格）</w:t>
      </w:r>
      <w:r>
        <w:rPr>
          <w:rFonts w:hint="eastAsia" w:asciiTheme="minorEastAsia" w:hAnsiTheme="minorEastAsia" w:eastAsiaTheme="minorEastAsia"/>
        </w:rPr>
        <w:t>。</w:t>
      </w:r>
    </w:p>
    <w:p>
      <w:pPr>
        <w:ind w:firstLine="420" w:firstLineChars="200"/>
        <w:rPr>
          <w:rFonts w:asciiTheme="minorEastAsia" w:hAnsiTheme="minorEastAsia" w:eastAsiaTheme="minorEastAsia"/>
        </w:rPr>
      </w:pPr>
      <w:r>
        <w:rPr>
          <w:rFonts w:hint="eastAsia" w:asciiTheme="minorEastAsia" w:hAnsiTheme="minorEastAsia" w:eastAsiaTheme="minorEastAsia"/>
        </w:rPr>
        <w:t>⑤有关获授限制性股票的解锁期，详见本节“限制性股票激励计划摘要”之“7.解除限售安排”。</w:t>
      </w:r>
    </w:p>
    <w:p>
      <w:pPr>
        <w:ind w:firstLine="420" w:firstLineChars="200"/>
        <w:rPr>
          <w:rFonts w:asciiTheme="minorEastAsia" w:hAnsiTheme="minorEastAsia" w:eastAsiaTheme="minorEastAsia"/>
        </w:rPr>
      </w:pPr>
      <w:r>
        <w:rPr>
          <w:rFonts w:hint="eastAsia" w:asciiTheme="minorEastAsia" w:hAnsiTheme="minorEastAsia" w:eastAsiaTheme="minorEastAsia"/>
        </w:rPr>
        <w:t>⑥有关获授限制性股票的考核目标以限制性股票激励计划中规定的各解除限售期所对应的业绩考核条件为准，详情请见本公司于</w:t>
      </w:r>
      <w:r>
        <w:rPr>
          <w:rFonts w:asciiTheme="minorEastAsia" w:hAnsiTheme="minorEastAsia" w:eastAsiaTheme="minorEastAsia"/>
        </w:rPr>
        <w:t>2022年1月12日刊发</w:t>
      </w:r>
      <w:r>
        <w:rPr>
          <w:rFonts w:hint="eastAsia" w:asciiTheme="minorEastAsia" w:hAnsiTheme="minorEastAsia" w:eastAsiaTheme="minorEastAsia"/>
        </w:rPr>
        <w:t>的通函</w:t>
      </w:r>
      <w:r>
        <w:rPr>
          <w:rFonts w:asciiTheme="minorEastAsia" w:hAnsiTheme="minorEastAsia" w:eastAsiaTheme="minorEastAsia"/>
        </w:rPr>
        <w:t>。</w:t>
      </w:r>
    </w:p>
    <w:p>
      <w:pPr>
        <w:ind w:firstLine="420" w:firstLineChars="200"/>
        <w:rPr>
          <w:rFonts w:asciiTheme="minorEastAsia" w:hAnsiTheme="minorEastAsia" w:eastAsiaTheme="minorEastAsia"/>
        </w:rPr>
      </w:pPr>
      <w:bookmarkStart w:id="117" w:name="_Hlk160468998"/>
      <w:bookmarkEnd w:id="117"/>
    </w:p>
    <w:bookmarkEnd w:id="116"/>
    <w:p>
      <w:pPr>
        <w:ind w:firstLine="420" w:firstLineChars="200"/>
        <w:rPr>
          <w:rFonts w:asciiTheme="minorEastAsia" w:hAnsiTheme="minorEastAsia" w:eastAsiaTheme="minorEastAsia"/>
        </w:rPr>
      </w:pPr>
      <w:bookmarkStart w:id="118" w:name="_Hlk161154749"/>
      <w:r>
        <w:rPr>
          <w:rFonts w:hint="eastAsia" w:asciiTheme="minorEastAsia" w:hAnsiTheme="minorEastAsia" w:eastAsiaTheme="minorEastAsia"/>
        </w:rPr>
        <w:t>2023年度开始及结束时，可以根据本公司所有股权激励计划授权授出的期权及/或限制性股票数目均为0。报告期内，可以就所有股权激励计划授出的期权及/或限制性股票而发行的股份数目（即A股股份12,656,840股），除以该年度已发行的A股股份总数的加权平均数为0</w:t>
      </w:r>
      <w:r>
        <w:rPr>
          <w:rFonts w:asciiTheme="minorEastAsia" w:hAnsiTheme="minorEastAsia" w:eastAsiaTheme="minorEastAsia"/>
        </w:rPr>
        <w:t>.28</w:t>
      </w:r>
      <w:r>
        <w:rPr>
          <w:rFonts w:hint="eastAsia" w:asciiTheme="minorEastAsia" w:hAnsiTheme="minorEastAsia" w:eastAsiaTheme="minorEastAsia"/>
        </w:rPr>
        <w:t>%。</w:t>
      </w:r>
      <w:bookmarkEnd w:id="118"/>
    </w:p>
    <w:p>
      <w:pPr>
        <w:rPr>
          <w:rFonts w:asciiTheme="minorEastAsia" w:hAnsiTheme="minorEastAsia" w:eastAsiaTheme="minorEastAsia"/>
        </w:rPr>
      </w:pPr>
    </w:p>
    <w:p>
      <w:pPr>
        <w:pStyle w:val="4"/>
        <w:numPr>
          <w:ilvl w:val="1"/>
          <w:numId w:val="24"/>
        </w:numPr>
        <w:rPr>
          <w:rFonts w:asciiTheme="minorEastAsia" w:hAnsiTheme="minorEastAsia" w:eastAsiaTheme="minorEastAsia"/>
        </w:rPr>
      </w:pPr>
      <w:r>
        <w:rPr>
          <w:rFonts w:asciiTheme="minorEastAsia" w:hAnsiTheme="minorEastAsia" w:eastAsiaTheme="minorEastAsia"/>
        </w:rPr>
        <w:t>报告期内对高级管理人员的考评机制，以及激励机制的建立、实施情况</w:t>
      </w:r>
    </w:p>
    <w:sdt>
      <w:sdtPr>
        <w:rPr>
          <w:rFonts w:hint="eastAsia" w:asciiTheme="minorEastAsia" w:hAnsiTheme="minorEastAsia" w:eastAsiaTheme="minorEastAsia"/>
        </w:rPr>
        <w:alias w:val="是否适用：报告期内对高级管理人员的考评机制，以及激励机制的建立、实施情况[双击切换]"/>
        <w:tag w:val="_GBC_f7215667d17c45e88748740889bab9b8"/>
        <w:id w:val="-704403107"/>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公司对高级管理人员的考评及激励情况"/>
        <w:tag w:val="_GBC_ff8dc93589b2464ba735502bf6a2a8ca"/>
        <w:id w:val="-367449437"/>
        <w:placeholder>
          <w:docPart w:val="GBC22222222222222222222222222222"/>
        </w:placeholder>
      </w:sdtPr>
      <w:sdtEndPr>
        <w:rPr>
          <w:rFonts w:hint="eastAsia" w:asciiTheme="minorEastAsia" w:hAnsiTheme="minorEastAsia" w:eastAsiaTheme="minorEastAsia"/>
        </w:rPr>
      </w:sdtEndPr>
      <w:sdtContent>
        <w:sdt>
          <w:sdtPr>
            <w:rPr>
              <w:rFonts w:hint="eastAsia" w:asciiTheme="minorEastAsia" w:hAnsiTheme="minorEastAsia" w:eastAsiaTheme="minorEastAsia"/>
            </w:rPr>
            <w:alias w:val="公司对高级管理人员的考评及激励情况"/>
            <w:tag w:val="_GBC_ff8dc93589b2464ba735502bf6a2a8ca"/>
            <w:id w:val="-1243100191"/>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公司在管理层中推行年度薪酬考评及激励机制，使管理层的绩效考评与公司经济效益、经营效果有机结合。公司根据有关经营指标和管理标准直接对高级管理人员的业绩和绩效进行考评、奖惩。公司将根据高级管理人员经营指标完成情况和考评结果，兑现其2023年度薪酬。</w:t>
              </w:r>
            </w:p>
            <w:p>
              <w:pPr>
                <w:ind w:firstLine="420" w:firstLineChars="200"/>
                <w:rPr>
                  <w:rFonts w:asciiTheme="minorEastAsia" w:hAnsiTheme="minorEastAsia" w:eastAsiaTheme="minorEastAsia"/>
                </w:rPr>
              </w:pPr>
              <w:r>
                <w:rPr>
                  <w:rFonts w:hint="eastAsia" w:asciiTheme="minorEastAsia" w:hAnsiTheme="minorEastAsia" w:eastAsiaTheme="minorEastAsia"/>
                </w:rPr>
                <w:t>公司实施了股票期权激励计划、限制性股票激励计划，公司严格按照相关考核管理办法，在达成业绩考核指标后，向管理层授予权益。</w:t>
              </w:r>
            </w:p>
          </w:sdtContent>
        </w:sdt>
        <w:p>
          <w:pPr>
            <w:rPr>
              <w:rFonts w:asciiTheme="minorEastAsia" w:hAnsiTheme="minorEastAsia" w:eastAsiaTheme="minorEastAsia"/>
            </w:rPr>
          </w:pPr>
        </w:p>
      </w:sdtContent>
    </w:sdt>
    <w:p>
      <w:pPr>
        <w:pStyle w:val="3"/>
        <w:numPr>
          <w:ilvl w:val="0"/>
          <w:numId w:val="17"/>
        </w:numPr>
        <w:rPr>
          <w:rFonts w:asciiTheme="minorEastAsia" w:hAnsiTheme="minorEastAsia" w:eastAsiaTheme="minorEastAsia"/>
        </w:rPr>
      </w:pPr>
      <w:r>
        <w:rPr>
          <w:rFonts w:hint="eastAsia" w:asciiTheme="minorEastAsia" w:hAnsiTheme="minorEastAsia" w:eastAsiaTheme="minorEastAsia"/>
        </w:rPr>
        <w:t>报告期内的内部控制制度建设及实施情况</w:t>
      </w:r>
    </w:p>
    <w:sdt>
      <w:sdtPr>
        <w:rPr>
          <w:rFonts w:asciiTheme="minorEastAsia" w:hAnsiTheme="minorEastAsia" w:eastAsiaTheme="minorEastAsia"/>
        </w:rPr>
        <w:alias w:val="是否适用：报告期内的内部控制制度建设及实施情况[双击切换]"/>
        <w:tag w:val="_GBC_f76747fb26ee47cfb00fc8ad5592b038"/>
        <w:id w:val="100841558"/>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内部控制自我评价报告"/>
        <w:tag w:val="_GBC_7ec2120247b647e18f5670c0a1211280"/>
        <w:id w:val="-1860952811"/>
        <w:placeholder>
          <w:docPart w:val="GBC22222222222222222222222222222"/>
        </w:placeholder>
      </w:sdtPr>
      <w:sdtEndPr>
        <w:rPr>
          <w:rFonts w:hint="eastAsia" w:asciiTheme="minorEastAsia" w:hAnsiTheme="minorEastAsia" w:eastAsiaTheme="minorEastAsia"/>
        </w:rPr>
      </w:sdtEndPr>
      <w:sdtContent>
        <w:sdt>
          <w:sdtPr>
            <w:rPr>
              <w:rFonts w:hint="eastAsia" w:asciiTheme="minorEastAsia" w:hAnsiTheme="minorEastAsia" w:eastAsiaTheme="minorEastAsia"/>
            </w:rPr>
            <w:alias w:val="内部控制自我评价报告"/>
            <w:tag w:val="_GBC_7ec2120247b647e18f5670c0a1211280"/>
            <w:id w:val="418990901"/>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公司按照上市地监管要求，于2006年制定了《内控体系设计与应用》，建立有效运行的内部控制体系。</w:t>
              </w:r>
            </w:p>
            <w:p>
              <w:pPr>
                <w:ind w:firstLine="420" w:firstLineChars="200"/>
                <w:rPr>
                  <w:rFonts w:asciiTheme="minorEastAsia" w:hAnsiTheme="minorEastAsia" w:eastAsiaTheme="minorEastAsia"/>
                </w:rPr>
              </w:pPr>
              <w:r>
                <w:rPr>
                  <w:rFonts w:hint="eastAsia" w:asciiTheme="minorEastAsia" w:hAnsiTheme="minorEastAsia" w:eastAsiaTheme="minorEastAsia"/>
                </w:rPr>
                <w:t>公司于2011年按照财政部等五部委联合发布的《企业内部控制基本规范》和《企业内部控制配套指引》及上市地监管要求，在《企业内部控制配套指引》18项指引的基础上，从公司、下属部门及附属公司、业务环节三个层面对内部控制流程和内部控制制度等方面，进一步完善了内部控制体系，建立健全了内部控制制度。</w:t>
              </w:r>
            </w:p>
            <w:p>
              <w:pPr>
                <w:ind w:firstLine="420" w:firstLineChars="200"/>
                <w:rPr>
                  <w:rFonts w:asciiTheme="minorEastAsia" w:hAnsiTheme="minorEastAsia" w:eastAsiaTheme="minorEastAsia"/>
                </w:rPr>
              </w:pPr>
              <w:r>
                <w:rPr>
                  <w:rFonts w:hint="eastAsia" w:asciiTheme="minorEastAsia" w:hAnsiTheme="minorEastAsia" w:eastAsiaTheme="minorEastAsia"/>
                </w:rPr>
                <w:t>董事会及董事会专门委员会负责内部控制体系的建立健全和有效实施；监事会对董事会建立与实施内部控制进行监督；经理层负责组织领导企业内部控制的日常运行。</w:t>
              </w:r>
            </w:p>
            <w:p>
              <w:pPr>
                <w:ind w:firstLine="420" w:firstLineChars="200"/>
                <w:rPr>
                  <w:rFonts w:asciiTheme="minorEastAsia" w:hAnsiTheme="minorEastAsia" w:eastAsiaTheme="minorEastAsia"/>
                </w:rPr>
              </w:pPr>
              <w:r>
                <w:rPr>
                  <w:rFonts w:hint="eastAsia" w:asciiTheme="minorEastAsia" w:hAnsiTheme="minorEastAsia" w:eastAsiaTheme="minorEastAsia"/>
                </w:rPr>
                <w:t>自2007年起，董事会每年评估一次内部控制体系运行的有效性。公司2024年3月28日召开的第九届董事会第六次会议，对2023年度内部控制的有效性进行了评估。董事会评估认为，公司内部控制制度健全，执行有效，未发现本公司存在内部控制设计或执行方面的重大缺陷。</w:t>
              </w:r>
            </w:p>
            <w:p>
              <w:pPr>
                <w:ind w:firstLine="420" w:firstLineChars="200"/>
                <w:rPr>
                  <w:rFonts w:asciiTheme="minorEastAsia" w:hAnsiTheme="minorEastAsia" w:eastAsiaTheme="minorEastAsia"/>
                </w:rPr>
              </w:pPr>
              <w:r>
                <w:rPr>
                  <w:rFonts w:hint="eastAsia" w:asciiTheme="minorEastAsia" w:hAnsiTheme="minorEastAsia" w:eastAsiaTheme="minorEastAsia"/>
                </w:rPr>
                <w:t>公司内部控制的自我评估报告全文载于上交所网站、香港联交所网站和公司网站。</w:t>
              </w:r>
            </w:p>
            <w:p>
              <w:pPr>
                <w:ind w:firstLine="420" w:firstLineChars="200"/>
                <w:rPr>
                  <w:rFonts w:asciiTheme="minorEastAsia" w:hAnsiTheme="minorEastAsia" w:eastAsiaTheme="minorEastAsia"/>
                </w:rPr>
              </w:pPr>
              <w:r>
                <w:rPr>
                  <w:rFonts w:hint="eastAsia" w:asciiTheme="minorEastAsia" w:hAnsiTheme="minorEastAsia" w:eastAsiaTheme="minorEastAsia"/>
                </w:rPr>
                <w:t>公司制定了《全面风险管理办法》，搭建了风险（包括环境、社会及管治风险）管理信息化管控平台，建立了完善的风险管控机制。每年在公司及附属公司范围内，通过风险管理信息化管控平台开展风险辨识、风险评估、风险应对、关键风险点监控等全面风险管理工作，并出具《年度风险管理报告》；针对确认的重大风险，制定切合实际的风险管理策略和解决方案，定期对管控情况进行总结，编制重大风险管控报告。通过借助信息化的手段，对重大风险实施精准辨识、多维度风险评估及量化分析、科学应对及定期跟踪评价，实现了对重大风险的全过程闭环管理。</w:t>
              </w:r>
            </w:p>
            <w:p>
              <w:pPr>
                <w:ind w:firstLine="420" w:firstLineChars="200"/>
                <w:rPr>
                  <w:rFonts w:asciiTheme="minorEastAsia" w:hAnsiTheme="minorEastAsia" w:eastAsiaTheme="minorEastAsia"/>
                </w:rPr>
              </w:pPr>
              <w:r>
                <w:rPr>
                  <w:rFonts w:hint="eastAsia" w:asciiTheme="minorEastAsia" w:hAnsiTheme="minorEastAsia" w:eastAsiaTheme="minorEastAsia"/>
                </w:rPr>
                <w:t>董事会对前述的风险管理及内部监控系统负责，并及时检讨该等制度的有效性。董事会进一步阐明前述系统旨在管理而并非消除未能达成业务目标的风险，并且只就不会有重大的失实陈述或损失作出合理而非绝对的保证。</w:t>
              </w:r>
            </w:p>
            <w:p>
              <w:pPr>
                <w:ind w:firstLine="420" w:firstLineChars="200"/>
                <w:rPr>
                  <w:rFonts w:asciiTheme="minorEastAsia" w:hAnsiTheme="minorEastAsia" w:eastAsiaTheme="minorEastAsia"/>
                </w:rPr>
              </w:pPr>
              <w:r>
                <w:rPr>
                  <w:rFonts w:hint="eastAsia" w:asciiTheme="minorEastAsia" w:hAnsiTheme="minorEastAsia" w:eastAsiaTheme="minorEastAsia"/>
                </w:rPr>
                <w:t>在处理及发布内幕消息方面，本公司已制定《股东、董事、监事、高管及相关内幕信息知情人所持本公司股份及变动管理制度》《信息披露管理制度》《内幕信息知情人登记管理制度》及《重大信息内部报告制度》等内部制度，规定了内幕信息及内幕信息知情人的范围、报告流程、登记备案、禁止行为等内容，严控知情人范围，严防内幕信息泄露。</w:t>
              </w:r>
            </w:p>
          </w:sdtContent>
        </w:sdt>
        <w:p>
          <w:pPr>
            <w:rPr>
              <w:rFonts w:asciiTheme="minorEastAsia" w:hAnsiTheme="minorEastAsia" w:eastAsiaTheme="minorEastAsia"/>
            </w:rPr>
          </w:pPr>
        </w:p>
      </w:sdtContent>
    </w:sdt>
    <w:p>
      <w:pPr>
        <w:rPr>
          <w:rFonts w:asciiTheme="minorEastAsia" w:hAnsiTheme="minorEastAsia" w:eastAsiaTheme="minorEastAsia"/>
        </w:rPr>
      </w:pPr>
    </w:p>
    <w:p>
      <w:pPr>
        <w:tabs>
          <w:tab w:val="left" w:pos="2760"/>
        </w:tabs>
        <w:rPr>
          <w:rFonts w:asciiTheme="minorEastAsia" w:hAnsiTheme="minorEastAsia" w:eastAsiaTheme="minorEastAsia"/>
        </w:rPr>
      </w:pPr>
      <w:r>
        <w:rPr>
          <w:rFonts w:hint="eastAsia" w:asciiTheme="minorEastAsia" w:hAnsiTheme="minorEastAsia" w:eastAsiaTheme="minorEastAsia"/>
        </w:rPr>
        <w:t>报告期内部控制存在重大缺陷情况的说明</w:t>
      </w:r>
    </w:p>
    <w:sdt>
      <w:sdtPr>
        <w:rPr>
          <w:rFonts w:asciiTheme="minorEastAsia" w:hAnsiTheme="minorEastAsia" w:eastAsiaTheme="minorEastAsia"/>
        </w:rPr>
        <w:alias w:val="是否适用：报告期内部控制存在重大缺陷情况的说明[双击切换]"/>
        <w:tag w:val="_GBC_cad036bd9fe3409f906985f824010f6a"/>
        <w:id w:val="-56402457"/>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3"/>
        <w:numPr>
          <w:ilvl w:val="0"/>
          <w:numId w:val="17"/>
        </w:numPr>
        <w:rPr>
          <w:rFonts w:asciiTheme="minorEastAsia" w:hAnsiTheme="minorEastAsia" w:eastAsiaTheme="minorEastAsia"/>
        </w:rPr>
      </w:pPr>
      <w:r>
        <w:rPr>
          <w:rFonts w:hint="eastAsia" w:asciiTheme="minorEastAsia" w:hAnsiTheme="minorEastAsia" w:eastAsiaTheme="minorEastAsia"/>
        </w:rPr>
        <w:t>报告期内对子公司的管理控制情况</w:t>
      </w:r>
    </w:p>
    <w:sdt>
      <w:sdtPr>
        <w:rPr>
          <w:rFonts w:hint="eastAsia" w:asciiTheme="minorEastAsia" w:hAnsiTheme="minorEastAsia" w:eastAsiaTheme="minorEastAsia"/>
        </w:rPr>
        <w:alias w:val="是否适用：报告期内对子公司的管理控制情况[双击切换]"/>
        <w:tag w:val="_GBC_3c41db66329f4aabb0fd91423cfeac3f"/>
        <w:id w:val="-1153284044"/>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报告期内对子公司的管理控制情况"/>
        <w:tag w:val="_GBC_c42acb3ad0ff45a1891fd8fa03ee78a2"/>
        <w:id w:val="981192185"/>
        <w:placeholder>
          <w:docPart w:val="GBC22222222222222222222222222222"/>
        </w:placeholder>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公司通过派驻董事、监事、高级管理人员；规范子公司召开股东会、董事会、监事会；建立《重大信息内部报告制度》《专职产权代表管理办法》《关联交易管理办法》等一系列管控制度；以及督导各主体规范建立内控制度等措施对子公司进行有效的管理控制。</w:t>
          </w:r>
        </w:p>
        <w:p>
          <w:pPr>
            <w:ind w:firstLine="420" w:firstLineChars="200"/>
            <w:rPr>
              <w:rFonts w:asciiTheme="minorEastAsia" w:hAnsiTheme="minorEastAsia" w:eastAsiaTheme="minorEastAsia"/>
            </w:rPr>
          </w:pPr>
          <w:bookmarkStart w:id="119" w:name="_Hlk160884635"/>
          <w:r>
            <w:rPr>
              <w:rFonts w:hint="eastAsia" w:asciiTheme="minorEastAsia" w:hAnsiTheme="minorEastAsia" w:eastAsiaTheme="minorEastAsia"/>
            </w:rPr>
            <w:t>报告期内，公司新增子公司主要为鲁西矿业、新疆能化、煤化工程公司、</w:t>
          </w:r>
          <w:r>
            <w:rPr>
              <w:rFonts w:ascii="宋体" w:hAnsi="宋体"/>
            </w:rPr>
            <w:t>山东能源大厦上海有限公司</w:t>
          </w:r>
          <w:r>
            <w:rPr>
              <w:rFonts w:hint="eastAsia" w:asciiTheme="minorEastAsia" w:hAnsiTheme="minorEastAsia" w:eastAsiaTheme="minorEastAsia"/>
            </w:rPr>
            <w:t>和山能财司等。上述子公司纳入公司合并报表范围后，与其他子公司同受内部控制管理制度的约束，通过公司治理、财务管理、风险管理、重大事项管理等方面对子公司实施管理控制，完成业务整合，确保子公司的经营及发展符合公司整体发展战略规划。</w:t>
          </w:r>
          <w:bookmarkEnd w:id="119"/>
        </w:p>
        <w:p>
          <w:pPr>
            <w:ind w:firstLine="420" w:firstLineChars="200"/>
            <w:rPr>
              <w:rFonts w:asciiTheme="minorEastAsia" w:hAnsiTheme="minorEastAsia" w:eastAsiaTheme="minorEastAsia"/>
            </w:rPr>
          </w:pPr>
        </w:p>
      </w:sdtContent>
    </w:sdt>
    <w:p>
      <w:pPr>
        <w:pStyle w:val="3"/>
        <w:numPr>
          <w:ilvl w:val="0"/>
          <w:numId w:val="17"/>
        </w:numPr>
        <w:rPr>
          <w:rFonts w:asciiTheme="minorEastAsia" w:hAnsiTheme="minorEastAsia" w:eastAsiaTheme="minorEastAsia"/>
        </w:rPr>
      </w:pPr>
      <w:r>
        <w:rPr>
          <w:rFonts w:hint="eastAsia" w:asciiTheme="minorEastAsia" w:hAnsiTheme="minorEastAsia" w:eastAsiaTheme="minorEastAsia"/>
        </w:rPr>
        <w:t>内部控制审计报告的相关情况说明</w:t>
      </w:r>
    </w:p>
    <w:sdt>
      <w:sdtPr>
        <w:rPr>
          <w:rFonts w:hint="eastAsia" w:asciiTheme="minorEastAsia" w:hAnsiTheme="minorEastAsia" w:eastAsiaTheme="minorEastAsia"/>
        </w:rPr>
        <w:alias w:val="是否适用：内部控制审计报告的相关情况说明[双击切换]"/>
        <w:tag w:val="_GBC_f9211f94ca4347ababf36cfb6829169a"/>
        <w:id w:val="894475367"/>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审计报告与公司自我评价意见不一致情况"/>
        <w:tag w:val="_GBC_1abfe1ce3c2044e1a311865463691e52"/>
        <w:id w:val="336667214"/>
        <w:placeholder>
          <w:docPart w:val="GBC22222222222222222222222222222"/>
        </w:placeholder>
      </w:sdtPr>
      <w:sdtEndPr>
        <w:rPr>
          <w:rFonts w:hint="eastAsia" w:asciiTheme="minorEastAsia" w:hAnsiTheme="minorEastAsia" w:eastAsiaTheme="minorEastAsia"/>
        </w:rPr>
      </w:sdtEndPr>
      <w:sdtContent>
        <w:sdt>
          <w:sdtPr>
            <w:rPr>
              <w:rFonts w:hint="eastAsia" w:asciiTheme="minorEastAsia" w:hAnsiTheme="minorEastAsia" w:eastAsiaTheme="minorEastAsia"/>
            </w:rPr>
            <w:alias w:val="审计报告与公司自我评价意见不一致情况"/>
            <w:tag w:val="_GBC_1abfe1ce3c2044e1a311865463691e52"/>
            <w:id w:val="2007175048"/>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公司自2013年起聘请境内年审会计师，对财务报告内部控制体系建设是否符合境内监管要求及运行的有效性进行评估。</w:t>
              </w:r>
            </w:p>
            <w:p>
              <w:pPr>
                <w:ind w:firstLine="420" w:firstLineChars="200"/>
                <w:rPr>
                  <w:rFonts w:asciiTheme="minorEastAsia" w:hAnsiTheme="minorEastAsia" w:eastAsiaTheme="minorEastAsia"/>
                </w:rPr>
              </w:pPr>
              <w:r>
                <w:rPr>
                  <w:rFonts w:hint="eastAsia" w:asciiTheme="minorEastAsia" w:hAnsiTheme="minorEastAsia" w:eastAsiaTheme="minorEastAsia"/>
                </w:rPr>
                <w:t>公司聘请信永中和会计师事务所（特殊普通合伙）对公司2023年度财务报告内部控制有效性进行了审核评估，认为公司按照《企业内部控制基本规范》和相关规定在所有重大方面保持了有效的财务报告内部控制。</w:t>
              </w:r>
            </w:p>
            <w:p>
              <w:pPr>
                <w:ind w:firstLine="420" w:firstLineChars="200"/>
                <w:rPr>
                  <w:rFonts w:asciiTheme="minorEastAsia" w:hAnsiTheme="minorEastAsia" w:eastAsiaTheme="minorEastAsia"/>
                </w:rPr>
              </w:pPr>
              <w:r>
                <w:rPr>
                  <w:rFonts w:hint="eastAsia" w:asciiTheme="minorEastAsia" w:hAnsiTheme="minorEastAsia" w:eastAsiaTheme="minorEastAsia"/>
                </w:rPr>
                <w:t>信永中和会计师事务所（特殊普通合伙）出具的2023年度财务报告内部控制审计报告全文载于上交所网站、香港联交所网站和公司网站。</w:t>
              </w:r>
            </w:p>
          </w:sdtContent>
        </w:sdt>
      </w:sdtContent>
    </w:sdt>
    <w:p>
      <w:pPr>
        <w:ind w:firstLine="420" w:firstLineChars="200"/>
        <w:rPr>
          <w:rFonts w:asciiTheme="minorEastAsia" w:hAnsiTheme="minorEastAsia" w:eastAsiaTheme="minorEastAsia"/>
        </w:rPr>
      </w:pPr>
      <w:r>
        <w:rPr>
          <w:rFonts w:asciiTheme="minorEastAsia" w:hAnsiTheme="minorEastAsia" w:eastAsiaTheme="minorEastAsia"/>
        </w:rPr>
        <w:t>是否披露内部控制审计报告：</w:t>
      </w:r>
      <w:sdt>
        <w:sdtPr>
          <w:rPr>
            <w:rFonts w:asciiTheme="minorEastAsia" w:hAnsiTheme="minorEastAsia" w:eastAsiaTheme="minorEastAsia"/>
          </w:rPr>
          <w:alias w:val="审计机构是否对公司内部控制出具核实评价意见"/>
          <w:tag w:val="_GBC_c9f332f7c06944ebbd339ca86944d1e2"/>
          <w:id w:val="1373418734"/>
          <w:placeholder>
            <w:docPart w:val="GBC22222222222222222222222222222"/>
          </w:placeholder>
          <w:comboBox>
            <w:listItem w:displayText="是" w:value="true"/>
            <w:listItem w:displayText="否" w:value="false"/>
          </w:comboBox>
        </w:sdtPr>
        <w:sdtEndPr>
          <w:rPr>
            <w:rFonts w:asciiTheme="minorEastAsia" w:hAnsiTheme="minorEastAsia" w:eastAsiaTheme="minorEastAsia"/>
          </w:rPr>
        </w:sdtEndPr>
        <w:sdtContent>
          <w:r>
            <w:rPr>
              <w:rFonts w:asciiTheme="minorEastAsia" w:hAnsiTheme="minorEastAsia" w:eastAsiaTheme="minorEastAsia"/>
            </w:rPr>
            <w:t>是</w:t>
          </w:r>
        </w:sdtContent>
      </w:sdt>
    </w:p>
    <w:p>
      <w:pPr>
        <w:ind w:firstLine="420" w:firstLineChars="200"/>
        <w:rPr>
          <w:rFonts w:asciiTheme="minorEastAsia" w:hAnsiTheme="minorEastAsia" w:eastAsiaTheme="minorEastAsia"/>
        </w:rPr>
      </w:pPr>
      <w:r>
        <w:rPr>
          <w:rFonts w:hint="eastAsia" w:asciiTheme="minorEastAsia" w:hAnsiTheme="minorEastAsia" w:eastAsiaTheme="minorEastAsia"/>
          <w:lang w:val="zh-CN"/>
        </w:rPr>
        <w:t>内部控制审计报告意见类型：</w:t>
      </w:r>
      <w:sdt>
        <w:sdtPr>
          <w:rPr>
            <w:rFonts w:hint="eastAsia" w:asciiTheme="minorEastAsia" w:hAnsiTheme="minorEastAsia" w:eastAsiaTheme="minorEastAsia"/>
            <w:lang w:val="zh-CN"/>
          </w:rPr>
          <w:alias w:val="内部控制审计意见类型"/>
          <w:tag w:val="_GBC_70262b41c723466c879c062e5326eee3"/>
          <w:id w:val="-2101479528"/>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rPr>
            <w:rFonts w:hint="eastAsia" w:asciiTheme="minorEastAsia" w:hAnsiTheme="minorEastAsia" w:eastAsiaTheme="minorEastAsia"/>
            <w:lang w:val="zh-CN"/>
          </w:rPr>
        </w:sdtEndPr>
        <w:sdtContent>
          <w:r>
            <w:rPr>
              <w:rFonts w:hint="eastAsia" w:asciiTheme="minorEastAsia" w:hAnsiTheme="minorEastAsia" w:eastAsiaTheme="minorEastAsia"/>
              <w:lang w:val="zh-CN"/>
            </w:rPr>
            <w:t>标准的无保留意见</w:t>
          </w:r>
        </w:sdtContent>
      </w:sdt>
    </w:p>
    <w:p>
      <w:pPr>
        <w:rPr>
          <w:rFonts w:asciiTheme="minorEastAsia" w:hAnsiTheme="minorEastAsia" w:eastAsiaTheme="minorEastAsia"/>
        </w:rPr>
      </w:pPr>
    </w:p>
    <w:p>
      <w:pPr>
        <w:pStyle w:val="3"/>
        <w:numPr>
          <w:ilvl w:val="0"/>
          <w:numId w:val="17"/>
        </w:numPr>
        <w:ind w:left="420" w:hanging="420"/>
        <w:rPr>
          <w:rFonts w:cs="宋体" w:asciiTheme="minorEastAsia" w:hAnsiTheme="minorEastAsia" w:eastAsiaTheme="minorEastAsia"/>
          <w:kern w:val="0"/>
          <w:szCs w:val="24"/>
        </w:rPr>
      </w:pPr>
      <w:r>
        <w:rPr>
          <w:rFonts w:cs="宋体" w:asciiTheme="minorEastAsia" w:hAnsiTheme="minorEastAsia" w:eastAsiaTheme="minorEastAsia"/>
          <w:kern w:val="0"/>
          <w:szCs w:val="24"/>
        </w:rPr>
        <w:t>上市公司治理专项行动自查问题整改情况</w:t>
      </w:r>
    </w:p>
    <w:sdt>
      <w:sdtPr>
        <w:rPr>
          <w:rFonts w:asciiTheme="minorEastAsia" w:hAnsiTheme="minorEastAsia" w:eastAsiaTheme="minorEastAsia"/>
        </w:rPr>
        <w:alias w:val="上市公司治理专项行动自查问题整改情况"/>
        <w:tag w:val="_GBC_05eb1501ffbf4b83acf20965ad06a2e0"/>
        <w:id w:val="-442385564"/>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bookmarkStart w:id="120" w:name="_Hlk40625199"/>
          <w:bookmarkStart w:id="121" w:name="_Hlk40625163"/>
          <w:r>
            <w:rPr>
              <w:rFonts w:hint="eastAsia" w:asciiTheme="minorEastAsia" w:hAnsiTheme="minorEastAsia" w:eastAsiaTheme="minorEastAsia"/>
            </w:rPr>
            <w:t>不适用。</w:t>
          </w:r>
        </w:p>
      </w:sdtContent>
    </w:sdt>
    <w:bookmarkEnd w:id="120"/>
    <w:p>
      <w:pPr>
        <w:rPr>
          <w:rFonts w:asciiTheme="minorEastAsia" w:hAnsiTheme="minorEastAsia" w:eastAsiaTheme="minorEastAsia"/>
        </w:rPr>
      </w:pPr>
    </w:p>
    <w:p>
      <w:pPr>
        <w:pStyle w:val="3"/>
        <w:numPr>
          <w:ilvl w:val="0"/>
          <w:numId w:val="17"/>
        </w:numPr>
        <w:rPr>
          <w:rFonts w:asciiTheme="minorEastAsia" w:hAnsiTheme="minorEastAsia" w:eastAsiaTheme="minorEastAsia"/>
        </w:rPr>
      </w:pPr>
      <w:r>
        <w:rPr>
          <w:rFonts w:asciiTheme="minorEastAsia" w:hAnsiTheme="minorEastAsia" w:eastAsiaTheme="minorEastAsia"/>
        </w:rPr>
        <w:t>其他</w:t>
      </w:r>
    </w:p>
    <w:bookmarkEnd w:id="121"/>
    <w:sdt>
      <w:sdtPr>
        <w:rPr>
          <w:rFonts w:hint="eastAsia" w:asciiTheme="minorEastAsia" w:hAnsiTheme="minorEastAsia" w:eastAsiaTheme="minorEastAsia"/>
        </w:rPr>
        <w:alias w:val="是否适用：其他公司治理情况说明[双击切换]"/>
        <w:tag w:val="_GBC_dc91085943bb4d4ab22a79a9ba7014df"/>
        <w:id w:val="1575154572"/>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其他公司治理情况"/>
        <w:tag w:val="_GBC_b87ae3f9769a4139afd35b4713731640"/>
        <w:id w:val="-1499259219"/>
        <w:placeholder>
          <w:docPart w:val="GBC22222222222222222222222222222"/>
        </w:placeholder>
      </w:sdtPr>
      <w:sdtEndPr>
        <w:rPr>
          <w:rFonts w:hint="eastAsia" w:ascii="Calibri" w:hAnsi="Calibri" w:eastAsia="宋体"/>
          <w:highlight w:val="yellow"/>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企业管治报告（按香港上市监管规定编制）</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（一）《企业管治守则》（“《守则》”）及《标准守则》遵守情况</w:t>
          </w:r>
        </w:p>
        <w:p>
          <w:pPr>
            <w:ind w:firstLine="420" w:firstLineChars="200"/>
            <w:rPr>
              <w:rFonts w:asciiTheme="minorEastAsia" w:hAnsiTheme="minorEastAsia" w:eastAsiaTheme="minorEastAsia"/>
            </w:rPr>
          </w:pPr>
          <w:r>
            <w:rPr>
              <w:rFonts w:hint="eastAsia" w:asciiTheme="minorEastAsia" w:hAnsiTheme="minorEastAsia" w:eastAsiaTheme="minorEastAsia"/>
            </w:rPr>
            <w:t>本集团已经建立了比较规范、稳健的企业管治架构，并注重遵循透明、问责、维护全体股东权益的公司管治原则。</w:t>
          </w:r>
        </w:p>
        <w:p>
          <w:pPr>
            <w:ind w:firstLine="420" w:firstLineChars="200"/>
            <w:rPr>
              <w:rFonts w:asciiTheme="minorEastAsia" w:hAnsiTheme="minorEastAsia" w:eastAsiaTheme="minorEastAsia"/>
            </w:rPr>
          </w:pPr>
          <w:r>
            <w:rPr>
              <w:rFonts w:hint="eastAsia" w:asciiTheme="minorEastAsia" w:hAnsiTheme="minorEastAsia" w:eastAsiaTheme="minorEastAsia"/>
            </w:rPr>
            <w:t>董事会相信，良好的企业管治对本集团运营发展十分重要。本集团已建立向全体董事汇报的制度，确保董事对公司业务知情；并相信定期举行的董事会会议能够为非执行董事提供有效的沟通渠道，以使非执行董事对本集团业务进行全面及开放的讨论。董事会定期检讨公司治理常规，以确保公司的运行符合法律、法规及上市地监管规定，不断致力于提升公司管治水平。</w:t>
          </w:r>
        </w:p>
        <w:p>
          <w:pPr>
            <w:ind w:firstLine="420" w:firstLineChars="200"/>
            <w:rPr>
              <w:rFonts w:asciiTheme="minorEastAsia" w:hAnsiTheme="minorEastAsia" w:eastAsiaTheme="minorEastAsia"/>
            </w:rPr>
          </w:pPr>
          <w:r>
            <w:rPr>
              <w:rFonts w:hint="eastAsia" w:asciiTheme="minorEastAsia" w:hAnsiTheme="minorEastAsia" w:eastAsiaTheme="minorEastAsia"/>
            </w:rPr>
            <w:t>本集团已执行的企业管治常规文件包括但不限于：《公司章程》《股东大会议事规则》《董事会议事规则》《监事会议事规则》《总经理工作细则》《总经理办公会议事规则》《独立董事工作制度》《董事会秘书工作制度》《信息披露管理制度》《关联交易管理办法》《投资者关系管理工作制度》《股东、董事、监事、高管及相关内幕信息知情人所持本公司股份及变动管理制度》《董事会决议落实情况监督和评价管理办法》《派出董事、监事报告工作制度》《专职产权代表管理办法》《高级职员职业道德行为准则》《内控体系建设管理办法》《全面风险管理办法》等。截至202</w:t>
          </w:r>
          <w:r>
            <w:rPr>
              <w:rFonts w:asciiTheme="minorEastAsia" w:hAnsiTheme="minorEastAsia" w:eastAsiaTheme="minorEastAsia"/>
            </w:rPr>
            <w:t>3</w:t>
          </w:r>
          <w:r>
            <w:rPr>
              <w:rFonts w:hint="eastAsia" w:asciiTheme="minorEastAsia" w:hAnsiTheme="minorEastAsia" w:eastAsiaTheme="minorEastAsia"/>
            </w:rPr>
            <w:t>年12月31日止年度及截至本报告公布之日，本集团采纳的企业管治常规文件，还包含香港上市规则之《守则》，本集团的企业管治运行情况亦符合《守则》的要求。报告期内，本公司已全面遵守《守则》第二部分所载的守则条文。</w:t>
          </w:r>
        </w:p>
        <w:p>
          <w:pPr>
            <w:ind w:firstLine="420" w:firstLineChars="200"/>
            <w:rPr>
              <w:rFonts w:asciiTheme="minorEastAsia" w:hAnsiTheme="minorEastAsia" w:eastAsiaTheme="minorEastAsia"/>
            </w:rPr>
          </w:pPr>
          <w:r>
            <w:rPr>
              <w:rFonts w:hint="eastAsia" w:asciiTheme="minorEastAsia" w:hAnsiTheme="minorEastAsia" w:eastAsiaTheme="minorEastAsia"/>
            </w:rPr>
            <w:t>本集团已执行的企业管治常规，在某些方面比《守则》条文更严格，主要体现在：</w:t>
          </w:r>
        </w:p>
        <w:p>
          <w:pPr>
            <w:ind w:firstLine="420" w:firstLineChars="200"/>
            <w:rPr>
              <w:rFonts w:asciiTheme="minorEastAsia" w:hAnsiTheme="minorEastAsia" w:eastAsiaTheme="minorEastAsia"/>
            </w:rPr>
          </w:pPr>
          <w:r>
            <w:rPr>
              <w:rFonts w:hint="eastAsia" w:asciiTheme="minorEastAsia" w:hAnsiTheme="minorEastAsia" w:eastAsiaTheme="minorEastAsia"/>
            </w:rPr>
            <w:t>积极推进董事会专门委员会建设。除《守则》条文中要求设立的审计委员会、薪酬委员会和提名委员会外，公司还进一步设立了战略与发展委员会和可持续发展委员会，并赋予各委员会具体详实的职责义务；</w:t>
          </w:r>
        </w:p>
        <w:p>
          <w:pPr>
            <w:ind w:firstLine="420" w:firstLineChars="200"/>
            <w:rPr>
              <w:rFonts w:asciiTheme="minorEastAsia" w:hAnsiTheme="minorEastAsia" w:eastAsiaTheme="minorEastAsia"/>
            </w:rPr>
          </w:pPr>
          <w:r>
            <w:rPr>
              <w:rFonts w:hint="eastAsia" w:asciiTheme="minorEastAsia" w:hAnsiTheme="minorEastAsia" w:eastAsiaTheme="minorEastAsia"/>
            </w:rPr>
            <w:t>制定的《股东、董事、监事、高管及相关内幕信息知情人所持本公司股份及变动管理制度》《高级职员职业道德行为准则》，比《标准守则》更严格；</w:t>
          </w:r>
        </w:p>
        <w:p>
          <w:pPr>
            <w:ind w:firstLine="420" w:firstLineChars="200"/>
            <w:rPr>
              <w:rFonts w:asciiTheme="minorEastAsia" w:hAnsiTheme="minorEastAsia" w:eastAsiaTheme="minorEastAsia"/>
            </w:rPr>
          </w:pPr>
          <w:r>
            <w:rPr>
              <w:rFonts w:hint="eastAsia" w:asciiTheme="minorEastAsia" w:hAnsiTheme="minorEastAsia" w:eastAsiaTheme="minorEastAsia"/>
            </w:rPr>
            <w:t>按照上交所《公司自律监管指引第1号——规范运作》、中国财政部等五部委联合下发的《企业内部控制基本规范》和《守则》条文的规定建立内部控制体系，执行的标准比《守则》有关内部监控的条文更细化；</w:t>
          </w:r>
        </w:p>
        <w:p>
          <w:pPr>
            <w:ind w:firstLine="420" w:firstLineChars="200"/>
            <w:rPr>
              <w:rFonts w:asciiTheme="minorEastAsia" w:hAnsiTheme="minorEastAsia" w:eastAsiaTheme="minorEastAsia"/>
            </w:rPr>
          </w:pPr>
          <w:r>
            <w:rPr>
              <w:rFonts w:hint="eastAsia" w:asciiTheme="minorEastAsia" w:hAnsiTheme="minorEastAsia" w:eastAsiaTheme="minorEastAsia"/>
            </w:rPr>
            <w:t>公布了董事会及年审会计师对公司202</w:t>
          </w:r>
          <w:r>
            <w:rPr>
              <w:rFonts w:asciiTheme="minorEastAsia" w:hAnsiTheme="minorEastAsia" w:eastAsiaTheme="minorEastAsia"/>
            </w:rPr>
            <w:t>3</w:t>
          </w:r>
          <w:r>
            <w:rPr>
              <w:rFonts w:hint="eastAsia" w:asciiTheme="minorEastAsia" w:hAnsiTheme="minorEastAsia" w:eastAsiaTheme="minorEastAsia"/>
            </w:rPr>
            <w:t>年度内部控制有效性的评估结论。</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（二）董事、监事证券交易</w:t>
          </w:r>
        </w:p>
        <w:p>
          <w:pPr>
            <w:ind w:firstLine="420" w:firstLineChars="200"/>
            <w:rPr>
              <w:rFonts w:asciiTheme="minorEastAsia" w:hAnsiTheme="minorEastAsia" w:eastAsiaTheme="minorEastAsia"/>
            </w:rPr>
          </w:pPr>
          <w:r>
            <w:rPr>
              <w:rFonts w:hint="eastAsia" w:asciiTheme="minorEastAsia" w:hAnsiTheme="minorEastAsia" w:eastAsiaTheme="minorEastAsia"/>
            </w:rPr>
            <w:t>截至本报告披露日，公司董事、监事均严格遵守了《标准守则》及本公司的《股东、董事、监事、高管及相关内幕信息知情人所持本公司股份及变动管理制度》。</w:t>
          </w:r>
        </w:p>
        <w:p>
          <w:pPr>
            <w:ind w:firstLine="420" w:firstLineChars="200"/>
            <w:rPr>
              <w:rFonts w:asciiTheme="minorEastAsia" w:hAnsiTheme="minorEastAsia" w:eastAsiaTheme="minorEastAsia"/>
            </w:rPr>
          </w:pPr>
          <w:r>
            <w:rPr>
              <w:rFonts w:hint="eastAsia" w:asciiTheme="minorEastAsia" w:hAnsiTheme="minorEastAsia" w:eastAsiaTheme="minorEastAsia"/>
            </w:rPr>
            <w:t>2006年4月21日，本公司第三届董事会第五次会议审议批准了《管理层证券交易守则》；2010年4月23日，本公司第四届董事会第十四次会议对《管理层证券交易守则》进行修订，该制度在《标准守则》的基础上，补充完善了上市地证券交易有关法律法规和监管要求，比《标准守则》更严格。</w:t>
          </w:r>
        </w:p>
        <w:p>
          <w:pPr>
            <w:ind w:firstLine="420" w:firstLineChars="200"/>
            <w:rPr>
              <w:rFonts w:asciiTheme="minorEastAsia" w:hAnsiTheme="minorEastAsia" w:eastAsiaTheme="minorEastAsia"/>
            </w:rPr>
          </w:pPr>
          <w:r>
            <w:rPr>
              <w:rFonts w:hint="eastAsia" w:asciiTheme="minorEastAsia" w:hAnsiTheme="minorEastAsia" w:eastAsiaTheme="minorEastAsia"/>
            </w:rPr>
            <w:t>2018年2月13日，本公司第七届董事会第十次会议审议批准了《董监高及内幕信息知情人所持本公司股份及变动管理制度》，同时废止了《管理层证券交易守则》；2018年12月5日，本公司第七届董事会第二十次会议对《董监高及内幕信息知情人所持本公司股份及变动管理制度》进行修订，该制度在《管理层证券交易守则》的基础上，规范了内幕信息知情人所持本公司股份及变动的行为，增加了违反监管措施的处罚规定，比《管理层证券交易守则》更全面、更严格。</w:t>
          </w:r>
        </w:p>
        <w:p>
          <w:pPr>
            <w:ind w:firstLine="420" w:firstLineChars="200"/>
            <w:rPr>
              <w:rFonts w:asciiTheme="minorEastAsia" w:hAnsiTheme="minorEastAsia" w:eastAsiaTheme="minorEastAsia"/>
            </w:rPr>
          </w:pPr>
          <w:r>
            <w:rPr>
              <w:rFonts w:hint="eastAsia" w:asciiTheme="minorEastAsia" w:hAnsiTheme="minorEastAsia" w:eastAsiaTheme="minorEastAsia"/>
            </w:rPr>
            <w:t>2022年4月29日，本公司第八届董事会第二十二次会议审议批准了《股东、董事、监事、高管及相关内幕信息知情人所持本公司股份及变动管理制度》，对《董监高及内幕信息知情人所持本公司股份及变动管理制度》进行整体结构调整，补充更新相关条款，进一步加强股东、董事、监事、高级管理人员及相关内幕信息知情人所持本公司股份变动管理。</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（三）董事会与经理层</w:t>
          </w:r>
        </w:p>
        <w:p>
          <w:pPr>
            <w:ind w:firstLine="420" w:firstLineChars="200"/>
            <w:rPr>
              <w:rFonts w:asciiTheme="minorEastAsia" w:hAnsiTheme="minorEastAsia" w:eastAsiaTheme="minorEastAsia"/>
            </w:rPr>
          </w:pPr>
          <w:r>
            <w:rPr>
              <w:rFonts w:hint="eastAsia" w:asciiTheme="minorEastAsia" w:hAnsiTheme="minorEastAsia" w:eastAsiaTheme="minorEastAsia"/>
            </w:rPr>
            <w:t>于本报告披露日，公司董事会由1</w:t>
          </w:r>
          <w:r>
            <w:rPr>
              <w:rFonts w:asciiTheme="minorEastAsia" w:hAnsiTheme="minorEastAsia" w:eastAsiaTheme="minorEastAsia"/>
            </w:rPr>
            <w:t>1</w:t>
          </w:r>
          <w:r>
            <w:rPr>
              <w:rFonts w:hint="eastAsia" w:asciiTheme="minorEastAsia" w:hAnsiTheme="minorEastAsia" w:eastAsiaTheme="minorEastAsia"/>
            </w:rPr>
            <w:t>名董事组成，其中包括4名独立非执行董事。董事会成员的姓名、任职及离任情况载于本节相关内容。</w:t>
          </w:r>
        </w:p>
        <w:p>
          <w:pPr>
            <w:ind w:firstLine="420" w:firstLineChars="200"/>
            <w:rPr>
              <w:rFonts w:asciiTheme="minorEastAsia" w:hAnsiTheme="minorEastAsia" w:eastAsiaTheme="minorEastAsia"/>
            </w:rPr>
          </w:pPr>
          <w:r>
            <w:rPr>
              <w:rFonts w:hint="eastAsia" w:asciiTheme="minorEastAsia" w:hAnsiTheme="minorEastAsia" w:eastAsiaTheme="minorEastAsia"/>
            </w:rPr>
            <w:t>《公司章程》清晰载列了董事会和经理层的职责权限。</w:t>
          </w:r>
        </w:p>
        <w:p>
          <w:pPr>
            <w:ind w:firstLine="420" w:firstLineChars="200"/>
            <w:rPr>
              <w:rFonts w:asciiTheme="minorEastAsia" w:hAnsiTheme="minorEastAsia" w:eastAsiaTheme="minorEastAsia"/>
            </w:rPr>
          </w:pPr>
          <w:r>
            <w:rPr>
              <w:rFonts w:hint="eastAsia" w:asciiTheme="minorEastAsia" w:hAnsiTheme="minorEastAsia" w:eastAsiaTheme="minorEastAsia"/>
            </w:rPr>
            <w:t>董事会负责公司战略决策和监督公司及管理层的运行，主要行使下列职权：决定公司经营计划和投资方案；制订公司财务决算和利润分配方案；推行及检讨公司内部监控系统；履行企业管治职责；确定公司管理机构设置及基本管理制度等。</w:t>
          </w:r>
        </w:p>
        <w:p>
          <w:pPr>
            <w:ind w:firstLine="420" w:firstLineChars="200"/>
            <w:rPr>
              <w:rFonts w:asciiTheme="minorEastAsia" w:hAnsiTheme="minorEastAsia" w:eastAsiaTheme="minorEastAsia"/>
            </w:rPr>
          </w:pPr>
          <w:r>
            <w:rPr>
              <w:rFonts w:hint="eastAsia" w:asciiTheme="minorEastAsia" w:hAnsiTheme="minorEastAsia" w:eastAsiaTheme="minorEastAsia"/>
            </w:rPr>
            <w:t>公司经理层负责公司生产经营和管理，主要行使下列职权：负责公司的生产经营管理工作；组织实施董事会决议事项；组织实施公司年度经营计划和投资方案；起草公司管理机构设置方案；起草公司的基本管理制度；拟定公司职工的工资、福利、奖惩；决定公司职工的聘用和解聘等。</w:t>
          </w:r>
        </w:p>
        <w:p>
          <w:pPr>
            <w:ind w:firstLine="420" w:firstLineChars="200"/>
            <w:rPr>
              <w:rFonts w:asciiTheme="minorEastAsia" w:hAnsiTheme="minorEastAsia" w:eastAsiaTheme="minorEastAsia"/>
            </w:rPr>
          </w:pPr>
          <w:r>
            <w:rPr>
              <w:rFonts w:hint="eastAsia" w:asciiTheme="minorEastAsia" w:hAnsiTheme="minorEastAsia" w:eastAsiaTheme="minorEastAsia"/>
            </w:rPr>
            <w:t>根据香港上市规则，公司已经收到每名独立非执行董事就其独立性而作出的年度确认函，公司确认4名独立非执行董事属独立人士且符合香港上市规则关于独立非执行董事资格的要求。</w:t>
          </w:r>
        </w:p>
        <w:p>
          <w:pPr>
            <w:ind w:firstLine="420" w:firstLineChars="200"/>
            <w:rPr>
              <w:rFonts w:asciiTheme="minorEastAsia" w:hAnsiTheme="minorEastAsia" w:eastAsiaTheme="minorEastAsia"/>
            </w:rPr>
          </w:pPr>
          <w:r>
            <w:rPr>
              <w:rFonts w:hint="eastAsia" w:asciiTheme="minorEastAsia" w:hAnsiTheme="minorEastAsia" w:eastAsiaTheme="minorEastAsia"/>
            </w:rPr>
            <w:t>董事负责编制公司相关会计期间的财务账目，真实公允地反映公司财务状况、经营业绩及现金流量状况。</w:t>
          </w:r>
        </w:p>
        <w:p>
          <w:pPr>
            <w:ind w:firstLine="420" w:firstLineChars="200"/>
            <w:rPr>
              <w:rFonts w:asciiTheme="minorEastAsia" w:hAnsiTheme="minorEastAsia" w:eastAsiaTheme="minorEastAsia"/>
            </w:rPr>
          </w:pPr>
          <w:r>
            <w:rPr>
              <w:rFonts w:hint="eastAsia" w:asciiTheme="minorEastAsia" w:hAnsiTheme="minorEastAsia" w:eastAsiaTheme="minorEastAsia"/>
            </w:rPr>
            <w:t>自2008年以来，公司每年均为公司董事、监事和高级管理人员购买责任保险。</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已制定内部政策（包括但不限于《公司章程》、董事提名政策、薪酬与提名委员会职权范围）以确保董事会可获得独立的观点和意见，这些政策涵盖了本公司就董事（包括独立非执行董事）的选举与委任的程序及甄选准则、董事就董事会审议相关议案的回避表决机制、独立董事委员会聘请独立财务顾问或其他专业顾问的权限等。本公司已检讨上述机制的实施及有效性，认为上述机制能够确保董事会获得独立的观点和意见。</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（四）董事会会议及董事培训</w:t>
          </w:r>
        </w:p>
        <w:p>
          <w:pPr>
            <w:ind w:firstLine="420" w:firstLineChars="200"/>
            <w:rPr>
              <w:rFonts w:asciiTheme="minorEastAsia" w:hAnsiTheme="minorEastAsia" w:eastAsiaTheme="minorEastAsia"/>
            </w:rPr>
          </w:pPr>
          <w:r>
            <w:rPr>
              <w:rFonts w:hint="eastAsia" w:asciiTheme="minorEastAsia" w:hAnsiTheme="minorEastAsia" w:eastAsiaTheme="minorEastAsia"/>
            </w:rPr>
            <w:t>根据《公司章程》和《董事会议事规则》规定，所有董事皆有机会提出商讨事项列入董事会会议议程；公司于定期董事会会议召开日14天前、临时董事会会议召开日3天前，向董事发出会议通知；于定期董事会会议召开日5天前、临时董事会会议召开日3天前，将会议议案、会议讨论资料提交公司董事审阅；对会议上各董事所考虑的事项及形成的决定作了详细的会议记录；董事会会议结束后，会议记录的初稿和最终定稿于合理时间内提交全体董事，初稿供董事表达意见，最终定稿供董事备存；任何董事亦可于合理时段查阅公司备存的会议记录。</w:t>
          </w:r>
        </w:p>
        <w:p>
          <w:pPr>
            <w:ind w:firstLine="420" w:firstLineChars="200"/>
            <w:rPr>
              <w:rFonts w:asciiTheme="minorEastAsia" w:hAnsiTheme="minorEastAsia" w:eastAsiaTheme="minorEastAsia"/>
            </w:rPr>
          </w:pPr>
          <w:r>
            <w:rPr>
              <w:rFonts w:hint="eastAsia" w:asciiTheme="minorEastAsia" w:hAnsiTheme="minorEastAsia" w:eastAsiaTheme="minorEastAsia"/>
            </w:rPr>
            <w:t>董事会及每名董事均有自行接触高级管理人员的独立途径。所有董事均有权查阅董事会文件及相关资料。</w:t>
          </w:r>
        </w:p>
        <w:p>
          <w:pPr>
            <w:ind w:firstLine="420" w:firstLineChars="200"/>
            <w:rPr>
              <w:rFonts w:asciiTheme="minorEastAsia" w:hAnsiTheme="minorEastAsia" w:eastAsiaTheme="minorEastAsia"/>
            </w:rPr>
          </w:pPr>
          <w:r>
            <w:rPr>
              <w:rFonts w:hint="eastAsia" w:asciiTheme="minorEastAsia" w:hAnsiTheme="minorEastAsia" w:eastAsiaTheme="minorEastAsia"/>
            </w:rPr>
            <w:t>公司设立了董事会专门办事机构，全体董事均可获得董事会秘书提供的服务。董事会可以决定在适当情况下为董事寻求独立专业意见，相关费用由公司承担。董事会审议关联事项时，关联董事均回避表决。</w:t>
          </w:r>
        </w:p>
        <w:p>
          <w:pPr>
            <w:ind w:firstLine="420" w:firstLineChars="200"/>
            <w:rPr>
              <w:rFonts w:asciiTheme="minorEastAsia" w:hAnsiTheme="minorEastAsia" w:eastAsiaTheme="minorEastAsia"/>
            </w:rPr>
          </w:pPr>
          <w:r>
            <w:rPr>
              <w:rFonts w:hint="eastAsia" w:asciiTheme="minorEastAsia" w:hAnsiTheme="minorEastAsia" w:eastAsiaTheme="minorEastAsia"/>
            </w:rPr>
            <w:t>截至202</w:t>
          </w:r>
          <w:r>
            <w:rPr>
              <w:rFonts w:asciiTheme="minorEastAsia" w:hAnsiTheme="minorEastAsia" w:eastAsiaTheme="minorEastAsia"/>
            </w:rPr>
            <w:t>3</w:t>
          </w:r>
          <w:r>
            <w:rPr>
              <w:rFonts w:hint="eastAsia" w:asciiTheme="minorEastAsia" w:hAnsiTheme="minorEastAsia" w:eastAsiaTheme="minorEastAsia"/>
            </w:rPr>
            <w:t>年12月31日止年度，公司董事会共召开了</w:t>
          </w:r>
          <w:r>
            <w:rPr>
              <w:rFonts w:asciiTheme="minorEastAsia" w:hAnsiTheme="minorEastAsia" w:eastAsiaTheme="minorEastAsia"/>
            </w:rPr>
            <w:t>6</w:t>
          </w:r>
          <w:r>
            <w:rPr>
              <w:rFonts w:hint="eastAsia" w:asciiTheme="minorEastAsia" w:hAnsiTheme="minorEastAsia" w:eastAsiaTheme="minorEastAsia"/>
            </w:rPr>
            <w:t>次会议。有关董事出席董事会、股东大会情况详情请见本节相关内容。</w:t>
          </w:r>
        </w:p>
        <w:p>
          <w:pPr>
            <w:ind w:firstLine="420" w:firstLineChars="200"/>
            <w:rPr>
              <w:rFonts w:asciiTheme="minorEastAsia" w:hAnsiTheme="minorEastAsia" w:eastAsiaTheme="minorEastAsia"/>
            </w:rPr>
          </w:pPr>
          <w:r>
            <w:rPr>
              <w:rFonts w:hint="eastAsia" w:asciiTheme="minorEastAsia" w:hAnsiTheme="minorEastAsia" w:eastAsiaTheme="minorEastAsia"/>
            </w:rPr>
            <w:t>公司所有董事均能够参与持续专业发展，更新其知识、技能，以确保其为董事会做出贡献。</w:t>
          </w:r>
        </w:p>
        <w:p>
          <w:pPr>
            <w:ind w:firstLine="420" w:firstLineChars="200"/>
            <w:rPr>
              <w:rFonts w:asciiTheme="minorEastAsia" w:hAnsiTheme="minorEastAsia" w:eastAsiaTheme="minorEastAsia"/>
            </w:rPr>
          </w:pPr>
          <w:r>
            <w:rPr>
              <w:rFonts w:hint="eastAsia" w:asciiTheme="minorEastAsia" w:hAnsiTheme="minorEastAsia" w:eastAsiaTheme="minorEastAsia"/>
            </w:rPr>
            <w:t>报告期内，公司现任董事参加培训情况如下：</w:t>
          </w:r>
        </w:p>
        <w:tbl>
          <w:tblPr>
            <w:tblStyle w:val="207"/>
            <w:tblW w:w="4982" w:type="pct"/>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7"/>
            <w:gridCol w:w="5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8" w:type="pct"/>
                <w:tcBorders>
                  <w:top w:val="single" w:color="auto" w:sz="4" w:space="0"/>
                  <w:left w:val="single" w:color="auto" w:sz="4" w:space="0"/>
                  <w:bottom w:val="single" w:color="auto" w:sz="4" w:space="0"/>
                  <w:right w:val="single" w:color="auto" w:sz="4" w:space="0"/>
                </w:tcBorders>
              </w:tcPr>
              <w:p>
                <w:pPr>
                  <w:spacing w:line="400" w:lineRule="exact"/>
                  <w:jc w:val="center"/>
                  <w:rPr>
                    <w:rFonts w:cs="MHei-Light-Identity-H" w:asciiTheme="minorEastAsia" w:hAnsiTheme="minorEastAsia" w:eastAsiaTheme="minorEastAsia"/>
                    <w:b/>
                  </w:rPr>
                </w:pPr>
                <w:r>
                  <w:rPr>
                    <w:rFonts w:hint="eastAsia" w:cs="MHei-Light-Identity-H" w:asciiTheme="minorEastAsia" w:hAnsiTheme="minorEastAsia" w:eastAsiaTheme="minorEastAsia"/>
                    <w:b/>
                  </w:rPr>
                  <w:t>姓名</w:t>
                </w:r>
              </w:p>
            </w:tc>
            <w:tc>
              <w:tcPr>
                <w:tcW w:w="2822" w:type="pct"/>
                <w:tcBorders>
                  <w:top w:val="single" w:color="auto" w:sz="4" w:space="0"/>
                  <w:left w:val="nil"/>
                  <w:bottom w:val="single" w:color="auto" w:sz="4" w:space="0"/>
                  <w:right w:val="single" w:color="auto" w:sz="4" w:space="0"/>
                </w:tcBorders>
              </w:tcPr>
              <w:p>
                <w:pPr>
                  <w:spacing w:line="400" w:lineRule="exact"/>
                  <w:jc w:val="center"/>
                  <w:rPr>
                    <w:rFonts w:cs="MHei-Light-Identity-H" w:asciiTheme="minorEastAsia" w:hAnsiTheme="minorEastAsia" w:eastAsiaTheme="minorEastAsia"/>
                    <w:b/>
                  </w:rPr>
                </w:pPr>
                <w:r>
                  <w:rPr>
                    <w:rFonts w:hint="eastAsia" w:cs="MHei-Light-Identity-H" w:asciiTheme="minorEastAsia" w:hAnsiTheme="minorEastAsia" w:eastAsiaTheme="minorEastAsia"/>
                    <w:b/>
                  </w:rPr>
                  <w:t>培训情况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178" w:type="pct"/>
                <w:tcBorders>
                  <w:top w:val="single" w:color="auto" w:sz="4" w:space="0"/>
                  <w:left w:val="single" w:color="auto" w:sz="4" w:space="0"/>
                  <w:bottom w:val="single" w:color="auto" w:sz="4" w:space="0"/>
                  <w:right w:val="single" w:color="auto" w:sz="4" w:space="0"/>
                </w:tcBorders>
              </w:tcPr>
              <w:p>
                <w:pPr>
                  <w:jc w:val="left"/>
                  <w:rPr>
                    <w:rFonts w:ascii="宋体" w:hAnsi="宋体"/>
                  </w:rPr>
                </w:pPr>
                <w:r>
                  <w:rPr>
                    <w:rFonts w:hint="eastAsia" w:ascii="宋体" w:hAnsi="宋体"/>
                  </w:rPr>
                  <w:t>李伟、肖耀猛、刘健、刘强、张海军、苏力、黄霄龙、彭苏萍、朱利民、</w:t>
                </w:r>
              </w:p>
              <w:p>
                <w:pPr>
                  <w:jc w:val="left"/>
                  <w:rPr>
                    <w:rFonts w:asciiTheme="minorEastAsia" w:hAnsiTheme="minorEastAsia" w:eastAsiaTheme="minorEastAsia"/>
                  </w:rPr>
                </w:pPr>
                <w:r>
                  <w:rPr>
                    <w:rFonts w:hint="eastAsia" w:ascii="宋体" w:hAnsi="宋体"/>
                  </w:rPr>
                  <w:t>胡家栋、朱睿</w:t>
                </w:r>
              </w:p>
            </w:tc>
            <w:tc>
              <w:tcPr>
                <w:tcW w:w="2822" w:type="pct"/>
                <w:tcBorders>
                  <w:top w:val="single" w:color="auto" w:sz="4" w:space="0"/>
                  <w:left w:val="nil"/>
                  <w:bottom w:val="single" w:color="auto" w:sz="4" w:space="0"/>
                  <w:right w:val="single" w:color="auto" w:sz="4" w:space="0"/>
                </w:tcBorders>
                <w:vAlign w:val="center"/>
              </w:tcPr>
              <w:p>
                <w:pPr>
                  <w:rPr>
                    <w:rFonts w:cs="MHei-Light-Identity-H" w:asciiTheme="minorEastAsia" w:hAnsiTheme="minorEastAsia" w:eastAsiaTheme="minorEastAsia"/>
                  </w:rPr>
                </w:pPr>
                <w:r>
                  <w:rPr>
                    <w:rFonts w:hint="eastAsia" w:ascii="宋体" w:hAnsi="宋体"/>
                  </w:rPr>
                  <w:t>于2023年6月30日参加了公司组织的《上市公司规范运作》专题培训。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178"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rPr>
                </w:pPr>
                <w:r>
                  <w:rPr>
                    <w:rFonts w:hint="eastAsia" w:asciiTheme="minorEastAsia" w:hAnsiTheme="minorEastAsia" w:eastAsiaTheme="minorEastAsia"/>
                  </w:rPr>
                  <w:t>刘强、苏力、黄霄龙</w:t>
                </w:r>
              </w:p>
            </w:tc>
            <w:tc>
              <w:tcPr>
                <w:tcW w:w="2822" w:type="pct"/>
                <w:tcBorders>
                  <w:top w:val="single" w:color="auto" w:sz="4" w:space="0"/>
                  <w:left w:val="nil"/>
                  <w:bottom w:val="single" w:color="auto" w:sz="4" w:space="0"/>
                  <w:right w:val="single" w:color="auto" w:sz="4" w:space="0"/>
                </w:tcBorders>
                <w:vAlign w:val="center"/>
              </w:tcPr>
              <w:p>
                <w:pPr>
                  <w:rPr>
                    <w:rFonts w:cs="MHei-Light-Identity-H" w:asciiTheme="minorEastAsia" w:hAnsiTheme="minorEastAsia" w:eastAsiaTheme="minorEastAsia"/>
                  </w:rPr>
                </w:pPr>
                <w:r>
                  <w:rPr>
                    <w:rFonts w:hint="eastAsia" w:cs="MHei-Light-Identity-H" w:asciiTheme="minorEastAsia" w:hAnsiTheme="minorEastAsia" w:eastAsiaTheme="minorEastAsia"/>
                  </w:rPr>
                  <w:t>于2</w:t>
                </w:r>
                <w:r>
                  <w:rPr>
                    <w:rFonts w:cs="MHei-Light-Identity-H" w:asciiTheme="minorEastAsia" w:hAnsiTheme="minorEastAsia" w:eastAsiaTheme="minorEastAsia"/>
                  </w:rPr>
                  <w:t>023年</w:t>
                </w:r>
                <w:r>
                  <w:rPr>
                    <w:rFonts w:hint="eastAsia" w:cs="MHei-Light-Identity-H" w:asciiTheme="minorEastAsia" w:hAnsiTheme="minorEastAsia" w:eastAsiaTheme="minorEastAsia"/>
                  </w:rPr>
                  <w:t>7月2</w:t>
                </w:r>
                <w:r>
                  <w:rPr>
                    <w:rFonts w:cs="MHei-Light-Identity-H" w:asciiTheme="minorEastAsia" w:hAnsiTheme="minorEastAsia" w:eastAsiaTheme="minorEastAsia"/>
                  </w:rPr>
                  <w:t>6日参加了</w:t>
                </w:r>
                <w:r>
                  <w:rPr>
                    <w:rFonts w:hint="eastAsia" w:cs="MHei-Light-Identity-H" w:asciiTheme="minorEastAsia" w:hAnsiTheme="minorEastAsia" w:eastAsiaTheme="minorEastAsia"/>
                  </w:rPr>
                  <w:t>山东上市公司协会</w:t>
                </w:r>
                <w:r>
                  <w:rPr>
                    <w:rFonts w:cs="MHei-Light-Identity-H" w:asciiTheme="minorEastAsia" w:hAnsiTheme="minorEastAsia" w:eastAsiaTheme="minorEastAsia"/>
                  </w:rPr>
                  <w:t>2023年第一期董事、监事培训班。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178"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rPr>
                </w:pPr>
                <w:r>
                  <w:rPr>
                    <w:rFonts w:hint="eastAsia" w:asciiTheme="minorEastAsia" w:hAnsiTheme="minorEastAsia" w:eastAsiaTheme="minorEastAsia"/>
                  </w:rPr>
                  <w:t>张海军</w:t>
                </w:r>
              </w:p>
            </w:tc>
            <w:tc>
              <w:tcPr>
                <w:tcW w:w="2822"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rPr>
                </w:pPr>
                <w:r>
                  <w:rPr>
                    <w:rFonts w:asciiTheme="minorEastAsia" w:hAnsiTheme="minorEastAsia" w:eastAsiaTheme="minorEastAsia"/>
                  </w:rPr>
                  <w:t>于</w:t>
                </w:r>
                <w:r>
                  <w:rPr>
                    <w:rFonts w:hint="eastAsia" w:asciiTheme="minorEastAsia" w:hAnsiTheme="minorEastAsia" w:eastAsiaTheme="minorEastAsia"/>
                  </w:rPr>
                  <w:t>2</w:t>
                </w:r>
                <w:r>
                  <w:rPr>
                    <w:rFonts w:asciiTheme="minorEastAsia" w:hAnsiTheme="minorEastAsia" w:eastAsiaTheme="minorEastAsia"/>
                  </w:rPr>
                  <w:t>023年</w:t>
                </w:r>
                <w:r>
                  <w:rPr>
                    <w:rFonts w:hint="eastAsia" w:asciiTheme="minorEastAsia" w:hAnsiTheme="minorEastAsia" w:eastAsiaTheme="minorEastAsia"/>
                  </w:rPr>
                  <w:t>8</w:t>
                </w:r>
                <w:r>
                  <w:rPr>
                    <w:rFonts w:asciiTheme="minorEastAsia" w:hAnsiTheme="minorEastAsia" w:eastAsiaTheme="minorEastAsia"/>
                  </w:rPr>
                  <w:t>月</w:t>
                </w:r>
                <w:r>
                  <w:rPr>
                    <w:rFonts w:hint="eastAsia" w:asciiTheme="minorEastAsia" w:hAnsiTheme="minorEastAsia" w:eastAsiaTheme="minorEastAsia"/>
                  </w:rPr>
                  <w:t>2</w:t>
                </w:r>
                <w:r>
                  <w:rPr>
                    <w:rFonts w:asciiTheme="minorEastAsia" w:hAnsiTheme="minorEastAsia" w:eastAsiaTheme="minorEastAsia"/>
                  </w:rPr>
                  <w:t>4日参加了</w:t>
                </w:r>
                <w:r>
                  <w:rPr>
                    <w:rFonts w:hint="eastAsia" w:asciiTheme="minorEastAsia" w:hAnsiTheme="minorEastAsia" w:eastAsiaTheme="minorEastAsia"/>
                  </w:rPr>
                  <w:t>山东上市公司协会</w:t>
                </w:r>
                <w:r>
                  <w:rPr>
                    <w:rFonts w:asciiTheme="minorEastAsia" w:hAnsiTheme="minorEastAsia" w:eastAsiaTheme="minorEastAsia"/>
                  </w:rPr>
                  <w:t>2023年第二期董事、监事培训班。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178"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rPr>
                </w:pPr>
                <w:r>
                  <w:rPr>
                    <w:rFonts w:hint="eastAsia" w:asciiTheme="minorEastAsia" w:hAnsiTheme="minorEastAsia" w:eastAsiaTheme="minorEastAsia"/>
                  </w:rPr>
                  <w:t>张海军</w:t>
                </w:r>
              </w:p>
            </w:tc>
            <w:tc>
              <w:tcPr>
                <w:tcW w:w="2822"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rPr>
                </w:pPr>
                <w:r>
                  <w:rPr>
                    <w:rFonts w:asciiTheme="minorEastAsia" w:hAnsiTheme="minorEastAsia" w:eastAsiaTheme="minorEastAsia"/>
                  </w:rPr>
                  <w:t>于</w:t>
                </w:r>
                <w:r>
                  <w:rPr>
                    <w:rFonts w:hint="eastAsia" w:asciiTheme="minorEastAsia" w:hAnsiTheme="minorEastAsia" w:eastAsiaTheme="minorEastAsia"/>
                  </w:rPr>
                  <w:t>2</w:t>
                </w:r>
                <w:r>
                  <w:rPr>
                    <w:rFonts w:asciiTheme="minorEastAsia" w:hAnsiTheme="minorEastAsia" w:eastAsiaTheme="minorEastAsia"/>
                  </w:rPr>
                  <w:t>023年</w:t>
                </w:r>
                <w:r>
                  <w:rPr>
                    <w:rFonts w:hint="eastAsia" w:asciiTheme="minorEastAsia" w:hAnsiTheme="minorEastAsia" w:eastAsiaTheme="minorEastAsia"/>
                  </w:rPr>
                  <w:t>9</w:t>
                </w:r>
                <w:r>
                  <w:rPr>
                    <w:rFonts w:asciiTheme="minorEastAsia" w:hAnsiTheme="minorEastAsia" w:eastAsiaTheme="minorEastAsia"/>
                  </w:rPr>
                  <w:t>月</w:t>
                </w:r>
                <w:r>
                  <w:rPr>
                    <w:rFonts w:hint="eastAsia" w:asciiTheme="minorEastAsia" w:hAnsiTheme="minorEastAsia" w:eastAsiaTheme="minorEastAsia"/>
                  </w:rPr>
                  <w:t>1</w:t>
                </w:r>
                <w:r>
                  <w:rPr>
                    <w:rFonts w:asciiTheme="minorEastAsia" w:hAnsiTheme="minorEastAsia" w:eastAsiaTheme="minorEastAsia"/>
                  </w:rPr>
                  <w:t>5日</w:t>
                </w:r>
                <w:r>
                  <w:rPr>
                    <w:rFonts w:hint="eastAsia" w:asciiTheme="minorEastAsia" w:hAnsiTheme="minorEastAsia" w:eastAsiaTheme="minorEastAsia"/>
                  </w:rPr>
                  <w:t>-</w:t>
                </w:r>
                <w:r>
                  <w:rPr>
                    <w:rFonts w:asciiTheme="minorEastAsia" w:hAnsiTheme="minorEastAsia" w:eastAsiaTheme="minorEastAsia"/>
                  </w:rPr>
                  <w:t>28日参加了</w:t>
                </w:r>
                <w:r>
                  <w:rPr>
                    <w:rFonts w:hint="eastAsia" w:asciiTheme="minorEastAsia" w:hAnsiTheme="minorEastAsia" w:eastAsiaTheme="minorEastAsia"/>
                  </w:rPr>
                  <w:t>上交所</w:t>
                </w:r>
                <w:r>
                  <w:rPr>
                    <w:rFonts w:asciiTheme="minorEastAsia" w:hAnsiTheme="minorEastAsia" w:eastAsiaTheme="minorEastAsia"/>
                  </w:rPr>
                  <w:t>2023年第5期上市公司董监高初任培训</w:t>
                </w: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178"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rPr>
                </w:pPr>
                <w:r>
                  <w:rPr>
                    <w:rFonts w:hint="eastAsia" w:ascii="宋体" w:hAnsi="宋体"/>
                  </w:rPr>
                  <w:t>李伟、肖耀猛、刘健、刘强、张海军、苏力、黄霄龙、彭苏萍、朱利民、</w:t>
                </w:r>
              </w:p>
              <w:p>
                <w:pPr>
                  <w:rPr>
                    <w:rFonts w:asciiTheme="minorEastAsia" w:hAnsiTheme="minorEastAsia" w:eastAsiaTheme="minorEastAsia"/>
                  </w:rPr>
                </w:pPr>
                <w:r>
                  <w:rPr>
                    <w:rFonts w:hint="eastAsia" w:ascii="宋体" w:hAnsi="宋体"/>
                  </w:rPr>
                  <w:t>胡家栋、朱睿</w:t>
                </w:r>
              </w:p>
            </w:tc>
            <w:tc>
              <w:tcPr>
                <w:tcW w:w="2822"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rPr>
                </w:pPr>
                <w:r>
                  <w:rPr>
                    <w:rFonts w:hint="eastAsia" w:ascii="宋体" w:hAnsi="宋体"/>
                  </w:rPr>
                  <w:t>于2023年10月27日参加了公司组织的《关于上市公司独立董事制度改革的意见》《上市公司独立董事管理办法》等制度的培训。</w:t>
                </w:r>
              </w:p>
            </w:tc>
          </w:tr>
        </w:tbl>
        <w:p>
          <w:pPr>
            <w:rPr>
              <w:rFonts w:asciiTheme="minorEastAsia" w:hAnsiTheme="minorEastAsia" w:eastAsiaTheme="minorEastAsia"/>
            </w:rPr>
          </w:pPr>
          <w:r>
            <w:rPr>
              <w:rFonts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报告期内，公司除邀请法律顾问、年审会计师就上市监管规则、会计准则进行研究学习外，还将法律法规修订、监管要求变化、典型突出案例、董事培训资料和公司编制的《合规动态》刊物及时呈报全体董事传阅，持续提升董事的业务能力。</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（五）主席及行政总裁</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本公司董事长由李伟先生担任，总经理由肖耀猛先生担任。董事长和总经理的职责分工明确，《公司章程》具体载列了董事长和总经理的职责权限。</w:t>
          </w:r>
        </w:p>
        <w:p>
          <w:pPr>
            <w:ind w:firstLine="420" w:firstLineChars="200"/>
            <w:rPr>
              <w:rFonts w:asciiTheme="minorEastAsia" w:hAnsiTheme="minorEastAsia" w:eastAsiaTheme="minorEastAsia"/>
            </w:rPr>
          </w:pPr>
          <w:r>
            <w:rPr>
              <w:rFonts w:hint="eastAsia" w:asciiTheme="minorEastAsia" w:hAnsiTheme="minorEastAsia" w:eastAsiaTheme="minorEastAsia"/>
            </w:rPr>
            <w:t>于202</w:t>
          </w:r>
          <w:r>
            <w:rPr>
              <w:rFonts w:asciiTheme="minorEastAsia" w:hAnsiTheme="minorEastAsia" w:eastAsiaTheme="minorEastAsia"/>
            </w:rPr>
            <w:t>3</w:t>
          </w:r>
          <w:r>
            <w:rPr>
              <w:rFonts w:hint="eastAsia" w:asciiTheme="minorEastAsia" w:hAnsiTheme="minorEastAsia" w:eastAsiaTheme="minorEastAsia"/>
            </w:rPr>
            <w:t>年度，董事长与独立非执行董事举行了没有其他董事出席的会议。</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（六）非执行董事</w:t>
          </w:r>
        </w:p>
        <w:p>
          <w:pPr>
            <w:ind w:firstLine="420" w:firstLineChars="200"/>
            <w:rPr>
              <w:rFonts w:asciiTheme="minorEastAsia" w:hAnsiTheme="minorEastAsia" w:eastAsiaTheme="minorEastAsia"/>
            </w:rPr>
          </w:pPr>
          <w:r>
            <w:rPr>
              <w:rFonts w:hint="eastAsia" w:asciiTheme="minorEastAsia" w:hAnsiTheme="minorEastAsia" w:eastAsiaTheme="minorEastAsia"/>
            </w:rPr>
            <w:t>非执行董事均与公司订立服务合约。按照《公司章程》规定，公司董事会成员（包括非执行董事）每届任期三年，任期届满后连选可以连任；而独立非执行董事的连任期间不超过六年。</w:t>
          </w:r>
        </w:p>
        <w:p>
          <w:pPr>
            <w:ind w:firstLine="420" w:firstLineChars="200"/>
            <w:rPr>
              <w:rFonts w:asciiTheme="minorEastAsia" w:hAnsiTheme="minorEastAsia" w:eastAsiaTheme="minorEastAsia"/>
            </w:rPr>
          </w:pPr>
          <w:r>
            <w:rPr>
              <w:rFonts w:hint="eastAsia" w:asciiTheme="minorEastAsia" w:hAnsiTheme="minorEastAsia" w:eastAsiaTheme="minorEastAsia"/>
            </w:rPr>
            <w:t>公司非执行董事的职责包括但不限于下列各项：</w:t>
          </w:r>
        </w:p>
        <w:p>
          <w:pPr>
            <w:ind w:firstLine="420" w:firstLineChars="200"/>
            <w:rPr>
              <w:rFonts w:asciiTheme="minorEastAsia" w:hAnsiTheme="minorEastAsia" w:eastAsiaTheme="minorEastAsia"/>
            </w:rPr>
          </w:pPr>
          <w:r>
            <w:rPr>
              <w:rFonts w:hint="eastAsia" w:asciiTheme="minorEastAsia" w:hAnsiTheme="minorEastAsia" w:eastAsiaTheme="minorEastAsia"/>
            </w:rPr>
            <w:t>参与公司董事会会议，在涉及策略、政策、公司表现、问责性、资源、主要委任及操守准则等事宜上，提供独立的意见；</w:t>
          </w:r>
        </w:p>
        <w:p>
          <w:pPr>
            <w:ind w:firstLine="420" w:firstLineChars="200"/>
            <w:rPr>
              <w:rFonts w:asciiTheme="minorEastAsia" w:hAnsiTheme="minorEastAsia" w:eastAsiaTheme="minorEastAsia"/>
            </w:rPr>
          </w:pPr>
          <w:r>
            <w:rPr>
              <w:rFonts w:hint="eastAsia" w:asciiTheme="minorEastAsia" w:hAnsiTheme="minorEastAsia" w:eastAsiaTheme="minorEastAsia"/>
            </w:rPr>
            <w:t>在出现潜在利益冲突时发挥规范引导作用；</w:t>
          </w:r>
        </w:p>
        <w:p>
          <w:pPr>
            <w:ind w:firstLine="420" w:firstLineChars="200"/>
            <w:rPr>
              <w:rFonts w:asciiTheme="minorEastAsia" w:hAnsiTheme="minorEastAsia" w:eastAsiaTheme="minorEastAsia"/>
            </w:rPr>
          </w:pPr>
          <w:r>
            <w:rPr>
              <w:rFonts w:hint="eastAsia" w:asciiTheme="minorEastAsia" w:hAnsiTheme="minorEastAsia" w:eastAsiaTheme="minorEastAsia"/>
            </w:rPr>
            <w:t>出任董事会下属审计委员会、薪酬委员会、提名委员会、战略与发展委员会及可持续发展委员会成员；</w:t>
          </w:r>
        </w:p>
        <w:p>
          <w:pPr>
            <w:ind w:firstLine="420" w:firstLineChars="200"/>
            <w:rPr>
              <w:rFonts w:asciiTheme="minorEastAsia" w:hAnsiTheme="minorEastAsia" w:eastAsiaTheme="minorEastAsia"/>
            </w:rPr>
          </w:pPr>
          <w:r>
            <w:rPr>
              <w:rFonts w:hint="eastAsia" w:asciiTheme="minorEastAsia" w:hAnsiTheme="minorEastAsia" w:eastAsiaTheme="minorEastAsia"/>
            </w:rPr>
            <w:t>检查公司的表现是否达到既定的企业目标和目的，并监察汇报公司表现的事宜。</w:t>
          </w:r>
        </w:p>
        <w:p>
          <w:pPr>
            <w:ind w:firstLine="420" w:firstLineChars="200"/>
            <w:rPr>
              <w:rFonts w:asciiTheme="minorEastAsia" w:hAnsiTheme="minorEastAsia" w:eastAsiaTheme="minorEastAsia"/>
            </w:rPr>
          </w:pPr>
          <w:r>
            <w:rPr>
              <w:rFonts w:hint="eastAsia" w:asciiTheme="minorEastAsia" w:hAnsiTheme="minorEastAsia" w:eastAsiaTheme="minorEastAsia"/>
            </w:rPr>
            <w:t>独立非执行董事及其他非执行董事须通过提供独立、富建设性及有根据的意见对本公司制定策略及政策作出正面贡献。</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（七）董事会下属委员会履职情况</w:t>
          </w:r>
        </w:p>
        <w:p>
          <w:pPr>
            <w:ind w:firstLine="420" w:firstLineChars="200"/>
            <w:rPr>
              <w:rFonts w:asciiTheme="minorEastAsia" w:hAnsiTheme="minorEastAsia" w:eastAsiaTheme="minorEastAsia"/>
            </w:rPr>
          </w:pPr>
          <w:r>
            <w:rPr>
              <w:rFonts w:hint="eastAsia" w:asciiTheme="minorEastAsia" w:hAnsiTheme="minorEastAsia" w:eastAsiaTheme="minorEastAsia"/>
            </w:rPr>
            <w:t>提名委员会从多个方面考虑董事会成员多元化，包括但不限于性别、年龄、文化及教育背景、专业经验、技能及服务年限等。在考虑上述有关因素后，提名委员会按董事人选专业特长及可为公司及董事会作出的贡献，向董事会提出最终的委任建议。</w:t>
          </w:r>
        </w:p>
        <w:p>
          <w:pPr>
            <w:ind w:firstLine="420" w:firstLineChars="200"/>
            <w:rPr>
              <w:rFonts w:asciiTheme="minorEastAsia" w:hAnsiTheme="minorEastAsia" w:eastAsiaTheme="minorEastAsia"/>
            </w:rPr>
          </w:pPr>
          <w:r>
            <w:rPr>
              <w:rFonts w:hint="eastAsia" w:asciiTheme="minorEastAsia" w:hAnsiTheme="minorEastAsia" w:eastAsiaTheme="minorEastAsia"/>
            </w:rPr>
            <w:t>董事会致力提高性别多元化，在选聘时适当考虑增加女性成员比例，目前已委任一名女性董事。公司认为董事会目前的组成是均衡多样化的组合，充分考虑了公司的实际情况，适合公司的业务发展，于报告期内符合董事会多元化政策。</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本公司亦已采取，并继续采取措施促进各级员工团队之多元化。所有合资格雇员均享有平等之雇佣、培训及职业发展之机会，并无歧视。于本年度内，本公司员工总数中女性占比为1</w:t>
          </w:r>
          <w:r>
            <w:rPr>
              <w:rFonts w:asciiTheme="minorEastAsia" w:hAnsiTheme="minorEastAsia" w:eastAsiaTheme="minorEastAsia"/>
            </w:rPr>
            <w:t>9.7</w:t>
          </w:r>
          <w:r>
            <w:rPr>
              <w:rFonts w:hint="eastAsia" w:asciiTheme="minorEastAsia" w:hAnsiTheme="minorEastAsia" w:eastAsiaTheme="minorEastAsia"/>
            </w:rPr>
            <w:t>%。</w:t>
          </w:r>
        </w:p>
        <w:p>
          <w:pPr>
            <w:ind w:firstLine="420" w:firstLineChars="200"/>
            <w:rPr>
              <w:rFonts w:asciiTheme="minorEastAsia" w:hAnsiTheme="minorEastAsia" w:eastAsiaTheme="minorEastAsia"/>
            </w:rPr>
          </w:pPr>
          <w:r>
            <w:rPr>
              <w:rFonts w:hint="eastAsia" w:asciiTheme="minorEastAsia" w:hAnsiTheme="minorEastAsia" w:eastAsiaTheme="minorEastAsia"/>
            </w:rPr>
            <w:t>综上，公司已采取并将继续采取措施，包括但不限于物色各方面董事成员，持续推进公司董事会的多元化水平，董事会希望其女性成员比例至少维持在现有水平左右。为促进本公司管理层及雇员的组成多元化，本公司将在选聘雇员时适当考虑增加女性成员的比例，并在提拔管理层时适当考虑增加女性成员的比例。</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本公司每年检讨董事会多元化政策，以确保其持续有效，并符合监管规定及良好企业管治常规。董事会认为公司目前的董事会多元化政策及实施是有效的。</w:t>
          </w:r>
        </w:p>
        <w:p>
          <w:pPr>
            <w:ind w:firstLine="420" w:firstLineChars="200"/>
            <w:rPr>
              <w:rFonts w:asciiTheme="minorEastAsia" w:hAnsiTheme="minorEastAsia" w:eastAsiaTheme="minorEastAsia"/>
            </w:rPr>
          </w:pPr>
          <w:r>
            <w:rPr>
              <w:rFonts w:hint="eastAsia" w:asciiTheme="minorEastAsia" w:hAnsiTheme="minorEastAsia" w:eastAsiaTheme="minorEastAsia"/>
            </w:rPr>
            <w:t>其他请见本节“董事会下设专门委员会情况”相关内容。</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（八）核数师酬金</w:t>
          </w:r>
        </w:p>
        <w:p>
          <w:pPr>
            <w:ind w:firstLine="420" w:firstLineChars="200"/>
            <w:rPr>
              <w:rFonts w:asciiTheme="minorEastAsia" w:hAnsiTheme="minorEastAsia" w:eastAsiaTheme="minorEastAsia"/>
            </w:rPr>
          </w:pPr>
          <w:r>
            <w:rPr>
              <w:rFonts w:hint="eastAsia" w:asciiTheme="minorEastAsia" w:hAnsiTheme="minorEastAsia" w:eastAsiaTheme="minorEastAsia"/>
            </w:rPr>
            <w:t>详情请见“第七节重要事项”之“聘任、解聘会计师事务所情况”相关内容。</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（九）公司秘书</w:t>
          </w:r>
        </w:p>
        <w:p>
          <w:pPr>
            <w:ind w:firstLine="420" w:firstLineChars="200"/>
            <w:rPr>
              <w:rFonts w:asciiTheme="minorEastAsia" w:hAnsiTheme="minorEastAsia" w:eastAsiaTheme="minorEastAsia"/>
            </w:rPr>
          </w:pPr>
          <w:r>
            <w:rPr>
              <w:rFonts w:hint="eastAsia" w:asciiTheme="minorEastAsia" w:hAnsiTheme="minorEastAsia" w:eastAsiaTheme="minorEastAsia"/>
            </w:rPr>
            <w:t>经公司202</w:t>
          </w:r>
          <w:r>
            <w:rPr>
              <w:rFonts w:asciiTheme="minorEastAsia" w:hAnsiTheme="minorEastAsia" w:eastAsiaTheme="minorEastAsia"/>
            </w:rPr>
            <w:t>3</w:t>
          </w:r>
          <w:r>
            <w:rPr>
              <w:rFonts w:hint="eastAsia" w:asciiTheme="minorEastAsia" w:hAnsiTheme="minorEastAsia" w:eastAsiaTheme="minorEastAsia"/>
            </w:rPr>
            <w:t>年</w:t>
          </w:r>
          <w:r>
            <w:rPr>
              <w:rFonts w:asciiTheme="minorEastAsia" w:hAnsiTheme="minorEastAsia" w:eastAsiaTheme="minorEastAsia"/>
            </w:rPr>
            <w:t>6</w:t>
          </w:r>
          <w:r>
            <w:rPr>
              <w:rFonts w:hint="eastAsia" w:asciiTheme="minorEastAsia" w:hAnsiTheme="minorEastAsia" w:eastAsiaTheme="minorEastAsia"/>
            </w:rPr>
            <w:t>月</w:t>
          </w:r>
          <w:r>
            <w:rPr>
              <w:rFonts w:asciiTheme="minorEastAsia" w:hAnsiTheme="minorEastAsia" w:eastAsiaTheme="minorEastAsia"/>
            </w:rPr>
            <w:t>30</w:t>
          </w:r>
          <w:r>
            <w:rPr>
              <w:rFonts w:hint="eastAsia" w:asciiTheme="minorEastAsia" w:hAnsiTheme="minorEastAsia" w:eastAsiaTheme="minorEastAsia"/>
            </w:rPr>
            <w:t>日召开的第九届董事会第一次会议审议批准，聘任黄霄龙先生为公司秘书。</w:t>
          </w:r>
        </w:p>
        <w:p>
          <w:pPr>
            <w:ind w:firstLine="420" w:firstLineChars="200"/>
            <w:rPr>
              <w:rFonts w:asciiTheme="minorEastAsia" w:hAnsiTheme="minorEastAsia" w:eastAsiaTheme="minorEastAsia"/>
            </w:rPr>
          </w:pPr>
          <w:r>
            <w:rPr>
              <w:rFonts w:hint="eastAsia" w:asciiTheme="minorEastAsia" w:hAnsiTheme="minorEastAsia" w:eastAsiaTheme="minorEastAsia"/>
            </w:rPr>
            <w:t>黄霄龙先生长期从事上市公司治理和投资者关系管理工作，拥有法律硕士学位，同时拥有高级经济师职称，在学术水平、专业资格和工作经验等方面，足以履行公司秘书职责。同时，黄先生亦是公司高级管理人员，能充分了解公司日常经营状况，以确保与董事及其他高级管理人员保持有效沟通、协助董事会加强公司治理机制建设。</w:t>
          </w:r>
        </w:p>
        <w:p>
          <w:pPr>
            <w:ind w:firstLine="420" w:firstLineChars="200"/>
            <w:rPr>
              <w:rFonts w:asciiTheme="minorEastAsia" w:hAnsiTheme="minorEastAsia" w:eastAsiaTheme="minorEastAsia"/>
            </w:rPr>
          </w:pPr>
          <w:r>
            <w:rPr>
              <w:rFonts w:hint="eastAsia" w:asciiTheme="minorEastAsia" w:hAnsiTheme="minorEastAsia" w:eastAsiaTheme="minorEastAsia"/>
            </w:rPr>
            <w:t>截至本报告披露日，委任黄伟超先生为本公司联席公司秘书。</w:t>
          </w:r>
        </w:p>
        <w:p>
          <w:pPr>
            <w:ind w:firstLine="420" w:firstLineChars="200"/>
            <w:rPr>
              <w:rFonts w:asciiTheme="minorEastAsia" w:hAnsiTheme="minorEastAsia" w:eastAsiaTheme="minorEastAsia"/>
            </w:rPr>
          </w:pPr>
          <w:r>
            <w:rPr>
              <w:rFonts w:hint="eastAsia" w:asciiTheme="minorEastAsia" w:hAnsiTheme="minorEastAsia" w:eastAsiaTheme="minorEastAsia"/>
            </w:rPr>
            <w:t>《公司章程》中具体载列了公司秘书的职责。</w:t>
          </w:r>
        </w:p>
        <w:p>
          <w:pPr>
            <w:ind w:firstLine="420" w:firstLineChars="200"/>
            <w:rPr>
              <w:rFonts w:asciiTheme="minorEastAsia" w:hAnsiTheme="minorEastAsia" w:eastAsiaTheme="minorEastAsia"/>
            </w:rPr>
          </w:pPr>
          <w:r>
            <w:rPr>
              <w:rFonts w:hint="eastAsia" w:asciiTheme="minorEastAsia" w:hAnsiTheme="minorEastAsia" w:eastAsiaTheme="minorEastAsia"/>
            </w:rPr>
            <w:t>报告期内，黄霄龙先生及黄伟超先生均参加了上市地监管机构组织的累计超过1</w:t>
          </w:r>
          <w:r>
            <w:rPr>
              <w:rFonts w:asciiTheme="minorEastAsia" w:hAnsiTheme="minorEastAsia" w:eastAsiaTheme="minorEastAsia"/>
            </w:rPr>
            <w:t>5</w:t>
          </w:r>
          <w:r>
            <w:rPr>
              <w:rFonts w:hint="eastAsia" w:asciiTheme="minorEastAsia" w:hAnsiTheme="minorEastAsia" w:eastAsiaTheme="minorEastAsia"/>
            </w:rPr>
            <w:t>小时的相关培训。</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（十）股东权利</w:t>
          </w:r>
        </w:p>
        <w:p>
          <w:pPr>
            <w:ind w:firstLine="420" w:firstLineChars="200"/>
            <w:rPr>
              <w:rFonts w:asciiTheme="minorEastAsia" w:hAnsiTheme="minorEastAsia" w:eastAsiaTheme="minorEastAsia"/>
            </w:rPr>
          </w:pPr>
          <w:r>
            <w:rPr>
              <w:rFonts w:hint="eastAsia" w:asciiTheme="minorEastAsia" w:hAnsiTheme="minorEastAsia" w:eastAsiaTheme="minorEastAsia"/>
            </w:rPr>
            <w:t>《公司章程》中具体载列了股东提议召开股东大会、向董事会提出查询以及在股东大会上提出建议的程序：</w:t>
          </w:r>
        </w:p>
        <w:p>
          <w:pPr>
            <w:ind w:firstLine="420" w:firstLineChars="200"/>
            <w:rPr>
              <w:rFonts w:asciiTheme="minorEastAsia" w:hAnsiTheme="minorEastAsia" w:eastAsiaTheme="minorEastAsia"/>
            </w:rPr>
          </w:pPr>
          <w:r>
            <w:rPr>
              <w:rFonts w:hint="eastAsia" w:asciiTheme="minorEastAsia" w:hAnsiTheme="minorEastAsia" w:eastAsiaTheme="minorEastAsia"/>
            </w:rPr>
            <w:t>符合条件的公司股东，在提供足够的联络资料后，可以以下列方式提议召开临时股东大会：（1）以书面形式提请董事会召开，并阐明会议的议题，董事会在规定的时间内应给予股东书面反馈意见；（2）若董事会不同意召开，股东有权向监事会以书面形式提议召开；（3）若监事会未在规定期限内发出股东大会通知，视为监事会不召集和主持，股东可以自行召集和主持临时股东大会。股东因董事会、监事会未应前述要求举行临时股东大会而自行召集并举行的，其所发生的合理费用由公司承担；公司董事会和公司秘书将配合组织、召集股东大会相关事宜。</w:t>
          </w:r>
        </w:p>
        <w:p>
          <w:pPr>
            <w:ind w:firstLine="420" w:firstLineChars="200"/>
            <w:rPr>
              <w:rFonts w:asciiTheme="minorEastAsia" w:hAnsiTheme="minorEastAsia" w:eastAsiaTheme="minorEastAsia"/>
            </w:rPr>
          </w:pPr>
          <w:r>
            <w:rPr>
              <w:rFonts w:hint="eastAsia" w:asciiTheme="minorEastAsia" w:hAnsiTheme="minorEastAsia" w:eastAsiaTheme="minorEastAsia"/>
            </w:rPr>
            <w:t>股东向公司提交相关身份证明材料和足够的联络资料后，可以向公司董事会查询公司股东名册、董事、监事和高级管理人员个人资料、股东大会记录、董事会会议决议、监事会会议决议、财务会计报告以及公司债券存根等资料。</w:t>
          </w:r>
        </w:p>
        <w:p>
          <w:pPr>
            <w:ind w:firstLine="420" w:firstLineChars="200"/>
            <w:rPr>
              <w:rFonts w:asciiTheme="minorEastAsia" w:hAnsiTheme="minorEastAsia" w:eastAsiaTheme="minorEastAsia"/>
            </w:rPr>
          </w:pPr>
          <w:r>
            <w:rPr>
              <w:rFonts w:hint="eastAsia" w:asciiTheme="minorEastAsia" w:hAnsiTheme="minorEastAsia" w:eastAsiaTheme="minorEastAsia"/>
            </w:rPr>
            <w:t>符合条件的股东可以在股东大会召开十日前提出临时提案并书面提交公司股东大会召集人，召集人应当在收到提案后二日内发出股东大会补充通知，公告临时提案的内容。公司全体董事、监事和高级管理人员应当参加会议，除涉及公司商业秘密外，董事、监事、高级管理人员应当对股东的质询和建议作出解释或说明。</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（十一）投资者关系</w:t>
          </w:r>
        </w:p>
        <w:p>
          <w:pPr>
            <w:ind w:firstLine="420" w:firstLineChars="200"/>
            <w:rPr>
              <w:rFonts w:asciiTheme="minorEastAsia" w:hAnsiTheme="minorEastAsia" w:eastAsiaTheme="minorEastAsia"/>
            </w:rPr>
          </w:pPr>
          <w:r>
            <w:rPr>
              <w:rFonts w:hint="eastAsia" w:asciiTheme="minorEastAsia" w:hAnsiTheme="minorEastAsia" w:eastAsiaTheme="minorEastAsia"/>
            </w:rPr>
            <w:t>1．不断完善投资者关系管理制度</w:t>
          </w:r>
        </w:p>
        <w:p>
          <w:pPr>
            <w:ind w:firstLine="420" w:firstLineChars="200"/>
            <w:rPr>
              <w:rFonts w:asciiTheme="minorEastAsia" w:hAnsiTheme="minorEastAsia" w:eastAsiaTheme="minorEastAsia"/>
            </w:rPr>
          </w:pPr>
          <w:r>
            <w:rPr>
              <w:rFonts w:hint="eastAsia" w:asciiTheme="minorEastAsia" w:hAnsiTheme="minorEastAsia" w:eastAsiaTheme="minorEastAsia"/>
            </w:rPr>
            <w:t>根据上市地监管规定，结合日常工作实践，公司制定并完善了《投资者关系管理工作制度》《信息披露管理制度》等投资者关系管理制度，规范开展投资者关系管理工作。</w:t>
          </w:r>
        </w:p>
        <w:p>
          <w:pPr>
            <w:ind w:firstLine="420" w:firstLineChars="200"/>
            <w:rPr>
              <w:rFonts w:asciiTheme="minorEastAsia" w:hAnsiTheme="minorEastAsia" w:eastAsiaTheme="minorEastAsia"/>
            </w:rPr>
          </w:pPr>
          <w:r>
            <w:rPr>
              <w:rFonts w:hint="eastAsia" w:asciiTheme="minorEastAsia" w:hAnsiTheme="minorEastAsia" w:eastAsiaTheme="minorEastAsia"/>
            </w:rPr>
            <w:t>公司对《公司章程》等内部管理制度不时进行修订及完善，有关修订详情请见本节“公司治理相关情况说明”相关内容。</w:t>
          </w:r>
        </w:p>
        <w:p>
          <w:pPr>
            <w:ind w:firstLine="420" w:firstLineChars="200"/>
            <w:rPr>
              <w:rFonts w:asciiTheme="minorEastAsia" w:hAnsiTheme="minorEastAsia" w:eastAsiaTheme="minorEastAsia"/>
            </w:rPr>
          </w:pPr>
          <w:r>
            <w:rPr>
              <w:rFonts w:hint="eastAsia" w:asciiTheme="minorEastAsia" w:hAnsiTheme="minorEastAsia" w:eastAsiaTheme="minorEastAsia"/>
            </w:rPr>
            <w:t>2．积极与投资者进行沟通</w:t>
          </w:r>
        </w:p>
        <w:p>
          <w:pPr>
            <w:ind w:firstLine="420" w:firstLineChars="200"/>
            <w:rPr>
              <w:rFonts w:asciiTheme="minorEastAsia" w:hAnsiTheme="minorEastAsia" w:eastAsiaTheme="minorEastAsia"/>
            </w:rPr>
          </w:pPr>
          <w:r>
            <w:rPr>
              <w:rFonts w:hint="eastAsia" w:asciiTheme="minorEastAsia" w:hAnsiTheme="minorEastAsia" w:eastAsiaTheme="minorEastAsia"/>
            </w:rPr>
            <w:t>公司始终坚持公开、公平、公正的原则，诚恳地与投资者沟通交流。</w:t>
          </w:r>
        </w:p>
        <w:p>
          <w:pPr>
            <w:ind w:firstLine="420" w:firstLineChars="200"/>
            <w:rPr>
              <w:rFonts w:asciiTheme="minorEastAsia" w:hAnsiTheme="minorEastAsia" w:eastAsiaTheme="minorEastAsia"/>
            </w:rPr>
          </w:pPr>
          <w:r>
            <w:rPr>
              <w:rFonts w:hint="eastAsia" w:asciiTheme="minorEastAsia" w:hAnsiTheme="minorEastAsia" w:eastAsiaTheme="minorEastAsia"/>
            </w:rPr>
            <w:t>报告期内，公司采取路演、反路演等方式，面对面地向投资者汇报经营情况，同时了解投资者及资本市场对公司的意见和建议。积极召开定期报告业绩说明会，主动就相关重大事项召开投资者说明会。除上证e互动、投资者说明会等常规渠道以外，通过电话、电邮、微信等方式回应投资者投诉、意见，或向投资者征求意见建议并改进，与分析师、基金经理和投资者沟通交流3</w:t>
          </w:r>
          <w:r>
            <w:rPr>
              <w:rFonts w:hint="eastAsia" w:cs="Calibri" w:asciiTheme="minorEastAsia" w:hAnsiTheme="minorEastAsia" w:eastAsiaTheme="minorEastAsia"/>
            </w:rPr>
            <w:t>,</w:t>
          </w:r>
          <w:r>
            <w:rPr>
              <w:rFonts w:asciiTheme="minorEastAsia" w:hAnsiTheme="minorEastAsia" w:eastAsiaTheme="minorEastAsia"/>
            </w:rPr>
            <w:t>200</w:t>
          </w:r>
          <w:r>
            <w:rPr>
              <w:rFonts w:hint="eastAsia" w:asciiTheme="minorEastAsia" w:hAnsiTheme="minorEastAsia" w:eastAsiaTheme="minorEastAsia"/>
            </w:rPr>
            <w:t>余人次，实现了与资本市场的双向畅通沟通交流。本公司已检讨了上述机制的实施及有效性，认为上述机制能够确保公司与投资者及股东的有效沟通。</w:t>
          </w:r>
        </w:p>
        <w:p>
          <w:pPr>
            <w:ind w:firstLine="420" w:firstLineChars="200"/>
            <w:rPr>
              <w:rFonts w:asciiTheme="minorEastAsia" w:hAnsiTheme="minorEastAsia" w:eastAsiaTheme="minorEastAsia"/>
            </w:rPr>
          </w:pPr>
          <w:r>
            <w:rPr>
              <w:rFonts w:hint="eastAsia" w:asciiTheme="minorEastAsia" w:hAnsiTheme="minorEastAsia" w:eastAsiaTheme="minorEastAsia"/>
            </w:rPr>
            <w:t>公司重视通过股东大会与股东沟通，采用网络投票等多种方式鼓励中小股东积极参加股东大会。公司相关董事（包括独立非执行董事）、监事和高级管理人员应出席股东大会。在股东大会上，每项实际独立事项均单独提出议案，所有议案均以投票方式进行表决。</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（十二）信息披露</w:t>
          </w:r>
        </w:p>
        <w:p>
          <w:pPr>
            <w:ind w:firstLine="420" w:firstLineChars="200"/>
            <w:rPr>
              <w:rFonts w:asciiTheme="minorEastAsia" w:hAnsiTheme="minorEastAsia" w:eastAsiaTheme="minorEastAsia"/>
            </w:rPr>
          </w:pPr>
          <w:r>
            <w:rPr>
              <w:rFonts w:hint="eastAsia" w:asciiTheme="minorEastAsia" w:hAnsiTheme="minorEastAsia" w:eastAsiaTheme="minorEastAsia"/>
            </w:rPr>
            <w:t>公司高度重视信息披露的真实性、准确性、完整性、及时性和公平性，确保披露信息简明清晰，通俗易懂，并遵守香港上市规则的披露规定。公司建立了规范、有效的信息收集、整理、审定、披露和反馈控制程序，确保信息披露工作符合上市地监管规定，保障投资者合理获悉公司信息的需要。</w:t>
          </w:r>
        </w:p>
        <w:p>
          <w:pPr>
            <w:ind w:firstLine="420" w:firstLineChars="200"/>
            <w:rPr>
              <w:rFonts w:asciiTheme="minorEastAsia" w:hAnsiTheme="minorEastAsia" w:eastAsiaTheme="minorEastAsia"/>
            </w:rPr>
          </w:pPr>
          <w:r>
            <w:rPr>
              <w:rFonts w:hint="eastAsia" w:asciiTheme="minorEastAsia" w:hAnsiTheme="minorEastAsia" w:eastAsiaTheme="minorEastAsia"/>
            </w:rPr>
            <w:t>公司财务总监必须确保披露的财务报表及相关内容，按照适用的会计准则及有关法规要求真实、准确、完整的反映本公司的业绩和财务状况。通过公司网站，公司实现了定期报告、临时性公告与交易所网站及法定媒体同步披露，并向投资者及时提供公司动态、公司治理制度的完善情况以及行业信息。</w:t>
          </w:r>
        </w:p>
        <w:p>
          <w:pPr>
            <w:ind w:firstLine="420" w:firstLineChars="200"/>
            <w:rPr>
              <w:rFonts w:asciiTheme="minorEastAsia" w:hAnsiTheme="minorEastAsia" w:eastAsiaTheme="minorEastAsia"/>
            </w:rPr>
          </w:pPr>
          <w:r>
            <w:rPr>
              <w:rFonts w:hint="eastAsia" w:asciiTheme="minorEastAsia" w:hAnsiTheme="minorEastAsia" w:eastAsiaTheme="minorEastAsia"/>
            </w:rPr>
            <w:t>针对拥有多地上市平台的实际情况，公司始终坚持“同步公平披露”的原则，使投资者能公平地了解公司的经营情况。</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（十三）风险管理与内部监控</w:t>
          </w:r>
        </w:p>
        <w:p>
          <w:pPr>
            <w:ind w:firstLine="420" w:firstLineChars="200"/>
            <w:rPr>
              <w:rFonts w:asciiTheme="minorEastAsia" w:hAnsiTheme="minorEastAsia" w:eastAsiaTheme="minorEastAsia"/>
            </w:rPr>
          </w:pPr>
          <w:r>
            <w:rPr>
              <w:rFonts w:hint="eastAsia" w:asciiTheme="minorEastAsia" w:hAnsiTheme="minorEastAsia" w:eastAsiaTheme="minorEastAsia"/>
            </w:rPr>
            <w:t>详情请见本节“十二、报告期内的内部控制制度建设及实施情况”相关内容。</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（十四）董事关于编制公司账目责任的确认</w:t>
          </w:r>
        </w:p>
        <w:p>
          <w:pPr>
            <w:ind w:firstLine="420" w:firstLineChars="200"/>
            <w:rPr>
              <w:rFonts w:asciiTheme="minorEastAsia" w:hAnsiTheme="minorEastAsia" w:eastAsiaTheme="minorEastAsia"/>
            </w:rPr>
          </w:pPr>
          <w:r>
            <w:rPr>
              <w:rFonts w:hint="eastAsia" w:asciiTheme="minorEastAsia" w:hAnsiTheme="minorEastAsia" w:eastAsiaTheme="minorEastAsia"/>
            </w:rPr>
            <w:t>全体董事确认，彼等有责任编制截至202</w:t>
          </w:r>
          <w:r>
            <w:rPr>
              <w:rFonts w:asciiTheme="minorEastAsia" w:hAnsiTheme="minorEastAsia" w:eastAsiaTheme="minorEastAsia"/>
            </w:rPr>
            <w:t>3</w:t>
          </w:r>
          <w:r>
            <w:rPr>
              <w:rFonts w:hint="eastAsia" w:asciiTheme="minorEastAsia" w:hAnsiTheme="minorEastAsia" w:eastAsiaTheme="minorEastAsia"/>
            </w:rPr>
            <w:t>年12月31日止年度的账目，真实公允地反映公司财务状况、经营业绩及现金流量状况。</w:t>
          </w:r>
        </w:p>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（十五）企业文化</w:t>
          </w:r>
        </w:p>
        <w:p>
          <w:pPr>
            <w:ind w:firstLine="420" w:firstLineChars="200"/>
            <w:rPr>
              <w:rFonts w:asciiTheme="minorEastAsia" w:hAnsiTheme="minorEastAsia" w:eastAsiaTheme="minorEastAsia"/>
            </w:rPr>
          </w:pPr>
          <w:r>
            <w:rPr>
              <w:rFonts w:hint="eastAsia" w:asciiTheme="minorEastAsia" w:hAnsiTheme="minorEastAsia" w:eastAsiaTheme="minorEastAsia"/>
            </w:rPr>
            <w:t>公司企业文化包含公司使命、愿景、核心价值观和企业目标四个部分。公司使命为：创造绿色动能</w:t>
          </w:r>
          <w:r>
            <w:rPr>
              <w:rFonts w:asciiTheme="minorEastAsia" w:hAnsiTheme="minorEastAsia" w:eastAsiaTheme="minorEastAsia"/>
            </w:rPr>
            <w:t xml:space="preserve"> 引领能源变革。公司愿景为：建设清洁能源供应商和世界一流企业。公司核心价值观为：安全、创新、绿色、担当、卓越。公司目标为：建设国际一流、可持续发展的清洁能源引领示范企业。</w:t>
          </w:r>
        </w:p>
        <w:p>
          <w:pPr>
            <w:ind w:firstLine="420" w:firstLineChars="200"/>
          </w:pPr>
          <w:r>
            <w:rPr>
              <w:rFonts w:hint="eastAsia"/>
            </w:rPr>
            <w:t>本公司认为健康的企业文化是良好企业管治的核心，所有董事以身作则，致力推广企业文化。本公司注重企业文化的传达及推动，遵行问责与检讨，让所有管理层及员工了解企业文化的核心价值及应有的行为。本公司已将企业文化的宣传加入各类员工培训材料、工作汇报流程、主题讨论等环节中，制定及强化员工行为守则及人才管理制度，加强及完善管理层与员工之间的沟通机制，通过各种途径了解员工对企业文化的认同度或发现的问题 。</w:t>
          </w:r>
        </w:p>
        <w:p>
          <w:pPr>
            <w:ind w:firstLine="420" w:firstLineChars="200"/>
          </w:pPr>
          <w:r>
            <w:rPr>
              <w:rFonts w:hint="eastAsia"/>
            </w:rPr>
            <w:t>本公司已制定反对贪污和受理举报的制度，鼓励员工对贪污贿赂、徇私舞弊等违纪违法行为进行举报，对举报反映的问题线索及时组织核查，规范员工从业行为。本公司也会在日常员工培训中加大反贪污宣传，筑牢思想防线，强化民主监督，营造风清气正的发展环境。</w:t>
          </w:r>
        </w:p>
        <w:p>
          <w:pPr>
            <w:pStyle w:val="501"/>
          </w:pPr>
        </w:p>
      </w:sdtContent>
    </w:sdt>
    <w:p>
      <w:pPr>
        <w:pStyle w:val="501"/>
      </w:pPr>
      <w:r>
        <w:br w:type="page"/>
      </w:r>
    </w:p>
    <w:p>
      <w:pPr>
        <w:pStyle w:val="2"/>
        <w:numPr>
          <w:ilvl w:val="0"/>
          <w:numId w:val="2"/>
        </w:numPr>
      </w:pPr>
      <w:bookmarkStart w:id="122" w:name="_Toc158217553"/>
      <w:r>
        <w:rPr>
          <w:rFonts w:hint="eastAsia"/>
        </w:rPr>
        <w:t>环境与社会责任</w:t>
      </w:r>
      <w:bookmarkEnd w:id="122"/>
    </w:p>
    <w:p>
      <w:pPr>
        <w:pStyle w:val="137"/>
        <w:numPr>
          <w:ilvl w:val="0"/>
          <w:numId w:val="25"/>
        </w:numPr>
        <w:tabs>
          <w:tab w:val="left" w:pos="426"/>
        </w:tabs>
        <w:ind w:left="425" w:hanging="425"/>
        <w:jc w:val="left"/>
        <w:rPr>
          <w:rFonts w:ascii="宋体" w:hAnsi="宋体"/>
        </w:rPr>
      </w:pPr>
      <w:r>
        <w:rPr>
          <w:rFonts w:hint="eastAsia" w:ascii="宋体" w:hAnsi="宋体"/>
        </w:rPr>
        <w:t>环境</w:t>
      </w:r>
      <w:r>
        <w:rPr>
          <w:rFonts w:ascii="宋体" w:hAnsi="宋体"/>
        </w:rPr>
        <w:t>信息情况</w:t>
      </w:r>
    </w:p>
    <w:tbl>
      <w:tblPr>
        <w:tblStyle w:val="47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2"/>
        <w:gridCol w:w="4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5357166cc0f74e2181ffc731d0410fde"/>
            <w:id w:val="322324517"/>
          </w:sdtPr>
          <w:sdtEndPr>
            <w:rPr>
              <w:rFonts w:hint="eastAsia"/>
            </w:rPr>
          </w:sdtEndPr>
          <w:sdtContent>
            <w:tc>
              <w:tcPr>
                <w:tcW w:w="2532" w:type="pct"/>
                <w:shd w:val="clear" w:color="auto" w:fill="auto"/>
              </w:tcPr>
              <w:p>
                <w:pPr>
                  <w:pStyle w:val="501"/>
                </w:pPr>
                <w:bookmarkStart w:id="123" w:name="_Hlk89187025"/>
                <w:r>
                  <w:rPr>
                    <w:rFonts w:hint="eastAsia"/>
                  </w:rPr>
                  <w:t>是否建立环境保护相关机制</w:t>
                </w:r>
              </w:p>
            </w:tc>
          </w:sdtContent>
        </w:sdt>
        <w:sdt>
          <w:sdtPr>
            <w:rPr>
              <w:rFonts w:hint="eastAsia"/>
            </w:rPr>
            <w:alias w:val="是否建立环境保护相关机制"/>
            <w:tag w:val="_GBC_db4b394c15a64e53bc9eb2ef5d2d583b"/>
            <w:id w:val="-111666693"/>
            <w:comboBox>
              <w:listItem w:displayText="是" w:value="是"/>
              <w:listItem w:displayText="否" w:value="否"/>
            </w:comboBox>
          </w:sdtPr>
          <w:sdtEndPr>
            <w:rPr>
              <w:rFonts w:hint="eastAsia"/>
            </w:rPr>
          </w:sdtEndPr>
          <w:sdtContent>
            <w:tc>
              <w:tcPr>
                <w:tcW w:w="2468" w:type="pct"/>
                <w:shd w:val="clear" w:color="auto" w:fill="auto"/>
              </w:tcPr>
              <w:p>
                <w:pPr>
                  <w:jc w:val="right"/>
                </w:pPr>
                <w:r>
                  <w:rPr>
                    <w:rFonts w:hint="eastAsia"/>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pct"/>
            <w:shd w:val="clear" w:color="auto" w:fill="auto"/>
          </w:tcPr>
          <w:p>
            <w:pPr>
              <w:pStyle w:val="501"/>
            </w:pPr>
            <w:r>
              <w:rPr>
                <w:rFonts w:hint="eastAsia"/>
              </w:rPr>
              <w:t>报告期内投入环保资金（单位：</w:t>
            </w:r>
            <w:sdt>
              <w:sdtPr>
                <w:rPr>
                  <w:rFonts w:hint="eastAsia"/>
                </w:rPr>
                <w:alias w:val="单位：报告期内投入环保资金"/>
                <w:tag w:val="_GBC_23fc355d243f4962992b20f0d6511069"/>
                <w:id w:val="-79765921"/>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w:t>
            </w:r>
          </w:p>
        </w:tc>
        <w:tc>
          <w:tcPr>
            <w:tcW w:w="2468" w:type="pct"/>
            <w:shd w:val="clear" w:color="auto" w:fill="auto"/>
          </w:tcPr>
          <w:p>
            <w:pPr>
              <w:jc w:val="right"/>
            </w:pPr>
            <w:r>
              <w:rPr>
                <w:color w:val="000000" w:themeColor="text1"/>
                <w14:textFill>
                  <w14:solidFill>
                    <w14:schemeClr w14:val="tx1"/>
                  </w14:solidFill>
                </w14:textFill>
              </w:rPr>
              <w:t>67,206</w:t>
            </w:r>
          </w:p>
        </w:tc>
      </w:tr>
    </w:tbl>
    <w:p>
      <w:pPr>
        <w:pStyle w:val="43"/>
      </w:pPr>
    </w:p>
    <w:p>
      <w:pPr>
        <w:pStyle w:val="4"/>
        <w:numPr>
          <w:ilvl w:val="0"/>
          <w:numId w:val="26"/>
        </w:numPr>
        <w:ind w:left="425" w:hanging="425"/>
        <w:rPr>
          <w:rFonts w:ascii="宋体" w:hAnsi="宋体"/>
        </w:rPr>
      </w:pPr>
      <w:r>
        <w:rPr>
          <w:rFonts w:ascii="宋体" w:hAnsi="宋体"/>
        </w:rPr>
        <w:t>属于环境保护部门公布的重点排污单位的公司及其</w:t>
      </w:r>
      <w:r>
        <w:rPr>
          <w:rFonts w:hint="eastAsia" w:ascii="宋体" w:hAnsi="宋体"/>
        </w:rPr>
        <w:t>主要</w:t>
      </w:r>
      <w:r>
        <w:rPr>
          <w:rFonts w:ascii="宋体" w:hAnsi="宋体"/>
        </w:rPr>
        <w:t>子公司的环保情况说明</w:t>
      </w:r>
    </w:p>
    <w:sdt>
      <w:sdtPr>
        <w:rPr>
          <w:rFonts w:hint="eastAsia"/>
        </w:rPr>
        <w:alias w:val="是否适用：重点排污单位环保情况[双击切换]"/>
        <w:tag w:val="_GBC_40b93d2f11a54d2c995a8c41cdee40c4"/>
        <w:id w:val="1614562447"/>
        <w:placeholder>
          <w:docPart w:val="GBC22222222222222222222222222222"/>
        </w:placeholder>
      </w:sdtPr>
      <w:sdtEndPr>
        <w:rPr>
          <w:rFonts w:hint="eastAsia"/>
        </w:rPr>
      </w:sdtEnd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
        <w:numPr>
          <w:ilvl w:val="0"/>
          <w:numId w:val="27"/>
        </w:numPr>
        <w:rPr>
          <w:rFonts w:ascii="宋体" w:hAnsi="宋体"/>
        </w:rPr>
      </w:pPr>
      <w:r>
        <w:rPr>
          <w:rFonts w:hint="eastAsia" w:ascii="宋体" w:hAnsi="宋体"/>
        </w:rPr>
        <w:t>排污</w:t>
      </w:r>
      <w:r>
        <w:rPr>
          <w:rFonts w:ascii="宋体" w:hAnsi="宋体"/>
        </w:rPr>
        <w:t>信息</w:t>
      </w:r>
    </w:p>
    <w:sdt>
      <w:sdtPr>
        <w:rPr>
          <w:rFonts w:hint="eastAsia" w:ascii="宋体" w:hAnsi="宋体"/>
        </w:rPr>
        <w:alias w:val="是否适用：排污信息[双击切换]"/>
        <w:tag w:val="_GBC_c1cef0b525dc4a0e9630fcb580d743be"/>
        <w:id w:val="2064749778"/>
        <w:placeholder>
          <w:docPart w:val="GBC22222222222222222222222222222"/>
        </w:placeholder>
      </w:sdtPr>
      <w:sdtEndPr>
        <w:rPr>
          <w:rFonts w:hint="eastAsia" w:ascii="宋体" w:hAnsi="宋体"/>
        </w:rPr>
      </w:sdtEndPr>
      <w:sdtContent>
        <w:p>
          <w:pPr>
            <w:pStyle w:val="172"/>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排污信息"/>
        <w:tag w:val="_GBC_ddafe40d844342a78bc0ed0326232a03"/>
        <w:id w:val="-1697150613"/>
        <w:placeholder>
          <w:docPart w:val="GBC22222222222222222222222222222"/>
        </w:placeholder>
      </w:sdtPr>
      <w:sdtEndPr>
        <w:rPr>
          <w:rFonts w:hint="eastAsia" w:ascii="宋体" w:hAnsi="宋体"/>
        </w:rPr>
      </w:sdtEndPr>
      <w:sdtContent>
        <w:p>
          <w:pPr>
            <w:pStyle w:val="172"/>
            <w:rPr>
              <w:rFonts w:ascii="宋体" w:hAnsi="宋体" w:cs="宋体"/>
              <w:color w:val="000000"/>
              <w:kern w:val="0"/>
              <w:szCs w:val="21"/>
            </w:rPr>
          </w:pPr>
          <w:r>
            <w:rPr>
              <w:rFonts w:hint="eastAsia" w:ascii="宋体" w:hAnsi="宋体" w:cs="宋体"/>
              <w:color w:val="000000"/>
              <w:kern w:val="0"/>
              <w:szCs w:val="21"/>
            </w:rPr>
            <w:t>本集团严格遵守《中华人民共和国环境保护法》《中华人民共和国大气污染防治法》《中华人民共和国水污染防治法》《中华人民共和国固体废物污染环境防治法》《中华人民共和国环境影响评价法》等法律法规要求，完善环保管理体制机制，强化源头治理，</w:t>
          </w:r>
          <w:r>
            <w:rPr>
              <w:rFonts w:ascii="宋体" w:hAnsi="宋体" w:cs="宋体"/>
              <w:color w:val="000000"/>
              <w:kern w:val="0"/>
              <w:szCs w:val="21"/>
            </w:rPr>
            <w:t>积极构建资源节约与环境友好型企</w:t>
          </w:r>
          <w:r>
            <w:rPr>
              <w:rFonts w:hint="eastAsia" w:ascii="宋体" w:hAnsi="宋体" w:cs="宋体"/>
              <w:color w:val="000000"/>
              <w:kern w:val="0"/>
              <w:szCs w:val="21"/>
            </w:rPr>
            <w:t>业。</w:t>
          </w:r>
          <w:r>
            <w:rPr>
              <w:rFonts w:hint="eastAsia" w:ascii="宋体" w:hAnsi="宋体"/>
              <w:color w:val="000000"/>
            </w:rPr>
            <w:t>报告期内，</w:t>
          </w:r>
          <w:r>
            <w:rPr>
              <w:rFonts w:hint="eastAsia" w:ascii="宋体" w:hAnsi="宋体" w:cs="宋体"/>
              <w:color w:val="000000"/>
              <w:kern w:val="0"/>
              <w:szCs w:val="21"/>
            </w:rPr>
            <w:t>本集团未发生重大环境污染事件，未因重大环境保护违法行为受到生态环境部门处罚。</w:t>
          </w:r>
        </w:p>
        <w:p>
          <w:pPr>
            <w:pStyle w:val="172"/>
            <w:rPr>
              <w:rFonts w:ascii="宋体" w:hAnsi="宋体" w:cs="宋体"/>
              <w:kern w:val="0"/>
              <w:szCs w:val="21"/>
            </w:rPr>
          </w:pPr>
          <w:r>
            <w:rPr>
              <w:rFonts w:hint="eastAsia" w:ascii="宋体" w:hAnsi="宋体" w:cs="宋体"/>
              <w:color w:val="000000"/>
              <w:kern w:val="0"/>
              <w:szCs w:val="21"/>
            </w:rPr>
            <w:t>2023年，</w:t>
          </w:r>
          <w:r>
            <w:rPr>
              <w:rFonts w:ascii="宋体" w:hAnsi="宋体" w:cs="宋体"/>
              <w:color w:val="000000"/>
              <w:kern w:val="0"/>
              <w:szCs w:val="21"/>
            </w:rPr>
            <w:t>本集团所属</w:t>
          </w:r>
          <w:r>
            <w:rPr>
              <w:rFonts w:hint="eastAsia" w:ascii="宋体" w:hAnsi="宋体" w:cs="宋体"/>
              <w:kern w:val="0"/>
              <w:szCs w:val="21"/>
            </w:rPr>
            <w:t>排污单位的废水、扬尘、锅炉烟气等污染治理设施完备、运行稳定，主要污染物</w:t>
          </w:r>
          <w:r>
            <w:rPr>
              <w:rFonts w:ascii="宋体" w:hAnsi="宋体" w:cs="宋体"/>
              <w:kern w:val="0"/>
              <w:szCs w:val="21"/>
            </w:rPr>
            <w:t>化学需氧量（“COD”）、氨氮、二氧化硫（“SO</w:t>
          </w:r>
          <w:r>
            <w:rPr>
              <w:rFonts w:ascii="宋体" w:hAnsi="宋体" w:cs="宋体"/>
              <w:kern w:val="0"/>
              <w:szCs w:val="21"/>
              <w:vertAlign w:val="subscript"/>
            </w:rPr>
            <w:t>2</w:t>
          </w:r>
          <w:r>
            <w:rPr>
              <w:rFonts w:ascii="宋体" w:hAnsi="宋体" w:cs="宋体"/>
              <w:kern w:val="0"/>
              <w:szCs w:val="21"/>
            </w:rPr>
            <w:t>”）、氮氧化物（“NO</w:t>
          </w:r>
          <w:r>
            <w:rPr>
              <w:rFonts w:ascii="宋体" w:hAnsi="宋体" w:cs="宋体"/>
              <w:kern w:val="0"/>
              <w:szCs w:val="21"/>
              <w:vertAlign w:val="subscript"/>
            </w:rPr>
            <w:t>X</w:t>
          </w:r>
          <w:r>
            <w:rPr>
              <w:rFonts w:ascii="宋体" w:hAnsi="宋体" w:cs="宋体"/>
              <w:kern w:val="0"/>
              <w:szCs w:val="21"/>
            </w:rPr>
            <w:t>”）等均达标排放。</w:t>
          </w:r>
        </w:p>
        <w:p>
          <w:pPr>
            <w:pStyle w:val="172"/>
          </w:pPr>
          <w:r>
            <w:rPr>
              <w:rFonts w:hint="eastAsia"/>
            </w:rPr>
            <w:t>本集团各重点排污单位均申请了排污许可证，按要求排放污染物，符合相关环保标准要求，在污染物总量许可控制范围内。列入生态环境部门公布的</w:t>
          </w:r>
          <w:r>
            <w:t>2023年重点排污单位环境信息如下：</w:t>
          </w:r>
        </w:p>
        <w:tbl>
          <w:tblPr>
            <w:tblStyle w:val="476"/>
            <w:tblW w:w="10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145"/>
            <w:gridCol w:w="920"/>
            <w:gridCol w:w="950"/>
            <w:gridCol w:w="833"/>
            <w:gridCol w:w="3151"/>
            <w:gridCol w:w="1731"/>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blHeader/>
              <w:jc w:val="center"/>
            </w:trPr>
            <w:tc>
              <w:tcPr>
                <w:tcW w:w="543" w:type="dxa"/>
                <w:vAlign w:val="center"/>
              </w:tcPr>
              <w:p>
                <w:pPr>
                  <w:jc w:val="center"/>
                  <w:rPr>
                    <w:rFonts w:ascii="黑体" w:hAnsi="黑体" w:eastAsia="黑体"/>
                    <w:bCs/>
                  </w:rPr>
                </w:pPr>
                <w:r>
                  <w:rPr>
                    <w:rFonts w:hint="eastAsia" w:ascii="黑体" w:hAnsi="黑体" w:eastAsia="黑体"/>
                  </w:rPr>
                  <w:t>序号</w:t>
                </w:r>
              </w:p>
            </w:tc>
            <w:tc>
              <w:tcPr>
                <w:tcW w:w="1145" w:type="dxa"/>
                <w:vAlign w:val="center"/>
              </w:tcPr>
              <w:p>
                <w:pPr>
                  <w:jc w:val="center"/>
                  <w:rPr>
                    <w:rFonts w:ascii="黑体" w:hAnsi="黑体" w:eastAsia="黑体"/>
                    <w:bCs/>
                  </w:rPr>
                </w:pPr>
                <w:r>
                  <w:rPr>
                    <w:rFonts w:hint="eastAsia" w:ascii="黑体" w:hAnsi="黑体" w:eastAsia="黑体"/>
                  </w:rPr>
                  <w:t>重点排污</w:t>
                </w:r>
              </w:p>
              <w:p>
                <w:pPr>
                  <w:jc w:val="center"/>
                  <w:rPr>
                    <w:rFonts w:ascii="黑体" w:hAnsi="黑体" w:eastAsia="黑体"/>
                    <w:bCs/>
                  </w:rPr>
                </w:pPr>
                <w:r>
                  <w:rPr>
                    <w:rFonts w:hint="eastAsia" w:ascii="黑体" w:hAnsi="黑体" w:eastAsia="黑体"/>
                  </w:rPr>
                  <w:t>单位</w:t>
                </w:r>
              </w:p>
            </w:tc>
            <w:tc>
              <w:tcPr>
                <w:tcW w:w="920" w:type="dxa"/>
                <w:vAlign w:val="center"/>
              </w:tcPr>
              <w:p>
                <w:pPr>
                  <w:jc w:val="center"/>
                  <w:rPr>
                    <w:rFonts w:ascii="黑体" w:hAnsi="黑体" w:eastAsia="黑体"/>
                    <w:bCs/>
                  </w:rPr>
                </w:pPr>
                <w:r>
                  <w:rPr>
                    <w:rFonts w:hint="eastAsia" w:ascii="黑体" w:hAnsi="黑体" w:eastAsia="黑体"/>
                  </w:rPr>
                  <w:t>污染物</w:t>
                </w:r>
              </w:p>
              <w:p>
                <w:pPr>
                  <w:jc w:val="center"/>
                  <w:rPr>
                    <w:rFonts w:ascii="黑体" w:hAnsi="黑体" w:eastAsia="黑体"/>
                    <w:bCs/>
                  </w:rPr>
                </w:pPr>
                <w:r>
                  <w:rPr>
                    <w:rFonts w:hint="eastAsia" w:ascii="黑体" w:hAnsi="黑体" w:eastAsia="黑体"/>
                  </w:rPr>
                  <w:t>类别</w:t>
                </w:r>
              </w:p>
            </w:tc>
            <w:tc>
              <w:tcPr>
                <w:tcW w:w="950" w:type="dxa"/>
                <w:vAlign w:val="center"/>
              </w:tcPr>
              <w:p>
                <w:pPr>
                  <w:jc w:val="center"/>
                  <w:rPr>
                    <w:rFonts w:ascii="黑体" w:hAnsi="黑体" w:eastAsia="黑体"/>
                    <w:bCs/>
                  </w:rPr>
                </w:pPr>
                <w:r>
                  <w:rPr>
                    <w:rFonts w:hint="eastAsia" w:ascii="黑体" w:hAnsi="黑体" w:eastAsia="黑体"/>
                  </w:rPr>
                  <w:t>主要</w:t>
                </w:r>
              </w:p>
              <w:p>
                <w:pPr>
                  <w:jc w:val="center"/>
                  <w:rPr>
                    <w:rFonts w:ascii="黑体" w:hAnsi="黑体" w:eastAsia="黑体"/>
                    <w:bCs/>
                  </w:rPr>
                </w:pPr>
                <w:r>
                  <w:rPr>
                    <w:rFonts w:hint="eastAsia" w:ascii="黑体" w:hAnsi="黑体" w:eastAsia="黑体"/>
                  </w:rPr>
                  <w:t>污染物</w:t>
                </w:r>
              </w:p>
            </w:tc>
            <w:tc>
              <w:tcPr>
                <w:tcW w:w="833" w:type="dxa"/>
                <w:vAlign w:val="center"/>
              </w:tcPr>
              <w:p>
                <w:pPr>
                  <w:jc w:val="center"/>
                  <w:rPr>
                    <w:rFonts w:ascii="黑体" w:hAnsi="黑体" w:eastAsia="黑体"/>
                    <w:bCs/>
                  </w:rPr>
                </w:pPr>
                <w:r>
                  <w:rPr>
                    <w:rFonts w:hint="eastAsia" w:ascii="黑体" w:hAnsi="黑体" w:eastAsia="黑体"/>
                  </w:rPr>
                  <w:t>排放</w:t>
                </w:r>
              </w:p>
              <w:p>
                <w:pPr>
                  <w:jc w:val="center"/>
                  <w:rPr>
                    <w:rFonts w:ascii="黑体" w:hAnsi="黑体" w:eastAsia="黑体"/>
                    <w:bCs/>
                  </w:rPr>
                </w:pPr>
                <w:r>
                  <w:rPr>
                    <w:rFonts w:hint="eastAsia" w:ascii="黑体" w:hAnsi="黑体" w:eastAsia="黑体"/>
                  </w:rPr>
                  <w:t>方式</w:t>
                </w:r>
              </w:p>
            </w:tc>
            <w:tc>
              <w:tcPr>
                <w:tcW w:w="3151" w:type="dxa"/>
                <w:vAlign w:val="center"/>
              </w:tcPr>
              <w:p>
                <w:pPr>
                  <w:jc w:val="center"/>
                  <w:rPr>
                    <w:rFonts w:ascii="黑体" w:hAnsi="黑体" w:eastAsia="黑体"/>
                    <w:bCs/>
                  </w:rPr>
                </w:pPr>
                <w:r>
                  <w:rPr>
                    <w:rFonts w:hint="eastAsia" w:ascii="黑体" w:hAnsi="黑体" w:eastAsia="黑体"/>
                  </w:rPr>
                  <w:t>排放标准</w:t>
                </w:r>
              </w:p>
            </w:tc>
            <w:tc>
              <w:tcPr>
                <w:tcW w:w="1731" w:type="dxa"/>
                <w:vAlign w:val="center"/>
              </w:tcPr>
              <w:p>
                <w:pPr>
                  <w:jc w:val="center"/>
                  <w:rPr>
                    <w:rFonts w:ascii="黑体" w:hAnsi="黑体" w:eastAsia="黑体"/>
                    <w:bCs/>
                  </w:rPr>
                </w:pPr>
                <w:r>
                  <w:rPr>
                    <w:rFonts w:hint="eastAsia" w:ascii="黑体" w:hAnsi="黑体" w:eastAsia="黑体"/>
                  </w:rPr>
                  <w:t>年许可</w:t>
                </w:r>
              </w:p>
              <w:p>
                <w:pPr>
                  <w:jc w:val="center"/>
                  <w:rPr>
                    <w:rFonts w:ascii="黑体" w:hAnsi="黑体" w:eastAsia="黑体"/>
                    <w:bCs/>
                  </w:rPr>
                </w:pPr>
                <w:r>
                  <w:rPr>
                    <w:rFonts w:hint="eastAsia" w:ascii="黑体" w:hAnsi="黑体" w:eastAsia="黑体"/>
                  </w:rPr>
                  <w:t>排放量</w:t>
                </w:r>
              </w:p>
            </w:tc>
            <w:tc>
              <w:tcPr>
                <w:tcW w:w="1650" w:type="dxa"/>
                <w:vAlign w:val="center"/>
              </w:tcPr>
              <w:p>
                <w:pPr>
                  <w:jc w:val="center"/>
                  <w:rPr>
                    <w:rFonts w:ascii="黑体" w:hAnsi="黑体" w:eastAsia="黑体"/>
                  </w:rPr>
                </w:pPr>
                <w:r>
                  <w:rPr>
                    <w:rFonts w:hint="eastAsia" w:ascii="黑体" w:hAnsi="黑体" w:eastAsia="黑体"/>
                  </w:rPr>
                  <w:t>202</w:t>
                </w:r>
                <w:r>
                  <w:rPr>
                    <w:rFonts w:ascii="黑体" w:hAnsi="黑体" w:eastAsia="黑体"/>
                  </w:rPr>
                  <w:t>3</w:t>
                </w:r>
                <w:r>
                  <w:rPr>
                    <w:rFonts w:hint="eastAsia" w:ascii="黑体" w:hAnsi="黑体" w:eastAsia="黑体"/>
                  </w:rPr>
                  <w:t>年全年</w:t>
                </w:r>
              </w:p>
              <w:p>
                <w:pPr>
                  <w:jc w:val="center"/>
                  <w:rPr>
                    <w:rFonts w:ascii="黑体" w:hAnsi="黑体" w:eastAsia="黑体"/>
                    <w:bCs/>
                  </w:rPr>
                </w:pPr>
                <w:r>
                  <w:rPr>
                    <w:rFonts w:hint="eastAsia" w:ascii="黑体" w:hAnsi="黑体" w:eastAsia="黑体"/>
                  </w:rPr>
                  <w:t>实际排放总量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43" w:type="dxa"/>
                <w:vAlign w:val="center"/>
              </w:tcPr>
              <w:p>
                <w:pPr>
                  <w:jc w:val="center"/>
                  <w:rPr>
                    <w:rFonts w:ascii="Times New Roman" w:hAnsi="Times New Roman"/>
                    <w:bCs/>
                  </w:rPr>
                </w:pPr>
                <w:r>
                  <w:rPr>
                    <w:rFonts w:hint="eastAsia" w:ascii="Times New Roman" w:hAnsi="Times New Roman"/>
                  </w:rPr>
                  <w:t>1</w:t>
                </w:r>
              </w:p>
            </w:tc>
            <w:tc>
              <w:tcPr>
                <w:tcW w:w="1145" w:type="dxa"/>
                <w:vAlign w:val="center"/>
              </w:tcPr>
              <w:p>
                <w:pPr>
                  <w:widowControl/>
                  <w:rPr>
                    <w:rFonts w:ascii="Times New Roman" w:hAnsi="Times New Roman"/>
                    <w:bCs/>
                  </w:rPr>
                </w:pPr>
                <w:r>
                  <w:rPr>
                    <w:rFonts w:ascii="Times New Roman" w:hAnsi="Times New Roman"/>
                  </w:rPr>
                  <w:t>南屯煤矿</w:t>
                </w:r>
              </w:p>
            </w:tc>
            <w:tc>
              <w:tcPr>
                <w:tcW w:w="920" w:type="dxa"/>
                <w:vMerge w:val="restart"/>
                <w:vAlign w:val="center"/>
              </w:tcPr>
              <w:p>
                <w:pPr>
                  <w:widowControl/>
                  <w:jc w:val="center"/>
                  <w:rPr>
                    <w:rFonts w:ascii="Times New Roman" w:hAnsi="Times New Roman"/>
                    <w:bCs/>
                  </w:rPr>
                </w:pPr>
                <w:r>
                  <w:rPr>
                    <w:rFonts w:ascii="Times New Roman" w:hAnsi="Times New Roman"/>
                  </w:rPr>
                  <w:t>生产废水</w:t>
                </w:r>
              </w:p>
              <w:p>
                <w:pPr>
                  <w:jc w:val="center"/>
                  <w:rPr>
                    <w:rFonts w:ascii="Times New Roman" w:hAnsi="Times New Roman"/>
                    <w:bCs/>
                  </w:rPr>
                </w:pPr>
                <w:r>
                  <w:rPr>
                    <w:rFonts w:ascii="Times New Roman" w:hAnsi="Times New Roman"/>
                  </w:rPr>
                  <w:t>生活废水</w:t>
                </w:r>
              </w:p>
            </w:tc>
            <w:tc>
              <w:tcPr>
                <w:tcW w:w="950" w:type="dxa"/>
                <w:vMerge w:val="restart"/>
                <w:vAlign w:val="center"/>
              </w:tcPr>
              <w:p>
                <w:pPr>
                  <w:widowControl/>
                  <w:jc w:val="center"/>
                  <w:rPr>
                    <w:rFonts w:ascii="Times New Roman" w:hAnsi="Times New Roman"/>
                    <w:bCs/>
                  </w:rPr>
                </w:pPr>
                <w:r>
                  <w:rPr>
                    <w:rFonts w:ascii="Times New Roman" w:hAnsi="Times New Roman"/>
                  </w:rPr>
                  <w:t>COD</w:t>
                </w:r>
              </w:p>
              <w:p>
                <w:pPr>
                  <w:widowControl/>
                  <w:jc w:val="center"/>
                  <w:rPr>
                    <w:rFonts w:ascii="Times New Roman" w:hAnsi="Times New Roman"/>
                    <w:bCs/>
                  </w:rPr>
                </w:pPr>
                <w:r>
                  <w:rPr>
                    <w:rFonts w:ascii="Times New Roman" w:hAnsi="Times New Roman"/>
                  </w:rPr>
                  <w:t>氨氮</w:t>
                </w:r>
              </w:p>
            </w:tc>
            <w:tc>
              <w:tcPr>
                <w:tcW w:w="833" w:type="dxa"/>
                <w:vMerge w:val="restart"/>
                <w:vAlign w:val="center"/>
              </w:tcPr>
              <w:p>
                <w:pPr>
                  <w:widowControl/>
                  <w:rPr>
                    <w:rFonts w:ascii="Times New Roman" w:hAnsi="Times New Roman"/>
                    <w:bCs/>
                  </w:rPr>
                </w:pPr>
                <w:r>
                  <w:rPr>
                    <w:rFonts w:hint="eastAsia" w:ascii="Times New Roman" w:hAnsi="Times New Roman"/>
                  </w:rPr>
                  <w:t>经污水处理站处理后排入受纳水体</w:t>
                </w:r>
              </w:p>
            </w:tc>
            <w:tc>
              <w:tcPr>
                <w:tcW w:w="3151" w:type="dxa"/>
                <w:vMerge w:val="restart"/>
                <w:vAlign w:val="center"/>
              </w:tcPr>
              <w:p>
                <w:pPr>
                  <w:rPr>
                    <w:rFonts w:ascii="Times New Roman" w:hAnsi="Times New Roman"/>
                    <w:bCs/>
                  </w:rPr>
                </w:pPr>
                <w:r>
                  <w:rPr>
                    <w:rFonts w:hint="eastAsia" w:ascii="Times New Roman" w:hAnsi="Times New Roman"/>
                  </w:rPr>
                  <w:t>《</w:t>
                </w:r>
                <w:r>
                  <w:rPr>
                    <w:rFonts w:hint="eastAsia" w:ascii="Times New Roman" w:hAnsi="Times New Roman"/>
                    <w:spacing w:val="-6"/>
                  </w:rPr>
                  <w:t>流域水污染物综合排放标准 第1部分：南四湖东平湖流域</w:t>
                </w:r>
                <w:r>
                  <w:rPr>
                    <w:rFonts w:hint="eastAsia" w:ascii="Times New Roman" w:hAnsi="Times New Roman"/>
                  </w:rPr>
                  <w:t>》（D</w:t>
                </w:r>
                <w:r>
                  <w:rPr>
                    <w:rFonts w:ascii="Times New Roman" w:hAnsi="Times New Roman"/>
                  </w:rPr>
                  <w:t>B37/3416.1-2018</w:t>
                </w:r>
                <w:r>
                  <w:rPr>
                    <w:rFonts w:hint="eastAsia" w:ascii="Times New Roman" w:hAnsi="Times New Roman"/>
                  </w:rPr>
                  <w:t>）</w:t>
                </w: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128.4吨</w:t>
                </w:r>
              </w:p>
              <w:p>
                <w:pPr>
                  <w:widowControl/>
                  <w:rPr>
                    <w:rFonts w:ascii="Times New Roman" w:hAnsi="Times New Roman"/>
                    <w:bCs/>
                  </w:rPr>
                </w:pPr>
                <w:r>
                  <w:rPr>
                    <w:rFonts w:ascii="Times New Roman" w:hAnsi="Times New Roman"/>
                  </w:rPr>
                  <w:t>氨氮</w:t>
                </w:r>
                <w:r>
                  <w:rPr>
                    <w:rFonts w:hint="eastAsia" w:ascii="Times New Roman" w:hAnsi="Times New Roman"/>
                  </w:rPr>
                  <w:t>：</w:t>
                </w:r>
                <w:r>
                  <w:rPr>
                    <w:rFonts w:ascii="Times New Roman" w:hAnsi="Times New Roman"/>
                  </w:rPr>
                  <w:t>6.4吨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20.2</w:t>
                </w:r>
                <w:r>
                  <w:rPr>
                    <w:rFonts w:hint="eastAsia" w:ascii="Times New Roman" w:hAnsi="Times New Roman"/>
                  </w:rPr>
                  <w:t>吨</w:t>
                </w:r>
              </w:p>
              <w:p>
                <w:pPr>
                  <w:widowControl/>
                  <w:rPr>
                    <w:rFonts w:ascii="Times New Roman" w:hAnsi="Times New Roman"/>
                    <w:bCs/>
                  </w:rPr>
                </w:pPr>
                <w:r>
                  <w:rPr>
                    <w:rFonts w:hint="eastAsia" w:ascii="Times New Roman" w:hAnsi="Times New Roman"/>
                  </w:rPr>
                  <w:t>氨氮：</w:t>
                </w:r>
                <w:r>
                  <w:rPr>
                    <w:rFonts w:ascii="Times New Roman" w:hAnsi="Times New Roman"/>
                  </w:rPr>
                  <w:t>0.21</w:t>
                </w:r>
                <w:r>
                  <w:rPr>
                    <w:rFonts w:hint="eastAsia" w:ascii="Times New Roman" w:hAnsi="Times New Roma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43" w:type="dxa"/>
                <w:vAlign w:val="center"/>
              </w:tcPr>
              <w:p>
                <w:pPr>
                  <w:jc w:val="center"/>
                  <w:rPr>
                    <w:rFonts w:ascii="Times New Roman" w:hAnsi="Times New Roman"/>
                    <w:bCs/>
                  </w:rPr>
                </w:pPr>
                <w:r>
                  <w:rPr>
                    <w:rFonts w:hint="eastAsia" w:ascii="Times New Roman" w:hAnsi="Times New Roman"/>
                  </w:rPr>
                  <w:t>2</w:t>
                </w:r>
              </w:p>
            </w:tc>
            <w:tc>
              <w:tcPr>
                <w:tcW w:w="1145" w:type="dxa"/>
                <w:vAlign w:val="center"/>
              </w:tcPr>
              <w:p>
                <w:pPr>
                  <w:widowControl/>
                  <w:rPr>
                    <w:rFonts w:ascii="Times New Roman" w:hAnsi="Times New Roman"/>
                    <w:bCs/>
                  </w:rPr>
                </w:pPr>
                <w:r>
                  <w:rPr>
                    <w:rFonts w:ascii="Times New Roman" w:hAnsi="Times New Roman"/>
                  </w:rPr>
                  <w:t>鲍店煤矿</w:t>
                </w:r>
              </w:p>
            </w:tc>
            <w:tc>
              <w:tcPr>
                <w:tcW w:w="920" w:type="dxa"/>
                <w:vMerge w:val="continue"/>
                <w:vAlign w:val="center"/>
              </w:tcPr>
              <w:p>
                <w:pPr>
                  <w:widowControl/>
                  <w:jc w:val="center"/>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widowControl/>
                  <w:rPr>
                    <w:rFonts w:ascii="Times New Roman" w:hAnsi="Times New Roman"/>
                    <w:bCs/>
                  </w:rPr>
                </w:pPr>
              </w:p>
            </w:tc>
            <w:tc>
              <w:tcPr>
                <w:tcW w:w="3151" w:type="dxa"/>
                <w:vMerge w:val="continue"/>
              </w:tcPr>
              <w:p>
                <w:pPr>
                  <w:rPr>
                    <w:rFonts w:ascii="Times New Roman" w:hAnsi="Times New Roman"/>
                    <w:bCs/>
                  </w:rPr>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120.4吨</w:t>
                </w:r>
              </w:p>
              <w:p>
                <w:pPr>
                  <w:widowControl/>
                  <w:rPr>
                    <w:rFonts w:ascii="Times New Roman" w:hAnsi="Times New Roman"/>
                    <w:bCs/>
                  </w:rPr>
                </w:pPr>
                <w:r>
                  <w:rPr>
                    <w:rFonts w:ascii="Times New Roman" w:hAnsi="Times New Roman"/>
                  </w:rPr>
                  <w:t>氨氮</w:t>
                </w:r>
                <w:r>
                  <w:rPr>
                    <w:rFonts w:hint="eastAsia" w:ascii="Times New Roman" w:hAnsi="Times New Roman"/>
                  </w:rPr>
                  <w:t>：</w:t>
                </w:r>
                <w:r>
                  <w:rPr>
                    <w:rFonts w:ascii="Times New Roman" w:hAnsi="Times New Roman"/>
                  </w:rPr>
                  <w:t>6.0吨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32.4吨</w:t>
                </w:r>
              </w:p>
              <w:p>
                <w:pPr>
                  <w:widowControl/>
                  <w:rPr>
                    <w:rFonts w:ascii="Times New Roman" w:hAnsi="Times New Roman"/>
                    <w:bCs/>
                  </w:rPr>
                </w:pPr>
                <w:r>
                  <w:rPr>
                    <w:rFonts w:ascii="Times New Roman" w:hAnsi="Times New Roman"/>
                  </w:rPr>
                  <w:t>氨氮</w:t>
                </w:r>
                <w:r>
                  <w:rPr>
                    <w:rFonts w:hint="eastAsia" w:ascii="Times New Roman" w:hAnsi="Times New Roman"/>
                  </w:rPr>
                  <w:t>：0.</w:t>
                </w:r>
                <w:r>
                  <w:rPr>
                    <w:rFonts w:ascii="Times New Roman" w:hAnsi="Times New Roman"/>
                  </w:rPr>
                  <w:t>32吨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43" w:type="dxa"/>
                <w:vAlign w:val="center"/>
              </w:tcPr>
              <w:p>
                <w:pPr>
                  <w:jc w:val="center"/>
                  <w:rPr>
                    <w:rFonts w:ascii="Times New Roman" w:hAnsi="Times New Roman"/>
                    <w:bCs/>
                  </w:rPr>
                </w:pPr>
                <w:r>
                  <w:rPr>
                    <w:rFonts w:hint="eastAsia" w:ascii="Times New Roman" w:hAnsi="Times New Roman"/>
                  </w:rPr>
                  <w:t>3</w:t>
                </w:r>
              </w:p>
            </w:tc>
            <w:tc>
              <w:tcPr>
                <w:tcW w:w="1145" w:type="dxa"/>
                <w:vAlign w:val="center"/>
              </w:tcPr>
              <w:p>
                <w:pPr>
                  <w:rPr>
                    <w:rFonts w:ascii="Times New Roman" w:hAnsi="Times New Roman"/>
                    <w:bCs/>
                  </w:rPr>
                </w:pPr>
                <w:r>
                  <w:rPr>
                    <w:rFonts w:ascii="Times New Roman" w:hAnsi="Times New Roman"/>
                  </w:rPr>
                  <w:t>东滩煤矿</w:t>
                </w:r>
              </w:p>
            </w:tc>
            <w:tc>
              <w:tcPr>
                <w:tcW w:w="920" w:type="dxa"/>
                <w:vMerge w:val="continue"/>
                <w:vAlign w:val="center"/>
              </w:tcPr>
              <w:p>
                <w:pPr>
                  <w:widowControl/>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widowControl/>
                  <w:rPr>
                    <w:rFonts w:ascii="Times New Roman" w:hAnsi="Times New Roman"/>
                    <w:bCs/>
                  </w:rPr>
                </w:pPr>
              </w:p>
            </w:tc>
            <w:tc>
              <w:tcPr>
                <w:tcW w:w="3151" w:type="dxa"/>
                <w:vMerge w:val="continue"/>
              </w:tcPr>
              <w:p>
                <w:pPr>
                  <w:rPr>
                    <w:rFonts w:ascii="Times New Roman" w:hAnsi="Times New Roman"/>
                    <w:bCs/>
                  </w:rPr>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58.4吨</w:t>
                </w:r>
              </w:p>
              <w:p>
                <w:pPr>
                  <w:rPr>
                    <w:rFonts w:ascii="Times New Roman" w:hAnsi="Times New Roman"/>
                    <w:bCs/>
                  </w:rPr>
                </w:pPr>
                <w:r>
                  <w:rPr>
                    <w:rFonts w:ascii="Times New Roman" w:hAnsi="Times New Roman"/>
                  </w:rPr>
                  <w:t>氨氮</w:t>
                </w:r>
                <w:r>
                  <w:rPr>
                    <w:rFonts w:hint="eastAsia" w:ascii="Times New Roman" w:hAnsi="Times New Roman"/>
                  </w:rPr>
                  <w:t>：</w:t>
                </w:r>
                <w:r>
                  <w:rPr>
                    <w:rFonts w:ascii="Times New Roman" w:hAnsi="Times New Roman"/>
                  </w:rPr>
                  <w:t>2.9吨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21.2吨</w:t>
                </w:r>
              </w:p>
              <w:p>
                <w:pPr>
                  <w:rPr>
                    <w:rFonts w:ascii="Times New Roman" w:hAnsi="Times New Roman"/>
                    <w:bCs/>
                  </w:rPr>
                </w:pPr>
                <w:r>
                  <w:rPr>
                    <w:rFonts w:ascii="Times New Roman" w:hAnsi="Times New Roman"/>
                  </w:rPr>
                  <w:t>氨氮</w:t>
                </w:r>
                <w:r>
                  <w:rPr>
                    <w:rFonts w:hint="eastAsia" w:ascii="Times New Roman" w:hAnsi="Times New Roman"/>
                  </w:rPr>
                  <w:t>：0</w:t>
                </w:r>
                <w:r>
                  <w:rPr>
                    <w:rFonts w:ascii="Times New Roman" w:hAnsi="Times New Roman"/>
                  </w:rPr>
                  <w:t>.29吨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43" w:type="dxa"/>
                <w:vAlign w:val="center"/>
              </w:tcPr>
              <w:p>
                <w:pPr>
                  <w:jc w:val="center"/>
                  <w:rPr>
                    <w:rFonts w:ascii="Times New Roman" w:hAnsi="Times New Roman"/>
                    <w:bCs/>
                  </w:rPr>
                </w:pPr>
                <w:r>
                  <w:rPr>
                    <w:rFonts w:ascii="Times New Roman" w:hAnsi="Times New Roman"/>
                  </w:rPr>
                  <w:t>4</w:t>
                </w:r>
              </w:p>
            </w:tc>
            <w:tc>
              <w:tcPr>
                <w:tcW w:w="1145" w:type="dxa"/>
                <w:vAlign w:val="center"/>
              </w:tcPr>
              <w:p>
                <w:pPr>
                  <w:rPr>
                    <w:rFonts w:ascii="Times New Roman" w:hAnsi="Times New Roman"/>
                    <w:bCs/>
                  </w:rPr>
                </w:pPr>
                <w:r>
                  <w:rPr>
                    <w:rFonts w:ascii="Times New Roman" w:hAnsi="Times New Roman"/>
                  </w:rPr>
                  <w:t>济二煤矿</w:t>
                </w:r>
              </w:p>
            </w:tc>
            <w:tc>
              <w:tcPr>
                <w:tcW w:w="920" w:type="dxa"/>
                <w:vMerge w:val="continue"/>
                <w:vAlign w:val="center"/>
              </w:tcPr>
              <w:p>
                <w:pPr>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rPr>
                    <w:rFonts w:ascii="Times New Roman" w:hAnsi="Times New Roman"/>
                    <w:bCs/>
                  </w:rPr>
                </w:pPr>
              </w:p>
            </w:tc>
            <w:tc>
              <w:tcPr>
                <w:tcW w:w="3151" w:type="dxa"/>
                <w:vMerge w:val="continue"/>
              </w:tcPr>
              <w:p>
                <w:pPr>
                  <w:rPr>
                    <w:rFonts w:ascii="Times New Roman" w:hAnsi="Times New Roman"/>
                    <w:bCs/>
                  </w:rPr>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：30.7</w:t>
                </w:r>
                <w:r>
                  <w:rPr>
                    <w:rFonts w:ascii="Times New Roman" w:hAnsi="Times New Roman"/>
                  </w:rPr>
                  <w:t>吨</w:t>
                </w:r>
              </w:p>
              <w:p>
                <w:pPr>
                  <w:rPr>
                    <w:rFonts w:ascii="Times New Roman" w:hAnsi="Times New Roman"/>
                    <w:bCs/>
                  </w:rPr>
                </w:pPr>
                <w:r>
                  <w:rPr>
                    <w:rFonts w:ascii="Times New Roman" w:hAnsi="Times New Roman"/>
                  </w:rPr>
                  <w:t>氨氮</w:t>
                </w:r>
                <w:r>
                  <w:rPr>
                    <w:rFonts w:hint="eastAsia" w:ascii="Times New Roman" w:hAnsi="Times New Roman"/>
                  </w:rPr>
                  <w:t>：2.9</w:t>
                </w:r>
                <w:r>
                  <w:rPr>
                    <w:rFonts w:ascii="Times New Roman" w:hAnsi="Times New Roman"/>
                  </w:rPr>
                  <w:t>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10.8吨</w:t>
                </w:r>
              </w:p>
              <w:p>
                <w:pPr>
                  <w:rPr>
                    <w:rFonts w:ascii="Times New Roman" w:hAnsi="Times New Roman"/>
                    <w:bCs/>
                  </w:rPr>
                </w:pPr>
                <w:r>
                  <w:rPr>
                    <w:rFonts w:ascii="Times New Roman" w:hAnsi="Times New Roman"/>
                  </w:rPr>
                  <w:t>氨氮</w:t>
                </w:r>
                <w:r>
                  <w:rPr>
                    <w:rFonts w:hint="eastAsia" w:ascii="Times New Roman" w:hAnsi="Times New Roman"/>
                  </w:rPr>
                  <w:t>：0.</w:t>
                </w:r>
                <w:r>
                  <w:rPr>
                    <w:rFonts w:ascii="Times New Roman" w:hAnsi="Times New Roman"/>
                  </w:rPr>
                  <w:t>06</w:t>
                </w:r>
                <w:r>
                  <w:rPr>
                    <w:rFonts w:hint="eastAsia" w:ascii="Times New Roman" w:hAnsi="Times New Roma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43" w:type="dxa"/>
                <w:vAlign w:val="center"/>
              </w:tcPr>
              <w:p>
                <w:pPr>
                  <w:jc w:val="center"/>
                  <w:rPr>
                    <w:rFonts w:ascii="Times New Roman" w:hAnsi="Times New Roman"/>
                    <w:bCs/>
                  </w:rPr>
                </w:pPr>
                <w:r>
                  <w:rPr>
                    <w:rFonts w:ascii="Times New Roman" w:hAnsi="Times New Roman"/>
                  </w:rPr>
                  <w:t>5</w:t>
                </w:r>
              </w:p>
            </w:tc>
            <w:tc>
              <w:tcPr>
                <w:tcW w:w="1145" w:type="dxa"/>
                <w:vAlign w:val="center"/>
              </w:tcPr>
              <w:p>
                <w:pPr>
                  <w:widowControl/>
                  <w:rPr>
                    <w:rFonts w:ascii="Times New Roman" w:hAnsi="Times New Roman"/>
                    <w:bCs/>
                  </w:rPr>
                </w:pPr>
                <w:r>
                  <w:rPr>
                    <w:rFonts w:ascii="Times New Roman" w:hAnsi="Times New Roman"/>
                  </w:rPr>
                  <w:t>济三煤矿</w:t>
                </w:r>
              </w:p>
            </w:tc>
            <w:tc>
              <w:tcPr>
                <w:tcW w:w="920" w:type="dxa"/>
                <w:vMerge w:val="continue"/>
                <w:vAlign w:val="center"/>
              </w:tcPr>
              <w:p>
                <w:pPr>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rPr>
                    <w:rFonts w:ascii="Times New Roman" w:hAnsi="Times New Roman"/>
                    <w:bCs/>
                  </w:rPr>
                </w:pPr>
              </w:p>
            </w:tc>
            <w:tc>
              <w:tcPr>
                <w:tcW w:w="3151" w:type="dxa"/>
                <w:vMerge w:val="continue"/>
              </w:tcPr>
              <w:p>
                <w:pPr>
                  <w:rPr>
                    <w:rFonts w:ascii="Times New Roman" w:hAnsi="Times New Roman"/>
                    <w:bCs/>
                  </w:rPr>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362.9</w:t>
                </w:r>
                <w:r>
                  <w:rPr>
                    <w:rFonts w:ascii="Times New Roman" w:hAnsi="Times New Roman"/>
                  </w:rPr>
                  <w:t>吨</w:t>
                </w:r>
              </w:p>
              <w:p>
                <w:pPr>
                  <w:rPr>
                    <w:rFonts w:ascii="Times New Roman" w:hAnsi="Times New Roman"/>
                    <w:bCs/>
                  </w:rPr>
                </w:pPr>
                <w:r>
                  <w:rPr>
                    <w:rFonts w:ascii="Times New Roman" w:hAnsi="Times New Roman"/>
                  </w:rPr>
                  <w:t>氨氮：</w:t>
                </w:r>
                <w:r>
                  <w:rPr>
                    <w:rFonts w:hint="eastAsia" w:ascii="Times New Roman" w:hAnsi="Times New Roman"/>
                  </w:rPr>
                  <w:t>18.1</w:t>
                </w:r>
                <w:r>
                  <w:rPr>
                    <w:rFonts w:ascii="Times New Roman" w:hAnsi="Times New Roman"/>
                  </w:rPr>
                  <w:t>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8.4吨</w:t>
                </w:r>
              </w:p>
              <w:p>
                <w:pPr>
                  <w:rPr>
                    <w:rFonts w:ascii="Times New Roman" w:hAnsi="Times New Roman"/>
                    <w:bCs/>
                  </w:rPr>
                </w:pPr>
                <w:r>
                  <w:rPr>
                    <w:rFonts w:ascii="Times New Roman" w:hAnsi="Times New Roman"/>
                  </w:rPr>
                  <w:t>氨氮</w:t>
                </w:r>
                <w:r>
                  <w:rPr>
                    <w:rFonts w:hint="eastAsia" w:ascii="Times New Roman" w:hAnsi="Times New Roman"/>
                  </w:rPr>
                  <w:t>：0.</w:t>
                </w:r>
                <w:r>
                  <w:rPr>
                    <w:rFonts w:ascii="Times New Roman" w:hAnsi="Times New Roman"/>
                  </w:rPr>
                  <w:t>25</w:t>
                </w:r>
                <w:r>
                  <w:rPr>
                    <w:rFonts w:hint="eastAsia" w:ascii="Times New Roman" w:hAnsi="Times New Roma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43" w:type="dxa"/>
                <w:vAlign w:val="center"/>
              </w:tcPr>
              <w:p>
                <w:pPr>
                  <w:jc w:val="center"/>
                  <w:rPr>
                    <w:rFonts w:ascii="Times New Roman" w:hAnsi="Times New Roman"/>
                    <w:bCs/>
                  </w:rPr>
                </w:pPr>
                <w:r>
                  <w:rPr>
                    <w:rFonts w:ascii="Times New Roman" w:hAnsi="Times New Roman"/>
                  </w:rPr>
                  <w:t>6</w:t>
                </w:r>
              </w:p>
            </w:tc>
            <w:tc>
              <w:tcPr>
                <w:tcW w:w="1145" w:type="dxa"/>
                <w:vAlign w:val="center"/>
              </w:tcPr>
              <w:p>
                <w:pPr>
                  <w:widowControl/>
                  <w:rPr>
                    <w:rFonts w:ascii="Times New Roman" w:hAnsi="Times New Roman"/>
                    <w:bCs/>
                  </w:rPr>
                </w:pPr>
                <w:r>
                  <w:rPr>
                    <w:rFonts w:ascii="Times New Roman" w:hAnsi="Times New Roman"/>
                  </w:rPr>
                  <w:t>杨村煤矿</w:t>
                </w:r>
              </w:p>
            </w:tc>
            <w:tc>
              <w:tcPr>
                <w:tcW w:w="920" w:type="dxa"/>
                <w:vMerge w:val="continue"/>
                <w:vAlign w:val="center"/>
              </w:tcPr>
              <w:p>
                <w:pPr>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rPr>
                    <w:rFonts w:ascii="Times New Roman" w:hAnsi="Times New Roman"/>
                    <w:bCs/>
                  </w:rPr>
                </w:pPr>
              </w:p>
            </w:tc>
            <w:tc>
              <w:tcPr>
                <w:tcW w:w="3151" w:type="dxa"/>
                <w:vMerge w:val="continue"/>
              </w:tcPr>
              <w:p>
                <w:pPr>
                  <w:rPr>
                    <w:rFonts w:ascii="Times New Roman" w:hAnsi="Times New Roman"/>
                    <w:bCs/>
                  </w:rPr>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29.9吨</w:t>
                </w:r>
              </w:p>
              <w:p>
                <w:pPr>
                  <w:widowControl/>
                  <w:rPr>
                    <w:rFonts w:ascii="Times New Roman" w:hAnsi="Times New Roman"/>
                    <w:bCs/>
                  </w:rPr>
                </w:pPr>
                <w:r>
                  <w:rPr>
                    <w:rFonts w:ascii="Times New Roman" w:hAnsi="Times New Roman"/>
                  </w:rPr>
                  <w:t>氨氮</w:t>
                </w:r>
                <w:r>
                  <w:rPr>
                    <w:rFonts w:hint="eastAsia" w:ascii="Times New Roman" w:hAnsi="Times New Roman"/>
                  </w:rPr>
                  <w:t>：</w:t>
                </w:r>
                <w:r>
                  <w:rPr>
                    <w:rFonts w:ascii="Times New Roman" w:hAnsi="Times New Roman"/>
                  </w:rPr>
                  <w:t>3</w:t>
                </w:r>
                <w:r>
                  <w:rPr>
                    <w:rFonts w:hint="eastAsia" w:ascii="Times New Roman" w:hAnsi="Times New Roman"/>
                  </w:rPr>
                  <w:t>.</w:t>
                </w:r>
                <w:r>
                  <w:rPr>
                    <w:rFonts w:ascii="Times New Roman" w:hAnsi="Times New Roman"/>
                  </w:rPr>
                  <w:t>7吨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4.2吨</w:t>
                </w:r>
              </w:p>
              <w:p>
                <w:pPr>
                  <w:widowControl/>
                  <w:rPr>
                    <w:rFonts w:ascii="Times New Roman" w:hAnsi="Times New Roman"/>
                    <w:bCs/>
                  </w:rPr>
                </w:pPr>
                <w:r>
                  <w:rPr>
                    <w:rFonts w:ascii="Times New Roman" w:hAnsi="Times New Roman"/>
                  </w:rPr>
                  <w:t>氨氮</w:t>
                </w:r>
                <w:r>
                  <w:rPr>
                    <w:rFonts w:hint="eastAsia" w:ascii="Times New Roman" w:hAnsi="Times New Roman"/>
                  </w:rPr>
                  <w:t>：0.</w:t>
                </w:r>
                <w:r>
                  <w:rPr>
                    <w:rFonts w:ascii="Times New Roman" w:hAnsi="Times New Roman"/>
                  </w:rPr>
                  <w:t>07吨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43" w:type="dxa"/>
                <w:vAlign w:val="center"/>
              </w:tcPr>
              <w:p>
                <w:pPr>
                  <w:jc w:val="center"/>
                  <w:rPr>
                    <w:rFonts w:ascii="Times New Roman" w:hAnsi="Times New Roman"/>
                    <w:bCs/>
                  </w:rPr>
                </w:pPr>
                <w:r>
                  <w:rPr>
                    <w:rFonts w:ascii="Times New Roman" w:hAnsi="Times New Roman"/>
                  </w:rPr>
                  <w:t>7</w:t>
                </w:r>
              </w:p>
            </w:tc>
            <w:tc>
              <w:tcPr>
                <w:tcW w:w="1145" w:type="dxa"/>
                <w:vAlign w:val="center"/>
              </w:tcPr>
              <w:p>
                <w:pPr>
                  <w:widowControl/>
                  <w:rPr>
                    <w:rFonts w:ascii="Times New Roman" w:hAnsi="Times New Roman"/>
                    <w:bCs/>
                  </w:rPr>
                </w:pPr>
                <w:r>
                  <w:rPr>
                    <w:rFonts w:ascii="Times New Roman" w:hAnsi="Times New Roman"/>
                  </w:rPr>
                  <w:t>赵楼煤矿</w:t>
                </w:r>
              </w:p>
            </w:tc>
            <w:tc>
              <w:tcPr>
                <w:tcW w:w="920" w:type="dxa"/>
                <w:vMerge w:val="continue"/>
                <w:vAlign w:val="center"/>
              </w:tcPr>
              <w:p>
                <w:pPr>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rPr>
                    <w:rFonts w:ascii="Times New Roman" w:hAnsi="Times New Roman"/>
                    <w:bCs/>
                  </w:rPr>
                </w:pPr>
              </w:p>
            </w:tc>
            <w:tc>
              <w:tcPr>
                <w:tcW w:w="3151" w:type="dxa"/>
                <w:vMerge w:val="continue"/>
              </w:tcPr>
              <w:p>
                <w:pPr>
                  <w:rPr>
                    <w:rFonts w:ascii="Times New Roman" w:hAnsi="Times New Roman"/>
                    <w:bCs/>
                  </w:rPr>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95.</w:t>
                </w:r>
                <w:r>
                  <w:rPr>
                    <w:rFonts w:hint="eastAsia" w:ascii="Times New Roman" w:hAnsi="Times New Roman"/>
                  </w:rPr>
                  <w:t>4</w:t>
                </w:r>
                <w:r>
                  <w:rPr>
                    <w:rFonts w:ascii="Times New Roman" w:hAnsi="Times New Roman"/>
                  </w:rPr>
                  <w:t>吨</w:t>
                </w:r>
              </w:p>
              <w:p>
                <w:pPr>
                  <w:widowControl/>
                  <w:rPr>
                    <w:rFonts w:ascii="Times New Roman" w:hAnsi="Times New Roman"/>
                    <w:bCs/>
                  </w:rPr>
                </w:pPr>
                <w:r>
                  <w:rPr>
                    <w:rFonts w:ascii="Times New Roman" w:hAnsi="Times New Roman"/>
                  </w:rPr>
                  <w:t>氨氮</w:t>
                </w:r>
                <w:r>
                  <w:rPr>
                    <w:rFonts w:hint="eastAsia" w:ascii="Times New Roman" w:hAnsi="Times New Roman"/>
                  </w:rPr>
                  <w:t>：5.</w:t>
                </w:r>
                <w:r>
                  <w:rPr>
                    <w:rFonts w:ascii="Times New Roman" w:hAnsi="Times New Roman"/>
                  </w:rPr>
                  <w:t>9吨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15.3吨</w:t>
                </w:r>
              </w:p>
              <w:p>
                <w:pPr>
                  <w:widowControl/>
                  <w:rPr>
                    <w:rFonts w:ascii="Times New Roman" w:hAnsi="Times New Roman"/>
                    <w:bCs/>
                  </w:rPr>
                </w:pPr>
                <w:r>
                  <w:rPr>
                    <w:rFonts w:ascii="Times New Roman" w:hAnsi="Times New Roman"/>
                  </w:rPr>
                  <w:t>氨氮</w:t>
                </w:r>
                <w:r>
                  <w:rPr>
                    <w:rFonts w:hint="eastAsia" w:ascii="Times New Roman" w:hAnsi="Times New Roman"/>
                  </w:rPr>
                  <w:t>：0.</w:t>
                </w:r>
                <w:r>
                  <w:rPr>
                    <w:rFonts w:ascii="Times New Roman" w:hAnsi="Times New Roman"/>
                  </w:rPr>
                  <w:t>28吨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543" w:type="dxa"/>
                <w:vAlign w:val="center"/>
              </w:tcPr>
              <w:p>
                <w:pPr>
                  <w:jc w:val="center"/>
                  <w:rPr>
                    <w:rFonts w:ascii="Times New Roman" w:hAnsi="Times New Roman"/>
                    <w:bCs/>
                  </w:rPr>
                </w:pPr>
                <w:r>
                  <w:rPr>
                    <w:rFonts w:ascii="Times New Roman" w:hAnsi="Times New Roman"/>
                  </w:rPr>
                  <w:t>8</w:t>
                </w:r>
              </w:p>
            </w:tc>
            <w:tc>
              <w:tcPr>
                <w:tcW w:w="1145" w:type="dxa"/>
                <w:vAlign w:val="center"/>
              </w:tcPr>
              <w:p>
                <w:pPr>
                  <w:widowControl/>
                  <w:rPr>
                    <w:rFonts w:ascii="Times New Roman" w:hAnsi="Times New Roman"/>
                    <w:bCs/>
                  </w:rPr>
                </w:pPr>
                <w:r>
                  <w:rPr>
                    <w:rFonts w:ascii="Times New Roman" w:hAnsi="Times New Roman"/>
                  </w:rPr>
                  <w:t>兴隆庄煤矿</w:t>
                </w:r>
              </w:p>
            </w:tc>
            <w:tc>
              <w:tcPr>
                <w:tcW w:w="920" w:type="dxa"/>
                <w:vMerge w:val="continue"/>
                <w:vAlign w:val="center"/>
              </w:tcPr>
              <w:p>
                <w:pPr>
                  <w:widowControl/>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widowControl/>
                  <w:rPr>
                    <w:rFonts w:ascii="Times New Roman" w:hAnsi="Times New Roman"/>
                    <w:bCs/>
                  </w:rPr>
                </w:pPr>
              </w:p>
            </w:tc>
            <w:tc>
              <w:tcPr>
                <w:tcW w:w="3151" w:type="dxa"/>
                <w:vAlign w:val="center"/>
              </w:tcPr>
              <w:p>
                <w:pPr>
                  <w:rPr>
                    <w:rFonts w:ascii="Times New Roman" w:hAnsi="Times New Roman"/>
                    <w:bCs/>
                  </w:rPr>
                </w:pPr>
                <w:r>
                  <w:rPr>
                    <w:rFonts w:hint="eastAsia" w:ascii="Times New Roman" w:hAnsi="Times New Roman"/>
                  </w:rPr>
                  <w:t>《流域水污染物综合排放标准 第1部分：南四湖东平湖流域》（D</w:t>
                </w:r>
                <w:r>
                  <w:rPr>
                    <w:rFonts w:ascii="Times New Roman" w:hAnsi="Times New Roman"/>
                  </w:rPr>
                  <w:t>B37/3416.1-2018</w:t>
                </w:r>
                <w:r>
                  <w:rPr>
                    <w:rFonts w:hint="eastAsia" w:ascii="Times New Roman" w:hAnsi="Times New Roman"/>
                  </w:rPr>
                  <w:t>）、《城镇污水处理厂污染物排放标准》（G</w:t>
                </w:r>
                <w:r>
                  <w:rPr>
                    <w:rFonts w:ascii="Times New Roman" w:hAnsi="Times New Roman"/>
                  </w:rPr>
                  <w:t>B 18918-2002</w:t>
                </w:r>
                <w:r>
                  <w:rPr>
                    <w:rFonts w:hint="eastAsia" w:ascii="Times New Roman" w:hAnsi="Times New Roman"/>
                  </w:rPr>
                  <w:t>）</w:t>
                </w: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109.0吨</w:t>
                </w:r>
              </w:p>
              <w:p>
                <w:pPr>
                  <w:widowControl/>
                  <w:rPr>
                    <w:rFonts w:ascii="Times New Roman" w:hAnsi="Times New Roman"/>
                    <w:bCs/>
                  </w:rPr>
                </w:pPr>
                <w:r>
                  <w:rPr>
                    <w:rFonts w:ascii="Times New Roman" w:hAnsi="Times New Roman"/>
                  </w:rPr>
                  <w:t>氨氮</w:t>
                </w:r>
                <w:r>
                  <w:rPr>
                    <w:rFonts w:hint="eastAsia" w:ascii="Times New Roman" w:hAnsi="Times New Roman"/>
                  </w:rPr>
                  <w:t>：</w:t>
                </w:r>
                <w:r>
                  <w:rPr>
                    <w:rFonts w:ascii="Times New Roman" w:hAnsi="Times New Roman"/>
                  </w:rPr>
                  <w:t>5.5吨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1.3吨</w:t>
                </w:r>
              </w:p>
              <w:p>
                <w:pPr>
                  <w:widowControl/>
                  <w:rPr>
                    <w:rFonts w:ascii="Times New Roman" w:hAnsi="Times New Roman"/>
                    <w:bCs/>
                  </w:rPr>
                </w:pPr>
                <w:r>
                  <w:rPr>
                    <w:rFonts w:ascii="Times New Roman" w:hAnsi="Times New Roman"/>
                  </w:rPr>
                  <w:t>氨氮</w:t>
                </w:r>
                <w:r>
                  <w:rPr>
                    <w:rFonts w:hint="eastAsia" w:ascii="Times New Roman" w:hAnsi="Times New Roman"/>
                  </w:rPr>
                  <w:t>：0.</w:t>
                </w:r>
                <w:r>
                  <w:rPr>
                    <w:rFonts w:ascii="Times New Roman" w:hAnsi="Times New Roman"/>
                  </w:rPr>
                  <w:t>01吨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43" w:type="dxa"/>
                <w:vAlign w:val="center"/>
              </w:tcPr>
              <w:p>
                <w:pPr>
                  <w:jc w:val="center"/>
                  <w:rPr>
                    <w:rFonts w:ascii="Times New Roman" w:hAnsi="Times New Roman"/>
                    <w:bCs/>
                  </w:rPr>
                </w:pPr>
                <w:r>
                  <w:rPr>
                    <w:rFonts w:hint="eastAsia" w:ascii="Times New Roman" w:hAnsi="Times New Roman"/>
                  </w:rPr>
                  <w:t>9</w:t>
                </w:r>
              </w:p>
            </w:tc>
            <w:tc>
              <w:tcPr>
                <w:tcW w:w="1145" w:type="dxa"/>
                <w:vAlign w:val="center"/>
              </w:tcPr>
              <w:p>
                <w:pPr>
                  <w:widowControl/>
                  <w:rPr>
                    <w:rFonts w:ascii="Times New Roman" w:hAnsi="Times New Roman"/>
                    <w:bCs/>
                  </w:rPr>
                </w:pPr>
                <w:r>
                  <w:rPr>
                    <w:rFonts w:hint="eastAsia" w:ascii="Times New Roman" w:hAnsi="Times New Roman"/>
                  </w:rPr>
                  <w:t>天池能源</w:t>
                </w:r>
              </w:p>
            </w:tc>
            <w:tc>
              <w:tcPr>
                <w:tcW w:w="920" w:type="dxa"/>
                <w:vMerge w:val="continue"/>
                <w:vAlign w:val="center"/>
              </w:tcPr>
              <w:p>
                <w:pPr>
                  <w:widowControl/>
                  <w:jc w:val="center"/>
                  <w:rPr>
                    <w:rFonts w:ascii="Times New Roman" w:hAnsi="Times New Roman"/>
                    <w:bCs/>
                  </w:rPr>
                </w:pPr>
              </w:p>
            </w:tc>
            <w:tc>
              <w:tcPr>
                <w:tcW w:w="950" w:type="dxa"/>
                <w:vMerge w:val="continue"/>
                <w:vAlign w:val="center"/>
              </w:tcPr>
              <w:p>
                <w:pPr>
                  <w:widowControl/>
                  <w:jc w:val="center"/>
                  <w:rPr>
                    <w:rFonts w:ascii="Times New Roman" w:hAnsi="Times New Roman"/>
                    <w:bCs/>
                  </w:rPr>
                </w:pPr>
              </w:p>
            </w:tc>
            <w:tc>
              <w:tcPr>
                <w:tcW w:w="833" w:type="dxa"/>
                <w:vMerge w:val="continue"/>
                <w:vAlign w:val="center"/>
              </w:tcPr>
              <w:p>
                <w:pPr>
                  <w:rPr>
                    <w:rFonts w:ascii="Times New Roman" w:hAnsi="Times New Roman"/>
                    <w:bCs/>
                  </w:rPr>
                </w:pPr>
              </w:p>
            </w:tc>
            <w:tc>
              <w:tcPr>
                <w:tcW w:w="3151" w:type="dxa"/>
                <w:vAlign w:val="center"/>
              </w:tcPr>
              <w:p>
                <w:pPr>
                  <w:rPr>
                    <w:rFonts w:ascii="Times New Roman" w:hAnsi="Times New Roman"/>
                    <w:bCs/>
                  </w:rPr>
                </w:pPr>
                <w:r>
                  <w:rPr>
                    <w:rFonts w:hint="eastAsia" w:ascii="Times New Roman" w:hAnsi="Times New Roman"/>
                  </w:rPr>
                  <w:t>《地表水环境质量标准》G</w:t>
                </w:r>
                <w:r>
                  <w:rPr>
                    <w:rFonts w:ascii="Times New Roman" w:hAnsi="Times New Roman"/>
                  </w:rPr>
                  <w:t>B3838-2002</w:t>
                </w:r>
              </w:p>
            </w:tc>
            <w:tc>
              <w:tcPr>
                <w:tcW w:w="1731" w:type="dxa"/>
                <w:vAlign w:val="center"/>
              </w:tcPr>
              <w:p>
                <w:pPr>
                  <w:widowControl/>
                  <w:rPr>
                    <w:rFonts w:ascii="Times New Roman" w:hAnsi="Times New Roman"/>
                    <w:bCs/>
                  </w:rPr>
                </w:pPr>
                <w:r>
                  <w:rPr>
                    <w:rFonts w:hint="eastAsia" w:ascii="Times New Roman" w:hAnsi="Times New Roman"/>
                  </w:rPr>
                  <w:t>COD、氨氮无总量要求</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2.2吨</w:t>
                </w:r>
              </w:p>
              <w:p>
                <w:pPr>
                  <w:widowControl/>
                  <w:rPr>
                    <w:rFonts w:ascii="Times New Roman" w:hAnsi="Times New Roman"/>
                    <w:bCs/>
                  </w:rPr>
                </w:pPr>
                <w:r>
                  <w:rPr>
                    <w:rFonts w:ascii="Times New Roman" w:hAnsi="Times New Roman"/>
                  </w:rPr>
                  <w:t>氨氮</w:t>
                </w:r>
                <w:r>
                  <w:rPr>
                    <w:rFonts w:hint="eastAsia" w:ascii="Times New Roman" w:hAnsi="Times New Roman"/>
                  </w:rPr>
                  <w:t>：</w:t>
                </w:r>
                <w:r>
                  <w:rPr>
                    <w:rFonts w:ascii="Times New Roman" w:hAnsi="Times New Roman"/>
                  </w:rPr>
                  <w:t>0.19</w:t>
                </w:r>
                <w:r>
                  <w:rPr>
                    <w:rFonts w:hint="eastAsia" w:ascii="Times New Roman" w:hAnsi="Times New Roma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43" w:type="dxa"/>
                <w:vAlign w:val="center"/>
              </w:tcPr>
              <w:p>
                <w:pPr>
                  <w:jc w:val="center"/>
                  <w:rPr>
                    <w:rFonts w:ascii="Times New Roman" w:hAnsi="Times New Roman"/>
                    <w:bCs/>
                  </w:rPr>
                </w:pPr>
                <w:r>
                  <w:rPr>
                    <w:rFonts w:hint="eastAsia" w:ascii="Times New Roman" w:hAnsi="Times New Roman"/>
                  </w:rPr>
                  <w:t>10</w:t>
                </w:r>
              </w:p>
            </w:tc>
            <w:tc>
              <w:tcPr>
                <w:tcW w:w="1145" w:type="dxa"/>
                <w:vAlign w:val="center"/>
              </w:tcPr>
              <w:p>
                <w:pPr>
                  <w:widowControl/>
                  <w:rPr>
                    <w:rFonts w:ascii="Times New Roman" w:hAnsi="Times New Roman"/>
                    <w:bCs/>
                  </w:rPr>
                </w:pPr>
                <w:r>
                  <w:rPr>
                    <w:rFonts w:hint="eastAsia" w:ascii="Times New Roman" w:hAnsi="Times New Roman"/>
                  </w:rPr>
                  <w:t>金鸡滩</w:t>
                </w:r>
                <w:r>
                  <w:rPr>
                    <w:rFonts w:ascii="Times New Roman" w:hAnsi="Times New Roman"/>
                  </w:rPr>
                  <w:t>煤矿</w:t>
                </w:r>
              </w:p>
            </w:tc>
            <w:tc>
              <w:tcPr>
                <w:tcW w:w="920" w:type="dxa"/>
                <w:vMerge w:val="restart"/>
                <w:vAlign w:val="center"/>
              </w:tcPr>
              <w:p>
                <w:pPr>
                  <w:widowControl/>
                  <w:jc w:val="center"/>
                  <w:rPr>
                    <w:rFonts w:ascii="Times New Roman" w:hAnsi="Times New Roman"/>
                    <w:bCs/>
                  </w:rPr>
                </w:pPr>
                <w:r>
                  <w:rPr>
                    <w:rFonts w:hint="eastAsia" w:ascii="Times New Roman" w:hAnsi="Times New Roman"/>
                  </w:rPr>
                  <w:t>锅炉烟气</w:t>
                </w:r>
              </w:p>
            </w:tc>
            <w:tc>
              <w:tcPr>
                <w:tcW w:w="950" w:type="dxa"/>
                <w:vMerge w:val="restart"/>
                <w:vAlign w:val="center"/>
              </w:tcPr>
              <w:p>
                <w:pPr>
                  <w:widowControl/>
                  <w:jc w:val="center"/>
                  <w:rPr>
                    <w:rFonts w:ascii="Times New Roman" w:hAnsi="Times New Roman"/>
                    <w:bCs/>
                  </w:rPr>
                </w:pPr>
                <w:r>
                  <w:rPr>
                    <w:rFonts w:hint="eastAsia" w:ascii="Times New Roman" w:hAnsi="Times New Roman"/>
                  </w:rPr>
                  <w:t>颗粒物SO</w:t>
                </w:r>
                <w:r>
                  <w:rPr>
                    <w:rFonts w:hint="eastAsia" w:ascii="Times New Roman" w:hAnsi="Times New Roman"/>
                    <w:vertAlign w:val="subscript"/>
                  </w:rPr>
                  <w:t>2</w:t>
                </w:r>
              </w:p>
              <w:p>
                <w:pPr>
                  <w:widowControl/>
                  <w:jc w:val="center"/>
                  <w:rPr>
                    <w:rFonts w:ascii="Times New Roman" w:hAnsi="Times New Roman"/>
                    <w:bCs/>
                  </w:rPr>
                </w:pPr>
                <w:r>
                  <w:rPr>
                    <w:rFonts w:ascii="Times New Roman" w:hAnsi="Times New Roman"/>
                  </w:rPr>
                  <w:t>NO</w:t>
                </w:r>
                <w:r>
                  <w:rPr>
                    <w:rFonts w:ascii="Times New Roman" w:hAnsi="Times New Roman"/>
                    <w:vertAlign w:val="subscript"/>
                  </w:rPr>
                  <w:t>X</w:t>
                </w:r>
              </w:p>
            </w:tc>
            <w:tc>
              <w:tcPr>
                <w:tcW w:w="833" w:type="dxa"/>
                <w:vMerge w:val="restart"/>
                <w:vAlign w:val="center"/>
              </w:tcPr>
              <w:p>
                <w:pPr>
                  <w:widowControl/>
                  <w:rPr>
                    <w:rFonts w:ascii="Times New Roman" w:hAnsi="Times New Roman"/>
                    <w:bCs/>
                  </w:rPr>
                </w:pPr>
                <w:r>
                  <w:rPr>
                    <w:rFonts w:hint="eastAsia" w:ascii="Times New Roman" w:hAnsi="Times New Roman"/>
                  </w:rPr>
                  <w:t>烟气经净化处理后排放；污水经污水处理站处理后重复利用，不外排</w:t>
                </w:r>
              </w:p>
            </w:tc>
            <w:tc>
              <w:tcPr>
                <w:tcW w:w="3151" w:type="dxa"/>
                <w:vAlign w:val="center"/>
              </w:tcPr>
              <w:p>
                <w:pPr>
                  <w:rPr>
                    <w:rFonts w:ascii="Times New Roman" w:hAnsi="Times New Roman"/>
                    <w:bCs/>
                  </w:rPr>
                </w:pPr>
                <w:r>
                  <w:rPr>
                    <w:rFonts w:hint="eastAsia" w:ascii="Times New Roman" w:hAnsi="Times New Roman"/>
                  </w:rPr>
                  <w:t>《锅炉大气污染物排放标准》（G</w:t>
                </w:r>
                <w:r>
                  <w:rPr>
                    <w:rFonts w:ascii="Times New Roman" w:hAnsi="Times New Roman"/>
                  </w:rPr>
                  <w:t>B13271-2014</w:t>
                </w:r>
                <w:r>
                  <w:rPr>
                    <w:rFonts w:hint="eastAsia" w:ascii="Times New Roman" w:hAnsi="Times New Roman"/>
                  </w:rPr>
                  <w:t>）</w:t>
                </w:r>
              </w:p>
            </w:tc>
            <w:tc>
              <w:tcPr>
                <w:tcW w:w="1731" w:type="dxa"/>
                <w:vAlign w:val="center"/>
              </w:tcPr>
              <w:p>
                <w:pPr>
                  <w:widowControl/>
                  <w:rPr>
                    <w:rFonts w:ascii="Times New Roman" w:hAnsi="Times New Roman"/>
                    <w:bCs/>
                    <w:spacing w:val="-12"/>
                  </w:rPr>
                </w:pPr>
                <w:r>
                  <w:rPr>
                    <w:rFonts w:hint="eastAsia" w:ascii="Times New Roman" w:hAnsi="Times New Roman"/>
                    <w:spacing w:val="-12"/>
                  </w:rPr>
                  <w:t>颗粒物：</w:t>
                </w:r>
                <w:r>
                  <w:rPr>
                    <w:rFonts w:ascii="Times New Roman" w:hAnsi="Times New Roman"/>
                    <w:spacing w:val="-12"/>
                  </w:rPr>
                  <w:t>14.0</w:t>
                </w:r>
                <w:r>
                  <w:rPr>
                    <w:rFonts w:hint="eastAsia" w:ascii="Times New Roman" w:hAnsi="Times New Roman"/>
                    <w:spacing w:val="-12"/>
                  </w:rPr>
                  <w:t>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46.6吨</w:t>
                </w:r>
              </w:p>
              <w:p>
                <w:pPr>
                  <w:widowControl/>
                  <w:rPr>
                    <w:rFonts w:ascii="Times New Roman" w:hAnsi="Times New Roman"/>
                    <w:bCs/>
                  </w:rPr>
                </w:pPr>
                <w:r>
                  <w:rPr>
                    <w:rFonts w:ascii="Times New Roman" w:hAnsi="Times New Roman"/>
                  </w:rPr>
                  <w:t>NO</w:t>
                </w:r>
                <w:r>
                  <w:rPr>
                    <w:rFonts w:ascii="Times New Roman" w:hAnsi="Times New Roman"/>
                    <w:vertAlign w:val="subscript"/>
                  </w:rPr>
                  <w:t>X</w:t>
                </w:r>
                <w:r>
                  <w:rPr>
                    <w:rFonts w:hint="eastAsia" w:ascii="Times New Roman" w:hAnsi="Times New Roman"/>
                  </w:rPr>
                  <w:t>：</w:t>
                </w:r>
                <w:r>
                  <w:rPr>
                    <w:rFonts w:ascii="Times New Roman" w:hAnsi="Times New Roman"/>
                  </w:rPr>
                  <w:t>93.1吨</w:t>
                </w:r>
              </w:p>
            </w:tc>
            <w:tc>
              <w:tcPr>
                <w:tcW w:w="1650" w:type="dxa"/>
                <w:vAlign w:val="center"/>
              </w:tcPr>
              <w:p>
                <w:pPr>
                  <w:widowControl/>
                  <w:rPr>
                    <w:rFonts w:ascii="Times New Roman" w:hAnsi="Times New Roman"/>
                    <w:bCs/>
                    <w:spacing w:val="-12"/>
                  </w:rPr>
                </w:pPr>
                <w:r>
                  <w:rPr>
                    <w:rFonts w:hint="eastAsia" w:ascii="Times New Roman" w:hAnsi="Times New Roman"/>
                    <w:spacing w:val="-12"/>
                  </w:rPr>
                  <w:t>颗粒物：</w:t>
                </w:r>
                <w:r>
                  <w:rPr>
                    <w:rFonts w:ascii="Times New Roman" w:hAnsi="Times New Roman"/>
                    <w:spacing w:val="-12"/>
                  </w:rPr>
                  <w:t>0.4</w:t>
                </w:r>
                <w:r>
                  <w:rPr>
                    <w:rFonts w:hint="eastAsia" w:ascii="Times New Roman" w:hAnsi="Times New Roman"/>
                    <w:spacing w:val="-12"/>
                  </w:rPr>
                  <w:t>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0.2吨</w:t>
                </w:r>
              </w:p>
              <w:p>
                <w:pPr>
                  <w:widowControl/>
                  <w:rPr>
                    <w:rFonts w:ascii="Times New Roman" w:hAnsi="Times New Roman"/>
                    <w:bCs/>
                  </w:rPr>
                </w:pPr>
                <w:r>
                  <w:rPr>
                    <w:rFonts w:ascii="Times New Roman" w:hAnsi="Times New Roman"/>
                  </w:rPr>
                  <w:t>NO</w:t>
                </w:r>
                <w:r>
                  <w:rPr>
                    <w:rFonts w:ascii="Times New Roman" w:hAnsi="Times New Roman"/>
                    <w:vertAlign w:val="subscript"/>
                  </w:rPr>
                  <w:t>X</w:t>
                </w:r>
                <w:r>
                  <w:rPr>
                    <w:rFonts w:hint="eastAsia" w:ascii="Times New Roman" w:hAnsi="Times New Roman"/>
                  </w:rPr>
                  <w:t>：</w:t>
                </w:r>
                <w:r>
                  <w:rPr>
                    <w:rFonts w:ascii="Times New Roman" w:hAnsi="Times New Roman"/>
                  </w:rPr>
                  <w:t>9.1吨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43" w:type="dxa"/>
                <w:vAlign w:val="center"/>
              </w:tcPr>
              <w:p>
                <w:pPr>
                  <w:jc w:val="center"/>
                  <w:rPr>
                    <w:rFonts w:ascii="Times New Roman" w:hAnsi="Times New Roman"/>
                    <w:bCs/>
                  </w:rPr>
                </w:pPr>
                <w:r>
                  <w:rPr>
                    <w:rFonts w:hint="eastAsia" w:ascii="Times New Roman" w:hAnsi="Times New Roman"/>
                  </w:rPr>
                  <w:t>11</w:t>
                </w:r>
              </w:p>
            </w:tc>
            <w:tc>
              <w:tcPr>
                <w:tcW w:w="1145" w:type="dxa"/>
                <w:vAlign w:val="center"/>
              </w:tcPr>
              <w:p>
                <w:pPr>
                  <w:widowControl/>
                  <w:rPr>
                    <w:rFonts w:ascii="Times New Roman" w:hAnsi="Times New Roman"/>
                    <w:bCs/>
                  </w:rPr>
                </w:pPr>
                <w:r>
                  <w:rPr>
                    <w:rFonts w:hint="eastAsia" w:ascii="Times New Roman" w:hAnsi="Times New Roman"/>
                  </w:rPr>
                  <w:t>未来能源煤制油分公司</w:t>
                </w:r>
              </w:p>
            </w:tc>
            <w:tc>
              <w:tcPr>
                <w:tcW w:w="920" w:type="dxa"/>
                <w:vMerge w:val="continue"/>
                <w:vAlign w:val="center"/>
              </w:tcPr>
              <w:p>
                <w:pPr>
                  <w:widowControl/>
                  <w:jc w:val="center"/>
                  <w:rPr>
                    <w:rFonts w:ascii="Times New Roman" w:hAnsi="Times New Roman"/>
                    <w:bCs/>
                  </w:rPr>
                </w:pPr>
              </w:p>
            </w:tc>
            <w:tc>
              <w:tcPr>
                <w:tcW w:w="950" w:type="dxa"/>
                <w:vMerge w:val="continue"/>
                <w:vAlign w:val="center"/>
              </w:tcPr>
              <w:p>
                <w:pPr>
                  <w:widowControl/>
                  <w:jc w:val="center"/>
                  <w:rPr>
                    <w:rFonts w:ascii="Times New Roman" w:hAnsi="Times New Roman"/>
                    <w:bCs/>
                  </w:rPr>
                </w:pPr>
              </w:p>
            </w:tc>
            <w:tc>
              <w:tcPr>
                <w:tcW w:w="833" w:type="dxa"/>
                <w:vMerge w:val="continue"/>
                <w:vAlign w:val="center"/>
              </w:tcPr>
              <w:p>
                <w:pPr>
                  <w:widowControl/>
                  <w:rPr>
                    <w:rFonts w:ascii="Times New Roman" w:hAnsi="Times New Roman"/>
                    <w:bCs/>
                  </w:rPr>
                </w:pPr>
              </w:p>
            </w:tc>
            <w:tc>
              <w:tcPr>
                <w:tcW w:w="3151" w:type="dxa"/>
                <w:vMerge w:val="restart"/>
                <w:vAlign w:val="center"/>
              </w:tcPr>
              <w:p>
                <w:pPr>
                  <w:rPr>
                    <w:rFonts w:ascii="Times New Roman" w:hAnsi="Times New Roman"/>
                    <w:bCs/>
                  </w:rPr>
                </w:pPr>
                <w:r>
                  <w:rPr>
                    <w:rFonts w:hint="eastAsia" w:ascii="Times New Roman" w:hAnsi="Times New Roman"/>
                  </w:rPr>
                  <w:t>《火电厂大气污染物排放标准》（</w:t>
                </w:r>
                <w:r>
                  <w:rPr>
                    <w:rFonts w:ascii="Times New Roman" w:hAnsi="Times New Roman"/>
                  </w:rPr>
                  <w:t>GB13223-2011）</w:t>
                </w:r>
              </w:p>
            </w:tc>
            <w:tc>
              <w:tcPr>
                <w:tcW w:w="1731" w:type="dxa"/>
                <w:vAlign w:val="center"/>
              </w:tcPr>
              <w:p>
                <w:pPr>
                  <w:widowControl/>
                  <w:rPr>
                    <w:rFonts w:ascii="Times New Roman" w:hAnsi="Times New Roman"/>
                    <w:bCs/>
                    <w:spacing w:val="-10"/>
                  </w:rPr>
                </w:pPr>
                <w:r>
                  <w:rPr>
                    <w:rFonts w:hint="eastAsia" w:ascii="Times New Roman" w:hAnsi="Times New Roman"/>
                    <w:spacing w:val="-18"/>
                  </w:rPr>
                  <w:t>颗粒物：9</w:t>
                </w:r>
                <w:r>
                  <w:rPr>
                    <w:rFonts w:ascii="Times New Roman" w:hAnsi="Times New Roman"/>
                    <w:spacing w:val="-18"/>
                  </w:rPr>
                  <w:t>2.1</w:t>
                </w:r>
                <w:r>
                  <w:rPr>
                    <w:rFonts w:hint="eastAsia" w:ascii="Times New Roman" w:hAnsi="Times New Roman"/>
                    <w:spacing w:val="-18"/>
                  </w:rPr>
                  <w:t>吨</w:t>
                </w:r>
                <w:r>
                  <w:rPr>
                    <w:rFonts w:hint="eastAsia" w:ascii="Times New Roman" w:hAnsi="Times New Roman"/>
                    <w:spacing w:val="-10"/>
                  </w:rPr>
                  <w:t>SO</w:t>
                </w:r>
                <w:r>
                  <w:rPr>
                    <w:rFonts w:hint="eastAsia" w:ascii="Times New Roman" w:hAnsi="Times New Roman"/>
                    <w:spacing w:val="-10"/>
                    <w:vertAlign w:val="subscript"/>
                  </w:rPr>
                  <w:t>2</w:t>
                </w:r>
                <w:r>
                  <w:rPr>
                    <w:rFonts w:hint="eastAsia" w:ascii="Times New Roman" w:hAnsi="Times New Roman"/>
                    <w:spacing w:val="-10"/>
                  </w:rPr>
                  <w:t>：</w:t>
                </w:r>
                <w:r>
                  <w:rPr>
                    <w:rFonts w:ascii="Times New Roman" w:hAnsi="Times New Roman"/>
                    <w:spacing w:val="-10"/>
                  </w:rPr>
                  <w:t>488.9吨</w:t>
                </w:r>
              </w:p>
              <w:p>
                <w:pPr>
                  <w:widowControl/>
                  <w:rPr>
                    <w:rFonts w:ascii="Times New Roman" w:hAnsi="Times New Roman"/>
                    <w:bCs/>
                  </w:rPr>
                </w:pPr>
                <w:r>
                  <w:rPr>
                    <w:rFonts w:ascii="Times New Roman" w:hAnsi="Times New Roman"/>
                    <w:spacing w:val="-10"/>
                  </w:rPr>
                  <w:t>NO</w:t>
                </w:r>
                <w:r>
                  <w:rPr>
                    <w:rFonts w:ascii="Times New Roman" w:hAnsi="Times New Roman"/>
                    <w:spacing w:val="-10"/>
                    <w:vertAlign w:val="subscript"/>
                  </w:rPr>
                  <w:t>X</w:t>
                </w:r>
                <w:r>
                  <w:rPr>
                    <w:rFonts w:hint="eastAsia" w:ascii="Times New Roman" w:hAnsi="Times New Roman"/>
                    <w:spacing w:val="-10"/>
                  </w:rPr>
                  <w:t>：</w:t>
                </w:r>
                <w:r>
                  <w:rPr>
                    <w:rFonts w:ascii="Times New Roman" w:hAnsi="Times New Roman"/>
                    <w:spacing w:val="-10"/>
                  </w:rPr>
                  <w:t>1,084.2吨</w:t>
                </w:r>
              </w:p>
            </w:tc>
            <w:tc>
              <w:tcPr>
                <w:tcW w:w="1650" w:type="dxa"/>
                <w:vAlign w:val="center"/>
              </w:tcPr>
              <w:p>
                <w:pPr>
                  <w:widowControl/>
                  <w:rPr>
                    <w:rFonts w:ascii="Times New Roman" w:hAnsi="Times New Roman"/>
                    <w:bCs/>
                    <w:spacing w:val="-18"/>
                  </w:rPr>
                </w:pPr>
                <w:r>
                  <w:rPr>
                    <w:rFonts w:hint="eastAsia" w:ascii="Times New Roman" w:hAnsi="Times New Roman"/>
                    <w:spacing w:val="-18"/>
                  </w:rPr>
                  <w:t>颗粒物：</w:t>
                </w:r>
                <w:r>
                  <w:rPr>
                    <w:rFonts w:ascii="Times New Roman" w:hAnsi="Times New Roman"/>
                    <w:spacing w:val="-18"/>
                  </w:rPr>
                  <w:t>48.0</w:t>
                </w:r>
                <w:r>
                  <w:rPr>
                    <w:rFonts w:hint="eastAsia" w:ascii="Times New Roman" w:hAnsi="Times New Roman"/>
                    <w:spacing w:val="-18"/>
                  </w:rPr>
                  <w:t>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128.1吨</w:t>
                </w:r>
              </w:p>
              <w:p>
                <w:pPr>
                  <w:widowControl/>
                  <w:rPr>
                    <w:rFonts w:ascii="Times New Roman" w:hAnsi="Times New Roman"/>
                    <w:bCs/>
                    <w:spacing w:val="-6"/>
                  </w:rPr>
                </w:pPr>
                <w:r>
                  <w:rPr>
                    <w:rFonts w:ascii="Times New Roman" w:hAnsi="Times New Roman"/>
                    <w:spacing w:val="-6"/>
                  </w:rPr>
                  <w:t>NO</w:t>
                </w:r>
                <w:r>
                  <w:rPr>
                    <w:rFonts w:ascii="Times New Roman" w:hAnsi="Times New Roman"/>
                    <w:spacing w:val="-6"/>
                    <w:vertAlign w:val="subscript"/>
                  </w:rPr>
                  <w:t>X</w:t>
                </w:r>
                <w:r>
                  <w:rPr>
                    <w:rFonts w:hint="eastAsia" w:ascii="Times New Roman" w:hAnsi="Times New Roman"/>
                    <w:spacing w:val="-6"/>
                  </w:rPr>
                  <w:t>：</w:t>
                </w:r>
                <w:r>
                  <w:rPr>
                    <w:rFonts w:ascii="Times New Roman" w:hAnsi="Times New Roman"/>
                    <w:spacing w:val="-6"/>
                  </w:rPr>
                  <w:t>620.2吨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43" w:type="dxa"/>
                <w:vAlign w:val="center"/>
              </w:tcPr>
              <w:p>
                <w:pPr>
                  <w:jc w:val="center"/>
                  <w:rPr>
                    <w:rFonts w:ascii="Times New Roman" w:hAnsi="Times New Roman"/>
                    <w:bCs/>
                  </w:rPr>
                </w:pPr>
                <w:r>
                  <w:rPr>
                    <w:rFonts w:hint="eastAsia" w:ascii="Times New Roman" w:hAnsi="Times New Roman"/>
                  </w:rPr>
                  <w:t>12</w:t>
                </w:r>
              </w:p>
            </w:tc>
            <w:tc>
              <w:tcPr>
                <w:tcW w:w="1145" w:type="dxa"/>
                <w:vAlign w:val="center"/>
              </w:tcPr>
              <w:p>
                <w:pPr>
                  <w:widowControl/>
                  <w:rPr>
                    <w:rFonts w:ascii="Times New Roman" w:hAnsi="Times New Roman"/>
                    <w:bCs/>
                  </w:rPr>
                </w:pPr>
                <w:r>
                  <w:rPr>
                    <w:rFonts w:hint="eastAsia" w:ascii="Times New Roman" w:hAnsi="Times New Roman"/>
                  </w:rPr>
                  <w:t>鄂尔多斯公司</w:t>
                </w:r>
                <w:r>
                  <w:rPr>
                    <w:rFonts w:ascii="Times New Roman" w:hAnsi="Times New Roman"/>
                  </w:rPr>
                  <w:t>荣信化工</w:t>
                </w:r>
              </w:p>
            </w:tc>
            <w:tc>
              <w:tcPr>
                <w:tcW w:w="920" w:type="dxa"/>
                <w:vMerge w:val="continue"/>
                <w:vAlign w:val="center"/>
              </w:tcPr>
              <w:p>
                <w:pPr>
                  <w:widowControl/>
                  <w:jc w:val="center"/>
                  <w:rPr>
                    <w:rFonts w:ascii="Times New Roman" w:hAnsi="Times New Roman"/>
                    <w:bCs/>
                  </w:rPr>
                </w:pPr>
              </w:p>
            </w:tc>
            <w:tc>
              <w:tcPr>
                <w:tcW w:w="950" w:type="dxa"/>
                <w:vMerge w:val="continue"/>
                <w:vAlign w:val="center"/>
              </w:tcPr>
              <w:p>
                <w:pPr>
                  <w:widowControl/>
                  <w:jc w:val="center"/>
                  <w:rPr>
                    <w:rFonts w:ascii="Times New Roman" w:hAnsi="Times New Roman"/>
                    <w:bCs/>
                  </w:rPr>
                </w:pPr>
              </w:p>
            </w:tc>
            <w:tc>
              <w:tcPr>
                <w:tcW w:w="833" w:type="dxa"/>
                <w:vMerge w:val="continue"/>
                <w:vAlign w:val="center"/>
              </w:tcPr>
              <w:p>
                <w:pPr>
                  <w:widowControl/>
                  <w:rPr>
                    <w:rFonts w:ascii="Times New Roman" w:hAnsi="Times New Roman"/>
                    <w:bCs/>
                  </w:rPr>
                </w:pPr>
              </w:p>
            </w:tc>
            <w:tc>
              <w:tcPr>
                <w:tcW w:w="3151" w:type="dxa"/>
                <w:vMerge w:val="continue"/>
                <w:vAlign w:val="center"/>
              </w:tcPr>
              <w:p>
                <w:pPr>
                  <w:rPr>
                    <w:rFonts w:ascii="Times New Roman" w:hAnsi="Times New Roman"/>
                    <w:bCs/>
                  </w:rPr>
                </w:pPr>
              </w:p>
            </w:tc>
            <w:tc>
              <w:tcPr>
                <w:tcW w:w="1731" w:type="dxa"/>
                <w:vAlign w:val="center"/>
              </w:tcPr>
              <w:p>
                <w:pPr>
                  <w:widowControl/>
                  <w:rPr>
                    <w:rFonts w:ascii="Times New Roman" w:hAnsi="Times New Roman"/>
                    <w:bCs/>
                    <w:spacing w:val="-12"/>
                  </w:rPr>
                </w:pPr>
                <w:r>
                  <w:rPr>
                    <w:rFonts w:hint="eastAsia" w:ascii="Times New Roman" w:hAnsi="Times New Roman"/>
                    <w:spacing w:val="-12"/>
                  </w:rPr>
                  <w:t>颗粒物：</w:t>
                </w:r>
                <w:r>
                  <w:rPr>
                    <w:rFonts w:ascii="Times New Roman" w:hAnsi="Times New Roman"/>
                    <w:spacing w:val="-12"/>
                  </w:rPr>
                  <w:t>121.8</w:t>
                </w:r>
                <w:r>
                  <w:rPr>
                    <w:rFonts w:hint="eastAsia" w:ascii="Times New Roman" w:hAnsi="Times New Roman"/>
                    <w:spacing w:val="-12"/>
                  </w:rPr>
                  <w:t>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406.1吨</w:t>
                </w:r>
              </w:p>
              <w:p>
                <w:pPr>
                  <w:rPr>
                    <w:rFonts w:ascii="Times New Roman" w:hAnsi="Times New Roman"/>
                    <w:bCs/>
                    <w:spacing w:val="-12"/>
                  </w:rPr>
                </w:pPr>
                <w:r>
                  <w:rPr>
                    <w:rFonts w:ascii="Times New Roman" w:hAnsi="Times New Roman"/>
                  </w:rPr>
                  <w:t>NO</w:t>
                </w:r>
                <w:r>
                  <w:rPr>
                    <w:rFonts w:ascii="Times New Roman" w:hAnsi="Times New Roman"/>
                    <w:vertAlign w:val="subscript"/>
                  </w:rPr>
                  <w:t>X</w:t>
                </w:r>
                <w:r>
                  <w:rPr>
                    <w:rFonts w:hint="eastAsia" w:ascii="Times New Roman" w:hAnsi="Times New Roman"/>
                  </w:rPr>
                  <w:t>：</w:t>
                </w:r>
                <w:r>
                  <w:rPr>
                    <w:rFonts w:ascii="Times New Roman" w:hAnsi="Times New Roman"/>
                  </w:rPr>
                  <w:t>609.1吨</w:t>
                </w:r>
              </w:p>
            </w:tc>
            <w:tc>
              <w:tcPr>
                <w:tcW w:w="1650" w:type="dxa"/>
                <w:vAlign w:val="center"/>
              </w:tcPr>
              <w:p>
                <w:pPr>
                  <w:widowControl/>
                  <w:rPr>
                    <w:rFonts w:ascii="Times New Roman" w:hAnsi="Times New Roman"/>
                    <w:bCs/>
                    <w:spacing w:val="-12"/>
                  </w:rPr>
                </w:pPr>
                <w:r>
                  <w:rPr>
                    <w:rFonts w:hint="eastAsia" w:ascii="Times New Roman" w:hAnsi="Times New Roman"/>
                    <w:spacing w:val="-12"/>
                  </w:rPr>
                  <w:t>颗粒物：</w:t>
                </w:r>
                <w:r>
                  <w:rPr>
                    <w:rFonts w:ascii="Times New Roman" w:hAnsi="Times New Roman"/>
                    <w:spacing w:val="-12"/>
                  </w:rPr>
                  <w:t>5.8</w:t>
                </w:r>
                <w:r>
                  <w:rPr>
                    <w:rFonts w:hint="eastAsia" w:ascii="Times New Roman" w:hAnsi="Times New Roman"/>
                    <w:spacing w:val="-12"/>
                  </w:rPr>
                  <w:t>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112.0吨</w:t>
                </w:r>
              </w:p>
              <w:p>
                <w:pPr>
                  <w:rPr>
                    <w:rFonts w:ascii="Times New Roman" w:hAnsi="Times New Roman"/>
                    <w:bCs/>
                    <w:spacing w:val="-12"/>
                  </w:rPr>
                </w:pPr>
                <w:r>
                  <w:rPr>
                    <w:rFonts w:ascii="Times New Roman" w:hAnsi="Times New Roman"/>
                    <w:spacing w:val="-4"/>
                  </w:rPr>
                  <w:t>NO</w:t>
                </w:r>
                <w:r>
                  <w:rPr>
                    <w:rFonts w:ascii="Times New Roman" w:hAnsi="Times New Roman"/>
                    <w:spacing w:val="-4"/>
                    <w:vertAlign w:val="subscript"/>
                  </w:rPr>
                  <w:t>X</w:t>
                </w:r>
                <w:r>
                  <w:rPr>
                    <w:rFonts w:hint="eastAsia" w:ascii="Times New Roman" w:hAnsi="Times New Roman"/>
                    <w:spacing w:val="-4"/>
                  </w:rPr>
                  <w:t>：</w:t>
                </w:r>
                <w:r>
                  <w:rPr>
                    <w:rFonts w:ascii="Times New Roman" w:hAnsi="Times New Roman"/>
                    <w:spacing w:val="-4"/>
                  </w:rPr>
                  <w:t>402.0吨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43"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3</w:t>
                </w:r>
              </w:p>
            </w:tc>
            <w:tc>
              <w:tcPr>
                <w:tcW w:w="1145" w:type="dxa"/>
                <w:vAlign w:val="center"/>
              </w:tcPr>
              <w:p>
                <w:pPr>
                  <w:widowControl/>
                  <w:rPr>
                    <w:rFonts w:ascii="Times New Roman" w:hAnsi="Times New Roman"/>
                    <w:bCs/>
                  </w:rPr>
                </w:pPr>
                <w:r>
                  <w:rPr>
                    <w:rFonts w:ascii="Times New Roman" w:hAnsi="Times New Roman"/>
                  </w:rPr>
                  <w:t>转龙湾煤矿</w:t>
                </w:r>
              </w:p>
            </w:tc>
            <w:tc>
              <w:tcPr>
                <w:tcW w:w="920" w:type="dxa"/>
                <w:vMerge w:val="continue"/>
                <w:vAlign w:val="center"/>
              </w:tcPr>
              <w:p>
                <w:pPr>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widowControl/>
                  <w:rPr>
                    <w:rFonts w:ascii="Times New Roman" w:hAnsi="Times New Roman"/>
                    <w:bCs/>
                  </w:rPr>
                </w:pPr>
              </w:p>
            </w:tc>
            <w:tc>
              <w:tcPr>
                <w:tcW w:w="3151" w:type="dxa"/>
                <w:vMerge w:val="restart"/>
                <w:vAlign w:val="center"/>
              </w:tcPr>
              <w:p>
                <w:pPr>
                  <w:rPr>
                    <w:rFonts w:ascii="Times New Roman" w:hAnsi="Times New Roman"/>
                    <w:bCs/>
                  </w:rPr>
                </w:pPr>
                <w:r>
                  <w:rPr>
                    <w:rFonts w:hint="eastAsia" w:ascii="Times New Roman" w:hAnsi="Times New Roman"/>
                  </w:rPr>
                  <w:t>《锅炉大气污染物排放标准》（G</w:t>
                </w:r>
                <w:r>
                  <w:rPr>
                    <w:rFonts w:ascii="Times New Roman" w:hAnsi="Times New Roman"/>
                  </w:rPr>
                  <w:t>B13271-2014</w:t>
                </w:r>
                <w:r>
                  <w:rPr>
                    <w:rFonts w:hint="eastAsia" w:ascii="Times New Roman" w:hAnsi="Times New Roman"/>
                  </w:rPr>
                  <w:t>）</w:t>
                </w:r>
              </w:p>
            </w:tc>
            <w:tc>
              <w:tcPr>
                <w:tcW w:w="1731" w:type="dxa"/>
                <w:vAlign w:val="center"/>
              </w:tcPr>
              <w:p>
                <w:pPr>
                  <w:widowControl/>
                  <w:rPr>
                    <w:rFonts w:ascii="Times New Roman" w:hAnsi="Times New Roman"/>
                    <w:bCs/>
                    <w:spacing w:val="-18"/>
                  </w:rPr>
                </w:pPr>
                <w:r>
                  <w:rPr>
                    <w:rFonts w:hint="eastAsia" w:ascii="Times New Roman" w:hAnsi="Times New Roman"/>
                    <w:spacing w:val="-18"/>
                  </w:rPr>
                  <w:t>颗粒物：</w:t>
                </w:r>
                <w:r>
                  <w:rPr>
                    <w:rFonts w:ascii="Times New Roman" w:hAnsi="Times New Roman"/>
                    <w:spacing w:val="-18"/>
                  </w:rPr>
                  <w:t>19.4</w:t>
                </w:r>
                <w:r>
                  <w:rPr>
                    <w:rFonts w:hint="eastAsia" w:ascii="Times New Roman" w:hAnsi="Times New Roman"/>
                    <w:spacing w:val="-18"/>
                  </w:rPr>
                  <w:t>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89.4吨</w:t>
                </w:r>
              </w:p>
              <w:p>
                <w:pPr>
                  <w:widowControl/>
                  <w:rPr>
                    <w:rFonts w:ascii="Times New Roman" w:hAnsi="Times New Roman"/>
                    <w:bCs/>
                  </w:rPr>
                </w:pPr>
                <w:r>
                  <w:rPr>
                    <w:rFonts w:ascii="Times New Roman" w:hAnsi="Times New Roman"/>
                  </w:rPr>
                  <w:t>NO</w:t>
                </w:r>
                <w:r>
                  <w:rPr>
                    <w:rFonts w:ascii="Times New Roman" w:hAnsi="Times New Roman"/>
                    <w:vertAlign w:val="subscript"/>
                  </w:rPr>
                  <w:t>X</w:t>
                </w:r>
                <w:r>
                  <w:rPr>
                    <w:rFonts w:hint="eastAsia" w:ascii="Times New Roman" w:hAnsi="Times New Roman"/>
                  </w:rPr>
                  <w:t>：</w:t>
                </w:r>
                <w:r>
                  <w:rPr>
                    <w:rFonts w:ascii="Times New Roman" w:hAnsi="Times New Roman"/>
                  </w:rPr>
                  <w:t>114.8吨</w:t>
                </w:r>
              </w:p>
            </w:tc>
            <w:tc>
              <w:tcPr>
                <w:tcW w:w="1650" w:type="dxa"/>
                <w:vAlign w:val="center"/>
              </w:tcPr>
              <w:p>
                <w:pPr>
                  <w:widowControl/>
                  <w:rPr>
                    <w:rFonts w:ascii="Times New Roman" w:hAnsi="Times New Roman"/>
                    <w:bCs/>
                    <w:spacing w:val="-18"/>
                  </w:rPr>
                </w:pPr>
                <w:r>
                  <w:rPr>
                    <w:rFonts w:hint="eastAsia" w:ascii="Times New Roman" w:hAnsi="Times New Roman"/>
                    <w:spacing w:val="-18"/>
                  </w:rPr>
                  <w:t>颗粒物：</w:t>
                </w:r>
                <w:r>
                  <w:rPr>
                    <w:rFonts w:ascii="Times New Roman" w:hAnsi="Times New Roman"/>
                    <w:spacing w:val="-18"/>
                  </w:rPr>
                  <w:t>2.1</w:t>
                </w:r>
                <w:r>
                  <w:rPr>
                    <w:rFonts w:hint="eastAsia" w:ascii="Times New Roman" w:hAnsi="Times New Roman"/>
                    <w:spacing w:val="-18"/>
                  </w:rPr>
                  <w:t>吨</w:t>
                </w:r>
              </w:p>
              <w:p>
                <w:pPr>
                  <w:widowControl/>
                  <w:rPr>
                    <w:rFonts w:ascii="Times New Roman" w:hAnsi="Times New Roman"/>
                    <w:bCs/>
                    <w:spacing w:val="-18"/>
                  </w:rPr>
                </w:pPr>
                <w:r>
                  <w:rPr>
                    <w:rFonts w:hint="eastAsia" w:ascii="Times New Roman" w:hAnsi="Times New Roman"/>
                    <w:spacing w:val="-18"/>
                  </w:rPr>
                  <w:t>SO</w:t>
                </w:r>
                <w:r>
                  <w:rPr>
                    <w:rFonts w:hint="eastAsia" w:ascii="Times New Roman" w:hAnsi="Times New Roman"/>
                    <w:spacing w:val="-18"/>
                    <w:vertAlign w:val="subscript"/>
                  </w:rPr>
                  <w:t>2</w:t>
                </w:r>
                <w:r>
                  <w:rPr>
                    <w:rFonts w:hint="eastAsia" w:ascii="Times New Roman" w:hAnsi="Times New Roman"/>
                    <w:spacing w:val="-18"/>
                  </w:rPr>
                  <w:t>：</w:t>
                </w:r>
                <w:r>
                  <w:rPr>
                    <w:rFonts w:ascii="Times New Roman" w:hAnsi="Times New Roman"/>
                    <w:spacing w:val="-18"/>
                  </w:rPr>
                  <w:t>4.3吨</w:t>
                </w:r>
              </w:p>
              <w:p>
                <w:pPr>
                  <w:widowControl/>
                  <w:rPr>
                    <w:rFonts w:ascii="Times New Roman" w:hAnsi="Times New Roman"/>
                    <w:bCs/>
                    <w:spacing w:val="-18"/>
                  </w:rPr>
                </w:pPr>
                <w:r>
                  <w:rPr>
                    <w:rFonts w:ascii="Times New Roman" w:hAnsi="Times New Roman"/>
                    <w:spacing w:val="-18"/>
                  </w:rPr>
                  <w:t>NO</w:t>
                </w:r>
                <w:r>
                  <w:rPr>
                    <w:rFonts w:ascii="Times New Roman" w:hAnsi="Times New Roman"/>
                    <w:spacing w:val="-18"/>
                    <w:vertAlign w:val="subscript"/>
                  </w:rPr>
                  <w:t>X</w:t>
                </w:r>
                <w:r>
                  <w:rPr>
                    <w:rFonts w:hint="eastAsia" w:ascii="Times New Roman" w:hAnsi="Times New Roman"/>
                    <w:spacing w:val="-18"/>
                  </w:rPr>
                  <w:t>：</w:t>
                </w:r>
                <w:r>
                  <w:rPr>
                    <w:rFonts w:ascii="Times New Roman" w:hAnsi="Times New Roman"/>
                    <w:spacing w:val="-18"/>
                  </w:rPr>
                  <w:t>38.1吨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43"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4</w:t>
                </w:r>
              </w:p>
            </w:tc>
            <w:tc>
              <w:tcPr>
                <w:tcW w:w="1145" w:type="dxa"/>
                <w:vAlign w:val="center"/>
              </w:tcPr>
              <w:p>
                <w:pPr>
                  <w:rPr>
                    <w:rFonts w:ascii="Times New Roman" w:hAnsi="Times New Roman"/>
                    <w:bCs/>
                  </w:rPr>
                </w:pPr>
                <w:r>
                  <w:rPr>
                    <w:rFonts w:hint="eastAsia" w:ascii="Times New Roman" w:hAnsi="Times New Roman"/>
                  </w:rPr>
                  <w:t>石拉乌素煤矿</w:t>
                </w:r>
              </w:p>
            </w:tc>
            <w:tc>
              <w:tcPr>
                <w:tcW w:w="920" w:type="dxa"/>
                <w:vMerge w:val="continue"/>
                <w:vAlign w:val="center"/>
              </w:tcPr>
              <w:p>
                <w:pPr>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rPr>
                    <w:rFonts w:ascii="Times New Roman" w:hAnsi="Times New Roman"/>
                    <w:bCs/>
                  </w:rPr>
                </w:pPr>
              </w:p>
            </w:tc>
            <w:tc>
              <w:tcPr>
                <w:tcW w:w="3151" w:type="dxa"/>
                <w:vMerge w:val="continue"/>
              </w:tcPr>
              <w:p>
                <w:pPr>
                  <w:rPr>
                    <w:rFonts w:ascii="Times New Roman" w:hAnsi="Times New Roman"/>
                    <w:bCs/>
                  </w:rPr>
                </w:pPr>
              </w:p>
            </w:tc>
            <w:tc>
              <w:tcPr>
                <w:tcW w:w="1731" w:type="dxa"/>
                <w:vAlign w:val="center"/>
              </w:tcPr>
              <w:p>
                <w:pPr>
                  <w:widowControl/>
                  <w:rPr>
                    <w:rFonts w:ascii="Times New Roman" w:hAnsi="Times New Roman"/>
                    <w:bCs/>
                    <w:spacing w:val="-18"/>
                  </w:rPr>
                </w:pPr>
                <w:r>
                  <w:rPr>
                    <w:rFonts w:hint="eastAsia" w:ascii="Times New Roman" w:hAnsi="Times New Roman"/>
                    <w:spacing w:val="-18"/>
                  </w:rPr>
                  <w:t>颗粒物：</w:t>
                </w:r>
                <w:r>
                  <w:rPr>
                    <w:rFonts w:ascii="Times New Roman" w:hAnsi="Times New Roman"/>
                    <w:spacing w:val="-18"/>
                  </w:rPr>
                  <w:t>25.9</w:t>
                </w:r>
                <w:r>
                  <w:rPr>
                    <w:rFonts w:hint="eastAsia" w:ascii="Times New Roman" w:hAnsi="Times New Roman"/>
                    <w:spacing w:val="-18"/>
                  </w:rPr>
                  <w:t>吨</w:t>
                </w:r>
              </w:p>
              <w:p>
                <w:pPr>
                  <w:widowControl/>
                  <w:rPr>
                    <w:rFonts w:ascii="Times New Roman" w:hAnsi="Times New Roman"/>
                    <w:bCs/>
                    <w:spacing w:val="-18"/>
                  </w:rPr>
                </w:pPr>
                <w:r>
                  <w:rPr>
                    <w:rFonts w:hint="eastAsia" w:ascii="Times New Roman" w:hAnsi="Times New Roman"/>
                    <w:spacing w:val="-18"/>
                  </w:rPr>
                  <w:t>SO</w:t>
                </w:r>
                <w:r>
                  <w:rPr>
                    <w:rFonts w:hint="eastAsia" w:ascii="Times New Roman" w:hAnsi="Times New Roman"/>
                    <w:spacing w:val="-18"/>
                    <w:vertAlign w:val="subscript"/>
                  </w:rPr>
                  <w:t>2</w:t>
                </w:r>
                <w:r>
                  <w:rPr>
                    <w:rFonts w:hint="eastAsia" w:ascii="Times New Roman" w:hAnsi="Times New Roman"/>
                    <w:spacing w:val="-18"/>
                  </w:rPr>
                  <w:t>：</w:t>
                </w:r>
                <w:r>
                  <w:rPr>
                    <w:rFonts w:ascii="Times New Roman" w:hAnsi="Times New Roman"/>
                    <w:spacing w:val="-18"/>
                  </w:rPr>
                  <w:t>107.2吨</w:t>
                </w:r>
              </w:p>
              <w:p>
                <w:pPr>
                  <w:widowControl/>
                  <w:rPr>
                    <w:rFonts w:ascii="Times New Roman" w:hAnsi="Times New Roman"/>
                    <w:bCs/>
                    <w:spacing w:val="-12"/>
                  </w:rPr>
                </w:pPr>
                <w:r>
                  <w:rPr>
                    <w:rFonts w:ascii="Times New Roman" w:hAnsi="Times New Roman"/>
                    <w:spacing w:val="-18"/>
                  </w:rPr>
                  <w:t>NO</w:t>
                </w:r>
                <w:r>
                  <w:rPr>
                    <w:rFonts w:ascii="Times New Roman" w:hAnsi="Times New Roman"/>
                    <w:spacing w:val="-18"/>
                    <w:vertAlign w:val="subscript"/>
                  </w:rPr>
                  <w:t>X</w:t>
                </w:r>
                <w:r>
                  <w:rPr>
                    <w:rFonts w:hint="eastAsia" w:ascii="Times New Roman" w:hAnsi="Times New Roman"/>
                    <w:spacing w:val="-18"/>
                  </w:rPr>
                  <w:t>：</w:t>
                </w:r>
                <w:r>
                  <w:rPr>
                    <w:rFonts w:ascii="Times New Roman" w:hAnsi="Times New Roman"/>
                    <w:spacing w:val="-18"/>
                  </w:rPr>
                  <w:t>92.1吨</w:t>
                </w:r>
              </w:p>
            </w:tc>
            <w:tc>
              <w:tcPr>
                <w:tcW w:w="1650" w:type="dxa"/>
                <w:vAlign w:val="center"/>
              </w:tcPr>
              <w:p>
                <w:pPr>
                  <w:widowControl/>
                  <w:rPr>
                    <w:rFonts w:ascii="Times New Roman" w:hAnsi="Times New Roman"/>
                    <w:bCs/>
                    <w:spacing w:val="-18"/>
                  </w:rPr>
                </w:pPr>
                <w:r>
                  <w:rPr>
                    <w:rFonts w:hint="eastAsia" w:ascii="Times New Roman" w:hAnsi="Times New Roman"/>
                    <w:spacing w:val="-18"/>
                  </w:rPr>
                  <w:t>颗粒物：</w:t>
                </w:r>
                <w:r>
                  <w:rPr>
                    <w:rFonts w:ascii="Times New Roman" w:hAnsi="Times New Roman"/>
                    <w:spacing w:val="-18"/>
                  </w:rPr>
                  <w:t>2.5</w:t>
                </w:r>
                <w:r>
                  <w:rPr>
                    <w:rFonts w:hint="eastAsia" w:ascii="Times New Roman" w:hAnsi="Times New Roman"/>
                    <w:spacing w:val="-18"/>
                  </w:rPr>
                  <w:t>吨</w:t>
                </w:r>
              </w:p>
              <w:p>
                <w:pPr>
                  <w:widowControl/>
                  <w:rPr>
                    <w:rFonts w:ascii="Times New Roman" w:hAnsi="Times New Roman"/>
                    <w:bCs/>
                    <w:spacing w:val="-18"/>
                  </w:rPr>
                </w:pPr>
                <w:r>
                  <w:rPr>
                    <w:rFonts w:hint="eastAsia" w:ascii="Times New Roman" w:hAnsi="Times New Roman"/>
                    <w:spacing w:val="-18"/>
                  </w:rPr>
                  <w:t>SO</w:t>
                </w:r>
                <w:r>
                  <w:rPr>
                    <w:rFonts w:hint="eastAsia" w:ascii="Times New Roman" w:hAnsi="Times New Roman"/>
                    <w:spacing w:val="-18"/>
                    <w:vertAlign w:val="subscript"/>
                  </w:rPr>
                  <w:t>2</w:t>
                </w:r>
                <w:r>
                  <w:rPr>
                    <w:rFonts w:hint="eastAsia" w:ascii="Times New Roman" w:hAnsi="Times New Roman"/>
                    <w:spacing w:val="-18"/>
                  </w:rPr>
                  <w:t>：</w:t>
                </w:r>
                <w:r>
                  <w:rPr>
                    <w:rFonts w:ascii="Times New Roman" w:hAnsi="Times New Roman"/>
                    <w:spacing w:val="-18"/>
                  </w:rPr>
                  <w:t>41.1吨</w:t>
                </w:r>
              </w:p>
              <w:p>
                <w:pPr>
                  <w:widowControl/>
                  <w:rPr>
                    <w:rFonts w:ascii="Times New Roman" w:hAnsi="Times New Roman"/>
                    <w:bCs/>
                    <w:spacing w:val="-12"/>
                  </w:rPr>
                </w:pPr>
                <w:r>
                  <w:rPr>
                    <w:rFonts w:ascii="Times New Roman" w:hAnsi="Times New Roman"/>
                    <w:spacing w:val="-18"/>
                  </w:rPr>
                  <w:t>NO</w:t>
                </w:r>
                <w:r>
                  <w:rPr>
                    <w:rFonts w:ascii="Times New Roman" w:hAnsi="Times New Roman"/>
                    <w:spacing w:val="-18"/>
                    <w:vertAlign w:val="subscript"/>
                  </w:rPr>
                  <w:t>X</w:t>
                </w:r>
                <w:r>
                  <w:rPr>
                    <w:rFonts w:hint="eastAsia" w:ascii="Times New Roman" w:hAnsi="Times New Roman"/>
                    <w:spacing w:val="-18"/>
                  </w:rPr>
                  <w:t>：</w:t>
                </w:r>
                <w:r>
                  <w:rPr>
                    <w:rFonts w:ascii="Times New Roman" w:hAnsi="Times New Roman"/>
                    <w:spacing w:val="-18"/>
                  </w:rPr>
                  <w:t>42.6吨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43"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5</w:t>
                </w:r>
              </w:p>
            </w:tc>
            <w:tc>
              <w:tcPr>
                <w:tcW w:w="1145" w:type="dxa"/>
                <w:vAlign w:val="center"/>
              </w:tcPr>
              <w:p>
                <w:pPr>
                  <w:rPr>
                    <w:rFonts w:ascii="Times New Roman" w:hAnsi="Times New Roman"/>
                    <w:bCs/>
                  </w:rPr>
                </w:pPr>
                <w:r>
                  <w:rPr>
                    <w:rFonts w:hint="eastAsia" w:ascii="Times New Roman" w:hAnsi="Times New Roman"/>
                  </w:rPr>
                  <w:t>营盘壕煤矿</w:t>
                </w:r>
              </w:p>
            </w:tc>
            <w:tc>
              <w:tcPr>
                <w:tcW w:w="920" w:type="dxa"/>
                <w:vMerge w:val="continue"/>
                <w:vAlign w:val="center"/>
              </w:tcPr>
              <w:p>
                <w:pPr>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rPr>
                    <w:rFonts w:ascii="Times New Roman" w:hAnsi="Times New Roman"/>
                    <w:bCs/>
                  </w:rPr>
                </w:pPr>
              </w:p>
            </w:tc>
            <w:tc>
              <w:tcPr>
                <w:tcW w:w="3151" w:type="dxa"/>
                <w:vAlign w:val="center"/>
              </w:tcPr>
              <w:p>
                <w:pPr>
                  <w:rPr>
                    <w:rFonts w:ascii="Times New Roman" w:hAnsi="Times New Roman"/>
                    <w:bCs/>
                  </w:rPr>
                </w:pPr>
                <w:r>
                  <w:rPr>
                    <w:rFonts w:hint="eastAsia" w:ascii="Times New Roman" w:hAnsi="Times New Roman"/>
                  </w:rPr>
                  <w:t>《锅炉大气污染物排放标准》（G</w:t>
                </w:r>
                <w:r>
                  <w:rPr>
                    <w:rFonts w:ascii="Times New Roman" w:hAnsi="Times New Roman"/>
                  </w:rPr>
                  <w:t>B13271-2014</w:t>
                </w:r>
                <w:r>
                  <w:rPr>
                    <w:rFonts w:hint="eastAsia" w:ascii="Times New Roman" w:hAnsi="Times New Roman"/>
                  </w:rPr>
                  <w:t>）</w:t>
                </w:r>
              </w:p>
            </w:tc>
            <w:tc>
              <w:tcPr>
                <w:tcW w:w="1731" w:type="dxa"/>
                <w:vAlign w:val="center"/>
              </w:tcPr>
              <w:p>
                <w:pPr>
                  <w:widowControl/>
                  <w:rPr>
                    <w:rFonts w:ascii="Times New Roman" w:hAnsi="Times New Roman"/>
                    <w:bCs/>
                    <w:spacing w:val="-18"/>
                  </w:rPr>
                </w:pPr>
                <w:r>
                  <w:rPr>
                    <w:rFonts w:hint="eastAsia" w:ascii="Times New Roman" w:hAnsi="Times New Roman"/>
                    <w:spacing w:val="-18"/>
                  </w:rPr>
                  <w:t>颗粒物：</w:t>
                </w:r>
                <w:r>
                  <w:rPr>
                    <w:rFonts w:ascii="Times New Roman" w:hAnsi="Times New Roman"/>
                    <w:spacing w:val="-18"/>
                  </w:rPr>
                  <w:t>21.99</w:t>
                </w:r>
                <w:r>
                  <w:rPr>
                    <w:rFonts w:hint="eastAsia" w:ascii="Times New Roman" w:hAnsi="Times New Roman"/>
                    <w:spacing w:val="-18"/>
                  </w:rPr>
                  <w:t>吨</w:t>
                </w:r>
              </w:p>
              <w:p>
                <w:pPr>
                  <w:widowControl/>
                  <w:rPr>
                    <w:rFonts w:ascii="Times New Roman" w:hAnsi="Times New Roman"/>
                    <w:bCs/>
                    <w:spacing w:val="-18"/>
                  </w:rPr>
                </w:pPr>
                <w:r>
                  <w:rPr>
                    <w:rFonts w:hint="eastAsia" w:ascii="Times New Roman" w:hAnsi="Times New Roman"/>
                    <w:spacing w:val="-18"/>
                  </w:rPr>
                  <w:t>SO</w:t>
                </w:r>
                <w:r>
                  <w:rPr>
                    <w:rFonts w:hint="eastAsia" w:ascii="Times New Roman" w:hAnsi="Times New Roman"/>
                    <w:spacing w:val="-18"/>
                    <w:vertAlign w:val="subscript"/>
                  </w:rPr>
                  <w:t>2</w:t>
                </w:r>
                <w:r>
                  <w:rPr>
                    <w:rFonts w:hint="eastAsia" w:ascii="Times New Roman" w:hAnsi="Times New Roman"/>
                    <w:spacing w:val="-18"/>
                  </w:rPr>
                  <w:t>：</w:t>
                </w:r>
                <w:r>
                  <w:rPr>
                    <w:rFonts w:ascii="Times New Roman" w:hAnsi="Times New Roman"/>
                    <w:spacing w:val="-18"/>
                  </w:rPr>
                  <w:t>96.2吨</w:t>
                </w:r>
              </w:p>
              <w:p>
                <w:pPr>
                  <w:widowControl/>
                  <w:rPr>
                    <w:rFonts w:ascii="Times New Roman" w:hAnsi="Times New Roman"/>
                    <w:bCs/>
                    <w:spacing w:val="-12"/>
                  </w:rPr>
                </w:pPr>
                <w:r>
                  <w:rPr>
                    <w:rFonts w:ascii="Times New Roman" w:hAnsi="Times New Roman"/>
                    <w:spacing w:val="-18"/>
                  </w:rPr>
                  <w:t>NO</w:t>
                </w:r>
                <w:r>
                  <w:rPr>
                    <w:rFonts w:ascii="Times New Roman" w:hAnsi="Times New Roman"/>
                    <w:spacing w:val="-18"/>
                    <w:vertAlign w:val="subscript"/>
                  </w:rPr>
                  <w:t>X</w:t>
                </w:r>
                <w:r>
                  <w:rPr>
                    <w:rFonts w:hint="eastAsia" w:ascii="Times New Roman" w:hAnsi="Times New Roman"/>
                    <w:spacing w:val="-18"/>
                  </w:rPr>
                  <w:t>：</w:t>
                </w:r>
                <w:r>
                  <w:rPr>
                    <w:rFonts w:ascii="Times New Roman" w:hAnsi="Times New Roman"/>
                    <w:spacing w:val="-18"/>
                  </w:rPr>
                  <w:t>131.3吨</w:t>
                </w:r>
              </w:p>
            </w:tc>
            <w:tc>
              <w:tcPr>
                <w:tcW w:w="1650" w:type="dxa"/>
                <w:vAlign w:val="center"/>
              </w:tcPr>
              <w:p>
                <w:pPr>
                  <w:widowControl/>
                  <w:rPr>
                    <w:rFonts w:ascii="Times New Roman" w:hAnsi="Times New Roman"/>
                    <w:bCs/>
                    <w:spacing w:val="-18"/>
                  </w:rPr>
                </w:pPr>
                <w:r>
                  <w:rPr>
                    <w:rFonts w:hint="eastAsia" w:ascii="Times New Roman" w:hAnsi="Times New Roman"/>
                    <w:spacing w:val="-18"/>
                  </w:rPr>
                  <w:t>颗粒物：</w:t>
                </w:r>
                <w:r>
                  <w:rPr>
                    <w:rFonts w:ascii="Times New Roman" w:hAnsi="Times New Roman"/>
                    <w:spacing w:val="-18"/>
                  </w:rPr>
                  <w:t>0.5</w:t>
                </w:r>
                <w:r>
                  <w:rPr>
                    <w:rFonts w:hint="eastAsia" w:ascii="Times New Roman" w:hAnsi="Times New Roman"/>
                    <w:spacing w:val="-18"/>
                  </w:rPr>
                  <w:t>吨</w:t>
                </w:r>
              </w:p>
              <w:p>
                <w:pPr>
                  <w:widowControl/>
                  <w:rPr>
                    <w:rFonts w:ascii="Times New Roman" w:hAnsi="Times New Roman"/>
                    <w:bCs/>
                    <w:spacing w:val="-18"/>
                  </w:rPr>
                </w:pPr>
                <w:r>
                  <w:rPr>
                    <w:rFonts w:hint="eastAsia" w:ascii="Times New Roman" w:hAnsi="Times New Roman"/>
                    <w:spacing w:val="-18"/>
                  </w:rPr>
                  <w:t>SO</w:t>
                </w:r>
                <w:r>
                  <w:rPr>
                    <w:rFonts w:hint="eastAsia" w:ascii="Times New Roman" w:hAnsi="Times New Roman"/>
                    <w:spacing w:val="-18"/>
                    <w:vertAlign w:val="subscript"/>
                  </w:rPr>
                  <w:t>2</w:t>
                </w:r>
                <w:r>
                  <w:rPr>
                    <w:rFonts w:hint="eastAsia" w:ascii="Times New Roman" w:hAnsi="Times New Roman"/>
                    <w:spacing w:val="-18"/>
                  </w:rPr>
                  <w:t>：</w:t>
                </w:r>
                <w:r>
                  <w:rPr>
                    <w:rFonts w:ascii="Times New Roman" w:hAnsi="Times New Roman"/>
                    <w:spacing w:val="-18"/>
                  </w:rPr>
                  <w:t>59.3吨</w:t>
                </w:r>
              </w:p>
              <w:p>
                <w:pPr>
                  <w:widowControl/>
                  <w:rPr>
                    <w:rFonts w:ascii="Times New Roman" w:hAnsi="Times New Roman"/>
                    <w:bCs/>
                    <w:spacing w:val="-12"/>
                  </w:rPr>
                </w:pPr>
                <w:r>
                  <w:rPr>
                    <w:rFonts w:ascii="Times New Roman" w:hAnsi="Times New Roman"/>
                    <w:spacing w:val="-18"/>
                  </w:rPr>
                  <w:t>NO</w:t>
                </w:r>
                <w:r>
                  <w:rPr>
                    <w:rFonts w:ascii="Times New Roman" w:hAnsi="Times New Roman"/>
                    <w:spacing w:val="-18"/>
                    <w:vertAlign w:val="subscript"/>
                  </w:rPr>
                  <w:t>X</w:t>
                </w:r>
                <w:r>
                  <w:rPr>
                    <w:rFonts w:hint="eastAsia" w:ascii="Times New Roman" w:hAnsi="Times New Roman"/>
                    <w:spacing w:val="-18"/>
                  </w:rPr>
                  <w:t>：</w:t>
                </w:r>
                <w:r>
                  <w:rPr>
                    <w:rFonts w:ascii="Times New Roman" w:hAnsi="Times New Roman"/>
                    <w:spacing w:val="-18"/>
                  </w:rPr>
                  <w:t>31.6吨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43"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6</w:t>
                </w:r>
              </w:p>
            </w:tc>
            <w:tc>
              <w:tcPr>
                <w:tcW w:w="1145" w:type="dxa"/>
                <w:vAlign w:val="center"/>
              </w:tcPr>
              <w:p>
                <w:pPr>
                  <w:rPr>
                    <w:rFonts w:ascii="Times New Roman" w:hAnsi="Times New Roman"/>
                    <w:bCs/>
                  </w:rPr>
                </w:pPr>
                <w:r>
                  <w:rPr>
                    <w:rFonts w:hint="eastAsia" w:ascii="Times New Roman" w:hAnsi="Times New Roman"/>
                  </w:rPr>
                  <w:t>赵楼电厂</w:t>
                </w:r>
              </w:p>
            </w:tc>
            <w:tc>
              <w:tcPr>
                <w:tcW w:w="920" w:type="dxa"/>
                <w:vMerge w:val="continue"/>
                <w:vAlign w:val="center"/>
              </w:tcPr>
              <w:p>
                <w:pPr>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restart"/>
                <w:vAlign w:val="center"/>
              </w:tcPr>
              <w:p>
                <w:pPr>
                  <w:rPr>
                    <w:rFonts w:ascii="Times New Roman" w:hAnsi="Times New Roman"/>
                    <w:bCs/>
                  </w:rPr>
                </w:pPr>
                <w:r>
                  <w:rPr>
                    <w:rFonts w:hint="eastAsia" w:ascii="Times New Roman" w:hAnsi="Times New Roman"/>
                  </w:rPr>
                  <w:t>烟气经净化处理后排放</w:t>
                </w:r>
              </w:p>
            </w:tc>
            <w:tc>
              <w:tcPr>
                <w:tcW w:w="3151" w:type="dxa"/>
                <w:vMerge w:val="restart"/>
                <w:vAlign w:val="center"/>
              </w:tcPr>
              <w:p>
                <w:pPr>
                  <w:rPr>
                    <w:rFonts w:ascii="Times New Roman" w:hAnsi="Times New Roman"/>
                    <w:bCs/>
                  </w:rPr>
                </w:pPr>
                <w:r>
                  <w:rPr>
                    <w:rFonts w:hint="eastAsia" w:ascii="Times New Roman" w:hAnsi="Times New Roman"/>
                  </w:rPr>
                  <w:t>山东省《火电厂大气污染物排放标准》（D</w:t>
                </w:r>
                <w:r>
                  <w:rPr>
                    <w:rFonts w:ascii="Times New Roman" w:hAnsi="Times New Roman"/>
                  </w:rPr>
                  <w:t>B37/664-2019</w:t>
                </w:r>
                <w:r>
                  <w:rPr>
                    <w:rFonts w:hint="eastAsia" w:ascii="Times New Roman" w:hAnsi="Times New Roman"/>
                  </w:rPr>
                  <w:t>）</w:t>
                </w:r>
              </w:p>
            </w:tc>
            <w:tc>
              <w:tcPr>
                <w:tcW w:w="1731" w:type="dxa"/>
                <w:vAlign w:val="center"/>
              </w:tcPr>
              <w:p>
                <w:pPr>
                  <w:widowControl/>
                  <w:rPr>
                    <w:rFonts w:ascii="Times New Roman" w:hAnsi="Times New Roman"/>
                    <w:bCs/>
                    <w:spacing w:val="-20"/>
                  </w:rPr>
                </w:pPr>
                <w:r>
                  <w:rPr>
                    <w:rFonts w:hint="eastAsia" w:ascii="Times New Roman" w:hAnsi="Times New Roman"/>
                    <w:spacing w:val="-20"/>
                  </w:rPr>
                  <w:t>颗粒物：</w:t>
                </w:r>
                <w:r>
                  <w:rPr>
                    <w:rFonts w:ascii="Times New Roman" w:hAnsi="Times New Roman"/>
                    <w:spacing w:val="-20"/>
                  </w:rPr>
                  <w:t>34.6吨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242.4吨</w:t>
                </w:r>
              </w:p>
              <w:p>
                <w:pPr>
                  <w:rPr>
                    <w:rFonts w:ascii="Times New Roman" w:hAnsi="Times New Roman"/>
                    <w:bCs/>
                    <w:spacing w:val="-12"/>
                  </w:rPr>
                </w:pPr>
                <w:r>
                  <w:rPr>
                    <w:rFonts w:ascii="Times New Roman" w:hAnsi="Times New Roman"/>
                  </w:rPr>
                  <w:t>NO</w:t>
                </w:r>
                <w:r>
                  <w:rPr>
                    <w:rFonts w:ascii="Times New Roman" w:hAnsi="Times New Roman"/>
                    <w:vertAlign w:val="subscript"/>
                  </w:rPr>
                  <w:t>X</w:t>
                </w:r>
                <w:r>
                  <w:rPr>
                    <w:rFonts w:hint="eastAsia" w:ascii="Times New Roman" w:hAnsi="Times New Roman"/>
                  </w:rPr>
                  <w:t>：</w:t>
                </w:r>
                <w:r>
                  <w:rPr>
                    <w:rFonts w:ascii="Times New Roman" w:hAnsi="Times New Roman"/>
                  </w:rPr>
                  <w:t>346.3吨</w:t>
                </w:r>
              </w:p>
            </w:tc>
            <w:tc>
              <w:tcPr>
                <w:tcW w:w="1650" w:type="dxa"/>
                <w:vAlign w:val="center"/>
              </w:tcPr>
              <w:p>
                <w:pPr>
                  <w:widowControl/>
                  <w:rPr>
                    <w:rFonts w:ascii="Times New Roman" w:hAnsi="Times New Roman"/>
                    <w:bCs/>
                    <w:spacing w:val="-12"/>
                  </w:rPr>
                </w:pPr>
                <w:r>
                  <w:rPr>
                    <w:rFonts w:hint="eastAsia" w:ascii="Times New Roman" w:hAnsi="Times New Roman"/>
                    <w:spacing w:val="-12"/>
                  </w:rPr>
                  <w:t>颗粒物：</w:t>
                </w:r>
                <w:r>
                  <w:rPr>
                    <w:rFonts w:ascii="Times New Roman" w:hAnsi="Times New Roman"/>
                    <w:spacing w:val="-12"/>
                  </w:rPr>
                  <w:t>11.8吨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44.2吨</w:t>
                </w:r>
              </w:p>
              <w:p>
                <w:pPr>
                  <w:rPr>
                    <w:rFonts w:ascii="Times New Roman" w:hAnsi="Times New Roman"/>
                    <w:bCs/>
                    <w:spacing w:val="-12"/>
                  </w:rPr>
                </w:pPr>
                <w:r>
                  <w:rPr>
                    <w:rFonts w:ascii="Times New Roman" w:hAnsi="Times New Roman"/>
                  </w:rPr>
                  <w:t>NO</w:t>
                </w:r>
                <w:r>
                  <w:rPr>
                    <w:rFonts w:ascii="Times New Roman" w:hAnsi="Times New Roman"/>
                    <w:vertAlign w:val="subscript"/>
                  </w:rPr>
                  <w:t>X</w:t>
                </w:r>
                <w:r>
                  <w:rPr>
                    <w:rFonts w:hint="eastAsia" w:ascii="Times New Roman" w:hAnsi="Times New Roman"/>
                  </w:rPr>
                  <w:t>：</w:t>
                </w:r>
                <w:r>
                  <w:rPr>
                    <w:rFonts w:ascii="Times New Roman" w:hAnsi="Times New Roman"/>
                  </w:rPr>
                  <w:t>177.0吨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43"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7</w:t>
                </w:r>
              </w:p>
            </w:tc>
            <w:tc>
              <w:tcPr>
                <w:tcW w:w="1145" w:type="dxa"/>
                <w:vAlign w:val="center"/>
              </w:tcPr>
              <w:p>
                <w:pPr>
                  <w:rPr>
                    <w:rFonts w:ascii="Times New Roman" w:hAnsi="Times New Roman"/>
                    <w:bCs/>
                  </w:rPr>
                </w:pPr>
                <w:r>
                  <w:rPr>
                    <w:rFonts w:hint="eastAsia" w:ascii="Times New Roman" w:hAnsi="Times New Roman"/>
                  </w:rPr>
                  <w:t>济三电力</w:t>
                </w:r>
              </w:p>
            </w:tc>
            <w:tc>
              <w:tcPr>
                <w:tcW w:w="920" w:type="dxa"/>
                <w:vMerge w:val="continue"/>
                <w:vAlign w:val="center"/>
              </w:tcPr>
              <w:p>
                <w:pPr>
                  <w:rPr>
                    <w:rFonts w:ascii="Times New Roman" w:hAnsi="Times New Roman"/>
                    <w:bCs/>
                  </w:rPr>
                </w:pPr>
              </w:p>
            </w:tc>
            <w:tc>
              <w:tcPr>
                <w:tcW w:w="950" w:type="dxa"/>
                <w:vMerge w:val="continue"/>
                <w:vAlign w:val="center"/>
              </w:tcPr>
              <w:p>
                <w:pPr>
                  <w:jc w:val="center"/>
                  <w:rPr>
                    <w:rFonts w:ascii="Times New Roman" w:hAnsi="Times New Roman"/>
                    <w:bCs/>
                  </w:rPr>
                </w:pPr>
              </w:p>
            </w:tc>
            <w:tc>
              <w:tcPr>
                <w:tcW w:w="833" w:type="dxa"/>
                <w:vMerge w:val="continue"/>
                <w:vAlign w:val="center"/>
              </w:tcPr>
              <w:p>
                <w:pPr>
                  <w:rPr>
                    <w:rFonts w:ascii="Times New Roman" w:hAnsi="Times New Roman"/>
                    <w:bCs/>
                  </w:rPr>
                </w:pPr>
              </w:p>
            </w:tc>
            <w:tc>
              <w:tcPr>
                <w:tcW w:w="3151" w:type="dxa"/>
                <w:vMerge w:val="continue"/>
              </w:tcPr>
              <w:p>
                <w:pPr>
                  <w:rPr>
                    <w:rFonts w:ascii="Times New Roman" w:hAnsi="Times New Roman"/>
                    <w:bCs/>
                  </w:rPr>
                </w:pPr>
              </w:p>
            </w:tc>
            <w:tc>
              <w:tcPr>
                <w:tcW w:w="1731" w:type="dxa"/>
                <w:vAlign w:val="center"/>
              </w:tcPr>
              <w:p>
                <w:pPr>
                  <w:widowControl/>
                  <w:rPr>
                    <w:rFonts w:ascii="Times New Roman" w:hAnsi="Times New Roman"/>
                    <w:bCs/>
                    <w:spacing w:val="-20"/>
                  </w:rPr>
                </w:pPr>
                <w:r>
                  <w:rPr>
                    <w:rFonts w:hint="eastAsia" w:ascii="Times New Roman" w:hAnsi="Times New Roman"/>
                    <w:spacing w:val="-20"/>
                  </w:rPr>
                  <w:t>颗粒物：3</w:t>
                </w:r>
                <w:r>
                  <w:rPr>
                    <w:rFonts w:ascii="Times New Roman" w:hAnsi="Times New Roman"/>
                    <w:spacing w:val="-20"/>
                  </w:rPr>
                  <w:t>3.0吨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227.0吨</w:t>
                </w:r>
              </w:p>
              <w:p>
                <w:pPr>
                  <w:rPr>
                    <w:rFonts w:ascii="Times New Roman" w:hAnsi="Times New Roman"/>
                    <w:bCs/>
                    <w:spacing w:val="-12"/>
                  </w:rPr>
                </w:pPr>
                <w:r>
                  <w:rPr>
                    <w:rFonts w:ascii="Times New Roman" w:hAnsi="Times New Roman"/>
                  </w:rPr>
                  <w:t>NO</w:t>
                </w:r>
                <w:r>
                  <w:rPr>
                    <w:rFonts w:ascii="Times New Roman" w:hAnsi="Times New Roman"/>
                    <w:vertAlign w:val="subscript"/>
                  </w:rPr>
                  <w:t>X</w:t>
                </w:r>
                <w:r>
                  <w:rPr>
                    <w:rFonts w:hint="eastAsia" w:ascii="Times New Roman" w:hAnsi="Times New Roman"/>
                  </w:rPr>
                  <w:t>：319</w:t>
                </w:r>
                <w:r>
                  <w:rPr>
                    <w:rFonts w:ascii="Times New Roman" w:hAnsi="Times New Roman"/>
                  </w:rPr>
                  <w:t>.0吨</w:t>
                </w:r>
              </w:p>
            </w:tc>
            <w:tc>
              <w:tcPr>
                <w:tcW w:w="1650" w:type="dxa"/>
                <w:vAlign w:val="center"/>
              </w:tcPr>
              <w:p>
                <w:pPr>
                  <w:widowControl/>
                  <w:rPr>
                    <w:rFonts w:ascii="Times New Roman" w:hAnsi="Times New Roman"/>
                    <w:bCs/>
                    <w:spacing w:val="-12"/>
                  </w:rPr>
                </w:pPr>
                <w:r>
                  <w:rPr>
                    <w:rFonts w:hint="eastAsia" w:ascii="Times New Roman" w:hAnsi="Times New Roman"/>
                    <w:spacing w:val="-12"/>
                  </w:rPr>
                  <w:t>颗粒物：</w:t>
                </w:r>
                <w:r>
                  <w:rPr>
                    <w:rFonts w:ascii="Times New Roman" w:hAnsi="Times New Roman"/>
                    <w:spacing w:val="-12"/>
                  </w:rPr>
                  <w:t>10.2吨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57.8吨</w:t>
                </w:r>
              </w:p>
              <w:p>
                <w:pPr>
                  <w:rPr>
                    <w:rFonts w:ascii="Times New Roman" w:hAnsi="Times New Roman"/>
                    <w:bCs/>
                    <w:spacing w:val="-12"/>
                  </w:rPr>
                </w:pPr>
                <w:r>
                  <w:rPr>
                    <w:rFonts w:ascii="Times New Roman" w:hAnsi="Times New Roman"/>
                  </w:rPr>
                  <w:t>NO</w:t>
                </w:r>
                <w:r>
                  <w:rPr>
                    <w:rFonts w:ascii="Times New Roman" w:hAnsi="Times New Roman"/>
                    <w:vertAlign w:val="subscript"/>
                  </w:rPr>
                  <w:t>X</w:t>
                </w:r>
                <w:r>
                  <w:rPr>
                    <w:rFonts w:hint="eastAsia" w:ascii="Times New Roman" w:hAnsi="Times New Roman"/>
                  </w:rPr>
                  <w:t>：</w:t>
                </w:r>
                <w:r>
                  <w:rPr>
                    <w:rFonts w:ascii="Times New Roman" w:hAnsi="Times New Roman"/>
                  </w:rPr>
                  <w:t>315.0吨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43"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8</w:t>
                </w:r>
              </w:p>
            </w:tc>
            <w:tc>
              <w:tcPr>
                <w:tcW w:w="1145" w:type="dxa"/>
                <w:vAlign w:val="center"/>
              </w:tcPr>
              <w:p>
                <w:pPr>
                  <w:rPr>
                    <w:rFonts w:ascii="Times New Roman" w:hAnsi="Times New Roman"/>
                    <w:bCs/>
                  </w:rPr>
                </w:pPr>
                <w:r>
                  <w:rPr>
                    <w:rFonts w:hint="eastAsia" w:ascii="Times New Roman" w:hAnsi="Times New Roman"/>
                  </w:rPr>
                  <w:t>内蒙古矿业宏大实业兴和热电</w:t>
                </w:r>
              </w:p>
            </w:tc>
            <w:tc>
              <w:tcPr>
                <w:tcW w:w="920" w:type="dxa"/>
                <w:vMerge w:val="continue"/>
                <w:vAlign w:val="center"/>
              </w:tcPr>
              <w:p>
                <w:pPr>
                  <w:rPr>
                    <w:rFonts w:ascii="Times New Roman" w:hAnsi="Times New Roman"/>
                    <w:bCs/>
                    <w:highlight w:val="yellow"/>
                  </w:rPr>
                </w:pPr>
              </w:p>
            </w:tc>
            <w:tc>
              <w:tcPr>
                <w:tcW w:w="950" w:type="dxa"/>
                <w:vMerge w:val="continue"/>
                <w:vAlign w:val="center"/>
              </w:tcPr>
              <w:p>
                <w:pPr>
                  <w:jc w:val="center"/>
                  <w:rPr>
                    <w:rFonts w:ascii="Times New Roman" w:hAnsi="Times New Roman"/>
                    <w:bCs/>
                    <w:highlight w:val="yellow"/>
                  </w:rPr>
                </w:pPr>
              </w:p>
            </w:tc>
            <w:tc>
              <w:tcPr>
                <w:tcW w:w="833" w:type="dxa"/>
                <w:vMerge w:val="continue"/>
                <w:vAlign w:val="center"/>
              </w:tcPr>
              <w:p>
                <w:pPr>
                  <w:rPr>
                    <w:rFonts w:ascii="Times New Roman" w:hAnsi="Times New Roman"/>
                    <w:bCs/>
                    <w:highlight w:val="yellow"/>
                  </w:rPr>
                </w:pPr>
              </w:p>
            </w:tc>
            <w:tc>
              <w:tcPr>
                <w:tcW w:w="3151" w:type="dxa"/>
                <w:vAlign w:val="center"/>
              </w:tcPr>
              <w:p>
                <w:pPr>
                  <w:rPr>
                    <w:rFonts w:ascii="Times New Roman" w:hAnsi="Times New Roman"/>
                    <w:bCs/>
                  </w:rPr>
                </w:pPr>
                <w:r>
                  <w:rPr>
                    <w:rFonts w:hint="eastAsia" w:ascii="Times New Roman" w:hAnsi="Times New Roman"/>
                    <w:spacing w:val="-4"/>
                  </w:rPr>
                  <w:t>《火电厂大气污染物排放标准》（</w:t>
                </w:r>
                <w:r>
                  <w:rPr>
                    <w:rFonts w:ascii="Times New Roman" w:hAnsi="Times New Roman"/>
                    <w:spacing w:val="-4"/>
                  </w:rPr>
                  <w:t>GB13223-2011）</w:t>
                </w:r>
              </w:p>
            </w:tc>
            <w:tc>
              <w:tcPr>
                <w:tcW w:w="1731" w:type="dxa"/>
                <w:vAlign w:val="center"/>
              </w:tcPr>
              <w:p>
                <w:pPr>
                  <w:widowControl/>
                  <w:rPr>
                    <w:rFonts w:ascii="Times New Roman" w:hAnsi="Times New Roman"/>
                    <w:bCs/>
                    <w:spacing w:val="-18"/>
                  </w:rPr>
                </w:pPr>
                <w:r>
                  <w:rPr>
                    <w:rFonts w:ascii="Times New Roman" w:hAnsi="Times New Roman"/>
                    <w:spacing w:val="-18"/>
                  </w:rPr>
                  <w:t>颗粒物：374吨</w:t>
                </w:r>
              </w:p>
              <w:p>
                <w:pPr>
                  <w:rPr>
                    <w:rFonts w:ascii="Times New Roman" w:hAnsi="Times New Roman"/>
                    <w:bCs/>
                    <w:spacing w:val="-18"/>
                  </w:rPr>
                </w:pPr>
                <w:r>
                  <w:rPr>
                    <w:rFonts w:hint="eastAsia" w:ascii="Times New Roman" w:hAnsi="Times New Roman"/>
                    <w:spacing w:val="-18"/>
                  </w:rPr>
                  <w:t>SO</w:t>
                </w:r>
                <w:r>
                  <w:rPr>
                    <w:rFonts w:hint="eastAsia" w:ascii="Times New Roman" w:hAnsi="Times New Roman"/>
                    <w:spacing w:val="-18"/>
                    <w:vertAlign w:val="subscript"/>
                  </w:rPr>
                  <w:t>2</w:t>
                </w:r>
                <w:r>
                  <w:rPr>
                    <w:rFonts w:ascii="Times New Roman" w:hAnsi="Times New Roman"/>
                    <w:spacing w:val="-18"/>
                  </w:rPr>
                  <w:t>：1</w:t>
                </w:r>
                <w:r>
                  <w:rPr>
                    <w:rFonts w:hint="eastAsia" w:ascii="Times New Roman" w:hAnsi="Times New Roman"/>
                    <w:spacing w:val="-18"/>
                  </w:rPr>
                  <w:t>,</w:t>
                </w:r>
                <w:r>
                  <w:rPr>
                    <w:rFonts w:ascii="Times New Roman" w:hAnsi="Times New Roman"/>
                    <w:spacing w:val="-18"/>
                  </w:rPr>
                  <w:t>522.1吨</w:t>
                </w:r>
              </w:p>
              <w:p>
                <w:pPr>
                  <w:rPr>
                    <w:rFonts w:ascii="Times New Roman" w:hAnsi="Times New Roman"/>
                    <w:bCs/>
                    <w:spacing w:val="-12"/>
                  </w:rPr>
                </w:pPr>
                <w:r>
                  <w:rPr>
                    <w:rFonts w:ascii="Times New Roman" w:hAnsi="Times New Roman"/>
                    <w:spacing w:val="-18"/>
                  </w:rPr>
                  <w:t>NO</w:t>
                </w:r>
                <w:r>
                  <w:rPr>
                    <w:rFonts w:ascii="Times New Roman" w:hAnsi="Times New Roman"/>
                    <w:spacing w:val="-18"/>
                    <w:vertAlign w:val="subscript"/>
                  </w:rPr>
                  <w:t>X</w:t>
                </w:r>
                <w:r>
                  <w:rPr>
                    <w:rFonts w:hint="eastAsia" w:ascii="Times New Roman" w:hAnsi="Times New Roman"/>
                    <w:spacing w:val="-18"/>
                  </w:rPr>
                  <w:t>：</w:t>
                </w:r>
                <w:r>
                  <w:rPr>
                    <w:rFonts w:ascii="Times New Roman" w:hAnsi="Times New Roman"/>
                    <w:spacing w:val="-18"/>
                  </w:rPr>
                  <w:t>1</w:t>
                </w:r>
                <w:r>
                  <w:rPr>
                    <w:rFonts w:hint="eastAsia" w:ascii="Times New Roman" w:hAnsi="Times New Roman"/>
                    <w:spacing w:val="-18"/>
                  </w:rPr>
                  <w:t>,</w:t>
                </w:r>
                <w:r>
                  <w:rPr>
                    <w:rFonts w:ascii="Times New Roman" w:hAnsi="Times New Roman"/>
                    <w:spacing w:val="-18"/>
                  </w:rPr>
                  <w:t>522.1吨</w:t>
                </w:r>
              </w:p>
            </w:tc>
            <w:tc>
              <w:tcPr>
                <w:tcW w:w="1650" w:type="dxa"/>
                <w:vAlign w:val="center"/>
              </w:tcPr>
              <w:p>
                <w:pPr>
                  <w:rPr>
                    <w:rFonts w:ascii="Times New Roman" w:hAnsi="Times New Roman"/>
                    <w:bCs/>
                    <w:spacing w:val="-10"/>
                  </w:rPr>
                </w:pPr>
                <w:r>
                  <w:rPr>
                    <w:rFonts w:hint="eastAsia" w:ascii="Times New Roman" w:hAnsi="Times New Roman"/>
                    <w:spacing w:val="-10"/>
                  </w:rPr>
                  <w:t>颗粒物：</w:t>
                </w:r>
                <w:r>
                  <w:rPr>
                    <w:rFonts w:ascii="Times New Roman" w:hAnsi="Times New Roman"/>
                    <w:spacing w:val="-10"/>
                  </w:rPr>
                  <w:t>37.6吨</w:t>
                </w:r>
              </w:p>
              <w:p>
                <w:pPr>
                  <w:rPr>
                    <w:rFonts w:ascii="Times New Roman" w:hAnsi="Times New Roman"/>
                    <w:bCs/>
                    <w:spacing w:val="-10"/>
                  </w:rPr>
                </w:pPr>
                <w:r>
                  <w:rPr>
                    <w:rFonts w:ascii="Times New Roman" w:hAnsi="Times New Roman"/>
                    <w:spacing w:val="-10"/>
                  </w:rPr>
                  <w:t>SO</w:t>
                </w:r>
                <w:r>
                  <w:rPr>
                    <w:rFonts w:ascii="Times New Roman" w:hAnsi="Times New Roman"/>
                    <w:spacing w:val="-10"/>
                    <w:vertAlign w:val="subscript"/>
                  </w:rPr>
                  <w:t>2</w:t>
                </w:r>
                <w:r>
                  <w:rPr>
                    <w:rFonts w:ascii="Times New Roman" w:hAnsi="Times New Roman"/>
                    <w:spacing w:val="-10"/>
                  </w:rPr>
                  <w:t>：155.4吨</w:t>
                </w:r>
              </w:p>
              <w:p>
                <w:pPr>
                  <w:rPr>
                    <w:rFonts w:ascii="Times New Roman" w:hAnsi="Times New Roman"/>
                    <w:bCs/>
                    <w:spacing w:val="-12"/>
                  </w:rPr>
                </w:pPr>
                <w:r>
                  <w:rPr>
                    <w:rFonts w:ascii="Times New Roman" w:hAnsi="Times New Roman"/>
                    <w:spacing w:val="-10"/>
                  </w:rPr>
                  <w:t>NO</w:t>
                </w:r>
                <w:r>
                  <w:rPr>
                    <w:rFonts w:ascii="Times New Roman" w:hAnsi="Times New Roman"/>
                    <w:spacing w:val="-10"/>
                    <w:vertAlign w:val="subscript"/>
                  </w:rPr>
                  <w:t>X</w:t>
                </w:r>
                <w:r>
                  <w:rPr>
                    <w:rFonts w:ascii="Times New Roman" w:hAnsi="Times New Roman"/>
                    <w:spacing w:val="-10"/>
                  </w:rPr>
                  <w:t>：541.7吨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43"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9</w:t>
                </w:r>
              </w:p>
            </w:tc>
            <w:tc>
              <w:tcPr>
                <w:tcW w:w="1145" w:type="dxa"/>
                <w:vAlign w:val="center"/>
              </w:tcPr>
              <w:p>
                <w:pPr>
                  <w:widowControl/>
                  <w:rPr>
                    <w:rFonts w:ascii="Times New Roman" w:hAnsi="Times New Roman"/>
                    <w:bCs/>
                  </w:rPr>
                </w:pPr>
                <w:r>
                  <w:rPr>
                    <w:rFonts w:ascii="Times New Roman" w:hAnsi="Times New Roman"/>
                  </w:rPr>
                  <w:t>榆林能化</w:t>
                </w:r>
              </w:p>
            </w:tc>
            <w:tc>
              <w:tcPr>
                <w:tcW w:w="920" w:type="dxa"/>
                <w:vMerge w:val="restart"/>
                <w:vAlign w:val="center"/>
              </w:tcPr>
              <w:p>
                <w:pPr>
                  <w:jc w:val="center"/>
                  <w:rPr>
                    <w:rFonts w:ascii="Times New Roman" w:hAnsi="Times New Roman"/>
                    <w:bCs/>
                  </w:rPr>
                </w:pPr>
                <w:r>
                  <w:rPr>
                    <w:rFonts w:hint="eastAsia" w:ascii="Times New Roman" w:hAnsi="Times New Roman"/>
                  </w:rPr>
                  <w:t>锅炉烟气</w:t>
                </w:r>
              </w:p>
              <w:p>
                <w:pPr>
                  <w:jc w:val="center"/>
                  <w:rPr>
                    <w:rFonts w:ascii="Times New Roman" w:hAnsi="Times New Roman"/>
                    <w:bCs/>
                  </w:rPr>
                </w:pPr>
                <w:r>
                  <w:rPr>
                    <w:rFonts w:hint="eastAsia" w:ascii="Times New Roman" w:hAnsi="Times New Roman"/>
                  </w:rPr>
                  <w:t>生产废水</w:t>
                </w:r>
              </w:p>
              <w:p>
                <w:pPr>
                  <w:widowControl/>
                  <w:jc w:val="center"/>
                  <w:rPr>
                    <w:rFonts w:ascii="Times New Roman" w:hAnsi="Times New Roman"/>
                    <w:bCs/>
                  </w:rPr>
                </w:pPr>
                <w:r>
                  <w:rPr>
                    <w:rFonts w:hint="eastAsia" w:ascii="Times New Roman" w:hAnsi="Times New Roman"/>
                  </w:rPr>
                  <w:t>生活污水</w:t>
                </w:r>
              </w:p>
            </w:tc>
            <w:tc>
              <w:tcPr>
                <w:tcW w:w="950" w:type="dxa"/>
                <w:vMerge w:val="restart"/>
                <w:vAlign w:val="center"/>
              </w:tcPr>
              <w:p>
                <w:pPr>
                  <w:widowControl/>
                  <w:jc w:val="center"/>
                  <w:rPr>
                    <w:rFonts w:ascii="Times New Roman" w:hAnsi="Times New Roman"/>
                    <w:bCs/>
                  </w:rPr>
                </w:pPr>
                <w:r>
                  <w:rPr>
                    <w:rFonts w:hint="eastAsia" w:ascii="Times New Roman" w:hAnsi="Times New Roman"/>
                  </w:rPr>
                  <w:t>颗粒物SO</w:t>
                </w:r>
                <w:r>
                  <w:rPr>
                    <w:rFonts w:hint="eastAsia" w:ascii="Times New Roman" w:hAnsi="Times New Roman"/>
                    <w:vertAlign w:val="subscript"/>
                  </w:rPr>
                  <w:t>2</w:t>
                </w:r>
              </w:p>
              <w:p>
                <w:pPr>
                  <w:widowControl/>
                  <w:jc w:val="center"/>
                  <w:rPr>
                    <w:rFonts w:ascii="Times New Roman" w:hAnsi="Times New Roman"/>
                    <w:bCs/>
                  </w:rPr>
                </w:pPr>
                <w:r>
                  <w:rPr>
                    <w:rFonts w:ascii="Times New Roman" w:hAnsi="Times New Roman"/>
                  </w:rPr>
                  <w:t>NO</w:t>
                </w:r>
                <w:r>
                  <w:rPr>
                    <w:rFonts w:ascii="Times New Roman" w:hAnsi="Times New Roman"/>
                    <w:vertAlign w:val="subscript"/>
                  </w:rPr>
                  <w:t>X</w:t>
                </w:r>
              </w:p>
              <w:p>
                <w:pPr>
                  <w:widowControl/>
                  <w:jc w:val="center"/>
                  <w:rPr>
                    <w:rFonts w:ascii="Times New Roman" w:hAnsi="Times New Roman"/>
                    <w:bCs/>
                  </w:rPr>
                </w:pPr>
                <w:r>
                  <w:rPr>
                    <w:rFonts w:ascii="Times New Roman" w:hAnsi="Times New Roman"/>
                  </w:rPr>
                  <w:t>COD</w:t>
                </w:r>
              </w:p>
              <w:p>
                <w:pPr>
                  <w:widowControl/>
                  <w:jc w:val="center"/>
                  <w:rPr>
                    <w:rFonts w:ascii="Times New Roman" w:hAnsi="Times New Roman"/>
                    <w:bCs/>
                  </w:rPr>
                </w:pPr>
                <w:r>
                  <w:rPr>
                    <w:rFonts w:ascii="Times New Roman" w:hAnsi="Times New Roman"/>
                  </w:rPr>
                  <w:t>氨氮</w:t>
                </w:r>
              </w:p>
            </w:tc>
            <w:tc>
              <w:tcPr>
                <w:tcW w:w="833" w:type="dxa"/>
                <w:vMerge w:val="restart"/>
                <w:vAlign w:val="center"/>
              </w:tcPr>
              <w:p>
                <w:pPr>
                  <w:widowControl/>
                  <w:rPr>
                    <w:rFonts w:ascii="Times New Roman" w:hAnsi="Times New Roman"/>
                    <w:bCs/>
                  </w:rPr>
                </w:pPr>
                <w:r>
                  <w:rPr>
                    <w:rFonts w:hint="eastAsia" w:ascii="Times New Roman" w:hAnsi="Times New Roman"/>
                  </w:rPr>
                  <w:t>烟气经净化处理后排放；污水经处理后重复利用，剩余外排</w:t>
                </w:r>
              </w:p>
            </w:tc>
            <w:tc>
              <w:tcPr>
                <w:tcW w:w="3151" w:type="dxa"/>
                <w:vAlign w:val="center"/>
              </w:tcPr>
              <w:p>
                <w:pPr>
                  <w:rPr>
                    <w:rFonts w:ascii="Times New Roman" w:hAnsi="Times New Roman"/>
                    <w:bCs/>
                    <w:spacing w:val="-20"/>
                  </w:rPr>
                </w:pPr>
                <w:r>
                  <w:rPr>
                    <w:rFonts w:hint="eastAsia" w:ascii="Times New Roman" w:hAnsi="Times New Roman"/>
                    <w:spacing w:val="-12"/>
                  </w:rPr>
                  <w:t>《火电厂大气污染物排放标准》（</w:t>
                </w:r>
                <w:r>
                  <w:rPr>
                    <w:rFonts w:ascii="Times New Roman" w:hAnsi="Times New Roman"/>
                    <w:spacing w:val="-12"/>
                  </w:rPr>
                  <w:t>GB13223-2011）</w:t>
                </w:r>
                <w:r>
                  <w:rPr>
                    <w:rFonts w:hint="eastAsia" w:ascii="Times New Roman" w:hAnsi="Times New Roman"/>
                    <w:spacing w:val="-12"/>
                  </w:rPr>
                  <w:t>、《陕西省黄河流域污水综合排放标准》（D</w:t>
                </w:r>
                <w:r>
                  <w:rPr>
                    <w:rFonts w:ascii="Times New Roman" w:hAnsi="Times New Roman"/>
                    <w:spacing w:val="-12"/>
                  </w:rPr>
                  <w:t>B61/224-2018</w:t>
                </w:r>
                <w:r>
                  <w:rPr>
                    <w:rFonts w:hint="eastAsia" w:ascii="Times New Roman" w:hAnsi="Times New Roman"/>
                    <w:spacing w:val="-12"/>
                  </w:rPr>
                  <w:t>）</w:t>
                </w:r>
              </w:p>
            </w:tc>
            <w:tc>
              <w:tcPr>
                <w:tcW w:w="1731" w:type="dxa"/>
                <w:vAlign w:val="center"/>
              </w:tcPr>
              <w:p>
                <w:pPr>
                  <w:widowControl/>
                  <w:rPr>
                    <w:rFonts w:ascii="Times New Roman" w:hAnsi="Times New Roman"/>
                    <w:bCs/>
                    <w:spacing w:val="-12"/>
                  </w:rPr>
                </w:pPr>
                <w:r>
                  <w:rPr>
                    <w:rFonts w:hint="eastAsia" w:ascii="Times New Roman" w:hAnsi="Times New Roman"/>
                    <w:spacing w:val="-12"/>
                  </w:rPr>
                  <w:t>颗粒物：</w:t>
                </w:r>
                <w:r>
                  <w:rPr>
                    <w:rFonts w:ascii="Times New Roman" w:hAnsi="Times New Roman"/>
                    <w:spacing w:val="-12"/>
                  </w:rPr>
                  <w:t>76.1</w:t>
                </w:r>
                <w:r>
                  <w:rPr>
                    <w:rFonts w:hint="eastAsia" w:ascii="Times New Roman" w:hAnsi="Times New Roman"/>
                    <w:spacing w:val="-12"/>
                  </w:rPr>
                  <w:t>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242.7吨</w:t>
                </w:r>
              </w:p>
              <w:p>
                <w:pPr>
                  <w:widowControl/>
                  <w:rPr>
                    <w:rFonts w:ascii="Times New Roman" w:hAnsi="Times New Roman"/>
                    <w:bCs/>
                  </w:rPr>
                </w:pPr>
                <w:r>
                  <w:rPr>
                    <w:rFonts w:ascii="Times New Roman" w:hAnsi="Times New Roman"/>
                  </w:rPr>
                  <w:t>NO</w:t>
                </w:r>
                <w:r>
                  <w:rPr>
                    <w:rFonts w:ascii="Times New Roman" w:hAnsi="Times New Roman"/>
                    <w:vertAlign w:val="subscript"/>
                  </w:rPr>
                  <w:t>X</w:t>
                </w:r>
                <w:r>
                  <w:rPr>
                    <w:rFonts w:hint="eastAsia" w:ascii="Times New Roman" w:hAnsi="Times New Roman"/>
                  </w:rPr>
                  <w:t>：</w:t>
                </w:r>
                <w:r>
                  <w:rPr>
                    <w:rFonts w:ascii="Times New Roman" w:hAnsi="Times New Roman"/>
                  </w:rPr>
                  <w:t>374.9吨</w:t>
                </w:r>
              </w:p>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85.8吨</w:t>
                </w:r>
              </w:p>
              <w:p>
                <w:pPr>
                  <w:widowControl/>
                  <w:rPr>
                    <w:rFonts w:ascii="Times New Roman" w:hAnsi="Times New Roman"/>
                    <w:bCs/>
                  </w:rPr>
                </w:pPr>
                <w:r>
                  <w:rPr>
                    <w:rFonts w:ascii="Times New Roman" w:hAnsi="Times New Roman"/>
                  </w:rPr>
                  <w:t>氨氮</w:t>
                </w:r>
                <w:r>
                  <w:rPr>
                    <w:rFonts w:hint="eastAsia" w:ascii="Times New Roman" w:hAnsi="Times New Roman"/>
                  </w:rPr>
                  <w:t>：1</w:t>
                </w:r>
                <w:r>
                  <w:rPr>
                    <w:rFonts w:ascii="Times New Roman" w:hAnsi="Times New Roman"/>
                  </w:rPr>
                  <w:t>3.7吨</w:t>
                </w:r>
              </w:p>
            </w:tc>
            <w:tc>
              <w:tcPr>
                <w:tcW w:w="1650" w:type="dxa"/>
                <w:vAlign w:val="center"/>
              </w:tcPr>
              <w:p>
                <w:pPr>
                  <w:widowControl/>
                  <w:rPr>
                    <w:rFonts w:ascii="Times New Roman" w:hAnsi="Times New Roman"/>
                    <w:bCs/>
                    <w:spacing w:val="-12"/>
                  </w:rPr>
                </w:pPr>
                <w:r>
                  <w:rPr>
                    <w:rFonts w:hint="eastAsia" w:ascii="Times New Roman" w:hAnsi="Times New Roman"/>
                    <w:spacing w:val="-12"/>
                  </w:rPr>
                  <w:t>颗粒物：</w:t>
                </w:r>
                <w:r>
                  <w:rPr>
                    <w:rFonts w:ascii="Times New Roman" w:hAnsi="Times New Roman"/>
                    <w:spacing w:val="-12"/>
                  </w:rPr>
                  <w:t>14.0</w:t>
                </w:r>
                <w:r>
                  <w:rPr>
                    <w:rFonts w:hint="eastAsia" w:ascii="Times New Roman" w:hAnsi="Times New Roman"/>
                    <w:spacing w:val="-12"/>
                  </w:rPr>
                  <w:t>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115.2吨</w:t>
                </w:r>
              </w:p>
              <w:p>
                <w:pPr>
                  <w:widowControl/>
                  <w:rPr>
                    <w:rFonts w:ascii="Times New Roman" w:hAnsi="Times New Roman"/>
                    <w:bCs/>
                    <w:spacing w:val="-4"/>
                  </w:rPr>
                </w:pPr>
                <w:r>
                  <w:rPr>
                    <w:rFonts w:ascii="Times New Roman" w:hAnsi="Times New Roman"/>
                    <w:spacing w:val="-4"/>
                  </w:rPr>
                  <w:t>NO</w:t>
                </w:r>
                <w:r>
                  <w:rPr>
                    <w:rFonts w:ascii="Times New Roman" w:hAnsi="Times New Roman"/>
                    <w:spacing w:val="-4"/>
                    <w:vertAlign w:val="subscript"/>
                  </w:rPr>
                  <w:t>X</w:t>
                </w:r>
                <w:r>
                  <w:rPr>
                    <w:rFonts w:hint="eastAsia" w:ascii="Times New Roman" w:hAnsi="Times New Roman"/>
                    <w:spacing w:val="-4"/>
                  </w:rPr>
                  <w:t>：</w:t>
                </w:r>
                <w:r>
                  <w:rPr>
                    <w:rFonts w:ascii="Times New Roman" w:hAnsi="Times New Roman"/>
                    <w:spacing w:val="-4"/>
                  </w:rPr>
                  <w:t>266.8吨</w:t>
                </w:r>
              </w:p>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7.4吨</w:t>
                </w:r>
              </w:p>
              <w:p>
                <w:pPr>
                  <w:widowControl/>
                  <w:rPr>
                    <w:rFonts w:ascii="Times New Roman" w:hAnsi="Times New Roman"/>
                    <w:bCs/>
                  </w:rPr>
                </w:pPr>
                <w:r>
                  <w:rPr>
                    <w:rFonts w:ascii="Times New Roman" w:hAnsi="Times New Roman"/>
                  </w:rPr>
                  <w:t>氨氮</w:t>
                </w:r>
                <w:r>
                  <w:rPr>
                    <w:rFonts w:hint="eastAsia" w:ascii="Times New Roman" w:hAnsi="Times New Roman"/>
                  </w:rPr>
                  <w:t>：</w:t>
                </w:r>
                <w:r>
                  <w:rPr>
                    <w:rFonts w:ascii="Times New Roman" w:hAnsi="Times New Roman"/>
                  </w:rPr>
                  <w:t>0.37吨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vAlign w:val="center"/>
              </w:tcPr>
              <w:p>
                <w:pPr>
                  <w:jc w:val="center"/>
                  <w:rPr>
                    <w:rFonts w:ascii="Times New Roman" w:hAnsi="Times New Roman"/>
                    <w:bCs/>
                  </w:rPr>
                </w:pPr>
                <w:r>
                  <w:rPr>
                    <w:rFonts w:hint="eastAsia" w:ascii="Times New Roman" w:hAnsi="Times New Roman"/>
                  </w:rPr>
                  <w:t>20</w:t>
                </w:r>
              </w:p>
            </w:tc>
            <w:tc>
              <w:tcPr>
                <w:tcW w:w="1145" w:type="dxa"/>
                <w:vAlign w:val="center"/>
              </w:tcPr>
              <w:p>
                <w:pPr>
                  <w:widowControl/>
                  <w:rPr>
                    <w:rFonts w:ascii="Times New Roman" w:hAnsi="Times New Roman"/>
                    <w:bCs/>
                  </w:rPr>
                </w:pPr>
                <w:r>
                  <w:rPr>
                    <w:rFonts w:hint="eastAsia" w:ascii="Times New Roman" w:hAnsi="Times New Roman"/>
                  </w:rPr>
                  <w:t>鲁南化工</w:t>
                </w:r>
              </w:p>
            </w:tc>
            <w:tc>
              <w:tcPr>
                <w:tcW w:w="920" w:type="dxa"/>
                <w:vMerge w:val="continue"/>
                <w:vAlign w:val="center"/>
              </w:tcPr>
              <w:p>
                <w:pPr>
                  <w:widowControl/>
                  <w:rPr>
                    <w:rFonts w:ascii="Times New Roman" w:hAnsi="Times New Roman"/>
                    <w:bCs/>
                  </w:rPr>
                </w:pPr>
              </w:p>
            </w:tc>
            <w:tc>
              <w:tcPr>
                <w:tcW w:w="950" w:type="dxa"/>
                <w:vMerge w:val="continue"/>
                <w:vAlign w:val="center"/>
              </w:tcPr>
              <w:p>
                <w:pPr>
                  <w:widowControl/>
                  <w:rPr>
                    <w:rFonts w:ascii="Times New Roman" w:hAnsi="Times New Roman"/>
                    <w:bCs/>
                  </w:rPr>
                </w:pPr>
              </w:p>
            </w:tc>
            <w:tc>
              <w:tcPr>
                <w:tcW w:w="833" w:type="dxa"/>
                <w:vMerge w:val="continue"/>
                <w:vAlign w:val="center"/>
              </w:tcPr>
              <w:p>
                <w:pPr>
                  <w:widowControl/>
                  <w:rPr>
                    <w:rFonts w:ascii="Times New Roman" w:hAnsi="Times New Roman"/>
                    <w:bCs/>
                  </w:rPr>
                </w:pPr>
              </w:p>
            </w:tc>
            <w:tc>
              <w:tcPr>
                <w:tcW w:w="3151" w:type="dxa"/>
                <w:vAlign w:val="center"/>
              </w:tcPr>
              <w:p>
                <w:pPr>
                  <w:rPr>
                    <w:rFonts w:ascii="Times New Roman" w:hAnsi="Times New Roman"/>
                    <w:bCs/>
                  </w:rPr>
                </w:pPr>
                <w:r>
                  <w:rPr>
                    <w:rFonts w:hint="eastAsia" w:ascii="Times New Roman" w:hAnsi="Times New Roman"/>
                  </w:rPr>
                  <w:t>山东省《火电厂大气污染物排放标准》（D</w:t>
                </w:r>
                <w:r>
                  <w:rPr>
                    <w:rFonts w:ascii="Times New Roman" w:hAnsi="Times New Roman"/>
                  </w:rPr>
                  <w:t>B37/664-2019</w:t>
                </w:r>
                <w:r>
                  <w:rPr>
                    <w:rFonts w:hint="eastAsia" w:ascii="Times New Roman" w:hAnsi="Times New Roman"/>
                  </w:rPr>
                  <w:t>）、《区域性大气污染物综合排放标准》（D</w:t>
                </w:r>
                <w:r>
                  <w:rPr>
                    <w:rFonts w:ascii="Times New Roman" w:hAnsi="Times New Roman"/>
                  </w:rPr>
                  <w:t>B37/2376-2019</w:t>
                </w:r>
                <w:r>
                  <w:rPr>
                    <w:rFonts w:hint="eastAsia" w:ascii="Times New Roman" w:hAnsi="Times New Roman"/>
                  </w:rPr>
                  <w:t>）、《流域水污染物综合排放标准 第1部分：南四湖东平湖流域》（D</w:t>
                </w:r>
                <w:r>
                  <w:rPr>
                    <w:rFonts w:ascii="Times New Roman" w:hAnsi="Times New Roman"/>
                  </w:rPr>
                  <w:t>B37/3416.1-2018</w:t>
                </w:r>
                <w:r>
                  <w:rPr>
                    <w:rFonts w:hint="eastAsia" w:ascii="Times New Roman" w:hAnsi="Times New Roman"/>
                  </w:rPr>
                  <w:t>）</w:t>
                </w:r>
              </w:p>
            </w:tc>
            <w:tc>
              <w:tcPr>
                <w:tcW w:w="1731" w:type="dxa"/>
                <w:vAlign w:val="center"/>
              </w:tcPr>
              <w:p>
                <w:pPr>
                  <w:widowControl/>
                  <w:rPr>
                    <w:rFonts w:ascii="Times New Roman" w:hAnsi="Times New Roman"/>
                    <w:bCs/>
                  </w:rPr>
                </w:pPr>
                <w:r>
                  <w:rPr>
                    <w:rFonts w:hint="eastAsia" w:ascii="Times New Roman" w:hAnsi="Times New Roman"/>
                    <w:spacing w:val="-18"/>
                  </w:rPr>
                  <w:t>颗粒物：</w:t>
                </w:r>
                <w:r>
                  <w:rPr>
                    <w:rFonts w:ascii="Times New Roman" w:hAnsi="Times New Roman"/>
                    <w:spacing w:val="-18"/>
                  </w:rPr>
                  <w:t>94.5</w:t>
                </w:r>
                <w:r>
                  <w:rPr>
                    <w:rFonts w:hint="eastAsia" w:ascii="Times New Roman" w:hAnsi="Times New Roman"/>
                    <w:spacing w:val="-18"/>
                  </w:rPr>
                  <w:t>吨</w:t>
                </w:r>
                <w:r>
                  <w:rPr>
                    <w:rFonts w:hint="eastAsia" w:ascii="Times New Roman" w:hAnsi="Times New Roman"/>
                    <w:spacing w:val="-10"/>
                  </w:rPr>
                  <w:t>SO</w:t>
                </w:r>
                <w:r>
                  <w:rPr>
                    <w:rFonts w:hint="eastAsia" w:ascii="Times New Roman" w:hAnsi="Times New Roman"/>
                    <w:spacing w:val="-10"/>
                    <w:vertAlign w:val="subscript"/>
                  </w:rPr>
                  <w:t>2</w:t>
                </w:r>
                <w:r>
                  <w:rPr>
                    <w:rFonts w:hint="eastAsia" w:ascii="Times New Roman" w:hAnsi="Times New Roman"/>
                    <w:spacing w:val="-10"/>
                  </w:rPr>
                  <w:t>：</w:t>
                </w:r>
                <w:r>
                  <w:rPr>
                    <w:rFonts w:ascii="Times New Roman" w:hAnsi="Times New Roman"/>
                    <w:spacing w:val="-10"/>
                  </w:rPr>
                  <w:t>544.6吨</w:t>
                </w:r>
              </w:p>
              <w:p>
                <w:pPr>
                  <w:widowControl/>
                  <w:rPr>
                    <w:rFonts w:ascii="Times New Roman" w:hAnsi="Times New Roman"/>
                    <w:bCs/>
                  </w:rPr>
                </w:pPr>
                <w:r>
                  <w:rPr>
                    <w:rFonts w:ascii="Times New Roman" w:hAnsi="Times New Roman"/>
                  </w:rPr>
                  <w:t>NO</w:t>
                </w:r>
                <w:r>
                  <w:rPr>
                    <w:rFonts w:ascii="Times New Roman" w:hAnsi="Times New Roman"/>
                    <w:vertAlign w:val="subscript"/>
                  </w:rPr>
                  <w:t>X</w:t>
                </w:r>
                <w:r>
                  <w:rPr>
                    <w:rFonts w:hint="eastAsia" w:ascii="Times New Roman" w:hAnsi="Times New Roman"/>
                  </w:rPr>
                  <w:t>：</w:t>
                </w:r>
                <w:r>
                  <w:rPr>
                    <w:rFonts w:ascii="Times New Roman" w:hAnsi="Times New Roman"/>
                  </w:rPr>
                  <w:t>787.7吨</w:t>
                </w:r>
              </w:p>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577.0吨</w:t>
                </w:r>
              </w:p>
              <w:p>
                <w:pPr>
                  <w:widowControl/>
                  <w:rPr>
                    <w:rFonts w:ascii="Times New Roman" w:hAnsi="Times New Roman"/>
                    <w:bCs/>
                  </w:rPr>
                </w:pPr>
                <w:r>
                  <w:rPr>
                    <w:rFonts w:ascii="Times New Roman" w:hAnsi="Times New Roman"/>
                  </w:rPr>
                  <w:t>氨氮</w:t>
                </w:r>
                <w:r>
                  <w:rPr>
                    <w:rFonts w:hint="eastAsia" w:ascii="Times New Roman" w:hAnsi="Times New Roman"/>
                  </w:rPr>
                  <w:t>：9</w:t>
                </w:r>
                <w:r>
                  <w:rPr>
                    <w:rFonts w:ascii="Times New Roman" w:hAnsi="Times New Roman"/>
                  </w:rPr>
                  <w:t>1.0吨</w:t>
                </w:r>
              </w:p>
            </w:tc>
            <w:tc>
              <w:tcPr>
                <w:tcW w:w="1650" w:type="dxa"/>
                <w:vAlign w:val="center"/>
              </w:tcPr>
              <w:p>
                <w:pPr>
                  <w:widowControl/>
                  <w:rPr>
                    <w:rFonts w:ascii="Times New Roman" w:hAnsi="Times New Roman"/>
                    <w:bCs/>
                    <w:spacing w:val="-18"/>
                  </w:rPr>
                </w:pPr>
                <w:r>
                  <w:rPr>
                    <w:rFonts w:hint="eastAsia" w:ascii="Times New Roman" w:hAnsi="Times New Roman"/>
                    <w:spacing w:val="-18"/>
                  </w:rPr>
                  <w:t>颗粒物：</w:t>
                </w:r>
                <w:r>
                  <w:rPr>
                    <w:rFonts w:ascii="Times New Roman" w:hAnsi="Times New Roman"/>
                    <w:spacing w:val="-18"/>
                  </w:rPr>
                  <w:t>16.9</w:t>
                </w:r>
                <w:r>
                  <w:rPr>
                    <w:rFonts w:hint="eastAsia" w:ascii="Times New Roman" w:hAnsi="Times New Roman"/>
                    <w:spacing w:val="-18"/>
                  </w:rPr>
                  <w:t>吨</w:t>
                </w:r>
              </w:p>
              <w:p>
                <w:pPr>
                  <w:widowControl/>
                  <w:rPr>
                    <w:rFonts w:ascii="Times New Roman" w:hAnsi="Times New Roman"/>
                    <w:bCs/>
                  </w:rPr>
                </w:pPr>
                <w:r>
                  <w:rPr>
                    <w:rFonts w:hint="eastAsia" w:ascii="Times New Roman" w:hAnsi="Times New Roman"/>
                  </w:rPr>
                  <w:t>SO</w:t>
                </w:r>
                <w:r>
                  <w:rPr>
                    <w:rFonts w:hint="eastAsia" w:ascii="Times New Roman" w:hAnsi="Times New Roman"/>
                    <w:vertAlign w:val="subscript"/>
                  </w:rPr>
                  <w:t>2</w:t>
                </w:r>
                <w:r>
                  <w:rPr>
                    <w:rFonts w:hint="eastAsia" w:ascii="Times New Roman" w:hAnsi="Times New Roman"/>
                  </w:rPr>
                  <w:t>：</w:t>
                </w:r>
                <w:r>
                  <w:rPr>
                    <w:rFonts w:ascii="Times New Roman" w:hAnsi="Times New Roman"/>
                  </w:rPr>
                  <w:t>87.0吨</w:t>
                </w:r>
              </w:p>
              <w:p>
                <w:pPr>
                  <w:widowControl/>
                  <w:rPr>
                    <w:rFonts w:ascii="Times New Roman" w:hAnsi="Times New Roman"/>
                    <w:bCs/>
                    <w:spacing w:val="-4"/>
                  </w:rPr>
                </w:pPr>
                <w:r>
                  <w:rPr>
                    <w:rFonts w:ascii="Times New Roman" w:hAnsi="Times New Roman"/>
                    <w:spacing w:val="-4"/>
                  </w:rPr>
                  <w:t>NO</w:t>
                </w:r>
                <w:r>
                  <w:rPr>
                    <w:rFonts w:ascii="Times New Roman" w:hAnsi="Times New Roman"/>
                    <w:spacing w:val="-4"/>
                    <w:vertAlign w:val="subscript"/>
                  </w:rPr>
                  <w:t>X</w:t>
                </w:r>
                <w:r>
                  <w:rPr>
                    <w:rFonts w:hint="eastAsia" w:ascii="Times New Roman" w:hAnsi="Times New Roman"/>
                    <w:spacing w:val="-4"/>
                  </w:rPr>
                  <w:t>：</w:t>
                </w:r>
                <w:r>
                  <w:rPr>
                    <w:rFonts w:ascii="Times New Roman" w:hAnsi="Times New Roman"/>
                    <w:spacing w:val="-4"/>
                  </w:rPr>
                  <w:t>460.7吨</w:t>
                </w:r>
              </w:p>
              <w:p>
                <w:pPr>
                  <w:widowControl/>
                  <w:rPr>
                    <w:rFonts w:ascii="Times New Roman" w:hAnsi="Times New Roman"/>
                    <w:bCs/>
                  </w:rPr>
                </w:pPr>
                <w:r>
                  <w:rPr>
                    <w:rFonts w:ascii="Times New Roman" w:hAnsi="Times New Roman"/>
                  </w:rPr>
                  <w:t>COD</w:t>
                </w:r>
                <w:r>
                  <w:rPr>
                    <w:rFonts w:hint="eastAsia" w:ascii="Times New Roman" w:hAnsi="Times New Roman"/>
                  </w:rPr>
                  <w:t>：</w:t>
                </w:r>
                <w:r>
                  <w:rPr>
                    <w:rFonts w:ascii="Times New Roman" w:hAnsi="Times New Roman"/>
                  </w:rPr>
                  <w:t>383.9吨</w:t>
                </w:r>
              </w:p>
              <w:p>
                <w:pPr>
                  <w:widowControl/>
                  <w:rPr>
                    <w:rFonts w:ascii="Times New Roman" w:hAnsi="Times New Roman"/>
                    <w:bCs/>
                  </w:rPr>
                </w:pPr>
                <w:r>
                  <w:rPr>
                    <w:rFonts w:ascii="Times New Roman" w:hAnsi="Times New Roman"/>
                  </w:rPr>
                  <w:t>氨氮</w:t>
                </w:r>
                <w:r>
                  <w:rPr>
                    <w:rFonts w:hint="eastAsia" w:ascii="Times New Roman" w:hAnsi="Times New Roman"/>
                  </w:rPr>
                  <w:t>：</w:t>
                </w:r>
                <w:r>
                  <w:rPr>
                    <w:rFonts w:ascii="Times New Roman" w:hAnsi="Times New Roman"/>
                  </w:rPr>
                  <w:t>8.35吨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1</w:t>
                </w:r>
              </w:p>
            </w:tc>
            <w:tc>
              <w:tcPr>
                <w:tcW w:w="1145" w:type="dxa"/>
                <w:vAlign w:val="center"/>
              </w:tcPr>
              <w:p>
                <w:pPr>
                  <w:jc w:val="center"/>
                  <w:rPr>
                    <w:rFonts w:ascii="Times New Roman" w:hAnsi="Times New Roman"/>
                  </w:rPr>
                </w:pPr>
                <w:r>
                  <w:rPr>
                    <w:rFonts w:hint="eastAsia" w:ascii="Times New Roman" w:hAnsi="Times New Roman"/>
                  </w:rPr>
                  <w:t>新巨龙公司</w:t>
                </w:r>
              </w:p>
            </w:tc>
            <w:tc>
              <w:tcPr>
                <w:tcW w:w="920" w:type="dxa"/>
                <w:vMerge w:val="restart"/>
                <w:vAlign w:val="center"/>
              </w:tcPr>
              <w:p>
                <w:pPr>
                  <w:jc w:val="center"/>
                  <w:rPr>
                    <w:rFonts w:ascii="Times New Roman" w:hAnsi="Times New Roman"/>
                  </w:rPr>
                </w:pPr>
                <w:r>
                  <w:rPr>
                    <w:rFonts w:hint="eastAsia" w:ascii="Times New Roman" w:hAnsi="Times New Roman"/>
                  </w:rPr>
                  <w:t>生产废水</w:t>
                </w:r>
              </w:p>
              <w:p>
                <w:pPr>
                  <w:jc w:val="center"/>
                  <w:rPr>
                    <w:rFonts w:ascii="Times New Roman" w:hAnsi="Times New Roman"/>
                  </w:rPr>
                </w:pPr>
                <w:r>
                  <w:rPr>
                    <w:rFonts w:hint="eastAsia" w:ascii="Times New Roman" w:hAnsi="Times New Roman"/>
                  </w:rPr>
                  <w:t>生活污水</w:t>
                </w:r>
              </w:p>
            </w:tc>
            <w:tc>
              <w:tcPr>
                <w:tcW w:w="950" w:type="dxa"/>
                <w:vMerge w:val="restart"/>
                <w:vAlign w:val="center"/>
              </w:tcPr>
              <w:p>
                <w:pPr>
                  <w:jc w:val="center"/>
                  <w:rPr>
                    <w:rFonts w:ascii="Times New Roman" w:hAnsi="Times New Roman"/>
                    <w:spacing w:val="-18"/>
                  </w:rPr>
                </w:pPr>
                <w:r>
                  <w:rPr>
                    <w:rFonts w:hint="eastAsia" w:ascii="Times New Roman" w:hAnsi="Times New Roman"/>
                    <w:spacing w:val="-18"/>
                  </w:rPr>
                  <w:t>C</w:t>
                </w:r>
                <w:r>
                  <w:rPr>
                    <w:rFonts w:ascii="Times New Roman" w:hAnsi="Times New Roman"/>
                    <w:spacing w:val="-18"/>
                  </w:rPr>
                  <w:t>OD</w:t>
                </w:r>
              </w:p>
              <w:p>
                <w:pPr>
                  <w:jc w:val="center"/>
                  <w:rPr>
                    <w:rFonts w:ascii="Times New Roman" w:hAnsi="Times New Roman"/>
                    <w:spacing w:val="-18"/>
                  </w:rPr>
                </w:pPr>
                <w:r>
                  <w:rPr>
                    <w:rFonts w:hint="eastAsia" w:ascii="Times New Roman" w:hAnsi="Times New Roman"/>
                    <w:spacing w:val="-18"/>
                  </w:rPr>
                  <w:t>氨氮</w:t>
                </w:r>
              </w:p>
            </w:tc>
            <w:tc>
              <w:tcPr>
                <w:tcW w:w="833" w:type="dxa"/>
                <w:vMerge w:val="restart"/>
                <w:vAlign w:val="center"/>
              </w:tcPr>
              <w:p>
                <w:pPr>
                  <w:rPr>
                    <w:rFonts w:ascii="Times New Roman" w:hAnsi="Times New Roman"/>
                    <w:bCs/>
                  </w:rPr>
                </w:pPr>
                <w:r>
                  <w:rPr>
                    <w:rFonts w:hint="eastAsia" w:ascii="Times New Roman" w:hAnsi="Times New Roman"/>
                    <w:bCs/>
                  </w:rPr>
                  <w:t>污水经处理后重复利用，剩余外排</w:t>
                </w:r>
              </w:p>
            </w:tc>
            <w:tc>
              <w:tcPr>
                <w:tcW w:w="3151" w:type="dxa"/>
                <w:vMerge w:val="restart"/>
                <w:vAlign w:val="center"/>
              </w:tcPr>
              <w:p>
                <w:pPr>
                  <w:pStyle w:val="43"/>
                  <w:widowControl w:val="0"/>
                  <w:jc w:val="both"/>
                </w:pPr>
                <w:r>
                  <w:rPr>
                    <w:rFonts w:hint="eastAsia"/>
                  </w:rPr>
                  <w:t>《流域水污染物综合排放标准</w:t>
                </w:r>
                <w:r>
                  <w:t xml:space="preserve"> 第1部分：南四湖东平湖流域》（DB37/3416.1-2018）</w:t>
                </w: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：141.59</w:t>
                </w:r>
                <w:r>
                  <w:rPr>
                    <w:rFonts w:ascii="Times New Roman" w:hAnsi="Times New Roman"/>
                  </w:rPr>
                  <w:t>吨</w:t>
                </w:r>
              </w:p>
              <w:p>
                <w:pPr>
                  <w:rPr>
                    <w:rFonts w:ascii="Times New Roman" w:hAnsi="Times New Roman"/>
                    <w:spacing w:val="-18"/>
                  </w:rPr>
                </w:pPr>
                <w:r>
                  <w:rPr>
                    <w:rFonts w:ascii="Times New Roman" w:hAnsi="Times New Roman"/>
                  </w:rPr>
                  <w:t>氨氮</w:t>
                </w:r>
                <w:r>
                  <w:rPr>
                    <w:rFonts w:hint="eastAsia" w:ascii="Times New Roman" w:hAnsi="Times New Roman"/>
                  </w:rPr>
                  <w:t>：14.159</w:t>
                </w:r>
                <w:r>
                  <w:rPr>
                    <w:rFonts w:ascii="Times New Roman" w:hAnsi="Times New Roman"/>
                  </w:rPr>
                  <w:t>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：37.7吨</w:t>
                </w:r>
              </w:p>
              <w:p>
                <w:pPr>
                  <w:rPr>
                    <w:rFonts w:ascii="Times New Roman" w:hAnsi="Times New Roman"/>
                    <w:spacing w:val="-18"/>
                  </w:rPr>
                </w:pPr>
                <w:r>
                  <w:rPr>
                    <w:rFonts w:hint="eastAsia" w:ascii="Times New Roman" w:hAnsi="Times New Roman"/>
                  </w:rPr>
                  <w:t>氨氮：0.444吨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2</w:t>
                </w:r>
              </w:p>
            </w:tc>
            <w:tc>
              <w:tcPr>
                <w:tcW w:w="1145" w:type="dxa"/>
                <w:vAlign w:val="center"/>
              </w:tcPr>
              <w:p>
                <w:pPr>
                  <w:jc w:val="center"/>
                  <w:rPr>
                    <w:rFonts w:ascii="Times New Roman" w:hAnsi="Times New Roman"/>
                  </w:rPr>
                </w:pPr>
                <w:r>
                  <w:rPr>
                    <w:rFonts w:hint="eastAsia" w:ascii="Times New Roman" w:hAnsi="Times New Roman"/>
                  </w:rPr>
                  <w:t>李楼煤业</w:t>
                </w:r>
              </w:p>
            </w:tc>
            <w:tc>
              <w:tcPr>
                <w:tcW w:w="920" w:type="dxa"/>
                <w:vMerge w:val="continue"/>
                <w:vAlign w:val="center"/>
              </w:tcPr>
              <w:p>
                <w:pPr>
                  <w:jc w:val="center"/>
                  <w:rPr>
                    <w:rFonts w:ascii="Times New Roman" w:hAnsi="Times New Roman"/>
                  </w:rPr>
                </w:pPr>
              </w:p>
            </w:tc>
            <w:tc>
              <w:tcPr>
                <w:tcW w:w="950" w:type="dxa"/>
                <w:vMerge w:val="continue"/>
                <w:vAlign w:val="center"/>
              </w:tcPr>
              <w:p>
                <w:pPr>
                  <w:jc w:val="center"/>
                  <w:rPr>
                    <w:rFonts w:ascii="Times New Roman" w:hAnsi="Times New Roman"/>
                    <w:spacing w:val="-18"/>
                  </w:rPr>
                </w:pPr>
              </w:p>
            </w:tc>
            <w:tc>
              <w:tcPr>
                <w:tcW w:w="833" w:type="dxa"/>
                <w:vMerge w:val="continue"/>
                <w:vAlign w:val="center"/>
              </w:tcPr>
              <w:p>
                <w:pPr>
                  <w:rPr>
                    <w:rFonts w:ascii="Times New Roman" w:hAnsi="Times New Roman"/>
                    <w:bCs/>
                  </w:rPr>
                </w:pPr>
              </w:p>
            </w:tc>
            <w:tc>
              <w:tcPr>
                <w:tcW w:w="3151" w:type="dxa"/>
                <w:vMerge w:val="continue"/>
                <w:vAlign w:val="center"/>
              </w:tcPr>
              <w:p>
                <w:pPr>
                  <w:pStyle w:val="43"/>
                  <w:widowControl w:val="0"/>
                  <w:jc w:val="both"/>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：117.6</w:t>
                </w:r>
                <w:r>
                  <w:rPr>
                    <w:rFonts w:ascii="Times New Roman" w:hAnsi="Times New Roman"/>
                  </w:rPr>
                  <w:t>吨</w:t>
                </w:r>
              </w:p>
              <w:p>
                <w:pPr>
                  <w:rPr>
                    <w:rFonts w:ascii="Times New Roman" w:hAnsi="Times New Roman"/>
                    <w:spacing w:val="-18"/>
                  </w:rPr>
                </w:pPr>
                <w:r>
                  <w:rPr>
                    <w:rFonts w:ascii="Times New Roman" w:hAnsi="Times New Roman"/>
                  </w:rPr>
                  <w:t>氨氮</w:t>
                </w:r>
                <w:r>
                  <w:rPr>
                    <w:rFonts w:hint="eastAsia" w:ascii="Times New Roman" w:hAnsi="Times New Roman"/>
                  </w:rPr>
                  <w:t>：5.88</w:t>
                </w:r>
                <w:r>
                  <w:rPr>
                    <w:rFonts w:ascii="Times New Roman" w:hAnsi="Times New Roman"/>
                  </w:rPr>
                  <w:t>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：61.6吨</w:t>
                </w:r>
              </w:p>
              <w:p>
                <w:pPr>
                  <w:rPr>
                    <w:rFonts w:ascii="Times New Roman" w:hAnsi="Times New Roman"/>
                    <w:spacing w:val="-18"/>
                  </w:rPr>
                </w:pPr>
                <w:r>
                  <w:rPr>
                    <w:rFonts w:hint="eastAsia" w:ascii="Times New Roman" w:hAnsi="Times New Roman"/>
                  </w:rPr>
                  <w:t>氨氮：1.04吨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3</w:t>
                </w:r>
              </w:p>
            </w:tc>
            <w:tc>
              <w:tcPr>
                <w:tcW w:w="1145" w:type="dxa"/>
                <w:vAlign w:val="center"/>
              </w:tcPr>
              <w:p>
                <w:pPr>
                  <w:jc w:val="center"/>
                  <w:rPr>
                    <w:rFonts w:ascii="Times New Roman" w:hAnsi="Times New Roman"/>
                  </w:rPr>
                </w:pPr>
                <w:r>
                  <w:rPr>
                    <w:rFonts w:hint="eastAsia" w:ascii="Times New Roman" w:hAnsi="Times New Roman"/>
                  </w:rPr>
                  <w:t>彭庄煤矿</w:t>
                </w:r>
              </w:p>
            </w:tc>
            <w:tc>
              <w:tcPr>
                <w:tcW w:w="920" w:type="dxa"/>
                <w:vMerge w:val="continue"/>
                <w:vAlign w:val="center"/>
              </w:tcPr>
              <w:p>
                <w:pPr>
                  <w:jc w:val="center"/>
                  <w:rPr>
                    <w:rFonts w:ascii="Times New Roman" w:hAnsi="Times New Roman"/>
                  </w:rPr>
                </w:pPr>
              </w:p>
            </w:tc>
            <w:tc>
              <w:tcPr>
                <w:tcW w:w="950" w:type="dxa"/>
                <w:vMerge w:val="continue"/>
                <w:vAlign w:val="center"/>
              </w:tcPr>
              <w:p>
                <w:pPr>
                  <w:jc w:val="center"/>
                  <w:rPr>
                    <w:rFonts w:ascii="Times New Roman" w:hAnsi="Times New Roman"/>
                    <w:spacing w:val="-18"/>
                  </w:rPr>
                </w:pPr>
              </w:p>
            </w:tc>
            <w:tc>
              <w:tcPr>
                <w:tcW w:w="833" w:type="dxa"/>
                <w:vMerge w:val="continue"/>
                <w:vAlign w:val="center"/>
              </w:tcPr>
              <w:p>
                <w:pPr>
                  <w:rPr>
                    <w:rFonts w:ascii="Times New Roman" w:hAnsi="Times New Roman"/>
                    <w:bCs/>
                  </w:rPr>
                </w:pPr>
              </w:p>
            </w:tc>
            <w:tc>
              <w:tcPr>
                <w:tcW w:w="3151" w:type="dxa"/>
                <w:vMerge w:val="continue"/>
                <w:vAlign w:val="center"/>
              </w:tcPr>
              <w:p>
                <w:pPr>
                  <w:pStyle w:val="43"/>
                  <w:widowControl w:val="0"/>
                  <w:jc w:val="both"/>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：61.88</w:t>
                </w:r>
                <w:r>
                  <w:rPr>
                    <w:rFonts w:ascii="Times New Roman" w:hAnsi="Times New Roman"/>
                  </w:rPr>
                  <w:t>吨</w:t>
                </w:r>
              </w:p>
              <w:p>
                <w:pPr>
                  <w:rPr>
                    <w:rFonts w:ascii="Times New Roman" w:hAnsi="Times New Roman"/>
                    <w:spacing w:val="-18"/>
                  </w:rPr>
                </w:pPr>
                <w:r>
                  <w:rPr>
                    <w:rFonts w:ascii="Times New Roman" w:hAnsi="Times New Roman"/>
                  </w:rPr>
                  <w:t>氨氮</w:t>
                </w:r>
                <w:r>
                  <w:rPr>
                    <w:rFonts w:hint="eastAsia" w:ascii="Times New Roman" w:hAnsi="Times New Roman"/>
                  </w:rPr>
                  <w:t>：2.87</w:t>
                </w:r>
                <w:r>
                  <w:rPr>
                    <w:rFonts w:ascii="Times New Roman" w:hAnsi="Times New Roman"/>
                  </w:rPr>
                  <w:t>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：14.9吨</w:t>
                </w:r>
              </w:p>
              <w:p>
                <w:pPr>
                  <w:rPr>
                    <w:rFonts w:ascii="Times New Roman" w:hAnsi="Times New Roman"/>
                    <w:spacing w:val="-18"/>
                  </w:rPr>
                </w:pPr>
                <w:r>
                  <w:rPr>
                    <w:rFonts w:hint="eastAsia" w:ascii="Times New Roman" w:hAnsi="Times New Roman"/>
                  </w:rPr>
                  <w:t>氨氮：0.331吨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4</w:t>
                </w:r>
              </w:p>
            </w:tc>
            <w:tc>
              <w:tcPr>
                <w:tcW w:w="1145" w:type="dxa"/>
                <w:vAlign w:val="center"/>
              </w:tcPr>
              <w:p>
                <w:pPr>
                  <w:jc w:val="center"/>
                  <w:rPr>
                    <w:rFonts w:ascii="Times New Roman" w:hAnsi="Times New Roman"/>
                  </w:rPr>
                </w:pPr>
                <w:r>
                  <w:rPr>
                    <w:rFonts w:hint="eastAsia" w:ascii="Times New Roman" w:hAnsi="Times New Roman"/>
                  </w:rPr>
                  <w:t>单县能源</w:t>
                </w:r>
              </w:p>
            </w:tc>
            <w:tc>
              <w:tcPr>
                <w:tcW w:w="920" w:type="dxa"/>
                <w:vMerge w:val="continue"/>
                <w:vAlign w:val="center"/>
              </w:tcPr>
              <w:p>
                <w:pPr>
                  <w:jc w:val="center"/>
                  <w:rPr>
                    <w:rFonts w:ascii="Times New Roman" w:hAnsi="Times New Roman"/>
                  </w:rPr>
                </w:pPr>
              </w:p>
            </w:tc>
            <w:tc>
              <w:tcPr>
                <w:tcW w:w="950" w:type="dxa"/>
                <w:vMerge w:val="continue"/>
                <w:vAlign w:val="center"/>
              </w:tcPr>
              <w:p>
                <w:pPr>
                  <w:jc w:val="center"/>
                  <w:rPr>
                    <w:rFonts w:ascii="Times New Roman" w:hAnsi="Times New Roman"/>
                    <w:spacing w:val="-18"/>
                  </w:rPr>
                </w:pPr>
              </w:p>
            </w:tc>
            <w:tc>
              <w:tcPr>
                <w:tcW w:w="833" w:type="dxa"/>
                <w:vMerge w:val="continue"/>
                <w:vAlign w:val="center"/>
              </w:tcPr>
              <w:p>
                <w:pPr>
                  <w:rPr>
                    <w:rFonts w:ascii="Times New Roman" w:hAnsi="Times New Roman"/>
                    <w:bCs/>
                  </w:rPr>
                </w:pPr>
              </w:p>
            </w:tc>
            <w:tc>
              <w:tcPr>
                <w:tcW w:w="3151" w:type="dxa"/>
                <w:vMerge w:val="continue"/>
                <w:vAlign w:val="center"/>
              </w:tcPr>
              <w:p>
                <w:pPr>
                  <w:pStyle w:val="43"/>
                  <w:widowControl w:val="0"/>
                  <w:jc w:val="both"/>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：24.722</w:t>
                </w:r>
                <w:r>
                  <w:rPr>
                    <w:rFonts w:ascii="Times New Roman" w:hAnsi="Times New Roman"/>
                  </w:rPr>
                  <w:t>吨</w:t>
                </w:r>
              </w:p>
              <w:p>
                <w:pPr>
                  <w:rPr>
                    <w:rFonts w:ascii="Times New Roman" w:hAnsi="Times New Roman"/>
                    <w:spacing w:val="-18"/>
                  </w:rPr>
                </w:pPr>
                <w:r>
                  <w:rPr>
                    <w:rFonts w:ascii="Times New Roman" w:hAnsi="Times New Roman"/>
                  </w:rPr>
                  <w:t>氨氮</w:t>
                </w:r>
                <w:r>
                  <w:rPr>
                    <w:rFonts w:hint="eastAsia" w:ascii="Times New Roman" w:hAnsi="Times New Roman"/>
                  </w:rPr>
                  <w:t>：1.40</w:t>
                </w:r>
                <w:r>
                  <w:rPr>
                    <w:rFonts w:ascii="Times New Roman" w:hAnsi="Times New Roman"/>
                  </w:rPr>
                  <w:t>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：5.34吨</w:t>
                </w:r>
              </w:p>
              <w:p>
                <w:pPr>
                  <w:rPr>
                    <w:rFonts w:ascii="Times New Roman" w:hAnsi="Times New Roman"/>
                    <w:spacing w:val="-18"/>
                  </w:rPr>
                </w:pPr>
                <w:r>
                  <w:rPr>
                    <w:rFonts w:hint="eastAsia" w:ascii="Times New Roman" w:hAnsi="Times New Roman"/>
                  </w:rPr>
                  <w:t>氨氮：0.416吨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vAlign w:val="center"/>
              </w:tcPr>
              <w:p>
                <w:pPr>
                  <w:jc w:val="center"/>
                  <w:rPr>
                    <w:rFonts w:ascii="Times New Roman" w:hAnsi="Times New Roman"/>
                  </w:rPr>
                </w:pPr>
                <w:r>
                  <w:rPr>
                    <w:rFonts w:ascii="Times New Roman" w:hAnsi="Times New Roman"/>
                  </w:rPr>
                  <w:t>25</w:t>
                </w:r>
              </w:p>
            </w:tc>
            <w:tc>
              <w:tcPr>
                <w:tcW w:w="1145" w:type="dxa"/>
                <w:vAlign w:val="center"/>
              </w:tcPr>
              <w:p>
                <w:pPr>
                  <w:jc w:val="center"/>
                  <w:rPr>
                    <w:rFonts w:ascii="Times New Roman" w:hAnsi="Times New Roman"/>
                  </w:rPr>
                </w:pPr>
                <w:r>
                  <w:rPr>
                    <w:rFonts w:hint="eastAsia" w:ascii="Times New Roman" w:hAnsi="Times New Roman"/>
                  </w:rPr>
                  <w:t>唐口煤业</w:t>
                </w:r>
              </w:p>
            </w:tc>
            <w:tc>
              <w:tcPr>
                <w:tcW w:w="920" w:type="dxa"/>
                <w:vMerge w:val="continue"/>
                <w:vAlign w:val="center"/>
              </w:tcPr>
              <w:p>
                <w:pPr>
                  <w:jc w:val="center"/>
                  <w:rPr>
                    <w:rFonts w:ascii="Times New Roman" w:hAnsi="Times New Roman"/>
                  </w:rPr>
                </w:pPr>
              </w:p>
            </w:tc>
            <w:tc>
              <w:tcPr>
                <w:tcW w:w="950" w:type="dxa"/>
                <w:vMerge w:val="continue"/>
                <w:vAlign w:val="center"/>
              </w:tcPr>
              <w:p>
                <w:pPr>
                  <w:jc w:val="center"/>
                  <w:rPr>
                    <w:rFonts w:ascii="Times New Roman" w:hAnsi="Times New Roman"/>
                    <w:spacing w:val="-18"/>
                  </w:rPr>
                </w:pPr>
              </w:p>
            </w:tc>
            <w:tc>
              <w:tcPr>
                <w:tcW w:w="833" w:type="dxa"/>
                <w:vMerge w:val="continue"/>
                <w:vAlign w:val="center"/>
              </w:tcPr>
              <w:p>
                <w:pPr>
                  <w:rPr>
                    <w:rFonts w:ascii="Times New Roman" w:hAnsi="Times New Roman"/>
                    <w:bCs/>
                  </w:rPr>
                </w:pPr>
              </w:p>
            </w:tc>
            <w:tc>
              <w:tcPr>
                <w:tcW w:w="3151" w:type="dxa"/>
                <w:vMerge w:val="continue"/>
              </w:tcPr>
              <w:p>
                <w:pPr>
                  <w:pStyle w:val="43"/>
                  <w:widowControl w:val="0"/>
                  <w:jc w:val="both"/>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：26.95</w:t>
                </w:r>
                <w:r>
                  <w:rPr>
                    <w:rFonts w:ascii="Times New Roman" w:hAnsi="Times New Roman"/>
                  </w:rPr>
                  <w:t>吨</w:t>
                </w:r>
              </w:p>
              <w:p>
                <w:pPr>
                  <w:rPr>
                    <w:rFonts w:ascii="Times New Roman" w:hAnsi="Times New Roman"/>
                    <w:spacing w:val="-18"/>
                  </w:rPr>
                </w:pPr>
                <w:r>
                  <w:rPr>
                    <w:rFonts w:ascii="Times New Roman" w:hAnsi="Times New Roman"/>
                  </w:rPr>
                  <w:t>氨氮</w:t>
                </w:r>
                <w:r>
                  <w:rPr>
                    <w:rFonts w:hint="eastAsia" w:ascii="Times New Roman" w:hAnsi="Times New Roman"/>
                  </w:rPr>
                  <w:t>：1.01</w:t>
                </w:r>
                <w:r>
                  <w:rPr>
                    <w:rFonts w:ascii="Times New Roman" w:hAnsi="Times New Roman"/>
                  </w:rPr>
                  <w:t>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：18.4吨</w:t>
                </w:r>
              </w:p>
              <w:p>
                <w:pPr>
                  <w:rPr>
                    <w:rFonts w:ascii="Times New Roman" w:hAnsi="Times New Roman"/>
                    <w:spacing w:val="-18"/>
                  </w:rPr>
                </w:pPr>
                <w:r>
                  <w:rPr>
                    <w:rFonts w:hint="eastAsia" w:ascii="Times New Roman" w:hAnsi="Times New Roman"/>
                  </w:rPr>
                  <w:t>氨氮：0.183吨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vAlign w:val="center"/>
              </w:tcPr>
              <w:p>
                <w:pPr>
                  <w:jc w:val="center"/>
                  <w:rPr>
                    <w:rFonts w:ascii="Times New Roman" w:hAnsi="Times New Roman"/>
                  </w:rPr>
                </w:pPr>
                <w:r>
                  <w:rPr>
                    <w:rFonts w:ascii="Times New Roman" w:hAnsi="Times New Roman"/>
                  </w:rPr>
                  <w:t>26</w:t>
                </w:r>
              </w:p>
            </w:tc>
            <w:tc>
              <w:tcPr>
                <w:tcW w:w="1145" w:type="dxa"/>
                <w:vAlign w:val="center"/>
              </w:tcPr>
              <w:p>
                <w:pPr>
                  <w:jc w:val="center"/>
                  <w:rPr>
                    <w:rFonts w:ascii="Times New Roman" w:hAnsi="Times New Roman"/>
                  </w:rPr>
                </w:pPr>
                <w:r>
                  <w:rPr>
                    <w:rFonts w:hint="eastAsia" w:ascii="Times New Roman" w:hAnsi="Times New Roman"/>
                  </w:rPr>
                  <w:t>梁宝寺公司</w:t>
                </w:r>
              </w:p>
            </w:tc>
            <w:tc>
              <w:tcPr>
                <w:tcW w:w="920" w:type="dxa"/>
                <w:vMerge w:val="continue"/>
                <w:vAlign w:val="center"/>
              </w:tcPr>
              <w:p>
                <w:pPr>
                  <w:jc w:val="center"/>
                  <w:rPr>
                    <w:rFonts w:ascii="Times New Roman" w:hAnsi="Times New Roman"/>
                  </w:rPr>
                </w:pPr>
              </w:p>
            </w:tc>
            <w:tc>
              <w:tcPr>
                <w:tcW w:w="950" w:type="dxa"/>
                <w:vMerge w:val="continue"/>
                <w:vAlign w:val="center"/>
              </w:tcPr>
              <w:p>
                <w:pPr>
                  <w:jc w:val="center"/>
                  <w:rPr>
                    <w:rFonts w:ascii="Times New Roman" w:hAnsi="Times New Roman"/>
                    <w:spacing w:val="-18"/>
                  </w:rPr>
                </w:pPr>
              </w:p>
            </w:tc>
            <w:tc>
              <w:tcPr>
                <w:tcW w:w="833" w:type="dxa"/>
                <w:vMerge w:val="continue"/>
                <w:vAlign w:val="center"/>
              </w:tcPr>
              <w:p>
                <w:pPr>
                  <w:rPr>
                    <w:rFonts w:ascii="Times New Roman" w:hAnsi="Times New Roman"/>
                    <w:bCs/>
                  </w:rPr>
                </w:pPr>
              </w:p>
            </w:tc>
            <w:tc>
              <w:tcPr>
                <w:tcW w:w="3151" w:type="dxa"/>
                <w:vMerge w:val="continue"/>
              </w:tcPr>
              <w:p>
                <w:pPr>
                  <w:pStyle w:val="43"/>
                  <w:widowControl w:val="0"/>
                  <w:jc w:val="both"/>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：84.47</w:t>
                </w:r>
                <w:r>
                  <w:rPr>
                    <w:rFonts w:ascii="Times New Roman" w:hAnsi="Times New Roman"/>
                  </w:rPr>
                  <w:t>吨</w:t>
                </w:r>
              </w:p>
              <w:p>
                <w:pPr>
                  <w:rPr>
                    <w:rFonts w:ascii="Times New Roman" w:hAnsi="Times New Roman"/>
                    <w:spacing w:val="-18"/>
                  </w:rPr>
                </w:pPr>
                <w:r>
                  <w:rPr>
                    <w:rFonts w:ascii="Times New Roman" w:hAnsi="Times New Roman"/>
                  </w:rPr>
                  <w:t>氨氮</w:t>
                </w:r>
                <w:r>
                  <w:rPr>
                    <w:rFonts w:hint="eastAsia" w:ascii="Times New Roman" w:hAnsi="Times New Roman"/>
                  </w:rPr>
                  <w:t>：4.02</w:t>
                </w:r>
                <w:r>
                  <w:rPr>
                    <w:rFonts w:ascii="Times New Roman" w:hAnsi="Times New Roman"/>
                  </w:rPr>
                  <w:t>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：17.71吨</w:t>
                </w:r>
              </w:p>
              <w:p>
                <w:pPr>
                  <w:rPr>
                    <w:rFonts w:ascii="Times New Roman" w:hAnsi="Times New Roman"/>
                    <w:spacing w:val="-18"/>
                  </w:rPr>
                </w:pPr>
                <w:r>
                  <w:rPr>
                    <w:rFonts w:hint="eastAsia" w:ascii="Times New Roman" w:hAnsi="Times New Roman"/>
                  </w:rPr>
                  <w:t>氨氮：0.398吨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vAlign w:val="center"/>
              </w:tcPr>
              <w:p>
                <w:pPr>
                  <w:jc w:val="center"/>
                  <w:rPr>
                    <w:rFonts w:ascii="Times New Roman" w:hAnsi="Times New Roman"/>
                  </w:rPr>
                </w:pPr>
                <w:r>
                  <w:rPr>
                    <w:rFonts w:ascii="Times New Roman" w:hAnsi="Times New Roman"/>
                  </w:rPr>
                  <w:t>27</w:t>
                </w:r>
              </w:p>
            </w:tc>
            <w:tc>
              <w:tcPr>
                <w:tcW w:w="1145" w:type="dxa"/>
                <w:vAlign w:val="center"/>
              </w:tcPr>
              <w:p>
                <w:pPr>
                  <w:jc w:val="center"/>
                  <w:rPr>
                    <w:rFonts w:ascii="Times New Roman" w:hAnsi="Times New Roman"/>
                  </w:rPr>
                </w:pPr>
                <w:r>
                  <w:rPr>
                    <w:rFonts w:hint="eastAsia" w:ascii="Times New Roman" w:hAnsi="Times New Roman"/>
                  </w:rPr>
                  <w:t>郭屯煤矿</w:t>
                </w:r>
              </w:p>
            </w:tc>
            <w:tc>
              <w:tcPr>
                <w:tcW w:w="920" w:type="dxa"/>
                <w:vMerge w:val="continue"/>
                <w:vAlign w:val="center"/>
              </w:tcPr>
              <w:p>
                <w:pPr>
                  <w:jc w:val="center"/>
                  <w:rPr>
                    <w:rFonts w:ascii="Times New Roman" w:hAnsi="Times New Roman"/>
                  </w:rPr>
                </w:pPr>
              </w:p>
            </w:tc>
            <w:tc>
              <w:tcPr>
                <w:tcW w:w="950" w:type="dxa"/>
                <w:vMerge w:val="continue"/>
                <w:vAlign w:val="center"/>
              </w:tcPr>
              <w:p>
                <w:pPr>
                  <w:jc w:val="center"/>
                  <w:rPr>
                    <w:rFonts w:ascii="Times New Roman" w:hAnsi="Times New Roman"/>
                    <w:spacing w:val="-18"/>
                  </w:rPr>
                </w:pPr>
              </w:p>
            </w:tc>
            <w:tc>
              <w:tcPr>
                <w:tcW w:w="833" w:type="dxa"/>
                <w:vMerge w:val="continue"/>
                <w:vAlign w:val="center"/>
              </w:tcPr>
              <w:p>
                <w:pPr>
                  <w:rPr>
                    <w:rFonts w:ascii="Times New Roman" w:hAnsi="Times New Roman"/>
                    <w:bCs/>
                  </w:rPr>
                </w:pPr>
              </w:p>
            </w:tc>
            <w:tc>
              <w:tcPr>
                <w:tcW w:w="3151" w:type="dxa"/>
                <w:vMerge w:val="continue"/>
              </w:tcPr>
              <w:p>
                <w:pPr>
                  <w:pStyle w:val="43"/>
                  <w:widowControl w:val="0"/>
                  <w:jc w:val="both"/>
                </w:pPr>
              </w:p>
            </w:tc>
            <w:tc>
              <w:tcPr>
                <w:tcW w:w="1731"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：121.2</w:t>
                </w:r>
                <w:r>
                  <w:rPr>
                    <w:rFonts w:ascii="Times New Roman" w:hAnsi="Times New Roman"/>
                  </w:rPr>
                  <w:t>吨</w:t>
                </w:r>
              </w:p>
              <w:p>
                <w:pPr>
                  <w:rPr>
                    <w:rFonts w:ascii="Times New Roman" w:hAnsi="Times New Roman"/>
                    <w:spacing w:val="-18"/>
                  </w:rPr>
                </w:pPr>
                <w:r>
                  <w:rPr>
                    <w:rFonts w:ascii="Times New Roman" w:hAnsi="Times New Roman"/>
                  </w:rPr>
                  <w:t>氨氮</w:t>
                </w:r>
                <w:r>
                  <w:rPr>
                    <w:rFonts w:hint="eastAsia" w:ascii="Times New Roman" w:hAnsi="Times New Roman"/>
                  </w:rPr>
                  <w:t>：5.9</w:t>
                </w:r>
                <w:r>
                  <w:rPr>
                    <w:rFonts w:ascii="Times New Roman" w:hAnsi="Times New Roman"/>
                  </w:rPr>
                  <w:t>吨</w:t>
                </w:r>
              </w:p>
            </w:tc>
            <w:tc>
              <w:tcPr>
                <w:tcW w:w="1650" w:type="dxa"/>
                <w:vAlign w:val="center"/>
              </w:tcPr>
              <w:p>
                <w:pPr>
                  <w:widowControl/>
                  <w:rPr>
                    <w:rFonts w:ascii="Times New Roman" w:hAnsi="Times New Roman"/>
                    <w:bCs/>
                  </w:rPr>
                </w:pPr>
                <w:r>
                  <w:rPr>
                    <w:rFonts w:ascii="Times New Roman" w:hAnsi="Times New Roman"/>
                  </w:rPr>
                  <w:t>COD</w:t>
                </w:r>
                <w:r>
                  <w:rPr>
                    <w:rFonts w:hint="eastAsia" w:ascii="Times New Roman" w:hAnsi="Times New Roman"/>
                  </w:rPr>
                  <w:t>：63</w:t>
                </w:r>
                <w:r>
                  <w:rPr>
                    <w:rFonts w:ascii="Times New Roman" w:hAnsi="Times New Roman"/>
                  </w:rPr>
                  <w:t>吨</w:t>
                </w:r>
              </w:p>
              <w:p>
                <w:pPr>
                  <w:rPr>
                    <w:rFonts w:ascii="Times New Roman" w:hAnsi="Times New Roman"/>
                    <w:spacing w:val="-18"/>
                  </w:rPr>
                </w:pPr>
                <w:r>
                  <w:rPr>
                    <w:rFonts w:ascii="Times New Roman" w:hAnsi="Times New Roman"/>
                  </w:rPr>
                  <w:t>氨氮</w:t>
                </w:r>
                <w:r>
                  <w:rPr>
                    <w:rFonts w:hint="eastAsia" w:ascii="Times New Roman" w:hAnsi="Times New Roman"/>
                  </w:rPr>
                  <w:t>：1.86</w:t>
                </w:r>
                <w:r>
                  <w:rPr>
                    <w:rFonts w:ascii="Times New Roman" w:hAnsi="Times New Roma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vAlign w:val="center"/>
              </w:tcPr>
              <w:p>
                <w:pPr>
                  <w:jc w:val="center"/>
                  <w:rPr>
                    <w:rFonts w:ascii="Times New Roman" w:hAnsi="Times New Roman"/>
                  </w:rPr>
                </w:pPr>
                <w:r>
                  <w:rPr>
                    <w:rFonts w:ascii="Times New Roman" w:hAnsi="Times New Roman"/>
                  </w:rPr>
                  <w:t>28</w:t>
                </w:r>
              </w:p>
            </w:tc>
            <w:tc>
              <w:tcPr>
                <w:tcW w:w="1145" w:type="dxa"/>
                <w:vAlign w:val="center"/>
              </w:tcPr>
              <w:p>
                <w:pPr>
                  <w:pStyle w:val="43"/>
                  <w:widowControl w:val="0"/>
                  <w:jc w:val="both"/>
                </w:pPr>
                <w:r>
                  <w:rPr>
                    <w:rFonts w:hint="eastAsia"/>
                  </w:rPr>
                  <w:t>新疆煤化工</w:t>
                </w:r>
              </w:p>
            </w:tc>
            <w:tc>
              <w:tcPr>
                <w:tcW w:w="920" w:type="dxa"/>
                <w:vAlign w:val="center"/>
              </w:tcPr>
              <w:p>
                <w:pPr>
                  <w:jc w:val="center"/>
                  <w:rPr>
                    <w:rFonts w:ascii="Times New Roman" w:hAnsi="Times New Roman"/>
                  </w:rPr>
                </w:pPr>
                <w:r>
                  <w:rPr>
                    <w:rFonts w:hint="eastAsia" w:ascii="Times New Roman" w:hAnsi="Times New Roman"/>
                  </w:rPr>
                  <w:t>锅炉烟气</w:t>
                </w:r>
              </w:p>
              <w:p>
                <w:pPr>
                  <w:jc w:val="center"/>
                  <w:rPr>
                    <w:rFonts w:ascii="Times New Roman" w:hAnsi="Times New Roman"/>
                  </w:rPr>
                </w:pPr>
                <w:r>
                  <w:rPr>
                    <w:rFonts w:hint="eastAsia" w:ascii="Times New Roman" w:hAnsi="Times New Roman"/>
                  </w:rPr>
                  <w:t>生产废水</w:t>
                </w:r>
              </w:p>
              <w:p>
                <w:pPr>
                  <w:jc w:val="center"/>
                  <w:rPr>
                    <w:rFonts w:ascii="Times New Roman" w:hAnsi="Times New Roman"/>
                    <w:bCs/>
                  </w:rPr>
                </w:pPr>
                <w:r>
                  <w:rPr>
                    <w:rFonts w:hint="eastAsia" w:ascii="Times New Roman" w:hAnsi="Times New Roman"/>
                  </w:rPr>
                  <w:t>生活污水</w:t>
                </w:r>
              </w:p>
            </w:tc>
            <w:tc>
              <w:tcPr>
                <w:tcW w:w="950" w:type="dxa"/>
                <w:vAlign w:val="center"/>
              </w:tcPr>
              <w:p>
                <w:pPr>
                  <w:widowControl/>
                  <w:jc w:val="center"/>
                  <w:rPr>
                    <w:rFonts w:ascii="Times New Roman" w:hAnsi="Times New Roman"/>
                    <w:spacing w:val="-18"/>
                  </w:rPr>
                </w:pPr>
                <w:r>
                  <w:rPr>
                    <w:rFonts w:hint="eastAsia" w:ascii="Times New Roman" w:hAnsi="Times New Roman"/>
                    <w:spacing w:val="-18"/>
                  </w:rPr>
                  <w:t>颗粒物SO</w:t>
                </w:r>
                <w:r>
                  <w:rPr>
                    <w:rFonts w:hint="eastAsia" w:ascii="Times New Roman" w:hAnsi="Times New Roman"/>
                    <w:spacing w:val="-18"/>
                    <w:vertAlign w:val="subscript"/>
                  </w:rPr>
                  <w:t>2</w:t>
                </w:r>
              </w:p>
              <w:p>
                <w:pPr>
                  <w:widowControl/>
                  <w:jc w:val="center"/>
                  <w:rPr>
                    <w:rFonts w:ascii="Times New Roman" w:hAnsi="Times New Roman"/>
                  </w:rPr>
                </w:pPr>
                <w:r>
                  <w:rPr>
                    <w:rFonts w:ascii="Times New Roman" w:hAnsi="Times New Roman"/>
                    <w:spacing w:val="-18"/>
                  </w:rPr>
                  <w:t>NO</w:t>
                </w:r>
                <w:r>
                  <w:rPr>
                    <w:rFonts w:ascii="Times New Roman" w:hAnsi="Times New Roman"/>
                    <w:spacing w:val="-18"/>
                    <w:vertAlign w:val="subscript"/>
                  </w:rPr>
                  <w:t>X</w:t>
                </w:r>
              </w:p>
              <w:p>
                <w:pPr>
                  <w:widowControl/>
                  <w:jc w:val="center"/>
                  <w:rPr>
                    <w:rFonts w:ascii="Times New Roman" w:hAnsi="Times New Roman"/>
                  </w:rPr>
                </w:pPr>
                <w:r>
                  <w:rPr>
                    <w:rFonts w:ascii="Times New Roman" w:hAnsi="Times New Roman"/>
                  </w:rPr>
                  <w:t>COD</w:t>
                </w:r>
              </w:p>
              <w:p>
                <w:pPr>
                  <w:jc w:val="center"/>
                  <w:rPr>
                    <w:rFonts w:ascii="Times New Roman" w:hAnsi="Times New Roman"/>
                    <w:bCs/>
                  </w:rPr>
                </w:pPr>
                <w:r>
                  <w:rPr>
                    <w:rFonts w:ascii="Times New Roman" w:hAnsi="Times New Roman"/>
                  </w:rPr>
                  <w:t>氨氮</w:t>
                </w:r>
              </w:p>
            </w:tc>
            <w:tc>
              <w:tcPr>
                <w:tcW w:w="833" w:type="dxa"/>
                <w:vAlign w:val="center"/>
              </w:tcPr>
              <w:p>
                <w:pPr>
                  <w:rPr>
                    <w:rFonts w:ascii="Times New Roman" w:hAnsi="Times New Roman"/>
                    <w:bCs/>
                  </w:rPr>
                </w:pPr>
                <w:r>
                  <w:rPr>
                    <w:rFonts w:hint="eastAsia" w:ascii="Times New Roman" w:hAnsi="Times New Roman"/>
                    <w:bCs/>
                  </w:rPr>
                  <w:t>烟气经净化处理后排放；污水经处理后重复利用，剩余外排</w:t>
                </w:r>
              </w:p>
            </w:tc>
            <w:tc>
              <w:tcPr>
                <w:tcW w:w="3151" w:type="dxa"/>
                <w:vAlign w:val="center"/>
              </w:tcPr>
              <w:p>
                <w:pPr>
                  <w:pStyle w:val="43"/>
                  <w:widowControl w:val="0"/>
                  <w:jc w:val="both"/>
                </w:pPr>
                <w:r>
                  <w:rPr>
                    <w:rFonts w:hint="eastAsia"/>
                  </w:rPr>
                  <w:t>《污水综合排放标准》（</w:t>
                </w:r>
                <w:r>
                  <w:t>GB8978-1996）</w:t>
                </w:r>
              </w:p>
              <w:p>
                <w:pPr>
                  <w:pStyle w:val="43"/>
                  <w:widowControl w:val="0"/>
                  <w:jc w:val="both"/>
                </w:pPr>
                <w:r>
                  <w:rPr>
                    <w:rFonts w:hint="eastAsia"/>
                  </w:rPr>
                  <w:t>《合成氨工业水污染物排放标准》（</w:t>
                </w:r>
                <w:r>
                  <w:t>GB13458－2013）</w:t>
                </w:r>
              </w:p>
              <w:p>
                <w:pPr>
                  <w:pStyle w:val="43"/>
                  <w:widowControl w:val="0"/>
                  <w:jc w:val="both"/>
                </w:pPr>
                <w:r>
                  <w:rPr>
                    <w:rFonts w:hint="eastAsia"/>
                  </w:rPr>
                  <w:t>《火电厂大气污染物排放标准》（</w:t>
                </w:r>
                <w:r>
                  <w:t>GB13223-2011）</w:t>
                </w:r>
              </w:p>
            </w:tc>
            <w:tc>
              <w:tcPr>
                <w:tcW w:w="1731" w:type="dxa"/>
                <w:vAlign w:val="center"/>
              </w:tcPr>
              <w:p>
                <w:pPr>
                  <w:rPr>
                    <w:rFonts w:ascii="Times New Roman" w:hAnsi="Times New Roman"/>
                    <w:spacing w:val="-18"/>
                  </w:rPr>
                </w:pPr>
                <w:r>
                  <w:rPr>
                    <w:rFonts w:hint="eastAsia" w:ascii="Times New Roman" w:hAnsi="Times New Roman"/>
                    <w:spacing w:val="-18"/>
                  </w:rPr>
                  <w:t>颗粒物：</w:t>
                </w:r>
                <w:r>
                  <w:rPr>
                    <w:rFonts w:ascii="Times New Roman" w:hAnsi="Times New Roman"/>
                    <w:spacing w:val="-18"/>
                  </w:rPr>
                  <w:t>313.07吨</w:t>
                </w:r>
              </w:p>
              <w:p>
                <w:pPr>
                  <w:rPr>
                    <w:rFonts w:ascii="Times New Roman" w:hAnsi="Times New Roman"/>
                    <w:spacing w:val="-18"/>
                  </w:rPr>
                </w:pPr>
                <w:r>
                  <w:rPr>
                    <w:rFonts w:ascii="Times New Roman" w:hAnsi="Times New Roman"/>
                    <w:spacing w:val="-18"/>
                  </w:rPr>
                  <w:t>SO</w:t>
                </w:r>
                <w:r>
                  <w:rPr>
                    <w:rFonts w:ascii="Times New Roman" w:hAnsi="Times New Roman"/>
                    <w:spacing w:val="-18"/>
                    <w:vertAlign w:val="subscript"/>
                  </w:rPr>
                  <w:t>2</w:t>
                </w:r>
                <w:r>
                  <w:rPr>
                    <w:rFonts w:ascii="Times New Roman" w:hAnsi="Times New Roman"/>
                    <w:spacing w:val="-18"/>
                  </w:rPr>
                  <w:t>：427.46吨</w:t>
                </w:r>
              </w:p>
              <w:p>
                <w:pPr>
                  <w:rPr>
                    <w:rFonts w:ascii="Times New Roman" w:hAnsi="Times New Roman"/>
                    <w:spacing w:val="-18"/>
                  </w:rPr>
                </w:pPr>
                <w:r>
                  <w:rPr>
                    <w:rFonts w:ascii="Times New Roman" w:hAnsi="Times New Roman"/>
                    <w:spacing w:val="-18"/>
                  </w:rPr>
                  <w:t>NO</w:t>
                </w:r>
                <w:r>
                  <w:rPr>
                    <w:rFonts w:ascii="Times New Roman" w:hAnsi="Times New Roman"/>
                    <w:spacing w:val="-18"/>
                    <w:vertAlign w:val="subscript"/>
                  </w:rPr>
                  <w:t>X</w:t>
                </w:r>
                <w:r>
                  <w:rPr>
                    <w:rFonts w:ascii="Times New Roman" w:hAnsi="Times New Roman"/>
                    <w:spacing w:val="-18"/>
                  </w:rPr>
                  <w:t>：222.87吨</w:t>
                </w:r>
              </w:p>
              <w:p>
                <w:pPr>
                  <w:rPr>
                    <w:rFonts w:ascii="Times New Roman" w:hAnsi="Times New Roman"/>
                    <w:spacing w:val="-18"/>
                  </w:rPr>
                </w:pPr>
                <w:r>
                  <w:rPr>
                    <w:rFonts w:ascii="Times New Roman" w:hAnsi="Times New Roman"/>
                    <w:spacing w:val="-18"/>
                  </w:rPr>
                  <w:t>COD：122.26吨</w:t>
                </w:r>
              </w:p>
              <w:p>
                <w:pPr>
                  <w:rPr>
                    <w:rFonts w:ascii="Times New Roman" w:hAnsi="Times New Roman"/>
                    <w:spacing w:val="-18"/>
                  </w:rPr>
                </w:pPr>
                <w:r>
                  <w:rPr>
                    <w:rFonts w:hint="eastAsia" w:ascii="Times New Roman" w:hAnsi="Times New Roman"/>
                    <w:spacing w:val="-18"/>
                  </w:rPr>
                  <w:t>氨氮：</w:t>
                </w:r>
                <w:r>
                  <w:rPr>
                    <w:rFonts w:ascii="Times New Roman" w:hAnsi="Times New Roman"/>
                    <w:spacing w:val="-18"/>
                  </w:rPr>
                  <w:t>20.38吨</w:t>
                </w:r>
              </w:p>
            </w:tc>
            <w:tc>
              <w:tcPr>
                <w:tcW w:w="1650" w:type="dxa"/>
                <w:vAlign w:val="center"/>
              </w:tcPr>
              <w:p>
                <w:pPr>
                  <w:rPr>
                    <w:rFonts w:ascii="Times New Roman" w:hAnsi="Times New Roman"/>
                    <w:spacing w:val="-18"/>
                  </w:rPr>
                </w:pPr>
                <w:r>
                  <w:rPr>
                    <w:rFonts w:hint="eastAsia" w:ascii="Times New Roman" w:hAnsi="Times New Roman"/>
                    <w:spacing w:val="-18"/>
                  </w:rPr>
                  <w:t>颗粒物：</w:t>
                </w:r>
                <w:r>
                  <w:rPr>
                    <w:rFonts w:ascii="Times New Roman" w:hAnsi="Times New Roman"/>
                    <w:spacing w:val="-18"/>
                  </w:rPr>
                  <w:t>27.31吨</w:t>
                </w:r>
              </w:p>
              <w:p>
                <w:pPr>
                  <w:rPr>
                    <w:rFonts w:ascii="Times New Roman" w:hAnsi="Times New Roman"/>
                    <w:spacing w:val="-18"/>
                  </w:rPr>
                </w:pPr>
                <w:r>
                  <w:rPr>
                    <w:rFonts w:ascii="Times New Roman" w:hAnsi="Times New Roman"/>
                    <w:spacing w:val="-18"/>
                  </w:rPr>
                  <w:t>SO</w:t>
                </w:r>
                <w:r>
                  <w:rPr>
                    <w:rFonts w:ascii="Times New Roman" w:hAnsi="Times New Roman"/>
                    <w:spacing w:val="-18"/>
                    <w:vertAlign w:val="subscript"/>
                  </w:rPr>
                  <w:t>2</w:t>
                </w:r>
                <w:r>
                  <w:rPr>
                    <w:rFonts w:ascii="Times New Roman" w:hAnsi="Times New Roman"/>
                    <w:spacing w:val="-18"/>
                  </w:rPr>
                  <w:t>：12.97吨</w:t>
                </w:r>
              </w:p>
              <w:p>
                <w:pPr>
                  <w:rPr>
                    <w:rFonts w:ascii="Times New Roman" w:hAnsi="Times New Roman"/>
                    <w:spacing w:val="-18"/>
                  </w:rPr>
                </w:pPr>
                <w:r>
                  <w:rPr>
                    <w:rFonts w:ascii="Times New Roman" w:hAnsi="Times New Roman"/>
                    <w:spacing w:val="-18"/>
                  </w:rPr>
                  <w:t>NO</w:t>
                </w:r>
                <w:r>
                  <w:rPr>
                    <w:rFonts w:ascii="Times New Roman" w:hAnsi="Times New Roman"/>
                    <w:spacing w:val="-18"/>
                    <w:vertAlign w:val="subscript"/>
                  </w:rPr>
                  <w:t>X</w:t>
                </w:r>
                <w:r>
                  <w:rPr>
                    <w:rFonts w:ascii="Times New Roman" w:hAnsi="Times New Roman"/>
                    <w:spacing w:val="-18"/>
                  </w:rPr>
                  <w:t>：164.0吨</w:t>
                </w:r>
              </w:p>
              <w:p>
                <w:pPr>
                  <w:rPr>
                    <w:rFonts w:ascii="Times New Roman" w:hAnsi="Times New Roman"/>
                    <w:spacing w:val="-18"/>
                  </w:rPr>
                </w:pPr>
                <w:r>
                  <w:rPr>
                    <w:rFonts w:ascii="Times New Roman" w:hAnsi="Times New Roman"/>
                    <w:spacing w:val="-18"/>
                  </w:rPr>
                  <w:t>COD：62.21吨</w:t>
                </w:r>
              </w:p>
              <w:p>
                <w:pPr>
                  <w:rPr>
                    <w:rFonts w:ascii="Times New Roman" w:hAnsi="Times New Roman"/>
                    <w:spacing w:val="-18"/>
                  </w:rPr>
                </w:pPr>
                <w:r>
                  <w:rPr>
                    <w:rFonts w:hint="eastAsia" w:ascii="Times New Roman" w:hAnsi="Times New Roman"/>
                    <w:spacing w:val="-18"/>
                  </w:rPr>
                  <w:t>氨氮：</w:t>
                </w:r>
                <w:r>
                  <w:rPr>
                    <w:rFonts w:ascii="Times New Roman" w:hAnsi="Times New Roman"/>
                    <w:spacing w:val="-18"/>
                  </w:rPr>
                  <w:t>1.64吨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vAlign w:val="center"/>
              </w:tcPr>
              <w:p>
                <w:pPr>
                  <w:jc w:val="center"/>
                  <w:rPr>
                    <w:rFonts w:ascii="Times New Roman" w:hAnsi="Times New Roman"/>
                  </w:rPr>
                </w:pPr>
                <w:r>
                  <w:rPr>
                    <w:rFonts w:ascii="Times New Roman" w:hAnsi="Times New Roman"/>
                  </w:rPr>
                  <w:t>29</w:t>
                </w:r>
              </w:p>
            </w:tc>
            <w:tc>
              <w:tcPr>
                <w:tcW w:w="1145" w:type="dxa"/>
                <w:vAlign w:val="center"/>
              </w:tcPr>
              <w:p>
                <w:pPr>
                  <w:pStyle w:val="43"/>
                  <w:widowControl w:val="0"/>
                  <w:jc w:val="both"/>
                </w:pPr>
                <w:r>
                  <w:rPr>
                    <w:rFonts w:hint="eastAsia"/>
                  </w:rPr>
                  <w:t>伊犁一矿</w:t>
                </w:r>
              </w:p>
            </w:tc>
            <w:tc>
              <w:tcPr>
                <w:tcW w:w="920" w:type="dxa"/>
                <w:vAlign w:val="center"/>
              </w:tcPr>
              <w:p>
                <w:pPr>
                  <w:jc w:val="center"/>
                  <w:rPr>
                    <w:rFonts w:ascii="Times New Roman" w:hAnsi="Times New Roman"/>
                  </w:rPr>
                </w:pPr>
                <w:r>
                  <w:rPr>
                    <w:rFonts w:hint="eastAsia" w:ascii="Times New Roman" w:hAnsi="Times New Roman"/>
                  </w:rPr>
                  <w:t>锅炉烟气</w:t>
                </w:r>
              </w:p>
            </w:tc>
            <w:tc>
              <w:tcPr>
                <w:tcW w:w="950" w:type="dxa"/>
                <w:vAlign w:val="center"/>
              </w:tcPr>
              <w:p>
                <w:pPr>
                  <w:widowControl/>
                  <w:rPr>
                    <w:rFonts w:ascii="Times New Roman" w:hAnsi="Times New Roman"/>
                    <w:spacing w:val="-18"/>
                  </w:rPr>
                </w:pPr>
                <w:r>
                  <w:rPr>
                    <w:rFonts w:hint="eastAsia" w:ascii="Times New Roman" w:hAnsi="Times New Roman"/>
                    <w:spacing w:val="-18"/>
                  </w:rPr>
                  <w:t>颗粒物SO</w:t>
                </w:r>
                <w:r>
                  <w:rPr>
                    <w:rFonts w:hint="eastAsia" w:ascii="Times New Roman" w:hAnsi="Times New Roman"/>
                    <w:spacing w:val="-18"/>
                    <w:vertAlign w:val="subscript"/>
                  </w:rPr>
                  <w:t>2</w:t>
                </w:r>
              </w:p>
              <w:p>
                <w:pPr>
                  <w:widowControl/>
                  <w:rPr>
                    <w:rFonts w:ascii="Times New Roman" w:hAnsi="Times New Roman"/>
                    <w:bCs/>
                  </w:rPr>
                </w:pPr>
                <w:r>
                  <w:rPr>
                    <w:rFonts w:ascii="Times New Roman" w:hAnsi="Times New Roman"/>
                    <w:spacing w:val="-18"/>
                  </w:rPr>
                  <w:t>NO</w:t>
                </w:r>
                <w:r>
                  <w:rPr>
                    <w:rFonts w:ascii="Times New Roman" w:hAnsi="Times New Roman"/>
                    <w:spacing w:val="-18"/>
                    <w:vertAlign w:val="subscript"/>
                  </w:rPr>
                  <w:t>X</w:t>
                </w:r>
              </w:p>
            </w:tc>
            <w:tc>
              <w:tcPr>
                <w:tcW w:w="833" w:type="dxa"/>
                <w:vAlign w:val="center"/>
              </w:tcPr>
              <w:p>
                <w:pPr>
                  <w:widowControl/>
                  <w:rPr>
                    <w:rFonts w:ascii="Times New Roman" w:hAnsi="Times New Roman"/>
                    <w:bCs/>
                  </w:rPr>
                </w:pPr>
                <w:r>
                  <w:rPr>
                    <w:rFonts w:hint="eastAsia" w:ascii="Times New Roman" w:hAnsi="Times New Roman"/>
                  </w:rPr>
                  <w:t>锅炉烟气经净化处理后排放</w:t>
                </w:r>
              </w:p>
            </w:tc>
            <w:tc>
              <w:tcPr>
                <w:tcW w:w="3151" w:type="dxa"/>
                <w:vAlign w:val="center"/>
              </w:tcPr>
              <w:p>
                <w:pPr>
                  <w:pStyle w:val="43"/>
                  <w:widowControl w:val="0"/>
                  <w:jc w:val="both"/>
                </w:pPr>
                <w:r>
                  <w:rPr>
                    <w:rFonts w:hint="eastAsia"/>
                  </w:rPr>
                  <w:t>《锅炉大气污染物排放标准》（G</w:t>
                </w:r>
                <w:r>
                  <w:t>B13271-2014</w:t>
                </w:r>
                <w:r>
                  <w:rPr>
                    <w:rFonts w:hint="eastAsia"/>
                  </w:rPr>
                  <w:t>）</w:t>
                </w:r>
              </w:p>
            </w:tc>
            <w:tc>
              <w:tcPr>
                <w:tcW w:w="1731" w:type="dxa"/>
                <w:vAlign w:val="center"/>
              </w:tcPr>
              <w:p>
                <w:pPr>
                  <w:widowControl/>
                  <w:rPr>
                    <w:rFonts w:ascii="Times New Roman" w:hAnsi="Times New Roman"/>
                    <w:spacing w:val="-18"/>
                  </w:rPr>
                </w:pPr>
                <w:r>
                  <w:rPr>
                    <w:rFonts w:hint="eastAsia" w:ascii="Times New Roman" w:hAnsi="Times New Roman"/>
                    <w:spacing w:val="-18"/>
                  </w:rPr>
                  <w:t>颗粒物：9.77吨</w:t>
                </w:r>
              </w:p>
              <w:p>
                <w:pPr>
                  <w:widowControl/>
                  <w:rPr>
                    <w:rFonts w:ascii="Times New Roman" w:hAnsi="Times New Roman"/>
                    <w:spacing w:val="-18"/>
                  </w:rPr>
                </w:pPr>
                <w:r>
                  <w:rPr>
                    <w:rFonts w:hint="eastAsia" w:ascii="Times New Roman" w:hAnsi="Times New Roman"/>
                    <w:spacing w:val="-18"/>
                  </w:rPr>
                  <w:t>SO</w:t>
                </w:r>
                <w:r>
                  <w:rPr>
                    <w:rFonts w:hint="eastAsia" w:ascii="Times New Roman" w:hAnsi="Times New Roman"/>
                    <w:spacing w:val="-18"/>
                    <w:vertAlign w:val="subscript"/>
                  </w:rPr>
                  <w:t>2</w:t>
                </w:r>
                <w:r>
                  <w:rPr>
                    <w:rFonts w:hint="eastAsia" w:ascii="Times New Roman" w:hAnsi="Times New Roman"/>
                    <w:spacing w:val="-18"/>
                  </w:rPr>
                  <w:t>：41.39</w:t>
                </w:r>
                <w:r>
                  <w:rPr>
                    <w:rFonts w:ascii="Times New Roman" w:hAnsi="Times New Roman"/>
                    <w:spacing w:val="-18"/>
                  </w:rPr>
                  <w:t>吨</w:t>
                </w:r>
              </w:p>
              <w:p>
                <w:pPr>
                  <w:rPr>
                    <w:rFonts w:ascii="Times New Roman" w:hAnsi="Times New Roman"/>
                    <w:spacing w:val="-18"/>
                  </w:rPr>
                </w:pPr>
                <w:r>
                  <w:rPr>
                    <w:rFonts w:ascii="Times New Roman" w:hAnsi="Times New Roman"/>
                    <w:spacing w:val="-18"/>
                  </w:rPr>
                  <w:t>NO</w:t>
                </w:r>
                <w:r>
                  <w:rPr>
                    <w:rFonts w:ascii="Times New Roman" w:hAnsi="Times New Roman"/>
                    <w:spacing w:val="-18"/>
                    <w:vertAlign w:val="subscript"/>
                  </w:rPr>
                  <w:t>X</w:t>
                </w:r>
                <w:r>
                  <w:rPr>
                    <w:rFonts w:hint="eastAsia" w:ascii="Times New Roman" w:hAnsi="Times New Roman"/>
                    <w:spacing w:val="-18"/>
                  </w:rPr>
                  <w:t>：51.05</w:t>
                </w:r>
                <w:r>
                  <w:rPr>
                    <w:rFonts w:ascii="Times New Roman" w:hAnsi="Times New Roman"/>
                    <w:spacing w:val="-18"/>
                  </w:rPr>
                  <w:t>吨</w:t>
                </w:r>
              </w:p>
            </w:tc>
            <w:tc>
              <w:tcPr>
                <w:tcW w:w="1650" w:type="dxa"/>
                <w:vAlign w:val="center"/>
              </w:tcPr>
              <w:p>
                <w:pPr>
                  <w:widowControl/>
                  <w:rPr>
                    <w:rFonts w:ascii="Times New Roman" w:hAnsi="Times New Roman"/>
                    <w:spacing w:val="-18"/>
                  </w:rPr>
                </w:pPr>
                <w:r>
                  <w:rPr>
                    <w:rFonts w:hint="eastAsia" w:ascii="Times New Roman" w:hAnsi="Times New Roman"/>
                    <w:spacing w:val="-18"/>
                  </w:rPr>
                  <w:t>颗粒物：4.48吨</w:t>
                </w:r>
              </w:p>
              <w:p>
                <w:pPr>
                  <w:widowControl/>
                  <w:rPr>
                    <w:rFonts w:ascii="Times New Roman" w:hAnsi="Times New Roman"/>
                    <w:spacing w:val="-18"/>
                  </w:rPr>
                </w:pPr>
                <w:r>
                  <w:rPr>
                    <w:rFonts w:hint="eastAsia" w:ascii="Times New Roman" w:hAnsi="Times New Roman"/>
                    <w:spacing w:val="-18"/>
                  </w:rPr>
                  <w:t>SO</w:t>
                </w:r>
                <w:r>
                  <w:rPr>
                    <w:rFonts w:hint="eastAsia" w:ascii="Times New Roman" w:hAnsi="Times New Roman"/>
                    <w:spacing w:val="-18"/>
                    <w:vertAlign w:val="subscript"/>
                  </w:rPr>
                  <w:t>2</w:t>
                </w:r>
                <w:r>
                  <w:rPr>
                    <w:rFonts w:hint="eastAsia" w:ascii="Times New Roman" w:hAnsi="Times New Roman"/>
                    <w:spacing w:val="-18"/>
                  </w:rPr>
                  <w:t>：38.39</w:t>
                </w:r>
                <w:r>
                  <w:rPr>
                    <w:rFonts w:ascii="Times New Roman" w:hAnsi="Times New Roman"/>
                    <w:spacing w:val="-18"/>
                  </w:rPr>
                  <w:t>吨</w:t>
                </w:r>
              </w:p>
              <w:p>
                <w:pPr>
                  <w:rPr>
                    <w:rFonts w:ascii="Times New Roman" w:hAnsi="Times New Roman"/>
                    <w:spacing w:val="-18"/>
                  </w:rPr>
                </w:pPr>
                <w:r>
                  <w:rPr>
                    <w:rFonts w:ascii="Times New Roman" w:hAnsi="Times New Roman"/>
                    <w:spacing w:val="-18"/>
                  </w:rPr>
                  <w:t>NO</w:t>
                </w:r>
                <w:r>
                  <w:rPr>
                    <w:rFonts w:ascii="Times New Roman" w:hAnsi="Times New Roman"/>
                    <w:spacing w:val="-18"/>
                    <w:vertAlign w:val="subscript"/>
                  </w:rPr>
                  <w:t>X</w:t>
                </w:r>
                <w:r>
                  <w:rPr>
                    <w:rFonts w:hint="eastAsia" w:ascii="Times New Roman" w:hAnsi="Times New Roman"/>
                    <w:spacing w:val="-18"/>
                  </w:rPr>
                  <w:t>：30.69</w:t>
                </w:r>
                <w:r>
                  <w:rPr>
                    <w:rFonts w:ascii="Times New Roman" w:hAnsi="Times New Roman"/>
                    <w:spacing w:val="-18"/>
                  </w:rPr>
                  <w:t>吨</w:t>
                </w:r>
              </w:p>
            </w:tc>
          </w:tr>
        </w:tbl>
        <w:p>
          <w:pPr>
            <w:pStyle w:val="43"/>
          </w:pPr>
        </w:p>
        <w:p>
          <w:pPr>
            <w:pStyle w:val="172"/>
            <w:rPr>
              <w:rFonts w:ascii="宋体" w:hAnsi="宋体"/>
            </w:rPr>
          </w:pPr>
        </w:p>
      </w:sdtContent>
    </w:sdt>
    <w:p>
      <w:pPr>
        <w:pStyle w:val="43"/>
      </w:pPr>
    </w:p>
    <w:p>
      <w:pPr>
        <w:pStyle w:val="5"/>
        <w:numPr>
          <w:ilvl w:val="0"/>
          <w:numId w:val="27"/>
        </w:numPr>
        <w:rPr>
          <w:rFonts w:ascii="宋体" w:hAnsi="宋体"/>
          <w:bCs w:val="0"/>
          <w:szCs w:val="21"/>
        </w:rPr>
      </w:pPr>
      <w:r>
        <w:rPr>
          <w:rFonts w:hint="eastAsia" w:ascii="宋体" w:hAnsi="宋体"/>
        </w:rPr>
        <w:t>防治污染设</w:t>
      </w:r>
      <w:r>
        <w:rPr>
          <w:rFonts w:hint="eastAsia" w:ascii="宋体" w:hAnsi="宋体"/>
          <w:szCs w:val="21"/>
        </w:rPr>
        <w:t>施的建设和运行情况</w:t>
      </w:r>
    </w:p>
    <w:sdt>
      <w:sdtPr>
        <w:alias w:val="是否适用：防治污染设施的建设和运行情况[双击切换]"/>
        <w:tag w:val="_GBC_665c787eaadc48818cfce34c2b6143fc"/>
        <w:id w:val="993447810"/>
        <w:placeholder>
          <w:docPart w:val="GBC22222222222222222222222222222"/>
        </w:placeholder>
      </w:sdt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防治污染设施的建设和运行情况"/>
        <w:tag w:val="_GBC_c27cfa9787844f19acb594b8dca60fdb"/>
        <w:id w:val="392083016"/>
        <w:placeholder>
          <w:docPart w:val="GBC22222222222222222222222222222"/>
        </w:placeholder>
      </w:sdtPr>
      <w:sdtContent>
        <w:p>
          <w:pPr>
            <w:ind w:firstLine="420" w:firstLineChars="200"/>
            <w:rPr>
              <w:color w:val="000000"/>
            </w:rPr>
          </w:pPr>
          <w:r>
            <w:rPr>
              <w:rFonts w:hint="eastAsia"/>
              <w:color w:val="000000"/>
            </w:rPr>
            <w:t>本集团所属排污单位建设有完善的污染源治理设施，治理设施与生产系统同步运行，确保实现污染物达标排放。</w:t>
          </w:r>
        </w:p>
        <w:tbl>
          <w:tblPr>
            <w:tblStyle w:val="477"/>
            <w:tblW w:w="10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725"/>
            <w:gridCol w:w="7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blHeader/>
              <w:jc w:val="center"/>
            </w:trPr>
            <w:tc>
              <w:tcPr>
                <w:tcW w:w="667" w:type="dxa"/>
                <w:vAlign w:val="center"/>
              </w:tcPr>
              <w:p>
                <w:pPr>
                  <w:jc w:val="center"/>
                  <w:rPr>
                    <w:rFonts w:ascii="黑体" w:hAnsi="黑体" w:eastAsia="黑体"/>
                    <w:bCs/>
                    <w:color w:val="000000"/>
                  </w:rPr>
                </w:pPr>
                <w:r>
                  <w:rPr>
                    <w:rFonts w:hint="eastAsia" w:ascii="黑体" w:hAnsi="黑体" w:eastAsia="黑体"/>
                    <w:color w:val="000000"/>
                  </w:rPr>
                  <w:t>序号</w:t>
                </w:r>
              </w:p>
            </w:tc>
            <w:tc>
              <w:tcPr>
                <w:tcW w:w="1725" w:type="dxa"/>
                <w:vAlign w:val="center"/>
              </w:tcPr>
              <w:p>
                <w:pPr>
                  <w:jc w:val="center"/>
                  <w:rPr>
                    <w:rFonts w:ascii="黑体" w:hAnsi="黑体" w:eastAsia="黑体"/>
                    <w:bCs/>
                    <w:color w:val="000000"/>
                  </w:rPr>
                </w:pPr>
                <w:r>
                  <w:rPr>
                    <w:rFonts w:hint="eastAsia" w:ascii="黑体" w:hAnsi="黑体" w:eastAsia="黑体"/>
                    <w:color w:val="000000"/>
                  </w:rPr>
                  <w:t>重点排污单位</w:t>
                </w:r>
              </w:p>
            </w:tc>
            <w:tc>
              <w:tcPr>
                <w:tcW w:w="7765" w:type="dxa"/>
                <w:vAlign w:val="center"/>
              </w:tcPr>
              <w:p>
                <w:pPr>
                  <w:jc w:val="center"/>
                  <w:rPr>
                    <w:rFonts w:ascii="黑体" w:hAnsi="黑体" w:eastAsia="黑体"/>
                    <w:bCs/>
                    <w:color w:val="000000"/>
                  </w:rPr>
                </w:pPr>
                <w:r>
                  <w:rPr>
                    <w:rFonts w:hint="eastAsia" w:ascii="黑体" w:hAnsi="黑体" w:eastAsia="黑体"/>
                    <w:color w:val="000000"/>
                  </w:rPr>
                  <w:t>防治污染设施的建设和运行情况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color w:val="000000"/>
                  </w:rPr>
                </w:pPr>
                <w:r>
                  <w:rPr>
                    <w:rFonts w:hint="eastAsia" w:ascii="Times New Roman" w:hAnsi="Times New Roman"/>
                    <w:color w:val="000000"/>
                  </w:rPr>
                  <w:t>1</w:t>
                </w:r>
              </w:p>
            </w:tc>
            <w:tc>
              <w:tcPr>
                <w:tcW w:w="1725" w:type="dxa"/>
                <w:vAlign w:val="center"/>
              </w:tcPr>
              <w:p>
                <w:pPr>
                  <w:jc w:val="center"/>
                  <w:rPr>
                    <w:rFonts w:ascii="Times New Roman" w:hAnsi="Times New Roman"/>
                    <w:bCs/>
                    <w:color w:val="000000"/>
                  </w:rPr>
                </w:pPr>
                <w:r>
                  <w:rPr>
                    <w:rFonts w:ascii="Times New Roman" w:hAnsi="Times New Roman"/>
                    <w:color w:val="000000"/>
                  </w:rPr>
                  <w:t>南屯煤矿</w:t>
                </w:r>
              </w:p>
            </w:tc>
            <w:tc>
              <w:tcPr>
                <w:tcW w:w="7765" w:type="dxa"/>
                <w:vMerge w:val="restart"/>
                <w:vAlign w:val="center"/>
              </w:tcPr>
              <w:p>
                <w:pPr>
                  <w:rPr>
                    <w:rFonts w:ascii="Times New Roman" w:hAnsi="Times New Roman"/>
                    <w:bCs/>
                    <w:color w:val="000000"/>
                  </w:rPr>
                </w:pPr>
                <w:r>
                  <w:rPr>
                    <w:rFonts w:hint="eastAsia" w:ascii="Times New Roman" w:hAnsi="Times New Roman"/>
                    <w:color w:val="000000"/>
                  </w:rPr>
                  <w:t>建有一座矿井水处理站、一座生活污水处理站、一套高盐矿井水处理系统，运行正常。建有封闭煤棚和物料棚。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2</w:t>
                </w:r>
              </w:p>
            </w:tc>
            <w:tc>
              <w:tcPr>
                <w:tcW w:w="1725" w:type="dxa"/>
                <w:vAlign w:val="center"/>
              </w:tcPr>
              <w:p>
                <w:pPr>
                  <w:jc w:val="center"/>
                  <w:rPr>
                    <w:rFonts w:ascii="Times New Roman" w:hAnsi="Times New Roman"/>
                    <w:bCs/>
                  </w:rPr>
                </w:pPr>
                <w:r>
                  <w:rPr>
                    <w:rFonts w:ascii="Times New Roman" w:hAnsi="Times New Roman"/>
                  </w:rPr>
                  <w:t>鲍店煤矿</w:t>
                </w:r>
              </w:p>
            </w:tc>
            <w:tc>
              <w:tcPr>
                <w:tcW w:w="7765" w:type="dxa"/>
                <w:vMerge w:val="continue"/>
                <w:vAlign w:val="center"/>
              </w:tcPr>
              <w:p>
                <w:pPr>
                  <w:rPr>
                    <w:rFonts w:ascii="Times New Roman" w:hAnsi="Times New Roman"/>
                    <w:bCs/>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3</w:t>
                </w:r>
              </w:p>
            </w:tc>
            <w:tc>
              <w:tcPr>
                <w:tcW w:w="1725" w:type="dxa"/>
                <w:vAlign w:val="center"/>
              </w:tcPr>
              <w:p>
                <w:pPr>
                  <w:jc w:val="center"/>
                  <w:rPr>
                    <w:rFonts w:ascii="Times New Roman" w:hAnsi="Times New Roman"/>
                    <w:bCs/>
                  </w:rPr>
                </w:pPr>
                <w:r>
                  <w:rPr>
                    <w:rFonts w:ascii="Times New Roman" w:hAnsi="Times New Roman"/>
                  </w:rPr>
                  <w:t>东滩煤矿</w:t>
                </w:r>
              </w:p>
            </w:tc>
            <w:tc>
              <w:tcPr>
                <w:tcW w:w="7765" w:type="dxa"/>
                <w:vMerge w:val="continue"/>
                <w:vAlign w:val="center"/>
              </w:tcPr>
              <w:p>
                <w:pPr>
                  <w:rPr>
                    <w:rFonts w:ascii="Times New Roman" w:hAnsi="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4</w:t>
                </w:r>
              </w:p>
            </w:tc>
            <w:tc>
              <w:tcPr>
                <w:tcW w:w="1725" w:type="dxa"/>
                <w:vAlign w:val="center"/>
              </w:tcPr>
              <w:p>
                <w:pPr>
                  <w:jc w:val="center"/>
                  <w:rPr>
                    <w:rFonts w:ascii="Times New Roman" w:hAnsi="Times New Roman"/>
                    <w:bCs/>
                  </w:rPr>
                </w:pPr>
                <w:r>
                  <w:rPr>
                    <w:rFonts w:hint="eastAsia" w:ascii="Times New Roman" w:hAnsi="Times New Roman"/>
                  </w:rPr>
                  <w:t>济二煤矿</w:t>
                </w:r>
              </w:p>
            </w:tc>
            <w:tc>
              <w:tcPr>
                <w:tcW w:w="7765" w:type="dxa"/>
                <w:vMerge w:val="continue"/>
                <w:vAlign w:val="center"/>
              </w:tcPr>
              <w:p>
                <w:pPr>
                  <w:rPr>
                    <w:rFonts w:ascii="Times New Roman" w:hAnsi="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5</w:t>
                </w:r>
              </w:p>
            </w:tc>
            <w:tc>
              <w:tcPr>
                <w:tcW w:w="1725" w:type="dxa"/>
                <w:vAlign w:val="center"/>
              </w:tcPr>
              <w:p>
                <w:pPr>
                  <w:jc w:val="center"/>
                  <w:rPr>
                    <w:rFonts w:ascii="Times New Roman" w:hAnsi="Times New Roman"/>
                    <w:bCs/>
                  </w:rPr>
                </w:pPr>
                <w:r>
                  <w:rPr>
                    <w:rFonts w:ascii="Times New Roman" w:hAnsi="Times New Roman"/>
                  </w:rPr>
                  <w:t>济</w:t>
                </w:r>
                <w:r>
                  <w:rPr>
                    <w:rFonts w:hint="eastAsia" w:ascii="Times New Roman" w:hAnsi="Times New Roman"/>
                  </w:rPr>
                  <w:t>三</w:t>
                </w:r>
                <w:r>
                  <w:rPr>
                    <w:rFonts w:ascii="Times New Roman" w:hAnsi="Times New Roman"/>
                  </w:rPr>
                  <w:t>煤矿</w:t>
                </w:r>
              </w:p>
            </w:tc>
            <w:tc>
              <w:tcPr>
                <w:tcW w:w="7765" w:type="dxa"/>
                <w:vMerge w:val="continue"/>
                <w:vAlign w:val="center"/>
              </w:tcPr>
              <w:p>
                <w:pPr>
                  <w:rPr>
                    <w:rFonts w:ascii="Times New Roman" w:hAnsi="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6</w:t>
                </w:r>
              </w:p>
            </w:tc>
            <w:tc>
              <w:tcPr>
                <w:tcW w:w="1725" w:type="dxa"/>
                <w:vAlign w:val="center"/>
              </w:tcPr>
              <w:p>
                <w:pPr>
                  <w:jc w:val="center"/>
                  <w:rPr>
                    <w:rFonts w:ascii="Times New Roman" w:hAnsi="Times New Roman"/>
                    <w:bCs/>
                  </w:rPr>
                </w:pPr>
                <w:r>
                  <w:rPr>
                    <w:rFonts w:ascii="Times New Roman" w:hAnsi="Times New Roman"/>
                  </w:rPr>
                  <w:t>赵楼煤矿</w:t>
                </w:r>
              </w:p>
            </w:tc>
            <w:tc>
              <w:tcPr>
                <w:tcW w:w="7765" w:type="dxa"/>
                <w:vMerge w:val="continue"/>
                <w:vAlign w:val="center"/>
              </w:tcPr>
              <w:p>
                <w:pPr>
                  <w:rPr>
                    <w:rFonts w:ascii="Times New Roman" w:hAnsi="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7</w:t>
                </w:r>
              </w:p>
            </w:tc>
            <w:tc>
              <w:tcPr>
                <w:tcW w:w="1725" w:type="dxa"/>
                <w:vAlign w:val="center"/>
              </w:tcPr>
              <w:p>
                <w:pPr>
                  <w:jc w:val="center"/>
                  <w:rPr>
                    <w:rFonts w:ascii="Times New Roman" w:hAnsi="Times New Roman"/>
                    <w:bCs/>
                  </w:rPr>
                </w:pPr>
                <w:r>
                  <w:rPr>
                    <w:rFonts w:ascii="Times New Roman" w:hAnsi="Times New Roman"/>
                  </w:rPr>
                  <w:t>杨村煤矿</w:t>
                </w:r>
              </w:p>
            </w:tc>
            <w:tc>
              <w:tcPr>
                <w:tcW w:w="7765" w:type="dxa"/>
                <w:vMerge w:val="restart"/>
                <w:vAlign w:val="center"/>
              </w:tcPr>
              <w:p>
                <w:pPr>
                  <w:rPr>
                    <w:rFonts w:ascii="Times New Roman" w:hAnsi="Times New Roman"/>
                    <w:bCs/>
                  </w:rPr>
                </w:pPr>
                <w:r>
                  <w:rPr>
                    <w:rFonts w:hint="eastAsia" w:ascii="Times New Roman" w:hAnsi="Times New Roman"/>
                  </w:rPr>
                  <w:t>建有一座矿井水处理站、一座生活污水处理站，运行正常。建有封闭煤棚和物料棚。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8</w:t>
                </w:r>
              </w:p>
            </w:tc>
            <w:tc>
              <w:tcPr>
                <w:tcW w:w="1725" w:type="dxa"/>
                <w:vAlign w:val="center"/>
              </w:tcPr>
              <w:p>
                <w:pPr>
                  <w:jc w:val="center"/>
                  <w:rPr>
                    <w:rFonts w:ascii="Times New Roman" w:hAnsi="Times New Roman"/>
                    <w:bCs/>
                  </w:rPr>
                </w:pPr>
                <w:r>
                  <w:rPr>
                    <w:rFonts w:ascii="Times New Roman" w:hAnsi="Times New Roman"/>
                  </w:rPr>
                  <w:t>兴隆庄煤矿</w:t>
                </w:r>
              </w:p>
            </w:tc>
            <w:tc>
              <w:tcPr>
                <w:tcW w:w="7765" w:type="dxa"/>
                <w:vMerge w:val="continue"/>
                <w:vAlign w:val="center"/>
              </w:tcPr>
              <w:p>
                <w:pPr>
                  <w:rPr>
                    <w:rFonts w:ascii="Times New Roman" w:hAnsi="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9</w:t>
                </w:r>
              </w:p>
            </w:tc>
            <w:tc>
              <w:tcPr>
                <w:tcW w:w="1725" w:type="dxa"/>
                <w:vAlign w:val="center"/>
              </w:tcPr>
              <w:p>
                <w:pPr>
                  <w:jc w:val="center"/>
                  <w:rPr>
                    <w:rFonts w:ascii="Times New Roman" w:hAnsi="Times New Roman"/>
                    <w:bCs/>
                  </w:rPr>
                </w:pPr>
                <w:r>
                  <w:rPr>
                    <w:rFonts w:hint="eastAsia" w:ascii="Times New Roman" w:hAnsi="Times New Roman"/>
                  </w:rPr>
                  <w:t>天池能源</w:t>
                </w:r>
              </w:p>
            </w:tc>
            <w:tc>
              <w:tcPr>
                <w:tcW w:w="7765" w:type="dxa"/>
                <w:vAlign w:val="center"/>
              </w:tcPr>
              <w:p>
                <w:pPr>
                  <w:rPr>
                    <w:rFonts w:ascii="Times New Roman" w:hAnsi="Times New Roman"/>
                    <w:bCs/>
                  </w:rPr>
                </w:pPr>
                <w:r>
                  <w:rPr>
                    <w:rFonts w:ascii="Times New Roman" w:hAnsi="Times New Roman"/>
                  </w:rPr>
                  <w:t>建有一座矿井水处理站</w:t>
                </w:r>
                <w:r>
                  <w:rPr>
                    <w:rFonts w:hint="eastAsia" w:ascii="Times New Roman" w:hAnsi="Times New Roman"/>
                  </w:rPr>
                  <w:t>、</w:t>
                </w:r>
                <w:r>
                  <w:rPr>
                    <w:rFonts w:ascii="Times New Roman" w:hAnsi="Times New Roman"/>
                  </w:rPr>
                  <w:t>一座生活污水处理站，运行正常。建有1台10蒸吨和1台6蒸吨天然气锅炉替代原有燃煤锅炉。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0</w:t>
                </w:r>
              </w:p>
            </w:tc>
            <w:tc>
              <w:tcPr>
                <w:tcW w:w="1725" w:type="dxa"/>
                <w:vAlign w:val="center"/>
              </w:tcPr>
              <w:p>
                <w:pPr>
                  <w:jc w:val="center"/>
                  <w:rPr>
                    <w:rFonts w:ascii="Times New Roman" w:hAnsi="Times New Roman"/>
                    <w:bCs/>
                  </w:rPr>
                </w:pPr>
                <w:r>
                  <w:rPr>
                    <w:rFonts w:ascii="Times New Roman" w:hAnsi="Times New Roman"/>
                  </w:rPr>
                  <w:t>金鸡滩煤矿</w:t>
                </w:r>
              </w:p>
            </w:tc>
            <w:tc>
              <w:tcPr>
                <w:tcW w:w="7765" w:type="dxa"/>
                <w:vAlign w:val="center"/>
              </w:tcPr>
              <w:p>
                <w:pPr>
                  <w:rPr>
                    <w:rFonts w:ascii="Times New Roman" w:hAnsi="Times New Roman"/>
                    <w:bCs/>
                  </w:rPr>
                </w:pPr>
                <w:r>
                  <w:rPr>
                    <w:rFonts w:ascii="Times New Roman" w:hAnsi="Times New Roman"/>
                  </w:rPr>
                  <w:t>建有一座矿井水处理站</w:t>
                </w:r>
                <w:r>
                  <w:rPr>
                    <w:rFonts w:hint="eastAsia" w:ascii="Times New Roman" w:hAnsi="Times New Roman"/>
                  </w:rPr>
                  <w:t>、</w:t>
                </w:r>
                <w:r>
                  <w:rPr>
                    <w:rFonts w:ascii="Times New Roman" w:hAnsi="Times New Roman"/>
                  </w:rPr>
                  <w:t>一座生活污水处理站，运行正常。另有2台65蒸吨锅炉，均建有除尘、脱硫、脱硝设施，运行正常</w:t>
                </w: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11</w:t>
                </w:r>
              </w:p>
            </w:tc>
            <w:tc>
              <w:tcPr>
                <w:tcW w:w="1725" w:type="dxa"/>
                <w:vAlign w:val="center"/>
              </w:tcPr>
              <w:p>
                <w:pPr>
                  <w:jc w:val="center"/>
                  <w:rPr>
                    <w:rFonts w:ascii="Times New Roman" w:hAnsi="Times New Roman"/>
                    <w:bCs/>
                  </w:rPr>
                </w:pPr>
                <w:r>
                  <w:rPr>
                    <w:rFonts w:ascii="Times New Roman" w:hAnsi="Times New Roman"/>
                  </w:rPr>
                  <w:t>未来能源</w:t>
                </w:r>
                <w:r>
                  <w:rPr>
                    <w:rFonts w:hint="eastAsia" w:ascii="Times New Roman" w:hAnsi="Times New Roman"/>
                  </w:rPr>
                  <w:t>煤制油分公司</w:t>
                </w:r>
              </w:p>
            </w:tc>
            <w:tc>
              <w:tcPr>
                <w:tcW w:w="7765" w:type="dxa"/>
                <w:vAlign w:val="center"/>
              </w:tcPr>
              <w:p>
                <w:pPr>
                  <w:rPr>
                    <w:rFonts w:ascii="Times New Roman" w:hAnsi="Times New Roman"/>
                    <w:bCs/>
                  </w:rPr>
                </w:pPr>
                <w:r>
                  <w:rPr>
                    <w:rFonts w:ascii="Times New Roman" w:hAnsi="Times New Roman"/>
                  </w:rPr>
                  <w:t>建有一座工业废水处理厂，运行正常，废水深度处理后回用。另有</w:t>
                </w:r>
                <w:r>
                  <w:rPr>
                    <w:rFonts w:hint="eastAsia" w:ascii="Times New Roman" w:hAnsi="Times New Roman"/>
                  </w:rPr>
                  <w:t>3</w:t>
                </w:r>
                <w:r>
                  <w:rPr>
                    <w:rFonts w:ascii="Times New Roman" w:hAnsi="Times New Roman"/>
                  </w:rPr>
                  <w:t>台480蒸吨煤粉炉，均建有除尘、脱硫、脱硝设施，</w:t>
                </w:r>
                <w:r>
                  <w:rPr>
                    <w:rFonts w:hint="eastAsia" w:ascii="Times New Roman" w:hAnsi="Times New Roman"/>
                  </w:rPr>
                  <w:t>实现</w:t>
                </w:r>
                <w:r>
                  <w:rPr>
                    <w:rFonts w:ascii="Times New Roman" w:hAnsi="Times New Roman"/>
                  </w:rPr>
                  <w:t>超低排放，运行正常。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2</w:t>
                </w:r>
              </w:p>
            </w:tc>
            <w:tc>
              <w:tcPr>
                <w:tcW w:w="1725" w:type="dxa"/>
                <w:vAlign w:val="center"/>
              </w:tcPr>
              <w:p>
                <w:pPr>
                  <w:jc w:val="center"/>
                  <w:rPr>
                    <w:rFonts w:ascii="Times New Roman" w:hAnsi="Times New Roman"/>
                    <w:bCs/>
                  </w:rPr>
                </w:pPr>
                <w:r>
                  <w:rPr>
                    <w:rFonts w:hint="eastAsia" w:ascii="Times New Roman" w:hAnsi="Times New Roman"/>
                  </w:rPr>
                  <w:t>鄂尔多斯公司</w:t>
                </w:r>
                <w:r>
                  <w:rPr>
                    <w:rFonts w:ascii="Times New Roman" w:hAnsi="Times New Roman"/>
                  </w:rPr>
                  <w:t>荣信化工</w:t>
                </w:r>
              </w:p>
            </w:tc>
            <w:tc>
              <w:tcPr>
                <w:tcW w:w="7765" w:type="dxa"/>
                <w:vAlign w:val="center"/>
              </w:tcPr>
              <w:p>
                <w:pPr>
                  <w:rPr>
                    <w:rFonts w:ascii="Times New Roman" w:hAnsi="Times New Roman"/>
                    <w:bCs/>
                  </w:rPr>
                </w:pPr>
                <w:r>
                  <w:rPr>
                    <w:rFonts w:ascii="Times New Roman" w:hAnsi="Times New Roman"/>
                  </w:rPr>
                  <w:t>建有</w:t>
                </w:r>
                <w:r>
                  <w:rPr>
                    <w:rFonts w:hint="eastAsia" w:ascii="Times New Roman" w:hAnsi="Times New Roman"/>
                  </w:rPr>
                  <w:t>两套</w:t>
                </w:r>
                <w:r>
                  <w:rPr>
                    <w:rFonts w:ascii="Times New Roman" w:hAnsi="Times New Roman"/>
                  </w:rPr>
                  <w:t>污水处理</w:t>
                </w:r>
                <w:r>
                  <w:rPr>
                    <w:rFonts w:hint="eastAsia" w:ascii="Times New Roman" w:hAnsi="Times New Roman"/>
                  </w:rPr>
                  <w:t>系统</w:t>
                </w:r>
                <w:r>
                  <w:rPr>
                    <w:rFonts w:ascii="Times New Roman" w:hAnsi="Times New Roman"/>
                  </w:rPr>
                  <w:t>，运行正常。另有</w:t>
                </w:r>
                <w:r>
                  <w:rPr>
                    <w:rFonts w:hint="eastAsia" w:ascii="Times New Roman" w:hAnsi="Times New Roman"/>
                  </w:rPr>
                  <w:t>3</w:t>
                </w:r>
                <w:r>
                  <w:rPr>
                    <w:rFonts w:ascii="Times New Roman" w:hAnsi="Times New Roman"/>
                  </w:rPr>
                  <w:t>台220蒸吨</w:t>
                </w:r>
                <w:r>
                  <w:rPr>
                    <w:rFonts w:hint="eastAsia" w:ascii="Times New Roman" w:hAnsi="Times New Roman"/>
                  </w:rPr>
                  <w:t>、2台3</w:t>
                </w:r>
                <w:r>
                  <w:rPr>
                    <w:rFonts w:ascii="Times New Roman" w:hAnsi="Times New Roman"/>
                  </w:rPr>
                  <w:t>80</w:t>
                </w:r>
                <w:r>
                  <w:rPr>
                    <w:rFonts w:hint="eastAsia" w:ascii="Times New Roman" w:hAnsi="Times New Roman"/>
                  </w:rPr>
                  <w:t>蒸吨</w:t>
                </w:r>
                <w:r>
                  <w:rPr>
                    <w:rFonts w:ascii="Times New Roman" w:hAnsi="Times New Roman"/>
                  </w:rPr>
                  <w:t>循环流化床锅炉，均建有除尘、脱硫、脱硝设施，</w:t>
                </w:r>
                <w:r>
                  <w:rPr>
                    <w:rFonts w:hint="eastAsia" w:ascii="Times New Roman" w:hAnsi="Times New Roman"/>
                  </w:rPr>
                  <w:t>实现</w:t>
                </w:r>
                <w:r>
                  <w:rPr>
                    <w:rFonts w:ascii="Times New Roman" w:hAnsi="Times New Roman"/>
                  </w:rPr>
                  <w:t>超低排放，运行正常。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3</w:t>
                </w:r>
              </w:p>
            </w:tc>
            <w:tc>
              <w:tcPr>
                <w:tcW w:w="1725" w:type="dxa"/>
                <w:vAlign w:val="center"/>
              </w:tcPr>
              <w:p>
                <w:pPr>
                  <w:jc w:val="center"/>
                  <w:rPr>
                    <w:rFonts w:ascii="Times New Roman" w:hAnsi="Times New Roman"/>
                    <w:bCs/>
                  </w:rPr>
                </w:pPr>
                <w:r>
                  <w:rPr>
                    <w:rFonts w:ascii="Times New Roman" w:hAnsi="Times New Roman"/>
                  </w:rPr>
                  <w:t>转龙湾煤矿</w:t>
                </w:r>
              </w:p>
            </w:tc>
            <w:tc>
              <w:tcPr>
                <w:tcW w:w="7765" w:type="dxa"/>
                <w:vAlign w:val="center"/>
              </w:tcPr>
              <w:p>
                <w:pPr>
                  <w:rPr>
                    <w:rFonts w:ascii="Times New Roman" w:hAnsi="Times New Roman"/>
                    <w:bCs/>
                  </w:rPr>
                </w:pPr>
                <w:r>
                  <w:rPr>
                    <w:rFonts w:ascii="Times New Roman" w:hAnsi="Times New Roman"/>
                  </w:rPr>
                  <w:t>建有一座矿井水处理站</w:t>
                </w:r>
                <w:r>
                  <w:rPr>
                    <w:rFonts w:hint="eastAsia" w:ascii="Times New Roman" w:hAnsi="Times New Roman"/>
                  </w:rPr>
                  <w:t>、</w:t>
                </w:r>
                <w:r>
                  <w:rPr>
                    <w:rFonts w:ascii="Times New Roman" w:hAnsi="Times New Roman"/>
                  </w:rPr>
                  <w:t>一座生活污水处理站，运行正常。另有3台20蒸吨锅炉，均建有除尘、脱硫、脱硝设施，运行正常。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4</w:t>
                </w:r>
              </w:p>
            </w:tc>
            <w:tc>
              <w:tcPr>
                <w:tcW w:w="1725" w:type="dxa"/>
                <w:vAlign w:val="center"/>
              </w:tcPr>
              <w:p>
                <w:pPr>
                  <w:jc w:val="center"/>
                  <w:rPr>
                    <w:rFonts w:ascii="Times New Roman" w:hAnsi="Times New Roman"/>
                    <w:bCs/>
                  </w:rPr>
                </w:pPr>
                <w:r>
                  <w:rPr>
                    <w:rFonts w:hint="eastAsia" w:ascii="Times New Roman" w:hAnsi="Times New Roman"/>
                  </w:rPr>
                  <w:t>石拉乌素煤矿</w:t>
                </w:r>
              </w:p>
            </w:tc>
            <w:tc>
              <w:tcPr>
                <w:tcW w:w="7765" w:type="dxa"/>
                <w:vAlign w:val="center"/>
              </w:tcPr>
              <w:p>
                <w:pPr>
                  <w:rPr>
                    <w:rFonts w:ascii="Times New Roman" w:hAnsi="Times New Roman"/>
                    <w:bCs/>
                  </w:rPr>
                </w:pPr>
                <w:r>
                  <w:rPr>
                    <w:rFonts w:ascii="Times New Roman" w:hAnsi="Times New Roman"/>
                  </w:rPr>
                  <w:t>建有一座矿井水处理站</w:t>
                </w:r>
                <w:r>
                  <w:rPr>
                    <w:rFonts w:hint="eastAsia" w:ascii="Times New Roman" w:hAnsi="Times New Roman"/>
                  </w:rPr>
                  <w:t>、</w:t>
                </w:r>
                <w:r>
                  <w:rPr>
                    <w:rFonts w:ascii="Times New Roman" w:hAnsi="Times New Roman"/>
                  </w:rPr>
                  <w:t>一座生活污水处理站，运行正常。另有3台20蒸吨锅炉</w:t>
                </w:r>
                <w:r>
                  <w:rPr>
                    <w:rFonts w:hint="eastAsia" w:ascii="Times New Roman" w:hAnsi="Times New Roman"/>
                  </w:rPr>
                  <w:t>、1台4</w:t>
                </w:r>
                <w:r>
                  <w:rPr>
                    <w:rFonts w:ascii="Times New Roman" w:hAnsi="Times New Roman"/>
                  </w:rPr>
                  <w:t>5</w:t>
                </w:r>
                <w:r>
                  <w:rPr>
                    <w:rFonts w:hint="eastAsia" w:ascii="Times New Roman" w:hAnsi="Times New Roman"/>
                  </w:rPr>
                  <w:t>蒸吨循环流化床锅炉</w:t>
                </w:r>
                <w:r>
                  <w:rPr>
                    <w:rFonts w:ascii="Times New Roman" w:hAnsi="Times New Roman"/>
                  </w:rPr>
                  <w:t>，均建有除尘、脱硫、脱硝设施，运行正常。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5</w:t>
                </w:r>
              </w:p>
            </w:tc>
            <w:tc>
              <w:tcPr>
                <w:tcW w:w="1725" w:type="dxa"/>
                <w:vAlign w:val="center"/>
              </w:tcPr>
              <w:p>
                <w:pPr>
                  <w:jc w:val="center"/>
                  <w:rPr>
                    <w:rFonts w:ascii="Times New Roman" w:hAnsi="Times New Roman"/>
                    <w:bCs/>
                  </w:rPr>
                </w:pPr>
                <w:r>
                  <w:rPr>
                    <w:rFonts w:hint="eastAsia" w:ascii="Times New Roman" w:hAnsi="Times New Roman"/>
                  </w:rPr>
                  <w:t>营盘壕煤矿</w:t>
                </w:r>
              </w:p>
            </w:tc>
            <w:tc>
              <w:tcPr>
                <w:tcW w:w="7765" w:type="dxa"/>
                <w:vAlign w:val="center"/>
              </w:tcPr>
              <w:p>
                <w:pPr>
                  <w:rPr>
                    <w:rFonts w:ascii="Times New Roman" w:hAnsi="Times New Roman"/>
                    <w:bCs/>
                  </w:rPr>
                </w:pPr>
                <w:r>
                  <w:rPr>
                    <w:rFonts w:ascii="Times New Roman" w:hAnsi="Times New Roman"/>
                  </w:rPr>
                  <w:t>建有一座矿井水处理站</w:t>
                </w:r>
                <w:r>
                  <w:rPr>
                    <w:rFonts w:hint="eastAsia" w:ascii="Times New Roman" w:hAnsi="Times New Roman"/>
                  </w:rPr>
                  <w:t>、</w:t>
                </w:r>
                <w:r>
                  <w:rPr>
                    <w:rFonts w:ascii="Times New Roman" w:hAnsi="Times New Roman"/>
                  </w:rPr>
                  <w:t>一座生活污水处理站，运行正常。另有</w:t>
                </w:r>
                <w:r>
                  <w:rPr>
                    <w:rFonts w:hint="eastAsia" w:ascii="Times New Roman" w:hAnsi="Times New Roman"/>
                  </w:rPr>
                  <w:t>2台4</w:t>
                </w:r>
                <w:r>
                  <w:rPr>
                    <w:rFonts w:ascii="Times New Roman" w:hAnsi="Times New Roman"/>
                  </w:rPr>
                  <w:t>5</w:t>
                </w:r>
                <w:r>
                  <w:rPr>
                    <w:rFonts w:hint="eastAsia" w:ascii="Times New Roman" w:hAnsi="Times New Roman"/>
                  </w:rPr>
                  <w:t>蒸吨循环流化床锅炉</w:t>
                </w:r>
                <w:r>
                  <w:rPr>
                    <w:rFonts w:ascii="Times New Roman" w:hAnsi="Times New Roman"/>
                  </w:rPr>
                  <w:t>，均建有除尘、脱硫、脱硝设施，运行正常。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ascii="Times New Roman" w:hAnsi="Times New Roman"/>
                  </w:rPr>
                  <w:t>16</w:t>
                </w:r>
              </w:p>
            </w:tc>
            <w:tc>
              <w:tcPr>
                <w:tcW w:w="1725" w:type="dxa"/>
                <w:vAlign w:val="center"/>
              </w:tcPr>
              <w:p>
                <w:pPr>
                  <w:jc w:val="center"/>
                  <w:rPr>
                    <w:rFonts w:ascii="Times New Roman" w:hAnsi="Times New Roman"/>
                    <w:bCs/>
                  </w:rPr>
                </w:pPr>
                <w:r>
                  <w:rPr>
                    <w:rFonts w:ascii="Times New Roman" w:hAnsi="Times New Roman"/>
                  </w:rPr>
                  <w:t>赵楼电厂</w:t>
                </w:r>
              </w:p>
            </w:tc>
            <w:tc>
              <w:tcPr>
                <w:tcW w:w="7765" w:type="dxa"/>
                <w:vAlign w:val="center"/>
              </w:tcPr>
              <w:p>
                <w:pPr>
                  <w:rPr>
                    <w:rFonts w:ascii="Times New Roman" w:hAnsi="Times New Roman"/>
                    <w:bCs/>
                  </w:rPr>
                </w:pPr>
                <w:r>
                  <w:rPr>
                    <w:rFonts w:hint="eastAsia" w:ascii="Times New Roman" w:hAnsi="Times New Roman"/>
                  </w:rPr>
                  <w:t>现有1</w:t>
                </w:r>
                <w:r>
                  <w:rPr>
                    <w:rFonts w:ascii="Times New Roman" w:hAnsi="Times New Roman"/>
                  </w:rPr>
                  <w:t>台</w:t>
                </w:r>
                <w:r>
                  <w:rPr>
                    <w:rFonts w:hint="eastAsia" w:ascii="Times New Roman" w:hAnsi="Times New Roman"/>
                  </w:rPr>
                  <w:t>1,025</w:t>
                </w:r>
                <w:r>
                  <w:rPr>
                    <w:rFonts w:ascii="Times New Roman" w:hAnsi="Times New Roman"/>
                  </w:rPr>
                  <w:t>蒸吨</w:t>
                </w:r>
                <w:r>
                  <w:rPr>
                    <w:rFonts w:hint="eastAsia" w:ascii="Times New Roman" w:hAnsi="Times New Roman"/>
                  </w:rPr>
                  <w:t>循环流化床</w:t>
                </w:r>
                <w:r>
                  <w:rPr>
                    <w:rFonts w:ascii="Times New Roman" w:hAnsi="Times New Roman"/>
                  </w:rPr>
                  <w:t>锅炉，建有除尘、脱硫、脱硝设施，</w:t>
                </w:r>
                <w:r>
                  <w:rPr>
                    <w:rFonts w:hint="eastAsia" w:ascii="Times New Roman" w:hAnsi="Times New Roman"/>
                  </w:rPr>
                  <w:t>实现</w:t>
                </w:r>
                <w:r>
                  <w:rPr>
                    <w:rFonts w:ascii="Times New Roman" w:hAnsi="Times New Roman"/>
                  </w:rPr>
                  <w:t>超低排放，运行正常。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ascii="Times New Roman" w:hAnsi="Times New Roman"/>
                  </w:rPr>
                  <w:t>17</w:t>
                </w:r>
              </w:p>
            </w:tc>
            <w:tc>
              <w:tcPr>
                <w:tcW w:w="1725" w:type="dxa"/>
                <w:vAlign w:val="center"/>
              </w:tcPr>
              <w:p>
                <w:pPr>
                  <w:jc w:val="center"/>
                  <w:rPr>
                    <w:rFonts w:ascii="Times New Roman" w:hAnsi="Times New Roman"/>
                    <w:bCs/>
                  </w:rPr>
                </w:pPr>
                <w:r>
                  <w:rPr>
                    <w:rFonts w:hint="eastAsia" w:ascii="Times New Roman" w:hAnsi="Times New Roman"/>
                  </w:rPr>
                  <w:t>济三电力</w:t>
                </w:r>
              </w:p>
            </w:tc>
            <w:tc>
              <w:tcPr>
                <w:tcW w:w="7765" w:type="dxa"/>
                <w:vAlign w:val="center"/>
              </w:tcPr>
              <w:p>
                <w:pPr>
                  <w:rPr>
                    <w:rFonts w:ascii="Times New Roman" w:hAnsi="Times New Roman"/>
                    <w:bCs/>
                  </w:rPr>
                </w:pPr>
                <w:r>
                  <w:rPr>
                    <w:rFonts w:hint="eastAsia" w:ascii="Times New Roman" w:hAnsi="Times New Roman"/>
                  </w:rPr>
                  <w:t>现有2</w:t>
                </w:r>
                <w:r>
                  <w:rPr>
                    <w:rFonts w:ascii="Times New Roman" w:hAnsi="Times New Roman"/>
                  </w:rPr>
                  <w:t>台</w:t>
                </w:r>
                <w:r>
                  <w:rPr>
                    <w:rFonts w:hint="eastAsia" w:ascii="Times New Roman" w:hAnsi="Times New Roman"/>
                  </w:rPr>
                  <w:t>4</w:t>
                </w:r>
                <w:r>
                  <w:rPr>
                    <w:rFonts w:ascii="Times New Roman" w:hAnsi="Times New Roman"/>
                  </w:rPr>
                  <w:t>40</w:t>
                </w:r>
                <w:r>
                  <w:rPr>
                    <w:rFonts w:hint="eastAsia" w:ascii="Times New Roman" w:hAnsi="Times New Roman"/>
                  </w:rPr>
                  <w:t>蒸吨循环流化床</w:t>
                </w:r>
                <w:r>
                  <w:rPr>
                    <w:rFonts w:ascii="Times New Roman" w:hAnsi="Times New Roman"/>
                  </w:rPr>
                  <w:t>锅炉，均建有除尘、脱硫、脱硝设施，</w:t>
                </w:r>
                <w:r>
                  <w:rPr>
                    <w:rFonts w:hint="eastAsia" w:ascii="Times New Roman" w:hAnsi="Times New Roman"/>
                  </w:rPr>
                  <w:t>实现</w:t>
                </w:r>
                <w:r>
                  <w:rPr>
                    <w:rFonts w:ascii="Times New Roman" w:hAnsi="Times New Roman"/>
                  </w:rPr>
                  <w:t>超低排放，运行正常。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8</w:t>
                </w:r>
              </w:p>
            </w:tc>
            <w:tc>
              <w:tcPr>
                <w:tcW w:w="1725" w:type="dxa"/>
                <w:vAlign w:val="center"/>
              </w:tcPr>
              <w:p>
                <w:pPr>
                  <w:jc w:val="center"/>
                  <w:rPr>
                    <w:rFonts w:ascii="Times New Roman" w:hAnsi="Times New Roman"/>
                    <w:bCs/>
                  </w:rPr>
                </w:pPr>
                <w:r>
                  <w:rPr>
                    <w:rFonts w:hint="eastAsia" w:ascii="Times New Roman" w:hAnsi="Times New Roman"/>
                  </w:rPr>
                  <w:t>内蒙古矿业宏大实业兴和热电</w:t>
                </w:r>
              </w:p>
            </w:tc>
            <w:tc>
              <w:tcPr>
                <w:tcW w:w="7765" w:type="dxa"/>
                <w:vAlign w:val="center"/>
              </w:tcPr>
              <w:p>
                <w:pPr>
                  <w:rPr>
                    <w:rFonts w:ascii="Times New Roman" w:hAnsi="Times New Roman"/>
                    <w:bCs/>
                  </w:rPr>
                </w:pPr>
                <w:r>
                  <w:rPr>
                    <w:rFonts w:hint="eastAsia" w:ascii="Times New Roman" w:hAnsi="Times New Roman"/>
                  </w:rPr>
                  <w:t>现有2台锅炉，共2,478蒸吨。均建有除尘、脱硫、脱硝设施，实现超低排放，运行正常。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1</w:t>
                </w:r>
                <w:r>
                  <w:rPr>
                    <w:rFonts w:ascii="Times New Roman" w:hAnsi="Times New Roman"/>
                  </w:rPr>
                  <w:t>9</w:t>
                </w:r>
              </w:p>
            </w:tc>
            <w:tc>
              <w:tcPr>
                <w:tcW w:w="1725" w:type="dxa"/>
                <w:vAlign w:val="center"/>
              </w:tcPr>
              <w:p>
                <w:pPr>
                  <w:jc w:val="center"/>
                  <w:rPr>
                    <w:rFonts w:ascii="Times New Roman" w:hAnsi="Times New Roman"/>
                    <w:bCs/>
                  </w:rPr>
                </w:pPr>
                <w:r>
                  <w:rPr>
                    <w:rFonts w:ascii="Times New Roman" w:hAnsi="Times New Roman"/>
                  </w:rPr>
                  <w:t>榆林能化</w:t>
                </w:r>
              </w:p>
            </w:tc>
            <w:tc>
              <w:tcPr>
                <w:tcW w:w="7765" w:type="dxa"/>
                <w:vAlign w:val="center"/>
              </w:tcPr>
              <w:p>
                <w:pPr>
                  <w:rPr>
                    <w:rFonts w:ascii="Times New Roman" w:hAnsi="Times New Roman"/>
                    <w:bCs/>
                  </w:rPr>
                </w:pPr>
                <w:r>
                  <w:rPr>
                    <w:rFonts w:ascii="Times New Roman" w:hAnsi="Times New Roman"/>
                  </w:rPr>
                  <w:t>建有</w:t>
                </w:r>
                <w:r>
                  <w:rPr>
                    <w:rFonts w:hint="eastAsia" w:ascii="Times New Roman" w:hAnsi="Times New Roman"/>
                  </w:rPr>
                  <w:t>两套</w:t>
                </w:r>
                <w:r>
                  <w:rPr>
                    <w:rFonts w:ascii="Times New Roman" w:hAnsi="Times New Roman"/>
                  </w:rPr>
                  <w:t>工业废水处理</w:t>
                </w:r>
                <w:r>
                  <w:rPr>
                    <w:rFonts w:hint="eastAsia" w:ascii="Times New Roman" w:hAnsi="Times New Roman"/>
                  </w:rPr>
                  <w:t>系统</w:t>
                </w:r>
                <w:r>
                  <w:rPr>
                    <w:rFonts w:ascii="Times New Roman" w:hAnsi="Times New Roman"/>
                  </w:rPr>
                  <w:t>，运行正常。另有4台260蒸吨煤粉炉，均建有除尘、脱硫、脱硝设施，</w:t>
                </w:r>
                <w:r>
                  <w:rPr>
                    <w:rFonts w:hint="eastAsia" w:ascii="Times New Roman" w:hAnsi="Times New Roman"/>
                  </w:rPr>
                  <w:t>实现</w:t>
                </w:r>
                <w:r>
                  <w:rPr>
                    <w:rFonts w:ascii="Times New Roman" w:hAnsi="Times New Roman"/>
                  </w:rPr>
                  <w:t>超低排放，运行正常。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bCs/>
                  </w:rPr>
                </w:pPr>
                <w:r>
                  <w:rPr>
                    <w:rFonts w:hint="eastAsia" w:ascii="Times New Roman" w:hAnsi="Times New Roman"/>
                  </w:rPr>
                  <w:t>20</w:t>
                </w:r>
              </w:p>
            </w:tc>
            <w:tc>
              <w:tcPr>
                <w:tcW w:w="1725" w:type="dxa"/>
                <w:vAlign w:val="center"/>
              </w:tcPr>
              <w:p>
                <w:pPr>
                  <w:jc w:val="center"/>
                  <w:rPr>
                    <w:rFonts w:ascii="Times New Roman" w:hAnsi="Times New Roman"/>
                    <w:bCs/>
                  </w:rPr>
                </w:pPr>
                <w:r>
                  <w:rPr>
                    <w:rFonts w:ascii="Times New Roman" w:hAnsi="Times New Roman"/>
                  </w:rPr>
                  <w:t>鲁南化工</w:t>
                </w:r>
              </w:p>
            </w:tc>
            <w:tc>
              <w:tcPr>
                <w:tcW w:w="7765" w:type="dxa"/>
                <w:vAlign w:val="center"/>
              </w:tcPr>
              <w:p>
                <w:pPr>
                  <w:rPr>
                    <w:rFonts w:ascii="Times New Roman" w:hAnsi="Times New Roman"/>
                    <w:bCs/>
                  </w:rPr>
                </w:pPr>
                <w:r>
                  <w:rPr>
                    <w:rFonts w:ascii="Times New Roman" w:hAnsi="Times New Roman"/>
                  </w:rPr>
                  <w:t>建有工业废水处理厂一座，运行正常。另有2台130蒸吨、2台260蒸吨循环流化床锅炉和2台480蒸吨</w:t>
                </w:r>
                <w:r>
                  <w:rPr>
                    <w:rFonts w:hint="eastAsia" w:ascii="Times New Roman" w:hAnsi="Times New Roman"/>
                  </w:rPr>
                  <w:t>煤粉炉</w:t>
                </w:r>
                <w:r>
                  <w:rPr>
                    <w:rFonts w:ascii="Times New Roman" w:hAnsi="Times New Roman"/>
                  </w:rPr>
                  <w:t>，均建有除尘、脱硫、脱硝设施，</w:t>
                </w:r>
                <w:r>
                  <w:rPr>
                    <w:rFonts w:hint="eastAsia" w:ascii="Times New Roman" w:hAnsi="Times New Roman"/>
                  </w:rPr>
                  <w:t>实现</w:t>
                </w:r>
                <w:r>
                  <w:rPr>
                    <w:rFonts w:ascii="Times New Roman" w:hAnsi="Times New Roman"/>
                  </w:rPr>
                  <w:t>超低排放，运行正常。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1</w:t>
                </w:r>
              </w:p>
            </w:tc>
            <w:tc>
              <w:tcPr>
                <w:tcW w:w="1725" w:type="dxa"/>
                <w:vAlign w:val="center"/>
              </w:tcPr>
              <w:p>
                <w:pPr>
                  <w:jc w:val="center"/>
                  <w:rPr>
                    <w:rFonts w:ascii="Times New Roman" w:hAnsi="Times New Roman"/>
                  </w:rPr>
                </w:pPr>
                <w:r>
                  <w:rPr>
                    <w:rFonts w:hint="eastAsia" w:ascii="Times New Roman" w:hAnsi="Times New Roman"/>
                  </w:rPr>
                  <w:t>新巨龙公司</w:t>
                </w:r>
              </w:p>
            </w:tc>
            <w:tc>
              <w:tcPr>
                <w:tcW w:w="7765" w:type="dxa"/>
                <w:vMerge w:val="restart"/>
                <w:vAlign w:val="center"/>
              </w:tcPr>
              <w:p>
                <w:pPr>
                  <w:pStyle w:val="501"/>
                  <w:rPr>
                    <w:rFonts w:ascii="Times New Roman" w:hAnsi="Times New Roman"/>
                  </w:rPr>
                </w:pPr>
                <w:r>
                  <w:rPr>
                    <w:rFonts w:hint="eastAsia" w:ascii="Times New Roman" w:hAnsi="Times New Roman"/>
                  </w:rPr>
                  <w:t>建有一套矿井水处理站、一套生活污水处理站、一套高盐矿井水处理系统，运行正常。建有封闭煤棚和物料棚。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2</w:t>
                </w:r>
              </w:p>
            </w:tc>
            <w:tc>
              <w:tcPr>
                <w:tcW w:w="1725" w:type="dxa"/>
                <w:vAlign w:val="center"/>
              </w:tcPr>
              <w:p>
                <w:pPr>
                  <w:jc w:val="center"/>
                  <w:rPr>
                    <w:rFonts w:ascii="Times New Roman" w:hAnsi="Times New Roman"/>
                  </w:rPr>
                </w:pPr>
                <w:r>
                  <w:rPr>
                    <w:rFonts w:hint="eastAsia" w:ascii="Times New Roman" w:hAnsi="Times New Roman"/>
                  </w:rPr>
                  <w:t>梁宝寺公司</w:t>
                </w:r>
              </w:p>
            </w:tc>
            <w:tc>
              <w:tcPr>
                <w:tcW w:w="7765" w:type="dxa"/>
                <w:vMerge w:val="continue"/>
                <w:vAlign w:val="center"/>
              </w:tcPr>
              <w:p>
                <w:pPr>
                  <w:pStyle w:val="501"/>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667"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3</w:t>
                </w:r>
              </w:p>
            </w:tc>
            <w:tc>
              <w:tcPr>
                <w:tcW w:w="1725" w:type="dxa"/>
                <w:vAlign w:val="center"/>
              </w:tcPr>
              <w:p>
                <w:pPr>
                  <w:jc w:val="center"/>
                  <w:rPr>
                    <w:rFonts w:ascii="Times New Roman" w:hAnsi="Times New Roman"/>
                  </w:rPr>
                </w:pPr>
                <w:r>
                  <w:rPr>
                    <w:rFonts w:hint="eastAsia" w:ascii="Times New Roman" w:hAnsi="Times New Roman"/>
                  </w:rPr>
                  <w:t>郭屯煤矿</w:t>
                </w:r>
              </w:p>
            </w:tc>
            <w:tc>
              <w:tcPr>
                <w:tcW w:w="7765" w:type="dxa"/>
                <w:vMerge w:val="continue"/>
                <w:vAlign w:val="center"/>
              </w:tcPr>
              <w:p>
                <w:pPr>
                  <w:pStyle w:val="501"/>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4</w:t>
                </w:r>
              </w:p>
            </w:tc>
            <w:tc>
              <w:tcPr>
                <w:tcW w:w="1725" w:type="dxa"/>
                <w:vAlign w:val="center"/>
              </w:tcPr>
              <w:p>
                <w:pPr>
                  <w:jc w:val="center"/>
                  <w:rPr>
                    <w:rFonts w:ascii="Times New Roman" w:hAnsi="Times New Roman"/>
                  </w:rPr>
                </w:pPr>
                <w:r>
                  <w:rPr>
                    <w:rFonts w:hint="eastAsia" w:ascii="Times New Roman" w:hAnsi="Times New Roman"/>
                  </w:rPr>
                  <w:t>李楼煤业</w:t>
                </w:r>
              </w:p>
            </w:tc>
            <w:tc>
              <w:tcPr>
                <w:tcW w:w="7765" w:type="dxa"/>
                <w:vMerge w:val="continue"/>
                <w:vAlign w:val="center"/>
              </w:tcPr>
              <w:p>
                <w:pPr>
                  <w:pStyle w:val="501"/>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5</w:t>
                </w:r>
              </w:p>
            </w:tc>
            <w:tc>
              <w:tcPr>
                <w:tcW w:w="1725" w:type="dxa"/>
                <w:vAlign w:val="center"/>
              </w:tcPr>
              <w:p>
                <w:pPr>
                  <w:jc w:val="center"/>
                  <w:rPr>
                    <w:rFonts w:ascii="Times New Roman" w:hAnsi="Times New Roman"/>
                  </w:rPr>
                </w:pPr>
                <w:r>
                  <w:rPr>
                    <w:rFonts w:hint="eastAsia" w:ascii="Times New Roman" w:hAnsi="Times New Roman"/>
                  </w:rPr>
                  <w:t>彭庄煤矿</w:t>
                </w:r>
              </w:p>
            </w:tc>
            <w:tc>
              <w:tcPr>
                <w:tcW w:w="7765" w:type="dxa"/>
                <w:vMerge w:val="continue"/>
                <w:vAlign w:val="center"/>
              </w:tcPr>
              <w:p>
                <w:pPr>
                  <w:pStyle w:val="501"/>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rPr>
                </w:pPr>
                <w:r>
                  <w:rPr>
                    <w:rFonts w:hint="eastAsia" w:ascii="Times New Roman" w:hAnsi="Times New Roman"/>
                  </w:rPr>
                  <w:t>2</w:t>
                </w:r>
                <w:r>
                  <w:rPr>
                    <w:rFonts w:ascii="Times New Roman" w:hAnsi="Times New Roman"/>
                  </w:rPr>
                  <w:t>6</w:t>
                </w:r>
              </w:p>
            </w:tc>
            <w:tc>
              <w:tcPr>
                <w:tcW w:w="1725" w:type="dxa"/>
                <w:vAlign w:val="center"/>
              </w:tcPr>
              <w:p>
                <w:pPr>
                  <w:jc w:val="center"/>
                  <w:rPr>
                    <w:rFonts w:ascii="Times New Roman" w:hAnsi="Times New Roman"/>
                  </w:rPr>
                </w:pPr>
                <w:r>
                  <w:rPr>
                    <w:rFonts w:hint="eastAsia" w:ascii="Times New Roman" w:hAnsi="Times New Roman"/>
                  </w:rPr>
                  <w:t>单县能源</w:t>
                </w:r>
              </w:p>
            </w:tc>
            <w:tc>
              <w:tcPr>
                <w:tcW w:w="7765" w:type="dxa"/>
                <w:vMerge w:val="continue"/>
                <w:vAlign w:val="center"/>
              </w:tcPr>
              <w:p>
                <w:pPr>
                  <w:pStyle w:val="501"/>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rPr>
                </w:pPr>
                <w:r>
                  <w:rPr>
                    <w:rFonts w:ascii="Times New Roman" w:hAnsi="Times New Roman"/>
                  </w:rPr>
                  <w:t>27</w:t>
                </w:r>
              </w:p>
            </w:tc>
            <w:tc>
              <w:tcPr>
                <w:tcW w:w="1725" w:type="dxa"/>
                <w:vAlign w:val="center"/>
              </w:tcPr>
              <w:p>
                <w:pPr>
                  <w:jc w:val="center"/>
                  <w:rPr>
                    <w:rFonts w:ascii="Times New Roman" w:hAnsi="Times New Roman"/>
                  </w:rPr>
                </w:pPr>
                <w:r>
                  <w:rPr>
                    <w:rFonts w:hint="eastAsia" w:ascii="Times New Roman" w:hAnsi="Times New Roman"/>
                  </w:rPr>
                  <w:t>唐口煤业</w:t>
                </w:r>
              </w:p>
            </w:tc>
            <w:tc>
              <w:tcPr>
                <w:tcW w:w="7765" w:type="dxa"/>
                <w:vAlign w:val="center"/>
              </w:tcPr>
              <w:p>
                <w:pPr>
                  <w:pStyle w:val="501"/>
                  <w:rPr>
                    <w:rFonts w:ascii="Times New Roman" w:hAnsi="Times New Roman"/>
                  </w:rPr>
                </w:pPr>
                <w:r>
                  <w:rPr>
                    <w:rFonts w:hint="eastAsia" w:ascii="Times New Roman" w:hAnsi="Times New Roman"/>
                  </w:rPr>
                  <w:t>建有一套矿井水处理站、一套生活污水处理站，运行正常。建有封闭煤棚和物料棚。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rPr>
                </w:pPr>
                <w:r>
                  <w:rPr>
                    <w:rFonts w:ascii="Times New Roman" w:hAnsi="Times New Roman"/>
                  </w:rPr>
                  <w:t>28</w:t>
                </w:r>
              </w:p>
            </w:tc>
            <w:tc>
              <w:tcPr>
                <w:tcW w:w="1725" w:type="dxa"/>
                <w:vAlign w:val="center"/>
              </w:tcPr>
              <w:p>
                <w:pPr>
                  <w:jc w:val="center"/>
                  <w:rPr>
                    <w:rFonts w:ascii="Times New Roman" w:hAnsi="Times New Roman"/>
                  </w:rPr>
                </w:pPr>
                <w:r>
                  <w:rPr>
                    <w:rFonts w:hint="eastAsia" w:ascii="Times New Roman" w:hAnsi="Times New Roman"/>
                    <w:color w:val="000000"/>
                  </w:rPr>
                  <w:t>新疆煤化工</w:t>
                </w:r>
              </w:p>
            </w:tc>
            <w:tc>
              <w:tcPr>
                <w:tcW w:w="7765" w:type="dxa"/>
                <w:vAlign w:val="center"/>
              </w:tcPr>
              <w:p>
                <w:pPr>
                  <w:pStyle w:val="501"/>
                  <w:rPr>
                    <w:rFonts w:ascii="Times New Roman" w:hAnsi="Times New Roman"/>
                  </w:rPr>
                </w:pPr>
                <w:r>
                  <w:rPr>
                    <w:rFonts w:ascii="Times New Roman" w:hAnsi="Times New Roman"/>
                  </w:rPr>
                  <w:t>建有一座</w:t>
                </w:r>
                <w:r>
                  <w:rPr>
                    <w:rFonts w:hint="eastAsia" w:ascii="Times New Roman" w:hAnsi="Times New Roman"/>
                  </w:rPr>
                  <w:t>污水</w:t>
                </w:r>
                <w:r>
                  <w:rPr>
                    <w:rFonts w:ascii="Times New Roman" w:hAnsi="Times New Roman"/>
                  </w:rPr>
                  <w:t>处理厂，运行正常。另有</w:t>
                </w:r>
                <w:r>
                  <w:rPr>
                    <w:rFonts w:hint="eastAsia" w:ascii="Times New Roman" w:hAnsi="Times New Roman"/>
                  </w:rPr>
                  <w:t>3台220蒸吨煤粉锅炉（2开1备）</w:t>
                </w:r>
                <w:r>
                  <w:rPr>
                    <w:rFonts w:ascii="Times New Roman" w:hAnsi="Times New Roman"/>
                  </w:rPr>
                  <w:t>，均建有除尘、脱硫、脱硝设施，</w:t>
                </w:r>
                <w:r>
                  <w:rPr>
                    <w:rFonts w:hint="eastAsia" w:ascii="Times New Roman" w:hAnsi="Times New Roman"/>
                  </w:rPr>
                  <w:t>实现</w:t>
                </w:r>
                <w:r>
                  <w:rPr>
                    <w:rFonts w:ascii="Times New Roman" w:hAnsi="Times New Roman"/>
                  </w:rPr>
                  <w:t>超低排放，运行正常。</w:t>
                </w:r>
                <w:r>
                  <w:rPr>
                    <w:rFonts w:hint="eastAsia" w:ascii="Times New Roman" w:hAnsi="Times New Roman"/>
                    <w:color w:val="000000"/>
                  </w:rPr>
                  <w:t>建有封闭煤棚。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7" w:type="dxa"/>
                <w:vAlign w:val="center"/>
              </w:tcPr>
              <w:p>
                <w:pPr>
                  <w:jc w:val="center"/>
                  <w:rPr>
                    <w:rFonts w:ascii="Times New Roman" w:hAnsi="Times New Roman"/>
                  </w:rPr>
                </w:pPr>
                <w:r>
                  <w:rPr>
                    <w:rFonts w:ascii="Times New Roman" w:hAnsi="Times New Roman"/>
                  </w:rPr>
                  <w:t>29</w:t>
                </w:r>
              </w:p>
            </w:tc>
            <w:tc>
              <w:tcPr>
                <w:tcW w:w="1725" w:type="dxa"/>
                <w:vAlign w:val="center"/>
              </w:tcPr>
              <w:p>
                <w:pPr>
                  <w:jc w:val="center"/>
                  <w:rPr>
                    <w:rFonts w:ascii="Times New Roman" w:hAnsi="Times New Roman"/>
                  </w:rPr>
                </w:pPr>
                <w:r>
                  <w:rPr>
                    <w:rFonts w:hint="eastAsia" w:ascii="Times New Roman" w:hAnsi="Times New Roman"/>
                    <w:color w:val="000000"/>
                  </w:rPr>
                  <w:t>伊犁一矿</w:t>
                </w:r>
              </w:p>
            </w:tc>
            <w:tc>
              <w:tcPr>
                <w:tcW w:w="7765" w:type="dxa"/>
                <w:vAlign w:val="center"/>
              </w:tcPr>
              <w:p>
                <w:pPr>
                  <w:pStyle w:val="501"/>
                  <w:rPr>
                    <w:rFonts w:ascii="Times New Roman" w:hAnsi="Times New Roman"/>
                  </w:rPr>
                </w:pPr>
                <w:r>
                  <w:rPr>
                    <w:rFonts w:hint="eastAsia" w:ascii="Times New Roman" w:hAnsi="Times New Roman"/>
                    <w:color w:val="000000"/>
                  </w:rPr>
                  <w:t>建有一座矿井水处理站、两座生活污水处理站，运行正常。</w:t>
                </w:r>
              </w:p>
            </w:tc>
          </w:tr>
        </w:tbl>
        <w:p>
          <w:pPr>
            <w:ind w:firstLine="420" w:firstLineChars="200"/>
          </w:pPr>
        </w:p>
      </w:sdtContent>
    </w:sdt>
    <w:p>
      <w:pPr>
        <w:pStyle w:val="172"/>
        <w:ind w:firstLine="0" w:firstLineChars="0"/>
        <w:rPr>
          <w:rFonts w:ascii="宋体" w:hAnsi="宋体"/>
        </w:rPr>
      </w:pPr>
    </w:p>
    <w:p>
      <w:pPr>
        <w:pStyle w:val="5"/>
        <w:numPr>
          <w:ilvl w:val="0"/>
          <w:numId w:val="27"/>
        </w:numPr>
        <w:rPr>
          <w:rFonts w:ascii="宋体" w:hAnsi="宋体"/>
          <w:bCs w:val="0"/>
          <w:szCs w:val="22"/>
        </w:rPr>
      </w:pPr>
      <w:r>
        <w:rPr>
          <w:rFonts w:hint="eastAsia" w:ascii="宋体" w:hAnsi="宋体"/>
          <w:szCs w:val="21"/>
        </w:rPr>
        <w:t>建设项目环境影响评价及其他环境保护行政许可情况</w:t>
      </w:r>
    </w:p>
    <w:sdt>
      <w:sdtPr>
        <w:rPr>
          <w:rFonts w:hint="eastAsia" w:ascii="宋体" w:hAnsi="宋体"/>
        </w:rPr>
        <w:alias w:val="是否适用：环境影响评价及其他环境保护行政许可[双击切换]"/>
        <w:tag w:val="_GBC_b1119f4f82174fe198452c8d630e1378"/>
        <w:id w:val="1437327749"/>
        <w:placeholder>
          <w:docPart w:val="GBC22222222222222222222222222222"/>
        </w:placeholder>
      </w:sdtPr>
      <w:sdtEndPr>
        <w:rPr>
          <w:rFonts w:hint="eastAsia" w:ascii="宋体" w:hAnsi="宋体"/>
        </w:rPr>
      </w:sdtEndPr>
      <w:sdtContent>
        <w:p>
          <w:pPr>
            <w:pStyle w:val="172"/>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514c62e995014de18ee8286e2b72f880"/>
        <w:id w:val="342357790"/>
        <w:placeholder>
          <w:docPart w:val="GBC22222222222222222222222222222"/>
        </w:placeholder>
      </w:sdtPr>
      <w:sdtContent>
        <w:p>
          <w:pPr>
            <w:ind w:firstLine="420" w:firstLineChars="200"/>
          </w:pPr>
          <w:r>
            <w:rPr>
              <w:rFonts w:hint="eastAsia"/>
            </w:rPr>
            <w:t>本集团认真落实《环境影响评价法》等相关法律法规，所建项目均严格履行建设项目环境管理程序，落实环境影响评价要求，在项目建设之前开展环境影响评价；落实“三同时”制度，按照环评及批复要求，污染治理和生态保护工程与主体工程同时设计、施工并投入使用；落实建设项目竣工环保验收要求，试运行完成后开展环保验收，确保项目建设依法依规、批建一致。</w:t>
          </w:r>
        </w:p>
        <w:p>
          <w:pPr>
            <w:ind w:firstLine="420" w:firstLineChars="200"/>
          </w:pPr>
          <w:r>
            <w:rPr>
              <w:rFonts w:hint="eastAsia"/>
            </w:rPr>
            <w:t>本集团各重点排污单位严格落实排污许可制度，确保“持证排污、按证排污”，许可证均在有效期内。</w:t>
          </w:r>
        </w:p>
      </w:sdtContent>
    </w:sdt>
    <w:p>
      <w:pPr>
        <w:pStyle w:val="43"/>
      </w:pPr>
    </w:p>
    <w:p>
      <w:pPr>
        <w:pStyle w:val="5"/>
        <w:numPr>
          <w:ilvl w:val="0"/>
          <w:numId w:val="27"/>
        </w:numPr>
        <w:rPr>
          <w:rFonts w:ascii="宋体" w:hAnsi="宋体"/>
        </w:rPr>
      </w:pPr>
      <w:r>
        <w:rPr>
          <w:rFonts w:hint="eastAsia" w:ascii="宋体" w:hAnsi="宋体"/>
          <w:szCs w:val="21"/>
        </w:rPr>
        <w:t>突发环境事件应急预案</w:t>
      </w:r>
    </w:p>
    <w:sdt>
      <w:sdtPr>
        <w:alias w:val="是否适用：突发环境事件应急预案[双击切换]"/>
        <w:tag w:val="_GBC_320f7292de294add91d1065ccfdd3b3b"/>
        <w:id w:val="-1339233754"/>
        <w:placeholder>
          <w:docPart w:val="GBC22222222222222222222222222222"/>
        </w:placeholder>
      </w:sdt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突发环境事件应急预案"/>
        <w:tag w:val="_GBC_e110284d79c948878cb696cb6474bb1e"/>
        <w:id w:val="815615101"/>
        <w:placeholder>
          <w:docPart w:val="GBC22222222222222222222222222222"/>
        </w:placeholder>
      </w:sdtPr>
      <w:sdtContent>
        <w:p>
          <w:pPr>
            <w:ind w:firstLine="420" w:firstLineChars="200"/>
          </w:pPr>
          <w:r>
            <w:rPr>
              <w:rFonts w:hint="eastAsia"/>
            </w:rPr>
            <w:t>本集团各重点排污单位按要求自行或委托有资质单位编制突发环境事件应急预案，并由政府生态环境主管部门及相关专家评估后备案。同时加强应急设施配备，实施经常性应急演练，提高环境污染事件防控和应急处置能力，最大限度地防止环境事件的发生。</w:t>
          </w:r>
        </w:p>
      </w:sdtContent>
    </w:sdt>
    <w:p>
      <w:pPr>
        <w:pStyle w:val="43"/>
      </w:pPr>
    </w:p>
    <w:p>
      <w:pPr>
        <w:pStyle w:val="5"/>
        <w:numPr>
          <w:ilvl w:val="0"/>
          <w:numId w:val="27"/>
        </w:numPr>
        <w:rPr>
          <w:rFonts w:ascii="宋体" w:hAnsi="宋体"/>
          <w:bCs w:val="0"/>
          <w:szCs w:val="22"/>
        </w:rPr>
      </w:pPr>
      <w:r>
        <w:rPr>
          <w:rFonts w:hint="eastAsia" w:ascii="宋体" w:hAnsi="宋体"/>
          <w:szCs w:val="21"/>
        </w:rPr>
        <w:t>环境自行监测方案</w:t>
      </w:r>
    </w:p>
    <w:sdt>
      <w:sdtPr>
        <w:rPr>
          <w:rFonts w:hint="eastAsia" w:ascii="宋体" w:hAnsi="宋体"/>
        </w:rPr>
        <w:alias w:val="是否适用：环境自行监测方案[双击切换]"/>
        <w:tag w:val="_GBC_11a22cdfe2d94619a57dc598b14322b3"/>
        <w:id w:val="-1389799181"/>
        <w:placeholder>
          <w:docPart w:val="GBC22222222222222222222222222222"/>
        </w:placeholder>
      </w:sdtPr>
      <w:sdtEndPr>
        <w:rPr>
          <w:rFonts w:hint="eastAsia" w:ascii="宋体" w:hAnsi="宋体"/>
        </w:rPr>
      </w:sdtEndPr>
      <w:sdtContent>
        <w:p>
          <w:pPr>
            <w:pStyle w:val="172"/>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1224215415"/>
        <w:placeholder>
          <w:docPart w:val="GBC22222222222222222222222222222"/>
        </w:placeholder>
      </w:sdtPr>
      <w:sdtContent>
        <w:p>
          <w:pPr>
            <w:ind w:firstLine="420" w:firstLineChars="200"/>
          </w:pPr>
          <w:r>
            <w:rPr>
              <w:rFonts w:hint="eastAsia"/>
            </w:rPr>
            <w:t>本集团所属排污单位均按</w:t>
          </w:r>
          <w:r>
            <w:t>要求</w:t>
          </w:r>
          <w:r>
            <w:rPr>
              <w:rFonts w:hint="eastAsia"/>
            </w:rPr>
            <w:t>安装有相应</w:t>
          </w:r>
          <w:r>
            <w:t>的</w:t>
          </w:r>
          <w:r>
            <w:rPr>
              <w:rFonts w:hint="eastAsia"/>
            </w:rPr>
            <w:t>水、大气</w:t>
          </w:r>
          <w:r>
            <w:t>污染物</w:t>
          </w:r>
          <w:r>
            <w:rPr>
              <w:rFonts w:hint="eastAsia"/>
            </w:rPr>
            <w:t>在线监测设施</w:t>
          </w:r>
          <w:r>
            <w:t>。在线</w:t>
          </w:r>
          <w:r>
            <w:rPr>
              <w:rFonts w:hint="eastAsia"/>
            </w:rPr>
            <w:t>监测</w:t>
          </w:r>
          <w:r>
            <w:t>设施与政府</w:t>
          </w:r>
          <w:r>
            <w:rPr>
              <w:rFonts w:hint="eastAsia"/>
            </w:rPr>
            <w:t>生态环境主管</w:t>
          </w:r>
          <w:r>
            <w:t>部门监控平台连接，实现实时</w:t>
          </w:r>
          <w:r>
            <w:rPr>
              <w:rFonts w:hint="eastAsia"/>
            </w:rPr>
            <w:t>监测</w:t>
          </w:r>
          <w:r>
            <w:t>。同时，各生产单位按要求编制自行监测方案，定期开展自行监测，并向社会公开重点污染源监测信息。监测的主要方式为在线监测和委托监测。</w:t>
          </w:r>
        </w:p>
        <w:p>
          <w:pPr>
            <w:ind w:firstLine="420" w:firstLineChars="200"/>
          </w:pPr>
          <w:r>
            <w:rPr>
              <w:rFonts w:hint="eastAsia"/>
            </w:rPr>
            <w:t>（</w:t>
          </w:r>
          <w:r>
            <w:t>1）在线监测</w:t>
          </w:r>
        </w:p>
        <w:p>
          <w:pPr>
            <w:ind w:firstLine="420" w:firstLineChars="200"/>
          </w:pPr>
          <w:r>
            <w:rPr>
              <w:rFonts w:hint="eastAsia"/>
            </w:rPr>
            <w:t>①矿井水。由第三方机构对外排水</w:t>
          </w:r>
          <w:r>
            <w:t>COD进行在线监测，监测频率每2小时1次，监测数据与政府监控平台实时联网。</w:t>
          </w:r>
        </w:p>
        <w:p>
          <w:pPr>
            <w:ind w:firstLine="420" w:firstLineChars="200"/>
          </w:pPr>
          <w:r>
            <w:rPr>
              <w:rFonts w:hint="eastAsia"/>
            </w:rPr>
            <w:t>②生活污水。由第三方机构对外排水</w:t>
          </w:r>
          <w:r>
            <w:t>COD、氨氮、总磷、总氮进行在线监测，监测频率每2小时1次，监测数据与政府监控平台实时联网。</w:t>
          </w:r>
        </w:p>
        <w:p>
          <w:pPr>
            <w:ind w:firstLine="420" w:firstLineChars="200"/>
          </w:pPr>
          <w:r>
            <w:rPr>
              <w:rFonts w:hint="eastAsia"/>
            </w:rPr>
            <w:t>③工业废水。由第三方机构对外排水</w:t>
          </w:r>
          <w:r>
            <w:t>COD、氨氮、总磷、总氮等进行在线监测，监测频率每2小时1次，监测数据与政府监控平台实时联网。</w:t>
          </w:r>
        </w:p>
        <w:p>
          <w:pPr>
            <w:ind w:firstLine="420" w:firstLineChars="200"/>
          </w:pPr>
          <w:r>
            <w:rPr>
              <w:rFonts w:hint="eastAsia"/>
            </w:rPr>
            <w:t>④锅炉烟气。由第三方机构对外排</w:t>
          </w:r>
          <w:r>
            <w:t>SO</w:t>
          </w:r>
          <w:r>
            <w:rPr>
              <w:vertAlign w:val="subscript"/>
            </w:rPr>
            <w:t>2</w:t>
          </w:r>
          <w:r>
            <w:t>、NO</w:t>
          </w:r>
          <w:r>
            <w:rPr>
              <w:vertAlign w:val="subscript"/>
            </w:rPr>
            <w:t>X</w:t>
          </w:r>
          <w:r>
            <w:t>、</w:t>
          </w:r>
          <w:r>
            <w:rPr>
              <w:rFonts w:hint="eastAsia"/>
            </w:rPr>
            <w:t>颗粒物</w:t>
          </w:r>
          <w:r>
            <w:t>等进行在线监测，监测频率每小时1次，监测数据与政府监控平台实时联网。</w:t>
          </w:r>
        </w:p>
        <w:p>
          <w:pPr>
            <w:ind w:firstLine="420" w:firstLineChars="200"/>
          </w:pPr>
          <w:r>
            <w:rPr>
              <w:rFonts w:hint="eastAsia"/>
            </w:rPr>
            <w:t>（</w:t>
          </w:r>
          <w:r>
            <w:t>2）委托监测</w:t>
          </w:r>
        </w:p>
        <w:p>
          <w:pPr>
            <w:ind w:firstLine="420" w:firstLineChars="200"/>
          </w:pPr>
          <w:r>
            <w:rPr>
              <w:rFonts w:hint="eastAsia"/>
            </w:rPr>
            <w:t>①委托第三方机构按照排污许可证载明的项目、频率开展自行监测，主要包括对水、大气污染物、厂界噪声等的监测，频率包括每月、每季或每年1次等</w:t>
          </w:r>
          <w:r>
            <w:t>。</w:t>
          </w:r>
        </w:p>
        <w:p>
          <w:pPr>
            <w:ind w:firstLine="420" w:firstLineChars="200"/>
          </w:pPr>
          <w:r>
            <w:rPr>
              <w:rFonts w:hint="eastAsia"/>
            </w:rPr>
            <w:t>②委托第三方对在用放射源进行辐射监测，监测频率每年</w:t>
          </w:r>
          <w:r>
            <w:t>1次。</w:t>
          </w:r>
        </w:p>
      </w:sdtContent>
    </w:sdt>
    <w:p>
      <w:pPr>
        <w:pStyle w:val="43"/>
      </w:pPr>
    </w:p>
    <w:p>
      <w:pPr>
        <w:pStyle w:val="5"/>
        <w:numPr>
          <w:ilvl w:val="0"/>
          <w:numId w:val="27"/>
        </w:numPr>
        <w:rPr>
          <w:rFonts w:ascii="宋体" w:hAnsi="宋体" w:cs="宋体"/>
          <w:kern w:val="0"/>
          <w:szCs w:val="21"/>
        </w:rPr>
      </w:pPr>
      <w:r>
        <w:rPr>
          <w:rFonts w:hint="eastAsia" w:ascii="宋体" w:hAnsi="宋体" w:cs="宋体"/>
          <w:kern w:val="0"/>
          <w:szCs w:val="21"/>
        </w:rPr>
        <w:t>报告期内因环境问题受到行政处罚的情况</w:t>
      </w:r>
    </w:p>
    <w:sdt>
      <w:sdtPr>
        <w:alias w:val="是否适用：报告期内因环境问题受到行政处罚的情况[双击切换]"/>
        <w:tag w:val="_GBC_60b589f1d48b40cdb553a3dca08d1b42"/>
        <w:id w:val="-1786190049"/>
        <w:placeholder>
          <w:docPart w:val="GBC22222222222222222222222222222"/>
        </w:placeholder>
      </w:sdt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kern w:val="0"/>
          <w:szCs w:val="24"/>
        </w:rPr>
        <w:alias w:val="报告期内因环境问题受到行政处罚的情况"/>
        <w:tag w:val="_GBC_36200a62c329427e8b8bda7e442e809e"/>
        <w:id w:val="-264467512"/>
        <w:placeholder>
          <w:docPart w:val="GBC22222222222222222222222222222"/>
        </w:placeholder>
      </w:sdtPr>
      <w:sdtEndPr>
        <w:rPr>
          <w:rFonts w:ascii="宋体" w:hAnsi="宋体" w:cs="宋体"/>
          <w:kern w:val="0"/>
          <w:szCs w:val="24"/>
        </w:rPr>
      </w:sdtEndPr>
      <w:sdtContent>
        <w:p>
          <w:pPr>
            <w:jc w:val="center"/>
          </w:pPr>
          <w:r>
            <w:t>2023</w:t>
          </w:r>
          <w:r>
            <w:rPr>
              <w:rFonts w:hint="eastAsia"/>
            </w:rPr>
            <w:t>年因环境问题受到行政处罚情况统计表</w:t>
          </w:r>
        </w:p>
        <w:tbl>
          <w:tblPr>
            <w:tblStyle w:val="477"/>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559"/>
            <w:gridCol w:w="2835"/>
            <w:gridCol w:w="3261"/>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jc w:val="center"/>
                  <w:rPr>
                    <w:rFonts w:ascii="黑体" w:hAnsi="黑体" w:eastAsia="黑体"/>
                    <w:bCs/>
                    <w:sz w:val="20"/>
                    <w:szCs w:val="20"/>
                  </w:rPr>
                </w:pPr>
                <w:r>
                  <w:rPr>
                    <w:rFonts w:hint="eastAsia" w:ascii="黑体" w:hAnsi="黑体" w:eastAsia="黑体"/>
                    <w:sz w:val="20"/>
                    <w:szCs w:val="20"/>
                  </w:rPr>
                  <w:t>序号</w:t>
                </w:r>
              </w:p>
            </w:tc>
            <w:tc>
              <w:tcPr>
                <w:tcW w:w="1559" w:type="dxa"/>
                <w:vAlign w:val="center"/>
              </w:tcPr>
              <w:p>
                <w:pPr>
                  <w:jc w:val="center"/>
                  <w:rPr>
                    <w:rFonts w:ascii="黑体" w:hAnsi="黑体" w:eastAsia="黑体"/>
                    <w:bCs/>
                    <w:sz w:val="20"/>
                    <w:szCs w:val="20"/>
                  </w:rPr>
                </w:pPr>
                <w:r>
                  <w:rPr>
                    <w:rFonts w:hint="eastAsia" w:ascii="黑体" w:hAnsi="黑体" w:eastAsia="黑体"/>
                    <w:sz w:val="20"/>
                    <w:szCs w:val="20"/>
                  </w:rPr>
                  <w:t>受罚单位</w:t>
                </w:r>
              </w:p>
            </w:tc>
            <w:tc>
              <w:tcPr>
                <w:tcW w:w="2835" w:type="dxa"/>
                <w:vAlign w:val="center"/>
              </w:tcPr>
              <w:p>
                <w:pPr>
                  <w:jc w:val="center"/>
                  <w:rPr>
                    <w:rFonts w:ascii="黑体" w:hAnsi="黑体" w:eastAsia="黑体"/>
                    <w:bCs/>
                    <w:sz w:val="20"/>
                    <w:szCs w:val="20"/>
                  </w:rPr>
                </w:pPr>
                <w:r>
                  <w:rPr>
                    <w:rFonts w:hint="eastAsia" w:ascii="黑体" w:hAnsi="黑体" w:eastAsia="黑体"/>
                    <w:sz w:val="20"/>
                    <w:szCs w:val="20"/>
                  </w:rPr>
                  <w:t>检查部门</w:t>
                </w:r>
              </w:p>
            </w:tc>
            <w:tc>
              <w:tcPr>
                <w:tcW w:w="3261" w:type="dxa"/>
                <w:vAlign w:val="center"/>
              </w:tcPr>
              <w:p>
                <w:pPr>
                  <w:jc w:val="center"/>
                  <w:rPr>
                    <w:rFonts w:ascii="黑体" w:hAnsi="黑体" w:eastAsia="黑体"/>
                    <w:bCs/>
                    <w:sz w:val="20"/>
                    <w:szCs w:val="20"/>
                  </w:rPr>
                </w:pPr>
                <w:r>
                  <w:rPr>
                    <w:rFonts w:hint="eastAsia" w:ascii="黑体" w:hAnsi="黑体" w:eastAsia="黑体"/>
                    <w:sz w:val="20"/>
                    <w:szCs w:val="20"/>
                  </w:rPr>
                  <w:t>通知书编号</w:t>
                </w:r>
              </w:p>
            </w:tc>
            <w:tc>
              <w:tcPr>
                <w:tcW w:w="1281" w:type="dxa"/>
                <w:vAlign w:val="center"/>
              </w:tcPr>
              <w:p>
                <w:pPr>
                  <w:jc w:val="center"/>
                  <w:rPr>
                    <w:rFonts w:ascii="黑体" w:hAnsi="黑体" w:eastAsia="黑体"/>
                    <w:bCs/>
                    <w:sz w:val="20"/>
                    <w:szCs w:val="20"/>
                  </w:rPr>
                </w:pPr>
                <w:r>
                  <w:rPr>
                    <w:rFonts w:hint="eastAsia" w:ascii="黑体" w:hAnsi="黑体" w:eastAsia="黑体"/>
                    <w:sz w:val="20"/>
                    <w:szCs w:val="20"/>
                  </w:rPr>
                  <w:t>罚款金额</w:t>
                </w:r>
              </w:p>
              <w:p>
                <w:pPr>
                  <w:jc w:val="center"/>
                  <w:rPr>
                    <w:rFonts w:ascii="黑体" w:hAnsi="黑体" w:eastAsia="黑体"/>
                    <w:bCs/>
                    <w:sz w:val="20"/>
                    <w:szCs w:val="20"/>
                  </w:rPr>
                </w:pPr>
                <w:r>
                  <w:rPr>
                    <w:rFonts w:hint="eastAsia" w:ascii="黑体" w:hAnsi="黑体" w:eastAsia="黑体"/>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jc w:val="center"/>
                  <w:rPr>
                    <w:rFonts w:ascii="Times New Roman" w:hAnsi="Times New Roman"/>
                    <w:bCs/>
                    <w:color w:val="000000"/>
                    <w:sz w:val="20"/>
                    <w:szCs w:val="20"/>
                  </w:rPr>
                </w:pPr>
                <w:r>
                  <w:rPr>
                    <w:rFonts w:hint="eastAsia" w:ascii="Times New Roman" w:hAnsi="Times New Roman"/>
                    <w:color w:val="000000"/>
                    <w:sz w:val="20"/>
                    <w:szCs w:val="20"/>
                  </w:rPr>
                  <w:t>1</w:t>
                </w:r>
              </w:p>
            </w:tc>
            <w:tc>
              <w:tcPr>
                <w:tcW w:w="1559" w:type="dxa"/>
                <w:vAlign w:val="center"/>
              </w:tcPr>
              <w:p>
                <w:pPr>
                  <w:jc w:val="center"/>
                  <w:rPr>
                    <w:rFonts w:ascii="Times New Roman" w:hAnsi="Times New Roman"/>
                    <w:bCs/>
                    <w:color w:val="000000"/>
                    <w:sz w:val="20"/>
                    <w:szCs w:val="20"/>
                  </w:rPr>
                </w:pPr>
                <w:r>
                  <w:rPr>
                    <w:rFonts w:hint="eastAsia" w:ascii="Times New Roman" w:hAnsi="Times New Roman"/>
                    <w:color w:val="000000"/>
                    <w:sz w:val="20"/>
                    <w:szCs w:val="20"/>
                  </w:rPr>
                  <w:t>榆林能化</w:t>
                </w:r>
              </w:p>
            </w:tc>
            <w:tc>
              <w:tcPr>
                <w:tcW w:w="2835" w:type="dxa"/>
                <w:vAlign w:val="center"/>
              </w:tcPr>
              <w:p>
                <w:pPr>
                  <w:jc w:val="center"/>
                  <w:rPr>
                    <w:rFonts w:ascii="Times New Roman" w:hAnsi="Times New Roman"/>
                    <w:bCs/>
                    <w:color w:val="000000"/>
                    <w:sz w:val="20"/>
                    <w:szCs w:val="20"/>
                  </w:rPr>
                </w:pPr>
                <w:r>
                  <w:rPr>
                    <w:rFonts w:hint="eastAsia" w:ascii="Times New Roman" w:hAnsi="Times New Roman"/>
                    <w:color w:val="000000"/>
                    <w:sz w:val="20"/>
                    <w:szCs w:val="20"/>
                  </w:rPr>
                  <w:t>榆林市生态环境局</w:t>
                </w:r>
              </w:p>
            </w:tc>
            <w:tc>
              <w:tcPr>
                <w:tcW w:w="3261" w:type="dxa"/>
                <w:vAlign w:val="center"/>
              </w:tcPr>
              <w:p>
                <w:pPr>
                  <w:jc w:val="center"/>
                  <w:rPr>
                    <w:rFonts w:ascii="Times New Roman" w:hAnsi="Times New Roman"/>
                    <w:bCs/>
                    <w:color w:val="000000"/>
                    <w:sz w:val="20"/>
                    <w:szCs w:val="20"/>
                  </w:rPr>
                </w:pPr>
                <w:r>
                  <w:rPr>
                    <w:rFonts w:hint="eastAsia" w:ascii="Times New Roman" w:hAnsi="Times New Roman"/>
                    <w:color w:val="000000"/>
                    <w:sz w:val="20"/>
                    <w:szCs w:val="20"/>
                  </w:rPr>
                  <w:t>陕K环罚〔2</w:t>
                </w:r>
                <w:r>
                  <w:rPr>
                    <w:rFonts w:ascii="Times New Roman" w:hAnsi="Times New Roman"/>
                    <w:color w:val="000000"/>
                    <w:sz w:val="20"/>
                    <w:szCs w:val="20"/>
                  </w:rPr>
                  <w:t>023</w:t>
                </w:r>
                <w:r>
                  <w:rPr>
                    <w:rFonts w:hint="eastAsia" w:ascii="Times New Roman" w:hAnsi="Times New Roman"/>
                    <w:color w:val="000000"/>
                    <w:sz w:val="20"/>
                    <w:szCs w:val="20"/>
                  </w:rPr>
                  <w:t>〕7</w:t>
                </w:r>
                <w:r>
                  <w:rPr>
                    <w:rFonts w:ascii="Times New Roman" w:hAnsi="Times New Roman"/>
                    <w:color w:val="000000"/>
                    <w:sz w:val="20"/>
                    <w:szCs w:val="20"/>
                  </w:rPr>
                  <w:t>7</w:t>
                </w:r>
                <w:r>
                  <w:rPr>
                    <w:rFonts w:hint="eastAsia" w:ascii="Times New Roman" w:hAnsi="Times New Roman"/>
                    <w:color w:val="000000"/>
                    <w:sz w:val="20"/>
                    <w:szCs w:val="20"/>
                  </w:rPr>
                  <w:t>号</w:t>
                </w:r>
              </w:p>
            </w:tc>
            <w:tc>
              <w:tcPr>
                <w:tcW w:w="1281" w:type="dxa"/>
                <w:vAlign w:val="center"/>
              </w:tcPr>
              <w:p>
                <w:pPr>
                  <w:jc w:val="center"/>
                  <w:rPr>
                    <w:rFonts w:ascii="Times New Roman" w:hAnsi="Times New Roman"/>
                    <w:bCs/>
                    <w:color w:val="000000"/>
                    <w:sz w:val="20"/>
                    <w:szCs w:val="20"/>
                  </w:rPr>
                </w:pPr>
                <w:r>
                  <w:rPr>
                    <w:rFonts w:hint="eastAsia" w:ascii="Times New Roman" w:hAnsi="Times New Roman"/>
                    <w:color w:val="000000"/>
                    <w:sz w:val="20"/>
                    <w:szCs w:val="20"/>
                  </w:rPr>
                  <w:t>3</w:t>
                </w:r>
                <w:r>
                  <w:rPr>
                    <w:rFonts w:ascii="Times New Roman" w:hAnsi="Times New Roman"/>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jc w:val="center"/>
                  <w:rPr>
                    <w:rFonts w:ascii="Times New Roman" w:hAnsi="Times New Roman"/>
                    <w:bCs/>
                    <w:color w:val="000000"/>
                    <w:sz w:val="20"/>
                    <w:szCs w:val="20"/>
                  </w:rPr>
                </w:pPr>
                <w:r>
                  <w:rPr>
                    <w:rFonts w:hint="eastAsia" w:ascii="Times New Roman" w:hAnsi="Times New Roman"/>
                    <w:color w:val="000000"/>
                    <w:sz w:val="20"/>
                    <w:szCs w:val="20"/>
                  </w:rPr>
                  <w:t>2</w:t>
                </w:r>
              </w:p>
            </w:tc>
            <w:tc>
              <w:tcPr>
                <w:tcW w:w="1559" w:type="dxa"/>
                <w:vAlign w:val="center"/>
              </w:tcPr>
              <w:p>
                <w:pPr>
                  <w:jc w:val="center"/>
                  <w:rPr>
                    <w:rFonts w:ascii="Times New Roman" w:hAnsi="Times New Roman"/>
                    <w:bCs/>
                    <w:color w:val="000000"/>
                    <w:sz w:val="20"/>
                    <w:szCs w:val="20"/>
                  </w:rPr>
                </w:pPr>
                <w:r>
                  <w:rPr>
                    <w:rFonts w:hint="eastAsia" w:ascii="Times New Roman" w:hAnsi="Times New Roman"/>
                    <w:color w:val="000000"/>
                    <w:sz w:val="20"/>
                    <w:szCs w:val="20"/>
                  </w:rPr>
                  <w:t>金鸡滩煤矿</w:t>
                </w:r>
              </w:p>
            </w:tc>
            <w:tc>
              <w:tcPr>
                <w:tcW w:w="2835" w:type="dxa"/>
                <w:vAlign w:val="center"/>
              </w:tcPr>
              <w:p>
                <w:pPr>
                  <w:jc w:val="center"/>
                  <w:rPr>
                    <w:rFonts w:ascii="Times New Roman" w:hAnsi="Times New Roman"/>
                    <w:bCs/>
                    <w:color w:val="000000"/>
                    <w:sz w:val="20"/>
                    <w:szCs w:val="20"/>
                  </w:rPr>
                </w:pPr>
                <w:r>
                  <w:rPr>
                    <w:rFonts w:hint="eastAsia" w:ascii="Times New Roman" w:hAnsi="Times New Roman"/>
                    <w:color w:val="000000"/>
                    <w:sz w:val="20"/>
                    <w:szCs w:val="20"/>
                  </w:rPr>
                  <w:t>榆林市生态环境局</w:t>
                </w:r>
              </w:p>
            </w:tc>
            <w:tc>
              <w:tcPr>
                <w:tcW w:w="3261" w:type="dxa"/>
                <w:vAlign w:val="center"/>
              </w:tcPr>
              <w:p>
                <w:pPr>
                  <w:jc w:val="center"/>
                  <w:rPr>
                    <w:rFonts w:ascii="Times New Roman" w:hAnsi="Times New Roman"/>
                    <w:bCs/>
                    <w:color w:val="000000"/>
                    <w:sz w:val="20"/>
                    <w:szCs w:val="20"/>
                  </w:rPr>
                </w:pPr>
                <w:r>
                  <w:rPr>
                    <w:rFonts w:hint="eastAsia" w:ascii="Times New Roman" w:hAnsi="Times New Roman"/>
                    <w:color w:val="000000"/>
                    <w:sz w:val="20"/>
                    <w:szCs w:val="20"/>
                  </w:rPr>
                  <w:t>陕K环罚〔2</w:t>
                </w:r>
                <w:r>
                  <w:rPr>
                    <w:rFonts w:ascii="Times New Roman" w:hAnsi="Times New Roman"/>
                    <w:color w:val="000000"/>
                    <w:sz w:val="20"/>
                    <w:szCs w:val="20"/>
                  </w:rPr>
                  <w:t>023</w:t>
                </w:r>
                <w:r>
                  <w:rPr>
                    <w:rFonts w:hint="eastAsia" w:ascii="Times New Roman" w:hAnsi="Times New Roman"/>
                    <w:color w:val="000000"/>
                    <w:sz w:val="20"/>
                    <w:szCs w:val="20"/>
                  </w:rPr>
                  <w:t>〕</w:t>
                </w:r>
                <w:r>
                  <w:rPr>
                    <w:rFonts w:ascii="Times New Roman" w:hAnsi="Times New Roman"/>
                    <w:color w:val="000000"/>
                    <w:sz w:val="20"/>
                    <w:szCs w:val="20"/>
                  </w:rPr>
                  <w:t>87</w:t>
                </w:r>
                <w:r>
                  <w:rPr>
                    <w:rFonts w:hint="eastAsia" w:ascii="Times New Roman" w:hAnsi="Times New Roman"/>
                    <w:color w:val="000000"/>
                    <w:sz w:val="20"/>
                    <w:szCs w:val="20"/>
                  </w:rPr>
                  <w:t>号</w:t>
                </w:r>
              </w:p>
            </w:tc>
            <w:tc>
              <w:tcPr>
                <w:tcW w:w="1281" w:type="dxa"/>
                <w:vAlign w:val="center"/>
              </w:tcPr>
              <w:p>
                <w:pPr>
                  <w:jc w:val="center"/>
                  <w:rPr>
                    <w:rFonts w:ascii="Times New Roman" w:hAnsi="Times New Roman"/>
                    <w:bCs/>
                    <w:color w:val="000000"/>
                    <w:sz w:val="20"/>
                    <w:szCs w:val="20"/>
                  </w:rPr>
                </w:pPr>
                <w:r>
                  <w:rPr>
                    <w:rFonts w:hint="eastAsia" w:ascii="Times New Roman" w:hAnsi="Times New Roman"/>
                    <w:color w:val="000000"/>
                    <w:sz w:val="20"/>
                    <w:szCs w:val="20"/>
                  </w:rPr>
                  <w:t>8</w:t>
                </w:r>
                <w:r>
                  <w:rPr>
                    <w:rFonts w:ascii="Times New Roman" w:hAnsi="Times New Roman"/>
                    <w:color w:val="000000"/>
                    <w:sz w:val="20"/>
                    <w:szCs w:val="20"/>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jc w:val="center"/>
                  <w:rPr>
                    <w:rFonts w:ascii="Times New Roman" w:hAnsi="Times New Roman"/>
                    <w:color w:val="000000"/>
                    <w:sz w:val="20"/>
                    <w:szCs w:val="20"/>
                  </w:rPr>
                </w:pPr>
                <w:r>
                  <w:rPr>
                    <w:rFonts w:hint="eastAsia" w:ascii="Times New Roman" w:hAnsi="Times New Roman"/>
                    <w:color w:val="000000"/>
                    <w:sz w:val="20"/>
                    <w:szCs w:val="20"/>
                  </w:rPr>
                  <w:t>3</w:t>
                </w:r>
              </w:p>
            </w:tc>
            <w:tc>
              <w:tcPr>
                <w:tcW w:w="1559" w:type="dxa"/>
                <w:vAlign w:val="center"/>
              </w:tcPr>
              <w:p>
                <w:pPr>
                  <w:jc w:val="center"/>
                  <w:rPr>
                    <w:rFonts w:ascii="Times New Roman" w:hAnsi="Times New Roman"/>
                    <w:color w:val="000000"/>
                    <w:sz w:val="20"/>
                    <w:szCs w:val="20"/>
                  </w:rPr>
                </w:pPr>
                <w:r>
                  <w:rPr>
                    <w:rFonts w:hint="eastAsia" w:ascii="Times New Roman" w:hAnsi="Times New Roman"/>
                    <w:color w:val="000000"/>
                    <w:sz w:val="20"/>
                    <w:szCs w:val="20"/>
                  </w:rPr>
                  <w:t>单县能源</w:t>
                </w:r>
              </w:p>
            </w:tc>
            <w:tc>
              <w:tcPr>
                <w:tcW w:w="2835" w:type="dxa"/>
                <w:vAlign w:val="center"/>
              </w:tcPr>
              <w:p>
                <w:pPr>
                  <w:jc w:val="center"/>
                  <w:rPr>
                    <w:rFonts w:ascii="Times New Roman" w:hAnsi="Times New Roman"/>
                    <w:color w:val="000000"/>
                    <w:sz w:val="20"/>
                    <w:szCs w:val="20"/>
                  </w:rPr>
                </w:pPr>
                <w:r>
                  <w:rPr>
                    <w:rFonts w:hint="eastAsia" w:ascii="Times New Roman" w:hAnsi="Times New Roman"/>
                    <w:color w:val="000000"/>
                    <w:sz w:val="20"/>
                    <w:szCs w:val="20"/>
                  </w:rPr>
                  <w:t>菏泽市生态环境局单县分局</w:t>
                </w:r>
              </w:p>
            </w:tc>
            <w:tc>
              <w:tcPr>
                <w:tcW w:w="3261" w:type="dxa"/>
                <w:vAlign w:val="center"/>
              </w:tcPr>
              <w:p>
                <w:pPr>
                  <w:jc w:val="center"/>
                  <w:rPr>
                    <w:rFonts w:ascii="Times New Roman" w:hAnsi="Times New Roman"/>
                    <w:color w:val="000000"/>
                    <w:sz w:val="20"/>
                    <w:szCs w:val="20"/>
                  </w:rPr>
                </w:pPr>
                <w:r>
                  <w:rPr>
                    <w:rFonts w:hint="eastAsia" w:ascii="Times New Roman" w:hAnsi="Times New Roman"/>
                    <w:color w:val="000000"/>
                    <w:sz w:val="20"/>
                    <w:szCs w:val="20"/>
                  </w:rPr>
                  <w:t>菏单环罚字〔</w:t>
                </w:r>
                <w:r>
                  <w:rPr>
                    <w:rFonts w:ascii="Times New Roman" w:hAnsi="Times New Roman"/>
                    <w:color w:val="000000"/>
                    <w:sz w:val="20"/>
                    <w:szCs w:val="20"/>
                  </w:rPr>
                  <w:t>2023〕ZX041101</w:t>
                </w:r>
              </w:p>
            </w:tc>
            <w:tc>
              <w:tcPr>
                <w:tcW w:w="1281" w:type="dxa"/>
                <w:vAlign w:val="center"/>
              </w:tcPr>
              <w:p>
                <w:pPr>
                  <w:jc w:val="center"/>
                  <w:rPr>
                    <w:rFonts w:ascii="Times New Roman" w:hAnsi="Times New Roman"/>
                    <w:color w:val="000000"/>
                    <w:sz w:val="20"/>
                    <w:szCs w:val="20"/>
                  </w:rPr>
                </w:pPr>
                <w:r>
                  <w:rPr>
                    <w:rFonts w:hint="eastAsia" w:ascii="Times New Roman" w:hAnsi="Times New Roman"/>
                    <w:color w:val="000000"/>
                    <w:sz w:val="20"/>
                    <w:szCs w:val="20"/>
                  </w:rPr>
                  <w:t>4</w:t>
                </w:r>
                <w:r>
                  <w:rPr>
                    <w:rFonts w:ascii="Times New Roman" w:hAnsi="Times New Roman"/>
                    <w:color w:val="000000"/>
                    <w:sz w:val="20"/>
                    <w:szCs w:val="20"/>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9" w:type="dxa"/>
                <w:gridSpan w:val="4"/>
                <w:vAlign w:val="center"/>
              </w:tcPr>
              <w:p>
                <w:pPr>
                  <w:jc w:val="center"/>
                  <w:rPr>
                    <w:rFonts w:ascii="Times New Roman" w:hAnsi="Times New Roman"/>
                    <w:bCs/>
                    <w:sz w:val="20"/>
                    <w:szCs w:val="20"/>
                  </w:rPr>
                </w:pPr>
                <w:r>
                  <w:rPr>
                    <w:rFonts w:hint="eastAsia" w:ascii="Times New Roman" w:hAnsi="Times New Roman"/>
                    <w:sz w:val="20"/>
                    <w:szCs w:val="20"/>
                  </w:rPr>
                  <w:t>合  计</w:t>
                </w:r>
              </w:p>
            </w:tc>
            <w:tc>
              <w:tcPr>
                <w:tcW w:w="1281" w:type="dxa"/>
                <w:vAlign w:val="center"/>
              </w:tcPr>
              <w:p>
                <w:pPr>
                  <w:jc w:val="center"/>
                  <w:rPr>
                    <w:rFonts w:ascii="Times New Roman" w:hAnsi="Times New Roman"/>
                    <w:b/>
                    <w:bCs/>
                    <w:sz w:val="20"/>
                    <w:szCs w:val="20"/>
                  </w:rPr>
                </w:pPr>
                <w:r>
                  <w:rPr>
                    <w:rFonts w:hint="eastAsia" w:ascii="Times New Roman" w:hAnsi="Times New Roman"/>
                    <w:b/>
                    <w:bCs/>
                    <w:sz w:val="20"/>
                    <w:szCs w:val="20"/>
                  </w:rPr>
                  <w:t>1</w:t>
                </w:r>
                <w:r>
                  <w:rPr>
                    <w:rFonts w:ascii="Times New Roman" w:hAnsi="Times New Roman"/>
                    <w:b/>
                    <w:bCs/>
                    <w:sz w:val="20"/>
                    <w:szCs w:val="20"/>
                  </w:rPr>
                  <w:t>64.62</w:t>
                </w:r>
              </w:p>
            </w:tc>
          </w:tr>
        </w:tbl>
        <w:p>
          <w:pPr>
            <w:pStyle w:val="43"/>
          </w:pPr>
        </w:p>
      </w:sdtContent>
    </w:sdt>
    <w:p>
      <w:pPr>
        <w:pStyle w:val="43"/>
      </w:pPr>
    </w:p>
    <w:p>
      <w:pPr>
        <w:pStyle w:val="5"/>
        <w:numPr>
          <w:ilvl w:val="0"/>
          <w:numId w:val="27"/>
        </w:numPr>
        <w:rPr>
          <w:rFonts w:ascii="宋体" w:hAnsi="宋体"/>
          <w:bCs w:val="0"/>
          <w:szCs w:val="22"/>
        </w:rPr>
      </w:pPr>
      <w:r>
        <w:rPr>
          <w:rFonts w:hint="eastAsia" w:ascii="宋体" w:hAnsi="宋体"/>
          <w:szCs w:val="21"/>
        </w:rPr>
        <w:t>其他应当公开的环境信息</w:t>
      </w:r>
    </w:p>
    <w:sdt>
      <w:sdtPr>
        <w:alias w:val="是否适用：其他应当公开的环境信息[双击切换]"/>
        <w:tag w:val="_GBC_98ced024394941ff987ebfb84f969979"/>
        <w:id w:val="273059003"/>
        <w:placeholder>
          <w:docPart w:val="GBC22222222222222222222222222222"/>
        </w:placeholder>
      </w:sdt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43"/>
      </w:pPr>
    </w:p>
    <w:p>
      <w:pPr>
        <w:pStyle w:val="4"/>
        <w:numPr>
          <w:ilvl w:val="0"/>
          <w:numId w:val="26"/>
        </w:numPr>
        <w:ind w:left="425" w:hanging="425"/>
        <w:rPr>
          <w:rFonts w:ascii="宋体" w:hAnsi="宋体"/>
        </w:rPr>
      </w:pPr>
      <w:r>
        <w:rPr>
          <w:rFonts w:hint="eastAsia" w:ascii="宋体" w:hAnsi="宋体"/>
        </w:rPr>
        <w:t>重点排污单位之外的公司环保情况说明</w:t>
      </w:r>
    </w:p>
    <w:sdt>
      <w:sdtPr>
        <w:alias w:val="是否适用：重点排污单位之外的公司的环保情况[双击切换]"/>
        <w:tag w:val="_GBC_d5ef790979ae4170801b0e930a2b7445"/>
        <w:id w:val="1037173599"/>
        <w:placeholder>
          <w:docPart w:val="GBC22222222222222222222222222222"/>
        </w:placeholder>
      </w:sdt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
        <w:numPr>
          <w:ilvl w:val="0"/>
          <w:numId w:val="28"/>
        </w:numPr>
        <w:ind w:left="450" w:hanging="450"/>
        <w:rPr>
          <w:rFonts w:ascii="宋体" w:hAnsi="宋体"/>
          <w:szCs w:val="21"/>
        </w:rPr>
      </w:pPr>
      <w:r>
        <w:rPr>
          <w:rFonts w:hint="eastAsia" w:ascii="宋体" w:hAnsi="宋体"/>
          <w:szCs w:val="21"/>
        </w:rPr>
        <w:t>因环境问题受到行政处罚的情况</w:t>
      </w:r>
    </w:p>
    <w:sdt>
      <w:sdtPr>
        <w:alias w:val="是否适用：重点排污单位之外的公司因环境问题受到行政处罚的情况[双击切换]"/>
        <w:tag w:val="_GBC_5896886de1f845c180bb3a271ed2a8a9"/>
        <w:id w:val="-1458789358"/>
        <w:placeholder>
          <w:docPart w:val="GBC22222222222222222222222222222"/>
        </w:placeholder>
      </w:sdtPr>
      <w:sdtContent>
        <w:p>
          <w:pPr>
            <w:pStyle w:val="501"/>
          </w:pPr>
          <w:bookmarkStart w:id="124" w:name="_Hlk74731776"/>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124"/>
    <w:p>
      <w:pPr>
        <w:pStyle w:val="501"/>
      </w:pPr>
    </w:p>
    <w:p>
      <w:pPr>
        <w:pStyle w:val="5"/>
        <w:numPr>
          <w:ilvl w:val="0"/>
          <w:numId w:val="28"/>
        </w:numPr>
        <w:ind w:left="450" w:hanging="450"/>
        <w:rPr>
          <w:rFonts w:ascii="宋体" w:hAnsi="宋体"/>
          <w:szCs w:val="21"/>
        </w:rPr>
      </w:pPr>
      <w:r>
        <w:rPr>
          <w:rFonts w:hint="eastAsia" w:ascii="宋体" w:hAnsi="宋体"/>
          <w:szCs w:val="21"/>
        </w:rPr>
        <w:t>参照</w:t>
      </w:r>
      <w:r>
        <w:rPr>
          <w:rFonts w:ascii="宋体" w:hAnsi="宋体"/>
          <w:szCs w:val="21"/>
        </w:rPr>
        <w:t>重点排污单位</w:t>
      </w:r>
      <w:r>
        <w:rPr>
          <w:rFonts w:hint="eastAsia" w:ascii="宋体" w:hAnsi="宋体"/>
          <w:szCs w:val="21"/>
        </w:rPr>
        <w:t>披露其他环境信息</w:t>
      </w:r>
    </w:p>
    <w:sdt>
      <w:sdtPr>
        <w:alias w:val="是否适用：参照重点排污单位披露其它环境信息[双击切换]"/>
        <w:tag w:val="_GBC_c81ce6b9ed3e477cb685a903703d325c"/>
        <w:id w:val="-1293586075"/>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
        <w:numPr>
          <w:ilvl w:val="0"/>
          <w:numId w:val="28"/>
        </w:numPr>
        <w:ind w:left="450" w:hanging="450"/>
        <w:rPr>
          <w:rFonts w:ascii="宋体" w:hAnsi="宋体"/>
          <w:szCs w:val="21"/>
        </w:rPr>
      </w:pPr>
      <w:r>
        <w:rPr>
          <w:rFonts w:hint="eastAsia" w:ascii="宋体" w:hAnsi="宋体"/>
          <w:szCs w:val="21"/>
        </w:rPr>
        <w:t>未披露其他环境信息的原因</w:t>
      </w:r>
    </w:p>
    <w:sdt>
      <w:sdtPr>
        <w:alias w:val="是否适用：重点排污单位之外的公司未披露环境信息的原因[双击切换]"/>
        <w:tag w:val="_GBC_cd8c1fc8381844409435eed0d957ea5c"/>
        <w:id w:val="-2109182347"/>
        <w:placeholder>
          <w:docPart w:val="GBC22222222222222222222222222222"/>
        </w:placeholder>
      </w:sdt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重点排污单位之外的公司未披露环境信息的原因"/>
        <w:tag w:val="_GBC_320f885ba1db4670a0f1c0055e0d946f"/>
        <w:id w:val="-979607362"/>
        <w:placeholder>
          <w:docPart w:val="GBC22222222222222222222222222222"/>
        </w:placeholder>
      </w:sdtPr>
      <w:sdtContent>
        <w:p>
          <w:pPr>
            <w:ind w:firstLine="420" w:firstLineChars="200"/>
          </w:pPr>
          <w:r>
            <w:rPr>
              <w:rFonts w:hint="eastAsia"/>
            </w:rPr>
            <w:t>公司未披露其他环境信息的原因是对环境的影响较小，主要是日常办公运营对能源资源消耗和排放。</w:t>
          </w:r>
        </w:p>
        <w:p>
          <w:pPr>
            <w:pStyle w:val="501"/>
          </w:pPr>
          <w:r>
            <w:t xml:space="preserve">    兖煤澳洲所属矿井均严格遵守所</w:t>
          </w:r>
          <w:r>
            <w:rPr>
              <w:rFonts w:hint="eastAsia"/>
            </w:rPr>
            <w:t>在</w:t>
          </w:r>
          <w:r>
            <w:t>国相关环境保护法律法规及监管条例，建设和运行污染防治设施，积极开展污染防治工作，废气、废水、固体废物及其他污染物的排放均符合所</w:t>
          </w:r>
          <w:r>
            <w:rPr>
              <w:rFonts w:hint="eastAsia"/>
            </w:rPr>
            <w:t>在</w:t>
          </w:r>
          <w:r>
            <w:t>国污染物排放标准规定。对可能存在的环境事故风险，均制订环境事故和其他突发事件的应急预案，并建立了向当地政府、环境保护监管机构</w:t>
          </w:r>
          <w:r>
            <w:rPr>
              <w:rFonts w:hint="eastAsia"/>
            </w:rPr>
            <w:t>等</w:t>
          </w:r>
          <w:r>
            <w:t>沟通汇报制度。有关兖煤澳洲环境信息请参见兖煤澳洲定期披露的《环境、社会及管治报告》。</w:t>
          </w:r>
        </w:p>
      </w:sdtContent>
    </w:sdt>
    <w:p>
      <w:pPr>
        <w:pStyle w:val="43"/>
      </w:pPr>
    </w:p>
    <w:p>
      <w:pPr>
        <w:pStyle w:val="4"/>
        <w:numPr>
          <w:ilvl w:val="0"/>
          <w:numId w:val="26"/>
        </w:numPr>
        <w:ind w:left="450" w:hanging="450"/>
        <w:rPr>
          <w:rFonts w:ascii="宋体" w:hAnsi="宋体" w:cs="宋体"/>
          <w:kern w:val="0"/>
          <w:szCs w:val="24"/>
        </w:rPr>
      </w:pPr>
      <w:r>
        <w:rPr>
          <w:rFonts w:hint="eastAsia" w:ascii="宋体" w:hAnsi="宋体" w:cs="宋体"/>
          <w:kern w:val="0"/>
          <w:szCs w:val="24"/>
        </w:rPr>
        <w:t>有利于保护生态、防治污染、履行环境责任的相关信息</w:t>
      </w:r>
    </w:p>
    <w:sdt>
      <w:sdtPr>
        <w:alias w:val="是否适用：有利于保护生态、防治污染、履行环境责任的相关信息[双击切换]"/>
        <w:tag w:val="_GBC_b098ce7912f144edb010c3351255b611"/>
        <w:id w:val="-1150440138"/>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有利于保护生态、防治污染、履行环境责任的相关信息"/>
        <w:tag w:val="_GBC_1fccabe26da9412fabcb2e444011eb04"/>
        <w:id w:val="1093823410"/>
        <w:placeholder>
          <w:docPart w:val="GBC22222222222222222222222222222"/>
        </w:placeholder>
      </w:sdtPr>
      <w:sdtEndPr>
        <w:rPr>
          <w:color w:val="FF0000"/>
        </w:rPr>
      </w:sdtEndPr>
      <w:sdtContent>
        <w:p>
          <w:pPr>
            <w:ind w:firstLine="420" w:firstLineChars="200"/>
            <w:rPr>
              <w:color w:val="000000"/>
            </w:rPr>
          </w:pPr>
          <w:r>
            <w:rPr>
              <w:rFonts w:hint="eastAsia"/>
              <w:color w:val="000000"/>
            </w:rPr>
            <w:t>本集团持续深入推进环境污染防治，东滩煤矿、济三煤矿、赵楼煤矿等矿井高盐水深度处理工程投运后稳定运行，2</w:t>
          </w:r>
          <w:r>
            <w:rPr>
              <w:color w:val="000000"/>
            </w:rPr>
            <w:t>023</w:t>
          </w:r>
          <w:r>
            <w:rPr>
              <w:rFonts w:hint="eastAsia"/>
              <w:color w:val="000000"/>
            </w:rPr>
            <w:t>年减少排放硫酸盐</w:t>
          </w:r>
          <w:r>
            <w:rPr>
              <w:color w:val="000000"/>
            </w:rPr>
            <w:t>15,123.5</w:t>
          </w:r>
          <w:r>
            <w:rPr>
              <w:rFonts w:hint="eastAsia"/>
              <w:color w:val="000000"/>
            </w:rPr>
            <w:t>吨，有利于受纳水体水质改善。</w:t>
          </w:r>
        </w:p>
      </w:sdtContent>
    </w:sdt>
    <w:p>
      <w:pPr>
        <w:pStyle w:val="4"/>
        <w:numPr>
          <w:ilvl w:val="0"/>
          <w:numId w:val="26"/>
        </w:numPr>
        <w:ind w:left="450" w:hanging="450"/>
        <w:rPr>
          <w:rFonts w:ascii="宋体" w:hAnsi="宋体"/>
        </w:rPr>
      </w:pPr>
      <w:r>
        <w:rPr>
          <w:rFonts w:ascii="宋体" w:hAnsi="宋体"/>
        </w:rPr>
        <w:t>在报告期内为减少其碳排放所采取的措施及效果</w:t>
      </w:r>
    </w:p>
    <w:tbl>
      <w:tblPr>
        <w:tblStyle w:val="47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4"/>
        <w:gridCol w:w="5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hint="eastAsia"/>
            </w:rPr>
            <w:tag w:val="_PLD_d765fcc12171478eb6ac1d26c3b15d8b"/>
            <w:id w:val="-406839860"/>
          </w:sdtPr>
          <w:sdtEndPr>
            <w:rPr>
              <w:rFonts w:hint="eastAsia"/>
            </w:rPr>
          </w:sdtEndPr>
          <w:sdtContent>
            <w:tc>
              <w:tcPr>
                <w:tcW w:w="2052" w:type="pct"/>
                <w:shd w:val="clear" w:color="auto" w:fill="auto"/>
              </w:tcPr>
              <w:p>
                <w:pPr>
                  <w:pStyle w:val="501"/>
                </w:pPr>
                <w:r>
                  <w:rPr>
                    <w:rFonts w:hint="eastAsia"/>
                  </w:rPr>
                  <w:t>是否采取减碳措施</w:t>
                </w:r>
              </w:p>
            </w:tc>
          </w:sdtContent>
        </w:sdt>
        <w:sdt>
          <w:sdtPr>
            <w:alias w:val="是否采取减碳措施"/>
            <w:tag w:val="_GBC_d9a1ff3875ac418bab40a855cd584ffd"/>
            <w:id w:val="1636142397"/>
            <w:comboBox>
              <w:listItem w:displayText="是" w:value="是"/>
              <w:listItem w:displayText="否" w:value="否"/>
            </w:comboBox>
          </w:sdtPr>
          <w:sdtContent>
            <w:tc>
              <w:tcPr>
                <w:tcW w:w="2948" w:type="pct"/>
                <w:shd w:val="clear" w:color="auto" w:fill="auto"/>
              </w:tcPr>
              <w:p>
                <w:pPr>
                  <w:pStyle w:val="501"/>
                </w:pPr>
                <w: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pct"/>
            <w:shd w:val="clear" w:color="auto" w:fill="auto"/>
          </w:tcPr>
          <w:p>
            <w:pPr>
              <w:pStyle w:val="501"/>
            </w:pPr>
            <w:r>
              <w:rPr>
                <w:rFonts w:hint="eastAsia"/>
              </w:rPr>
              <w:t>减少排放二氧化碳当量（单位：吨）</w:t>
            </w:r>
          </w:p>
        </w:tc>
        <w:tc>
          <w:tcPr>
            <w:tcW w:w="2948" w:type="pct"/>
            <w:shd w:val="clear" w:color="auto" w:fill="auto"/>
          </w:tcPr>
          <w:p>
            <w:pPr>
              <w:pStyle w:val="501"/>
            </w:pPr>
            <w:r>
              <w:t>90,038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pct"/>
            <w:shd w:val="clear" w:color="auto" w:fill="auto"/>
          </w:tcPr>
          <w:p>
            <w:pPr>
              <w:pStyle w:val="501"/>
            </w:pPr>
            <w:r>
              <w:rPr>
                <w:rFonts w:hint="eastAsia"/>
              </w:rPr>
              <w:t>减碳措施类型（如使用清洁能源发电、在生产过程中使用减碳技术、研发生产助于减碳的新产品等）</w:t>
            </w:r>
          </w:p>
        </w:tc>
        <w:tc>
          <w:tcPr>
            <w:tcW w:w="2948" w:type="pct"/>
            <w:shd w:val="clear" w:color="auto" w:fill="auto"/>
          </w:tcPr>
          <w:p>
            <w:pPr>
              <w:pStyle w:val="501"/>
            </w:pPr>
            <w:r>
              <w:rPr>
                <w:rFonts w:hint="eastAsia"/>
              </w:rPr>
              <w:t>清洁能源发电，在生产过程中使用减碳技术</w:t>
            </w:r>
          </w:p>
        </w:tc>
      </w:tr>
    </w:tbl>
    <w:p>
      <w:pPr>
        <w:pStyle w:val="43"/>
      </w:pPr>
    </w:p>
    <w:p>
      <w:pPr>
        <w:pStyle w:val="43"/>
      </w:pPr>
      <w:r>
        <w:rPr>
          <w:rFonts w:hint="eastAsia"/>
        </w:rPr>
        <w:t>具体说明</w:t>
      </w:r>
    </w:p>
    <w:sdt>
      <w:sdtPr>
        <w:alias w:val="是否适用：在报告期内为减少其碳排放所采取的措施及效果 [双击切换]"/>
        <w:tag w:val="_GBC_c548c6cdcee840f1b99e9992b9199dfc"/>
        <w:id w:val="-1358576925"/>
        <w:placeholder>
          <w:docPart w:val="GBC22222222222222222222222222222"/>
        </w:placeholder>
      </w:sdtPr>
      <w:sdtContent>
        <w:p>
          <w:pPr>
            <w:pStyle w:val="43"/>
          </w:pPr>
          <w:r>
            <w:rPr>
              <w:szCs w:val="21"/>
            </w:rPr>
            <w:fldChar w:fldCharType="begin"/>
          </w:r>
          <w:r>
            <w:rPr>
              <w:szCs w:val="21"/>
            </w:rPr>
            <w:instrText xml:space="preserve"> MACROBUTTON  SnrToggleCheckbox √适用 </w:instrText>
          </w:r>
          <w:r>
            <w:rPr>
              <w:szCs w:val="21"/>
            </w:rPr>
            <w:fldChar w:fldCharType="end"/>
          </w:r>
          <w:r>
            <w:fldChar w:fldCharType="begin"/>
          </w:r>
          <w:r>
            <w:instrText xml:space="preserve"> MACROBUTTON  SnrToggleCheckbox □不适用 </w:instrText>
          </w:r>
          <w:r>
            <w:fldChar w:fldCharType="end"/>
          </w:r>
        </w:p>
      </w:sdtContent>
    </w:sdt>
    <w:sdt>
      <w:sdtPr>
        <w:rPr>
          <w:rFonts w:ascii="Calibri" w:hAnsi="Calibri" w:cs="Times New Roman"/>
          <w:kern w:val="2"/>
          <w:szCs w:val="21"/>
        </w:rPr>
        <w:alias w:val="在报告期内为减少其碳排放所采取的措施及效果 "/>
        <w:tag w:val="_GBC_ca4174c323bb40d9bffbaa1df2f9a6e3"/>
        <w:id w:val="-174882100"/>
        <w:placeholder>
          <w:docPart w:val="GBC22222222222222222222222222222"/>
        </w:placeholder>
      </w:sdtPr>
      <w:sdtEndPr>
        <w:rPr>
          <w:rFonts w:ascii="Calibri" w:hAnsi="Calibri" w:cs="Times New Roman"/>
          <w:kern w:val="2"/>
          <w:szCs w:val="21"/>
        </w:rPr>
      </w:sdtEndPr>
      <w:sdtContent>
        <w:p>
          <w:pPr>
            <w:pStyle w:val="43"/>
            <w:ind w:firstLine="420" w:firstLineChars="200"/>
          </w:pPr>
          <w:r>
            <w:rPr>
              <w:rFonts w:hint="eastAsia"/>
            </w:rPr>
            <w:t>2023年，公司持续开展减少碳排放措施。</w:t>
          </w:r>
        </w:p>
        <w:p>
          <w:pPr>
            <w:ind w:firstLine="420" w:firstLineChars="200"/>
          </w:pPr>
          <w:r>
            <w:rPr>
              <w:rFonts w:hint="eastAsia"/>
            </w:rPr>
            <w:t>1.开展节能减碳技术改造。公司各煤矿实施空压机余热、矿井乏风余热、矿井水等余热综合利用，节约能源6,245.62吨标准煤，减少碳排放20,135吨；华聚能源加快推进光伏项目建设，建成物供中心屋顶、东滩煤矿风井、鲍店煤矿风井以及内蒙古蒙达铁路等分布式光伏项目，建成装机规模</w:t>
          </w:r>
          <w:r>
            <w:t>1.514</w:t>
          </w:r>
          <w:r>
            <w:rPr>
              <w:rFonts w:hint="eastAsia"/>
            </w:rPr>
            <w:t>万kWh；兴隆庄煤矿、东滩煤矿、</w:t>
          </w:r>
          <w:r>
            <w:t>物供中心</w:t>
          </w:r>
          <w:r>
            <w:rPr>
              <w:rFonts w:hint="eastAsia"/>
            </w:rPr>
            <w:t>等消纳绿电</w:t>
          </w:r>
          <w:r>
            <w:t>2,459</w:t>
          </w:r>
          <w:r>
            <w:rPr>
              <w:rFonts w:hint="eastAsia"/>
            </w:rPr>
            <w:t>万kWh，减少碳排放</w:t>
          </w:r>
          <w:r>
            <w:t>14,022.7</w:t>
          </w:r>
          <w:r>
            <w:rPr>
              <w:rFonts w:hint="eastAsia"/>
            </w:rPr>
            <w:t>吨；济三煤矿变频改造节电96万kWh；鲁南化工优化醋酸酯Ⅰ节能降耗技术攻关项目运行，实现醋酸酯Ⅰ装置产品蒸汽单耗降低0.25t/t，年节约蒸汽5.33万吨。榆林能化实施了热电锅炉系统APC智能控制，以4台锅炉为应用研究对象，开发实施先进智能控制系统，实现锅炉的优化运行，系统煤耗较同期降低1%，年度节能约4,100吨标煤。未来能源实施装置先进控制系统改造，可节省蒸汽消耗12.7t/h，年节约煤炭约3,800吨，循环水回水余压直排节电7月份投运，每年可节约用电约70.4万kWh，共计减少碳排放7,186.3吨。</w:t>
          </w:r>
        </w:p>
        <w:p>
          <w:pPr>
            <w:ind w:firstLine="420" w:firstLineChars="200"/>
          </w:pPr>
          <w:r>
            <w:rPr>
              <w:rFonts w:hint="eastAsia"/>
            </w:rPr>
            <w:t>2.加强瓦斯气体综合利用。公司运营的煤矿绝大部分为低瓦斯煤矿，煤矿开采活动导致的逸散性甲烷排放较少。高瓦斯煤矿将瓦斯气体进行收集并用于发电，从而减少碳排放48,694吨。</w:t>
          </w:r>
        </w:p>
        <w:p>
          <w:pPr>
            <w:ind w:firstLine="420" w:firstLineChars="200"/>
          </w:pPr>
        </w:p>
      </w:sdtContent>
    </w:sdt>
    <w:p>
      <w:pPr>
        <w:pStyle w:val="43"/>
      </w:pPr>
      <w:bookmarkStart w:id="125" w:name="_Hlk162272605"/>
      <w:bookmarkEnd w:id="125"/>
    </w:p>
    <w:p>
      <w:pPr>
        <w:pStyle w:val="137"/>
        <w:numPr>
          <w:ilvl w:val="0"/>
          <w:numId w:val="25"/>
        </w:numPr>
        <w:tabs>
          <w:tab w:val="left" w:pos="426"/>
        </w:tabs>
        <w:ind w:left="425" w:hanging="425"/>
        <w:jc w:val="left"/>
      </w:pPr>
      <w:r>
        <w:t>社会责任工作情况</w:t>
      </w:r>
    </w:p>
    <w:p>
      <w:pPr>
        <w:pStyle w:val="4"/>
        <w:numPr>
          <w:ilvl w:val="0"/>
          <w:numId w:val="29"/>
        </w:numPr>
        <w:rPr>
          <w:rFonts w:ascii="宋体" w:hAnsi="宋体"/>
        </w:rPr>
      </w:pPr>
      <w:r>
        <w:rPr>
          <w:rFonts w:hint="eastAsia" w:ascii="宋体" w:hAnsi="宋体"/>
        </w:rPr>
        <w:t>是否单独披露社会责任报告、可持续发展报告或ESG报告</w:t>
      </w:r>
    </w:p>
    <w:sdt>
      <w:sdtPr>
        <w:alias w:val="是否适用：是否单独披露社会责任报告、可持续发展报告或ESG报告[双击切换]"/>
        <w:tag w:val="_GBC_9e7dd53d4e6f44ea9f272442eb9babac"/>
        <w:id w:val="448434956"/>
        <w:placeholder>
          <w:docPart w:val="GBC22222222222222222222222222222"/>
        </w:placeholder>
      </w:sdtPr>
      <w:sdtContent>
        <w:p>
          <w:pPr>
            <w:pStyle w:val="43"/>
          </w:pPr>
          <w:r>
            <w:rPr>
              <w:szCs w:val="21"/>
            </w:rPr>
            <w:fldChar w:fldCharType="begin"/>
          </w:r>
          <w:r>
            <w:rPr>
              <w:szCs w:val="21"/>
            </w:rPr>
            <w:instrText xml:space="preserve"> MACROBUTTON  SnrToggleCheckbox √适用 </w:instrText>
          </w:r>
          <w:r>
            <w:rPr>
              <w:szCs w:val="21"/>
            </w:rPr>
            <w:fldChar w:fldCharType="end"/>
          </w:r>
          <w:r>
            <w:fldChar w:fldCharType="begin"/>
          </w:r>
          <w:r>
            <w:instrText xml:space="preserve"> MACROBUTTON  SnrToggleCheckbox □不适用 </w:instrText>
          </w:r>
          <w:r>
            <w:fldChar w:fldCharType="end"/>
          </w:r>
        </w:p>
      </w:sdtContent>
    </w:sdt>
    <w:sdt>
      <w:sdtPr>
        <w:alias w:val="是否单独披露社会责任报告、可持续发展报告或ESG报告"/>
        <w:tag w:val="_GBC_e26ad08dba0e483a908a6ff4e6e74e3f"/>
        <w:id w:val="-1645729172"/>
        <w:placeholder>
          <w:docPart w:val="GBC22222222222222222222222222222"/>
        </w:placeholder>
      </w:sdtPr>
      <w:sdtContent>
        <w:p>
          <w:pPr>
            <w:pStyle w:val="43"/>
            <w:ind w:firstLine="420" w:firstLineChars="200"/>
          </w:pPr>
          <w:r>
            <w:rPr>
              <w:rFonts w:hint="eastAsia"/>
            </w:rPr>
            <w:t>公司单独发布《环境、社会及管治报告》。</w:t>
          </w:r>
        </w:p>
      </w:sdtContent>
    </w:sdt>
    <w:p>
      <w:pPr>
        <w:pStyle w:val="43"/>
      </w:pPr>
    </w:p>
    <w:p>
      <w:pPr>
        <w:pStyle w:val="4"/>
        <w:numPr>
          <w:ilvl w:val="0"/>
          <w:numId w:val="29"/>
        </w:numPr>
        <w:rPr>
          <w:rFonts w:ascii="宋体" w:hAnsi="宋体"/>
        </w:rPr>
      </w:pPr>
      <w:r>
        <w:rPr>
          <w:rFonts w:hint="eastAsia" w:ascii="宋体" w:hAnsi="宋体"/>
        </w:rPr>
        <w:t>社会责任工作具体情况</w:t>
      </w:r>
    </w:p>
    <w:sdt>
      <w:sdtPr>
        <w:alias w:val="是否适用：社会责任工作具体情况[双击切换]"/>
        <w:tag w:val="_GBC_2bbbff88e2744d6dbb21a0a502bf51cf"/>
        <w:id w:val="-1000891165"/>
        <w:placeholder>
          <w:docPart w:val="GBC22222222222222222222222222222"/>
        </w:placeholder>
      </w:sdt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475"/>
        <w:tblW w:w="48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8"/>
        <w:gridCol w:w="3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8ccd1f20d787452283cca30b8be75dc8"/>
            <w:id w:val="125358565"/>
          </w:sdtPr>
          <w:sdtEndPr>
            <w:rPr>
              <w:rFonts w:hint="eastAsia"/>
            </w:rPr>
          </w:sdtEndPr>
          <w:sdtContent>
            <w:tc>
              <w:tcPr>
                <w:tcW w:w="2786" w:type="pct"/>
                <w:shd w:val="clear" w:color="auto" w:fill="auto"/>
              </w:tcPr>
              <w:p>
                <w:pPr>
                  <w:jc w:val="center"/>
                </w:pPr>
                <w:r>
                  <w:rPr>
                    <w:rFonts w:hint="eastAsia"/>
                  </w:rPr>
                  <w:t>对外捐赠、公益项目</w:t>
                </w:r>
              </w:p>
            </w:tc>
          </w:sdtContent>
        </w:sdt>
        <w:sdt>
          <w:sdtPr>
            <w:rPr>
              <w:rFonts w:hint="eastAsia"/>
            </w:rPr>
            <w:tag w:val="_PLD_8451b9cc95c641c39056391d3348179e"/>
            <w:id w:val="-1241256148"/>
          </w:sdtPr>
          <w:sdtEndPr>
            <w:rPr>
              <w:rFonts w:hint="eastAsia"/>
            </w:rPr>
          </w:sdtEndPr>
          <w:sdtContent>
            <w:tc>
              <w:tcPr>
                <w:tcW w:w="2214" w:type="pct"/>
                <w:shd w:val="clear" w:color="auto" w:fill="auto"/>
              </w:tcPr>
              <w:p>
                <w:pPr>
                  <w:jc w:val="center"/>
                </w:pPr>
                <w:r>
                  <w:rPr>
                    <w:rFonts w:hint="eastAsia"/>
                  </w:rPr>
                  <w:t>数量/内容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pct"/>
            <w:shd w:val="clear" w:color="auto" w:fill="auto"/>
          </w:tcPr>
          <w:p>
            <w:pPr>
              <w:rPr>
                <w:rFonts w:ascii="宋体" w:hAnsi="宋体"/>
              </w:rPr>
            </w:pPr>
            <w:r>
              <w:rPr>
                <w:rFonts w:hint="eastAsia" w:ascii="宋体" w:hAnsi="宋体"/>
              </w:rPr>
              <w:t>总投入（万元）</w:t>
            </w:r>
          </w:p>
        </w:tc>
        <w:tc>
          <w:tcPr>
            <w:tcW w:w="2214" w:type="pct"/>
            <w:shd w:val="clear" w:color="auto" w:fill="auto"/>
          </w:tcPr>
          <w:p>
            <w:pPr>
              <w:jc w:val="right"/>
              <w:rPr>
                <w:rFonts w:ascii="宋体" w:hAnsi="宋体"/>
              </w:rPr>
            </w:pPr>
            <w:r>
              <w:rPr>
                <w:rFonts w:ascii="宋体" w:hAnsi="宋体"/>
              </w:rPr>
              <w:t>5,049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pct"/>
            <w:shd w:val="clear" w:color="auto" w:fill="auto"/>
          </w:tcPr>
          <w:p>
            <w:pPr>
              <w:rPr>
                <w:rFonts w:ascii="宋体" w:hAnsi="宋体"/>
              </w:rPr>
            </w:pPr>
            <w:r>
              <w:rPr>
                <w:rFonts w:ascii="宋体" w:hAnsi="宋体"/>
              </w:rPr>
              <w:t xml:space="preserve">    </w:t>
            </w:r>
            <w:r>
              <w:rPr>
                <w:rFonts w:hint="eastAsia" w:ascii="宋体" w:hAnsi="宋体"/>
              </w:rPr>
              <w:t>其中：资金（万元）</w:t>
            </w:r>
          </w:p>
        </w:tc>
        <w:tc>
          <w:tcPr>
            <w:tcW w:w="2214" w:type="pct"/>
            <w:shd w:val="clear" w:color="auto" w:fill="auto"/>
          </w:tcPr>
          <w:p>
            <w:pPr>
              <w:jc w:val="right"/>
              <w:rPr>
                <w:rFonts w:ascii="宋体" w:hAnsi="宋体"/>
              </w:rPr>
            </w:pPr>
            <w:r>
              <w:rPr>
                <w:rFonts w:ascii="宋体" w:hAnsi="宋体"/>
              </w:rPr>
              <w:t>5,049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pct"/>
            <w:shd w:val="clear" w:color="auto" w:fill="auto"/>
          </w:tcPr>
          <w:p>
            <w:pPr>
              <w:rPr>
                <w:rFonts w:ascii="宋体" w:hAnsi="宋体"/>
              </w:rPr>
            </w:pPr>
            <w:r>
              <w:rPr>
                <w:rFonts w:hint="eastAsia" w:ascii="宋体" w:hAnsi="宋体"/>
              </w:rPr>
              <w:t xml:space="preserve"> </w:t>
            </w:r>
            <w:r>
              <w:rPr>
                <w:rFonts w:ascii="宋体" w:hAnsi="宋体"/>
              </w:rPr>
              <w:t xml:space="preserve">         </w:t>
            </w:r>
            <w:r>
              <w:rPr>
                <w:rFonts w:hint="eastAsia" w:ascii="宋体" w:hAnsi="宋体"/>
              </w:rPr>
              <w:t>物资折款（万元）</w:t>
            </w:r>
          </w:p>
        </w:tc>
        <w:tc>
          <w:tcPr>
            <w:tcW w:w="2214" w:type="pct"/>
            <w:shd w:val="clear" w:color="auto" w:fill="auto"/>
          </w:tcPr>
          <w:p>
            <w:pPr>
              <w:jc w:val="right"/>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6" w:type="pct"/>
            <w:shd w:val="clear" w:color="auto" w:fill="auto"/>
          </w:tcPr>
          <w:p>
            <w:pPr>
              <w:rPr>
                <w:rFonts w:ascii="宋体" w:hAnsi="宋体"/>
              </w:rPr>
            </w:pPr>
            <w:r>
              <w:rPr>
                <w:rFonts w:hint="eastAsia" w:ascii="宋体" w:hAnsi="宋体"/>
              </w:rPr>
              <w:t>惠及人数（人）</w:t>
            </w:r>
          </w:p>
        </w:tc>
        <w:tc>
          <w:tcPr>
            <w:tcW w:w="2214" w:type="pct"/>
            <w:shd w:val="clear" w:color="auto" w:fill="auto"/>
          </w:tcPr>
          <w:p>
            <w:pPr>
              <w:jc w:val="right"/>
              <w:rPr>
                <w:rFonts w:ascii="宋体" w:hAnsi="宋体"/>
              </w:rPr>
            </w:pPr>
            <w:r>
              <w:rPr>
                <w:rFonts w:hint="eastAsia" w:ascii="宋体" w:hAnsi="宋体"/>
              </w:rPr>
              <w:t>-</w:t>
            </w:r>
          </w:p>
        </w:tc>
      </w:tr>
    </w:tbl>
    <w:p>
      <w:pPr>
        <w:pStyle w:val="501"/>
      </w:pPr>
    </w:p>
    <w:p>
      <w:pPr>
        <w:pStyle w:val="43"/>
      </w:pPr>
    </w:p>
    <w:p>
      <w:pPr>
        <w:pStyle w:val="43"/>
      </w:pPr>
      <w:r>
        <w:rPr>
          <w:rFonts w:hint="eastAsia"/>
        </w:rPr>
        <w:t>具体说明</w:t>
      </w:r>
    </w:p>
    <w:sdt>
      <w:sdtPr>
        <w:rPr>
          <w:rFonts w:hint="eastAsia"/>
        </w:rPr>
        <w:alias w:val="是否适用：社会责任工作情况[双击切换]"/>
        <w:tag w:val="_GBC_193e5fab56724eddabaa8d0d74a4b129"/>
        <w:id w:val="-767610300"/>
        <w:placeholder>
          <w:docPart w:val="GBC22222222222222222222222222222"/>
        </w:placeholder>
      </w:sdtPr>
      <w:sdtEndPr>
        <w:rPr>
          <w:rFonts w:hint="eastAsia"/>
        </w:rPr>
      </w:sdtEndPr>
      <w:sdtContent>
        <w:p>
          <w:pPr>
            <w:pStyle w:val="43"/>
          </w:pPr>
          <w:r>
            <w:rPr>
              <w:szCs w:val="21"/>
            </w:rPr>
            <w:fldChar w:fldCharType="begin"/>
          </w:r>
          <w:r>
            <w:rPr>
              <w:szCs w:val="21"/>
            </w:rPr>
            <w:instrText xml:space="preserve"> MACROBUTTON  SnrToggleCheckbox √适用 </w:instrText>
          </w:r>
          <w:r>
            <w:rPr>
              <w:szCs w:val="21"/>
            </w:rPr>
            <w:fldChar w:fldCharType="end"/>
          </w:r>
          <w:r>
            <w:fldChar w:fldCharType="begin"/>
          </w:r>
          <w:r>
            <w:instrText xml:space="preserve"> MACROBUTTON  SnrToggleCheckbox □不适用 </w:instrText>
          </w:r>
          <w:r>
            <w:fldChar w:fldCharType="end"/>
          </w:r>
        </w:p>
      </w:sdtContent>
    </w:sdt>
    <w:sdt>
      <w:sdtPr>
        <w:alias w:val="社会责任工作情况"/>
        <w:tag w:val="_GBC_a9b541509de44900b46d09bc29c43131"/>
        <w:id w:val="-1133013309"/>
        <w:placeholder>
          <w:docPart w:val="GBC22222222222222222222222222222"/>
        </w:placeholder>
      </w:sdtPr>
      <w:sdtContent>
        <w:p>
          <w:pPr>
            <w:pStyle w:val="43"/>
            <w:ind w:firstLine="420" w:firstLineChars="200"/>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3年</w:t>
          </w:r>
          <w:r>
            <w:rPr>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公司</w:t>
          </w:r>
          <w:r>
            <w:rPr>
              <w:rFonts w:cs="Times New Roman"/>
              <w:color w:val="000000" w:themeColor="text1"/>
              <w14:textFill>
                <w14:solidFill>
                  <w14:schemeClr w14:val="tx1"/>
                </w14:solidFill>
              </w14:textFill>
            </w:rPr>
            <w:t>积极开展对外捐赠和公益支持等社会责任工作</w:t>
          </w:r>
          <w:r>
            <w:rPr>
              <w:rFonts w:hint="eastAsia" w:cs="Times New Roman"/>
              <w:color w:val="000000" w:themeColor="text1"/>
              <w14:textFill>
                <w14:solidFill>
                  <w14:schemeClr w14:val="tx1"/>
                </w14:solidFill>
              </w14:textFill>
            </w:rPr>
            <w:t>，有关详情请见日期为2024年3月28日的《</w:t>
          </w:r>
          <w:r>
            <w:rPr>
              <w:rFonts w:cs="Times New Roman"/>
              <w:color w:val="000000" w:themeColor="text1"/>
              <w14:textFill>
                <w14:solidFill>
                  <w14:schemeClr w14:val="tx1"/>
                </w14:solidFill>
              </w14:textFill>
            </w:rPr>
            <w:t>202</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年度环境、社会及管治报告》</w:t>
          </w:r>
          <w:r>
            <w:rPr>
              <w:rFonts w:hint="eastAsia" w:cs="Times New Roman"/>
              <w:color w:val="000000" w:themeColor="text1"/>
              <w14:textFill>
                <w14:solidFill>
                  <w14:schemeClr w14:val="tx1"/>
                </w14:solidFill>
              </w14:textFill>
            </w:rPr>
            <w:t>。</w:t>
          </w:r>
        </w:p>
      </w:sdtContent>
    </w:sdt>
    <w:p>
      <w:pPr>
        <w:pStyle w:val="43"/>
      </w:pPr>
    </w:p>
    <w:p>
      <w:pPr>
        <w:pStyle w:val="137"/>
        <w:numPr>
          <w:ilvl w:val="0"/>
          <w:numId w:val="25"/>
        </w:numPr>
        <w:tabs>
          <w:tab w:val="left" w:pos="426"/>
        </w:tabs>
        <w:ind w:left="425" w:hanging="425"/>
        <w:jc w:val="left"/>
        <w:rPr>
          <w:rFonts w:ascii="宋体" w:hAnsi="宋体"/>
        </w:rPr>
      </w:pPr>
      <w:r>
        <w:rPr>
          <w:rFonts w:hint="eastAsia" w:ascii="宋体" w:hAnsi="宋体"/>
        </w:rPr>
        <w:t>巩固拓展脱贫攻坚成果、乡村振兴等工作具体情况</w:t>
      </w:r>
    </w:p>
    <w:sdt>
      <w:sdtPr>
        <w:alias w:val="是否适用：巩固拓展脱贫攻坚成果、乡村振兴工作具体情况[双击切换]"/>
        <w:tag w:val="_GBC_94f5c59c87964f1f83743f3f44109e91"/>
        <w:id w:val="112949144"/>
        <w:placeholder>
          <w:docPart w:val="GBC22222222222222222222222222222"/>
        </w:placeholder>
      </w:sdt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475"/>
        <w:tblW w:w="51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2"/>
        <w:gridCol w:w="4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d29d252d89d54e55bc5bc96bc0b5b469"/>
            <w:id w:val="1488440812"/>
          </w:sdtPr>
          <w:sdtEndPr>
            <w:rPr>
              <w:rFonts w:hint="eastAsia"/>
            </w:rPr>
          </w:sdtEndPr>
          <w:sdtContent>
            <w:tc>
              <w:tcPr>
                <w:tcW w:w="2652" w:type="pct"/>
                <w:shd w:val="clear" w:color="auto" w:fill="auto"/>
              </w:tcPr>
              <w:p>
                <w:pPr>
                  <w:jc w:val="center"/>
                </w:pPr>
                <w:r>
                  <w:rPr>
                    <w:rFonts w:hint="eastAsia"/>
                  </w:rPr>
                  <w:t>扶贫及乡村振兴项目</w:t>
                </w:r>
              </w:p>
            </w:tc>
          </w:sdtContent>
        </w:sdt>
        <w:sdt>
          <w:sdtPr>
            <w:rPr>
              <w:rFonts w:hint="eastAsia"/>
            </w:rPr>
            <w:tag w:val="_PLD_a6391e1627b241d296ea0039eb1df6ec"/>
            <w:id w:val="850376467"/>
          </w:sdtPr>
          <w:sdtEndPr>
            <w:rPr>
              <w:rFonts w:hint="eastAsia"/>
            </w:rPr>
          </w:sdtEndPr>
          <w:sdtContent>
            <w:tc>
              <w:tcPr>
                <w:tcW w:w="2348" w:type="pct"/>
                <w:shd w:val="clear" w:color="auto" w:fill="auto"/>
              </w:tcPr>
              <w:p>
                <w:pPr>
                  <w:jc w:val="center"/>
                </w:pPr>
                <w:r>
                  <w:rPr>
                    <w:rFonts w:hint="eastAsia"/>
                  </w:rPr>
                  <w:t>数量/内容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pct"/>
            <w:shd w:val="clear" w:color="auto" w:fill="auto"/>
          </w:tcPr>
          <w:p>
            <w:pPr>
              <w:rPr>
                <w:rFonts w:ascii="宋体" w:hAnsi="宋体"/>
              </w:rPr>
            </w:pPr>
            <w:r>
              <w:rPr>
                <w:rFonts w:hint="eastAsia" w:ascii="宋体" w:hAnsi="宋体"/>
              </w:rPr>
              <w:t>总投入（万元）</w:t>
            </w:r>
          </w:p>
        </w:tc>
        <w:tc>
          <w:tcPr>
            <w:tcW w:w="2348" w:type="pct"/>
            <w:shd w:val="clear" w:color="auto" w:fill="auto"/>
            <w:vAlign w:val="center"/>
          </w:tcPr>
          <w:p>
            <w:pPr>
              <w:jc w:val="right"/>
              <w:rPr>
                <w:rFonts w:ascii="宋体" w:hAnsi="宋体"/>
              </w:rPr>
            </w:pPr>
            <w:r>
              <w:rPr>
                <w:rFonts w:ascii="宋体" w:hAnsi="宋体"/>
              </w:rPr>
              <w:t>11,799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pct"/>
            <w:shd w:val="clear" w:color="auto" w:fill="auto"/>
          </w:tcPr>
          <w:p>
            <w:pPr>
              <w:rPr>
                <w:rFonts w:ascii="宋体" w:hAnsi="宋体"/>
              </w:rPr>
            </w:pPr>
            <w:r>
              <w:rPr>
                <w:rFonts w:ascii="宋体" w:hAnsi="宋体"/>
              </w:rPr>
              <w:t xml:space="preserve">    </w:t>
            </w:r>
            <w:r>
              <w:rPr>
                <w:rFonts w:hint="eastAsia" w:ascii="宋体" w:hAnsi="宋体"/>
              </w:rPr>
              <w:t>其中：资金（万元）</w:t>
            </w:r>
          </w:p>
        </w:tc>
        <w:tc>
          <w:tcPr>
            <w:tcW w:w="2348" w:type="pct"/>
            <w:shd w:val="clear" w:color="auto" w:fill="auto"/>
            <w:vAlign w:val="center"/>
          </w:tcPr>
          <w:p>
            <w:pPr>
              <w:jc w:val="right"/>
              <w:rPr>
                <w:rFonts w:ascii="宋体" w:hAnsi="宋体"/>
              </w:rPr>
            </w:pPr>
            <w:r>
              <w:rPr>
                <w:rFonts w:ascii="宋体" w:hAnsi="宋体"/>
              </w:rPr>
              <w:t>11,799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pct"/>
            <w:shd w:val="clear" w:color="auto" w:fill="auto"/>
          </w:tcPr>
          <w:p>
            <w:pPr>
              <w:rPr>
                <w:rFonts w:ascii="宋体" w:hAnsi="宋体"/>
              </w:rPr>
            </w:pPr>
            <w:r>
              <w:rPr>
                <w:rFonts w:hint="eastAsia" w:ascii="宋体" w:hAnsi="宋体"/>
              </w:rPr>
              <w:t xml:space="preserve"> </w:t>
            </w:r>
            <w:r>
              <w:rPr>
                <w:rFonts w:ascii="宋体" w:hAnsi="宋体"/>
              </w:rPr>
              <w:t xml:space="preserve">         </w:t>
            </w:r>
            <w:r>
              <w:rPr>
                <w:rFonts w:hint="eastAsia" w:ascii="宋体" w:hAnsi="宋体"/>
              </w:rPr>
              <w:t>物资折款（万元）</w:t>
            </w:r>
          </w:p>
        </w:tc>
        <w:tc>
          <w:tcPr>
            <w:tcW w:w="2348" w:type="pct"/>
            <w:shd w:val="clear" w:color="auto" w:fill="auto"/>
            <w:vAlign w:val="center"/>
          </w:tcPr>
          <w:p>
            <w:pPr>
              <w:jc w:val="right"/>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pct"/>
            <w:shd w:val="clear" w:color="auto" w:fill="auto"/>
          </w:tcPr>
          <w:p>
            <w:pPr>
              <w:rPr>
                <w:rFonts w:ascii="宋体" w:hAnsi="宋体"/>
              </w:rPr>
            </w:pPr>
            <w:r>
              <w:rPr>
                <w:rFonts w:hint="eastAsia" w:ascii="宋体" w:hAnsi="宋体"/>
              </w:rPr>
              <w:t>惠及人数（人）</w:t>
            </w:r>
          </w:p>
        </w:tc>
        <w:tc>
          <w:tcPr>
            <w:tcW w:w="2348" w:type="pct"/>
            <w:shd w:val="clear" w:color="auto" w:fill="auto"/>
            <w:vAlign w:val="center"/>
          </w:tcPr>
          <w:p>
            <w:pPr>
              <w:jc w:val="right"/>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pct"/>
            <w:shd w:val="clear" w:color="auto" w:fill="auto"/>
          </w:tcPr>
          <w:p>
            <w:pPr>
              <w:rPr>
                <w:rFonts w:ascii="宋体" w:hAnsi="宋体"/>
              </w:rPr>
            </w:pPr>
            <w:r>
              <w:rPr>
                <w:rFonts w:hint="eastAsia" w:ascii="宋体" w:hAnsi="宋体"/>
              </w:rPr>
              <w:t>帮扶形式（如产业扶贫、就业扶贫、教育扶贫等）</w:t>
            </w:r>
          </w:p>
        </w:tc>
        <w:tc>
          <w:tcPr>
            <w:tcW w:w="2348" w:type="pct"/>
            <w:shd w:val="clear" w:color="auto" w:fill="auto"/>
            <w:vAlign w:val="center"/>
          </w:tcPr>
          <w:p>
            <w:pPr>
              <w:jc w:val="right"/>
              <w:rPr>
                <w:rFonts w:ascii="宋体" w:hAnsi="宋体"/>
              </w:rPr>
            </w:pPr>
            <w:r>
              <w:rPr>
                <w:rFonts w:hint="eastAsia" w:ascii="宋体" w:hAnsi="宋体"/>
              </w:rPr>
              <w:t>组织振兴、产业振兴、交化振兴、生态振兴</w:t>
            </w:r>
          </w:p>
        </w:tc>
      </w:tr>
    </w:tbl>
    <w:p>
      <w:pPr>
        <w:pStyle w:val="501"/>
      </w:pPr>
    </w:p>
    <w:p>
      <w:pPr>
        <w:pStyle w:val="43"/>
      </w:pPr>
    </w:p>
    <w:p>
      <w:pPr>
        <w:pStyle w:val="43"/>
      </w:pPr>
      <w:r>
        <w:t>具体说明</w:t>
      </w:r>
    </w:p>
    <w:sdt>
      <w:sdtPr>
        <w:alias w:val="是否适用：巩固拓展脱贫攻坚成果、乡村振兴等工作具体情况其他说明[双击切换]"/>
        <w:tag w:val="_GBC_da0a87234d174e509f00e24b4a8320dc"/>
        <w:id w:val="-1346162831"/>
        <w:placeholder>
          <w:docPart w:val="GBC22222222222222222222222222222"/>
        </w:placeholder>
      </w:sdtPr>
      <w:sdtContent>
        <w:p>
          <w:pPr>
            <w:pStyle w:val="43"/>
          </w:pPr>
          <w:r>
            <w:rPr>
              <w:szCs w:val="21"/>
            </w:rPr>
            <w:fldChar w:fldCharType="begin"/>
          </w:r>
          <w:r>
            <w:rPr>
              <w:szCs w:val="21"/>
            </w:rPr>
            <w:instrText xml:space="preserve"> MACROBUTTON  SnrToggleCheckbox √适用 </w:instrText>
          </w:r>
          <w:r>
            <w:rPr>
              <w:szCs w:val="21"/>
            </w:rP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6af1d9c635ca457eaede5db7b23daa68"/>
        <w:id w:val="1236750222"/>
        <w:placeholder>
          <w:docPart w:val="GBC22222222222222222222222222222"/>
        </w:placeholder>
      </w:sdtPr>
      <w:sdtContent>
        <w:p>
          <w:pPr>
            <w:pStyle w:val="43"/>
            <w:ind w:firstLine="420" w:firstLineChars="200"/>
            <w:sectPr>
              <w:pgSz w:w="11906" w:h="16838"/>
              <w:pgMar w:top="1525" w:right="1276" w:bottom="1440" w:left="1797" w:header="851" w:footer="992" w:gutter="0"/>
              <w:cols w:space="425" w:num="1"/>
              <w:docGrid w:linePitch="312" w:charSpace="0"/>
            </w:sectPr>
          </w:pPr>
          <w:r>
            <w:rPr>
              <w:rFonts w:hint="eastAsia"/>
            </w:rPr>
            <w:t>2023年，公司积极开展脱贫攻坚和乡村振兴工作，有关详情请见日期为2024年3月28日的《2023年度环境、社会及管治报告》。</w:t>
          </w:r>
        </w:p>
      </w:sdtContent>
    </w:sdt>
    <w:bookmarkEnd w:id="123"/>
    <w:p>
      <w:pPr>
        <w:pStyle w:val="43"/>
      </w:pPr>
    </w:p>
    <w:p>
      <w:pPr>
        <w:pStyle w:val="2"/>
        <w:numPr>
          <w:ilvl w:val="0"/>
          <w:numId w:val="2"/>
        </w:numPr>
      </w:pPr>
      <w:bookmarkStart w:id="126" w:name="_Toc158217554"/>
      <w:bookmarkStart w:id="127" w:name="_Toc89790253"/>
      <w:bookmarkStart w:id="128" w:name="_Hlk90554245"/>
      <w:r>
        <w:rPr>
          <w:rFonts w:hint="eastAsia"/>
        </w:rPr>
        <w:t>重要事项</w:t>
      </w:r>
      <w:bookmarkEnd w:id="126"/>
      <w:bookmarkEnd w:id="127"/>
    </w:p>
    <w:p>
      <w:pPr>
        <w:pStyle w:val="3"/>
        <w:numPr>
          <w:ilvl w:val="0"/>
          <w:numId w:val="30"/>
        </w:numPr>
      </w:pPr>
      <w:r>
        <w:rPr>
          <w:rFonts w:hint="eastAsia"/>
        </w:rPr>
        <w:t>承诺事项履行情况</w:t>
      </w:r>
    </w:p>
    <w:p>
      <w:pPr>
        <w:pStyle w:val="4"/>
        <w:numPr>
          <w:ilvl w:val="1"/>
          <w:numId w:val="31"/>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04519666"/>
        <w:placeholder>
          <w:docPart w:val="GBC22222222222222222222222222222"/>
        </w:placeholder>
      </w:sdtPr>
      <w:sdtContent>
        <w:p>
          <w:pPr>
            <w:pStyle w:val="501"/>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20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960"/>
        <w:gridCol w:w="1104"/>
        <w:gridCol w:w="4127"/>
        <w:gridCol w:w="1104"/>
        <w:gridCol w:w="674"/>
        <w:gridCol w:w="1161"/>
        <w:gridCol w:w="795"/>
        <w:gridCol w:w="1477"/>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415cfb23b46b41fba9f0b895a1088fd6"/>
            <w:id w:val="-811948923"/>
          </w:sdtPr>
          <w:sdtEndPr>
            <w:rPr>
              <w:rFonts w:asciiTheme="minorEastAsia" w:hAnsiTheme="minorEastAsia" w:eastAsiaTheme="minorEastAsia"/>
            </w:rPr>
          </w:sdtEndPr>
          <w:sdtContent>
            <w:tc>
              <w:tcPr>
                <w:tcW w:w="559"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承诺背景</w:t>
                </w:r>
              </w:p>
            </w:tc>
          </w:sdtContent>
        </w:sdt>
        <w:sdt>
          <w:sdtPr>
            <w:rPr>
              <w:rFonts w:asciiTheme="minorEastAsia" w:hAnsiTheme="minorEastAsia" w:eastAsiaTheme="minorEastAsia"/>
            </w:rPr>
            <w:tag w:val="_PLD_6d89eb5533974f2f9b788e2563589a7c"/>
            <w:id w:val="-737019877"/>
          </w:sdtPr>
          <w:sdtEndPr>
            <w:rPr>
              <w:rFonts w:asciiTheme="minorEastAsia" w:hAnsiTheme="minorEastAsia" w:eastAsiaTheme="minorEastAsia"/>
            </w:rPr>
          </w:sdtEndPr>
          <w:sdtContent>
            <w:tc>
              <w:tcPr>
                <w:tcW w:w="357"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承诺</w:t>
                </w:r>
              </w:p>
              <w:p>
                <w:pPr>
                  <w:jc w:val="center"/>
                  <w:rPr>
                    <w:rFonts w:asciiTheme="minorEastAsia" w:hAnsiTheme="minorEastAsia" w:eastAsiaTheme="minorEastAsia"/>
                  </w:rPr>
                </w:pPr>
                <w:r>
                  <w:rPr>
                    <w:rFonts w:hint="eastAsia" w:asciiTheme="minorEastAsia" w:hAnsiTheme="minorEastAsia" w:eastAsiaTheme="minorEastAsia"/>
                  </w:rPr>
                  <w:t>类型</w:t>
                </w:r>
              </w:p>
            </w:tc>
          </w:sdtContent>
        </w:sdt>
        <w:sdt>
          <w:sdtPr>
            <w:rPr>
              <w:rFonts w:asciiTheme="minorEastAsia" w:hAnsiTheme="minorEastAsia" w:eastAsiaTheme="minorEastAsia"/>
            </w:rPr>
            <w:tag w:val="_PLD_4e3459cf954648c5ade489d7f239c9b2"/>
            <w:id w:val="-2053526315"/>
          </w:sdtPr>
          <w:sdtEndPr>
            <w:rPr>
              <w:rFonts w:asciiTheme="minorEastAsia" w:hAnsiTheme="minorEastAsia" w:eastAsiaTheme="minorEastAsia"/>
            </w:rPr>
          </w:sdtEndPr>
          <w:sdtContent>
            <w:tc>
              <w:tcPr>
                <w:tcW w:w="40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承诺方</w:t>
                </w:r>
              </w:p>
            </w:tc>
          </w:sdtContent>
        </w:sdt>
        <w:sdt>
          <w:sdtPr>
            <w:rPr>
              <w:rFonts w:asciiTheme="minorEastAsia" w:hAnsiTheme="minorEastAsia" w:eastAsiaTheme="minorEastAsia"/>
            </w:rPr>
            <w:tag w:val="_PLD_b7ba969a5a9f484b969e33829f8fee27"/>
            <w:id w:val="-739640734"/>
          </w:sdtPr>
          <w:sdtEndPr>
            <w:rPr>
              <w:rFonts w:asciiTheme="minorEastAsia" w:hAnsiTheme="minorEastAsia" w:eastAsiaTheme="minorEastAsia"/>
            </w:rPr>
          </w:sdtEndPr>
          <w:sdtContent>
            <w:tc>
              <w:tcPr>
                <w:tcW w:w="1481"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承诺</w:t>
                </w:r>
              </w:p>
              <w:p>
                <w:pPr>
                  <w:jc w:val="center"/>
                  <w:rPr>
                    <w:rFonts w:asciiTheme="minorEastAsia" w:hAnsiTheme="minorEastAsia" w:eastAsiaTheme="minorEastAsia"/>
                  </w:rPr>
                </w:pPr>
                <w:r>
                  <w:rPr>
                    <w:rFonts w:hint="eastAsia" w:asciiTheme="minorEastAsia" w:hAnsiTheme="minorEastAsia" w:eastAsiaTheme="minorEastAsia"/>
                  </w:rPr>
                  <w:t>内容</w:t>
                </w:r>
              </w:p>
            </w:tc>
          </w:sdtContent>
        </w:sdt>
        <w:sdt>
          <w:sdtPr>
            <w:rPr>
              <w:rFonts w:hint="eastAsia" w:asciiTheme="minorEastAsia" w:hAnsiTheme="minorEastAsia" w:eastAsiaTheme="minorEastAsia"/>
            </w:rPr>
            <w:tag w:val="_PLD_080af5a89fc040bc90935cec09ab2cd1"/>
            <w:id w:val="-454403832"/>
          </w:sdtPr>
          <w:sdtEndPr>
            <w:rPr>
              <w:rFonts w:hint="eastAsia" w:asciiTheme="minorEastAsia" w:hAnsiTheme="minorEastAsia" w:eastAsiaTheme="minorEastAsia"/>
            </w:rPr>
          </w:sdtEndPr>
          <w:sdtContent>
            <w:tc>
              <w:tcPr>
                <w:tcW w:w="408" w:type="pct"/>
                <w:vAlign w:val="center"/>
              </w:tcPr>
              <w:p>
                <w:pPr>
                  <w:jc w:val="center"/>
                  <w:rPr>
                    <w:rFonts w:asciiTheme="minorEastAsia" w:hAnsiTheme="minorEastAsia" w:eastAsiaTheme="minorEastAsia"/>
                  </w:rPr>
                </w:pPr>
                <w:r>
                  <w:rPr>
                    <w:rFonts w:hint="eastAsia" w:asciiTheme="minorEastAsia" w:hAnsiTheme="minorEastAsia" w:eastAsiaTheme="minorEastAsia"/>
                  </w:rPr>
                  <w:t>承诺时间</w:t>
                </w:r>
              </w:p>
            </w:tc>
          </w:sdtContent>
        </w:sdt>
        <w:sdt>
          <w:sdtPr>
            <w:rPr>
              <w:rFonts w:asciiTheme="minorEastAsia" w:hAnsiTheme="minorEastAsia" w:eastAsiaTheme="minorEastAsia"/>
            </w:rPr>
            <w:tag w:val="_PLD_81953845df7c406091c017485ffe89d0"/>
            <w:id w:val="-772483997"/>
          </w:sdtPr>
          <w:sdtEndPr>
            <w:rPr>
              <w:rFonts w:asciiTheme="minorEastAsia" w:hAnsiTheme="minorEastAsia" w:eastAsiaTheme="minorEastAsia"/>
            </w:rPr>
          </w:sdtEndPr>
          <w:sdtContent>
            <w:tc>
              <w:tcPr>
                <w:tcW w:w="25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是否有履行期限</w:t>
                </w:r>
              </w:p>
            </w:tc>
          </w:sdtContent>
        </w:sdt>
        <w:sdt>
          <w:sdtPr>
            <w:rPr>
              <w:rFonts w:hint="eastAsia" w:asciiTheme="minorEastAsia" w:hAnsiTheme="minorEastAsia" w:eastAsiaTheme="minorEastAsia"/>
            </w:rPr>
            <w:tag w:val="_PLD_95bd18790c864943ab7728a2218411a4"/>
            <w:id w:val="1443891025"/>
          </w:sdtPr>
          <w:sdtEndPr>
            <w:rPr>
              <w:rFonts w:hint="eastAsia" w:asciiTheme="minorEastAsia" w:hAnsiTheme="minorEastAsia" w:eastAsiaTheme="minorEastAsia"/>
            </w:rPr>
          </w:sdtEndPr>
          <w:sdtContent>
            <w:tc>
              <w:tcPr>
                <w:tcW w:w="267" w:type="pct"/>
                <w:vAlign w:val="center"/>
              </w:tcPr>
              <w:p>
                <w:pPr>
                  <w:jc w:val="center"/>
                  <w:rPr>
                    <w:rFonts w:asciiTheme="minorEastAsia" w:hAnsiTheme="minorEastAsia" w:eastAsiaTheme="minorEastAsia"/>
                  </w:rPr>
                </w:pPr>
                <w:r>
                  <w:rPr>
                    <w:rFonts w:hint="eastAsia" w:asciiTheme="minorEastAsia" w:hAnsiTheme="minorEastAsia" w:eastAsiaTheme="minorEastAsia"/>
                  </w:rPr>
                  <w:t>承诺期限</w:t>
                </w:r>
              </w:p>
            </w:tc>
          </w:sdtContent>
        </w:sdt>
        <w:sdt>
          <w:sdtPr>
            <w:rPr>
              <w:rFonts w:asciiTheme="minorEastAsia" w:hAnsiTheme="minorEastAsia" w:eastAsiaTheme="minorEastAsia"/>
            </w:rPr>
            <w:tag w:val="_PLD_f70c8d8e3e374db7a8e212809462bcc0"/>
            <w:id w:val="-92243589"/>
          </w:sdtPr>
          <w:sdtEndPr>
            <w:rPr>
              <w:rFonts w:asciiTheme="minorEastAsia" w:hAnsiTheme="minorEastAsia" w:eastAsiaTheme="minorEastAsia"/>
            </w:rPr>
          </w:sdtEndPr>
          <w:sdtContent>
            <w:tc>
              <w:tcPr>
                <w:tcW w:w="29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是否及时严格履行</w:t>
                </w:r>
              </w:p>
            </w:tc>
          </w:sdtContent>
        </w:sdt>
        <w:sdt>
          <w:sdtPr>
            <w:rPr>
              <w:rFonts w:asciiTheme="minorEastAsia" w:hAnsiTheme="minorEastAsia" w:eastAsiaTheme="minorEastAsia"/>
            </w:rPr>
            <w:tag w:val="_PLD_30da9c1a74564266bdab010410b3cfc4"/>
            <w:id w:val="-1397512674"/>
          </w:sdtPr>
          <w:sdtEndPr>
            <w:rPr>
              <w:rFonts w:asciiTheme="minorEastAsia" w:hAnsiTheme="minorEastAsia" w:eastAsiaTheme="minorEastAsia"/>
            </w:rPr>
          </w:sdtEndPr>
          <w:sdtContent>
            <w:tc>
              <w:tcPr>
                <w:tcW w:w="54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如未能及时履行应说明未完成履行的具体原因</w:t>
                </w:r>
              </w:p>
            </w:tc>
          </w:sdtContent>
        </w:sdt>
        <w:sdt>
          <w:sdtPr>
            <w:rPr>
              <w:rFonts w:asciiTheme="minorEastAsia" w:hAnsiTheme="minorEastAsia" w:eastAsiaTheme="minorEastAsia"/>
            </w:rPr>
            <w:tag w:val="_PLD_885166d72adc442aaa68aa0f496582ae"/>
            <w:id w:val="997770085"/>
          </w:sdtPr>
          <w:sdtEndPr>
            <w:rPr>
              <w:rFonts w:asciiTheme="minorEastAsia" w:hAnsiTheme="minorEastAsia" w:eastAsiaTheme="minorEastAsia"/>
            </w:rPr>
          </w:sdtEndPr>
          <w:sdtContent>
            <w:tc>
              <w:tcPr>
                <w:tcW w:w="427"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如未能及时履行应说明下一步计划</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shd w:val="clear" w:color="auto" w:fill="auto"/>
          </w:tcPr>
          <w:p>
            <w:pPr>
              <w:jc w:val="center"/>
              <w:rPr>
                <w:rFonts w:asciiTheme="minorEastAsia" w:hAnsiTheme="minorEastAsia" w:eastAsiaTheme="minorEastAsia"/>
              </w:rPr>
            </w:pPr>
            <w:sdt>
              <w:sdtPr>
                <w:rPr>
                  <w:rFonts w:hint="eastAsia" w:asciiTheme="minorEastAsia" w:hAnsiTheme="minorEastAsia" w:eastAsiaTheme="minorEastAsia"/>
                </w:rPr>
                <w:tag w:val="_PLD_86425bd60aef41d2a0a1c861414eb090"/>
                <w:id w:val="1558818917"/>
              </w:sdtPr>
              <w:sdtEndPr>
                <w:rPr>
                  <w:rFonts w:hint="eastAsia" w:asciiTheme="minorEastAsia" w:hAnsiTheme="minorEastAsia" w:eastAsiaTheme="minorEastAsia"/>
                </w:rPr>
              </w:sdtEndPr>
              <w:sdtContent>
                <w:r>
                  <w:rPr>
                    <w:rFonts w:hint="eastAsia" w:asciiTheme="minorEastAsia" w:hAnsiTheme="minorEastAsia" w:eastAsiaTheme="minorEastAsia"/>
                  </w:rPr>
                  <w:t>与首次公开发行相关的承诺</w:t>
                </w:r>
              </w:sdtContent>
            </w:sdt>
          </w:p>
        </w:tc>
        <w:sdt>
          <w:sdtPr>
            <w:rPr>
              <w:rFonts w:asciiTheme="minorEastAsia" w:hAnsiTheme="minorEastAsia" w:eastAsiaTheme="minorEastAsia"/>
            </w:rPr>
            <w:alias w:val="与股改相关的承诺-承诺类型"/>
            <w:tag w:val="_GBC_42711d9292024695a6d6323dd41f6287"/>
            <w:id w:val="210675961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heme="minorEastAsia" w:hAnsiTheme="minorEastAsia" w:eastAsiaTheme="minorEastAsia"/>
            </w:rPr>
          </w:sdtEndPr>
          <w:sdtContent>
            <w:tc>
              <w:tcPr>
                <w:tcW w:w="357" w:type="pct"/>
                <w:shd w:val="clear" w:color="auto" w:fill="auto"/>
              </w:tcPr>
              <w:p>
                <w:pPr>
                  <w:jc w:val="center"/>
                  <w:rPr>
                    <w:rFonts w:asciiTheme="minorEastAsia" w:hAnsiTheme="minorEastAsia" w:eastAsiaTheme="minorEastAsia"/>
                    <w:color w:val="FFC000"/>
                  </w:rPr>
                </w:pPr>
                <w:r>
                  <w:rPr>
                    <w:rFonts w:asciiTheme="minorEastAsia" w:hAnsiTheme="minorEastAsia" w:eastAsiaTheme="minorEastAsia"/>
                  </w:rPr>
                  <w:t>解决同业竞争</w:t>
                </w:r>
              </w:p>
            </w:tc>
          </w:sdtContent>
        </w:sdt>
        <w:tc>
          <w:tcPr>
            <w:tcW w:w="408" w:type="pct"/>
            <w:shd w:val="clear" w:color="auto" w:fill="auto"/>
          </w:tcPr>
          <w:p>
            <w:pPr>
              <w:rPr>
                <w:rFonts w:asciiTheme="minorEastAsia" w:hAnsiTheme="minorEastAsia" w:eastAsiaTheme="minorEastAsia"/>
              </w:rPr>
            </w:pPr>
            <w:r>
              <w:rPr>
                <w:rFonts w:hint="eastAsia" w:asciiTheme="minorEastAsia" w:hAnsiTheme="minorEastAsia" w:eastAsiaTheme="minorEastAsia"/>
              </w:rPr>
              <w:t>山东能源</w:t>
            </w:r>
          </w:p>
        </w:tc>
        <w:tc>
          <w:tcPr>
            <w:tcW w:w="1481" w:type="pct"/>
            <w:shd w:val="clear" w:color="auto" w:fill="auto"/>
          </w:tcPr>
          <w:p>
            <w:pPr>
              <w:rPr>
                <w:rFonts w:asciiTheme="minorEastAsia" w:hAnsiTheme="minorEastAsia" w:eastAsiaTheme="minorEastAsia"/>
              </w:rPr>
            </w:pPr>
            <w:r>
              <w:rPr>
                <w:rFonts w:hint="eastAsia" w:asciiTheme="minorEastAsia" w:hAnsiTheme="minorEastAsia" w:eastAsiaTheme="minorEastAsia"/>
              </w:rPr>
              <w:t>避免同业竞争。本公司于1997年重组时，山东能源与本公司签订《重组协议》，承诺将采取各种有效措施避免与本公司产生同业竞争。</w:t>
            </w:r>
          </w:p>
        </w:tc>
        <w:tc>
          <w:tcPr>
            <w:tcW w:w="408" w:type="pct"/>
          </w:tcPr>
          <w:p>
            <w:pPr>
              <w:rPr>
                <w:rFonts w:asciiTheme="minorEastAsia" w:hAnsiTheme="minorEastAsia" w:eastAsiaTheme="minorEastAsia"/>
                <w:bCs/>
              </w:rPr>
            </w:pPr>
            <w:r>
              <w:rPr>
                <w:rFonts w:hint="eastAsia" w:asciiTheme="minorEastAsia" w:hAnsiTheme="minorEastAsia" w:eastAsiaTheme="minorEastAsia"/>
                <w:bCs/>
              </w:rPr>
              <w:t>1</w:t>
            </w:r>
            <w:r>
              <w:rPr>
                <w:rFonts w:asciiTheme="minorEastAsia" w:hAnsiTheme="minorEastAsia" w:eastAsiaTheme="minorEastAsia"/>
                <w:bCs/>
              </w:rPr>
              <w:t>997</w:t>
            </w:r>
            <w:r>
              <w:rPr>
                <w:rFonts w:hint="eastAsia" w:asciiTheme="minorEastAsia" w:hAnsiTheme="minorEastAsia" w:eastAsiaTheme="minorEastAsia"/>
                <w:bCs/>
              </w:rPr>
              <w:t>年</w:t>
            </w:r>
          </w:p>
        </w:tc>
        <w:sdt>
          <w:sdtPr>
            <w:rPr>
              <w:rFonts w:hint="eastAsia" w:asciiTheme="minorEastAsia" w:hAnsiTheme="minorEastAsia" w:eastAsiaTheme="minorEastAsia"/>
              <w:bCs/>
            </w:rPr>
            <w:alias w:val="与股改相关的承诺-是否有履行期限"/>
            <w:tag w:val="_GBC_5067339adf464fb4a4f087986e715461"/>
            <w:id w:val="484599933"/>
            <w:comboBox>
              <w:listItem w:displayText="是" w:value="true"/>
              <w:listItem w:displayText="否" w:value="false"/>
            </w:comboBox>
          </w:sdtPr>
          <w:sdtEndPr>
            <w:rPr>
              <w:rFonts w:hint="eastAsia" w:asciiTheme="minorEastAsia" w:hAnsiTheme="minorEastAsia" w:eastAsiaTheme="minorEastAsia"/>
              <w:bCs/>
            </w:rPr>
          </w:sdtEndPr>
          <w:sdtContent>
            <w:tc>
              <w:tcPr>
                <w:tcW w:w="255" w:type="pct"/>
                <w:shd w:val="clear" w:color="auto" w:fill="auto"/>
              </w:tcPr>
              <w:p>
                <w:pPr>
                  <w:rPr>
                    <w:rFonts w:asciiTheme="minorEastAsia" w:hAnsiTheme="minorEastAsia" w:eastAsiaTheme="minorEastAsia"/>
                    <w:color w:val="FFC000"/>
                  </w:rPr>
                </w:pPr>
                <w:r>
                  <w:rPr>
                    <w:rFonts w:hint="eastAsia" w:asciiTheme="minorEastAsia" w:hAnsiTheme="minorEastAsia" w:eastAsiaTheme="minorEastAsia"/>
                    <w:bCs/>
                  </w:rPr>
                  <w:t>否</w:t>
                </w:r>
              </w:p>
            </w:tc>
          </w:sdtContent>
        </w:sdt>
        <w:tc>
          <w:tcPr>
            <w:tcW w:w="267" w:type="pct"/>
          </w:tcPr>
          <w:p>
            <w:pPr>
              <w:rPr>
                <w:rFonts w:asciiTheme="minorEastAsia" w:hAnsiTheme="minorEastAsia" w:eastAsiaTheme="minorEastAsia"/>
                <w:bCs/>
              </w:rPr>
            </w:pPr>
            <w:r>
              <w:rPr>
                <w:rFonts w:hint="eastAsia" w:asciiTheme="minorEastAsia" w:hAnsiTheme="minorEastAsia" w:eastAsiaTheme="minorEastAsia"/>
                <w:bCs/>
              </w:rPr>
              <w:t>长期有效</w:t>
            </w:r>
          </w:p>
        </w:tc>
        <w:sdt>
          <w:sdtPr>
            <w:rPr>
              <w:rFonts w:hint="eastAsia" w:asciiTheme="minorEastAsia" w:hAnsiTheme="minorEastAsia" w:eastAsiaTheme="minorEastAsia"/>
              <w:bCs/>
            </w:rPr>
            <w:alias w:val="与股改相关的承诺-是否及时严格履行"/>
            <w:tag w:val="_GBC_f3141c942fea447ca29948e697c07591"/>
            <w:id w:val="-582137510"/>
            <w:comboBox>
              <w:listItem w:displayText="是" w:value="true"/>
              <w:listItem w:displayText="否" w:value="false"/>
            </w:comboBox>
          </w:sdtPr>
          <w:sdtEndPr>
            <w:rPr>
              <w:rFonts w:hint="eastAsia" w:asciiTheme="minorEastAsia" w:hAnsiTheme="minorEastAsia" w:eastAsiaTheme="minorEastAsia"/>
              <w:bCs/>
            </w:rPr>
          </w:sdtEndPr>
          <w:sdtContent>
            <w:tc>
              <w:tcPr>
                <w:tcW w:w="298" w:type="pct"/>
                <w:shd w:val="clear" w:color="auto" w:fill="auto"/>
              </w:tcPr>
              <w:p>
                <w:pPr>
                  <w:rPr>
                    <w:rFonts w:asciiTheme="minorEastAsia" w:hAnsiTheme="minorEastAsia" w:eastAsiaTheme="minorEastAsia"/>
                    <w:color w:val="FFC000"/>
                  </w:rPr>
                </w:pPr>
                <w:r>
                  <w:rPr>
                    <w:rFonts w:hint="eastAsia" w:asciiTheme="minorEastAsia" w:hAnsiTheme="minorEastAsia" w:eastAsiaTheme="minorEastAsia"/>
                    <w:bCs/>
                  </w:rPr>
                  <w:t>是</w:t>
                </w:r>
              </w:p>
            </w:tc>
          </w:sdtContent>
        </w:sdt>
        <w:tc>
          <w:tcPr>
            <w:tcW w:w="540" w:type="pct"/>
            <w:shd w:val="clear" w:color="auto" w:fill="auto"/>
          </w:tcPr>
          <w:p>
            <w:pPr>
              <w:rPr>
                <w:rFonts w:asciiTheme="minorEastAsia" w:hAnsiTheme="minorEastAsia" w:eastAsiaTheme="minorEastAsia"/>
              </w:rPr>
            </w:pPr>
            <w:r>
              <w:rPr>
                <w:rFonts w:hint="eastAsia" w:asciiTheme="minorEastAsia" w:hAnsiTheme="minorEastAsia" w:eastAsiaTheme="minorEastAsia"/>
              </w:rPr>
              <w:t>正常履行</w:t>
            </w:r>
          </w:p>
        </w:tc>
        <w:tc>
          <w:tcPr>
            <w:tcW w:w="427" w:type="pct"/>
            <w:shd w:val="clear" w:color="auto" w:fill="auto"/>
          </w:tcPr>
          <w:p>
            <w:pPr>
              <w:rPr>
                <w:rFonts w:asciiTheme="minorEastAsia" w:hAnsiTheme="minorEastAsia" w:eastAsiaTheme="minorEastAsia"/>
              </w:rPr>
            </w:pPr>
            <w:r>
              <w:rPr>
                <w:rFonts w:hint="eastAsia" w:asciiTheme="minorEastAsia" w:hAnsiTheme="minorEastAsia" w:eastAsiaTheme="minor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restar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其他承诺</w:t>
            </w:r>
          </w:p>
        </w:tc>
        <w:tc>
          <w:tcPr>
            <w:tcW w:w="357" w:type="pct"/>
            <w:shd w:val="clear" w:color="auto" w:fill="auto"/>
          </w:tcPr>
          <w:p>
            <w:pPr>
              <w:jc w:val="center"/>
              <w:rPr>
                <w:rFonts w:asciiTheme="minorEastAsia" w:hAnsiTheme="minorEastAsia" w:eastAsiaTheme="minorEastAsia"/>
              </w:rPr>
            </w:pPr>
            <w:r>
              <w:rPr>
                <w:rFonts w:asciiTheme="minorEastAsia" w:hAnsiTheme="minorEastAsia" w:eastAsiaTheme="minorEastAsia"/>
              </w:rPr>
              <w:t>其他</w:t>
            </w:r>
          </w:p>
        </w:tc>
        <w:tc>
          <w:tcPr>
            <w:tcW w:w="408" w:type="pct"/>
            <w:shd w:val="clear" w:color="auto" w:fill="auto"/>
          </w:tcPr>
          <w:p>
            <w:pPr>
              <w:rPr>
                <w:rFonts w:asciiTheme="minorEastAsia" w:hAnsiTheme="minorEastAsia" w:eastAsiaTheme="minorEastAsia"/>
              </w:rPr>
            </w:pPr>
            <w:r>
              <w:rPr>
                <w:rFonts w:hint="eastAsia" w:asciiTheme="minorEastAsia" w:hAnsiTheme="minorEastAsia" w:eastAsiaTheme="minorEastAsia"/>
              </w:rPr>
              <w:t>山东能源</w:t>
            </w:r>
          </w:p>
        </w:tc>
        <w:tc>
          <w:tcPr>
            <w:tcW w:w="1481" w:type="pct"/>
            <w:shd w:val="clear" w:color="auto" w:fill="auto"/>
          </w:tcPr>
          <w:p>
            <w:pPr>
              <w:rPr>
                <w:rFonts w:asciiTheme="minorEastAsia" w:hAnsiTheme="minorEastAsia" w:eastAsiaTheme="minorEastAsia"/>
              </w:rPr>
            </w:pPr>
            <w:r>
              <w:rPr>
                <w:rFonts w:hint="eastAsia" w:asciiTheme="minorEastAsia" w:hAnsiTheme="minorEastAsia" w:eastAsiaTheme="minorEastAsia"/>
              </w:rPr>
              <w:t>山东能源就其与山能财司之间金融业务相关事宜作出如下承诺：</w:t>
            </w:r>
          </w:p>
          <w:p>
            <w:pPr>
              <w:rPr>
                <w:rFonts w:asciiTheme="minorEastAsia" w:hAnsiTheme="minorEastAsia" w:eastAsiaTheme="minorEastAsia"/>
              </w:rPr>
            </w:pPr>
            <w:r>
              <w:rPr>
                <w:rFonts w:hint="eastAsia" w:asciiTheme="minorEastAsia" w:hAnsiTheme="minorEastAsia" w:eastAsiaTheme="minorEastAsia"/>
              </w:rPr>
              <w:t>1.鉴于兖矿能源在资产、业务、人员、财务、机构等方面均独立于山东能源，山东能源将继续确保兖矿能源的独立性并充分尊重兖矿能源的经营自主权，由兖矿能源及其子公司山能财司在符合相关监管规定的条件下，履行法律法规及《公司章程》《山东能源集团财务有限公司章程》等相关规定的决策程序后，根据业务开展的实际需要，自主决策山能财司与山东能源之间的金融业务。</w:t>
            </w:r>
          </w:p>
          <w:p>
            <w:pPr>
              <w:rPr>
                <w:rFonts w:asciiTheme="minorEastAsia" w:hAnsiTheme="minorEastAsia" w:eastAsiaTheme="minorEastAsia"/>
              </w:rPr>
            </w:pPr>
            <w:r>
              <w:rPr>
                <w:rFonts w:hint="eastAsia" w:asciiTheme="minorEastAsia" w:hAnsiTheme="minorEastAsia" w:eastAsiaTheme="minorEastAsia"/>
              </w:rPr>
              <w:t>2.为保障兖矿能源在山能财司的资金安全，山东能源及其控制的其他企业将合法合规的与山能财司开展金融业务，保证不会通过山能财司或其他任何方式变相占用兖矿能源资金。</w:t>
            </w:r>
          </w:p>
          <w:p>
            <w:pPr>
              <w:rPr>
                <w:rFonts w:asciiTheme="minorEastAsia" w:hAnsiTheme="minorEastAsia" w:eastAsiaTheme="minorEastAsia"/>
              </w:rPr>
            </w:pPr>
            <w:r>
              <w:rPr>
                <w:rFonts w:hint="eastAsia" w:asciiTheme="minorEastAsia" w:hAnsiTheme="minorEastAsia" w:eastAsiaTheme="minorEastAsia"/>
              </w:rPr>
              <w:t>3.若因山东能源及其控制的其他企业通过山能财司或其他任何方式违规占用兖矿能源资金而致使兖矿能源遭受损失，山东能源及山东能源控制的其他企业将以现金予以足额补偿。</w:t>
            </w:r>
          </w:p>
          <w:p>
            <w:pPr>
              <w:rPr>
                <w:rFonts w:asciiTheme="minorEastAsia" w:hAnsiTheme="minorEastAsia" w:eastAsiaTheme="minorEastAsia"/>
              </w:rPr>
            </w:pPr>
            <w:r>
              <w:rPr>
                <w:rFonts w:hint="eastAsia" w:asciiTheme="minorEastAsia" w:hAnsiTheme="minorEastAsia" w:eastAsiaTheme="minorEastAsia"/>
              </w:rPr>
              <w:t>4.山东能源保证严格遵守中国证监会、上交所及《公司章程》等有关规定，与其他股东平等地行使股东权利、履行股东义务，不利用控股股东的地位谋取不当利益，不损害兖矿能源及其他社会公众股东的合法权益。</w:t>
            </w:r>
          </w:p>
          <w:p>
            <w:pPr>
              <w:rPr>
                <w:rFonts w:asciiTheme="minorEastAsia" w:hAnsiTheme="minorEastAsia" w:eastAsiaTheme="minorEastAsia"/>
              </w:rPr>
            </w:pPr>
          </w:p>
        </w:tc>
        <w:tc>
          <w:tcPr>
            <w:tcW w:w="408" w:type="pct"/>
          </w:tcPr>
          <w:p>
            <w:pPr>
              <w:rPr>
                <w:rFonts w:asciiTheme="minorEastAsia" w:hAnsiTheme="minorEastAsia" w:eastAsiaTheme="minorEastAsia"/>
              </w:rPr>
            </w:pPr>
            <w:r>
              <w:rPr>
                <w:rFonts w:hint="eastAsia" w:asciiTheme="minorEastAsia" w:hAnsiTheme="minorEastAsia" w:eastAsiaTheme="minorEastAsia"/>
              </w:rPr>
              <w:t>2022年8月26日</w:t>
            </w:r>
          </w:p>
          <w:p>
            <w:pPr>
              <w:rPr>
                <w:rFonts w:asciiTheme="minorEastAsia" w:hAnsiTheme="minorEastAsia" w:eastAsiaTheme="minorEastAsia"/>
              </w:rPr>
            </w:pPr>
          </w:p>
        </w:tc>
        <w:tc>
          <w:tcPr>
            <w:tcW w:w="255" w:type="pct"/>
            <w:shd w:val="clear" w:color="auto" w:fill="auto"/>
          </w:tcPr>
          <w:p>
            <w:pPr>
              <w:rPr>
                <w:rFonts w:asciiTheme="minorEastAsia" w:hAnsiTheme="minorEastAsia" w:eastAsiaTheme="minorEastAsia"/>
              </w:rPr>
            </w:pPr>
            <w:r>
              <w:rPr>
                <w:rFonts w:asciiTheme="minorEastAsia" w:hAnsiTheme="minorEastAsia" w:eastAsiaTheme="minorEastAsia"/>
              </w:rPr>
              <w:t>否</w:t>
            </w:r>
          </w:p>
        </w:tc>
        <w:tc>
          <w:tcPr>
            <w:tcW w:w="267" w:type="pct"/>
          </w:tcPr>
          <w:p>
            <w:pPr>
              <w:rPr>
                <w:rFonts w:asciiTheme="minorEastAsia" w:hAnsiTheme="minorEastAsia" w:eastAsiaTheme="minorEastAsia"/>
              </w:rPr>
            </w:pPr>
            <w:r>
              <w:rPr>
                <w:rFonts w:hint="eastAsia" w:asciiTheme="minorEastAsia" w:hAnsiTheme="minorEastAsia" w:eastAsiaTheme="minorEastAsia"/>
                <w:bCs/>
              </w:rPr>
              <w:t>长期有效</w:t>
            </w:r>
          </w:p>
        </w:tc>
        <w:tc>
          <w:tcPr>
            <w:tcW w:w="298" w:type="pct"/>
            <w:shd w:val="clear" w:color="auto" w:fill="auto"/>
          </w:tcPr>
          <w:p>
            <w:pPr>
              <w:rPr>
                <w:rFonts w:asciiTheme="minorEastAsia" w:hAnsiTheme="minorEastAsia" w:eastAsiaTheme="minorEastAsia"/>
              </w:rPr>
            </w:pPr>
            <w:r>
              <w:rPr>
                <w:rFonts w:asciiTheme="minorEastAsia" w:hAnsiTheme="minorEastAsia" w:eastAsiaTheme="minorEastAsia"/>
              </w:rPr>
              <w:t>是</w:t>
            </w:r>
          </w:p>
        </w:tc>
        <w:tc>
          <w:tcPr>
            <w:tcW w:w="540" w:type="pct"/>
            <w:shd w:val="clear" w:color="auto" w:fill="auto"/>
          </w:tcPr>
          <w:p>
            <w:pPr>
              <w:rPr>
                <w:rFonts w:asciiTheme="minorEastAsia" w:hAnsiTheme="minorEastAsia" w:eastAsiaTheme="minorEastAsia"/>
              </w:rPr>
            </w:pPr>
            <w:r>
              <w:rPr>
                <w:rFonts w:hint="eastAsia" w:asciiTheme="minorEastAsia" w:hAnsiTheme="minorEastAsia" w:eastAsiaTheme="minorEastAsia"/>
              </w:rPr>
              <w:t>正常履行</w:t>
            </w:r>
          </w:p>
        </w:tc>
        <w:tc>
          <w:tcPr>
            <w:tcW w:w="427" w:type="pct"/>
            <w:shd w:val="clear" w:color="auto" w:fill="auto"/>
          </w:tcPr>
          <w:p>
            <w:pPr>
              <w:rPr>
                <w:rFonts w:asciiTheme="minorEastAsia" w:hAnsiTheme="minorEastAsia" w:eastAsiaTheme="minorEastAsia"/>
              </w:rPr>
            </w:pPr>
            <w:r>
              <w:rPr>
                <w:rFonts w:hint="eastAsia" w:asciiTheme="minorEastAsia" w:hAnsiTheme="minorEastAsia" w:eastAsiaTheme="minor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shd w:val="clear" w:color="auto" w:fill="auto"/>
            <w:vAlign w:val="center"/>
          </w:tcPr>
          <w:p>
            <w:pPr>
              <w:rPr>
                <w:rFonts w:asciiTheme="minorEastAsia" w:hAnsiTheme="minorEastAsia" w:eastAsiaTheme="minorEastAsia"/>
              </w:rPr>
            </w:pPr>
          </w:p>
        </w:tc>
        <w:tc>
          <w:tcPr>
            <w:tcW w:w="357" w:type="pct"/>
            <w:shd w:val="clear" w:color="auto" w:fill="auto"/>
          </w:tcPr>
          <w:p>
            <w:pPr>
              <w:jc w:val="center"/>
              <w:rPr>
                <w:rFonts w:asciiTheme="minorEastAsia" w:hAnsiTheme="minorEastAsia" w:eastAsiaTheme="minorEastAsia"/>
              </w:rPr>
            </w:pPr>
            <w:r>
              <w:rPr>
                <w:rFonts w:asciiTheme="minorEastAsia" w:hAnsiTheme="minorEastAsia" w:eastAsiaTheme="minorEastAsia"/>
              </w:rPr>
              <w:t>其他</w:t>
            </w:r>
          </w:p>
        </w:tc>
        <w:tc>
          <w:tcPr>
            <w:tcW w:w="408" w:type="pct"/>
            <w:shd w:val="clear" w:color="auto" w:fill="auto"/>
          </w:tcPr>
          <w:p>
            <w:pPr>
              <w:rPr>
                <w:rFonts w:asciiTheme="minorEastAsia" w:hAnsiTheme="minorEastAsia" w:eastAsiaTheme="minorEastAsia"/>
              </w:rPr>
            </w:pPr>
            <w:r>
              <w:rPr>
                <w:rFonts w:hint="eastAsia" w:asciiTheme="minorEastAsia" w:hAnsiTheme="minorEastAsia" w:eastAsiaTheme="minorEastAsia"/>
              </w:rPr>
              <w:t>新汶矿业集团有限责任公司、龙口矿业集团有限公司、淄博矿业集团有限责任公司、肥城肥矿煤业有限公司、临沂矿业集团有限责任公司（以下合称“转让方”）</w:t>
            </w:r>
          </w:p>
          <w:p>
            <w:pPr>
              <w:rPr>
                <w:rFonts w:asciiTheme="minorEastAsia" w:hAnsiTheme="minorEastAsia" w:eastAsiaTheme="minorEastAsia"/>
              </w:rPr>
            </w:pPr>
          </w:p>
        </w:tc>
        <w:tc>
          <w:tcPr>
            <w:tcW w:w="1481" w:type="pct"/>
            <w:shd w:val="clear" w:color="auto" w:fill="auto"/>
          </w:tcPr>
          <w:p>
            <w:pPr>
              <w:rPr>
                <w:rFonts w:asciiTheme="minorEastAsia" w:hAnsiTheme="minorEastAsia" w:eastAsiaTheme="minorEastAsia"/>
              </w:rPr>
            </w:pPr>
            <w:r>
              <w:rPr>
                <w:rFonts w:hint="eastAsia" w:asciiTheme="minorEastAsia" w:hAnsiTheme="minorEastAsia" w:eastAsiaTheme="minorEastAsia"/>
              </w:rPr>
              <w:t>转让方就兖矿能源（“受让方”）收购鲁西矿业51%股权事项向兖矿能源做出如下承诺：</w:t>
            </w:r>
          </w:p>
          <w:p>
            <w:pPr>
              <w:rPr>
                <w:rFonts w:asciiTheme="minorEastAsia" w:hAnsiTheme="minorEastAsia" w:eastAsiaTheme="minorEastAsia"/>
              </w:rPr>
            </w:pPr>
            <w:r>
              <w:rPr>
                <w:rFonts w:hint="eastAsia" w:asciiTheme="minorEastAsia" w:hAnsiTheme="minorEastAsia" w:eastAsiaTheme="minorEastAsia"/>
              </w:rPr>
              <w:t>1.如本次交易交割日后相关政府主管部门依据鲁动能〔2021〕3号、鲁政字〔2021〕143号文件或相关实施细则对鲁西矿业下属子公司煤矿采取限产、停产、关闭退出等处置措施的，转让方承诺：</w:t>
            </w:r>
          </w:p>
          <w:p>
            <w:pPr>
              <w:rPr>
                <w:rFonts w:asciiTheme="minorEastAsia" w:hAnsiTheme="minorEastAsia" w:eastAsiaTheme="minorEastAsia"/>
              </w:rPr>
            </w:pPr>
            <w:r>
              <w:rPr>
                <w:rFonts w:hint="eastAsia" w:asciiTheme="minorEastAsia" w:hAnsiTheme="minorEastAsia" w:eastAsiaTheme="minorEastAsia"/>
              </w:rPr>
              <w:t>（1）由转让方对受让方给予相应补偿；</w:t>
            </w:r>
          </w:p>
          <w:p>
            <w:pPr>
              <w:rPr>
                <w:rFonts w:asciiTheme="minorEastAsia" w:hAnsiTheme="minorEastAsia" w:eastAsiaTheme="minorEastAsia"/>
              </w:rPr>
            </w:pPr>
            <w:r>
              <w:rPr>
                <w:rFonts w:hint="eastAsia" w:asciiTheme="minorEastAsia" w:hAnsiTheme="minorEastAsia" w:eastAsiaTheme="minorEastAsia"/>
              </w:rPr>
              <w:t>（2）如转让方及受让方无法就前述具体赔偿金额协商一致的，则受让方可以向转让方书面通知解除《股权转让协议》，转让方应当返还已支付的股权转让价款等。</w:t>
            </w:r>
          </w:p>
          <w:p>
            <w:pPr>
              <w:rPr>
                <w:rFonts w:asciiTheme="minorEastAsia" w:hAnsiTheme="minorEastAsia" w:eastAsiaTheme="minorEastAsia"/>
              </w:rPr>
            </w:pPr>
            <w:r>
              <w:rPr>
                <w:rFonts w:hint="eastAsia" w:asciiTheme="minorEastAsia" w:hAnsiTheme="minorEastAsia" w:eastAsiaTheme="minorEastAsia"/>
              </w:rPr>
              <w:t>2．除已扣减矿业权出让收益的矿业权外，就郭屯煤矿、彭庄煤矿、梁宝寺煤矿以及陈蛮庄煤矿四宗以现金、转增国家资本金等方式有偿处置过的矿业权，在本次交易交割日后，如被相关主管部门就在本次交易中相关采矿权评估范围内的资源储量征收矿业权出让收益且前述出让收益未在本次交易审计报告中体现，则：</w:t>
            </w:r>
          </w:p>
          <w:p>
            <w:pPr>
              <w:rPr>
                <w:rFonts w:asciiTheme="minorEastAsia" w:hAnsiTheme="minorEastAsia" w:eastAsiaTheme="minorEastAsia"/>
              </w:rPr>
            </w:pPr>
            <w:r>
              <w:rPr>
                <w:rFonts w:hint="eastAsia" w:asciiTheme="minorEastAsia" w:hAnsiTheme="minorEastAsia" w:eastAsiaTheme="minorEastAsia"/>
              </w:rPr>
              <w:t>（1）转让方将按照该等下属子公司被征收出让收益金额向受让方现金补偿（补偿金额为被征收出让收益金额×51%×鲁西矿业持有该等下属子公司的股权比例）；</w:t>
            </w:r>
          </w:p>
          <w:p>
            <w:pPr>
              <w:rPr>
                <w:rFonts w:asciiTheme="minorEastAsia" w:hAnsiTheme="minorEastAsia" w:eastAsiaTheme="minorEastAsia"/>
              </w:rPr>
            </w:pPr>
            <w:r>
              <w:rPr>
                <w:rFonts w:hint="eastAsia" w:asciiTheme="minorEastAsia" w:hAnsiTheme="minorEastAsia" w:eastAsiaTheme="minorEastAsia"/>
              </w:rPr>
              <w:t>（2）就届时本次交易对应资源储量中剩余的尚未按矿产品销售时的矿业权出让收益率计算征收的部分，由转让方一并向受让方现金补偿；</w:t>
            </w:r>
          </w:p>
          <w:p>
            <w:pPr>
              <w:rPr>
                <w:rFonts w:asciiTheme="minorEastAsia" w:hAnsiTheme="minorEastAsia" w:eastAsiaTheme="minorEastAsia"/>
              </w:rPr>
            </w:pPr>
            <w:r>
              <w:rPr>
                <w:rFonts w:hint="eastAsia" w:asciiTheme="minorEastAsia" w:hAnsiTheme="minorEastAsia" w:eastAsiaTheme="minorEastAsia"/>
              </w:rPr>
              <w:t>（3）转让方向受让方补偿的金额应以《股权转让协议》依据的评估报告引用的矿业权评估报告所载金额×51%×鲁西矿业持有该等下属子公司的股权比例为限。</w:t>
            </w:r>
          </w:p>
          <w:p>
            <w:pPr>
              <w:rPr>
                <w:rFonts w:asciiTheme="minorEastAsia" w:hAnsiTheme="minorEastAsia" w:eastAsiaTheme="minorEastAsia"/>
              </w:rPr>
            </w:pPr>
          </w:p>
        </w:tc>
        <w:tc>
          <w:tcPr>
            <w:tcW w:w="408" w:type="pct"/>
          </w:tcPr>
          <w:p>
            <w:pPr>
              <w:rPr>
                <w:rFonts w:asciiTheme="minorEastAsia" w:hAnsiTheme="minorEastAsia" w:eastAsiaTheme="minorEastAsia"/>
              </w:rPr>
            </w:pPr>
            <w:r>
              <w:rPr>
                <w:rFonts w:hint="eastAsia" w:asciiTheme="minorEastAsia" w:hAnsiTheme="minorEastAsia" w:eastAsiaTheme="minorEastAsia"/>
              </w:rPr>
              <w:t>2023年4月28日</w:t>
            </w:r>
          </w:p>
          <w:p>
            <w:pPr>
              <w:rPr>
                <w:rFonts w:asciiTheme="minorEastAsia" w:hAnsiTheme="minorEastAsia" w:eastAsiaTheme="minorEastAsia"/>
              </w:rPr>
            </w:pPr>
          </w:p>
        </w:tc>
        <w:tc>
          <w:tcPr>
            <w:tcW w:w="255" w:type="pct"/>
            <w:shd w:val="clear" w:color="auto" w:fill="auto"/>
          </w:tcPr>
          <w:p>
            <w:pPr>
              <w:rPr>
                <w:rFonts w:asciiTheme="minorEastAsia" w:hAnsiTheme="minorEastAsia" w:eastAsiaTheme="minorEastAsia"/>
              </w:rPr>
            </w:pPr>
            <w:r>
              <w:rPr>
                <w:rFonts w:asciiTheme="minorEastAsia" w:hAnsiTheme="minorEastAsia" w:eastAsiaTheme="minorEastAsia"/>
              </w:rPr>
              <w:t>否</w:t>
            </w:r>
          </w:p>
        </w:tc>
        <w:tc>
          <w:tcPr>
            <w:tcW w:w="267" w:type="pct"/>
          </w:tcPr>
          <w:p>
            <w:pPr>
              <w:rPr>
                <w:rFonts w:asciiTheme="minorEastAsia" w:hAnsiTheme="minorEastAsia" w:eastAsiaTheme="minorEastAsia"/>
                <w:bCs/>
              </w:rPr>
            </w:pPr>
            <w:r>
              <w:rPr>
                <w:rFonts w:hint="eastAsia" w:asciiTheme="minorEastAsia" w:hAnsiTheme="minorEastAsia" w:eastAsiaTheme="minorEastAsia"/>
                <w:bCs/>
              </w:rPr>
              <w:t>长期有效</w:t>
            </w:r>
          </w:p>
        </w:tc>
        <w:tc>
          <w:tcPr>
            <w:tcW w:w="298" w:type="pct"/>
            <w:shd w:val="clear" w:color="auto" w:fill="auto"/>
          </w:tcPr>
          <w:p>
            <w:pPr>
              <w:rPr>
                <w:rFonts w:asciiTheme="minorEastAsia" w:hAnsiTheme="minorEastAsia" w:eastAsiaTheme="minorEastAsia"/>
              </w:rPr>
            </w:pPr>
            <w:r>
              <w:rPr>
                <w:rFonts w:asciiTheme="minorEastAsia" w:hAnsiTheme="minorEastAsia" w:eastAsiaTheme="minorEastAsia"/>
              </w:rPr>
              <w:t>是</w:t>
            </w:r>
          </w:p>
        </w:tc>
        <w:tc>
          <w:tcPr>
            <w:tcW w:w="540" w:type="pct"/>
            <w:shd w:val="clear" w:color="auto" w:fill="auto"/>
          </w:tcPr>
          <w:p>
            <w:pPr>
              <w:rPr>
                <w:rFonts w:asciiTheme="minorEastAsia" w:hAnsiTheme="minorEastAsia" w:eastAsiaTheme="minorEastAsia"/>
              </w:rPr>
            </w:pPr>
            <w:r>
              <w:rPr>
                <w:rFonts w:hint="eastAsia" w:asciiTheme="minorEastAsia" w:hAnsiTheme="minorEastAsia" w:eastAsiaTheme="minorEastAsia"/>
              </w:rPr>
              <w:t>正常履行</w:t>
            </w:r>
          </w:p>
        </w:tc>
        <w:tc>
          <w:tcPr>
            <w:tcW w:w="427" w:type="pct"/>
            <w:shd w:val="clear" w:color="auto" w:fill="auto"/>
          </w:tcPr>
          <w:p>
            <w:pPr>
              <w:rPr>
                <w:rFonts w:asciiTheme="minorEastAsia" w:hAnsiTheme="minorEastAsia" w:eastAsiaTheme="minorEastAsia"/>
              </w:rPr>
            </w:pPr>
            <w:r>
              <w:rPr>
                <w:rFonts w:hint="eastAsia" w:asciiTheme="minorEastAsia" w:hAnsiTheme="minorEastAsia" w:eastAsiaTheme="minor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shd w:val="clear" w:color="auto" w:fill="auto"/>
            <w:vAlign w:val="center"/>
          </w:tcPr>
          <w:p>
            <w:pPr>
              <w:rPr>
                <w:rFonts w:asciiTheme="minorEastAsia" w:hAnsiTheme="minorEastAsia" w:eastAsiaTheme="minorEastAsia"/>
              </w:rPr>
            </w:pPr>
          </w:p>
        </w:tc>
        <w:tc>
          <w:tcPr>
            <w:tcW w:w="357"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其他</w:t>
            </w:r>
          </w:p>
        </w:tc>
        <w:tc>
          <w:tcPr>
            <w:tcW w:w="408" w:type="pct"/>
            <w:shd w:val="clear" w:color="auto" w:fill="auto"/>
          </w:tcPr>
          <w:p>
            <w:pPr>
              <w:rPr>
                <w:rFonts w:asciiTheme="minorEastAsia" w:hAnsiTheme="minorEastAsia" w:eastAsiaTheme="minorEastAsia"/>
              </w:rPr>
            </w:pPr>
            <w:r>
              <w:rPr>
                <w:rFonts w:hint="eastAsia" w:asciiTheme="minorEastAsia" w:hAnsiTheme="minorEastAsia" w:eastAsiaTheme="minorEastAsia"/>
              </w:rPr>
              <w:t>新汶矿业集团有限责任公司、山东能源（以下合称“转让方”）</w:t>
            </w:r>
          </w:p>
        </w:tc>
        <w:tc>
          <w:tcPr>
            <w:tcW w:w="1481" w:type="pct"/>
            <w:shd w:val="clear" w:color="auto" w:fill="auto"/>
          </w:tcPr>
          <w:p>
            <w:pPr>
              <w:rPr>
                <w:rFonts w:asciiTheme="minorEastAsia" w:hAnsiTheme="minorEastAsia" w:eastAsiaTheme="minorEastAsia"/>
              </w:rPr>
            </w:pPr>
            <w:r>
              <w:rPr>
                <w:rFonts w:hint="eastAsia" w:asciiTheme="minorEastAsia" w:hAnsiTheme="minorEastAsia" w:eastAsiaTheme="minorEastAsia"/>
              </w:rPr>
              <w:t>转让方就兖矿能源（“受让方”）收购新疆能化51%股权事项向兖矿能源做出如下承诺：</w:t>
            </w:r>
          </w:p>
          <w:p>
            <w:pPr>
              <w:rPr>
                <w:rFonts w:asciiTheme="minorEastAsia" w:hAnsiTheme="minorEastAsia" w:eastAsiaTheme="minorEastAsia"/>
              </w:rPr>
            </w:pPr>
            <w:r>
              <w:rPr>
                <w:rFonts w:hint="eastAsia" w:asciiTheme="minorEastAsia" w:hAnsiTheme="minorEastAsia" w:eastAsiaTheme="minorEastAsia"/>
              </w:rPr>
              <w:t>1．截至2023年4月28日，新疆能化所持有的新疆准东煤田奇台县黄草湖一至十一勘查区勘探探矿权有效期已经届满。转让方承诺将积极敦促并协助新疆能化尽快完成探矿权变更登记手续，如新疆能化在本次交易交割日后因无法完成或无法按时完成上述探矿权变更登记手续受到损失，则届时由转让方向受让方予以补偿。</w:t>
            </w:r>
          </w:p>
          <w:p>
            <w:pPr>
              <w:rPr>
                <w:rFonts w:asciiTheme="minorEastAsia" w:hAnsiTheme="minorEastAsia" w:eastAsiaTheme="minorEastAsia"/>
              </w:rPr>
            </w:pPr>
            <w:r>
              <w:rPr>
                <w:rFonts w:hint="eastAsia" w:asciiTheme="minorEastAsia" w:hAnsiTheme="minorEastAsia" w:eastAsiaTheme="minorEastAsia"/>
              </w:rPr>
              <w:t>2．除已扣减矿业权出让收益的矿业权外，就保盛煤矿、红山洼煤矿两宗有偿处置过的矿业权，在本次交易交割日后，如被相关主管部门就在本次交易中相关采矿权评估范围内的资源储量征收矿业权出让收益且前述出让收益未在本次交易审计报告中体现，则：</w:t>
            </w:r>
          </w:p>
          <w:p>
            <w:pPr>
              <w:rPr>
                <w:rFonts w:asciiTheme="minorEastAsia" w:hAnsiTheme="minorEastAsia" w:eastAsiaTheme="minorEastAsia"/>
              </w:rPr>
            </w:pPr>
            <w:r>
              <w:rPr>
                <w:rFonts w:hint="eastAsia" w:asciiTheme="minorEastAsia" w:hAnsiTheme="minorEastAsia" w:eastAsiaTheme="minorEastAsia"/>
              </w:rPr>
              <w:t>（1）转让方将按照该等下属子公司被征收出让收益金额，在明确缴纳义务后的30日内向受让方现金补偿（补偿金额为被征收出让收益金额×51%×新疆能化持有该等下属子公司的股权比例）；</w:t>
            </w:r>
          </w:p>
          <w:p>
            <w:pPr>
              <w:rPr>
                <w:rFonts w:asciiTheme="minorEastAsia" w:hAnsiTheme="minorEastAsia" w:eastAsiaTheme="minorEastAsia"/>
              </w:rPr>
            </w:pPr>
            <w:r>
              <w:rPr>
                <w:rFonts w:hint="eastAsia" w:asciiTheme="minorEastAsia" w:hAnsiTheme="minorEastAsia" w:eastAsiaTheme="minorEastAsia"/>
              </w:rPr>
              <w:t>（2）就届时本次交易对应资源储量中剩余的尚未按矿产品销售时的矿业权出让收益率计算征收的部分（如涉及），由转让方一并向受让方现金补偿；</w:t>
            </w:r>
          </w:p>
          <w:p>
            <w:pPr>
              <w:rPr>
                <w:rFonts w:asciiTheme="minorEastAsia" w:hAnsiTheme="minorEastAsia" w:eastAsiaTheme="minorEastAsia"/>
              </w:rPr>
            </w:pPr>
            <w:r>
              <w:rPr>
                <w:rFonts w:hint="eastAsia" w:asciiTheme="minorEastAsia" w:hAnsiTheme="minorEastAsia" w:eastAsiaTheme="minorEastAsia"/>
              </w:rPr>
              <w:t>（3）转让方向受让方补偿的金额应以《股权转让协议》依据的评估报告引用的矿业权评估报告所载金额×51%×新疆能化持有该等下属子公司的股权比例为限。</w:t>
            </w:r>
          </w:p>
        </w:tc>
        <w:tc>
          <w:tcPr>
            <w:tcW w:w="408" w:type="pct"/>
          </w:tcPr>
          <w:p>
            <w:pPr>
              <w:rPr>
                <w:rFonts w:asciiTheme="minorEastAsia" w:hAnsiTheme="minorEastAsia" w:eastAsiaTheme="minorEastAsia"/>
              </w:rPr>
            </w:pPr>
            <w:r>
              <w:rPr>
                <w:rFonts w:hint="eastAsia" w:asciiTheme="minorEastAsia" w:hAnsiTheme="minorEastAsia" w:eastAsiaTheme="minorEastAsia"/>
              </w:rPr>
              <w:t>2023年4月28日</w:t>
            </w:r>
          </w:p>
        </w:tc>
        <w:tc>
          <w:tcPr>
            <w:tcW w:w="255" w:type="pct"/>
            <w:shd w:val="clear" w:color="auto" w:fill="auto"/>
          </w:tcPr>
          <w:p>
            <w:pPr>
              <w:rPr>
                <w:rFonts w:asciiTheme="minorEastAsia" w:hAnsiTheme="minorEastAsia" w:eastAsiaTheme="minorEastAsia"/>
              </w:rPr>
            </w:pPr>
            <w:r>
              <w:rPr>
                <w:rFonts w:hint="eastAsia" w:asciiTheme="minorEastAsia" w:hAnsiTheme="minorEastAsia" w:eastAsiaTheme="minorEastAsia"/>
              </w:rPr>
              <w:t>否</w:t>
            </w:r>
          </w:p>
        </w:tc>
        <w:tc>
          <w:tcPr>
            <w:tcW w:w="267" w:type="pct"/>
          </w:tcPr>
          <w:p>
            <w:pPr>
              <w:rPr>
                <w:rFonts w:asciiTheme="minorEastAsia" w:hAnsiTheme="minorEastAsia" w:eastAsiaTheme="minorEastAsia"/>
                <w:bCs/>
              </w:rPr>
            </w:pPr>
            <w:r>
              <w:rPr>
                <w:rFonts w:hint="eastAsia" w:asciiTheme="minorEastAsia" w:hAnsiTheme="minorEastAsia" w:eastAsiaTheme="minorEastAsia"/>
                <w:bCs/>
              </w:rPr>
              <w:t>长期有效</w:t>
            </w:r>
          </w:p>
        </w:tc>
        <w:tc>
          <w:tcPr>
            <w:tcW w:w="298" w:type="pct"/>
            <w:shd w:val="clear" w:color="auto" w:fill="auto"/>
          </w:tcPr>
          <w:p>
            <w:pPr>
              <w:rPr>
                <w:rFonts w:asciiTheme="minorEastAsia" w:hAnsiTheme="minorEastAsia" w:eastAsiaTheme="minorEastAsia"/>
              </w:rPr>
            </w:pPr>
            <w:r>
              <w:rPr>
                <w:rFonts w:asciiTheme="minorEastAsia" w:hAnsiTheme="minorEastAsia" w:eastAsiaTheme="minorEastAsia"/>
              </w:rPr>
              <w:t>是</w:t>
            </w:r>
          </w:p>
        </w:tc>
        <w:tc>
          <w:tcPr>
            <w:tcW w:w="540" w:type="pct"/>
            <w:shd w:val="clear" w:color="auto" w:fill="auto"/>
          </w:tcPr>
          <w:p>
            <w:pPr>
              <w:rPr>
                <w:rFonts w:asciiTheme="minorEastAsia" w:hAnsiTheme="minorEastAsia" w:eastAsiaTheme="minorEastAsia"/>
              </w:rPr>
            </w:pPr>
            <w:r>
              <w:rPr>
                <w:rFonts w:hint="eastAsia" w:asciiTheme="minorEastAsia" w:hAnsiTheme="minorEastAsia" w:eastAsiaTheme="minorEastAsia"/>
              </w:rPr>
              <w:t>就黄草湖探矿权续期承诺，新疆能化已于2</w:t>
            </w:r>
            <w:r>
              <w:rPr>
                <w:rFonts w:asciiTheme="minorEastAsia" w:hAnsiTheme="minorEastAsia" w:eastAsiaTheme="minorEastAsia"/>
              </w:rPr>
              <w:t>023</w:t>
            </w:r>
            <w:r>
              <w:rPr>
                <w:rFonts w:hint="eastAsia" w:asciiTheme="minorEastAsia" w:hAnsiTheme="minorEastAsia" w:eastAsiaTheme="minorEastAsia"/>
              </w:rPr>
              <w:t>年5月完成续期。承诺其他部分正常履行。</w:t>
            </w:r>
          </w:p>
        </w:tc>
        <w:tc>
          <w:tcPr>
            <w:tcW w:w="427" w:type="pct"/>
            <w:shd w:val="clear" w:color="auto" w:fill="auto"/>
          </w:tcPr>
          <w:p>
            <w:pPr>
              <w:rPr>
                <w:rFonts w:asciiTheme="minorEastAsia" w:hAnsiTheme="minorEastAsia" w:eastAsiaTheme="minorEastAsia"/>
              </w:rPr>
            </w:pPr>
            <w:r>
              <w:rPr>
                <w:rFonts w:hint="eastAsia" w:asciiTheme="minorEastAsia" w:hAnsiTheme="minorEastAsia" w:eastAsiaTheme="minor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shd w:val="clear" w:color="auto" w:fill="auto"/>
            <w:vAlign w:val="center"/>
          </w:tcPr>
          <w:p>
            <w:pPr>
              <w:rPr>
                <w:rFonts w:asciiTheme="minorEastAsia" w:hAnsiTheme="minorEastAsia" w:eastAsiaTheme="minorEastAsia"/>
              </w:rPr>
            </w:pPr>
          </w:p>
        </w:tc>
        <w:tc>
          <w:tcPr>
            <w:tcW w:w="357"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其他</w:t>
            </w:r>
          </w:p>
        </w:tc>
        <w:tc>
          <w:tcPr>
            <w:tcW w:w="408" w:type="pct"/>
            <w:shd w:val="clear" w:color="auto" w:fill="auto"/>
          </w:tcPr>
          <w:p>
            <w:pPr>
              <w:rPr>
                <w:rFonts w:asciiTheme="minorEastAsia" w:hAnsiTheme="minorEastAsia" w:eastAsiaTheme="minorEastAsia"/>
              </w:rPr>
            </w:pPr>
            <w:r>
              <w:rPr>
                <w:rFonts w:hint="eastAsia" w:asciiTheme="minorEastAsia" w:hAnsiTheme="minorEastAsia" w:eastAsiaTheme="minorEastAsia"/>
              </w:rPr>
              <w:t>新汶矿业集团有限责任公司、龙口矿业集团有限公司、淄博矿业集团有限责任公司、肥城肥矿煤业有限公司、临沂矿业集团有限责任公司（以下合称“转让方”）</w:t>
            </w:r>
          </w:p>
        </w:tc>
        <w:tc>
          <w:tcPr>
            <w:tcW w:w="1481" w:type="pct"/>
            <w:shd w:val="clear" w:color="auto" w:fill="auto"/>
          </w:tcPr>
          <w:p>
            <w:pPr>
              <w:rPr>
                <w:rFonts w:asciiTheme="minorEastAsia" w:hAnsiTheme="minorEastAsia" w:eastAsiaTheme="minorEastAsia"/>
              </w:rPr>
            </w:pPr>
            <w:r>
              <w:rPr>
                <w:rFonts w:hint="eastAsia" w:asciiTheme="minorEastAsia" w:hAnsiTheme="minorEastAsia" w:eastAsiaTheme="minorEastAsia"/>
              </w:rPr>
              <w:t>转让方就鲁西矿业（“目标公司”）2</w:t>
            </w:r>
            <w:r>
              <w:rPr>
                <w:rFonts w:asciiTheme="minorEastAsia" w:hAnsiTheme="minorEastAsia" w:eastAsiaTheme="minorEastAsia"/>
              </w:rPr>
              <w:t>023-2025</w:t>
            </w:r>
            <w:r>
              <w:rPr>
                <w:rFonts w:hint="eastAsia" w:asciiTheme="minorEastAsia" w:hAnsiTheme="minorEastAsia" w:eastAsiaTheme="minorEastAsia"/>
              </w:rPr>
              <w:t>年经营业绩作出如下承诺：</w:t>
            </w:r>
          </w:p>
          <w:p>
            <w:pPr>
              <w:rPr>
                <w:rFonts w:asciiTheme="minorEastAsia" w:hAnsiTheme="minorEastAsia" w:eastAsiaTheme="minorEastAsia"/>
              </w:rPr>
            </w:pPr>
            <w:r>
              <w:rPr>
                <w:rFonts w:hint="eastAsia" w:asciiTheme="minorEastAsia" w:hAnsiTheme="minorEastAsia" w:eastAsiaTheme="minorEastAsia"/>
              </w:rPr>
              <w:t>1．2023-2025年（“承诺期”），按中国会计准则计算，目标公司对应的经审计的扣除非经常性损益后归属于母公司股东的净利润（“净利润”）承诺期累计不低于人民币1,142,480.14万元（“承诺期累计承诺净利润”）。</w:t>
            </w:r>
          </w:p>
          <w:p>
            <w:pPr>
              <w:rPr>
                <w:rFonts w:asciiTheme="minorEastAsia" w:hAnsiTheme="minorEastAsia" w:eastAsiaTheme="minorEastAsia"/>
              </w:rPr>
            </w:pPr>
            <w:r>
              <w:rPr>
                <w:rFonts w:hint="eastAsia" w:asciiTheme="minorEastAsia" w:hAnsiTheme="minorEastAsia" w:eastAsiaTheme="minorEastAsia"/>
              </w:rPr>
              <w:t>2．若目标公司在承诺期内累计实现净利润未达到承诺期累计承诺净利润，转让方将以现金方式向兖矿能源进行补偿。具体补偿金额按照以下方式计算：承诺期业绩补偿金额=（承诺期累计承诺净利润-承诺期累计实现净利润）÷承诺期累计承诺净利润×标的股权交易作价-其他已补偿金额。</w:t>
            </w:r>
          </w:p>
        </w:tc>
        <w:tc>
          <w:tcPr>
            <w:tcW w:w="408" w:type="pct"/>
          </w:tcPr>
          <w:p>
            <w:pPr>
              <w:rPr>
                <w:rFonts w:asciiTheme="minorEastAsia" w:hAnsiTheme="minorEastAsia" w:eastAsiaTheme="minorEastAsia"/>
              </w:rPr>
            </w:pPr>
            <w:r>
              <w:rPr>
                <w:rFonts w:hint="eastAsia" w:asciiTheme="minorEastAsia" w:hAnsiTheme="minorEastAsia" w:eastAsiaTheme="minorEastAsia"/>
              </w:rPr>
              <w:t>2023年4月28日</w:t>
            </w:r>
          </w:p>
          <w:p>
            <w:pPr>
              <w:rPr>
                <w:rFonts w:asciiTheme="minorEastAsia" w:hAnsiTheme="minorEastAsia" w:eastAsiaTheme="minorEastAsia"/>
              </w:rPr>
            </w:pPr>
          </w:p>
        </w:tc>
        <w:tc>
          <w:tcPr>
            <w:tcW w:w="255" w:type="pct"/>
            <w:shd w:val="clear" w:color="auto" w:fill="auto"/>
          </w:tcPr>
          <w:p>
            <w:pPr>
              <w:rPr>
                <w:rFonts w:asciiTheme="minorEastAsia" w:hAnsiTheme="minorEastAsia" w:eastAsiaTheme="minorEastAsia"/>
              </w:rPr>
            </w:pPr>
            <w:r>
              <w:rPr>
                <w:rFonts w:hint="eastAsia" w:asciiTheme="minorEastAsia" w:hAnsiTheme="minorEastAsia" w:eastAsiaTheme="minorEastAsia"/>
              </w:rPr>
              <w:t>是</w:t>
            </w:r>
          </w:p>
        </w:tc>
        <w:tc>
          <w:tcPr>
            <w:tcW w:w="267" w:type="pct"/>
          </w:tcPr>
          <w:p>
            <w:pPr>
              <w:rPr>
                <w:rFonts w:asciiTheme="minorEastAsia" w:hAnsiTheme="minorEastAsia" w:eastAsiaTheme="minorEastAsia"/>
              </w:rPr>
            </w:pPr>
            <w:r>
              <w:rPr>
                <w:rFonts w:hint="eastAsia" w:asciiTheme="minorEastAsia" w:hAnsiTheme="minorEastAsia" w:eastAsiaTheme="minorEastAsia"/>
              </w:rPr>
              <w:t>2023-2025年度</w:t>
            </w:r>
          </w:p>
          <w:p>
            <w:pPr>
              <w:rPr>
                <w:rFonts w:asciiTheme="minorEastAsia" w:hAnsiTheme="minorEastAsia" w:eastAsiaTheme="minorEastAsia"/>
                <w:bCs/>
              </w:rPr>
            </w:pPr>
          </w:p>
        </w:tc>
        <w:tc>
          <w:tcPr>
            <w:tcW w:w="298" w:type="pct"/>
            <w:shd w:val="clear" w:color="auto" w:fill="auto"/>
          </w:tcPr>
          <w:p>
            <w:pPr>
              <w:rPr>
                <w:rFonts w:asciiTheme="minorEastAsia" w:hAnsiTheme="minorEastAsia" w:eastAsiaTheme="minorEastAsia"/>
              </w:rPr>
            </w:pPr>
            <w:r>
              <w:rPr>
                <w:rFonts w:asciiTheme="minorEastAsia" w:hAnsiTheme="minorEastAsia" w:eastAsiaTheme="minorEastAsia"/>
              </w:rPr>
              <w:t>是</w:t>
            </w:r>
          </w:p>
        </w:tc>
        <w:tc>
          <w:tcPr>
            <w:tcW w:w="540" w:type="pct"/>
            <w:shd w:val="clear" w:color="auto" w:fill="auto"/>
          </w:tcPr>
          <w:p>
            <w:pPr>
              <w:rPr>
                <w:rFonts w:asciiTheme="minorEastAsia" w:hAnsiTheme="minorEastAsia" w:eastAsiaTheme="minorEastAsia"/>
              </w:rPr>
            </w:pPr>
            <w:r>
              <w:rPr>
                <w:rFonts w:hint="eastAsia" w:asciiTheme="minorEastAsia" w:hAnsiTheme="minorEastAsia" w:eastAsiaTheme="minorEastAsia"/>
              </w:rPr>
              <w:t>正常履行</w:t>
            </w:r>
          </w:p>
        </w:tc>
        <w:tc>
          <w:tcPr>
            <w:tcW w:w="427" w:type="pct"/>
            <w:shd w:val="clear" w:color="auto" w:fill="auto"/>
          </w:tcPr>
          <w:p>
            <w:pPr>
              <w:rPr>
                <w:rFonts w:asciiTheme="minorEastAsia" w:hAnsiTheme="minorEastAsia" w:eastAsiaTheme="minorEastAsia"/>
              </w:rPr>
            </w:pPr>
            <w:r>
              <w:rPr>
                <w:rFonts w:hint="eastAsia" w:asciiTheme="minorEastAsia" w:hAnsiTheme="minorEastAsia" w:eastAsiaTheme="minor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shd w:val="clear" w:color="auto" w:fill="auto"/>
            <w:vAlign w:val="center"/>
          </w:tcPr>
          <w:p>
            <w:pPr>
              <w:rPr>
                <w:rFonts w:asciiTheme="minorEastAsia" w:hAnsiTheme="minorEastAsia" w:eastAsiaTheme="minorEastAsia"/>
              </w:rPr>
            </w:pPr>
          </w:p>
        </w:tc>
        <w:tc>
          <w:tcPr>
            <w:tcW w:w="357"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其他</w:t>
            </w:r>
          </w:p>
        </w:tc>
        <w:tc>
          <w:tcPr>
            <w:tcW w:w="408" w:type="pct"/>
            <w:shd w:val="clear" w:color="auto" w:fill="auto"/>
          </w:tcPr>
          <w:p>
            <w:pPr>
              <w:rPr>
                <w:rFonts w:asciiTheme="minorEastAsia" w:hAnsiTheme="minorEastAsia" w:eastAsiaTheme="minorEastAsia"/>
              </w:rPr>
            </w:pPr>
            <w:r>
              <w:rPr>
                <w:rFonts w:hint="eastAsia" w:asciiTheme="minorEastAsia" w:hAnsiTheme="minorEastAsia" w:eastAsiaTheme="minorEastAsia"/>
              </w:rPr>
              <w:t>新汶矿业集团有限责任公司、山东能源（以下合称“转让方”）</w:t>
            </w:r>
          </w:p>
        </w:tc>
        <w:tc>
          <w:tcPr>
            <w:tcW w:w="1481" w:type="pct"/>
            <w:shd w:val="clear" w:color="auto" w:fill="auto"/>
          </w:tcPr>
          <w:p>
            <w:pPr>
              <w:rPr>
                <w:rFonts w:asciiTheme="minorEastAsia" w:hAnsiTheme="minorEastAsia" w:eastAsiaTheme="minorEastAsia"/>
              </w:rPr>
            </w:pPr>
            <w:r>
              <w:rPr>
                <w:rFonts w:hint="eastAsia" w:asciiTheme="minorEastAsia" w:hAnsiTheme="minorEastAsia" w:eastAsiaTheme="minorEastAsia"/>
              </w:rPr>
              <w:t>转让方就新疆能化（“目标公司”）2</w:t>
            </w:r>
            <w:r>
              <w:rPr>
                <w:rFonts w:asciiTheme="minorEastAsia" w:hAnsiTheme="minorEastAsia" w:eastAsiaTheme="minorEastAsia"/>
              </w:rPr>
              <w:t>023-2025</w:t>
            </w:r>
            <w:r>
              <w:rPr>
                <w:rFonts w:hint="eastAsia" w:asciiTheme="minorEastAsia" w:hAnsiTheme="minorEastAsia" w:eastAsiaTheme="minorEastAsia"/>
              </w:rPr>
              <w:t>年经营业绩作出如下承诺：</w:t>
            </w:r>
          </w:p>
          <w:p>
            <w:pPr>
              <w:rPr>
                <w:rFonts w:asciiTheme="minorEastAsia" w:hAnsiTheme="minorEastAsia" w:eastAsiaTheme="minorEastAsia"/>
              </w:rPr>
            </w:pPr>
            <w:r>
              <w:rPr>
                <w:rFonts w:hint="eastAsia" w:asciiTheme="minorEastAsia" w:hAnsiTheme="minorEastAsia" w:eastAsiaTheme="minorEastAsia"/>
              </w:rPr>
              <w:t>1．2023-2025年（“承诺期”），按中国会计准则计算，目标公司对应的经审计的扣除非经常性损益后归属于母公司股东的净利润（“净利润”）承诺期累计不低于人民币401,345.61万元（“承诺期累计承诺净利润”）。</w:t>
            </w:r>
          </w:p>
          <w:p>
            <w:pPr>
              <w:rPr>
                <w:rFonts w:asciiTheme="minorEastAsia" w:hAnsiTheme="minorEastAsia" w:eastAsiaTheme="minorEastAsia"/>
              </w:rPr>
            </w:pPr>
            <w:r>
              <w:rPr>
                <w:rFonts w:hint="eastAsia" w:asciiTheme="minorEastAsia" w:hAnsiTheme="minorEastAsia" w:eastAsiaTheme="minorEastAsia"/>
              </w:rPr>
              <w:t>2．若目标公司在承诺期内累计实现净利润未达到承诺期累计承诺净利润，转让方将以现金方式向兖矿能源进行补偿，具体补偿金额按照以下方式计算：承诺期业绩补偿金额=（承诺期累计承诺净利润-承诺期累计实现净利润）÷承诺期累计承诺净利润×标的股权交易作价-其他已补偿金额。</w:t>
            </w:r>
          </w:p>
        </w:tc>
        <w:tc>
          <w:tcPr>
            <w:tcW w:w="408" w:type="pct"/>
          </w:tcPr>
          <w:p>
            <w:pPr>
              <w:rPr>
                <w:rFonts w:asciiTheme="minorEastAsia" w:hAnsiTheme="minorEastAsia" w:eastAsiaTheme="minorEastAsia"/>
              </w:rPr>
            </w:pPr>
            <w:r>
              <w:rPr>
                <w:rFonts w:hint="eastAsia" w:asciiTheme="minorEastAsia" w:hAnsiTheme="minorEastAsia" w:eastAsiaTheme="minorEastAsia"/>
              </w:rPr>
              <w:t>2023年4月28日</w:t>
            </w:r>
          </w:p>
          <w:p>
            <w:pPr>
              <w:rPr>
                <w:rFonts w:asciiTheme="minorEastAsia" w:hAnsiTheme="minorEastAsia" w:eastAsiaTheme="minorEastAsia"/>
              </w:rPr>
            </w:pPr>
          </w:p>
        </w:tc>
        <w:tc>
          <w:tcPr>
            <w:tcW w:w="255" w:type="pct"/>
            <w:shd w:val="clear" w:color="auto" w:fill="auto"/>
          </w:tcPr>
          <w:p>
            <w:pPr>
              <w:rPr>
                <w:rFonts w:asciiTheme="minorEastAsia" w:hAnsiTheme="minorEastAsia" w:eastAsiaTheme="minorEastAsia"/>
              </w:rPr>
            </w:pPr>
            <w:r>
              <w:rPr>
                <w:rFonts w:hint="eastAsia" w:asciiTheme="minorEastAsia" w:hAnsiTheme="minorEastAsia" w:eastAsiaTheme="minorEastAsia"/>
              </w:rPr>
              <w:t>是</w:t>
            </w:r>
          </w:p>
        </w:tc>
        <w:tc>
          <w:tcPr>
            <w:tcW w:w="267" w:type="pct"/>
          </w:tcPr>
          <w:p>
            <w:pPr>
              <w:rPr>
                <w:rFonts w:asciiTheme="minorEastAsia" w:hAnsiTheme="minorEastAsia" w:eastAsiaTheme="minorEastAsia"/>
              </w:rPr>
            </w:pPr>
            <w:r>
              <w:rPr>
                <w:rFonts w:hint="eastAsia" w:asciiTheme="minorEastAsia" w:hAnsiTheme="minorEastAsia" w:eastAsiaTheme="minorEastAsia"/>
              </w:rPr>
              <w:t>2023-2025年度</w:t>
            </w:r>
          </w:p>
          <w:p>
            <w:pPr>
              <w:rPr>
                <w:rFonts w:asciiTheme="minorEastAsia" w:hAnsiTheme="minorEastAsia" w:eastAsiaTheme="minorEastAsia"/>
                <w:bCs/>
              </w:rPr>
            </w:pPr>
          </w:p>
        </w:tc>
        <w:tc>
          <w:tcPr>
            <w:tcW w:w="298" w:type="pct"/>
            <w:shd w:val="clear" w:color="auto" w:fill="auto"/>
          </w:tcPr>
          <w:p>
            <w:pPr>
              <w:rPr>
                <w:rFonts w:asciiTheme="minorEastAsia" w:hAnsiTheme="minorEastAsia" w:eastAsiaTheme="minorEastAsia"/>
              </w:rPr>
            </w:pPr>
            <w:r>
              <w:rPr>
                <w:rFonts w:asciiTheme="minorEastAsia" w:hAnsiTheme="minorEastAsia" w:eastAsiaTheme="minorEastAsia"/>
              </w:rPr>
              <w:t>是</w:t>
            </w:r>
          </w:p>
        </w:tc>
        <w:tc>
          <w:tcPr>
            <w:tcW w:w="540" w:type="pct"/>
            <w:shd w:val="clear" w:color="auto" w:fill="auto"/>
          </w:tcPr>
          <w:p>
            <w:pPr>
              <w:rPr>
                <w:rFonts w:asciiTheme="minorEastAsia" w:hAnsiTheme="minorEastAsia" w:eastAsiaTheme="minorEastAsia"/>
              </w:rPr>
            </w:pPr>
            <w:r>
              <w:rPr>
                <w:rFonts w:hint="eastAsia" w:asciiTheme="minorEastAsia" w:hAnsiTheme="minorEastAsia" w:eastAsiaTheme="minorEastAsia"/>
              </w:rPr>
              <w:t>正常履行</w:t>
            </w:r>
          </w:p>
        </w:tc>
        <w:tc>
          <w:tcPr>
            <w:tcW w:w="427" w:type="pct"/>
            <w:shd w:val="clear" w:color="auto" w:fill="auto"/>
          </w:tcPr>
          <w:p>
            <w:pPr>
              <w:rPr>
                <w:rFonts w:asciiTheme="minorEastAsia" w:hAnsiTheme="minorEastAsia" w:eastAsiaTheme="minorEastAsia"/>
              </w:rPr>
            </w:pPr>
            <w:r>
              <w:rPr>
                <w:rFonts w:hint="eastAsia" w:asciiTheme="minorEastAsia" w:hAnsiTheme="minorEastAsia" w:eastAsiaTheme="minorEastAsia"/>
              </w:rPr>
              <w:t>无</w:t>
            </w:r>
          </w:p>
        </w:tc>
      </w:tr>
    </w:tbl>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注：关于公司收购鲁西矿业51%股权及新疆能化51%股权交易中转让方作出的承诺，有关详情请见公司日期为2023年4月28日的关联交易公告。</w:t>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sectPr>
          <w:pgSz w:w="16838" w:h="11906" w:orient="landscape"/>
          <w:pgMar w:top="1797" w:right="1525" w:bottom="1276" w:left="1440" w:header="855" w:footer="992" w:gutter="0"/>
          <w:cols w:space="425" w:num="1"/>
          <w:docGrid w:linePitch="312" w:charSpace="0"/>
        </w:sectPr>
      </w:pPr>
    </w:p>
    <w:p>
      <w:pPr>
        <w:rPr>
          <w:rFonts w:asciiTheme="minorEastAsia" w:hAnsiTheme="minorEastAsia" w:eastAsiaTheme="minorEastAsia"/>
        </w:rPr>
      </w:pPr>
    </w:p>
    <w:p>
      <w:pPr>
        <w:pStyle w:val="4"/>
        <w:numPr>
          <w:ilvl w:val="1"/>
          <w:numId w:val="31"/>
        </w:numPr>
        <w:rPr>
          <w:rFonts w:asciiTheme="minorEastAsia" w:hAnsiTheme="minorEastAsia" w:eastAsiaTheme="minorEastAsia"/>
          <w:szCs w:val="21"/>
        </w:rPr>
      </w:pPr>
      <w:r>
        <w:rPr>
          <w:rFonts w:asciiTheme="minorEastAsia" w:hAnsiTheme="minorEastAsia" w:eastAsiaTheme="minorEastAsia"/>
          <w:szCs w:val="21"/>
        </w:rPr>
        <w:t>公司资产或项目存在盈利预测，且报告期仍处在盈利预测期间，公司就资产或项目</w:t>
      </w:r>
    </w:p>
    <w:p>
      <w:pPr>
        <w:rPr>
          <w:rFonts w:asciiTheme="minorEastAsia" w:hAnsiTheme="minorEastAsia" w:eastAsiaTheme="minorEastAsia"/>
          <w:b/>
        </w:rPr>
      </w:pPr>
      <w:r>
        <w:rPr>
          <w:rFonts w:hint="eastAsia" w:asciiTheme="minorEastAsia" w:hAnsiTheme="minorEastAsia" w:eastAsiaTheme="minorEastAsia"/>
          <w:b/>
        </w:rPr>
        <w:t>是否达到原盈利预测及其原因作出说明</w:t>
      </w:r>
    </w:p>
    <w:sdt>
      <w:sdtPr>
        <w:rPr>
          <w:rFonts w:asciiTheme="minorEastAsia" w:hAnsiTheme="minorEastAsia" w:eastAsiaTheme="minorEastAsia"/>
        </w:rPr>
        <w:alias w:val="是否适用：公司就资产或项目是否达到原盈利预测及其原因作出说明"/>
        <w:tag w:val="_GBC_f8fa889013a24cb79a6ed52423d2c5a8"/>
        <w:id w:val="1750067589"/>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□已达到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□未达到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4"/>
        <w:numPr>
          <w:ilvl w:val="1"/>
          <w:numId w:val="31"/>
        </w:numPr>
        <w:rPr>
          <w:rFonts w:asciiTheme="minorEastAsia" w:hAnsiTheme="minorEastAsia" w:eastAsiaTheme="minorEastAsia"/>
          <w:szCs w:val="21"/>
        </w:rPr>
      </w:pPr>
      <w:r>
        <w:rPr>
          <w:rFonts w:hint="eastAsia" w:cs="宋体" w:asciiTheme="minorEastAsia" w:hAnsiTheme="minorEastAsia" w:eastAsiaTheme="minorEastAsia"/>
          <w:bCs w:val="0"/>
          <w:kern w:val="0"/>
          <w:szCs w:val="21"/>
        </w:rPr>
        <w:t>业绩承诺的完成情况及其对商誉减值测试的影响</w:t>
      </w:r>
    </w:p>
    <w:p>
      <w:pPr>
        <w:rPr>
          <w:rFonts w:asciiTheme="minorEastAsia" w:hAnsiTheme="minorEastAsia" w:eastAsiaTheme="minorEastAsia"/>
          <w:b/>
        </w:rPr>
      </w:pPr>
      <w:bookmarkStart w:id="129" w:name="_Hlk533667690"/>
      <w:sdt>
        <w:sdtPr>
          <w:rPr>
            <w:rFonts w:hint="eastAsia" w:asciiTheme="minorEastAsia" w:hAnsiTheme="minorEastAsia" w:eastAsiaTheme="minorEastAsia"/>
            <w:b/>
          </w:rPr>
          <w:alias w:val="是否适用：承诺事项-商誉减值测试的影响[双击切换]"/>
          <w:tag w:val="_GBC_659442fc24654f8db642f18c0532cf99"/>
          <w:id w:val="-170724253"/>
          <w:placeholder>
            <w:docPart w:val="GBC22222222222222222222222222222"/>
          </w:placeholder>
        </w:sdtPr>
        <w:sdtEndPr>
          <w:rPr>
            <w:rFonts w:hint="eastAsia" w:asciiTheme="minorEastAsia" w:hAnsiTheme="minorEastAsia" w:eastAsiaTheme="minorEastAsia"/>
            <w:b/>
          </w:rPr>
        </w:sdtEndPr>
        <w:sdtContent>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sdtContent>
      </w:sdt>
    </w:p>
    <w:bookmarkEnd w:id="129"/>
    <w:p>
      <w:pPr>
        <w:rPr>
          <w:rFonts w:asciiTheme="minorEastAsia" w:hAnsiTheme="minorEastAsia" w:eastAsiaTheme="minorEastAsia"/>
        </w:rPr>
      </w:pPr>
    </w:p>
    <w:p>
      <w:pPr>
        <w:rPr>
          <w:rFonts w:asciiTheme="minorEastAsia" w:hAnsiTheme="minorEastAsia" w:eastAsiaTheme="minorEastAsia"/>
        </w:rPr>
        <w:sectPr>
          <w:pgSz w:w="11906" w:h="16838"/>
          <w:pgMar w:top="1525" w:right="1276" w:bottom="1440" w:left="1797" w:header="855" w:footer="992" w:gutter="0"/>
          <w:cols w:space="425" w:num="1"/>
          <w:docGrid w:linePitch="312" w:charSpace="0"/>
        </w:sectPr>
      </w:pPr>
    </w:p>
    <w:p>
      <w:pPr>
        <w:rPr>
          <w:rFonts w:asciiTheme="minorEastAsia" w:hAnsiTheme="minorEastAsia" w:eastAsiaTheme="minorEastAsia"/>
        </w:rPr>
      </w:pPr>
    </w:p>
    <w:p>
      <w:pPr>
        <w:pStyle w:val="3"/>
        <w:numPr>
          <w:ilvl w:val="0"/>
          <w:numId w:val="30"/>
        </w:numPr>
        <w:rPr>
          <w:rFonts w:asciiTheme="minorEastAsia" w:hAnsiTheme="minorEastAsia" w:eastAsiaTheme="minorEastAsia"/>
        </w:rPr>
      </w:pPr>
      <w:r>
        <w:rPr>
          <w:rFonts w:hint="eastAsia" w:asciiTheme="minorEastAsia" w:hAnsiTheme="minorEastAsia" w:eastAsiaTheme="minorEastAsia"/>
        </w:rPr>
        <w:t>报</w:t>
      </w:r>
      <w:r>
        <w:rPr>
          <w:rFonts w:asciiTheme="minorEastAsia" w:hAnsiTheme="minorEastAsia" w:eastAsiaTheme="minorEastAsia"/>
        </w:rPr>
        <w:t>告期内</w:t>
      </w:r>
      <w:r>
        <w:rPr>
          <w:rFonts w:hint="eastAsia" w:asciiTheme="minorEastAsia" w:hAnsiTheme="minorEastAsia" w:eastAsiaTheme="minorEastAsia"/>
        </w:rPr>
        <w:t>控股股东及其他关联方非经营性占用资金情况</w:t>
      </w:r>
    </w:p>
    <w:sdt>
      <w:sdtPr>
        <w:rPr>
          <w:rFonts w:asciiTheme="minorEastAsia" w:hAnsiTheme="minorEastAsia" w:eastAsiaTheme="minorEastAsia"/>
        </w:rPr>
        <w:alias w:val="是否适用：资金被占用情况及清欠进展情况[双击切换]"/>
        <w:tag w:val="_GBC_a94958949e0846929a78a71186526204"/>
        <w:id w:val="-547378915"/>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bookmarkStart w:id="130" w:name="_Hlk89336052"/>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jc w:val="left"/>
        <w:rPr>
          <w:rFonts w:asciiTheme="minorEastAsia" w:hAnsiTheme="minorEastAsia" w:eastAsiaTheme="minorEastAsia"/>
        </w:rPr>
      </w:pPr>
      <w:r>
        <w:rPr>
          <w:rFonts w:hint="eastAsia" w:asciiTheme="minorEastAsia" w:hAnsiTheme="minorEastAsia" w:eastAsiaTheme="minorEastAsia"/>
        </w:rPr>
        <w:t xml:space="preserve">  </w:t>
      </w:r>
      <w:bookmarkStart w:id="131" w:name="_Hlk74646364"/>
    </w:p>
    <w:p>
      <w:pPr>
        <w:pStyle w:val="3"/>
        <w:numPr>
          <w:ilvl w:val="0"/>
          <w:numId w:val="30"/>
        </w:numPr>
        <w:rPr>
          <w:rFonts w:asciiTheme="minorEastAsia" w:hAnsiTheme="minorEastAsia" w:eastAsiaTheme="minorEastAsia"/>
        </w:rPr>
      </w:pPr>
      <w:r>
        <w:rPr>
          <w:rFonts w:hint="eastAsia" w:asciiTheme="minorEastAsia" w:hAnsiTheme="minorEastAsia" w:eastAsiaTheme="minorEastAsia"/>
        </w:rPr>
        <w:t>违规担保情况</w:t>
      </w:r>
    </w:p>
    <w:bookmarkEnd w:id="130"/>
    <w:bookmarkEnd w:id="131"/>
    <w:sdt>
      <w:sdtPr>
        <w:rPr>
          <w:rFonts w:asciiTheme="minorEastAsia" w:hAnsiTheme="minorEastAsia" w:eastAsiaTheme="minorEastAsia"/>
        </w:rPr>
        <w:alias w:val="是否适用：违规担保情况[双击切换]"/>
        <w:tag w:val="_GBC_b2d16e23c066427a800b40aaa053bc8e"/>
        <w:id w:val="826095578"/>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bookmarkStart w:id="132" w:name="_Hlk74646365"/>
          <w:bookmarkEnd w:id="132"/>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pStyle w:val="239"/>
        <w:jc w:val="left"/>
        <w:rPr>
          <w:rFonts w:asciiTheme="minorEastAsia" w:hAnsiTheme="minorEastAsia" w:eastAsiaTheme="minorEastAsia"/>
        </w:rPr>
      </w:pPr>
      <w:bookmarkStart w:id="133" w:name="_Hlk89337011"/>
      <w:r>
        <w:rPr>
          <w:rFonts w:hint="eastAsia" w:asciiTheme="minorEastAsia" w:hAnsiTheme="minorEastAsia" w:eastAsiaTheme="minorEastAsia"/>
        </w:rPr>
        <w:t xml:space="preserve">  </w:t>
      </w:r>
    </w:p>
    <w:p>
      <w:pPr>
        <w:rPr>
          <w:rFonts w:asciiTheme="minorEastAsia" w:hAnsiTheme="minorEastAsia" w:eastAsiaTheme="minorEastAsia"/>
        </w:rPr>
      </w:pPr>
      <w:bookmarkStart w:id="134" w:name="_Hlk74646368"/>
    </w:p>
    <w:p>
      <w:pPr>
        <w:rPr>
          <w:rFonts w:asciiTheme="minorEastAsia" w:hAnsiTheme="minorEastAsia" w:eastAsiaTheme="minorEastAsia"/>
        </w:rPr>
        <w:sectPr>
          <w:pgSz w:w="11906" w:h="16838"/>
          <w:pgMar w:top="1525" w:right="1276" w:bottom="1440" w:left="1797" w:header="855" w:footer="992" w:gutter="0"/>
          <w:cols w:space="425" w:num="1"/>
          <w:docGrid w:linePitch="312" w:charSpace="0"/>
        </w:sectPr>
      </w:pPr>
    </w:p>
    <w:p>
      <w:pPr>
        <w:pStyle w:val="3"/>
        <w:numPr>
          <w:ilvl w:val="0"/>
          <w:numId w:val="30"/>
        </w:numPr>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公司董事会对会计师事务所“非标准意见审计报告”的说明</w:t>
      </w:r>
    </w:p>
    <w:bookmarkEnd w:id="133"/>
    <w:bookmarkEnd w:id="134"/>
    <w:p>
      <w:pPr>
        <w:rPr>
          <w:rFonts w:asciiTheme="minorEastAsia" w:hAnsiTheme="minorEastAsia" w:eastAsiaTheme="minorEastAsia"/>
        </w:rPr>
      </w:pPr>
      <w:sdt>
        <w:sdtPr>
          <w:rPr>
            <w:rFonts w:asciiTheme="minorEastAsia" w:hAnsiTheme="minorEastAsia" w:eastAsiaTheme="minorEastAsia"/>
          </w:rPr>
          <w:alias w:val="是否适用：董事会对会计师事务所非标准审计报告的说明[双击切换]"/>
          <w:tag w:val="_GBC_81f7a662b6a641d8aadb05b1cb176ecf"/>
          <w:id w:val="65925980"/>
          <w:placeholder>
            <w:docPart w:val="GBC22222222222222222222222222222"/>
          </w:placeholder>
        </w:sdtPr>
        <w:sdtEndPr>
          <w:rPr>
            <w:rFonts w:asciiTheme="minorEastAsia" w:hAnsiTheme="minorEastAsia" w:eastAsiaTheme="minorEastAsia"/>
          </w:rPr>
        </w:sdtEndPr>
        <w:sdtContent>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sdtContent>
      </w:sdt>
    </w:p>
    <w:p>
      <w:pPr>
        <w:rPr>
          <w:rFonts w:asciiTheme="minorEastAsia" w:hAnsiTheme="minorEastAsia" w:eastAsiaTheme="minorEastAsia"/>
        </w:rPr>
      </w:pPr>
    </w:p>
    <w:p>
      <w:pPr>
        <w:rPr>
          <w:rFonts w:asciiTheme="minorEastAsia" w:hAnsiTheme="minorEastAsia" w:eastAsiaTheme="minorEastAsia"/>
        </w:rPr>
      </w:pPr>
    </w:p>
    <w:p>
      <w:pPr>
        <w:pStyle w:val="3"/>
        <w:numPr>
          <w:ilvl w:val="0"/>
          <w:numId w:val="30"/>
        </w:numPr>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公司对会计政策、会计估计变更或重大会计差错更正原因和影响的分析说明</w:t>
      </w:r>
    </w:p>
    <w:p>
      <w:pPr>
        <w:pStyle w:val="4"/>
        <w:numPr>
          <w:ilvl w:val="0"/>
          <w:numId w:val="32"/>
        </w:numPr>
        <w:rPr>
          <w:rFonts w:asciiTheme="minorEastAsia" w:hAnsiTheme="minorEastAsia" w:eastAsiaTheme="minorEastAsia"/>
        </w:rPr>
      </w:pPr>
      <w:r>
        <w:rPr>
          <w:rFonts w:hint="eastAsia" w:asciiTheme="minorEastAsia" w:hAnsiTheme="minorEastAsia" w:eastAsiaTheme="minorEastAsia"/>
        </w:rPr>
        <w:t>公司对会计政策、会计估计变更原因及影响的分析说明</w:t>
      </w:r>
    </w:p>
    <w:sdt>
      <w:sdtPr>
        <w:rPr>
          <w:rFonts w:hint="eastAsia" w:asciiTheme="minorEastAsia" w:hAnsiTheme="minorEastAsia" w:eastAsiaTheme="minorEastAsia"/>
        </w:rPr>
        <w:alias w:val="是否适用：公司对会计政策、会计估计更正的原因及影响[双击切换]"/>
        <w:tag w:val="_GBC_af0d7b808dd9452c873bbe81905062f6"/>
        <w:id w:val="2126808607"/>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4"/>
        <w:numPr>
          <w:ilvl w:val="0"/>
          <w:numId w:val="32"/>
        </w:numPr>
        <w:rPr>
          <w:rFonts w:asciiTheme="minorEastAsia" w:hAnsiTheme="minorEastAsia" w:eastAsiaTheme="minorEastAsia"/>
        </w:rPr>
      </w:pPr>
      <w:r>
        <w:rPr>
          <w:rFonts w:hint="eastAsia" w:asciiTheme="minorEastAsia" w:hAnsiTheme="minorEastAsia" w:eastAsiaTheme="minorEastAsia"/>
        </w:rPr>
        <w:t>公司对重大会计</w:t>
      </w:r>
      <w:r>
        <w:rPr>
          <w:rFonts w:hint="eastAsia" w:asciiTheme="minorEastAsia" w:hAnsiTheme="minorEastAsia" w:eastAsiaTheme="minorEastAsia"/>
          <w:bCs w:val="0"/>
          <w:szCs w:val="24"/>
        </w:rPr>
        <w:t>差错</w:t>
      </w:r>
      <w:r>
        <w:rPr>
          <w:rFonts w:hint="eastAsia" w:asciiTheme="minorEastAsia" w:hAnsiTheme="minorEastAsia" w:eastAsiaTheme="minorEastAsia"/>
        </w:rPr>
        <w:t>更正原因及影响的分析说明</w:t>
      </w:r>
    </w:p>
    <w:sdt>
      <w:sdtPr>
        <w:rPr>
          <w:rFonts w:hint="eastAsia" w:asciiTheme="minorEastAsia" w:hAnsiTheme="minorEastAsia" w:eastAsiaTheme="minorEastAsia"/>
        </w:rPr>
        <w:alias w:val="是否适用：公司对重大会计差错更正的原因及影响[双击切换]"/>
        <w:tag w:val="_GBC_20433825c59a4e308939a2a08d3b64f5"/>
        <w:id w:val="-1283488187"/>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4"/>
        <w:numPr>
          <w:ilvl w:val="0"/>
          <w:numId w:val="32"/>
        </w:numPr>
        <w:ind w:left="0" w:firstLine="0"/>
        <w:rPr>
          <w:rFonts w:asciiTheme="minorEastAsia" w:hAnsiTheme="minorEastAsia" w:eastAsiaTheme="minorEastAsia"/>
        </w:rPr>
      </w:pPr>
      <w:r>
        <w:rPr>
          <w:rFonts w:asciiTheme="minorEastAsia" w:hAnsiTheme="minorEastAsia" w:eastAsiaTheme="minorEastAsia"/>
        </w:rPr>
        <w:t>与前任会计师事务所进行的沟通情况</w:t>
      </w:r>
    </w:p>
    <w:sdt>
      <w:sdtPr>
        <w:rPr>
          <w:rFonts w:hint="eastAsia" w:asciiTheme="minorEastAsia" w:hAnsiTheme="minorEastAsia" w:eastAsiaTheme="minorEastAsia"/>
        </w:rPr>
        <w:alias w:val="是否适用：与前任会计师事务所进行的沟通情况[双击切换]"/>
        <w:tag w:val="_GBC_eac5a093c5584c5699f0b1b4b2cc9124"/>
        <w:id w:val="1613321604"/>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4"/>
        <w:numPr>
          <w:ilvl w:val="0"/>
          <w:numId w:val="32"/>
        </w:numPr>
        <w:rPr>
          <w:rFonts w:asciiTheme="minorEastAsia" w:hAnsiTheme="minorEastAsia" w:eastAsiaTheme="minorEastAsia"/>
        </w:rPr>
      </w:pPr>
      <w:r>
        <w:rPr>
          <w:rFonts w:hint="eastAsia" w:cs="宋体" w:asciiTheme="minorEastAsia" w:hAnsiTheme="minorEastAsia" w:eastAsiaTheme="minorEastAsia"/>
          <w:kern w:val="0"/>
          <w:szCs w:val="24"/>
        </w:rPr>
        <w:t>审批程序及</w:t>
      </w:r>
      <w:r>
        <w:rPr>
          <w:rFonts w:asciiTheme="minorEastAsia" w:hAnsiTheme="minorEastAsia" w:eastAsiaTheme="minorEastAsia"/>
        </w:rPr>
        <w:t>其他说明</w:t>
      </w:r>
    </w:p>
    <w:sdt>
      <w:sdtPr>
        <w:rPr>
          <w:rFonts w:hint="eastAsia" w:asciiTheme="minorEastAsia" w:hAnsiTheme="minorEastAsia" w:eastAsiaTheme="minorEastAsia"/>
        </w:rPr>
        <w:alias w:val="是否适用：审批程序及其他说明[双击切换]"/>
        <w:tag w:val="_GBC_f59e5141b9f74a2badb652a198d25993"/>
        <w:id w:val="-162167159"/>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pStyle w:val="501"/>
      </w:pPr>
    </w:p>
    <w:p>
      <w:pPr>
        <w:pStyle w:val="3"/>
        <w:numPr>
          <w:ilvl w:val="0"/>
          <w:numId w:val="30"/>
        </w:numPr>
        <w:rPr>
          <w:rFonts w:cs="宋体" w:asciiTheme="minorEastAsia" w:hAnsiTheme="minorEastAsia" w:eastAsiaTheme="minorEastAsia"/>
          <w:kern w:val="0"/>
          <w:szCs w:val="24"/>
        </w:rPr>
      </w:pPr>
      <w:r>
        <w:rPr>
          <w:rFonts w:cs="宋体" w:asciiTheme="minorEastAsia" w:hAnsiTheme="minorEastAsia" w:eastAsiaTheme="minorEastAsia"/>
          <w:kern w:val="0"/>
          <w:szCs w:val="24"/>
        </w:rPr>
        <w:t>聘任、解聘会计师事务所情况</w:t>
      </w:r>
    </w:p>
    <w:p>
      <w:pPr>
        <w:jc w:val="right"/>
      </w:pPr>
      <w:r>
        <w:rPr>
          <w:rFonts w:hint="eastAsia"/>
        </w:rPr>
        <w:t>单位：</w:t>
      </w:r>
      <w:sdt>
        <w:sdtPr>
          <w:rPr>
            <w:rFonts w:hint="eastAsia"/>
          </w:rPr>
          <w:alias w:val="单位：聘任、解聘会计师事务所情况"/>
          <w:tag w:val="_GBC_26e166c9302c4cd6aef51526fb663693"/>
          <w:id w:val="701979673"/>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8"/>
        <w:gridCol w:w="4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8" w:type="dxa"/>
          </w:tcPr>
          <w:p>
            <w:pPr>
              <w:rPr>
                <w:rFonts w:ascii="Times New Roman" w:hAnsi="Times New Roman"/>
              </w:rPr>
            </w:pPr>
          </w:p>
        </w:tc>
        <w:sdt>
          <w:sdtPr>
            <w:tag w:val="_PLD_364aa8d2f946450c8e3aa85ae050a07e"/>
            <w:id w:val="-1375539946"/>
          </w:sdtPr>
          <w:sdtContent>
            <w:tc>
              <w:tcPr>
                <w:tcW w:w="4415" w:type="dxa"/>
              </w:tcPr>
              <w:p>
                <w:pPr>
                  <w:jc w:val="center"/>
                  <w:rPr>
                    <w:rFonts w:ascii="Times New Roman" w:hAnsi="Times New Roman"/>
                  </w:rPr>
                </w:pPr>
                <w:r>
                  <w:rPr>
                    <w:rFonts w:hint="eastAsia" w:ascii="Times New Roman" w:hAnsi="Times New Roman"/>
                  </w:rPr>
                  <w:t>现聘任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cb50119840415b8495bc32adcd0b31"/>
            <w:id w:val="-921021941"/>
          </w:sdtPr>
          <w:sdtContent>
            <w:tc>
              <w:tcPr>
                <w:tcW w:w="4408" w:type="dxa"/>
              </w:tcPr>
              <w:p>
                <w:pPr>
                  <w:rPr>
                    <w:rFonts w:ascii="Times New Roman" w:hAnsi="Times New Roman"/>
                  </w:rPr>
                </w:pPr>
                <w:r>
                  <w:rPr>
                    <w:rFonts w:hint="eastAsia" w:ascii="Times New Roman" w:hAnsi="Times New Roman"/>
                  </w:rPr>
                  <w:t>境内会计师事务所名称</w:t>
                </w:r>
              </w:p>
            </w:tc>
          </w:sdtContent>
        </w:sdt>
        <w:tc>
          <w:tcPr>
            <w:tcW w:w="4415" w:type="dxa"/>
            <w:vAlign w:val="center"/>
          </w:tcPr>
          <w:p>
            <w:pPr>
              <w:rPr>
                <w:rFonts w:ascii="Times New Roman" w:hAnsi="Times New Roman"/>
              </w:rPr>
            </w:pPr>
            <w:r>
              <w:rPr>
                <w:rFonts w:hint="eastAsia" w:asciiTheme="minorEastAsia" w:hAnsiTheme="minorEastAsia" w:eastAsiaTheme="minorEastAsia"/>
              </w:rPr>
              <w:t>信永中和会计师事务所（特殊普通合伙）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884016c404b70b56b51dca806a7f6"/>
            <w:id w:val="-880243120"/>
          </w:sdtPr>
          <w:sdtContent>
            <w:tc>
              <w:tcPr>
                <w:tcW w:w="4408" w:type="dxa"/>
              </w:tcPr>
              <w:p>
                <w:pPr>
                  <w:rPr>
                    <w:rFonts w:ascii="Times New Roman" w:hAnsi="Times New Roman"/>
                  </w:rPr>
                </w:pPr>
                <w:r>
                  <w:rPr>
                    <w:rFonts w:hint="eastAsia" w:ascii="Times New Roman" w:hAnsi="Times New Roman"/>
                  </w:rPr>
                  <w:t>境内会计师事务所报酬</w:t>
                </w:r>
              </w:p>
            </w:tc>
          </w:sdtContent>
        </w:sdt>
        <w:tc>
          <w:tcPr>
            <w:tcW w:w="4415" w:type="dxa"/>
            <w:vAlign w:val="center"/>
          </w:tcPr>
          <w:p>
            <w:pPr>
              <w:rPr>
                <w:rFonts w:ascii="Times New Roman" w:hAnsi="Times New Roman"/>
              </w:rPr>
            </w:pPr>
            <w:r>
              <w:rPr>
                <w:rFonts w:asciiTheme="minorEastAsia" w:hAnsiTheme="minorEastAsia" w:eastAsiaTheme="minorEastAsia"/>
              </w:rPr>
              <w:t>980（含内控报酬）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4d0f60a14d41b3a048248da4532c21"/>
            <w:id w:val="-436204693"/>
          </w:sdtPr>
          <w:sdtContent>
            <w:tc>
              <w:tcPr>
                <w:tcW w:w="4408" w:type="dxa"/>
              </w:tcPr>
              <w:p>
                <w:pPr>
                  <w:rPr>
                    <w:rFonts w:ascii="Times New Roman" w:hAnsi="Times New Roman"/>
                  </w:rPr>
                </w:pPr>
                <w:r>
                  <w:rPr>
                    <w:rFonts w:hint="eastAsia" w:ascii="Times New Roman" w:hAnsi="Times New Roman"/>
                  </w:rPr>
                  <w:t>境内会计师事务所审计年限</w:t>
                </w:r>
              </w:p>
            </w:tc>
          </w:sdtContent>
        </w:sdt>
        <w:tc>
          <w:tcPr>
            <w:tcW w:w="4415" w:type="dxa"/>
            <w:vAlign w:val="center"/>
          </w:tcPr>
          <w:p>
            <w:pPr>
              <w:jc w:val="left"/>
              <w:rPr>
                <w:rFonts w:ascii="Times New Roman" w:hAnsi="Times New Roman"/>
              </w:rPr>
            </w:pPr>
            <w:r>
              <w:rPr>
                <w:rFonts w:hint="eastAsia" w:asciiTheme="minorEastAsia" w:hAnsiTheme="minorEastAsia" w:eastAsiaTheme="minorEastAsia"/>
              </w:rPr>
              <w:t>2008年6月至今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imes New Roman" w:hAnsi="Times New Roman"/>
            </w:rPr>
            <w:tag w:val="_PLD_2f82b4c8a5a644498a3848a33f31b234"/>
            <w:id w:val="-1071577585"/>
          </w:sdtPr>
          <w:sdtEndPr>
            <w:rPr>
              <w:rFonts w:hint="eastAsia" w:ascii="Times New Roman" w:hAnsi="Times New Roman"/>
            </w:rPr>
          </w:sdtEndPr>
          <w:sdtContent>
            <w:tc>
              <w:tcPr>
                <w:tcW w:w="4408" w:type="dxa"/>
              </w:tcPr>
              <w:p>
                <w:pPr>
                  <w:rPr>
                    <w:rFonts w:ascii="Times New Roman" w:hAnsi="Times New Roman"/>
                  </w:rPr>
                </w:pPr>
                <w:r>
                  <w:rPr>
                    <w:rFonts w:hint="eastAsia" w:ascii="Times New Roman" w:hAnsi="Times New Roman"/>
                  </w:rPr>
                  <w:t>境内会计师事务所注册会计师姓名</w:t>
                </w:r>
              </w:p>
            </w:tc>
          </w:sdtContent>
        </w:sdt>
        <w:tc>
          <w:tcPr>
            <w:tcW w:w="4415" w:type="dxa"/>
            <w:vAlign w:val="center"/>
          </w:tcPr>
          <w:p>
            <w:pPr>
              <w:rPr>
                <w:rFonts w:ascii="Times New Roman" w:hAnsi="Times New Roman"/>
              </w:rPr>
            </w:pPr>
            <w:r>
              <w:rPr>
                <w:rFonts w:hint="eastAsia" w:ascii="Times New Roman" w:hAnsi="Times New Roman"/>
              </w:rPr>
              <w:t>季晟、赵晓宇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imes New Roman" w:hAnsi="Times New Roman"/>
            </w:rPr>
            <w:tag w:val="_PLD_8a2e926cd3464922a314a623dfc4f777"/>
            <w:id w:val="-1606341577"/>
          </w:sdtPr>
          <w:sdtEndPr>
            <w:rPr>
              <w:rFonts w:hint="eastAsia" w:ascii="Times New Roman" w:hAnsi="Times New Roman"/>
            </w:rPr>
          </w:sdtEndPr>
          <w:sdtContent>
            <w:tc>
              <w:tcPr>
                <w:tcW w:w="4408" w:type="dxa"/>
              </w:tcPr>
              <w:p>
                <w:pPr>
                  <w:rPr>
                    <w:rFonts w:ascii="Times New Roman" w:hAnsi="Times New Roman"/>
                  </w:rPr>
                </w:pPr>
                <w:r>
                  <w:rPr>
                    <w:rFonts w:hint="eastAsia" w:ascii="Times New Roman" w:hAnsi="Times New Roman"/>
                  </w:rPr>
                  <w:t>境内会计师事务所注册会计师审计服务的累计年限</w:t>
                </w:r>
              </w:p>
            </w:tc>
          </w:sdtContent>
        </w:sdt>
        <w:tc>
          <w:tcPr>
            <w:tcW w:w="4415" w:type="dxa"/>
            <w:vAlign w:val="center"/>
          </w:tcPr>
          <w:p>
            <w:pPr>
              <w:rPr>
                <w:rFonts w:ascii="Times New Roman" w:hAnsi="Times New Roman"/>
              </w:rPr>
            </w:pPr>
            <w:r>
              <w:rPr>
                <w:rFonts w:hint="eastAsia" w:ascii="Times New Roman" w:hAnsi="Times New Roman"/>
              </w:rPr>
              <w:t>1年、2年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44ac3eec20d4ce7b9a462c014e3d24f"/>
            <w:id w:val="1342043717"/>
          </w:sdtPr>
          <w:sdtContent>
            <w:tc>
              <w:tcPr>
                <w:tcW w:w="4408" w:type="dxa"/>
              </w:tcPr>
              <w:p>
                <w:pPr>
                  <w:rPr>
                    <w:rFonts w:ascii="Times New Roman" w:hAnsi="Times New Roman"/>
                  </w:rPr>
                </w:pPr>
                <w:r>
                  <w:rPr>
                    <w:rFonts w:hint="eastAsia" w:ascii="Times New Roman" w:hAnsi="Times New Roman"/>
                  </w:rPr>
                  <w:t>境外会计师事务所名称</w:t>
                </w:r>
              </w:p>
            </w:tc>
          </w:sdtContent>
        </w:sdt>
        <w:tc>
          <w:tcPr>
            <w:tcW w:w="4415" w:type="dxa"/>
            <w:vAlign w:val="center"/>
          </w:tcPr>
          <w:p>
            <w:pPr>
              <w:rPr>
                <w:rFonts w:ascii="Times New Roman" w:hAnsi="Times New Roman"/>
              </w:rPr>
            </w:pPr>
            <w:r>
              <w:rPr>
                <w:rFonts w:hint="eastAsia" w:asciiTheme="minorEastAsia" w:hAnsiTheme="minorEastAsia" w:eastAsiaTheme="minorEastAsia"/>
              </w:rPr>
              <w:t>信永中和（香港）会计师事务所有限公司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924bac3159d4264bee9a102dddeefe7"/>
            <w:id w:val="518666534"/>
          </w:sdtPr>
          <w:sdtContent>
            <w:tc>
              <w:tcPr>
                <w:tcW w:w="4408" w:type="dxa"/>
              </w:tcPr>
              <w:p>
                <w:pPr>
                  <w:rPr>
                    <w:rFonts w:ascii="Times New Roman" w:hAnsi="Times New Roman"/>
                  </w:rPr>
                </w:pPr>
                <w:r>
                  <w:rPr>
                    <w:rFonts w:hint="eastAsia" w:ascii="Times New Roman" w:hAnsi="Times New Roman"/>
                  </w:rPr>
                  <w:t>境外会计师事务所报酬</w:t>
                </w:r>
              </w:p>
            </w:tc>
          </w:sdtContent>
        </w:sdt>
        <w:tc>
          <w:tcPr>
            <w:tcW w:w="4415" w:type="dxa"/>
            <w:vAlign w:val="center"/>
          </w:tcPr>
          <w:p>
            <w:pPr>
              <w:rPr>
                <w:rFonts w:ascii="Times New Roman" w:hAnsi="Times New Roman"/>
              </w:rPr>
            </w:pPr>
            <w:r>
              <w:rPr>
                <w:rFonts w:hint="eastAsia" w:asciiTheme="minorEastAsia" w:hAnsiTheme="minorEastAsia" w:eastAsiaTheme="minor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3f1cb8731d248c1a1d1c6bed454550c"/>
            <w:id w:val="-1067487113"/>
          </w:sdtPr>
          <w:sdtContent>
            <w:tc>
              <w:tcPr>
                <w:tcW w:w="4408" w:type="dxa"/>
              </w:tcPr>
              <w:p>
                <w:pPr>
                  <w:rPr>
                    <w:rFonts w:ascii="Times New Roman" w:hAnsi="Times New Roman"/>
                  </w:rPr>
                </w:pPr>
                <w:r>
                  <w:rPr>
                    <w:rFonts w:hint="eastAsia" w:ascii="Times New Roman" w:hAnsi="Times New Roman"/>
                  </w:rPr>
                  <w:t>境外会计师事务所审计年限</w:t>
                </w:r>
              </w:p>
            </w:tc>
          </w:sdtContent>
        </w:sdt>
        <w:tc>
          <w:tcPr>
            <w:tcW w:w="4415" w:type="dxa"/>
            <w:vAlign w:val="center"/>
          </w:tcPr>
          <w:p>
            <w:pPr>
              <w:jc w:val="left"/>
              <w:rPr>
                <w:rFonts w:ascii="Times New Roman" w:hAnsi="Times New Roman"/>
              </w:rPr>
            </w:pPr>
            <w:r>
              <w:rPr>
                <w:rFonts w:hint="eastAsia" w:asciiTheme="minorEastAsia" w:hAnsiTheme="minorEastAsia" w:eastAsiaTheme="minorEastAsia"/>
              </w:rPr>
              <w:t>2017年3月至今</w:t>
            </w:r>
          </w:p>
        </w:tc>
      </w:tr>
    </w:tbl>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7"/>
        <w:gridCol w:w="2944"/>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7" w:type="dxa"/>
          </w:tcPr>
          <w:p>
            <w:pPr>
              <w:rPr>
                <w:rFonts w:ascii="Times New Roman" w:hAnsi="Times New Roman"/>
              </w:rPr>
            </w:pPr>
          </w:p>
        </w:tc>
        <w:sdt>
          <w:sdtPr>
            <w:tag w:val="_PLD_c9ec27d8a8454f91bb769203a75df4b3"/>
            <w:id w:val="-584837672"/>
          </w:sdtPr>
          <w:sdtContent>
            <w:tc>
              <w:tcPr>
                <w:tcW w:w="2944" w:type="dxa"/>
                <w:vAlign w:val="center"/>
              </w:tcPr>
              <w:p>
                <w:pPr>
                  <w:jc w:val="center"/>
                  <w:rPr>
                    <w:rFonts w:ascii="Times New Roman" w:hAnsi="Times New Roman"/>
                  </w:rPr>
                </w:pPr>
                <w:r>
                  <w:rPr>
                    <w:rFonts w:hint="eastAsia" w:ascii="Times New Roman" w:hAnsi="Times New Roman"/>
                  </w:rPr>
                  <w:t>名称</w:t>
                </w:r>
              </w:p>
            </w:tc>
          </w:sdtContent>
        </w:sdt>
        <w:sdt>
          <w:sdtPr>
            <w:tag w:val="_PLD_ae4e80c7f64046dcb42116bfa53b53af"/>
            <w:id w:val="1382596867"/>
          </w:sdtPr>
          <w:sdtContent>
            <w:tc>
              <w:tcPr>
                <w:tcW w:w="2942" w:type="dxa"/>
                <w:vAlign w:val="center"/>
              </w:tcPr>
              <w:p>
                <w:pPr>
                  <w:jc w:val="center"/>
                  <w:rPr>
                    <w:rFonts w:ascii="Times New Roman" w:hAnsi="Times New Roman"/>
                  </w:rPr>
                </w:pPr>
                <w:r>
                  <w:rPr>
                    <w:rFonts w:hint="eastAsia" w:ascii="Times New Roman" w:hAnsi="Times New Roman"/>
                  </w:rPr>
                  <w:t>报酬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b9b36bf86614c808ea65de10637144b"/>
            <w:id w:val="-12386803"/>
          </w:sdtPr>
          <w:sdtContent>
            <w:tc>
              <w:tcPr>
                <w:tcW w:w="2937" w:type="dxa"/>
              </w:tcPr>
              <w:p>
                <w:pPr>
                  <w:rPr>
                    <w:rFonts w:ascii="Times New Roman" w:hAnsi="Times New Roman"/>
                  </w:rPr>
                </w:pPr>
                <w:r>
                  <w:rPr>
                    <w:rFonts w:hint="eastAsia" w:ascii="Times New Roman" w:hAnsi="Times New Roman"/>
                  </w:rPr>
                  <w:t>内部控制审计会计师事务所</w:t>
                </w:r>
              </w:p>
            </w:tc>
          </w:sdtContent>
        </w:sdt>
        <w:tc>
          <w:tcPr>
            <w:tcW w:w="2944" w:type="dxa"/>
            <w:vAlign w:val="center"/>
          </w:tcPr>
          <w:p>
            <w:pPr>
              <w:rPr>
                <w:rFonts w:ascii="Times New Roman" w:hAnsi="Times New Roman"/>
              </w:rPr>
            </w:pPr>
            <w:r>
              <w:rPr>
                <w:rFonts w:hint="eastAsia" w:ascii="Times New Roman" w:hAnsi="Times New Roman"/>
              </w:rPr>
              <w:t>信永中和会计师事务所（特殊普通合伙）</w:t>
            </w:r>
          </w:p>
        </w:tc>
        <w:tc>
          <w:tcPr>
            <w:tcW w:w="2942" w:type="dxa"/>
            <w:vAlign w:val="center"/>
          </w:tcPr>
          <w:p>
            <w:pPr>
              <w:rPr>
                <w:rFonts w:ascii="Times New Roman" w:hAnsi="Times New Roman"/>
              </w:rPr>
            </w:pPr>
            <w:r>
              <w:rPr>
                <w:rFonts w:hint="eastAsia" w:ascii="Times New Roman" w:hAnsi="Times New Roman"/>
              </w:rPr>
              <w:t>260</w:t>
            </w:r>
          </w:p>
        </w:tc>
      </w:tr>
    </w:tbl>
    <w:p/>
    <w:p>
      <w:pPr>
        <w:rPr>
          <w:rFonts w:asciiTheme="minorEastAsia" w:hAnsiTheme="minorEastAsia" w:eastAsiaTheme="minorEastAsia"/>
        </w:rPr>
      </w:pPr>
      <w:r>
        <w:rPr>
          <w:rFonts w:asciiTheme="minorEastAsia" w:hAnsiTheme="minorEastAsia" w:eastAsiaTheme="minorEastAsia"/>
        </w:rPr>
        <w:t>聘任、解聘会计师事务所的情况说明</w:t>
      </w:r>
    </w:p>
    <w:sdt>
      <w:sdtPr>
        <w:rPr>
          <w:rFonts w:asciiTheme="minorEastAsia" w:hAnsiTheme="minorEastAsia" w:eastAsiaTheme="minorEastAsia"/>
        </w:rPr>
        <w:alias w:val="是否适用：聘任、解聘会计师事务所情况[双击切换]"/>
        <w:tag w:val="_GBC_376f0811302240c0a118add2061458b6"/>
        <w:id w:val="-1296522479"/>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聘任、解聘会计师事务所情况说明"/>
        <w:tag w:val="_GBC_efccae536add449ea09208e1185e3711"/>
        <w:id w:val="518820542"/>
        <w:placeholder>
          <w:docPart w:val="GBC22222222222222222222222222222"/>
        </w:placeholder>
      </w:sdtPr>
      <w:sdtEndPr>
        <w:rPr>
          <w:rFonts w:hint="eastAsia" w:asciiTheme="minorEastAsia" w:hAnsiTheme="minorEastAsia" w:eastAsiaTheme="minorEastAsia"/>
        </w:rPr>
      </w:sdtEndPr>
      <w:sdtContent>
        <w:sdt>
          <w:sdtPr>
            <w:rPr>
              <w:rFonts w:hint="eastAsia" w:asciiTheme="minorEastAsia" w:hAnsiTheme="minorEastAsia" w:eastAsiaTheme="minorEastAsia"/>
            </w:rPr>
            <w:alias w:val="聘任、解聘会计师事务所情况说明"/>
            <w:tag w:val="_GBC_efccae536add449ea09208e1185e3711"/>
            <w:id w:val="688177085"/>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经2023年6月30日召开的2022年度股东周年大会审议批准，聘任信永中和会计师事务所（特殊普通合伙）和信永中和（香港）会计师事务所有限公司分别为公司2023年度A股及H股会计师，负责公司财务报表审计、审核及内部控制审计评估，任期自2022年度股东周年大会结束之日起至2023年度股东周年大会结束之日止。</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kern w:val="0"/>
                </w:rPr>
                <w:t>公司2023年度应支付境内和境外业务的审计服务费用为1,180万元（因公司2023年度审计范围发生变化，增加审计服务费用190万元），其中信永中和会计师事务所（特殊普通合伙）980万元、信永中和（香港）会计师事务所有限公司200万元，</w:t>
              </w:r>
              <w:r>
                <w:rPr>
                  <w:rFonts w:hint="eastAsia" w:asciiTheme="minorEastAsia" w:hAnsiTheme="minorEastAsia" w:eastAsiaTheme="minorEastAsia"/>
                </w:rPr>
                <w:t>公司承担会计师在公司工作期间的食宿费用，不承担差旅费及其他费用。授权公司董事会决定并支付由于公司新增子公司或监管规定发生变化，导致增加后续审计、内部控制审计评估等其他服务费用。</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公司董事会认为除常年业务的审计服务费用外，本公司支付给会计师的其他服务费用不会影响会计师的审计独立性意见。</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根据香港法例第588章《会计及财务汇报局条例》（经不时修订、补充或以其他方式修改），公司2023年度会计师信永中和（香港）会计师事务所有限公司为获注册的公众利益实体核数师。在过去三年内任何一年，公司均没有更换核数师。</w:t>
              </w:r>
            </w:p>
          </w:sdtContent>
        </w:sdt>
        <w:p>
          <w:pPr>
            <w:rPr>
              <w:rFonts w:asciiTheme="minorEastAsia" w:hAnsiTheme="minorEastAsia" w:eastAsiaTheme="minorEastAsia"/>
            </w:rPr>
          </w:pPr>
        </w:p>
      </w:sdtContent>
    </w:sdt>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审计期间改聘会计师事务所的情况说明</w:t>
      </w:r>
    </w:p>
    <w:sdt>
      <w:sdtPr>
        <w:rPr>
          <w:rFonts w:hint="eastAsia" w:asciiTheme="minorEastAsia" w:hAnsiTheme="minorEastAsia" w:eastAsiaTheme="minorEastAsia"/>
        </w:rPr>
        <w:alias w:val="是否适用：审计期间改聘会计师事务所的情况说明[双击切换]"/>
        <w:tag w:val="_GBC_34c57619e2904c83a8840614e4e5d5d0"/>
        <w:id w:val="-388261926"/>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审计费用较上一年度下降20%以上（含20%）的情况说明</w:t>
      </w:r>
    </w:p>
    <w:sdt>
      <w:sdtPr>
        <w:rPr>
          <w:rFonts w:hint="eastAsia" w:asciiTheme="minorEastAsia" w:hAnsiTheme="minorEastAsia" w:eastAsiaTheme="minorEastAsia"/>
        </w:rPr>
        <w:alias w:val="是否适用：审计费用较上一年度下降20%以上（含20%）的情况说明[双击切换]"/>
        <w:tag w:val="_GBC_1b0fa24aa1d645e2aa2ab2a0fe7c67ab"/>
        <w:id w:val="-465973072"/>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3"/>
        <w:numPr>
          <w:ilvl w:val="0"/>
          <w:numId w:val="30"/>
        </w:numPr>
        <w:rPr>
          <w:rFonts w:cs="宋体" w:asciiTheme="minorEastAsia" w:hAnsiTheme="minorEastAsia" w:eastAsiaTheme="minorEastAsia"/>
          <w:kern w:val="0"/>
          <w:szCs w:val="24"/>
        </w:rPr>
      </w:pPr>
      <w:r>
        <w:rPr>
          <w:rFonts w:cs="宋体" w:asciiTheme="minorEastAsia" w:hAnsiTheme="minorEastAsia" w:eastAsiaTheme="minorEastAsia"/>
          <w:kern w:val="0"/>
          <w:szCs w:val="24"/>
        </w:rPr>
        <w:t>面临</w:t>
      </w:r>
      <w:r>
        <w:rPr>
          <w:rFonts w:hint="eastAsia" w:cs="宋体" w:asciiTheme="minorEastAsia" w:hAnsiTheme="minorEastAsia" w:eastAsiaTheme="minorEastAsia"/>
          <w:kern w:val="0"/>
          <w:szCs w:val="24"/>
        </w:rPr>
        <w:t>退</w:t>
      </w:r>
      <w:r>
        <w:rPr>
          <w:rFonts w:cs="宋体" w:asciiTheme="minorEastAsia" w:hAnsiTheme="minorEastAsia" w:eastAsiaTheme="minorEastAsia"/>
          <w:kern w:val="0"/>
          <w:szCs w:val="24"/>
        </w:rPr>
        <w:t>市风险的情况</w:t>
      </w:r>
    </w:p>
    <w:p>
      <w:pPr>
        <w:pStyle w:val="4"/>
        <w:numPr>
          <w:ilvl w:val="0"/>
          <w:numId w:val="33"/>
        </w:numPr>
        <w:jc w:val="left"/>
        <w:rPr>
          <w:rFonts w:asciiTheme="minorEastAsia" w:hAnsiTheme="minorEastAsia" w:eastAsiaTheme="minorEastAsia"/>
        </w:rPr>
      </w:pPr>
      <w:r>
        <w:rPr>
          <w:rFonts w:hint="eastAsia" w:asciiTheme="minorEastAsia" w:hAnsiTheme="minorEastAsia" w:eastAsiaTheme="minorEastAsia"/>
        </w:rPr>
        <w:t>导</w:t>
      </w:r>
      <w:r>
        <w:rPr>
          <w:rFonts w:asciiTheme="minorEastAsia" w:hAnsiTheme="minorEastAsia" w:eastAsiaTheme="minorEastAsia"/>
          <w:szCs w:val="21"/>
        </w:rPr>
        <w:t>致</w:t>
      </w:r>
      <w:r>
        <w:rPr>
          <w:rFonts w:hint="eastAsia" w:asciiTheme="minorEastAsia" w:hAnsiTheme="minorEastAsia" w:eastAsiaTheme="minorEastAsia"/>
          <w:szCs w:val="21"/>
        </w:rPr>
        <w:t>退市风险警示</w:t>
      </w:r>
      <w:r>
        <w:rPr>
          <w:rFonts w:asciiTheme="minorEastAsia" w:hAnsiTheme="minorEastAsia" w:eastAsiaTheme="minorEastAsia"/>
          <w:szCs w:val="21"/>
        </w:rPr>
        <w:t>的原因</w:t>
      </w:r>
    </w:p>
    <w:sdt>
      <w:sdtPr>
        <w:rPr>
          <w:rFonts w:hint="eastAsia" w:asciiTheme="minorEastAsia" w:hAnsiTheme="minorEastAsia" w:eastAsiaTheme="minorEastAsia"/>
        </w:rPr>
        <w:alias w:val="是否适用：导致暂停上市的原因[双击切换]"/>
        <w:tag w:val="_GBC_5be6e6fabf4849c7b63c5d08ac7706e1"/>
        <w:id w:val="1367715262"/>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4"/>
        <w:numPr>
          <w:ilvl w:val="0"/>
          <w:numId w:val="33"/>
        </w:numPr>
        <w:rPr>
          <w:rFonts w:asciiTheme="minorEastAsia" w:hAnsiTheme="minorEastAsia" w:eastAsiaTheme="minorEastAsia"/>
          <w:szCs w:val="21"/>
        </w:rPr>
      </w:pPr>
      <w:r>
        <w:rPr>
          <w:rFonts w:hint="eastAsia" w:asciiTheme="minorEastAsia" w:hAnsiTheme="minorEastAsia" w:eastAsiaTheme="minorEastAsia"/>
          <w:szCs w:val="21"/>
        </w:rPr>
        <w:t>公司拟采取的应对措施</w:t>
      </w:r>
    </w:p>
    <w:sdt>
      <w:sdtPr>
        <w:rPr>
          <w:rFonts w:asciiTheme="minorEastAsia" w:hAnsiTheme="minorEastAsia" w:eastAsiaTheme="minorEastAsia"/>
        </w:rPr>
        <w:alias w:val="是否适用：公司拟采取的措施[双击切换]"/>
        <w:tag w:val="_GBC_8656f473b4d943fe8fa1477037f607c5"/>
        <w:id w:val="-1433586301"/>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4"/>
        <w:numPr>
          <w:ilvl w:val="0"/>
          <w:numId w:val="33"/>
        </w:num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面临终止上市的情况和原因</w:t>
      </w:r>
    </w:p>
    <w:sdt>
      <w:sdtPr>
        <w:rPr>
          <w:rFonts w:hint="eastAsia" w:asciiTheme="minorEastAsia" w:hAnsiTheme="minorEastAsia" w:eastAsiaTheme="minorEastAsia"/>
        </w:rPr>
        <w:alias w:val="是否适用：面临终止上市的情况和原因 [双击切换]"/>
        <w:tag w:val="_GBC_36002fff87954035b149cfd20b1790d5"/>
        <w:id w:val="582113608"/>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bookmarkStart w:id="135" w:name="_Hlk89346186"/>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bookmarkEnd w:id="135"/>
    <w:p>
      <w:pPr>
        <w:rPr>
          <w:rFonts w:asciiTheme="minorEastAsia" w:hAnsiTheme="minorEastAsia" w:eastAsiaTheme="minorEastAsia"/>
        </w:rPr>
      </w:pPr>
    </w:p>
    <w:p>
      <w:pPr>
        <w:pStyle w:val="3"/>
        <w:numPr>
          <w:ilvl w:val="0"/>
          <w:numId w:val="30"/>
        </w:numPr>
        <w:rPr>
          <w:rFonts w:asciiTheme="minorEastAsia" w:hAnsiTheme="minorEastAsia" w:eastAsiaTheme="minorEastAsia"/>
        </w:rPr>
      </w:pPr>
      <w:r>
        <w:rPr>
          <w:rFonts w:asciiTheme="minorEastAsia" w:hAnsiTheme="minorEastAsia" w:eastAsiaTheme="minorEastAsia"/>
        </w:rPr>
        <w:t>破产重整相关事项</w:t>
      </w:r>
    </w:p>
    <w:sdt>
      <w:sdtPr>
        <w:rPr>
          <w:rFonts w:asciiTheme="minorEastAsia" w:hAnsiTheme="minorEastAsia" w:eastAsiaTheme="minorEastAsia"/>
        </w:rPr>
        <w:alias w:val="是否适用：破产重整相关事项[双击切换]"/>
        <w:tag w:val="_GBC_5840a694c2a04f98893394e6da3bc9cc"/>
        <w:id w:val="1860774928"/>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3"/>
        <w:numPr>
          <w:ilvl w:val="0"/>
          <w:numId w:val="30"/>
        </w:numPr>
        <w:rPr>
          <w:rFonts w:asciiTheme="minorEastAsia" w:hAnsiTheme="minorEastAsia" w:eastAsiaTheme="minorEastAsia"/>
        </w:rPr>
      </w:pPr>
      <w:r>
        <w:rPr>
          <w:rFonts w:asciiTheme="minorEastAsia" w:hAnsiTheme="minorEastAsia" w:eastAsiaTheme="minorEastAsia"/>
        </w:rPr>
        <w:t>重大诉讼、仲裁事项</w:t>
      </w:r>
    </w:p>
    <w:sdt>
      <w:sdtPr>
        <w:rPr>
          <w:rFonts w:asciiTheme="minorEastAsia" w:hAnsiTheme="minorEastAsia" w:eastAsiaTheme="minorEastAsia"/>
        </w:rPr>
        <w:alias w:val="本年度公司有无重大诉讼、仲裁事项"/>
        <w:tag w:val="_GBC_b7d97a978491465ca563fa610688ebef"/>
        <w:id w:val="-1002737526"/>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√本年度公司有重大诉讼、仲裁事项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□本年度公司无重大诉讼、仲裁事项 </w:instrText>
          </w:r>
          <w:r>
            <w:rPr>
              <w:rFonts w:asciiTheme="minorEastAsia" w:hAnsiTheme="minorEastAsia" w:eastAsiaTheme="minorEastAsia"/>
            </w:rPr>
            <w:fldChar w:fldCharType="end"/>
          </w:r>
        </w:p>
      </w:sdtContent>
    </w:sdt>
    <w:p>
      <w:pPr>
        <w:pStyle w:val="4"/>
        <w:numPr>
          <w:ilvl w:val="0"/>
          <w:numId w:val="34"/>
        </w:numPr>
        <w:rPr>
          <w:rFonts w:asciiTheme="minorEastAsia" w:hAnsiTheme="minorEastAsia" w:eastAsiaTheme="minorEastAsia"/>
        </w:rPr>
      </w:pPr>
      <w:r>
        <w:rPr>
          <w:rFonts w:asciiTheme="minorEastAsia" w:hAnsiTheme="minorEastAsia" w:eastAsiaTheme="minorEastAsia"/>
        </w:rPr>
        <w:t>诉讼、仲裁事项已在临时公告披露且无后续进展的</w:t>
      </w:r>
    </w:p>
    <w:sdt>
      <w:sdtPr>
        <w:rPr>
          <w:rFonts w:asciiTheme="minorEastAsia" w:hAnsiTheme="minorEastAsia" w:eastAsiaTheme="minorEastAsia"/>
        </w:rPr>
        <w:alias w:val="是否适用：诉讼、仲裁事项已在临时公告披露且无后续进展的[双击切换]"/>
        <w:tag w:val="_GBC_df9c575188dd424d8b37483a3f491cca"/>
        <w:id w:val="-1361350028"/>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pStyle w:val="4"/>
        <w:numPr>
          <w:ilvl w:val="0"/>
          <w:numId w:val="34"/>
        </w:numPr>
        <w:rPr>
          <w:rFonts w:asciiTheme="minorEastAsia" w:hAnsiTheme="minorEastAsia" w:eastAsiaTheme="minorEastAsia"/>
        </w:rPr>
      </w:pPr>
      <w:r>
        <w:rPr>
          <w:rFonts w:asciiTheme="minorEastAsia" w:hAnsiTheme="minorEastAsia" w:eastAsiaTheme="minorEastAsia"/>
        </w:rPr>
        <w:t>临时公告未披露或有后续进展的诉讼、仲裁情况</w:t>
      </w:r>
    </w:p>
    <w:sdt>
      <w:sdtPr>
        <w:rPr>
          <w:rFonts w:asciiTheme="minorEastAsia" w:hAnsiTheme="minorEastAsia" w:eastAsiaTheme="minorEastAsia"/>
        </w:rPr>
        <w:alias w:val="是否适用：临时公告未披露或有后续进展的诉讼、仲裁情况[双击切换]"/>
        <w:tag w:val="_GBC_35f7d90461484a06aaa4de37b11de834"/>
        <w:id w:val="483213100"/>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jc w:val="right"/>
        <w:rPr>
          <w:rFonts w:asciiTheme="minorEastAsia" w:hAnsiTheme="minorEastAsia" w:eastAsiaTheme="minorEastAsia"/>
        </w:rPr>
      </w:pPr>
      <w:r>
        <w:rPr>
          <w:rFonts w:hint="eastAsia" w:asciiTheme="minorEastAsia" w:hAnsiTheme="minorEastAsia" w:eastAsiaTheme="minorEastAsia"/>
        </w:rPr>
        <w:t>单位:</w:t>
      </w:r>
      <w:sdt>
        <w:sdtPr>
          <w:rPr>
            <w:rFonts w:hint="eastAsia" w:asciiTheme="minorEastAsia" w:hAnsiTheme="minorEastAsia" w:eastAsiaTheme="minorEastAsia"/>
          </w:rPr>
          <w:alias w:val="单位：重大诉讼仲裁事项"/>
          <w:tag w:val="_GBC_9d97246aa01d4ad08e6284cc246abd9f"/>
          <w:id w:val="-9784454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rPr>
        </w:sdtEndPr>
        <w:sdtContent>
          <w:r>
            <w:rPr>
              <w:rFonts w:hint="eastAsia" w:asciiTheme="minorEastAsia" w:hAnsiTheme="minorEastAsia" w:eastAsiaTheme="minorEastAsia"/>
            </w:rPr>
            <w:t>万元</w:t>
          </w:r>
        </w:sdtContent>
      </w:sdt>
      <w:r>
        <w:rPr>
          <w:rFonts w:hint="eastAsia" w:asciiTheme="minorEastAsia" w:hAnsiTheme="minorEastAsia" w:eastAsiaTheme="minorEastAsia"/>
        </w:rPr>
        <w:t xml:space="preserve">  币种:</w:t>
      </w:r>
      <w:sdt>
        <w:sdtPr>
          <w:rPr>
            <w:rFonts w:hint="eastAsia" w:asciiTheme="minorEastAsia" w:hAnsiTheme="minorEastAsia" w:eastAsiaTheme="minorEastAsia"/>
          </w:rPr>
          <w:alias w:val="币种：重大诉讼仲裁事项"/>
          <w:tag w:val="_GBC_a18222a537f349d088118dcd5db0706a"/>
          <w:id w:val="-14859308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rPr>
        </w:sdtEndPr>
        <w:sdtContent>
          <w:r>
            <w:rPr>
              <w:rFonts w:hint="eastAsia" w:asciiTheme="minorEastAsia" w:hAnsiTheme="minorEastAsia" w:eastAsiaTheme="minorEastAsia"/>
            </w:rPr>
            <w:t>人民币</w:t>
          </w:r>
        </w:sdtContent>
      </w:sdt>
    </w:p>
    <w:tbl>
      <w:tblPr>
        <w:tblStyle w:val="2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846"/>
        <w:gridCol w:w="712"/>
        <w:gridCol w:w="425"/>
        <w:gridCol w:w="2552"/>
        <w:gridCol w:w="1042"/>
        <w:gridCol w:w="550"/>
        <w:gridCol w:w="550"/>
        <w:gridCol w:w="749"/>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41f71fd1aeb4ad2847c6534560b258a"/>
            <w:id w:val="497931023"/>
          </w:sdtPr>
          <w:sdtEndPr>
            <w:rPr>
              <w:rFonts w:asciiTheme="minorEastAsia" w:hAnsiTheme="minorEastAsia" w:eastAsiaTheme="minorEastAsia"/>
            </w:rPr>
          </w:sdtEndPr>
          <w:sdtContent>
            <w:tc>
              <w:tcPr>
                <w:tcW w:w="8823" w:type="dxa"/>
                <w:gridSpan w:val="10"/>
              </w:tcPr>
              <w:p>
                <w:pPr>
                  <w:rPr>
                    <w:rFonts w:asciiTheme="minorEastAsia" w:hAnsiTheme="minorEastAsia" w:eastAsiaTheme="minorEastAsia"/>
                  </w:rPr>
                </w:pPr>
                <w:r>
                  <w:rPr>
                    <w:rFonts w:hint="eastAsia" w:asciiTheme="minorEastAsia" w:hAnsiTheme="minorEastAsia" w:eastAsiaTheme="minorEastAsia"/>
                  </w:rPr>
                  <w:t>报告期内: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4d9b112021884e699f90fb18615a7a2e"/>
            <w:id w:val="1415743574"/>
          </w:sdtPr>
          <w:sdtEndPr>
            <w:rPr>
              <w:rFonts w:asciiTheme="minorEastAsia" w:hAnsiTheme="minorEastAsia" w:eastAsiaTheme="minorEastAsia"/>
            </w:rPr>
          </w:sdtEndPr>
          <w:sdtContent>
            <w:tc>
              <w:tcPr>
                <w:tcW w:w="847" w:type="dxa"/>
                <w:vAlign w:val="center"/>
              </w:tcPr>
              <w:p>
                <w:pPr>
                  <w:jc w:val="center"/>
                  <w:rPr>
                    <w:rFonts w:asciiTheme="minorEastAsia" w:hAnsiTheme="minorEastAsia" w:eastAsiaTheme="minorEastAsia"/>
                  </w:rPr>
                </w:pPr>
                <w:r>
                  <w:rPr>
                    <w:rFonts w:asciiTheme="minorEastAsia" w:hAnsiTheme="minorEastAsia" w:eastAsiaTheme="minorEastAsia"/>
                  </w:rPr>
                  <w:t>起诉(申请)方</w:t>
                </w:r>
              </w:p>
            </w:tc>
          </w:sdtContent>
        </w:sdt>
        <w:sdt>
          <w:sdtPr>
            <w:rPr>
              <w:rFonts w:asciiTheme="minorEastAsia" w:hAnsiTheme="minorEastAsia" w:eastAsiaTheme="minorEastAsia"/>
            </w:rPr>
            <w:tag w:val="_PLD_c32a293b7cc342f8b27e24280205fb5b"/>
            <w:id w:val="-1354960070"/>
          </w:sdtPr>
          <w:sdtEndPr>
            <w:rPr>
              <w:rFonts w:asciiTheme="minorEastAsia" w:hAnsiTheme="minorEastAsia" w:eastAsiaTheme="minorEastAsia"/>
            </w:rPr>
          </w:sdtEndPr>
          <w:sdtContent>
            <w:tc>
              <w:tcPr>
                <w:tcW w:w="846" w:type="dxa"/>
                <w:vAlign w:val="center"/>
              </w:tcPr>
              <w:p>
                <w:pPr>
                  <w:jc w:val="center"/>
                  <w:rPr>
                    <w:rFonts w:asciiTheme="minorEastAsia" w:hAnsiTheme="minorEastAsia" w:eastAsiaTheme="minorEastAsia"/>
                  </w:rPr>
                </w:pPr>
                <w:r>
                  <w:rPr>
                    <w:rFonts w:asciiTheme="minorEastAsia" w:hAnsiTheme="minorEastAsia" w:eastAsiaTheme="minorEastAsia"/>
                  </w:rPr>
                  <w:t>应诉</w:t>
                </w:r>
                <w:r>
                  <w:rPr>
                    <w:rFonts w:hint="eastAsia" w:asciiTheme="minorEastAsia" w:hAnsiTheme="minorEastAsia" w:eastAsiaTheme="minorEastAsia"/>
                  </w:rPr>
                  <w:t>(</w:t>
                </w:r>
                <w:r>
                  <w:rPr>
                    <w:rFonts w:asciiTheme="minorEastAsia" w:hAnsiTheme="minorEastAsia" w:eastAsiaTheme="minorEastAsia"/>
                  </w:rPr>
                  <w:t>被申请</w:t>
                </w:r>
                <w:r>
                  <w:rPr>
                    <w:rFonts w:hint="eastAsia" w:asciiTheme="minorEastAsia" w:hAnsiTheme="minorEastAsia" w:eastAsiaTheme="minorEastAsia"/>
                  </w:rPr>
                  <w:t>)</w:t>
                </w:r>
                <w:r>
                  <w:rPr>
                    <w:rFonts w:asciiTheme="minorEastAsia" w:hAnsiTheme="minorEastAsia" w:eastAsiaTheme="minorEastAsia"/>
                  </w:rPr>
                  <w:t>方</w:t>
                </w:r>
              </w:p>
            </w:tc>
          </w:sdtContent>
        </w:sdt>
        <w:sdt>
          <w:sdtPr>
            <w:rPr>
              <w:rFonts w:asciiTheme="minorEastAsia" w:hAnsiTheme="minorEastAsia" w:eastAsiaTheme="minorEastAsia"/>
            </w:rPr>
            <w:tag w:val="_PLD_eff0fb32b4bd49df8045de6cb1eb61f6"/>
            <w:id w:val="1893310440"/>
          </w:sdtPr>
          <w:sdtEndPr>
            <w:rPr>
              <w:rFonts w:asciiTheme="minorEastAsia" w:hAnsiTheme="minorEastAsia" w:eastAsiaTheme="minorEastAsia"/>
            </w:rPr>
          </w:sdtEndPr>
          <w:sdtContent>
            <w:tc>
              <w:tcPr>
                <w:tcW w:w="712" w:type="dxa"/>
                <w:vAlign w:val="center"/>
              </w:tcPr>
              <w:p>
                <w:pPr>
                  <w:jc w:val="center"/>
                  <w:rPr>
                    <w:rFonts w:asciiTheme="minorEastAsia" w:hAnsiTheme="minorEastAsia" w:eastAsiaTheme="minorEastAsia"/>
                  </w:rPr>
                </w:pPr>
                <w:r>
                  <w:rPr>
                    <w:rFonts w:asciiTheme="minorEastAsia" w:hAnsiTheme="minorEastAsia" w:eastAsiaTheme="minorEastAsia"/>
                  </w:rPr>
                  <w:t>承担连带责任方</w:t>
                </w:r>
              </w:p>
            </w:tc>
          </w:sdtContent>
        </w:sdt>
        <w:sdt>
          <w:sdtPr>
            <w:rPr>
              <w:rFonts w:asciiTheme="minorEastAsia" w:hAnsiTheme="minorEastAsia" w:eastAsiaTheme="minorEastAsia"/>
            </w:rPr>
            <w:tag w:val="_PLD_3182b9e352674cfca450ce843b2abe09"/>
            <w:id w:val="-584222265"/>
          </w:sdtPr>
          <w:sdtEndPr>
            <w:rPr>
              <w:rFonts w:asciiTheme="minorEastAsia" w:hAnsiTheme="minorEastAsia" w:eastAsiaTheme="minorEastAsia"/>
            </w:rPr>
          </w:sdtEndPr>
          <w:sdtContent>
            <w:tc>
              <w:tcPr>
                <w:tcW w:w="425" w:type="dxa"/>
                <w:vAlign w:val="center"/>
              </w:tcPr>
              <w:p>
                <w:pPr>
                  <w:jc w:val="center"/>
                  <w:rPr>
                    <w:rFonts w:asciiTheme="minorEastAsia" w:hAnsiTheme="minorEastAsia" w:eastAsiaTheme="minorEastAsia"/>
                  </w:rPr>
                </w:pPr>
                <w:r>
                  <w:rPr>
                    <w:rFonts w:asciiTheme="minorEastAsia" w:hAnsiTheme="minorEastAsia" w:eastAsiaTheme="minorEastAsia"/>
                  </w:rPr>
                  <w:t>诉讼仲裁类型</w:t>
                </w:r>
              </w:p>
            </w:tc>
          </w:sdtContent>
        </w:sdt>
        <w:sdt>
          <w:sdtPr>
            <w:rPr>
              <w:rFonts w:asciiTheme="minorEastAsia" w:hAnsiTheme="minorEastAsia" w:eastAsiaTheme="minorEastAsia"/>
            </w:rPr>
            <w:tag w:val="_PLD_86e4a2e13ad5461d8f77a09cb45ddc71"/>
            <w:id w:val="526224491"/>
          </w:sdtPr>
          <w:sdtEndPr>
            <w:rPr>
              <w:rFonts w:asciiTheme="minorEastAsia" w:hAnsiTheme="minorEastAsia" w:eastAsiaTheme="minorEastAsia"/>
            </w:rPr>
          </w:sdtEndPr>
          <w:sdtContent>
            <w:tc>
              <w:tcPr>
                <w:tcW w:w="2552" w:type="dxa"/>
                <w:vAlign w:val="center"/>
              </w:tcPr>
              <w:p>
                <w:pPr>
                  <w:jc w:val="center"/>
                  <w:rPr>
                    <w:rFonts w:asciiTheme="minorEastAsia" w:hAnsiTheme="minorEastAsia" w:eastAsiaTheme="minorEastAsia"/>
                  </w:rPr>
                </w:pPr>
                <w:r>
                  <w:rPr>
                    <w:rFonts w:asciiTheme="minorEastAsia" w:hAnsiTheme="minorEastAsia" w:eastAsiaTheme="minorEastAsia"/>
                  </w:rPr>
                  <w:t>诉讼(仲裁)基本情况</w:t>
                </w:r>
              </w:p>
            </w:tc>
          </w:sdtContent>
        </w:sdt>
        <w:sdt>
          <w:sdtPr>
            <w:rPr>
              <w:rFonts w:asciiTheme="minorEastAsia" w:hAnsiTheme="minorEastAsia" w:eastAsiaTheme="minorEastAsia"/>
            </w:rPr>
            <w:tag w:val="_PLD_b491f23ec9e248f9902c5c1b2081b024"/>
            <w:id w:val="1013580794"/>
          </w:sdtPr>
          <w:sdtEndPr>
            <w:rPr>
              <w:rFonts w:asciiTheme="minorEastAsia" w:hAnsiTheme="minorEastAsia" w:eastAsiaTheme="minorEastAsia"/>
            </w:rPr>
          </w:sdtEndPr>
          <w:sdtContent>
            <w:tc>
              <w:tcPr>
                <w:tcW w:w="1042" w:type="dxa"/>
                <w:vAlign w:val="center"/>
              </w:tcPr>
              <w:p>
                <w:pPr>
                  <w:jc w:val="center"/>
                  <w:rPr>
                    <w:rFonts w:asciiTheme="minorEastAsia" w:hAnsiTheme="minorEastAsia" w:eastAsiaTheme="minorEastAsia"/>
                  </w:rPr>
                </w:pPr>
                <w:r>
                  <w:rPr>
                    <w:rFonts w:asciiTheme="minorEastAsia" w:hAnsiTheme="minorEastAsia" w:eastAsiaTheme="minorEastAsia"/>
                  </w:rPr>
                  <w:t>诉讼(仲裁)涉及金额</w:t>
                </w:r>
              </w:p>
            </w:tc>
          </w:sdtContent>
        </w:sdt>
        <w:sdt>
          <w:sdtPr>
            <w:rPr>
              <w:rFonts w:asciiTheme="minorEastAsia" w:hAnsiTheme="minorEastAsia" w:eastAsiaTheme="minorEastAsia"/>
            </w:rPr>
            <w:tag w:val="_PLD_2b415cbc1f944f409e2c471dbfd8a1b2"/>
            <w:id w:val="-642109981"/>
          </w:sdtPr>
          <w:sdtEndPr>
            <w:rPr>
              <w:rFonts w:asciiTheme="minorEastAsia" w:hAnsiTheme="minorEastAsia" w:eastAsiaTheme="minorEastAsia"/>
            </w:rPr>
          </w:sdtEndPr>
          <w:sdtContent>
            <w:tc>
              <w:tcPr>
                <w:tcW w:w="550" w:type="dxa"/>
                <w:vAlign w:val="center"/>
              </w:tcPr>
              <w:p>
                <w:pPr>
                  <w:jc w:val="center"/>
                  <w:rPr>
                    <w:rFonts w:asciiTheme="minorEastAsia" w:hAnsiTheme="minorEastAsia" w:eastAsiaTheme="minorEastAsia"/>
                  </w:rPr>
                </w:pPr>
                <w:r>
                  <w:rPr>
                    <w:rFonts w:asciiTheme="minorEastAsia" w:hAnsiTheme="minorEastAsia" w:eastAsiaTheme="minorEastAsia"/>
                  </w:rPr>
                  <w:t>诉讼(仲裁)是否形成预计负债及金额</w:t>
                </w:r>
              </w:p>
            </w:tc>
          </w:sdtContent>
        </w:sdt>
        <w:sdt>
          <w:sdtPr>
            <w:rPr>
              <w:rFonts w:asciiTheme="minorEastAsia" w:hAnsiTheme="minorEastAsia" w:eastAsiaTheme="minorEastAsia"/>
            </w:rPr>
            <w:tag w:val="_PLD_f02309bf6efe44ff86d44f16620b132d"/>
            <w:id w:val="-1693148155"/>
          </w:sdtPr>
          <w:sdtEndPr>
            <w:rPr>
              <w:rFonts w:asciiTheme="minorEastAsia" w:hAnsiTheme="minorEastAsia" w:eastAsiaTheme="minorEastAsia"/>
            </w:rPr>
          </w:sdtEndPr>
          <w:sdtContent>
            <w:tc>
              <w:tcPr>
                <w:tcW w:w="550" w:type="dxa"/>
                <w:vAlign w:val="center"/>
              </w:tcPr>
              <w:p>
                <w:pPr>
                  <w:jc w:val="center"/>
                  <w:rPr>
                    <w:rFonts w:asciiTheme="minorEastAsia" w:hAnsiTheme="minorEastAsia" w:eastAsiaTheme="minorEastAsia"/>
                  </w:rPr>
                </w:pPr>
                <w:r>
                  <w:rPr>
                    <w:rFonts w:asciiTheme="minorEastAsia" w:hAnsiTheme="minorEastAsia" w:eastAsiaTheme="minorEastAsia"/>
                  </w:rPr>
                  <w:t>诉讼(仲裁)进展情况</w:t>
                </w:r>
              </w:p>
            </w:tc>
          </w:sdtContent>
        </w:sdt>
        <w:sdt>
          <w:sdtPr>
            <w:rPr>
              <w:rFonts w:asciiTheme="minorEastAsia" w:hAnsiTheme="minorEastAsia" w:eastAsiaTheme="minorEastAsia"/>
            </w:rPr>
            <w:tag w:val="_PLD_0716dc47d25e4a39b22e4eec6c623d38"/>
            <w:id w:val="-888254391"/>
          </w:sdtPr>
          <w:sdtEndPr>
            <w:rPr>
              <w:rFonts w:asciiTheme="minorEastAsia" w:hAnsiTheme="minorEastAsia" w:eastAsiaTheme="minorEastAsia"/>
            </w:rPr>
          </w:sdtEndPr>
          <w:sdtContent>
            <w:tc>
              <w:tcPr>
                <w:tcW w:w="749" w:type="dxa"/>
                <w:vAlign w:val="center"/>
              </w:tcPr>
              <w:p>
                <w:pPr>
                  <w:jc w:val="center"/>
                  <w:rPr>
                    <w:rFonts w:asciiTheme="minorEastAsia" w:hAnsiTheme="minorEastAsia" w:eastAsiaTheme="minorEastAsia"/>
                  </w:rPr>
                </w:pPr>
                <w:r>
                  <w:rPr>
                    <w:rFonts w:asciiTheme="minorEastAsia" w:hAnsiTheme="minorEastAsia" w:eastAsiaTheme="minorEastAsia"/>
                  </w:rPr>
                  <w:t>诉讼(仲裁)审理结果及影响</w:t>
                </w:r>
              </w:p>
            </w:tc>
          </w:sdtContent>
        </w:sdt>
        <w:sdt>
          <w:sdtPr>
            <w:rPr>
              <w:rFonts w:asciiTheme="minorEastAsia" w:hAnsiTheme="minorEastAsia" w:eastAsiaTheme="minorEastAsia"/>
            </w:rPr>
            <w:tag w:val="_PLD_8bc1db95a90849249b1a09fa51190e2b"/>
            <w:id w:val="1749923097"/>
          </w:sdtPr>
          <w:sdtEndPr>
            <w:rPr>
              <w:rFonts w:asciiTheme="minorEastAsia" w:hAnsiTheme="minorEastAsia" w:eastAsiaTheme="minorEastAsia"/>
            </w:rPr>
          </w:sdtEndPr>
          <w:sdtContent>
            <w:tc>
              <w:tcPr>
                <w:tcW w:w="550" w:type="dxa"/>
                <w:vAlign w:val="center"/>
              </w:tcPr>
              <w:p>
                <w:pPr>
                  <w:jc w:val="center"/>
                  <w:rPr>
                    <w:rFonts w:asciiTheme="minorEastAsia" w:hAnsiTheme="minorEastAsia" w:eastAsiaTheme="minorEastAsia"/>
                  </w:rPr>
                </w:pPr>
                <w:r>
                  <w:rPr>
                    <w:rFonts w:asciiTheme="minorEastAsia" w:hAnsiTheme="minorEastAsia" w:eastAsiaTheme="minorEastAsia"/>
                  </w:rPr>
                  <w:t>诉讼(仲裁)判决执行情况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Align w:val="center"/>
          </w:tcPr>
          <w:p>
            <w:pPr>
              <w:rPr>
                <w:rFonts w:asciiTheme="minorEastAsia" w:hAnsiTheme="minorEastAsia" w:eastAsiaTheme="minorEastAsia"/>
              </w:rPr>
            </w:pPr>
            <w:r>
              <w:rPr>
                <w:rFonts w:hint="eastAsia" w:asciiTheme="minorEastAsia" w:hAnsiTheme="minorEastAsia" w:eastAsiaTheme="minorEastAsia"/>
              </w:rPr>
              <w:t>内蒙古新长江矿业投资有限公司（“新长江”）</w:t>
            </w:r>
          </w:p>
        </w:tc>
        <w:tc>
          <w:tcPr>
            <w:tcW w:w="846" w:type="dxa"/>
            <w:vAlign w:val="center"/>
          </w:tcPr>
          <w:p>
            <w:pPr>
              <w:rPr>
                <w:rFonts w:asciiTheme="minorEastAsia" w:hAnsiTheme="minorEastAsia" w:eastAsiaTheme="minorEastAsia"/>
              </w:rPr>
            </w:pPr>
            <w:r>
              <w:rPr>
                <w:rFonts w:hint="eastAsia" w:asciiTheme="minorEastAsia" w:hAnsiTheme="minorEastAsia" w:eastAsiaTheme="minorEastAsia"/>
              </w:rPr>
              <w:t>兖矿能源</w:t>
            </w:r>
          </w:p>
        </w:tc>
        <w:tc>
          <w:tcPr>
            <w:tcW w:w="712" w:type="dxa"/>
            <w:vAlign w:val="center"/>
          </w:tcPr>
          <w:p>
            <w:pPr>
              <w:rPr>
                <w:rFonts w:asciiTheme="minorEastAsia" w:hAnsiTheme="minorEastAsia" w:eastAsiaTheme="minorEastAsia"/>
              </w:rPr>
            </w:pPr>
            <w:r>
              <w:rPr>
                <w:rFonts w:hint="eastAsia" w:asciiTheme="minorEastAsia" w:hAnsiTheme="minorEastAsia" w:eastAsiaTheme="minorEastAsia"/>
              </w:rPr>
              <w:t>无</w:t>
            </w:r>
          </w:p>
        </w:tc>
        <w:tc>
          <w:tcPr>
            <w:tcW w:w="425" w:type="dxa"/>
            <w:vAlign w:val="center"/>
          </w:tcPr>
          <w:p>
            <w:pPr>
              <w:rPr>
                <w:rFonts w:asciiTheme="minorEastAsia" w:hAnsiTheme="minorEastAsia" w:eastAsiaTheme="minorEastAsia"/>
              </w:rPr>
            </w:pPr>
            <w:r>
              <w:rPr>
                <w:rFonts w:hint="eastAsia" w:asciiTheme="minorEastAsia" w:hAnsiTheme="minorEastAsia" w:eastAsiaTheme="minorEastAsia"/>
              </w:rPr>
              <w:t>仲裁</w:t>
            </w:r>
          </w:p>
        </w:tc>
        <w:tc>
          <w:tcPr>
            <w:tcW w:w="2552" w:type="dxa"/>
            <w:vAlign w:val="center"/>
          </w:tcPr>
          <w:p>
            <w:pPr>
              <w:rPr>
                <w:rFonts w:asciiTheme="minorEastAsia" w:hAnsiTheme="minorEastAsia" w:eastAsiaTheme="minorEastAsia"/>
              </w:rPr>
            </w:pPr>
            <w:r>
              <w:rPr>
                <w:rFonts w:asciiTheme="minorEastAsia" w:hAnsiTheme="minorEastAsia" w:eastAsiaTheme="minorEastAsia"/>
              </w:rPr>
              <w:t>2018年4月，新长江以兖矿能源违反双方有关股权转让协议为由，向中国国际经济贸易仲裁委员会（“中国贸仲”）提出仲裁申请，要求兖矿能源支付股权转让价款7.49亿元，相应违约金6.56亿元及本案涉及的律师费、仲裁费、保全费等合计约14.35亿元。</w:t>
            </w:r>
          </w:p>
          <w:p>
            <w:pPr>
              <w:rPr>
                <w:rFonts w:asciiTheme="minorEastAsia" w:hAnsiTheme="minorEastAsia" w:eastAsiaTheme="minorEastAsia"/>
              </w:rPr>
            </w:pPr>
            <w:r>
              <w:rPr>
                <w:rFonts w:asciiTheme="minorEastAsia" w:hAnsiTheme="minorEastAsia" w:eastAsiaTheme="minorEastAsia"/>
              </w:rPr>
              <w:t>2023年5月29日，公司收到中国贸仲裁决书，裁决公司完全免责。</w:t>
            </w:r>
          </w:p>
        </w:tc>
        <w:tc>
          <w:tcPr>
            <w:tcW w:w="1042" w:type="dxa"/>
            <w:vAlign w:val="center"/>
          </w:tcPr>
          <w:p>
            <w:pPr>
              <w:rPr>
                <w:rFonts w:asciiTheme="minorEastAsia" w:hAnsiTheme="minorEastAsia" w:eastAsiaTheme="minorEastAsia"/>
              </w:rPr>
            </w:pPr>
            <w:r>
              <w:rPr>
                <w:rFonts w:hint="eastAsia" w:asciiTheme="minorEastAsia" w:hAnsiTheme="minorEastAsia" w:eastAsiaTheme="minorEastAsia"/>
              </w:rPr>
              <w:t>143,500</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否</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结案</w:t>
            </w:r>
          </w:p>
        </w:tc>
        <w:tc>
          <w:tcPr>
            <w:tcW w:w="749" w:type="dxa"/>
            <w:vAlign w:val="center"/>
          </w:tcPr>
          <w:p>
            <w:pPr>
              <w:rPr>
                <w:rFonts w:asciiTheme="minorEastAsia" w:hAnsiTheme="minorEastAsia" w:eastAsiaTheme="minorEastAsia"/>
              </w:rPr>
            </w:pPr>
            <w:r>
              <w:rPr>
                <w:rFonts w:hint="eastAsia" w:asciiTheme="minorEastAsia" w:hAnsiTheme="minorEastAsia" w:eastAsiaTheme="minorEastAsia"/>
              </w:rPr>
              <w:t>公司免责</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Align w:val="center"/>
          </w:tcPr>
          <w:p>
            <w:pPr>
              <w:rPr>
                <w:rFonts w:asciiTheme="minorEastAsia" w:hAnsiTheme="minorEastAsia" w:eastAsiaTheme="minorEastAsia"/>
              </w:rPr>
            </w:pPr>
            <w:r>
              <w:rPr>
                <w:rFonts w:hint="eastAsia" w:asciiTheme="minorEastAsia" w:hAnsiTheme="minorEastAsia" w:eastAsiaTheme="minorEastAsia"/>
              </w:rPr>
              <w:t>厦门信达股份有限公司（“厦门信达”）</w:t>
            </w:r>
          </w:p>
        </w:tc>
        <w:tc>
          <w:tcPr>
            <w:tcW w:w="846" w:type="dxa"/>
            <w:vAlign w:val="center"/>
          </w:tcPr>
          <w:p>
            <w:pPr>
              <w:rPr>
                <w:rFonts w:asciiTheme="minorEastAsia" w:hAnsiTheme="minorEastAsia" w:eastAsiaTheme="minorEastAsia"/>
              </w:rPr>
            </w:pPr>
            <w:r>
              <w:rPr>
                <w:rFonts w:hint="eastAsia" w:asciiTheme="minorEastAsia" w:hAnsiTheme="minorEastAsia" w:eastAsiaTheme="minorEastAsia"/>
              </w:rPr>
              <w:t>山东中垠物流有限公司（“中垠物流”）</w:t>
            </w:r>
          </w:p>
        </w:tc>
        <w:tc>
          <w:tcPr>
            <w:tcW w:w="712" w:type="dxa"/>
            <w:vAlign w:val="center"/>
          </w:tcPr>
          <w:p>
            <w:pPr>
              <w:rPr>
                <w:rFonts w:asciiTheme="minorEastAsia" w:hAnsiTheme="minorEastAsia" w:eastAsiaTheme="minorEastAsia"/>
              </w:rPr>
            </w:pPr>
            <w:r>
              <w:rPr>
                <w:rFonts w:hint="eastAsia" w:asciiTheme="minorEastAsia" w:hAnsiTheme="minorEastAsia" w:eastAsiaTheme="minorEastAsia"/>
              </w:rPr>
              <w:t>兖矿能源</w:t>
            </w:r>
          </w:p>
        </w:tc>
        <w:tc>
          <w:tcPr>
            <w:tcW w:w="425" w:type="dxa"/>
            <w:vAlign w:val="center"/>
          </w:tcPr>
          <w:p>
            <w:pPr>
              <w:rPr>
                <w:rFonts w:asciiTheme="minorEastAsia" w:hAnsiTheme="minorEastAsia" w:eastAsiaTheme="minorEastAsia"/>
              </w:rPr>
            </w:pPr>
            <w:r>
              <w:rPr>
                <w:rFonts w:hint="eastAsia" w:asciiTheme="minorEastAsia" w:hAnsiTheme="minorEastAsia" w:eastAsiaTheme="minorEastAsia"/>
              </w:rPr>
              <w:t>诉讼</w:t>
            </w:r>
          </w:p>
        </w:tc>
        <w:tc>
          <w:tcPr>
            <w:tcW w:w="2552" w:type="dxa"/>
            <w:vAlign w:val="center"/>
          </w:tcPr>
          <w:p>
            <w:pPr>
              <w:rPr>
                <w:rFonts w:asciiTheme="minorEastAsia" w:hAnsiTheme="minorEastAsia" w:eastAsiaTheme="minorEastAsia"/>
              </w:rPr>
            </w:pPr>
            <w:r>
              <w:rPr>
                <w:rFonts w:asciiTheme="minorEastAsia" w:hAnsiTheme="minorEastAsia" w:eastAsiaTheme="minorEastAsia"/>
              </w:rPr>
              <w:t>2020年3月，厦门信达以买卖合同纠纷为由，将中垠物流、兖矿能源诉至厦门市中级人民法院（“厦门中院”），要求中垠物流返还货款本金及相应利息23,266.09万元，要求公司承担连带责任。</w:t>
            </w:r>
          </w:p>
          <w:p>
            <w:pPr>
              <w:rPr>
                <w:rFonts w:asciiTheme="minorEastAsia" w:hAnsiTheme="minorEastAsia" w:eastAsiaTheme="minorEastAsia"/>
              </w:rPr>
            </w:pPr>
            <w:r>
              <w:rPr>
                <w:rFonts w:asciiTheme="minorEastAsia" w:hAnsiTheme="minorEastAsia" w:eastAsiaTheme="minorEastAsia"/>
              </w:rPr>
              <w:t>2022年6月，厦门中院一审驳回厦门信达起诉，兖矿能源胜诉。厦门信达上诉至福建省高级人民法院（“福建高院”）。</w:t>
            </w:r>
          </w:p>
          <w:p>
            <w:pPr>
              <w:rPr>
                <w:rFonts w:asciiTheme="minorEastAsia" w:hAnsiTheme="minorEastAsia" w:eastAsiaTheme="minorEastAsia"/>
              </w:rPr>
            </w:pPr>
            <w:r>
              <w:rPr>
                <w:rFonts w:asciiTheme="minorEastAsia" w:hAnsiTheme="minorEastAsia" w:eastAsiaTheme="minorEastAsia"/>
              </w:rPr>
              <w:t>2022年10月15日，公司收到福建高院裁定，将本案发回厦门中院重审。</w:t>
            </w:r>
          </w:p>
          <w:p>
            <w:pPr>
              <w:rPr>
                <w:rFonts w:asciiTheme="minorEastAsia" w:hAnsiTheme="minorEastAsia" w:eastAsiaTheme="minorEastAsia"/>
              </w:rPr>
            </w:pPr>
            <w:r>
              <w:rPr>
                <w:rFonts w:asciiTheme="minorEastAsia" w:hAnsiTheme="minorEastAsia" w:eastAsiaTheme="minorEastAsia"/>
              </w:rPr>
              <w:t>2023年11月9日，厦门中院做出调解书，中垠物流向厦门信达支付2,200 万元，中垠物流支付上述款项后，享有对第三方2,200 万元的追偿权。调解书履行完毕后，中垠物流、兖矿能源与厦门信达互不追究其他责任。</w:t>
            </w:r>
          </w:p>
        </w:tc>
        <w:tc>
          <w:tcPr>
            <w:tcW w:w="1042" w:type="dxa"/>
            <w:vAlign w:val="center"/>
          </w:tcPr>
          <w:p>
            <w:pPr>
              <w:rPr>
                <w:rFonts w:asciiTheme="minorEastAsia" w:hAnsiTheme="minorEastAsia" w:eastAsiaTheme="minorEastAsia"/>
              </w:rPr>
            </w:pPr>
            <w:r>
              <w:rPr>
                <w:rFonts w:hint="eastAsia" w:asciiTheme="minorEastAsia" w:hAnsiTheme="minorEastAsia" w:eastAsiaTheme="minorEastAsia"/>
              </w:rPr>
              <w:t>23,266.09</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否</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结案</w:t>
            </w:r>
          </w:p>
        </w:tc>
        <w:tc>
          <w:tcPr>
            <w:tcW w:w="749" w:type="dxa"/>
            <w:vAlign w:val="center"/>
          </w:tcPr>
          <w:p>
            <w:pPr>
              <w:rPr>
                <w:rFonts w:asciiTheme="minorEastAsia" w:hAnsiTheme="minorEastAsia" w:eastAsiaTheme="minorEastAsia"/>
              </w:rPr>
            </w:pPr>
            <w:r>
              <w:rPr>
                <w:rFonts w:hint="eastAsia" w:asciiTheme="minorEastAsia" w:hAnsiTheme="minorEastAsia" w:eastAsiaTheme="minorEastAsia"/>
              </w:rPr>
              <w:t>本案目前已调解结案，中垠物流向厦门信达支付</w:t>
            </w:r>
            <w:r>
              <w:rPr>
                <w:rFonts w:asciiTheme="minorEastAsia" w:hAnsiTheme="minorEastAsia" w:eastAsiaTheme="minorEastAsia"/>
              </w:rPr>
              <w:t>2,200万元</w:t>
            </w:r>
            <w:r>
              <w:rPr>
                <w:rFonts w:hint="eastAsia" w:asciiTheme="minorEastAsia" w:hAnsiTheme="minorEastAsia" w:eastAsiaTheme="minorEastAsia"/>
              </w:rPr>
              <w:t>。</w:t>
            </w:r>
            <w:r>
              <w:rPr>
                <w:rFonts w:asciiTheme="minorEastAsia" w:hAnsiTheme="minorEastAsia" w:eastAsiaTheme="minorEastAsia"/>
              </w:rPr>
              <w:t xml:space="preserve"> </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Align w:val="center"/>
          </w:tcPr>
          <w:p>
            <w:pPr>
              <w:rPr>
                <w:rFonts w:asciiTheme="minorEastAsia" w:hAnsiTheme="minorEastAsia" w:eastAsiaTheme="minorEastAsia"/>
              </w:rPr>
            </w:pPr>
            <w:r>
              <w:rPr>
                <w:rFonts w:hint="eastAsia" w:asciiTheme="minorEastAsia" w:hAnsiTheme="minorEastAsia" w:eastAsiaTheme="minorEastAsia"/>
              </w:rPr>
              <w:t>鄂尔多斯市金诚泰化工有限责任公司（“金诚泰”）</w:t>
            </w:r>
          </w:p>
        </w:tc>
        <w:tc>
          <w:tcPr>
            <w:tcW w:w="846" w:type="dxa"/>
            <w:vAlign w:val="center"/>
          </w:tcPr>
          <w:p>
            <w:pPr>
              <w:rPr>
                <w:rFonts w:asciiTheme="minorEastAsia" w:hAnsiTheme="minorEastAsia" w:eastAsiaTheme="minorEastAsia"/>
              </w:rPr>
            </w:pPr>
            <w:r>
              <w:rPr>
                <w:rFonts w:hint="eastAsia" w:asciiTheme="minorEastAsia" w:hAnsiTheme="minorEastAsia" w:eastAsiaTheme="minorEastAsia"/>
              </w:rPr>
              <w:t>兖矿能源</w:t>
            </w:r>
          </w:p>
        </w:tc>
        <w:tc>
          <w:tcPr>
            <w:tcW w:w="712" w:type="dxa"/>
            <w:vAlign w:val="center"/>
          </w:tcPr>
          <w:p>
            <w:pPr>
              <w:rPr>
                <w:rFonts w:asciiTheme="minorEastAsia" w:hAnsiTheme="minorEastAsia" w:eastAsiaTheme="minorEastAsia"/>
              </w:rPr>
            </w:pPr>
            <w:r>
              <w:rPr>
                <w:rFonts w:hint="eastAsia" w:asciiTheme="minorEastAsia" w:hAnsiTheme="minorEastAsia" w:eastAsiaTheme="minorEastAsia"/>
              </w:rPr>
              <w:t>无</w:t>
            </w:r>
          </w:p>
        </w:tc>
        <w:tc>
          <w:tcPr>
            <w:tcW w:w="425" w:type="dxa"/>
            <w:vAlign w:val="center"/>
          </w:tcPr>
          <w:p>
            <w:pPr>
              <w:rPr>
                <w:rFonts w:asciiTheme="minorEastAsia" w:hAnsiTheme="minorEastAsia" w:eastAsiaTheme="minorEastAsia"/>
              </w:rPr>
            </w:pPr>
            <w:r>
              <w:rPr>
                <w:rFonts w:hint="eastAsia" w:asciiTheme="minorEastAsia" w:hAnsiTheme="minorEastAsia" w:eastAsiaTheme="minorEastAsia"/>
              </w:rPr>
              <w:t>仲裁</w:t>
            </w:r>
          </w:p>
        </w:tc>
        <w:tc>
          <w:tcPr>
            <w:tcW w:w="2552" w:type="dxa"/>
            <w:vAlign w:val="center"/>
          </w:tcPr>
          <w:p>
            <w:pPr>
              <w:rPr>
                <w:rFonts w:asciiTheme="minorEastAsia" w:hAnsiTheme="minorEastAsia" w:eastAsiaTheme="minorEastAsia"/>
              </w:rPr>
            </w:pPr>
            <w:r>
              <w:rPr>
                <w:rFonts w:hint="eastAsia" w:asciiTheme="minorEastAsia" w:hAnsiTheme="minorEastAsia" w:eastAsiaTheme="minorEastAsia"/>
              </w:rPr>
              <w:t>2022年7月5日，金诚泰以股权转让合同纠纷为由，向中国贸仲提出仲裁申请，要求兖矿能源给付金诚泰股权转让费及滞纳金101,590.15万元。</w:t>
            </w:r>
          </w:p>
          <w:p>
            <w:pPr>
              <w:rPr>
                <w:rFonts w:asciiTheme="minorEastAsia" w:hAnsiTheme="minorEastAsia" w:eastAsiaTheme="minorEastAsia"/>
              </w:rPr>
            </w:pPr>
            <w:r>
              <w:rPr>
                <w:rFonts w:hint="eastAsia" w:asciiTheme="minorEastAsia" w:hAnsiTheme="minorEastAsia" w:eastAsiaTheme="minorEastAsia"/>
              </w:rPr>
              <w:t>公司以金诚泰应承担矿业权出让收益价款为由，要求金诚泰退还煤矿股权转让费61,515.28万元。2024年3月14日，公司收到中国贸仲裁决书，裁决金诚泰向公司退还煤矿股权转让费11,521.12万元。</w:t>
            </w:r>
          </w:p>
        </w:tc>
        <w:tc>
          <w:tcPr>
            <w:tcW w:w="1042" w:type="dxa"/>
            <w:vAlign w:val="center"/>
          </w:tcPr>
          <w:p>
            <w:pPr>
              <w:rPr>
                <w:rFonts w:asciiTheme="minorEastAsia" w:hAnsiTheme="minorEastAsia" w:eastAsiaTheme="minorEastAsia"/>
              </w:rPr>
            </w:pPr>
            <w:r>
              <w:rPr>
                <w:rFonts w:hint="eastAsia" w:asciiTheme="minorEastAsia" w:hAnsiTheme="minorEastAsia" w:eastAsiaTheme="minorEastAsia"/>
              </w:rPr>
              <w:t>101,590.15</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否</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结案</w:t>
            </w:r>
          </w:p>
        </w:tc>
        <w:tc>
          <w:tcPr>
            <w:tcW w:w="749" w:type="dxa"/>
            <w:vAlign w:val="center"/>
          </w:tcPr>
          <w:p>
            <w:pPr>
              <w:rPr>
                <w:rFonts w:asciiTheme="minorEastAsia" w:hAnsiTheme="minorEastAsia" w:eastAsiaTheme="minorEastAsia"/>
              </w:rPr>
            </w:pPr>
            <w:r>
              <w:rPr>
                <w:rFonts w:hint="eastAsia" w:asciiTheme="minorEastAsia" w:hAnsiTheme="minorEastAsia" w:eastAsiaTheme="minorEastAsia"/>
              </w:rPr>
              <w:t>本案目前已结案，金诚泰应向公司支付11,521.12万元。</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Align w:val="center"/>
          </w:tcPr>
          <w:p>
            <w:pPr>
              <w:rPr>
                <w:rFonts w:asciiTheme="minorEastAsia" w:hAnsiTheme="minorEastAsia" w:eastAsiaTheme="minorEastAsia"/>
              </w:rPr>
            </w:pPr>
            <w:r>
              <w:rPr>
                <w:rFonts w:hint="eastAsia" w:asciiTheme="minorEastAsia" w:hAnsiTheme="minorEastAsia" w:eastAsiaTheme="minorEastAsia"/>
              </w:rPr>
              <w:t>青岛中兖贸易有限公司（“青岛中兖”）</w:t>
            </w:r>
          </w:p>
        </w:tc>
        <w:tc>
          <w:tcPr>
            <w:tcW w:w="846" w:type="dxa"/>
            <w:vAlign w:val="center"/>
          </w:tcPr>
          <w:p>
            <w:pPr>
              <w:rPr>
                <w:rFonts w:asciiTheme="minorEastAsia" w:hAnsiTheme="minorEastAsia" w:eastAsiaTheme="minorEastAsia"/>
              </w:rPr>
            </w:pPr>
            <w:r>
              <w:rPr>
                <w:rFonts w:hint="eastAsia" w:asciiTheme="minorEastAsia" w:hAnsiTheme="minorEastAsia" w:eastAsiaTheme="minorEastAsia"/>
              </w:rPr>
              <w:t>大连集装箱码头物流有限公司（“大连码头”）</w:t>
            </w:r>
          </w:p>
        </w:tc>
        <w:tc>
          <w:tcPr>
            <w:tcW w:w="712" w:type="dxa"/>
            <w:vAlign w:val="center"/>
          </w:tcPr>
          <w:p>
            <w:pPr>
              <w:rPr>
                <w:rFonts w:asciiTheme="minorEastAsia" w:hAnsiTheme="minorEastAsia" w:eastAsiaTheme="minorEastAsia"/>
              </w:rPr>
            </w:pPr>
            <w:r>
              <w:rPr>
                <w:rFonts w:hint="eastAsia" w:asciiTheme="minorEastAsia" w:hAnsiTheme="minorEastAsia" w:eastAsiaTheme="minorEastAsia"/>
              </w:rPr>
              <w:t>无</w:t>
            </w:r>
          </w:p>
        </w:tc>
        <w:tc>
          <w:tcPr>
            <w:tcW w:w="425" w:type="dxa"/>
            <w:vAlign w:val="center"/>
          </w:tcPr>
          <w:p>
            <w:pPr>
              <w:rPr>
                <w:rFonts w:asciiTheme="minorEastAsia" w:hAnsiTheme="minorEastAsia" w:eastAsiaTheme="minorEastAsia"/>
              </w:rPr>
            </w:pPr>
            <w:r>
              <w:rPr>
                <w:rFonts w:hint="eastAsia" w:asciiTheme="minorEastAsia" w:hAnsiTheme="minorEastAsia" w:eastAsiaTheme="minorEastAsia"/>
              </w:rPr>
              <w:t>诉讼</w:t>
            </w:r>
          </w:p>
        </w:tc>
        <w:tc>
          <w:tcPr>
            <w:tcW w:w="2552" w:type="dxa"/>
            <w:vAlign w:val="center"/>
          </w:tcPr>
          <w:p>
            <w:pPr>
              <w:rPr>
                <w:rFonts w:asciiTheme="minorEastAsia" w:hAnsiTheme="minorEastAsia" w:eastAsiaTheme="minorEastAsia"/>
              </w:rPr>
            </w:pPr>
            <w:r>
              <w:rPr>
                <w:rFonts w:asciiTheme="minorEastAsia" w:hAnsiTheme="minorEastAsia" w:eastAsiaTheme="minorEastAsia"/>
              </w:rPr>
              <w:t>2021年4月，兖矿能源全资子公司青岛中兖以仓储合同纠纷为由，将大连码头诉至大连海事法院，要求其赔偿货物损失16,924.64万元。</w:t>
            </w:r>
          </w:p>
          <w:p>
            <w:pPr>
              <w:rPr>
                <w:rFonts w:asciiTheme="minorEastAsia" w:hAnsiTheme="minorEastAsia" w:eastAsiaTheme="minorEastAsia"/>
              </w:rPr>
            </w:pPr>
            <w:r>
              <w:rPr>
                <w:rFonts w:asciiTheme="minorEastAsia" w:hAnsiTheme="minorEastAsia" w:eastAsiaTheme="minorEastAsia"/>
              </w:rPr>
              <w:t>2023年6月，青岛中兖收到一审胜诉判决。大连码头向辽宁省</w:t>
            </w:r>
            <w:r>
              <w:rPr>
                <w:rFonts w:hint="eastAsia" w:asciiTheme="minorEastAsia" w:hAnsiTheme="minorEastAsia" w:eastAsiaTheme="minorEastAsia"/>
              </w:rPr>
              <w:t>高级人民法院</w:t>
            </w:r>
            <w:r>
              <w:rPr>
                <w:rFonts w:asciiTheme="minorEastAsia" w:hAnsiTheme="minorEastAsia" w:eastAsiaTheme="minorEastAsia"/>
              </w:rPr>
              <w:t>提交上诉申请，</w:t>
            </w:r>
            <w:r>
              <w:rPr>
                <w:rFonts w:hint="eastAsia" w:asciiTheme="minorEastAsia" w:hAnsiTheme="minorEastAsia" w:eastAsiaTheme="minorEastAsia"/>
              </w:rPr>
              <w:t>目前正在履行二审程序</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截至本报告披露日，辽宁省高级人民法院尚未作出裁决。</w:t>
            </w:r>
          </w:p>
        </w:tc>
        <w:tc>
          <w:tcPr>
            <w:tcW w:w="1042" w:type="dxa"/>
            <w:vAlign w:val="center"/>
          </w:tcPr>
          <w:p>
            <w:pPr>
              <w:rPr>
                <w:rFonts w:asciiTheme="minorEastAsia" w:hAnsiTheme="minorEastAsia" w:eastAsiaTheme="minorEastAsia"/>
              </w:rPr>
            </w:pPr>
            <w:r>
              <w:rPr>
                <w:rFonts w:hint="eastAsia" w:asciiTheme="minorEastAsia" w:hAnsiTheme="minorEastAsia" w:eastAsiaTheme="minorEastAsia"/>
              </w:rPr>
              <w:t>16,924.64</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否</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二审程序</w:t>
            </w:r>
          </w:p>
        </w:tc>
        <w:tc>
          <w:tcPr>
            <w:tcW w:w="749" w:type="dxa"/>
            <w:vAlign w:val="center"/>
          </w:tcPr>
          <w:p>
            <w:pPr>
              <w:rPr>
                <w:rFonts w:asciiTheme="minorEastAsia" w:hAnsiTheme="minorEastAsia" w:eastAsiaTheme="minorEastAsia"/>
              </w:rPr>
            </w:pPr>
            <w:r>
              <w:rPr>
                <w:rFonts w:hint="eastAsia" w:asciiTheme="minorEastAsia" w:hAnsiTheme="minorEastAsia" w:eastAsiaTheme="minorEastAsia"/>
              </w:rPr>
              <w:t>截至本报告期末，公司对本案涉及款项全额计提了减值准备，本次诉讼事项不会对公司期后利润产生不利影响。</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Align w:val="center"/>
          </w:tcPr>
          <w:p>
            <w:pPr>
              <w:rPr>
                <w:rFonts w:asciiTheme="minorEastAsia" w:hAnsiTheme="minorEastAsia" w:eastAsiaTheme="minorEastAsia"/>
              </w:rPr>
            </w:pPr>
            <w:r>
              <w:rPr>
                <w:rFonts w:hint="eastAsia" w:asciiTheme="minorEastAsia" w:hAnsiTheme="minorEastAsia" w:eastAsiaTheme="minorEastAsia"/>
              </w:rPr>
              <w:t>端信供应链（深圳）有限公司（“端信供应链”）</w:t>
            </w:r>
          </w:p>
        </w:tc>
        <w:tc>
          <w:tcPr>
            <w:tcW w:w="846" w:type="dxa"/>
            <w:vAlign w:val="center"/>
          </w:tcPr>
          <w:p>
            <w:pPr>
              <w:rPr>
                <w:rFonts w:asciiTheme="minorEastAsia" w:hAnsiTheme="minorEastAsia" w:eastAsiaTheme="minorEastAsia"/>
              </w:rPr>
            </w:pPr>
            <w:r>
              <w:rPr>
                <w:rFonts w:hint="eastAsia" w:asciiTheme="minorEastAsia" w:hAnsiTheme="minorEastAsia" w:eastAsiaTheme="minorEastAsia"/>
              </w:rPr>
              <w:t>沙钢（北京）国际投资有限公司（“沙钢北京”）</w:t>
            </w:r>
          </w:p>
        </w:tc>
        <w:tc>
          <w:tcPr>
            <w:tcW w:w="712" w:type="dxa"/>
            <w:vAlign w:val="center"/>
          </w:tcPr>
          <w:p>
            <w:pPr>
              <w:rPr>
                <w:rFonts w:asciiTheme="minorEastAsia" w:hAnsiTheme="minorEastAsia" w:eastAsiaTheme="minorEastAsia"/>
              </w:rPr>
            </w:pPr>
            <w:r>
              <w:rPr>
                <w:rFonts w:hint="eastAsia" w:asciiTheme="minorEastAsia" w:hAnsiTheme="minorEastAsia" w:eastAsiaTheme="minorEastAsia"/>
              </w:rPr>
              <w:t>天津万通恒信集团有限公司（“天津万通”）、李磊、江苏沙钢集团有限公司（“沙钢集团”）</w:t>
            </w:r>
          </w:p>
        </w:tc>
        <w:tc>
          <w:tcPr>
            <w:tcW w:w="425" w:type="dxa"/>
            <w:vAlign w:val="center"/>
          </w:tcPr>
          <w:p>
            <w:pPr>
              <w:rPr>
                <w:rFonts w:asciiTheme="minorEastAsia" w:hAnsiTheme="minorEastAsia" w:eastAsiaTheme="minorEastAsia"/>
              </w:rPr>
            </w:pPr>
            <w:r>
              <w:rPr>
                <w:rFonts w:hint="eastAsia" w:asciiTheme="minorEastAsia" w:hAnsiTheme="minorEastAsia" w:eastAsiaTheme="minorEastAsia"/>
              </w:rPr>
              <w:t>诉讼</w:t>
            </w:r>
          </w:p>
        </w:tc>
        <w:tc>
          <w:tcPr>
            <w:tcW w:w="2552" w:type="dxa"/>
            <w:vAlign w:val="center"/>
          </w:tcPr>
          <w:p>
            <w:pPr>
              <w:rPr>
                <w:rFonts w:asciiTheme="minorEastAsia" w:hAnsiTheme="minorEastAsia" w:eastAsiaTheme="minorEastAsia"/>
              </w:rPr>
            </w:pPr>
            <w:r>
              <w:rPr>
                <w:rFonts w:asciiTheme="minorEastAsia" w:hAnsiTheme="minorEastAsia" w:eastAsiaTheme="minorEastAsia"/>
              </w:rPr>
              <w:t>2021年4月，兖矿能源全资子公司端信供应链以煤炭买卖合同纠纷为由，将沙钢北京诉至深圳市中级人民法院（“深圳中院”），要求其返还货款本金12,160.57万元及相应逾期付款违约金，</w:t>
            </w:r>
            <w:r>
              <w:rPr>
                <w:rFonts w:hint="eastAsia" w:asciiTheme="minorEastAsia" w:hAnsiTheme="minorEastAsia" w:eastAsiaTheme="minorEastAsia"/>
              </w:rPr>
              <w:t>李磊、</w:t>
            </w:r>
            <w:r>
              <w:rPr>
                <w:rFonts w:asciiTheme="minorEastAsia" w:hAnsiTheme="minorEastAsia" w:eastAsiaTheme="minorEastAsia"/>
              </w:rPr>
              <w:t>沙钢集团对上述款项承担连带责任。</w:t>
            </w:r>
          </w:p>
          <w:p>
            <w:pPr>
              <w:rPr>
                <w:rFonts w:asciiTheme="minorEastAsia" w:hAnsiTheme="minorEastAsia" w:eastAsiaTheme="minorEastAsia"/>
              </w:rPr>
            </w:pPr>
            <w:r>
              <w:rPr>
                <w:rFonts w:asciiTheme="minorEastAsia" w:hAnsiTheme="minorEastAsia" w:eastAsiaTheme="minorEastAsia"/>
              </w:rPr>
              <w:t>2023年3月，公司收到深圳中院的一审判决，公司胜诉。沙钢北京向广东省</w:t>
            </w:r>
            <w:r>
              <w:rPr>
                <w:rFonts w:hint="eastAsia" w:asciiTheme="minorEastAsia" w:hAnsiTheme="minorEastAsia" w:eastAsiaTheme="minorEastAsia"/>
              </w:rPr>
              <w:t>高级人民法院</w:t>
            </w:r>
            <w:r>
              <w:rPr>
                <w:rFonts w:asciiTheme="minorEastAsia" w:hAnsiTheme="minorEastAsia" w:eastAsiaTheme="minorEastAsia"/>
              </w:rPr>
              <w:t>提起上诉，</w:t>
            </w:r>
            <w:r>
              <w:rPr>
                <w:rFonts w:hint="eastAsia" w:asciiTheme="minorEastAsia" w:hAnsiTheme="minorEastAsia" w:eastAsiaTheme="minorEastAsia"/>
              </w:rPr>
              <w:t>目前正在履行二审程序。</w:t>
            </w:r>
          </w:p>
          <w:p>
            <w:pPr>
              <w:rPr>
                <w:rFonts w:asciiTheme="minorEastAsia" w:hAnsiTheme="minorEastAsia" w:eastAsiaTheme="minorEastAsia"/>
              </w:rPr>
            </w:pPr>
            <w:r>
              <w:rPr>
                <w:rFonts w:hint="eastAsia" w:asciiTheme="minorEastAsia" w:hAnsiTheme="minorEastAsia" w:eastAsiaTheme="minorEastAsia"/>
              </w:rPr>
              <w:t>截至本报告披露日，广东省高级人民法院尚未作出裁决。</w:t>
            </w:r>
          </w:p>
        </w:tc>
        <w:tc>
          <w:tcPr>
            <w:tcW w:w="1042" w:type="dxa"/>
            <w:vAlign w:val="center"/>
          </w:tcPr>
          <w:p>
            <w:pPr>
              <w:rPr>
                <w:rFonts w:asciiTheme="minorEastAsia" w:hAnsiTheme="minorEastAsia" w:eastAsiaTheme="minorEastAsia"/>
              </w:rPr>
            </w:pPr>
            <w:r>
              <w:rPr>
                <w:rFonts w:hint="eastAsia" w:asciiTheme="minorEastAsia" w:hAnsiTheme="minorEastAsia" w:eastAsiaTheme="minorEastAsia"/>
              </w:rPr>
              <w:t>12,160.57</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否</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二审程序</w:t>
            </w:r>
          </w:p>
        </w:tc>
        <w:tc>
          <w:tcPr>
            <w:tcW w:w="749" w:type="dxa"/>
            <w:vAlign w:val="center"/>
          </w:tcPr>
          <w:p>
            <w:pPr>
              <w:rPr>
                <w:rFonts w:asciiTheme="minorEastAsia" w:hAnsiTheme="minorEastAsia" w:eastAsiaTheme="minorEastAsia"/>
              </w:rPr>
            </w:pPr>
            <w:r>
              <w:rPr>
                <w:rFonts w:hint="eastAsia" w:asciiTheme="minorEastAsia" w:hAnsiTheme="minorEastAsia" w:eastAsiaTheme="minorEastAsia"/>
              </w:rPr>
              <w:t>截至本报告期末，公司对本案涉及款项全额计提了减值准备，本次诉讼事项不会对公司期后利润产生不利影响。</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Align w:val="center"/>
          </w:tcPr>
          <w:p>
            <w:pPr>
              <w:rPr>
                <w:rFonts w:asciiTheme="minorEastAsia" w:hAnsiTheme="minorEastAsia" w:eastAsiaTheme="minorEastAsia"/>
              </w:rPr>
            </w:pPr>
            <w:r>
              <w:rPr>
                <w:rFonts w:hint="eastAsia" w:asciiTheme="minorEastAsia" w:hAnsiTheme="minorEastAsia" w:eastAsiaTheme="minorEastAsia"/>
              </w:rPr>
              <w:t>端信供应链</w:t>
            </w:r>
          </w:p>
        </w:tc>
        <w:tc>
          <w:tcPr>
            <w:tcW w:w="846" w:type="dxa"/>
            <w:vAlign w:val="center"/>
          </w:tcPr>
          <w:p>
            <w:pPr>
              <w:rPr>
                <w:rFonts w:asciiTheme="minorEastAsia" w:hAnsiTheme="minorEastAsia" w:eastAsiaTheme="minorEastAsia"/>
              </w:rPr>
            </w:pPr>
            <w:r>
              <w:rPr>
                <w:rFonts w:hint="eastAsia" w:asciiTheme="minorEastAsia" w:hAnsiTheme="minorEastAsia" w:eastAsiaTheme="minorEastAsia"/>
              </w:rPr>
              <w:t>深圳市麦凯莱科技有限公司（“麦凯莱公司”）</w:t>
            </w:r>
          </w:p>
        </w:tc>
        <w:tc>
          <w:tcPr>
            <w:tcW w:w="712" w:type="dxa"/>
            <w:vAlign w:val="center"/>
          </w:tcPr>
          <w:p>
            <w:pPr>
              <w:rPr>
                <w:rFonts w:asciiTheme="minorEastAsia" w:hAnsiTheme="minorEastAsia" w:eastAsiaTheme="minorEastAsia"/>
              </w:rPr>
            </w:pPr>
            <w:r>
              <w:rPr>
                <w:rFonts w:hint="eastAsia" w:asciiTheme="minorEastAsia" w:hAnsiTheme="minorEastAsia" w:eastAsiaTheme="minorEastAsia"/>
              </w:rPr>
              <w:t>李冠玮、戴丽香等</w:t>
            </w:r>
          </w:p>
        </w:tc>
        <w:tc>
          <w:tcPr>
            <w:tcW w:w="425" w:type="dxa"/>
            <w:vAlign w:val="center"/>
          </w:tcPr>
          <w:p>
            <w:pPr>
              <w:rPr>
                <w:rFonts w:asciiTheme="minorEastAsia" w:hAnsiTheme="minorEastAsia" w:eastAsiaTheme="minorEastAsia"/>
              </w:rPr>
            </w:pPr>
            <w:r>
              <w:rPr>
                <w:rFonts w:hint="eastAsia" w:asciiTheme="minorEastAsia" w:hAnsiTheme="minorEastAsia" w:eastAsiaTheme="minorEastAsia"/>
              </w:rPr>
              <w:t>诉讼</w:t>
            </w:r>
          </w:p>
        </w:tc>
        <w:tc>
          <w:tcPr>
            <w:tcW w:w="2552" w:type="dxa"/>
            <w:vAlign w:val="center"/>
          </w:tcPr>
          <w:p>
            <w:pPr>
              <w:rPr>
                <w:rFonts w:asciiTheme="minorEastAsia" w:hAnsiTheme="minorEastAsia" w:eastAsiaTheme="minorEastAsia"/>
              </w:rPr>
            </w:pPr>
            <w:r>
              <w:rPr>
                <w:rFonts w:asciiTheme="minorEastAsia" w:hAnsiTheme="minorEastAsia" w:eastAsiaTheme="minorEastAsia"/>
              </w:rPr>
              <w:t>2023年2月，端信供应链以债权债务纠纷为由，将麦凯莱公司及相关担保人起诉至深圳中院，要求其清偿到期债务、利息及违约金共计39,618.85万元。</w:t>
            </w:r>
          </w:p>
          <w:p>
            <w:pPr>
              <w:rPr>
                <w:rFonts w:asciiTheme="minorEastAsia" w:hAnsiTheme="minorEastAsia" w:eastAsiaTheme="minorEastAsia"/>
              </w:rPr>
            </w:pPr>
            <w:r>
              <w:rPr>
                <w:rFonts w:hint="eastAsia" w:asciiTheme="minorEastAsia" w:hAnsiTheme="minorEastAsia" w:eastAsiaTheme="minorEastAsia"/>
              </w:rPr>
              <w:t>截至本报告披露日，深圳中院尚未作出裁决。</w:t>
            </w:r>
          </w:p>
        </w:tc>
        <w:tc>
          <w:tcPr>
            <w:tcW w:w="1042" w:type="dxa"/>
            <w:vAlign w:val="center"/>
          </w:tcPr>
          <w:p>
            <w:pPr>
              <w:rPr>
                <w:rFonts w:asciiTheme="minorEastAsia" w:hAnsiTheme="minorEastAsia" w:eastAsiaTheme="minorEastAsia"/>
              </w:rPr>
            </w:pPr>
            <w:r>
              <w:rPr>
                <w:rFonts w:hint="eastAsia" w:asciiTheme="minorEastAsia" w:hAnsiTheme="minorEastAsia" w:eastAsiaTheme="minorEastAsia"/>
              </w:rPr>
              <w:t>39,618.85</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否</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一审程序</w:t>
            </w:r>
          </w:p>
        </w:tc>
        <w:tc>
          <w:tcPr>
            <w:tcW w:w="749" w:type="dxa"/>
            <w:vAlign w:val="center"/>
          </w:tcPr>
          <w:p>
            <w:pPr>
              <w:rPr>
                <w:rFonts w:asciiTheme="minorEastAsia" w:hAnsiTheme="minorEastAsia" w:eastAsiaTheme="minorEastAsia"/>
              </w:rPr>
            </w:pPr>
            <w:r>
              <w:rPr>
                <w:rFonts w:hint="eastAsia" w:asciiTheme="minorEastAsia" w:hAnsiTheme="minorEastAsia" w:eastAsiaTheme="minorEastAsia"/>
              </w:rPr>
              <w:t>截至本报告期末，公司对本案涉及款项全额计提了减值准备，本次诉讼事项不会对公司期后利润产生不利影响。</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Align w:val="center"/>
          </w:tcPr>
          <w:p>
            <w:pPr>
              <w:rPr>
                <w:rFonts w:asciiTheme="minorEastAsia" w:hAnsiTheme="minorEastAsia" w:eastAsiaTheme="minorEastAsia"/>
              </w:rPr>
            </w:pPr>
            <w:r>
              <w:rPr>
                <w:rFonts w:hint="eastAsia" w:asciiTheme="minorEastAsia" w:hAnsiTheme="minorEastAsia" w:eastAsiaTheme="minorEastAsia"/>
              </w:rPr>
              <w:t>端信供应链</w:t>
            </w:r>
          </w:p>
        </w:tc>
        <w:tc>
          <w:tcPr>
            <w:tcW w:w="846" w:type="dxa"/>
            <w:vAlign w:val="center"/>
          </w:tcPr>
          <w:p>
            <w:pPr>
              <w:rPr>
                <w:rFonts w:asciiTheme="minorEastAsia" w:hAnsiTheme="minorEastAsia" w:eastAsiaTheme="minorEastAsia"/>
              </w:rPr>
            </w:pPr>
            <w:r>
              <w:rPr>
                <w:rFonts w:hint="eastAsia" w:asciiTheme="minorEastAsia" w:hAnsiTheme="minorEastAsia" w:eastAsiaTheme="minorEastAsia"/>
              </w:rPr>
              <w:t>苏宁易购集团股份有限公司（“苏宁易购”）</w:t>
            </w:r>
          </w:p>
        </w:tc>
        <w:tc>
          <w:tcPr>
            <w:tcW w:w="712" w:type="dxa"/>
            <w:vAlign w:val="center"/>
          </w:tcPr>
          <w:p>
            <w:pPr>
              <w:rPr>
                <w:rFonts w:asciiTheme="minorEastAsia" w:hAnsiTheme="minorEastAsia" w:eastAsiaTheme="minorEastAsia"/>
              </w:rPr>
            </w:pPr>
            <w:r>
              <w:rPr>
                <w:rFonts w:hint="eastAsia" w:asciiTheme="minorEastAsia" w:hAnsiTheme="minorEastAsia" w:eastAsiaTheme="minorEastAsia"/>
              </w:rPr>
              <w:t>无</w:t>
            </w:r>
          </w:p>
        </w:tc>
        <w:tc>
          <w:tcPr>
            <w:tcW w:w="425" w:type="dxa"/>
            <w:vAlign w:val="center"/>
          </w:tcPr>
          <w:p>
            <w:pPr>
              <w:rPr>
                <w:rFonts w:asciiTheme="minorEastAsia" w:hAnsiTheme="minorEastAsia" w:eastAsiaTheme="minorEastAsia"/>
              </w:rPr>
            </w:pPr>
            <w:r>
              <w:rPr>
                <w:rFonts w:hint="eastAsia" w:asciiTheme="minorEastAsia" w:hAnsiTheme="minorEastAsia" w:eastAsiaTheme="minorEastAsia"/>
              </w:rPr>
              <w:t>诉讼</w:t>
            </w:r>
          </w:p>
        </w:tc>
        <w:tc>
          <w:tcPr>
            <w:tcW w:w="2552" w:type="dxa"/>
            <w:vAlign w:val="center"/>
          </w:tcPr>
          <w:p>
            <w:pPr>
              <w:rPr>
                <w:rFonts w:asciiTheme="minorEastAsia" w:hAnsiTheme="minorEastAsia" w:eastAsiaTheme="minorEastAsia"/>
              </w:rPr>
            </w:pPr>
            <w:r>
              <w:rPr>
                <w:rFonts w:hint="eastAsia" w:asciiTheme="minorEastAsia" w:hAnsiTheme="minorEastAsia" w:eastAsiaTheme="minorEastAsia"/>
              </w:rPr>
              <w:t>2023年2月，端信供应链以买卖合同纠纷为由，将苏宁易购起诉至南京市中级人民法院，要求其偿付货款、利息及违约金共计67,090.00万元。</w:t>
            </w:r>
          </w:p>
          <w:p>
            <w:pPr>
              <w:rPr>
                <w:rFonts w:asciiTheme="minorEastAsia" w:hAnsiTheme="minorEastAsia" w:eastAsiaTheme="minorEastAsia"/>
              </w:rPr>
            </w:pPr>
            <w:r>
              <w:rPr>
                <w:rFonts w:hint="eastAsia" w:asciiTheme="minorEastAsia" w:hAnsiTheme="minorEastAsia" w:eastAsiaTheme="minorEastAsia"/>
              </w:rPr>
              <w:t>截至本报告披露日，南京市中级人民法院尚未作出裁决。</w:t>
            </w:r>
          </w:p>
        </w:tc>
        <w:tc>
          <w:tcPr>
            <w:tcW w:w="1042" w:type="dxa"/>
            <w:vAlign w:val="center"/>
          </w:tcPr>
          <w:p>
            <w:pPr>
              <w:rPr>
                <w:rFonts w:asciiTheme="minorEastAsia" w:hAnsiTheme="minorEastAsia" w:eastAsiaTheme="minorEastAsia"/>
              </w:rPr>
            </w:pPr>
            <w:r>
              <w:rPr>
                <w:rFonts w:hint="eastAsia" w:asciiTheme="minorEastAsia" w:hAnsiTheme="minorEastAsia" w:eastAsiaTheme="minorEastAsia"/>
              </w:rPr>
              <w:t>67,090.00</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否</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一审程序</w:t>
            </w:r>
          </w:p>
        </w:tc>
        <w:tc>
          <w:tcPr>
            <w:tcW w:w="749" w:type="dxa"/>
            <w:vAlign w:val="center"/>
          </w:tcPr>
          <w:p>
            <w:pPr>
              <w:rPr>
                <w:rFonts w:asciiTheme="minorEastAsia" w:hAnsiTheme="minorEastAsia" w:eastAsiaTheme="minorEastAsia"/>
              </w:rPr>
            </w:pPr>
            <w:r>
              <w:rPr>
                <w:rFonts w:hint="eastAsia" w:asciiTheme="minorEastAsia" w:hAnsiTheme="minorEastAsia" w:eastAsiaTheme="minorEastAsia"/>
              </w:rPr>
              <w:t>截至本报告期末，公司对本案涉及款项全额计提了减值准备，本次诉讼事项不会对公司期后利润产生不利影响。</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Align w:val="center"/>
          </w:tcPr>
          <w:p>
            <w:pPr>
              <w:rPr>
                <w:rFonts w:asciiTheme="minorEastAsia" w:hAnsiTheme="minorEastAsia" w:eastAsiaTheme="minorEastAsia"/>
              </w:rPr>
            </w:pPr>
            <w:r>
              <w:rPr>
                <w:rFonts w:hint="eastAsia" w:asciiTheme="minorEastAsia" w:hAnsiTheme="minorEastAsia" w:eastAsiaTheme="minorEastAsia"/>
              </w:rPr>
              <w:t>内蒙古金控融资租赁有限公司（“内蒙古金控”）</w:t>
            </w:r>
          </w:p>
        </w:tc>
        <w:tc>
          <w:tcPr>
            <w:tcW w:w="846" w:type="dxa"/>
            <w:vAlign w:val="center"/>
          </w:tcPr>
          <w:p>
            <w:pPr>
              <w:rPr>
                <w:rFonts w:asciiTheme="minorEastAsia" w:hAnsiTheme="minorEastAsia" w:eastAsiaTheme="minorEastAsia"/>
              </w:rPr>
            </w:pPr>
            <w:r>
              <w:rPr>
                <w:rFonts w:hint="eastAsia" w:asciiTheme="minorEastAsia" w:hAnsiTheme="minorEastAsia" w:eastAsiaTheme="minorEastAsia"/>
              </w:rPr>
              <w:t>中融盛国际融资租赁（天津）有限公司（“中融盛”）、韩艳杰、天津凯泰盛世资产管理有限公司</w:t>
            </w:r>
          </w:p>
        </w:tc>
        <w:tc>
          <w:tcPr>
            <w:tcW w:w="712" w:type="dxa"/>
            <w:vAlign w:val="center"/>
          </w:tcPr>
          <w:p>
            <w:pPr>
              <w:rPr>
                <w:rFonts w:asciiTheme="minorEastAsia" w:hAnsiTheme="minorEastAsia" w:eastAsiaTheme="minorEastAsia"/>
              </w:rPr>
            </w:pPr>
            <w:r>
              <w:rPr>
                <w:rFonts w:hint="eastAsia" w:asciiTheme="minorEastAsia" w:hAnsiTheme="minorEastAsia" w:eastAsiaTheme="minorEastAsia"/>
              </w:rPr>
              <w:t>大唐国际发展集团有限公司（“大唐国际”）</w:t>
            </w:r>
          </w:p>
        </w:tc>
        <w:tc>
          <w:tcPr>
            <w:tcW w:w="425" w:type="dxa"/>
            <w:vAlign w:val="center"/>
          </w:tcPr>
          <w:p>
            <w:pPr>
              <w:rPr>
                <w:rFonts w:asciiTheme="minorEastAsia" w:hAnsiTheme="minorEastAsia" w:eastAsiaTheme="minorEastAsia"/>
              </w:rPr>
            </w:pPr>
            <w:r>
              <w:rPr>
                <w:rFonts w:hint="eastAsia" w:asciiTheme="minorEastAsia" w:hAnsiTheme="minorEastAsia" w:eastAsiaTheme="minorEastAsia"/>
              </w:rPr>
              <w:t>诉讼</w:t>
            </w:r>
          </w:p>
        </w:tc>
        <w:tc>
          <w:tcPr>
            <w:tcW w:w="2552" w:type="dxa"/>
            <w:vAlign w:val="center"/>
          </w:tcPr>
          <w:p>
            <w:pPr>
              <w:rPr>
                <w:rFonts w:asciiTheme="minorEastAsia" w:hAnsiTheme="minorEastAsia" w:eastAsiaTheme="minorEastAsia"/>
              </w:rPr>
            </w:pPr>
            <w:r>
              <w:rPr>
                <w:rFonts w:asciiTheme="minorEastAsia" w:hAnsiTheme="minorEastAsia" w:eastAsiaTheme="minorEastAsia"/>
              </w:rPr>
              <w:t>2023年11月，内蒙</w:t>
            </w:r>
            <w:r>
              <w:rPr>
                <w:rFonts w:hint="eastAsia" w:asciiTheme="minorEastAsia" w:hAnsiTheme="minorEastAsia" w:eastAsiaTheme="minorEastAsia"/>
              </w:rPr>
              <w:t>古</w:t>
            </w:r>
            <w:r>
              <w:rPr>
                <w:rFonts w:asciiTheme="minorEastAsia" w:hAnsiTheme="minorEastAsia" w:eastAsiaTheme="minorEastAsia"/>
              </w:rPr>
              <w:t>金控以中融盛等被告违反保理及融资租赁合同为由，向呼和浩特市中级人民法院提起诉讼，要求中融盛等被告支付保理及融资租赁款本金24,609</w:t>
            </w:r>
            <w:r>
              <w:rPr>
                <w:rFonts w:hint="eastAsia" w:asciiTheme="minorEastAsia" w:hAnsiTheme="minorEastAsia" w:eastAsiaTheme="minorEastAsia"/>
              </w:rPr>
              <w:t>.</w:t>
            </w:r>
            <w:r>
              <w:rPr>
                <w:rFonts w:asciiTheme="minorEastAsia" w:hAnsiTheme="minorEastAsia" w:eastAsiaTheme="minorEastAsia"/>
              </w:rPr>
              <w:t>28</w:t>
            </w:r>
            <w:r>
              <w:rPr>
                <w:rFonts w:hint="eastAsia" w:asciiTheme="minorEastAsia" w:hAnsiTheme="minorEastAsia" w:eastAsiaTheme="minorEastAsia"/>
              </w:rPr>
              <w:t>万</w:t>
            </w:r>
            <w:r>
              <w:rPr>
                <w:rFonts w:asciiTheme="minorEastAsia" w:hAnsiTheme="minorEastAsia" w:eastAsiaTheme="minorEastAsia"/>
              </w:rPr>
              <w:t>元及相应利息和违约金，并要求大唐国际承担连带责任。</w:t>
            </w:r>
          </w:p>
          <w:p>
            <w:pPr>
              <w:rPr>
                <w:rFonts w:asciiTheme="minorEastAsia" w:hAnsiTheme="minorEastAsia" w:eastAsiaTheme="minorEastAsia"/>
              </w:rPr>
            </w:pPr>
            <w:r>
              <w:rPr>
                <w:rFonts w:hint="eastAsia" w:asciiTheme="minorEastAsia" w:hAnsiTheme="minorEastAsia" w:eastAsiaTheme="minorEastAsia"/>
              </w:rPr>
              <w:t>截至本报告披露日，呼和浩特市中级人民法院尚未作出裁决。</w:t>
            </w:r>
          </w:p>
        </w:tc>
        <w:tc>
          <w:tcPr>
            <w:tcW w:w="1042" w:type="dxa"/>
            <w:vAlign w:val="center"/>
          </w:tcPr>
          <w:p>
            <w:pPr>
              <w:rPr>
                <w:rFonts w:asciiTheme="minorEastAsia" w:hAnsiTheme="minorEastAsia" w:eastAsiaTheme="minorEastAsia"/>
              </w:rPr>
            </w:pPr>
            <w:r>
              <w:rPr>
                <w:rFonts w:asciiTheme="minorEastAsia" w:hAnsiTheme="minorEastAsia" w:eastAsiaTheme="minorEastAsia"/>
              </w:rPr>
              <w:t>24,609</w:t>
            </w:r>
            <w:r>
              <w:rPr>
                <w:rFonts w:hint="eastAsia" w:asciiTheme="minorEastAsia" w:hAnsiTheme="minorEastAsia" w:eastAsiaTheme="minorEastAsia"/>
              </w:rPr>
              <w:t>.</w:t>
            </w:r>
            <w:r>
              <w:rPr>
                <w:rFonts w:asciiTheme="minorEastAsia" w:hAnsiTheme="minorEastAsia" w:eastAsiaTheme="minorEastAsia"/>
              </w:rPr>
              <w:t>28</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否</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一审程序</w:t>
            </w:r>
          </w:p>
        </w:tc>
        <w:tc>
          <w:tcPr>
            <w:tcW w:w="749" w:type="dxa"/>
            <w:vAlign w:val="center"/>
          </w:tcPr>
          <w:p>
            <w:pPr>
              <w:rPr>
                <w:rFonts w:asciiTheme="minorEastAsia" w:hAnsiTheme="minorEastAsia" w:eastAsiaTheme="minorEastAsia"/>
              </w:rPr>
            </w:pPr>
            <w:r>
              <w:rPr>
                <w:rFonts w:hint="eastAsia" w:asciiTheme="minorEastAsia" w:hAnsiTheme="minorEastAsia" w:eastAsiaTheme="minorEastAsia"/>
              </w:rPr>
              <w:t>本案目前正在履行一审程序，尚无法判断本次诉讼事项对公司期后利润的影响。</w:t>
            </w:r>
          </w:p>
        </w:tc>
        <w:tc>
          <w:tcPr>
            <w:tcW w:w="550" w:type="dxa"/>
            <w:vAlign w:val="center"/>
          </w:tcPr>
          <w:p>
            <w:pPr>
              <w:rPr>
                <w:rFonts w:asciiTheme="minorEastAsia" w:hAnsiTheme="minorEastAsia" w:eastAsiaTheme="minorEastAsia"/>
              </w:rPr>
            </w:pPr>
            <w:r>
              <w:rPr>
                <w:rFonts w:hint="eastAsia" w:asciiTheme="minorEastAsia" w:hAnsiTheme="minorEastAsia" w:eastAsiaTheme="minorEastAsia"/>
              </w:rPr>
              <w:t>-</w:t>
            </w:r>
          </w:p>
        </w:tc>
      </w:tr>
    </w:tbl>
    <w:p>
      <w:pPr>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注：临沂蒙飞商贸有限公司（“临沂蒙飞”）买卖合同纠纷案（详情请见</w:t>
      </w:r>
      <w:r>
        <w:rPr>
          <w:rFonts w:asciiTheme="minorEastAsia" w:hAnsiTheme="minorEastAsia" w:eastAsiaTheme="minorEastAsia"/>
        </w:rPr>
        <w:t>2022年度报告“第七节重要事项”之“重大诉讼、仲裁”相关内容），山东省高级人民法院二审判决公司胜诉，现已执行</w:t>
      </w:r>
      <w:r>
        <w:rPr>
          <w:rFonts w:hint="eastAsia" w:asciiTheme="minorEastAsia" w:hAnsiTheme="minorEastAsia" w:eastAsiaTheme="minorEastAsia"/>
        </w:rPr>
        <w:t>完毕</w:t>
      </w:r>
      <w:r>
        <w:rPr>
          <w:rFonts w:asciiTheme="minorEastAsia" w:hAnsiTheme="minorEastAsia" w:eastAsiaTheme="minorEastAsia"/>
        </w:rPr>
        <w:t>。</w:t>
      </w:r>
    </w:p>
    <w:p>
      <w:pPr>
        <w:rPr>
          <w:rFonts w:asciiTheme="minorEastAsia" w:hAnsiTheme="minorEastAsia" w:eastAsiaTheme="minorEastAsia"/>
        </w:rPr>
      </w:pPr>
    </w:p>
    <w:p>
      <w:pPr>
        <w:pStyle w:val="4"/>
        <w:numPr>
          <w:ilvl w:val="0"/>
          <w:numId w:val="34"/>
        </w:numPr>
        <w:rPr>
          <w:rFonts w:asciiTheme="minorEastAsia" w:hAnsiTheme="minorEastAsia" w:eastAsiaTheme="minorEastAsia"/>
          <w:szCs w:val="21"/>
        </w:rPr>
      </w:pPr>
      <w:r>
        <w:rPr>
          <w:rFonts w:asciiTheme="minorEastAsia" w:hAnsiTheme="minorEastAsia" w:eastAsiaTheme="minorEastAsia"/>
          <w:szCs w:val="21"/>
        </w:rPr>
        <w:t>其他说明</w:t>
      </w:r>
    </w:p>
    <w:sdt>
      <w:sdtPr>
        <w:rPr>
          <w:rFonts w:hint="eastAsia" w:asciiTheme="minorEastAsia" w:hAnsiTheme="minorEastAsia" w:eastAsiaTheme="minorEastAsia"/>
        </w:rPr>
        <w:alias w:val="是否适用：重大诉讼、仲裁事项其他说明[双击切换]"/>
        <w:tag w:val="_GBC_08b4ed5586904b67b0e5328f25166753"/>
        <w:id w:val="-600266088"/>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3"/>
        <w:numPr>
          <w:ilvl w:val="0"/>
          <w:numId w:val="30"/>
        </w:numPr>
        <w:rPr>
          <w:rFonts w:asciiTheme="minorEastAsia" w:hAnsiTheme="minorEastAsia" w:eastAsiaTheme="minorEastAsia"/>
        </w:rPr>
      </w:pPr>
      <w:r>
        <w:rPr>
          <w:rFonts w:asciiTheme="minorEastAsia" w:hAnsiTheme="minorEastAsia" w:eastAsiaTheme="minorEastAsia"/>
        </w:rPr>
        <w:t>上市公司</w:t>
      </w:r>
      <w:r>
        <w:rPr>
          <w:rFonts w:hint="eastAsia" w:asciiTheme="minorEastAsia" w:hAnsiTheme="minorEastAsia" w:eastAsiaTheme="minorEastAsia"/>
        </w:rPr>
        <w:t>及其董事、监事、高级管理人员、控股股东、实际控制人</w:t>
      </w:r>
      <w:r>
        <w:rPr>
          <w:rFonts w:asciiTheme="minorEastAsia" w:hAnsiTheme="minorEastAsia" w:eastAsiaTheme="minorEastAsia"/>
        </w:rPr>
        <w:t>涉嫌违法违规、受到处罚及整改情况</w:t>
      </w:r>
    </w:p>
    <w:sdt>
      <w:sdtPr>
        <w:rPr>
          <w:rFonts w:asciiTheme="minorEastAsia" w:hAnsiTheme="minorEastAsia" w:eastAsiaTheme="minorEastAsia"/>
        </w:rPr>
        <w:alias w:val="是否适用：上市公司及其董事、监事、高级管理人员、持有5%以上股份的股东、实际控制人、收购人处罚及整改情况[双击切换]"/>
        <w:tag w:val="_GBC_123762bb7717485a933e24f7a072833b"/>
        <w:id w:val="-388263259"/>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公司、董事会、董事受处罚及整改情况"/>
        <w:tag w:val="_GBC_22b505e911e0454088ff7cedea338e39"/>
        <w:id w:val="711547945"/>
        <w:placeholder>
          <w:docPart w:val="GBC22222222222222222222222222222"/>
        </w:placeholder>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sdt>
            <w:sdtPr>
              <w:rPr>
                <w:rFonts w:hint="eastAsia" w:asciiTheme="minorEastAsia" w:hAnsiTheme="minorEastAsia" w:eastAsiaTheme="minorEastAsia"/>
              </w:rPr>
              <w:alias w:val="公司、董事会、董事受处罚及整改情况"/>
              <w:tag w:val="_GBC_22b505e911e0454088ff7cedea338e39"/>
              <w:id w:val="353007884"/>
            </w:sdtPr>
            <w:sdtEndPr>
              <w:rPr>
                <w:rFonts w:hint="eastAsia" w:asciiTheme="minorEastAsia" w:hAnsiTheme="minorEastAsia" w:eastAsiaTheme="minorEastAsia"/>
              </w:rPr>
            </w:sdtEndPr>
            <w:sdtContent>
              <w:r>
                <w:rPr>
                  <w:rFonts w:hint="eastAsia" w:asciiTheme="minorEastAsia" w:hAnsiTheme="minorEastAsia" w:eastAsiaTheme="minorEastAsia"/>
                </w:rPr>
                <w:t>详情请见“第五节公司治理”之“近三年受证券监管机构处罚的情况说明”。</w:t>
              </w:r>
            </w:sdtContent>
          </w:sdt>
        </w:p>
        <w:p>
          <w:pPr>
            <w:rPr>
              <w:rFonts w:asciiTheme="minorEastAsia" w:hAnsiTheme="minorEastAsia" w:eastAsiaTheme="minorEastAsia"/>
            </w:rPr>
          </w:pPr>
        </w:p>
      </w:sdtContent>
    </w:sdt>
    <w:p>
      <w:pPr>
        <w:rPr>
          <w:rFonts w:asciiTheme="minorEastAsia" w:hAnsiTheme="minorEastAsia" w:eastAsiaTheme="minorEastAsia"/>
        </w:rPr>
      </w:pPr>
    </w:p>
    <w:p>
      <w:pPr>
        <w:pStyle w:val="3"/>
        <w:numPr>
          <w:ilvl w:val="0"/>
          <w:numId w:val="30"/>
        </w:numPr>
        <w:rPr>
          <w:rFonts w:asciiTheme="minorEastAsia" w:hAnsiTheme="minorEastAsia" w:eastAsiaTheme="minorEastAsia"/>
        </w:rPr>
      </w:pPr>
      <w:r>
        <w:rPr>
          <w:rFonts w:hint="eastAsia" w:asciiTheme="minorEastAsia" w:hAnsiTheme="minorEastAsia" w:eastAsiaTheme="minorEastAsia"/>
        </w:rPr>
        <w:t>报告期内公司及其控股股东、实际控制人诚信状况的说明</w:t>
      </w:r>
    </w:p>
    <w:sdt>
      <w:sdtPr>
        <w:rPr>
          <w:rFonts w:hint="eastAsia" w:asciiTheme="minorEastAsia" w:hAnsiTheme="minorEastAsia" w:eastAsiaTheme="minorEastAsia"/>
        </w:rPr>
        <w:alias w:val="是否适用：报告期内公司及其控股股东、实际控制人诚信状况的说明[双击切换]"/>
        <w:tag w:val="_GBC_c52f51ce49eb4245a9df7baca2947656"/>
        <w:id w:val="-458884462"/>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报告期内公司及其控股股东、实际控制人诚信状况的说明"/>
        <w:tag w:val="_GBC_6638694178ac4812ad4db9fd5a458b9a"/>
        <w:id w:val="561220762"/>
        <w:placeholder>
          <w:docPart w:val="GBC22222222222222222222222222222"/>
        </w:placeholder>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报告期内公司及其控股股东、实际控制人不存在未履行法院生效判决、所负数额较大的债务到期未清偿等不诚信的情况。</w:t>
          </w:r>
        </w:p>
        <w:p>
          <w:pPr>
            <w:rPr>
              <w:rFonts w:asciiTheme="minorEastAsia" w:hAnsiTheme="minorEastAsia" w:eastAsiaTheme="minorEastAsia"/>
            </w:rPr>
          </w:pPr>
        </w:p>
      </w:sdtContent>
    </w:sdt>
    <w:p>
      <w:pPr>
        <w:rPr>
          <w:rFonts w:asciiTheme="minorEastAsia" w:hAnsiTheme="minorEastAsia" w:eastAsiaTheme="minorEastAsia"/>
        </w:rPr>
      </w:pPr>
    </w:p>
    <w:p>
      <w:pPr>
        <w:pStyle w:val="3"/>
        <w:numPr>
          <w:ilvl w:val="0"/>
          <w:numId w:val="30"/>
        </w:numPr>
        <w:rPr>
          <w:rFonts w:asciiTheme="minorEastAsia" w:hAnsiTheme="minorEastAsia" w:eastAsiaTheme="minorEastAsia"/>
        </w:rPr>
      </w:pPr>
      <w:r>
        <w:rPr>
          <w:rFonts w:hint="eastAsia" w:asciiTheme="minorEastAsia" w:hAnsiTheme="minorEastAsia" w:eastAsiaTheme="minorEastAsia"/>
        </w:rPr>
        <w:t>重大关联/关连交易</w:t>
      </w:r>
    </w:p>
    <w:p>
      <w:pPr>
        <w:pStyle w:val="4"/>
        <w:numPr>
          <w:ilvl w:val="2"/>
          <w:numId w:val="5"/>
        </w:numPr>
        <w:rPr>
          <w:rFonts w:asciiTheme="minorEastAsia" w:hAnsiTheme="minorEastAsia" w:eastAsiaTheme="minorEastAsia"/>
          <w:szCs w:val="21"/>
        </w:rPr>
      </w:pPr>
      <w:bookmarkStart w:id="136" w:name="_Toc342565953"/>
      <w:bookmarkStart w:id="137" w:name="_Toc342491961"/>
      <w:r>
        <w:rPr>
          <w:rFonts w:hint="eastAsia" w:asciiTheme="minorEastAsia" w:hAnsiTheme="minorEastAsia" w:eastAsiaTheme="minorEastAsia"/>
          <w:szCs w:val="21"/>
        </w:rPr>
        <w:t>与日常经营相关的关联/关连交易</w:t>
      </w:r>
      <w:bookmarkEnd w:id="136"/>
      <w:bookmarkEnd w:id="137"/>
    </w:p>
    <w:p>
      <w:pPr>
        <w:pStyle w:val="258"/>
        <w:ind w:firstLine="420" w:firstLineChars="200"/>
        <w:rPr>
          <w:rFonts w:asciiTheme="minorEastAsia" w:hAnsiTheme="minorEastAsia" w:eastAsiaTheme="minorEastAsia"/>
        </w:rPr>
      </w:pPr>
    </w:p>
    <w:p>
      <w:pPr>
        <w:pStyle w:val="258"/>
        <w:ind w:firstLine="420" w:firstLineChars="200"/>
        <w:rPr>
          <w:rFonts w:asciiTheme="minorEastAsia" w:hAnsiTheme="minorEastAsia" w:eastAsiaTheme="minorEastAsia"/>
        </w:rPr>
      </w:pPr>
      <w:r>
        <w:rPr>
          <w:rFonts w:hint="eastAsia" w:asciiTheme="minorEastAsia" w:hAnsiTheme="minorEastAsia" w:eastAsiaTheme="minorEastAsia"/>
        </w:rPr>
        <w:t>本集团的关联/关连交易主要是本集团与控股股东山东能源及其附属公司（本集团除外）（“山东能源集团”）、Glencore Coal Pty Ltd（“嘉能可”）及其附属公司（“嘉能可集团”）之间的关联/关连交易(嘉能可为本公司附属公司之主要股东，因此是本公司关联/关连人士)。</w:t>
      </w:r>
    </w:p>
    <w:p>
      <w:pPr>
        <w:pStyle w:val="258"/>
        <w:ind w:firstLine="420" w:firstLineChars="200"/>
        <w:rPr>
          <w:rFonts w:asciiTheme="minorEastAsia" w:hAnsiTheme="minorEastAsia" w:eastAsiaTheme="minorEastAsia"/>
        </w:rPr>
      </w:pPr>
      <w:r>
        <w:rPr>
          <w:rFonts w:hint="eastAsia" w:asciiTheme="minorEastAsia" w:hAnsiTheme="minorEastAsia" w:eastAsiaTheme="minorEastAsia"/>
        </w:rPr>
        <w:t>在香港联交所监管规则项下，除上述关联/关连交易，还包括本公司与关连附属公司山能财司、鲁西矿业、新疆能化之间的关连交易。</w:t>
      </w:r>
    </w:p>
    <w:p>
      <w:pPr>
        <w:pStyle w:val="258"/>
        <w:ind w:firstLine="420" w:firstLineChars="200"/>
        <w:rPr>
          <w:rFonts w:asciiTheme="minorEastAsia" w:hAnsiTheme="minorEastAsia" w:eastAsiaTheme="minorEastAsia"/>
        </w:rPr>
      </w:pPr>
      <w:r>
        <w:rPr>
          <w:rFonts w:hint="eastAsia" w:asciiTheme="minorEastAsia" w:hAnsiTheme="minorEastAsia" w:eastAsiaTheme="minorEastAsia"/>
        </w:rPr>
        <w:t>本公司开展上述关联/关连交易的目的是为更好地实现公司与关联方的资源共享和协同效应，降低交易成本和风险，提高公司盈利能力和核心竞争力。</w:t>
      </w:r>
    </w:p>
    <w:p>
      <w:pPr>
        <w:rPr>
          <w:rFonts w:asciiTheme="minorEastAsia" w:hAnsiTheme="minorEastAsia" w:eastAsiaTheme="minorEastAsia"/>
        </w:rPr>
      </w:pPr>
    </w:p>
    <w:p>
      <w:pPr>
        <w:pStyle w:val="5"/>
        <w:numPr>
          <w:ilvl w:val="2"/>
          <w:numId w:val="35"/>
        </w:numPr>
      </w:pPr>
      <w:r>
        <w:t>已在临时公告披露且后续实施无进展或变化的事项</w:t>
      </w:r>
    </w:p>
    <w:sdt>
      <w:sdtPr>
        <w:rPr>
          <w:rFonts w:asciiTheme="minorEastAsia" w:hAnsiTheme="minorEastAsia" w:eastAsiaTheme="minorEastAsia"/>
        </w:rPr>
        <w:alias w:val="是否适用：已在临时公告披露且后续实施无进展或变化的事项_与日常经营相关的关联交易[双击切换]"/>
        <w:tag w:val="_GBC_6194ac6d54054fcc9f40dc3e35772780"/>
        <w:id w:val="1067304349"/>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tbl>
      <w:tblPr>
        <w:tblStyle w:val="2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2"/>
        <w:gridCol w:w="4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19f4a4c0936a4abcb8bcf98faa2411bf"/>
            <w:id w:val="2051178714"/>
          </w:sdtPr>
          <w:sdtEndPr>
            <w:rPr>
              <w:rFonts w:asciiTheme="minorEastAsia" w:hAnsiTheme="minorEastAsia" w:eastAsiaTheme="minorEastAsia"/>
            </w:rPr>
          </w:sdtEndPr>
          <w:sdtContent>
            <w:tc>
              <w:tcPr>
                <w:tcW w:w="4412" w:type="dxa"/>
                <w:vAlign w:val="center"/>
              </w:tcPr>
              <w:p>
                <w:pPr>
                  <w:jc w:val="center"/>
                  <w:rPr>
                    <w:rFonts w:asciiTheme="minorEastAsia" w:hAnsiTheme="minorEastAsia" w:eastAsiaTheme="minorEastAsia"/>
                  </w:rPr>
                </w:pPr>
                <w:r>
                  <w:rPr>
                    <w:rFonts w:asciiTheme="minorEastAsia" w:hAnsiTheme="minorEastAsia" w:eastAsiaTheme="minorEastAsia"/>
                  </w:rPr>
                  <w:t>事项概述</w:t>
                </w:r>
              </w:p>
            </w:tc>
          </w:sdtContent>
        </w:sdt>
        <w:sdt>
          <w:sdtPr>
            <w:rPr>
              <w:rFonts w:asciiTheme="minorEastAsia" w:hAnsiTheme="minorEastAsia" w:eastAsiaTheme="minorEastAsia"/>
            </w:rPr>
            <w:tag w:val="_PLD_ee8e2b9af7fa4faa8b872d9bd167f00f"/>
            <w:id w:val="-2067948803"/>
          </w:sdtPr>
          <w:sdtEndPr>
            <w:rPr>
              <w:rFonts w:asciiTheme="minorEastAsia" w:hAnsiTheme="minorEastAsia" w:eastAsiaTheme="minorEastAsia"/>
            </w:rPr>
          </w:sdtEndPr>
          <w:sdtContent>
            <w:tc>
              <w:tcPr>
                <w:tcW w:w="4411" w:type="dxa"/>
                <w:vAlign w:val="center"/>
              </w:tcPr>
              <w:p>
                <w:pPr>
                  <w:jc w:val="center"/>
                  <w:rPr>
                    <w:rFonts w:asciiTheme="minorEastAsia" w:hAnsiTheme="minorEastAsia" w:eastAsiaTheme="minorEastAsia"/>
                  </w:rPr>
                </w:pPr>
                <w:r>
                  <w:rPr>
                    <w:rFonts w:asciiTheme="minorEastAsia" w:hAnsiTheme="minorEastAsia" w:eastAsiaTheme="minorEastAsia"/>
                  </w:rPr>
                  <w:t>查询索引</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2" w:type="dxa"/>
          </w:tcPr>
          <w:p>
            <w:pPr>
              <w:rPr>
                <w:rFonts w:asciiTheme="minorEastAsia" w:hAnsiTheme="minorEastAsia" w:eastAsiaTheme="minorEastAsia"/>
              </w:rPr>
            </w:pPr>
            <w:r>
              <w:rPr>
                <w:rFonts w:hint="eastAsia" w:asciiTheme="minorEastAsia" w:hAnsiTheme="minorEastAsia" w:eastAsiaTheme="minorEastAsia"/>
              </w:rPr>
              <w:t>与控股股东续签部分持续性关联/关连交易协议</w:t>
            </w:r>
          </w:p>
          <w:p>
            <w:pPr>
              <w:rPr>
                <w:rFonts w:asciiTheme="minorEastAsia" w:hAnsiTheme="minorEastAsia" w:eastAsiaTheme="minorEastAsia"/>
              </w:rPr>
            </w:pPr>
            <w:r>
              <w:rPr>
                <w:rFonts w:hint="eastAsia" w:asciiTheme="minorEastAsia" w:hAnsiTheme="minorEastAsia" w:eastAsiaTheme="minorEastAsia"/>
              </w:rPr>
              <w:t>经公司2023年10月27日召开的2023年度第一次临时股东大会讨论审议，批准公司与山东能源签署新《大宗商品购销协议》《融资租赁协议》及其所限定交易于2024-2025年度的交易上限金额；批准公司与山东能源签署新《委托管理服务框架协议》及其所限定交易于2025年度的交易上限金额。</w:t>
            </w:r>
          </w:p>
        </w:tc>
        <w:tc>
          <w:tcPr>
            <w:tcW w:w="4411" w:type="dxa"/>
          </w:tcPr>
          <w:p>
            <w:pPr>
              <w:rPr>
                <w:rFonts w:asciiTheme="minorEastAsia" w:hAnsiTheme="minorEastAsia" w:eastAsiaTheme="minorEastAsia"/>
              </w:rPr>
            </w:pPr>
            <w:r>
              <w:rPr>
                <w:rFonts w:hint="eastAsia" w:asciiTheme="minorEastAsia" w:hAnsiTheme="minorEastAsia" w:eastAsiaTheme="minorEastAsia"/>
              </w:rPr>
              <w:t>有关详情请见公司日期为2</w:t>
            </w:r>
            <w:r>
              <w:rPr>
                <w:rFonts w:asciiTheme="minorEastAsia" w:hAnsiTheme="minorEastAsia" w:eastAsiaTheme="minorEastAsia"/>
              </w:rPr>
              <w:t>023</w:t>
            </w:r>
            <w:r>
              <w:rPr>
                <w:rFonts w:hint="eastAsia" w:asciiTheme="minorEastAsia" w:hAnsiTheme="minorEastAsia" w:eastAsiaTheme="minorEastAsia"/>
              </w:rPr>
              <w:t>年8月2</w:t>
            </w:r>
            <w:r>
              <w:rPr>
                <w:rFonts w:asciiTheme="minorEastAsia" w:hAnsiTheme="minorEastAsia" w:eastAsiaTheme="minorEastAsia"/>
              </w:rPr>
              <w:t>5</w:t>
            </w:r>
            <w:r>
              <w:rPr>
                <w:rFonts w:hint="eastAsia" w:asciiTheme="minorEastAsia" w:hAnsiTheme="minorEastAsia" w:eastAsiaTheme="minorEastAsia"/>
              </w:rPr>
              <w:t>日的第九届董事会第二次会议决议公告、持续性关联/关连交易的公告，和日期为2023年10月27日的2023年度第一次临时股东大会决议公告。该等资料载于上交所网站、香港联交所网站、公司网站及/或中国境内《中国证券报》《上海证券报》《证券时报》《证券日报》。</w:t>
            </w:r>
          </w:p>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2" w:type="dxa"/>
          </w:tcPr>
          <w:p>
            <w:pPr>
              <w:rPr>
                <w:rFonts w:asciiTheme="minorEastAsia" w:hAnsiTheme="minorEastAsia" w:eastAsiaTheme="minorEastAsia"/>
              </w:rPr>
            </w:pPr>
            <w:r>
              <w:rPr>
                <w:rFonts w:hint="eastAsia" w:asciiTheme="minorEastAsia" w:hAnsiTheme="minorEastAsia" w:eastAsiaTheme="minorEastAsia"/>
              </w:rPr>
              <w:t>兖煤澳洲与嘉能可持续性关联/关连交易</w:t>
            </w:r>
          </w:p>
          <w:p>
            <w:pPr>
              <w:rPr>
                <w:rFonts w:asciiTheme="minorEastAsia" w:hAnsiTheme="minorEastAsia" w:eastAsiaTheme="minorEastAsia"/>
              </w:rPr>
            </w:pPr>
            <w:r>
              <w:rPr>
                <w:rFonts w:hint="eastAsia" w:asciiTheme="minorEastAsia" w:hAnsiTheme="minorEastAsia" w:eastAsiaTheme="minorEastAsia"/>
              </w:rPr>
              <w:t>经公司2024年1月15日召开的第九届董事会第四次会议讨论审议，批准兖煤澳洲与嘉能可续签《煤炭销售框架协议》《煤炭购买框架协议》及其所限定交易于2024-2026年度交易上限金额；现行兖煤澳洲和嘉能可之间的《HVO销售合约》为无固定期限合同，批准其于2024-2026年度交易上限金额。</w:t>
            </w:r>
          </w:p>
        </w:tc>
        <w:tc>
          <w:tcPr>
            <w:tcW w:w="4411" w:type="dxa"/>
          </w:tcPr>
          <w:p>
            <w:pPr>
              <w:rPr>
                <w:rFonts w:asciiTheme="minorEastAsia" w:hAnsiTheme="minorEastAsia" w:eastAsiaTheme="minorEastAsia"/>
              </w:rPr>
            </w:pPr>
            <w:r>
              <w:rPr>
                <w:rFonts w:hint="eastAsia" w:asciiTheme="minorEastAsia" w:hAnsiTheme="minorEastAsia" w:eastAsiaTheme="minorEastAsia"/>
              </w:rPr>
              <w:t>有关详情请见公司日期为2024年1月15日的第九届董事会第四次会议决议公告、持续性关联/关连交易公告。该等资料载于上交所网站、香港联交所网站、公司网站及/或中国境内《中国证券报》《上海证券报》《证券时报》《证券日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2" w:type="dxa"/>
          </w:tcPr>
          <w:p>
            <w:pPr>
              <w:rPr>
                <w:rFonts w:asciiTheme="minorEastAsia" w:hAnsiTheme="minorEastAsia" w:eastAsiaTheme="minorEastAsia"/>
              </w:rPr>
            </w:pPr>
            <w:r>
              <w:rPr>
                <w:rFonts w:hint="eastAsia" w:asciiTheme="minorEastAsia" w:hAnsiTheme="minorEastAsia" w:eastAsiaTheme="minorEastAsia"/>
              </w:rPr>
              <w:t>柴油燃料供应持续性关联/关连交易</w:t>
            </w:r>
          </w:p>
          <w:p>
            <w:pPr>
              <w:rPr>
                <w:rFonts w:asciiTheme="minorEastAsia" w:hAnsiTheme="minorEastAsia" w:eastAsiaTheme="minorEastAsia"/>
              </w:rPr>
            </w:pPr>
            <w:r>
              <w:rPr>
                <w:rFonts w:hint="eastAsia" w:asciiTheme="minorEastAsia" w:hAnsiTheme="minorEastAsia" w:eastAsiaTheme="minorEastAsia"/>
              </w:rPr>
              <w:t>经公司2023年11月6日召开的总经理办公会讨论审议，批准兖煤澳洲附属公司与嘉能可附属公司签署《柴油燃料供应协议》及其所限定交易于2024-2026年度的交易上限金额。</w:t>
            </w:r>
          </w:p>
        </w:tc>
        <w:tc>
          <w:tcPr>
            <w:tcW w:w="4411" w:type="dxa"/>
          </w:tcPr>
          <w:p>
            <w:pPr>
              <w:rPr>
                <w:rFonts w:asciiTheme="minorEastAsia" w:hAnsiTheme="minorEastAsia" w:eastAsiaTheme="minorEastAsia"/>
              </w:rPr>
            </w:pPr>
            <w:r>
              <w:rPr>
                <w:rFonts w:hint="eastAsia" w:asciiTheme="minorEastAsia" w:hAnsiTheme="minorEastAsia" w:eastAsiaTheme="minorEastAsia"/>
              </w:rPr>
              <w:t>有关详情请见公司日期为2023年12月8日的柴油燃料供应持续性关联/关连交易公告。该等资料载于上交所网站、香港联交所网站、公司网站。</w:t>
            </w:r>
          </w:p>
        </w:tc>
      </w:tr>
    </w:tbl>
    <w:p>
      <w:pPr>
        <w:rPr>
          <w:rFonts w:asciiTheme="minorEastAsia" w:hAnsiTheme="minorEastAsia" w:eastAsiaTheme="minorEastAsia"/>
        </w:rPr>
      </w:pPr>
    </w:p>
    <w:p>
      <w:pPr>
        <w:pStyle w:val="5"/>
        <w:numPr>
          <w:ilvl w:val="2"/>
          <w:numId w:val="35"/>
        </w:numPr>
      </w:pPr>
      <w:r>
        <w:t>已在临时公告披露，但有后续实施的进展或变化的事项</w:t>
      </w:r>
    </w:p>
    <w:sdt>
      <w:sdtPr>
        <w:rPr>
          <w:rFonts w:hint="eastAsia" w:asciiTheme="minorEastAsia" w:hAnsiTheme="minorEastAsia" w:eastAsiaTheme="minorEastAsia"/>
        </w:rPr>
        <w:alias w:val="是否适用：已在临时公告披露，但有后续实施的进展或变化的事项_与日常经营相关的关联交易[双击切换]"/>
        <w:tag w:val="_GBC_19ed12f3e7b5456b8509a0a5457f26b3"/>
        <w:id w:val="1048881491"/>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与日常经营相关的关联交易事项已在临时报告披露，后续实施的进展或变化"/>
        <w:tag w:val="_GBC_5fbfc287aede44a486960ae219233887"/>
        <w:id w:val="-1836220425"/>
        <w:placeholder>
          <w:docPart w:val="GBC22222222222222222222222222222"/>
        </w:placeholder>
      </w:sdtPr>
      <w:sdtEndPr>
        <w:rPr>
          <w:rFonts w:hint="eastAsia" w:asciiTheme="minorEastAsia" w:hAnsiTheme="minorEastAsia" w:eastAsiaTheme="minorEastAsia"/>
        </w:rPr>
      </w:sdtEndPr>
      <w:sdtContent>
        <w:sdt>
          <w:sdtPr>
            <w:rPr>
              <w:rFonts w:hint="eastAsia" w:asciiTheme="minorEastAsia" w:hAnsiTheme="minorEastAsia" w:eastAsiaTheme="minorEastAsia"/>
            </w:rPr>
            <w:alias w:val="与日常经营相关的关联交易事项已在临时报告披露，后续实施的进展或变化"/>
            <w:tag w:val="_GBC_5fbfc287aede44a486960ae219233887"/>
            <w:id w:val="854458316"/>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（1）报告期内与山东能源集团持续性关联/关连交易协议审批及执行情况</w:t>
              </w:r>
            </w:p>
            <w:p>
              <w:pPr>
                <w:ind w:firstLine="420" w:firstLineChars="200"/>
                <w:rPr>
                  <w:rFonts w:asciiTheme="minorEastAsia" w:hAnsiTheme="minorEastAsia" w:eastAsiaTheme="minorEastAsia"/>
                </w:rPr>
              </w:pPr>
              <w:r>
                <w:rPr>
                  <w:rFonts w:hint="eastAsia" w:asciiTheme="minorEastAsia" w:hAnsiTheme="minorEastAsia" w:eastAsiaTheme="minorEastAsia"/>
                </w:rPr>
                <w:t>①商品和服务供应及保险金持续性关联/关连交易</w:t>
              </w:r>
            </w:p>
            <w:p>
              <w:pPr>
                <w:ind w:firstLine="420" w:firstLineChars="200"/>
                <w:rPr>
                  <w:rFonts w:asciiTheme="minorEastAsia" w:hAnsiTheme="minorEastAsia" w:eastAsiaTheme="minorEastAsia"/>
                </w:rPr>
              </w:pPr>
              <w:r>
                <w:rPr>
                  <w:rFonts w:hint="eastAsia" w:asciiTheme="minorEastAsia" w:hAnsiTheme="minorEastAsia" w:eastAsiaTheme="minorEastAsia"/>
                </w:rPr>
                <w:t>公司</w:t>
              </w:r>
              <w:r>
                <w:rPr>
                  <w:rFonts w:asciiTheme="minorEastAsia" w:hAnsiTheme="minorEastAsia" w:eastAsiaTheme="minorEastAsia"/>
                </w:rPr>
                <w:t>2021年2月5日召开的2021年度第一次临时股东大会，及2022年6月30日召开的2021年度股东周年大会</w:t>
              </w:r>
              <w:r>
                <w:rPr>
                  <w:rFonts w:hint="eastAsia" w:asciiTheme="minorEastAsia" w:hAnsiTheme="minorEastAsia" w:eastAsiaTheme="minorEastAsia"/>
                </w:rPr>
                <w:t>，</w:t>
              </w:r>
              <w:r>
                <w:rPr>
                  <w:rFonts w:asciiTheme="minorEastAsia" w:hAnsiTheme="minorEastAsia" w:eastAsiaTheme="minorEastAsia"/>
                </w:rPr>
                <w:t>审议批准公司与山东能源签署《大宗商品购销协议》，确定了每项协议所限定交易在2022-2023年每年的交易上限金额。</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公司2023年10月27日召开的2023年度第一次临时股东大会，在不改变关联/关连交易协议条款的前提下，调整《大宗商品购销协议》2023年度交易上限金额。</w:t>
              </w:r>
            </w:p>
            <w:p>
              <w:pPr>
                <w:ind w:firstLine="420" w:firstLineChars="200"/>
                <w:rPr>
                  <w:rFonts w:asciiTheme="minorEastAsia" w:hAnsiTheme="minorEastAsia" w:eastAsiaTheme="minorEastAsia"/>
                </w:rPr>
              </w:pPr>
              <w:r>
                <w:rPr>
                  <w:rFonts w:hint="eastAsia" w:asciiTheme="minorEastAsia" w:hAnsiTheme="minorEastAsia" w:eastAsiaTheme="minorEastAsia"/>
                </w:rPr>
                <w:t>本次调整基于公司及附属公司正常的日常经营需要，体现公平合理原则，符合公司及全体股东利益；本次调整不会对公司现在及将来的财务状况、经营成果产生不利影响；本次调整不会对公司独立性产生影响，公司业务没有因本次调整而对控股股东形成依赖。</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2023年6月30日召开的2022年度股东周年大会，批准公司与山东能源签署《材料物资供应协议》《劳务及服务互供协议》《保险金管理协议》以及《产品、材料物资供应及资产租赁协议》，及其所限定交易于2023-2025年度交易上限金额。上述持续性关联/关连交易协议生效后追溯至2023年1月1日起生效。</w:t>
              </w:r>
            </w:p>
            <w:p>
              <w:pPr>
                <w:ind w:firstLine="420" w:firstLineChars="200"/>
                <w:rPr>
                  <w:rFonts w:asciiTheme="minorEastAsia" w:hAnsiTheme="minorEastAsia" w:eastAsiaTheme="minorEastAsia"/>
                </w:rPr>
              </w:pPr>
              <w:r>
                <w:rPr>
                  <w:rFonts w:hint="eastAsia" w:asciiTheme="minorEastAsia" w:hAnsiTheme="minorEastAsia" w:eastAsiaTheme="minorEastAsia"/>
                </w:rPr>
                <w:t>除《保险金管理协议》外，确定价格的主要方式有：国家规定的价格；市场价格；以实际成本为基础厘定交易价格。交易费用可一次性或分期支付。每个公历月的最后一个营业日就当月到期应支付给另一方或应向另一方收取的有关持续性关联/关连交易款项登记入账。每个公历月发生的持续性关联/关连交易款项应于紧随下一个月度内结算完毕，但不包括当时尚未完成交易所涉及款项和仍有争议的款项。</w:t>
              </w:r>
            </w:p>
            <w:p>
              <w:pPr>
                <w:ind w:firstLine="420" w:firstLineChars="200"/>
                <w:rPr>
                  <w:rFonts w:asciiTheme="minorEastAsia" w:hAnsiTheme="minorEastAsia" w:eastAsiaTheme="minorEastAsia"/>
                </w:rPr>
              </w:pPr>
              <w:r>
                <w:rPr>
                  <w:rFonts w:hint="eastAsia" w:asciiTheme="minorEastAsia" w:hAnsiTheme="minorEastAsia" w:eastAsiaTheme="minorEastAsia"/>
                </w:rPr>
                <w:t>2023年，本集团向山东能源集团销售商品、提供服务收取的费用总金额为115.64亿元；山东能源集团向本集团销售商品、提供服务收取的费用总金额为73.35亿元。</w:t>
              </w:r>
            </w:p>
            <w:p>
              <w:pPr>
                <w:ind w:firstLine="420" w:firstLineChars="200"/>
                <w:rPr>
                  <w:rFonts w:asciiTheme="minorEastAsia" w:hAnsiTheme="minorEastAsia" w:eastAsiaTheme="minorEastAsia"/>
                </w:rPr>
              </w:pPr>
              <w:r>
                <w:rPr>
                  <w:rFonts w:hint="eastAsia" w:asciiTheme="minorEastAsia" w:hAnsiTheme="minorEastAsia" w:eastAsiaTheme="minorEastAsia"/>
                </w:rPr>
                <w:t>2023年，本集团与山东能源集团购销商品、提供服务发生的持续性关联/关连交易如下表：</w:t>
              </w:r>
            </w:p>
            <w:tbl>
              <w:tblPr>
                <w:tblStyle w:val="206"/>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1741"/>
                <w:gridCol w:w="1404"/>
                <w:gridCol w:w="1464"/>
                <w:gridCol w:w="1092"/>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right"/>
                </w:trPr>
                <w:tc>
                  <w:tcPr>
                    <w:tcW w:w="1966" w:type="dxa"/>
                    <w:vMerge w:val="restar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bCs/>
                        <w:sz w:val="20"/>
                        <w:szCs w:val="20"/>
                      </w:rPr>
                    </w:pPr>
                  </w:p>
                </w:tc>
                <w:tc>
                  <w:tcPr>
                    <w:tcW w:w="3047" w:type="dxa"/>
                    <w:gridSpan w:val="2"/>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2023年</w:t>
                    </w:r>
                  </w:p>
                </w:tc>
                <w:tc>
                  <w:tcPr>
                    <w:tcW w:w="2556" w:type="dxa"/>
                    <w:gridSpan w:val="2"/>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2022年</w:t>
                    </w:r>
                  </w:p>
                </w:tc>
                <w:tc>
                  <w:tcPr>
                    <w:tcW w:w="1254" w:type="dxa"/>
                    <w:vMerge w:val="restar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关联/关连交易额增减（%）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righ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bCs/>
                        <w:sz w:val="21"/>
                        <w:szCs w:val="21"/>
                      </w:rPr>
                    </w:pPr>
                  </w:p>
                </w:tc>
                <w:tc>
                  <w:tcPr>
                    <w:tcW w:w="164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金额（千元）</w:t>
                    </w:r>
                  </w:p>
                </w:tc>
                <w:tc>
                  <w:tcPr>
                    <w:tcW w:w="140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占营业收入比例（%）</w:t>
                    </w:r>
                  </w:p>
                </w:tc>
                <w:tc>
                  <w:tcPr>
                    <w:tcW w:w="146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金额（千元）</w:t>
                    </w:r>
                  </w:p>
                </w:tc>
                <w:tc>
                  <w:tcPr>
                    <w:tcW w:w="10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占营业收入比例（%）</w:t>
                    </w:r>
                  </w:p>
                </w:tc>
                <w:tc>
                  <w:tcPr>
                    <w:tcW w:w="0" w:type="auto"/>
                    <w:vMerge w:val="continue"/>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966"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bCs/>
                        <w:sz w:val="20"/>
                        <w:szCs w:val="20"/>
                      </w:rPr>
                    </w:pPr>
                    <w:r>
                      <w:rPr>
                        <w:rFonts w:hint="eastAsia" w:asciiTheme="minorEastAsia" w:hAnsiTheme="minorEastAsia" w:eastAsiaTheme="minorEastAsia"/>
                        <w:bCs/>
                        <w:sz w:val="20"/>
                        <w:szCs w:val="20"/>
                      </w:rPr>
                      <w:t>本集团向山东能源集团销售商品、提供服务</w:t>
                    </w:r>
                  </w:p>
                </w:tc>
                <w:tc>
                  <w:tcPr>
                    <w:tcW w:w="1643" w:type="dxa"/>
                    <w:tcBorders>
                      <w:top w:val="single" w:color="auto" w:sz="4" w:space="0"/>
                      <w:left w:val="nil"/>
                      <w:bottom w:val="single" w:color="auto" w:sz="4" w:space="0"/>
                      <w:right w:val="single" w:color="auto" w:sz="4" w:space="0"/>
                    </w:tcBorders>
                    <w:vAlign w:val="center"/>
                  </w:tcPr>
                  <w:p>
                    <w:pPr>
                      <w:ind w:left="420" w:right="105"/>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11,563,971</w:t>
                    </w:r>
                  </w:p>
                </w:tc>
                <w:tc>
                  <w:tcPr>
                    <w:tcW w:w="1404" w:type="dxa"/>
                    <w:tcBorders>
                      <w:top w:val="single" w:color="auto" w:sz="4" w:space="0"/>
                      <w:left w:val="nil"/>
                      <w:bottom w:val="single" w:color="auto" w:sz="4" w:space="0"/>
                      <w:right w:val="single" w:color="auto" w:sz="4" w:space="0"/>
                    </w:tcBorders>
                    <w:vAlign w:val="center"/>
                  </w:tcPr>
                  <w:p>
                    <w:pPr>
                      <w:ind w:left="420" w:right="21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7.73</w:t>
                    </w:r>
                  </w:p>
                </w:tc>
                <w:tc>
                  <w:tcPr>
                    <w:tcW w:w="146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5,852,794</w:t>
                    </w:r>
                  </w:p>
                </w:tc>
                <w:tc>
                  <w:tcPr>
                    <w:tcW w:w="10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2.88</w:t>
                    </w:r>
                  </w:p>
                </w:tc>
                <w:tc>
                  <w:tcPr>
                    <w:tcW w:w="125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97.58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966"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bCs/>
                        <w:sz w:val="20"/>
                        <w:szCs w:val="20"/>
                      </w:rPr>
                    </w:pPr>
                    <w:r>
                      <w:rPr>
                        <w:rFonts w:hint="eastAsia" w:asciiTheme="minorEastAsia" w:hAnsiTheme="minorEastAsia" w:eastAsiaTheme="minorEastAsia"/>
                        <w:bCs/>
                        <w:sz w:val="20"/>
                        <w:szCs w:val="20"/>
                      </w:rPr>
                      <w:t>山东能源集团向本集团销售商品、提供服务</w:t>
                    </w:r>
                  </w:p>
                </w:tc>
                <w:tc>
                  <w:tcPr>
                    <w:tcW w:w="1643" w:type="dxa"/>
                    <w:tcBorders>
                      <w:top w:val="single" w:color="auto" w:sz="4" w:space="0"/>
                      <w:left w:val="nil"/>
                      <w:bottom w:val="single" w:color="auto" w:sz="4" w:space="0"/>
                      <w:right w:val="single" w:color="auto" w:sz="4" w:space="0"/>
                    </w:tcBorders>
                    <w:vAlign w:val="center"/>
                  </w:tcPr>
                  <w:p>
                    <w:pPr>
                      <w:ind w:left="420" w:right="105"/>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7,335,209</w:t>
                    </w:r>
                  </w:p>
                </w:tc>
                <w:tc>
                  <w:tcPr>
                    <w:tcW w:w="1404" w:type="dxa"/>
                    <w:tcBorders>
                      <w:top w:val="single" w:color="auto" w:sz="4" w:space="0"/>
                      <w:left w:val="nil"/>
                      <w:bottom w:val="single" w:color="auto" w:sz="4" w:space="0"/>
                      <w:right w:val="single" w:color="auto" w:sz="4" w:space="0"/>
                    </w:tcBorders>
                    <w:vAlign w:val="center"/>
                  </w:tcPr>
                  <w:p>
                    <w:pPr>
                      <w:ind w:left="420" w:right="21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4.89</w:t>
                    </w:r>
                  </w:p>
                </w:tc>
                <w:tc>
                  <w:tcPr>
                    <w:tcW w:w="146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5,760,498</w:t>
                    </w:r>
                  </w:p>
                </w:tc>
                <w:tc>
                  <w:tcPr>
                    <w:tcW w:w="109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2.83</w:t>
                    </w:r>
                  </w:p>
                </w:tc>
                <w:tc>
                  <w:tcPr>
                    <w:tcW w:w="125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27.34</w:t>
                    </w:r>
                  </w:p>
                </w:tc>
              </w:tr>
            </w:tbl>
            <w:p>
              <w:pPr>
                <w:rPr>
                  <w:rFonts w:asciiTheme="minorEastAsia" w:hAnsiTheme="minorEastAsia" w:eastAsiaTheme="minorEastAsia"/>
                </w:rPr>
              </w:pPr>
              <w:r>
                <w:rPr>
                  <w:rFonts w:hint="eastAsia" w:asciiTheme="minorEastAsia" w:hAnsiTheme="minorEastAsia" w:eastAsiaTheme="minorEastAsia"/>
                </w:rPr>
                <w:t xml:space="preserve">    注：上表关联交易金额及所占营业收入比例，按照鲁西矿业、新疆能化实际并表日列示，未同口径追溯调整。</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2023年，本集团向山东能源集团销售煤炭对本集团利润的影响如下表：</w:t>
              </w:r>
            </w:p>
            <w:tbl>
              <w:tblPr>
                <w:tblStyle w:val="20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1984"/>
                <w:gridCol w:w="1896"/>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bCs/>
                        <w:sz w:val="20"/>
                        <w:szCs w:val="20"/>
                      </w:rPr>
                    </w:pPr>
                  </w:p>
                </w:tc>
                <w:tc>
                  <w:tcPr>
                    <w:tcW w:w="198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营业收入（千元）</w:t>
                    </w:r>
                  </w:p>
                </w:tc>
                <w:tc>
                  <w:tcPr>
                    <w:tcW w:w="189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营业成本（千元）</w:t>
                    </w:r>
                  </w:p>
                </w:tc>
                <w:tc>
                  <w:tcPr>
                    <w:tcW w:w="168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毛利（千元）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25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bCs/>
                        <w:sz w:val="20"/>
                        <w:szCs w:val="20"/>
                      </w:rPr>
                    </w:pPr>
                    <w:r>
                      <w:rPr>
                        <w:rFonts w:hint="eastAsia" w:asciiTheme="minorEastAsia" w:hAnsiTheme="minorEastAsia" w:eastAsiaTheme="minorEastAsia"/>
                        <w:bCs/>
                        <w:sz w:val="20"/>
                        <w:szCs w:val="20"/>
                      </w:rPr>
                      <w:t>向山东能源集团销售煤炭</w:t>
                    </w:r>
                  </w:p>
                </w:tc>
                <w:tc>
                  <w:tcPr>
                    <w:tcW w:w="1984"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8,357,669</w:t>
                    </w:r>
                  </w:p>
                </w:tc>
                <w:tc>
                  <w:tcPr>
                    <w:tcW w:w="1896"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3,760,951</w:t>
                    </w:r>
                  </w:p>
                </w:tc>
                <w:tc>
                  <w:tcPr>
                    <w:tcW w:w="1687"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4,596,718</w:t>
                    </w:r>
                  </w:p>
                </w:tc>
              </w:tr>
            </w:tbl>
            <w:p>
              <w:pPr>
                <w:rPr>
                  <w:rFonts w:asciiTheme="minorEastAsia" w:hAnsiTheme="minorEastAsia" w:eastAsiaTheme="minorEastAsia"/>
                  <w:bCs/>
                </w:rPr>
              </w:pPr>
              <w:r>
                <w:rPr>
                  <w:rFonts w:hint="eastAsia" w:asciiTheme="minorEastAsia" w:hAnsiTheme="minorEastAsia" w:eastAsiaTheme="minorEastAsia"/>
                  <w:bCs/>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根据《保险金管理协议》，山东能源集团就本集团职工的基本养老保险金、补充医疗保险金（“保险金”）免费提供管理及转缴服务。</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②</w:t>
              </w:r>
              <w:r>
                <w:rPr>
                  <w:rFonts w:hint="eastAsia" w:asciiTheme="minorEastAsia" w:hAnsiTheme="minorEastAsia" w:eastAsiaTheme="minorEastAsia"/>
                  <w:shd w:val="clear" w:color="auto" w:fill="FFFFFF"/>
                </w:rPr>
                <w:t>受托管理山东能源部分权属公司</w:t>
              </w:r>
              <w:r>
                <w:rPr>
                  <w:rFonts w:hint="eastAsia" w:asciiTheme="minorEastAsia" w:hAnsiTheme="minorEastAsia" w:eastAsiaTheme="minorEastAsia"/>
                </w:rPr>
                <w:t>关联/关连交易</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公司2021年2月5日召开的2021年度第一次临时股东大会，</w:t>
              </w:r>
              <w:r>
                <w:rPr>
                  <w:rFonts w:hint="eastAsia" w:asciiTheme="minorEastAsia" w:hAnsiTheme="minorEastAsia" w:eastAsiaTheme="minorEastAsia"/>
                  <w:shd w:val="clear" w:color="auto" w:fill="FFFFFF"/>
                </w:rPr>
                <w:t>审议批准公司与</w:t>
              </w:r>
              <w:r>
                <w:rPr>
                  <w:rFonts w:hint="eastAsia" w:asciiTheme="minorEastAsia" w:hAnsiTheme="minorEastAsia" w:eastAsiaTheme="minorEastAsia"/>
                </w:rPr>
                <w:t>山东能源集团</w:t>
              </w:r>
              <w:r>
                <w:rPr>
                  <w:rFonts w:hint="eastAsia" w:asciiTheme="minorEastAsia" w:hAnsiTheme="minorEastAsia" w:eastAsiaTheme="minorEastAsia"/>
                  <w:shd w:val="clear" w:color="auto" w:fill="FFFFFF"/>
                </w:rPr>
                <w:t>签署《委托管理专项协议》</w:t>
              </w:r>
              <w:r>
                <w:rPr>
                  <w:rFonts w:hint="eastAsia" w:asciiTheme="minorEastAsia" w:hAnsiTheme="minorEastAsia" w:eastAsiaTheme="minorEastAsia"/>
                </w:rPr>
                <w:t>及其所限定交易在2021-2023年每年的交易上限金额。委托管理费用采用固定价格，即每个标的公司150万元/年。</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shd w:val="clear" w:color="auto" w:fill="FFFFFF"/>
                </w:rPr>
              </w:pPr>
              <w:r>
                <w:rPr>
                  <w:rFonts w:hint="eastAsia" w:asciiTheme="minorEastAsia" w:hAnsiTheme="minorEastAsia" w:eastAsiaTheme="minorEastAsia"/>
                </w:rPr>
                <w:t>③金融服务持续性关联/关连交易</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2022年10月28日召开的2022年度第二次临时股东大会，审议批准山能财司与山东能源签署《金融服务协议》，约定山能财司向山东能源集团提供存款、综合授信以及其他金融服务及其所限定交易在2023-2025年每年的交易上限金额。相关存款利率、贷款利率及服务费均按照中国人民银行或金融监管机构的有关规定，参照正常商业条款厘定。</w:t>
              </w:r>
            </w:p>
            <w:p>
              <w:pPr>
                <w:ind w:firstLine="420" w:firstLineChars="200"/>
                <w:rPr>
                  <w:rFonts w:asciiTheme="minorEastAsia" w:hAnsiTheme="minorEastAsia" w:eastAsiaTheme="minorEastAsia"/>
                </w:rPr>
              </w:pPr>
              <w:r>
                <w:rPr>
                  <w:rFonts w:hint="eastAsia" w:asciiTheme="minorEastAsia" w:hAnsiTheme="minorEastAsia" w:eastAsiaTheme="minorEastAsia"/>
                </w:rPr>
                <w:t>2023年12月31日山东能源集团在山能财司的存款为251.81亿元，综合授信余额为153.35亿元，2023年，发生的金融服务费用为79.60万元。</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2022年10月28日召开的2022年度第二次临时股东大会，审议批准山能财司与兖矿能源签署《金融服务协议》，约定山能财司向兖矿能源提供存款、综合授信以及其他金融服务及其所限定交易在2023-2025年每年的交易上限金额。相关存款利率、贷款利率及服务费均按照中国人民银行或金融监管机构的有关规定，参照正常商业条款厘定。</w:t>
              </w:r>
            </w:p>
            <w:p>
              <w:pPr>
                <w:ind w:firstLine="420" w:firstLineChars="200"/>
                <w:rPr>
                  <w:rFonts w:asciiTheme="minorEastAsia" w:hAnsiTheme="minorEastAsia" w:eastAsiaTheme="minorEastAsia"/>
                </w:rPr>
              </w:pPr>
              <w:r>
                <w:rPr>
                  <w:rFonts w:hint="eastAsia" w:asciiTheme="minorEastAsia" w:hAnsiTheme="minorEastAsia" w:eastAsiaTheme="minorEastAsia"/>
                </w:rPr>
                <w:t>2023年12月31日兖矿能源在山能财司的存款为76.40亿元，综合授信余额为141.81亿元，2023年，发生的金融服务费用为315.50万元。</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④融资租赁持续性关联/关连交易</w:t>
              </w:r>
            </w:p>
            <w:p>
              <w:pPr>
                <w:ind w:firstLine="420" w:firstLineChars="200"/>
                <w:rPr>
                  <w:rFonts w:asciiTheme="minorEastAsia" w:hAnsiTheme="minorEastAsia" w:eastAsiaTheme="minorEastAsia"/>
                  <w:shd w:val="clear" w:color="auto" w:fill="FFFFFF"/>
                </w:rPr>
              </w:pPr>
              <w:r>
                <w:rPr>
                  <w:rFonts w:hint="eastAsia" w:asciiTheme="minorEastAsia" w:hAnsiTheme="minorEastAsia" w:eastAsiaTheme="minorEastAsia"/>
                </w:rPr>
                <w:t>公司2021年2月5日召开的2021年度第一次临时股东大会，</w:t>
              </w:r>
              <w:r>
                <w:rPr>
                  <w:rFonts w:hint="eastAsia" w:asciiTheme="minorEastAsia" w:hAnsiTheme="minorEastAsia" w:eastAsiaTheme="minorEastAsia"/>
                  <w:shd w:val="clear" w:color="auto" w:fill="FFFFFF"/>
                </w:rPr>
                <w:t>审议批准公司与</w:t>
              </w:r>
              <w:r>
                <w:rPr>
                  <w:rFonts w:hint="eastAsia" w:asciiTheme="minorEastAsia" w:hAnsiTheme="minorEastAsia" w:eastAsiaTheme="minorEastAsia"/>
                </w:rPr>
                <w:t>山东能源集团</w:t>
              </w:r>
              <w:r>
                <w:rPr>
                  <w:rFonts w:hint="eastAsia" w:asciiTheme="minorEastAsia" w:hAnsiTheme="minorEastAsia" w:eastAsiaTheme="minorEastAsia"/>
                  <w:shd w:val="clear" w:color="auto" w:fill="FFFFFF"/>
                </w:rPr>
                <w:t>签署《融资租赁协议》及其所限定交易于</w:t>
              </w:r>
              <w:r>
                <w:rPr>
                  <w:rFonts w:hint="eastAsia" w:asciiTheme="minorEastAsia" w:hAnsiTheme="minorEastAsia" w:eastAsiaTheme="minorEastAsia"/>
                </w:rPr>
                <w:t>2021-2023年每年</w:t>
              </w:r>
              <w:r>
                <w:rPr>
                  <w:rFonts w:hint="eastAsia" w:asciiTheme="minorEastAsia" w:hAnsiTheme="minorEastAsia" w:eastAsiaTheme="minorEastAsia"/>
                  <w:shd w:val="clear" w:color="auto" w:fill="FFFFFF"/>
                </w:rPr>
                <w:t>的交易上限金额。确定租赁利率的方式为在全国银行间同业拆借中心公布的同期贷款市场报价利率的基础上上浮不低于5%，最高利率不超过7.5%。</w:t>
              </w:r>
            </w:p>
            <w:p>
              <w:pPr>
                <w:ind w:firstLine="420" w:firstLineChars="200"/>
                <w:rPr>
                  <w:rFonts w:asciiTheme="minorEastAsia" w:hAnsiTheme="minorEastAsia" w:eastAsiaTheme="minorEastAsia"/>
                  <w:shd w:val="clear" w:color="auto" w:fill="FFFFFF"/>
                </w:rPr>
              </w:pPr>
              <w:r>
                <w:rPr>
                  <w:rFonts w:hint="eastAsia" w:asciiTheme="minorEastAsia" w:hAnsiTheme="minorEastAsia" w:eastAsiaTheme="minorEastAsia"/>
                  <w:shd w:val="clear" w:color="auto" w:fill="FFFFFF"/>
                </w:rPr>
                <w:t>根据《融资租赁协议》，兖矿租赁向</w:t>
              </w:r>
              <w:r>
                <w:rPr>
                  <w:rFonts w:hint="eastAsia" w:asciiTheme="minorEastAsia" w:hAnsiTheme="minorEastAsia" w:eastAsiaTheme="minorEastAsia"/>
                </w:rPr>
                <w:t>山东能源集团</w:t>
              </w:r>
              <w:r>
                <w:rPr>
                  <w:rFonts w:hint="eastAsia" w:asciiTheme="minorEastAsia" w:hAnsiTheme="minorEastAsia" w:eastAsiaTheme="minorEastAsia"/>
                  <w:shd w:val="clear" w:color="auto" w:fill="FFFFFF"/>
                </w:rPr>
                <w:t>提供融资租赁服务，在兖矿租赁支付租赁资产转让价款当日或之前一次性收取手续费或咨询费，按季度收取租金。</w:t>
              </w:r>
            </w:p>
            <w:p>
              <w:pPr>
                <w:ind w:firstLine="420" w:firstLineChars="200"/>
                <w:rPr>
                  <w:rFonts w:cs="Arial" w:asciiTheme="minorEastAsia" w:hAnsiTheme="minorEastAsia" w:eastAsiaTheme="minorEastAsia"/>
                  <w:color w:val="333333"/>
                </w:rPr>
              </w:pPr>
            </w:p>
            <w:p>
              <w:pPr>
                <w:ind w:firstLine="420" w:firstLineChars="200"/>
                <w:rPr>
                  <w:rFonts w:asciiTheme="minorEastAsia" w:hAnsiTheme="minorEastAsia" w:eastAsiaTheme="minorEastAsia"/>
                </w:rPr>
              </w:pPr>
              <w:r>
                <w:rPr>
                  <w:rFonts w:hint="eastAsia" w:cs="Arial" w:asciiTheme="minorEastAsia" w:hAnsiTheme="minorEastAsia" w:eastAsiaTheme="minorEastAsia"/>
                  <w:color w:val="333333"/>
                </w:rPr>
                <w:t>⑤</w:t>
              </w:r>
              <w:r>
                <w:rPr>
                  <w:rFonts w:hint="eastAsia" w:asciiTheme="minorEastAsia" w:hAnsiTheme="minorEastAsia" w:eastAsiaTheme="minorEastAsia"/>
                </w:rPr>
                <w:t xml:space="preserve">委托管理持续性关联/关连交易 </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2022年1月27日召开的第八届董事会第二十次会议，审议批准公司与山东能源集团签订《委托管理服务框架协议》及其所限定交易于2022-2024年每年的年度交易上限金额。委托管理费用由双方根据具体标的资产的状况、兖矿能源进行委托管理的成本及标的资产的盈利情况确定。协议有效期内，兖矿能源收取的委托管理费用年度上限金额为人民币6,000万元。</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2023年，山东能源集团向公司支付委托管理费用1,647.20万元。</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上述持续性关联/关连交易协议限定的2023年交易上限金额及2023年实际交易情况如下：</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tbl>
              <w:tblPr>
                <w:tblStyle w:val="20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557"/>
                <w:gridCol w:w="1620"/>
                <w:gridCol w:w="2471"/>
                <w:gridCol w:w="1349"/>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bookmarkStart w:id="138" w:name="_Hlk156830398"/>
                    <w:r>
                      <w:rPr>
                        <w:rFonts w:hint="eastAsia" w:asciiTheme="minorEastAsia" w:hAnsiTheme="minorEastAsia" w:eastAsiaTheme="minorEastAsia"/>
                        <w:sz w:val="21"/>
                        <w:szCs w:val="21"/>
                      </w:rPr>
                      <w:t>序号</w:t>
                    </w:r>
                    <w:bookmarkEnd w:id="138"/>
                  </w:p>
                </w:tc>
                <w:tc>
                  <w:tcPr>
                    <w:tcW w:w="1755" w:type="pct"/>
                    <w:gridSpan w:val="2"/>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关联/关连交易类别</w:t>
                    </w:r>
                  </w:p>
                </w:tc>
                <w:tc>
                  <w:tcPr>
                    <w:tcW w:w="136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执行依据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2023年交易上限金额（千元）</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2023年实际执行额（千元）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755" w:type="pct"/>
                    <w:gridSpan w:val="2"/>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从山东能源集团采购材料物资和设备</w:t>
                    </w:r>
                  </w:p>
                </w:tc>
                <w:tc>
                  <w:tcPr>
                    <w:tcW w:w="136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《材料物资供应协议》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5,370,000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4,210,581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restar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755" w:type="pct"/>
                    <w:gridSpan w:val="2"/>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接受山东能源集团劳务及服务</w:t>
                    </w:r>
                  </w:p>
                </w:tc>
                <w:tc>
                  <w:tcPr>
                    <w:tcW w:w="1365" w:type="pct"/>
                    <w:vMerge w:val="restar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《劳务及服务互供协议》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4,830,000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2,910,415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tcBorders>
                      <w:top w:val="nil"/>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p>
                </w:tc>
                <w:tc>
                  <w:tcPr>
                    <w:tcW w:w="1755" w:type="pct"/>
                    <w:gridSpan w:val="2"/>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向山东能源集团提供劳务及服务</w:t>
                    </w:r>
                  </w:p>
                </w:tc>
                <w:tc>
                  <w:tcPr>
                    <w:tcW w:w="1365" w:type="pct"/>
                    <w:vMerge w:val="continue"/>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141,000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56,478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755" w:type="pct"/>
                    <w:gridSpan w:val="2"/>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山东能源集团就本集团职工的保险金免费提供管理及转缴服务</w:t>
                    </w:r>
                  </w:p>
                </w:tc>
                <w:tc>
                  <w:tcPr>
                    <w:tcW w:w="136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《保险金管理协议》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230,000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755" w:type="pct"/>
                    <w:gridSpan w:val="2"/>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向山东能源集团销售产品、材料物资及资产租赁</w:t>
                    </w:r>
                  </w:p>
                </w:tc>
                <w:tc>
                  <w:tcPr>
                    <w:tcW w:w="136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《产品、材料物资供应及资产租赁协议》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14,196,000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9,086,890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restar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755" w:type="pct"/>
                    <w:gridSpan w:val="2"/>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向山东能源集团采购大宗商品</w:t>
                    </w:r>
                  </w:p>
                </w:tc>
                <w:tc>
                  <w:tcPr>
                    <w:tcW w:w="1365" w:type="pct"/>
                    <w:vMerge w:val="restar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《大宗商品购销协议》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2,000,000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214,213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tcBorders>
                      <w:top w:val="nil"/>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p>
                </w:tc>
                <w:tc>
                  <w:tcPr>
                    <w:tcW w:w="1755" w:type="pct"/>
                    <w:gridSpan w:val="2"/>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向山东能源集团销售大宗商品</w:t>
                    </w:r>
                  </w:p>
                </w:tc>
                <w:tc>
                  <w:tcPr>
                    <w:tcW w:w="1365" w:type="pct"/>
                    <w:vMerge w:val="continue"/>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6,000,000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2,404,131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59" w:type="pct"/>
                    <w:vMerge w:val="restar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860"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向山东能源集团提供金融服务</w:t>
                    </w:r>
                  </w:p>
                </w:tc>
                <w:tc>
                  <w:tcPr>
                    <w:tcW w:w="895" w:type="pct"/>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存款</w:t>
                    </w:r>
                  </w:p>
                </w:tc>
                <w:tc>
                  <w:tcPr>
                    <w:tcW w:w="1365" w:type="pct"/>
                    <w:vMerge w:val="restart"/>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山东能源集团《金融服务协议》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62,500,000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25,180,643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59" w:type="pct"/>
                    <w:vMerge w:val="continue"/>
                    <w:tcBorders>
                      <w:top w:val="nil"/>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p>
                </w:tc>
                <w:tc>
                  <w:tcPr>
                    <w:tcW w:w="860" w:type="pct"/>
                    <w:vMerge w:val="continue"/>
                    <w:tcBorders>
                      <w:top w:val="nil"/>
                      <w:left w:val="nil"/>
                      <w:bottom w:val="single" w:color="auto" w:sz="4" w:space="0"/>
                      <w:right w:val="single" w:color="auto" w:sz="4" w:space="0"/>
                    </w:tcBorders>
                    <w:vAlign w:val="center"/>
                  </w:tcPr>
                  <w:p>
                    <w:pPr>
                      <w:rPr>
                        <w:rFonts w:asciiTheme="minorEastAsia" w:hAnsiTheme="minorEastAsia" w:eastAsiaTheme="minorEastAsia"/>
                        <w:bCs/>
                        <w:sz w:val="21"/>
                        <w:szCs w:val="21"/>
                      </w:rPr>
                    </w:pPr>
                  </w:p>
                </w:tc>
                <w:tc>
                  <w:tcPr>
                    <w:tcW w:w="895" w:type="pct"/>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综合授信</w:t>
                    </w:r>
                  </w:p>
                </w:tc>
                <w:tc>
                  <w:tcPr>
                    <w:tcW w:w="1365" w:type="pct"/>
                    <w:vMerge w:val="continue"/>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28,000,000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15,334,547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tcBorders>
                      <w:top w:val="nil"/>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p>
                </w:tc>
                <w:tc>
                  <w:tcPr>
                    <w:tcW w:w="860" w:type="pct"/>
                    <w:vMerge w:val="continue"/>
                    <w:tcBorders>
                      <w:top w:val="nil"/>
                      <w:left w:val="nil"/>
                      <w:bottom w:val="single" w:color="auto" w:sz="4" w:space="0"/>
                      <w:right w:val="single" w:color="auto" w:sz="4" w:space="0"/>
                    </w:tcBorders>
                    <w:vAlign w:val="center"/>
                  </w:tcPr>
                  <w:p>
                    <w:pPr>
                      <w:rPr>
                        <w:rFonts w:asciiTheme="minorEastAsia" w:hAnsiTheme="minorEastAsia" w:eastAsiaTheme="minorEastAsia"/>
                        <w:bCs/>
                        <w:sz w:val="21"/>
                        <w:szCs w:val="21"/>
                      </w:rPr>
                    </w:pPr>
                  </w:p>
                </w:tc>
                <w:tc>
                  <w:tcPr>
                    <w:tcW w:w="895" w:type="pct"/>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金融服务手续费</w:t>
                    </w:r>
                  </w:p>
                </w:tc>
                <w:tc>
                  <w:tcPr>
                    <w:tcW w:w="1365" w:type="pct"/>
                    <w:vMerge w:val="continue"/>
                    <w:tcBorders>
                      <w:top w:val="nil"/>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860" w:type="pct"/>
                    <w:vMerge w:val="restart"/>
                    <w:tcBorders>
                      <w:top w:val="single" w:color="auto" w:sz="4" w:space="0"/>
                      <w:left w:val="nil"/>
                      <w:right w:val="single" w:color="auto" w:sz="4" w:space="0"/>
                    </w:tcBorders>
                    <w:vAlign w:val="center"/>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向兖矿能源提供金融服务</w:t>
                    </w:r>
                  </w:p>
                </w:tc>
                <w:tc>
                  <w:tcPr>
                    <w:tcW w:w="895" w:type="pct"/>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存款</w:t>
                    </w:r>
                  </w:p>
                </w:tc>
                <w:tc>
                  <w:tcPr>
                    <w:tcW w:w="1365" w:type="pct"/>
                    <w:vMerge w:val="restart"/>
                    <w:tcBorders>
                      <w:top w:val="single" w:color="auto" w:sz="4" w:space="0"/>
                      <w:left w:val="nil"/>
                      <w:right w:val="single" w:color="auto" w:sz="4" w:space="0"/>
                    </w:tcBorders>
                    <w:vAlign w:val="center"/>
                  </w:tcPr>
                  <w:p>
                    <w:pPr>
                      <w:jc w:val="center"/>
                      <w:rPr>
                        <w:rFonts w:asciiTheme="minorEastAsia" w:hAnsiTheme="minorEastAsia" w:eastAsiaTheme="minorEastAsia"/>
                        <w:bCs/>
                        <w:sz w:val="21"/>
                        <w:szCs w:val="21"/>
                        <w:shd w:val="clear" w:color="auto" w:fill="FFFFFF"/>
                      </w:rPr>
                    </w:pPr>
                    <w:r>
                      <w:rPr>
                        <w:rFonts w:hint="eastAsia" w:asciiTheme="minorEastAsia" w:hAnsiTheme="minorEastAsia" w:eastAsiaTheme="minorEastAsia"/>
                        <w:bCs/>
                        <w:sz w:val="21"/>
                        <w:szCs w:val="21"/>
                      </w:rPr>
                      <w:t>兖矿能源集团《金融服务协议》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27</w:t>
                    </w:r>
                    <w:r>
                      <w:rPr>
                        <w:rFonts w:hint="eastAsia" w:asciiTheme="minorEastAsia" w:hAnsiTheme="minorEastAsia" w:eastAsiaTheme="minorEastAsia"/>
                        <w:sz w:val="21"/>
                        <w:szCs w:val="21"/>
                      </w:rPr>
                      <w:t>,</w:t>
                    </w:r>
                    <w:r>
                      <w:rPr>
                        <w:rFonts w:asciiTheme="minorEastAsia" w:hAnsiTheme="minorEastAsia" w:eastAsiaTheme="minorEastAsia"/>
                        <w:sz w:val="21"/>
                        <w:szCs w:val="21"/>
                      </w:rPr>
                      <w:t>0</w:t>
                    </w:r>
                    <w:r>
                      <w:rPr>
                        <w:rFonts w:hint="eastAsia" w:asciiTheme="minorEastAsia" w:hAnsiTheme="minorEastAsia" w:eastAsiaTheme="minorEastAsia"/>
                        <w:sz w:val="21"/>
                        <w:szCs w:val="21"/>
                      </w:rPr>
                      <w:t>00,000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7,640,416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tcBorders>
                      <w:left w:val="single" w:color="auto" w:sz="4" w:space="0"/>
                      <w:right w:val="single" w:color="auto" w:sz="4" w:space="0"/>
                    </w:tcBorders>
                    <w:vAlign w:val="center"/>
                  </w:tcPr>
                  <w:p>
                    <w:pPr>
                      <w:jc w:val="center"/>
                      <w:rPr>
                        <w:rFonts w:asciiTheme="minorEastAsia" w:hAnsiTheme="minorEastAsia" w:eastAsiaTheme="minorEastAsia"/>
                        <w:sz w:val="21"/>
                        <w:szCs w:val="21"/>
                      </w:rPr>
                    </w:pPr>
                  </w:p>
                </w:tc>
                <w:tc>
                  <w:tcPr>
                    <w:tcW w:w="860" w:type="pct"/>
                    <w:vMerge w:val="continue"/>
                    <w:tcBorders>
                      <w:left w:val="nil"/>
                      <w:right w:val="single" w:color="auto" w:sz="4" w:space="0"/>
                    </w:tcBorders>
                    <w:vAlign w:val="center"/>
                  </w:tcPr>
                  <w:p>
                    <w:pPr>
                      <w:rPr>
                        <w:rFonts w:asciiTheme="minorEastAsia" w:hAnsiTheme="minorEastAsia" w:eastAsiaTheme="minorEastAsia"/>
                        <w:bCs/>
                        <w:sz w:val="21"/>
                        <w:szCs w:val="21"/>
                      </w:rPr>
                    </w:pPr>
                  </w:p>
                </w:tc>
                <w:tc>
                  <w:tcPr>
                    <w:tcW w:w="895" w:type="pct"/>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综合授信</w:t>
                    </w:r>
                  </w:p>
                </w:tc>
                <w:tc>
                  <w:tcPr>
                    <w:tcW w:w="1365" w:type="pct"/>
                    <w:vMerge w:val="continue"/>
                    <w:tcBorders>
                      <w:left w:val="nil"/>
                      <w:right w:val="single" w:color="auto" w:sz="4" w:space="0"/>
                    </w:tcBorders>
                    <w:vAlign w:val="center"/>
                  </w:tcPr>
                  <w:p>
                    <w:pPr>
                      <w:jc w:val="center"/>
                      <w:rPr>
                        <w:rFonts w:asciiTheme="minorEastAsia" w:hAnsiTheme="minorEastAsia" w:eastAsiaTheme="minorEastAsia"/>
                        <w:bCs/>
                        <w:sz w:val="21"/>
                        <w:szCs w:val="21"/>
                        <w:shd w:val="clear" w:color="auto" w:fill="FFFFFF"/>
                      </w:rPr>
                    </w:pP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15</w:t>
                    </w:r>
                    <w:r>
                      <w:rPr>
                        <w:rFonts w:hint="eastAsia" w:asciiTheme="minorEastAsia" w:hAnsiTheme="minorEastAsia" w:eastAsiaTheme="minorEastAsia"/>
                        <w:sz w:val="21"/>
                        <w:szCs w:val="21"/>
                      </w:rPr>
                      <w:t>,000,000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14,18</w:t>
                    </w:r>
                    <w:r>
                      <w:rPr>
                        <w:rFonts w:hint="eastAsia" w:asciiTheme="minorEastAsia" w:hAnsiTheme="minorEastAsia" w:eastAsiaTheme="minorEastAsia"/>
                        <w:sz w:val="21"/>
                        <w:szCs w:val="21"/>
                      </w:rPr>
                      <w:t>1</w:t>
                    </w:r>
                    <w:r>
                      <w:rPr>
                        <w:rFonts w:asciiTheme="minorEastAsia" w:hAnsiTheme="minorEastAsia" w:eastAsiaTheme="minorEastAsia"/>
                        <w:sz w:val="21"/>
                        <w:szCs w:val="21"/>
                      </w:rPr>
                      <w:t>,</w:t>
                    </w:r>
                    <w:r>
                      <w:rPr>
                        <w:rFonts w:hint="eastAsia" w:asciiTheme="minorEastAsia" w:hAnsiTheme="minorEastAsia" w:eastAsiaTheme="minorEastAsia"/>
                        <w:sz w:val="21"/>
                        <w:szCs w:val="21"/>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p>
                </w:tc>
                <w:tc>
                  <w:tcPr>
                    <w:tcW w:w="860" w:type="pct"/>
                    <w:vMerge w:val="continue"/>
                    <w:tcBorders>
                      <w:left w:val="nil"/>
                      <w:bottom w:val="single" w:color="auto" w:sz="4" w:space="0"/>
                      <w:right w:val="single" w:color="auto" w:sz="4" w:space="0"/>
                    </w:tcBorders>
                    <w:vAlign w:val="center"/>
                  </w:tcPr>
                  <w:p>
                    <w:pPr>
                      <w:rPr>
                        <w:rFonts w:asciiTheme="minorEastAsia" w:hAnsiTheme="minorEastAsia" w:eastAsiaTheme="minorEastAsia"/>
                        <w:bCs/>
                        <w:sz w:val="21"/>
                        <w:szCs w:val="21"/>
                      </w:rPr>
                    </w:pPr>
                  </w:p>
                </w:tc>
                <w:tc>
                  <w:tcPr>
                    <w:tcW w:w="895" w:type="pct"/>
                    <w:tcBorders>
                      <w:top w:val="single" w:color="auto" w:sz="4" w:space="0"/>
                      <w:left w:val="nil"/>
                      <w:bottom w:val="single" w:color="auto" w:sz="4" w:space="0"/>
                      <w:right w:val="single" w:color="auto" w:sz="4" w:space="0"/>
                    </w:tcBorders>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金融服务手续费</w:t>
                    </w:r>
                  </w:p>
                </w:tc>
                <w:tc>
                  <w:tcPr>
                    <w:tcW w:w="1365" w:type="pct"/>
                    <w:vMerge w:val="continue"/>
                    <w:tcBorders>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shd w:val="clear" w:color="auto" w:fill="FFFFFF"/>
                      </w:rPr>
                    </w:pP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asciiTheme="minorEastAsia" w:hAnsiTheme="minorEastAsia" w:eastAsiaTheme="minorEastAsia"/>
                        <w:sz w:val="21"/>
                        <w:szCs w:val="21"/>
                      </w:rPr>
                      <w:t>5</w:t>
                    </w:r>
                    <w:r>
                      <w:rPr>
                        <w:rFonts w:hint="eastAsia" w:asciiTheme="minorEastAsia" w:hAnsiTheme="minorEastAsia" w:eastAsiaTheme="minorEastAsia"/>
                        <w:sz w:val="21"/>
                        <w:szCs w:val="21"/>
                      </w:rPr>
                      <w:t>,000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755" w:type="pct"/>
                    <w:gridSpan w:val="2"/>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向山东能源集团提供委托管理服务</w:t>
                    </w:r>
                  </w:p>
                </w:tc>
                <w:tc>
                  <w:tcPr>
                    <w:tcW w:w="136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shd w:val="clear" w:color="auto" w:fill="FFFFFF"/>
                      </w:rPr>
                      <w:t>《委托管理专项协议》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restart"/>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860"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向山东能源集团提供融资租赁服务</w:t>
                    </w:r>
                  </w:p>
                </w:tc>
                <w:tc>
                  <w:tcPr>
                    <w:tcW w:w="895"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融资总额</w:t>
                    </w:r>
                  </w:p>
                </w:tc>
                <w:tc>
                  <w:tcPr>
                    <w:tcW w:w="1365" w:type="pct"/>
                    <w:vMerge w:val="restart"/>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1"/>
                        <w:szCs w:val="21"/>
                        <w:shd w:val="clear" w:color="auto" w:fill="FFFFFF"/>
                      </w:rPr>
                    </w:pPr>
                    <w:r>
                      <w:rPr>
                        <w:rFonts w:hint="eastAsia" w:asciiTheme="minorEastAsia" w:hAnsiTheme="minorEastAsia" w:eastAsiaTheme="minorEastAsia"/>
                        <w:sz w:val="21"/>
                        <w:szCs w:val="21"/>
                        <w:shd w:val="clear" w:color="auto" w:fill="FFFFFF"/>
                      </w:rPr>
                      <w:t>《融资租赁协议》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8,680,000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tcBorders>
                      <w:top w:val="nil"/>
                      <w:left w:val="single" w:color="auto" w:sz="4" w:space="0"/>
                      <w:bottom w:val="single" w:color="auto" w:sz="4" w:space="0"/>
                      <w:right w:val="single" w:color="auto" w:sz="4" w:space="0"/>
                    </w:tcBorders>
                    <w:vAlign w:val="center"/>
                  </w:tcPr>
                  <w:p>
                    <w:pPr>
                      <w:rPr>
                        <w:rFonts w:asciiTheme="minorEastAsia" w:hAnsiTheme="minorEastAsia" w:eastAsiaTheme="minorEastAsia"/>
                        <w:sz w:val="21"/>
                        <w:szCs w:val="21"/>
                      </w:rPr>
                    </w:pPr>
                  </w:p>
                </w:tc>
                <w:tc>
                  <w:tcPr>
                    <w:tcW w:w="860" w:type="pct"/>
                    <w:vMerge w:val="continue"/>
                    <w:tcBorders>
                      <w:top w:val="nil"/>
                      <w:left w:val="nil"/>
                      <w:bottom w:val="single" w:color="auto" w:sz="4" w:space="0"/>
                      <w:right w:val="single" w:color="auto" w:sz="4" w:space="0"/>
                    </w:tcBorders>
                    <w:vAlign w:val="center"/>
                  </w:tcPr>
                  <w:p>
                    <w:pPr>
                      <w:rPr>
                        <w:rFonts w:asciiTheme="minorEastAsia" w:hAnsiTheme="minorEastAsia" w:eastAsiaTheme="minorEastAsia"/>
                        <w:bCs/>
                        <w:sz w:val="21"/>
                        <w:szCs w:val="21"/>
                      </w:rPr>
                    </w:pPr>
                  </w:p>
                </w:tc>
                <w:tc>
                  <w:tcPr>
                    <w:tcW w:w="895"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利息及费用</w:t>
                    </w:r>
                  </w:p>
                </w:tc>
                <w:tc>
                  <w:tcPr>
                    <w:tcW w:w="1365" w:type="pct"/>
                    <w:vMerge w:val="continue"/>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1"/>
                        <w:szCs w:val="21"/>
                        <w:shd w:val="clear" w:color="auto" w:fill="FFFFFF"/>
                      </w:rPr>
                    </w:pP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680,000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0</w:t>
                    </w:r>
                  </w:p>
                </w:tc>
                <w:tc>
                  <w:tcPr>
                    <w:tcW w:w="1755" w:type="pct"/>
                    <w:gridSpan w:val="2"/>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bCs/>
                        <w:sz w:val="21"/>
                        <w:szCs w:val="21"/>
                      </w:rPr>
                    </w:pPr>
                    <w:r>
                      <w:rPr>
                        <w:rFonts w:hint="eastAsia" w:asciiTheme="minorEastAsia" w:hAnsiTheme="minorEastAsia" w:eastAsiaTheme="minorEastAsia"/>
                        <w:bCs/>
                        <w:sz w:val="21"/>
                        <w:szCs w:val="21"/>
                      </w:rPr>
                      <w:t>向山东能源集团提供委托管理服务</w:t>
                    </w:r>
                  </w:p>
                </w:tc>
                <w:tc>
                  <w:tcPr>
                    <w:tcW w:w="136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《委托管理服务框架协议》</w:t>
                    </w:r>
                  </w:p>
                </w:tc>
                <w:tc>
                  <w:tcPr>
                    <w:tcW w:w="74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60,000</w:t>
                    </w:r>
                  </w:p>
                </w:tc>
                <w:tc>
                  <w:tcPr>
                    <w:tcW w:w="775"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w:t>
                    </w:r>
                    <w:r>
                      <w:rPr>
                        <w:rFonts w:asciiTheme="minorEastAsia" w:hAnsiTheme="minorEastAsia" w:eastAsiaTheme="minorEastAsia"/>
                        <w:sz w:val="21"/>
                        <w:szCs w:val="21"/>
                      </w:rPr>
                      <w:t>,</w:t>
                    </w:r>
                    <w:r>
                      <w:rPr>
                        <w:rFonts w:hint="eastAsia" w:asciiTheme="minorEastAsia" w:hAnsiTheme="minorEastAsia" w:eastAsiaTheme="minorEastAsia"/>
                        <w:sz w:val="21"/>
                        <w:szCs w:val="21"/>
                      </w:rPr>
                      <w:t>47</w:t>
                    </w:r>
                    <w:r>
                      <w:rPr>
                        <w:rFonts w:asciiTheme="minorEastAsia" w:hAnsiTheme="minorEastAsia" w:eastAsiaTheme="minorEastAsia"/>
                        <w:sz w:val="21"/>
                        <w:szCs w:val="21"/>
                      </w:rPr>
                      <w:t>2</w:t>
                    </w:r>
                  </w:p>
                </w:tc>
              </w:tr>
            </w:tbl>
            <w:p>
              <w:pPr>
                <w:rPr>
                  <w:rFonts w:asciiTheme="minorEastAsia" w:hAnsiTheme="minorEastAsia" w:eastAsiaTheme="minorEastAsia"/>
                </w:rPr>
              </w:pPr>
              <w:r>
                <w:rPr>
                  <w:rFonts w:hint="eastAsia" w:asciiTheme="minorEastAsia" w:hAnsiTheme="minorEastAsia" w:eastAsiaTheme="minorEastAsia"/>
                </w:rPr>
                <w:t xml:space="preserve"> </w:t>
              </w:r>
            </w:p>
            <w:p>
              <w:pPr>
                <w:rPr>
                  <w:rFonts w:asciiTheme="minorEastAsia" w:hAnsiTheme="minorEastAsia" w:eastAsiaTheme="minorEastAsia"/>
                  <w:bCs/>
                </w:rPr>
              </w:pPr>
              <w:r>
                <w:rPr>
                  <w:rFonts w:hint="eastAsia" w:asciiTheme="minorEastAsia" w:hAnsiTheme="minorEastAsia" w:eastAsiaTheme="minorEastAsia"/>
                  <w:bCs/>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（2）报告期内与嘉能可集团持续性关联/关连交易协议审批与执行情况</w:t>
              </w:r>
            </w:p>
            <w:p>
              <w:pPr>
                <w:ind w:firstLine="420" w:firstLineChars="200"/>
                <w:rPr>
                  <w:rFonts w:asciiTheme="minorEastAsia" w:hAnsiTheme="minorEastAsia" w:eastAsiaTheme="minorEastAsia"/>
                </w:rPr>
              </w:pPr>
              <w:r>
                <w:rPr>
                  <w:rFonts w:hint="eastAsia" w:asciiTheme="minorEastAsia" w:hAnsiTheme="minorEastAsia" w:eastAsiaTheme="minorEastAsia"/>
                </w:rPr>
                <w:t>①煤炭销售持续性关联/关连交易</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2021年2月5日召开的2021年度第一次临时股东大会，审议批准兖煤澳洲与嘉能可续期《煤炭销售框架协议》及其所限定交易在2021-2023年每年的交易上限金额。确定价格的主要方式是：以市场价格为基础，并考虑相关行业基准和指数进行调整。交易款项支付时间由双方根据国际惯例及本协议所适用的法律法规来确定，在具体煤炭买卖协议中详细约定。</w:t>
              </w:r>
            </w:p>
            <w:p>
              <w:pPr>
                <w:ind w:firstLine="420" w:firstLineChars="200"/>
                <w:rPr>
                  <w:rFonts w:asciiTheme="minorEastAsia" w:hAnsiTheme="minorEastAsia" w:eastAsiaTheme="minorEastAsia"/>
                </w:rPr>
              </w:pPr>
              <w:r>
                <w:rPr>
                  <w:rFonts w:hint="eastAsia" w:asciiTheme="minorEastAsia" w:hAnsiTheme="minorEastAsia" w:eastAsiaTheme="minorEastAsia"/>
                </w:rPr>
                <w:t>2023年本集团向嘉能可集团销售煤炭的年度上限金额为3.5亿美元。2023年，此项关联/关连交易发生金额约0.64亿美元。</w:t>
              </w:r>
            </w:p>
            <w:p>
              <w:pPr>
                <w:ind w:firstLine="420" w:firstLineChars="200"/>
                <w:rPr>
                  <w:rFonts w:asciiTheme="minorEastAsia" w:hAnsiTheme="minorEastAsia" w:eastAsiaTheme="minorEastAsia"/>
                </w:rPr>
              </w:pPr>
              <w:r>
                <w:rPr>
                  <w:rFonts w:hint="eastAsia" w:asciiTheme="minorEastAsia" w:hAnsiTheme="minorEastAsia" w:eastAsiaTheme="minorEastAsia"/>
                </w:rPr>
                <w:t>②煤炭购买持续性关联/关连交易</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2021年2月5日召开的2021年度第一次临时股东大会，审议批准兖煤澳洲与嘉能可签署《HVO销售合约》及其所限定交易在2021-2023年每年的交易上限金额。《HVO销售合约》约定：兖煤澳洲附属公司亨特谷煤炭销售公司根据其与客户订立的每份销售协议收取的总金额及相应的产品配额，分别支付给兖煤澳洲及嘉能可相应的交易款项。亨特谷煤炭销售公司应不迟于在收到客户付款后的三个营业日内，向兖煤澳洲及嘉能可支付交易价款。</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公司2022年11月9日召开的第八届董事会第二十六次会议，审议批准《HVO销售合约》于2022-2023年每年的交易上限金额，由原审批的7.5亿美元上调至19亿美元。</w:t>
              </w:r>
            </w:p>
            <w:p>
              <w:pPr>
                <w:ind w:firstLine="420" w:firstLineChars="200"/>
                <w:rPr>
                  <w:rFonts w:asciiTheme="minorEastAsia" w:hAnsiTheme="minorEastAsia" w:eastAsiaTheme="minorEastAsia"/>
                </w:rPr>
              </w:pPr>
              <w:r>
                <w:rPr>
                  <w:rFonts w:hint="eastAsia" w:asciiTheme="minorEastAsia" w:hAnsiTheme="minorEastAsia" w:eastAsiaTheme="minorEastAsia"/>
                </w:rPr>
                <w:t>2023年，此项关联/关连交易发生金额约10.33亿美元。</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2021年2月5日召开的2021年度第一次临时股东大会，审议批准兖煤澳洲与嘉能可续期《煤炭购买框架协议》及其所限定交易在2021-2023年每年的交易上限金额。《煤炭购买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pPr>
                <w:ind w:firstLine="420" w:firstLineChars="200"/>
                <w:rPr>
                  <w:rFonts w:asciiTheme="minorEastAsia" w:hAnsiTheme="minorEastAsia" w:eastAsiaTheme="minorEastAsia"/>
                </w:rPr>
              </w:pPr>
              <w:r>
                <w:rPr>
                  <w:rFonts w:hint="eastAsia" w:asciiTheme="minorEastAsia" w:hAnsiTheme="minorEastAsia" w:eastAsiaTheme="minorEastAsia"/>
                </w:rPr>
                <w:t>2023年本集团向嘉能可集团购买《煤炭购买框架协议》项下的煤炭的年度上限金额为2.5亿美元。2023年，此项关联/关连交易发生金额约0.60亿美元。</w:t>
              </w:r>
            </w:p>
            <w:p>
              <w:pPr>
                <w:ind w:firstLine="420" w:firstLineChars="200"/>
                <w:rPr>
                  <w:rFonts w:asciiTheme="minorEastAsia" w:hAnsiTheme="minorEastAsia" w:eastAsiaTheme="minorEastAsia"/>
                </w:rPr>
              </w:pPr>
              <w:r>
                <w:rPr>
                  <w:rFonts w:hint="eastAsia" w:asciiTheme="minorEastAsia" w:hAnsiTheme="minorEastAsia" w:eastAsiaTheme="minorEastAsia"/>
                </w:rPr>
                <w:t>③煤炭销售服务持续性关联/关连交易</w:t>
              </w:r>
            </w:p>
            <w:p>
              <w:pPr>
                <w:ind w:firstLine="420" w:firstLineChars="200"/>
                <w:rPr>
                  <w:rFonts w:asciiTheme="minorEastAsia" w:hAnsiTheme="minorEastAsia" w:eastAsiaTheme="minorEastAsia"/>
                </w:rPr>
              </w:pPr>
              <w:r>
                <w:rPr>
                  <w:rFonts w:hint="eastAsia" w:asciiTheme="minorEastAsia" w:hAnsiTheme="minorEastAsia" w:eastAsiaTheme="minorEastAsia"/>
                </w:rPr>
                <w:t>公司2021年2月5日召开的2021年度第一次临时股东大会，审议批准兖煤澳洲与嘉能可集团续签《HVO服务协议》及其所限定交易在2021-2023年每年的交易上限金额。根据该协议，兖煤澳洲附属公司亨特谷运营公司需向嘉能可支付：（i）其为亨特谷合资企业或亨特谷煤炭销售公司提供有关服务时所产生的所有成本、费用及开支；（ii）嘉能可提供有关服务时所产生的非现场所有成本、费用及开支（“一般费用”）。在确定一般费用时，按照公平合理的原则，参考嘉能可在执行没有特定地点的类似服务时所产生的所有成本、费用及开支。双方同意每月结束后，嘉能可向亨特谷运营公司提供月度发票，亨特谷运营公司必须在收到发票后的五个工作日内予以支付。</w:t>
              </w:r>
            </w:p>
            <w:p>
              <w:pPr>
                <w:ind w:firstLine="420" w:firstLineChars="200"/>
                <w:rPr>
                  <w:rFonts w:asciiTheme="minorEastAsia" w:hAnsiTheme="minorEastAsia" w:eastAsiaTheme="minorEastAsia"/>
                </w:rPr>
              </w:pPr>
              <w:r>
                <w:rPr>
                  <w:rFonts w:hint="eastAsia" w:asciiTheme="minorEastAsia" w:hAnsiTheme="minorEastAsia" w:eastAsiaTheme="minorEastAsia"/>
                </w:rPr>
                <w:t>2023年本集团向嘉能可购买服务的年度上限金额为1</w:t>
              </w:r>
              <w:r>
                <w:rPr>
                  <w:rFonts w:hint="eastAsia" w:asciiTheme="minorEastAsia" w:hAnsiTheme="minorEastAsia" w:eastAsiaTheme="minorEastAsia"/>
                  <w:shd w:val="clear" w:color="auto" w:fill="FFFFFF"/>
                </w:rPr>
                <w:t>,</w:t>
              </w:r>
              <w:r>
                <w:rPr>
                  <w:rFonts w:hint="eastAsia" w:asciiTheme="minorEastAsia" w:hAnsiTheme="minorEastAsia" w:eastAsiaTheme="minorEastAsia"/>
                </w:rPr>
                <w:t>800万美元。2023年，此项关联/关连交易发生金额约1</w:t>
              </w:r>
              <w:r>
                <w:rPr>
                  <w:rFonts w:hint="eastAsia" w:asciiTheme="minorEastAsia" w:hAnsiTheme="minorEastAsia" w:eastAsiaTheme="minorEastAsia"/>
                  <w:shd w:val="clear" w:color="auto" w:fill="FFFFFF"/>
                </w:rPr>
                <w:t>,</w:t>
              </w:r>
              <w:r>
                <w:rPr>
                  <w:rFonts w:hint="eastAsia" w:asciiTheme="minorEastAsia" w:hAnsiTheme="minorEastAsia" w:eastAsiaTheme="minorEastAsia"/>
                </w:rPr>
                <w:t>176.80万美元。</w:t>
              </w:r>
            </w:p>
            <w:p>
              <w:pPr>
                <w:ind w:firstLine="420" w:firstLineChars="200"/>
                <w:rPr>
                  <w:rFonts w:asciiTheme="minorEastAsia" w:hAnsiTheme="minorEastAsia" w:eastAsiaTheme="minorEastAsia"/>
                </w:rPr>
              </w:pPr>
              <w:r>
                <w:rPr>
                  <w:rFonts w:hint="eastAsia" w:asciiTheme="minorEastAsia" w:hAnsiTheme="minorEastAsia" w:eastAsiaTheme="minorEastAsia"/>
                </w:rPr>
                <w:t>④柴油燃料供应持续性关联/关连交易</w:t>
              </w:r>
            </w:p>
            <w:p>
              <w:pPr>
                <w:ind w:firstLine="420" w:firstLineChars="200"/>
                <w:rPr>
                  <w:rFonts w:asciiTheme="minorEastAsia" w:hAnsiTheme="minorEastAsia" w:eastAsiaTheme="minorEastAsia"/>
                </w:rPr>
              </w:pPr>
              <w:r>
                <w:rPr>
                  <w:rFonts w:hint="eastAsia" w:asciiTheme="minorEastAsia" w:hAnsiTheme="minorEastAsia" w:eastAsiaTheme="minorEastAsia"/>
                </w:rPr>
                <w:t>公司2019年10月25日召开的第七届董事会第二十八次会议，审议批准亨特谷运营公司与嘉能可附属公司嘉能可澳大利亚石油有限公司（“嘉能可澳洲石油公司”）签署《柴油燃料供应协议》及其所限定交易在2019年11月1日至2019年12月31日期间及截至2021年12月31日止两个年度的交易上限金额。《柴油燃料供应协议》约定：（i）亨特谷运营公司将在交货月份之前生成采购订单；（ii）嘉能可澳洲石油公司将在采购订单中指定的日期之前交付采购订单中规定的燃料量，而亨特谷运营公司将在燃料交付后付款；（iii）计算付款的依据是基于交付量及招标过程后厘定的价格。</w:t>
              </w:r>
            </w:p>
            <w:p>
              <w:pPr>
                <w:ind w:firstLine="420" w:firstLineChars="200"/>
                <w:rPr>
                  <w:rFonts w:asciiTheme="minorEastAsia" w:hAnsiTheme="minorEastAsia" w:eastAsiaTheme="minorEastAsia"/>
                </w:rPr>
              </w:pPr>
              <w:r>
                <w:rPr>
                  <w:rFonts w:hint="eastAsia" w:asciiTheme="minorEastAsia" w:hAnsiTheme="minorEastAsia" w:eastAsiaTheme="minorEastAsia"/>
                </w:rPr>
                <w:t>经公司2021年12月1日召开的第八届董事会第十八次会议讨论审议，在不改变关联/关连交易协议条款的前提下，批准亨特谷运营公司与嘉能可澳洲石油公司2022年1-10月份柴油燃料供应持续性关联/关连交易上限交易金额为1.5亿澳元。</w:t>
              </w:r>
            </w:p>
            <w:p>
              <w:pPr>
                <w:ind w:firstLine="420" w:firstLineChars="200"/>
                <w:rPr>
                  <w:rFonts w:asciiTheme="minorEastAsia" w:hAnsiTheme="minorEastAsia" w:eastAsiaTheme="minorEastAsia"/>
                </w:rPr>
              </w:pPr>
              <w:r>
                <w:rPr>
                  <w:rFonts w:hint="eastAsia" w:asciiTheme="minorEastAsia" w:hAnsiTheme="minorEastAsia" w:eastAsiaTheme="minorEastAsia"/>
                </w:rPr>
                <w:t>经兖煤澳洲董事会审议批准，在不改变关联/关连交易协议条款的前提下，批准亨特谷运营公司与嘉能可澳洲石油公司2022年11-12月份以及2023年柴油燃料供应持续性关联/关连交易上限交易金额为0.43亿澳元和2.54亿澳元。对于本公司，该持续性关联/关连交易上限交易金额的最高适用百分比率低於1%，根据香港上市规则规定，该持续性关联/关连交易可獲得全面豁免。</w:t>
              </w:r>
            </w:p>
            <w:p>
              <w:pPr>
                <w:ind w:firstLine="420" w:firstLineChars="200"/>
                <w:rPr>
                  <w:rFonts w:asciiTheme="minorEastAsia" w:hAnsiTheme="minorEastAsia" w:eastAsiaTheme="minorEastAsia"/>
                </w:rPr>
              </w:pPr>
              <w:r>
                <w:rPr>
                  <w:rFonts w:hint="eastAsia" w:asciiTheme="minorEastAsia" w:hAnsiTheme="minorEastAsia" w:eastAsiaTheme="minorEastAsia"/>
                </w:rPr>
                <w:t>（3）独立非执行董事的意见</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本公司的相关业务部门审核了上述非豁免持续性关联/关连交易及相关内部监控程序并将结果呈交予本公司的独立非执行董事。本公司亦有向独立非执行董事提供主要资料以便开展审核。</w:t>
              </w:r>
            </w:p>
            <w:p>
              <w:pPr>
                <w:ind w:firstLine="420" w:firstLineChars="200"/>
                <w:rPr>
                  <w:rFonts w:asciiTheme="minorEastAsia" w:hAnsiTheme="minorEastAsia" w:eastAsiaTheme="minorEastAsia"/>
                </w:rPr>
              </w:pPr>
              <w:r>
                <w:rPr>
                  <w:rFonts w:hint="eastAsia" w:asciiTheme="minorEastAsia" w:hAnsiTheme="minorEastAsia" w:eastAsiaTheme="minorEastAsia"/>
                </w:rPr>
                <w:t>公司独立非执行董事确认本集团2023年度发生的持续性关联/关连交易：①各项交易（i）属本集团日常业务；（ii）是按一般商业条款进行，如可供比较的交易不足以判断该等交易的条款是否属一般商业条款，则对本集团而言，该等交易的条款不逊于独立第三方可取得或提供的条款；（iii）是根据有关交易的协议条款进行，而交易条款公平合理，并且符合公司股东的整体利益。②上述“与日常经营相关的关联/关连交易执行情况”所述的关联/关连交易金额均不超过独立股东及董事会批准的年度上限交易金额。</w:t>
              </w:r>
            </w:p>
            <w:p>
              <w:pPr>
                <w:ind w:firstLine="420" w:firstLineChars="200"/>
                <w:rPr>
                  <w:rFonts w:asciiTheme="minorEastAsia" w:hAnsiTheme="minorEastAsia" w:eastAsiaTheme="minorEastAsia"/>
                </w:rPr>
              </w:pPr>
              <w:r>
                <w:rPr>
                  <w:rFonts w:hint="eastAsia" w:asciiTheme="minorEastAsia" w:hAnsiTheme="minorEastAsia" w:eastAsiaTheme="minorEastAsia"/>
                </w:rPr>
                <w:t>（4）核数师的意见</w:t>
              </w:r>
            </w:p>
            <w:p>
              <w:pPr>
                <w:ind w:firstLine="420" w:firstLineChars="200"/>
                <w:rPr>
                  <w:rFonts w:asciiTheme="minorEastAsia" w:hAnsiTheme="minorEastAsia" w:eastAsiaTheme="minorEastAsia"/>
                </w:rPr>
              </w:pPr>
              <w:r>
                <w:rPr>
                  <w:rFonts w:hint="eastAsia" w:asciiTheme="minorEastAsia" w:hAnsiTheme="minorEastAsia" w:eastAsiaTheme="minorEastAsia"/>
                </w:rPr>
                <w:t>根据香港上市规则规定，本公司聘用常年H股核数师就公司持续性关联/关连交易是否履行香港上市规则规定的义务向董事会作出报告。</w:t>
              </w:r>
            </w:p>
            <w:p>
              <w:pPr>
                <w:ind w:firstLine="420" w:firstLineChars="200"/>
                <w:rPr>
                  <w:rFonts w:asciiTheme="minorEastAsia" w:hAnsiTheme="minorEastAsia" w:eastAsiaTheme="minorEastAsia"/>
                </w:rPr>
              </w:pPr>
              <w:r>
                <w:rPr>
                  <w:rFonts w:hint="eastAsia" w:asciiTheme="minorEastAsia" w:hAnsiTheme="minorEastAsia" w:eastAsiaTheme="minorEastAsia"/>
                </w:rPr>
                <w:t>核数师就上述持续性关联/关连交易向董事会报告：①已获本公司董事会批准；②是按照本公司的定价政策而进行；③是根据该等交易协议的有关条款进行；及④并无超出有关年度上限交易金额。</w:t>
              </w:r>
            </w:p>
          </w:sdtContent>
        </w:sdt>
        <w:p>
          <w:pPr>
            <w:rPr>
              <w:rFonts w:asciiTheme="minorEastAsia" w:hAnsiTheme="minorEastAsia" w:eastAsiaTheme="minorEastAsia"/>
            </w:rPr>
          </w:pPr>
        </w:p>
      </w:sdtContent>
    </w:sdt>
    <w:p>
      <w:pPr>
        <w:rPr>
          <w:rFonts w:asciiTheme="minorEastAsia" w:hAnsiTheme="minorEastAsia" w:eastAsiaTheme="minorEastAsia"/>
        </w:rPr>
      </w:pPr>
    </w:p>
    <w:p>
      <w:pPr>
        <w:pStyle w:val="5"/>
        <w:numPr>
          <w:ilvl w:val="2"/>
          <w:numId w:val="35"/>
        </w:numPr>
      </w:pPr>
      <w:r>
        <w:rPr>
          <w:rFonts w:hint="eastAsia"/>
        </w:rPr>
        <w:t>临时公告未披露的事项</w:t>
      </w:r>
    </w:p>
    <w:sdt>
      <w:sdtPr>
        <w:rPr>
          <w:rFonts w:asciiTheme="minorEastAsia" w:hAnsiTheme="minorEastAsia" w:eastAsiaTheme="minorEastAsia"/>
        </w:rPr>
        <w:alias w:val="是否适用：与日常经营相关的关联交易_临时公告未披露的事项[双击切换]"/>
        <w:tag w:val="_GBC_3f1135e0d6d440e6a4af283441bd65d2"/>
        <w:id w:val="-2030642851"/>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pStyle w:val="4"/>
        <w:numPr>
          <w:ilvl w:val="2"/>
          <w:numId w:val="5"/>
        </w:numPr>
        <w:tabs>
          <w:tab w:val="left" w:pos="426"/>
        </w:tabs>
        <w:rPr>
          <w:rFonts w:asciiTheme="minorEastAsia" w:hAnsiTheme="minorEastAsia" w:eastAsiaTheme="minorEastAsia"/>
          <w:szCs w:val="21"/>
        </w:rPr>
      </w:pPr>
      <w:r>
        <w:rPr>
          <w:rFonts w:asciiTheme="minorEastAsia" w:hAnsiTheme="minorEastAsia" w:eastAsiaTheme="minorEastAsia"/>
          <w:szCs w:val="21"/>
        </w:rPr>
        <w:t>资产</w:t>
      </w:r>
      <w:r>
        <w:rPr>
          <w:rFonts w:hint="eastAsia" w:asciiTheme="minorEastAsia" w:hAnsiTheme="minorEastAsia" w:eastAsiaTheme="minorEastAsia"/>
          <w:szCs w:val="21"/>
        </w:rPr>
        <w:t>或股权</w:t>
      </w:r>
      <w:r>
        <w:rPr>
          <w:rFonts w:asciiTheme="minorEastAsia" w:hAnsiTheme="minorEastAsia" w:eastAsiaTheme="minorEastAsia"/>
          <w:szCs w:val="21"/>
        </w:rPr>
        <w:t>收购、出售发生的关联交易</w:t>
      </w:r>
    </w:p>
    <w:p>
      <w:pPr>
        <w:pStyle w:val="5"/>
        <w:numPr>
          <w:ilvl w:val="0"/>
          <w:numId w:val="36"/>
        </w:numPr>
      </w:pPr>
      <w:r>
        <w:t>已在临时公告披露且后续实施无进展或变化的事项</w:t>
      </w:r>
    </w:p>
    <w:sdt>
      <w:sdtPr>
        <w:rPr>
          <w:rFonts w:asciiTheme="minorEastAsia" w:hAnsiTheme="minorEastAsia" w:eastAsiaTheme="minorEastAsia"/>
        </w:rPr>
        <w:alias w:val="是否适用：已在临时公告披露且后续实施无进展或变化的事项_资产或股权收购、出售发生的关联交易[双击切换]"/>
        <w:tag w:val="_GBC_543ebf3bec89495c98a461a0509a331d"/>
        <w:id w:val="905969746"/>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pStyle w:val="5"/>
        <w:numPr>
          <w:ilvl w:val="0"/>
          <w:numId w:val="36"/>
        </w:numPr>
      </w:pPr>
      <w:r>
        <w:t>已在临时公告披露，但有后续实施的进展或变化的事项</w:t>
      </w:r>
    </w:p>
    <w:sdt>
      <w:sdtPr>
        <w:rPr>
          <w:rFonts w:hint="eastAsia" w:asciiTheme="minorEastAsia" w:hAnsiTheme="minorEastAsia" w:eastAsiaTheme="minorEastAsia"/>
        </w:rPr>
        <w:alias w:val="是否适用：已在临时公告披露，但有后续实施的进展或变化的事项_资产或股权收购、出售发生的关联交易[双击切换]"/>
        <w:tag w:val="_GBC_f85ce314be044952b84cb0c7825e3be3"/>
        <w:id w:val="-1828118409"/>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bookmarkStart w:id="139" w:name="_Hlk90309315"/>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hint="eastAsia" w:asciiTheme="minorEastAsia" w:hAnsiTheme="minorEastAsia" w:eastAsiaTheme="minorEastAsia"/>
        </w:rPr>
        <w:alias w:val="资产收购、出售发生的关联交易事项已在临时报告披露，后续实施的进展或变化"/>
        <w:tag w:val="_GBC_8be6819282404c72b37e6b124c015b6a"/>
        <w:id w:val="-1167164352"/>
        <w:placeholder>
          <w:docPart w:val="GBC22222222222222222222222222222"/>
        </w:placeholder>
      </w:sdtPr>
      <w:sdtEndPr>
        <w:rPr>
          <w:rFonts w:hint="eastAsia" w:asciiTheme="minorEastAsia" w:hAnsiTheme="minorEastAsia" w:eastAsiaTheme="minorEastAsia"/>
        </w:rPr>
      </w:sdtEndPr>
      <w:sdtContent>
        <w:sdt>
          <w:sdtPr>
            <w:rPr>
              <w:rFonts w:hint="eastAsia" w:asciiTheme="minorEastAsia" w:hAnsiTheme="minorEastAsia" w:eastAsiaTheme="minorEastAsia"/>
            </w:rPr>
            <w:alias w:val="资产收购、出售发生的关联交易事项已在临时报告披露，后续实施的进展或变化"/>
            <w:tag w:val="_GBC_8be6819282404c72b37e6b124c015b6a"/>
            <w:id w:val="-1112355725"/>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（1）兖矿财司与原山能财司合并重组的关联/关连交易</w:t>
              </w:r>
            </w:p>
            <w:p>
              <w:pPr>
                <w:ind w:firstLine="420" w:firstLineChars="200"/>
                <w:rPr>
                  <w:rFonts w:asciiTheme="minorEastAsia" w:hAnsiTheme="minorEastAsia" w:eastAsiaTheme="minorEastAsia"/>
                </w:rPr>
              </w:pPr>
              <w:r>
                <w:rPr>
                  <w:rFonts w:hint="eastAsia" w:asciiTheme="minorEastAsia" w:hAnsiTheme="minorEastAsia" w:eastAsiaTheme="minorEastAsia"/>
                </w:rPr>
                <w:t>经公司2022年10月28日召开的2022年度第二次临时股东大会讨论审议，批准兖矿财司与原山东能源集团财务有限公司（“原山能财司”，山东能源的附属公司）合并重组，合并完成后，兖矿财司注销，公司成为合并后的山能财司的控股股东；批准山能财司分别与兖矿能源、山东能源签署《金融服务协议》，及其所限定交易于2023-2025年度的交易上限金额。该协议已生效，原《金融服务协议》已废止。</w:t>
              </w:r>
            </w:p>
            <w:p>
              <w:pPr>
                <w:ind w:firstLine="420" w:firstLineChars="200"/>
                <w:rPr>
                  <w:rFonts w:asciiTheme="minorEastAsia" w:hAnsiTheme="minorEastAsia" w:eastAsiaTheme="minorEastAsia"/>
                </w:rPr>
              </w:pPr>
              <w:r>
                <w:rPr>
                  <w:rFonts w:hint="eastAsia" w:asciiTheme="minorEastAsia" w:hAnsiTheme="minorEastAsia" w:eastAsiaTheme="minorEastAsia"/>
                </w:rPr>
                <w:t>截至本报告披露日，上述合并重组事项已完成交割，以及工商注销和变更程序。</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有关详情请见日期为2022年8月26日的公司第八届董事会第二十四次会议决议公告、有关关联交易公告，日期为2022年10月12日的H股通函，日期为2022年10月28日的2022年度第二次临时股东大会决议公告以及日期为2023年11月6日的有关吸收合并的须予披露及关连交易进展公告。该等资料载于上交所网站、香港联交所网站、公司网站及/或中国境内《中国证券报》《上海证券报》《证券时报》《证券日报》。</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（2）收购鲁西矿业51%股权和新疆能化51%股权</w:t>
              </w:r>
            </w:p>
            <w:p>
              <w:pPr>
                <w:ind w:firstLine="420" w:firstLineChars="200"/>
                <w:rPr>
                  <w:rFonts w:asciiTheme="minorEastAsia" w:hAnsiTheme="minorEastAsia" w:eastAsiaTheme="minorEastAsia"/>
                </w:rPr>
              </w:pPr>
              <w:r>
                <w:rPr>
                  <w:rFonts w:hint="eastAsia" w:asciiTheme="minorEastAsia" w:hAnsiTheme="minorEastAsia" w:eastAsiaTheme="minorEastAsia"/>
                </w:rPr>
                <w:t>经公司2023年6月30日召开的2022年度股东周年大会讨论审议，批准公司与新矿集团、龙口矿业集团有限公司、淄博矿业集团有限责任公司、肥城肥矿煤业有限公司、临矿集团签署股权转让协议，以约183亿元收购鲁西矿业51%股权；与新矿集团、山东能源签署股权转让协议，以约81亿元收购新疆能化51%股权。</w:t>
              </w:r>
            </w:p>
            <w:p>
              <w:pPr>
                <w:ind w:firstLine="420" w:firstLineChars="200"/>
                <w:rPr>
                  <w:rFonts w:asciiTheme="minorEastAsia" w:hAnsiTheme="minorEastAsia" w:eastAsiaTheme="minorEastAsia"/>
                </w:rPr>
              </w:pPr>
              <w:r>
                <w:rPr>
                  <w:rFonts w:hint="eastAsia" w:asciiTheme="minorEastAsia" w:hAnsiTheme="minorEastAsia" w:eastAsiaTheme="minorEastAsia"/>
                </w:rPr>
                <w:t>截至本报告披露日，上述交易已完成股权交割及工商变更程序。</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有关详情请见日期为2023年4月28日的公司第八届董事会第二十九次会议决议公告、关联交易公告，日期为2023年6月9日的H股通函，日期为2023年6月15日的关联交易进展公告，日期为2023年6月30日的2022年度股东周年大会决议公告，以及日期为2023年10月3日和2023年10月8日的关联交易完成交割公告。该等资料载于上交所网站、香港联交所网站、公司网站及/或中国境内《中国证券报》《上海证券报》《证券时报》《证券日报》。</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（3）收购煤化工程公司100%股权</w:t>
              </w:r>
            </w:p>
            <w:p>
              <w:pPr>
                <w:ind w:firstLine="420" w:firstLineChars="200"/>
                <w:rPr>
                  <w:rFonts w:asciiTheme="minorEastAsia" w:hAnsiTheme="minorEastAsia" w:eastAsiaTheme="minorEastAsia"/>
                </w:rPr>
              </w:pPr>
              <w:r>
                <w:rPr>
                  <w:rFonts w:hint="eastAsia" w:asciiTheme="minorEastAsia" w:hAnsiTheme="minorEastAsia" w:eastAsiaTheme="minorEastAsia"/>
                </w:rPr>
                <w:t>经公司2023年7月10日召开的总经理办公会讨论审议，批准公司与山东能源签署股权转让协议，以2,090.4万元收购煤化工程公司100%股权。</w:t>
              </w:r>
            </w:p>
            <w:p>
              <w:pPr>
                <w:ind w:firstLine="420" w:firstLineChars="200"/>
                <w:rPr>
                  <w:rFonts w:asciiTheme="minorEastAsia" w:hAnsiTheme="minorEastAsia" w:eastAsiaTheme="minorEastAsia"/>
                </w:rPr>
              </w:pPr>
              <w:r>
                <w:rPr>
                  <w:rFonts w:hint="eastAsia" w:asciiTheme="minorEastAsia" w:hAnsiTheme="minorEastAsia" w:eastAsiaTheme="minorEastAsia"/>
                </w:rPr>
                <w:t>截至本报告披露日，上述交易已完成股权交割及工商变更程序。</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有关详情请见日期为2023年10月27日和日期为2023年11月6日的收购煤化工程公司100%股权关联交易公告及补充资料。该等资料载于上交所网站、香港联交所网站、公司网站。</w:t>
              </w:r>
            </w:p>
          </w:sdtContent>
        </w:sdt>
        <w:p>
          <w:pPr>
            <w:rPr>
              <w:rFonts w:asciiTheme="minorEastAsia" w:hAnsiTheme="minorEastAsia" w:eastAsiaTheme="minorEastAsia"/>
            </w:rPr>
          </w:pPr>
        </w:p>
      </w:sdtContent>
    </w:sdt>
    <w:bookmarkEnd w:id="139"/>
    <w:p>
      <w:pPr>
        <w:rPr>
          <w:rFonts w:asciiTheme="minorEastAsia" w:hAnsiTheme="minorEastAsia" w:eastAsiaTheme="minorEastAsia"/>
        </w:rPr>
      </w:pPr>
    </w:p>
    <w:p>
      <w:pPr>
        <w:pStyle w:val="5"/>
        <w:numPr>
          <w:ilvl w:val="0"/>
          <w:numId w:val="36"/>
        </w:numPr>
      </w:pPr>
      <w:r>
        <w:t>临时公告未披露的事项</w:t>
      </w:r>
    </w:p>
    <w:sdt>
      <w:sdtPr>
        <w:rPr>
          <w:rFonts w:asciiTheme="minorEastAsia" w:hAnsiTheme="minorEastAsia" w:eastAsiaTheme="minorEastAsia"/>
        </w:rPr>
        <w:alias w:val="是否适用：资产收购、出售发生的关联交易_临时公告未披露的事项[双击切换]"/>
        <w:tag w:val="_GBC_c2403e21caad4498842c2f1cf3384c0d"/>
        <w:id w:val="-23411922"/>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pStyle w:val="5"/>
        <w:numPr>
          <w:ilvl w:val="0"/>
          <w:numId w:val="36"/>
        </w:numPr>
      </w:pPr>
      <w:r>
        <w:rPr>
          <w:rFonts w:hint="eastAsia"/>
        </w:rPr>
        <w:t>涉及业绩约定的，应当披露报告期内的业绩实现情况</w:t>
      </w:r>
    </w:p>
    <w:sdt>
      <w:sdtPr>
        <w:rPr>
          <w:rFonts w:hint="eastAsia" w:asciiTheme="minorEastAsia" w:hAnsiTheme="minorEastAsia" w:eastAsiaTheme="minorEastAsia"/>
        </w:rPr>
        <w:alias w:val="是否适用：涉及业绩约定的，应当披露报告期内的业绩实现情况[双击切换]"/>
        <w:tag w:val="_GBC_fa913cf2ab9c4bd9bb424b63073fb9b5"/>
        <w:id w:val="781299454"/>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4"/>
        <w:numPr>
          <w:ilvl w:val="2"/>
          <w:numId w:val="5"/>
        </w:numPr>
        <w:rPr>
          <w:rFonts w:asciiTheme="minorEastAsia" w:hAnsiTheme="minorEastAsia" w:eastAsiaTheme="minorEastAsia"/>
          <w:szCs w:val="21"/>
        </w:rPr>
      </w:pPr>
      <w:r>
        <w:rPr>
          <w:rFonts w:asciiTheme="minorEastAsia" w:hAnsiTheme="minorEastAsia" w:eastAsiaTheme="minorEastAsia"/>
          <w:szCs w:val="21"/>
        </w:rPr>
        <w:t>共同对外投资的重大关联交易</w:t>
      </w:r>
    </w:p>
    <w:p>
      <w:pPr>
        <w:pStyle w:val="5"/>
        <w:numPr>
          <w:ilvl w:val="0"/>
          <w:numId w:val="37"/>
        </w:numPr>
      </w:pPr>
      <w:r>
        <w:t>已在临时公告披露且后续实施无进展或变化的事项</w:t>
      </w:r>
    </w:p>
    <w:sdt>
      <w:sdtPr>
        <w:rPr>
          <w:rFonts w:asciiTheme="minorEastAsia" w:hAnsiTheme="minorEastAsia" w:eastAsiaTheme="minorEastAsia"/>
        </w:rPr>
        <w:alias w:val="是否适用：已在临时公告披露且后续实施无进展或变化的事项_共同对外投资的重大关联交易[双击切换]"/>
        <w:tag w:val="_GBC_7eea3c6d3d6245c4a1388637f61fccce"/>
        <w:id w:val="-1274555184"/>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pStyle w:val="5"/>
        <w:numPr>
          <w:ilvl w:val="0"/>
          <w:numId w:val="37"/>
        </w:numPr>
      </w:pPr>
      <w:r>
        <w:t>已在临时公告披露，但有后续实施的进展或变化的事项</w:t>
      </w:r>
    </w:p>
    <w:sdt>
      <w:sdtPr>
        <w:rPr>
          <w:rFonts w:hint="eastAsia" w:asciiTheme="minorEastAsia" w:hAnsiTheme="minorEastAsia" w:eastAsiaTheme="minorEastAsia"/>
        </w:rPr>
        <w:alias w:val="是否适用：已在临时公告披露，但有后续实施的进展或变化的事项_共同对外投资的重大关联交易[双击切换]"/>
        <w:tag w:val="_GBC_5d21c9b653cf41df993294ab4dfbca74"/>
        <w:id w:val="-1692682107"/>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5"/>
        <w:numPr>
          <w:ilvl w:val="0"/>
          <w:numId w:val="37"/>
        </w:numPr>
      </w:pPr>
      <w:r>
        <w:t>临时公告未披露的事项</w:t>
      </w:r>
    </w:p>
    <w:sdt>
      <w:sdtPr>
        <w:rPr>
          <w:rFonts w:asciiTheme="minorEastAsia" w:hAnsiTheme="minorEastAsia" w:eastAsiaTheme="minorEastAsia"/>
        </w:rPr>
        <w:alias w:val="是否适用：共同对外投资的重大关联交易_临时公告未披露的事项[双击切换]"/>
        <w:tag w:val="_GBC_0a8e93fe81464e209d3619d1be6a3349"/>
        <w:id w:val="648877726"/>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r>
            <w:rPr>
              <w:rFonts w:asciiTheme="minorEastAsia" w:hAnsiTheme="minorEastAsia" w:eastAsiaTheme="minorEastAsia"/>
            </w:rPr>
            <w:t xml:space="preserve"> </w:t>
          </w:r>
        </w:p>
      </w:sdtContent>
    </w:sdt>
    <w:p>
      <w:pPr>
        <w:rPr>
          <w:rFonts w:asciiTheme="minorEastAsia" w:hAnsiTheme="minorEastAsia" w:eastAsiaTheme="minorEastAsia"/>
        </w:rPr>
      </w:pPr>
    </w:p>
    <w:p>
      <w:pPr>
        <w:rPr>
          <w:rFonts w:asciiTheme="minorEastAsia" w:hAnsiTheme="minorEastAsia" w:eastAsiaTheme="minorEastAsia"/>
        </w:rPr>
      </w:pPr>
    </w:p>
    <w:p>
      <w:pPr>
        <w:pStyle w:val="4"/>
        <w:numPr>
          <w:ilvl w:val="2"/>
          <w:numId w:val="5"/>
        </w:numPr>
        <w:rPr>
          <w:rFonts w:asciiTheme="minorEastAsia" w:hAnsiTheme="minorEastAsia" w:eastAsiaTheme="minorEastAsia"/>
          <w:szCs w:val="21"/>
        </w:rPr>
      </w:pPr>
      <w:r>
        <w:rPr>
          <w:rFonts w:hint="eastAsia" w:asciiTheme="minorEastAsia" w:hAnsiTheme="minorEastAsia" w:eastAsiaTheme="minorEastAsia"/>
          <w:szCs w:val="21"/>
        </w:rPr>
        <w:t>关联债权债务往来</w:t>
      </w:r>
    </w:p>
    <w:p>
      <w:pPr>
        <w:pStyle w:val="5"/>
        <w:numPr>
          <w:ilvl w:val="0"/>
          <w:numId w:val="38"/>
        </w:numPr>
      </w:pPr>
      <w:r>
        <w:t>已在临时公告披露且后续实施无进展或变化的事项</w:t>
      </w:r>
    </w:p>
    <w:sdt>
      <w:sdtPr>
        <w:rPr>
          <w:rFonts w:asciiTheme="minorEastAsia" w:hAnsiTheme="minorEastAsia" w:eastAsiaTheme="minorEastAsia"/>
        </w:rPr>
        <w:alias w:val="是否适用：已在临时公告披露且后续实施无进展或变化的事项_关联债权债务往来[双击切换]"/>
        <w:tag w:val="_GBC_7465d4a4508a455591694c4e59f1f59b"/>
        <w:id w:val="-1488161809"/>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pStyle w:val="5"/>
        <w:numPr>
          <w:ilvl w:val="0"/>
          <w:numId w:val="38"/>
        </w:numPr>
      </w:pPr>
      <w:r>
        <w:t>已在临时公告披露，但有后续实施的进展或变化的事项</w:t>
      </w:r>
    </w:p>
    <w:sdt>
      <w:sdtPr>
        <w:rPr>
          <w:rFonts w:hint="eastAsia" w:asciiTheme="minorEastAsia" w:hAnsiTheme="minorEastAsia" w:eastAsiaTheme="minorEastAsia"/>
        </w:rPr>
        <w:alias w:val="是否适用：已在临时公告披露，但有后续实施的进展或变化的事项_关联债权债务往来[双击切换]"/>
        <w:tag w:val="_GBC_fe8fc12ee5c547d690bcc3fb3f1f4e32"/>
        <w:id w:val="-152609986"/>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5"/>
        <w:numPr>
          <w:ilvl w:val="0"/>
          <w:numId w:val="38"/>
        </w:numPr>
      </w:pPr>
      <w:r>
        <w:rPr>
          <w:rFonts w:hint="eastAsia"/>
        </w:rPr>
        <w:t>临时公告未披露的事项</w:t>
      </w:r>
    </w:p>
    <w:sdt>
      <w:sdtPr>
        <w:rPr>
          <w:rFonts w:asciiTheme="minorEastAsia" w:hAnsiTheme="minorEastAsia" w:eastAsiaTheme="minorEastAsia"/>
        </w:rPr>
        <w:alias w:val="是否适用：关联债权债务往来_临时公告未披露的事项[双击切换]"/>
        <w:tag w:val="_GBC_d9a88c6705ef48d49848c2b93cb503f2"/>
        <w:id w:val="-1125849378"/>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jc w:val="right"/>
        <w:rPr>
          <w:rFonts w:asciiTheme="minorEastAsia" w:hAnsiTheme="minorEastAsia" w:eastAsiaTheme="minorEastAsia"/>
        </w:rPr>
      </w:pPr>
      <w:r>
        <w:rPr>
          <w:rFonts w:hint="eastAsia" w:asciiTheme="minorEastAsia" w:hAnsiTheme="minorEastAsia" w:eastAsiaTheme="minorEastAsia"/>
        </w:rPr>
        <w:t>单位：</w:t>
      </w:r>
      <w:sdt>
        <w:sdtPr>
          <w:rPr>
            <w:rFonts w:hint="eastAsia" w:asciiTheme="minorEastAsia" w:hAnsiTheme="minorEastAsia" w:eastAsiaTheme="minorEastAsia"/>
          </w:rPr>
          <w:alias w:val="单位：关联债权债务往来"/>
          <w:tag w:val="_GBC_8d4c1abff8924972accec0d4fd37892b"/>
          <w:id w:val="12957181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rPr>
        </w:sdtEndPr>
        <w:sdtContent>
          <w:r>
            <w:rPr>
              <w:rFonts w:hint="eastAsia" w:asciiTheme="minorEastAsia" w:hAnsiTheme="minorEastAsia" w:eastAsiaTheme="minorEastAsia"/>
            </w:rPr>
            <w:t>亿元</w:t>
          </w:r>
        </w:sdtContent>
      </w:sdt>
      <w:r>
        <w:rPr>
          <w:rFonts w:hint="eastAsia" w:asciiTheme="minorEastAsia" w:hAnsiTheme="minorEastAsia" w:eastAsiaTheme="minorEastAsia"/>
        </w:rPr>
        <w:t xml:space="preserve">  币种：</w:t>
      </w:r>
      <w:sdt>
        <w:sdtPr>
          <w:rPr>
            <w:rFonts w:hint="eastAsia" w:asciiTheme="minorEastAsia" w:hAnsiTheme="minorEastAsia" w:eastAsiaTheme="minorEastAsia"/>
          </w:rPr>
          <w:alias w:val="币种：关联债权债务往来"/>
          <w:tag w:val="_GBC_382a3dde730d43ff96e279b4ce31f369"/>
          <w:id w:val="-170823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rPr>
        </w:sdtEndPr>
        <w:sdtContent>
          <w:r>
            <w:rPr>
              <w:rFonts w:hint="eastAsia" w:asciiTheme="minorEastAsia" w:hAnsiTheme="minorEastAsia" w:eastAsiaTheme="minorEastAsia"/>
            </w:rPr>
            <w:t>人民币</w:t>
          </w:r>
        </w:sdtContent>
      </w:sdt>
    </w:p>
    <w:tbl>
      <w:tblPr>
        <w:tblStyle w:val="20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257"/>
        <w:gridCol w:w="1524"/>
        <w:gridCol w:w="992"/>
        <w:gridCol w:w="994"/>
        <w:gridCol w:w="1078"/>
        <w:gridCol w:w="992"/>
        <w:gridCol w:w="1009"/>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95f2c84adc8441e0ac219e05d6e8d5ba"/>
            <w:id w:val="-2075038334"/>
          </w:sdtPr>
          <w:sdtEndPr>
            <w:rPr>
              <w:rFonts w:asciiTheme="minorEastAsia" w:hAnsiTheme="minorEastAsia" w:eastAsiaTheme="minorEastAsia"/>
            </w:rPr>
          </w:sdtEndPr>
          <w:sdtContent>
            <w:tc>
              <w:tcPr>
                <w:tcW w:w="707"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关联方</w:t>
                </w:r>
              </w:p>
            </w:tc>
          </w:sdtContent>
        </w:sdt>
        <w:sdt>
          <w:sdtPr>
            <w:rPr>
              <w:rFonts w:asciiTheme="minorEastAsia" w:hAnsiTheme="minorEastAsia" w:eastAsiaTheme="minorEastAsia"/>
            </w:rPr>
            <w:tag w:val="_PLD_09ca5e393bc34d4785c49c7cee6066f5"/>
            <w:id w:val="1815214341"/>
          </w:sdtPr>
          <w:sdtEndPr>
            <w:rPr>
              <w:rFonts w:asciiTheme="minorEastAsia" w:hAnsiTheme="minorEastAsia" w:eastAsiaTheme="minorEastAsia"/>
            </w:rPr>
          </w:sdtEndPr>
          <w:sdtContent>
            <w:tc>
              <w:tcPr>
                <w:tcW w:w="857"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关联关系</w:t>
                </w:r>
              </w:p>
            </w:tc>
          </w:sdtContent>
        </w:sdt>
        <w:sdt>
          <w:sdtPr>
            <w:rPr>
              <w:rFonts w:asciiTheme="minorEastAsia" w:hAnsiTheme="minorEastAsia" w:eastAsiaTheme="minorEastAsia"/>
            </w:rPr>
            <w:tag w:val="_PLD_3e4df3fd6b7247e1a1a853fd2fd19d58"/>
            <w:id w:val="-1244785340"/>
          </w:sdtPr>
          <w:sdtEndPr>
            <w:rPr>
              <w:rFonts w:asciiTheme="minorEastAsia" w:hAnsiTheme="minorEastAsia" w:eastAsiaTheme="minorEastAsia"/>
            </w:rPr>
          </w:sdtEndPr>
          <w:sdtContent>
            <w:tc>
              <w:tcPr>
                <w:tcW w:w="1723" w:type="pct"/>
                <w:gridSpan w:val="3"/>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向关联方提供资金</w:t>
                </w:r>
              </w:p>
            </w:tc>
          </w:sdtContent>
        </w:sdt>
        <w:sdt>
          <w:sdtPr>
            <w:rPr>
              <w:rFonts w:asciiTheme="minorEastAsia" w:hAnsiTheme="minorEastAsia" w:eastAsiaTheme="minorEastAsia"/>
            </w:rPr>
            <w:tag w:val="_PLD_ad0c36b659684f8ea3c5e5bdac148cdc"/>
            <w:id w:val="337506994"/>
          </w:sdtPr>
          <w:sdtEndPr>
            <w:rPr>
              <w:rFonts w:asciiTheme="minorEastAsia" w:hAnsiTheme="minorEastAsia" w:eastAsiaTheme="minorEastAsia"/>
            </w:rPr>
          </w:sdtEndPr>
          <w:sdtContent>
            <w:tc>
              <w:tcPr>
                <w:tcW w:w="1714" w:type="pct"/>
                <w:gridSpan w:val="3"/>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关联方向上市公司</w:t>
                </w:r>
              </w:p>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提供资金</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07" w:type="pct"/>
            <w:vMerge w:val="continue"/>
            <w:shd w:val="clear" w:color="auto" w:fill="auto"/>
          </w:tcPr>
          <w:p>
            <w:pPr>
              <w:autoSpaceDE w:val="0"/>
              <w:autoSpaceDN w:val="0"/>
              <w:adjustRightInd w:val="0"/>
              <w:jc w:val="center"/>
              <w:rPr>
                <w:rFonts w:asciiTheme="minorEastAsia" w:hAnsiTheme="minorEastAsia" w:eastAsiaTheme="minorEastAsia"/>
              </w:rPr>
            </w:pPr>
          </w:p>
        </w:tc>
        <w:tc>
          <w:tcPr>
            <w:tcW w:w="857" w:type="pct"/>
            <w:vMerge w:val="continue"/>
            <w:shd w:val="clear" w:color="auto" w:fill="auto"/>
          </w:tcPr>
          <w:p>
            <w:pPr>
              <w:autoSpaceDE w:val="0"/>
              <w:autoSpaceDN w:val="0"/>
              <w:adjustRightInd w:val="0"/>
              <w:jc w:val="center"/>
              <w:rPr>
                <w:rFonts w:asciiTheme="minorEastAsia" w:hAnsiTheme="minorEastAsia" w:eastAsiaTheme="minorEastAsia"/>
              </w:rPr>
            </w:pPr>
          </w:p>
        </w:tc>
        <w:sdt>
          <w:sdtPr>
            <w:rPr>
              <w:rFonts w:asciiTheme="minorEastAsia" w:hAnsiTheme="minorEastAsia" w:eastAsiaTheme="minorEastAsia"/>
            </w:rPr>
            <w:tag w:val="_PLD_bc90d01618414b799fa4cad9c98b74a6"/>
            <w:id w:val="55669144"/>
          </w:sdtPr>
          <w:sdtEndPr>
            <w:rPr>
              <w:rFonts w:asciiTheme="minorEastAsia" w:hAnsiTheme="minorEastAsia" w:eastAsiaTheme="minorEastAsia"/>
            </w:rPr>
          </w:sdtEndPr>
          <w:sdtContent>
            <w:tc>
              <w:tcPr>
                <w:tcW w:w="558"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e16dc40d23d64bebbedef23ef5c9d0c1"/>
            <w:id w:val="1076163195"/>
          </w:sdtPr>
          <w:sdtEndPr>
            <w:rPr>
              <w:rFonts w:asciiTheme="minorEastAsia" w:hAnsiTheme="minorEastAsia" w:eastAsiaTheme="minorEastAsia"/>
            </w:rPr>
          </w:sdtEndPr>
          <w:sdtContent>
            <w:tc>
              <w:tcPr>
                <w:tcW w:w="559"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发生额</w:t>
                </w:r>
              </w:p>
            </w:tc>
          </w:sdtContent>
        </w:sdt>
        <w:sdt>
          <w:sdtPr>
            <w:rPr>
              <w:rFonts w:asciiTheme="minorEastAsia" w:hAnsiTheme="minorEastAsia" w:eastAsiaTheme="minorEastAsia"/>
            </w:rPr>
            <w:tag w:val="_PLD_dc98a14d0d3f4efcbab28c24fdffba08"/>
            <w:id w:val="-771012571"/>
          </w:sdtPr>
          <w:sdtEndPr>
            <w:rPr>
              <w:rFonts w:asciiTheme="minorEastAsia" w:hAnsiTheme="minorEastAsia" w:eastAsiaTheme="minorEastAsia"/>
            </w:rPr>
          </w:sdtEndPr>
          <w:sdtContent>
            <w:tc>
              <w:tcPr>
                <w:tcW w:w="606"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b79e4e4eaa1b414ab5065d2b3095a515"/>
            <w:id w:val="271436952"/>
          </w:sdtPr>
          <w:sdtEndPr>
            <w:rPr>
              <w:rFonts w:asciiTheme="minorEastAsia" w:hAnsiTheme="minorEastAsia" w:eastAsiaTheme="minorEastAsia"/>
            </w:rPr>
          </w:sdtEndPr>
          <w:sdtContent>
            <w:tc>
              <w:tcPr>
                <w:tcW w:w="558"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5a0b8d29aa6b43eba1f17db944949c32"/>
            <w:id w:val="1400168997"/>
          </w:sdtPr>
          <w:sdtEndPr>
            <w:rPr>
              <w:rFonts w:asciiTheme="minorEastAsia" w:hAnsiTheme="minorEastAsia" w:eastAsiaTheme="minorEastAsia"/>
            </w:rPr>
          </w:sdtEndPr>
          <w:sdtContent>
            <w:tc>
              <w:tcPr>
                <w:tcW w:w="567"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发生额</w:t>
                </w:r>
              </w:p>
            </w:tc>
          </w:sdtContent>
        </w:sdt>
        <w:sdt>
          <w:sdtPr>
            <w:rPr>
              <w:rFonts w:asciiTheme="minorEastAsia" w:hAnsiTheme="minorEastAsia" w:eastAsiaTheme="minorEastAsia"/>
            </w:rPr>
            <w:tag w:val="_PLD_703f2ac3dbfc48e986849e07e3e11448"/>
            <w:id w:val="445812177"/>
          </w:sdtPr>
          <w:sdtEndPr>
            <w:rPr>
              <w:rFonts w:asciiTheme="minorEastAsia" w:hAnsiTheme="minorEastAsia" w:eastAsiaTheme="minorEastAsia"/>
            </w:rPr>
          </w:sdtEndPr>
          <w:sdtContent>
            <w:tc>
              <w:tcPr>
                <w:tcW w:w="588"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07" w:type="pct"/>
            <w:shd w:val="clear" w:color="auto" w:fill="auto"/>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山东能源</w:t>
            </w:r>
          </w:p>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集团</w:t>
            </w:r>
          </w:p>
        </w:tc>
        <w:tc>
          <w:tcPr>
            <w:tcW w:w="857" w:type="pct"/>
            <w:shd w:val="clear" w:color="auto" w:fill="auto"/>
            <w:vAlign w:val="center"/>
          </w:tcPr>
          <w:p>
            <w:pPr>
              <w:autoSpaceDE w:val="0"/>
              <w:autoSpaceDN w:val="0"/>
              <w:adjustRightInd w:val="0"/>
              <w:jc w:val="center"/>
              <w:rPr>
                <w:rFonts w:asciiTheme="minorEastAsia" w:hAnsiTheme="minorEastAsia" w:eastAsiaTheme="minorEastAsia"/>
                <w:color w:val="FFC000"/>
              </w:rPr>
            </w:pPr>
            <w:r>
              <w:rPr>
                <w:rFonts w:asciiTheme="minorEastAsia" w:hAnsiTheme="minorEastAsia" w:eastAsiaTheme="minorEastAsia"/>
              </w:rPr>
              <w:t>控股股东</w:t>
            </w:r>
          </w:p>
        </w:tc>
        <w:tc>
          <w:tcPr>
            <w:tcW w:w="558" w:type="pct"/>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172.68</w:t>
            </w:r>
          </w:p>
        </w:tc>
        <w:tc>
          <w:tcPr>
            <w:tcW w:w="559" w:type="pct"/>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-2.11</w:t>
            </w:r>
          </w:p>
        </w:tc>
        <w:tc>
          <w:tcPr>
            <w:tcW w:w="606" w:type="pct"/>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170.57</w:t>
            </w:r>
          </w:p>
        </w:tc>
        <w:tc>
          <w:tcPr>
            <w:tcW w:w="558" w:type="pct"/>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487.86</w:t>
            </w:r>
          </w:p>
        </w:tc>
        <w:tc>
          <w:tcPr>
            <w:tcW w:w="567" w:type="pct"/>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-23.16</w:t>
            </w:r>
          </w:p>
        </w:tc>
        <w:tc>
          <w:tcPr>
            <w:tcW w:w="588" w:type="pct"/>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464.70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07" w:type="pct"/>
            <w:shd w:val="clear" w:color="auto" w:fill="auto"/>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嘉能可集团</w:t>
            </w:r>
          </w:p>
        </w:tc>
        <w:tc>
          <w:tcPr>
            <w:tcW w:w="857" w:type="pct"/>
            <w:shd w:val="clear" w:color="auto" w:fill="auto"/>
          </w:tcPr>
          <w:p>
            <w:pPr>
              <w:autoSpaceDE w:val="0"/>
              <w:autoSpaceDN w:val="0"/>
              <w:adjustRightInd w:val="0"/>
              <w:jc w:val="center"/>
              <w:rPr>
                <w:rFonts w:asciiTheme="minorEastAsia" w:hAnsiTheme="minorEastAsia" w:eastAsiaTheme="minorEastAsia"/>
                <w:color w:val="FFC000"/>
              </w:rPr>
            </w:pPr>
            <w:r>
              <w:rPr>
                <w:rFonts w:asciiTheme="minorEastAsia" w:hAnsiTheme="minorEastAsia" w:eastAsiaTheme="minorEastAsia"/>
              </w:rPr>
              <w:t>其他关联人</w:t>
            </w:r>
          </w:p>
        </w:tc>
        <w:tc>
          <w:tcPr>
            <w:tcW w:w="558" w:type="pct"/>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0</w:t>
            </w:r>
          </w:p>
        </w:tc>
        <w:tc>
          <w:tcPr>
            <w:tcW w:w="559" w:type="pct"/>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4.52</w:t>
            </w:r>
          </w:p>
        </w:tc>
        <w:tc>
          <w:tcPr>
            <w:tcW w:w="606" w:type="pct"/>
            <w:shd w:val="clear" w:color="auto" w:fill="auto"/>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0</w:t>
            </w:r>
          </w:p>
        </w:tc>
        <w:tc>
          <w:tcPr>
            <w:tcW w:w="558" w:type="pct"/>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0</w:t>
            </w:r>
          </w:p>
        </w:tc>
        <w:tc>
          <w:tcPr>
            <w:tcW w:w="567" w:type="pct"/>
            <w:shd w:val="clear" w:color="auto" w:fill="auto"/>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88.19</w:t>
            </w:r>
          </w:p>
        </w:tc>
        <w:tc>
          <w:tcPr>
            <w:tcW w:w="588" w:type="pct"/>
            <w:shd w:val="clear" w:color="auto" w:fill="auto"/>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564" w:type="pct"/>
            <w:gridSpan w:val="2"/>
            <w:shd w:val="clear" w:color="auto" w:fill="auto"/>
            <w:vAlign w:val="center"/>
          </w:tcPr>
          <w:p>
            <w:pPr>
              <w:pStyle w:val="214"/>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合计</w:t>
            </w:r>
          </w:p>
        </w:tc>
        <w:tc>
          <w:tcPr>
            <w:tcW w:w="558" w:type="pct"/>
            <w:tcBorders>
              <w:bottom w:val="nil"/>
            </w:tcBorders>
            <w:shd w:val="clear" w:color="auto" w:fill="auto"/>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172.68</w:t>
            </w:r>
          </w:p>
        </w:tc>
        <w:tc>
          <w:tcPr>
            <w:tcW w:w="559" w:type="pct"/>
            <w:tcBorders>
              <w:bottom w:val="nil"/>
            </w:tcBorders>
            <w:shd w:val="clear" w:color="auto" w:fill="auto"/>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2.41</w:t>
            </w:r>
          </w:p>
        </w:tc>
        <w:tc>
          <w:tcPr>
            <w:tcW w:w="606" w:type="pct"/>
            <w:tcBorders>
              <w:bottom w:val="nil"/>
            </w:tcBorders>
            <w:shd w:val="clear" w:color="auto" w:fill="auto"/>
          </w:tcPr>
          <w:p>
            <w:pPr>
              <w:ind w:right="84" w:rightChars="40"/>
              <w:jc w:val="center"/>
              <w:rPr>
                <w:rFonts w:asciiTheme="minorEastAsia" w:hAnsiTheme="minorEastAsia" w:eastAsiaTheme="minorEastAsia"/>
              </w:rPr>
            </w:pPr>
            <w:r>
              <w:rPr>
                <w:rFonts w:hint="eastAsia" w:ascii="宋体" w:hAnsi="宋体"/>
              </w:rPr>
              <w:t>170.57</w:t>
            </w:r>
          </w:p>
        </w:tc>
        <w:tc>
          <w:tcPr>
            <w:tcW w:w="558" w:type="pct"/>
            <w:tcBorders>
              <w:bottom w:val="nil"/>
            </w:tcBorders>
            <w:shd w:val="clear" w:color="auto" w:fill="auto"/>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487.86</w:t>
            </w:r>
          </w:p>
        </w:tc>
        <w:tc>
          <w:tcPr>
            <w:tcW w:w="567" w:type="pct"/>
            <w:tcBorders>
              <w:bottom w:val="nil"/>
            </w:tcBorders>
            <w:shd w:val="clear" w:color="auto" w:fill="auto"/>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65.03</w:t>
            </w:r>
          </w:p>
        </w:tc>
        <w:tc>
          <w:tcPr>
            <w:tcW w:w="588" w:type="pct"/>
            <w:tcBorders>
              <w:bottom w:val="nil"/>
            </w:tcBorders>
            <w:shd w:val="clear" w:color="auto" w:fill="auto"/>
          </w:tcPr>
          <w:p>
            <w:pPr>
              <w:autoSpaceDE w:val="0"/>
              <w:autoSpaceDN w:val="0"/>
              <w:adjustRightInd w:val="0"/>
              <w:ind w:right="84" w:rightChars="40"/>
              <w:jc w:val="center"/>
              <w:rPr>
                <w:rFonts w:asciiTheme="minorEastAsia" w:hAnsiTheme="minorEastAsia" w:eastAsiaTheme="minorEastAsia"/>
              </w:rPr>
            </w:pPr>
            <w:r>
              <w:rPr>
                <w:rFonts w:hint="eastAsia" w:ascii="宋体" w:hAnsi="宋体"/>
              </w:rPr>
              <w:t>464.70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c>
          <w:tcPr>
            <w:tcW w:w="1564" w:type="pct"/>
            <w:gridSpan w:val="2"/>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关联债权债务形成原因</w:t>
            </w:r>
          </w:p>
        </w:tc>
        <w:tc>
          <w:tcPr>
            <w:tcW w:w="3436"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双方互相销售商品、提供服务等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c>
          <w:tcPr>
            <w:tcW w:w="1564" w:type="pct"/>
            <w:gridSpan w:val="2"/>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关联债权债务对公司的影响</w:t>
            </w:r>
          </w:p>
        </w:tc>
        <w:tc>
          <w:tcPr>
            <w:tcW w:w="3436"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无重大影响</w:t>
            </w:r>
          </w:p>
        </w:tc>
      </w:tr>
    </w:tbl>
    <w:p>
      <w:pPr>
        <w:rPr>
          <w:rFonts w:asciiTheme="minorEastAsia" w:hAnsiTheme="minorEastAsia" w:eastAsiaTheme="minorEastAsia"/>
        </w:rPr>
      </w:pPr>
    </w:p>
    <w:p>
      <w:pPr>
        <w:pStyle w:val="4"/>
        <w:numPr>
          <w:ilvl w:val="2"/>
          <w:numId w:val="5"/>
        </w:numPr>
        <w:rPr>
          <w:rFonts w:asciiTheme="minorEastAsia" w:hAnsiTheme="minorEastAsia" w:eastAsiaTheme="minorEastAsia"/>
        </w:rPr>
      </w:pPr>
      <w:bookmarkStart w:id="140" w:name="_Hlk89346519"/>
      <w:bookmarkStart w:id="141" w:name="_Hlk89953756"/>
      <w:r>
        <w:rPr>
          <w:rFonts w:asciiTheme="minorEastAsia" w:hAnsiTheme="minorEastAsia" w:eastAsiaTheme="minorEastAsia"/>
        </w:rPr>
        <w:t>公司与存在关联关系的财务公司、公司控股财务公司与关联方之间的金融业务</w:t>
      </w:r>
    </w:p>
    <w:sdt>
      <w:sdtPr>
        <w:rPr>
          <w:rFonts w:asciiTheme="minorEastAsia" w:hAnsiTheme="minorEastAsia" w:eastAsiaTheme="minorEastAsia"/>
        </w:rPr>
        <w:alias w:val="是否适用：公司与存在关联关系的财务公司、公司控股财务公司与关联方之间的金融业务 [双击切换]"/>
        <w:tag w:val="_GBC_5a345568387542318c17a9fa2dcc2dbc"/>
        <w:id w:val="-521852058"/>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pStyle w:val="5"/>
        <w:numPr>
          <w:ilvl w:val="0"/>
          <w:numId w:val="39"/>
        </w:numPr>
        <w:ind w:left="425" w:hanging="425"/>
      </w:pPr>
      <w:r>
        <w:rPr>
          <w:rFonts w:hint="eastAsia"/>
        </w:rPr>
        <w:t>存款业务</w:t>
      </w:r>
    </w:p>
    <w:sdt>
      <w:sdtPr>
        <w:rPr>
          <w:rFonts w:asciiTheme="minorEastAsia" w:hAnsiTheme="minorEastAsia" w:eastAsiaTheme="minorEastAsia"/>
        </w:rPr>
        <w:alias w:val="是否适用：存款业务[双击切换]"/>
        <w:tag w:val="_GBC_f91d5ba8911645af92109a1b977343e2"/>
        <w:id w:val="983352398"/>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jc w:val="right"/>
        <w:rPr>
          <w:rFonts w:asciiTheme="minorEastAsia" w:hAnsiTheme="minorEastAsia" w:eastAsiaTheme="minorEastAsia"/>
        </w:rPr>
      </w:pPr>
      <w:r>
        <w:rPr>
          <w:rFonts w:hint="eastAsia" w:asciiTheme="minorEastAsia" w:hAnsiTheme="minorEastAsia" w:eastAsiaTheme="minorEastAsia"/>
        </w:rPr>
        <w:t>单位：</w:t>
      </w:r>
      <w:sdt>
        <w:sdtPr>
          <w:rPr>
            <w:rFonts w:hint="eastAsia" w:asciiTheme="minorEastAsia" w:hAnsiTheme="minorEastAsia" w:eastAsiaTheme="minorEastAsia"/>
          </w:rPr>
          <w:alias w:val="单位：存款业务情况"/>
          <w:tag w:val="_GBC_3c39941625c0404dacda9210d5f10426"/>
          <w:id w:val="130404746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heme="minorEastAsia" w:hAnsiTheme="minorEastAsia" w:eastAsiaTheme="minorEastAsia"/>
          </w:rPr>
        </w:sdtEndPr>
        <w:sdtContent>
          <w:r>
            <w:rPr>
              <w:rFonts w:hint="eastAsia" w:asciiTheme="minorEastAsia" w:hAnsiTheme="minorEastAsia" w:eastAsiaTheme="minorEastAsia"/>
            </w:rPr>
            <w:t>亿元</w:t>
          </w:r>
        </w:sdtContent>
      </w:sdt>
      <w:r>
        <w:rPr>
          <w:rFonts w:hint="eastAsia" w:asciiTheme="minorEastAsia" w:hAnsiTheme="minorEastAsia" w:eastAsiaTheme="minorEastAsia"/>
        </w:rPr>
        <w:t xml:space="preserve">  币种：</w:t>
      </w:r>
      <w:sdt>
        <w:sdtPr>
          <w:rPr>
            <w:rFonts w:hint="eastAsia" w:asciiTheme="minorEastAsia" w:hAnsiTheme="minorEastAsia" w:eastAsiaTheme="minorEastAsia"/>
          </w:rPr>
          <w:alias w:val="币种：存款业务情况"/>
          <w:tag w:val="_GBC_f9cda9c00cdf40b5a544fdcc0e086854"/>
          <w:id w:val="-15630871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rPr>
        </w:sdtEndPr>
        <w:sdtContent>
          <w:r>
            <w:rPr>
              <w:rFonts w:hint="eastAsia" w:asciiTheme="minorEastAsia" w:hAnsiTheme="minorEastAsia" w:eastAsiaTheme="minorEastAsia"/>
            </w:rPr>
            <w:t>人民币</w:t>
          </w:r>
        </w:sdtContent>
      </w:sdt>
    </w:p>
    <w:tbl>
      <w:tblPr>
        <w:tblStyle w:val="20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722"/>
        <w:gridCol w:w="1158"/>
        <w:gridCol w:w="1753"/>
        <w:gridCol w:w="1080"/>
        <w:gridCol w:w="1161"/>
        <w:gridCol w:w="1161"/>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heme="minorEastAsia" w:hAnsiTheme="minorEastAsia" w:eastAsiaTheme="minorEastAsia"/>
            </w:rPr>
            <w:tag w:val="_PLD_e6f8a0bf4fa44cc6a5830ca60560c631"/>
            <w:id w:val="-574277897"/>
          </w:sdtPr>
          <w:sdtEndPr>
            <w:rPr>
              <w:rFonts w:hint="eastAsia" w:asciiTheme="minorEastAsia" w:hAnsiTheme="minorEastAsia" w:eastAsiaTheme="minorEastAsia"/>
            </w:rPr>
          </w:sdtEndPr>
          <w:sdtContent>
            <w:tc>
              <w:tcPr>
                <w:tcW w:w="640"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关联方</w:t>
                </w:r>
              </w:p>
            </w:tc>
          </w:sdtContent>
        </w:sdt>
        <w:sdt>
          <w:sdtPr>
            <w:rPr>
              <w:rFonts w:hint="eastAsia" w:asciiTheme="minorEastAsia" w:hAnsiTheme="minorEastAsia" w:eastAsiaTheme="minorEastAsia"/>
            </w:rPr>
            <w:tag w:val="_PLD_8aebf5d34bff4522b47150e7ac619932"/>
            <w:id w:val="-289438161"/>
          </w:sdtPr>
          <w:sdtEndPr>
            <w:rPr>
              <w:rFonts w:hint="eastAsia" w:asciiTheme="minorEastAsia" w:hAnsiTheme="minorEastAsia" w:eastAsiaTheme="minorEastAsia"/>
            </w:rPr>
          </w:sdtEndPr>
          <w:sdtContent>
            <w:tc>
              <w:tcPr>
                <w:tcW w:w="402"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关联关系</w:t>
                </w:r>
              </w:p>
            </w:tc>
          </w:sdtContent>
        </w:sdt>
        <w:sdt>
          <w:sdtPr>
            <w:rPr>
              <w:rFonts w:asciiTheme="minorEastAsia" w:hAnsiTheme="minorEastAsia" w:eastAsiaTheme="minorEastAsia"/>
            </w:rPr>
            <w:tag w:val="_PLD_6926102d22164a98841f060797e60bdf"/>
            <w:id w:val="294714413"/>
          </w:sdtPr>
          <w:sdtEndPr>
            <w:rPr>
              <w:rFonts w:asciiTheme="minorEastAsia" w:hAnsiTheme="minorEastAsia" w:eastAsiaTheme="minorEastAsia"/>
            </w:rPr>
          </w:sdtEndPr>
          <w:sdtContent>
            <w:tc>
              <w:tcPr>
                <w:tcW w:w="643"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每日最高存款限额</w:t>
                </w:r>
              </w:p>
            </w:tc>
          </w:sdtContent>
        </w:sdt>
        <w:sdt>
          <w:sdtPr>
            <w:rPr>
              <w:rFonts w:asciiTheme="minorEastAsia" w:hAnsiTheme="minorEastAsia" w:eastAsiaTheme="minorEastAsia"/>
            </w:rPr>
            <w:tag w:val="_PLD_35120e1d137a49a58b458aa55e4b9d03"/>
            <w:id w:val="-1448379941"/>
          </w:sdtPr>
          <w:sdtEndPr>
            <w:rPr>
              <w:rFonts w:asciiTheme="minorEastAsia" w:hAnsiTheme="minorEastAsia" w:eastAsiaTheme="minorEastAsia"/>
            </w:rPr>
          </w:sdtEndPr>
          <w:sdtContent>
            <w:tc>
              <w:tcPr>
                <w:tcW w:w="972"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存款利率范围</w:t>
                </w:r>
              </w:p>
            </w:tc>
          </w:sdtContent>
        </w:sdt>
        <w:sdt>
          <w:sdtPr>
            <w:rPr>
              <w:rFonts w:asciiTheme="minorEastAsia" w:hAnsiTheme="minorEastAsia" w:eastAsiaTheme="minorEastAsia"/>
            </w:rPr>
            <w:tag w:val="_PLD_3f62fc64d6bc4210a25dd2bd7c73a3b2"/>
            <w:id w:val="719948411"/>
          </w:sdtPr>
          <w:sdtEndPr>
            <w:rPr>
              <w:rFonts w:asciiTheme="minorEastAsia" w:hAnsiTheme="minorEastAsia" w:eastAsiaTheme="minorEastAsia"/>
            </w:rPr>
          </w:sdtEndPr>
          <w:sdtContent>
            <w:tc>
              <w:tcPr>
                <w:tcW w:w="600"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期初余额</w:t>
                </w:r>
              </w:p>
            </w:tc>
          </w:sdtContent>
        </w:sdt>
        <w:sdt>
          <w:sdtPr>
            <w:rPr>
              <w:rFonts w:asciiTheme="minorEastAsia" w:hAnsiTheme="minorEastAsia" w:eastAsiaTheme="minorEastAsia"/>
            </w:rPr>
            <w:tag w:val="_PLD_2c020463045344b1a08898f249b93e22"/>
            <w:id w:val="-56781551"/>
          </w:sdtPr>
          <w:sdtEndPr>
            <w:rPr>
              <w:rFonts w:asciiTheme="minorEastAsia" w:hAnsiTheme="minorEastAsia" w:eastAsiaTheme="minorEastAsia"/>
            </w:rPr>
          </w:sdtEndPr>
          <w:sdtContent>
            <w:tc>
              <w:tcPr>
                <w:tcW w:w="1264" w:type="pct"/>
                <w:gridSpan w:val="2"/>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本期发生额</w:t>
                </w:r>
              </w:p>
            </w:tc>
          </w:sdtContent>
        </w:sdt>
        <w:sdt>
          <w:sdtPr>
            <w:rPr>
              <w:rFonts w:asciiTheme="minorEastAsia" w:hAnsiTheme="minorEastAsia" w:eastAsiaTheme="minorEastAsia"/>
            </w:rPr>
            <w:tag w:val="_PLD_7256a341c00d4ea9bfda5df6a6c75070"/>
            <w:id w:val="61376620"/>
          </w:sdtPr>
          <w:sdtEndPr>
            <w:rPr>
              <w:rFonts w:asciiTheme="minorEastAsia" w:hAnsiTheme="minorEastAsia" w:eastAsiaTheme="minorEastAsia"/>
            </w:rPr>
          </w:sdtEndPr>
          <w:sdtContent>
            <w:tc>
              <w:tcPr>
                <w:tcW w:w="479"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tc>
          <w:tcPr>
            <w:tcW w:w="402"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tc>
          <w:tcPr>
            <w:tcW w:w="643"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tc>
          <w:tcPr>
            <w:tcW w:w="972"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tc>
          <w:tcPr>
            <w:tcW w:w="600"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sdt>
          <w:sdtPr>
            <w:rPr>
              <w:rFonts w:hint="eastAsia" w:asciiTheme="minorEastAsia" w:hAnsiTheme="minorEastAsia" w:eastAsiaTheme="minorEastAsia"/>
            </w:rPr>
            <w:tag w:val="_PLD_a7c089b9b9c848cda9c2d0d39ffd15d1"/>
            <w:id w:val="-8461744"/>
          </w:sdtPr>
          <w:sdtEndPr>
            <w:rPr>
              <w:rFonts w:hint="eastAsia" w:asciiTheme="minorEastAsia" w:hAnsiTheme="minorEastAsia" w:eastAsiaTheme="minorEastAsia"/>
            </w:rPr>
          </w:sdtEndPr>
          <w:sdtContent>
            <w:tc>
              <w:tcPr>
                <w:tcW w:w="627"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本期合计存入金额</w:t>
                </w:r>
              </w:p>
            </w:tc>
          </w:sdtContent>
        </w:sdt>
        <w:sdt>
          <w:sdtPr>
            <w:rPr>
              <w:rFonts w:hint="eastAsia" w:asciiTheme="minorEastAsia" w:hAnsiTheme="minorEastAsia" w:eastAsiaTheme="minorEastAsia"/>
            </w:rPr>
            <w:tag w:val="_PLD_d5c42deb4e87457db7957c53e44d1d9b"/>
            <w:id w:val="-1809009677"/>
          </w:sdtPr>
          <w:sdtEndPr>
            <w:rPr>
              <w:rFonts w:hint="eastAsia" w:asciiTheme="minorEastAsia" w:hAnsiTheme="minorEastAsia" w:eastAsiaTheme="minorEastAsia"/>
            </w:rPr>
          </w:sdtEndPr>
          <w:sdtContent>
            <w:tc>
              <w:tcPr>
                <w:tcW w:w="637" w:type="pct"/>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本期合计取出金额</w:t>
                </w:r>
              </w:p>
            </w:tc>
          </w:sdtContent>
        </w:sdt>
        <w:tc>
          <w:tcPr>
            <w:tcW w:w="479"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山东能源集团</w:t>
            </w:r>
          </w:p>
        </w:tc>
        <w:tc>
          <w:tcPr>
            <w:tcW w:w="402"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控股股东</w:t>
            </w:r>
          </w:p>
        </w:tc>
        <w:tc>
          <w:tcPr>
            <w:tcW w:w="643"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625</w:t>
            </w:r>
          </w:p>
        </w:tc>
        <w:tc>
          <w:tcPr>
            <w:tcW w:w="972"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0.3%-2.1%</w:t>
            </w:r>
          </w:p>
        </w:tc>
        <w:tc>
          <w:tcPr>
            <w:tcW w:w="600"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34</w:t>
            </w:r>
            <w:r>
              <w:rPr>
                <w:rFonts w:hint="eastAsia" w:asciiTheme="minorEastAsia" w:hAnsiTheme="minorEastAsia" w:eastAsiaTheme="minorEastAsia"/>
              </w:rPr>
              <w:t>6</w:t>
            </w:r>
            <w:r>
              <w:rPr>
                <w:rFonts w:asciiTheme="minorEastAsia" w:hAnsiTheme="minorEastAsia" w:eastAsiaTheme="minorEastAsia"/>
              </w:rPr>
              <w:t>.</w:t>
            </w:r>
            <w:r>
              <w:rPr>
                <w:rFonts w:hint="eastAsia" w:asciiTheme="minorEastAsia" w:hAnsiTheme="minorEastAsia" w:eastAsiaTheme="minorEastAsia"/>
              </w:rPr>
              <w:t>27</w:t>
            </w:r>
          </w:p>
        </w:tc>
        <w:tc>
          <w:tcPr>
            <w:tcW w:w="627"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10</w:t>
            </w: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27.77</w:t>
            </w:r>
          </w:p>
        </w:tc>
        <w:tc>
          <w:tcPr>
            <w:tcW w:w="637" w:type="pct"/>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10</w:t>
            </w:r>
            <w:r>
              <w:rPr>
                <w:rFonts w:hint="eastAsia" w:asciiTheme="minorEastAsia" w:hAnsiTheme="minorEastAsia" w:eastAsiaTheme="minorEastAsia"/>
              </w:rPr>
              <w:t>,</w:t>
            </w:r>
            <w:r>
              <w:rPr>
                <w:rFonts w:asciiTheme="minorEastAsia" w:hAnsiTheme="minorEastAsia" w:eastAsiaTheme="minorEastAsia"/>
              </w:rPr>
              <w:t>4</w:t>
            </w:r>
            <w:r>
              <w:rPr>
                <w:rFonts w:hint="eastAsia" w:asciiTheme="minorEastAsia" w:hAnsiTheme="minorEastAsia" w:eastAsiaTheme="minorEastAsia"/>
              </w:rPr>
              <w:t>22.23</w:t>
            </w:r>
          </w:p>
        </w:tc>
        <w:tc>
          <w:tcPr>
            <w:tcW w:w="479"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251.</w:t>
            </w:r>
            <w:r>
              <w:rPr>
                <w:rFonts w:hint="eastAsia" w:asciiTheme="minorEastAsia" w:hAnsiTheme="minorEastAsia" w:eastAsiaTheme="minorEastAsia"/>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shd w:val="clear" w:color="auto" w:fill="auto"/>
            <w:vAlign w:val="center"/>
          </w:tcPr>
          <w:p>
            <w:pPr>
              <w:autoSpaceDE w:val="0"/>
              <w:autoSpaceDN w:val="0"/>
              <w:adjustRightInd w:val="0"/>
              <w:jc w:val="center"/>
              <w:rPr>
                <w:rFonts w:asciiTheme="minorEastAsia" w:hAnsiTheme="minorEastAsia" w:eastAsiaTheme="minorEastAsia"/>
              </w:rPr>
            </w:pPr>
            <w:sdt>
              <w:sdtPr>
                <w:rPr>
                  <w:rFonts w:hint="eastAsia" w:asciiTheme="minorEastAsia" w:hAnsiTheme="minorEastAsia" w:eastAsiaTheme="minorEastAsia"/>
                </w:rPr>
                <w:tag w:val="_PLD_6b5e5a7881774c26b4fe0d46d4914cd8"/>
                <w:id w:val="-804771661"/>
              </w:sdtPr>
              <w:sdtEndPr>
                <w:rPr>
                  <w:rFonts w:hint="eastAsia" w:asciiTheme="minorEastAsia" w:hAnsiTheme="minorEastAsia" w:eastAsiaTheme="minorEastAsia"/>
                </w:rPr>
              </w:sdtEndPr>
              <w:sdtContent>
                <w:r>
                  <w:rPr>
                    <w:rFonts w:hint="eastAsia" w:asciiTheme="minorEastAsia" w:hAnsiTheme="minorEastAsia" w:eastAsiaTheme="minorEastAsia"/>
                  </w:rPr>
                  <w:t>合计</w:t>
                </w:r>
              </w:sdtContent>
            </w:sdt>
          </w:p>
        </w:tc>
        <w:tc>
          <w:tcPr>
            <w:tcW w:w="402"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w:t>
            </w:r>
          </w:p>
        </w:tc>
        <w:tc>
          <w:tcPr>
            <w:tcW w:w="643"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625</w:t>
            </w:r>
          </w:p>
        </w:tc>
        <w:tc>
          <w:tcPr>
            <w:tcW w:w="972"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w:t>
            </w:r>
          </w:p>
        </w:tc>
        <w:tc>
          <w:tcPr>
            <w:tcW w:w="600"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34</w:t>
            </w:r>
            <w:r>
              <w:rPr>
                <w:rFonts w:hint="eastAsia" w:asciiTheme="minorEastAsia" w:hAnsiTheme="minorEastAsia" w:eastAsiaTheme="minorEastAsia"/>
              </w:rPr>
              <w:t>6</w:t>
            </w:r>
            <w:r>
              <w:rPr>
                <w:rFonts w:asciiTheme="minorEastAsia" w:hAnsiTheme="minorEastAsia" w:eastAsiaTheme="minorEastAsia"/>
              </w:rPr>
              <w:t>.</w:t>
            </w:r>
            <w:r>
              <w:rPr>
                <w:rFonts w:hint="eastAsia" w:asciiTheme="minorEastAsia" w:hAnsiTheme="minorEastAsia" w:eastAsiaTheme="minorEastAsia"/>
              </w:rPr>
              <w:t>27</w:t>
            </w:r>
          </w:p>
        </w:tc>
        <w:tc>
          <w:tcPr>
            <w:tcW w:w="627"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10</w:t>
            </w: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27.77</w:t>
            </w:r>
          </w:p>
        </w:tc>
        <w:tc>
          <w:tcPr>
            <w:tcW w:w="637" w:type="pct"/>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10</w:t>
            </w:r>
            <w:r>
              <w:rPr>
                <w:rFonts w:hint="eastAsia" w:asciiTheme="minorEastAsia" w:hAnsiTheme="minorEastAsia" w:eastAsiaTheme="minorEastAsia"/>
              </w:rPr>
              <w:t>,</w:t>
            </w:r>
            <w:r>
              <w:rPr>
                <w:rFonts w:asciiTheme="minorEastAsia" w:hAnsiTheme="minorEastAsia" w:eastAsiaTheme="minorEastAsia"/>
              </w:rPr>
              <w:t>4</w:t>
            </w:r>
            <w:r>
              <w:rPr>
                <w:rFonts w:hint="eastAsia" w:asciiTheme="minorEastAsia" w:hAnsiTheme="minorEastAsia" w:eastAsiaTheme="minorEastAsia"/>
              </w:rPr>
              <w:t>22.23</w:t>
            </w:r>
          </w:p>
        </w:tc>
        <w:tc>
          <w:tcPr>
            <w:tcW w:w="479"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251.</w:t>
            </w:r>
            <w:r>
              <w:rPr>
                <w:rFonts w:hint="eastAsia" w:asciiTheme="minorEastAsia" w:hAnsiTheme="minorEastAsia" w:eastAsiaTheme="minorEastAsia"/>
              </w:rPr>
              <w:t>81</w:t>
            </w:r>
          </w:p>
        </w:tc>
      </w:tr>
    </w:tbl>
    <w:p>
      <w:pPr>
        <w:jc w:val="center"/>
        <w:rPr>
          <w:rFonts w:asciiTheme="minorEastAsia" w:hAnsiTheme="minorEastAsia" w:eastAsiaTheme="minorEastAsia"/>
        </w:rPr>
      </w:pPr>
    </w:p>
    <w:p>
      <w:pPr>
        <w:pStyle w:val="5"/>
        <w:numPr>
          <w:ilvl w:val="0"/>
          <w:numId w:val="39"/>
        </w:numPr>
        <w:ind w:left="425" w:hanging="425"/>
      </w:pPr>
      <w:r>
        <w:rPr>
          <w:rFonts w:hint="eastAsia"/>
        </w:rPr>
        <w:t>贷款业务</w:t>
      </w:r>
    </w:p>
    <w:sdt>
      <w:sdtPr>
        <w:rPr>
          <w:rFonts w:asciiTheme="minorEastAsia" w:hAnsiTheme="minorEastAsia" w:eastAsiaTheme="minorEastAsia"/>
        </w:rPr>
        <w:alias w:val="是否适用：贷款业务[双击切换]"/>
        <w:tag w:val="_GBC_c6196556cf0343eb8e53770deb1ab020"/>
        <w:id w:val="-1604727404"/>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jc w:val="right"/>
        <w:rPr>
          <w:rFonts w:asciiTheme="minorEastAsia" w:hAnsiTheme="minorEastAsia" w:eastAsiaTheme="minorEastAsia"/>
        </w:rPr>
      </w:pPr>
      <w:r>
        <w:rPr>
          <w:rFonts w:hint="eastAsia" w:asciiTheme="minorEastAsia" w:hAnsiTheme="minorEastAsia" w:eastAsiaTheme="minorEastAsia"/>
        </w:rPr>
        <w:t>单位：</w:t>
      </w:r>
      <w:sdt>
        <w:sdtPr>
          <w:rPr>
            <w:rFonts w:hint="eastAsia" w:asciiTheme="minorEastAsia" w:hAnsiTheme="minorEastAsia" w:eastAsiaTheme="minorEastAsia"/>
          </w:rPr>
          <w:alias w:val="单位：贷款业务情况"/>
          <w:tag w:val="_GBC_059b0d773c3540e0abdacc61557d8505"/>
          <w:id w:val="38021938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heme="minorEastAsia" w:hAnsiTheme="minorEastAsia" w:eastAsiaTheme="minorEastAsia"/>
          </w:rPr>
        </w:sdtEndPr>
        <w:sdtContent>
          <w:r>
            <w:rPr>
              <w:rFonts w:hint="eastAsia" w:asciiTheme="minorEastAsia" w:hAnsiTheme="minorEastAsia" w:eastAsiaTheme="minorEastAsia"/>
            </w:rPr>
            <w:t>亿元</w:t>
          </w:r>
        </w:sdtContent>
      </w:sdt>
      <w:r>
        <w:rPr>
          <w:rFonts w:hint="eastAsia" w:asciiTheme="minorEastAsia" w:hAnsiTheme="minorEastAsia" w:eastAsiaTheme="minorEastAsia"/>
        </w:rPr>
        <w:t xml:space="preserve">  币种：</w:t>
      </w:r>
      <w:sdt>
        <w:sdtPr>
          <w:rPr>
            <w:rFonts w:hint="eastAsia" w:asciiTheme="minorEastAsia" w:hAnsiTheme="minorEastAsia" w:eastAsiaTheme="minorEastAsia"/>
          </w:rPr>
          <w:alias w:val="币种：贷款业务情况"/>
          <w:tag w:val="_GBC_5b5266ae817f40d4806dbf08530678d1"/>
          <w:id w:val="11070789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rPr>
        </w:sdtEndPr>
        <w:sdtContent>
          <w:r>
            <w:rPr>
              <w:rFonts w:hint="eastAsia" w:asciiTheme="minorEastAsia" w:hAnsiTheme="minorEastAsia" w:eastAsiaTheme="minorEastAsia"/>
            </w:rPr>
            <w:t>人民币</w:t>
          </w:r>
        </w:sdtContent>
      </w:sdt>
    </w:p>
    <w:tbl>
      <w:tblPr>
        <w:tblStyle w:val="20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728"/>
        <w:gridCol w:w="1164"/>
        <w:gridCol w:w="1759"/>
        <w:gridCol w:w="1086"/>
        <w:gridCol w:w="1135"/>
        <w:gridCol w:w="1153"/>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heme="minorEastAsia" w:hAnsiTheme="minorEastAsia" w:eastAsiaTheme="minorEastAsia"/>
            </w:rPr>
            <w:tag w:val="_PLD_8e0965e43d7c4fd298089615ced0e338"/>
            <w:id w:val="-2021615226"/>
          </w:sdtPr>
          <w:sdtEndPr>
            <w:rPr>
              <w:rFonts w:hint="eastAsia" w:asciiTheme="minorEastAsia" w:hAnsiTheme="minorEastAsia" w:eastAsiaTheme="minorEastAsia"/>
            </w:rPr>
          </w:sdtEndPr>
          <w:sdtContent>
            <w:tc>
              <w:tcPr>
                <w:tcW w:w="640"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关联方</w:t>
                </w:r>
              </w:p>
            </w:tc>
          </w:sdtContent>
        </w:sdt>
        <w:sdt>
          <w:sdtPr>
            <w:rPr>
              <w:rFonts w:hint="eastAsia" w:asciiTheme="minorEastAsia" w:hAnsiTheme="minorEastAsia" w:eastAsiaTheme="minorEastAsia"/>
            </w:rPr>
            <w:tag w:val="_PLD_eac1c86765c94374a80d2720ad60bec4"/>
            <w:id w:val="-104651727"/>
          </w:sdtPr>
          <w:sdtEndPr>
            <w:rPr>
              <w:rFonts w:hint="eastAsia" w:asciiTheme="minorEastAsia" w:hAnsiTheme="minorEastAsia" w:eastAsiaTheme="minorEastAsia"/>
            </w:rPr>
          </w:sdtEndPr>
          <w:sdtContent>
            <w:tc>
              <w:tcPr>
                <w:tcW w:w="402"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关联关系</w:t>
                </w:r>
              </w:p>
            </w:tc>
          </w:sdtContent>
        </w:sdt>
        <w:sdt>
          <w:sdtPr>
            <w:rPr>
              <w:rFonts w:asciiTheme="minorEastAsia" w:hAnsiTheme="minorEastAsia" w:eastAsiaTheme="minorEastAsia"/>
            </w:rPr>
            <w:tag w:val="_PLD_a268114f151e4f0ab213565705be616c"/>
            <w:id w:val="-941457492"/>
          </w:sdtPr>
          <w:sdtEndPr>
            <w:rPr>
              <w:rFonts w:asciiTheme="minorEastAsia" w:hAnsiTheme="minorEastAsia" w:eastAsiaTheme="minorEastAsia"/>
            </w:rPr>
          </w:sdtEndPr>
          <w:sdtContent>
            <w:tc>
              <w:tcPr>
                <w:tcW w:w="643"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贷款额度</w:t>
                </w:r>
              </w:p>
            </w:tc>
          </w:sdtContent>
        </w:sdt>
        <w:sdt>
          <w:sdtPr>
            <w:rPr>
              <w:rFonts w:asciiTheme="minorEastAsia" w:hAnsiTheme="minorEastAsia" w:eastAsiaTheme="minorEastAsia"/>
            </w:rPr>
            <w:tag w:val="_PLD_3132c7cff09d4f0aa6ead8932727bb98"/>
            <w:id w:val="1438873805"/>
          </w:sdtPr>
          <w:sdtEndPr>
            <w:rPr>
              <w:rFonts w:asciiTheme="minorEastAsia" w:hAnsiTheme="minorEastAsia" w:eastAsiaTheme="minorEastAsia"/>
            </w:rPr>
          </w:sdtEndPr>
          <w:sdtContent>
            <w:tc>
              <w:tcPr>
                <w:tcW w:w="972"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贷款利率范围</w:t>
                </w:r>
              </w:p>
            </w:tc>
          </w:sdtContent>
        </w:sdt>
        <w:sdt>
          <w:sdtPr>
            <w:rPr>
              <w:rFonts w:asciiTheme="minorEastAsia" w:hAnsiTheme="minorEastAsia" w:eastAsiaTheme="minorEastAsia"/>
            </w:rPr>
            <w:tag w:val="_PLD_aafcde0121d84987a5a4dbade5f61506"/>
            <w:id w:val="-1677874066"/>
          </w:sdtPr>
          <w:sdtEndPr>
            <w:rPr>
              <w:rFonts w:asciiTheme="minorEastAsia" w:hAnsiTheme="minorEastAsia" w:eastAsiaTheme="minorEastAsia"/>
            </w:rPr>
          </w:sdtEndPr>
          <w:sdtContent>
            <w:tc>
              <w:tcPr>
                <w:tcW w:w="600"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期初余额</w:t>
                </w:r>
              </w:p>
            </w:tc>
          </w:sdtContent>
        </w:sdt>
        <w:sdt>
          <w:sdtPr>
            <w:rPr>
              <w:rFonts w:asciiTheme="minorEastAsia" w:hAnsiTheme="minorEastAsia" w:eastAsiaTheme="minorEastAsia"/>
            </w:rPr>
            <w:tag w:val="_PLD_b166840bc9fd4c459f0e2b8d5ffc812f"/>
            <w:id w:val="1452443676"/>
          </w:sdtPr>
          <w:sdtEndPr>
            <w:rPr>
              <w:rFonts w:asciiTheme="minorEastAsia" w:hAnsiTheme="minorEastAsia" w:eastAsiaTheme="minorEastAsia"/>
            </w:rPr>
          </w:sdtEndPr>
          <w:sdtContent>
            <w:tc>
              <w:tcPr>
                <w:tcW w:w="1264" w:type="pct"/>
                <w:gridSpan w:val="2"/>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本期发生额</w:t>
                </w:r>
              </w:p>
            </w:tc>
          </w:sdtContent>
        </w:sdt>
        <w:sdt>
          <w:sdtPr>
            <w:rPr>
              <w:rFonts w:asciiTheme="minorEastAsia" w:hAnsiTheme="minorEastAsia" w:eastAsiaTheme="minorEastAsia"/>
            </w:rPr>
            <w:tag w:val="_PLD_8c8a0cecf8874d8e910b7f608531fd2a"/>
            <w:id w:val="75254831"/>
          </w:sdtPr>
          <w:sdtEndPr>
            <w:rPr>
              <w:rFonts w:asciiTheme="minorEastAsia" w:hAnsiTheme="minorEastAsia" w:eastAsiaTheme="minorEastAsia"/>
            </w:rPr>
          </w:sdtEndPr>
          <w:sdtContent>
            <w:tc>
              <w:tcPr>
                <w:tcW w:w="479" w:type="pct"/>
                <w:vMerge w:val="restar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tc>
          <w:tcPr>
            <w:tcW w:w="402"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tc>
          <w:tcPr>
            <w:tcW w:w="643"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tc>
          <w:tcPr>
            <w:tcW w:w="972"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tc>
          <w:tcPr>
            <w:tcW w:w="600"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sdt>
          <w:sdtPr>
            <w:rPr>
              <w:rFonts w:hint="eastAsia" w:asciiTheme="minorEastAsia" w:hAnsiTheme="minorEastAsia" w:eastAsiaTheme="minorEastAsia"/>
            </w:rPr>
            <w:tag w:val="_PLD_613437c37275454bac9cd4fef8554e83"/>
            <w:id w:val="-271628418"/>
          </w:sdtPr>
          <w:sdtEndPr>
            <w:rPr>
              <w:rFonts w:hint="eastAsia" w:asciiTheme="minorEastAsia" w:hAnsiTheme="minorEastAsia" w:eastAsiaTheme="minorEastAsia"/>
            </w:rPr>
          </w:sdtEndPr>
          <w:sdtContent>
            <w:tc>
              <w:tcPr>
                <w:tcW w:w="627"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本期合计贷款金额</w:t>
                </w:r>
              </w:p>
            </w:tc>
          </w:sdtContent>
        </w:sdt>
        <w:sdt>
          <w:sdtPr>
            <w:rPr>
              <w:rFonts w:hint="eastAsia" w:asciiTheme="minorEastAsia" w:hAnsiTheme="minorEastAsia" w:eastAsiaTheme="minorEastAsia"/>
            </w:rPr>
            <w:tag w:val="_PLD_44007c6914b54d34922841d5153c0b52"/>
            <w:id w:val="48513240"/>
          </w:sdtPr>
          <w:sdtEndPr>
            <w:rPr>
              <w:rFonts w:hint="eastAsia" w:asciiTheme="minorEastAsia" w:hAnsiTheme="minorEastAsia" w:eastAsiaTheme="minorEastAsia"/>
            </w:rPr>
          </w:sdtEndPr>
          <w:sdtContent>
            <w:tc>
              <w:tcPr>
                <w:tcW w:w="637" w:type="pct"/>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本期合计还款金额</w:t>
                </w:r>
              </w:p>
            </w:tc>
          </w:sdtContent>
        </w:sdt>
        <w:tc>
          <w:tcPr>
            <w:tcW w:w="479" w:type="pct"/>
            <w:vMerge w:val="continue"/>
            <w:shd w:val="clear" w:color="auto" w:fill="auto"/>
            <w:vAlign w:val="center"/>
          </w:tcPr>
          <w:p>
            <w:pPr>
              <w:autoSpaceDE w:val="0"/>
              <w:autoSpaceDN w:val="0"/>
              <w:adjustRightInd w:val="0"/>
              <w:jc w:val="cente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山东能源集团</w:t>
            </w:r>
          </w:p>
        </w:tc>
        <w:tc>
          <w:tcPr>
            <w:tcW w:w="402"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控股股东</w:t>
            </w:r>
          </w:p>
        </w:tc>
        <w:tc>
          <w:tcPr>
            <w:tcW w:w="643"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200</w:t>
            </w:r>
          </w:p>
        </w:tc>
        <w:tc>
          <w:tcPr>
            <w:tcW w:w="972"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3%-3.65%</w:t>
            </w:r>
          </w:p>
        </w:tc>
        <w:tc>
          <w:tcPr>
            <w:tcW w:w="600"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128.89</w:t>
            </w:r>
          </w:p>
        </w:tc>
        <w:tc>
          <w:tcPr>
            <w:tcW w:w="627"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173.14</w:t>
            </w:r>
          </w:p>
        </w:tc>
        <w:tc>
          <w:tcPr>
            <w:tcW w:w="637" w:type="pct"/>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160.19</w:t>
            </w:r>
          </w:p>
        </w:tc>
        <w:tc>
          <w:tcPr>
            <w:tcW w:w="479" w:type="pct"/>
            <w:shd w:val="clear" w:color="auto" w:fill="auto"/>
            <w:vAlign w:val="center"/>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141.84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shd w:val="clear" w:color="auto" w:fill="auto"/>
            <w:vAlign w:val="center"/>
          </w:tcPr>
          <w:p>
            <w:pPr>
              <w:autoSpaceDE w:val="0"/>
              <w:autoSpaceDN w:val="0"/>
              <w:adjustRightInd w:val="0"/>
              <w:jc w:val="center"/>
              <w:rPr>
                <w:rFonts w:asciiTheme="minorEastAsia" w:hAnsiTheme="minorEastAsia" w:eastAsiaTheme="minorEastAsia"/>
              </w:rPr>
            </w:pPr>
            <w:sdt>
              <w:sdtPr>
                <w:rPr>
                  <w:rFonts w:hint="eastAsia" w:asciiTheme="minorEastAsia" w:hAnsiTheme="minorEastAsia" w:eastAsiaTheme="minorEastAsia"/>
                </w:rPr>
                <w:tag w:val="_PLD_1d5e13806c424797a88f207c009263b9"/>
                <w:id w:val="-238029722"/>
              </w:sdtPr>
              <w:sdtEndPr>
                <w:rPr>
                  <w:rFonts w:hint="eastAsia" w:asciiTheme="minorEastAsia" w:hAnsiTheme="minorEastAsia" w:eastAsiaTheme="minorEastAsia"/>
                </w:rPr>
              </w:sdtEndPr>
              <w:sdtContent>
                <w:r>
                  <w:rPr>
                    <w:rFonts w:hint="eastAsia" w:asciiTheme="minorEastAsia" w:hAnsiTheme="minorEastAsia" w:eastAsiaTheme="minorEastAsia"/>
                  </w:rPr>
                  <w:t>合计</w:t>
                </w:r>
              </w:sdtContent>
            </w:sdt>
          </w:p>
        </w:tc>
        <w:tc>
          <w:tcPr>
            <w:tcW w:w="402"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w:t>
            </w:r>
          </w:p>
        </w:tc>
        <w:tc>
          <w:tcPr>
            <w:tcW w:w="643"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200</w:t>
            </w:r>
          </w:p>
        </w:tc>
        <w:tc>
          <w:tcPr>
            <w:tcW w:w="972"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w:t>
            </w:r>
          </w:p>
        </w:tc>
        <w:tc>
          <w:tcPr>
            <w:tcW w:w="600"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128.89</w:t>
            </w:r>
          </w:p>
        </w:tc>
        <w:tc>
          <w:tcPr>
            <w:tcW w:w="627" w:type="pct"/>
            <w:shd w:val="clear" w:color="auto" w:fill="auto"/>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173.14</w:t>
            </w:r>
          </w:p>
        </w:tc>
        <w:tc>
          <w:tcPr>
            <w:tcW w:w="637" w:type="pct"/>
            <w:vAlign w:val="center"/>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160.19</w:t>
            </w:r>
          </w:p>
        </w:tc>
        <w:tc>
          <w:tcPr>
            <w:tcW w:w="479" w:type="pct"/>
            <w:shd w:val="clear" w:color="auto" w:fill="auto"/>
            <w:vAlign w:val="center"/>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141.84</w:t>
            </w:r>
          </w:p>
        </w:tc>
      </w:tr>
    </w:tbl>
    <w:p>
      <w:pPr>
        <w:rPr>
          <w:rFonts w:asciiTheme="minorEastAsia" w:hAnsiTheme="minorEastAsia" w:eastAsiaTheme="minorEastAsia"/>
        </w:rPr>
      </w:pPr>
    </w:p>
    <w:p>
      <w:pPr>
        <w:pStyle w:val="5"/>
        <w:numPr>
          <w:ilvl w:val="0"/>
          <w:numId w:val="39"/>
        </w:numPr>
        <w:ind w:left="425" w:hanging="425"/>
        <w:rPr>
          <w:rFonts w:cs="宋体"/>
          <w:kern w:val="0"/>
          <w:szCs w:val="24"/>
        </w:rPr>
      </w:pPr>
      <w:r>
        <w:rPr>
          <w:rFonts w:cs="宋体"/>
          <w:kern w:val="0"/>
          <w:szCs w:val="24"/>
        </w:rPr>
        <w:t>授信业务或其他金融业务</w:t>
      </w:r>
    </w:p>
    <w:sdt>
      <w:sdtPr>
        <w:rPr>
          <w:rFonts w:hint="eastAsia" w:asciiTheme="minorEastAsia" w:hAnsiTheme="minorEastAsia" w:eastAsiaTheme="minorEastAsia"/>
        </w:rPr>
        <w:alias w:val="是否适用：授信业务或其他金融业务[双击切换]"/>
        <w:tag w:val="_GBC_2f9c3833f7e34ead9932532e40fbb1b9"/>
        <w:id w:val="1398484247"/>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bookmarkStart w:id="142" w:name="_Hlk41316014"/>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jc w:val="right"/>
        <w:rPr>
          <w:rFonts w:asciiTheme="minorEastAsia" w:hAnsiTheme="minorEastAsia" w:eastAsiaTheme="minorEastAsia"/>
        </w:rPr>
      </w:pPr>
      <w:r>
        <w:rPr>
          <w:rFonts w:hint="eastAsia" w:asciiTheme="minorEastAsia" w:hAnsiTheme="minorEastAsia" w:eastAsiaTheme="minorEastAsia"/>
        </w:rPr>
        <w:t>单位：</w:t>
      </w:r>
      <w:sdt>
        <w:sdtPr>
          <w:rPr>
            <w:rFonts w:hint="eastAsia" w:asciiTheme="minorEastAsia" w:hAnsiTheme="minorEastAsia" w:eastAsiaTheme="minorEastAsia"/>
          </w:rPr>
          <w:alias w:val="单位：授信业务或其他金融业务"/>
          <w:tag w:val="_GBC_bd084ea580fc4d9d9e4958d6be5b126d"/>
          <w:id w:val="44195678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asciiTheme="minorEastAsia" w:hAnsiTheme="minorEastAsia" w:eastAsiaTheme="minorEastAsia"/>
          </w:rPr>
        </w:sdtEndPr>
        <w:sdtContent>
          <w:r>
            <w:rPr>
              <w:rFonts w:hint="eastAsia" w:asciiTheme="minorEastAsia" w:hAnsiTheme="minorEastAsia" w:eastAsiaTheme="minorEastAsia"/>
            </w:rPr>
            <w:t>亿元</w:t>
          </w:r>
        </w:sdtContent>
      </w:sdt>
      <w:r>
        <w:rPr>
          <w:rFonts w:hint="eastAsia" w:asciiTheme="minorEastAsia" w:hAnsiTheme="minorEastAsia" w:eastAsiaTheme="minorEastAsia"/>
        </w:rPr>
        <w:t xml:space="preserve">  币种：</w:t>
      </w:r>
      <w:sdt>
        <w:sdtPr>
          <w:rPr>
            <w:rFonts w:hint="eastAsia" w:asciiTheme="minorEastAsia" w:hAnsiTheme="minorEastAsia" w:eastAsiaTheme="minorEastAsia"/>
          </w:rPr>
          <w:alias w:val="币种：授信业务或其他金融业务"/>
          <w:tag w:val="_GBC_57fcdc4bec904580bf2207f3850b4bfc"/>
          <w:id w:val="-2279966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rPr>
        </w:sdtEndPr>
        <w:sdtContent>
          <w:r>
            <w:rPr>
              <w:rFonts w:hint="eastAsia" w:asciiTheme="minorEastAsia" w:hAnsiTheme="minorEastAsia" w:eastAsiaTheme="minorEastAsia"/>
            </w:rPr>
            <w:t>人民币</w:t>
          </w:r>
        </w:sdtContent>
      </w:sdt>
    </w:p>
    <w:tbl>
      <w:tblPr>
        <w:tblStyle w:val="20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985"/>
        <w:gridCol w:w="2294"/>
        <w:gridCol w:w="1430"/>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heme="minorEastAsia" w:hAnsiTheme="minorEastAsia" w:eastAsiaTheme="minorEastAsia"/>
              <w:szCs w:val="21"/>
            </w:rPr>
            <w:tag w:val="_PLD_da5529c13904408187ba2be3414cbaec"/>
            <w:id w:val="309602217"/>
          </w:sdtPr>
          <w:sdtEndPr>
            <w:rPr>
              <w:rFonts w:hint="eastAsia" w:asciiTheme="minorEastAsia" w:hAnsiTheme="minorEastAsia" w:eastAsiaTheme="minorEastAsia"/>
              <w:szCs w:val="21"/>
            </w:rPr>
          </w:sdtEndPr>
          <w:sdtContent>
            <w:tc>
              <w:tcPr>
                <w:tcW w:w="923" w:type="pct"/>
                <w:shd w:val="clear" w:color="auto" w:fill="auto"/>
                <w:vAlign w:val="center"/>
              </w:tcPr>
              <w:p>
                <w:pPr>
                  <w:pStyle w:val="233"/>
                  <w:jc w:val="center"/>
                  <w:rPr>
                    <w:rFonts w:asciiTheme="minorEastAsia" w:hAnsiTheme="minorEastAsia" w:eastAsiaTheme="minorEastAsia"/>
                    <w:szCs w:val="21"/>
                  </w:rPr>
                </w:pPr>
                <w:r>
                  <w:rPr>
                    <w:rFonts w:hint="eastAsia" w:asciiTheme="minorEastAsia" w:hAnsiTheme="minorEastAsia" w:eastAsiaTheme="minorEastAsia"/>
                    <w:szCs w:val="21"/>
                  </w:rPr>
                  <w:t>关联方</w:t>
                </w:r>
              </w:p>
            </w:tc>
          </w:sdtContent>
        </w:sdt>
        <w:sdt>
          <w:sdtPr>
            <w:rPr>
              <w:rFonts w:hint="eastAsia" w:asciiTheme="minorEastAsia" w:hAnsiTheme="minorEastAsia" w:eastAsiaTheme="minorEastAsia"/>
              <w:szCs w:val="21"/>
            </w:rPr>
            <w:tag w:val="_PLD_07e3bda8d1ae484d9c9d6729c395dea4"/>
            <w:id w:val="-688367987"/>
          </w:sdtPr>
          <w:sdtEndPr>
            <w:rPr>
              <w:rFonts w:hint="eastAsia" w:asciiTheme="minorEastAsia" w:hAnsiTheme="minorEastAsia" w:eastAsiaTheme="minorEastAsia"/>
              <w:szCs w:val="21"/>
            </w:rPr>
          </w:sdtEndPr>
          <w:sdtContent>
            <w:tc>
              <w:tcPr>
                <w:tcW w:w="1098" w:type="pct"/>
                <w:shd w:val="clear" w:color="auto" w:fill="auto"/>
                <w:vAlign w:val="center"/>
              </w:tcPr>
              <w:p>
                <w:pPr>
                  <w:pStyle w:val="233"/>
                  <w:jc w:val="center"/>
                  <w:rPr>
                    <w:rFonts w:asciiTheme="minorEastAsia" w:hAnsiTheme="minorEastAsia" w:eastAsiaTheme="minorEastAsia"/>
                    <w:szCs w:val="21"/>
                  </w:rPr>
                </w:pPr>
                <w:r>
                  <w:rPr>
                    <w:rFonts w:hint="eastAsia" w:asciiTheme="minorEastAsia" w:hAnsiTheme="minorEastAsia" w:eastAsiaTheme="minorEastAsia"/>
                    <w:szCs w:val="21"/>
                  </w:rPr>
                  <w:t>关联关系</w:t>
                </w:r>
              </w:p>
            </w:tc>
          </w:sdtContent>
        </w:sdt>
        <w:sdt>
          <w:sdtPr>
            <w:rPr>
              <w:rFonts w:hint="eastAsia" w:asciiTheme="minorEastAsia" w:hAnsiTheme="minorEastAsia" w:eastAsiaTheme="minorEastAsia"/>
              <w:szCs w:val="21"/>
            </w:rPr>
            <w:tag w:val="_PLD_6646e1edc0584c58b833d3c8a2c0c141"/>
            <w:id w:val="-1286736676"/>
          </w:sdtPr>
          <w:sdtEndPr>
            <w:rPr>
              <w:rFonts w:hint="eastAsia" w:asciiTheme="minorEastAsia" w:hAnsiTheme="minorEastAsia" w:eastAsiaTheme="minorEastAsia"/>
              <w:szCs w:val="21"/>
            </w:rPr>
          </w:sdtEndPr>
          <w:sdtContent>
            <w:tc>
              <w:tcPr>
                <w:tcW w:w="1269" w:type="pct"/>
                <w:shd w:val="clear" w:color="auto" w:fill="auto"/>
                <w:vAlign w:val="center"/>
              </w:tcPr>
              <w:p>
                <w:pPr>
                  <w:pStyle w:val="233"/>
                  <w:jc w:val="center"/>
                  <w:rPr>
                    <w:rFonts w:asciiTheme="minorEastAsia" w:hAnsiTheme="minorEastAsia" w:eastAsiaTheme="minorEastAsia"/>
                    <w:szCs w:val="21"/>
                  </w:rPr>
                </w:pPr>
                <w:r>
                  <w:rPr>
                    <w:rFonts w:hint="eastAsia" w:asciiTheme="minorEastAsia" w:hAnsiTheme="minorEastAsia" w:eastAsiaTheme="minorEastAsia"/>
                    <w:szCs w:val="21"/>
                  </w:rPr>
                  <w:t>业务类型</w:t>
                </w:r>
              </w:p>
            </w:tc>
          </w:sdtContent>
        </w:sdt>
        <w:sdt>
          <w:sdtPr>
            <w:rPr>
              <w:rFonts w:hint="eastAsia" w:asciiTheme="minorEastAsia" w:hAnsiTheme="minorEastAsia" w:eastAsiaTheme="minorEastAsia"/>
              <w:szCs w:val="21"/>
            </w:rPr>
            <w:tag w:val="_PLD_4f2f5ad60a7546ccbfd337b0becc5f0e"/>
            <w:id w:val="437032151"/>
          </w:sdtPr>
          <w:sdtEndPr>
            <w:rPr>
              <w:rFonts w:hint="eastAsia" w:asciiTheme="minorEastAsia" w:hAnsiTheme="minorEastAsia" w:eastAsiaTheme="minorEastAsia"/>
              <w:szCs w:val="21"/>
            </w:rPr>
          </w:sdtEndPr>
          <w:sdtContent>
            <w:tc>
              <w:tcPr>
                <w:tcW w:w="791" w:type="pct"/>
                <w:shd w:val="clear" w:color="auto" w:fill="auto"/>
                <w:vAlign w:val="center"/>
              </w:tcPr>
              <w:p>
                <w:pPr>
                  <w:pStyle w:val="233"/>
                  <w:jc w:val="center"/>
                  <w:rPr>
                    <w:rFonts w:asciiTheme="minorEastAsia" w:hAnsiTheme="minorEastAsia" w:eastAsiaTheme="minorEastAsia"/>
                    <w:szCs w:val="21"/>
                  </w:rPr>
                </w:pPr>
                <w:r>
                  <w:rPr>
                    <w:rFonts w:hint="eastAsia" w:asciiTheme="minorEastAsia" w:hAnsiTheme="minorEastAsia" w:eastAsiaTheme="minorEastAsia"/>
                    <w:szCs w:val="21"/>
                  </w:rPr>
                  <w:t>总额</w:t>
                </w:r>
              </w:p>
            </w:tc>
          </w:sdtContent>
        </w:sdt>
        <w:sdt>
          <w:sdtPr>
            <w:rPr>
              <w:rFonts w:hint="eastAsia" w:asciiTheme="minorEastAsia" w:hAnsiTheme="minorEastAsia" w:eastAsiaTheme="minorEastAsia"/>
              <w:szCs w:val="21"/>
            </w:rPr>
            <w:tag w:val="_PLD_e085245bbfaf447fa9513040555f64e9"/>
            <w:id w:val="1722632084"/>
          </w:sdtPr>
          <w:sdtEndPr>
            <w:rPr>
              <w:rFonts w:hint="eastAsia" w:asciiTheme="minorEastAsia" w:hAnsiTheme="minorEastAsia" w:eastAsiaTheme="minorEastAsia"/>
              <w:szCs w:val="21"/>
            </w:rPr>
          </w:sdtEndPr>
          <w:sdtContent>
            <w:tc>
              <w:tcPr>
                <w:tcW w:w="919" w:type="pct"/>
                <w:shd w:val="clear" w:color="auto" w:fill="auto"/>
                <w:vAlign w:val="center"/>
              </w:tcPr>
              <w:p>
                <w:pPr>
                  <w:pStyle w:val="233"/>
                  <w:jc w:val="center"/>
                  <w:rPr>
                    <w:rFonts w:asciiTheme="minorEastAsia" w:hAnsiTheme="minorEastAsia" w:eastAsiaTheme="minorEastAsia"/>
                    <w:szCs w:val="21"/>
                  </w:rPr>
                </w:pPr>
                <w:r>
                  <w:rPr>
                    <w:rFonts w:hint="eastAsia" w:asciiTheme="minorEastAsia" w:hAnsiTheme="minorEastAsia" w:eastAsiaTheme="minorEastAsia"/>
                    <w:szCs w:val="21"/>
                  </w:rPr>
                  <w:t>实际发生额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pct"/>
            <w:shd w:val="clear" w:color="auto" w:fill="auto"/>
            <w:vAlign w:val="center"/>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山东能源集团</w:t>
            </w:r>
          </w:p>
        </w:tc>
        <w:tc>
          <w:tcPr>
            <w:tcW w:w="1098" w:type="pct"/>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控股股东</w:t>
            </w:r>
          </w:p>
        </w:tc>
        <w:tc>
          <w:tcPr>
            <w:tcW w:w="1269" w:type="pct"/>
            <w:shd w:val="clear" w:color="auto" w:fill="auto"/>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承兑、保函</w:t>
            </w:r>
          </w:p>
        </w:tc>
        <w:tc>
          <w:tcPr>
            <w:tcW w:w="791" w:type="pct"/>
            <w:shd w:val="clear" w:color="auto" w:fill="auto"/>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80</w:t>
            </w:r>
          </w:p>
        </w:tc>
        <w:tc>
          <w:tcPr>
            <w:tcW w:w="919" w:type="pct"/>
            <w:shd w:val="clear" w:color="auto" w:fill="auto"/>
          </w:tcPr>
          <w:p>
            <w:pPr>
              <w:autoSpaceDE w:val="0"/>
              <w:autoSpaceDN w:val="0"/>
              <w:adjustRightInd w:val="0"/>
              <w:jc w:val="center"/>
              <w:rPr>
                <w:rFonts w:asciiTheme="minorEastAsia" w:hAnsiTheme="minorEastAsia" w:eastAsiaTheme="minorEastAsia"/>
              </w:rPr>
            </w:pPr>
            <w:r>
              <w:rPr>
                <w:rFonts w:asciiTheme="minorEastAsia" w:hAnsiTheme="minorEastAsia" w:eastAsiaTheme="minorEastAsia"/>
              </w:rPr>
              <w:t>11.</w:t>
            </w:r>
            <w:r>
              <w:rPr>
                <w:rFonts w:hint="eastAsia" w:asciiTheme="minorEastAsia" w:hAnsiTheme="minorEastAsia" w:eastAsiaTheme="minorEastAsia"/>
              </w:rPr>
              <w:t>51</w:t>
            </w:r>
          </w:p>
        </w:tc>
      </w:tr>
      <w:bookmarkEnd w:id="142"/>
    </w:tbl>
    <w:p>
      <w:pPr>
        <w:rPr>
          <w:rFonts w:asciiTheme="minorEastAsia" w:hAnsiTheme="minorEastAsia" w:eastAsiaTheme="minorEastAsia"/>
        </w:rPr>
      </w:pPr>
    </w:p>
    <w:p>
      <w:pPr>
        <w:pStyle w:val="5"/>
        <w:numPr>
          <w:ilvl w:val="0"/>
          <w:numId w:val="39"/>
        </w:numPr>
        <w:ind w:left="425" w:hanging="425"/>
        <w:rPr>
          <w:rFonts w:cs="宋体"/>
          <w:kern w:val="0"/>
          <w:szCs w:val="24"/>
        </w:rPr>
      </w:pPr>
      <w:r>
        <w:rPr>
          <w:rFonts w:cs="宋体"/>
          <w:kern w:val="0"/>
          <w:szCs w:val="24"/>
        </w:rPr>
        <w:t>其他说明</w:t>
      </w:r>
    </w:p>
    <w:sdt>
      <w:sdtPr>
        <w:rPr>
          <w:rFonts w:asciiTheme="minorEastAsia" w:hAnsiTheme="minorEastAsia" w:eastAsiaTheme="minorEastAsia"/>
          <w:color w:val="000000" w:themeColor="text1"/>
          <w14:textFill>
            <w14:solidFill>
              <w14:schemeClr w14:val="tx1"/>
            </w14:solidFill>
          </w14:textFill>
        </w:rPr>
        <w:alias w:val="是否适用：公司与存在关联关系的财务公司、公司控股财务公司与关联方之间的金融业务的其他说明[双击切换]"/>
        <w:tag w:val="_GBC_ff93404f5d40495f9fc89732d74edc89"/>
        <w:id w:val="1036322259"/>
        <w:placeholder>
          <w:docPart w:val="GBC22222222222222222222222222222"/>
        </w:placeholder>
      </w:sdtPr>
      <w:sdtEndPr>
        <w:rPr>
          <w:rFonts w:asciiTheme="minorEastAsia" w:hAnsiTheme="minorEastAsia" w:eastAsiaTheme="minorEastAsia"/>
          <w:color w:val="000000" w:themeColor="text1"/>
          <w14:textFill>
            <w14:solidFill>
              <w14:schemeClr w14:val="tx1"/>
            </w14:solidFill>
          </w14:textFill>
        </w:rPr>
      </w:sdtEndPr>
      <w:sdtContent>
        <w:p>
          <w:pPr>
            <w:rPr>
              <w:rFonts w:asciiTheme="minorEastAsia" w:hAnsiTheme="minorEastAsia" w:eastAsiaTheme="minorEastAsia"/>
              <w:color w:val="000000" w:themeColor="text1"/>
              <w14:textFill>
                <w14:solidFill>
                  <w14:schemeClr w14:val="tx1"/>
                </w14:solidFill>
              </w14:textFill>
            </w:rPr>
          </w:pPr>
          <w:bookmarkStart w:id="143" w:name="_Hlk41316022"/>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MACROBUTTON  SnrToggleCheckbox √适用 </w:instrText>
          </w:r>
          <w:r>
            <w:rPr>
              <w:rFonts w:asciiTheme="minorEastAsia" w:hAnsiTheme="minorEastAsia" w:eastAsiaTheme="minorEastAsia"/>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MACROBUTTON  SnrToggleCheckbox □不适用 </w:instrText>
          </w:r>
          <w:r>
            <w:rPr>
              <w:rFonts w:asciiTheme="minorEastAsia" w:hAnsiTheme="minorEastAsia" w:eastAsiaTheme="minorEastAsia"/>
              <w:color w:val="000000" w:themeColor="text1"/>
              <w14:textFill>
                <w14:solidFill>
                  <w14:schemeClr w14:val="tx1"/>
                </w14:solidFill>
              </w14:textFill>
            </w:rPr>
            <w:fldChar w:fldCharType="end"/>
          </w:r>
        </w:p>
      </w:sdtContent>
    </w:sdt>
    <w:sdt>
      <w:sdtPr>
        <w:rPr>
          <w:rFonts w:asciiTheme="minorEastAsia" w:hAnsiTheme="minorEastAsia" w:eastAsiaTheme="minorEastAsia"/>
          <w:color w:val="000000" w:themeColor="text1"/>
          <w14:textFill>
            <w14:solidFill>
              <w14:schemeClr w14:val="tx1"/>
            </w14:solidFill>
          </w14:textFill>
        </w:rPr>
        <w:alias w:val="公司与存在关联关系的财务公司、公司控股财务公司与关联方之间的金融业务的其他说明"/>
        <w:tag w:val="_GBC_4d44517eb6c34963a20f2b2224aa1fa3"/>
        <w:id w:val="-1311476102"/>
        <w:placeholder>
          <w:docPart w:val="GBC22222222222222222222222222222"/>
        </w:placeholder>
      </w:sdtPr>
      <w:sdtEndPr>
        <w:rPr>
          <w:rFonts w:asciiTheme="minorEastAsia" w:hAnsiTheme="minorEastAsia" w:eastAsiaTheme="minorEastAsia"/>
          <w:color w:val="000000" w:themeColor="text1"/>
          <w14:textFill>
            <w14:solidFill>
              <w14:schemeClr w14:val="tx1"/>
            </w14:solidFill>
          </w14:textFill>
        </w:rPr>
      </w:sdtEndPr>
      <w:sdtContent>
        <w:sdt>
          <w:sdtPr>
            <w:rPr>
              <w:rFonts w:hint="eastAsia" w:asciiTheme="minorEastAsia" w:hAnsiTheme="minorEastAsia" w:eastAsiaTheme="minorEastAsia"/>
            </w:rPr>
            <w:alias w:val="公司与存在关联关系的财务公司、公司控股财务公司与关联方之间的金融业务的其他说明"/>
            <w:tag w:val="_GBC_4d44517eb6c34963a20f2b2224aa1fa3"/>
            <w:id w:val="-1313401955"/>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color w:val="000000"/>
                </w:rPr>
              </w:pPr>
              <w:r>
                <w:rPr>
                  <w:rFonts w:hint="eastAsia" w:asciiTheme="minorEastAsia" w:hAnsiTheme="minorEastAsia" w:eastAsiaTheme="minorEastAsia"/>
                  <w:color w:val="000000"/>
                </w:rPr>
                <w:t>截至本报告期末，山能财司为关联方提供的金融服务收取的保证金余额为</w:t>
              </w:r>
              <w:r>
                <w:rPr>
                  <w:rFonts w:asciiTheme="minorEastAsia" w:hAnsiTheme="minorEastAsia" w:eastAsiaTheme="minorEastAsia"/>
                  <w:color w:val="000000"/>
                </w:rPr>
                <w:t>2.14亿元，保证金部分不占授信额度。</w:t>
              </w:r>
            </w:p>
            <w:p>
              <w:pPr>
                <w:ind w:firstLine="420" w:firstLineChars="200"/>
                <w:rPr>
                  <w:rFonts w:asciiTheme="minorEastAsia" w:hAnsiTheme="minorEastAsia" w:eastAsiaTheme="minorEastAsia"/>
                  <w:color w:val="000000"/>
                </w:rPr>
              </w:pPr>
              <w:r>
                <w:rPr>
                  <w:rFonts w:hint="eastAsia" w:asciiTheme="minorEastAsia" w:hAnsiTheme="minorEastAsia" w:eastAsiaTheme="minorEastAsia"/>
                  <w:color w:val="000000"/>
                </w:rPr>
                <w:t>因原山能财司与兖矿财司完成合并</w:t>
              </w:r>
              <w:r>
                <w:rPr>
                  <w:rFonts w:asciiTheme="minorEastAsia" w:hAnsiTheme="minorEastAsia" w:eastAsiaTheme="minorEastAsia"/>
                  <w:color w:val="000000"/>
                </w:rPr>
                <w:t>，年初存款、贷款数据为两家公司合并口径。</w:t>
              </w:r>
            </w:p>
            <w:p>
              <w:pPr>
                <w:ind w:firstLine="420" w:firstLineChars="200"/>
                <w:rPr>
                  <w:rFonts w:asciiTheme="minorEastAsia" w:hAnsiTheme="minorEastAsia" w:eastAsiaTheme="minorEastAsia"/>
                </w:rPr>
              </w:pPr>
              <w:r>
                <w:rPr>
                  <w:rFonts w:hint="eastAsia" w:asciiTheme="minorEastAsia" w:hAnsiTheme="minorEastAsia" w:eastAsiaTheme="minorEastAsia"/>
                  <w:color w:val="000000"/>
                </w:rPr>
                <w:t>根据上交所《上市公司自律监管指引第</w:t>
              </w:r>
              <w:r>
                <w:rPr>
                  <w:rFonts w:asciiTheme="minorEastAsia" w:hAnsiTheme="minorEastAsia" w:eastAsiaTheme="minorEastAsia"/>
                  <w:color w:val="000000"/>
                </w:rPr>
                <w:t>5号——交易与关联交易》，公司出具了关于山能财司的风险评估报告，A股审计师出具了关于兖矿能源2023年度涉及</w:t>
              </w:r>
              <w:r>
                <w:rPr>
                  <w:rFonts w:hint="eastAsia" w:asciiTheme="minorEastAsia" w:hAnsiTheme="minorEastAsia" w:eastAsiaTheme="minorEastAsia"/>
                  <w:color w:val="000000"/>
                </w:rPr>
                <w:t>山能</w:t>
              </w:r>
              <w:r>
                <w:rPr>
                  <w:rFonts w:asciiTheme="minorEastAsia" w:hAnsiTheme="minorEastAsia" w:eastAsiaTheme="minorEastAsia"/>
                  <w:color w:val="000000"/>
                </w:rPr>
                <w:t>财司关联交易的存款、贷款等金融服务的专项说明。</w:t>
              </w:r>
            </w:p>
          </w:sdtContent>
        </w:sdt>
        <w:p>
          <w:pPr>
            <w:rPr>
              <w:rFonts w:asciiTheme="minorEastAsia" w:hAnsiTheme="minorEastAsia" w:eastAsiaTheme="minorEastAsia"/>
              <w:color w:val="000000" w:themeColor="text1"/>
              <w14:textFill>
                <w14:solidFill>
                  <w14:schemeClr w14:val="tx1"/>
                </w14:solidFill>
              </w14:textFill>
            </w:rPr>
          </w:pPr>
        </w:p>
      </w:sdtContent>
    </w:sdt>
    <w:bookmarkEnd w:id="140"/>
    <w:bookmarkEnd w:id="143"/>
    <w:p>
      <w:pPr>
        <w:rPr>
          <w:rFonts w:asciiTheme="minorEastAsia" w:hAnsiTheme="minorEastAsia" w:eastAsiaTheme="minorEastAsia"/>
          <w:color w:val="000000" w:themeColor="text1"/>
          <w14:textFill>
            <w14:solidFill>
              <w14:schemeClr w14:val="tx1"/>
            </w14:solidFill>
          </w14:textFill>
        </w:rPr>
      </w:pPr>
    </w:p>
    <w:p>
      <w:pPr>
        <w:pStyle w:val="4"/>
        <w:numPr>
          <w:ilvl w:val="2"/>
          <w:numId w:val="5"/>
        </w:numPr>
        <w:rPr>
          <w:rFonts w:asciiTheme="minorEastAsia" w:hAnsiTheme="minorEastAsia" w:eastAsiaTheme="minorEastAsia"/>
          <w:szCs w:val="21"/>
        </w:rPr>
      </w:pPr>
      <w:r>
        <w:rPr>
          <w:rFonts w:hint="eastAsia" w:asciiTheme="minorEastAsia" w:hAnsiTheme="minorEastAsia" w:eastAsiaTheme="minorEastAsia"/>
          <w:szCs w:val="21"/>
        </w:rPr>
        <w:t>其他</w:t>
      </w:r>
    </w:p>
    <w:bookmarkEnd w:id="141"/>
    <w:sdt>
      <w:sdtPr>
        <w:rPr>
          <w:rFonts w:hint="eastAsia" w:asciiTheme="minorEastAsia" w:hAnsiTheme="minorEastAsia" w:eastAsiaTheme="minorEastAsia"/>
        </w:rPr>
        <w:alias w:val="是否适用：重大关联交易其他说明[双击切换]"/>
        <w:tag w:val="_GBC_49b04883b7a84a83b6a8bfec05cbb445"/>
        <w:id w:val="-2083898272"/>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w:instrText>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instrText xml:space="preserve">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asciiTheme="minorEastAsia" w:hAnsiTheme="minorEastAsia" w:eastAsiaTheme="minorEastAsia"/>
        </w:rPr>
        <w:alias w:val="其他重要关联交易"/>
        <w:tag w:val="_GBC_f3502a4ed252419e89a26cbe8fb3bee4"/>
        <w:id w:val="146409732"/>
        <w:placeholder>
          <w:docPart w:val="GBC22222222222222222222222222222"/>
        </w:placeholder>
      </w:sdtPr>
      <w:sdtEndPr>
        <w:rPr>
          <w:rFonts w:asciiTheme="minorEastAsia" w:hAnsiTheme="minorEastAsia" w:eastAsiaTheme="minorEastAsia"/>
        </w:rPr>
      </w:sdtEndPr>
      <w:sdtContent>
        <w:sdt>
          <w:sdtPr>
            <w:rPr>
              <w:rFonts w:hint="eastAsia" w:asciiTheme="minorEastAsia" w:hAnsiTheme="minorEastAsia" w:eastAsiaTheme="minorEastAsia"/>
            </w:rPr>
            <w:alias w:val="其他重要关联交易"/>
            <w:tag w:val="_GBC_f3502a4ed252419e89a26cbe8fb3bee4"/>
            <w:id w:val="-2111584910"/>
          </w:sdtPr>
          <w:sdtEndPr>
            <w:rPr>
              <w:rFonts w:hint="eastAsia"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根据香港上市规则，载于按国际财务报告准则编制的财务报表附注“关联公司结余及交易”的若干关联方交易亦构成香港上市规则第14A章定义的持续关连交易，且本公司确认该等交易已遵守香港上市规则第14A章下的披露规定。</w:t>
              </w:r>
            </w:p>
            <w:p>
              <w:pPr>
                <w:ind w:firstLine="420" w:firstLineChars="200"/>
                <w:rPr>
                  <w:rFonts w:asciiTheme="minorEastAsia" w:hAnsiTheme="minorEastAsia" w:eastAsiaTheme="minorEastAsia"/>
                </w:rPr>
              </w:pPr>
              <w:r>
                <w:rPr>
                  <w:rFonts w:hint="eastAsia" w:asciiTheme="minorEastAsia" w:hAnsiTheme="minorEastAsia" w:eastAsiaTheme="minorEastAsia"/>
                </w:rPr>
                <w:t>除本节所披露重大关连交易事项外，报告期内本集团概无其他根据香港上市规则须于本报告中披露之重大关连交易。</w:t>
              </w:r>
            </w:p>
          </w:sdtContent>
        </w:sdt>
        <w:p>
          <w:pPr>
            <w:rPr>
              <w:rFonts w:asciiTheme="minorEastAsia" w:hAnsiTheme="minorEastAsia" w:eastAsiaTheme="minorEastAsia"/>
            </w:rPr>
          </w:pPr>
        </w:p>
      </w:sdtContent>
    </w:sdt>
    <w:p>
      <w:pPr>
        <w:rPr>
          <w:rFonts w:asciiTheme="minorEastAsia" w:hAnsiTheme="minorEastAsia" w:eastAsiaTheme="minorEastAsia"/>
        </w:rPr>
      </w:pPr>
    </w:p>
    <w:p>
      <w:pPr>
        <w:pStyle w:val="3"/>
        <w:numPr>
          <w:ilvl w:val="0"/>
          <w:numId w:val="30"/>
        </w:numPr>
        <w:rPr>
          <w:rFonts w:asciiTheme="minorEastAsia" w:hAnsiTheme="minorEastAsia" w:eastAsiaTheme="minorEastAsia"/>
        </w:rPr>
      </w:pPr>
      <w:r>
        <w:rPr>
          <w:rFonts w:hint="eastAsia" w:asciiTheme="minorEastAsia" w:hAnsiTheme="minorEastAsia" w:eastAsiaTheme="minorEastAsia"/>
        </w:rPr>
        <w:t>重大合同及其履行情况</w:t>
      </w:r>
    </w:p>
    <w:p>
      <w:pPr>
        <w:pStyle w:val="4"/>
        <w:numPr>
          <w:ilvl w:val="0"/>
          <w:numId w:val="40"/>
        </w:numPr>
        <w:rPr>
          <w:rFonts w:asciiTheme="minorEastAsia" w:hAnsiTheme="minorEastAsia" w:eastAsiaTheme="minorEastAsia"/>
          <w:szCs w:val="21"/>
        </w:rPr>
      </w:pPr>
      <w:r>
        <w:rPr>
          <w:rFonts w:asciiTheme="minorEastAsia" w:hAnsiTheme="minorEastAsia" w:eastAsiaTheme="minorEastAsia"/>
          <w:szCs w:val="21"/>
        </w:rPr>
        <w:t>托管、承包、租赁事项</w:t>
      </w:r>
    </w:p>
    <w:p>
      <w:pPr>
        <w:pStyle w:val="5"/>
        <w:numPr>
          <w:ilvl w:val="0"/>
          <w:numId w:val="41"/>
        </w:numPr>
      </w:pPr>
      <w:r>
        <w:rPr>
          <w:rFonts w:hint="eastAsia"/>
        </w:rPr>
        <w:t>托管情况</w:t>
      </w:r>
    </w:p>
    <w:sdt>
      <w:sdtPr>
        <w:rPr>
          <w:rFonts w:asciiTheme="minorEastAsia" w:hAnsiTheme="minorEastAsia" w:eastAsiaTheme="minorEastAsia"/>
        </w:rPr>
        <w:alias w:val="是否适用：托管情况[双击切换]"/>
        <w:tag w:val="_GBC_f528f5eedb9346f6b0fbdbe3967882e7"/>
        <w:id w:val="924302254"/>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shd w:val="pct10" w:color="auto" w:fill="FFFFFF"/>
        </w:rPr>
      </w:pPr>
    </w:p>
    <w:p>
      <w:pPr>
        <w:pStyle w:val="5"/>
        <w:numPr>
          <w:ilvl w:val="0"/>
          <w:numId w:val="41"/>
        </w:numPr>
      </w:pPr>
      <w:r>
        <w:t>承包情况</w:t>
      </w:r>
    </w:p>
    <w:sdt>
      <w:sdtPr>
        <w:rPr>
          <w:rFonts w:asciiTheme="minorEastAsia" w:hAnsiTheme="minorEastAsia" w:eastAsiaTheme="minorEastAsia"/>
        </w:rPr>
        <w:alias w:val="是否适用：承包情况[双击切换]"/>
        <w:tag w:val="_GBC_ef45025eb2d84c78907511abec2bd222"/>
        <w:id w:val="1659958226"/>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shd w:val="pct10" w:color="auto" w:fill="FFFFFF"/>
        </w:rPr>
      </w:pPr>
    </w:p>
    <w:p>
      <w:pPr>
        <w:pStyle w:val="5"/>
        <w:numPr>
          <w:ilvl w:val="0"/>
          <w:numId w:val="41"/>
        </w:numPr>
      </w:pPr>
      <w:r>
        <w:t>租赁情况</w:t>
      </w:r>
    </w:p>
    <w:sdt>
      <w:sdtPr>
        <w:rPr>
          <w:rFonts w:asciiTheme="minorEastAsia" w:hAnsiTheme="minorEastAsia" w:eastAsiaTheme="minorEastAsia"/>
        </w:rPr>
        <w:alias w:val="是否适用：租赁情况[双击切换]"/>
        <w:tag w:val="_GBC_c1d0d78a63af4d48a7427277c2db3ac5"/>
        <w:id w:val="569323285"/>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jc w:val="right"/>
        <w:rPr>
          <w:rFonts w:asciiTheme="minorEastAsia" w:hAnsiTheme="minorEastAsia" w:eastAsiaTheme="minorEastAsia"/>
        </w:rPr>
      </w:pPr>
    </w:p>
    <w:p>
      <w:pPr>
        <w:rPr>
          <w:rFonts w:asciiTheme="minorEastAsia" w:hAnsiTheme="minorEastAsia" w:eastAsiaTheme="minorEastAsia"/>
          <w:shd w:val="pct10" w:color="auto" w:fill="FFFFFF"/>
        </w:rPr>
      </w:pPr>
    </w:p>
    <w:p>
      <w:pPr>
        <w:rPr>
          <w:rFonts w:asciiTheme="minorEastAsia" w:hAnsiTheme="minorEastAsia" w:eastAsiaTheme="minorEastAsia"/>
          <w:shd w:val="pct10" w:color="auto" w:fill="FFFFFF"/>
        </w:rPr>
        <w:sectPr>
          <w:pgSz w:w="11906" w:h="16838"/>
          <w:pgMar w:top="1525" w:right="1276" w:bottom="1440" w:left="1797" w:header="855" w:footer="992" w:gutter="0"/>
          <w:cols w:space="425" w:num="1"/>
          <w:docGrid w:linePitch="312" w:charSpace="0"/>
        </w:sectPr>
      </w:pPr>
    </w:p>
    <w:p>
      <w:pPr>
        <w:pStyle w:val="4"/>
        <w:numPr>
          <w:ilvl w:val="0"/>
          <w:numId w:val="40"/>
        </w:numPr>
        <w:rPr>
          <w:rFonts w:asciiTheme="minorEastAsia" w:hAnsiTheme="minorEastAsia" w:eastAsiaTheme="minorEastAsia"/>
          <w:szCs w:val="21"/>
        </w:rPr>
      </w:pPr>
      <w:bookmarkStart w:id="144" w:name="OLE_LINK3"/>
      <w:bookmarkStart w:id="145" w:name="OLE_LINK2"/>
      <w:r>
        <w:rPr>
          <w:rFonts w:hint="eastAsia" w:asciiTheme="minorEastAsia" w:hAnsiTheme="minorEastAsia" w:eastAsiaTheme="minorEastAsia"/>
          <w:szCs w:val="21"/>
        </w:rPr>
        <w:t>担保情况</w:t>
      </w:r>
    </w:p>
    <w:bookmarkEnd w:id="144"/>
    <w:bookmarkEnd w:id="145"/>
    <w:sdt>
      <w:sdtPr>
        <w:rPr>
          <w:rFonts w:asciiTheme="minorEastAsia" w:hAnsiTheme="minorEastAsia" w:eastAsiaTheme="minorEastAsia"/>
        </w:rPr>
        <w:alias w:val="是否适用：担保情况[双击切换]"/>
        <w:tag w:val="_GBC_b799a3ac65f846e088fcfb2dd2591ede"/>
        <w:id w:val="2025128010"/>
        <w:lock w:val="contentLocked"/>
        <w:placeholder>
          <w:docPart w:val="GBC22222222222222222222222222222"/>
        </w:placeholder>
      </w:sdtPr>
      <w:sdtEndPr>
        <w:rPr>
          <w:rFonts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jc w:val="right"/>
        <w:rPr>
          <w:rFonts w:asciiTheme="minorEastAsia" w:hAnsiTheme="minorEastAsia" w:eastAsiaTheme="minorEastAsia"/>
        </w:rPr>
      </w:pPr>
      <w:r>
        <w:rPr>
          <w:rFonts w:hint="eastAsia" w:asciiTheme="minorEastAsia" w:hAnsiTheme="minorEastAsia" w:eastAsiaTheme="minorEastAsia"/>
        </w:rPr>
        <w:t>单位</w:t>
      </w:r>
      <w:r>
        <w:rPr>
          <w:rFonts w:asciiTheme="minorEastAsia" w:hAnsiTheme="minorEastAsia" w:eastAsiaTheme="minorEastAsia"/>
        </w:rPr>
        <w:t xml:space="preserve">: </w:t>
      </w:r>
      <w:sdt>
        <w:sdtPr>
          <w:rPr>
            <w:rFonts w:asciiTheme="minorEastAsia" w:hAnsiTheme="minorEastAsia" w:eastAsiaTheme="minorEastAsia"/>
          </w:rPr>
          <w:alias w:val="单位：担保情况"/>
          <w:tag w:val="_GBC_c5b429695c6d4556a9d11f55a5e736d3"/>
          <w:id w:val="19057856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Theme="minorEastAsia" w:hAnsiTheme="minorEastAsia" w:eastAsiaTheme="minorEastAsia"/>
          </w:rPr>
        </w:sdtEndPr>
        <w:sdtContent>
          <w:r>
            <w:rPr>
              <w:rFonts w:asciiTheme="minorEastAsia" w:hAnsiTheme="minorEastAsia" w:eastAsiaTheme="minorEastAsia"/>
            </w:rPr>
            <w:t>亿元</w:t>
          </w:r>
        </w:sdtContent>
      </w:sdt>
      <w:r>
        <w:rPr>
          <w:rFonts w:hint="eastAsia" w:asciiTheme="minorEastAsia" w:hAnsiTheme="minorEastAsia" w:eastAsiaTheme="minorEastAsia"/>
        </w:rPr>
        <w:t xml:space="preserve">  币种</w:t>
      </w:r>
      <w:r>
        <w:rPr>
          <w:rFonts w:asciiTheme="minorEastAsia" w:hAnsiTheme="minorEastAsia" w:eastAsiaTheme="minorEastAsia"/>
        </w:rPr>
        <w:t xml:space="preserve">: </w:t>
      </w:r>
      <w:sdt>
        <w:sdtPr>
          <w:rPr>
            <w:rFonts w:asciiTheme="minorEastAsia" w:hAnsiTheme="minorEastAsia" w:eastAsiaTheme="minorEastAsia"/>
          </w:rPr>
          <w:alias w:val="币种：担保情况"/>
          <w:tag w:val="_GBC_bbefcb25022447d5a0413d1c31ffdf65"/>
          <w:id w:val="-19108464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Theme="minorEastAsia" w:hAnsiTheme="minorEastAsia" w:eastAsiaTheme="minorEastAsia"/>
          </w:rPr>
        </w:sdtEndPr>
        <w:sdtContent>
          <w:r>
            <w:rPr>
              <w:rFonts w:asciiTheme="minorEastAsia" w:hAnsiTheme="minorEastAsia" w:eastAsiaTheme="minorEastAsia"/>
            </w:rPr>
            <w:t>人民币</w:t>
          </w:r>
        </w:sdtContent>
      </w:sdt>
    </w:p>
    <w:tbl>
      <w:tblPr>
        <w:tblStyle w:val="20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882"/>
        <w:gridCol w:w="921"/>
        <w:gridCol w:w="916"/>
        <w:gridCol w:w="1023"/>
        <w:gridCol w:w="920"/>
        <w:gridCol w:w="920"/>
        <w:gridCol w:w="393"/>
        <w:gridCol w:w="521"/>
        <w:gridCol w:w="920"/>
        <w:gridCol w:w="920"/>
        <w:gridCol w:w="920"/>
        <w:gridCol w:w="917"/>
        <w:gridCol w:w="1023"/>
        <w:gridCol w:w="917"/>
        <w:gridCol w:w="920"/>
        <w:gridCol w:w="9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47382e1239d84f6f9f6c6d4b5423c108"/>
            <w:id w:val="1780211794"/>
          </w:sdtPr>
          <w:sdtEndPr>
            <w:rPr>
              <w:rFonts w:asciiTheme="minorEastAsia" w:hAnsiTheme="minorEastAsia" w:eastAsiaTheme="minorEastAsia"/>
            </w:rPr>
          </w:sdtEnd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bookmarkStart w:id="146" w:name="_Hlk89953992"/>
                <w:r>
                  <w:rPr>
                    <w:rFonts w:hint="eastAsia" w:asciiTheme="minorEastAsia" w:hAnsiTheme="minorEastAsia" w:eastAsiaTheme="minorEastAsia"/>
                  </w:rPr>
                  <w:t>公司对外担保情况（不包括对子公司的担保）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09b2f27e560e48058fd68a7522d4a21e"/>
            <w:id w:val="500172909"/>
          </w:sdtPr>
          <w:sdtEndPr>
            <w:rPr>
              <w:rFonts w:asciiTheme="minorEastAsia" w:hAnsiTheme="minorEastAsia" w:eastAsiaTheme="minorEastAsia"/>
            </w:rPr>
          </w:sdtEndPr>
          <w:sdtContent>
            <w:tc>
              <w:tcPr>
                <w:tcW w:w="317" w:type="pct"/>
                <w:tcBorders>
                  <w:top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担保方</w:t>
                </w:r>
              </w:p>
            </w:tc>
          </w:sdtContent>
        </w:sdt>
        <w:sdt>
          <w:sdtPr>
            <w:rPr>
              <w:rFonts w:asciiTheme="minorEastAsia" w:hAnsiTheme="minorEastAsia" w:eastAsiaTheme="minorEastAsia"/>
            </w:rPr>
            <w:tag w:val="_PLD_3052f673b3b345d3a7af649302ea170a"/>
            <w:id w:val="2043466741"/>
          </w:sdtPr>
          <w:sdtEndPr>
            <w:rPr>
              <w:rFonts w:asciiTheme="minorEastAsia" w:hAnsiTheme="minorEastAsia" w:eastAsiaTheme="minorEastAsia"/>
            </w:rPr>
          </w:sdtEndPr>
          <w:sdtContent>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担保方与上市公司的关系</w:t>
                </w:r>
              </w:p>
            </w:tc>
          </w:sdtContent>
        </w:sdt>
        <w:sdt>
          <w:sdtPr>
            <w:rPr>
              <w:rFonts w:asciiTheme="minorEastAsia" w:hAnsiTheme="minorEastAsia" w:eastAsiaTheme="minorEastAsia"/>
            </w:rPr>
            <w:tag w:val="_PLD_fb4029fae7cf48a79a41443b882f9109"/>
            <w:id w:val="-1054922872"/>
          </w:sdtPr>
          <w:sdtEndPr>
            <w:rPr>
              <w:rFonts w:asciiTheme="minorEastAsia" w:hAnsiTheme="minorEastAsia" w:eastAsiaTheme="minorEastAsia"/>
            </w:rPr>
          </w:sdtEnd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被担保方</w:t>
                </w:r>
              </w:p>
            </w:tc>
          </w:sdtContent>
        </w:sdt>
        <w:sdt>
          <w:sdtPr>
            <w:rPr>
              <w:rFonts w:asciiTheme="minorEastAsia" w:hAnsiTheme="minorEastAsia" w:eastAsiaTheme="minorEastAsia"/>
            </w:rPr>
            <w:tag w:val="_PLD_f9cf7e1836e34488ac32b6e51fd66dc5"/>
            <w:id w:val="-720447883"/>
          </w:sdtPr>
          <w:sdtEndPr>
            <w:rPr>
              <w:rFonts w:asciiTheme="minorEastAsia" w:hAnsiTheme="minorEastAsia" w:eastAsiaTheme="minorEastAsia"/>
            </w:rPr>
          </w:sdtEndPr>
          <w:sdtContent>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担保金额</w:t>
                </w:r>
              </w:p>
            </w:tc>
          </w:sdtContent>
        </w:sdt>
        <w:sdt>
          <w:sdtPr>
            <w:rPr>
              <w:rFonts w:asciiTheme="minorEastAsia" w:hAnsiTheme="minorEastAsia" w:eastAsiaTheme="minorEastAsia"/>
            </w:rPr>
            <w:tag w:val="_PLD_2605894e64924e1c948143543497b30d"/>
            <w:id w:val="-1092316236"/>
          </w:sdtPr>
          <w:sdtEndPr>
            <w:rPr>
              <w:rFonts w:asciiTheme="minorEastAsia" w:hAnsiTheme="minorEastAsia" w:eastAsiaTheme="minorEastAsia"/>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担保发生日期</w:t>
                </w:r>
                <w:r>
                  <w:rPr>
                    <w:rFonts w:asciiTheme="minorEastAsia" w:hAnsiTheme="minorEastAsia" w:eastAsiaTheme="minorEastAsia"/>
                  </w:rPr>
                  <w:t>(</w:t>
                </w:r>
                <w:r>
                  <w:rPr>
                    <w:rFonts w:hint="eastAsia" w:asciiTheme="minorEastAsia" w:hAnsiTheme="minorEastAsia" w:eastAsiaTheme="minorEastAsia"/>
                  </w:rPr>
                  <w:t>协议签署日</w:t>
                </w:r>
                <w:r>
                  <w:rPr>
                    <w:rFonts w:asciiTheme="minorEastAsia" w:hAnsiTheme="minorEastAsia" w:eastAsiaTheme="minorEastAsia"/>
                  </w:rPr>
                  <w:t>)</w:t>
                </w:r>
              </w:p>
            </w:tc>
          </w:sdtContent>
        </w:sdt>
        <w:sdt>
          <w:sdtPr>
            <w:rPr>
              <w:rFonts w:asciiTheme="minorEastAsia" w:hAnsiTheme="minorEastAsia" w:eastAsiaTheme="minorEastAsia"/>
            </w:rPr>
            <w:tag w:val="_PLD_360b2c68827a4d0ca9316c3726b16cc0"/>
            <w:id w:val="-774715047"/>
          </w:sdtPr>
          <w:sdtEndPr>
            <w:rPr>
              <w:rFonts w:asciiTheme="minorEastAsia" w:hAnsiTheme="minorEastAsia" w:eastAsiaTheme="minorEastAsia"/>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w:t>
                </w:r>
              </w:p>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起始日</w:t>
                </w:r>
              </w:p>
            </w:tc>
          </w:sdtContent>
        </w:sdt>
        <w:sdt>
          <w:sdtPr>
            <w:rPr>
              <w:rFonts w:asciiTheme="minorEastAsia" w:hAnsiTheme="minorEastAsia" w:eastAsiaTheme="minorEastAsia"/>
            </w:rPr>
            <w:tag w:val="_PLD_6e343c1dd4c74b69b0e199f26aa0fc9a"/>
            <w:id w:val="-1217188522"/>
          </w:sdtPr>
          <w:sdtEndPr>
            <w:rPr>
              <w:rFonts w:asciiTheme="minorEastAsia" w:hAnsiTheme="minorEastAsia" w:eastAsiaTheme="minorEastAsia"/>
            </w:rPr>
          </w:sdtEndPr>
          <w:sdtContent>
            <w:tc>
              <w:tcPr>
                <w:tcW w:w="3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w:t>
                </w:r>
              </w:p>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到期日</w:t>
                </w:r>
              </w:p>
            </w:tc>
          </w:sdtContent>
        </w:sdt>
        <w:sdt>
          <w:sdtPr>
            <w:rPr>
              <w:rFonts w:asciiTheme="minorEastAsia" w:hAnsiTheme="minorEastAsia" w:eastAsiaTheme="minorEastAsia"/>
            </w:rPr>
            <w:tag w:val="_PLD_85aaff970e8f4025937e66f170fc0506"/>
            <w:id w:val="-1933033477"/>
          </w:sdtPr>
          <w:sdtEndPr>
            <w:rPr>
              <w:rFonts w:asciiTheme="minorEastAsia" w:hAnsiTheme="minorEastAsia" w:eastAsiaTheme="minorEastAsia"/>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担保类型</w:t>
                </w:r>
              </w:p>
            </w:tc>
          </w:sdtContent>
        </w:sdt>
        <w:tc>
          <w:tcPr>
            <w:tcW w:w="330" w:type="pct"/>
            <w:tcBorders>
              <w:top w:val="single" w:color="auto" w:sz="4" w:space="0"/>
              <w:left w:val="single" w:color="auto" w:sz="4" w:space="0"/>
              <w:bottom w:val="single" w:color="auto" w:sz="4" w:space="0"/>
              <w:right w:val="single" w:color="auto" w:sz="4" w:space="0"/>
            </w:tcBorders>
            <w:vAlign w:val="center"/>
          </w:tcPr>
          <w:sdt>
            <w:sdtPr>
              <w:rPr>
                <w:rFonts w:hint="eastAsia" w:asciiTheme="minorEastAsia" w:hAnsiTheme="minorEastAsia" w:eastAsiaTheme="minorEastAsia"/>
              </w:rPr>
              <w:tag w:val="_PLD_d3fba9513b1742aeaf3cc03df939c3a6"/>
              <w:id w:val="-886101417"/>
            </w:sdtPr>
            <w:sdtEndPr>
              <w:rPr>
                <w:rFonts w:hint="eastAsia" w:asciiTheme="minorEastAsia" w:hAnsiTheme="minorEastAsia" w:eastAsiaTheme="minorEastAsia"/>
              </w:rPr>
            </w:sdtEndPr>
            <w:sdtContent>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担保物（如有）</w:t>
                </w:r>
              </w:p>
            </w:sdtContent>
          </w:sdt>
        </w:tc>
        <w:sdt>
          <w:sdtPr>
            <w:rPr>
              <w:rFonts w:asciiTheme="minorEastAsia" w:hAnsiTheme="minorEastAsia" w:eastAsiaTheme="minorEastAsia"/>
            </w:rPr>
            <w:tag w:val="_PLD_fad806f6aed64969a9f500fc55be69bf"/>
            <w:id w:val="-1472898675"/>
          </w:sdtPr>
          <w:sdtEndPr>
            <w:rPr>
              <w:rFonts w:asciiTheme="minorEastAsia" w:hAnsiTheme="minorEastAsia" w:eastAsiaTheme="minorEastAsia"/>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担保是否已经履行完毕</w:t>
                </w:r>
              </w:p>
            </w:tc>
          </w:sdtContent>
        </w:sdt>
        <w:sdt>
          <w:sdtPr>
            <w:rPr>
              <w:rFonts w:asciiTheme="minorEastAsia" w:hAnsiTheme="minorEastAsia" w:eastAsiaTheme="minorEastAsia"/>
            </w:rPr>
            <w:tag w:val="_PLD_355a8c82bc68409495d9bf25a926ed62"/>
            <w:id w:val="-652596619"/>
          </w:sdtPr>
          <w:sdtEndPr>
            <w:rPr>
              <w:rFonts w:asciiTheme="minorEastAsia" w:hAnsiTheme="minorEastAsia" w:eastAsiaTheme="minorEastAsia"/>
            </w:rPr>
          </w:sdtEnd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担保是否逾期</w:t>
                </w:r>
              </w:p>
            </w:tc>
          </w:sdtContent>
        </w:sdt>
        <w:sdt>
          <w:sdtPr>
            <w:rPr>
              <w:rFonts w:asciiTheme="minorEastAsia" w:hAnsiTheme="minorEastAsia" w:eastAsiaTheme="minorEastAsia"/>
            </w:rPr>
            <w:tag w:val="_PLD_e8056176e7db49139234d1df564f5c3a"/>
            <w:id w:val="194207025"/>
          </w:sdtPr>
          <w:sdtEndPr>
            <w:rPr>
              <w:rFonts w:asciiTheme="minorEastAsia" w:hAnsiTheme="minorEastAsia" w:eastAsiaTheme="minorEastAsia"/>
            </w:rPr>
          </w:sdtEndPr>
          <w:sdtContent>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担保逾期金额</w:t>
                </w:r>
              </w:p>
            </w:tc>
          </w:sdtContent>
        </w:sdt>
        <w:sdt>
          <w:sdtPr>
            <w:rPr>
              <w:rFonts w:asciiTheme="minorEastAsia" w:hAnsiTheme="minorEastAsia" w:eastAsiaTheme="minorEastAsia"/>
            </w:rPr>
            <w:tag w:val="_PLD_5c3b131124fe44f69e4b80cf09f7c755"/>
            <w:id w:val="-2090373094"/>
          </w:sdtPr>
          <w:sdtEndPr>
            <w:rPr>
              <w:rFonts w:asciiTheme="minorEastAsia" w:hAnsiTheme="minorEastAsia" w:eastAsiaTheme="minorEastAsia"/>
            </w:rPr>
          </w:sdtEndPr>
          <w:sdtContent>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反担保情况</w:t>
                </w:r>
              </w:p>
            </w:tc>
          </w:sdtContent>
        </w:sdt>
        <w:sdt>
          <w:sdtPr>
            <w:rPr>
              <w:rFonts w:asciiTheme="minorEastAsia" w:hAnsiTheme="minorEastAsia" w:eastAsiaTheme="minorEastAsia"/>
            </w:rPr>
            <w:tag w:val="_PLD_5a6bd2cf94e8411b88105a2190c5b4fb"/>
            <w:id w:val="-322510919"/>
          </w:sdtPr>
          <w:sdtEndPr>
            <w:rPr>
              <w:rFonts w:asciiTheme="minorEastAsia" w:hAnsiTheme="minorEastAsia" w:eastAsiaTheme="minorEastAsia"/>
            </w:rPr>
          </w:sdtEndPr>
          <w:sdtConten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是否为关联方担保</w:t>
                </w:r>
              </w:p>
            </w:tc>
          </w:sdtContent>
        </w:sdt>
        <w:sdt>
          <w:sdtPr>
            <w:rPr>
              <w:rFonts w:asciiTheme="minorEastAsia" w:hAnsiTheme="minorEastAsia" w:eastAsiaTheme="minorEastAsia"/>
            </w:rPr>
            <w:tag w:val="_PLD_70390fe8c4804a7da41d8a62ace59586"/>
            <w:id w:val="384298866"/>
          </w:sdtPr>
          <w:sdtEndPr>
            <w:rPr>
              <w:rFonts w:asciiTheme="minorEastAsia" w:hAnsiTheme="minorEastAsia" w:eastAsiaTheme="minorEastAsia"/>
            </w:rPr>
          </w:sdtEndPr>
          <w:sdtContent>
            <w:tc>
              <w:tcPr>
                <w:tcW w:w="323"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关联</w:t>
                </w:r>
              </w:p>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关系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17" w:type="pct"/>
            <w:tcBorders>
              <w:top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w:t>
            </w:r>
          </w:p>
        </w:tc>
        <w:tc>
          <w:tcPr>
            <w:tcW w:w="331"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color w:val="FFC000"/>
              </w:rPr>
            </w:pPr>
            <w:sdt>
              <w:sdtPr>
                <w:rPr>
                  <w:rFonts w:hint="eastAsia" w:asciiTheme="minorEastAsia" w:hAnsiTheme="minorEastAsia" w:eastAsiaTheme="minorEastAsia"/>
                  <w:bCs/>
                </w:rPr>
                <w:alias w:val="担保方与上市公司的关联关系"/>
                <w:tag w:val="_GBC_2e446bc7579a4b2db650f2a8defc57b7"/>
                <w:id w:val="1656338599"/>
                <w:comboBox>
                  <w:listItem w:displayText="公司本部" w:value="公司本部"/>
                  <w:listItem w:displayText="控股子公司" w:value="控股子公司"/>
                  <w:listItem w:displayText="全资子公司" w:value="全资子公司"/>
                </w:comboBox>
              </w:sdtPr>
              <w:sdtEndPr>
                <w:rPr>
                  <w:rFonts w:hint="eastAsia" w:asciiTheme="minorEastAsia" w:hAnsiTheme="minorEastAsia" w:eastAsiaTheme="minorEastAsia"/>
                  <w:bCs/>
                </w:rPr>
              </w:sdtEndPr>
              <w:sdtContent>
                <w:r>
                  <w:rPr>
                    <w:rFonts w:hint="eastAsia" w:asciiTheme="minorEastAsia" w:hAnsiTheme="minorEastAsia" w:eastAsiaTheme="minorEastAsia"/>
                    <w:bCs/>
                  </w:rPr>
                  <w:t>/</w:t>
                </w:r>
              </w:sdtContent>
            </w:sdt>
          </w:p>
        </w:tc>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w:t>
            </w:r>
          </w:p>
        </w:tc>
        <w:tc>
          <w:tcPr>
            <w:tcW w:w="3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ind w:right="84" w:rightChars="40"/>
              <w:jc w:val="center"/>
              <w:rPr>
                <w:rFonts w:asciiTheme="minorEastAsia" w:hAnsiTheme="minorEastAsia" w:eastAsiaTheme="minorEastAsia"/>
              </w:rPr>
            </w:pPr>
            <w:r>
              <w:rPr>
                <w:rFonts w:hint="eastAsia" w:asciiTheme="minorEastAsia" w:hAnsiTheme="minorEastAsia" w:eastAsiaTheme="minorEastAsia"/>
              </w:rPr>
              <w:t>/</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w:t>
            </w:r>
          </w:p>
        </w:tc>
        <w:tc>
          <w:tcPr>
            <w:tcW w:w="328" w:type="pct"/>
            <w:gridSpan w:val="2"/>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color w:val="FFC000"/>
              </w:rPr>
            </w:pPr>
            <w:sdt>
              <w:sdtPr>
                <w:rPr>
                  <w:rFonts w:hint="eastAsia" w:asciiTheme="minorEastAsia" w:hAnsiTheme="minorEastAsia" w:eastAsiaTheme="minorEastAsia"/>
                </w:rPr>
                <w:alias w:val="担保类型"/>
                <w:tag w:val="_GBC_affd72f534db4dbea735ffb69233d55c"/>
                <w:id w:val="826401409"/>
                <w:comboBox>
                  <w:listItem w:displayText="一般担保" w:value="一般担保"/>
                  <w:listItem w:displayText="连带责任担保" w:value="连带责任担保"/>
                </w:comboBox>
              </w:sdtPr>
              <w:sdtEndPr>
                <w:rPr>
                  <w:rFonts w:hint="eastAsia" w:asciiTheme="minorEastAsia" w:hAnsiTheme="minorEastAsia" w:eastAsiaTheme="minorEastAsia"/>
                </w:rPr>
              </w:sdtEndPr>
              <w:sdtContent>
                <w:r>
                  <w:rPr>
                    <w:rFonts w:hint="eastAsia" w:asciiTheme="minorEastAsia" w:hAnsiTheme="minorEastAsia" w:eastAsiaTheme="minorEastAsia"/>
                  </w:rPr>
                  <w:t>/</w:t>
                </w:r>
              </w:sdtContent>
            </w:sdt>
          </w:p>
        </w:tc>
        <w:tc>
          <w:tcPr>
            <w:tcW w:w="33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asciiTheme="minorEastAsia" w:hAnsiTheme="minorEastAsia" w:eastAsiaTheme="minorEastAsia"/>
                <w:bCs/>
              </w:rPr>
            </w:pPr>
            <w:r>
              <w:rPr>
                <w:rFonts w:hint="eastAsia" w:asciiTheme="minorEastAsia" w:hAnsiTheme="minorEastAsia" w:eastAsiaTheme="minorEastAsia"/>
              </w:rPr>
              <w:t>/</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color w:val="FFC000"/>
              </w:rPr>
            </w:pPr>
            <w:sdt>
              <w:sdtPr>
                <w:rPr>
                  <w:rFonts w:hint="eastAsia" w:asciiTheme="minorEastAsia" w:hAnsiTheme="minorEastAsia" w:eastAsiaTheme="minorEastAsia"/>
                  <w:bCs/>
                </w:rPr>
                <w:alias w:val="担保是否已经履行完毕"/>
                <w:tag w:val="_GBC_61f81248895641f4b3a03b6d7bf72a1b"/>
                <w:id w:val="-885262224"/>
                <w:comboBox>
                  <w:listItem w:displayText="是" w:value="true"/>
                  <w:listItem w:displayText="否" w:value="false"/>
                </w:comboBox>
              </w:sdtPr>
              <w:sdtEndPr>
                <w:rPr>
                  <w:rFonts w:hint="eastAsia" w:asciiTheme="minorEastAsia" w:hAnsiTheme="minorEastAsia" w:eastAsiaTheme="minorEastAsia"/>
                  <w:bCs/>
                </w:rPr>
              </w:sdtEndPr>
              <w:sdtContent>
                <w:r>
                  <w:rPr>
                    <w:rFonts w:hint="eastAsia" w:asciiTheme="minorEastAsia" w:hAnsiTheme="minorEastAsia" w:eastAsiaTheme="minorEastAsia"/>
                    <w:bCs/>
                  </w:rPr>
                  <w:t>/</w:t>
                </w:r>
              </w:sdtContent>
            </w:sdt>
          </w:p>
        </w:tc>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color w:val="FFC000"/>
              </w:rPr>
            </w:pPr>
            <w:sdt>
              <w:sdtPr>
                <w:rPr>
                  <w:rFonts w:hint="eastAsia" w:asciiTheme="minorEastAsia" w:hAnsiTheme="minorEastAsia" w:eastAsiaTheme="minorEastAsia"/>
                  <w:bCs/>
                </w:rPr>
                <w:alias w:val="担保是否逾期"/>
                <w:tag w:val="_GBC_c6b9d1f792064d3f8a852d307386846b"/>
                <w:id w:val="1122655998"/>
                <w:comboBox>
                  <w:listItem w:displayText="是" w:value="true"/>
                  <w:listItem w:displayText="否" w:value="false"/>
                </w:comboBox>
              </w:sdtPr>
              <w:sdtEndPr>
                <w:rPr>
                  <w:rFonts w:hint="eastAsia" w:asciiTheme="minorEastAsia" w:hAnsiTheme="minorEastAsia" w:eastAsiaTheme="minorEastAsia"/>
                  <w:bCs/>
                </w:rPr>
              </w:sdtEndPr>
              <w:sdtContent>
                <w:r>
                  <w:rPr>
                    <w:rFonts w:hint="eastAsia" w:asciiTheme="minorEastAsia" w:hAnsiTheme="minorEastAsia" w:eastAsiaTheme="minorEastAsia"/>
                    <w:bCs/>
                  </w:rPr>
                  <w:t>/</w:t>
                </w:r>
              </w:sdtContent>
            </w:sdt>
          </w:p>
        </w:tc>
        <w:tc>
          <w:tcPr>
            <w:tcW w:w="3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ind w:right="84" w:rightChars="40"/>
              <w:jc w:val="center"/>
              <w:rPr>
                <w:rFonts w:asciiTheme="minorEastAsia" w:hAnsiTheme="minorEastAsia" w:eastAsiaTheme="minorEastAsia"/>
                <w:bCs/>
              </w:rPr>
            </w:pPr>
            <w:r>
              <w:rPr>
                <w:rFonts w:hint="eastAsia" w:asciiTheme="minorEastAsia" w:hAnsiTheme="minorEastAsia" w:eastAsiaTheme="minorEastAsia"/>
              </w:rPr>
              <w:t>/</w:t>
            </w:r>
          </w:p>
        </w:tc>
        <w:tc>
          <w:tcPr>
            <w:tcW w:w="329"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w:t>
            </w:r>
          </w:p>
        </w:tc>
        <w:tc>
          <w:tcPr>
            <w:tcW w:w="330"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center"/>
              <w:rPr>
                <w:rFonts w:asciiTheme="minorEastAsia" w:hAnsiTheme="minorEastAsia" w:eastAsiaTheme="minorEastAsia"/>
                <w:color w:val="FFC000"/>
              </w:rPr>
            </w:pPr>
            <w:sdt>
              <w:sdtPr>
                <w:rPr>
                  <w:rFonts w:hint="eastAsia" w:asciiTheme="minorEastAsia" w:hAnsiTheme="minorEastAsia" w:eastAsiaTheme="minorEastAsia"/>
                  <w:bCs/>
                </w:rPr>
                <w:alias w:val="是否为关联方担保"/>
                <w:tag w:val="_GBC_44554d74636543a7b143039de86b7494"/>
                <w:id w:val="-1647038537"/>
                <w:comboBox>
                  <w:listItem w:displayText="是" w:value="true"/>
                  <w:listItem w:displayText="否" w:value="false"/>
                </w:comboBox>
              </w:sdtPr>
              <w:sdtEndPr>
                <w:rPr>
                  <w:rFonts w:hint="eastAsia" w:asciiTheme="minorEastAsia" w:hAnsiTheme="minorEastAsia" w:eastAsiaTheme="minorEastAsia"/>
                  <w:bCs/>
                </w:rPr>
              </w:sdtEndPr>
              <w:sdtContent>
                <w:r>
                  <w:rPr>
                    <w:rFonts w:hint="eastAsia" w:asciiTheme="minorEastAsia" w:hAnsiTheme="minorEastAsia" w:eastAsiaTheme="minorEastAsia"/>
                    <w:bCs/>
                  </w:rPr>
                  <w:t>/</w:t>
                </w:r>
              </w:sdtContent>
            </w:sdt>
          </w:p>
        </w:tc>
        <w:tc>
          <w:tcPr>
            <w:tcW w:w="323" w:type="pct"/>
            <w:tcBorders>
              <w:top w:val="single" w:color="auto" w:sz="4" w:space="0"/>
              <w:left w:val="single" w:color="auto" w:sz="4" w:space="0"/>
              <w:bottom w:val="single" w:color="auto" w:sz="4" w:space="0"/>
            </w:tcBorders>
            <w:shd w:val="clear" w:color="auto" w:fill="auto"/>
          </w:tcPr>
          <w:p>
            <w:pPr>
              <w:autoSpaceDE w:val="0"/>
              <w:autoSpaceDN w:val="0"/>
              <w:adjustRightInd w:val="0"/>
              <w:jc w:val="center"/>
              <w:rPr>
                <w:rFonts w:asciiTheme="minorEastAsia" w:hAnsiTheme="minorEastAsia" w:eastAsiaTheme="minorEastAsia"/>
                <w:color w:val="FFC000"/>
              </w:rPr>
            </w:pPr>
            <w:sdt>
              <w:sdtPr>
                <w:rPr>
                  <w:rFonts w:hint="eastAsia" w:asciiTheme="minorEastAsia" w:hAnsiTheme="minorEastAsia" w:eastAsiaTheme="minorEastAsia"/>
                </w:rPr>
                <w:alias w:val="担保中关联方与本公司关系"/>
                <w:tag w:val="_GBC_e5957983376e4a2f82b346d338d10f40"/>
                <w:id w:val="-982391974"/>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rFonts w:hint="eastAsia" w:asciiTheme="minorEastAsia" w:hAnsiTheme="minorEastAsia" w:eastAsiaTheme="minorEastAsia"/>
                </w:rPr>
              </w:sdtEndPr>
              <w:sdtContent>
                <w:r>
                  <w:rPr>
                    <w:rFonts w:hint="eastAsia" w:asciiTheme="minorEastAsia" w:hAnsiTheme="minorEastAsia" w:eastAsiaTheme="minorEastAsia"/>
                  </w:rPr>
                  <w:t>/</w:t>
                </w:r>
              </w:sdtContent>
            </w:sdt>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报告期内担保发生额合计（不包括对子公司的担保）</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rFonts w:asciiTheme="minorEastAsia" w:hAnsiTheme="minorEastAsia" w:eastAsiaTheme="minorEastAsia"/>
              </w:rPr>
            </w:pP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报告期末担保余额合计（</w:t>
            </w:r>
            <w:r>
              <w:rPr>
                <w:rFonts w:asciiTheme="minorEastAsia" w:hAnsiTheme="minorEastAsia" w:eastAsiaTheme="minorEastAsia"/>
              </w:rPr>
              <w:t>A</w:t>
            </w:r>
            <w:r>
              <w:rPr>
                <w:rFonts w:hint="eastAsia" w:asciiTheme="minorEastAsia" w:hAnsiTheme="minorEastAsia" w:eastAsiaTheme="minorEastAsia"/>
              </w:rPr>
              <w:t>）（不包括对子公司的担保）</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asciiTheme="minorEastAsia" w:hAnsiTheme="minorEastAsia" w:eastAsiaTheme="minorEastAsia"/>
              </w:rPr>
            </w:pP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Theme="minorEastAsia" w:hAnsiTheme="minorEastAsia" w:eastAsiaTheme="minorEastAsia"/>
            </w:rPr>
            <w:tag w:val="_PLD_0209e1df4d9c45da9415f0566332a134"/>
            <w:id w:val="1602918838"/>
          </w:sdtPr>
          <w:sdtEndPr>
            <w:rPr>
              <w:rFonts w:asciiTheme="minorEastAsia" w:hAnsiTheme="minorEastAsia" w:eastAsiaTheme="minorEastAsia"/>
            </w:rPr>
          </w:sdtEnd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Theme="minorEastAsia" w:hAnsiTheme="minorEastAsia" w:eastAsiaTheme="minorEastAsia"/>
                  </w:rPr>
                  <w:t>公司及其子公司对子公司的担保情况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asciiTheme="minorEastAsia" w:hAnsiTheme="minorEastAsia" w:eastAsiaTheme="minorEastAsia"/>
                <w:color w:val="FF0000"/>
              </w:rPr>
            </w:pPr>
            <w:r>
              <w:rPr>
                <w:rFonts w:hint="eastAsia" w:asciiTheme="minorEastAsia" w:hAnsiTheme="minorEastAsia" w:eastAsiaTheme="minorEastAsia"/>
              </w:rPr>
              <w:t>报告期内对子公司担保发生额合计</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rFonts w:asciiTheme="minorEastAsia" w:hAnsiTheme="minorEastAsia" w:eastAsiaTheme="minorEastAsia"/>
              </w:rPr>
            </w:pPr>
            <w:r>
              <w:rPr>
                <w:rFonts w:hint="eastAsia" w:cs="Calibri" w:asciiTheme="minorEastAsia" w:hAnsiTheme="minorEastAsia" w:eastAsiaTheme="minorEastAsia"/>
              </w:rPr>
              <w:t>63.91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asciiTheme="minorEastAsia" w:hAnsiTheme="minorEastAsia" w:eastAsiaTheme="minorEastAsia"/>
                <w:color w:val="FF0000"/>
              </w:rPr>
            </w:pPr>
            <w:r>
              <w:rPr>
                <w:rFonts w:hint="eastAsia" w:asciiTheme="minorEastAsia" w:hAnsiTheme="minorEastAsia" w:eastAsiaTheme="minorEastAsia"/>
              </w:rPr>
              <w:t>报告期末对子公司担保余额合计（</w:t>
            </w:r>
            <w:r>
              <w:rPr>
                <w:rFonts w:asciiTheme="minorEastAsia" w:hAnsiTheme="minorEastAsia" w:eastAsiaTheme="minorEastAsia"/>
              </w:rPr>
              <w:t>B</w:t>
            </w:r>
            <w:r>
              <w:rPr>
                <w:rFonts w:hint="eastAsia" w:asciiTheme="minorEastAsia" w:hAnsiTheme="minorEastAsia" w:eastAsiaTheme="minorEastAsia"/>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asciiTheme="minorEastAsia" w:hAnsiTheme="minorEastAsia" w:eastAsiaTheme="minorEastAsia"/>
              </w:rPr>
            </w:pPr>
            <w:r>
              <w:rPr>
                <w:rFonts w:hint="eastAsia" w:cs="Calibri" w:asciiTheme="minorEastAsia" w:hAnsiTheme="minorEastAsia" w:eastAsiaTheme="minorEastAsia"/>
              </w:rPr>
              <w:t>178.71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Theme="minorEastAsia" w:hAnsiTheme="minorEastAsia" w:eastAsiaTheme="minorEastAsia"/>
            </w:rPr>
            <w:tag w:val="_PLD_b5d1fceb6fbd4fadb84d698d3eb35967"/>
            <w:id w:val="908260908"/>
          </w:sdtPr>
          <w:sdtEndPr>
            <w:rPr>
              <w:rFonts w:asciiTheme="minorEastAsia" w:hAnsiTheme="minorEastAsia" w:eastAsiaTheme="minorEastAsia"/>
            </w:rPr>
          </w:sdtEnd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Theme="minorEastAsia" w:hAnsiTheme="minorEastAsia" w:eastAsiaTheme="minorEastAsia"/>
                  </w:rPr>
                  <w:t>公司担保总额情况（包括对子公司的担保）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470"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asciiTheme="minorEastAsia" w:hAnsiTheme="minorEastAsia" w:eastAsiaTheme="minorEastAsia"/>
              </w:rPr>
            </w:pPr>
            <w:r>
              <w:rPr>
                <w:rFonts w:hint="eastAsia" w:asciiTheme="minorEastAsia" w:hAnsiTheme="minorEastAsia" w:eastAsiaTheme="minorEastAsia"/>
              </w:rPr>
              <w:t>担保总额（</w:t>
            </w:r>
            <w:r>
              <w:rPr>
                <w:rFonts w:asciiTheme="minorEastAsia" w:hAnsiTheme="minorEastAsia" w:eastAsiaTheme="minorEastAsia"/>
              </w:rPr>
              <w:t>A+B</w:t>
            </w:r>
            <w:r>
              <w:rPr>
                <w:rFonts w:hint="eastAsia" w:asciiTheme="minorEastAsia" w:hAnsiTheme="minorEastAsia" w:eastAsiaTheme="minorEastAsia"/>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asciiTheme="minorEastAsia" w:hAnsiTheme="minorEastAsia" w:eastAsiaTheme="minorEastAsia"/>
              </w:rPr>
            </w:pPr>
            <w:r>
              <w:rPr>
                <w:rFonts w:hint="eastAsia" w:cs="Calibri" w:asciiTheme="minorEastAsia" w:hAnsiTheme="minorEastAsia" w:eastAsiaTheme="minorEastAsia"/>
              </w:rPr>
              <w:t>178.71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rFonts w:asciiTheme="minorEastAsia" w:hAnsiTheme="minorEastAsia" w:eastAsiaTheme="minorEastAsia"/>
              </w:rPr>
            </w:pPr>
            <w:r>
              <w:rPr>
                <w:rFonts w:hint="eastAsia" w:asciiTheme="minorEastAsia" w:hAnsiTheme="minorEastAsia" w:eastAsiaTheme="minorEastAsia"/>
              </w:rPr>
              <w:t>担保总额占公司净资产的比例</w:t>
            </w:r>
            <w:r>
              <w:rPr>
                <w:rFonts w:asciiTheme="minorEastAsia" w:hAnsiTheme="minorEastAsia" w:eastAsiaTheme="minorEastAsia"/>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asciiTheme="minorEastAsia" w:hAnsiTheme="minorEastAsia" w:eastAsiaTheme="minorEastAsia"/>
              </w:rPr>
            </w:pPr>
            <w:r>
              <w:rPr>
                <w:rFonts w:hint="eastAsia" w:asciiTheme="minorEastAsia" w:hAnsiTheme="minorEastAsia" w:eastAsiaTheme="minorEastAsia"/>
              </w:rPr>
              <w:t>24.58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Theme="minorEastAsia" w:hAnsiTheme="minorEastAsia" w:eastAsiaTheme="minorEastAsia"/>
            </w:rPr>
            <w:tag w:val="_PLD_5975855d5ef9445cb4cf0cccb044de3a"/>
            <w:id w:val="1629438246"/>
          </w:sdtPr>
          <w:sdtEndPr>
            <w:rPr>
              <w:rFonts w:asciiTheme="minorEastAsia" w:hAnsiTheme="minorEastAsia" w:eastAsiaTheme="minorEastAsia"/>
            </w:rPr>
          </w:sdtEndPr>
          <w:sdtContent>
            <w:tc>
              <w:tcPr>
                <w:tcW w:w="5000" w:type="pct"/>
                <w:gridSpan w:val="16"/>
                <w:tcBorders>
                  <w:top w:val="single" w:color="auto" w:sz="4" w:space="0"/>
                  <w:bottom w:val="single" w:color="auto" w:sz="4" w:space="0"/>
                </w:tcBorders>
                <w:shd w:val="clear" w:color="auto" w:fill="auto"/>
              </w:tcPr>
              <w:p>
                <w:pPr>
                  <w:pStyle w:val="214"/>
                  <w:autoSpaceDE w:val="0"/>
                  <w:autoSpaceDN w:val="0"/>
                  <w:adjustRightInd w:val="0"/>
                  <w:ind w:right="84" w:rightChars="40"/>
                  <w:rPr>
                    <w:rFonts w:asciiTheme="minorEastAsia" w:hAnsiTheme="minorEastAsia" w:eastAsiaTheme="minorEastAsia"/>
                  </w:rPr>
                </w:pPr>
                <w:r>
                  <w:rPr>
                    <w:rFonts w:hint="eastAsia" w:asciiTheme="minorEastAsia" w:hAnsiTheme="minorEastAsia" w:eastAsiaTheme="minorEastAsia"/>
                  </w:rPr>
                  <w:t>其中：</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为股东、实际控制人及其关联方提供担保的金额（</w:t>
            </w:r>
            <w:r>
              <w:rPr>
                <w:rFonts w:asciiTheme="minorEastAsia" w:hAnsiTheme="minorEastAsia" w:eastAsiaTheme="minorEastAsia"/>
              </w:rPr>
              <w:t>C</w:t>
            </w:r>
            <w:r>
              <w:rPr>
                <w:rFonts w:hint="eastAsia" w:asciiTheme="minorEastAsia" w:hAnsiTheme="minorEastAsia" w:eastAsiaTheme="minorEastAsia"/>
              </w:rPr>
              <w:t>）</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rFonts w:asciiTheme="minorEastAsia" w:hAnsiTheme="minorEastAsia" w:eastAsiaTheme="minorEastAsia"/>
              </w:rPr>
            </w:pP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直接或间接为资产负债率超过</w:t>
            </w:r>
            <w:r>
              <w:rPr>
                <w:rFonts w:asciiTheme="minorEastAsia" w:hAnsiTheme="minorEastAsia" w:eastAsiaTheme="minorEastAsia"/>
              </w:rPr>
              <w:t>70</w:t>
            </w:r>
            <w:r>
              <w:rPr>
                <w:rFonts w:hint="eastAsia" w:asciiTheme="minorEastAsia" w:hAnsiTheme="minorEastAsia" w:eastAsiaTheme="minorEastAsia"/>
              </w:rPr>
              <w:t>%的被担保对象提供的债务担保金额（</w:t>
            </w:r>
            <w:r>
              <w:rPr>
                <w:rFonts w:asciiTheme="minorEastAsia" w:hAnsiTheme="minorEastAsia" w:eastAsiaTheme="minorEastAsia"/>
              </w:rPr>
              <w:t>D</w:t>
            </w:r>
            <w:r>
              <w:rPr>
                <w:rFonts w:hint="eastAsia" w:asciiTheme="minorEastAsia" w:hAnsiTheme="minorEastAsia" w:eastAsiaTheme="minorEastAsia"/>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asciiTheme="minorEastAsia" w:hAnsiTheme="minorEastAsia" w:eastAsiaTheme="minorEastAsia"/>
              </w:rPr>
            </w:pPr>
            <w:r>
              <w:rPr>
                <w:rFonts w:hint="eastAsia" w:cs="Calibri" w:asciiTheme="minorEastAsia" w:hAnsiTheme="minorEastAsia" w:eastAsiaTheme="minorEastAsia"/>
              </w:rPr>
              <w:t>116.24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担保总额超过净资产</w:t>
            </w:r>
            <w:r>
              <w:rPr>
                <w:rFonts w:asciiTheme="minorEastAsia" w:hAnsiTheme="minorEastAsia" w:eastAsiaTheme="minorEastAsia"/>
              </w:rPr>
              <w:t>50</w:t>
            </w:r>
            <w:r>
              <w:rPr>
                <w:rFonts w:hint="eastAsia" w:asciiTheme="minorEastAsia" w:hAnsiTheme="minorEastAsia" w:eastAsiaTheme="minorEastAsia"/>
              </w:rPr>
              <w:t>%部分的金额（</w:t>
            </w:r>
            <w:r>
              <w:rPr>
                <w:rFonts w:asciiTheme="minorEastAsia" w:hAnsiTheme="minorEastAsia" w:eastAsiaTheme="minorEastAsia"/>
              </w:rPr>
              <w:t>E</w:t>
            </w:r>
            <w:r>
              <w:rPr>
                <w:rFonts w:hint="eastAsia" w:asciiTheme="minorEastAsia" w:hAnsiTheme="minorEastAsia" w:eastAsiaTheme="minorEastAsia"/>
              </w:rPr>
              <w:t>）</w:t>
            </w:r>
          </w:p>
        </w:tc>
        <w:tc>
          <w:tcPr>
            <w:tcW w:w="2855" w:type="pct"/>
            <w:gridSpan w:val="9"/>
            <w:tcBorders>
              <w:top w:val="single" w:color="auto" w:sz="4" w:space="0"/>
              <w:left w:val="single" w:color="auto" w:sz="4" w:space="0"/>
              <w:bottom w:val="single" w:color="auto" w:sz="4" w:space="0"/>
            </w:tcBorders>
            <w:shd w:val="clear" w:color="auto" w:fill="auto"/>
          </w:tcPr>
          <w:p>
            <w:pPr>
              <w:ind w:right="84" w:rightChars="40"/>
              <w:jc w:val="right"/>
              <w:rPr>
                <w:rFonts w:asciiTheme="minorEastAsia" w:hAnsiTheme="minorEastAsia" w:eastAsiaTheme="minorEastAsia"/>
              </w:rPr>
            </w:pPr>
            <w:r>
              <w:rPr>
                <w:rFonts w:hint="eastAsia" w:cs="Calibri"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上述三项担保金额合计（</w:t>
            </w:r>
            <w:r>
              <w:rPr>
                <w:rFonts w:asciiTheme="minorEastAsia" w:hAnsiTheme="minorEastAsia" w:eastAsiaTheme="minorEastAsia"/>
              </w:rPr>
              <w:t>C+D+E</w:t>
            </w:r>
            <w:r>
              <w:rPr>
                <w:rFonts w:hint="eastAsia" w:asciiTheme="minorEastAsia" w:hAnsiTheme="minorEastAsia" w:eastAsiaTheme="minorEastAsia"/>
              </w:rPr>
              <w:t>）</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rFonts w:asciiTheme="minorEastAsia" w:hAnsiTheme="minorEastAsia" w:eastAsiaTheme="minorEastAsia"/>
              </w:rPr>
            </w:pPr>
            <w:r>
              <w:rPr>
                <w:rFonts w:hint="eastAsia" w:cs="Calibri" w:asciiTheme="minorEastAsia" w:hAnsiTheme="minorEastAsia" w:eastAsiaTheme="minorEastAsia"/>
              </w:rPr>
              <w:t>116.24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vAlign w:val="center"/>
          </w:tcPr>
          <w:p>
            <w:pPr>
              <w:pStyle w:val="214"/>
              <w:autoSpaceDE w:val="0"/>
              <w:autoSpaceDN w:val="0"/>
              <w:adjustRightInd w:val="0"/>
              <w:rPr>
                <w:rFonts w:asciiTheme="minorEastAsia" w:hAnsiTheme="minorEastAsia" w:eastAsiaTheme="minorEastAsia"/>
              </w:rPr>
            </w:pPr>
            <w:r>
              <w:rPr>
                <w:rFonts w:hint="eastAsia" w:asciiTheme="minorEastAsia" w:hAnsiTheme="minorEastAsia" w:eastAsiaTheme="minorEastAsia"/>
              </w:rPr>
              <w:t>未到期担保可能承担连带清偿责任说明</w:t>
            </w:r>
          </w:p>
        </w:tc>
        <w:tc>
          <w:tcPr>
            <w:tcW w:w="2855"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5"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担保情况说明</w:t>
            </w:r>
          </w:p>
        </w:tc>
        <w:tc>
          <w:tcPr>
            <w:tcW w:w="2855" w:type="pct"/>
            <w:gridSpan w:val="9"/>
            <w:tcBorders>
              <w:top w:val="single" w:color="auto" w:sz="4" w:space="0"/>
              <w:left w:val="single" w:color="auto" w:sz="4" w:space="0"/>
              <w:bottom w:val="single" w:color="auto" w:sz="4" w:space="0"/>
            </w:tcBorders>
            <w:shd w:val="clear" w:color="auto" w:fill="auto"/>
          </w:tcPr>
          <w:p>
            <w:pPr>
              <w:rPr>
                <w:rFonts w:asciiTheme="minorEastAsia" w:hAnsiTheme="minorEastAsia" w:eastAsiaTheme="minorEastAsia"/>
                <w:b/>
              </w:rPr>
            </w:pPr>
            <w:r>
              <w:rPr>
                <w:rFonts w:hint="eastAsia" w:cs="Calibri" w:asciiTheme="minorEastAsia" w:hAnsiTheme="minorEastAsia" w:eastAsiaTheme="minorEastAsia"/>
                <w:b/>
              </w:rPr>
              <w:t>1.</w:t>
            </w:r>
            <w:r>
              <w:rPr>
                <w:rFonts w:hint="eastAsia" w:asciiTheme="minorEastAsia" w:hAnsiTheme="minorEastAsia" w:eastAsiaTheme="minorEastAsia"/>
                <w:b/>
              </w:rPr>
              <w:t>以前期间发生并延续至本报告期的对外担保情况</w:t>
            </w:r>
          </w:p>
          <w:p>
            <w:pPr>
              <w:rPr>
                <w:rFonts w:asciiTheme="minorEastAsia" w:hAnsiTheme="minorEastAsia" w:eastAsiaTheme="minorEastAsia"/>
              </w:rPr>
            </w:pPr>
            <w:r>
              <w:rPr>
                <w:rFonts w:hint="eastAsia" w:asciiTheme="minorEastAsia" w:hAnsiTheme="minorEastAsia" w:eastAsiaTheme="minorEastAsia"/>
              </w:rPr>
              <w:t>经</w:t>
            </w:r>
            <w:r>
              <w:rPr>
                <w:rFonts w:asciiTheme="minorEastAsia" w:hAnsiTheme="minorEastAsia" w:eastAsiaTheme="minorEastAsia"/>
              </w:rPr>
              <w:t>2019</w:t>
            </w:r>
            <w:r>
              <w:rPr>
                <w:rFonts w:hint="eastAsia" w:asciiTheme="minorEastAsia" w:hAnsiTheme="minorEastAsia" w:eastAsiaTheme="minorEastAsia"/>
              </w:rPr>
              <w:t>年度股东周年大会审议批准，公司为内蒙古荣信化工有限公司提供</w:t>
            </w:r>
            <w:r>
              <w:rPr>
                <w:rFonts w:hint="eastAsia" w:cs="Calibri" w:asciiTheme="minorEastAsia" w:hAnsiTheme="minorEastAsia" w:eastAsiaTheme="minorEastAsia"/>
              </w:rPr>
              <w:t>13.8</w:t>
            </w:r>
            <w:r>
              <w:rPr>
                <w:rFonts w:hint="eastAsia" w:asciiTheme="minorEastAsia" w:hAnsiTheme="minorEastAsia" w:eastAsiaTheme="minorEastAsia"/>
              </w:rPr>
              <w:t>亿元担保。截至</w:t>
            </w:r>
            <w:r>
              <w:rPr>
                <w:rFonts w:asciiTheme="minorEastAsia" w:hAnsiTheme="minorEastAsia" w:eastAsiaTheme="minorEastAsia"/>
              </w:rPr>
              <w:t>202</w:t>
            </w:r>
            <w:r>
              <w:rPr>
                <w:rFonts w:hint="eastAsia" w:cs="Calibri" w:asciiTheme="minorEastAsia" w:hAnsiTheme="minorEastAsia" w:eastAsiaTheme="minorEastAsia"/>
              </w:rPr>
              <w:t>3</w:t>
            </w:r>
            <w:r>
              <w:rPr>
                <w:rFonts w:asciiTheme="minorEastAsia" w:hAnsiTheme="minorEastAsia" w:eastAsiaTheme="minorEastAsia"/>
              </w:rPr>
              <w:t>年</w:t>
            </w:r>
            <w:r>
              <w:rPr>
                <w:rFonts w:hint="eastAsia" w:cs="Calibri" w:asciiTheme="minorEastAsia" w:hAnsiTheme="minorEastAsia" w:eastAsiaTheme="minorEastAsia"/>
              </w:rPr>
              <w:t>12</w:t>
            </w:r>
            <w:r>
              <w:rPr>
                <w:rFonts w:asciiTheme="minorEastAsia" w:hAnsiTheme="minorEastAsia" w:eastAsiaTheme="minorEastAsia"/>
              </w:rPr>
              <w:t>月</w:t>
            </w:r>
            <w:r>
              <w:rPr>
                <w:rFonts w:hint="eastAsia" w:cs="Calibri" w:asciiTheme="minorEastAsia" w:hAnsiTheme="minorEastAsia" w:eastAsiaTheme="minorEastAsia"/>
              </w:rPr>
              <w:t>31</w:t>
            </w:r>
            <w:r>
              <w:rPr>
                <w:rFonts w:asciiTheme="minorEastAsia" w:hAnsiTheme="minorEastAsia" w:eastAsiaTheme="minorEastAsia"/>
              </w:rPr>
              <w:t>日，</w:t>
            </w:r>
            <w:r>
              <w:rPr>
                <w:rFonts w:hint="eastAsia" w:asciiTheme="minorEastAsia" w:hAnsiTheme="minorEastAsia" w:eastAsiaTheme="minorEastAsia"/>
              </w:rPr>
              <w:t>上述担保余额为</w:t>
            </w:r>
            <w:r>
              <w:rPr>
                <w:rFonts w:hint="eastAsia" w:cs="Calibri" w:asciiTheme="minorEastAsia" w:hAnsiTheme="minorEastAsia" w:eastAsiaTheme="minorEastAsia"/>
              </w:rPr>
              <w:t>9.17</w:t>
            </w:r>
            <w:r>
              <w:rPr>
                <w:rFonts w:hint="eastAsia" w:asciiTheme="minorEastAsia" w:hAnsiTheme="minorEastAsia" w:eastAsiaTheme="minorEastAsia"/>
              </w:rPr>
              <w:t>亿元。</w:t>
            </w:r>
          </w:p>
          <w:p>
            <w:pPr>
              <w:rPr>
                <w:rFonts w:asciiTheme="minorEastAsia" w:hAnsiTheme="minorEastAsia" w:eastAsiaTheme="minorEastAsia"/>
              </w:rPr>
            </w:pPr>
            <w:r>
              <w:rPr>
                <w:rFonts w:hint="eastAsia" w:asciiTheme="minorEastAsia" w:hAnsiTheme="minorEastAsia" w:eastAsiaTheme="minorEastAsia"/>
              </w:rPr>
              <w:t>经</w:t>
            </w:r>
            <w:r>
              <w:rPr>
                <w:rFonts w:asciiTheme="minorEastAsia" w:hAnsiTheme="minorEastAsia" w:eastAsiaTheme="minorEastAsia"/>
              </w:rPr>
              <w:t>2019</w:t>
            </w:r>
            <w:r>
              <w:rPr>
                <w:rFonts w:hint="eastAsia" w:asciiTheme="minorEastAsia" w:hAnsiTheme="minorEastAsia" w:eastAsiaTheme="minorEastAsia"/>
              </w:rPr>
              <w:t>年度股东周年大会审议批准，公司为榆林能化提供</w:t>
            </w:r>
            <w:r>
              <w:rPr>
                <w:rFonts w:hint="eastAsia" w:cs="Calibri" w:asciiTheme="minorEastAsia" w:hAnsiTheme="minorEastAsia" w:eastAsiaTheme="minorEastAsia"/>
              </w:rPr>
              <w:t>13</w:t>
            </w:r>
            <w:r>
              <w:rPr>
                <w:rFonts w:hint="eastAsia" w:asciiTheme="minorEastAsia" w:hAnsiTheme="minorEastAsia" w:eastAsiaTheme="minorEastAsia"/>
              </w:rPr>
              <w:t>亿元担保。截至</w:t>
            </w:r>
            <w:r>
              <w:rPr>
                <w:rFonts w:asciiTheme="minorEastAsia" w:hAnsiTheme="minorEastAsia" w:eastAsiaTheme="minorEastAsia"/>
              </w:rPr>
              <w:t>202</w:t>
            </w:r>
            <w:r>
              <w:rPr>
                <w:rFonts w:hint="eastAsia" w:cs="Calibri" w:asciiTheme="minorEastAsia" w:hAnsiTheme="minorEastAsia" w:eastAsiaTheme="minorEastAsia"/>
              </w:rPr>
              <w:t>3</w:t>
            </w:r>
            <w:r>
              <w:rPr>
                <w:rFonts w:asciiTheme="minorEastAsia" w:hAnsiTheme="minorEastAsia" w:eastAsiaTheme="minorEastAsia"/>
              </w:rPr>
              <w:t>年</w:t>
            </w:r>
            <w:r>
              <w:rPr>
                <w:rFonts w:hint="eastAsia" w:cs="Calibri" w:asciiTheme="minorEastAsia" w:hAnsiTheme="minorEastAsia" w:eastAsiaTheme="minorEastAsia"/>
              </w:rPr>
              <w:t>12</w:t>
            </w:r>
            <w:r>
              <w:rPr>
                <w:rFonts w:asciiTheme="minorEastAsia" w:hAnsiTheme="minorEastAsia" w:eastAsiaTheme="minorEastAsia"/>
              </w:rPr>
              <w:t>月3</w:t>
            </w:r>
            <w:r>
              <w:rPr>
                <w:rFonts w:hint="eastAsia" w:cs="Calibri" w:asciiTheme="minorEastAsia" w:hAnsiTheme="minorEastAsia" w:eastAsiaTheme="minorEastAsia"/>
              </w:rPr>
              <w:t>1</w:t>
            </w:r>
            <w:r>
              <w:rPr>
                <w:rFonts w:asciiTheme="minorEastAsia" w:hAnsiTheme="minorEastAsia" w:eastAsiaTheme="minorEastAsia"/>
              </w:rPr>
              <w:t>日，</w:t>
            </w:r>
            <w:r>
              <w:rPr>
                <w:rFonts w:hint="eastAsia" w:asciiTheme="minorEastAsia" w:hAnsiTheme="minorEastAsia" w:eastAsiaTheme="minorEastAsia"/>
              </w:rPr>
              <w:t>上述担保余额为</w:t>
            </w:r>
            <w:r>
              <w:rPr>
                <w:rFonts w:hint="eastAsia" w:cs="Calibri" w:asciiTheme="minorEastAsia" w:hAnsiTheme="minorEastAsia" w:eastAsiaTheme="minorEastAsia"/>
              </w:rPr>
              <w:t>8.64</w:t>
            </w:r>
            <w:r>
              <w:rPr>
                <w:rFonts w:hint="eastAsia" w:asciiTheme="minorEastAsia" w:hAnsiTheme="minorEastAsia" w:eastAsiaTheme="minorEastAsia"/>
              </w:rPr>
              <w:t>亿元。</w:t>
            </w:r>
          </w:p>
          <w:p>
            <w:pPr>
              <w:rPr>
                <w:rFonts w:asciiTheme="minorEastAsia" w:hAnsiTheme="minorEastAsia" w:eastAsiaTheme="minorEastAsia"/>
              </w:rPr>
            </w:pPr>
            <w:r>
              <w:rPr>
                <w:rFonts w:hint="eastAsia" w:asciiTheme="minorEastAsia" w:hAnsiTheme="minorEastAsia" w:eastAsiaTheme="minorEastAsia"/>
              </w:rPr>
              <w:t>经</w:t>
            </w:r>
            <w:r>
              <w:rPr>
                <w:rFonts w:asciiTheme="minorEastAsia" w:hAnsiTheme="minorEastAsia" w:eastAsiaTheme="minorEastAsia"/>
              </w:rPr>
              <w:t>2019</w:t>
            </w:r>
            <w:r>
              <w:rPr>
                <w:rFonts w:hint="eastAsia" w:asciiTheme="minorEastAsia" w:hAnsiTheme="minorEastAsia" w:eastAsiaTheme="minorEastAsia"/>
              </w:rPr>
              <w:t>年度股东周年大会审议批准，公司为鲁南化工提供</w:t>
            </w:r>
            <w:r>
              <w:rPr>
                <w:rFonts w:hint="eastAsia" w:cs="Calibri" w:asciiTheme="minorEastAsia" w:hAnsiTheme="minorEastAsia" w:eastAsiaTheme="minorEastAsia"/>
              </w:rPr>
              <w:t>10</w:t>
            </w:r>
            <w:r>
              <w:rPr>
                <w:rFonts w:hint="eastAsia" w:asciiTheme="minorEastAsia" w:hAnsiTheme="minorEastAsia" w:eastAsiaTheme="minorEastAsia"/>
              </w:rPr>
              <w:t>亿元担保。截至</w:t>
            </w:r>
            <w:r>
              <w:rPr>
                <w:rFonts w:asciiTheme="minorEastAsia" w:hAnsiTheme="minorEastAsia" w:eastAsiaTheme="minorEastAsia"/>
              </w:rPr>
              <w:t>202</w:t>
            </w:r>
            <w:r>
              <w:rPr>
                <w:rFonts w:hint="eastAsia" w:cs="Calibri" w:asciiTheme="minorEastAsia" w:hAnsiTheme="minorEastAsia" w:eastAsiaTheme="minorEastAsia"/>
              </w:rPr>
              <w:t>3</w:t>
            </w:r>
            <w:r>
              <w:rPr>
                <w:rFonts w:asciiTheme="minorEastAsia" w:hAnsiTheme="minorEastAsia" w:eastAsiaTheme="minorEastAsia"/>
              </w:rPr>
              <w:t>年</w:t>
            </w:r>
            <w:r>
              <w:rPr>
                <w:rFonts w:hint="eastAsia" w:cs="Calibri" w:asciiTheme="minorEastAsia" w:hAnsiTheme="minorEastAsia" w:eastAsiaTheme="minorEastAsia"/>
              </w:rPr>
              <w:t>12</w:t>
            </w:r>
            <w:r>
              <w:rPr>
                <w:rFonts w:asciiTheme="minorEastAsia" w:hAnsiTheme="minorEastAsia" w:eastAsiaTheme="minorEastAsia"/>
              </w:rPr>
              <w:t>月3</w:t>
            </w:r>
            <w:r>
              <w:rPr>
                <w:rFonts w:hint="eastAsia" w:cs="Calibri" w:asciiTheme="minorEastAsia" w:hAnsiTheme="minorEastAsia" w:eastAsiaTheme="minorEastAsia"/>
              </w:rPr>
              <w:t>1</w:t>
            </w:r>
            <w:r>
              <w:rPr>
                <w:rFonts w:asciiTheme="minorEastAsia" w:hAnsiTheme="minorEastAsia" w:eastAsiaTheme="minorEastAsia"/>
              </w:rPr>
              <w:t>日，</w:t>
            </w:r>
            <w:r>
              <w:rPr>
                <w:rFonts w:hint="eastAsia" w:asciiTheme="minorEastAsia" w:hAnsiTheme="minorEastAsia" w:eastAsiaTheme="minorEastAsia"/>
              </w:rPr>
              <w:t>上述担保余额为</w:t>
            </w:r>
            <w:r>
              <w:rPr>
                <w:rFonts w:hint="eastAsia" w:cs="Calibri" w:asciiTheme="minorEastAsia" w:hAnsiTheme="minorEastAsia" w:eastAsiaTheme="minorEastAsia"/>
              </w:rPr>
              <w:t>8.5</w:t>
            </w:r>
            <w:r>
              <w:rPr>
                <w:rFonts w:hint="eastAsia" w:asciiTheme="minorEastAsia" w:hAnsiTheme="minorEastAsia" w:eastAsiaTheme="minorEastAsia"/>
              </w:rPr>
              <w:t>亿元。</w:t>
            </w:r>
          </w:p>
          <w:p>
            <w:pPr>
              <w:rPr>
                <w:rFonts w:asciiTheme="minorEastAsia" w:hAnsiTheme="minorEastAsia" w:eastAsiaTheme="minorEastAsia"/>
              </w:rPr>
            </w:pPr>
            <w:r>
              <w:rPr>
                <w:rFonts w:hint="eastAsia" w:asciiTheme="minorEastAsia" w:hAnsiTheme="minorEastAsia" w:eastAsiaTheme="minorEastAsia"/>
              </w:rPr>
              <w:t>经</w:t>
            </w:r>
            <w:r>
              <w:rPr>
                <w:rFonts w:hint="eastAsia" w:cs="Calibri" w:asciiTheme="minorEastAsia" w:hAnsiTheme="minorEastAsia" w:eastAsiaTheme="minorEastAsia"/>
              </w:rPr>
              <w:t>2020</w:t>
            </w:r>
            <w:r>
              <w:rPr>
                <w:rFonts w:hint="eastAsia" w:asciiTheme="minorEastAsia" w:hAnsiTheme="minorEastAsia" w:eastAsiaTheme="minorEastAsia"/>
              </w:rPr>
              <w:t>年度股东周年大会审议批准，公司为兖煤国际资源发行</w:t>
            </w:r>
            <w:r>
              <w:rPr>
                <w:rFonts w:hint="eastAsia" w:cs="Calibri" w:asciiTheme="minorEastAsia" w:hAnsiTheme="minorEastAsia" w:eastAsiaTheme="minorEastAsia"/>
              </w:rPr>
              <w:t>3</w:t>
            </w:r>
            <w:r>
              <w:rPr>
                <w:rFonts w:hint="eastAsia" w:asciiTheme="minorEastAsia" w:hAnsiTheme="minorEastAsia" w:eastAsiaTheme="minorEastAsia"/>
              </w:rPr>
              <w:t>亿美元境外公司债券提供担保。截至</w:t>
            </w:r>
            <w:r>
              <w:rPr>
                <w:rFonts w:asciiTheme="minorEastAsia" w:hAnsiTheme="minorEastAsia" w:eastAsiaTheme="minorEastAsia"/>
              </w:rPr>
              <w:t>202</w:t>
            </w:r>
            <w:r>
              <w:rPr>
                <w:rFonts w:hint="eastAsia" w:cs="Calibri" w:asciiTheme="minorEastAsia" w:hAnsiTheme="minorEastAsia" w:eastAsiaTheme="minorEastAsia"/>
              </w:rPr>
              <w:t>3</w:t>
            </w:r>
            <w:r>
              <w:rPr>
                <w:rFonts w:asciiTheme="minorEastAsia" w:hAnsiTheme="minorEastAsia" w:eastAsiaTheme="minorEastAsia"/>
              </w:rPr>
              <w:t>年</w:t>
            </w:r>
            <w:r>
              <w:rPr>
                <w:rFonts w:hint="eastAsia" w:cs="Calibri" w:asciiTheme="minorEastAsia" w:hAnsiTheme="minorEastAsia" w:eastAsiaTheme="minorEastAsia"/>
              </w:rPr>
              <w:t>12</w:t>
            </w:r>
            <w:r>
              <w:rPr>
                <w:rFonts w:asciiTheme="minorEastAsia" w:hAnsiTheme="minorEastAsia" w:eastAsiaTheme="minorEastAsia"/>
              </w:rPr>
              <w:t>月3</w:t>
            </w:r>
            <w:r>
              <w:rPr>
                <w:rFonts w:hint="eastAsia" w:cs="Calibri" w:asciiTheme="minorEastAsia" w:hAnsiTheme="minorEastAsia" w:eastAsiaTheme="minorEastAsia"/>
              </w:rPr>
              <w:t>1</w:t>
            </w:r>
            <w:r>
              <w:rPr>
                <w:rFonts w:asciiTheme="minorEastAsia" w:hAnsiTheme="minorEastAsia" w:eastAsiaTheme="minorEastAsia"/>
              </w:rPr>
              <w:t>日，</w:t>
            </w:r>
            <w:r>
              <w:rPr>
                <w:rFonts w:hint="eastAsia" w:asciiTheme="minorEastAsia" w:hAnsiTheme="minorEastAsia" w:eastAsiaTheme="minorEastAsia"/>
              </w:rPr>
              <w:t>上述担保余额为</w:t>
            </w:r>
            <w:r>
              <w:rPr>
                <w:rFonts w:hint="eastAsia" w:cs="Calibri" w:asciiTheme="minorEastAsia" w:hAnsiTheme="minorEastAsia" w:eastAsiaTheme="minorEastAsia"/>
              </w:rPr>
              <w:t>3</w:t>
            </w:r>
            <w:r>
              <w:rPr>
                <w:rFonts w:hint="eastAsia" w:asciiTheme="minorEastAsia" w:hAnsiTheme="minorEastAsia" w:eastAsiaTheme="minorEastAsia"/>
              </w:rPr>
              <w:t>亿美元。</w:t>
            </w:r>
          </w:p>
          <w:p>
            <w:pPr>
              <w:rPr>
                <w:rFonts w:asciiTheme="minorEastAsia" w:hAnsiTheme="minorEastAsia" w:eastAsiaTheme="minorEastAsia"/>
              </w:rPr>
            </w:pPr>
            <w:r>
              <w:rPr>
                <w:rFonts w:hint="eastAsia" w:asciiTheme="minorEastAsia" w:hAnsiTheme="minorEastAsia" w:eastAsiaTheme="minorEastAsia"/>
              </w:rPr>
              <w:t>经</w:t>
            </w:r>
            <w:r>
              <w:rPr>
                <w:rFonts w:hint="eastAsia" w:cs="Calibri" w:asciiTheme="minorEastAsia" w:hAnsiTheme="minorEastAsia" w:eastAsiaTheme="minorEastAsia"/>
              </w:rPr>
              <w:t>2020</w:t>
            </w:r>
            <w:r>
              <w:rPr>
                <w:rFonts w:hint="eastAsia" w:asciiTheme="minorEastAsia" w:hAnsiTheme="minorEastAsia" w:eastAsiaTheme="minorEastAsia"/>
              </w:rPr>
              <w:t>年度股东周年大会审议批准，公司为兖煤国际提供</w:t>
            </w:r>
            <w:r>
              <w:rPr>
                <w:rFonts w:hint="eastAsia" w:cs="Calibri" w:asciiTheme="minorEastAsia" w:hAnsiTheme="minorEastAsia" w:eastAsiaTheme="minorEastAsia"/>
              </w:rPr>
              <w:t>1</w:t>
            </w:r>
            <w:r>
              <w:rPr>
                <w:rFonts w:hint="eastAsia" w:asciiTheme="minorEastAsia" w:hAnsiTheme="minorEastAsia" w:eastAsiaTheme="minorEastAsia"/>
              </w:rPr>
              <w:t>亿美元银行借款担保。截至</w:t>
            </w:r>
            <w:r>
              <w:rPr>
                <w:rFonts w:asciiTheme="minorEastAsia" w:hAnsiTheme="minorEastAsia" w:eastAsiaTheme="minorEastAsia"/>
              </w:rPr>
              <w:t>202</w:t>
            </w:r>
            <w:r>
              <w:rPr>
                <w:rFonts w:hint="eastAsia" w:cs="Calibri" w:asciiTheme="minorEastAsia" w:hAnsiTheme="minorEastAsia" w:eastAsiaTheme="minorEastAsia"/>
              </w:rPr>
              <w:t>3</w:t>
            </w:r>
            <w:r>
              <w:rPr>
                <w:rFonts w:asciiTheme="minorEastAsia" w:hAnsiTheme="minorEastAsia" w:eastAsiaTheme="minorEastAsia"/>
              </w:rPr>
              <w:t>年</w:t>
            </w:r>
            <w:r>
              <w:rPr>
                <w:rFonts w:hint="eastAsia" w:cs="Calibri" w:asciiTheme="minorEastAsia" w:hAnsiTheme="minorEastAsia" w:eastAsiaTheme="minorEastAsia"/>
              </w:rPr>
              <w:t>12</w:t>
            </w:r>
            <w:r>
              <w:rPr>
                <w:rFonts w:asciiTheme="minorEastAsia" w:hAnsiTheme="minorEastAsia" w:eastAsiaTheme="minorEastAsia"/>
              </w:rPr>
              <w:t>月3</w:t>
            </w:r>
            <w:r>
              <w:rPr>
                <w:rFonts w:hint="eastAsia" w:cs="Calibri" w:asciiTheme="minorEastAsia" w:hAnsiTheme="minorEastAsia" w:eastAsiaTheme="minorEastAsia"/>
              </w:rPr>
              <w:t>1</w:t>
            </w:r>
            <w:r>
              <w:rPr>
                <w:rFonts w:asciiTheme="minorEastAsia" w:hAnsiTheme="minorEastAsia" w:eastAsiaTheme="minorEastAsia"/>
              </w:rPr>
              <w:t>日，</w:t>
            </w:r>
            <w:r>
              <w:rPr>
                <w:rFonts w:hint="eastAsia" w:asciiTheme="minorEastAsia" w:hAnsiTheme="minorEastAsia" w:eastAsiaTheme="minorEastAsia"/>
              </w:rPr>
              <w:t>上述担保余额为</w:t>
            </w:r>
            <w:r>
              <w:rPr>
                <w:rFonts w:hint="eastAsia" w:cs="Calibri" w:asciiTheme="minorEastAsia" w:hAnsiTheme="minorEastAsia" w:eastAsiaTheme="minorEastAsia"/>
              </w:rPr>
              <w:t>1</w:t>
            </w:r>
            <w:r>
              <w:rPr>
                <w:rFonts w:hint="eastAsia" w:asciiTheme="minorEastAsia" w:hAnsiTheme="minorEastAsia" w:eastAsiaTheme="minorEastAsia"/>
              </w:rPr>
              <w:t>亿美元。</w:t>
            </w:r>
          </w:p>
          <w:p>
            <w:pPr>
              <w:rPr>
                <w:rFonts w:asciiTheme="minorEastAsia" w:hAnsiTheme="minorEastAsia" w:eastAsiaTheme="minorEastAsia"/>
              </w:rPr>
            </w:pPr>
            <w:r>
              <w:rPr>
                <w:rFonts w:hint="eastAsia" w:asciiTheme="minorEastAsia" w:hAnsiTheme="minorEastAsia" w:eastAsiaTheme="minorEastAsia"/>
              </w:rPr>
              <w:t>经</w:t>
            </w:r>
            <w:r>
              <w:rPr>
                <w:rFonts w:hint="eastAsia" w:cs="Calibri" w:asciiTheme="minorEastAsia" w:hAnsiTheme="minorEastAsia" w:eastAsiaTheme="minorEastAsia"/>
              </w:rPr>
              <w:t>2020</w:t>
            </w:r>
            <w:r>
              <w:rPr>
                <w:rFonts w:hint="eastAsia" w:asciiTheme="minorEastAsia" w:hAnsiTheme="minorEastAsia" w:eastAsiaTheme="minorEastAsia"/>
              </w:rPr>
              <w:t>年度股东周年大会审议批准，内蒙古矿业为乌兰察布市宏大实业有限公司提供</w:t>
            </w:r>
            <w:r>
              <w:rPr>
                <w:rFonts w:hint="eastAsia" w:cs="Calibri" w:asciiTheme="minorEastAsia" w:hAnsiTheme="minorEastAsia" w:eastAsiaTheme="minorEastAsia"/>
              </w:rPr>
              <w:t>14.29</w:t>
            </w:r>
            <w:r>
              <w:rPr>
                <w:rFonts w:hint="eastAsia" w:asciiTheme="minorEastAsia" w:hAnsiTheme="minorEastAsia" w:eastAsiaTheme="minorEastAsia"/>
              </w:rPr>
              <w:t>亿元担保；为鄂尔多斯市锋威光电有限公司提供</w:t>
            </w:r>
            <w:r>
              <w:rPr>
                <w:rFonts w:hint="eastAsia" w:cs="Calibri" w:asciiTheme="minorEastAsia" w:hAnsiTheme="minorEastAsia" w:eastAsiaTheme="minorEastAsia"/>
              </w:rPr>
              <w:t>6.99</w:t>
            </w:r>
            <w:r>
              <w:rPr>
                <w:rFonts w:hint="eastAsia" w:asciiTheme="minorEastAsia" w:hAnsiTheme="minorEastAsia" w:eastAsiaTheme="minorEastAsia"/>
              </w:rPr>
              <w:t>亿元担保；鄂尔多斯市锋威光电有限公司为内蒙古矿业提供</w:t>
            </w:r>
            <w:r>
              <w:rPr>
                <w:rFonts w:hint="eastAsia" w:cs="Calibri" w:asciiTheme="minorEastAsia" w:hAnsiTheme="minorEastAsia" w:eastAsiaTheme="minorEastAsia"/>
              </w:rPr>
              <w:t>4.95</w:t>
            </w:r>
            <w:r>
              <w:rPr>
                <w:rFonts w:hint="eastAsia" w:asciiTheme="minorEastAsia" w:hAnsiTheme="minorEastAsia" w:eastAsiaTheme="minorEastAsia"/>
              </w:rPr>
              <w:t>亿元担保，截至2023年12月31日，上述担保余额分别为10.58亿元、5.34亿元和4.77亿元。</w:t>
            </w:r>
          </w:p>
          <w:p>
            <w:pPr>
              <w:rPr>
                <w:rFonts w:asciiTheme="minorEastAsia" w:hAnsiTheme="minorEastAsia" w:eastAsiaTheme="minorEastAsia"/>
              </w:rPr>
            </w:pPr>
            <w:r>
              <w:rPr>
                <w:rFonts w:hint="eastAsia" w:asciiTheme="minorEastAsia" w:hAnsiTheme="minorEastAsia" w:eastAsiaTheme="minorEastAsia"/>
              </w:rPr>
              <w:t>经</w:t>
            </w:r>
            <w:r>
              <w:rPr>
                <w:rFonts w:hint="eastAsia" w:cs="Calibri" w:asciiTheme="minorEastAsia" w:hAnsiTheme="minorEastAsia" w:eastAsiaTheme="minorEastAsia"/>
              </w:rPr>
              <w:t>2021</w:t>
            </w:r>
            <w:r>
              <w:rPr>
                <w:rFonts w:hint="eastAsia" w:asciiTheme="minorEastAsia" w:hAnsiTheme="minorEastAsia" w:eastAsiaTheme="minorEastAsia"/>
              </w:rPr>
              <w:t>年度股东周年大会审议批准，公司为兖矿瑞丰国际贸易有限公司（“兖矿瑞丰”）提供</w:t>
            </w:r>
            <w:r>
              <w:rPr>
                <w:rFonts w:hint="eastAsia" w:cs="Calibri" w:asciiTheme="minorEastAsia" w:hAnsiTheme="minorEastAsia" w:eastAsiaTheme="minorEastAsia"/>
              </w:rPr>
              <w:t>6</w:t>
            </w:r>
            <w:r>
              <w:rPr>
                <w:rFonts w:hint="eastAsia" w:asciiTheme="minorEastAsia" w:hAnsiTheme="minorEastAsia" w:eastAsiaTheme="minorEastAsia"/>
              </w:rPr>
              <w:t>亿元担保。截至</w:t>
            </w:r>
            <w:r>
              <w:rPr>
                <w:rFonts w:asciiTheme="minorEastAsia" w:hAnsiTheme="minorEastAsia" w:eastAsiaTheme="minorEastAsia"/>
              </w:rPr>
              <w:t>202</w:t>
            </w:r>
            <w:r>
              <w:rPr>
                <w:rFonts w:hint="eastAsia" w:cs="Calibri" w:asciiTheme="minorEastAsia" w:hAnsiTheme="minorEastAsia" w:eastAsiaTheme="minorEastAsia"/>
              </w:rPr>
              <w:t>3</w:t>
            </w:r>
            <w:r>
              <w:rPr>
                <w:rFonts w:asciiTheme="minorEastAsia" w:hAnsiTheme="minorEastAsia" w:eastAsiaTheme="minorEastAsia"/>
              </w:rPr>
              <w:t>年</w:t>
            </w:r>
            <w:r>
              <w:rPr>
                <w:rFonts w:hint="eastAsia" w:cs="Calibri" w:asciiTheme="minorEastAsia" w:hAnsiTheme="minorEastAsia" w:eastAsiaTheme="minorEastAsia"/>
              </w:rPr>
              <w:t>12</w:t>
            </w:r>
            <w:r>
              <w:rPr>
                <w:rFonts w:asciiTheme="minorEastAsia" w:hAnsiTheme="minorEastAsia" w:eastAsiaTheme="minorEastAsia"/>
              </w:rPr>
              <w:t>月</w:t>
            </w:r>
            <w:r>
              <w:rPr>
                <w:rFonts w:hint="eastAsia" w:cs="Calibri" w:asciiTheme="minorEastAsia" w:hAnsiTheme="minorEastAsia" w:eastAsiaTheme="minorEastAsia"/>
              </w:rPr>
              <w:t>31</w:t>
            </w:r>
            <w:r>
              <w:rPr>
                <w:rFonts w:asciiTheme="minorEastAsia" w:hAnsiTheme="minorEastAsia" w:eastAsiaTheme="minorEastAsia"/>
              </w:rPr>
              <w:t>日，</w:t>
            </w:r>
            <w:r>
              <w:rPr>
                <w:rFonts w:hint="eastAsia" w:asciiTheme="minorEastAsia" w:hAnsiTheme="minorEastAsia" w:eastAsiaTheme="minorEastAsia"/>
              </w:rPr>
              <w:t>上述担保余额为</w:t>
            </w:r>
            <w:r>
              <w:rPr>
                <w:rFonts w:hint="eastAsia" w:cs="Calibri" w:asciiTheme="minorEastAsia" w:hAnsiTheme="minorEastAsia" w:eastAsiaTheme="minorEastAsia"/>
              </w:rPr>
              <w:t>6</w:t>
            </w:r>
            <w:r>
              <w:rPr>
                <w:rFonts w:hint="eastAsia" w:asciiTheme="minorEastAsia" w:hAnsiTheme="minorEastAsia" w:eastAsiaTheme="minorEastAsia"/>
              </w:rPr>
              <w:t>亿元。</w:t>
            </w:r>
          </w:p>
          <w:p>
            <w:pPr>
              <w:rPr>
                <w:rFonts w:asciiTheme="minorEastAsia" w:hAnsiTheme="minorEastAsia" w:eastAsiaTheme="minorEastAsia"/>
              </w:rPr>
            </w:pPr>
            <w:r>
              <w:rPr>
                <w:rFonts w:hint="eastAsia" w:asciiTheme="minorEastAsia" w:hAnsiTheme="minorEastAsia" w:eastAsiaTheme="minorEastAsia"/>
              </w:rPr>
              <w:t>截至</w:t>
            </w:r>
            <w:r>
              <w:rPr>
                <w:rFonts w:asciiTheme="minorEastAsia" w:hAnsiTheme="minorEastAsia" w:eastAsiaTheme="minorEastAsia"/>
              </w:rPr>
              <w:t>202</w:t>
            </w:r>
            <w:r>
              <w:rPr>
                <w:rFonts w:hint="eastAsia" w:cs="Calibri" w:asciiTheme="minorEastAsia" w:hAnsiTheme="minorEastAsia" w:eastAsiaTheme="minorEastAsia"/>
              </w:rPr>
              <w:t>3</w:t>
            </w:r>
            <w:r>
              <w:rPr>
                <w:rFonts w:asciiTheme="minorEastAsia" w:hAnsiTheme="minorEastAsia" w:eastAsiaTheme="minorEastAsia"/>
              </w:rPr>
              <w:t>年</w:t>
            </w:r>
            <w:r>
              <w:rPr>
                <w:rFonts w:hint="eastAsia" w:cs="Calibri" w:asciiTheme="minorEastAsia" w:hAnsiTheme="minorEastAsia" w:eastAsiaTheme="minorEastAsia"/>
              </w:rPr>
              <w:t>12</w:t>
            </w:r>
            <w:r>
              <w:rPr>
                <w:rFonts w:asciiTheme="minorEastAsia" w:hAnsiTheme="minorEastAsia" w:eastAsiaTheme="minorEastAsia"/>
              </w:rPr>
              <w:t>月</w:t>
            </w:r>
            <w:r>
              <w:rPr>
                <w:rFonts w:hint="eastAsia" w:cs="Calibri" w:asciiTheme="minorEastAsia" w:hAnsiTheme="minorEastAsia" w:eastAsiaTheme="minorEastAsia"/>
              </w:rPr>
              <w:t>31</w:t>
            </w:r>
            <w:r>
              <w:rPr>
                <w:rFonts w:asciiTheme="minorEastAsia" w:hAnsiTheme="minorEastAsia" w:eastAsiaTheme="minorEastAsia"/>
              </w:rPr>
              <w:t>日，</w:t>
            </w:r>
            <w:r>
              <w:rPr>
                <w:rFonts w:hint="eastAsia" w:asciiTheme="minorEastAsia" w:hAnsiTheme="minorEastAsia" w:eastAsiaTheme="minorEastAsia"/>
              </w:rPr>
              <w:t>兖煤澳洲及其子公司因经营必需共有履约押金和保函</w:t>
            </w:r>
            <w:r>
              <w:rPr>
                <w:rFonts w:hint="eastAsia" w:cs="Calibri" w:asciiTheme="minorEastAsia" w:hAnsiTheme="minorEastAsia" w:eastAsiaTheme="minorEastAsia"/>
              </w:rPr>
              <w:t>9.14</w:t>
            </w:r>
            <w:r>
              <w:rPr>
                <w:rFonts w:hint="eastAsia" w:asciiTheme="minorEastAsia" w:hAnsiTheme="minorEastAsia" w:eastAsiaTheme="minorEastAsia"/>
              </w:rPr>
              <w:t>亿澳元。</w:t>
            </w:r>
          </w:p>
          <w:p>
            <w:pPr>
              <w:rPr>
                <w:rFonts w:asciiTheme="minorEastAsia" w:hAnsiTheme="minorEastAsia" w:eastAsiaTheme="minorEastAsia"/>
              </w:rPr>
            </w:pPr>
            <w:r>
              <w:rPr>
                <w:rFonts w:hint="eastAsia" w:asciiTheme="minorEastAsia" w:hAnsiTheme="minorEastAsia" w:eastAsiaTheme="minorEastAsia"/>
              </w:rPr>
              <w:t>经</w:t>
            </w:r>
            <w:r>
              <w:rPr>
                <w:rFonts w:hint="eastAsia" w:cs="Calibri" w:asciiTheme="minorEastAsia" w:hAnsiTheme="minorEastAsia" w:eastAsiaTheme="minorEastAsia"/>
              </w:rPr>
              <w:t>2021</w:t>
            </w:r>
            <w:r>
              <w:rPr>
                <w:rFonts w:hint="eastAsia" w:asciiTheme="minorEastAsia" w:hAnsiTheme="minorEastAsia" w:eastAsiaTheme="minorEastAsia"/>
              </w:rPr>
              <w:t>年度第一次临时股东大会审议批准，内蒙古矿业为内蒙古锦联铝材有限公司提供2.7亿元担保，未来能源为陕西靖神铁路有限责任公司提供</w:t>
            </w:r>
            <w:r>
              <w:rPr>
                <w:rFonts w:hint="eastAsia" w:cs="Calibri" w:asciiTheme="minorEastAsia" w:hAnsiTheme="minorEastAsia" w:eastAsiaTheme="minorEastAsia"/>
              </w:rPr>
              <w:t>4</w:t>
            </w:r>
            <w:r>
              <w:rPr>
                <w:rFonts w:hint="eastAsia" w:asciiTheme="minorEastAsia" w:hAnsiTheme="minorEastAsia" w:eastAsiaTheme="minorEastAsia"/>
              </w:rPr>
              <w:t>亿元担保，截至2023年12月31日，上述担保余额分别为0.9亿元和3.14亿元。</w:t>
            </w:r>
          </w:p>
          <w:p>
            <w:pPr>
              <w:rPr>
                <w:rFonts w:asciiTheme="minorEastAsia" w:hAnsiTheme="minorEastAsia" w:eastAsiaTheme="minorEastAsia"/>
                <w:b/>
              </w:rPr>
            </w:pPr>
            <w:r>
              <w:rPr>
                <w:rFonts w:hint="eastAsia" w:cs="Calibri" w:asciiTheme="minorEastAsia" w:hAnsiTheme="minorEastAsia" w:eastAsiaTheme="minorEastAsia"/>
                <w:b/>
              </w:rPr>
              <w:t>2.</w:t>
            </w:r>
            <w:r>
              <w:rPr>
                <w:rFonts w:hint="eastAsia" w:asciiTheme="minorEastAsia" w:hAnsiTheme="minorEastAsia" w:eastAsiaTheme="minorEastAsia"/>
                <w:b/>
              </w:rPr>
              <w:t>报告期内发生的担保情况</w:t>
            </w:r>
          </w:p>
          <w:p>
            <w:pPr>
              <w:rPr>
                <w:rFonts w:asciiTheme="minorEastAsia" w:hAnsiTheme="minorEastAsia" w:eastAsiaTheme="minorEastAsia"/>
              </w:rPr>
            </w:pPr>
            <w:r>
              <w:rPr>
                <w:rFonts w:hint="eastAsia" w:asciiTheme="minorEastAsia" w:hAnsiTheme="minorEastAsia" w:eastAsiaTheme="minorEastAsia"/>
              </w:rPr>
              <w:t>经</w:t>
            </w:r>
            <w:r>
              <w:rPr>
                <w:rFonts w:hint="eastAsia" w:cs="Calibri" w:asciiTheme="minorEastAsia" w:hAnsiTheme="minorEastAsia" w:eastAsiaTheme="minorEastAsia"/>
              </w:rPr>
              <w:t>2</w:t>
            </w:r>
            <w:r>
              <w:rPr>
                <w:rFonts w:asciiTheme="minorEastAsia" w:hAnsiTheme="minorEastAsia" w:eastAsiaTheme="minorEastAsia"/>
              </w:rPr>
              <w:t>02</w:t>
            </w:r>
            <w:r>
              <w:rPr>
                <w:rFonts w:hint="eastAsia" w:cs="Calibri" w:asciiTheme="minorEastAsia" w:hAnsiTheme="minorEastAsia" w:eastAsiaTheme="minorEastAsia"/>
              </w:rPr>
              <w:t>1</w:t>
            </w:r>
            <w:r>
              <w:rPr>
                <w:rFonts w:hint="eastAsia" w:asciiTheme="minorEastAsia" w:hAnsiTheme="minorEastAsia" w:eastAsiaTheme="minorEastAsia"/>
              </w:rPr>
              <w:t>年度股东周年大会审议批准，报告期内，公司为兖矿瑞丰提供</w:t>
            </w:r>
            <w:r>
              <w:rPr>
                <w:rFonts w:hint="eastAsia" w:cs="Calibri" w:asciiTheme="minorEastAsia" w:hAnsiTheme="minorEastAsia" w:eastAsiaTheme="minorEastAsia"/>
              </w:rPr>
              <w:t>17.7</w:t>
            </w:r>
            <w:r>
              <w:rPr>
                <w:rFonts w:hint="eastAsia" w:asciiTheme="minorEastAsia" w:hAnsiTheme="minorEastAsia" w:eastAsiaTheme="minorEastAsia"/>
              </w:rPr>
              <w:t>亿元担保；为青岛中兖提供</w:t>
            </w:r>
            <w:r>
              <w:rPr>
                <w:rFonts w:hint="eastAsia" w:cs="Calibri" w:asciiTheme="minorEastAsia" w:hAnsiTheme="minorEastAsia" w:eastAsiaTheme="minorEastAsia"/>
              </w:rPr>
              <w:t>7.5</w:t>
            </w:r>
            <w:r>
              <w:rPr>
                <w:rFonts w:hint="eastAsia" w:asciiTheme="minorEastAsia" w:hAnsiTheme="minorEastAsia" w:eastAsiaTheme="minorEastAsia"/>
              </w:rPr>
              <w:t>亿元担保；为烟台金正环保科技有限公司提供</w:t>
            </w:r>
            <w:r>
              <w:rPr>
                <w:rFonts w:hint="eastAsia" w:cs="Calibri" w:asciiTheme="minorEastAsia" w:hAnsiTheme="minorEastAsia" w:eastAsiaTheme="minorEastAsia"/>
              </w:rPr>
              <w:t>1.37</w:t>
            </w:r>
            <w:r>
              <w:rPr>
                <w:rFonts w:hint="eastAsia" w:asciiTheme="minorEastAsia" w:hAnsiTheme="minorEastAsia" w:eastAsiaTheme="minorEastAsia"/>
              </w:rPr>
              <w:t>亿元担保。</w:t>
            </w:r>
          </w:p>
          <w:p>
            <w:pPr>
              <w:rPr>
                <w:rFonts w:asciiTheme="minorEastAsia" w:hAnsiTheme="minorEastAsia" w:eastAsiaTheme="minorEastAsia"/>
              </w:rPr>
            </w:pPr>
            <w:r>
              <w:rPr>
                <w:rFonts w:hint="eastAsia" w:asciiTheme="minorEastAsia" w:hAnsiTheme="minorEastAsia" w:eastAsiaTheme="minorEastAsia"/>
              </w:rPr>
              <w:t>经</w:t>
            </w:r>
            <w:r>
              <w:rPr>
                <w:rFonts w:hint="eastAsia" w:cs="Calibri" w:asciiTheme="minorEastAsia" w:hAnsiTheme="minorEastAsia" w:eastAsiaTheme="minorEastAsia"/>
              </w:rPr>
              <w:t>2022</w:t>
            </w:r>
            <w:r>
              <w:rPr>
                <w:rFonts w:hint="eastAsia" w:asciiTheme="minorEastAsia" w:hAnsiTheme="minorEastAsia" w:eastAsiaTheme="minorEastAsia"/>
              </w:rPr>
              <w:t>年度股东周年大会审议批准，报告期内，公司为兖矿瑞丰提供</w:t>
            </w:r>
            <w:r>
              <w:rPr>
                <w:rFonts w:hint="eastAsia" w:cs="Calibri" w:asciiTheme="minorEastAsia" w:hAnsiTheme="minorEastAsia" w:eastAsiaTheme="minorEastAsia"/>
              </w:rPr>
              <w:t>4</w:t>
            </w:r>
            <w:r>
              <w:rPr>
                <w:rFonts w:hint="eastAsia" w:asciiTheme="minorEastAsia" w:hAnsiTheme="minorEastAsia" w:eastAsiaTheme="minorEastAsia"/>
              </w:rPr>
              <w:t>亿元担保；为兖矿能源集团国际贸易有限公司提供</w:t>
            </w:r>
            <w:r>
              <w:rPr>
                <w:rFonts w:hint="eastAsia" w:cs="Calibri" w:asciiTheme="minorEastAsia" w:hAnsiTheme="minorEastAsia" w:eastAsiaTheme="minorEastAsia"/>
              </w:rPr>
              <w:t>1.5</w:t>
            </w:r>
            <w:r>
              <w:rPr>
                <w:rFonts w:hint="eastAsia" w:asciiTheme="minorEastAsia" w:hAnsiTheme="minorEastAsia" w:eastAsiaTheme="minorEastAsia"/>
              </w:rPr>
              <w:t>亿元担保；为万福能源提供</w:t>
            </w:r>
            <w:r>
              <w:rPr>
                <w:rFonts w:hint="eastAsia" w:cs="Calibri" w:asciiTheme="minorEastAsia" w:hAnsiTheme="minorEastAsia" w:eastAsiaTheme="minorEastAsia"/>
              </w:rPr>
              <w:t>10</w:t>
            </w:r>
            <w:r>
              <w:rPr>
                <w:rFonts w:hint="eastAsia" w:asciiTheme="minorEastAsia" w:hAnsiTheme="minorEastAsia" w:eastAsiaTheme="minorEastAsia"/>
              </w:rPr>
              <w:t>亿元担保；新疆能化为伊犁新矿煤业有限责任公司提供</w:t>
            </w:r>
            <w:r>
              <w:rPr>
                <w:rFonts w:hint="eastAsia" w:cs="Calibri" w:asciiTheme="minorEastAsia" w:hAnsiTheme="minorEastAsia" w:eastAsiaTheme="minorEastAsia"/>
              </w:rPr>
              <w:t>1.65</w:t>
            </w:r>
            <w:r>
              <w:rPr>
                <w:rFonts w:hint="eastAsia" w:asciiTheme="minorEastAsia" w:hAnsiTheme="minorEastAsia" w:eastAsiaTheme="minorEastAsia"/>
              </w:rPr>
              <w:t>亿元担保。</w:t>
            </w:r>
          </w:p>
          <w:p>
            <w:pPr>
              <w:rPr>
                <w:rFonts w:asciiTheme="minorEastAsia" w:hAnsiTheme="minorEastAsia" w:eastAsiaTheme="minorEastAsia"/>
              </w:rPr>
            </w:pPr>
            <w:r>
              <w:rPr>
                <w:rFonts w:hint="eastAsia" w:asciiTheme="minorEastAsia" w:hAnsiTheme="minorEastAsia" w:eastAsiaTheme="minorEastAsia"/>
              </w:rPr>
              <w:t>经2022年度股东周年大会审议批准，公司收购鲁西矿业51%股权。报告期内，鲁西矿业为控股公司山东新巨龙能源有限责任公司提供1.19亿元担保；为控股公司临沂矿业集团菏泽煤电有限公司提供2.5亿元担保，为全资子公司山东李楼煤业有限公司提供1.62亿元担保，均为收购前发生的担保。</w:t>
            </w:r>
          </w:p>
          <w:p>
            <w:pPr>
              <w:rPr>
                <w:rFonts w:asciiTheme="minorEastAsia" w:hAnsiTheme="minorEastAsia" w:eastAsiaTheme="minorEastAsia"/>
              </w:rPr>
            </w:pPr>
            <w:r>
              <w:rPr>
                <w:rFonts w:hint="eastAsia" w:asciiTheme="minorEastAsia" w:hAnsiTheme="minorEastAsia" w:eastAsiaTheme="minorEastAsia"/>
              </w:rPr>
              <w:t>经</w:t>
            </w:r>
            <w:r>
              <w:rPr>
                <w:rFonts w:hint="eastAsia" w:cs="Calibri" w:asciiTheme="minorEastAsia" w:hAnsiTheme="minorEastAsia" w:eastAsiaTheme="minorEastAsia"/>
              </w:rPr>
              <w:t>20</w:t>
            </w:r>
            <w:r>
              <w:rPr>
                <w:rFonts w:asciiTheme="minorEastAsia" w:hAnsiTheme="minorEastAsia" w:eastAsiaTheme="minorEastAsia"/>
              </w:rPr>
              <w:t>2</w:t>
            </w:r>
            <w:r>
              <w:rPr>
                <w:rFonts w:hint="eastAsia" w:cs="Calibri" w:asciiTheme="minorEastAsia" w:hAnsiTheme="minorEastAsia" w:eastAsiaTheme="minorEastAsia"/>
              </w:rPr>
              <w:t>2</w:t>
            </w:r>
            <w:r>
              <w:rPr>
                <w:rFonts w:hint="eastAsia" w:asciiTheme="minorEastAsia" w:hAnsiTheme="minorEastAsia" w:eastAsiaTheme="minorEastAsia"/>
              </w:rPr>
              <w:t>年度股东周年大会审议批准，兖煤澳洲及其子公司每年向兖矿能源附属公司提供不超过</w:t>
            </w:r>
            <w:r>
              <w:rPr>
                <w:rFonts w:hint="eastAsia" w:cs="Calibri" w:asciiTheme="minorEastAsia" w:hAnsiTheme="minorEastAsia" w:eastAsiaTheme="minorEastAsia"/>
              </w:rPr>
              <w:t>15</w:t>
            </w:r>
            <w:r>
              <w:rPr>
                <w:rFonts w:hint="eastAsia" w:asciiTheme="minorEastAsia" w:hAnsiTheme="minorEastAsia" w:eastAsiaTheme="minorEastAsia"/>
              </w:rPr>
              <w:t>亿澳元日常经营担保额度。报告期内，兖煤澳洲及其子公司因经营必需共发生履约押金和保函</w:t>
            </w:r>
            <w:r>
              <w:rPr>
                <w:rFonts w:hint="eastAsia" w:cs="Calibri" w:asciiTheme="minorEastAsia" w:hAnsiTheme="minorEastAsia" w:eastAsiaTheme="minorEastAsia"/>
              </w:rPr>
              <w:t>3.35</w:t>
            </w:r>
            <w:r>
              <w:rPr>
                <w:rFonts w:hint="eastAsia" w:asciiTheme="minorEastAsia" w:hAnsiTheme="minorEastAsia" w:eastAsiaTheme="minorEastAsia"/>
              </w:rPr>
              <w:t>亿澳元。</w:t>
            </w:r>
          </w:p>
        </w:tc>
      </w:tr>
      <w:bookmarkEnd w:id="146"/>
    </w:tbl>
    <w:p>
      <w:pPr>
        <w:ind w:firstLine="420" w:firstLineChars="200"/>
        <w:rPr>
          <w:rFonts w:asciiTheme="minorEastAsia" w:hAnsiTheme="minorEastAsia" w:eastAsiaTheme="minorEastAsia"/>
        </w:rPr>
        <w:sectPr>
          <w:pgSz w:w="16838" w:h="11906" w:orient="landscape"/>
          <w:pgMar w:top="1797" w:right="1525" w:bottom="1276" w:left="1440" w:header="855" w:footer="992" w:gutter="0"/>
          <w:cols w:space="425" w:num="1"/>
          <w:docGrid w:linePitch="312" w:charSpace="0"/>
        </w:sectPr>
      </w:pPr>
    </w:p>
    <w:p>
      <w:pPr>
        <w:ind w:firstLine="420" w:firstLineChars="200"/>
        <w:rPr>
          <w:rFonts w:asciiTheme="minorEastAsia" w:hAnsiTheme="minorEastAsia" w:eastAsiaTheme="minorEastAsia"/>
        </w:rPr>
      </w:pPr>
      <w:r>
        <w:rPr>
          <w:rFonts w:hint="eastAsia" w:asciiTheme="minorEastAsia" w:hAnsiTheme="minorEastAsia" w:eastAsiaTheme="minorEastAsia"/>
        </w:rPr>
        <w:t>注：上表乃按中国会计准则编制，并按照1美元=7.0827元人民币、1澳元=4.8484元人民币的汇率进行计算。</w:t>
      </w:r>
    </w:p>
    <w:p>
      <w:pPr>
        <w:ind w:firstLine="420" w:firstLineChars="200"/>
        <w:rPr>
          <w:rFonts w:asciiTheme="minorEastAsia" w:hAnsiTheme="minorEastAsia" w:eastAsiaTheme="minorEastAsia"/>
        </w:rPr>
      </w:pPr>
      <w:r>
        <w:rPr>
          <w:rFonts w:hint="eastAsia" w:asciiTheme="minorEastAsia" w:hAnsiTheme="minorEastAsia" w:eastAsiaTheme="minorEastAsia"/>
        </w:rPr>
        <w:t>除上述披露外，公司不存在报告期内履行的及尚未履行完毕的担保合同。</w:t>
      </w:r>
    </w:p>
    <w:p>
      <w:pPr>
        <w:rPr>
          <w:rFonts w:asciiTheme="minorEastAsia" w:hAnsiTheme="minorEastAsia" w:eastAsiaTheme="minorEastAsia"/>
        </w:rPr>
      </w:pPr>
    </w:p>
    <w:p>
      <w:pPr>
        <w:pStyle w:val="4"/>
        <w:numPr>
          <w:ilvl w:val="0"/>
          <w:numId w:val="40"/>
        </w:numPr>
        <w:rPr>
          <w:rFonts w:asciiTheme="minorEastAsia" w:hAnsiTheme="minorEastAsia" w:eastAsiaTheme="minorEastAsia"/>
          <w:szCs w:val="21"/>
        </w:rPr>
      </w:pPr>
      <w:r>
        <w:rPr>
          <w:rFonts w:hint="eastAsia" w:asciiTheme="minorEastAsia" w:hAnsiTheme="minorEastAsia" w:eastAsiaTheme="minorEastAsia"/>
          <w:szCs w:val="21"/>
        </w:rPr>
        <w:t>委托他人进行现金资产管理的情况</w:t>
      </w:r>
    </w:p>
    <w:p>
      <w:pPr>
        <w:pStyle w:val="5"/>
        <w:numPr>
          <w:ilvl w:val="0"/>
          <w:numId w:val="42"/>
        </w:numPr>
      </w:pPr>
      <w:r>
        <w:rPr>
          <w:rFonts w:hint="eastAsia"/>
        </w:rPr>
        <w:t>委托理财情况</w:t>
      </w:r>
    </w:p>
    <w:p>
      <w:pPr>
        <w:pStyle w:val="6"/>
        <w:numPr>
          <w:ilvl w:val="0"/>
          <w:numId w:val="43"/>
        </w:numPr>
        <w:ind w:left="465"/>
        <w:rPr>
          <w:rFonts w:asciiTheme="minorEastAsia" w:hAnsiTheme="minorEastAsia" w:eastAsiaTheme="minorEastAsia"/>
        </w:rPr>
      </w:pPr>
      <w:r>
        <w:rPr>
          <w:rFonts w:asciiTheme="minorEastAsia" w:hAnsiTheme="minorEastAsia" w:eastAsiaTheme="minorEastAsia"/>
        </w:rPr>
        <w:t>委托理财总体情况</w:t>
      </w:r>
    </w:p>
    <w:sdt>
      <w:sdtPr>
        <w:rPr>
          <w:rFonts w:hint="eastAsia" w:asciiTheme="minorEastAsia" w:hAnsiTheme="minorEastAsia" w:eastAsiaTheme="minorEastAsia"/>
        </w:rPr>
        <w:alias w:val="是否适用：委托理财总体情况[双击切换]"/>
        <w:tag w:val="_GBC_939edce711f74cc3bede852019388a3e"/>
        <w:id w:val="-1870532231"/>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b/>
        </w:rPr>
      </w:pPr>
      <w:r>
        <w:rPr>
          <w:rFonts w:hint="eastAsia" w:asciiTheme="minorEastAsia" w:hAnsiTheme="minorEastAsia" w:eastAsiaTheme="minorEastAsia"/>
          <w:b/>
        </w:rPr>
        <w:t>其他情况</w:t>
      </w:r>
    </w:p>
    <w:sdt>
      <w:sdtPr>
        <w:rPr>
          <w:rFonts w:hint="eastAsia" w:asciiTheme="minorEastAsia" w:hAnsiTheme="minorEastAsia" w:eastAsiaTheme="minorEastAsia"/>
        </w:rPr>
        <w:alias w:val="是否适用：委托理财总体其他情况[双击切换]"/>
        <w:tag w:val="_GBC_4fb72032e5bd4642bf5eb2d83d5ca874"/>
        <w:id w:val="180564309"/>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6"/>
        <w:numPr>
          <w:ilvl w:val="0"/>
          <w:numId w:val="43"/>
        </w:numPr>
        <w:ind w:left="465"/>
        <w:rPr>
          <w:rFonts w:asciiTheme="minorEastAsia" w:hAnsiTheme="minorEastAsia" w:eastAsiaTheme="minorEastAsia"/>
        </w:rPr>
      </w:pPr>
      <w:r>
        <w:rPr>
          <w:rFonts w:asciiTheme="minorEastAsia" w:hAnsiTheme="minorEastAsia" w:eastAsiaTheme="minorEastAsia"/>
        </w:rPr>
        <w:t>单项委托理财情况</w:t>
      </w:r>
    </w:p>
    <w:sdt>
      <w:sdtPr>
        <w:rPr>
          <w:rFonts w:hint="eastAsia" w:asciiTheme="minorEastAsia" w:hAnsiTheme="minorEastAsia" w:eastAsiaTheme="minorEastAsia"/>
        </w:rPr>
        <w:alias w:val="是否适用：单项委托理财情况[双击切换]"/>
        <w:tag w:val="_GBC_049960b74e79480d8781c2d7d6a997dc"/>
        <w:id w:val="-937836548"/>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b/>
        </w:rPr>
      </w:pPr>
      <w:r>
        <w:rPr>
          <w:rFonts w:hint="eastAsia" w:asciiTheme="minorEastAsia" w:hAnsiTheme="minorEastAsia" w:eastAsiaTheme="minorEastAsia"/>
          <w:b/>
        </w:rPr>
        <w:t>其他情况</w:t>
      </w:r>
    </w:p>
    <w:sdt>
      <w:sdtPr>
        <w:rPr>
          <w:rFonts w:hint="eastAsia" w:asciiTheme="minorEastAsia" w:hAnsiTheme="minorEastAsia" w:eastAsiaTheme="minorEastAsia"/>
        </w:rPr>
        <w:alias w:val="是否适用：单项委托理财其他情况[双击切换]"/>
        <w:tag w:val="_GBC_627c77e5ab674442a3b768741f653602"/>
        <w:id w:val="-1909300878"/>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6"/>
        <w:numPr>
          <w:ilvl w:val="0"/>
          <w:numId w:val="43"/>
        </w:numPr>
        <w:ind w:left="465"/>
        <w:rPr>
          <w:rFonts w:asciiTheme="minorEastAsia" w:hAnsiTheme="minorEastAsia" w:eastAsiaTheme="minorEastAsia"/>
        </w:rPr>
      </w:pPr>
      <w:r>
        <w:rPr>
          <w:rFonts w:asciiTheme="minorEastAsia" w:hAnsiTheme="minorEastAsia" w:eastAsiaTheme="minorEastAsia"/>
        </w:rPr>
        <w:t>委托理财减值准备</w:t>
      </w:r>
    </w:p>
    <w:sdt>
      <w:sdtPr>
        <w:rPr>
          <w:rFonts w:hint="eastAsia" w:asciiTheme="minorEastAsia" w:hAnsiTheme="minorEastAsia" w:eastAsiaTheme="minorEastAsia"/>
        </w:rPr>
        <w:alias w:val="是否适用：委托理财减值准备[双击切换]"/>
        <w:tag w:val="_GBC_8db4f6600a6746739610ffaaa34abeac"/>
        <w:id w:val="-1741930936"/>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5"/>
        <w:numPr>
          <w:ilvl w:val="0"/>
          <w:numId w:val="42"/>
        </w:numPr>
      </w:pPr>
      <w:r>
        <w:t>委托贷款情况</w:t>
      </w:r>
    </w:p>
    <w:p>
      <w:pPr>
        <w:pStyle w:val="6"/>
        <w:numPr>
          <w:ilvl w:val="0"/>
          <w:numId w:val="44"/>
        </w:numPr>
        <w:ind w:left="465"/>
        <w:rPr>
          <w:rFonts w:asciiTheme="minorEastAsia" w:hAnsiTheme="minorEastAsia" w:eastAsiaTheme="minorEastAsia"/>
        </w:rPr>
      </w:pPr>
      <w:r>
        <w:rPr>
          <w:rFonts w:asciiTheme="minorEastAsia" w:hAnsiTheme="minorEastAsia" w:eastAsiaTheme="minorEastAsia"/>
        </w:rPr>
        <w:t>委托贷款总体情况</w:t>
      </w:r>
    </w:p>
    <w:sdt>
      <w:sdtPr>
        <w:rPr>
          <w:rFonts w:hint="eastAsia" w:asciiTheme="minorEastAsia" w:hAnsiTheme="minorEastAsia" w:eastAsiaTheme="minorEastAsia"/>
        </w:rPr>
        <w:alias w:val="是否适用：委托贷款总体情况[双击切换]"/>
        <w:tag w:val="_GBC_6f663504a9e74d5c978e23554b4b84e4"/>
        <w:id w:val="-1297207528"/>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b/>
        </w:rPr>
      </w:pPr>
      <w:r>
        <w:rPr>
          <w:rFonts w:hint="eastAsia" w:asciiTheme="minorEastAsia" w:hAnsiTheme="minorEastAsia" w:eastAsiaTheme="minorEastAsia"/>
          <w:b/>
        </w:rPr>
        <w:t>其他情况</w:t>
      </w:r>
    </w:p>
    <w:sdt>
      <w:sdtPr>
        <w:rPr>
          <w:rFonts w:hint="eastAsia" w:asciiTheme="minorEastAsia" w:hAnsiTheme="minorEastAsia" w:eastAsiaTheme="minorEastAsia"/>
        </w:rPr>
        <w:alias w:val="是否适用：委托贷款总体其他情况[双击切换]"/>
        <w:tag w:val="_GBC_a071e3ce40374c6bb1b2f2dc2158413e"/>
        <w:id w:val="-334236052"/>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6"/>
        <w:numPr>
          <w:ilvl w:val="0"/>
          <w:numId w:val="44"/>
        </w:numPr>
        <w:ind w:left="465"/>
        <w:rPr>
          <w:rFonts w:asciiTheme="minorEastAsia" w:hAnsiTheme="minorEastAsia" w:eastAsiaTheme="minorEastAsia"/>
        </w:rPr>
      </w:pPr>
      <w:r>
        <w:rPr>
          <w:rFonts w:asciiTheme="minorEastAsia" w:hAnsiTheme="minorEastAsia" w:eastAsiaTheme="minorEastAsia"/>
        </w:rPr>
        <w:t>单项委托贷款情况</w:t>
      </w:r>
    </w:p>
    <w:sdt>
      <w:sdtPr>
        <w:rPr>
          <w:rFonts w:hint="eastAsia" w:asciiTheme="minorEastAsia" w:hAnsiTheme="minorEastAsia" w:eastAsiaTheme="minorEastAsia"/>
        </w:rPr>
        <w:alias w:val="是否适用：单项委托贷款情况[双击切换]"/>
        <w:tag w:val="_GBC_30b7c4837f704dff80c05190f23d6f3e"/>
        <w:id w:val="130682492"/>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b/>
        </w:rPr>
      </w:pPr>
      <w:r>
        <w:rPr>
          <w:rFonts w:hint="eastAsia" w:asciiTheme="minorEastAsia" w:hAnsiTheme="minorEastAsia" w:eastAsiaTheme="minorEastAsia"/>
          <w:b/>
        </w:rPr>
        <w:t>其他情况</w:t>
      </w:r>
    </w:p>
    <w:sdt>
      <w:sdtPr>
        <w:rPr>
          <w:rFonts w:hint="eastAsia" w:asciiTheme="minorEastAsia" w:hAnsiTheme="minorEastAsia" w:eastAsiaTheme="minorEastAsia"/>
        </w:rPr>
        <w:alias w:val="是否适用：单项委托贷款其他情况[双击切换]"/>
        <w:tag w:val="_GBC_7fbd63dcaf8a4899bcd830951796a261"/>
        <w:id w:val="141703192"/>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6"/>
        <w:numPr>
          <w:ilvl w:val="0"/>
          <w:numId w:val="44"/>
        </w:numPr>
        <w:ind w:left="465"/>
        <w:rPr>
          <w:rFonts w:asciiTheme="minorEastAsia" w:hAnsiTheme="minorEastAsia" w:eastAsiaTheme="minorEastAsia"/>
        </w:rPr>
      </w:pPr>
      <w:r>
        <w:rPr>
          <w:rFonts w:asciiTheme="minorEastAsia" w:hAnsiTheme="minorEastAsia" w:eastAsiaTheme="minorEastAsia"/>
        </w:rPr>
        <w:t>委托贷款减值</w:t>
      </w:r>
      <w:r>
        <w:rPr>
          <w:rFonts w:hint="eastAsia" w:asciiTheme="minorEastAsia" w:hAnsiTheme="minorEastAsia" w:eastAsiaTheme="minorEastAsia"/>
        </w:rPr>
        <w:t>准备</w:t>
      </w:r>
    </w:p>
    <w:sdt>
      <w:sdtPr>
        <w:rPr>
          <w:rFonts w:hint="eastAsia" w:asciiTheme="minorEastAsia" w:hAnsiTheme="minorEastAsia" w:eastAsiaTheme="minorEastAsia"/>
        </w:rPr>
        <w:alias w:val="是否适用：委托贷款减值准备[双击切换]"/>
        <w:tag w:val="_GBC_72dc10eff44f4851bd80447a1199a033"/>
        <w:id w:val="816615352"/>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5"/>
        <w:numPr>
          <w:ilvl w:val="0"/>
          <w:numId w:val="42"/>
        </w:numPr>
      </w:pPr>
      <w:r>
        <w:t>其他</w:t>
      </w:r>
      <w:r>
        <w:rPr>
          <w:rFonts w:hint="eastAsia"/>
        </w:rPr>
        <w:t>情况</w:t>
      </w:r>
    </w:p>
    <w:sdt>
      <w:sdtPr>
        <w:rPr>
          <w:rFonts w:hint="eastAsia" w:asciiTheme="minorEastAsia" w:hAnsiTheme="minorEastAsia" w:eastAsiaTheme="minorEastAsia"/>
        </w:rPr>
        <w:alias w:val="是否适用：委托他人进行现金资产管理的其他情况[双击切换]"/>
        <w:tag w:val="_GBC_c408f1ecbaff4ed08e4dcfbbac8e0ccd"/>
        <w:id w:val="-540202107"/>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pStyle w:val="4"/>
        <w:numPr>
          <w:ilvl w:val="0"/>
          <w:numId w:val="40"/>
        </w:numPr>
        <w:rPr>
          <w:rFonts w:asciiTheme="minorEastAsia" w:hAnsiTheme="minorEastAsia" w:eastAsiaTheme="minorEastAsia"/>
          <w:szCs w:val="21"/>
        </w:rPr>
      </w:pPr>
      <w:r>
        <w:rPr>
          <w:rFonts w:asciiTheme="minorEastAsia" w:hAnsiTheme="minorEastAsia" w:eastAsiaTheme="minorEastAsia"/>
          <w:szCs w:val="21"/>
        </w:rPr>
        <w:t>其他重大合同</w:t>
      </w:r>
    </w:p>
    <w:sdt>
      <w:sdtPr>
        <w:rPr>
          <w:rFonts w:hint="eastAsia" w:asciiTheme="minorEastAsia" w:hAnsiTheme="minorEastAsia" w:eastAsiaTheme="minorEastAsia"/>
        </w:rPr>
        <w:alias w:val="是否适用：其他重大合同[双击切换]"/>
        <w:tag w:val="_GBC_541dd80939ae4bafb641675f942c4c14"/>
        <w:id w:val="-721833534"/>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b/>
          <w:bCs/>
        </w:rPr>
      </w:pPr>
      <w:r>
        <w:rPr>
          <w:rFonts w:hint="eastAsia" w:asciiTheme="minorEastAsia" w:hAnsiTheme="minorEastAsia" w:eastAsiaTheme="minorEastAsia"/>
          <w:b/>
          <w:bCs/>
        </w:rPr>
        <w:t>(五)其他重大事项</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2" w:firstLineChars="200"/>
        <w:rPr>
          <w:rFonts w:asciiTheme="minorEastAsia" w:hAnsiTheme="minorEastAsia" w:eastAsiaTheme="minorEastAsia"/>
          <w:b/>
          <w:bCs/>
          <w:highlight w:val="yellow"/>
        </w:rPr>
      </w:pPr>
      <w:r>
        <w:rPr>
          <w:rFonts w:asciiTheme="minorEastAsia" w:hAnsiTheme="minorEastAsia" w:eastAsiaTheme="minorEastAsia"/>
          <w:b/>
          <w:bCs/>
        </w:rPr>
        <w:t>1</w:t>
      </w:r>
      <w:r>
        <w:rPr>
          <w:rFonts w:hint="eastAsia" w:asciiTheme="minorEastAsia" w:hAnsiTheme="minorEastAsia" w:eastAsiaTheme="minorEastAsia"/>
          <w:b/>
          <w:bCs/>
        </w:rPr>
        <w:t>. 竞拍内蒙古自治区霍林河矿区一号井田煤炭资源详查探矿权</w:t>
      </w:r>
    </w:p>
    <w:p>
      <w:pPr>
        <w:ind w:firstLine="420" w:firstLineChars="200"/>
        <w:rPr>
          <w:rFonts w:asciiTheme="minorEastAsia" w:hAnsiTheme="minorEastAsia" w:eastAsiaTheme="minorEastAsia"/>
          <w:highlight w:val="yellow"/>
        </w:rPr>
      </w:pPr>
    </w:p>
    <w:p>
      <w:pPr>
        <w:ind w:firstLine="420" w:firstLineChars="200"/>
        <w:rPr>
          <w:rFonts w:asciiTheme="minorEastAsia" w:hAnsiTheme="minorEastAsia" w:eastAsiaTheme="minorEastAsia"/>
        </w:rPr>
      </w:pPr>
      <w:r>
        <w:rPr>
          <w:rFonts w:hint="eastAsia" w:asciiTheme="minorEastAsia" w:hAnsiTheme="minorEastAsia" w:eastAsiaTheme="minorEastAsia"/>
        </w:rPr>
        <w:t>经2023年10月23日召开的总经理办公会审议批准，公司参与内蒙古自治区霍林河矿区一号井田煤炭资源详查探矿权竞标。2023年12月8日，公司以约37.17亿元竞得上述探矿权，并与内蒙古自治区公共资源交易中心签署了《探矿权出让成交确认书》。2024年1月10日，与内蒙古自治区自然资源厅签署《探矿权出让合同》。</w:t>
      </w:r>
    </w:p>
    <w:p>
      <w:pPr>
        <w:ind w:firstLine="420" w:firstLineChars="200"/>
        <w:rPr>
          <w:rFonts w:asciiTheme="minorEastAsia" w:hAnsiTheme="minorEastAsia" w:eastAsiaTheme="minorEastAsia"/>
        </w:rPr>
      </w:pPr>
    </w:p>
    <w:p>
      <w:pPr>
        <w:ind w:firstLine="420"/>
        <w:rPr>
          <w:rFonts w:asciiTheme="minorEastAsia" w:hAnsiTheme="minorEastAsia" w:eastAsiaTheme="minorEastAsia"/>
        </w:rPr>
      </w:pPr>
      <w:r>
        <w:rPr>
          <w:rFonts w:hint="eastAsia" w:asciiTheme="minorEastAsia" w:hAnsiTheme="minorEastAsia" w:eastAsiaTheme="minorEastAsia"/>
        </w:rPr>
        <w:t>有关详情请见日期为2023年12月8日的公司关于竞拍煤炭资源详查探矿权成交确认的公告。该等资料刊载于上交所网站、香港联交所网站、公司网站及/或中国境内《中国证券报》《上海证券报》《证券时报》《证券日报》。</w:t>
      </w:r>
    </w:p>
    <w:p>
      <w:pPr>
        <w:ind w:firstLine="420"/>
        <w:rPr>
          <w:rFonts w:asciiTheme="minorEastAsia" w:hAnsiTheme="minorEastAsia" w:eastAsiaTheme="minorEastAsia"/>
        </w:rPr>
      </w:pPr>
    </w:p>
    <w:p>
      <w:pPr>
        <w:ind w:firstLine="422" w:firstLineChars="200"/>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.控股股东实施增持公司股份计划</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山东能源计划自2023年11月30日起12个月内，通过上交所及香港联交所交易系统，以集中竞价、大宗交易或场内交易等方式增持公司A股和H股股份，累计增持金额不低于人民币3亿元，不超过人民币6亿元,其中A股股份累计增持金额不低于人民币1亿元，不超过人民币2亿元；H股股份累计增持金额不低于人民币2亿元，不超过人民币4亿元。</w:t>
      </w:r>
    </w:p>
    <w:p>
      <w:pPr>
        <w:ind w:firstLine="420" w:firstLineChars="200"/>
        <w:rPr>
          <w:rFonts w:asciiTheme="minorEastAsia" w:hAnsiTheme="minorEastAsia" w:eastAsiaTheme="minorEastAsia"/>
        </w:rPr>
      </w:pPr>
      <w:r>
        <w:rPr>
          <w:rFonts w:hint="eastAsia" w:asciiTheme="minorEastAsia" w:hAnsiTheme="minorEastAsia" w:eastAsiaTheme="minorEastAsia"/>
        </w:rPr>
        <w:t>山东能源于2024年1月22日通过上交所交易系统以集中竞价方式首次增持公司A股股份500,000股，占公司总股本的比例约为0.0067%，增持金额人民币10,479,104元；于2024年1月3</w:t>
      </w:r>
      <w:r>
        <w:rPr>
          <w:rFonts w:asciiTheme="minorEastAsia" w:hAnsiTheme="minorEastAsia" w:eastAsiaTheme="minorEastAsia"/>
        </w:rPr>
        <w:t>1</w:t>
      </w:r>
      <w:r>
        <w:rPr>
          <w:rFonts w:hint="eastAsia" w:asciiTheme="minorEastAsia" w:hAnsiTheme="minorEastAsia" w:eastAsiaTheme="minorEastAsia"/>
        </w:rPr>
        <w:t>日通过上交所交易系统以集中竞价方式增持公司A股股份</w:t>
      </w:r>
      <w:r>
        <w:rPr>
          <w:rFonts w:asciiTheme="minorEastAsia" w:hAnsiTheme="minorEastAsia" w:eastAsiaTheme="minorEastAsia"/>
        </w:rPr>
        <w:t>200,000</w:t>
      </w:r>
      <w:r>
        <w:rPr>
          <w:rFonts w:hint="eastAsia" w:asciiTheme="minorEastAsia" w:hAnsiTheme="minorEastAsia" w:eastAsiaTheme="minorEastAsia"/>
        </w:rPr>
        <w:t>股，占公司总股本的比例约为</w:t>
      </w:r>
      <w:r>
        <w:rPr>
          <w:rFonts w:asciiTheme="minorEastAsia" w:hAnsiTheme="minorEastAsia" w:eastAsiaTheme="minorEastAsia"/>
        </w:rPr>
        <w:t>0.0027%</w:t>
      </w:r>
      <w:r>
        <w:rPr>
          <w:rFonts w:hint="eastAsia" w:asciiTheme="minorEastAsia" w:hAnsiTheme="minorEastAsia" w:eastAsiaTheme="minorEastAsia"/>
        </w:rPr>
        <w:t>，增持金额人民币</w:t>
      </w:r>
      <w:r>
        <w:rPr>
          <w:rFonts w:asciiTheme="minorEastAsia" w:hAnsiTheme="minorEastAsia" w:eastAsiaTheme="minorEastAsia"/>
        </w:rPr>
        <w:t>4,544,448</w:t>
      </w:r>
      <w:r>
        <w:rPr>
          <w:rFonts w:hint="eastAsia" w:asciiTheme="minorEastAsia" w:hAnsiTheme="minorEastAsia" w:eastAsiaTheme="minorEastAsia"/>
        </w:rPr>
        <w:t>元。</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有关详情请见日期为2023年11月29日的关于控股股东增持公司股份计划的公告，日期为2024年1月22日的关于控股股东增持计划进展暨首次增持公司股份的公告，日期为202</w:t>
      </w:r>
      <w:r>
        <w:rPr>
          <w:rFonts w:asciiTheme="minorEastAsia" w:hAnsiTheme="minorEastAsia" w:eastAsiaTheme="minorEastAsia"/>
        </w:rPr>
        <w:t>4</w:t>
      </w:r>
      <w:r>
        <w:rPr>
          <w:rFonts w:hint="eastAsia" w:asciiTheme="minorEastAsia" w:hAnsiTheme="minorEastAsia" w:eastAsiaTheme="minorEastAsia"/>
        </w:rPr>
        <w:t>年1月3</w:t>
      </w:r>
      <w:r>
        <w:rPr>
          <w:rFonts w:asciiTheme="minorEastAsia" w:hAnsiTheme="minorEastAsia" w:eastAsiaTheme="minorEastAsia"/>
        </w:rPr>
        <w:t>1</w:t>
      </w:r>
      <w:r>
        <w:rPr>
          <w:rFonts w:hint="eastAsia" w:asciiTheme="minorEastAsia" w:hAnsiTheme="minorEastAsia" w:eastAsiaTheme="minorEastAsia"/>
        </w:rPr>
        <w:t>日的关于控股股东增持计划进展的公告，该等资料刊载于上交所网站、香港联交所网站、公司网站及/或中国境内《中国证券报》《上海证券报》《证券时报》《证券日报》。</w:t>
      </w:r>
    </w:p>
    <w:p>
      <w:pPr>
        <w:ind w:firstLine="420" w:firstLineChars="200"/>
        <w:rPr>
          <w:rFonts w:asciiTheme="minorEastAsia" w:hAnsiTheme="minorEastAsia" w:eastAsiaTheme="minorEastAsia"/>
        </w:rPr>
      </w:pPr>
    </w:p>
    <w:p>
      <w:pPr>
        <w:ind w:firstLine="422" w:firstLineChars="200"/>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 确定公司2023—2025年度利润分配政策</w:t>
      </w:r>
    </w:p>
    <w:p>
      <w:pPr>
        <w:rPr>
          <w:rFonts w:asciiTheme="minorEastAsia" w:hAnsiTheme="minorEastAsia" w:eastAsiaTheme="minorEastAsia"/>
        </w:rPr>
      </w:pPr>
      <w:r>
        <w:rPr>
          <w:rFonts w:hint="eastAsia" w:asciiTheme="minorEastAsia" w:hAnsiTheme="minorEastAsia" w:eastAsiaTheme="minorEastAsia"/>
        </w:rPr>
        <w:t xml:space="preserve"> </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 xml:space="preserve">经2023年10月27日召开的2023年度第一次临时股东大会审议批准，公司将2023—2025年度利润分配政策确定为：以中国会计准则和国际财务报告准则财务报表税后利润数较少者为准，公司在各会计年度分配的现金股利总额，应占公司该年度扣除法定储备后净利润的约百分之六十，且每股现金股利不低于人民币0.5元。 </w:t>
      </w:r>
    </w:p>
    <w:p>
      <w:pPr>
        <w:autoSpaceDE w:val="0"/>
        <w:autoSpaceDN w:val="0"/>
        <w:adjustRightInd w:val="0"/>
        <w:ind w:firstLine="420" w:firstLineChars="200"/>
        <w:rPr>
          <w:rFonts w:asciiTheme="minorEastAsia" w:hAnsiTheme="minorEastAsia" w:eastAsiaTheme="minorEastAsia"/>
        </w:rPr>
      </w:pP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有关详情请见日期为2023年6月30日的公司第九届董事会第一次会议决议公告、关于确定2023-2025年度利润分配政策的公告，日期为2023年10月27日的公司2023年度第一次临时股东大会决议公告。该等资料刊载于上交所网站、香港联交所网站、公司网站及/或中国境内《中国证券报》《上海证券报》《证券时报》《证券日报》。</w:t>
      </w:r>
    </w:p>
    <w:p>
      <w:pPr>
        <w:rPr>
          <w:rFonts w:asciiTheme="minorEastAsia" w:hAnsiTheme="minorEastAsia" w:eastAsiaTheme="minorEastAsia"/>
        </w:rPr>
      </w:pPr>
      <w:r>
        <w:rPr>
          <w:rFonts w:hint="eastAsia" w:asciiTheme="minorEastAsia" w:hAnsiTheme="minorEastAsia" w:eastAsiaTheme="minorEastAsia"/>
        </w:rPr>
        <w:t xml:space="preserve"> </w:t>
      </w:r>
    </w:p>
    <w:p>
      <w:pPr>
        <w:ind w:firstLine="422" w:firstLineChars="200"/>
        <w:rPr>
          <w:rFonts w:asciiTheme="minorEastAsia" w:hAnsiTheme="minorEastAsia" w:eastAsiaTheme="minorEastAsia"/>
          <w:b/>
          <w:bCs/>
        </w:rPr>
      </w:pPr>
      <w:r>
        <w:rPr>
          <w:rFonts w:asciiTheme="minorEastAsia" w:hAnsiTheme="minorEastAsia" w:eastAsiaTheme="minorEastAsia"/>
          <w:b/>
          <w:bCs/>
        </w:rPr>
        <w:t>4</w:t>
      </w:r>
      <w:r>
        <w:rPr>
          <w:rFonts w:hint="eastAsia" w:asciiTheme="minorEastAsia" w:hAnsiTheme="minorEastAsia" w:eastAsiaTheme="minorEastAsia"/>
          <w:b/>
          <w:bCs/>
        </w:rPr>
        <w:t>. 调整公司部分机构设置</w:t>
      </w:r>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 </w:t>
      </w:r>
    </w:p>
    <w:p>
      <w:pPr>
        <w:ind w:firstLine="420" w:firstLineChars="200"/>
        <w:rPr>
          <w:rFonts w:asciiTheme="minorEastAsia" w:hAnsiTheme="minorEastAsia" w:eastAsiaTheme="minorEastAsia"/>
        </w:rPr>
      </w:pPr>
      <w:r>
        <w:rPr>
          <w:rFonts w:hint="eastAsia" w:asciiTheme="minorEastAsia" w:hAnsiTheme="minorEastAsia" w:eastAsiaTheme="minorEastAsia"/>
        </w:rPr>
        <w:t>经2023年1</w:t>
      </w:r>
      <w:r>
        <w:rPr>
          <w:rFonts w:asciiTheme="minorEastAsia" w:hAnsiTheme="minorEastAsia" w:eastAsiaTheme="minorEastAsia"/>
        </w:rPr>
        <w:t>0</w:t>
      </w:r>
      <w:r>
        <w:rPr>
          <w:rFonts w:hint="eastAsia" w:asciiTheme="minorEastAsia" w:hAnsiTheme="minorEastAsia" w:eastAsiaTheme="minorEastAsia"/>
        </w:rPr>
        <w:t>月27日召开的第九届董事会第三次会议审议批准，公司成立现代煤化工事业部，并撤销兖矿能源集团股份有限公司山东能源化工分公司；成立资产管理中心。</w:t>
      </w:r>
    </w:p>
    <w:p>
      <w:pPr>
        <w:ind w:firstLine="420" w:firstLineChars="200"/>
        <w:rPr>
          <w:rFonts w:asciiTheme="minorEastAsia" w:hAnsiTheme="minorEastAsia" w:eastAsiaTheme="minorEastAsia"/>
        </w:rPr>
      </w:pPr>
    </w:p>
    <w:p>
      <w:pPr>
        <w:ind w:firstLine="420" w:firstLineChars="200"/>
      </w:pPr>
      <w:r>
        <w:rPr>
          <w:rFonts w:hint="eastAsia" w:asciiTheme="minorEastAsia" w:hAnsiTheme="minorEastAsia" w:eastAsiaTheme="minorEastAsia"/>
        </w:rPr>
        <w:t>有关详情请见公司日期为202</w:t>
      </w:r>
      <w:r>
        <w:rPr>
          <w:rFonts w:asciiTheme="minorEastAsia" w:hAnsiTheme="minorEastAsia" w:eastAsiaTheme="minorEastAsia"/>
        </w:rPr>
        <w:t>3</w:t>
      </w:r>
      <w:r>
        <w:rPr>
          <w:rFonts w:hint="eastAsia" w:asciiTheme="minorEastAsia" w:hAnsiTheme="minorEastAsia" w:eastAsiaTheme="minorEastAsia"/>
        </w:rPr>
        <w:t>年</w:t>
      </w:r>
      <w:r>
        <w:rPr>
          <w:rFonts w:asciiTheme="minorEastAsia" w:hAnsiTheme="minorEastAsia" w:eastAsiaTheme="minorEastAsia"/>
        </w:rPr>
        <w:t>10</w:t>
      </w:r>
      <w:r>
        <w:rPr>
          <w:rFonts w:hint="eastAsia" w:asciiTheme="minorEastAsia" w:hAnsiTheme="minorEastAsia" w:eastAsiaTheme="minorEastAsia"/>
        </w:rPr>
        <w:t>月2</w:t>
      </w:r>
      <w:r>
        <w:rPr>
          <w:rFonts w:asciiTheme="minorEastAsia" w:hAnsiTheme="minorEastAsia" w:eastAsiaTheme="minorEastAsia"/>
        </w:rPr>
        <w:t>7</w:t>
      </w:r>
      <w:r>
        <w:rPr>
          <w:rFonts w:hint="eastAsia" w:asciiTheme="minorEastAsia" w:hAnsiTheme="minorEastAsia" w:eastAsiaTheme="minorEastAsia"/>
        </w:rPr>
        <w:t>日的公司第九届董事会第三次会议决议公告。该等资料刊载于上交所网站、香港联交所网站、公司网站及/或中国境内《中国证券报》《上海证券报》《证券时报》《证券日报》。</w:t>
      </w:r>
    </w:p>
    <w:p>
      <w:pPr>
        <w:pStyle w:val="501"/>
      </w:pPr>
    </w:p>
    <w:p>
      <w:pPr>
        <w:pStyle w:val="3"/>
        <w:numPr>
          <w:ilvl w:val="0"/>
          <w:numId w:val="30"/>
        </w:numPr>
        <w:ind w:left="450" w:hanging="450"/>
        <w:rPr>
          <w:rFonts w:ascii="宋体" w:hAnsi="宋体" w:cs="宋体"/>
          <w:kern w:val="0"/>
          <w:szCs w:val="24"/>
        </w:rPr>
      </w:pPr>
      <w:bookmarkStart w:id="147" w:name="_Hlk155626801"/>
      <w:r>
        <w:rPr>
          <w:rFonts w:hint="eastAsia" w:ascii="宋体" w:hAnsi="宋体" w:cs="宋体"/>
          <w:kern w:val="0"/>
          <w:szCs w:val="24"/>
        </w:rPr>
        <w:t>募集资金使用进展说明</w:t>
      </w:r>
    </w:p>
    <w:sdt>
      <w:sdtPr>
        <w:alias w:val="是否适用：募集资金使用进展说明[双击切换]"/>
        <w:tag w:val="_GBC_944ecce3b64e422f9226836bcadfd4ae"/>
        <w:id w:val="-1245483061"/>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bookmarkEnd w:id="147"/>
    <w:p>
      <w:pPr>
        <w:pStyle w:val="501"/>
      </w:pPr>
    </w:p>
    <w:p>
      <w:pPr>
        <w:pStyle w:val="3"/>
        <w:numPr>
          <w:ilvl w:val="0"/>
          <w:numId w:val="30"/>
        </w:numPr>
      </w:pPr>
      <w:r>
        <w:rPr>
          <w:rFonts w:hint="eastAsia"/>
        </w:rPr>
        <w:t>其</w:t>
      </w:r>
      <w:r>
        <w:t>他</w:t>
      </w:r>
      <w:r>
        <w:rPr>
          <w:rFonts w:hint="eastAsia"/>
        </w:rPr>
        <w:t>对投资者作出价值判断和投资决策有重大影响的重大事项的说明</w:t>
      </w:r>
    </w:p>
    <w:sdt>
      <w:sdtPr>
        <w:alias w:val="是否适用：其他对投资者作出价值判断和投资决策有重大影响的重大事项的说明[双击切换]"/>
        <w:tag w:val="_GBC_a560f17fa4c7429db7d87dca59f4df08"/>
        <w:id w:val="639230120"/>
        <w:placeholder>
          <w:docPart w:val="GBC22222222222222222222222222222"/>
        </w:placeholder>
      </w:sdtPr>
      <w:sdtContent>
        <w:p>
          <w:pPr>
            <w:pStyle w:val="501"/>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对投资者作出价值判断和投资决策有重大影响的重大事项的说明"/>
        <w:tag w:val="_GBC_d3135053067b425697673c629341fac1"/>
        <w:id w:val="-786419527"/>
        <w:placeholder>
          <w:docPart w:val="GBC22222222222222222222222222222"/>
        </w:placeholder>
      </w:sdtPr>
      <w:sdtContent>
        <w:sdt>
          <w:sdtPr>
            <w:rPr>
              <w:rFonts w:hint="eastAsia"/>
            </w:rPr>
            <w:alias w:val="其他对投资者作出价值判断和投资决策有重大影响的重大事项的说明"/>
            <w:tag w:val="_GBC_d3135053067b425697673c629341fac1"/>
            <w:id w:val="180250849"/>
          </w:sdtPr>
          <w:sdtEndPr>
            <w:rPr>
              <w:rFonts w:hint="eastAsia" w:ascii="宋体" w:hAnsi="宋体"/>
            </w:rPr>
          </w:sdtEndPr>
          <w:sdtContent>
            <w:p>
              <w:pPr>
                <w:pStyle w:val="501"/>
              </w:pPr>
              <w:r>
                <w:rPr>
                  <w:rFonts w:hint="eastAsia"/>
                </w:rPr>
                <w:t>（按香港上市监管规定编制）</w:t>
              </w:r>
            </w:p>
            <w:p>
              <w:pPr>
                <w:pStyle w:val="501"/>
              </w:pPr>
              <w:r>
                <w:rPr>
                  <w:rFonts w:hint="eastAsia"/>
                </w:rPr>
                <w:t xml:space="preserve"> </w:t>
              </w:r>
            </w:p>
            <w:p>
              <w:pPr>
                <w:ind w:firstLine="420" w:firstLineChars="200"/>
                <w:rPr>
                  <w:rFonts w:ascii="宋体" w:hAnsi="宋体"/>
                </w:rPr>
              </w:pPr>
              <w:r>
                <w:rPr>
                  <w:rFonts w:hint="eastAsia" w:ascii="宋体" w:hAnsi="宋体"/>
                </w:rPr>
                <w:t>（一）购回、出售或赎回公司之上市证券</w:t>
              </w:r>
            </w:p>
            <w:p>
              <w:pPr>
                <w:rPr>
                  <w:rFonts w:ascii="宋体" w:hAnsi="宋体"/>
                </w:rPr>
              </w:pPr>
              <w:r>
                <w:rPr>
                  <w:rFonts w:hint="eastAsia" w:ascii="宋体" w:hAnsi="宋体"/>
                </w:rPr>
                <w:t xml:space="preserve"> </w:t>
              </w:r>
            </w:p>
            <w:p>
              <w:pPr>
                <w:ind w:firstLine="420" w:firstLineChars="200"/>
                <w:rPr>
                  <w:rFonts w:ascii="宋体" w:hAnsi="宋体"/>
                </w:rPr>
              </w:pPr>
              <w:r>
                <w:rPr>
                  <w:rFonts w:hint="eastAsia" w:ascii="宋体" w:hAnsi="宋体"/>
                </w:rPr>
                <w:t>获得股东大会增发及回购H股股份授权</w:t>
              </w:r>
            </w:p>
            <w:p>
              <w:pPr>
                <w:rPr>
                  <w:rFonts w:ascii="宋体" w:hAnsi="宋体"/>
                </w:rPr>
              </w:pPr>
              <w:r>
                <w:rPr>
                  <w:rFonts w:hint="eastAsia" w:ascii="宋体" w:hAnsi="宋体"/>
                </w:rPr>
                <w:t xml:space="preserve"> </w:t>
              </w:r>
            </w:p>
            <w:p>
              <w:pPr>
                <w:ind w:firstLine="420" w:firstLineChars="200"/>
                <w:rPr>
                  <w:rFonts w:ascii="宋体" w:hAnsi="宋体"/>
                </w:rPr>
              </w:pPr>
              <w:r>
                <w:rPr>
                  <w:rFonts w:hint="eastAsia" w:ascii="宋体" w:hAnsi="宋体"/>
                </w:rPr>
                <w:t>2023年6月30日召开的2022年度股东周年大会，授予董事会一般性授权，由董事会根据需要和市场情况，在获得有关监管机构批准以及符合法律、行政法规及《公司章程》的情况下，在相关授权期间适时决定是否增发不超过有关决议案通过之日已发行H股总额20%的H股股份。</w:t>
              </w:r>
            </w:p>
            <w:p>
              <w:pPr>
                <w:rPr>
                  <w:rFonts w:ascii="宋体" w:hAnsi="宋体"/>
                </w:rPr>
              </w:pPr>
              <w:r>
                <w:rPr>
                  <w:rFonts w:hint="eastAsia" w:ascii="宋体" w:hAnsi="宋体"/>
                </w:rPr>
                <w:t xml:space="preserve"> </w:t>
              </w:r>
            </w:p>
            <w:p>
              <w:pPr>
                <w:ind w:firstLine="420" w:firstLineChars="200"/>
                <w:rPr>
                  <w:rFonts w:ascii="宋体" w:hAnsi="宋体"/>
                </w:rPr>
              </w:pPr>
              <w:r>
                <w:rPr>
                  <w:rFonts w:hint="eastAsia" w:ascii="宋体" w:hAnsi="宋体"/>
                </w:rPr>
                <w:t>2023年6月30日召开的2022年度股东周年大会、2023年度第一次A股类别股东大会及2023年度第一次H股类别股东大会，分别授予董事会一般性授权，由董事会根据需要和市场情况，在获得有关监管机构批准以及符合法律、行政法规及《公司章程》的情况下，在相关授权期间适时决定回购不超过有关决议案通过之日已发行H股总额10%的H股股份。</w:t>
              </w:r>
            </w:p>
            <w:p>
              <w:pPr>
                <w:rPr>
                  <w:rFonts w:ascii="宋体" w:hAnsi="宋体"/>
                </w:rPr>
              </w:pPr>
              <w:r>
                <w:rPr>
                  <w:rFonts w:hint="eastAsia" w:ascii="宋体" w:hAnsi="宋体"/>
                </w:rPr>
                <w:t xml:space="preserve"> </w:t>
              </w:r>
            </w:p>
            <w:p>
              <w:pPr>
                <w:ind w:firstLine="420" w:firstLineChars="200"/>
                <w:rPr>
                  <w:rFonts w:ascii="宋体" w:hAnsi="宋体"/>
                </w:rPr>
              </w:pPr>
              <w:r>
                <w:rPr>
                  <w:rFonts w:hint="eastAsia" w:ascii="宋体" w:hAnsi="宋体"/>
                </w:rPr>
                <w:t>截至本报告披露日，公司董事会尚未行使上述一般性授权。</w:t>
              </w:r>
            </w:p>
            <w:p>
              <w:pPr>
                <w:rPr>
                  <w:rFonts w:ascii="宋体" w:hAnsi="宋体"/>
                </w:rPr>
              </w:pPr>
              <w:r>
                <w:rPr>
                  <w:rFonts w:hint="eastAsia" w:ascii="宋体" w:hAnsi="宋体"/>
                </w:rPr>
                <w:t xml:space="preserve"> </w:t>
              </w:r>
            </w:p>
            <w:p>
              <w:pPr>
                <w:ind w:firstLine="420" w:firstLineChars="200"/>
                <w:rPr>
                  <w:rFonts w:ascii="宋体" w:hAnsi="宋体"/>
                </w:rPr>
              </w:pPr>
              <w:r>
                <w:rPr>
                  <w:rFonts w:hint="eastAsia" w:ascii="宋体" w:hAnsi="宋体"/>
                </w:rPr>
                <w:t>（二）薪酬政策</w:t>
              </w:r>
            </w:p>
            <w:p>
              <w:pPr>
                <w:rPr>
                  <w:rFonts w:ascii="宋体" w:hAnsi="宋体"/>
                </w:rPr>
              </w:pPr>
              <w:r>
                <w:rPr>
                  <w:rFonts w:hint="eastAsia" w:ascii="宋体" w:hAnsi="宋体"/>
                </w:rPr>
                <w:t xml:space="preserve"> </w:t>
              </w:r>
            </w:p>
            <w:p>
              <w:pPr>
                <w:ind w:firstLine="420" w:firstLineChars="200"/>
                <w:rPr>
                  <w:rFonts w:ascii="宋体" w:hAnsi="宋体"/>
                </w:rPr>
              </w:pPr>
              <w:r>
                <w:rPr>
                  <w:rFonts w:hint="eastAsia" w:ascii="宋体" w:hAnsi="宋体"/>
                </w:rPr>
                <w:t>详情请见“第五节公司治理”之“</w:t>
              </w:r>
              <w:bookmarkStart w:id="148" w:name="_Hlk160364483"/>
              <w:r>
                <w:rPr>
                  <w:rFonts w:ascii="宋体" w:hAnsi="宋体"/>
                </w:rPr>
                <w:t>现任及报告期内离任董事</w:t>
              </w:r>
              <w:r>
                <w:rPr>
                  <w:rFonts w:hint="eastAsia" w:ascii="宋体" w:hAnsi="宋体"/>
                </w:rPr>
                <w:t>、监事和</w:t>
              </w:r>
              <w:r>
                <w:rPr>
                  <w:rFonts w:ascii="宋体" w:hAnsi="宋体"/>
                </w:rPr>
                <w:t>高级管理人员持股变动及报酬情况</w:t>
              </w:r>
              <w:bookmarkEnd w:id="148"/>
              <w:r>
                <w:rPr>
                  <w:rFonts w:hint="eastAsia" w:ascii="宋体" w:hAnsi="宋体"/>
                </w:rPr>
                <w:t>”、“薪酬政策”相关内容。</w:t>
              </w:r>
            </w:p>
            <w:p>
              <w:pPr>
                <w:rPr>
                  <w:rFonts w:ascii="宋体" w:hAnsi="宋体"/>
                </w:rPr>
              </w:pPr>
              <w:r>
                <w:rPr>
                  <w:rFonts w:hint="eastAsia" w:ascii="宋体" w:hAnsi="宋体"/>
                </w:rPr>
                <w:t xml:space="preserve"> </w:t>
              </w:r>
            </w:p>
            <w:p>
              <w:pPr>
                <w:ind w:firstLine="420" w:firstLineChars="200"/>
                <w:rPr>
                  <w:rFonts w:ascii="宋体" w:hAnsi="宋体"/>
                </w:rPr>
              </w:pPr>
              <w:r>
                <w:rPr>
                  <w:rFonts w:hint="eastAsia" w:ascii="宋体" w:hAnsi="宋体"/>
                </w:rPr>
                <w:t>（三）核数师</w:t>
              </w:r>
            </w:p>
            <w:p>
              <w:pPr>
                <w:rPr>
                  <w:rFonts w:ascii="宋体" w:hAnsi="宋体"/>
                </w:rPr>
              </w:pPr>
              <w:r>
                <w:rPr>
                  <w:rFonts w:hint="eastAsia" w:ascii="宋体" w:hAnsi="宋体"/>
                </w:rPr>
                <w:t xml:space="preserve"> </w:t>
              </w:r>
            </w:p>
            <w:p>
              <w:pPr>
                <w:ind w:firstLine="420" w:firstLineChars="200"/>
                <w:rPr>
                  <w:rFonts w:ascii="宋体" w:hAnsi="宋体"/>
                </w:rPr>
              </w:pPr>
              <w:r>
                <w:rPr>
                  <w:rFonts w:hint="eastAsia" w:ascii="宋体" w:hAnsi="宋体"/>
                </w:rPr>
                <w:t>详情请见“第七节重要事项”之“聘任、解聘会计师事务所情况”相关内容。</w:t>
              </w:r>
            </w:p>
          </w:sdtContent>
        </w:sdt>
        <w:p>
          <w:pPr>
            <w:pStyle w:val="501"/>
          </w:pPr>
        </w:p>
      </w:sdtContent>
    </w:sdt>
    <w:p>
      <w:pPr>
        <w:sectPr>
          <w:pgSz w:w="11906" w:h="16838"/>
          <w:pgMar w:top="1525" w:right="1276" w:bottom="1440" w:left="1797" w:header="855" w:footer="992" w:gutter="0"/>
          <w:cols w:space="425" w:num="1"/>
          <w:docGrid w:linePitch="312" w:charSpace="0"/>
        </w:sectPr>
      </w:pPr>
    </w:p>
    <w:bookmarkEnd w:id="128"/>
    <w:p>
      <w:pPr>
        <w:pStyle w:val="501"/>
      </w:pPr>
    </w:p>
    <w:p>
      <w:pPr>
        <w:pStyle w:val="2"/>
        <w:numPr>
          <w:ilvl w:val="0"/>
          <w:numId w:val="2"/>
        </w:numPr>
        <w:rPr>
          <w:szCs w:val="28"/>
        </w:rPr>
      </w:pPr>
      <w:bookmarkStart w:id="149" w:name="_Toc409437607"/>
      <w:bookmarkStart w:id="150" w:name="_Toc437440713"/>
      <w:bookmarkStart w:id="151" w:name="_Toc158217555"/>
      <w:r>
        <w:rPr>
          <w:rFonts w:hint="eastAsia"/>
          <w:szCs w:val="28"/>
        </w:rPr>
        <w:t>股份变动及股东情况</w:t>
      </w:r>
      <w:bookmarkEnd w:id="149"/>
      <w:bookmarkEnd w:id="150"/>
      <w:bookmarkEnd w:id="151"/>
    </w:p>
    <w:p>
      <w:pPr>
        <w:pStyle w:val="43"/>
      </w:pPr>
    </w:p>
    <w:p>
      <w:pPr>
        <w:pStyle w:val="3"/>
        <w:numPr>
          <w:ilvl w:val="0"/>
          <w:numId w:val="45"/>
        </w:numPr>
        <w:rPr>
          <w:rFonts w:ascii="宋体" w:hAnsi="宋体"/>
        </w:rPr>
      </w:pPr>
      <w:bookmarkStart w:id="152" w:name="_Toc342059476"/>
      <w:bookmarkStart w:id="153" w:name="_Toc342565989"/>
      <w:r>
        <w:rPr>
          <w:rFonts w:ascii="宋体" w:hAnsi="宋体"/>
        </w:rPr>
        <w:t>股</w:t>
      </w:r>
      <w:r>
        <w:rPr>
          <w:rFonts w:hint="eastAsia" w:ascii="宋体" w:hAnsi="宋体"/>
        </w:rPr>
        <w:t>本变动情况</w:t>
      </w:r>
      <w:bookmarkEnd w:id="152"/>
      <w:bookmarkEnd w:id="153"/>
    </w:p>
    <w:p>
      <w:pPr>
        <w:pStyle w:val="4"/>
        <w:numPr>
          <w:ilvl w:val="1"/>
          <w:numId w:val="46"/>
        </w:numPr>
        <w:rPr>
          <w:rFonts w:ascii="宋体" w:hAnsi="宋体"/>
          <w:szCs w:val="21"/>
        </w:rPr>
      </w:pPr>
      <w:bookmarkStart w:id="154" w:name="_Toc342565990"/>
      <w:bookmarkStart w:id="155" w:name="_Toc342059477"/>
      <w:r>
        <w:rPr>
          <w:rFonts w:hint="eastAsia" w:ascii="宋体" w:hAnsi="宋体"/>
          <w:szCs w:val="21"/>
        </w:rPr>
        <w:t>股份变动情况表</w:t>
      </w:r>
      <w:bookmarkEnd w:id="154"/>
      <w:bookmarkEnd w:id="155"/>
    </w:p>
    <w:p>
      <w:pPr>
        <w:pStyle w:val="5"/>
        <w:numPr>
          <w:ilvl w:val="2"/>
          <w:numId w:val="47"/>
        </w:numPr>
        <w:rPr>
          <w:rFonts w:ascii="宋体" w:hAnsi="宋体" w:eastAsia="宋体"/>
        </w:rPr>
      </w:pPr>
      <w:r>
        <w:rPr>
          <w:rFonts w:hint="eastAsia" w:ascii="宋体" w:hAnsi="宋体" w:eastAsia="宋体"/>
        </w:rPr>
        <w:t>股份变动情况表</w:t>
      </w:r>
    </w:p>
    <w:p>
      <w:pPr>
        <w:jc w:val="right"/>
        <w:rPr>
          <w:rFonts w:ascii="宋体" w:hAnsi="宋体"/>
        </w:rPr>
      </w:pPr>
      <w:r>
        <w:rPr>
          <w:rFonts w:ascii="宋体" w:hAnsi="宋体"/>
        </w:rPr>
        <w:t>单位：</w:t>
      </w:r>
      <w:sdt>
        <w:sdtPr>
          <w:rPr>
            <w:rFonts w:hint="eastAsia" w:ascii="宋体" w:hAnsi="宋体"/>
          </w:rPr>
          <w:alias w:val="单位：股份变动情况表"/>
          <w:tag w:val="_GBC_852d31b746dd490d9366194fca5e9598"/>
          <w:id w:val="-2097938919"/>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ascii="宋体" w:hAnsi="宋体"/>
          </w:rPr>
        </w:sdtEndPr>
        <w:sdtContent>
          <w:r>
            <w:rPr>
              <w:rFonts w:hint="eastAsia" w:ascii="宋体" w:hAnsi="宋体"/>
            </w:rPr>
            <w:t>股</w:t>
          </w:r>
        </w:sdtContent>
      </w:sdt>
    </w:p>
    <w:tbl>
      <w:tblPr>
        <w:tblStyle w:val="135"/>
        <w:tblW w:w="60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622"/>
        <w:gridCol w:w="758"/>
        <w:gridCol w:w="1623"/>
        <w:gridCol w:w="1298"/>
        <w:gridCol w:w="1623"/>
        <w:gridCol w:w="1623"/>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shd w:val="clear" w:color="auto" w:fill="auto"/>
          </w:tcPr>
          <w:p>
            <w:pPr>
              <w:jc w:val="center"/>
              <w:rPr>
                <w:rFonts w:ascii="宋体" w:hAnsi="宋体"/>
              </w:rPr>
            </w:pPr>
          </w:p>
        </w:tc>
        <w:sdt>
          <w:sdtPr>
            <w:rPr>
              <w:rFonts w:ascii="宋体" w:hAnsi="宋体"/>
            </w:rPr>
            <w:tag w:val="_PLD_b9527a064e50418b9212da4d2a1d0df3"/>
            <w:id w:val="-2087444486"/>
          </w:sdtPr>
          <w:sdtEndPr>
            <w:rPr>
              <w:rFonts w:ascii="宋体" w:hAnsi="宋体"/>
            </w:rPr>
          </w:sdtEndPr>
          <w:sdtContent>
            <w:tc>
              <w:tcPr>
                <w:tcW w:w="1092" w:type="pct"/>
                <w:gridSpan w:val="2"/>
                <w:shd w:val="clear" w:color="auto" w:fill="auto"/>
                <w:vAlign w:val="center"/>
              </w:tcPr>
              <w:p>
                <w:pPr>
                  <w:pStyle w:val="14"/>
                  <w:jc w:val="center"/>
                  <w:rPr>
                    <w:rFonts w:ascii="宋体" w:hAnsi="宋体"/>
                  </w:rPr>
                </w:pPr>
                <w:r>
                  <w:rPr>
                    <w:rFonts w:ascii="宋体" w:hAnsi="宋体"/>
                  </w:rPr>
                  <w:t>本次变动前</w:t>
                </w:r>
              </w:p>
            </w:tc>
          </w:sdtContent>
        </w:sdt>
        <w:sdt>
          <w:sdtPr>
            <w:rPr>
              <w:rFonts w:ascii="宋体" w:hAnsi="宋体"/>
            </w:rPr>
            <w:tag w:val="_PLD_ca58bf210de644a080d50250f302f3c8"/>
            <w:id w:val="10191959"/>
          </w:sdtPr>
          <w:sdtEndPr>
            <w:rPr>
              <w:rFonts w:ascii="宋体" w:hAnsi="宋体"/>
            </w:rPr>
          </w:sdtEndPr>
          <w:sdtContent>
            <w:tc>
              <w:tcPr>
                <w:tcW w:w="2083" w:type="pct"/>
                <w:gridSpan w:val="3"/>
                <w:shd w:val="clear" w:color="auto" w:fill="auto"/>
                <w:vAlign w:val="center"/>
              </w:tcPr>
              <w:p>
                <w:pPr>
                  <w:jc w:val="center"/>
                  <w:rPr>
                    <w:rFonts w:ascii="宋体" w:hAnsi="宋体"/>
                  </w:rPr>
                </w:pPr>
                <w:r>
                  <w:rPr>
                    <w:rFonts w:ascii="宋体" w:hAnsi="宋体"/>
                  </w:rPr>
                  <w:t>本次变动增减（</w:t>
                </w:r>
                <w:r>
                  <w:rPr>
                    <w:rFonts w:hint="eastAsia" w:ascii="宋体" w:hAnsi="宋体"/>
                  </w:rPr>
                  <w:t>+，-</w:t>
                </w:r>
                <w:r>
                  <w:rPr>
                    <w:rFonts w:ascii="宋体" w:hAnsi="宋体"/>
                  </w:rPr>
                  <w:t>）</w:t>
                </w:r>
              </w:p>
            </w:tc>
          </w:sdtContent>
        </w:sdt>
        <w:sdt>
          <w:sdtPr>
            <w:rPr>
              <w:rFonts w:ascii="宋体" w:hAnsi="宋体"/>
            </w:rPr>
            <w:tag w:val="_PLD_257b6e7d34b34e838617d3ec2e88c450"/>
            <w:id w:val="1416445621"/>
          </w:sdtPr>
          <w:sdtEndPr>
            <w:rPr>
              <w:rFonts w:ascii="宋体" w:hAnsi="宋体"/>
            </w:rPr>
          </w:sdtEndPr>
          <w:sdtContent>
            <w:tc>
              <w:tcPr>
                <w:tcW w:w="1092" w:type="pct"/>
                <w:gridSpan w:val="2"/>
                <w:shd w:val="clear" w:color="auto" w:fill="auto"/>
                <w:vAlign w:val="center"/>
              </w:tcPr>
              <w:p>
                <w:pPr>
                  <w:jc w:val="center"/>
                  <w:rPr>
                    <w:rFonts w:ascii="宋体" w:hAnsi="宋体"/>
                  </w:rPr>
                </w:pPr>
                <w:r>
                  <w:rPr>
                    <w:rFonts w:ascii="宋体" w:hAnsi="宋体"/>
                  </w:rPr>
                  <w:t>本次变动后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33" w:type="pct"/>
            <w:vMerge w:val="continue"/>
            <w:shd w:val="clear" w:color="auto" w:fill="auto"/>
          </w:tcPr>
          <w:p>
            <w:pPr>
              <w:jc w:val="center"/>
              <w:rPr>
                <w:rFonts w:ascii="宋体" w:hAnsi="宋体"/>
              </w:rPr>
            </w:pPr>
          </w:p>
        </w:tc>
        <w:sdt>
          <w:sdtPr>
            <w:rPr>
              <w:rFonts w:ascii="宋体" w:hAnsi="宋体"/>
            </w:rPr>
            <w:tag w:val="_PLD_795b6515b9ff4e1db17e1116ff60e13f"/>
            <w:id w:val="60607698"/>
          </w:sdtPr>
          <w:sdtEndPr>
            <w:rPr>
              <w:rFonts w:ascii="宋体" w:hAnsi="宋体"/>
            </w:rPr>
          </w:sdtEndPr>
          <w:sdtContent>
            <w:tc>
              <w:tcPr>
                <w:tcW w:w="744" w:type="pct"/>
                <w:shd w:val="clear" w:color="auto" w:fill="auto"/>
                <w:vAlign w:val="center"/>
              </w:tcPr>
              <w:p>
                <w:pPr>
                  <w:pStyle w:val="14"/>
                  <w:jc w:val="center"/>
                  <w:rPr>
                    <w:rFonts w:ascii="宋体" w:hAnsi="宋体"/>
                  </w:rPr>
                </w:pPr>
                <w:r>
                  <w:rPr>
                    <w:rFonts w:ascii="宋体" w:hAnsi="宋体"/>
                  </w:rPr>
                  <w:t>数量</w:t>
                </w:r>
              </w:p>
            </w:tc>
          </w:sdtContent>
        </w:sdt>
        <w:sdt>
          <w:sdtPr>
            <w:rPr>
              <w:rFonts w:ascii="宋体" w:hAnsi="宋体"/>
            </w:rPr>
            <w:tag w:val="_PLD_73d5343b919442adb141c63d11c2cfe3"/>
            <w:id w:val="146027208"/>
          </w:sdtPr>
          <w:sdtEndPr>
            <w:rPr>
              <w:rFonts w:ascii="宋体" w:hAnsi="宋体"/>
            </w:rPr>
          </w:sdtEndPr>
          <w:sdtContent>
            <w:tc>
              <w:tcPr>
                <w:tcW w:w="348" w:type="pct"/>
                <w:shd w:val="clear" w:color="auto" w:fill="auto"/>
                <w:vAlign w:val="center"/>
              </w:tcPr>
              <w:p>
                <w:pPr>
                  <w:pStyle w:val="14"/>
                  <w:jc w:val="center"/>
                  <w:rPr>
                    <w:rFonts w:ascii="宋体" w:hAnsi="宋体"/>
                  </w:rPr>
                </w:pPr>
                <w:r>
                  <w:rPr>
                    <w:rFonts w:ascii="宋体" w:hAnsi="宋体"/>
                  </w:rPr>
                  <w:t>比例</w:t>
                </w:r>
              </w:p>
              <w:p>
                <w:pPr>
                  <w:pStyle w:val="14"/>
                  <w:jc w:val="center"/>
                  <w:rPr>
                    <w:rFonts w:ascii="宋体" w:hAnsi="宋体"/>
                  </w:rPr>
                </w:pPr>
                <w:r>
                  <w:rPr>
                    <w:rFonts w:ascii="宋体" w:hAnsi="宋体"/>
                  </w:rPr>
                  <w:t>(%)</w:t>
                </w:r>
              </w:p>
            </w:tc>
          </w:sdtContent>
        </w:sdt>
        <w:sdt>
          <w:sdtPr>
            <w:rPr>
              <w:rFonts w:ascii="宋体" w:hAnsi="宋体"/>
            </w:rPr>
            <w:tag w:val="_PLD_9a9769412f3c455c9ccdd17bf518a278"/>
            <w:id w:val="2036382769"/>
          </w:sdtPr>
          <w:sdtEndPr>
            <w:rPr>
              <w:rFonts w:ascii="宋体" w:hAnsi="宋体"/>
            </w:rPr>
          </w:sdtEndPr>
          <w:sdtContent>
            <w:tc>
              <w:tcPr>
                <w:tcW w:w="744" w:type="pct"/>
                <w:shd w:val="clear" w:color="auto" w:fill="auto"/>
                <w:vAlign w:val="center"/>
              </w:tcPr>
              <w:p>
                <w:pPr>
                  <w:jc w:val="center"/>
                  <w:rPr>
                    <w:rFonts w:ascii="宋体" w:hAnsi="宋体"/>
                  </w:rPr>
                </w:pPr>
                <w:r>
                  <w:rPr>
                    <w:rFonts w:ascii="宋体" w:hAnsi="宋体"/>
                  </w:rPr>
                  <w:t>送股</w:t>
                </w:r>
              </w:p>
            </w:tc>
          </w:sdtContent>
        </w:sdt>
        <w:sdt>
          <w:sdtPr>
            <w:rPr>
              <w:rFonts w:ascii="宋体" w:hAnsi="宋体"/>
            </w:rPr>
            <w:tag w:val="_PLD_8ec878ba584746ca9ce366f5c50b97db"/>
            <w:id w:val="381218016"/>
          </w:sdtPr>
          <w:sdtEndPr>
            <w:rPr>
              <w:rFonts w:ascii="宋体" w:hAnsi="宋体"/>
            </w:rPr>
          </w:sdtEndPr>
          <w:sdtContent>
            <w:tc>
              <w:tcPr>
                <w:tcW w:w="595" w:type="pct"/>
                <w:shd w:val="clear" w:color="auto" w:fill="auto"/>
                <w:vAlign w:val="center"/>
              </w:tcPr>
              <w:p>
                <w:pPr>
                  <w:pStyle w:val="14"/>
                  <w:jc w:val="center"/>
                  <w:rPr>
                    <w:rFonts w:ascii="宋体" w:hAnsi="宋体"/>
                  </w:rPr>
                </w:pPr>
                <w:r>
                  <w:rPr>
                    <w:rFonts w:ascii="宋体" w:hAnsi="宋体"/>
                  </w:rPr>
                  <w:t>其他</w:t>
                </w:r>
              </w:p>
            </w:tc>
          </w:sdtContent>
        </w:sdt>
        <w:sdt>
          <w:sdtPr>
            <w:rPr>
              <w:rFonts w:ascii="宋体" w:hAnsi="宋体"/>
            </w:rPr>
            <w:tag w:val="_PLD_0597d73f82274779afc0a06c1888e731"/>
            <w:id w:val="-1125076505"/>
          </w:sdtPr>
          <w:sdtEndPr>
            <w:rPr>
              <w:rFonts w:ascii="宋体" w:hAnsi="宋体"/>
            </w:rPr>
          </w:sdtEndPr>
          <w:sdtContent>
            <w:tc>
              <w:tcPr>
                <w:tcW w:w="744" w:type="pct"/>
                <w:shd w:val="clear" w:color="auto" w:fill="auto"/>
                <w:vAlign w:val="center"/>
              </w:tcPr>
              <w:p>
                <w:pPr>
                  <w:pStyle w:val="14"/>
                  <w:jc w:val="center"/>
                  <w:rPr>
                    <w:rFonts w:ascii="宋体" w:hAnsi="宋体"/>
                  </w:rPr>
                </w:pPr>
                <w:r>
                  <w:rPr>
                    <w:rFonts w:ascii="宋体" w:hAnsi="宋体"/>
                  </w:rPr>
                  <w:t>小计</w:t>
                </w:r>
              </w:p>
            </w:tc>
          </w:sdtContent>
        </w:sdt>
        <w:sdt>
          <w:sdtPr>
            <w:rPr>
              <w:rFonts w:ascii="宋体" w:hAnsi="宋体"/>
            </w:rPr>
            <w:tag w:val="_PLD_95f452be51ff468b8cac4a86637d7617"/>
            <w:id w:val="1061209119"/>
          </w:sdtPr>
          <w:sdtEndPr>
            <w:rPr>
              <w:rFonts w:ascii="宋体" w:hAnsi="宋体"/>
            </w:rPr>
          </w:sdtEndPr>
          <w:sdtContent>
            <w:tc>
              <w:tcPr>
                <w:tcW w:w="744" w:type="pct"/>
                <w:shd w:val="clear" w:color="auto" w:fill="auto"/>
                <w:vAlign w:val="center"/>
              </w:tcPr>
              <w:p>
                <w:pPr>
                  <w:pStyle w:val="14"/>
                  <w:jc w:val="center"/>
                  <w:rPr>
                    <w:rFonts w:ascii="宋体" w:hAnsi="宋体"/>
                  </w:rPr>
                </w:pPr>
                <w:r>
                  <w:rPr>
                    <w:rFonts w:ascii="宋体" w:hAnsi="宋体"/>
                  </w:rPr>
                  <w:t>数量</w:t>
                </w:r>
              </w:p>
            </w:tc>
          </w:sdtContent>
        </w:sdt>
        <w:sdt>
          <w:sdtPr>
            <w:rPr>
              <w:rFonts w:ascii="宋体" w:hAnsi="宋体"/>
            </w:rPr>
            <w:tag w:val="_PLD_27544b89219e425da5c77cd21408a3b6"/>
            <w:id w:val="1292868635"/>
          </w:sdtPr>
          <w:sdtEndPr>
            <w:rPr>
              <w:rFonts w:ascii="宋体" w:hAnsi="宋体"/>
            </w:rPr>
          </w:sdtEndPr>
          <w:sdtContent>
            <w:tc>
              <w:tcPr>
                <w:tcW w:w="348" w:type="pct"/>
                <w:shd w:val="clear" w:color="auto" w:fill="auto"/>
                <w:vAlign w:val="center"/>
              </w:tcPr>
              <w:p>
                <w:pPr>
                  <w:pStyle w:val="14"/>
                  <w:jc w:val="center"/>
                  <w:rPr>
                    <w:rFonts w:ascii="宋体" w:hAnsi="宋体"/>
                  </w:rPr>
                </w:pPr>
                <w:r>
                  <w:rPr>
                    <w:rFonts w:ascii="宋体" w:hAnsi="宋体"/>
                  </w:rPr>
                  <w:t>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一、有限售条件股份</w:t>
            </w:r>
          </w:p>
        </w:tc>
        <w:tc>
          <w:tcPr>
            <w:tcW w:w="744" w:type="pct"/>
            <w:shd w:val="clear" w:color="auto" w:fill="auto"/>
            <w:vAlign w:val="center"/>
          </w:tcPr>
          <w:p>
            <w:pPr>
              <w:jc w:val="right"/>
              <w:rPr>
                <w:rFonts w:ascii="宋体" w:hAnsi="宋体"/>
              </w:rPr>
            </w:pPr>
            <w:r>
              <w:rPr>
                <w:rFonts w:ascii="宋体" w:hAnsi="宋体"/>
              </w:rPr>
              <w:t>61,740,000</w:t>
            </w:r>
          </w:p>
        </w:tc>
        <w:tc>
          <w:tcPr>
            <w:tcW w:w="348" w:type="pct"/>
            <w:shd w:val="clear" w:color="auto" w:fill="auto"/>
            <w:vAlign w:val="center"/>
          </w:tcPr>
          <w:p>
            <w:pPr>
              <w:jc w:val="right"/>
              <w:rPr>
                <w:rFonts w:ascii="宋体" w:hAnsi="宋体"/>
              </w:rPr>
            </w:pPr>
            <w:r>
              <w:rPr>
                <w:rFonts w:ascii="宋体" w:hAnsi="宋体"/>
              </w:rPr>
              <w:t>1.25</w:t>
            </w:r>
          </w:p>
        </w:tc>
        <w:tc>
          <w:tcPr>
            <w:tcW w:w="744" w:type="pct"/>
            <w:shd w:val="clear" w:color="auto" w:fill="auto"/>
            <w:vAlign w:val="center"/>
          </w:tcPr>
          <w:p>
            <w:pPr>
              <w:jc w:val="right"/>
              <w:rPr>
                <w:rFonts w:ascii="宋体" w:hAnsi="宋体"/>
              </w:rPr>
            </w:pPr>
            <w:r>
              <w:rPr>
                <w:rFonts w:ascii="宋体" w:hAnsi="宋体"/>
              </w:rPr>
              <w:t>30,870,000</w:t>
            </w:r>
          </w:p>
        </w:tc>
        <w:tc>
          <w:tcPr>
            <w:tcW w:w="595" w:type="pct"/>
            <w:shd w:val="clear" w:color="auto" w:fill="auto"/>
            <w:vAlign w:val="center"/>
          </w:tcPr>
          <w:p>
            <w:pPr>
              <w:jc w:val="right"/>
              <w:rPr>
                <w:rFonts w:ascii="宋体" w:hAnsi="宋体"/>
              </w:rPr>
            </w:pPr>
            <w:r>
              <w:rPr>
                <w:rFonts w:ascii="宋体" w:hAnsi="宋体"/>
              </w:rPr>
              <w:t>-2,670,000</w:t>
            </w:r>
          </w:p>
        </w:tc>
        <w:tc>
          <w:tcPr>
            <w:tcW w:w="744" w:type="pct"/>
            <w:shd w:val="clear" w:color="auto" w:fill="auto"/>
            <w:vAlign w:val="center"/>
          </w:tcPr>
          <w:p>
            <w:pPr>
              <w:jc w:val="right"/>
              <w:rPr>
                <w:rFonts w:ascii="宋体" w:hAnsi="宋体"/>
              </w:rPr>
            </w:pPr>
            <w:r>
              <w:rPr>
                <w:rFonts w:ascii="宋体" w:hAnsi="宋体"/>
              </w:rPr>
              <w:t>28,200,000</w:t>
            </w:r>
          </w:p>
        </w:tc>
        <w:tc>
          <w:tcPr>
            <w:tcW w:w="744" w:type="pct"/>
            <w:shd w:val="clear" w:color="auto" w:fill="auto"/>
            <w:vAlign w:val="center"/>
          </w:tcPr>
          <w:p>
            <w:pPr>
              <w:jc w:val="right"/>
              <w:rPr>
                <w:rFonts w:ascii="宋体" w:hAnsi="宋体"/>
              </w:rPr>
            </w:pPr>
            <w:r>
              <w:rPr>
                <w:rFonts w:ascii="宋体" w:hAnsi="宋体"/>
              </w:rPr>
              <w:t>89,940,000</w:t>
            </w:r>
          </w:p>
        </w:tc>
        <w:tc>
          <w:tcPr>
            <w:tcW w:w="348" w:type="pct"/>
            <w:shd w:val="clear" w:color="auto" w:fill="auto"/>
            <w:vAlign w:val="center"/>
          </w:tcPr>
          <w:p>
            <w:pPr>
              <w:jc w:val="right"/>
              <w:rPr>
                <w:rFonts w:ascii="宋体" w:hAnsi="宋体"/>
              </w:rPr>
            </w:pPr>
            <w:r>
              <w:rPr>
                <w:rFonts w:ascii="宋体" w:hAnsi="宋体"/>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1、国家持股</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595"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2、国有法人持股</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595"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3、其他内资持股</w:t>
            </w:r>
          </w:p>
        </w:tc>
        <w:tc>
          <w:tcPr>
            <w:tcW w:w="744" w:type="pct"/>
            <w:shd w:val="clear" w:color="auto" w:fill="auto"/>
            <w:vAlign w:val="center"/>
          </w:tcPr>
          <w:p>
            <w:pPr>
              <w:jc w:val="right"/>
              <w:rPr>
                <w:rFonts w:ascii="宋体" w:hAnsi="宋体"/>
              </w:rPr>
            </w:pPr>
            <w:r>
              <w:rPr>
                <w:rFonts w:ascii="宋体" w:hAnsi="宋体"/>
              </w:rPr>
              <w:t>61,740,000</w:t>
            </w:r>
          </w:p>
        </w:tc>
        <w:tc>
          <w:tcPr>
            <w:tcW w:w="348" w:type="pct"/>
            <w:shd w:val="clear" w:color="auto" w:fill="auto"/>
            <w:vAlign w:val="center"/>
          </w:tcPr>
          <w:p>
            <w:pPr>
              <w:jc w:val="right"/>
              <w:rPr>
                <w:rFonts w:ascii="宋体" w:hAnsi="宋体"/>
              </w:rPr>
            </w:pPr>
            <w:r>
              <w:rPr>
                <w:rFonts w:ascii="宋体" w:hAnsi="宋体"/>
              </w:rPr>
              <w:t>1.25</w:t>
            </w:r>
          </w:p>
        </w:tc>
        <w:tc>
          <w:tcPr>
            <w:tcW w:w="744" w:type="pct"/>
            <w:shd w:val="clear" w:color="auto" w:fill="auto"/>
            <w:vAlign w:val="center"/>
          </w:tcPr>
          <w:p>
            <w:pPr>
              <w:jc w:val="right"/>
              <w:rPr>
                <w:rFonts w:ascii="宋体" w:hAnsi="宋体"/>
              </w:rPr>
            </w:pPr>
            <w:r>
              <w:rPr>
                <w:rFonts w:ascii="宋体" w:hAnsi="宋体"/>
              </w:rPr>
              <w:t>30,870,000</w:t>
            </w:r>
          </w:p>
        </w:tc>
        <w:tc>
          <w:tcPr>
            <w:tcW w:w="595" w:type="pct"/>
            <w:shd w:val="clear" w:color="auto" w:fill="auto"/>
            <w:vAlign w:val="center"/>
          </w:tcPr>
          <w:p>
            <w:pPr>
              <w:jc w:val="right"/>
              <w:rPr>
                <w:rFonts w:ascii="宋体" w:hAnsi="宋体"/>
              </w:rPr>
            </w:pPr>
            <w:r>
              <w:rPr>
                <w:rFonts w:ascii="宋体" w:hAnsi="宋体"/>
              </w:rPr>
              <w:t>-2,670,000</w:t>
            </w:r>
          </w:p>
        </w:tc>
        <w:tc>
          <w:tcPr>
            <w:tcW w:w="744" w:type="pct"/>
            <w:shd w:val="clear" w:color="auto" w:fill="auto"/>
            <w:vAlign w:val="center"/>
          </w:tcPr>
          <w:p>
            <w:pPr>
              <w:jc w:val="right"/>
              <w:rPr>
                <w:rFonts w:ascii="宋体" w:hAnsi="宋体"/>
              </w:rPr>
            </w:pPr>
            <w:r>
              <w:rPr>
                <w:rFonts w:ascii="宋体" w:hAnsi="宋体"/>
              </w:rPr>
              <w:t>28,200,000</w:t>
            </w:r>
          </w:p>
        </w:tc>
        <w:tc>
          <w:tcPr>
            <w:tcW w:w="744" w:type="pct"/>
            <w:shd w:val="clear" w:color="auto" w:fill="auto"/>
            <w:vAlign w:val="center"/>
          </w:tcPr>
          <w:p>
            <w:pPr>
              <w:jc w:val="right"/>
              <w:rPr>
                <w:rFonts w:ascii="宋体" w:hAnsi="宋体"/>
              </w:rPr>
            </w:pPr>
            <w:r>
              <w:rPr>
                <w:rFonts w:ascii="宋体" w:hAnsi="宋体"/>
              </w:rPr>
              <w:t>89,940,000</w:t>
            </w:r>
          </w:p>
        </w:tc>
        <w:tc>
          <w:tcPr>
            <w:tcW w:w="348" w:type="pct"/>
            <w:shd w:val="clear" w:color="auto" w:fill="auto"/>
            <w:vAlign w:val="center"/>
          </w:tcPr>
          <w:p>
            <w:pPr>
              <w:jc w:val="right"/>
              <w:rPr>
                <w:rFonts w:ascii="宋体" w:hAnsi="宋体"/>
              </w:rPr>
            </w:pPr>
            <w:r>
              <w:rPr>
                <w:rFonts w:ascii="宋体" w:hAnsi="宋体"/>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其中：境内非国有法人持股</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595"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ind w:firstLine="630" w:firstLineChars="300"/>
              <w:rPr>
                <w:rFonts w:ascii="宋体" w:hAnsi="宋体"/>
              </w:rPr>
            </w:pPr>
            <w:r>
              <w:rPr>
                <w:rFonts w:ascii="宋体" w:hAnsi="宋体"/>
              </w:rPr>
              <w:t>境内自然人持股</w:t>
            </w:r>
          </w:p>
        </w:tc>
        <w:tc>
          <w:tcPr>
            <w:tcW w:w="744" w:type="pct"/>
            <w:shd w:val="clear" w:color="auto" w:fill="auto"/>
            <w:vAlign w:val="center"/>
          </w:tcPr>
          <w:p>
            <w:pPr>
              <w:jc w:val="right"/>
              <w:rPr>
                <w:rFonts w:ascii="宋体" w:hAnsi="宋体"/>
              </w:rPr>
            </w:pPr>
            <w:r>
              <w:rPr>
                <w:rFonts w:ascii="宋体" w:hAnsi="宋体"/>
              </w:rPr>
              <w:t>61,740,000</w:t>
            </w:r>
          </w:p>
        </w:tc>
        <w:tc>
          <w:tcPr>
            <w:tcW w:w="348" w:type="pct"/>
            <w:shd w:val="clear" w:color="auto" w:fill="auto"/>
            <w:vAlign w:val="center"/>
          </w:tcPr>
          <w:p>
            <w:pPr>
              <w:jc w:val="right"/>
              <w:rPr>
                <w:rFonts w:ascii="宋体" w:hAnsi="宋体"/>
              </w:rPr>
            </w:pPr>
            <w:r>
              <w:rPr>
                <w:rFonts w:ascii="宋体" w:hAnsi="宋体"/>
              </w:rPr>
              <w:t>1.25</w:t>
            </w:r>
          </w:p>
        </w:tc>
        <w:tc>
          <w:tcPr>
            <w:tcW w:w="744" w:type="pct"/>
            <w:shd w:val="clear" w:color="auto" w:fill="auto"/>
            <w:vAlign w:val="center"/>
          </w:tcPr>
          <w:p>
            <w:pPr>
              <w:jc w:val="right"/>
              <w:rPr>
                <w:rFonts w:ascii="宋体" w:hAnsi="宋体"/>
              </w:rPr>
            </w:pPr>
            <w:r>
              <w:rPr>
                <w:rFonts w:ascii="宋体" w:hAnsi="宋体"/>
              </w:rPr>
              <w:t>30,870,000</w:t>
            </w:r>
          </w:p>
        </w:tc>
        <w:tc>
          <w:tcPr>
            <w:tcW w:w="595" w:type="pct"/>
            <w:shd w:val="clear" w:color="auto" w:fill="auto"/>
            <w:vAlign w:val="center"/>
          </w:tcPr>
          <w:p>
            <w:pPr>
              <w:jc w:val="right"/>
              <w:rPr>
                <w:rFonts w:ascii="宋体" w:hAnsi="宋体"/>
              </w:rPr>
            </w:pPr>
            <w:r>
              <w:rPr>
                <w:rFonts w:ascii="宋体" w:hAnsi="宋体"/>
              </w:rPr>
              <w:t>-2,670,000</w:t>
            </w:r>
          </w:p>
        </w:tc>
        <w:tc>
          <w:tcPr>
            <w:tcW w:w="744" w:type="pct"/>
            <w:shd w:val="clear" w:color="auto" w:fill="auto"/>
            <w:vAlign w:val="center"/>
          </w:tcPr>
          <w:p>
            <w:pPr>
              <w:jc w:val="right"/>
              <w:rPr>
                <w:rFonts w:ascii="宋体" w:hAnsi="宋体"/>
              </w:rPr>
            </w:pPr>
            <w:r>
              <w:rPr>
                <w:rFonts w:ascii="宋体" w:hAnsi="宋体"/>
              </w:rPr>
              <w:t>28,200,000</w:t>
            </w:r>
          </w:p>
        </w:tc>
        <w:tc>
          <w:tcPr>
            <w:tcW w:w="744" w:type="pct"/>
            <w:shd w:val="clear" w:color="auto" w:fill="auto"/>
            <w:vAlign w:val="center"/>
          </w:tcPr>
          <w:p>
            <w:pPr>
              <w:jc w:val="right"/>
              <w:rPr>
                <w:rFonts w:ascii="宋体" w:hAnsi="宋体"/>
              </w:rPr>
            </w:pPr>
            <w:r>
              <w:rPr>
                <w:rFonts w:ascii="宋体" w:hAnsi="宋体"/>
              </w:rPr>
              <w:t>89,940,000</w:t>
            </w:r>
          </w:p>
        </w:tc>
        <w:tc>
          <w:tcPr>
            <w:tcW w:w="348" w:type="pct"/>
            <w:shd w:val="clear" w:color="auto" w:fill="auto"/>
            <w:vAlign w:val="center"/>
          </w:tcPr>
          <w:p>
            <w:pPr>
              <w:jc w:val="right"/>
              <w:rPr>
                <w:rFonts w:ascii="宋体" w:hAnsi="宋体"/>
              </w:rPr>
            </w:pPr>
            <w:r>
              <w:rPr>
                <w:rFonts w:ascii="宋体" w:hAnsi="宋体"/>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hint="eastAsia" w:ascii="宋体" w:hAnsi="宋体"/>
              </w:rPr>
              <w:t>4、</w:t>
            </w:r>
            <w:r>
              <w:rPr>
                <w:rFonts w:ascii="宋体" w:hAnsi="宋体"/>
              </w:rPr>
              <w:t>外资持股</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595"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其中：境外法人持股</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595"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ind w:firstLine="630" w:firstLineChars="300"/>
              <w:rPr>
                <w:rFonts w:ascii="宋体" w:hAnsi="宋体"/>
              </w:rPr>
            </w:pPr>
            <w:r>
              <w:rPr>
                <w:rFonts w:ascii="宋体" w:hAnsi="宋体"/>
              </w:rPr>
              <w:t>境外自然人持股</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595"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744" w:type="pct"/>
            <w:shd w:val="clear" w:color="auto" w:fill="auto"/>
            <w:vAlign w:val="center"/>
          </w:tcPr>
          <w:p>
            <w:pPr>
              <w:jc w:val="right"/>
              <w:rPr>
                <w:rFonts w:ascii="宋体" w:hAnsi="宋体"/>
              </w:rPr>
            </w:pPr>
            <w:r>
              <w:rPr>
                <w:rFonts w:hint="eastAsia" w:ascii="宋体" w:hAnsi="宋体"/>
              </w:rPr>
              <w:t>0</w:t>
            </w:r>
          </w:p>
        </w:tc>
        <w:tc>
          <w:tcPr>
            <w:tcW w:w="348" w:type="pct"/>
            <w:shd w:val="clear" w:color="auto" w:fill="auto"/>
            <w:vAlign w:val="center"/>
          </w:tcPr>
          <w:p>
            <w:pPr>
              <w:jc w:val="right"/>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二、无限售条件流通股份</w:t>
            </w:r>
          </w:p>
        </w:tc>
        <w:tc>
          <w:tcPr>
            <w:tcW w:w="744" w:type="pct"/>
            <w:shd w:val="clear" w:color="auto" w:fill="auto"/>
            <w:vAlign w:val="center"/>
          </w:tcPr>
          <w:p>
            <w:pPr>
              <w:jc w:val="right"/>
              <w:rPr>
                <w:rFonts w:ascii="宋体" w:hAnsi="宋体"/>
              </w:rPr>
            </w:pPr>
            <w:r>
              <w:rPr>
                <w:rFonts w:ascii="宋体" w:hAnsi="宋体"/>
              </w:rPr>
              <w:t>4,886,963,640</w:t>
            </w:r>
          </w:p>
        </w:tc>
        <w:tc>
          <w:tcPr>
            <w:tcW w:w="348" w:type="pct"/>
            <w:shd w:val="clear" w:color="auto" w:fill="auto"/>
            <w:vAlign w:val="center"/>
          </w:tcPr>
          <w:p>
            <w:pPr>
              <w:jc w:val="right"/>
              <w:rPr>
                <w:rFonts w:ascii="宋体" w:hAnsi="宋体"/>
              </w:rPr>
            </w:pPr>
            <w:r>
              <w:rPr>
                <w:rFonts w:ascii="宋体" w:hAnsi="宋体"/>
              </w:rPr>
              <w:t>98.75</w:t>
            </w:r>
          </w:p>
        </w:tc>
        <w:tc>
          <w:tcPr>
            <w:tcW w:w="744" w:type="pct"/>
            <w:shd w:val="clear" w:color="auto" w:fill="auto"/>
            <w:vAlign w:val="center"/>
          </w:tcPr>
          <w:p>
            <w:pPr>
              <w:jc w:val="right"/>
              <w:rPr>
                <w:rFonts w:ascii="宋体" w:hAnsi="宋体"/>
              </w:rPr>
            </w:pPr>
            <w:r>
              <w:rPr>
                <w:rFonts w:ascii="宋体" w:hAnsi="宋体"/>
              </w:rPr>
              <w:t>2,449,810,240</w:t>
            </w:r>
          </w:p>
        </w:tc>
        <w:tc>
          <w:tcPr>
            <w:tcW w:w="595" w:type="pct"/>
            <w:shd w:val="clear" w:color="auto" w:fill="auto"/>
            <w:vAlign w:val="center"/>
          </w:tcPr>
          <w:p>
            <w:pPr>
              <w:jc w:val="right"/>
              <w:rPr>
                <w:rFonts w:ascii="宋体" w:hAnsi="宋体"/>
              </w:rPr>
            </w:pPr>
            <w:r>
              <w:rPr>
                <w:rFonts w:ascii="宋体" w:hAnsi="宋体"/>
              </w:rPr>
              <w:t>12,656,840</w:t>
            </w:r>
          </w:p>
        </w:tc>
        <w:tc>
          <w:tcPr>
            <w:tcW w:w="744" w:type="pct"/>
            <w:shd w:val="clear" w:color="auto" w:fill="auto"/>
            <w:vAlign w:val="center"/>
          </w:tcPr>
          <w:p>
            <w:pPr>
              <w:jc w:val="right"/>
              <w:rPr>
                <w:rFonts w:ascii="宋体" w:hAnsi="宋体"/>
              </w:rPr>
            </w:pPr>
            <w:r>
              <w:rPr>
                <w:rFonts w:ascii="宋体" w:hAnsi="宋体"/>
              </w:rPr>
              <w:t>2,462,467,080</w:t>
            </w:r>
          </w:p>
        </w:tc>
        <w:tc>
          <w:tcPr>
            <w:tcW w:w="744" w:type="pct"/>
            <w:shd w:val="clear" w:color="auto" w:fill="auto"/>
            <w:vAlign w:val="center"/>
          </w:tcPr>
          <w:p>
            <w:pPr>
              <w:jc w:val="right"/>
              <w:rPr>
                <w:rFonts w:ascii="宋体" w:hAnsi="宋体"/>
              </w:rPr>
            </w:pPr>
            <w:r>
              <w:rPr>
                <w:rFonts w:ascii="宋体" w:hAnsi="宋体"/>
              </w:rPr>
              <w:t>7,349,430,720</w:t>
            </w:r>
          </w:p>
        </w:tc>
        <w:tc>
          <w:tcPr>
            <w:tcW w:w="348" w:type="pct"/>
            <w:shd w:val="clear" w:color="auto" w:fill="auto"/>
            <w:vAlign w:val="center"/>
          </w:tcPr>
          <w:p>
            <w:pPr>
              <w:jc w:val="right"/>
              <w:rPr>
                <w:rFonts w:ascii="宋体" w:hAnsi="宋体"/>
              </w:rPr>
            </w:pPr>
            <w:r>
              <w:rPr>
                <w:rFonts w:ascii="宋体" w:hAnsi="宋体"/>
              </w:rPr>
              <w:t>98.79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1、人民币普通股</w:t>
            </w:r>
          </w:p>
        </w:tc>
        <w:tc>
          <w:tcPr>
            <w:tcW w:w="744" w:type="pct"/>
            <w:shd w:val="clear" w:color="auto" w:fill="auto"/>
            <w:vAlign w:val="center"/>
          </w:tcPr>
          <w:p>
            <w:pPr>
              <w:jc w:val="right"/>
              <w:rPr>
                <w:rFonts w:ascii="宋体" w:hAnsi="宋体"/>
              </w:rPr>
            </w:pPr>
            <w:r>
              <w:rPr>
                <w:rFonts w:ascii="宋体" w:hAnsi="宋体"/>
              </w:rPr>
              <w:t>2,986,963,640</w:t>
            </w:r>
          </w:p>
        </w:tc>
        <w:tc>
          <w:tcPr>
            <w:tcW w:w="348" w:type="pct"/>
            <w:shd w:val="clear" w:color="auto" w:fill="auto"/>
            <w:vAlign w:val="center"/>
          </w:tcPr>
          <w:p>
            <w:pPr>
              <w:jc w:val="right"/>
              <w:rPr>
                <w:rFonts w:ascii="宋体" w:hAnsi="宋体"/>
              </w:rPr>
            </w:pPr>
            <w:r>
              <w:rPr>
                <w:rFonts w:ascii="宋体" w:hAnsi="宋体"/>
              </w:rPr>
              <w:t>60.36</w:t>
            </w:r>
          </w:p>
        </w:tc>
        <w:tc>
          <w:tcPr>
            <w:tcW w:w="744" w:type="pct"/>
            <w:shd w:val="clear" w:color="auto" w:fill="auto"/>
            <w:vAlign w:val="center"/>
          </w:tcPr>
          <w:p>
            <w:pPr>
              <w:jc w:val="right"/>
              <w:rPr>
                <w:rFonts w:ascii="宋体" w:hAnsi="宋体"/>
              </w:rPr>
            </w:pPr>
            <w:r>
              <w:rPr>
                <w:rFonts w:ascii="宋体" w:hAnsi="宋体"/>
              </w:rPr>
              <w:t>1,499,810,240</w:t>
            </w:r>
          </w:p>
        </w:tc>
        <w:tc>
          <w:tcPr>
            <w:tcW w:w="595" w:type="pct"/>
            <w:shd w:val="clear" w:color="auto" w:fill="auto"/>
            <w:vAlign w:val="center"/>
          </w:tcPr>
          <w:p>
            <w:pPr>
              <w:jc w:val="right"/>
              <w:rPr>
                <w:rFonts w:ascii="宋体" w:hAnsi="宋体"/>
              </w:rPr>
            </w:pPr>
            <w:r>
              <w:rPr>
                <w:rFonts w:ascii="宋体" w:hAnsi="宋体"/>
              </w:rPr>
              <w:t>12,656,840</w:t>
            </w:r>
          </w:p>
        </w:tc>
        <w:tc>
          <w:tcPr>
            <w:tcW w:w="744" w:type="pct"/>
            <w:shd w:val="clear" w:color="auto" w:fill="auto"/>
            <w:vAlign w:val="center"/>
          </w:tcPr>
          <w:p>
            <w:pPr>
              <w:jc w:val="right"/>
              <w:rPr>
                <w:rFonts w:ascii="宋体" w:hAnsi="宋体"/>
              </w:rPr>
            </w:pPr>
            <w:r>
              <w:rPr>
                <w:rFonts w:ascii="宋体" w:hAnsi="宋体"/>
              </w:rPr>
              <w:t>1,512,467,080</w:t>
            </w:r>
          </w:p>
        </w:tc>
        <w:tc>
          <w:tcPr>
            <w:tcW w:w="744" w:type="pct"/>
            <w:shd w:val="clear" w:color="auto" w:fill="auto"/>
            <w:vAlign w:val="center"/>
          </w:tcPr>
          <w:p>
            <w:pPr>
              <w:jc w:val="right"/>
              <w:rPr>
                <w:rFonts w:ascii="宋体" w:hAnsi="宋体"/>
              </w:rPr>
            </w:pPr>
            <w:r>
              <w:rPr>
                <w:rFonts w:ascii="宋体" w:hAnsi="宋体"/>
              </w:rPr>
              <w:t>4,499,430,720</w:t>
            </w:r>
          </w:p>
        </w:tc>
        <w:tc>
          <w:tcPr>
            <w:tcW w:w="348" w:type="pct"/>
            <w:shd w:val="clear" w:color="auto" w:fill="auto"/>
            <w:vAlign w:val="center"/>
          </w:tcPr>
          <w:p>
            <w:pPr>
              <w:jc w:val="right"/>
              <w:rPr>
                <w:rFonts w:ascii="宋体" w:hAnsi="宋体"/>
              </w:rPr>
            </w:pPr>
            <w:r>
              <w:rPr>
                <w:rFonts w:ascii="宋体" w:hAnsi="宋体"/>
              </w:rPr>
              <w:t>60.48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2、境内上市的外资股</w:t>
            </w:r>
          </w:p>
        </w:tc>
        <w:tc>
          <w:tcPr>
            <w:tcW w:w="744" w:type="pct"/>
            <w:shd w:val="clear" w:color="auto" w:fill="auto"/>
            <w:vAlign w:val="center"/>
          </w:tcPr>
          <w:p>
            <w:pPr>
              <w:jc w:val="right"/>
              <w:rPr>
                <w:rFonts w:ascii="宋体" w:hAnsi="宋体"/>
              </w:rPr>
            </w:pPr>
            <w:r>
              <w:rPr>
                <w:rFonts w:ascii="宋体" w:hAnsi="宋体"/>
              </w:rPr>
              <w:t>0</w:t>
            </w:r>
          </w:p>
        </w:tc>
        <w:tc>
          <w:tcPr>
            <w:tcW w:w="348" w:type="pct"/>
            <w:shd w:val="clear" w:color="auto" w:fill="auto"/>
            <w:vAlign w:val="center"/>
          </w:tcPr>
          <w:p>
            <w:pPr>
              <w:jc w:val="right"/>
              <w:rPr>
                <w:rFonts w:ascii="宋体" w:hAnsi="宋体"/>
              </w:rPr>
            </w:pPr>
            <w:r>
              <w:rPr>
                <w:rFonts w:ascii="宋体" w:hAnsi="宋体"/>
              </w:rPr>
              <w:t>0</w:t>
            </w:r>
          </w:p>
        </w:tc>
        <w:tc>
          <w:tcPr>
            <w:tcW w:w="744" w:type="pct"/>
            <w:shd w:val="clear" w:color="auto" w:fill="auto"/>
            <w:vAlign w:val="center"/>
          </w:tcPr>
          <w:p>
            <w:pPr>
              <w:jc w:val="right"/>
              <w:rPr>
                <w:rFonts w:ascii="宋体" w:hAnsi="宋体"/>
              </w:rPr>
            </w:pPr>
            <w:r>
              <w:rPr>
                <w:rFonts w:ascii="宋体" w:hAnsi="宋体"/>
              </w:rPr>
              <w:t>0</w:t>
            </w:r>
          </w:p>
        </w:tc>
        <w:tc>
          <w:tcPr>
            <w:tcW w:w="595" w:type="pct"/>
            <w:shd w:val="clear" w:color="auto" w:fill="auto"/>
            <w:vAlign w:val="center"/>
          </w:tcPr>
          <w:p>
            <w:pPr>
              <w:jc w:val="right"/>
              <w:rPr>
                <w:rFonts w:ascii="宋体" w:hAnsi="宋体"/>
              </w:rPr>
            </w:pPr>
            <w:r>
              <w:rPr>
                <w:rFonts w:ascii="宋体" w:hAnsi="宋体"/>
              </w:rPr>
              <w:t>0</w:t>
            </w:r>
          </w:p>
        </w:tc>
        <w:tc>
          <w:tcPr>
            <w:tcW w:w="744" w:type="pct"/>
            <w:shd w:val="clear" w:color="auto" w:fill="auto"/>
            <w:vAlign w:val="center"/>
          </w:tcPr>
          <w:p>
            <w:pPr>
              <w:jc w:val="right"/>
              <w:rPr>
                <w:rFonts w:ascii="宋体" w:hAnsi="宋体"/>
              </w:rPr>
            </w:pPr>
            <w:r>
              <w:rPr>
                <w:rFonts w:ascii="宋体" w:hAnsi="宋体"/>
              </w:rPr>
              <w:t>0</w:t>
            </w:r>
          </w:p>
        </w:tc>
        <w:tc>
          <w:tcPr>
            <w:tcW w:w="744" w:type="pct"/>
            <w:shd w:val="clear" w:color="auto" w:fill="auto"/>
            <w:vAlign w:val="center"/>
          </w:tcPr>
          <w:p>
            <w:pPr>
              <w:jc w:val="right"/>
              <w:rPr>
                <w:rFonts w:ascii="宋体" w:hAnsi="宋体"/>
              </w:rPr>
            </w:pPr>
            <w:r>
              <w:rPr>
                <w:rFonts w:ascii="宋体" w:hAnsi="宋体"/>
              </w:rPr>
              <w:t>0</w:t>
            </w:r>
          </w:p>
        </w:tc>
        <w:tc>
          <w:tcPr>
            <w:tcW w:w="348" w:type="pct"/>
            <w:shd w:val="clear" w:color="auto" w:fill="auto"/>
            <w:vAlign w:val="center"/>
          </w:tcPr>
          <w:p>
            <w:pPr>
              <w:jc w:val="right"/>
              <w:rPr>
                <w:rFonts w:ascii="宋体" w:hAnsi="宋体"/>
              </w:rPr>
            </w:pPr>
            <w:r>
              <w:rPr>
                <w:rFonts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3、境外上市的外资股</w:t>
            </w:r>
          </w:p>
        </w:tc>
        <w:tc>
          <w:tcPr>
            <w:tcW w:w="744" w:type="pct"/>
            <w:shd w:val="clear" w:color="auto" w:fill="auto"/>
            <w:vAlign w:val="center"/>
          </w:tcPr>
          <w:p>
            <w:pPr>
              <w:jc w:val="right"/>
              <w:rPr>
                <w:rFonts w:ascii="宋体" w:hAnsi="宋体"/>
              </w:rPr>
            </w:pPr>
            <w:r>
              <w:rPr>
                <w:rFonts w:ascii="宋体" w:hAnsi="宋体"/>
              </w:rPr>
              <w:t>1,900,000,000</w:t>
            </w:r>
          </w:p>
        </w:tc>
        <w:tc>
          <w:tcPr>
            <w:tcW w:w="348" w:type="pct"/>
            <w:shd w:val="clear" w:color="auto" w:fill="auto"/>
            <w:vAlign w:val="center"/>
          </w:tcPr>
          <w:p>
            <w:pPr>
              <w:jc w:val="right"/>
              <w:rPr>
                <w:rFonts w:ascii="宋体" w:hAnsi="宋体"/>
              </w:rPr>
            </w:pPr>
            <w:r>
              <w:rPr>
                <w:rFonts w:ascii="宋体" w:hAnsi="宋体"/>
              </w:rPr>
              <w:t>38.39</w:t>
            </w:r>
          </w:p>
        </w:tc>
        <w:tc>
          <w:tcPr>
            <w:tcW w:w="744" w:type="pct"/>
            <w:shd w:val="clear" w:color="auto" w:fill="auto"/>
            <w:vAlign w:val="center"/>
          </w:tcPr>
          <w:p>
            <w:pPr>
              <w:jc w:val="right"/>
              <w:rPr>
                <w:rFonts w:ascii="宋体" w:hAnsi="宋体"/>
              </w:rPr>
            </w:pPr>
            <w:r>
              <w:rPr>
                <w:rFonts w:ascii="宋体" w:hAnsi="宋体"/>
              </w:rPr>
              <w:t>950,000,000</w:t>
            </w:r>
          </w:p>
        </w:tc>
        <w:tc>
          <w:tcPr>
            <w:tcW w:w="595" w:type="pct"/>
            <w:shd w:val="clear" w:color="auto" w:fill="auto"/>
            <w:vAlign w:val="center"/>
          </w:tcPr>
          <w:p>
            <w:pPr>
              <w:jc w:val="right"/>
              <w:rPr>
                <w:rFonts w:ascii="宋体" w:hAnsi="宋体"/>
              </w:rPr>
            </w:pPr>
            <w:r>
              <w:rPr>
                <w:rFonts w:ascii="宋体" w:hAnsi="宋体"/>
              </w:rPr>
              <w:t>0</w:t>
            </w:r>
          </w:p>
        </w:tc>
        <w:tc>
          <w:tcPr>
            <w:tcW w:w="744" w:type="pct"/>
            <w:shd w:val="clear" w:color="auto" w:fill="auto"/>
            <w:vAlign w:val="center"/>
          </w:tcPr>
          <w:p>
            <w:pPr>
              <w:jc w:val="right"/>
              <w:rPr>
                <w:rFonts w:ascii="宋体" w:hAnsi="宋体"/>
              </w:rPr>
            </w:pPr>
            <w:r>
              <w:rPr>
                <w:rFonts w:ascii="宋体" w:hAnsi="宋体"/>
              </w:rPr>
              <w:t>950,000,000</w:t>
            </w:r>
          </w:p>
        </w:tc>
        <w:tc>
          <w:tcPr>
            <w:tcW w:w="744" w:type="pct"/>
            <w:shd w:val="clear" w:color="auto" w:fill="auto"/>
            <w:vAlign w:val="center"/>
          </w:tcPr>
          <w:p>
            <w:pPr>
              <w:jc w:val="right"/>
              <w:rPr>
                <w:rFonts w:ascii="宋体" w:hAnsi="宋体"/>
              </w:rPr>
            </w:pPr>
            <w:r>
              <w:rPr>
                <w:rFonts w:ascii="宋体" w:hAnsi="宋体"/>
              </w:rPr>
              <w:t>2,850,000,000</w:t>
            </w:r>
          </w:p>
        </w:tc>
        <w:tc>
          <w:tcPr>
            <w:tcW w:w="348" w:type="pct"/>
            <w:shd w:val="clear" w:color="auto" w:fill="auto"/>
            <w:vAlign w:val="center"/>
          </w:tcPr>
          <w:p>
            <w:pPr>
              <w:jc w:val="right"/>
              <w:rPr>
                <w:rFonts w:ascii="宋体" w:hAnsi="宋体"/>
              </w:rPr>
            </w:pPr>
            <w:r>
              <w:rPr>
                <w:rFonts w:ascii="宋体" w:hAnsi="宋体"/>
              </w:rPr>
              <w:t>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4、其他</w:t>
            </w:r>
          </w:p>
        </w:tc>
        <w:tc>
          <w:tcPr>
            <w:tcW w:w="744" w:type="pct"/>
            <w:shd w:val="clear" w:color="auto" w:fill="auto"/>
            <w:vAlign w:val="center"/>
          </w:tcPr>
          <w:p>
            <w:pPr>
              <w:jc w:val="right"/>
              <w:rPr>
                <w:rFonts w:ascii="宋体" w:hAnsi="宋体"/>
              </w:rPr>
            </w:pPr>
            <w:r>
              <w:rPr>
                <w:rFonts w:ascii="宋体" w:hAnsi="宋体"/>
              </w:rPr>
              <w:t>0</w:t>
            </w:r>
          </w:p>
        </w:tc>
        <w:tc>
          <w:tcPr>
            <w:tcW w:w="348" w:type="pct"/>
            <w:shd w:val="clear" w:color="auto" w:fill="auto"/>
            <w:vAlign w:val="center"/>
          </w:tcPr>
          <w:p>
            <w:pPr>
              <w:jc w:val="right"/>
              <w:rPr>
                <w:rFonts w:ascii="宋体" w:hAnsi="宋体"/>
              </w:rPr>
            </w:pPr>
            <w:r>
              <w:rPr>
                <w:rFonts w:ascii="宋体" w:hAnsi="宋体"/>
              </w:rPr>
              <w:t>0</w:t>
            </w:r>
          </w:p>
        </w:tc>
        <w:tc>
          <w:tcPr>
            <w:tcW w:w="744" w:type="pct"/>
            <w:shd w:val="clear" w:color="auto" w:fill="auto"/>
          </w:tcPr>
          <w:p>
            <w:pPr>
              <w:jc w:val="right"/>
              <w:rPr>
                <w:rFonts w:ascii="宋体" w:hAnsi="宋体"/>
              </w:rPr>
            </w:pPr>
            <w:r>
              <w:rPr>
                <w:rFonts w:ascii="宋体" w:hAnsi="宋体"/>
              </w:rPr>
              <w:t>0</w:t>
            </w:r>
          </w:p>
        </w:tc>
        <w:tc>
          <w:tcPr>
            <w:tcW w:w="595" w:type="pct"/>
            <w:shd w:val="clear" w:color="auto" w:fill="auto"/>
          </w:tcPr>
          <w:p>
            <w:pPr>
              <w:jc w:val="right"/>
              <w:rPr>
                <w:rFonts w:ascii="宋体" w:hAnsi="宋体"/>
              </w:rPr>
            </w:pPr>
            <w:r>
              <w:rPr>
                <w:rFonts w:ascii="宋体" w:hAnsi="宋体"/>
              </w:rPr>
              <w:t>0</w:t>
            </w:r>
          </w:p>
        </w:tc>
        <w:tc>
          <w:tcPr>
            <w:tcW w:w="744" w:type="pct"/>
            <w:shd w:val="clear" w:color="auto" w:fill="auto"/>
          </w:tcPr>
          <w:p>
            <w:pPr>
              <w:jc w:val="right"/>
              <w:rPr>
                <w:rFonts w:ascii="宋体" w:hAnsi="宋体"/>
              </w:rPr>
            </w:pPr>
            <w:r>
              <w:rPr>
                <w:rFonts w:ascii="宋体" w:hAnsi="宋体"/>
              </w:rPr>
              <w:t>0</w:t>
            </w:r>
          </w:p>
        </w:tc>
        <w:tc>
          <w:tcPr>
            <w:tcW w:w="744" w:type="pct"/>
            <w:shd w:val="clear" w:color="auto" w:fill="auto"/>
          </w:tcPr>
          <w:p>
            <w:pPr>
              <w:jc w:val="right"/>
              <w:rPr>
                <w:rFonts w:ascii="宋体" w:hAnsi="宋体"/>
              </w:rPr>
            </w:pPr>
            <w:r>
              <w:rPr>
                <w:rFonts w:ascii="宋体" w:hAnsi="宋体"/>
              </w:rPr>
              <w:t>0</w:t>
            </w:r>
          </w:p>
        </w:tc>
        <w:tc>
          <w:tcPr>
            <w:tcW w:w="348" w:type="pct"/>
            <w:shd w:val="clear" w:color="auto" w:fill="auto"/>
          </w:tcPr>
          <w:p>
            <w:pPr>
              <w:jc w:val="right"/>
              <w:rPr>
                <w:rFonts w:ascii="宋体" w:hAnsi="宋体"/>
              </w:rPr>
            </w:pPr>
            <w:r>
              <w:rPr>
                <w:rFonts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shd w:val="clear" w:color="auto" w:fill="auto"/>
          </w:tcPr>
          <w:p>
            <w:pPr>
              <w:rPr>
                <w:rFonts w:ascii="宋体" w:hAnsi="宋体"/>
              </w:rPr>
            </w:pPr>
            <w:r>
              <w:rPr>
                <w:rFonts w:ascii="宋体" w:hAnsi="宋体"/>
              </w:rPr>
              <w:t>三、股份</w:t>
            </w:r>
            <w:r>
              <w:rPr>
                <w:rFonts w:hint="eastAsia" w:ascii="宋体" w:hAnsi="宋体"/>
              </w:rPr>
              <w:t>总数</w:t>
            </w:r>
          </w:p>
        </w:tc>
        <w:tc>
          <w:tcPr>
            <w:tcW w:w="744" w:type="pct"/>
            <w:shd w:val="clear" w:color="auto" w:fill="auto"/>
            <w:vAlign w:val="center"/>
          </w:tcPr>
          <w:p>
            <w:pPr>
              <w:jc w:val="right"/>
              <w:rPr>
                <w:rFonts w:ascii="宋体" w:hAnsi="宋体"/>
              </w:rPr>
            </w:pPr>
            <w:r>
              <w:rPr>
                <w:rFonts w:ascii="宋体" w:hAnsi="宋体"/>
              </w:rPr>
              <w:t>4,948,703,640</w:t>
            </w:r>
          </w:p>
        </w:tc>
        <w:tc>
          <w:tcPr>
            <w:tcW w:w="348" w:type="pct"/>
            <w:shd w:val="clear" w:color="auto" w:fill="auto"/>
            <w:vAlign w:val="center"/>
          </w:tcPr>
          <w:p>
            <w:pPr>
              <w:jc w:val="right"/>
              <w:rPr>
                <w:rFonts w:ascii="宋体" w:hAnsi="宋体"/>
              </w:rPr>
            </w:pPr>
            <w:r>
              <w:rPr>
                <w:rFonts w:ascii="宋体" w:hAnsi="宋体"/>
              </w:rPr>
              <w:t>100</w:t>
            </w:r>
          </w:p>
        </w:tc>
        <w:tc>
          <w:tcPr>
            <w:tcW w:w="744" w:type="pct"/>
            <w:shd w:val="clear" w:color="auto" w:fill="auto"/>
            <w:vAlign w:val="center"/>
          </w:tcPr>
          <w:p>
            <w:pPr>
              <w:jc w:val="right"/>
              <w:rPr>
                <w:rFonts w:ascii="宋体" w:hAnsi="宋体"/>
              </w:rPr>
            </w:pPr>
            <w:r>
              <w:rPr>
                <w:rFonts w:ascii="宋体" w:hAnsi="宋体"/>
              </w:rPr>
              <w:t>2,480,680,240</w:t>
            </w:r>
          </w:p>
        </w:tc>
        <w:tc>
          <w:tcPr>
            <w:tcW w:w="595" w:type="pct"/>
            <w:shd w:val="clear" w:color="auto" w:fill="auto"/>
            <w:vAlign w:val="center"/>
          </w:tcPr>
          <w:p>
            <w:pPr>
              <w:jc w:val="right"/>
              <w:rPr>
                <w:rFonts w:ascii="宋体" w:hAnsi="宋体"/>
              </w:rPr>
            </w:pPr>
            <w:r>
              <w:rPr>
                <w:rFonts w:ascii="宋体" w:hAnsi="宋体"/>
              </w:rPr>
              <w:t>9,986,840</w:t>
            </w:r>
          </w:p>
        </w:tc>
        <w:tc>
          <w:tcPr>
            <w:tcW w:w="744" w:type="pct"/>
            <w:shd w:val="clear" w:color="auto" w:fill="auto"/>
            <w:vAlign w:val="center"/>
          </w:tcPr>
          <w:p>
            <w:pPr>
              <w:jc w:val="right"/>
              <w:rPr>
                <w:rFonts w:ascii="宋体" w:hAnsi="宋体"/>
              </w:rPr>
            </w:pPr>
            <w:r>
              <w:rPr>
                <w:rFonts w:ascii="宋体" w:hAnsi="宋体"/>
              </w:rPr>
              <w:t>2,490,667,080</w:t>
            </w:r>
          </w:p>
        </w:tc>
        <w:tc>
          <w:tcPr>
            <w:tcW w:w="744" w:type="pct"/>
            <w:shd w:val="clear" w:color="auto" w:fill="auto"/>
            <w:vAlign w:val="center"/>
          </w:tcPr>
          <w:p>
            <w:pPr>
              <w:jc w:val="right"/>
              <w:rPr>
                <w:rFonts w:ascii="宋体" w:hAnsi="宋体"/>
              </w:rPr>
            </w:pPr>
            <w:r>
              <w:rPr>
                <w:rFonts w:ascii="宋体" w:hAnsi="宋体"/>
              </w:rPr>
              <w:t>7,439,370,720</w:t>
            </w:r>
          </w:p>
        </w:tc>
        <w:tc>
          <w:tcPr>
            <w:tcW w:w="348" w:type="pct"/>
            <w:shd w:val="clear" w:color="auto" w:fill="auto"/>
            <w:vAlign w:val="center"/>
          </w:tcPr>
          <w:p>
            <w:pPr>
              <w:jc w:val="right"/>
              <w:rPr>
                <w:rFonts w:ascii="宋体" w:hAnsi="宋体"/>
              </w:rPr>
            </w:pPr>
            <w:r>
              <w:rPr>
                <w:rFonts w:ascii="宋体" w:hAnsi="宋体"/>
              </w:rPr>
              <w:t>100</w:t>
            </w:r>
          </w:p>
        </w:tc>
      </w:tr>
    </w:tbl>
    <w:p>
      <w:pPr>
        <w:ind w:firstLine="420" w:firstLineChars="200"/>
        <w:rPr>
          <w:rFonts w:ascii="宋体" w:hAnsi="宋体"/>
        </w:rPr>
      </w:pPr>
      <w:r>
        <w:rPr>
          <w:rFonts w:hint="eastAsia" w:ascii="宋体" w:hAnsi="宋体"/>
        </w:rPr>
        <w:t>注：</w:t>
      </w:r>
    </w:p>
    <w:p>
      <w:pPr>
        <w:ind w:firstLine="420" w:firstLineChars="200"/>
        <w:rPr>
          <w:rFonts w:ascii="宋体" w:hAnsi="宋体"/>
        </w:rPr>
      </w:pPr>
      <w:r>
        <w:rPr>
          <w:rFonts w:hint="eastAsia" w:ascii="宋体" w:hAnsi="宋体"/>
        </w:rPr>
        <w:t>①报告期内，公司完成了</w:t>
      </w:r>
      <w:r>
        <w:rPr>
          <w:rFonts w:ascii="宋体" w:hAnsi="宋体"/>
        </w:rPr>
        <w:t>2018年A股股票期权激励计划第三个行权期自主行权以及相应股份过户登记、2022年度利润分配之股票红利派发和部分限制性股票回购注销，公司总股本</w:t>
      </w:r>
      <w:r>
        <w:rPr>
          <w:rFonts w:hint="eastAsia" w:ascii="宋体" w:hAnsi="宋体"/>
        </w:rPr>
        <w:t>由</w:t>
      </w:r>
      <w:r>
        <w:rPr>
          <w:rFonts w:ascii="宋体" w:hAnsi="宋体"/>
        </w:rPr>
        <w:t>4,948,703,640</w:t>
      </w:r>
      <w:r>
        <w:rPr>
          <w:rFonts w:hint="eastAsia" w:ascii="宋体" w:hAnsi="宋体"/>
        </w:rPr>
        <w:t>股</w:t>
      </w:r>
      <w:r>
        <w:rPr>
          <w:rFonts w:ascii="宋体" w:hAnsi="宋体"/>
        </w:rPr>
        <w:t>调整至7,439,370,720股</w:t>
      </w:r>
      <w:r>
        <w:rPr>
          <w:rFonts w:hint="eastAsia" w:ascii="宋体" w:hAnsi="宋体"/>
        </w:rPr>
        <w:t>。</w:t>
      </w:r>
    </w:p>
    <w:p>
      <w:pPr>
        <w:ind w:firstLine="420" w:firstLineChars="200"/>
        <w:rPr>
          <w:rFonts w:ascii="宋体" w:hAnsi="宋体"/>
        </w:rPr>
      </w:pPr>
      <w:r>
        <w:rPr>
          <w:rFonts w:hint="eastAsia" w:ascii="宋体" w:hAnsi="宋体"/>
        </w:rPr>
        <w:t>②根据中国证券登记结算有限责任公司出具的公司《发行人股本结构表》，截至报告期末，公司</w:t>
      </w:r>
      <w:r>
        <w:rPr>
          <w:rFonts w:ascii="宋体" w:hAnsi="宋体"/>
        </w:rPr>
        <w:t>A股股本共计4,589,370,720股，其中：89,940,000股为有限售条件流通股份，4,499,430,720</w:t>
      </w:r>
      <w:r>
        <w:rPr>
          <w:rFonts w:hint="eastAsia" w:ascii="宋体" w:hAnsi="宋体"/>
        </w:rPr>
        <w:t>股为无限售条件流通股份。</w:t>
      </w:r>
    </w:p>
    <w:p>
      <w:pPr>
        <w:rPr>
          <w:rFonts w:ascii="宋体" w:hAnsi="宋体"/>
        </w:rPr>
      </w:pPr>
    </w:p>
    <w:p>
      <w:pPr>
        <w:pStyle w:val="5"/>
        <w:numPr>
          <w:ilvl w:val="2"/>
          <w:numId w:val="47"/>
        </w:numPr>
        <w:rPr>
          <w:rFonts w:ascii="宋体" w:hAnsi="宋体" w:eastAsia="宋体"/>
        </w:rPr>
      </w:pPr>
      <w:r>
        <w:rPr>
          <w:rFonts w:ascii="宋体" w:hAnsi="宋体" w:eastAsia="宋体"/>
        </w:rPr>
        <w:t>股份变动情况说明</w:t>
      </w:r>
    </w:p>
    <w:sdt>
      <w:sdtPr>
        <w:rPr>
          <w:rFonts w:hint="eastAsia" w:ascii="宋体" w:hAnsi="宋体"/>
        </w:rPr>
        <w:alias w:val="是否适用：普通股股份变动情况说明[双击切换]"/>
        <w:tag w:val="_GBC_b52413c1d37b456ba72aa8b8840cb9d8"/>
        <w:id w:val="376205464"/>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股份变动情况说明"/>
        <w:tag w:val="_GBC_0049817ff5b44e28a8751c37cab3f894"/>
        <w:id w:val="-690990410"/>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经</w:t>
          </w:r>
          <w:r>
            <w:rPr>
              <w:rFonts w:ascii="宋体" w:hAnsi="宋体"/>
            </w:rPr>
            <w:t>2023年4月24日召开的公司第八届董事会第</w:t>
          </w:r>
          <w:r>
            <w:rPr>
              <w:rFonts w:hint="eastAsia" w:ascii="宋体" w:hAnsi="宋体"/>
            </w:rPr>
            <w:t>二十八</w:t>
          </w:r>
          <w:r>
            <w:rPr>
              <w:rFonts w:ascii="宋体" w:hAnsi="宋体"/>
            </w:rPr>
            <w:t>次会议审议批准，确认公司2018年A股股</w:t>
          </w:r>
          <w:r>
            <w:rPr>
              <w:rFonts w:hint="eastAsia" w:ascii="宋体" w:hAnsi="宋体"/>
            </w:rPr>
            <w:t>票期权激励计划第三个行权期行权条件已成就，截至报告期末，第三个行权期可行权股票期权已全部行权完毕，共行权</w:t>
          </w:r>
          <w:r>
            <w:rPr>
              <w:rFonts w:ascii="宋体" w:hAnsi="宋体"/>
            </w:rPr>
            <w:t>12,656,840份</w:t>
          </w:r>
          <w:r>
            <w:rPr>
              <w:rFonts w:hint="eastAsia" w:ascii="宋体" w:hAnsi="宋体"/>
            </w:rPr>
            <w:t>；经</w:t>
          </w:r>
          <w:r>
            <w:rPr>
              <w:rFonts w:ascii="宋体" w:hAnsi="宋体"/>
            </w:rPr>
            <w:t>2023年6月30日召开的公司</w:t>
          </w:r>
          <w:r>
            <w:rPr>
              <w:rFonts w:hint="eastAsia" w:ascii="宋体" w:hAnsi="宋体"/>
            </w:rPr>
            <w:t>2</w:t>
          </w:r>
          <w:r>
            <w:rPr>
              <w:rFonts w:ascii="宋体" w:hAnsi="宋体"/>
            </w:rPr>
            <w:t>022</w:t>
          </w:r>
          <w:r>
            <w:rPr>
              <w:rFonts w:hint="eastAsia" w:ascii="宋体" w:hAnsi="宋体"/>
            </w:rPr>
            <w:t>年度股东周年大会</w:t>
          </w:r>
          <w:r>
            <w:rPr>
              <w:rFonts w:ascii="宋体" w:hAnsi="宋体"/>
            </w:rPr>
            <w:t>审议批准，</w:t>
          </w:r>
          <w:r>
            <w:rPr>
              <w:rFonts w:hint="eastAsia" w:ascii="宋体" w:hAnsi="宋体"/>
            </w:rPr>
            <w:t>以分红派息股权登记日总股本为基数，向股东每</w:t>
          </w:r>
          <w:r>
            <w:rPr>
              <w:rFonts w:ascii="宋体" w:hAnsi="宋体"/>
            </w:rPr>
            <w:t>10股派发5股股票股利</w:t>
          </w:r>
          <w:r>
            <w:rPr>
              <w:rFonts w:hint="eastAsia" w:ascii="宋体" w:hAnsi="宋体"/>
            </w:rPr>
            <w:t>，截至报告期末，股票股利已全部派发完毕，共派发</w:t>
          </w:r>
          <w:r>
            <w:rPr>
              <w:rFonts w:ascii="宋体" w:hAnsi="宋体"/>
            </w:rPr>
            <w:t>2,480,680,240</w:t>
          </w:r>
          <w:r>
            <w:rPr>
              <w:rFonts w:hint="eastAsia" w:ascii="宋体" w:hAnsi="宋体"/>
            </w:rPr>
            <w:t>股；经</w:t>
          </w:r>
          <w:r>
            <w:rPr>
              <w:rFonts w:ascii="宋体" w:hAnsi="宋体"/>
            </w:rPr>
            <w:t>2023年8月25日召开的公司第</w:t>
          </w:r>
          <w:r>
            <w:rPr>
              <w:rFonts w:hint="eastAsia" w:ascii="宋体" w:hAnsi="宋体"/>
            </w:rPr>
            <w:t>九</w:t>
          </w:r>
          <w:r>
            <w:rPr>
              <w:rFonts w:ascii="宋体" w:hAnsi="宋体"/>
            </w:rPr>
            <w:t>届董事会第二次会议审议批准，</w:t>
          </w:r>
          <w:r>
            <w:rPr>
              <w:rFonts w:hint="eastAsia" w:ascii="宋体" w:hAnsi="宋体"/>
            </w:rPr>
            <w:t>对2</w:t>
          </w:r>
          <w:r>
            <w:rPr>
              <w:rFonts w:ascii="宋体" w:hAnsi="宋体"/>
            </w:rPr>
            <w:t>021</w:t>
          </w:r>
          <w:r>
            <w:rPr>
              <w:rFonts w:hint="eastAsia" w:ascii="宋体" w:hAnsi="宋体"/>
            </w:rPr>
            <w:t>年A股限制性股票激励计划部分已不符合激励条件的限制性股票进行回购，截至报告期末，已回购并注销</w:t>
          </w:r>
          <w:r>
            <w:rPr>
              <w:rFonts w:ascii="宋体" w:hAnsi="宋体"/>
            </w:rPr>
            <w:t>2,670,000</w:t>
          </w:r>
          <w:r>
            <w:rPr>
              <w:rFonts w:hint="eastAsia" w:ascii="宋体" w:hAnsi="宋体"/>
            </w:rPr>
            <w:t>股。</w:t>
          </w:r>
        </w:p>
        <w:p>
          <w:pPr>
            <w:ind w:firstLine="420" w:firstLineChars="200"/>
            <w:rPr>
              <w:rFonts w:ascii="宋体" w:hAnsi="宋体"/>
            </w:rPr>
          </w:pPr>
          <w:r>
            <w:rPr>
              <w:rFonts w:hint="eastAsia" w:ascii="宋体" w:hAnsi="宋体"/>
            </w:rPr>
            <w:t>有关详情请见公司日期为</w:t>
          </w:r>
          <w:r>
            <w:rPr>
              <w:rFonts w:ascii="宋体" w:hAnsi="宋体"/>
            </w:rPr>
            <w:t>2023年4月24日的第</w:t>
          </w:r>
          <w:r>
            <w:rPr>
              <w:rFonts w:hint="eastAsia" w:ascii="宋体" w:hAnsi="宋体"/>
            </w:rPr>
            <w:t>三</w:t>
          </w:r>
          <w:r>
            <w:rPr>
              <w:rFonts w:ascii="宋体" w:hAnsi="宋体"/>
            </w:rPr>
            <w:t>个行权期行权条件成就公告</w:t>
          </w:r>
          <w:r>
            <w:rPr>
              <w:rFonts w:hint="eastAsia" w:ascii="宋体" w:hAnsi="宋体"/>
            </w:rPr>
            <w:t>、</w:t>
          </w:r>
          <w:r>
            <w:rPr>
              <w:rFonts w:ascii="宋体" w:hAnsi="宋体"/>
            </w:rPr>
            <w:t>日期</w:t>
          </w:r>
          <w:r>
            <w:rPr>
              <w:rFonts w:hint="eastAsia" w:ascii="宋体" w:hAnsi="宋体"/>
            </w:rPr>
            <w:t>为</w:t>
          </w:r>
          <w:r>
            <w:rPr>
              <w:rFonts w:ascii="宋体" w:hAnsi="宋体"/>
            </w:rPr>
            <w:t>2023年5月25日的自主行权结果公告</w:t>
          </w:r>
          <w:r>
            <w:rPr>
              <w:rFonts w:hint="eastAsia" w:ascii="宋体" w:hAnsi="宋体"/>
            </w:rPr>
            <w:t>；日期为</w:t>
          </w:r>
          <w:r>
            <w:rPr>
              <w:rFonts w:ascii="宋体" w:hAnsi="宋体"/>
            </w:rPr>
            <w:t>2023年6月30日的</w:t>
          </w:r>
          <w:r>
            <w:rPr>
              <w:rFonts w:hint="eastAsia" w:ascii="宋体" w:hAnsi="宋体"/>
            </w:rPr>
            <w:t>2</w:t>
          </w:r>
          <w:r>
            <w:rPr>
              <w:rFonts w:ascii="宋体" w:hAnsi="宋体"/>
            </w:rPr>
            <w:t>022</w:t>
          </w:r>
          <w:r>
            <w:rPr>
              <w:rFonts w:hint="eastAsia" w:ascii="宋体" w:hAnsi="宋体"/>
            </w:rPr>
            <w:t>年度股东周年大会决议</w:t>
          </w:r>
          <w:r>
            <w:rPr>
              <w:rFonts w:ascii="宋体" w:hAnsi="宋体"/>
            </w:rPr>
            <w:t>公告</w:t>
          </w:r>
          <w:r>
            <w:rPr>
              <w:rFonts w:hint="eastAsia" w:ascii="宋体" w:hAnsi="宋体"/>
            </w:rPr>
            <w:t>、日期为2</w:t>
          </w:r>
          <w:r>
            <w:rPr>
              <w:rFonts w:ascii="宋体" w:hAnsi="宋体"/>
            </w:rPr>
            <w:t>023</w:t>
          </w:r>
          <w:r>
            <w:rPr>
              <w:rFonts w:hint="eastAsia" w:ascii="宋体" w:hAnsi="宋体"/>
            </w:rPr>
            <w:t>年7月7日的2</w:t>
          </w:r>
          <w:r>
            <w:rPr>
              <w:rFonts w:ascii="宋体" w:hAnsi="宋体"/>
            </w:rPr>
            <w:t>022</w:t>
          </w:r>
          <w:r>
            <w:rPr>
              <w:rFonts w:hint="eastAsia" w:ascii="宋体" w:hAnsi="宋体"/>
            </w:rPr>
            <w:t>年度权益分派实施公告；日期为</w:t>
          </w:r>
          <w:r>
            <w:rPr>
              <w:rFonts w:ascii="宋体" w:hAnsi="宋体"/>
            </w:rPr>
            <w:t>202</w:t>
          </w:r>
          <w:r>
            <w:rPr>
              <w:rFonts w:hint="eastAsia" w:ascii="宋体" w:hAnsi="宋体"/>
            </w:rPr>
            <w:t>3</w:t>
          </w:r>
          <w:r>
            <w:rPr>
              <w:rFonts w:ascii="宋体" w:hAnsi="宋体"/>
            </w:rPr>
            <w:t>年8月25日</w:t>
          </w:r>
          <w:r>
            <w:rPr>
              <w:rFonts w:hint="eastAsia" w:ascii="宋体" w:hAnsi="宋体"/>
            </w:rPr>
            <w:t>的限制性股票回购公告、日期为</w:t>
          </w:r>
          <w:r>
            <w:rPr>
              <w:rFonts w:ascii="宋体" w:hAnsi="宋体"/>
            </w:rPr>
            <w:t>2023年11月13日的</w:t>
          </w:r>
          <w:r>
            <w:rPr>
              <w:rFonts w:hint="eastAsia" w:ascii="宋体" w:hAnsi="宋体"/>
            </w:rPr>
            <w:t>限制性股票回购注销实施</w:t>
          </w:r>
          <w:r>
            <w:rPr>
              <w:rFonts w:ascii="宋体" w:hAnsi="宋体"/>
            </w:rPr>
            <w:t>公告。该等资料载于上交所</w:t>
          </w:r>
          <w:r>
            <w:rPr>
              <w:rFonts w:hint="eastAsia" w:ascii="宋体" w:hAnsi="宋体"/>
            </w:rPr>
            <w:t>网站、香港联交所网站、公司网站及</w:t>
          </w:r>
          <w:r>
            <w:rPr>
              <w:rFonts w:ascii="宋体" w:hAnsi="宋体"/>
            </w:rPr>
            <w:t>/或中国境内《中国证券报》《上海证券报》《证券时报》《证</w:t>
          </w:r>
          <w:r>
            <w:rPr>
              <w:rFonts w:hint="eastAsia" w:ascii="宋体" w:hAnsi="宋体"/>
            </w:rPr>
            <w:t>券日报》。</w:t>
          </w:r>
        </w:p>
        <w:p>
          <w:pPr>
            <w:ind w:firstLine="420" w:firstLineChars="200"/>
            <w:rPr>
              <w:rFonts w:ascii="宋体" w:hAnsi="宋体"/>
            </w:rPr>
          </w:pPr>
        </w:p>
      </w:sdtContent>
    </w:sdt>
    <w:p>
      <w:pPr>
        <w:pStyle w:val="5"/>
        <w:numPr>
          <w:ilvl w:val="2"/>
          <w:numId w:val="47"/>
        </w:numPr>
        <w:rPr>
          <w:rFonts w:ascii="宋体" w:hAnsi="宋体" w:eastAsia="宋体"/>
        </w:rPr>
      </w:pPr>
      <w:r>
        <w:rPr>
          <w:rFonts w:hint="eastAsia" w:ascii="宋体" w:hAnsi="宋体" w:eastAsia="宋体"/>
        </w:rPr>
        <w:t>股份变动对最近一年和最近一期</w:t>
      </w:r>
      <w:r>
        <w:rPr>
          <w:rFonts w:ascii="宋体" w:hAnsi="宋体" w:eastAsia="宋体"/>
        </w:rPr>
        <w:t>每股收益、每股净资产等财务指标的影响（如有）</w:t>
      </w:r>
    </w:p>
    <w:sdt>
      <w:sdtPr>
        <w:rPr>
          <w:rFonts w:hint="eastAsia" w:ascii="宋体" w:hAnsi="宋体"/>
        </w:rPr>
        <w:alias w:val="是否适用：普通股股份变动对最近一年和最近一期每股收益、每股净资产等财务指标的影响[双击切换]"/>
        <w:tag w:val="_GBC_f6d6c5b3580241f5b23493659505a79e"/>
        <w:id w:val="1600759443"/>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highlight w:val="yellow"/>
        </w:rPr>
        <w:alias w:val="股份变动对最近一年和最近一期财务指标的影响"/>
        <w:tag w:val="_GBC_18dc915b15db45f9ad252a23be29055d"/>
        <w:id w:val="-948928541"/>
        <w:placeholder>
          <w:docPart w:val="GBC22222222222222222222222222222"/>
        </w:placeholder>
      </w:sdtPr>
      <w:sdtEndPr>
        <w:rPr>
          <w:rFonts w:hint="eastAsia" w:ascii="宋体" w:hAnsi="宋体"/>
          <w:highlight w:val="yellow"/>
        </w:rPr>
      </w:sdtEndPr>
      <w:sdtContent>
        <w:p>
          <w:pPr>
            <w:ind w:firstLine="420" w:firstLineChars="200"/>
            <w:rPr>
              <w:rFonts w:ascii="宋体" w:hAnsi="宋体"/>
            </w:rPr>
          </w:pPr>
          <w:r>
            <w:rPr>
              <w:rFonts w:hint="eastAsia" w:ascii="宋体" w:hAnsi="宋体"/>
            </w:rPr>
            <w:t>报告期内，公司完成了2022年度利润分配之股票红利派发，根据会计准则，对以前年度每股收益、每股净资产等相关财务指标进行了追溯调整。</w:t>
          </w:r>
        </w:p>
        <w:p>
          <w:pPr>
            <w:ind w:firstLine="420" w:firstLineChars="200"/>
            <w:rPr>
              <w:rFonts w:ascii="宋体" w:hAnsi="宋体"/>
              <w:u w:val="single"/>
            </w:rPr>
          </w:pPr>
          <w:r>
            <w:rPr>
              <w:rFonts w:hint="eastAsia" w:ascii="宋体" w:hAnsi="宋体"/>
            </w:rPr>
            <w:t>公司于2023年5月完成了2018年A股股票期权激励计划第三个行权期自主行权以及相应股份过户登记、2023年8月完成了部分限制性股票回购注销，股本未发生重大变动，对公司对最近一年和最近一期每股收益、每股净资产未产生重大影响。</w:t>
          </w:r>
        </w:p>
        <w:p>
          <w:pPr>
            <w:rPr>
              <w:rFonts w:ascii="宋体" w:hAnsi="宋体"/>
              <w:u w:val="single"/>
            </w:rPr>
          </w:pPr>
        </w:p>
      </w:sdtContent>
    </w:sdt>
    <w:p>
      <w:pPr>
        <w:pStyle w:val="5"/>
        <w:numPr>
          <w:ilvl w:val="2"/>
          <w:numId w:val="47"/>
        </w:numPr>
        <w:rPr>
          <w:rFonts w:ascii="宋体" w:hAnsi="宋体" w:eastAsia="宋体"/>
        </w:rPr>
      </w:pPr>
      <w:r>
        <w:rPr>
          <w:rFonts w:ascii="宋体" w:hAnsi="宋体" w:eastAsia="宋体"/>
        </w:rPr>
        <w:t>公司认为必要或证券监管机构要求披露的其他内容</w:t>
      </w:r>
    </w:p>
    <w:sdt>
      <w:sdtPr>
        <w:rPr>
          <w:rFonts w:hint="eastAsia" w:ascii="宋体" w:hAnsi="宋体"/>
        </w:rPr>
        <w:alias w:val="是否适用：公司认为必要或证券监管机构要求披露的其他内容[双击切换]"/>
        <w:tag w:val="_GBC_b944a9eaa1de4bf49df496a2cfe2824e"/>
        <w:id w:val="2114010519"/>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股份变动公司认为必要或证券监管机构要求披露的其他内容"/>
        <w:tag w:val="_GBC_fd25312e52714c36869754949176de99"/>
        <w:id w:val="540020673"/>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本公司根据可公开所得的资料以及就董事所知，在本报告披露日，董事相信于报告期内本公司公众持股量占总股本的比例超过</w:t>
          </w:r>
          <w:r>
            <w:rPr>
              <w:rFonts w:ascii="宋体" w:hAnsi="宋体"/>
            </w:rPr>
            <w:t>25%，符合香港上市规则的规定。</w:t>
          </w:r>
        </w:p>
        <w:p>
          <w:pPr>
            <w:rPr>
              <w:rFonts w:ascii="宋体" w:hAnsi="宋体"/>
            </w:rPr>
          </w:pPr>
        </w:p>
      </w:sdtContent>
    </w:sdt>
    <w:p>
      <w:pPr>
        <w:pStyle w:val="4"/>
        <w:numPr>
          <w:ilvl w:val="1"/>
          <w:numId w:val="46"/>
        </w:numPr>
        <w:rPr>
          <w:rFonts w:ascii="宋体" w:hAnsi="宋体"/>
          <w:szCs w:val="21"/>
        </w:rPr>
      </w:pPr>
      <w:r>
        <w:rPr>
          <w:rFonts w:ascii="宋体" w:hAnsi="宋体"/>
          <w:szCs w:val="21"/>
        </w:rPr>
        <w:t>限售股份变动情况</w:t>
      </w:r>
    </w:p>
    <w:sdt>
      <w:sdtPr>
        <w:alias w:val="是否适用：限售股份变动情况表[双击切换]"/>
        <w:tag w:val="_GBC_c7cc39830d364bf68db1ac8777908a9e"/>
        <w:id w:val="-1361197574"/>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宋体" w:hAnsi="宋体"/>
        </w:rPr>
      </w:pPr>
      <w:r>
        <w:rPr>
          <w:rFonts w:hint="eastAsia" w:ascii="宋体" w:hAnsi="宋体"/>
        </w:rPr>
        <w:t xml:space="preserve">单位: </w:t>
      </w:r>
      <w:sdt>
        <w:sdtPr>
          <w:rPr>
            <w:rFonts w:hint="eastAsia" w:ascii="宋体" w:hAnsi="宋体"/>
          </w:rPr>
          <w:alias w:val="单位：限售股份变动情况表"/>
          <w:tag w:val="_GBC_78c7b80e74ad408295df799b1fb4f5cd"/>
          <w:id w:val="1785069040"/>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ascii="宋体" w:hAnsi="宋体"/>
          </w:rPr>
        </w:sdtEndPr>
        <w:sdtContent>
          <w:r>
            <w:rPr>
              <w:rFonts w:hint="eastAsia" w:ascii="宋体" w:hAnsi="宋体"/>
            </w:rPr>
            <w:t>股</w:t>
          </w:r>
        </w:sdtContent>
      </w:sdt>
    </w:p>
    <w:tbl>
      <w:tblPr>
        <w:tblStyle w:val="37"/>
        <w:tblW w:w="0" w:type="auto"/>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266"/>
        <w:gridCol w:w="959"/>
        <w:gridCol w:w="1266"/>
        <w:gridCol w:w="1161"/>
        <w:gridCol w:w="1266"/>
        <w:gridCol w:w="960"/>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c7a1e2914e714458adc9ffc59c440205"/>
            <w:id w:val="1138381075"/>
          </w:sdtPr>
          <w:sdtEndPr>
            <w:rPr>
              <w:rFonts w:ascii="宋体" w:hAnsi="宋体"/>
            </w:rPr>
          </w:sdtEndPr>
          <w:sdtContent>
            <w:tc>
              <w:tcPr>
                <w:tcW w:w="1661" w:type="dxa"/>
                <w:vAlign w:val="center"/>
              </w:tcPr>
              <w:p>
                <w:pPr>
                  <w:jc w:val="center"/>
                  <w:rPr>
                    <w:rFonts w:ascii="宋体" w:hAnsi="宋体"/>
                  </w:rPr>
                </w:pPr>
                <w:r>
                  <w:rPr>
                    <w:rFonts w:ascii="宋体" w:hAnsi="宋体"/>
                  </w:rPr>
                  <w:t>股东名称</w:t>
                </w:r>
              </w:p>
            </w:tc>
          </w:sdtContent>
        </w:sdt>
        <w:sdt>
          <w:sdtPr>
            <w:rPr>
              <w:rFonts w:ascii="宋体" w:hAnsi="宋体"/>
            </w:rPr>
            <w:tag w:val="_PLD_bb0180621bd444d18234e236bd4fa08b"/>
            <w:id w:val="-1826972332"/>
          </w:sdtPr>
          <w:sdtEndPr>
            <w:rPr>
              <w:rFonts w:ascii="宋体" w:hAnsi="宋体"/>
            </w:rPr>
          </w:sdtEndPr>
          <w:sdtContent>
            <w:tc>
              <w:tcPr>
                <w:tcW w:w="1266" w:type="dxa"/>
                <w:vAlign w:val="center"/>
              </w:tcPr>
              <w:p>
                <w:pPr>
                  <w:jc w:val="center"/>
                  <w:rPr>
                    <w:rFonts w:ascii="宋体" w:hAnsi="宋体"/>
                  </w:rPr>
                </w:pPr>
                <w:r>
                  <w:rPr>
                    <w:rFonts w:hint="eastAsia" w:ascii="宋体" w:hAnsi="宋体"/>
                  </w:rPr>
                  <w:t>年</w:t>
                </w:r>
                <w:r>
                  <w:rPr>
                    <w:rFonts w:ascii="宋体" w:hAnsi="宋体"/>
                  </w:rPr>
                  <w:t>初限售股数</w:t>
                </w:r>
              </w:p>
            </w:tc>
          </w:sdtContent>
        </w:sdt>
        <w:sdt>
          <w:sdtPr>
            <w:rPr>
              <w:rFonts w:ascii="宋体" w:hAnsi="宋体"/>
            </w:rPr>
            <w:tag w:val="_PLD_7b8d307040e34fe88a61e345f5c229e7"/>
            <w:id w:val="-92947329"/>
          </w:sdtPr>
          <w:sdtEndPr>
            <w:rPr>
              <w:rFonts w:ascii="宋体" w:hAnsi="宋体"/>
            </w:rPr>
          </w:sdtEndPr>
          <w:sdtContent>
            <w:tc>
              <w:tcPr>
                <w:tcW w:w="959" w:type="dxa"/>
                <w:vAlign w:val="center"/>
              </w:tcPr>
              <w:p>
                <w:pPr>
                  <w:jc w:val="center"/>
                  <w:rPr>
                    <w:rFonts w:ascii="宋体" w:hAnsi="宋体"/>
                  </w:rPr>
                </w:pPr>
                <w:r>
                  <w:rPr>
                    <w:rFonts w:hint="eastAsia" w:ascii="宋体" w:hAnsi="宋体"/>
                  </w:rPr>
                  <w:t>本年</w:t>
                </w:r>
                <w:r>
                  <w:rPr>
                    <w:rFonts w:ascii="宋体" w:hAnsi="宋体"/>
                  </w:rPr>
                  <w:t>解除限售股数</w:t>
                </w:r>
              </w:p>
            </w:tc>
          </w:sdtContent>
        </w:sdt>
        <w:sdt>
          <w:sdtPr>
            <w:rPr>
              <w:rFonts w:ascii="宋体" w:hAnsi="宋体"/>
            </w:rPr>
            <w:tag w:val="_PLD_f494b239f14f47d2818db9a79506f1ae"/>
            <w:id w:val="-920868047"/>
          </w:sdtPr>
          <w:sdtEndPr>
            <w:rPr>
              <w:rFonts w:ascii="宋体" w:hAnsi="宋体"/>
            </w:rPr>
          </w:sdtEndPr>
          <w:sdtContent>
            <w:tc>
              <w:tcPr>
                <w:tcW w:w="1266" w:type="dxa"/>
                <w:vAlign w:val="center"/>
              </w:tcPr>
              <w:p>
                <w:pPr>
                  <w:jc w:val="center"/>
                  <w:rPr>
                    <w:rFonts w:ascii="宋体" w:hAnsi="宋体"/>
                  </w:rPr>
                </w:pPr>
                <w:r>
                  <w:rPr>
                    <w:rFonts w:hint="eastAsia" w:ascii="宋体" w:hAnsi="宋体"/>
                  </w:rPr>
                  <w:t>本年</w:t>
                </w:r>
                <w:r>
                  <w:rPr>
                    <w:rFonts w:ascii="宋体" w:hAnsi="宋体"/>
                  </w:rPr>
                  <w:t>增加限售股数</w:t>
                </w:r>
              </w:p>
            </w:tc>
          </w:sdtContent>
        </w:sdt>
        <w:tc>
          <w:tcPr>
            <w:tcW w:w="1161" w:type="dxa"/>
            <w:vAlign w:val="center"/>
          </w:tcPr>
          <w:p>
            <w:pPr>
              <w:jc w:val="center"/>
              <w:rPr>
                <w:rFonts w:ascii="宋体" w:hAnsi="宋体"/>
              </w:rPr>
            </w:pPr>
            <w:r>
              <w:rPr>
                <w:rFonts w:hint="eastAsia" w:ascii="宋体" w:hAnsi="宋体"/>
              </w:rPr>
              <w:t>本年减少限售股数</w:t>
            </w:r>
          </w:p>
        </w:tc>
        <w:sdt>
          <w:sdtPr>
            <w:rPr>
              <w:rFonts w:ascii="宋体" w:hAnsi="宋体"/>
            </w:rPr>
            <w:tag w:val="_PLD_7f6e541d006347e7a584639c7f427833"/>
            <w:id w:val="-721443019"/>
          </w:sdtPr>
          <w:sdtEndPr>
            <w:rPr>
              <w:rFonts w:ascii="宋体" w:hAnsi="宋体"/>
            </w:rPr>
          </w:sdtEndPr>
          <w:sdtContent>
            <w:tc>
              <w:tcPr>
                <w:tcW w:w="1266" w:type="dxa"/>
                <w:vAlign w:val="center"/>
              </w:tcPr>
              <w:p>
                <w:pPr>
                  <w:jc w:val="center"/>
                  <w:rPr>
                    <w:rFonts w:ascii="宋体" w:hAnsi="宋体"/>
                  </w:rPr>
                </w:pPr>
                <w:r>
                  <w:rPr>
                    <w:rFonts w:hint="eastAsia" w:ascii="宋体" w:hAnsi="宋体"/>
                  </w:rPr>
                  <w:t>年</w:t>
                </w:r>
                <w:r>
                  <w:rPr>
                    <w:rFonts w:ascii="宋体" w:hAnsi="宋体"/>
                  </w:rPr>
                  <w:t>末限售股数</w:t>
                </w:r>
              </w:p>
            </w:tc>
          </w:sdtContent>
        </w:sdt>
        <w:sdt>
          <w:sdtPr>
            <w:rPr>
              <w:rFonts w:ascii="宋体" w:hAnsi="宋体"/>
            </w:rPr>
            <w:tag w:val="_PLD_d37fee9a3155489fbf6351ef4190eda4"/>
            <w:id w:val="-19792915"/>
          </w:sdtPr>
          <w:sdtEndPr>
            <w:rPr>
              <w:rFonts w:ascii="宋体" w:hAnsi="宋体"/>
            </w:rPr>
          </w:sdtEndPr>
          <w:sdtContent>
            <w:tc>
              <w:tcPr>
                <w:tcW w:w="960" w:type="dxa"/>
                <w:vAlign w:val="center"/>
              </w:tcPr>
              <w:p>
                <w:pPr>
                  <w:jc w:val="center"/>
                  <w:rPr>
                    <w:rFonts w:ascii="宋体" w:hAnsi="宋体"/>
                  </w:rPr>
                </w:pPr>
                <w:r>
                  <w:rPr>
                    <w:rFonts w:ascii="宋体" w:hAnsi="宋体"/>
                  </w:rPr>
                  <w:t>限售原因</w:t>
                </w:r>
              </w:p>
            </w:tc>
          </w:sdtContent>
        </w:sdt>
        <w:sdt>
          <w:sdtPr>
            <w:rPr>
              <w:rFonts w:ascii="宋体" w:hAnsi="宋体"/>
            </w:rPr>
            <w:tag w:val="_PLD_ca5e79dfa7e44389b18b3a663f85094b"/>
            <w:id w:val="506870095"/>
          </w:sdtPr>
          <w:sdtEndPr>
            <w:rPr>
              <w:rFonts w:ascii="宋体" w:hAnsi="宋体"/>
            </w:rPr>
          </w:sdtEndPr>
          <w:sdtContent>
            <w:tc>
              <w:tcPr>
                <w:tcW w:w="998" w:type="dxa"/>
                <w:vAlign w:val="center"/>
              </w:tcPr>
              <w:p>
                <w:pPr>
                  <w:jc w:val="center"/>
                  <w:rPr>
                    <w:rFonts w:ascii="宋体" w:hAnsi="宋体"/>
                  </w:rPr>
                </w:pPr>
                <w:r>
                  <w:rPr>
                    <w:rFonts w:ascii="宋体" w:hAnsi="宋体"/>
                  </w:rPr>
                  <w:t>解除限售日期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pStyle w:val="43"/>
              <w:widowControl w:val="0"/>
              <w:jc w:val="both"/>
            </w:pPr>
            <w:r>
              <w:t>限制性股票激励对象</w:t>
            </w:r>
            <w:r>
              <w:rPr>
                <w:rFonts w:hint="eastAsia"/>
              </w:rPr>
              <w:t>（第一个解除限售期）</w:t>
            </w:r>
          </w:p>
        </w:tc>
        <w:tc>
          <w:tcPr>
            <w:tcW w:w="1266" w:type="dxa"/>
            <w:vAlign w:val="center"/>
          </w:tcPr>
          <w:p>
            <w:pPr>
              <w:jc w:val="right"/>
              <w:rPr>
                <w:rFonts w:ascii="宋体" w:hAnsi="宋体"/>
              </w:rPr>
            </w:pPr>
            <w:r>
              <w:rPr>
                <w:rFonts w:ascii="宋体" w:hAnsi="宋体"/>
              </w:rPr>
              <w:t>20,374,200</w:t>
            </w:r>
          </w:p>
        </w:tc>
        <w:tc>
          <w:tcPr>
            <w:tcW w:w="959" w:type="dxa"/>
            <w:vAlign w:val="center"/>
          </w:tcPr>
          <w:p>
            <w:pPr>
              <w:jc w:val="right"/>
              <w:rPr>
                <w:rFonts w:ascii="宋体" w:hAnsi="宋体"/>
              </w:rPr>
            </w:pPr>
            <w:r>
              <w:rPr>
                <w:rFonts w:hint="eastAsia" w:ascii="宋体" w:hAnsi="宋体"/>
              </w:rPr>
              <w:t>0</w:t>
            </w:r>
          </w:p>
        </w:tc>
        <w:tc>
          <w:tcPr>
            <w:tcW w:w="1266" w:type="dxa"/>
            <w:vAlign w:val="center"/>
          </w:tcPr>
          <w:p>
            <w:pPr>
              <w:jc w:val="right"/>
              <w:rPr>
                <w:rFonts w:ascii="宋体" w:hAnsi="宋体"/>
              </w:rPr>
            </w:pPr>
            <w:r>
              <w:rPr>
                <w:rFonts w:ascii="宋体" w:hAnsi="宋体"/>
              </w:rPr>
              <w:t xml:space="preserve">10,187,100 </w:t>
            </w:r>
          </w:p>
        </w:tc>
        <w:tc>
          <w:tcPr>
            <w:tcW w:w="1161" w:type="dxa"/>
            <w:vAlign w:val="center"/>
          </w:tcPr>
          <w:p>
            <w:pPr>
              <w:jc w:val="right"/>
              <w:rPr>
                <w:rFonts w:ascii="宋体" w:hAnsi="宋体"/>
              </w:rPr>
            </w:pPr>
            <w:r>
              <w:rPr>
                <w:rFonts w:ascii="宋体" w:hAnsi="宋体"/>
              </w:rPr>
              <w:t xml:space="preserve">881,100 </w:t>
            </w:r>
          </w:p>
        </w:tc>
        <w:tc>
          <w:tcPr>
            <w:tcW w:w="1266" w:type="dxa"/>
            <w:vAlign w:val="center"/>
          </w:tcPr>
          <w:p>
            <w:pPr>
              <w:jc w:val="right"/>
              <w:rPr>
                <w:rFonts w:ascii="宋体" w:hAnsi="宋体"/>
              </w:rPr>
            </w:pPr>
            <w:r>
              <w:rPr>
                <w:rFonts w:ascii="宋体" w:hAnsi="宋体"/>
              </w:rPr>
              <w:t xml:space="preserve">29,680,200 </w:t>
            </w:r>
          </w:p>
        </w:tc>
        <w:tc>
          <w:tcPr>
            <w:tcW w:w="960" w:type="dxa"/>
            <w:vAlign w:val="center"/>
          </w:tcPr>
          <w:p>
            <w:pPr>
              <w:pStyle w:val="43"/>
              <w:widowControl w:val="0"/>
              <w:jc w:val="both"/>
            </w:pPr>
            <w:r>
              <w:rPr>
                <w:rFonts w:hint="eastAsia"/>
              </w:rPr>
              <w:t>股权激励限售</w:t>
            </w:r>
          </w:p>
        </w:tc>
        <w:tc>
          <w:tcPr>
            <w:tcW w:w="998" w:type="dxa"/>
            <w:vMerge w:val="restart"/>
            <w:vAlign w:val="center"/>
          </w:tcPr>
          <w:p>
            <w:pPr>
              <w:pStyle w:val="43"/>
              <w:widowControl w:val="0"/>
              <w:jc w:val="both"/>
            </w:pPr>
            <w:r>
              <w:rPr>
                <w:rFonts w:hint="eastAsia"/>
              </w:rPr>
              <w:t>股份变动及解除限售日期详见本报告“第五节</w:t>
            </w:r>
            <w:r>
              <w:t xml:space="preserve"> 公司治理”之股权激励相关内容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pStyle w:val="43"/>
              <w:widowControl w:val="0"/>
              <w:jc w:val="both"/>
            </w:pPr>
            <w:r>
              <w:t>限制性股票激励对象</w:t>
            </w:r>
            <w:r>
              <w:rPr>
                <w:rFonts w:hint="eastAsia"/>
              </w:rPr>
              <w:t>（第二个解除限售期）</w:t>
            </w:r>
          </w:p>
        </w:tc>
        <w:tc>
          <w:tcPr>
            <w:tcW w:w="1266" w:type="dxa"/>
            <w:vAlign w:val="center"/>
          </w:tcPr>
          <w:p>
            <w:pPr>
              <w:jc w:val="right"/>
              <w:rPr>
                <w:rFonts w:ascii="宋体" w:hAnsi="宋体"/>
              </w:rPr>
            </w:pPr>
            <w:r>
              <w:rPr>
                <w:rFonts w:ascii="宋体" w:hAnsi="宋体"/>
              </w:rPr>
              <w:t>20,374,200</w:t>
            </w:r>
          </w:p>
        </w:tc>
        <w:tc>
          <w:tcPr>
            <w:tcW w:w="959" w:type="dxa"/>
            <w:vAlign w:val="center"/>
          </w:tcPr>
          <w:p>
            <w:pPr>
              <w:jc w:val="right"/>
              <w:rPr>
                <w:rFonts w:ascii="宋体" w:hAnsi="宋体"/>
              </w:rPr>
            </w:pPr>
            <w:r>
              <w:rPr>
                <w:rFonts w:ascii="宋体" w:hAnsi="宋体"/>
              </w:rPr>
              <w:t>0</w:t>
            </w:r>
          </w:p>
        </w:tc>
        <w:tc>
          <w:tcPr>
            <w:tcW w:w="1266" w:type="dxa"/>
            <w:vAlign w:val="center"/>
          </w:tcPr>
          <w:p>
            <w:pPr>
              <w:jc w:val="right"/>
              <w:rPr>
                <w:rFonts w:ascii="宋体" w:hAnsi="宋体"/>
              </w:rPr>
            </w:pPr>
            <w:r>
              <w:rPr>
                <w:rFonts w:ascii="宋体" w:hAnsi="宋体"/>
              </w:rPr>
              <w:t xml:space="preserve">10,187,100 </w:t>
            </w:r>
          </w:p>
        </w:tc>
        <w:tc>
          <w:tcPr>
            <w:tcW w:w="1161" w:type="dxa"/>
            <w:vAlign w:val="center"/>
          </w:tcPr>
          <w:p>
            <w:pPr>
              <w:jc w:val="right"/>
              <w:rPr>
                <w:rFonts w:ascii="宋体" w:hAnsi="宋体"/>
              </w:rPr>
            </w:pPr>
            <w:r>
              <w:rPr>
                <w:rFonts w:ascii="宋体" w:hAnsi="宋体"/>
              </w:rPr>
              <w:t xml:space="preserve">881,100 </w:t>
            </w:r>
          </w:p>
        </w:tc>
        <w:tc>
          <w:tcPr>
            <w:tcW w:w="1266" w:type="dxa"/>
            <w:vAlign w:val="center"/>
          </w:tcPr>
          <w:p>
            <w:pPr>
              <w:jc w:val="right"/>
              <w:rPr>
                <w:rFonts w:ascii="宋体" w:hAnsi="宋体"/>
              </w:rPr>
            </w:pPr>
            <w:r>
              <w:rPr>
                <w:rFonts w:ascii="宋体" w:hAnsi="宋体"/>
              </w:rPr>
              <w:t xml:space="preserve">29,680,200 </w:t>
            </w:r>
          </w:p>
        </w:tc>
        <w:tc>
          <w:tcPr>
            <w:tcW w:w="960" w:type="dxa"/>
            <w:vAlign w:val="center"/>
          </w:tcPr>
          <w:p>
            <w:pPr>
              <w:pStyle w:val="43"/>
              <w:widowControl w:val="0"/>
              <w:jc w:val="both"/>
            </w:pPr>
            <w:r>
              <w:rPr>
                <w:rFonts w:hint="eastAsia"/>
              </w:rPr>
              <w:t>股权激励限售</w:t>
            </w:r>
          </w:p>
        </w:tc>
        <w:tc>
          <w:tcPr>
            <w:tcW w:w="998" w:type="dxa"/>
            <w:vMerge w:val="continue"/>
          </w:tcPr>
          <w:p>
            <w:pPr>
              <w:pStyle w:val="43"/>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pStyle w:val="43"/>
              <w:widowControl w:val="0"/>
              <w:jc w:val="both"/>
            </w:pPr>
            <w:r>
              <w:t>限制性股票激励对象</w:t>
            </w:r>
            <w:r>
              <w:rPr>
                <w:rFonts w:hint="eastAsia"/>
              </w:rPr>
              <w:t>（第三个解除限售期）</w:t>
            </w:r>
          </w:p>
        </w:tc>
        <w:tc>
          <w:tcPr>
            <w:tcW w:w="1266" w:type="dxa"/>
            <w:vAlign w:val="center"/>
          </w:tcPr>
          <w:p>
            <w:pPr>
              <w:jc w:val="right"/>
              <w:rPr>
                <w:rFonts w:ascii="宋体" w:hAnsi="宋体"/>
              </w:rPr>
            </w:pPr>
            <w:r>
              <w:rPr>
                <w:rFonts w:ascii="宋体" w:hAnsi="宋体"/>
              </w:rPr>
              <w:t>20,991,600</w:t>
            </w:r>
          </w:p>
        </w:tc>
        <w:tc>
          <w:tcPr>
            <w:tcW w:w="959" w:type="dxa"/>
            <w:vAlign w:val="center"/>
          </w:tcPr>
          <w:p>
            <w:pPr>
              <w:jc w:val="right"/>
              <w:rPr>
                <w:rFonts w:ascii="宋体" w:hAnsi="宋体"/>
              </w:rPr>
            </w:pPr>
            <w:r>
              <w:rPr>
                <w:rFonts w:ascii="宋体" w:hAnsi="宋体"/>
              </w:rPr>
              <w:t>0</w:t>
            </w:r>
          </w:p>
        </w:tc>
        <w:tc>
          <w:tcPr>
            <w:tcW w:w="1266" w:type="dxa"/>
            <w:vAlign w:val="center"/>
          </w:tcPr>
          <w:p>
            <w:pPr>
              <w:jc w:val="right"/>
              <w:rPr>
                <w:rFonts w:ascii="宋体" w:hAnsi="宋体"/>
              </w:rPr>
            </w:pPr>
            <w:r>
              <w:rPr>
                <w:rFonts w:ascii="宋体" w:hAnsi="宋体"/>
              </w:rPr>
              <w:t xml:space="preserve">10,495,800 </w:t>
            </w:r>
          </w:p>
        </w:tc>
        <w:tc>
          <w:tcPr>
            <w:tcW w:w="1161" w:type="dxa"/>
            <w:vAlign w:val="center"/>
          </w:tcPr>
          <w:p>
            <w:pPr>
              <w:jc w:val="right"/>
              <w:rPr>
                <w:rFonts w:ascii="宋体" w:hAnsi="宋体"/>
              </w:rPr>
            </w:pPr>
            <w:r>
              <w:rPr>
                <w:rFonts w:ascii="宋体" w:hAnsi="宋体"/>
              </w:rPr>
              <w:t>907,800</w:t>
            </w:r>
          </w:p>
        </w:tc>
        <w:tc>
          <w:tcPr>
            <w:tcW w:w="1266" w:type="dxa"/>
            <w:vAlign w:val="center"/>
          </w:tcPr>
          <w:p>
            <w:pPr>
              <w:jc w:val="right"/>
              <w:rPr>
                <w:rFonts w:ascii="宋体" w:hAnsi="宋体"/>
              </w:rPr>
            </w:pPr>
            <w:r>
              <w:rPr>
                <w:rFonts w:ascii="宋体" w:hAnsi="宋体"/>
              </w:rPr>
              <w:t xml:space="preserve">30,579,600 </w:t>
            </w:r>
          </w:p>
        </w:tc>
        <w:tc>
          <w:tcPr>
            <w:tcW w:w="960" w:type="dxa"/>
            <w:vAlign w:val="center"/>
          </w:tcPr>
          <w:p>
            <w:pPr>
              <w:pStyle w:val="43"/>
              <w:widowControl w:val="0"/>
              <w:jc w:val="both"/>
            </w:pPr>
            <w:r>
              <w:rPr>
                <w:rFonts w:hint="eastAsia"/>
              </w:rPr>
              <w:t>股权激励限售</w:t>
            </w:r>
          </w:p>
        </w:tc>
        <w:tc>
          <w:tcPr>
            <w:tcW w:w="998" w:type="dxa"/>
            <w:vMerge w:val="continue"/>
          </w:tcPr>
          <w:p>
            <w:pPr>
              <w:pStyle w:val="43"/>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jc w:val="center"/>
              <w:rPr>
                <w:rFonts w:ascii="宋体" w:hAnsi="宋体"/>
              </w:rPr>
            </w:pPr>
            <w:r>
              <w:rPr>
                <w:rFonts w:ascii="宋体" w:hAnsi="宋体"/>
              </w:rPr>
              <w:t>合计</w:t>
            </w:r>
          </w:p>
        </w:tc>
        <w:tc>
          <w:tcPr>
            <w:tcW w:w="1266" w:type="dxa"/>
            <w:vAlign w:val="center"/>
          </w:tcPr>
          <w:p>
            <w:pPr>
              <w:jc w:val="right"/>
              <w:rPr>
                <w:rFonts w:ascii="宋体" w:hAnsi="宋体"/>
              </w:rPr>
            </w:pPr>
            <w:r>
              <w:rPr>
                <w:rFonts w:ascii="宋体" w:hAnsi="宋体"/>
              </w:rPr>
              <w:t>61,740,000</w:t>
            </w:r>
          </w:p>
        </w:tc>
        <w:tc>
          <w:tcPr>
            <w:tcW w:w="959" w:type="dxa"/>
            <w:vAlign w:val="center"/>
          </w:tcPr>
          <w:p>
            <w:pPr>
              <w:jc w:val="right"/>
              <w:rPr>
                <w:rFonts w:ascii="宋体" w:hAnsi="宋体"/>
              </w:rPr>
            </w:pPr>
            <w:r>
              <w:rPr>
                <w:rFonts w:hint="eastAsia" w:ascii="宋体" w:hAnsi="宋体"/>
              </w:rPr>
              <w:t>0</w:t>
            </w:r>
          </w:p>
        </w:tc>
        <w:tc>
          <w:tcPr>
            <w:tcW w:w="1266" w:type="dxa"/>
            <w:vAlign w:val="center"/>
          </w:tcPr>
          <w:p>
            <w:pPr>
              <w:jc w:val="right"/>
              <w:rPr>
                <w:rFonts w:ascii="宋体" w:hAnsi="宋体"/>
              </w:rPr>
            </w:pPr>
            <w:r>
              <w:rPr>
                <w:rFonts w:ascii="宋体" w:hAnsi="宋体"/>
              </w:rPr>
              <w:t xml:space="preserve">30,870,000 </w:t>
            </w:r>
          </w:p>
        </w:tc>
        <w:tc>
          <w:tcPr>
            <w:tcW w:w="1161" w:type="dxa"/>
            <w:vAlign w:val="center"/>
          </w:tcPr>
          <w:p>
            <w:pPr>
              <w:jc w:val="right"/>
              <w:rPr>
                <w:rFonts w:ascii="宋体" w:hAnsi="宋体"/>
              </w:rPr>
            </w:pPr>
            <w:r>
              <w:rPr>
                <w:rFonts w:ascii="宋体" w:hAnsi="宋体"/>
              </w:rPr>
              <w:t xml:space="preserve">2,670,000 </w:t>
            </w:r>
          </w:p>
        </w:tc>
        <w:tc>
          <w:tcPr>
            <w:tcW w:w="1266" w:type="dxa"/>
            <w:vAlign w:val="center"/>
          </w:tcPr>
          <w:p>
            <w:pPr>
              <w:jc w:val="right"/>
              <w:rPr>
                <w:rFonts w:ascii="宋体" w:hAnsi="宋体"/>
              </w:rPr>
            </w:pPr>
            <w:r>
              <w:rPr>
                <w:rFonts w:ascii="宋体" w:hAnsi="宋体"/>
              </w:rPr>
              <w:t xml:space="preserve">89,940,000 </w:t>
            </w:r>
          </w:p>
        </w:tc>
        <w:tc>
          <w:tcPr>
            <w:tcW w:w="960" w:type="dxa"/>
          </w:tcPr>
          <w:p>
            <w:pPr>
              <w:jc w:val="center"/>
              <w:rPr>
                <w:rFonts w:ascii="宋体" w:hAnsi="宋体"/>
              </w:rPr>
            </w:pPr>
            <w:r>
              <w:rPr>
                <w:rFonts w:hint="eastAsia" w:ascii="宋体" w:hAnsi="宋体"/>
              </w:rPr>
              <w:t>/</w:t>
            </w:r>
          </w:p>
        </w:tc>
        <w:tc>
          <w:tcPr>
            <w:tcW w:w="998" w:type="dxa"/>
          </w:tcPr>
          <w:p>
            <w:pPr>
              <w:jc w:val="center"/>
              <w:rPr>
                <w:rFonts w:ascii="宋体" w:hAnsi="宋体"/>
              </w:rPr>
            </w:pPr>
            <w:r>
              <w:rPr>
                <w:rFonts w:hint="eastAsia" w:ascii="宋体" w:hAnsi="宋体"/>
              </w:rPr>
              <w:t>/</w:t>
            </w:r>
          </w:p>
        </w:tc>
      </w:tr>
    </w:tbl>
    <w:p>
      <w:pPr>
        <w:pStyle w:val="43"/>
      </w:pPr>
    </w:p>
    <w:p>
      <w:pPr>
        <w:pStyle w:val="3"/>
        <w:numPr>
          <w:ilvl w:val="0"/>
          <w:numId w:val="45"/>
        </w:numPr>
        <w:rPr>
          <w:rFonts w:ascii="宋体" w:hAnsi="宋体"/>
        </w:rPr>
      </w:pPr>
      <w:r>
        <w:rPr>
          <w:rFonts w:ascii="宋体" w:hAnsi="宋体"/>
        </w:rPr>
        <w:t>证券发行与上市情况</w:t>
      </w:r>
    </w:p>
    <w:p>
      <w:pPr>
        <w:pStyle w:val="4"/>
        <w:numPr>
          <w:ilvl w:val="0"/>
          <w:numId w:val="48"/>
        </w:numPr>
        <w:rPr>
          <w:rFonts w:ascii="宋体" w:hAnsi="宋体"/>
        </w:rPr>
      </w:pPr>
      <w:r>
        <w:rPr>
          <w:rFonts w:ascii="宋体" w:hAnsi="宋体"/>
        </w:rPr>
        <w:t>截至</w:t>
      </w:r>
      <w:r>
        <w:rPr>
          <w:rFonts w:hint="eastAsia" w:ascii="宋体" w:hAnsi="宋体"/>
        </w:rPr>
        <w:t>报告期内</w:t>
      </w:r>
      <w:r>
        <w:rPr>
          <w:rFonts w:ascii="宋体" w:hAnsi="宋体"/>
        </w:rPr>
        <w:t>证券发行情况</w:t>
      </w:r>
    </w:p>
    <w:sdt>
      <w:sdtPr>
        <w:alias w:val="是否适用：截至报告期内证券发行情况[双击切换]"/>
        <w:tag w:val="_GBC_a9b53137ff4442baa307fbc68ebc8cbc"/>
        <w:id w:val="-726684590"/>
        <w:placeholder>
          <w:docPart w:val="GBC22222222222222222222222222222"/>
        </w:placeholder>
      </w:sdtPr>
      <w:sdtContent>
        <w:p>
          <w:pPr>
            <w:pStyle w:val="43"/>
          </w:pPr>
          <w:bookmarkStart w:id="156" w:name="_Hlk8995440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宋体" w:hAnsi="宋体"/>
        </w:rPr>
      </w:pPr>
      <w:r>
        <w:rPr>
          <w:rFonts w:hint="eastAsia" w:ascii="宋体" w:hAnsi="宋体"/>
        </w:rPr>
        <w:t>单位：</w:t>
      </w:r>
      <w:sdt>
        <w:sdtPr>
          <w:rPr>
            <w:rFonts w:hint="eastAsia" w:ascii="宋体" w:hAnsi="宋体"/>
          </w:rPr>
          <w:alias w:val="单位：报告期内证券发行情况"/>
          <w:tag w:val="_GBC_97a55af02d71449cafe4112d94324193"/>
          <w:id w:val="87442576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ascii="宋体" w:hAnsi="宋体"/>
          </w:rPr>
        </w:sdtEndPr>
        <w:sdtContent>
          <w:r>
            <w:rPr>
              <w:rFonts w:hint="eastAsia" w:ascii="宋体" w:hAnsi="宋体"/>
            </w:rPr>
            <w:t>股</w:t>
          </w:r>
        </w:sdtContent>
      </w:sdt>
      <w:r>
        <w:rPr>
          <w:rFonts w:hint="eastAsia" w:ascii="宋体" w:hAnsi="宋体"/>
        </w:rPr>
        <w:t xml:space="preserve">  币种：</w:t>
      </w:r>
      <w:sdt>
        <w:sdtPr>
          <w:rPr>
            <w:rFonts w:hint="eastAsia" w:ascii="宋体" w:hAnsi="宋体"/>
          </w:rPr>
          <w:alias w:val="币种：报告期内证券发行情况"/>
          <w:tag w:val="_GBC_aa3ad9c328164ecba8b95d532a53b4a9"/>
          <w:id w:val="21311977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rPr>
            <w:t>人民币</w:t>
          </w:r>
        </w:sdtContent>
      </w:sdt>
    </w:p>
    <w:tbl>
      <w:tblPr>
        <w:tblStyle w:val="37"/>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266"/>
        <w:gridCol w:w="1065"/>
        <w:gridCol w:w="1266"/>
        <w:gridCol w:w="1266"/>
        <w:gridCol w:w="126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ascii="宋体" w:hAnsi="宋体"/>
            </w:rPr>
            <w:tag w:val="_PLD_213a92a011c84e099a816a5336a450cc"/>
            <w:id w:val="1530374001"/>
          </w:sdtPr>
          <w:sdtEndPr>
            <w:rPr>
              <w:rFonts w:ascii="宋体" w:hAnsi="宋体"/>
            </w:rPr>
          </w:sdtEndPr>
          <w:sdtContent>
            <w:tc>
              <w:tcPr>
                <w:tcW w:w="1575" w:type="dxa"/>
                <w:vAlign w:val="center"/>
              </w:tcPr>
              <w:p>
                <w:pPr>
                  <w:jc w:val="center"/>
                  <w:rPr>
                    <w:rFonts w:ascii="宋体" w:hAnsi="宋体"/>
                  </w:rPr>
                </w:pPr>
                <w:r>
                  <w:rPr>
                    <w:rFonts w:hint="eastAsia" w:ascii="宋体" w:hAnsi="宋体"/>
                  </w:rPr>
                  <w:t>股票及其衍生</w:t>
                </w:r>
              </w:p>
              <w:p>
                <w:pPr>
                  <w:jc w:val="center"/>
                  <w:rPr>
                    <w:rFonts w:ascii="宋体" w:hAnsi="宋体"/>
                  </w:rPr>
                </w:pPr>
                <w:r>
                  <w:rPr>
                    <w:rFonts w:hint="eastAsia" w:ascii="宋体" w:hAnsi="宋体"/>
                  </w:rPr>
                  <w:t>证券的种类</w:t>
                </w:r>
              </w:p>
            </w:tc>
          </w:sdtContent>
        </w:sdt>
        <w:sdt>
          <w:sdtPr>
            <w:rPr>
              <w:rFonts w:ascii="宋体" w:hAnsi="宋体"/>
            </w:rPr>
            <w:tag w:val="_PLD_076b37c9bd304e8d8d919720dff5d117"/>
            <w:id w:val="-178595410"/>
          </w:sdtPr>
          <w:sdtEndPr>
            <w:rPr>
              <w:rFonts w:ascii="宋体" w:hAnsi="宋体"/>
            </w:rPr>
          </w:sdtEndPr>
          <w:sdtContent>
            <w:tc>
              <w:tcPr>
                <w:tcW w:w="1266" w:type="dxa"/>
                <w:vAlign w:val="center"/>
              </w:tcPr>
              <w:p>
                <w:pPr>
                  <w:jc w:val="center"/>
                  <w:rPr>
                    <w:rFonts w:ascii="宋体" w:hAnsi="宋体"/>
                  </w:rPr>
                </w:pPr>
                <w:r>
                  <w:rPr>
                    <w:rFonts w:hint="eastAsia" w:ascii="宋体" w:hAnsi="宋体"/>
                  </w:rPr>
                  <w:t>发行日期</w:t>
                </w:r>
              </w:p>
            </w:tc>
          </w:sdtContent>
        </w:sdt>
        <w:sdt>
          <w:sdtPr>
            <w:rPr>
              <w:rFonts w:ascii="宋体" w:hAnsi="宋体"/>
            </w:rPr>
            <w:tag w:val="_PLD_83017f683fe744abb419c10516cae3b8"/>
            <w:id w:val="1227963619"/>
          </w:sdtPr>
          <w:sdtEndPr>
            <w:rPr>
              <w:rFonts w:ascii="宋体" w:hAnsi="宋体"/>
            </w:rPr>
          </w:sdtEndPr>
          <w:sdtContent>
            <w:tc>
              <w:tcPr>
                <w:tcW w:w="1065" w:type="dxa"/>
                <w:vAlign w:val="center"/>
              </w:tcPr>
              <w:p>
                <w:pPr>
                  <w:jc w:val="center"/>
                  <w:rPr>
                    <w:rFonts w:ascii="宋体" w:hAnsi="宋体"/>
                  </w:rPr>
                </w:pPr>
                <w:r>
                  <w:rPr>
                    <w:rFonts w:hint="eastAsia" w:ascii="宋体" w:hAnsi="宋体"/>
                  </w:rPr>
                  <w:t>发行价格（或利率）</w:t>
                </w:r>
              </w:p>
            </w:tc>
          </w:sdtContent>
        </w:sdt>
        <w:sdt>
          <w:sdtPr>
            <w:rPr>
              <w:rFonts w:ascii="宋体" w:hAnsi="宋体"/>
            </w:rPr>
            <w:tag w:val="_PLD_a83f10a8fa0e4c71a8a8294cfa2f9ed7"/>
            <w:id w:val="487830385"/>
          </w:sdtPr>
          <w:sdtEndPr>
            <w:rPr>
              <w:rFonts w:ascii="宋体" w:hAnsi="宋体"/>
            </w:rPr>
          </w:sdtEndPr>
          <w:sdtContent>
            <w:tc>
              <w:tcPr>
                <w:tcW w:w="1266" w:type="dxa"/>
                <w:vAlign w:val="center"/>
              </w:tcPr>
              <w:p>
                <w:pPr>
                  <w:jc w:val="center"/>
                  <w:rPr>
                    <w:rFonts w:ascii="宋体" w:hAnsi="宋体"/>
                  </w:rPr>
                </w:pPr>
                <w:r>
                  <w:rPr>
                    <w:rFonts w:hint="eastAsia" w:ascii="宋体" w:hAnsi="宋体"/>
                  </w:rPr>
                  <w:t>发行数量</w:t>
                </w:r>
              </w:p>
            </w:tc>
          </w:sdtContent>
        </w:sdt>
        <w:sdt>
          <w:sdtPr>
            <w:rPr>
              <w:rFonts w:ascii="宋体" w:hAnsi="宋体"/>
            </w:rPr>
            <w:tag w:val="_PLD_0fd8e16104e242e3a87233e9722789bc"/>
            <w:id w:val="1742220197"/>
          </w:sdtPr>
          <w:sdtEndPr>
            <w:rPr>
              <w:rFonts w:ascii="宋体" w:hAnsi="宋体"/>
            </w:rPr>
          </w:sdtEndPr>
          <w:sdtContent>
            <w:tc>
              <w:tcPr>
                <w:tcW w:w="1266" w:type="dxa"/>
                <w:vAlign w:val="center"/>
              </w:tcPr>
              <w:p>
                <w:pPr>
                  <w:jc w:val="center"/>
                  <w:rPr>
                    <w:rFonts w:ascii="宋体" w:hAnsi="宋体"/>
                  </w:rPr>
                </w:pPr>
                <w:r>
                  <w:rPr>
                    <w:rFonts w:hint="eastAsia" w:ascii="宋体" w:hAnsi="宋体"/>
                  </w:rPr>
                  <w:t>上市日期</w:t>
                </w:r>
              </w:p>
            </w:tc>
          </w:sdtContent>
        </w:sdt>
        <w:sdt>
          <w:sdtPr>
            <w:rPr>
              <w:rFonts w:ascii="宋体" w:hAnsi="宋体"/>
            </w:rPr>
            <w:tag w:val="_PLD_83d2debad46441f6b48f45f45ef2c978"/>
            <w:id w:val="-1535801687"/>
          </w:sdtPr>
          <w:sdtEndPr>
            <w:rPr>
              <w:rFonts w:ascii="宋体" w:hAnsi="宋体"/>
            </w:rPr>
          </w:sdtEndPr>
          <w:sdtContent>
            <w:tc>
              <w:tcPr>
                <w:tcW w:w="1266" w:type="dxa"/>
                <w:vAlign w:val="center"/>
              </w:tcPr>
              <w:p>
                <w:pPr>
                  <w:jc w:val="center"/>
                  <w:rPr>
                    <w:rFonts w:ascii="宋体" w:hAnsi="宋体"/>
                  </w:rPr>
                </w:pPr>
                <w:r>
                  <w:rPr>
                    <w:rFonts w:hint="eastAsia" w:ascii="宋体" w:hAnsi="宋体"/>
                  </w:rPr>
                  <w:t>获准上市交易数量</w:t>
                </w:r>
              </w:p>
            </w:tc>
          </w:sdtContent>
        </w:sdt>
        <w:sdt>
          <w:sdtPr>
            <w:rPr>
              <w:rFonts w:ascii="宋体" w:hAnsi="宋体"/>
            </w:rPr>
            <w:tag w:val="_PLD_9129fdf6c81e4e5cba32093c9e2901e5"/>
            <w:id w:val="1399239639"/>
          </w:sdtPr>
          <w:sdtEndPr>
            <w:rPr>
              <w:rFonts w:ascii="宋体" w:hAnsi="宋体"/>
            </w:rPr>
          </w:sdtEndPr>
          <w:sdtContent>
            <w:tc>
              <w:tcPr>
                <w:tcW w:w="1266" w:type="dxa"/>
                <w:vAlign w:val="center"/>
              </w:tcPr>
              <w:p>
                <w:pPr>
                  <w:jc w:val="center"/>
                  <w:rPr>
                    <w:rFonts w:ascii="宋体" w:hAnsi="宋体"/>
                  </w:rPr>
                </w:pPr>
                <w:r>
                  <w:rPr>
                    <w:rFonts w:hint="eastAsia" w:ascii="宋体" w:hAnsi="宋体"/>
                  </w:rPr>
                  <w:t>交易终止日期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rPr>
              <w:rFonts w:ascii="宋体" w:hAnsi="宋体"/>
            </w:rPr>
            <w:tag w:val="_PLD_e6a7cdf4a4a6450fbd5d6a8c4c8d974e"/>
            <w:id w:val="-1636407775"/>
          </w:sdtPr>
          <w:sdtEndPr>
            <w:rPr>
              <w:rFonts w:ascii="宋体" w:hAnsi="宋体"/>
            </w:rPr>
          </w:sdtEndPr>
          <w:sdtContent>
            <w:tc>
              <w:tcPr>
                <w:tcW w:w="8970" w:type="dxa"/>
                <w:gridSpan w:val="7"/>
              </w:tcPr>
              <w:p>
                <w:pPr>
                  <w:rPr>
                    <w:rFonts w:ascii="宋体" w:hAnsi="宋体"/>
                  </w:rPr>
                </w:pPr>
                <w:r>
                  <w:rPr>
                    <w:rFonts w:hint="eastAsia" w:ascii="宋体" w:hAnsi="宋体"/>
                  </w:rPr>
                  <w:t>普通股股票类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575" w:type="dxa"/>
            <w:vAlign w:val="center"/>
          </w:tcPr>
          <w:p>
            <w:pPr>
              <w:rPr>
                <w:rFonts w:ascii="宋体" w:hAnsi="宋体"/>
              </w:rPr>
            </w:pPr>
            <w:r>
              <w:rPr>
                <w:rFonts w:hint="eastAsia" w:ascii="宋体" w:hAnsi="宋体"/>
              </w:rPr>
              <w:t>无限售条件流通股份</w:t>
            </w:r>
          </w:p>
        </w:tc>
        <w:tc>
          <w:tcPr>
            <w:tcW w:w="1266" w:type="dxa"/>
            <w:vAlign w:val="center"/>
          </w:tcPr>
          <w:p>
            <w:pPr>
              <w:jc w:val="right"/>
              <w:rPr>
                <w:rFonts w:ascii="宋体" w:hAnsi="宋体"/>
              </w:rPr>
            </w:pPr>
            <w:r>
              <w:rPr>
                <w:rFonts w:ascii="宋体" w:hAnsi="宋体"/>
              </w:rPr>
              <w:t>2023/5/24</w:t>
            </w:r>
          </w:p>
        </w:tc>
        <w:tc>
          <w:tcPr>
            <w:tcW w:w="1065" w:type="dxa"/>
            <w:vAlign w:val="center"/>
          </w:tcPr>
          <w:p>
            <w:pPr>
              <w:jc w:val="right"/>
              <w:rPr>
                <w:rFonts w:ascii="宋体" w:hAnsi="宋体"/>
              </w:rPr>
            </w:pPr>
            <w:r>
              <w:rPr>
                <w:rFonts w:hint="eastAsia" w:ascii="宋体" w:hAnsi="宋体"/>
              </w:rPr>
              <w:t>4</w:t>
            </w:r>
            <w:r>
              <w:rPr>
                <w:rFonts w:ascii="宋体" w:hAnsi="宋体"/>
              </w:rPr>
              <w:t>.52</w:t>
            </w:r>
          </w:p>
        </w:tc>
        <w:tc>
          <w:tcPr>
            <w:tcW w:w="1266" w:type="dxa"/>
            <w:vAlign w:val="center"/>
          </w:tcPr>
          <w:p>
            <w:pPr>
              <w:jc w:val="right"/>
              <w:rPr>
                <w:rFonts w:ascii="宋体" w:hAnsi="宋体"/>
              </w:rPr>
            </w:pPr>
            <w:r>
              <w:rPr>
                <w:rFonts w:ascii="宋体" w:hAnsi="宋体"/>
              </w:rPr>
              <w:t>12,656,840</w:t>
            </w:r>
          </w:p>
        </w:tc>
        <w:tc>
          <w:tcPr>
            <w:tcW w:w="1266" w:type="dxa"/>
            <w:vAlign w:val="center"/>
          </w:tcPr>
          <w:p>
            <w:pPr>
              <w:jc w:val="right"/>
              <w:rPr>
                <w:rFonts w:ascii="宋体" w:hAnsi="宋体"/>
              </w:rPr>
            </w:pPr>
            <w:r>
              <w:rPr>
                <w:rFonts w:ascii="宋体" w:hAnsi="宋体"/>
              </w:rPr>
              <w:t>2023/5/25</w:t>
            </w:r>
          </w:p>
        </w:tc>
        <w:tc>
          <w:tcPr>
            <w:tcW w:w="1266" w:type="dxa"/>
            <w:vAlign w:val="center"/>
          </w:tcPr>
          <w:p>
            <w:pPr>
              <w:jc w:val="right"/>
              <w:rPr>
                <w:rFonts w:ascii="宋体" w:hAnsi="宋体"/>
              </w:rPr>
            </w:pPr>
            <w:r>
              <w:rPr>
                <w:rFonts w:ascii="宋体" w:hAnsi="宋体"/>
              </w:rPr>
              <w:t>12,656,840</w:t>
            </w:r>
          </w:p>
        </w:tc>
        <w:tc>
          <w:tcPr>
            <w:tcW w:w="1266" w:type="dxa"/>
            <w:vAlign w:val="center"/>
          </w:tcPr>
          <w:p>
            <w:pPr>
              <w:jc w:val="right"/>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970" w:type="dxa"/>
            <w:gridSpan w:val="7"/>
          </w:tcPr>
          <w:p>
            <w:pPr>
              <w:jc w:val="left"/>
              <w:rPr>
                <w:rFonts w:ascii="宋体" w:hAnsi="宋体"/>
              </w:rPr>
            </w:pPr>
            <w:sdt>
              <w:sdtPr>
                <w:rPr>
                  <w:rFonts w:hint="eastAsia" w:ascii="宋体" w:hAnsi="宋体"/>
                </w:rPr>
                <w:tag w:val="_PLD_1c6bcdb1eb604452a59144bc9389b40f"/>
                <w:id w:val="1240365124"/>
              </w:sdtPr>
              <w:sdtEndPr>
                <w:rPr>
                  <w:rFonts w:hint="eastAsia" w:ascii="宋体" w:hAnsi="宋体"/>
                </w:rPr>
              </w:sdtEndPr>
              <w:sdtContent>
                <w:r>
                  <w:rPr>
                    <w:rFonts w:hint="eastAsia" w:ascii="宋体" w:hAnsi="宋体"/>
                  </w:rPr>
                  <w:t>债券（包括企业债券、公司债券以及非金融企业债务融资工具）</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575" w:type="dxa"/>
            <w:vAlign w:val="center"/>
          </w:tcPr>
          <w:p>
            <w:pPr>
              <w:rPr>
                <w:rFonts w:ascii="宋体" w:hAnsi="宋体"/>
              </w:rPr>
            </w:pPr>
            <w:r>
              <w:rPr>
                <w:rFonts w:hint="eastAsia" w:ascii="宋体" w:hAnsi="宋体"/>
              </w:rPr>
              <w:t>公司债</w:t>
            </w:r>
          </w:p>
        </w:tc>
        <w:tc>
          <w:tcPr>
            <w:tcW w:w="1266" w:type="dxa"/>
          </w:tcPr>
          <w:p>
            <w:pPr>
              <w:jc w:val="right"/>
              <w:rPr>
                <w:rFonts w:ascii="宋体" w:hAnsi="宋体"/>
              </w:rPr>
            </w:pPr>
            <w:r>
              <w:rPr>
                <w:rFonts w:ascii="宋体" w:hAnsi="宋体"/>
              </w:rPr>
              <w:t>2023/5/25</w:t>
            </w:r>
          </w:p>
        </w:tc>
        <w:tc>
          <w:tcPr>
            <w:tcW w:w="1065" w:type="dxa"/>
          </w:tcPr>
          <w:p>
            <w:pPr>
              <w:jc w:val="right"/>
              <w:rPr>
                <w:rFonts w:ascii="宋体" w:hAnsi="宋体"/>
              </w:rPr>
            </w:pPr>
            <w:r>
              <w:rPr>
                <w:rFonts w:ascii="宋体" w:hAnsi="宋体"/>
              </w:rPr>
              <w:t>3.34</w:t>
            </w:r>
            <w:r>
              <w:rPr>
                <w:rFonts w:hint="eastAsia" w:ascii="宋体" w:hAnsi="宋体"/>
              </w:rPr>
              <w:t>%</w:t>
            </w:r>
          </w:p>
        </w:tc>
        <w:tc>
          <w:tcPr>
            <w:tcW w:w="1266" w:type="dxa"/>
          </w:tcPr>
          <w:p>
            <w:pPr>
              <w:jc w:val="right"/>
              <w:rPr>
                <w:rFonts w:ascii="宋体" w:hAnsi="宋体"/>
              </w:rPr>
            </w:pPr>
            <w:r>
              <w:rPr>
                <w:rFonts w:ascii="宋体" w:hAnsi="宋体"/>
              </w:rPr>
              <w:t>10</w:t>
            </w:r>
            <w:r>
              <w:rPr>
                <w:rFonts w:hint="eastAsia" w:ascii="宋体" w:hAnsi="宋体"/>
              </w:rPr>
              <w:t>亿元</w:t>
            </w:r>
          </w:p>
        </w:tc>
        <w:tc>
          <w:tcPr>
            <w:tcW w:w="1266" w:type="dxa"/>
          </w:tcPr>
          <w:p>
            <w:pPr>
              <w:jc w:val="right"/>
              <w:rPr>
                <w:rFonts w:ascii="宋体" w:hAnsi="宋体"/>
              </w:rPr>
            </w:pPr>
            <w:r>
              <w:rPr>
                <w:rFonts w:ascii="宋体" w:hAnsi="宋体"/>
              </w:rPr>
              <w:t>2023/5/26</w:t>
            </w:r>
          </w:p>
        </w:tc>
        <w:tc>
          <w:tcPr>
            <w:tcW w:w="1266" w:type="dxa"/>
          </w:tcPr>
          <w:p>
            <w:pPr>
              <w:jc w:val="right"/>
              <w:rPr>
                <w:rFonts w:ascii="宋体" w:hAnsi="宋体"/>
              </w:rPr>
            </w:pPr>
            <w:r>
              <w:rPr>
                <w:rFonts w:ascii="宋体" w:hAnsi="宋体"/>
              </w:rPr>
              <w:t>10</w:t>
            </w:r>
            <w:r>
              <w:rPr>
                <w:rFonts w:hint="eastAsia" w:ascii="宋体" w:hAnsi="宋体"/>
              </w:rPr>
              <w:t>亿元</w:t>
            </w:r>
          </w:p>
        </w:tc>
        <w:tc>
          <w:tcPr>
            <w:tcW w:w="1266" w:type="dxa"/>
          </w:tcPr>
          <w:p>
            <w:pPr>
              <w:jc w:val="right"/>
              <w:rPr>
                <w:rFonts w:ascii="宋体" w:hAnsi="宋体"/>
              </w:rPr>
            </w:pPr>
            <w:r>
              <w:rPr>
                <w:rFonts w:ascii="宋体" w:hAnsi="宋体"/>
              </w:rPr>
              <w:t>2028/5/26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575" w:type="dxa"/>
            <w:vAlign w:val="center"/>
          </w:tcPr>
          <w:p>
            <w:pPr>
              <w:rPr>
                <w:rFonts w:ascii="宋体" w:hAnsi="宋体"/>
              </w:rPr>
            </w:pPr>
            <w:r>
              <w:rPr>
                <w:rFonts w:hint="eastAsia" w:ascii="宋体" w:hAnsi="宋体"/>
              </w:rPr>
              <w:t>公司债</w:t>
            </w:r>
          </w:p>
        </w:tc>
        <w:tc>
          <w:tcPr>
            <w:tcW w:w="1266" w:type="dxa"/>
          </w:tcPr>
          <w:p>
            <w:pPr>
              <w:jc w:val="right"/>
              <w:rPr>
                <w:rFonts w:ascii="宋体" w:hAnsi="宋体"/>
              </w:rPr>
            </w:pPr>
            <w:r>
              <w:rPr>
                <w:rFonts w:ascii="宋体" w:hAnsi="宋体"/>
              </w:rPr>
              <w:t>2023/5/25</w:t>
            </w:r>
          </w:p>
        </w:tc>
        <w:tc>
          <w:tcPr>
            <w:tcW w:w="1065" w:type="dxa"/>
          </w:tcPr>
          <w:p>
            <w:pPr>
              <w:jc w:val="right"/>
              <w:rPr>
                <w:rFonts w:ascii="宋体" w:hAnsi="宋体"/>
              </w:rPr>
            </w:pPr>
            <w:r>
              <w:rPr>
                <w:rFonts w:ascii="宋体" w:hAnsi="宋体"/>
              </w:rPr>
              <w:t>3.80</w:t>
            </w:r>
            <w:r>
              <w:rPr>
                <w:rFonts w:hint="eastAsia" w:ascii="宋体" w:hAnsi="宋体"/>
              </w:rPr>
              <w:t>%</w:t>
            </w:r>
          </w:p>
        </w:tc>
        <w:tc>
          <w:tcPr>
            <w:tcW w:w="1266" w:type="dxa"/>
          </w:tcPr>
          <w:p>
            <w:pPr>
              <w:jc w:val="right"/>
              <w:rPr>
                <w:rFonts w:ascii="宋体" w:hAnsi="宋体"/>
              </w:rPr>
            </w:pPr>
            <w:r>
              <w:rPr>
                <w:rFonts w:ascii="宋体" w:hAnsi="宋体"/>
              </w:rPr>
              <w:t>20</w:t>
            </w:r>
            <w:r>
              <w:rPr>
                <w:rFonts w:hint="eastAsia" w:ascii="宋体" w:hAnsi="宋体"/>
              </w:rPr>
              <w:t>亿元</w:t>
            </w:r>
          </w:p>
        </w:tc>
        <w:tc>
          <w:tcPr>
            <w:tcW w:w="1266" w:type="dxa"/>
          </w:tcPr>
          <w:p>
            <w:pPr>
              <w:jc w:val="right"/>
              <w:rPr>
                <w:rFonts w:ascii="宋体" w:hAnsi="宋体"/>
              </w:rPr>
            </w:pPr>
            <w:r>
              <w:rPr>
                <w:rFonts w:ascii="宋体" w:hAnsi="宋体"/>
              </w:rPr>
              <w:t>2023/5/26</w:t>
            </w:r>
          </w:p>
        </w:tc>
        <w:tc>
          <w:tcPr>
            <w:tcW w:w="1266" w:type="dxa"/>
          </w:tcPr>
          <w:p>
            <w:pPr>
              <w:jc w:val="right"/>
              <w:rPr>
                <w:rFonts w:ascii="宋体" w:hAnsi="宋体"/>
              </w:rPr>
            </w:pPr>
            <w:r>
              <w:rPr>
                <w:rFonts w:ascii="宋体" w:hAnsi="宋体"/>
              </w:rPr>
              <w:t>20</w:t>
            </w:r>
            <w:r>
              <w:rPr>
                <w:rFonts w:hint="eastAsia" w:ascii="宋体" w:hAnsi="宋体"/>
              </w:rPr>
              <w:t>亿元</w:t>
            </w:r>
          </w:p>
        </w:tc>
        <w:tc>
          <w:tcPr>
            <w:tcW w:w="1266" w:type="dxa"/>
          </w:tcPr>
          <w:p>
            <w:pPr>
              <w:jc w:val="right"/>
              <w:rPr>
                <w:rFonts w:ascii="宋体" w:hAnsi="宋体"/>
              </w:rPr>
            </w:pPr>
            <w:r>
              <w:rPr>
                <w:rFonts w:ascii="宋体" w:hAnsi="宋体"/>
              </w:rPr>
              <w:t>2033/5/26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575" w:type="dxa"/>
            <w:vAlign w:val="center"/>
          </w:tcPr>
          <w:p>
            <w:pPr>
              <w:rPr>
                <w:rFonts w:ascii="宋体" w:hAnsi="宋体"/>
              </w:rPr>
            </w:pPr>
            <w:r>
              <w:rPr>
                <w:rFonts w:hint="eastAsia" w:ascii="宋体" w:hAnsi="宋体"/>
              </w:rPr>
              <w:t>公司债</w:t>
            </w:r>
          </w:p>
        </w:tc>
        <w:tc>
          <w:tcPr>
            <w:tcW w:w="1266" w:type="dxa"/>
          </w:tcPr>
          <w:p>
            <w:pPr>
              <w:jc w:val="right"/>
              <w:rPr>
                <w:rFonts w:ascii="宋体" w:hAnsi="宋体"/>
              </w:rPr>
            </w:pPr>
            <w:r>
              <w:rPr>
                <w:rFonts w:ascii="宋体" w:hAnsi="宋体"/>
              </w:rPr>
              <w:t>2023/6/15</w:t>
            </w:r>
          </w:p>
        </w:tc>
        <w:tc>
          <w:tcPr>
            <w:tcW w:w="1065" w:type="dxa"/>
          </w:tcPr>
          <w:p>
            <w:pPr>
              <w:jc w:val="right"/>
              <w:rPr>
                <w:rFonts w:ascii="宋体" w:hAnsi="宋体"/>
              </w:rPr>
            </w:pPr>
            <w:r>
              <w:rPr>
                <w:rFonts w:ascii="宋体" w:hAnsi="宋体"/>
              </w:rPr>
              <w:t>3.75</w:t>
            </w:r>
            <w:r>
              <w:rPr>
                <w:rFonts w:hint="eastAsia" w:ascii="宋体" w:hAnsi="宋体"/>
              </w:rPr>
              <w:t>%</w:t>
            </w:r>
          </w:p>
        </w:tc>
        <w:tc>
          <w:tcPr>
            <w:tcW w:w="1266" w:type="dxa"/>
          </w:tcPr>
          <w:p>
            <w:pPr>
              <w:jc w:val="right"/>
              <w:rPr>
                <w:rFonts w:ascii="宋体" w:hAnsi="宋体"/>
              </w:rPr>
            </w:pPr>
            <w:r>
              <w:rPr>
                <w:rFonts w:ascii="宋体" w:hAnsi="宋体"/>
              </w:rPr>
              <w:t>20</w:t>
            </w:r>
            <w:r>
              <w:rPr>
                <w:rFonts w:hint="eastAsia" w:ascii="宋体" w:hAnsi="宋体"/>
              </w:rPr>
              <w:t>亿元</w:t>
            </w:r>
          </w:p>
        </w:tc>
        <w:tc>
          <w:tcPr>
            <w:tcW w:w="1266" w:type="dxa"/>
          </w:tcPr>
          <w:p>
            <w:pPr>
              <w:jc w:val="right"/>
              <w:rPr>
                <w:rFonts w:ascii="宋体" w:hAnsi="宋体"/>
              </w:rPr>
            </w:pPr>
            <w:r>
              <w:rPr>
                <w:rFonts w:ascii="宋体" w:hAnsi="宋体"/>
              </w:rPr>
              <w:t>2023/6/16</w:t>
            </w:r>
          </w:p>
        </w:tc>
        <w:tc>
          <w:tcPr>
            <w:tcW w:w="1266" w:type="dxa"/>
          </w:tcPr>
          <w:p>
            <w:pPr>
              <w:jc w:val="right"/>
              <w:rPr>
                <w:rFonts w:ascii="宋体" w:hAnsi="宋体"/>
              </w:rPr>
            </w:pPr>
            <w:r>
              <w:rPr>
                <w:rFonts w:ascii="宋体" w:hAnsi="宋体"/>
              </w:rPr>
              <w:t>20</w:t>
            </w:r>
            <w:r>
              <w:rPr>
                <w:rFonts w:hint="eastAsia" w:ascii="宋体" w:hAnsi="宋体"/>
              </w:rPr>
              <w:t>亿元</w:t>
            </w:r>
          </w:p>
        </w:tc>
        <w:tc>
          <w:tcPr>
            <w:tcW w:w="1266" w:type="dxa"/>
          </w:tcPr>
          <w:p>
            <w:pPr>
              <w:jc w:val="right"/>
              <w:rPr>
                <w:rFonts w:ascii="宋体" w:hAnsi="宋体"/>
              </w:rPr>
            </w:pPr>
            <w:r>
              <w:rPr>
                <w:rFonts w:ascii="宋体" w:hAnsi="宋体"/>
              </w:rPr>
              <w:t>2033/6/16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575" w:type="dxa"/>
            <w:vAlign w:val="center"/>
          </w:tcPr>
          <w:p>
            <w:pPr>
              <w:rPr>
                <w:rFonts w:ascii="宋体" w:hAnsi="宋体"/>
              </w:rPr>
            </w:pPr>
            <w:r>
              <w:rPr>
                <w:rFonts w:hint="eastAsia" w:ascii="宋体" w:hAnsi="宋体"/>
              </w:rPr>
              <w:t>中期票据</w:t>
            </w:r>
          </w:p>
        </w:tc>
        <w:tc>
          <w:tcPr>
            <w:tcW w:w="1266" w:type="dxa"/>
          </w:tcPr>
          <w:p>
            <w:pPr>
              <w:jc w:val="right"/>
              <w:rPr>
                <w:rFonts w:ascii="宋体" w:hAnsi="宋体"/>
              </w:rPr>
            </w:pPr>
            <w:r>
              <w:rPr>
                <w:rFonts w:ascii="宋体" w:hAnsi="宋体"/>
              </w:rPr>
              <w:t>2023/10/19</w:t>
            </w:r>
          </w:p>
        </w:tc>
        <w:tc>
          <w:tcPr>
            <w:tcW w:w="1065" w:type="dxa"/>
          </w:tcPr>
          <w:p>
            <w:pPr>
              <w:jc w:val="right"/>
              <w:rPr>
                <w:rFonts w:ascii="宋体" w:hAnsi="宋体"/>
              </w:rPr>
            </w:pPr>
            <w:r>
              <w:rPr>
                <w:rFonts w:ascii="宋体" w:hAnsi="宋体"/>
              </w:rPr>
              <w:t>3.40</w:t>
            </w:r>
            <w:r>
              <w:rPr>
                <w:rFonts w:hint="eastAsia" w:ascii="宋体" w:hAnsi="宋体"/>
              </w:rPr>
              <w:t>%</w:t>
            </w:r>
          </w:p>
        </w:tc>
        <w:tc>
          <w:tcPr>
            <w:tcW w:w="1266" w:type="dxa"/>
          </w:tcPr>
          <w:p>
            <w:pPr>
              <w:jc w:val="right"/>
              <w:rPr>
                <w:rFonts w:ascii="宋体" w:hAnsi="宋体"/>
              </w:rPr>
            </w:pPr>
            <w:r>
              <w:rPr>
                <w:rFonts w:ascii="宋体" w:hAnsi="宋体"/>
              </w:rPr>
              <w:t>20</w:t>
            </w:r>
            <w:r>
              <w:rPr>
                <w:rFonts w:hint="eastAsia" w:ascii="宋体" w:hAnsi="宋体"/>
              </w:rPr>
              <w:t>亿元</w:t>
            </w:r>
          </w:p>
        </w:tc>
        <w:tc>
          <w:tcPr>
            <w:tcW w:w="1266" w:type="dxa"/>
          </w:tcPr>
          <w:p>
            <w:pPr>
              <w:jc w:val="right"/>
              <w:rPr>
                <w:rFonts w:ascii="宋体" w:hAnsi="宋体"/>
              </w:rPr>
            </w:pPr>
            <w:r>
              <w:rPr>
                <w:rFonts w:ascii="宋体" w:hAnsi="宋体"/>
              </w:rPr>
              <w:t>2023/10/23</w:t>
            </w:r>
          </w:p>
        </w:tc>
        <w:tc>
          <w:tcPr>
            <w:tcW w:w="1266" w:type="dxa"/>
          </w:tcPr>
          <w:p>
            <w:pPr>
              <w:jc w:val="right"/>
              <w:rPr>
                <w:rFonts w:ascii="宋体" w:hAnsi="宋体"/>
              </w:rPr>
            </w:pPr>
            <w:r>
              <w:rPr>
                <w:rFonts w:ascii="宋体" w:hAnsi="宋体"/>
              </w:rPr>
              <w:t>20</w:t>
            </w:r>
            <w:r>
              <w:rPr>
                <w:rFonts w:hint="eastAsia" w:ascii="宋体" w:hAnsi="宋体"/>
              </w:rPr>
              <w:t>亿元</w:t>
            </w:r>
          </w:p>
        </w:tc>
        <w:tc>
          <w:tcPr>
            <w:tcW w:w="1266" w:type="dxa"/>
          </w:tcPr>
          <w:p>
            <w:pPr>
              <w:jc w:val="right"/>
              <w:rPr>
                <w:rFonts w:ascii="宋体" w:hAnsi="宋体"/>
              </w:rPr>
            </w:pPr>
            <w:r>
              <w:rPr>
                <w:rFonts w:ascii="宋体" w:hAnsi="宋体"/>
              </w:rPr>
              <w:t>2025/10/23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575" w:type="dxa"/>
            <w:vAlign w:val="center"/>
          </w:tcPr>
          <w:p>
            <w:pPr>
              <w:rPr>
                <w:rFonts w:ascii="宋体" w:hAnsi="宋体"/>
              </w:rPr>
            </w:pPr>
            <w:r>
              <w:rPr>
                <w:rFonts w:hint="eastAsia" w:ascii="宋体" w:hAnsi="宋体"/>
              </w:rPr>
              <w:t>中期票据</w:t>
            </w:r>
          </w:p>
        </w:tc>
        <w:tc>
          <w:tcPr>
            <w:tcW w:w="1266" w:type="dxa"/>
          </w:tcPr>
          <w:p>
            <w:pPr>
              <w:jc w:val="right"/>
              <w:rPr>
                <w:rFonts w:ascii="宋体" w:hAnsi="宋体"/>
              </w:rPr>
            </w:pPr>
            <w:r>
              <w:rPr>
                <w:rFonts w:ascii="宋体" w:hAnsi="宋体"/>
              </w:rPr>
              <w:t>2023/11/21</w:t>
            </w:r>
          </w:p>
        </w:tc>
        <w:tc>
          <w:tcPr>
            <w:tcW w:w="1065" w:type="dxa"/>
          </w:tcPr>
          <w:p>
            <w:pPr>
              <w:jc w:val="right"/>
              <w:rPr>
                <w:rFonts w:ascii="宋体" w:hAnsi="宋体"/>
              </w:rPr>
            </w:pPr>
            <w:r>
              <w:rPr>
                <w:rFonts w:ascii="宋体" w:hAnsi="宋体"/>
              </w:rPr>
              <w:t>3.16</w:t>
            </w:r>
            <w:r>
              <w:rPr>
                <w:rFonts w:hint="eastAsia" w:ascii="宋体" w:hAnsi="宋体"/>
              </w:rPr>
              <w:t>%</w:t>
            </w:r>
          </w:p>
        </w:tc>
        <w:tc>
          <w:tcPr>
            <w:tcW w:w="1266" w:type="dxa"/>
          </w:tcPr>
          <w:p>
            <w:pPr>
              <w:jc w:val="right"/>
              <w:rPr>
                <w:rFonts w:ascii="宋体" w:hAnsi="宋体"/>
              </w:rPr>
            </w:pPr>
            <w:r>
              <w:rPr>
                <w:rFonts w:ascii="宋体" w:hAnsi="宋体"/>
              </w:rPr>
              <w:t>30</w:t>
            </w:r>
            <w:r>
              <w:rPr>
                <w:rFonts w:hint="eastAsia" w:ascii="宋体" w:hAnsi="宋体"/>
              </w:rPr>
              <w:t>亿元</w:t>
            </w:r>
          </w:p>
        </w:tc>
        <w:tc>
          <w:tcPr>
            <w:tcW w:w="1266" w:type="dxa"/>
          </w:tcPr>
          <w:p>
            <w:pPr>
              <w:jc w:val="right"/>
              <w:rPr>
                <w:rFonts w:ascii="宋体" w:hAnsi="宋体"/>
              </w:rPr>
            </w:pPr>
            <w:r>
              <w:rPr>
                <w:rFonts w:ascii="宋体" w:hAnsi="宋体"/>
              </w:rPr>
              <w:t>2023/11/23</w:t>
            </w:r>
          </w:p>
        </w:tc>
        <w:tc>
          <w:tcPr>
            <w:tcW w:w="1266" w:type="dxa"/>
          </w:tcPr>
          <w:p>
            <w:pPr>
              <w:jc w:val="right"/>
              <w:rPr>
                <w:rFonts w:ascii="宋体" w:hAnsi="宋体"/>
              </w:rPr>
            </w:pPr>
            <w:r>
              <w:rPr>
                <w:rFonts w:ascii="宋体" w:hAnsi="宋体"/>
              </w:rPr>
              <w:t>30</w:t>
            </w:r>
            <w:r>
              <w:rPr>
                <w:rFonts w:hint="eastAsia" w:ascii="宋体" w:hAnsi="宋体"/>
              </w:rPr>
              <w:t>亿元</w:t>
            </w:r>
          </w:p>
        </w:tc>
        <w:tc>
          <w:tcPr>
            <w:tcW w:w="1266" w:type="dxa"/>
          </w:tcPr>
          <w:p>
            <w:pPr>
              <w:jc w:val="right"/>
              <w:rPr>
                <w:rFonts w:ascii="宋体" w:hAnsi="宋体"/>
              </w:rPr>
            </w:pPr>
            <w:r>
              <w:rPr>
                <w:rFonts w:ascii="宋体" w:hAnsi="宋体"/>
              </w:rPr>
              <w:t>2025/11/23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575" w:type="dxa"/>
            <w:vAlign w:val="center"/>
          </w:tcPr>
          <w:p>
            <w:pPr>
              <w:rPr>
                <w:rFonts w:ascii="宋体" w:hAnsi="宋体"/>
              </w:rPr>
            </w:pPr>
            <w:r>
              <w:rPr>
                <w:rFonts w:hint="eastAsia" w:ascii="宋体" w:hAnsi="宋体"/>
              </w:rPr>
              <w:t>超短期融资券</w:t>
            </w:r>
          </w:p>
        </w:tc>
        <w:tc>
          <w:tcPr>
            <w:tcW w:w="1266" w:type="dxa"/>
          </w:tcPr>
          <w:p>
            <w:pPr>
              <w:jc w:val="right"/>
              <w:rPr>
                <w:rFonts w:ascii="宋体" w:hAnsi="宋体"/>
              </w:rPr>
            </w:pPr>
            <w:r>
              <w:rPr>
                <w:rFonts w:ascii="宋体" w:hAnsi="宋体"/>
              </w:rPr>
              <w:t>2023/6/15</w:t>
            </w:r>
          </w:p>
        </w:tc>
        <w:tc>
          <w:tcPr>
            <w:tcW w:w="1065" w:type="dxa"/>
          </w:tcPr>
          <w:p>
            <w:pPr>
              <w:jc w:val="right"/>
              <w:rPr>
                <w:rFonts w:ascii="宋体" w:hAnsi="宋体"/>
              </w:rPr>
            </w:pPr>
            <w:r>
              <w:rPr>
                <w:rFonts w:hint="eastAsia" w:ascii="宋体" w:hAnsi="宋体"/>
              </w:rPr>
              <w:t>2</w:t>
            </w:r>
            <w:r>
              <w:rPr>
                <w:rFonts w:ascii="宋体" w:hAnsi="宋体"/>
              </w:rPr>
              <w:t>.08</w:t>
            </w:r>
            <w:r>
              <w:rPr>
                <w:rFonts w:hint="eastAsia" w:ascii="宋体" w:hAnsi="宋体"/>
              </w:rPr>
              <w:t>%</w:t>
            </w:r>
          </w:p>
        </w:tc>
        <w:tc>
          <w:tcPr>
            <w:tcW w:w="1266" w:type="dxa"/>
          </w:tcPr>
          <w:p>
            <w:pPr>
              <w:jc w:val="right"/>
              <w:rPr>
                <w:rFonts w:ascii="宋体" w:hAnsi="宋体"/>
              </w:rPr>
            </w:pPr>
            <w:r>
              <w:rPr>
                <w:rFonts w:ascii="宋体" w:hAnsi="宋体"/>
              </w:rPr>
              <w:t>30</w:t>
            </w:r>
            <w:r>
              <w:rPr>
                <w:rFonts w:hint="eastAsia" w:ascii="宋体" w:hAnsi="宋体"/>
              </w:rPr>
              <w:t>亿元</w:t>
            </w:r>
          </w:p>
        </w:tc>
        <w:tc>
          <w:tcPr>
            <w:tcW w:w="1266" w:type="dxa"/>
          </w:tcPr>
          <w:p>
            <w:pPr>
              <w:jc w:val="right"/>
              <w:rPr>
                <w:rFonts w:ascii="宋体" w:hAnsi="宋体"/>
              </w:rPr>
            </w:pPr>
            <w:r>
              <w:rPr>
                <w:rFonts w:ascii="宋体" w:hAnsi="宋体"/>
              </w:rPr>
              <w:t>2023/6/16</w:t>
            </w:r>
          </w:p>
        </w:tc>
        <w:tc>
          <w:tcPr>
            <w:tcW w:w="1266" w:type="dxa"/>
          </w:tcPr>
          <w:p>
            <w:pPr>
              <w:jc w:val="right"/>
              <w:rPr>
                <w:rFonts w:ascii="宋体" w:hAnsi="宋体"/>
              </w:rPr>
            </w:pPr>
            <w:r>
              <w:rPr>
                <w:rFonts w:ascii="宋体" w:hAnsi="宋体"/>
              </w:rPr>
              <w:t>30</w:t>
            </w:r>
            <w:r>
              <w:rPr>
                <w:rFonts w:hint="eastAsia" w:ascii="宋体" w:hAnsi="宋体"/>
              </w:rPr>
              <w:t>亿元</w:t>
            </w:r>
          </w:p>
        </w:tc>
        <w:tc>
          <w:tcPr>
            <w:tcW w:w="1266" w:type="dxa"/>
          </w:tcPr>
          <w:p>
            <w:pPr>
              <w:jc w:val="right"/>
              <w:rPr>
                <w:rFonts w:ascii="宋体" w:hAnsi="宋体"/>
              </w:rPr>
            </w:pPr>
            <w:r>
              <w:rPr>
                <w:rFonts w:ascii="宋体" w:hAnsi="宋体"/>
              </w:rPr>
              <w:t>2023/12/13</w:t>
            </w:r>
          </w:p>
        </w:tc>
      </w:tr>
    </w:tbl>
    <w:p>
      <w:pPr>
        <w:rPr>
          <w:rFonts w:ascii="宋体" w:hAnsi="宋体"/>
        </w:rPr>
      </w:pPr>
    </w:p>
    <w:p>
      <w:pPr>
        <w:rPr>
          <w:rFonts w:ascii="宋体" w:hAnsi="宋体"/>
        </w:rPr>
      </w:pPr>
      <w:r>
        <w:rPr>
          <w:rFonts w:ascii="宋体" w:hAnsi="宋体"/>
        </w:rPr>
        <w:t>截至</w:t>
      </w:r>
      <w:r>
        <w:rPr>
          <w:rFonts w:hint="eastAsia" w:ascii="宋体" w:hAnsi="宋体"/>
        </w:rPr>
        <w:t>报告期内</w:t>
      </w:r>
      <w:r>
        <w:rPr>
          <w:rFonts w:ascii="宋体" w:hAnsi="宋体"/>
        </w:rPr>
        <w:t>证券发行情况的说明（存续期内利率不同的债券，请分别说明）：</w:t>
      </w:r>
    </w:p>
    <w:sdt>
      <w:sdtPr>
        <w:rPr>
          <w:rFonts w:hint="eastAsia" w:ascii="宋体" w:hAnsi="宋体"/>
        </w:rPr>
        <w:alias w:val="是否适用：截至报告期内证券发行情况的说明[双击切换]"/>
        <w:tag w:val="_GBC_41eee01683bd43189dc24a776753e295"/>
        <w:id w:val="819156088"/>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报告期内证券发行情况的说明"/>
        <w:tag w:val="_GBC_554181dc253a4fa496d2a732435f9c84"/>
        <w:id w:val="-668328050"/>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普通股股票：</w:t>
          </w:r>
        </w:p>
        <w:p>
          <w:pPr>
            <w:ind w:firstLine="420" w:firstLineChars="200"/>
            <w:rPr>
              <w:rFonts w:ascii="宋体" w:hAnsi="宋体"/>
            </w:rPr>
          </w:pPr>
          <w:r>
            <w:rPr>
              <w:rFonts w:hint="eastAsia" w:ascii="宋体" w:hAnsi="宋体"/>
            </w:rPr>
            <w:t>报告期内，公司</w:t>
          </w:r>
          <w:r>
            <w:rPr>
              <w:rFonts w:ascii="宋体" w:hAnsi="宋体"/>
            </w:rPr>
            <w:t>2018年A股股票期权激励计划第</w:t>
          </w:r>
          <w:r>
            <w:rPr>
              <w:rFonts w:hint="eastAsia" w:ascii="宋体" w:hAnsi="宋体"/>
            </w:rPr>
            <w:t>三</w:t>
          </w:r>
          <w:r>
            <w:rPr>
              <w:rFonts w:ascii="宋体" w:hAnsi="宋体"/>
            </w:rPr>
            <w:t>个行权期共行权并完成股份过户登记12,656,840股</w:t>
          </w:r>
          <w:r>
            <w:rPr>
              <w:rFonts w:hint="eastAsia" w:ascii="宋体" w:hAnsi="宋体"/>
            </w:rPr>
            <w:t>,并于2</w:t>
          </w:r>
          <w:r>
            <w:rPr>
              <w:rFonts w:ascii="宋体" w:hAnsi="宋体"/>
            </w:rPr>
            <w:t>023</w:t>
          </w:r>
          <w:r>
            <w:rPr>
              <w:rFonts w:hint="eastAsia" w:ascii="宋体" w:hAnsi="宋体"/>
            </w:rPr>
            <w:t>年5月2</w:t>
          </w:r>
          <w:r>
            <w:rPr>
              <w:rFonts w:ascii="宋体" w:hAnsi="宋体"/>
            </w:rPr>
            <w:t>4</w:t>
          </w:r>
          <w:r>
            <w:rPr>
              <w:rFonts w:hint="eastAsia" w:ascii="宋体" w:hAnsi="宋体"/>
            </w:rPr>
            <w:t>日完成股份过户登记，当日A股收盘价为</w:t>
          </w:r>
          <w:r>
            <w:rPr>
              <w:rFonts w:ascii="宋体" w:hAnsi="宋体"/>
            </w:rPr>
            <w:t>33.52</w:t>
          </w:r>
          <w:r>
            <w:rPr>
              <w:rFonts w:hint="eastAsia" w:ascii="宋体" w:hAnsi="宋体"/>
            </w:rPr>
            <w:t>元/股</w:t>
          </w:r>
          <w:bookmarkStart w:id="157" w:name="_Hlk160997929"/>
          <w:r>
            <w:rPr>
              <w:rFonts w:hint="eastAsia" w:ascii="宋体" w:hAnsi="宋体"/>
            </w:rPr>
            <w:t>（2</w:t>
          </w:r>
          <w:r>
            <w:rPr>
              <w:rFonts w:ascii="宋体" w:hAnsi="宋体"/>
            </w:rPr>
            <w:t>022</w:t>
          </w:r>
          <w:r>
            <w:rPr>
              <w:rFonts w:hint="eastAsia" w:ascii="宋体" w:hAnsi="宋体"/>
            </w:rPr>
            <w:t>年度股票红利派发前）</w:t>
          </w:r>
          <w:bookmarkEnd w:id="157"/>
          <w:r>
            <w:rPr>
              <w:rFonts w:ascii="宋体" w:hAnsi="宋体"/>
            </w:rPr>
            <w:t>。</w:t>
          </w:r>
          <w:r>
            <w:rPr>
              <w:rFonts w:hint="eastAsia" w:ascii="宋体" w:hAnsi="宋体"/>
            </w:rPr>
            <w:t>有关2018年A股股票期权激励计划详情请见本年报“第五节 公司治理”股权激励相关内容。</w:t>
          </w:r>
        </w:p>
        <w:p>
          <w:pPr>
            <w:ind w:firstLine="420" w:firstLineChars="200"/>
            <w:rPr>
              <w:rFonts w:ascii="宋体" w:hAnsi="宋体"/>
            </w:rPr>
          </w:pPr>
        </w:p>
        <w:p>
          <w:pPr>
            <w:ind w:firstLine="420" w:firstLineChars="200"/>
            <w:rPr>
              <w:rFonts w:ascii="宋体" w:hAnsi="宋体"/>
            </w:rPr>
          </w:pPr>
          <w:r>
            <w:rPr>
              <w:rFonts w:hint="eastAsia" w:ascii="宋体" w:hAnsi="宋体"/>
            </w:rPr>
            <w:t>债券（包括企业债券、公司债券以及非金融企业债务融资工具）：</w:t>
          </w:r>
        </w:p>
        <w:p>
          <w:pPr>
            <w:ind w:firstLine="420" w:firstLineChars="200"/>
            <w:rPr>
              <w:rFonts w:ascii="宋体" w:hAnsi="宋体"/>
            </w:rPr>
          </w:pPr>
          <w:r>
            <w:rPr>
              <w:rFonts w:hint="eastAsia" w:ascii="宋体" w:hAnsi="宋体"/>
            </w:rPr>
            <w:t>有关本年度发行公司债券详情请见本年报“第九节</w:t>
          </w:r>
          <w:r>
            <w:rPr>
              <w:rFonts w:ascii="宋体" w:hAnsi="宋体"/>
            </w:rPr>
            <w:t xml:space="preserve"> 债券相关情况”相关内容</w:t>
          </w:r>
          <w:r>
            <w:rPr>
              <w:rFonts w:hint="eastAsia" w:ascii="宋体" w:hAnsi="宋体"/>
            </w:rPr>
            <w:t>。</w:t>
          </w:r>
        </w:p>
      </w:sdtContent>
    </w:sdt>
    <w:bookmarkEnd w:id="156"/>
    <w:p>
      <w:pPr>
        <w:pStyle w:val="501"/>
      </w:pPr>
    </w:p>
    <w:p>
      <w:pPr>
        <w:pStyle w:val="4"/>
        <w:numPr>
          <w:ilvl w:val="0"/>
          <w:numId w:val="48"/>
        </w:numPr>
        <w:rPr>
          <w:szCs w:val="21"/>
        </w:rPr>
      </w:pPr>
      <w:r>
        <w:rPr>
          <w:rFonts w:hint="eastAsia"/>
          <w:szCs w:val="21"/>
        </w:rPr>
        <w:t>公司股份总数及股东结构变动及公司资产和负债结构的变动情况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692389835"/>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公司股份总数及结构的变动的说明"/>
        <w:tag w:val="_GBC_f052eac1038944c191b4dbc4a4fa7ea9"/>
        <w:id w:val="1717007254"/>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报告期内，公司完成了</w:t>
          </w:r>
          <w:r>
            <w:rPr>
              <w:rFonts w:ascii="宋体" w:hAnsi="宋体"/>
            </w:rPr>
            <w:t>2018年A股股票期权激励计划第三个行权期自主行权以及相应股份过户登记、2022年度利润分配之股票红利派发和部分限制性股票回购注销，总股本由4,948,703,640股调整至7,439,370,720股。</w:t>
          </w:r>
          <w:r>
            <w:rPr>
              <w:rFonts w:hint="eastAsia" w:ascii="宋体" w:hAnsi="宋体"/>
            </w:rPr>
            <w:t>其中主要股份变动是派发股票红利所致，对公司资产和负债结构并未产生重大影响。</w:t>
          </w:r>
        </w:p>
        <w:p>
          <w:pPr>
            <w:ind w:firstLine="420" w:firstLineChars="200"/>
            <w:rPr>
              <w:rFonts w:ascii="宋体" w:hAnsi="宋体"/>
            </w:rPr>
          </w:pPr>
        </w:p>
      </w:sdtContent>
    </w:sdt>
    <w:p>
      <w:pPr>
        <w:rPr>
          <w:rFonts w:ascii="宋体" w:hAnsi="宋体"/>
        </w:rPr>
      </w:pPr>
    </w:p>
    <w:p>
      <w:pPr>
        <w:pStyle w:val="4"/>
        <w:numPr>
          <w:ilvl w:val="0"/>
          <w:numId w:val="48"/>
        </w:numPr>
        <w:rPr>
          <w:rFonts w:ascii="宋体" w:hAnsi="宋体"/>
          <w:szCs w:val="21"/>
        </w:rPr>
      </w:pPr>
      <w:r>
        <w:rPr>
          <w:rFonts w:hint="eastAsia" w:ascii="宋体" w:hAnsi="宋体"/>
          <w:szCs w:val="21"/>
        </w:rPr>
        <w:t>现存的内部职工股情况</w:t>
      </w:r>
    </w:p>
    <w:sdt>
      <w:sdtPr>
        <w:alias w:val="是否适用：现存的内部职工股情况[双击切换]"/>
        <w:tag w:val="_GBC_fa5e90226e14408b891f1c5a9dbbf2c5"/>
        <w:id w:val="-1587836233"/>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43"/>
      </w:pPr>
    </w:p>
    <w:p>
      <w:pPr>
        <w:pStyle w:val="3"/>
        <w:numPr>
          <w:ilvl w:val="0"/>
          <w:numId w:val="45"/>
        </w:numPr>
        <w:rPr>
          <w:rFonts w:ascii="宋体" w:hAnsi="宋体"/>
        </w:rPr>
      </w:pPr>
      <w:r>
        <w:rPr>
          <w:rFonts w:ascii="宋体" w:hAnsi="宋体"/>
        </w:rPr>
        <w:t>股东</w:t>
      </w:r>
      <w:r>
        <w:rPr>
          <w:rFonts w:hint="eastAsia" w:ascii="宋体" w:hAnsi="宋体"/>
        </w:rPr>
        <w:t>和实际控制人</w:t>
      </w:r>
      <w:r>
        <w:rPr>
          <w:rFonts w:ascii="宋体" w:hAnsi="宋体"/>
        </w:rPr>
        <w:t>情况</w:t>
      </w:r>
    </w:p>
    <w:p>
      <w:pPr>
        <w:pStyle w:val="4"/>
        <w:numPr>
          <w:ilvl w:val="1"/>
          <w:numId w:val="49"/>
        </w:numPr>
        <w:tabs>
          <w:tab w:val="left" w:pos="851"/>
        </w:tabs>
        <w:ind w:left="426" w:hanging="426"/>
        <w:rPr>
          <w:rFonts w:ascii="宋体" w:hAnsi="宋体"/>
          <w:szCs w:val="21"/>
        </w:rPr>
      </w:pPr>
      <w:r>
        <w:rPr>
          <w:rFonts w:hint="eastAsia" w:ascii="宋体" w:hAnsi="宋体"/>
          <w:szCs w:val="21"/>
        </w:rPr>
        <w:t>股东总数</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34738880649c43ac9597effd663adc10"/>
            <w:id w:val="-34656905"/>
          </w:sdtPr>
          <w:sdtEndPr>
            <w:rPr>
              <w:rFonts w:ascii="宋体" w:hAnsi="宋体"/>
            </w:rPr>
          </w:sdtEndPr>
          <w:sdtContent>
            <w:tc>
              <w:tcPr>
                <w:tcW w:w="4524" w:type="dxa"/>
              </w:tcPr>
              <w:p>
                <w:pPr>
                  <w:rPr>
                    <w:rFonts w:ascii="宋体" w:hAnsi="宋体"/>
                  </w:rPr>
                </w:pPr>
                <w:r>
                  <w:rPr>
                    <w:rFonts w:ascii="宋体" w:hAnsi="宋体"/>
                  </w:rPr>
                  <w:t>截</w:t>
                </w:r>
                <w:r>
                  <w:rPr>
                    <w:rFonts w:hint="eastAsia" w:ascii="宋体" w:hAnsi="宋体"/>
                  </w:rPr>
                  <w:t>至</w:t>
                </w:r>
                <w:r>
                  <w:rPr>
                    <w:rFonts w:ascii="宋体" w:hAnsi="宋体"/>
                  </w:rPr>
                  <w:t>报告期末</w:t>
                </w:r>
                <w:r>
                  <w:rPr>
                    <w:rFonts w:hint="eastAsia" w:ascii="宋体" w:hAnsi="宋体"/>
                  </w:rPr>
                  <w:t>普通股</w:t>
                </w:r>
                <w:r>
                  <w:rPr>
                    <w:rFonts w:ascii="宋体" w:hAnsi="宋体"/>
                  </w:rPr>
                  <w:t>股东总数(户)</w:t>
                </w:r>
              </w:p>
            </w:tc>
          </w:sdtContent>
        </w:sdt>
        <w:sdt>
          <w:sdtPr>
            <w:rPr>
              <w:rFonts w:ascii="宋体" w:hAnsi="宋体"/>
            </w:rPr>
            <w:alias w:val="报告期末股东总数"/>
            <w:tag w:val="_GBC_510087fb1e024fb293d32127713e45f8"/>
            <w:id w:val="-1875610530"/>
          </w:sdtPr>
          <w:sdtEndPr>
            <w:rPr>
              <w:rFonts w:ascii="宋体" w:hAnsi="宋体"/>
            </w:rPr>
          </w:sdtEndPr>
          <w:sdtContent>
            <w:tc>
              <w:tcPr>
                <w:tcW w:w="4524" w:type="dxa"/>
                <w:vAlign w:val="center"/>
              </w:tcPr>
              <w:p>
                <w:pPr>
                  <w:jc w:val="right"/>
                  <w:rPr>
                    <w:rFonts w:ascii="宋体" w:hAnsi="宋体"/>
                  </w:rPr>
                </w:pPr>
                <w:r>
                  <w:rPr>
                    <w:rFonts w:ascii="宋体" w:hAnsi="宋体"/>
                  </w:rPr>
                  <w:t>96,002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rPr>
                <w:rFonts w:ascii="宋体" w:hAnsi="宋体"/>
              </w:rPr>
            </w:pPr>
            <w:r>
              <w:rPr>
                <w:rFonts w:hint="eastAsia" w:ascii="宋体" w:hAnsi="宋体"/>
              </w:rPr>
              <w:t>年度报告披露日前上一月末的普通股股东总数</w:t>
            </w:r>
            <w:r>
              <w:rPr>
                <w:rFonts w:ascii="宋体" w:hAnsi="宋体"/>
              </w:rPr>
              <w:t>(户)</w:t>
            </w:r>
          </w:p>
        </w:tc>
        <w:tc>
          <w:tcPr>
            <w:tcW w:w="4524" w:type="dxa"/>
            <w:vAlign w:val="center"/>
          </w:tcPr>
          <w:p>
            <w:pPr>
              <w:jc w:val="right"/>
              <w:rPr>
                <w:rFonts w:ascii="宋体" w:hAnsi="宋体"/>
              </w:rPr>
            </w:pPr>
            <w:r>
              <w:rPr>
                <w:rFonts w:ascii="宋体" w:hAnsi="宋体"/>
              </w:rPr>
              <w:t>79,686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rPr>
                <w:rFonts w:ascii="宋体" w:hAnsi="宋体"/>
              </w:rPr>
            </w:pPr>
            <w:r>
              <w:rPr>
                <w:rFonts w:hint="eastAsia" w:ascii="宋体" w:hAnsi="宋体"/>
              </w:rPr>
              <w:t>截至报告期末表决权恢复的优先股股东总数（户）</w:t>
            </w:r>
          </w:p>
        </w:tc>
        <w:tc>
          <w:tcPr>
            <w:tcW w:w="4524" w:type="dxa"/>
            <w:vAlign w:val="center"/>
          </w:tcPr>
          <w:p>
            <w:pPr>
              <w:jc w:val="right"/>
              <w:rPr>
                <w:rFonts w:ascii="宋体" w:hAns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rPr>
                <w:rFonts w:ascii="宋体" w:hAnsi="宋体"/>
              </w:rPr>
            </w:pPr>
            <w:r>
              <w:rPr>
                <w:rFonts w:hint="eastAsia" w:ascii="宋体" w:hAnsi="宋体"/>
              </w:rPr>
              <w:t>年度报告披露日前上一月末表决权恢复的优先股股东总数（户）</w:t>
            </w:r>
          </w:p>
        </w:tc>
        <w:tc>
          <w:tcPr>
            <w:tcW w:w="4524" w:type="dxa"/>
            <w:vAlign w:val="center"/>
          </w:tcPr>
          <w:p>
            <w:pPr>
              <w:jc w:val="right"/>
              <w:rPr>
                <w:rFonts w:ascii="宋体" w:hAnsi="宋体"/>
              </w:rPr>
            </w:pPr>
            <w:r>
              <w:rPr>
                <w:rFonts w:hint="eastAsia" w:ascii="宋体" w:hAnsi="宋体"/>
              </w:rPr>
              <w:t>0</w:t>
            </w:r>
          </w:p>
        </w:tc>
      </w:tr>
    </w:tbl>
    <w:p>
      <w:pPr>
        <w:rPr>
          <w:rFonts w:ascii="宋体" w:hAnsi="宋体"/>
        </w:rPr>
      </w:pPr>
    </w:p>
    <w:p>
      <w:pPr>
        <w:pStyle w:val="4"/>
        <w:numPr>
          <w:ilvl w:val="1"/>
          <w:numId w:val="49"/>
        </w:numPr>
        <w:ind w:left="426" w:hanging="426"/>
        <w:rPr>
          <w:rFonts w:ascii="宋体" w:hAnsi="宋体"/>
        </w:rPr>
      </w:pPr>
      <w:r>
        <w:rPr>
          <w:rFonts w:hint="eastAsia" w:ascii="宋体" w:hAnsi="宋体"/>
          <w:szCs w:val="21"/>
        </w:rPr>
        <w:t>截至报告期末前十名股东、前十名流通股东（或无限售条件股东）持股情况表</w:t>
      </w:r>
    </w:p>
    <w:p>
      <w:pPr>
        <w:ind w:firstLine="3990" w:firstLineChars="1900"/>
        <w:jc w:val="right"/>
        <w:rPr>
          <w:rFonts w:ascii="宋体" w:hAnsi="宋体"/>
        </w:rPr>
      </w:pPr>
      <w:bookmarkStart w:id="158" w:name="_Hlk27487213"/>
      <w:r>
        <w:rPr>
          <w:rFonts w:ascii="宋体" w:hAnsi="宋体"/>
          <w:bCs/>
        </w:rPr>
        <w:t>单位:</w:t>
      </w:r>
      <w:sdt>
        <w:sdtPr>
          <w:rPr>
            <w:rFonts w:ascii="宋体" w:hAnsi="宋体"/>
            <w:bCs/>
          </w:rPr>
          <w:alias w:val="单位：前十名股东持股情况"/>
          <w:tag w:val="_GBC_b59e95c09d914c83b42ae5b68d0d6987"/>
          <w:id w:val="-1780561763"/>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ascii="宋体" w:hAnsi="宋体"/>
            <w:bCs/>
          </w:rPr>
        </w:sdtEndPr>
        <w:sdtContent>
          <w:r>
            <w:rPr>
              <w:rFonts w:ascii="宋体" w:hAnsi="宋体"/>
              <w:bCs/>
            </w:rPr>
            <w:t>股</w:t>
          </w:r>
        </w:sdtContent>
      </w:sdt>
    </w:p>
    <w:tbl>
      <w:tblPr>
        <w:tblStyle w:val="135"/>
        <w:tblW w:w="10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8"/>
        <w:gridCol w:w="1582"/>
        <w:gridCol w:w="1581"/>
        <w:gridCol w:w="974"/>
        <w:gridCol w:w="715"/>
        <w:gridCol w:w="898"/>
        <w:gridCol w:w="836"/>
        <w:gridCol w:w="561"/>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sdt>
          <w:sdtPr>
            <w:rPr>
              <w:rFonts w:ascii="宋体" w:hAnsi="宋体"/>
            </w:rPr>
            <w:tag w:val="_PLD_12180439b5ff4b00a01ff1f87b70f1de"/>
            <w:id w:val="-1715031415"/>
          </w:sdtPr>
          <w:sdtEndPr>
            <w:rPr>
              <w:rFonts w:ascii="宋体" w:hAnsi="宋体"/>
            </w:rPr>
          </w:sdtEndPr>
          <w:sdtContent>
            <w:tc>
              <w:tcPr>
                <w:tcW w:w="10766" w:type="dxa"/>
                <w:gridSpan w:val="9"/>
                <w:shd w:val="clear" w:color="auto" w:fill="auto"/>
                <w:vAlign w:val="center"/>
              </w:tcPr>
              <w:p>
                <w:pPr>
                  <w:pStyle w:val="15"/>
                  <w:jc w:val="center"/>
                  <w:rPr>
                    <w:rFonts w:ascii="宋体" w:hAnsi="宋体"/>
                  </w:rPr>
                </w:pPr>
                <w:r>
                  <w:rPr>
                    <w:rFonts w:ascii="宋体" w:hAnsi="宋体"/>
                  </w:rPr>
                  <w:t>前十名股东持股情况</w:t>
                </w:r>
                <w:r>
                  <w:rPr>
                    <w:rFonts w:hint="eastAsia" w:ascii="宋体" w:hAnsi="宋体"/>
                  </w:rPr>
                  <w:t>（不含通过转融通出借股份）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sdt>
          <w:sdtPr>
            <w:rPr>
              <w:rFonts w:ascii="宋体" w:hAnsi="宋体"/>
            </w:rPr>
            <w:tag w:val="_PLD_4e40ad86e5ee4c0cb28f819aa3924fb2"/>
            <w:id w:val="-2062091184"/>
          </w:sdtPr>
          <w:sdtEndPr>
            <w:rPr>
              <w:rFonts w:ascii="宋体" w:hAnsi="宋体"/>
            </w:rPr>
          </w:sdtEndPr>
          <w:sdtContent>
            <w:tc>
              <w:tcPr>
                <w:tcW w:w="2508" w:type="dxa"/>
                <w:vMerge w:val="restart"/>
                <w:shd w:val="clear" w:color="auto" w:fill="auto"/>
                <w:vAlign w:val="center"/>
              </w:tcPr>
              <w:p>
                <w:pPr>
                  <w:jc w:val="center"/>
                  <w:rPr>
                    <w:rFonts w:ascii="宋体" w:hAnsi="宋体"/>
                  </w:rPr>
                </w:pPr>
                <w:r>
                  <w:rPr>
                    <w:rFonts w:ascii="宋体" w:hAnsi="宋体"/>
                  </w:rPr>
                  <w:t>股东名称</w:t>
                </w:r>
              </w:p>
              <w:p>
                <w:pPr>
                  <w:jc w:val="center"/>
                  <w:rPr>
                    <w:rFonts w:ascii="宋体" w:hAnsi="宋体"/>
                  </w:rPr>
                </w:pPr>
                <w:r>
                  <w:rPr>
                    <w:rFonts w:hint="eastAsia" w:ascii="宋体" w:hAnsi="宋体"/>
                  </w:rPr>
                  <w:t>（全称）</w:t>
                </w:r>
              </w:p>
            </w:tc>
          </w:sdtContent>
        </w:sdt>
        <w:sdt>
          <w:sdtPr>
            <w:rPr>
              <w:rFonts w:ascii="宋体" w:hAnsi="宋体"/>
            </w:rPr>
            <w:tag w:val="_PLD_587b672a54ed4481b14f0963f010aefb"/>
            <w:id w:val="-346255411"/>
          </w:sdtPr>
          <w:sdtEndPr>
            <w:rPr>
              <w:rFonts w:ascii="宋体" w:hAnsi="宋体"/>
            </w:rPr>
          </w:sdtEndPr>
          <w:sdtContent>
            <w:tc>
              <w:tcPr>
                <w:tcW w:w="1582" w:type="dxa"/>
                <w:vMerge w:val="restart"/>
                <w:shd w:val="clear" w:color="auto" w:fill="auto"/>
                <w:vAlign w:val="center"/>
              </w:tcPr>
              <w:p>
                <w:pPr>
                  <w:rPr>
                    <w:rFonts w:ascii="宋体" w:hAnsi="宋体"/>
                  </w:rPr>
                </w:pPr>
                <w:r>
                  <w:rPr>
                    <w:rFonts w:ascii="宋体" w:hAnsi="宋体"/>
                  </w:rPr>
                  <w:t>报告期内增减</w:t>
                </w:r>
              </w:p>
              <w:p>
                <w:pPr>
                  <w:rPr>
                    <w:rFonts w:ascii="宋体" w:hAnsi="宋体"/>
                  </w:rPr>
                </w:pPr>
                <w:r>
                  <w:rPr>
                    <w:rFonts w:hint="eastAsia" w:ascii="宋体" w:hAnsi="宋体"/>
                  </w:rPr>
                  <w:t>（期末持股量减期初持股量）</w:t>
                </w:r>
              </w:p>
            </w:tc>
          </w:sdtContent>
        </w:sdt>
        <w:sdt>
          <w:sdtPr>
            <w:rPr>
              <w:rFonts w:ascii="宋体" w:hAnsi="宋体"/>
            </w:rPr>
            <w:tag w:val="_PLD_580f25e9dfa24c1d91f3845b6a6a42e5"/>
            <w:id w:val="196291240"/>
          </w:sdtPr>
          <w:sdtEndPr>
            <w:rPr>
              <w:rFonts w:ascii="宋体" w:hAnsi="宋体"/>
            </w:rPr>
          </w:sdtEndPr>
          <w:sdtContent>
            <w:tc>
              <w:tcPr>
                <w:tcW w:w="1581" w:type="dxa"/>
                <w:vMerge w:val="restart"/>
                <w:shd w:val="clear" w:color="auto" w:fill="auto"/>
                <w:vAlign w:val="center"/>
              </w:tcPr>
              <w:p>
                <w:pPr>
                  <w:jc w:val="center"/>
                  <w:rPr>
                    <w:rFonts w:ascii="宋体" w:hAnsi="宋体"/>
                  </w:rPr>
                </w:pPr>
                <w:r>
                  <w:rPr>
                    <w:rFonts w:ascii="宋体" w:hAnsi="宋体"/>
                  </w:rPr>
                  <w:t>期末持股数量</w:t>
                </w:r>
              </w:p>
            </w:tc>
          </w:sdtContent>
        </w:sdt>
        <w:sdt>
          <w:sdtPr>
            <w:rPr>
              <w:rFonts w:ascii="宋体" w:hAnsi="宋体"/>
            </w:rPr>
            <w:tag w:val="_PLD_e80658c5388c4bb0871489372e62334d"/>
            <w:id w:val="-1177799238"/>
          </w:sdtPr>
          <w:sdtEndPr>
            <w:rPr>
              <w:rFonts w:ascii="宋体" w:hAnsi="宋体"/>
            </w:rPr>
          </w:sdtEndPr>
          <w:sdtContent>
            <w:tc>
              <w:tcPr>
                <w:tcW w:w="977" w:type="dxa"/>
                <w:vMerge w:val="restart"/>
                <w:shd w:val="clear" w:color="auto" w:fill="auto"/>
                <w:vAlign w:val="center"/>
              </w:tcPr>
              <w:p>
                <w:pPr>
                  <w:jc w:val="center"/>
                  <w:rPr>
                    <w:rFonts w:ascii="宋体" w:hAnsi="宋体"/>
                  </w:rPr>
                </w:pPr>
                <w:r>
                  <w:rPr>
                    <w:rFonts w:ascii="宋体" w:hAnsi="宋体"/>
                  </w:rPr>
                  <w:t>比例(%)</w:t>
                </w:r>
              </w:p>
            </w:tc>
          </w:sdtContent>
        </w:sdt>
        <w:sdt>
          <w:sdtPr>
            <w:rPr>
              <w:rFonts w:ascii="宋体" w:hAnsi="宋体"/>
            </w:rPr>
            <w:tag w:val="_PLD_0ed52eb839784cb0ab83b1692dc8b283"/>
            <w:id w:val="1883832755"/>
          </w:sdtPr>
          <w:sdtEndPr>
            <w:rPr>
              <w:rFonts w:ascii="宋体" w:hAnsi="宋体"/>
            </w:rPr>
          </w:sdtEndPr>
          <w:sdtContent>
            <w:tc>
              <w:tcPr>
                <w:tcW w:w="718" w:type="dxa"/>
                <w:vMerge w:val="restart"/>
                <w:shd w:val="clear" w:color="auto" w:fill="auto"/>
                <w:vAlign w:val="center"/>
              </w:tcPr>
              <w:p>
                <w:pPr>
                  <w:pStyle w:val="10"/>
                  <w:rPr>
                    <w:rFonts w:ascii="宋体" w:hAnsi="宋体"/>
                    <w:bCs/>
                    <w:color w:val="00B050"/>
                  </w:rPr>
                </w:pPr>
                <w:r>
                  <w:rPr>
                    <w:rFonts w:ascii="宋体" w:hAnsi="宋体"/>
                    <w:bCs/>
                  </w:rPr>
                  <w:t>持有有限售条件股份数量</w:t>
                </w:r>
              </w:p>
            </w:tc>
          </w:sdtContent>
        </w:sdt>
        <w:sdt>
          <w:sdtPr>
            <w:rPr>
              <w:rFonts w:ascii="宋体" w:hAnsi="宋体"/>
            </w:rPr>
            <w:tag w:val="_PLD_6d0fce9e7c914a578f4702348340f346"/>
            <w:id w:val="-1978985349"/>
          </w:sdtPr>
          <w:sdtEndPr>
            <w:rPr>
              <w:rFonts w:ascii="宋体" w:hAnsi="宋体"/>
            </w:rPr>
          </w:sdtEndPr>
          <w:sdtContent>
            <w:tc>
              <w:tcPr>
                <w:tcW w:w="2268" w:type="dxa"/>
                <w:gridSpan w:val="3"/>
                <w:shd w:val="clear" w:color="auto" w:fill="auto"/>
                <w:vAlign w:val="center"/>
              </w:tcPr>
              <w:p>
                <w:pPr>
                  <w:jc w:val="center"/>
                  <w:rPr>
                    <w:rFonts w:ascii="宋体" w:hAnsi="宋体"/>
                  </w:rPr>
                </w:pPr>
                <w:r>
                  <w:rPr>
                    <w:rFonts w:ascii="宋体" w:hAnsi="宋体"/>
                  </w:rPr>
                  <w:t>质押</w:t>
                </w:r>
                <w:r>
                  <w:rPr>
                    <w:rFonts w:hint="eastAsia" w:ascii="宋体" w:hAnsi="宋体"/>
                  </w:rPr>
                  <w:t>、标记</w:t>
                </w:r>
                <w:r>
                  <w:rPr>
                    <w:rFonts w:ascii="宋体" w:hAnsi="宋体"/>
                  </w:rPr>
                  <w:t>或冻结情况</w:t>
                </w:r>
              </w:p>
            </w:tc>
          </w:sdtContent>
        </w:sdt>
        <w:sdt>
          <w:sdtPr>
            <w:rPr>
              <w:rFonts w:ascii="宋体" w:hAnsi="宋体"/>
            </w:rPr>
            <w:tag w:val="_PLD_57b1e0d0ab2d4113aada0c0394d1589d"/>
            <w:id w:val="201143111"/>
          </w:sdtPr>
          <w:sdtEndPr>
            <w:rPr>
              <w:rFonts w:ascii="宋体" w:hAnsi="宋体"/>
            </w:rPr>
          </w:sdtEndPr>
          <w:sdtContent>
            <w:tc>
              <w:tcPr>
                <w:tcW w:w="1132" w:type="dxa"/>
                <w:vMerge w:val="restart"/>
                <w:shd w:val="clear" w:color="auto" w:fill="auto"/>
                <w:vAlign w:val="center"/>
              </w:tcPr>
              <w:p>
                <w:pPr>
                  <w:jc w:val="center"/>
                  <w:rPr>
                    <w:rFonts w:ascii="宋体" w:hAnsi="宋体"/>
                  </w:rPr>
                </w:pPr>
                <w:r>
                  <w:rPr>
                    <w:rFonts w:ascii="宋体" w:hAnsi="宋体"/>
                  </w:rPr>
                  <w:t>股东性质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vMerge w:val="continue"/>
            <w:tcBorders>
              <w:bottom w:val="single" w:color="auto" w:sz="4" w:space="0"/>
            </w:tcBorders>
            <w:shd w:val="clear" w:color="auto" w:fill="auto"/>
            <w:vAlign w:val="center"/>
          </w:tcPr>
          <w:p>
            <w:pPr>
              <w:jc w:val="center"/>
              <w:rPr>
                <w:rFonts w:ascii="宋体" w:hAnsi="宋体"/>
              </w:rPr>
            </w:pPr>
          </w:p>
        </w:tc>
        <w:tc>
          <w:tcPr>
            <w:tcW w:w="1582" w:type="dxa"/>
            <w:vMerge w:val="continue"/>
            <w:tcBorders>
              <w:bottom w:val="single" w:color="auto" w:sz="4" w:space="0"/>
            </w:tcBorders>
            <w:shd w:val="clear" w:color="auto" w:fill="auto"/>
            <w:vAlign w:val="center"/>
          </w:tcPr>
          <w:p>
            <w:pPr>
              <w:jc w:val="center"/>
              <w:rPr>
                <w:rFonts w:ascii="宋体" w:hAnsi="宋体"/>
              </w:rPr>
            </w:pPr>
          </w:p>
        </w:tc>
        <w:tc>
          <w:tcPr>
            <w:tcW w:w="1581" w:type="dxa"/>
            <w:vMerge w:val="continue"/>
            <w:tcBorders>
              <w:bottom w:val="single" w:color="auto" w:sz="4" w:space="0"/>
            </w:tcBorders>
            <w:shd w:val="clear" w:color="auto" w:fill="auto"/>
            <w:vAlign w:val="center"/>
          </w:tcPr>
          <w:p>
            <w:pPr>
              <w:jc w:val="center"/>
              <w:rPr>
                <w:rFonts w:ascii="宋体" w:hAnsi="宋体"/>
              </w:rPr>
            </w:pPr>
          </w:p>
        </w:tc>
        <w:tc>
          <w:tcPr>
            <w:tcW w:w="977" w:type="dxa"/>
            <w:vMerge w:val="continue"/>
            <w:tcBorders>
              <w:bottom w:val="single" w:color="auto" w:sz="4" w:space="0"/>
            </w:tcBorders>
            <w:shd w:val="clear" w:color="auto" w:fill="auto"/>
            <w:vAlign w:val="center"/>
          </w:tcPr>
          <w:p>
            <w:pPr>
              <w:jc w:val="center"/>
              <w:rPr>
                <w:rFonts w:ascii="宋体" w:hAnsi="宋体"/>
              </w:rPr>
            </w:pPr>
          </w:p>
        </w:tc>
        <w:tc>
          <w:tcPr>
            <w:tcW w:w="718" w:type="dxa"/>
            <w:vMerge w:val="continue"/>
            <w:tcBorders>
              <w:bottom w:val="single" w:color="auto" w:sz="4" w:space="0"/>
            </w:tcBorders>
            <w:shd w:val="clear" w:color="auto" w:fill="auto"/>
            <w:vAlign w:val="center"/>
          </w:tcPr>
          <w:p>
            <w:pPr>
              <w:jc w:val="center"/>
              <w:rPr>
                <w:rFonts w:ascii="宋体" w:hAnsi="宋体"/>
              </w:rPr>
            </w:pPr>
          </w:p>
        </w:tc>
        <w:sdt>
          <w:sdtPr>
            <w:rPr>
              <w:rFonts w:ascii="宋体" w:hAnsi="宋体"/>
            </w:rPr>
            <w:tag w:val="_PLD_72b090b1925c46349c7beb3ca6c0032f"/>
            <w:id w:val="1879278256"/>
          </w:sdtPr>
          <w:sdtEndPr>
            <w:rPr>
              <w:rFonts w:ascii="宋体" w:hAnsi="宋体"/>
            </w:rPr>
          </w:sdtEndPr>
          <w:sdtContent>
            <w:tc>
              <w:tcPr>
                <w:tcW w:w="902" w:type="dxa"/>
                <w:tcBorders>
                  <w:bottom w:val="single" w:color="auto" w:sz="4" w:space="0"/>
                </w:tcBorders>
                <w:shd w:val="clear" w:color="auto" w:fill="auto"/>
                <w:vAlign w:val="center"/>
              </w:tcPr>
              <w:p>
                <w:pPr>
                  <w:jc w:val="center"/>
                  <w:rPr>
                    <w:rFonts w:ascii="宋体" w:hAnsi="宋体"/>
                  </w:rPr>
                </w:pPr>
                <w:r>
                  <w:rPr>
                    <w:rFonts w:ascii="宋体" w:hAnsi="宋体"/>
                  </w:rPr>
                  <w:t>股份状态</w:t>
                </w:r>
              </w:p>
            </w:tc>
          </w:sdtContent>
        </w:sdt>
        <w:sdt>
          <w:sdtPr>
            <w:rPr>
              <w:rFonts w:ascii="宋体" w:hAnsi="宋体"/>
            </w:rPr>
            <w:tag w:val="_PLD_76e0ca0392384ff795b7613d764041da"/>
            <w:id w:val="-156761120"/>
          </w:sdtPr>
          <w:sdtEndPr>
            <w:rPr>
              <w:rFonts w:ascii="宋体" w:hAnsi="宋体"/>
            </w:rPr>
          </w:sdtEndPr>
          <w:sdtContent>
            <w:tc>
              <w:tcPr>
                <w:tcW w:w="1366" w:type="dxa"/>
                <w:gridSpan w:val="2"/>
                <w:tcBorders>
                  <w:bottom w:val="single" w:color="auto" w:sz="4" w:space="0"/>
                </w:tcBorders>
                <w:shd w:val="clear" w:color="auto" w:fill="auto"/>
                <w:vAlign w:val="center"/>
              </w:tcPr>
              <w:p>
                <w:pPr>
                  <w:jc w:val="center"/>
                  <w:rPr>
                    <w:rFonts w:ascii="宋体" w:hAnsi="宋体"/>
                  </w:rPr>
                </w:pPr>
                <w:r>
                  <w:rPr>
                    <w:rFonts w:ascii="宋体" w:hAnsi="宋体"/>
                  </w:rPr>
                  <w:t>数量</w:t>
                </w:r>
              </w:p>
            </w:tc>
          </w:sdtContent>
        </w:sdt>
        <w:tc>
          <w:tcPr>
            <w:tcW w:w="1132" w:type="dxa"/>
            <w:vMerge w:val="continue"/>
            <w:shd w:val="clear" w:color="auto" w:fill="auto"/>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shd w:val="clear" w:color="auto" w:fill="auto"/>
            <w:vAlign w:val="center"/>
          </w:tcPr>
          <w:p>
            <w:pPr>
              <w:rPr>
                <w:rFonts w:ascii="宋体" w:hAnsi="宋体"/>
              </w:rPr>
            </w:pPr>
            <w:r>
              <w:rPr>
                <w:rFonts w:hint="eastAsia" w:ascii="宋体" w:hAnsi="宋体"/>
              </w:rPr>
              <w:t>山东能源集团有限公司</w:t>
            </w:r>
          </w:p>
        </w:tc>
        <w:tc>
          <w:tcPr>
            <w:tcW w:w="1582" w:type="dxa"/>
            <w:shd w:val="clear" w:color="auto" w:fill="auto"/>
            <w:vAlign w:val="center"/>
          </w:tcPr>
          <w:p>
            <w:pPr>
              <w:jc w:val="right"/>
              <w:rPr>
                <w:rFonts w:ascii="宋体" w:hAnsi="宋体"/>
              </w:rPr>
            </w:pPr>
            <w:r>
              <w:rPr>
                <w:rFonts w:ascii="宋体" w:hAnsi="宋体"/>
              </w:rPr>
              <w:t xml:space="preserve">1,128,662,237 </w:t>
            </w:r>
          </w:p>
        </w:tc>
        <w:tc>
          <w:tcPr>
            <w:tcW w:w="1581" w:type="dxa"/>
            <w:shd w:val="clear" w:color="auto" w:fill="auto"/>
            <w:vAlign w:val="center"/>
          </w:tcPr>
          <w:p>
            <w:pPr>
              <w:jc w:val="right"/>
              <w:rPr>
                <w:rFonts w:ascii="宋体" w:hAnsi="宋体"/>
              </w:rPr>
            </w:pPr>
            <w:r>
              <w:rPr>
                <w:rFonts w:ascii="宋体" w:hAnsi="宋体"/>
              </w:rPr>
              <w:t xml:space="preserve">3,385,986,710 </w:t>
            </w:r>
          </w:p>
        </w:tc>
        <w:tc>
          <w:tcPr>
            <w:tcW w:w="977" w:type="dxa"/>
            <w:shd w:val="clear" w:color="auto" w:fill="auto"/>
            <w:vAlign w:val="center"/>
          </w:tcPr>
          <w:p>
            <w:pPr>
              <w:jc w:val="right"/>
              <w:rPr>
                <w:rFonts w:ascii="宋体" w:hAnsi="宋体"/>
              </w:rPr>
            </w:pPr>
            <w:r>
              <w:rPr>
                <w:rFonts w:ascii="宋体" w:hAnsi="宋体"/>
              </w:rPr>
              <w:t>45.51</w:t>
            </w:r>
          </w:p>
        </w:tc>
        <w:tc>
          <w:tcPr>
            <w:tcW w:w="718" w:type="dxa"/>
            <w:shd w:val="clear" w:color="auto" w:fill="auto"/>
            <w:vAlign w:val="center"/>
          </w:tcPr>
          <w:p>
            <w:pPr>
              <w:jc w:val="right"/>
              <w:rPr>
                <w:rFonts w:ascii="宋体" w:hAnsi="宋体"/>
              </w:rPr>
            </w:pPr>
            <w:r>
              <w:rPr>
                <w:rFonts w:hint="eastAsia" w:ascii="宋体" w:hAnsi="宋体"/>
              </w:rPr>
              <w:t>0</w:t>
            </w:r>
          </w:p>
        </w:tc>
        <w:tc>
          <w:tcPr>
            <w:tcW w:w="902" w:type="dxa"/>
            <w:shd w:val="clear" w:color="auto" w:fill="auto"/>
            <w:vAlign w:val="center"/>
          </w:tcPr>
          <w:p>
            <w:pPr>
              <w:jc w:val="right"/>
              <w:rPr>
                <w:rFonts w:ascii="宋体" w:hAnsi="宋体"/>
              </w:rPr>
            </w:pPr>
            <w:r>
              <w:rPr>
                <w:rFonts w:hint="eastAsia" w:ascii="宋体" w:hAnsi="宋体"/>
              </w:rPr>
              <w:t>质押</w:t>
            </w:r>
          </w:p>
        </w:tc>
        <w:tc>
          <w:tcPr>
            <w:tcW w:w="1366" w:type="dxa"/>
            <w:gridSpan w:val="2"/>
            <w:shd w:val="clear" w:color="auto" w:fill="auto"/>
            <w:vAlign w:val="center"/>
          </w:tcPr>
          <w:p>
            <w:pPr>
              <w:jc w:val="right"/>
              <w:rPr>
                <w:rFonts w:ascii="宋体" w:hAnsi="宋体"/>
              </w:rPr>
            </w:pPr>
            <w:r>
              <w:rPr>
                <w:rFonts w:ascii="宋体" w:hAnsi="宋体"/>
              </w:rPr>
              <w:t>171,415,778</w:t>
            </w:r>
          </w:p>
        </w:tc>
        <w:tc>
          <w:tcPr>
            <w:tcW w:w="1132" w:type="dxa"/>
            <w:shd w:val="clear" w:color="auto" w:fill="auto"/>
            <w:vAlign w:val="center"/>
          </w:tcPr>
          <w:p>
            <w:pPr>
              <w:jc w:val="right"/>
              <w:rPr>
                <w:rFonts w:ascii="宋体" w:hAnsi="宋体"/>
              </w:rPr>
            </w:pPr>
            <w:r>
              <w:rPr>
                <w:rFonts w:hint="eastAsia" w:ascii="宋体" w:hAnsi="宋体"/>
              </w:rPr>
              <w:t>国有法人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shd w:val="clear" w:color="auto" w:fill="auto"/>
          </w:tcPr>
          <w:p>
            <w:pPr>
              <w:rPr>
                <w:rFonts w:ascii="宋体" w:hAnsi="宋体"/>
              </w:rPr>
            </w:pPr>
            <w:r>
              <w:rPr>
                <w:rFonts w:hint="eastAsia" w:ascii="宋体" w:hAnsi="宋体"/>
              </w:rPr>
              <w:t>香港中央结算（代理人）有限公司</w:t>
            </w:r>
          </w:p>
        </w:tc>
        <w:tc>
          <w:tcPr>
            <w:tcW w:w="1582" w:type="dxa"/>
            <w:shd w:val="clear" w:color="auto" w:fill="auto"/>
            <w:vAlign w:val="center"/>
          </w:tcPr>
          <w:p>
            <w:pPr>
              <w:jc w:val="right"/>
              <w:rPr>
                <w:rFonts w:ascii="宋体" w:hAnsi="宋体"/>
              </w:rPr>
            </w:pPr>
            <w:r>
              <w:rPr>
                <w:rFonts w:ascii="宋体" w:hAnsi="宋体"/>
              </w:rPr>
              <w:t xml:space="preserve">949,211,301 </w:t>
            </w:r>
          </w:p>
        </w:tc>
        <w:tc>
          <w:tcPr>
            <w:tcW w:w="1581" w:type="dxa"/>
            <w:shd w:val="clear" w:color="auto" w:fill="auto"/>
            <w:vAlign w:val="center"/>
          </w:tcPr>
          <w:p>
            <w:pPr>
              <w:jc w:val="right"/>
              <w:rPr>
                <w:rFonts w:ascii="宋体" w:hAnsi="宋体"/>
              </w:rPr>
            </w:pPr>
            <w:r>
              <w:rPr>
                <w:rFonts w:ascii="宋体" w:hAnsi="宋体"/>
              </w:rPr>
              <w:t xml:space="preserve">2,846,595,507 </w:t>
            </w:r>
          </w:p>
        </w:tc>
        <w:tc>
          <w:tcPr>
            <w:tcW w:w="977" w:type="dxa"/>
            <w:shd w:val="clear" w:color="auto" w:fill="auto"/>
            <w:vAlign w:val="center"/>
          </w:tcPr>
          <w:p>
            <w:pPr>
              <w:jc w:val="right"/>
              <w:rPr>
                <w:rFonts w:ascii="宋体" w:hAnsi="宋体"/>
              </w:rPr>
            </w:pPr>
            <w:r>
              <w:rPr>
                <w:rFonts w:ascii="宋体" w:hAnsi="宋体"/>
              </w:rPr>
              <w:t>38.26</w:t>
            </w:r>
          </w:p>
        </w:tc>
        <w:tc>
          <w:tcPr>
            <w:tcW w:w="718" w:type="dxa"/>
            <w:shd w:val="clear" w:color="auto" w:fill="auto"/>
            <w:vAlign w:val="center"/>
          </w:tcPr>
          <w:p>
            <w:pPr>
              <w:jc w:val="right"/>
              <w:rPr>
                <w:rFonts w:ascii="宋体" w:hAnsi="宋体"/>
              </w:rPr>
            </w:pPr>
            <w:r>
              <w:rPr>
                <w:rFonts w:hint="eastAsia" w:ascii="宋体" w:hAnsi="宋体"/>
              </w:rPr>
              <w:t>0</w:t>
            </w:r>
          </w:p>
        </w:tc>
        <w:tc>
          <w:tcPr>
            <w:tcW w:w="902" w:type="dxa"/>
            <w:shd w:val="clear" w:color="auto" w:fill="auto"/>
            <w:vAlign w:val="center"/>
          </w:tcPr>
          <w:p>
            <w:pPr>
              <w:jc w:val="right"/>
              <w:rPr>
                <w:rFonts w:ascii="宋体" w:hAnsi="宋体"/>
              </w:rPr>
            </w:pPr>
            <w:r>
              <w:rPr>
                <w:rFonts w:hint="eastAsia" w:ascii="宋体" w:hAnsi="宋体"/>
              </w:rPr>
              <w:t>未知</w:t>
            </w:r>
          </w:p>
        </w:tc>
        <w:tc>
          <w:tcPr>
            <w:tcW w:w="1366" w:type="dxa"/>
            <w:gridSpan w:val="2"/>
            <w:shd w:val="clear" w:color="auto" w:fill="auto"/>
            <w:vAlign w:val="center"/>
          </w:tcPr>
          <w:p>
            <w:pPr>
              <w:jc w:val="right"/>
              <w:rPr>
                <w:rFonts w:ascii="宋体" w:hAnsi="宋体"/>
              </w:rPr>
            </w:pPr>
            <w:r>
              <w:rPr>
                <w:rFonts w:hint="eastAsia" w:ascii="宋体" w:hAnsi="宋体"/>
              </w:rPr>
              <w:t>-</w:t>
            </w:r>
          </w:p>
        </w:tc>
        <w:tc>
          <w:tcPr>
            <w:tcW w:w="1132" w:type="dxa"/>
            <w:shd w:val="clear" w:color="auto" w:fill="auto"/>
            <w:vAlign w:val="center"/>
          </w:tcPr>
          <w:p>
            <w:pPr>
              <w:jc w:val="right"/>
              <w:rPr>
                <w:rFonts w:ascii="宋体" w:hAnsi="宋体"/>
              </w:rPr>
            </w:pPr>
            <w:r>
              <w:rPr>
                <w:rFonts w:hint="eastAsia" w:ascii="宋体" w:hAnsi="宋体"/>
              </w:rPr>
              <w:t>境外法人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shd w:val="clear" w:color="auto" w:fill="auto"/>
          </w:tcPr>
          <w:p>
            <w:pPr>
              <w:rPr>
                <w:rFonts w:ascii="宋体" w:hAnsi="宋体"/>
              </w:rPr>
            </w:pPr>
            <w:r>
              <w:rPr>
                <w:rFonts w:hint="eastAsia" w:ascii="宋体" w:hAnsi="宋体"/>
              </w:rPr>
              <w:t>香港中央结算有限公司</w:t>
            </w:r>
          </w:p>
        </w:tc>
        <w:tc>
          <w:tcPr>
            <w:tcW w:w="1582" w:type="dxa"/>
            <w:shd w:val="clear" w:color="auto" w:fill="auto"/>
            <w:vAlign w:val="center"/>
          </w:tcPr>
          <w:p>
            <w:pPr>
              <w:jc w:val="right"/>
              <w:rPr>
                <w:rFonts w:ascii="宋体" w:hAnsi="宋体"/>
              </w:rPr>
            </w:pPr>
            <w:r>
              <w:rPr>
                <w:rFonts w:ascii="宋体" w:hAnsi="宋体"/>
              </w:rPr>
              <w:t xml:space="preserve">-12,350,422 </w:t>
            </w:r>
          </w:p>
        </w:tc>
        <w:tc>
          <w:tcPr>
            <w:tcW w:w="1581" w:type="dxa"/>
            <w:shd w:val="clear" w:color="auto" w:fill="auto"/>
            <w:vAlign w:val="center"/>
          </w:tcPr>
          <w:p>
            <w:pPr>
              <w:jc w:val="right"/>
              <w:rPr>
                <w:rFonts w:ascii="宋体" w:hAnsi="宋体"/>
              </w:rPr>
            </w:pPr>
            <w:r>
              <w:rPr>
                <w:rFonts w:ascii="宋体" w:hAnsi="宋体"/>
              </w:rPr>
              <w:t xml:space="preserve">87,272,589 </w:t>
            </w:r>
          </w:p>
        </w:tc>
        <w:tc>
          <w:tcPr>
            <w:tcW w:w="977" w:type="dxa"/>
            <w:shd w:val="clear" w:color="auto" w:fill="auto"/>
            <w:vAlign w:val="center"/>
          </w:tcPr>
          <w:p>
            <w:pPr>
              <w:jc w:val="right"/>
              <w:rPr>
                <w:rFonts w:ascii="宋体" w:hAnsi="宋体"/>
              </w:rPr>
            </w:pPr>
            <w:r>
              <w:rPr>
                <w:rFonts w:ascii="宋体" w:hAnsi="宋体"/>
              </w:rPr>
              <w:t>1.17</w:t>
            </w:r>
          </w:p>
        </w:tc>
        <w:tc>
          <w:tcPr>
            <w:tcW w:w="718" w:type="dxa"/>
            <w:shd w:val="clear" w:color="auto" w:fill="auto"/>
            <w:vAlign w:val="center"/>
          </w:tcPr>
          <w:p>
            <w:pPr>
              <w:jc w:val="right"/>
              <w:rPr>
                <w:rFonts w:ascii="宋体" w:hAnsi="宋体"/>
              </w:rPr>
            </w:pPr>
            <w:r>
              <w:rPr>
                <w:rFonts w:hint="eastAsia" w:ascii="宋体" w:hAnsi="宋体"/>
              </w:rPr>
              <w:t>0</w:t>
            </w:r>
          </w:p>
        </w:tc>
        <w:tc>
          <w:tcPr>
            <w:tcW w:w="902" w:type="dxa"/>
            <w:shd w:val="clear" w:color="auto" w:fill="auto"/>
            <w:vAlign w:val="center"/>
          </w:tcPr>
          <w:p>
            <w:pPr>
              <w:jc w:val="right"/>
              <w:rPr>
                <w:rFonts w:ascii="宋体" w:hAnsi="宋体"/>
              </w:rPr>
            </w:pPr>
            <w:r>
              <w:rPr>
                <w:rFonts w:hint="eastAsia" w:ascii="宋体" w:hAnsi="宋体"/>
              </w:rPr>
              <w:t>无</w:t>
            </w:r>
          </w:p>
        </w:tc>
        <w:tc>
          <w:tcPr>
            <w:tcW w:w="1366" w:type="dxa"/>
            <w:gridSpan w:val="2"/>
            <w:shd w:val="clear" w:color="auto" w:fill="auto"/>
            <w:vAlign w:val="center"/>
          </w:tcPr>
          <w:p>
            <w:pPr>
              <w:jc w:val="right"/>
              <w:rPr>
                <w:rFonts w:ascii="宋体" w:hAnsi="宋体"/>
              </w:rPr>
            </w:pPr>
            <w:r>
              <w:rPr>
                <w:rFonts w:hint="eastAsia" w:ascii="宋体" w:hAnsi="宋体"/>
              </w:rPr>
              <w:t>0</w:t>
            </w:r>
          </w:p>
        </w:tc>
        <w:tc>
          <w:tcPr>
            <w:tcW w:w="1132" w:type="dxa"/>
            <w:shd w:val="clear" w:color="auto" w:fill="auto"/>
            <w:vAlign w:val="center"/>
          </w:tcPr>
          <w:p>
            <w:pPr>
              <w:jc w:val="right"/>
              <w:rPr>
                <w:rFonts w:ascii="宋体" w:hAnsi="宋体"/>
              </w:rPr>
            </w:pPr>
            <w:r>
              <w:rPr>
                <w:rFonts w:hint="eastAsia" w:ascii="宋体" w:hAnsi="宋体"/>
              </w:rPr>
              <w:t>境外法人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shd w:val="clear" w:color="auto" w:fill="auto"/>
          </w:tcPr>
          <w:p>
            <w:pPr>
              <w:rPr>
                <w:rFonts w:ascii="宋体" w:hAnsi="宋体"/>
              </w:rPr>
            </w:pPr>
            <w:r>
              <w:rPr>
                <w:rFonts w:hint="eastAsia" w:ascii="宋体" w:hAnsi="宋体"/>
              </w:rPr>
              <w:t>全国社保基金一一七组合</w:t>
            </w:r>
          </w:p>
        </w:tc>
        <w:tc>
          <w:tcPr>
            <w:tcW w:w="1582" w:type="dxa"/>
            <w:shd w:val="clear" w:color="auto" w:fill="auto"/>
            <w:vAlign w:val="center"/>
          </w:tcPr>
          <w:p>
            <w:pPr>
              <w:jc w:val="right"/>
              <w:rPr>
                <w:rFonts w:ascii="宋体" w:hAnsi="宋体"/>
              </w:rPr>
            </w:pPr>
            <w:r>
              <w:rPr>
                <w:rFonts w:ascii="宋体" w:hAnsi="宋体"/>
              </w:rPr>
              <w:t xml:space="preserve">8,521,922 </w:t>
            </w:r>
          </w:p>
        </w:tc>
        <w:tc>
          <w:tcPr>
            <w:tcW w:w="1581" w:type="dxa"/>
            <w:shd w:val="clear" w:color="auto" w:fill="auto"/>
            <w:vAlign w:val="center"/>
          </w:tcPr>
          <w:p>
            <w:pPr>
              <w:jc w:val="right"/>
              <w:rPr>
                <w:rFonts w:ascii="宋体" w:hAnsi="宋体"/>
              </w:rPr>
            </w:pPr>
            <w:r>
              <w:rPr>
                <w:rFonts w:ascii="宋体" w:hAnsi="宋体"/>
              </w:rPr>
              <w:t xml:space="preserve">23,930,766 </w:t>
            </w:r>
          </w:p>
        </w:tc>
        <w:tc>
          <w:tcPr>
            <w:tcW w:w="977" w:type="dxa"/>
            <w:shd w:val="clear" w:color="auto" w:fill="auto"/>
            <w:vAlign w:val="center"/>
          </w:tcPr>
          <w:p>
            <w:pPr>
              <w:jc w:val="right"/>
              <w:rPr>
                <w:rFonts w:ascii="宋体" w:hAnsi="宋体"/>
              </w:rPr>
            </w:pPr>
            <w:r>
              <w:rPr>
                <w:rFonts w:ascii="宋体" w:hAnsi="宋体"/>
              </w:rPr>
              <w:t>0.32</w:t>
            </w:r>
          </w:p>
        </w:tc>
        <w:tc>
          <w:tcPr>
            <w:tcW w:w="718" w:type="dxa"/>
            <w:shd w:val="clear" w:color="auto" w:fill="auto"/>
            <w:vAlign w:val="center"/>
          </w:tcPr>
          <w:p>
            <w:pPr>
              <w:jc w:val="right"/>
              <w:rPr>
                <w:rFonts w:ascii="宋体" w:hAnsi="宋体"/>
              </w:rPr>
            </w:pPr>
            <w:r>
              <w:rPr>
                <w:rFonts w:hint="eastAsia" w:ascii="宋体" w:hAnsi="宋体"/>
              </w:rPr>
              <w:t>0</w:t>
            </w:r>
          </w:p>
        </w:tc>
        <w:tc>
          <w:tcPr>
            <w:tcW w:w="902" w:type="dxa"/>
            <w:shd w:val="clear" w:color="auto" w:fill="auto"/>
            <w:vAlign w:val="center"/>
          </w:tcPr>
          <w:p>
            <w:pPr>
              <w:jc w:val="right"/>
              <w:rPr>
                <w:rFonts w:ascii="宋体" w:hAnsi="宋体"/>
              </w:rPr>
            </w:pPr>
            <w:r>
              <w:rPr>
                <w:rFonts w:hint="eastAsia" w:ascii="宋体" w:hAnsi="宋体"/>
              </w:rPr>
              <w:t>无</w:t>
            </w:r>
          </w:p>
        </w:tc>
        <w:tc>
          <w:tcPr>
            <w:tcW w:w="1366" w:type="dxa"/>
            <w:gridSpan w:val="2"/>
            <w:shd w:val="clear" w:color="auto" w:fill="auto"/>
            <w:vAlign w:val="center"/>
          </w:tcPr>
          <w:p>
            <w:pPr>
              <w:jc w:val="right"/>
              <w:rPr>
                <w:rFonts w:ascii="宋体" w:hAnsi="宋体"/>
              </w:rPr>
            </w:pPr>
            <w:r>
              <w:rPr>
                <w:rFonts w:hint="eastAsia" w:ascii="宋体" w:hAnsi="宋体"/>
              </w:rPr>
              <w:t>0</w:t>
            </w:r>
          </w:p>
        </w:tc>
        <w:tc>
          <w:tcPr>
            <w:tcW w:w="1132" w:type="dxa"/>
            <w:shd w:val="clear" w:color="auto" w:fill="auto"/>
            <w:vAlign w:val="center"/>
          </w:tcPr>
          <w:p>
            <w:pPr>
              <w:jc w:val="right"/>
              <w:rPr>
                <w:rFonts w:ascii="宋体" w:hAnsi="宋体"/>
              </w:rPr>
            </w:pPr>
            <w:r>
              <w:rPr>
                <w:rFonts w:hint="eastAsia" w:ascii="宋体" w:hAnsi="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shd w:val="clear" w:color="auto" w:fill="auto"/>
          </w:tcPr>
          <w:p>
            <w:pPr>
              <w:rPr>
                <w:rFonts w:ascii="宋体" w:hAnsi="宋体"/>
              </w:rPr>
            </w:pPr>
            <w:r>
              <w:rPr>
                <w:rFonts w:hint="eastAsia" w:ascii="宋体" w:hAnsi="宋体"/>
              </w:rPr>
              <w:t>华夏人寿保险股份有限公司－自有资金</w:t>
            </w:r>
          </w:p>
        </w:tc>
        <w:tc>
          <w:tcPr>
            <w:tcW w:w="1582" w:type="dxa"/>
            <w:shd w:val="clear" w:color="auto" w:fill="auto"/>
            <w:vAlign w:val="center"/>
          </w:tcPr>
          <w:p>
            <w:pPr>
              <w:jc w:val="right"/>
              <w:rPr>
                <w:rFonts w:ascii="宋体" w:hAnsi="宋体"/>
              </w:rPr>
            </w:pPr>
            <w:r>
              <w:rPr>
                <w:rFonts w:ascii="宋体" w:hAnsi="宋体"/>
              </w:rPr>
              <w:t xml:space="preserve">17,534,950 </w:t>
            </w:r>
          </w:p>
        </w:tc>
        <w:tc>
          <w:tcPr>
            <w:tcW w:w="1581" w:type="dxa"/>
            <w:shd w:val="clear" w:color="auto" w:fill="auto"/>
            <w:vAlign w:val="center"/>
          </w:tcPr>
          <w:p>
            <w:pPr>
              <w:jc w:val="right"/>
              <w:rPr>
                <w:rFonts w:ascii="宋体" w:hAnsi="宋体"/>
              </w:rPr>
            </w:pPr>
            <w:r>
              <w:rPr>
                <w:rFonts w:ascii="宋体" w:hAnsi="宋体"/>
              </w:rPr>
              <w:t xml:space="preserve">17,899,950 </w:t>
            </w:r>
          </w:p>
        </w:tc>
        <w:tc>
          <w:tcPr>
            <w:tcW w:w="977" w:type="dxa"/>
            <w:shd w:val="clear" w:color="auto" w:fill="auto"/>
            <w:vAlign w:val="center"/>
          </w:tcPr>
          <w:p>
            <w:pPr>
              <w:jc w:val="right"/>
              <w:rPr>
                <w:rFonts w:ascii="宋体" w:hAnsi="宋体"/>
              </w:rPr>
            </w:pPr>
            <w:r>
              <w:rPr>
                <w:rFonts w:ascii="宋体" w:hAnsi="宋体"/>
              </w:rPr>
              <w:t>0.24</w:t>
            </w:r>
          </w:p>
        </w:tc>
        <w:tc>
          <w:tcPr>
            <w:tcW w:w="718" w:type="dxa"/>
            <w:shd w:val="clear" w:color="auto" w:fill="auto"/>
            <w:vAlign w:val="center"/>
          </w:tcPr>
          <w:p>
            <w:pPr>
              <w:jc w:val="right"/>
              <w:rPr>
                <w:rFonts w:ascii="宋体" w:hAnsi="宋体"/>
              </w:rPr>
            </w:pPr>
            <w:r>
              <w:rPr>
                <w:rFonts w:hint="eastAsia" w:ascii="宋体" w:hAnsi="宋体"/>
              </w:rPr>
              <w:t>0</w:t>
            </w:r>
          </w:p>
        </w:tc>
        <w:tc>
          <w:tcPr>
            <w:tcW w:w="902" w:type="dxa"/>
            <w:shd w:val="clear" w:color="auto" w:fill="auto"/>
            <w:vAlign w:val="center"/>
          </w:tcPr>
          <w:p>
            <w:pPr>
              <w:jc w:val="right"/>
              <w:rPr>
                <w:rFonts w:ascii="宋体" w:hAnsi="宋体"/>
              </w:rPr>
            </w:pPr>
            <w:r>
              <w:rPr>
                <w:rFonts w:hint="eastAsia" w:ascii="宋体" w:hAnsi="宋体"/>
              </w:rPr>
              <w:t>无</w:t>
            </w:r>
          </w:p>
        </w:tc>
        <w:tc>
          <w:tcPr>
            <w:tcW w:w="1366" w:type="dxa"/>
            <w:gridSpan w:val="2"/>
            <w:shd w:val="clear" w:color="auto" w:fill="auto"/>
            <w:vAlign w:val="center"/>
          </w:tcPr>
          <w:p>
            <w:pPr>
              <w:jc w:val="right"/>
              <w:rPr>
                <w:rFonts w:ascii="宋体" w:hAnsi="宋体"/>
              </w:rPr>
            </w:pPr>
            <w:r>
              <w:rPr>
                <w:rFonts w:hint="eastAsia" w:ascii="宋体" w:hAnsi="宋体"/>
              </w:rPr>
              <w:t>0</w:t>
            </w:r>
          </w:p>
        </w:tc>
        <w:tc>
          <w:tcPr>
            <w:tcW w:w="1132" w:type="dxa"/>
            <w:shd w:val="clear" w:color="auto" w:fill="auto"/>
            <w:vAlign w:val="center"/>
          </w:tcPr>
          <w:p>
            <w:pPr>
              <w:jc w:val="right"/>
              <w:rPr>
                <w:rFonts w:ascii="宋体" w:hAnsi="宋体"/>
              </w:rPr>
            </w:pPr>
            <w:r>
              <w:rPr>
                <w:rFonts w:hint="eastAsia" w:ascii="宋体" w:hAnsi="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shd w:val="clear" w:color="auto" w:fill="auto"/>
          </w:tcPr>
          <w:p>
            <w:pPr>
              <w:rPr>
                <w:rFonts w:ascii="宋体" w:hAnsi="宋体"/>
              </w:rPr>
            </w:pPr>
            <w:r>
              <w:rPr>
                <w:rFonts w:hint="eastAsia" w:ascii="宋体" w:hAnsi="宋体"/>
              </w:rPr>
              <w:t>招商银行股份有限公司－上证红利交易型开放式指数证券投资基金</w:t>
            </w:r>
          </w:p>
        </w:tc>
        <w:tc>
          <w:tcPr>
            <w:tcW w:w="1582" w:type="dxa"/>
            <w:shd w:val="clear" w:color="auto" w:fill="auto"/>
            <w:vAlign w:val="center"/>
          </w:tcPr>
          <w:p>
            <w:pPr>
              <w:jc w:val="right"/>
              <w:rPr>
                <w:rFonts w:ascii="宋体" w:hAnsi="宋体"/>
              </w:rPr>
            </w:pPr>
            <w:r>
              <w:rPr>
                <w:rFonts w:ascii="宋体" w:hAnsi="宋体"/>
              </w:rPr>
              <w:t xml:space="preserve">3,107,857 </w:t>
            </w:r>
          </w:p>
        </w:tc>
        <w:tc>
          <w:tcPr>
            <w:tcW w:w="1581" w:type="dxa"/>
            <w:shd w:val="clear" w:color="auto" w:fill="auto"/>
            <w:vAlign w:val="center"/>
          </w:tcPr>
          <w:p>
            <w:pPr>
              <w:jc w:val="right"/>
              <w:rPr>
                <w:rFonts w:ascii="宋体" w:hAnsi="宋体"/>
              </w:rPr>
            </w:pPr>
            <w:r>
              <w:rPr>
                <w:rFonts w:ascii="宋体" w:hAnsi="宋体"/>
              </w:rPr>
              <w:t xml:space="preserve">16,047,181 </w:t>
            </w:r>
          </w:p>
        </w:tc>
        <w:tc>
          <w:tcPr>
            <w:tcW w:w="977" w:type="dxa"/>
            <w:shd w:val="clear" w:color="auto" w:fill="auto"/>
            <w:vAlign w:val="center"/>
          </w:tcPr>
          <w:p>
            <w:pPr>
              <w:jc w:val="right"/>
              <w:rPr>
                <w:rFonts w:ascii="宋体" w:hAnsi="宋体"/>
              </w:rPr>
            </w:pPr>
            <w:r>
              <w:rPr>
                <w:rFonts w:ascii="宋体" w:hAnsi="宋体"/>
              </w:rPr>
              <w:t>0.22</w:t>
            </w:r>
          </w:p>
        </w:tc>
        <w:tc>
          <w:tcPr>
            <w:tcW w:w="718" w:type="dxa"/>
            <w:shd w:val="clear" w:color="auto" w:fill="auto"/>
            <w:vAlign w:val="center"/>
          </w:tcPr>
          <w:p>
            <w:pPr>
              <w:jc w:val="right"/>
              <w:rPr>
                <w:rFonts w:ascii="宋体" w:hAnsi="宋体"/>
              </w:rPr>
            </w:pPr>
            <w:r>
              <w:rPr>
                <w:rFonts w:hint="eastAsia" w:ascii="宋体" w:hAnsi="宋体"/>
              </w:rPr>
              <w:t>0</w:t>
            </w:r>
          </w:p>
        </w:tc>
        <w:tc>
          <w:tcPr>
            <w:tcW w:w="902" w:type="dxa"/>
            <w:shd w:val="clear" w:color="auto" w:fill="auto"/>
            <w:vAlign w:val="center"/>
          </w:tcPr>
          <w:p>
            <w:pPr>
              <w:jc w:val="right"/>
              <w:rPr>
                <w:rFonts w:ascii="宋体" w:hAnsi="宋体"/>
              </w:rPr>
            </w:pPr>
            <w:r>
              <w:rPr>
                <w:rFonts w:hint="eastAsia" w:ascii="宋体" w:hAnsi="宋体"/>
              </w:rPr>
              <w:t>无</w:t>
            </w:r>
          </w:p>
        </w:tc>
        <w:tc>
          <w:tcPr>
            <w:tcW w:w="1366" w:type="dxa"/>
            <w:gridSpan w:val="2"/>
            <w:shd w:val="clear" w:color="auto" w:fill="auto"/>
            <w:vAlign w:val="center"/>
          </w:tcPr>
          <w:p>
            <w:pPr>
              <w:jc w:val="right"/>
              <w:rPr>
                <w:rFonts w:ascii="宋体" w:hAnsi="宋体"/>
              </w:rPr>
            </w:pPr>
            <w:r>
              <w:rPr>
                <w:rFonts w:hint="eastAsia" w:ascii="宋体" w:hAnsi="宋体"/>
              </w:rPr>
              <w:t>0</w:t>
            </w:r>
          </w:p>
        </w:tc>
        <w:tc>
          <w:tcPr>
            <w:tcW w:w="1132" w:type="dxa"/>
            <w:shd w:val="clear" w:color="auto" w:fill="auto"/>
            <w:vAlign w:val="center"/>
          </w:tcPr>
          <w:p>
            <w:pPr>
              <w:jc w:val="right"/>
              <w:rPr>
                <w:rFonts w:ascii="宋体" w:hAnsi="宋体"/>
              </w:rPr>
            </w:pPr>
            <w:r>
              <w:rPr>
                <w:rFonts w:hint="eastAsia" w:ascii="宋体" w:hAnsi="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shd w:val="clear" w:color="auto" w:fill="auto"/>
          </w:tcPr>
          <w:p>
            <w:pPr>
              <w:rPr>
                <w:rFonts w:ascii="宋体" w:hAnsi="宋体"/>
              </w:rPr>
            </w:pPr>
            <w:r>
              <w:rPr>
                <w:rFonts w:hint="eastAsia" w:ascii="宋体" w:hAnsi="宋体"/>
              </w:rPr>
              <w:t>中国建设银行股份有限公司－银华富裕主题混合型证券投资基金</w:t>
            </w:r>
          </w:p>
        </w:tc>
        <w:tc>
          <w:tcPr>
            <w:tcW w:w="1582" w:type="dxa"/>
            <w:shd w:val="clear" w:color="auto" w:fill="auto"/>
            <w:vAlign w:val="center"/>
          </w:tcPr>
          <w:p>
            <w:pPr>
              <w:jc w:val="right"/>
              <w:rPr>
                <w:rFonts w:ascii="宋体" w:hAnsi="宋体"/>
              </w:rPr>
            </w:pPr>
            <w:r>
              <w:rPr>
                <w:rFonts w:ascii="宋体" w:hAnsi="宋体"/>
              </w:rPr>
              <w:t xml:space="preserve">-8,255,430 </w:t>
            </w:r>
          </w:p>
        </w:tc>
        <w:tc>
          <w:tcPr>
            <w:tcW w:w="1581" w:type="dxa"/>
            <w:shd w:val="clear" w:color="auto" w:fill="auto"/>
            <w:vAlign w:val="center"/>
          </w:tcPr>
          <w:p>
            <w:pPr>
              <w:jc w:val="right"/>
              <w:rPr>
                <w:rFonts w:ascii="宋体" w:hAnsi="宋体"/>
              </w:rPr>
            </w:pPr>
            <w:r>
              <w:rPr>
                <w:rFonts w:ascii="宋体" w:hAnsi="宋体"/>
              </w:rPr>
              <w:t xml:space="preserve">11,744,648 </w:t>
            </w:r>
          </w:p>
        </w:tc>
        <w:tc>
          <w:tcPr>
            <w:tcW w:w="977" w:type="dxa"/>
            <w:shd w:val="clear" w:color="auto" w:fill="auto"/>
            <w:vAlign w:val="center"/>
          </w:tcPr>
          <w:p>
            <w:pPr>
              <w:jc w:val="right"/>
              <w:rPr>
                <w:rFonts w:ascii="宋体" w:hAnsi="宋体"/>
              </w:rPr>
            </w:pPr>
            <w:r>
              <w:rPr>
                <w:rFonts w:ascii="宋体" w:hAnsi="宋体"/>
              </w:rPr>
              <w:t>0.16</w:t>
            </w:r>
          </w:p>
        </w:tc>
        <w:tc>
          <w:tcPr>
            <w:tcW w:w="718" w:type="dxa"/>
            <w:shd w:val="clear" w:color="auto" w:fill="auto"/>
            <w:vAlign w:val="center"/>
          </w:tcPr>
          <w:p>
            <w:pPr>
              <w:jc w:val="right"/>
              <w:rPr>
                <w:rFonts w:ascii="宋体" w:hAnsi="宋体"/>
              </w:rPr>
            </w:pPr>
            <w:r>
              <w:rPr>
                <w:rFonts w:hint="eastAsia" w:ascii="宋体" w:hAnsi="宋体"/>
              </w:rPr>
              <w:t>0</w:t>
            </w:r>
          </w:p>
        </w:tc>
        <w:tc>
          <w:tcPr>
            <w:tcW w:w="902" w:type="dxa"/>
            <w:shd w:val="clear" w:color="auto" w:fill="auto"/>
            <w:vAlign w:val="center"/>
          </w:tcPr>
          <w:p>
            <w:pPr>
              <w:jc w:val="right"/>
              <w:rPr>
                <w:rFonts w:ascii="宋体" w:hAnsi="宋体"/>
              </w:rPr>
            </w:pPr>
            <w:r>
              <w:rPr>
                <w:rFonts w:hint="eastAsia" w:ascii="宋体" w:hAnsi="宋体"/>
              </w:rPr>
              <w:t>无</w:t>
            </w:r>
          </w:p>
        </w:tc>
        <w:tc>
          <w:tcPr>
            <w:tcW w:w="1366" w:type="dxa"/>
            <w:gridSpan w:val="2"/>
            <w:shd w:val="clear" w:color="auto" w:fill="auto"/>
            <w:vAlign w:val="center"/>
          </w:tcPr>
          <w:p>
            <w:pPr>
              <w:jc w:val="right"/>
              <w:rPr>
                <w:rFonts w:ascii="宋体" w:hAnsi="宋体"/>
              </w:rPr>
            </w:pPr>
            <w:r>
              <w:rPr>
                <w:rFonts w:hint="eastAsia" w:ascii="宋体" w:hAnsi="宋体"/>
              </w:rPr>
              <w:t>0</w:t>
            </w:r>
          </w:p>
        </w:tc>
        <w:tc>
          <w:tcPr>
            <w:tcW w:w="1132" w:type="dxa"/>
            <w:shd w:val="clear" w:color="auto" w:fill="auto"/>
            <w:vAlign w:val="center"/>
          </w:tcPr>
          <w:p>
            <w:pPr>
              <w:jc w:val="right"/>
              <w:rPr>
                <w:rFonts w:ascii="宋体" w:hAnsi="宋体"/>
              </w:rPr>
            </w:pPr>
            <w:r>
              <w:rPr>
                <w:rFonts w:hint="eastAsia" w:ascii="宋体" w:hAnsi="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shd w:val="clear" w:color="auto" w:fill="auto"/>
          </w:tcPr>
          <w:p>
            <w:pPr>
              <w:rPr>
                <w:rFonts w:ascii="宋体" w:hAnsi="宋体"/>
              </w:rPr>
            </w:pPr>
            <w:r>
              <w:rPr>
                <w:rFonts w:hint="eastAsia" w:ascii="宋体" w:hAnsi="宋体"/>
              </w:rPr>
              <w:t>澳门金融管理局－自有资金</w:t>
            </w:r>
          </w:p>
        </w:tc>
        <w:tc>
          <w:tcPr>
            <w:tcW w:w="1582" w:type="dxa"/>
            <w:shd w:val="clear" w:color="auto" w:fill="auto"/>
            <w:vAlign w:val="center"/>
          </w:tcPr>
          <w:p>
            <w:pPr>
              <w:jc w:val="right"/>
              <w:rPr>
                <w:rFonts w:ascii="宋体" w:hAnsi="宋体"/>
              </w:rPr>
            </w:pPr>
            <w:r>
              <w:rPr>
                <w:rFonts w:ascii="宋体" w:hAnsi="宋体"/>
              </w:rPr>
              <w:t xml:space="preserve">5,455,405 </w:t>
            </w:r>
          </w:p>
        </w:tc>
        <w:tc>
          <w:tcPr>
            <w:tcW w:w="1581" w:type="dxa"/>
            <w:shd w:val="clear" w:color="auto" w:fill="auto"/>
            <w:vAlign w:val="center"/>
          </w:tcPr>
          <w:p>
            <w:pPr>
              <w:jc w:val="right"/>
              <w:rPr>
                <w:rFonts w:ascii="宋体" w:hAnsi="宋体"/>
              </w:rPr>
            </w:pPr>
            <w:r>
              <w:rPr>
                <w:rFonts w:ascii="宋体" w:hAnsi="宋体"/>
              </w:rPr>
              <w:t xml:space="preserve">10,465,805 </w:t>
            </w:r>
          </w:p>
        </w:tc>
        <w:tc>
          <w:tcPr>
            <w:tcW w:w="977" w:type="dxa"/>
            <w:shd w:val="clear" w:color="auto" w:fill="auto"/>
            <w:vAlign w:val="center"/>
          </w:tcPr>
          <w:p>
            <w:pPr>
              <w:jc w:val="right"/>
              <w:rPr>
                <w:rFonts w:ascii="宋体" w:hAnsi="宋体"/>
              </w:rPr>
            </w:pPr>
            <w:r>
              <w:rPr>
                <w:rFonts w:ascii="宋体" w:hAnsi="宋体"/>
              </w:rPr>
              <w:t>0.14</w:t>
            </w:r>
          </w:p>
        </w:tc>
        <w:tc>
          <w:tcPr>
            <w:tcW w:w="718" w:type="dxa"/>
            <w:shd w:val="clear" w:color="auto" w:fill="auto"/>
            <w:vAlign w:val="center"/>
          </w:tcPr>
          <w:p>
            <w:pPr>
              <w:jc w:val="right"/>
              <w:rPr>
                <w:rFonts w:ascii="宋体" w:hAnsi="宋体"/>
              </w:rPr>
            </w:pPr>
            <w:r>
              <w:rPr>
                <w:rFonts w:hint="eastAsia" w:ascii="宋体" w:hAnsi="宋体"/>
              </w:rPr>
              <w:t>0</w:t>
            </w:r>
          </w:p>
        </w:tc>
        <w:tc>
          <w:tcPr>
            <w:tcW w:w="902" w:type="dxa"/>
            <w:shd w:val="clear" w:color="auto" w:fill="auto"/>
            <w:vAlign w:val="center"/>
          </w:tcPr>
          <w:p>
            <w:pPr>
              <w:jc w:val="right"/>
              <w:rPr>
                <w:rFonts w:ascii="宋体" w:hAnsi="宋体"/>
                <w:color w:val="FF9900"/>
              </w:rPr>
            </w:pPr>
            <w:r>
              <w:rPr>
                <w:rFonts w:hint="eastAsia" w:ascii="宋体" w:hAnsi="宋体"/>
              </w:rPr>
              <w:t>无</w:t>
            </w:r>
          </w:p>
        </w:tc>
        <w:tc>
          <w:tcPr>
            <w:tcW w:w="1366" w:type="dxa"/>
            <w:gridSpan w:val="2"/>
            <w:shd w:val="clear" w:color="auto" w:fill="auto"/>
            <w:vAlign w:val="center"/>
          </w:tcPr>
          <w:p>
            <w:pPr>
              <w:jc w:val="right"/>
              <w:rPr>
                <w:rFonts w:ascii="宋体" w:hAnsi="宋体"/>
              </w:rPr>
            </w:pPr>
            <w:r>
              <w:rPr>
                <w:rFonts w:hint="eastAsia" w:ascii="宋体" w:hAnsi="宋体"/>
              </w:rPr>
              <w:t>0</w:t>
            </w:r>
          </w:p>
        </w:tc>
        <w:tc>
          <w:tcPr>
            <w:tcW w:w="1132" w:type="dxa"/>
            <w:shd w:val="clear" w:color="auto" w:fill="auto"/>
            <w:vAlign w:val="center"/>
          </w:tcPr>
          <w:p>
            <w:pPr>
              <w:jc w:val="right"/>
              <w:rPr>
                <w:rFonts w:ascii="宋体" w:hAnsi="宋体"/>
              </w:rPr>
            </w:pPr>
            <w:r>
              <w:rPr>
                <w:rFonts w:hint="eastAsia" w:ascii="宋体" w:hAnsi="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shd w:val="clear" w:color="auto" w:fill="auto"/>
          </w:tcPr>
          <w:p>
            <w:pPr>
              <w:rPr>
                <w:rFonts w:ascii="宋体" w:hAnsi="宋体"/>
              </w:rPr>
            </w:pPr>
            <w:r>
              <w:rPr>
                <w:rFonts w:hint="eastAsia" w:ascii="宋体" w:hAnsi="宋体"/>
              </w:rPr>
              <w:t>中国工商银行股份有限公司－汇添富价值精选混合型证券投资基金</w:t>
            </w:r>
          </w:p>
        </w:tc>
        <w:tc>
          <w:tcPr>
            <w:tcW w:w="1582" w:type="dxa"/>
            <w:shd w:val="clear" w:color="auto" w:fill="auto"/>
            <w:vAlign w:val="center"/>
          </w:tcPr>
          <w:p>
            <w:pPr>
              <w:jc w:val="right"/>
              <w:rPr>
                <w:rFonts w:ascii="宋体" w:hAnsi="宋体"/>
              </w:rPr>
            </w:pPr>
            <w:r>
              <w:rPr>
                <w:rFonts w:ascii="宋体" w:hAnsi="宋体"/>
              </w:rPr>
              <w:t xml:space="preserve">7,856,350 </w:t>
            </w:r>
          </w:p>
        </w:tc>
        <w:tc>
          <w:tcPr>
            <w:tcW w:w="1581" w:type="dxa"/>
            <w:shd w:val="clear" w:color="auto" w:fill="auto"/>
            <w:vAlign w:val="center"/>
          </w:tcPr>
          <w:p>
            <w:pPr>
              <w:jc w:val="right"/>
              <w:rPr>
                <w:rFonts w:ascii="宋体" w:hAnsi="宋体"/>
              </w:rPr>
            </w:pPr>
            <w:r>
              <w:rPr>
                <w:rFonts w:ascii="宋体" w:hAnsi="宋体"/>
              </w:rPr>
              <w:t xml:space="preserve">10,272,283 </w:t>
            </w:r>
          </w:p>
        </w:tc>
        <w:tc>
          <w:tcPr>
            <w:tcW w:w="977" w:type="dxa"/>
            <w:shd w:val="clear" w:color="auto" w:fill="auto"/>
            <w:vAlign w:val="center"/>
          </w:tcPr>
          <w:p>
            <w:pPr>
              <w:jc w:val="right"/>
              <w:rPr>
                <w:rFonts w:ascii="宋体" w:hAnsi="宋体"/>
              </w:rPr>
            </w:pPr>
            <w:r>
              <w:rPr>
                <w:rFonts w:ascii="宋体" w:hAnsi="宋体"/>
              </w:rPr>
              <w:t>0.14</w:t>
            </w:r>
          </w:p>
        </w:tc>
        <w:tc>
          <w:tcPr>
            <w:tcW w:w="718" w:type="dxa"/>
            <w:shd w:val="clear" w:color="auto" w:fill="auto"/>
            <w:vAlign w:val="center"/>
          </w:tcPr>
          <w:p>
            <w:pPr>
              <w:jc w:val="right"/>
              <w:rPr>
                <w:rFonts w:ascii="宋体" w:hAnsi="宋体"/>
              </w:rPr>
            </w:pPr>
            <w:r>
              <w:rPr>
                <w:rFonts w:hint="eastAsia" w:ascii="宋体" w:hAnsi="宋体"/>
              </w:rPr>
              <w:t>0</w:t>
            </w:r>
          </w:p>
        </w:tc>
        <w:tc>
          <w:tcPr>
            <w:tcW w:w="902" w:type="dxa"/>
            <w:shd w:val="clear" w:color="auto" w:fill="auto"/>
            <w:vAlign w:val="center"/>
          </w:tcPr>
          <w:p>
            <w:pPr>
              <w:jc w:val="right"/>
              <w:rPr>
                <w:rFonts w:ascii="宋体" w:hAnsi="宋体"/>
                <w:color w:val="FF9900"/>
              </w:rPr>
            </w:pPr>
            <w:r>
              <w:rPr>
                <w:rFonts w:hint="eastAsia" w:ascii="宋体" w:hAnsi="宋体"/>
              </w:rPr>
              <w:t>无</w:t>
            </w:r>
          </w:p>
        </w:tc>
        <w:tc>
          <w:tcPr>
            <w:tcW w:w="1366" w:type="dxa"/>
            <w:gridSpan w:val="2"/>
            <w:shd w:val="clear" w:color="auto" w:fill="auto"/>
            <w:vAlign w:val="center"/>
          </w:tcPr>
          <w:p>
            <w:pPr>
              <w:jc w:val="right"/>
              <w:rPr>
                <w:rFonts w:ascii="宋体" w:hAnsi="宋体"/>
              </w:rPr>
            </w:pPr>
            <w:r>
              <w:rPr>
                <w:rFonts w:hint="eastAsia" w:ascii="宋体" w:hAnsi="宋体"/>
              </w:rPr>
              <w:t>0</w:t>
            </w:r>
          </w:p>
        </w:tc>
        <w:tc>
          <w:tcPr>
            <w:tcW w:w="1132" w:type="dxa"/>
            <w:shd w:val="clear" w:color="auto" w:fill="auto"/>
            <w:vAlign w:val="center"/>
          </w:tcPr>
          <w:p>
            <w:pPr>
              <w:jc w:val="right"/>
              <w:rPr>
                <w:rFonts w:ascii="宋体" w:hAnsi="宋体"/>
              </w:rPr>
            </w:pPr>
            <w:r>
              <w:rPr>
                <w:rFonts w:hint="eastAsia" w:ascii="宋体" w:hAnsi="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08" w:type="dxa"/>
            <w:shd w:val="clear" w:color="auto" w:fill="auto"/>
          </w:tcPr>
          <w:p>
            <w:pPr>
              <w:rPr>
                <w:rFonts w:ascii="宋体" w:hAnsi="宋体"/>
              </w:rPr>
            </w:pPr>
            <w:r>
              <w:rPr>
                <w:rFonts w:hint="eastAsia" w:ascii="宋体" w:hAnsi="宋体"/>
              </w:rPr>
              <w:t>中国工商银行股份有限公司－华泰柏瑞沪深</w:t>
            </w:r>
            <w:r>
              <w:rPr>
                <w:rFonts w:ascii="宋体" w:hAnsi="宋体"/>
              </w:rPr>
              <w:t>300交易型开放式指数证券投资基金</w:t>
            </w:r>
          </w:p>
        </w:tc>
        <w:tc>
          <w:tcPr>
            <w:tcW w:w="1582" w:type="dxa"/>
            <w:shd w:val="clear" w:color="auto" w:fill="auto"/>
            <w:vAlign w:val="center"/>
          </w:tcPr>
          <w:p>
            <w:pPr>
              <w:jc w:val="right"/>
              <w:rPr>
                <w:rFonts w:ascii="宋体" w:hAnsi="宋体"/>
              </w:rPr>
            </w:pPr>
            <w:r>
              <w:rPr>
                <w:rFonts w:ascii="宋体" w:hAnsi="宋体"/>
              </w:rPr>
              <w:t xml:space="preserve">6,116,165 </w:t>
            </w:r>
          </w:p>
        </w:tc>
        <w:tc>
          <w:tcPr>
            <w:tcW w:w="1581" w:type="dxa"/>
            <w:shd w:val="clear" w:color="auto" w:fill="auto"/>
            <w:vAlign w:val="center"/>
          </w:tcPr>
          <w:p>
            <w:pPr>
              <w:jc w:val="right"/>
              <w:rPr>
                <w:rFonts w:ascii="宋体" w:hAnsi="宋体"/>
              </w:rPr>
            </w:pPr>
            <w:r>
              <w:rPr>
                <w:rFonts w:ascii="宋体" w:hAnsi="宋体"/>
              </w:rPr>
              <w:t xml:space="preserve">9,545,775 </w:t>
            </w:r>
          </w:p>
        </w:tc>
        <w:tc>
          <w:tcPr>
            <w:tcW w:w="977" w:type="dxa"/>
            <w:shd w:val="clear" w:color="auto" w:fill="auto"/>
            <w:vAlign w:val="center"/>
          </w:tcPr>
          <w:p>
            <w:pPr>
              <w:jc w:val="right"/>
              <w:rPr>
                <w:rFonts w:ascii="宋体" w:hAnsi="宋体"/>
              </w:rPr>
            </w:pPr>
            <w:r>
              <w:rPr>
                <w:rFonts w:ascii="宋体" w:hAnsi="宋体"/>
              </w:rPr>
              <w:t>0.13</w:t>
            </w:r>
          </w:p>
        </w:tc>
        <w:tc>
          <w:tcPr>
            <w:tcW w:w="718" w:type="dxa"/>
            <w:shd w:val="clear" w:color="auto" w:fill="auto"/>
            <w:vAlign w:val="center"/>
          </w:tcPr>
          <w:p>
            <w:pPr>
              <w:jc w:val="right"/>
              <w:rPr>
                <w:rFonts w:ascii="宋体" w:hAnsi="宋体"/>
              </w:rPr>
            </w:pPr>
            <w:r>
              <w:rPr>
                <w:rFonts w:hint="eastAsia" w:ascii="宋体" w:hAnsi="宋体"/>
              </w:rPr>
              <w:t>0</w:t>
            </w:r>
          </w:p>
        </w:tc>
        <w:tc>
          <w:tcPr>
            <w:tcW w:w="902" w:type="dxa"/>
            <w:shd w:val="clear" w:color="auto" w:fill="auto"/>
            <w:vAlign w:val="center"/>
          </w:tcPr>
          <w:p>
            <w:pPr>
              <w:jc w:val="right"/>
              <w:rPr>
                <w:rFonts w:ascii="宋体" w:hAnsi="宋体"/>
                <w:color w:val="FF9900"/>
              </w:rPr>
            </w:pPr>
            <w:r>
              <w:rPr>
                <w:rFonts w:hint="eastAsia" w:ascii="宋体" w:hAnsi="宋体"/>
              </w:rPr>
              <w:t>无</w:t>
            </w:r>
          </w:p>
        </w:tc>
        <w:tc>
          <w:tcPr>
            <w:tcW w:w="1366" w:type="dxa"/>
            <w:gridSpan w:val="2"/>
            <w:shd w:val="clear" w:color="auto" w:fill="auto"/>
            <w:vAlign w:val="center"/>
          </w:tcPr>
          <w:p>
            <w:pPr>
              <w:jc w:val="right"/>
              <w:rPr>
                <w:rFonts w:ascii="宋体" w:hAnsi="宋体"/>
              </w:rPr>
            </w:pPr>
            <w:r>
              <w:rPr>
                <w:rFonts w:hint="eastAsia" w:ascii="宋体" w:hAnsi="宋体"/>
              </w:rPr>
              <w:t>0</w:t>
            </w:r>
          </w:p>
        </w:tc>
        <w:tc>
          <w:tcPr>
            <w:tcW w:w="1132" w:type="dxa"/>
            <w:shd w:val="clear" w:color="auto" w:fill="auto"/>
            <w:vAlign w:val="center"/>
          </w:tcPr>
          <w:p>
            <w:pPr>
              <w:jc w:val="right"/>
              <w:rPr>
                <w:rFonts w:ascii="宋体" w:hAnsi="宋体"/>
              </w:rPr>
            </w:pPr>
            <w:r>
              <w:rPr>
                <w:rFonts w:hint="eastAsia" w:ascii="宋体" w:hAnsi="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sdt>
          <w:sdtPr>
            <w:rPr>
              <w:rFonts w:ascii="宋体" w:hAnsi="宋体"/>
            </w:rPr>
            <w:tag w:val="_PLD_7f241e5dc05a4ae7b61268f4f1627ca0"/>
            <w:id w:val="-58407857"/>
          </w:sdtPr>
          <w:sdtEndPr>
            <w:rPr>
              <w:rFonts w:ascii="宋体" w:hAnsi="宋体"/>
            </w:rPr>
          </w:sdtEndPr>
          <w:sdtContent>
            <w:tc>
              <w:tcPr>
                <w:tcW w:w="10766" w:type="dxa"/>
                <w:gridSpan w:val="9"/>
                <w:shd w:val="clear" w:color="auto" w:fill="auto"/>
                <w:vAlign w:val="center"/>
              </w:tcPr>
              <w:p>
                <w:pPr>
                  <w:jc w:val="center"/>
                  <w:rPr>
                    <w:rFonts w:ascii="宋体" w:hAnsi="宋体"/>
                    <w:color w:val="FF9900"/>
                  </w:rPr>
                </w:pPr>
                <w:r>
                  <w:rPr>
                    <w:rFonts w:ascii="宋体" w:hAnsi="宋体"/>
                  </w:rPr>
                  <w:t>前十名无限售条件股东持股情况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sdt>
          <w:sdtPr>
            <w:rPr>
              <w:rFonts w:ascii="宋体" w:hAnsi="宋体"/>
            </w:rPr>
            <w:tag w:val="_PLD_0443ad39720a4d59be87cdf7b0bc4970"/>
            <w:id w:val="-2113268664"/>
          </w:sdtPr>
          <w:sdtEndPr>
            <w:rPr>
              <w:rFonts w:ascii="宋体" w:hAnsi="宋体"/>
            </w:rPr>
          </w:sdtEndPr>
          <w:sdtContent>
            <w:tc>
              <w:tcPr>
                <w:tcW w:w="4090" w:type="dxa"/>
                <w:gridSpan w:val="2"/>
                <w:vMerge w:val="restart"/>
                <w:shd w:val="clear" w:color="auto" w:fill="auto"/>
                <w:vAlign w:val="center"/>
              </w:tcPr>
              <w:p>
                <w:pPr>
                  <w:jc w:val="center"/>
                  <w:rPr>
                    <w:rFonts w:ascii="宋体" w:hAnsi="宋体"/>
                    <w:color w:val="FF9900"/>
                  </w:rPr>
                </w:pPr>
                <w:r>
                  <w:rPr>
                    <w:rFonts w:ascii="宋体" w:hAnsi="宋体"/>
                  </w:rPr>
                  <w:t>股东名称</w:t>
                </w:r>
              </w:p>
            </w:tc>
          </w:sdtContent>
        </w:sdt>
        <w:sdt>
          <w:sdtPr>
            <w:rPr>
              <w:rFonts w:ascii="宋体" w:hAnsi="宋体"/>
            </w:rPr>
            <w:tag w:val="_PLD_a7f143afa2b94466a44af03e770016b0"/>
            <w:id w:val="1295564788"/>
          </w:sdtPr>
          <w:sdtEndPr>
            <w:rPr>
              <w:rFonts w:ascii="宋体" w:hAnsi="宋体"/>
            </w:rPr>
          </w:sdtEndPr>
          <w:sdtContent>
            <w:tc>
              <w:tcPr>
                <w:tcW w:w="3276" w:type="dxa"/>
                <w:gridSpan w:val="3"/>
                <w:vMerge w:val="restart"/>
                <w:shd w:val="clear" w:color="auto" w:fill="auto"/>
                <w:vAlign w:val="center"/>
              </w:tcPr>
              <w:p>
                <w:pPr>
                  <w:jc w:val="center"/>
                  <w:rPr>
                    <w:rFonts w:ascii="宋体" w:hAnsi="宋体"/>
                    <w:color w:val="FF9900"/>
                  </w:rPr>
                </w:pPr>
                <w:r>
                  <w:rPr>
                    <w:rFonts w:ascii="宋体" w:hAnsi="宋体"/>
                  </w:rPr>
                  <w:t>持有无限售条件流通股的数量</w:t>
                </w:r>
              </w:p>
            </w:tc>
          </w:sdtContent>
        </w:sdt>
        <w:sdt>
          <w:sdtPr>
            <w:rPr>
              <w:rFonts w:ascii="宋体" w:hAnsi="宋体"/>
            </w:rPr>
            <w:tag w:val="_PLD_fa97ca004a544042af7e1d7463bea345"/>
            <w:id w:val="1208692513"/>
          </w:sdtPr>
          <w:sdtEndPr>
            <w:rPr>
              <w:rFonts w:ascii="宋体" w:hAnsi="宋体"/>
            </w:rPr>
          </w:sdtEndPr>
          <w:sdtContent>
            <w:tc>
              <w:tcPr>
                <w:tcW w:w="3400" w:type="dxa"/>
                <w:gridSpan w:val="4"/>
                <w:tcBorders>
                  <w:bottom w:val="single" w:color="auto" w:sz="4" w:space="0"/>
                </w:tcBorders>
                <w:shd w:val="clear" w:color="auto" w:fill="auto"/>
                <w:vAlign w:val="center"/>
              </w:tcPr>
              <w:p>
                <w:pPr>
                  <w:jc w:val="center"/>
                  <w:rPr>
                    <w:rFonts w:ascii="宋体" w:hAnsi="宋体"/>
                    <w:color w:val="FF9900"/>
                  </w:rPr>
                </w:pPr>
                <w:r>
                  <w:rPr>
                    <w:rFonts w:ascii="宋体" w:hAnsi="宋体"/>
                  </w:rPr>
                  <w:t>股份种类</w:t>
                </w:r>
                <w:r>
                  <w:rPr>
                    <w:rFonts w:hint="eastAsia" w:ascii="宋体" w:hAnsi="宋体"/>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vMerge w:val="continue"/>
            <w:shd w:val="clear" w:color="auto" w:fill="auto"/>
            <w:vAlign w:val="center"/>
          </w:tcPr>
          <w:p>
            <w:pPr>
              <w:jc w:val="center"/>
              <w:rPr>
                <w:rFonts w:ascii="宋体" w:hAnsi="宋体"/>
                <w:color w:val="FF9900"/>
              </w:rPr>
            </w:pPr>
          </w:p>
        </w:tc>
        <w:tc>
          <w:tcPr>
            <w:tcW w:w="3276" w:type="dxa"/>
            <w:gridSpan w:val="3"/>
            <w:vMerge w:val="continue"/>
            <w:shd w:val="clear" w:color="auto" w:fill="auto"/>
            <w:vAlign w:val="center"/>
          </w:tcPr>
          <w:p>
            <w:pPr>
              <w:jc w:val="center"/>
              <w:rPr>
                <w:rFonts w:ascii="宋体" w:hAnsi="宋体"/>
                <w:color w:val="FF9900"/>
              </w:rPr>
            </w:pPr>
          </w:p>
        </w:tc>
        <w:sdt>
          <w:sdtPr>
            <w:rPr>
              <w:rFonts w:ascii="宋体" w:hAnsi="宋体"/>
            </w:rPr>
            <w:tag w:val="_PLD_e67773187f2f4233a6666596947248e8"/>
            <w:id w:val="1148406748"/>
          </w:sdtPr>
          <w:sdtEndPr>
            <w:rPr>
              <w:rFonts w:ascii="宋体" w:hAnsi="宋体"/>
            </w:rPr>
          </w:sdtEndPr>
          <w:sdtContent>
            <w:tc>
              <w:tcPr>
                <w:tcW w:w="1707" w:type="dxa"/>
                <w:gridSpan w:val="2"/>
                <w:shd w:val="clear" w:color="auto" w:fill="auto"/>
                <w:vAlign w:val="center"/>
              </w:tcPr>
              <w:p>
                <w:pPr>
                  <w:jc w:val="center"/>
                  <w:rPr>
                    <w:rFonts w:ascii="宋体" w:hAnsi="宋体"/>
                    <w:color w:val="008000"/>
                  </w:rPr>
                </w:pPr>
                <w:r>
                  <w:rPr>
                    <w:rFonts w:hint="eastAsia" w:ascii="宋体" w:hAnsi="宋体"/>
                  </w:rPr>
                  <w:t>种类</w:t>
                </w:r>
              </w:p>
            </w:tc>
          </w:sdtContent>
        </w:sdt>
        <w:sdt>
          <w:sdtPr>
            <w:rPr>
              <w:rFonts w:ascii="宋体" w:hAnsi="宋体"/>
            </w:rPr>
            <w:tag w:val="_PLD_2f2fd5088a82440f9265e00f4e298be0"/>
            <w:id w:val="-1801608849"/>
          </w:sdtPr>
          <w:sdtEndPr>
            <w:rPr>
              <w:rFonts w:ascii="宋体" w:hAnsi="宋体"/>
            </w:rPr>
          </w:sdtEndPr>
          <w:sdtContent>
            <w:tc>
              <w:tcPr>
                <w:tcW w:w="1693" w:type="dxa"/>
                <w:gridSpan w:val="2"/>
                <w:shd w:val="clear" w:color="auto" w:fill="auto"/>
                <w:vAlign w:val="center"/>
              </w:tcPr>
              <w:p>
                <w:pPr>
                  <w:jc w:val="center"/>
                  <w:rPr>
                    <w:rFonts w:ascii="宋体" w:hAnsi="宋体"/>
                    <w:color w:val="008000"/>
                  </w:rPr>
                </w:pPr>
                <w:r>
                  <w:rPr>
                    <w:rFonts w:hint="eastAsia" w:ascii="宋体" w:hAnsi="宋体"/>
                  </w:rPr>
                  <w:t>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vAlign w:val="center"/>
          </w:tcPr>
          <w:p>
            <w:pPr>
              <w:rPr>
                <w:rFonts w:ascii="宋体" w:hAnsi="宋体"/>
              </w:rPr>
            </w:pPr>
            <w:r>
              <w:rPr>
                <w:rFonts w:hint="eastAsia" w:ascii="宋体" w:hAnsi="宋体"/>
              </w:rPr>
              <w:t>山东能源集团有限公司</w:t>
            </w:r>
          </w:p>
        </w:tc>
        <w:tc>
          <w:tcPr>
            <w:tcW w:w="3276" w:type="dxa"/>
            <w:gridSpan w:val="3"/>
            <w:shd w:val="clear" w:color="auto" w:fill="auto"/>
            <w:vAlign w:val="center"/>
          </w:tcPr>
          <w:p>
            <w:pPr>
              <w:jc w:val="right"/>
              <w:rPr>
                <w:rFonts w:ascii="宋体" w:hAnsi="宋体"/>
              </w:rPr>
            </w:pPr>
            <w:r>
              <w:rPr>
                <w:rFonts w:ascii="宋体" w:hAnsi="宋体"/>
              </w:rPr>
              <w:t xml:space="preserve">3,385,986,710 </w:t>
            </w:r>
          </w:p>
        </w:tc>
        <w:tc>
          <w:tcPr>
            <w:tcW w:w="1707" w:type="dxa"/>
            <w:gridSpan w:val="2"/>
            <w:shd w:val="clear" w:color="auto" w:fill="auto"/>
            <w:vAlign w:val="center"/>
          </w:tcPr>
          <w:p>
            <w:pPr>
              <w:jc w:val="center"/>
              <w:rPr>
                <w:rFonts w:ascii="宋体" w:hAnsi="宋体"/>
                <w:bCs/>
              </w:rPr>
            </w:pPr>
            <w:r>
              <w:rPr>
                <w:rFonts w:hint="eastAsia" w:ascii="宋体" w:hAnsi="宋体"/>
                <w:bCs/>
              </w:rPr>
              <w:t>人民币普通股</w:t>
            </w:r>
          </w:p>
        </w:tc>
        <w:tc>
          <w:tcPr>
            <w:tcW w:w="1693" w:type="dxa"/>
            <w:gridSpan w:val="2"/>
            <w:shd w:val="clear" w:color="auto" w:fill="auto"/>
            <w:vAlign w:val="center"/>
          </w:tcPr>
          <w:p>
            <w:pPr>
              <w:jc w:val="right"/>
              <w:rPr>
                <w:rFonts w:ascii="宋体" w:hAnsi="宋体"/>
              </w:rPr>
            </w:pPr>
            <w:r>
              <w:rPr>
                <w:rFonts w:ascii="宋体" w:hAnsi="宋体"/>
              </w:rPr>
              <w:t>3,385,986,710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tcPr>
          <w:p>
            <w:pPr>
              <w:rPr>
                <w:rFonts w:ascii="宋体" w:hAnsi="宋体"/>
              </w:rPr>
            </w:pPr>
            <w:r>
              <w:rPr>
                <w:rFonts w:hint="eastAsia" w:ascii="宋体" w:hAnsi="宋体"/>
              </w:rPr>
              <w:t>香港中央结算（代理人）有限公司</w:t>
            </w:r>
          </w:p>
        </w:tc>
        <w:tc>
          <w:tcPr>
            <w:tcW w:w="3276" w:type="dxa"/>
            <w:gridSpan w:val="3"/>
            <w:shd w:val="clear" w:color="auto" w:fill="auto"/>
            <w:vAlign w:val="center"/>
          </w:tcPr>
          <w:p>
            <w:pPr>
              <w:jc w:val="right"/>
              <w:rPr>
                <w:rFonts w:ascii="宋体" w:hAnsi="宋体"/>
              </w:rPr>
            </w:pPr>
            <w:r>
              <w:rPr>
                <w:rFonts w:ascii="宋体" w:hAnsi="宋体"/>
              </w:rPr>
              <w:t xml:space="preserve">2,846,595,507 </w:t>
            </w:r>
          </w:p>
        </w:tc>
        <w:tc>
          <w:tcPr>
            <w:tcW w:w="1707" w:type="dxa"/>
            <w:gridSpan w:val="2"/>
            <w:shd w:val="clear" w:color="auto" w:fill="auto"/>
            <w:vAlign w:val="center"/>
          </w:tcPr>
          <w:p>
            <w:pPr>
              <w:jc w:val="center"/>
              <w:rPr>
                <w:rFonts w:ascii="宋体" w:hAnsi="宋体"/>
                <w:bCs/>
              </w:rPr>
            </w:pPr>
            <w:r>
              <w:rPr>
                <w:rFonts w:hint="eastAsia" w:ascii="宋体" w:hAnsi="宋体"/>
                <w:bCs/>
              </w:rPr>
              <w:t>境外上市外资股</w:t>
            </w:r>
          </w:p>
        </w:tc>
        <w:tc>
          <w:tcPr>
            <w:tcW w:w="1693" w:type="dxa"/>
            <w:gridSpan w:val="2"/>
            <w:shd w:val="clear" w:color="auto" w:fill="auto"/>
            <w:vAlign w:val="center"/>
          </w:tcPr>
          <w:p>
            <w:pPr>
              <w:jc w:val="right"/>
              <w:rPr>
                <w:rFonts w:ascii="宋体" w:hAnsi="宋体"/>
              </w:rPr>
            </w:pPr>
            <w:r>
              <w:rPr>
                <w:rFonts w:ascii="宋体" w:hAnsi="宋体"/>
              </w:rPr>
              <w:t xml:space="preserve">2,846,595,507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tcPr>
          <w:p>
            <w:pPr>
              <w:rPr>
                <w:rFonts w:ascii="宋体" w:hAnsi="宋体"/>
              </w:rPr>
            </w:pPr>
            <w:r>
              <w:rPr>
                <w:rFonts w:hint="eastAsia" w:ascii="宋体" w:hAnsi="宋体"/>
              </w:rPr>
              <w:t>香港中央结算有限公司</w:t>
            </w:r>
          </w:p>
        </w:tc>
        <w:tc>
          <w:tcPr>
            <w:tcW w:w="3276" w:type="dxa"/>
            <w:gridSpan w:val="3"/>
            <w:shd w:val="clear" w:color="auto" w:fill="auto"/>
            <w:vAlign w:val="center"/>
          </w:tcPr>
          <w:p>
            <w:pPr>
              <w:jc w:val="right"/>
              <w:rPr>
                <w:rFonts w:ascii="宋体" w:hAnsi="宋体"/>
              </w:rPr>
            </w:pPr>
            <w:r>
              <w:rPr>
                <w:rFonts w:ascii="宋体" w:hAnsi="宋体"/>
              </w:rPr>
              <w:t xml:space="preserve">87,272,589 </w:t>
            </w:r>
          </w:p>
        </w:tc>
        <w:tc>
          <w:tcPr>
            <w:tcW w:w="1707" w:type="dxa"/>
            <w:gridSpan w:val="2"/>
            <w:shd w:val="clear" w:color="auto" w:fill="auto"/>
            <w:vAlign w:val="center"/>
          </w:tcPr>
          <w:p>
            <w:pPr>
              <w:jc w:val="center"/>
              <w:rPr>
                <w:rFonts w:ascii="宋体" w:hAnsi="宋体"/>
                <w:bCs/>
              </w:rPr>
            </w:pPr>
            <w:r>
              <w:rPr>
                <w:rFonts w:hint="eastAsia" w:ascii="宋体" w:hAnsi="宋体"/>
                <w:bCs/>
              </w:rPr>
              <w:t>人民币普通股</w:t>
            </w:r>
          </w:p>
        </w:tc>
        <w:tc>
          <w:tcPr>
            <w:tcW w:w="1693" w:type="dxa"/>
            <w:gridSpan w:val="2"/>
            <w:shd w:val="clear" w:color="auto" w:fill="auto"/>
            <w:vAlign w:val="center"/>
          </w:tcPr>
          <w:p>
            <w:pPr>
              <w:jc w:val="right"/>
              <w:rPr>
                <w:rFonts w:ascii="宋体" w:hAnsi="宋体"/>
              </w:rPr>
            </w:pPr>
            <w:r>
              <w:rPr>
                <w:rFonts w:ascii="宋体" w:hAnsi="宋体"/>
              </w:rPr>
              <w:t xml:space="preserve">87,272,589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tcPr>
          <w:p>
            <w:pPr>
              <w:rPr>
                <w:rFonts w:ascii="宋体" w:hAnsi="宋体"/>
              </w:rPr>
            </w:pPr>
            <w:r>
              <w:rPr>
                <w:rFonts w:hint="eastAsia" w:ascii="宋体" w:hAnsi="宋体"/>
              </w:rPr>
              <w:t>全国社保基金一一七组合</w:t>
            </w:r>
          </w:p>
        </w:tc>
        <w:tc>
          <w:tcPr>
            <w:tcW w:w="3276" w:type="dxa"/>
            <w:gridSpan w:val="3"/>
            <w:shd w:val="clear" w:color="auto" w:fill="auto"/>
            <w:vAlign w:val="center"/>
          </w:tcPr>
          <w:p>
            <w:pPr>
              <w:jc w:val="right"/>
              <w:rPr>
                <w:rFonts w:ascii="宋体" w:hAnsi="宋体"/>
              </w:rPr>
            </w:pPr>
            <w:r>
              <w:rPr>
                <w:rFonts w:ascii="宋体" w:hAnsi="宋体"/>
              </w:rPr>
              <w:t xml:space="preserve">23,930,766 </w:t>
            </w:r>
          </w:p>
        </w:tc>
        <w:tc>
          <w:tcPr>
            <w:tcW w:w="1707" w:type="dxa"/>
            <w:gridSpan w:val="2"/>
            <w:shd w:val="clear" w:color="auto" w:fill="auto"/>
            <w:vAlign w:val="center"/>
          </w:tcPr>
          <w:p>
            <w:pPr>
              <w:jc w:val="center"/>
              <w:rPr>
                <w:rFonts w:ascii="宋体" w:hAnsi="宋体"/>
                <w:bCs/>
              </w:rPr>
            </w:pPr>
            <w:r>
              <w:rPr>
                <w:rFonts w:hint="eastAsia" w:ascii="宋体" w:hAnsi="宋体"/>
                <w:bCs/>
              </w:rPr>
              <w:t>人民币普通股</w:t>
            </w:r>
          </w:p>
        </w:tc>
        <w:tc>
          <w:tcPr>
            <w:tcW w:w="1693" w:type="dxa"/>
            <w:gridSpan w:val="2"/>
            <w:shd w:val="clear" w:color="auto" w:fill="auto"/>
            <w:vAlign w:val="center"/>
          </w:tcPr>
          <w:p>
            <w:pPr>
              <w:jc w:val="right"/>
              <w:rPr>
                <w:rFonts w:ascii="宋体" w:hAnsi="宋体"/>
              </w:rPr>
            </w:pPr>
            <w:r>
              <w:rPr>
                <w:rFonts w:ascii="宋体" w:hAnsi="宋体"/>
              </w:rPr>
              <w:t xml:space="preserve">23,930,766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tcPr>
          <w:p>
            <w:pPr>
              <w:rPr>
                <w:rFonts w:ascii="宋体" w:hAnsi="宋体"/>
              </w:rPr>
            </w:pPr>
            <w:r>
              <w:rPr>
                <w:rFonts w:hint="eastAsia" w:ascii="宋体" w:hAnsi="宋体"/>
              </w:rPr>
              <w:t>华夏人寿保险股份有限公司－自有资金</w:t>
            </w:r>
          </w:p>
        </w:tc>
        <w:tc>
          <w:tcPr>
            <w:tcW w:w="3276" w:type="dxa"/>
            <w:gridSpan w:val="3"/>
            <w:shd w:val="clear" w:color="auto" w:fill="auto"/>
            <w:vAlign w:val="center"/>
          </w:tcPr>
          <w:p>
            <w:pPr>
              <w:jc w:val="right"/>
              <w:rPr>
                <w:rFonts w:ascii="宋体" w:hAnsi="宋体"/>
              </w:rPr>
            </w:pPr>
            <w:r>
              <w:rPr>
                <w:rFonts w:ascii="宋体" w:hAnsi="宋体"/>
              </w:rPr>
              <w:t xml:space="preserve">17,899,950 </w:t>
            </w:r>
          </w:p>
        </w:tc>
        <w:tc>
          <w:tcPr>
            <w:tcW w:w="1707" w:type="dxa"/>
            <w:gridSpan w:val="2"/>
            <w:shd w:val="clear" w:color="auto" w:fill="auto"/>
            <w:vAlign w:val="center"/>
          </w:tcPr>
          <w:p>
            <w:pPr>
              <w:jc w:val="center"/>
              <w:rPr>
                <w:rFonts w:ascii="宋体" w:hAnsi="宋体"/>
                <w:bCs/>
              </w:rPr>
            </w:pPr>
            <w:r>
              <w:rPr>
                <w:rFonts w:hint="eastAsia" w:ascii="宋体" w:hAnsi="宋体"/>
                <w:bCs/>
              </w:rPr>
              <w:t>人民币普通股</w:t>
            </w:r>
          </w:p>
        </w:tc>
        <w:tc>
          <w:tcPr>
            <w:tcW w:w="1693" w:type="dxa"/>
            <w:gridSpan w:val="2"/>
            <w:shd w:val="clear" w:color="auto" w:fill="auto"/>
            <w:vAlign w:val="center"/>
          </w:tcPr>
          <w:p>
            <w:pPr>
              <w:jc w:val="right"/>
              <w:rPr>
                <w:rFonts w:ascii="宋体" w:hAnsi="宋体"/>
              </w:rPr>
            </w:pPr>
            <w:r>
              <w:rPr>
                <w:rFonts w:ascii="宋体" w:hAnsi="宋体"/>
              </w:rPr>
              <w:t xml:space="preserve">17,899,950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tcPr>
          <w:p>
            <w:pPr>
              <w:rPr>
                <w:rFonts w:ascii="宋体" w:hAnsi="宋体"/>
              </w:rPr>
            </w:pPr>
            <w:r>
              <w:rPr>
                <w:rFonts w:hint="eastAsia" w:ascii="宋体" w:hAnsi="宋体"/>
              </w:rPr>
              <w:t>招商银行股份有限公司－上证红利交易型开放式指数证券投资基金</w:t>
            </w:r>
          </w:p>
        </w:tc>
        <w:tc>
          <w:tcPr>
            <w:tcW w:w="3276" w:type="dxa"/>
            <w:gridSpan w:val="3"/>
            <w:shd w:val="clear" w:color="auto" w:fill="auto"/>
            <w:vAlign w:val="center"/>
          </w:tcPr>
          <w:p>
            <w:pPr>
              <w:jc w:val="right"/>
              <w:rPr>
                <w:rFonts w:ascii="宋体" w:hAnsi="宋体"/>
              </w:rPr>
            </w:pPr>
            <w:r>
              <w:rPr>
                <w:rFonts w:ascii="宋体" w:hAnsi="宋体"/>
              </w:rPr>
              <w:t xml:space="preserve">16,047,181 </w:t>
            </w:r>
          </w:p>
        </w:tc>
        <w:tc>
          <w:tcPr>
            <w:tcW w:w="1707" w:type="dxa"/>
            <w:gridSpan w:val="2"/>
            <w:shd w:val="clear" w:color="auto" w:fill="auto"/>
            <w:vAlign w:val="center"/>
          </w:tcPr>
          <w:p>
            <w:pPr>
              <w:jc w:val="center"/>
              <w:rPr>
                <w:rFonts w:ascii="宋体" w:hAnsi="宋体"/>
                <w:bCs/>
              </w:rPr>
            </w:pPr>
            <w:r>
              <w:rPr>
                <w:rFonts w:hint="eastAsia" w:ascii="宋体" w:hAnsi="宋体"/>
                <w:bCs/>
              </w:rPr>
              <w:t>人民币普通股</w:t>
            </w:r>
          </w:p>
        </w:tc>
        <w:tc>
          <w:tcPr>
            <w:tcW w:w="1693" w:type="dxa"/>
            <w:gridSpan w:val="2"/>
            <w:shd w:val="clear" w:color="auto" w:fill="auto"/>
            <w:vAlign w:val="center"/>
          </w:tcPr>
          <w:p>
            <w:pPr>
              <w:jc w:val="right"/>
              <w:rPr>
                <w:rFonts w:ascii="宋体" w:hAnsi="宋体"/>
              </w:rPr>
            </w:pPr>
            <w:r>
              <w:rPr>
                <w:rFonts w:ascii="宋体" w:hAnsi="宋体"/>
              </w:rPr>
              <w:t xml:space="preserve">16,047,181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tcPr>
          <w:p>
            <w:pPr>
              <w:rPr>
                <w:rFonts w:ascii="宋体" w:hAnsi="宋体"/>
              </w:rPr>
            </w:pPr>
            <w:r>
              <w:rPr>
                <w:rFonts w:hint="eastAsia" w:ascii="宋体" w:hAnsi="宋体"/>
              </w:rPr>
              <w:t>中国建设银行股份有限公司－银华富裕主题混合型证券投资基金</w:t>
            </w:r>
          </w:p>
        </w:tc>
        <w:tc>
          <w:tcPr>
            <w:tcW w:w="3276" w:type="dxa"/>
            <w:gridSpan w:val="3"/>
            <w:shd w:val="clear" w:color="auto" w:fill="auto"/>
            <w:vAlign w:val="center"/>
          </w:tcPr>
          <w:p>
            <w:pPr>
              <w:jc w:val="right"/>
              <w:rPr>
                <w:rFonts w:ascii="宋体" w:hAnsi="宋体"/>
              </w:rPr>
            </w:pPr>
            <w:r>
              <w:rPr>
                <w:rFonts w:ascii="宋体" w:hAnsi="宋体"/>
              </w:rPr>
              <w:t xml:space="preserve">11,744,648 </w:t>
            </w:r>
          </w:p>
        </w:tc>
        <w:tc>
          <w:tcPr>
            <w:tcW w:w="1707" w:type="dxa"/>
            <w:gridSpan w:val="2"/>
            <w:shd w:val="clear" w:color="auto" w:fill="auto"/>
            <w:vAlign w:val="center"/>
          </w:tcPr>
          <w:p>
            <w:pPr>
              <w:jc w:val="center"/>
              <w:rPr>
                <w:rFonts w:ascii="宋体" w:hAnsi="宋体"/>
                <w:bCs/>
              </w:rPr>
            </w:pPr>
            <w:r>
              <w:rPr>
                <w:rFonts w:hint="eastAsia" w:ascii="宋体" w:hAnsi="宋体"/>
                <w:bCs/>
              </w:rPr>
              <w:t>人民币普通股</w:t>
            </w:r>
          </w:p>
        </w:tc>
        <w:tc>
          <w:tcPr>
            <w:tcW w:w="1693" w:type="dxa"/>
            <w:gridSpan w:val="2"/>
            <w:shd w:val="clear" w:color="auto" w:fill="auto"/>
            <w:vAlign w:val="center"/>
          </w:tcPr>
          <w:p>
            <w:pPr>
              <w:jc w:val="right"/>
              <w:rPr>
                <w:rFonts w:ascii="宋体" w:hAnsi="宋体"/>
              </w:rPr>
            </w:pPr>
            <w:r>
              <w:rPr>
                <w:rFonts w:ascii="宋体" w:hAnsi="宋体"/>
              </w:rPr>
              <w:t xml:space="preserve">11,744,648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tcPr>
          <w:p>
            <w:pPr>
              <w:rPr>
                <w:rFonts w:ascii="宋体" w:hAnsi="宋体"/>
              </w:rPr>
            </w:pPr>
            <w:r>
              <w:rPr>
                <w:rFonts w:hint="eastAsia" w:ascii="宋体" w:hAnsi="宋体"/>
              </w:rPr>
              <w:t>澳门金融管理局－自有资金</w:t>
            </w:r>
          </w:p>
        </w:tc>
        <w:tc>
          <w:tcPr>
            <w:tcW w:w="3276" w:type="dxa"/>
            <w:gridSpan w:val="3"/>
            <w:shd w:val="clear" w:color="auto" w:fill="auto"/>
            <w:vAlign w:val="center"/>
          </w:tcPr>
          <w:p>
            <w:pPr>
              <w:jc w:val="right"/>
              <w:rPr>
                <w:rFonts w:ascii="宋体" w:hAnsi="宋体"/>
              </w:rPr>
            </w:pPr>
            <w:r>
              <w:rPr>
                <w:rFonts w:ascii="宋体" w:hAnsi="宋体"/>
              </w:rPr>
              <w:t xml:space="preserve">10,465,805 </w:t>
            </w:r>
          </w:p>
        </w:tc>
        <w:tc>
          <w:tcPr>
            <w:tcW w:w="1707" w:type="dxa"/>
            <w:gridSpan w:val="2"/>
            <w:shd w:val="clear" w:color="auto" w:fill="auto"/>
            <w:vAlign w:val="center"/>
          </w:tcPr>
          <w:p>
            <w:pPr>
              <w:jc w:val="center"/>
              <w:rPr>
                <w:rFonts w:ascii="宋体" w:hAnsi="宋体"/>
                <w:bCs/>
              </w:rPr>
            </w:pPr>
            <w:r>
              <w:rPr>
                <w:rFonts w:hint="eastAsia" w:ascii="宋体" w:hAnsi="宋体"/>
                <w:bCs/>
              </w:rPr>
              <w:t>人民币普通股</w:t>
            </w:r>
          </w:p>
        </w:tc>
        <w:tc>
          <w:tcPr>
            <w:tcW w:w="1693" w:type="dxa"/>
            <w:gridSpan w:val="2"/>
            <w:shd w:val="clear" w:color="auto" w:fill="auto"/>
            <w:vAlign w:val="center"/>
          </w:tcPr>
          <w:p>
            <w:pPr>
              <w:jc w:val="right"/>
              <w:rPr>
                <w:rFonts w:ascii="宋体" w:hAnsi="宋体"/>
              </w:rPr>
            </w:pPr>
            <w:r>
              <w:rPr>
                <w:rFonts w:ascii="宋体" w:hAnsi="宋体"/>
              </w:rPr>
              <w:t xml:space="preserve">10,465,805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tcPr>
          <w:p>
            <w:pPr>
              <w:rPr>
                <w:rFonts w:ascii="宋体" w:hAnsi="宋体"/>
              </w:rPr>
            </w:pPr>
            <w:r>
              <w:rPr>
                <w:rFonts w:hint="eastAsia" w:ascii="宋体" w:hAnsi="宋体"/>
              </w:rPr>
              <w:t>中国工商银行股份有限公司－汇添富价值精选混合型证券投资基金</w:t>
            </w:r>
          </w:p>
        </w:tc>
        <w:tc>
          <w:tcPr>
            <w:tcW w:w="3276" w:type="dxa"/>
            <w:gridSpan w:val="3"/>
            <w:shd w:val="clear" w:color="auto" w:fill="auto"/>
            <w:vAlign w:val="center"/>
          </w:tcPr>
          <w:p>
            <w:pPr>
              <w:jc w:val="right"/>
              <w:rPr>
                <w:rFonts w:ascii="宋体" w:hAnsi="宋体"/>
              </w:rPr>
            </w:pPr>
            <w:r>
              <w:rPr>
                <w:rFonts w:ascii="宋体" w:hAnsi="宋体"/>
              </w:rPr>
              <w:t xml:space="preserve">10,272,283 </w:t>
            </w:r>
          </w:p>
        </w:tc>
        <w:tc>
          <w:tcPr>
            <w:tcW w:w="1707" w:type="dxa"/>
            <w:gridSpan w:val="2"/>
            <w:shd w:val="clear" w:color="auto" w:fill="auto"/>
            <w:vAlign w:val="center"/>
          </w:tcPr>
          <w:p>
            <w:pPr>
              <w:jc w:val="center"/>
              <w:rPr>
                <w:rFonts w:ascii="宋体" w:hAnsi="宋体"/>
                <w:bCs/>
              </w:rPr>
            </w:pPr>
            <w:r>
              <w:rPr>
                <w:rFonts w:hint="eastAsia" w:ascii="宋体" w:hAnsi="宋体"/>
                <w:bCs/>
              </w:rPr>
              <w:t>人民币普通股</w:t>
            </w:r>
          </w:p>
        </w:tc>
        <w:tc>
          <w:tcPr>
            <w:tcW w:w="1693" w:type="dxa"/>
            <w:gridSpan w:val="2"/>
            <w:shd w:val="clear" w:color="auto" w:fill="auto"/>
            <w:vAlign w:val="center"/>
          </w:tcPr>
          <w:p>
            <w:pPr>
              <w:jc w:val="right"/>
              <w:rPr>
                <w:rFonts w:ascii="宋体" w:hAnsi="宋体"/>
              </w:rPr>
            </w:pPr>
            <w:r>
              <w:rPr>
                <w:rFonts w:ascii="宋体" w:hAnsi="宋体"/>
              </w:rPr>
              <w:t xml:space="preserve">10,272,283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tcPr>
          <w:p>
            <w:pPr>
              <w:rPr>
                <w:rFonts w:ascii="宋体" w:hAnsi="宋体"/>
              </w:rPr>
            </w:pPr>
            <w:r>
              <w:rPr>
                <w:rFonts w:hint="eastAsia" w:ascii="宋体" w:hAnsi="宋体"/>
              </w:rPr>
              <w:t>中国工商银行股份有限公司－华泰柏瑞沪深</w:t>
            </w:r>
            <w:r>
              <w:rPr>
                <w:rFonts w:ascii="宋体" w:hAnsi="宋体"/>
              </w:rPr>
              <w:t>300交易型开放式指数证券投资基金</w:t>
            </w:r>
          </w:p>
        </w:tc>
        <w:tc>
          <w:tcPr>
            <w:tcW w:w="3276" w:type="dxa"/>
            <w:gridSpan w:val="3"/>
            <w:shd w:val="clear" w:color="auto" w:fill="auto"/>
            <w:vAlign w:val="center"/>
          </w:tcPr>
          <w:p>
            <w:pPr>
              <w:jc w:val="right"/>
              <w:rPr>
                <w:rFonts w:ascii="宋体" w:hAnsi="宋体"/>
              </w:rPr>
            </w:pPr>
            <w:r>
              <w:rPr>
                <w:rFonts w:ascii="宋体" w:hAnsi="宋体"/>
              </w:rPr>
              <w:t xml:space="preserve">9,545,775 </w:t>
            </w:r>
          </w:p>
        </w:tc>
        <w:tc>
          <w:tcPr>
            <w:tcW w:w="1707" w:type="dxa"/>
            <w:gridSpan w:val="2"/>
            <w:shd w:val="clear" w:color="auto" w:fill="auto"/>
            <w:vAlign w:val="center"/>
          </w:tcPr>
          <w:p>
            <w:pPr>
              <w:jc w:val="center"/>
              <w:rPr>
                <w:rFonts w:ascii="宋体" w:hAnsi="宋体"/>
                <w:bCs/>
              </w:rPr>
            </w:pPr>
            <w:r>
              <w:rPr>
                <w:rFonts w:hint="eastAsia" w:ascii="宋体" w:hAnsi="宋体"/>
                <w:bCs/>
              </w:rPr>
              <w:t>人民币普通股</w:t>
            </w:r>
          </w:p>
        </w:tc>
        <w:tc>
          <w:tcPr>
            <w:tcW w:w="1693" w:type="dxa"/>
            <w:gridSpan w:val="2"/>
            <w:shd w:val="clear" w:color="auto" w:fill="auto"/>
            <w:vAlign w:val="center"/>
          </w:tcPr>
          <w:p>
            <w:pPr>
              <w:jc w:val="right"/>
              <w:rPr>
                <w:rFonts w:ascii="宋体" w:hAnsi="宋体"/>
              </w:rPr>
            </w:pPr>
            <w:r>
              <w:rPr>
                <w:rFonts w:ascii="宋体" w:hAnsi="宋体"/>
              </w:rPr>
              <w:t xml:space="preserve">9,545,775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vAlign w:val="center"/>
          </w:tcPr>
          <w:p>
            <w:pPr>
              <w:rPr>
                <w:rFonts w:ascii="宋体" w:hAnsi="宋体"/>
              </w:rPr>
            </w:pPr>
            <w:r>
              <w:rPr>
                <w:rFonts w:hint="eastAsia" w:ascii="宋体" w:hAnsi="宋体"/>
              </w:rPr>
              <w:t>前十名股东中回购专户情况说明</w:t>
            </w:r>
          </w:p>
        </w:tc>
        <w:tc>
          <w:tcPr>
            <w:tcW w:w="6676" w:type="dxa"/>
            <w:gridSpan w:val="7"/>
            <w:shd w:val="clear" w:color="auto" w:fill="auto"/>
            <w:vAlign w:val="center"/>
          </w:tcPr>
          <w:p>
            <w:pPr>
              <w:rPr>
                <w:rFonts w:ascii="宋体" w:hAnsi="宋体"/>
              </w:rPr>
            </w:pPr>
            <w:r>
              <w:rPr>
                <w:rFonts w:hint="eastAsia" w:ascii="宋体" w:hAnsi="宋体"/>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vAlign w:val="center"/>
          </w:tcPr>
          <w:p>
            <w:pPr>
              <w:pStyle w:val="43"/>
            </w:pPr>
            <w:r>
              <w:rPr>
                <w:szCs w:val="21"/>
              </w:rPr>
              <w:t>上述股东</w:t>
            </w:r>
            <w:r>
              <w:rPr>
                <w:rFonts w:hint="eastAsia"/>
                <w:szCs w:val="21"/>
              </w:rPr>
              <w:t>委托表决权、受托表决权、放弃表决权</w:t>
            </w:r>
            <w:r>
              <w:rPr>
                <w:szCs w:val="21"/>
              </w:rPr>
              <w:t>的说明</w:t>
            </w:r>
          </w:p>
        </w:tc>
        <w:tc>
          <w:tcPr>
            <w:tcW w:w="6676" w:type="dxa"/>
            <w:gridSpan w:val="7"/>
            <w:shd w:val="clear" w:color="auto" w:fill="auto"/>
            <w:vAlign w:val="center"/>
          </w:tcPr>
          <w:p>
            <w:pPr>
              <w:rPr>
                <w:rFonts w:ascii="宋体" w:hAnsi="宋体"/>
              </w:rPr>
            </w:pPr>
            <w:r>
              <w:rPr>
                <w:rFonts w:hint="eastAsia" w:ascii="宋体" w:hAnsi="宋体"/>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vAlign w:val="center"/>
          </w:tcPr>
          <w:p>
            <w:pPr>
              <w:rPr>
                <w:rFonts w:ascii="宋体" w:hAnsi="宋体"/>
              </w:rPr>
            </w:pPr>
            <w:r>
              <w:rPr>
                <w:rFonts w:ascii="宋体" w:hAnsi="宋体"/>
              </w:rPr>
              <w:t>上述股东关联关系或一致行动的说明</w:t>
            </w:r>
          </w:p>
        </w:tc>
        <w:tc>
          <w:tcPr>
            <w:tcW w:w="6676" w:type="dxa"/>
            <w:gridSpan w:val="7"/>
            <w:shd w:val="clear" w:color="auto" w:fill="auto"/>
            <w:vAlign w:val="center"/>
          </w:tcPr>
          <w:p>
            <w:pPr>
              <w:ind w:firstLine="420" w:firstLineChars="200"/>
              <w:rPr>
                <w:rFonts w:ascii="宋体" w:hAnsi="宋体"/>
              </w:rPr>
            </w:pPr>
            <w:r>
              <w:rPr>
                <w:rFonts w:hint="eastAsia" w:ascii="宋体" w:hAnsi="宋体"/>
              </w:rPr>
              <w:t>山东能源全资子公司兖矿集团</w:t>
            </w:r>
            <w:r>
              <w:rPr>
                <w:rFonts w:ascii="宋体" w:hAnsi="宋体"/>
              </w:rPr>
              <w:t>(香</w:t>
            </w:r>
            <w:r>
              <w:rPr>
                <w:rFonts w:hint="eastAsia" w:ascii="宋体" w:hAnsi="宋体"/>
              </w:rPr>
              <w:t>港</w:t>
            </w:r>
            <w:r>
              <w:rPr>
                <w:rFonts w:ascii="宋体" w:hAnsi="宋体"/>
              </w:rPr>
              <w:t>)有限公司（“兖矿香港公司”）通过香港中央结算（代理人）有限公司持有本</w:t>
            </w:r>
            <w:r>
              <w:rPr>
                <w:rFonts w:hint="eastAsia" w:ascii="宋体" w:hAnsi="宋体"/>
              </w:rPr>
              <w:t>公司</w:t>
            </w:r>
            <w:r>
              <w:rPr>
                <w:rFonts w:ascii="宋体" w:hAnsi="宋体"/>
              </w:rPr>
              <w:t>6.82亿股H股。</w:t>
            </w:r>
          </w:p>
          <w:p>
            <w:pPr>
              <w:ind w:firstLine="420" w:firstLineChars="200"/>
              <w:rPr>
                <w:rFonts w:ascii="宋体" w:hAnsi="宋体"/>
              </w:rPr>
            </w:pPr>
            <w:r>
              <w:rPr>
                <w:rFonts w:hint="eastAsia" w:ascii="宋体" w:hAnsi="宋体"/>
              </w:rPr>
              <w:t>“招商银行股份有限公司－上证红利交易型开放式指数证券投资基金”和“中国工商银行股份有限公司－华泰柏瑞沪深</w:t>
            </w:r>
            <w:r>
              <w:rPr>
                <w:rFonts w:ascii="宋体" w:hAnsi="宋体"/>
              </w:rPr>
              <w:t>300交易型开放式指数证券投资基金”的</w:t>
            </w:r>
            <w:r>
              <w:rPr>
                <w:rFonts w:hint="eastAsia" w:ascii="宋体" w:hAnsi="宋体"/>
              </w:rPr>
              <w:t>基金管理人均为华泰柏瑞基金管理有限公司。</w:t>
            </w:r>
          </w:p>
          <w:p>
            <w:pPr>
              <w:ind w:firstLine="420" w:firstLineChars="200"/>
              <w:rPr>
                <w:rFonts w:ascii="宋体" w:hAnsi="宋体"/>
              </w:rPr>
            </w:pPr>
            <w:r>
              <w:rPr>
                <w:rFonts w:hint="eastAsia" w:ascii="宋体" w:hAnsi="宋体"/>
              </w:rPr>
              <w:t>除此之外，其他股东的关联关系和一致行动关系不详。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90" w:type="dxa"/>
            <w:gridSpan w:val="2"/>
            <w:shd w:val="clear" w:color="auto" w:fill="auto"/>
            <w:vAlign w:val="center"/>
          </w:tcPr>
          <w:p>
            <w:pPr>
              <w:rPr>
                <w:rFonts w:ascii="宋体" w:hAnsi="宋体"/>
              </w:rPr>
            </w:pPr>
            <w:r>
              <w:rPr>
                <w:rFonts w:hint="eastAsia" w:ascii="宋体" w:hAnsi="宋体"/>
              </w:rPr>
              <w:t>表决权恢复的优先股股东及持股数量的说明</w:t>
            </w:r>
          </w:p>
        </w:tc>
        <w:tc>
          <w:tcPr>
            <w:tcW w:w="6676" w:type="dxa"/>
            <w:gridSpan w:val="7"/>
            <w:shd w:val="clear" w:color="auto" w:fill="auto"/>
            <w:vAlign w:val="center"/>
          </w:tcPr>
          <w:p>
            <w:pPr>
              <w:rPr>
                <w:rFonts w:ascii="宋体" w:hAnsi="宋体"/>
              </w:rPr>
            </w:pPr>
            <w:r>
              <w:rPr>
                <w:rFonts w:hint="eastAsia" w:ascii="宋体" w:hAnsi="宋体"/>
              </w:rPr>
              <w:t>不适用</w:t>
            </w:r>
          </w:p>
        </w:tc>
      </w:tr>
    </w:tbl>
    <w:p>
      <w:pPr>
        <w:ind w:firstLine="420" w:firstLineChars="200"/>
        <w:rPr>
          <w:rFonts w:ascii="宋体" w:hAnsi="宋体"/>
        </w:rPr>
      </w:pPr>
      <w:r>
        <w:rPr>
          <w:rFonts w:hint="eastAsia" w:ascii="宋体" w:hAnsi="宋体"/>
        </w:rPr>
        <w:t>注：</w:t>
      </w:r>
    </w:p>
    <w:p>
      <w:pPr>
        <w:ind w:firstLine="420" w:firstLineChars="200"/>
        <w:rPr>
          <w:rFonts w:ascii="宋体" w:hAnsi="宋体"/>
        </w:rPr>
      </w:pPr>
      <w:r>
        <w:rPr>
          <w:rFonts w:hint="eastAsia" w:ascii="宋体" w:hAnsi="宋体"/>
        </w:rPr>
        <w:t>①以上“报告期末普通股股东总数”及“前</w:t>
      </w:r>
      <w:r>
        <w:rPr>
          <w:rFonts w:ascii="宋体" w:hAnsi="宋体"/>
        </w:rPr>
        <w:t>10名股东持股情况、前10名无限售条件股东持股情况”资料，是根据中国证券登记结算有限责任公司上海分公司、香港证券登记有限公司提供的公司股东名册编制。</w:t>
      </w:r>
    </w:p>
    <w:p>
      <w:pPr>
        <w:ind w:firstLine="420" w:firstLineChars="200"/>
        <w:rPr>
          <w:rFonts w:ascii="宋体" w:hAnsi="宋体"/>
        </w:rPr>
      </w:pPr>
      <w:r>
        <w:rPr>
          <w:rFonts w:hint="eastAsia" w:ascii="宋体" w:hAnsi="宋体"/>
        </w:rPr>
        <w:t>②香港中央结算（代理人）有限公司作为公司</w:t>
      </w:r>
      <w:r>
        <w:rPr>
          <w:rFonts w:ascii="宋体" w:hAnsi="宋体"/>
        </w:rPr>
        <w:t>H股的结算公司，以代理人身份持有公司股票。香港中央结算有限公司为公司沪股通股票的名义持有人。</w:t>
      </w:r>
    </w:p>
    <w:p>
      <w:pPr>
        <w:ind w:firstLine="420" w:firstLineChars="200"/>
        <w:rPr>
          <w:rFonts w:ascii="宋体" w:hAnsi="宋体"/>
        </w:rPr>
      </w:pPr>
      <w:r>
        <w:rPr>
          <w:rFonts w:hint="eastAsia" w:ascii="宋体" w:hAnsi="宋体"/>
        </w:rPr>
        <w:t>③截至</w:t>
      </w:r>
      <w:r>
        <w:rPr>
          <w:rFonts w:ascii="宋体" w:hAnsi="宋体"/>
        </w:rPr>
        <w:t>2023年12月31日，山东能源共持有公司A股3,385,986,710股</w:t>
      </w:r>
      <w:r>
        <w:rPr>
          <w:rFonts w:hint="eastAsia" w:ascii="宋体" w:hAnsi="宋体"/>
        </w:rPr>
        <w:t>，包括通过自身账号持有</w:t>
      </w:r>
      <w:r>
        <w:rPr>
          <w:rFonts w:ascii="宋体" w:hAnsi="宋体"/>
        </w:rPr>
        <w:t>3,214,570,932</w:t>
      </w:r>
      <w:r>
        <w:rPr>
          <w:rFonts w:hint="eastAsia" w:ascii="宋体" w:hAnsi="宋体"/>
        </w:rPr>
        <w:t>股，通过可交换公司债券质押专户持有</w:t>
      </w:r>
      <w:r>
        <w:rPr>
          <w:rFonts w:ascii="宋体" w:hAnsi="宋体"/>
        </w:rPr>
        <w:t>171,415,778股；通过兖矿香港公司持有公司H股682,483,500股。山东能源直接和间接持有本公司</w:t>
      </w:r>
      <w:r>
        <w:rPr>
          <w:rFonts w:hint="eastAsia" w:ascii="宋体" w:hAnsi="宋体"/>
        </w:rPr>
        <w:t>股份共</w:t>
      </w:r>
      <w:r>
        <w:rPr>
          <w:rFonts w:ascii="宋体" w:hAnsi="宋体"/>
        </w:rPr>
        <w:t>4,068,470,210股</w:t>
      </w:r>
      <w:r>
        <w:rPr>
          <w:rFonts w:hint="eastAsia" w:ascii="宋体" w:hAnsi="宋体"/>
        </w:rPr>
        <w:t>，占本公司总股本的</w:t>
      </w:r>
      <w:r>
        <w:rPr>
          <w:rFonts w:ascii="宋体" w:hAnsi="宋体"/>
        </w:rPr>
        <w:t>54.69%。</w:t>
      </w:r>
    </w:p>
    <w:p>
      <w:pPr>
        <w:ind w:firstLine="420" w:firstLineChars="200"/>
        <w:rPr>
          <w:rFonts w:ascii="宋体" w:hAnsi="宋体"/>
        </w:rPr>
      </w:pPr>
      <w:r>
        <w:rPr>
          <w:rFonts w:hint="eastAsia" w:ascii="宋体" w:hAnsi="宋体"/>
        </w:rPr>
        <w:t>④2</w:t>
      </w:r>
      <w:r>
        <w:rPr>
          <w:rFonts w:ascii="宋体" w:hAnsi="宋体"/>
        </w:rPr>
        <w:t>023</w:t>
      </w:r>
      <w:r>
        <w:rPr>
          <w:rFonts w:hint="eastAsia" w:ascii="宋体" w:hAnsi="宋体"/>
        </w:rPr>
        <w:t>年1</w:t>
      </w:r>
      <w:r>
        <w:rPr>
          <w:rFonts w:ascii="宋体" w:hAnsi="宋体"/>
        </w:rPr>
        <w:t>1</w:t>
      </w:r>
      <w:r>
        <w:rPr>
          <w:rFonts w:hint="eastAsia" w:ascii="宋体" w:hAnsi="宋体"/>
        </w:rPr>
        <w:t>月2</w:t>
      </w:r>
      <w:r>
        <w:rPr>
          <w:rFonts w:ascii="宋体" w:hAnsi="宋体"/>
        </w:rPr>
        <w:t>8</w:t>
      </w:r>
      <w:r>
        <w:rPr>
          <w:rFonts w:hint="eastAsia" w:ascii="宋体" w:hAnsi="宋体"/>
        </w:rPr>
        <w:t>日，本公司收到控股股东通知，自</w:t>
      </w:r>
      <w:r>
        <w:rPr>
          <w:rFonts w:ascii="宋体" w:hAnsi="宋体"/>
        </w:rPr>
        <w:t>2023年11月30日起12个月内</w:t>
      </w:r>
      <w:r>
        <w:rPr>
          <w:rFonts w:hint="eastAsia" w:ascii="宋体" w:hAnsi="宋体"/>
        </w:rPr>
        <w:t>增持本公司</w:t>
      </w:r>
      <w:r>
        <w:rPr>
          <w:rFonts w:ascii="宋体" w:hAnsi="宋体"/>
        </w:rPr>
        <w:t>A股和H</w:t>
      </w:r>
      <w:r>
        <w:rPr>
          <w:rFonts w:hint="eastAsia" w:ascii="宋体" w:hAnsi="宋体"/>
        </w:rPr>
        <w:t>股股份。截至本报告披露日，2</w:t>
      </w:r>
      <w:r>
        <w:rPr>
          <w:rFonts w:ascii="宋体" w:hAnsi="宋体"/>
        </w:rPr>
        <w:t>024</w:t>
      </w:r>
      <w:r>
        <w:rPr>
          <w:rFonts w:hint="eastAsia" w:ascii="宋体" w:hAnsi="宋体"/>
        </w:rPr>
        <w:t>年山东能源增持公司A股股票</w:t>
      </w:r>
      <w:r>
        <w:rPr>
          <w:rFonts w:ascii="宋体" w:hAnsi="宋体"/>
        </w:rPr>
        <w:t>700,000</w:t>
      </w:r>
      <w:r>
        <w:rPr>
          <w:rFonts w:hint="eastAsia" w:ascii="宋体" w:hAnsi="宋体"/>
        </w:rPr>
        <w:t>股，增持后，山东能源直接和间接持有本公司股份共</w:t>
      </w:r>
      <w:r>
        <w:rPr>
          <w:rFonts w:ascii="宋体" w:hAnsi="宋体"/>
        </w:rPr>
        <w:t>4,069,170,210股，占本公司总股本的54.70%。</w:t>
      </w:r>
    </w:p>
    <w:p>
      <w:pPr>
        <w:rPr>
          <w:rFonts w:ascii="宋体" w:hAnsi="宋体"/>
          <w:u w:val="single"/>
        </w:rPr>
      </w:pPr>
    </w:p>
    <w:p>
      <w:pPr>
        <w:rPr>
          <w:rFonts w:ascii="宋体" w:hAnsi="宋体"/>
        </w:rPr>
      </w:pPr>
      <w:r>
        <w:rPr>
          <w:rFonts w:ascii="宋体" w:hAnsi="宋体"/>
        </w:rPr>
        <w:t>前十名股东</w:t>
      </w:r>
      <w:r>
        <w:rPr>
          <w:rFonts w:hint="eastAsia" w:ascii="宋体" w:hAnsi="宋体"/>
        </w:rPr>
        <w:t>参与转融通业务出借股份情况</w:t>
      </w:r>
    </w:p>
    <w:sdt>
      <w:sdtPr>
        <w:rPr>
          <w:bCs/>
          <w:szCs w:val="21"/>
        </w:rPr>
        <w:alias w:val="是否适用：前十名股东参与转融通业务出借股份情况[双击切换]"/>
        <w:tag w:val="_GBC_2d74b1abb153475cb0679c2ab4305c0d"/>
        <w:id w:val="-2018682003"/>
        <w:placeholder>
          <w:docPart w:val="GBC22222222222222222222222222222"/>
        </w:placeholder>
      </w:sdtPr>
      <w:sdtEndPr>
        <w:rPr>
          <w:bCs/>
          <w:szCs w:val="21"/>
        </w:rPr>
      </w:sdtEndPr>
      <w:sdtContent>
        <w:p>
          <w:pPr>
            <w:pStyle w:val="43"/>
            <w:rPr>
              <w:bCs/>
              <w:szCs w:val="21"/>
            </w:rPr>
          </w:pPr>
          <w:bookmarkStart w:id="159" w:name="_Hlk155094173"/>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bookmarkEnd w:id="159"/>
    <w:p>
      <w:pPr>
        <w:ind w:firstLine="3990" w:firstLineChars="1900"/>
        <w:jc w:val="right"/>
      </w:pPr>
      <w:r>
        <w:rPr>
          <w:bCs/>
        </w:rPr>
        <w:t>单位:</w:t>
      </w:r>
      <w:sdt>
        <w:sdtPr>
          <w:rPr>
            <w:bCs/>
          </w:rPr>
          <w:alias w:val="单位：前十名股东参与转融通业务出借股份情况"/>
          <w:tag w:val="_GBC_45b1047c9cfa42988ad6df85decd719d"/>
          <w:id w:val="-1071502495"/>
          <w:placeholder>
            <w:docPart w:val="3ADA9C39604F442394AA2C0AF0F0AD8F"/>
          </w:placeholder>
          <w:comboBox>
            <w:listItem w:displayText="股" w:value="股"/>
            <w:listItem w:displayText="千股" w:value="千股"/>
            <w:listItem w:displayText="万股" w:value="万股"/>
            <w:listItem w:displayText="百万股" w:value="百万股"/>
            <w:listItem w:displayText="亿股" w:value="亿股"/>
          </w:comboBox>
        </w:sdtPr>
        <w:sdtEndPr>
          <w:rPr>
            <w:bCs/>
          </w:rPr>
        </w:sdtEndPr>
        <w:sdtContent>
          <w:r>
            <w:rPr>
              <w:bCs/>
            </w:rPr>
            <w:t>股</w:t>
          </w:r>
        </w:sdtContent>
      </w:sdt>
    </w:p>
    <w:tbl>
      <w:tblPr>
        <w:tblStyle w:val="37"/>
        <w:tblW w:w="6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1317"/>
        <w:gridCol w:w="874"/>
        <w:gridCol w:w="1165"/>
        <w:gridCol w:w="717"/>
        <w:gridCol w:w="1597"/>
        <w:gridCol w:w="730"/>
        <w:gridCol w:w="1030"/>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sdt>
          <w:sdtPr>
            <w:rPr>
              <w:rFonts w:ascii="宋体" w:hAnsi="宋体"/>
            </w:rPr>
            <w:tag w:val="_PLD_7086b05bd021406bb4c9e7e910ea5965"/>
            <w:id w:val="1718700743"/>
          </w:sdtPr>
          <w:sdtEndPr>
            <w:rPr>
              <w:rFonts w:hint="eastAsia" w:ascii="宋体" w:hAnsi="宋体"/>
            </w:rPr>
          </w:sdtEndPr>
          <w:sdtContent>
            <w:tc>
              <w:tcPr>
                <w:tcW w:w="5000" w:type="pct"/>
                <w:gridSpan w:val="9"/>
              </w:tcPr>
              <w:p>
                <w:pPr>
                  <w:pStyle w:val="15"/>
                  <w:jc w:val="center"/>
                  <w:rPr>
                    <w:rFonts w:ascii="宋体" w:hAnsi="宋体"/>
                  </w:rPr>
                </w:pPr>
                <w:r>
                  <w:rPr>
                    <w:rFonts w:ascii="宋体" w:hAnsi="宋体"/>
                  </w:rPr>
                  <w:t>前十名股东</w:t>
                </w:r>
                <w:r>
                  <w:rPr>
                    <w:rFonts w:hint="eastAsia" w:ascii="宋体" w:hAnsi="宋体"/>
                  </w:rPr>
                  <w:t>参与转融通出借股份情况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sdt>
          <w:sdtPr>
            <w:rPr>
              <w:rFonts w:hint="eastAsia" w:ascii="宋体" w:hAnsi="宋体"/>
            </w:rPr>
            <w:tag w:val="_PLD_6d2138e187cc4bb5bdd149c33a15fb50"/>
            <w:id w:val="-73894780"/>
          </w:sdtPr>
          <w:sdtEndPr>
            <w:rPr>
              <w:rFonts w:hint="eastAsia" w:ascii="宋体" w:hAnsi="宋体"/>
            </w:rPr>
          </w:sdtEndPr>
          <w:sdtContent>
            <w:tc>
              <w:tcPr>
                <w:tcW w:w="1243" w:type="pct"/>
                <w:vMerge w:val="restart"/>
                <w:vAlign w:val="center"/>
              </w:tcPr>
              <w:p>
                <w:pPr>
                  <w:jc w:val="center"/>
                  <w:rPr>
                    <w:rFonts w:ascii="宋体" w:hAnsi="宋体"/>
                  </w:rPr>
                </w:pPr>
                <w:r>
                  <w:rPr>
                    <w:rFonts w:hint="eastAsia" w:ascii="宋体" w:hAnsi="宋体"/>
                  </w:rPr>
                  <w:t>股东名称（全称）</w:t>
                </w:r>
              </w:p>
            </w:tc>
          </w:sdtContent>
        </w:sdt>
        <w:sdt>
          <w:sdtPr>
            <w:rPr>
              <w:rFonts w:hint="eastAsia" w:ascii="宋体" w:hAnsi="宋体"/>
            </w:rPr>
            <w:tag w:val="_PLD_c17c23c6133a438e91726295c5296b1f"/>
            <w:id w:val="1163581592"/>
          </w:sdtPr>
          <w:sdtEndPr>
            <w:rPr>
              <w:rFonts w:hint="eastAsia" w:ascii="宋体" w:hAnsi="宋体"/>
            </w:rPr>
          </w:sdtEndPr>
          <w:sdtContent>
            <w:tc>
              <w:tcPr>
                <w:tcW w:w="988" w:type="pct"/>
                <w:gridSpan w:val="2"/>
                <w:vAlign w:val="center"/>
              </w:tcPr>
              <w:p>
                <w:pPr>
                  <w:jc w:val="center"/>
                  <w:rPr>
                    <w:rFonts w:ascii="宋体" w:hAnsi="宋体"/>
                  </w:rPr>
                </w:pPr>
                <w:r>
                  <w:rPr>
                    <w:rFonts w:hint="eastAsia" w:ascii="宋体" w:hAnsi="宋体"/>
                  </w:rPr>
                  <w:t>期初普通账户、信用账户持股</w:t>
                </w:r>
              </w:p>
            </w:tc>
          </w:sdtContent>
        </w:sdt>
        <w:sdt>
          <w:sdtPr>
            <w:rPr>
              <w:rFonts w:hint="eastAsia" w:ascii="宋体" w:hAnsi="宋体"/>
            </w:rPr>
            <w:tag w:val="_PLD_d95af5a9fd9f42a98557de480caf56db"/>
            <w:id w:val="-1556771623"/>
          </w:sdtPr>
          <w:sdtEndPr>
            <w:rPr>
              <w:rFonts w:hint="eastAsia" w:ascii="宋体" w:hAnsi="宋体"/>
            </w:rPr>
          </w:sdtEndPr>
          <w:sdtContent>
            <w:tc>
              <w:tcPr>
                <w:tcW w:w="848" w:type="pct"/>
                <w:gridSpan w:val="2"/>
                <w:vAlign w:val="center"/>
              </w:tcPr>
              <w:p>
                <w:pPr>
                  <w:jc w:val="center"/>
                  <w:rPr>
                    <w:rFonts w:ascii="宋体" w:hAnsi="宋体"/>
                  </w:rPr>
                </w:pPr>
                <w:r>
                  <w:rPr>
                    <w:rFonts w:hint="eastAsia" w:ascii="宋体" w:hAnsi="宋体"/>
                  </w:rPr>
                  <w:t>期初转融通出借股份且尚未归还</w:t>
                </w:r>
              </w:p>
            </w:tc>
          </w:sdtContent>
        </w:sdt>
        <w:sdt>
          <w:sdtPr>
            <w:rPr>
              <w:rFonts w:ascii="宋体" w:hAnsi="宋体"/>
            </w:rPr>
            <w:tag w:val="_PLD_6b63d68b14654024945e4758d8b8a4e2"/>
            <w:id w:val="-882702523"/>
          </w:sdtPr>
          <w:sdtEndPr>
            <w:rPr>
              <w:rFonts w:ascii="宋体" w:hAnsi="宋体"/>
            </w:rPr>
          </w:sdtEndPr>
          <w:sdtContent>
            <w:tc>
              <w:tcPr>
                <w:tcW w:w="1049" w:type="pct"/>
                <w:gridSpan w:val="2"/>
                <w:vAlign w:val="center"/>
              </w:tcPr>
              <w:p>
                <w:pPr>
                  <w:jc w:val="center"/>
                  <w:rPr>
                    <w:rFonts w:ascii="宋体" w:hAnsi="宋体"/>
                  </w:rPr>
                </w:pPr>
                <w:r>
                  <w:rPr>
                    <w:rFonts w:ascii="宋体" w:hAnsi="宋体"/>
                  </w:rPr>
                  <w:t>期</w:t>
                </w:r>
                <w:r>
                  <w:rPr>
                    <w:rFonts w:hint="eastAsia" w:ascii="宋体" w:hAnsi="宋体"/>
                  </w:rPr>
                  <w:t>末</w:t>
                </w:r>
                <w:r>
                  <w:rPr>
                    <w:rFonts w:ascii="宋体" w:hAnsi="宋体"/>
                  </w:rPr>
                  <w:t>普通账户、信用账户持股</w:t>
                </w:r>
              </w:p>
            </w:tc>
          </w:sdtContent>
        </w:sdt>
        <w:sdt>
          <w:sdtPr>
            <w:rPr>
              <w:rFonts w:ascii="宋体" w:hAnsi="宋体"/>
            </w:rPr>
            <w:tag w:val="_PLD_d655a1c9faba49a29ad6825f0545d539"/>
            <w:id w:val="792877331"/>
          </w:sdtPr>
          <w:sdtEndPr>
            <w:rPr>
              <w:rFonts w:ascii="宋体" w:hAnsi="宋体"/>
            </w:rPr>
          </w:sdtEndPr>
          <w:sdtContent>
            <w:tc>
              <w:tcPr>
                <w:tcW w:w="872" w:type="pct"/>
                <w:gridSpan w:val="2"/>
                <w:vAlign w:val="center"/>
              </w:tcPr>
              <w:p>
                <w:pPr>
                  <w:jc w:val="center"/>
                  <w:rPr>
                    <w:rFonts w:ascii="宋体" w:hAnsi="宋体"/>
                  </w:rPr>
                </w:pPr>
                <w:r>
                  <w:rPr>
                    <w:rFonts w:ascii="宋体" w:hAnsi="宋体"/>
                  </w:rPr>
                  <w:t>期</w:t>
                </w:r>
                <w:r>
                  <w:rPr>
                    <w:rFonts w:hint="eastAsia" w:ascii="宋体" w:hAnsi="宋体"/>
                  </w:rPr>
                  <w:t>末</w:t>
                </w:r>
                <w:r>
                  <w:rPr>
                    <w:rFonts w:ascii="宋体" w:hAnsi="宋体"/>
                  </w:rPr>
                  <w:t>转融通出借股份且尚未归还</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43" w:type="pct"/>
            <w:vMerge w:val="continue"/>
          </w:tcPr>
          <w:p>
            <w:pPr>
              <w:jc w:val="center"/>
              <w:rPr>
                <w:rFonts w:ascii="宋体" w:hAnsi="宋体"/>
              </w:rPr>
            </w:pPr>
          </w:p>
        </w:tc>
        <w:sdt>
          <w:sdtPr>
            <w:rPr>
              <w:rFonts w:ascii="宋体" w:hAnsi="宋体"/>
            </w:rPr>
            <w:tag w:val="_PLD_299fd6773e244284954c72f36df20e2c"/>
            <w:id w:val="-1884860059"/>
          </w:sdtPr>
          <w:sdtEndPr>
            <w:rPr>
              <w:rFonts w:ascii="宋体" w:hAnsi="宋体"/>
            </w:rPr>
          </w:sdtEndPr>
          <w:sdtContent>
            <w:tc>
              <w:tcPr>
                <w:tcW w:w="594" w:type="pct"/>
                <w:vAlign w:val="center"/>
              </w:tcPr>
              <w:p>
                <w:pPr>
                  <w:jc w:val="center"/>
                  <w:rPr>
                    <w:rFonts w:ascii="宋体" w:hAnsi="宋体"/>
                  </w:rPr>
                </w:pPr>
                <w:r>
                  <w:rPr>
                    <w:rFonts w:ascii="宋体" w:hAnsi="宋体"/>
                  </w:rPr>
                  <w:t>数量合计</w:t>
                </w:r>
              </w:p>
            </w:tc>
          </w:sdtContent>
        </w:sdt>
        <w:sdt>
          <w:sdtPr>
            <w:rPr>
              <w:rFonts w:ascii="宋体" w:hAnsi="宋体"/>
            </w:rPr>
            <w:tag w:val="_PLD_e6aadbf704134d34b4abe374387815f9"/>
            <w:id w:val="-210030356"/>
          </w:sdtPr>
          <w:sdtEndPr>
            <w:rPr>
              <w:rFonts w:ascii="宋体" w:hAnsi="宋体"/>
            </w:rPr>
          </w:sdtEndPr>
          <w:sdtContent>
            <w:tc>
              <w:tcPr>
                <w:tcW w:w="394" w:type="pct"/>
                <w:vAlign w:val="center"/>
              </w:tcPr>
              <w:p>
                <w:pPr>
                  <w:jc w:val="center"/>
                  <w:rPr>
                    <w:rFonts w:ascii="宋体" w:hAnsi="宋体"/>
                  </w:rPr>
                </w:pPr>
                <w:r>
                  <w:rPr>
                    <w:rFonts w:ascii="宋体" w:hAnsi="宋体"/>
                  </w:rPr>
                  <w:t>比例（%）</w:t>
                </w:r>
              </w:p>
            </w:tc>
          </w:sdtContent>
        </w:sdt>
        <w:sdt>
          <w:sdtPr>
            <w:rPr>
              <w:rFonts w:ascii="宋体" w:hAnsi="宋体"/>
            </w:rPr>
            <w:tag w:val="_PLD_728d888d2b5f4c16a8214c6e1da2ecf1"/>
            <w:id w:val="787703180"/>
          </w:sdtPr>
          <w:sdtEndPr>
            <w:rPr>
              <w:rFonts w:ascii="宋体" w:hAnsi="宋体"/>
            </w:rPr>
          </w:sdtEndPr>
          <w:sdtContent>
            <w:tc>
              <w:tcPr>
                <w:tcW w:w="525" w:type="pct"/>
                <w:vAlign w:val="center"/>
              </w:tcPr>
              <w:p>
                <w:pPr>
                  <w:jc w:val="center"/>
                  <w:rPr>
                    <w:rFonts w:ascii="宋体" w:hAnsi="宋体"/>
                  </w:rPr>
                </w:pPr>
                <w:r>
                  <w:rPr>
                    <w:rFonts w:ascii="宋体" w:hAnsi="宋体"/>
                  </w:rPr>
                  <w:t>数量合计</w:t>
                </w:r>
              </w:p>
            </w:tc>
          </w:sdtContent>
        </w:sdt>
        <w:sdt>
          <w:sdtPr>
            <w:rPr>
              <w:rFonts w:ascii="宋体" w:hAnsi="宋体"/>
            </w:rPr>
            <w:tag w:val="_PLD_956867d16d6b4f968d6971930b4bb71e"/>
            <w:id w:val="289488822"/>
          </w:sdtPr>
          <w:sdtEndPr>
            <w:rPr>
              <w:rFonts w:ascii="宋体" w:hAnsi="宋体"/>
            </w:rPr>
          </w:sdtEndPr>
          <w:sdtContent>
            <w:tc>
              <w:tcPr>
                <w:tcW w:w="323" w:type="pct"/>
                <w:vAlign w:val="center"/>
              </w:tcPr>
              <w:p>
                <w:pPr>
                  <w:jc w:val="center"/>
                  <w:rPr>
                    <w:rFonts w:ascii="宋体" w:hAnsi="宋体"/>
                  </w:rPr>
                </w:pPr>
                <w:r>
                  <w:rPr>
                    <w:rFonts w:ascii="宋体" w:hAnsi="宋体"/>
                  </w:rPr>
                  <w:t>比例（%）</w:t>
                </w:r>
              </w:p>
            </w:tc>
          </w:sdtContent>
        </w:sdt>
        <w:sdt>
          <w:sdtPr>
            <w:rPr>
              <w:rFonts w:ascii="宋体" w:hAnsi="宋体"/>
            </w:rPr>
            <w:tag w:val="_PLD_129ed1fcec814740afbcfb8af27530a7"/>
            <w:id w:val="-1921406743"/>
          </w:sdtPr>
          <w:sdtEndPr>
            <w:rPr>
              <w:rFonts w:ascii="宋体" w:hAnsi="宋体"/>
            </w:rPr>
          </w:sdtEndPr>
          <w:sdtContent>
            <w:tc>
              <w:tcPr>
                <w:tcW w:w="720" w:type="pct"/>
                <w:vAlign w:val="center"/>
              </w:tcPr>
              <w:p>
                <w:pPr>
                  <w:jc w:val="center"/>
                  <w:rPr>
                    <w:rFonts w:ascii="宋体" w:hAnsi="宋体"/>
                  </w:rPr>
                </w:pPr>
                <w:r>
                  <w:rPr>
                    <w:rFonts w:ascii="宋体" w:hAnsi="宋体"/>
                  </w:rPr>
                  <w:t>数量合计</w:t>
                </w:r>
              </w:p>
            </w:tc>
          </w:sdtContent>
        </w:sdt>
        <w:sdt>
          <w:sdtPr>
            <w:rPr>
              <w:rFonts w:ascii="宋体" w:hAnsi="宋体"/>
            </w:rPr>
            <w:tag w:val="_PLD_47d572e9abcd42b48d55e923765fd6b6"/>
            <w:id w:val="1418527912"/>
          </w:sdtPr>
          <w:sdtEndPr>
            <w:rPr>
              <w:rFonts w:ascii="宋体" w:hAnsi="宋体"/>
            </w:rPr>
          </w:sdtEndPr>
          <w:sdtContent>
            <w:tc>
              <w:tcPr>
                <w:tcW w:w="329" w:type="pct"/>
                <w:vAlign w:val="center"/>
              </w:tcPr>
              <w:p>
                <w:pPr>
                  <w:jc w:val="center"/>
                  <w:rPr>
                    <w:rFonts w:ascii="宋体" w:hAnsi="宋体"/>
                  </w:rPr>
                </w:pPr>
                <w:r>
                  <w:rPr>
                    <w:rFonts w:ascii="宋体" w:hAnsi="宋体"/>
                  </w:rPr>
                  <w:t>比例（%）</w:t>
                </w:r>
              </w:p>
            </w:tc>
          </w:sdtContent>
        </w:sdt>
        <w:sdt>
          <w:sdtPr>
            <w:rPr>
              <w:rFonts w:ascii="宋体" w:hAnsi="宋体"/>
            </w:rPr>
            <w:tag w:val="_PLD_64e37b7954214edba724378f24a4ec7d"/>
            <w:id w:val="-650446208"/>
          </w:sdtPr>
          <w:sdtEndPr>
            <w:rPr>
              <w:rFonts w:ascii="宋体" w:hAnsi="宋体"/>
            </w:rPr>
          </w:sdtEndPr>
          <w:sdtContent>
            <w:tc>
              <w:tcPr>
                <w:tcW w:w="464" w:type="pct"/>
                <w:vAlign w:val="center"/>
              </w:tcPr>
              <w:p>
                <w:pPr>
                  <w:jc w:val="center"/>
                  <w:rPr>
                    <w:rFonts w:ascii="宋体" w:hAnsi="宋体"/>
                  </w:rPr>
                </w:pPr>
                <w:r>
                  <w:rPr>
                    <w:rFonts w:ascii="宋体" w:hAnsi="宋体"/>
                  </w:rPr>
                  <w:t>数量合计</w:t>
                </w:r>
              </w:p>
            </w:tc>
          </w:sdtContent>
        </w:sdt>
        <w:sdt>
          <w:sdtPr>
            <w:rPr>
              <w:rFonts w:ascii="宋体" w:hAnsi="宋体"/>
            </w:rPr>
            <w:tag w:val="_PLD_09a65d84a1624926b2c619b9a5ae29b5"/>
            <w:id w:val="2066684404"/>
          </w:sdtPr>
          <w:sdtEndPr>
            <w:rPr>
              <w:rFonts w:ascii="宋体" w:hAnsi="宋体"/>
            </w:rPr>
          </w:sdtEndPr>
          <w:sdtContent>
            <w:tc>
              <w:tcPr>
                <w:tcW w:w="408" w:type="pct"/>
                <w:vAlign w:val="center"/>
              </w:tcPr>
              <w:p>
                <w:pPr>
                  <w:jc w:val="center"/>
                  <w:rPr>
                    <w:rFonts w:ascii="宋体" w:hAnsi="宋体"/>
                  </w:rPr>
                </w:pPr>
                <w:r>
                  <w:rPr>
                    <w:rFonts w:ascii="宋体" w:hAnsi="宋体"/>
                  </w:rPr>
                  <w:t>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vAlign w:val="center"/>
          </w:tcPr>
          <w:p>
            <w:pPr>
              <w:jc w:val="left"/>
              <w:rPr>
                <w:rFonts w:ascii="宋体" w:hAnsi="宋体"/>
              </w:rPr>
            </w:pPr>
            <w:r>
              <w:rPr>
                <w:rFonts w:hint="eastAsia" w:ascii="宋体" w:hAnsi="宋体"/>
              </w:rPr>
              <w:t>全国社保基金一一七组合</w:t>
            </w:r>
          </w:p>
        </w:tc>
        <w:tc>
          <w:tcPr>
            <w:tcW w:w="5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15,408,844</w:t>
            </w:r>
          </w:p>
        </w:tc>
        <w:tc>
          <w:tcPr>
            <w:tcW w:w="3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 xml:space="preserve">0.31 </w:t>
            </w:r>
          </w:p>
        </w:tc>
        <w:tc>
          <w:tcPr>
            <w:tcW w:w="52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0</w:t>
            </w:r>
          </w:p>
        </w:tc>
        <w:tc>
          <w:tcPr>
            <w:tcW w:w="32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0</w:t>
            </w:r>
          </w:p>
        </w:tc>
        <w:tc>
          <w:tcPr>
            <w:tcW w:w="720" w:type="pct"/>
            <w:tcBorders>
              <w:top w:val="single" w:color="auto" w:sz="4" w:space="0"/>
              <w:left w:val="single" w:color="auto" w:sz="4" w:space="0"/>
              <w:bottom w:val="single" w:color="auto" w:sz="4" w:space="0"/>
              <w:right w:val="single" w:color="auto" w:sz="4" w:space="0"/>
            </w:tcBorders>
            <w:vAlign w:val="center"/>
          </w:tcPr>
          <w:p>
            <w:pPr>
              <w:ind w:right="210"/>
              <w:jc w:val="right"/>
              <w:rPr>
                <w:rFonts w:ascii="宋体" w:hAnsi="宋体"/>
              </w:rPr>
            </w:pPr>
            <w:r>
              <w:rPr>
                <w:rFonts w:hint="eastAsia" w:ascii="宋体" w:hAnsi="宋体"/>
              </w:rPr>
              <w:t>23,930,766</w:t>
            </w:r>
          </w:p>
        </w:tc>
        <w:tc>
          <w:tcPr>
            <w:tcW w:w="32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 xml:space="preserve">0.32 </w:t>
            </w:r>
          </w:p>
        </w:tc>
        <w:tc>
          <w:tcPr>
            <w:tcW w:w="46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82,500</w:t>
            </w:r>
          </w:p>
        </w:tc>
        <w:tc>
          <w:tcPr>
            <w:tcW w:w="40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pct"/>
            <w:vAlign w:val="center"/>
          </w:tcPr>
          <w:p>
            <w:pPr>
              <w:jc w:val="left"/>
              <w:rPr>
                <w:rFonts w:ascii="宋体" w:hAnsi="宋体"/>
              </w:rPr>
            </w:pPr>
            <w:r>
              <w:rPr>
                <w:rFonts w:hint="eastAsia" w:ascii="宋体" w:hAnsi="宋体"/>
              </w:rPr>
              <w:t>中国工商银行股份有限公司－华泰柏瑞沪深300交易型开放式指数证券投资基金</w:t>
            </w:r>
          </w:p>
        </w:tc>
        <w:tc>
          <w:tcPr>
            <w:tcW w:w="5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3,429,610</w:t>
            </w:r>
          </w:p>
        </w:tc>
        <w:tc>
          <w:tcPr>
            <w:tcW w:w="3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 xml:space="preserve">0.07 </w:t>
            </w:r>
          </w:p>
        </w:tc>
        <w:tc>
          <w:tcPr>
            <w:tcW w:w="52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368,000</w:t>
            </w:r>
          </w:p>
        </w:tc>
        <w:tc>
          <w:tcPr>
            <w:tcW w:w="32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0.01</w:t>
            </w:r>
          </w:p>
        </w:tc>
        <w:tc>
          <w:tcPr>
            <w:tcW w:w="720" w:type="pct"/>
            <w:tcBorders>
              <w:top w:val="single" w:color="auto" w:sz="4" w:space="0"/>
              <w:left w:val="single" w:color="auto" w:sz="4" w:space="0"/>
              <w:bottom w:val="single" w:color="auto" w:sz="4" w:space="0"/>
              <w:right w:val="single" w:color="auto" w:sz="4" w:space="0"/>
            </w:tcBorders>
            <w:vAlign w:val="center"/>
          </w:tcPr>
          <w:p>
            <w:pPr>
              <w:ind w:right="210"/>
              <w:jc w:val="right"/>
              <w:rPr>
                <w:rFonts w:ascii="宋体" w:hAnsi="宋体"/>
              </w:rPr>
            </w:pPr>
            <w:r>
              <w:rPr>
                <w:rFonts w:hint="eastAsia" w:ascii="宋体" w:hAnsi="宋体"/>
              </w:rPr>
              <w:t>9,545,775</w:t>
            </w:r>
          </w:p>
        </w:tc>
        <w:tc>
          <w:tcPr>
            <w:tcW w:w="32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 xml:space="preserve">0.13 </w:t>
            </w:r>
          </w:p>
        </w:tc>
        <w:tc>
          <w:tcPr>
            <w:tcW w:w="46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696,300</w:t>
            </w:r>
          </w:p>
        </w:tc>
        <w:tc>
          <w:tcPr>
            <w:tcW w:w="40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 xml:space="preserve">0.01 </w:t>
            </w:r>
          </w:p>
        </w:tc>
      </w:tr>
    </w:tbl>
    <w:p>
      <w:pPr>
        <w:pStyle w:val="501"/>
      </w:pPr>
    </w:p>
    <w:p>
      <w:pPr>
        <w:pStyle w:val="43"/>
      </w:pPr>
    </w:p>
    <w:p>
      <w:pPr>
        <w:rPr>
          <w:rFonts w:ascii="宋体" w:hAnsi="宋体"/>
        </w:rPr>
      </w:pPr>
      <w:r>
        <w:rPr>
          <w:rFonts w:ascii="宋体" w:hAnsi="宋体"/>
        </w:rPr>
        <w:t>前十名股东</w:t>
      </w:r>
      <w:r>
        <w:rPr>
          <w:rFonts w:hint="eastAsia" w:ascii="宋体" w:hAnsi="宋体"/>
        </w:rPr>
        <w:t>较上期发生变化</w:t>
      </w:r>
    </w:p>
    <w:sdt>
      <w:sdtPr>
        <w:rPr>
          <w:rFonts w:hint="eastAsia" w:ascii="宋体" w:hAnsi="宋体"/>
        </w:rPr>
        <w:alias w:val="是否适用：前十名股东较上期发生变化[双击切换]"/>
        <w:tag w:val="_GBC_610830f75bf04d59a67019ded47646e5"/>
        <w:id w:val="65464100"/>
        <w:placeholder>
          <w:docPart w:val="GBC22222222222222222222222222222"/>
        </w:placeholder>
      </w:sdtPr>
      <w:sdtEndPr>
        <w:rPr>
          <w:rFonts w:hint="eastAsia" w:ascii="宋体" w:hAnsi="宋体"/>
        </w:rPr>
      </w:sdtEndPr>
      <w:sdtContent>
        <w:p>
          <w:pPr>
            <w:rPr>
              <w:rFonts w:ascii="宋体" w:hAnsi="宋体"/>
            </w:rPr>
          </w:pPr>
          <w:bookmarkStart w:id="160" w:name="_Hlk155094189"/>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firstLine="3990" w:firstLineChars="1900"/>
        <w:jc w:val="right"/>
        <w:rPr>
          <w:rFonts w:ascii="宋体" w:hAnsi="宋体"/>
        </w:rPr>
      </w:pPr>
      <w:r>
        <w:rPr>
          <w:rFonts w:ascii="宋体" w:hAnsi="宋体"/>
          <w:bCs/>
        </w:rPr>
        <w:t>单位:</w:t>
      </w:r>
      <w:sdt>
        <w:sdtPr>
          <w:rPr>
            <w:rFonts w:ascii="宋体" w:hAnsi="宋体"/>
            <w:bCs/>
          </w:rPr>
          <w:alias w:val="单位：前十名股东较上期发生变化"/>
          <w:tag w:val="_GBC_2e2345e201c045cbaec550c5344158ba"/>
          <w:id w:val="-954780318"/>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rPr>
            <w:rFonts w:ascii="宋体" w:hAnsi="宋体"/>
            <w:bCs/>
          </w:rPr>
        </w:sdtEndPr>
        <w:sdtContent>
          <w:r>
            <w:rPr>
              <w:rFonts w:ascii="宋体" w:hAnsi="宋体"/>
              <w:bCs/>
            </w:rPr>
            <w:t>股</w:t>
          </w:r>
        </w:sdtContent>
      </w:sdt>
    </w:p>
    <w:tbl>
      <w:tblPr>
        <w:tblStyle w:val="135"/>
        <w:tblW w:w="57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9"/>
        <w:gridCol w:w="1235"/>
        <w:gridCol w:w="1406"/>
        <w:gridCol w:w="1147"/>
        <w:gridCol w:w="2408"/>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sdt>
          <w:sdtPr>
            <w:rPr>
              <w:rFonts w:ascii="宋体" w:hAnsi="宋体"/>
            </w:rPr>
            <w:tag w:val="_PLD_51eb60cfc0e345eda1874e4575b3c0bb"/>
            <w:id w:val="859015562"/>
          </w:sdtPr>
          <w:sdtEndPr>
            <w:rPr>
              <w:rFonts w:ascii="宋体" w:hAnsi="宋体"/>
            </w:rPr>
          </w:sdtEndPr>
          <w:sdtContent>
            <w:tc>
              <w:tcPr>
                <w:tcW w:w="5000" w:type="pct"/>
                <w:gridSpan w:val="6"/>
              </w:tcPr>
              <w:p>
                <w:pPr>
                  <w:pStyle w:val="15"/>
                  <w:jc w:val="center"/>
                  <w:rPr>
                    <w:rFonts w:ascii="宋体" w:hAnsi="宋体"/>
                  </w:rPr>
                </w:pPr>
                <w:r>
                  <w:rPr>
                    <w:rFonts w:ascii="宋体" w:hAnsi="宋体"/>
                  </w:rPr>
                  <w:t>前十名股东</w:t>
                </w:r>
                <w:r>
                  <w:rPr>
                    <w:rFonts w:hint="eastAsia" w:ascii="宋体" w:hAnsi="宋体"/>
                  </w:rPr>
                  <w:t>较上期末变化</w:t>
                </w:r>
                <w:r>
                  <w:rPr>
                    <w:rFonts w:ascii="宋体" w:hAnsi="宋体"/>
                  </w:rPr>
                  <w:t>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sdt>
          <w:sdtPr>
            <w:rPr>
              <w:rFonts w:ascii="宋体" w:hAnsi="宋体"/>
            </w:rPr>
            <w:tag w:val="_PLD_7a9fa5bc6c434f078e8093637cfd2dcb"/>
            <w:id w:val="-669873212"/>
          </w:sdtPr>
          <w:sdtEndPr>
            <w:rPr>
              <w:rFonts w:hint="eastAsia" w:ascii="宋体" w:hAnsi="宋体"/>
            </w:rPr>
          </w:sdtEndPr>
          <w:sdtContent>
            <w:tc>
              <w:tcPr>
                <w:tcW w:w="1376" w:type="pct"/>
                <w:vMerge w:val="restart"/>
                <w:shd w:val="clear" w:color="auto" w:fill="auto"/>
                <w:vAlign w:val="center"/>
              </w:tcPr>
              <w:p>
                <w:pPr>
                  <w:jc w:val="center"/>
                  <w:rPr>
                    <w:rFonts w:ascii="宋体" w:hAnsi="宋体"/>
                  </w:rPr>
                </w:pPr>
                <w:r>
                  <w:rPr>
                    <w:rFonts w:ascii="宋体" w:hAnsi="宋体"/>
                  </w:rPr>
                  <w:t>股东名称</w:t>
                </w:r>
                <w:r>
                  <w:rPr>
                    <w:rFonts w:hint="eastAsia" w:ascii="宋体" w:hAnsi="宋体"/>
                  </w:rPr>
                  <w:t>（全称）</w:t>
                </w:r>
              </w:p>
            </w:tc>
          </w:sdtContent>
        </w:sdt>
        <w:sdt>
          <w:sdtPr>
            <w:rPr>
              <w:rFonts w:hint="eastAsia" w:ascii="宋体" w:hAnsi="宋体"/>
            </w:rPr>
            <w:tag w:val="_PLD_e3ee28fd5d6448a186c343b94bb825b8"/>
            <w:id w:val="1210462884"/>
          </w:sdtPr>
          <w:sdtEndPr>
            <w:rPr>
              <w:rFonts w:hint="eastAsia" w:ascii="宋体" w:hAnsi="宋体"/>
            </w:rPr>
          </w:sdtEndPr>
          <w:sdtContent>
            <w:tc>
              <w:tcPr>
                <w:tcW w:w="590" w:type="pct"/>
                <w:vMerge w:val="restart"/>
                <w:shd w:val="clear" w:color="auto" w:fill="auto"/>
                <w:vAlign w:val="center"/>
              </w:tcPr>
              <w:p>
                <w:pPr>
                  <w:jc w:val="center"/>
                  <w:rPr>
                    <w:rFonts w:ascii="宋体" w:hAnsi="宋体"/>
                  </w:rPr>
                </w:pPr>
                <w:r>
                  <w:rPr>
                    <w:rFonts w:hint="eastAsia" w:ascii="宋体" w:hAnsi="宋体"/>
                  </w:rPr>
                  <w:t>本报告期新增/退出</w:t>
                </w:r>
              </w:p>
            </w:tc>
          </w:sdtContent>
        </w:sdt>
        <w:sdt>
          <w:sdtPr>
            <w:rPr>
              <w:rFonts w:hint="eastAsia" w:ascii="宋体" w:hAnsi="宋体"/>
            </w:rPr>
            <w:tag w:val="_PLD_cfec23d275a1487ea21e1d9f193811de"/>
            <w:id w:val="-43831766"/>
          </w:sdtPr>
          <w:sdtEndPr>
            <w:rPr>
              <w:rFonts w:hint="eastAsia" w:ascii="宋体" w:hAnsi="宋体"/>
            </w:rPr>
          </w:sdtEndPr>
          <w:sdtContent>
            <w:tc>
              <w:tcPr>
                <w:tcW w:w="1220" w:type="pct"/>
                <w:gridSpan w:val="2"/>
                <w:shd w:val="clear" w:color="auto" w:fill="auto"/>
                <w:vAlign w:val="center"/>
              </w:tcPr>
              <w:p>
                <w:pPr>
                  <w:jc w:val="center"/>
                  <w:rPr>
                    <w:rFonts w:ascii="宋体" w:hAnsi="宋体"/>
                  </w:rPr>
                </w:pPr>
                <w:r>
                  <w:rPr>
                    <w:rFonts w:hint="eastAsia" w:ascii="宋体" w:hAnsi="宋体"/>
                  </w:rPr>
                  <w:t>期末转融通出借股份且尚未归还数量</w:t>
                </w:r>
              </w:p>
            </w:tc>
          </w:sdtContent>
        </w:sdt>
        <w:sdt>
          <w:sdtPr>
            <w:rPr>
              <w:rFonts w:hint="eastAsia" w:ascii="宋体" w:hAnsi="宋体"/>
            </w:rPr>
            <w:tag w:val="_PLD_97598607938142ba9df407815c42c99e"/>
            <w:id w:val="1609933065"/>
          </w:sdtPr>
          <w:sdtEndPr>
            <w:rPr>
              <w:rFonts w:hint="eastAsia" w:ascii="宋体" w:hAnsi="宋体"/>
            </w:rPr>
          </w:sdtEndPr>
          <w:sdtContent>
            <w:tc>
              <w:tcPr>
                <w:tcW w:w="1814" w:type="pct"/>
                <w:gridSpan w:val="2"/>
                <w:vAlign w:val="center"/>
              </w:tcPr>
              <w:p>
                <w:pPr>
                  <w:jc w:val="center"/>
                  <w:rPr>
                    <w:rFonts w:ascii="宋体" w:hAnsi="宋体"/>
                  </w:rPr>
                </w:pPr>
                <w:r>
                  <w:rPr>
                    <w:rFonts w:hint="eastAsia" w:ascii="宋体" w:hAnsi="宋体"/>
                  </w:rPr>
                  <w:t>期末股东普通账户、信用账户持股以及转融通出借尚未归还的股份数量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76" w:type="pct"/>
            <w:vMerge w:val="continue"/>
            <w:shd w:val="clear" w:color="auto" w:fill="auto"/>
            <w:vAlign w:val="center"/>
          </w:tcPr>
          <w:p>
            <w:pPr>
              <w:rPr>
                <w:rFonts w:ascii="宋体" w:hAnsi="宋体"/>
              </w:rPr>
            </w:pPr>
          </w:p>
        </w:tc>
        <w:tc>
          <w:tcPr>
            <w:tcW w:w="590" w:type="pct"/>
            <w:vMerge w:val="continue"/>
            <w:shd w:val="clear" w:color="auto" w:fill="auto"/>
            <w:vAlign w:val="center"/>
          </w:tcPr>
          <w:p>
            <w:pPr>
              <w:jc w:val="right"/>
              <w:rPr>
                <w:rFonts w:ascii="宋体" w:hAnsi="宋体"/>
                <w:color w:val="FF9900"/>
              </w:rPr>
            </w:pPr>
          </w:p>
        </w:tc>
        <w:sdt>
          <w:sdtPr>
            <w:rPr>
              <w:rFonts w:ascii="宋体" w:hAnsi="宋体"/>
            </w:rPr>
            <w:tag w:val="_PLD_d1f1e669417848eba2ff4f136060710d"/>
            <w:id w:val="693495196"/>
          </w:sdtPr>
          <w:sdtEndPr>
            <w:rPr>
              <w:rFonts w:ascii="宋体" w:hAnsi="宋体"/>
            </w:rPr>
          </w:sdtEndPr>
          <w:sdtContent>
            <w:tc>
              <w:tcPr>
                <w:tcW w:w="672" w:type="pct"/>
                <w:shd w:val="clear" w:color="auto" w:fill="auto"/>
                <w:vAlign w:val="center"/>
              </w:tcPr>
              <w:p>
                <w:pPr>
                  <w:jc w:val="center"/>
                  <w:rPr>
                    <w:rFonts w:ascii="宋体" w:hAnsi="宋体"/>
                  </w:rPr>
                </w:pPr>
                <w:r>
                  <w:rPr>
                    <w:rFonts w:ascii="宋体" w:hAnsi="宋体"/>
                  </w:rPr>
                  <w:t>数量合计</w:t>
                </w:r>
              </w:p>
            </w:tc>
          </w:sdtContent>
        </w:sdt>
        <w:sdt>
          <w:sdtPr>
            <w:rPr>
              <w:rFonts w:ascii="宋体" w:hAnsi="宋体"/>
            </w:rPr>
            <w:tag w:val="_PLD_93d96facd39f42369d9eb75dbaabd84a"/>
            <w:id w:val="75565156"/>
          </w:sdtPr>
          <w:sdtEndPr>
            <w:rPr>
              <w:rFonts w:ascii="宋体" w:hAnsi="宋体"/>
            </w:rPr>
          </w:sdtEndPr>
          <w:sdtContent>
            <w:tc>
              <w:tcPr>
                <w:tcW w:w="548" w:type="pct"/>
                <w:shd w:val="clear" w:color="auto" w:fill="auto"/>
                <w:vAlign w:val="center"/>
              </w:tcPr>
              <w:p>
                <w:pPr>
                  <w:jc w:val="center"/>
                  <w:rPr>
                    <w:rFonts w:ascii="宋体" w:hAnsi="宋体"/>
                  </w:rPr>
                </w:pPr>
                <w:r>
                  <w:rPr>
                    <w:rFonts w:ascii="宋体" w:hAnsi="宋体"/>
                  </w:rPr>
                  <w:t>比例（%）</w:t>
                </w:r>
              </w:p>
            </w:tc>
          </w:sdtContent>
        </w:sdt>
        <w:sdt>
          <w:sdtPr>
            <w:rPr>
              <w:rFonts w:ascii="宋体" w:hAnsi="宋体"/>
            </w:rPr>
            <w:tag w:val="_PLD_abb18a49da9944b29de9515b911fb9d0"/>
            <w:id w:val="928012375"/>
          </w:sdtPr>
          <w:sdtEndPr>
            <w:rPr>
              <w:rFonts w:ascii="宋体" w:hAnsi="宋体"/>
            </w:rPr>
          </w:sdtEndPr>
          <w:sdtContent>
            <w:tc>
              <w:tcPr>
                <w:tcW w:w="1151" w:type="pct"/>
                <w:vAlign w:val="center"/>
              </w:tcPr>
              <w:p>
                <w:pPr>
                  <w:jc w:val="center"/>
                  <w:rPr>
                    <w:rFonts w:ascii="宋体" w:hAnsi="宋体"/>
                  </w:rPr>
                </w:pPr>
                <w:r>
                  <w:rPr>
                    <w:rFonts w:ascii="宋体" w:hAnsi="宋体"/>
                  </w:rPr>
                  <w:t>数量合计</w:t>
                </w:r>
              </w:p>
            </w:tc>
          </w:sdtContent>
        </w:sdt>
        <w:sdt>
          <w:sdtPr>
            <w:rPr>
              <w:rFonts w:ascii="宋体" w:hAnsi="宋体"/>
            </w:rPr>
            <w:tag w:val="_PLD_ddee7e13ede244949eadc75aa0e166db"/>
            <w:id w:val="1416352276"/>
          </w:sdtPr>
          <w:sdtEndPr>
            <w:rPr>
              <w:rFonts w:ascii="宋体" w:hAnsi="宋体"/>
            </w:rPr>
          </w:sdtEndPr>
          <w:sdtContent>
            <w:tc>
              <w:tcPr>
                <w:tcW w:w="663" w:type="pct"/>
                <w:vAlign w:val="center"/>
              </w:tcPr>
              <w:p>
                <w:pPr>
                  <w:jc w:val="center"/>
                  <w:rPr>
                    <w:rFonts w:ascii="宋体" w:hAnsi="宋体"/>
                  </w:rPr>
                </w:pPr>
                <w:r>
                  <w:rPr>
                    <w:rFonts w:ascii="宋体" w:hAnsi="宋体"/>
                  </w:rPr>
                  <w:t>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76" w:type="pct"/>
            <w:shd w:val="clear" w:color="auto" w:fill="auto"/>
            <w:vAlign w:val="center"/>
          </w:tcPr>
          <w:p>
            <w:pPr>
              <w:rPr>
                <w:rFonts w:ascii="宋体" w:hAnsi="宋体"/>
              </w:rPr>
            </w:pPr>
            <w:r>
              <w:rPr>
                <w:rFonts w:hint="eastAsia" w:ascii="宋体" w:hAnsi="宋体"/>
              </w:rPr>
              <w:t>华夏人寿保险股份有限公司－自有资金</w:t>
            </w:r>
          </w:p>
        </w:tc>
        <w:tc>
          <w:tcPr>
            <w:tcW w:w="590" w:type="pct"/>
            <w:shd w:val="clear" w:color="auto" w:fill="auto"/>
            <w:vAlign w:val="center"/>
          </w:tcPr>
          <w:p>
            <w:pPr>
              <w:jc w:val="center"/>
              <w:rPr>
                <w:rFonts w:ascii="宋体" w:hAnsi="宋体"/>
              </w:rPr>
            </w:pPr>
            <w:r>
              <w:rPr>
                <w:rFonts w:hint="eastAsia" w:ascii="宋体" w:hAnsi="宋体"/>
              </w:rPr>
              <w:t>新增</w:t>
            </w:r>
          </w:p>
        </w:tc>
        <w:tc>
          <w:tcPr>
            <w:tcW w:w="672" w:type="pct"/>
            <w:shd w:val="clear" w:color="auto" w:fill="auto"/>
            <w:vAlign w:val="center"/>
          </w:tcPr>
          <w:p>
            <w:pPr>
              <w:jc w:val="right"/>
              <w:rPr>
                <w:rFonts w:ascii="宋体" w:hAnsi="宋体"/>
              </w:rPr>
            </w:pPr>
            <w:r>
              <w:rPr>
                <w:rFonts w:hint="eastAsia" w:ascii="宋体" w:hAnsi="宋体"/>
              </w:rPr>
              <w:t>-</w:t>
            </w:r>
          </w:p>
        </w:tc>
        <w:tc>
          <w:tcPr>
            <w:tcW w:w="548" w:type="pct"/>
            <w:shd w:val="clear" w:color="auto" w:fill="auto"/>
            <w:vAlign w:val="center"/>
          </w:tcPr>
          <w:p>
            <w:pPr>
              <w:jc w:val="right"/>
              <w:rPr>
                <w:rFonts w:ascii="宋体" w:hAnsi="宋体"/>
              </w:rPr>
            </w:pPr>
            <w:r>
              <w:rPr>
                <w:rFonts w:hint="eastAsia" w:ascii="宋体" w:hAnsi="宋体"/>
              </w:rPr>
              <w:t>-</w:t>
            </w:r>
          </w:p>
        </w:tc>
        <w:tc>
          <w:tcPr>
            <w:tcW w:w="1151" w:type="pct"/>
            <w:vAlign w:val="center"/>
          </w:tcPr>
          <w:p>
            <w:pPr>
              <w:jc w:val="right"/>
              <w:rPr>
                <w:rFonts w:ascii="宋体" w:hAnsi="宋体"/>
              </w:rPr>
            </w:pPr>
            <w:r>
              <w:rPr>
                <w:rFonts w:ascii="宋体" w:hAnsi="宋体"/>
              </w:rPr>
              <w:t>17,899,950</w:t>
            </w:r>
          </w:p>
        </w:tc>
        <w:tc>
          <w:tcPr>
            <w:tcW w:w="663" w:type="pct"/>
            <w:vAlign w:val="center"/>
          </w:tcPr>
          <w:p>
            <w:pPr>
              <w:jc w:val="right"/>
              <w:rPr>
                <w:rFonts w:ascii="宋体" w:hAnsi="宋体"/>
              </w:rPr>
            </w:pPr>
            <w:r>
              <w:rPr>
                <w:rFonts w:ascii="宋体" w:hAnsi="宋体"/>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76" w:type="pct"/>
            <w:shd w:val="clear" w:color="auto" w:fill="auto"/>
            <w:vAlign w:val="center"/>
          </w:tcPr>
          <w:p>
            <w:pPr>
              <w:rPr>
                <w:rFonts w:ascii="宋体" w:hAnsi="宋体"/>
              </w:rPr>
            </w:pPr>
            <w:r>
              <w:rPr>
                <w:rFonts w:hint="eastAsia" w:ascii="宋体" w:hAnsi="宋体"/>
              </w:rPr>
              <w:t>澳门金融管理局－自有资金</w:t>
            </w:r>
          </w:p>
        </w:tc>
        <w:tc>
          <w:tcPr>
            <w:tcW w:w="590" w:type="pct"/>
            <w:shd w:val="clear" w:color="auto" w:fill="auto"/>
            <w:vAlign w:val="center"/>
          </w:tcPr>
          <w:p>
            <w:pPr>
              <w:jc w:val="center"/>
              <w:rPr>
                <w:rFonts w:ascii="宋体" w:hAnsi="宋体"/>
              </w:rPr>
            </w:pPr>
            <w:r>
              <w:rPr>
                <w:rFonts w:hint="eastAsia" w:ascii="宋体" w:hAnsi="宋体"/>
              </w:rPr>
              <w:t>新增</w:t>
            </w:r>
          </w:p>
        </w:tc>
        <w:tc>
          <w:tcPr>
            <w:tcW w:w="672" w:type="pct"/>
            <w:shd w:val="clear" w:color="auto" w:fill="auto"/>
            <w:vAlign w:val="center"/>
          </w:tcPr>
          <w:p>
            <w:pPr>
              <w:jc w:val="right"/>
              <w:rPr>
                <w:rFonts w:ascii="宋体" w:hAnsi="宋体"/>
              </w:rPr>
            </w:pPr>
            <w:r>
              <w:rPr>
                <w:rFonts w:hint="eastAsia" w:ascii="宋体" w:hAnsi="宋体"/>
              </w:rPr>
              <w:t>-</w:t>
            </w:r>
          </w:p>
        </w:tc>
        <w:tc>
          <w:tcPr>
            <w:tcW w:w="548" w:type="pct"/>
            <w:shd w:val="clear" w:color="auto" w:fill="auto"/>
            <w:vAlign w:val="center"/>
          </w:tcPr>
          <w:p>
            <w:pPr>
              <w:jc w:val="right"/>
              <w:rPr>
                <w:rFonts w:ascii="宋体" w:hAnsi="宋体"/>
              </w:rPr>
            </w:pPr>
            <w:r>
              <w:rPr>
                <w:rFonts w:hint="eastAsia" w:ascii="宋体" w:hAnsi="宋体"/>
              </w:rPr>
              <w:t>-</w:t>
            </w:r>
          </w:p>
        </w:tc>
        <w:tc>
          <w:tcPr>
            <w:tcW w:w="1151" w:type="pct"/>
            <w:vAlign w:val="center"/>
          </w:tcPr>
          <w:p>
            <w:pPr>
              <w:jc w:val="right"/>
              <w:rPr>
                <w:rFonts w:ascii="宋体" w:hAnsi="宋体"/>
              </w:rPr>
            </w:pPr>
            <w:r>
              <w:rPr>
                <w:rFonts w:ascii="宋体" w:hAnsi="宋体"/>
              </w:rPr>
              <w:t>10,465,805</w:t>
            </w:r>
          </w:p>
        </w:tc>
        <w:tc>
          <w:tcPr>
            <w:tcW w:w="663" w:type="pct"/>
            <w:vAlign w:val="center"/>
          </w:tcPr>
          <w:p>
            <w:pPr>
              <w:jc w:val="right"/>
              <w:rPr>
                <w:rFonts w:ascii="宋体" w:hAnsi="宋体"/>
              </w:rPr>
            </w:pPr>
            <w:r>
              <w:rPr>
                <w:rFonts w:ascii="宋体" w:hAnsi="宋体"/>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76" w:type="pct"/>
            <w:shd w:val="clear" w:color="auto" w:fill="auto"/>
          </w:tcPr>
          <w:p>
            <w:pPr>
              <w:rPr>
                <w:rFonts w:ascii="宋体" w:hAnsi="宋体"/>
              </w:rPr>
            </w:pPr>
            <w:r>
              <w:rPr>
                <w:rFonts w:hint="eastAsia" w:ascii="宋体" w:hAnsi="宋体"/>
              </w:rPr>
              <w:t>中国工商银行股份有限公司－汇添富价值精选混合型证券投资基金</w:t>
            </w:r>
          </w:p>
        </w:tc>
        <w:tc>
          <w:tcPr>
            <w:tcW w:w="590" w:type="pct"/>
            <w:shd w:val="clear" w:color="auto" w:fill="auto"/>
            <w:vAlign w:val="center"/>
          </w:tcPr>
          <w:p>
            <w:pPr>
              <w:jc w:val="center"/>
              <w:rPr>
                <w:rFonts w:ascii="宋体" w:hAnsi="宋体"/>
              </w:rPr>
            </w:pPr>
            <w:r>
              <w:rPr>
                <w:rFonts w:hint="eastAsia" w:ascii="宋体" w:hAnsi="宋体"/>
              </w:rPr>
              <w:t>新增</w:t>
            </w:r>
          </w:p>
        </w:tc>
        <w:tc>
          <w:tcPr>
            <w:tcW w:w="672" w:type="pct"/>
            <w:shd w:val="clear" w:color="auto" w:fill="auto"/>
            <w:vAlign w:val="center"/>
          </w:tcPr>
          <w:p>
            <w:pPr>
              <w:jc w:val="right"/>
              <w:rPr>
                <w:rFonts w:ascii="宋体" w:hAnsi="宋体"/>
              </w:rPr>
            </w:pPr>
            <w:r>
              <w:rPr>
                <w:rFonts w:hint="eastAsia" w:ascii="宋体" w:hAnsi="宋体"/>
              </w:rPr>
              <w:t>-</w:t>
            </w:r>
          </w:p>
        </w:tc>
        <w:tc>
          <w:tcPr>
            <w:tcW w:w="548" w:type="pct"/>
            <w:shd w:val="clear" w:color="auto" w:fill="auto"/>
            <w:vAlign w:val="center"/>
          </w:tcPr>
          <w:p>
            <w:pPr>
              <w:jc w:val="right"/>
              <w:rPr>
                <w:rFonts w:ascii="宋体" w:hAnsi="宋体"/>
              </w:rPr>
            </w:pPr>
            <w:r>
              <w:rPr>
                <w:rFonts w:hint="eastAsia" w:ascii="宋体" w:hAnsi="宋体"/>
              </w:rPr>
              <w:t>-</w:t>
            </w:r>
          </w:p>
        </w:tc>
        <w:tc>
          <w:tcPr>
            <w:tcW w:w="1151" w:type="pct"/>
            <w:vAlign w:val="center"/>
          </w:tcPr>
          <w:p>
            <w:pPr>
              <w:jc w:val="right"/>
              <w:rPr>
                <w:rFonts w:ascii="宋体" w:hAnsi="宋体"/>
              </w:rPr>
            </w:pPr>
            <w:r>
              <w:rPr>
                <w:rFonts w:ascii="宋体" w:hAnsi="宋体"/>
              </w:rPr>
              <w:t>10,272,283</w:t>
            </w:r>
          </w:p>
        </w:tc>
        <w:tc>
          <w:tcPr>
            <w:tcW w:w="663" w:type="pct"/>
            <w:vAlign w:val="center"/>
          </w:tcPr>
          <w:p>
            <w:pPr>
              <w:jc w:val="right"/>
              <w:rPr>
                <w:rFonts w:ascii="宋体" w:hAnsi="宋体"/>
              </w:rPr>
            </w:pPr>
            <w:r>
              <w:rPr>
                <w:rFonts w:ascii="宋体" w:hAnsi="宋体"/>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76" w:type="pct"/>
            <w:shd w:val="clear" w:color="auto" w:fill="auto"/>
          </w:tcPr>
          <w:p>
            <w:pPr>
              <w:rPr>
                <w:rFonts w:ascii="宋体" w:hAnsi="宋体"/>
              </w:rPr>
            </w:pPr>
            <w:r>
              <w:rPr>
                <w:rFonts w:hint="eastAsia" w:ascii="宋体" w:hAnsi="宋体"/>
              </w:rPr>
              <w:t>中国工商银行股份有限公司－华泰柏瑞沪深</w:t>
            </w:r>
            <w:r>
              <w:rPr>
                <w:rFonts w:ascii="宋体" w:hAnsi="宋体"/>
              </w:rPr>
              <w:t>300交易型开放式指数证券投资基金</w:t>
            </w:r>
          </w:p>
        </w:tc>
        <w:tc>
          <w:tcPr>
            <w:tcW w:w="590" w:type="pct"/>
            <w:shd w:val="clear" w:color="auto" w:fill="auto"/>
            <w:vAlign w:val="center"/>
          </w:tcPr>
          <w:p>
            <w:pPr>
              <w:jc w:val="center"/>
              <w:rPr>
                <w:rFonts w:ascii="宋体" w:hAnsi="宋体"/>
              </w:rPr>
            </w:pPr>
            <w:r>
              <w:rPr>
                <w:rFonts w:hint="eastAsia" w:ascii="宋体" w:hAnsi="宋体"/>
              </w:rPr>
              <w:t>新增</w:t>
            </w:r>
          </w:p>
        </w:tc>
        <w:tc>
          <w:tcPr>
            <w:tcW w:w="672" w:type="pct"/>
            <w:shd w:val="clear" w:color="auto" w:fill="auto"/>
            <w:vAlign w:val="center"/>
          </w:tcPr>
          <w:p>
            <w:pPr>
              <w:jc w:val="right"/>
              <w:rPr>
                <w:rFonts w:ascii="宋体" w:hAnsi="宋体"/>
              </w:rPr>
            </w:pPr>
            <w:r>
              <w:rPr>
                <w:rFonts w:ascii="宋体" w:hAnsi="宋体"/>
              </w:rPr>
              <w:t>696,300</w:t>
            </w:r>
          </w:p>
        </w:tc>
        <w:tc>
          <w:tcPr>
            <w:tcW w:w="548" w:type="pct"/>
            <w:shd w:val="clear" w:color="auto" w:fill="auto"/>
            <w:vAlign w:val="center"/>
          </w:tcPr>
          <w:p>
            <w:pPr>
              <w:jc w:val="right"/>
              <w:rPr>
                <w:rFonts w:ascii="宋体" w:hAnsi="宋体"/>
                <w:highlight w:val="yellow"/>
              </w:rPr>
            </w:pPr>
            <w:r>
              <w:rPr>
                <w:rFonts w:ascii="宋体" w:hAnsi="宋体"/>
              </w:rPr>
              <w:t>0.01</w:t>
            </w:r>
          </w:p>
        </w:tc>
        <w:tc>
          <w:tcPr>
            <w:tcW w:w="1151" w:type="pct"/>
            <w:vAlign w:val="center"/>
          </w:tcPr>
          <w:p>
            <w:pPr>
              <w:jc w:val="right"/>
              <w:rPr>
                <w:rFonts w:ascii="宋体" w:hAnsi="宋体"/>
                <w:highlight w:val="yellow"/>
              </w:rPr>
            </w:pPr>
            <w:r>
              <w:rPr>
                <w:rFonts w:ascii="宋体" w:hAnsi="宋体"/>
              </w:rPr>
              <w:t>10,242,075</w:t>
            </w:r>
          </w:p>
        </w:tc>
        <w:tc>
          <w:tcPr>
            <w:tcW w:w="663" w:type="pct"/>
            <w:vAlign w:val="center"/>
          </w:tcPr>
          <w:p>
            <w:pPr>
              <w:jc w:val="right"/>
              <w:rPr>
                <w:rFonts w:ascii="宋体" w:hAnsi="宋体"/>
                <w:highlight w:val="yellow"/>
              </w:rPr>
            </w:pPr>
            <w:r>
              <w:rPr>
                <w:rFonts w:ascii="宋体" w:hAnsi="宋体"/>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76" w:type="pct"/>
            <w:shd w:val="clear" w:color="auto" w:fill="auto"/>
            <w:vAlign w:val="center"/>
          </w:tcPr>
          <w:p>
            <w:pPr>
              <w:rPr>
                <w:rFonts w:ascii="宋体" w:hAnsi="宋体"/>
              </w:rPr>
            </w:pPr>
            <w:r>
              <w:rPr>
                <w:rFonts w:hint="eastAsia" w:ascii="宋体" w:hAnsi="宋体"/>
              </w:rPr>
              <w:t>全国社保基金四一六组合</w:t>
            </w:r>
          </w:p>
        </w:tc>
        <w:tc>
          <w:tcPr>
            <w:tcW w:w="590" w:type="pct"/>
            <w:shd w:val="clear" w:color="auto" w:fill="auto"/>
            <w:vAlign w:val="center"/>
          </w:tcPr>
          <w:p>
            <w:pPr>
              <w:jc w:val="center"/>
              <w:rPr>
                <w:rFonts w:ascii="宋体" w:hAnsi="宋体"/>
              </w:rPr>
            </w:pPr>
            <w:r>
              <w:rPr>
                <w:rFonts w:hint="eastAsia" w:ascii="宋体" w:hAnsi="宋体"/>
              </w:rPr>
              <w:t>退出</w:t>
            </w:r>
          </w:p>
        </w:tc>
        <w:tc>
          <w:tcPr>
            <w:tcW w:w="672" w:type="pct"/>
            <w:shd w:val="clear" w:color="auto" w:fill="auto"/>
            <w:vAlign w:val="center"/>
          </w:tcPr>
          <w:p>
            <w:pPr>
              <w:jc w:val="right"/>
              <w:rPr>
                <w:rFonts w:ascii="宋体" w:hAnsi="宋体"/>
              </w:rPr>
            </w:pPr>
            <w:r>
              <w:rPr>
                <w:rFonts w:hint="eastAsia" w:ascii="宋体" w:hAnsi="宋体"/>
              </w:rPr>
              <w:t>-</w:t>
            </w:r>
          </w:p>
        </w:tc>
        <w:tc>
          <w:tcPr>
            <w:tcW w:w="548" w:type="pct"/>
            <w:shd w:val="clear" w:color="auto" w:fill="auto"/>
            <w:vAlign w:val="center"/>
          </w:tcPr>
          <w:p>
            <w:pPr>
              <w:jc w:val="right"/>
              <w:rPr>
                <w:rFonts w:ascii="宋体" w:hAnsi="宋体"/>
              </w:rPr>
            </w:pPr>
            <w:r>
              <w:rPr>
                <w:rFonts w:hint="eastAsia" w:ascii="宋体" w:hAnsi="宋体"/>
              </w:rPr>
              <w:t>-</w:t>
            </w:r>
          </w:p>
        </w:tc>
        <w:tc>
          <w:tcPr>
            <w:tcW w:w="1151" w:type="pct"/>
            <w:vAlign w:val="center"/>
          </w:tcPr>
          <w:p>
            <w:pPr>
              <w:jc w:val="right"/>
              <w:rPr>
                <w:rFonts w:ascii="宋体" w:hAnsi="宋体"/>
              </w:rPr>
            </w:pPr>
            <w:r>
              <w:rPr>
                <w:rFonts w:ascii="宋体" w:hAnsi="宋体"/>
              </w:rPr>
              <w:t xml:space="preserve">6,831,877 </w:t>
            </w:r>
          </w:p>
        </w:tc>
        <w:tc>
          <w:tcPr>
            <w:tcW w:w="663" w:type="pct"/>
            <w:vAlign w:val="center"/>
          </w:tcPr>
          <w:p>
            <w:pPr>
              <w:jc w:val="right"/>
              <w:rPr>
                <w:rFonts w:ascii="宋体" w:hAnsi="宋体"/>
              </w:rPr>
            </w:pPr>
            <w:r>
              <w:rPr>
                <w:rFonts w:ascii="宋体" w:hAnsi="宋体"/>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76" w:type="pct"/>
            <w:shd w:val="clear" w:color="auto" w:fill="auto"/>
            <w:vAlign w:val="center"/>
          </w:tcPr>
          <w:p>
            <w:pPr>
              <w:rPr>
                <w:rFonts w:ascii="宋体" w:hAnsi="宋体"/>
              </w:rPr>
            </w:pPr>
            <w:r>
              <w:rPr>
                <w:rFonts w:hint="eastAsia" w:ascii="宋体" w:hAnsi="宋体"/>
              </w:rPr>
              <w:t>招商证券股份有限公司－建信中小盘先锋股票型证券投资基金</w:t>
            </w:r>
          </w:p>
        </w:tc>
        <w:tc>
          <w:tcPr>
            <w:tcW w:w="590" w:type="pct"/>
            <w:shd w:val="clear" w:color="auto" w:fill="auto"/>
            <w:vAlign w:val="center"/>
          </w:tcPr>
          <w:p>
            <w:pPr>
              <w:jc w:val="center"/>
              <w:rPr>
                <w:rFonts w:ascii="宋体" w:hAnsi="宋体"/>
              </w:rPr>
            </w:pPr>
            <w:r>
              <w:rPr>
                <w:rFonts w:hint="eastAsia" w:ascii="宋体" w:hAnsi="宋体"/>
              </w:rPr>
              <w:t>退出</w:t>
            </w:r>
          </w:p>
        </w:tc>
        <w:tc>
          <w:tcPr>
            <w:tcW w:w="672" w:type="pct"/>
            <w:shd w:val="clear" w:color="auto" w:fill="auto"/>
            <w:vAlign w:val="center"/>
          </w:tcPr>
          <w:p>
            <w:pPr>
              <w:jc w:val="right"/>
              <w:rPr>
                <w:rFonts w:ascii="宋体" w:hAnsi="宋体"/>
              </w:rPr>
            </w:pPr>
            <w:r>
              <w:rPr>
                <w:rFonts w:hint="eastAsia" w:ascii="宋体" w:hAnsi="宋体"/>
              </w:rPr>
              <w:t>-</w:t>
            </w:r>
          </w:p>
        </w:tc>
        <w:tc>
          <w:tcPr>
            <w:tcW w:w="548" w:type="pct"/>
            <w:shd w:val="clear" w:color="auto" w:fill="auto"/>
            <w:vAlign w:val="center"/>
          </w:tcPr>
          <w:p>
            <w:pPr>
              <w:jc w:val="right"/>
              <w:rPr>
                <w:rFonts w:ascii="宋体" w:hAnsi="宋体"/>
              </w:rPr>
            </w:pPr>
            <w:r>
              <w:rPr>
                <w:rFonts w:hint="eastAsia" w:ascii="宋体" w:hAnsi="宋体"/>
              </w:rPr>
              <w:t>-</w:t>
            </w:r>
          </w:p>
        </w:tc>
        <w:tc>
          <w:tcPr>
            <w:tcW w:w="1151" w:type="pct"/>
            <w:vAlign w:val="center"/>
          </w:tcPr>
          <w:p>
            <w:pPr>
              <w:jc w:val="right"/>
              <w:rPr>
                <w:rFonts w:ascii="宋体" w:hAnsi="宋体"/>
              </w:rPr>
            </w:pPr>
            <w:r>
              <w:rPr>
                <w:rFonts w:ascii="宋体" w:hAnsi="宋体"/>
              </w:rPr>
              <w:t xml:space="preserve">5,670,780 </w:t>
            </w:r>
          </w:p>
        </w:tc>
        <w:tc>
          <w:tcPr>
            <w:tcW w:w="663" w:type="pct"/>
            <w:vAlign w:val="center"/>
          </w:tcPr>
          <w:p>
            <w:pPr>
              <w:jc w:val="right"/>
              <w:rPr>
                <w:rFonts w:ascii="宋体" w:hAnsi="宋体"/>
              </w:rPr>
            </w:pPr>
            <w:r>
              <w:rPr>
                <w:rFonts w:ascii="宋体" w:hAnsi="宋体"/>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76" w:type="pct"/>
            <w:shd w:val="clear" w:color="auto" w:fill="auto"/>
            <w:vAlign w:val="center"/>
          </w:tcPr>
          <w:p>
            <w:pPr>
              <w:rPr>
                <w:rFonts w:ascii="宋体" w:hAnsi="宋体"/>
              </w:rPr>
            </w:pPr>
            <w:r>
              <w:rPr>
                <w:rFonts w:hint="eastAsia" w:ascii="宋体" w:hAnsi="宋体"/>
              </w:rPr>
              <w:t>中国工商银行股份有限公司－国泰中证煤炭交易型开放式指数证券投资基金</w:t>
            </w:r>
          </w:p>
        </w:tc>
        <w:tc>
          <w:tcPr>
            <w:tcW w:w="590" w:type="pct"/>
            <w:shd w:val="clear" w:color="auto" w:fill="auto"/>
            <w:vAlign w:val="center"/>
          </w:tcPr>
          <w:p>
            <w:pPr>
              <w:jc w:val="center"/>
              <w:rPr>
                <w:rFonts w:ascii="宋体" w:hAnsi="宋体"/>
              </w:rPr>
            </w:pPr>
            <w:r>
              <w:rPr>
                <w:rFonts w:hint="eastAsia" w:ascii="宋体" w:hAnsi="宋体"/>
              </w:rPr>
              <w:t>退出</w:t>
            </w:r>
          </w:p>
        </w:tc>
        <w:tc>
          <w:tcPr>
            <w:tcW w:w="672" w:type="pct"/>
            <w:shd w:val="clear" w:color="auto" w:fill="auto"/>
            <w:vAlign w:val="center"/>
          </w:tcPr>
          <w:p>
            <w:pPr>
              <w:jc w:val="right"/>
              <w:rPr>
                <w:rFonts w:ascii="宋体" w:hAnsi="宋体"/>
              </w:rPr>
            </w:pPr>
            <w:r>
              <w:rPr>
                <w:rFonts w:ascii="宋体" w:hAnsi="宋体"/>
              </w:rPr>
              <w:t>1,687,600</w:t>
            </w:r>
          </w:p>
        </w:tc>
        <w:tc>
          <w:tcPr>
            <w:tcW w:w="548" w:type="pct"/>
            <w:shd w:val="clear" w:color="auto" w:fill="auto"/>
            <w:vAlign w:val="center"/>
          </w:tcPr>
          <w:p>
            <w:pPr>
              <w:jc w:val="right"/>
              <w:rPr>
                <w:rFonts w:ascii="宋体" w:hAnsi="宋体"/>
                <w:highlight w:val="yellow"/>
              </w:rPr>
            </w:pPr>
            <w:r>
              <w:rPr>
                <w:rFonts w:ascii="宋体" w:hAnsi="宋体"/>
              </w:rPr>
              <w:t>0.02</w:t>
            </w:r>
          </w:p>
        </w:tc>
        <w:tc>
          <w:tcPr>
            <w:tcW w:w="1151" w:type="pct"/>
            <w:vAlign w:val="center"/>
          </w:tcPr>
          <w:p>
            <w:pPr>
              <w:jc w:val="right"/>
              <w:rPr>
                <w:rFonts w:ascii="宋体" w:hAnsi="宋体"/>
                <w:highlight w:val="yellow"/>
              </w:rPr>
            </w:pPr>
            <w:r>
              <w:rPr>
                <w:rFonts w:ascii="宋体" w:hAnsi="宋体"/>
              </w:rPr>
              <w:t>6,578,253</w:t>
            </w:r>
          </w:p>
        </w:tc>
        <w:tc>
          <w:tcPr>
            <w:tcW w:w="663" w:type="pct"/>
            <w:vAlign w:val="center"/>
          </w:tcPr>
          <w:p>
            <w:pPr>
              <w:jc w:val="right"/>
              <w:rPr>
                <w:rFonts w:ascii="宋体" w:hAnsi="宋体"/>
                <w:highlight w:val="yellow"/>
              </w:rPr>
            </w:pPr>
            <w:r>
              <w:rPr>
                <w:rFonts w:ascii="宋体" w:hAnsi="宋体"/>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76" w:type="pct"/>
            <w:shd w:val="clear" w:color="auto" w:fill="auto"/>
            <w:vAlign w:val="center"/>
          </w:tcPr>
          <w:p>
            <w:pPr>
              <w:rPr>
                <w:rFonts w:ascii="宋体" w:hAnsi="宋体"/>
              </w:rPr>
            </w:pPr>
            <w:r>
              <w:rPr>
                <w:rFonts w:hint="eastAsia" w:ascii="宋体" w:hAnsi="宋体"/>
              </w:rPr>
              <w:t>汇添富基金管理股份有限公司－社保基金</w:t>
            </w:r>
            <w:r>
              <w:rPr>
                <w:rFonts w:ascii="宋体" w:hAnsi="宋体"/>
              </w:rPr>
              <w:t>16032组合</w:t>
            </w:r>
          </w:p>
        </w:tc>
        <w:tc>
          <w:tcPr>
            <w:tcW w:w="590" w:type="pct"/>
            <w:shd w:val="clear" w:color="auto" w:fill="auto"/>
            <w:vAlign w:val="center"/>
          </w:tcPr>
          <w:p>
            <w:pPr>
              <w:jc w:val="center"/>
              <w:rPr>
                <w:rFonts w:ascii="宋体" w:hAnsi="宋体"/>
              </w:rPr>
            </w:pPr>
            <w:r>
              <w:rPr>
                <w:rFonts w:hint="eastAsia" w:ascii="宋体" w:hAnsi="宋体"/>
              </w:rPr>
              <w:t>退出</w:t>
            </w:r>
          </w:p>
        </w:tc>
        <w:tc>
          <w:tcPr>
            <w:tcW w:w="672" w:type="pct"/>
            <w:shd w:val="clear" w:color="auto" w:fill="auto"/>
            <w:vAlign w:val="center"/>
          </w:tcPr>
          <w:p>
            <w:pPr>
              <w:jc w:val="right"/>
              <w:rPr>
                <w:rFonts w:ascii="宋体" w:hAnsi="宋体"/>
              </w:rPr>
            </w:pPr>
            <w:r>
              <w:rPr>
                <w:rFonts w:hint="eastAsia" w:ascii="宋体" w:hAnsi="宋体"/>
              </w:rPr>
              <w:t>-</w:t>
            </w:r>
          </w:p>
        </w:tc>
        <w:tc>
          <w:tcPr>
            <w:tcW w:w="548" w:type="pct"/>
            <w:shd w:val="clear" w:color="auto" w:fill="auto"/>
            <w:vAlign w:val="center"/>
          </w:tcPr>
          <w:p>
            <w:pPr>
              <w:jc w:val="right"/>
              <w:rPr>
                <w:rFonts w:ascii="宋体" w:hAnsi="宋体"/>
              </w:rPr>
            </w:pPr>
            <w:r>
              <w:rPr>
                <w:rFonts w:hint="eastAsia" w:ascii="宋体" w:hAnsi="宋体"/>
              </w:rPr>
              <w:t>-</w:t>
            </w:r>
          </w:p>
        </w:tc>
        <w:tc>
          <w:tcPr>
            <w:tcW w:w="1151" w:type="pct"/>
            <w:vAlign w:val="center"/>
          </w:tcPr>
          <w:p>
            <w:pPr>
              <w:jc w:val="right"/>
              <w:rPr>
                <w:rFonts w:ascii="宋体" w:hAnsi="宋体"/>
              </w:rPr>
            </w:pPr>
            <w:r>
              <w:rPr>
                <w:rFonts w:hint="eastAsia" w:ascii="宋体" w:hAnsi="宋体"/>
              </w:rPr>
              <w:t>0</w:t>
            </w:r>
          </w:p>
        </w:tc>
        <w:tc>
          <w:tcPr>
            <w:tcW w:w="663" w:type="pct"/>
            <w:vAlign w:val="center"/>
          </w:tcPr>
          <w:p>
            <w:pPr>
              <w:jc w:val="right"/>
              <w:rPr>
                <w:rFonts w:ascii="宋体" w:hAnsi="宋体"/>
              </w:rPr>
            </w:pPr>
            <w:r>
              <w:rPr>
                <w:rFonts w:hint="eastAsia" w:ascii="宋体" w:hAnsi="宋体"/>
              </w:rPr>
              <w:t>0</w:t>
            </w:r>
          </w:p>
        </w:tc>
      </w:tr>
      <w:bookmarkEnd w:id="160"/>
    </w:tbl>
    <w:p>
      <w:pPr>
        <w:rPr>
          <w:rFonts w:ascii="宋体" w:hAnsi="宋体"/>
        </w:rPr>
      </w:pPr>
      <w:bookmarkStart w:id="161" w:name="_Hlk160998109"/>
      <w:r>
        <w:rPr>
          <w:rFonts w:hint="eastAsia" w:ascii="宋体" w:hAnsi="宋体"/>
        </w:rPr>
        <w:t>注：上表“前十名股东较上期末变化情况”</w:t>
      </w:r>
      <w:r>
        <w:rPr>
          <w:rFonts w:hint="eastAsia"/>
        </w:rPr>
        <w:t>乃</w:t>
      </w:r>
      <w:r>
        <w:rPr>
          <w:rFonts w:hint="eastAsia" w:ascii="宋体" w:hAnsi="宋体"/>
        </w:rPr>
        <w:t>根据中国证券登记结算有限责任公司出具的公司2</w:t>
      </w:r>
      <w:r>
        <w:rPr>
          <w:rFonts w:ascii="宋体" w:hAnsi="宋体"/>
        </w:rPr>
        <w:t>023</w:t>
      </w:r>
      <w:r>
        <w:rPr>
          <w:rFonts w:hint="eastAsia" w:ascii="宋体" w:hAnsi="宋体"/>
        </w:rPr>
        <w:t>年1</w:t>
      </w:r>
      <w:r>
        <w:rPr>
          <w:rFonts w:ascii="宋体" w:hAnsi="宋体"/>
        </w:rPr>
        <w:t>2</w:t>
      </w:r>
      <w:r>
        <w:rPr>
          <w:rFonts w:hint="eastAsia" w:ascii="宋体" w:hAnsi="宋体"/>
        </w:rPr>
        <w:t>月3</w:t>
      </w:r>
      <w:r>
        <w:rPr>
          <w:rFonts w:ascii="宋体" w:hAnsi="宋体"/>
        </w:rPr>
        <w:t>1</w:t>
      </w:r>
      <w:r>
        <w:rPr>
          <w:rFonts w:hint="eastAsia" w:ascii="宋体" w:hAnsi="宋体"/>
        </w:rPr>
        <w:t>日</w:t>
      </w:r>
      <w:bookmarkStart w:id="162" w:name="_Hlk161944604"/>
      <w:r>
        <w:rPr>
          <w:rFonts w:hint="eastAsia" w:ascii="宋体" w:hAnsi="宋体"/>
        </w:rPr>
        <w:t>“合并普通账户和融资融券信用账户前200名明细数据表”</w:t>
      </w:r>
      <w:bookmarkEnd w:id="162"/>
      <w:r>
        <w:rPr>
          <w:rFonts w:hint="eastAsia" w:ascii="宋体" w:hAnsi="宋体"/>
        </w:rPr>
        <w:t>填列。</w:t>
      </w:r>
    </w:p>
    <w:bookmarkEnd w:id="161"/>
    <w:p>
      <w:pPr>
        <w:rPr>
          <w:rFonts w:ascii="宋体" w:hAnsi="宋体"/>
        </w:rPr>
      </w:pPr>
    </w:p>
    <w:p>
      <w:pPr>
        <w:rPr>
          <w:rFonts w:ascii="宋体" w:hAnsi="宋体"/>
        </w:rPr>
      </w:pPr>
      <w:r>
        <w:rPr>
          <w:rFonts w:ascii="宋体" w:hAnsi="宋体"/>
        </w:rPr>
        <w:t>前十名有限售条件股东持股数量及限售条件</w:t>
      </w:r>
    </w:p>
    <w:sdt>
      <w:sdtPr>
        <w:rPr>
          <w:rFonts w:ascii="宋体" w:hAnsi="宋体"/>
          <w:bCs/>
        </w:rPr>
        <w:alias w:val="是否适用：前十名有限售条件股东持股数量及限售条件[双击切换]"/>
        <w:tag w:val="_GBC_99ceff37849a42f4b21400880589fbc1"/>
        <w:id w:val="-1285803970"/>
        <w:placeholder>
          <w:docPart w:val="GBC22222222222222222222222222222"/>
        </w:placeholder>
      </w:sdtPr>
      <w:sdtEndPr>
        <w:rPr>
          <w:rFonts w:ascii="宋体" w:hAnsi="宋体"/>
          <w:bCs/>
        </w:rPr>
      </w:sdtEndPr>
      <w:sdtContent>
        <w:p>
          <w:pPr>
            <w:rPr>
              <w:rFonts w:ascii="宋体" w:hAnsi="宋体"/>
              <w:bCs/>
            </w:rPr>
          </w:pPr>
          <w:r>
            <w:rPr>
              <w:rFonts w:ascii="宋体" w:hAnsi="宋体"/>
              <w:bCs/>
            </w:rPr>
            <w:fldChar w:fldCharType="begin"/>
          </w:r>
          <w:r>
            <w:rPr>
              <w:rFonts w:ascii="宋体" w:hAnsi="宋体"/>
              <w:bCs/>
            </w:rPr>
            <w:instrText xml:space="preserve">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rPr>
          <w:rFonts w:ascii="宋体" w:hAnsi="宋体"/>
        </w:rPr>
      </w:pPr>
    </w:p>
    <w:p>
      <w:pPr>
        <w:pStyle w:val="4"/>
        <w:numPr>
          <w:ilvl w:val="1"/>
          <w:numId w:val="49"/>
        </w:numPr>
        <w:ind w:left="426" w:hanging="426"/>
        <w:rPr>
          <w:rFonts w:ascii="宋体" w:hAnsi="宋体"/>
          <w:szCs w:val="21"/>
        </w:rPr>
      </w:pPr>
      <w:r>
        <w:rPr>
          <w:rFonts w:ascii="宋体" w:hAnsi="宋体"/>
          <w:szCs w:val="21"/>
        </w:rPr>
        <w:t>战略投资者或一般法人因配售新股成为前10名股东</w:t>
      </w:r>
    </w:p>
    <w:bookmarkEnd w:id="158"/>
    <w:sdt>
      <w:sdtPr>
        <w:alias w:val="是否适用：战略投资者或一般法人因配售新股成为前10名股东[双击切换]"/>
        <w:tag w:val="_GBC_f3c63aafb8134fdcbdeb39fd33c2cd8d"/>
        <w:id w:val="209157654"/>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43"/>
      </w:pPr>
    </w:p>
    <w:p>
      <w:pPr>
        <w:pStyle w:val="4"/>
        <w:numPr>
          <w:ilvl w:val="1"/>
          <w:numId w:val="49"/>
        </w:numPr>
        <w:ind w:left="426" w:hanging="426"/>
        <w:rPr>
          <w:rFonts w:ascii="宋体" w:hAnsi="宋体" w:cs="宋体"/>
          <w:kern w:val="0"/>
          <w:szCs w:val="21"/>
        </w:rPr>
      </w:pPr>
      <w:r>
        <w:rPr>
          <w:rFonts w:hint="eastAsia" w:ascii="宋体" w:hAnsi="宋体"/>
          <w:szCs w:val="21"/>
        </w:rPr>
        <w:t>主要</w:t>
      </w:r>
      <w:r>
        <w:rPr>
          <w:rFonts w:hint="eastAsia" w:ascii="宋体" w:hAnsi="宋体" w:cs="宋体"/>
          <w:kern w:val="0"/>
          <w:szCs w:val="21"/>
        </w:rPr>
        <w:t>股东持有公司的股份或相关股份及╱或淡仓情况</w:t>
      </w:r>
    </w:p>
    <w:p>
      <w:pPr>
        <w:spacing w:after="120"/>
        <w:ind w:firstLine="420" w:firstLineChars="200"/>
        <w:rPr>
          <w:rFonts w:ascii="宋体" w:hAnsi="宋体"/>
        </w:rPr>
      </w:pPr>
      <w:r>
        <w:rPr>
          <w:rFonts w:hint="eastAsia" w:ascii="宋体" w:hAnsi="宋体"/>
        </w:rPr>
        <w:t>除下述披露外，据董事所知，截至</w:t>
      </w:r>
      <w:r>
        <w:rPr>
          <w:rFonts w:ascii="宋体" w:hAnsi="宋体"/>
        </w:rPr>
        <w:t>2023</w:t>
      </w:r>
      <w:r>
        <w:rPr>
          <w:rFonts w:hint="eastAsia" w:ascii="宋体" w:hAnsi="宋体"/>
        </w:rPr>
        <w:t>年</w:t>
      </w:r>
      <w:r>
        <w:rPr>
          <w:rFonts w:ascii="宋体" w:hAnsi="宋体"/>
        </w:rPr>
        <w:t>12</w:t>
      </w:r>
      <w:r>
        <w:rPr>
          <w:rFonts w:hint="eastAsia" w:ascii="宋体" w:hAnsi="宋体"/>
        </w:rPr>
        <w:t>月</w:t>
      </w:r>
      <w:r>
        <w:rPr>
          <w:rFonts w:ascii="宋体" w:hAnsi="宋体"/>
        </w:rPr>
        <w:t>31</w:t>
      </w:r>
      <w:r>
        <w:rPr>
          <w:rFonts w:hint="eastAsia" w:ascii="宋体" w:hAnsi="宋体"/>
        </w:rPr>
        <w:t>日，除本公司董事、监事或最高行政人员以外，并无任何其他人士是本公司主要股东，或者在本公司的股份或相关股份中拥有符合以下条件的权益或淡仓：</w:t>
      </w:r>
      <w:r>
        <w:rPr>
          <w:rFonts w:ascii="宋体" w:hAnsi="宋体"/>
        </w:rPr>
        <w:t>(1)</w:t>
      </w:r>
      <w:r>
        <w:rPr>
          <w:rFonts w:hint="eastAsia" w:ascii="宋体" w:hAnsi="宋体"/>
        </w:rPr>
        <w:t>根据《证券及期货条例》第</w:t>
      </w:r>
      <w:r>
        <w:rPr>
          <w:rFonts w:ascii="宋体" w:hAnsi="宋体"/>
        </w:rPr>
        <w:t>XV</w:t>
      </w:r>
      <w:r>
        <w:rPr>
          <w:rFonts w:hint="eastAsia" w:ascii="宋体" w:hAnsi="宋体"/>
        </w:rPr>
        <w:t>部第</w:t>
      </w:r>
      <w:r>
        <w:rPr>
          <w:rFonts w:ascii="宋体" w:hAnsi="宋体"/>
        </w:rPr>
        <w:t>2</w:t>
      </w:r>
      <w:r>
        <w:rPr>
          <w:rFonts w:hint="eastAsia" w:ascii="宋体" w:hAnsi="宋体"/>
        </w:rPr>
        <w:t>及</w:t>
      </w:r>
      <w:r>
        <w:rPr>
          <w:rFonts w:ascii="宋体" w:hAnsi="宋体"/>
        </w:rPr>
        <w:t>3</w:t>
      </w:r>
      <w:r>
        <w:rPr>
          <w:rFonts w:hint="eastAsia" w:ascii="宋体" w:hAnsi="宋体"/>
        </w:rPr>
        <w:t>分部规定应做出披露；</w:t>
      </w:r>
      <w:r>
        <w:rPr>
          <w:rFonts w:ascii="宋体" w:hAnsi="宋体"/>
        </w:rPr>
        <w:t>(2)</w:t>
      </w:r>
      <w:r>
        <w:rPr>
          <w:rFonts w:hint="eastAsia" w:ascii="宋体" w:hAnsi="宋体"/>
        </w:rPr>
        <w:t>记录于本公司根据《证券及期货条例》第</w:t>
      </w:r>
      <w:r>
        <w:rPr>
          <w:rFonts w:ascii="宋体" w:hAnsi="宋体"/>
        </w:rPr>
        <w:t>336</w:t>
      </w:r>
      <w:r>
        <w:rPr>
          <w:rFonts w:hint="eastAsia" w:ascii="宋体" w:hAnsi="宋体"/>
        </w:rPr>
        <w:t>条而备存的登记册；或</w:t>
      </w:r>
      <w:r>
        <w:rPr>
          <w:rFonts w:ascii="宋体" w:hAnsi="宋体"/>
        </w:rPr>
        <w:t>(3)</w:t>
      </w:r>
      <w:r>
        <w:rPr>
          <w:rFonts w:hint="eastAsia" w:ascii="宋体" w:hAnsi="宋体"/>
        </w:rPr>
        <w:t>以其他方式知会本公司及香港联交所。</w:t>
      </w:r>
    </w:p>
    <w:tbl>
      <w:tblPr>
        <w:tblStyle w:val="134"/>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185"/>
        <w:gridCol w:w="1265"/>
        <w:gridCol w:w="1865"/>
        <w:gridCol w:w="927"/>
        <w:gridCol w:w="131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center"/>
          </w:tcPr>
          <w:p>
            <w:pPr>
              <w:jc w:val="center"/>
              <w:rPr>
                <w:rFonts w:ascii="宋体" w:hAnsi="宋体"/>
                <w:sz w:val="21"/>
                <w:szCs w:val="21"/>
              </w:rPr>
            </w:pPr>
            <w:r>
              <w:rPr>
                <w:rFonts w:hint="eastAsia" w:ascii="宋体" w:hAnsi="宋体"/>
                <w:sz w:val="21"/>
                <w:szCs w:val="21"/>
              </w:rPr>
              <w:t>主要股东</w:t>
            </w:r>
          </w:p>
          <w:p>
            <w:pPr>
              <w:jc w:val="center"/>
              <w:rPr>
                <w:rFonts w:ascii="宋体" w:hAnsi="宋体"/>
                <w:sz w:val="21"/>
                <w:szCs w:val="21"/>
              </w:rPr>
            </w:pPr>
            <w:r>
              <w:rPr>
                <w:rFonts w:hint="eastAsia" w:ascii="宋体" w:hAnsi="宋体"/>
                <w:sz w:val="21"/>
                <w:szCs w:val="21"/>
              </w:rPr>
              <w:t>名称</w:t>
            </w:r>
          </w:p>
        </w:tc>
        <w:tc>
          <w:tcPr>
            <w:tcW w:w="1185" w:type="dxa"/>
            <w:vAlign w:val="center"/>
          </w:tcPr>
          <w:p>
            <w:pPr>
              <w:jc w:val="center"/>
              <w:rPr>
                <w:rFonts w:ascii="宋体" w:hAnsi="宋体"/>
                <w:sz w:val="21"/>
                <w:szCs w:val="21"/>
              </w:rPr>
            </w:pPr>
            <w:r>
              <w:rPr>
                <w:rFonts w:hint="eastAsia" w:ascii="宋体" w:hAnsi="宋体"/>
                <w:sz w:val="21"/>
                <w:szCs w:val="21"/>
              </w:rPr>
              <w:t>股份类别</w:t>
            </w:r>
          </w:p>
        </w:tc>
        <w:tc>
          <w:tcPr>
            <w:tcW w:w="1265" w:type="dxa"/>
            <w:vAlign w:val="center"/>
          </w:tcPr>
          <w:p>
            <w:pPr>
              <w:jc w:val="center"/>
              <w:rPr>
                <w:rFonts w:ascii="宋体" w:hAnsi="宋体"/>
                <w:sz w:val="21"/>
                <w:szCs w:val="21"/>
              </w:rPr>
            </w:pPr>
            <w:r>
              <w:rPr>
                <w:rFonts w:hint="eastAsia" w:ascii="宋体" w:hAnsi="宋体"/>
                <w:sz w:val="21"/>
                <w:szCs w:val="21"/>
              </w:rPr>
              <w:t>身份</w:t>
            </w:r>
          </w:p>
        </w:tc>
        <w:tc>
          <w:tcPr>
            <w:tcW w:w="1865" w:type="dxa"/>
            <w:vAlign w:val="center"/>
          </w:tcPr>
          <w:p>
            <w:pPr>
              <w:jc w:val="center"/>
              <w:rPr>
                <w:rFonts w:ascii="宋体" w:hAnsi="宋体"/>
                <w:sz w:val="21"/>
                <w:szCs w:val="21"/>
              </w:rPr>
            </w:pPr>
            <w:r>
              <w:rPr>
                <w:rFonts w:hint="eastAsia" w:ascii="宋体" w:hAnsi="宋体"/>
                <w:sz w:val="21"/>
                <w:szCs w:val="21"/>
              </w:rPr>
              <w:t>持有股份数目（股）</w:t>
            </w:r>
          </w:p>
        </w:tc>
        <w:tc>
          <w:tcPr>
            <w:tcW w:w="927" w:type="dxa"/>
            <w:vAlign w:val="center"/>
          </w:tcPr>
          <w:p>
            <w:pPr>
              <w:jc w:val="center"/>
              <w:rPr>
                <w:rFonts w:ascii="宋体" w:hAnsi="宋体"/>
                <w:sz w:val="21"/>
                <w:szCs w:val="21"/>
              </w:rPr>
            </w:pPr>
            <w:r>
              <w:rPr>
                <w:rFonts w:hint="eastAsia" w:ascii="宋体" w:hAnsi="宋体"/>
                <w:sz w:val="21"/>
                <w:szCs w:val="21"/>
              </w:rPr>
              <w:t>权益性质</w:t>
            </w:r>
          </w:p>
        </w:tc>
        <w:tc>
          <w:tcPr>
            <w:tcW w:w="1315" w:type="dxa"/>
            <w:vAlign w:val="center"/>
          </w:tcPr>
          <w:p>
            <w:pPr>
              <w:jc w:val="center"/>
              <w:rPr>
                <w:rFonts w:ascii="宋体" w:hAnsi="宋体"/>
                <w:sz w:val="21"/>
                <w:szCs w:val="21"/>
              </w:rPr>
            </w:pPr>
            <w:r>
              <w:rPr>
                <w:rFonts w:hint="eastAsia" w:ascii="宋体" w:hAnsi="宋体"/>
                <w:sz w:val="21"/>
                <w:szCs w:val="21"/>
              </w:rPr>
              <w:t>占公司</w:t>
            </w:r>
            <w:r>
              <w:rPr>
                <w:rFonts w:ascii="宋体" w:hAnsi="宋体"/>
                <w:sz w:val="21"/>
                <w:szCs w:val="21"/>
              </w:rPr>
              <w:t>H</w:t>
            </w:r>
            <w:r>
              <w:rPr>
                <w:rFonts w:hint="eastAsia" w:ascii="宋体" w:hAnsi="宋体"/>
                <w:sz w:val="21"/>
                <w:szCs w:val="21"/>
              </w:rPr>
              <w:t>股类别之百分比</w:t>
            </w:r>
          </w:p>
        </w:tc>
        <w:tc>
          <w:tcPr>
            <w:tcW w:w="1175" w:type="dxa"/>
            <w:vAlign w:val="center"/>
          </w:tcPr>
          <w:p>
            <w:pPr>
              <w:jc w:val="center"/>
              <w:rPr>
                <w:rFonts w:ascii="宋体" w:hAnsi="宋体"/>
                <w:sz w:val="21"/>
                <w:szCs w:val="21"/>
              </w:rPr>
            </w:pPr>
            <w:r>
              <w:rPr>
                <w:rFonts w:hint="eastAsia" w:ascii="宋体" w:hAnsi="宋体"/>
                <w:sz w:val="21"/>
                <w:szCs w:val="21"/>
              </w:rPr>
              <w:t>占公司已发行股本总数之百分比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Merge w:val="restart"/>
            <w:vAlign w:val="center"/>
          </w:tcPr>
          <w:p>
            <w:pPr>
              <w:jc w:val="center"/>
              <w:rPr>
                <w:rFonts w:ascii="宋体" w:hAnsi="宋体"/>
                <w:sz w:val="21"/>
                <w:szCs w:val="21"/>
              </w:rPr>
            </w:pPr>
            <w:r>
              <w:rPr>
                <w:rFonts w:hint="eastAsia" w:ascii="宋体" w:hAnsi="宋体"/>
                <w:sz w:val="21"/>
                <w:szCs w:val="21"/>
              </w:rPr>
              <w:t>山东能源</w:t>
            </w:r>
          </w:p>
        </w:tc>
        <w:tc>
          <w:tcPr>
            <w:tcW w:w="1185" w:type="dxa"/>
            <w:vMerge w:val="restart"/>
            <w:vAlign w:val="center"/>
          </w:tcPr>
          <w:p>
            <w:pPr>
              <w:jc w:val="center"/>
              <w:rPr>
                <w:rFonts w:ascii="宋体" w:hAnsi="宋体"/>
                <w:sz w:val="21"/>
                <w:szCs w:val="21"/>
              </w:rPr>
            </w:pPr>
            <w:r>
              <w:rPr>
                <w:rFonts w:ascii="宋体" w:hAnsi="宋体"/>
                <w:sz w:val="21"/>
                <w:szCs w:val="21"/>
              </w:rPr>
              <w:t>A</w:t>
            </w:r>
            <w:r>
              <w:rPr>
                <w:rFonts w:hint="eastAsia" w:ascii="宋体" w:hAnsi="宋体"/>
                <w:sz w:val="21"/>
                <w:szCs w:val="21"/>
              </w:rPr>
              <w:t>股（国有法人股）</w:t>
            </w:r>
          </w:p>
        </w:tc>
        <w:tc>
          <w:tcPr>
            <w:tcW w:w="1265" w:type="dxa"/>
            <w:vMerge w:val="restart"/>
            <w:vAlign w:val="center"/>
          </w:tcPr>
          <w:p>
            <w:pPr>
              <w:jc w:val="center"/>
              <w:rPr>
                <w:rFonts w:ascii="宋体" w:hAnsi="宋体"/>
                <w:sz w:val="21"/>
                <w:szCs w:val="21"/>
              </w:rPr>
            </w:pPr>
            <w:r>
              <w:rPr>
                <w:rFonts w:hint="eastAsia" w:ascii="宋体" w:hAnsi="宋体"/>
                <w:sz w:val="21"/>
                <w:szCs w:val="21"/>
              </w:rPr>
              <w:t>实益拥有人</w:t>
            </w:r>
          </w:p>
        </w:tc>
        <w:tc>
          <w:tcPr>
            <w:tcW w:w="1865" w:type="dxa"/>
            <w:vAlign w:val="center"/>
          </w:tcPr>
          <w:p>
            <w:pPr>
              <w:jc w:val="right"/>
              <w:rPr>
                <w:rFonts w:ascii="宋体" w:hAnsi="宋体"/>
                <w:sz w:val="21"/>
                <w:szCs w:val="21"/>
              </w:rPr>
            </w:pPr>
            <w:r>
              <w:rPr>
                <w:rFonts w:ascii="宋体" w:hAnsi="宋体"/>
                <w:sz w:val="20"/>
                <w:szCs w:val="20"/>
              </w:rPr>
              <w:t>3,385,986,710</w:t>
            </w:r>
          </w:p>
        </w:tc>
        <w:tc>
          <w:tcPr>
            <w:tcW w:w="927" w:type="dxa"/>
            <w:vAlign w:val="center"/>
          </w:tcPr>
          <w:p>
            <w:pPr>
              <w:jc w:val="center"/>
              <w:rPr>
                <w:rFonts w:ascii="宋体" w:hAnsi="宋体"/>
                <w:sz w:val="21"/>
                <w:szCs w:val="21"/>
              </w:rPr>
            </w:pPr>
            <w:r>
              <w:rPr>
                <w:rFonts w:hint="eastAsia" w:ascii="宋体" w:hAnsi="宋体"/>
                <w:sz w:val="21"/>
                <w:szCs w:val="21"/>
              </w:rPr>
              <w:t>好仓</w:t>
            </w:r>
          </w:p>
        </w:tc>
        <w:tc>
          <w:tcPr>
            <w:tcW w:w="1315" w:type="dxa"/>
            <w:vAlign w:val="center"/>
          </w:tcPr>
          <w:p>
            <w:pPr>
              <w:jc w:val="right"/>
              <w:rPr>
                <w:rFonts w:ascii="宋体" w:hAnsi="宋体"/>
                <w:sz w:val="20"/>
                <w:szCs w:val="20"/>
              </w:rPr>
            </w:pPr>
            <w:r>
              <w:rPr>
                <w:rFonts w:hint="eastAsia" w:ascii="宋体" w:hAnsi="宋体"/>
                <w:sz w:val="20"/>
                <w:szCs w:val="20"/>
              </w:rPr>
              <w:t>–</w:t>
            </w:r>
          </w:p>
        </w:tc>
        <w:tc>
          <w:tcPr>
            <w:tcW w:w="1175" w:type="dxa"/>
            <w:vAlign w:val="center"/>
          </w:tcPr>
          <w:p>
            <w:pPr>
              <w:jc w:val="right"/>
              <w:rPr>
                <w:rFonts w:ascii="宋体" w:hAnsi="宋体"/>
                <w:sz w:val="20"/>
                <w:szCs w:val="20"/>
              </w:rPr>
            </w:pPr>
            <w:r>
              <w:rPr>
                <w:rFonts w:ascii="宋体" w:hAnsi="宋体"/>
                <w:sz w:val="20"/>
                <w:szCs w:val="20"/>
              </w:rPr>
              <w:t>45.51%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Merge w:val="continue"/>
            <w:vAlign w:val="center"/>
          </w:tcPr>
          <w:p>
            <w:pPr>
              <w:jc w:val="center"/>
              <w:rPr>
                <w:rFonts w:ascii="宋体" w:hAnsi="宋体"/>
                <w:sz w:val="21"/>
                <w:szCs w:val="21"/>
              </w:rPr>
            </w:pPr>
          </w:p>
        </w:tc>
        <w:tc>
          <w:tcPr>
            <w:tcW w:w="1185" w:type="dxa"/>
            <w:vMerge w:val="continue"/>
            <w:vAlign w:val="center"/>
          </w:tcPr>
          <w:p>
            <w:pPr>
              <w:jc w:val="center"/>
              <w:rPr>
                <w:rFonts w:ascii="宋体" w:hAnsi="宋体"/>
                <w:sz w:val="21"/>
                <w:szCs w:val="21"/>
              </w:rPr>
            </w:pPr>
          </w:p>
        </w:tc>
        <w:tc>
          <w:tcPr>
            <w:tcW w:w="1265" w:type="dxa"/>
            <w:vMerge w:val="continue"/>
            <w:vAlign w:val="center"/>
          </w:tcPr>
          <w:p>
            <w:pPr>
              <w:jc w:val="center"/>
              <w:rPr>
                <w:rFonts w:ascii="宋体" w:hAnsi="宋体"/>
                <w:sz w:val="21"/>
                <w:szCs w:val="21"/>
              </w:rPr>
            </w:pPr>
          </w:p>
        </w:tc>
        <w:tc>
          <w:tcPr>
            <w:tcW w:w="1865" w:type="dxa"/>
            <w:vAlign w:val="center"/>
          </w:tcPr>
          <w:p>
            <w:pPr>
              <w:jc w:val="right"/>
              <w:rPr>
                <w:rFonts w:ascii="宋体" w:hAnsi="宋体"/>
                <w:sz w:val="21"/>
                <w:szCs w:val="21"/>
              </w:rPr>
            </w:pPr>
            <w:r>
              <w:rPr>
                <w:rFonts w:ascii="宋体" w:hAnsi="宋体"/>
                <w:sz w:val="20"/>
                <w:szCs w:val="20"/>
              </w:rPr>
              <w:t>171,415,778</w:t>
            </w:r>
          </w:p>
        </w:tc>
        <w:tc>
          <w:tcPr>
            <w:tcW w:w="927" w:type="dxa"/>
            <w:vAlign w:val="center"/>
          </w:tcPr>
          <w:p>
            <w:pPr>
              <w:jc w:val="center"/>
              <w:rPr>
                <w:rFonts w:ascii="宋体" w:hAnsi="宋体"/>
                <w:sz w:val="21"/>
                <w:szCs w:val="21"/>
              </w:rPr>
            </w:pPr>
            <w:r>
              <w:rPr>
                <w:rFonts w:hint="eastAsia" w:ascii="宋体" w:hAnsi="宋体"/>
                <w:sz w:val="21"/>
                <w:szCs w:val="21"/>
              </w:rPr>
              <w:t>淡仓</w:t>
            </w:r>
          </w:p>
        </w:tc>
        <w:tc>
          <w:tcPr>
            <w:tcW w:w="1315" w:type="dxa"/>
            <w:vAlign w:val="center"/>
          </w:tcPr>
          <w:p>
            <w:pPr>
              <w:jc w:val="right"/>
              <w:rPr>
                <w:rFonts w:ascii="宋体" w:hAnsi="宋体"/>
                <w:sz w:val="20"/>
                <w:szCs w:val="20"/>
              </w:rPr>
            </w:pPr>
            <w:r>
              <w:rPr>
                <w:rFonts w:hint="eastAsia" w:ascii="宋体" w:hAnsi="宋体"/>
                <w:sz w:val="20"/>
                <w:szCs w:val="20"/>
              </w:rPr>
              <w:t>–</w:t>
            </w:r>
          </w:p>
        </w:tc>
        <w:tc>
          <w:tcPr>
            <w:tcW w:w="1175" w:type="dxa"/>
            <w:vAlign w:val="center"/>
          </w:tcPr>
          <w:p>
            <w:pPr>
              <w:jc w:val="right"/>
              <w:rPr>
                <w:rFonts w:ascii="宋体" w:hAnsi="宋体"/>
                <w:sz w:val="20"/>
                <w:szCs w:val="20"/>
              </w:rPr>
            </w:pPr>
            <w:r>
              <w:rPr>
                <w:rFonts w:ascii="宋体" w:hAnsi="宋体"/>
                <w:sz w:val="20"/>
                <w:szCs w:val="20"/>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center"/>
          </w:tcPr>
          <w:p>
            <w:pPr>
              <w:jc w:val="center"/>
              <w:rPr>
                <w:rFonts w:ascii="宋体" w:hAnsi="宋体"/>
                <w:sz w:val="21"/>
                <w:szCs w:val="21"/>
              </w:rPr>
            </w:pPr>
            <w:r>
              <w:rPr>
                <w:rFonts w:hint="eastAsia" w:ascii="宋体" w:hAnsi="宋体"/>
                <w:sz w:val="21"/>
                <w:szCs w:val="21"/>
              </w:rPr>
              <w:t>山东能源</w:t>
            </w:r>
            <w:r>
              <w:rPr>
                <w:rFonts w:hint="eastAsia" w:ascii="宋体" w:hAnsi="宋体"/>
                <w:sz w:val="21"/>
                <w:szCs w:val="21"/>
                <w:vertAlign w:val="superscript"/>
              </w:rPr>
              <w:t>①</w:t>
            </w:r>
          </w:p>
        </w:tc>
        <w:tc>
          <w:tcPr>
            <w:tcW w:w="1185" w:type="dxa"/>
            <w:vAlign w:val="center"/>
          </w:tcPr>
          <w:p>
            <w:pPr>
              <w:jc w:val="center"/>
              <w:rPr>
                <w:rFonts w:ascii="宋体" w:hAnsi="宋体"/>
                <w:sz w:val="21"/>
                <w:szCs w:val="21"/>
              </w:rPr>
            </w:pPr>
            <w:r>
              <w:rPr>
                <w:rFonts w:ascii="宋体" w:hAnsi="宋体"/>
                <w:sz w:val="21"/>
                <w:szCs w:val="21"/>
              </w:rPr>
              <w:t>H</w:t>
            </w:r>
            <w:r>
              <w:rPr>
                <w:rFonts w:hint="eastAsia" w:ascii="宋体" w:hAnsi="宋体"/>
                <w:sz w:val="21"/>
                <w:szCs w:val="21"/>
              </w:rPr>
              <w:t>股</w:t>
            </w:r>
          </w:p>
        </w:tc>
        <w:tc>
          <w:tcPr>
            <w:tcW w:w="1265" w:type="dxa"/>
            <w:vAlign w:val="center"/>
          </w:tcPr>
          <w:p>
            <w:pPr>
              <w:jc w:val="center"/>
              <w:rPr>
                <w:rFonts w:ascii="宋体" w:hAnsi="宋体"/>
                <w:sz w:val="21"/>
                <w:szCs w:val="21"/>
              </w:rPr>
            </w:pPr>
            <w:r>
              <w:rPr>
                <w:rFonts w:hint="eastAsia" w:ascii="宋体" w:hAnsi="宋体"/>
                <w:sz w:val="21"/>
                <w:szCs w:val="21"/>
              </w:rPr>
              <w:t>所控制法团的权益</w:t>
            </w:r>
          </w:p>
        </w:tc>
        <w:tc>
          <w:tcPr>
            <w:tcW w:w="1865" w:type="dxa"/>
            <w:vAlign w:val="center"/>
          </w:tcPr>
          <w:p>
            <w:pPr>
              <w:jc w:val="right"/>
              <w:rPr>
                <w:rFonts w:ascii="宋体" w:hAnsi="宋体"/>
                <w:sz w:val="21"/>
                <w:szCs w:val="21"/>
              </w:rPr>
            </w:pPr>
            <w:r>
              <w:rPr>
                <w:rFonts w:ascii="宋体" w:hAnsi="宋体"/>
                <w:sz w:val="20"/>
                <w:szCs w:val="20"/>
              </w:rPr>
              <w:t>682,483,500</w:t>
            </w:r>
          </w:p>
        </w:tc>
        <w:tc>
          <w:tcPr>
            <w:tcW w:w="927" w:type="dxa"/>
            <w:vAlign w:val="center"/>
          </w:tcPr>
          <w:p>
            <w:pPr>
              <w:jc w:val="center"/>
              <w:rPr>
                <w:rFonts w:ascii="宋体" w:hAnsi="宋体"/>
                <w:sz w:val="21"/>
                <w:szCs w:val="21"/>
              </w:rPr>
            </w:pPr>
            <w:r>
              <w:rPr>
                <w:rFonts w:hint="eastAsia" w:ascii="宋体" w:hAnsi="宋体"/>
                <w:sz w:val="21"/>
                <w:szCs w:val="21"/>
              </w:rPr>
              <w:t>好仓</w:t>
            </w:r>
          </w:p>
        </w:tc>
        <w:tc>
          <w:tcPr>
            <w:tcW w:w="1315" w:type="dxa"/>
            <w:vAlign w:val="center"/>
          </w:tcPr>
          <w:p>
            <w:pPr>
              <w:jc w:val="right"/>
              <w:rPr>
                <w:rFonts w:ascii="宋体" w:hAnsi="宋体"/>
                <w:sz w:val="20"/>
                <w:szCs w:val="20"/>
              </w:rPr>
            </w:pPr>
            <w:r>
              <w:rPr>
                <w:rFonts w:ascii="宋体" w:hAnsi="宋体"/>
                <w:sz w:val="20"/>
                <w:szCs w:val="20"/>
              </w:rPr>
              <w:t>23.95%</w:t>
            </w:r>
          </w:p>
        </w:tc>
        <w:tc>
          <w:tcPr>
            <w:tcW w:w="1175" w:type="dxa"/>
            <w:vAlign w:val="center"/>
          </w:tcPr>
          <w:p>
            <w:pPr>
              <w:jc w:val="right"/>
              <w:rPr>
                <w:rFonts w:ascii="宋体" w:hAnsi="宋体"/>
                <w:sz w:val="20"/>
                <w:szCs w:val="20"/>
              </w:rPr>
            </w:pPr>
            <w:r>
              <w:rPr>
                <w:rFonts w:ascii="宋体" w:hAnsi="宋体"/>
                <w:sz w:val="20"/>
                <w:szCs w:val="20"/>
              </w:rPr>
              <w:t>9.17%</w:t>
            </w:r>
          </w:p>
        </w:tc>
      </w:tr>
    </w:tbl>
    <w:p>
      <w:pPr>
        <w:spacing w:after="120"/>
        <w:ind w:firstLine="420" w:firstLineChars="200"/>
        <w:rPr>
          <w:rFonts w:ascii="宋体" w:hAnsi="宋体"/>
        </w:rPr>
      </w:pPr>
      <w:r>
        <w:rPr>
          <w:rFonts w:hint="eastAsia"/>
        </w:rPr>
        <w:t>注：</w:t>
      </w:r>
    </w:p>
    <w:p>
      <w:pPr>
        <w:spacing w:after="120"/>
        <w:ind w:firstLine="420" w:firstLineChars="200"/>
        <w:rPr>
          <w:rFonts w:ascii="宋体" w:hAnsi="宋体"/>
        </w:rPr>
      </w:pPr>
      <w:r>
        <w:rPr>
          <w:rFonts w:hint="eastAsia" w:ascii="宋体" w:hAnsi="宋体"/>
        </w:rPr>
        <w:t>①该等</w:t>
      </w:r>
      <w:r>
        <w:rPr>
          <w:rFonts w:ascii="宋体" w:hAnsi="宋体"/>
        </w:rPr>
        <w:t>H</w:t>
      </w:r>
      <w:r>
        <w:rPr>
          <w:rFonts w:hint="eastAsia" w:ascii="宋体" w:hAnsi="宋体"/>
        </w:rPr>
        <w:t>股是由兖矿香港公司以实益拥有人的身份持有。</w:t>
      </w:r>
    </w:p>
    <w:p>
      <w:pPr>
        <w:spacing w:after="120"/>
        <w:ind w:firstLine="420" w:firstLineChars="200"/>
        <w:rPr>
          <w:rFonts w:ascii="宋体" w:hAnsi="宋体"/>
        </w:rPr>
      </w:pPr>
      <w:r>
        <w:rPr>
          <w:rFonts w:hint="eastAsia" w:ascii="宋体" w:hAnsi="宋体"/>
        </w:rPr>
        <w:t>②百分比数据保留至小数点后两位。</w:t>
      </w:r>
    </w:p>
    <w:p>
      <w:pPr>
        <w:spacing w:after="120"/>
        <w:ind w:firstLine="420" w:firstLineChars="200"/>
        <w:rPr>
          <w:rFonts w:ascii="宋体" w:hAnsi="宋体"/>
        </w:rPr>
      </w:pPr>
      <w:r>
        <w:rPr>
          <w:rFonts w:hint="eastAsia" w:ascii="宋体" w:hAnsi="宋体"/>
        </w:rPr>
        <w:t>③所披露的信息乃是基于香港联交所的网站</w:t>
      </w:r>
      <w:r>
        <w:rPr>
          <w:rFonts w:ascii="宋体" w:hAnsi="宋体"/>
          <w:color w:val="000000" w:themeColor="text1"/>
          <w14:textFill>
            <w14:solidFill>
              <w14:schemeClr w14:val="tx1"/>
            </w14:solidFill>
          </w14:textFill>
        </w:rPr>
        <w:t>(</w:t>
      </w:r>
      <w:bookmarkStart w:id="163" w:name="_Hlk129612153"/>
      <w:r>
        <w:rPr>
          <w:rFonts w:hint="eastAsia" w:ascii="宋体" w:hAnsi="宋体"/>
          <w:color w:val="000000" w:themeColor="text1"/>
          <w14:textFill>
            <w14:solidFill>
              <w14:schemeClr w14:val="tx1"/>
            </w14:solidFill>
          </w14:textFill>
        </w:rPr>
        <w:t>https：</w:t>
      </w:r>
      <w:r>
        <w:fldChar w:fldCharType="begin"/>
      </w:r>
      <w:r>
        <w:instrText xml:space="preserve"> HYPERLINK "http://www.hkexnews.hk" </w:instrText>
      </w:r>
      <w:r>
        <w:fldChar w:fldCharType="separate"/>
      </w:r>
      <w:r>
        <w:rPr>
          <w:rFonts w:ascii="宋体" w:hAnsi="宋体"/>
          <w:color w:val="000000" w:themeColor="text1"/>
          <w:lang w:val="en-AU"/>
          <w14:textFill>
            <w14:solidFill>
              <w14:schemeClr w14:val="tx1"/>
            </w14:solidFill>
          </w14:textFill>
        </w:rPr>
        <w:t>www.hkexnews.hk</w:t>
      </w:r>
      <w:r>
        <w:rPr>
          <w:rFonts w:ascii="宋体" w:hAnsi="宋体"/>
          <w:color w:val="000000" w:themeColor="text1"/>
          <w:lang w:val="en-AU"/>
          <w14:textFill>
            <w14:solidFill>
              <w14:schemeClr w14:val="tx1"/>
            </w14:solidFill>
          </w14:textFill>
        </w:rPr>
        <w:fldChar w:fldCharType="end"/>
      </w:r>
      <w:bookmarkEnd w:id="163"/>
      <w:r>
        <w:rPr>
          <w:rFonts w:ascii="宋体" w:hAnsi="宋体"/>
        </w:rPr>
        <w:t>)</w:t>
      </w:r>
      <w:r>
        <w:rPr>
          <w:rFonts w:hint="eastAsia" w:ascii="宋体" w:hAnsi="宋体"/>
        </w:rPr>
        <w:t>及中国证券登记结算有限责任公司上海分公司所提供的信息作出。</w:t>
      </w:r>
    </w:p>
    <w:p>
      <w:pPr>
        <w:pStyle w:val="43"/>
      </w:pPr>
    </w:p>
    <w:p>
      <w:pPr>
        <w:pStyle w:val="3"/>
        <w:numPr>
          <w:ilvl w:val="0"/>
          <w:numId w:val="45"/>
        </w:numPr>
        <w:rPr>
          <w:rFonts w:ascii="宋体" w:hAnsi="宋体"/>
        </w:rPr>
      </w:pPr>
      <w:r>
        <w:rPr>
          <w:rFonts w:hint="eastAsia" w:ascii="宋体" w:hAnsi="宋体"/>
        </w:rPr>
        <w:t>控股股东及实际控制人情况</w:t>
      </w:r>
    </w:p>
    <w:p>
      <w:pPr>
        <w:pStyle w:val="4"/>
        <w:numPr>
          <w:ilvl w:val="0"/>
          <w:numId w:val="50"/>
        </w:numPr>
        <w:rPr>
          <w:rFonts w:ascii="宋体" w:hAnsi="宋体"/>
        </w:rPr>
      </w:pPr>
      <w:r>
        <w:rPr>
          <w:rFonts w:ascii="宋体" w:hAnsi="宋体"/>
        </w:rPr>
        <w:t>控股股东情况</w:t>
      </w:r>
    </w:p>
    <w:p>
      <w:pPr>
        <w:pStyle w:val="5"/>
        <w:numPr>
          <w:ilvl w:val="0"/>
          <w:numId w:val="51"/>
        </w:numPr>
        <w:rPr>
          <w:rFonts w:ascii="宋体" w:hAnsi="宋体" w:eastAsia="宋体"/>
        </w:rPr>
      </w:pPr>
      <w:r>
        <w:rPr>
          <w:rFonts w:ascii="宋体" w:hAnsi="宋体" w:eastAsia="宋体"/>
        </w:rPr>
        <w:t>法人</w:t>
      </w:r>
    </w:p>
    <w:sdt>
      <w:sdtPr>
        <w:alias w:val="是否适用：法人_控股股东情况[双击切换]"/>
        <w:tag w:val="_GBC_eab2d7c8478645dbae996b49d203b0d9"/>
        <w:id w:val="1552805572"/>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0"/>
        <w:gridCol w:w="5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 w:hRule="atLeast"/>
        </w:trPr>
        <w:sdt>
          <w:sdtPr>
            <w:rPr>
              <w:rFonts w:ascii="宋体" w:hAnsi="宋体"/>
            </w:rPr>
            <w:tag w:val="_PLD_e1d45d230e0e4c06bc451af63b51d4e2"/>
            <w:id w:val="983662025"/>
          </w:sdtPr>
          <w:sdtEndPr>
            <w:rPr>
              <w:rFonts w:ascii="宋体" w:hAnsi="宋体"/>
            </w:rPr>
          </w:sdtEndPr>
          <w:sdtContent>
            <w:tc>
              <w:tcPr>
                <w:tcW w:w="3290" w:type="dxa"/>
                <w:vAlign w:val="center"/>
              </w:tcPr>
              <w:p>
                <w:pPr>
                  <w:rPr>
                    <w:rFonts w:ascii="宋体" w:hAnsi="宋体"/>
                  </w:rPr>
                </w:pPr>
                <w:r>
                  <w:rPr>
                    <w:rFonts w:hint="eastAsia" w:ascii="宋体" w:hAnsi="宋体"/>
                  </w:rPr>
                  <w:t>名称</w:t>
                </w:r>
              </w:p>
            </w:tc>
          </w:sdtContent>
        </w:sdt>
        <w:sdt>
          <w:sdtPr>
            <w:rPr>
              <w:rFonts w:hint="eastAsia" w:ascii="宋体" w:hAnsi="宋体"/>
            </w:rPr>
            <w:alias w:val="法人控股股东名称"/>
            <w:tag w:val="_GBC_b9697fb9b1e247b58382e6e5a1fdba0f"/>
            <w:id w:val="-243271713"/>
          </w:sdtPr>
          <w:sdtEndPr>
            <w:rPr>
              <w:rFonts w:hint="eastAsia" w:ascii="宋体" w:hAnsi="宋体"/>
            </w:rPr>
          </w:sdtEndPr>
          <w:sdtContent>
            <w:tc>
              <w:tcPr>
                <w:tcW w:w="5533" w:type="dxa"/>
              </w:tcPr>
              <w:p>
                <w:pPr>
                  <w:rPr>
                    <w:rFonts w:ascii="宋体" w:hAnsi="宋体"/>
                  </w:rPr>
                </w:pPr>
                <w:r>
                  <w:rPr>
                    <w:rFonts w:hint="eastAsia" w:ascii="宋体" w:hAnsi="宋体"/>
                  </w:rPr>
                  <w:t>山东能源集团有限公司</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290" w:type="dxa"/>
            <w:vAlign w:val="center"/>
          </w:tcPr>
          <w:p>
            <w:pPr>
              <w:rPr>
                <w:rFonts w:ascii="宋体" w:hAnsi="宋体"/>
              </w:rPr>
            </w:pPr>
            <w:r>
              <w:rPr>
                <w:rFonts w:hint="eastAsia" w:ascii="宋体" w:hAnsi="宋体"/>
              </w:rPr>
              <w:t>单位负责人或法定代表人</w:t>
            </w:r>
          </w:p>
        </w:tc>
        <w:tc>
          <w:tcPr>
            <w:tcW w:w="5533" w:type="dxa"/>
          </w:tcPr>
          <w:p>
            <w:pPr>
              <w:rPr>
                <w:rFonts w:ascii="宋体" w:hAnsi="宋体"/>
              </w:rPr>
            </w:pPr>
            <w:r>
              <w:rPr>
                <w:rFonts w:hint="eastAsia" w:ascii="宋体" w:hAnsi="宋体"/>
              </w:rPr>
              <w:t>李伟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290" w:type="dxa"/>
            <w:vAlign w:val="center"/>
          </w:tcPr>
          <w:p>
            <w:pPr>
              <w:rPr>
                <w:rFonts w:ascii="宋体" w:hAnsi="宋体"/>
              </w:rPr>
            </w:pPr>
            <w:r>
              <w:rPr>
                <w:rFonts w:hint="eastAsia" w:ascii="宋体" w:hAnsi="宋体"/>
              </w:rPr>
              <w:t>成立日期</w:t>
            </w:r>
          </w:p>
        </w:tc>
        <w:tc>
          <w:tcPr>
            <w:tcW w:w="5533" w:type="dxa"/>
          </w:tcPr>
          <w:p>
            <w:pPr>
              <w:rPr>
                <w:rFonts w:ascii="宋体" w:hAnsi="宋体"/>
              </w:rPr>
            </w:pPr>
            <w:r>
              <w:rPr>
                <w:rFonts w:ascii="宋体" w:hAnsi="宋体"/>
              </w:rPr>
              <w:t>1996年3月12日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290" w:type="dxa"/>
            <w:vAlign w:val="center"/>
          </w:tcPr>
          <w:p>
            <w:pPr>
              <w:rPr>
                <w:rFonts w:ascii="宋体" w:hAnsi="宋体"/>
              </w:rPr>
            </w:pPr>
            <w:r>
              <w:rPr>
                <w:rFonts w:hint="eastAsia" w:ascii="宋体" w:hAnsi="宋体"/>
              </w:rPr>
              <w:t>主要经营业务</w:t>
            </w:r>
          </w:p>
        </w:tc>
        <w:tc>
          <w:tcPr>
            <w:tcW w:w="5533" w:type="dxa"/>
          </w:tcPr>
          <w:p>
            <w:pPr>
              <w:rPr>
                <w:rFonts w:ascii="宋体" w:hAnsi="宋体"/>
              </w:rPr>
            </w:pPr>
            <w:r>
              <w:rPr>
                <w:rFonts w:hint="eastAsia" w:ascii="宋体" w:hAnsi="宋体"/>
              </w:rPr>
              <w:t>矿业、电力、高端化工、高端装备制造、新能源新材料、现代物流贸易等业务。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290" w:type="dxa"/>
            <w:vAlign w:val="center"/>
          </w:tcPr>
          <w:p>
            <w:pPr>
              <w:rPr>
                <w:rFonts w:ascii="宋体" w:hAnsi="宋体"/>
              </w:rPr>
            </w:pPr>
            <w:r>
              <w:rPr>
                <w:rFonts w:hint="eastAsia" w:ascii="宋体" w:hAnsi="宋体"/>
              </w:rPr>
              <w:t>报告期内控股和参股的其他境内外上市公司的股权情况</w:t>
            </w:r>
          </w:p>
        </w:tc>
        <w:tc>
          <w:tcPr>
            <w:tcW w:w="5533" w:type="dxa"/>
            <w:vAlign w:val="center"/>
          </w:tcPr>
          <w:p>
            <w:pPr>
              <w:rPr>
                <w:rFonts w:ascii="宋体" w:hAnsi="宋体"/>
              </w:rPr>
            </w:pPr>
            <w:r>
              <w:rPr>
                <w:rFonts w:hint="eastAsia" w:ascii="宋体" w:hAnsi="宋体"/>
              </w:rPr>
              <w:t>请见下表。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290" w:type="dxa"/>
            <w:vAlign w:val="center"/>
          </w:tcPr>
          <w:p>
            <w:pPr>
              <w:pStyle w:val="43"/>
              <w:widowControl w:val="0"/>
              <w:jc w:val="both"/>
            </w:pPr>
            <w:r>
              <w:rPr>
                <w:rFonts w:hint="eastAsia"/>
              </w:rPr>
              <w:t>其他情况说明</w:t>
            </w:r>
          </w:p>
        </w:tc>
        <w:tc>
          <w:tcPr>
            <w:tcW w:w="5533" w:type="dxa"/>
          </w:tcPr>
          <w:p>
            <w:pPr>
              <w:pStyle w:val="43"/>
              <w:widowControl w:val="0"/>
              <w:jc w:val="both"/>
            </w:pPr>
            <w:r>
              <w:rPr>
                <w:rFonts w:hint="eastAsia"/>
              </w:rPr>
              <w:t>截至</w:t>
            </w:r>
            <w:r>
              <w:t>2023年12月31日，山东能源持有公司A股股份33.86亿股；兖矿香港公司持有公司H股股份6.82亿股；山东能源及兖矿香港公司合计持有公司40.68亿股，占公司总股本的约54.69%。</w:t>
            </w:r>
          </w:p>
        </w:tc>
      </w:tr>
    </w:tbl>
    <w:p>
      <w:pPr>
        <w:pStyle w:val="43"/>
      </w:pPr>
      <w:r>
        <w:rPr>
          <w:rFonts w:hint="eastAsia"/>
        </w:rPr>
        <w:t>截至</w:t>
      </w:r>
      <w:r>
        <w:t>2023年12月31日，山东能源控股及参股的其他境内外上市公司的股权情况如下：</w:t>
      </w:r>
    </w:p>
    <w:tbl>
      <w:tblPr>
        <w:tblStyle w:val="114"/>
        <w:tblW w:w="9210" w:type="dxa"/>
        <w:tblInd w:w="-137" w:type="dxa"/>
        <w:tblLayout w:type="fixed"/>
        <w:tblCellMar>
          <w:top w:w="0" w:type="dxa"/>
          <w:left w:w="108" w:type="dxa"/>
          <w:bottom w:w="0" w:type="dxa"/>
          <w:right w:w="108" w:type="dxa"/>
        </w:tblCellMar>
      </w:tblPr>
      <w:tblGrid>
        <w:gridCol w:w="994"/>
        <w:gridCol w:w="1378"/>
        <w:gridCol w:w="2731"/>
        <w:gridCol w:w="1377"/>
        <w:gridCol w:w="1275"/>
        <w:gridCol w:w="1455"/>
      </w:tblGrid>
      <w:tr>
        <w:tblPrEx>
          <w:tblCellMar>
            <w:top w:w="0" w:type="dxa"/>
            <w:left w:w="108" w:type="dxa"/>
            <w:bottom w:w="0" w:type="dxa"/>
            <w:right w:w="108" w:type="dxa"/>
          </w:tblCellMar>
        </w:tblPrEx>
        <w:trPr>
          <w:trHeight w:val="799" w:hRule="atLeast"/>
        </w:trPr>
        <w:tc>
          <w:tcPr>
            <w:tcW w:w="994"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74"/>
              <w:ind w:right="47"/>
              <w:jc w:val="center"/>
              <w:rPr>
                <w:rFonts w:ascii="宋体" w:hAnsi="宋体" w:eastAsia="宋体" w:cs="Arial"/>
                <w:szCs w:val="28"/>
              </w:rPr>
            </w:pPr>
            <w:r>
              <w:rPr>
                <w:rFonts w:hint="eastAsia" w:ascii="宋体" w:hAnsi="宋体" w:eastAsia="宋体"/>
                <w:szCs w:val="21"/>
              </w:rPr>
              <w:t>序号</w:t>
            </w:r>
          </w:p>
        </w:tc>
        <w:tc>
          <w:tcPr>
            <w:tcW w:w="1378"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74"/>
              <w:ind w:left="143"/>
              <w:jc w:val="center"/>
              <w:rPr>
                <w:rFonts w:ascii="宋体" w:hAnsi="宋体" w:eastAsia="宋体" w:cs="Arial"/>
                <w:szCs w:val="28"/>
              </w:rPr>
            </w:pPr>
            <w:r>
              <w:rPr>
                <w:rFonts w:hint="eastAsia" w:ascii="宋体" w:hAnsi="宋体" w:eastAsia="宋体"/>
                <w:szCs w:val="21"/>
              </w:rPr>
              <w:t>上市公司简称</w:t>
            </w:r>
          </w:p>
        </w:tc>
        <w:tc>
          <w:tcPr>
            <w:tcW w:w="2731"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74"/>
              <w:ind w:right="33"/>
              <w:jc w:val="center"/>
              <w:rPr>
                <w:rFonts w:ascii="宋体" w:hAnsi="宋体" w:eastAsia="宋体" w:cs="Arial"/>
                <w:szCs w:val="28"/>
              </w:rPr>
            </w:pPr>
            <w:r>
              <w:rPr>
                <w:rFonts w:hint="eastAsia" w:ascii="宋体" w:hAnsi="宋体" w:eastAsia="宋体"/>
                <w:szCs w:val="21"/>
              </w:rPr>
              <w:t>上市交易所</w:t>
            </w:r>
          </w:p>
        </w:tc>
        <w:tc>
          <w:tcPr>
            <w:tcW w:w="137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74"/>
              <w:ind w:right="151"/>
              <w:jc w:val="center"/>
              <w:rPr>
                <w:rFonts w:ascii="宋体" w:hAnsi="宋体" w:eastAsia="宋体" w:cs="Arial"/>
                <w:szCs w:val="28"/>
              </w:rPr>
            </w:pPr>
            <w:r>
              <w:rPr>
                <w:rFonts w:hint="eastAsia" w:ascii="宋体" w:hAnsi="宋体" w:eastAsia="宋体"/>
                <w:szCs w:val="21"/>
              </w:rPr>
              <w:t>股票代码</w:t>
            </w:r>
          </w:p>
        </w:tc>
        <w:tc>
          <w:tcPr>
            <w:tcW w:w="127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74"/>
              <w:ind w:right="-1"/>
              <w:jc w:val="center"/>
              <w:rPr>
                <w:rFonts w:ascii="宋体" w:hAnsi="宋体" w:eastAsia="宋体" w:cs="Arial"/>
                <w:szCs w:val="28"/>
              </w:rPr>
            </w:pPr>
            <w:r>
              <w:rPr>
                <w:rFonts w:hint="eastAsia" w:ascii="宋体" w:hAnsi="宋体" w:eastAsia="宋体" w:cs="Arial"/>
                <w:szCs w:val="28"/>
              </w:rPr>
              <w:t>持有量</w:t>
            </w:r>
          </w:p>
          <w:p>
            <w:pPr>
              <w:kinsoku w:val="0"/>
              <w:overflowPunct w:val="0"/>
              <w:autoSpaceDE w:val="0"/>
              <w:autoSpaceDN w:val="0"/>
              <w:adjustRightInd w:val="0"/>
              <w:spacing w:before="74"/>
              <w:ind w:right="-1"/>
              <w:jc w:val="center"/>
              <w:rPr>
                <w:rFonts w:ascii="宋体" w:hAnsi="宋体" w:eastAsia="宋体" w:cs="Arial"/>
                <w:szCs w:val="28"/>
              </w:rPr>
            </w:pPr>
            <w:r>
              <w:rPr>
                <w:rFonts w:hint="eastAsia" w:ascii="宋体" w:hAnsi="宋体" w:eastAsia="宋体" w:cs="Arial"/>
                <w:szCs w:val="28"/>
              </w:rPr>
              <w:t>（万股）</w:t>
            </w:r>
          </w:p>
        </w:tc>
        <w:tc>
          <w:tcPr>
            <w:tcW w:w="1455"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before="74"/>
              <w:ind w:right="17"/>
              <w:jc w:val="center"/>
              <w:rPr>
                <w:rFonts w:ascii="宋体" w:hAnsi="宋体" w:eastAsia="宋体"/>
                <w:szCs w:val="21"/>
              </w:rPr>
            </w:pPr>
            <w:r>
              <w:rPr>
                <w:rFonts w:hint="eastAsia" w:ascii="宋体" w:hAnsi="宋体" w:eastAsia="宋体"/>
                <w:szCs w:val="21"/>
              </w:rPr>
              <w:t>持股比例</w:t>
            </w:r>
          </w:p>
          <w:p>
            <w:pPr>
              <w:kinsoku w:val="0"/>
              <w:overflowPunct w:val="0"/>
              <w:autoSpaceDE w:val="0"/>
              <w:autoSpaceDN w:val="0"/>
              <w:adjustRightInd w:val="0"/>
              <w:spacing w:before="74"/>
              <w:ind w:right="17"/>
              <w:jc w:val="center"/>
              <w:rPr>
                <w:rFonts w:ascii="宋体" w:hAnsi="宋体" w:eastAsia="宋体" w:cs="Arial"/>
                <w:szCs w:val="28"/>
              </w:rPr>
            </w:pPr>
            <w:r>
              <w:rPr>
                <w:rFonts w:hint="eastAsia" w:ascii="宋体" w:hAnsi="宋体" w:eastAsia="宋体"/>
                <w:szCs w:val="21"/>
              </w:rPr>
              <w:t>（%）</w:t>
            </w:r>
          </w:p>
        </w:tc>
      </w:tr>
      <w:tr>
        <w:tblPrEx>
          <w:tblCellMar>
            <w:top w:w="0" w:type="dxa"/>
            <w:left w:w="108" w:type="dxa"/>
            <w:bottom w:w="0" w:type="dxa"/>
            <w:right w:w="108" w:type="dxa"/>
          </w:tblCellMar>
        </w:tblPrEx>
        <w:trPr>
          <w:trHeight w:val="799" w:hRule="atLeas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1</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云鼎科技</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深圳证券交易所</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ascii="宋体" w:hAnsi="宋体" w:eastAsiaTheme="minorEastAsia"/>
                <w:szCs w:val="28"/>
              </w:rPr>
              <w:t>000409.SZ</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Theme="minorEastAsia"/>
                <w:szCs w:val="28"/>
              </w:rPr>
            </w:pPr>
            <w:r>
              <w:rPr>
                <w:rFonts w:ascii="宋体" w:hAnsi="宋体" w:eastAsiaTheme="minorEastAsia"/>
                <w:szCs w:val="28"/>
              </w:rPr>
              <w:t xml:space="preserve">23,864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Theme="minorEastAsia"/>
                <w:szCs w:val="28"/>
              </w:rPr>
            </w:pPr>
            <w:r>
              <w:rPr>
                <w:rFonts w:ascii="宋体" w:hAnsi="宋体" w:eastAsiaTheme="minorEastAsia"/>
                <w:szCs w:val="28"/>
              </w:rPr>
              <w:t>35.93</w:t>
            </w:r>
          </w:p>
        </w:tc>
      </w:tr>
      <w:tr>
        <w:tblPrEx>
          <w:tblCellMar>
            <w:top w:w="0" w:type="dxa"/>
            <w:left w:w="108" w:type="dxa"/>
            <w:bottom w:w="0" w:type="dxa"/>
            <w:right w:w="108" w:type="dxa"/>
          </w:tblCellMar>
        </w:tblPrEx>
        <w:trPr>
          <w:trHeight w:val="799" w:hRule="atLeas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宋体"/>
                <w:szCs w:val="28"/>
              </w:rPr>
              <w:t>2</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山东玻纤</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上海证券交易所</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ascii="宋体" w:hAnsi="宋体" w:eastAsiaTheme="minorEastAsia"/>
                <w:szCs w:val="28"/>
              </w:rPr>
              <w:t>605006.SH</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 xml:space="preserve">26,370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52.74</w:t>
            </w:r>
          </w:p>
        </w:tc>
      </w:tr>
      <w:tr>
        <w:tblPrEx>
          <w:tblCellMar>
            <w:top w:w="0" w:type="dxa"/>
            <w:left w:w="108" w:type="dxa"/>
            <w:bottom w:w="0" w:type="dxa"/>
            <w:right w:w="108" w:type="dxa"/>
          </w:tblCellMar>
        </w:tblPrEx>
        <w:trPr>
          <w:trHeight w:val="533" w:hRule="exac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宋体"/>
                <w:szCs w:val="28"/>
              </w:rPr>
              <w:t>3</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齐翔腾达</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深圳证券交易所</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ascii="宋体" w:hAnsi="宋体" w:eastAsiaTheme="minorEastAsia"/>
                <w:szCs w:val="28"/>
              </w:rPr>
              <w:t>002408.SZ</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 xml:space="preserve">151,196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53.19</w:t>
            </w:r>
          </w:p>
        </w:tc>
      </w:tr>
      <w:tr>
        <w:tblPrEx>
          <w:tblCellMar>
            <w:top w:w="0" w:type="dxa"/>
            <w:left w:w="108" w:type="dxa"/>
            <w:bottom w:w="0" w:type="dxa"/>
            <w:right w:w="108" w:type="dxa"/>
          </w:tblCellMar>
        </w:tblPrEx>
        <w:trPr>
          <w:trHeight w:val="530" w:hRule="exac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宋体"/>
                <w:szCs w:val="28"/>
              </w:rPr>
              <w:t>4</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新风光</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上海证券交易所</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ascii="宋体" w:hAnsi="宋体" w:eastAsiaTheme="minorEastAsia"/>
                <w:szCs w:val="28"/>
              </w:rPr>
              <w:t>688663.SH</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 xml:space="preserve">5,353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38.25</w:t>
            </w:r>
          </w:p>
        </w:tc>
      </w:tr>
      <w:tr>
        <w:tblPrEx>
          <w:tblCellMar>
            <w:top w:w="0" w:type="dxa"/>
            <w:left w:w="108" w:type="dxa"/>
            <w:bottom w:w="0" w:type="dxa"/>
            <w:right w:w="108" w:type="dxa"/>
          </w:tblCellMar>
        </w:tblPrEx>
        <w:trPr>
          <w:trHeight w:val="530" w:hRule="exac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ascii="宋体" w:hAnsi="宋体" w:eastAsia="宋体"/>
                <w:szCs w:val="28"/>
              </w:rPr>
              <w:t>5</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中泰证券</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上海证券交易所</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ascii="宋体" w:hAnsi="宋体" w:eastAsiaTheme="minorEastAsia"/>
                <w:szCs w:val="28"/>
              </w:rPr>
              <w:t>600918.SH</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 xml:space="preserve">251,508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36.09</w:t>
            </w:r>
          </w:p>
        </w:tc>
      </w:tr>
      <w:tr>
        <w:tblPrEx>
          <w:tblCellMar>
            <w:top w:w="0" w:type="dxa"/>
            <w:left w:w="108" w:type="dxa"/>
            <w:bottom w:w="0" w:type="dxa"/>
            <w:right w:w="108" w:type="dxa"/>
          </w:tblCellMar>
        </w:tblPrEx>
        <w:trPr>
          <w:trHeight w:val="530" w:hRule="exac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宋体"/>
                <w:szCs w:val="28"/>
              </w:rPr>
              <w:t>6</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新华医疗</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上海证券交易所</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ascii="宋体" w:hAnsi="宋体" w:eastAsiaTheme="minorEastAsia"/>
                <w:szCs w:val="28"/>
              </w:rPr>
              <w:t>600587.SH</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 xml:space="preserve">11,695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28.39</w:t>
            </w:r>
          </w:p>
        </w:tc>
      </w:tr>
      <w:tr>
        <w:tblPrEx>
          <w:tblCellMar>
            <w:top w:w="0" w:type="dxa"/>
            <w:left w:w="108" w:type="dxa"/>
            <w:bottom w:w="0" w:type="dxa"/>
            <w:right w:w="108" w:type="dxa"/>
          </w:tblCellMar>
        </w:tblPrEx>
        <w:trPr>
          <w:trHeight w:val="530" w:hRule="exac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ascii="宋体" w:hAnsi="宋体" w:eastAsiaTheme="minorEastAsia"/>
                <w:szCs w:val="28"/>
              </w:rPr>
              <w:t>7</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华检医疗</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香港联合交易所有限公司</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ascii="宋体" w:hAnsi="宋体" w:eastAsiaTheme="minorEastAsia"/>
                <w:szCs w:val="28"/>
              </w:rPr>
              <w:t>01931.HK</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Theme="minorEastAsia"/>
                <w:szCs w:val="28"/>
              </w:rPr>
            </w:pPr>
            <w:r>
              <w:rPr>
                <w:rFonts w:ascii="宋体" w:hAnsi="宋体" w:eastAsiaTheme="minorEastAsia"/>
                <w:szCs w:val="28"/>
              </w:rPr>
              <w:t xml:space="preserve">44,365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Theme="minorEastAsia"/>
                <w:szCs w:val="28"/>
              </w:rPr>
            </w:pPr>
            <w:r>
              <w:rPr>
                <w:rFonts w:ascii="宋体" w:hAnsi="宋体" w:eastAsiaTheme="minorEastAsia"/>
                <w:szCs w:val="28"/>
              </w:rPr>
              <w:t>32.75</w:t>
            </w:r>
          </w:p>
        </w:tc>
      </w:tr>
      <w:tr>
        <w:tblPrEx>
          <w:tblCellMar>
            <w:top w:w="0" w:type="dxa"/>
            <w:left w:w="108" w:type="dxa"/>
            <w:bottom w:w="0" w:type="dxa"/>
            <w:right w:w="108" w:type="dxa"/>
          </w:tblCellMar>
        </w:tblPrEx>
        <w:trPr>
          <w:trHeight w:val="530" w:hRule="exac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ascii="宋体" w:hAnsi="宋体" w:eastAsia="宋体"/>
                <w:szCs w:val="28"/>
              </w:rPr>
              <w:t>8</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日照港</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上海证券交易所</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ascii="宋体" w:hAnsi="宋体" w:eastAsiaTheme="minorEastAsia"/>
                <w:szCs w:val="28"/>
              </w:rPr>
              <w:t>600017.SH</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 xml:space="preserve">17,824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ascii="宋体" w:hAnsi="宋体" w:eastAsiaTheme="minorEastAsia"/>
                <w:szCs w:val="28"/>
              </w:rPr>
              <w:t>5.80</w:t>
            </w:r>
          </w:p>
        </w:tc>
      </w:tr>
      <w:tr>
        <w:tblPrEx>
          <w:tblCellMar>
            <w:top w:w="0" w:type="dxa"/>
            <w:left w:w="108" w:type="dxa"/>
            <w:bottom w:w="0" w:type="dxa"/>
            <w:right w:w="108" w:type="dxa"/>
          </w:tblCellMar>
        </w:tblPrEx>
        <w:trPr>
          <w:trHeight w:val="530" w:hRule="exac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ascii="宋体" w:hAnsi="宋体" w:eastAsia="宋体"/>
                <w:szCs w:val="28"/>
              </w:rPr>
              <w:t>9</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日照港裕廊</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hint="eastAsia" w:ascii="宋体" w:hAnsi="宋体" w:eastAsiaTheme="minorEastAsia"/>
                <w:szCs w:val="28"/>
              </w:rPr>
              <w:t>香港联合交易所有限公司</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宋体"/>
                <w:szCs w:val="28"/>
              </w:rPr>
            </w:pPr>
            <w:r>
              <w:rPr>
                <w:rFonts w:ascii="宋体" w:hAnsi="宋体" w:eastAsiaTheme="minorEastAsia"/>
                <w:szCs w:val="28"/>
              </w:rPr>
              <w:t>06117.HK</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hint="eastAsia" w:ascii="宋体" w:hAnsi="宋体" w:eastAsiaTheme="minorEastAsia"/>
                <w:szCs w:val="28"/>
              </w:rPr>
              <w:t>5,000</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宋体"/>
                <w:szCs w:val="28"/>
              </w:rPr>
            </w:pPr>
            <w:r>
              <w:rPr>
                <w:rFonts w:hint="eastAsia" w:ascii="宋体" w:hAnsi="宋体" w:eastAsiaTheme="minorEastAsia"/>
                <w:szCs w:val="28"/>
              </w:rPr>
              <w:t>3.01</w:t>
            </w:r>
          </w:p>
        </w:tc>
      </w:tr>
      <w:tr>
        <w:tblPrEx>
          <w:tblCellMar>
            <w:top w:w="0" w:type="dxa"/>
            <w:left w:w="108" w:type="dxa"/>
            <w:bottom w:w="0" w:type="dxa"/>
            <w:right w:w="108" w:type="dxa"/>
          </w:tblCellMar>
        </w:tblPrEx>
        <w:trPr>
          <w:trHeight w:val="530" w:hRule="exac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ascii="宋体" w:hAnsi="宋体" w:eastAsia="宋体"/>
                <w:szCs w:val="28"/>
              </w:rPr>
              <w:t>10</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盘江股份</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上海证券交易所</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ascii="宋体" w:hAnsi="宋体" w:eastAsiaTheme="minorEastAsia"/>
                <w:szCs w:val="28"/>
              </w:rPr>
              <w:t>600395.SH</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Theme="minorEastAsia"/>
                <w:szCs w:val="28"/>
              </w:rPr>
            </w:pPr>
            <w:r>
              <w:rPr>
                <w:rFonts w:ascii="宋体" w:hAnsi="宋体" w:eastAsiaTheme="minorEastAsia"/>
                <w:szCs w:val="28"/>
              </w:rPr>
              <w:t xml:space="preserve">9,078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Theme="minorEastAsia"/>
                <w:szCs w:val="28"/>
              </w:rPr>
            </w:pPr>
            <w:r>
              <w:rPr>
                <w:rFonts w:ascii="宋体" w:hAnsi="宋体" w:eastAsiaTheme="minorEastAsia"/>
                <w:szCs w:val="28"/>
              </w:rPr>
              <w:t>4.23</w:t>
            </w:r>
          </w:p>
        </w:tc>
      </w:tr>
      <w:tr>
        <w:tblPrEx>
          <w:tblCellMar>
            <w:top w:w="0" w:type="dxa"/>
            <w:left w:w="108" w:type="dxa"/>
            <w:bottom w:w="0" w:type="dxa"/>
            <w:right w:w="108" w:type="dxa"/>
          </w:tblCellMar>
        </w:tblPrEx>
        <w:trPr>
          <w:trHeight w:val="530" w:hRule="exac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ascii="宋体" w:hAnsi="宋体" w:eastAsiaTheme="minorEastAsia"/>
                <w:szCs w:val="28"/>
              </w:rPr>
              <w:t>11</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齐鲁高速</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香港联合交易所有限公司</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01576.HK</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Theme="minorEastAsia"/>
                <w:szCs w:val="28"/>
              </w:rPr>
            </w:pPr>
            <w:r>
              <w:rPr>
                <w:rFonts w:hint="eastAsia" w:ascii="宋体" w:hAnsi="宋体" w:eastAsiaTheme="minorEastAsia"/>
                <w:szCs w:val="28"/>
              </w:rPr>
              <w:t xml:space="preserve">4,089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Theme="minorEastAsia"/>
                <w:szCs w:val="28"/>
              </w:rPr>
            </w:pPr>
            <w:r>
              <w:rPr>
                <w:rFonts w:hint="eastAsia" w:ascii="宋体" w:hAnsi="宋体" w:eastAsiaTheme="minorEastAsia"/>
                <w:szCs w:val="28"/>
              </w:rPr>
              <w:t>2.0</w:t>
            </w:r>
            <w:r>
              <w:rPr>
                <w:rFonts w:ascii="宋体" w:hAnsi="宋体" w:eastAsiaTheme="minorEastAsia"/>
                <w:szCs w:val="28"/>
              </w:rPr>
              <w:t>4</w:t>
            </w:r>
          </w:p>
        </w:tc>
      </w:tr>
      <w:tr>
        <w:tblPrEx>
          <w:tblCellMar>
            <w:top w:w="0" w:type="dxa"/>
            <w:left w:w="108" w:type="dxa"/>
            <w:bottom w:w="0" w:type="dxa"/>
            <w:right w:w="108" w:type="dxa"/>
          </w:tblCellMar>
        </w:tblPrEx>
        <w:trPr>
          <w:trHeight w:val="530" w:hRule="exact"/>
        </w:trPr>
        <w:tc>
          <w:tcPr>
            <w:tcW w:w="9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ascii="宋体" w:hAnsi="宋体" w:eastAsiaTheme="minorEastAsia"/>
                <w:szCs w:val="28"/>
              </w:rPr>
              <w:t>12</w:t>
            </w:r>
          </w:p>
        </w:tc>
        <w:tc>
          <w:tcPr>
            <w:tcW w:w="13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国泰君安</w:t>
            </w:r>
          </w:p>
        </w:tc>
        <w:tc>
          <w:tcPr>
            <w:tcW w:w="2731"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上海证券交易所</w:t>
            </w:r>
          </w:p>
        </w:tc>
        <w:tc>
          <w:tcPr>
            <w:tcW w:w="1377"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eastAsiaTheme="minorEastAsia"/>
                <w:szCs w:val="28"/>
              </w:rPr>
            </w:pPr>
            <w:r>
              <w:rPr>
                <w:rFonts w:hint="eastAsia" w:ascii="宋体" w:hAnsi="宋体" w:eastAsiaTheme="minorEastAsia"/>
                <w:szCs w:val="28"/>
              </w:rPr>
              <w:t>601211.SH</w:t>
            </w:r>
          </w:p>
        </w:tc>
        <w:tc>
          <w:tcPr>
            <w:tcW w:w="127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Theme="minorEastAsia"/>
                <w:szCs w:val="28"/>
              </w:rPr>
            </w:pPr>
            <w:r>
              <w:rPr>
                <w:rFonts w:hint="eastAsia" w:ascii="宋体" w:hAnsi="宋体" w:eastAsiaTheme="minorEastAsia"/>
                <w:szCs w:val="28"/>
              </w:rPr>
              <w:t xml:space="preserve">4,718 </w:t>
            </w:r>
          </w:p>
        </w:tc>
        <w:tc>
          <w:tcPr>
            <w:tcW w:w="14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right"/>
              <w:rPr>
                <w:rFonts w:ascii="宋体" w:hAnsi="宋体" w:eastAsiaTheme="minorEastAsia"/>
                <w:szCs w:val="28"/>
              </w:rPr>
            </w:pPr>
            <w:r>
              <w:rPr>
                <w:rFonts w:hint="eastAsia" w:ascii="宋体" w:hAnsi="宋体" w:eastAsiaTheme="minorEastAsia"/>
                <w:szCs w:val="28"/>
              </w:rPr>
              <w:t>0.53</w:t>
            </w:r>
          </w:p>
        </w:tc>
      </w:tr>
    </w:tbl>
    <w:p>
      <w:pPr>
        <w:pStyle w:val="501"/>
      </w:pPr>
    </w:p>
    <w:p>
      <w:pPr>
        <w:pStyle w:val="4"/>
        <w:numPr>
          <w:ilvl w:val="0"/>
          <w:numId w:val="50"/>
        </w:numPr>
      </w:pPr>
      <w:r>
        <w:rPr>
          <w:rFonts w:hint="eastAsia"/>
        </w:rPr>
        <w:t>实际控制人情况</w:t>
      </w:r>
    </w:p>
    <w:p>
      <w:pPr>
        <w:pStyle w:val="5"/>
        <w:numPr>
          <w:ilvl w:val="0"/>
          <w:numId w:val="52"/>
        </w:numPr>
      </w:pPr>
      <w:r>
        <w:rPr>
          <w:rFonts w:hint="eastAsia"/>
        </w:rPr>
        <w:t>实际控制人名称</w:t>
      </w:r>
    </w:p>
    <w:tbl>
      <w:tblPr>
        <w:tblStyle w:val="37"/>
        <w:tblW w:w="311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tcPr>
          <w:p>
            <w:pPr>
              <w:pStyle w:val="501"/>
              <w:rPr>
                <w:rFonts w:ascii="Times New Roman" w:hAnsi="Times New Roman"/>
              </w:rPr>
            </w:pPr>
            <w:r>
              <w:rPr>
                <w:rFonts w:hint="eastAsia" w:ascii="Times New Roman" w:hAnsi="Times New Roman"/>
              </w:rPr>
              <w:t>山东省人民政府国有资产监督管理委员会</w:t>
            </w:r>
          </w:p>
        </w:tc>
      </w:tr>
    </w:tbl>
    <w:p>
      <w:pPr>
        <w:pStyle w:val="43"/>
      </w:pPr>
    </w:p>
    <w:p>
      <w:pPr>
        <w:pStyle w:val="5"/>
        <w:numPr>
          <w:ilvl w:val="0"/>
          <w:numId w:val="52"/>
        </w:numPr>
      </w:pPr>
      <w:r>
        <w:t>公司与实际控制人之间的产权及控制关系的方框图</w:t>
      </w:r>
      <w:r>
        <w:rPr>
          <w:rFonts w:hint="eastAsia"/>
        </w:rPr>
        <w:t>（截至</w:t>
      </w:r>
      <w:r>
        <w:t>2023年12月31日）</w:t>
      </w:r>
    </w:p>
    <w:sdt>
      <w:sdtPr>
        <w:alias w:val="是否适用：公司与实际控制人之间的产权及控制关系的方框图[双击切换]"/>
        <w:tag w:val="_GBC_8ddc5ba6a04141dc94582029460f81bd"/>
        <w:id w:val="-1670241774"/>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center"/>
      </w:pPr>
      <w:sdt>
        <w:sdtPr>
          <w:rPr>
            <w:rFonts w:hint="eastAsia"/>
          </w:rPr>
          <w:alias w:val="图片：公司与实际控制人之间的产权及控制关系的方框图"/>
          <w:tag w:val="_GBC_538f0b25ae684717a3c8362262a5a004"/>
          <w:id w:val="1693952061"/>
          <w:placeholder>
            <w:docPart w:val="GBC22222222222222222222222222222"/>
          </w:placeholder>
          <w:picture/>
        </w:sdtPr>
        <w:sdtEndPr>
          <w:rPr>
            <w:rFonts w:hint="eastAsia"/>
          </w:rPr>
        </w:sdtEndPr>
        <w:sdtContent>
          <w:r>
            <w:rPr>
              <w:rFonts w:hint="eastAsia"/>
            </w:rPr>
            <w:drawing>
              <wp:inline distT="0" distB="0" distL="0" distR="0">
                <wp:extent cx="3158490" cy="2066925"/>
                <wp:effectExtent l="0" t="0" r="381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3158727" cy="2066925"/>
                        </a:xfrm>
                        <a:prstGeom prst="rect">
                          <a:avLst/>
                        </a:prstGeom>
                        <a:noFill/>
                        <a:ln>
                          <a:noFill/>
                        </a:ln>
                      </pic:spPr>
                    </pic:pic>
                  </a:graphicData>
                </a:graphic>
              </wp:inline>
            </w:drawing>
          </w:r>
        </w:sdtContent>
      </w:sdt>
    </w:p>
    <w:p>
      <w:pPr>
        <w:pStyle w:val="43"/>
      </w:pPr>
    </w:p>
    <w:p>
      <w:pPr>
        <w:pStyle w:val="5"/>
        <w:numPr>
          <w:ilvl w:val="0"/>
          <w:numId w:val="52"/>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24233972"/>
        <w:placeholder>
          <w:docPart w:val="GBC22222222222222222222222222222"/>
        </w:placeholder>
      </w:sdtPr>
      <w:sdtEndPr>
        <w:rPr>
          <w:rFonts w:hint="eastAsia"/>
        </w:rPr>
      </w:sdtEnd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4"/>
        <w:numPr>
          <w:ilvl w:val="0"/>
          <w:numId w:val="50"/>
        </w:numPr>
      </w:pPr>
      <w:r>
        <w:t>控股股东及实际控制人其他情况介绍</w:t>
      </w:r>
    </w:p>
    <w:sdt>
      <w:sdtPr>
        <w:rPr>
          <w:rFonts w:hint="eastAsia"/>
        </w:rPr>
        <w:alias w:val="是否适用：控股股东及实际控制人其他情况介绍[双击切换]"/>
        <w:tag w:val="_GBC_f45ea2fa04e04b71a116fba6ba3bff32"/>
        <w:id w:val="1691881635"/>
        <w:placeholder>
          <w:docPart w:val="GBC22222222222222222222222222222"/>
        </w:placeholder>
      </w:sdtPr>
      <w:sdtEndPr>
        <w:rPr>
          <w:rFonts w:hint="eastAsia"/>
        </w:rPr>
      </w:sdtEndPr>
      <w:sdtContent>
        <w:p>
          <w:pPr>
            <w:pStyle w:val="4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43"/>
      </w:pPr>
    </w:p>
    <w:p>
      <w:pPr>
        <w:pStyle w:val="3"/>
        <w:numPr>
          <w:ilvl w:val="0"/>
          <w:numId w:val="45"/>
        </w:numPr>
      </w:pPr>
      <w:r>
        <w:t>公司控股股东或第一大股东及其一致行动人累计质押股份数量占其所持公司股份数量比例达到 80%以上</w:t>
      </w:r>
    </w:p>
    <w:sdt>
      <w:sdtPr>
        <w:rPr>
          <w:rFonts w:hint="eastAsia"/>
        </w:rPr>
        <w:alias w:val="是否适用：公司控股股东或第一大股东及其一致行动人累计质押股份数量情况明细[双击切换]"/>
        <w:tag w:val="_GBC_f07bbd5a46a94903bbea3fbbdc7b769f"/>
        <w:id w:val="-1959871716"/>
        <w:placeholder>
          <w:docPart w:val="GBC22222222222222222222222222222"/>
        </w:placeholder>
      </w:sdtPr>
      <w:sdtEndPr>
        <w:rPr>
          <w:rFonts w:hint="eastAsia"/>
        </w:rPr>
      </w:sdtEndPr>
      <w:sdtContent>
        <w:p>
          <w:pPr>
            <w:pStyle w:val="43"/>
          </w:pPr>
          <w:bookmarkStart w:id="164" w:name="_Hlk8935303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64"/>
    <w:p>
      <w:pPr>
        <w:pStyle w:val="501"/>
      </w:pPr>
    </w:p>
    <w:p>
      <w:pPr>
        <w:pStyle w:val="3"/>
        <w:numPr>
          <w:ilvl w:val="0"/>
          <w:numId w:val="45"/>
        </w:numPr>
      </w:pPr>
      <w:r>
        <w:rPr>
          <w:rFonts w:hint="eastAsia"/>
        </w:rPr>
        <w:t>其他持股在百分之十以上的法人股东</w:t>
      </w:r>
    </w:p>
    <w:sdt>
      <w:sdtPr>
        <w:alias w:val="是否适用：其他持股在百分之十以上的法人股东[双击切换]"/>
        <w:tag w:val="_GBC_7c5d05f2d72d4d3c9ef6e9b93777b39f"/>
        <w:id w:val="-2108501246"/>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firstLine="420" w:firstLineChars="200"/>
        <w:rPr>
          <w:rFonts w:ascii="宋体" w:hAnsi="宋体"/>
        </w:rPr>
      </w:pPr>
      <w:r>
        <w:rPr>
          <w:rFonts w:hint="eastAsia" w:ascii="宋体" w:hAnsi="宋体"/>
        </w:rPr>
        <w:t>香港中央结算（代理人）有限公司于</w:t>
      </w:r>
      <w:r>
        <w:rPr>
          <w:rFonts w:ascii="宋体" w:hAnsi="宋体"/>
        </w:rPr>
        <w:t>2023年12月31日持有公司H股2,846,595,507股，占公司</w:t>
      </w:r>
      <w:r>
        <w:rPr>
          <w:rFonts w:hint="eastAsia" w:ascii="宋体" w:hAnsi="宋体"/>
        </w:rPr>
        <w:t>总股本的</w:t>
      </w:r>
      <w:r>
        <w:rPr>
          <w:rFonts w:ascii="宋体" w:hAnsi="宋体"/>
        </w:rPr>
        <w:t>38.26%，乃分别代表其多个客户持有。香港中央结算（代理人）有限公司是香港中央结</w:t>
      </w:r>
      <w:r>
        <w:rPr>
          <w:rFonts w:hint="eastAsia" w:ascii="宋体" w:hAnsi="宋体"/>
        </w:rPr>
        <w:t>算及交收系统成员，为客户提供证券登记及托管业务。</w:t>
      </w:r>
    </w:p>
    <w:p>
      <w:pPr>
        <w:pStyle w:val="43"/>
      </w:pPr>
    </w:p>
    <w:p>
      <w:pPr>
        <w:pStyle w:val="3"/>
        <w:numPr>
          <w:ilvl w:val="0"/>
          <w:numId w:val="45"/>
        </w:numPr>
      </w:pPr>
      <w:r>
        <w:rPr>
          <w:rFonts w:hint="eastAsia"/>
        </w:rPr>
        <w:t>股份限制减持情况说明</w:t>
      </w:r>
    </w:p>
    <w:p>
      <w:pPr>
        <w:pStyle w:val="43"/>
      </w:pPr>
      <w:sdt>
        <w:sdtPr>
          <w:rPr>
            <w:rFonts w:hint="eastAsia"/>
          </w:rPr>
          <w:alias w:val="是否适用：股份限制减持情况说明[双击切换]"/>
          <w:tag w:val="_GBC_38db60098ddc4e12bffd328b521e0c35"/>
          <w:id w:val="1748992727"/>
          <w:placeholder>
            <w:docPart w:val="GBC22222222222222222222222222222"/>
          </w:placeholder>
        </w:sdtPr>
        <w:sdtEndPr>
          <w:rPr>
            <w:rFonts w:hint="default"/>
          </w:rPr>
        </w:sdtEnd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pStyle w:val="43"/>
      </w:pPr>
    </w:p>
    <w:p>
      <w:pPr>
        <w:pStyle w:val="3"/>
        <w:numPr>
          <w:ilvl w:val="0"/>
          <w:numId w:val="45"/>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730691539"/>
        <w:placeholder>
          <w:docPart w:val="GBC22222222222222222222222222222"/>
        </w:placeholder>
      </w:sdtPr>
      <w:sdtEndPr>
        <w:rPr>
          <w:rFonts w:hint="eastAsia"/>
        </w:rPr>
      </w:sdtEndPr>
      <w:sdtContent>
        <w:p>
          <w:pPr>
            <w:pStyle w:val="43"/>
          </w:pPr>
          <w:bookmarkStart w:id="165" w:name="_Hlk89353439"/>
          <w:bookmarkStart w:id="166" w:name="_Hlk9004225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股份回购在报告期的具体实施情况"/>
          <w:tag w:val="_GBC_21792546ad004ee39a278a585bed9af7"/>
          <w:id w:val="205272540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万元</w:t>
          </w:r>
        </w:sdtContent>
      </w:sdt>
      <w:r>
        <w:rPr>
          <w:rFonts w:hint="eastAsia"/>
        </w:rPr>
        <w:t xml:space="preserve">  币种：</w:t>
      </w:r>
      <w:sdt>
        <w:sdtPr>
          <w:rPr>
            <w:rFonts w:hint="eastAsia"/>
          </w:rPr>
          <w:alias w:val="币种：股份回购在报告期的具体实施情况"/>
          <w:tag w:val="_GBC_d28ce55fd5d44a2a8978fe14c4fed7a0"/>
          <w:id w:val="-16223026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0"/>
        <w:gridCol w:w="5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rPr>
              <w:rFonts w:hint="eastAsia" w:ascii="宋体" w:hAnsi="宋体"/>
            </w:rPr>
            <w:tag w:val="_PLD_b8991132154646319b355a22c4f93ad1"/>
            <w:id w:val="-1074969813"/>
          </w:sdtPr>
          <w:sdtEndPr>
            <w:rPr>
              <w:rFonts w:hint="eastAsia" w:ascii="宋体" w:hAnsi="宋体"/>
            </w:rPr>
          </w:sdtEndPr>
          <w:sdtContent>
            <w:tc>
              <w:tcPr>
                <w:tcW w:w="1862" w:type="pct"/>
                <w:shd w:val="clear" w:color="auto" w:fill="auto"/>
              </w:tcPr>
              <w:p>
                <w:pPr>
                  <w:rPr>
                    <w:rFonts w:ascii="宋体" w:hAnsi="宋体"/>
                  </w:rPr>
                </w:pPr>
                <w:r>
                  <w:rPr>
                    <w:rFonts w:hint="eastAsia" w:ascii="宋体" w:hAnsi="宋体"/>
                  </w:rPr>
                  <w:t>回购股份方案名称</w:t>
                </w:r>
              </w:p>
            </w:tc>
          </w:sdtContent>
        </w:sdt>
        <w:sdt>
          <w:sdtPr>
            <w:rPr>
              <w:rFonts w:ascii="宋体" w:hAnsi="宋体"/>
            </w:rPr>
            <w:alias w:val="回购股份方案名称"/>
            <w:tag w:val="_GBC_4613feedd9fa4680b4c5e8a18b0d9a89"/>
            <w:id w:val="172163185"/>
          </w:sdtPr>
          <w:sdtEndPr>
            <w:rPr>
              <w:rFonts w:ascii="宋体" w:hAnsi="宋体"/>
            </w:rPr>
          </w:sdtEndPr>
          <w:sdtContent>
            <w:tc>
              <w:tcPr>
                <w:tcW w:w="3138" w:type="pct"/>
                <w:shd w:val="clear" w:color="auto" w:fill="auto"/>
                <w:vAlign w:val="center"/>
              </w:tcPr>
              <w:p>
                <w:pPr>
                  <w:rPr>
                    <w:rFonts w:ascii="宋体" w:hAnsi="宋体"/>
                  </w:rPr>
                </w:pPr>
                <w:r>
                  <w:rPr>
                    <w:rFonts w:hint="eastAsia" w:ascii="宋体" w:hAnsi="宋体"/>
                  </w:rPr>
                  <w:t>限制性股票回购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62" w:type="pct"/>
            <w:shd w:val="clear" w:color="auto" w:fill="auto"/>
          </w:tcPr>
          <w:p>
            <w:pPr>
              <w:rPr>
                <w:rFonts w:ascii="宋体" w:hAnsi="宋体"/>
              </w:rPr>
            </w:pPr>
            <w:r>
              <w:rPr>
                <w:rFonts w:hint="eastAsia" w:ascii="宋体" w:hAnsi="宋体"/>
              </w:rPr>
              <w:t>回购股份方案披露时间</w:t>
            </w:r>
          </w:p>
        </w:tc>
        <w:tc>
          <w:tcPr>
            <w:tcW w:w="3138" w:type="pct"/>
            <w:shd w:val="clear" w:color="auto" w:fill="auto"/>
            <w:vAlign w:val="center"/>
          </w:tcPr>
          <w:p>
            <w:pPr>
              <w:rPr>
                <w:rFonts w:ascii="宋体" w:hAnsi="宋体"/>
              </w:rPr>
            </w:pPr>
            <w:r>
              <w:rPr>
                <w:rFonts w:ascii="宋体" w:hAnsi="宋体"/>
              </w:rPr>
              <w:t>2023年8月25日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62"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拟回购股份数量及占总股本的比例(%)</w:t>
            </w:r>
          </w:p>
        </w:tc>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ascii="宋体" w:hAnsi="宋体"/>
              </w:rPr>
              <w:t>2,670,000股</w:t>
            </w:r>
            <w:r>
              <w:rPr>
                <w:rFonts w:hint="eastAsia" w:ascii="宋体" w:hAnsi="宋体"/>
              </w:rPr>
              <w:t>；</w:t>
            </w:r>
            <w:r>
              <w:rPr>
                <w:rFonts w:ascii="宋体" w:hAnsi="宋体"/>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62"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拟回购金额</w:t>
            </w:r>
          </w:p>
        </w:tc>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ascii="宋体" w:hAnsi="宋体"/>
              </w:rPr>
              <w:t>1,007.56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62"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拟回购期间</w:t>
            </w:r>
          </w:p>
        </w:tc>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62"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回购用途</w:t>
            </w:r>
          </w:p>
        </w:tc>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62"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已回购数量(股)</w:t>
            </w:r>
          </w:p>
        </w:tc>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ascii="宋体" w:hAnsi="宋体"/>
              </w:rPr>
              <w:t>2,670,000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62"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已回购数量占股权激励计划所涉及的标的股票的比例(%)（如有）</w:t>
            </w:r>
          </w:p>
        </w:tc>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2</w:t>
            </w:r>
            <w:r>
              <w:rPr>
                <w:rFonts w:ascii="宋体" w:hAnsi="宋体"/>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62"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公司采用集中竞价交易方式减持回购股份的进展情况</w:t>
            </w:r>
          </w:p>
        </w:tc>
        <w:tc>
          <w:tcPr>
            <w:tcW w:w="313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不适用</w:t>
            </w:r>
          </w:p>
        </w:tc>
      </w:tr>
      <w:bookmarkEnd w:id="165"/>
    </w:tbl>
    <w:p>
      <w:pPr>
        <w:pStyle w:val="72"/>
        <w:ind w:firstLine="420" w:firstLineChars="200"/>
        <w:rPr>
          <w:rFonts w:ascii="宋体" w:hAnsi="宋体"/>
        </w:rPr>
      </w:pPr>
      <w:r>
        <w:rPr>
          <w:rFonts w:hint="eastAsia" w:ascii="宋体" w:hAnsi="宋体"/>
        </w:rPr>
        <w:t>注：经2</w:t>
      </w:r>
      <w:r>
        <w:rPr>
          <w:rFonts w:ascii="宋体" w:hAnsi="宋体"/>
        </w:rPr>
        <w:t>023</w:t>
      </w:r>
      <w:r>
        <w:rPr>
          <w:rFonts w:hint="eastAsia" w:ascii="宋体" w:hAnsi="宋体"/>
        </w:rPr>
        <w:t>年8月2</w:t>
      </w:r>
      <w:r>
        <w:rPr>
          <w:rFonts w:ascii="宋体" w:hAnsi="宋体"/>
        </w:rPr>
        <w:t>5</w:t>
      </w:r>
      <w:r>
        <w:rPr>
          <w:rFonts w:hint="eastAsia" w:ascii="宋体" w:hAnsi="宋体"/>
        </w:rPr>
        <w:t>日召开的公司第九届董事会第二次会议审议批准，公司</w:t>
      </w:r>
      <w:r>
        <w:rPr>
          <w:rFonts w:ascii="宋体" w:hAnsi="宋体"/>
        </w:rPr>
        <w:t>2021年A股限制性股票激励计划</w:t>
      </w:r>
      <w:r>
        <w:rPr>
          <w:rFonts w:hint="eastAsia" w:ascii="宋体" w:hAnsi="宋体"/>
        </w:rPr>
        <w:t>部分激励对象因调动、退休等原因，已不符合激励条件，公司对其已获授但尚未解除限售的限制性股票</w:t>
      </w:r>
      <w:r>
        <w:rPr>
          <w:rFonts w:ascii="宋体" w:hAnsi="宋体"/>
        </w:rPr>
        <w:t>267万股进行回购</w:t>
      </w:r>
      <w:r>
        <w:rPr>
          <w:rFonts w:hint="eastAsia" w:ascii="宋体" w:hAnsi="宋体"/>
        </w:rPr>
        <w:t>并</w:t>
      </w:r>
      <w:r>
        <w:rPr>
          <w:rFonts w:ascii="宋体" w:hAnsi="宋体"/>
        </w:rPr>
        <w:t>注销。</w:t>
      </w:r>
    </w:p>
    <w:p>
      <w:pPr>
        <w:pStyle w:val="72"/>
      </w:pPr>
    </w:p>
    <w:bookmarkEnd w:id="166"/>
    <w:p>
      <w:pPr>
        <w:pStyle w:val="3"/>
        <w:numPr>
          <w:ilvl w:val="0"/>
          <w:numId w:val="45"/>
        </w:numPr>
      </w:pPr>
      <w:r>
        <w:t>优先购买权</w:t>
      </w:r>
    </w:p>
    <w:p>
      <w:pPr>
        <w:pStyle w:val="3"/>
        <w:ind w:left="450"/>
      </w:pPr>
      <w:r>
        <w:rPr>
          <w:rFonts w:ascii="宋体" w:hAnsi="宋体" w:cs="宋体"/>
          <w:b w:val="0"/>
          <w:bCs w:val="0"/>
          <w:kern w:val="0"/>
        </w:rPr>
        <w:t>《公司章程》及中国法规并无规定本公司须授予现有股东按其持股比例购买新股之权利。</w:t>
      </w:r>
    </w:p>
    <w:p>
      <w:pPr>
        <w:pStyle w:val="43"/>
      </w:pPr>
    </w:p>
    <w:p>
      <w:pPr>
        <w:pStyle w:val="43"/>
      </w:pPr>
    </w:p>
    <w:p>
      <w:pPr>
        <w:sectPr>
          <w:pgSz w:w="11906" w:h="16838"/>
          <w:pgMar w:top="1525" w:right="1276" w:bottom="1440" w:left="1797" w:header="856" w:footer="992" w:gutter="0"/>
          <w:cols w:space="425" w:num="1"/>
          <w:docGrid w:linePitch="312" w:charSpace="0"/>
        </w:sectPr>
      </w:pPr>
    </w:p>
    <w:p>
      <w:pPr>
        <w:pStyle w:val="43"/>
      </w:pPr>
    </w:p>
    <w:p>
      <w:pPr>
        <w:pStyle w:val="2"/>
        <w:numPr>
          <w:ilvl w:val="0"/>
          <w:numId w:val="2"/>
        </w:numPr>
        <w:rPr>
          <w:bCs w:val="0"/>
          <w:szCs w:val="28"/>
        </w:rPr>
      </w:pPr>
      <w:bookmarkStart w:id="167" w:name="_Toc437440717"/>
      <w:bookmarkStart w:id="168" w:name="_Toc158217556"/>
      <w:bookmarkStart w:id="169" w:name="_Hlk90555499"/>
      <w:r>
        <w:rPr>
          <w:rFonts w:hint="eastAsia"/>
          <w:bCs w:val="0"/>
          <w:szCs w:val="28"/>
        </w:rPr>
        <w:t>债券相关情况</w:t>
      </w:r>
      <w:bookmarkEnd w:id="167"/>
      <w:bookmarkEnd w:id="168"/>
    </w:p>
    <w:p>
      <w:pPr>
        <w:pStyle w:val="3"/>
        <w:numPr>
          <w:ilvl w:val="0"/>
          <w:numId w:val="53"/>
        </w:numPr>
        <w:ind w:left="425" w:hanging="425"/>
        <w:rPr>
          <w:rFonts w:ascii="宋体" w:hAnsi="宋体"/>
        </w:rPr>
      </w:pPr>
      <w:bookmarkStart w:id="170" w:name="_Hlk89353982"/>
      <w:bookmarkStart w:id="171" w:name="_Hlk89955979"/>
      <w:bookmarkStart w:id="172" w:name="_Hlk90042478"/>
      <w:r>
        <w:rPr>
          <w:rFonts w:hint="eastAsia" w:ascii="宋体" w:hAnsi="宋体"/>
        </w:rPr>
        <w:t>企业债券、公司债券和非金融企业债务融资工具</w:t>
      </w:r>
    </w:p>
    <w:sdt>
      <w:sdtPr>
        <w:alias w:val="是否适用：债券相关情况[双击切换]"/>
        <w:tag w:val="_GBC_804ac0b5f8c94edbbb148299204e0a43"/>
        <w:id w:val="807285243"/>
        <w:placeholder>
          <w:docPart w:val="GBC22222222222222222222222222222"/>
        </w:placeholder>
      </w:sdtPr>
      <w:sdtContent>
        <w:p>
          <w:pPr>
            <w:pStyle w:val="501"/>
          </w:pPr>
          <w:bookmarkStart w:id="173" w:name="_Hlk73352152"/>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173"/>
    <w:p>
      <w:pPr>
        <w:pStyle w:val="43"/>
      </w:pPr>
    </w:p>
    <w:p>
      <w:pPr>
        <w:pStyle w:val="4"/>
        <w:numPr>
          <w:ilvl w:val="0"/>
          <w:numId w:val="54"/>
        </w:numPr>
        <w:ind w:left="425" w:hanging="425"/>
        <w:rPr>
          <w:rFonts w:ascii="宋体" w:hAnsi="宋体"/>
        </w:rPr>
      </w:pPr>
      <w:r>
        <w:rPr>
          <w:rFonts w:hint="eastAsia" w:ascii="宋体" w:hAnsi="宋体"/>
        </w:rPr>
        <w:t>企业债券</w:t>
      </w:r>
    </w:p>
    <w:sdt>
      <w:sdtPr>
        <w:rPr>
          <w:rFonts w:hint="eastAsia"/>
          <w:bCs/>
        </w:rPr>
        <w:alias w:val="是否适用：企业债券相关情况[双击切换]"/>
        <w:tag w:val="_GBC_59ea52cccb5743b8993b033f15a125ce"/>
        <w:id w:val="-1430197921"/>
        <w:placeholder>
          <w:docPart w:val="GBC22222222222222222222222222222"/>
        </w:placeholder>
      </w:sdtPr>
      <w:sdtEndPr>
        <w:rPr>
          <w:rFonts w:hint="eastAsia"/>
          <w:bCs/>
        </w:rPr>
      </w:sdtEndPr>
      <w:sdtContent>
        <w:p>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pStyle w:val="501"/>
      </w:pPr>
    </w:p>
    <w:p>
      <w:pPr>
        <w:pStyle w:val="4"/>
        <w:numPr>
          <w:ilvl w:val="0"/>
          <w:numId w:val="54"/>
        </w:numPr>
        <w:ind w:left="425" w:hanging="425"/>
        <w:rPr>
          <w:rFonts w:ascii="宋体" w:hAnsi="宋体"/>
        </w:rPr>
      </w:pPr>
      <w:r>
        <w:rPr>
          <w:rFonts w:hint="eastAsia" w:ascii="宋体" w:hAnsi="宋体"/>
        </w:rPr>
        <w:t>公司债券</w:t>
      </w:r>
    </w:p>
    <w:sdt>
      <w:sdtPr>
        <w:alias w:val="是否适用：公司债券相关情况[双击切换]"/>
        <w:tag w:val="_GBC_bcf1d09cd7a14ac8aa0f16e88665e56b"/>
        <w:id w:val="1611629609"/>
        <w:lock w:val="contentLocked"/>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43"/>
      </w:pPr>
    </w:p>
    <w:p>
      <w:pPr>
        <w:pStyle w:val="5"/>
        <w:numPr>
          <w:ilvl w:val="0"/>
          <w:numId w:val="55"/>
        </w:numPr>
        <w:ind w:left="425" w:hanging="425"/>
        <w:rPr>
          <w:rFonts w:ascii="宋体" w:hAnsi="宋体"/>
        </w:rPr>
      </w:pPr>
      <w:r>
        <w:rPr>
          <w:rFonts w:hint="eastAsia" w:ascii="宋体" w:hAnsi="宋体"/>
        </w:rPr>
        <w:t>公司债券基本情况</w:t>
      </w:r>
      <w:bookmarkStart w:id="174" w:name="_Hlk160998178"/>
      <w:bookmarkStart w:id="175" w:name="_Hlk160998333"/>
      <w:r>
        <w:rPr>
          <w:rFonts w:hint="eastAsia" w:ascii="宋体" w:hAnsi="宋体"/>
        </w:rPr>
        <w:t>（截至本报告披露日）</w:t>
      </w:r>
      <w:bookmarkEnd w:id="174"/>
    </w:p>
    <w:bookmarkEnd w:id="175"/>
    <w:p>
      <w:pPr>
        <w:jc w:val="right"/>
      </w:pPr>
      <w:r>
        <w:rPr>
          <w:rFonts w:hint="eastAsia"/>
        </w:rPr>
        <w:t>单位</w:t>
      </w:r>
      <w:r>
        <w:t>：</w:t>
      </w:r>
      <w:sdt>
        <w:sdtPr>
          <w:alias w:val="单位：财务附注：公司债券基本情况"/>
          <w:tag w:val="_GBC_bd9547b45c6c4594a8094d44a7fe6279"/>
          <w:id w:val="18531444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亿元</w:t>
          </w:r>
        </w:sdtContent>
      </w:sdt>
      <w:r>
        <w:rPr>
          <w:rFonts w:hint="eastAsia"/>
        </w:rPr>
        <w:t xml:space="preserve">  币种</w:t>
      </w:r>
      <w:r>
        <w:t>：</w:t>
      </w:r>
      <w:sdt>
        <w:sdtPr>
          <w:alias w:val="币种：财务附注：公司债券基本情况"/>
          <w:tag w:val="_GBC_cdc5d151ddda45a4bf98da66209e91bd"/>
          <w:id w:val="20857953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tbl>
      <w:tblPr>
        <w:tblStyle w:val="1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090"/>
        <w:gridCol w:w="1305"/>
        <w:gridCol w:w="1288"/>
        <w:gridCol w:w="1288"/>
        <w:gridCol w:w="1288"/>
        <w:gridCol w:w="868"/>
        <w:gridCol w:w="1099"/>
        <w:gridCol w:w="1099"/>
        <w:gridCol w:w="908"/>
        <w:gridCol w:w="922"/>
        <w:gridCol w:w="922"/>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e7da7a2ab4d9487487eed9325da55f63"/>
            <w:id w:val="-979071517"/>
          </w:sdtPr>
          <w:sdtEndPr>
            <w:rPr>
              <w:rFonts w:ascii="宋体" w:hAnsi="宋体"/>
            </w:rPr>
          </w:sdtEndPr>
          <w:sdtContent>
            <w:tc>
              <w:tcPr>
                <w:tcW w:w="387" w:type="pct"/>
                <w:vAlign w:val="center"/>
              </w:tcPr>
              <w:p>
                <w:pPr>
                  <w:jc w:val="center"/>
                  <w:rPr>
                    <w:rFonts w:ascii="宋体" w:hAnsi="宋体"/>
                    <w:b/>
                    <w:bCs/>
                  </w:rPr>
                </w:pPr>
                <w:r>
                  <w:rPr>
                    <w:rFonts w:hint="eastAsia" w:ascii="宋体" w:hAnsi="宋体"/>
                  </w:rPr>
                  <w:t>债券名称</w:t>
                </w:r>
              </w:p>
            </w:tc>
          </w:sdtContent>
        </w:sdt>
        <w:sdt>
          <w:sdtPr>
            <w:rPr>
              <w:rFonts w:ascii="宋体" w:hAnsi="宋体"/>
            </w:rPr>
            <w:tag w:val="_PLD_11bd1f589bed4bc18a8ec5a9925add95"/>
            <w:id w:val="-1773773977"/>
          </w:sdtPr>
          <w:sdtEndPr>
            <w:rPr>
              <w:rFonts w:ascii="宋体" w:hAnsi="宋体"/>
            </w:rPr>
          </w:sdtEndPr>
          <w:sdtContent>
            <w:tc>
              <w:tcPr>
                <w:tcW w:w="387" w:type="pct"/>
                <w:vAlign w:val="center"/>
              </w:tcPr>
              <w:p>
                <w:pPr>
                  <w:jc w:val="center"/>
                  <w:rPr>
                    <w:rFonts w:ascii="宋体" w:hAnsi="宋体"/>
                  </w:rPr>
                </w:pPr>
                <w:r>
                  <w:rPr>
                    <w:rFonts w:hint="eastAsia" w:ascii="宋体" w:hAnsi="宋体"/>
                  </w:rPr>
                  <w:t>简称</w:t>
                </w:r>
              </w:p>
            </w:tc>
          </w:sdtContent>
        </w:sdt>
        <w:sdt>
          <w:sdtPr>
            <w:rPr>
              <w:rFonts w:ascii="宋体" w:hAnsi="宋体"/>
            </w:rPr>
            <w:tag w:val="_PLD_78acbd6549f34f9abcdaaadc793f5c20"/>
            <w:id w:val="-865131857"/>
          </w:sdtPr>
          <w:sdtEndPr>
            <w:rPr>
              <w:rFonts w:ascii="宋体" w:hAnsi="宋体"/>
            </w:rPr>
          </w:sdtEndPr>
          <w:sdtContent>
            <w:tc>
              <w:tcPr>
                <w:tcW w:w="463" w:type="pct"/>
                <w:vAlign w:val="center"/>
              </w:tcPr>
              <w:p>
                <w:pPr>
                  <w:jc w:val="center"/>
                  <w:rPr>
                    <w:rFonts w:ascii="宋体" w:hAnsi="宋体"/>
                  </w:rPr>
                </w:pPr>
                <w:r>
                  <w:rPr>
                    <w:rFonts w:hint="eastAsia" w:ascii="宋体" w:hAnsi="宋体"/>
                  </w:rPr>
                  <w:t>代码</w:t>
                </w:r>
              </w:p>
            </w:tc>
          </w:sdtContent>
        </w:sdt>
        <w:sdt>
          <w:sdtPr>
            <w:rPr>
              <w:rFonts w:ascii="宋体" w:hAnsi="宋体"/>
            </w:rPr>
            <w:tag w:val="_PLD_17245b360fb24f3f9e4e4b2064d98b11"/>
            <w:id w:val="-363606173"/>
          </w:sdtPr>
          <w:sdtEndPr>
            <w:rPr>
              <w:rFonts w:ascii="宋体" w:hAnsi="宋体"/>
            </w:rPr>
          </w:sdtEndPr>
          <w:sdtContent>
            <w:tc>
              <w:tcPr>
                <w:tcW w:w="457" w:type="pct"/>
                <w:vAlign w:val="center"/>
              </w:tcPr>
              <w:p>
                <w:pPr>
                  <w:jc w:val="center"/>
                  <w:rPr>
                    <w:rFonts w:ascii="宋体" w:hAnsi="宋体"/>
                  </w:rPr>
                </w:pPr>
                <w:r>
                  <w:rPr>
                    <w:rFonts w:hint="eastAsia" w:ascii="宋体" w:hAnsi="宋体"/>
                  </w:rPr>
                  <w:t>发行日</w:t>
                </w:r>
              </w:p>
            </w:tc>
          </w:sdtContent>
        </w:sdt>
        <w:tc>
          <w:tcPr>
            <w:tcW w:w="457" w:type="pct"/>
            <w:vAlign w:val="center"/>
          </w:tcPr>
          <w:sdt>
            <w:sdtPr>
              <w:rPr>
                <w:rFonts w:hint="eastAsia" w:ascii="宋体" w:hAnsi="宋体"/>
              </w:rPr>
              <w:tag w:val="_PLD_d07b74f43b114a5d8dd9c9bfc1a10d25"/>
              <w:id w:val="1924447059"/>
            </w:sdtPr>
            <w:sdtEndPr>
              <w:rPr>
                <w:rFonts w:hint="eastAsia" w:ascii="宋体" w:hAnsi="宋体"/>
              </w:rPr>
            </w:sdtEndPr>
            <w:sdtContent>
              <w:p>
                <w:pPr>
                  <w:jc w:val="center"/>
                  <w:rPr>
                    <w:rFonts w:ascii="宋体" w:hAnsi="宋体"/>
                  </w:rPr>
                </w:pPr>
                <w:r>
                  <w:rPr>
                    <w:rFonts w:hint="eastAsia" w:ascii="宋体" w:hAnsi="宋体"/>
                  </w:rPr>
                  <w:t>起息日</w:t>
                </w:r>
              </w:p>
            </w:sdtContent>
          </w:sdt>
        </w:tc>
        <w:sdt>
          <w:sdtPr>
            <w:rPr>
              <w:rFonts w:ascii="宋体" w:hAnsi="宋体"/>
            </w:rPr>
            <w:tag w:val="_PLD_b77c02cfe81e4fc9b3325bc5d34007af"/>
            <w:id w:val="-1294438299"/>
          </w:sdtPr>
          <w:sdtEndPr>
            <w:rPr>
              <w:rFonts w:ascii="宋体" w:hAnsi="宋体"/>
            </w:rPr>
          </w:sdtEndPr>
          <w:sdtContent>
            <w:tc>
              <w:tcPr>
                <w:tcW w:w="457" w:type="pct"/>
                <w:vAlign w:val="center"/>
              </w:tcPr>
              <w:p>
                <w:pPr>
                  <w:jc w:val="center"/>
                  <w:rPr>
                    <w:rFonts w:ascii="宋体" w:hAnsi="宋体"/>
                  </w:rPr>
                </w:pPr>
                <w:r>
                  <w:rPr>
                    <w:rFonts w:hint="eastAsia" w:ascii="宋体" w:hAnsi="宋体"/>
                  </w:rPr>
                  <w:t>到期日</w:t>
                </w:r>
              </w:p>
            </w:tc>
          </w:sdtContent>
        </w:sdt>
        <w:sdt>
          <w:sdtPr>
            <w:rPr>
              <w:rFonts w:ascii="宋体" w:hAnsi="宋体"/>
            </w:rPr>
            <w:tag w:val="_PLD_ddabbd6a5a154d0db01a295ed374ada8"/>
            <w:id w:val="835812781"/>
          </w:sdtPr>
          <w:sdtEndPr>
            <w:rPr>
              <w:rFonts w:ascii="宋体" w:hAnsi="宋体"/>
            </w:rPr>
          </w:sdtEndPr>
          <w:sdtContent>
            <w:tc>
              <w:tcPr>
                <w:tcW w:w="308" w:type="pct"/>
                <w:vAlign w:val="center"/>
              </w:tcPr>
              <w:p>
                <w:pPr>
                  <w:jc w:val="center"/>
                  <w:rPr>
                    <w:rFonts w:ascii="宋体" w:hAnsi="宋体"/>
                  </w:rPr>
                </w:pPr>
                <w:r>
                  <w:rPr>
                    <w:rFonts w:hint="eastAsia" w:ascii="宋体" w:hAnsi="宋体"/>
                  </w:rPr>
                  <w:t>债券余额</w:t>
                </w:r>
              </w:p>
            </w:tc>
          </w:sdtContent>
        </w:sdt>
        <w:sdt>
          <w:sdtPr>
            <w:rPr>
              <w:rFonts w:ascii="宋体" w:hAnsi="宋体"/>
            </w:rPr>
            <w:tag w:val="_PLD_7a4d04536fb8466c9d878f02a399fdab"/>
            <w:id w:val="-1307310142"/>
          </w:sdtPr>
          <w:sdtEndPr>
            <w:rPr>
              <w:rFonts w:ascii="宋体" w:hAnsi="宋体"/>
            </w:rPr>
          </w:sdtEndPr>
          <w:sdtContent>
            <w:tc>
              <w:tcPr>
                <w:tcW w:w="390" w:type="pct"/>
                <w:vAlign w:val="center"/>
              </w:tcPr>
              <w:p>
                <w:pPr>
                  <w:jc w:val="center"/>
                  <w:rPr>
                    <w:rFonts w:ascii="宋体" w:hAnsi="宋体"/>
                  </w:rPr>
                </w:pPr>
                <w:r>
                  <w:rPr>
                    <w:rFonts w:hint="eastAsia" w:ascii="宋体" w:hAnsi="宋体"/>
                  </w:rPr>
                  <w:t>利率（%）</w:t>
                </w:r>
              </w:p>
            </w:tc>
          </w:sdtContent>
        </w:sdt>
        <w:sdt>
          <w:sdtPr>
            <w:rPr>
              <w:rFonts w:ascii="宋体" w:hAnsi="宋体"/>
            </w:rPr>
            <w:tag w:val="_PLD_f204dbab170f429ba365dce2837b35b2"/>
            <w:id w:val="-443997271"/>
          </w:sdtPr>
          <w:sdtEndPr>
            <w:rPr>
              <w:rFonts w:ascii="宋体" w:hAnsi="宋体"/>
            </w:rPr>
          </w:sdtEndPr>
          <w:sdtContent>
            <w:tc>
              <w:tcPr>
                <w:tcW w:w="390" w:type="pct"/>
                <w:vAlign w:val="center"/>
              </w:tcPr>
              <w:p>
                <w:pPr>
                  <w:jc w:val="center"/>
                  <w:rPr>
                    <w:rFonts w:ascii="宋体" w:hAnsi="宋体"/>
                  </w:rPr>
                </w:pPr>
                <w:r>
                  <w:rPr>
                    <w:rFonts w:hint="eastAsia" w:ascii="宋体" w:hAnsi="宋体"/>
                  </w:rPr>
                  <w:t>还本付息方式</w:t>
                </w:r>
              </w:p>
            </w:tc>
          </w:sdtContent>
        </w:sdt>
        <w:sdt>
          <w:sdtPr>
            <w:rPr>
              <w:rFonts w:ascii="宋体" w:hAnsi="宋体"/>
            </w:rPr>
            <w:tag w:val="_PLD_e5d7cc66ded84cdfaba8023c751a3a9c"/>
            <w:id w:val="1371806026"/>
          </w:sdtPr>
          <w:sdtEndPr>
            <w:rPr>
              <w:rFonts w:ascii="宋体" w:hAnsi="宋体"/>
            </w:rPr>
          </w:sdtEndPr>
          <w:sdtContent>
            <w:tc>
              <w:tcPr>
                <w:tcW w:w="322" w:type="pct"/>
                <w:vAlign w:val="center"/>
              </w:tcPr>
              <w:p>
                <w:pPr>
                  <w:jc w:val="center"/>
                  <w:rPr>
                    <w:rFonts w:ascii="宋体" w:hAnsi="宋体"/>
                  </w:rPr>
                </w:pPr>
                <w:r>
                  <w:rPr>
                    <w:rFonts w:hint="eastAsia" w:ascii="宋体" w:hAnsi="宋体"/>
                  </w:rPr>
                  <w:t>交易场所</w:t>
                </w:r>
              </w:p>
            </w:tc>
          </w:sdtContent>
        </w:sdt>
        <w:sdt>
          <w:sdtPr>
            <w:rPr>
              <w:rFonts w:hint="eastAsia" w:ascii="宋体" w:hAnsi="宋体"/>
            </w:rPr>
            <w:tag w:val="_PLD_29405e73912c4131a608327cc9683d5c"/>
            <w:id w:val="2008395088"/>
          </w:sdtPr>
          <w:sdtEndPr>
            <w:rPr>
              <w:rFonts w:hint="eastAsia" w:ascii="宋体" w:hAnsi="宋体"/>
            </w:rPr>
          </w:sdtEndPr>
          <w:sdtContent>
            <w:tc>
              <w:tcPr>
                <w:tcW w:w="327" w:type="pct"/>
                <w:vAlign w:val="center"/>
              </w:tcPr>
              <w:p>
                <w:pPr>
                  <w:jc w:val="center"/>
                  <w:rPr>
                    <w:rFonts w:ascii="宋体" w:hAnsi="宋体"/>
                  </w:rPr>
                </w:pPr>
                <w:r>
                  <w:rPr>
                    <w:rFonts w:hint="eastAsia" w:ascii="宋体" w:hAnsi="宋体"/>
                  </w:rPr>
                  <w:t>投资者适当性安排（如有）</w:t>
                </w:r>
              </w:p>
            </w:tc>
          </w:sdtContent>
        </w:sdt>
        <w:tc>
          <w:tcPr>
            <w:tcW w:w="327" w:type="pct"/>
            <w:vAlign w:val="center"/>
          </w:tcPr>
          <w:sdt>
            <w:sdtPr>
              <w:rPr>
                <w:rFonts w:hint="eastAsia" w:ascii="宋体" w:hAnsi="宋体"/>
              </w:rPr>
              <w:tag w:val="_PLD_853e2280c63c4a369f764c5ea37c54c1"/>
              <w:id w:val="966941283"/>
            </w:sdtPr>
            <w:sdtEndPr>
              <w:rPr>
                <w:rFonts w:hint="eastAsia" w:ascii="宋体" w:hAnsi="宋体"/>
              </w:rPr>
            </w:sdtEndPr>
            <w:sdtContent>
              <w:p>
                <w:pPr>
                  <w:jc w:val="center"/>
                  <w:rPr>
                    <w:rFonts w:ascii="宋体" w:hAnsi="宋体"/>
                  </w:rPr>
                </w:pPr>
                <w:r>
                  <w:rPr>
                    <w:rFonts w:hint="eastAsia" w:ascii="宋体" w:hAnsi="宋体"/>
                  </w:rPr>
                  <w:t>交易机制</w:t>
                </w:r>
              </w:p>
            </w:sdtContent>
          </w:sdt>
        </w:tc>
        <w:sdt>
          <w:sdtPr>
            <w:rPr>
              <w:rFonts w:hint="eastAsia" w:ascii="宋体" w:hAnsi="宋体"/>
            </w:rPr>
            <w:tag w:val="_PLD_ad0d14743b8a4838a5157f3566368946"/>
            <w:id w:val="-577823181"/>
          </w:sdtPr>
          <w:sdtEndPr>
            <w:rPr>
              <w:rFonts w:hint="eastAsia" w:ascii="宋体" w:hAnsi="宋体"/>
            </w:rPr>
          </w:sdtEndPr>
          <w:sdtContent>
            <w:tc>
              <w:tcPr>
                <w:tcW w:w="327" w:type="pct"/>
              </w:tcPr>
              <w:p>
                <w:pPr>
                  <w:jc w:val="center"/>
                  <w:rPr>
                    <w:rFonts w:ascii="宋体" w:hAnsi="宋体"/>
                  </w:rPr>
                </w:pPr>
                <w:r>
                  <w:rPr>
                    <w:rFonts w:hint="eastAsia" w:ascii="宋体" w:hAnsi="宋体"/>
                  </w:rPr>
                  <w:t>是否存在终止上市交易的风险</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ascii="宋体" w:hAnsi="宋体" w:cstheme="minorBidi"/>
              </w:rPr>
              <w:t>2020年公司债券（第一期）</w:t>
            </w:r>
            <w:r>
              <w:rPr>
                <w:rFonts w:hint="eastAsia" w:ascii="宋体" w:hAnsi="宋体" w:cstheme="minorBidi"/>
              </w:rPr>
              <w:t>（品种二）</w:t>
            </w:r>
          </w:p>
        </w:tc>
        <w:tc>
          <w:tcPr>
            <w:tcW w:w="387" w:type="pct"/>
            <w:vAlign w:val="center"/>
          </w:tcPr>
          <w:p>
            <w:pPr>
              <w:rPr>
                <w:rFonts w:ascii="宋体" w:hAnsi="宋体"/>
              </w:rPr>
            </w:pPr>
            <w:r>
              <w:rPr>
                <w:rFonts w:ascii="宋体" w:hAnsi="宋体"/>
              </w:rPr>
              <w:t>20兖煤02</w:t>
            </w:r>
          </w:p>
        </w:tc>
        <w:tc>
          <w:tcPr>
            <w:tcW w:w="463" w:type="pct"/>
            <w:vAlign w:val="center"/>
          </w:tcPr>
          <w:p>
            <w:pPr>
              <w:rPr>
                <w:rFonts w:ascii="宋体" w:hAnsi="宋体"/>
              </w:rPr>
            </w:pPr>
            <w:r>
              <w:rPr>
                <w:rFonts w:ascii="宋体" w:hAnsi="宋体"/>
              </w:rPr>
              <w:t>163235</w:t>
            </w:r>
          </w:p>
        </w:tc>
        <w:tc>
          <w:tcPr>
            <w:tcW w:w="457" w:type="pct"/>
            <w:vAlign w:val="center"/>
          </w:tcPr>
          <w:p>
            <w:pPr>
              <w:rPr>
                <w:rFonts w:ascii="宋体" w:hAnsi="宋体"/>
              </w:rPr>
            </w:pPr>
            <w:r>
              <w:rPr>
                <w:rFonts w:ascii="宋体" w:hAnsi="宋体"/>
              </w:rPr>
              <w:t>2020/3/10</w:t>
            </w:r>
          </w:p>
        </w:tc>
        <w:tc>
          <w:tcPr>
            <w:tcW w:w="457" w:type="pct"/>
            <w:vAlign w:val="center"/>
          </w:tcPr>
          <w:p>
            <w:pPr>
              <w:rPr>
                <w:rFonts w:ascii="宋体" w:hAnsi="宋体"/>
              </w:rPr>
            </w:pPr>
            <w:r>
              <w:rPr>
                <w:rFonts w:ascii="宋体" w:hAnsi="宋体"/>
              </w:rPr>
              <w:t>2020/3/12</w:t>
            </w:r>
          </w:p>
        </w:tc>
        <w:tc>
          <w:tcPr>
            <w:tcW w:w="457" w:type="pct"/>
            <w:vAlign w:val="center"/>
          </w:tcPr>
          <w:p>
            <w:pPr>
              <w:rPr>
                <w:rFonts w:ascii="宋体" w:hAnsi="宋体"/>
              </w:rPr>
            </w:pPr>
            <w:r>
              <w:rPr>
                <w:rFonts w:ascii="宋体" w:hAnsi="宋体"/>
              </w:rPr>
              <w:t>2025/3/12</w:t>
            </w:r>
          </w:p>
        </w:tc>
        <w:tc>
          <w:tcPr>
            <w:tcW w:w="308" w:type="pct"/>
            <w:vAlign w:val="center"/>
          </w:tcPr>
          <w:p>
            <w:pPr>
              <w:jc w:val="right"/>
              <w:rPr>
                <w:rFonts w:ascii="宋体" w:hAnsi="宋体"/>
              </w:rPr>
            </w:pPr>
            <w:r>
              <w:rPr>
                <w:rFonts w:hint="eastAsia" w:ascii="宋体" w:hAnsi="宋体"/>
                <w:color w:val="000000"/>
              </w:rPr>
              <w:t>27</w:t>
            </w:r>
          </w:p>
        </w:tc>
        <w:tc>
          <w:tcPr>
            <w:tcW w:w="390" w:type="pct"/>
            <w:vAlign w:val="center"/>
          </w:tcPr>
          <w:p>
            <w:pPr>
              <w:jc w:val="right"/>
              <w:rPr>
                <w:rFonts w:ascii="宋体" w:hAnsi="宋体"/>
              </w:rPr>
            </w:pPr>
            <w:r>
              <w:rPr>
                <w:rFonts w:ascii="宋体" w:hAnsi="宋体"/>
              </w:rPr>
              <w:t>3.43</w:t>
            </w:r>
          </w:p>
        </w:tc>
        <w:tc>
          <w:tcPr>
            <w:tcW w:w="390" w:type="pct"/>
            <w:vAlign w:val="center"/>
          </w:tcPr>
          <w:p>
            <w:pPr>
              <w:rPr>
                <w:rFonts w:ascii="宋体" w:hAnsi="宋体"/>
              </w:rPr>
            </w:pPr>
            <w:r>
              <w:rPr>
                <w:rFonts w:ascii="宋体" w:hAnsi="宋体"/>
              </w:rPr>
              <w:t>每年付息一次，到期一次还本，最后一期利息随本金一起支付</w:t>
            </w:r>
          </w:p>
        </w:tc>
        <w:tc>
          <w:tcPr>
            <w:tcW w:w="322" w:type="pct"/>
            <w:vAlign w:val="center"/>
          </w:tcPr>
          <w:p>
            <w:pPr>
              <w:rPr>
                <w:rFonts w:ascii="宋体" w:hAnsi="宋体"/>
              </w:rPr>
            </w:pPr>
            <w:r>
              <w:rPr>
                <w:rFonts w:hint="eastAsia" w:ascii="宋体" w:hAnsi="宋体"/>
              </w:rPr>
              <w:t>上交所</w:t>
            </w:r>
          </w:p>
        </w:tc>
        <w:tc>
          <w:tcPr>
            <w:tcW w:w="327" w:type="pct"/>
            <w:vAlign w:val="center"/>
          </w:tcPr>
          <w:p>
            <w:pPr>
              <w:rPr>
                <w:rFonts w:ascii="宋体" w:hAnsi="宋体"/>
              </w:rPr>
            </w:pPr>
            <w:r>
              <w:rPr>
                <w:rFonts w:hint="eastAsia" w:ascii="宋体" w:hAnsi="宋体"/>
              </w:rPr>
              <w:t>面向合格投资者</w:t>
            </w:r>
          </w:p>
        </w:tc>
        <w:tc>
          <w:tcPr>
            <w:tcW w:w="327" w:type="pct"/>
            <w:vAlign w:val="center"/>
          </w:tcPr>
          <w:p>
            <w:pPr>
              <w:rPr>
                <w:rFonts w:ascii="宋体" w:hAnsi="宋体"/>
              </w:rPr>
            </w:pPr>
            <w:r>
              <w:rPr>
                <w:rFonts w:hint="eastAsia" w:ascii="宋体" w:hAnsi="宋体"/>
              </w:rPr>
              <w:t>竞价、报价、询价和协议交易</w:t>
            </w:r>
          </w:p>
        </w:tc>
        <w:sdt>
          <w:sdtPr>
            <w:rPr>
              <w:rFonts w:ascii="宋体" w:hAnsi="宋体"/>
            </w:rPr>
            <w:alias w:val="公司债券基本情况明细_是否存在终止上市交易的风险 "/>
            <w:tag w:val="_GBC_1728d49fd57e42db97293e563a8f0153"/>
            <w:id w:val="-715576916"/>
            <w:comboBox>
              <w:listItem w:displayText="是" w:value="是"/>
              <w:listItem w:displayText="否" w:value="否"/>
            </w:comboBox>
          </w:sdtPr>
          <w:sdtEndPr>
            <w:rPr>
              <w:rFonts w:ascii="宋体" w:hAnsi="宋体"/>
            </w:rPr>
          </w:sdtEndPr>
          <w:sdtContent>
            <w:tc>
              <w:tcPr>
                <w:tcW w:w="327" w:type="pct"/>
                <w:vAlign w:val="center"/>
              </w:tcPr>
              <w:p>
                <w:pPr>
                  <w:jc w:val="center"/>
                  <w:rPr>
                    <w:rFonts w:ascii="宋体" w:hAnsi="宋体"/>
                  </w:rPr>
                </w:pPr>
                <w:r>
                  <w:rPr>
                    <w:rFonts w:ascii="宋体" w:hAnsi="宋体"/>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ascii="宋体" w:hAnsi="宋体" w:cstheme="minorBidi"/>
              </w:rPr>
              <w:t>2020年公司债券（第一期）</w:t>
            </w:r>
            <w:r>
              <w:rPr>
                <w:rFonts w:hint="eastAsia" w:ascii="宋体" w:hAnsi="宋体" w:cstheme="minorBidi"/>
              </w:rPr>
              <w:t>（品种三）</w:t>
            </w:r>
          </w:p>
        </w:tc>
        <w:tc>
          <w:tcPr>
            <w:tcW w:w="387" w:type="pct"/>
            <w:vAlign w:val="center"/>
          </w:tcPr>
          <w:p>
            <w:pPr>
              <w:rPr>
                <w:rFonts w:ascii="宋体" w:hAnsi="宋体"/>
              </w:rPr>
            </w:pPr>
            <w:r>
              <w:rPr>
                <w:rFonts w:ascii="宋体" w:hAnsi="宋体"/>
              </w:rPr>
              <w:t>20兖煤03</w:t>
            </w:r>
          </w:p>
        </w:tc>
        <w:tc>
          <w:tcPr>
            <w:tcW w:w="463" w:type="pct"/>
            <w:vAlign w:val="center"/>
          </w:tcPr>
          <w:p>
            <w:pPr>
              <w:rPr>
                <w:rFonts w:ascii="宋体" w:hAnsi="宋体"/>
              </w:rPr>
            </w:pPr>
            <w:r>
              <w:rPr>
                <w:rFonts w:ascii="宋体" w:hAnsi="宋体"/>
              </w:rPr>
              <w:t>163236</w:t>
            </w:r>
          </w:p>
        </w:tc>
        <w:tc>
          <w:tcPr>
            <w:tcW w:w="457" w:type="pct"/>
            <w:vAlign w:val="center"/>
          </w:tcPr>
          <w:p>
            <w:pPr>
              <w:rPr>
                <w:rFonts w:ascii="宋体" w:hAnsi="宋体"/>
              </w:rPr>
            </w:pPr>
            <w:r>
              <w:rPr>
                <w:rFonts w:ascii="宋体" w:hAnsi="宋体"/>
              </w:rPr>
              <w:t>2020/3/10</w:t>
            </w:r>
          </w:p>
        </w:tc>
        <w:tc>
          <w:tcPr>
            <w:tcW w:w="457" w:type="pct"/>
            <w:vAlign w:val="center"/>
          </w:tcPr>
          <w:p>
            <w:pPr>
              <w:rPr>
                <w:rFonts w:ascii="宋体" w:hAnsi="宋体"/>
              </w:rPr>
            </w:pPr>
            <w:r>
              <w:rPr>
                <w:rFonts w:ascii="宋体" w:hAnsi="宋体"/>
              </w:rPr>
              <w:t>2020/3/12</w:t>
            </w:r>
          </w:p>
        </w:tc>
        <w:tc>
          <w:tcPr>
            <w:tcW w:w="457" w:type="pct"/>
            <w:vAlign w:val="center"/>
          </w:tcPr>
          <w:p>
            <w:pPr>
              <w:rPr>
                <w:rFonts w:ascii="宋体" w:hAnsi="宋体"/>
              </w:rPr>
            </w:pPr>
            <w:r>
              <w:rPr>
                <w:rFonts w:ascii="宋体" w:hAnsi="宋体"/>
              </w:rPr>
              <w:t>2030/3/12</w:t>
            </w:r>
          </w:p>
        </w:tc>
        <w:tc>
          <w:tcPr>
            <w:tcW w:w="308" w:type="pct"/>
            <w:vAlign w:val="center"/>
          </w:tcPr>
          <w:p>
            <w:pPr>
              <w:jc w:val="right"/>
              <w:rPr>
                <w:rFonts w:ascii="宋体" w:hAnsi="宋体"/>
              </w:rPr>
            </w:pPr>
            <w:r>
              <w:rPr>
                <w:rFonts w:hint="eastAsia" w:ascii="宋体" w:hAnsi="宋体"/>
                <w:color w:val="000000"/>
              </w:rPr>
              <w:t>20</w:t>
            </w:r>
          </w:p>
        </w:tc>
        <w:tc>
          <w:tcPr>
            <w:tcW w:w="390" w:type="pct"/>
            <w:vAlign w:val="center"/>
          </w:tcPr>
          <w:p>
            <w:pPr>
              <w:jc w:val="right"/>
              <w:rPr>
                <w:rFonts w:ascii="宋体" w:hAnsi="宋体"/>
              </w:rPr>
            </w:pPr>
            <w:r>
              <w:rPr>
                <w:rFonts w:ascii="宋体" w:hAnsi="宋体"/>
              </w:rPr>
              <w:t>4.29</w:t>
            </w:r>
          </w:p>
        </w:tc>
        <w:tc>
          <w:tcPr>
            <w:tcW w:w="390" w:type="pct"/>
            <w:vAlign w:val="center"/>
          </w:tcPr>
          <w:p>
            <w:pPr>
              <w:rPr>
                <w:rFonts w:ascii="宋体" w:hAnsi="宋体"/>
              </w:rPr>
            </w:pPr>
            <w:r>
              <w:rPr>
                <w:rFonts w:ascii="宋体" w:hAnsi="宋体"/>
              </w:rPr>
              <w:t>每年付息一次，到期一次还本，最后一期利息随本金一起支付</w:t>
            </w:r>
          </w:p>
        </w:tc>
        <w:tc>
          <w:tcPr>
            <w:tcW w:w="322" w:type="pct"/>
            <w:vAlign w:val="center"/>
          </w:tcPr>
          <w:p>
            <w:pPr>
              <w:rPr>
                <w:rFonts w:ascii="宋体" w:hAnsi="宋体"/>
              </w:rPr>
            </w:pPr>
            <w:r>
              <w:rPr>
                <w:rFonts w:ascii="宋体" w:hAnsi="宋体"/>
              </w:rPr>
              <w:t>上交所</w:t>
            </w:r>
          </w:p>
        </w:tc>
        <w:tc>
          <w:tcPr>
            <w:tcW w:w="327" w:type="pct"/>
            <w:vAlign w:val="center"/>
          </w:tcPr>
          <w:p>
            <w:pPr>
              <w:rPr>
                <w:rFonts w:ascii="宋体" w:hAnsi="宋体"/>
              </w:rPr>
            </w:pPr>
            <w:r>
              <w:rPr>
                <w:rFonts w:hint="eastAsia" w:ascii="宋体" w:hAnsi="宋体"/>
              </w:rPr>
              <w:t>面向合格投资者</w:t>
            </w:r>
          </w:p>
        </w:tc>
        <w:tc>
          <w:tcPr>
            <w:tcW w:w="327" w:type="pct"/>
            <w:vAlign w:val="center"/>
          </w:tcPr>
          <w:p>
            <w:pPr>
              <w:rPr>
                <w:rFonts w:ascii="宋体" w:hAnsi="宋体"/>
              </w:rPr>
            </w:pPr>
            <w:r>
              <w:rPr>
                <w:rFonts w:hint="eastAsia" w:ascii="宋体" w:hAnsi="宋体"/>
              </w:rPr>
              <w:t>竞价、报价、询价和协议交易</w:t>
            </w:r>
          </w:p>
        </w:tc>
        <w:tc>
          <w:tcPr>
            <w:tcW w:w="327" w:type="pct"/>
            <w:vAlign w:val="center"/>
          </w:tcPr>
          <w:p>
            <w:pPr>
              <w:jc w:val="cente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ascii="宋体" w:hAnsi="宋体" w:cstheme="minorBidi"/>
              </w:rPr>
              <w:t>2020年公司债券（第二期）</w:t>
            </w:r>
            <w:r>
              <w:rPr>
                <w:rFonts w:hint="eastAsia" w:ascii="宋体" w:hAnsi="宋体" w:cstheme="minorBidi"/>
              </w:rPr>
              <w:t>（品种二）</w:t>
            </w:r>
            <w:r>
              <w:rPr>
                <w:rFonts w:hint="eastAsia" w:ascii="宋体" w:hAnsi="宋体" w:cstheme="minorBidi"/>
                <w:vertAlign w:val="superscript"/>
              </w:rPr>
              <w:t>①</w:t>
            </w:r>
          </w:p>
        </w:tc>
        <w:tc>
          <w:tcPr>
            <w:tcW w:w="387" w:type="pct"/>
            <w:vAlign w:val="center"/>
          </w:tcPr>
          <w:p>
            <w:pPr>
              <w:rPr>
                <w:rFonts w:ascii="宋体" w:hAnsi="宋体"/>
              </w:rPr>
            </w:pPr>
            <w:r>
              <w:rPr>
                <w:rFonts w:ascii="宋体" w:hAnsi="宋体"/>
              </w:rPr>
              <w:t>20兖煤05</w:t>
            </w:r>
          </w:p>
        </w:tc>
        <w:tc>
          <w:tcPr>
            <w:tcW w:w="463" w:type="pct"/>
            <w:vAlign w:val="center"/>
          </w:tcPr>
          <w:p>
            <w:pPr>
              <w:rPr>
                <w:rFonts w:ascii="宋体" w:hAnsi="宋体"/>
              </w:rPr>
            </w:pPr>
            <w:r>
              <w:rPr>
                <w:rFonts w:ascii="宋体" w:hAnsi="宋体"/>
              </w:rPr>
              <w:t>175275</w:t>
            </w:r>
          </w:p>
        </w:tc>
        <w:tc>
          <w:tcPr>
            <w:tcW w:w="457" w:type="pct"/>
            <w:vAlign w:val="center"/>
          </w:tcPr>
          <w:p>
            <w:pPr>
              <w:rPr>
                <w:rFonts w:ascii="宋体" w:hAnsi="宋体"/>
              </w:rPr>
            </w:pPr>
            <w:r>
              <w:rPr>
                <w:rFonts w:hint="eastAsia" w:ascii="宋体" w:hAnsi="宋体"/>
              </w:rPr>
              <w:t>2020/10/</w:t>
            </w:r>
            <w:r>
              <w:rPr>
                <w:rFonts w:ascii="宋体" w:hAnsi="宋体"/>
              </w:rPr>
              <w:t>21</w:t>
            </w:r>
          </w:p>
        </w:tc>
        <w:tc>
          <w:tcPr>
            <w:tcW w:w="457" w:type="pct"/>
            <w:vAlign w:val="center"/>
          </w:tcPr>
          <w:p>
            <w:pPr>
              <w:rPr>
                <w:rFonts w:ascii="宋体" w:hAnsi="宋体"/>
              </w:rPr>
            </w:pPr>
            <w:r>
              <w:rPr>
                <w:rFonts w:hint="eastAsia" w:ascii="宋体" w:hAnsi="宋体"/>
              </w:rPr>
              <w:t>2</w:t>
            </w:r>
            <w:r>
              <w:rPr>
                <w:rFonts w:ascii="宋体" w:hAnsi="宋体"/>
              </w:rPr>
              <w:t>020/10/23</w:t>
            </w:r>
          </w:p>
        </w:tc>
        <w:tc>
          <w:tcPr>
            <w:tcW w:w="457" w:type="pct"/>
            <w:vAlign w:val="center"/>
          </w:tcPr>
          <w:p>
            <w:pPr>
              <w:rPr>
                <w:rFonts w:ascii="宋体" w:hAnsi="宋体"/>
              </w:rPr>
            </w:pPr>
            <w:r>
              <w:rPr>
                <w:rFonts w:hint="eastAsia" w:ascii="宋体" w:hAnsi="宋体"/>
              </w:rPr>
              <w:t>2030/10/23</w:t>
            </w:r>
          </w:p>
        </w:tc>
        <w:tc>
          <w:tcPr>
            <w:tcW w:w="308" w:type="pct"/>
            <w:vAlign w:val="center"/>
          </w:tcPr>
          <w:p>
            <w:pPr>
              <w:jc w:val="right"/>
              <w:rPr>
                <w:rFonts w:ascii="宋体" w:hAnsi="宋体"/>
              </w:rPr>
            </w:pPr>
            <w:r>
              <w:rPr>
                <w:rFonts w:hint="eastAsia" w:ascii="宋体" w:hAnsi="宋体"/>
                <w:color w:val="000000"/>
              </w:rPr>
              <w:t>15</w:t>
            </w:r>
          </w:p>
        </w:tc>
        <w:tc>
          <w:tcPr>
            <w:tcW w:w="390" w:type="pct"/>
            <w:vAlign w:val="center"/>
          </w:tcPr>
          <w:p>
            <w:pPr>
              <w:jc w:val="right"/>
              <w:rPr>
                <w:rFonts w:ascii="宋体" w:hAnsi="宋体"/>
              </w:rPr>
            </w:pPr>
            <w:r>
              <w:rPr>
                <w:rFonts w:hint="eastAsia" w:ascii="宋体" w:hAnsi="宋体"/>
              </w:rPr>
              <w:t>4.27</w:t>
            </w:r>
          </w:p>
        </w:tc>
        <w:tc>
          <w:tcPr>
            <w:tcW w:w="390" w:type="pct"/>
            <w:vAlign w:val="center"/>
          </w:tcPr>
          <w:p>
            <w:pPr>
              <w:rPr>
                <w:rFonts w:ascii="宋体" w:hAnsi="宋体"/>
              </w:rPr>
            </w:pPr>
            <w:r>
              <w:rPr>
                <w:rFonts w:ascii="宋体" w:hAnsi="宋体"/>
              </w:rPr>
              <w:t>每年付息一次，到期一次还本，最后一期利息随本金一起支付</w:t>
            </w:r>
          </w:p>
        </w:tc>
        <w:tc>
          <w:tcPr>
            <w:tcW w:w="322" w:type="pct"/>
            <w:vAlign w:val="center"/>
          </w:tcPr>
          <w:p>
            <w:pPr>
              <w:rPr>
                <w:rFonts w:ascii="宋体" w:hAnsi="宋体"/>
              </w:rPr>
            </w:pPr>
            <w:r>
              <w:rPr>
                <w:rFonts w:ascii="宋体" w:hAnsi="宋体"/>
              </w:rPr>
              <w:t>上交所</w:t>
            </w:r>
          </w:p>
        </w:tc>
        <w:tc>
          <w:tcPr>
            <w:tcW w:w="327" w:type="pct"/>
            <w:vAlign w:val="center"/>
          </w:tcPr>
          <w:p>
            <w:pPr>
              <w:rPr>
                <w:rFonts w:ascii="宋体" w:hAnsi="宋体"/>
              </w:rPr>
            </w:pPr>
            <w:r>
              <w:rPr>
                <w:rFonts w:hint="eastAsia" w:ascii="宋体" w:hAnsi="宋体"/>
              </w:rPr>
              <w:t>面向合格投资者</w:t>
            </w:r>
          </w:p>
        </w:tc>
        <w:tc>
          <w:tcPr>
            <w:tcW w:w="327" w:type="pct"/>
            <w:vAlign w:val="center"/>
          </w:tcPr>
          <w:p>
            <w:pPr>
              <w:rPr>
                <w:rFonts w:ascii="宋体" w:hAnsi="宋体"/>
              </w:rPr>
            </w:pPr>
            <w:r>
              <w:rPr>
                <w:rFonts w:hint="eastAsia" w:ascii="宋体" w:hAnsi="宋体"/>
              </w:rPr>
              <w:t>竞价、报价、询价和协议交易</w:t>
            </w:r>
          </w:p>
        </w:tc>
        <w:tc>
          <w:tcPr>
            <w:tcW w:w="327" w:type="pct"/>
            <w:vAlign w:val="center"/>
          </w:tcPr>
          <w:p>
            <w:pPr>
              <w:jc w:val="cente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ascii="宋体" w:hAnsi="宋体" w:cstheme="minorBidi"/>
              </w:rPr>
              <w:t>2021年公司债券（第一期）</w:t>
            </w:r>
            <w:r>
              <w:rPr>
                <w:rFonts w:hint="eastAsia" w:ascii="宋体" w:hAnsi="宋体" w:cstheme="minorBidi"/>
              </w:rPr>
              <w:t>（品种一）</w:t>
            </w:r>
          </w:p>
        </w:tc>
        <w:tc>
          <w:tcPr>
            <w:tcW w:w="387" w:type="pct"/>
            <w:vAlign w:val="center"/>
          </w:tcPr>
          <w:p>
            <w:pPr>
              <w:rPr>
                <w:rFonts w:ascii="宋体" w:hAnsi="宋体"/>
              </w:rPr>
            </w:pPr>
            <w:r>
              <w:rPr>
                <w:rFonts w:hint="eastAsia" w:ascii="宋体" w:hAnsi="宋体"/>
              </w:rPr>
              <w:t>2</w:t>
            </w:r>
            <w:r>
              <w:rPr>
                <w:rFonts w:ascii="宋体" w:hAnsi="宋体"/>
              </w:rPr>
              <w:t>1</w:t>
            </w:r>
            <w:r>
              <w:rPr>
                <w:rFonts w:hint="eastAsia" w:ascii="宋体" w:hAnsi="宋体"/>
              </w:rPr>
              <w:t>兖煤0</w:t>
            </w:r>
            <w:r>
              <w:rPr>
                <w:rFonts w:ascii="宋体" w:hAnsi="宋体"/>
              </w:rPr>
              <w:t>1</w:t>
            </w:r>
          </w:p>
        </w:tc>
        <w:tc>
          <w:tcPr>
            <w:tcW w:w="463" w:type="pct"/>
            <w:vAlign w:val="center"/>
          </w:tcPr>
          <w:p>
            <w:pPr>
              <w:rPr>
                <w:rFonts w:ascii="宋体" w:hAnsi="宋体"/>
              </w:rPr>
            </w:pPr>
            <w:r>
              <w:rPr>
                <w:rFonts w:hint="eastAsia" w:ascii="宋体" w:hAnsi="宋体"/>
              </w:rPr>
              <w:t>1</w:t>
            </w:r>
            <w:r>
              <w:rPr>
                <w:rFonts w:ascii="宋体" w:hAnsi="宋体"/>
              </w:rPr>
              <w:t>88163</w:t>
            </w:r>
          </w:p>
        </w:tc>
        <w:tc>
          <w:tcPr>
            <w:tcW w:w="457" w:type="pct"/>
            <w:vAlign w:val="center"/>
          </w:tcPr>
          <w:p>
            <w:pPr>
              <w:rPr>
                <w:rFonts w:ascii="宋体" w:hAnsi="宋体"/>
              </w:rPr>
            </w:pPr>
            <w:r>
              <w:rPr>
                <w:rFonts w:hint="eastAsia" w:ascii="宋体" w:hAnsi="宋体"/>
              </w:rPr>
              <w:t>2</w:t>
            </w:r>
            <w:r>
              <w:rPr>
                <w:rFonts w:ascii="宋体" w:hAnsi="宋体"/>
              </w:rPr>
              <w:t>021/5/28</w:t>
            </w:r>
          </w:p>
        </w:tc>
        <w:tc>
          <w:tcPr>
            <w:tcW w:w="457" w:type="pct"/>
            <w:vAlign w:val="center"/>
          </w:tcPr>
          <w:p>
            <w:pPr>
              <w:rPr>
                <w:rFonts w:ascii="宋体" w:hAnsi="宋体"/>
              </w:rPr>
            </w:pPr>
            <w:r>
              <w:rPr>
                <w:rFonts w:hint="eastAsia" w:ascii="宋体" w:hAnsi="宋体"/>
              </w:rPr>
              <w:t>2</w:t>
            </w:r>
            <w:r>
              <w:rPr>
                <w:rFonts w:ascii="宋体" w:hAnsi="宋体"/>
              </w:rPr>
              <w:t>021/5/31</w:t>
            </w:r>
          </w:p>
        </w:tc>
        <w:tc>
          <w:tcPr>
            <w:tcW w:w="457" w:type="pct"/>
            <w:vAlign w:val="center"/>
          </w:tcPr>
          <w:p>
            <w:pPr>
              <w:rPr>
                <w:rFonts w:ascii="宋体" w:hAnsi="宋体"/>
              </w:rPr>
            </w:pPr>
            <w:r>
              <w:rPr>
                <w:rFonts w:hint="eastAsia" w:ascii="宋体" w:hAnsi="宋体"/>
              </w:rPr>
              <w:t>2</w:t>
            </w:r>
            <w:r>
              <w:rPr>
                <w:rFonts w:ascii="宋体" w:hAnsi="宋体"/>
              </w:rPr>
              <w:t>024/5/31</w:t>
            </w:r>
          </w:p>
        </w:tc>
        <w:tc>
          <w:tcPr>
            <w:tcW w:w="308" w:type="pct"/>
            <w:vAlign w:val="center"/>
          </w:tcPr>
          <w:p>
            <w:pPr>
              <w:jc w:val="right"/>
              <w:rPr>
                <w:rFonts w:ascii="宋体" w:hAnsi="宋体"/>
              </w:rPr>
            </w:pPr>
            <w:r>
              <w:rPr>
                <w:rFonts w:hint="eastAsia" w:ascii="宋体" w:hAnsi="宋体"/>
                <w:color w:val="000000"/>
              </w:rPr>
              <w:t>3</w:t>
            </w:r>
            <w:r>
              <w:rPr>
                <w:rFonts w:ascii="宋体" w:hAnsi="宋体"/>
                <w:color w:val="000000"/>
              </w:rPr>
              <w:t>0</w:t>
            </w:r>
          </w:p>
        </w:tc>
        <w:tc>
          <w:tcPr>
            <w:tcW w:w="390" w:type="pct"/>
            <w:vAlign w:val="center"/>
          </w:tcPr>
          <w:p>
            <w:pPr>
              <w:jc w:val="right"/>
              <w:rPr>
                <w:rFonts w:ascii="宋体" w:hAnsi="宋体"/>
              </w:rPr>
            </w:pPr>
            <w:r>
              <w:rPr>
                <w:rFonts w:hint="eastAsia" w:ascii="宋体" w:hAnsi="宋体"/>
              </w:rPr>
              <w:t>3</w:t>
            </w:r>
            <w:r>
              <w:rPr>
                <w:rFonts w:ascii="宋体" w:hAnsi="宋体"/>
              </w:rPr>
              <w:t>.74</w:t>
            </w:r>
          </w:p>
        </w:tc>
        <w:tc>
          <w:tcPr>
            <w:tcW w:w="390" w:type="pct"/>
            <w:vAlign w:val="center"/>
          </w:tcPr>
          <w:p>
            <w:pPr>
              <w:rPr>
                <w:rFonts w:ascii="宋体" w:hAnsi="宋体"/>
              </w:rPr>
            </w:pPr>
            <w:r>
              <w:rPr>
                <w:rFonts w:ascii="宋体" w:hAnsi="宋体"/>
              </w:rPr>
              <w:t>每年付息一次，到期一次还本，最后一期利息随本金一起支付</w:t>
            </w:r>
          </w:p>
        </w:tc>
        <w:tc>
          <w:tcPr>
            <w:tcW w:w="322" w:type="pct"/>
            <w:vAlign w:val="center"/>
          </w:tcPr>
          <w:p>
            <w:pPr>
              <w:rPr>
                <w:rFonts w:ascii="宋体" w:hAnsi="宋体"/>
              </w:rPr>
            </w:pPr>
            <w:r>
              <w:rPr>
                <w:rFonts w:ascii="宋体" w:hAnsi="宋体"/>
              </w:rPr>
              <w:t>上交所</w:t>
            </w:r>
          </w:p>
        </w:tc>
        <w:tc>
          <w:tcPr>
            <w:tcW w:w="327" w:type="pct"/>
            <w:vAlign w:val="center"/>
          </w:tcPr>
          <w:p>
            <w:pPr>
              <w:rPr>
                <w:rFonts w:ascii="宋体" w:hAnsi="宋体"/>
              </w:rPr>
            </w:pPr>
            <w:r>
              <w:rPr>
                <w:rFonts w:hint="eastAsia" w:ascii="宋体" w:hAnsi="宋体"/>
              </w:rPr>
              <w:t>面向合格投资者</w:t>
            </w:r>
          </w:p>
        </w:tc>
        <w:tc>
          <w:tcPr>
            <w:tcW w:w="327" w:type="pct"/>
            <w:vAlign w:val="center"/>
          </w:tcPr>
          <w:p>
            <w:pPr>
              <w:rPr>
                <w:rFonts w:ascii="宋体" w:hAnsi="宋体"/>
              </w:rPr>
            </w:pPr>
            <w:r>
              <w:rPr>
                <w:rFonts w:hint="eastAsia" w:ascii="宋体" w:hAnsi="宋体"/>
              </w:rPr>
              <w:t>竞价、报价、询价和协议交易</w:t>
            </w:r>
          </w:p>
        </w:tc>
        <w:tc>
          <w:tcPr>
            <w:tcW w:w="327" w:type="pct"/>
            <w:vAlign w:val="center"/>
          </w:tcPr>
          <w:p>
            <w:pPr>
              <w:jc w:val="cente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ascii="宋体" w:hAnsi="宋体" w:cstheme="minorBidi"/>
              </w:rPr>
              <w:t>2021年公司债券（第一期）</w:t>
            </w:r>
            <w:r>
              <w:rPr>
                <w:rFonts w:hint="eastAsia" w:ascii="宋体" w:hAnsi="宋体" w:cstheme="minorBidi"/>
              </w:rPr>
              <w:t>（品种二）</w:t>
            </w:r>
          </w:p>
        </w:tc>
        <w:tc>
          <w:tcPr>
            <w:tcW w:w="387" w:type="pct"/>
            <w:vAlign w:val="center"/>
          </w:tcPr>
          <w:p>
            <w:pPr>
              <w:rPr>
                <w:rFonts w:ascii="宋体" w:hAnsi="宋体"/>
              </w:rPr>
            </w:pPr>
            <w:r>
              <w:rPr>
                <w:rFonts w:ascii="宋体" w:hAnsi="宋体"/>
              </w:rPr>
              <w:t>21兖煤02</w:t>
            </w:r>
          </w:p>
        </w:tc>
        <w:tc>
          <w:tcPr>
            <w:tcW w:w="463" w:type="pct"/>
            <w:vAlign w:val="center"/>
          </w:tcPr>
          <w:p>
            <w:pPr>
              <w:rPr>
                <w:rFonts w:ascii="宋体" w:hAnsi="宋体"/>
              </w:rPr>
            </w:pPr>
            <w:r>
              <w:rPr>
                <w:rFonts w:hint="eastAsia" w:ascii="宋体" w:hAnsi="宋体"/>
              </w:rPr>
              <w:t>1</w:t>
            </w:r>
            <w:r>
              <w:rPr>
                <w:rFonts w:ascii="宋体" w:hAnsi="宋体"/>
              </w:rPr>
              <w:t>88164</w:t>
            </w:r>
          </w:p>
        </w:tc>
        <w:tc>
          <w:tcPr>
            <w:tcW w:w="457" w:type="pct"/>
            <w:vAlign w:val="center"/>
          </w:tcPr>
          <w:p>
            <w:pPr>
              <w:rPr>
                <w:rFonts w:ascii="宋体" w:hAnsi="宋体"/>
              </w:rPr>
            </w:pPr>
            <w:r>
              <w:rPr>
                <w:rFonts w:hint="eastAsia" w:ascii="宋体" w:hAnsi="宋体"/>
              </w:rPr>
              <w:t>2</w:t>
            </w:r>
            <w:r>
              <w:rPr>
                <w:rFonts w:ascii="宋体" w:hAnsi="宋体"/>
              </w:rPr>
              <w:t>021/5/28</w:t>
            </w:r>
          </w:p>
        </w:tc>
        <w:tc>
          <w:tcPr>
            <w:tcW w:w="457" w:type="pct"/>
            <w:vAlign w:val="center"/>
          </w:tcPr>
          <w:p>
            <w:pPr>
              <w:rPr>
                <w:rFonts w:ascii="宋体" w:hAnsi="宋体"/>
              </w:rPr>
            </w:pPr>
            <w:r>
              <w:rPr>
                <w:rFonts w:hint="eastAsia" w:ascii="宋体" w:hAnsi="宋体"/>
              </w:rPr>
              <w:t>2</w:t>
            </w:r>
            <w:r>
              <w:rPr>
                <w:rFonts w:ascii="宋体" w:hAnsi="宋体"/>
              </w:rPr>
              <w:t>021/5/31</w:t>
            </w:r>
          </w:p>
        </w:tc>
        <w:tc>
          <w:tcPr>
            <w:tcW w:w="457" w:type="pct"/>
            <w:vAlign w:val="center"/>
          </w:tcPr>
          <w:p>
            <w:pPr>
              <w:rPr>
                <w:rFonts w:ascii="宋体" w:hAnsi="宋体"/>
              </w:rPr>
            </w:pPr>
            <w:r>
              <w:rPr>
                <w:rFonts w:hint="eastAsia" w:ascii="宋体" w:hAnsi="宋体"/>
              </w:rPr>
              <w:t>2</w:t>
            </w:r>
            <w:r>
              <w:rPr>
                <w:rFonts w:ascii="宋体" w:hAnsi="宋体"/>
              </w:rPr>
              <w:t>026/5/31</w:t>
            </w:r>
          </w:p>
        </w:tc>
        <w:tc>
          <w:tcPr>
            <w:tcW w:w="308" w:type="pct"/>
            <w:vAlign w:val="center"/>
          </w:tcPr>
          <w:p>
            <w:pPr>
              <w:jc w:val="right"/>
              <w:rPr>
                <w:rFonts w:ascii="宋体" w:hAnsi="宋体"/>
              </w:rPr>
            </w:pPr>
            <w:r>
              <w:rPr>
                <w:rFonts w:hint="eastAsia" w:ascii="宋体" w:hAnsi="宋体"/>
                <w:color w:val="000000"/>
              </w:rPr>
              <w:t>1</w:t>
            </w:r>
            <w:r>
              <w:rPr>
                <w:rFonts w:ascii="宋体" w:hAnsi="宋体"/>
                <w:color w:val="000000"/>
              </w:rPr>
              <w:t>0</w:t>
            </w:r>
          </w:p>
        </w:tc>
        <w:tc>
          <w:tcPr>
            <w:tcW w:w="390" w:type="pct"/>
            <w:vAlign w:val="center"/>
          </w:tcPr>
          <w:p>
            <w:pPr>
              <w:jc w:val="right"/>
              <w:rPr>
                <w:rFonts w:ascii="宋体" w:hAnsi="宋体"/>
              </w:rPr>
            </w:pPr>
            <w:r>
              <w:rPr>
                <w:rFonts w:hint="eastAsia" w:ascii="宋体" w:hAnsi="宋体"/>
              </w:rPr>
              <w:t>4</w:t>
            </w:r>
            <w:r>
              <w:rPr>
                <w:rFonts w:ascii="宋体" w:hAnsi="宋体"/>
              </w:rPr>
              <w:t>.13</w:t>
            </w:r>
          </w:p>
        </w:tc>
        <w:tc>
          <w:tcPr>
            <w:tcW w:w="390" w:type="pct"/>
            <w:vAlign w:val="center"/>
          </w:tcPr>
          <w:p>
            <w:pPr>
              <w:rPr>
                <w:rFonts w:ascii="宋体" w:hAnsi="宋体"/>
              </w:rPr>
            </w:pPr>
            <w:r>
              <w:rPr>
                <w:rFonts w:ascii="宋体" w:hAnsi="宋体"/>
              </w:rPr>
              <w:t>每年付息一次，到期一次还本，最后一期利息随本金一起支付</w:t>
            </w:r>
          </w:p>
        </w:tc>
        <w:tc>
          <w:tcPr>
            <w:tcW w:w="322" w:type="pct"/>
            <w:vAlign w:val="center"/>
          </w:tcPr>
          <w:p>
            <w:pPr>
              <w:rPr>
                <w:rFonts w:ascii="宋体" w:hAnsi="宋体"/>
              </w:rPr>
            </w:pPr>
            <w:r>
              <w:rPr>
                <w:rFonts w:ascii="宋体" w:hAnsi="宋体"/>
              </w:rPr>
              <w:t>上交所</w:t>
            </w:r>
          </w:p>
        </w:tc>
        <w:tc>
          <w:tcPr>
            <w:tcW w:w="327" w:type="pct"/>
            <w:vAlign w:val="center"/>
          </w:tcPr>
          <w:p>
            <w:pPr>
              <w:rPr>
                <w:rFonts w:ascii="宋体" w:hAnsi="宋体"/>
              </w:rPr>
            </w:pPr>
            <w:r>
              <w:rPr>
                <w:rFonts w:hint="eastAsia" w:ascii="宋体" w:hAnsi="宋体"/>
              </w:rPr>
              <w:t>面向合格投资者</w:t>
            </w:r>
          </w:p>
        </w:tc>
        <w:tc>
          <w:tcPr>
            <w:tcW w:w="327" w:type="pct"/>
            <w:vAlign w:val="center"/>
          </w:tcPr>
          <w:p>
            <w:pPr>
              <w:rPr>
                <w:rFonts w:ascii="宋体" w:hAnsi="宋体"/>
              </w:rPr>
            </w:pPr>
            <w:r>
              <w:rPr>
                <w:rFonts w:hint="eastAsia" w:ascii="宋体" w:hAnsi="宋体"/>
              </w:rPr>
              <w:t>竞价、报价、询价和协议交易</w:t>
            </w:r>
          </w:p>
        </w:tc>
        <w:tc>
          <w:tcPr>
            <w:tcW w:w="327" w:type="pct"/>
            <w:vAlign w:val="center"/>
          </w:tcPr>
          <w:p>
            <w:pPr>
              <w:jc w:val="cente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ascii="宋体" w:hAnsi="宋体" w:cstheme="minorBidi"/>
              </w:rPr>
              <w:t>2021年可续期公司债券（第一期）</w:t>
            </w:r>
            <w:r>
              <w:rPr>
                <w:rFonts w:hint="eastAsia" w:ascii="宋体" w:hAnsi="宋体" w:cstheme="minorBidi"/>
              </w:rPr>
              <w:t>（品种二）</w:t>
            </w:r>
            <w:r>
              <w:rPr>
                <w:rFonts w:hint="eastAsia" w:ascii="宋体" w:hAnsi="宋体" w:cstheme="minorBidi"/>
                <w:vertAlign w:val="superscript"/>
              </w:rPr>
              <w:t>②</w:t>
            </w:r>
          </w:p>
        </w:tc>
        <w:tc>
          <w:tcPr>
            <w:tcW w:w="387" w:type="pct"/>
            <w:vAlign w:val="center"/>
          </w:tcPr>
          <w:p>
            <w:pPr>
              <w:rPr>
                <w:rFonts w:ascii="宋体" w:hAnsi="宋体"/>
              </w:rPr>
            </w:pPr>
            <w:r>
              <w:rPr>
                <w:rFonts w:hint="eastAsia" w:ascii="宋体" w:hAnsi="宋体"/>
              </w:rPr>
              <w:t>2</w:t>
            </w:r>
            <w:r>
              <w:rPr>
                <w:rFonts w:ascii="宋体" w:hAnsi="宋体"/>
              </w:rPr>
              <w:t>1</w:t>
            </w:r>
            <w:r>
              <w:rPr>
                <w:rFonts w:hint="eastAsia" w:ascii="宋体" w:hAnsi="宋体"/>
              </w:rPr>
              <w:t>兖煤Y</w:t>
            </w:r>
            <w:r>
              <w:rPr>
                <w:rFonts w:ascii="宋体" w:hAnsi="宋体"/>
              </w:rPr>
              <w:t>2</w:t>
            </w:r>
          </w:p>
        </w:tc>
        <w:tc>
          <w:tcPr>
            <w:tcW w:w="463" w:type="pct"/>
            <w:vAlign w:val="center"/>
          </w:tcPr>
          <w:p>
            <w:pPr>
              <w:rPr>
                <w:rFonts w:ascii="宋体" w:hAnsi="宋体"/>
              </w:rPr>
            </w:pPr>
            <w:r>
              <w:rPr>
                <w:rFonts w:hint="eastAsia" w:ascii="宋体" w:hAnsi="宋体"/>
              </w:rPr>
              <w:t>1</w:t>
            </w:r>
            <w:r>
              <w:rPr>
                <w:rFonts w:ascii="宋体" w:hAnsi="宋体"/>
              </w:rPr>
              <w:t>88286</w:t>
            </w:r>
          </w:p>
        </w:tc>
        <w:tc>
          <w:tcPr>
            <w:tcW w:w="457" w:type="pct"/>
            <w:vAlign w:val="center"/>
          </w:tcPr>
          <w:p>
            <w:pPr>
              <w:rPr>
                <w:rFonts w:ascii="宋体" w:hAnsi="宋体"/>
              </w:rPr>
            </w:pPr>
            <w:r>
              <w:rPr>
                <w:rFonts w:hint="eastAsia" w:ascii="宋体" w:hAnsi="宋体"/>
              </w:rPr>
              <w:t>2</w:t>
            </w:r>
            <w:r>
              <w:rPr>
                <w:rFonts w:ascii="宋体" w:hAnsi="宋体"/>
              </w:rPr>
              <w:t>021/6/21</w:t>
            </w:r>
          </w:p>
        </w:tc>
        <w:tc>
          <w:tcPr>
            <w:tcW w:w="457" w:type="pct"/>
            <w:vAlign w:val="center"/>
          </w:tcPr>
          <w:p>
            <w:pPr>
              <w:rPr>
                <w:rFonts w:ascii="宋体" w:hAnsi="宋体"/>
              </w:rPr>
            </w:pPr>
            <w:r>
              <w:rPr>
                <w:rFonts w:hint="eastAsia" w:ascii="宋体" w:hAnsi="宋体"/>
              </w:rPr>
              <w:t>2</w:t>
            </w:r>
            <w:r>
              <w:rPr>
                <w:rFonts w:ascii="宋体" w:hAnsi="宋体"/>
              </w:rPr>
              <w:t>021/6/22</w:t>
            </w:r>
          </w:p>
        </w:tc>
        <w:tc>
          <w:tcPr>
            <w:tcW w:w="457" w:type="pct"/>
            <w:vAlign w:val="center"/>
          </w:tcPr>
          <w:p>
            <w:pPr>
              <w:rPr>
                <w:rFonts w:ascii="宋体" w:hAnsi="宋体"/>
              </w:rPr>
            </w:pPr>
            <w:r>
              <w:rPr>
                <w:rFonts w:hint="eastAsia" w:ascii="宋体" w:hAnsi="宋体"/>
              </w:rPr>
              <w:t>2</w:t>
            </w:r>
            <w:r>
              <w:rPr>
                <w:rFonts w:ascii="宋体" w:hAnsi="宋体"/>
              </w:rPr>
              <w:t>024/6/22</w:t>
            </w:r>
          </w:p>
        </w:tc>
        <w:tc>
          <w:tcPr>
            <w:tcW w:w="308" w:type="pct"/>
            <w:vAlign w:val="center"/>
          </w:tcPr>
          <w:p>
            <w:pPr>
              <w:jc w:val="right"/>
              <w:rPr>
                <w:rFonts w:ascii="宋体" w:hAnsi="宋体"/>
              </w:rPr>
            </w:pPr>
            <w:r>
              <w:rPr>
                <w:rFonts w:hint="eastAsia" w:ascii="宋体" w:hAnsi="宋体"/>
                <w:color w:val="000000"/>
              </w:rPr>
              <w:t>3</w:t>
            </w:r>
            <w:r>
              <w:rPr>
                <w:rFonts w:ascii="宋体" w:hAnsi="宋体"/>
                <w:color w:val="000000"/>
              </w:rPr>
              <w:t>3</w:t>
            </w:r>
          </w:p>
        </w:tc>
        <w:tc>
          <w:tcPr>
            <w:tcW w:w="390" w:type="pct"/>
            <w:vAlign w:val="center"/>
          </w:tcPr>
          <w:p>
            <w:pPr>
              <w:jc w:val="right"/>
              <w:rPr>
                <w:rFonts w:ascii="宋体" w:hAnsi="宋体"/>
              </w:rPr>
            </w:pPr>
            <w:r>
              <w:rPr>
                <w:rFonts w:hint="eastAsia" w:ascii="宋体" w:hAnsi="宋体"/>
              </w:rPr>
              <w:t>4</w:t>
            </w:r>
            <w:r>
              <w:rPr>
                <w:rFonts w:ascii="宋体" w:hAnsi="宋体"/>
              </w:rPr>
              <w:t>.40</w:t>
            </w:r>
          </w:p>
        </w:tc>
        <w:tc>
          <w:tcPr>
            <w:tcW w:w="390" w:type="pct"/>
            <w:vAlign w:val="center"/>
          </w:tcPr>
          <w:p>
            <w:pPr>
              <w:rPr>
                <w:rFonts w:ascii="宋体" w:hAnsi="宋体"/>
              </w:rPr>
            </w:pPr>
            <w:r>
              <w:rPr>
                <w:rFonts w:ascii="宋体" w:hAnsi="宋体"/>
              </w:rPr>
              <w:t>每年付息一次，到期一次还本，最后一期利息随本金一起支付</w:t>
            </w:r>
          </w:p>
        </w:tc>
        <w:tc>
          <w:tcPr>
            <w:tcW w:w="322" w:type="pct"/>
            <w:vAlign w:val="center"/>
          </w:tcPr>
          <w:p>
            <w:pPr>
              <w:rPr>
                <w:rFonts w:ascii="宋体" w:hAnsi="宋体"/>
              </w:rPr>
            </w:pPr>
            <w:r>
              <w:rPr>
                <w:rFonts w:hint="eastAsia" w:ascii="宋体" w:hAnsi="宋体"/>
              </w:rPr>
              <w:t>上交所</w:t>
            </w:r>
          </w:p>
        </w:tc>
        <w:tc>
          <w:tcPr>
            <w:tcW w:w="327" w:type="pct"/>
            <w:vAlign w:val="center"/>
          </w:tcPr>
          <w:p>
            <w:pPr>
              <w:rPr>
                <w:rFonts w:ascii="宋体" w:hAnsi="宋体"/>
              </w:rPr>
            </w:pPr>
            <w:r>
              <w:rPr>
                <w:rFonts w:hint="eastAsia" w:ascii="宋体" w:hAnsi="宋体"/>
              </w:rPr>
              <w:t>面向合格投资者</w:t>
            </w:r>
          </w:p>
        </w:tc>
        <w:tc>
          <w:tcPr>
            <w:tcW w:w="327" w:type="pct"/>
            <w:vAlign w:val="center"/>
          </w:tcPr>
          <w:p>
            <w:pPr>
              <w:rPr>
                <w:rFonts w:ascii="宋体" w:hAnsi="宋体"/>
              </w:rPr>
            </w:pPr>
            <w:r>
              <w:rPr>
                <w:rFonts w:hint="eastAsia" w:ascii="宋体" w:hAnsi="宋体"/>
              </w:rPr>
              <w:t>竞价、报价、询价和协议交易</w:t>
            </w:r>
          </w:p>
        </w:tc>
        <w:tc>
          <w:tcPr>
            <w:tcW w:w="327" w:type="pct"/>
            <w:vAlign w:val="center"/>
          </w:tcPr>
          <w:p>
            <w:pPr>
              <w:jc w:val="cente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ascii="宋体" w:hAnsi="宋体" w:cstheme="minorBidi"/>
              </w:rPr>
              <w:t>2021年可续期公司债券（第二期）</w:t>
            </w:r>
            <w:r>
              <w:rPr>
                <w:rFonts w:hint="eastAsia" w:ascii="宋体" w:hAnsi="宋体" w:cstheme="minorBidi"/>
                <w:vertAlign w:val="superscript"/>
              </w:rPr>
              <w:t>③</w:t>
            </w:r>
          </w:p>
        </w:tc>
        <w:tc>
          <w:tcPr>
            <w:tcW w:w="387" w:type="pct"/>
            <w:vAlign w:val="center"/>
          </w:tcPr>
          <w:p>
            <w:pPr>
              <w:rPr>
                <w:rFonts w:ascii="宋体" w:hAnsi="宋体"/>
              </w:rPr>
            </w:pPr>
            <w:r>
              <w:rPr>
                <w:rFonts w:ascii="宋体" w:hAnsi="宋体"/>
              </w:rPr>
              <w:t>21兖煤Y4</w:t>
            </w:r>
          </w:p>
        </w:tc>
        <w:tc>
          <w:tcPr>
            <w:tcW w:w="463" w:type="pct"/>
            <w:vAlign w:val="center"/>
          </w:tcPr>
          <w:p>
            <w:pPr>
              <w:rPr>
                <w:rFonts w:ascii="宋体" w:hAnsi="宋体"/>
              </w:rPr>
            </w:pPr>
            <w:r>
              <w:rPr>
                <w:rFonts w:ascii="宋体" w:hAnsi="宋体"/>
              </w:rPr>
              <w:t>188613</w:t>
            </w:r>
          </w:p>
        </w:tc>
        <w:tc>
          <w:tcPr>
            <w:tcW w:w="457" w:type="pct"/>
            <w:vAlign w:val="center"/>
          </w:tcPr>
          <w:p>
            <w:pPr>
              <w:rPr>
                <w:rFonts w:ascii="宋体" w:hAnsi="宋体"/>
              </w:rPr>
            </w:pPr>
            <w:r>
              <w:rPr>
                <w:rFonts w:ascii="宋体" w:hAnsi="宋体"/>
              </w:rPr>
              <w:t>2021</w:t>
            </w:r>
            <w:r>
              <w:rPr>
                <w:rFonts w:hint="eastAsia" w:ascii="宋体" w:hAnsi="宋体"/>
              </w:rPr>
              <w:t>/</w:t>
            </w:r>
            <w:r>
              <w:rPr>
                <w:rFonts w:ascii="宋体" w:hAnsi="宋体"/>
              </w:rPr>
              <w:t>8</w:t>
            </w:r>
            <w:r>
              <w:rPr>
                <w:rFonts w:hint="eastAsia" w:ascii="宋体" w:hAnsi="宋体"/>
              </w:rPr>
              <w:t>/</w:t>
            </w:r>
            <w:r>
              <w:rPr>
                <w:rFonts w:ascii="宋体" w:hAnsi="宋体"/>
              </w:rPr>
              <w:t>19</w:t>
            </w:r>
          </w:p>
        </w:tc>
        <w:tc>
          <w:tcPr>
            <w:tcW w:w="457" w:type="pct"/>
            <w:vAlign w:val="center"/>
          </w:tcPr>
          <w:p>
            <w:pPr>
              <w:rPr>
                <w:rFonts w:ascii="宋体" w:hAnsi="宋体"/>
              </w:rPr>
            </w:pPr>
            <w:r>
              <w:rPr>
                <w:rFonts w:ascii="宋体" w:hAnsi="宋体"/>
              </w:rPr>
              <w:t>2021</w:t>
            </w:r>
            <w:r>
              <w:rPr>
                <w:rFonts w:hint="eastAsia" w:ascii="宋体" w:hAnsi="宋体"/>
              </w:rPr>
              <w:t>/</w:t>
            </w:r>
            <w:r>
              <w:rPr>
                <w:rFonts w:ascii="宋体" w:hAnsi="宋体"/>
              </w:rPr>
              <w:t>8</w:t>
            </w:r>
            <w:r>
              <w:rPr>
                <w:rFonts w:hint="eastAsia" w:ascii="宋体" w:hAnsi="宋体"/>
              </w:rPr>
              <w:t>/</w:t>
            </w:r>
            <w:r>
              <w:rPr>
                <w:rFonts w:ascii="宋体" w:hAnsi="宋体"/>
              </w:rPr>
              <w:t>20</w:t>
            </w:r>
          </w:p>
        </w:tc>
        <w:tc>
          <w:tcPr>
            <w:tcW w:w="457" w:type="pct"/>
            <w:vAlign w:val="center"/>
          </w:tcPr>
          <w:p>
            <w:pPr>
              <w:rPr>
                <w:rFonts w:ascii="宋体" w:hAnsi="宋体"/>
              </w:rPr>
            </w:pPr>
            <w:r>
              <w:rPr>
                <w:rFonts w:ascii="宋体" w:hAnsi="宋体"/>
              </w:rPr>
              <w:t>2024</w:t>
            </w:r>
            <w:r>
              <w:rPr>
                <w:rFonts w:hint="eastAsia" w:ascii="宋体" w:hAnsi="宋体"/>
              </w:rPr>
              <w:t>/</w:t>
            </w:r>
            <w:r>
              <w:rPr>
                <w:rFonts w:ascii="宋体" w:hAnsi="宋体"/>
              </w:rPr>
              <w:t>8</w:t>
            </w:r>
            <w:r>
              <w:rPr>
                <w:rFonts w:hint="eastAsia" w:ascii="宋体" w:hAnsi="宋体"/>
              </w:rPr>
              <w:t>/</w:t>
            </w:r>
            <w:r>
              <w:rPr>
                <w:rFonts w:ascii="宋体" w:hAnsi="宋体"/>
              </w:rPr>
              <w:t>20</w:t>
            </w:r>
          </w:p>
        </w:tc>
        <w:tc>
          <w:tcPr>
            <w:tcW w:w="308" w:type="pct"/>
            <w:vAlign w:val="center"/>
          </w:tcPr>
          <w:p>
            <w:pPr>
              <w:jc w:val="right"/>
              <w:rPr>
                <w:rFonts w:ascii="宋体" w:hAnsi="宋体"/>
              </w:rPr>
            </w:pPr>
            <w:r>
              <w:rPr>
                <w:rFonts w:hint="eastAsia" w:ascii="宋体" w:hAnsi="宋体"/>
              </w:rPr>
              <w:t>10</w:t>
            </w:r>
          </w:p>
        </w:tc>
        <w:tc>
          <w:tcPr>
            <w:tcW w:w="390" w:type="pct"/>
            <w:vAlign w:val="center"/>
          </w:tcPr>
          <w:p>
            <w:pPr>
              <w:jc w:val="right"/>
              <w:rPr>
                <w:rFonts w:ascii="宋体" w:hAnsi="宋体"/>
              </w:rPr>
            </w:pPr>
            <w:r>
              <w:rPr>
                <w:rFonts w:hint="eastAsia" w:ascii="宋体" w:hAnsi="宋体"/>
              </w:rPr>
              <w:t>3.54</w:t>
            </w:r>
          </w:p>
        </w:tc>
        <w:tc>
          <w:tcPr>
            <w:tcW w:w="390" w:type="pct"/>
            <w:vAlign w:val="center"/>
          </w:tcPr>
          <w:p>
            <w:pPr>
              <w:rPr>
                <w:rFonts w:ascii="宋体" w:hAnsi="宋体"/>
              </w:rPr>
            </w:pPr>
            <w:r>
              <w:rPr>
                <w:rFonts w:ascii="宋体" w:hAnsi="宋体"/>
              </w:rPr>
              <w:t>每年付息一次，到期一次还本，最后一期利息随本金一起支付</w:t>
            </w:r>
          </w:p>
        </w:tc>
        <w:tc>
          <w:tcPr>
            <w:tcW w:w="322" w:type="pct"/>
            <w:vAlign w:val="center"/>
          </w:tcPr>
          <w:p>
            <w:pPr>
              <w:rPr>
                <w:rFonts w:ascii="宋体" w:hAnsi="宋体"/>
              </w:rPr>
            </w:pPr>
            <w:r>
              <w:rPr>
                <w:rFonts w:hint="eastAsia" w:ascii="宋体" w:hAnsi="宋体"/>
              </w:rPr>
              <w:t>上交所</w:t>
            </w:r>
          </w:p>
        </w:tc>
        <w:tc>
          <w:tcPr>
            <w:tcW w:w="327" w:type="pct"/>
            <w:vAlign w:val="center"/>
          </w:tcPr>
          <w:p>
            <w:pPr>
              <w:rPr>
                <w:rFonts w:ascii="宋体" w:hAnsi="宋体"/>
              </w:rPr>
            </w:pPr>
            <w:r>
              <w:rPr>
                <w:rFonts w:hint="eastAsia" w:ascii="宋体" w:hAnsi="宋体"/>
              </w:rPr>
              <w:t>面向合格投资者</w:t>
            </w:r>
          </w:p>
        </w:tc>
        <w:tc>
          <w:tcPr>
            <w:tcW w:w="327" w:type="pct"/>
            <w:vAlign w:val="center"/>
          </w:tcPr>
          <w:p>
            <w:pPr>
              <w:rPr>
                <w:rFonts w:ascii="宋体" w:hAnsi="宋体"/>
              </w:rPr>
            </w:pPr>
            <w:r>
              <w:rPr>
                <w:rFonts w:hint="eastAsia" w:ascii="宋体" w:hAnsi="宋体"/>
              </w:rPr>
              <w:t>竞价、报价、询价和协议交易</w:t>
            </w:r>
          </w:p>
        </w:tc>
        <w:tc>
          <w:tcPr>
            <w:tcW w:w="327" w:type="pct"/>
            <w:vAlign w:val="center"/>
          </w:tcPr>
          <w:p>
            <w:pPr>
              <w:jc w:val="cente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hint="eastAsia" w:ascii="宋体" w:hAnsi="宋体"/>
              </w:rPr>
              <w:t>2023年</w:t>
            </w:r>
            <w:r>
              <w:rPr>
                <w:rFonts w:ascii="宋体" w:hAnsi="宋体" w:cstheme="minorBidi"/>
              </w:rPr>
              <w:t>公司债券（第一期）</w:t>
            </w:r>
            <w:r>
              <w:rPr>
                <w:rFonts w:hint="eastAsia" w:ascii="宋体" w:hAnsi="宋体" w:cstheme="minorBidi"/>
              </w:rPr>
              <w:t>（品种一）</w:t>
            </w:r>
          </w:p>
        </w:tc>
        <w:tc>
          <w:tcPr>
            <w:tcW w:w="387" w:type="pct"/>
            <w:vAlign w:val="center"/>
          </w:tcPr>
          <w:p>
            <w:pPr>
              <w:rPr>
                <w:rFonts w:ascii="宋体" w:hAnsi="宋体"/>
              </w:rPr>
            </w:pPr>
            <w:r>
              <w:rPr>
                <w:rFonts w:hint="eastAsia" w:ascii="宋体" w:hAnsi="宋体"/>
              </w:rPr>
              <w:t>23兖矿01</w:t>
            </w:r>
          </w:p>
        </w:tc>
        <w:tc>
          <w:tcPr>
            <w:tcW w:w="463" w:type="pct"/>
            <w:vAlign w:val="center"/>
          </w:tcPr>
          <w:p>
            <w:pPr>
              <w:rPr>
                <w:rFonts w:ascii="宋体" w:hAnsi="宋体"/>
              </w:rPr>
            </w:pPr>
            <w:r>
              <w:rPr>
                <w:rFonts w:hint="eastAsia" w:ascii="宋体" w:hAnsi="宋体"/>
              </w:rPr>
              <w:t>115406</w:t>
            </w:r>
          </w:p>
        </w:tc>
        <w:tc>
          <w:tcPr>
            <w:tcW w:w="457" w:type="pct"/>
            <w:vAlign w:val="center"/>
          </w:tcPr>
          <w:p>
            <w:pPr>
              <w:rPr>
                <w:rFonts w:ascii="宋体" w:hAnsi="宋体"/>
              </w:rPr>
            </w:pPr>
            <w:r>
              <w:rPr>
                <w:rFonts w:hint="eastAsia" w:ascii="宋体" w:hAnsi="宋体"/>
              </w:rPr>
              <w:t>2023/5/2</w:t>
            </w:r>
            <w:r>
              <w:rPr>
                <w:rFonts w:ascii="宋体" w:hAnsi="宋体"/>
              </w:rPr>
              <w:t>5</w:t>
            </w:r>
          </w:p>
        </w:tc>
        <w:tc>
          <w:tcPr>
            <w:tcW w:w="457" w:type="pct"/>
            <w:vAlign w:val="center"/>
          </w:tcPr>
          <w:p>
            <w:pPr>
              <w:rPr>
                <w:rFonts w:ascii="宋体" w:hAnsi="宋体"/>
              </w:rPr>
            </w:pPr>
            <w:r>
              <w:rPr>
                <w:rFonts w:hint="eastAsia" w:ascii="宋体" w:hAnsi="宋体"/>
              </w:rPr>
              <w:t>2023/5/26</w:t>
            </w:r>
          </w:p>
        </w:tc>
        <w:tc>
          <w:tcPr>
            <w:tcW w:w="457" w:type="pct"/>
            <w:vAlign w:val="center"/>
          </w:tcPr>
          <w:p>
            <w:pPr>
              <w:rPr>
                <w:rFonts w:ascii="宋体" w:hAnsi="宋体"/>
              </w:rPr>
            </w:pPr>
            <w:r>
              <w:rPr>
                <w:rFonts w:hint="eastAsia" w:ascii="宋体" w:hAnsi="宋体"/>
              </w:rPr>
              <w:t>2028/5/26</w:t>
            </w:r>
          </w:p>
        </w:tc>
        <w:tc>
          <w:tcPr>
            <w:tcW w:w="308" w:type="pct"/>
            <w:vAlign w:val="center"/>
          </w:tcPr>
          <w:p>
            <w:pPr>
              <w:jc w:val="right"/>
              <w:rPr>
                <w:rFonts w:ascii="宋体" w:hAnsi="宋体"/>
              </w:rPr>
            </w:pPr>
            <w:r>
              <w:rPr>
                <w:rFonts w:ascii="宋体" w:hAnsi="宋体"/>
              </w:rPr>
              <w:t>10</w:t>
            </w:r>
          </w:p>
        </w:tc>
        <w:tc>
          <w:tcPr>
            <w:tcW w:w="390" w:type="pct"/>
            <w:vAlign w:val="center"/>
          </w:tcPr>
          <w:p>
            <w:pPr>
              <w:jc w:val="right"/>
              <w:rPr>
                <w:rFonts w:ascii="宋体" w:hAnsi="宋体"/>
              </w:rPr>
            </w:pPr>
            <w:r>
              <w:rPr>
                <w:rFonts w:hint="eastAsia" w:ascii="宋体" w:hAnsi="宋体"/>
              </w:rPr>
              <w:t>3.34</w:t>
            </w:r>
          </w:p>
        </w:tc>
        <w:tc>
          <w:tcPr>
            <w:tcW w:w="390" w:type="pct"/>
            <w:vAlign w:val="center"/>
          </w:tcPr>
          <w:p>
            <w:pPr>
              <w:rPr>
                <w:rFonts w:ascii="宋体" w:hAnsi="宋体"/>
              </w:rPr>
            </w:pPr>
            <w:r>
              <w:rPr>
                <w:rFonts w:ascii="宋体" w:hAnsi="宋体"/>
              </w:rPr>
              <w:t>每年付息一次，到期一次还本，最后一期利息随本金一起支付</w:t>
            </w:r>
          </w:p>
        </w:tc>
        <w:tc>
          <w:tcPr>
            <w:tcW w:w="322" w:type="pct"/>
            <w:vAlign w:val="center"/>
          </w:tcPr>
          <w:p>
            <w:pPr>
              <w:rPr>
                <w:rFonts w:ascii="宋体" w:hAnsi="宋体"/>
              </w:rPr>
            </w:pPr>
            <w:r>
              <w:rPr>
                <w:rFonts w:hint="eastAsia" w:ascii="宋体" w:hAnsi="宋体"/>
              </w:rPr>
              <w:t>上交所</w:t>
            </w:r>
          </w:p>
        </w:tc>
        <w:tc>
          <w:tcPr>
            <w:tcW w:w="327" w:type="pct"/>
            <w:vAlign w:val="center"/>
          </w:tcPr>
          <w:p>
            <w:pPr>
              <w:rPr>
                <w:rFonts w:ascii="宋体" w:hAnsi="宋体"/>
              </w:rPr>
            </w:pPr>
            <w:r>
              <w:rPr>
                <w:rFonts w:hint="eastAsia" w:ascii="宋体" w:hAnsi="宋体"/>
              </w:rPr>
              <w:t>面向合格投资者</w:t>
            </w:r>
          </w:p>
        </w:tc>
        <w:tc>
          <w:tcPr>
            <w:tcW w:w="327" w:type="pct"/>
            <w:vAlign w:val="center"/>
          </w:tcPr>
          <w:p>
            <w:pPr>
              <w:rPr>
                <w:rFonts w:ascii="宋体" w:hAnsi="宋体"/>
              </w:rPr>
            </w:pPr>
            <w:r>
              <w:rPr>
                <w:rFonts w:hint="eastAsia" w:ascii="宋体" w:hAnsi="宋体"/>
              </w:rPr>
              <w:t>竞价、报价、询价和协议交易</w:t>
            </w:r>
          </w:p>
        </w:tc>
        <w:tc>
          <w:tcPr>
            <w:tcW w:w="327" w:type="pct"/>
            <w:vAlign w:val="center"/>
          </w:tcPr>
          <w:p>
            <w:pPr>
              <w:jc w:val="cente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hint="eastAsia" w:ascii="宋体" w:hAnsi="宋体"/>
              </w:rPr>
              <w:t>2023年</w:t>
            </w:r>
            <w:r>
              <w:rPr>
                <w:rFonts w:ascii="宋体" w:hAnsi="宋体" w:cstheme="minorBidi"/>
              </w:rPr>
              <w:t>公司债券（第一期）</w:t>
            </w:r>
            <w:r>
              <w:rPr>
                <w:rFonts w:hint="eastAsia" w:ascii="宋体" w:hAnsi="宋体" w:cstheme="minorBidi"/>
              </w:rPr>
              <w:t>（品种二）</w:t>
            </w:r>
          </w:p>
        </w:tc>
        <w:tc>
          <w:tcPr>
            <w:tcW w:w="387" w:type="pct"/>
            <w:vAlign w:val="center"/>
          </w:tcPr>
          <w:p>
            <w:pPr>
              <w:rPr>
                <w:rFonts w:ascii="宋体" w:hAnsi="宋体"/>
              </w:rPr>
            </w:pPr>
            <w:r>
              <w:rPr>
                <w:rFonts w:hint="eastAsia" w:ascii="宋体" w:hAnsi="宋体"/>
              </w:rPr>
              <w:t>23兖矿02</w:t>
            </w:r>
          </w:p>
        </w:tc>
        <w:tc>
          <w:tcPr>
            <w:tcW w:w="463" w:type="pct"/>
            <w:vAlign w:val="center"/>
          </w:tcPr>
          <w:p>
            <w:pPr>
              <w:rPr>
                <w:rFonts w:ascii="宋体" w:hAnsi="宋体"/>
              </w:rPr>
            </w:pPr>
            <w:r>
              <w:rPr>
                <w:rFonts w:hint="eastAsia" w:ascii="宋体" w:hAnsi="宋体"/>
              </w:rPr>
              <w:t>115407</w:t>
            </w:r>
          </w:p>
        </w:tc>
        <w:tc>
          <w:tcPr>
            <w:tcW w:w="457" w:type="pct"/>
            <w:vAlign w:val="center"/>
          </w:tcPr>
          <w:p>
            <w:pPr>
              <w:rPr>
                <w:rFonts w:ascii="宋体" w:hAnsi="宋体"/>
              </w:rPr>
            </w:pPr>
            <w:r>
              <w:rPr>
                <w:rFonts w:hint="eastAsia" w:ascii="宋体" w:hAnsi="宋体"/>
              </w:rPr>
              <w:t>2023/5/2</w:t>
            </w:r>
            <w:r>
              <w:rPr>
                <w:rFonts w:ascii="宋体" w:hAnsi="宋体"/>
              </w:rPr>
              <w:t>5</w:t>
            </w:r>
          </w:p>
        </w:tc>
        <w:tc>
          <w:tcPr>
            <w:tcW w:w="457" w:type="pct"/>
            <w:vAlign w:val="center"/>
          </w:tcPr>
          <w:p>
            <w:pPr>
              <w:rPr>
                <w:rFonts w:ascii="宋体" w:hAnsi="宋体"/>
              </w:rPr>
            </w:pPr>
            <w:r>
              <w:rPr>
                <w:rFonts w:hint="eastAsia" w:ascii="宋体" w:hAnsi="宋体"/>
              </w:rPr>
              <w:t>2023/5/26</w:t>
            </w:r>
          </w:p>
        </w:tc>
        <w:tc>
          <w:tcPr>
            <w:tcW w:w="457" w:type="pct"/>
            <w:vAlign w:val="center"/>
          </w:tcPr>
          <w:p>
            <w:pPr>
              <w:rPr>
                <w:rFonts w:ascii="宋体" w:hAnsi="宋体"/>
              </w:rPr>
            </w:pPr>
            <w:r>
              <w:rPr>
                <w:rFonts w:hint="eastAsia" w:ascii="宋体" w:hAnsi="宋体"/>
              </w:rPr>
              <w:t>2033/5/26</w:t>
            </w:r>
          </w:p>
        </w:tc>
        <w:tc>
          <w:tcPr>
            <w:tcW w:w="308" w:type="pct"/>
            <w:vAlign w:val="center"/>
          </w:tcPr>
          <w:p>
            <w:pPr>
              <w:jc w:val="right"/>
              <w:rPr>
                <w:rFonts w:ascii="宋体" w:hAnsi="宋体"/>
              </w:rPr>
            </w:pPr>
            <w:r>
              <w:rPr>
                <w:rFonts w:ascii="宋体" w:hAnsi="宋体"/>
              </w:rPr>
              <w:t>20</w:t>
            </w:r>
          </w:p>
        </w:tc>
        <w:tc>
          <w:tcPr>
            <w:tcW w:w="390" w:type="pct"/>
            <w:vAlign w:val="center"/>
          </w:tcPr>
          <w:p>
            <w:pPr>
              <w:jc w:val="right"/>
              <w:rPr>
                <w:rFonts w:ascii="宋体" w:hAnsi="宋体"/>
              </w:rPr>
            </w:pPr>
            <w:r>
              <w:rPr>
                <w:rFonts w:hint="eastAsia" w:ascii="宋体" w:hAnsi="宋体"/>
              </w:rPr>
              <w:t>3.80</w:t>
            </w:r>
          </w:p>
        </w:tc>
        <w:tc>
          <w:tcPr>
            <w:tcW w:w="390" w:type="pct"/>
            <w:vAlign w:val="center"/>
          </w:tcPr>
          <w:p>
            <w:pPr>
              <w:rPr>
                <w:rFonts w:ascii="宋体" w:hAnsi="宋体"/>
              </w:rPr>
            </w:pPr>
            <w:r>
              <w:rPr>
                <w:rFonts w:ascii="宋体" w:hAnsi="宋体"/>
              </w:rPr>
              <w:t>每年付息一次，到期一次还本，最后一期利息随本金一起支付</w:t>
            </w:r>
          </w:p>
        </w:tc>
        <w:tc>
          <w:tcPr>
            <w:tcW w:w="322" w:type="pct"/>
            <w:vAlign w:val="center"/>
          </w:tcPr>
          <w:p>
            <w:pPr>
              <w:rPr>
                <w:rFonts w:ascii="宋体" w:hAnsi="宋体"/>
              </w:rPr>
            </w:pPr>
            <w:r>
              <w:rPr>
                <w:rFonts w:hint="eastAsia" w:ascii="宋体" w:hAnsi="宋体"/>
              </w:rPr>
              <w:t>上交所</w:t>
            </w:r>
          </w:p>
        </w:tc>
        <w:tc>
          <w:tcPr>
            <w:tcW w:w="327" w:type="pct"/>
            <w:vAlign w:val="center"/>
          </w:tcPr>
          <w:p>
            <w:pPr>
              <w:rPr>
                <w:rFonts w:ascii="宋体" w:hAnsi="宋体"/>
              </w:rPr>
            </w:pPr>
            <w:r>
              <w:rPr>
                <w:rFonts w:hint="eastAsia" w:ascii="宋体" w:hAnsi="宋体"/>
              </w:rPr>
              <w:t>面向合格投资者</w:t>
            </w:r>
          </w:p>
        </w:tc>
        <w:tc>
          <w:tcPr>
            <w:tcW w:w="327" w:type="pct"/>
            <w:vAlign w:val="center"/>
          </w:tcPr>
          <w:p>
            <w:pPr>
              <w:rPr>
                <w:rFonts w:ascii="宋体" w:hAnsi="宋体"/>
              </w:rPr>
            </w:pPr>
            <w:r>
              <w:rPr>
                <w:rFonts w:hint="eastAsia" w:ascii="宋体" w:hAnsi="宋体"/>
              </w:rPr>
              <w:t>竞价、报价、询价和协议交易</w:t>
            </w:r>
          </w:p>
        </w:tc>
        <w:tc>
          <w:tcPr>
            <w:tcW w:w="327" w:type="pct"/>
            <w:vAlign w:val="center"/>
          </w:tcPr>
          <w:p>
            <w:pPr>
              <w:jc w:val="cente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hint="eastAsia" w:ascii="宋体" w:hAnsi="宋体"/>
              </w:rPr>
              <w:t>2023年</w:t>
            </w:r>
            <w:r>
              <w:rPr>
                <w:rFonts w:ascii="宋体" w:hAnsi="宋体" w:cstheme="minorBidi"/>
              </w:rPr>
              <w:t>公司债券（第</w:t>
            </w:r>
            <w:r>
              <w:rPr>
                <w:rFonts w:hint="eastAsia" w:ascii="宋体" w:hAnsi="宋体" w:cstheme="minorBidi"/>
              </w:rPr>
              <w:t>二</w:t>
            </w:r>
            <w:r>
              <w:rPr>
                <w:rFonts w:ascii="宋体" w:hAnsi="宋体" w:cstheme="minorBidi"/>
              </w:rPr>
              <w:t>期）</w:t>
            </w:r>
            <w:r>
              <w:rPr>
                <w:rFonts w:hint="eastAsia" w:ascii="宋体" w:hAnsi="宋体" w:cstheme="minorBidi"/>
              </w:rPr>
              <w:t>（品种二）</w:t>
            </w:r>
          </w:p>
        </w:tc>
        <w:tc>
          <w:tcPr>
            <w:tcW w:w="387" w:type="pct"/>
            <w:vAlign w:val="center"/>
          </w:tcPr>
          <w:p>
            <w:pPr>
              <w:rPr>
                <w:rFonts w:ascii="宋体" w:hAnsi="宋体"/>
              </w:rPr>
            </w:pPr>
            <w:r>
              <w:rPr>
                <w:rFonts w:hint="eastAsia" w:ascii="宋体" w:hAnsi="宋体"/>
              </w:rPr>
              <w:t>23兖矿04</w:t>
            </w:r>
          </w:p>
        </w:tc>
        <w:tc>
          <w:tcPr>
            <w:tcW w:w="463" w:type="pct"/>
            <w:vAlign w:val="center"/>
          </w:tcPr>
          <w:p>
            <w:pPr>
              <w:rPr>
                <w:rFonts w:ascii="宋体" w:hAnsi="宋体"/>
              </w:rPr>
            </w:pPr>
            <w:r>
              <w:rPr>
                <w:rFonts w:hint="eastAsia" w:ascii="宋体" w:hAnsi="宋体"/>
              </w:rPr>
              <w:t>115544</w:t>
            </w:r>
          </w:p>
        </w:tc>
        <w:tc>
          <w:tcPr>
            <w:tcW w:w="457" w:type="pct"/>
            <w:vAlign w:val="center"/>
          </w:tcPr>
          <w:p>
            <w:pPr>
              <w:rPr>
                <w:rFonts w:ascii="宋体" w:hAnsi="宋体"/>
              </w:rPr>
            </w:pPr>
            <w:r>
              <w:rPr>
                <w:rFonts w:hint="eastAsia" w:ascii="宋体" w:hAnsi="宋体"/>
              </w:rPr>
              <w:t>2023/6/</w:t>
            </w:r>
            <w:r>
              <w:rPr>
                <w:rFonts w:ascii="宋体" w:hAnsi="宋体"/>
              </w:rPr>
              <w:t>15</w:t>
            </w:r>
          </w:p>
        </w:tc>
        <w:tc>
          <w:tcPr>
            <w:tcW w:w="457" w:type="pct"/>
            <w:vAlign w:val="center"/>
          </w:tcPr>
          <w:p>
            <w:pPr>
              <w:rPr>
                <w:rFonts w:ascii="宋体" w:hAnsi="宋体"/>
              </w:rPr>
            </w:pPr>
            <w:r>
              <w:rPr>
                <w:rFonts w:hint="eastAsia" w:ascii="宋体" w:hAnsi="宋体"/>
              </w:rPr>
              <w:t>2023/6/16</w:t>
            </w:r>
          </w:p>
        </w:tc>
        <w:tc>
          <w:tcPr>
            <w:tcW w:w="457" w:type="pct"/>
            <w:vAlign w:val="center"/>
          </w:tcPr>
          <w:p>
            <w:pPr>
              <w:rPr>
                <w:rFonts w:ascii="宋体" w:hAnsi="宋体"/>
              </w:rPr>
            </w:pPr>
            <w:r>
              <w:rPr>
                <w:rFonts w:hint="eastAsia" w:ascii="宋体" w:hAnsi="宋体"/>
              </w:rPr>
              <w:t>2033/6/16</w:t>
            </w:r>
          </w:p>
        </w:tc>
        <w:tc>
          <w:tcPr>
            <w:tcW w:w="308" w:type="pct"/>
            <w:vAlign w:val="center"/>
          </w:tcPr>
          <w:p>
            <w:pPr>
              <w:jc w:val="right"/>
              <w:rPr>
                <w:rFonts w:ascii="宋体" w:hAnsi="宋体"/>
              </w:rPr>
            </w:pPr>
            <w:r>
              <w:rPr>
                <w:rFonts w:ascii="宋体" w:hAnsi="宋体"/>
              </w:rPr>
              <w:t>20</w:t>
            </w:r>
          </w:p>
        </w:tc>
        <w:tc>
          <w:tcPr>
            <w:tcW w:w="390" w:type="pct"/>
            <w:vAlign w:val="center"/>
          </w:tcPr>
          <w:p>
            <w:pPr>
              <w:jc w:val="right"/>
              <w:rPr>
                <w:rFonts w:ascii="宋体" w:hAnsi="宋体"/>
              </w:rPr>
            </w:pPr>
            <w:r>
              <w:rPr>
                <w:rFonts w:hint="eastAsia" w:ascii="宋体" w:hAnsi="宋体"/>
              </w:rPr>
              <w:t>3.75</w:t>
            </w:r>
          </w:p>
        </w:tc>
        <w:tc>
          <w:tcPr>
            <w:tcW w:w="390" w:type="pct"/>
            <w:vAlign w:val="center"/>
          </w:tcPr>
          <w:p>
            <w:pPr>
              <w:rPr>
                <w:rFonts w:ascii="宋体" w:hAnsi="宋体"/>
              </w:rPr>
            </w:pPr>
            <w:r>
              <w:rPr>
                <w:rFonts w:ascii="宋体" w:hAnsi="宋体"/>
              </w:rPr>
              <w:t>每年付息一次，到期一次还本，最后一期利息随本金一起支付</w:t>
            </w:r>
          </w:p>
        </w:tc>
        <w:tc>
          <w:tcPr>
            <w:tcW w:w="322" w:type="pct"/>
            <w:vAlign w:val="center"/>
          </w:tcPr>
          <w:p>
            <w:pPr>
              <w:rPr>
                <w:rFonts w:ascii="宋体" w:hAnsi="宋体"/>
              </w:rPr>
            </w:pPr>
            <w:r>
              <w:rPr>
                <w:rFonts w:hint="eastAsia" w:ascii="宋体" w:hAnsi="宋体"/>
              </w:rPr>
              <w:t>上交所</w:t>
            </w:r>
          </w:p>
        </w:tc>
        <w:tc>
          <w:tcPr>
            <w:tcW w:w="327" w:type="pct"/>
            <w:vAlign w:val="center"/>
          </w:tcPr>
          <w:p>
            <w:pPr>
              <w:rPr>
                <w:rFonts w:ascii="宋体" w:hAnsi="宋体"/>
              </w:rPr>
            </w:pPr>
            <w:r>
              <w:rPr>
                <w:rFonts w:hint="eastAsia" w:ascii="宋体" w:hAnsi="宋体"/>
              </w:rPr>
              <w:t>面向合格投资者</w:t>
            </w:r>
          </w:p>
        </w:tc>
        <w:tc>
          <w:tcPr>
            <w:tcW w:w="327" w:type="pct"/>
            <w:vAlign w:val="center"/>
          </w:tcPr>
          <w:p>
            <w:pPr>
              <w:rPr>
                <w:rFonts w:ascii="宋体" w:hAnsi="宋体"/>
              </w:rPr>
            </w:pPr>
            <w:r>
              <w:rPr>
                <w:rFonts w:hint="eastAsia" w:ascii="宋体" w:hAnsi="宋体"/>
              </w:rPr>
              <w:t>竞价、报价、询价和协议交易</w:t>
            </w:r>
          </w:p>
        </w:tc>
        <w:tc>
          <w:tcPr>
            <w:tcW w:w="327" w:type="pct"/>
            <w:vAlign w:val="center"/>
          </w:tcPr>
          <w:p>
            <w:pPr>
              <w:jc w:val="cente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rPr>
                <w:rFonts w:ascii="宋体" w:hAnsi="宋体"/>
              </w:rPr>
            </w:pPr>
            <w:r>
              <w:rPr>
                <w:rFonts w:ascii="宋体" w:hAnsi="宋体"/>
                <w:bCs/>
              </w:rPr>
              <w:t>2024</w:t>
            </w:r>
            <w:r>
              <w:rPr>
                <w:rFonts w:hint="eastAsia" w:ascii="宋体" w:hAnsi="宋体"/>
                <w:bCs/>
              </w:rPr>
              <w:t>年科技创新公司债券（第一期）</w:t>
            </w:r>
          </w:p>
        </w:tc>
        <w:tc>
          <w:tcPr>
            <w:tcW w:w="387" w:type="pct"/>
            <w:vAlign w:val="center"/>
          </w:tcPr>
          <w:p>
            <w:pPr>
              <w:rPr>
                <w:rFonts w:ascii="宋体" w:hAnsi="宋体"/>
              </w:rPr>
            </w:pPr>
            <w:r>
              <w:rPr>
                <w:rFonts w:ascii="宋体" w:hAnsi="宋体"/>
                <w:bCs/>
              </w:rPr>
              <w:t>24</w:t>
            </w:r>
            <w:r>
              <w:rPr>
                <w:rFonts w:hint="eastAsia" w:ascii="宋体" w:hAnsi="宋体"/>
                <w:bCs/>
              </w:rPr>
              <w:t>兖矿</w:t>
            </w:r>
            <w:r>
              <w:rPr>
                <w:rFonts w:ascii="宋体" w:hAnsi="宋体"/>
                <w:bCs/>
              </w:rPr>
              <w:t>K1</w:t>
            </w:r>
          </w:p>
        </w:tc>
        <w:tc>
          <w:tcPr>
            <w:tcW w:w="463" w:type="pct"/>
            <w:vAlign w:val="center"/>
          </w:tcPr>
          <w:p>
            <w:pPr>
              <w:rPr>
                <w:rFonts w:ascii="宋体" w:hAnsi="宋体"/>
              </w:rPr>
            </w:pPr>
            <w:r>
              <w:rPr>
                <w:rFonts w:ascii="宋体" w:hAnsi="宋体"/>
                <w:bCs/>
              </w:rPr>
              <w:t>240582</w:t>
            </w:r>
          </w:p>
        </w:tc>
        <w:tc>
          <w:tcPr>
            <w:tcW w:w="457" w:type="pct"/>
            <w:vAlign w:val="center"/>
          </w:tcPr>
          <w:p>
            <w:pPr>
              <w:rPr>
                <w:rFonts w:ascii="宋体" w:hAnsi="宋体"/>
              </w:rPr>
            </w:pPr>
            <w:r>
              <w:rPr>
                <w:rFonts w:ascii="宋体" w:hAnsi="宋体"/>
                <w:bCs/>
              </w:rPr>
              <w:t>2024/3/13</w:t>
            </w:r>
          </w:p>
        </w:tc>
        <w:tc>
          <w:tcPr>
            <w:tcW w:w="457" w:type="pct"/>
            <w:vAlign w:val="center"/>
          </w:tcPr>
          <w:p>
            <w:pPr>
              <w:rPr>
                <w:rFonts w:ascii="宋体" w:hAnsi="宋体"/>
              </w:rPr>
            </w:pPr>
            <w:r>
              <w:rPr>
                <w:rFonts w:ascii="宋体" w:hAnsi="宋体"/>
                <w:bCs/>
              </w:rPr>
              <w:t>2024/3/14</w:t>
            </w:r>
          </w:p>
        </w:tc>
        <w:tc>
          <w:tcPr>
            <w:tcW w:w="457" w:type="pct"/>
            <w:vAlign w:val="center"/>
          </w:tcPr>
          <w:p>
            <w:pPr>
              <w:rPr>
                <w:rFonts w:ascii="宋体" w:hAnsi="宋体"/>
              </w:rPr>
            </w:pPr>
            <w:r>
              <w:rPr>
                <w:rFonts w:ascii="宋体" w:hAnsi="宋体"/>
                <w:bCs/>
              </w:rPr>
              <w:t>2034/3/14</w:t>
            </w:r>
          </w:p>
        </w:tc>
        <w:tc>
          <w:tcPr>
            <w:tcW w:w="308" w:type="pct"/>
            <w:vAlign w:val="center"/>
          </w:tcPr>
          <w:p>
            <w:pPr>
              <w:jc w:val="right"/>
              <w:rPr>
                <w:rFonts w:ascii="宋体" w:hAnsi="宋体"/>
              </w:rPr>
            </w:pPr>
            <w:r>
              <w:rPr>
                <w:rFonts w:ascii="宋体" w:hAnsi="宋体"/>
                <w:bCs/>
              </w:rPr>
              <w:t>30</w:t>
            </w:r>
          </w:p>
        </w:tc>
        <w:tc>
          <w:tcPr>
            <w:tcW w:w="390" w:type="pct"/>
            <w:vAlign w:val="center"/>
          </w:tcPr>
          <w:p>
            <w:pPr>
              <w:jc w:val="right"/>
              <w:rPr>
                <w:rFonts w:ascii="宋体" w:hAnsi="宋体"/>
              </w:rPr>
            </w:pPr>
            <w:r>
              <w:rPr>
                <w:rFonts w:ascii="宋体" w:hAnsi="宋体"/>
                <w:bCs/>
              </w:rPr>
              <w:t>3.03</w:t>
            </w:r>
          </w:p>
        </w:tc>
        <w:tc>
          <w:tcPr>
            <w:tcW w:w="390" w:type="pct"/>
            <w:vAlign w:val="center"/>
          </w:tcPr>
          <w:p>
            <w:pPr>
              <w:rPr>
                <w:rFonts w:ascii="宋体" w:hAnsi="宋体"/>
              </w:rPr>
            </w:pPr>
            <w:r>
              <w:rPr>
                <w:rFonts w:hint="eastAsia" w:ascii="宋体" w:hAnsi="宋体"/>
                <w:bCs/>
              </w:rPr>
              <w:t>每年付息一次，到期一次还本，最后一期利息随本金一起支付</w:t>
            </w:r>
          </w:p>
        </w:tc>
        <w:tc>
          <w:tcPr>
            <w:tcW w:w="322" w:type="pct"/>
            <w:vAlign w:val="center"/>
          </w:tcPr>
          <w:p>
            <w:pPr>
              <w:rPr>
                <w:rFonts w:ascii="宋体" w:hAnsi="宋体"/>
              </w:rPr>
            </w:pPr>
            <w:r>
              <w:rPr>
                <w:rFonts w:hint="eastAsia" w:ascii="宋体" w:hAnsi="宋体"/>
                <w:bCs/>
              </w:rPr>
              <w:t>上交所</w:t>
            </w:r>
          </w:p>
        </w:tc>
        <w:tc>
          <w:tcPr>
            <w:tcW w:w="327" w:type="pct"/>
            <w:vAlign w:val="center"/>
          </w:tcPr>
          <w:p>
            <w:pPr>
              <w:rPr>
                <w:rFonts w:ascii="宋体" w:hAnsi="宋体"/>
              </w:rPr>
            </w:pPr>
            <w:r>
              <w:rPr>
                <w:rFonts w:hint="eastAsia" w:ascii="宋体" w:hAnsi="宋体"/>
                <w:bCs/>
              </w:rPr>
              <w:t>面向合格投资者</w:t>
            </w:r>
          </w:p>
        </w:tc>
        <w:tc>
          <w:tcPr>
            <w:tcW w:w="327" w:type="pct"/>
            <w:vAlign w:val="center"/>
          </w:tcPr>
          <w:p>
            <w:pPr>
              <w:rPr>
                <w:rFonts w:ascii="宋体" w:hAnsi="宋体"/>
              </w:rPr>
            </w:pPr>
            <w:r>
              <w:rPr>
                <w:rFonts w:hint="eastAsia" w:ascii="宋体" w:hAnsi="宋体"/>
                <w:bCs/>
              </w:rPr>
              <w:t>竞价、报价、询价和协议交易</w:t>
            </w:r>
          </w:p>
        </w:tc>
        <w:tc>
          <w:tcPr>
            <w:tcW w:w="327" w:type="pct"/>
            <w:vAlign w:val="center"/>
          </w:tcPr>
          <w:p>
            <w:pPr>
              <w:jc w:val="center"/>
              <w:rPr>
                <w:rFonts w:ascii="宋体" w:hAnsi="宋体"/>
              </w:rPr>
            </w:pPr>
            <w:r>
              <w:rPr>
                <w:rFonts w:hint="eastAsia" w:ascii="宋体" w:hAnsi="宋体"/>
                <w:bCs/>
              </w:rPr>
              <w:t>否</w:t>
            </w:r>
          </w:p>
        </w:tc>
      </w:tr>
    </w:tbl>
    <w:p>
      <w:pPr>
        <w:ind w:firstLine="420" w:firstLineChars="200"/>
        <w:rPr>
          <w:rFonts w:ascii="宋体" w:hAnsi="宋体"/>
          <w:bCs/>
        </w:rPr>
      </w:pPr>
      <w:bookmarkStart w:id="176" w:name="_Hlk160279964"/>
      <w:r>
        <w:rPr>
          <w:rFonts w:hint="eastAsia" w:ascii="宋体" w:hAnsi="宋体"/>
          <w:color w:val="000000"/>
        </w:rPr>
        <w:t xml:space="preserve">注： </w:t>
      </w:r>
    </w:p>
    <w:p>
      <w:pPr>
        <w:ind w:firstLine="420" w:firstLineChars="200"/>
        <w:rPr>
          <w:rFonts w:ascii="宋体" w:hAnsi="宋体"/>
          <w:bCs/>
        </w:rPr>
      </w:pPr>
      <w:r>
        <w:rPr>
          <w:rFonts w:hint="eastAsia" w:ascii="宋体" w:hAnsi="宋体"/>
          <w:color w:val="000000"/>
        </w:rPr>
        <w:t xml:space="preserve">①2020年公司债券（第二期）（品种二）为10年固定利率债券。在第5个计息年度末，公司有权选择调整本期债券后续期限的票面利率，投资者有权选择将持有债券回售给公司。 </w:t>
      </w:r>
    </w:p>
    <w:p>
      <w:pPr>
        <w:ind w:firstLine="420" w:firstLineChars="200"/>
        <w:rPr>
          <w:rFonts w:ascii="宋体" w:hAnsi="宋体"/>
          <w:bCs/>
        </w:rPr>
      </w:pPr>
      <w:r>
        <w:rPr>
          <w:rFonts w:hint="eastAsia" w:ascii="宋体" w:hAnsi="宋体"/>
          <w:color w:val="000000"/>
        </w:rPr>
        <w:t xml:space="preserve">②2021年可续期公司债券(第一期)（品种二）以每3个计息年度为1个周期。在每个周期末，公司有权选择将本期债券期限延长1个周期（即延长3 年），或选择在该周期末到期全额兑付本期债券。 </w:t>
      </w:r>
    </w:p>
    <w:p>
      <w:pPr>
        <w:ind w:firstLine="420" w:firstLineChars="200"/>
        <w:rPr>
          <w:rFonts w:ascii="宋体" w:hAnsi="宋体"/>
          <w:color w:val="000000"/>
        </w:rPr>
      </w:pPr>
      <w:r>
        <w:rPr>
          <w:rFonts w:hint="eastAsia" w:ascii="宋体" w:hAnsi="宋体"/>
          <w:color w:val="000000"/>
        </w:rPr>
        <w:t>③2021年可续期公司债券(第二期)以每3个计息年度为1个周期。在每个周期末，公司有权选择将本期债券期限延长1个周期（即延长3年），或选择在该周期末到期全额兑付本期债券。</w:t>
      </w:r>
    </w:p>
    <w:bookmarkEnd w:id="176"/>
    <w:p>
      <w:pPr>
        <w:ind w:firstLine="420" w:firstLineChars="200"/>
        <w:rPr>
          <w:rFonts w:ascii="宋体" w:hAnsi="宋体"/>
        </w:rPr>
      </w:pPr>
    </w:p>
    <w:p>
      <w:pPr>
        <w:pStyle w:val="43"/>
      </w:pPr>
      <w:r>
        <w:rPr>
          <w:rFonts w:hint="eastAsia"/>
        </w:rPr>
        <w:t>公司对债券终止上市交易风险的应对措施</w:t>
      </w:r>
    </w:p>
    <w:sdt>
      <w:sdtPr>
        <w:rPr>
          <w:rFonts w:ascii="宋体" w:hAnsi="宋体"/>
          <w:bCs/>
          <w:color w:val="000000" w:themeColor="text1"/>
          <w14:textFill>
            <w14:solidFill>
              <w14:schemeClr w14:val="tx1"/>
            </w14:solidFill>
          </w14:textFill>
        </w:rPr>
        <w:alias w:val="是否适用：公司对债券终止上市交易风险的应对措施 [双击切换]"/>
        <w:tag w:val="_GBC_8b78dd47ac3c4f1eb39b850ff54adbdf"/>
        <w:id w:val="28001488"/>
        <w:placeholder>
          <w:docPart w:val="GBC22222222222222222222222222222"/>
        </w:placeholder>
      </w:sdtPr>
      <w:sdtEndPr>
        <w:rPr>
          <w:rFonts w:ascii="宋体" w:hAnsi="宋体"/>
          <w:bCs/>
          <w:color w:val="000000" w:themeColor="text1"/>
          <w14:textFill>
            <w14:solidFill>
              <w14:schemeClr w14:val="tx1"/>
            </w14:solidFill>
          </w14:textFill>
        </w:rPr>
      </w:sdtEndPr>
      <w:sdtContent>
        <w:p>
          <w:pPr>
            <w:rPr>
              <w:rFonts w:ascii="宋体" w:hAnsi="宋体"/>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p>
      <w:pPr>
        <w:rPr>
          <w:rFonts w:ascii="宋体" w:hAnsi="宋体"/>
          <w:bCs/>
          <w:color w:val="000000" w:themeColor="text1"/>
          <w14:textFill>
            <w14:solidFill>
              <w14:schemeClr w14:val="tx1"/>
            </w14:solidFill>
          </w14:textFill>
        </w:rPr>
      </w:pPr>
    </w:p>
    <w:p>
      <w:pPr>
        <w:pStyle w:val="43"/>
      </w:pPr>
      <w:r>
        <w:t>逾期未偿还债券</w:t>
      </w:r>
    </w:p>
    <w:sdt>
      <w:sdtPr>
        <w:rPr>
          <w:rFonts w:hint="eastAsia"/>
        </w:rPr>
        <w:alias w:val="是否适用：逾期未偿还债券[双击切换]"/>
        <w:tag w:val="_GBC_771bbda794af4682b3b36e7817d7e78a"/>
        <w:id w:val="578950290"/>
        <w:placeholder>
          <w:docPart w:val="GBC22222222222222222222222222222"/>
        </w:placeholder>
      </w:sdtPr>
      <w:sdtEndPr>
        <w:rPr>
          <w:rFonts w:hint="eastAsia"/>
        </w:rPr>
      </w:sdtEndPr>
      <w:sdtContent>
        <w:p>
          <w:pPr>
            <w:pStyle w:val="43"/>
          </w:pPr>
          <w:bookmarkStart w:id="177" w:name="_Hlk4131765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77"/>
    <w:p>
      <w:pPr>
        <w:pStyle w:val="43"/>
        <w:rPr>
          <w:rFonts w:cs="Times New Roman"/>
          <w:b/>
          <w:bCs/>
          <w:kern w:val="2"/>
          <w:szCs w:val="21"/>
        </w:rPr>
      </w:pPr>
    </w:p>
    <w:p>
      <w:pPr>
        <w:rPr>
          <w:rFonts w:ascii="宋体" w:hAnsi="宋体"/>
          <w:bCs/>
        </w:rPr>
      </w:pPr>
      <w:r>
        <w:rPr>
          <w:rFonts w:hint="eastAsia" w:ascii="宋体" w:hAnsi="宋体"/>
          <w:bCs/>
        </w:rPr>
        <w:t>报告期内债券付息兑付情况</w:t>
      </w:r>
    </w:p>
    <w:sdt>
      <w:sdtPr>
        <w:rPr>
          <w:rFonts w:ascii="宋体" w:hAnsi="宋体"/>
          <w:bCs/>
        </w:rPr>
        <w:alias w:val="是否适用：公司债券付息兑付情况 [双击切换]"/>
        <w:tag w:val="_GBC_3ab037329d174b6ba7ef825552874d7e"/>
        <w:id w:val="2061431268"/>
        <w:placeholder>
          <w:docPart w:val="GBC22222222222222222222222222222"/>
        </w:placeholder>
      </w:sdtPr>
      <w:sdtEndPr>
        <w:rPr>
          <w:rFonts w:ascii="宋体" w:hAnsi="宋体"/>
          <w:bCs/>
        </w:rPr>
      </w:sdtEndPr>
      <w:sdtContent>
        <w:p>
          <w:pPr>
            <w:rPr>
              <w:rFonts w:ascii="宋体" w:hAnsi="宋体"/>
              <w:bCs/>
            </w:rPr>
          </w:pPr>
          <w:bookmarkStart w:id="178" w:name="_Hlk89418944"/>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tbl>
      <w:tblPr>
        <w:tblStyle w:val="1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10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bCs/>
            </w:rPr>
            <w:tag w:val="_PLD_378324e3e6a042f98f4d50d0e9db2c6f"/>
            <w:id w:val="755945068"/>
          </w:sdtPr>
          <w:sdtEndPr>
            <w:rPr>
              <w:rFonts w:ascii="宋体" w:hAnsi="宋体"/>
              <w:bCs/>
            </w:rPr>
          </w:sdtEndPr>
          <w:sdtContent>
            <w:tc>
              <w:tcPr>
                <w:tcW w:w="1269" w:type="pct"/>
              </w:tcPr>
              <w:p>
                <w:pPr>
                  <w:jc w:val="center"/>
                  <w:rPr>
                    <w:rFonts w:ascii="宋体" w:hAnsi="宋体"/>
                    <w:bCs/>
                  </w:rPr>
                </w:pPr>
                <w:r>
                  <w:rPr>
                    <w:rFonts w:ascii="宋体" w:hAnsi="宋体"/>
                    <w:bCs/>
                  </w:rPr>
                  <w:t>债券名称</w:t>
                </w:r>
              </w:p>
            </w:tc>
          </w:sdtContent>
        </w:sdt>
        <w:sdt>
          <w:sdtPr>
            <w:rPr>
              <w:rFonts w:hint="eastAsia" w:ascii="宋体" w:hAnsi="宋体"/>
              <w:bCs/>
            </w:rPr>
            <w:tag w:val="_PLD_0eb8eec89a514cc5be484dbdd9927ba9"/>
            <w:id w:val="2071692687"/>
          </w:sdtPr>
          <w:sdtEndPr>
            <w:rPr>
              <w:rFonts w:hint="eastAsia" w:ascii="宋体" w:hAnsi="宋体"/>
              <w:bCs/>
            </w:rPr>
          </w:sdtEndPr>
          <w:sdtContent>
            <w:tc>
              <w:tcPr>
                <w:tcW w:w="3731" w:type="pct"/>
              </w:tcPr>
              <w:p>
                <w:pPr>
                  <w:jc w:val="center"/>
                  <w:rPr>
                    <w:rFonts w:ascii="宋体" w:hAnsi="宋体"/>
                    <w:bCs/>
                  </w:rPr>
                </w:pPr>
                <w:r>
                  <w:rPr>
                    <w:rFonts w:hint="eastAsia" w:ascii="宋体" w:hAnsi="宋体"/>
                    <w:bCs/>
                  </w:rPr>
                  <w:t>付息兑付情况的说明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cstheme="minorBidi"/>
              </w:rPr>
              <w:t>2012年公司债券（第二期）</w:t>
            </w:r>
            <w:r>
              <w:rPr>
                <w:rFonts w:hint="eastAsia" w:ascii="宋体" w:hAnsi="宋体"/>
                <w:vertAlign w:val="superscript"/>
              </w:rPr>
              <w:t>注</w:t>
            </w:r>
          </w:p>
        </w:tc>
        <w:tc>
          <w:tcPr>
            <w:tcW w:w="3731"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cstheme="minorBidi"/>
              </w:rPr>
              <w:t>2020年公司债券（第一期）</w:t>
            </w:r>
            <w:r>
              <w:rPr>
                <w:rFonts w:hint="eastAsia" w:ascii="宋体" w:hAnsi="宋体" w:cstheme="minorBidi"/>
              </w:rPr>
              <w:t>（品种二）</w:t>
            </w:r>
          </w:p>
        </w:tc>
        <w:tc>
          <w:tcPr>
            <w:tcW w:w="3731"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cstheme="minorBidi"/>
              </w:rPr>
              <w:t>2020年公司债券（第一期）</w:t>
            </w:r>
            <w:r>
              <w:rPr>
                <w:rFonts w:hint="eastAsia" w:ascii="宋体" w:hAnsi="宋体" w:cstheme="minorBidi"/>
              </w:rPr>
              <w:t>（品种三）</w:t>
            </w:r>
          </w:p>
        </w:tc>
        <w:tc>
          <w:tcPr>
            <w:tcW w:w="3731"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cstheme="minorBidi"/>
              </w:rPr>
              <w:t>2020年公司债券（第二期）</w:t>
            </w:r>
            <w:r>
              <w:rPr>
                <w:rFonts w:hint="eastAsia" w:ascii="宋体" w:hAnsi="宋体" w:cstheme="minorBidi"/>
              </w:rPr>
              <w:t>（品种一）</w:t>
            </w:r>
          </w:p>
        </w:tc>
        <w:tc>
          <w:tcPr>
            <w:tcW w:w="3731"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公司按期兑付了本金及利息，未出现违约行为。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cstheme="minorBidi"/>
              </w:rPr>
              <w:t>2020年公司债券（第二期）</w:t>
            </w:r>
            <w:r>
              <w:rPr>
                <w:rFonts w:hint="eastAsia" w:ascii="宋体" w:hAnsi="宋体" w:cstheme="minorBidi"/>
              </w:rPr>
              <w:t>（品种二）</w:t>
            </w:r>
          </w:p>
        </w:tc>
        <w:tc>
          <w:tcPr>
            <w:tcW w:w="3731"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cstheme="minorBidi"/>
              </w:rPr>
              <w:t>2021年公司债券（第一期）</w:t>
            </w:r>
            <w:r>
              <w:rPr>
                <w:rFonts w:hint="eastAsia" w:ascii="宋体" w:hAnsi="宋体" w:cstheme="minorBidi"/>
              </w:rPr>
              <w:t>（品种一）</w:t>
            </w:r>
          </w:p>
        </w:tc>
        <w:tc>
          <w:tcPr>
            <w:tcW w:w="3731"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cstheme="minorBidi"/>
              </w:rPr>
              <w:t>2021年公司债券（第一期）</w:t>
            </w:r>
            <w:r>
              <w:rPr>
                <w:rFonts w:hint="eastAsia" w:ascii="宋体" w:hAnsi="宋体" w:cstheme="minorBidi"/>
              </w:rPr>
              <w:t>（品种二）</w:t>
            </w:r>
          </w:p>
        </w:tc>
        <w:tc>
          <w:tcPr>
            <w:tcW w:w="3731"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cstheme="minorBidi"/>
              </w:rPr>
              <w:t>2021年可续期公司债券（第一期）</w:t>
            </w:r>
            <w:r>
              <w:rPr>
                <w:rFonts w:hint="eastAsia" w:ascii="宋体" w:hAnsi="宋体" w:cstheme="minorBidi"/>
              </w:rPr>
              <w:t>（品种一）</w:t>
            </w:r>
          </w:p>
        </w:tc>
        <w:tc>
          <w:tcPr>
            <w:tcW w:w="3731"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公司按期兑付了本金及利息，未出现违约行为。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cstheme="minorBidi"/>
              </w:rPr>
              <w:t>2021年可续期公司债券（第一期）</w:t>
            </w:r>
            <w:r>
              <w:rPr>
                <w:rFonts w:hint="eastAsia" w:ascii="宋体" w:hAnsi="宋体" w:cstheme="minorBidi"/>
              </w:rPr>
              <w:t>（品种二）</w:t>
            </w:r>
          </w:p>
        </w:tc>
        <w:tc>
          <w:tcPr>
            <w:tcW w:w="3731"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cstheme="minorBidi"/>
              </w:rPr>
              <w:t>2021年可续期公司债券（第二期）</w:t>
            </w:r>
          </w:p>
        </w:tc>
        <w:tc>
          <w:tcPr>
            <w:tcW w:w="3731"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公司按期支付了利息，未出现违约行为。</w:t>
            </w:r>
          </w:p>
        </w:tc>
      </w:tr>
    </w:tbl>
    <w:p>
      <w:pPr>
        <w:pStyle w:val="501"/>
      </w:pPr>
      <w:bookmarkStart w:id="179" w:name="_Hlk160998434"/>
      <w:r>
        <w:rPr>
          <w:rFonts w:hint="eastAsia" w:ascii="宋体" w:hAnsi="宋体"/>
        </w:rPr>
        <w:t>注：</w:t>
      </w:r>
      <w:bookmarkStart w:id="180" w:name="_Hlk162381911"/>
      <w:r>
        <w:rPr>
          <w:rFonts w:hint="eastAsia" w:ascii="宋体" w:hAnsi="宋体"/>
        </w:rPr>
        <w:t>2012年公司债券（第二期）已于2</w:t>
      </w:r>
      <w:r>
        <w:rPr>
          <w:rFonts w:ascii="宋体" w:hAnsi="宋体"/>
        </w:rPr>
        <w:t>024</w:t>
      </w:r>
      <w:r>
        <w:rPr>
          <w:rFonts w:hint="eastAsia" w:ascii="宋体" w:hAnsi="宋体"/>
        </w:rPr>
        <w:t>年3月3日偿还本金及相应利息。</w:t>
      </w:r>
    </w:p>
    <w:bookmarkEnd w:id="179"/>
    <w:bookmarkEnd w:id="180"/>
    <w:p>
      <w:pPr>
        <w:pStyle w:val="501"/>
      </w:pPr>
    </w:p>
    <w:p>
      <w:pPr>
        <w:pStyle w:val="5"/>
        <w:numPr>
          <w:ilvl w:val="0"/>
          <w:numId w:val="55"/>
        </w:numPr>
        <w:ind w:left="425" w:hanging="425"/>
        <w:rPr>
          <w:rFonts w:ascii="宋体" w:hAnsi="宋体"/>
        </w:rPr>
      </w:pPr>
      <w:r>
        <w:rPr>
          <w:rFonts w:hint="eastAsia" w:ascii="宋体" w:hAnsi="宋体"/>
        </w:rPr>
        <w:t>发行人或投资者选择权条款、投资者保护条款的触发和执行情况</w:t>
      </w:r>
    </w:p>
    <w:bookmarkEnd w:id="178"/>
    <w:sdt>
      <w:sdtPr>
        <w:rPr>
          <w:bCs/>
          <w:color w:val="000000" w:themeColor="text1"/>
          <w14:textFill>
            <w14:solidFill>
              <w14:schemeClr w14:val="tx1"/>
            </w14:solidFill>
          </w14:textFill>
        </w:rPr>
        <w:alias w:val="是否适用：发行人或投资者选择权条款、投资者保护条款的触发和执行情况[双击切换]"/>
        <w:tag w:val="_GBC_8b15a1a762ae4ed2bce62d5804aeb63e"/>
        <w:id w:val="245705260"/>
        <w:placeholder>
          <w:docPart w:val="GBC22222222222222222222222222222"/>
        </w:placeholder>
      </w:sdtPr>
      <w:sdtEndPr>
        <w:rPr>
          <w:bCs/>
          <w:color w:val="000000" w:themeColor="text1"/>
          <w14:textFill>
            <w14:solidFill>
              <w14:schemeClr w14:val="tx1"/>
            </w14:solidFill>
          </w14:textFill>
        </w:rPr>
      </w:sdtEndPr>
      <w:sdtContent>
        <w:p>
          <w:pPr>
            <w:rPr>
              <w:bCs/>
              <w:color w:val="000000" w:themeColor="text1"/>
              <w14:textFill>
                <w14:solidFill>
                  <w14:schemeClr w14:val="tx1"/>
                </w14:solidFill>
              </w14:textFill>
            </w:rPr>
          </w:pPr>
          <w:bookmarkStart w:id="181" w:name="_Hlk41317963"/>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bookmarkEnd w:id="181"/>
    <w:p>
      <w:pPr>
        <w:rPr>
          <w:color w:val="000000" w:themeColor="text1"/>
          <w14:textFill>
            <w14:solidFill>
              <w14:schemeClr w14:val="tx1"/>
            </w14:solidFill>
          </w14:textFill>
        </w:rPr>
      </w:pPr>
    </w:p>
    <w:p>
      <w:pPr>
        <w:pStyle w:val="5"/>
        <w:numPr>
          <w:ilvl w:val="0"/>
          <w:numId w:val="55"/>
        </w:numPr>
        <w:ind w:left="425" w:hanging="425"/>
        <w:rPr>
          <w:rFonts w:ascii="宋体" w:hAnsi="宋体" w:cs="宋体"/>
          <w:kern w:val="0"/>
          <w:szCs w:val="24"/>
        </w:rPr>
      </w:pPr>
      <w:r>
        <w:rPr>
          <w:rFonts w:ascii="宋体" w:hAnsi="宋体" w:cs="宋体"/>
          <w:kern w:val="0"/>
          <w:szCs w:val="24"/>
        </w:rPr>
        <w:t>为债券发行及存续期业务提供服务的中介机构</w:t>
      </w:r>
    </w:p>
    <w:tbl>
      <w:tblPr>
        <w:tblStyle w:val="1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2"/>
        <w:gridCol w:w="3522"/>
        <w:gridCol w:w="3522"/>
        <w:gridCol w:w="3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sdt>
          <w:sdtPr>
            <w:rPr>
              <w:rFonts w:ascii="宋体" w:hAnsi="宋体"/>
            </w:rPr>
            <w:tag w:val="_PLD_54ab8ae12edd455da8babdd2e2ab5698"/>
            <w:id w:val="674686318"/>
          </w:sdtPr>
          <w:sdtEndPr>
            <w:rPr>
              <w:rFonts w:hint="eastAsia" w:ascii="宋体" w:hAnsi="宋体"/>
            </w:rPr>
          </w:sdtEndPr>
          <w:sdtContent>
            <w:tc>
              <w:tcPr>
                <w:tcW w:w="1250" w:type="pct"/>
                <w:vAlign w:val="center"/>
              </w:tcPr>
              <w:p>
                <w:pPr>
                  <w:jc w:val="center"/>
                  <w:rPr>
                    <w:rFonts w:ascii="宋体" w:hAnsi="宋体"/>
                  </w:rPr>
                </w:pPr>
                <w:bookmarkStart w:id="182" w:name="_Hlk89419052"/>
                <w:r>
                  <w:rPr>
                    <w:rFonts w:ascii="宋体" w:hAnsi="宋体"/>
                  </w:rPr>
                  <w:t>中介</w:t>
                </w:r>
                <w:r>
                  <w:rPr>
                    <w:rFonts w:hint="eastAsia" w:ascii="宋体" w:hAnsi="宋体"/>
                  </w:rPr>
                  <w:t>机构名称</w:t>
                </w:r>
              </w:p>
            </w:tc>
          </w:sdtContent>
        </w:sdt>
        <w:sdt>
          <w:sdtPr>
            <w:rPr>
              <w:rFonts w:ascii="宋体" w:hAnsi="宋体"/>
            </w:rPr>
            <w:tag w:val="_PLD_8492b834223a461f8d344918d030f6b8"/>
            <w:id w:val="172080237"/>
          </w:sdtPr>
          <w:sdtEndPr>
            <w:rPr>
              <w:rFonts w:ascii="宋体" w:hAnsi="宋体"/>
            </w:rPr>
          </w:sdtEndPr>
          <w:sdtContent>
            <w:tc>
              <w:tcPr>
                <w:tcW w:w="1250" w:type="pct"/>
                <w:vAlign w:val="center"/>
              </w:tcPr>
              <w:p>
                <w:pPr>
                  <w:jc w:val="center"/>
                  <w:rPr>
                    <w:rFonts w:ascii="宋体" w:hAnsi="宋体"/>
                  </w:rPr>
                </w:pPr>
                <w:r>
                  <w:rPr>
                    <w:rFonts w:ascii="宋体" w:hAnsi="宋体"/>
                  </w:rPr>
                  <w:t>办公地址</w:t>
                </w:r>
              </w:p>
            </w:tc>
          </w:sdtContent>
        </w:sdt>
        <w:sdt>
          <w:sdtPr>
            <w:rPr>
              <w:rFonts w:ascii="宋体" w:hAnsi="宋体"/>
            </w:rPr>
            <w:tag w:val="_PLD_b5bd6ba320c64e5799677eed2e7352a3"/>
            <w:id w:val="175317118"/>
          </w:sdtPr>
          <w:sdtEndPr>
            <w:rPr>
              <w:rFonts w:ascii="宋体" w:hAnsi="宋体"/>
            </w:rPr>
          </w:sdtEndPr>
          <w:sdtContent>
            <w:tc>
              <w:tcPr>
                <w:tcW w:w="1250" w:type="pct"/>
                <w:vAlign w:val="center"/>
              </w:tcPr>
              <w:p>
                <w:pPr>
                  <w:jc w:val="center"/>
                  <w:rPr>
                    <w:rFonts w:ascii="宋体" w:hAnsi="宋体"/>
                  </w:rPr>
                </w:pPr>
                <w:r>
                  <w:rPr>
                    <w:rFonts w:ascii="宋体" w:hAnsi="宋体"/>
                  </w:rPr>
                  <w:t>联系人</w:t>
                </w:r>
              </w:p>
            </w:tc>
          </w:sdtContent>
        </w:sdt>
        <w:sdt>
          <w:sdtPr>
            <w:rPr>
              <w:rFonts w:ascii="宋体" w:hAnsi="宋体"/>
            </w:rPr>
            <w:tag w:val="_PLD_5718e39fad6141cc9151355350f9e5d0"/>
            <w:id w:val="-709962173"/>
          </w:sdtPr>
          <w:sdtEndPr>
            <w:rPr>
              <w:rFonts w:ascii="宋体" w:hAnsi="宋体"/>
            </w:rPr>
          </w:sdtEndPr>
          <w:sdtContent>
            <w:tc>
              <w:tcPr>
                <w:tcW w:w="1250" w:type="pct"/>
                <w:vAlign w:val="center"/>
              </w:tcPr>
              <w:p>
                <w:pPr>
                  <w:jc w:val="center"/>
                  <w:rPr>
                    <w:rFonts w:ascii="宋体" w:hAnsi="宋体"/>
                  </w:rPr>
                </w:pPr>
                <w:r>
                  <w:rPr>
                    <w:rFonts w:ascii="宋体" w:hAnsi="宋体"/>
                  </w:rPr>
                  <w:t>联系电话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rPr>
                <w:rFonts w:ascii="宋体" w:hAnsi="宋体"/>
              </w:rPr>
            </w:pPr>
            <w:r>
              <w:rPr>
                <w:rFonts w:hint="eastAsia" w:ascii="宋体" w:hAnsi="宋体"/>
              </w:rPr>
              <w:t>中银国际证券有限责任公司</w:t>
            </w:r>
          </w:p>
        </w:tc>
        <w:tc>
          <w:tcPr>
            <w:tcW w:w="1250" w:type="pct"/>
            <w:vAlign w:val="center"/>
          </w:tcPr>
          <w:p>
            <w:pPr>
              <w:rPr>
                <w:rFonts w:ascii="宋体" w:hAnsi="宋体"/>
              </w:rPr>
            </w:pPr>
            <w:r>
              <w:rPr>
                <w:rFonts w:hint="eastAsia" w:ascii="宋体" w:hAnsi="宋体"/>
              </w:rPr>
              <w:t>上海市浦东新区银城中路</w:t>
            </w:r>
            <w:r>
              <w:rPr>
                <w:rFonts w:ascii="宋体" w:hAnsi="宋体"/>
              </w:rPr>
              <w:t>200号中银大厦39层</w:t>
            </w:r>
          </w:p>
        </w:tc>
        <w:tc>
          <w:tcPr>
            <w:tcW w:w="1250" w:type="pct"/>
            <w:vAlign w:val="center"/>
          </w:tcPr>
          <w:p>
            <w:pPr>
              <w:rPr>
                <w:rFonts w:ascii="宋体" w:hAnsi="宋体"/>
              </w:rPr>
            </w:pPr>
            <w:r>
              <w:rPr>
                <w:rFonts w:hint="eastAsia" w:ascii="宋体" w:hAnsi="宋体"/>
              </w:rPr>
              <w:t>何银辉</w:t>
            </w:r>
          </w:p>
        </w:tc>
        <w:tc>
          <w:tcPr>
            <w:tcW w:w="1250" w:type="pct"/>
            <w:vAlign w:val="center"/>
          </w:tcPr>
          <w:p>
            <w:pPr>
              <w:rPr>
                <w:rFonts w:ascii="宋体" w:hAnsi="宋体"/>
              </w:rPr>
            </w:pPr>
            <w:r>
              <w:rPr>
                <w:rFonts w:ascii="宋体" w:hAnsi="宋体"/>
              </w:rPr>
              <w:t>021-20328556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rPr>
                <w:rFonts w:ascii="宋体" w:hAnsi="宋体"/>
              </w:rPr>
            </w:pPr>
            <w:r>
              <w:rPr>
                <w:rFonts w:hint="eastAsia" w:ascii="宋体" w:hAnsi="宋体"/>
              </w:rPr>
              <w:t>海通证券股份有限公司</w:t>
            </w:r>
          </w:p>
        </w:tc>
        <w:tc>
          <w:tcPr>
            <w:tcW w:w="1250" w:type="pct"/>
            <w:vAlign w:val="center"/>
          </w:tcPr>
          <w:p>
            <w:pPr>
              <w:rPr>
                <w:rFonts w:ascii="宋体" w:hAnsi="宋体"/>
              </w:rPr>
            </w:pPr>
            <w:r>
              <w:rPr>
                <w:rFonts w:hint="eastAsia" w:ascii="宋体" w:hAnsi="宋体"/>
              </w:rPr>
              <w:t>北京市朝阳区安定路</w:t>
            </w:r>
            <w:r>
              <w:rPr>
                <w:rFonts w:ascii="宋体" w:hAnsi="宋体"/>
              </w:rPr>
              <w:t>5号天圆祥泰大厦15层</w:t>
            </w:r>
          </w:p>
        </w:tc>
        <w:tc>
          <w:tcPr>
            <w:tcW w:w="1250" w:type="pct"/>
            <w:vAlign w:val="center"/>
          </w:tcPr>
          <w:p>
            <w:pPr>
              <w:rPr>
                <w:rFonts w:ascii="宋体" w:hAnsi="宋体"/>
              </w:rPr>
            </w:pPr>
            <w:r>
              <w:rPr>
                <w:rFonts w:hint="eastAsia" w:ascii="宋体" w:hAnsi="宋体"/>
              </w:rPr>
              <w:t>陈洋洋、耿云</w:t>
            </w:r>
          </w:p>
        </w:tc>
        <w:tc>
          <w:tcPr>
            <w:tcW w:w="1250" w:type="pct"/>
            <w:vAlign w:val="center"/>
          </w:tcPr>
          <w:p>
            <w:pPr>
              <w:rPr>
                <w:rFonts w:ascii="宋体" w:hAnsi="宋体"/>
              </w:rPr>
            </w:pPr>
            <w:r>
              <w:rPr>
                <w:rFonts w:hint="eastAsia" w:ascii="宋体" w:hAnsi="宋体"/>
              </w:rPr>
              <w:t>010-88027267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rPr>
                <w:rFonts w:ascii="宋体" w:hAnsi="宋体"/>
              </w:rPr>
            </w:pPr>
            <w:r>
              <w:rPr>
                <w:rFonts w:hint="eastAsia" w:ascii="宋体" w:hAnsi="宋体"/>
              </w:rPr>
              <w:t>中信建投证券股份有限公司</w:t>
            </w:r>
          </w:p>
        </w:tc>
        <w:tc>
          <w:tcPr>
            <w:tcW w:w="1250" w:type="pct"/>
            <w:vAlign w:val="center"/>
          </w:tcPr>
          <w:p>
            <w:pPr>
              <w:rPr>
                <w:rFonts w:ascii="宋体" w:hAnsi="宋体"/>
              </w:rPr>
            </w:pPr>
            <w:r>
              <w:rPr>
                <w:rFonts w:hint="eastAsia" w:ascii="宋体" w:hAnsi="宋体"/>
              </w:rPr>
              <w:t>北京市朝阳区景辉街</w:t>
            </w:r>
            <w:r>
              <w:rPr>
                <w:rFonts w:ascii="宋体" w:hAnsi="宋体"/>
              </w:rPr>
              <w:t>16号院1号楼泰康集团大厦9层</w:t>
            </w:r>
          </w:p>
        </w:tc>
        <w:tc>
          <w:tcPr>
            <w:tcW w:w="1250" w:type="pct"/>
            <w:vAlign w:val="center"/>
          </w:tcPr>
          <w:p>
            <w:pPr>
              <w:rPr>
                <w:rFonts w:ascii="宋体" w:hAnsi="宋体"/>
              </w:rPr>
            </w:pPr>
            <w:r>
              <w:rPr>
                <w:rFonts w:hint="eastAsia" w:ascii="宋体" w:hAnsi="宋体"/>
              </w:rPr>
              <w:t>余雷、刘作生、胡昭斌、汪翔、于立超</w:t>
            </w:r>
          </w:p>
        </w:tc>
        <w:tc>
          <w:tcPr>
            <w:tcW w:w="1250" w:type="pct"/>
            <w:vAlign w:val="center"/>
          </w:tcPr>
          <w:p>
            <w:pPr>
              <w:rPr>
                <w:rFonts w:ascii="宋体" w:hAnsi="宋体"/>
              </w:rPr>
            </w:pPr>
            <w:r>
              <w:rPr>
                <w:rFonts w:ascii="宋体" w:hAnsi="宋体"/>
              </w:rPr>
              <w:t>010-56052099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rPr>
                <w:rFonts w:ascii="宋体" w:hAnsi="宋体"/>
              </w:rPr>
            </w:pPr>
            <w:r>
              <w:rPr>
                <w:rFonts w:hint="eastAsia" w:ascii="宋体" w:hAnsi="宋体"/>
              </w:rPr>
              <w:t>中国国际金融股份有限公司</w:t>
            </w:r>
          </w:p>
        </w:tc>
        <w:tc>
          <w:tcPr>
            <w:tcW w:w="1250" w:type="pct"/>
            <w:vAlign w:val="center"/>
          </w:tcPr>
          <w:p>
            <w:pPr>
              <w:rPr>
                <w:rFonts w:ascii="宋体" w:hAnsi="宋体"/>
              </w:rPr>
            </w:pPr>
            <w:r>
              <w:rPr>
                <w:rFonts w:hint="eastAsia" w:ascii="宋体" w:hAnsi="宋体"/>
              </w:rPr>
              <w:t>北京市朝阳区建国门外大街</w:t>
            </w:r>
            <w:r>
              <w:rPr>
                <w:rFonts w:ascii="宋体" w:hAnsi="宋体"/>
              </w:rPr>
              <w:t>1号国贸大厦2座33层</w:t>
            </w:r>
          </w:p>
        </w:tc>
        <w:tc>
          <w:tcPr>
            <w:tcW w:w="1250" w:type="pct"/>
            <w:vAlign w:val="center"/>
          </w:tcPr>
          <w:p>
            <w:pPr>
              <w:rPr>
                <w:rFonts w:ascii="宋体" w:hAnsi="宋体"/>
              </w:rPr>
            </w:pPr>
            <w:r>
              <w:rPr>
                <w:rFonts w:hint="eastAsia" w:ascii="宋体" w:hAnsi="宋体"/>
              </w:rPr>
              <w:t>黄捷宁</w:t>
            </w:r>
          </w:p>
        </w:tc>
        <w:tc>
          <w:tcPr>
            <w:tcW w:w="1250" w:type="pct"/>
            <w:vAlign w:val="center"/>
          </w:tcPr>
          <w:p>
            <w:pPr>
              <w:rPr>
                <w:rFonts w:ascii="宋体" w:hAnsi="宋体"/>
              </w:rPr>
            </w:pPr>
            <w:r>
              <w:rPr>
                <w:rFonts w:ascii="宋体" w:hAnsi="宋体"/>
              </w:rPr>
              <w:t>010-65051166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rPr>
                <w:rFonts w:ascii="宋体" w:hAnsi="宋体"/>
              </w:rPr>
            </w:pPr>
            <w:r>
              <w:rPr>
                <w:rFonts w:hint="eastAsia" w:ascii="宋体" w:hAnsi="宋体"/>
              </w:rPr>
              <w:t>大公国际资信评估有限公司</w:t>
            </w:r>
          </w:p>
        </w:tc>
        <w:tc>
          <w:tcPr>
            <w:tcW w:w="1250" w:type="pct"/>
            <w:vAlign w:val="center"/>
          </w:tcPr>
          <w:p>
            <w:pPr>
              <w:rPr>
                <w:rFonts w:ascii="宋体" w:hAnsi="宋体"/>
              </w:rPr>
            </w:pPr>
            <w:r>
              <w:rPr>
                <w:rFonts w:hint="eastAsia" w:ascii="宋体" w:hAnsi="宋体"/>
              </w:rPr>
              <w:t>北京市海淀区西三环北路</w:t>
            </w:r>
            <w:r>
              <w:rPr>
                <w:rFonts w:ascii="宋体" w:hAnsi="宋体"/>
              </w:rPr>
              <w:t>89号外文大厦A座3层</w:t>
            </w:r>
          </w:p>
        </w:tc>
        <w:tc>
          <w:tcPr>
            <w:tcW w:w="1250" w:type="pct"/>
            <w:vAlign w:val="center"/>
          </w:tcPr>
          <w:p>
            <w:pPr>
              <w:rPr>
                <w:rFonts w:ascii="宋体" w:hAnsi="宋体"/>
              </w:rPr>
            </w:pPr>
            <w:r>
              <w:rPr>
                <w:rFonts w:hint="eastAsia" w:ascii="宋体" w:hAnsi="宋体"/>
              </w:rPr>
              <w:t>贾月华</w:t>
            </w:r>
          </w:p>
        </w:tc>
        <w:tc>
          <w:tcPr>
            <w:tcW w:w="1250" w:type="pct"/>
            <w:vAlign w:val="center"/>
          </w:tcPr>
          <w:p>
            <w:pPr>
              <w:rPr>
                <w:rFonts w:ascii="宋体" w:hAnsi="宋体"/>
              </w:rPr>
            </w:pPr>
            <w:r>
              <w:rPr>
                <w:rFonts w:ascii="宋体" w:hAnsi="宋体"/>
              </w:rPr>
              <w:t>010-67413364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rPr>
                <w:rFonts w:ascii="宋体" w:hAnsi="宋体"/>
              </w:rPr>
            </w:pPr>
            <w:r>
              <w:rPr>
                <w:rFonts w:hint="eastAsia" w:ascii="宋体" w:hAnsi="宋体"/>
              </w:rPr>
              <w:t>东方金诚国际信用评估有限公司</w:t>
            </w:r>
          </w:p>
        </w:tc>
        <w:tc>
          <w:tcPr>
            <w:tcW w:w="1250" w:type="pct"/>
            <w:vAlign w:val="center"/>
          </w:tcPr>
          <w:p>
            <w:pPr>
              <w:rPr>
                <w:rFonts w:ascii="宋体" w:hAnsi="宋体"/>
              </w:rPr>
            </w:pPr>
            <w:r>
              <w:rPr>
                <w:rFonts w:hint="eastAsia" w:ascii="宋体" w:hAnsi="宋体"/>
              </w:rPr>
              <w:t>北京市丰台区丽泽路</w:t>
            </w:r>
            <w:r>
              <w:rPr>
                <w:rFonts w:ascii="宋体" w:hAnsi="宋体"/>
              </w:rPr>
              <w:t>24号院平安幸福中心A座47层</w:t>
            </w:r>
          </w:p>
        </w:tc>
        <w:tc>
          <w:tcPr>
            <w:tcW w:w="1250" w:type="pct"/>
            <w:vAlign w:val="center"/>
          </w:tcPr>
          <w:p>
            <w:pPr>
              <w:rPr>
                <w:rFonts w:ascii="宋体" w:hAnsi="宋体"/>
              </w:rPr>
            </w:pPr>
            <w:r>
              <w:rPr>
                <w:rFonts w:hint="eastAsia" w:ascii="宋体" w:hAnsi="宋体"/>
              </w:rPr>
              <w:t>曹鹏</w:t>
            </w:r>
          </w:p>
        </w:tc>
        <w:tc>
          <w:tcPr>
            <w:tcW w:w="1250" w:type="pct"/>
            <w:vAlign w:val="center"/>
          </w:tcPr>
          <w:p>
            <w:pPr>
              <w:rPr>
                <w:rFonts w:ascii="宋体" w:hAnsi="宋体"/>
              </w:rPr>
            </w:pPr>
            <w:r>
              <w:rPr>
                <w:rFonts w:ascii="宋体" w:hAnsi="宋体"/>
              </w:rPr>
              <w:t>0571-87858258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rPr>
                <w:rFonts w:ascii="宋体" w:hAnsi="宋体"/>
              </w:rPr>
            </w:pPr>
            <w:r>
              <w:rPr>
                <w:rFonts w:hint="eastAsia" w:ascii="宋体" w:hAnsi="宋体"/>
              </w:rPr>
              <w:t>联合资信评估股份有限公司</w:t>
            </w:r>
          </w:p>
        </w:tc>
        <w:tc>
          <w:tcPr>
            <w:tcW w:w="1250" w:type="pct"/>
            <w:vAlign w:val="center"/>
          </w:tcPr>
          <w:p>
            <w:pPr>
              <w:rPr>
                <w:rFonts w:ascii="宋体" w:hAnsi="宋体"/>
              </w:rPr>
            </w:pPr>
            <w:r>
              <w:rPr>
                <w:rFonts w:hint="eastAsia" w:ascii="宋体" w:hAnsi="宋体"/>
              </w:rPr>
              <w:t>北京市朝阳区建国门外大街</w:t>
            </w:r>
            <w:r>
              <w:rPr>
                <w:rFonts w:ascii="宋体" w:hAnsi="宋体"/>
              </w:rPr>
              <w:t>2号中国人保财险大厦17层</w:t>
            </w:r>
          </w:p>
        </w:tc>
        <w:tc>
          <w:tcPr>
            <w:tcW w:w="1250" w:type="pct"/>
            <w:vAlign w:val="center"/>
          </w:tcPr>
          <w:p>
            <w:pPr>
              <w:rPr>
                <w:rFonts w:ascii="宋体" w:hAnsi="宋体"/>
              </w:rPr>
            </w:pPr>
            <w:r>
              <w:rPr>
                <w:rFonts w:hint="eastAsia" w:ascii="宋体" w:hAnsi="宋体"/>
              </w:rPr>
              <w:t>黄烨</w:t>
            </w:r>
          </w:p>
        </w:tc>
        <w:tc>
          <w:tcPr>
            <w:tcW w:w="1250" w:type="pct"/>
            <w:vAlign w:val="center"/>
          </w:tcPr>
          <w:p>
            <w:pPr>
              <w:rPr>
                <w:rFonts w:ascii="宋体" w:hAnsi="宋体"/>
              </w:rPr>
            </w:pPr>
            <w:r>
              <w:rPr>
                <w:rFonts w:ascii="宋体" w:hAnsi="宋体"/>
              </w:rPr>
              <w:t>010-85679696</w:t>
            </w:r>
          </w:p>
        </w:tc>
      </w:tr>
    </w:tbl>
    <w:p>
      <w:pPr>
        <w:pStyle w:val="501"/>
      </w:pPr>
    </w:p>
    <w:p>
      <w:pPr>
        <w:pStyle w:val="43"/>
      </w:pPr>
      <w:r>
        <w:t>上述中介机构发生变更的情况</w:t>
      </w:r>
    </w:p>
    <w:sdt>
      <w:sdtPr>
        <w:rPr>
          <w:rFonts w:hint="eastAsia"/>
          <w:bCs/>
        </w:rPr>
        <w:alias w:val="是否适用：中介机构发生变更的情况[双击切换]"/>
        <w:tag w:val="_GBC_406adc2f253341959c4229009060293e"/>
        <w:id w:val="1038324105"/>
        <w:placeholder>
          <w:docPart w:val="GBC22222222222222222222222222222"/>
        </w:placeholder>
      </w:sdtPr>
      <w:sdtEndPr>
        <w:rPr>
          <w:rFonts w:hint="eastAsia"/>
          <w:bCs/>
        </w:rPr>
      </w:sdtEndPr>
      <w:sdtContent>
        <w:p>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pStyle w:val="501"/>
      </w:pPr>
    </w:p>
    <w:p>
      <w:pPr>
        <w:pStyle w:val="5"/>
        <w:numPr>
          <w:ilvl w:val="0"/>
          <w:numId w:val="55"/>
        </w:numPr>
        <w:ind w:left="425" w:hanging="425"/>
        <w:rPr>
          <w:rFonts w:ascii="宋体" w:hAnsi="宋体" w:cs="宋体"/>
          <w:kern w:val="0"/>
          <w:szCs w:val="24"/>
        </w:rPr>
      </w:pPr>
      <w:r>
        <w:rPr>
          <w:rFonts w:hint="eastAsia" w:ascii="宋体" w:hAnsi="宋体" w:cs="宋体"/>
          <w:kern w:val="0"/>
          <w:szCs w:val="24"/>
        </w:rPr>
        <w:t>报告期末募集资金使用情况</w:t>
      </w:r>
    </w:p>
    <w:sdt>
      <w:sdtPr>
        <w:rPr>
          <w:rFonts w:hint="eastAsia"/>
          <w:bCs/>
        </w:rPr>
        <w:alias w:val="是否适用：报告期末募集资金使用情况[双击切换]"/>
        <w:tag w:val="_GBC_5bfa849717394dc0ad442fda41b0c67f"/>
        <w:id w:val="-1509518691"/>
        <w:placeholder>
          <w:docPart w:val="GBC22222222222222222222222222222"/>
        </w:placeholder>
      </w:sdtPr>
      <w:sdtEndPr>
        <w:rPr>
          <w:rFonts w:hint="eastAsia"/>
          <w:bCs/>
        </w:rPr>
      </w:sdtEndPr>
      <w:sdtContent>
        <w:p>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jc w:val="right"/>
      </w:pPr>
      <w:r>
        <w:rPr>
          <w:rFonts w:hint="eastAsia"/>
        </w:rPr>
        <w:t>单位</w:t>
      </w:r>
      <w:r>
        <w:t>:</w:t>
      </w:r>
      <w:sdt>
        <w:sdtPr>
          <w:alias w:val="单位：报告期末募集资金使用情况"/>
          <w:tag w:val="_GBC_89f379bc57be4b8e931b55b2cc76212e"/>
          <w:id w:val="-36576305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亿元</w:t>
          </w:r>
        </w:sdtContent>
      </w:sdt>
      <w:r>
        <w:rPr>
          <w:rFonts w:hint="eastAsia"/>
        </w:rPr>
        <w:t xml:space="preserve">  币种</w:t>
      </w:r>
      <w:r>
        <w:t>:</w:t>
      </w:r>
      <w:sdt>
        <w:sdtPr>
          <w:alias w:val="币种：报告期末募集资金使用情况"/>
          <w:tag w:val="_GBC_11c03ab8e01c4f559c9935ed6251987b"/>
          <w:id w:val="9240028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13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2010"/>
        <w:gridCol w:w="2010"/>
        <w:gridCol w:w="2010"/>
        <w:gridCol w:w="2010"/>
        <w:gridCol w:w="2010"/>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w:hAnsi="Arial"/>
              <w:bCs/>
            </w:rPr>
            <w:tag w:val="_PLD_dee2f8093b3b4d749703e356482b028e"/>
            <w:id w:val="106474362"/>
          </w:sdtPr>
          <w:sdtEndPr>
            <w:rPr>
              <w:rFonts w:ascii="Arial" w:hAnsi="Arial"/>
              <w:bCs/>
            </w:rPr>
          </w:sdtEndPr>
          <w:sdtContent>
            <w:tc>
              <w:tcPr>
                <w:tcW w:w="714" w:type="pct"/>
                <w:vAlign w:val="center"/>
              </w:tcPr>
              <w:p>
                <w:pPr>
                  <w:jc w:val="center"/>
                  <w:rPr>
                    <w:rFonts w:ascii="Arial" w:hAnsi="Arial"/>
                    <w:bCs/>
                  </w:rPr>
                </w:pPr>
                <w:r>
                  <w:rPr>
                    <w:rFonts w:ascii="Arial" w:hAnsi="Arial"/>
                    <w:bCs/>
                  </w:rPr>
                  <w:t>债券名称</w:t>
                </w:r>
              </w:p>
            </w:tc>
          </w:sdtContent>
        </w:sdt>
        <w:sdt>
          <w:sdtPr>
            <w:rPr>
              <w:rFonts w:hint="eastAsia" w:ascii="Arial" w:hAnsi="Arial"/>
              <w:bCs/>
            </w:rPr>
            <w:tag w:val="_PLD_3ac5aca17fd24662947ff8d86bb1706f"/>
            <w:id w:val="-1084991650"/>
          </w:sdtPr>
          <w:sdtEndPr>
            <w:rPr>
              <w:rFonts w:hint="eastAsia" w:ascii="Arial" w:hAnsi="Arial"/>
              <w:bCs/>
            </w:rPr>
          </w:sdtEndPr>
          <w:sdtContent>
            <w:tc>
              <w:tcPr>
                <w:tcW w:w="714" w:type="pct"/>
                <w:vAlign w:val="center"/>
              </w:tcPr>
              <w:p>
                <w:pPr>
                  <w:jc w:val="center"/>
                  <w:rPr>
                    <w:rFonts w:ascii="Arial" w:hAnsi="Arial"/>
                    <w:bCs/>
                  </w:rPr>
                </w:pPr>
                <w:r>
                  <w:rPr>
                    <w:rFonts w:hint="eastAsia" w:ascii="Arial" w:hAnsi="Arial"/>
                    <w:bCs/>
                  </w:rPr>
                  <w:t>募集资金总金额</w:t>
                </w:r>
              </w:p>
            </w:tc>
          </w:sdtContent>
        </w:sdt>
        <w:sdt>
          <w:sdtPr>
            <w:rPr>
              <w:rFonts w:hint="eastAsia" w:ascii="Arial" w:hAnsi="Arial"/>
              <w:bCs/>
            </w:rPr>
            <w:tag w:val="_PLD_be7f027aa2814674bff74f7c6a101e78"/>
            <w:id w:val="53127990"/>
          </w:sdtPr>
          <w:sdtEndPr>
            <w:rPr>
              <w:rFonts w:hint="eastAsia" w:ascii="Arial" w:hAnsi="Arial"/>
              <w:bCs/>
            </w:rPr>
          </w:sdtEndPr>
          <w:sdtContent>
            <w:tc>
              <w:tcPr>
                <w:tcW w:w="714" w:type="pct"/>
                <w:vAlign w:val="center"/>
              </w:tcPr>
              <w:p>
                <w:pPr>
                  <w:jc w:val="center"/>
                  <w:rPr>
                    <w:rFonts w:ascii="Arial" w:hAnsi="Arial"/>
                    <w:bCs/>
                  </w:rPr>
                </w:pPr>
                <w:r>
                  <w:rPr>
                    <w:rFonts w:hint="eastAsia" w:ascii="Arial" w:hAnsi="Arial"/>
                    <w:bCs/>
                  </w:rPr>
                  <w:t>已使用金额</w:t>
                </w:r>
              </w:p>
            </w:tc>
          </w:sdtContent>
        </w:sdt>
        <w:sdt>
          <w:sdtPr>
            <w:rPr>
              <w:rFonts w:hint="eastAsia" w:ascii="Arial" w:hAnsi="Arial"/>
              <w:bCs/>
            </w:rPr>
            <w:tag w:val="_PLD_1782934a9e104651a2e6b518769d183f"/>
            <w:id w:val="-1882089591"/>
          </w:sdtPr>
          <w:sdtEndPr>
            <w:rPr>
              <w:rFonts w:hint="eastAsia" w:ascii="Arial" w:hAnsi="Arial"/>
              <w:bCs/>
            </w:rPr>
          </w:sdtEndPr>
          <w:sdtContent>
            <w:tc>
              <w:tcPr>
                <w:tcW w:w="714" w:type="pct"/>
                <w:vAlign w:val="center"/>
              </w:tcPr>
              <w:p>
                <w:pPr>
                  <w:jc w:val="center"/>
                  <w:rPr>
                    <w:rFonts w:ascii="Arial" w:hAnsi="Arial"/>
                    <w:bCs/>
                  </w:rPr>
                </w:pPr>
                <w:r>
                  <w:rPr>
                    <w:rFonts w:hint="eastAsia" w:ascii="Arial" w:hAnsi="Arial"/>
                    <w:bCs/>
                  </w:rPr>
                  <w:t>未使用金额</w:t>
                </w:r>
              </w:p>
            </w:tc>
          </w:sdtContent>
        </w:sdt>
        <w:sdt>
          <w:sdtPr>
            <w:rPr>
              <w:rFonts w:hint="eastAsia" w:ascii="Arial" w:hAnsi="Arial"/>
              <w:bCs/>
            </w:rPr>
            <w:tag w:val="_PLD_7fd5fb5e596546ffa27ad392a4694c9b"/>
            <w:id w:val="-1109352369"/>
          </w:sdtPr>
          <w:sdtEndPr>
            <w:rPr>
              <w:rFonts w:hint="eastAsia" w:ascii="Arial" w:hAnsi="Arial"/>
              <w:bCs/>
            </w:rPr>
          </w:sdtEndPr>
          <w:sdtContent>
            <w:tc>
              <w:tcPr>
                <w:tcW w:w="714" w:type="pct"/>
                <w:vAlign w:val="center"/>
              </w:tcPr>
              <w:p>
                <w:pPr>
                  <w:jc w:val="center"/>
                  <w:rPr>
                    <w:rFonts w:ascii="Arial" w:hAnsi="Arial"/>
                    <w:bCs/>
                  </w:rPr>
                </w:pPr>
                <w:r>
                  <w:rPr>
                    <w:rFonts w:hint="eastAsia" w:ascii="Arial" w:hAnsi="Arial"/>
                    <w:bCs/>
                  </w:rPr>
                  <w:t>募集资金专项账户运作情况（如有）</w:t>
                </w:r>
              </w:p>
            </w:tc>
          </w:sdtContent>
        </w:sdt>
        <w:sdt>
          <w:sdtPr>
            <w:rPr>
              <w:rFonts w:hint="eastAsia" w:ascii="Arial" w:hAnsi="Arial"/>
              <w:bCs/>
            </w:rPr>
            <w:tag w:val="_PLD_9ef0d3f6c71a4a8daa55bcd6332487b8"/>
            <w:id w:val="1375894619"/>
          </w:sdtPr>
          <w:sdtEndPr>
            <w:rPr>
              <w:rFonts w:hint="eastAsia" w:ascii="Arial" w:hAnsi="Arial"/>
              <w:bCs/>
            </w:rPr>
          </w:sdtEndPr>
          <w:sdtContent>
            <w:tc>
              <w:tcPr>
                <w:tcW w:w="714" w:type="pct"/>
                <w:vAlign w:val="center"/>
              </w:tcPr>
              <w:p>
                <w:pPr>
                  <w:jc w:val="center"/>
                  <w:rPr>
                    <w:rFonts w:ascii="Arial" w:hAnsi="Arial"/>
                    <w:bCs/>
                  </w:rPr>
                </w:pPr>
                <w:r>
                  <w:rPr>
                    <w:rFonts w:hint="eastAsia" w:ascii="Arial" w:hAnsi="Arial"/>
                    <w:bCs/>
                  </w:rPr>
                  <w:t>募集资金违规使用的整改情况（如有）</w:t>
                </w:r>
              </w:p>
            </w:tc>
          </w:sdtContent>
        </w:sdt>
        <w:sdt>
          <w:sdtPr>
            <w:rPr>
              <w:rFonts w:hint="eastAsia" w:ascii="Arial" w:hAnsi="Arial"/>
              <w:bCs/>
            </w:rPr>
            <w:tag w:val="_PLD_ae4b6dc45c6046eeb4d116cfc3ded7b7"/>
            <w:id w:val="20829460"/>
          </w:sdtPr>
          <w:sdtEndPr>
            <w:rPr>
              <w:rFonts w:hint="eastAsia" w:ascii="Arial" w:hAnsi="Arial"/>
              <w:bCs/>
            </w:rPr>
          </w:sdtEndPr>
          <w:sdtContent>
            <w:tc>
              <w:tcPr>
                <w:tcW w:w="715" w:type="pct"/>
                <w:vAlign w:val="center"/>
              </w:tcPr>
              <w:p>
                <w:pPr>
                  <w:jc w:val="center"/>
                  <w:rPr>
                    <w:rFonts w:ascii="Arial" w:hAnsi="Arial"/>
                    <w:bCs/>
                  </w:rPr>
                </w:pPr>
                <w:r>
                  <w:rPr>
                    <w:rFonts w:hint="eastAsia" w:ascii="Arial" w:hAnsi="Arial"/>
                    <w:bCs/>
                  </w:rPr>
                  <w:t>是否与募集说明书承诺的用途、使用计划及其他约定一致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cstheme="minorBidi"/>
              </w:rPr>
              <w:t>2012年公司债券（第二期）</w:t>
            </w:r>
          </w:p>
        </w:tc>
        <w:tc>
          <w:tcPr>
            <w:tcW w:w="714" w:type="pct"/>
            <w:vAlign w:val="center"/>
          </w:tcPr>
          <w:p>
            <w:pPr>
              <w:jc w:val="right"/>
              <w:rPr>
                <w:rFonts w:ascii="宋体" w:hAnsi="宋体"/>
                <w:bCs/>
              </w:rPr>
            </w:pPr>
            <w:r>
              <w:rPr>
                <w:rFonts w:hint="eastAsia" w:ascii="宋体" w:hAnsi="宋体"/>
                <w:color w:val="000000"/>
              </w:rPr>
              <w:t>3</w:t>
            </w:r>
            <w:r>
              <w:rPr>
                <w:rFonts w:ascii="宋体" w:hAnsi="宋体"/>
                <w:color w:val="000000"/>
              </w:rPr>
              <w:t>0.5</w:t>
            </w:r>
          </w:p>
        </w:tc>
        <w:tc>
          <w:tcPr>
            <w:tcW w:w="714" w:type="pct"/>
            <w:vAlign w:val="center"/>
          </w:tcPr>
          <w:p>
            <w:pPr>
              <w:jc w:val="right"/>
              <w:rPr>
                <w:rFonts w:ascii="宋体" w:hAnsi="宋体"/>
                <w:bCs/>
              </w:rPr>
            </w:pPr>
            <w:r>
              <w:rPr>
                <w:rFonts w:hint="eastAsia" w:ascii="宋体" w:hAnsi="宋体"/>
                <w:color w:val="000000"/>
              </w:rPr>
              <w:t>3</w:t>
            </w:r>
            <w:r>
              <w:rPr>
                <w:rFonts w:ascii="宋体" w:hAnsi="宋体"/>
                <w:color w:val="000000"/>
              </w:rPr>
              <w:t>0.5</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center"/>
              <w:rPr>
                <w:rFonts w:ascii="宋体" w:hAnsi="宋体"/>
                <w:bCs/>
              </w:rPr>
            </w:pPr>
            <w:r>
              <w:rPr>
                <w:rFonts w:hint="eastAsia" w:ascii="宋体" w:hAnsi="宋体"/>
              </w:rPr>
              <w:t>-</w:t>
            </w:r>
          </w:p>
        </w:tc>
        <w:tc>
          <w:tcPr>
            <w:tcW w:w="714" w:type="pct"/>
            <w:vAlign w:val="center"/>
          </w:tcPr>
          <w:p>
            <w:pPr>
              <w:jc w:val="center"/>
              <w:rPr>
                <w:rFonts w:ascii="宋体" w:hAnsi="宋体"/>
                <w:bCs/>
              </w:rPr>
            </w:pPr>
            <w:r>
              <w:rPr>
                <w:rFonts w:hint="eastAsia" w:ascii="宋体" w:hAnsi="宋体"/>
              </w:rPr>
              <w:t>-</w:t>
            </w:r>
          </w:p>
        </w:tc>
        <w:sdt>
          <w:sdtPr>
            <w:rPr>
              <w:rFonts w:hint="eastAsia" w:ascii="宋体" w:hAnsi="宋体"/>
            </w:rPr>
            <w:alias w:val="报告期末募集资金使用情况明细_是否与募集说明书承诺的用途、使用计划及其他约定一致"/>
            <w:tag w:val="_GBC_ca4f37b37ff4437cb92b814b31ba09cb"/>
            <w:id w:val="-691151204"/>
            <w:comboBox>
              <w:listItem w:displayText="是" w:value="是"/>
              <w:listItem w:displayText="否" w:value="否"/>
            </w:comboBox>
          </w:sdtPr>
          <w:sdtEndPr>
            <w:rPr>
              <w:rFonts w:hint="eastAsia" w:ascii="宋体" w:hAnsi="宋体"/>
            </w:rPr>
          </w:sdtEndPr>
          <w:sdtContent>
            <w:tc>
              <w:tcPr>
                <w:tcW w:w="715" w:type="pct"/>
                <w:vAlign w:val="center"/>
              </w:tcPr>
              <w:p>
                <w:pPr>
                  <w:jc w:val="center"/>
                  <w:rPr>
                    <w:rFonts w:ascii="宋体" w:hAnsi="宋体"/>
                    <w:bCs/>
                  </w:rPr>
                </w:pPr>
                <w:r>
                  <w:rPr>
                    <w:rFonts w:hint="eastAsia" w:ascii="宋体" w:hAnsi="宋体"/>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cstheme="minorBidi"/>
              </w:rPr>
              <w:t>2020年公司债券（第一期）</w:t>
            </w:r>
            <w:r>
              <w:rPr>
                <w:rFonts w:hint="eastAsia" w:ascii="宋体" w:hAnsi="宋体" w:cstheme="minorBidi"/>
              </w:rPr>
              <w:t>（品种二）</w:t>
            </w:r>
          </w:p>
        </w:tc>
        <w:tc>
          <w:tcPr>
            <w:tcW w:w="714" w:type="pct"/>
            <w:vAlign w:val="center"/>
          </w:tcPr>
          <w:p>
            <w:pPr>
              <w:jc w:val="right"/>
              <w:rPr>
                <w:rFonts w:ascii="宋体" w:hAnsi="宋体"/>
                <w:bCs/>
              </w:rPr>
            </w:pPr>
            <w:r>
              <w:rPr>
                <w:rFonts w:hint="eastAsia" w:ascii="宋体" w:hAnsi="宋体"/>
                <w:color w:val="000000"/>
              </w:rPr>
              <w:t>27</w:t>
            </w:r>
          </w:p>
        </w:tc>
        <w:tc>
          <w:tcPr>
            <w:tcW w:w="714" w:type="pct"/>
            <w:vAlign w:val="center"/>
          </w:tcPr>
          <w:p>
            <w:pPr>
              <w:jc w:val="right"/>
              <w:rPr>
                <w:rFonts w:ascii="宋体" w:hAnsi="宋体"/>
                <w:bCs/>
              </w:rPr>
            </w:pPr>
            <w:r>
              <w:rPr>
                <w:rFonts w:hint="eastAsia" w:ascii="宋体" w:hAnsi="宋体"/>
                <w:color w:val="000000"/>
              </w:rPr>
              <w:t>27</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center"/>
              <w:rPr>
                <w:rFonts w:ascii="宋体" w:hAnsi="宋体"/>
                <w:bCs/>
              </w:rPr>
            </w:pPr>
            <w:r>
              <w:rPr>
                <w:rFonts w:hint="eastAsia" w:ascii="宋体" w:hAnsi="宋体"/>
              </w:rPr>
              <w:t>-</w:t>
            </w:r>
          </w:p>
        </w:tc>
        <w:tc>
          <w:tcPr>
            <w:tcW w:w="714" w:type="pct"/>
            <w:vAlign w:val="center"/>
          </w:tcPr>
          <w:p>
            <w:pPr>
              <w:jc w:val="center"/>
              <w:rPr>
                <w:rFonts w:ascii="宋体" w:hAnsi="宋体"/>
                <w:bCs/>
              </w:rPr>
            </w:pPr>
            <w:r>
              <w:rPr>
                <w:rFonts w:hint="eastAsia" w:ascii="宋体" w:hAnsi="宋体"/>
              </w:rPr>
              <w:t>-</w:t>
            </w:r>
          </w:p>
        </w:tc>
        <w:sdt>
          <w:sdtPr>
            <w:rPr>
              <w:rFonts w:hint="eastAsia" w:ascii="宋体" w:hAnsi="宋体"/>
            </w:rPr>
            <w:alias w:val="报告期末募集资金使用情况明细_是否与募集说明书承诺的用途、使用计划及其他约定一致"/>
            <w:tag w:val="_GBC_ca4f37b37ff4437cb92b814b31ba09cb"/>
            <w:id w:val="1998687327"/>
            <w:comboBox>
              <w:listItem w:displayText="是" w:value="是"/>
              <w:listItem w:displayText="否" w:value="否"/>
            </w:comboBox>
          </w:sdtPr>
          <w:sdtEndPr>
            <w:rPr>
              <w:rFonts w:hint="eastAsia" w:ascii="宋体" w:hAnsi="宋体"/>
            </w:rPr>
          </w:sdtEndPr>
          <w:sdtContent>
            <w:tc>
              <w:tcPr>
                <w:tcW w:w="715" w:type="pct"/>
                <w:vAlign w:val="center"/>
              </w:tcPr>
              <w:p>
                <w:pPr>
                  <w:jc w:val="center"/>
                  <w:rPr>
                    <w:rFonts w:ascii="宋体" w:hAnsi="宋体"/>
                    <w:bCs/>
                  </w:rPr>
                </w:pPr>
                <w:r>
                  <w:rPr>
                    <w:rFonts w:hint="eastAsia" w:ascii="宋体" w:hAnsi="宋体"/>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cstheme="minorBidi"/>
              </w:rPr>
              <w:t>2020年公司债券（第一期）</w:t>
            </w:r>
            <w:r>
              <w:rPr>
                <w:rFonts w:hint="eastAsia" w:ascii="宋体" w:hAnsi="宋体" w:cstheme="minorBidi"/>
              </w:rPr>
              <w:t>（品种三）</w:t>
            </w:r>
          </w:p>
        </w:tc>
        <w:tc>
          <w:tcPr>
            <w:tcW w:w="714" w:type="pct"/>
            <w:vAlign w:val="center"/>
          </w:tcPr>
          <w:p>
            <w:pPr>
              <w:jc w:val="right"/>
              <w:rPr>
                <w:rFonts w:ascii="宋体" w:hAnsi="宋体"/>
                <w:bCs/>
              </w:rPr>
            </w:pPr>
            <w:r>
              <w:rPr>
                <w:rFonts w:hint="eastAsia" w:ascii="宋体" w:hAnsi="宋体"/>
                <w:color w:val="000000"/>
              </w:rPr>
              <w:t>20</w:t>
            </w:r>
          </w:p>
        </w:tc>
        <w:tc>
          <w:tcPr>
            <w:tcW w:w="714" w:type="pct"/>
            <w:vAlign w:val="center"/>
          </w:tcPr>
          <w:p>
            <w:pPr>
              <w:jc w:val="right"/>
              <w:rPr>
                <w:rFonts w:ascii="宋体" w:hAnsi="宋体"/>
                <w:bCs/>
              </w:rPr>
            </w:pPr>
            <w:r>
              <w:rPr>
                <w:rFonts w:hint="eastAsia" w:ascii="宋体" w:hAnsi="宋体"/>
                <w:color w:val="000000"/>
              </w:rPr>
              <w:t>20</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center"/>
              <w:rPr>
                <w:rFonts w:ascii="宋体" w:hAnsi="宋体"/>
                <w:bCs/>
              </w:rPr>
            </w:pPr>
            <w:r>
              <w:rPr>
                <w:rFonts w:hint="eastAsia" w:ascii="宋体" w:hAnsi="宋体"/>
              </w:rPr>
              <w:t>-</w:t>
            </w:r>
          </w:p>
        </w:tc>
        <w:tc>
          <w:tcPr>
            <w:tcW w:w="714" w:type="pct"/>
            <w:vAlign w:val="center"/>
          </w:tcPr>
          <w:p>
            <w:pPr>
              <w:jc w:val="center"/>
              <w:rPr>
                <w:rFonts w:ascii="宋体" w:hAnsi="宋体"/>
                <w:bCs/>
              </w:rPr>
            </w:pPr>
            <w:r>
              <w:rPr>
                <w:rFonts w:hint="eastAsia" w:ascii="宋体" w:hAnsi="宋体"/>
              </w:rPr>
              <w:t>-</w:t>
            </w:r>
          </w:p>
        </w:tc>
        <w:sdt>
          <w:sdtPr>
            <w:rPr>
              <w:rFonts w:hint="eastAsia" w:ascii="宋体" w:hAnsi="宋体"/>
            </w:rPr>
            <w:alias w:val="报告期末募集资金使用情况明细_是否与募集说明书承诺的用途、使用计划及其他约定一致"/>
            <w:tag w:val="_GBC_ca4f37b37ff4437cb92b814b31ba09cb"/>
            <w:id w:val="1785462912"/>
            <w:comboBox>
              <w:listItem w:displayText="是" w:value="是"/>
              <w:listItem w:displayText="否" w:value="否"/>
            </w:comboBox>
          </w:sdtPr>
          <w:sdtEndPr>
            <w:rPr>
              <w:rFonts w:hint="eastAsia" w:ascii="宋体" w:hAnsi="宋体"/>
            </w:rPr>
          </w:sdtEndPr>
          <w:sdtContent>
            <w:tc>
              <w:tcPr>
                <w:tcW w:w="715" w:type="pct"/>
                <w:vAlign w:val="center"/>
              </w:tcPr>
              <w:p>
                <w:pPr>
                  <w:jc w:val="center"/>
                  <w:rPr>
                    <w:rFonts w:ascii="宋体" w:hAnsi="宋体"/>
                    <w:bCs/>
                  </w:rPr>
                </w:pPr>
                <w:r>
                  <w:rPr>
                    <w:rFonts w:hint="eastAsia" w:ascii="宋体" w:hAnsi="宋体"/>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cstheme="minorBidi"/>
              </w:rPr>
              <w:t>2020年公司债券（第二期）</w:t>
            </w:r>
            <w:r>
              <w:rPr>
                <w:rFonts w:hint="eastAsia" w:ascii="宋体" w:hAnsi="宋体" w:cstheme="minorBidi"/>
              </w:rPr>
              <w:t>（品种二）</w:t>
            </w:r>
          </w:p>
        </w:tc>
        <w:tc>
          <w:tcPr>
            <w:tcW w:w="714" w:type="pct"/>
            <w:vAlign w:val="center"/>
          </w:tcPr>
          <w:p>
            <w:pPr>
              <w:jc w:val="right"/>
              <w:rPr>
                <w:rFonts w:ascii="宋体" w:hAnsi="宋体"/>
                <w:bCs/>
              </w:rPr>
            </w:pPr>
            <w:r>
              <w:rPr>
                <w:rFonts w:hint="eastAsia" w:ascii="宋体" w:hAnsi="宋体"/>
                <w:color w:val="000000"/>
              </w:rPr>
              <w:t>15</w:t>
            </w:r>
          </w:p>
        </w:tc>
        <w:tc>
          <w:tcPr>
            <w:tcW w:w="714" w:type="pct"/>
            <w:vAlign w:val="center"/>
          </w:tcPr>
          <w:p>
            <w:pPr>
              <w:jc w:val="right"/>
              <w:rPr>
                <w:rFonts w:ascii="宋体" w:hAnsi="宋体"/>
                <w:bCs/>
              </w:rPr>
            </w:pPr>
            <w:r>
              <w:rPr>
                <w:rFonts w:hint="eastAsia" w:ascii="宋体" w:hAnsi="宋体"/>
                <w:color w:val="000000"/>
              </w:rPr>
              <w:t>15</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center"/>
              <w:rPr>
                <w:rFonts w:ascii="宋体" w:hAnsi="宋体"/>
                <w:bCs/>
              </w:rPr>
            </w:pPr>
            <w:r>
              <w:rPr>
                <w:rFonts w:hint="eastAsia" w:ascii="宋体" w:hAnsi="宋体"/>
              </w:rPr>
              <w:t>-</w:t>
            </w:r>
          </w:p>
        </w:tc>
        <w:tc>
          <w:tcPr>
            <w:tcW w:w="714" w:type="pct"/>
            <w:vAlign w:val="center"/>
          </w:tcPr>
          <w:p>
            <w:pPr>
              <w:jc w:val="center"/>
              <w:rPr>
                <w:rFonts w:ascii="宋体" w:hAnsi="宋体"/>
                <w:bCs/>
              </w:rPr>
            </w:pPr>
            <w:r>
              <w:rPr>
                <w:rFonts w:hint="eastAsia" w:ascii="宋体" w:hAnsi="宋体"/>
              </w:rPr>
              <w:t>-</w:t>
            </w:r>
          </w:p>
        </w:tc>
        <w:sdt>
          <w:sdtPr>
            <w:rPr>
              <w:rFonts w:hint="eastAsia" w:ascii="宋体" w:hAnsi="宋体"/>
            </w:rPr>
            <w:alias w:val="报告期末募集资金使用情况明细_是否与募集说明书承诺的用途、使用计划及其他约定一致"/>
            <w:tag w:val="_GBC_ca4f37b37ff4437cb92b814b31ba09cb"/>
            <w:id w:val="-1974661410"/>
            <w:comboBox>
              <w:listItem w:displayText="是" w:value="是"/>
              <w:listItem w:displayText="否" w:value="否"/>
            </w:comboBox>
          </w:sdtPr>
          <w:sdtEndPr>
            <w:rPr>
              <w:rFonts w:hint="eastAsia" w:ascii="宋体" w:hAnsi="宋体"/>
            </w:rPr>
          </w:sdtEndPr>
          <w:sdtContent>
            <w:tc>
              <w:tcPr>
                <w:tcW w:w="715" w:type="pct"/>
                <w:vAlign w:val="center"/>
              </w:tcPr>
              <w:p>
                <w:pPr>
                  <w:jc w:val="center"/>
                  <w:rPr>
                    <w:rFonts w:ascii="宋体" w:hAnsi="宋体"/>
                    <w:bCs/>
                  </w:rPr>
                </w:pPr>
                <w:r>
                  <w:rPr>
                    <w:rFonts w:hint="eastAsia" w:ascii="宋体" w:hAnsi="宋体"/>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cstheme="minorBidi"/>
              </w:rPr>
              <w:t>2021年公司债券（第一期）</w:t>
            </w:r>
            <w:r>
              <w:rPr>
                <w:rFonts w:hint="eastAsia" w:ascii="宋体" w:hAnsi="宋体" w:cstheme="minorBidi"/>
              </w:rPr>
              <w:t>（品种一）</w:t>
            </w:r>
          </w:p>
        </w:tc>
        <w:tc>
          <w:tcPr>
            <w:tcW w:w="714" w:type="pct"/>
            <w:vAlign w:val="center"/>
          </w:tcPr>
          <w:p>
            <w:pPr>
              <w:jc w:val="right"/>
              <w:rPr>
                <w:rFonts w:ascii="宋体" w:hAnsi="宋体"/>
                <w:bCs/>
              </w:rPr>
            </w:pPr>
            <w:r>
              <w:rPr>
                <w:rFonts w:hint="eastAsia" w:ascii="宋体" w:hAnsi="宋体"/>
                <w:color w:val="000000"/>
              </w:rPr>
              <w:t>3</w:t>
            </w:r>
            <w:r>
              <w:rPr>
                <w:rFonts w:ascii="宋体" w:hAnsi="宋体"/>
                <w:color w:val="000000"/>
              </w:rPr>
              <w:t>0</w:t>
            </w:r>
          </w:p>
        </w:tc>
        <w:tc>
          <w:tcPr>
            <w:tcW w:w="714" w:type="pct"/>
            <w:vAlign w:val="center"/>
          </w:tcPr>
          <w:p>
            <w:pPr>
              <w:jc w:val="right"/>
              <w:rPr>
                <w:rFonts w:ascii="宋体" w:hAnsi="宋体"/>
                <w:bCs/>
              </w:rPr>
            </w:pPr>
            <w:r>
              <w:rPr>
                <w:rFonts w:hint="eastAsia" w:ascii="宋体" w:hAnsi="宋体"/>
                <w:color w:val="000000"/>
              </w:rPr>
              <w:t>3</w:t>
            </w:r>
            <w:r>
              <w:rPr>
                <w:rFonts w:ascii="宋体" w:hAnsi="宋体"/>
                <w:color w:val="000000"/>
              </w:rPr>
              <w:t>0</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center"/>
              <w:rPr>
                <w:rFonts w:ascii="宋体" w:hAnsi="宋体"/>
                <w:bCs/>
              </w:rPr>
            </w:pPr>
            <w:r>
              <w:rPr>
                <w:rFonts w:hint="eastAsia" w:ascii="宋体" w:hAnsi="宋体"/>
              </w:rPr>
              <w:t>-</w:t>
            </w:r>
          </w:p>
        </w:tc>
        <w:tc>
          <w:tcPr>
            <w:tcW w:w="714" w:type="pct"/>
            <w:vAlign w:val="center"/>
          </w:tcPr>
          <w:p>
            <w:pPr>
              <w:jc w:val="center"/>
              <w:rPr>
                <w:rFonts w:ascii="宋体" w:hAnsi="宋体"/>
                <w:bCs/>
              </w:rPr>
            </w:pPr>
            <w:r>
              <w:rPr>
                <w:rFonts w:hint="eastAsia" w:ascii="宋体" w:hAnsi="宋体"/>
              </w:rPr>
              <w:t>-</w:t>
            </w:r>
          </w:p>
        </w:tc>
        <w:sdt>
          <w:sdtPr>
            <w:rPr>
              <w:rFonts w:hint="eastAsia" w:ascii="宋体" w:hAnsi="宋体"/>
            </w:rPr>
            <w:alias w:val="报告期末募集资金使用情况明细_是否与募集说明书承诺的用途、使用计划及其他约定一致"/>
            <w:tag w:val="_GBC_ca4f37b37ff4437cb92b814b31ba09cb"/>
            <w:id w:val="-1622142769"/>
            <w:comboBox>
              <w:listItem w:displayText="是" w:value="是"/>
              <w:listItem w:displayText="否" w:value="否"/>
            </w:comboBox>
          </w:sdtPr>
          <w:sdtEndPr>
            <w:rPr>
              <w:rFonts w:hint="eastAsia" w:ascii="宋体" w:hAnsi="宋体"/>
            </w:rPr>
          </w:sdtEndPr>
          <w:sdtContent>
            <w:tc>
              <w:tcPr>
                <w:tcW w:w="715" w:type="pct"/>
                <w:vAlign w:val="center"/>
              </w:tcPr>
              <w:p>
                <w:pPr>
                  <w:jc w:val="center"/>
                  <w:rPr>
                    <w:rFonts w:ascii="宋体" w:hAnsi="宋体"/>
                    <w:bCs/>
                  </w:rPr>
                </w:pPr>
                <w:r>
                  <w:rPr>
                    <w:rFonts w:hint="eastAsia" w:ascii="宋体" w:hAnsi="宋体"/>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cstheme="minorBidi"/>
              </w:rPr>
              <w:t>2021年公司债券（第一期）</w:t>
            </w:r>
            <w:r>
              <w:rPr>
                <w:rFonts w:hint="eastAsia" w:ascii="宋体" w:hAnsi="宋体" w:cstheme="minorBidi"/>
              </w:rPr>
              <w:t>（品种二）</w:t>
            </w:r>
          </w:p>
        </w:tc>
        <w:tc>
          <w:tcPr>
            <w:tcW w:w="714" w:type="pct"/>
            <w:vAlign w:val="center"/>
          </w:tcPr>
          <w:p>
            <w:pPr>
              <w:jc w:val="right"/>
              <w:rPr>
                <w:rFonts w:ascii="宋体" w:hAnsi="宋体"/>
                <w:bCs/>
              </w:rPr>
            </w:pPr>
            <w:r>
              <w:rPr>
                <w:rFonts w:hint="eastAsia" w:ascii="宋体" w:hAnsi="宋体"/>
                <w:color w:val="000000"/>
              </w:rPr>
              <w:t>1</w:t>
            </w:r>
            <w:r>
              <w:rPr>
                <w:rFonts w:ascii="宋体" w:hAnsi="宋体"/>
                <w:color w:val="000000"/>
              </w:rPr>
              <w:t>0</w:t>
            </w:r>
          </w:p>
        </w:tc>
        <w:tc>
          <w:tcPr>
            <w:tcW w:w="714" w:type="pct"/>
            <w:vAlign w:val="center"/>
          </w:tcPr>
          <w:p>
            <w:pPr>
              <w:jc w:val="right"/>
              <w:rPr>
                <w:rFonts w:ascii="宋体" w:hAnsi="宋体"/>
                <w:bCs/>
              </w:rPr>
            </w:pPr>
            <w:r>
              <w:rPr>
                <w:rFonts w:hint="eastAsia" w:ascii="宋体" w:hAnsi="宋体"/>
                <w:color w:val="000000"/>
              </w:rPr>
              <w:t>1</w:t>
            </w:r>
            <w:r>
              <w:rPr>
                <w:rFonts w:ascii="宋体" w:hAnsi="宋体"/>
                <w:color w:val="000000"/>
              </w:rPr>
              <w:t>0</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center"/>
              <w:rPr>
                <w:rFonts w:ascii="宋体" w:hAnsi="宋体"/>
                <w:bCs/>
              </w:rPr>
            </w:pPr>
            <w:r>
              <w:rPr>
                <w:rFonts w:hint="eastAsia" w:ascii="宋体" w:hAnsi="宋体"/>
              </w:rPr>
              <w:t>-</w:t>
            </w:r>
          </w:p>
        </w:tc>
        <w:tc>
          <w:tcPr>
            <w:tcW w:w="714" w:type="pct"/>
            <w:vAlign w:val="center"/>
          </w:tcPr>
          <w:p>
            <w:pPr>
              <w:jc w:val="center"/>
              <w:rPr>
                <w:rFonts w:ascii="宋体" w:hAnsi="宋体"/>
                <w:bCs/>
              </w:rPr>
            </w:pPr>
            <w:r>
              <w:rPr>
                <w:rFonts w:hint="eastAsia" w:ascii="宋体" w:hAnsi="宋体"/>
              </w:rPr>
              <w:t>-</w:t>
            </w:r>
          </w:p>
        </w:tc>
        <w:sdt>
          <w:sdtPr>
            <w:rPr>
              <w:rFonts w:hint="eastAsia" w:ascii="宋体" w:hAnsi="宋体"/>
            </w:rPr>
            <w:alias w:val="报告期末募集资金使用情况明细_是否与募集说明书承诺的用途、使用计划及其他约定一致"/>
            <w:tag w:val="_GBC_ca4f37b37ff4437cb92b814b31ba09cb"/>
            <w:id w:val="682860556"/>
            <w:comboBox>
              <w:listItem w:displayText="是" w:value="是"/>
              <w:listItem w:displayText="否" w:value="否"/>
            </w:comboBox>
          </w:sdtPr>
          <w:sdtEndPr>
            <w:rPr>
              <w:rFonts w:hint="eastAsia" w:ascii="宋体" w:hAnsi="宋体"/>
            </w:rPr>
          </w:sdtEndPr>
          <w:sdtContent>
            <w:tc>
              <w:tcPr>
                <w:tcW w:w="715" w:type="pct"/>
                <w:vAlign w:val="center"/>
              </w:tcPr>
              <w:p>
                <w:pPr>
                  <w:jc w:val="center"/>
                  <w:rPr>
                    <w:rFonts w:ascii="宋体" w:hAnsi="宋体"/>
                    <w:bCs/>
                  </w:rPr>
                </w:pPr>
                <w:r>
                  <w:rPr>
                    <w:rFonts w:hint="eastAsia" w:ascii="宋体" w:hAnsi="宋体"/>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cstheme="minorBidi"/>
              </w:rPr>
              <w:t>2021年可续期公司债券（第一期）</w:t>
            </w:r>
            <w:r>
              <w:rPr>
                <w:rFonts w:hint="eastAsia" w:ascii="宋体" w:hAnsi="宋体" w:cstheme="minorBidi"/>
              </w:rPr>
              <w:t>（品种二）</w:t>
            </w:r>
          </w:p>
        </w:tc>
        <w:tc>
          <w:tcPr>
            <w:tcW w:w="714" w:type="pct"/>
            <w:vAlign w:val="center"/>
          </w:tcPr>
          <w:p>
            <w:pPr>
              <w:jc w:val="right"/>
              <w:rPr>
                <w:rFonts w:ascii="宋体" w:hAnsi="宋体"/>
                <w:bCs/>
              </w:rPr>
            </w:pPr>
            <w:r>
              <w:rPr>
                <w:rFonts w:hint="eastAsia" w:ascii="宋体" w:hAnsi="宋体"/>
                <w:color w:val="000000"/>
              </w:rPr>
              <w:t>3</w:t>
            </w:r>
            <w:r>
              <w:rPr>
                <w:rFonts w:ascii="宋体" w:hAnsi="宋体"/>
                <w:color w:val="000000"/>
              </w:rPr>
              <w:t>3</w:t>
            </w:r>
          </w:p>
        </w:tc>
        <w:tc>
          <w:tcPr>
            <w:tcW w:w="714" w:type="pct"/>
            <w:vAlign w:val="center"/>
          </w:tcPr>
          <w:p>
            <w:pPr>
              <w:jc w:val="right"/>
              <w:rPr>
                <w:rFonts w:ascii="宋体" w:hAnsi="宋体"/>
                <w:bCs/>
              </w:rPr>
            </w:pPr>
            <w:r>
              <w:rPr>
                <w:rFonts w:hint="eastAsia" w:ascii="宋体" w:hAnsi="宋体"/>
                <w:color w:val="000000"/>
              </w:rPr>
              <w:t>3</w:t>
            </w:r>
            <w:r>
              <w:rPr>
                <w:rFonts w:ascii="宋体" w:hAnsi="宋体"/>
                <w:color w:val="000000"/>
              </w:rPr>
              <w:t>3</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center"/>
              <w:rPr>
                <w:rFonts w:ascii="宋体" w:hAnsi="宋体"/>
                <w:bCs/>
              </w:rPr>
            </w:pPr>
            <w:r>
              <w:rPr>
                <w:rFonts w:hint="eastAsia" w:ascii="宋体" w:hAnsi="宋体"/>
              </w:rPr>
              <w:t>-</w:t>
            </w:r>
          </w:p>
        </w:tc>
        <w:tc>
          <w:tcPr>
            <w:tcW w:w="714" w:type="pct"/>
            <w:vAlign w:val="center"/>
          </w:tcPr>
          <w:p>
            <w:pPr>
              <w:jc w:val="center"/>
              <w:rPr>
                <w:rFonts w:ascii="宋体" w:hAnsi="宋体"/>
                <w:bCs/>
              </w:rPr>
            </w:pPr>
            <w:r>
              <w:rPr>
                <w:rFonts w:hint="eastAsia" w:ascii="宋体" w:hAnsi="宋体"/>
              </w:rPr>
              <w:t>-</w:t>
            </w:r>
          </w:p>
        </w:tc>
        <w:sdt>
          <w:sdtPr>
            <w:rPr>
              <w:rFonts w:hint="eastAsia" w:ascii="宋体" w:hAnsi="宋体"/>
            </w:rPr>
            <w:alias w:val="报告期末募集资金使用情况明细_是否与募集说明书承诺的用途、使用计划及其他约定一致"/>
            <w:tag w:val="_GBC_ca4f37b37ff4437cb92b814b31ba09cb"/>
            <w:id w:val="1520127362"/>
            <w:comboBox>
              <w:listItem w:displayText="是" w:value="是"/>
              <w:listItem w:displayText="否" w:value="否"/>
            </w:comboBox>
          </w:sdtPr>
          <w:sdtEndPr>
            <w:rPr>
              <w:rFonts w:hint="eastAsia" w:ascii="宋体" w:hAnsi="宋体"/>
            </w:rPr>
          </w:sdtEndPr>
          <w:sdtContent>
            <w:tc>
              <w:tcPr>
                <w:tcW w:w="715" w:type="pct"/>
                <w:vAlign w:val="center"/>
              </w:tcPr>
              <w:p>
                <w:pPr>
                  <w:jc w:val="center"/>
                  <w:rPr>
                    <w:rFonts w:ascii="宋体" w:hAnsi="宋体"/>
                    <w:bCs/>
                  </w:rPr>
                </w:pPr>
                <w:r>
                  <w:rPr>
                    <w:rFonts w:hint="eastAsia" w:ascii="宋体" w:hAnsi="宋体"/>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cstheme="minorBidi"/>
              </w:rPr>
              <w:t>2021年可续期公司债券（第二期）</w:t>
            </w:r>
          </w:p>
        </w:tc>
        <w:tc>
          <w:tcPr>
            <w:tcW w:w="714" w:type="pct"/>
            <w:vAlign w:val="center"/>
          </w:tcPr>
          <w:p>
            <w:pPr>
              <w:jc w:val="right"/>
              <w:rPr>
                <w:rFonts w:ascii="宋体" w:hAnsi="宋体"/>
                <w:bCs/>
              </w:rPr>
            </w:pPr>
            <w:r>
              <w:rPr>
                <w:rFonts w:hint="eastAsia" w:ascii="宋体" w:hAnsi="宋体"/>
              </w:rPr>
              <w:t>10</w:t>
            </w:r>
          </w:p>
        </w:tc>
        <w:tc>
          <w:tcPr>
            <w:tcW w:w="714" w:type="pct"/>
            <w:vAlign w:val="center"/>
          </w:tcPr>
          <w:p>
            <w:pPr>
              <w:jc w:val="right"/>
              <w:rPr>
                <w:rFonts w:ascii="宋体" w:hAnsi="宋体"/>
                <w:bCs/>
              </w:rPr>
            </w:pPr>
            <w:r>
              <w:rPr>
                <w:rFonts w:hint="eastAsia" w:ascii="宋体" w:hAnsi="宋体"/>
              </w:rPr>
              <w:t>10</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center"/>
              <w:rPr>
                <w:rFonts w:ascii="宋体" w:hAnsi="宋体"/>
                <w:bCs/>
              </w:rPr>
            </w:pPr>
            <w:r>
              <w:rPr>
                <w:rFonts w:hint="eastAsia" w:ascii="宋体" w:hAnsi="宋体"/>
              </w:rPr>
              <w:t>-</w:t>
            </w:r>
          </w:p>
        </w:tc>
        <w:tc>
          <w:tcPr>
            <w:tcW w:w="714" w:type="pct"/>
            <w:vAlign w:val="center"/>
          </w:tcPr>
          <w:p>
            <w:pPr>
              <w:jc w:val="center"/>
              <w:rPr>
                <w:rFonts w:ascii="宋体" w:hAnsi="宋体"/>
                <w:bCs/>
              </w:rPr>
            </w:pPr>
            <w:r>
              <w:rPr>
                <w:rFonts w:hint="eastAsia" w:ascii="宋体" w:hAnsi="宋体"/>
              </w:rPr>
              <w:t>-</w:t>
            </w:r>
          </w:p>
        </w:tc>
        <w:sdt>
          <w:sdtPr>
            <w:rPr>
              <w:rFonts w:hint="eastAsia" w:ascii="宋体" w:hAnsi="宋体"/>
            </w:rPr>
            <w:alias w:val="报告期末募集资金使用情况明细_是否与募集说明书承诺的用途、使用计划及其他约定一致"/>
            <w:tag w:val="_GBC_ca4f37b37ff4437cb92b814b31ba09cb"/>
            <w:id w:val="-918635413"/>
            <w:comboBox>
              <w:listItem w:displayText="是" w:value="是"/>
              <w:listItem w:displayText="否" w:value="否"/>
            </w:comboBox>
          </w:sdtPr>
          <w:sdtEndPr>
            <w:rPr>
              <w:rFonts w:hint="eastAsia" w:ascii="宋体" w:hAnsi="宋体"/>
            </w:rPr>
          </w:sdtEndPr>
          <w:sdtContent>
            <w:tc>
              <w:tcPr>
                <w:tcW w:w="715" w:type="pct"/>
                <w:vAlign w:val="center"/>
              </w:tcPr>
              <w:p>
                <w:pPr>
                  <w:jc w:val="center"/>
                  <w:rPr>
                    <w:rFonts w:ascii="宋体" w:hAnsi="宋体"/>
                    <w:bCs/>
                  </w:rPr>
                </w:pPr>
                <w:r>
                  <w:rPr>
                    <w:rFonts w:hint="eastAsia" w:ascii="宋体" w:hAnsi="宋体"/>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cstheme="minorBidi"/>
              </w:rPr>
            </w:pPr>
            <w:r>
              <w:rPr>
                <w:rFonts w:hint="eastAsia" w:ascii="宋体" w:hAnsi="宋体"/>
              </w:rPr>
              <w:t>2023年</w:t>
            </w:r>
            <w:r>
              <w:rPr>
                <w:rFonts w:ascii="宋体" w:hAnsi="宋体" w:cstheme="minorBidi"/>
              </w:rPr>
              <w:t>公司债券（第一期）</w:t>
            </w:r>
            <w:r>
              <w:rPr>
                <w:rFonts w:hint="eastAsia" w:ascii="宋体" w:hAnsi="宋体" w:cstheme="minorBidi"/>
              </w:rPr>
              <w:t>（品种一）</w:t>
            </w:r>
          </w:p>
        </w:tc>
        <w:tc>
          <w:tcPr>
            <w:tcW w:w="714" w:type="pct"/>
            <w:vAlign w:val="center"/>
          </w:tcPr>
          <w:p>
            <w:pPr>
              <w:jc w:val="right"/>
              <w:rPr>
                <w:rFonts w:ascii="宋体" w:hAnsi="宋体"/>
              </w:rPr>
            </w:pPr>
            <w:r>
              <w:rPr>
                <w:rFonts w:hint="eastAsia" w:ascii="宋体" w:hAnsi="宋体"/>
              </w:rPr>
              <w:t>1</w:t>
            </w:r>
            <w:r>
              <w:rPr>
                <w:rFonts w:ascii="宋体" w:hAnsi="宋体"/>
              </w:rPr>
              <w:t>0</w:t>
            </w:r>
          </w:p>
        </w:tc>
        <w:tc>
          <w:tcPr>
            <w:tcW w:w="714" w:type="pct"/>
            <w:vAlign w:val="center"/>
          </w:tcPr>
          <w:p>
            <w:pPr>
              <w:jc w:val="right"/>
              <w:rPr>
                <w:rFonts w:ascii="宋体" w:hAnsi="宋体"/>
              </w:rPr>
            </w:pPr>
            <w:r>
              <w:rPr>
                <w:rFonts w:hint="eastAsia" w:ascii="宋体" w:hAnsi="宋体"/>
              </w:rPr>
              <w:t>1</w:t>
            </w:r>
            <w:r>
              <w:rPr>
                <w:rFonts w:ascii="宋体" w:hAnsi="宋体"/>
              </w:rPr>
              <w:t>0</w:t>
            </w:r>
          </w:p>
        </w:tc>
        <w:tc>
          <w:tcPr>
            <w:tcW w:w="714" w:type="pct"/>
            <w:vAlign w:val="center"/>
          </w:tcPr>
          <w:p>
            <w:pPr>
              <w:jc w:val="right"/>
              <w:rPr>
                <w:rFonts w:ascii="宋体" w:hAnsi="宋体"/>
              </w:rPr>
            </w:pPr>
            <w:r>
              <w:rPr>
                <w:rFonts w:hint="eastAsia" w:ascii="宋体" w:hAnsi="宋体"/>
              </w:rPr>
              <w:t>0</w:t>
            </w:r>
          </w:p>
        </w:tc>
        <w:tc>
          <w:tcPr>
            <w:tcW w:w="714" w:type="pct"/>
            <w:vAlign w:val="center"/>
          </w:tcPr>
          <w:p>
            <w:pPr>
              <w:jc w:val="center"/>
              <w:rPr>
                <w:rFonts w:ascii="宋体" w:hAnsi="宋体"/>
              </w:rPr>
            </w:pPr>
            <w:r>
              <w:rPr>
                <w:rFonts w:hint="eastAsia" w:ascii="宋体" w:hAnsi="宋体"/>
              </w:rPr>
              <w:t>-</w:t>
            </w:r>
          </w:p>
        </w:tc>
        <w:tc>
          <w:tcPr>
            <w:tcW w:w="714" w:type="pct"/>
            <w:vAlign w:val="center"/>
          </w:tcPr>
          <w:p>
            <w:pPr>
              <w:jc w:val="center"/>
              <w:rPr>
                <w:rFonts w:ascii="宋体" w:hAnsi="宋体"/>
              </w:rPr>
            </w:pPr>
            <w:r>
              <w:rPr>
                <w:rFonts w:hint="eastAsia" w:ascii="宋体" w:hAnsi="宋体"/>
              </w:rPr>
              <w:t>-</w:t>
            </w:r>
          </w:p>
        </w:tc>
        <w:sdt>
          <w:sdtPr>
            <w:rPr>
              <w:rFonts w:hint="eastAsia" w:ascii="宋体" w:hAnsi="宋体"/>
              <w:bCs/>
            </w:rPr>
            <w:alias w:val="报告期末募集资金使用情况明细_是否与募集说明书承诺的用途、使用计划及其他约定一致"/>
            <w:tag w:val="_GBC_ca4f37b37ff4437cb92b814b31ba09cb"/>
            <w:id w:val="-1330438354"/>
            <w:comboBox>
              <w:listItem w:displayText="是" w:value="是"/>
              <w:listItem w:displayText="否" w:value="否"/>
            </w:comboBox>
          </w:sdtPr>
          <w:sdtEndPr>
            <w:rPr>
              <w:rFonts w:hint="eastAsia" w:ascii="宋体" w:hAnsi="宋体"/>
              <w:bCs/>
            </w:rPr>
          </w:sdtEndPr>
          <w:sdtContent>
            <w:tc>
              <w:tcPr>
                <w:tcW w:w="715" w:type="pct"/>
                <w:vAlign w:val="center"/>
              </w:tcPr>
              <w:p>
                <w:pPr>
                  <w:jc w:val="center"/>
                  <w:rPr>
                    <w:rFonts w:ascii="宋体" w:hAnsi="宋体"/>
                  </w:rPr>
                </w:pPr>
                <w:r>
                  <w:rPr>
                    <w:rFonts w:hint="eastAsia" w:ascii="宋体" w:hAnsi="宋体"/>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cstheme="minorBidi"/>
              </w:rPr>
            </w:pPr>
            <w:r>
              <w:rPr>
                <w:rFonts w:hint="eastAsia" w:ascii="宋体" w:hAnsi="宋体"/>
              </w:rPr>
              <w:t>2023年</w:t>
            </w:r>
            <w:r>
              <w:rPr>
                <w:rFonts w:ascii="宋体" w:hAnsi="宋体" w:cstheme="minorBidi"/>
              </w:rPr>
              <w:t>公司债券（第一期）</w:t>
            </w:r>
            <w:r>
              <w:rPr>
                <w:rFonts w:hint="eastAsia" w:ascii="宋体" w:hAnsi="宋体" w:cstheme="minorBidi"/>
              </w:rPr>
              <w:t>（品种二）</w:t>
            </w:r>
          </w:p>
        </w:tc>
        <w:tc>
          <w:tcPr>
            <w:tcW w:w="714" w:type="pct"/>
            <w:vAlign w:val="center"/>
          </w:tcPr>
          <w:p>
            <w:pPr>
              <w:jc w:val="right"/>
              <w:rPr>
                <w:rFonts w:ascii="宋体" w:hAnsi="宋体"/>
              </w:rPr>
            </w:pPr>
            <w:r>
              <w:rPr>
                <w:rFonts w:hint="eastAsia" w:ascii="宋体" w:hAnsi="宋体"/>
              </w:rPr>
              <w:t>2</w:t>
            </w:r>
            <w:r>
              <w:rPr>
                <w:rFonts w:ascii="宋体" w:hAnsi="宋体"/>
              </w:rPr>
              <w:t>0</w:t>
            </w:r>
          </w:p>
        </w:tc>
        <w:tc>
          <w:tcPr>
            <w:tcW w:w="714" w:type="pct"/>
            <w:vAlign w:val="center"/>
          </w:tcPr>
          <w:p>
            <w:pPr>
              <w:jc w:val="right"/>
              <w:rPr>
                <w:rFonts w:ascii="宋体" w:hAnsi="宋体"/>
              </w:rPr>
            </w:pPr>
            <w:r>
              <w:rPr>
                <w:rFonts w:hint="eastAsia" w:ascii="宋体" w:hAnsi="宋体"/>
              </w:rPr>
              <w:t>2</w:t>
            </w:r>
            <w:r>
              <w:rPr>
                <w:rFonts w:ascii="宋体" w:hAnsi="宋体"/>
              </w:rPr>
              <w:t>0</w:t>
            </w:r>
          </w:p>
        </w:tc>
        <w:tc>
          <w:tcPr>
            <w:tcW w:w="714" w:type="pct"/>
            <w:vAlign w:val="center"/>
          </w:tcPr>
          <w:p>
            <w:pPr>
              <w:jc w:val="right"/>
              <w:rPr>
                <w:rFonts w:ascii="宋体" w:hAnsi="宋体"/>
              </w:rPr>
            </w:pPr>
            <w:r>
              <w:rPr>
                <w:rFonts w:hint="eastAsia" w:ascii="宋体" w:hAnsi="宋体"/>
              </w:rPr>
              <w:t>0</w:t>
            </w:r>
          </w:p>
        </w:tc>
        <w:tc>
          <w:tcPr>
            <w:tcW w:w="714" w:type="pct"/>
            <w:vAlign w:val="center"/>
          </w:tcPr>
          <w:p>
            <w:pPr>
              <w:jc w:val="center"/>
              <w:rPr>
                <w:rFonts w:ascii="宋体" w:hAnsi="宋体"/>
              </w:rPr>
            </w:pPr>
            <w:r>
              <w:rPr>
                <w:rFonts w:hint="eastAsia" w:ascii="宋体" w:hAnsi="宋体"/>
              </w:rPr>
              <w:t>-</w:t>
            </w:r>
          </w:p>
        </w:tc>
        <w:tc>
          <w:tcPr>
            <w:tcW w:w="714" w:type="pct"/>
            <w:vAlign w:val="center"/>
          </w:tcPr>
          <w:p>
            <w:pPr>
              <w:jc w:val="center"/>
              <w:rPr>
                <w:rFonts w:ascii="宋体" w:hAnsi="宋体"/>
              </w:rPr>
            </w:pPr>
            <w:r>
              <w:rPr>
                <w:rFonts w:hint="eastAsia" w:ascii="宋体" w:hAnsi="宋体"/>
              </w:rPr>
              <w:t>-</w:t>
            </w:r>
          </w:p>
        </w:tc>
        <w:sdt>
          <w:sdtPr>
            <w:rPr>
              <w:rFonts w:hint="eastAsia" w:ascii="宋体" w:hAnsi="宋体"/>
            </w:rPr>
            <w:alias w:val="报告期末募集资金使用情况明细_是否与募集说明书承诺的用途、使用计划及其他约定一致"/>
            <w:tag w:val="_GBC_ca4f37b37ff4437cb92b814b31ba09cb"/>
            <w:id w:val="-2012518701"/>
            <w:comboBox>
              <w:listItem w:displayText="是" w:value="是"/>
              <w:listItem w:displayText="否" w:value="否"/>
            </w:comboBox>
          </w:sdtPr>
          <w:sdtEndPr>
            <w:rPr>
              <w:rFonts w:hint="eastAsia" w:ascii="宋体" w:hAnsi="宋体"/>
            </w:rPr>
          </w:sdtEndPr>
          <w:sdtContent>
            <w:tc>
              <w:tcPr>
                <w:tcW w:w="715" w:type="pct"/>
                <w:vAlign w:val="center"/>
              </w:tcPr>
              <w:p>
                <w:pPr>
                  <w:jc w:val="center"/>
                  <w:rPr>
                    <w:rFonts w:ascii="宋体" w:hAnsi="宋体"/>
                  </w:rPr>
                </w:pPr>
                <w:r>
                  <w:rPr>
                    <w:rFonts w:hint="eastAsia" w:ascii="宋体" w:hAnsi="宋体"/>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cstheme="minorBidi"/>
              </w:rPr>
            </w:pPr>
            <w:r>
              <w:rPr>
                <w:rFonts w:hint="eastAsia" w:ascii="宋体" w:hAnsi="宋体"/>
              </w:rPr>
              <w:t>2023年</w:t>
            </w:r>
            <w:r>
              <w:rPr>
                <w:rFonts w:ascii="宋体" w:hAnsi="宋体" w:cstheme="minorBidi"/>
              </w:rPr>
              <w:t>公司债券（第</w:t>
            </w:r>
            <w:r>
              <w:rPr>
                <w:rFonts w:hint="eastAsia" w:ascii="宋体" w:hAnsi="宋体" w:cstheme="minorBidi"/>
              </w:rPr>
              <w:t>二</w:t>
            </w:r>
            <w:r>
              <w:rPr>
                <w:rFonts w:ascii="宋体" w:hAnsi="宋体" w:cstheme="minorBidi"/>
              </w:rPr>
              <w:t>期）</w:t>
            </w:r>
            <w:r>
              <w:rPr>
                <w:rFonts w:hint="eastAsia" w:ascii="宋体" w:hAnsi="宋体" w:cstheme="minorBidi"/>
              </w:rPr>
              <w:t>（品种二）</w:t>
            </w:r>
          </w:p>
        </w:tc>
        <w:tc>
          <w:tcPr>
            <w:tcW w:w="714" w:type="pct"/>
            <w:vAlign w:val="center"/>
          </w:tcPr>
          <w:p>
            <w:pPr>
              <w:jc w:val="right"/>
              <w:rPr>
                <w:rFonts w:ascii="宋体" w:hAnsi="宋体"/>
              </w:rPr>
            </w:pPr>
            <w:r>
              <w:rPr>
                <w:rFonts w:hint="eastAsia" w:ascii="宋体" w:hAnsi="宋体"/>
              </w:rPr>
              <w:t>2</w:t>
            </w:r>
            <w:r>
              <w:rPr>
                <w:rFonts w:ascii="宋体" w:hAnsi="宋体"/>
              </w:rPr>
              <w:t>0</w:t>
            </w:r>
          </w:p>
        </w:tc>
        <w:tc>
          <w:tcPr>
            <w:tcW w:w="714" w:type="pct"/>
            <w:vAlign w:val="center"/>
          </w:tcPr>
          <w:p>
            <w:pPr>
              <w:jc w:val="right"/>
              <w:rPr>
                <w:rFonts w:ascii="宋体" w:hAnsi="宋体"/>
              </w:rPr>
            </w:pPr>
            <w:r>
              <w:rPr>
                <w:rFonts w:hint="eastAsia" w:ascii="宋体" w:hAnsi="宋体"/>
              </w:rPr>
              <w:t>2</w:t>
            </w:r>
            <w:r>
              <w:rPr>
                <w:rFonts w:ascii="宋体" w:hAnsi="宋体"/>
              </w:rPr>
              <w:t>0</w:t>
            </w:r>
          </w:p>
        </w:tc>
        <w:tc>
          <w:tcPr>
            <w:tcW w:w="714" w:type="pct"/>
            <w:vAlign w:val="center"/>
          </w:tcPr>
          <w:p>
            <w:pPr>
              <w:jc w:val="right"/>
              <w:rPr>
                <w:rFonts w:ascii="宋体" w:hAnsi="宋体"/>
              </w:rPr>
            </w:pPr>
            <w:r>
              <w:rPr>
                <w:rFonts w:hint="eastAsia" w:ascii="宋体" w:hAnsi="宋体"/>
              </w:rPr>
              <w:t>0</w:t>
            </w:r>
          </w:p>
        </w:tc>
        <w:tc>
          <w:tcPr>
            <w:tcW w:w="714" w:type="pct"/>
            <w:vAlign w:val="center"/>
          </w:tcPr>
          <w:p>
            <w:pPr>
              <w:jc w:val="center"/>
              <w:rPr>
                <w:rFonts w:ascii="宋体" w:hAnsi="宋体"/>
              </w:rPr>
            </w:pPr>
            <w:r>
              <w:rPr>
                <w:rFonts w:hint="eastAsia" w:ascii="宋体" w:hAnsi="宋体"/>
              </w:rPr>
              <w:t>-</w:t>
            </w:r>
          </w:p>
        </w:tc>
        <w:tc>
          <w:tcPr>
            <w:tcW w:w="714" w:type="pct"/>
            <w:vAlign w:val="center"/>
          </w:tcPr>
          <w:p>
            <w:pPr>
              <w:jc w:val="center"/>
              <w:rPr>
                <w:rFonts w:ascii="宋体" w:hAnsi="宋体"/>
              </w:rPr>
            </w:pPr>
            <w:r>
              <w:rPr>
                <w:rFonts w:hint="eastAsia" w:ascii="宋体" w:hAnsi="宋体"/>
              </w:rPr>
              <w:t>-</w:t>
            </w:r>
          </w:p>
        </w:tc>
        <w:sdt>
          <w:sdtPr>
            <w:rPr>
              <w:rFonts w:hint="eastAsia" w:ascii="宋体" w:hAnsi="宋体"/>
            </w:rPr>
            <w:alias w:val="报告期末募集资金使用情况明细_是否与募集说明书承诺的用途、使用计划及其他约定一致"/>
            <w:tag w:val="_GBC_ca4f37b37ff4437cb92b814b31ba09cb"/>
            <w:id w:val="-54396596"/>
            <w:comboBox>
              <w:listItem w:displayText="是" w:value="是"/>
              <w:listItem w:displayText="否" w:value="否"/>
            </w:comboBox>
          </w:sdtPr>
          <w:sdtEndPr>
            <w:rPr>
              <w:rFonts w:hint="eastAsia" w:ascii="宋体" w:hAnsi="宋体"/>
            </w:rPr>
          </w:sdtEndPr>
          <w:sdtContent>
            <w:tc>
              <w:tcPr>
                <w:tcW w:w="715" w:type="pct"/>
                <w:vAlign w:val="center"/>
              </w:tcPr>
              <w:p>
                <w:pPr>
                  <w:jc w:val="center"/>
                  <w:rPr>
                    <w:rFonts w:ascii="宋体" w:hAnsi="宋体"/>
                  </w:rPr>
                </w:pPr>
                <w:r>
                  <w:rPr>
                    <w:rFonts w:hint="eastAsia" w:ascii="宋体" w:hAnsi="宋体"/>
                  </w:rPr>
                  <w:t>是</w:t>
                </w:r>
              </w:p>
            </w:tc>
          </w:sdtContent>
        </w:sdt>
      </w:tr>
    </w:tbl>
    <w:p>
      <w:pPr>
        <w:rPr>
          <w:rFonts w:ascii="宋体" w:hAnsi="宋体"/>
          <w:bCs/>
          <w:color w:val="333399"/>
        </w:rPr>
      </w:pPr>
    </w:p>
    <w:p>
      <w:pPr>
        <w:rPr>
          <w:rFonts w:ascii="宋体" w:hAnsi="宋体"/>
          <w:bCs/>
        </w:rPr>
      </w:pPr>
      <w:r>
        <w:rPr>
          <w:rFonts w:hint="eastAsia" w:ascii="宋体" w:hAnsi="宋体"/>
          <w:bCs/>
        </w:rPr>
        <w:t>募集资金用于建设项目的进展情况及运营效益</w:t>
      </w:r>
    </w:p>
    <w:sdt>
      <w:sdtPr>
        <w:rPr>
          <w:rFonts w:ascii="宋体" w:hAnsi="宋体"/>
        </w:rPr>
        <w:alias w:val="是否适用：募集资金用于建设项目的进展情况及运营效益[双击切换]"/>
        <w:tag w:val="_GBC_80d98802e5144cc8a2360c64630d77c1"/>
        <w:id w:val="1452055200"/>
        <w:placeholder>
          <w:docPart w:val="GBC22222222222222222222222222222"/>
        </w:placeholder>
      </w:sdtPr>
      <w:sdtEndPr>
        <w:rPr>
          <w:rFonts w:ascii="宋体" w:hAnsi="宋体"/>
        </w:rPr>
      </w:sdtEndPr>
      <w:sdtContent>
        <w:p>
          <w:pPr>
            <w:rPr>
              <w:rFonts w:ascii="宋体" w:hAnsi="宋体"/>
              <w:bCs/>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bCs/>
        </w:rPr>
      </w:pPr>
    </w:p>
    <w:p>
      <w:pPr>
        <w:rPr>
          <w:rFonts w:hAnsi="Arial"/>
          <w:bCs/>
        </w:rPr>
      </w:pPr>
      <w:r>
        <w:rPr>
          <w:rFonts w:hint="eastAsia" w:hAnsi="Arial"/>
          <w:bCs/>
        </w:rPr>
        <w:t>报告期内变更上述债券募集资金用途的说明</w:t>
      </w:r>
    </w:p>
    <w:sdt>
      <w:sdtPr>
        <w:alias w:val="是否适用：报告期内变更上述债券募集资金用途的说明 [双击切换]"/>
        <w:tag w:val="_GBC_7fab15946d6947bea688ca5fbdb5d673"/>
        <w:id w:val="1029839692"/>
        <w:placeholder>
          <w:docPart w:val="GBC22222222222222222222222222222"/>
        </w:placeholder>
      </w:sdtPr>
      <w:sdtContent>
        <w:p>
          <w:pPr>
            <w:rPr>
              <w:bCs/>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bCs/>
        </w:rPr>
      </w:pPr>
    </w:p>
    <w:p>
      <w:pPr>
        <w:adjustRightInd w:val="0"/>
        <w:snapToGrid w:val="0"/>
        <w:rPr>
          <w:rFonts w:hAnsi="Arial"/>
          <w:bCs/>
        </w:rPr>
      </w:pPr>
      <w:r>
        <w:rPr>
          <w:rFonts w:hint="eastAsia" w:ascii="Arial" w:hAnsi="Arial"/>
          <w:bCs/>
        </w:rPr>
        <w:t>其他</w:t>
      </w:r>
      <w:r>
        <w:rPr>
          <w:rFonts w:hint="eastAsia" w:hAnsi="Arial"/>
          <w:bCs/>
        </w:rPr>
        <w:t>说明</w:t>
      </w:r>
    </w:p>
    <w:sdt>
      <w:sdtPr>
        <w:rPr>
          <w:rFonts w:hAnsi="Arial"/>
          <w:bCs/>
        </w:rPr>
        <w:alias w:val="是否适用：报告期末募集资金使用情况其他说明[双击切换]"/>
        <w:tag w:val="_GBC_d86b4dacccce4ec9b9ab25d66d2a6efe"/>
        <w:id w:val="1943183420"/>
        <w:placeholder>
          <w:docPart w:val="GBC22222222222222222222222222222"/>
        </w:placeholder>
      </w:sdtPr>
      <w:sdtEndPr>
        <w:rPr>
          <w:rFonts w:hAnsi="Arial"/>
          <w:bCs/>
        </w:rPr>
      </w:sdtEndPr>
      <w:sdtContent>
        <w:p>
          <w:pPr>
            <w:adjustRightInd w:val="0"/>
            <w:snapToGrid w:val="0"/>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rPr>
          <w:b/>
          <w:bCs/>
        </w:rPr>
      </w:pPr>
    </w:p>
    <w:p>
      <w:pPr>
        <w:pStyle w:val="5"/>
        <w:numPr>
          <w:ilvl w:val="0"/>
          <w:numId w:val="55"/>
        </w:numPr>
        <w:ind w:left="425" w:hanging="425"/>
        <w:rPr>
          <w:rFonts w:ascii="宋体" w:hAnsi="宋体" w:cs="宋体"/>
          <w:kern w:val="0"/>
          <w:szCs w:val="24"/>
        </w:rPr>
      </w:pPr>
      <w:r>
        <w:rPr>
          <w:rFonts w:hint="eastAsia" w:ascii="宋体" w:hAnsi="宋体" w:cs="宋体"/>
          <w:kern w:val="0"/>
          <w:szCs w:val="24"/>
        </w:rPr>
        <w:t>信用评级结果调整</w:t>
      </w:r>
      <w:r>
        <w:rPr>
          <w:rFonts w:hint="eastAsia" w:ascii="宋体" w:hAnsi="宋体" w:eastAsia="宋体" w:cs="宋体"/>
          <w:kern w:val="0"/>
          <w:szCs w:val="24"/>
        </w:rPr>
        <w:t>情况</w:t>
      </w:r>
    </w:p>
    <w:sdt>
      <w:sdtPr>
        <w:rPr>
          <w:rFonts w:hint="eastAsia"/>
          <w:bCs/>
          <w:color w:val="000000" w:themeColor="text1"/>
          <w14:textFill>
            <w14:solidFill>
              <w14:schemeClr w14:val="tx1"/>
            </w14:solidFill>
          </w14:textFill>
        </w:rPr>
        <w:alias w:val="是否适用：公司债券评级情况[双击切换]"/>
        <w:tag w:val="_GBC_345df0453cf941d0a16bc6d740748aa0"/>
        <w:id w:val="1933693354"/>
        <w:placeholder>
          <w:docPart w:val="GBC22222222222222222222222222222"/>
        </w:placeholder>
      </w:sdtPr>
      <w:sdtEndPr>
        <w:rPr>
          <w:rFonts w:hint="eastAsia"/>
          <w:bCs/>
          <w:color w:val="000000" w:themeColor="text1"/>
          <w14:textFill>
            <w14:solidFill>
              <w14:schemeClr w14:val="tx1"/>
            </w14:solidFill>
          </w14:textFill>
        </w:rPr>
      </w:sdtEndPr>
      <w:sdtContent>
        <w:p>
          <w:pPr>
            <w:rPr>
              <w:bCs/>
              <w:color w:val="000000" w:themeColor="text1"/>
              <w14:textFill>
                <w14:solidFill>
                  <w14:schemeClr w14:val="tx1"/>
                </w14:solidFill>
              </w14:textFill>
            </w:rPr>
          </w:pPr>
          <w:bookmarkStart w:id="183" w:name="_Hlk89419436"/>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pPr>
    </w:p>
    <w:p>
      <w:pPr>
        <w:adjustRightInd w:val="0"/>
        <w:snapToGrid w:val="0"/>
        <w:rPr>
          <w:rFonts w:hAnsi="Arial"/>
          <w:bCs/>
        </w:rPr>
      </w:pPr>
      <w:r>
        <w:rPr>
          <w:rFonts w:hint="eastAsia" w:ascii="Arial" w:hAnsi="Arial"/>
          <w:bCs/>
        </w:rPr>
        <w:t>其他</w:t>
      </w:r>
      <w:r>
        <w:rPr>
          <w:rFonts w:hint="eastAsia" w:hAnsi="Arial"/>
          <w:bCs/>
        </w:rPr>
        <w:t>说明</w:t>
      </w:r>
    </w:p>
    <w:sdt>
      <w:sdtPr>
        <w:rPr>
          <w:rFonts w:hint="eastAsia" w:hAnsi="Arial"/>
          <w:bCs/>
        </w:rPr>
        <w:alias w:val="是否适用：信用评级结果调整情况其他说明[双击切换]"/>
        <w:tag w:val="_GBC_53eb0e10841145bb837764aa43265bb6"/>
        <w:id w:val="-776021398"/>
        <w:placeholder>
          <w:docPart w:val="GBC22222222222222222222222222222"/>
        </w:placeholder>
      </w:sdtPr>
      <w:sdtEndPr>
        <w:rPr>
          <w:rFonts w:hint="eastAsia" w:hAnsi="Arial"/>
          <w:bCs/>
        </w:rPr>
      </w:sdtEndPr>
      <w:sdtContent>
        <w:p>
          <w:pPr>
            <w:adjustRightInd w:val="0"/>
            <w:snapToGrid w:val="0"/>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rPr>
          <w:b/>
          <w:bCs/>
        </w:rPr>
      </w:pPr>
    </w:p>
    <w:p>
      <w:pPr>
        <w:pStyle w:val="5"/>
        <w:numPr>
          <w:ilvl w:val="0"/>
          <w:numId w:val="55"/>
        </w:numPr>
        <w:ind w:left="425" w:hanging="425"/>
        <w:rPr>
          <w:rFonts w:ascii="宋体" w:hAnsi="宋体" w:cs="宋体"/>
          <w:kern w:val="0"/>
          <w:szCs w:val="24"/>
        </w:rPr>
      </w:pPr>
      <w:r>
        <w:rPr>
          <w:rFonts w:hint="eastAsia" w:ascii="宋体" w:hAnsi="宋体" w:cs="宋体"/>
          <w:kern w:val="0"/>
          <w:szCs w:val="24"/>
        </w:rPr>
        <w:t>担保情况、偿债计划及其他偿债保障措施在报告期内的执行和变化情况及其影响</w:t>
      </w:r>
    </w:p>
    <w:sdt>
      <w:sdtPr>
        <w:rPr>
          <w:bCs/>
          <w:color w:val="000000" w:themeColor="text1"/>
          <w14:textFill>
            <w14:solidFill>
              <w14:schemeClr w14:val="tx1"/>
            </w14:solidFill>
          </w14:textFill>
        </w:rPr>
        <w:alias w:val="是否适用：担保情况、偿债计划及其他偿债保障措施在报告期内的执行情况和变化情况及对债券投资者权益的影响[双击切换]"/>
        <w:tag w:val="_GBC_794f04656be94d198b6d2f05b3c3e272"/>
        <w:id w:val="1990974317"/>
        <w:placeholder>
          <w:docPart w:val="GBC22222222222222222222222222222"/>
        </w:placeholder>
      </w:sdtPr>
      <w:sdtEndPr>
        <w:rPr>
          <w:bCs/>
          <w:color w:val="000000" w:themeColor="text1"/>
          <w14:textFill>
            <w14:solidFill>
              <w14:schemeClr w14:val="tx1"/>
            </w14:solidFill>
          </w14:textFill>
        </w:rPr>
      </w:sdtEndPr>
      <w:sdtContent>
        <w:p>
          <w:pPr>
            <w:rPr>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p>
      <w:pP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本公司所发行债券担保情况、偿债计划及其他偿债保障措施与募集说明书保持一致，报告期内未发生变化。</w:t>
      </w:r>
    </w:p>
    <w:p>
      <w:pPr>
        <w:rPr>
          <w:bCs/>
          <w:color w:val="000000" w:themeColor="text1"/>
          <w14:textFill>
            <w14:solidFill>
              <w14:schemeClr w14:val="tx1"/>
            </w14:solidFill>
          </w14:textFill>
        </w:rPr>
      </w:pPr>
    </w:p>
    <w:p>
      <w:pPr>
        <w:pStyle w:val="5"/>
        <w:numPr>
          <w:ilvl w:val="0"/>
          <w:numId w:val="55"/>
        </w:numPr>
        <w:ind w:left="425" w:hanging="425"/>
        <w:rPr>
          <w:rFonts w:ascii="宋体" w:hAnsi="宋体"/>
        </w:rPr>
      </w:pPr>
      <w:r>
        <w:rPr>
          <w:rFonts w:hint="eastAsia" w:ascii="宋体" w:hAnsi="宋体"/>
        </w:rPr>
        <w:t>公司债券其他情况的说明</w:t>
      </w:r>
    </w:p>
    <w:bookmarkEnd w:id="182"/>
    <w:bookmarkEnd w:id="183"/>
    <w:sdt>
      <w:sdtPr>
        <w:rPr>
          <w:bCs/>
        </w:rPr>
        <w:alias w:val="是否适用：公司债券其他情况的说明[双击切换]"/>
        <w:tag w:val="_GBC_4ba8044ae73b46baa058ab9b64d5ae9b"/>
        <w:id w:val="1548874486"/>
        <w:placeholder>
          <w:docPart w:val="GBC22222222222222222222222222222"/>
        </w:placeholder>
      </w:sdtPr>
      <w:sdtEndPr>
        <w:rPr>
          <w:bCs/>
        </w:rPr>
      </w:sdtEndPr>
      <w:sdtContent>
        <w:p>
          <w:pPr>
            <w:rPr>
              <w:bCs/>
            </w:rPr>
          </w:pPr>
          <w:bookmarkStart w:id="184" w:name="_Hlk41317937"/>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bookmarkEnd w:id="184"/>
    <w:p>
      <w:pPr>
        <w:pStyle w:val="43"/>
      </w:pPr>
    </w:p>
    <w:p>
      <w:pPr>
        <w:pStyle w:val="4"/>
        <w:numPr>
          <w:ilvl w:val="0"/>
          <w:numId w:val="54"/>
        </w:numPr>
        <w:ind w:left="425" w:hanging="425"/>
        <w:rPr>
          <w:rFonts w:ascii="宋体" w:hAnsi="宋体"/>
        </w:rPr>
      </w:pPr>
      <w:r>
        <w:rPr>
          <w:rFonts w:ascii="宋体" w:hAnsi="宋体"/>
        </w:rPr>
        <w:t>银行间债券市场非金融企业债务融资工具</w:t>
      </w:r>
    </w:p>
    <w:sdt>
      <w:sdtPr>
        <w:rPr>
          <w:rFonts w:hint="eastAsia"/>
        </w:rPr>
        <w:alias w:val="是否适用：银行间债券市场非金融企业债务融资工具相关情况[双击切换]"/>
        <w:tag w:val="_GBC_21de753b4a2c4a71b5fb871bd9451069"/>
        <w:id w:val="706297232"/>
        <w:lock w:val="contentLocked"/>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
        <w:numPr>
          <w:ilvl w:val="0"/>
          <w:numId w:val="56"/>
        </w:numPr>
        <w:ind w:left="425" w:hanging="425"/>
        <w:rPr>
          <w:rFonts w:ascii="宋体" w:hAnsi="宋体"/>
        </w:rPr>
      </w:pPr>
      <w:r>
        <w:rPr>
          <w:rFonts w:ascii="宋体" w:hAnsi="宋体" w:cs="宋体"/>
          <w:kern w:val="0"/>
          <w:szCs w:val="24"/>
        </w:rPr>
        <w:t>非金融企业债务融资工具</w:t>
      </w:r>
      <w:r>
        <w:rPr>
          <w:rFonts w:hint="eastAsia" w:ascii="宋体" w:hAnsi="宋体" w:cs="宋体"/>
          <w:kern w:val="0"/>
          <w:szCs w:val="24"/>
        </w:rPr>
        <w:t>基本情况</w:t>
      </w:r>
      <w:r>
        <w:rPr>
          <w:rFonts w:hint="eastAsia" w:ascii="宋体" w:hAnsi="宋体"/>
        </w:rPr>
        <w:t>（截至本报告披露日）</w:t>
      </w:r>
    </w:p>
    <w:p>
      <w:pPr>
        <w:jc w:val="right"/>
      </w:pPr>
      <w:r>
        <w:rPr>
          <w:rFonts w:hint="eastAsia"/>
        </w:rPr>
        <w:t>单位</w:t>
      </w:r>
      <w:r>
        <w:t>：</w:t>
      </w:r>
      <w:bookmarkStart w:id="185" w:name="_Hlk74747055"/>
      <w:sdt>
        <w:sdtPr>
          <w:alias w:val="单位：财务附注：公司债券基本情况"/>
          <w:tag w:val="_GBC_884e3d17a93d4f28a17e15b6f3ab2280"/>
          <w:id w:val="2351312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亿元</w:t>
          </w:r>
        </w:sdtContent>
      </w:sdt>
      <w:r>
        <w:rPr>
          <w:rFonts w:hint="eastAsia"/>
        </w:rPr>
        <w:t xml:space="preserve">  币种</w:t>
      </w:r>
      <w:r>
        <w:t>：</w:t>
      </w:r>
      <w:sdt>
        <w:sdtPr>
          <w:alias w:val="币种：财务附注：公司债券基本情况"/>
          <w:tag w:val="_GBC_7485d3364dbe460ba4ab478688eb2ad1"/>
          <w:id w:val="20134912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tbl>
      <w:tblPr>
        <w:tblStyle w:val="135"/>
        <w:tblW w:w="5053"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179"/>
        <w:gridCol w:w="1296"/>
        <w:gridCol w:w="1287"/>
        <w:gridCol w:w="1287"/>
        <w:gridCol w:w="1287"/>
        <w:gridCol w:w="860"/>
        <w:gridCol w:w="1088"/>
        <w:gridCol w:w="1088"/>
        <w:gridCol w:w="897"/>
        <w:gridCol w:w="911"/>
        <w:gridCol w:w="914"/>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8f0a05f67a83409b99fda919cd29213d"/>
            <w:id w:val="-771011729"/>
          </w:sdtPr>
          <w:sdtEndPr>
            <w:rPr>
              <w:rFonts w:ascii="宋体" w:hAnsi="宋体"/>
            </w:rPr>
          </w:sdtEndPr>
          <w:sdtContent>
            <w:tc>
              <w:tcPr>
                <w:tcW w:w="432" w:type="pct"/>
                <w:vAlign w:val="center"/>
              </w:tcPr>
              <w:p>
                <w:pPr>
                  <w:jc w:val="center"/>
                  <w:rPr>
                    <w:rFonts w:ascii="宋体" w:hAnsi="宋体"/>
                    <w:b/>
                    <w:bCs/>
                  </w:rPr>
                </w:pPr>
                <w:r>
                  <w:rPr>
                    <w:rFonts w:hint="eastAsia" w:ascii="宋体" w:hAnsi="宋体"/>
                  </w:rPr>
                  <w:t>债券名称</w:t>
                </w:r>
              </w:p>
            </w:tc>
          </w:sdtContent>
        </w:sdt>
        <w:sdt>
          <w:sdtPr>
            <w:rPr>
              <w:rFonts w:ascii="宋体" w:hAnsi="宋体"/>
            </w:rPr>
            <w:tag w:val="_PLD_f840e40a8c6e4a3f8eb2abff05004188"/>
            <w:id w:val="582795851"/>
          </w:sdtPr>
          <w:sdtEndPr>
            <w:rPr>
              <w:rFonts w:ascii="宋体" w:hAnsi="宋体"/>
            </w:rPr>
          </w:sdtEndPr>
          <w:sdtContent>
            <w:tc>
              <w:tcPr>
                <w:tcW w:w="414" w:type="pct"/>
                <w:vAlign w:val="center"/>
              </w:tcPr>
              <w:p>
                <w:pPr>
                  <w:jc w:val="center"/>
                  <w:rPr>
                    <w:rFonts w:ascii="宋体" w:hAnsi="宋体"/>
                  </w:rPr>
                </w:pPr>
                <w:r>
                  <w:rPr>
                    <w:rFonts w:hint="eastAsia" w:ascii="宋体" w:hAnsi="宋体"/>
                  </w:rPr>
                  <w:t>简称</w:t>
                </w:r>
              </w:p>
            </w:tc>
          </w:sdtContent>
        </w:sdt>
        <w:sdt>
          <w:sdtPr>
            <w:rPr>
              <w:rFonts w:ascii="宋体" w:hAnsi="宋体"/>
            </w:rPr>
            <w:tag w:val="_PLD_8052789b8bbd4ddbb695042d9af8f699"/>
            <w:id w:val="301050116"/>
          </w:sdtPr>
          <w:sdtEndPr>
            <w:rPr>
              <w:rFonts w:ascii="宋体" w:hAnsi="宋体"/>
            </w:rPr>
          </w:sdtEndPr>
          <w:sdtContent>
            <w:tc>
              <w:tcPr>
                <w:tcW w:w="455" w:type="pct"/>
                <w:vAlign w:val="center"/>
              </w:tcPr>
              <w:p>
                <w:pPr>
                  <w:jc w:val="center"/>
                  <w:rPr>
                    <w:rFonts w:ascii="宋体" w:hAnsi="宋体"/>
                  </w:rPr>
                </w:pPr>
                <w:r>
                  <w:rPr>
                    <w:rFonts w:hint="eastAsia" w:ascii="宋体" w:hAnsi="宋体"/>
                  </w:rPr>
                  <w:t>代码</w:t>
                </w:r>
              </w:p>
            </w:tc>
          </w:sdtContent>
        </w:sdt>
        <w:sdt>
          <w:sdtPr>
            <w:rPr>
              <w:rFonts w:ascii="宋体" w:hAnsi="宋体"/>
            </w:rPr>
            <w:tag w:val="_PLD_8bb0b38ba9994ed99cdf8389dd1f9b11"/>
            <w:id w:val="1869881253"/>
          </w:sdtPr>
          <w:sdtEndPr>
            <w:rPr>
              <w:rFonts w:ascii="宋体" w:hAnsi="宋体"/>
            </w:rPr>
          </w:sdtEndPr>
          <w:sdtContent>
            <w:tc>
              <w:tcPr>
                <w:tcW w:w="452" w:type="pct"/>
                <w:vAlign w:val="center"/>
              </w:tcPr>
              <w:p>
                <w:pPr>
                  <w:jc w:val="center"/>
                  <w:rPr>
                    <w:rFonts w:ascii="宋体" w:hAnsi="宋体"/>
                  </w:rPr>
                </w:pPr>
                <w:r>
                  <w:rPr>
                    <w:rFonts w:hint="eastAsia" w:ascii="宋体" w:hAnsi="宋体"/>
                  </w:rPr>
                  <w:t>发行日</w:t>
                </w:r>
              </w:p>
            </w:tc>
          </w:sdtContent>
        </w:sdt>
        <w:tc>
          <w:tcPr>
            <w:tcW w:w="452" w:type="pct"/>
            <w:vAlign w:val="center"/>
          </w:tcPr>
          <w:sdt>
            <w:sdtPr>
              <w:rPr>
                <w:rFonts w:hint="eastAsia" w:ascii="宋体" w:hAnsi="宋体"/>
              </w:rPr>
              <w:tag w:val="_PLD_1c93ddf494a446caacfe1a94f229a619"/>
              <w:id w:val="1538937210"/>
            </w:sdtPr>
            <w:sdtEndPr>
              <w:rPr>
                <w:rFonts w:hint="eastAsia" w:ascii="宋体" w:hAnsi="宋体"/>
              </w:rPr>
            </w:sdtEndPr>
            <w:sdtContent>
              <w:p>
                <w:pPr>
                  <w:jc w:val="center"/>
                  <w:rPr>
                    <w:rFonts w:ascii="宋体" w:hAnsi="宋体"/>
                  </w:rPr>
                </w:pPr>
                <w:r>
                  <w:rPr>
                    <w:rFonts w:hint="eastAsia" w:ascii="宋体" w:hAnsi="宋体"/>
                  </w:rPr>
                  <w:t>起息日</w:t>
                </w:r>
              </w:p>
            </w:sdtContent>
          </w:sdt>
        </w:tc>
        <w:sdt>
          <w:sdtPr>
            <w:rPr>
              <w:rFonts w:ascii="宋体" w:hAnsi="宋体"/>
            </w:rPr>
            <w:tag w:val="_PLD_e571f53a22c844f6a390d396c52a7c81"/>
            <w:id w:val="439036730"/>
          </w:sdtPr>
          <w:sdtEndPr>
            <w:rPr>
              <w:rFonts w:ascii="宋体" w:hAnsi="宋体"/>
            </w:rPr>
          </w:sdtEndPr>
          <w:sdtContent>
            <w:tc>
              <w:tcPr>
                <w:tcW w:w="452" w:type="pct"/>
                <w:vAlign w:val="center"/>
              </w:tcPr>
              <w:p>
                <w:pPr>
                  <w:jc w:val="center"/>
                  <w:rPr>
                    <w:rFonts w:ascii="宋体" w:hAnsi="宋体"/>
                  </w:rPr>
                </w:pPr>
                <w:r>
                  <w:rPr>
                    <w:rFonts w:hint="eastAsia" w:ascii="宋体" w:hAnsi="宋体"/>
                  </w:rPr>
                  <w:t>到期日</w:t>
                </w:r>
              </w:p>
            </w:tc>
          </w:sdtContent>
        </w:sdt>
        <w:sdt>
          <w:sdtPr>
            <w:rPr>
              <w:rFonts w:ascii="宋体" w:hAnsi="宋体"/>
            </w:rPr>
            <w:tag w:val="_PLD_a234d351ca9640a2aecec10fb026b4a2"/>
            <w:id w:val="-1913768936"/>
          </w:sdtPr>
          <w:sdtEndPr>
            <w:rPr>
              <w:rFonts w:ascii="宋体" w:hAnsi="宋体"/>
            </w:rPr>
          </w:sdtEndPr>
          <w:sdtContent>
            <w:tc>
              <w:tcPr>
                <w:tcW w:w="302" w:type="pct"/>
                <w:vAlign w:val="center"/>
              </w:tcPr>
              <w:p>
                <w:pPr>
                  <w:jc w:val="center"/>
                  <w:rPr>
                    <w:rFonts w:ascii="宋体" w:hAnsi="宋体"/>
                  </w:rPr>
                </w:pPr>
                <w:r>
                  <w:rPr>
                    <w:rFonts w:hint="eastAsia" w:ascii="宋体" w:hAnsi="宋体"/>
                  </w:rPr>
                  <w:t>债券余额</w:t>
                </w:r>
              </w:p>
            </w:tc>
          </w:sdtContent>
        </w:sdt>
        <w:sdt>
          <w:sdtPr>
            <w:rPr>
              <w:rFonts w:ascii="宋体" w:hAnsi="宋体"/>
            </w:rPr>
            <w:tag w:val="_PLD_9064aedb5abb4dc38f8caba56b1b3507"/>
            <w:id w:val="-1001816013"/>
          </w:sdtPr>
          <w:sdtEndPr>
            <w:rPr>
              <w:rFonts w:ascii="宋体" w:hAnsi="宋体"/>
            </w:rPr>
          </w:sdtEndPr>
          <w:sdtContent>
            <w:tc>
              <w:tcPr>
                <w:tcW w:w="382" w:type="pct"/>
                <w:vAlign w:val="center"/>
              </w:tcPr>
              <w:p>
                <w:pPr>
                  <w:jc w:val="center"/>
                  <w:rPr>
                    <w:rFonts w:ascii="宋体" w:hAnsi="宋体"/>
                  </w:rPr>
                </w:pPr>
                <w:r>
                  <w:rPr>
                    <w:rFonts w:hint="eastAsia" w:ascii="宋体" w:hAnsi="宋体"/>
                  </w:rPr>
                  <w:t>利率（%）</w:t>
                </w:r>
              </w:p>
            </w:tc>
          </w:sdtContent>
        </w:sdt>
        <w:sdt>
          <w:sdtPr>
            <w:rPr>
              <w:rFonts w:ascii="宋体" w:hAnsi="宋体"/>
            </w:rPr>
            <w:tag w:val="_PLD_16a3a7fd70dd4a89bde0c9892d103999"/>
            <w:id w:val="-1899276626"/>
          </w:sdtPr>
          <w:sdtEndPr>
            <w:rPr>
              <w:rFonts w:ascii="宋体" w:hAnsi="宋体"/>
            </w:rPr>
          </w:sdtEndPr>
          <w:sdtContent>
            <w:tc>
              <w:tcPr>
                <w:tcW w:w="382" w:type="pct"/>
                <w:vAlign w:val="center"/>
              </w:tcPr>
              <w:p>
                <w:pPr>
                  <w:jc w:val="center"/>
                  <w:rPr>
                    <w:rFonts w:ascii="宋体" w:hAnsi="宋体"/>
                  </w:rPr>
                </w:pPr>
                <w:r>
                  <w:rPr>
                    <w:rFonts w:hint="eastAsia" w:ascii="宋体" w:hAnsi="宋体"/>
                  </w:rPr>
                  <w:t>还本付息方式</w:t>
                </w:r>
              </w:p>
            </w:tc>
          </w:sdtContent>
        </w:sdt>
        <w:sdt>
          <w:sdtPr>
            <w:rPr>
              <w:rFonts w:ascii="宋体" w:hAnsi="宋体"/>
            </w:rPr>
            <w:tag w:val="_PLD_769ac0cce9ce4794b21d2e6cfe529969"/>
            <w:id w:val="-1286648831"/>
          </w:sdtPr>
          <w:sdtEndPr>
            <w:rPr>
              <w:rFonts w:ascii="宋体" w:hAnsi="宋体"/>
            </w:rPr>
          </w:sdtEndPr>
          <w:sdtContent>
            <w:tc>
              <w:tcPr>
                <w:tcW w:w="315" w:type="pct"/>
                <w:vAlign w:val="center"/>
              </w:tcPr>
              <w:p>
                <w:pPr>
                  <w:jc w:val="center"/>
                  <w:rPr>
                    <w:rFonts w:ascii="宋体" w:hAnsi="宋体"/>
                  </w:rPr>
                </w:pPr>
                <w:r>
                  <w:rPr>
                    <w:rFonts w:hint="eastAsia" w:ascii="宋体" w:hAnsi="宋体"/>
                  </w:rPr>
                  <w:t>交易场所</w:t>
                </w:r>
              </w:p>
            </w:tc>
          </w:sdtContent>
        </w:sdt>
        <w:sdt>
          <w:sdtPr>
            <w:rPr>
              <w:rFonts w:hint="eastAsia" w:ascii="宋体" w:hAnsi="宋体"/>
            </w:rPr>
            <w:tag w:val="_PLD_f9bbde59ac554797a95320642a460be5"/>
            <w:id w:val="235208174"/>
          </w:sdtPr>
          <w:sdtEndPr>
            <w:rPr>
              <w:rFonts w:hint="eastAsia" w:ascii="宋体" w:hAnsi="宋体"/>
            </w:rPr>
          </w:sdtEndPr>
          <w:sdtContent>
            <w:tc>
              <w:tcPr>
                <w:tcW w:w="320" w:type="pct"/>
                <w:vAlign w:val="center"/>
              </w:tcPr>
              <w:p>
                <w:pPr>
                  <w:jc w:val="center"/>
                  <w:rPr>
                    <w:rFonts w:ascii="宋体" w:hAnsi="宋体"/>
                  </w:rPr>
                </w:pPr>
                <w:r>
                  <w:rPr>
                    <w:rFonts w:hint="eastAsia" w:ascii="宋体" w:hAnsi="宋体"/>
                  </w:rPr>
                  <w:t>投资者适当性安排（如有）</w:t>
                </w:r>
              </w:p>
            </w:tc>
          </w:sdtContent>
        </w:sdt>
        <w:tc>
          <w:tcPr>
            <w:tcW w:w="321" w:type="pct"/>
            <w:vAlign w:val="center"/>
          </w:tcPr>
          <w:sdt>
            <w:sdtPr>
              <w:rPr>
                <w:rFonts w:hint="eastAsia" w:ascii="宋体" w:hAnsi="宋体"/>
              </w:rPr>
              <w:tag w:val="_PLD_7adae684e69647689e0a42964f78f8b6"/>
              <w:id w:val="-229312746"/>
            </w:sdtPr>
            <w:sdtEndPr>
              <w:rPr>
                <w:rFonts w:hint="eastAsia" w:ascii="宋体" w:hAnsi="宋体"/>
              </w:rPr>
            </w:sdtEndPr>
            <w:sdtContent>
              <w:p>
                <w:pPr>
                  <w:jc w:val="center"/>
                  <w:rPr>
                    <w:rFonts w:ascii="宋体" w:hAnsi="宋体"/>
                  </w:rPr>
                </w:pPr>
                <w:r>
                  <w:rPr>
                    <w:rFonts w:hint="eastAsia" w:ascii="宋体" w:hAnsi="宋体"/>
                  </w:rPr>
                  <w:t>交易机制</w:t>
                </w:r>
              </w:p>
            </w:sdtContent>
          </w:sdt>
        </w:tc>
        <w:sdt>
          <w:sdtPr>
            <w:rPr>
              <w:rFonts w:hint="eastAsia" w:ascii="宋体" w:hAnsi="宋体"/>
            </w:rPr>
            <w:tag w:val="_PLD_8ec47c08dab24217a5e9861e5d0791f5"/>
            <w:id w:val="2047012378"/>
          </w:sdtPr>
          <w:sdtEndPr>
            <w:rPr>
              <w:rFonts w:hint="eastAsia" w:ascii="宋体" w:hAnsi="宋体"/>
            </w:rPr>
          </w:sdtEndPr>
          <w:sdtContent>
            <w:tc>
              <w:tcPr>
                <w:tcW w:w="321" w:type="pct"/>
              </w:tcPr>
              <w:p>
                <w:pPr>
                  <w:jc w:val="center"/>
                  <w:rPr>
                    <w:rFonts w:ascii="宋体" w:hAnsi="宋体"/>
                  </w:rPr>
                </w:pPr>
                <w:r>
                  <w:rPr>
                    <w:rFonts w:hint="eastAsia" w:ascii="宋体" w:hAnsi="宋体"/>
                  </w:rPr>
                  <w:t>是否存在终止上市交易的风险</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rPr>
                <w:rFonts w:ascii="宋体" w:hAnsi="宋体"/>
              </w:rPr>
            </w:pPr>
            <w:r>
              <w:rPr>
                <w:rFonts w:ascii="宋体" w:hAnsi="宋体"/>
              </w:rPr>
              <w:t>2021年度第一期中期票据</w:t>
            </w:r>
          </w:p>
        </w:tc>
        <w:tc>
          <w:tcPr>
            <w:tcW w:w="414" w:type="pct"/>
            <w:vAlign w:val="center"/>
          </w:tcPr>
          <w:p>
            <w:pPr>
              <w:rPr>
                <w:rFonts w:ascii="宋体" w:hAnsi="宋体"/>
              </w:rPr>
            </w:pPr>
            <w:r>
              <w:rPr>
                <w:rFonts w:hint="eastAsia" w:ascii="宋体" w:hAnsi="宋体"/>
              </w:rPr>
              <w:t>21兖州煤业MTN001</w:t>
            </w:r>
          </w:p>
        </w:tc>
        <w:tc>
          <w:tcPr>
            <w:tcW w:w="455" w:type="pct"/>
            <w:vAlign w:val="center"/>
          </w:tcPr>
          <w:p>
            <w:pPr>
              <w:rPr>
                <w:rFonts w:ascii="宋体" w:hAnsi="宋体"/>
              </w:rPr>
            </w:pPr>
            <w:r>
              <w:rPr>
                <w:rFonts w:hint="eastAsia" w:ascii="宋体" w:hAnsi="宋体"/>
              </w:rPr>
              <w:t>102101379</w:t>
            </w:r>
          </w:p>
        </w:tc>
        <w:tc>
          <w:tcPr>
            <w:tcW w:w="452" w:type="pct"/>
            <w:vAlign w:val="center"/>
          </w:tcPr>
          <w:p>
            <w:pPr>
              <w:rPr>
                <w:rFonts w:ascii="宋体" w:hAnsi="宋体"/>
              </w:rPr>
            </w:pPr>
            <w:r>
              <w:rPr>
                <w:rFonts w:hint="eastAsia" w:ascii="宋体" w:hAnsi="宋体"/>
              </w:rPr>
              <w:t>2021/07/22</w:t>
            </w:r>
          </w:p>
        </w:tc>
        <w:tc>
          <w:tcPr>
            <w:tcW w:w="452" w:type="pct"/>
            <w:vAlign w:val="center"/>
          </w:tcPr>
          <w:p>
            <w:pPr>
              <w:rPr>
                <w:rFonts w:ascii="宋体" w:hAnsi="宋体"/>
              </w:rPr>
            </w:pPr>
            <w:r>
              <w:rPr>
                <w:rFonts w:hint="eastAsia" w:ascii="宋体" w:hAnsi="宋体"/>
              </w:rPr>
              <w:t>2021/07/26</w:t>
            </w:r>
          </w:p>
        </w:tc>
        <w:tc>
          <w:tcPr>
            <w:tcW w:w="452" w:type="pct"/>
            <w:vAlign w:val="center"/>
          </w:tcPr>
          <w:p>
            <w:pPr>
              <w:rPr>
                <w:rFonts w:ascii="宋体" w:hAnsi="宋体"/>
              </w:rPr>
            </w:pPr>
            <w:r>
              <w:rPr>
                <w:rFonts w:hint="eastAsia" w:ascii="宋体" w:hAnsi="宋体"/>
              </w:rPr>
              <w:t>2026/07/26</w:t>
            </w:r>
          </w:p>
        </w:tc>
        <w:tc>
          <w:tcPr>
            <w:tcW w:w="302" w:type="pct"/>
            <w:vAlign w:val="center"/>
          </w:tcPr>
          <w:p>
            <w:pPr>
              <w:jc w:val="right"/>
              <w:rPr>
                <w:rFonts w:ascii="宋体" w:hAnsi="宋体"/>
              </w:rPr>
            </w:pPr>
            <w:r>
              <w:rPr>
                <w:rFonts w:hint="eastAsia" w:ascii="宋体" w:hAnsi="宋体"/>
              </w:rPr>
              <w:t>20</w:t>
            </w:r>
          </w:p>
        </w:tc>
        <w:tc>
          <w:tcPr>
            <w:tcW w:w="382" w:type="pct"/>
            <w:vAlign w:val="center"/>
          </w:tcPr>
          <w:p>
            <w:pPr>
              <w:jc w:val="right"/>
              <w:rPr>
                <w:rFonts w:ascii="宋体" w:hAnsi="宋体"/>
              </w:rPr>
            </w:pPr>
            <w:r>
              <w:rPr>
                <w:rFonts w:hint="eastAsia" w:ascii="宋体" w:hAnsi="宋体"/>
              </w:rPr>
              <w:t>3.80</w:t>
            </w:r>
          </w:p>
        </w:tc>
        <w:tc>
          <w:tcPr>
            <w:tcW w:w="382" w:type="pct"/>
            <w:vAlign w:val="center"/>
          </w:tcPr>
          <w:p>
            <w:pPr>
              <w:rPr>
                <w:rFonts w:ascii="宋体" w:hAnsi="宋体"/>
              </w:rPr>
            </w:pPr>
            <w:r>
              <w:rPr>
                <w:rFonts w:hint="eastAsia" w:ascii="宋体" w:hAnsi="宋体"/>
              </w:rPr>
              <w:t>每年付息一次，到期一次还本，最后一期利息随本金一起支付</w:t>
            </w:r>
          </w:p>
        </w:tc>
        <w:tc>
          <w:tcPr>
            <w:tcW w:w="315" w:type="pct"/>
            <w:vAlign w:val="center"/>
          </w:tcPr>
          <w:p>
            <w:pPr>
              <w:rPr>
                <w:rFonts w:ascii="宋体" w:hAnsi="宋体"/>
              </w:rPr>
            </w:pPr>
            <w:r>
              <w:rPr>
                <w:rFonts w:hint="eastAsia" w:ascii="宋体" w:hAnsi="宋体"/>
              </w:rPr>
              <w:t>银行间债券市场</w:t>
            </w:r>
          </w:p>
        </w:tc>
        <w:tc>
          <w:tcPr>
            <w:tcW w:w="320" w:type="pct"/>
            <w:vAlign w:val="center"/>
          </w:tcPr>
          <w:p>
            <w:pPr>
              <w:rPr>
                <w:rFonts w:ascii="宋体" w:hAnsi="宋体"/>
              </w:rPr>
            </w:pPr>
            <w:r>
              <w:rPr>
                <w:rFonts w:hint="eastAsia" w:ascii="宋体" w:hAnsi="宋体"/>
              </w:rPr>
              <w:t>面向银行间债券市场的机构投资者</w:t>
            </w:r>
          </w:p>
        </w:tc>
        <w:tc>
          <w:tcPr>
            <w:tcW w:w="321" w:type="pct"/>
            <w:vAlign w:val="center"/>
          </w:tcPr>
          <w:p>
            <w:pPr>
              <w:rPr>
                <w:rFonts w:ascii="宋体" w:hAnsi="宋体"/>
              </w:rPr>
            </w:pPr>
            <w:r>
              <w:rPr>
                <w:rFonts w:hint="eastAsia" w:ascii="宋体" w:hAnsi="宋体"/>
              </w:rPr>
              <w:t>全国银行间债券市场流通转让</w:t>
            </w:r>
          </w:p>
        </w:tc>
        <w:sdt>
          <w:sdtPr>
            <w:rPr>
              <w:rFonts w:ascii="宋体" w:hAnsi="宋体"/>
            </w:rPr>
            <w:alias w:val="公司债券基本情况明细_是否存在终止上市交易的风险 "/>
            <w:tag w:val="_GBC_84566e03e8f34420b9b1e1fc13683b26"/>
            <w:id w:val="-618681201"/>
            <w:comboBox>
              <w:listItem w:displayText="是" w:value="是"/>
              <w:listItem w:displayText="否" w:value="否"/>
            </w:comboBox>
          </w:sdtPr>
          <w:sdtEndPr>
            <w:rPr>
              <w:rFonts w:ascii="宋体" w:hAnsi="宋体"/>
            </w:rPr>
          </w:sdtEndPr>
          <w:sdtContent>
            <w:tc>
              <w:tcPr>
                <w:tcW w:w="321" w:type="pct"/>
                <w:vAlign w:val="center"/>
              </w:tcPr>
              <w:p>
                <w:pPr>
                  <w:rPr>
                    <w:rFonts w:ascii="宋体" w:hAnsi="宋体"/>
                  </w:rPr>
                </w:pPr>
                <w:r>
                  <w:rPr>
                    <w:rFonts w:ascii="宋体" w:hAnsi="宋体"/>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rPr>
                <w:rFonts w:ascii="宋体" w:hAnsi="宋体"/>
              </w:rPr>
            </w:pPr>
            <w:r>
              <w:rPr>
                <w:rFonts w:ascii="宋体" w:hAnsi="宋体"/>
              </w:rPr>
              <w:t>2021年度第二期中期票据</w:t>
            </w:r>
            <w:r>
              <w:rPr>
                <w:rFonts w:hint="eastAsia" w:ascii="宋体" w:hAnsi="宋体"/>
                <w:vertAlign w:val="superscript"/>
              </w:rPr>
              <w:t>①</w:t>
            </w:r>
          </w:p>
        </w:tc>
        <w:tc>
          <w:tcPr>
            <w:tcW w:w="414" w:type="pct"/>
            <w:vAlign w:val="center"/>
          </w:tcPr>
          <w:p>
            <w:pPr>
              <w:rPr>
                <w:rFonts w:ascii="宋体" w:hAnsi="宋体"/>
              </w:rPr>
            </w:pPr>
            <w:r>
              <w:rPr>
                <w:rFonts w:hint="eastAsia" w:ascii="宋体" w:hAnsi="宋体"/>
              </w:rPr>
              <w:t>21兖州煤业MTN002</w:t>
            </w:r>
          </w:p>
        </w:tc>
        <w:tc>
          <w:tcPr>
            <w:tcW w:w="455" w:type="pct"/>
            <w:vAlign w:val="center"/>
          </w:tcPr>
          <w:p>
            <w:pPr>
              <w:rPr>
                <w:rFonts w:ascii="宋体" w:hAnsi="宋体"/>
              </w:rPr>
            </w:pPr>
            <w:r>
              <w:rPr>
                <w:rFonts w:hint="eastAsia" w:ascii="宋体" w:hAnsi="宋体"/>
              </w:rPr>
              <w:t>102103102</w:t>
            </w:r>
          </w:p>
        </w:tc>
        <w:tc>
          <w:tcPr>
            <w:tcW w:w="452" w:type="pct"/>
            <w:vAlign w:val="center"/>
          </w:tcPr>
          <w:p>
            <w:pPr>
              <w:rPr>
                <w:rFonts w:ascii="宋体" w:hAnsi="宋体"/>
              </w:rPr>
            </w:pPr>
            <w:r>
              <w:rPr>
                <w:rFonts w:hint="eastAsia" w:ascii="宋体" w:hAnsi="宋体"/>
              </w:rPr>
              <w:t>2021/11/24</w:t>
            </w:r>
          </w:p>
        </w:tc>
        <w:tc>
          <w:tcPr>
            <w:tcW w:w="452" w:type="pct"/>
            <w:vAlign w:val="center"/>
          </w:tcPr>
          <w:p>
            <w:pPr>
              <w:rPr>
                <w:rFonts w:ascii="宋体" w:hAnsi="宋体"/>
              </w:rPr>
            </w:pPr>
            <w:r>
              <w:rPr>
                <w:rFonts w:hint="eastAsia" w:ascii="宋体" w:hAnsi="宋体"/>
              </w:rPr>
              <w:t>2021/11/26</w:t>
            </w:r>
          </w:p>
        </w:tc>
        <w:tc>
          <w:tcPr>
            <w:tcW w:w="452" w:type="pct"/>
            <w:vAlign w:val="center"/>
          </w:tcPr>
          <w:p>
            <w:pPr>
              <w:rPr>
                <w:rFonts w:ascii="宋体" w:hAnsi="宋体"/>
              </w:rPr>
            </w:pPr>
            <w:r>
              <w:rPr>
                <w:rFonts w:hint="eastAsia" w:ascii="宋体" w:hAnsi="宋体"/>
              </w:rPr>
              <w:t>2024/11/26</w:t>
            </w:r>
          </w:p>
        </w:tc>
        <w:tc>
          <w:tcPr>
            <w:tcW w:w="302" w:type="pct"/>
            <w:vAlign w:val="center"/>
          </w:tcPr>
          <w:p>
            <w:pPr>
              <w:jc w:val="right"/>
              <w:rPr>
                <w:rFonts w:ascii="宋体" w:hAnsi="宋体"/>
              </w:rPr>
            </w:pPr>
            <w:r>
              <w:rPr>
                <w:rFonts w:hint="eastAsia" w:ascii="宋体" w:hAnsi="宋体"/>
              </w:rPr>
              <w:t>20</w:t>
            </w:r>
          </w:p>
        </w:tc>
        <w:tc>
          <w:tcPr>
            <w:tcW w:w="382" w:type="pct"/>
            <w:vAlign w:val="center"/>
          </w:tcPr>
          <w:p>
            <w:pPr>
              <w:jc w:val="right"/>
              <w:rPr>
                <w:rFonts w:ascii="宋体" w:hAnsi="宋体"/>
              </w:rPr>
            </w:pPr>
            <w:r>
              <w:rPr>
                <w:rFonts w:hint="eastAsia" w:ascii="宋体" w:hAnsi="宋体"/>
              </w:rPr>
              <w:t>3.67</w:t>
            </w:r>
          </w:p>
        </w:tc>
        <w:tc>
          <w:tcPr>
            <w:tcW w:w="382" w:type="pct"/>
            <w:vAlign w:val="center"/>
          </w:tcPr>
          <w:p>
            <w:pPr>
              <w:rPr>
                <w:rFonts w:ascii="宋体" w:hAnsi="宋体"/>
              </w:rPr>
            </w:pPr>
            <w:r>
              <w:rPr>
                <w:rFonts w:hint="eastAsia" w:ascii="宋体" w:hAnsi="宋体"/>
              </w:rPr>
              <w:t>每年付息一次，到期一次还本，最后一期利息随本金一起支付</w:t>
            </w:r>
          </w:p>
        </w:tc>
        <w:tc>
          <w:tcPr>
            <w:tcW w:w="315" w:type="pct"/>
            <w:vAlign w:val="center"/>
          </w:tcPr>
          <w:p>
            <w:pPr>
              <w:rPr>
                <w:rFonts w:ascii="宋体" w:hAnsi="宋体"/>
              </w:rPr>
            </w:pPr>
            <w:r>
              <w:rPr>
                <w:rFonts w:hint="eastAsia" w:ascii="宋体" w:hAnsi="宋体"/>
              </w:rPr>
              <w:t>银行间债券市场</w:t>
            </w:r>
          </w:p>
        </w:tc>
        <w:tc>
          <w:tcPr>
            <w:tcW w:w="320" w:type="pct"/>
            <w:vAlign w:val="center"/>
          </w:tcPr>
          <w:p>
            <w:pPr>
              <w:rPr>
                <w:rFonts w:ascii="宋体" w:hAnsi="宋体"/>
              </w:rPr>
            </w:pPr>
            <w:r>
              <w:rPr>
                <w:rFonts w:hint="eastAsia" w:ascii="宋体" w:hAnsi="宋体"/>
              </w:rPr>
              <w:t>面向银行间债券市场的机构投资者</w:t>
            </w:r>
          </w:p>
        </w:tc>
        <w:tc>
          <w:tcPr>
            <w:tcW w:w="321" w:type="pct"/>
            <w:vAlign w:val="center"/>
          </w:tcPr>
          <w:p>
            <w:pPr>
              <w:rPr>
                <w:rFonts w:ascii="宋体" w:hAnsi="宋体"/>
              </w:rPr>
            </w:pPr>
            <w:r>
              <w:rPr>
                <w:rFonts w:hint="eastAsia" w:ascii="宋体" w:hAnsi="宋体"/>
              </w:rPr>
              <w:t>全国银行间债券市场流通转让</w:t>
            </w:r>
          </w:p>
        </w:tc>
        <w:sdt>
          <w:sdtPr>
            <w:rPr>
              <w:rFonts w:ascii="宋体" w:hAnsi="宋体"/>
            </w:rPr>
            <w:alias w:val="公司债券基本情况明细_是否存在终止上市交易的风险 "/>
            <w:tag w:val="_GBC_84566e03e8f34420b9b1e1fc13683b26"/>
            <w:id w:val="1423770590"/>
            <w:comboBox>
              <w:listItem w:displayText="是" w:value="是"/>
              <w:listItem w:displayText="否" w:value="否"/>
            </w:comboBox>
          </w:sdtPr>
          <w:sdtEndPr>
            <w:rPr>
              <w:rFonts w:ascii="宋体" w:hAnsi="宋体"/>
            </w:rPr>
          </w:sdtEndPr>
          <w:sdtContent>
            <w:tc>
              <w:tcPr>
                <w:tcW w:w="321" w:type="pct"/>
                <w:vAlign w:val="center"/>
              </w:tcPr>
              <w:p>
                <w:pPr>
                  <w:rPr>
                    <w:rFonts w:ascii="宋体" w:hAnsi="宋体"/>
                  </w:rPr>
                </w:pPr>
                <w:r>
                  <w:rPr>
                    <w:rFonts w:ascii="宋体" w:hAnsi="宋体"/>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rPr>
                <w:rFonts w:ascii="宋体" w:hAnsi="宋体"/>
              </w:rPr>
            </w:pPr>
            <w:r>
              <w:rPr>
                <w:rFonts w:ascii="宋体" w:hAnsi="宋体"/>
              </w:rPr>
              <w:t>2022年度第一期中期票据(品种一)</w:t>
            </w:r>
            <w:r>
              <w:rPr>
                <w:rFonts w:hint="eastAsia" w:ascii="宋体" w:hAnsi="宋体"/>
                <w:vertAlign w:val="superscript"/>
              </w:rPr>
              <w:t>②</w:t>
            </w:r>
          </w:p>
        </w:tc>
        <w:tc>
          <w:tcPr>
            <w:tcW w:w="414" w:type="pct"/>
            <w:vAlign w:val="center"/>
          </w:tcPr>
          <w:p>
            <w:pPr>
              <w:rPr>
                <w:rFonts w:ascii="宋体" w:hAnsi="宋体"/>
              </w:rPr>
            </w:pPr>
            <w:r>
              <w:rPr>
                <w:rFonts w:ascii="宋体" w:hAnsi="宋体" w:cs="Arial"/>
                <w:color w:val="333333"/>
                <w:shd w:val="clear" w:color="auto" w:fill="FFFFFF"/>
              </w:rPr>
              <w:t>22</w:t>
            </w:r>
            <w:r>
              <w:rPr>
                <w:rFonts w:hint="eastAsia" w:ascii="宋体" w:hAnsi="宋体" w:cs="Arial"/>
                <w:color w:val="333333"/>
                <w:shd w:val="clear" w:color="auto" w:fill="FFFFFF"/>
              </w:rPr>
              <w:t>兖矿能源</w:t>
            </w:r>
            <w:r>
              <w:rPr>
                <w:rFonts w:ascii="宋体" w:hAnsi="宋体" w:cs="Arial"/>
                <w:color w:val="333333"/>
                <w:shd w:val="clear" w:color="auto" w:fill="FFFFFF"/>
              </w:rPr>
              <w:t>MTN001A</w:t>
            </w:r>
          </w:p>
        </w:tc>
        <w:tc>
          <w:tcPr>
            <w:tcW w:w="455" w:type="pct"/>
            <w:vAlign w:val="center"/>
          </w:tcPr>
          <w:p>
            <w:pPr>
              <w:rPr>
                <w:rFonts w:ascii="宋体" w:hAnsi="宋体"/>
              </w:rPr>
            </w:pPr>
            <w:r>
              <w:rPr>
                <w:rFonts w:ascii="宋体" w:hAnsi="宋体" w:cs="Arial"/>
                <w:color w:val="333333"/>
                <w:shd w:val="clear" w:color="auto" w:fill="FFFFFF"/>
              </w:rPr>
              <w:t>102281098</w:t>
            </w:r>
          </w:p>
        </w:tc>
        <w:tc>
          <w:tcPr>
            <w:tcW w:w="452" w:type="pct"/>
            <w:vAlign w:val="center"/>
          </w:tcPr>
          <w:p>
            <w:pPr>
              <w:rPr>
                <w:rFonts w:ascii="宋体" w:hAnsi="宋体"/>
              </w:rPr>
            </w:pPr>
            <w:r>
              <w:rPr>
                <w:rFonts w:ascii="宋体" w:hAnsi="宋体" w:cs="Arial"/>
                <w:color w:val="333333"/>
                <w:shd w:val="clear" w:color="auto" w:fill="FFFFFF"/>
              </w:rPr>
              <w:t>2022/05/18</w:t>
            </w:r>
          </w:p>
        </w:tc>
        <w:tc>
          <w:tcPr>
            <w:tcW w:w="452" w:type="pct"/>
            <w:vAlign w:val="center"/>
          </w:tcPr>
          <w:p>
            <w:pPr>
              <w:rPr>
                <w:rFonts w:ascii="宋体" w:hAnsi="宋体"/>
              </w:rPr>
            </w:pPr>
            <w:r>
              <w:rPr>
                <w:rFonts w:ascii="宋体" w:hAnsi="宋体" w:cs="Arial"/>
                <w:color w:val="333333"/>
                <w:shd w:val="clear" w:color="auto" w:fill="FFFFFF"/>
              </w:rPr>
              <w:t>2022/05/20</w:t>
            </w:r>
          </w:p>
        </w:tc>
        <w:tc>
          <w:tcPr>
            <w:tcW w:w="452" w:type="pct"/>
            <w:vAlign w:val="center"/>
          </w:tcPr>
          <w:p>
            <w:pPr>
              <w:rPr>
                <w:rFonts w:ascii="宋体" w:hAnsi="宋体"/>
              </w:rPr>
            </w:pPr>
            <w:r>
              <w:rPr>
                <w:rFonts w:ascii="宋体" w:hAnsi="宋体" w:cs="Arial"/>
                <w:color w:val="333333"/>
                <w:shd w:val="clear" w:color="auto" w:fill="FFFFFF"/>
              </w:rPr>
              <w:t>2025/05/20</w:t>
            </w:r>
          </w:p>
        </w:tc>
        <w:tc>
          <w:tcPr>
            <w:tcW w:w="302" w:type="pct"/>
            <w:vAlign w:val="center"/>
          </w:tcPr>
          <w:p>
            <w:pPr>
              <w:jc w:val="right"/>
              <w:rPr>
                <w:rFonts w:ascii="宋体" w:hAnsi="宋体"/>
              </w:rPr>
            </w:pPr>
            <w:r>
              <w:rPr>
                <w:rFonts w:hint="eastAsia" w:ascii="宋体" w:hAnsi="宋体"/>
              </w:rPr>
              <w:t>25</w:t>
            </w:r>
          </w:p>
        </w:tc>
        <w:tc>
          <w:tcPr>
            <w:tcW w:w="382" w:type="pct"/>
            <w:vAlign w:val="center"/>
          </w:tcPr>
          <w:p>
            <w:pPr>
              <w:jc w:val="right"/>
              <w:rPr>
                <w:rFonts w:ascii="宋体" w:hAnsi="宋体"/>
              </w:rPr>
            </w:pPr>
            <w:r>
              <w:rPr>
                <w:rFonts w:ascii="宋体" w:hAnsi="宋体" w:cs="Arial"/>
                <w:color w:val="333333"/>
                <w:shd w:val="clear" w:color="auto" w:fill="FFFFFF"/>
              </w:rPr>
              <w:t>3.28</w:t>
            </w:r>
          </w:p>
        </w:tc>
        <w:tc>
          <w:tcPr>
            <w:tcW w:w="382" w:type="pct"/>
            <w:vAlign w:val="center"/>
          </w:tcPr>
          <w:p>
            <w:pPr>
              <w:rPr>
                <w:rFonts w:ascii="宋体" w:hAnsi="宋体"/>
              </w:rPr>
            </w:pPr>
            <w:r>
              <w:rPr>
                <w:rFonts w:hint="eastAsia" w:ascii="宋体" w:hAnsi="宋体"/>
              </w:rPr>
              <w:t>每年付息一次，到期一次还本，最后一期利息随本金一起支付</w:t>
            </w:r>
          </w:p>
        </w:tc>
        <w:tc>
          <w:tcPr>
            <w:tcW w:w="315" w:type="pct"/>
            <w:vAlign w:val="center"/>
          </w:tcPr>
          <w:p>
            <w:pPr>
              <w:rPr>
                <w:rFonts w:ascii="宋体" w:hAnsi="宋体"/>
              </w:rPr>
            </w:pPr>
            <w:r>
              <w:rPr>
                <w:rFonts w:hint="eastAsia" w:ascii="宋体" w:hAnsi="宋体"/>
              </w:rPr>
              <w:t>银行间债券市场</w:t>
            </w:r>
          </w:p>
        </w:tc>
        <w:tc>
          <w:tcPr>
            <w:tcW w:w="320" w:type="pct"/>
            <w:vAlign w:val="center"/>
          </w:tcPr>
          <w:p>
            <w:pPr>
              <w:rPr>
                <w:rFonts w:ascii="宋体" w:hAnsi="宋体"/>
              </w:rPr>
            </w:pPr>
            <w:r>
              <w:rPr>
                <w:rFonts w:hint="eastAsia" w:ascii="宋体" w:hAnsi="宋体"/>
              </w:rPr>
              <w:t>面向银行间债券市场的机构投资者</w:t>
            </w:r>
          </w:p>
        </w:tc>
        <w:tc>
          <w:tcPr>
            <w:tcW w:w="321" w:type="pct"/>
            <w:vAlign w:val="center"/>
          </w:tcPr>
          <w:p>
            <w:pPr>
              <w:rPr>
                <w:rFonts w:ascii="宋体" w:hAnsi="宋体"/>
              </w:rPr>
            </w:pPr>
            <w:r>
              <w:rPr>
                <w:rFonts w:hint="eastAsia" w:ascii="宋体" w:hAnsi="宋体"/>
              </w:rPr>
              <w:t>全国银行间债券市场流通转让</w:t>
            </w:r>
          </w:p>
        </w:tc>
        <w:tc>
          <w:tcPr>
            <w:tcW w:w="321" w:type="pct"/>
            <w:vAlign w:val="center"/>
          </w:tcPr>
          <w:p>
            <w:pP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rPr>
                <w:rFonts w:ascii="宋体" w:hAnsi="宋体"/>
              </w:rPr>
            </w:pPr>
            <w:r>
              <w:rPr>
                <w:rFonts w:ascii="宋体" w:hAnsi="宋体"/>
              </w:rPr>
              <w:t>2022年度第一期中期票据(品种二)</w:t>
            </w:r>
            <w:r>
              <w:rPr>
                <w:rFonts w:hint="eastAsia" w:ascii="宋体" w:hAnsi="宋体"/>
                <w:vertAlign w:val="superscript"/>
              </w:rPr>
              <w:t>③</w:t>
            </w:r>
          </w:p>
        </w:tc>
        <w:tc>
          <w:tcPr>
            <w:tcW w:w="414" w:type="pct"/>
            <w:vAlign w:val="center"/>
          </w:tcPr>
          <w:p>
            <w:pPr>
              <w:rPr>
                <w:rFonts w:ascii="宋体" w:hAnsi="宋体"/>
              </w:rPr>
            </w:pPr>
            <w:r>
              <w:rPr>
                <w:rFonts w:ascii="宋体" w:hAnsi="宋体" w:cs="Arial"/>
                <w:color w:val="333333"/>
                <w:shd w:val="clear" w:color="auto" w:fill="FFFFFF"/>
              </w:rPr>
              <w:t>22</w:t>
            </w:r>
            <w:r>
              <w:rPr>
                <w:rFonts w:hint="eastAsia" w:ascii="宋体" w:hAnsi="宋体" w:cs="Arial"/>
                <w:color w:val="333333"/>
                <w:shd w:val="clear" w:color="auto" w:fill="FFFFFF"/>
              </w:rPr>
              <w:t>兖矿能源</w:t>
            </w:r>
            <w:r>
              <w:rPr>
                <w:rFonts w:ascii="宋体" w:hAnsi="宋体" w:cs="Arial"/>
                <w:color w:val="333333"/>
                <w:shd w:val="clear" w:color="auto" w:fill="FFFFFF"/>
              </w:rPr>
              <w:t>MTN001B</w:t>
            </w:r>
          </w:p>
        </w:tc>
        <w:tc>
          <w:tcPr>
            <w:tcW w:w="455" w:type="pct"/>
            <w:vAlign w:val="center"/>
          </w:tcPr>
          <w:p>
            <w:pPr>
              <w:rPr>
                <w:rFonts w:ascii="宋体" w:hAnsi="宋体"/>
              </w:rPr>
            </w:pPr>
            <w:r>
              <w:rPr>
                <w:rFonts w:ascii="宋体" w:hAnsi="宋体" w:cs="Arial"/>
                <w:color w:val="333333"/>
                <w:shd w:val="clear" w:color="auto" w:fill="FFFFFF"/>
              </w:rPr>
              <w:t>102281099</w:t>
            </w:r>
          </w:p>
        </w:tc>
        <w:tc>
          <w:tcPr>
            <w:tcW w:w="452" w:type="pct"/>
            <w:vAlign w:val="center"/>
          </w:tcPr>
          <w:p>
            <w:pPr>
              <w:rPr>
                <w:rFonts w:ascii="宋体" w:hAnsi="宋体"/>
              </w:rPr>
            </w:pPr>
            <w:r>
              <w:rPr>
                <w:rFonts w:ascii="宋体" w:hAnsi="宋体" w:cs="Arial"/>
                <w:color w:val="333333"/>
                <w:shd w:val="clear" w:color="auto" w:fill="FFFFFF"/>
              </w:rPr>
              <w:t>2022/05/18</w:t>
            </w:r>
          </w:p>
        </w:tc>
        <w:tc>
          <w:tcPr>
            <w:tcW w:w="452" w:type="pct"/>
            <w:vAlign w:val="center"/>
          </w:tcPr>
          <w:p>
            <w:pPr>
              <w:rPr>
                <w:rFonts w:ascii="宋体" w:hAnsi="宋体"/>
              </w:rPr>
            </w:pPr>
            <w:r>
              <w:rPr>
                <w:rFonts w:ascii="宋体" w:hAnsi="宋体" w:cs="Arial"/>
                <w:color w:val="333333"/>
                <w:shd w:val="clear" w:color="auto" w:fill="FFFFFF"/>
              </w:rPr>
              <w:t>2022/05/20</w:t>
            </w:r>
          </w:p>
        </w:tc>
        <w:tc>
          <w:tcPr>
            <w:tcW w:w="452" w:type="pct"/>
            <w:vAlign w:val="center"/>
          </w:tcPr>
          <w:p>
            <w:pPr>
              <w:rPr>
                <w:rFonts w:ascii="宋体" w:hAnsi="宋体"/>
              </w:rPr>
            </w:pPr>
            <w:r>
              <w:rPr>
                <w:rFonts w:ascii="宋体" w:hAnsi="宋体" w:cs="Arial"/>
                <w:color w:val="333333"/>
                <w:shd w:val="clear" w:color="auto" w:fill="FFFFFF"/>
              </w:rPr>
              <w:t>2027/05/20</w:t>
            </w:r>
          </w:p>
        </w:tc>
        <w:tc>
          <w:tcPr>
            <w:tcW w:w="302" w:type="pct"/>
            <w:vAlign w:val="center"/>
          </w:tcPr>
          <w:p>
            <w:pPr>
              <w:jc w:val="right"/>
              <w:rPr>
                <w:rFonts w:ascii="宋体" w:hAnsi="宋体"/>
              </w:rPr>
            </w:pPr>
            <w:r>
              <w:rPr>
                <w:rFonts w:hint="eastAsia" w:ascii="宋体" w:hAnsi="宋体"/>
              </w:rPr>
              <w:t>5</w:t>
            </w:r>
          </w:p>
        </w:tc>
        <w:tc>
          <w:tcPr>
            <w:tcW w:w="382" w:type="pct"/>
            <w:vAlign w:val="center"/>
          </w:tcPr>
          <w:p>
            <w:pPr>
              <w:jc w:val="right"/>
              <w:rPr>
                <w:rFonts w:ascii="宋体" w:hAnsi="宋体"/>
              </w:rPr>
            </w:pPr>
            <w:r>
              <w:rPr>
                <w:rFonts w:hint="eastAsia" w:ascii="宋体" w:hAnsi="宋体"/>
              </w:rPr>
              <w:t>3.71</w:t>
            </w:r>
          </w:p>
        </w:tc>
        <w:tc>
          <w:tcPr>
            <w:tcW w:w="382" w:type="pct"/>
            <w:vAlign w:val="center"/>
          </w:tcPr>
          <w:p>
            <w:pPr>
              <w:rPr>
                <w:rFonts w:ascii="宋体" w:hAnsi="宋体"/>
              </w:rPr>
            </w:pPr>
            <w:r>
              <w:rPr>
                <w:rFonts w:hint="eastAsia" w:ascii="宋体" w:hAnsi="宋体"/>
              </w:rPr>
              <w:t>每年付息一次，到期一次还本，最后一期利息随本金一起支付</w:t>
            </w:r>
          </w:p>
        </w:tc>
        <w:tc>
          <w:tcPr>
            <w:tcW w:w="315" w:type="pct"/>
            <w:vAlign w:val="center"/>
          </w:tcPr>
          <w:p>
            <w:pPr>
              <w:rPr>
                <w:rFonts w:ascii="宋体" w:hAnsi="宋体"/>
              </w:rPr>
            </w:pPr>
            <w:r>
              <w:rPr>
                <w:rFonts w:hint="eastAsia" w:ascii="宋体" w:hAnsi="宋体"/>
              </w:rPr>
              <w:t>银行间债券市场</w:t>
            </w:r>
          </w:p>
        </w:tc>
        <w:tc>
          <w:tcPr>
            <w:tcW w:w="320" w:type="pct"/>
            <w:vAlign w:val="center"/>
          </w:tcPr>
          <w:p>
            <w:pPr>
              <w:rPr>
                <w:rFonts w:ascii="宋体" w:hAnsi="宋体"/>
              </w:rPr>
            </w:pPr>
            <w:r>
              <w:rPr>
                <w:rFonts w:hint="eastAsia" w:ascii="宋体" w:hAnsi="宋体"/>
              </w:rPr>
              <w:t>面向银行间债券市场的机构投资者</w:t>
            </w:r>
          </w:p>
        </w:tc>
        <w:tc>
          <w:tcPr>
            <w:tcW w:w="321" w:type="pct"/>
            <w:vAlign w:val="center"/>
          </w:tcPr>
          <w:p>
            <w:pPr>
              <w:rPr>
                <w:rFonts w:ascii="宋体" w:hAnsi="宋体"/>
              </w:rPr>
            </w:pPr>
            <w:r>
              <w:rPr>
                <w:rFonts w:hint="eastAsia" w:ascii="宋体" w:hAnsi="宋体"/>
              </w:rPr>
              <w:t>全国银行间债券市场流通转让</w:t>
            </w:r>
          </w:p>
        </w:tc>
        <w:tc>
          <w:tcPr>
            <w:tcW w:w="321" w:type="pct"/>
            <w:vAlign w:val="center"/>
          </w:tcPr>
          <w:p>
            <w:pP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rPr>
                <w:rFonts w:ascii="宋体" w:hAnsi="宋体"/>
              </w:rPr>
            </w:pPr>
            <w:r>
              <w:rPr>
                <w:rFonts w:ascii="宋体" w:hAnsi="宋体"/>
              </w:rPr>
              <w:t>2022年度第二期中期票据</w:t>
            </w:r>
            <w:r>
              <w:rPr>
                <w:rFonts w:hint="eastAsia" w:ascii="宋体" w:hAnsi="宋体"/>
                <w:vertAlign w:val="superscript"/>
              </w:rPr>
              <w:t>④</w:t>
            </w:r>
          </w:p>
        </w:tc>
        <w:tc>
          <w:tcPr>
            <w:tcW w:w="414" w:type="pct"/>
            <w:vAlign w:val="center"/>
          </w:tcPr>
          <w:p>
            <w:pPr>
              <w:rPr>
                <w:rFonts w:ascii="宋体" w:hAnsi="宋体"/>
              </w:rPr>
            </w:pPr>
            <w:r>
              <w:rPr>
                <w:rFonts w:ascii="宋体" w:hAnsi="宋体" w:cs="Arial"/>
                <w:color w:val="333333"/>
                <w:shd w:val="clear" w:color="auto" w:fill="FFFFFF"/>
              </w:rPr>
              <w:t>22</w:t>
            </w:r>
            <w:r>
              <w:rPr>
                <w:rFonts w:hint="eastAsia" w:ascii="宋体" w:hAnsi="宋体" w:cs="Arial"/>
                <w:color w:val="333333"/>
                <w:shd w:val="clear" w:color="auto" w:fill="FFFFFF"/>
              </w:rPr>
              <w:t>兖矿能源</w:t>
            </w:r>
            <w:r>
              <w:rPr>
                <w:rFonts w:ascii="宋体" w:hAnsi="宋体" w:cs="Arial"/>
                <w:color w:val="333333"/>
                <w:shd w:val="clear" w:color="auto" w:fill="FFFFFF"/>
              </w:rPr>
              <w:t>MTN002</w:t>
            </w:r>
          </w:p>
        </w:tc>
        <w:tc>
          <w:tcPr>
            <w:tcW w:w="455" w:type="pct"/>
            <w:vAlign w:val="center"/>
          </w:tcPr>
          <w:p>
            <w:pPr>
              <w:rPr>
                <w:rFonts w:ascii="宋体" w:hAnsi="宋体"/>
              </w:rPr>
            </w:pPr>
            <w:r>
              <w:rPr>
                <w:rFonts w:ascii="宋体" w:hAnsi="宋体" w:cs="Arial"/>
                <w:color w:val="333333"/>
                <w:shd w:val="clear" w:color="auto" w:fill="FFFFFF"/>
              </w:rPr>
              <w:t>102281229</w:t>
            </w:r>
          </w:p>
        </w:tc>
        <w:tc>
          <w:tcPr>
            <w:tcW w:w="452" w:type="pct"/>
            <w:vAlign w:val="center"/>
          </w:tcPr>
          <w:p>
            <w:pPr>
              <w:rPr>
                <w:rFonts w:ascii="宋体" w:hAnsi="宋体"/>
              </w:rPr>
            </w:pPr>
            <w:r>
              <w:rPr>
                <w:rFonts w:ascii="宋体" w:hAnsi="宋体" w:cs="Arial"/>
                <w:color w:val="333333"/>
                <w:shd w:val="clear" w:color="auto" w:fill="FFFFFF"/>
              </w:rPr>
              <w:t>2022/06/08</w:t>
            </w:r>
          </w:p>
        </w:tc>
        <w:tc>
          <w:tcPr>
            <w:tcW w:w="452" w:type="pct"/>
            <w:vAlign w:val="center"/>
          </w:tcPr>
          <w:p>
            <w:pPr>
              <w:rPr>
                <w:rFonts w:ascii="宋体" w:hAnsi="宋体"/>
              </w:rPr>
            </w:pPr>
            <w:r>
              <w:rPr>
                <w:rFonts w:ascii="宋体" w:hAnsi="宋体" w:cs="Arial"/>
                <w:color w:val="333333"/>
                <w:shd w:val="clear" w:color="auto" w:fill="FFFFFF"/>
              </w:rPr>
              <w:t>2022/06/10</w:t>
            </w:r>
          </w:p>
        </w:tc>
        <w:tc>
          <w:tcPr>
            <w:tcW w:w="452" w:type="pct"/>
            <w:vAlign w:val="center"/>
          </w:tcPr>
          <w:p>
            <w:pPr>
              <w:rPr>
                <w:rFonts w:ascii="宋体" w:hAnsi="宋体"/>
              </w:rPr>
            </w:pPr>
            <w:r>
              <w:rPr>
                <w:rFonts w:ascii="宋体" w:hAnsi="宋体" w:cs="Arial"/>
                <w:color w:val="333333"/>
                <w:shd w:val="clear" w:color="auto" w:fill="FFFFFF"/>
              </w:rPr>
              <w:t>2025/06/10</w:t>
            </w:r>
          </w:p>
        </w:tc>
        <w:tc>
          <w:tcPr>
            <w:tcW w:w="302" w:type="pct"/>
            <w:vAlign w:val="center"/>
          </w:tcPr>
          <w:p>
            <w:pPr>
              <w:jc w:val="right"/>
              <w:rPr>
                <w:rFonts w:ascii="宋体" w:hAnsi="宋体"/>
              </w:rPr>
            </w:pPr>
            <w:r>
              <w:rPr>
                <w:rFonts w:hint="eastAsia" w:ascii="宋体" w:hAnsi="宋体"/>
              </w:rPr>
              <w:t>20</w:t>
            </w:r>
          </w:p>
        </w:tc>
        <w:tc>
          <w:tcPr>
            <w:tcW w:w="382" w:type="pct"/>
            <w:vAlign w:val="center"/>
          </w:tcPr>
          <w:p>
            <w:pPr>
              <w:jc w:val="right"/>
              <w:rPr>
                <w:rFonts w:ascii="宋体" w:hAnsi="宋体"/>
              </w:rPr>
            </w:pPr>
            <w:r>
              <w:rPr>
                <w:rFonts w:hint="eastAsia" w:ascii="宋体" w:hAnsi="宋体"/>
              </w:rPr>
              <w:t>3.30</w:t>
            </w:r>
          </w:p>
        </w:tc>
        <w:tc>
          <w:tcPr>
            <w:tcW w:w="382" w:type="pct"/>
            <w:vAlign w:val="center"/>
          </w:tcPr>
          <w:p>
            <w:pPr>
              <w:rPr>
                <w:rFonts w:ascii="宋体" w:hAnsi="宋体"/>
              </w:rPr>
            </w:pPr>
            <w:r>
              <w:rPr>
                <w:rFonts w:hint="eastAsia" w:ascii="宋体" w:hAnsi="宋体"/>
              </w:rPr>
              <w:t>每年付息一次，到期一次还本，最后一期利息随本金一起支付</w:t>
            </w:r>
          </w:p>
        </w:tc>
        <w:tc>
          <w:tcPr>
            <w:tcW w:w="315" w:type="pct"/>
            <w:vAlign w:val="center"/>
          </w:tcPr>
          <w:p>
            <w:pPr>
              <w:rPr>
                <w:rFonts w:ascii="宋体" w:hAnsi="宋体"/>
              </w:rPr>
            </w:pPr>
            <w:r>
              <w:rPr>
                <w:rFonts w:hint="eastAsia" w:ascii="宋体" w:hAnsi="宋体"/>
              </w:rPr>
              <w:t>银行间债券市场</w:t>
            </w:r>
          </w:p>
        </w:tc>
        <w:tc>
          <w:tcPr>
            <w:tcW w:w="320" w:type="pct"/>
            <w:vAlign w:val="center"/>
          </w:tcPr>
          <w:p>
            <w:pPr>
              <w:rPr>
                <w:rFonts w:ascii="宋体" w:hAnsi="宋体"/>
              </w:rPr>
            </w:pPr>
            <w:r>
              <w:rPr>
                <w:rFonts w:hint="eastAsia" w:ascii="宋体" w:hAnsi="宋体"/>
              </w:rPr>
              <w:t>面向银行间债券市场的机构投资者</w:t>
            </w:r>
          </w:p>
        </w:tc>
        <w:tc>
          <w:tcPr>
            <w:tcW w:w="321" w:type="pct"/>
            <w:vAlign w:val="center"/>
          </w:tcPr>
          <w:p>
            <w:pPr>
              <w:rPr>
                <w:rFonts w:ascii="宋体" w:hAnsi="宋体"/>
              </w:rPr>
            </w:pPr>
            <w:r>
              <w:rPr>
                <w:rFonts w:hint="eastAsia" w:ascii="宋体" w:hAnsi="宋体"/>
              </w:rPr>
              <w:t>全国银行间债券市场流通转让</w:t>
            </w:r>
          </w:p>
        </w:tc>
        <w:tc>
          <w:tcPr>
            <w:tcW w:w="321" w:type="pct"/>
            <w:vAlign w:val="center"/>
          </w:tcPr>
          <w:p>
            <w:pP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rPr>
                <w:rFonts w:ascii="宋体" w:hAnsi="宋体"/>
              </w:rPr>
            </w:pPr>
            <w:r>
              <w:rPr>
                <w:rFonts w:ascii="宋体" w:hAnsi="宋体"/>
              </w:rPr>
              <w:t>2023年度第一期中期票据</w:t>
            </w:r>
            <w:r>
              <w:rPr>
                <w:rFonts w:hint="eastAsia" w:ascii="宋体" w:hAnsi="宋体"/>
                <w:vertAlign w:val="superscript"/>
              </w:rPr>
              <w:t>⑤</w:t>
            </w:r>
          </w:p>
        </w:tc>
        <w:tc>
          <w:tcPr>
            <w:tcW w:w="414" w:type="pct"/>
            <w:vAlign w:val="center"/>
          </w:tcPr>
          <w:p>
            <w:pPr>
              <w:rPr>
                <w:rFonts w:ascii="宋体" w:hAnsi="宋体"/>
              </w:rPr>
            </w:pPr>
            <w:r>
              <w:rPr>
                <w:rFonts w:ascii="宋体" w:hAnsi="宋体" w:cs="Arial"/>
                <w:color w:val="333333"/>
                <w:shd w:val="clear" w:color="auto" w:fill="FFFFFF"/>
              </w:rPr>
              <w:t>23兖矿能源MTN001</w:t>
            </w:r>
          </w:p>
        </w:tc>
        <w:tc>
          <w:tcPr>
            <w:tcW w:w="455" w:type="pct"/>
            <w:vAlign w:val="center"/>
          </w:tcPr>
          <w:p>
            <w:pPr>
              <w:rPr>
                <w:rFonts w:ascii="宋体" w:hAnsi="宋体"/>
              </w:rPr>
            </w:pPr>
            <w:r>
              <w:rPr>
                <w:rFonts w:ascii="宋体" w:hAnsi="宋体" w:cs="Arial"/>
                <w:color w:val="333333"/>
                <w:shd w:val="clear" w:color="auto" w:fill="FFFFFF"/>
              </w:rPr>
              <w:t>102382795</w:t>
            </w:r>
          </w:p>
        </w:tc>
        <w:tc>
          <w:tcPr>
            <w:tcW w:w="452" w:type="pct"/>
            <w:vAlign w:val="center"/>
          </w:tcPr>
          <w:p>
            <w:pPr>
              <w:rPr>
                <w:rFonts w:ascii="宋体" w:hAnsi="宋体"/>
              </w:rPr>
            </w:pPr>
            <w:r>
              <w:rPr>
                <w:rFonts w:ascii="宋体" w:hAnsi="宋体" w:cs="Arial"/>
                <w:color w:val="333333"/>
                <w:shd w:val="clear" w:color="auto" w:fill="FFFFFF"/>
              </w:rPr>
              <w:t>2023-10-19</w:t>
            </w:r>
          </w:p>
        </w:tc>
        <w:tc>
          <w:tcPr>
            <w:tcW w:w="452" w:type="pct"/>
            <w:vAlign w:val="center"/>
          </w:tcPr>
          <w:p>
            <w:pPr>
              <w:rPr>
                <w:rFonts w:ascii="宋体" w:hAnsi="宋体"/>
              </w:rPr>
            </w:pPr>
            <w:r>
              <w:rPr>
                <w:rFonts w:ascii="宋体" w:hAnsi="宋体" w:cs="Arial"/>
                <w:color w:val="333333"/>
                <w:shd w:val="clear" w:color="auto" w:fill="FFFFFF"/>
              </w:rPr>
              <w:t>2023-10-23</w:t>
            </w:r>
          </w:p>
        </w:tc>
        <w:tc>
          <w:tcPr>
            <w:tcW w:w="452" w:type="pct"/>
            <w:vAlign w:val="center"/>
          </w:tcPr>
          <w:p>
            <w:pPr>
              <w:rPr>
                <w:rFonts w:ascii="宋体" w:hAnsi="宋体"/>
              </w:rPr>
            </w:pPr>
            <w:r>
              <w:rPr>
                <w:rFonts w:ascii="宋体" w:hAnsi="宋体" w:cs="Arial"/>
                <w:color w:val="333333"/>
                <w:shd w:val="clear" w:color="auto" w:fill="FFFFFF"/>
              </w:rPr>
              <w:t>2025-10-23</w:t>
            </w:r>
          </w:p>
        </w:tc>
        <w:tc>
          <w:tcPr>
            <w:tcW w:w="302" w:type="pct"/>
            <w:vAlign w:val="center"/>
          </w:tcPr>
          <w:p>
            <w:pPr>
              <w:jc w:val="right"/>
              <w:rPr>
                <w:rFonts w:ascii="宋体" w:hAnsi="宋体"/>
              </w:rPr>
            </w:pPr>
            <w:r>
              <w:rPr>
                <w:rFonts w:hint="eastAsia" w:ascii="宋体" w:hAnsi="宋体"/>
              </w:rPr>
              <w:t>20</w:t>
            </w:r>
          </w:p>
        </w:tc>
        <w:tc>
          <w:tcPr>
            <w:tcW w:w="382" w:type="pct"/>
            <w:vAlign w:val="center"/>
          </w:tcPr>
          <w:p>
            <w:pPr>
              <w:jc w:val="right"/>
              <w:rPr>
                <w:rFonts w:ascii="宋体" w:hAnsi="宋体"/>
              </w:rPr>
            </w:pPr>
            <w:r>
              <w:rPr>
                <w:rFonts w:hint="eastAsia" w:ascii="宋体" w:hAnsi="宋体"/>
              </w:rPr>
              <w:t>3.40</w:t>
            </w:r>
          </w:p>
        </w:tc>
        <w:tc>
          <w:tcPr>
            <w:tcW w:w="382" w:type="pct"/>
            <w:vAlign w:val="center"/>
          </w:tcPr>
          <w:p>
            <w:pPr>
              <w:rPr>
                <w:rFonts w:ascii="宋体" w:hAnsi="宋体"/>
              </w:rPr>
            </w:pPr>
            <w:r>
              <w:rPr>
                <w:rFonts w:hint="eastAsia" w:ascii="宋体" w:hAnsi="宋体"/>
              </w:rPr>
              <w:t>每年付息一次，到期一次还本，最后一期利息随本金一起支付</w:t>
            </w:r>
          </w:p>
        </w:tc>
        <w:tc>
          <w:tcPr>
            <w:tcW w:w="315" w:type="pct"/>
            <w:vAlign w:val="center"/>
          </w:tcPr>
          <w:p>
            <w:pPr>
              <w:rPr>
                <w:rFonts w:ascii="宋体" w:hAnsi="宋体"/>
              </w:rPr>
            </w:pPr>
            <w:r>
              <w:rPr>
                <w:rFonts w:hint="eastAsia" w:ascii="宋体" w:hAnsi="宋体"/>
              </w:rPr>
              <w:t>银行间债券市场</w:t>
            </w:r>
          </w:p>
        </w:tc>
        <w:tc>
          <w:tcPr>
            <w:tcW w:w="320" w:type="pct"/>
            <w:vAlign w:val="center"/>
          </w:tcPr>
          <w:p>
            <w:pPr>
              <w:rPr>
                <w:rFonts w:ascii="宋体" w:hAnsi="宋体"/>
              </w:rPr>
            </w:pPr>
            <w:r>
              <w:rPr>
                <w:rFonts w:hint="eastAsia" w:ascii="宋体" w:hAnsi="宋体"/>
              </w:rPr>
              <w:t>面向银行间债券市场的机构投资者</w:t>
            </w:r>
          </w:p>
        </w:tc>
        <w:tc>
          <w:tcPr>
            <w:tcW w:w="321" w:type="pct"/>
            <w:vAlign w:val="center"/>
          </w:tcPr>
          <w:p>
            <w:pPr>
              <w:rPr>
                <w:rFonts w:ascii="宋体" w:hAnsi="宋体"/>
              </w:rPr>
            </w:pPr>
            <w:r>
              <w:rPr>
                <w:rFonts w:hint="eastAsia" w:ascii="宋体" w:hAnsi="宋体"/>
              </w:rPr>
              <w:t>全国银行间债券市场流通转让</w:t>
            </w:r>
          </w:p>
        </w:tc>
        <w:tc>
          <w:tcPr>
            <w:tcW w:w="321" w:type="pct"/>
            <w:vAlign w:val="center"/>
          </w:tcPr>
          <w:p>
            <w:pP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rPr>
                <w:rFonts w:ascii="宋体" w:hAnsi="宋体"/>
              </w:rPr>
            </w:pPr>
            <w:r>
              <w:rPr>
                <w:rFonts w:ascii="宋体" w:hAnsi="宋体"/>
              </w:rPr>
              <w:t>2023年度第二期中期票据(科创票据)</w:t>
            </w:r>
            <w:r>
              <w:rPr>
                <w:rFonts w:hint="eastAsia" w:ascii="宋体" w:hAnsi="宋体"/>
                <w:vertAlign w:val="superscript"/>
              </w:rPr>
              <w:t>⑥</w:t>
            </w:r>
          </w:p>
        </w:tc>
        <w:tc>
          <w:tcPr>
            <w:tcW w:w="414" w:type="pct"/>
            <w:vAlign w:val="center"/>
          </w:tcPr>
          <w:p>
            <w:pPr>
              <w:rPr>
                <w:rFonts w:ascii="宋体" w:hAnsi="宋体"/>
              </w:rPr>
            </w:pPr>
            <w:r>
              <w:rPr>
                <w:rFonts w:ascii="宋体" w:hAnsi="宋体" w:cs="Arial"/>
                <w:color w:val="333333"/>
                <w:shd w:val="clear" w:color="auto" w:fill="FFFFFF"/>
              </w:rPr>
              <w:t>23兖矿能源MTN002(科创票据)</w:t>
            </w:r>
          </w:p>
        </w:tc>
        <w:tc>
          <w:tcPr>
            <w:tcW w:w="455" w:type="pct"/>
            <w:vAlign w:val="center"/>
          </w:tcPr>
          <w:p>
            <w:pPr>
              <w:rPr>
                <w:rFonts w:ascii="宋体" w:hAnsi="宋体"/>
              </w:rPr>
            </w:pPr>
            <w:r>
              <w:rPr>
                <w:rFonts w:ascii="宋体" w:hAnsi="宋体" w:cs="Arial"/>
                <w:color w:val="333333"/>
                <w:shd w:val="clear" w:color="auto" w:fill="FFFFFF"/>
              </w:rPr>
              <w:t>102383131</w:t>
            </w:r>
          </w:p>
        </w:tc>
        <w:tc>
          <w:tcPr>
            <w:tcW w:w="452" w:type="pct"/>
            <w:vAlign w:val="center"/>
          </w:tcPr>
          <w:p>
            <w:pPr>
              <w:rPr>
                <w:rFonts w:ascii="宋体" w:hAnsi="宋体"/>
              </w:rPr>
            </w:pPr>
            <w:r>
              <w:rPr>
                <w:rFonts w:ascii="宋体" w:hAnsi="宋体" w:cs="Arial"/>
                <w:color w:val="333333"/>
                <w:shd w:val="clear" w:color="auto" w:fill="FFFFFF"/>
              </w:rPr>
              <w:t>2023-11-21</w:t>
            </w:r>
          </w:p>
        </w:tc>
        <w:tc>
          <w:tcPr>
            <w:tcW w:w="452" w:type="pct"/>
            <w:vAlign w:val="center"/>
          </w:tcPr>
          <w:p>
            <w:pPr>
              <w:rPr>
                <w:rFonts w:ascii="宋体" w:hAnsi="宋体"/>
              </w:rPr>
            </w:pPr>
            <w:r>
              <w:rPr>
                <w:rFonts w:ascii="宋体" w:hAnsi="宋体" w:cs="Arial"/>
                <w:color w:val="333333"/>
                <w:shd w:val="clear" w:color="auto" w:fill="FFFFFF"/>
              </w:rPr>
              <w:t>2023-11-23</w:t>
            </w:r>
          </w:p>
        </w:tc>
        <w:tc>
          <w:tcPr>
            <w:tcW w:w="452" w:type="pct"/>
            <w:vAlign w:val="center"/>
          </w:tcPr>
          <w:p>
            <w:pPr>
              <w:rPr>
                <w:rFonts w:ascii="宋体" w:hAnsi="宋体"/>
              </w:rPr>
            </w:pPr>
            <w:r>
              <w:rPr>
                <w:rFonts w:ascii="宋体" w:hAnsi="宋体" w:cs="Arial"/>
                <w:color w:val="333333"/>
                <w:shd w:val="clear" w:color="auto" w:fill="FFFFFF"/>
              </w:rPr>
              <w:t>2025-11-23</w:t>
            </w:r>
          </w:p>
        </w:tc>
        <w:tc>
          <w:tcPr>
            <w:tcW w:w="302" w:type="pct"/>
            <w:vAlign w:val="center"/>
          </w:tcPr>
          <w:p>
            <w:pPr>
              <w:jc w:val="right"/>
              <w:rPr>
                <w:rFonts w:ascii="宋体" w:hAnsi="宋体"/>
              </w:rPr>
            </w:pPr>
            <w:r>
              <w:rPr>
                <w:rFonts w:hint="eastAsia" w:ascii="宋体" w:hAnsi="宋体"/>
              </w:rPr>
              <w:t>30</w:t>
            </w:r>
          </w:p>
        </w:tc>
        <w:tc>
          <w:tcPr>
            <w:tcW w:w="382" w:type="pct"/>
            <w:vAlign w:val="center"/>
          </w:tcPr>
          <w:p>
            <w:pPr>
              <w:jc w:val="right"/>
              <w:rPr>
                <w:rFonts w:ascii="宋体" w:hAnsi="宋体"/>
              </w:rPr>
            </w:pPr>
            <w:r>
              <w:rPr>
                <w:rFonts w:hint="eastAsia" w:ascii="宋体" w:hAnsi="宋体"/>
              </w:rPr>
              <w:t>3.16</w:t>
            </w:r>
          </w:p>
        </w:tc>
        <w:tc>
          <w:tcPr>
            <w:tcW w:w="382" w:type="pct"/>
            <w:vAlign w:val="center"/>
          </w:tcPr>
          <w:p>
            <w:pPr>
              <w:rPr>
                <w:rFonts w:ascii="宋体" w:hAnsi="宋体"/>
              </w:rPr>
            </w:pPr>
            <w:r>
              <w:rPr>
                <w:rFonts w:hint="eastAsia" w:ascii="宋体" w:hAnsi="宋体"/>
              </w:rPr>
              <w:t>每年付息一次，到期一次还本，最后一期利息随本金一起支付</w:t>
            </w:r>
          </w:p>
        </w:tc>
        <w:tc>
          <w:tcPr>
            <w:tcW w:w="315" w:type="pct"/>
            <w:vAlign w:val="center"/>
          </w:tcPr>
          <w:p>
            <w:pPr>
              <w:rPr>
                <w:rFonts w:ascii="宋体" w:hAnsi="宋体"/>
              </w:rPr>
            </w:pPr>
            <w:r>
              <w:rPr>
                <w:rFonts w:hint="eastAsia" w:ascii="宋体" w:hAnsi="宋体"/>
              </w:rPr>
              <w:t>银行间债券市场</w:t>
            </w:r>
          </w:p>
        </w:tc>
        <w:tc>
          <w:tcPr>
            <w:tcW w:w="320" w:type="pct"/>
            <w:vAlign w:val="center"/>
          </w:tcPr>
          <w:p>
            <w:pPr>
              <w:rPr>
                <w:rFonts w:ascii="宋体" w:hAnsi="宋体"/>
              </w:rPr>
            </w:pPr>
            <w:r>
              <w:rPr>
                <w:rFonts w:hint="eastAsia" w:ascii="宋体" w:hAnsi="宋体"/>
              </w:rPr>
              <w:t>面向银行间债券市场的机构投资者</w:t>
            </w:r>
          </w:p>
        </w:tc>
        <w:tc>
          <w:tcPr>
            <w:tcW w:w="321" w:type="pct"/>
            <w:vAlign w:val="center"/>
          </w:tcPr>
          <w:p>
            <w:pPr>
              <w:rPr>
                <w:rFonts w:ascii="宋体" w:hAnsi="宋体"/>
              </w:rPr>
            </w:pPr>
            <w:r>
              <w:rPr>
                <w:rFonts w:hint="eastAsia" w:ascii="宋体" w:hAnsi="宋体"/>
              </w:rPr>
              <w:t>全国银行间债券市场流通转让</w:t>
            </w:r>
          </w:p>
        </w:tc>
        <w:tc>
          <w:tcPr>
            <w:tcW w:w="321" w:type="pct"/>
            <w:vAlign w:val="center"/>
          </w:tcPr>
          <w:p>
            <w:pP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rPr>
                <w:rFonts w:ascii="宋体" w:hAnsi="宋体"/>
              </w:rPr>
            </w:pPr>
            <w:r>
              <w:rPr>
                <w:rFonts w:ascii="宋体" w:hAnsi="宋体"/>
              </w:rPr>
              <w:t>2024年度第一期中期票据(科创票据)</w:t>
            </w:r>
            <w:r>
              <w:rPr>
                <w:rFonts w:hint="eastAsia" w:ascii="宋体" w:hAnsi="宋体"/>
                <w:vertAlign w:val="superscript"/>
              </w:rPr>
              <w:t>⑦</w:t>
            </w:r>
          </w:p>
        </w:tc>
        <w:tc>
          <w:tcPr>
            <w:tcW w:w="414" w:type="pct"/>
            <w:vAlign w:val="center"/>
          </w:tcPr>
          <w:p>
            <w:pPr>
              <w:rPr>
                <w:rFonts w:ascii="宋体" w:hAnsi="宋体"/>
              </w:rPr>
            </w:pPr>
            <w:r>
              <w:rPr>
                <w:rFonts w:ascii="宋体" w:hAnsi="宋体" w:cs="Arial"/>
                <w:color w:val="333333"/>
                <w:shd w:val="clear" w:color="auto" w:fill="FFFFFF"/>
              </w:rPr>
              <w:t>24兖矿能源MTN001(科创票据)</w:t>
            </w:r>
          </w:p>
        </w:tc>
        <w:tc>
          <w:tcPr>
            <w:tcW w:w="455" w:type="pct"/>
            <w:vAlign w:val="center"/>
          </w:tcPr>
          <w:p>
            <w:pPr>
              <w:rPr>
                <w:rFonts w:ascii="宋体" w:hAnsi="宋体"/>
              </w:rPr>
            </w:pPr>
            <w:r>
              <w:rPr>
                <w:rFonts w:ascii="宋体" w:hAnsi="宋体" w:cs="Arial"/>
                <w:color w:val="333333"/>
                <w:shd w:val="clear" w:color="auto" w:fill="FFFFFF"/>
              </w:rPr>
              <w:t>102480413</w:t>
            </w:r>
          </w:p>
        </w:tc>
        <w:tc>
          <w:tcPr>
            <w:tcW w:w="452" w:type="pct"/>
            <w:vAlign w:val="center"/>
          </w:tcPr>
          <w:p>
            <w:pPr>
              <w:rPr>
                <w:rFonts w:ascii="宋体" w:hAnsi="宋体"/>
              </w:rPr>
            </w:pPr>
            <w:r>
              <w:rPr>
                <w:rFonts w:ascii="宋体" w:hAnsi="宋体" w:cs="Arial"/>
                <w:color w:val="333333"/>
                <w:shd w:val="clear" w:color="auto" w:fill="FFFFFF"/>
              </w:rPr>
              <w:t>2024-01-31</w:t>
            </w:r>
          </w:p>
        </w:tc>
        <w:tc>
          <w:tcPr>
            <w:tcW w:w="452" w:type="pct"/>
            <w:vAlign w:val="center"/>
          </w:tcPr>
          <w:p>
            <w:pPr>
              <w:rPr>
                <w:rFonts w:ascii="宋体" w:hAnsi="宋体"/>
              </w:rPr>
            </w:pPr>
            <w:r>
              <w:rPr>
                <w:rFonts w:ascii="宋体" w:hAnsi="宋体" w:cs="Arial"/>
                <w:color w:val="333333"/>
                <w:shd w:val="clear" w:color="auto" w:fill="FFFFFF"/>
              </w:rPr>
              <w:t>2024-02-02</w:t>
            </w:r>
          </w:p>
        </w:tc>
        <w:tc>
          <w:tcPr>
            <w:tcW w:w="452" w:type="pct"/>
            <w:vAlign w:val="center"/>
          </w:tcPr>
          <w:p>
            <w:pPr>
              <w:rPr>
                <w:rFonts w:ascii="宋体" w:hAnsi="宋体"/>
              </w:rPr>
            </w:pPr>
            <w:r>
              <w:rPr>
                <w:rFonts w:ascii="宋体" w:hAnsi="宋体" w:cs="Arial"/>
                <w:color w:val="333333"/>
                <w:shd w:val="clear" w:color="auto" w:fill="FFFFFF"/>
              </w:rPr>
              <w:t>2027-02-02</w:t>
            </w:r>
          </w:p>
        </w:tc>
        <w:tc>
          <w:tcPr>
            <w:tcW w:w="302" w:type="pct"/>
            <w:vAlign w:val="center"/>
          </w:tcPr>
          <w:p>
            <w:pPr>
              <w:jc w:val="right"/>
              <w:rPr>
                <w:rFonts w:ascii="宋体" w:hAnsi="宋体"/>
              </w:rPr>
            </w:pPr>
            <w:r>
              <w:rPr>
                <w:rFonts w:hint="eastAsia" w:ascii="宋体" w:hAnsi="宋体"/>
              </w:rPr>
              <w:t>30</w:t>
            </w:r>
          </w:p>
        </w:tc>
        <w:tc>
          <w:tcPr>
            <w:tcW w:w="382" w:type="pct"/>
            <w:vAlign w:val="center"/>
          </w:tcPr>
          <w:p>
            <w:pPr>
              <w:jc w:val="right"/>
              <w:rPr>
                <w:rFonts w:ascii="宋体" w:hAnsi="宋体"/>
              </w:rPr>
            </w:pPr>
            <w:r>
              <w:rPr>
                <w:rFonts w:hint="eastAsia" w:ascii="宋体" w:hAnsi="宋体"/>
              </w:rPr>
              <w:t>2.85</w:t>
            </w:r>
          </w:p>
        </w:tc>
        <w:tc>
          <w:tcPr>
            <w:tcW w:w="382" w:type="pct"/>
            <w:vAlign w:val="center"/>
          </w:tcPr>
          <w:p>
            <w:pPr>
              <w:rPr>
                <w:rFonts w:ascii="宋体" w:hAnsi="宋体"/>
              </w:rPr>
            </w:pPr>
            <w:r>
              <w:rPr>
                <w:rFonts w:hint="eastAsia" w:ascii="宋体" w:hAnsi="宋体"/>
              </w:rPr>
              <w:t>每年付息一次，到期一次还本，最后一期利息随本金一起支付</w:t>
            </w:r>
          </w:p>
        </w:tc>
        <w:tc>
          <w:tcPr>
            <w:tcW w:w="315" w:type="pct"/>
            <w:vAlign w:val="center"/>
          </w:tcPr>
          <w:p>
            <w:pPr>
              <w:rPr>
                <w:rFonts w:ascii="宋体" w:hAnsi="宋体"/>
              </w:rPr>
            </w:pPr>
            <w:r>
              <w:rPr>
                <w:rFonts w:hint="eastAsia" w:ascii="宋体" w:hAnsi="宋体"/>
              </w:rPr>
              <w:t>银行间债券市场</w:t>
            </w:r>
          </w:p>
        </w:tc>
        <w:tc>
          <w:tcPr>
            <w:tcW w:w="320" w:type="pct"/>
            <w:vAlign w:val="center"/>
          </w:tcPr>
          <w:p>
            <w:pPr>
              <w:rPr>
                <w:rFonts w:ascii="宋体" w:hAnsi="宋体"/>
              </w:rPr>
            </w:pPr>
            <w:r>
              <w:rPr>
                <w:rFonts w:hint="eastAsia" w:ascii="宋体" w:hAnsi="宋体"/>
              </w:rPr>
              <w:t>面向银行间债券市场的机构投资者</w:t>
            </w:r>
          </w:p>
        </w:tc>
        <w:tc>
          <w:tcPr>
            <w:tcW w:w="321" w:type="pct"/>
            <w:vAlign w:val="center"/>
          </w:tcPr>
          <w:p>
            <w:pPr>
              <w:rPr>
                <w:rFonts w:ascii="宋体" w:hAnsi="宋体"/>
              </w:rPr>
            </w:pPr>
            <w:r>
              <w:rPr>
                <w:rFonts w:hint="eastAsia" w:ascii="宋体" w:hAnsi="宋体"/>
              </w:rPr>
              <w:t>全国银行间债券市场流通转让</w:t>
            </w:r>
          </w:p>
        </w:tc>
        <w:tc>
          <w:tcPr>
            <w:tcW w:w="321" w:type="pct"/>
            <w:vAlign w:val="center"/>
          </w:tcPr>
          <w:p>
            <w:pPr>
              <w:rPr>
                <w:rFonts w:ascii="宋体" w:hAnsi="宋体"/>
              </w:rPr>
            </w:pPr>
            <w:r>
              <w:rPr>
                <w:rFonts w:hint="eastAsia" w:ascii="宋体" w:hAnsi="宋体"/>
              </w:rPr>
              <w:t>否</w:t>
            </w:r>
          </w:p>
        </w:tc>
      </w:tr>
      <w:bookmarkEnd w:id="185"/>
    </w:tbl>
    <w:p>
      <w:pPr>
        <w:ind w:firstLine="420" w:firstLineChars="200"/>
        <w:rPr>
          <w:rFonts w:ascii="宋体" w:hAnsi="宋体"/>
        </w:rPr>
      </w:pPr>
      <w:r>
        <w:rPr>
          <w:rFonts w:hint="eastAsia" w:ascii="宋体" w:hAnsi="宋体"/>
        </w:rPr>
        <w:t>注：</w:t>
      </w:r>
    </w:p>
    <w:p>
      <w:pPr>
        <w:ind w:firstLine="420" w:firstLineChars="200"/>
        <w:rPr>
          <w:rFonts w:ascii="宋体" w:hAnsi="宋体"/>
          <w:bCs/>
        </w:rPr>
      </w:pPr>
      <w:r>
        <w:rPr>
          <w:rFonts w:hint="eastAsia" w:ascii="宋体" w:hAnsi="宋体"/>
          <w:bCs/>
        </w:rPr>
        <w:t>①</w:t>
      </w:r>
      <w:r>
        <w:rPr>
          <w:rFonts w:ascii="宋体" w:hAnsi="宋体"/>
          <w:bCs/>
        </w:rPr>
        <w:t>2021年度第二期中期票据以每3个计息年度为1个周期。在每个周期末，公司有权选择将本期中期票据期限延长1个周期（即延长3年），或选择在该周期末到期全额兑付本期中期票据。</w:t>
      </w:r>
    </w:p>
    <w:p>
      <w:pPr>
        <w:ind w:firstLine="420" w:firstLineChars="200"/>
        <w:rPr>
          <w:rFonts w:ascii="宋体" w:hAnsi="宋体"/>
          <w:bCs/>
        </w:rPr>
      </w:pPr>
      <w:r>
        <w:rPr>
          <w:rFonts w:hint="eastAsia" w:ascii="宋体" w:hAnsi="宋体"/>
          <w:bCs/>
        </w:rPr>
        <w:t>②</w:t>
      </w:r>
      <w:r>
        <w:rPr>
          <w:rFonts w:ascii="宋体" w:hAnsi="宋体"/>
          <w:bCs/>
        </w:rPr>
        <w:t>2022年度第一期中期票据(品种一)以每3个计息年度为1个周期。在每个周期末，公司有权选择将本期中期票据期限延长1个周期（即延长3年），或选择在该周期末到期全额兑付本期中期票据。</w:t>
      </w:r>
    </w:p>
    <w:p>
      <w:pPr>
        <w:ind w:firstLine="420" w:firstLineChars="200"/>
        <w:rPr>
          <w:rFonts w:ascii="宋体" w:hAnsi="宋体"/>
          <w:bCs/>
        </w:rPr>
      </w:pPr>
      <w:r>
        <w:rPr>
          <w:rFonts w:hint="eastAsia" w:ascii="宋体" w:hAnsi="宋体"/>
          <w:bCs/>
        </w:rPr>
        <w:t>③</w:t>
      </w:r>
      <w:r>
        <w:rPr>
          <w:rFonts w:ascii="宋体" w:hAnsi="宋体"/>
          <w:bCs/>
        </w:rPr>
        <w:t>2022年度第一期中期票据(品种二)以每5个计息年度为1个周期。在每个周期末，公司有权选择将本期中期票据期限延长1个周期（即延长5年），或选择在该周期末到期全额兑付本期中期票据。</w:t>
      </w:r>
    </w:p>
    <w:p>
      <w:pPr>
        <w:ind w:firstLine="420" w:firstLineChars="200"/>
        <w:rPr>
          <w:rFonts w:ascii="宋体" w:hAnsi="宋体"/>
          <w:bCs/>
        </w:rPr>
      </w:pPr>
      <w:r>
        <w:rPr>
          <w:rFonts w:hint="eastAsia" w:ascii="宋体" w:hAnsi="宋体"/>
          <w:bCs/>
        </w:rPr>
        <w:t>④</w:t>
      </w:r>
      <w:r>
        <w:rPr>
          <w:rFonts w:ascii="宋体" w:hAnsi="宋体"/>
          <w:bCs/>
        </w:rPr>
        <w:t>2022年度第二期中期票据以每3个计息年度为1个周期。在每个周期末，公司有权选择将本期中期票据期限延长1个周期（即延长3年），或选择在该周期末到期全额兑付本期中期票据。</w:t>
      </w:r>
    </w:p>
    <w:p>
      <w:pPr>
        <w:ind w:firstLine="420" w:firstLineChars="200"/>
        <w:rPr>
          <w:rFonts w:ascii="宋体" w:hAnsi="宋体"/>
          <w:bCs/>
        </w:rPr>
      </w:pPr>
      <w:r>
        <w:rPr>
          <w:rFonts w:hint="eastAsia" w:ascii="宋体" w:hAnsi="宋体"/>
          <w:bCs/>
        </w:rPr>
        <w:t>⑤</w:t>
      </w:r>
      <w:r>
        <w:rPr>
          <w:rFonts w:ascii="宋体" w:hAnsi="宋体"/>
          <w:bCs/>
        </w:rPr>
        <w:t>202</w:t>
      </w:r>
      <w:r>
        <w:rPr>
          <w:rFonts w:hint="eastAsia" w:ascii="宋体" w:hAnsi="宋体"/>
          <w:bCs/>
        </w:rPr>
        <w:t>3</w:t>
      </w:r>
      <w:r>
        <w:rPr>
          <w:rFonts w:ascii="宋体" w:hAnsi="宋体"/>
          <w:bCs/>
        </w:rPr>
        <w:t>年度第</w:t>
      </w:r>
      <w:r>
        <w:rPr>
          <w:rFonts w:hint="eastAsia" w:ascii="宋体" w:hAnsi="宋体"/>
          <w:bCs/>
        </w:rPr>
        <w:t>一</w:t>
      </w:r>
      <w:r>
        <w:rPr>
          <w:rFonts w:ascii="宋体" w:hAnsi="宋体"/>
          <w:bCs/>
        </w:rPr>
        <w:t>期中期票据以每</w:t>
      </w:r>
      <w:r>
        <w:rPr>
          <w:rFonts w:hint="eastAsia" w:ascii="宋体" w:hAnsi="宋体"/>
          <w:bCs/>
        </w:rPr>
        <w:t>2</w:t>
      </w:r>
      <w:r>
        <w:rPr>
          <w:rFonts w:ascii="宋体" w:hAnsi="宋体"/>
          <w:bCs/>
        </w:rPr>
        <w:t>个计息年度为1个周期。在每个周期末，公司有权选择将本期中期票据期限延长1个周期（即延长</w:t>
      </w:r>
      <w:r>
        <w:rPr>
          <w:rFonts w:hint="eastAsia" w:ascii="宋体" w:hAnsi="宋体"/>
          <w:bCs/>
        </w:rPr>
        <w:t>2</w:t>
      </w:r>
      <w:r>
        <w:rPr>
          <w:rFonts w:ascii="宋体" w:hAnsi="宋体"/>
          <w:bCs/>
        </w:rPr>
        <w:t>年），或选择在该周期末到期全额兑付本期中期票据。</w:t>
      </w:r>
    </w:p>
    <w:p>
      <w:pPr>
        <w:ind w:firstLine="420" w:firstLineChars="200"/>
        <w:rPr>
          <w:rFonts w:ascii="宋体" w:hAnsi="宋体"/>
          <w:bCs/>
        </w:rPr>
      </w:pPr>
      <w:r>
        <w:rPr>
          <w:rFonts w:hint="eastAsia" w:ascii="宋体" w:hAnsi="宋体"/>
          <w:bCs/>
        </w:rPr>
        <w:t>⑥</w:t>
      </w:r>
      <w:r>
        <w:rPr>
          <w:rFonts w:ascii="宋体" w:hAnsi="宋体"/>
          <w:bCs/>
        </w:rPr>
        <w:t>202</w:t>
      </w:r>
      <w:r>
        <w:rPr>
          <w:rFonts w:hint="eastAsia" w:ascii="宋体" w:hAnsi="宋体"/>
          <w:bCs/>
        </w:rPr>
        <w:t>3</w:t>
      </w:r>
      <w:r>
        <w:rPr>
          <w:rFonts w:ascii="宋体" w:hAnsi="宋体"/>
          <w:bCs/>
        </w:rPr>
        <w:t>年度第二期中期票据</w:t>
      </w:r>
      <w:r>
        <w:rPr>
          <w:rFonts w:hint="eastAsia" w:ascii="宋体" w:hAnsi="宋体"/>
          <w:bCs/>
        </w:rPr>
        <w:t>（科创票据）</w:t>
      </w:r>
      <w:r>
        <w:rPr>
          <w:rFonts w:ascii="宋体" w:hAnsi="宋体"/>
          <w:bCs/>
        </w:rPr>
        <w:t>以每</w:t>
      </w:r>
      <w:r>
        <w:rPr>
          <w:rFonts w:hint="eastAsia" w:ascii="宋体" w:hAnsi="宋体"/>
          <w:bCs/>
        </w:rPr>
        <w:t>2</w:t>
      </w:r>
      <w:r>
        <w:rPr>
          <w:rFonts w:ascii="宋体" w:hAnsi="宋体"/>
          <w:bCs/>
        </w:rPr>
        <w:t>个计息年度为1个周期。在每个周期末，公司有权选择将本期中期票据期限延长1个周期（即延长</w:t>
      </w:r>
      <w:r>
        <w:rPr>
          <w:rFonts w:hint="eastAsia" w:ascii="宋体" w:hAnsi="宋体"/>
          <w:bCs/>
        </w:rPr>
        <w:t>2</w:t>
      </w:r>
      <w:r>
        <w:rPr>
          <w:rFonts w:ascii="宋体" w:hAnsi="宋体"/>
          <w:bCs/>
        </w:rPr>
        <w:t>年），或选择在该周期末到期全额兑付本期中期票据。</w:t>
      </w:r>
    </w:p>
    <w:p>
      <w:pPr>
        <w:ind w:firstLine="420" w:firstLineChars="200"/>
        <w:rPr>
          <w:rFonts w:ascii="宋体" w:hAnsi="宋体"/>
          <w:bCs/>
        </w:rPr>
      </w:pPr>
      <w:r>
        <w:rPr>
          <w:rFonts w:hint="eastAsia" w:ascii="宋体" w:hAnsi="宋体"/>
          <w:bCs/>
        </w:rPr>
        <w:t>⑦</w:t>
      </w:r>
      <w:r>
        <w:rPr>
          <w:rFonts w:ascii="宋体" w:hAnsi="宋体"/>
          <w:bCs/>
        </w:rPr>
        <w:t>202</w:t>
      </w:r>
      <w:r>
        <w:rPr>
          <w:rFonts w:hint="eastAsia" w:ascii="宋体" w:hAnsi="宋体"/>
          <w:bCs/>
        </w:rPr>
        <w:t>4</w:t>
      </w:r>
      <w:r>
        <w:rPr>
          <w:rFonts w:ascii="宋体" w:hAnsi="宋体"/>
          <w:bCs/>
        </w:rPr>
        <w:t>年度第</w:t>
      </w:r>
      <w:r>
        <w:rPr>
          <w:rFonts w:hint="eastAsia" w:ascii="宋体" w:hAnsi="宋体"/>
          <w:bCs/>
        </w:rPr>
        <w:t>一</w:t>
      </w:r>
      <w:r>
        <w:rPr>
          <w:rFonts w:ascii="宋体" w:hAnsi="宋体"/>
          <w:bCs/>
        </w:rPr>
        <w:t>期中期票据</w:t>
      </w:r>
      <w:r>
        <w:rPr>
          <w:rFonts w:hint="eastAsia" w:ascii="宋体" w:hAnsi="宋体"/>
          <w:bCs/>
        </w:rPr>
        <w:t>（科创票据）</w:t>
      </w:r>
      <w:r>
        <w:rPr>
          <w:rFonts w:ascii="宋体" w:hAnsi="宋体"/>
          <w:bCs/>
        </w:rPr>
        <w:t>以每</w:t>
      </w:r>
      <w:r>
        <w:rPr>
          <w:rFonts w:hint="eastAsia" w:ascii="宋体" w:hAnsi="宋体"/>
          <w:bCs/>
        </w:rPr>
        <w:t>3</w:t>
      </w:r>
      <w:r>
        <w:rPr>
          <w:rFonts w:ascii="宋体" w:hAnsi="宋体"/>
          <w:bCs/>
        </w:rPr>
        <w:t>个计息年度为1个周期。在每个周期末，公司有权选择将本期中期票据期限延长1个周期（即延长</w:t>
      </w:r>
      <w:r>
        <w:rPr>
          <w:rFonts w:hint="eastAsia" w:ascii="宋体" w:hAnsi="宋体"/>
          <w:bCs/>
        </w:rPr>
        <w:t>3</w:t>
      </w:r>
      <w:r>
        <w:rPr>
          <w:rFonts w:ascii="宋体" w:hAnsi="宋体"/>
          <w:bCs/>
        </w:rPr>
        <w:t>年），或选择在该周期末到期全额兑付本期中期票据。</w:t>
      </w:r>
    </w:p>
    <w:p>
      <w:pPr>
        <w:rPr>
          <w:rFonts w:ascii="宋体" w:hAnsi="宋体"/>
        </w:rPr>
      </w:pPr>
    </w:p>
    <w:p>
      <w:pPr>
        <w:rPr>
          <w:rFonts w:ascii="宋体" w:hAnsi="宋体"/>
        </w:rPr>
      </w:pPr>
    </w:p>
    <w:p>
      <w:pPr>
        <w:pStyle w:val="43"/>
      </w:pPr>
      <w:r>
        <w:rPr>
          <w:rFonts w:hint="eastAsia"/>
        </w:rPr>
        <w:t>公司对债券终止上市交易风险的应对措施</w:t>
      </w:r>
    </w:p>
    <w:sdt>
      <w:sdtPr>
        <w:rPr>
          <w:rFonts w:ascii="宋体" w:hAnsi="宋体"/>
          <w:bCs/>
          <w:color w:val="000000" w:themeColor="text1"/>
          <w14:textFill>
            <w14:solidFill>
              <w14:schemeClr w14:val="tx1"/>
            </w14:solidFill>
          </w14:textFill>
        </w:rPr>
        <w:alias w:val="是否适用：公司对债券终止上市交易风险的应对措施 [双击切换]"/>
        <w:tag w:val="_GBC_2de6d814ee254b998011ec6444899566"/>
        <w:id w:val="-1326591670"/>
        <w:placeholder>
          <w:docPart w:val="GBC22222222222222222222222222222"/>
        </w:placeholder>
      </w:sdtPr>
      <w:sdtEndPr>
        <w:rPr>
          <w:rFonts w:ascii="宋体" w:hAnsi="宋体"/>
          <w:bCs/>
          <w:color w:val="000000" w:themeColor="text1"/>
          <w14:textFill>
            <w14:solidFill>
              <w14:schemeClr w14:val="tx1"/>
            </w14:solidFill>
          </w14:textFill>
        </w:rPr>
      </w:sdtEndPr>
      <w:sdtContent>
        <w:p>
          <w:pPr>
            <w:rPr>
              <w:rFonts w:ascii="宋体" w:hAnsi="宋体"/>
              <w:color w:val="000000" w:themeColor="text1"/>
              <w14:textFill>
                <w14:solidFill>
                  <w14:schemeClr w14:val="tx1"/>
                </w14:solidFill>
              </w14:textFill>
            </w:rPr>
          </w:pPr>
          <w:bookmarkStart w:id="186" w:name="_Hlk74747078"/>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bookmarkEnd w:id="186"/>
    <w:p>
      <w:pPr>
        <w:rPr>
          <w:bCs/>
          <w:color w:val="000000" w:themeColor="text1"/>
          <w14:textFill>
            <w14:solidFill>
              <w14:schemeClr w14:val="tx1"/>
            </w14:solidFill>
          </w14:textFill>
        </w:rPr>
      </w:pPr>
    </w:p>
    <w:p>
      <w:pPr>
        <w:pStyle w:val="43"/>
      </w:pPr>
      <w:r>
        <w:t>逾期未偿还债券</w:t>
      </w:r>
    </w:p>
    <w:sdt>
      <w:sdtPr>
        <w:rPr>
          <w:rFonts w:hint="eastAsia"/>
        </w:rPr>
        <w:alias w:val="是否适用：逾期未偿还债券[双击切换]"/>
        <w:tag w:val="_GBC_502ef5710173482aa35621b500abcb28"/>
        <w:id w:val="2130126550"/>
        <w:placeholder>
          <w:docPart w:val="GBC22222222222222222222222222222"/>
        </w:placeholder>
      </w:sdtPr>
      <w:sdtEndPr>
        <w:rPr>
          <w:rFonts w:hint="eastAsia"/>
        </w:rPr>
      </w:sdtEndPr>
      <w:sdtContent>
        <w:p>
          <w:pPr>
            <w:pStyle w:val="43"/>
          </w:pPr>
          <w:bookmarkStart w:id="187" w:name="_Hlk7474710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7"/>
    <w:p>
      <w:pPr>
        <w:pStyle w:val="43"/>
        <w:rPr>
          <w:rFonts w:cs="Times New Roman"/>
          <w:bCs/>
          <w:kern w:val="2"/>
          <w:szCs w:val="21"/>
        </w:rPr>
      </w:pPr>
    </w:p>
    <w:p>
      <w:pPr>
        <w:rPr>
          <w:rFonts w:ascii="Arial" w:hAnsi="Arial"/>
          <w:bCs/>
        </w:rPr>
      </w:pPr>
      <w:r>
        <w:rPr>
          <w:rFonts w:hint="eastAsia" w:ascii="Arial" w:hAnsi="Arial"/>
          <w:bCs/>
        </w:rPr>
        <w:t>报告期内债券付息兑付情况</w:t>
      </w:r>
    </w:p>
    <w:sdt>
      <w:sdtPr>
        <w:rPr>
          <w:bCs/>
        </w:rPr>
        <w:alias w:val="是否适用：公司债券付息兑付情况 [双击切换]"/>
        <w:tag w:val="_GBC_bb3e496ba9644bd4a816b75f0eb0797a"/>
        <w:id w:val="604320057"/>
        <w:placeholder>
          <w:docPart w:val="GBC22222222222222222222222222222"/>
        </w:placeholder>
      </w:sdtPr>
      <w:sdtEndPr>
        <w:rPr>
          <w:bCs/>
        </w:rPr>
      </w:sdtEndPr>
      <w:sdtContent>
        <w:p>
          <w:pPr>
            <w:rPr>
              <w:bCs/>
            </w:rPr>
          </w:pPr>
          <w:bookmarkStart w:id="188" w:name="_Hlk89419795"/>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tbl>
      <w:tblPr>
        <w:tblStyle w:val="1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3"/>
        <w:gridCol w:w="9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w:hAnsi="Arial"/>
              <w:bCs/>
            </w:rPr>
            <w:tag w:val="_PLD_4d86024aa55d4cb7a8f2744d3311a9f0"/>
            <w:id w:val="-1548757084"/>
          </w:sdtPr>
          <w:sdtEndPr>
            <w:rPr>
              <w:rFonts w:ascii="Arial" w:hAnsi="Arial"/>
              <w:bCs/>
            </w:rPr>
          </w:sdtEndPr>
          <w:sdtContent>
            <w:tc>
              <w:tcPr>
                <w:tcW w:w="1481" w:type="pct"/>
              </w:tcPr>
              <w:p>
                <w:pPr>
                  <w:jc w:val="center"/>
                  <w:rPr>
                    <w:rFonts w:ascii="Arial" w:hAnsi="Arial"/>
                    <w:bCs/>
                  </w:rPr>
                </w:pPr>
                <w:r>
                  <w:rPr>
                    <w:rFonts w:ascii="Arial" w:hAnsi="Arial"/>
                    <w:bCs/>
                  </w:rPr>
                  <w:t>债券名称</w:t>
                </w:r>
              </w:p>
            </w:tc>
          </w:sdtContent>
        </w:sdt>
        <w:sdt>
          <w:sdtPr>
            <w:rPr>
              <w:rFonts w:hint="eastAsia" w:ascii="Arial" w:hAnsi="Arial"/>
              <w:bCs/>
            </w:rPr>
            <w:tag w:val="_PLD_6edcb5c3fa7a4aeca0113adf49facab9"/>
            <w:id w:val="634993896"/>
          </w:sdtPr>
          <w:sdtEndPr>
            <w:rPr>
              <w:rFonts w:hint="eastAsia" w:ascii="Arial" w:hAnsi="Arial"/>
              <w:bCs/>
            </w:rPr>
          </w:sdtEndPr>
          <w:sdtContent>
            <w:tc>
              <w:tcPr>
                <w:tcW w:w="3519" w:type="pct"/>
              </w:tcPr>
              <w:p>
                <w:pPr>
                  <w:jc w:val="center"/>
                  <w:rPr>
                    <w:rFonts w:ascii="Arial" w:hAnsi="Arial"/>
                    <w:bCs/>
                  </w:rPr>
                </w:pPr>
                <w:r>
                  <w:rPr>
                    <w:rFonts w:hint="eastAsia" w:ascii="Arial" w:hAnsi="Arial"/>
                    <w:bCs/>
                  </w:rPr>
                  <w:t>付息兑付情况的说明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2021年度第一期中期票据</w:t>
            </w:r>
          </w:p>
        </w:tc>
        <w:tc>
          <w:tcPr>
            <w:tcW w:w="3519"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2021年度第二期中期票据</w:t>
            </w:r>
          </w:p>
        </w:tc>
        <w:tc>
          <w:tcPr>
            <w:tcW w:w="3519"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pct"/>
            <w:tcBorders>
              <w:top w:val="single" w:color="auto" w:sz="4" w:space="0"/>
              <w:left w:val="single" w:color="auto" w:sz="4" w:space="0"/>
              <w:bottom w:val="single" w:color="auto" w:sz="4" w:space="0"/>
              <w:right w:val="single" w:color="auto" w:sz="4" w:space="0"/>
            </w:tcBorders>
            <w:vAlign w:val="center"/>
          </w:tcPr>
          <w:p>
            <w:pPr>
              <w:rPr>
                <w:rFonts w:ascii="宋体" w:hAnsi="宋体" w:cs="Arial"/>
                <w:color w:val="333333"/>
                <w:shd w:val="clear" w:color="auto" w:fill="FFFFFF"/>
              </w:rPr>
            </w:pPr>
            <w:r>
              <w:rPr>
                <w:rFonts w:hint="eastAsia" w:ascii="宋体" w:hAnsi="宋体" w:cs="Arial"/>
                <w:color w:val="333333"/>
                <w:shd w:val="clear" w:color="auto" w:fill="FFFFFF"/>
              </w:rPr>
              <w:t>2022年度第一期中期票据(品种一)</w:t>
            </w:r>
          </w:p>
        </w:tc>
        <w:tc>
          <w:tcPr>
            <w:tcW w:w="3519"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pct"/>
            <w:tcBorders>
              <w:top w:val="single" w:color="auto" w:sz="4" w:space="0"/>
              <w:left w:val="single" w:color="auto" w:sz="4" w:space="0"/>
              <w:bottom w:val="single" w:color="auto" w:sz="4" w:space="0"/>
              <w:right w:val="single" w:color="auto" w:sz="4" w:space="0"/>
            </w:tcBorders>
            <w:vAlign w:val="center"/>
          </w:tcPr>
          <w:p>
            <w:pPr>
              <w:rPr>
                <w:rFonts w:ascii="宋体" w:hAnsi="宋体" w:cs="Arial"/>
                <w:color w:val="333333"/>
                <w:shd w:val="clear" w:color="auto" w:fill="FFFFFF"/>
              </w:rPr>
            </w:pPr>
            <w:r>
              <w:rPr>
                <w:rFonts w:hint="eastAsia" w:ascii="宋体" w:hAnsi="宋体" w:cs="Arial"/>
                <w:color w:val="333333"/>
                <w:shd w:val="clear" w:color="auto" w:fill="FFFFFF"/>
              </w:rPr>
              <w:t>2022年度第一期中期票据(品种二)</w:t>
            </w:r>
          </w:p>
        </w:tc>
        <w:tc>
          <w:tcPr>
            <w:tcW w:w="3519"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pct"/>
            <w:tcBorders>
              <w:top w:val="single" w:color="auto" w:sz="4" w:space="0"/>
              <w:left w:val="single" w:color="auto" w:sz="4" w:space="0"/>
              <w:bottom w:val="single" w:color="auto" w:sz="4" w:space="0"/>
              <w:right w:val="single" w:color="auto" w:sz="4" w:space="0"/>
            </w:tcBorders>
            <w:vAlign w:val="center"/>
          </w:tcPr>
          <w:p>
            <w:pPr>
              <w:rPr>
                <w:rFonts w:ascii="宋体" w:hAnsi="宋体" w:cs="Arial"/>
                <w:color w:val="333333"/>
                <w:shd w:val="clear" w:color="auto" w:fill="FFFFFF"/>
              </w:rPr>
            </w:pPr>
            <w:r>
              <w:rPr>
                <w:rFonts w:hint="eastAsia" w:ascii="宋体" w:hAnsi="宋体" w:cs="Arial"/>
                <w:color w:val="333333"/>
                <w:shd w:val="clear" w:color="auto" w:fill="FFFFFF"/>
              </w:rPr>
              <w:t>2022年度第二期中期票据</w:t>
            </w:r>
          </w:p>
        </w:tc>
        <w:tc>
          <w:tcPr>
            <w:tcW w:w="3519"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公司按期支付了利息，未出现违约行为。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pct"/>
            <w:tcBorders>
              <w:top w:val="single" w:color="auto" w:sz="4" w:space="0"/>
              <w:left w:val="single" w:color="auto" w:sz="4" w:space="0"/>
              <w:bottom w:val="single" w:color="auto" w:sz="4" w:space="0"/>
              <w:right w:val="single" w:color="auto" w:sz="4" w:space="0"/>
            </w:tcBorders>
            <w:vAlign w:val="center"/>
          </w:tcPr>
          <w:p>
            <w:pPr>
              <w:rPr>
                <w:rFonts w:ascii="宋体" w:hAnsi="宋体" w:cs="Arial"/>
                <w:color w:val="333333"/>
                <w:shd w:val="clear" w:color="auto" w:fill="FFFFFF"/>
              </w:rPr>
            </w:pPr>
            <w:r>
              <w:rPr>
                <w:rFonts w:ascii="宋体" w:hAnsi="宋体" w:cs="Arial"/>
                <w:color w:val="333333"/>
                <w:shd w:val="clear" w:color="auto" w:fill="FFFFFF"/>
              </w:rPr>
              <w:t>2023</w:t>
            </w:r>
            <w:r>
              <w:rPr>
                <w:rFonts w:hint="eastAsia" w:ascii="宋体" w:hAnsi="宋体" w:cs="Arial"/>
                <w:color w:val="333333"/>
                <w:shd w:val="clear" w:color="auto" w:fill="FFFFFF"/>
              </w:rPr>
              <w:t>年度第一期超短期融资券</w:t>
            </w:r>
          </w:p>
        </w:tc>
        <w:tc>
          <w:tcPr>
            <w:tcW w:w="3519"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公司按期兑付了本金及利息，未出现违约行为。</w:t>
            </w:r>
          </w:p>
        </w:tc>
      </w:tr>
    </w:tbl>
    <w:p>
      <w:pPr>
        <w:pStyle w:val="501"/>
      </w:pPr>
    </w:p>
    <w:p>
      <w:pPr>
        <w:pStyle w:val="5"/>
        <w:numPr>
          <w:ilvl w:val="0"/>
          <w:numId w:val="56"/>
        </w:numPr>
        <w:ind w:left="425" w:hanging="425"/>
        <w:rPr>
          <w:rFonts w:ascii="宋体" w:hAnsi="宋体" w:cs="宋体"/>
          <w:kern w:val="0"/>
          <w:szCs w:val="24"/>
        </w:rPr>
      </w:pPr>
      <w:r>
        <w:rPr>
          <w:rFonts w:hint="eastAsia" w:ascii="宋体" w:hAnsi="宋体" w:cs="宋体"/>
          <w:kern w:val="0"/>
          <w:szCs w:val="24"/>
        </w:rPr>
        <w:t>发行人或投资者选择权条款、投资者保护条款的触发和执行情况</w:t>
      </w:r>
    </w:p>
    <w:bookmarkEnd w:id="188"/>
    <w:sdt>
      <w:sdtPr>
        <w:rPr>
          <w:bCs/>
        </w:rPr>
        <w:alias w:val="是否适用：发行人或投资者选择权条款、投资者保护条款的触发和执行情况[双击切换]"/>
        <w:tag w:val="_GBC_87a338f81f0049bd9ef19274c17f1002"/>
        <w:id w:val="-688457477"/>
        <w:placeholder>
          <w:docPart w:val="GBC22222222222222222222222222222"/>
        </w:placeholder>
      </w:sdtPr>
      <w:sdtEndPr>
        <w:rPr>
          <w:bCs/>
        </w:rPr>
      </w:sdtEndPr>
      <w:sdtContent>
        <w:p>
          <w:pPr>
            <w:rPr>
              <w:bCs/>
            </w:rPr>
          </w:pPr>
          <w:bookmarkStart w:id="189" w:name="_Hlk74747153"/>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bookmarkEnd w:id="189"/>
    <w:p>
      <w:pPr>
        <w:pStyle w:val="501"/>
      </w:pPr>
    </w:p>
    <w:p>
      <w:pPr>
        <w:pStyle w:val="5"/>
        <w:numPr>
          <w:ilvl w:val="0"/>
          <w:numId w:val="56"/>
        </w:numPr>
        <w:ind w:left="425" w:hanging="425"/>
        <w:rPr>
          <w:rFonts w:ascii="宋体" w:hAnsi="宋体" w:cs="宋体"/>
          <w:kern w:val="0"/>
          <w:szCs w:val="24"/>
        </w:rPr>
      </w:pPr>
      <w:r>
        <w:rPr>
          <w:rFonts w:ascii="宋体" w:hAnsi="宋体" w:cs="宋体"/>
          <w:kern w:val="0"/>
          <w:szCs w:val="24"/>
        </w:rPr>
        <w:t>为债券发行及存续期业务提供服务的中介机构</w:t>
      </w:r>
    </w:p>
    <w:tbl>
      <w:tblPr>
        <w:tblStyle w:val="1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2"/>
        <w:gridCol w:w="3522"/>
        <w:gridCol w:w="3522"/>
        <w:gridCol w:w="3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sdt>
          <w:sdtPr>
            <w:rPr>
              <w:rFonts w:ascii="宋体" w:hAnsi="宋体"/>
            </w:rPr>
            <w:tag w:val="_PLD_50a236e8702a43e8accc7cda8308a144"/>
            <w:id w:val="665363430"/>
          </w:sdtPr>
          <w:sdtEndPr>
            <w:rPr>
              <w:rFonts w:hint="eastAsia" w:ascii="宋体" w:hAnsi="宋体"/>
            </w:rPr>
          </w:sdtEndPr>
          <w:sdtContent>
            <w:tc>
              <w:tcPr>
                <w:tcW w:w="1250" w:type="pct"/>
                <w:vAlign w:val="center"/>
              </w:tcPr>
              <w:p>
                <w:pPr>
                  <w:jc w:val="center"/>
                  <w:rPr>
                    <w:rFonts w:ascii="宋体" w:hAnsi="宋体"/>
                  </w:rPr>
                </w:pPr>
                <w:bookmarkStart w:id="190" w:name="_Hlk89419858"/>
                <w:r>
                  <w:rPr>
                    <w:rFonts w:ascii="宋体" w:hAnsi="宋体"/>
                  </w:rPr>
                  <w:t>中介</w:t>
                </w:r>
                <w:r>
                  <w:rPr>
                    <w:rFonts w:hint="eastAsia" w:ascii="宋体" w:hAnsi="宋体"/>
                  </w:rPr>
                  <w:t>机构名称</w:t>
                </w:r>
              </w:p>
            </w:tc>
          </w:sdtContent>
        </w:sdt>
        <w:sdt>
          <w:sdtPr>
            <w:rPr>
              <w:rFonts w:ascii="宋体" w:hAnsi="宋体"/>
            </w:rPr>
            <w:tag w:val="_PLD_40ba3d1e32a145a19d06e895eab3db0d"/>
            <w:id w:val="499712258"/>
          </w:sdtPr>
          <w:sdtEndPr>
            <w:rPr>
              <w:rFonts w:ascii="宋体" w:hAnsi="宋体"/>
            </w:rPr>
          </w:sdtEndPr>
          <w:sdtContent>
            <w:tc>
              <w:tcPr>
                <w:tcW w:w="1250" w:type="pct"/>
                <w:vAlign w:val="center"/>
              </w:tcPr>
              <w:p>
                <w:pPr>
                  <w:jc w:val="center"/>
                  <w:rPr>
                    <w:rFonts w:ascii="宋体" w:hAnsi="宋体"/>
                  </w:rPr>
                </w:pPr>
                <w:r>
                  <w:rPr>
                    <w:rFonts w:ascii="宋体" w:hAnsi="宋体"/>
                  </w:rPr>
                  <w:t>办公地址</w:t>
                </w:r>
              </w:p>
            </w:tc>
          </w:sdtContent>
        </w:sdt>
        <w:sdt>
          <w:sdtPr>
            <w:rPr>
              <w:rFonts w:ascii="宋体" w:hAnsi="宋体"/>
            </w:rPr>
            <w:tag w:val="_PLD_c942779388564095baf358dbd4f1fdb3"/>
            <w:id w:val="-73440389"/>
          </w:sdtPr>
          <w:sdtEndPr>
            <w:rPr>
              <w:rFonts w:ascii="宋体" w:hAnsi="宋体"/>
            </w:rPr>
          </w:sdtEndPr>
          <w:sdtContent>
            <w:tc>
              <w:tcPr>
                <w:tcW w:w="1250" w:type="pct"/>
                <w:vAlign w:val="center"/>
              </w:tcPr>
              <w:p>
                <w:pPr>
                  <w:jc w:val="center"/>
                  <w:rPr>
                    <w:rFonts w:ascii="宋体" w:hAnsi="宋体"/>
                  </w:rPr>
                </w:pPr>
                <w:r>
                  <w:rPr>
                    <w:rFonts w:ascii="宋体" w:hAnsi="宋体"/>
                  </w:rPr>
                  <w:t>联系人</w:t>
                </w:r>
              </w:p>
            </w:tc>
          </w:sdtContent>
        </w:sdt>
        <w:sdt>
          <w:sdtPr>
            <w:rPr>
              <w:rFonts w:ascii="宋体" w:hAnsi="宋体"/>
            </w:rPr>
            <w:tag w:val="_PLD_a22f9eb90c8a41db97c7511ff1c511a7"/>
            <w:id w:val="-972368423"/>
          </w:sdtPr>
          <w:sdtEndPr>
            <w:rPr>
              <w:rFonts w:ascii="宋体" w:hAnsi="宋体"/>
            </w:rPr>
          </w:sdtEndPr>
          <w:sdtContent>
            <w:tc>
              <w:tcPr>
                <w:tcW w:w="1250" w:type="pct"/>
                <w:vAlign w:val="center"/>
              </w:tcPr>
              <w:p>
                <w:pPr>
                  <w:jc w:val="center"/>
                  <w:rPr>
                    <w:rFonts w:ascii="宋体" w:hAnsi="宋体"/>
                  </w:rPr>
                </w:pPr>
                <w:r>
                  <w:rPr>
                    <w:rFonts w:ascii="宋体" w:hAnsi="宋体"/>
                  </w:rPr>
                  <w:t>联系电话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rPr>
                <w:rFonts w:ascii="宋体" w:hAnsi="宋体"/>
              </w:rPr>
            </w:pPr>
            <w:r>
              <w:rPr>
                <w:rFonts w:hint="eastAsia" w:ascii="宋体" w:hAnsi="宋体"/>
              </w:rPr>
              <w:t>兴业银行股份有限公司</w:t>
            </w:r>
          </w:p>
        </w:tc>
        <w:tc>
          <w:tcPr>
            <w:tcW w:w="1250" w:type="pct"/>
            <w:vAlign w:val="center"/>
          </w:tcPr>
          <w:p>
            <w:pPr>
              <w:rPr>
                <w:rFonts w:ascii="宋体" w:hAnsi="宋体"/>
              </w:rPr>
            </w:pPr>
            <w:r>
              <w:rPr>
                <w:rFonts w:hint="eastAsia" w:ascii="宋体" w:hAnsi="宋体"/>
              </w:rPr>
              <w:t>福建省福州市台江区江滨中大道</w:t>
            </w:r>
            <w:r>
              <w:rPr>
                <w:rFonts w:ascii="宋体" w:hAnsi="宋体"/>
              </w:rPr>
              <w:t>398号</w:t>
            </w:r>
          </w:p>
        </w:tc>
        <w:tc>
          <w:tcPr>
            <w:tcW w:w="1250" w:type="pct"/>
            <w:vAlign w:val="center"/>
          </w:tcPr>
          <w:p>
            <w:pPr>
              <w:rPr>
                <w:rFonts w:ascii="宋体" w:hAnsi="宋体"/>
              </w:rPr>
            </w:pPr>
            <w:r>
              <w:rPr>
                <w:rFonts w:hint="eastAsia" w:ascii="宋体" w:hAnsi="宋体"/>
              </w:rPr>
              <w:t>刘春华</w:t>
            </w:r>
          </w:p>
        </w:tc>
        <w:tc>
          <w:tcPr>
            <w:tcW w:w="1250" w:type="pct"/>
            <w:vAlign w:val="center"/>
          </w:tcPr>
          <w:p>
            <w:pPr>
              <w:rPr>
                <w:rFonts w:ascii="宋体" w:hAnsi="宋体"/>
              </w:rPr>
            </w:pPr>
            <w:r>
              <w:rPr>
                <w:rFonts w:ascii="宋体" w:hAnsi="宋体"/>
              </w:rPr>
              <w:t>0537-3295720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rPr>
                <w:rFonts w:ascii="宋体" w:hAnsi="宋体"/>
              </w:rPr>
            </w:pPr>
            <w:r>
              <w:rPr>
                <w:rFonts w:hint="eastAsia" w:ascii="宋体" w:hAnsi="宋体" w:cstheme="minorBidi"/>
              </w:rPr>
              <w:t>招商银行股份有限公司</w:t>
            </w:r>
          </w:p>
        </w:tc>
        <w:tc>
          <w:tcPr>
            <w:tcW w:w="1250" w:type="pct"/>
            <w:vAlign w:val="center"/>
          </w:tcPr>
          <w:p>
            <w:pPr>
              <w:rPr>
                <w:rFonts w:ascii="宋体" w:hAnsi="宋体"/>
              </w:rPr>
            </w:pPr>
            <w:r>
              <w:rPr>
                <w:rFonts w:hint="eastAsia" w:ascii="宋体" w:hAnsi="宋体"/>
              </w:rPr>
              <w:t>广东省深圳市福田区深南大道</w:t>
            </w:r>
            <w:r>
              <w:rPr>
                <w:rFonts w:ascii="宋体" w:hAnsi="宋体"/>
              </w:rPr>
              <w:t>7088 号</w:t>
            </w:r>
          </w:p>
        </w:tc>
        <w:tc>
          <w:tcPr>
            <w:tcW w:w="1250" w:type="pct"/>
            <w:vAlign w:val="center"/>
          </w:tcPr>
          <w:p>
            <w:pPr>
              <w:rPr>
                <w:rFonts w:ascii="宋体" w:hAnsi="宋体"/>
              </w:rPr>
            </w:pPr>
            <w:r>
              <w:rPr>
                <w:rFonts w:hint="eastAsia" w:ascii="宋体" w:hAnsi="宋体"/>
              </w:rPr>
              <w:t>许一鸣</w:t>
            </w:r>
          </w:p>
        </w:tc>
        <w:tc>
          <w:tcPr>
            <w:tcW w:w="1250" w:type="pct"/>
            <w:vAlign w:val="center"/>
          </w:tcPr>
          <w:p>
            <w:pPr>
              <w:rPr>
                <w:rFonts w:ascii="宋体" w:hAnsi="宋体"/>
              </w:rPr>
            </w:pPr>
            <w:r>
              <w:rPr>
                <w:rFonts w:ascii="宋体" w:hAnsi="宋体"/>
              </w:rPr>
              <w:t>0531-55663204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rPr>
                <w:rFonts w:ascii="宋体" w:hAnsi="宋体"/>
              </w:rPr>
            </w:pPr>
            <w:r>
              <w:rPr>
                <w:rFonts w:hint="eastAsia" w:ascii="宋体" w:hAnsi="宋体" w:cstheme="minorBidi"/>
              </w:rPr>
              <w:t>联合资信评估股份有限公司</w:t>
            </w:r>
          </w:p>
        </w:tc>
        <w:tc>
          <w:tcPr>
            <w:tcW w:w="1250" w:type="pct"/>
            <w:vAlign w:val="center"/>
          </w:tcPr>
          <w:p>
            <w:pPr>
              <w:rPr>
                <w:rFonts w:ascii="宋体" w:hAnsi="宋体"/>
              </w:rPr>
            </w:pPr>
            <w:r>
              <w:rPr>
                <w:rFonts w:hint="eastAsia" w:ascii="宋体" w:hAnsi="宋体"/>
              </w:rPr>
              <w:t>北京市朝阳区建外大街</w:t>
            </w:r>
            <w:r>
              <w:rPr>
                <w:rFonts w:ascii="宋体" w:hAnsi="宋体"/>
              </w:rPr>
              <w:t>2号院2号楼17层</w:t>
            </w:r>
          </w:p>
        </w:tc>
        <w:tc>
          <w:tcPr>
            <w:tcW w:w="1250" w:type="pct"/>
            <w:vAlign w:val="center"/>
          </w:tcPr>
          <w:p>
            <w:pPr>
              <w:rPr>
                <w:rFonts w:ascii="宋体" w:hAnsi="宋体"/>
              </w:rPr>
            </w:pPr>
            <w:r>
              <w:rPr>
                <w:rFonts w:hint="eastAsia" w:ascii="宋体" w:hAnsi="宋体"/>
              </w:rPr>
              <w:t>黄烨</w:t>
            </w:r>
          </w:p>
        </w:tc>
        <w:tc>
          <w:tcPr>
            <w:tcW w:w="1250" w:type="pct"/>
            <w:vAlign w:val="center"/>
          </w:tcPr>
          <w:p>
            <w:pPr>
              <w:rPr>
                <w:rFonts w:ascii="宋体" w:hAnsi="宋体"/>
              </w:rPr>
            </w:pPr>
            <w:r>
              <w:rPr>
                <w:rFonts w:ascii="宋体" w:hAnsi="宋体"/>
              </w:rPr>
              <w:t>010-85679696</w:t>
            </w:r>
          </w:p>
        </w:tc>
      </w:tr>
    </w:tbl>
    <w:p>
      <w:pPr>
        <w:pStyle w:val="501"/>
      </w:pPr>
    </w:p>
    <w:p>
      <w:pPr>
        <w:pStyle w:val="43"/>
      </w:pPr>
      <w:r>
        <w:t>上述中介机构发生变更的情况</w:t>
      </w:r>
    </w:p>
    <w:sdt>
      <w:sdtPr>
        <w:rPr>
          <w:rFonts w:hint="eastAsia"/>
          <w:bCs/>
        </w:rPr>
        <w:alias w:val="是否适用：中介机构发生变更的情况[双击切换]"/>
        <w:tag w:val="_GBC_af3421d92d774567b9855f235dfa5a4c"/>
        <w:id w:val="1034778774"/>
        <w:placeholder>
          <w:docPart w:val="GBC22222222222222222222222222222"/>
        </w:placeholder>
      </w:sdtPr>
      <w:sdtEndPr>
        <w:rPr>
          <w:rFonts w:hint="eastAsia"/>
          <w:bCs/>
        </w:rPr>
      </w:sdtEndPr>
      <w:sdtContent>
        <w:p>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pStyle w:val="501"/>
      </w:pPr>
    </w:p>
    <w:p>
      <w:pPr>
        <w:pStyle w:val="5"/>
        <w:numPr>
          <w:ilvl w:val="0"/>
          <w:numId w:val="56"/>
        </w:numPr>
        <w:ind w:left="425" w:hanging="425"/>
        <w:rPr>
          <w:rFonts w:ascii="宋体" w:hAnsi="宋体" w:cs="宋体"/>
          <w:kern w:val="0"/>
          <w:szCs w:val="24"/>
        </w:rPr>
      </w:pPr>
      <w:r>
        <w:rPr>
          <w:rFonts w:hint="eastAsia" w:ascii="宋体" w:hAnsi="宋体" w:cs="宋体"/>
          <w:kern w:val="0"/>
          <w:szCs w:val="24"/>
        </w:rPr>
        <w:t>报告期末募集资金使用</w:t>
      </w:r>
      <w:r>
        <w:rPr>
          <w:rFonts w:hint="eastAsia" w:ascii="宋体" w:hAnsi="宋体" w:eastAsia="宋体" w:cs="宋体"/>
          <w:kern w:val="0"/>
          <w:szCs w:val="24"/>
        </w:rPr>
        <w:t>情况</w:t>
      </w:r>
    </w:p>
    <w:sdt>
      <w:sdtPr>
        <w:rPr>
          <w:rFonts w:hint="eastAsia"/>
          <w:bCs/>
        </w:rPr>
        <w:alias w:val="是否适用：报告期末募集资金使用情况[双击切换]"/>
        <w:tag w:val="_GBC_2ae8a079fca5456f8f10767d48bec045"/>
        <w:id w:val="1585103571"/>
        <w:placeholder>
          <w:docPart w:val="GBC22222222222222222222222222222"/>
        </w:placeholder>
      </w:sdtPr>
      <w:sdtEndPr>
        <w:rPr>
          <w:rFonts w:hint="eastAsia"/>
          <w:bCs/>
        </w:rPr>
      </w:sdtEndPr>
      <w:sdtContent>
        <w:p>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jc w:val="right"/>
      </w:pPr>
      <w:r>
        <w:rPr>
          <w:rFonts w:hint="eastAsia"/>
        </w:rPr>
        <w:t>单位</w:t>
      </w:r>
      <w:r>
        <w:t>:</w:t>
      </w:r>
      <w:sdt>
        <w:sdtPr>
          <w:alias w:val="单位：报告期末募集资金使用情况"/>
          <w:tag w:val="_GBC_077d4430fdf94c6b8aafc3da5e73db06"/>
          <w:id w:val="-195555149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亿元</w:t>
          </w:r>
        </w:sdtContent>
      </w:sdt>
      <w:r>
        <w:rPr>
          <w:rFonts w:hint="eastAsia"/>
        </w:rPr>
        <w:t xml:space="preserve">  币种</w:t>
      </w:r>
      <w:r>
        <w:t>:</w:t>
      </w:r>
      <w:sdt>
        <w:sdtPr>
          <w:alias w:val="币种：报告期末募集资金使用情况"/>
          <w:tag w:val="_GBC_baa2c7e021514b788abd910c2a0e2caa"/>
          <w:id w:val="13855268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13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2010"/>
        <w:gridCol w:w="2010"/>
        <w:gridCol w:w="2010"/>
        <w:gridCol w:w="2010"/>
        <w:gridCol w:w="2010"/>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bCs/>
            </w:rPr>
            <w:tag w:val="_PLD_f7040cff48884f5ca8a5453f3ff0559b"/>
            <w:id w:val="757714572"/>
          </w:sdtPr>
          <w:sdtEndPr>
            <w:rPr>
              <w:rFonts w:ascii="宋体" w:hAnsi="宋体"/>
              <w:bCs/>
            </w:rPr>
          </w:sdtEndPr>
          <w:sdtContent>
            <w:tc>
              <w:tcPr>
                <w:tcW w:w="714" w:type="pct"/>
                <w:vAlign w:val="center"/>
              </w:tcPr>
              <w:p>
                <w:pPr>
                  <w:jc w:val="center"/>
                  <w:rPr>
                    <w:rFonts w:ascii="宋体" w:hAnsi="宋体"/>
                    <w:bCs/>
                  </w:rPr>
                </w:pPr>
                <w:r>
                  <w:rPr>
                    <w:rFonts w:ascii="宋体" w:hAnsi="宋体"/>
                    <w:bCs/>
                  </w:rPr>
                  <w:t>债券名称</w:t>
                </w:r>
              </w:p>
            </w:tc>
          </w:sdtContent>
        </w:sdt>
        <w:sdt>
          <w:sdtPr>
            <w:rPr>
              <w:rFonts w:hint="eastAsia" w:ascii="宋体" w:hAnsi="宋体"/>
              <w:bCs/>
            </w:rPr>
            <w:tag w:val="_PLD_fdd3244a5b664f9682d92e623a4c3dae"/>
            <w:id w:val="313838259"/>
          </w:sdtPr>
          <w:sdtEndPr>
            <w:rPr>
              <w:rFonts w:hint="eastAsia" w:ascii="宋体" w:hAnsi="宋体"/>
              <w:bCs/>
            </w:rPr>
          </w:sdtEndPr>
          <w:sdtContent>
            <w:tc>
              <w:tcPr>
                <w:tcW w:w="714" w:type="pct"/>
                <w:vAlign w:val="center"/>
              </w:tcPr>
              <w:p>
                <w:pPr>
                  <w:jc w:val="center"/>
                  <w:rPr>
                    <w:rFonts w:ascii="宋体" w:hAnsi="宋体"/>
                    <w:bCs/>
                  </w:rPr>
                </w:pPr>
                <w:r>
                  <w:rPr>
                    <w:rFonts w:hint="eastAsia" w:ascii="宋体" w:hAnsi="宋体"/>
                    <w:bCs/>
                  </w:rPr>
                  <w:t>募集资金总金额</w:t>
                </w:r>
              </w:p>
            </w:tc>
          </w:sdtContent>
        </w:sdt>
        <w:sdt>
          <w:sdtPr>
            <w:rPr>
              <w:rFonts w:hint="eastAsia" w:ascii="宋体" w:hAnsi="宋体"/>
              <w:bCs/>
            </w:rPr>
            <w:tag w:val="_PLD_742ba5574f334a2ab6a9c7c022a5c812"/>
            <w:id w:val="-1742864906"/>
          </w:sdtPr>
          <w:sdtEndPr>
            <w:rPr>
              <w:rFonts w:hint="eastAsia" w:ascii="宋体" w:hAnsi="宋体"/>
              <w:bCs/>
            </w:rPr>
          </w:sdtEndPr>
          <w:sdtContent>
            <w:tc>
              <w:tcPr>
                <w:tcW w:w="714" w:type="pct"/>
                <w:vAlign w:val="center"/>
              </w:tcPr>
              <w:p>
                <w:pPr>
                  <w:jc w:val="center"/>
                  <w:rPr>
                    <w:rFonts w:ascii="宋体" w:hAnsi="宋体"/>
                    <w:bCs/>
                  </w:rPr>
                </w:pPr>
                <w:r>
                  <w:rPr>
                    <w:rFonts w:hint="eastAsia" w:ascii="宋体" w:hAnsi="宋体"/>
                    <w:bCs/>
                  </w:rPr>
                  <w:t>已使用金额</w:t>
                </w:r>
              </w:p>
            </w:tc>
          </w:sdtContent>
        </w:sdt>
        <w:sdt>
          <w:sdtPr>
            <w:rPr>
              <w:rFonts w:hint="eastAsia" w:ascii="宋体" w:hAnsi="宋体"/>
              <w:bCs/>
            </w:rPr>
            <w:tag w:val="_PLD_99c2779a81bd444fa41e34296c2bf84e"/>
            <w:id w:val="1018426460"/>
          </w:sdtPr>
          <w:sdtEndPr>
            <w:rPr>
              <w:rFonts w:hint="eastAsia" w:ascii="宋体" w:hAnsi="宋体"/>
              <w:bCs/>
            </w:rPr>
          </w:sdtEndPr>
          <w:sdtContent>
            <w:tc>
              <w:tcPr>
                <w:tcW w:w="714" w:type="pct"/>
                <w:vAlign w:val="center"/>
              </w:tcPr>
              <w:p>
                <w:pPr>
                  <w:jc w:val="center"/>
                  <w:rPr>
                    <w:rFonts w:ascii="宋体" w:hAnsi="宋体"/>
                    <w:bCs/>
                  </w:rPr>
                </w:pPr>
                <w:r>
                  <w:rPr>
                    <w:rFonts w:hint="eastAsia" w:ascii="宋体" w:hAnsi="宋体"/>
                    <w:bCs/>
                  </w:rPr>
                  <w:t>未使用金额</w:t>
                </w:r>
              </w:p>
            </w:tc>
          </w:sdtContent>
        </w:sdt>
        <w:sdt>
          <w:sdtPr>
            <w:rPr>
              <w:rFonts w:hint="eastAsia" w:ascii="宋体" w:hAnsi="宋体"/>
              <w:bCs/>
            </w:rPr>
            <w:tag w:val="_PLD_4a1bbeefdba84e2fa089c94c237854d0"/>
            <w:id w:val="-727681838"/>
          </w:sdtPr>
          <w:sdtEndPr>
            <w:rPr>
              <w:rFonts w:hint="eastAsia" w:ascii="宋体" w:hAnsi="宋体"/>
              <w:bCs/>
            </w:rPr>
          </w:sdtEndPr>
          <w:sdtContent>
            <w:tc>
              <w:tcPr>
                <w:tcW w:w="714" w:type="pct"/>
                <w:vAlign w:val="center"/>
              </w:tcPr>
              <w:p>
                <w:pPr>
                  <w:jc w:val="center"/>
                  <w:rPr>
                    <w:rFonts w:ascii="宋体" w:hAnsi="宋体"/>
                    <w:bCs/>
                  </w:rPr>
                </w:pPr>
                <w:r>
                  <w:rPr>
                    <w:rFonts w:hint="eastAsia" w:ascii="宋体" w:hAnsi="宋体"/>
                    <w:bCs/>
                  </w:rPr>
                  <w:t>募集资金专项账户运作情况（如有）</w:t>
                </w:r>
              </w:p>
            </w:tc>
          </w:sdtContent>
        </w:sdt>
        <w:sdt>
          <w:sdtPr>
            <w:rPr>
              <w:rFonts w:hint="eastAsia" w:ascii="宋体" w:hAnsi="宋体"/>
              <w:bCs/>
            </w:rPr>
            <w:tag w:val="_PLD_09dba7a041b343658c7e86677587e9b9"/>
            <w:id w:val="-244189684"/>
          </w:sdtPr>
          <w:sdtEndPr>
            <w:rPr>
              <w:rFonts w:hint="eastAsia" w:ascii="宋体" w:hAnsi="宋体"/>
              <w:bCs/>
            </w:rPr>
          </w:sdtEndPr>
          <w:sdtContent>
            <w:tc>
              <w:tcPr>
                <w:tcW w:w="714" w:type="pct"/>
                <w:vAlign w:val="center"/>
              </w:tcPr>
              <w:p>
                <w:pPr>
                  <w:jc w:val="center"/>
                  <w:rPr>
                    <w:rFonts w:ascii="宋体" w:hAnsi="宋体"/>
                    <w:bCs/>
                  </w:rPr>
                </w:pPr>
                <w:r>
                  <w:rPr>
                    <w:rFonts w:hint="eastAsia" w:ascii="宋体" w:hAnsi="宋体"/>
                    <w:bCs/>
                  </w:rPr>
                  <w:t>募集资金违规使用的整改情况（如有）</w:t>
                </w:r>
              </w:p>
            </w:tc>
          </w:sdtContent>
        </w:sdt>
        <w:sdt>
          <w:sdtPr>
            <w:rPr>
              <w:rFonts w:hint="eastAsia" w:ascii="宋体" w:hAnsi="宋体"/>
              <w:bCs/>
            </w:rPr>
            <w:tag w:val="_PLD_9537d67d482b4503aeb1fbb5a3a56834"/>
            <w:id w:val="-1721432486"/>
          </w:sdtPr>
          <w:sdtEndPr>
            <w:rPr>
              <w:rFonts w:hint="eastAsia" w:ascii="宋体" w:hAnsi="宋体"/>
              <w:bCs/>
            </w:rPr>
          </w:sdtEndPr>
          <w:sdtContent>
            <w:tc>
              <w:tcPr>
                <w:tcW w:w="715" w:type="pct"/>
                <w:vAlign w:val="center"/>
              </w:tcPr>
              <w:p>
                <w:pPr>
                  <w:jc w:val="center"/>
                  <w:rPr>
                    <w:rFonts w:ascii="宋体" w:hAnsi="宋体"/>
                    <w:bCs/>
                  </w:rPr>
                </w:pPr>
                <w:r>
                  <w:rPr>
                    <w:rFonts w:hint="eastAsia" w:ascii="宋体" w:hAnsi="宋体"/>
                    <w:bCs/>
                  </w:rPr>
                  <w:t>是否与募集说明书承诺的用途、使用计划及其他约定一致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rPr>
              <w:t>2021年度第一期中期票据</w:t>
            </w:r>
          </w:p>
        </w:tc>
        <w:tc>
          <w:tcPr>
            <w:tcW w:w="714" w:type="pct"/>
            <w:vAlign w:val="center"/>
          </w:tcPr>
          <w:p>
            <w:pPr>
              <w:jc w:val="right"/>
              <w:rPr>
                <w:rFonts w:ascii="宋体" w:hAnsi="宋体"/>
                <w:bCs/>
              </w:rPr>
            </w:pPr>
            <w:r>
              <w:rPr>
                <w:rFonts w:ascii="宋体" w:hAnsi="宋体"/>
              </w:rPr>
              <w:t>20</w:t>
            </w:r>
          </w:p>
        </w:tc>
        <w:tc>
          <w:tcPr>
            <w:tcW w:w="714" w:type="pct"/>
            <w:vAlign w:val="center"/>
          </w:tcPr>
          <w:p>
            <w:pPr>
              <w:jc w:val="right"/>
              <w:rPr>
                <w:rFonts w:ascii="宋体" w:hAnsi="宋体"/>
                <w:bCs/>
              </w:rPr>
            </w:pPr>
            <w:r>
              <w:rPr>
                <w:rFonts w:ascii="宋体" w:hAnsi="宋体"/>
              </w:rPr>
              <w:t>20</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right"/>
              <w:rPr>
                <w:rFonts w:ascii="宋体" w:hAnsi="宋体"/>
                <w:bCs/>
              </w:rPr>
            </w:pPr>
            <w:r>
              <w:rPr>
                <w:rFonts w:hint="eastAsia" w:ascii="宋体" w:hAnsi="宋体"/>
              </w:rPr>
              <w:t>-</w:t>
            </w:r>
          </w:p>
        </w:tc>
        <w:tc>
          <w:tcPr>
            <w:tcW w:w="714" w:type="pct"/>
            <w:vAlign w:val="center"/>
          </w:tcPr>
          <w:p>
            <w:pPr>
              <w:jc w:val="right"/>
              <w:rPr>
                <w:rFonts w:ascii="宋体" w:hAnsi="宋体"/>
                <w:bCs/>
              </w:rPr>
            </w:pPr>
            <w:r>
              <w:rPr>
                <w:rFonts w:hint="eastAsia" w:ascii="宋体" w:hAnsi="宋体"/>
              </w:rPr>
              <w:t>-</w:t>
            </w:r>
          </w:p>
        </w:tc>
        <w:sdt>
          <w:sdtPr>
            <w:rPr>
              <w:rFonts w:hint="eastAsia" w:ascii="宋体" w:hAnsi="宋体"/>
              <w:bCs/>
            </w:rPr>
            <w:alias w:val="报告期末募集资金使用情况明细_是否与募集说明书承诺的用途、使用计划及其他约定一致"/>
            <w:tag w:val="_GBC_e3eb7d60d519419ba767f4f20c8a1f3b"/>
            <w:id w:val="-369235306"/>
            <w:comboBox>
              <w:listItem w:displayText="是" w:value="是"/>
              <w:listItem w:displayText="否" w:value="否"/>
            </w:comboBox>
          </w:sdtPr>
          <w:sdtEndPr>
            <w:rPr>
              <w:rFonts w:hint="eastAsia" w:ascii="宋体" w:hAnsi="宋体"/>
              <w:bCs/>
            </w:rPr>
          </w:sdtEndPr>
          <w:sdtContent>
            <w:tc>
              <w:tcPr>
                <w:tcW w:w="715" w:type="pct"/>
                <w:vAlign w:val="center"/>
              </w:tcPr>
              <w:p>
                <w:pPr>
                  <w:jc w:val="center"/>
                  <w:rPr>
                    <w:rFonts w:ascii="宋体" w:hAnsi="宋体"/>
                    <w:bCs/>
                  </w:rPr>
                </w:pPr>
                <w:r>
                  <w:rPr>
                    <w:rFonts w:hint="eastAsia" w:ascii="宋体" w:hAnsi="宋体"/>
                    <w:bCs/>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rPr>
              <w:t>2021年度第二期中期票据</w:t>
            </w:r>
          </w:p>
        </w:tc>
        <w:tc>
          <w:tcPr>
            <w:tcW w:w="714" w:type="pct"/>
            <w:vAlign w:val="center"/>
          </w:tcPr>
          <w:p>
            <w:pPr>
              <w:jc w:val="right"/>
              <w:rPr>
                <w:rFonts w:ascii="宋体" w:hAnsi="宋体"/>
                <w:bCs/>
              </w:rPr>
            </w:pPr>
            <w:r>
              <w:rPr>
                <w:rFonts w:ascii="宋体" w:hAnsi="宋体"/>
              </w:rPr>
              <w:t>20</w:t>
            </w:r>
          </w:p>
        </w:tc>
        <w:tc>
          <w:tcPr>
            <w:tcW w:w="714" w:type="pct"/>
            <w:vAlign w:val="center"/>
          </w:tcPr>
          <w:p>
            <w:pPr>
              <w:jc w:val="right"/>
              <w:rPr>
                <w:rFonts w:ascii="宋体" w:hAnsi="宋体"/>
                <w:bCs/>
              </w:rPr>
            </w:pPr>
            <w:r>
              <w:rPr>
                <w:rFonts w:ascii="宋体" w:hAnsi="宋体"/>
              </w:rPr>
              <w:t>20</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right"/>
              <w:rPr>
                <w:rFonts w:ascii="宋体" w:hAnsi="宋体"/>
                <w:bCs/>
              </w:rPr>
            </w:pPr>
            <w:r>
              <w:rPr>
                <w:rFonts w:ascii="宋体" w:hAnsi="宋体"/>
              </w:rPr>
              <w:t>-</w:t>
            </w:r>
          </w:p>
        </w:tc>
        <w:tc>
          <w:tcPr>
            <w:tcW w:w="714" w:type="pct"/>
            <w:vAlign w:val="center"/>
          </w:tcPr>
          <w:p>
            <w:pPr>
              <w:jc w:val="right"/>
              <w:rPr>
                <w:rFonts w:ascii="宋体" w:hAnsi="宋体"/>
                <w:bCs/>
              </w:rPr>
            </w:pPr>
            <w:r>
              <w:rPr>
                <w:rFonts w:ascii="宋体" w:hAnsi="宋体"/>
              </w:rPr>
              <w:t>-</w:t>
            </w:r>
          </w:p>
        </w:tc>
        <w:sdt>
          <w:sdtPr>
            <w:rPr>
              <w:rFonts w:hint="eastAsia" w:ascii="宋体" w:hAnsi="宋体"/>
              <w:bCs/>
            </w:rPr>
            <w:alias w:val="报告期末募集资金使用情况明细_是否与募集说明书承诺的用途、使用计划及其他约定一致"/>
            <w:tag w:val="_GBC_e3eb7d60d519419ba767f4f20c8a1f3b"/>
            <w:id w:val="-643424961"/>
            <w:comboBox>
              <w:listItem w:displayText="是" w:value="是"/>
              <w:listItem w:displayText="否" w:value="否"/>
            </w:comboBox>
          </w:sdtPr>
          <w:sdtEndPr>
            <w:rPr>
              <w:rFonts w:hint="eastAsia" w:ascii="宋体" w:hAnsi="宋体"/>
              <w:bCs/>
            </w:rPr>
          </w:sdtEndPr>
          <w:sdtContent>
            <w:tc>
              <w:tcPr>
                <w:tcW w:w="715" w:type="pct"/>
                <w:vAlign w:val="center"/>
              </w:tcPr>
              <w:p>
                <w:pPr>
                  <w:jc w:val="center"/>
                  <w:rPr>
                    <w:rFonts w:ascii="宋体" w:hAnsi="宋体"/>
                    <w:bCs/>
                  </w:rPr>
                </w:pPr>
                <w:r>
                  <w:rPr>
                    <w:rFonts w:hint="eastAsia" w:ascii="宋体" w:hAnsi="宋体"/>
                    <w:bCs/>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bCs/>
              </w:rPr>
            </w:pPr>
            <w:r>
              <w:rPr>
                <w:rFonts w:ascii="宋体" w:hAnsi="宋体"/>
              </w:rPr>
              <w:t>2022年度第一期中期票据(品种一)</w:t>
            </w:r>
          </w:p>
        </w:tc>
        <w:tc>
          <w:tcPr>
            <w:tcW w:w="714" w:type="pct"/>
            <w:vAlign w:val="center"/>
          </w:tcPr>
          <w:p>
            <w:pPr>
              <w:jc w:val="right"/>
              <w:rPr>
                <w:rFonts w:ascii="宋体" w:hAnsi="宋体"/>
                <w:bCs/>
              </w:rPr>
            </w:pPr>
            <w:r>
              <w:rPr>
                <w:rFonts w:hint="eastAsia" w:ascii="宋体" w:hAnsi="宋体"/>
              </w:rPr>
              <w:t>2</w:t>
            </w:r>
            <w:r>
              <w:rPr>
                <w:rFonts w:ascii="宋体" w:hAnsi="宋体"/>
              </w:rPr>
              <w:t>5</w:t>
            </w:r>
          </w:p>
        </w:tc>
        <w:tc>
          <w:tcPr>
            <w:tcW w:w="714" w:type="pct"/>
            <w:vAlign w:val="center"/>
          </w:tcPr>
          <w:p>
            <w:pPr>
              <w:jc w:val="right"/>
              <w:rPr>
                <w:rFonts w:ascii="宋体" w:hAnsi="宋体"/>
                <w:bCs/>
              </w:rPr>
            </w:pPr>
            <w:r>
              <w:rPr>
                <w:rFonts w:hint="eastAsia" w:ascii="宋体" w:hAnsi="宋体"/>
              </w:rPr>
              <w:t>2</w:t>
            </w:r>
            <w:r>
              <w:rPr>
                <w:rFonts w:ascii="宋体" w:hAnsi="宋体"/>
              </w:rPr>
              <w:t>5</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right"/>
              <w:rPr>
                <w:rFonts w:ascii="宋体" w:hAnsi="宋体"/>
                <w:bCs/>
              </w:rPr>
            </w:pPr>
            <w:r>
              <w:rPr>
                <w:rFonts w:ascii="宋体" w:hAnsi="宋体"/>
              </w:rPr>
              <w:t>-</w:t>
            </w:r>
          </w:p>
        </w:tc>
        <w:tc>
          <w:tcPr>
            <w:tcW w:w="714" w:type="pct"/>
            <w:vAlign w:val="center"/>
          </w:tcPr>
          <w:p>
            <w:pPr>
              <w:jc w:val="right"/>
              <w:rPr>
                <w:rFonts w:ascii="宋体" w:hAnsi="宋体"/>
                <w:bCs/>
              </w:rPr>
            </w:pPr>
            <w:r>
              <w:rPr>
                <w:rFonts w:ascii="宋体" w:hAnsi="宋体"/>
              </w:rPr>
              <w:t>-</w:t>
            </w:r>
          </w:p>
        </w:tc>
        <w:tc>
          <w:tcPr>
            <w:tcW w:w="715" w:type="pct"/>
            <w:vAlign w:val="center"/>
          </w:tcPr>
          <w:p>
            <w:pPr>
              <w:jc w:val="center"/>
              <w:rPr>
                <w:rFonts w:ascii="宋体" w:hAnsi="宋体"/>
                <w:bCs/>
              </w:rPr>
            </w:pPr>
            <w:r>
              <w:rPr>
                <w:rFonts w:hint="eastAsia" w:ascii="宋体" w:hAnsi="宋体"/>
                <w:bCs/>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rPr>
            </w:pPr>
            <w:r>
              <w:rPr>
                <w:rFonts w:ascii="宋体" w:hAnsi="宋体"/>
              </w:rPr>
              <w:t>2022年度第一期中期票据(品种二)</w:t>
            </w:r>
          </w:p>
        </w:tc>
        <w:tc>
          <w:tcPr>
            <w:tcW w:w="714" w:type="pct"/>
            <w:vAlign w:val="center"/>
          </w:tcPr>
          <w:p>
            <w:pPr>
              <w:jc w:val="right"/>
              <w:rPr>
                <w:rFonts w:ascii="宋体" w:hAnsi="宋体"/>
                <w:bCs/>
              </w:rPr>
            </w:pPr>
            <w:r>
              <w:rPr>
                <w:rFonts w:hint="eastAsia" w:ascii="宋体" w:hAnsi="宋体"/>
              </w:rPr>
              <w:t>5</w:t>
            </w:r>
          </w:p>
        </w:tc>
        <w:tc>
          <w:tcPr>
            <w:tcW w:w="714" w:type="pct"/>
            <w:vAlign w:val="center"/>
          </w:tcPr>
          <w:p>
            <w:pPr>
              <w:jc w:val="right"/>
              <w:rPr>
                <w:rFonts w:ascii="宋体" w:hAnsi="宋体"/>
                <w:bCs/>
              </w:rPr>
            </w:pPr>
            <w:r>
              <w:rPr>
                <w:rFonts w:hint="eastAsia" w:ascii="宋体" w:hAnsi="宋体"/>
              </w:rPr>
              <w:t>5</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right"/>
              <w:rPr>
                <w:rFonts w:ascii="宋体" w:hAnsi="宋体"/>
                <w:bCs/>
              </w:rPr>
            </w:pPr>
            <w:r>
              <w:rPr>
                <w:rFonts w:ascii="宋体" w:hAnsi="宋体"/>
              </w:rPr>
              <w:t>-</w:t>
            </w:r>
          </w:p>
        </w:tc>
        <w:tc>
          <w:tcPr>
            <w:tcW w:w="714" w:type="pct"/>
            <w:vAlign w:val="center"/>
          </w:tcPr>
          <w:p>
            <w:pPr>
              <w:jc w:val="right"/>
              <w:rPr>
                <w:rFonts w:ascii="宋体" w:hAnsi="宋体"/>
                <w:bCs/>
              </w:rPr>
            </w:pPr>
            <w:r>
              <w:rPr>
                <w:rFonts w:ascii="宋体" w:hAnsi="宋体"/>
              </w:rPr>
              <w:t>-</w:t>
            </w:r>
          </w:p>
        </w:tc>
        <w:tc>
          <w:tcPr>
            <w:tcW w:w="715" w:type="pct"/>
            <w:vAlign w:val="center"/>
          </w:tcPr>
          <w:p>
            <w:pPr>
              <w:jc w:val="center"/>
              <w:rPr>
                <w:rFonts w:ascii="宋体" w:hAnsi="宋体"/>
                <w:bCs/>
              </w:rPr>
            </w:pPr>
            <w:r>
              <w:rPr>
                <w:rFonts w:hint="eastAsia" w:ascii="宋体" w:hAnsi="宋体"/>
                <w:bCs/>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rPr>
            </w:pPr>
            <w:r>
              <w:rPr>
                <w:rFonts w:ascii="宋体" w:hAnsi="宋体"/>
              </w:rPr>
              <w:t>2022年度第二期中期票据</w:t>
            </w:r>
          </w:p>
        </w:tc>
        <w:tc>
          <w:tcPr>
            <w:tcW w:w="714" w:type="pct"/>
            <w:vAlign w:val="center"/>
          </w:tcPr>
          <w:p>
            <w:pPr>
              <w:jc w:val="right"/>
              <w:rPr>
                <w:rFonts w:ascii="宋体" w:hAnsi="宋体"/>
                <w:bCs/>
              </w:rPr>
            </w:pPr>
            <w:r>
              <w:rPr>
                <w:rFonts w:hint="eastAsia" w:ascii="宋体" w:hAnsi="宋体"/>
              </w:rPr>
              <w:t>2</w:t>
            </w:r>
            <w:r>
              <w:rPr>
                <w:rFonts w:ascii="宋体" w:hAnsi="宋体"/>
              </w:rPr>
              <w:t>0</w:t>
            </w:r>
          </w:p>
        </w:tc>
        <w:tc>
          <w:tcPr>
            <w:tcW w:w="714" w:type="pct"/>
            <w:vAlign w:val="center"/>
          </w:tcPr>
          <w:p>
            <w:pPr>
              <w:jc w:val="right"/>
              <w:rPr>
                <w:rFonts w:ascii="宋体" w:hAnsi="宋体"/>
                <w:bCs/>
              </w:rPr>
            </w:pPr>
            <w:r>
              <w:rPr>
                <w:rFonts w:hint="eastAsia" w:ascii="宋体" w:hAnsi="宋体"/>
              </w:rPr>
              <w:t>2</w:t>
            </w:r>
            <w:r>
              <w:rPr>
                <w:rFonts w:ascii="宋体" w:hAnsi="宋体"/>
              </w:rPr>
              <w:t>0</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right"/>
              <w:rPr>
                <w:rFonts w:ascii="宋体" w:hAnsi="宋体"/>
                <w:bCs/>
              </w:rPr>
            </w:pPr>
            <w:r>
              <w:rPr>
                <w:rFonts w:ascii="宋体" w:hAnsi="宋体"/>
              </w:rPr>
              <w:t>-</w:t>
            </w:r>
          </w:p>
        </w:tc>
        <w:tc>
          <w:tcPr>
            <w:tcW w:w="714" w:type="pct"/>
            <w:vAlign w:val="center"/>
          </w:tcPr>
          <w:p>
            <w:pPr>
              <w:jc w:val="right"/>
              <w:rPr>
                <w:rFonts w:ascii="宋体" w:hAnsi="宋体"/>
                <w:bCs/>
              </w:rPr>
            </w:pPr>
            <w:r>
              <w:rPr>
                <w:rFonts w:ascii="宋体" w:hAnsi="宋体"/>
              </w:rPr>
              <w:t>-</w:t>
            </w:r>
          </w:p>
        </w:tc>
        <w:tc>
          <w:tcPr>
            <w:tcW w:w="715" w:type="pct"/>
            <w:vAlign w:val="center"/>
          </w:tcPr>
          <w:p>
            <w:pPr>
              <w:jc w:val="center"/>
              <w:rPr>
                <w:rFonts w:ascii="宋体" w:hAnsi="宋体"/>
                <w:bCs/>
              </w:rPr>
            </w:pPr>
            <w:r>
              <w:rPr>
                <w:rFonts w:hint="eastAsia" w:ascii="宋体" w:hAnsi="宋体"/>
                <w:bCs/>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rPr>
            </w:pPr>
            <w:r>
              <w:rPr>
                <w:rFonts w:ascii="宋体" w:hAnsi="宋体"/>
              </w:rPr>
              <w:t>2023年度第一期中期票据</w:t>
            </w:r>
          </w:p>
        </w:tc>
        <w:tc>
          <w:tcPr>
            <w:tcW w:w="714" w:type="pct"/>
            <w:vAlign w:val="center"/>
          </w:tcPr>
          <w:p>
            <w:pPr>
              <w:jc w:val="right"/>
              <w:rPr>
                <w:rFonts w:ascii="宋体" w:hAnsi="宋体"/>
                <w:bCs/>
              </w:rPr>
            </w:pPr>
            <w:r>
              <w:rPr>
                <w:rFonts w:hint="eastAsia" w:ascii="宋体" w:hAnsi="宋体"/>
              </w:rPr>
              <w:t>20</w:t>
            </w:r>
          </w:p>
        </w:tc>
        <w:tc>
          <w:tcPr>
            <w:tcW w:w="714" w:type="pct"/>
            <w:vAlign w:val="center"/>
          </w:tcPr>
          <w:p>
            <w:pPr>
              <w:jc w:val="right"/>
              <w:rPr>
                <w:rFonts w:ascii="宋体" w:hAnsi="宋体"/>
                <w:bCs/>
              </w:rPr>
            </w:pPr>
            <w:r>
              <w:rPr>
                <w:rFonts w:hint="eastAsia" w:ascii="宋体" w:hAnsi="宋体"/>
              </w:rPr>
              <w:t>20</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right"/>
              <w:rPr>
                <w:rFonts w:ascii="宋体" w:hAnsi="宋体"/>
                <w:bCs/>
              </w:rPr>
            </w:pPr>
            <w:r>
              <w:rPr>
                <w:rFonts w:ascii="宋体" w:hAnsi="宋体"/>
              </w:rPr>
              <w:t>-</w:t>
            </w:r>
          </w:p>
        </w:tc>
        <w:tc>
          <w:tcPr>
            <w:tcW w:w="714" w:type="pct"/>
            <w:vAlign w:val="center"/>
          </w:tcPr>
          <w:p>
            <w:pPr>
              <w:jc w:val="right"/>
              <w:rPr>
                <w:rFonts w:ascii="宋体" w:hAnsi="宋体"/>
                <w:bCs/>
              </w:rPr>
            </w:pPr>
            <w:r>
              <w:rPr>
                <w:rFonts w:ascii="宋体" w:hAnsi="宋体"/>
              </w:rPr>
              <w:t>-</w:t>
            </w:r>
          </w:p>
        </w:tc>
        <w:tc>
          <w:tcPr>
            <w:tcW w:w="715" w:type="pct"/>
            <w:vAlign w:val="center"/>
          </w:tcPr>
          <w:p>
            <w:pPr>
              <w:jc w:val="center"/>
              <w:rPr>
                <w:rFonts w:ascii="宋体" w:hAnsi="宋体"/>
                <w:bCs/>
              </w:rPr>
            </w:pPr>
            <w:r>
              <w:rPr>
                <w:rFonts w:hint="eastAsia" w:ascii="宋体" w:hAnsi="宋体"/>
                <w:bCs/>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rPr>
                <w:rFonts w:ascii="宋体" w:hAnsi="宋体"/>
              </w:rPr>
            </w:pPr>
            <w:r>
              <w:rPr>
                <w:rFonts w:ascii="宋体" w:hAnsi="宋体"/>
              </w:rPr>
              <w:t>2023年度第二期中期票据(科创票据)</w:t>
            </w:r>
          </w:p>
        </w:tc>
        <w:tc>
          <w:tcPr>
            <w:tcW w:w="714" w:type="pct"/>
            <w:vAlign w:val="center"/>
          </w:tcPr>
          <w:p>
            <w:pPr>
              <w:jc w:val="right"/>
              <w:rPr>
                <w:rFonts w:ascii="宋体" w:hAnsi="宋体"/>
                <w:bCs/>
              </w:rPr>
            </w:pPr>
            <w:r>
              <w:rPr>
                <w:rFonts w:hint="eastAsia" w:ascii="宋体" w:hAnsi="宋体"/>
              </w:rPr>
              <w:t>30</w:t>
            </w:r>
          </w:p>
        </w:tc>
        <w:tc>
          <w:tcPr>
            <w:tcW w:w="714" w:type="pct"/>
            <w:vAlign w:val="center"/>
          </w:tcPr>
          <w:p>
            <w:pPr>
              <w:jc w:val="right"/>
              <w:rPr>
                <w:rFonts w:ascii="宋体" w:hAnsi="宋体"/>
                <w:bCs/>
              </w:rPr>
            </w:pPr>
            <w:r>
              <w:rPr>
                <w:rFonts w:hint="eastAsia" w:ascii="宋体" w:hAnsi="宋体"/>
              </w:rPr>
              <w:t>30</w:t>
            </w:r>
          </w:p>
        </w:tc>
        <w:tc>
          <w:tcPr>
            <w:tcW w:w="714" w:type="pct"/>
            <w:vAlign w:val="center"/>
          </w:tcPr>
          <w:p>
            <w:pPr>
              <w:jc w:val="right"/>
              <w:rPr>
                <w:rFonts w:ascii="宋体" w:hAnsi="宋体"/>
                <w:bCs/>
              </w:rPr>
            </w:pPr>
            <w:r>
              <w:rPr>
                <w:rFonts w:hint="eastAsia" w:ascii="宋体" w:hAnsi="宋体"/>
              </w:rPr>
              <w:t>0</w:t>
            </w:r>
          </w:p>
        </w:tc>
        <w:tc>
          <w:tcPr>
            <w:tcW w:w="714" w:type="pct"/>
            <w:vAlign w:val="center"/>
          </w:tcPr>
          <w:p>
            <w:pPr>
              <w:jc w:val="right"/>
              <w:rPr>
                <w:rFonts w:ascii="宋体" w:hAnsi="宋体"/>
                <w:bCs/>
              </w:rPr>
            </w:pPr>
            <w:r>
              <w:rPr>
                <w:rFonts w:ascii="宋体" w:hAnsi="宋体"/>
              </w:rPr>
              <w:t>-</w:t>
            </w:r>
          </w:p>
        </w:tc>
        <w:tc>
          <w:tcPr>
            <w:tcW w:w="714" w:type="pct"/>
            <w:vAlign w:val="center"/>
          </w:tcPr>
          <w:p>
            <w:pPr>
              <w:jc w:val="right"/>
              <w:rPr>
                <w:rFonts w:ascii="宋体" w:hAnsi="宋体"/>
                <w:bCs/>
              </w:rPr>
            </w:pPr>
            <w:r>
              <w:rPr>
                <w:rFonts w:ascii="宋体" w:hAnsi="宋体"/>
              </w:rPr>
              <w:t>-</w:t>
            </w:r>
          </w:p>
        </w:tc>
        <w:tc>
          <w:tcPr>
            <w:tcW w:w="715" w:type="pct"/>
            <w:vAlign w:val="center"/>
          </w:tcPr>
          <w:p>
            <w:pPr>
              <w:jc w:val="center"/>
              <w:rPr>
                <w:rFonts w:ascii="宋体" w:hAnsi="宋体"/>
                <w:bCs/>
              </w:rPr>
            </w:pPr>
            <w:r>
              <w:rPr>
                <w:rFonts w:hint="eastAsia" w:ascii="宋体" w:hAnsi="宋体"/>
                <w:bCs/>
              </w:rPr>
              <w:t>是</w:t>
            </w:r>
          </w:p>
        </w:tc>
      </w:tr>
    </w:tbl>
    <w:p>
      <w:pPr>
        <w:rPr>
          <w:bCs/>
          <w:color w:val="333399"/>
        </w:rPr>
      </w:pPr>
    </w:p>
    <w:p>
      <w:pPr>
        <w:rPr>
          <w:rFonts w:hAnsi="Arial"/>
          <w:bCs/>
        </w:rPr>
      </w:pPr>
      <w:r>
        <w:rPr>
          <w:rFonts w:hint="eastAsia" w:hAnsi="Arial"/>
          <w:bCs/>
        </w:rPr>
        <w:t>募集资金用于建设项目的进展情况及运营效益</w:t>
      </w:r>
    </w:p>
    <w:sdt>
      <w:sdtPr>
        <w:alias w:val="是否适用：募集资金用于建设项目的进展情况及运营效益[双击切换]"/>
        <w:tag w:val="_GBC_889aa778041a40648384b93c0195efa9"/>
        <w:id w:val="1437563183"/>
        <w:placeholder>
          <w:docPart w:val="GBC22222222222222222222222222222"/>
        </w:placeholder>
      </w:sdtPr>
      <w:sdtContent>
        <w:p>
          <w:pPr>
            <w:rPr>
              <w:bCs/>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bCs/>
        </w:rPr>
      </w:pPr>
    </w:p>
    <w:p>
      <w:pPr>
        <w:rPr>
          <w:rFonts w:hAnsi="Arial"/>
          <w:bCs/>
        </w:rPr>
      </w:pPr>
      <w:r>
        <w:rPr>
          <w:rFonts w:hint="eastAsia" w:hAnsi="Arial"/>
          <w:bCs/>
        </w:rPr>
        <w:t>报告期内变更上述债券募集资金用途的说明</w:t>
      </w:r>
    </w:p>
    <w:sdt>
      <w:sdtPr>
        <w:alias w:val="是否适用：报告期内变更上述债券募集资金用途的说明 [双击切换]"/>
        <w:tag w:val="_GBC_f466faf20dc74dc290e3745581c57bea"/>
        <w:id w:val="1583640384"/>
        <w:placeholder>
          <w:docPart w:val="GBC22222222222222222222222222222"/>
        </w:placeholder>
      </w:sdtPr>
      <w:sdtContent>
        <w:p>
          <w:pPr>
            <w:rPr>
              <w:bCs/>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bCs/>
        </w:rPr>
      </w:pPr>
    </w:p>
    <w:p>
      <w:pPr>
        <w:adjustRightInd w:val="0"/>
        <w:snapToGrid w:val="0"/>
        <w:rPr>
          <w:rFonts w:hAnsi="Arial"/>
          <w:bCs/>
        </w:rPr>
      </w:pPr>
      <w:r>
        <w:rPr>
          <w:rFonts w:hint="eastAsia" w:ascii="Arial" w:hAnsi="Arial"/>
          <w:bCs/>
        </w:rPr>
        <w:t>其他</w:t>
      </w:r>
      <w:r>
        <w:rPr>
          <w:rFonts w:hint="eastAsia" w:hAnsi="Arial"/>
          <w:bCs/>
        </w:rPr>
        <w:t>说明</w:t>
      </w:r>
    </w:p>
    <w:sdt>
      <w:sdtPr>
        <w:rPr>
          <w:rFonts w:hAnsi="Arial"/>
          <w:bCs/>
        </w:rPr>
        <w:alias w:val="是否适用：报告期末募集资金使用情况其他说明[双击切换]"/>
        <w:tag w:val="_GBC_4107976095f84888a5c05787369bf005"/>
        <w:id w:val="1236045590"/>
        <w:placeholder>
          <w:docPart w:val="GBC22222222222222222222222222222"/>
        </w:placeholder>
      </w:sdtPr>
      <w:sdtEndPr>
        <w:rPr>
          <w:rFonts w:hAnsi="Arial"/>
          <w:bCs/>
        </w:rPr>
      </w:sdtEndPr>
      <w:sdtContent>
        <w:p>
          <w:pPr>
            <w:adjustRightInd w:val="0"/>
            <w:snapToGrid w:val="0"/>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rPr>
          <w:b/>
          <w:bCs/>
        </w:rPr>
      </w:pPr>
    </w:p>
    <w:p>
      <w:pPr>
        <w:pStyle w:val="5"/>
        <w:numPr>
          <w:ilvl w:val="0"/>
          <w:numId w:val="56"/>
        </w:numPr>
        <w:ind w:left="425" w:hanging="425"/>
        <w:rPr>
          <w:rFonts w:ascii="宋体" w:hAnsi="宋体" w:cs="宋体"/>
          <w:kern w:val="0"/>
          <w:szCs w:val="24"/>
        </w:rPr>
      </w:pPr>
      <w:r>
        <w:rPr>
          <w:rFonts w:hint="eastAsia" w:ascii="宋体" w:hAnsi="宋体" w:cs="宋体"/>
          <w:kern w:val="0"/>
          <w:szCs w:val="24"/>
        </w:rPr>
        <w:t>信用评级结果调整</w:t>
      </w:r>
      <w:r>
        <w:rPr>
          <w:rFonts w:hint="eastAsia" w:ascii="宋体" w:hAnsi="宋体" w:eastAsia="宋体" w:cs="宋体"/>
          <w:kern w:val="0"/>
          <w:szCs w:val="24"/>
        </w:rPr>
        <w:t>情况</w:t>
      </w:r>
    </w:p>
    <w:sdt>
      <w:sdtPr>
        <w:rPr>
          <w:rFonts w:hint="eastAsia"/>
          <w:bCs/>
          <w:color w:val="000000" w:themeColor="text1"/>
          <w14:textFill>
            <w14:solidFill>
              <w14:schemeClr w14:val="tx1"/>
            </w14:solidFill>
          </w14:textFill>
        </w:rPr>
        <w:alias w:val="是否适用：公司债券评级情况[双击切换]"/>
        <w:tag w:val="_GBC_31eb39672f4546a5be5c29b18bea7009"/>
        <w:id w:val="-1339533907"/>
        <w:placeholder>
          <w:docPart w:val="GBC22222222222222222222222222222"/>
        </w:placeholder>
      </w:sdtPr>
      <w:sdtEndPr>
        <w:rPr>
          <w:rFonts w:hint="eastAsia"/>
          <w:bCs/>
          <w:color w:val="000000" w:themeColor="text1"/>
          <w14:textFill>
            <w14:solidFill>
              <w14:schemeClr w14:val="tx1"/>
            </w14:solidFill>
          </w14:textFill>
        </w:rPr>
      </w:sdtEndPr>
      <w:sdtContent>
        <w:p>
          <w:pPr>
            <w:rPr>
              <w:bCs/>
              <w:color w:val="000000" w:themeColor="text1"/>
              <w14:textFill>
                <w14:solidFill>
                  <w14:schemeClr w14:val="tx1"/>
                </w14:solidFill>
              </w14:textFill>
            </w:rPr>
          </w:pPr>
          <w:bookmarkStart w:id="191" w:name="_Hlk89419990"/>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pPr>
    </w:p>
    <w:p>
      <w:pPr>
        <w:adjustRightInd w:val="0"/>
        <w:snapToGrid w:val="0"/>
        <w:rPr>
          <w:rFonts w:hAnsi="Arial"/>
          <w:bCs/>
        </w:rPr>
      </w:pPr>
      <w:r>
        <w:rPr>
          <w:rFonts w:hint="eastAsia" w:ascii="Arial" w:hAnsi="Arial"/>
          <w:bCs/>
        </w:rPr>
        <w:t>其他</w:t>
      </w:r>
      <w:r>
        <w:rPr>
          <w:rFonts w:hint="eastAsia" w:hAnsi="Arial"/>
          <w:bCs/>
        </w:rPr>
        <w:t>说明</w:t>
      </w:r>
    </w:p>
    <w:sdt>
      <w:sdtPr>
        <w:rPr>
          <w:rFonts w:hint="eastAsia" w:hAnsi="Arial"/>
          <w:bCs/>
        </w:rPr>
        <w:alias w:val="是否适用：信用评级结果调整情况其他说明[双击切换]"/>
        <w:tag w:val="_GBC_7e4fa52d7af6424886f87928047e8b0e"/>
        <w:id w:val="690502995"/>
        <w:placeholder>
          <w:docPart w:val="GBC22222222222222222222222222222"/>
        </w:placeholder>
      </w:sdtPr>
      <w:sdtEndPr>
        <w:rPr>
          <w:rFonts w:hint="eastAsia" w:hAnsi="Arial"/>
          <w:bCs/>
        </w:rPr>
      </w:sdtEndPr>
      <w:sdtContent>
        <w:p>
          <w:pPr>
            <w:adjustRightInd w:val="0"/>
            <w:snapToGrid w:val="0"/>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rPr>
          <w:b/>
          <w:bCs/>
        </w:rPr>
      </w:pPr>
    </w:p>
    <w:p>
      <w:pPr>
        <w:pStyle w:val="5"/>
        <w:numPr>
          <w:ilvl w:val="0"/>
          <w:numId w:val="56"/>
        </w:numPr>
        <w:ind w:left="425" w:hanging="425"/>
        <w:rPr>
          <w:rFonts w:ascii="宋体" w:hAnsi="宋体" w:cs="宋体"/>
          <w:kern w:val="0"/>
          <w:szCs w:val="24"/>
        </w:rPr>
      </w:pPr>
      <w:r>
        <w:rPr>
          <w:rFonts w:hint="eastAsia" w:ascii="宋体" w:hAnsi="宋体" w:cs="宋体"/>
          <w:kern w:val="0"/>
          <w:szCs w:val="24"/>
        </w:rPr>
        <w:t>担保情况、偿债计划及其他偿债保障措施在报告期内的执行和变化情况及其影响</w:t>
      </w:r>
    </w:p>
    <w:sdt>
      <w:sdtPr>
        <w:rPr>
          <w:bCs/>
          <w:color w:val="000000" w:themeColor="text1"/>
          <w14:textFill>
            <w14:solidFill>
              <w14:schemeClr w14:val="tx1"/>
            </w14:solidFill>
          </w14:textFill>
        </w:rPr>
        <w:alias w:val="是否适用：担保情况、偿债计划及其他偿债保障措施在报告期内的执行情况和变化情况及对债券投资者权益的影响[双击切换]"/>
        <w:tag w:val="_GBC_d21d79497e224dacbc0e2900506c093e"/>
        <w:id w:val="-165010271"/>
        <w:placeholder>
          <w:docPart w:val="GBC22222222222222222222222222222"/>
        </w:placeholder>
      </w:sdtPr>
      <w:sdtEndPr>
        <w:rPr>
          <w:bCs/>
          <w:color w:val="000000" w:themeColor="text1"/>
          <w14:textFill>
            <w14:solidFill>
              <w14:schemeClr w14:val="tx1"/>
            </w14:solidFill>
          </w14:textFill>
        </w:rPr>
      </w:sdtEndPr>
      <w:sdtContent>
        <w:p>
          <w:pPr>
            <w:rPr>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bCs/>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p>
      <w:pP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本公司所发行债务融资工具担保情况、偿债计划及其他偿债保障措施与募集说明书保持一致，报告期内未发生变化。</w:t>
      </w:r>
    </w:p>
    <w:p>
      <w:pPr>
        <w:rPr>
          <w:bCs/>
          <w:color w:val="000000" w:themeColor="text1"/>
          <w14:textFill>
            <w14:solidFill>
              <w14:schemeClr w14:val="tx1"/>
            </w14:solidFill>
          </w14:textFill>
        </w:rPr>
      </w:pPr>
    </w:p>
    <w:p>
      <w:pPr>
        <w:pStyle w:val="5"/>
        <w:numPr>
          <w:ilvl w:val="0"/>
          <w:numId w:val="56"/>
        </w:numPr>
        <w:ind w:left="425" w:hanging="425"/>
        <w:rPr>
          <w:rFonts w:ascii="宋体" w:hAnsi="宋体" w:cs="宋体"/>
          <w:kern w:val="0"/>
          <w:szCs w:val="24"/>
        </w:rPr>
      </w:pPr>
      <w:r>
        <w:rPr>
          <w:rFonts w:ascii="宋体" w:hAnsi="宋体" w:cs="宋体"/>
          <w:kern w:val="0"/>
          <w:szCs w:val="24"/>
        </w:rPr>
        <w:t>非金融企业债务融资工具</w:t>
      </w:r>
      <w:r>
        <w:rPr>
          <w:rFonts w:hint="eastAsia" w:ascii="宋体" w:hAnsi="宋体" w:cs="宋体"/>
          <w:kern w:val="0"/>
          <w:szCs w:val="24"/>
        </w:rPr>
        <w:t>其他情况的说明</w:t>
      </w:r>
    </w:p>
    <w:bookmarkEnd w:id="190"/>
    <w:bookmarkEnd w:id="191"/>
    <w:sdt>
      <w:sdtPr>
        <w:rPr>
          <w:bCs/>
        </w:rPr>
        <w:alias w:val="是否适用：非金融企业债务融资工具其他情况的说明[双击切换]"/>
        <w:tag w:val="_GBC_11da1877dac545d2bac0a16dacfa0f04"/>
        <w:id w:val="2090721230"/>
        <w:placeholder>
          <w:docPart w:val="GBC22222222222222222222222222222"/>
        </w:placeholder>
      </w:sdtPr>
      <w:sdtEndPr>
        <w:rPr>
          <w:bCs/>
        </w:rPr>
      </w:sdtEndPr>
      <w:sdtContent>
        <w:p>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rPr>
          <w:bCs/>
        </w:rPr>
      </w:pPr>
    </w:p>
    <w:p>
      <w:pPr>
        <w:pStyle w:val="4"/>
        <w:numPr>
          <w:ilvl w:val="0"/>
          <w:numId w:val="54"/>
        </w:numPr>
        <w:ind w:left="425" w:hanging="425"/>
        <w:rPr>
          <w:rFonts w:ascii="宋体" w:hAnsi="宋体"/>
        </w:rPr>
      </w:pPr>
      <w:r>
        <w:rPr>
          <w:rFonts w:ascii="宋体" w:hAnsi="宋体"/>
        </w:rPr>
        <w:t>公司报告期内合并报表范围亏损超过上年末净资产10%</w:t>
      </w:r>
    </w:p>
    <w:sdt>
      <w:sdtPr>
        <w:rPr>
          <w:bCs/>
        </w:rPr>
        <w:alias w:val="是否适用：公司报告期内合并报表范围亏损超过上年末净资产10% [双击切换]"/>
        <w:tag w:val="_GBC_a7df93b62ba940818039a51a119d0f02"/>
        <w:id w:val="1343364858"/>
        <w:placeholder>
          <w:docPart w:val="GBC22222222222222222222222222222"/>
        </w:placeholder>
      </w:sdtPr>
      <w:sdtEndPr>
        <w:rPr>
          <w:bCs/>
        </w:rPr>
      </w:sdtEndPr>
      <w:sdtContent>
        <w:p>
          <w:pPr>
            <w:adjustRightInd w:val="0"/>
            <w:snapToGrid w:val="0"/>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adjustRightInd w:val="0"/>
        <w:snapToGrid w:val="0"/>
        <w:rPr>
          <w:bCs/>
        </w:rPr>
      </w:pPr>
    </w:p>
    <w:p>
      <w:pPr>
        <w:pStyle w:val="4"/>
        <w:numPr>
          <w:ilvl w:val="0"/>
          <w:numId w:val="54"/>
        </w:numPr>
        <w:ind w:left="425" w:hanging="425"/>
        <w:rPr>
          <w:rFonts w:ascii="宋体" w:hAnsi="宋体" w:cs="宋体"/>
          <w:kern w:val="0"/>
          <w:szCs w:val="24"/>
        </w:rPr>
      </w:pPr>
      <w:r>
        <w:rPr>
          <w:rFonts w:hint="eastAsia" w:ascii="宋体" w:hAnsi="宋体" w:cs="宋体"/>
          <w:kern w:val="0"/>
          <w:szCs w:val="24"/>
        </w:rPr>
        <w:t>报告期末除债券外的有息债务逾期情况</w:t>
      </w:r>
    </w:p>
    <w:bookmarkEnd w:id="170"/>
    <w:sdt>
      <w:sdtPr>
        <w:rPr>
          <w:rFonts w:ascii="Arial" w:hAnsi="Arial"/>
          <w:bCs/>
        </w:rPr>
        <w:alias w:val="是否适用：报告期末除债券外的有息债务逾期情况[双击切换]"/>
        <w:tag w:val="_GBC_0fb37eae114040d9ac80c1e9f3088a62"/>
        <w:id w:val="-1541197710"/>
        <w:placeholder>
          <w:docPart w:val="GBC22222222222222222222222222222"/>
        </w:placeholder>
      </w:sdtPr>
      <w:sdtEndPr>
        <w:rPr>
          <w:rFonts w:ascii="Arial" w:hAnsi="Arial"/>
          <w:bCs/>
        </w:rPr>
      </w:sdtEndPr>
      <w:sdtContent>
        <w:p>
          <w:pPr>
            <w:rPr>
              <w:bCs/>
            </w:rPr>
          </w:pPr>
          <w:bookmarkStart w:id="192" w:name="_Hlk89434058"/>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bookmarkEnd w:id="192"/>
    <w:p>
      <w:pPr>
        <w:pStyle w:val="72"/>
        <w:rPr>
          <w:rFonts w:ascii="宋体" w:hAnsi="宋体"/>
          <w:strike/>
          <w:szCs w:val="21"/>
        </w:rPr>
      </w:pPr>
    </w:p>
    <w:p>
      <w:pPr>
        <w:pStyle w:val="4"/>
        <w:numPr>
          <w:ilvl w:val="0"/>
          <w:numId w:val="54"/>
        </w:numPr>
        <w:ind w:left="0" w:firstLine="0"/>
        <w:rPr>
          <w:rFonts w:ascii="宋体" w:hAnsi="宋体" w:cs="宋体"/>
          <w:kern w:val="0"/>
          <w:szCs w:val="24"/>
        </w:rPr>
      </w:pPr>
      <w:r>
        <w:rPr>
          <w:rFonts w:hint="eastAsia" w:ascii="宋体" w:hAnsi="宋体" w:cs="宋体"/>
          <w:kern w:val="0"/>
          <w:szCs w:val="24"/>
        </w:rPr>
        <w:t xml:space="preserve"> </w:t>
      </w:r>
      <w:r>
        <w:rPr>
          <w:rFonts w:ascii="宋体" w:hAnsi="宋体" w:cs="宋体"/>
          <w:kern w:val="0"/>
          <w:szCs w:val="24"/>
        </w:rPr>
        <w:t>报告期内违反</w:t>
      </w:r>
      <w:r>
        <w:rPr>
          <w:rFonts w:hint="eastAsia" w:ascii="宋体" w:hAnsi="宋体" w:cs="宋体"/>
          <w:kern w:val="0"/>
          <w:szCs w:val="24"/>
        </w:rPr>
        <w:t>法律法规、公司章程、信息披露事务管理制度规定的情况以及债券募集说明书约定或承诺的情况对债券投资者权益的影响</w:t>
      </w:r>
    </w:p>
    <w:sdt>
      <w:sdtPr>
        <w:rPr>
          <w:rFonts w:ascii="Arial" w:hAnsi="Arial"/>
          <w:bCs/>
        </w:rPr>
        <w:alias w:val="是否适用：报告期内违反情况以及对债券投资者权益的影响 [双击切换]"/>
        <w:tag w:val="_GBC_2a67f483721a40bba3fde88f6d6334e1"/>
        <w:id w:val="-678343024"/>
        <w:placeholder>
          <w:docPart w:val="GBC22222222222222222222222222222"/>
        </w:placeholder>
      </w:sdtPr>
      <w:sdtEndPr>
        <w:rPr>
          <w:rFonts w:ascii="Arial" w:hAnsi="Arial"/>
          <w:bCs/>
        </w:rPr>
      </w:sdtEndPr>
      <w:sdtContent>
        <w:p>
          <w:pPr>
            <w:rPr>
              <w:bCs/>
            </w:rPr>
          </w:pPr>
          <w:bookmarkStart w:id="193" w:name="_Hlk89434062"/>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bookmarkEnd w:id="193"/>
    <w:p>
      <w:pPr>
        <w:spacing w:line="360" w:lineRule="auto"/>
        <w:rPr>
          <w:bCs/>
        </w:rPr>
      </w:pPr>
    </w:p>
    <w:p>
      <w:pPr>
        <w:pStyle w:val="4"/>
        <w:numPr>
          <w:ilvl w:val="0"/>
          <w:numId w:val="54"/>
        </w:numPr>
        <w:ind w:left="425" w:hanging="425"/>
        <w:rPr>
          <w:bCs w:val="0"/>
        </w:rPr>
      </w:pPr>
      <w:r>
        <w:rPr>
          <w:rFonts w:hint="eastAsia"/>
          <w:bCs w:val="0"/>
        </w:rPr>
        <w:t>截至报告</w:t>
      </w:r>
      <w:r>
        <w:rPr>
          <w:rFonts w:hint="eastAsia"/>
        </w:rPr>
        <w:t>期末</w:t>
      </w:r>
      <w:r>
        <w:rPr>
          <w:rFonts w:hint="eastAsia"/>
          <w:bCs w:val="0"/>
        </w:rPr>
        <w:t>公司近</w:t>
      </w:r>
      <w:r>
        <w:rPr>
          <w:bCs w:val="0"/>
        </w:rPr>
        <w:t>2年的会计数据和</w:t>
      </w:r>
      <w:r>
        <w:rPr>
          <w:rFonts w:hint="eastAsia"/>
          <w:bCs w:val="0"/>
        </w:rPr>
        <w:t>财务指标</w:t>
      </w:r>
    </w:p>
    <w:sdt>
      <w:sdtPr>
        <w:alias w:val="是否适用：截至报告期末公司近2年的会计数据和财务指标 [双击切换]"/>
        <w:tag w:val="_GBC_9d2e3e6ec7ce4a28bb2670635d7fa055"/>
        <w:id w:val="1250849388"/>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r>
        <w:t>:</w:t>
      </w:r>
      <w:sdt>
        <w:sdtPr>
          <w:alias w:val="单位：财务附注：截至报告期末公司近2年的会计数据和财务指标"/>
          <w:tag w:val="_GBC_d1b00d7bc3024e3b9a201ac818fee5f1"/>
          <w:id w:val="-2724754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万元</w:t>
          </w:r>
        </w:sdtContent>
      </w:sdt>
      <w:r>
        <w:rPr>
          <w:rFonts w:hint="eastAsia"/>
        </w:rPr>
        <w:t xml:space="preserve">  币种</w:t>
      </w:r>
      <w:r>
        <w:t>:</w:t>
      </w:r>
      <w:sdt>
        <w:sdtPr>
          <w:alias w:val="币种：财务附注：截至报告期末公司近2年的会计数据和财务指标"/>
          <w:tag w:val="_GBC_48f2942a11ff459dbe700f63e54bd5c3"/>
          <w:id w:val="-13823948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bookmarkEnd w:id="171"/>
    <w:tbl>
      <w:tblPr>
        <w:tblStyle w:val="1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2489"/>
        <w:gridCol w:w="2266"/>
        <w:gridCol w:w="3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c4a92f21073e443f9446ff7111fb6224"/>
            <w:id w:val="-2082054907"/>
          </w:sdtPr>
          <w:sdtEndPr>
            <w:rPr>
              <w:rFonts w:ascii="宋体" w:hAnsi="宋体"/>
            </w:rPr>
          </w:sdtEndPr>
          <w:sdtContent>
            <w:tc>
              <w:tcPr>
                <w:tcW w:w="1960" w:type="pct"/>
                <w:vAlign w:val="center"/>
              </w:tcPr>
              <w:p>
                <w:pPr>
                  <w:jc w:val="center"/>
                  <w:rPr>
                    <w:rFonts w:ascii="宋体" w:hAnsi="宋体"/>
                    <w:b/>
                    <w:bCs/>
                  </w:rPr>
                </w:pPr>
                <w:r>
                  <w:rPr>
                    <w:rFonts w:hint="eastAsia" w:ascii="宋体" w:hAnsi="宋体"/>
                  </w:rPr>
                  <w:t>主要指标</w:t>
                </w:r>
              </w:p>
            </w:tc>
          </w:sdtContent>
        </w:sdt>
        <w:sdt>
          <w:sdtPr>
            <w:rPr>
              <w:rFonts w:ascii="宋体" w:hAnsi="宋体"/>
            </w:rPr>
            <w:tag w:val="_PLD_bf5e3f06dc4c4abe895553a22a037989"/>
            <w:id w:val="-727387465"/>
          </w:sdtPr>
          <w:sdtEndPr>
            <w:rPr>
              <w:rFonts w:ascii="宋体" w:hAnsi="宋体"/>
            </w:rPr>
          </w:sdtEndPr>
          <w:sdtContent>
            <w:tc>
              <w:tcPr>
                <w:tcW w:w="883" w:type="pct"/>
                <w:vAlign w:val="center"/>
              </w:tcPr>
              <w:p>
                <w:pPr>
                  <w:jc w:val="center"/>
                  <w:rPr>
                    <w:rFonts w:ascii="宋体" w:hAnsi="宋体"/>
                  </w:rPr>
                </w:pPr>
                <w:r>
                  <w:rPr>
                    <w:rFonts w:hint="eastAsia" w:ascii="宋体" w:hAnsi="宋体"/>
                  </w:rPr>
                  <w:t>2023年</w:t>
                </w:r>
              </w:p>
            </w:tc>
          </w:sdtContent>
        </w:sdt>
        <w:sdt>
          <w:sdtPr>
            <w:rPr>
              <w:rFonts w:ascii="宋体" w:hAnsi="宋体"/>
            </w:rPr>
            <w:tag w:val="_PLD_69413ee8ca194bb698daae7502cf06f5"/>
            <w:id w:val="-1100105011"/>
          </w:sdtPr>
          <w:sdtEndPr>
            <w:rPr>
              <w:rFonts w:ascii="宋体" w:hAnsi="宋体"/>
            </w:rPr>
          </w:sdtEndPr>
          <w:sdtContent>
            <w:tc>
              <w:tcPr>
                <w:tcW w:w="804" w:type="pct"/>
                <w:vAlign w:val="center"/>
              </w:tcPr>
              <w:p>
                <w:pPr>
                  <w:jc w:val="center"/>
                  <w:rPr>
                    <w:rFonts w:ascii="宋体" w:hAnsi="宋体"/>
                  </w:rPr>
                </w:pPr>
                <w:r>
                  <w:rPr>
                    <w:rFonts w:hint="eastAsia" w:ascii="宋体" w:hAnsi="宋体"/>
                  </w:rPr>
                  <w:t>2022年</w:t>
                </w:r>
              </w:p>
            </w:tc>
          </w:sdtContent>
        </w:sdt>
        <w:sdt>
          <w:sdtPr>
            <w:rPr>
              <w:rFonts w:ascii="宋体" w:hAnsi="宋体"/>
            </w:rPr>
            <w:tag w:val="_PLD_427de963d346444483f4ac9d33260078"/>
            <w:id w:val="-1380476622"/>
          </w:sdtPr>
          <w:sdtEndPr>
            <w:rPr>
              <w:rFonts w:ascii="宋体" w:hAnsi="宋体"/>
            </w:rPr>
          </w:sdtEndPr>
          <w:sdtContent>
            <w:tc>
              <w:tcPr>
                <w:tcW w:w="1352" w:type="pct"/>
                <w:vAlign w:val="center"/>
              </w:tcPr>
              <w:p>
                <w:pPr>
                  <w:jc w:val="center"/>
                  <w:rPr>
                    <w:rFonts w:ascii="宋体" w:hAnsi="宋体"/>
                  </w:rPr>
                </w:pPr>
                <w:r>
                  <w:rPr>
                    <w:rFonts w:hint="eastAsia" w:ascii="宋体" w:hAnsi="宋体"/>
                  </w:rPr>
                  <w:t>本期比上年同期增减（%）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pct"/>
          </w:tcPr>
          <w:p>
            <w:pPr>
              <w:rPr>
                <w:rFonts w:ascii="宋体" w:hAnsi="宋体"/>
              </w:rPr>
            </w:pPr>
            <w:r>
              <w:rPr>
                <w:rFonts w:hint="eastAsia" w:ascii="宋体" w:hAnsi="宋体"/>
              </w:rPr>
              <w:t>归属于上市公司股东的扣除非经常性损益的净利润</w:t>
            </w:r>
          </w:p>
        </w:tc>
        <w:tc>
          <w:tcPr>
            <w:tcW w:w="883" w:type="pct"/>
          </w:tcPr>
          <w:p>
            <w:pPr>
              <w:jc w:val="right"/>
              <w:rPr>
                <w:rFonts w:ascii="宋体" w:hAnsi="宋体"/>
              </w:rPr>
            </w:pPr>
            <w:r>
              <w:rPr>
                <w:rFonts w:ascii="宋体" w:hAnsi="宋体"/>
              </w:rPr>
              <w:t xml:space="preserve">1,859,095 </w:t>
            </w:r>
          </w:p>
        </w:tc>
        <w:tc>
          <w:tcPr>
            <w:tcW w:w="804" w:type="pct"/>
          </w:tcPr>
          <w:p>
            <w:pPr>
              <w:jc w:val="right"/>
              <w:rPr>
                <w:rFonts w:ascii="宋体" w:hAnsi="宋体"/>
              </w:rPr>
            </w:pPr>
            <w:r>
              <w:rPr>
                <w:rFonts w:ascii="宋体" w:hAnsi="宋体"/>
              </w:rPr>
              <w:t xml:space="preserve">3,028,281 </w:t>
            </w:r>
          </w:p>
        </w:tc>
        <w:tc>
          <w:tcPr>
            <w:tcW w:w="1352" w:type="pct"/>
          </w:tcPr>
          <w:p>
            <w:pPr>
              <w:jc w:val="right"/>
              <w:rPr>
                <w:rFonts w:ascii="宋体" w:hAnsi="宋体"/>
              </w:rPr>
            </w:pPr>
            <w:r>
              <w:rPr>
                <w:rFonts w:ascii="宋体" w:hAnsi="宋体"/>
              </w:rPr>
              <w:t xml:space="preserve">-38.61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pct"/>
          </w:tcPr>
          <w:p>
            <w:pPr>
              <w:rPr>
                <w:rFonts w:ascii="宋体" w:hAnsi="宋体"/>
              </w:rPr>
            </w:pPr>
            <w:r>
              <w:rPr>
                <w:rFonts w:hint="eastAsia" w:ascii="宋体" w:hAnsi="宋体"/>
              </w:rPr>
              <w:t>流动比率</w:t>
            </w:r>
          </w:p>
        </w:tc>
        <w:tc>
          <w:tcPr>
            <w:tcW w:w="883" w:type="pct"/>
            <w:vAlign w:val="center"/>
          </w:tcPr>
          <w:p>
            <w:pPr>
              <w:jc w:val="right"/>
              <w:rPr>
                <w:rFonts w:ascii="宋体" w:hAnsi="宋体"/>
              </w:rPr>
            </w:pPr>
            <w:r>
              <w:rPr>
                <w:rFonts w:ascii="宋体" w:hAnsi="宋体"/>
              </w:rPr>
              <w:t xml:space="preserve">0.78 </w:t>
            </w:r>
          </w:p>
        </w:tc>
        <w:tc>
          <w:tcPr>
            <w:tcW w:w="804" w:type="pct"/>
            <w:vAlign w:val="center"/>
          </w:tcPr>
          <w:p>
            <w:pPr>
              <w:jc w:val="right"/>
              <w:rPr>
                <w:rFonts w:ascii="宋体" w:hAnsi="宋体"/>
              </w:rPr>
            </w:pPr>
            <w:r>
              <w:rPr>
                <w:rFonts w:ascii="宋体" w:hAnsi="宋体"/>
              </w:rPr>
              <w:t xml:space="preserve">0.96 </w:t>
            </w:r>
          </w:p>
        </w:tc>
        <w:tc>
          <w:tcPr>
            <w:tcW w:w="1352" w:type="pct"/>
            <w:vAlign w:val="center"/>
          </w:tcPr>
          <w:p>
            <w:pPr>
              <w:jc w:val="right"/>
              <w:rPr>
                <w:rFonts w:ascii="宋体" w:hAnsi="宋体"/>
              </w:rPr>
            </w:pPr>
            <w:r>
              <w:rPr>
                <w:rFonts w:ascii="宋体" w:hAnsi="宋体"/>
              </w:rPr>
              <w:t xml:space="preserve">-18.78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pct"/>
          </w:tcPr>
          <w:p>
            <w:pPr>
              <w:rPr>
                <w:rFonts w:ascii="宋体" w:hAnsi="宋体"/>
              </w:rPr>
            </w:pPr>
            <w:r>
              <w:rPr>
                <w:rFonts w:hint="eastAsia" w:ascii="宋体" w:hAnsi="宋体"/>
              </w:rPr>
              <w:t>速动比率</w:t>
            </w:r>
          </w:p>
        </w:tc>
        <w:tc>
          <w:tcPr>
            <w:tcW w:w="883" w:type="pct"/>
            <w:vAlign w:val="center"/>
          </w:tcPr>
          <w:p>
            <w:pPr>
              <w:jc w:val="right"/>
              <w:rPr>
                <w:rFonts w:ascii="宋体" w:hAnsi="宋体"/>
              </w:rPr>
            </w:pPr>
            <w:r>
              <w:rPr>
                <w:rFonts w:ascii="宋体" w:hAnsi="宋体"/>
              </w:rPr>
              <w:t xml:space="preserve">0.67 </w:t>
            </w:r>
          </w:p>
        </w:tc>
        <w:tc>
          <w:tcPr>
            <w:tcW w:w="804" w:type="pct"/>
            <w:vAlign w:val="center"/>
          </w:tcPr>
          <w:p>
            <w:pPr>
              <w:jc w:val="right"/>
              <w:rPr>
                <w:rFonts w:ascii="宋体" w:hAnsi="宋体"/>
              </w:rPr>
            </w:pPr>
            <w:r>
              <w:rPr>
                <w:rFonts w:ascii="宋体" w:hAnsi="宋体"/>
              </w:rPr>
              <w:t xml:space="preserve">0.85 </w:t>
            </w:r>
          </w:p>
        </w:tc>
        <w:tc>
          <w:tcPr>
            <w:tcW w:w="1352" w:type="pct"/>
            <w:vAlign w:val="center"/>
          </w:tcPr>
          <w:p>
            <w:pPr>
              <w:jc w:val="right"/>
              <w:rPr>
                <w:rFonts w:ascii="宋体" w:hAnsi="宋体"/>
              </w:rPr>
            </w:pPr>
            <w:r>
              <w:rPr>
                <w:rFonts w:ascii="宋体" w:hAnsi="宋体"/>
              </w:rPr>
              <w:t xml:space="preserve">-20.99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pct"/>
          </w:tcPr>
          <w:p>
            <w:pPr>
              <w:rPr>
                <w:rFonts w:ascii="宋体" w:hAnsi="宋体"/>
              </w:rPr>
            </w:pPr>
            <w:r>
              <w:rPr>
                <w:rFonts w:hint="eastAsia" w:ascii="宋体" w:hAnsi="宋体"/>
              </w:rPr>
              <w:t>资产负债率（%）</w:t>
            </w:r>
          </w:p>
        </w:tc>
        <w:tc>
          <w:tcPr>
            <w:tcW w:w="883" w:type="pct"/>
            <w:vAlign w:val="center"/>
          </w:tcPr>
          <w:p>
            <w:pPr>
              <w:jc w:val="right"/>
              <w:rPr>
                <w:rFonts w:ascii="宋体" w:hAnsi="宋体"/>
              </w:rPr>
            </w:pPr>
            <w:r>
              <w:rPr>
                <w:rFonts w:ascii="宋体" w:hAnsi="宋体"/>
              </w:rPr>
              <w:t xml:space="preserve">66.60 </w:t>
            </w:r>
          </w:p>
        </w:tc>
        <w:tc>
          <w:tcPr>
            <w:tcW w:w="804" w:type="pct"/>
            <w:vAlign w:val="center"/>
          </w:tcPr>
          <w:p>
            <w:pPr>
              <w:jc w:val="right"/>
              <w:rPr>
                <w:rFonts w:ascii="宋体" w:hAnsi="宋体"/>
              </w:rPr>
            </w:pPr>
            <w:r>
              <w:rPr>
                <w:rFonts w:ascii="宋体" w:hAnsi="宋体"/>
              </w:rPr>
              <w:t xml:space="preserve">61.88 </w:t>
            </w:r>
          </w:p>
        </w:tc>
        <w:tc>
          <w:tcPr>
            <w:tcW w:w="1352" w:type="pct"/>
            <w:vAlign w:val="center"/>
          </w:tcPr>
          <w:p>
            <w:pPr>
              <w:jc w:val="right"/>
              <w:rPr>
                <w:rFonts w:ascii="宋体" w:hAnsi="宋体"/>
              </w:rPr>
            </w:pPr>
            <w:r>
              <w:rPr>
                <w:rFonts w:hint="eastAsia" w:ascii="宋体" w:hAnsi="宋体"/>
              </w:rPr>
              <w:t>增加</w:t>
            </w:r>
            <w:r>
              <w:rPr>
                <w:rFonts w:ascii="宋体" w:hAnsi="宋体"/>
              </w:rPr>
              <w:t>4.72</w:t>
            </w:r>
            <w:r>
              <w:rPr>
                <w:rFonts w:hint="eastAsia" w:ascii="宋体" w:hAnsi="宋体"/>
              </w:rPr>
              <w:t>个百分点</w:t>
            </w:r>
            <w:r>
              <w:rPr>
                <w:rFonts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pct"/>
          </w:tcPr>
          <w:p>
            <w:pPr>
              <w:rPr>
                <w:rFonts w:ascii="宋体" w:hAnsi="宋体"/>
              </w:rPr>
            </w:pPr>
            <w:r>
              <w:rPr>
                <w:rFonts w:ascii="宋体" w:hAnsi="宋体"/>
              </w:rPr>
              <w:t>EBITDA全部债务比</w:t>
            </w:r>
          </w:p>
        </w:tc>
        <w:tc>
          <w:tcPr>
            <w:tcW w:w="883" w:type="pct"/>
            <w:vAlign w:val="center"/>
          </w:tcPr>
          <w:p>
            <w:pPr>
              <w:jc w:val="right"/>
              <w:rPr>
                <w:rFonts w:ascii="宋体" w:hAnsi="宋体"/>
              </w:rPr>
            </w:pPr>
            <w:r>
              <w:rPr>
                <w:rFonts w:ascii="宋体" w:hAnsi="宋体"/>
              </w:rPr>
              <w:t xml:space="preserve">1.78 </w:t>
            </w:r>
          </w:p>
        </w:tc>
        <w:tc>
          <w:tcPr>
            <w:tcW w:w="804" w:type="pct"/>
            <w:vAlign w:val="center"/>
          </w:tcPr>
          <w:p>
            <w:pPr>
              <w:jc w:val="right"/>
              <w:rPr>
                <w:rFonts w:ascii="宋体" w:hAnsi="宋体"/>
              </w:rPr>
            </w:pPr>
            <w:r>
              <w:rPr>
                <w:rFonts w:ascii="宋体" w:hAnsi="宋体"/>
              </w:rPr>
              <w:t xml:space="preserve">1.03 </w:t>
            </w:r>
          </w:p>
        </w:tc>
        <w:tc>
          <w:tcPr>
            <w:tcW w:w="1352" w:type="pct"/>
            <w:vAlign w:val="center"/>
          </w:tcPr>
          <w:p>
            <w:pPr>
              <w:jc w:val="right"/>
              <w:rPr>
                <w:rFonts w:ascii="宋体" w:hAnsi="宋体"/>
              </w:rPr>
            </w:pPr>
            <w:r>
              <w:rPr>
                <w:rFonts w:ascii="宋体" w:hAnsi="宋体"/>
              </w:rPr>
              <w:t xml:space="preserve">72.80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pct"/>
          </w:tcPr>
          <w:p>
            <w:pPr>
              <w:rPr>
                <w:rFonts w:ascii="宋体" w:hAnsi="宋体"/>
              </w:rPr>
            </w:pPr>
            <w:r>
              <w:rPr>
                <w:rFonts w:hint="eastAsia" w:ascii="宋体" w:hAnsi="宋体"/>
              </w:rPr>
              <w:t>利息保障倍数</w:t>
            </w:r>
          </w:p>
        </w:tc>
        <w:tc>
          <w:tcPr>
            <w:tcW w:w="883" w:type="pct"/>
            <w:vAlign w:val="center"/>
          </w:tcPr>
          <w:p>
            <w:pPr>
              <w:jc w:val="right"/>
              <w:rPr>
                <w:rFonts w:ascii="宋体" w:hAnsi="宋体"/>
              </w:rPr>
            </w:pPr>
            <w:r>
              <w:rPr>
                <w:rFonts w:ascii="宋体" w:hAnsi="宋体"/>
              </w:rPr>
              <w:t xml:space="preserve">9.24 </w:t>
            </w:r>
          </w:p>
        </w:tc>
        <w:tc>
          <w:tcPr>
            <w:tcW w:w="804" w:type="pct"/>
            <w:vAlign w:val="center"/>
          </w:tcPr>
          <w:p>
            <w:pPr>
              <w:jc w:val="right"/>
              <w:rPr>
                <w:rFonts w:ascii="宋体" w:hAnsi="宋体"/>
              </w:rPr>
            </w:pPr>
            <w:r>
              <w:rPr>
                <w:rFonts w:ascii="宋体" w:hAnsi="宋体"/>
              </w:rPr>
              <w:t xml:space="preserve">9.33 </w:t>
            </w:r>
          </w:p>
        </w:tc>
        <w:tc>
          <w:tcPr>
            <w:tcW w:w="1352" w:type="pct"/>
            <w:vAlign w:val="center"/>
          </w:tcPr>
          <w:p>
            <w:pPr>
              <w:jc w:val="right"/>
              <w:rPr>
                <w:rFonts w:ascii="宋体" w:hAnsi="宋体"/>
              </w:rPr>
            </w:pPr>
            <w:r>
              <w:rPr>
                <w:rFonts w:ascii="宋体" w:hAnsi="宋体"/>
              </w:rPr>
              <w:t xml:space="preserve">-0.95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pct"/>
          </w:tcPr>
          <w:p>
            <w:pPr>
              <w:rPr>
                <w:rFonts w:ascii="宋体" w:hAnsi="宋体"/>
              </w:rPr>
            </w:pPr>
            <w:r>
              <w:rPr>
                <w:rFonts w:hint="eastAsia" w:ascii="宋体" w:hAnsi="宋体"/>
              </w:rPr>
              <w:t>现金利息保障倍数</w:t>
            </w:r>
          </w:p>
        </w:tc>
        <w:tc>
          <w:tcPr>
            <w:tcW w:w="883" w:type="pct"/>
          </w:tcPr>
          <w:p>
            <w:pPr>
              <w:jc w:val="right"/>
              <w:rPr>
                <w:rFonts w:ascii="宋体" w:hAnsi="宋体"/>
              </w:rPr>
            </w:pPr>
            <w:r>
              <w:rPr>
                <w:rFonts w:ascii="宋体" w:hAnsi="宋体"/>
              </w:rPr>
              <w:t xml:space="preserve">5.02 </w:t>
            </w:r>
          </w:p>
        </w:tc>
        <w:tc>
          <w:tcPr>
            <w:tcW w:w="804" w:type="pct"/>
          </w:tcPr>
          <w:p>
            <w:pPr>
              <w:jc w:val="right"/>
              <w:rPr>
                <w:rFonts w:ascii="宋体" w:hAnsi="宋体"/>
              </w:rPr>
            </w:pPr>
            <w:r>
              <w:rPr>
                <w:rFonts w:ascii="宋体" w:hAnsi="宋体"/>
              </w:rPr>
              <w:t xml:space="preserve">10.29 </w:t>
            </w:r>
          </w:p>
        </w:tc>
        <w:tc>
          <w:tcPr>
            <w:tcW w:w="1352" w:type="pct"/>
          </w:tcPr>
          <w:p>
            <w:pPr>
              <w:jc w:val="right"/>
              <w:rPr>
                <w:rFonts w:ascii="宋体" w:hAnsi="宋体"/>
              </w:rPr>
            </w:pPr>
            <w:r>
              <w:rPr>
                <w:rFonts w:ascii="宋体" w:hAnsi="宋体"/>
              </w:rPr>
              <w:t xml:space="preserve">-51.16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960" w:type="pct"/>
          </w:tcPr>
          <w:p>
            <w:pPr>
              <w:rPr>
                <w:rFonts w:ascii="宋体" w:hAnsi="宋体"/>
              </w:rPr>
            </w:pPr>
            <w:r>
              <w:rPr>
                <w:rFonts w:ascii="宋体" w:hAnsi="宋体"/>
              </w:rPr>
              <w:t>EBITDA利息保障倍数</w:t>
            </w:r>
          </w:p>
        </w:tc>
        <w:tc>
          <w:tcPr>
            <w:tcW w:w="883" w:type="pct"/>
            <w:vAlign w:val="center"/>
          </w:tcPr>
          <w:p>
            <w:pPr>
              <w:jc w:val="right"/>
              <w:rPr>
                <w:rFonts w:ascii="宋体" w:hAnsi="宋体"/>
              </w:rPr>
            </w:pPr>
            <w:r>
              <w:rPr>
                <w:rFonts w:ascii="宋体" w:hAnsi="宋体"/>
              </w:rPr>
              <w:t xml:space="preserve">13.26 </w:t>
            </w:r>
          </w:p>
        </w:tc>
        <w:tc>
          <w:tcPr>
            <w:tcW w:w="804" w:type="pct"/>
            <w:vAlign w:val="center"/>
          </w:tcPr>
          <w:p>
            <w:pPr>
              <w:jc w:val="right"/>
              <w:rPr>
                <w:rFonts w:ascii="宋体" w:hAnsi="宋体"/>
              </w:rPr>
            </w:pPr>
            <w:r>
              <w:rPr>
                <w:rFonts w:ascii="宋体" w:hAnsi="宋体"/>
              </w:rPr>
              <w:t xml:space="preserve">12.17 </w:t>
            </w:r>
          </w:p>
        </w:tc>
        <w:tc>
          <w:tcPr>
            <w:tcW w:w="1352" w:type="pct"/>
            <w:vAlign w:val="center"/>
          </w:tcPr>
          <w:p>
            <w:pPr>
              <w:jc w:val="right"/>
              <w:rPr>
                <w:rFonts w:ascii="宋体" w:hAnsi="宋体"/>
              </w:rPr>
            </w:pPr>
            <w:r>
              <w:rPr>
                <w:rFonts w:ascii="宋体" w:hAnsi="宋体"/>
              </w:rPr>
              <w:t xml:space="preserve">8.96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pct"/>
          </w:tcPr>
          <w:p>
            <w:pPr>
              <w:rPr>
                <w:rFonts w:ascii="宋体" w:hAnsi="宋体"/>
              </w:rPr>
            </w:pPr>
            <w:r>
              <w:rPr>
                <w:rFonts w:hint="eastAsia" w:ascii="宋体" w:hAnsi="宋体"/>
              </w:rPr>
              <w:t>贷款偿还率（%）</w:t>
            </w:r>
          </w:p>
        </w:tc>
        <w:tc>
          <w:tcPr>
            <w:tcW w:w="883" w:type="pct"/>
            <w:vAlign w:val="center"/>
          </w:tcPr>
          <w:p>
            <w:pPr>
              <w:jc w:val="right"/>
              <w:rPr>
                <w:rFonts w:ascii="宋体" w:hAnsi="宋体"/>
              </w:rPr>
            </w:pPr>
            <w:r>
              <w:rPr>
                <w:rFonts w:ascii="宋体" w:hAnsi="宋体"/>
              </w:rPr>
              <w:t xml:space="preserve">100 </w:t>
            </w:r>
          </w:p>
        </w:tc>
        <w:tc>
          <w:tcPr>
            <w:tcW w:w="804" w:type="pct"/>
            <w:vAlign w:val="center"/>
          </w:tcPr>
          <w:p>
            <w:pPr>
              <w:jc w:val="right"/>
              <w:rPr>
                <w:rFonts w:ascii="宋体" w:hAnsi="宋体"/>
              </w:rPr>
            </w:pPr>
            <w:r>
              <w:rPr>
                <w:rFonts w:ascii="宋体" w:hAnsi="宋体"/>
              </w:rPr>
              <w:t xml:space="preserve">100 </w:t>
            </w:r>
          </w:p>
        </w:tc>
        <w:tc>
          <w:tcPr>
            <w:tcW w:w="1352" w:type="pct"/>
            <w:vAlign w:val="center"/>
          </w:tcPr>
          <w:p>
            <w:pPr>
              <w:jc w:val="right"/>
              <w:rPr>
                <w:rFonts w:ascii="宋体" w:hAnsi="宋体"/>
              </w:rPr>
            </w:pPr>
            <w:r>
              <w:rPr>
                <w:rFonts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pct"/>
          </w:tcPr>
          <w:p>
            <w:pPr>
              <w:rPr>
                <w:rFonts w:ascii="宋体" w:hAnsi="宋体"/>
              </w:rPr>
            </w:pPr>
            <w:r>
              <w:rPr>
                <w:rFonts w:hint="eastAsia" w:ascii="宋体" w:hAnsi="宋体"/>
              </w:rPr>
              <w:t>利息偿付率（%）</w:t>
            </w:r>
          </w:p>
        </w:tc>
        <w:tc>
          <w:tcPr>
            <w:tcW w:w="883" w:type="pct"/>
            <w:vAlign w:val="center"/>
          </w:tcPr>
          <w:p>
            <w:pPr>
              <w:jc w:val="right"/>
              <w:rPr>
                <w:rFonts w:ascii="宋体" w:hAnsi="宋体"/>
              </w:rPr>
            </w:pPr>
            <w:r>
              <w:rPr>
                <w:rFonts w:ascii="宋体" w:hAnsi="宋体"/>
              </w:rPr>
              <w:t xml:space="preserve">100 </w:t>
            </w:r>
          </w:p>
        </w:tc>
        <w:tc>
          <w:tcPr>
            <w:tcW w:w="804" w:type="pct"/>
            <w:vAlign w:val="center"/>
          </w:tcPr>
          <w:p>
            <w:pPr>
              <w:jc w:val="right"/>
              <w:rPr>
                <w:rFonts w:ascii="宋体" w:hAnsi="宋体"/>
              </w:rPr>
            </w:pPr>
            <w:r>
              <w:rPr>
                <w:rFonts w:ascii="宋体" w:hAnsi="宋体"/>
              </w:rPr>
              <w:t xml:space="preserve">100 </w:t>
            </w:r>
          </w:p>
        </w:tc>
        <w:tc>
          <w:tcPr>
            <w:tcW w:w="1352" w:type="pct"/>
            <w:vAlign w:val="center"/>
          </w:tcPr>
          <w:p>
            <w:pPr>
              <w:jc w:val="right"/>
              <w:rPr>
                <w:rFonts w:ascii="宋体" w:hAnsi="宋体"/>
              </w:rPr>
            </w:pPr>
            <w:r>
              <w:rPr>
                <w:rFonts w:ascii="宋体" w:hAnsi="宋体"/>
              </w:rPr>
              <w:t>-</w:t>
            </w:r>
          </w:p>
        </w:tc>
      </w:tr>
    </w:tbl>
    <w:p>
      <w:pPr>
        <w:pStyle w:val="501"/>
      </w:pPr>
    </w:p>
    <w:p>
      <w:pPr>
        <w:pStyle w:val="3"/>
        <w:numPr>
          <w:ilvl w:val="0"/>
          <w:numId w:val="53"/>
        </w:numPr>
        <w:ind w:left="425" w:hanging="425"/>
        <w:rPr>
          <w:rFonts w:ascii="宋体" w:hAnsi="宋体"/>
        </w:rPr>
      </w:pPr>
      <w:r>
        <w:rPr>
          <w:rFonts w:hint="eastAsia" w:ascii="宋体" w:hAnsi="宋体"/>
        </w:rPr>
        <w:t>可转换公司债券情况</w:t>
      </w:r>
    </w:p>
    <w:sdt>
      <w:sdtPr>
        <w:rPr>
          <w:rFonts w:hint="eastAsia"/>
        </w:rPr>
        <w:alias w:val="是否适用：可转换公司债券情况[双击切换]"/>
        <w:tag w:val="_GBC_9680c57d3e6a4ee9b01aefbd4b8545db"/>
        <w:id w:val="1899469392"/>
        <w:placeholder>
          <w:docPart w:val="GBC22222222222222222222222222222"/>
        </w:placeholder>
      </w:sdtPr>
      <w:sdtEndPr>
        <w:rPr>
          <w:rFonts w:hint="eastAsia"/>
        </w:rPr>
      </w:sdtEndPr>
      <w:sdtContent>
        <w:p>
          <w:pPr>
            <w:pStyle w:val="43"/>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spacing w:line="360" w:lineRule="exact"/>
        <w:ind w:right="5"/>
      </w:pPr>
    </w:p>
    <w:bookmarkEnd w:id="169"/>
    <w:bookmarkEnd w:id="172"/>
    <w:p>
      <w:pPr>
        <w:spacing w:line="360" w:lineRule="exact"/>
        <w:ind w:right="5"/>
        <w:sectPr>
          <w:pgSz w:w="16838" w:h="11906" w:orient="landscape"/>
          <w:pgMar w:top="1797" w:right="1525" w:bottom="1276" w:left="1440" w:header="856" w:footer="992" w:gutter="0"/>
          <w:cols w:space="425" w:num="1"/>
          <w:docGrid w:linePitch="312" w:charSpace="0"/>
        </w:sectPr>
      </w:pPr>
    </w:p>
    <w:p>
      <w:pPr>
        <w:spacing w:line="360" w:lineRule="exact"/>
        <w:ind w:right="5"/>
      </w:pPr>
    </w:p>
    <w:p>
      <w:pPr>
        <w:pStyle w:val="502"/>
        <w:numPr>
          <w:ilvl w:val="0"/>
          <w:numId w:val="2"/>
        </w:numPr>
        <w:rPr>
          <w:bCs w:val="0"/>
          <w:szCs w:val="28"/>
        </w:rPr>
      </w:pPr>
      <w:bookmarkStart w:id="194" w:name="_Toc158217557"/>
      <w:bookmarkStart w:id="195" w:name="_Toc407111364"/>
      <w:r>
        <w:rPr>
          <w:bCs w:val="0"/>
          <w:szCs w:val="28"/>
        </w:rPr>
        <w:t>财务报告</w:t>
      </w:r>
      <w:bookmarkEnd w:id="194"/>
      <w:bookmarkEnd w:id="195"/>
    </w:p>
    <w:p>
      <w:pPr>
        <w:pStyle w:val="503"/>
        <w:numPr>
          <w:ilvl w:val="0"/>
          <w:numId w:val="57"/>
        </w:numPr>
        <w:ind w:hanging="136"/>
        <w:rPr>
          <w:rFonts w:ascii="宋体" w:hAnsi="宋体"/>
        </w:rPr>
      </w:pPr>
      <w:r>
        <w:rPr>
          <w:rFonts w:hint="eastAsia"/>
        </w:rPr>
        <w:t>审计</w:t>
      </w:r>
      <w:r>
        <w:rPr>
          <w:rFonts w:hint="eastAsia" w:ascii="宋体" w:hAnsi="宋体"/>
        </w:rPr>
        <w:t>报告</w:t>
      </w:r>
    </w:p>
    <w:sdt>
      <w:sdtPr>
        <w:alias w:val="是否适用：审计报告[双击切换]"/>
        <w:tag w:val="_GBC_8a37b9861aa34a8d89cae86ad0133ffb"/>
        <w:id w:val="164446403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 w:val="21"/>
        </w:rPr>
        <w:alias w:val="审计报告全文"/>
        <w:tag w:val="_GBC_08aaee8d8997491cb4fc7ef77b493e65"/>
        <w:id w:val="-1327127020"/>
        <w:placeholder>
          <w:docPart w:val="GBC22222222222222222222222222222"/>
        </w:placeholder>
      </w:sdtPr>
      <w:sdtEndPr>
        <w:rPr>
          <w:rFonts w:hint="eastAsia"/>
          <w:sz w:val="21"/>
        </w:rPr>
      </w:sdtEndPr>
      <w:sdtContent>
        <w:p>
          <w:pPr>
            <w:pStyle w:val="523"/>
            <w:spacing w:before="1248" w:beforeLines="400" w:beforeAutospacing="0" w:after="312" w:afterLines="100" w:afterAutospacing="0" w:line="360" w:lineRule="exact"/>
            <w:jc w:val="center"/>
            <w:rPr>
              <w:sz w:val="28"/>
              <w:szCs w:val="28"/>
            </w:rPr>
          </w:pPr>
          <w:r>
            <w:rPr>
              <w:rStyle w:val="921"/>
              <w:rFonts w:hint="eastAsia" w:ascii="黑体" w:hAnsi="黑体" w:eastAsia="黑体"/>
              <w:spacing w:val="15"/>
              <w:sz w:val="28"/>
              <w:szCs w:val="28"/>
            </w:rPr>
            <w:t>审计报告</w:t>
          </w:r>
          <w:r>
            <w:rPr>
              <w:sz w:val="28"/>
              <w:szCs w:val="28"/>
            </w:rPr>
            <w:t xml:space="preserve"> </w:t>
          </w:r>
        </w:p>
        <w:p>
          <w:pPr>
            <w:pStyle w:val="922"/>
            <w:spacing w:before="156" w:beforeLines="50" w:beforeAutospacing="0" w:after="0" w:afterAutospacing="0" w:line="360" w:lineRule="exact"/>
            <w:jc w:val="right"/>
            <w:rPr>
              <w:vanish/>
              <w:sz w:val="22"/>
              <w:szCs w:val="22"/>
            </w:rPr>
          </w:pPr>
          <w:r>
            <w:rPr>
              <w:vanish/>
              <w:sz w:val="22"/>
              <w:szCs w:val="22"/>
            </w:rPr>
            <w:t xml:space="preserve">{"referenceType":"associatedNumber"} </w:t>
          </w:r>
        </w:p>
        <w:p>
          <w:pPr>
            <w:pStyle w:val="923"/>
            <w:spacing w:before="156" w:beforeLines="50" w:beforeAutospacing="0" w:after="0" w:afterAutospacing="0" w:line="360" w:lineRule="exact"/>
            <w:jc w:val="right"/>
            <w:rPr>
              <w:color w:val="FF6600"/>
              <w:sz w:val="22"/>
              <w:szCs w:val="22"/>
            </w:rPr>
          </w:pPr>
          <w:r>
            <w:rPr>
              <w:rFonts w:hint="eastAsia"/>
              <w:sz w:val="22"/>
              <w:szCs w:val="22"/>
            </w:rPr>
            <w:t>XYZH/</w:t>
          </w:r>
          <w:r>
            <w:rPr>
              <w:sz w:val="22"/>
              <w:szCs w:val="22"/>
            </w:rPr>
            <w:t>2024BJAA7B0019</w:t>
          </w:r>
        </w:p>
        <w:p>
          <w:pPr>
            <w:pStyle w:val="923"/>
            <w:spacing w:before="0" w:beforeAutospacing="0" w:after="156" w:afterLines="50" w:afterAutospacing="0" w:line="360" w:lineRule="exact"/>
            <w:jc w:val="right"/>
            <w:rPr>
              <w:sz w:val="22"/>
              <w:szCs w:val="22"/>
            </w:rPr>
          </w:pPr>
          <w:r>
            <w:rPr>
              <w:rFonts w:hint="eastAsia"/>
              <w:sz w:val="22"/>
              <w:szCs w:val="22"/>
            </w:rPr>
            <w:t>兖矿能源集团股份有限公司</w:t>
          </w:r>
        </w:p>
        <w:p>
          <w:pPr>
            <w:pStyle w:val="523"/>
            <w:spacing w:before="156" w:beforeLines="50" w:beforeAutospacing="0" w:after="156" w:afterLines="50" w:afterAutospacing="0" w:line="360" w:lineRule="exact"/>
            <w:rPr>
              <w:sz w:val="22"/>
              <w:szCs w:val="22"/>
            </w:rPr>
          </w:pPr>
          <w:r>
            <w:rPr>
              <w:rStyle w:val="925"/>
              <w:rFonts w:hint="eastAsia"/>
              <w:b/>
              <w:color w:val="000000"/>
              <w:sz w:val="22"/>
              <w:szCs w:val="22"/>
            </w:rPr>
            <w:t>兖矿能源集团</w:t>
          </w:r>
          <w:r>
            <w:rPr>
              <w:rStyle w:val="924"/>
              <w:rFonts w:hint="eastAsia"/>
              <w:b/>
              <w:bCs/>
              <w:sz w:val="22"/>
              <w:szCs w:val="22"/>
            </w:rPr>
            <w:t>股份</w:t>
          </w:r>
          <w:r>
            <w:rPr>
              <w:rStyle w:val="924"/>
              <w:b/>
              <w:bCs/>
              <w:vanish/>
              <w:sz w:val="22"/>
              <w:szCs w:val="22"/>
            </w:rPr>
            <w:t>                   {"referenceType":"commonProperty","targetField":"componentName","sourceApi":"component_basic","formatterName":"getComponentShortName"}                XXXXXXXXXX</w:t>
          </w:r>
          <w:r>
            <w:rPr>
              <w:rStyle w:val="925"/>
              <w:rFonts w:hint="eastAsia"/>
              <w:b/>
              <w:bCs/>
              <w:color w:val="000000"/>
              <w:sz w:val="22"/>
              <w:szCs w:val="22"/>
            </w:rPr>
            <w:t>有限公司</w:t>
          </w:r>
          <w:r>
            <w:rPr>
              <w:rStyle w:val="921"/>
              <w:rFonts w:hint="eastAsia"/>
              <w:color w:val="000000"/>
              <w:sz w:val="22"/>
              <w:szCs w:val="22"/>
            </w:rPr>
            <w:t>全体股东：</w:t>
          </w:r>
        </w:p>
        <w:p>
          <w:pPr>
            <w:spacing w:before="156" w:beforeLines="50" w:after="156" w:afterLines="50" w:line="360" w:lineRule="exact"/>
            <w:ind w:firstLine="442" w:firstLineChars="200"/>
            <w:rPr>
              <w:rFonts w:ascii="宋体" w:hAnsi="宋体"/>
              <w:b/>
              <w:sz w:val="22"/>
            </w:rPr>
          </w:pPr>
          <w:r>
            <w:rPr>
              <w:rFonts w:hint="eastAsia" w:ascii="宋体" w:hAnsi="宋体"/>
              <w:b/>
              <w:sz w:val="22"/>
            </w:rPr>
            <w:t>一、审计意见</w:t>
          </w:r>
        </w:p>
        <w:p>
          <w:pPr>
            <w:spacing w:before="156" w:beforeLines="50" w:after="156" w:afterLines="50" w:line="360" w:lineRule="exact"/>
            <w:ind w:firstLine="440" w:firstLineChars="200"/>
            <w:rPr>
              <w:rFonts w:ascii="宋体" w:hAnsi="宋体"/>
              <w:sz w:val="22"/>
            </w:rPr>
          </w:pPr>
          <w:r>
            <w:rPr>
              <w:rFonts w:hint="eastAsia" w:ascii="宋体" w:hAnsi="宋体"/>
              <w:sz w:val="22"/>
            </w:rPr>
            <w:t>我们审计了兖矿能源集团股份有限公司（以下简称兖矿能源公司）财务报表，包括202</w:t>
          </w:r>
          <w:r>
            <w:rPr>
              <w:rFonts w:ascii="宋体" w:hAnsi="宋体"/>
              <w:sz w:val="22"/>
            </w:rPr>
            <w:t>3</w:t>
          </w:r>
          <w:r>
            <w:rPr>
              <w:rFonts w:hint="eastAsia" w:ascii="宋体" w:hAnsi="宋体"/>
              <w:sz w:val="22"/>
            </w:rPr>
            <w:t>年12月31日的合并及母公司资产负债表，20</w:t>
          </w:r>
          <w:r>
            <w:rPr>
              <w:rFonts w:hint="eastAsia" w:ascii="宋体" w:hAnsi="宋体"/>
              <w:iCs/>
              <w:sz w:val="22"/>
            </w:rPr>
            <w:t>2</w:t>
          </w:r>
          <w:r>
            <w:rPr>
              <w:rFonts w:ascii="宋体" w:hAnsi="宋体"/>
              <w:iCs/>
              <w:sz w:val="22"/>
            </w:rPr>
            <w:t>3</w:t>
          </w:r>
          <w:r>
            <w:rPr>
              <w:rFonts w:hint="eastAsia" w:ascii="宋体" w:hAnsi="宋体"/>
              <w:sz w:val="22"/>
            </w:rPr>
            <w:t>年度的合并及母公司利润表、合并及母公司现金流量表、合并及母公司股东权益变动表，以及相关财务报表附注。</w:t>
          </w:r>
        </w:p>
        <w:p>
          <w:pPr>
            <w:spacing w:before="156" w:beforeLines="50" w:after="156" w:afterLines="50" w:line="360" w:lineRule="exact"/>
            <w:ind w:firstLine="440" w:firstLineChars="200"/>
            <w:rPr>
              <w:rFonts w:ascii="宋体" w:hAnsi="宋体"/>
              <w:sz w:val="22"/>
            </w:rPr>
          </w:pPr>
          <w:r>
            <w:rPr>
              <w:rFonts w:hint="eastAsia" w:ascii="宋体" w:hAnsi="宋体"/>
              <w:sz w:val="22"/>
            </w:rPr>
            <w:t>我们认为，后附的财务报表在所有重大方面按照企业会计准则的规定编制，公允反映了兖矿能源公司20</w:t>
          </w:r>
          <w:r>
            <w:rPr>
              <w:rFonts w:hint="eastAsia" w:ascii="宋体" w:hAnsi="宋体"/>
              <w:iCs/>
              <w:sz w:val="22"/>
            </w:rPr>
            <w:t>2</w:t>
          </w:r>
          <w:r>
            <w:rPr>
              <w:rFonts w:ascii="宋体" w:hAnsi="宋体"/>
              <w:iCs/>
              <w:sz w:val="22"/>
            </w:rPr>
            <w:t>3</w:t>
          </w:r>
          <w:r>
            <w:rPr>
              <w:rFonts w:hint="eastAsia" w:ascii="宋体" w:hAnsi="宋体"/>
              <w:sz w:val="22"/>
            </w:rPr>
            <w:t>年12月31日的合并及母公司财务状况以及20</w:t>
          </w:r>
          <w:r>
            <w:rPr>
              <w:rFonts w:hint="eastAsia" w:ascii="宋体" w:hAnsi="宋体"/>
              <w:iCs/>
              <w:sz w:val="22"/>
            </w:rPr>
            <w:t>2</w:t>
          </w:r>
          <w:r>
            <w:rPr>
              <w:rFonts w:ascii="宋体" w:hAnsi="宋体"/>
              <w:iCs/>
              <w:sz w:val="22"/>
            </w:rPr>
            <w:t>3</w:t>
          </w:r>
          <w:r>
            <w:rPr>
              <w:rFonts w:hint="eastAsia" w:ascii="宋体" w:hAnsi="宋体"/>
              <w:sz w:val="22"/>
            </w:rPr>
            <w:t>年度的合并及母公司经营成果和现金流量。</w:t>
          </w:r>
        </w:p>
        <w:p>
          <w:pPr>
            <w:spacing w:before="156" w:beforeLines="50" w:after="156" w:afterLines="50" w:line="360" w:lineRule="exact"/>
            <w:ind w:firstLine="442" w:firstLineChars="200"/>
            <w:rPr>
              <w:rFonts w:ascii="宋体" w:hAnsi="宋体"/>
              <w:b/>
              <w:sz w:val="22"/>
            </w:rPr>
          </w:pPr>
          <w:r>
            <w:rPr>
              <w:rFonts w:hint="eastAsia" w:ascii="宋体" w:hAnsi="宋体"/>
              <w:b/>
              <w:sz w:val="22"/>
            </w:rPr>
            <w:t>二、形成审计意见的基础</w:t>
          </w:r>
        </w:p>
        <w:p>
          <w:pPr>
            <w:spacing w:before="156" w:beforeLines="50" w:after="156" w:afterLines="50" w:line="360" w:lineRule="exact"/>
            <w:ind w:firstLine="440" w:firstLineChars="200"/>
            <w:rPr>
              <w:rFonts w:ascii="宋体" w:hAnsi="宋体"/>
              <w:sz w:val="22"/>
            </w:rPr>
          </w:pPr>
          <w:r>
            <w:rPr>
              <w:rFonts w:hint="eastAsia" w:ascii="宋体" w:hAnsi="宋体"/>
              <w:sz w:val="22"/>
            </w:rPr>
            <w:t>我们按照中国注册会计师审计准则的规定执行了审计工作。审计报告的“注册会计师对财务报表审计的责任”部分进一步阐述了我们在这些准则下的责任。按照中国注册会计师职业道德守则，我们独立于兖矿能源公司，并履行了职业道德方面的其他责任。我们相信，我们获取的审计证据是充分、适当的，为发表审计意见提供了基础。</w:t>
          </w:r>
        </w:p>
        <w:p>
          <w:pPr>
            <w:spacing w:before="156" w:beforeLines="50" w:after="156" w:afterLines="50" w:line="360" w:lineRule="exact"/>
            <w:ind w:firstLine="442" w:firstLineChars="200"/>
            <w:rPr>
              <w:rFonts w:ascii="宋体" w:hAnsi="宋体"/>
              <w:b/>
              <w:sz w:val="22"/>
            </w:rPr>
          </w:pPr>
          <w:r>
            <w:rPr>
              <w:rFonts w:hint="eastAsia" w:ascii="宋体" w:hAnsi="宋体"/>
              <w:b/>
              <w:sz w:val="22"/>
            </w:rPr>
            <w:t>三、关键审计事项</w:t>
          </w:r>
        </w:p>
        <w:p>
          <w:pPr>
            <w:spacing w:before="156" w:beforeLines="50" w:after="156" w:afterLines="50" w:line="360" w:lineRule="exact"/>
            <w:ind w:firstLine="440" w:firstLineChars="200"/>
            <w:rPr>
              <w:rFonts w:ascii="宋体" w:hAnsi="宋体"/>
              <w:sz w:val="22"/>
            </w:rPr>
          </w:pPr>
          <w:r>
            <w:rPr>
              <w:rFonts w:hint="eastAsia" w:ascii="宋体" w:hAnsi="宋体"/>
              <w:sz w:val="22"/>
            </w:rPr>
            <w:t>关键审计事项是我们根据职业判断，认为对本期财务报表审计最为重要的事项。这些事项的应对以对财务报表整体进行审计并形成审计意见为背景，我们不对这些事项单独发表意见。</w:t>
          </w:r>
        </w:p>
        <w:p>
          <w:pPr>
            <w:spacing w:before="156" w:beforeLines="50" w:after="156" w:afterLines="50" w:line="360" w:lineRule="exact"/>
            <w:ind w:firstLine="440" w:firstLineChars="200"/>
            <w:rPr>
              <w:rFonts w:ascii="宋体" w:hAnsi="宋体"/>
              <w:sz w:val="22"/>
            </w:rPr>
          </w:pPr>
        </w:p>
        <w:p>
          <w:pPr>
            <w:spacing w:before="156" w:beforeLines="50" w:after="156" w:afterLines="50" w:line="360" w:lineRule="exact"/>
            <w:ind w:firstLine="440" w:firstLineChars="200"/>
            <w:rPr>
              <w:rFonts w:ascii="宋体" w:hAnsi="宋体"/>
              <w:sz w:val="22"/>
            </w:rPr>
          </w:pPr>
        </w:p>
        <w:p>
          <w:pPr>
            <w:spacing w:before="156" w:beforeLines="50" w:after="156" w:afterLines="50" w:line="360" w:lineRule="exact"/>
            <w:ind w:firstLine="440" w:firstLineChars="200"/>
            <w:rPr>
              <w:rFonts w:ascii="宋体" w:hAnsi="宋体"/>
              <w:sz w:val="22"/>
            </w:rPr>
          </w:pPr>
        </w:p>
        <w:tbl>
          <w:tblPr>
            <w:tblStyle w:val="9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4"/>
            <w:gridCol w:w="4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2"/>
                <w:vAlign w:val="center"/>
              </w:tcPr>
              <w:p>
                <w:pPr>
                  <w:tabs>
                    <w:tab w:val="left" w:pos="0"/>
                    <w:tab w:val="left" w:pos="284"/>
                  </w:tabs>
                  <w:spacing w:before="156" w:beforeLines="50" w:after="156" w:afterLines="50" w:line="360" w:lineRule="exact"/>
                  <w:rPr>
                    <w:rFonts w:ascii="宋体" w:hAnsi="宋体"/>
                    <w:b/>
                    <w:sz w:val="22"/>
                  </w:rPr>
                </w:pPr>
                <w:r>
                  <w:rPr>
                    <w:rFonts w:hint="eastAsia" w:ascii="宋体" w:hAnsi="宋体"/>
                    <w:b/>
                    <w:sz w:val="22"/>
                  </w:rPr>
                  <w:t>矿山长期资产减值准备的估计事项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7" w:type="pct"/>
                <w:vAlign w:val="center"/>
              </w:tcPr>
              <w:p>
                <w:pPr>
                  <w:spacing w:before="156" w:beforeLines="50" w:after="156" w:afterLines="50" w:line="360" w:lineRule="exact"/>
                  <w:jc w:val="center"/>
                  <w:rPr>
                    <w:rFonts w:ascii="宋体" w:hAnsi="宋体"/>
                    <w:b/>
                    <w:sz w:val="22"/>
                  </w:rPr>
                </w:pPr>
                <w:r>
                  <w:rPr>
                    <w:rFonts w:hint="eastAsia" w:ascii="宋体" w:hAnsi="宋体"/>
                    <w:b/>
                    <w:sz w:val="22"/>
                  </w:rPr>
                  <w:t>关键审计事项</w:t>
                </w:r>
              </w:p>
            </w:tc>
            <w:tc>
              <w:tcPr>
                <w:tcW w:w="2423" w:type="pct"/>
                <w:vAlign w:val="center"/>
              </w:tcPr>
              <w:p>
                <w:pPr>
                  <w:spacing w:before="156" w:beforeLines="50" w:after="156" w:afterLines="50" w:line="360" w:lineRule="exact"/>
                  <w:jc w:val="center"/>
                  <w:rPr>
                    <w:rFonts w:ascii="宋体" w:hAnsi="宋体"/>
                    <w:b/>
                    <w:sz w:val="22"/>
                  </w:rPr>
                </w:pPr>
                <w:r>
                  <w:rPr>
                    <w:rFonts w:hint="eastAsia" w:ascii="宋体" w:hAnsi="宋体"/>
                    <w:b/>
                    <w:sz w:val="22"/>
                  </w:rPr>
                  <w:t>审计中的应对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77" w:type="pct"/>
              </w:tcPr>
              <w:p>
                <w:pPr>
                  <w:spacing w:before="156" w:beforeLines="50" w:after="156" w:afterLines="50" w:line="360" w:lineRule="exact"/>
                  <w:rPr>
                    <w:rFonts w:ascii="宋体" w:hAnsi="宋体"/>
                    <w:sz w:val="22"/>
                  </w:rPr>
                </w:pPr>
                <w:r>
                  <w:rPr>
                    <w:rFonts w:hint="eastAsia" w:ascii="宋体" w:hAnsi="宋体"/>
                    <w:sz w:val="22"/>
                  </w:rPr>
                  <w:t>如兖矿能源公司合并财务报表附注五</w:t>
                </w:r>
                <w:r>
                  <w:rPr>
                    <w:rFonts w:ascii="宋体" w:hAnsi="宋体"/>
                    <w:sz w:val="22"/>
                  </w:rPr>
                  <w:t>.29、</w:t>
                </w:r>
                <w:r>
                  <w:rPr>
                    <w:rFonts w:hint="eastAsia" w:ascii="宋体" w:hAnsi="宋体"/>
                    <w:sz w:val="22"/>
                  </w:rPr>
                  <w:t>附注五</w:t>
                </w:r>
                <w:r>
                  <w:rPr>
                    <w:rFonts w:ascii="宋体" w:hAnsi="宋体"/>
                    <w:sz w:val="22"/>
                  </w:rPr>
                  <w:t>.50、附注</w:t>
                </w:r>
                <w:r>
                  <w:rPr>
                    <w:rFonts w:hint="eastAsia" w:ascii="宋体" w:hAnsi="宋体"/>
                    <w:sz w:val="22"/>
                  </w:rPr>
                  <w:t>七</w:t>
                </w:r>
                <w:r>
                  <w:rPr>
                    <w:rFonts w:ascii="宋体" w:hAnsi="宋体"/>
                    <w:sz w:val="22"/>
                  </w:rPr>
                  <w:t>.26、附注</w:t>
                </w:r>
                <w:r>
                  <w:rPr>
                    <w:rFonts w:hint="eastAsia" w:ascii="宋体" w:hAnsi="宋体"/>
                    <w:sz w:val="22"/>
                  </w:rPr>
                  <w:t>七</w:t>
                </w:r>
                <w:r>
                  <w:rPr>
                    <w:rFonts w:ascii="宋体" w:hAnsi="宋体"/>
                    <w:sz w:val="22"/>
                  </w:rPr>
                  <w:t>.72所述，于2023年12月31日，兖矿能源公司管理层对存在减值迹象的煤矿的长期资产按照其所在的资产组进行减值测试，资产组的可收回金额按资产组的公允价值减处置费用后的净额与资产组预计未来现金流量的现值孰高确定。</w:t>
                </w:r>
              </w:p>
              <w:p>
                <w:pPr>
                  <w:spacing w:before="156" w:beforeLines="50" w:after="156" w:afterLines="50" w:line="360" w:lineRule="exact"/>
                  <w:rPr>
                    <w:rFonts w:ascii="宋体" w:hAnsi="宋体"/>
                    <w:sz w:val="22"/>
                  </w:rPr>
                </w:pPr>
                <w:r>
                  <w:rPr>
                    <w:rFonts w:hint="eastAsia" w:ascii="宋体" w:hAnsi="宋体"/>
                    <w:sz w:val="22"/>
                  </w:rPr>
                  <w:t>管理层在确定相关资产组未来现金流量的现值时运用的关键假设包括矿山剩余可采年限、未来煤炭价格、产量、经营成本、资本性支出以及折现率等。</w:t>
                </w:r>
              </w:p>
              <w:p>
                <w:pPr>
                  <w:spacing w:before="156" w:beforeLines="50" w:after="156" w:afterLines="50" w:line="360" w:lineRule="exact"/>
                  <w:rPr>
                    <w:rFonts w:ascii="宋体" w:hAnsi="宋体"/>
                    <w:b/>
                    <w:sz w:val="22"/>
                  </w:rPr>
                </w:pPr>
                <w:r>
                  <w:rPr>
                    <w:rFonts w:hint="eastAsia" w:ascii="宋体" w:hAnsi="宋体"/>
                    <w:sz w:val="22"/>
                  </w:rPr>
                  <w:t>鉴于矿山长期资产对于兖矿能源合并财务报表的重要性，且管理层对具有减值迹象的长期资产所在资产组可收回金额进行测算时需运用重大估计和判断，因此我们将矿山长期资产减值准备的估计识别为关键审计事项。</w:t>
                </w:r>
              </w:p>
            </w:tc>
            <w:tc>
              <w:tcPr>
                <w:tcW w:w="2423" w:type="pct"/>
              </w:tcPr>
              <w:p>
                <w:pPr>
                  <w:spacing w:before="156" w:beforeLines="50" w:after="156" w:afterLines="50" w:line="360" w:lineRule="exact"/>
                  <w:rPr>
                    <w:rFonts w:ascii="宋体" w:hAnsi="宋体"/>
                    <w:sz w:val="22"/>
                  </w:rPr>
                </w:pPr>
                <w:r>
                  <w:rPr>
                    <w:rFonts w:hint="eastAsia" w:ascii="宋体" w:hAnsi="宋体"/>
                    <w:sz w:val="22"/>
                  </w:rPr>
                  <w:t>我们执行的主要审计程序如下：</w:t>
                </w:r>
              </w:p>
              <w:p>
                <w:pPr>
                  <w:spacing w:before="156" w:beforeLines="50" w:after="156" w:afterLines="50" w:line="360" w:lineRule="exact"/>
                  <w:rPr>
                    <w:rFonts w:ascii="宋体" w:hAnsi="宋体"/>
                    <w:sz w:val="22"/>
                  </w:rPr>
                </w:pPr>
                <w:r>
                  <w:rPr>
                    <w:rFonts w:hint="eastAsia" w:ascii="宋体" w:hAnsi="宋体"/>
                    <w:sz w:val="22"/>
                  </w:rPr>
                  <w:t>识别、评价并测试与减值评估相关的关键控制，包括有关识别存在减值迹象的资产组以及折现未来现金流量模型建立和计算的控制；</w:t>
                </w:r>
              </w:p>
              <w:p>
                <w:pPr>
                  <w:spacing w:before="156" w:beforeLines="50" w:after="156" w:afterLines="50" w:line="360" w:lineRule="exact"/>
                  <w:rPr>
                    <w:rFonts w:ascii="宋体" w:hAnsi="宋体"/>
                    <w:sz w:val="22"/>
                  </w:rPr>
                </w:pPr>
                <w:r>
                  <w:rPr>
                    <w:rFonts w:hint="eastAsia" w:ascii="宋体" w:hAnsi="宋体"/>
                    <w:sz w:val="22"/>
                  </w:rPr>
                  <w:t>评估兖矿能源公司管理层采用的估值模型；</w:t>
                </w:r>
              </w:p>
              <w:p>
                <w:pPr>
                  <w:spacing w:before="156" w:beforeLines="50" w:after="156" w:afterLines="50" w:line="360" w:lineRule="exact"/>
                  <w:rPr>
                    <w:rFonts w:ascii="宋体" w:hAnsi="宋体"/>
                    <w:sz w:val="22"/>
                  </w:rPr>
                </w:pPr>
                <w:r>
                  <w:rPr>
                    <w:rFonts w:hint="eastAsia" w:ascii="宋体" w:hAnsi="宋体"/>
                    <w:sz w:val="22"/>
                  </w:rPr>
                  <w:t>实地查看相关资产的使用情况；</w:t>
                </w:r>
              </w:p>
              <w:p>
                <w:pPr>
                  <w:spacing w:before="156" w:beforeLines="50" w:after="156" w:afterLines="50" w:line="360" w:lineRule="exact"/>
                  <w:rPr>
                    <w:rFonts w:ascii="宋体" w:hAnsi="宋体"/>
                    <w:sz w:val="22"/>
                  </w:rPr>
                </w:pPr>
                <w:r>
                  <w:rPr>
                    <w:rFonts w:hint="eastAsia" w:ascii="宋体" w:hAnsi="宋体"/>
                    <w:sz w:val="22"/>
                  </w:rPr>
                  <w:t>基于我们对于煤炭行业及兖矿能源公司的了解，分析并复核管理层在减值测试中预计未来现金流量时运用的基本假设、重大估计及判断的合理性；</w:t>
                </w:r>
              </w:p>
              <w:p>
                <w:pPr>
                  <w:spacing w:before="156" w:beforeLines="50" w:after="156" w:afterLines="50" w:line="360" w:lineRule="exact"/>
                  <w:rPr>
                    <w:rFonts w:ascii="宋体" w:hAnsi="宋体"/>
                    <w:sz w:val="22"/>
                  </w:rPr>
                </w:pPr>
                <w:r>
                  <w:rPr>
                    <w:rFonts w:hint="eastAsia" w:ascii="宋体" w:hAnsi="宋体"/>
                    <w:sz w:val="22"/>
                  </w:rPr>
                  <w:t>分析并复核管理层在减值测试中使用的折现率；</w:t>
                </w:r>
              </w:p>
              <w:p>
                <w:pPr>
                  <w:spacing w:before="156" w:beforeLines="50" w:after="156" w:afterLines="50" w:line="360" w:lineRule="exact"/>
                  <w:rPr>
                    <w:rFonts w:ascii="宋体" w:hAnsi="宋体"/>
                    <w:sz w:val="22"/>
                  </w:rPr>
                </w:pPr>
                <w:r>
                  <w:rPr>
                    <w:rFonts w:hint="eastAsia" w:ascii="宋体" w:hAnsi="宋体"/>
                    <w:sz w:val="22"/>
                  </w:rPr>
                  <w:t>检查管理层编制的未来现金流量折现模型计算的准确性；</w:t>
                </w:r>
              </w:p>
              <w:p>
                <w:pPr>
                  <w:spacing w:before="156" w:beforeLines="50" w:after="156" w:afterLines="50" w:line="360" w:lineRule="exact"/>
                  <w:rPr>
                    <w:rFonts w:ascii="宋体" w:hAnsi="宋体"/>
                    <w:b/>
                    <w:sz w:val="22"/>
                  </w:rPr>
                </w:pPr>
                <w:r>
                  <w:rPr>
                    <w:rFonts w:hint="eastAsia" w:ascii="宋体" w:hAnsi="宋体"/>
                    <w:sz w:val="22"/>
                  </w:rPr>
                  <w:t>检查相关财务报表列报和披露。</w:t>
                </w:r>
              </w:p>
            </w:tc>
          </w:tr>
        </w:tbl>
        <w:p>
          <w:pPr>
            <w:spacing w:before="156" w:beforeLines="50" w:after="156" w:afterLines="50" w:line="360" w:lineRule="exact"/>
            <w:ind w:firstLine="442" w:firstLineChars="200"/>
            <w:rPr>
              <w:rFonts w:ascii="宋体" w:hAnsi="宋体"/>
              <w:b/>
              <w:sz w:val="22"/>
            </w:rPr>
          </w:pPr>
          <w:r>
            <w:rPr>
              <w:rFonts w:hint="eastAsia" w:ascii="宋体" w:hAnsi="宋体"/>
              <w:b/>
              <w:sz w:val="22"/>
            </w:rPr>
            <w:t>四、其他信息</w:t>
          </w:r>
        </w:p>
        <w:p>
          <w:pPr>
            <w:spacing w:before="156" w:beforeLines="50" w:after="156" w:afterLines="50" w:line="360" w:lineRule="exact"/>
            <w:ind w:firstLine="440" w:firstLineChars="200"/>
            <w:rPr>
              <w:rFonts w:ascii="宋体" w:hAnsi="宋体"/>
              <w:sz w:val="22"/>
            </w:rPr>
          </w:pPr>
          <w:r>
            <w:rPr>
              <w:rFonts w:hint="eastAsia" w:ascii="宋体" w:hAnsi="宋体"/>
              <w:sz w:val="22"/>
            </w:rPr>
            <w:t>兖矿能源公司管理层(以下简称管理层)对其他信息负责。其他信息包括兖矿能源公司20</w:t>
          </w:r>
          <w:r>
            <w:rPr>
              <w:rFonts w:hint="eastAsia" w:ascii="宋体" w:hAnsi="宋体"/>
              <w:iCs/>
              <w:sz w:val="22"/>
            </w:rPr>
            <w:t>2</w:t>
          </w:r>
          <w:r>
            <w:rPr>
              <w:rFonts w:ascii="宋体" w:hAnsi="宋体"/>
              <w:iCs/>
              <w:sz w:val="22"/>
            </w:rPr>
            <w:t>3</w:t>
          </w:r>
          <w:r>
            <w:rPr>
              <w:rFonts w:hint="eastAsia" w:ascii="宋体" w:hAnsi="宋体"/>
              <w:sz w:val="22"/>
            </w:rPr>
            <w:t>年年度报告中涵盖的信息，但不包括财务报表和我们的审计报告。</w:t>
          </w:r>
        </w:p>
        <w:p>
          <w:pPr>
            <w:spacing w:before="156" w:beforeLines="50" w:after="156" w:afterLines="50" w:line="360" w:lineRule="exact"/>
            <w:ind w:firstLine="440" w:firstLineChars="200"/>
            <w:rPr>
              <w:rFonts w:ascii="宋体" w:hAnsi="宋体"/>
              <w:color w:val="000000"/>
              <w:sz w:val="22"/>
            </w:rPr>
          </w:pPr>
          <w:r>
            <w:rPr>
              <w:rFonts w:hint="eastAsia" w:ascii="宋体" w:hAnsi="宋体"/>
              <w:color w:val="000000"/>
              <w:sz w:val="22"/>
            </w:rPr>
            <w:t>我们对财务报表发表的审计意见不涵盖其他信息，我们也不对其他信息发表任何形式的鉴证结论。</w:t>
          </w:r>
        </w:p>
        <w:p>
          <w:pPr>
            <w:spacing w:before="156" w:beforeLines="50" w:after="156" w:afterLines="50" w:line="360" w:lineRule="exact"/>
            <w:ind w:firstLine="440" w:firstLineChars="200"/>
            <w:rPr>
              <w:rFonts w:ascii="宋体" w:hAnsi="宋体"/>
              <w:color w:val="000000"/>
              <w:sz w:val="22"/>
            </w:rPr>
          </w:pPr>
          <w:r>
            <w:rPr>
              <w:rFonts w:hint="eastAsia" w:ascii="宋体" w:hAnsi="宋体"/>
              <w:color w:val="000000"/>
              <w:sz w:val="22"/>
            </w:rPr>
            <w:t>结合我们对财务报表的审计，我们的责任是阅读其他信息，在此过程中，考虑其他信息是否与财务报表或我们在审计过程中了解到的情况存在重大不一致或者似乎存在重大错报。</w:t>
          </w:r>
        </w:p>
        <w:p>
          <w:pPr>
            <w:spacing w:before="156" w:beforeLines="50" w:after="156" w:afterLines="50" w:line="360" w:lineRule="exact"/>
            <w:ind w:firstLine="440" w:firstLineChars="200"/>
            <w:rPr>
              <w:rFonts w:ascii="宋体" w:hAnsi="宋体"/>
              <w:color w:val="000000"/>
              <w:sz w:val="22"/>
            </w:rPr>
          </w:pPr>
          <w:r>
            <w:rPr>
              <w:rFonts w:hint="eastAsia" w:ascii="宋体" w:hAnsi="宋体"/>
              <w:color w:val="000000"/>
              <w:sz w:val="22"/>
            </w:rPr>
            <w:t>基于我们已执行的工作，如果我们确定其他信息存在重大错报，我们应当报告该事实。在这方面，我们无任何事项需要报告。</w:t>
          </w:r>
        </w:p>
        <w:p>
          <w:pPr>
            <w:spacing w:before="156" w:beforeLines="50" w:after="156" w:afterLines="50" w:line="360" w:lineRule="exact"/>
            <w:ind w:firstLine="442" w:firstLineChars="200"/>
            <w:rPr>
              <w:rFonts w:ascii="宋体" w:hAnsi="宋体"/>
              <w:b/>
              <w:sz w:val="22"/>
            </w:rPr>
          </w:pPr>
          <w:r>
            <w:rPr>
              <w:rFonts w:hint="eastAsia" w:ascii="宋体" w:hAnsi="宋体"/>
              <w:b/>
              <w:sz w:val="22"/>
            </w:rPr>
            <w:t xml:space="preserve">五、管理层和治理层对财务报表的责任 </w:t>
          </w:r>
        </w:p>
        <w:p>
          <w:pPr>
            <w:spacing w:before="156" w:beforeLines="50" w:after="156" w:afterLines="50" w:line="360" w:lineRule="exact"/>
            <w:ind w:firstLine="440" w:firstLineChars="200"/>
            <w:rPr>
              <w:rFonts w:ascii="宋体" w:hAnsi="宋体"/>
              <w:sz w:val="22"/>
            </w:rPr>
          </w:pPr>
          <w:r>
            <w:rPr>
              <w:rFonts w:hint="eastAsia" w:ascii="宋体" w:hAnsi="宋体"/>
              <w:sz w:val="22"/>
            </w:rPr>
            <w:t xml:space="preserve">管理层负责按照企业会计准则的规定编制财务报表，使其实现公允反映，并设计、执行和维护必要的内部控制，以使财务报表不存在由于舞弊或错误导致的重大错报。 </w:t>
          </w:r>
        </w:p>
        <w:p>
          <w:pPr>
            <w:spacing w:before="156" w:beforeLines="50" w:after="156" w:afterLines="50" w:line="360" w:lineRule="exact"/>
            <w:ind w:firstLine="440" w:firstLineChars="200"/>
            <w:rPr>
              <w:rFonts w:ascii="宋体" w:hAnsi="宋体"/>
              <w:sz w:val="22"/>
            </w:rPr>
          </w:pPr>
          <w:r>
            <w:rPr>
              <w:rFonts w:hint="eastAsia" w:ascii="宋体" w:hAnsi="宋体"/>
              <w:sz w:val="22"/>
            </w:rPr>
            <w:t>在编制财务报表时，管理层负责评估兖矿能源公司的持续经营能力，披露与持续经营相关的事项（如适用），并运用持续经营假设，除非管理层计划清算兖矿能源公司、终止运营或别无其他现实的选择。</w:t>
          </w:r>
        </w:p>
        <w:p>
          <w:pPr>
            <w:spacing w:before="156" w:beforeLines="50" w:after="156" w:afterLines="50" w:line="360" w:lineRule="exact"/>
            <w:ind w:firstLine="440" w:firstLineChars="200"/>
            <w:rPr>
              <w:rFonts w:ascii="宋体" w:hAnsi="宋体"/>
              <w:sz w:val="22"/>
            </w:rPr>
          </w:pPr>
          <w:r>
            <w:rPr>
              <w:rFonts w:hint="eastAsia" w:ascii="宋体" w:hAnsi="宋体"/>
              <w:sz w:val="22"/>
            </w:rPr>
            <w:t>治理层负责监督兖矿能源公司的财务报告过程。</w:t>
          </w:r>
        </w:p>
        <w:p>
          <w:pPr>
            <w:spacing w:before="156" w:beforeLines="50" w:after="156" w:afterLines="50" w:line="360" w:lineRule="exact"/>
            <w:ind w:firstLine="442" w:firstLineChars="200"/>
            <w:rPr>
              <w:rFonts w:ascii="宋体" w:hAnsi="宋体"/>
              <w:b/>
              <w:sz w:val="22"/>
            </w:rPr>
          </w:pPr>
          <w:r>
            <w:rPr>
              <w:rFonts w:hint="eastAsia" w:ascii="宋体" w:hAnsi="宋体"/>
              <w:b/>
              <w:sz w:val="22"/>
            </w:rPr>
            <w:t>六、注册会计师对财务报表审计的责任</w:t>
          </w:r>
        </w:p>
        <w:p>
          <w:pPr>
            <w:spacing w:before="156" w:beforeLines="50" w:after="156" w:afterLines="50" w:line="360" w:lineRule="exact"/>
            <w:ind w:firstLine="440" w:firstLineChars="200"/>
            <w:rPr>
              <w:rFonts w:ascii="宋体" w:hAnsi="宋体"/>
              <w:sz w:val="22"/>
            </w:rPr>
          </w:pPr>
          <w:r>
            <w:rPr>
              <w:rFonts w:hint="eastAsia" w:ascii="宋体" w:hAnsi="宋体"/>
              <w:sz w:val="22"/>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pPr>
            <w:spacing w:before="156" w:beforeLines="50" w:after="156" w:afterLines="50" w:line="360" w:lineRule="exact"/>
            <w:ind w:firstLine="440" w:firstLineChars="200"/>
            <w:rPr>
              <w:rFonts w:ascii="宋体" w:hAnsi="宋体"/>
              <w:sz w:val="22"/>
            </w:rPr>
          </w:pPr>
          <w:r>
            <w:rPr>
              <w:rFonts w:hint="eastAsia" w:ascii="宋体" w:hAnsi="宋体"/>
              <w:sz w:val="22"/>
            </w:rPr>
            <w:t>在按照审计准则执行审计工作的过程中，我们运用职业判断，并保持职业怀疑。同时，我们也执行以下工作：</w:t>
          </w:r>
        </w:p>
        <w:p>
          <w:pPr>
            <w:numPr>
              <w:ilvl w:val="0"/>
              <w:numId w:val="58"/>
            </w:numPr>
            <w:spacing w:before="156" w:beforeLines="50" w:after="156" w:afterLines="50" w:line="360" w:lineRule="exact"/>
            <w:ind w:left="0" w:firstLine="440" w:firstLineChars="200"/>
            <w:rPr>
              <w:rFonts w:ascii="宋体" w:hAnsi="宋体"/>
              <w:sz w:val="22"/>
            </w:rPr>
          </w:pPr>
          <w:r>
            <w:rPr>
              <w:rFonts w:hint="eastAsia" w:ascii="宋体" w:hAnsi="宋体"/>
              <w:sz w:val="22"/>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pPr>
            <w:numPr>
              <w:ilvl w:val="0"/>
              <w:numId w:val="58"/>
            </w:numPr>
            <w:spacing w:before="156" w:beforeLines="50" w:after="156" w:afterLines="50" w:line="360" w:lineRule="exact"/>
            <w:ind w:left="0" w:firstLine="440" w:firstLineChars="200"/>
            <w:rPr>
              <w:rFonts w:ascii="宋体" w:hAnsi="宋体"/>
              <w:sz w:val="22"/>
            </w:rPr>
          </w:pPr>
          <w:r>
            <w:rPr>
              <w:rFonts w:hint="eastAsia" w:ascii="宋体" w:hAnsi="宋体"/>
              <w:sz w:val="22"/>
            </w:rPr>
            <w:t>了解与审计相关的内部控制，以设计恰当的审计程序。</w:t>
          </w:r>
        </w:p>
        <w:p>
          <w:pPr>
            <w:numPr>
              <w:ilvl w:val="0"/>
              <w:numId w:val="58"/>
            </w:numPr>
            <w:spacing w:before="156" w:beforeLines="50" w:after="156" w:afterLines="50" w:line="360" w:lineRule="exact"/>
            <w:ind w:left="0" w:firstLine="440" w:firstLineChars="200"/>
            <w:rPr>
              <w:rFonts w:ascii="宋体" w:hAnsi="宋体"/>
              <w:sz w:val="22"/>
            </w:rPr>
          </w:pPr>
          <w:r>
            <w:rPr>
              <w:rFonts w:hint="eastAsia" w:ascii="宋体" w:hAnsi="宋体"/>
              <w:sz w:val="22"/>
            </w:rPr>
            <w:t>评价管理层选用会计政策的恰当性和作出会计估计及相关披露的合理性。</w:t>
          </w:r>
        </w:p>
        <w:p>
          <w:pPr>
            <w:numPr>
              <w:ilvl w:val="0"/>
              <w:numId w:val="58"/>
            </w:numPr>
            <w:spacing w:before="156" w:beforeLines="50" w:after="156" w:afterLines="50" w:line="360" w:lineRule="exact"/>
            <w:ind w:left="0" w:firstLine="440" w:firstLineChars="200"/>
            <w:rPr>
              <w:rFonts w:ascii="宋体" w:hAnsi="宋体"/>
              <w:sz w:val="22"/>
            </w:rPr>
          </w:pPr>
          <w:r>
            <w:rPr>
              <w:rFonts w:hint="eastAsia" w:ascii="宋体" w:hAnsi="宋体"/>
              <w:sz w:val="22"/>
            </w:rPr>
            <w:t>对管理层使用持续经营假设的恰当性得出结论。同时，根据获取的审计证据，就可能导致对兖矿能源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兖矿能源公司不能持续经营。</w:t>
          </w:r>
        </w:p>
        <w:p>
          <w:pPr>
            <w:numPr>
              <w:ilvl w:val="0"/>
              <w:numId w:val="58"/>
            </w:numPr>
            <w:spacing w:before="156" w:beforeLines="50" w:after="156" w:afterLines="50" w:line="360" w:lineRule="exact"/>
            <w:ind w:left="0" w:firstLine="440" w:firstLineChars="200"/>
            <w:rPr>
              <w:rFonts w:ascii="宋体" w:hAnsi="宋体"/>
              <w:sz w:val="22"/>
            </w:rPr>
          </w:pPr>
          <w:r>
            <w:rPr>
              <w:rFonts w:hint="eastAsia" w:ascii="宋体" w:hAnsi="宋体"/>
              <w:sz w:val="22"/>
            </w:rPr>
            <w:t>评价财务报表的总体列报、结构和内容，并评价财务报表是否公允反映相关交易和事项。</w:t>
          </w:r>
        </w:p>
        <w:p>
          <w:pPr>
            <w:numPr>
              <w:ilvl w:val="0"/>
              <w:numId w:val="58"/>
            </w:numPr>
            <w:spacing w:before="156" w:beforeLines="50" w:after="156" w:afterLines="50" w:line="360" w:lineRule="exact"/>
            <w:ind w:left="0" w:firstLine="440" w:firstLineChars="200"/>
            <w:rPr>
              <w:rFonts w:ascii="宋体" w:hAnsi="宋体"/>
              <w:sz w:val="22"/>
            </w:rPr>
          </w:pPr>
          <w:r>
            <w:rPr>
              <w:rFonts w:ascii="宋体" w:hAnsi="宋体"/>
              <w:sz w:val="22"/>
            </w:rPr>
            <w:t>就</w:t>
          </w:r>
          <w:r>
            <w:rPr>
              <w:rFonts w:hint="eastAsia" w:ascii="宋体" w:hAnsi="宋体"/>
              <w:sz w:val="22"/>
            </w:rPr>
            <w:t>兖矿能源公司</w:t>
          </w:r>
          <w:r>
            <w:rPr>
              <w:rFonts w:ascii="宋体" w:hAnsi="宋体"/>
              <w:sz w:val="22"/>
            </w:rPr>
            <w:t>中实体或业务活动的财务信息获取充分、适当的审计证据，以对财务报表发表审计意见。我们负责指导、监督和执行集团审计，并对审计意见承担全部责任。</w:t>
          </w:r>
        </w:p>
        <w:p>
          <w:pPr>
            <w:spacing w:before="156" w:beforeLines="50" w:after="156" w:afterLines="50" w:line="360" w:lineRule="exact"/>
            <w:ind w:firstLine="440" w:firstLineChars="200"/>
            <w:rPr>
              <w:rFonts w:ascii="宋体" w:hAnsi="宋体"/>
              <w:sz w:val="22"/>
            </w:rPr>
          </w:pPr>
          <w:r>
            <w:rPr>
              <w:rFonts w:hint="eastAsia" w:ascii="宋体" w:hAnsi="宋体"/>
              <w:sz w:val="22"/>
            </w:rPr>
            <w:t>我们与治理层就计划的审计范围、时间安排和重大审计发现等事项进行沟通，包括沟通我们在审计中识别出的值得关注的内部控制缺陷。</w:t>
          </w:r>
        </w:p>
        <w:p>
          <w:pPr>
            <w:spacing w:before="156" w:beforeLines="50" w:after="156" w:afterLines="50" w:line="360" w:lineRule="exact"/>
            <w:ind w:firstLine="440" w:firstLineChars="200"/>
            <w:rPr>
              <w:rFonts w:ascii="宋体" w:hAnsi="宋体"/>
              <w:sz w:val="22"/>
            </w:rPr>
          </w:pPr>
          <w:r>
            <w:rPr>
              <w:rFonts w:hint="eastAsia" w:ascii="宋体" w:hAnsi="宋体"/>
              <w:sz w:val="22"/>
            </w:rPr>
            <w:t>我们还就已遵守与独立性相关的职业道德要求向治理层提供声明，并与治理层沟通可能被合理认为影响我们独立性的所有关系和其他事项，以及相关的防范措施（如适用）。</w:t>
          </w:r>
        </w:p>
        <w:p>
          <w:pPr>
            <w:pStyle w:val="523"/>
            <w:spacing w:before="156" w:beforeLines="50" w:beforeAutospacing="0" w:after="156" w:afterLines="50" w:afterAutospacing="0" w:line="360" w:lineRule="exact"/>
            <w:ind w:firstLine="440" w:firstLineChars="200"/>
            <w:jc w:val="both"/>
            <w:rPr>
              <w:sz w:val="22"/>
              <w:szCs w:val="22"/>
            </w:rPr>
          </w:pPr>
          <w:r>
            <w:rPr>
              <w:rFonts w:hint="eastAsia"/>
              <w:sz w:val="22"/>
              <w:szCs w:val="22"/>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pPr>
            <w:pStyle w:val="523"/>
            <w:spacing w:before="156" w:beforeLines="50" w:beforeAutospacing="0" w:after="156" w:afterLines="50" w:afterAutospacing="0" w:line="360" w:lineRule="exact"/>
            <w:ind w:firstLine="200"/>
            <w:jc w:val="both"/>
            <w:rPr>
              <w:sz w:val="22"/>
              <w:szCs w:val="22"/>
            </w:rPr>
          </w:pPr>
        </w:p>
        <w:p>
          <w:pPr>
            <w:pStyle w:val="523"/>
            <w:spacing w:before="156" w:beforeLines="50" w:beforeAutospacing="0" w:after="156" w:afterLines="50" w:afterAutospacing="0" w:line="360" w:lineRule="exact"/>
            <w:ind w:firstLine="200"/>
            <w:jc w:val="both"/>
            <w:rPr>
              <w:sz w:val="22"/>
              <w:szCs w:val="22"/>
            </w:rPr>
          </w:pPr>
        </w:p>
        <w:p>
          <w:pPr>
            <w:pStyle w:val="523"/>
            <w:spacing w:before="156" w:beforeLines="50" w:beforeAutospacing="0" w:after="156" w:afterLines="50" w:afterAutospacing="0" w:line="360" w:lineRule="exact"/>
            <w:ind w:firstLine="200"/>
            <w:jc w:val="both"/>
            <w:rPr>
              <w:sz w:val="22"/>
              <w:szCs w:val="22"/>
            </w:rPr>
          </w:pPr>
        </w:p>
        <w:p>
          <w:pPr>
            <w:spacing w:before="156" w:beforeLines="50" w:after="156" w:afterLines="50" w:line="360" w:lineRule="exact"/>
            <w:ind w:firstLine="440" w:firstLineChars="200"/>
            <w:rPr>
              <w:rFonts w:ascii="宋体" w:hAnsi="宋体"/>
              <w:color w:val="FF0000"/>
              <w:sz w:val="22"/>
            </w:rPr>
          </w:pPr>
        </w:p>
        <w:p>
          <w:pPr>
            <w:spacing w:before="156" w:beforeLines="50" w:after="156" w:afterLines="50" w:line="360" w:lineRule="exact"/>
            <w:rPr>
              <w:rFonts w:ascii="宋体" w:hAnsi="宋体"/>
              <w:color w:val="FF0000"/>
              <w:sz w:val="22"/>
            </w:rPr>
          </w:pPr>
        </w:p>
        <w:p>
          <w:pPr>
            <w:spacing w:before="156" w:beforeLines="50" w:after="156" w:afterLines="50" w:line="360" w:lineRule="exact"/>
            <w:ind w:firstLine="440" w:firstLineChars="200"/>
            <w:rPr>
              <w:rFonts w:ascii="宋体" w:hAnsi="宋体"/>
              <w:color w:val="FF0000"/>
              <w:sz w:val="22"/>
            </w:rPr>
          </w:pPr>
        </w:p>
        <w:p>
          <w:pPr>
            <w:spacing w:before="156" w:beforeLines="50" w:after="156" w:afterLines="50" w:line="360" w:lineRule="exact"/>
            <w:ind w:firstLine="440" w:firstLineChars="200"/>
            <w:rPr>
              <w:rFonts w:ascii="宋体" w:hAnsi="宋体"/>
              <w:color w:val="FF0000"/>
              <w:sz w:val="22"/>
            </w:rPr>
          </w:pPr>
        </w:p>
        <w:tbl>
          <w:tblPr>
            <w:tblStyle w:val="964"/>
            <w:tblW w:w="4998" w:type="pct"/>
            <w:jc w:val="center"/>
            <w:tblLayout w:type="autofit"/>
            <w:tblCellMar>
              <w:top w:w="0" w:type="dxa"/>
              <w:left w:w="108" w:type="dxa"/>
              <w:bottom w:w="0" w:type="dxa"/>
              <w:right w:w="108" w:type="dxa"/>
            </w:tblCellMar>
          </w:tblPr>
          <w:tblGrid>
            <w:gridCol w:w="4320"/>
            <w:gridCol w:w="402"/>
            <w:gridCol w:w="4323"/>
          </w:tblGrid>
          <w:tr>
            <w:tblPrEx>
              <w:tblCellMar>
                <w:top w:w="0" w:type="dxa"/>
                <w:left w:w="108" w:type="dxa"/>
                <w:bottom w:w="0" w:type="dxa"/>
                <w:right w:w="108" w:type="dxa"/>
              </w:tblCellMar>
            </w:tblPrEx>
            <w:trPr>
              <w:trHeight w:val="397" w:hRule="atLeast"/>
              <w:jc w:val="center"/>
            </w:trPr>
            <w:tc>
              <w:tcPr>
                <w:tcW w:w="3969" w:type="dxa"/>
              </w:tcPr>
              <w:p>
                <w:pPr>
                  <w:spacing w:line="480" w:lineRule="auto"/>
                  <w:rPr>
                    <w:rFonts w:ascii="宋体" w:hAnsi="宋体"/>
                    <w:sz w:val="22"/>
                  </w:rPr>
                </w:pPr>
                <w:r>
                  <w:rPr>
                    <w:rFonts w:hint="eastAsia" w:ascii="宋体" w:hAnsi="宋体"/>
                    <w:sz w:val="22"/>
                  </w:rPr>
                  <w:t>信永中和会计师事务所(特殊普通合伙)</w:t>
                </w:r>
              </w:p>
            </w:tc>
            <w:tc>
              <w:tcPr>
                <w:tcW w:w="369" w:type="dxa"/>
              </w:tcPr>
              <w:p>
                <w:pPr>
                  <w:spacing w:line="480" w:lineRule="auto"/>
                  <w:rPr>
                    <w:rFonts w:ascii="宋体" w:hAnsi="宋体"/>
                    <w:sz w:val="22"/>
                  </w:rPr>
                </w:pPr>
              </w:p>
            </w:tc>
            <w:tc>
              <w:tcPr>
                <w:tcW w:w="3971" w:type="dxa"/>
              </w:tcPr>
              <w:p>
                <w:pPr>
                  <w:spacing w:line="480" w:lineRule="auto"/>
                  <w:rPr>
                    <w:rFonts w:ascii="宋体" w:hAnsi="宋体"/>
                    <w:sz w:val="22"/>
                  </w:rPr>
                </w:pPr>
                <w:r>
                  <w:rPr>
                    <w:rFonts w:hint="eastAsia" w:ascii="宋体" w:hAnsi="宋体"/>
                    <w:sz w:val="22"/>
                  </w:rPr>
                  <w:t>中国注册会计师：</w:t>
                </w:r>
              </w:p>
              <w:p>
                <w:pPr>
                  <w:spacing w:line="480" w:lineRule="auto"/>
                  <w:rPr>
                    <w:rFonts w:ascii="宋体" w:hAnsi="宋体"/>
                    <w:iCs/>
                    <w:sz w:val="22"/>
                  </w:rPr>
                </w:pPr>
                <w:r>
                  <w:rPr>
                    <w:rFonts w:hint="eastAsia" w:ascii="宋体" w:hAnsi="宋体"/>
                    <w:iCs/>
                    <w:color w:val="000000" w:themeColor="text1"/>
                    <w:sz w:val="22"/>
                    <w14:textFill>
                      <w14:solidFill>
                        <w14:schemeClr w14:val="tx1"/>
                      </w14:solidFill>
                    </w14:textFill>
                  </w:rPr>
                  <w:t xml:space="preserve">（项目合伙人）  </w:t>
                </w:r>
                <w:r>
                  <w:rPr>
                    <w:rFonts w:hint="eastAsia" w:ascii="宋体" w:hAnsi="宋体"/>
                    <w:iCs/>
                    <w:sz w:val="22"/>
                  </w:rPr>
                  <w:t xml:space="preserve">     </w:t>
                </w:r>
              </w:p>
            </w:tc>
          </w:tr>
          <w:tr>
            <w:tblPrEx>
              <w:tblCellMar>
                <w:top w:w="0" w:type="dxa"/>
                <w:left w:w="108" w:type="dxa"/>
                <w:bottom w:w="0" w:type="dxa"/>
                <w:right w:w="108" w:type="dxa"/>
              </w:tblCellMar>
            </w:tblPrEx>
            <w:trPr>
              <w:trHeight w:val="397" w:hRule="atLeast"/>
              <w:jc w:val="center"/>
            </w:trPr>
            <w:tc>
              <w:tcPr>
                <w:tcW w:w="3969" w:type="dxa"/>
              </w:tcPr>
              <w:p>
                <w:pPr>
                  <w:spacing w:line="480" w:lineRule="auto"/>
                  <w:rPr>
                    <w:rFonts w:ascii="宋体" w:hAnsi="宋体"/>
                    <w:sz w:val="22"/>
                  </w:rPr>
                </w:pPr>
              </w:p>
            </w:tc>
            <w:tc>
              <w:tcPr>
                <w:tcW w:w="369" w:type="dxa"/>
              </w:tcPr>
              <w:p>
                <w:pPr>
                  <w:spacing w:line="480" w:lineRule="auto"/>
                  <w:rPr>
                    <w:rFonts w:ascii="宋体" w:hAnsi="宋体"/>
                    <w:sz w:val="22"/>
                  </w:rPr>
                </w:pPr>
              </w:p>
            </w:tc>
            <w:tc>
              <w:tcPr>
                <w:tcW w:w="3971" w:type="dxa"/>
              </w:tcPr>
              <w:p>
                <w:pPr>
                  <w:spacing w:line="480" w:lineRule="auto"/>
                  <w:rPr>
                    <w:rFonts w:ascii="宋体" w:hAnsi="宋体"/>
                    <w:sz w:val="22"/>
                  </w:rPr>
                </w:pPr>
                <w:r>
                  <w:rPr>
                    <w:rFonts w:hint="eastAsia" w:ascii="宋体" w:hAnsi="宋体"/>
                    <w:sz w:val="22"/>
                  </w:rPr>
                  <w:t xml:space="preserve"> </w:t>
                </w:r>
              </w:p>
            </w:tc>
          </w:tr>
          <w:tr>
            <w:tblPrEx>
              <w:tblCellMar>
                <w:top w:w="0" w:type="dxa"/>
                <w:left w:w="108" w:type="dxa"/>
                <w:bottom w:w="0" w:type="dxa"/>
                <w:right w:w="108" w:type="dxa"/>
              </w:tblCellMar>
            </w:tblPrEx>
            <w:trPr>
              <w:trHeight w:val="397" w:hRule="atLeast"/>
              <w:jc w:val="center"/>
            </w:trPr>
            <w:tc>
              <w:tcPr>
                <w:tcW w:w="3969" w:type="dxa"/>
              </w:tcPr>
              <w:p>
                <w:pPr>
                  <w:spacing w:line="480" w:lineRule="auto"/>
                  <w:rPr>
                    <w:rFonts w:ascii="宋体" w:hAnsi="宋体"/>
                    <w:sz w:val="22"/>
                  </w:rPr>
                </w:pPr>
              </w:p>
            </w:tc>
            <w:tc>
              <w:tcPr>
                <w:tcW w:w="369" w:type="dxa"/>
              </w:tcPr>
              <w:p>
                <w:pPr>
                  <w:spacing w:line="480" w:lineRule="auto"/>
                  <w:rPr>
                    <w:rFonts w:ascii="宋体" w:hAnsi="宋体"/>
                    <w:sz w:val="22"/>
                  </w:rPr>
                </w:pPr>
              </w:p>
            </w:tc>
            <w:tc>
              <w:tcPr>
                <w:tcW w:w="3971" w:type="dxa"/>
              </w:tcPr>
              <w:p>
                <w:pPr>
                  <w:spacing w:line="480" w:lineRule="auto"/>
                  <w:rPr>
                    <w:rFonts w:ascii="宋体" w:hAnsi="宋体"/>
                    <w:sz w:val="22"/>
                  </w:rPr>
                </w:pPr>
                <w:r>
                  <w:rPr>
                    <w:rFonts w:hint="eastAsia" w:ascii="宋体" w:hAnsi="宋体"/>
                    <w:sz w:val="22"/>
                  </w:rPr>
                  <w:t>中国注册会计师：</w:t>
                </w:r>
              </w:p>
            </w:tc>
          </w:tr>
          <w:tr>
            <w:tblPrEx>
              <w:tblCellMar>
                <w:top w:w="0" w:type="dxa"/>
                <w:left w:w="108" w:type="dxa"/>
                <w:bottom w:w="0" w:type="dxa"/>
                <w:right w:w="108" w:type="dxa"/>
              </w:tblCellMar>
            </w:tblPrEx>
            <w:trPr>
              <w:trHeight w:val="397" w:hRule="atLeast"/>
              <w:jc w:val="center"/>
            </w:trPr>
            <w:tc>
              <w:tcPr>
                <w:tcW w:w="3969" w:type="dxa"/>
              </w:tcPr>
              <w:p>
                <w:pPr>
                  <w:spacing w:line="480" w:lineRule="auto"/>
                  <w:rPr>
                    <w:rFonts w:ascii="宋体" w:hAnsi="宋体"/>
                    <w:sz w:val="22"/>
                  </w:rPr>
                </w:pPr>
              </w:p>
            </w:tc>
            <w:tc>
              <w:tcPr>
                <w:tcW w:w="369" w:type="dxa"/>
              </w:tcPr>
              <w:p>
                <w:pPr>
                  <w:spacing w:line="480" w:lineRule="auto"/>
                  <w:rPr>
                    <w:rFonts w:ascii="宋体" w:hAnsi="宋体"/>
                    <w:sz w:val="22"/>
                  </w:rPr>
                </w:pPr>
              </w:p>
            </w:tc>
            <w:tc>
              <w:tcPr>
                <w:tcW w:w="3971" w:type="dxa"/>
              </w:tcPr>
              <w:p>
                <w:pPr>
                  <w:spacing w:line="480" w:lineRule="auto"/>
                  <w:rPr>
                    <w:rFonts w:ascii="宋体" w:hAnsi="宋体"/>
                    <w:sz w:val="22"/>
                  </w:rPr>
                </w:pPr>
              </w:p>
            </w:tc>
          </w:tr>
          <w:tr>
            <w:tblPrEx>
              <w:tblCellMar>
                <w:top w:w="0" w:type="dxa"/>
                <w:left w:w="108" w:type="dxa"/>
                <w:bottom w:w="0" w:type="dxa"/>
                <w:right w:w="108" w:type="dxa"/>
              </w:tblCellMar>
            </w:tblPrEx>
            <w:trPr>
              <w:trHeight w:val="397" w:hRule="atLeast"/>
              <w:jc w:val="center"/>
            </w:trPr>
            <w:tc>
              <w:tcPr>
                <w:tcW w:w="3969" w:type="dxa"/>
              </w:tcPr>
              <w:p>
                <w:pPr>
                  <w:spacing w:line="480" w:lineRule="auto"/>
                  <w:jc w:val="center"/>
                  <w:rPr>
                    <w:rFonts w:ascii="宋体" w:hAnsi="宋体"/>
                    <w:sz w:val="22"/>
                  </w:rPr>
                </w:pPr>
                <w:r>
                  <w:rPr>
                    <w:rFonts w:hint="eastAsia" w:ascii="宋体" w:hAnsi="宋体"/>
                    <w:sz w:val="22"/>
                  </w:rPr>
                  <w:t xml:space="preserve">中国 </w:t>
                </w:r>
                <w:r>
                  <w:rPr>
                    <w:rFonts w:ascii="宋体" w:hAnsi="宋体"/>
                    <w:sz w:val="22"/>
                  </w:rPr>
                  <w:t xml:space="preserve"> </w:t>
                </w:r>
                <w:r>
                  <w:rPr>
                    <w:rFonts w:hint="eastAsia" w:ascii="宋体" w:hAnsi="宋体"/>
                    <w:sz w:val="22"/>
                  </w:rPr>
                  <w:t>北京</w:t>
                </w:r>
              </w:p>
            </w:tc>
            <w:tc>
              <w:tcPr>
                <w:tcW w:w="369" w:type="dxa"/>
              </w:tcPr>
              <w:p>
                <w:pPr>
                  <w:spacing w:line="480" w:lineRule="auto"/>
                  <w:rPr>
                    <w:rFonts w:ascii="宋体" w:hAnsi="宋体"/>
                    <w:sz w:val="22"/>
                  </w:rPr>
                </w:pPr>
              </w:p>
            </w:tc>
            <w:tc>
              <w:tcPr>
                <w:tcW w:w="3971" w:type="dxa"/>
              </w:tcPr>
              <w:p>
                <w:pPr>
                  <w:spacing w:line="480" w:lineRule="auto"/>
                  <w:rPr>
                    <w:rFonts w:ascii="宋体" w:hAnsi="宋体"/>
                    <w:sz w:val="22"/>
                  </w:rPr>
                </w:pPr>
                <w:r>
                  <w:rPr>
                    <w:rFonts w:hint="eastAsia" w:ascii="宋体" w:hAnsi="宋体"/>
                    <w:sz w:val="22"/>
                  </w:rPr>
                  <w:t>二○二四年三月二十八日</w:t>
                </w:r>
              </w:p>
            </w:tc>
          </w:tr>
        </w:tbl>
        <w:p>
          <w:pPr>
            <w:rPr>
              <w:rFonts w:ascii="宋体" w:hAnsi="宋体"/>
              <w:b/>
              <w:color w:val="000000"/>
              <w:sz w:val="22"/>
            </w:rPr>
          </w:pPr>
        </w:p>
        <w:p>
          <w:pPr>
            <w:pStyle w:val="531"/>
          </w:pPr>
        </w:p>
      </w:sdtContent>
    </w:sdt>
    <w:p>
      <w:pPr>
        <w:pStyle w:val="531"/>
      </w:pPr>
    </w:p>
    <w:p>
      <w:pPr>
        <w:pStyle w:val="503"/>
        <w:numPr>
          <w:ilvl w:val="0"/>
          <w:numId w:val="57"/>
        </w:numPr>
        <w:ind w:hanging="136"/>
        <w:rPr>
          <w:rFonts w:ascii="宋体" w:hAnsi="宋体"/>
        </w:rPr>
        <w:sectPr>
          <w:pgSz w:w="11906" w:h="16838"/>
          <w:pgMar w:top="1440" w:right="1797" w:bottom="1525" w:left="1276" w:header="856" w:footer="992" w:gutter="0"/>
          <w:cols w:space="425" w:num="1"/>
          <w:docGrid w:type="lines" w:linePitch="312" w:charSpace="0"/>
        </w:sectPr>
      </w:pPr>
    </w:p>
    <w:p>
      <w:pPr>
        <w:pStyle w:val="503"/>
        <w:numPr>
          <w:ilvl w:val="0"/>
          <w:numId w:val="57"/>
        </w:numPr>
        <w:ind w:hanging="136"/>
        <w:rPr>
          <w:rFonts w:ascii="宋体" w:hAnsi="宋体"/>
        </w:rPr>
      </w:pPr>
      <w:r>
        <w:rPr>
          <w:rFonts w:hint="eastAsia" w:ascii="宋体" w:hAnsi="宋体"/>
        </w:rPr>
        <w:t>财务报表</w:t>
      </w:r>
      <w:bookmarkStart w:id="196" w:name="_Hlk24034092"/>
    </w:p>
    <w:p>
      <w:pPr>
        <w:pStyle w:val="504"/>
        <w:jc w:val="center"/>
        <w:rPr>
          <w:rFonts w:ascii="宋体" w:hAnsi="宋体"/>
        </w:rPr>
      </w:pPr>
      <w:r>
        <w:rPr>
          <w:rFonts w:hint="eastAsia" w:ascii="宋体" w:hAnsi="宋体"/>
        </w:rPr>
        <w:t>合并资产负债表</w:t>
      </w:r>
    </w:p>
    <w:p>
      <w:pPr>
        <w:snapToGrid w:val="0"/>
        <w:spacing w:line="240" w:lineRule="atLeast"/>
        <w:jc w:val="center"/>
        <w:rPr>
          <w:rFonts w:ascii="宋体" w:hAnsi="宋体"/>
          <w:b/>
        </w:rPr>
      </w:pPr>
      <w:r>
        <w:rPr>
          <w:rFonts w:ascii="宋体" w:hAnsi="宋体"/>
        </w:rPr>
        <w:t>2023年12月31日</w:t>
      </w:r>
    </w:p>
    <w:p>
      <w:pPr>
        <w:rPr>
          <w:rFonts w:ascii="宋体" w:hAnsi="宋体"/>
        </w:rPr>
      </w:pPr>
      <w:r>
        <w:rPr>
          <w:rFonts w:ascii="宋体" w:hAnsi="宋体"/>
        </w:rPr>
        <w:t xml:space="preserve">编制单位: </w:t>
      </w:r>
      <w:bookmarkEnd w:id="196"/>
      <w:sdt>
        <w:sdtPr>
          <w:rPr>
            <w:rFonts w:ascii="宋体" w:hAnsi="宋体"/>
          </w:rPr>
          <w:alias w:val="公司法定中文名称"/>
          <w:tag w:val="_GBC_22071e1c4bb04578b94539b252cb1c67"/>
          <w:id w:val="-1309852588"/>
          <w:placeholder>
            <w:docPart w:val="GBC22222222222222222222222222222"/>
          </w:placeholder>
          <w:dataBinding w:prefixMappings="xmlns:clcid-cgi='clcid-cgi'" w:xpath="/*/clcid-cgi:GongSiFaDingZhongWenMingCheng[not(@periodRef)]" w:storeItemID="{89EBAB94-44A0-46A2-B712-30D997D04A6D}"/>
          <w:text/>
        </w:sdtPr>
        <w:sdtEndPr>
          <w:rPr>
            <w:rFonts w:ascii="宋体" w:hAnsi="宋体"/>
          </w:rPr>
        </w:sdtEndPr>
        <w:sdtContent>
          <w:r>
            <w:rPr>
              <w:rFonts w:ascii="宋体" w:hAnsi="宋体"/>
            </w:rPr>
            <w:t>兖矿能源集团股份有限公司</w:t>
          </w:r>
        </w:sdtContent>
      </w:sdt>
    </w:p>
    <w:p>
      <w:pPr>
        <w:jc w:val="right"/>
        <w:rPr>
          <w:rFonts w:ascii="宋体" w:hAnsi="宋体"/>
        </w:rPr>
      </w:pPr>
      <w:r>
        <w:rPr>
          <w:rFonts w:ascii="宋体" w:hAnsi="宋体"/>
        </w:rPr>
        <w:t>单位:</w:t>
      </w:r>
      <w:sdt>
        <w:sdtPr>
          <w:rPr>
            <w:rFonts w:ascii="宋体" w:hAnsi="宋体"/>
          </w:rPr>
          <w:alias w:val="单位：合并资产负债表"/>
          <w:tag w:val="_GBC_8c6918f285a44e0f8fb06fefffa27df4"/>
          <w:id w:val="-14466871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rPr>
        </w:sdtEndPr>
        <w:sdtContent>
          <w:r>
            <w:rPr>
              <w:rFonts w:hint="eastAsia" w:ascii="宋体" w:hAnsi="宋体"/>
            </w:rPr>
            <w:t>千元</w:t>
          </w:r>
        </w:sdtContent>
      </w:sdt>
      <w:r>
        <w:rPr>
          <w:rFonts w:ascii="宋体" w:hAnsi="宋体"/>
        </w:rPr>
        <w:t xml:space="preserve">  币种:</w:t>
      </w:r>
      <w:sdt>
        <w:sdtPr>
          <w:rPr>
            <w:rFonts w:ascii="宋体" w:hAnsi="宋体"/>
          </w:rPr>
          <w:alias w:val="币种：合并资产负债表"/>
          <w:tag w:val="_GBC_0953b26208a64010937af0b40efed509"/>
          <w:id w:val="7271999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rPr>
        </w:sdtEndPr>
        <w:sdtContent>
          <w:r>
            <w:rPr>
              <w:rFonts w:hint="eastAsia" w:ascii="宋体" w:hAnsi="宋体"/>
            </w:rPr>
            <w:t>人民币</w:t>
          </w:r>
        </w:sdtContent>
      </w:sdt>
    </w:p>
    <w:tbl>
      <w:tblPr>
        <w:tblStyle w:val="950"/>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84c27050653a48c5a546a57ae8416994"/>
            <w:id w:val="830643175"/>
          </w:sdtPr>
          <w:sdtEndPr>
            <w:rPr>
              <w:rFonts w:ascii="宋体" w:hAnsi="宋体"/>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rFonts w:ascii="宋体" w:hAnsi="宋体"/>
                    <w:b/>
                  </w:rPr>
                </w:pPr>
                <w:r>
                  <w:rPr>
                    <w:rFonts w:ascii="宋体" w:hAnsi="宋体"/>
                    <w:b/>
                  </w:rPr>
                  <w:t>项目</w:t>
                </w:r>
              </w:p>
            </w:tc>
          </w:sdtContent>
        </w:sdt>
        <w:sdt>
          <w:sdtPr>
            <w:rPr>
              <w:rFonts w:ascii="宋体" w:hAnsi="宋体"/>
            </w:rPr>
            <w:tag w:val="_PLD_8ac07e922cfc49539af3e18b6fb1e9ef"/>
            <w:id w:val="980820860"/>
          </w:sdtPr>
          <w:sdtEndPr>
            <w:rPr>
              <w:rFonts w:ascii="宋体" w:hAnsi="宋体"/>
            </w:rPr>
          </w:sdtEnd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宋体" w:hAnsi="宋体"/>
                    <w:b/>
                  </w:rPr>
                </w:pPr>
                <w:r>
                  <w:rPr>
                    <w:rFonts w:hint="eastAsia" w:ascii="宋体" w:hAnsi="宋体"/>
                    <w:b/>
                  </w:rPr>
                  <w:t>附注</w:t>
                </w:r>
              </w:p>
            </w:tc>
          </w:sdtContent>
        </w:sdt>
        <w:sdt>
          <w:sdtPr>
            <w:rPr>
              <w:rFonts w:ascii="宋体" w:hAnsi="宋体"/>
            </w:rPr>
            <w:tag w:val="_PLD_6a3e769a95b74706b81a9893b779573c"/>
            <w:id w:val="-1934429963"/>
          </w:sdtPr>
          <w:sdtEndPr>
            <w:rPr>
              <w:rFonts w:ascii="宋体" w:hAnsi="宋体"/>
            </w:rPr>
          </w:sdtEnd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rFonts w:ascii="宋体" w:hAnsi="宋体"/>
                    <w:b/>
                  </w:rPr>
                </w:pPr>
                <w:r>
                  <w:rPr>
                    <w:rFonts w:hint="eastAsia" w:ascii="宋体" w:hAnsi="宋体"/>
                    <w:b/>
                  </w:rPr>
                  <w:t>2023年1</w:t>
                </w:r>
                <w:r>
                  <w:rPr>
                    <w:rFonts w:ascii="宋体" w:hAnsi="宋体"/>
                    <w:b/>
                  </w:rPr>
                  <w:t>2</w:t>
                </w:r>
                <w:r>
                  <w:rPr>
                    <w:rFonts w:hint="eastAsia" w:ascii="宋体" w:hAnsi="宋体"/>
                    <w:b/>
                  </w:rPr>
                  <w:t>月</w:t>
                </w:r>
                <w:r>
                  <w:rPr>
                    <w:rFonts w:ascii="宋体" w:hAnsi="宋体"/>
                    <w:b/>
                  </w:rPr>
                  <w:t>31</w:t>
                </w:r>
                <w:r>
                  <w:rPr>
                    <w:rFonts w:hint="eastAsia" w:ascii="宋体" w:hAnsi="宋体"/>
                    <w:b/>
                  </w:rPr>
                  <w:t>日</w:t>
                </w:r>
              </w:p>
            </w:tc>
          </w:sdtContent>
        </w:sdt>
        <w:sdt>
          <w:sdtPr>
            <w:rPr>
              <w:rFonts w:ascii="宋体" w:hAnsi="宋体"/>
            </w:rPr>
            <w:tag w:val="_PLD_3c9a89d7045e40ff9c0f81ac747711c4"/>
            <w:id w:val="1151325742"/>
          </w:sdtPr>
          <w:sdtEndPr>
            <w:rPr>
              <w:rFonts w:ascii="宋体" w:hAnsi="宋体"/>
            </w:rPr>
          </w:sdtEnd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rFonts w:ascii="宋体" w:hAnsi="宋体"/>
                    <w:b/>
                  </w:rPr>
                </w:pPr>
                <w:r>
                  <w:rPr>
                    <w:rFonts w:hint="eastAsia" w:ascii="宋体" w:hAnsi="宋体"/>
                    <w:b/>
                  </w:rPr>
                  <w:t>2022年12月31日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ddefc78a30fc4d35a7bb6c1f0057e4ef"/>
            <w:id w:val="444971726"/>
          </w:sdtPr>
          <w:sdtEndPr>
            <w:rPr>
              <w:rFonts w:ascii="宋体" w:hAnsi="宋体"/>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宋体" w:hAnsi="宋体"/>
                    <w:b/>
                    <w:color w:val="FF00FF"/>
                  </w:rPr>
                </w:pPr>
                <w:r>
                  <w:rPr>
                    <w:rFonts w:hint="eastAsia" w:ascii="宋体" w:hAnsi="宋体"/>
                    <w:b/>
                    <w:bCs/>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货币资金</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七、1</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37,597,136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66,593,273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结算备付金</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拆出资金</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交易性金融资产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七、2</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107,472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95,713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衍生金融资产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应收票据</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869,411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1,209,871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应收账款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七、5</w:t>
            </w:r>
          </w:p>
        </w:tc>
        <w:tc>
          <w:tcPr>
            <w:tcW w:w="1411" w:type="pct"/>
            <w:tcBorders>
              <w:top w:val="nil"/>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6,945,844 </w:t>
            </w:r>
          </w:p>
        </w:tc>
        <w:tc>
          <w:tcPr>
            <w:tcW w:w="1333" w:type="pct"/>
            <w:tcBorders>
              <w:top w:val="nil"/>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8,054,473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应收款项融资</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七、7</w:t>
            </w:r>
          </w:p>
        </w:tc>
        <w:tc>
          <w:tcPr>
            <w:tcW w:w="1411" w:type="pct"/>
            <w:tcBorders>
              <w:top w:val="nil"/>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4,670,738 </w:t>
            </w:r>
          </w:p>
        </w:tc>
        <w:tc>
          <w:tcPr>
            <w:tcW w:w="1333" w:type="pct"/>
            <w:tcBorders>
              <w:top w:val="nil"/>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4,551,436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预付款项</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七、8</w:t>
            </w:r>
          </w:p>
        </w:tc>
        <w:tc>
          <w:tcPr>
            <w:tcW w:w="1411" w:type="pct"/>
            <w:tcBorders>
              <w:top w:val="nil"/>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5,073,918 </w:t>
            </w:r>
          </w:p>
        </w:tc>
        <w:tc>
          <w:tcPr>
            <w:tcW w:w="1333" w:type="pct"/>
            <w:tcBorders>
              <w:top w:val="nil"/>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4,189,932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应收保费</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应收分保账款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应收分保合同准备金</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其他应收款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七、9</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4,201,079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5,942,202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其中：应收利息</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nil"/>
              <w:left w:val="single" w:color="auto" w:sz="4" w:space="0"/>
              <w:bottom w:val="single" w:color="auto" w:sz="4" w:space="0"/>
              <w:right w:val="single" w:color="auto" w:sz="4" w:space="0"/>
            </w:tcBorders>
            <w:shd w:val="clear" w:color="000000" w:fill="FFFFFF"/>
            <w:vAlign w:val="center"/>
          </w:tcPr>
          <w:p>
            <w:pPr>
              <w:jc w:val="right"/>
              <w:rPr>
                <w:rFonts w:ascii="宋体" w:hAnsi="宋体"/>
              </w:rPr>
            </w:pPr>
          </w:p>
        </w:tc>
        <w:tc>
          <w:tcPr>
            <w:tcW w:w="1333" w:type="pct"/>
            <w:tcBorders>
              <w:top w:val="nil"/>
              <w:left w:val="nil"/>
              <w:bottom w:val="single" w:color="auto" w:sz="4" w:space="0"/>
              <w:right w:val="single" w:color="auto" w:sz="4" w:space="0"/>
            </w:tcBorders>
            <w:shd w:val="clear" w:color="000000" w:fill="FFFFFF"/>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宋体" w:hAnsi="宋体"/>
              </w:rPr>
            </w:pPr>
            <w:r>
              <w:rPr>
                <w:rFonts w:hint="eastAsia" w:ascii="宋体" w:hAnsi="宋体"/>
              </w:rPr>
              <w:t>应收股利</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七、9</w:t>
            </w:r>
          </w:p>
        </w:tc>
        <w:tc>
          <w:tcPr>
            <w:tcW w:w="1411" w:type="pct"/>
            <w:tcBorders>
              <w:top w:val="nil"/>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455,230 </w:t>
            </w:r>
          </w:p>
        </w:tc>
        <w:tc>
          <w:tcPr>
            <w:tcW w:w="1333" w:type="pct"/>
            <w:tcBorders>
              <w:top w:val="nil"/>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220,311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买入返售金融资产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存货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七、10</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7,741,910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9,675,602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合同资产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20,498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20,732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持有待售资产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nil"/>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8,291 </w:t>
            </w:r>
          </w:p>
        </w:tc>
        <w:tc>
          <w:tcPr>
            <w:tcW w:w="1333" w:type="pct"/>
            <w:tcBorders>
              <w:top w:val="nil"/>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8,061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一年内到期的非流动资产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七、12</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2,185,928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6,399,488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其他流动资产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七、13</w:t>
            </w:r>
          </w:p>
        </w:tc>
        <w:tc>
          <w:tcPr>
            <w:tcW w:w="1411" w:type="pct"/>
            <w:tcBorders>
              <w:top w:val="nil"/>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26,746,820</w:t>
            </w:r>
          </w:p>
        </w:tc>
        <w:tc>
          <w:tcPr>
            <w:tcW w:w="1333" w:type="pct"/>
            <w:tcBorders>
              <w:top w:val="nil"/>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19,569,088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宋体" w:hAnsi="宋体"/>
              </w:rPr>
            </w:pPr>
            <w:r>
              <w:rPr>
                <w:rFonts w:hint="eastAsia" w:ascii="宋体" w:hAnsi="宋体"/>
              </w:rPr>
              <w:t>流动资产合计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96,169,045</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126,309,871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72b86b17371840d39acb38a5d1204c0e"/>
            <w:id w:val="-932668145"/>
          </w:sdtPr>
          <w:sdtEndPr>
            <w:rPr>
              <w:rFonts w:ascii="宋体" w:hAnsi="宋体"/>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宋体" w:hAnsi="宋体"/>
                    <w:color w:val="008000"/>
                  </w:rPr>
                </w:pPr>
                <w:r>
                  <w:rPr>
                    <w:rFonts w:hint="eastAsia" w:ascii="宋体" w:hAnsi="宋体"/>
                    <w:b/>
                    <w:bCs/>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发放贷款和垫款</w:t>
            </w:r>
          </w:p>
        </w:tc>
        <w:tc>
          <w:tcPr>
            <w:tcW w:w="627" w:type="pct"/>
            <w:tcBorders>
              <w:top w:val="outset" w:color="auto" w:sz="6" w:space="0"/>
              <w:left w:val="outset" w:color="auto" w:sz="6" w:space="0"/>
              <w:bottom w:val="outset" w:color="auto" w:sz="6" w:space="0"/>
              <w:right w:val="outset" w:color="auto" w:sz="6" w:space="0"/>
            </w:tcBorders>
          </w:tcPr>
          <w:p>
            <w:pP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债权投资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七、14</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68,847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226,214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其他债权投资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长期应收款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七、16</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2,333,420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2,364,182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长期股权投资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七、17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23,992,605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23,798,814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其他权益工具投资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七、18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116,646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126,764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其他非流动金融资产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七、19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1,503,449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1,538,761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投资性房地产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七、20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1,109,569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1,471,730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固定资产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七、21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112,476,432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112,034,718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在建工程</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七、22</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20,204,957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17,938,112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生产性生物资产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油气资产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使用权资产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七、25</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616,792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778,950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无形资产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七、26</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67,155,552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67,980,685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开发支出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商誉</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七、27</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318,918 </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310,343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长期待摊费用</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525,829</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366,145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递延所得税资产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七、29</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5,480,565</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6,066,178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其他非流动资产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七、30</w:t>
            </w: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22,205,513</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16,163,960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宋体" w:hAnsi="宋体"/>
              </w:rPr>
            </w:pPr>
            <w:r>
              <w:rPr>
                <w:rFonts w:hint="eastAsia" w:ascii="宋体" w:hAnsi="宋体"/>
              </w:rPr>
              <w:t>非流动资产合计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258,109,094</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251,165,556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宋体" w:hAnsi="宋体"/>
              </w:rPr>
            </w:pPr>
            <w:r>
              <w:rPr>
                <w:rFonts w:hint="eastAsia" w:ascii="宋体" w:hAnsi="宋体"/>
              </w:rPr>
              <w:t>资产总计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nil"/>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354,278,139</w:t>
            </w:r>
          </w:p>
        </w:tc>
        <w:tc>
          <w:tcPr>
            <w:tcW w:w="1333" w:type="pct"/>
            <w:tcBorders>
              <w:top w:val="nil"/>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377,475,427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97e1ad068b5b418999e5a3a4eadcffca"/>
            <w:id w:val="-1338228332"/>
          </w:sdtPr>
          <w:sdtEndPr>
            <w:rPr>
              <w:rFonts w:ascii="宋体" w:hAnsi="宋体"/>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宋体" w:hAnsi="宋体"/>
                    <w:color w:val="FF00FF"/>
                  </w:rPr>
                </w:pPr>
                <w:r>
                  <w:rPr>
                    <w:rFonts w:hint="eastAsia" w:ascii="宋体" w:hAnsi="宋体"/>
                    <w:b/>
                    <w:bCs/>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短期借款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七、32</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4,084,299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6,486,249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向中央银行借款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拆入资金</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交易性金融负债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550,761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634,537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衍生金融负债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应付票据</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七、35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11,876,855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11,464,045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应付账款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七、36</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19,553,007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23,420,037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预收款项</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合同负债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七、38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5,091,445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5,085,316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卖出回购金融资产款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吸收存款及同业存放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代理买卖证券款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代理承销证券款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应付职工薪酬</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七、39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2,576,324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2,812,772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应交税费</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4,050,169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12,732,921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其他应付款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53,386,823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49,362,797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其中：应付利息</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宋体" w:hAnsi="宋体"/>
              </w:rPr>
            </w:pPr>
            <w:r>
              <w:rPr>
                <w:rFonts w:hint="eastAsia" w:ascii="宋体" w:hAnsi="宋体"/>
              </w:rPr>
              <w:t>应付股利</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2,931,471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1,371,449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应付手续费及佣金</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应付分保账款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持有待售负债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一年内到期的非流动负债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20,804,543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16,868,514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其他流动负债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七、44</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1,134,843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2,465,593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宋体" w:hAnsi="宋体"/>
              </w:rPr>
            </w:pPr>
            <w:r>
              <w:rPr>
                <w:rFonts w:hint="eastAsia" w:ascii="宋体" w:hAnsi="宋体"/>
              </w:rPr>
              <w:t>流动负债合计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123,109,069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131,332,781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76615034b106405f8ae606a6fc253d93"/>
            <w:id w:val="468872024"/>
          </w:sdtPr>
          <w:sdtEndPr>
            <w:rPr>
              <w:rFonts w:ascii="宋体" w:hAnsi="宋体"/>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宋体" w:hAnsi="宋体"/>
                    <w:color w:val="008000"/>
                  </w:rPr>
                </w:pPr>
                <w:r>
                  <w:rPr>
                    <w:rFonts w:hint="eastAsia" w:ascii="宋体" w:hAnsi="宋体"/>
                    <w:b/>
                    <w:bCs/>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保险合同准备金</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长期借款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61,355,220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42,829,094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应付债券</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七、46</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12,172,858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20,792,407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其中：优先股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宋体" w:hAnsi="宋体"/>
              </w:rPr>
            </w:pPr>
            <w:r>
              <w:rPr>
                <w:rFonts w:hint="eastAsia" w:ascii="宋体" w:hAnsi="宋体"/>
              </w:rPr>
              <w:t>永续债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租赁负债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325,117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435,586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长期应付款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9,295,914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8,312,347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长期应付职工薪酬</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七、49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5,880,638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6,052,681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预计负债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七、50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13,690,558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13,420,201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递延收益</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329,318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325,556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递延所得税负债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七、29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9,785,763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10,064,021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其他非流动负债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宋体" w:hAnsi="宋体"/>
              </w:rPr>
            </w:pPr>
            <w:r>
              <w:rPr>
                <w:rFonts w:hint="eastAsia" w:ascii="宋体" w:hAnsi="宋体"/>
              </w:rPr>
              <w:t>非流动负债合计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112,835,386</w:t>
            </w:r>
          </w:p>
        </w:tc>
        <w:tc>
          <w:tcPr>
            <w:tcW w:w="1333" w:type="pct"/>
            <w:tcBorders>
              <w:top w:val="single" w:color="auto" w:sz="4" w:space="0"/>
              <w:left w:val="nil"/>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102,231,893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宋体" w:hAnsi="宋体"/>
              </w:rPr>
            </w:pPr>
            <w:r>
              <w:rPr>
                <w:rFonts w:hint="eastAsia" w:ascii="宋体" w:hAnsi="宋体"/>
              </w:rPr>
              <w:t>负债合计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nil"/>
              <w:left w:val="single" w:color="auto" w:sz="4" w:space="0"/>
              <w:bottom w:val="single" w:color="auto" w:sz="4" w:space="0"/>
              <w:right w:val="single" w:color="auto" w:sz="4" w:space="0"/>
            </w:tcBorders>
            <w:shd w:val="clear" w:color="000000" w:fill="FFFFFF"/>
            <w:vAlign w:val="center"/>
          </w:tcPr>
          <w:p>
            <w:pPr>
              <w:jc w:val="right"/>
              <w:rPr>
                <w:rFonts w:ascii="宋体" w:hAnsi="宋体"/>
              </w:rPr>
            </w:pPr>
            <w:r>
              <w:rPr>
                <w:rFonts w:ascii="宋体" w:hAnsi="宋体"/>
                <w:sz w:val="22"/>
                <w:szCs w:val="22"/>
              </w:rPr>
              <w:t>235,944,455</w:t>
            </w:r>
          </w:p>
        </w:tc>
        <w:tc>
          <w:tcPr>
            <w:tcW w:w="1333" w:type="pct"/>
            <w:tcBorders>
              <w:top w:val="nil"/>
              <w:left w:val="nil"/>
              <w:bottom w:val="single" w:color="auto" w:sz="4" w:space="0"/>
              <w:right w:val="single" w:color="auto" w:sz="4" w:space="0"/>
            </w:tcBorders>
            <w:shd w:val="clear" w:color="000000" w:fill="FFFFFF"/>
            <w:vAlign w:val="center"/>
          </w:tcPr>
          <w:p>
            <w:pPr>
              <w:jc w:val="right"/>
              <w:rPr>
                <w:rFonts w:ascii="宋体" w:hAnsi="宋体"/>
              </w:rPr>
            </w:pPr>
            <w:r>
              <w:rPr>
                <w:rFonts w:hint="eastAsia" w:ascii="宋体" w:hAnsi="宋体"/>
                <w:sz w:val="22"/>
                <w:szCs w:val="22"/>
              </w:rPr>
              <w:t xml:space="preserve"> 233,564,674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c6760bbd367544f58c1b02c0378c7818"/>
            <w:id w:val="2015802590"/>
          </w:sdtPr>
          <w:sdtEndPr>
            <w:rPr>
              <w:rFonts w:ascii="宋体" w:hAnsi="宋体"/>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宋体" w:hAnsi="宋体"/>
                    <w:color w:val="008000"/>
                  </w:rPr>
                </w:pPr>
                <w:r>
                  <w:rPr>
                    <w:rFonts w:hint="eastAsia" w:ascii="宋体" w:hAnsi="宋体"/>
                    <w:b/>
                    <w:bCs/>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实收资本（或股本）</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七、53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7,439,371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4,948,704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其他权益工具</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七、54</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16,541,777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13,248,614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其中：优先股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宋体" w:hAnsi="宋体"/>
              </w:rPr>
            </w:pPr>
            <w:r>
              <w:rPr>
                <w:rFonts w:hint="eastAsia" w:ascii="宋体" w:hAnsi="宋体"/>
              </w:rPr>
              <w:t>永续债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七、54</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16,541,777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13,248,614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资本公积</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七、55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-79,104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6,579,324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减：库存股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七、56</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324,980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723,593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其他综合收益</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七、57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-6,334,716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-7,155,593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专项储备</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七、58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3,586,506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4,802,633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盈余公积</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七、59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1,663,814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912,700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一般风险准备</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未分配利润</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七、60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50,201,234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77,237,849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归属于母公司所有者权益（或股东权益）合计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rPr>
            </w:pPr>
            <w:r>
              <w:rPr>
                <w:rFonts w:ascii="宋体" w:hAnsi="宋体"/>
              </w:rPr>
              <w:t>72,693,902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rPr>
            </w:pPr>
            <w:r>
              <w:rPr>
                <w:rFonts w:ascii="宋体" w:hAnsi="宋体"/>
              </w:rPr>
              <w:t xml:space="preserve"> 99,850,638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少数股东权益</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45,639,782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44,060,115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宋体" w:hAnsi="宋体"/>
              </w:rPr>
            </w:pPr>
            <w:r>
              <w:rPr>
                <w:rFonts w:hint="eastAsia" w:ascii="宋体" w:hAnsi="宋体"/>
              </w:rPr>
              <w:t>所有者权益（或股东权益）合计</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rPr>
            </w:pPr>
            <w:r>
              <w:rPr>
                <w:rFonts w:ascii="宋体" w:hAnsi="宋体"/>
              </w:rPr>
              <w:t>118,333,684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rPr>
            </w:pPr>
            <w:r>
              <w:rPr>
                <w:rFonts w:ascii="宋体" w:hAnsi="宋体"/>
              </w:rPr>
              <w:t xml:space="preserve"> 143,910,753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宋体" w:hAnsi="宋体"/>
              </w:rPr>
            </w:pPr>
            <w:r>
              <w:rPr>
                <w:rFonts w:hint="eastAsia" w:ascii="宋体" w:hAnsi="宋体"/>
              </w:rPr>
              <w:t>负债和所有者权益（或股东权益）总计</w:t>
            </w:r>
          </w:p>
        </w:tc>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rPr>
            </w:pPr>
            <w:r>
              <w:rPr>
                <w:rFonts w:ascii="宋体" w:hAnsi="宋体"/>
              </w:rPr>
              <w:t>354,278,139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rPr>
            </w:pPr>
            <w:r>
              <w:rPr>
                <w:rFonts w:ascii="宋体" w:hAnsi="宋体"/>
              </w:rPr>
              <w:t xml:space="preserve"> 377,475,427 </w:t>
            </w:r>
          </w:p>
        </w:tc>
      </w:tr>
    </w:tbl>
    <w:p>
      <w:pPr>
        <w:pStyle w:val="531"/>
      </w:pPr>
    </w:p>
    <w:p>
      <w:pPr>
        <w:ind w:right="-153" w:rightChars="-73"/>
        <w:rPr>
          <w:rFonts w:ascii="宋体" w:hAnsi="宋体"/>
          <w:color w:val="008000"/>
          <w:u w:val="single"/>
        </w:rPr>
      </w:pPr>
      <w:r>
        <w:rPr>
          <w:rFonts w:hint="eastAsia" w:ascii="宋体" w:hAnsi="宋体"/>
        </w:rPr>
        <w:t>公司负责</w:t>
      </w:r>
      <w:r>
        <w:rPr>
          <w:rFonts w:ascii="宋体" w:hAnsi="宋体"/>
        </w:rPr>
        <w:t>人</w:t>
      </w:r>
      <w:r>
        <w:rPr>
          <w:rFonts w:hint="eastAsia" w:ascii="宋体" w:hAnsi="宋体"/>
        </w:rPr>
        <w:t>：</w:t>
      </w:r>
      <w:sdt>
        <w:sdtPr>
          <w:rPr>
            <w:rFonts w:hint="eastAsia" w:ascii="宋体" w:hAnsi="宋体"/>
          </w:rPr>
          <w:alias w:val="公司负责人姓名"/>
          <w:tag w:val="_GBC_295740a12aa8498286bf2ef11896dbe9"/>
          <w:id w:val="393471245"/>
          <w:placeholder>
            <w:docPart w:val="GBC22222222222222222222222222222"/>
          </w:placeholder>
          <w:dataBinding w:prefixMappings="xmlns:clcid-mr='clcid-mr'" w:xpath="/*/clcid-mr:GongSiFuZeRenXingMing[not(@periodRef)]" w:storeItemID="{89EBAB94-44A0-46A2-B712-30D997D04A6D}"/>
          <w:text/>
        </w:sdtPr>
        <w:sdtEndPr>
          <w:rPr>
            <w:rFonts w:hint="eastAsia" w:ascii="宋体" w:hAnsi="宋体"/>
          </w:rPr>
        </w:sdtEndPr>
        <w:sdtContent>
          <w:r>
            <w:rPr>
              <w:rFonts w:hint="eastAsia" w:ascii="宋体" w:hAnsi="宋体"/>
            </w:rPr>
            <w:t>李伟</w:t>
          </w:r>
        </w:sdtContent>
      </w:sdt>
      <w:r>
        <w:rPr>
          <w:rFonts w:hint="eastAsia" w:ascii="宋体" w:hAnsi="宋体"/>
        </w:rPr>
        <w:t xml:space="preserve"> </w:t>
      </w:r>
      <w:r>
        <w:rPr>
          <w:rFonts w:ascii="宋体" w:hAnsi="宋体"/>
        </w:rPr>
        <w:t>主管会计工作负责人</w:t>
      </w:r>
      <w:r>
        <w:rPr>
          <w:rFonts w:hint="eastAsia" w:ascii="宋体" w:hAnsi="宋体"/>
        </w:rPr>
        <w:t>：</w:t>
      </w:r>
      <w:sdt>
        <w:sdtPr>
          <w:rPr>
            <w:rFonts w:hint="eastAsia" w:ascii="宋体" w:hAnsi="宋体"/>
          </w:rPr>
          <w:alias w:val="主管会计工作负责人姓名"/>
          <w:tag w:val="_GBC_095c1df7dd6b412590466f3e711cd1e6"/>
          <w:id w:val="-1780095927"/>
          <w:placeholder>
            <w:docPart w:val="GBC22222222222222222222222222222"/>
          </w:placeholder>
          <w:dataBinding w:prefixMappings="xmlns:clcid-mr='clcid-mr'" w:xpath="/*/clcid-mr:ZhuGuanKuaiJiGongZuoFuZeRenXingMing[not(@periodRef)]" w:storeItemID="{89EBAB94-44A0-46A2-B712-30D997D04A6D}"/>
          <w:text/>
        </w:sdtPr>
        <w:sdtEndPr>
          <w:rPr>
            <w:rFonts w:hint="eastAsia" w:ascii="宋体" w:hAnsi="宋体"/>
          </w:rPr>
        </w:sdtEndPr>
        <w:sdtContent>
          <w:r>
            <w:rPr>
              <w:rFonts w:hint="eastAsia" w:ascii="宋体" w:hAnsi="宋体"/>
            </w:rPr>
            <w:t>赵治国</w:t>
          </w:r>
        </w:sdtContent>
      </w:sdt>
      <w:r>
        <w:rPr>
          <w:rFonts w:hint="eastAsia" w:ascii="宋体" w:hAnsi="宋体"/>
        </w:rPr>
        <w:t xml:space="preserve"> </w:t>
      </w:r>
      <w:r>
        <w:rPr>
          <w:rFonts w:ascii="宋体" w:hAnsi="宋体"/>
        </w:rPr>
        <w:t>会计机构负责人</w:t>
      </w:r>
      <w:r>
        <w:rPr>
          <w:rFonts w:hint="eastAsia" w:ascii="宋体" w:hAnsi="宋体"/>
        </w:rPr>
        <w:t>：</w:t>
      </w:r>
      <w:sdt>
        <w:sdtPr>
          <w:rPr>
            <w:rFonts w:hint="eastAsia" w:ascii="宋体" w:hAnsi="宋体"/>
          </w:rPr>
          <w:alias w:val="会计机构负责人姓名"/>
          <w:tag w:val="_GBC_b9cb47d6db784ba8a6b148d9331df451"/>
          <w:id w:val="502247077"/>
          <w:placeholder>
            <w:docPart w:val="GBC22222222222222222222222222222"/>
          </w:placeholder>
          <w:dataBinding w:prefixMappings="xmlns:clcid-mr='clcid-mr'" w:xpath="/*/clcid-mr:KuaiJiJiGouFuZeRenXingMing[not(@periodRef)]" w:storeItemID="{89EBAB94-44A0-46A2-B712-30D997D04A6D}"/>
          <w:text/>
        </w:sdtPr>
        <w:sdtEndPr>
          <w:rPr>
            <w:rFonts w:hint="eastAsia" w:ascii="宋体" w:hAnsi="宋体"/>
          </w:rPr>
        </w:sdtEndPr>
        <w:sdtContent>
          <w:r>
            <w:rPr>
              <w:rFonts w:hint="eastAsia" w:ascii="宋体" w:hAnsi="宋体"/>
            </w:rPr>
            <w:t>于强</w:t>
          </w:r>
        </w:sdtContent>
      </w:sdt>
    </w:p>
    <w:p>
      <w:pPr>
        <w:pStyle w:val="531"/>
      </w:pPr>
    </w:p>
    <w:p>
      <w:pPr>
        <w:pStyle w:val="504"/>
        <w:jc w:val="center"/>
        <w:rPr>
          <w:rFonts w:ascii="宋体" w:hAnsi="宋体"/>
        </w:rPr>
      </w:pPr>
      <w:r>
        <w:rPr>
          <w:rFonts w:hint="eastAsia" w:ascii="宋体" w:hAnsi="宋体"/>
        </w:rPr>
        <w:t>母公司</w:t>
      </w:r>
      <w:r>
        <w:rPr>
          <w:rFonts w:ascii="宋体" w:hAnsi="宋体"/>
        </w:rPr>
        <w:t>资产负债表</w:t>
      </w:r>
    </w:p>
    <w:p>
      <w:pPr>
        <w:jc w:val="center"/>
        <w:rPr>
          <w:rFonts w:ascii="宋体" w:hAnsi="宋体"/>
          <w:b/>
          <w:bCs/>
        </w:rPr>
      </w:pPr>
      <w:r>
        <w:rPr>
          <w:rFonts w:ascii="宋体" w:hAnsi="宋体"/>
        </w:rPr>
        <w:t>2023年12月31日</w:t>
      </w:r>
    </w:p>
    <w:p>
      <w:pPr>
        <w:rPr>
          <w:rFonts w:ascii="宋体" w:hAnsi="宋体"/>
        </w:rPr>
      </w:pPr>
      <w:r>
        <w:rPr>
          <w:rFonts w:ascii="宋体" w:hAnsi="宋体"/>
        </w:rPr>
        <w:t>编制单位:</w:t>
      </w:r>
      <w:sdt>
        <w:sdtPr>
          <w:rPr>
            <w:rFonts w:ascii="宋体" w:hAnsi="宋体"/>
          </w:rPr>
          <w:alias w:val="公司法定中文名称"/>
          <w:tag w:val="_GBC_476f9df1cf8d4d36868d3058a4da7d15"/>
          <w:id w:val="1344289823"/>
          <w:placeholder>
            <w:docPart w:val="GBC22222222222222222222222222222"/>
          </w:placeholder>
          <w:dataBinding w:prefixMappings="xmlns:clcid-cgi='clcid-cgi'" w:xpath="/*/clcid-cgi:GongSiFaDingZhongWenMingCheng[not(@periodRef)]" w:storeItemID="{89EBAB94-44A0-46A2-B712-30D997D04A6D}"/>
          <w:text/>
        </w:sdtPr>
        <w:sdtEndPr>
          <w:rPr>
            <w:rFonts w:ascii="宋体" w:hAnsi="宋体"/>
          </w:rPr>
        </w:sdtEndPr>
        <w:sdtContent>
          <w:r>
            <w:rPr>
              <w:rFonts w:ascii="宋体" w:hAnsi="宋体"/>
            </w:rPr>
            <w:t>兖矿能源集团股份有限公司</w:t>
          </w:r>
        </w:sdtContent>
      </w:sdt>
      <w:r>
        <w:rPr>
          <w:rFonts w:ascii="宋体" w:hAnsi="宋体"/>
        </w:rPr>
        <w:t> </w:t>
      </w:r>
    </w:p>
    <w:p>
      <w:pPr>
        <w:jc w:val="right"/>
        <w:rPr>
          <w:rFonts w:ascii="宋体" w:hAnsi="宋体"/>
        </w:rPr>
      </w:pPr>
      <w:r>
        <w:rPr>
          <w:rFonts w:ascii="宋体" w:hAnsi="宋体"/>
        </w:rPr>
        <w:t>单位:</w:t>
      </w:r>
      <w:sdt>
        <w:sdtPr>
          <w:rPr>
            <w:rFonts w:ascii="宋体" w:hAnsi="宋体"/>
          </w:rPr>
          <w:alias w:val="单位：母公司资产负债表"/>
          <w:tag w:val="_GBC_e3e6bb2b9b89482085daf4528af32780"/>
          <w:id w:val="-12162735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rPr>
        </w:sdtEndPr>
        <w:sdtContent>
          <w:r>
            <w:rPr>
              <w:rFonts w:hint="eastAsia" w:ascii="宋体" w:hAnsi="宋体"/>
            </w:rPr>
            <w:t>千元</w:t>
          </w:r>
        </w:sdtContent>
      </w:sdt>
      <w:r>
        <w:rPr>
          <w:rFonts w:ascii="宋体" w:hAnsi="宋体"/>
        </w:rPr>
        <w:t xml:space="preserve">  币种:</w:t>
      </w:r>
      <w:sdt>
        <w:sdtPr>
          <w:rPr>
            <w:rFonts w:ascii="宋体" w:hAnsi="宋体"/>
          </w:rPr>
          <w:alias w:val="币种：母公司资产负债表"/>
          <w:tag w:val="_GBC_31e3f7c7e30144c684d9b3387d64ec2f"/>
          <w:id w:val="-13790146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rPr>
        </w:sdtEndPr>
        <w:sdtContent>
          <w:r>
            <w:rPr>
              <w:rFonts w:hint="eastAsia" w:ascii="宋体" w:hAnsi="宋体"/>
            </w:rPr>
            <w:t>人民币</w:t>
          </w:r>
        </w:sdtContent>
      </w:sdt>
    </w:p>
    <w:tbl>
      <w:tblPr>
        <w:tblStyle w:val="950"/>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f723b67ceca442958b85c16ecbcde6c4"/>
            <w:id w:val="1714921972"/>
          </w:sdtPr>
          <w:sdtEndPr>
            <w:rPr>
              <w:rFonts w:ascii="宋体" w:hAnsi="宋体"/>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rFonts w:ascii="宋体" w:hAnsi="宋体"/>
                    <w:b/>
                  </w:rPr>
                </w:pPr>
                <w:r>
                  <w:rPr>
                    <w:rFonts w:ascii="宋体" w:hAnsi="宋体"/>
                    <w:b/>
                  </w:rPr>
                  <w:t>项目</w:t>
                </w:r>
              </w:p>
            </w:tc>
          </w:sdtContent>
        </w:sdt>
        <w:sdt>
          <w:sdtPr>
            <w:rPr>
              <w:rFonts w:ascii="宋体" w:hAnsi="宋体"/>
            </w:rPr>
            <w:tag w:val="_PLD_b4b39e4179664db3908076caa97ec93e"/>
            <w:id w:val="1672132086"/>
          </w:sdtPr>
          <w:sdtEndPr>
            <w:rPr>
              <w:rFonts w:ascii="宋体" w:hAnsi="宋体"/>
            </w:rPr>
          </w:sdtEnd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宋体" w:hAnsi="宋体"/>
                    <w:b/>
                  </w:rPr>
                </w:pPr>
                <w:r>
                  <w:rPr>
                    <w:rFonts w:hint="eastAsia" w:ascii="宋体" w:hAnsi="宋体"/>
                    <w:b/>
                  </w:rPr>
                  <w:t>附注</w:t>
                </w:r>
              </w:p>
            </w:tc>
          </w:sdtContent>
        </w:sdt>
        <w:sdt>
          <w:sdtPr>
            <w:rPr>
              <w:rFonts w:ascii="宋体" w:hAnsi="宋体"/>
            </w:rPr>
            <w:tag w:val="_PLD_5c114924d291471984aab4fc4a2ab196"/>
            <w:id w:val="-110905986"/>
          </w:sdtPr>
          <w:sdtEndPr>
            <w:rPr>
              <w:rFonts w:ascii="宋体" w:hAnsi="宋体"/>
            </w:rPr>
          </w:sdtEnd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rFonts w:ascii="宋体" w:hAnsi="宋体"/>
                    <w:b/>
                  </w:rPr>
                </w:pPr>
                <w:r>
                  <w:rPr>
                    <w:rFonts w:hint="eastAsia" w:ascii="宋体" w:hAnsi="宋体"/>
                    <w:b/>
                  </w:rPr>
                  <w:t>2023年1</w:t>
                </w:r>
                <w:r>
                  <w:rPr>
                    <w:rFonts w:ascii="宋体" w:hAnsi="宋体"/>
                    <w:b/>
                  </w:rPr>
                  <w:t>2</w:t>
                </w:r>
                <w:r>
                  <w:rPr>
                    <w:rFonts w:hint="eastAsia" w:ascii="宋体" w:hAnsi="宋体"/>
                    <w:b/>
                  </w:rPr>
                  <w:t>月</w:t>
                </w:r>
                <w:r>
                  <w:rPr>
                    <w:rFonts w:ascii="宋体" w:hAnsi="宋体"/>
                    <w:b/>
                  </w:rPr>
                  <w:t>31</w:t>
                </w:r>
                <w:r>
                  <w:rPr>
                    <w:rFonts w:hint="eastAsia" w:ascii="宋体" w:hAnsi="宋体"/>
                    <w:b/>
                  </w:rPr>
                  <w:t>日</w:t>
                </w:r>
              </w:p>
            </w:tc>
          </w:sdtContent>
        </w:sdt>
        <w:sdt>
          <w:sdtPr>
            <w:rPr>
              <w:rFonts w:ascii="宋体" w:hAnsi="宋体"/>
            </w:rPr>
            <w:tag w:val="_PLD_09aa0ba5dd484fa6ad7dfbe2d2221c60"/>
            <w:id w:val="138548657"/>
          </w:sdtPr>
          <w:sdtEndPr>
            <w:rPr>
              <w:rFonts w:ascii="宋体" w:hAnsi="宋体"/>
            </w:rPr>
          </w:sdtEnd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rFonts w:ascii="宋体" w:hAnsi="宋体"/>
                    <w:b/>
                  </w:rPr>
                </w:pPr>
                <w:r>
                  <w:rPr>
                    <w:rFonts w:hint="eastAsia" w:ascii="宋体" w:hAnsi="宋体"/>
                    <w:b/>
                  </w:rPr>
                  <w:t>2022年12月31日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75b96d9020f14b08bb8885e10bb72ed3"/>
            <w:id w:val="-2071486872"/>
          </w:sdtPr>
          <w:sdtEndPr>
            <w:rPr>
              <w:rFonts w:ascii="宋体" w:hAnsi="宋体"/>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宋体" w:hAnsi="宋体"/>
                    <w:b/>
                    <w:color w:val="FF00FF"/>
                  </w:rPr>
                </w:pPr>
                <w:r>
                  <w:rPr>
                    <w:rFonts w:hint="eastAsia" w:ascii="宋体" w:hAnsi="宋体"/>
                    <w:b/>
                    <w:bCs/>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货币资金</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6,178,032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14,604,152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交易性金融资产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225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425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衍生金融资产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应收票据</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应收账款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十九、1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2,179,125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1,458,290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应收款项融资</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2,213,028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2,573,685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预付款项</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11,800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20,863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其他应收款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十九、2</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36,967,365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35,840,082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其中：应收利息</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宋体" w:hAnsi="宋体"/>
              </w:rPr>
            </w:pPr>
            <w:r>
              <w:rPr>
                <w:rFonts w:hint="eastAsia" w:ascii="宋体" w:hAnsi="宋体"/>
              </w:rPr>
              <w:t>应收股利</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十九、2</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4,949,900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9,999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存货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471,414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666,281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合同资产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持有待售资产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一年内到期的非流动资产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其他流动资产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2,729,658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2,202,757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宋体" w:hAnsi="宋体"/>
              </w:rPr>
            </w:pPr>
            <w:r>
              <w:rPr>
                <w:rFonts w:hint="eastAsia" w:ascii="宋体" w:hAnsi="宋体"/>
              </w:rPr>
              <w:t>流动资产合计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50,750,647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57,366,535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df64afc7e223416b92b823e4e8fb4a3a"/>
            <w:id w:val="1853914234"/>
          </w:sdtPr>
          <w:sdtEndPr>
            <w:rPr>
              <w:rFonts w:ascii="宋体" w:hAnsi="宋体"/>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宋体" w:hAnsi="宋体"/>
                    <w:color w:val="008000"/>
                  </w:rPr>
                </w:pPr>
                <w:r>
                  <w:rPr>
                    <w:rFonts w:hint="eastAsia" w:ascii="宋体" w:hAnsi="宋体"/>
                    <w:b/>
                    <w:bCs/>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债权投资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其他债权投资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长期应收款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长期股权投资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r>
              <w:rPr>
                <w:rFonts w:hint="eastAsia" w:ascii="宋体" w:hAnsi="宋体"/>
              </w:rPr>
              <w:t>十九、3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103,473,639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95,004,801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其他权益工具投资</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4,093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4,211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其他非流动金融资产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投资性房地产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固定资产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12,447,635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10,700,907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在建工程</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1,798,755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1,897,256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生产性生物资产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油气资产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使用权资产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6,416,083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6,606,462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无形资产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925,133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1,057,554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开发支出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商誉</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长期待摊费用</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1,532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2,302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递延所得税资产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1,124,170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1,580,588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其他非流动资产</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3,834,864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118,154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宋体" w:hAnsi="宋体"/>
              </w:rPr>
            </w:pPr>
            <w:r>
              <w:rPr>
                <w:rFonts w:hint="eastAsia" w:ascii="宋体" w:hAnsi="宋体"/>
              </w:rPr>
              <w:t>非流动资产合计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130,025,904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116,972,235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宋体" w:hAnsi="宋体"/>
              </w:rPr>
            </w:pPr>
            <w:r>
              <w:rPr>
                <w:rFonts w:hint="eastAsia" w:ascii="宋体" w:hAnsi="宋体"/>
              </w:rPr>
              <w:t>资产总计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180,776,551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174,338,770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097e7abf0b344d7ba64ab9a99dd2d2fa"/>
            <w:id w:val="-1518076066"/>
          </w:sdtPr>
          <w:sdtEndPr>
            <w:rPr>
              <w:rFonts w:ascii="宋体" w:hAnsi="宋体"/>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宋体" w:hAnsi="宋体"/>
                    <w:color w:val="FF00FF"/>
                  </w:rPr>
                </w:pPr>
                <w:r>
                  <w:rPr>
                    <w:rFonts w:hint="eastAsia" w:ascii="宋体" w:hAnsi="宋体"/>
                    <w:b/>
                    <w:bCs/>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短期借款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4,100,000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2,300,000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交易性金融负债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衍生金融负债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应付票据</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3,068,894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2,809,321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应付账款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4,867,257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6,170,641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预收款项</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合同负债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695,517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795,632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应付职工薪酬</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317,272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838,745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应交税费</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1,129,406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2,222,655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其他应付款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45,227,424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30,867,157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其中：应付利息</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宋体" w:hAnsi="宋体"/>
              </w:rPr>
            </w:pPr>
            <w:r>
              <w:rPr>
                <w:rFonts w:hint="eastAsia" w:ascii="宋体" w:hAnsi="宋体"/>
              </w:rPr>
              <w:t>应付股利</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持有待售负债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一年内到期的非流动负债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15,537,958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7,813,174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其他流动负债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90,392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104,466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宋体" w:hAnsi="宋体"/>
              </w:rPr>
            </w:pPr>
            <w:r>
              <w:rPr>
                <w:rFonts w:hint="eastAsia" w:ascii="宋体" w:hAnsi="宋体"/>
              </w:rPr>
              <w:t>流动负债合计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75,034,120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53,921,791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5a8813ff8c984fc28cd8ddc8db922fd5"/>
            <w:id w:val="676772431"/>
          </w:sdtPr>
          <w:sdtEndPr>
            <w:rPr>
              <w:rFonts w:ascii="宋体" w:hAnsi="宋体"/>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宋体" w:hAnsi="宋体"/>
                    <w:color w:val="008000"/>
                  </w:rPr>
                </w:pPr>
                <w:r>
                  <w:rPr>
                    <w:rFonts w:hint="eastAsia" w:ascii="宋体" w:hAnsi="宋体"/>
                    <w:b/>
                    <w:bCs/>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长期借款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44,433,570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28,411,190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应付债券</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12,172,858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18,712,100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其中：优先股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宋体" w:hAnsi="宋体"/>
              </w:rPr>
            </w:pPr>
            <w:r>
              <w:rPr>
                <w:rFonts w:hint="eastAsia" w:ascii="宋体" w:hAnsi="宋体"/>
              </w:rPr>
              <w:t>永续债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租赁负债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5,313,078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5,675,406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长期应付款</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296,833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19,237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长期应付职工薪酬</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预计负债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1,161,403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1,862,335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递延收益</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135,626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134,594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递延所得税负债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269,819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473,505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其他非流动负债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宋体" w:hAnsi="宋体"/>
              </w:rPr>
            </w:pPr>
            <w:r>
              <w:rPr>
                <w:rFonts w:hint="eastAsia" w:ascii="宋体" w:hAnsi="宋体"/>
              </w:rPr>
              <w:t>非流动负债合计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63,783,187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55,288,367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宋体" w:hAnsi="宋体"/>
              </w:rPr>
            </w:pPr>
            <w:r>
              <w:rPr>
                <w:rFonts w:hint="eastAsia" w:ascii="宋体" w:hAnsi="宋体"/>
              </w:rPr>
              <w:t>负债合计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138,817,307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109,210,158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7ccfdb4b1195457b8de4211feea2cac2"/>
            <w:id w:val="-724917163"/>
          </w:sdtPr>
          <w:sdtEndPr>
            <w:rPr>
              <w:rFonts w:ascii="宋体" w:hAnsi="宋体"/>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宋体" w:hAnsi="宋体"/>
                    <w:color w:val="008000"/>
                  </w:rPr>
                </w:pPr>
                <w:r>
                  <w:rPr>
                    <w:rFonts w:hint="eastAsia" w:ascii="宋体" w:hAnsi="宋体"/>
                    <w:b/>
                    <w:bCs/>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实收资本（或股本）</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7,439,371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4,948,704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其他权益工具</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16,541,777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13,248,614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其中：优先股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宋体" w:hAnsi="宋体"/>
              </w:rPr>
            </w:pPr>
            <w:r>
              <w:rPr>
                <w:rFonts w:hint="eastAsia" w:ascii="宋体" w:hAnsi="宋体"/>
              </w:rPr>
              <w:t>永续债</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16,541,777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13,248,614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资本公积</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282,863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741,560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减：库存股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324,980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723,593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其他综合收益</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215,583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187,468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专项储备</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1,431,177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 xml:space="preserve"> 2,229,349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盈余公积</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1,663,814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2,703,146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宋体" w:hAnsi="宋体"/>
              </w:rPr>
            </w:pPr>
            <w:r>
              <w:rPr>
                <w:rFonts w:hint="eastAsia" w:ascii="宋体" w:hAnsi="宋体"/>
              </w:rPr>
              <w:t>未分配利润</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14,709,639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宋体" w:hAnsi="宋体"/>
              </w:rPr>
            </w:pPr>
            <w:r>
              <w:rPr>
                <w:rFonts w:ascii="宋体" w:hAnsi="宋体"/>
              </w:rPr>
              <w:t>41,793,364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宋体" w:hAnsi="宋体"/>
              </w:rPr>
            </w:pPr>
            <w:r>
              <w:rPr>
                <w:rFonts w:hint="eastAsia" w:ascii="宋体" w:hAnsi="宋体"/>
              </w:rPr>
              <w:t>所有者权益（或股东权益）合计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rPr>
            </w:pPr>
            <w:r>
              <w:rPr>
                <w:rFonts w:ascii="宋体" w:hAnsi="宋体"/>
              </w:rPr>
              <w:t>41,959,244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rPr>
            </w:pPr>
            <w:r>
              <w:rPr>
                <w:rFonts w:ascii="宋体" w:hAnsi="宋体"/>
              </w:rPr>
              <w:t xml:space="preserve"> 65,128,612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宋体" w:hAnsi="宋体"/>
              </w:rPr>
            </w:pPr>
            <w:r>
              <w:rPr>
                <w:rFonts w:hint="eastAsia" w:ascii="宋体" w:hAnsi="宋体"/>
              </w:rPr>
              <w:t>负债和所有者权益（或股东权益）总计</w:t>
            </w:r>
          </w:p>
        </w:tc>
        <w:tc>
          <w:tcPr>
            <w:tcW w:w="627" w:type="pct"/>
            <w:tcBorders>
              <w:top w:val="outset" w:color="auto" w:sz="6" w:space="0"/>
              <w:left w:val="outset" w:color="auto" w:sz="6" w:space="0"/>
              <w:bottom w:val="outset" w:color="auto" w:sz="6" w:space="0"/>
              <w:right w:val="outset" w:color="auto" w:sz="6" w:space="0"/>
            </w:tcBorders>
          </w:tcPr>
          <w:p>
            <w:pPr>
              <w:jc w:val="center"/>
              <w:rPr>
                <w:rFonts w:ascii="宋体" w:hAnsi="宋体"/>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rPr>
            </w:pPr>
            <w:r>
              <w:rPr>
                <w:rFonts w:ascii="宋体" w:hAnsi="宋体"/>
              </w:rPr>
              <w:t>180,776,551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rPr>
            </w:pPr>
            <w:r>
              <w:rPr>
                <w:rFonts w:ascii="宋体" w:hAnsi="宋体"/>
              </w:rPr>
              <w:t>174,338,770</w:t>
            </w:r>
          </w:p>
        </w:tc>
      </w:tr>
    </w:tbl>
    <w:p>
      <w:pPr>
        <w:ind w:right="-153" w:rightChars="-73"/>
        <w:rPr>
          <w:rFonts w:ascii="宋体" w:hAnsi="宋体"/>
        </w:rPr>
      </w:pPr>
      <w:r>
        <w:rPr>
          <w:rFonts w:hint="eastAsia" w:ascii="宋体" w:hAnsi="宋体"/>
        </w:rPr>
        <w:t>公司负责</w:t>
      </w:r>
      <w:r>
        <w:rPr>
          <w:rFonts w:ascii="宋体" w:hAnsi="宋体"/>
        </w:rPr>
        <w:t>人</w:t>
      </w:r>
      <w:r>
        <w:rPr>
          <w:rFonts w:hint="eastAsia" w:ascii="宋体" w:hAnsi="宋体"/>
        </w:rPr>
        <w:t>：</w:t>
      </w:r>
      <w:sdt>
        <w:sdtPr>
          <w:rPr>
            <w:rFonts w:hint="eastAsia" w:ascii="宋体" w:hAnsi="宋体"/>
          </w:rPr>
          <w:alias w:val="公司负责人姓名"/>
          <w:tag w:val="_GBC_a81a61c6d7bb46bfa69f34f205086804"/>
          <w:id w:val="-1491945274"/>
          <w:placeholder>
            <w:docPart w:val="GBC22222222222222222222222222222"/>
          </w:placeholder>
          <w:dataBinding w:prefixMappings="xmlns:clcid-mr='clcid-mr'" w:xpath="/*/clcid-mr:GongSiFuZeRenXingMing[not(@periodRef)]" w:storeItemID="{89EBAB94-44A0-46A2-B712-30D997D04A6D}"/>
          <w:text/>
        </w:sdtPr>
        <w:sdtEndPr>
          <w:rPr>
            <w:rFonts w:hint="eastAsia" w:ascii="宋体" w:hAnsi="宋体"/>
          </w:rPr>
        </w:sdtEndPr>
        <w:sdtContent>
          <w:r>
            <w:rPr>
              <w:rFonts w:hint="eastAsia" w:ascii="宋体" w:hAnsi="宋体"/>
            </w:rPr>
            <w:t>李伟</w:t>
          </w:r>
        </w:sdtContent>
      </w:sdt>
      <w:r>
        <w:rPr>
          <w:rFonts w:hint="eastAsia" w:ascii="宋体" w:hAnsi="宋体"/>
        </w:rPr>
        <w:t xml:space="preserve"> </w:t>
      </w:r>
      <w:r>
        <w:rPr>
          <w:rFonts w:ascii="宋体" w:hAnsi="宋体"/>
        </w:rPr>
        <w:t>主管会计工作负责人</w:t>
      </w:r>
      <w:r>
        <w:rPr>
          <w:rFonts w:hint="eastAsia" w:ascii="宋体" w:hAnsi="宋体"/>
        </w:rPr>
        <w:t>：</w:t>
      </w:r>
      <w:sdt>
        <w:sdtPr>
          <w:rPr>
            <w:rFonts w:hint="eastAsia" w:ascii="宋体" w:hAnsi="宋体"/>
          </w:rPr>
          <w:alias w:val="主管会计工作负责人姓名"/>
          <w:tag w:val="_GBC_12b89d18f9094da18899493b997b98a8"/>
          <w:id w:val="-367219343"/>
          <w:placeholder>
            <w:docPart w:val="GBC22222222222222222222222222222"/>
          </w:placeholder>
          <w:dataBinding w:prefixMappings="xmlns:clcid-mr='clcid-mr'" w:xpath="/*/clcid-mr:ZhuGuanKuaiJiGongZuoFuZeRenXingMing[not(@periodRef)]" w:storeItemID="{89EBAB94-44A0-46A2-B712-30D997D04A6D}"/>
          <w:text/>
        </w:sdtPr>
        <w:sdtEndPr>
          <w:rPr>
            <w:rFonts w:hint="eastAsia" w:ascii="宋体" w:hAnsi="宋体"/>
          </w:rPr>
        </w:sdtEndPr>
        <w:sdtContent>
          <w:r>
            <w:rPr>
              <w:rFonts w:hint="eastAsia" w:ascii="宋体" w:hAnsi="宋体"/>
            </w:rPr>
            <w:t>赵治国</w:t>
          </w:r>
        </w:sdtContent>
      </w:sdt>
      <w:r>
        <w:rPr>
          <w:rFonts w:hint="eastAsia" w:ascii="宋体" w:hAnsi="宋体"/>
        </w:rPr>
        <w:t xml:space="preserve"> </w:t>
      </w:r>
      <w:r>
        <w:rPr>
          <w:rFonts w:ascii="宋体" w:hAnsi="宋体"/>
        </w:rPr>
        <w:t>会计机构负责人</w:t>
      </w:r>
      <w:r>
        <w:rPr>
          <w:rFonts w:hint="eastAsia" w:ascii="宋体" w:hAnsi="宋体"/>
        </w:rPr>
        <w:t>：</w:t>
      </w:r>
      <w:sdt>
        <w:sdtPr>
          <w:rPr>
            <w:rFonts w:hint="eastAsia" w:ascii="宋体" w:hAnsi="宋体"/>
          </w:rPr>
          <w:alias w:val="会计机构负责人姓名"/>
          <w:tag w:val="_GBC_80397291c44b4713afb5a711c98f3ea6"/>
          <w:id w:val="550424303"/>
          <w:placeholder>
            <w:docPart w:val="GBC22222222222222222222222222222"/>
          </w:placeholder>
          <w:dataBinding w:prefixMappings="xmlns:clcid-mr='clcid-mr'" w:xpath="/*/clcid-mr:KuaiJiJiGouFuZeRenXingMing[not(@periodRef)]" w:storeItemID="{89EBAB94-44A0-46A2-B712-30D997D04A6D}"/>
          <w:text/>
        </w:sdtPr>
        <w:sdtEndPr>
          <w:rPr>
            <w:rFonts w:hint="eastAsia" w:ascii="宋体" w:hAnsi="宋体"/>
          </w:rPr>
        </w:sdtEndPr>
        <w:sdtContent>
          <w:r>
            <w:rPr>
              <w:rFonts w:hint="eastAsia" w:ascii="宋体" w:hAnsi="宋体"/>
            </w:rPr>
            <w:t>于强</w:t>
          </w:r>
        </w:sdtContent>
      </w:sdt>
    </w:p>
    <w:p>
      <w:pPr>
        <w:pStyle w:val="504"/>
        <w:jc w:val="center"/>
        <w:rPr>
          <w:rFonts w:ascii="宋体" w:hAnsi="宋体"/>
        </w:rPr>
      </w:pPr>
      <w:r>
        <w:rPr>
          <w:rFonts w:hint="eastAsia" w:ascii="宋体" w:hAnsi="宋体"/>
        </w:rPr>
        <w:t>合并</w:t>
      </w:r>
      <w:r>
        <w:rPr>
          <w:rFonts w:ascii="宋体" w:hAnsi="宋体"/>
        </w:rPr>
        <w:t>利润表</w:t>
      </w:r>
    </w:p>
    <w:p>
      <w:pPr>
        <w:jc w:val="center"/>
        <w:rPr>
          <w:rFonts w:ascii="宋体" w:hAnsi="宋体"/>
          <w:b/>
          <w:bCs/>
        </w:rPr>
      </w:pPr>
      <w:r>
        <w:rPr>
          <w:rFonts w:ascii="宋体" w:hAnsi="宋体"/>
        </w:rPr>
        <w:t>2023年</w:t>
      </w:r>
      <w:r>
        <w:rPr>
          <w:rFonts w:hint="eastAsia" w:ascii="宋体" w:hAnsi="宋体"/>
        </w:rPr>
        <w:t>1—</w:t>
      </w:r>
      <w:r>
        <w:rPr>
          <w:rFonts w:ascii="宋体" w:hAnsi="宋体"/>
        </w:rPr>
        <w:t>12月</w:t>
      </w:r>
    </w:p>
    <w:p>
      <w:pPr>
        <w:jc w:val="right"/>
        <w:rPr>
          <w:rFonts w:ascii="宋体" w:hAnsi="宋体"/>
        </w:rPr>
      </w:pPr>
      <w:r>
        <w:rPr>
          <w:rFonts w:ascii="宋体" w:hAnsi="宋体"/>
        </w:rPr>
        <w:t>单位:</w:t>
      </w:r>
      <w:sdt>
        <w:sdtPr>
          <w:rPr>
            <w:rFonts w:ascii="宋体" w:hAnsi="宋体"/>
          </w:rPr>
          <w:alias w:val="单位：合并利润表"/>
          <w:tag w:val="_GBC_95830fead96c480388a2e386c3331383"/>
          <w:id w:val="2170934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rPr>
        </w:sdtEndPr>
        <w:sdtContent>
          <w:r>
            <w:rPr>
              <w:rFonts w:hint="eastAsia" w:ascii="宋体" w:hAnsi="宋体"/>
            </w:rPr>
            <w:t>千元</w:t>
          </w:r>
        </w:sdtContent>
      </w:sdt>
      <w:r>
        <w:rPr>
          <w:rFonts w:ascii="宋体" w:hAnsi="宋体"/>
        </w:rPr>
        <w:t xml:space="preserve">  币种:</w:t>
      </w:r>
      <w:sdt>
        <w:sdtPr>
          <w:rPr>
            <w:rFonts w:ascii="宋体" w:hAnsi="宋体"/>
          </w:rPr>
          <w:alias w:val="币种：合并利润表"/>
          <w:tag w:val="_GBC_4902a1798447427ba99922213b04b39b"/>
          <w:id w:val="14798019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rPr>
        </w:sdtEndPr>
        <w:sdtContent>
          <w:r>
            <w:rPr>
              <w:rFonts w:hint="eastAsia" w:ascii="宋体" w:hAnsi="宋体"/>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rPr>
              <w:rFonts w:ascii="宋体" w:hAnsi="宋体"/>
            </w:rPr>
            <w:tag w:val="_PLD_2e3f33fcce354b339a86add10899a6c5"/>
            <w:id w:val="429789737"/>
          </w:sdtPr>
          <w:sdtEndPr>
            <w:rPr>
              <w:rFonts w:ascii="宋体" w:hAnsi="宋体"/>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jc w:val="center"/>
                  <w:rPr>
                    <w:rFonts w:ascii="宋体" w:hAnsi="宋体"/>
                    <w:b/>
                  </w:rPr>
                </w:pPr>
                <w:r>
                  <w:rPr>
                    <w:rFonts w:ascii="宋体" w:hAnsi="宋体"/>
                    <w:b/>
                  </w:rPr>
                  <w:t>项目</w:t>
                </w:r>
              </w:p>
            </w:tc>
          </w:sdtContent>
        </w:sdt>
        <w:sdt>
          <w:sdtPr>
            <w:rPr>
              <w:rFonts w:ascii="宋体" w:hAnsi="宋体"/>
            </w:rPr>
            <w:tag w:val="_PLD_93edd7a3846d4cd58b14d043e9b33f2c"/>
            <w:id w:val="-265159290"/>
          </w:sdtPr>
          <w:sdtEndPr>
            <w:rPr>
              <w:rFonts w:ascii="宋体" w:hAnsi="宋体"/>
            </w:rPr>
          </w:sdtEndPr>
          <w:sdtConten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b/>
                  </w:rPr>
                </w:pPr>
                <w:r>
                  <w:rPr>
                    <w:rFonts w:hint="eastAsia" w:ascii="宋体" w:hAnsi="宋体"/>
                    <w:b/>
                  </w:rPr>
                  <w:t>附注</w:t>
                </w:r>
              </w:p>
            </w:tc>
          </w:sdtContent>
        </w:sdt>
        <w:sdt>
          <w:sdtPr>
            <w:rPr>
              <w:rFonts w:ascii="宋体" w:hAnsi="宋体"/>
            </w:rPr>
            <w:tag w:val="_PLD_49f84cca199c45e7bc0f9fea5b73078c"/>
            <w:id w:val="2098363774"/>
          </w:sdtPr>
          <w:sdtEndPr>
            <w:rPr>
              <w:rFonts w:ascii="宋体" w:hAnsi="宋体"/>
            </w:rPr>
          </w:sdtEndPr>
          <w:sdtContent>
            <w:tc>
              <w:tcPr>
                <w:tcW w:w="1110"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b/>
                  </w:rPr>
                </w:pPr>
                <w:r>
                  <w:rPr>
                    <w:rFonts w:hint="eastAsia" w:ascii="宋体" w:hAnsi="宋体"/>
                    <w:b/>
                  </w:rPr>
                  <w:t>2023年度</w:t>
                </w:r>
              </w:p>
            </w:tc>
          </w:sdtContent>
        </w:sdt>
        <w:sdt>
          <w:sdtPr>
            <w:rPr>
              <w:rFonts w:ascii="宋体" w:hAnsi="宋体"/>
            </w:rPr>
            <w:tag w:val="_PLD_8b5fde21bc974404b892a88906dec352"/>
            <w:id w:val="-1727834667"/>
          </w:sdtPr>
          <w:sdtEndPr>
            <w:rPr>
              <w:rFonts w:ascii="宋体" w:hAnsi="宋体"/>
            </w:rPr>
          </w:sdtEndPr>
          <w:sdtContent>
            <w:tc>
              <w:tcPr>
                <w:tcW w:w="1114"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b/>
                  </w:rPr>
                </w:pPr>
                <w:r>
                  <w:rPr>
                    <w:rFonts w:hint="eastAsia" w:ascii="宋体" w:hAnsi="宋体"/>
                    <w:b/>
                  </w:rPr>
                  <w:t>2022年度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宋体" w:hAnsi="宋体"/>
                <w:color w:val="000000"/>
              </w:rPr>
            </w:pPr>
            <w:r>
              <w:rPr>
                <w:rFonts w:hint="eastAsia" w:ascii="宋体" w:hAnsi="宋体"/>
              </w:rPr>
              <w:t>一、营业总收入</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七、61</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150,024,860</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224,973,103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宋体" w:hAnsi="宋体"/>
                <w:color w:val="000000"/>
              </w:rPr>
            </w:pPr>
            <w:r>
              <w:rPr>
                <w:rFonts w:hint="eastAsia" w:ascii="宋体" w:hAnsi="宋体"/>
              </w:rPr>
              <w:t>其中：营业收入</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七、61</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150,024,860</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224,973,103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color w:val="000000"/>
              </w:rPr>
            </w:pPr>
            <w:r>
              <w:rPr>
                <w:rFonts w:hint="eastAsia" w:ascii="宋体" w:hAnsi="宋体"/>
              </w:rPr>
              <w:t>利息收入</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已赚保费</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手续费及佣金收入</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宋体" w:hAnsi="宋体"/>
                <w:color w:val="000000"/>
              </w:rPr>
            </w:pPr>
            <w:r>
              <w:rPr>
                <w:rFonts w:hint="eastAsia" w:ascii="宋体" w:hAnsi="宋体"/>
              </w:rPr>
              <w:t>二、营业总成本</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115,786,287</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162,089,303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宋体" w:hAnsi="宋体"/>
                <w:color w:val="000000"/>
              </w:rPr>
            </w:pPr>
            <w:r>
              <w:rPr>
                <w:rFonts w:hint="eastAsia" w:ascii="宋体" w:hAnsi="宋体"/>
              </w:rPr>
              <w:t>其中：营业成本</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七、61</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89,060,502</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129,486,648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利息支出</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手续费及佣金支出</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退保金</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赔付支出净额</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提取保险责任准备金净额</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保单红利支出</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分保费用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税金及附加</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七、62</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6,431,797</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8,113,384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销售费用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七、63</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5,001,650 </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6,835,086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管理费用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七、64</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8,481,700 </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8,615,307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研发费用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七、65</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2,906,638 </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2,926,256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财务费用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七、66</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3,904,000</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6,112,622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其中：利息费用</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七、66</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4,493,197</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7,464,414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1260" w:firstLineChars="600"/>
              <w:rPr>
                <w:rFonts w:ascii="宋体" w:hAnsi="宋体"/>
              </w:rPr>
            </w:pPr>
            <w:r>
              <w:rPr>
                <w:rFonts w:hint="eastAsia" w:ascii="宋体" w:hAnsi="宋体"/>
              </w:rPr>
              <w:t>利息收入</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七、66</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871,599 </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1,137,625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加：其他收益</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七、67</w:t>
            </w: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260,443</w:t>
            </w: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r>
              <w:rPr>
                <w:rFonts w:ascii="宋体" w:hAnsi="宋体"/>
              </w:rPr>
              <w:t xml:space="preserve"> 204,731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投资收益（损失以“－”号填列）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七、68</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2,258,873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3,270,264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其中：对联营企业和合营企业的投资收益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七、68</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2,261,043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3,222,772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tcPr>
          <w:p>
            <w:pPr>
              <w:ind w:firstLine="1155" w:firstLineChars="550"/>
              <w:rPr>
                <w:rFonts w:ascii="宋体" w:hAnsi="宋体"/>
              </w:rPr>
            </w:pPr>
            <w:r>
              <w:rPr>
                <w:rFonts w:hint="eastAsia" w:ascii="宋体" w:hAnsi="宋体"/>
              </w:rPr>
              <w:t>以摊余成本计量的金融资产终止确认收益</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汇兑收益（损失以“－”号填列）</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净敞口套期收益（损失以“</w:t>
            </w:r>
            <w:r>
              <w:rPr>
                <w:rFonts w:ascii="宋体" w:hAnsi="宋体"/>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七、69</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28,412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-1,108,442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color w:val="000000"/>
              </w:rPr>
            </w:pPr>
            <w:r>
              <w:rPr>
                <w:rFonts w:hint="eastAsia" w:ascii="宋体" w:hAnsi="宋体"/>
              </w:rPr>
              <w:t>公允价值变动收益（损失以“－”号填列）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七、70</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89,903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-117,129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信用减值损失（损失以“</w:t>
            </w:r>
            <w:r>
              <w:rPr>
                <w:rFonts w:ascii="宋体" w:hAnsi="宋体"/>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121,162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-201,301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资产减值损失（损失以“</w:t>
            </w:r>
            <w:r>
              <w:rPr>
                <w:rFonts w:ascii="宋体" w:hAnsi="宋体"/>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七、72</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-35,092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-2,491,046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资产处置收益（损失以“－”号填列）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七、73</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1,154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47,852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宋体" w:hAnsi="宋体"/>
                <w:color w:val="000000"/>
              </w:rPr>
            </w:pPr>
            <w:r>
              <w:rPr>
                <w:rFonts w:hint="eastAsia" w:ascii="宋体" w:hAnsi="宋体"/>
              </w:rPr>
              <w:t>三、营业利润（亏损以“－”号填列）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36,963,428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62,488,729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加：营业外收入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368,469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398,972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减：营业外支出</w:t>
            </w:r>
          </w:p>
        </w:tc>
        <w:tc>
          <w:tcPr>
            <w:tcW w:w="838" w:type="pct"/>
            <w:tcBorders>
              <w:top w:val="outset" w:color="auto" w:sz="4" w:space="0"/>
              <w:left w:val="outset" w:color="auto" w:sz="4" w:space="0"/>
              <w:bottom w:val="outset" w:color="auto" w:sz="4" w:space="0"/>
              <w:right w:val="outset" w:color="auto" w:sz="4" w:space="0"/>
            </w:tcBorders>
          </w:tcPr>
          <w:p>
            <w:pPr>
              <w:jc w:val="center"/>
              <w:rPr>
                <w:rFonts w:ascii="宋体" w:hAnsi="宋体"/>
              </w:rPr>
            </w:pPr>
            <w:r>
              <w:rPr>
                <w:rFonts w:hint="eastAsia" w:ascii="宋体" w:hAnsi="宋体"/>
              </w:rPr>
              <w:t>七、75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322,996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745,723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宋体" w:hAnsi="宋体"/>
                <w:color w:val="000000"/>
              </w:rPr>
            </w:pPr>
            <w:r>
              <w:rPr>
                <w:rFonts w:hint="eastAsia" w:ascii="宋体" w:hAnsi="宋体"/>
              </w:rPr>
              <w:t>四、利润总额（亏损总额以</w:t>
            </w:r>
            <w:r>
              <w:rPr>
                <w:rFonts w:ascii="宋体" w:hAnsi="宋体"/>
              </w:rPr>
              <w:t>“</w:t>
            </w:r>
            <w:r>
              <w:rPr>
                <w:rFonts w:hint="eastAsia" w:ascii="宋体" w:hAnsi="宋体"/>
              </w:rPr>
              <w:t>－</w:t>
            </w:r>
            <w:r>
              <w:rPr>
                <w:rFonts w:ascii="宋体" w:hAnsi="宋体"/>
              </w:rPr>
              <w:t>”</w:t>
            </w:r>
            <w:r>
              <w:rPr>
                <w:rFonts w:hint="eastAsia" w:ascii="宋体" w:hAnsi="宋体"/>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37,008,901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62,141,978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color w:val="000000"/>
              </w:rPr>
            </w:pPr>
            <w:r>
              <w:rPr>
                <w:rFonts w:hint="eastAsia" w:ascii="宋体" w:hAnsi="宋体"/>
              </w:rPr>
              <w:t>减：所得税费用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9,857,406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16,112,082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宋体" w:hAnsi="宋体"/>
                <w:color w:val="000000"/>
              </w:rPr>
            </w:pPr>
            <w:r>
              <w:rPr>
                <w:rFonts w:hint="eastAsia" w:ascii="宋体" w:hAnsi="宋体"/>
              </w:rPr>
              <w:t>五、净利润（净亏损以</w:t>
            </w:r>
            <w:r>
              <w:rPr>
                <w:rFonts w:ascii="宋体" w:hAnsi="宋体"/>
              </w:rPr>
              <w:t>“</w:t>
            </w:r>
            <w:r>
              <w:rPr>
                <w:rFonts w:hint="eastAsia" w:ascii="宋体" w:hAnsi="宋体"/>
              </w:rPr>
              <w:t>－</w:t>
            </w:r>
            <w:r>
              <w:rPr>
                <w:rFonts w:ascii="宋体" w:hAnsi="宋体"/>
              </w:rPr>
              <w:t>”</w:t>
            </w:r>
            <w:r>
              <w:rPr>
                <w:rFonts w:hint="eastAsia" w:ascii="宋体" w:hAnsi="宋体"/>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27,151,495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46,029,896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9445f61075384ccaafee7a9aff738d9c"/>
            <w:id w:val="676849239"/>
          </w:sdtPr>
          <w:sdtEndPr>
            <w:rPr>
              <w:rFonts w:ascii="宋体" w:hAnsi="宋体"/>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宋体" w:hAnsi="宋体"/>
                  </w:rPr>
                </w:pPr>
                <w:r>
                  <w:rPr>
                    <w:rFonts w:hint="eastAsia" w:ascii="宋体" w:hAnsi="宋体"/>
                  </w:rPr>
                  <w:t>（一）</w:t>
                </w:r>
                <w:r>
                  <w:rPr>
                    <w:rFonts w:ascii="宋体" w:hAnsi="宋体"/>
                  </w:rP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1.持续经营净利润（净亏损以“－”号填列）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27,151,495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46,029,896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2.终止经营净利润（净亏损以“－”号填列）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5703d86636cb476dab82350c9f6475fc"/>
            <w:id w:val="283007991"/>
          </w:sdtPr>
          <w:sdtEndPr>
            <w:rPr>
              <w:rFonts w:ascii="宋体" w:hAnsi="宋体"/>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宋体" w:hAnsi="宋体"/>
                  </w:rPr>
                </w:pPr>
                <w:r>
                  <w:rPr>
                    <w:rFonts w:hint="eastAsia" w:ascii="宋体" w:hAnsi="宋体"/>
                  </w:rPr>
                  <w:t>（二）</w:t>
                </w:r>
                <w:r>
                  <w:rPr>
                    <w:rFonts w:ascii="宋体" w:hAnsi="宋体"/>
                  </w:rP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1.</w:t>
            </w:r>
            <w:r>
              <w:rPr>
                <w:rFonts w:hint="eastAsia" w:ascii="宋体" w:hAnsi="宋体"/>
              </w:rPr>
              <w:t>归属于母公司股东的净利润（净亏损以“</w:t>
            </w:r>
            <w:r>
              <w:rPr>
                <w:rFonts w:ascii="宋体" w:hAnsi="宋体"/>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20,139,502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33,356,920 </w:t>
            </w:r>
          </w:p>
        </w:tc>
      </w:tr>
      <w:sdt>
        <w:sdtPr>
          <w:rPr>
            <w:rFonts w:asciiTheme="minorHAnsi" w:hAnsiTheme="minorHAnsi" w:eastAsiaTheme="minorEastAsia" w:cstheme="minorBidi"/>
            <w:szCs w:val="22"/>
          </w:rPr>
          <w:alias w:val="2.归属于母公司其他权益工具持有者的净利润"/>
          <w:tag w:val="_TUP_d0b103cc0dbe4b54873fb921b8aff21e"/>
          <w:id w:val="1151874777"/>
        </w:sdtPr>
        <w:sdtEndPr>
          <w:rPr>
            <w:rFonts w:asciiTheme="minorHAnsi" w:hAnsiTheme="minorHAnsi" w:eastAsiaTheme="minorEastAsia" w:cstheme="minorBidi"/>
            <w:szCs w:val="22"/>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HAnsi" w:hAnsiTheme="minorHAnsi" w:eastAsiaTheme="minorEastAsia" w:cstheme="minorBidi"/>
                  <w:szCs w:val="22"/>
                </w:rPr>
                <w:alias w:val="2.归属于母公司其他权益工具持有者的净利润"/>
                <w:tag w:val="_GBC_58b6319ae2e94601946277294dd04d67"/>
                <w:id w:val="1970851762"/>
              </w:sdtPr>
              <w:sdtEndPr>
                <w:rPr>
                  <w:rFonts w:ascii="Calibri" w:hAnsi="Calibri" w:eastAsia="宋体" w:cs="Times New Roman"/>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Theme="minorEastAsia" w:hAnsiTheme="minorEastAsia" w:eastAsiaTheme="minorEastAsia"/>
                      </w:rPr>
                      <w:t>2.</w:t>
                    </w:r>
                    <w:r>
                      <w:rPr>
                        <w:rFonts w:hint="eastAsia"/>
                      </w:rPr>
                      <w:t>归属于母公司其他权益工具持有者的净利润</w:t>
                    </w:r>
                  </w:p>
                </w:tc>
              </w:sdtContent>
            </w:sd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444,743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461,944 </w:t>
                </w:r>
              </w:p>
            </w:tc>
          </w:tr>
        </w:sdtContent>
      </w:sd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ad66536091bd4c0ca7e469e56afac87f"/>
            <w:id w:val="1943254288"/>
          </w:sdtPr>
          <w:sdtEndPr>
            <w:rPr>
              <w:rFonts w:ascii="宋体" w:hAnsi="宋体"/>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hint="eastAsia" w:ascii="宋体" w:hAnsi="宋体"/>
                  </w:rPr>
                  <w:t>3.少数股东损益（净亏损以“-”号填列）</w:t>
                </w:r>
              </w:p>
            </w:tc>
          </w:sdtContent>
        </w:sdt>
        <w:sdt>
          <w:sdtPr>
            <w:rPr>
              <w:rFonts w:ascii="宋体" w:hAnsi="宋体"/>
            </w:rPr>
            <w:alias w:val="附注_3.少数股东损益（净亏损以“-”号填列）"/>
            <w:tag w:val="_GBC_c3ee978a38884eb9862b028c2b21916c"/>
            <w:id w:val="-1715958139"/>
            <w:showingPlcHdr/>
          </w:sdtPr>
          <w:sdtEndPr>
            <w:rPr>
              <w:rFonts w:ascii="宋体" w:hAnsi="宋体"/>
            </w:rPr>
          </w:sdtEndPr>
          <w:sdtConten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ascii="宋体" w:hAnsi="宋体"/>
                  </w:rPr>
                  <w:t xml:space="preserve">     </w:t>
                </w:r>
              </w:p>
            </w:tc>
          </w:sdtContent>
        </w:sdt>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6,567,250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12,211,032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宋体" w:hAnsi="宋体"/>
              </w:rPr>
            </w:pPr>
            <w:r>
              <w:rPr>
                <w:rFonts w:hint="eastAsia" w:ascii="宋体" w:hAnsi="宋体"/>
              </w:rPr>
              <w:t>六、其他综合收益的税后净额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1,142,604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573,627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（一）归属母公司所有者的其他综合收益的税后净额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820,877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406,785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1</w:t>
            </w:r>
            <w:r>
              <w:rPr>
                <w:rFonts w:hint="eastAsia" w:ascii="宋体" w:hAnsi="宋体"/>
              </w:rPr>
              <w:t>．不能重分类进损益的其他综合收益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487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4,941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（1）</w:t>
            </w:r>
            <w:r>
              <w:rPr>
                <w:rFonts w:ascii="宋体" w:hAnsi="宋体"/>
              </w:rPr>
              <w:t>重新计量设定受益计划变动额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-5,208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4,955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（2）</w:t>
            </w:r>
            <w:r>
              <w:rPr>
                <w:rFonts w:ascii="宋体" w:hAnsi="宋体"/>
              </w:rPr>
              <w:t>权益法下不能转损益的其他综合收益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5,884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（3）</w:t>
            </w:r>
            <w:r>
              <w:rPr>
                <w:rFonts w:ascii="宋体" w:hAnsi="宋体"/>
              </w:rPr>
              <w:t>其他权益工具投资公允价值变动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-189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（4）</w:t>
            </w:r>
            <w:r>
              <w:rPr>
                <w:rFonts w:ascii="宋体" w:hAnsi="宋体"/>
              </w:rPr>
              <w:t>企业自身信用风险公允价值变动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2</w:t>
            </w:r>
            <w:r>
              <w:rPr>
                <w:rFonts w:hint="eastAsia" w:ascii="宋体" w:hAnsi="宋体"/>
              </w:rPr>
              <w:t>．将重分类进损益的其他综合收益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820,390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401,844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（1）</w:t>
            </w:r>
            <w:r>
              <w:rPr>
                <w:rFonts w:ascii="宋体" w:hAnsi="宋体"/>
              </w:rPr>
              <w:t>权益法下可转损益的其他综合收益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49,734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-44,852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（2）</w:t>
            </w:r>
            <w:r>
              <w:rPr>
                <w:rFonts w:ascii="宋体" w:hAnsi="宋体"/>
              </w:rPr>
              <w:t>其他债权投资公允价值变动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（3）</w:t>
            </w:r>
            <w:r>
              <w:rPr>
                <w:rFonts w:ascii="宋体" w:hAnsi="宋体"/>
              </w:rPr>
              <w:t>金融资产重分类计入其他综合收益的金额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6,115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（4）</w:t>
            </w:r>
            <w:r>
              <w:rPr>
                <w:rFonts w:ascii="宋体" w:hAnsi="宋体"/>
              </w:rPr>
              <w:t>其他债权投资信用减值准备</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（5）</w:t>
            </w:r>
            <w:r>
              <w:rPr>
                <w:rFonts w:ascii="宋体" w:hAnsi="宋体"/>
              </w:rPr>
              <w:t>现金流量套期储备</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-30,590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-235,446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（6）</w:t>
            </w:r>
            <w:r>
              <w:rPr>
                <w:rFonts w:ascii="宋体" w:hAnsi="宋体"/>
              </w:rPr>
              <w:t>外币财务报表折算差额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800,214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676,027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（7）</w:t>
            </w:r>
            <w:r>
              <w:rPr>
                <w:rFonts w:ascii="宋体" w:hAnsi="宋体"/>
              </w:rPr>
              <w:t>其他</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1,032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ascii="宋体" w:hAnsi="宋体"/>
              </w:rPr>
              <w:t>（二）</w:t>
            </w:r>
            <w:r>
              <w:rPr>
                <w:rFonts w:hint="eastAsia" w:ascii="宋体" w:hAnsi="宋体"/>
              </w:rPr>
              <w:t>归属于少数股东的其他综合收益的税后净额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321,727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166,842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rPr>
                <w:rFonts w:ascii="宋体" w:hAnsi="宋体"/>
              </w:rPr>
            </w:pPr>
            <w:r>
              <w:rPr>
                <w:rFonts w:hint="eastAsia" w:ascii="宋体" w:hAnsi="宋体"/>
              </w:rPr>
              <w:t>七、综合收益总额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28,294,099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46,603,523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ascii="宋体" w:hAnsi="宋体"/>
              </w:rPr>
              <w:t>（一）</w:t>
            </w:r>
            <w:r>
              <w:rPr>
                <w:rFonts w:hint="eastAsia" w:ascii="宋体" w:hAnsi="宋体"/>
              </w:rPr>
              <w:t>归属于母公司所有者的综合收益总额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20,960,379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33,763,705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ascii="宋体" w:hAnsi="宋体"/>
              </w:rPr>
              <w:t>（二）</w:t>
            </w:r>
            <w:r>
              <w:rPr>
                <w:rFonts w:hint="eastAsia" w:ascii="宋体" w:hAnsi="宋体"/>
              </w:rPr>
              <w:t>归属于母公司其他权益工具持有者的综合收益总额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444,743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461,944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00b04a893f114802a07f0b168ff95112"/>
            <w:id w:val="-557858293"/>
          </w:sdtPr>
          <w:sdtEndPr>
            <w:rPr>
              <w:rFonts w:ascii="宋体" w:hAnsi="宋体"/>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ascii="宋体" w:hAnsi="宋体"/>
                  </w:rPr>
                  <w:t>（三）归属于少数股东的综合收益总额</w:t>
                </w:r>
              </w:p>
            </w:tc>
          </w:sdtContent>
        </w:sdt>
        <w:sdt>
          <w:sdtPr>
            <w:rPr>
              <w:rFonts w:ascii="宋体" w:hAnsi="宋体"/>
            </w:rPr>
            <w:alias w:val="附注_（三）归属于少数股东的综合收益总额"/>
            <w:tag w:val="_GBC_6bbc11bae3ec415aae6881ed823e9a14"/>
            <w:id w:val="-1856261732"/>
            <w:showingPlcHdr/>
          </w:sdtPr>
          <w:sdtEndPr>
            <w:rPr>
              <w:rFonts w:ascii="宋体" w:hAnsi="宋体"/>
            </w:rPr>
          </w:sdtEndPr>
          <w:sdtConten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ascii="宋体" w:hAnsi="宋体"/>
                  </w:rPr>
                  <w:t xml:space="preserve">     </w:t>
                </w:r>
              </w:p>
            </w:tc>
          </w:sdtContent>
        </w:sdt>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6,888,977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12,377,874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6e9655fe2b7c48e3964f7a74f9c6deea"/>
            <w:id w:val="441570843"/>
          </w:sdtPr>
          <w:sdtEndPr>
            <w:rPr>
              <w:rFonts w:ascii="宋体" w:hAnsi="宋体"/>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宋体" w:hAnsi="宋体"/>
                    <w:color w:val="008000"/>
                  </w:rPr>
                </w:pPr>
                <w:r>
                  <w:rPr>
                    <w:rFonts w:hint="eastAsia" w:ascii="宋体" w:hAnsi="宋体"/>
                  </w:rPr>
                  <w:t>八、每股收益：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ascii="宋体" w:hAnsi="宋体"/>
              </w:rPr>
              <w:t>（一）基本每股收益</w:t>
            </w:r>
            <w:r>
              <w:rPr>
                <w:rFonts w:hint="eastAsia" w:ascii="宋体" w:hAnsi="宋体"/>
              </w:rPr>
              <w:t>(元/股)</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2.7421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4.5534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ascii="宋体" w:hAnsi="宋体"/>
              </w:rPr>
              <w:t>（二）稀释每股收益</w:t>
            </w:r>
            <w:r>
              <w:rPr>
                <w:rFonts w:hint="eastAsia" w:ascii="宋体" w:hAnsi="宋体"/>
              </w:rPr>
              <w:t>(元/股)</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2.7228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4.5214 </w:t>
            </w:r>
          </w:p>
        </w:tc>
      </w:tr>
    </w:tbl>
    <w:p/>
    <w:p>
      <w:pPr>
        <w:rPr>
          <w:rFonts w:ascii="宋体" w:hAnsi="宋体"/>
          <w:b/>
          <w:bCs/>
          <w:color w:val="FF0000"/>
        </w:rPr>
      </w:pPr>
      <w:r>
        <w:rPr>
          <w:rFonts w:hint="eastAsia" w:ascii="宋体" w:hAnsi="宋体"/>
        </w:rPr>
        <w:t>本期发生同一控制下企业合并的，被合并方在合并前实现的净利润为：</w:t>
      </w:r>
      <w:sdt>
        <w:sdtPr>
          <w:rPr>
            <w:rFonts w:hint="eastAsia" w:ascii="宋体" w:hAnsi="宋体"/>
          </w:rPr>
          <w:alias w:val="同一控制下的企业合并中被合并方在合并前实现的净利润"/>
          <w:tag w:val="_GBC_dee3746024314be88287a46c20d21a26"/>
          <w:id w:val="1077860122"/>
          <w:placeholder>
            <w:docPart w:val="GBC22222222222222222222222222222"/>
          </w:placeholder>
        </w:sdtPr>
        <w:sdtEndPr>
          <w:rPr>
            <w:rFonts w:hint="eastAsia" w:ascii="宋体" w:hAnsi="宋体"/>
          </w:rPr>
        </w:sdtEndPr>
        <w:sdtContent>
          <w:r>
            <w:rPr>
              <w:rFonts w:ascii="宋体" w:hAnsi="宋体"/>
            </w:rPr>
            <w:t>2,932,102</w:t>
          </w:r>
        </w:sdtContent>
      </w:sdt>
      <w:r>
        <w:rPr>
          <w:rFonts w:hint="eastAsia" w:ascii="宋体" w:hAnsi="宋体"/>
        </w:rPr>
        <w:t xml:space="preserve"> 千元, 上期被合并方实现的净利润为： </w:t>
      </w:r>
      <w:sdt>
        <w:sdtPr>
          <w:rPr>
            <w:rFonts w:hint="eastAsia" w:ascii="宋体" w:hAnsi="宋体"/>
          </w:rPr>
          <w:alias w:val="同一控制下的企业合并中被合并方在合并前实现的净利润"/>
          <w:tag w:val="_GBC_12f9ba898e4e450d82ca7ea5336921ae"/>
          <w:id w:val="1750544953"/>
          <w:placeholder>
            <w:docPart w:val="GBC22222222222222222222222222222"/>
          </w:placeholder>
        </w:sdtPr>
        <w:sdtEndPr>
          <w:rPr>
            <w:rFonts w:hint="default" w:ascii="宋体" w:hAnsi="宋体"/>
          </w:rPr>
        </w:sdtEndPr>
        <w:sdtContent>
          <w:r>
            <w:rPr>
              <w:rFonts w:ascii="宋体" w:hAnsi="宋体"/>
            </w:rPr>
            <w:t>6,591,463</w:t>
          </w:r>
        </w:sdtContent>
      </w:sdt>
      <w:r>
        <w:rPr>
          <w:rFonts w:hint="eastAsia" w:ascii="宋体" w:hAnsi="宋体"/>
        </w:rPr>
        <w:t xml:space="preserve"> 千元。</w:t>
      </w:r>
    </w:p>
    <w:p>
      <w:pPr>
        <w:rPr>
          <w:rFonts w:ascii="宋体" w:hAnsi="宋体"/>
        </w:rPr>
      </w:pPr>
      <w:r>
        <w:rPr>
          <w:rFonts w:hint="eastAsia" w:ascii="宋体" w:hAnsi="宋体"/>
        </w:rPr>
        <w:t>公司负责</w:t>
      </w:r>
      <w:r>
        <w:rPr>
          <w:rFonts w:ascii="宋体" w:hAnsi="宋体"/>
        </w:rPr>
        <w:t>人</w:t>
      </w:r>
      <w:r>
        <w:rPr>
          <w:rFonts w:hint="eastAsia" w:ascii="宋体" w:hAnsi="宋体"/>
        </w:rPr>
        <w:t>：</w:t>
      </w:r>
      <w:sdt>
        <w:sdtPr>
          <w:rPr>
            <w:rFonts w:hint="eastAsia" w:ascii="宋体" w:hAnsi="宋体"/>
          </w:rPr>
          <w:alias w:val="公司负责人姓名"/>
          <w:tag w:val="_GBC_85589cdf09ed4055b8d177524f5a0df0"/>
          <w:id w:val="159739309"/>
          <w:placeholder>
            <w:docPart w:val="GBC22222222222222222222222222222"/>
          </w:placeholder>
          <w:dataBinding w:prefixMappings="xmlns:clcid-mr='clcid-mr'" w:xpath="/*/clcid-mr:GongSiFuZeRenXingMing[not(@periodRef)]" w:storeItemID="{89EBAB94-44A0-46A2-B712-30D997D04A6D}"/>
          <w:text/>
        </w:sdtPr>
        <w:sdtEndPr>
          <w:rPr>
            <w:rFonts w:hint="eastAsia" w:ascii="宋体" w:hAnsi="宋体"/>
          </w:rPr>
        </w:sdtEndPr>
        <w:sdtContent>
          <w:r>
            <w:rPr>
              <w:rFonts w:hint="eastAsia" w:ascii="宋体" w:hAnsi="宋体"/>
            </w:rPr>
            <w:t>李伟</w:t>
          </w:r>
        </w:sdtContent>
      </w:sdt>
      <w:r>
        <w:rPr>
          <w:rFonts w:hint="eastAsia" w:ascii="宋体" w:hAnsi="宋体"/>
        </w:rPr>
        <w:t xml:space="preserve"> </w:t>
      </w:r>
      <w:r>
        <w:rPr>
          <w:rFonts w:ascii="宋体" w:hAnsi="宋体"/>
        </w:rPr>
        <w:t>主管会计工作负责人</w:t>
      </w:r>
      <w:r>
        <w:rPr>
          <w:rFonts w:hint="eastAsia" w:ascii="宋体" w:hAnsi="宋体"/>
        </w:rPr>
        <w:t>：</w:t>
      </w:r>
      <w:sdt>
        <w:sdtPr>
          <w:rPr>
            <w:rFonts w:hint="eastAsia" w:ascii="宋体" w:hAnsi="宋体"/>
          </w:rPr>
          <w:alias w:val="主管会计工作负责人姓名"/>
          <w:tag w:val="_GBC_d5d5ec398a544491b9394eef54a56ec6"/>
          <w:id w:val="-814178634"/>
          <w:placeholder>
            <w:docPart w:val="GBC22222222222222222222222222222"/>
          </w:placeholder>
          <w:dataBinding w:prefixMappings="xmlns:clcid-mr='clcid-mr'" w:xpath="/*/clcid-mr:ZhuGuanKuaiJiGongZuoFuZeRenXingMing[not(@periodRef)]" w:storeItemID="{89EBAB94-44A0-46A2-B712-30D997D04A6D}"/>
          <w:text/>
        </w:sdtPr>
        <w:sdtEndPr>
          <w:rPr>
            <w:rFonts w:hint="eastAsia" w:ascii="宋体" w:hAnsi="宋体"/>
          </w:rPr>
        </w:sdtEndPr>
        <w:sdtContent>
          <w:r>
            <w:rPr>
              <w:rFonts w:hint="eastAsia" w:ascii="宋体" w:hAnsi="宋体"/>
            </w:rPr>
            <w:t>赵治国</w:t>
          </w:r>
        </w:sdtContent>
      </w:sdt>
      <w:r>
        <w:rPr>
          <w:rFonts w:hint="eastAsia" w:ascii="宋体" w:hAnsi="宋体"/>
        </w:rPr>
        <w:t xml:space="preserve"> </w:t>
      </w:r>
      <w:r>
        <w:rPr>
          <w:rFonts w:ascii="宋体" w:hAnsi="宋体"/>
        </w:rPr>
        <w:t>会计机构负责人</w:t>
      </w:r>
      <w:r>
        <w:rPr>
          <w:rFonts w:hint="eastAsia" w:ascii="宋体" w:hAnsi="宋体"/>
        </w:rPr>
        <w:t>：</w:t>
      </w:r>
      <w:sdt>
        <w:sdtPr>
          <w:rPr>
            <w:rFonts w:hint="eastAsia" w:ascii="宋体" w:hAnsi="宋体"/>
          </w:rPr>
          <w:alias w:val="会计机构负责人姓名"/>
          <w:tag w:val="_GBC_b776bf38628747739bf5cfe3f08d63a8"/>
          <w:id w:val="508726720"/>
          <w:placeholder>
            <w:docPart w:val="GBC22222222222222222222222222222"/>
          </w:placeholder>
          <w:dataBinding w:prefixMappings="xmlns:clcid-mr='clcid-mr'" w:xpath="/*/clcid-mr:KuaiJiJiGouFuZeRenXingMing[not(@periodRef)]" w:storeItemID="{89EBAB94-44A0-46A2-B712-30D997D04A6D}"/>
          <w:text/>
        </w:sdtPr>
        <w:sdtEndPr>
          <w:rPr>
            <w:rFonts w:hint="eastAsia" w:ascii="宋体" w:hAnsi="宋体"/>
          </w:rPr>
        </w:sdtEndPr>
        <w:sdtContent>
          <w:r>
            <w:rPr>
              <w:rFonts w:hint="eastAsia" w:ascii="宋体" w:hAnsi="宋体"/>
            </w:rPr>
            <w:t>于强</w:t>
          </w:r>
        </w:sdtContent>
      </w:sdt>
    </w:p>
    <w:p>
      <w:pPr>
        <w:pStyle w:val="504"/>
        <w:jc w:val="center"/>
        <w:rPr>
          <w:rFonts w:ascii="宋体" w:hAnsi="宋体"/>
        </w:rPr>
      </w:pPr>
      <w:r>
        <w:rPr>
          <w:rFonts w:hint="eastAsia" w:ascii="宋体" w:hAnsi="宋体"/>
        </w:rPr>
        <w:t>母公司</w:t>
      </w:r>
      <w:r>
        <w:rPr>
          <w:rFonts w:ascii="宋体" w:hAnsi="宋体"/>
        </w:rPr>
        <w:t>利润表</w:t>
      </w:r>
    </w:p>
    <w:p>
      <w:pPr>
        <w:jc w:val="center"/>
        <w:rPr>
          <w:rFonts w:ascii="宋体" w:hAnsi="宋体"/>
          <w:b/>
          <w:bCs/>
        </w:rPr>
      </w:pPr>
      <w:r>
        <w:rPr>
          <w:rFonts w:ascii="宋体" w:hAnsi="宋体"/>
        </w:rPr>
        <w:t>2023年</w:t>
      </w:r>
      <w:r>
        <w:rPr>
          <w:rFonts w:hint="eastAsia" w:ascii="宋体" w:hAnsi="宋体"/>
        </w:rPr>
        <w:t>1—</w:t>
      </w:r>
      <w:r>
        <w:rPr>
          <w:rFonts w:ascii="宋体" w:hAnsi="宋体"/>
        </w:rPr>
        <w:t>12月</w:t>
      </w:r>
    </w:p>
    <w:p>
      <w:pPr>
        <w:snapToGrid w:val="0"/>
        <w:spacing w:line="240" w:lineRule="atLeast"/>
        <w:jc w:val="right"/>
        <w:rPr>
          <w:rFonts w:ascii="宋体" w:hAnsi="宋体"/>
          <w:b/>
          <w:bCs/>
          <w:color w:val="FF0000"/>
        </w:rPr>
      </w:pPr>
      <w:r>
        <w:rPr>
          <w:rFonts w:ascii="宋体" w:hAnsi="宋体"/>
        </w:rPr>
        <w:t>单位:</w:t>
      </w:r>
      <w:sdt>
        <w:sdtPr>
          <w:rPr>
            <w:rFonts w:ascii="宋体" w:hAnsi="宋体"/>
          </w:rPr>
          <w:alias w:val="单位：母公司利润表"/>
          <w:tag w:val="_GBC_f17e8cd8a21b417cb065f4c3b94f9c26"/>
          <w:id w:val="18638628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rPr>
        </w:sdtEndPr>
        <w:sdtContent>
          <w:r>
            <w:rPr>
              <w:rFonts w:hint="eastAsia" w:ascii="宋体" w:hAnsi="宋体"/>
            </w:rPr>
            <w:t>千元</w:t>
          </w:r>
        </w:sdtContent>
      </w:sdt>
      <w:r>
        <w:rPr>
          <w:rFonts w:ascii="宋体" w:hAnsi="宋体"/>
        </w:rPr>
        <w:t xml:space="preserve">  币种:</w:t>
      </w:r>
      <w:sdt>
        <w:sdtPr>
          <w:rPr>
            <w:rFonts w:ascii="宋体" w:hAnsi="宋体"/>
          </w:rPr>
          <w:alias w:val="币种：母公司利润表"/>
          <w:tag w:val="_GBC_514289adafbe4fe995f8f3791e23e392"/>
          <w:id w:val="-18124025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rPr>
        </w:sdtEndPr>
        <w:sdtContent>
          <w:r>
            <w:rPr>
              <w:rFonts w:hint="eastAsia" w:ascii="宋体" w:hAnsi="宋体"/>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宋体" w:hAnsi="宋体"/>
                <w:b/>
              </w:rPr>
              <w:tag w:val="_PLD_a25f325e0afe4d279180290df7e1dd6d"/>
              <w:id w:val="1314909244"/>
            </w:sdtPr>
            <w:sdtEndPr>
              <w:rPr>
                <w:rFonts w:hint="eastAsia" w:ascii="宋体" w:hAnsi="宋体"/>
                <w:b/>
              </w:rPr>
            </w:sdtEndPr>
            <w:sdtContent>
              <w:p>
                <w:pPr>
                  <w:ind w:leftChars="-19" w:hanging="40" w:hangingChars="19"/>
                  <w:jc w:val="center"/>
                  <w:rPr>
                    <w:rFonts w:ascii="宋体" w:hAnsi="宋体"/>
                    <w:b/>
                  </w:rPr>
                </w:pPr>
                <w:r>
                  <w:rPr>
                    <w:rFonts w:hint="eastAsia" w:ascii="宋体" w:hAnsi="宋体"/>
                    <w:b/>
                  </w:rPr>
                  <w:t>项目</w:t>
                </w:r>
              </w:p>
            </w:sdtContent>
          </w:sdt>
        </w:tc>
        <w:tc>
          <w:tcPr>
            <w:tcW w:w="838" w:type="pct"/>
            <w:tcBorders>
              <w:top w:val="outset" w:color="auto" w:sz="4" w:space="0"/>
              <w:left w:val="outset" w:color="auto" w:sz="4" w:space="0"/>
              <w:bottom w:val="outset" w:color="auto" w:sz="4" w:space="0"/>
              <w:right w:val="outset" w:color="auto" w:sz="4" w:space="0"/>
            </w:tcBorders>
          </w:tcPr>
          <w:sdt>
            <w:sdtPr>
              <w:rPr>
                <w:rFonts w:hint="eastAsia" w:ascii="宋体" w:hAnsi="宋体"/>
                <w:b/>
              </w:rPr>
              <w:tag w:val="_PLD_4bea71a35f204b56bca2b7ea223d4b71"/>
              <w:id w:val="532087122"/>
            </w:sdtPr>
            <w:sdtEndPr>
              <w:rPr>
                <w:rFonts w:hint="eastAsia" w:ascii="宋体" w:hAnsi="宋体"/>
                <w:b/>
              </w:rPr>
            </w:sdtEndPr>
            <w:sdtContent>
              <w:p>
                <w:pPr>
                  <w:jc w:val="center"/>
                  <w:rPr>
                    <w:rFonts w:ascii="宋体" w:hAnsi="宋体"/>
                    <w:b/>
                  </w:rPr>
                </w:pPr>
                <w:r>
                  <w:rPr>
                    <w:rFonts w:hint="eastAsia" w:ascii="宋体" w:hAnsi="宋体"/>
                    <w:b/>
                  </w:rPr>
                  <w:t>附注</w:t>
                </w:r>
              </w:p>
            </w:sdtContent>
          </w:sdt>
        </w:tc>
        <w:tc>
          <w:tcPr>
            <w:tcW w:w="1110" w:type="pct"/>
            <w:tcBorders>
              <w:top w:val="outset" w:color="auto" w:sz="4" w:space="0"/>
              <w:left w:val="outset" w:color="auto" w:sz="4" w:space="0"/>
              <w:bottom w:val="outset" w:color="auto" w:sz="4" w:space="0"/>
              <w:right w:val="outset" w:color="auto" w:sz="4" w:space="0"/>
            </w:tcBorders>
            <w:vAlign w:val="center"/>
          </w:tcPr>
          <w:sdt>
            <w:sdtPr>
              <w:rPr>
                <w:rFonts w:hint="eastAsia" w:ascii="宋体" w:hAnsi="宋体"/>
                <w:b/>
              </w:rPr>
              <w:tag w:val="_PLD_a2bf02ec3f0b4ce2b9d25f751262d2b0"/>
              <w:id w:val="-382949368"/>
            </w:sdtPr>
            <w:sdtEndPr>
              <w:rPr>
                <w:rFonts w:hint="eastAsia" w:ascii="宋体" w:hAnsi="宋体"/>
                <w:b/>
              </w:rPr>
            </w:sdtEndPr>
            <w:sdtContent>
              <w:p>
                <w:pPr>
                  <w:jc w:val="center"/>
                  <w:rPr>
                    <w:rFonts w:ascii="宋体" w:hAnsi="宋体"/>
                    <w:b/>
                  </w:rPr>
                </w:pPr>
                <w:r>
                  <w:rPr>
                    <w:rFonts w:hint="eastAsia" w:ascii="宋体" w:hAnsi="宋体"/>
                    <w:b/>
                  </w:rPr>
                  <w:t>2023年度</w:t>
                </w:r>
              </w:p>
            </w:sdtContent>
          </w:sdt>
        </w:tc>
        <w:tc>
          <w:tcPr>
            <w:tcW w:w="1114" w:type="pct"/>
            <w:tcBorders>
              <w:top w:val="outset" w:color="auto" w:sz="4" w:space="0"/>
              <w:left w:val="outset" w:color="auto" w:sz="4" w:space="0"/>
              <w:bottom w:val="outset" w:color="auto" w:sz="4" w:space="0"/>
              <w:right w:val="outset" w:color="auto" w:sz="4" w:space="0"/>
            </w:tcBorders>
            <w:vAlign w:val="center"/>
          </w:tcPr>
          <w:sdt>
            <w:sdtPr>
              <w:rPr>
                <w:rFonts w:hint="eastAsia" w:ascii="宋体" w:hAnsi="宋体"/>
                <w:b/>
              </w:rPr>
              <w:tag w:val="_PLD_7a01f378d3e3492c9571d4400832431f"/>
              <w:id w:val="-1392269405"/>
            </w:sdtPr>
            <w:sdtEndPr>
              <w:rPr>
                <w:rFonts w:hint="eastAsia" w:ascii="宋体" w:hAnsi="宋体"/>
                <w:b/>
              </w:rPr>
            </w:sdtEndPr>
            <w:sdtContent>
              <w:p>
                <w:pPr>
                  <w:jc w:val="center"/>
                  <w:rPr>
                    <w:rFonts w:ascii="宋体" w:hAnsi="宋体"/>
                    <w:b/>
                  </w:rPr>
                </w:pPr>
                <w:r>
                  <w:rPr>
                    <w:rFonts w:hint="eastAsia" w:ascii="宋体" w:hAnsi="宋体"/>
                    <w:b/>
                  </w:rPr>
                  <w:t>2022年度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宋体" w:hAnsi="宋体"/>
                <w:color w:val="000000"/>
              </w:rPr>
            </w:pPr>
            <w:r>
              <w:rPr>
                <w:rFonts w:hint="eastAsia" w:ascii="宋体" w:hAnsi="宋体"/>
              </w:rPr>
              <w:t>一、营业收入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十九、4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26,261,022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34,887,213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color w:val="000000"/>
              </w:rPr>
            </w:pPr>
            <w:r>
              <w:rPr>
                <w:rFonts w:hint="eastAsia" w:ascii="宋体" w:hAnsi="宋体"/>
              </w:rPr>
              <w:t>减：营业成本</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十九、4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13,136,650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15,252,971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税金及附加</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1,261,666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1,591,568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销售费用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166,277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161,155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管理费用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2,875,061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3,347,348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研发费用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457,415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503,856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财务费用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1,605,863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1,736,363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其中：利息费用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3,278,132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3,729,133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1260" w:firstLineChars="600"/>
              <w:rPr>
                <w:rFonts w:ascii="宋体" w:hAnsi="宋体"/>
              </w:rPr>
            </w:pPr>
            <w:r>
              <w:rPr>
                <w:rFonts w:hint="eastAsia" w:ascii="宋体" w:hAnsi="宋体"/>
              </w:rPr>
              <w:t>利息收入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1,607,000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2,196,242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加：其他收益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30,652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22,395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投资收益（损失以“－”号填列）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十九、5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11,723,325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6,440,116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其中：对联营企业和合营企业的投资收益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493,282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412,327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tcPr>
          <w:p>
            <w:pPr>
              <w:ind w:firstLine="1155" w:firstLineChars="550"/>
              <w:rPr>
                <w:rFonts w:ascii="宋体" w:hAnsi="宋体"/>
              </w:rPr>
            </w:pPr>
            <w:r>
              <w:rPr>
                <w:rFonts w:hint="eastAsia" w:ascii="宋体" w:hAnsi="宋体"/>
              </w:rPr>
              <w:t>以摊余成本计量的金融资产终止确认收益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净敞口套期收益（损失以“</w:t>
            </w:r>
            <w:r>
              <w:rPr>
                <w:rFonts w:ascii="宋体" w:hAnsi="宋体"/>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34,199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-22,970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color w:val="000000"/>
              </w:rPr>
            </w:pPr>
            <w:r>
              <w:rPr>
                <w:rFonts w:hint="eastAsia" w:ascii="宋体" w:hAnsi="宋体"/>
              </w:rPr>
              <w:t>公允价值变动收益（损失以“－”号填列）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-200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信用减值损失（损失以“</w:t>
            </w:r>
            <w:r>
              <w:rPr>
                <w:rFonts w:ascii="宋体" w:hAnsi="宋体"/>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48,953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42,489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资产减值损失（损失以“</w:t>
            </w:r>
            <w:r>
              <w:rPr>
                <w:rFonts w:ascii="宋体" w:hAnsi="宋体"/>
              </w:rPr>
              <w:t>-”号填列）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宋体" w:hAnsi="宋体"/>
              </w:rPr>
            </w:pPr>
            <w:r>
              <w:rPr>
                <w:rFonts w:hint="eastAsia" w:ascii="宋体" w:hAnsi="宋体"/>
              </w:rPr>
              <w:t>资产处置收益（损失以“－”号填列）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2,292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宋体" w:hAnsi="宋体"/>
                <w:color w:val="000000"/>
              </w:rPr>
            </w:pPr>
            <w:r>
              <w:rPr>
                <w:rFonts w:hint="eastAsia" w:ascii="宋体" w:hAnsi="宋体"/>
              </w:rPr>
              <w:t>二、营业利润（亏损以“－”号填列）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18,597,311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18,775,982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color w:val="000000"/>
              </w:rPr>
            </w:pPr>
            <w:r>
              <w:rPr>
                <w:rFonts w:hint="eastAsia" w:ascii="宋体" w:hAnsi="宋体"/>
              </w:rPr>
              <w:t>加：营业外收入</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223,368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214,899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color w:val="000000"/>
              </w:rPr>
            </w:pPr>
            <w:r>
              <w:rPr>
                <w:rFonts w:hint="eastAsia" w:ascii="宋体" w:hAnsi="宋体"/>
              </w:rPr>
              <w:t>减：营业外支出</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89,133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72,992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宋体" w:hAnsi="宋体"/>
                <w:color w:val="000000"/>
              </w:rPr>
            </w:pPr>
            <w:r>
              <w:rPr>
                <w:rFonts w:hint="eastAsia" w:ascii="宋体" w:hAnsi="宋体"/>
              </w:rPr>
              <w:t>三、利润总额（亏损总额以“－”号填列）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18,731,546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18,917,889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宋体" w:hAnsi="宋体"/>
                <w:color w:val="000000"/>
              </w:rPr>
            </w:pPr>
            <w:r>
              <w:rPr>
                <w:rFonts w:hint="eastAsia" w:ascii="宋体" w:hAnsi="宋体"/>
              </w:rPr>
              <w:t>减：所得税费用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1,648,656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4,176,949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宋体" w:hAnsi="宋体"/>
                <w:color w:val="000000"/>
              </w:rPr>
            </w:pPr>
            <w:r>
              <w:rPr>
                <w:rFonts w:hint="eastAsia" w:ascii="宋体" w:hAnsi="宋体"/>
              </w:rPr>
              <w:t>四、净利润（净亏损以“－”号填列）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17,082,890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14,740,940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宋体" w:hAnsi="宋体"/>
              </w:rPr>
            </w:pPr>
            <w:r>
              <w:rPr>
                <w:rFonts w:hint="eastAsia" w:ascii="宋体" w:hAnsi="宋体"/>
              </w:rPr>
              <w:t>（一）按经营持续性分类</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17,082,890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14,740,940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f6ea197393784ed2845e4d921cd94c0b"/>
            <w:id w:val="-1998408754"/>
          </w:sdtPr>
          <w:sdtEndPr>
            <w:rPr>
              <w:rFonts w:ascii="宋体" w:hAnsi="宋体"/>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宋体" w:hAnsi="宋体"/>
                  </w:rPr>
                </w:pPr>
                <w:r>
                  <w:rPr>
                    <w:rFonts w:hint="eastAsia" w:ascii="宋体" w:hAnsi="宋体"/>
                  </w:rPr>
                  <w:t>1.持续经营净利润（净亏损以“-”号填列）</w:t>
                </w:r>
              </w:p>
            </w:tc>
          </w:sdtContent>
        </w:sdt>
        <w:sdt>
          <w:sdtPr>
            <w:rPr>
              <w:rFonts w:ascii="宋体" w:hAnsi="宋体"/>
            </w:rPr>
            <w:alias w:val="附注_1.持续经营净利润（净亏损以“-”号填列）"/>
            <w:tag w:val="_GBC_a3246b594fd4487799486c94fc4674e8"/>
            <w:id w:val="1354459667"/>
            <w:showingPlcHdr/>
          </w:sdtPr>
          <w:sdtEndPr>
            <w:rPr>
              <w:rFonts w:ascii="宋体" w:hAnsi="宋体"/>
            </w:rPr>
          </w:sdtEndPr>
          <w:sdtConten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ascii="宋体" w:hAnsi="宋体"/>
                  </w:rPr>
                  <w:t xml:space="preserve">     </w:t>
                </w:r>
              </w:p>
            </w:tc>
          </w:sdtContent>
        </w:sdt>
        <w:sdt>
          <w:sdtPr>
            <w:rPr>
              <w:rFonts w:ascii="宋体" w:hAnsi="宋体"/>
            </w:rPr>
            <w:alias w:val="1.持续经营净利润（净亏损以“-”号填列）"/>
            <w:tag w:val="_GBC_104fcf4320e74791b6c5d42f1e410cbd"/>
            <w:id w:val="-1188064389"/>
          </w:sdtPr>
          <w:sdtEndPr>
            <w:rPr>
              <w:rFonts w:ascii="宋体" w:hAnsi="宋体"/>
            </w:rPr>
          </w:sdtEndPr>
          <w:sdtContent>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17,082,890</w:t>
                </w:r>
              </w:p>
            </w:tc>
          </w:sdtContent>
        </w:sdt>
        <w:sdt>
          <w:sdtPr>
            <w:rPr>
              <w:rFonts w:ascii="宋体" w:hAnsi="宋体"/>
            </w:rPr>
            <w:alias w:val="1.持续经营净利润（净亏损以“-”号填列）"/>
            <w:tag w:val="_GBC_1e86a83dd6ad42499b44bdf28733823c"/>
            <w:id w:val="725040894"/>
          </w:sdtPr>
          <w:sdtEndPr>
            <w:rPr>
              <w:rFonts w:ascii="宋体" w:hAnsi="宋体"/>
            </w:rPr>
          </w:sdtEndPr>
          <w:sdtContent>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14,740,940</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128" w:firstLineChars="61"/>
              <w:rPr>
                <w:rFonts w:ascii="宋体" w:hAnsi="宋体"/>
              </w:rPr>
            </w:pPr>
            <w:r>
              <w:rPr>
                <w:rFonts w:hint="eastAsia" w:ascii="宋体" w:hAnsi="宋体"/>
              </w:rPr>
              <w:t xml:space="preserve"> 2.终止经营净利润（净亏损以“-”号填列）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宋体" w:hAnsi="宋体"/>
              </w:rPr>
            </w:pPr>
            <w:r>
              <w:rPr>
                <w:rFonts w:hint="eastAsia" w:ascii="宋体" w:hAnsi="宋体"/>
              </w:rPr>
              <w:t>（二）按所有权归属分类</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17,082,890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14,740,940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db70aa2e6ec04d8a98766d9a6f4c161c"/>
            <w:id w:val="-292214916"/>
          </w:sdtPr>
          <w:sdtEndPr>
            <w:rPr>
              <w:rFonts w:ascii="宋体" w:hAnsi="宋体"/>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宋体" w:hAnsi="宋体"/>
                  </w:rPr>
                </w:pPr>
                <w:r>
                  <w:rPr>
                    <w:rFonts w:hint="eastAsia" w:ascii="宋体" w:hAnsi="宋体"/>
                  </w:rPr>
                  <w:t>1.归属于母公司所有者的净利润（净亏损以“-”号填列）</w:t>
                </w:r>
              </w:p>
            </w:tc>
          </w:sdtContent>
        </w:sdt>
        <w:sdt>
          <w:sdtPr>
            <w:rPr>
              <w:rFonts w:ascii="宋体" w:hAnsi="宋体"/>
            </w:rPr>
            <w:alias w:val="附注_1.归属于母公司所有者的净利润（净亏损以“-”号填列）"/>
            <w:tag w:val="_GBC_d7fc60bce895472caf29e5e5fb9fab23"/>
            <w:id w:val="104165686"/>
            <w:showingPlcHdr/>
          </w:sdtPr>
          <w:sdtEndPr>
            <w:rPr>
              <w:rFonts w:ascii="宋体" w:hAnsi="宋体"/>
            </w:rPr>
          </w:sdtEndPr>
          <w:sdtConten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ascii="宋体" w:hAnsi="宋体"/>
                  </w:rPr>
                  <w:t xml:space="preserve">     </w:t>
                </w:r>
              </w:p>
            </w:tc>
          </w:sdtContent>
        </w:sdt>
        <w:sdt>
          <w:sdtPr>
            <w:rPr>
              <w:rFonts w:ascii="宋体" w:hAnsi="宋体"/>
            </w:rPr>
            <w:alias w:val="1.归属于母公司所有者的净利润（净亏损以“-”号填列）"/>
            <w:tag w:val="_GBC_bb618437b61144b986f1fc6a5a3832d3"/>
            <w:id w:val="-1868359474"/>
          </w:sdtPr>
          <w:sdtEndPr>
            <w:rPr>
              <w:rFonts w:ascii="宋体" w:hAnsi="宋体"/>
            </w:rPr>
          </w:sdtEndPr>
          <w:sdtContent>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16,638,147</w:t>
                </w:r>
              </w:p>
            </w:tc>
          </w:sdtContent>
        </w:sdt>
        <w:sdt>
          <w:sdtPr>
            <w:rPr>
              <w:rFonts w:ascii="宋体" w:hAnsi="宋体"/>
            </w:rPr>
            <w:alias w:val="1.归属于母公司所有者的净利润（净亏损以“-”号填列）"/>
            <w:tag w:val="_GBC_345c19e6badc4ad8a76221f4ed2d1e7e"/>
            <w:id w:val="-660084874"/>
          </w:sdtPr>
          <w:sdtEndPr>
            <w:rPr>
              <w:rFonts w:ascii="宋体" w:hAnsi="宋体"/>
            </w:rPr>
          </w:sdtEndPr>
          <w:sdtContent>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14,278,996</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宋体" w:hAnsi="宋体"/>
              </w:rPr>
            </w:pPr>
            <w:r>
              <w:rPr>
                <w:rFonts w:hint="eastAsia" w:ascii="宋体" w:hAnsi="宋体"/>
              </w:rPr>
              <w:t>2.归属于母公司其他权益工具持有者的净利润</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444,743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461,944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rPr>
                <w:rFonts w:ascii="宋体" w:hAnsi="宋体"/>
              </w:rPr>
            </w:pPr>
            <w:r>
              <w:rPr>
                <w:rFonts w:hint="eastAsia" w:ascii="宋体" w:hAnsi="宋体"/>
              </w:rPr>
              <w:t>五、其他综合收益的税后净额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28,115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35,666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（一）不能重分类进损益的其他综合收益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-88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1.重新计量设定受益计划变动额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2.权益法下不能转损益的其他综合收益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3.其他权益工具投资公允价值变动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-88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4.企业自身信用风险公允价值变动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宋体" w:hAnsi="宋体"/>
              </w:rPr>
            </w:pPr>
            <w:r>
              <w:rPr>
                <w:rFonts w:hint="eastAsia" w:ascii="宋体" w:hAnsi="宋体"/>
              </w:rPr>
              <w:t>（二）将重分类进损益的其他综合收益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28,203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35,680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1.权益法下可转损益的其他综合收益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51,700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-32,165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2.其他债权投资公允价值变动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3.金融资产重分类计入其他综合收益的金额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4.其他债权投资信用减值准备</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5.现金流量套期储备</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-23,497 </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 xml:space="preserve"> 67,845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6.外币财务报表折算差额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宋体" w:hAnsi="宋体"/>
              </w:rPr>
            </w:pPr>
            <w:r>
              <w:rPr>
                <w:rFonts w:ascii="宋体" w:hAnsi="宋体"/>
              </w:rPr>
              <w:t>7.其他</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宋体" w:hAnsi="宋体"/>
              </w:rPr>
            </w:pPr>
            <w:r>
              <w:rPr>
                <w:rFonts w:hint="eastAsia" w:ascii="宋体" w:hAnsi="宋体"/>
              </w:rPr>
              <w:t>六、综合收益总额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17,111,005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14,776,606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宋体" w:hAnsi="宋体"/>
              </w:rPr>
            </w:pPr>
            <w:r>
              <w:rPr>
                <w:rFonts w:hint="eastAsia" w:ascii="宋体" w:hAnsi="宋体"/>
              </w:rPr>
              <w:t>归属于母公司股东的综合收益总额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16,666,262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14,314,662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宋体" w:hAnsi="宋体"/>
              </w:rPr>
            </w:pPr>
            <w:r>
              <w:rPr>
                <w:rFonts w:hint="eastAsia" w:ascii="宋体" w:hAnsi="宋体"/>
              </w:rPr>
              <w:t>归属于母公司其他权益工具持有者的综合收益总额</w:t>
            </w:r>
          </w:p>
        </w:tc>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444,743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461,944</w:t>
            </w:r>
          </w:p>
        </w:tc>
      </w:tr>
    </w:tbl>
    <w:p>
      <w:pPr>
        <w:pStyle w:val="501"/>
      </w:pPr>
    </w:p>
    <w:p>
      <w:pPr>
        <w:snapToGrid w:val="0"/>
        <w:spacing w:line="240" w:lineRule="atLeast"/>
        <w:ind w:right="-153" w:rightChars="-73"/>
        <w:rPr>
          <w:rFonts w:ascii="宋体" w:hAnsi="宋体" w:cs="宋体-方正超大字符集"/>
        </w:rPr>
      </w:pPr>
      <w:r>
        <w:rPr>
          <w:rFonts w:hint="eastAsia" w:ascii="宋体" w:hAnsi="宋体"/>
        </w:rPr>
        <w:t>公司负责</w:t>
      </w:r>
      <w:r>
        <w:rPr>
          <w:rFonts w:ascii="宋体" w:hAnsi="宋体"/>
        </w:rPr>
        <w:t>人</w:t>
      </w:r>
      <w:r>
        <w:rPr>
          <w:rFonts w:hint="eastAsia" w:ascii="宋体" w:hAnsi="宋体"/>
        </w:rPr>
        <w:t>：</w:t>
      </w:r>
      <w:sdt>
        <w:sdtPr>
          <w:rPr>
            <w:rFonts w:hint="eastAsia" w:ascii="宋体" w:hAnsi="宋体"/>
          </w:rPr>
          <w:alias w:val="公司负责人姓名"/>
          <w:tag w:val="_GBC_04fbc09e50eb44a79e1d4314733be4f9"/>
          <w:id w:val="-204099516"/>
          <w:placeholder>
            <w:docPart w:val="GBC22222222222222222222222222222"/>
          </w:placeholder>
          <w:dataBinding w:prefixMappings="xmlns:clcid-mr='clcid-mr'" w:xpath="/*/clcid-mr:GongSiFuZeRenXingMing[not(@periodRef)]" w:storeItemID="{89EBAB94-44A0-46A2-B712-30D997D04A6D}"/>
          <w:text/>
        </w:sdtPr>
        <w:sdtEndPr>
          <w:rPr>
            <w:rFonts w:hint="eastAsia" w:ascii="宋体" w:hAnsi="宋体"/>
          </w:rPr>
        </w:sdtEndPr>
        <w:sdtContent>
          <w:r>
            <w:rPr>
              <w:rFonts w:hint="eastAsia" w:ascii="宋体" w:hAnsi="宋体"/>
            </w:rPr>
            <w:t>李伟</w:t>
          </w:r>
        </w:sdtContent>
      </w:sdt>
      <w:r>
        <w:rPr>
          <w:rFonts w:hint="eastAsia" w:ascii="宋体" w:hAnsi="宋体"/>
        </w:rPr>
        <w:t xml:space="preserve"> </w:t>
      </w:r>
      <w:r>
        <w:rPr>
          <w:rFonts w:ascii="宋体" w:hAnsi="宋体"/>
        </w:rPr>
        <w:t>主管会计工作负责人</w:t>
      </w:r>
      <w:r>
        <w:rPr>
          <w:rFonts w:hint="eastAsia" w:ascii="宋体" w:hAnsi="宋体"/>
        </w:rPr>
        <w:t>：</w:t>
      </w:r>
      <w:sdt>
        <w:sdtPr>
          <w:rPr>
            <w:rFonts w:hint="eastAsia" w:ascii="宋体" w:hAnsi="宋体"/>
          </w:rPr>
          <w:alias w:val="主管会计工作负责人姓名"/>
          <w:tag w:val="_GBC_37d9f750e6c04845b9e34ad6da976b56"/>
          <w:id w:val="-2109109020"/>
          <w:placeholder>
            <w:docPart w:val="GBC22222222222222222222222222222"/>
          </w:placeholder>
          <w:dataBinding w:prefixMappings="xmlns:clcid-mr='clcid-mr'" w:xpath="/*/clcid-mr:ZhuGuanKuaiJiGongZuoFuZeRenXingMing[not(@periodRef)]" w:storeItemID="{89EBAB94-44A0-46A2-B712-30D997D04A6D}"/>
          <w:text/>
        </w:sdtPr>
        <w:sdtEndPr>
          <w:rPr>
            <w:rFonts w:hint="eastAsia" w:ascii="宋体" w:hAnsi="宋体"/>
          </w:rPr>
        </w:sdtEndPr>
        <w:sdtContent>
          <w:r>
            <w:rPr>
              <w:rFonts w:hint="eastAsia" w:ascii="宋体" w:hAnsi="宋体"/>
            </w:rPr>
            <w:t>赵治国</w:t>
          </w:r>
        </w:sdtContent>
      </w:sdt>
      <w:r>
        <w:rPr>
          <w:rFonts w:hint="eastAsia" w:ascii="宋体" w:hAnsi="宋体"/>
        </w:rPr>
        <w:t xml:space="preserve"> </w:t>
      </w:r>
      <w:r>
        <w:rPr>
          <w:rFonts w:ascii="宋体" w:hAnsi="宋体"/>
        </w:rPr>
        <w:t>会计机构负责人</w:t>
      </w:r>
      <w:r>
        <w:rPr>
          <w:rFonts w:hint="eastAsia" w:ascii="宋体" w:hAnsi="宋体"/>
        </w:rPr>
        <w:t>：</w:t>
      </w:r>
      <w:sdt>
        <w:sdtPr>
          <w:rPr>
            <w:rFonts w:hint="eastAsia" w:ascii="宋体" w:hAnsi="宋体"/>
          </w:rPr>
          <w:alias w:val="会计机构负责人姓名"/>
          <w:tag w:val="_GBC_b8515644d08d42edafc210cf569b9b08"/>
          <w:id w:val="1459917987"/>
          <w:placeholder>
            <w:docPart w:val="GBC22222222222222222222222222222"/>
          </w:placeholder>
          <w:dataBinding w:prefixMappings="xmlns:clcid-mr='clcid-mr'" w:xpath="/*/clcid-mr:KuaiJiJiGouFuZeRenXingMing[not(@periodRef)]" w:storeItemID="{89EBAB94-44A0-46A2-B712-30D997D04A6D}"/>
          <w:text/>
        </w:sdtPr>
        <w:sdtEndPr>
          <w:rPr>
            <w:rFonts w:hint="eastAsia" w:ascii="宋体" w:hAnsi="宋体"/>
          </w:rPr>
        </w:sdtEndPr>
        <w:sdtContent>
          <w:r>
            <w:rPr>
              <w:rFonts w:hint="eastAsia" w:ascii="宋体" w:hAnsi="宋体"/>
            </w:rPr>
            <w:t>于强</w:t>
          </w:r>
        </w:sdtContent>
      </w:sdt>
    </w:p>
    <w:p>
      <w:pPr>
        <w:jc w:val="center"/>
        <w:outlineLvl w:val="2"/>
        <w:rPr>
          <w:rFonts w:ascii="宋体" w:hAnsi="宋体"/>
          <w:b/>
          <w:bCs/>
        </w:rPr>
      </w:pPr>
      <w:r>
        <w:rPr>
          <w:rFonts w:hint="eastAsia" w:ascii="宋体" w:hAnsi="宋体"/>
          <w:b/>
          <w:bCs/>
        </w:rPr>
        <w:t>合并</w:t>
      </w:r>
      <w:r>
        <w:rPr>
          <w:rFonts w:ascii="宋体" w:hAnsi="宋体"/>
          <w:b/>
          <w:bCs/>
        </w:rPr>
        <w:t>现金流量表</w:t>
      </w:r>
    </w:p>
    <w:p>
      <w:pPr>
        <w:jc w:val="center"/>
        <w:rPr>
          <w:rFonts w:ascii="宋体" w:hAnsi="宋体"/>
          <w:b/>
          <w:bCs/>
        </w:rPr>
      </w:pPr>
      <w:r>
        <w:rPr>
          <w:rFonts w:ascii="宋体" w:hAnsi="宋体"/>
        </w:rPr>
        <w:t>2023年</w:t>
      </w:r>
      <w:r>
        <w:rPr>
          <w:rFonts w:hint="eastAsia" w:ascii="宋体" w:hAnsi="宋体"/>
        </w:rPr>
        <w:t>1—12</w:t>
      </w:r>
      <w:r>
        <w:rPr>
          <w:rFonts w:ascii="宋体" w:hAnsi="宋体"/>
        </w:rPr>
        <w:t>月</w:t>
      </w:r>
    </w:p>
    <w:p>
      <w:pPr>
        <w:jc w:val="right"/>
        <w:rPr>
          <w:rFonts w:ascii="宋体" w:hAnsi="宋体"/>
        </w:rPr>
      </w:pPr>
      <w:r>
        <w:rPr>
          <w:rFonts w:ascii="宋体" w:hAnsi="宋体"/>
        </w:rPr>
        <w:t>单位</w:t>
      </w:r>
      <w:r>
        <w:rPr>
          <w:rFonts w:hint="eastAsia" w:ascii="宋体" w:hAnsi="宋体"/>
        </w:rPr>
        <w:t>：</w:t>
      </w:r>
      <w:sdt>
        <w:sdtPr>
          <w:rPr>
            <w:rFonts w:hint="eastAsia" w:ascii="宋体" w:hAnsi="宋体"/>
          </w:rPr>
          <w:alias w:val="单位：合并现金流量表"/>
          <w:tag w:val="_GBC_7049413ddb8f4e5eac9cb9fb4f802433"/>
          <w:id w:val="-18308121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千元</w:t>
          </w:r>
        </w:sdtContent>
      </w:sdt>
      <w:r>
        <w:rPr>
          <w:rFonts w:ascii="宋体" w:hAnsi="宋体"/>
        </w:rPr>
        <w:t xml:space="preserve">  币种</w:t>
      </w:r>
      <w:r>
        <w:rPr>
          <w:rFonts w:hint="eastAsia" w:ascii="宋体" w:hAnsi="宋体"/>
        </w:rPr>
        <w:t>：</w:t>
      </w:r>
      <w:sdt>
        <w:sdtPr>
          <w:rPr>
            <w:rFonts w:hint="eastAsia" w:ascii="宋体" w:hAnsi="宋体"/>
          </w:rPr>
          <w:alias w:val="币种：合并现金流量表"/>
          <w:tag w:val="_GBC_5ab1c6e244484b228b8cdc6ee3840fd6"/>
          <w:id w:val="6904225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2"/>
        <w:gridCol w:w="1567"/>
        <w:gridCol w:w="2174"/>
        <w:gridCol w:w="21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736" w:type="pct"/>
            <w:tcBorders>
              <w:top w:val="outset" w:color="auto" w:sz="4" w:space="0"/>
              <w:left w:val="outset" w:color="auto" w:sz="4" w:space="0"/>
              <w:bottom w:val="outset" w:color="auto" w:sz="4" w:space="0"/>
              <w:right w:val="outset" w:color="auto" w:sz="4" w:space="0"/>
            </w:tcBorders>
          </w:tcPr>
          <w:sdt>
            <w:sdtPr>
              <w:rPr>
                <w:rFonts w:hint="eastAsia" w:ascii="宋体" w:hAnsi="宋体"/>
                <w:b/>
              </w:rPr>
              <w:tag w:val="_PLD_5a1e687815424d54a4dd8744648aa3cb"/>
              <w:id w:val="-221606315"/>
            </w:sdtPr>
            <w:sdtEndPr>
              <w:rPr>
                <w:rFonts w:hint="eastAsia" w:ascii="宋体" w:hAnsi="宋体"/>
                <w:b/>
              </w:rPr>
            </w:sdtEndPr>
            <w:sdtContent>
              <w:p>
                <w:pPr>
                  <w:jc w:val="center"/>
                  <w:rPr>
                    <w:rFonts w:ascii="宋体" w:hAnsi="宋体"/>
                    <w:b/>
                  </w:rPr>
                </w:pPr>
                <w:r>
                  <w:rPr>
                    <w:rFonts w:hint="eastAsia" w:ascii="宋体" w:hAnsi="宋体"/>
                    <w:b/>
                  </w:rPr>
                  <w:t>项目</w:t>
                </w:r>
              </w:p>
            </w:sdtContent>
          </w:sdt>
        </w:tc>
        <w:tc>
          <w:tcPr>
            <w:tcW w:w="866" w:type="pct"/>
            <w:tcBorders>
              <w:top w:val="outset" w:color="auto" w:sz="4" w:space="0"/>
              <w:left w:val="outset" w:color="auto" w:sz="4" w:space="0"/>
              <w:bottom w:val="outset" w:color="auto" w:sz="4" w:space="0"/>
              <w:right w:val="outset" w:color="auto" w:sz="4" w:space="0"/>
            </w:tcBorders>
          </w:tcPr>
          <w:sdt>
            <w:sdtPr>
              <w:rPr>
                <w:rFonts w:hint="eastAsia" w:ascii="宋体" w:hAnsi="宋体"/>
                <w:b/>
              </w:rPr>
              <w:tag w:val="_PLD_3c902166982f4ea18b3f3d11c1fe2190"/>
              <w:id w:val="-1460415411"/>
            </w:sdtPr>
            <w:sdtEndPr>
              <w:rPr>
                <w:rFonts w:hint="eastAsia" w:ascii="宋体" w:hAnsi="宋体"/>
                <w:b/>
              </w:rPr>
            </w:sdtEndPr>
            <w:sdtContent>
              <w:p>
                <w:pPr>
                  <w:jc w:val="center"/>
                  <w:rPr>
                    <w:rFonts w:ascii="宋体" w:hAnsi="宋体"/>
                    <w:b/>
                  </w:rPr>
                </w:pPr>
                <w:r>
                  <w:rPr>
                    <w:rFonts w:hint="eastAsia" w:ascii="宋体" w:hAnsi="宋体"/>
                    <w:b/>
                  </w:rPr>
                  <w:t>附注</w:t>
                </w:r>
              </w:p>
            </w:sdtContent>
          </w:sdt>
        </w:tc>
        <w:tc>
          <w:tcPr>
            <w:tcW w:w="1201" w:type="pct"/>
            <w:tcBorders>
              <w:top w:val="outset" w:color="auto" w:sz="4" w:space="0"/>
              <w:left w:val="outset" w:color="auto" w:sz="4" w:space="0"/>
              <w:bottom w:val="outset" w:color="auto" w:sz="4" w:space="0"/>
              <w:right w:val="outset" w:color="auto" w:sz="4" w:space="0"/>
            </w:tcBorders>
          </w:tcPr>
          <w:sdt>
            <w:sdtPr>
              <w:rPr>
                <w:rFonts w:hint="eastAsia" w:ascii="宋体" w:hAnsi="宋体"/>
                <w:b/>
              </w:rPr>
              <w:tag w:val="_PLD_29a06cc719e5467e82013eb798ebb143"/>
              <w:id w:val="-230622040"/>
            </w:sdtPr>
            <w:sdtEndPr>
              <w:rPr>
                <w:rFonts w:hint="eastAsia" w:ascii="宋体" w:hAnsi="宋体"/>
                <w:b/>
              </w:rPr>
            </w:sdtEndPr>
            <w:sdtContent>
              <w:p>
                <w:pPr>
                  <w:autoSpaceDE w:val="0"/>
                  <w:autoSpaceDN w:val="0"/>
                  <w:adjustRightInd w:val="0"/>
                  <w:jc w:val="center"/>
                  <w:rPr>
                    <w:rFonts w:ascii="宋体" w:hAnsi="宋体"/>
                    <w:b/>
                  </w:rPr>
                </w:pPr>
                <w:r>
                  <w:rPr>
                    <w:rFonts w:hint="eastAsia" w:ascii="宋体" w:hAnsi="宋体"/>
                    <w:b/>
                  </w:rPr>
                  <w:t>2023年度</w:t>
                </w:r>
              </w:p>
            </w:sdtContent>
          </w:sdt>
        </w:tc>
        <w:tc>
          <w:tcPr>
            <w:tcW w:w="1197" w:type="pct"/>
            <w:tcBorders>
              <w:top w:val="outset" w:color="auto" w:sz="4" w:space="0"/>
              <w:left w:val="outset" w:color="auto" w:sz="4" w:space="0"/>
              <w:bottom w:val="outset" w:color="auto" w:sz="4" w:space="0"/>
              <w:right w:val="outset" w:color="auto" w:sz="4" w:space="0"/>
            </w:tcBorders>
          </w:tcPr>
          <w:sdt>
            <w:sdtPr>
              <w:rPr>
                <w:rFonts w:hint="eastAsia" w:ascii="宋体" w:hAnsi="宋体"/>
                <w:b/>
              </w:rPr>
              <w:tag w:val="_PLD_0bd5effed8234e5eb21199f6669657c2"/>
              <w:id w:val="-404988171"/>
            </w:sdtPr>
            <w:sdtEndPr>
              <w:rPr>
                <w:rFonts w:hint="eastAsia" w:ascii="宋体" w:hAnsi="宋体"/>
                <w:b/>
              </w:rPr>
            </w:sdtEndPr>
            <w:sdtContent>
              <w:p>
                <w:pPr>
                  <w:autoSpaceDE w:val="0"/>
                  <w:autoSpaceDN w:val="0"/>
                  <w:adjustRightInd w:val="0"/>
                  <w:jc w:val="center"/>
                  <w:rPr>
                    <w:rFonts w:ascii="宋体" w:hAnsi="宋体"/>
                    <w:b/>
                  </w:rPr>
                </w:pPr>
                <w:r>
                  <w:rPr>
                    <w:rFonts w:hint="eastAsia" w:ascii="宋体" w:hAnsi="宋体"/>
                    <w:b/>
                  </w:rPr>
                  <w:t>2022年度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c03c8258c1684fb989d96332af6834de"/>
            <w:id w:val="1094985358"/>
          </w:sdtPr>
          <w:sdtEndPr>
            <w:rPr>
              <w:rFonts w:ascii="宋体" w:hAnsi="宋体"/>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宋体" w:hAnsi="宋体"/>
                  </w:rPr>
                </w:pPr>
                <w:r>
                  <w:rPr>
                    <w:rFonts w:hint="eastAsia" w:ascii="宋体" w:hAnsi="宋体"/>
                    <w:b/>
                    <w:bCs/>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销售商品、提供劳务收到的现金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205,997,411</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235,972,090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客户存款和同业存放款项净增加额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-8,350,838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-14,922,624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向中央银行借款净增加额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向其他金融机构拆入资金净增加额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收到原保险合同保费取得的现金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收到再保业务现金净额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保户储金及投资款净增加额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收取利息、手续费及佣金的现金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拆入资金净增加额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回购业务资金净增加额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代理买卖证券收到的现金净额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收到的税费返还</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1,943,838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1,855,327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收到其他与经营活动有关的现金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5,262,933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5,014,630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经营活动现金流入小计</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204,853,344</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227,919,423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购买商品、接受劳务支付的现金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114,162,338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107,582,315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客户贷款及垫款净增加额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1,943,936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-2,942,355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存放中央银行和同业款项净增加额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支付原保险合同赔付款项的现金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拆出资金净增加额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支付利息、手续费及佣金的现金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支付保单红利的现金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支付给职工及为职工支付的现金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22,242,447</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19,633,825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支付的各项税费</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31,861,442</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27,150,024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支付其他与经营活动有关的现金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18,475,323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17,575,784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经营活动现金流出小计</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188,685,486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168,999,593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ascii="宋体" w:hAnsi="宋体"/>
                <w:color w:val="000000"/>
              </w:rPr>
            </w:pPr>
            <w:r>
              <w:rPr>
                <w:rFonts w:hint="eastAsia" w:ascii="宋体" w:hAnsi="宋体"/>
              </w:rPr>
              <w:t>经营活动产生的现金流量净额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16,167,858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58,919,830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cb59aa0e2bd944b8ba7271368c6da00a"/>
            <w:id w:val="1640298940"/>
          </w:sdtPr>
          <w:sdtEndPr>
            <w:rPr>
              <w:rFonts w:ascii="宋体" w:hAnsi="宋体"/>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宋体" w:hAnsi="宋体"/>
                    <w:color w:val="008000"/>
                  </w:rPr>
                </w:pPr>
                <w:r>
                  <w:rPr>
                    <w:rFonts w:hint="eastAsia" w:ascii="宋体" w:hAnsi="宋体"/>
                    <w:b/>
                    <w:bCs/>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收回投资收到的现金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4,627,469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4,564,362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取得投资收益收到的现金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1,020,631</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864,217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处置固定资产、无形资产和其他长期资产收回的现金净额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203,742</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352,928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处置子公司及其他营业单位收到的现金净额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收到其他与投资活动有关的现金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1,547,176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4,300,351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投资活动现金流入小计</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7,399,018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10,081,858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购建固定资产、无形资产和其他长期资产支付的现金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18,191,050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20,591,129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投资支付的现金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1,384,868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47,577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质押贷款净增加额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取得子公司及其他营业单位支付的现金净额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七、79</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1,148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5,702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支付其他与投资活动有关的现金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25,200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4,372,810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投资活动现金流出小计</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19,602,266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25,017,218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ascii="宋体" w:hAnsi="宋体"/>
                <w:color w:val="000000"/>
              </w:rPr>
            </w:pPr>
            <w:r>
              <w:rPr>
                <w:rFonts w:hint="eastAsia" w:ascii="宋体" w:hAnsi="宋体"/>
              </w:rPr>
              <w:t>投资活动产生的现金流量净额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-12,203,248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-14,935,360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8e0d926902804b5baefad8990e4523b4"/>
            <w:id w:val="365340759"/>
          </w:sdtPr>
          <w:sdtEndPr>
            <w:rPr>
              <w:rFonts w:ascii="宋体" w:hAnsi="宋体"/>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宋体" w:hAnsi="宋体"/>
                    <w:color w:val="008000"/>
                  </w:rPr>
                </w:pPr>
                <w:r>
                  <w:rPr>
                    <w:rFonts w:hint="eastAsia" w:ascii="宋体" w:hAnsi="宋体"/>
                    <w:b/>
                    <w:bCs/>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吸收投资收到的现金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5,118,809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5,911,716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其中：子公司吸收少数股东投资收到的现金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63,600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14,400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其中：发行其他权益工具收到的现金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4,998,000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4,990,400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取得借款收到的现金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57,085,691</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31,169,446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收到其他与筹资活动有关的现金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4,699,889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8,713,511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筹资活动现金流入小计</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66,904,389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45,794,673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偿还债务支付的现金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47,481,105</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58,556,902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分配股利、利润或偿付利息支付的现金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29,878,599</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22,665,969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其中：子公司支付给少数股东的股利、利润</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4,226,356</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3,887,688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支付其他与筹资活动有关的现金</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七、78</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22,057,953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10,860,452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筹资活动现金流出小计</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99,417,657</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92,083,323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630" w:firstLineChars="300"/>
              <w:rPr>
                <w:rFonts w:ascii="宋体" w:hAnsi="宋体"/>
                <w:color w:val="000000"/>
              </w:rPr>
            </w:pPr>
            <w:r>
              <w:rPr>
                <w:rFonts w:hint="eastAsia" w:ascii="宋体" w:hAnsi="宋体"/>
              </w:rPr>
              <w:t>筹资活动产生的现金流量净额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-32,513,268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-46,288,650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rPr>
                <w:rFonts w:ascii="宋体" w:hAnsi="宋体"/>
                <w:color w:val="000000"/>
              </w:rPr>
            </w:pPr>
            <w:r>
              <w:rPr>
                <w:rFonts w:hint="eastAsia" w:ascii="宋体" w:hAnsi="宋体"/>
                <w:b/>
                <w:bCs/>
              </w:rPr>
              <w:t>四、汇率变动对现金及现金等价物的影响</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503,728</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1,032,582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rPr>
                <w:rFonts w:ascii="宋体" w:hAnsi="宋体"/>
                <w:color w:val="000000"/>
              </w:rPr>
            </w:pPr>
            <w:r>
              <w:rPr>
                <w:rFonts w:hint="eastAsia" w:ascii="宋体" w:hAnsi="宋体"/>
                <w:b/>
                <w:bCs/>
              </w:rPr>
              <w:t>五、现金及现金等价物净增加额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w:t>
            </w:r>
            <w:r>
              <w:rPr>
                <w:rFonts w:ascii="宋体" w:hAnsi="宋体"/>
              </w:rPr>
              <w:t>9</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-28,044,930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-1,271,598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加：期初现金及现金等价物余额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w:t>
            </w:r>
            <w:r>
              <w:rPr>
                <w:rFonts w:ascii="宋体" w:hAnsi="宋体"/>
              </w:rPr>
              <w:t>9</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58,313,130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59,584,728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tcPr>
          <w:p>
            <w:pPr>
              <w:rPr>
                <w:rFonts w:ascii="宋体" w:hAnsi="宋体"/>
                <w:color w:val="000000"/>
              </w:rPr>
            </w:pPr>
            <w:r>
              <w:rPr>
                <w:rFonts w:hint="eastAsia" w:ascii="宋体" w:hAnsi="宋体"/>
                <w:b/>
                <w:bCs/>
              </w:rPr>
              <w:t>六、期末现金及现金等价物余额</w:t>
            </w:r>
          </w:p>
        </w:tc>
        <w:tc>
          <w:tcPr>
            <w:tcW w:w="866"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r>
              <w:rPr>
                <w:rFonts w:hint="eastAsia" w:ascii="宋体" w:hAnsi="宋体"/>
              </w:rPr>
              <w:t>七、7</w:t>
            </w:r>
            <w:r>
              <w:rPr>
                <w:rFonts w:ascii="宋体" w:hAnsi="宋体"/>
              </w:rPr>
              <w:t>9</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30,268,200</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58,313,130</w:t>
            </w:r>
          </w:p>
        </w:tc>
      </w:tr>
    </w:tbl>
    <w:p>
      <w:pPr>
        <w:pStyle w:val="531"/>
      </w:pPr>
    </w:p>
    <w:p>
      <w:pPr>
        <w:snapToGrid w:val="0"/>
        <w:spacing w:line="240" w:lineRule="atLeast"/>
        <w:ind w:right="25" w:rightChars="12"/>
        <w:rPr>
          <w:rFonts w:ascii="宋体" w:hAnsi="宋体"/>
          <w:b/>
          <w:bCs/>
          <w:color w:val="FF0000"/>
        </w:rPr>
      </w:pPr>
      <w:r>
        <w:rPr>
          <w:rFonts w:hint="eastAsia" w:ascii="宋体" w:hAnsi="宋体"/>
        </w:rPr>
        <w:t>公司负责</w:t>
      </w:r>
      <w:r>
        <w:rPr>
          <w:rFonts w:ascii="宋体" w:hAnsi="宋体"/>
        </w:rPr>
        <w:t>人</w:t>
      </w:r>
      <w:r>
        <w:rPr>
          <w:rFonts w:hint="eastAsia" w:ascii="宋体" w:hAnsi="宋体"/>
        </w:rPr>
        <w:t>：</w:t>
      </w:r>
      <w:sdt>
        <w:sdtPr>
          <w:rPr>
            <w:rFonts w:hint="eastAsia" w:ascii="宋体" w:hAnsi="宋体"/>
          </w:rPr>
          <w:alias w:val="公司负责人姓名"/>
          <w:tag w:val="_GBC_d1f7cb193ab444ff8482a06aad12f0db"/>
          <w:id w:val="1753002156"/>
          <w:placeholder>
            <w:docPart w:val="GBC22222222222222222222222222222"/>
          </w:placeholder>
          <w:dataBinding w:prefixMappings="xmlns:clcid-mr='clcid-mr'" w:xpath="/*/clcid-mr:GongSiFuZeRenXingMing[not(@periodRef)]" w:storeItemID="{89EBAB94-44A0-46A2-B712-30D997D04A6D}"/>
          <w:text/>
        </w:sdtPr>
        <w:sdtEndPr>
          <w:rPr>
            <w:rFonts w:hint="eastAsia" w:ascii="宋体" w:hAnsi="宋体"/>
          </w:rPr>
        </w:sdtEndPr>
        <w:sdtContent>
          <w:r>
            <w:rPr>
              <w:rFonts w:hint="eastAsia" w:ascii="宋体" w:hAnsi="宋体"/>
            </w:rPr>
            <w:t>李伟</w:t>
          </w:r>
        </w:sdtContent>
      </w:sdt>
      <w:r>
        <w:rPr>
          <w:rFonts w:hint="eastAsia" w:ascii="宋体" w:hAnsi="宋体"/>
        </w:rPr>
        <w:t xml:space="preserve"> </w:t>
      </w:r>
      <w:r>
        <w:rPr>
          <w:rFonts w:ascii="宋体" w:hAnsi="宋体"/>
        </w:rPr>
        <w:t>主管会计工作负责人</w:t>
      </w:r>
      <w:r>
        <w:rPr>
          <w:rFonts w:hint="eastAsia" w:ascii="宋体" w:hAnsi="宋体"/>
        </w:rPr>
        <w:t>：</w:t>
      </w:r>
      <w:sdt>
        <w:sdtPr>
          <w:rPr>
            <w:rFonts w:hint="eastAsia" w:ascii="宋体" w:hAnsi="宋体"/>
          </w:rPr>
          <w:alias w:val="主管会计工作负责人姓名"/>
          <w:tag w:val="_GBC_45110b4746914613a7aad68cef7b1bed"/>
          <w:id w:val="524286035"/>
          <w:placeholder>
            <w:docPart w:val="GBC22222222222222222222222222222"/>
          </w:placeholder>
          <w:dataBinding w:prefixMappings="xmlns:clcid-mr='clcid-mr'" w:xpath="/*/clcid-mr:ZhuGuanKuaiJiGongZuoFuZeRenXingMing[not(@periodRef)]" w:storeItemID="{89EBAB94-44A0-46A2-B712-30D997D04A6D}"/>
          <w:text/>
        </w:sdtPr>
        <w:sdtEndPr>
          <w:rPr>
            <w:rFonts w:hint="eastAsia" w:ascii="宋体" w:hAnsi="宋体"/>
          </w:rPr>
        </w:sdtEndPr>
        <w:sdtContent>
          <w:r>
            <w:rPr>
              <w:rFonts w:hint="eastAsia" w:ascii="宋体" w:hAnsi="宋体"/>
            </w:rPr>
            <w:t>赵治国</w:t>
          </w:r>
        </w:sdtContent>
      </w:sdt>
      <w:r>
        <w:rPr>
          <w:rFonts w:hint="eastAsia" w:ascii="宋体" w:hAnsi="宋体"/>
        </w:rPr>
        <w:t xml:space="preserve"> </w:t>
      </w:r>
      <w:r>
        <w:rPr>
          <w:rFonts w:ascii="宋体" w:hAnsi="宋体"/>
        </w:rPr>
        <w:t>会计机构负责人</w:t>
      </w:r>
      <w:r>
        <w:rPr>
          <w:rFonts w:hint="eastAsia" w:ascii="宋体" w:hAnsi="宋体"/>
        </w:rPr>
        <w:t>：</w:t>
      </w:r>
      <w:sdt>
        <w:sdtPr>
          <w:rPr>
            <w:rFonts w:hint="eastAsia" w:ascii="宋体" w:hAnsi="宋体"/>
          </w:rPr>
          <w:alias w:val="会计机构负责人姓名"/>
          <w:tag w:val="_GBC_e7d70223996e482d9871cfff87704452"/>
          <w:id w:val="118042472"/>
          <w:placeholder>
            <w:docPart w:val="GBC22222222222222222222222222222"/>
          </w:placeholder>
          <w:dataBinding w:prefixMappings="xmlns:clcid-mr='clcid-mr'" w:xpath="/*/clcid-mr:KuaiJiJiGouFuZeRenXingMing[not(@periodRef)]" w:storeItemID="{89EBAB94-44A0-46A2-B712-30D997D04A6D}"/>
          <w:text/>
        </w:sdtPr>
        <w:sdtEndPr>
          <w:rPr>
            <w:rFonts w:hint="eastAsia" w:ascii="宋体" w:hAnsi="宋体"/>
          </w:rPr>
        </w:sdtEndPr>
        <w:sdtContent>
          <w:r>
            <w:rPr>
              <w:rFonts w:hint="eastAsia" w:ascii="宋体" w:hAnsi="宋体"/>
            </w:rPr>
            <w:t>于强</w:t>
          </w:r>
        </w:sdtContent>
      </w:sdt>
    </w:p>
    <w:p>
      <w:pPr>
        <w:jc w:val="center"/>
        <w:outlineLvl w:val="2"/>
        <w:rPr>
          <w:rFonts w:ascii="宋体" w:hAnsi="宋体"/>
          <w:b/>
          <w:bCs/>
        </w:rPr>
      </w:pPr>
      <w:r>
        <w:rPr>
          <w:rFonts w:hint="eastAsia" w:ascii="宋体" w:hAnsi="宋体"/>
          <w:b/>
          <w:bCs/>
        </w:rPr>
        <w:t>母公司</w:t>
      </w:r>
      <w:r>
        <w:rPr>
          <w:rFonts w:ascii="宋体" w:hAnsi="宋体"/>
          <w:b/>
          <w:bCs/>
        </w:rPr>
        <w:t>现金流量表</w:t>
      </w:r>
    </w:p>
    <w:p>
      <w:pPr>
        <w:jc w:val="center"/>
        <w:rPr>
          <w:rFonts w:ascii="宋体" w:hAnsi="宋体"/>
          <w:b/>
          <w:bCs/>
        </w:rPr>
      </w:pPr>
      <w:r>
        <w:rPr>
          <w:rFonts w:ascii="宋体" w:hAnsi="宋体"/>
        </w:rPr>
        <w:t>2023年</w:t>
      </w:r>
      <w:r>
        <w:rPr>
          <w:rFonts w:hint="eastAsia" w:ascii="宋体" w:hAnsi="宋体"/>
        </w:rPr>
        <w:t>1—12</w:t>
      </w:r>
      <w:r>
        <w:rPr>
          <w:rFonts w:ascii="宋体" w:hAnsi="宋体"/>
        </w:rPr>
        <w:t>月</w:t>
      </w:r>
    </w:p>
    <w:p>
      <w:pPr>
        <w:jc w:val="right"/>
        <w:rPr>
          <w:rFonts w:ascii="宋体" w:hAnsi="宋体"/>
        </w:rPr>
      </w:pPr>
      <w:r>
        <w:rPr>
          <w:rFonts w:ascii="宋体" w:hAnsi="宋体"/>
        </w:rPr>
        <w:t>单位:</w:t>
      </w:r>
      <w:sdt>
        <w:sdtPr>
          <w:rPr>
            <w:rFonts w:ascii="宋体" w:hAnsi="宋体"/>
          </w:rPr>
          <w:alias w:val="单位：母公司现金流量表"/>
          <w:tag w:val="_GBC_993ead81b27a41dfaccaacfaec8b7c78"/>
          <w:id w:val="-499988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rPr>
        </w:sdtEndPr>
        <w:sdtContent>
          <w:r>
            <w:rPr>
              <w:rFonts w:hint="eastAsia" w:ascii="宋体" w:hAnsi="宋体"/>
            </w:rPr>
            <w:t>千元</w:t>
          </w:r>
        </w:sdtContent>
      </w:sdt>
      <w:r>
        <w:rPr>
          <w:rFonts w:ascii="宋体" w:hAnsi="宋体"/>
        </w:rPr>
        <w:t xml:space="preserve">  币种:</w:t>
      </w:r>
      <w:sdt>
        <w:sdtPr>
          <w:rPr>
            <w:rFonts w:ascii="宋体" w:hAnsi="宋体"/>
          </w:rPr>
          <w:alias w:val="币种：母公司现金流量表"/>
          <w:tag w:val="_GBC_2dd4b706d0a244a4b4c21166025356cc"/>
          <w:id w:val="12025096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rPr>
        </w:sdtEndPr>
        <w:sdtContent>
          <w:r>
            <w:rPr>
              <w:rFonts w:ascii="宋体" w:hAnsi="宋体"/>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5"/>
        <w:gridCol w:w="1569"/>
        <w:gridCol w:w="2172"/>
        <w:gridCol w:w="21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sdt>
            <w:sdtPr>
              <w:rPr>
                <w:rFonts w:hint="eastAsia" w:ascii="宋体" w:hAnsi="宋体"/>
                <w:b/>
              </w:rPr>
              <w:tag w:val="_PLD_fa8a4a4fe8df4f0086d4a3f59744ef0c"/>
              <w:id w:val="-1288660893"/>
            </w:sdtPr>
            <w:sdtEndPr>
              <w:rPr>
                <w:rFonts w:hint="eastAsia" w:ascii="宋体" w:hAnsi="宋体"/>
                <w:b/>
              </w:rPr>
            </w:sdtEndPr>
            <w:sdtContent>
              <w:p>
                <w:pPr>
                  <w:jc w:val="center"/>
                  <w:rPr>
                    <w:rFonts w:ascii="宋体" w:hAnsi="宋体"/>
                    <w:b/>
                  </w:rPr>
                </w:pPr>
                <w:r>
                  <w:rPr>
                    <w:rFonts w:hint="eastAsia" w:ascii="宋体" w:hAnsi="宋体"/>
                    <w:b/>
                  </w:rPr>
                  <w:t>项目</w:t>
                </w:r>
              </w:p>
            </w:sdtContent>
          </w:sdt>
        </w:tc>
        <w:tc>
          <w:tcPr>
            <w:tcW w:w="867" w:type="pct"/>
            <w:tcBorders>
              <w:top w:val="outset" w:color="auto" w:sz="4" w:space="0"/>
              <w:left w:val="outset" w:color="auto" w:sz="4" w:space="0"/>
              <w:bottom w:val="outset" w:color="auto" w:sz="4" w:space="0"/>
              <w:right w:val="outset" w:color="auto" w:sz="4" w:space="0"/>
            </w:tcBorders>
          </w:tcPr>
          <w:sdt>
            <w:sdtPr>
              <w:rPr>
                <w:rFonts w:hint="eastAsia" w:ascii="宋体" w:hAnsi="宋体"/>
                <w:b/>
              </w:rPr>
              <w:tag w:val="_PLD_e2b9d4cf46994f4f99a9560554670b54"/>
              <w:id w:val="2095506206"/>
            </w:sdtPr>
            <w:sdtEndPr>
              <w:rPr>
                <w:rFonts w:hint="eastAsia" w:ascii="宋体" w:hAnsi="宋体"/>
                <w:b/>
              </w:rPr>
            </w:sdtEndPr>
            <w:sdtContent>
              <w:p>
                <w:pPr>
                  <w:autoSpaceDE w:val="0"/>
                  <w:autoSpaceDN w:val="0"/>
                  <w:adjustRightInd w:val="0"/>
                  <w:jc w:val="center"/>
                  <w:rPr>
                    <w:rFonts w:ascii="宋体" w:hAnsi="宋体"/>
                    <w:b/>
                  </w:rPr>
                </w:pPr>
                <w:r>
                  <w:rPr>
                    <w:rFonts w:hint="eastAsia" w:ascii="宋体" w:hAnsi="宋体"/>
                    <w:b/>
                  </w:rPr>
                  <w:t>附注</w:t>
                </w:r>
              </w:p>
            </w:sdtContent>
          </w:sdt>
        </w:tc>
        <w:tc>
          <w:tcPr>
            <w:tcW w:w="1200" w:type="pct"/>
            <w:tcBorders>
              <w:top w:val="outset" w:color="auto" w:sz="4" w:space="0"/>
              <w:left w:val="outset" w:color="auto" w:sz="4" w:space="0"/>
              <w:bottom w:val="outset" w:color="auto" w:sz="4" w:space="0"/>
              <w:right w:val="outset" w:color="auto" w:sz="4" w:space="0"/>
            </w:tcBorders>
          </w:tcPr>
          <w:sdt>
            <w:sdtPr>
              <w:rPr>
                <w:rFonts w:hint="eastAsia" w:ascii="宋体" w:hAnsi="宋体"/>
                <w:b/>
              </w:rPr>
              <w:tag w:val="_PLD_a5e1076b6ae14d71abde0e9180405588"/>
              <w:id w:val="1448971850"/>
            </w:sdtPr>
            <w:sdtEndPr>
              <w:rPr>
                <w:rFonts w:hint="eastAsia" w:ascii="宋体" w:hAnsi="宋体"/>
                <w:b/>
              </w:rPr>
            </w:sdtEndPr>
            <w:sdtContent>
              <w:p>
                <w:pPr>
                  <w:autoSpaceDE w:val="0"/>
                  <w:autoSpaceDN w:val="0"/>
                  <w:adjustRightInd w:val="0"/>
                  <w:jc w:val="center"/>
                  <w:rPr>
                    <w:rFonts w:ascii="宋体" w:hAnsi="宋体"/>
                    <w:b/>
                  </w:rPr>
                </w:pPr>
                <w:r>
                  <w:rPr>
                    <w:rFonts w:hint="eastAsia" w:ascii="宋体" w:hAnsi="宋体"/>
                    <w:b/>
                  </w:rPr>
                  <w:t>2023年度</w:t>
                </w:r>
              </w:p>
            </w:sdtContent>
          </w:sdt>
        </w:tc>
        <w:tc>
          <w:tcPr>
            <w:tcW w:w="1195" w:type="pct"/>
            <w:tcBorders>
              <w:top w:val="outset" w:color="auto" w:sz="4" w:space="0"/>
              <w:left w:val="outset" w:color="auto" w:sz="4" w:space="0"/>
              <w:bottom w:val="outset" w:color="auto" w:sz="4" w:space="0"/>
              <w:right w:val="outset" w:color="auto" w:sz="4" w:space="0"/>
            </w:tcBorders>
          </w:tcPr>
          <w:sdt>
            <w:sdtPr>
              <w:rPr>
                <w:rFonts w:hint="eastAsia" w:ascii="宋体" w:hAnsi="宋体"/>
                <w:b/>
              </w:rPr>
              <w:tag w:val="_PLD_9f1994ac47d2487c870c64df42698a51"/>
              <w:id w:val="-69279620"/>
            </w:sdtPr>
            <w:sdtEndPr>
              <w:rPr>
                <w:rFonts w:hint="eastAsia" w:ascii="宋体" w:hAnsi="宋体"/>
                <w:b/>
              </w:rPr>
            </w:sdtEndPr>
            <w:sdtContent>
              <w:p>
                <w:pPr>
                  <w:autoSpaceDE w:val="0"/>
                  <w:autoSpaceDN w:val="0"/>
                  <w:adjustRightInd w:val="0"/>
                  <w:jc w:val="center"/>
                  <w:rPr>
                    <w:rFonts w:ascii="宋体" w:hAnsi="宋体"/>
                    <w:b/>
                  </w:rPr>
                </w:pPr>
                <w:r>
                  <w:rPr>
                    <w:rFonts w:hint="eastAsia" w:ascii="宋体" w:hAnsi="宋体"/>
                    <w:b/>
                  </w:rPr>
                  <w:t>2022年度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d5384e7a1c2841c78793ee2e647fdb97"/>
            <w:id w:val="1639682298"/>
          </w:sdtPr>
          <w:sdtEndPr>
            <w:rPr>
              <w:rFonts w:ascii="宋体" w:hAnsi="宋体"/>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宋体" w:hAnsi="宋体"/>
                  </w:rPr>
                </w:pPr>
                <w:r>
                  <w:rPr>
                    <w:rFonts w:hint="eastAsia" w:ascii="宋体" w:hAnsi="宋体"/>
                    <w:b/>
                    <w:bCs/>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销售商品、提供劳务收到的现金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32,371,998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43,179,069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收到的税费返还</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收到其他与经营活动有关的现金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762,249</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977,060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经营活动现金流入小计</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33,134,247</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44,156,129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购买商品、接受劳务支付的现金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10,704,051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8,370,388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支付给职工及为职工支付的现金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6,938,746</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6,970,604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支付的各项税费</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5,727,111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9,316,529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支付其他与经营活动有关的现金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3,232,101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3,519,664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经营活动现金流出小计</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26,602,009</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28,177,185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经营活动产生的现金流量净额</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6,532,238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15,978,944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ea89a8f6b76943769d484d535b94417c"/>
            <w:id w:val="795645980"/>
          </w:sdtPr>
          <w:sdtEndPr>
            <w:rPr>
              <w:rFonts w:ascii="宋体" w:hAnsi="宋体"/>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宋体" w:hAnsi="宋体"/>
                    <w:color w:val="008000"/>
                  </w:rPr>
                </w:pPr>
                <w:r>
                  <w:rPr>
                    <w:rFonts w:hint="eastAsia" w:ascii="宋体" w:hAnsi="宋体"/>
                    <w:b/>
                    <w:bCs/>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收回投资收到的现金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取得投资收益收到的现金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6,359,415</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5,416,301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处置固定资产、无形资产和其他长期资产收回的现金净额</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36,413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196,392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处置子公司及其他营业单位收到的现金净额</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收到其他与投资活动有关的现金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9,652,372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15,092,564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投资活动现金流入小计</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16,048,200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20,705,257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购建固定资产、无形资产和其他长期资产支付的现金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3,975,043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4,929,657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投资支付的现金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18,682,198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747,310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取得子公司及其他营业单位支付的现金净额</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支付其他与投资活动有关的现金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5,132,680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5,596,670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投资活动现金流出小计</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27,789,921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11,273,637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630" w:firstLineChars="300"/>
              <w:rPr>
                <w:rFonts w:ascii="宋体" w:hAnsi="宋体"/>
                <w:color w:val="000000"/>
              </w:rPr>
            </w:pPr>
            <w:r>
              <w:rPr>
                <w:rFonts w:hint="eastAsia" w:ascii="宋体" w:hAnsi="宋体"/>
              </w:rPr>
              <w:t>投资活动产生的现金流量净额</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-11,741,721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9,431,620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宋体" w:hAnsi="宋体"/>
            </w:rPr>
            <w:tag w:val="_PLD_8b6929c78db14ee1bde1ca4b9a47a65c"/>
            <w:id w:val="-1040580081"/>
          </w:sdtPr>
          <w:sdtEndPr>
            <w:rPr>
              <w:rFonts w:ascii="宋体" w:hAnsi="宋体"/>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宋体" w:hAnsi="宋体"/>
                    <w:color w:val="008000"/>
                  </w:rPr>
                </w:pPr>
                <w:r>
                  <w:rPr>
                    <w:rFonts w:hint="eastAsia" w:ascii="宋体" w:hAnsi="宋体"/>
                    <w:b/>
                    <w:bCs/>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吸收投资收到的现金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5,055,209</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5,797,316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取得借款收到的现金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42,438,850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23,995,000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收到其他与筹资活动有关的现金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5,018,860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21,847,853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筹资活动现金流入小计</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52,512,919</w:t>
            </w:r>
          </w:p>
        </w:tc>
        <w:tc>
          <w:tcPr>
            <w:tcW w:w="1195" w:type="pct"/>
            <w:tcBorders>
              <w:top w:val="outset" w:color="auto" w:sz="4" w:space="0"/>
              <w:left w:val="outset" w:color="auto" w:sz="4" w:space="0"/>
              <w:bottom w:val="outset" w:color="auto" w:sz="4" w:space="0"/>
              <w:right w:val="outset" w:color="auto" w:sz="4" w:space="0"/>
            </w:tcBorders>
            <w:vAlign w:val="center"/>
          </w:tcPr>
          <w:p>
            <w:pPr>
              <w:tabs>
                <w:tab w:val="center" w:pos="989"/>
                <w:tab w:val="right" w:pos="1979"/>
              </w:tabs>
              <w:jc w:val="right"/>
              <w:rPr>
                <w:rFonts w:ascii="宋体" w:hAnsi="宋体"/>
              </w:rPr>
            </w:pPr>
            <w:r>
              <w:rPr>
                <w:rFonts w:ascii="宋体" w:hAnsi="宋体"/>
              </w:rPr>
              <w:t>51,640,169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偿还债务支付的现金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25,612,091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43,925,258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rPr>
            </w:pPr>
            <w:r>
              <w:rPr>
                <w:rFonts w:hint="eastAsia" w:ascii="宋体" w:hAnsi="宋体"/>
              </w:rPr>
              <w:t>分配股利、利润或偿付利息支付的现金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24,131,483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13,539,013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支付其他与筹资活动有关的现金</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6,024,083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20,024,966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宋体" w:hAnsi="宋体"/>
                <w:color w:val="000000"/>
              </w:rPr>
            </w:pPr>
            <w:r>
              <w:rPr>
                <w:rFonts w:hint="eastAsia" w:ascii="宋体" w:hAnsi="宋体"/>
              </w:rPr>
              <w:t>筹资活动现金流出小计</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55,767,657</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77,489,237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630" w:firstLineChars="300"/>
              <w:rPr>
                <w:rFonts w:ascii="宋体" w:hAnsi="宋体"/>
                <w:color w:val="000000"/>
              </w:rPr>
            </w:pPr>
            <w:r>
              <w:rPr>
                <w:rFonts w:hint="eastAsia" w:ascii="宋体" w:hAnsi="宋体"/>
              </w:rPr>
              <w:t>筹资活动产生的现金流量净额</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-3,254,738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-25,849,068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rPr>
                <w:rFonts w:ascii="宋体" w:hAnsi="宋体"/>
                <w:color w:val="000000"/>
              </w:rPr>
            </w:pPr>
            <w:r>
              <w:rPr>
                <w:rFonts w:hint="eastAsia" w:ascii="宋体" w:hAnsi="宋体"/>
                <w:b/>
                <w:bCs/>
              </w:rPr>
              <w:t>四、汇率变动对现金及现金等价物的影响</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108,243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-9,941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rPr>
                <w:rFonts w:ascii="宋体" w:hAnsi="宋体"/>
                <w:color w:val="000000"/>
              </w:rPr>
            </w:pPr>
            <w:r>
              <w:rPr>
                <w:rFonts w:hint="eastAsia" w:ascii="宋体" w:hAnsi="宋体"/>
                <w:b/>
                <w:bCs/>
              </w:rPr>
              <w:t>五、现金及现金等价物净增加额</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-8,355,978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-448,445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宋体" w:hAnsi="宋体"/>
                <w:color w:val="000000"/>
              </w:rPr>
            </w:pPr>
            <w:r>
              <w:rPr>
                <w:rFonts w:hint="eastAsia" w:ascii="宋体" w:hAnsi="宋体"/>
              </w:rPr>
              <w:t>加：期初现金及现金等价物余额</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13,801,365</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14,249,810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p>
            <w:pPr>
              <w:rPr>
                <w:rFonts w:ascii="宋体" w:hAnsi="宋体"/>
                <w:color w:val="000000"/>
              </w:rPr>
            </w:pPr>
            <w:r>
              <w:rPr>
                <w:rFonts w:hint="eastAsia" w:ascii="宋体" w:hAnsi="宋体"/>
                <w:b/>
                <w:bCs/>
              </w:rPr>
              <w:t>六、期末现金及现金等价物余额</w:t>
            </w:r>
          </w:p>
        </w:tc>
        <w:tc>
          <w:tcPr>
            <w:tcW w:w="867" w:type="pct"/>
            <w:tcBorders>
              <w:top w:val="outset" w:color="auto" w:sz="4" w:space="0"/>
              <w:left w:val="outset" w:color="auto" w:sz="4" w:space="0"/>
              <w:bottom w:val="outset" w:color="auto" w:sz="4" w:space="0"/>
              <w:right w:val="outset" w:color="auto" w:sz="4" w:space="0"/>
            </w:tcBorders>
            <w:vAlign w:val="center"/>
          </w:tcPr>
          <w:p>
            <w:pPr>
              <w:jc w:val="center"/>
              <w:rPr>
                <w:rFonts w:ascii="宋体" w:hAnsi="宋体"/>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5,445,387</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宋体" w:hAnsi="宋体"/>
              </w:rPr>
            </w:pPr>
            <w:r>
              <w:rPr>
                <w:rFonts w:ascii="宋体" w:hAnsi="宋体"/>
              </w:rPr>
              <w:t>13,801,365</w:t>
            </w:r>
          </w:p>
        </w:tc>
      </w:tr>
    </w:tbl>
    <w:p>
      <w:pPr>
        <w:pStyle w:val="531"/>
      </w:pPr>
    </w:p>
    <w:p>
      <w:pPr>
        <w:snapToGrid w:val="0"/>
        <w:spacing w:line="240" w:lineRule="atLeast"/>
        <w:ind w:right="-153" w:rightChars="-73"/>
        <w:rPr>
          <w:rFonts w:ascii="宋体" w:hAnsi="宋体"/>
          <w:b/>
          <w:bCs/>
          <w:color w:val="FF0000"/>
        </w:rPr>
      </w:pPr>
      <w:r>
        <w:rPr>
          <w:rFonts w:hint="eastAsia" w:ascii="宋体" w:hAnsi="宋体"/>
        </w:rPr>
        <w:t>公司负责</w:t>
      </w:r>
      <w:r>
        <w:rPr>
          <w:rFonts w:ascii="宋体" w:hAnsi="宋体"/>
        </w:rPr>
        <w:t>人</w:t>
      </w:r>
      <w:r>
        <w:rPr>
          <w:rFonts w:hint="eastAsia" w:ascii="宋体" w:hAnsi="宋体"/>
        </w:rPr>
        <w:t>：</w:t>
      </w:r>
      <w:sdt>
        <w:sdtPr>
          <w:rPr>
            <w:rFonts w:hint="eastAsia" w:ascii="宋体" w:hAnsi="宋体"/>
          </w:rPr>
          <w:alias w:val="公司负责人姓名"/>
          <w:tag w:val="_GBC_b872f4b10a12453987b2d73dfe2a5ff9"/>
          <w:id w:val="838040163"/>
          <w:placeholder>
            <w:docPart w:val="GBC22222222222222222222222222222"/>
          </w:placeholder>
          <w:dataBinding w:prefixMappings="xmlns:clcid-mr='clcid-mr'" w:xpath="/*/clcid-mr:GongSiFuZeRenXingMing[not(@periodRef)]" w:storeItemID="{89EBAB94-44A0-46A2-B712-30D997D04A6D}"/>
          <w:text/>
        </w:sdtPr>
        <w:sdtEndPr>
          <w:rPr>
            <w:rFonts w:hint="eastAsia" w:ascii="宋体" w:hAnsi="宋体"/>
          </w:rPr>
        </w:sdtEndPr>
        <w:sdtContent>
          <w:r>
            <w:rPr>
              <w:rFonts w:hint="eastAsia" w:ascii="宋体" w:hAnsi="宋体"/>
            </w:rPr>
            <w:t>李伟</w:t>
          </w:r>
        </w:sdtContent>
      </w:sdt>
      <w:r>
        <w:rPr>
          <w:rFonts w:hint="eastAsia" w:ascii="宋体" w:hAnsi="宋体"/>
        </w:rPr>
        <w:t xml:space="preserve"> </w:t>
      </w:r>
      <w:r>
        <w:rPr>
          <w:rFonts w:ascii="宋体" w:hAnsi="宋体"/>
        </w:rPr>
        <w:t>主管会计工作负责人</w:t>
      </w:r>
      <w:r>
        <w:rPr>
          <w:rFonts w:hint="eastAsia" w:ascii="宋体" w:hAnsi="宋体"/>
        </w:rPr>
        <w:t>：</w:t>
      </w:r>
      <w:sdt>
        <w:sdtPr>
          <w:rPr>
            <w:rFonts w:hint="eastAsia" w:ascii="宋体" w:hAnsi="宋体"/>
          </w:rPr>
          <w:alias w:val="主管会计工作负责人姓名"/>
          <w:tag w:val="_GBC_29443dd8858043c68f8217b05d1e3346"/>
          <w:id w:val="1983192798"/>
          <w:placeholder>
            <w:docPart w:val="GBC22222222222222222222222222222"/>
          </w:placeholder>
          <w:dataBinding w:prefixMappings="xmlns:clcid-mr='clcid-mr'" w:xpath="/*/clcid-mr:ZhuGuanKuaiJiGongZuoFuZeRenXingMing[not(@periodRef)]" w:storeItemID="{89EBAB94-44A0-46A2-B712-30D997D04A6D}"/>
          <w:text/>
        </w:sdtPr>
        <w:sdtEndPr>
          <w:rPr>
            <w:rFonts w:hint="eastAsia" w:ascii="宋体" w:hAnsi="宋体"/>
          </w:rPr>
        </w:sdtEndPr>
        <w:sdtContent>
          <w:r>
            <w:rPr>
              <w:rFonts w:hint="eastAsia" w:ascii="宋体" w:hAnsi="宋体"/>
            </w:rPr>
            <w:t>赵治国</w:t>
          </w:r>
        </w:sdtContent>
      </w:sdt>
      <w:r>
        <w:rPr>
          <w:rFonts w:hint="eastAsia" w:ascii="宋体" w:hAnsi="宋体"/>
        </w:rPr>
        <w:t xml:space="preserve"> </w:t>
      </w:r>
      <w:r>
        <w:rPr>
          <w:rFonts w:ascii="宋体" w:hAnsi="宋体"/>
        </w:rPr>
        <w:t>会计机构负责人</w:t>
      </w:r>
      <w:r>
        <w:rPr>
          <w:rFonts w:hint="eastAsia" w:ascii="宋体" w:hAnsi="宋体"/>
        </w:rPr>
        <w:t>：</w:t>
      </w:r>
      <w:sdt>
        <w:sdtPr>
          <w:rPr>
            <w:rFonts w:hint="eastAsia" w:ascii="宋体" w:hAnsi="宋体"/>
          </w:rPr>
          <w:alias w:val="会计机构负责人姓名"/>
          <w:tag w:val="_GBC_952065710c0f41709539d877935c1903"/>
          <w:id w:val="1817295645"/>
          <w:placeholder>
            <w:docPart w:val="GBC22222222222222222222222222222"/>
          </w:placeholder>
          <w:dataBinding w:prefixMappings="xmlns:clcid-mr='clcid-mr'" w:xpath="/*/clcid-mr:KuaiJiJiGouFuZeRenXingMing[not(@periodRef)]" w:storeItemID="{89EBAB94-44A0-46A2-B712-30D997D04A6D}"/>
          <w:text/>
        </w:sdtPr>
        <w:sdtEndPr>
          <w:rPr>
            <w:rFonts w:hint="eastAsia" w:ascii="宋体" w:hAnsi="宋体"/>
          </w:rPr>
        </w:sdtEndPr>
        <w:sdtContent>
          <w:r>
            <w:rPr>
              <w:rFonts w:hint="eastAsia" w:ascii="宋体" w:hAnsi="宋体"/>
            </w:rPr>
            <w:t>于强</w:t>
          </w:r>
        </w:sdtContent>
      </w:sdt>
    </w:p>
    <w:p>
      <w:pPr>
        <w:tabs>
          <w:tab w:val="left" w:pos="10080"/>
        </w:tabs>
        <w:snapToGrid w:val="0"/>
        <w:spacing w:line="240" w:lineRule="atLeast"/>
        <w:ind w:right="25" w:rightChars="12"/>
        <w:jc w:val="center"/>
        <w:outlineLvl w:val="2"/>
        <w:rPr>
          <w:b/>
        </w:rPr>
        <w:sectPr>
          <w:pgSz w:w="11906" w:h="16838"/>
          <w:pgMar w:top="1440" w:right="1797" w:bottom="1525" w:left="1276" w:header="856" w:footer="992" w:gutter="0"/>
          <w:cols w:space="425" w:num="1"/>
          <w:docGrid w:type="lines" w:linePitch="312" w:charSpace="0"/>
        </w:sectPr>
      </w:pPr>
    </w:p>
    <w:p>
      <w:pPr>
        <w:tabs>
          <w:tab w:val="left" w:pos="10080"/>
        </w:tabs>
        <w:snapToGrid w:val="0"/>
        <w:spacing w:line="240" w:lineRule="atLeast"/>
        <w:ind w:right="25" w:rightChars="12"/>
        <w:jc w:val="center"/>
        <w:rPr>
          <w:rFonts w:ascii="宋体" w:hAnsi="宋体"/>
          <w:b/>
        </w:rPr>
      </w:pPr>
    </w:p>
    <w:sdt>
      <w:sdtPr>
        <w:rPr>
          <w:rFonts w:ascii="宋体" w:hAnsi="宋体"/>
          <w:b/>
        </w:rPr>
        <w:tag w:val="_GBC_3eeab460b9b64d53b91f5e0ddcd3030f"/>
        <w:id w:val="-2044359259"/>
      </w:sdtPr>
      <w:sdtEndPr>
        <w:rPr>
          <w:rFonts w:hint="eastAsia" w:ascii="Calibri" w:hAnsi="Calibri"/>
          <w:b w:val="0"/>
        </w:rPr>
      </w:sdtEndPr>
      <w:sdtContent>
        <w:p>
          <w:pPr>
            <w:tabs>
              <w:tab w:val="left" w:pos="10080"/>
            </w:tabs>
            <w:snapToGrid w:val="0"/>
            <w:spacing w:line="240" w:lineRule="atLeast"/>
            <w:ind w:right="25" w:rightChars="12"/>
            <w:jc w:val="center"/>
            <w:outlineLvl w:val="2"/>
            <w:rPr>
              <w:rFonts w:ascii="宋体" w:hAnsi="宋体"/>
              <w:b/>
            </w:rPr>
          </w:pPr>
          <w:bookmarkStart w:id="197" w:name="_Hlk161944253"/>
          <w:r>
            <w:rPr>
              <w:rFonts w:ascii="宋体" w:hAnsi="宋体"/>
              <w:b/>
            </w:rPr>
            <w:t>合并</w:t>
          </w:r>
          <w:r>
            <w:rPr>
              <w:rFonts w:hint="eastAsia" w:ascii="宋体" w:hAnsi="宋体"/>
              <w:b/>
            </w:rPr>
            <w:t>所有者权益变动表</w:t>
          </w:r>
        </w:p>
        <w:p>
          <w:pPr>
            <w:tabs>
              <w:tab w:val="left" w:pos="10080"/>
            </w:tabs>
            <w:snapToGrid w:val="0"/>
            <w:spacing w:line="240" w:lineRule="atLeast"/>
            <w:ind w:right="25" w:rightChars="12"/>
            <w:jc w:val="center"/>
            <w:rPr>
              <w:rFonts w:ascii="宋体" w:hAnsi="宋体"/>
            </w:rPr>
          </w:pPr>
          <w:r>
            <w:rPr>
              <w:rFonts w:ascii="宋体" w:hAnsi="宋体"/>
            </w:rPr>
            <w:t>2023年</w:t>
          </w:r>
          <w:r>
            <w:rPr>
              <w:rFonts w:hint="eastAsia" w:ascii="宋体" w:hAnsi="宋体"/>
            </w:rPr>
            <w:t>1—12月</w:t>
          </w:r>
        </w:p>
        <w:p>
          <w:pPr>
            <w:tabs>
              <w:tab w:val="left" w:pos="10080"/>
            </w:tabs>
            <w:snapToGrid w:val="0"/>
            <w:spacing w:line="240" w:lineRule="atLeast"/>
            <w:jc w:val="right"/>
          </w:pPr>
          <w:r>
            <w:t>单位:</w:t>
          </w:r>
          <w:sdt>
            <w:sdtPr>
              <w:alias w:val="单位：合并股东权益调节表"/>
              <w:tag w:val="_GBC_57faea4e453e49ad93821b7dd6ce8bc4"/>
              <w:id w:val="-1632082186"/>
              <w:comboBox>
                <w:listItem w:displayText="元" w:value="1"/>
                <w:listItem w:displayText="千元" w:value="1000"/>
                <w:listItem w:displayText="万元" w:value="10000"/>
                <w:listItem w:displayText="百万元" w:value="1000000"/>
                <w:listItem w:displayText="亿元" w:value="100000000"/>
              </w:comboBox>
            </w:sdtPr>
            <w:sdtContent>
              <w:r>
                <w:t>千元</w:t>
              </w:r>
            </w:sdtContent>
          </w:sdt>
          <w:r>
            <w:t xml:space="preserve">  币种:</w:t>
          </w:r>
          <w:sdt>
            <w:sdtPr>
              <w:alias w:val="币种：合并股东权益调节表"/>
              <w:tag w:val="_GBC_cef77704267643d794145c73763360e5"/>
              <w:id w:val="104494925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9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766"/>
            <w:gridCol w:w="766"/>
            <w:gridCol w:w="778"/>
            <w:gridCol w:w="496"/>
            <w:gridCol w:w="865"/>
            <w:gridCol w:w="721"/>
            <w:gridCol w:w="862"/>
            <w:gridCol w:w="902"/>
            <w:gridCol w:w="769"/>
            <w:gridCol w:w="769"/>
            <w:gridCol w:w="874"/>
            <w:gridCol w:w="721"/>
            <w:gridCol w:w="874"/>
            <w:gridCol w:w="9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9" w:type="pct"/>
                <w:vMerge w:val="restart"/>
                <w:vAlign w:val="center"/>
              </w:tcPr>
              <w:sdt>
                <w:sdtPr>
                  <w:rPr>
                    <w:rFonts w:hint="eastAsia"/>
                    <w:sz w:val="18"/>
                    <w:szCs w:val="18"/>
                  </w:rPr>
                  <w:tag w:val="_PLD_245a9e71ca1b403fad3a821efeb272de"/>
                  <w:id w:val="-375547716"/>
                </w:sdtPr>
                <w:sdtEndPr>
                  <w:rPr>
                    <w:rFonts w:hint="eastAsia"/>
                    <w:sz w:val="18"/>
                    <w:szCs w:val="18"/>
                  </w:rPr>
                </w:sdtEndPr>
                <w:sdtContent>
                  <w:p>
                    <w:pPr>
                      <w:snapToGrid w:val="0"/>
                      <w:spacing w:line="240" w:lineRule="atLeast"/>
                      <w:jc w:val="center"/>
                      <w:rPr>
                        <w:sz w:val="18"/>
                        <w:szCs w:val="18"/>
                      </w:rPr>
                    </w:pPr>
                    <w:r>
                      <w:rPr>
                        <w:rFonts w:hint="eastAsia"/>
                        <w:sz w:val="18"/>
                        <w:szCs w:val="18"/>
                      </w:rPr>
                      <w:t>项目</w:t>
                    </w:r>
                  </w:p>
                </w:sdtContent>
              </w:sdt>
            </w:tc>
            <w:tc>
              <w:tcPr>
                <w:tcW w:w="4361" w:type="pct"/>
                <w:gridSpan w:val="15"/>
                <w:vAlign w:val="center"/>
              </w:tcPr>
              <w:p>
                <w:pPr>
                  <w:snapToGrid w:val="0"/>
                  <w:spacing w:line="240" w:lineRule="atLeast"/>
                  <w:ind w:right="-1594" w:rightChars="-759"/>
                  <w:jc w:val="center"/>
                </w:pPr>
                <w:r>
                  <w:rPr>
                    <w:rFonts w:hint="eastAsia"/>
                  </w:rPr>
                  <w:t xml:space="preserve"> </w:t>
                </w:r>
                <w:sdt>
                  <w:sdtPr>
                    <w:rPr>
                      <w:rFonts w:hint="eastAsia"/>
                    </w:rPr>
                    <w:tag w:val="_PLD_74b2c30f72fb403387c8b0e2a353f994"/>
                    <w:id w:val="-1279632889"/>
                  </w:sdtPr>
                  <w:sdtEndPr>
                    <w:rPr>
                      <w:rFonts w:hint="eastAsia"/>
                    </w:rPr>
                  </w:sdtEndPr>
                  <w:sdtContent>
                    <w:r>
                      <w:rPr>
                        <w:rFonts w:hint="eastAsia"/>
                        <w:sz w:val="18"/>
                      </w:rPr>
                      <w:t>2023年度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639" w:type="pct"/>
                <w:vMerge w:val="continue"/>
              </w:tcPr>
              <w:p>
                <w:pPr>
                  <w:snapToGrid w:val="0"/>
                  <w:spacing w:line="240" w:lineRule="atLeast"/>
                  <w:ind w:right="-1594" w:rightChars="-759"/>
                  <w:rPr>
                    <w:sz w:val="18"/>
                    <w:szCs w:val="18"/>
                  </w:rPr>
                </w:pPr>
              </w:p>
            </w:tc>
            <w:sdt>
              <w:sdtPr>
                <w:tag w:val="_PLD_48b1c4daa55343f0a820ecc94c441958"/>
                <w:id w:val="524908288"/>
              </w:sdtPr>
              <w:sdtContent>
                <w:tc>
                  <w:tcPr>
                    <w:tcW w:w="3607" w:type="pct"/>
                    <w:gridSpan w:val="13"/>
                    <w:vAlign w:val="center"/>
                  </w:tcPr>
                  <w:p>
                    <w:pPr>
                      <w:jc w:val="center"/>
                    </w:pPr>
                    <w:r>
                      <w:rPr>
                        <w:sz w:val="18"/>
                        <w:szCs w:val="18"/>
                      </w:rPr>
                      <w:t>归属于母公司所有者权益</w:t>
                    </w:r>
                  </w:p>
                </w:tc>
              </w:sdtContent>
            </w:sdt>
            <w:sdt>
              <w:sdtPr>
                <w:tag w:val="_PLD_de4010a56d78401ebd4bb48e62167082"/>
                <w:id w:val="-1651664990"/>
              </w:sdtPr>
              <w:sdtContent>
                <w:tc>
                  <w:tcPr>
                    <w:tcW w:w="340" w:type="pct"/>
                    <w:vMerge w:val="restart"/>
                    <w:vAlign w:val="center"/>
                  </w:tcPr>
                  <w:p>
                    <w:pPr>
                      <w:jc w:val="center"/>
                      <w:rPr>
                        <w:sz w:val="18"/>
                        <w:szCs w:val="18"/>
                      </w:rPr>
                    </w:pPr>
                    <w:r>
                      <w:rPr>
                        <w:sz w:val="18"/>
                        <w:szCs w:val="18"/>
                      </w:rPr>
                      <w:t>少数股东权益</w:t>
                    </w:r>
                  </w:p>
                </w:tc>
              </w:sdtContent>
            </w:sdt>
            <w:sdt>
              <w:sdtPr>
                <w:tag w:val="_PLD_ff9bc6143ed9429e80e1ed144f5ff16d"/>
                <w:id w:val="1885292885"/>
              </w:sdtPr>
              <w:sdtContent>
                <w:tc>
                  <w:tcPr>
                    <w:tcW w:w="414" w:type="pct"/>
                    <w:vMerge w:val="restart"/>
                    <w:vAlign w:val="center"/>
                  </w:tcPr>
                  <w:p>
                    <w:pPr>
                      <w:jc w:val="center"/>
                      <w:rPr>
                        <w:sz w:val="18"/>
                        <w:szCs w:val="18"/>
                      </w:rPr>
                    </w:pPr>
                    <w:r>
                      <w:rPr>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639" w:type="pct"/>
                <w:vMerge w:val="continue"/>
              </w:tcPr>
              <w:p>
                <w:pPr>
                  <w:snapToGrid w:val="0"/>
                  <w:spacing w:line="240" w:lineRule="atLeast"/>
                  <w:ind w:right="-1594" w:rightChars="-759"/>
                  <w:rPr>
                    <w:sz w:val="18"/>
                    <w:szCs w:val="18"/>
                  </w:rPr>
                </w:pPr>
              </w:p>
            </w:tc>
            <w:sdt>
              <w:sdtPr>
                <w:tag w:val="_PLD_2a43f0f223d141f0855f6cbb9e60b12f"/>
                <w:id w:val="-1775617307"/>
              </w:sdtPr>
              <w:sdtContent>
                <w:tc>
                  <w:tcPr>
                    <w:tcW w:w="272" w:type="pct"/>
                    <w:vMerge w:val="restart"/>
                    <w:vAlign w:val="center"/>
                  </w:tcPr>
                  <w:p>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1220285767"/>
              </w:sdtPr>
              <w:sdtContent>
                <w:tc>
                  <w:tcPr>
                    <w:tcW w:w="724"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887691117"/>
              </w:sdtPr>
              <w:sdtContent>
                <w:tc>
                  <w:tcPr>
                    <w:tcW w:w="307"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224378931"/>
              </w:sdtPr>
              <w:sdtContent>
                <w:tc>
                  <w:tcPr>
                    <w:tcW w:w="256"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572038418"/>
              </w:sdtPr>
              <w:sdtContent>
                <w:tc>
                  <w:tcPr>
                    <w:tcW w:w="306"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376924223"/>
              </w:sdtPr>
              <w:sdtContent>
                <w:tc>
                  <w:tcPr>
                    <w:tcW w:w="320"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739244957"/>
              </w:sdtPr>
              <w:sdtContent>
                <w:tc>
                  <w:tcPr>
                    <w:tcW w:w="273"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899424106"/>
              </w:sdtPr>
              <w:sdtContent>
                <w:tc>
                  <w:tcPr>
                    <w:tcW w:w="273"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902524045"/>
              </w:sdtPr>
              <w:sdtContent>
                <w:tc>
                  <w:tcPr>
                    <w:tcW w:w="310"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256" w:type="pct"/>
                <w:vMerge w:val="restart"/>
                <w:vAlign w:val="center"/>
              </w:tcPr>
              <w:sdt>
                <w:sdtPr>
                  <w:rPr>
                    <w:rFonts w:hint="eastAsia"/>
                    <w:sz w:val="18"/>
                    <w:szCs w:val="18"/>
                  </w:rPr>
                  <w:tag w:val="_PLD_b504a77359e042b99ce9a2513e44008d"/>
                  <w:id w:val="283698816"/>
                </w:sdtPr>
                <w:sdtEndPr>
                  <w:rPr>
                    <w:rFonts w:hint="eastAsia"/>
                    <w:sz w:val="18"/>
                    <w:szCs w:val="18"/>
                  </w:rPr>
                </w:sdtEndPr>
                <w:sdtContent>
                  <w:p>
                    <w:pPr>
                      <w:jc w:val="center"/>
                      <w:rPr>
                        <w:sz w:val="18"/>
                        <w:szCs w:val="18"/>
                      </w:rPr>
                    </w:pPr>
                    <w:r>
                      <w:rPr>
                        <w:rFonts w:hint="eastAsia"/>
                        <w:sz w:val="18"/>
                        <w:szCs w:val="18"/>
                      </w:rPr>
                      <w:t>其他</w:t>
                    </w:r>
                  </w:p>
                </w:sdtContent>
              </w:sdt>
            </w:tc>
            <w:tc>
              <w:tcPr>
                <w:tcW w:w="310" w:type="pct"/>
                <w:vMerge w:val="restart"/>
                <w:vAlign w:val="center"/>
              </w:tcPr>
              <w:sdt>
                <w:sdtPr>
                  <w:rPr>
                    <w:rFonts w:hint="eastAsia"/>
                    <w:sz w:val="18"/>
                    <w:szCs w:val="18"/>
                  </w:rPr>
                  <w:tag w:val="_PLD_30b039ff7c714652865f3029df27082b"/>
                  <w:id w:val="585970769"/>
                </w:sdtPr>
                <w:sdtEndPr>
                  <w:rPr>
                    <w:rFonts w:hint="eastAsia"/>
                    <w:sz w:val="18"/>
                    <w:szCs w:val="18"/>
                  </w:rPr>
                </w:sdtEndPr>
                <w:sdtContent>
                  <w:p>
                    <w:pPr>
                      <w:jc w:val="center"/>
                      <w:rPr>
                        <w:sz w:val="18"/>
                        <w:szCs w:val="18"/>
                      </w:rPr>
                    </w:pPr>
                    <w:r>
                      <w:rPr>
                        <w:rFonts w:hint="eastAsia"/>
                        <w:sz w:val="18"/>
                        <w:szCs w:val="18"/>
                      </w:rPr>
                      <w:t>小计</w:t>
                    </w:r>
                  </w:p>
                </w:sdtContent>
              </w:sdt>
            </w:tc>
            <w:tc>
              <w:tcPr>
                <w:tcW w:w="340" w:type="pct"/>
                <w:vMerge w:val="continue"/>
              </w:tcPr>
              <w:p>
                <w:pPr>
                  <w:jc w:val="center"/>
                  <w:rPr>
                    <w:sz w:val="18"/>
                    <w:szCs w:val="18"/>
                  </w:rPr>
                </w:pPr>
              </w:p>
            </w:tc>
            <w:tc>
              <w:tcPr>
                <w:tcW w:w="414" w:type="pct"/>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639" w:type="pct"/>
                <w:vMerge w:val="continue"/>
              </w:tcPr>
              <w:p>
                <w:pPr>
                  <w:snapToGrid w:val="0"/>
                  <w:spacing w:line="240" w:lineRule="atLeast"/>
                  <w:ind w:right="-1594" w:rightChars="-759"/>
                  <w:rPr>
                    <w:sz w:val="18"/>
                    <w:szCs w:val="18"/>
                  </w:rPr>
                </w:pPr>
              </w:p>
            </w:tc>
            <w:tc>
              <w:tcPr>
                <w:tcW w:w="272" w:type="pct"/>
                <w:vMerge w:val="continue"/>
              </w:tcPr>
              <w:p>
                <w:pPr>
                  <w:snapToGrid w:val="0"/>
                  <w:spacing w:line="240" w:lineRule="atLeast"/>
                  <w:jc w:val="center"/>
                  <w:rPr>
                    <w:sz w:val="18"/>
                    <w:szCs w:val="18"/>
                  </w:rPr>
                </w:pPr>
              </w:p>
            </w:tc>
            <w:sdt>
              <w:sdtPr>
                <w:tag w:val="_PLD_b607c17c743149d295a2a79708dbacd2"/>
                <w:id w:val="1188482988"/>
              </w:sdtPr>
              <w:sdtContent>
                <w:tc>
                  <w:tcPr>
                    <w:tcW w:w="272" w:type="pct"/>
                    <w:vAlign w:val="center"/>
                  </w:tcPr>
                  <w:p>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613563066"/>
              </w:sdtPr>
              <w:sdtContent>
                <w:tc>
                  <w:tcPr>
                    <w:tcW w:w="276" w:type="pct"/>
                    <w:vAlign w:val="center"/>
                  </w:tcPr>
                  <w:p>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890021746"/>
              </w:sdtPr>
              <w:sdtContent>
                <w:tc>
                  <w:tcPr>
                    <w:tcW w:w="176" w:type="pct"/>
                    <w:vAlign w:val="center"/>
                  </w:tcPr>
                  <w:p>
                    <w:pPr>
                      <w:snapToGrid w:val="0"/>
                      <w:spacing w:line="240" w:lineRule="atLeast"/>
                      <w:jc w:val="center"/>
                      <w:rPr>
                        <w:sz w:val="18"/>
                        <w:szCs w:val="18"/>
                      </w:rPr>
                    </w:pPr>
                    <w:r>
                      <w:rPr>
                        <w:rFonts w:hint="eastAsia"/>
                        <w:sz w:val="18"/>
                        <w:szCs w:val="18"/>
                      </w:rPr>
                      <w:t>其他</w:t>
                    </w:r>
                  </w:p>
                </w:tc>
              </w:sdtContent>
            </w:sdt>
            <w:tc>
              <w:tcPr>
                <w:tcW w:w="307" w:type="pct"/>
                <w:vMerge w:val="continue"/>
              </w:tcPr>
              <w:p>
                <w:pPr>
                  <w:snapToGrid w:val="0"/>
                  <w:spacing w:line="240" w:lineRule="atLeast"/>
                  <w:jc w:val="center"/>
                  <w:rPr>
                    <w:sz w:val="18"/>
                    <w:szCs w:val="18"/>
                  </w:rPr>
                </w:pPr>
              </w:p>
            </w:tc>
            <w:tc>
              <w:tcPr>
                <w:tcW w:w="256" w:type="pct"/>
                <w:vMerge w:val="continue"/>
              </w:tcPr>
              <w:p>
                <w:pPr>
                  <w:snapToGrid w:val="0"/>
                  <w:spacing w:line="240" w:lineRule="atLeast"/>
                  <w:jc w:val="center"/>
                  <w:rPr>
                    <w:sz w:val="18"/>
                    <w:szCs w:val="18"/>
                  </w:rPr>
                </w:pPr>
              </w:p>
            </w:tc>
            <w:tc>
              <w:tcPr>
                <w:tcW w:w="306" w:type="pct"/>
                <w:vMerge w:val="continue"/>
              </w:tcPr>
              <w:p>
                <w:pPr>
                  <w:snapToGrid w:val="0"/>
                  <w:spacing w:line="240" w:lineRule="atLeast"/>
                  <w:jc w:val="center"/>
                  <w:rPr>
                    <w:sz w:val="18"/>
                    <w:szCs w:val="18"/>
                  </w:rPr>
                </w:pPr>
              </w:p>
            </w:tc>
            <w:tc>
              <w:tcPr>
                <w:tcW w:w="320" w:type="pct"/>
                <w:vMerge w:val="continue"/>
              </w:tcPr>
              <w:p>
                <w:pPr>
                  <w:snapToGrid w:val="0"/>
                  <w:spacing w:line="240" w:lineRule="atLeast"/>
                  <w:jc w:val="center"/>
                  <w:rPr>
                    <w:sz w:val="18"/>
                    <w:szCs w:val="18"/>
                  </w:rPr>
                </w:pPr>
              </w:p>
            </w:tc>
            <w:tc>
              <w:tcPr>
                <w:tcW w:w="273" w:type="pct"/>
                <w:vMerge w:val="continue"/>
              </w:tcPr>
              <w:p>
                <w:pPr>
                  <w:snapToGrid w:val="0"/>
                  <w:spacing w:line="240" w:lineRule="atLeast"/>
                  <w:jc w:val="center"/>
                  <w:rPr>
                    <w:sz w:val="18"/>
                    <w:szCs w:val="18"/>
                  </w:rPr>
                </w:pPr>
              </w:p>
            </w:tc>
            <w:tc>
              <w:tcPr>
                <w:tcW w:w="273" w:type="pct"/>
                <w:vMerge w:val="continue"/>
              </w:tcPr>
              <w:p>
                <w:pPr>
                  <w:snapToGrid w:val="0"/>
                  <w:spacing w:line="240" w:lineRule="atLeast"/>
                  <w:jc w:val="center"/>
                  <w:rPr>
                    <w:sz w:val="18"/>
                    <w:szCs w:val="18"/>
                  </w:rPr>
                </w:pPr>
              </w:p>
            </w:tc>
            <w:tc>
              <w:tcPr>
                <w:tcW w:w="310" w:type="pct"/>
                <w:vMerge w:val="continue"/>
              </w:tcPr>
              <w:p>
                <w:pPr>
                  <w:snapToGrid w:val="0"/>
                  <w:spacing w:line="240" w:lineRule="atLeast"/>
                  <w:jc w:val="center"/>
                  <w:rPr>
                    <w:sz w:val="18"/>
                    <w:szCs w:val="18"/>
                  </w:rPr>
                </w:pPr>
              </w:p>
            </w:tc>
            <w:tc>
              <w:tcPr>
                <w:tcW w:w="256" w:type="pct"/>
                <w:vMerge w:val="continue"/>
              </w:tcPr>
              <w:p>
                <w:pPr>
                  <w:jc w:val="center"/>
                  <w:rPr>
                    <w:sz w:val="18"/>
                    <w:szCs w:val="18"/>
                  </w:rPr>
                </w:pPr>
              </w:p>
            </w:tc>
            <w:tc>
              <w:tcPr>
                <w:tcW w:w="310" w:type="pct"/>
                <w:vMerge w:val="continue"/>
              </w:tcPr>
              <w:p>
                <w:pPr>
                  <w:jc w:val="center"/>
                  <w:rPr>
                    <w:sz w:val="18"/>
                    <w:szCs w:val="18"/>
                  </w:rPr>
                </w:pPr>
              </w:p>
            </w:tc>
            <w:tc>
              <w:tcPr>
                <w:tcW w:w="340" w:type="pct"/>
                <w:vMerge w:val="continue"/>
              </w:tcPr>
              <w:p>
                <w:pPr>
                  <w:jc w:val="center"/>
                  <w:rPr>
                    <w:sz w:val="18"/>
                    <w:szCs w:val="18"/>
                  </w:rPr>
                </w:pPr>
              </w:p>
            </w:tc>
            <w:tc>
              <w:tcPr>
                <w:tcW w:w="414" w:type="pct"/>
                <w:vMerge w:val="continue"/>
                <w:tcBorders>
                  <w:bottom w:val="nil"/>
                </w:tcBorders>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fdfc5e6b5c34cfdb08e5d5e3943966e"/>
                <w:id w:val="925078914"/>
              </w:sdtPr>
              <w:sdtContent>
                <w:tc>
                  <w:tcPr>
                    <w:tcW w:w="639" w:type="pct"/>
                    <w:vAlign w:val="center"/>
                  </w:tcPr>
                  <w:p>
                    <w:pPr>
                      <w:rPr>
                        <w:sz w:val="18"/>
                        <w:szCs w:val="18"/>
                      </w:rPr>
                    </w:pPr>
                    <w:r>
                      <w:rPr>
                        <w:sz w:val="18"/>
                        <w:szCs w:val="18"/>
                      </w:rPr>
                      <w:t>一、上年</w:t>
                    </w:r>
                    <w:r>
                      <w:rPr>
                        <w:rFonts w:hint="eastAsia"/>
                        <w:sz w:val="18"/>
                        <w:szCs w:val="18"/>
                      </w:rPr>
                      <w:t>年</w:t>
                    </w:r>
                    <w:r>
                      <w:rPr>
                        <w:sz w:val="18"/>
                        <w:szCs w:val="18"/>
                      </w:rPr>
                      <w:t>末余额</w:t>
                    </w:r>
                  </w:p>
                </w:tc>
              </w:sdtContent>
            </w:sdt>
            <w:tc>
              <w:tcPr>
                <w:tcW w:w="272" w:type="pct"/>
                <w:vAlign w:val="center"/>
              </w:tcPr>
              <w:p>
                <w:pPr>
                  <w:jc w:val="right"/>
                  <w:rPr>
                    <w:sz w:val="18"/>
                    <w:szCs w:val="18"/>
                  </w:rPr>
                </w:pPr>
                <w:r>
                  <w:rPr>
                    <w:rFonts w:ascii="宋体" w:hAnsi="宋体"/>
                    <w:spacing w:val="-50"/>
                  </w:rPr>
                  <w:t>4,948,704</w:t>
                </w:r>
              </w:p>
            </w:tc>
            <w:tc>
              <w:tcPr>
                <w:tcW w:w="272"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13,248,614</w:t>
                </w: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1,713,353</w:t>
                </w:r>
              </w:p>
            </w:tc>
            <w:tc>
              <w:tcPr>
                <w:tcW w:w="256" w:type="pct"/>
                <w:vAlign w:val="center"/>
              </w:tcPr>
              <w:p>
                <w:pPr>
                  <w:jc w:val="right"/>
                  <w:rPr>
                    <w:sz w:val="18"/>
                    <w:szCs w:val="18"/>
                  </w:rPr>
                </w:pPr>
                <w:r>
                  <w:rPr>
                    <w:rFonts w:ascii="宋体" w:hAnsi="宋体"/>
                    <w:spacing w:val="-50"/>
                  </w:rPr>
                  <w:t>723,593</w:t>
                </w:r>
              </w:p>
            </w:tc>
            <w:tc>
              <w:tcPr>
                <w:tcW w:w="306" w:type="pct"/>
                <w:vAlign w:val="center"/>
              </w:tcPr>
              <w:p>
                <w:pPr>
                  <w:jc w:val="right"/>
                  <w:rPr>
                    <w:sz w:val="18"/>
                    <w:szCs w:val="18"/>
                  </w:rPr>
                </w:pPr>
                <w:r>
                  <w:rPr>
                    <w:rFonts w:ascii="宋体" w:hAnsi="宋体"/>
                    <w:spacing w:val="-50"/>
                  </w:rPr>
                  <w:t>-7,151,945</w:t>
                </w:r>
              </w:p>
            </w:tc>
            <w:tc>
              <w:tcPr>
                <w:tcW w:w="320" w:type="pct"/>
                <w:vAlign w:val="center"/>
              </w:tcPr>
              <w:p>
                <w:pPr>
                  <w:jc w:val="right"/>
                  <w:rPr>
                    <w:sz w:val="18"/>
                    <w:szCs w:val="18"/>
                  </w:rPr>
                </w:pPr>
                <w:r>
                  <w:rPr>
                    <w:rFonts w:ascii="宋体" w:hAnsi="宋体"/>
                    <w:spacing w:val="-50"/>
                  </w:rPr>
                  <w:t>4,522,237</w:t>
                </w:r>
              </w:p>
            </w:tc>
            <w:tc>
              <w:tcPr>
                <w:tcW w:w="273" w:type="pct"/>
                <w:vAlign w:val="center"/>
              </w:tcPr>
              <w:p>
                <w:pPr>
                  <w:jc w:val="right"/>
                  <w:rPr>
                    <w:sz w:val="18"/>
                    <w:szCs w:val="18"/>
                  </w:rPr>
                </w:pPr>
                <w:r>
                  <w:rPr>
                    <w:rFonts w:ascii="宋体" w:hAnsi="宋体"/>
                    <w:spacing w:val="-50"/>
                  </w:rPr>
                  <w:t>912,700</w:t>
                </w: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77,265,236</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94,735,306</w:t>
                </w:r>
              </w:p>
            </w:tc>
            <w:tc>
              <w:tcPr>
                <w:tcW w:w="340" w:type="pct"/>
                <w:vAlign w:val="center"/>
              </w:tcPr>
              <w:p>
                <w:pPr>
                  <w:jc w:val="right"/>
                  <w:rPr>
                    <w:sz w:val="18"/>
                    <w:szCs w:val="18"/>
                  </w:rPr>
                </w:pPr>
                <w:r>
                  <w:rPr>
                    <w:rFonts w:ascii="宋体" w:hAnsi="宋体"/>
                    <w:spacing w:val="-50"/>
                  </w:rPr>
                  <w:t>33,349,965</w:t>
                </w:r>
              </w:p>
            </w:tc>
            <w:tc>
              <w:tcPr>
                <w:tcW w:w="414" w:type="pct"/>
                <w:vAlign w:val="center"/>
              </w:tcPr>
              <w:p>
                <w:pPr>
                  <w:jc w:val="right"/>
                  <w:rPr>
                    <w:sz w:val="18"/>
                    <w:szCs w:val="18"/>
                  </w:rPr>
                </w:pPr>
                <w:r>
                  <w:rPr>
                    <w:rFonts w:ascii="宋体" w:hAnsi="宋体"/>
                    <w:spacing w:val="-50"/>
                  </w:rPr>
                  <w:t>128,085,271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0f04cf20717467298c2824a1c7b2f71"/>
                <w:id w:val="-43917716"/>
              </w:sdtPr>
              <w:sdtContent>
                <w:tc>
                  <w:tcPr>
                    <w:tcW w:w="639" w:type="pct"/>
                    <w:vAlign w:val="center"/>
                  </w:tcPr>
                  <w:p>
                    <w:pPr>
                      <w:rPr>
                        <w:sz w:val="18"/>
                        <w:szCs w:val="18"/>
                      </w:rPr>
                    </w:pPr>
                    <w:r>
                      <w:rPr>
                        <w:rFonts w:hint="eastAsia"/>
                        <w:sz w:val="18"/>
                        <w:szCs w:val="18"/>
                      </w:rPr>
                      <w:t>加：</w:t>
                    </w:r>
                    <w:r>
                      <w:rPr>
                        <w:sz w:val="18"/>
                        <w:szCs w:val="18"/>
                      </w:rPr>
                      <w:t>会计政策变更</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-79</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-79</w:t>
                </w:r>
              </w:p>
            </w:tc>
            <w:tc>
              <w:tcPr>
                <w:tcW w:w="340" w:type="pct"/>
                <w:vAlign w:val="center"/>
              </w:tcPr>
              <w:p>
                <w:pPr>
                  <w:jc w:val="right"/>
                  <w:rPr>
                    <w:sz w:val="18"/>
                    <w:szCs w:val="18"/>
                  </w:rPr>
                </w:pPr>
                <w:r>
                  <w:rPr>
                    <w:rFonts w:ascii="宋体" w:hAnsi="宋体"/>
                    <w:spacing w:val="-50"/>
                  </w:rPr>
                  <w:t>-436</w:t>
                </w:r>
              </w:p>
            </w:tc>
            <w:tc>
              <w:tcPr>
                <w:tcW w:w="414" w:type="pct"/>
                <w:vAlign w:val="center"/>
              </w:tcPr>
              <w:p>
                <w:pPr>
                  <w:jc w:val="right"/>
                  <w:rPr>
                    <w:sz w:val="18"/>
                    <w:szCs w:val="18"/>
                  </w:rPr>
                </w:pPr>
                <w:r>
                  <w:rPr>
                    <w:rFonts w:ascii="宋体" w:hAnsi="宋体"/>
                    <w:spacing w:val="-50"/>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24580d38484f718fafd008f24a7505"/>
                <w:id w:val="896866692"/>
              </w:sdtPr>
              <w:sdtContent>
                <w:tc>
                  <w:tcPr>
                    <w:tcW w:w="639" w:type="pct"/>
                    <w:vAlign w:val="center"/>
                  </w:tcPr>
                  <w:p>
                    <w:pPr>
                      <w:ind w:firstLine="420" w:firstLineChars="200"/>
                      <w:rPr>
                        <w:sz w:val="18"/>
                        <w:szCs w:val="18"/>
                      </w:rPr>
                    </w:pPr>
                    <w:r>
                      <w:rPr>
                        <w:sz w:val="18"/>
                        <w:szCs w:val="18"/>
                      </w:rPr>
                      <w:t>前期差错更正</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p>
            </w:tc>
            <w:tc>
              <w:tcPr>
                <w:tcW w:w="256" w:type="pct"/>
                <w:vAlign w:val="center"/>
              </w:tcPr>
              <w:p>
                <w:pPr>
                  <w:jc w:val="right"/>
                  <w:rPr>
                    <w:sz w:val="18"/>
                    <w:szCs w:val="18"/>
                  </w:rPr>
                </w:pPr>
              </w:p>
            </w:tc>
            <w:tc>
              <w:tcPr>
                <w:tcW w:w="310" w:type="pct"/>
                <w:vAlign w:val="center"/>
              </w:tcPr>
              <w:p>
                <w:pPr>
                  <w:jc w:val="right"/>
                  <w:rPr>
                    <w:sz w:val="18"/>
                    <w:szCs w:val="18"/>
                  </w:rPr>
                </w:pPr>
              </w:p>
            </w:tc>
            <w:tc>
              <w:tcPr>
                <w:tcW w:w="340" w:type="pct"/>
                <w:vAlign w:val="center"/>
              </w:tcPr>
              <w:p>
                <w:pPr>
                  <w:jc w:val="right"/>
                  <w:rPr>
                    <w:sz w:val="18"/>
                    <w:szCs w:val="18"/>
                  </w:rPr>
                </w:pPr>
              </w:p>
            </w:tc>
            <w:tc>
              <w:tcPr>
                <w:tcW w:w="414" w:type="pct"/>
                <w:vAlign w:val="center"/>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22e3287ddd140fb9d031a4dab8a8b13"/>
                <w:id w:val="739988439"/>
              </w:sdtPr>
              <w:sdtContent>
                <w:tc>
                  <w:tcPr>
                    <w:tcW w:w="639" w:type="pct"/>
                    <w:vAlign w:val="center"/>
                  </w:tcPr>
                  <w:p>
                    <w:pPr>
                      <w:ind w:firstLine="420" w:firstLineChars="200"/>
                      <w:rPr>
                        <w:sz w:val="18"/>
                        <w:szCs w:val="18"/>
                      </w:rPr>
                    </w:pPr>
                    <w:r>
                      <w:rPr>
                        <w:rFonts w:hint="eastAsia"/>
                        <w:sz w:val="18"/>
                        <w:szCs w:val="18"/>
                      </w:rPr>
                      <w:t>同一控制下企业合并</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4,865,971</w:t>
                </w:r>
              </w:p>
            </w:tc>
            <w:tc>
              <w:tcPr>
                <w:tcW w:w="256" w:type="pct"/>
                <w:vAlign w:val="center"/>
              </w:tcPr>
              <w:p>
                <w:pPr>
                  <w:jc w:val="right"/>
                  <w:rPr>
                    <w:sz w:val="18"/>
                    <w:szCs w:val="18"/>
                  </w:rPr>
                </w:pPr>
              </w:p>
            </w:tc>
            <w:tc>
              <w:tcPr>
                <w:tcW w:w="306" w:type="pct"/>
                <w:vAlign w:val="center"/>
              </w:tcPr>
              <w:p>
                <w:pPr>
                  <w:jc w:val="right"/>
                  <w:rPr>
                    <w:sz w:val="18"/>
                    <w:szCs w:val="18"/>
                  </w:rPr>
                </w:pPr>
                <w:r>
                  <w:rPr>
                    <w:rFonts w:ascii="宋体" w:hAnsi="宋体"/>
                    <w:spacing w:val="-50"/>
                  </w:rPr>
                  <w:t>-3,648</w:t>
                </w:r>
              </w:p>
            </w:tc>
            <w:tc>
              <w:tcPr>
                <w:tcW w:w="320" w:type="pct"/>
                <w:vAlign w:val="center"/>
              </w:tcPr>
              <w:p>
                <w:pPr>
                  <w:jc w:val="right"/>
                  <w:rPr>
                    <w:sz w:val="18"/>
                    <w:szCs w:val="18"/>
                  </w:rPr>
                </w:pPr>
                <w:r>
                  <w:rPr>
                    <w:rFonts w:ascii="宋体" w:hAnsi="宋体"/>
                    <w:spacing w:val="-50"/>
                  </w:rPr>
                  <w:t>280,396</w:t>
                </w: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-27,308</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5,115,411</w:t>
                </w:r>
              </w:p>
            </w:tc>
            <w:tc>
              <w:tcPr>
                <w:tcW w:w="340" w:type="pct"/>
                <w:vAlign w:val="center"/>
              </w:tcPr>
              <w:p>
                <w:pPr>
                  <w:jc w:val="right"/>
                  <w:rPr>
                    <w:sz w:val="18"/>
                    <w:szCs w:val="18"/>
                  </w:rPr>
                </w:pPr>
                <w:r>
                  <w:rPr>
                    <w:rFonts w:ascii="宋体" w:hAnsi="宋体"/>
                    <w:spacing w:val="-50"/>
                  </w:rPr>
                  <w:t>10,710,586</w:t>
                </w:r>
              </w:p>
            </w:tc>
            <w:tc>
              <w:tcPr>
                <w:tcW w:w="414" w:type="pct"/>
                <w:vAlign w:val="center"/>
              </w:tcPr>
              <w:p>
                <w:pPr>
                  <w:jc w:val="right"/>
                  <w:rPr>
                    <w:sz w:val="18"/>
                    <w:szCs w:val="18"/>
                  </w:rPr>
                </w:pPr>
                <w:r>
                  <w:rPr>
                    <w:rFonts w:ascii="宋体" w:hAnsi="宋体"/>
                    <w:spacing w:val="-50"/>
                  </w:rPr>
                  <w:t>15,825,997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pPr>
                  <w:ind w:firstLine="360" w:firstLineChars="200"/>
                </w:pPr>
                <w:r>
                  <w:rPr>
                    <w:rFonts w:hint="eastAsia"/>
                    <w:sz w:val="18"/>
                    <w:szCs w:val="18"/>
                  </w:rPr>
                  <w:t>其他</w:t>
                </w:r>
              </w:p>
            </w:tc>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rFonts w:ascii="宋体" w:hAnsi="宋体"/>
                    <w:spacing w:val="-50"/>
                  </w:rPr>
                </w:pPr>
              </w:p>
            </w:tc>
            <w:tc>
              <w:tcPr>
                <w:tcW w:w="256" w:type="pct"/>
                <w:vAlign w:val="center"/>
              </w:tcPr>
              <w:p>
                <w:pPr>
                  <w:jc w:val="right"/>
                  <w:rPr>
                    <w:sz w:val="18"/>
                    <w:szCs w:val="18"/>
                  </w:rPr>
                </w:pPr>
              </w:p>
            </w:tc>
            <w:tc>
              <w:tcPr>
                <w:tcW w:w="306" w:type="pct"/>
                <w:vAlign w:val="center"/>
              </w:tcPr>
              <w:p>
                <w:pPr>
                  <w:jc w:val="right"/>
                  <w:rPr>
                    <w:rFonts w:ascii="宋体" w:hAnsi="宋体"/>
                    <w:spacing w:val="-50"/>
                  </w:rPr>
                </w:pPr>
              </w:p>
            </w:tc>
            <w:tc>
              <w:tcPr>
                <w:tcW w:w="320" w:type="pct"/>
                <w:vAlign w:val="center"/>
              </w:tcPr>
              <w:p>
                <w:pPr>
                  <w:jc w:val="right"/>
                  <w:rPr>
                    <w:rFonts w:ascii="宋体" w:hAnsi="宋体"/>
                    <w:spacing w:val="-50"/>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rFonts w:ascii="宋体" w:hAnsi="宋体"/>
                    <w:spacing w:val="-50"/>
                  </w:rPr>
                </w:pPr>
              </w:p>
            </w:tc>
            <w:tc>
              <w:tcPr>
                <w:tcW w:w="256" w:type="pct"/>
                <w:vAlign w:val="center"/>
              </w:tcPr>
              <w:p>
                <w:pPr>
                  <w:jc w:val="right"/>
                  <w:rPr>
                    <w:sz w:val="18"/>
                    <w:szCs w:val="18"/>
                  </w:rPr>
                </w:pPr>
              </w:p>
            </w:tc>
            <w:tc>
              <w:tcPr>
                <w:tcW w:w="310" w:type="pct"/>
                <w:vAlign w:val="center"/>
              </w:tcPr>
              <w:p>
                <w:pPr>
                  <w:jc w:val="right"/>
                  <w:rPr>
                    <w:rFonts w:ascii="宋体" w:hAnsi="宋体"/>
                    <w:spacing w:val="-50"/>
                  </w:rPr>
                </w:pPr>
              </w:p>
            </w:tc>
            <w:tc>
              <w:tcPr>
                <w:tcW w:w="340" w:type="pct"/>
                <w:vAlign w:val="center"/>
              </w:tcPr>
              <w:p>
                <w:pPr>
                  <w:jc w:val="right"/>
                  <w:rPr>
                    <w:rFonts w:ascii="宋体" w:hAnsi="宋体"/>
                    <w:spacing w:val="-50"/>
                  </w:rPr>
                </w:pPr>
              </w:p>
            </w:tc>
            <w:tc>
              <w:tcPr>
                <w:tcW w:w="414" w:type="pct"/>
                <w:vAlign w:val="center"/>
              </w:tcPr>
              <w:p>
                <w:pPr>
                  <w:jc w:val="right"/>
                  <w:rPr>
                    <w:rFonts w:ascii="宋体" w:hAnsi="宋体"/>
                    <w:spacing w:val="-5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4db836e110543eab1bb1c6fb46bd857"/>
                <w:id w:val="-1353341658"/>
              </w:sdtPr>
              <w:sdtContent>
                <w:tc>
                  <w:tcPr>
                    <w:tcW w:w="639" w:type="pct"/>
                    <w:vAlign w:val="center"/>
                  </w:tcPr>
                  <w:p>
                    <w:pPr>
                      <w:rPr>
                        <w:sz w:val="18"/>
                        <w:szCs w:val="18"/>
                      </w:rPr>
                    </w:pPr>
                    <w:r>
                      <w:rPr>
                        <w:sz w:val="18"/>
                        <w:szCs w:val="18"/>
                      </w:rPr>
                      <w:t>二、本年</w:t>
                    </w:r>
                    <w:r>
                      <w:rPr>
                        <w:rFonts w:hint="eastAsia"/>
                        <w:sz w:val="18"/>
                        <w:szCs w:val="18"/>
                      </w:rPr>
                      <w:t>期</w:t>
                    </w:r>
                    <w:r>
                      <w:rPr>
                        <w:sz w:val="18"/>
                        <w:szCs w:val="18"/>
                      </w:rPr>
                      <w:t>初余额</w:t>
                    </w:r>
                  </w:p>
                </w:tc>
              </w:sdtContent>
            </w:sdt>
            <w:tc>
              <w:tcPr>
                <w:tcW w:w="272" w:type="pct"/>
                <w:vAlign w:val="center"/>
              </w:tcPr>
              <w:p>
                <w:pPr>
                  <w:jc w:val="right"/>
                  <w:rPr>
                    <w:sz w:val="18"/>
                    <w:szCs w:val="18"/>
                  </w:rPr>
                </w:pPr>
                <w:r>
                  <w:rPr>
                    <w:rFonts w:ascii="宋体" w:hAnsi="宋体"/>
                    <w:spacing w:val="-50"/>
                  </w:rPr>
                  <w:t>4,948,704</w:t>
                </w:r>
              </w:p>
            </w:tc>
            <w:tc>
              <w:tcPr>
                <w:tcW w:w="272"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13,248,614</w:t>
                </w: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6,579,324</w:t>
                </w:r>
              </w:p>
            </w:tc>
            <w:tc>
              <w:tcPr>
                <w:tcW w:w="256" w:type="pct"/>
                <w:vAlign w:val="center"/>
              </w:tcPr>
              <w:p>
                <w:pPr>
                  <w:jc w:val="right"/>
                  <w:rPr>
                    <w:sz w:val="18"/>
                    <w:szCs w:val="18"/>
                  </w:rPr>
                </w:pPr>
                <w:r>
                  <w:rPr>
                    <w:rFonts w:ascii="宋体" w:hAnsi="宋体"/>
                    <w:spacing w:val="-50"/>
                  </w:rPr>
                  <w:t>723,593</w:t>
                </w:r>
              </w:p>
            </w:tc>
            <w:tc>
              <w:tcPr>
                <w:tcW w:w="306" w:type="pct"/>
                <w:vAlign w:val="center"/>
              </w:tcPr>
              <w:p>
                <w:pPr>
                  <w:jc w:val="right"/>
                  <w:rPr>
                    <w:sz w:val="18"/>
                    <w:szCs w:val="18"/>
                  </w:rPr>
                </w:pPr>
                <w:r>
                  <w:rPr>
                    <w:rFonts w:ascii="宋体" w:hAnsi="宋体"/>
                    <w:spacing w:val="-50"/>
                  </w:rPr>
                  <w:t>-7,155,593</w:t>
                </w:r>
              </w:p>
            </w:tc>
            <w:tc>
              <w:tcPr>
                <w:tcW w:w="320" w:type="pct"/>
                <w:vAlign w:val="center"/>
              </w:tcPr>
              <w:p>
                <w:pPr>
                  <w:jc w:val="right"/>
                  <w:rPr>
                    <w:sz w:val="18"/>
                    <w:szCs w:val="18"/>
                  </w:rPr>
                </w:pPr>
                <w:r>
                  <w:rPr>
                    <w:rFonts w:ascii="宋体" w:hAnsi="宋体"/>
                    <w:spacing w:val="-50"/>
                  </w:rPr>
                  <w:t>4,802,633</w:t>
                </w:r>
              </w:p>
            </w:tc>
            <w:tc>
              <w:tcPr>
                <w:tcW w:w="273" w:type="pct"/>
                <w:vAlign w:val="center"/>
              </w:tcPr>
              <w:p>
                <w:pPr>
                  <w:jc w:val="right"/>
                  <w:rPr>
                    <w:sz w:val="18"/>
                    <w:szCs w:val="18"/>
                  </w:rPr>
                </w:pPr>
                <w:r>
                  <w:rPr>
                    <w:rFonts w:ascii="宋体" w:hAnsi="宋体"/>
                    <w:spacing w:val="-50"/>
                  </w:rPr>
                  <w:t>912,700</w:t>
                </w: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77,237,849</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99,850,638</w:t>
                </w:r>
              </w:p>
            </w:tc>
            <w:tc>
              <w:tcPr>
                <w:tcW w:w="340" w:type="pct"/>
                <w:vAlign w:val="center"/>
              </w:tcPr>
              <w:p>
                <w:pPr>
                  <w:jc w:val="right"/>
                  <w:rPr>
                    <w:sz w:val="18"/>
                    <w:szCs w:val="18"/>
                  </w:rPr>
                </w:pPr>
                <w:r>
                  <w:rPr>
                    <w:rFonts w:ascii="宋体" w:hAnsi="宋体"/>
                    <w:spacing w:val="-50"/>
                  </w:rPr>
                  <w:t>44,060,115</w:t>
                </w:r>
              </w:p>
            </w:tc>
            <w:tc>
              <w:tcPr>
                <w:tcW w:w="414" w:type="pct"/>
                <w:vAlign w:val="center"/>
              </w:tcPr>
              <w:p>
                <w:pPr>
                  <w:jc w:val="right"/>
                  <w:rPr>
                    <w:sz w:val="18"/>
                    <w:szCs w:val="18"/>
                  </w:rPr>
                </w:pPr>
                <w:r>
                  <w:rPr>
                    <w:rFonts w:ascii="宋体" w:hAnsi="宋体"/>
                    <w:spacing w:val="-50"/>
                  </w:rPr>
                  <w:t>143,910,753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ca4768a663c4afc8e9fee3a8dc71bc6"/>
                <w:id w:val="62839921"/>
              </w:sdtPr>
              <w:sdtContent>
                <w:tc>
                  <w:tcPr>
                    <w:tcW w:w="639" w:type="pct"/>
                    <w:vAlign w:val="center"/>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272" w:type="pct"/>
                <w:vAlign w:val="center"/>
              </w:tcPr>
              <w:p>
                <w:pPr>
                  <w:jc w:val="right"/>
                  <w:rPr>
                    <w:sz w:val="18"/>
                    <w:szCs w:val="18"/>
                  </w:rPr>
                </w:pPr>
                <w:r>
                  <w:rPr>
                    <w:rFonts w:ascii="宋体" w:hAnsi="宋体"/>
                    <w:spacing w:val="-50"/>
                  </w:rPr>
                  <w:t>2,490,667</w:t>
                </w:r>
              </w:p>
            </w:tc>
            <w:tc>
              <w:tcPr>
                <w:tcW w:w="272"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3,293,163</w:t>
                </w: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-6,658,428</w:t>
                </w:r>
              </w:p>
            </w:tc>
            <w:tc>
              <w:tcPr>
                <w:tcW w:w="256" w:type="pct"/>
                <w:vAlign w:val="center"/>
              </w:tcPr>
              <w:p>
                <w:pPr>
                  <w:jc w:val="right"/>
                  <w:rPr>
                    <w:sz w:val="18"/>
                    <w:szCs w:val="18"/>
                  </w:rPr>
                </w:pPr>
                <w:r>
                  <w:rPr>
                    <w:rFonts w:ascii="宋体" w:hAnsi="宋体"/>
                    <w:spacing w:val="-50"/>
                  </w:rPr>
                  <w:t>-398,613</w:t>
                </w:r>
              </w:p>
            </w:tc>
            <w:tc>
              <w:tcPr>
                <w:tcW w:w="306" w:type="pct"/>
                <w:vAlign w:val="center"/>
              </w:tcPr>
              <w:p>
                <w:pPr>
                  <w:jc w:val="right"/>
                  <w:rPr>
                    <w:sz w:val="18"/>
                    <w:szCs w:val="18"/>
                  </w:rPr>
                </w:pPr>
                <w:r>
                  <w:rPr>
                    <w:rFonts w:ascii="宋体" w:hAnsi="宋体"/>
                    <w:spacing w:val="-50"/>
                  </w:rPr>
                  <w:t>820,877</w:t>
                </w:r>
              </w:p>
            </w:tc>
            <w:tc>
              <w:tcPr>
                <w:tcW w:w="320" w:type="pct"/>
                <w:vAlign w:val="center"/>
              </w:tcPr>
              <w:p>
                <w:pPr>
                  <w:jc w:val="right"/>
                  <w:rPr>
                    <w:sz w:val="18"/>
                    <w:szCs w:val="18"/>
                  </w:rPr>
                </w:pPr>
                <w:r>
                  <w:rPr>
                    <w:rFonts w:ascii="宋体" w:hAnsi="宋体"/>
                    <w:spacing w:val="-50"/>
                  </w:rPr>
                  <w:t>-1,216,127</w:t>
                </w:r>
              </w:p>
            </w:tc>
            <w:tc>
              <w:tcPr>
                <w:tcW w:w="273" w:type="pct"/>
                <w:vAlign w:val="center"/>
              </w:tcPr>
              <w:p>
                <w:pPr>
                  <w:jc w:val="right"/>
                  <w:rPr>
                    <w:sz w:val="18"/>
                    <w:szCs w:val="18"/>
                  </w:rPr>
                </w:pPr>
                <w:r>
                  <w:rPr>
                    <w:rFonts w:ascii="宋体" w:hAnsi="宋体"/>
                    <w:spacing w:val="-50"/>
                  </w:rPr>
                  <w:t>751,114</w:t>
                </w: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-27,036,615</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-27,156,736</w:t>
                </w:r>
              </w:p>
            </w:tc>
            <w:tc>
              <w:tcPr>
                <w:tcW w:w="340" w:type="pct"/>
                <w:vAlign w:val="center"/>
              </w:tcPr>
              <w:p>
                <w:pPr>
                  <w:jc w:val="right"/>
                  <w:rPr>
                    <w:sz w:val="18"/>
                    <w:szCs w:val="18"/>
                  </w:rPr>
                </w:pPr>
                <w:r>
                  <w:rPr>
                    <w:rFonts w:ascii="宋体" w:hAnsi="宋体"/>
                    <w:spacing w:val="-50"/>
                  </w:rPr>
                  <w:t>1,579,667</w:t>
                </w:r>
              </w:p>
            </w:tc>
            <w:tc>
              <w:tcPr>
                <w:tcW w:w="414" w:type="pct"/>
                <w:vAlign w:val="center"/>
              </w:tcPr>
              <w:p>
                <w:pPr>
                  <w:jc w:val="right"/>
                  <w:rPr>
                    <w:sz w:val="18"/>
                    <w:szCs w:val="18"/>
                  </w:rPr>
                </w:pPr>
                <w:r>
                  <w:rPr>
                    <w:rFonts w:ascii="宋体" w:hAnsi="宋体"/>
                    <w:spacing w:val="-50"/>
                  </w:rPr>
                  <w:t>-25,577,069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5a20255a0a245fd951d5eb42c559389"/>
                <w:id w:val="1064533106"/>
              </w:sdtPr>
              <w:sdtContent>
                <w:tc>
                  <w:tcPr>
                    <w:tcW w:w="639" w:type="pct"/>
                    <w:vAlign w:val="center"/>
                  </w:tcPr>
                  <w:p>
                    <w:pPr>
                      <w:rPr>
                        <w:sz w:val="18"/>
                        <w:szCs w:val="18"/>
                      </w:rPr>
                    </w:pPr>
                    <w:r>
                      <w:rPr>
                        <w:rFonts w:hint="eastAsia"/>
                        <w:sz w:val="18"/>
                        <w:szCs w:val="18"/>
                      </w:rPr>
                      <w:t>（一）综合收益总额</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444,743</w:t>
                </w: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r>
                  <w:rPr>
                    <w:rFonts w:ascii="宋体" w:hAnsi="宋体"/>
                    <w:spacing w:val="-50"/>
                  </w:rPr>
                  <w:t>820,877</w:t>
                </w: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20,139,502</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21,405,122</w:t>
                </w:r>
              </w:p>
            </w:tc>
            <w:tc>
              <w:tcPr>
                <w:tcW w:w="340" w:type="pct"/>
                <w:vAlign w:val="center"/>
              </w:tcPr>
              <w:p>
                <w:pPr>
                  <w:jc w:val="right"/>
                  <w:rPr>
                    <w:sz w:val="18"/>
                    <w:szCs w:val="18"/>
                  </w:rPr>
                </w:pPr>
                <w:r>
                  <w:rPr>
                    <w:rFonts w:ascii="宋体" w:hAnsi="宋体"/>
                    <w:spacing w:val="-50"/>
                  </w:rPr>
                  <w:t>6,888,977</w:t>
                </w:r>
              </w:p>
            </w:tc>
            <w:tc>
              <w:tcPr>
                <w:tcW w:w="414" w:type="pct"/>
                <w:vAlign w:val="center"/>
              </w:tcPr>
              <w:p>
                <w:pPr>
                  <w:jc w:val="right"/>
                  <w:rPr>
                    <w:sz w:val="18"/>
                    <w:szCs w:val="18"/>
                  </w:rPr>
                </w:pPr>
                <w:r>
                  <w:rPr>
                    <w:rFonts w:ascii="宋体" w:hAnsi="宋体"/>
                    <w:spacing w:val="-50"/>
                  </w:rPr>
                  <w:t>28,294,099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abd5a3f22a849b08cf8df11a07115b5"/>
                <w:id w:val="2034222653"/>
              </w:sdtPr>
              <w:sdtContent>
                <w:tc>
                  <w:tcPr>
                    <w:tcW w:w="639" w:type="pct"/>
                    <w:vAlign w:val="center"/>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272" w:type="pct"/>
                <w:vAlign w:val="center"/>
              </w:tcPr>
              <w:p>
                <w:pPr>
                  <w:jc w:val="right"/>
                  <w:rPr>
                    <w:sz w:val="18"/>
                    <w:szCs w:val="18"/>
                  </w:rPr>
                </w:pPr>
                <w:r>
                  <w:rPr>
                    <w:rFonts w:ascii="宋体" w:hAnsi="宋体"/>
                    <w:spacing w:val="-50"/>
                  </w:rPr>
                  <w:t>9,987</w:t>
                </w:r>
              </w:p>
            </w:tc>
            <w:tc>
              <w:tcPr>
                <w:tcW w:w="272"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3,301,400</w:t>
                </w: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-5,234,376</w:t>
                </w:r>
              </w:p>
            </w:tc>
            <w:tc>
              <w:tcPr>
                <w:tcW w:w="256" w:type="pct"/>
                <w:vAlign w:val="center"/>
              </w:tcPr>
              <w:p>
                <w:pPr>
                  <w:jc w:val="right"/>
                  <w:rPr>
                    <w:sz w:val="18"/>
                    <w:szCs w:val="18"/>
                  </w:rPr>
                </w:pPr>
                <w:r>
                  <w:rPr>
                    <w:rFonts w:ascii="宋体" w:hAnsi="宋体"/>
                    <w:spacing w:val="-50"/>
                  </w:rPr>
                  <w:t>-398,613</w:t>
                </w: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r>
                  <w:rPr>
                    <w:rFonts w:ascii="宋体" w:hAnsi="宋体"/>
                    <w:spacing w:val="-50"/>
                  </w:rPr>
                  <w:t>-912,700</w:t>
                </w: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-21,085,553</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-23,522,629</w:t>
                </w:r>
              </w:p>
            </w:tc>
            <w:tc>
              <w:tcPr>
                <w:tcW w:w="340" w:type="pct"/>
                <w:vAlign w:val="center"/>
              </w:tcPr>
              <w:p>
                <w:pPr>
                  <w:jc w:val="right"/>
                  <w:rPr>
                    <w:sz w:val="18"/>
                    <w:szCs w:val="18"/>
                  </w:rPr>
                </w:pPr>
                <w:r>
                  <w:rPr>
                    <w:rFonts w:ascii="宋体" w:hAnsi="宋体"/>
                    <w:spacing w:val="-50"/>
                  </w:rPr>
                  <w:t>-214,063</w:t>
                </w:r>
              </w:p>
            </w:tc>
            <w:tc>
              <w:tcPr>
                <w:tcW w:w="414" w:type="pct"/>
                <w:vAlign w:val="center"/>
              </w:tcPr>
              <w:p>
                <w:pPr>
                  <w:jc w:val="right"/>
                  <w:rPr>
                    <w:sz w:val="18"/>
                    <w:szCs w:val="18"/>
                  </w:rPr>
                </w:pPr>
                <w:r>
                  <w:rPr>
                    <w:rFonts w:ascii="宋体" w:hAnsi="宋体"/>
                    <w:spacing w:val="-50"/>
                  </w:rPr>
                  <w:t>-23,736,692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d4d24462cb048579eb01f9b1c8956b1"/>
                <w:id w:val="-2049527942"/>
              </w:sdtPr>
              <w:sdtContent>
                <w:tc>
                  <w:tcPr>
                    <w:tcW w:w="639" w:type="pct"/>
                    <w:vAlign w:val="center"/>
                  </w:tcPr>
                  <w:p>
                    <w:pPr>
                      <w:rPr>
                        <w:sz w:val="18"/>
                        <w:szCs w:val="18"/>
                      </w:rPr>
                    </w:pPr>
                    <w:r>
                      <w:rPr>
                        <w:rFonts w:hint="eastAsia"/>
                        <w:sz w:val="18"/>
                        <w:szCs w:val="18"/>
                      </w:rPr>
                      <w:t>1．所有者投入的普通股</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p>
            </w:tc>
            <w:tc>
              <w:tcPr>
                <w:tcW w:w="256" w:type="pct"/>
                <w:vAlign w:val="center"/>
              </w:tcPr>
              <w:p>
                <w:pPr>
                  <w:jc w:val="right"/>
                  <w:rPr>
                    <w:sz w:val="18"/>
                    <w:szCs w:val="18"/>
                  </w:rPr>
                </w:pPr>
              </w:p>
            </w:tc>
            <w:tc>
              <w:tcPr>
                <w:tcW w:w="310" w:type="pct"/>
                <w:vAlign w:val="center"/>
              </w:tcPr>
              <w:p>
                <w:pPr>
                  <w:jc w:val="right"/>
                  <w:rPr>
                    <w:sz w:val="18"/>
                    <w:szCs w:val="18"/>
                  </w:rPr>
                </w:pPr>
              </w:p>
            </w:tc>
            <w:tc>
              <w:tcPr>
                <w:tcW w:w="340" w:type="pct"/>
                <w:vAlign w:val="center"/>
              </w:tcPr>
              <w:p>
                <w:pPr>
                  <w:jc w:val="right"/>
                  <w:rPr>
                    <w:sz w:val="18"/>
                    <w:szCs w:val="18"/>
                  </w:rPr>
                </w:pPr>
                <w:r>
                  <w:rPr>
                    <w:rFonts w:ascii="宋体" w:hAnsi="宋体"/>
                    <w:spacing w:val="-50"/>
                  </w:rPr>
                  <w:t>63,600</w:t>
                </w:r>
              </w:p>
            </w:tc>
            <w:tc>
              <w:tcPr>
                <w:tcW w:w="414" w:type="pct"/>
                <w:vAlign w:val="center"/>
              </w:tcPr>
              <w:p>
                <w:pPr>
                  <w:jc w:val="right"/>
                  <w:rPr>
                    <w:sz w:val="18"/>
                    <w:szCs w:val="18"/>
                  </w:rPr>
                </w:pPr>
                <w:r>
                  <w:rPr>
                    <w:rFonts w:ascii="宋体" w:hAnsi="宋体"/>
                    <w:spacing w:val="-50"/>
                  </w:rPr>
                  <w:t>63,600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b1df3030d9b41699f4a3e651f6c74e7"/>
                <w:id w:val="995847048"/>
              </w:sdtPr>
              <w:sdtContent>
                <w:tc>
                  <w:tcPr>
                    <w:tcW w:w="639" w:type="pct"/>
                    <w:vAlign w:val="center"/>
                  </w:tcPr>
                  <w:p>
                    <w:pPr>
                      <w:rPr>
                        <w:sz w:val="18"/>
                        <w:szCs w:val="18"/>
                      </w:rPr>
                    </w:pPr>
                    <w:r>
                      <w:rPr>
                        <w:rFonts w:hint="eastAsia"/>
                        <w:sz w:val="18"/>
                        <w:szCs w:val="18"/>
                      </w:rPr>
                      <w:t>2．其他权益工具持有者投入资本</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3,301,400</w:t>
                </w: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-3,400</w:t>
                </w: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3,298,000</w:t>
                </w:r>
              </w:p>
            </w:tc>
            <w:tc>
              <w:tcPr>
                <w:tcW w:w="340" w:type="pct"/>
                <w:vAlign w:val="center"/>
              </w:tcPr>
              <w:p>
                <w:pPr>
                  <w:jc w:val="right"/>
                  <w:rPr>
                    <w:sz w:val="18"/>
                    <w:szCs w:val="18"/>
                  </w:rPr>
                </w:pPr>
              </w:p>
            </w:tc>
            <w:tc>
              <w:tcPr>
                <w:tcW w:w="414" w:type="pct"/>
                <w:vAlign w:val="center"/>
              </w:tcPr>
              <w:p>
                <w:pPr>
                  <w:jc w:val="right"/>
                  <w:rPr>
                    <w:sz w:val="18"/>
                    <w:szCs w:val="18"/>
                  </w:rPr>
                </w:pPr>
                <w:r>
                  <w:rPr>
                    <w:rFonts w:ascii="宋体" w:hAnsi="宋体"/>
                    <w:spacing w:val="-50"/>
                  </w:rPr>
                  <w:t>3,298,000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20c7d29dbe4ecc8acea7b1a1149bd3"/>
                <w:id w:val="-1454320715"/>
              </w:sdtPr>
              <w:sdtContent>
                <w:tc>
                  <w:tcPr>
                    <w:tcW w:w="639" w:type="pct"/>
                    <w:vAlign w:val="center"/>
                  </w:tcPr>
                  <w:p>
                    <w:pPr>
                      <w:rPr>
                        <w:sz w:val="18"/>
                        <w:szCs w:val="18"/>
                      </w:rPr>
                    </w:pPr>
                    <w:r>
                      <w:rPr>
                        <w:rFonts w:hint="eastAsia"/>
                        <w:sz w:val="18"/>
                        <w:szCs w:val="18"/>
                      </w:rPr>
                      <w:t>3</w:t>
                    </w:r>
                    <w:r>
                      <w:rPr>
                        <w:sz w:val="18"/>
                        <w:szCs w:val="18"/>
                      </w:rPr>
                      <w:t>．股份支付计入所有者权益的金额</w:t>
                    </w:r>
                  </w:p>
                </w:tc>
              </w:sdtContent>
            </w:sdt>
            <w:tc>
              <w:tcPr>
                <w:tcW w:w="272" w:type="pct"/>
                <w:vAlign w:val="center"/>
              </w:tcPr>
              <w:p>
                <w:pPr>
                  <w:jc w:val="right"/>
                  <w:rPr>
                    <w:sz w:val="18"/>
                    <w:szCs w:val="18"/>
                  </w:rPr>
                </w:pPr>
                <w:r>
                  <w:rPr>
                    <w:rFonts w:ascii="宋体" w:hAnsi="宋体"/>
                    <w:spacing w:val="-50"/>
                  </w:rPr>
                  <w:t>9,987</w:t>
                </w: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319,495</w:t>
                </w:r>
              </w:p>
            </w:tc>
            <w:tc>
              <w:tcPr>
                <w:tcW w:w="256" w:type="pct"/>
                <w:vAlign w:val="center"/>
              </w:tcPr>
              <w:p>
                <w:pPr>
                  <w:jc w:val="right"/>
                  <w:rPr>
                    <w:sz w:val="18"/>
                    <w:szCs w:val="18"/>
                  </w:rPr>
                </w:pPr>
                <w:r>
                  <w:rPr>
                    <w:rFonts w:ascii="宋体" w:hAnsi="宋体"/>
                    <w:spacing w:val="-50"/>
                  </w:rPr>
                  <w:t>-398,613</w:t>
                </w: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728,095</w:t>
                </w:r>
              </w:p>
            </w:tc>
            <w:tc>
              <w:tcPr>
                <w:tcW w:w="340" w:type="pct"/>
                <w:vAlign w:val="center"/>
              </w:tcPr>
              <w:p>
                <w:pPr>
                  <w:jc w:val="right"/>
                  <w:rPr>
                    <w:sz w:val="18"/>
                    <w:szCs w:val="18"/>
                  </w:rPr>
                </w:pPr>
                <w:r>
                  <w:rPr>
                    <w:rFonts w:ascii="宋体" w:hAnsi="宋体"/>
                    <w:spacing w:val="-50"/>
                  </w:rPr>
                  <w:t>8,150</w:t>
                </w:r>
              </w:p>
            </w:tc>
            <w:tc>
              <w:tcPr>
                <w:tcW w:w="414" w:type="pct"/>
                <w:vAlign w:val="center"/>
              </w:tcPr>
              <w:p>
                <w:pPr>
                  <w:jc w:val="right"/>
                  <w:rPr>
                    <w:sz w:val="18"/>
                    <w:szCs w:val="18"/>
                  </w:rPr>
                </w:pPr>
                <w:r>
                  <w:rPr>
                    <w:rFonts w:ascii="宋体" w:hAnsi="宋体"/>
                    <w:spacing w:val="-50"/>
                  </w:rPr>
                  <w:t>736,245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pPr>
                  <w:rPr>
                    <w:sz w:val="18"/>
                    <w:szCs w:val="18"/>
                  </w:rPr>
                </w:pPr>
                <w:r>
                  <w:rPr>
                    <w:rFonts w:hint="eastAsia"/>
                    <w:sz w:val="18"/>
                    <w:szCs w:val="18"/>
                  </w:rPr>
                  <w:t>4．同一控制下企业合并</w:t>
                </w:r>
              </w:p>
            </w:tc>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-5,899,817</w:t>
                </w: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r>
                  <w:rPr>
                    <w:rFonts w:ascii="宋体" w:hAnsi="宋体"/>
                    <w:spacing w:val="-50"/>
                  </w:rPr>
                  <w:t>-912,700</w:t>
                </w: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-20,951,944</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-27,764,461</w:t>
                </w:r>
              </w:p>
            </w:tc>
            <w:tc>
              <w:tcPr>
                <w:tcW w:w="340" w:type="pct"/>
                <w:vAlign w:val="center"/>
              </w:tcPr>
              <w:p>
                <w:pPr>
                  <w:jc w:val="right"/>
                  <w:rPr>
                    <w:sz w:val="18"/>
                    <w:szCs w:val="18"/>
                  </w:rPr>
                </w:pPr>
                <w:r>
                  <w:rPr>
                    <w:rFonts w:ascii="宋体" w:hAnsi="宋体"/>
                    <w:spacing w:val="-50"/>
                  </w:rPr>
                  <w:t xml:space="preserve"> 215,250 </w:t>
                </w:r>
              </w:p>
            </w:tc>
            <w:tc>
              <w:tcPr>
                <w:tcW w:w="414" w:type="pct"/>
                <w:vAlign w:val="center"/>
              </w:tcPr>
              <w:p>
                <w:pPr>
                  <w:jc w:val="right"/>
                  <w:rPr>
                    <w:sz w:val="18"/>
                    <w:szCs w:val="18"/>
                  </w:rPr>
                </w:pPr>
                <w:r>
                  <w:rPr>
                    <w:rFonts w:ascii="宋体" w:hAnsi="宋体"/>
                    <w:spacing w:val="-50"/>
                  </w:rPr>
                  <w:t>-27,549,211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pPr>
                  <w:rPr>
                    <w:sz w:val="18"/>
                    <w:szCs w:val="18"/>
                  </w:rPr>
                </w:pPr>
                <w:r>
                  <w:rPr>
                    <w:rFonts w:hint="eastAsia"/>
                    <w:sz w:val="18"/>
                    <w:szCs w:val="18"/>
                  </w:rPr>
                  <w:t>5．收购少数股东股权</w:t>
                </w:r>
              </w:p>
            </w:tc>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p>
            </w:tc>
            <w:tc>
              <w:tcPr>
                <w:tcW w:w="256" w:type="pct"/>
                <w:vAlign w:val="center"/>
              </w:tcPr>
              <w:p>
                <w:pPr>
                  <w:jc w:val="right"/>
                  <w:rPr>
                    <w:sz w:val="18"/>
                    <w:szCs w:val="18"/>
                  </w:rPr>
                </w:pPr>
              </w:p>
            </w:tc>
            <w:tc>
              <w:tcPr>
                <w:tcW w:w="310" w:type="pct"/>
                <w:vAlign w:val="center"/>
              </w:tcPr>
              <w:p>
                <w:pPr>
                  <w:jc w:val="right"/>
                  <w:rPr>
                    <w:sz w:val="18"/>
                    <w:szCs w:val="18"/>
                  </w:rPr>
                </w:pPr>
              </w:p>
            </w:tc>
            <w:tc>
              <w:tcPr>
                <w:tcW w:w="340" w:type="pct"/>
                <w:vAlign w:val="center"/>
              </w:tcPr>
              <w:p>
                <w:pPr>
                  <w:jc w:val="right"/>
                  <w:rPr>
                    <w:sz w:val="18"/>
                    <w:szCs w:val="18"/>
                  </w:rPr>
                </w:pPr>
                <w:r>
                  <w:rPr>
                    <w:rFonts w:ascii="宋体" w:hAnsi="宋体"/>
                    <w:spacing w:val="-50"/>
                  </w:rPr>
                  <w:t xml:space="preserve"> 18,016 </w:t>
                </w:r>
              </w:p>
            </w:tc>
            <w:tc>
              <w:tcPr>
                <w:tcW w:w="414" w:type="pct"/>
                <w:vAlign w:val="center"/>
              </w:tcPr>
              <w:p>
                <w:pPr>
                  <w:jc w:val="right"/>
                  <w:rPr>
                    <w:sz w:val="18"/>
                    <w:szCs w:val="18"/>
                  </w:rPr>
                </w:pPr>
                <w:r>
                  <w:rPr>
                    <w:rFonts w:ascii="宋体" w:hAnsi="宋体"/>
                    <w:spacing w:val="-50"/>
                  </w:rPr>
                  <w:t xml:space="preserve"> 18,016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pPr>
                  <w:rPr>
                    <w:sz w:val="18"/>
                    <w:szCs w:val="18"/>
                  </w:rPr>
                </w:pPr>
                <w:r>
                  <w:rPr>
                    <w:rFonts w:hint="eastAsia"/>
                    <w:sz w:val="18"/>
                    <w:szCs w:val="18"/>
                  </w:rPr>
                  <w:t>6．未丧失控股权持股比例下降</w:t>
                </w:r>
              </w:p>
            </w:tc>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p>
            </w:tc>
            <w:tc>
              <w:tcPr>
                <w:tcW w:w="256" w:type="pct"/>
                <w:vAlign w:val="center"/>
              </w:tcPr>
              <w:p>
                <w:pPr>
                  <w:jc w:val="right"/>
                  <w:rPr>
                    <w:sz w:val="18"/>
                    <w:szCs w:val="18"/>
                  </w:rPr>
                </w:pPr>
              </w:p>
            </w:tc>
            <w:tc>
              <w:tcPr>
                <w:tcW w:w="310" w:type="pct"/>
                <w:vAlign w:val="center"/>
              </w:tcPr>
              <w:p>
                <w:pPr>
                  <w:jc w:val="right"/>
                  <w:rPr>
                    <w:sz w:val="18"/>
                    <w:szCs w:val="18"/>
                  </w:rPr>
                </w:pPr>
              </w:p>
            </w:tc>
            <w:tc>
              <w:tcPr>
                <w:tcW w:w="340" w:type="pct"/>
                <w:vAlign w:val="center"/>
              </w:tcPr>
              <w:p>
                <w:pPr>
                  <w:jc w:val="right"/>
                  <w:rPr>
                    <w:sz w:val="18"/>
                    <w:szCs w:val="18"/>
                  </w:rPr>
                </w:pPr>
              </w:p>
            </w:tc>
            <w:tc>
              <w:tcPr>
                <w:tcW w:w="414" w:type="pct"/>
                <w:vAlign w:val="center"/>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ce563048a9409f9366506e205c4124"/>
                <w:id w:val="591969541"/>
              </w:sdtPr>
              <w:sdtContent>
                <w:tc>
                  <w:tcPr>
                    <w:tcW w:w="639" w:type="pct"/>
                    <w:vAlign w:val="center"/>
                  </w:tcPr>
                  <w:p>
                    <w:pPr>
                      <w:rPr>
                        <w:sz w:val="18"/>
                        <w:szCs w:val="18"/>
                      </w:rPr>
                    </w:pPr>
                    <w:r>
                      <w:rPr>
                        <w:rFonts w:hint="eastAsia"/>
                        <w:sz w:val="18"/>
                        <w:szCs w:val="18"/>
                      </w:rPr>
                      <w:t>7．其他</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 xml:space="preserve"> 349,346 </w:t>
                </w: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 xml:space="preserve"> -133,609 </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 xml:space="preserve"> 215,737 </w:t>
                </w:r>
              </w:p>
            </w:tc>
            <w:tc>
              <w:tcPr>
                <w:tcW w:w="340" w:type="pct"/>
                <w:vAlign w:val="center"/>
              </w:tcPr>
              <w:p>
                <w:pPr>
                  <w:jc w:val="right"/>
                  <w:rPr>
                    <w:sz w:val="18"/>
                    <w:szCs w:val="18"/>
                  </w:rPr>
                </w:pPr>
                <w:r>
                  <w:rPr>
                    <w:rFonts w:ascii="宋体" w:hAnsi="宋体"/>
                    <w:spacing w:val="-50"/>
                  </w:rPr>
                  <w:t xml:space="preserve"> -519,079 </w:t>
                </w:r>
              </w:p>
            </w:tc>
            <w:tc>
              <w:tcPr>
                <w:tcW w:w="414" w:type="pct"/>
                <w:vAlign w:val="center"/>
              </w:tcPr>
              <w:p>
                <w:pPr>
                  <w:jc w:val="right"/>
                  <w:rPr>
                    <w:sz w:val="18"/>
                    <w:szCs w:val="18"/>
                  </w:rPr>
                </w:pPr>
                <w:r>
                  <w:rPr>
                    <w:rFonts w:ascii="宋体" w:hAnsi="宋体"/>
                    <w:spacing w:val="-50"/>
                  </w:rPr>
                  <w:t xml:space="preserve"> -303,342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5ace973797c4072b589e43841b34142"/>
                <w:id w:val="-598793271"/>
              </w:sdtPr>
              <w:sdtContent>
                <w:tc>
                  <w:tcPr>
                    <w:tcW w:w="639" w:type="pct"/>
                    <w:vAlign w:val="center"/>
                  </w:tcPr>
                  <w:p>
                    <w:pPr>
                      <w:rPr>
                        <w:sz w:val="18"/>
                        <w:szCs w:val="18"/>
                      </w:rPr>
                    </w:pPr>
                    <w:r>
                      <w:rPr>
                        <w:sz w:val="18"/>
                        <w:szCs w:val="18"/>
                      </w:rPr>
                      <w:t>（</w:t>
                    </w:r>
                    <w:r>
                      <w:rPr>
                        <w:rFonts w:hint="eastAsia"/>
                        <w:sz w:val="18"/>
                        <w:szCs w:val="18"/>
                      </w:rPr>
                      <w:t>三</w:t>
                    </w:r>
                    <w:r>
                      <w:rPr>
                        <w:sz w:val="18"/>
                        <w:szCs w:val="18"/>
                      </w:rPr>
                      <w:t>）利润分配</w:t>
                    </w:r>
                  </w:p>
                </w:tc>
              </w:sdtContent>
            </w:sdt>
            <w:tc>
              <w:tcPr>
                <w:tcW w:w="272" w:type="pct"/>
                <w:vAlign w:val="center"/>
              </w:tcPr>
              <w:p>
                <w:pPr>
                  <w:jc w:val="right"/>
                  <w:rPr>
                    <w:sz w:val="18"/>
                    <w:szCs w:val="18"/>
                  </w:rPr>
                </w:pPr>
                <w:r>
                  <w:rPr>
                    <w:rFonts w:ascii="宋体" w:hAnsi="宋体"/>
                    <w:spacing w:val="-50"/>
                  </w:rPr>
                  <w:t xml:space="preserve"> 2,480,680 </w:t>
                </w:r>
              </w:p>
            </w:tc>
            <w:tc>
              <w:tcPr>
                <w:tcW w:w="272"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 xml:space="preserve"> -452,980 </w:t>
                </w: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highlight w:val="yellow"/>
                  </w:rPr>
                  <w:t xml:space="preserve"> </w:t>
                </w: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r>
                  <w:rPr>
                    <w:rFonts w:ascii="宋体" w:hAnsi="宋体"/>
                    <w:spacing w:val="-50"/>
                  </w:rPr>
                  <w:t>1,663,814</w:t>
                </w: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-26,095,424</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-22,403,910</w:t>
                </w:r>
              </w:p>
            </w:tc>
            <w:tc>
              <w:tcPr>
                <w:tcW w:w="340" w:type="pct"/>
                <w:vAlign w:val="center"/>
              </w:tcPr>
              <w:p>
                <w:pPr>
                  <w:jc w:val="right"/>
                  <w:rPr>
                    <w:sz w:val="18"/>
                    <w:szCs w:val="18"/>
                  </w:rPr>
                </w:pPr>
                <w:r>
                  <w:rPr>
                    <w:rFonts w:ascii="宋体" w:hAnsi="宋体"/>
                    <w:spacing w:val="-50"/>
                  </w:rPr>
                  <w:t>-4,989,284</w:t>
                </w:r>
              </w:p>
            </w:tc>
            <w:tc>
              <w:tcPr>
                <w:tcW w:w="414" w:type="pct"/>
                <w:vAlign w:val="center"/>
              </w:tcPr>
              <w:p>
                <w:pPr>
                  <w:jc w:val="right"/>
                  <w:rPr>
                    <w:sz w:val="18"/>
                    <w:szCs w:val="18"/>
                  </w:rPr>
                </w:pPr>
                <w:r>
                  <w:rPr>
                    <w:rFonts w:ascii="宋体" w:hAnsi="宋体"/>
                    <w:spacing w:val="-50"/>
                  </w:rPr>
                  <w:t>-27,393,194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6984731c08d48a08692b6a589fbe555"/>
                <w:id w:val="396094537"/>
              </w:sdtPr>
              <w:sdtContent>
                <w:tc>
                  <w:tcPr>
                    <w:tcW w:w="639" w:type="pct"/>
                    <w:vAlign w:val="center"/>
                  </w:tcPr>
                  <w:p>
                    <w:pPr>
                      <w:rPr>
                        <w:sz w:val="18"/>
                        <w:szCs w:val="18"/>
                      </w:rPr>
                    </w:pPr>
                    <w:r>
                      <w:rPr>
                        <w:sz w:val="18"/>
                        <w:szCs w:val="18"/>
                      </w:rPr>
                      <w:t>1．提取盈余公积</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r>
                  <w:rPr>
                    <w:rFonts w:ascii="宋体" w:hAnsi="宋体"/>
                    <w:spacing w:val="-50"/>
                  </w:rPr>
                  <w:t>1,663,814</w:t>
                </w: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-1,663,814</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 xml:space="preserve">  </w:t>
                </w:r>
              </w:p>
            </w:tc>
            <w:tc>
              <w:tcPr>
                <w:tcW w:w="340" w:type="pct"/>
                <w:vAlign w:val="center"/>
              </w:tcPr>
              <w:p>
                <w:pPr>
                  <w:jc w:val="right"/>
                  <w:rPr>
                    <w:sz w:val="18"/>
                    <w:szCs w:val="18"/>
                  </w:rPr>
                </w:pPr>
              </w:p>
            </w:tc>
            <w:tc>
              <w:tcPr>
                <w:tcW w:w="414" w:type="pct"/>
                <w:vAlign w:val="center"/>
              </w:tcPr>
              <w:p>
                <w:pPr>
                  <w:jc w:val="right"/>
                  <w:rPr>
                    <w:sz w:val="18"/>
                    <w:szCs w:val="18"/>
                  </w:rPr>
                </w:pPr>
                <w:r>
                  <w:rPr>
                    <w:rFonts w:ascii="宋体" w:hAnsi="宋体"/>
                    <w:spacing w:val="-5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0e7cefb4de4113b5c1abddf8a241d4"/>
                <w:id w:val="356857503"/>
              </w:sdtPr>
              <w:sdtContent>
                <w:tc>
                  <w:tcPr>
                    <w:tcW w:w="639" w:type="pct"/>
                    <w:vAlign w:val="center"/>
                  </w:tcPr>
                  <w:p>
                    <w:pPr>
                      <w:rPr>
                        <w:sz w:val="18"/>
                        <w:szCs w:val="18"/>
                      </w:rPr>
                    </w:pPr>
                    <w:r>
                      <w:rPr>
                        <w:sz w:val="18"/>
                        <w:szCs w:val="18"/>
                      </w:rPr>
                      <w:t>2．提取一般风险准备</w:t>
                    </w:r>
                  </w:p>
                </w:tc>
              </w:sdtContent>
            </w:sdt>
            <w:tc>
              <w:tcPr>
                <w:tcW w:w="272" w:type="pct"/>
              </w:tcPr>
              <w:p>
                <w:pPr>
                  <w:jc w:val="right"/>
                  <w:rPr>
                    <w:sz w:val="18"/>
                    <w:szCs w:val="18"/>
                  </w:rPr>
                </w:pPr>
              </w:p>
            </w:tc>
            <w:tc>
              <w:tcPr>
                <w:tcW w:w="272" w:type="pct"/>
              </w:tcPr>
              <w:p>
                <w:pPr>
                  <w:jc w:val="right"/>
                  <w:rPr>
                    <w:sz w:val="18"/>
                    <w:szCs w:val="18"/>
                  </w:rPr>
                </w:pPr>
              </w:p>
            </w:tc>
            <w:tc>
              <w:tcPr>
                <w:tcW w:w="276" w:type="pct"/>
              </w:tcPr>
              <w:p>
                <w:pPr>
                  <w:jc w:val="right"/>
                  <w:rPr>
                    <w:sz w:val="18"/>
                    <w:szCs w:val="18"/>
                  </w:rPr>
                </w:pPr>
              </w:p>
            </w:tc>
            <w:tc>
              <w:tcPr>
                <w:tcW w:w="176" w:type="pct"/>
              </w:tcPr>
              <w:p>
                <w:pPr>
                  <w:jc w:val="right"/>
                  <w:rPr>
                    <w:sz w:val="18"/>
                    <w:szCs w:val="18"/>
                  </w:rPr>
                </w:pPr>
              </w:p>
            </w:tc>
            <w:tc>
              <w:tcPr>
                <w:tcW w:w="307" w:type="pct"/>
              </w:tcPr>
              <w:p>
                <w:pPr>
                  <w:jc w:val="right"/>
                  <w:rPr>
                    <w:sz w:val="18"/>
                    <w:szCs w:val="18"/>
                  </w:rPr>
                </w:pPr>
              </w:p>
            </w:tc>
            <w:tc>
              <w:tcPr>
                <w:tcW w:w="256" w:type="pct"/>
              </w:tcPr>
              <w:p>
                <w:pPr>
                  <w:jc w:val="right"/>
                  <w:rPr>
                    <w:sz w:val="18"/>
                    <w:szCs w:val="18"/>
                  </w:rPr>
                </w:pPr>
              </w:p>
            </w:tc>
            <w:tc>
              <w:tcPr>
                <w:tcW w:w="306" w:type="pct"/>
              </w:tcPr>
              <w:p>
                <w:pPr>
                  <w:jc w:val="right"/>
                  <w:rPr>
                    <w:sz w:val="18"/>
                    <w:szCs w:val="18"/>
                  </w:rPr>
                </w:pPr>
              </w:p>
            </w:tc>
            <w:tc>
              <w:tcPr>
                <w:tcW w:w="320"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10" w:type="pct"/>
              </w:tcPr>
              <w:p>
                <w:pPr>
                  <w:jc w:val="right"/>
                  <w:rPr>
                    <w:sz w:val="18"/>
                    <w:szCs w:val="18"/>
                  </w:rPr>
                </w:pPr>
              </w:p>
            </w:tc>
            <w:tc>
              <w:tcPr>
                <w:tcW w:w="256" w:type="pct"/>
              </w:tcPr>
              <w:p>
                <w:pPr>
                  <w:jc w:val="right"/>
                  <w:rPr>
                    <w:sz w:val="18"/>
                    <w:szCs w:val="18"/>
                  </w:rPr>
                </w:pPr>
              </w:p>
            </w:tc>
            <w:tc>
              <w:tcPr>
                <w:tcW w:w="310" w:type="pct"/>
              </w:tcPr>
              <w:p>
                <w:pPr>
                  <w:jc w:val="right"/>
                  <w:rPr>
                    <w:sz w:val="18"/>
                    <w:szCs w:val="18"/>
                  </w:rPr>
                </w:pPr>
              </w:p>
            </w:tc>
            <w:tc>
              <w:tcPr>
                <w:tcW w:w="340" w:type="pct"/>
              </w:tcPr>
              <w:p>
                <w:pPr>
                  <w:jc w:val="right"/>
                  <w:rPr>
                    <w:sz w:val="18"/>
                    <w:szCs w:val="18"/>
                  </w:rPr>
                </w:pPr>
              </w:p>
            </w:tc>
            <w:tc>
              <w:tcPr>
                <w:tcW w:w="414"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d573481d9af49e2a8ab22ecd061ccf7"/>
                <w:id w:val="-776858517"/>
              </w:sdtPr>
              <w:sdtContent>
                <w:tc>
                  <w:tcPr>
                    <w:tcW w:w="639" w:type="pct"/>
                    <w:vAlign w:val="center"/>
                  </w:tcPr>
                  <w:p>
                    <w:pPr>
                      <w:rPr>
                        <w:sz w:val="18"/>
                        <w:szCs w:val="18"/>
                      </w:rPr>
                    </w:pPr>
                    <w:r>
                      <w:rPr>
                        <w:sz w:val="18"/>
                        <w:szCs w:val="18"/>
                      </w:rPr>
                      <w:t>3．对所有者（或股东）的分配</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-21,950,930</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-21,950,930</w:t>
                </w:r>
              </w:p>
            </w:tc>
            <w:tc>
              <w:tcPr>
                <w:tcW w:w="340" w:type="pct"/>
                <w:vAlign w:val="center"/>
              </w:tcPr>
              <w:p>
                <w:pPr>
                  <w:jc w:val="right"/>
                  <w:rPr>
                    <w:sz w:val="18"/>
                    <w:szCs w:val="18"/>
                  </w:rPr>
                </w:pPr>
                <w:r>
                  <w:rPr>
                    <w:rFonts w:ascii="宋体" w:hAnsi="宋体"/>
                    <w:spacing w:val="-50"/>
                  </w:rPr>
                  <w:t>-4,989,284</w:t>
                </w:r>
              </w:p>
            </w:tc>
            <w:tc>
              <w:tcPr>
                <w:tcW w:w="414" w:type="pct"/>
                <w:vAlign w:val="center"/>
              </w:tcPr>
              <w:p>
                <w:pPr>
                  <w:jc w:val="right"/>
                  <w:rPr>
                    <w:sz w:val="18"/>
                    <w:szCs w:val="18"/>
                  </w:rPr>
                </w:pPr>
                <w:r>
                  <w:rPr>
                    <w:rFonts w:ascii="宋体" w:hAnsi="宋体"/>
                    <w:spacing w:val="-50"/>
                  </w:rPr>
                  <w:t>-26,940,214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p>
                <w:pPr>
                  <w:rPr>
                    <w:sz w:val="18"/>
                    <w:szCs w:val="18"/>
                  </w:rPr>
                </w:pPr>
                <w:r>
                  <w:rPr>
                    <w:sz w:val="18"/>
                    <w:szCs w:val="18"/>
                  </w:rPr>
                  <w:t>4</w:t>
                </w:r>
                <w:r>
                  <w:rPr>
                    <w:rFonts w:hint="eastAsia"/>
                    <w:sz w:val="18"/>
                    <w:szCs w:val="18"/>
                  </w:rPr>
                  <w:t>．</w:t>
                </w:r>
                <w:r>
                  <w:rPr>
                    <w:sz w:val="18"/>
                    <w:szCs w:val="18"/>
                  </w:rPr>
                  <w:t>对其他权益工具持有者的分配</w:t>
                </w:r>
              </w:p>
            </w:tc>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-452,980</w:t>
                </w: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-452,980</w:t>
                </w:r>
              </w:p>
            </w:tc>
            <w:tc>
              <w:tcPr>
                <w:tcW w:w="340" w:type="pct"/>
                <w:vAlign w:val="center"/>
              </w:tcPr>
              <w:p>
                <w:pPr>
                  <w:jc w:val="right"/>
                  <w:rPr>
                    <w:sz w:val="18"/>
                    <w:szCs w:val="18"/>
                  </w:rPr>
                </w:pPr>
              </w:p>
            </w:tc>
            <w:tc>
              <w:tcPr>
                <w:tcW w:w="414" w:type="pct"/>
                <w:vAlign w:val="center"/>
              </w:tcPr>
              <w:p>
                <w:pPr>
                  <w:jc w:val="right"/>
                  <w:rPr>
                    <w:sz w:val="18"/>
                    <w:szCs w:val="18"/>
                  </w:rPr>
                </w:pPr>
                <w:r>
                  <w:rPr>
                    <w:rFonts w:ascii="宋体" w:hAnsi="宋体"/>
                    <w:spacing w:val="-50"/>
                  </w:rPr>
                  <w:t>-452,980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d87d5b565c74b3faf2e05ed9840875a"/>
                <w:id w:val="-1966880060"/>
              </w:sdtPr>
              <w:sdtContent>
                <w:tc>
                  <w:tcPr>
                    <w:tcW w:w="639" w:type="pct"/>
                    <w:vAlign w:val="center"/>
                  </w:tcPr>
                  <w:p>
                    <w:pPr>
                      <w:rPr>
                        <w:sz w:val="18"/>
                        <w:szCs w:val="18"/>
                      </w:rPr>
                    </w:pPr>
                    <w:r>
                      <w:rPr>
                        <w:sz w:val="18"/>
                        <w:szCs w:val="18"/>
                      </w:rPr>
                      <w:t>5．其他</w:t>
                    </w:r>
                  </w:p>
                </w:tc>
              </w:sdtContent>
            </w:sdt>
            <w:tc>
              <w:tcPr>
                <w:tcW w:w="272" w:type="pct"/>
                <w:vAlign w:val="center"/>
              </w:tcPr>
              <w:p>
                <w:pPr>
                  <w:jc w:val="right"/>
                  <w:rPr>
                    <w:sz w:val="18"/>
                    <w:szCs w:val="18"/>
                  </w:rPr>
                </w:pPr>
                <w:r>
                  <w:rPr>
                    <w:rFonts w:ascii="宋体" w:hAnsi="宋体"/>
                    <w:spacing w:val="-50"/>
                  </w:rPr>
                  <w:t>2,480,680</w:t>
                </w: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-2,480,680</w:t>
                </w:r>
              </w:p>
            </w:tc>
            <w:tc>
              <w:tcPr>
                <w:tcW w:w="256" w:type="pct"/>
                <w:vAlign w:val="center"/>
              </w:tcPr>
              <w:p>
                <w:pPr>
                  <w:jc w:val="right"/>
                  <w:rPr>
                    <w:sz w:val="18"/>
                    <w:szCs w:val="18"/>
                  </w:rPr>
                </w:pPr>
              </w:p>
            </w:tc>
            <w:tc>
              <w:tcPr>
                <w:tcW w:w="310" w:type="pct"/>
              </w:tcPr>
              <w:p>
                <w:pPr>
                  <w:jc w:val="right"/>
                  <w:rPr>
                    <w:sz w:val="18"/>
                    <w:szCs w:val="18"/>
                  </w:rPr>
                </w:pPr>
              </w:p>
            </w:tc>
            <w:tc>
              <w:tcPr>
                <w:tcW w:w="340" w:type="pct"/>
              </w:tcPr>
              <w:p>
                <w:pPr>
                  <w:jc w:val="right"/>
                  <w:rPr>
                    <w:sz w:val="18"/>
                    <w:szCs w:val="18"/>
                  </w:rPr>
                </w:pPr>
              </w:p>
            </w:tc>
            <w:tc>
              <w:tcPr>
                <w:tcW w:w="414"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2da940e723e49d8b19944c326b0a372"/>
                <w:id w:val="651797233"/>
              </w:sdtPr>
              <w:sdtContent>
                <w:tc>
                  <w:tcPr>
                    <w:tcW w:w="639" w:type="pct"/>
                    <w:vAlign w:val="center"/>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272" w:type="pct"/>
              </w:tcPr>
              <w:p>
                <w:pPr>
                  <w:jc w:val="right"/>
                  <w:rPr>
                    <w:sz w:val="18"/>
                    <w:szCs w:val="18"/>
                  </w:rPr>
                </w:pPr>
              </w:p>
            </w:tc>
            <w:tc>
              <w:tcPr>
                <w:tcW w:w="272" w:type="pct"/>
              </w:tcPr>
              <w:p>
                <w:pPr>
                  <w:jc w:val="right"/>
                  <w:rPr>
                    <w:sz w:val="18"/>
                    <w:szCs w:val="18"/>
                  </w:rPr>
                </w:pPr>
              </w:p>
            </w:tc>
            <w:tc>
              <w:tcPr>
                <w:tcW w:w="276" w:type="pct"/>
              </w:tcPr>
              <w:p>
                <w:pPr>
                  <w:jc w:val="right"/>
                  <w:rPr>
                    <w:sz w:val="18"/>
                    <w:szCs w:val="18"/>
                  </w:rPr>
                </w:pPr>
              </w:p>
            </w:tc>
            <w:tc>
              <w:tcPr>
                <w:tcW w:w="176" w:type="pct"/>
              </w:tcPr>
              <w:p>
                <w:pPr>
                  <w:jc w:val="right"/>
                  <w:rPr>
                    <w:sz w:val="18"/>
                    <w:szCs w:val="18"/>
                  </w:rPr>
                </w:pPr>
              </w:p>
            </w:tc>
            <w:tc>
              <w:tcPr>
                <w:tcW w:w="307" w:type="pct"/>
              </w:tcPr>
              <w:p>
                <w:pPr>
                  <w:jc w:val="right"/>
                  <w:rPr>
                    <w:sz w:val="18"/>
                    <w:szCs w:val="18"/>
                  </w:rPr>
                </w:pPr>
              </w:p>
            </w:tc>
            <w:tc>
              <w:tcPr>
                <w:tcW w:w="256" w:type="pct"/>
              </w:tcPr>
              <w:p>
                <w:pPr>
                  <w:jc w:val="right"/>
                  <w:rPr>
                    <w:sz w:val="18"/>
                    <w:szCs w:val="18"/>
                  </w:rPr>
                </w:pPr>
              </w:p>
            </w:tc>
            <w:tc>
              <w:tcPr>
                <w:tcW w:w="306" w:type="pct"/>
              </w:tcPr>
              <w:p>
                <w:pPr>
                  <w:jc w:val="right"/>
                  <w:rPr>
                    <w:sz w:val="18"/>
                    <w:szCs w:val="18"/>
                  </w:rPr>
                </w:pPr>
              </w:p>
            </w:tc>
            <w:tc>
              <w:tcPr>
                <w:tcW w:w="320"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10" w:type="pct"/>
              </w:tcPr>
              <w:p>
                <w:pPr>
                  <w:jc w:val="right"/>
                  <w:rPr>
                    <w:sz w:val="18"/>
                    <w:szCs w:val="18"/>
                  </w:rPr>
                </w:pPr>
              </w:p>
            </w:tc>
            <w:tc>
              <w:tcPr>
                <w:tcW w:w="256" w:type="pct"/>
              </w:tcPr>
              <w:p>
                <w:pPr>
                  <w:jc w:val="right"/>
                  <w:rPr>
                    <w:sz w:val="18"/>
                    <w:szCs w:val="18"/>
                  </w:rPr>
                </w:pPr>
              </w:p>
            </w:tc>
            <w:tc>
              <w:tcPr>
                <w:tcW w:w="310" w:type="pct"/>
              </w:tcPr>
              <w:p>
                <w:pPr>
                  <w:jc w:val="right"/>
                  <w:rPr>
                    <w:sz w:val="18"/>
                    <w:szCs w:val="18"/>
                  </w:rPr>
                </w:pPr>
              </w:p>
            </w:tc>
            <w:tc>
              <w:tcPr>
                <w:tcW w:w="340" w:type="pct"/>
              </w:tcPr>
              <w:p>
                <w:pPr>
                  <w:jc w:val="right"/>
                  <w:rPr>
                    <w:sz w:val="18"/>
                    <w:szCs w:val="18"/>
                  </w:rPr>
                </w:pPr>
              </w:p>
            </w:tc>
            <w:tc>
              <w:tcPr>
                <w:tcW w:w="414"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fb253c66e143fa8d6fda4d400657ec"/>
                <w:id w:val="1227107367"/>
              </w:sdtPr>
              <w:sdtContent>
                <w:tc>
                  <w:tcPr>
                    <w:tcW w:w="639" w:type="pct"/>
                    <w:vAlign w:val="center"/>
                  </w:tcPr>
                  <w:p>
                    <w:pPr>
                      <w:rPr>
                        <w:sz w:val="18"/>
                        <w:szCs w:val="18"/>
                      </w:rPr>
                    </w:pPr>
                    <w:r>
                      <w:rPr>
                        <w:sz w:val="18"/>
                        <w:szCs w:val="18"/>
                      </w:rPr>
                      <w:t>1．资本公积转增资本（或股本）</w:t>
                    </w:r>
                  </w:p>
                </w:tc>
              </w:sdtContent>
            </w:sdt>
            <w:tc>
              <w:tcPr>
                <w:tcW w:w="272" w:type="pct"/>
              </w:tcPr>
              <w:p>
                <w:pPr>
                  <w:jc w:val="right"/>
                  <w:rPr>
                    <w:sz w:val="18"/>
                    <w:szCs w:val="18"/>
                  </w:rPr>
                </w:pPr>
              </w:p>
            </w:tc>
            <w:tc>
              <w:tcPr>
                <w:tcW w:w="272" w:type="pct"/>
              </w:tcPr>
              <w:p>
                <w:pPr>
                  <w:jc w:val="right"/>
                  <w:rPr>
                    <w:sz w:val="18"/>
                    <w:szCs w:val="18"/>
                  </w:rPr>
                </w:pPr>
              </w:p>
            </w:tc>
            <w:tc>
              <w:tcPr>
                <w:tcW w:w="276" w:type="pct"/>
              </w:tcPr>
              <w:p>
                <w:pPr>
                  <w:jc w:val="right"/>
                  <w:rPr>
                    <w:sz w:val="18"/>
                    <w:szCs w:val="18"/>
                  </w:rPr>
                </w:pPr>
              </w:p>
            </w:tc>
            <w:tc>
              <w:tcPr>
                <w:tcW w:w="176" w:type="pct"/>
              </w:tcPr>
              <w:p>
                <w:pPr>
                  <w:jc w:val="right"/>
                  <w:rPr>
                    <w:sz w:val="18"/>
                    <w:szCs w:val="18"/>
                  </w:rPr>
                </w:pPr>
              </w:p>
            </w:tc>
            <w:tc>
              <w:tcPr>
                <w:tcW w:w="307" w:type="pct"/>
              </w:tcPr>
              <w:p>
                <w:pPr>
                  <w:jc w:val="right"/>
                  <w:rPr>
                    <w:sz w:val="18"/>
                    <w:szCs w:val="18"/>
                  </w:rPr>
                </w:pPr>
              </w:p>
            </w:tc>
            <w:tc>
              <w:tcPr>
                <w:tcW w:w="256" w:type="pct"/>
              </w:tcPr>
              <w:p>
                <w:pPr>
                  <w:jc w:val="right"/>
                  <w:rPr>
                    <w:sz w:val="18"/>
                    <w:szCs w:val="18"/>
                  </w:rPr>
                </w:pPr>
              </w:p>
            </w:tc>
            <w:tc>
              <w:tcPr>
                <w:tcW w:w="306" w:type="pct"/>
              </w:tcPr>
              <w:p>
                <w:pPr>
                  <w:jc w:val="right"/>
                  <w:rPr>
                    <w:sz w:val="18"/>
                    <w:szCs w:val="18"/>
                  </w:rPr>
                </w:pPr>
              </w:p>
            </w:tc>
            <w:tc>
              <w:tcPr>
                <w:tcW w:w="320"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10" w:type="pct"/>
              </w:tcPr>
              <w:p>
                <w:pPr>
                  <w:jc w:val="right"/>
                  <w:rPr>
                    <w:sz w:val="18"/>
                    <w:szCs w:val="18"/>
                  </w:rPr>
                </w:pPr>
              </w:p>
            </w:tc>
            <w:tc>
              <w:tcPr>
                <w:tcW w:w="256" w:type="pct"/>
              </w:tcPr>
              <w:p>
                <w:pPr>
                  <w:jc w:val="right"/>
                  <w:rPr>
                    <w:sz w:val="18"/>
                    <w:szCs w:val="18"/>
                  </w:rPr>
                </w:pPr>
              </w:p>
            </w:tc>
            <w:tc>
              <w:tcPr>
                <w:tcW w:w="310" w:type="pct"/>
              </w:tcPr>
              <w:p>
                <w:pPr>
                  <w:jc w:val="right"/>
                  <w:rPr>
                    <w:sz w:val="18"/>
                    <w:szCs w:val="18"/>
                  </w:rPr>
                </w:pPr>
              </w:p>
            </w:tc>
            <w:tc>
              <w:tcPr>
                <w:tcW w:w="340" w:type="pct"/>
              </w:tcPr>
              <w:p>
                <w:pPr>
                  <w:jc w:val="right"/>
                  <w:rPr>
                    <w:sz w:val="18"/>
                    <w:szCs w:val="18"/>
                  </w:rPr>
                </w:pPr>
              </w:p>
            </w:tc>
            <w:tc>
              <w:tcPr>
                <w:tcW w:w="414"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cc23aa9ca343c08333ba7ee1b1325c"/>
                <w:id w:val="885372963"/>
              </w:sdtPr>
              <w:sdtContent>
                <w:tc>
                  <w:tcPr>
                    <w:tcW w:w="639" w:type="pct"/>
                    <w:vAlign w:val="center"/>
                  </w:tcPr>
                  <w:p>
                    <w:pPr>
                      <w:rPr>
                        <w:sz w:val="18"/>
                        <w:szCs w:val="18"/>
                      </w:rPr>
                    </w:pPr>
                    <w:r>
                      <w:rPr>
                        <w:sz w:val="18"/>
                        <w:szCs w:val="18"/>
                      </w:rPr>
                      <w:t>2．盈余公积转增资本（或股本）</w:t>
                    </w:r>
                  </w:p>
                </w:tc>
              </w:sdtContent>
            </w:sdt>
            <w:tc>
              <w:tcPr>
                <w:tcW w:w="272" w:type="pct"/>
              </w:tcPr>
              <w:p>
                <w:pPr>
                  <w:jc w:val="right"/>
                  <w:rPr>
                    <w:sz w:val="18"/>
                    <w:szCs w:val="18"/>
                  </w:rPr>
                </w:pPr>
              </w:p>
            </w:tc>
            <w:tc>
              <w:tcPr>
                <w:tcW w:w="272" w:type="pct"/>
              </w:tcPr>
              <w:p>
                <w:pPr>
                  <w:jc w:val="right"/>
                  <w:rPr>
                    <w:sz w:val="18"/>
                    <w:szCs w:val="18"/>
                  </w:rPr>
                </w:pPr>
              </w:p>
            </w:tc>
            <w:tc>
              <w:tcPr>
                <w:tcW w:w="276" w:type="pct"/>
              </w:tcPr>
              <w:p>
                <w:pPr>
                  <w:jc w:val="right"/>
                  <w:rPr>
                    <w:sz w:val="18"/>
                    <w:szCs w:val="18"/>
                  </w:rPr>
                </w:pPr>
              </w:p>
            </w:tc>
            <w:tc>
              <w:tcPr>
                <w:tcW w:w="176" w:type="pct"/>
              </w:tcPr>
              <w:p>
                <w:pPr>
                  <w:jc w:val="right"/>
                  <w:rPr>
                    <w:sz w:val="18"/>
                    <w:szCs w:val="18"/>
                  </w:rPr>
                </w:pPr>
              </w:p>
            </w:tc>
            <w:tc>
              <w:tcPr>
                <w:tcW w:w="307" w:type="pct"/>
              </w:tcPr>
              <w:p>
                <w:pPr>
                  <w:jc w:val="right"/>
                  <w:rPr>
                    <w:sz w:val="18"/>
                    <w:szCs w:val="18"/>
                  </w:rPr>
                </w:pPr>
              </w:p>
            </w:tc>
            <w:tc>
              <w:tcPr>
                <w:tcW w:w="256" w:type="pct"/>
              </w:tcPr>
              <w:p>
                <w:pPr>
                  <w:jc w:val="right"/>
                  <w:rPr>
                    <w:sz w:val="18"/>
                    <w:szCs w:val="18"/>
                  </w:rPr>
                </w:pPr>
              </w:p>
            </w:tc>
            <w:tc>
              <w:tcPr>
                <w:tcW w:w="306" w:type="pct"/>
              </w:tcPr>
              <w:p>
                <w:pPr>
                  <w:jc w:val="right"/>
                  <w:rPr>
                    <w:sz w:val="18"/>
                    <w:szCs w:val="18"/>
                  </w:rPr>
                </w:pPr>
              </w:p>
            </w:tc>
            <w:tc>
              <w:tcPr>
                <w:tcW w:w="320"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10" w:type="pct"/>
              </w:tcPr>
              <w:p>
                <w:pPr>
                  <w:jc w:val="right"/>
                  <w:rPr>
                    <w:sz w:val="18"/>
                    <w:szCs w:val="18"/>
                  </w:rPr>
                </w:pPr>
              </w:p>
            </w:tc>
            <w:tc>
              <w:tcPr>
                <w:tcW w:w="256" w:type="pct"/>
              </w:tcPr>
              <w:p>
                <w:pPr>
                  <w:jc w:val="right"/>
                  <w:rPr>
                    <w:sz w:val="18"/>
                    <w:szCs w:val="18"/>
                  </w:rPr>
                </w:pPr>
              </w:p>
            </w:tc>
            <w:tc>
              <w:tcPr>
                <w:tcW w:w="310" w:type="pct"/>
              </w:tcPr>
              <w:p>
                <w:pPr>
                  <w:jc w:val="right"/>
                  <w:rPr>
                    <w:sz w:val="18"/>
                    <w:szCs w:val="18"/>
                  </w:rPr>
                </w:pPr>
              </w:p>
            </w:tc>
            <w:tc>
              <w:tcPr>
                <w:tcW w:w="340" w:type="pct"/>
              </w:tcPr>
              <w:p>
                <w:pPr>
                  <w:jc w:val="right"/>
                  <w:rPr>
                    <w:sz w:val="18"/>
                    <w:szCs w:val="18"/>
                  </w:rPr>
                </w:pPr>
              </w:p>
            </w:tc>
            <w:tc>
              <w:tcPr>
                <w:tcW w:w="414"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db953ff4eb242bd9b2d516481ce5c51"/>
                <w:id w:val="1961763513"/>
              </w:sdtPr>
              <w:sdtContent>
                <w:tc>
                  <w:tcPr>
                    <w:tcW w:w="639" w:type="pct"/>
                    <w:vAlign w:val="center"/>
                  </w:tcPr>
                  <w:p>
                    <w:pPr>
                      <w:rPr>
                        <w:sz w:val="18"/>
                        <w:szCs w:val="18"/>
                      </w:rPr>
                    </w:pPr>
                    <w:r>
                      <w:rPr>
                        <w:sz w:val="18"/>
                        <w:szCs w:val="18"/>
                      </w:rPr>
                      <w:t>3．盈余公积弥补亏损</w:t>
                    </w:r>
                  </w:p>
                </w:tc>
              </w:sdtContent>
            </w:sdt>
            <w:tc>
              <w:tcPr>
                <w:tcW w:w="272" w:type="pct"/>
              </w:tcPr>
              <w:p>
                <w:pPr>
                  <w:jc w:val="right"/>
                  <w:rPr>
                    <w:sz w:val="18"/>
                    <w:szCs w:val="18"/>
                  </w:rPr>
                </w:pPr>
              </w:p>
            </w:tc>
            <w:tc>
              <w:tcPr>
                <w:tcW w:w="272" w:type="pct"/>
              </w:tcPr>
              <w:p>
                <w:pPr>
                  <w:jc w:val="right"/>
                  <w:rPr>
                    <w:sz w:val="18"/>
                    <w:szCs w:val="18"/>
                  </w:rPr>
                </w:pPr>
              </w:p>
            </w:tc>
            <w:tc>
              <w:tcPr>
                <w:tcW w:w="276" w:type="pct"/>
              </w:tcPr>
              <w:p>
                <w:pPr>
                  <w:jc w:val="right"/>
                  <w:rPr>
                    <w:sz w:val="18"/>
                    <w:szCs w:val="18"/>
                  </w:rPr>
                </w:pPr>
              </w:p>
            </w:tc>
            <w:tc>
              <w:tcPr>
                <w:tcW w:w="176" w:type="pct"/>
              </w:tcPr>
              <w:p>
                <w:pPr>
                  <w:jc w:val="right"/>
                  <w:rPr>
                    <w:sz w:val="18"/>
                    <w:szCs w:val="18"/>
                  </w:rPr>
                </w:pPr>
              </w:p>
            </w:tc>
            <w:tc>
              <w:tcPr>
                <w:tcW w:w="307" w:type="pct"/>
              </w:tcPr>
              <w:p>
                <w:pPr>
                  <w:jc w:val="right"/>
                  <w:rPr>
                    <w:sz w:val="18"/>
                    <w:szCs w:val="18"/>
                  </w:rPr>
                </w:pPr>
              </w:p>
            </w:tc>
            <w:tc>
              <w:tcPr>
                <w:tcW w:w="256" w:type="pct"/>
              </w:tcPr>
              <w:p>
                <w:pPr>
                  <w:jc w:val="right"/>
                  <w:rPr>
                    <w:sz w:val="18"/>
                    <w:szCs w:val="18"/>
                  </w:rPr>
                </w:pPr>
              </w:p>
            </w:tc>
            <w:tc>
              <w:tcPr>
                <w:tcW w:w="306" w:type="pct"/>
              </w:tcPr>
              <w:p>
                <w:pPr>
                  <w:jc w:val="right"/>
                  <w:rPr>
                    <w:sz w:val="18"/>
                    <w:szCs w:val="18"/>
                  </w:rPr>
                </w:pPr>
              </w:p>
            </w:tc>
            <w:tc>
              <w:tcPr>
                <w:tcW w:w="320"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10" w:type="pct"/>
              </w:tcPr>
              <w:p>
                <w:pPr>
                  <w:jc w:val="right"/>
                  <w:rPr>
                    <w:sz w:val="18"/>
                    <w:szCs w:val="18"/>
                  </w:rPr>
                </w:pPr>
              </w:p>
            </w:tc>
            <w:tc>
              <w:tcPr>
                <w:tcW w:w="256" w:type="pct"/>
              </w:tcPr>
              <w:p>
                <w:pPr>
                  <w:jc w:val="right"/>
                  <w:rPr>
                    <w:sz w:val="18"/>
                    <w:szCs w:val="18"/>
                  </w:rPr>
                </w:pPr>
              </w:p>
            </w:tc>
            <w:tc>
              <w:tcPr>
                <w:tcW w:w="310" w:type="pct"/>
              </w:tcPr>
              <w:p>
                <w:pPr>
                  <w:jc w:val="right"/>
                  <w:rPr>
                    <w:sz w:val="18"/>
                    <w:szCs w:val="18"/>
                  </w:rPr>
                </w:pPr>
              </w:p>
            </w:tc>
            <w:tc>
              <w:tcPr>
                <w:tcW w:w="340" w:type="pct"/>
              </w:tcPr>
              <w:p>
                <w:pPr>
                  <w:jc w:val="right"/>
                  <w:rPr>
                    <w:sz w:val="18"/>
                    <w:szCs w:val="18"/>
                  </w:rPr>
                </w:pPr>
              </w:p>
            </w:tc>
            <w:tc>
              <w:tcPr>
                <w:tcW w:w="414"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sdt>
                <w:sdtPr>
                  <w:rPr>
                    <w:sz w:val="18"/>
                    <w:szCs w:val="18"/>
                  </w:rPr>
                  <w:tag w:val="_PLD_4cff15a1162840c480701077d824f063"/>
                  <w:id w:val="1791630473"/>
                </w:sdtPr>
                <w:sdtEndPr>
                  <w:rPr>
                    <w:sz w:val="18"/>
                    <w:szCs w:val="18"/>
                  </w:rPr>
                </w:sdtEndPr>
                <w:sdtContent>
                  <w:p>
                    <w:pPr>
                      <w:pStyle w:val="501"/>
                    </w:pPr>
                    <w:r>
                      <w:rPr>
                        <w:sz w:val="18"/>
                        <w:szCs w:val="18"/>
                      </w:rPr>
                      <w:t>4．设定受益计划变动额结转留存收益</w:t>
                    </w:r>
                  </w:p>
                </w:sdtContent>
              </w:sdt>
            </w:tc>
            <w:tc>
              <w:tcPr>
                <w:tcW w:w="272" w:type="pct"/>
              </w:tcPr>
              <w:p>
                <w:pPr>
                  <w:jc w:val="right"/>
                  <w:rPr>
                    <w:sz w:val="18"/>
                    <w:szCs w:val="18"/>
                  </w:rPr>
                </w:pPr>
              </w:p>
            </w:tc>
            <w:tc>
              <w:tcPr>
                <w:tcW w:w="272" w:type="pct"/>
              </w:tcPr>
              <w:p>
                <w:pPr>
                  <w:jc w:val="right"/>
                  <w:rPr>
                    <w:sz w:val="18"/>
                    <w:szCs w:val="18"/>
                  </w:rPr>
                </w:pPr>
              </w:p>
            </w:tc>
            <w:tc>
              <w:tcPr>
                <w:tcW w:w="276" w:type="pct"/>
              </w:tcPr>
              <w:p>
                <w:pPr>
                  <w:jc w:val="right"/>
                  <w:rPr>
                    <w:sz w:val="18"/>
                    <w:szCs w:val="18"/>
                  </w:rPr>
                </w:pPr>
              </w:p>
            </w:tc>
            <w:tc>
              <w:tcPr>
                <w:tcW w:w="176" w:type="pct"/>
              </w:tcPr>
              <w:p>
                <w:pPr>
                  <w:jc w:val="right"/>
                  <w:rPr>
                    <w:sz w:val="18"/>
                    <w:szCs w:val="18"/>
                  </w:rPr>
                </w:pPr>
              </w:p>
            </w:tc>
            <w:tc>
              <w:tcPr>
                <w:tcW w:w="307" w:type="pct"/>
              </w:tcPr>
              <w:p>
                <w:pPr>
                  <w:jc w:val="right"/>
                  <w:rPr>
                    <w:sz w:val="18"/>
                    <w:szCs w:val="18"/>
                  </w:rPr>
                </w:pPr>
              </w:p>
            </w:tc>
            <w:tc>
              <w:tcPr>
                <w:tcW w:w="256" w:type="pct"/>
              </w:tcPr>
              <w:p>
                <w:pPr>
                  <w:jc w:val="right"/>
                  <w:rPr>
                    <w:sz w:val="18"/>
                    <w:szCs w:val="18"/>
                  </w:rPr>
                </w:pPr>
              </w:p>
            </w:tc>
            <w:tc>
              <w:tcPr>
                <w:tcW w:w="306" w:type="pct"/>
              </w:tcPr>
              <w:p>
                <w:pPr>
                  <w:jc w:val="right"/>
                  <w:rPr>
                    <w:sz w:val="18"/>
                    <w:szCs w:val="18"/>
                  </w:rPr>
                </w:pPr>
              </w:p>
            </w:tc>
            <w:tc>
              <w:tcPr>
                <w:tcW w:w="320"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10" w:type="pct"/>
              </w:tcPr>
              <w:p>
                <w:pPr>
                  <w:jc w:val="right"/>
                  <w:rPr>
                    <w:sz w:val="18"/>
                    <w:szCs w:val="18"/>
                  </w:rPr>
                </w:pPr>
              </w:p>
            </w:tc>
            <w:tc>
              <w:tcPr>
                <w:tcW w:w="256" w:type="pct"/>
              </w:tcPr>
              <w:p>
                <w:pPr>
                  <w:jc w:val="right"/>
                  <w:rPr>
                    <w:sz w:val="18"/>
                    <w:szCs w:val="18"/>
                  </w:rPr>
                </w:pPr>
              </w:p>
            </w:tc>
            <w:tc>
              <w:tcPr>
                <w:tcW w:w="310" w:type="pct"/>
              </w:tcPr>
              <w:p>
                <w:pPr>
                  <w:jc w:val="right"/>
                  <w:rPr>
                    <w:sz w:val="18"/>
                    <w:szCs w:val="18"/>
                  </w:rPr>
                </w:pPr>
              </w:p>
            </w:tc>
            <w:tc>
              <w:tcPr>
                <w:tcW w:w="340" w:type="pct"/>
              </w:tcPr>
              <w:p>
                <w:pPr>
                  <w:jc w:val="right"/>
                  <w:rPr>
                    <w:sz w:val="18"/>
                    <w:szCs w:val="18"/>
                  </w:rPr>
                </w:pPr>
              </w:p>
            </w:tc>
            <w:tc>
              <w:tcPr>
                <w:tcW w:w="414"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vAlign w:val="center"/>
              </w:tcPr>
              <w:sdt>
                <w:sdtPr>
                  <w:rPr>
                    <w:sz w:val="18"/>
                    <w:szCs w:val="18"/>
                  </w:rPr>
                  <w:tag w:val="_PLD_01b44dab85214948b610b65ce91a85dd"/>
                  <w:id w:val="319165456"/>
                </w:sdtPr>
                <w:sdtEndPr>
                  <w:rPr>
                    <w:sz w:val="18"/>
                    <w:szCs w:val="18"/>
                  </w:rPr>
                </w:sdtEndPr>
                <w:sdtContent>
                  <w:p>
                    <w:pPr>
                      <w:rPr>
                        <w:sz w:val="18"/>
                        <w:szCs w:val="18"/>
                      </w:rPr>
                    </w:pPr>
                    <w:r>
                      <w:rPr>
                        <w:sz w:val="18"/>
                        <w:szCs w:val="18"/>
                      </w:rPr>
                      <w:t>5．其他综合收益结转留存收益</w:t>
                    </w:r>
                  </w:p>
                </w:sdtContent>
              </w:sdt>
            </w:tc>
            <w:tc>
              <w:tcPr>
                <w:tcW w:w="272" w:type="pct"/>
              </w:tcPr>
              <w:p>
                <w:pPr>
                  <w:jc w:val="right"/>
                  <w:rPr>
                    <w:sz w:val="18"/>
                    <w:szCs w:val="18"/>
                  </w:rPr>
                </w:pPr>
              </w:p>
            </w:tc>
            <w:tc>
              <w:tcPr>
                <w:tcW w:w="272" w:type="pct"/>
              </w:tcPr>
              <w:p>
                <w:pPr>
                  <w:jc w:val="right"/>
                  <w:rPr>
                    <w:sz w:val="18"/>
                    <w:szCs w:val="18"/>
                  </w:rPr>
                </w:pPr>
              </w:p>
            </w:tc>
            <w:tc>
              <w:tcPr>
                <w:tcW w:w="276" w:type="pct"/>
              </w:tcPr>
              <w:p>
                <w:pPr>
                  <w:jc w:val="right"/>
                  <w:rPr>
                    <w:sz w:val="18"/>
                    <w:szCs w:val="18"/>
                  </w:rPr>
                </w:pPr>
              </w:p>
            </w:tc>
            <w:tc>
              <w:tcPr>
                <w:tcW w:w="176" w:type="pct"/>
              </w:tcPr>
              <w:p>
                <w:pPr>
                  <w:jc w:val="right"/>
                  <w:rPr>
                    <w:sz w:val="18"/>
                    <w:szCs w:val="18"/>
                  </w:rPr>
                </w:pPr>
              </w:p>
            </w:tc>
            <w:tc>
              <w:tcPr>
                <w:tcW w:w="307" w:type="pct"/>
              </w:tcPr>
              <w:p>
                <w:pPr>
                  <w:jc w:val="right"/>
                  <w:rPr>
                    <w:sz w:val="18"/>
                    <w:szCs w:val="18"/>
                  </w:rPr>
                </w:pPr>
              </w:p>
            </w:tc>
            <w:tc>
              <w:tcPr>
                <w:tcW w:w="256" w:type="pct"/>
              </w:tcPr>
              <w:p>
                <w:pPr>
                  <w:jc w:val="right"/>
                  <w:rPr>
                    <w:sz w:val="18"/>
                    <w:szCs w:val="18"/>
                  </w:rPr>
                </w:pPr>
              </w:p>
            </w:tc>
            <w:tc>
              <w:tcPr>
                <w:tcW w:w="306" w:type="pct"/>
              </w:tcPr>
              <w:p>
                <w:pPr>
                  <w:jc w:val="right"/>
                  <w:rPr>
                    <w:sz w:val="18"/>
                    <w:szCs w:val="18"/>
                  </w:rPr>
                </w:pPr>
              </w:p>
            </w:tc>
            <w:tc>
              <w:tcPr>
                <w:tcW w:w="320"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10" w:type="pct"/>
              </w:tcPr>
              <w:p>
                <w:pPr>
                  <w:jc w:val="right"/>
                  <w:rPr>
                    <w:sz w:val="18"/>
                    <w:szCs w:val="18"/>
                  </w:rPr>
                </w:pPr>
              </w:p>
            </w:tc>
            <w:tc>
              <w:tcPr>
                <w:tcW w:w="256" w:type="pct"/>
              </w:tcPr>
              <w:p>
                <w:pPr>
                  <w:jc w:val="right"/>
                  <w:rPr>
                    <w:sz w:val="18"/>
                    <w:szCs w:val="18"/>
                  </w:rPr>
                </w:pPr>
              </w:p>
            </w:tc>
            <w:tc>
              <w:tcPr>
                <w:tcW w:w="310" w:type="pct"/>
              </w:tcPr>
              <w:p>
                <w:pPr>
                  <w:jc w:val="right"/>
                  <w:rPr>
                    <w:sz w:val="18"/>
                    <w:szCs w:val="18"/>
                  </w:rPr>
                </w:pPr>
              </w:p>
            </w:tc>
            <w:tc>
              <w:tcPr>
                <w:tcW w:w="340" w:type="pct"/>
              </w:tcPr>
              <w:p>
                <w:pPr>
                  <w:jc w:val="right"/>
                  <w:rPr>
                    <w:sz w:val="18"/>
                    <w:szCs w:val="18"/>
                  </w:rPr>
                </w:pPr>
              </w:p>
            </w:tc>
            <w:tc>
              <w:tcPr>
                <w:tcW w:w="414"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ac599075bf24593ba41b1bec2fb0e9e"/>
                <w:id w:val="-306628753"/>
              </w:sdtPr>
              <w:sdtContent>
                <w:tc>
                  <w:tcPr>
                    <w:tcW w:w="639" w:type="pct"/>
                    <w:vAlign w:val="center"/>
                  </w:tcPr>
                  <w:p>
                    <w:pPr>
                      <w:rPr>
                        <w:sz w:val="18"/>
                        <w:szCs w:val="18"/>
                      </w:rPr>
                    </w:pPr>
                    <w:r>
                      <w:rPr>
                        <w:sz w:val="18"/>
                        <w:szCs w:val="18"/>
                      </w:rPr>
                      <w:t>6．其他</w:t>
                    </w:r>
                  </w:p>
                </w:tc>
              </w:sdtContent>
            </w:sdt>
            <w:tc>
              <w:tcPr>
                <w:tcW w:w="272" w:type="pct"/>
              </w:tcPr>
              <w:p>
                <w:pPr>
                  <w:jc w:val="right"/>
                  <w:rPr>
                    <w:sz w:val="18"/>
                    <w:szCs w:val="18"/>
                  </w:rPr>
                </w:pPr>
              </w:p>
            </w:tc>
            <w:tc>
              <w:tcPr>
                <w:tcW w:w="272" w:type="pct"/>
              </w:tcPr>
              <w:p>
                <w:pPr>
                  <w:jc w:val="right"/>
                  <w:rPr>
                    <w:sz w:val="18"/>
                    <w:szCs w:val="18"/>
                  </w:rPr>
                </w:pPr>
              </w:p>
            </w:tc>
            <w:tc>
              <w:tcPr>
                <w:tcW w:w="276" w:type="pct"/>
              </w:tcPr>
              <w:p>
                <w:pPr>
                  <w:jc w:val="right"/>
                  <w:rPr>
                    <w:sz w:val="18"/>
                    <w:szCs w:val="18"/>
                  </w:rPr>
                </w:pPr>
              </w:p>
            </w:tc>
            <w:tc>
              <w:tcPr>
                <w:tcW w:w="176" w:type="pct"/>
              </w:tcPr>
              <w:p>
                <w:pPr>
                  <w:jc w:val="right"/>
                  <w:rPr>
                    <w:sz w:val="18"/>
                    <w:szCs w:val="18"/>
                  </w:rPr>
                </w:pPr>
              </w:p>
            </w:tc>
            <w:tc>
              <w:tcPr>
                <w:tcW w:w="307" w:type="pct"/>
              </w:tcPr>
              <w:p>
                <w:pPr>
                  <w:jc w:val="right"/>
                  <w:rPr>
                    <w:sz w:val="18"/>
                    <w:szCs w:val="18"/>
                  </w:rPr>
                </w:pPr>
              </w:p>
            </w:tc>
            <w:tc>
              <w:tcPr>
                <w:tcW w:w="256" w:type="pct"/>
              </w:tcPr>
              <w:p>
                <w:pPr>
                  <w:jc w:val="right"/>
                  <w:rPr>
                    <w:sz w:val="18"/>
                    <w:szCs w:val="18"/>
                  </w:rPr>
                </w:pPr>
              </w:p>
            </w:tc>
            <w:tc>
              <w:tcPr>
                <w:tcW w:w="306" w:type="pct"/>
              </w:tcPr>
              <w:p>
                <w:pPr>
                  <w:jc w:val="right"/>
                  <w:rPr>
                    <w:sz w:val="18"/>
                    <w:szCs w:val="18"/>
                  </w:rPr>
                </w:pPr>
              </w:p>
            </w:tc>
            <w:tc>
              <w:tcPr>
                <w:tcW w:w="320"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10" w:type="pct"/>
              </w:tcPr>
              <w:p>
                <w:pPr>
                  <w:jc w:val="right"/>
                  <w:rPr>
                    <w:sz w:val="18"/>
                    <w:szCs w:val="18"/>
                  </w:rPr>
                </w:pPr>
              </w:p>
            </w:tc>
            <w:tc>
              <w:tcPr>
                <w:tcW w:w="256" w:type="pct"/>
              </w:tcPr>
              <w:p>
                <w:pPr>
                  <w:jc w:val="right"/>
                  <w:rPr>
                    <w:sz w:val="18"/>
                    <w:szCs w:val="18"/>
                  </w:rPr>
                </w:pPr>
              </w:p>
            </w:tc>
            <w:tc>
              <w:tcPr>
                <w:tcW w:w="310" w:type="pct"/>
              </w:tcPr>
              <w:p>
                <w:pPr>
                  <w:jc w:val="right"/>
                  <w:rPr>
                    <w:sz w:val="18"/>
                    <w:szCs w:val="18"/>
                  </w:rPr>
                </w:pPr>
              </w:p>
            </w:tc>
            <w:tc>
              <w:tcPr>
                <w:tcW w:w="340" w:type="pct"/>
              </w:tcPr>
              <w:p>
                <w:pPr>
                  <w:jc w:val="right"/>
                  <w:rPr>
                    <w:sz w:val="18"/>
                    <w:szCs w:val="18"/>
                  </w:rPr>
                </w:pPr>
              </w:p>
            </w:tc>
            <w:tc>
              <w:tcPr>
                <w:tcW w:w="414"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606d8680d944e6999b3743f1fcf75f9"/>
                <w:id w:val="-450478058"/>
              </w:sdtPr>
              <w:sdtContent>
                <w:tc>
                  <w:tcPr>
                    <w:tcW w:w="639" w:type="pct"/>
                    <w:vAlign w:val="center"/>
                  </w:tcPr>
                  <w:p>
                    <w:pPr>
                      <w:rPr>
                        <w:sz w:val="18"/>
                        <w:szCs w:val="18"/>
                      </w:rPr>
                    </w:pPr>
                    <w:r>
                      <w:rPr>
                        <w:rFonts w:hint="eastAsia"/>
                        <w:sz w:val="18"/>
                        <w:szCs w:val="18"/>
                      </w:rPr>
                      <w:t>（五）专项储备</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r>
                  <w:rPr>
                    <w:rFonts w:ascii="宋体" w:hAnsi="宋体"/>
                    <w:spacing w:val="-50"/>
                    <w:highlight w:val="yellow"/>
                  </w:rPr>
                  <w:t xml:space="preserve">    </w:t>
                </w:r>
              </w:p>
            </w:tc>
            <w:tc>
              <w:tcPr>
                <w:tcW w:w="320" w:type="pct"/>
                <w:vAlign w:val="center"/>
              </w:tcPr>
              <w:p>
                <w:pPr>
                  <w:jc w:val="right"/>
                  <w:rPr>
                    <w:sz w:val="18"/>
                    <w:szCs w:val="18"/>
                  </w:rPr>
                </w:pPr>
                <w:r>
                  <w:rPr>
                    <w:rFonts w:ascii="宋体" w:hAnsi="宋体"/>
                    <w:spacing w:val="-50"/>
                  </w:rPr>
                  <w:t>-1,216,127</w:t>
                </w: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-1,216,127</w:t>
                </w:r>
              </w:p>
            </w:tc>
            <w:tc>
              <w:tcPr>
                <w:tcW w:w="340" w:type="pct"/>
                <w:vAlign w:val="center"/>
              </w:tcPr>
              <w:p>
                <w:pPr>
                  <w:jc w:val="right"/>
                  <w:rPr>
                    <w:sz w:val="18"/>
                    <w:szCs w:val="18"/>
                  </w:rPr>
                </w:pPr>
                <w:r>
                  <w:rPr>
                    <w:rFonts w:ascii="宋体" w:hAnsi="宋体"/>
                    <w:spacing w:val="-50"/>
                  </w:rPr>
                  <w:t>-106,521</w:t>
                </w:r>
              </w:p>
            </w:tc>
            <w:tc>
              <w:tcPr>
                <w:tcW w:w="414" w:type="pct"/>
                <w:vAlign w:val="center"/>
              </w:tcPr>
              <w:p>
                <w:pPr>
                  <w:jc w:val="right"/>
                  <w:rPr>
                    <w:sz w:val="18"/>
                    <w:szCs w:val="18"/>
                  </w:rPr>
                </w:pPr>
                <w:r>
                  <w:rPr>
                    <w:rFonts w:ascii="宋体" w:hAnsi="宋体"/>
                    <w:spacing w:val="-50"/>
                  </w:rPr>
                  <w:t>-1,322,648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1e7a107b4eb42c48000b98a786d499c"/>
                <w:id w:val="-638254548"/>
              </w:sdtPr>
              <w:sdtContent>
                <w:tc>
                  <w:tcPr>
                    <w:tcW w:w="639" w:type="pct"/>
                    <w:vAlign w:val="center"/>
                  </w:tcPr>
                  <w:p>
                    <w:pPr>
                      <w:rPr>
                        <w:sz w:val="18"/>
                        <w:szCs w:val="18"/>
                      </w:rPr>
                    </w:pPr>
                    <w:r>
                      <w:rPr>
                        <w:rFonts w:hint="eastAsia"/>
                        <w:sz w:val="18"/>
                        <w:szCs w:val="18"/>
                      </w:rPr>
                      <w:t>1．本期提取</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r>
                  <w:rPr>
                    <w:rFonts w:ascii="宋体" w:hAnsi="宋体"/>
                    <w:spacing w:val="-50"/>
                  </w:rPr>
                  <w:t>3,497,833</w:t>
                </w: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3,497,833</w:t>
                </w:r>
              </w:p>
            </w:tc>
            <w:tc>
              <w:tcPr>
                <w:tcW w:w="340" w:type="pct"/>
                <w:vAlign w:val="center"/>
              </w:tcPr>
              <w:p>
                <w:pPr>
                  <w:jc w:val="right"/>
                  <w:rPr>
                    <w:sz w:val="18"/>
                    <w:szCs w:val="18"/>
                  </w:rPr>
                </w:pPr>
                <w:r>
                  <w:rPr>
                    <w:rFonts w:ascii="宋体" w:hAnsi="宋体"/>
                    <w:spacing w:val="-50"/>
                  </w:rPr>
                  <w:t>1,254,456</w:t>
                </w:r>
              </w:p>
            </w:tc>
            <w:tc>
              <w:tcPr>
                <w:tcW w:w="414" w:type="pct"/>
                <w:vAlign w:val="center"/>
              </w:tcPr>
              <w:p>
                <w:pPr>
                  <w:jc w:val="right"/>
                  <w:rPr>
                    <w:sz w:val="18"/>
                    <w:szCs w:val="18"/>
                  </w:rPr>
                </w:pPr>
                <w:r>
                  <w:rPr>
                    <w:rFonts w:ascii="宋体" w:hAnsi="宋体"/>
                    <w:spacing w:val="-50"/>
                  </w:rPr>
                  <w:t>4,752,289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9b59bbd4f7a49708a1fc0c2a96e3869"/>
                <w:id w:val="-1858723396"/>
              </w:sdtPr>
              <w:sdtContent>
                <w:tc>
                  <w:tcPr>
                    <w:tcW w:w="639" w:type="pct"/>
                    <w:vAlign w:val="center"/>
                  </w:tcPr>
                  <w:p>
                    <w:pPr>
                      <w:rPr>
                        <w:sz w:val="18"/>
                        <w:szCs w:val="18"/>
                      </w:rPr>
                    </w:pPr>
                    <w:r>
                      <w:rPr>
                        <w:rFonts w:hint="eastAsia"/>
                        <w:sz w:val="18"/>
                        <w:szCs w:val="18"/>
                      </w:rPr>
                      <w:t>2．本期使用</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r>
                  <w:rPr>
                    <w:rFonts w:ascii="宋体" w:hAnsi="宋体"/>
                    <w:spacing w:val="-50"/>
                  </w:rPr>
                  <w:t>4,713,960</w:t>
                </w: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4,713,960</w:t>
                </w:r>
              </w:p>
            </w:tc>
            <w:tc>
              <w:tcPr>
                <w:tcW w:w="340" w:type="pct"/>
                <w:vAlign w:val="center"/>
              </w:tcPr>
              <w:p>
                <w:pPr>
                  <w:jc w:val="right"/>
                  <w:rPr>
                    <w:sz w:val="18"/>
                    <w:szCs w:val="18"/>
                  </w:rPr>
                </w:pPr>
                <w:r>
                  <w:rPr>
                    <w:rFonts w:ascii="宋体" w:hAnsi="宋体"/>
                    <w:spacing w:val="-50"/>
                  </w:rPr>
                  <w:t xml:space="preserve">1,360,977 </w:t>
                </w:r>
              </w:p>
            </w:tc>
            <w:tc>
              <w:tcPr>
                <w:tcW w:w="414" w:type="pct"/>
                <w:vAlign w:val="center"/>
              </w:tcPr>
              <w:p>
                <w:pPr>
                  <w:jc w:val="right"/>
                  <w:rPr>
                    <w:sz w:val="18"/>
                    <w:szCs w:val="18"/>
                  </w:rPr>
                </w:pPr>
                <w:r>
                  <w:rPr>
                    <w:rFonts w:ascii="宋体" w:hAnsi="宋体"/>
                    <w:spacing w:val="-50"/>
                  </w:rPr>
                  <w:t>6,074,937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e6f5912872d41cc910f3bdca18b82d0"/>
                <w:id w:val="1951435831"/>
              </w:sdtPr>
              <w:sdtContent>
                <w:tc>
                  <w:tcPr>
                    <w:tcW w:w="639" w:type="pct"/>
                    <w:vAlign w:val="center"/>
                  </w:tcPr>
                  <w:p>
                    <w:pPr>
                      <w:rPr>
                        <w:sz w:val="18"/>
                        <w:szCs w:val="18"/>
                      </w:rPr>
                    </w:pPr>
                    <w:r>
                      <w:rPr>
                        <w:rFonts w:hint="eastAsia"/>
                        <w:sz w:val="18"/>
                        <w:szCs w:val="18"/>
                      </w:rPr>
                      <w:t>（六）其他</w:t>
                    </w:r>
                  </w:p>
                </w:tc>
              </w:sdtContent>
            </w:sdt>
            <w:tc>
              <w:tcPr>
                <w:tcW w:w="272" w:type="pct"/>
                <w:vAlign w:val="center"/>
              </w:tcPr>
              <w:p>
                <w:pPr>
                  <w:jc w:val="right"/>
                  <w:rPr>
                    <w:sz w:val="18"/>
                    <w:szCs w:val="18"/>
                  </w:rPr>
                </w:pPr>
              </w:p>
            </w:tc>
            <w:tc>
              <w:tcPr>
                <w:tcW w:w="272" w:type="pct"/>
                <w:vAlign w:val="center"/>
              </w:tcPr>
              <w:p>
                <w:pPr>
                  <w:jc w:val="right"/>
                  <w:rPr>
                    <w:sz w:val="18"/>
                    <w:szCs w:val="18"/>
                  </w:rPr>
                </w:pPr>
              </w:p>
            </w:tc>
            <w:tc>
              <w:tcPr>
                <w:tcW w:w="276" w:type="pct"/>
                <w:vAlign w:val="center"/>
              </w:tcPr>
              <w:p>
                <w:pPr>
                  <w:jc w:val="right"/>
                  <w:rPr>
                    <w:sz w:val="18"/>
                    <w:szCs w:val="18"/>
                  </w:rPr>
                </w:pPr>
              </w:p>
            </w:tc>
            <w:tc>
              <w:tcPr>
                <w:tcW w:w="176"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-1,424,052</w:t>
                </w:r>
              </w:p>
            </w:tc>
            <w:tc>
              <w:tcPr>
                <w:tcW w:w="256" w:type="pct"/>
                <w:vAlign w:val="center"/>
              </w:tcPr>
              <w:p>
                <w:pPr>
                  <w:jc w:val="right"/>
                  <w:rPr>
                    <w:sz w:val="18"/>
                    <w:szCs w:val="18"/>
                  </w:rPr>
                </w:pPr>
              </w:p>
            </w:tc>
            <w:tc>
              <w:tcPr>
                <w:tcW w:w="306" w:type="pct"/>
                <w:vAlign w:val="center"/>
              </w:tcPr>
              <w:p>
                <w:pPr>
                  <w:jc w:val="right"/>
                  <w:rPr>
                    <w:sz w:val="18"/>
                    <w:szCs w:val="18"/>
                  </w:rPr>
                </w:pPr>
              </w:p>
            </w:tc>
            <w:tc>
              <w:tcPr>
                <w:tcW w:w="320"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4,860</w:t>
                </w:r>
              </w:p>
            </w:tc>
            <w:tc>
              <w:tcPr>
                <w:tcW w:w="256" w:type="pct"/>
                <w:vAlign w:val="center"/>
              </w:tcPr>
              <w:p>
                <w:pPr>
                  <w:jc w:val="right"/>
                  <w:rPr>
                    <w:sz w:val="18"/>
                    <w:szCs w:val="18"/>
                  </w:rPr>
                </w:pPr>
              </w:p>
            </w:tc>
            <w:tc>
              <w:tcPr>
                <w:tcW w:w="310" w:type="pct"/>
                <w:vAlign w:val="center"/>
              </w:tcPr>
              <w:p>
                <w:pPr>
                  <w:jc w:val="right"/>
                  <w:rPr>
                    <w:sz w:val="18"/>
                    <w:szCs w:val="18"/>
                  </w:rPr>
                </w:pPr>
                <w:r>
                  <w:rPr>
                    <w:rFonts w:ascii="宋体" w:hAnsi="宋体"/>
                    <w:spacing w:val="-50"/>
                  </w:rPr>
                  <w:t>-1,419,192</w:t>
                </w:r>
              </w:p>
            </w:tc>
            <w:tc>
              <w:tcPr>
                <w:tcW w:w="340" w:type="pct"/>
                <w:vAlign w:val="center"/>
              </w:tcPr>
              <w:p>
                <w:pPr>
                  <w:jc w:val="right"/>
                  <w:rPr>
                    <w:sz w:val="18"/>
                    <w:szCs w:val="18"/>
                  </w:rPr>
                </w:pPr>
                <w:r>
                  <w:rPr>
                    <w:rFonts w:ascii="宋体" w:hAnsi="宋体"/>
                    <w:spacing w:val="-50"/>
                  </w:rPr>
                  <w:t>558</w:t>
                </w:r>
              </w:p>
            </w:tc>
            <w:tc>
              <w:tcPr>
                <w:tcW w:w="414" w:type="pct"/>
                <w:vAlign w:val="center"/>
              </w:tcPr>
              <w:p>
                <w:pPr>
                  <w:jc w:val="right"/>
                  <w:rPr>
                    <w:sz w:val="18"/>
                    <w:szCs w:val="18"/>
                  </w:rPr>
                </w:pPr>
                <w:r>
                  <w:rPr>
                    <w:rFonts w:ascii="宋体" w:hAnsi="宋体"/>
                    <w:spacing w:val="-50"/>
                  </w:rPr>
                  <w:t>-1,418,634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6ec7abefe954758b48497b1b1440546"/>
                <w:id w:val="2057887255"/>
              </w:sdtPr>
              <w:sdtContent>
                <w:tc>
                  <w:tcPr>
                    <w:tcW w:w="639" w:type="pct"/>
                    <w:vAlign w:val="center"/>
                  </w:tcPr>
                  <w:p>
                    <w:pPr>
                      <w:rPr>
                        <w:sz w:val="18"/>
                        <w:szCs w:val="18"/>
                      </w:rPr>
                    </w:pPr>
                    <w:r>
                      <w:rPr>
                        <w:sz w:val="18"/>
                        <w:szCs w:val="18"/>
                      </w:rPr>
                      <w:t>四、本期期末余额</w:t>
                    </w:r>
                  </w:p>
                </w:tc>
              </w:sdtContent>
            </w:sdt>
            <w:tc>
              <w:tcPr>
                <w:tcW w:w="272" w:type="pct"/>
                <w:vAlign w:val="center"/>
              </w:tcPr>
              <w:p>
                <w:pPr>
                  <w:jc w:val="right"/>
                  <w:rPr>
                    <w:sz w:val="18"/>
                    <w:szCs w:val="18"/>
                  </w:rPr>
                </w:pPr>
                <w:r>
                  <w:rPr>
                    <w:rFonts w:ascii="宋体" w:hAnsi="宋体"/>
                    <w:bCs/>
                    <w:spacing w:val="-50"/>
                  </w:rPr>
                  <w:t>7,439,371</w:t>
                </w:r>
              </w:p>
            </w:tc>
            <w:tc>
              <w:tcPr>
                <w:tcW w:w="272" w:type="pct"/>
                <w:vAlign w:val="center"/>
              </w:tcPr>
              <w:p>
                <w:pPr>
                  <w:jc w:val="right"/>
                  <w:rPr>
                    <w:sz w:val="18"/>
                    <w:szCs w:val="18"/>
                  </w:rPr>
                </w:pPr>
                <w:r>
                  <w:rPr>
                    <w:rFonts w:ascii="宋体" w:hAnsi="宋体"/>
                    <w:bCs/>
                    <w:spacing w:val="-50"/>
                    <w:highlight w:val="yellow"/>
                  </w:rPr>
                  <w:t xml:space="preserve">  </w:t>
                </w:r>
              </w:p>
            </w:tc>
            <w:tc>
              <w:tcPr>
                <w:tcW w:w="276" w:type="pct"/>
                <w:vAlign w:val="center"/>
              </w:tcPr>
              <w:p>
                <w:pPr>
                  <w:jc w:val="right"/>
                  <w:rPr>
                    <w:sz w:val="18"/>
                    <w:szCs w:val="18"/>
                  </w:rPr>
                </w:pPr>
                <w:r>
                  <w:rPr>
                    <w:rFonts w:ascii="宋体" w:hAnsi="宋体"/>
                    <w:bCs/>
                    <w:spacing w:val="-50"/>
                  </w:rPr>
                  <w:t>16,541,777</w:t>
                </w:r>
              </w:p>
            </w:tc>
            <w:tc>
              <w:tcPr>
                <w:tcW w:w="176" w:type="pct"/>
                <w:vAlign w:val="center"/>
              </w:tcPr>
              <w:p>
                <w:pPr>
                  <w:jc w:val="right"/>
                  <w:rPr>
                    <w:sz w:val="18"/>
                    <w:szCs w:val="18"/>
                  </w:rPr>
                </w:pPr>
                <w:r>
                  <w:rPr>
                    <w:rFonts w:ascii="宋体" w:hAnsi="宋体"/>
                    <w:bCs/>
                    <w:spacing w:val="-50"/>
                    <w:highlight w:val="yellow"/>
                  </w:rPr>
                  <w:t xml:space="preserve">  </w:t>
                </w:r>
              </w:p>
            </w:tc>
            <w:tc>
              <w:tcPr>
                <w:tcW w:w="307" w:type="pct"/>
                <w:vAlign w:val="center"/>
              </w:tcPr>
              <w:p>
                <w:pPr>
                  <w:jc w:val="right"/>
                  <w:rPr>
                    <w:sz w:val="18"/>
                    <w:szCs w:val="18"/>
                  </w:rPr>
                </w:pPr>
                <w:r>
                  <w:rPr>
                    <w:rFonts w:ascii="宋体" w:hAnsi="宋体"/>
                    <w:bCs/>
                    <w:spacing w:val="-50"/>
                  </w:rPr>
                  <w:t>-79,104</w:t>
                </w:r>
              </w:p>
            </w:tc>
            <w:tc>
              <w:tcPr>
                <w:tcW w:w="256" w:type="pct"/>
                <w:vAlign w:val="center"/>
              </w:tcPr>
              <w:p>
                <w:pPr>
                  <w:jc w:val="right"/>
                  <w:rPr>
                    <w:sz w:val="18"/>
                    <w:szCs w:val="18"/>
                  </w:rPr>
                </w:pPr>
                <w:r>
                  <w:rPr>
                    <w:rFonts w:ascii="宋体" w:hAnsi="宋体"/>
                    <w:bCs/>
                    <w:spacing w:val="-50"/>
                  </w:rPr>
                  <w:t>324,980</w:t>
                </w:r>
              </w:p>
            </w:tc>
            <w:tc>
              <w:tcPr>
                <w:tcW w:w="306" w:type="pct"/>
                <w:vAlign w:val="center"/>
              </w:tcPr>
              <w:p>
                <w:pPr>
                  <w:jc w:val="right"/>
                  <w:rPr>
                    <w:sz w:val="18"/>
                    <w:szCs w:val="18"/>
                  </w:rPr>
                </w:pPr>
                <w:r>
                  <w:rPr>
                    <w:rFonts w:ascii="宋体" w:hAnsi="宋体"/>
                    <w:bCs/>
                    <w:spacing w:val="-50"/>
                  </w:rPr>
                  <w:t>-6,334,716</w:t>
                </w:r>
              </w:p>
            </w:tc>
            <w:tc>
              <w:tcPr>
                <w:tcW w:w="320" w:type="pct"/>
                <w:vAlign w:val="center"/>
              </w:tcPr>
              <w:p>
                <w:pPr>
                  <w:jc w:val="right"/>
                  <w:rPr>
                    <w:sz w:val="18"/>
                    <w:szCs w:val="18"/>
                  </w:rPr>
                </w:pPr>
                <w:r>
                  <w:rPr>
                    <w:rFonts w:ascii="宋体" w:hAnsi="宋体"/>
                    <w:bCs/>
                    <w:spacing w:val="-50"/>
                  </w:rPr>
                  <w:t>3,586,506</w:t>
                </w:r>
              </w:p>
            </w:tc>
            <w:tc>
              <w:tcPr>
                <w:tcW w:w="273" w:type="pct"/>
                <w:vAlign w:val="center"/>
              </w:tcPr>
              <w:p>
                <w:pPr>
                  <w:jc w:val="right"/>
                  <w:rPr>
                    <w:sz w:val="18"/>
                    <w:szCs w:val="18"/>
                  </w:rPr>
                </w:pPr>
                <w:r>
                  <w:rPr>
                    <w:rFonts w:ascii="宋体" w:hAnsi="宋体"/>
                    <w:bCs/>
                    <w:spacing w:val="-50"/>
                  </w:rPr>
                  <w:t>1,663,814</w:t>
                </w:r>
              </w:p>
            </w:tc>
            <w:tc>
              <w:tcPr>
                <w:tcW w:w="273" w:type="pct"/>
                <w:vAlign w:val="center"/>
              </w:tcPr>
              <w:p>
                <w:pPr>
                  <w:jc w:val="right"/>
                  <w:rPr>
                    <w:sz w:val="18"/>
                    <w:szCs w:val="18"/>
                  </w:rPr>
                </w:pPr>
                <w:r>
                  <w:rPr>
                    <w:rFonts w:ascii="宋体" w:hAnsi="宋体"/>
                    <w:bCs/>
                    <w:spacing w:val="-50"/>
                    <w:highlight w:val="yellow"/>
                  </w:rPr>
                  <w:t xml:space="preserve">   </w:t>
                </w:r>
              </w:p>
            </w:tc>
            <w:tc>
              <w:tcPr>
                <w:tcW w:w="310" w:type="pct"/>
                <w:vAlign w:val="center"/>
              </w:tcPr>
              <w:p>
                <w:pPr>
                  <w:jc w:val="right"/>
                  <w:rPr>
                    <w:sz w:val="18"/>
                    <w:szCs w:val="18"/>
                  </w:rPr>
                </w:pPr>
                <w:r>
                  <w:rPr>
                    <w:rFonts w:ascii="宋体" w:hAnsi="宋体"/>
                    <w:bCs/>
                    <w:spacing w:val="-50"/>
                  </w:rPr>
                  <w:t>50,201,234</w:t>
                </w:r>
              </w:p>
            </w:tc>
            <w:tc>
              <w:tcPr>
                <w:tcW w:w="256" w:type="pct"/>
                <w:vAlign w:val="center"/>
              </w:tcPr>
              <w:p>
                <w:pPr>
                  <w:jc w:val="right"/>
                  <w:rPr>
                    <w:sz w:val="18"/>
                    <w:szCs w:val="18"/>
                  </w:rPr>
                </w:pPr>
                <w:r>
                  <w:rPr>
                    <w:rFonts w:ascii="宋体" w:hAnsi="宋体"/>
                    <w:bCs/>
                    <w:spacing w:val="-50"/>
                    <w:highlight w:val="yellow"/>
                  </w:rPr>
                  <w:t xml:space="preserve">  </w:t>
                </w:r>
              </w:p>
            </w:tc>
            <w:tc>
              <w:tcPr>
                <w:tcW w:w="310" w:type="pct"/>
                <w:vAlign w:val="center"/>
              </w:tcPr>
              <w:p>
                <w:pPr>
                  <w:jc w:val="right"/>
                  <w:rPr>
                    <w:sz w:val="18"/>
                    <w:szCs w:val="18"/>
                  </w:rPr>
                </w:pPr>
                <w:r>
                  <w:rPr>
                    <w:rFonts w:ascii="宋体" w:hAnsi="宋体"/>
                    <w:bCs/>
                    <w:spacing w:val="-50"/>
                  </w:rPr>
                  <w:t>72,693,902</w:t>
                </w:r>
              </w:p>
            </w:tc>
            <w:tc>
              <w:tcPr>
                <w:tcW w:w="340" w:type="pct"/>
                <w:vAlign w:val="center"/>
              </w:tcPr>
              <w:p>
                <w:pPr>
                  <w:jc w:val="right"/>
                  <w:rPr>
                    <w:sz w:val="18"/>
                    <w:szCs w:val="18"/>
                  </w:rPr>
                </w:pPr>
                <w:r>
                  <w:rPr>
                    <w:rFonts w:ascii="宋体" w:hAnsi="宋体"/>
                    <w:bCs/>
                    <w:spacing w:val="-50"/>
                  </w:rPr>
                  <w:t>45,639,782</w:t>
                </w:r>
              </w:p>
            </w:tc>
            <w:tc>
              <w:tcPr>
                <w:tcW w:w="414" w:type="pct"/>
                <w:vAlign w:val="center"/>
              </w:tcPr>
              <w:p>
                <w:pPr>
                  <w:jc w:val="right"/>
                  <w:rPr>
                    <w:sz w:val="18"/>
                    <w:szCs w:val="18"/>
                  </w:rPr>
                </w:pPr>
                <w:r>
                  <w:rPr>
                    <w:rFonts w:ascii="宋体" w:hAnsi="宋体"/>
                    <w:bCs/>
                    <w:spacing w:val="-50"/>
                  </w:rPr>
                  <w:t>118,333,684</w:t>
                </w:r>
              </w:p>
            </w:tc>
          </w:tr>
        </w:tbl>
        <w:p>
          <w:pPr>
            <w:pStyle w:val="501"/>
          </w:pPr>
        </w:p>
        <w:p>
          <w:pPr>
            <w:snapToGrid w:val="0"/>
            <w:spacing w:line="240" w:lineRule="atLeast"/>
            <w:ind w:right="-1594" w:rightChars="-759"/>
          </w:pPr>
        </w:p>
        <w:tbl>
          <w:tblPr>
            <w:tblStyle w:val="9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768"/>
            <w:gridCol w:w="768"/>
            <w:gridCol w:w="777"/>
            <w:gridCol w:w="597"/>
            <w:gridCol w:w="944"/>
            <w:gridCol w:w="645"/>
            <w:gridCol w:w="890"/>
            <w:gridCol w:w="769"/>
            <w:gridCol w:w="769"/>
            <w:gridCol w:w="769"/>
            <w:gridCol w:w="865"/>
            <w:gridCol w:w="854"/>
            <w:gridCol w:w="821"/>
            <w:gridCol w:w="969"/>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2" w:type="pct"/>
                <w:vMerge w:val="restart"/>
                <w:vAlign w:val="center"/>
              </w:tcPr>
              <w:sdt>
                <w:sdtPr>
                  <w:rPr>
                    <w:rFonts w:hint="eastAsia"/>
                    <w:sz w:val="18"/>
                    <w:szCs w:val="18"/>
                  </w:rPr>
                  <w:tag w:val="_PLD_229212c664af43faa41821d5eec551b8"/>
                  <w:id w:val="-2006893369"/>
                </w:sdtPr>
                <w:sdtEndPr>
                  <w:rPr>
                    <w:rFonts w:hint="eastAsia"/>
                    <w:sz w:val="18"/>
                    <w:szCs w:val="18"/>
                  </w:rPr>
                </w:sdtEndPr>
                <w:sdtContent>
                  <w:p>
                    <w:pPr>
                      <w:snapToGrid w:val="0"/>
                      <w:spacing w:line="240" w:lineRule="atLeast"/>
                      <w:jc w:val="center"/>
                      <w:rPr>
                        <w:sz w:val="18"/>
                        <w:szCs w:val="18"/>
                      </w:rPr>
                    </w:pPr>
                    <w:r>
                      <w:rPr>
                        <w:rFonts w:hint="eastAsia"/>
                        <w:sz w:val="18"/>
                        <w:szCs w:val="18"/>
                      </w:rPr>
                      <w:t>项目</w:t>
                    </w:r>
                  </w:p>
                </w:sdtContent>
              </w:sdt>
            </w:tc>
            <w:tc>
              <w:tcPr>
                <w:tcW w:w="4348" w:type="pct"/>
                <w:gridSpan w:val="15"/>
              </w:tcPr>
              <w:p>
                <w:pPr>
                  <w:snapToGrid w:val="0"/>
                  <w:spacing w:line="240" w:lineRule="atLeast"/>
                  <w:ind w:right="-1594" w:rightChars="-759"/>
                  <w:jc w:val="center"/>
                </w:pPr>
                <w:r>
                  <w:rPr>
                    <w:rFonts w:hint="eastAsia"/>
                  </w:rPr>
                  <w:t xml:space="preserve"> </w:t>
                </w:r>
                <w:sdt>
                  <w:sdtPr>
                    <w:rPr>
                      <w:rFonts w:hint="eastAsia"/>
                    </w:rPr>
                    <w:tag w:val="_PLD_5c8dcea3749f4f92b2d283c717162a73"/>
                    <w:id w:val="-439530279"/>
                  </w:sdtPr>
                  <w:sdtEndPr>
                    <w:rPr>
                      <w:rFonts w:hint="eastAsia"/>
                    </w:rPr>
                  </w:sdtEndPr>
                  <w:sdtContent>
                    <w:r>
                      <w:rPr>
                        <w:rFonts w:hint="eastAsia"/>
                        <w:sz w:val="18"/>
                        <w:szCs w:val="18"/>
                      </w:rPr>
                      <w:t>2022年度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52" w:type="pct"/>
                <w:vMerge w:val="continue"/>
              </w:tcPr>
              <w:p>
                <w:pPr>
                  <w:snapToGrid w:val="0"/>
                  <w:spacing w:line="240" w:lineRule="atLeast"/>
                  <w:ind w:right="-1594" w:rightChars="-759"/>
                  <w:rPr>
                    <w:sz w:val="18"/>
                    <w:szCs w:val="18"/>
                  </w:rPr>
                </w:pPr>
              </w:p>
            </w:tc>
            <w:sdt>
              <w:sdtPr>
                <w:tag w:val="_PLD_e725a8cacf9d4d1abedbfeae17c394e0"/>
                <w:id w:val="1718315394"/>
              </w:sdtPr>
              <w:sdtContent>
                <w:tc>
                  <w:tcPr>
                    <w:tcW w:w="3631" w:type="pct"/>
                    <w:gridSpan w:val="13"/>
                    <w:vAlign w:val="center"/>
                  </w:tcPr>
                  <w:p>
                    <w:pPr>
                      <w:jc w:val="center"/>
                    </w:pPr>
                    <w:r>
                      <w:rPr>
                        <w:sz w:val="18"/>
                        <w:szCs w:val="18"/>
                      </w:rPr>
                      <w:t>归属于母公司所有者权益</w:t>
                    </w:r>
                  </w:p>
                </w:tc>
              </w:sdtContent>
            </w:sdt>
            <w:sdt>
              <w:sdtPr>
                <w:tag w:val="_PLD_fe6c49384f0941088b29ad945caeb72b"/>
                <w:id w:val="-315337351"/>
              </w:sdtPr>
              <w:sdtContent>
                <w:tc>
                  <w:tcPr>
                    <w:tcW w:w="344" w:type="pct"/>
                    <w:vMerge w:val="restart"/>
                    <w:vAlign w:val="center"/>
                  </w:tcPr>
                  <w:p>
                    <w:pPr>
                      <w:jc w:val="center"/>
                      <w:rPr>
                        <w:sz w:val="18"/>
                        <w:szCs w:val="18"/>
                      </w:rPr>
                    </w:pPr>
                    <w:r>
                      <w:rPr>
                        <w:sz w:val="18"/>
                        <w:szCs w:val="18"/>
                      </w:rPr>
                      <w:t>少数股东权益</w:t>
                    </w:r>
                  </w:p>
                </w:tc>
              </w:sdtContent>
            </w:sdt>
            <w:sdt>
              <w:sdtPr>
                <w:tag w:val="_PLD_bbe71d4307504d648ce52638ee90ccd4"/>
                <w:id w:val="1678764206"/>
              </w:sdtPr>
              <w:sdtContent>
                <w:tc>
                  <w:tcPr>
                    <w:tcW w:w="373" w:type="pct"/>
                    <w:vMerge w:val="restart"/>
                    <w:vAlign w:val="center"/>
                  </w:tcPr>
                  <w:p>
                    <w:pPr>
                      <w:jc w:val="center"/>
                      <w:rPr>
                        <w:sz w:val="18"/>
                        <w:szCs w:val="18"/>
                      </w:rPr>
                    </w:pPr>
                    <w:r>
                      <w:rPr>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652" w:type="pct"/>
                <w:vMerge w:val="continue"/>
              </w:tcPr>
              <w:p>
                <w:pPr>
                  <w:snapToGrid w:val="0"/>
                  <w:spacing w:line="240" w:lineRule="atLeast"/>
                  <w:ind w:right="-1594" w:rightChars="-759"/>
                  <w:rPr>
                    <w:sz w:val="18"/>
                    <w:szCs w:val="18"/>
                  </w:rPr>
                </w:pPr>
              </w:p>
            </w:tc>
            <w:sdt>
              <w:sdtPr>
                <w:tag w:val="_PLD_941585ba85eb48fa931876151974e425"/>
                <w:id w:val="-1169250945"/>
              </w:sdtPr>
              <w:sdtContent>
                <w:tc>
                  <w:tcPr>
                    <w:tcW w:w="273" w:type="pct"/>
                    <w:vMerge w:val="restart"/>
                    <w:vAlign w:val="center"/>
                  </w:tcPr>
                  <w:p>
                    <w:pPr>
                      <w:snapToGrid w:val="0"/>
                      <w:spacing w:line="240" w:lineRule="atLeast"/>
                      <w:jc w:val="center"/>
                      <w:rPr>
                        <w:sz w:val="18"/>
                        <w:szCs w:val="18"/>
                      </w:rPr>
                    </w:pPr>
                    <w:r>
                      <w:rPr>
                        <w:sz w:val="18"/>
                        <w:szCs w:val="18"/>
                      </w:rPr>
                      <w:t>实收资本 (或股本)</w:t>
                    </w:r>
                  </w:p>
                </w:tc>
              </w:sdtContent>
            </w:sdt>
            <w:sdt>
              <w:sdtPr>
                <w:tag w:val="_PLD_4097b1c4c4f449ef94e9dedb67cf7c3a"/>
                <w:id w:val="1503159327"/>
              </w:sdtPr>
              <w:sdtContent>
                <w:tc>
                  <w:tcPr>
                    <w:tcW w:w="761"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571772066"/>
              </w:sdtPr>
              <w:sdtContent>
                <w:tc>
                  <w:tcPr>
                    <w:tcW w:w="335"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337688649"/>
              </w:sdtPr>
              <w:sdtContent>
                <w:tc>
                  <w:tcPr>
                    <w:tcW w:w="229"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1738939539"/>
              </w:sdtPr>
              <w:sdtContent>
                <w:tc>
                  <w:tcPr>
                    <w:tcW w:w="316"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097216890"/>
              </w:sdtPr>
              <w:sdtContent>
                <w:tc>
                  <w:tcPr>
                    <w:tcW w:w="273"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558368770"/>
              </w:sdtPr>
              <w:sdtContent>
                <w:tc>
                  <w:tcPr>
                    <w:tcW w:w="273"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2056452478"/>
              </w:sdtPr>
              <w:sdtContent>
                <w:tc>
                  <w:tcPr>
                    <w:tcW w:w="273"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359892077"/>
              </w:sdtPr>
              <w:sdtContent>
                <w:tc>
                  <w:tcPr>
                    <w:tcW w:w="307"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303" w:type="pct"/>
                <w:vMerge w:val="restart"/>
                <w:vAlign w:val="center"/>
              </w:tcPr>
              <w:sdt>
                <w:sdtPr>
                  <w:rPr>
                    <w:rFonts w:hint="eastAsia"/>
                    <w:sz w:val="18"/>
                    <w:szCs w:val="18"/>
                  </w:rPr>
                  <w:tag w:val="_PLD_ae449a7a80f64d56b34968f1f21d2198"/>
                  <w:id w:val="1245144288"/>
                </w:sdtPr>
                <w:sdtEndPr>
                  <w:rPr>
                    <w:rFonts w:hint="eastAsia"/>
                    <w:sz w:val="18"/>
                    <w:szCs w:val="18"/>
                  </w:rPr>
                </w:sdtEndPr>
                <w:sdtContent>
                  <w:sdt>
                    <w:sdtPr>
                      <w:rPr>
                        <w:rFonts w:hint="eastAsia"/>
                        <w:sz w:val="18"/>
                        <w:szCs w:val="18"/>
                      </w:rPr>
                      <w:tag w:val="_PLD_c4da6a74366840789b623f0d61440178"/>
                      <w:id w:val="91371911"/>
                    </w:sdtPr>
                    <w:sdtEndPr>
                      <w:rPr>
                        <w:rFonts w:hint="eastAsia"/>
                        <w:sz w:val="18"/>
                        <w:szCs w:val="18"/>
                      </w:rPr>
                    </w:sdtEndPr>
                    <w:sdtContent>
                      <w:p>
                        <w:pPr>
                          <w:jc w:val="center"/>
                          <w:rPr>
                            <w:sz w:val="18"/>
                            <w:szCs w:val="18"/>
                          </w:rPr>
                        </w:pPr>
                        <w:r>
                          <w:rPr>
                            <w:rFonts w:hint="eastAsia"/>
                            <w:sz w:val="18"/>
                            <w:szCs w:val="18"/>
                          </w:rPr>
                          <w:t>其他</w:t>
                        </w:r>
                      </w:p>
                    </w:sdtContent>
                  </w:sdt>
                </w:sdtContent>
              </w:sdt>
            </w:tc>
            <w:tc>
              <w:tcPr>
                <w:tcW w:w="289" w:type="pct"/>
                <w:vMerge w:val="restart"/>
                <w:vAlign w:val="center"/>
              </w:tcPr>
              <w:sdt>
                <w:sdtPr>
                  <w:rPr>
                    <w:rFonts w:hint="eastAsia"/>
                    <w:sz w:val="18"/>
                    <w:szCs w:val="18"/>
                  </w:rPr>
                  <w:tag w:val="_PLD_f2691f33b2164ad8b83415f8cd404dea"/>
                  <w:id w:val="1039631017"/>
                </w:sdtPr>
                <w:sdtEndPr>
                  <w:rPr>
                    <w:rFonts w:hint="eastAsia"/>
                    <w:sz w:val="18"/>
                    <w:szCs w:val="18"/>
                  </w:rPr>
                </w:sdtEndPr>
                <w:sdtContent>
                  <w:p>
                    <w:pPr>
                      <w:jc w:val="center"/>
                      <w:rPr>
                        <w:sz w:val="18"/>
                        <w:szCs w:val="18"/>
                      </w:rPr>
                    </w:pPr>
                    <w:r>
                      <w:rPr>
                        <w:rFonts w:hint="eastAsia"/>
                        <w:sz w:val="18"/>
                        <w:szCs w:val="18"/>
                      </w:rPr>
                      <w:t>小计</w:t>
                    </w:r>
                  </w:p>
                </w:sdtContent>
              </w:sdt>
            </w:tc>
            <w:tc>
              <w:tcPr>
                <w:tcW w:w="344" w:type="pct"/>
                <w:vMerge w:val="continue"/>
              </w:tcPr>
              <w:p>
                <w:pPr>
                  <w:jc w:val="center"/>
                  <w:rPr>
                    <w:sz w:val="18"/>
                    <w:szCs w:val="18"/>
                  </w:rPr>
                </w:pPr>
              </w:p>
            </w:tc>
            <w:tc>
              <w:tcPr>
                <w:tcW w:w="373" w:type="pct"/>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trPr>
            <w:tc>
              <w:tcPr>
                <w:tcW w:w="652" w:type="pct"/>
                <w:vMerge w:val="continue"/>
              </w:tcPr>
              <w:p>
                <w:pPr>
                  <w:snapToGrid w:val="0"/>
                  <w:spacing w:line="240" w:lineRule="atLeast"/>
                  <w:ind w:right="-1594" w:rightChars="-759"/>
                  <w:rPr>
                    <w:sz w:val="18"/>
                    <w:szCs w:val="18"/>
                  </w:rPr>
                </w:pPr>
              </w:p>
            </w:tc>
            <w:tc>
              <w:tcPr>
                <w:tcW w:w="273" w:type="pct"/>
                <w:vMerge w:val="continue"/>
              </w:tcPr>
              <w:p>
                <w:pPr>
                  <w:snapToGrid w:val="0"/>
                  <w:spacing w:line="240" w:lineRule="atLeast"/>
                  <w:jc w:val="center"/>
                  <w:rPr>
                    <w:sz w:val="18"/>
                    <w:szCs w:val="18"/>
                  </w:rPr>
                </w:pPr>
              </w:p>
            </w:tc>
            <w:sdt>
              <w:sdtPr>
                <w:tag w:val="_PLD_c8e4e3f938444f399262729a0267aa59"/>
                <w:id w:val="-544605059"/>
              </w:sdtPr>
              <w:sdtContent>
                <w:tc>
                  <w:tcPr>
                    <w:tcW w:w="273" w:type="pct"/>
                    <w:vAlign w:val="center"/>
                  </w:tcPr>
                  <w:p>
                    <w:pPr>
                      <w:jc w:val="center"/>
                      <w:rPr>
                        <w:sz w:val="18"/>
                        <w:szCs w:val="18"/>
                      </w:rPr>
                    </w:pPr>
                    <w:r>
                      <w:rPr>
                        <w:rFonts w:hint="eastAsia"/>
                        <w:sz w:val="18"/>
                        <w:szCs w:val="18"/>
                      </w:rPr>
                      <w:t>优先股</w:t>
                    </w:r>
                  </w:p>
                </w:tc>
              </w:sdtContent>
            </w:sdt>
            <w:sdt>
              <w:sdtPr>
                <w:tag w:val="_PLD_70f3796cf4ab4ecbb92343a346942a09"/>
                <w:id w:val="-1160156000"/>
              </w:sdtPr>
              <w:sdtContent>
                <w:tc>
                  <w:tcPr>
                    <w:tcW w:w="276" w:type="pct"/>
                    <w:vAlign w:val="center"/>
                  </w:tcPr>
                  <w:p>
                    <w:pPr>
                      <w:jc w:val="center"/>
                      <w:rPr>
                        <w:sz w:val="18"/>
                        <w:szCs w:val="18"/>
                      </w:rPr>
                    </w:pPr>
                    <w:r>
                      <w:rPr>
                        <w:rFonts w:hint="eastAsia"/>
                        <w:sz w:val="18"/>
                        <w:szCs w:val="18"/>
                      </w:rPr>
                      <w:t>永续债</w:t>
                    </w:r>
                  </w:p>
                </w:tc>
              </w:sdtContent>
            </w:sdt>
            <w:sdt>
              <w:sdtPr>
                <w:tag w:val="_PLD_a3d4853d11ed4217a1c5e27cfc45c1c9"/>
                <w:id w:val="-2014596804"/>
              </w:sdtPr>
              <w:sdtContent>
                <w:tc>
                  <w:tcPr>
                    <w:tcW w:w="211" w:type="pct"/>
                    <w:vAlign w:val="center"/>
                  </w:tcPr>
                  <w:p>
                    <w:pPr>
                      <w:jc w:val="center"/>
                      <w:rPr>
                        <w:sz w:val="18"/>
                        <w:szCs w:val="18"/>
                      </w:rPr>
                    </w:pPr>
                    <w:r>
                      <w:rPr>
                        <w:rFonts w:hint="eastAsia"/>
                        <w:sz w:val="18"/>
                        <w:szCs w:val="18"/>
                      </w:rPr>
                      <w:t>其他</w:t>
                    </w:r>
                  </w:p>
                </w:tc>
              </w:sdtContent>
            </w:sdt>
            <w:tc>
              <w:tcPr>
                <w:tcW w:w="335" w:type="pct"/>
                <w:vMerge w:val="continue"/>
              </w:tcPr>
              <w:p>
                <w:pPr>
                  <w:snapToGrid w:val="0"/>
                  <w:spacing w:line="240" w:lineRule="atLeast"/>
                  <w:jc w:val="center"/>
                  <w:rPr>
                    <w:sz w:val="18"/>
                    <w:szCs w:val="18"/>
                  </w:rPr>
                </w:pPr>
              </w:p>
            </w:tc>
            <w:tc>
              <w:tcPr>
                <w:tcW w:w="229" w:type="pct"/>
                <w:vMerge w:val="continue"/>
              </w:tcPr>
              <w:p>
                <w:pPr>
                  <w:snapToGrid w:val="0"/>
                  <w:spacing w:line="240" w:lineRule="atLeast"/>
                  <w:jc w:val="center"/>
                  <w:rPr>
                    <w:sz w:val="18"/>
                    <w:szCs w:val="18"/>
                  </w:rPr>
                </w:pPr>
              </w:p>
            </w:tc>
            <w:tc>
              <w:tcPr>
                <w:tcW w:w="316" w:type="pct"/>
                <w:vMerge w:val="continue"/>
              </w:tcPr>
              <w:p>
                <w:pPr>
                  <w:snapToGrid w:val="0"/>
                  <w:spacing w:line="240" w:lineRule="atLeast"/>
                  <w:jc w:val="center"/>
                  <w:rPr>
                    <w:sz w:val="18"/>
                    <w:szCs w:val="18"/>
                  </w:rPr>
                </w:pPr>
              </w:p>
            </w:tc>
            <w:tc>
              <w:tcPr>
                <w:tcW w:w="273" w:type="pct"/>
                <w:vMerge w:val="continue"/>
              </w:tcPr>
              <w:p>
                <w:pPr>
                  <w:snapToGrid w:val="0"/>
                  <w:spacing w:line="240" w:lineRule="atLeast"/>
                  <w:jc w:val="center"/>
                  <w:rPr>
                    <w:sz w:val="18"/>
                    <w:szCs w:val="18"/>
                  </w:rPr>
                </w:pPr>
              </w:p>
            </w:tc>
            <w:tc>
              <w:tcPr>
                <w:tcW w:w="273" w:type="pct"/>
                <w:vMerge w:val="continue"/>
              </w:tcPr>
              <w:p>
                <w:pPr>
                  <w:snapToGrid w:val="0"/>
                  <w:spacing w:line="240" w:lineRule="atLeast"/>
                  <w:jc w:val="center"/>
                  <w:rPr>
                    <w:sz w:val="18"/>
                    <w:szCs w:val="18"/>
                  </w:rPr>
                </w:pPr>
              </w:p>
            </w:tc>
            <w:tc>
              <w:tcPr>
                <w:tcW w:w="273" w:type="pct"/>
                <w:vMerge w:val="continue"/>
              </w:tcPr>
              <w:p>
                <w:pPr>
                  <w:snapToGrid w:val="0"/>
                  <w:spacing w:line="240" w:lineRule="atLeast"/>
                  <w:jc w:val="center"/>
                  <w:rPr>
                    <w:sz w:val="18"/>
                    <w:szCs w:val="18"/>
                  </w:rPr>
                </w:pPr>
              </w:p>
            </w:tc>
            <w:tc>
              <w:tcPr>
                <w:tcW w:w="307" w:type="pct"/>
                <w:vMerge w:val="continue"/>
              </w:tcPr>
              <w:p>
                <w:pPr>
                  <w:snapToGrid w:val="0"/>
                  <w:spacing w:line="240" w:lineRule="atLeast"/>
                  <w:jc w:val="center"/>
                  <w:rPr>
                    <w:sz w:val="18"/>
                    <w:szCs w:val="18"/>
                  </w:rPr>
                </w:pPr>
              </w:p>
            </w:tc>
            <w:tc>
              <w:tcPr>
                <w:tcW w:w="303" w:type="pct"/>
                <w:vMerge w:val="continue"/>
              </w:tcPr>
              <w:p>
                <w:pPr>
                  <w:jc w:val="center"/>
                  <w:rPr>
                    <w:sz w:val="18"/>
                    <w:szCs w:val="18"/>
                  </w:rPr>
                </w:pPr>
              </w:p>
            </w:tc>
            <w:tc>
              <w:tcPr>
                <w:tcW w:w="289" w:type="pct"/>
                <w:vMerge w:val="continue"/>
              </w:tcPr>
              <w:p>
                <w:pPr>
                  <w:jc w:val="center"/>
                  <w:rPr>
                    <w:sz w:val="18"/>
                    <w:szCs w:val="18"/>
                  </w:rPr>
                </w:pPr>
              </w:p>
            </w:tc>
            <w:tc>
              <w:tcPr>
                <w:tcW w:w="344" w:type="pct"/>
                <w:vMerge w:val="continue"/>
              </w:tcPr>
              <w:p>
                <w:pPr>
                  <w:jc w:val="center"/>
                  <w:rPr>
                    <w:sz w:val="18"/>
                    <w:szCs w:val="18"/>
                  </w:rPr>
                </w:pPr>
              </w:p>
            </w:tc>
            <w:tc>
              <w:tcPr>
                <w:tcW w:w="373" w:type="pct"/>
                <w:vMerge w:val="continue"/>
                <w:tcBorders>
                  <w:bottom w:val="nil"/>
                </w:tcBorders>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4c39056f5874862855dc37ef7f0d558"/>
                <w:id w:val="-1591145663"/>
              </w:sdtPr>
              <w:sdtContent>
                <w:tc>
                  <w:tcPr>
                    <w:tcW w:w="652" w:type="pct"/>
                  </w:tcPr>
                  <w:p>
                    <w:pPr>
                      <w:rPr>
                        <w:sz w:val="18"/>
                        <w:szCs w:val="18"/>
                      </w:rPr>
                    </w:pPr>
                    <w:r>
                      <w:rPr>
                        <w:sz w:val="18"/>
                        <w:szCs w:val="18"/>
                      </w:rPr>
                      <w:t>一、上年</w:t>
                    </w:r>
                    <w:r>
                      <w:rPr>
                        <w:rFonts w:hint="eastAsia"/>
                        <w:sz w:val="18"/>
                        <w:szCs w:val="18"/>
                      </w:rPr>
                      <w:t>年</w:t>
                    </w:r>
                    <w:r>
                      <w:rPr>
                        <w:sz w:val="18"/>
                        <w:szCs w:val="18"/>
                      </w:rPr>
                      <w:t>末余额</w:t>
                    </w:r>
                  </w:p>
                </w:tc>
              </w:sdtContent>
            </w:sdt>
            <w:tc>
              <w:tcPr>
                <w:tcW w:w="273" w:type="pct"/>
                <w:vAlign w:val="center"/>
              </w:tcPr>
              <w:p>
                <w:pPr>
                  <w:jc w:val="right"/>
                  <w:rPr>
                    <w:sz w:val="18"/>
                    <w:szCs w:val="18"/>
                  </w:rPr>
                </w:pPr>
                <w:r>
                  <w:rPr>
                    <w:rFonts w:ascii="宋体" w:hAnsi="宋体"/>
                    <w:spacing w:val="-50"/>
                  </w:rPr>
                  <w:t>4,874,184</w:t>
                </w:r>
              </w:p>
            </w:tc>
            <w:tc>
              <w:tcPr>
                <w:tcW w:w="273"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8,118,100</w:t>
                </w:r>
              </w:p>
            </w:tc>
            <w:tc>
              <w:tcPr>
                <w:tcW w:w="211" w:type="pct"/>
                <w:vAlign w:val="center"/>
              </w:tcPr>
              <w:p>
                <w:pPr>
                  <w:jc w:val="right"/>
                  <w:rPr>
                    <w:sz w:val="18"/>
                    <w:szCs w:val="18"/>
                  </w:rPr>
                </w:pPr>
              </w:p>
            </w:tc>
            <w:tc>
              <w:tcPr>
                <w:tcW w:w="335" w:type="pct"/>
                <w:vAlign w:val="center"/>
              </w:tcPr>
              <w:p>
                <w:pPr>
                  <w:jc w:val="right"/>
                  <w:rPr>
                    <w:sz w:val="18"/>
                    <w:szCs w:val="18"/>
                  </w:rPr>
                </w:pPr>
                <w:r>
                  <w:rPr>
                    <w:rFonts w:ascii="宋体" w:hAnsi="宋体"/>
                    <w:spacing w:val="-50"/>
                  </w:rPr>
                  <w:t>813,712</w:t>
                </w:r>
              </w:p>
            </w:tc>
            <w:tc>
              <w:tcPr>
                <w:tcW w:w="229" w:type="pct"/>
                <w:vAlign w:val="center"/>
              </w:tcPr>
              <w:p>
                <w:pPr>
                  <w:jc w:val="right"/>
                  <w:rPr>
                    <w:sz w:val="18"/>
                    <w:szCs w:val="18"/>
                  </w:rPr>
                </w:pPr>
              </w:p>
            </w:tc>
            <w:tc>
              <w:tcPr>
                <w:tcW w:w="316" w:type="pct"/>
                <w:vAlign w:val="center"/>
              </w:tcPr>
              <w:p>
                <w:pPr>
                  <w:jc w:val="right"/>
                  <w:rPr>
                    <w:sz w:val="18"/>
                    <w:szCs w:val="18"/>
                  </w:rPr>
                </w:pPr>
                <w:r>
                  <w:rPr>
                    <w:rFonts w:ascii="宋体" w:hAnsi="宋体"/>
                    <w:spacing w:val="-50"/>
                  </w:rPr>
                  <w:t>-7,553,774</w:t>
                </w:r>
              </w:p>
            </w:tc>
            <w:tc>
              <w:tcPr>
                <w:tcW w:w="273" w:type="pct"/>
                <w:vAlign w:val="center"/>
              </w:tcPr>
              <w:p>
                <w:pPr>
                  <w:jc w:val="right"/>
                  <w:rPr>
                    <w:sz w:val="18"/>
                    <w:szCs w:val="18"/>
                  </w:rPr>
                </w:pPr>
                <w:r>
                  <w:rPr>
                    <w:rFonts w:ascii="宋体" w:hAnsi="宋体"/>
                    <w:spacing w:val="-50"/>
                  </w:rPr>
                  <w:t>4,655,185</w:t>
                </w:r>
              </w:p>
            </w:tc>
            <w:tc>
              <w:tcPr>
                <w:tcW w:w="273" w:type="pct"/>
                <w:vAlign w:val="center"/>
              </w:tcPr>
              <w:p>
                <w:pPr>
                  <w:jc w:val="right"/>
                  <w:rPr>
                    <w:sz w:val="18"/>
                    <w:szCs w:val="18"/>
                  </w:rPr>
                </w:pPr>
                <w:r>
                  <w:rPr>
                    <w:rFonts w:ascii="宋体" w:hAnsi="宋体"/>
                    <w:spacing w:val="-50"/>
                  </w:rPr>
                  <w:t>912,700</w:t>
                </w: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56,366,083</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68,186,190</w:t>
                </w:r>
              </w:p>
            </w:tc>
            <w:tc>
              <w:tcPr>
                <w:tcW w:w="344" w:type="pct"/>
                <w:vAlign w:val="center"/>
              </w:tcPr>
              <w:p>
                <w:pPr>
                  <w:jc w:val="right"/>
                  <w:rPr>
                    <w:sz w:val="18"/>
                    <w:szCs w:val="18"/>
                  </w:rPr>
                </w:pPr>
                <w:r>
                  <w:rPr>
                    <w:rFonts w:ascii="宋体" w:hAnsi="宋体"/>
                    <w:spacing w:val="-50"/>
                  </w:rPr>
                  <w:t>28,300,902</w:t>
                </w:r>
              </w:p>
            </w:tc>
            <w:tc>
              <w:tcPr>
                <w:tcW w:w="373" w:type="pct"/>
                <w:vAlign w:val="center"/>
              </w:tcPr>
              <w:p>
                <w:pPr>
                  <w:jc w:val="right"/>
                  <w:rPr>
                    <w:sz w:val="18"/>
                    <w:szCs w:val="18"/>
                  </w:rPr>
                </w:pPr>
                <w:r>
                  <w:rPr>
                    <w:rFonts w:ascii="宋体" w:hAnsi="宋体"/>
                    <w:spacing w:val="-50"/>
                  </w:rPr>
                  <w:t>96,487,092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feb351bb250466a8fad5b20d2922c70"/>
                <w:id w:val="-110815428"/>
              </w:sdtPr>
              <w:sdtContent>
                <w:tc>
                  <w:tcPr>
                    <w:tcW w:w="652" w:type="pct"/>
                  </w:tcPr>
                  <w:p>
                    <w:pPr>
                      <w:rPr>
                        <w:sz w:val="18"/>
                        <w:szCs w:val="18"/>
                      </w:rPr>
                    </w:pPr>
                    <w:r>
                      <w:rPr>
                        <w:rFonts w:hint="eastAsia"/>
                        <w:sz w:val="18"/>
                        <w:szCs w:val="18"/>
                      </w:rPr>
                      <w:t>加：</w:t>
                    </w:r>
                    <w:r>
                      <w:rPr>
                        <w:sz w:val="18"/>
                        <w:szCs w:val="18"/>
                      </w:rPr>
                      <w:t>会计政策变更</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-10,763</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-10,763</w:t>
                </w:r>
              </w:p>
            </w:tc>
            <w:tc>
              <w:tcPr>
                <w:tcW w:w="344" w:type="pct"/>
                <w:vAlign w:val="center"/>
              </w:tcPr>
              <w:p>
                <w:pPr>
                  <w:jc w:val="right"/>
                  <w:rPr>
                    <w:sz w:val="18"/>
                    <w:szCs w:val="18"/>
                  </w:rPr>
                </w:pPr>
                <w:r>
                  <w:rPr>
                    <w:rFonts w:ascii="宋体" w:hAnsi="宋体"/>
                    <w:spacing w:val="-50"/>
                  </w:rPr>
                  <w:t>-4,928</w:t>
                </w:r>
              </w:p>
            </w:tc>
            <w:tc>
              <w:tcPr>
                <w:tcW w:w="373" w:type="pct"/>
                <w:vAlign w:val="center"/>
              </w:tcPr>
              <w:p>
                <w:pPr>
                  <w:jc w:val="right"/>
                  <w:rPr>
                    <w:sz w:val="18"/>
                    <w:szCs w:val="18"/>
                  </w:rPr>
                </w:pPr>
                <w:r>
                  <w:rPr>
                    <w:rFonts w:ascii="宋体" w:hAnsi="宋体"/>
                    <w:spacing w:val="-50"/>
                  </w:rPr>
                  <w:t>-15,691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480764b7144ae885e5b5b29f4f4705"/>
                <w:id w:val="-1756271976"/>
              </w:sdtPr>
              <w:sdtContent>
                <w:tc>
                  <w:tcPr>
                    <w:tcW w:w="652" w:type="pct"/>
                  </w:tcPr>
                  <w:p>
                    <w:pPr>
                      <w:ind w:firstLine="420" w:firstLineChars="200"/>
                      <w:rPr>
                        <w:sz w:val="18"/>
                        <w:szCs w:val="18"/>
                      </w:rPr>
                    </w:pPr>
                    <w:r>
                      <w:rPr>
                        <w:sz w:val="18"/>
                        <w:szCs w:val="18"/>
                      </w:rPr>
                      <w:t>前期差错更正</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p>
            </w:tc>
            <w:tc>
              <w:tcPr>
                <w:tcW w:w="344" w:type="pct"/>
                <w:vAlign w:val="center"/>
              </w:tcPr>
              <w:p>
                <w:pPr>
                  <w:jc w:val="right"/>
                  <w:rPr>
                    <w:sz w:val="18"/>
                    <w:szCs w:val="18"/>
                  </w:rPr>
                </w:pPr>
              </w:p>
            </w:tc>
            <w:tc>
              <w:tcPr>
                <w:tcW w:w="373" w:type="pct"/>
                <w:vAlign w:val="center"/>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226061f12cf4cf887adc2639edc13d6"/>
                <w:id w:val="-1339463474"/>
              </w:sdtPr>
              <w:sdtContent>
                <w:tc>
                  <w:tcPr>
                    <w:tcW w:w="652" w:type="pct"/>
                  </w:tcPr>
                  <w:p>
                    <w:pPr>
                      <w:ind w:firstLine="420" w:firstLineChars="200"/>
                      <w:rPr>
                        <w:sz w:val="18"/>
                        <w:szCs w:val="18"/>
                      </w:rPr>
                    </w:pPr>
                    <w:r>
                      <w:rPr>
                        <w:rFonts w:hint="eastAsia"/>
                        <w:sz w:val="18"/>
                        <w:szCs w:val="18"/>
                      </w:rPr>
                      <w:t>同一控制下企业合并</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r>
                  <w:rPr>
                    <w:rFonts w:ascii="宋体" w:hAnsi="宋体"/>
                    <w:spacing w:val="-50"/>
                  </w:rPr>
                  <w:t>6,214,460</w:t>
                </w:r>
              </w:p>
            </w:tc>
            <w:tc>
              <w:tcPr>
                <w:tcW w:w="229" w:type="pct"/>
                <w:vAlign w:val="center"/>
              </w:tcPr>
              <w:p>
                <w:pPr>
                  <w:jc w:val="right"/>
                  <w:rPr>
                    <w:sz w:val="18"/>
                    <w:szCs w:val="18"/>
                  </w:rPr>
                </w:pPr>
              </w:p>
            </w:tc>
            <w:tc>
              <w:tcPr>
                <w:tcW w:w="316" w:type="pct"/>
                <w:vAlign w:val="center"/>
              </w:tcPr>
              <w:p>
                <w:pPr>
                  <w:jc w:val="right"/>
                  <w:rPr>
                    <w:sz w:val="18"/>
                    <w:szCs w:val="18"/>
                  </w:rPr>
                </w:pPr>
                <w:r>
                  <w:rPr>
                    <w:rFonts w:ascii="宋体" w:hAnsi="宋体"/>
                    <w:spacing w:val="-50"/>
                  </w:rPr>
                  <w:t>-8,604</w:t>
                </w:r>
              </w:p>
            </w:tc>
            <w:tc>
              <w:tcPr>
                <w:tcW w:w="273" w:type="pct"/>
                <w:vAlign w:val="center"/>
              </w:tcPr>
              <w:p>
                <w:pPr>
                  <w:jc w:val="right"/>
                  <w:rPr>
                    <w:sz w:val="18"/>
                    <w:szCs w:val="18"/>
                  </w:rPr>
                </w:pPr>
                <w:r>
                  <w:rPr>
                    <w:rFonts w:ascii="宋体" w:hAnsi="宋体"/>
                    <w:spacing w:val="-50"/>
                  </w:rPr>
                  <w:t>306,962</w:t>
                </w: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-2,297,586</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4,215,232</w:t>
                </w:r>
              </w:p>
            </w:tc>
            <w:tc>
              <w:tcPr>
                <w:tcW w:w="344" w:type="pct"/>
                <w:vAlign w:val="center"/>
              </w:tcPr>
              <w:p>
                <w:pPr>
                  <w:jc w:val="right"/>
                  <w:rPr>
                    <w:sz w:val="18"/>
                    <w:szCs w:val="18"/>
                  </w:rPr>
                </w:pPr>
                <w:r>
                  <w:rPr>
                    <w:rFonts w:ascii="宋体" w:hAnsi="宋体"/>
                    <w:spacing w:val="-50"/>
                  </w:rPr>
                  <w:t>9,986,308</w:t>
                </w:r>
              </w:p>
            </w:tc>
            <w:tc>
              <w:tcPr>
                <w:tcW w:w="373" w:type="pct"/>
                <w:vAlign w:val="center"/>
              </w:tcPr>
              <w:p>
                <w:pPr>
                  <w:jc w:val="right"/>
                  <w:rPr>
                    <w:sz w:val="18"/>
                    <w:szCs w:val="18"/>
                  </w:rPr>
                </w:pPr>
                <w:r>
                  <w:rPr>
                    <w:rFonts w:ascii="宋体" w:hAnsi="宋体"/>
                    <w:spacing w:val="-50"/>
                  </w:rPr>
                  <w:t>14,201,540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5e16784f434cdba47c2e1a9e6c23a3"/>
                <w:id w:val="225959944"/>
              </w:sdtPr>
              <w:sdtContent>
                <w:tc>
                  <w:tcPr>
                    <w:tcW w:w="652" w:type="pct"/>
                  </w:tcPr>
                  <w:p>
                    <w:pPr>
                      <w:ind w:firstLine="420" w:firstLineChars="200"/>
                      <w:rPr>
                        <w:sz w:val="18"/>
                        <w:szCs w:val="18"/>
                      </w:rPr>
                    </w:pPr>
                    <w:r>
                      <w:rPr>
                        <w:sz w:val="18"/>
                        <w:szCs w:val="18"/>
                      </w:rPr>
                      <w:t>其他</w:t>
                    </w:r>
                  </w:p>
                </w:tc>
              </w:sdtContent>
            </w:sdt>
            <w:sdt>
              <w:sdtPr>
                <w:alias w:val="其他实收资本 (或股本)"/>
                <w:tag w:val="_GBC_66b72a38768b44e88fdf86730168de45"/>
                <w:id w:val="-317955756"/>
              </w:sdtPr>
              <w:sdtContent>
                <w:tc>
                  <w:tcPr>
                    <w:tcW w:w="273" w:type="pct"/>
                    <w:vAlign w:val="center"/>
                  </w:tcPr>
                  <w:p>
                    <w:pPr>
                      <w:jc w:val="right"/>
                      <w:rPr>
                        <w:sz w:val="18"/>
                        <w:szCs w:val="18"/>
                      </w:rPr>
                    </w:pPr>
                  </w:p>
                </w:tc>
              </w:sdtContent>
            </w:sdt>
            <w:sdt>
              <w:sdtPr>
                <w:alias w:val="其他优先股"/>
                <w:tag w:val="_GBC_4109d873e5604585bf5754a0e8c5b1d8"/>
                <w:id w:val="515426024"/>
              </w:sdtPr>
              <w:sdtContent>
                <w:tc>
                  <w:tcPr>
                    <w:tcW w:w="273" w:type="pct"/>
                    <w:vAlign w:val="center"/>
                  </w:tcPr>
                  <w:p>
                    <w:pPr>
                      <w:jc w:val="right"/>
                      <w:rPr>
                        <w:sz w:val="18"/>
                        <w:szCs w:val="18"/>
                      </w:rPr>
                    </w:pPr>
                  </w:p>
                </w:tc>
              </w:sdtContent>
            </w:sdt>
            <w:sdt>
              <w:sdtPr>
                <w:alias w:val="其他永续债"/>
                <w:tag w:val="_GBC_5ec787cb1bc541b3b190a049c477fe0e"/>
                <w:id w:val="132144671"/>
              </w:sdtPr>
              <w:sdtContent>
                <w:tc>
                  <w:tcPr>
                    <w:tcW w:w="276" w:type="pct"/>
                    <w:vAlign w:val="center"/>
                  </w:tcPr>
                  <w:p>
                    <w:pPr>
                      <w:jc w:val="right"/>
                      <w:rPr>
                        <w:sz w:val="18"/>
                        <w:szCs w:val="18"/>
                      </w:rPr>
                    </w:pPr>
                  </w:p>
                </w:tc>
              </w:sdtContent>
            </w:sdt>
            <w:sdt>
              <w:sdtPr>
                <w:alias w:val="其他其他"/>
                <w:tag w:val="_GBC_ab043a8cb45c4afb9f67f6c61726cc7d"/>
                <w:id w:val="491077019"/>
              </w:sdtPr>
              <w:sdtContent>
                <w:tc>
                  <w:tcPr>
                    <w:tcW w:w="211" w:type="pct"/>
                    <w:vAlign w:val="center"/>
                  </w:tcPr>
                  <w:p>
                    <w:pPr>
                      <w:jc w:val="right"/>
                      <w:rPr>
                        <w:sz w:val="18"/>
                        <w:szCs w:val="18"/>
                      </w:rPr>
                    </w:pPr>
                  </w:p>
                </w:tc>
              </w:sdtContent>
            </w:sdt>
            <w:sdt>
              <w:sdtPr>
                <w:alias w:val="其他资本公积"/>
                <w:tag w:val="_GBC_67825708599c4378b3fdb0702c8bf543"/>
                <w:id w:val="-1437509732"/>
              </w:sdtPr>
              <w:sdtContent>
                <w:tc>
                  <w:tcPr>
                    <w:tcW w:w="335" w:type="pct"/>
                    <w:vAlign w:val="center"/>
                  </w:tcPr>
                  <w:p>
                    <w:pPr>
                      <w:jc w:val="right"/>
                      <w:rPr>
                        <w:sz w:val="18"/>
                        <w:szCs w:val="18"/>
                      </w:rPr>
                    </w:pPr>
                  </w:p>
                </w:tc>
              </w:sdtContent>
            </w:sdt>
            <w:sdt>
              <w:sdtPr>
                <w:alias w:val="其他减：库存股"/>
                <w:tag w:val="_GBC_f8f468e3de7c46738af4b5ab344860fa"/>
                <w:id w:val="1102003123"/>
              </w:sdtPr>
              <w:sdtContent>
                <w:tc>
                  <w:tcPr>
                    <w:tcW w:w="229" w:type="pct"/>
                    <w:vAlign w:val="center"/>
                  </w:tcPr>
                  <w:p>
                    <w:pPr>
                      <w:jc w:val="right"/>
                      <w:rPr>
                        <w:sz w:val="18"/>
                        <w:szCs w:val="18"/>
                      </w:rPr>
                    </w:pPr>
                  </w:p>
                </w:tc>
              </w:sdtContent>
            </w:sdt>
            <w:sdt>
              <w:sdtPr>
                <w:alias w:val="其他其他综合收益"/>
                <w:tag w:val="_GBC_1d2faa75a0b64e4bab988fab5cfd6ef7"/>
                <w:id w:val="450832227"/>
              </w:sdtPr>
              <w:sdtContent>
                <w:tc>
                  <w:tcPr>
                    <w:tcW w:w="316" w:type="pct"/>
                    <w:vAlign w:val="center"/>
                  </w:tcPr>
                  <w:p>
                    <w:pPr>
                      <w:jc w:val="right"/>
                      <w:rPr>
                        <w:sz w:val="18"/>
                        <w:szCs w:val="18"/>
                      </w:rPr>
                    </w:pPr>
                  </w:p>
                </w:tc>
              </w:sdtContent>
            </w:sdt>
            <w:sdt>
              <w:sdtPr>
                <w:alias w:val="其他专项储备"/>
                <w:tag w:val="_GBC_fe0f8a8f8c714be8be76f2a5c2b3a1eb"/>
                <w:id w:val="1549183659"/>
              </w:sdtPr>
              <w:sdtContent>
                <w:tc>
                  <w:tcPr>
                    <w:tcW w:w="273" w:type="pct"/>
                    <w:vAlign w:val="center"/>
                  </w:tcPr>
                  <w:p>
                    <w:pPr>
                      <w:jc w:val="right"/>
                      <w:rPr>
                        <w:sz w:val="18"/>
                        <w:szCs w:val="18"/>
                      </w:rPr>
                    </w:pPr>
                  </w:p>
                </w:tc>
              </w:sdtContent>
            </w:sdt>
            <w:sdt>
              <w:sdtPr>
                <w:alias w:val="其他盈余公积"/>
                <w:tag w:val="_GBC_bc086cc0eb6c47c2a9fa6cfacd13e99b"/>
                <w:id w:val="-1129695153"/>
              </w:sdtPr>
              <w:sdtContent>
                <w:tc>
                  <w:tcPr>
                    <w:tcW w:w="273" w:type="pct"/>
                    <w:vAlign w:val="center"/>
                  </w:tcPr>
                  <w:p>
                    <w:pPr>
                      <w:jc w:val="right"/>
                      <w:rPr>
                        <w:sz w:val="18"/>
                        <w:szCs w:val="18"/>
                      </w:rPr>
                    </w:pPr>
                  </w:p>
                </w:tc>
              </w:sdtContent>
            </w:sdt>
            <w:sdt>
              <w:sdtPr>
                <w:alias w:val="其他一般风险准备"/>
                <w:tag w:val="_GBC_d391a65d34e3423bbdde78dda45602b1"/>
                <w:id w:val="1897777030"/>
              </w:sdtPr>
              <w:sdtContent>
                <w:tc>
                  <w:tcPr>
                    <w:tcW w:w="273" w:type="pct"/>
                    <w:vAlign w:val="center"/>
                  </w:tcPr>
                  <w:p>
                    <w:pPr>
                      <w:jc w:val="right"/>
                      <w:rPr>
                        <w:sz w:val="18"/>
                        <w:szCs w:val="18"/>
                      </w:rPr>
                    </w:pPr>
                  </w:p>
                </w:tc>
              </w:sdtContent>
            </w:sdt>
            <w:sdt>
              <w:sdtPr>
                <w:alias w:val="其他未分配利润"/>
                <w:tag w:val="_GBC_b9230959b1254c5986950ac804f423be"/>
                <w:id w:val="-872148716"/>
              </w:sdtPr>
              <w:sdtContent>
                <w:tc>
                  <w:tcPr>
                    <w:tcW w:w="307" w:type="pct"/>
                    <w:vAlign w:val="center"/>
                  </w:tcPr>
                  <w:p>
                    <w:pPr>
                      <w:jc w:val="right"/>
                      <w:rPr>
                        <w:sz w:val="18"/>
                        <w:szCs w:val="18"/>
                      </w:rPr>
                    </w:pPr>
                  </w:p>
                </w:tc>
              </w:sdtContent>
            </w:sdt>
            <w:sdt>
              <w:sdtPr>
                <w:alias w:val="其他其他"/>
                <w:tag w:val="_GBC_d29ea2c626be4c739c4d35e193c829fe"/>
                <w:id w:val="-2117896157"/>
              </w:sdtPr>
              <w:sdtContent>
                <w:tc>
                  <w:tcPr>
                    <w:tcW w:w="303" w:type="pct"/>
                    <w:vAlign w:val="center"/>
                  </w:tcPr>
                  <w:p>
                    <w:pPr>
                      <w:jc w:val="right"/>
                      <w:rPr>
                        <w:sz w:val="18"/>
                        <w:szCs w:val="18"/>
                      </w:rPr>
                    </w:pPr>
                  </w:p>
                </w:tc>
              </w:sdtContent>
            </w:sdt>
            <w:sdt>
              <w:sdtPr>
                <w:alias w:val="其他小计"/>
                <w:tag w:val="_GBC_514c8b8fefcd41a1b08ca45f9ac59f31"/>
                <w:id w:val="802581915"/>
              </w:sdtPr>
              <w:sdtContent>
                <w:tc>
                  <w:tcPr>
                    <w:tcW w:w="289" w:type="pct"/>
                    <w:vAlign w:val="center"/>
                  </w:tcPr>
                  <w:p>
                    <w:pPr>
                      <w:jc w:val="right"/>
                      <w:rPr>
                        <w:sz w:val="18"/>
                        <w:szCs w:val="18"/>
                      </w:rPr>
                    </w:pPr>
                  </w:p>
                </w:tc>
              </w:sdtContent>
            </w:sdt>
            <w:sdt>
              <w:sdtPr>
                <w:alias w:val="其他少数股东权益"/>
                <w:tag w:val="_GBC_1406fcbd435d4d508ec70becbd5032b7"/>
                <w:id w:val="694350897"/>
              </w:sdtPr>
              <w:sdtContent>
                <w:tc>
                  <w:tcPr>
                    <w:tcW w:w="344" w:type="pct"/>
                    <w:vAlign w:val="center"/>
                  </w:tcPr>
                  <w:p>
                    <w:pPr>
                      <w:jc w:val="right"/>
                      <w:rPr>
                        <w:sz w:val="18"/>
                        <w:szCs w:val="18"/>
                      </w:rPr>
                    </w:pPr>
                  </w:p>
                </w:tc>
              </w:sdtContent>
            </w:sdt>
            <w:sdt>
              <w:sdtPr>
                <w:alias w:val="其他所有者权益合计"/>
                <w:tag w:val="_GBC_633fc06204a34452972bcad101078294"/>
                <w:id w:val="1858840760"/>
              </w:sdtPr>
              <w:sdtContent>
                <w:tc>
                  <w:tcPr>
                    <w:tcW w:w="373" w:type="pct"/>
                    <w:vAlign w:val="center"/>
                  </w:tcPr>
                  <w:p>
                    <w:pPr>
                      <w:jc w:val="right"/>
                      <w:rPr>
                        <w:sz w:val="18"/>
                        <w:szCs w:val="18"/>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438083d485a4ed1a2cb2a35b3d400f3"/>
                <w:id w:val="273837722"/>
              </w:sdtPr>
              <w:sdtContent>
                <w:tc>
                  <w:tcPr>
                    <w:tcW w:w="652" w:type="pct"/>
                  </w:tcPr>
                  <w:p>
                    <w:pPr>
                      <w:rPr>
                        <w:sz w:val="18"/>
                        <w:szCs w:val="18"/>
                      </w:rPr>
                    </w:pPr>
                    <w:r>
                      <w:rPr>
                        <w:sz w:val="18"/>
                        <w:szCs w:val="18"/>
                      </w:rPr>
                      <w:t>二、本年</w:t>
                    </w:r>
                    <w:r>
                      <w:rPr>
                        <w:rFonts w:hint="eastAsia"/>
                        <w:sz w:val="18"/>
                        <w:szCs w:val="18"/>
                      </w:rPr>
                      <w:t>期</w:t>
                    </w:r>
                    <w:r>
                      <w:rPr>
                        <w:sz w:val="18"/>
                        <w:szCs w:val="18"/>
                      </w:rPr>
                      <w:t>初余额</w:t>
                    </w:r>
                  </w:p>
                </w:tc>
              </w:sdtContent>
            </w:sdt>
            <w:tc>
              <w:tcPr>
                <w:tcW w:w="273" w:type="pct"/>
                <w:vAlign w:val="center"/>
              </w:tcPr>
              <w:p>
                <w:pPr>
                  <w:jc w:val="right"/>
                  <w:rPr>
                    <w:sz w:val="18"/>
                    <w:szCs w:val="18"/>
                  </w:rPr>
                </w:pPr>
                <w:r>
                  <w:rPr>
                    <w:rFonts w:ascii="宋体" w:hAnsi="宋体"/>
                    <w:spacing w:val="-50"/>
                  </w:rPr>
                  <w:t>4,874,184</w:t>
                </w:r>
              </w:p>
            </w:tc>
            <w:tc>
              <w:tcPr>
                <w:tcW w:w="273"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8,118,100</w:t>
                </w:r>
              </w:p>
            </w:tc>
            <w:tc>
              <w:tcPr>
                <w:tcW w:w="211" w:type="pct"/>
                <w:vAlign w:val="center"/>
              </w:tcPr>
              <w:p>
                <w:pPr>
                  <w:jc w:val="right"/>
                  <w:rPr>
                    <w:sz w:val="18"/>
                    <w:szCs w:val="18"/>
                  </w:rPr>
                </w:pPr>
              </w:p>
            </w:tc>
            <w:tc>
              <w:tcPr>
                <w:tcW w:w="335" w:type="pct"/>
                <w:vAlign w:val="center"/>
              </w:tcPr>
              <w:p>
                <w:pPr>
                  <w:jc w:val="right"/>
                  <w:rPr>
                    <w:sz w:val="18"/>
                    <w:szCs w:val="18"/>
                  </w:rPr>
                </w:pPr>
                <w:r>
                  <w:rPr>
                    <w:rFonts w:ascii="宋体" w:hAnsi="宋体"/>
                    <w:spacing w:val="-50"/>
                  </w:rPr>
                  <w:t>7,028,172</w:t>
                </w:r>
              </w:p>
            </w:tc>
            <w:tc>
              <w:tcPr>
                <w:tcW w:w="229" w:type="pct"/>
                <w:vAlign w:val="center"/>
              </w:tcPr>
              <w:p>
                <w:pPr>
                  <w:jc w:val="right"/>
                  <w:rPr>
                    <w:sz w:val="18"/>
                    <w:szCs w:val="18"/>
                  </w:rPr>
                </w:pPr>
              </w:p>
            </w:tc>
            <w:tc>
              <w:tcPr>
                <w:tcW w:w="316" w:type="pct"/>
                <w:vAlign w:val="center"/>
              </w:tcPr>
              <w:p>
                <w:pPr>
                  <w:jc w:val="right"/>
                  <w:rPr>
                    <w:sz w:val="18"/>
                    <w:szCs w:val="18"/>
                  </w:rPr>
                </w:pPr>
                <w:r>
                  <w:rPr>
                    <w:rFonts w:ascii="宋体" w:hAnsi="宋体"/>
                    <w:spacing w:val="-50"/>
                  </w:rPr>
                  <w:t>-7,562,378</w:t>
                </w:r>
              </w:p>
            </w:tc>
            <w:tc>
              <w:tcPr>
                <w:tcW w:w="273" w:type="pct"/>
                <w:vAlign w:val="center"/>
              </w:tcPr>
              <w:p>
                <w:pPr>
                  <w:jc w:val="right"/>
                  <w:rPr>
                    <w:sz w:val="18"/>
                    <w:szCs w:val="18"/>
                  </w:rPr>
                </w:pPr>
                <w:r>
                  <w:rPr>
                    <w:rFonts w:ascii="宋体" w:hAnsi="宋体"/>
                    <w:spacing w:val="-50"/>
                  </w:rPr>
                  <w:t>4,962,147</w:t>
                </w:r>
              </w:p>
            </w:tc>
            <w:tc>
              <w:tcPr>
                <w:tcW w:w="273" w:type="pct"/>
                <w:vAlign w:val="center"/>
              </w:tcPr>
              <w:p>
                <w:pPr>
                  <w:jc w:val="right"/>
                  <w:rPr>
                    <w:sz w:val="18"/>
                    <w:szCs w:val="18"/>
                  </w:rPr>
                </w:pPr>
                <w:r>
                  <w:rPr>
                    <w:rFonts w:ascii="宋体" w:hAnsi="宋体"/>
                    <w:spacing w:val="-50"/>
                  </w:rPr>
                  <w:t>912,700</w:t>
                </w: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54,057,734</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72,390,659</w:t>
                </w:r>
              </w:p>
            </w:tc>
            <w:tc>
              <w:tcPr>
                <w:tcW w:w="344" w:type="pct"/>
                <w:vAlign w:val="center"/>
              </w:tcPr>
              <w:p>
                <w:pPr>
                  <w:jc w:val="right"/>
                  <w:rPr>
                    <w:sz w:val="18"/>
                    <w:szCs w:val="18"/>
                  </w:rPr>
                </w:pPr>
                <w:r>
                  <w:rPr>
                    <w:rFonts w:ascii="宋体" w:hAnsi="宋体"/>
                    <w:spacing w:val="-50"/>
                  </w:rPr>
                  <w:t>38,282,282</w:t>
                </w:r>
              </w:p>
            </w:tc>
            <w:tc>
              <w:tcPr>
                <w:tcW w:w="373" w:type="pct"/>
                <w:vAlign w:val="center"/>
              </w:tcPr>
              <w:p>
                <w:pPr>
                  <w:jc w:val="right"/>
                  <w:rPr>
                    <w:sz w:val="18"/>
                    <w:szCs w:val="18"/>
                  </w:rPr>
                </w:pPr>
                <w:r>
                  <w:rPr>
                    <w:rFonts w:ascii="宋体" w:hAnsi="宋体"/>
                    <w:spacing w:val="-50"/>
                  </w:rPr>
                  <w:t>110,672,941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0d70a8ecfa64251bc0240cb363e3dd7"/>
                <w:id w:val="1425918640"/>
              </w:sdtPr>
              <w:sdtContent>
                <w:tc>
                  <w:tcPr>
                    <w:tcW w:w="652" w:type="pct"/>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273" w:type="pct"/>
                <w:vAlign w:val="center"/>
              </w:tcPr>
              <w:p>
                <w:pPr>
                  <w:jc w:val="right"/>
                  <w:rPr>
                    <w:sz w:val="18"/>
                    <w:szCs w:val="18"/>
                  </w:rPr>
                </w:pPr>
                <w:r>
                  <w:rPr>
                    <w:rFonts w:ascii="宋体" w:hAnsi="宋体"/>
                    <w:spacing w:val="-50"/>
                  </w:rPr>
                  <w:t>74,520</w:t>
                </w:r>
              </w:p>
            </w:tc>
            <w:tc>
              <w:tcPr>
                <w:tcW w:w="273"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5,130,514</w:t>
                </w:r>
              </w:p>
            </w:tc>
            <w:tc>
              <w:tcPr>
                <w:tcW w:w="211" w:type="pct"/>
                <w:vAlign w:val="center"/>
              </w:tcPr>
              <w:p>
                <w:pPr>
                  <w:jc w:val="right"/>
                  <w:rPr>
                    <w:sz w:val="18"/>
                    <w:szCs w:val="18"/>
                  </w:rPr>
                </w:pPr>
              </w:p>
            </w:tc>
            <w:tc>
              <w:tcPr>
                <w:tcW w:w="335" w:type="pct"/>
                <w:vAlign w:val="center"/>
              </w:tcPr>
              <w:p>
                <w:pPr>
                  <w:jc w:val="right"/>
                  <w:rPr>
                    <w:sz w:val="18"/>
                    <w:szCs w:val="18"/>
                  </w:rPr>
                </w:pPr>
                <w:r>
                  <w:rPr>
                    <w:rFonts w:ascii="宋体" w:hAnsi="宋体"/>
                    <w:spacing w:val="-50"/>
                  </w:rPr>
                  <w:t>-448,848</w:t>
                </w:r>
              </w:p>
            </w:tc>
            <w:tc>
              <w:tcPr>
                <w:tcW w:w="229" w:type="pct"/>
                <w:vAlign w:val="center"/>
              </w:tcPr>
              <w:p>
                <w:pPr>
                  <w:jc w:val="right"/>
                  <w:rPr>
                    <w:sz w:val="18"/>
                    <w:szCs w:val="18"/>
                  </w:rPr>
                </w:pPr>
                <w:r>
                  <w:rPr>
                    <w:rFonts w:ascii="宋体" w:hAnsi="宋体"/>
                    <w:spacing w:val="-50"/>
                  </w:rPr>
                  <w:t>723,593</w:t>
                </w:r>
              </w:p>
            </w:tc>
            <w:tc>
              <w:tcPr>
                <w:tcW w:w="316" w:type="pct"/>
                <w:vAlign w:val="center"/>
              </w:tcPr>
              <w:p>
                <w:pPr>
                  <w:jc w:val="right"/>
                  <w:rPr>
                    <w:sz w:val="18"/>
                    <w:szCs w:val="18"/>
                  </w:rPr>
                </w:pPr>
                <w:r>
                  <w:rPr>
                    <w:rFonts w:ascii="宋体" w:hAnsi="宋体"/>
                    <w:spacing w:val="-50"/>
                  </w:rPr>
                  <w:t>406,785</w:t>
                </w:r>
              </w:p>
            </w:tc>
            <w:tc>
              <w:tcPr>
                <w:tcW w:w="273" w:type="pct"/>
                <w:vAlign w:val="center"/>
              </w:tcPr>
              <w:p>
                <w:pPr>
                  <w:jc w:val="right"/>
                  <w:rPr>
                    <w:sz w:val="18"/>
                    <w:szCs w:val="18"/>
                  </w:rPr>
                </w:pPr>
                <w:r>
                  <w:rPr>
                    <w:rFonts w:ascii="宋体" w:hAnsi="宋体"/>
                    <w:spacing w:val="-50"/>
                  </w:rPr>
                  <w:t>-159,514</w:t>
                </w: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23,180,115</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27,459,979</w:t>
                </w:r>
              </w:p>
            </w:tc>
            <w:tc>
              <w:tcPr>
                <w:tcW w:w="344" w:type="pct"/>
                <w:vAlign w:val="center"/>
              </w:tcPr>
              <w:p>
                <w:pPr>
                  <w:jc w:val="right"/>
                  <w:rPr>
                    <w:sz w:val="18"/>
                    <w:szCs w:val="18"/>
                  </w:rPr>
                </w:pPr>
                <w:r>
                  <w:rPr>
                    <w:rFonts w:ascii="宋体" w:hAnsi="宋体"/>
                    <w:spacing w:val="-50"/>
                  </w:rPr>
                  <w:t>5,777,833</w:t>
                </w:r>
              </w:p>
            </w:tc>
            <w:tc>
              <w:tcPr>
                <w:tcW w:w="373" w:type="pct"/>
                <w:vAlign w:val="center"/>
              </w:tcPr>
              <w:p>
                <w:pPr>
                  <w:jc w:val="right"/>
                  <w:rPr>
                    <w:sz w:val="18"/>
                    <w:szCs w:val="18"/>
                  </w:rPr>
                </w:pPr>
                <w:r>
                  <w:rPr>
                    <w:rFonts w:ascii="宋体" w:hAnsi="宋体"/>
                    <w:spacing w:val="-50"/>
                  </w:rPr>
                  <w:t>33,237,812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b5283bf10a4a3c8882e3f3c30046c5"/>
                <w:id w:val="622432537"/>
              </w:sdtPr>
              <w:sdtContent>
                <w:tc>
                  <w:tcPr>
                    <w:tcW w:w="652" w:type="pct"/>
                  </w:tcPr>
                  <w:p>
                    <w:pPr>
                      <w:rPr>
                        <w:sz w:val="18"/>
                        <w:szCs w:val="18"/>
                      </w:rPr>
                    </w:pPr>
                    <w:r>
                      <w:rPr>
                        <w:rFonts w:hint="eastAsia"/>
                        <w:sz w:val="18"/>
                        <w:szCs w:val="18"/>
                      </w:rPr>
                      <w:t>（一）综合收益总额</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461,944</w:t>
                </w: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r>
                  <w:rPr>
                    <w:rFonts w:ascii="宋体" w:hAnsi="宋体"/>
                    <w:spacing w:val="-50"/>
                  </w:rPr>
                  <w:t>406,785</w:t>
                </w: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33,356,920</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34,225,649</w:t>
                </w:r>
              </w:p>
            </w:tc>
            <w:tc>
              <w:tcPr>
                <w:tcW w:w="344" w:type="pct"/>
                <w:vAlign w:val="center"/>
              </w:tcPr>
              <w:p>
                <w:pPr>
                  <w:jc w:val="right"/>
                  <w:rPr>
                    <w:sz w:val="18"/>
                    <w:szCs w:val="18"/>
                  </w:rPr>
                </w:pPr>
                <w:r>
                  <w:rPr>
                    <w:rFonts w:ascii="宋体" w:hAnsi="宋体"/>
                    <w:spacing w:val="-50"/>
                  </w:rPr>
                  <w:t>12,377,874</w:t>
                </w:r>
              </w:p>
            </w:tc>
            <w:tc>
              <w:tcPr>
                <w:tcW w:w="373" w:type="pct"/>
                <w:vAlign w:val="center"/>
              </w:tcPr>
              <w:p>
                <w:pPr>
                  <w:jc w:val="right"/>
                  <w:rPr>
                    <w:sz w:val="18"/>
                    <w:szCs w:val="18"/>
                  </w:rPr>
                </w:pPr>
                <w:r>
                  <w:rPr>
                    <w:rFonts w:ascii="宋体" w:hAnsi="宋体"/>
                    <w:spacing w:val="-50"/>
                  </w:rPr>
                  <w:t>46,603,523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cb1a0919fe148e5893e9977ac112e36"/>
                <w:id w:val="-808791912"/>
              </w:sdtPr>
              <w:sdtContent>
                <w:tc>
                  <w:tcPr>
                    <w:tcW w:w="652" w:type="pct"/>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273" w:type="pct"/>
                <w:vAlign w:val="center"/>
              </w:tcPr>
              <w:p>
                <w:pPr>
                  <w:jc w:val="right"/>
                  <w:rPr>
                    <w:sz w:val="18"/>
                    <w:szCs w:val="18"/>
                  </w:rPr>
                </w:pPr>
                <w:r>
                  <w:rPr>
                    <w:rFonts w:ascii="宋体" w:hAnsi="宋体"/>
                    <w:spacing w:val="-50"/>
                  </w:rPr>
                  <w:t>74,520</w:t>
                </w:r>
              </w:p>
            </w:tc>
            <w:tc>
              <w:tcPr>
                <w:tcW w:w="273"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4,990,400</w:t>
                </w:r>
              </w:p>
            </w:tc>
            <w:tc>
              <w:tcPr>
                <w:tcW w:w="211" w:type="pct"/>
                <w:vAlign w:val="center"/>
              </w:tcPr>
              <w:p>
                <w:pPr>
                  <w:jc w:val="right"/>
                  <w:rPr>
                    <w:sz w:val="18"/>
                    <w:szCs w:val="18"/>
                  </w:rPr>
                </w:pPr>
              </w:p>
            </w:tc>
            <w:tc>
              <w:tcPr>
                <w:tcW w:w="335" w:type="pct"/>
                <w:vAlign w:val="center"/>
              </w:tcPr>
              <w:p>
                <w:pPr>
                  <w:jc w:val="right"/>
                  <w:rPr>
                    <w:sz w:val="18"/>
                    <w:szCs w:val="18"/>
                  </w:rPr>
                </w:pPr>
                <w:r>
                  <w:rPr>
                    <w:rFonts w:ascii="宋体" w:hAnsi="宋体"/>
                    <w:spacing w:val="-50"/>
                  </w:rPr>
                  <w:t>-317,292</w:t>
                </w:r>
              </w:p>
            </w:tc>
            <w:tc>
              <w:tcPr>
                <w:tcW w:w="229" w:type="pct"/>
                <w:vAlign w:val="center"/>
              </w:tcPr>
              <w:p>
                <w:pPr>
                  <w:jc w:val="right"/>
                  <w:rPr>
                    <w:sz w:val="18"/>
                    <w:szCs w:val="18"/>
                  </w:rPr>
                </w:pPr>
                <w:r>
                  <w:rPr>
                    <w:rFonts w:ascii="宋体" w:hAnsi="宋体"/>
                    <w:spacing w:val="-50"/>
                  </w:rPr>
                  <w:t>723,593</w:t>
                </w: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-30,305</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3,993,730</w:t>
                </w:r>
              </w:p>
            </w:tc>
            <w:tc>
              <w:tcPr>
                <w:tcW w:w="344" w:type="pct"/>
                <w:vAlign w:val="center"/>
              </w:tcPr>
              <w:p>
                <w:pPr>
                  <w:jc w:val="right"/>
                  <w:rPr>
                    <w:sz w:val="18"/>
                    <w:szCs w:val="18"/>
                  </w:rPr>
                </w:pPr>
                <w:r>
                  <w:rPr>
                    <w:rFonts w:ascii="宋体" w:hAnsi="宋体"/>
                    <w:spacing w:val="-50"/>
                  </w:rPr>
                  <w:t>-1,748,284</w:t>
                </w:r>
              </w:p>
            </w:tc>
            <w:tc>
              <w:tcPr>
                <w:tcW w:w="373" w:type="pct"/>
                <w:vAlign w:val="center"/>
              </w:tcPr>
              <w:p>
                <w:pPr>
                  <w:jc w:val="right"/>
                  <w:rPr>
                    <w:sz w:val="18"/>
                    <w:szCs w:val="18"/>
                  </w:rPr>
                </w:pPr>
                <w:r>
                  <w:rPr>
                    <w:rFonts w:ascii="宋体" w:hAnsi="宋体"/>
                    <w:spacing w:val="-50"/>
                  </w:rPr>
                  <w:t>2,245,446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11ba2ed8c6b439788c9acf67433da0c"/>
                <w:id w:val="-993638037"/>
              </w:sdtPr>
              <w:sdtContent>
                <w:tc>
                  <w:tcPr>
                    <w:tcW w:w="652" w:type="pct"/>
                    <w:vAlign w:val="center"/>
                  </w:tcPr>
                  <w:p>
                    <w:pPr>
                      <w:rPr>
                        <w:sz w:val="18"/>
                        <w:szCs w:val="18"/>
                      </w:rPr>
                    </w:pPr>
                    <w:r>
                      <w:rPr>
                        <w:rFonts w:hint="eastAsia"/>
                        <w:sz w:val="18"/>
                        <w:szCs w:val="18"/>
                      </w:rPr>
                      <w:t>1．所有者投入的普通股</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r>
                  <w:rPr>
                    <w:rFonts w:ascii="宋体" w:hAnsi="宋体"/>
                    <w:spacing w:val="-50"/>
                  </w:rPr>
                  <w:t>-1,003</w:t>
                </w: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-1,003</w:t>
                </w:r>
              </w:p>
            </w:tc>
            <w:tc>
              <w:tcPr>
                <w:tcW w:w="344" w:type="pct"/>
                <w:vAlign w:val="center"/>
              </w:tcPr>
              <w:p>
                <w:pPr>
                  <w:jc w:val="right"/>
                  <w:rPr>
                    <w:sz w:val="18"/>
                    <w:szCs w:val="18"/>
                  </w:rPr>
                </w:pPr>
                <w:r>
                  <w:rPr>
                    <w:rFonts w:ascii="宋体" w:hAnsi="宋体"/>
                    <w:spacing w:val="-50"/>
                  </w:rPr>
                  <w:t>13,437</w:t>
                </w:r>
              </w:p>
            </w:tc>
            <w:tc>
              <w:tcPr>
                <w:tcW w:w="373" w:type="pct"/>
                <w:vAlign w:val="center"/>
              </w:tcPr>
              <w:p>
                <w:pPr>
                  <w:jc w:val="right"/>
                  <w:rPr>
                    <w:sz w:val="18"/>
                    <w:szCs w:val="18"/>
                  </w:rPr>
                </w:pPr>
                <w:r>
                  <w:rPr>
                    <w:rFonts w:ascii="宋体" w:hAnsi="宋体"/>
                    <w:spacing w:val="-50"/>
                  </w:rPr>
                  <w:t>12,434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90ad87987d54aec9ebb059ca9fe2d83"/>
                <w:id w:val="-405913845"/>
              </w:sdtPr>
              <w:sdtContent>
                <w:tc>
                  <w:tcPr>
                    <w:tcW w:w="652" w:type="pct"/>
                    <w:vAlign w:val="center"/>
                  </w:tcPr>
                  <w:p>
                    <w:pPr>
                      <w:rPr>
                        <w:sz w:val="18"/>
                        <w:szCs w:val="18"/>
                      </w:rPr>
                    </w:pPr>
                    <w:r>
                      <w:rPr>
                        <w:rFonts w:hint="eastAsia"/>
                        <w:sz w:val="18"/>
                        <w:szCs w:val="18"/>
                      </w:rPr>
                      <w:t>2．其他权益工具持有者投入资本</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4,990,400</w:t>
                </w: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4,990,400</w:t>
                </w:r>
              </w:p>
            </w:tc>
            <w:tc>
              <w:tcPr>
                <w:tcW w:w="344" w:type="pct"/>
                <w:vAlign w:val="center"/>
              </w:tcPr>
              <w:p>
                <w:pPr>
                  <w:jc w:val="right"/>
                  <w:rPr>
                    <w:sz w:val="18"/>
                    <w:szCs w:val="18"/>
                  </w:rPr>
                </w:pPr>
              </w:p>
            </w:tc>
            <w:tc>
              <w:tcPr>
                <w:tcW w:w="373" w:type="pct"/>
                <w:vAlign w:val="center"/>
              </w:tcPr>
              <w:p>
                <w:pPr>
                  <w:jc w:val="right"/>
                  <w:rPr>
                    <w:sz w:val="18"/>
                    <w:szCs w:val="18"/>
                  </w:rPr>
                </w:pPr>
                <w:r>
                  <w:rPr>
                    <w:rFonts w:ascii="宋体" w:hAnsi="宋体"/>
                    <w:spacing w:val="-50"/>
                  </w:rPr>
                  <w:t>4,990,400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3580ad15ab461695606b09453b2233"/>
                <w:id w:val="-714726401"/>
              </w:sdtPr>
              <w:sdtContent>
                <w:tc>
                  <w:tcPr>
                    <w:tcW w:w="652" w:type="pct"/>
                    <w:vAlign w:val="center"/>
                  </w:tcPr>
                  <w:p>
                    <w:pPr>
                      <w:rPr>
                        <w:sz w:val="18"/>
                        <w:szCs w:val="18"/>
                      </w:rPr>
                    </w:pPr>
                    <w:r>
                      <w:rPr>
                        <w:rFonts w:hint="eastAsia"/>
                        <w:sz w:val="18"/>
                        <w:szCs w:val="18"/>
                      </w:rPr>
                      <w:t>3</w:t>
                    </w:r>
                    <w:r>
                      <w:rPr>
                        <w:sz w:val="18"/>
                        <w:szCs w:val="18"/>
                      </w:rPr>
                      <w:t>．股份支付计入所有者权益的金额</w:t>
                    </w:r>
                  </w:p>
                </w:tc>
              </w:sdtContent>
            </w:sdt>
            <w:tc>
              <w:tcPr>
                <w:tcW w:w="273" w:type="pct"/>
                <w:vAlign w:val="center"/>
              </w:tcPr>
              <w:p>
                <w:pPr>
                  <w:jc w:val="right"/>
                  <w:rPr>
                    <w:sz w:val="18"/>
                    <w:szCs w:val="18"/>
                  </w:rPr>
                </w:pPr>
                <w:r>
                  <w:rPr>
                    <w:rFonts w:ascii="宋体" w:hAnsi="宋体"/>
                    <w:spacing w:val="-50"/>
                  </w:rPr>
                  <w:t>74,520</w:t>
                </w: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r>
                  <w:rPr>
                    <w:rFonts w:ascii="宋体" w:hAnsi="宋体"/>
                    <w:spacing w:val="-50"/>
                  </w:rPr>
                  <w:t>1,029,496</w:t>
                </w:r>
              </w:p>
            </w:tc>
            <w:tc>
              <w:tcPr>
                <w:tcW w:w="229" w:type="pct"/>
                <w:vAlign w:val="center"/>
              </w:tcPr>
              <w:p>
                <w:pPr>
                  <w:jc w:val="right"/>
                  <w:rPr>
                    <w:sz w:val="18"/>
                    <w:szCs w:val="18"/>
                  </w:rPr>
                </w:pPr>
                <w:r>
                  <w:rPr>
                    <w:rFonts w:ascii="宋体" w:hAnsi="宋体"/>
                    <w:spacing w:val="-50"/>
                  </w:rPr>
                  <w:t>723,593</w:t>
                </w: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380,423</w:t>
                </w:r>
              </w:p>
            </w:tc>
            <w:tc>
              <w:tcPr>
                <w:tcW w:w="344" w:type="pct"/>
                <w:vAlign w:val="center"/>
              </w:tcPr>
              <w:p>
                <w:pPr>
                  <w:jc w:val="right"/>
                  <w:rPr>
                    <w:sz w:val="18"/>
                    <w:szCs w:val="18"/>
                  </w:rPr>
                </w:pPr>
                <w:r>
                  <w:rPr>
                    <w:rFonts w:ascii="宋体" w:hAnsi="宋体"/>
                    <w:spacing w:val="-50"/>
                  </w:rPr>
                  <w:t>16,986</w:t>
                </w:r>
              </w:p>
            </w:tc>
            <w:tc>
              <w:tcPr>
                <w:tcW w:w="373" w:type="pct"/>
                <w:vAlign w:val="center"/>
              </w:tcPr>
              <w:p>
                <w:pPr>
                  <w:jc w:val="right"/>
                  <w:rPr>
                    <w:sz w:val="18"/>
                    <w:szCs w:val="18"/>
                  </w:rPr>
                </w:pPr>
                <w:r>
                  <w:rPr>
                    <w:rFonts w:ascii="宋体" w:hAnsi="宋体"/>
                    <w:spacing w:val="-50"/>
                  </w:rPr>
                  <w:t>397,409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pPr>
                  <w:rPr>
                    <w:sz w:val="18"/>
                    <w:szCs w:val="18"/>
                  </w:rPr>
                </w:pPr>
                <w:r>
                  <w:rPr>
                    <w:rFonts w:hint="eastAsia"/>
                    <w:sz w:val="18"/>
                    <w:szCs w:val="18"/>
                  </w:rPr>
                  <w:t>4．同一控制下企业合并</w:t>
                </w:r>
              </w:p>
            </w:tc>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p>
            </w:tc>
            <w:tc>
              <w:tcPr>
                <w:tcW w:w="344" w:type="pct"/>
                <w:vAlign w:val="center"/>
              </w:tcPr>
              <w:p>
                <w:pPr>
                  <w:jc w:val="right"/>
                  <w:rPr>
                    <w:sz w:val="18"/>
                    <w:szCs w:val="18"/>
                  </w:rPr>
                </w:pPr>
              </w:p>
            </w:tc>
            <w:tc>
              <w:tcPr>
                <w:tcW w:w="373" w:type="pct"/>
                <w:vAlign w:val="center"/>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pPr>
                  <w:rPr>
                    <w:sz w:val="18"/>
                    <w:szCs w:val="18"/>
                  </w:rPr>
                </w:pPr>
                <w:r>
                  <w:rPr>
                    <w:rFonts w:hint="eastAsia"/>
                    <w:sz w:val="18"/>
                    <w:szCs w:val="18"/>
                  </w:rPr>
                  <w:t>5．收购少数股东股权</w:t>
                </w:r>
              </w:p>
            </w:tc>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p>
            </w:tc>
            <w:tc>
              <w:tcPr>
                <w:tcW w:w="344" w:type="pct"/>
                <w:vAlign w:val="center"/>
              </w:tcPr>
              <w:p>
                <w:pPr>
                  <w:jc w:val="right"/>
                  <w:rPr>
                    <w:sz w:val="18"/>
                    <w:szCs w:val="18"/>
                  </w:rPr>
                </w:pPr>
                <w:r>
                  <w:rPr>
                    <w:rFonts w:ascii="宋体" w:hAnsi="宋体"/>
                    <w:spacing w:val="-50"/>
                  </w:rPr>
                  <w:t>-116,332</w:t>
                </w:r>
              </w:p>
            </w:tc>
            <w:tc>
              <w:tcPr>
                <w:tcW w:w="373" w:type="pct"/>
                <w:vAlign w:val="center"/>
              </w:tcPr>
              <w:p>
                <w:pPr>
                  <w:jc w:val="right"/>
                  <w:rPr>
                    <w:sz w:val="18"/>
                    <w:szCs w:val="18"/>
                  </w:rPr>
                </w:pPr>
                <w:r>
                  <w:rPr>
                    <w:rFonts w:ascii="宋体" w:hAnsi="宋体"/>
                    <w:spacing w:val="-50"/>
                  </w:rPr>
                  <w:t>-116,332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pPr>
                  <w:rPr>
                    <w:sz w:val="18"/>
                    <w:szCs w:val="18"/>
                  </w:rPr>
                </w:pPr>
                <w:r>
                  <w:rPr>
                    <w:rFonts w:hint="eastAsia"/>
                    <w:sz w:val="18"/>
                    <w:szCs w:val="18"/>
                  </w:rPr>
                  <w:t>6．未丧失控股权持股比例下降</w:t>
                </w:r>
              </w:p>
            </w:tc>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p>
            </w:tc>
            <w:tc>
              <w:tcPr>
                <w:tcW w:w="344" w:type="pct"/>
                <w:vAlign w:val="center"/>
              </w:tcPr>
              <w:p>
                <w:pPr>
                  <w:jc w:val="right"/>
                  <w:rPr>
                    <w:sz w:val="18"/>
                    <w:szCs w:val="18"/>
                  </w:rPr>
                </w:pPr>
              </w:p>
            </w:tc>
            <w:tc>
              <w:tcPr>
                <w:tcW w:w="373" w:type="pct"/>
                <w:vAlign w:val="center"/>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2d1c7d278224bfa80a28845c7639c86"/>
                <w:id w:val="899710241"/>
              </w:sdtPr>
              <w:sdtContent>
                <w:tc>
                  <w:tcPr>
                    <w:tcW w:w="652" w:type="pct"/>
                    <w:vAlign w:val="center"/>
                  </w:tcPr>
                  <w:p>
                    <w:pPr>
                      <w:rPr>
                        <w:sz w:val="18"/>
                        <w:szCs w:val="18"/>
                      </w:rPr>
                    </w:pPr>
                    <w:r>
                      <w:rPr>
                        <w:sz w:val="18"/>
                        <w:szCs w:val="18"/>
                      </w:rPr>
                      <w:t>7．其他</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r>
                  <w:rPr>
                    <w:rFonts w:ascii="宋体" w:hAnsi="宋体"/>
                    <w:spacing w:val="-50"/>
                  </w:rPr>
                  <w:t>-1,345,785</w:t>
                </w: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-30,305</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-1,376,090</w:t>
                </w:r>
              </w:p>
            </w:tc>
            <w:tc>
              <w:tcPr>
                <w:tcW w:w="344" w:type="pct"/>
                <w:vAlign w:val="center"/>
              </w:tcPr>
              <w:p>
                <w:pPr>
                  <w:jc w:val="right"/>
                  <w:rPr>
                    <w:sz w:val="18"/>
                    <w:szCs w:val="18"/>
                  </w:rPr>
                </w:pPr>
                <w:r>
                  <w:rPr>
                    <w:rFonts w:ascii="宋体" w:hAnsi="宋体"/>
                    <w:spacing w:val="-50"/>
                  </w:rPr>
                  <w:t>-1,662,375</w:t>
                </w:r>
              </w:p>
            </w:tc>
            <w:tc>
              <w:tcPr>
                <w:tcW w:w="373" w:type="pct"/>
                <w:vAlign w:val="center"/>
              </w:tcPr>
              <w:p>
                <w:pPr>
                  <w:jc w:val="right"/>
                  <w:rPr>
                    <w:sz w:val="18"/>
                    <w:szCs w:val="18"/>
                  </w:rPr>
                </w:pPr>
                <w:r>
                  <w:rPr>
                    <w:rFonts w:ascii="宋体" w:hAnsi="宋体"/>
                    <w:spacing w:val="-50"/>
                  </w:rPr>
                  <w:t>-3,038,465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f4c1a0d22784a4a81a90a7b772560b9"/>
                <w:id w:val="-1308853277"/>
              </w:sdtPr>
              <w:sdtContent>
                <w:tc>
                  <w:tcPr>
                    <w:tcW w:w="652" w:type="pct"/>
                    <w:vAlign w:val="center"/>
                  </w:tcPr>
                  <w:p>
                    <w:pPr>
                      <w:rPr>
                        <w:sz w:val="18"/>
                        <w:szCs w:val="18"/>
                      </w:rPr>
                    </w:pPr>
                    <w:r>
                      <w:rPr>
                        <w:sz w:val="18"/>
                        <w:szCs w:val="18"/>
                      </w:rPr>
                      <w:t>（</w:t>
                    </w:r>
                    <w:r>
                      <w:rPr>
                        <w:rFonts w:hint="eastAsia"/>
                        <w:sz w:val="18"/>
                        <w:szCs w:val="18"/>
                      </w:rPr>
                      <w:t>三</w:t>
                    </w:r>
                    <w:r>
                      <w:rPr>
                        <w:sz w:val="18"/>
                        <w:szCs w:val="18"/>
                      </w:rPr>
                      <w:t>）利润分配</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-321,830</w:t>
                </w: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-10,169,450</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-10,491,280</w:t>
                </w:r>
              </w:p>
            </w:tc>
            <w:tc>
              <w:tcPr>
                <w:tcW w:w="344" w:type="pct"/>
                <w:vAlign w:val="center"/>
              </w:tcPr>
              <w:p>
                <w:pPr>
                  <w:jc w:val="right"/>
                  <w:rPr>
                    <w:sz w:val="18"/>
                    <w:szCs w:val="18"/>
                  </w:rPr>
                </w:pPr>
                <w:r>
                  <w:rPr>
                    <w:rFonts w:ascii="宋体" w:hAnsi="宋体"/>
                    <w:spacing w:val="-50"/>
                  </w:rPr>
                  <w:t>-4,929,518</w:t>
                </w:r>
              </w:p>
            </w:tc>
            <w:tc>
              <w:tcPr>
                <w:tcW w:w="373" w:type="pct"/>
                <w:vAlign w:val="center"/>
              </w:tcPr>
              <w:p>
                <w:pPr>
                  <w:jc w:val="right"/>
                  <w:rPr>
                    <w:sz w:val="18"/>
                    <w:szCs w:val="18"/>
                  </w:rPr>
                </w:pPr>
                <w:r>
                  <w:rPr>
                    <w:rFonts w:ascii="宋体" w:hAnsi="宋体"/>
                    <w:spacing w:val="-50"/>
                  </w:rPr>
                  <w:t>-15,420,798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3a49eb420a24cdbb4f7f5ce05660344"/>
                <w:id w:val="411282779"/>
              </w:sdtPr>
              <w:sdtContent>
                <w:tc>
                  <w:tcPr>
                    <w:tcW w:w="652" w:type="pct"/>
                    <w:vAlign w:val="center"/>
                  </w:tcPr>
                  <w:p>
                    <w:pPr>
                      <w:rPr>
                        <w:sz w:val="18"/>
                        <w:szCs w:val="18"/>
                      </w:rPr>
                    </w:pPr>
                    <w:r>
                      <w:rPr>
                        <w:sz w:val="18"/>
                        <w:szCs w:val="18"/>
                      </w:rPr>
                      <w:t>1．提取盈余公积</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p>
            </w:tc>
            <w:tc>
              <w:tcPr>
                <w:tcW w:w="344" w:type="pct"/>
                <w:vAlign w:val="center"/>
              </w:tcPr>
              <w:p>
                <w:pPr>
                  <w:jc w:val="right"/>
                  <w:rPr>
                    <w:sz w:val="18"/>
                    <w:szCs w:val="18"/>
                  </w:rPr>
                </w:pPr>
              </w:p>
            </w:tc>
            <w:tc>
              <w:tcPr>
                <w:tcW w:w="373" w:type="pct"/>
                <w:vAlign w:val="center"/>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30083ca1b684aa0b92b69b31995ea1b"/>
                <w:id w:val="-418258310"/>
              </w:sdtPr>
              <w:sdtContent>
                <w:tc>
                  <w:tcPr>
                    <w:tcW w:w="652" w:type="pct"/>
                    <w:vAlign w:val="center"/>
                  </w:tcPr>
                  <w:p>
                    <w:pPr>
                      <w:rPr>
                        <w:sz w:val="18"/>
                        <w:szCs w:val="18"/>
                      </w:rPr>
                    </w:pPr>
                    <w:r>
                      <w:rPr>
                        <w:sz w:val="18"/>
                        <w:szCs w:val="18"/>
                      </w:rPr>
                      <w:t>2．提取一般风险准备</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p>
            </w:tc>
            <w:tc>
              <w:tcPr>
                <w:tcW w:w="344" w:type="pct"/>
                <w:vAlign w:val="center"/>
              </w:tcPr>
              <w:p>
                <w:pPr>
                  <w:jc w:val="right"/>
                  <w:rPr>
                    <w:sz w:val="18"/>
                    <w:szCs w:val="18"/>
                  </w:rPr>
                </w:pPr>
              </w:p>
            </w:tc>
            <w:tc>
              <w:tcPr>
                <w:tcW w:w="373" w:type="pct"/>
                <w:vAlign w:val="center"/>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19b1d04bab14e67b22ee23afd215d76"/>
                <w:id w:val="-1125377653"/>
              </w:sdtPr>
              <w:sdtContent>
                <w:tc>
                  <w:tcPr>
                    <w:tcW w:w="652" w:type="pct"/>
                    <w:vAlign w:val="center"/>
                  </w:tcPr>
                  <w:p>
                    <w:pPr>
                      <w:rPr>
                        <w:sz w:val="18"/>
                        <w:szCs w:val="18"/>
                      </w:rPr>
                    </w:pPr>
                    <w:r>
                      <w:rPr>
                        <w:sz w:val="18"/>
                        <w:szCs w:val="18"/>
                      </w:rPr>
                      <w:t>3．对所有者（或股东）的分配</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-10,162,671</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-10,162,671</w:t>
                </w:r>
              </w:p>
            </w:tc>
            <w:tc>
              <w:tcPr>
                <w:tcW w:w="344" w:type="pct"/>
                <w:vAlign w:val="center"/>
              </w:tcPr>
              <w:p>
                <w:pPr>
                  <w:jc w:val="right"/>
                  <w:rPr>
                    <w:sz w:val="18"/>
                    <w:szCs w:val="18"/>
                  </w:rPr>
                </w:pPr>
                <w:r>
                  <w:rPr>
                    <w:rFonts w:ascii="宋体" w:hAnsi="宋体"/>
                    <w:spacing w:val="-50"/>
                  </w:rPr>
                  <w:t>-4,914,144</w:t>
                </w:r>
              </w:p>
            </w:tc>
            <w:tc>
              <w:tcPr>
                <w:tcW w:w="373" w:type="pct"/>
                <w:vAlign w:val="center"/>
              </w:tcPr>
              <w:p>
                <w:pPr>
                  <w:jc w:val="right"/>
                  <w:rPr>
                    <w:sz w:val="18"/>
                    <w:szCs w:val="18"/>
                  </w:rPr>
                </w:pPr>
                <w:r>
                  <w:rPr>
                    <w:rFonts w:ascii="宋体" w:hAnsi="宋体"/>
                    <w:spacing w:val="-50"/>
                  </w:rPr>
                  <w:t>-15,076,815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pPr>
                  <w:rPr>
                    <w:sz w:val="18"/>
                    <w:szCs w:val="18"/>
                  </w:rPr>
                </w:pPr>
                <w:r>
                  <w:rPr>
                    <w:sz w:val="18"/>
                    <w:szCs w:val="18"/>
                  </w:rPr>
                  <w:t>4</w:t>
                </w:r>
                <w:r>
                  <w:rPr>
                    <w:rFonts w:hint="eastAsia"/>
                    <w:sz w:val="18"/>
                    <w:szCs w:val="18"/>
                  </w:rPr>
                  <w:t>．</w:t>
                </w:r>
                <w:r>
                  <w:rPr>
                    <w:sz w:val="18"/>
                    <w:szCs w:val="18"/>
                  </w:rPr>
                  <w:t>对其他权益工具持有者的分配</w:t>
                </w:r>
              </w:p>
            </w:tc>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-321,830</w:t>
                </w: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-321,830</w:t>
                </w:r>
              </w:p>
            </w:tc>
            <w:tc>
              <w:tcPr>
                <w:tcW w:w="344" w:type="pct"/>
                <w:vAlign w:val="center"/>
              </w:tcPr>
              <w:p>
                <w:pPr>
                  <w:jc w:val="right"/>
                  <w:rPr>
                    <w:sz w:val="18"/>
                    <w:szCs w:val="18"/>
                  </w:rPr>
                </w:pPr>
              </w:p>
            </w:tc>
            <w:tc>
              <w:tcPr>
                <w:tcW w:w="373" w:type="pct"/>
                <w:vAlign w:val="center"/>
              </w:tcPr>
              <w:p>
                <w:pPr>
                  <w:jc w:val="right"/>
                  <w:rPr>
                    <w:sz w:val="18"/>
                    <w:szCs w:val="18"/>
                  </w:rPr>
                </w:pPr>
                <w:r>
                  <w:rPr>
                    <w:rFonts w:ascii="宋体" w:hAnsi="宋体"/>
                    <w:spacing w:val="-50"/>
                  </w:rPr>
                  <w:t>-321,830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5628e129d04d23a2d71da503cecfdd"/>
                <w:id w:val="1128507987"/>
              </w:sdtPr>
              <w:sdtContent>
                <w:tc>
                  <w:tcPr>
                    <w:tcW w:w="652" w:type="pct"/>
                    <w:vAlign w:val="center"/>
                  </w:tcPr>
                  <w:p>
                    <w:pPr>
                      <w:rPr>
                        <w:sz w:val="18"/>
                        <w:szCs w:val="18"/>
                      </w:rPr>
                    </w:pPr>
                    <w:r>
                      <w:rPr>
                        <w:sz w:val="18"/>
                        <w:szCs w:val="18"/>
                      </w:rPr>
                      <w:t>5．其他</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-6,779</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-6,779</w:t>
                </w:r>
              </w:p>
            </w:tc>
            <w:tc>
              <w:tcPr>
                <w:tcW w:w="344" w:type="pct"/>
                <w:vAlign w:val="center"/>
              </w:tcPr>
              <w:p>
                <w:pPr>
                  <w:jc w:val="right"/>
                  <w:rPr>
                    <w:sz w:val="18"/>
                    <w:szCs w:val="18"/>
                  </w:rPr>
                </w:pPr>
                <w:r>
                  <w:rPr>
                    <w:rFonts w:ascii="宋体" w:hAnsi="宋体"/>
                    <w:spacing w:val="-50"/>
                  </w:rPr>
                  <w:t>-15,374</w:t>
                </w:r>
              </w:p>
            </w:tc>
            <w:tc>
              <w:tcPr>
                <w:tcW w:w="373" w:type="pct"/>
                <w:vAlign w:val="center"/>
              </w:tcPr>
              <w:p>
                <w:pPr>
                  <w:jc w:val="right"/>
                  <w:rPr>
                    <w:sz w:val="18"/>
                    <w:szCs w:val="18"/>
                  </w:rPr>
                </w:pPr>
                <w:r>
                  <w:rPr>
                    <w:rFonts w:ascii="宋体" w:hAnsi="宋体"/>
                    <w:spacing w:val="-50"/>
                  </w:rPr>
                  <w:t>-22,153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953b61d69004a7a91974afa1318df0a"/>
                <w:id w:val="-1716422324"/>
              </w:sdtPr>
              <w:sdtContent>
                <w:tc>
                  <w:tcPr>
                    <w:tcW w:w="652" w:type="pct"/>
                    <w:vAlign w:val="center"/>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273" w:type="pct"/>
              </w:tcPr>
              <w:p>
                <w:pPr>
                  <w:jc w:val="right"/>
                  <w:rPr>
                    <w:sz w:val="18"/>
                    <w:szCs w:val="18"/>
                  </w:rPr>
                </w:pPr>
              </w:p>
            </w:tc>
            <w:tc>
              <w:tcPr>
                <w:tcW w:w="273" w:type="pct"/>
              </w:tcPr>
              <w:p>
                <w:pPr>
                  <w:jc w:val="right"/>
                  <w:rPr>
                    <w:sz w:val="18"/>
                    <w:szCs w:val="18"/>
                  </w:rPr>
                </w:pPr>
              </w:p>
            </w:tc>
            <w:tc>
              <w:tcPr>
                <w:tcW w:w="276" w:type="pct"/>
              </w:tcPr>
              <w:p>
                <w:pPr>
                  <w:jc w:val="right"/>
                  <w:rPr>
                    <w:sz w:val="18"/>
                    <w:szCs w:val="18"/>
                  </w:rPr>
                </w:pPr>
              </w:p>
            </w:tc>
            <w:tc>
              <w:tcPr>
                <w:tcW w:w="211" w:type="pct"/>
              </w:tcPr>
              <w:p>
                <w:pPr>
                  <w:jc w:val="right"/>
                  <w:rPr>
                    <w:sz w:val="18"/>
                    <w:szCs w:val="18"/>
                  </w:rPr>
                </w:pPr>
              </w:p>
            </w:tc>
            <w:tc>
              <w:tcPr>
                <w:tcW w:w="335" w:type="pct"/>
              </w:tcPr>
              <w:p>
                <w:pPr>
                  <w:jc w:val="right"/>
                  <w:rPr>
                    <w:sz w:val="18"/>
                    <w:szCs w:val="18"/>
                  </w:rPr>
                </w:pPr>
              </w:p>
            </w:tc>
            <w:tc>
              <w:tcPr>
                <w:tcW w:w="229" w:type="pct"/>
              </w:tcPr>
              <w:p>
                <w:pPr>
                  <w:jc w:val="right"/>
                  <w:rPr>
                    <w:sz w:val="18"/>
                    <w:szCs w:val="18"/>
                  </w:rPr>
                </w:pPr>
              </w:p>
            </w:tc>
            <w:tc>
              <w:tcPr>
                <w:tcW w:w="316"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07" w:type="pct"/>
              </w:tcPr>
              <w:p>
                <w:pPr>
                  <w:jc w:val="right"/>
                  <w:rPr>
                    <w:sz w:val="18"/>
                    <w:szCs w:val="18"/>
                  </w:rPr>
                </w:pPr>
              </w:p>
            </w:tc>
            <w:tc>
              <w:tcPr>
                <w:tcW w:w="303" w:type="pct"/>
              </w:tcPr>
              <w:p>
                <w:pPr>
                  <w:jc w:val="right"/>
                  <w:rPr>
                    <w:sz w:val="18"/>
                    <w:szCs w:val="18"/>
                  </w:rPr>
                </w:pPr>
              </w:p>
            </w:tc>
            <w:tc>
              <w:tcPr>
                <w:tcW w:w="289" w:type="pct"/>
              </w:tcPr>
              <w:p>
                <w:pPr>
                  <w:jc w:val="right"/>
                  <w:rPr>
                    <w:sz w:val="18"/>
                    <w:szCs w:val="18"/>
                  </w:rPr>
                </w:pPr>
              </w:p>
            </w:tc>
            <w:tc>
              <w:tcPr>
                <w:tcW w:w="344" w:type="pct"/>
              </w:tcPr>
              <w:p>
                <w:pPr>
                  <w:jc w:val="right"/>
                  <w:rPr>
                    <w:sz w:val="18"/>
                    <w:szCs w:val="18"/>
                  </w:rPr>
                </w:pPr>
              </w:p>
            </w:tc>
            <w:tc>
              <w:tcPr>
                <w:tcW w:w="373"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78fa3d290b3473aacd1d849016a2959"/>
                <w:id w:val="-1267382641"/>
              </w:sdtPr>
              <w:sdtContent>
                <w:tc>
                  <w:tcPr>
                    <w:tcW w:w="652" w:type="pct"/>
                    <w:vAlign w:val="center"/>
                  </w:tcPr>
                  <w:p>
                    <w:pPr>
                      <w:rPr>
                        <w:sz w:val="18"/>
                        <w:szCs w:val="18"/>
                      </w:rPr>
                    </w:pPr>
                    <w:r>
                      <w:rPr>
                        <w:sz w:val="18"/>
                        <w:szCs w:val="18"/>
                      </w:rPr>
                      <w:t>1．资本公积转增资本（或股本）</w:t>
                    </w:r>
                  </w:p>
                </w:tc>
              </w:sdtContent>
            </w:sdt>
            <w:tc>
              <w:tcPr>
                <w:tcW w:w="273" w:type="pct"/>
              </w:tcPr>
              <w:p>
                <w:pPr>
                  <w:jc w:val="right"/>
                  <w:rPr>
                    <w:sz w:val="18"/>
                    <w:szCs w:val="18"/>
                  </w:rPr>
                </w:pPr>
              </w:p>
            </w:tc>
            <w:tc>
              <w:tcPr>
                <w:tcW w:w="273" w:type="pct"/>
              </w:tcPr>
              <w:p>
                <w:pPr>
                  <w:jc w:val="right"/>
                  <w:rPr>
                    <w:sz w:val="18"/>
                    <w:szCs w:val="18"/>
                  </w:rPr>
                </w:pPr>
              </w:p>
            </w:tc>
            <w:tc>
              <w:tcPr>
                <w:tcW w:w="276" w:type="pct"/>
              </w:tcPr>
              <w:p>
                <w:pPr>
                  <w:jc w:val="right"/>
                  <w:rPr>
                    <w:sz w:val="18"/>
                    <w:szCs w:val="18"/>
                  </w:rPr>
                </w:pPr>
              </w:p>
            </w:tc>
            <w:tc>
              <w:tcPr>
                <w:tcW w:w="211" w:type="pct"/>
              </w:tcPr>
              <w:p>
                <w:pPr>
                  <w:jc w:val="right"/>
                  <w:rPr>
                    <w:sz w:val="18"/>
                    <w:szCs w:val="18"/>
                  </w:rPr>
                </w:pPr>
              </w:p>
            </w:tc>
            <w:tc>
              <w:tcPr>
                <w:tcW w:w="335" w:type="pct"/>
              </w:tcPr>
              <w:p>
                <w:pPr>
                  <w:jc w:val="right"/>
                  <w:rPr>
                    <w:sz w:val="18"/>
                    <w:szCs w:val="18"/>
                  </w:rPr>
                </w:pPr>
              </w:p>
            </w:tc>
            <w:tc>
              <w:tcPr>
                <w:tcW w:w="229" w:type="pct"/>
              </w:tcPr>
              <w:p>
                <w:pPr>
                  <w:jc w:val="right"/>
                  <w:rPr>
                    <w:sz w:val="18"/>
                    <w:szCs w:val="18"/>
                  </w:rPr>
                </w:pPr>
              </w:p>
            </w:tc>
            <w:tc>
              <w:tcPr>
                <w:tcW w:w="316"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07" w:type="pct"/>
              </w:tcPr>
              <w:p>
                <w:pPr>
                  <w:jc w:val="right"/>
                  <w:rPr>
                    <w:sz w:val="18"/>
                    <w:szCs w:val="18"/>
                  </w:rPr>
                </w:pPr>
              </w:p>
            </w:tc>
            <w:tc>
              <w:tcPr>
                <w:tcW w:w="303" w:type="pct"/>
              </w:tcPr>
              <w:p>
                <w:pPr>
                  <w:jc w:val="right"/>
                  <w:rPr>
                    <w:sz w:val="18"/>
                    <w:szCs w:val="18"/>
                  </w:rPr>
                </w:pPr>
              </w:p>
            </w:tc>
            <w:tc>
              <w:tcPr>
                <w:tcW w:w="289" w:type="pct"/>
              </w:tcPr>
              <w:p>
                <w:pPr>
                  <w:jc w:val="right"/>
                  <w:rPr>
                    <w:sz w:val="18"/>
                    <w:szCs w:val="18"/>
                  </w:rPr>
                </w:pPr>
              </w:p>
            </w:tc>
            <w:tc>
              <w:tcPr>
                <w:tcW w:w="344" w:type="pct"/>
              </w:tcPr>
              <w:p>
                <w:pPr>
                  <w:jc w:val="right"/>
                  <w:rPr>
                    <w:sz w:val="18"/>
                    <w:szCs w:val="18"/>
                  </w:rPr>
                </w:pPr>
              </w:p>
            </w:tc>
            <w:tc>
              <w:tcPr>
                <w:tcW w:w="373"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beb2e6cbbd4ba2a65e4f369c7e7929"/>
                <w:id w:val="666750513"/>
              </w:sdtPr>
              <w:sdtContent>
                <w:tc>
                  <w:tcPr>
                    <w:tcW w:w="652" w:type="pct"/>
                    <w:vAlign w:val="center"/>
                  </w:tcPr>
                  <w:p>
                    <w:pPr>
                      <w:rPr>
                        <w:sz w:val="18"/>
                        <w:szCs w:val="18"/>
                      </w:rPr>
                    </w:pPr>
                    <w:r>
                      <w:rPr>
                        <w:sz w:val="18"/>
                        <w:szCs w:val="18"/>
                      </w:rPr>
                      <w:t>2．盈余公积转增资本（或股本）</w:t>
                    </w:r>
                  </w:p>
                </w:tc>
              </w:sdtContent>
            </w:sdt>
            <w:tc>
              <w:tcPr>
                <w:tcW w:w="273" w:type="pct"/>
              </w:tcPr>
              <w:p>
                <w:pPr>
                  <w:jc w:val="right"/>
                  <w:rPr>
                    <w:sz w:val="18"/>
                    <w:szCs w:val="18"/>
                  </w:rPr>
                </w:pPr>
              </w:p>
            </w:tc>
            <w:tc>
              <w:tcPr>
                <w:tcW w:w="273" w:type="pct"/>
              </w:tcPr>
              <w:p>
                <w:pPr>
                  <w:jc w:val="right"/>
                  <w:rPr>
                    <w:sz w:val="18"/>
                    <w:szCs w:val="18"/>
                  </w:rPr>
                </w:pPr>
              </w:p>
            </w:tc>
            <w:tc>
              <w:tcPr>
                <w:tcW w:w="276" w:type="pct"/>
              </w:tcPr>
              <w:p>
                <w:pPr>
                  <w:jc w:val="right"/>
                  <w:rPr>
                    <w:sz w:val="18"/>
                    <w:szCs w:val="18"/>
                  </w:rPr>
                </w:pPr>
              </w:p>
            </w:tc>
            <w:tc>
              <w:tcPr>
                <w:tcW w:w="211" w:type="pct"/>
              </w:tcPr>
              <w:p>
                <w:pPr>
                  <w:jc w:val="right"/>
                  <w:rPr>
                    <w:sz w:val="18"/>
                    <w:szCs w:val="18"/>
                  </w:rPr>
                </w:pPr>
              </w:p>
            </w:tc>
            <w:tc>
              <w:tcPr>
                <w:tcW w:w="335" w:type="pct"/>
              </w:tcPr>
              <w:p>
                <w:pPr>
                  <w:jc w:val="right"/>
                  <w:rPr>
                    <w:sz w:val="18"/>
                    <w:szCs w:val="18"/>
                  </w:rPr>
                </w:pPr>
              </w:p>
            </w:tc>
            <w:tc>
              <w:tcPr>
                <w:tcW w:w="229" w:type="pct"/>
              </w:tcPr>
              <w:p>
                <w:pPr>
                  <w:jc w:val="right"/>
                  <w:rPr>
                    <w:sz w:val="18"/>
                    <w:szCs w:val="18"/>
                  </w:rPr>
                </w:pPr>
              </w:p>
            </w:tc>
            <w:tc>
              <w:tcPr>
                <w:tcW w:w="316"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07" w:type="pct"/>
              </w:tcPr>
              <w:p>
                <w:pPr>
                  <w:jc w:val="right"/>
                  <w:rPr>
                    <w:sz w:val="18"/>
                    <w:szCs w:val="18"/>
                  </w:rPr>
                </w:pPr>
              </w:p>
            </w:tc>
            <w:tc>
              <w:tcPr>
                <w:tcW w:w="303" w:type="pct"/>
              </w:tcPr>
              <w:p>
                <w:pPr>
                  <w:jc w:val="right"/>
                  <w:rPr>
                    <w:sz w:val="18"/>
                    <w:szCs w:val="18"/>
                  </w:rPr>
                </w:pPr>
              </w:p>
            </w:tc>
            <w:tc>
              <w:tcPr>
                <w:tcW w:w="289" w:type="pct"/>
              </w:tcPr>
              <w:p>
                <w:pPr>
                  <w:jc w:val="right"/>
                  <w:rPr>
                    <w:sz w:val="18"/>
                    <w:szCs w:val="18"/>
                  </w:rPr>
                </w:pPr>
              </w:p>
            </w:tc>
            <w:tc>
              <w:tcPr>
                <w:tcW w:w="344" w:type="pct"/>
              </w:tcPr>
              <w:p>
                <w:pPr>
                  <w:jc w:val="right"/>
                  <w:rPr>
                    <w:sz w:val="18"/>
                    <w:szCs w:val="18"/>
                  </w:rPr>
                </w:pPr>
              </w:p>
            </w:tc>
            <w:tc>
              <w:tcPr>
                <w:tcW w:w="373"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f2b570df754e85bb72c0f63cdd3f1c"/>
                <w:id w:val="-1936353146"/>
              </w:sdtPr>
              <w:sdtContent>
                <w:tc>
                  <w:tcPr>
                    <w:tcW w:w="652" w:type="pct"/>
                    <w:vAlign w:val="center"/>
                  </w:tcPr>
                  <w:p>
                    <w:pPr>
                      <w:rPr>
                        <w:sz w:val="18"/>
                        <w:szCs w:val="18"/>
                      </w:rPr>
                    </w:pPr>
                    <w:r>
                      <w:rPr>
                        <w:sz w:val="18"/>
                        <w:szCs w:val="18"/>
                      </w:rPr>
                      <w:t>3．盈余公积弥补亏损</w:t>
                    </w:r>
                  </w:p>
                </w:tc>
              </w:sdtContent>
            </w:sdt>
            <w:tc>
              <w:tcPr>
                <w:tcW w:w="273" w:type="pct"/>
              </w:tcPr>
              <w:p>
                <w:pPr>
                  <w:jc w:val="right"/>
                  <w:rPr>
                    <w:sz w:val="18"/>
                    <w:szCs w:val="18"/>
                  </w:rPr>
                </w:pPr>
              </w:p>
            </w:tc>
            <w:tc>
              <w:tcPr>
                <w:tcW w:w="273" w:type="pct"/>
              </w:tcPr>
              <w:p>
                <w:pPr>
                  <w:jc w:val="right"/>
                  <w:rPr>
                    <w:sz w:val="18"/>
                    <w:szCs w:val="18"/>
                  </w:rPr>
                </w:pPr>
              </w:p>
            </w:tc>
            <w:tc>
              <w:tcPr>
                <w:tcW w:w="276" w:type="pct"/>
              </w:tcPr>
              <w:p>
                <w:pPr>
                  <w:jc w:val="right"/>
                  <w:rPr>
                    <w:sz w:val="18"/>
                    <w:szCs w:val="18"/>
                  </w:rPr>
                </w:pPr>
              </w:p>
            </w:tc>
            <w:tc>
              <w:tcPr>
                <w:tcW w:w="211" w:type="pct"/>
              </w:tcPr>
              <w:p>
                <w:pPr>
                  <w:jc w:val="right"/>
                  <w:rPr>
                    <w:sz w:val="18"/>
                    <w:szCs w:val="18"/>
                  </w:rPr>
                </w:pPr>
              </w:p>
            </w:tc>
            <w:tc>
              <w:tcPr>
                <w:tcW w:w="335" w:type="pct"/>
              </w:tcPr>
              <w:p>
                <w:pPr>
                  <w:jc w:val="right"/>
                  <w:rPr>
                    <w:sz w:val="18"/>
                    <w:szCs w:val="18"/>
                  </w:rPr>
                </w:pPr>
              </w:p>
            </w:tc>
            <w:tc>
              <w:tcPr>
                <w:tcW w:w="229" w:type="pct"/>
              </w:tcPr>
              <w:p>
                <w:pPr>
                  <w:jc w:val="right"/>
                  <w:rPr>
                    <w:sz w:val="18"/>
                    <w:szCs w:val="18"/>
                  </w:rPr>
                </w:pPr>
              </w:p>
            </w:tc>
            <w:tc>
              <w:tcPr>
                <w:tcW w:w="316"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07" w:type="pct"/>
              </w:tcPr>
              <w:p>
                <w:pPr>
                  <w:jc w:val="right"/>
                  <w:rPr>
                    <w:sz w:val="18"/>
                    <w:szCs w:val="18"/>
                  </w:rPr>
                </w:pPr>
              </w:p>
            </w:tc>
            <w:tc>
              <w:tcPr>
                <w:tcW w:w="303" w:type="pct"/>
              </w:tcPr>
              <w:p>
                <w:pPr>
                  <w:jc w:val="right"/>
                  <w:rPr>
                    <w:sz w:val="18"/>
                    <w:szCs w:val="18"/>
                  </w:rPr>
                </w:pPr>
              </w:p>
            </w:tc>
            <w:tc>
              <w:tcPr>
                <w:tcW w:w="289" w:type="pct"/>
              </w:tcPr>
              <w:p>
                <w:pPr>
                  <w:jc w:val="right"/>
                  <w:rPr>
                    <w:sz w:val="18"/>
                    <w:szCs w:val="18"/>
                  </w:rPr>
                </w:pPr>
              </w:p>
            </w:tc>
            <w:tc>
              <w:tcPr>
                <w:tcW w:w="344" w:type="pct"/>
              </w:tcPr>
              <w:p>
                <w:pPr>
                  <w:jc w:val="right"/>
                  <w:rPr>
                    <w:sz w:val="18"/>
                    <w:szCs w:val="18"/>
                  </w:rPr>
                </w:pPr>
              </w:p>
            </w:tc>
            <w:tc>
              <w:tcPr>
                <w:tcW w:w="373"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sdt>
                <w:sdtPr>
                  <w:rPr>
                    <w:sz w:val="18"/>
                    <w:szCs w:val="18"/>
                  </w:rPr>
                  <w:tag w:val="_PLD_88022ba02c7c4775ba5e9f75f6b07fa4"/>
                  <w:id w:val="-1651816784"/>
                </w:sdtPr>
                <w:sdtEndPr>
                  <w:rPr>
                    <w:sz w:val="18"/>
                    <w:szCs w:val="18"/>
                  </w:rPr>
                </w:sdtEndPr>
                <w:sdtContent>
                  <w:p>
                    <w:pPr>
                      <w:pStyle w:val="501"/>
                    </w:pPr>
                    <w:r>
                      <w:rPr>
                        <w:sz w:val="18"/>
                        <w:szCs w:val="18"/>
                      </w:rPr>
                      <w:t>4．设定受益计划变动额结转留存收益</w:t>
                    </w:r>
                  </w:p>
                </w:sdtContent>
              </w:sdt>
            </w:tc>
            <w:tc>
              <w:tcPr>
                <w:tcW w:w="273" w:type="pct"/>
              </w:tcPr>
              <w:p>
                <w:pPr>
                  <w:jc w:val="right"/>
                  <w:rPr>
                    <w:sz w:val="18"/>
                    <w:szCs w:val="18"/>
                  </w:rPr>
                </w:pPr>
              </w:p>
            </w:tc>
            <w:tc>
              <w:tcPr>
                <w:tcW w:w="273" w:type="pct"/>
              </w:tcPr>
              <w:p>
                <w:pPr>
                  <w:jc w:val="right"/>
                  <w:rPr>
                    <w:sz w:val="18"/>
                    <w:szCs w:val="18"/>
                  </w:rPr>
                </w:pPr>
              </w:p>
            </w:tc>
            <w:tc>
              <w:tcPr>
                <w:tcW w:w="276" w:type="pct"/>
              </w:tcPr>
              <w:p>
                <w:pPr>
                  <w:jc w:val="right"/>
                  <w:rPr>
                    <w:sz w:val="18"/>
                    <w:szCs w:val="18"/>
                  </w:rPr>
                </w:pPr>
              </w:p>
            </w:tc>
            <w:tc>
              <w:tcPr>
                <w:tcW w:w="211" w:type="pct"/>
              </w:tcPr>
              <w:p>
                <w:pPr>
                  <w:jc w:val="right"/>
                  <w:rPr>
                    <w:sz w:val="18"/>
                    <w:szCs w:val="18"/>
                  </w:rPr>
                </w:pPr>
              </w:p>
            </w:tc>
            <w:tc>
              <w:tcPr>
                <w:tcW w:w="335" w:type="pct"/>
              </w:tcPr>
              <w:p>
                <w:pPr>
                  <w:jc w:val="right"/>
                  <w:rPr>
                    <w:sz w:val="18"/>
                    <w:szCs w:val="18"/>
                  </w:rPr>
                </w:pPr>
              </w:p>
            </w:tc>
            <w:tc>
              <w:tcPr>
                <w:tcW w:w="229" w:type="pct"/>
              </w:tcPr>
              <w:p>
                <w:pPr>
                  <w:jc w:val="right"/>
                  <w:rPr>
                    <w:sz w:val="18"/>
                    <w:szCs w:val="18"/>
                  </w:rPr>
                </w:pPr>
              </w:p>
            </w:tc>
            <w:tc>
              <w:tcPr>
                <w:tcW w:w="316"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07" w:type="pct"/>
              </w:tcPr>
              <w:p>
                <w:pPr>
                  <w:jc w:val="right"/>
                  <w:rPr>
                    <w:sz w:val="18"/>
                    <w:szCs w:val="18"/>
                  </w:rPr>
                </w:pPr>
              </w:p>
            </w:tc>
            <w:tc>
              <w:tcPr>
                <w:tcW w:w="303" w:type="pct"/>
              </w:tcPr>
              <w:p>
                <w:pPr>
                  <w:jc w:val="right"/>
                  <w:rPr>
                    <w:sz w:val="18"/>
                    <w:szCs w:val="18"/>
                  </w:rPr>
                </w:pPr>
              </w:p>
            </w:tc>
            <w:tc>
              <w:tcPr>
                <w:tcW w:w="289" w:type="pct"/>
              </w:tcPr>
              <w:p>
                <w:pPr>
                  <w:jc w:val="right"/>
                  <w:rPr>
                    <w:sz w:val="18"/>
                    <w:szCs w:val="18"/>
                  </w:rPr>
                </w:pPr>
              </w:p>
            </w:tc>
            <w:tc>
              <w:tcPr>
                <w:tcW w:w="344" w:type="pct"/>
              </w:tcPr>
              <w:p>
                <w:pPr>
                  <w:jc w:val="right"/>
                  <w:rPr>
                    <w:sz w:val="18"/>
                    <w:szCs w:val="18"/>
                  </w:rPr>
                </w:pPr>
              </w:p>
            </w:tc>
            <w:tc>
              <w:tcPr>
                <w:tcW w:w="373"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sdt>
                <w:sdtPr>
                  <w:rPr>
                    <w:sz w:val="18"/>
                    <w:szCs w:val="18"/>
                  </w:rPr>
                  <w:tag w:val="_PLD_0259028a18dd4c059a8b77a9e4fe86f9"/>
                  <w:id w:val="636218918"/>
                </w:sdtPr>
                <w:sdtEndPr>
                  <w:rPr>
                    <w:sz w:val="18"/>
                    <w:szCs w:val="18"/>
                  </w:rPr>
                </w:sdtEndPr>
                <w:sdtContent>
                  <w:p>
                    <w:pPr>
                      <w:rPr>
                        <w:sz w:val="18"/>
                        <w:szCs w:val="18"/>
                      </w:rPr>
                    </w:pPr>
                    <w:r>
                      <w:rPr>
                        <w:sz w:val="18"/>
                        <w:szCs w:val="18"/>
                      </w:rPr>
                      <w:t>5．其他综合收益结转留存收益</w:t>
                    </w:r>
                  </w:p>
                </w:sdtContent>
              </w:sdt>
            </w:tc>
            <w:tc>
              <w:tcPr>
                <w:tcW w:w="273" w:type="pct"/>
              </w:tcPr>
              <w:p>
                <w:pPr>
                  <w:jc w:val="right"/>
                  <w:rPr>
                    <w:sz w:val="18"/>
                    <w:szCs w:val="18"/>
                  </w:rPr>
                </w:pPr>
              </w:p>
            </w:tc>
            <w:tc>
              <w:tcPr>
                <w:tcW w:w="273" w:type="pct"/>
              </w:tcPr>
              <w:p>
                <w:pPr>
                  <w:jc w:val="right"/>
                  <w:rPr>
                    <w:sz w:val="18"/>
                    <w:szCs w:val="18"/>
                  </w:rPr>
                </w:pPr>
              </w:p>
            </w:tc>
            <w:tc>
              <w:tcPr>
                <w:tcW w:w="276" w:type="pct"/>
              </w:tcPr>
              <w:p>
                <w:pPr>
                  <w:jc w:val="right"/>
                  <w:rPr>
                    <w:sz w:val="18"/>
                    <w:szCs w:val="18"/>
                  </w:rPr>
                </w:pPr>
              </w:p>
            </w:tc>
            <w:tc>
              <w:tcPr>
                <w:tcW w:w="211" w:type="pct"/>
              </w:tcPr>
              <w:p>
                <w:pPr>
                  <w:jc w:val="right"/>
                  <w:rPr>
                    <w:sz w:val="18"/>
                    <w:szCs w:val="18"/>
                  </w:rPr>
                </w:pPr>
              </w:p>
            </w:tc>
            <w:tc>
              <w:tcPr>
                <w:tcW w:w="335" w:type="pct"/>
              </w:tcPr>
              <w:p>
                <w:pPr>
                  <w:jc w:val="right"/>
                  <w:rPr>
                    <w:sz w:val="18"/>
                    <w:szCs w:val="18"/>
                  </w:rPr>
                </w:pPr>
              </w:p>
            </w:tc>
            <w:tc>
              <w:tcPr>
                <w:tcW w:w="229" w:type="pct"/>
              </w:tcPr>
              <w:p>
                <w:pPr>
                  <w:jc w:val="right"/>
                  <w:rPr>
                    <w:sz w:val="18"/>
                    <w:szCs w:val="18"/>
                  </w:rPr>
                </w:pPr>
              </w:p>
            </w:tc>
            <w:tc>
              <w:tcPr>
                <w:tcW w:w="316"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07" w:type="pct"/>
              </w:tcPr>
              <w:p>
                <w:pPr>
                  <w:jc w:val="right"/>
                  <w:rPr>
                    <w:sz w:val="18"/>
                    <w:szCs w:val="18"/>
                  </w:rPr>
                </w:pPr>
              </w:p>
            </w:tc>
            <w:tc>
              <w:tcPr>
                <w:tcW w:w="303" w:type="pct"/>
              </w:tcPr>
              <w:p>
                <w:pPr>
                  <w:jc w:val="right"/>
                  <w:rPr>
                    <w:sz w:val="18"/>
                    <w:szCs w:val="18"/>
                  </w:rPr>
                </w:pPr>
              </w:p>
            </w:tc>
            <w:tc>
              <w:tcPr>
                <w:tcW w:w="289" w:type="pct"/>
              </w:tcPr>
              <w:p>
                <w:pPr>
                  <w:jc w:val="right"/>
                  <w:rPr>
                    <w:sz w:val="18"/>
                    <w:szCs w:val="18"/>
                  </w:rPr>
                </w:pPr>
              </w:p>
            </w:tc>
            <w:tc>
              <w:tcPr>
                <w:tcW w:w="344" w:type="pct"/>
              </w:tcPr>
              <w:p>
                <w:pPr>
                  <w:jc w:val="right"/>
                  <w:rPr>
                    <w:sz w:val="18"/>
                    <w:szCs w:val="18"/>
                  </w:rPr>
                </w:pPr>
              </w:p>
            </w:tc>
            <w:tc>
              <w:tcPr>
                <w:tcW w:w="373"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44253ac18b45ceaa765e5b2f55d052"/>
                <w:id w:val="-1938824459"/>
              </w:sdtPr>
              <w:sdtContent>
                <w:tc>
                  <w:tcPr>
                    <w:tcW w:w="652" w:type="pct"/>
                    <w:vAlign w:val="center"/>
                  </w:tcPr>
                  <w:p>
                    <w:pPr>
                      <w:rPr>
                        <w:sz w:val="18"/>
                        <w:szCs w:val="18"/>
                      </w:rPr>
                    </w:pPr>
                    <w:r>
                      <w:rPr>
                        <w:sz w:val="18"/>
                        <w:szCs w:val="18"/>
                      </w:rPr>
                      <w:t>6．其他</w:t>
                    </w:r>
                  </w:p>
                </w:tc>
              </w:sdtContent>
            </w:sdt>
            <w:tc>
              <w:tcPr>
                <w:tcW w:w="273" w:type="pct"/>
              </w:tcPr>
              <w:p>
                <w:pPr>
                  <w:jc w:val="right"/>
                  <w:rPr>
                    <w:sz w:val="18"/>
                    <w:szCs w:val="18"/>
                  </w:rPr>
                </w:pPr>
              </w:p>
            </w:tc>
            <w:tc>
              <w:tcPr>
                <w:tcW w:w="273" w:type="pct"/>
              </w:tcPr>
              <w:p>
                <w:pPr>
                  <w:jc w:val="right"/>
                  <w:rPr>
                    <w:sz w:val="18"/>
                    <w:szCs w:val="18"/>
                  </w:rPr>
                </w:pPr>
              </w:p>
            </w:tc>
            <w:tc>
              <w:tcPr>
                <w:tcW w:w="276" w:type="pct"/>
              </w:tcPr>
              <w:p>
                <w:pPr>
                  <w:jc w:val="right"/>
                  <w:rPr>
                    <w:sz w:val="18"/>
                    <w:szCs w:val="18"/>
                  </w:rPr>
                </w:pPr>
              </w:p>
            </w:tc>
            <w:tc>
              <w:tcPr>
                <w:tcW w:w="211" w:type="pct"/>
              </w:tcPr>
              <w:p>
                <w:pPr>
                  <w:jc w:val="right"/>
                  <w:rPr>
                    <w:sz w:val="18"/>
                    <w:szCs w:val="18"/>
                  </w:rPr>
                </w:pPr>
              </w:p>
            </w:tc>
            <w:tc>
              <w:tcPr>
                <w:tcW w:w="335" w:type="pct"/>
              </w:tcPr>
              <w:p>
                <w:pPr>
                  <w:jc w:val="right"/>
                  <w:rPr>
                    <w:sz w:val="18"/>
                    <w:szCs w:val="18"/>
                  </w:rPr>
                </w:pPr>
              </w:p>
            </w:tc>
            <w:tc>
              <w:tcPr>
                <w:tcW w:w="229" w:type="pct"/>
              </w:tcPr>
              <w:p>
                <w:pPr>
                  <w:jc w:val="right"/>
                  <w:rPr>
                    <w:sz w:val="18"/>
                    <w:szCs w:val="18"/>
                  </w:rPr>
                </w:pPr>
              </w:p>
            </w:tc>
            <w:tc>
              <w:tcPr>
                <w:tcW w:w="316"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273" w:type="pct"/>
              </w:tcPr>
              <w:p>
                <w:pPr>
                  <w:jc w:val="right"/>
                  <w:rPr>
                    <w:sz w:val="18"/>
                    <w:szCs w:val="18"/>
                  </w:rPr>
                </w:pPr>
              </w:p>
            </w:tc>
            <w:tc>
              <w:tcPr>
                <w:tcW w:w="307" w:type="pct"/>
              </w:tcPr>
              <w:p>
                <w:pPr>
                  <w:jc w:val="right"/>
                  <w:rPr>
                    <w:sz w:val="18"/>
                    <w:szCs w:val="18"/>
                  </w:rPr>
                </w:pPr>
              </w:p>
            </w:tc>
            <w:tc>
              <w:tcPr>
                <w:tcW w:w="303" w:type="pct"/>
              </w:tcPr>
              <w:p>
                <w:pPr>
                  <w:jc w:val="right"/>
                  <w:rPr>
                    <w:sz w:val="18"/>
                    <w:szCs w:val="18"/>
                  </w:rPr>
                </w:pPr>
              </w:p>
            </w:tc>
            <w:tc>
              <w:tcPr>
                <w:tcW w:w="289" w:type="pct"/>
              </w:tcPr>
              <w:p>
                <w:pPr>
                  <w:jc w:val="right"/>
                  <w:rPr>
                    <w:sz w:val="18"/>
                    <w:szCs w:val="18"/>
                  </w:rPr>
                </w:pPr>
              </w:p>
            </w:tc>
            <w:tc>
              <w:tcPr>
                <w:tcW w:w="344" w:type="pct"/>
              </w:tcPr>
              <w:p>
                <w:pPr>
                  <w:jc w:val="right"/>
                  <w:rPr>
                    <w:sz w:val="18"/>
                    <w:szCs w:val="18"/>
                  </w:rPr>
                </w:pPr>
              </w:p>
            </w:tc>
            <w:tc>
              <w:tcPr>
                <w:tcW w:w="373" w:type="pct"/>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bf2260615f4991a49bda77fd1fc28b"/>
                <w:id w:val="1118023719"/>
              </w:sdtPr>
              <w:sdtContent>
                <w:tc>
                  <w:tcPr>
                    <w:tcW w:w="652" w:type="pct"/>
                    <w:vAlign w:val="center"/>
                  </w:tcPr>
                  <w:p>
                    <w:pPr>
                      <w:rPr>
                        <w:sz w:val="18"/>
                        <w:szCs w:val="18"/>
                      </w:rPr>
                    </w:pPr>
                    <w:r>
                      <w:rPr>
                        <w:rFonts w:hint="eastAsia"/>
                        <w:sz w:val="18"/>
                        <w:szCs w:val="18"/>
                      </w:rPr>
                      <w:t>（五）专项储备</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r>
                  <w:rPr>
                    <w:rFonts w:ascii="宋体" w:hAnsi="宋体"/>
                    <w:spacing w:val="-50"/>
                  </w:rPr>
                  <w:t>-136,564</w:t>
                </w: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-136,564</w:t>
                </w:r>
              </w:p>
            </w:tc>
            <w:tc>
              <w:tcPr>
                <w:tcW w:w="344" w:type="pct"/>
                <w:vAlign w:val="center"/>
              </w:tcPr>
              <w:p>
                <w:pPr>
                  <w:jc w:val="right"/>
                  <w:rPr>
                    <w:sz w:val="18"/>
                    <w:szCs w:val="18"/>
                  </w:rPr>
                </w:pPr>
                <w:r>
                  <w:rPr>
                    <w:rFonts w:ascii="宋体" w:hAnsi="宋体"/>
                    <w:spacing w:val="-50"/>
                  </w:rPr>
                  <w:t>79,395</w:t>
                </w:r>
              </w:p>
            </w:tc>
            <w:tc>
              <w:tcPr>
                <w:tcW w:w="373" w:type="pct"/>
                <w:vAlign w:val="center"/>
              </w:tcPr>
              <w:p>
                <w:pPr>
                  <w:jc w:val="right"/>
                  <w:rPr>
                    <w:sz w:val="18"/>
                    <w:szCs w:val="18"/>
                  </w:rPr>
                </w:pPr>
                <w:r>
                  <w:rPr>
                    <w:rFonts w:ascii="宋体" w:hAnsi="宋体"/>
                    <w:spacing w:val="-50"/>
                  </w:rPr>
                  <w:t>-57,169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e833fa15ec452384f3784c7a9b36fe"/>
                <w:id w:val="911049400"/>
              </w:sdtPr>
              <w:sdtContent>
                <w:tc>
                  <w:tcPr>
                    <w:tcW w:w="652" w:type="pct"/>
                    <w:vAlign w:val="center"/>
                  </w:tcPr>
                  <w:p>
                    <w:pPr>
                      <w:rPr>
                        <w:sz w:val="18"/>
                        <w:szCs w:val="18"/>
                      </w:rPr>
                    </w:pPr>
                    <w:r>
                      <w:rPr>
                        <w:rFonts w:hint="eastAsia"/>
                        <w:sz w:val="18"/>
                        <w:szCs w:val="18"/>
                      </w:rPr>
                      <w:t>1．本期提取</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r>
                  <w:rPr>
                    <w:rFonts w:ascii="宋体" w:hAnsi="宋体"/>
                    <w:spacing w:val="-50"/>
                  </w:rPr>
                  <w:t>2,402,245</w:t>
                </w: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2,402,245</w:t>
                </w:r>
              </w:p>
            </w:tc>
            <w:tc>
              <w:tcPr>
                <w:tcW w:w="344" w:type="pct"/>
                <w:vAlign w:val="center"/>
              </w:tcPr>
              <w:p>
                <w:pPr>
                  <w:jc w:val="right"/>
                  <w:rPr>
                    <w:sz w:val="18"/>
                    <w:szCs w:val="18"/>
                  </w:rPr>
                </w:pPr>
                <w:r>
                  <w:rPr>
                    <w:rFonts w:ascii="宋体" w:hAnsi="宋体"/>
                    <w:spacing w:val="-50"/>
                  </w:rPr>
                  <w:t>850,201</w:t>
                </w:r>
              </w:p>
            </w:tc>
            <w:tc>
              <w:tcPr>
                <w:tcW w:w="373" w:type="pct"/>
                <w:vAlign w:val="center"/>
              </w:tcPr>
              <w:p>
                <w:pPr>
                  <w:jc w:val="right"/>
                  <w:rPr>
                    <w:sz w:val="18"/>
                    <w:szCs w:val="18"/>
                  </w:rPr>
                </w:pPr>
                <w:r>
                  <w:rPr>
                    <w:rFonts w:ascii="宋体" w:hAnsi="宋体"/>
                    <w:spacing w:val="-50"/>
                  </w:rPr>
                  <w:t>3,252,446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01fc21ab7954268be9851ddd0cf2d8a"/>
                <w:id w:val="789634080"/>
              </w:sdtPr>
              <w:sdtContent>
                <w:tc>
                  <w:tcPr>
                    <w:tcW w:w="652" w:type="pct"/>
                    <w:vAlign w:val="center"/>
                  </w:tcPr>
                  <w:p>
                    <w:pPr>
                      <w:rPr>
                        <w:sz w:val="18"/>
                        <w:szCs w:val="18"/>
                      </w:rPr>
                    </w:pPr>
                    <w:r>
                      <w:rPr>
                        <w:rFonts w:hint="eastAsia"/>
                        <w:sz w:val="18"/>
                        <w:szCs w:val="18"/>
                      </w:rPr>
                      <w:t>2．本期使用</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r>
                  <w:rPr>
                    <w:rFonts w:ascii="宋体" w:hAnsi="宋体"/>
                    <w:spacing w:val="-50"/>
                  </w:rPr>
                  <w:t>2,538,809</w:t>
                </w: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2,538,809</w:t>
                </w:r>
              </w:p>
            </w:tc>
            <w:tc>
              <w:tcPr>
                <w:tcW w:w="344" w:type="pct"/>
                <w:vAlign w:val="center"/>
              </w:tcPr>
              <w:p>
                <w:pPr>
                  <w:jc w:val="right"/>
                  <w:rPr>
                    <w:sz w:val="18"/>
                    <w:szCs w:val="18"/>
                  </w:rPr>
                </w:pPr>
                <w:r>
                  <w:rPr>
                    <w:rFonts w:ascii="宋体" w:hAnsi="宋体"/>
                    <w:spacing w:val="-50"/>
                  </w:rPr>
                  <w:t>770,806</w:t>
                </w:r>
              </w:p>
            </w:tc>
            <w:tc>
              <w:tcPr>
                <w:tcW w:w="373" w:type="pct"/>
                <w:vAlign w:val="center"/>
              </w:tcPr>
              <w:p>
                <w:pPr>
                  <w:jc w:val="right"/>
                  <w:rPr>
                    <w:sz w:val="18"/>
                    <w:szCs w:val="18"/>
                  </w:rPr>
                </w:pPr>
                <w:r>
                  <w:rPr>
                    <w:rFonts w:ascii="宋体" w:hAnsi="宋体"/>
                    <w:spacing w:val="-50"/>
                  </w:rPr>
                  <w:t>3,309,615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3b1e5b489b047e98cf38f8c5f130759"/>
                <w:id w:val="691265891"/>
              </w:sdtPr>
              <w:sdtContent>
                <w:tc>
                  <w:tcPr>
                    <w:tcW w:w="652" w:type="pct"/>
                    <w:vAlign w:val="center"/>
                  </w:tcPr>
                  <w:p>
                    <w:pPr>
                      <w:rPr>
                        <w:sz w:val="18"/>
                        <w:szCs w:val="18"/>
                      </w:rPr>
                    </w:pPr>
                    <w:r>
                      <w:rPr>
                        <w:rFonts w:hint="eastAsia"/>
                        <w:sz w:val="18"/>
                        <w:szCs w:val="18"/>
                      </w:rPr>
                      <w:t>（六）其他</w:t>
                    </w:r>
                  </w:p>
                </w:tc>
              </w:sdtContent>
            </w:sdt>
            <w:tc>
              <w:tcPr>
                <w:tcW w:w="273" w:type="pct"/>
                <w:vAlign w:val="center"/>
              </w:tcPr>
              <w:p>
                <w:pPr>
                  <w:jc w:val="right"/>
                  <w:rPr>
                    <w:sz w:val="18"/>
                    <w:szCs w:val="18"/>
                  </w:rPr>
                </w:pPr>
              </w:p>
            </w:tc>
            <w:tc>
              <w:tcPr>
                <w:tcW w:w="273" w:type="pct"/>
                <w:vAlign w:val="center"/>
              </w:tcPr>
              <w:p>
                <w:pPr>
                  <w:jc w:val="right"/>
                  <w:rPr>
                    <w:sz w:val="18"/>
                    <w:szCs w:val="18"/>
                  </w:rPr>
                </w:pPr>
              </w:p>
            </w:tc>
            <w:tc>
              <w:tcPr>
                <w:tcW w:w="276" w:type="pct"/>
                <w:vAlign w:val="center"/>
              </w:tcPr>
              <w:p>
                <w:pPr>
                  <w:jc w:val="right"/>
                  <w:rPr>
                    <w:sz w:val="18"/>
                    <w:szCs w:val="18"/>
                  </w:rPr>
                </w:pPr>
              </w:p>
            </w:tc>
            <w:tc>
              <w:tcPr>
                <w:tcW w:w="211" w:type="pct"/>
                <w:vAlign w:val="center"/>
              </w:tcPr>
              <w:p>
                <w:pPr>
                  <w:jc w:val="right"/>
                  <w:rPr>
                    <w:sz w:val="18"/>
                    <w:szCs w:val="18"/>
                  </w:rPr>
                </w:pPr>
              </w:p>
            </w:tc>
            <w:tc>
              <w:tcPr>
                <w:tcW w:w="335" w:type="pct"/>
                <w:vAlign w:val="center"/>
              </w:tcPr>
              <w:p>
                <w:pPr>
                  <w:jc w:val="right"/>
                  <w:rPr>
                    <w:sz w:val="18"/>
                    <w:szCs w:val="18"/>
                  </w:rPr>
                </w:pPr>
                <w:r>
                  <w:rPr>
                    <w:rFonts w:ascii="宋体" w:hAnsi="宋体"/>
                    <w:spacing w:val="-50"/>
                  </w:rPr>
                  <w:t>-131,556</w:t>
                </w:r>
              </w:p>
            </w:tc>
            <w:tc>
              <w:tcPr>
                <w:tcW w:w="229" w:type="pct"/>
                <w:vAlign w:val="center"/>
              </w:tcPr>
              <w:p>
                <w:pPr>
                  <w:jc w:val="right"/>
                  <w:rPr>
                    <w:sz w:val="18"/>
                    <w:szCs w:val="18"/>
                  </w:rPr>
                </w:pPr>
              </w:p>
            </w:tc>
            <w:tc>
              <w:tcPr>
                <w:tcW w:w="316" w:type="pct"/>
                <w:vAlign w:val="center"/>
              </w:tcPr>
              <w:p>
                <w:pPr>
                  <w:jc w:val="right"/>
                  <w:rPr>
                    <w:sz w:val="18"/>
                    <w:szCs w:val="18"/>
                  </w:rPr>
                </w:pPr>
              </w:p>
            </w:tc>
            <w:tc>
              <w:tcPr>
                <w:tcW w:w="273" w:type="pct"/>
                <w:vAlign w:val="center"/>
              </w:tcPr>
              <w:p>
                <w:pPr>
                  <w:jc w:val="right"/>
                  <w:rPr>
                    <w:sz w:val="18"/>
                    <w:szCs w:val="18"/>
                  </w:rPr>
                </w:pPr>
                <w:r>
                  <w:rPr>
                    <w:rFonts w:ascii="宋体" w:hAnsi="宋体"/>
                    <w:spacing w:val="-50"/>
                  </w:rPr>
                  <w:t>-22,950</w:t>
                </w:r>
              </w:p>
            </w:tc>
            <w:tc>
              <w:tcPr>
                <w:tcW w:w="273" w:type="pct"/>
                <w:vAlign w:val="center"/>
              </w:tcPr>
              <w:p>
                <w:pPr>
                  <w:jc w:val="right"/>
                  <w:rPr>
                    <w:sz w:val="18"/>
                    <w:szCs w:val="18"/>
                  </w:rPr>
                </w:pP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22,950</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-131,556</w:t>
                </w:r>
              </w:p>
            </w:tc>
            <w:tc>
              <w:tcPr>
                <w:tcW w:w="344" w:type="pct"/>
                <w:vAlign w:val="center"/>
              </w:tcPr>
              <w:p>
                <w:pPr>
                  <w:jc w:val="right"/>
                  <w:rPr>
                    <w:sz w:val="18"/>
                    <w:szCs w:val="18"/>
                  </w:rPr>
                </w:pPr>
                <w:r>
                  <w:rPr>
                    <w:rFonts w:ascii="宋体" w:hAnsi="宋体"/>
                    <w:spacing w:val="-50"/>
                  </w:rPr>
                  <w:t>-1,634</w:t>
                </w:r>
              </w:p>
            </w:tc>
            <w:tc>
              <w:tcPr>
                <w:tcW w:w="373" w:type="pct"/>
                <w:vAlign w:val="center"/>
              </w:tcPr>
              <w:p>
                <w:pPr>
                  <w:jc w:val="right"/>
                  <w:rPr>
                    <w:sz w:val="18"/>
                    <w:szCs w:val="18"/>
                  </w:rPr>
                </w:pPr>
                <w:r>
                  <w:rPr>
                    <w:rFonts w:ascii="宋体" w:hAnsi="宋体"/>
                    <w:spacing w:val="-50"/>
                  </w:rPr>
                  <w:t>-133,190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355d7c321c84166a15737d2581911bf"/>
                <w:id w:val="159128252"/>
              </w:sdtPr>
              <w:sdtContent>
                <w:tc>
                  <w:tcPr>
                    <w:tcW w:w="652" w:type="pct"/>
                    <w:vAlign w:val="center"/>
                  </w:tcPr>
                  <w:p>
                    <w:pPr>
                      <w:rPr>
                        <w:sz w:val="18"/>
                        <w:szCs w:val="18"/>
                      </w:rPr>
                    </w:pPr>
                    <w:r>
                      <w:rPr>
                        <w:sz w:val="18"/>
                        <w:szCs w:val="18"/>
                      </w:rPr>
                      <w:t>四、本期期末余额</w:t>
                    </w:r>
                  </w:p>
                </w:tc>
              </w:sdtContent>
            </w:sdt>
            <w:tc>
              <w:tcPr>
                <w:tcW w:w="273" w:type="pct"/>
                <w:vAlign w:val="center"/>
              </w:tcPr>
              <w:p>
                <w:pPr>
                  <w:jc w:val="right"/>
                  <w:rPr>
                    <w:sz w:val="18"/>
                    <w:szCs w:val="18"/>
                  </w:rPr>
                </w:pPr>
                <w:r>
                  <w:rPr>
                    <w:rFonts w:ascii="宋体" w:hAnsi="宋体"/>
                    <w:spacing w:val="-50"/>
                  </w:rPr>
                  <w:t>4,948,704</w:t>
                </w:r>
              </w:p>
            </w:tc>
            <w:tc>
              <w:tcPr>
                <w:tcW w:w="273" w:type="pct"/>
                <w:vAlign w:val="center"/>
              </w:tcPr>
              <w:p>
                <w:pPr>
                  <w:jc w:val="right"/>
                  <w:rPr>
                    <w:sz w:val="18"/>
                    <w:szCs w:val="18"/>
                  </w:rPr>
                </w:pPr>
              </w:p>
            </w:tc>
            <w:tc>
              <w:tcPr>
                <w:tcW w:w="276" w:type="pct"/>
                <w:vAlign w:val="center"/>
              </w:tcPr>
              <w:p>
                <w:pPr>
                  <w:jc w:val="right"/>
                  <w:rPr>
                    <w:sz w:val="18"/>
                    <w:szCs w:val="18"/>
                  </w:rPr>
                </w:pPr>
                <w:r>
                  <w:rPr>
                    <w:rFonts w:ascii="宋体" w:hAnsi="宋体"/>
                    <w:spacing w:val="-50"/>
                  </w:rPr>
                  <w:t>13,248,614</w:t>
                </w:r>
              </w:p>
            </w:tc>
            <w:tc>
              <w:tcPr>
                <w:tcW w:w="211" w:type="pct"/>
                <w:vAlign w:val="center"/>
              </w:tcPr>
              <w:p>
                <w:pPr>
                  <w:jc w:val="right"/>
                  <w:rPr>
                    <w:sz w:val="18"/>
                    <w:szCs w:val="18"/>
                  </w:rPr>
                </w:pPr>
              </w:p>
            </w:tc>
            <w:tc>
              <w:tcPr>
                <w:tcW w:w="335" w:type="pct"/>
                <w:vAlign w:val="center"/>
              </w:tcPr>
              <w:p>
                <w:pPr>
                  <w:jc w:val="right"/>
                  <w:rPr>
                    <w:sz w:val="18"/>
                    <w:szCs w:val="18"/>
                  </w:rPr>
                </w:pPr>
                <w:r>
                  <w:rPr>
                    <w:rFonts w:ascii="宋体" w:hAnsi="宋体"/>
                    <w:spacing w:val="-50"/>
                  </w:rPr>
                  <w:t>6,579,324</w:t>
                </w:r>
              </w:p>
            </w:tc>
            <w:tc>
              <w:tcPr>
                <w:tcW w:w="229" w:type="pct"/>
                <w:vAlign w:val="center"/>
              </w:tcPr>
              <w:p>
                <w:pPr>
                  <w:jc w:val="right"/>
                  <w:rPr>
                    <w:sz w:val="18"/>
                    <w:szCs w:val="18"/>
                  </w:rPr>
                </w:pPr>
                <w:r>
                  <w:rPr>
                    <w:rFonts w:ascii="宋体" w:hAnsi="宋体"/>
                    <w:spacing w:val="-50"/>
                  </w:rPr>
                  <w:t>723,593</w:t>
                </w:r>
              </w:p>
            </w:tc>
            <w:tc>
              <w:tcPr>
                <w:tcW w:w="316" w:type="pct"/>
                <w:vAlign w:val="center"/>
              </w:tcPr>
              <w:p>
                <w:pPr>
                  <w:jc w:val="right"/>
                  <w:rPr>
                    <w:sz w:val="18"/>
                    <w:szCs w:val="18"/>
                  </w:rPr>
                </w:pPr>
                <w:r>
                  <w:rPr>
                    <w:rFonts w:ascii="宋体" w:hAnsi="宋体"/>
                    <w:spacing w:val="-50"/>
                  </w:rPr>
                  <w:t>-7,155,593</w:t>
                </w:r>
              </w:p>
            </w:tc>
            <w:tc>
              <w:tcPr>
                <w:tcW w:w="273" w:type="pct"/>
                <w:vAlign w:val="center"/>
              </w:tcPr>
              <w:p>
                <w:pPr>
                  <w:jc w:val="right"/>
                  <w:rPr>
                    <w:sz w:val="18"/>
                    <w:szCs w:val="18"/>
                  </w:rPr>
                </w:pPr>
                <w:r>
                  <w:rPr>
                    <w:rFonts w:ascii="宋体" w:hAnsi="宋体"/>
                    <w:spacing w:val="-50"/>
                  </w:rPr>
                  <w:t>4,802,633</w:t>
                </w:r>
              </w:p>
            </w:tc>
            <w:tc>
              <w:tcPr>
                <w:tcW w:w="273" w:type="pct"/>
                <w:vAlign w:val="center"/>
              </w:tcPr>
              <w:p>
                <w:pPr>
                  <w:jc w:val="right"/>
                  <w:rPr>
                    <w:sz w:val="18"/>
                    <w:szCs w:val="18"/>
                  </w:rPr>
                </w:pPr>
                <w:r>
                  <w:rPr>
                    <w:rFonts w:ascii="宋体" w:hAnsi="宋体"/>
                    <w:spacing w:val="-50"/>
                  </w:rPr>
                  <w:t>912,700</w:t>
                </w:r>
              </w:p>
            </w:tc>
            <w:tc>
              <w:tcPr>
                <w:tcW w:w="273" w:type="pct"/>
                <w:vAlign w:val="center"/>
              </w:tcPr>
              <w:p>
                <w:pPr>
                  <w:jc w:val="right"/>
                  <w:rPr>
                    <w:sz w:val="18"/>
                    <w:szCs w:val="18"/>
                  </w:rPr>
                </w:pPr>
              </w:p>
            </w:tc>
            <w:tc>
              <w:tcPr>
                <w:tcW w:w="307" w:type="pct"/>
                <w:vAlign w:val="center"/>
              </w:tcPr>
              <w:p>
                <w:pPr>
                  <w:jc w:val="right"/>
                  <w:rPr>
                    <w:sz w:val="18"/>
                    <w:szCs w:val="18"/>
                  </w:rPr>
                </w:pPr>
                <w:r>
                  <w:rPr>
                    <w:rFonts w:ascii="宋体" w:hAnsi="宋体"/>
                    <w:spacing w:val="-50"/>
                  </w:rPr>
                  <w:t>77,237,849</w:t>
                </w:r>
              </w:p>
            </w:tc>
            <w:tc>
              <w:tcPr>
                <w:tcW w:w="303" w:type="pct"/>
                <w:vAlign w:val="center"/>
              </w:tcPr>
              <w:p>
                <w:pPr>
                  <w:jc w:val="right"/>
                  <w:rPr>
                    <w:sz w:val="18"/>
                    <w:szCs w:val="18"/>
                  </w:rPr>
                </w:pPr>
              </w:p>
            </w:tc>
            <w:tc>
              <w:tcPr>
                <w:tcW w:w="289" w:type="pct"/>
                <w:vAlign w:val="center"/>
              </w:tcPr>
              <w:p>
                <w:pPr>
                  <w:jc w:val="right"/>
                  <w:rPr>
                    <w:sz w:val="18"/>
                    <w:szCs w:val="18"/>
                  </w:rPr>
                </w:pPr>
                <w:r>
                  <w:rPr>
                    <w:rFonts w:ascii="宋体" w:hAnsi="宋体"/>
                    <w:spacing w:val="-50"/>
                  </w:rPr>
                  <w:t>99,850,638</w:t>
                </w:r>
              </w:p>
            </w:tc>
            <w:tc>
              <w:tcPr>
                <w:tcW w:w="344" w:type="pct"/>
                <w:vAlign w:val="center"/>
              </w:tcPr>
              <w:p>
                <w:pPr>
                  <w:jc w:val="right"/>
                  <w:rPr>
                    <w:sz w:val="18"/>
                    <w:szCs w:val="18"/>
                  </w:rPr>
                </w:pPr>
                <w:r>
                  <w:rPr>
                    <w:rFonts w:ascii="宋体" w:hAnsi="宋体"/>
                    <w:spacing w:val="-50"/>
                  </w:rPr>
                  <w:t>44,060,115</w:t>
                </w:r>
              </w:p>
            </w:tc>
            <w:tc>
              <w:tcPr>
                <w:tcW w:w="373" w:type="pct"/>
                <w:vAlign w:val="center"/>
              </w:tcPr>
              <w:p>
                <w:pPr>
                  <w:jc w:val="right"/>
                  <w:rPr>
                    <w:sz w:val="18"/>
                    <w:szCs w:val="18"/>
                  </w:rPr>
                </w:pPr>
                <w:r>
                  <w:rPr>
                    <w:rFonts w:ascii="宋体" w:hAnsi="宋体"/>
                    <w:spacing w:val="-50"/>
                  </w:rPr>
                  <w:t>143,910,753</w:t>
                </w:r>
              </w:p>
            </w:tc>
          </w:tr>
        </w:tbl>
        <w:p>
          <w:pPr>
            <w:pStyle w:val="501"/>
          </w:pPr>
        </w:p>
        <w:p>
          <w:pPr>
            <w:snapToGrid w:val="0"/>
            <w:spacing w:line="240" w:lineRule="atLeast"/>
            <w:rPr>
              <w:b/>
              <w:bCs/>
              <w:color w:val="FF0000"/>
            </w:rPr>
          </w:pPr>
          <w:r>
            <w:rPr>
              <w:rFonts w:hint="eastAsia"/>
            </w:rPr>
            <w:t>公司负责</w:t>
          </w:r>
          <w:r>
            <w:t>人</w:t>
          </w:r>
          <w:r>
            <w:rPr>
              <w:rFonts w:hint="eastAsia"/>
            </w:rPr>
            <w:t>：</w:t>
          </w:r>
          <w:sdt>
            <w:sdtPr>
              <w:rPr>
                <w:rFonts w:hint="eastAsia"/>
              </w:rPr>
              <w:alias w:val="公司负责人姓名"/>
              <w:tag w:val="_GBC_076a4a0998a840bab20f0ed83e5bab3d"/>
              <w:id w:val="-337775242"/>
              <w:dataBinding w:prefixMappings="xmlns:clcid-mr='clcid-mr'" w:xpath="/*/clcid-mr:GongSiFuZeRenXingMing[not(@periodRef)]" w:storeItemID="{89EBAB94-44A0-46A2-B712-30D997D04A6D}"/>
              <w:text/>
            </w:sdtPr>
            <w:sdtEndPr>
              <w:rPr>
                <w:rFonts w:hint="eastAsia"/>
              </w:rPr>
            </w:sdtEndPr>
            <w:sdtContent>
              <w:r>
                <w:rPr>
                  <w:rFonts w:hint="eastAsia"/>
                </w:rPr>
                <w:t>李伟</w:t>
              </w:r>
            </w:sdtContent>
          </w:sdt>
          <w:r>
            <w:rPr>
              <w:rFonts w:hint="eastAsia"/>
            </w:rPr>
            <w:t xml:space="preserve"> </w:t>
          </w:r>
          <w:r>
            <w:t>主管会计工作负责人</w:t>
          </w:r>
          <w:r>
            <w:rPr>
              <w:rFonts w:hint="eastAsia"/>
            </w:rPr>
            <w:t>：</w:t>
          </w:r>
          <w:sdt>
            <w:sdtPr>
              <w:rPr>
                <w:rFonts w:hint="eastAsia"/>
              </w:rPr>
              <w:alias w:val="主管会计工作负责人姓名"/>
              <w:tag w:val="_GBC_5b21002df9e248fa81a6770579ce76cd"/>
              <w:id w:val="495781696"/>
              <w:dataBinding w:prefixMappings="xmlns:clcid-mr='clcid-mr'" w:xpath="/*/clcid-mr:ZhuGuanKuaiJiGongZuoFuZeRenXingMing[not(@periodRef)]" w:storeItemID="{89EBAB94-44A0-46A2-B712-30D997D04A6D}"/>
              <w:text/>
            </w:sdtPr>
            <w:sdtEndPr>
              <w:rPr>
                <w:rFonts w:hint="eastAsia"/>
              </w:rPr>
            </w:sdtEndPr>
            <w:sdtContent>
              <w:r>
                <w:rPr>
                  <w:rFonts w:hint="eastAsia"/>
                </w:rPr>
                <w:t>赵治国</w:t>
              </w:r>
            </w:sdtContent>
          </w:sdt>
          <w:r>
            <w:rPr>
              <w:rFonts w:hint="eastAsia"/>
            </w:rPr>
            <w:t xml:space="preserve"> </w:t>
          </w:r>
          <w:r>
            <w:t>会计机构负责人</w:t>
          </w:r>
          <w:r>
            <w:rPr>
              <w:rFonts w:hint="eastAsia"/>
            </w:rPr>
            <w:t>：</w:t>
          </w:r>
          <w:sdt>
            <w:sdtPr>
              <w:rPr>
                <w:rFonts w:hint="eastAsia"/>
              </w:rPr>
              <w:alias w:val="会计机构负责人姓名"/>
              <w:tag w:val="_GBC_6a446d6543174dc48c72d440eefb0b71"/>
              <w:id w:val="1989199868"/>
              <w:dataBinding w:prefixMappings="xmlns:clcid-mr='clcid-mr'" w:xpath="/*/clcid-mr:KuaiJiJiGouFuZeRenXingMing[not(@periodRef)]" w:storeItemID="{89EBAB94-44A0-46A2-B712-30D997D04A6D}"/>
              <w:text/>
            </w:sdtPr>
            <w:sdtEndPr>
              <w:rPr>
                <w:rFonts w:hint="eastAsia"/>
              </w:rPr>
            </w:sdtEndPr>
            <w:sdtContent>
              <w:r>
                <w:rPr>
                  <w:rFonts w:hint="eastAsia"/>
                </w:rPr>
                <w:t>于强</w:t>
              </w:r>
            </w:sdtContent>
          </w:sdt>
        </w:p>
      </w:sdtContent>
    </w:sdt>
    <w:bookmarkEnd w:id="197"/>
    <w:p>
      <w:pPr>
        <w:pStyle w:val="501"/>
      </w:pPr>
    </w:p>
    <w:p>
      <w:pPr>
        <w:pStyle w:val="501"/>
      </w:pPr>
    </w:p>
    <w:sdt>
      <w:sdtPr>
        <w:rPr>
          <w:b/>
        </w:rPr>
        <w:tag w:val="_GBC_24560eea01804b8b9d3678736eb60ca8"/>
        <w:id w:val="1713848512"/>
      </w:sdtPr>
      <w:sdtEndPr>
        <w:rPr>
          <w:rFonts w:hint="eastAsia"/>
          <w:b w:val="0"/>
        </w:rPr>
      </w:sdtEndPr>
      <w:sdtContent>
        <w:p>
          <w:pPr>
            <w:tabs>
              <w:tab w:val="left" w:pos="10080"/>
            </w:tabs>
            <w:snapToGrid w:val="0"/>
            <w:spacing w:line="240" w:lineRule="atLeast"/>
            <w:ind w:right="25" w:rightChars="12"/>
            <w:jc w:val="center"/>
            <w:outlineLvl w:val="2"/>
            <w:rPr>
              <w:b/>
            </w:rPr>
          </w:pPr>
          <w:bookmarkStart w:id="198" w:name="_Hlk161944840"/>
          <w:r>
            <w:rPr>
              <w:b/>
            </w:rPr>
            <w:t>母公司</w:t>
          </w:r>
          <w:r>
            <w:rPr>
              <w:rFonts w:hint="eastAsia"/>
              <w:b/>
            </w:rPr>
            <w:t>所有者权益变动表</w:t>
          </w:r>
        </w:p>
        <w:p>
          <w:pPr>
            <w:tabs>
              <w:tab w:val="left" w:pos="10080"/>
            </w:tabs>
            <w:snapToGrid w:val="0"/>
            <w:spacing w:line="240" w:lineRule="atLeast"/>
            <w:ind w:right="25" w:rightChars="12"/>
            <w:jc w:val="center"/>
            <w:rPr>
              <w:rFonts w:ascii="宋体" w:hAnsi="宋体"/>
              <w:b/>
              <w:bCs/>
            </w:rPr>
          </w:pPr>
          <w:r>
            <w:rPr>
              <w:rFonts w:ascii="宋体" w:hAnsi="宋体"/>
            </w:rPr>
            <w:t>2023年</w:t>
          </w:r>
          <w:r>
            <w:rPr>
              <w:rFonts w:hint="eastAsia" w:ascii="宋体" w:hAnsi="宋体"/>
            </w:rPr>
            <w:t>1—12</w:t>
          </w:r>
          <w:r>
            <w:rPr>
              <w:rFonts w:ascii="宋体" w:hAnsi="宋体"/>
            </w:rPr>
            <w:t>月</w:t>
          </w:r>
        </w:p>
        <w:p>
          <w:pPr>
            <w:snapToGrid w:val="0"/>
            <w:spacing w:line="240" w:lineRule="atLeast"/>
            <w:jc w:val="right"/>
          </w:pPr>
          <w:r>
            <w:t>单位:</w:t>
          </w:r>
          <w:sdt>
            <w:sdtPr>
              <w:alias w:val="单位：母公司股东权益调节表"/>
              <w:tag w:val="_GBC_048773409e614c6bb753000b028316a5"/>
              <w:id w:val="1562448427"/>
              <w:comboBox>
                <w:listItem w:displayText="元" w:value="1"/>
                <w:listItem w:displayText="千元" w:value="1000"/>
                <w:listItem w:displayText="万元" w:value="10000"/>
                <w:listItem w:displayText="百万元" w:value="1000000"/>
                <w:listItem w:displayText="亿元" w:value="100000000"/>
              </w:comboBox>
            </w:sdtPr>
            <w:sdtContent>
              <w:r>
                <w:t>千元</w:t>
              </w:r>
            </w:sdtContent>
          </w:sdt>
          <w:r>
            <w:t xml:space="preserve">  币种:</w:t>
          </w:r>
          <w:sdt>
            <w:sdtPr>
              <w:alias w:val="币种：母公司股东权益调节表"/>
              <w:tag w:val="_GBC_5214b7a188334da286fc3038d017d072"/>
              <w:id w:val="152019814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946"/>
            <w:tblW w:w="13960" w:type="dxa"/>
            <w:tblInd w:w="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50"/>
            <w:gridCol w:w="1078"/>
            <w:gridCol w:w="1050"/>
            <w:gridCol w:w="1078"/>
            <w:gridCol w:w="950"/>
            <w:gridCol w:w="992"/>
            <w:gridCol w:w="992"/>
            <w:gridCol w:w="1134"/>
            <w:gridCol w:w="992"/>
            <w:gridCol w:w="993"/>
            <w:gridCol w:w="1134"/>
            <w:gridCol w:w="1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243181199ca48faaab1b52ea7b6f562"/>
                <w:id w:val="707296810"/>
              </w:sdtPr>
              <w:sdtContent>
                <w:tc>
                  <w:tcPr>
                    <w:tcW w:w="2450" w:type="dxa"/>
                    <w:vMerge w:val="restart"/>
                    <w:vAlign w:val="center"/>
                  </w:tcPr>
                  <w:p>
                    <w:pPr>
                      <w:adjustRightInd w:val="0"/>
                      <w:snapToGrid w:val="0"/>
                      <w:jc w:val="center"/>
                      <w:rPr>
                        <w:sz w:val="18"/>
                        <w:szCs w:val="18"/>
                      </w:rPr>
                    </w:pPr>
                    <w:bookmarkStart w:id="199" w:name="_Hlk161944580"/>
                    <w:r>
                      <w:rPr>
                        <w:rFonts w:hint="eastAsia"/>
                        <w:sz w:val="18"/>
                        <w:szCs w:val="18"/>
                      </w:rPr>
                      <w:t>项目</w:t>
                    </w:r>
                  </w:p>
                </w:tc>
              </w:sdtContent>
            </w:sdt>
            <w:tc>
              <w:tcPr>
                <w:tcW w:w="11510" w:type="dxa"/>
                <w:gridSpan w:val="11"/>
                <w:vAlign w:val="center"/>
              </w:tcPr>
              <w:p>
                <w:pPr>
                  <w:adjustRightInd w:val="0"/>
                  <w:snapToGrid w:val="0"/>
                  <w:jc w:val="center"/>
                </w:pPr>
                <w:r>
                  <w:rPr>
                    <w:rFonts w:hint="eastAsia"/>
                  </w:rPr>
                  <w:t xml:space="preserve"> </w:t>
                </w:r>
                <w:sdt>
                  <w:sdtPr>
                    <w:rPr>
                      <w:rFonts w:hint="eastAsia"/>
                    </w:rPr>
                    <w:tag w:val="_PLD_53ebc36a4faa4485960520df843f0c63"/>
                    <w:id w:val="1545323494"/>
                  </w:sdtPr>
                  <w:sdtEndPr>
                    <w:rPr>
                      <w:rFonts w:hint="eastAsia"/>
                    </w:rPr>
                  </w:sdtEndPr>
                  <w:sdtContent>
                    <w:r>
                      <w:rPr>
                        <w:rFonts w:hint="eastAsia"/>
                        <w:sz w:val="18"/>
                      </w:rPr>
                      <w:t>2023年度</w:t>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450" w:type="dxa"/>
                <w:vMerge w:val="continue"/>
              </w:tcPr>
              <w:p>
                <w:pPr>
                  <w:adjustRightInd w:val="0"/>
                  <w:snapToGrid w:val="0"/>
                  <w:rPr>
                    <w:sz w:val="18"/>
                    <w:szCs w:val="18"/>
                  </w:rPr>
                </w:pPr>
              </w:p>
            </w:tc>
            <w:sdt>
              <w:sdtPr>
                <w:tag w:val="_PLD_d42b0ce5c44e4777bd36491652f20dd8"/>
                <w:id w:val="-959104392"/>
              </w:sdtPr>
              <w:sdtContent>
                <w:tc>
                  <w:tcPr>
                    <w:tcW w:w="1078" w:type="dxa"/>
                    <w:vMerge w:val="restart"/>
                    <w:tcBorders>
                      <w:right w:val="single" w:color="auto" w:sz="4" w:space="0"/>
                    </w:tcBorders>
                    <w:vAlign w:val="center"/>
                  </w:tcPr>
                  <w:p>
                    <w:pPr>
                      <w:adjustRightInd w:val="0"/>
                      <w:snapToGrid w:val="0"/>
                      <w:jc w:val="center"/>
                      <w:rPr>
                        <w:sz w:val="18"/>
                        <w:szCs w:val="18"/>
                      </w:rPr>
                    </w:pPr>
                    <w:r>
                      <w:rPr>
                        <w:sz w:val="18"/>
                        <w:szCs w:val="18"/>
                      </w:rPr>
                      <w:t>实收资本 (或股本)</w:t>
                    </w:r>
                  </w:p>
                </w:tc>
              </w:sdtContent>
            </w:sdt>
            <w:sdt>
              <w:sdtPr>
                <w:tag w:val="_PLD_2b96b9233b354a859329aa59fac6fc9e"/>
                <w:id w:val="1750307989"/>
              </w:sdtPr>
              <w:sdtContent>
                <w:tc>
                  <w:tcPr>
                    <w:tcW w:w="3078" w:type="dxa"/>
                    <w:gridSpan w:val="3"/>
                    <w:tcBorders>
                      <w:left w:val="single" w:color="auto" w:sz="4" w:space="0"/>
                      <w:bottom w:val="single" w:color="auto" w:sz="4" w:space="0"/>
                    </w:tcBorders>
                    <w:vAlign w:val="center"/>
                  </w:tcPr>
                  <w:p>
                    <w:pPr>
                      <w:adjustRightInd w:val="0"/>
                      <w:snapToGrid w:val="0"/>
                      <w:jc w:val="center"/>
                      <w:rPr>
                        <w:sz w:val="18"/>
                        <w:szCs w:val="18"/>
                      </w:rPr>
                    </w:pPr>
                    <w:r>
                      <w:rPr>
                        <w:rFonts w:hint="eastAsia"/>
                        <w:sz w:val="18"/>
                        <w:szCs w:val="18"/>
                      </w:rPr>
                      <w:t>其他权益工具</w:t>
                    </w:r>
                  </w:p>
                </w:tc>
              </w:sdtContent>
            </w:sdt>
            <w:sdt>
              <w:sdtPr>
                <w:tag w:val="_PLD_dafb11707213467d9f285bde7429767a"/>
                <w:id w:val="2015963051"/>
              </w:sdtPr>
              <w:sdtContent>
                <w:tc>
                  <w:tcPr>
                    <w:tcW w:w="992" w:type="dxa"/>
                    <w:vMerge w:val="restart"/>
                    <w:vAlign w:val="center"/>
                  </w:tcPr>
                  <w:p>
                    <w:pPr>
                      <w:adjustRightInd w:val="0"/>
                      <w:snapToGrid w:val="0"/>
                      <w:jc w:val="center"/>
                      <w:rPr>
                        <w:sz w:val="18"/>
                        <w:szCs w:val="18"/>
                      </w:rPr>
                    </w:pPr>
                    <w:r>
                      <w:rPr>
                        <w:sz w:val="18"/>
                        <w:szCs w:val="18"/>
                      </w:rPr>
                      <w:t>资本公积</w:t>
                    </w:r>
                  </w:p>
                </w:tc>
              </w:sdtContent>
            </w:sdt>
            <w:sdt>
              <w:sdtPr>
                <w:tag w:val="_PLD_2fb702eaa01c41839715d0f477a28608"/>
                <w:id w:val="517509252"/>
              </w:sdtPr>
              <w:sdtContent>
                <w:tc>
                  <w:tcPr>
                    <w:tcW w:w="992" w:type="dxa"/>
                    <w:vMerge w:val="restart"/>
                    <w:vAlign w:val="center"/>
                  </w:tcPr>
                  <w:p>
                    <w:pPr>
                      <w:adjustRightInd w:val="0"/>
                      <w:snapToGrid w:val="0"/>
                      <w:jc w:val="center"/>
                      <w:rPr>
                        <w:sz w:val="18"/>
                        <w:szCs w:val="18"/>
                      </w:rPr>
                    </w:pPr>
                    <w:r>
                      <w:rPr>
                        <w:sz w:val="18"/>
                        <w:szCs w:val="18"/>
                      </w:rPr>
                      <w:t>减：库存股</w:t>
                    </w:r>
                  </w:p>
                </w:tc>
              </w:sdtContent>
            </w:sdt>
            <w:sdt>
              <w:sdtPr>
                <w:tag w:val="_PLD_01fd07c61bdc4289ad848770e21829f0"/>
                <w:id w:val="2124185414"/>
              </w:sdtPr>
              <w:sdtContent>
                <w:tc>
                  <w:tcPr>
                    <w:tcW w:w="1134" w:type="dxa"/>
                    <w:vMerge w:val="restart"/>
                    <w:vAlign w:val="center"/>
                  </w:tcPr>
                  <w:p>
                    <w:pPr>
                      <w:jc w:val="center"/>
                      <w:rPr>
                        <w:sz w:val="18"/>
                        <w:szCs w:val="18"/>
                      </w:rPr>
                    </w:pPr>
                    <w:r>
                      <w:rPr>
                        <w:rFonts w:hint="eastAsia"/>
                        <w:sz w:val="18"/>
                        <w:szCs w:val="18"/>
                      </w:rPr>
                      <w:t>其他综合收益</w:t>
                    </w:r>
                  </w:p>
                </w:tc>
              </w:sdtContent>
            </w:sdt>
            <w:sdt>
              <w:sdtPr>
                <w:tag w:val="_PLD_90a7206226784441ae3a059bd6e2aeb9"/>
                <w:id w:val="142013156"/>
              </w:sdtPr>
              <w:sdtContent>
                <w:tc>
                  <w:tcPr>
                    <w:tcW w:w="992" w:type="dxa"/>
                    <w:vMerge w:val="restart"/>
                    <w:vAlign w:val="center"/>
                  </w:tcPr>
                  <w:p>
                    <w:pPr>
                      <w:adjustRightInd w:val="0"/>
                      <w:snapToGrid w:val="0"/>
                      <w:jc w:val="center"/>
                      <w:rPr>
                        <w:sz w:val="18"/>
                        <w:szCs w:val="18"/>
                      </w:rPr>
                    </w:pPr>
                    <w:r>
                      <w:rPr>
                        <w:rFonts w:hint="eastAsia"/>
                        <w:sz w:val="18"/>
                        <w:szCs w:val="18"/>
                      </w:rPr>
                      <w:t>专项储备</w:t>
                    </w:r>
                  </w:p>
                </w:tc>
              </w:sdtContent>
            </w:sdt>
            <w:sdt>
              <w:sdtPr>
                <w:tag w:val="_PLD_e9a70df1813948df997635772bea7de3"/>
                <w:id w:val="1963376288"/>
              </w:sdtPr>
              <w:sdtContent>
                <w:tc>
                  <w:tcPr>
                    <w:tcW w:w="993" w:type="dxa"/>
                    <w:vMerge w:val="restart"/>
                    <w:vAlign w:val="center"/>
                  </w:tcPr>
                  <w:p>
                    <w:pPr>
                      <w:adjustRightInd w:val="0"/>
                      <w:snapToGrid w:val="0"/>
                      <w:jc w:val="center"/>
                      <w:rPr>
                        <w:sz w:val="18"/>
                        <w:szCs w:val="18"/>
                      </w:rPr>
                    </w:pPr>
                    <w:r>
                      <w:rPr>
                        <w:sz w:val="18"/>
                        <w:szCs w:val="18"/>
                      </w:rPr>
                      <w:t>盈余公积</w:t>
                    </w:r>
                  </w:p>
                </w:tc>
              </w:sdtContent>
            </w:sdt>
            <w:sdt>
              <w:sdtPr>
                <w:tag w:val="_PLD_9b2be5c2b4a3447c85cf695b1da440fa"/>
                <w:id w:val="1649860420"/>
              </w:sdtPr>
              <w:sdtContent>
                <w:tc>
                  <w:tcPr>
                    <w:tcW w:w="1134" w:type="dxa"/>
                    <w:vMerge w:val="restart"/>
                    <w:vAlign w:val="center"/>
                  </w:tcPr>
                  <w:p>
                    <w:pPr>
                      <w:adjustRightInd w:val="0"/>
                      <w:snapToGrid w:val="0"/>
                      <w:jc w:val="center"/>
                      <w:rPr>
                        <w:sz w:val="18"/>
                        <w:szCs w:val="18"/>
                      </w:rPr>
                    </w:pPr>
                    <w:r>
                      <w:rPr>
                        <w:sz w:val="18"/>
                        <w:szCs w:val="18"/>
                      </w:rPr>
                      <w:t>未分配利润</w:t>
                    </w:r>
                  </w:p>
                </w:tc>
              </w:sdtContent>
            </w:sdt>
            <w:sdt>
              <w:sdtPr>
                <w:tag w:val="_PLD_61dd0378fbe645dfb87cfecfbc846206"/>
                <w:id w:val="-1515610469"/>
              </w:sdtPr>
              <w:sdtContent>
                <w:tc>
                  <w:tcPr>
                    <w:tcW w:w="1117" w:type="dxa"/>
                    <w:vMerge w:val="restart"/>
                    <w:vAlign w:val="center"/>
                  </w:tcPr>
                  <w:p>
                    <w:pPr>
                      <w:adjustRightInd w:val="0"/>
                      <w:snapToGrid w:val="0"/>
                      <w:jc w:val="center"/>
                      <w:rPr>
                        <w:sz w:val="18"/>
                        <w:szCs w:val="18"/>
                      </w:rPr>
                    </w:pPr>
                    <w:r>
                      <w:rPr>
                        <w:sz w:val="18"/>
                        <w:szCs w:val="18"/>
                      </w:rPr>
                      <w:t>所有者权益合计</w:t>
                    </w:r>
                  </w:p>
                </w:tc>
              </w:sdtContent>
            </w:sdt>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2450" w:type="dxa"/>
                <w:vMerge w:val="continue"/>
              </w:tcPr>
              <w:p>
                <w:pPr>
                  <w:adjustRightInd w:val="0"/>
                  <w:snapToGrid w:val="0"/>
                  <w:rPr>
                    <w:sz w:val="18"/>
                    <w:szCs w:val="18"/>
                  </w:rPr>
                </w:pPr>
              </w:p>
            </w:tc>
            <w:tc>
              <w:tcPr>
                <w:tcW w:w="1078" w:type="dxa"/>
                <w:vMerge w:val="continue"/>
                <w:tcBorders>
                  <w:right w:val="single" w:color="auto" w:sz="4" w:space="0"/>
                </w:tcBorders>
                <w:vAlign w:val="center"/>
              </w:tcPr>
              <w:p>
                <w:pPr>
                  <w:adjustRightInd w:val="0"/>
                  <w:snapToGrid w:val="0"/>
                  <w:jc w:val="center"/>
                  <w:rPr>
                    <w:sz w:val="18"/>
                    <w:szCs w:val="18"/>
                  </w:rPr>
                </w:pPr>
              </w:p>
            </w:tc>
            <w:sdt>
              <w:sdtPr>
                <w:tag w:val="_PLD_506dd395f17d4bea92c50a0850471ea4"/>
                <w:id w:val="-102579238"/>
              </w:sdtPr>
              <w:sdtContent>
                <w:tc>
                  <w:tcPr>
                    <w:tcW w:w="1050"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优先股</w:t>
                    </w:r>
                  </w:p>
                </w:tc>
              </w:sdtContent>
            </w:sdt>
            <w:sdt>
              <w:sdtPr>
                <w:tag w:val="_PLD_d66ebd59f659426db31ba0d488ae47d0"/>
                <w:id w:val="-512140970"/>
              </w:sdtPr>
              <w:sdtContent>
                <w:tc>
                  <w:tcPr>
                    <w:tcW w:w="1078"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永续债</w:t>
                    </w:r>
                  </w:p>
                </w:tc>
              </w:sdtContent>
            </w:sdt>
            <w:sdt>
              <w:sdtPr>
                <w:tag w:val="_PLD_997e05d9124249eeb1a10ac094efcb41"/>
                <w:id w:val="-1840539733"/>
              </w:sdtPr>
              <w:sdtContent>
                <w:tc>
                  <w:tcPr>
                    <w:tcW w:w="950" w:type="dxa"/>
                    <w:tcBorders>
                      <w:top w:val="single" w:color="auto" w:sz="4" w:space="0"/>
                      <w:left w:val="single" w:color="auto" w:sz="4" w:space="0"/>
                    </w:tcBorders>
                    <w:vAlign w:val="center"/>
                  </w:tcPr>
                  <w:p>
                    <w:pPr>
                      <w:adjustRightInd w:val="0"/>
                      <w:snapToGrid w:val="0"/>
                      <w:jc w:val="center"/>
                      <w:rPr>
                        <w:sz w:val="18"/>
                        <w:szCs w:val="18"/>
                      </w:rPr>
                    </w:pPr>
                    <w:r>
                      <w:rPr>
                        <w:rFonts w:hint="eastAsia"/>
                        <w:sz w:val="18"/>
                        <w:szCs w:val="18"/>
                      </w:rPr>
                      <w:t>其他</w:t>
                    </w:r>
                  </w:p>
                </w:tc>
              </w:sdtContent>
            </w:sdt>
            <w:tc>
              <w:tcPr>
                <w:tcW w:w="992" w:type="dxa"/>
                <w:vMerge w:val="continue"/>
              </w:tcPr>
              <w:p>
                <w:pPr>
                  <w:adjustRightInd w:val="0"/>
                  <w:snapToGrid w:val="0"/>
                  <w:jc w:val="center"/>
                  <w:rPr>
                    <w:sz w:val="18"/>
                    <w:szCs w:val="18"/>
                  </w:rPr>
                </w:pPr>
              </w:p>
            </w:tc>
            <w:tc>
              <w:tcPr>
                <w:tcW w:w="992" w:type="dxa"/>
                <w:vMerge w:val="continue"/>
              </w:tcPr>
              <w:p>
                <w:pPr>
                  <w:adjustRightInd w:val="0"/>
                  <w:snapToGrid w:val="0"/>
                  <w:jc w:val="center"/>
                  <w:rPr>
                    <w:sz w:val="18"/>
                    <w:szCs w:val="18"/>
                  </w:rPr>
                </w:pPr>
              </w:p>
            </w:tc>
            <w:tc>
              <w:tcPr>
                <w:tcW w:w="1134" w:type="dxa"/>
                <w:vMerge w:val="continue"/>
              </w:tcPr>
              <w:p>
                <w:pPr>
                  <w:jc w:val="center"/>
                  <w:rPr>
                    <w:sz w:val="18"/>
                    <w:szCs w:val="18"/>
                  </w:rPr>
                </w:pPr>
              </w:p>
            </w:tc>
            <w:tc>
              <w:tcPr>
                <w:tcW w:w="992" w:type="dxa"/>
                <w:vMerge w:val="continue"/>
              </w:tcPr>
              <w:p>
                <w:pPr>
                  <w:adjustRightInd w:val="0"/>
                  <w:snapToGrid w:val="0"/>
                  <w:jc w:val="center"/>
                  <w:rPr>
                    <w:sz w:val="18"/>
                    <w:szCs w:val="18"/>
                  </w:rPr>
                </w:pPr>
              </w:p>
            </w:tc>
            <w:tc>
              <w:tcPr>
                <w:tcW w:w="993" w:type="dxa"/>
                <w:vMerge w:val="continue"/>
              </w:tcPr>
              <w:p>
                <w:pPr>
                  <w:adjustRightInd w:val="0"/>
                  <w:snapToGrid w:val="0"/>
                  <w:jc w:val="center"/>
                  <w:rPr>
                    <w:sz w:val="18"/>
                    <w:szCs w:val="18"/>
                  </w:rPr>
                </w:pPr>
              </w:p>
            </w:tc>
            <w:tc>
              <w:tcPr>
                <w:tcW w:w="1134" w:type="dxa"/>
                <w:vMerge w:val="continue"/>
              </w:tcPr>
              <w:p>
                <w:pPr>
                  <w:adjustRightInd w:val="0"/>
                  <w:snapToGrid w:val="0"/>
                  <w:jc w:val="center"/>
                  <w:rPr>
                    <w:sz w:val="18"/>
                    <w:szCs w:val="18"/>
                  </w:rPr>
                </w:pPr>
              </w:p>
            </w:tc>
            <w:tc>
              <w:tcPr>
                <w:tcW w:w="1117" w:type="dxa"/>
                <w:vMerge w:val="continue"/>
              </w:tcPr>
              <w:p>
                <w:pPr>
                  <w:adjustRightInd w:val="0"/>
                  <w:snapToGrid w:val="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08f8c5f19f2b42f7ae650f62c6878570"/>
                <w:id w:val="-866911287"/>
              </w:sdtPr>
              <w:sdtContent>
                <w:tc>
                  <w:tcPr>
                    <w:tcW w:w="2450" w:type="dxa"/>
                  </w:tcPr>
                  <w:p>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color="auto" w:sz="4" w:space="0"/>
                </w:tcBorders>
                <w:vAlign w:val="center"/>
              </w:tcPr>
              <w:p>
                <w:pPr>
                  <w:jc w:val="right"/>
                  <w:rPr>
                    <w:sz w:val="18"/>
                    <w:szCs w:val="18"/>
                  </w:rPr>
                </w:pPr>
                <w:r>
                  <w:rPr>
                    <w:rFonts w:ascii="宋体" w:hAnsi="宋体"/>
                    <w:spacing w:val="-30"/>
                  </w:rPr>
                  <w:t>4,948,704</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13,248,614</w:t>
                </w:r>
              </w:p>
            </w:tc>
            <w:tc>
              <w:tcPr>
                <w:tcW w:w="950" w:type="dxa"/>
                <w:tcBorders>
                  <w:left w:val="single" w:color="auto" w:sz="4" w:space="0"/>
                  <w:right w:val="single" w:color="auto" w:sz="4" w:space="0"/>
                </w:tcBorders>
                <w:vAlign w:val="center"/>
              </w:tcPr>
              <w:p>
                <w:pPr>
                  <w:jc w:val="right"/>
                  <w:rPr>
                    <w:sz w:val="18"/>
                    <w:szCs w:val="18"/>
                  </w:rPr>
                </w:pPr>
              </w:p>
            </w:tc>
            <w:tc>
              <w:tcPr>
                <w:tcW w:w="992" w:type="dxa"/>
                <w:tcBorders>
                  <w:left w:val="single" w:color="auto" w:sz="4" w:space="0"/>
                </w:tcBorders>
                <w:vAlign w:val="center"/>
              </w:tcPr>
              <w:p>
                <w:pPr>
                  <w:jc w:val="right"/>
                  <w:rPr>
                    <w:sz w:val="18"/>
                    <w:szCs w:val="18"/>
                  </w:rPr>
                </w:pPr>
                <w:r>
                  <w:rPr>
                    <w:rFonts w:ascii="宋体" w:hAnsi="宋体"/>
                    <w:spacing w:val="-30"/>
                  </w:rPr>
                  <w:t>741,560</w:t>
                </w:r>
              </w:p>
            </w:tc>
            <w:tc>
              <w:tcPr>
                <w:tcW w:w="992" w:type="dxa"/>
                <w:vAlign w:val="center"/>
              </w:tcPr>
              <w:p>
                <w:pPr>
                  <w:jc w:val="right"/>
                  <w:rPr>
                    <w:sz w:val="18"/>
                    <w:szCs w:val="18"/>
                  </w:rPr>
                </w:pPr>
                <w:r>
                  <w:rPr>
                    <w:rFonts w:ascii="宋体" w:hAnsi="宋体"/>
                    <w:spacing w:val="-30"/>
                  </w:rPr>
                  <w:t>723,593</w:t>
                </w:r>
              </w:p>
            </w:tc>
            <w:tc>
              <w:tcPr>
                <w:tcW w:w="1134" w:type="dxa"/>
                <w:vAlign w:val="center"/>
              </w:tcPr>
              <w:p>
                <w:pPr>
                  <w:jc w:val="right"/>
                  <w:rPr>
                    <w:sz w:val="18"/>
                    <w:szCs w:val="18"/>
                  </w:rPr>
                </w:pPr>
                <w:r>
                  <w:rPr>
                    <w:rFonts w:ascii="宋体" w:hAnsi="宋体"/>
                    <w:spacing w:val="-30"/>
                  </w:rPr>
                  <w:t>187,468</w:t>
                </w:r>
              </w:p>
            </w:tc>
            <w:tc>
              <w:tcPr>
                <w:tcW w:w="992" w:type="dxa"/>
                <w:vAlign w:val="center"/>
              </w:tcPr>
              <w:p>
                <w:pPr>
                  <w:jc w:val="right"/>
                  <w:rPr>
                    <w:sz w:val="18"/>
                    <w:szCs w:val="18"/>
                  </w:rPr>
                </w:pPr>
                <w:r>
                  <w:rPr>
                    <w:rFonts w:ascii="宋体" w:hAnsi="宋体"/>
                    <w:spacing w:val="-30"/>
                  </w:rPr>
                  <w:t>2,229,349</w:t>
                </w:r>
              </w:p>
            </w:tc>
            <w:tc>
              <w:tcPr>
                <w:tcW w:w="993" w:type="dxa"/>
                <w:vAlign w:val="center"/>
              </w:tcPr>
              <w:p>
                <w:pPr>
                  <w:jc w:val="right"/>
                  <w:rPr>
                    <w:sz w:val="18"/>
                    <w:szCs w:val="18"/>
                  </w:rPr>
                </w:pPr>
                <w:r>
                  <w:rPr>
                    <w:rFonts w:ascii="宋体" w:hAnsi="宋体"/>
                    <w:spacing w:val="-30"/>
                  </w:rPr>
                  <w:t>2,703,146</w:t>
                </w:r>
              </w:p>
            </w:tc>
            <w:tc>
              <w:tcPr>
                <w:tcW w:w="1134" w:type="dxa"/>
                <w:vAlign w:val="center"/>
              </w:tcPr>
              <w:p>
                <w:pPr>
                  <w:jc w:val="right"/>
                  <w:rPr>
                    <w:sz w:val="18"/>
                    <w:szCs w:val="18"/>
                  </w:rPr>
                </w:pPr>
                <w:r>
                  <w:rPr>
                    <w:rFonts w:ascii="宋体" w:hAnsi="宋体"/>
                    <w:spacing w:val="-30"/>
                  </w:rPr>
                  <w:t>41,793,364</w:t>
                </w:r>
              </w:p>
            </w:tc>
            <w:tc>
              <w:tcPr>
                <w:tcW w:w="1117" w:type="dxa"/>
                <w:vAlign w:val="center"/>
              </w:tcPr>
              <w:p>
                <w:pPr>
                  <w:jc w:val="right"/>
                  <w:rPr>
                    <w:sz w:val="18"/>
                    <w:szCs w:val="18"/>
                  </w:rPr>
                </w:pPr>
                <w:r>
                  <w:rPr>
                    <w:rFonts w:ascii="宋体" w:hAnsi="宋体"/>
                    <w:spacing w:val="-30"/>
                  </w:rPr>
                  <w:t>65,128,612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977aa291b254801929edbd8e09eff6f"/>
                <w:id w:val="-1317800053"/>
              </w:sdtPr>
              <w:sdtContent>
                <w:tc>
                  <w:tcPr>
                    <w:tcW w:w="2450" w:type="dxa"/>
                  </w:tcPr>
                  <w:p>
                    <w:pPr>
                      <w:rPr>
                        <w:sz w:val="18"/>
                        <w:szCs w:val="18"/>
                      </w:rPr>
                    </w:pPr>
                    <w:r>
                      <w:rPr>
                        <w:sz w:val="18"/>
                        <w:szCs w:val="18"/>
                      </w:rPr>
                      <w:t>加：会计政策变更</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50" w:type="dxa"/>
                <w:tcBorders>
                  <w:left w:val="single" w:color="auto" w:sz="4" w:space="0"/>
                  <w:right w:val="single" w:color="auto" w:sz="4" w:space="0"/>
                </w:tcBorders>
              </w:tcPr>
              <w:p>
                <w:pPr>
                  <w:jc w:val="right"/>
                  <w:rPr>
                    <w:sz w:val="18"/>
                    <w:szCs w:val="18"/>
                  </w:rPr>
                </w:pPr>
              </w:p>
            </w:tc>
            <w:tc>
              <w:tcPr>
                <w:tcW w:w="992" w:type="dxa"/>
                <w:tcBorders>
                  <w:left w:val="single" w:color="auto" w:sz="4" w:space="0"/>
                </w:tcBorders>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17"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dcd3d26f66745c0b48a5fac832ef867"/>
                <w:id w:val="-190070777"/>
              </w:sdtPr>
              <w:sdtContent>
                <w:tc>
                  <w:tcPr>
                    <w:tcW w:w="2450" w:type="dxa"/>
                  </w:tcPr>
                  <w:p>
                    <w:pPr>
                      <w:ind w:firstLine="420" w:firstLineChars="200"/>
                      <w:rPr>
                        <w:sz w:val="18"/>
                        <w:szCs w:val="18"/>
                      </w:rPr>
                    </w:pPr>
                    <w:r>
                      <w:rPr>
                        <w:sz w:val="18"/>
                        <w:szCs w:val="18"/>
                      </w:rPr>
                      <w:t>前期差错更正</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50" w:type="dxa"/>
                <w:tcBorders>
                  <w:left w:val="single" w:color="auto" w:sz="4" w:space="0"/>
                  <w:right w:val="single" w:color="auto" w:sz="4" w:space="0"/>
                </w:tcBorders>
              </w:tcPr>
              <w:p>
                <w:pPr>
                  <w:jc w:val="right"/>
                  <w:rPr>
                    <w:sz w:val="18"/>
                    <w:szCs w:val="18"/>
                  </w:rPr>
                </w:pPr>
              </w:p>
            </w:tc>
            <w:tc>
              <w:tcPr>
                <w:tcW w:w="992" w:type="dxa"/>
                <w:tcBorders>
                  <w:left w:val="single" w:color="auto" w:sz="4" w:space="0"/>
                </w:tcBorders>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17"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e1d4d884e6e401b8c40d08e9d6c5d32"/>
                <w:id w:val="747618022"/>
              </w:sdtPr>
              <w:sdtContent>
                <w:tc>
                  <w:tcPr>
                    <w:tcW w:w="2450" w:type="dxa"/>
                  </w:tcPr>
                  <w:p>
                    <w:pPr>
                      <w:ind w:firstLine="420" w:firstLineChars="200"/>
                      <w:rPr>
                        <w:sz w:val="18"/>
                        <w:szCs w:val="18"/>
                      </w:rPr>
                    </w:pPr>
                    <w:r>
                      <w:rPr>
                        <w:rFonts w:hint="eastAsia"/>
                        <w:sz w:val="18"/>
                        <w:szCs w:val="18"/>
                      </w:rPr>
                      <w:t>其他</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50" w:type="dxa"/>
                <w:tcBorders>
                  <w:left w:val="single" w:color="auto" w:sz="4" w:space="0"/>
                  <w:right w:val="single" w:color="auto" w:sz="4" w:space="0"/>
                </w:tcBorders>
              </w:tcPr>
              <w:p>
                <w:pPr>
                  <w:jc w:val="right"/>
                  <w:rPr>
                    <w:sz w:val="18"/>
                    <w:szCs w:val="18"/>
                  </w:rPr>
                </w:pPr>
              </w:p>
            </w:tc>
            <w:tc>
              <w:tcPr>
                <w:tcW w:w="992" w:type="dxa"/>
                <w:tcBorders>
                  <w:left w:val="single" w:color="auto" w:sz="4" w:space="0"/>
                </w:tcBorders>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17"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abc6effbbaad4f92a93b112da199425f"/>
                <w:id w:val="-696464573"/>
              </w:sdtPr>
              <w:sdtContent>
                <w:tc>
                  <w:tcPr>
                    <w:tcW w:w="2450" w:type="dxa"/>
                  </w:tcPr>
                  <w:p>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color="auto" w:sz="4" w:space="0"/>
                </w:tcBorders>
                <w:vAlign w:val="center"/>
              </w:tcPr>
              <w:p>
                <w:pPr>
                  <w:jc w:val="right"/>
                  <w:rPr>
                    <w:sz w:val="18"/>
                    <w:szCs w:val="18"/>
                  </w:rPr>
                </w:pPr>
                <w:r>
                  <w:rPr>
                    <w:rFonts w:ascii="宋体" w:hAnsi="宋体"/>
                    <w:spacing w:val="-30"/>
                  </w:rPr>
                  <w:t>4,948,704</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13,248,614</w:t>
                </w:r>
              </w:p>
            </w:tc>
            <w:tc>
              <w:tcPr>
                <w:tcW w:w="950" w:type="dxa"/>
                <w:tcBorders>
                  <w:left w:val="single" w:color="auto" w:sz="4" w:space="0"/>
                  <w:right w:val="single" w:color="auto" w:sz="4" w:space="0"/>
                </w:tcBorders>
                <w:vAlign w:val="center"/>
              </w:tcPr>
              <w:p>
                <w:pPr>
                  <w:jc w:val="right"/>
                  <w:rPr>
                    <w:sz w:val="18"/>
                    <w:szCs w:val="18"/>
                  </w:rPr>
                </w:pPr>
              </w:p>
            </w:tc>
            <w:tc>
              <w:tcPr>
                <w:tcW w:w="992" w:type="dxa"/>
                <w:tcBorders>
                  <w:left w:val="single" w:color="auto" w:sz="4" w:space="0"/>
                </w:tcBorders>
                <w:vAlign w:val="center"/>
              </w:tcPr>
              <w:p>
                <w:pPr>
                  <w:jc w:val="right"/>
                  <w:rPr>
                    <w:sz w:val="18"/>
                    <w:szCs w:val="18"/>
                  </w:rPr>
                </w:pPr>
                <w:r>
                  <w:rPr>
                    <w:rFonts w:ascii="宋体" w:hAnsi="宋体"/>
                    <w:spacing w:val="-30"/>
                  </w:rPr>
                  <w:t>741,560</w:t>
                </w:r>
              </w:p>
            </w:tc>
            <w:tc>
              <w:tcPr>
                <w:tcW w:w="992" w:type="dxa"/>
                <w:vAlign w:val="center"/>
              </w:tcPr>
              <w:p>
                <w:pPr>
                  <w:jc w:val="right"/>
                  <w:rPr>
                    <w:sz w:val="18"/>
                    <w:szCs w:val="18"/>
                  </w:rPr>
                </w:pPr>
                <w:r>
                  <w:rPr>
                    <w:rFonts w:ascii="宋体" w:hAnsi="宋体"/>
                    <w:spacing w:val="-30"/>
                  </w:rPr>
                  <w:t>723,593</w:t>
                </w:r>
              </w:p>
            </w:tc>
            <w:tc>
              <w:tcPr>
                <w:tcW w:w="1134" w:type="dxa"/>
                <w:vAlign w:val="center"/>
              </w:tcPr>
              <w:p>
                <w:pPr>
                  <w:jc w:val="right"/>
                  <w:rPr>
                    <w:sz w:val="18"/>
                    <w:szCs w:val="18"/>
                  </w:rPr>
                </w:pPr>
                <w:r>
                  <w:rPr>
                    <w:rFonts w:ascii="宋体" w:hAnsi="宋体"/>
                    <w:spacing w:val="-30"/>
                  </w:rPr>
                  <w:t>187,468</w:t>
                </w:r>
              </w:p>
            </w:tc>
            <w:tc>
              <w:tcPr>
                <w:tcW w:w="992" w:type="dxa"/>
                <w:vAlign w:val="center"/>
              </w:tcPr>
              <w:p>
                <w:pPr>
                  <w:jc w:val="right"/>
                  <w:rPr>
                    <w:sz w:val="18"/>
                    <w:szCs w:val="18"/>
                  </w:rPr>
                </w:pPr>
                <w:r>
                  <w:rPr>
                    <w:rFonts w:ascii="宋体" w:hAnsi="宋体"/>
                    <w:spacing w:val="-30"/>
                  </w:rPr>
                  <w:t>2,229,349</w:t>
                </w:r>
              </w:p>
            </w:tc>
            <w:tc>
              <w:tcPr>
                <w:tcW w:w="993" w:type="dxa"/>
                <w:vAlign w:val="center"/>
              </w:tcPr>
              <w:p>
                <w:pPr>
                  <w:jc w:val="right"/>
                  <w:rPr>
                    <w:sz w:val="18"/>
                    <w:szCs w:val="18"/>
                  </w:rPr>
                </w:pPr>
                <w:r>
                  <w:rPr>
                    <w:rFonts w:ascii="宋体" w:hAnsi="宋体"/>
                    <w:spacing w:val="-30"/>
                  </w:rPr>
                  <w:t>2,703,146</w:t>
                </w:r>
              </w:p>
            </w:tc>
            <w:tc>
              <w:tcPr>
                <w:tcW w:w="1134" w:type="dxa"/>
                <w:vAlign w:val="center"/>
              </w:tcPr>
              <w:p>
                <w:pPr>
                  <w:jc w:val="right"/>
                  <w:rPr>
                    <w:sz w:val="18"/>
                    <w:szCs w:val="18"/>
                  </w:rPr>
                </w:pPr>
                <w:r>
                  <w:rPr>
                    <w:rFonts w:ascii="宋体" w:hAnsi="宋体"/>
                    <w:spacing w:val="-30"/>
                  </w:rPr>
                  <w:t>41,793,364</w:t>
                </w:r>
              </w:p>
            </w:tc>
            <w:tc>
              <w:tcPr>
                <w:tcW w:w="1117" w:type="dxa"/>
                <w:vAlign w:val="center"/>
              </w:tcPr>
              <w:p>
                <w:pPr>
                  <w:jc w:val="right"/>
                  <w:rPr>
                    <w:sz w:val="18"/>
                    <w:szCs w:val="18"/>
                  </w:rPr>
                </w:pPr>
                <w:r>
                  <w:rPr>
                    <w:rFonts w:ascii="宋体" w:hAnsi="宋体"/>
                    <w:spacing w:val="-30"/>
                  </w:rPr>
                  <w:t>65,128,612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2eea8f5bd284adbb011ea489737927b"/>
                <w:id w:val="1134211548"/>
              </w:sdtPr>
              <w:sdtContent>
                <w:tc>
                  <w:tcPr>
                    <w:tcW w:w="2450" w:type="dxa"/>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color="auto" w:sz="4" w:space="0"/>
                </w:tcBorders>
                <w:vAlign w:val="center"/>
              </w:tcPr>
              <w:p>
                <w:pPr>
                  <w:jc w:val="right"/>
                  <w:rPr>
                    <w:sz w:val="18"/>
                    <w:szCs w:val="18"/>
                  </w:rPr>
                </w:pPr>
                <w:r>
                  <w:rPr>
                    <w:rFonts w:ascii="宋体" w:hAnsi="宋体"/>
                    <w:spacing w:val="-30"/>
                  </w:rPr>
                  <w:t>2,490,667</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3,293,163</w:t>
                </w: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-458,697</w:t>
                </w:r>
              </w:p>
            </w:tc>
            <w:tc>
              <w:tcPr>
                <w:tcW w:w="992" w:type="dxa"/>
                <w:vAlign w:val="center"/>
              </w:tcPr>
              <w:p>
                <w:pPr>
                  <w:jc w:val="right"/>
                  <w:rPr>
                    <w:sz w:val="18"/>
                    <w:szCs w:val="18"/>
                  </w:rPr>
                </w:pPr>
                <w:r>
                  <w:rPr>
                    <w:rFonts w:ascii="宋体" w:hAnsi="宋体"/>
                    <w:spacing w:val="-30"/>
                  </w:rPr>
                  <w:t>-398,613</w:t>
                </w:r>
              </w:p>
            </w:tc>
            <w:tc>
              <w:tcPr>
                <w:tcW w:w="1134" w:type="dxa"/>
                <w:vAlign w:val="center"/>
              </w:tcPr>
              <w:p>
                <w:pPr>
                  <w:jc w:val="right"/>
                  <w:rPr>
                    <w:sz w:val="18"/>
                    <w:szCs w:val="18"/>
                  </w:rPr>
                </w:pPr>
                <w:r>
                  <w:rPr>
                    <w:rFonts w:ascii="宋体" w:hAnsi="宋体"/>
                    <w:spacing w:val="-30"/>
                  </w:rPr>
                  <w:t>28,115</w:t>
                </w:r>
              </w:p>
            </w:tc>
            <w:tc>
              <w:tcPr>
                <w:tcW w:w="992" w:type="dxa"/>
                <w:vAlign w:val="center"/>
              </w:tcPr>
              <w:p>
                <w:pPr>
                  <w:jc w:val="right"/>
                  <w:rPr>
                    <w:sz w:val="18"/>
                    <w:szCs w:val="18"/>
                  </w:rPr>
                </w:pPr>
                <w:r>
                  <w:rPr>
                    <w:rFonts w:ascii="宋体" w:hAnsi="宋体"/>
                    <w:spacing w:val="-30"/>
                  </w:rPr>
                  <w:t>-798,172</w:t>
                </w:r>
              </w:p>
            </w:tc>
            <w:tc>
              <w:tcPr>
                <w:tcW w:w="993" w:type="dxa"/>
                <w:vAlign w:val="center"/>
              </w:tcPr>
              <w:p>
                <w:pPr>
                  <w:jc w:val="right"/>
                  <w:rPr>
                    <w:sz w:val="18"/>
                    <w:szCs w:val="18"/>
                  </w:rPr>
                </w:pPr>
                <w:r>
                  <w:rPr>
                    <w:rFonts w:ascii="宋体" w:hAnsi="宋体"/>
                    <w:spacing w:val="-30"/>
                  </w:rPr>
                  <w:t>-1,039,332</w:t>
                </w:r>
              </w:p>
            </w:tc>
            <w:tc>
              <w:tcPr>
                <w:tcW w:w="1134" w:type="dxa"/>
                <w:vAlign w:val="center"/>
              </w:tcPr>
              <w:p>
                <w:pPr>
                  <w:jc w:val="right"/>
                  <w:rPr>
                    <w:sz w:val="18"/>
                    <w:szCs w:val="18"/>
                  </w:rPr>
                </w:pPr>
                <w:r>
                  <w:rPr>
                    <w:rFonts w:ascii="宋体" w:hAnsi="宋体"/>
                    <w:spacing w:val="-30"/>
                  </w:rPr>
                  <w:t>-27,083,725</w:t>
                </w:r>
              </w:p>
            </w:tc>
            <w:tc>
              <w:tcPr>
                <w:tcW w:w="1117" w:type="dxa"/>
                <w:vAlign w:val="center"/>
              </w:tcPr>
              <w:p>
                <w:pPr>
                  <w:jc w:val="right"/>
                  <w:rPr>
                    <w:sz w:val="18"/>
                    <w:szCs w:val="18"/>
                  </w:rPr>
                </w:pPr>
                <w:r>
                  <w:rPr>
                    <w:rFonts w:ascii="宋体" w:hAnsi="宋体"/>
                    <w:spacing w:val="-30"/>
                  </w:rPr>
                  <w:t>-23,169,368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16bc7260292e4c19ad140bdfdf1ee46c"/>
                <w:id w:val="-1216119872"/>
              </w:sdtPr>
              <w:sdtContent>
                <w:tc>
                  <w:tcPr>
                    <w:tcW w:w="2450" w:type="dxa"/>
                  </w:tcPr>
                  <w:p>
                    <w:pPr>
                      <w:rPr>
                        <w:sz w:val="18"/>
                        <w:szCs w:val="18"/>
                      </w:rPr>
                    </w:pPr>
                    <w:r>
                      <w:rPr>
                        <w:rFonts w:hint="eastAsia"/>
                        <w:sz w:val="18"/>
                        <w:szCs w:val="18"/>
                      </w:rPr>
                      <w:t>（一）综合收益总额</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444,743</w:t>
                </w: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28,115</w:t>
                </w: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16,638,147</w:t>
                </w:r>
              </w:p>
            </w:tc>
            <w:tc>
              <w:tcPr>
                <w:tcW w:w="1117" w:type="dxa"/>
                <w:vAlign w:val="center"/>
              </w:tcPr>
              <w:p>
                <w:pPr>
                  <w:jc w:val="right"/>
                  <w:rPr>
                    <w:sz w:val="18"/>
                    <w:szCs w:val="18"/>
                  </w:rPr>
                </w:pPr>
                <w:r>
                  <w:rPr>
                    <w:rFonts w:ascii="宋体" w:hAnsi="宋体"/>
                    <w:spacing w:val="-30"/>
                  </w:rPr>
                  <w:t>17,111,005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78006a38fe64d8788706ec54fa4a47b"/>
                <w:id w:val="-887407152"/>
              </w:sdtPr>
              <w:sdtContent>
                <w:tc>
                  <w:tcPr>
                    <w:tcW w:w="2450" w:type="dxa"/>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color="auto" w:sz="4" w:space="0"/>
                </w:tcBorders>
                <w:vAlign w:val="center"/>
              </w:tcPr>
              <w:p>
                <w:pPr>
                  <w:jc w:val="right"/>
                  <w:rPr>
                    <w:sz w:val="18"/>
                    <w:szCs w:val="18"/>
                  </w:rPr>
                </w:pPr>
                <w:r>
                  <w:rPr>
                    <w:rFonts w:ascii="宋体" w:hAnsi="宋体"/>
                    <w:spacing w:val="-30"/>
                  </w:rPr>
                  <w:t>9,987</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3,301,400</w:t>
                </w: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-444,664</w:t>
                </w:r>
              </w:p>
            </w:tc>
            <w:tc>
              <w:tcPr>
                <w:tcW w:w="992" w:type="dxa"/>
                <w:vAlign w:val="center"/>
              </w:tcPr>
              <w:p>
                <w:pPr>
                  <w:jc w:val="right"/>
                  <w:rPr>
                    <w:sz w:val="18"/>
                    <w:szCs w:val="18"/>
                  </w:rPr>
                </w:pPr>
                <w:r>
                  <w:rPr>
                    <w:rFonts w:ascii="宋体" w:hAnsi="宋体"/>
                    <w:spacing w:val="-30"/>
                  </w:rPr>
                  <w:t>-398,613</w:t>
                </w: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r>
                  <w:rPr>
                    <w:rFonts w:ascii="宋体" w:hAnsi="宋体"/>
                    <w:spacing w:val="-30"/>
                  </w:rPr>
                  <w:t>-2,703,146</w:t>
                </w:r>
              </w:p>
            </w:tc>
            <w:tc>
              <w:tcPr>
                <w:tcW w:w="1134" w:type="dxa"/>
                <w:vAlign w:val="center"/>
              </w:tcPr>
              <w:p>
                <w:pPr>
                  <w:jc w:val="right"/>
                  <w:rPr>
                    <w:sz w:val="18"/>
                    <w:szCs w:val="18"/>
                  </w:rPr>
                </w:pPr>
                <w:r>
                  <w:rPr>
                    <w:rFonts w:ascii="宋体" w:hAnsi="宋体"/>
                    <w:spacing w:val="-30"/>
                  </w:rPr>
                  <w:t>-18,243,528</w:t>
                </w:r>
              </w:p>
            </w:tc>
            <w:tc>
              <w:tcPr>
                <w:tcW w:w="1117" w:type="dxa"/>
                <w:vAlign w:val="center"/>
              </w:tcPr>
              <w:p>
                <w:pPr>
                  <w:jc w:val="right"/>
                  <w:rPr>
                    <w:sz w:val="18"/>
                    <w:szCs w:val="18"/>
                  </w:rPr>
                </w:pPr>
                <w:r>
                  <w:rPr>
                    <w:rFonts w:ascii="宋体" w:hAnsi="宋体"/>
                    <w:spacing w:val="-30"/>
                  </w:rPr>
                  <w:t>-17,681,338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7b7ce2356df4876b71161948845f6e6"/>
                <w:id w:val="-1362128344"/>
              </w:sdtPr>
              <w:sdtContent>
                <w:tc>
                  <w:tcPr>
                    <w:tcW w:w="2450" w:type="dxa"/>
                  </w:tcPr>
                  <w:p>
                    <w:pPr>
                      <w:rPr>
                        <w:sz w:val="18"/>
                        <w:szCs w:val="18"/>
                      </w:rPr>
                    </w:pPr>
                    <w:r>
                      <w:rPr>
                        <w:rFonts w:hint="eastAsia"/>
                        <w:sz w:val="18"/>
                        <w:szCs w:val="18"/>
                      </w:rPr>
                      <w:t>1．所有者投入的普通股</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17" w:type="dxa"/>
                <w:vAlign w:val="center"/>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364b722055ed48639a8a73b5223e270d"/>
                <w:id w:val="1445261081"/>
              </w:sdtPr>
              <w:sdtContent>
                <w:tc>
                  <w:tcPr>
                    <w:tcW w:w="2450" w:type="dxa"/>
                  </w:tcPr>
                  <w:p>
                    <w:pPr>
                      <w:rPr>
                        <w:sz w:val="18"/>
                        <w:szCs w:val="18"/>
                      </w:rPr>
                    </w:pPr>
                    <w:r>
                      <w:rPr>
                        <w:rFonts w:hint="eastAsia"/>
                        <w:sz w:val="18"/>
                        <w:szCs w:val="18"/>
                      </w:rPr>
                      <w:t>2．其他权益工具持有者投入资本</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3,301,400</w:t>
                </w: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-3,400</w:t>
                </w: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17" w:type="dxa"/>
                <w:vAlign w:val="center"/>
              </w:tcPr>
              <w:p>
                <w:pPr>
                  <w:jc w:val="right"/>
                  <w:rPr>
                    <w:sz w:val="18"/>
                    <w:szCs w:val="18"/>
                  </w:rPr>
                </w:pPr>
                <w:r>
                  <w:rPr>
                    <w:rFonts w:ascii="宋体" w:hAnsi="宋体"/>
                    <w:spacing w:val="-30"/>
                  </w:rPr>
                  <w:t>3,298,000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24ee219054e4248b57b186593db85a6"/>
                <w:id w:val="-164397204"/>
              </w:sdtPr>
              <w:sdtContent>
                <w:tc>
                  <w:tcPr>
                    <w:tcW w:w="2450" w:type="dxa"/>
                  </w:tcPr>
                  <w:p>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color="auto" w:sz="4" w:space="0"/>
                </w:tcBorders>
                <w:vAlign w:val="center"/>
              </w:tcPr>
              <w:p>
                <w:pPr>
                  <w:jc w:val="right"/>
                  <w:rPr>
                    <w:sz w:val="18"/>
                    <w:szCs w:val="18"/>
                  </w:rPr>
                </w:pPr>
                <w:r>
                  <w:rPr>
                    <w:rFonts w:ascii="宋体" w:hAnsi="宋体"/>
                    <w:spacing w:val="-30"/>
                  </w:rPr>
                  <w:t>9,987</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306,050</w:t>
                </w:r>
              </w:p>
            </w:tc>
            <w:tc>
              <w:tcPr>
                <w:tcW w:w="992" w:type="dxa"/>
                <w:vAlign w:val="center"/>
              </w:tcPr>
              <w:p>
                <w:pPr>
                  <w:jc w:val="right"/>
                  <w:rPr>
                    <w:sz w:val="18"/>
                    <w:szCs w:val="18"/>
                  </w:rPr>
                </w:pPr>
                <w:r>
                  <w:rPr>
                    <w:rFonts w:ascii="宋体" w:hAnsi="宋体"/>
                    <w:spacing w:val="-30"/>
                  </w:rPr>
                  <w:t>-398,613</w:t>
                </w: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17" w:type="dxa"/>
                <w:vAlign w:val="center"/>
              </w:tcPr>
              <w:p>
                <w:pPr>
                  <w:jc w:val="right"/>
                  <w:rPr>
                    <w:sz w:val="18"/>
                    <w:szCs w:val="18"/>
                  </w:rPr>
                </w:pPr>
                <w:r>
                  <w:rPr>
                    <w:rFonts w:ascii="宋体" w:hAnsi="宋体"/>
                    <w:spacing w:val="-30"/>
                  </w:rPr>
                  <w:t>714,650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7196a50a72a448efb6fe7cb909e34696"/>
                <w:id w:val="-1160463172"/>
              </w:sdtPr>
              <w:sdtContent>
                <w:tc>
                  <w:tcPr>
                    <w:tcW w:w="2450" w:type="dxa"/>
                  </w:tcPr>
                  <w:p>
                    <w:pPr>
                      <w:rPr>
                        <w:sz w:val="18"/>
                        <w:szCs w:val="18"/>
                      </w:rPr>
                    </w:pPr>
                    <w:r>
                      <w:rPr>
                        <w:rFonts w:hint="eastAsia"/>
                        <w:sz w:val="18"/>
                        <w:szCs w:val="18"/>
                      </w:rPr>
                      <w:t>4．同一控制下企业合并</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-747,314</w:t>
                </w: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r>
                  <w:rPr>
                    <w:rFonts w:ascii="宋体" w:hAnsi="宋体"/>
                    <w:spacing w:val="-30"/>
                  </w:rPr>
                  <w:t>-2,703,146</w:t>
                </w:r>
              </w:p>
            </w:tc>
            <w:tc>
              <w:tcPr>
                <w:tcW w:w="1134" w:type="dxa"/>
                <w:vAlign w:val="center"/>
              </w:tcPr>
              <w:p>
                <w:pPr>
                  <w:jc w:val="right"/>
                  <w:rPr>
                    <w:sz w:val="18"/>
                    <w:szCs w:val="18"/>
                  </w:rPr>
                </w:pPr>
                <w:r>
                  <w:rPr>
                    <w:rFonts w:ascii="宋体" w:hAnsi="宋体"/>
                    <w:spacing w:val="-30"/>
                  </w:rPr>
                  <w:t>-18,243,528</w:t>
                </w:r>
              </w:p>
            </w:tc>
            <w:tc>
              <w:tcPr>
                <w:tcW w:w="1117" w:type="dxa"/>
                <w:vAlign w:val="center"/>
              </w:tcPr>
              <w:p>
                <w:pPr>
                  <w:jc w:val="right"/>
                  <w:rPr>
                    <w:sz w:val="18"/>
                    <w:szCs w:val="18"/>
                  </w:rPr>
                </w:pPr>
                <w:r>
                  <w:rPr>
                    <w:rFonts w:ascii="宋体" w:hAnsi="宋体"/>
                    <w:spacing w:val="-30"/>
                  </w:rPr>
                  <w:t>-21,693,988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bb07b8c813f401e9b889121fc03b9bd"/>
                <w:id w:val="-488787755"/>
              </w:sdtPr>
              <w:sdtContent>
                <w:tc>
                  <w:tcPr>
                    <w:tcW w:w="2450" w:type="dxa"/>
                  </w:tcPr>
                  <w:p>
                    <w:pPr>
                      <w:rPr>
                        <w:sz w:val="18"/>
                        <w:szCs w:val="18"/>
                      </w:rPr>
                    </w:pPr>
                    <w:r>
                      <w:rPr>
                        <w:sz w:val="18"/>
                        <w:szCs w:val="18"/>
                      </w:rPr>
                      <w:t>5．其他</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17" w:type="dxa"/>
                <w:vAlign w:val="center"/>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280cf7ceeaa4dd8b4b782055ca20607"/>
                <w:id w:val="1189871027"/>
              </w:sdtPr>
              <w:sdtContent>
                <w:tc>
                  <w:tcPr>
                    <w:tcW w:w="2450" w:type="dxa"/>
                  </w:tcPr>
                  <w:p>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color="auto" w:sz="4" w:space="0"/>
                </w:tcBorders>
                <w:vAlign w:val="center"/>
              </w:tcPr>
              <w:p>
                <w:pPr>
                  <w:jc w:val="right"/>
                  <w:rPr>
                    <w:sz w:val="18"/>
                    <w:szCs w:val="18"/>
                  </w:rPr>
                </w:pPr>
                <w:r>
                  <w:rPr>
                    <w:rFonts w:ascii="宋体" w:hAnsi="宋体"/>
                    <w:spacing w:val="-30"/>
                  </w:rPr>
                  <w:t>2,480,680</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-452,980</w:t>
                </w: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r>
                  <w:rPr>
                    <w:rFonts w:ascii="宋体" w:hAnsi="宋体"/>
                    <w:spacing w:val="-30"/>
                  </w:rPr>
                  <w:t>1,663,814</w:t>
                </w:r>
              </w:p>
            </w:tc>
            <w:tc>
              <w:tcPr>
                <w:tcW w:w="1134" w:type="dxa"/>
                <w:vAlign w:val="center"/>
              </w:tcPr>
              <w:p>
                <w:pPr>
                  <w:jc w:val="right"/>
                  <w:rPr>
                    <w:sz w:val="18"/>
                    <w:szCs w:val="18"/>
                  </w:rPr>
                </w:pPr>
                <w:r>
                  <w:rPr>
                    <w:rFonts w:ascii="宋体" w:hAnsi="宋体"/>
                    <w:spacing w:val="-30"/>
                  </w:rPr>
                  <w:t>-25,478,344</w:t>
                </w:r>
              </w:p>
            </w:tc>
            <w:tc>
              <w:tcPr>
                <w:tcW w:w="1117" w:type="dxa"/>
                <w:vAlign w:val="center"/>
              </w:tcPr>
              <w:p>
                <w:pPr>
                  <w:jc w:val="right"/>
                  <w:rPr>
                    <w:sz w:val="18"/>
                    <w:szCs w:val="18"/>
                  </w:rPr>
                </w:pPr>
                <w:r>
                  <w:rPr>
                    <w:rFonts w:ascii="宋体" w:hAnsi="宋体"/>
                    <w:spacing w:val="-30"/>
                  </w:rPr>
                  <w:t>-21,786,830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bae08be416ce4c01886da1cc65a38bd8"/>
                <w:id w:val="455837774"/>
              </w:sdtPr>
              <w:sdtContent>
                <w:tc>
                  <w:tcPr>
                    <w:tcW w:w="2450" w:type="dxa"/>
                  </w:tcPr>
                  <w:p>
                    <w:pPr>
                      <w:rPr>
                        <w:sz w:val="18"/>
                        <w:szCs w:val="18"/>
                      </w:rPr>
                    </w:pPr>
                    <w:r>
                      <w:rPr>
                        <w:sz w:val="18"/>
                        <w:szCs w:val="18"/>
                      </w:rPr>
                      <w:t>1．提取盈余公积</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r>
                  <w:rPr>
                    <w:rFonts w:ascii="宋体" w:hAnsi="宋体"/>
                    <w:spacing w:val="-30"/>
                  </w:rPr>
                  <w:t>1,663,814</w:t>
                </w:r>
              </w:p>
            </w:tc>
            <w:tc>
              <w:tcPr>
                <w:tcW w:w="1134" w:type="dxa"/>
                <w:vAlign w:val="center"/>
              </w:tcPr>
              <w:p>
                <w:pPr>
                  <w:jc w:val="right"/>
                  <w:rPr>
                    <w:sz w:val="18"/>
                    <w:szCs w:val="18"/>
                  </w:rPr>
                </w:pPr>
                <w:r>
                  <w:rPr>
                    <w:rFonts w:ascii="宋体" w:hAnsi="宋体"/>
                    <w:spacing w:val="-30"/>
                  </w:rPr>
                  <w:t>-1,663,814</w:t>
                </w:r>
              </w:p>
            </w:tc>
            <w:tc>
              <w:tcPr>
                <w:tcW w:w="1117" w:type="dxa"/>
                <w:vAlign w:val="center"/>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4deac8941f8344f99337c17d7e8feb6f"/>
                <w:id w:val="1720401027"/>
              </w:sdtPr>
              <w:sdtContent>
                <w:tc>
                  <w:tcPr>
                    <w:tcW w:w="2450" w:type="dxa"/>
                  </w:tcPr>
                  <w:p>
                    <w:pPr>
                      <w:rPr>
                        <w:sz w:val="18"/>
                        <w:szCs w:val="18"/>
                      </w:rPr>
                    </w:pPr>
                    <w:r>
                      <w:rPr>
                        <w:rFonts w:hint="eastAsia"/>
                        <w:sz w:val="18"/>
                        <w:szCs w:val="18"/>
                      </w:rPr>
                      <w:t>2</w:t>
                    </w:r>
                    <w:r>
                      <w:rPr>
                        <w:sz w:val="18"/>
                        <w:szCs w:val="18"/>
                      </w:rPr>
                      <w:t>．对所有者（或股东）的分配</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-21,333,850</w:t>
                </w:r>
              </w:p>
            </w:tc>
            <w:tc>
              <w:tcPr>
                <w:tcW w:w="1117" w:type="dxa"/>
                <w:vAlign w:val="center"/>
              </w:tcPr>
              <w:p>
                <w:pPr>
                  <w:jc w:val="right"/>
                  <w:rPr>
                    <w:sz w:val="18"/>
                    <w:szCs w:val="18"/>
                  </w:rPr>
                </w:pPr>
                <w:r>
                  <w:rPr>
                    <w:rFonts w:ascii="宋体" w:hAnsi="宋体"/>
                    <w:spacing w:val="-30"/>
                  </w:rPr>
                  <w:t>-21,333,850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817392f220f4410a7bfd20496b577a0"/>
                <w:id w:val="-1392419829"/>
              </w:sdtPr>
              <w:sdtContent>
                <w:tc>
                  <w:tcPr>
                    <w:tcW w:w="2450" w:type="dxa"/>
                  </w:tcPr>
                  <w:p>
                    <w:pPr>
                      <w:rPr>
                        <w:sz w:val="18"/>
                        <w:szCs w:val="18"/>
                      </w:rPr>
                    </w:pPr>
                    <w:r>
                      <w:rPr>
                        <w:rFonts w:hint="eastAsia"/>
                        <w:sz w:val="18"/>
                        <w:szCs w:val="18"/>
                      </w:rPr>
                      <w:t>3．对其他权益工具持有者的分配</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-452,980</w:t>
                </w: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17" w:type="dxa"/>
                <w:vAlign w:val="center"/>
              </w:tcPr>
              <w:p>
                <w:pPr>
                  <w:jc w:val="right"/>
                  <w:rPr>
                    <w:sz w:val="18"/>
                    <w:szCs w:val="18"/>
                  </w:rPr>
                </w:pPr>
                <w:r>
                  <w:rPr>
                    <w:rFonts w:ascii="宋体" w:hAnsi="宋体"/>
                    <w:spacing w:val="-30"/>
                  </w:rPr>
                  <w:t>-452,980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f58a7e98f194ea88a1175d96b9527b1"/>
                <w:id w:val="1832024189"/>
              </w:sdtPr>
              <w:sdtContent>
                <w:tc>
                  <w:tcPr>
                    <w:tcW w:w="2450" w:type="dxa"/>
                  </w:tcPr>
                  <w:p>
                    <w:pPr>
                      <w:rPr>
                        <w:sz w:val="18"/>
                        <w:szCs w:val="18"/>
                      </w:rPr>
                    </w:pPr>
                    <w:r>
                      <w:rPr>
                        <w:sz w:val="18"/>
                        <w:szCs w:val="18"/>
                      </w:rPr>
                      <w:t>4．其他</w:t>
                    </w:r>
                  </w:p>
                </w:tc>
              </w:sdtContent>
            </w:sdt>
            <w:tc>
              <w:tcPr>
                <w:tcW w:w="1078" w:type="dxa"/>
                <w:tcBorders>
                  <w:right w:val="single" w:color="auto" w:sz="4" w:space="0"/>
                </w:tcBorders>
                <w:vAlign w:val="center"/>
              </w:tcPr>
              <w:p>
                <w:pPr>
                  <w:jc w:val="right"/>
                  <w:rPr>
                    <w:sz w:val="18"/>
                    <w:szCs w:val="18"/>
                  </w:rPr>
                </w:pPr>
                <w:r>
                  <w:rPr>
                    <w:rFonts w:ascii="宋体" w:hAnsi="宋体"/>
                    <w:spacing w:val="-30"/>
                  </w:rPr>
                  <w:t>2,480,680</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r>
                  <w:rPr>
                    <w:rFonts w:hint="eastAsia" w:ascii="宋体" w:hAnsi="宋体"/>
                    <w:spacing w:val="-30"/>
                  </w:rPr>
                  <w:t>-</w:t>
                </w:r>
                <w:r>
                  <w:rPr>
                    <w:rFonts w:ascii="宋体" w:hAnsi="宋体"/>
                    <w:spacing w:val="-30"/>
                  </w:rPr>
                  <w:t>2,480,680</w:t>
                </w:r>
              </w:p>
            </w:tc>
            <w:tc>
              <w:tcPr>
                <w:tcW w:w="1117" w:type="dxa"/>
                <w:vAlign w:val="center"/>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938fb7f04ef4f54b6183645ffa42f40"/>
                <w:id w:val="-1181198906"/>
              </w:sdtPr>
              <w:sdtContent>
                <w:tc>
                  <w:tcPr>
                    <w:tcW w:w="2450" w:type="dxa"/>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50"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17"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805f473e3b5c4efd99b4c472dc99ddb5"/>
                <w:id w:val="-634022710"/>
              </w:sdtPr>
              <w:sdtContent>
                <w:tc>
                  <w:tcPr>
                    <w:tcW w:w="2450" w:type="dxa"/>
                  </w:tcPr>
                  <w:p>
                    <w:pPr>
                      <w:rPr>
                        <w:sz w:val="18"/>
                        <w:szCs w:val="18"/>
                      </w:rPr>
                    </w:pPr>
                    <w:r>
                      <w:rPr>
                        <w:sz w:val="18"/>
                        <w:szCs w:val="18"/>
                      </w:rPr>
                      <w:t>1．资本公积转增资本（或股本）</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50"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17"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c2dd17db22d54e02ba5942412d96f3ac"/>
                <w:id w:val="1690330167"/>
              </w:sdtPr>
              <w:sdtContent>
                <w:tc>
                  <w:tcPr>
                    <w:tcW w:w="2450" w:type="dxa"/>
                  </w:tcPr>
                  <w:p>
                    <w:pPr>
                      <w:rPr>
                        <w:sz w:val="18"/>
                        <w:szCs w:val="18"/>
                      </w:rPr>
                    </w:pPr>
                    <w:r>
                      <w:rPr>
                        <w:sz w:val="18"/>
                        <w:szCs w:val="18"/>
                      </w:rPr>
                      <w:t>2</w:t>
                    </w:r>
                    <w:r>
                      <w:rPr>
                        <w:rFonts w:hint="eastAsia"/>
                        <w:sz w:val="18"/>
                        <w:szCs w:val="18"/>
                      </w:rPr>
                      <w:t>．</w:t>
                    </w:r>
                    <w:r>
                      <w:rPr>
                        <w:sz w:val="18"/>
                        <w:szCs w:val="18"/>
                      </w:rPr>
                      <w:t>盈余公积转增资本（或股本）</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50"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17"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de8855f6aaf94578a33d614865e23362"/>
                <w:id w:val="-92471126"/>
              </w:sdtPr>
              <w:sdtContent>
                <w:tc>
                  <w:tcPr>
                    <w:tcW w:w="2450" w:type="dxa"/>
                  </w:tcPr>
                  <w:p>
                    <w:pPr>
                      <w:rPr>
                        <w:sz w:val="18"/>
                        <w:szCs w:val="18"/>
                      </w:rPr>
                    </w:pPr>
                    <w:r>
                      <w:rPr>
                        <w:sz w:val="18"/>
                        <w:szCs w:val="18"/>
                      </w:rPr>
                      <w:t>3．盈余公积弥补亏损</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50"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17"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sz w:val="18"/>
                    <w:szCs w:val="18"/>
                  </w:rPr>
                  <w:tag w:val="_PLD_0a2eca501c544dfc9dfd8d666c32970b"/>
                  <w:id w:val="-874229715"/>
                </w:sdtPr>
                <w:sdtEndPr>
                  <w:rPr>
                    <w:sz w:val="18"/>
                    <w:szCs w:val="18"/>
                  </w:rPr>
                </w:sdtEndPr>
                <w:sdtContent>
                  <w:p>
                    <w:pPr>
                      <w:pStyle w:val="501"/>
                    </w:pPr>
                    <w:r>
                      <w:rPr>
                        <w:sz w:val="18"/>
                        <w:szCs w:val="18"/>
                      </w:rPr>
                      <w:t>4．设定受益计划变动额结转留存收益</w:t>
                    </w:r>
                  </w:p>
                </w:sdtContent>
              </w:sdt>
            </w:tc>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50"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17"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sz w:val="18"/>
                    <w:szCs w:val="18"/>
                  </w:rPr>
                  <w:tag w:val="_PLD_e2c794a3876347288864cf2ea4ed53e5"/>
                  <w:id w:val="919445977"/>
                </w:sdtPr>
                <w:sdtEndPr>
                  <w:rPr>
                    <w:sz w:val="18"/>
                    <w:szCs w:val="18"/>
                  </w:rPr>
                </w:sdtEndPr>
                <w:sdtContent>
                  <w:p>
                    <w:pPr>
                      <w:rPr>
                        <w:sz w:val="18"/>
                        <w:szCs w:val="18"/>
                      </w:rPr>
                    </w:pPr>
                    <w:r>
                      <w:rPr>
                        <w:sz w:val="18"/>
                        <w:szCs w:val="18"/>
                      </w:rPr>
                      <w:t>5．其他综合收益结转留存收益</w:t>
                    </w:r>
                  </w:p>
                </w:sdtContent>
              </w:sdt>
            </w:tc>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50"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17"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sz w:val="18"/>
                    <w:szCs w:val="18"/>
                  </w:rPr>
                  <w:tag w:val="_PLD_921b15a12ec54658b00654a6a398aa0c"/>
                  <w:id w:val="1381822593"/>
                </w:sdtPr>
                <w:sdtEndPr>
                  <w:rPr>
                    <w:sz w:val="18"/>
                    <w:szCs w:val="18"/>
                  </w:rPr>
                </w:sdtEndPr>
                <w:sdtContent>
                  <w:p>
                    <w:pPr>
                      <w:pStyle w:val="501"/>
                    </w:pPr>
                    <w:r>
                      <w:rPr>
                        <w:sz w:val="18"/>
                        <w:szCs w:val="18"/>
                      </w:rPr>
                      <w:t>6．其他</w:t>
                    </w:r>
                  </w:p>
                </w:sdtContent>
              </w:sdt>
            </w:tc>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50"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17" w:type="dxa"/>
              </w:tcPr>
              <w:p>
                <w:pPr>
                  <w:jc w:val="righ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ea236cbce24c48eabfeb2f3f4a19c5a8"/>
                <w:id w:val="-441607479"/>
              </w:sdtPr>
              <w:sdtContent>
                <w:tc>
                  <w:tcPr>
                    <w:tcW w:w="2450" w:type="dxa"/>
                    <w:vAlign w:val="center"/>
                  </w:tcPr>
                  <w:p>
                    <w:pPr>
                      <w:rPr>
                        <w:sz w:val="18"/>
                        <w:szCs w:val="18"/>
                      </w:rPr>
                    </w:pPr>
                    <w:r>
                      <w:rPr>
                        <w:rFonts w:hint="eastAsia"/>
                        <w:sz w:val="18"/>
                        <w:szCs w:val="18"/>
                      </w:rPr>
                      <w:t>（五）专项储备</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r>
                  <w:rPr>
                    <w:rFonts w:ascii="宋体" w:hAnsi="宋体"/>
                    <w:spacing w:val="-30"/>
                  </w:rPr>
                  <w:t>-798,172</w:t>
                </w:r>
              </w:p>
            </w:tc>
            <w:tc>
              <w:tcPr>
                <w:tcW w:w="993" w:type="dxa"/>
                <w:vAlign w:val="center"/>
              </w:tcPr>
              <w:p>
                <w:pPr>
                  <w:jc w:val="right"/>
                  <w:rPr>
                    <w:sz w:val="18"/>
                    <w:szCs w:val="18"/>
                  </w:rPr>
                </w:pPr>
              </w:p>
            </w:tc>
            <w:tc>
              <w:tcPr>
                <w:tcW w:w="1134" w:type="dxa"/>
                <w:vAlign w:val="center"/>
              </w:tcPr>
              <w:p>
                <w:pPr>
                  <w:jc w:val="right"/>
                  <w:rPr>
                    <w:sz w:val="18"/>
                    <w:szCs w:val="18"/>
                  </w:rPr>
                </w:pPr>
              </w:p>
            </w:tc>
            <w:tc>
              <w:tcPr>
                <w:tcW w:w="1117" w:type="dxa"/>
                <w:vAlign w:val="center"/>
              </w:tcPr>
              <w:p>
                <w:pPr>
                  <w:jc w:val="right"/>
                  <w:rPr>
                    <w:sz w:val="18"/>
                    <w:szCs w:val="18"/>
                  </w:rPr>
                </w:pPr>
                <w:r>
                  <w:rPr>
                    <w:rFonts w:ascii="宋体" w:hAnsi="宋体"/>
                    <w:spacing w:val="-30"/>
                  </w:rPr>
                  <w:t>-798,172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f798cf6aa8f24816a06eab77e71e6a42"/>
                <w:id w:val="-2132238860"/>
              </w:sdtPr>
              <w:sdtContent>
                <w:tc>
                  <w:tcPr>
                    <w:tcW w:w="2450" w:type="dxa"/>
                    <w:vAlign w:val="center"/>
                  </w:tcPr>
                  <w:p>
                    <w:pPr>
                      <w:rPr>
                        <w:sz w:val="18"/>
                        <w:szCs w:val="18"/>
                      </w:rPr>
                    </w:pPr>
                    <w:r>
                      <w:rPr>
                        <w:rFonts w:hint="eastAsia"/>
                        <w:sz w:val="18"/>
                        <w:szCs w:val="18"/>
                      </w:rPr>
                      <w:t>1．本期提取</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r>
                  <w:rPr>
                    <w:rFonts w:ascii="宋体" w:hAnsi="宋体"/>
                    <w:spacing w:val="-30"/>
                  </w:rPr>
                  <w:t>1,407,049</w:t>
                </w:r>
              </w:p>
            </w:tc>
            <w:tc>
              <w:tcPr>
                <w:tcW w:w="993" w:type="dxa"/>
                <w:vAlign w:val="center"/>
              </w:tcPr>
              <w:p>
                <w:pPr>
                  <w:jc w:val="right"/>
                  <w:rPr>
                    <w:sz w:val="18"/>
                    <w:szCs w:val="18"/>
                  </w:rPr>
                </w:pPr>
              </w:p>
            </w:tc>
            <w:tc>
              <w:tcPr>
                <w:tcW w:w="1134" w:type="dxa"/>
                <w:vAlign w:val="center"/>
              </w:tcPr>
              <w:p>
                <w:pPr>
                  <w:jc w:val="right"/>
                  <w:rPr>
                    <w:sz w:val="18"/>
                    <w:szCs w:val="18"/>
                  </w:rPr>
                </w:pPr>
              </w:p>
            </w:tc>
            <w:tc>
              <w:tcPr>
                <w:tcW w:w="1117" w:type="dxa"/>
                <w:vAlign w:val="center"/>
              </w:tcPr>
              <w:p>
                <w:pPr>
                  <w:jc w:val="right"/>
                  <w:rPr>
                    <w:sz w:val="18"/>
                    <w:szCs w:val="18"/>
                  </w:rPr>
                </w:pPr>
                <w:r>
                  <w:rPr>
                    <w:rFonts w:ascii="宋体" w:hAnsi="宋体"/>
                    <w:spacing w:val="-30"/>
                  </w:rPr>
                  <w:t>1,407,049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294f6f5256724757ad52c27b29a0bb7d"/>
                <w:id w:val="140697963"/>
              </w:sdtPr>
              <w:sdtContent>
                <w:tc>
                  <w:tcPr>
                    <w:tcW w:w="2450" w:type="dxa"/>
                    <w:vAlign w:val="center"/>
                  </w:tcPr>
                  <w:p>
                    <w:pPr>
                      <w:rPr>
                        <w:sz w:val="18"/>
                        <w:szCs w:val="18"/>
                      </w:rPr>
                    </w:pPr>
                    <w:r>
                      <w:rPr>
                        <w:rFonts w:hint="eastAsia"/>
                        <w:sz w:val="18"/>
                        <w:szCs w:val="18"/>
                      </w:rPr>
                      <w:t>2．本期使用</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r>
                  <w:rPr>
                    <w:rFonts w:ascii="宋体" w:hAnsi="宋体"/>
                    <w:spacing w:val="-30"/>
                  </w:rPr>
                  <w:t>2,205,221</w:t>
                </w:r>
              </w:p>
            </w:tc>
            <w:tc>
              <w:tcPr>
                <w:tcW w:w="993" w:type="dxa"/>
                <w:vAlign w:val="center"/>
              </w:tcPr>
              <w:p>
                <w:pPr>
                  <w:jc w:val="right"/>
                  <w:rPr>
                    <w:sz w:val="18"/>
                    <w:szCs w:val="18"/>
                  </w:rPr>
                </w:pPr>
              </w:p>
            </w:tc>
            <w:tc>
              <w:tcPr>
                <w:tcW w:w="1134" w:type="dxa"/>
                <w:vAlign w:val="center"/>
              </w:tcPr>
              <w:p>
                <w:pPr>
                  <w:jc w:val="right"/>
                  <w:rPr>
                    <w:sz w:val="18"/>
                    <w:szCs w:val="18"/>
                  </w:rPr>
                </w:pPr>
              </w:p>
            </w:tc>
            <w:tc>
              <w:tcPr>
                <w:tcW w:w="1117" w:type="dxa"/>
                <w:vAlign w:val="center"/>
              </w:tcPr>
              <w:p>
                <w:pPr>
                  <w:jc w:val="right"/>
                  <w:rPr>
                    <w:sz w:val="18"/>
                    <w:szCs w:val="18"/>
                  </w:rPr>
                </w:pPr>
                <w:r>
                  <w:rPr>
                    <w:rFonts w:ascii="宋体" w:hAnsi="宋体"/>
                    <w:spacing w:val="-30"/>
                  </w:rPr>
                  <w:t>2,205,221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633049a29464fd58ed8f9bdc82f6c7b"/>
                <w:id w:val="837659554"/>
              </w:sdtPr>
              <w:sdtContent>
                <w:tc>
                  <w:tcPr>
                    <w:tcW w:w="2450" w:type="dxa"/>
                  </w:tcPr>
                  <w:p>
                    <w:pPr>
                      <w:rPr>
                        <w:sz w:val="18"/>
                        <w:szCs w:val="18"/>
                      </w:rPr>
                    </w:pPr>
                    <w:r>
                      <w:rPr>
                        <w:rFonts w:hint="eastAsia"/>
                        <w:sz w:val="18"/>
                        <w:szCs w:val="18"/>
                      </w:rPr>
                      <w:t>（六）其他</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-14,033</w:t>
                </w: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17" w:type="dxa"/>
                <w:vAlign w:val="center"/>
              </w:tcPr>
              <w:p>
                <w:pPr>
                  <w:jc w:val="right"/>
                  <w:rPr>
                    <w:sz w:val="18"/>
                    <w:szCs w:val="18"/>
                  </w:rPr>
                </w:pPr>
                <w:r>
                  <w:rPr>
                    <w:rFonts w:ascii="宋体" w:hAnsi="宋体"/>
                    <w:spacing w:val="-30"/>
                  </w:rPr>
                  <w:t>-14,033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0d209cea233c428da026233fffdd75cf"/>
                <w:id w:val="-623302678"/>
              </w:sdtPr>
              <w:sdtContent>
                <w:tc>
                  <w:tcPr>
                    <w:tcW w:w="2450" w:type="dxa"/>
                  </w:tcPr>
                  <w:p>
                    <w:pPr>
                      <w:rPr>
                        <w:sz w:val="18"/>
                        <w:szCs w:val="18"/>
                      </w:rPr>
                    </w:pPr>
                    <w:r>
                      <w:rPr>
                        <w:sz w:val="18"/>
                        <w:szCs w:val="18"/>
                      </w:rPr>
                      <w:t>四、本期期末余额</w:t>
                    </w:r>
                  </w:p>
                </w:tc>
              </w:sdtContent>
            </w:sdt>
            <w:tc>
              <w:tcPr>
                <w:tcW w:w="1078" w:type="dxa"/>
                <w:tcBorders>
                  <w:right w:val="single" w:color="auto" w:sz="4" w:space="0"/>
                </w:tcBorders>
                <w:vAlign w:val="center"/>
              </w:tcPr>
              <w:p>
                <w:pPr>
                  <w:jc w:val="right"/>
                  <w:rPr>
                    <w:sz w:val="18"/>
                    <w:szCs w:val="18"/>
                  </w:rPr>
                </w:pPr>
                <w:r>
                  <w:rPr>
                    <w:rFonts w:ascii="宋体" w:hAnsi="宋体"/>
                    <w:spacing w:val="-30"/>
                  </w:rPr>
                  <w:t>7,439,371</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16,541,777</w:t>
                </w:r>
              </w:p>
            </w:tc>
            <w:tc>
              <w:tcPr>
                <w:tcW w:w="950"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282,863</w:t>
                </w:r>
              </w:p>
            </w:tc>
            <w:tc>
              <w:tcPr>
                <w:tcW w:w="992" w:type="dxa"/>
                <w:vAlign w:val="center"/>
              </w:tcPr>
              <w:p>
                <w:pPr>
                  <w:jc w:val="right"/>
                  <w:rPr>
                    <w:sz w:val="18"/>
                    <w:szCs w:val="18"/>
                  </w:rPr>
                </w:pPr>
                <w:r>
                  <w:rPr>
                    <w:rFonts w:ascii="宋体" w:hAnsi="宋体"/>
                    <w:spacing w:val="-30"/>
                  </w:rPr>
                  <w:t>324,980</w:t>
                </w:r>
              </w:p>
            </w:tc>
            <w:tc>
              <w:tcPr>
                <w:tcW w:w="1134" w:type="dxa"/>
                <w:vAlign w:val="center"/>
              </w:tcPr>
              <w:p>
                <w:pPr>
                  <w:jc w:val="right"/>
                  <w:rPr>
                    <w:sz w:val="18"/>
                    <w:szCs w:val="18"/>
                  </w:rPr>
                </w:pPr>
                <w:r>
                  <w:rPr>
                    <w:rFonts w:ascii="宋体" w:hAnsi="宋体"/>
                    <w:spacing w:val="-30"/>
                  </w:rPr>
                  <w:t>215,583</w:t>
                </w:r>
              </w:p>
            </w:tc>
            <w:tc>
              <w:tcPr>
                <w:tcW w:w="992" w:type="dxa"/>
                <w:vAlign w:val="center"/>
              </w:tcPr>
              <w:p>
                <w:pPr>
                  <w:jc w:val="right"/>
                  <w:rPr>
                    <w:sz w:val="18"/>
                    <w:szCs w:val="18"/>
                  </w:rPr>
                </w:pPr>
                <w:r>
                  <w:rPr>
                    <w:rFonts w:ascii="宋体" w:hAnsi="宋体"/>
                    <w:spacing w:val="-30"/>
                  </w:rPr>
                  <w:t>1,431,177</w:t>
                </w:r>
              </w:p>
            </w:tc>
            <w:tc>
              <w:tcPr>
                <w:tcW w:w="993" w:type="dxa"/>
                <w:vAlign w:val="center"/>
              </w:tcPr>
              <w:p>
                <w:pPr>
                  <w:jc w:val="right"/>
                  <w:rPr>
                    <w:sz w:val="18"/>
                    <w:szCs w:val="18"/>
                  </w:rPr>
                </w:pPr>
                <w:r>
                  <w:rPr>
                    <w:rFonts w:ascii="宋体" w:hAnsi="宋体"/>
                    <w:spacing w:val="-30"/>
                  </w:rPr>
                  <w:t>1,663,814</w:t>
                </w:r>
              </w:p>
            </w:tc>
            <w:tc>
              <w:tcPr>
                <w:tcW w:w="1134" w:type="dxa"/>
                <w:vAlign w:val="center"/>
              </w:tcPr>
              <w:p>
                <w:pPr>
                  <w:jc w:val="right"/>
                  <w:rPr>
                    <w:sz w:val="18"/>
                    <w:szCs w:val="18"/>
                  </w:rPr>
                </w:pPr>
                <w:r>
                  <w:rPr>
                    <w:rFonts w:ascii="宋体" w:hAnsi="宋体"/>
                    <w:spacing w:val="-30"/>
                  </w:rPr>
                  <w:t>14,709,639</w:t>
                </w:r>
              </w:p>
            </w:tc>
            <w:tc>
              <w:tcPr>
                <w:tcW w:w="1117" w:type="dxa"/>
                <w:vAlign w:val="center"/>
              </w:tcPr>
              <w:p>
                <w:pPr>
                  <w:jc w:val="right"/>
                  <w:rPr>
                    <w:sz w:val="18"/>
                    <w:szCs w:val="18"/>
                  </w:rPr>
                </w:pPr>
                <w:r>
                  <w:rPr>
                    <w:rFonts w:ascii="宋体" w:hAnsi="宋体"/>
                    <w:spacing w:val="-30"/>
                  </w:rPr>
                  <w:t>41,959,244</w:t>
                </w:r>
              </w:p>
            </w:tc>
          </w:tr>
          <w:bookmarkEnd w:id="199"/>
        </w:tbl>
        <w:p>
          <w:pPr>
            <w:pStyle w:val="501"/>
          </w:pPr>
        </w:p>
        <w:p>
          <w:pPr>
            <w:pStyle w:val="501"/>
          </w:pPr>
        </w:p>
        <w:tbl>
          <w:tblPr>
            <w:tblStyle w:val="946"/>
            <w:tblW w:w="13904" w:type="dxa"/>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94"/>
            <w:gridCol w:w="1078"/>
            <w:gridCol w:w="1050"/>
            <w:gridCol w:w="1078"/>
            <w:gridCol w:w="947"/>
            <w:gridCol w:w="992"/>
            <w:gridCol w:w="992"/>
            <w:gridCol w:w="1134"/>
            <w:gridCol w:w="992"/>
            <w:gridCol w:w="993"/>
            <w:gridCol w:w="1134"/>
            <w:gridCol w:w="11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vMerge w:val="restart"/>
                <w:vAlign w:val="center"/>
              </w:tcPr>
              <w:sdt>
                <w:sdtPr>
                  <w:rPr>
                    <w:rFonts w:hint="eastAsia"/>
                    <w:sz w:val="18"/>
                    <w:szCs w:val="18"/>
                  </w:rPr>
                  <w:tag w:val="_PLD_64a794ab75214f6d9d66748804bee4e8"/>
                  <w:id w:val="-1690979654"/>
                </w:sdtPr>
                <w:sdtEndPr>
                  <w:rPr>
                    <w:rFonts w:hint="eastAsia"/>
                    <w:sz w:val="18"/>
                    <w:szCs w:val="18"/>
                  </w:rPr>
                </w:sdtEndPr>
                <w:sdtContent>
                  <w:p>
                    <w:pPr>
                      <w:adjustRightInd w:val="0"/>
                      <w:snapToGrid w:val="0"/>
                      <w:jc w:val="center"/>
                      <w:rPr>
                        <w:sz w:val="18"/>
                        <w:szCs w:val="18"/>
                      </w:rPr>
                    </w:pPr>
                    <w:r>
                      <w:rPr>
                        <w:rFonts w:hint="eastAsia"/>
                        <w:sz w:val="18"/>
                        <w:szCs w:val="18"/>
                      </w:rPr>
                      <w:t>项目</w:t>
                    </w:r>
                  </w:p>
                </w:sdtContent>
              </w:sdt>
            </w:tc>
            <w:tc>
              <w:tcPr>
                <w:tcW w:w="11510" w:type="dxa"/>
                <w:gridSpan w:val="11"/>
              </w:tcPr>
              <w:p>
                <w:pPr>
                  <w:adjustRightInd w:val="0"/>
                  <w:snapToGrid w:val="0"/>
                  <w:jc w:val="center"/>
                  <w:rPr>
                    <w:sz w:val="18"/>
                  </w:rPr>
                </w:pPr>
                <w:r>
                  <w:rPr>
                    <w:rFonts w:hint="eastAsia"/>
                    <w:sz w:val="18"/>
                  </w:rPr>
                  <w:t xml:space="preserve"> </w:t>
                </w:r>
                <w:sdt>
                  <w:sdtPr>
                    <w:rPr>
                      <w:rFonts w:hint="eastAsia"/>
                      <w:sz w:val="18"/>
                    </w:rPr>
                    <w:tag w:val="_PLD_6226137cffd442dfb505b8cfe7d1f423"/>
                    <w:id w:val="-234401490"/>
                  </w:sdtPr>
                  <w:sdtEndPr>
                    <w:rPr>
                      <w:rFonts w:hint="eastAsia"/>
                      <w:sz w:val="18"/>
                    </w:rPr>
                  </w:sdtEndPr>
                  <w:sdtContent>
                    <w:r>
                      <w:rPr>
                        <w:rFonts w:hint="eastAsia"/>
                        <w:sz w:val="18"/>
                      </w:rPr>
                      <w:t>2022年度</w:t>
                    </w:r>
                  </w:sdtContent>
                </w:sdt>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2394" w:type="dxa"/>
                <w:vMerge w:val="continue"/>
              </w:tcPr>
              <w:p>
                <w:pPr>
                  <w:adjustRightInd w:val="0"/>
                  <w:snapToGrid w:val="0"/>
                  <w:rPr>
                    <w:sz w:val="18"/>
                    <w:szCs w:val="18"/>
                  </w:rPr>
                </w:pPr>
              </w:p>
            </w:tc>
            <w:sdt>
              <w:sdtPr>
                <w:tag w:val="_PLD_e0e316f064db43a38ddec14c349b4dfa"/>
                <w:id w:val="-1195071402"/>
              </w:sdtPr>
              <w:sdtContent>
                <w:tc>
                  <w:tcPr>
                    <w:tcW w:w="1078" w:type="dxa"/>
                    <w:vMerge w:val="restart"/>
                    <w:tcBorders>
                      <w:right w:val="single" w:color="auto" w:sz="4" w:space="0"/>
                    </w:tcBorders>
                    <w:vAlign w:val="center"/>
                  </w:tcPr>
                  <w:p>
                    <w:pPr>
                      <w:adjustRightInd w:val="0"/>
                      <w:snapToGrid w:val="0"/>
                      <w:jc w:val="center"/>
                      <w:rPr>
                        <w:sz w:val="18"/>
                        <w:szCs w:val="18"/>
                      </w:rPr>
                    </w:pPr>
                    <w:r>
                      <w:rPr>
                        <w:sz w:val="18"/>
                        <w:szCs w:val="18"/>
                      </w:rPr>
                      <w:t>实收资本 (或股本)</w:t>
                    </w:r>
                  </w:p>
                </w:tc>
              </w:sdtContent>
            </w:sdt>
            <w:sdt>
              <w:sdtPr>
                <w:tag w:val="_PLD_2c82747108ee4c518651265b45dbebcd"/>
                <w:id w:val="1458142815"/>
              </w:sdtPr>
              <w:sdtContent>
                <w:tc>
                  <w:tcPr>
                    <w:tcW w:w="3075" w:type="dxa"/>
                    <w:gridSpan w:val="3"/>
                    <w:tcBorders>
                      <w:left w:val="single" w:color="auto" w:sz="4" w:space="0"/>
                      <w:bottom w:val="single" w:color="auto" w:sz="4" w:space="0"/>
                    </w:tcBorders>
                    <w:vAlign w:val="center"/>
                  </w:tcPr>
                  <w:p>
                    <w:pPr>
                      <w:adjustRightInd w:val="0"/>
                      <w:snapToGrid w:val="0"/>
                      <w:jc w:val="center"/>
                      <w:rPr>
                        <w:sz w:val="18"/>
                        <w:szCs w:val="18"/>
                      </w:rPr>
                    </w:pPr>
                    <w:r>
                      <w:rPr>
                        <w:rFonts w:hint="eastAsia"/>
                        <w:sz w:val="18"/>
                        <w:szCs w:val="18"/>
                      </w:rPr>
                      <w:t>其他权益工具</w:t>
                    </w:r>
                  </w:p>
                </w:tc>
              </w:sdtContent>
            </w:sdt>
            <w:sdt>
              <w:sdtPr>
                <w:tag w:val="_PLD_c459549b516242be83fce2e92cc794e6"/>
                <w:id w:val="1418989697"/>
              </w:sdtPr>
              <w:sdtContent>
                <w:tc>
                  <w:tcPr>
                    <w:tcW w:w="992" w:type="dxa"/>
                    <w:vMerge w:val="restart"/>
                    <w:vAlign w:val="center"/>
                  </w:tcPr>
                  <w:p>
                    <w:pPr>
                      <w:adjustRightInd w:val="0"/>
                      <w:snapToGrid w:val="0"/>
                      <w:jc w:val="center"/>
                      <w:rPr>
                        <w:sz w:val="18"/>
                        <w:szCs w:val="18"/>
                      </w:rPr>
                    </w:pPr>
                    <w:r>
                      <w:rPr>
                        <w:sz w:val="18"/>
                        <w:szCs w:val="18"/>
                      </w:rPr>
                      <w:t>资本公积</w:t>
                    </w:r>
                  </w:p>
                </w:tc>
              </w:sdtContent>
            </w:sdt>
            <w:sdt>
              <w:sdtPr>
                <w:tag w:val="_PLD_9979085a666a4b7a9ee698268b0bb615"/>
                <w:id w:val="-2127295227"/>
              </w:sdtPr>
              <w:sdtContent>
                <w:tc>
                  <w:tcPr>
                    <w:tcW w:w="992" w:type="dxa"/>
                    <w:vMerge w:val="restart"/>
                    <w:vAlign w:val="center"/>
                  </w:tcPr>
                  <w:p>
                    <w:pPr>
                      <w:adjustRightInd w:val="0"/>
                      <w:snapToGrid w:val="0"/>
                      <w:jc w:val="center"/>
                      <w:rPr>
                        <w:sz w:val="18"/>
                        <w:szCs w:val="18"/>
                      </w:rPr>
                    </w:pPr>
                    <w:r>
                      <w:rPr>
                        <w:sz w:val="18"/>
                        <w:szCs w:val="18"/>
                      </w:rPr>
                      <w:t>减：库存股</w:t>
                    </w:r>
                  </w:p>
                </w:tc>
              </w:sdtContent>
            </w:sdt>
            <w:sdt>
              <w:sdtPr>
                <w:tag w:val="_PLD_3b870c2efbdc421980e0e6ed21bc828a"/>
                <w:id w:val="-818649975"/>
              </w:sdtPr>
              <w:sdtContent>
                <w:tc>
                  <w:tcPr>
                    <w:tcW w:w="1134" w:type="dxa"/>
                    <w:vMerge w:val="restart"/>
                    <w:vAlign w:val="center"/>
                  </w:tcPr>
                  <w:p>
                    <w:pPr>
                      <w:jc w:val="center"/>
                      <w:rPr>
                        <w:sz w:val="18"/>
                        <w:szCs w:val="18"/>
                      </w:rPr>
                    </w:pPr>
                    <w:r>
                      <w:rPr>
                        <w:rFonts w:hint="eastAsia"/>
                        <w:sz w:val="18"/>
                        <w:szCs w:val="18"/>
                      </w:rPr>
                      <w:t>其他综合收益</w:t>
                    </w:r>
                  </w:p>
                </w:tc>
              </w:sdtContent>
            </w:sdt>
            <w:sdt>
              <w:sdtPr>
                <w:tag w:val="_PLD_68a9918174cf4752ad67388e59bb3c51"/>
                <w:id w:val="744219191"/>
              </w:sdtPr>
              <w:sdtContent>
                <w:tc>
                  <w:tcPr>
                    <w:tcW w:w="992" w:type="dxa"/>
                    <w:vMerge w:val="restart"/>
                    <w:vAlign w:val="center"/>
                  </w:tcPr>
                  <w:p>
                    <w:pPr>
                      <w:adjustRightInd w:val="0"/>
                      <w:snapToGrid w:val="0"/>
                      <w:jc w:val="center"/>
                      <w:rPr>
                        <w:sz w:val="18"/>
                        <w:szCs w:val="18"/>
                      </w:rPr>
                    </w:pPr>
                    <w:r>
                      <w:rPr>
                        <w:rFonts w:hint="eastAsia"/>
                        <w:sz w:val="18"/>
                        <w:szCs w:val="18"/>
                      </w:rPr>
                      <w:t>专项储备</w:t>
                    </w:r>
                  </w:p>
                </w:tc>
              </w:sdtContent>
            </w:sdt>
            <w:sdt>
              <w:sdtPr>
                <w:tag w:val="_PLD_eddda9b1710646a5811c9efb65bf8703"/>
                <w:id w:val="-1338385042"/>
              </w:sdtPr>
              <w:sdtContent>
                <w:tc>
                  <w:tcPr>
                    <w:tcW w:w="993" w:type="dxa"/>
                    <w:vMerge w:val="restart"/>
                    <w:vAlign w:val="center"/>
                  </w:tcPr>
                  <w:p>
                    <w:pPr>
                      <w:adjustRightInd w:val="0"/>
                      <w:snapToGrid w:val="0"/>
                      <w:jc w:val="center"/>
                      <w:rPr>
                        <w:sz w:val="18"/>
                        <w:szCs w:val="18"/>
                      </w:rPr>
                    </w:pPr>
                    <w:r>
                      <w:rPr>
                        <w:sz w:val="18"/>
                        <w:szCs w:val="18"/>
                      </w:rPr>
                      <w:t>盈余公积</w:t>
                    </w:r>
                  </w:p>
                </w:tc>
              </w:sdtContent>
            </w:sdt>
            <w:sdt>
              <w:sdtPr>
                <w:tag w:val="_PLD_d210b1f3e63743b7b7ad078da7c00997"/>
                <w:id w:val="573398685"/>
              </w:sdtPr>
              <w:sdtContent>
                <w:tc>
                  <w:tcPr>
                    <w:tcW w:w="1134" w:type="dxa"/>
                    <w:vMerge w:val="restart"/>
                    <w:vAlign w:val="center"/>
                  </w:tcPr>
                  <w:p>
                    <w:pPr>
                      <w:adjustRightInd w:val="0"/>
                      <w:snapToGrid w:val="0"/>
                      <w:jc w:val="center"/>
                      <w:rPr>
                        <w:sz w:val="18"/>
                        <w:szCs w:val="18"/>
                      </w:rPr>
                    </w:pPr>
                    <w:r>
                      <w:rPr>
                        <w:sz w:val="18"/>
                        <w:szCs w:val="18"/>
                      </w:rPr>
                      <w:t>未分配利润</w:t>
                    </w:r>
                  </w:p>
                </w:tc>
              </w:sdtContent>
            </w:sdt>
            <w:sdt>
              <w:sdtPr>
                <w:tag w:val="_PLD_d0efa115b304401592a693cab0f3a46a"/>
                <w:id w:val="390012243"/>
              </w:sdtPr>
              <w:sdtContent>
                <w:tc>
                  <w:tcPr>
                    <w:tcW w:w="1120" w:type="dxa"/>
                    <w:vMerge w:val="restart"/>
                    <w:vAlign w:val="center"/>
                  </w:tcPr>
                  <w:p>
                    <w:pPr>
                      <w:adjustRightInd w:val="0"/>
                      <w:snapToGrid w:val="0"/>
                      <w:jc w:val="center"/>
                      <w:rPr>
                        <w:sz w:val="18"/>
                        <w:szCs w:val="18"/>
                      </w:rPr>
                    </w:pPr>
                    <w:r>
                      <w:rPr>
                        <w:sz w:val="18"/>
                        <w:szCs w:val="18"/>
                      </w:rPr>
                      <w:t>所有者权益合计</w:t>
                    </w:r>
                  </w:p>
                </w:tc>
              </w:sdtContent>
            </w:sdt>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4" w:hRule="atLeast"/>
            </w:trPr>
            <w:tc>
              <w:tcPr>
                <w:tcW w:w="2394" w:type="dxa"/>
                <w:vMerge w:val="continue"/>
              </w:tcPr>
              <w:p>
                <w:pPr>
                  <w:adjustRightInd w:val="0"/>
                  <w:snapToGrid w:val="0"/>
                  <w:rPr>
                    <w:sz w:val="18"/>
                    <w:szCs w:val="18"/>
                  </w:rPr>
                </w:pPr>
              </w:p>
            </w:tc>
            <w:tc>
              <w:tcPr>
                <w:tcW w:w="1078" w:type="dxa"/>
                <w:vMerge w:val="continue"/>
                <w:tcBorders>
                  <w:right w:val="single" w:color="auto" w:sz="4" w:space="0"/>
                </w:tcBorders>
              </w:tcPr>
              <w:p>
                <w:pPr>
                  <w:adjustRightInd w:val="0"/>
                  <w:snapToGrid w:val="0"/>
                  <w:jc w:val="center"/>
                  <w:rPr>
                    <w:sz w:val="18"/>
                    <w:szCs w:val="18"/>
                  </w:rPr>
                </w:pPr>
              </w:p>
            </w:tc>
            <w:sdt>
              <w:sdtPr>
                <w:tag w:val="_PLD_f219b4732c3e4bd5a67b8c298432fd3d"/>
                <w:id w:val="1094207200"/>
              </w:sdtPr>
              <w:sdtContent>
                <w:tc>
                  <w:tcPr>
                    <w:tcW w:w="1050"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优先股</w:t>
                    </w:r>
                  </w:p>
                </w:tc>
              </w:sdtContent>
            </w:sdt>
            <w:sdt>
              <w:sdtPr>
                <w:tag w:val="_PLD_9c8ca36c728447658d99fee93d742edf"/>
                <w:id w:val="1173305026"/>
              </w:sdtPr>
              <w:sdtContent>
                <w:tc>
                  <w:tcPr>
                    <w:tcW w:w="1078"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永续债</w:t>
                    </w:r>
                  </w:p>
                </w:tc>
              </w:sdtContent>
            </w:sdt>
            <w:sdt>
              <w:sdtPr>
                <w:tag w:val="_PLD_d053abd77b574111883b8fafe3a173d2"/>
                <w:id w:val="-123923511"/>
              </w:sdtPr>
              <w:sdtContent>
                <w:tc>
                  <w:tcPr>
                    <w:tcW w:w="947" w:type="dxa"/>
                    <w:tcBorders>
                      <w:top w:val="single" w:color="auto" w:sz="4" w:space="0"/>
                      <w:left w:val="single" w:color="auto" w:sz="4" w:space="0"/>
                    </w:tcBorders>
                    <w:vAlign w:val="center"/>
                  </w:tcPr>
                  <w:p>
                    <w:pPr>
                      <w:adjustRightInd w:val="0"/>
                      <w:snapToGrid w:val="0"/>
                      <w:jc w:val="center"/>
                      <w:rPr>
                        <w:sz w:val="18"/>
                        <w:szCs w:val="18"/>
                      </w:rPr>
                    </w:pPr>
                    <w:r>
                      <w:rPr>
                        <w:rFonts w:hint="eastAsia"/>
                        <w:sz w:val="18"/>
                        <w:szCs w:val="18"/>
                      </w:rPr>
                      <w:t>其他</w:t>
                    </w:r>
                  </w:p>
                </w:tc>
              </w:sdtContent>
            </w:sdt>
            <w:tc>
              <w:tcPr>
                <w:tcW w:w="992" w:type="dxa"/>
                <w:vMerge w:val="continue"/>
              </w:tcPr>
              <w:p>
                <w:pPr>
                  <w:adjustRightInd w:val="0"/>
                  <w:snapToGrid w:val="0"/>
                  <w:jc w:val="center"/>
                  <w:rPr>
                    <w:sz w:val="18"/>
                    <w:szCs w:val="18"/>
                  </w:rPr>
                </w:pPr>
              </w:p>
            </w:tc>
            <w:tc>
              <w:tcPr>
                <w:tcW w:w="992" w:type="dxa"/>
                <w:vMerge w:val="continue"/>
              </w:tcPr>
              <w:p>
                <w:pPr>
                  <w:adjustRightInd w:val="0"/>
                  <w:snapToGrid w:val="0"/>
                  <w:jc w:val="center"/>
                  <w:rPr>
                    <w:sz w:val="18"/>
                    <w:szCs w:val="18"/>
                  </w:rPr>
                </w:pPr>
              </w:p>
            </w:tc>
            <w:tc>
              <w:tcPr>
                <w:tcW w:w="1134" w:type="dxa"/>
                <w:vMerge w:val="continue"/>
              </w:tcPr>
              <w:p>
                <w:pPr>
                  <w:jc w:val="center"/>
                  <w:rPr>
                    <w:sz w:val="18"/>
                    <w:szCs w:val="18"/>
                  </w:rPr>
                </w:pPr>
              </w:p>
            </w:tc>
            <w:tc>
              <w:tcPr>
                <w:tcW w:w="992" w:type="dxa"/>
                <w:vMerge w:val="continue"/>
              </w:tcPr>
              <w:p>
                <w:pPr>
                  <w:adjustRightInd w:val="0"/>
                  <w:snapToGrid w:val="0"/>
                  <w:jc w:val="center"/>
                  <w:rPr>
                    <w:sz w:val="18"/>
                    <w:szCs w:val="18"/>
                  </w:rPr>
                </w:pPr>
              </w:p>
            </w:tc>
            <w:tc>
              <w:tcPr>
                <w:tcW w:w="993" w:type="dxa"/>
                <w:vMerge w:val="continue"/>
              </w:tcPr>
              <w:p>
                <w:pPr>
                  <w:adjustRightInd w:val="0"/>
                  <w:snapToGrid w:val="0"/>
                  <w:jc w:val="center"/>
                  <w:rPr>
                    <w:sz w:val="18"/>
                    <w:szCs w:val="18"/>
                  </w:rPr>
                </w:pPr>
              </w:p>
            </w:tc>
            <w:tc>
              <w:tcPr>
                <w:tcW w:w="1134" w:type="dxa"/>
                <w:vMerge w:val="continue"/>
              </w:tcPr>
              <w:p>
                <w:pPr>
                  <w:adjustRightInd w:val="0"/>
                  <w:snapToGrid w:val="0"/>
                  <w:jc w:val="center"/>
                  <w:rPr>
                    <w:sz w:val="18"/>
                    <w:szCs w:val="18"/>
                  </w:rPr>
                </w:pPr>
              </w:p>
            </w:tc>
            <w:tc>
              <w:tcPr>
                <w:tcW w:w="1120" w:type="dxa"/>
                <w:vMerge w:val="continue"/>
              </w:tcPr>
              <w:p>
                <w:pPr>
                  <w:adjustRightInd w:val="0"/>
                  <w:snapToGrid w:val="0"/>
                  <w:jc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b9f68f704bb4acfae62b3d3cbf0d790"/>
                <w:id w:val="1161043375"/>
              </w:sdtPr>
              <w:sdtContent>
                <w:tc>
                  <w:tcPr>
                    <w:tcW w:w="2394" w:type="dxa"/>
                  </w:tcPr>
                  <w:p>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color="auto" w:sz="4" w:space="0"/>
                </w:tcBorders>
                <w:vAlign w:val="center"/>
              </w:tcPr>
              <w:p>
                <w:pPr>
                  <w:jc w:val="right"/>
                  <w:rPr>
                    <w:sz w:val="18"/>
                    <w:szCs w:val="18"/>
                  </w:rPr>
                </w:pPr>
                <w:r>
                  <w:rPr>
                    <w:rFonts w:ascii="宋体" w:hAnsi="宋体"/>
                    <w:spacing w:val="-30"/>
                  </w:rPr>
                  <w:t>4,874,184</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8,118,100</w:t>
                </w:r>
              </w:p>
            </w:tc>
            <w:tc>
              <w:tcPr>
                <w:tcW w:w="947" w:type="dxa"/>
                <w:tcBorders>
                  <w:left w:val="single" w:color="auto" w:sz="4" w:space="0"/>
                  <w:right w:val="single" w:color="auto" w:sz="4" w:space="0"/>
                </w:tcBorders>
                <w:vAlign w:val="center"/>
              </w:tcPr>
              <w:p>
                <w:pPr>
                  <w:jc w:val="right"/>
                  <w:rPr>
                    <w:sz w:val="18"/>
                    <w:szCs w:val="18"/>
                  </w:rPr>
                </w:pPr>
              </w:p>
            </w:tc>
            <w:tc>
              <w:tcPr>
                <w:tcW w:w="992" w:type="dxa"/>
                <w:tcBorders>
                  <w:left w:val="single" w:color="auto" w:sz="4" w:space="0"/>
                </w:tcBorders>
                <w:vAlign w:val="center"/>
              </w:tcPr>
              <w:p>
                <w:pPr>
                  <w:jc w:val="right"/>
                  <w:rPr>
                    <w:sz w:val="18"/>
                    <w:szCs w:val="18"/>
                  </w:rPr>
                </w:pPr>
                <w:r>
                  <w:rPr>
                    <w:rFonts w:ascii="宋体" w:hAnsi="宋体"/>
                    <w:spacing w:val="-30"/>
                  </w:rPr>
                  <w:t>31,720</w:t>
                </w:r>
              </w:p>
            </w:tc>
            <w:tc>
              <w:tcPr>
                <w:tcW w:w="992"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151,802</w:t>
                </w:r>
              </w:p>
            </w:tc>
            <w:tc>
              <w:tcPr>
                <w:tcW w:w="992" w:type="dxa"/>
                <w:vAlign w:val="center"/>
              </w:tcPr>
              <w:p>
                <w:pPr>
                  <w:jc w:val="right"/>
                  <w:rPr>
                    <w:sz w:val="18"/>
                    <w:szCs w:val="18"/>
                  </w:rPr>
                </w:pPr>
                <w:r>
                  <w:rPr>
                    <w:rFonts w:ascii="宋体" w:hAnsi="宋体"/>
                    <w:spacing w:val="-30"/>
                  </w:rPr>
                  <w:t>2,846,444</w:t>
                </w:r>
              </w:p>
            </w:tc>
            <w:tc>
              <w:tcPr>
                <w:tcW w:w="993" w:type="dxa"/>
                <w:vAlign w:val="center"/>
              </w:tcPr>
              <w:p>
                <w:pPr>
                  <w:jc w:val="right"/>
                  <w:rPr>
                    <w:sz w:val="18"/>
                    <w:szCs w:val="18"/>
                  </w:rPr>
                </w:pPr>
                <w:r>
                  <w:rPr>
                    <w:rFonts w:ascii="宋体" w:hAnsi="宋体"/>
                    <w:spacing w:val="-30"/>
                  </w:rPr>
                  <w:t>2,703,146</w:t>
                </w:r>
              </w:p>
            </w:tc>
            <w:tc>
              <w:tcPr>
                <w:tcW w:w="1134" w:type="dxa"/>
                <w:vAlign w:val="center"/>
              </w:tcPr>
              <w:p>
                <w:pPr>
                  <w:jc w:val="right"/>
                  <w:rPr>
                    <w:sz w:val="18"/>
                    <w:szCs w:val="18"/>
                  </w:rPr>
                </w:pPr>
                <w:r>
                  <w:rPr>
                    <w:rFonts w:ascii="宋体" w:hAnsi="宋体"/>
                    <w:spacing w:val="-30"/>
                  </w:rPr>
                  <w:t>37,388,825</w:t>
                </w:r>
              </w:p>
            </w:tc>
            <w:tc>
              <w:tcPr>
                <w:tcW w:w="1120" w:type="dxa"/>
                <w:vAlign w:val="center"/>
              </w:tcPr>
              <w:p>
                <w:pPr>
                  <w:jc w:val="right"/>
                  <w:rPr>
                    <w:sz w:val="18"/>
                    <w:szCs w:val="18"/>
                  </w:rPr>
                </w:pPr>
                <w:r>
                  <w:rPr>
                    <w:rFonts w:ascii="宋体" w:hAnsi="宋体"/>
                    <w:spacing w:val="-30"/>
                  </w:rPr>
                  <w:t>56,114,221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f7c284bf05bc4bb48bad7c818c157aa9"/>
                <w:id w:val="366644284"/>
              </w:sdtPr>
              <w:sdtContent>
                <w:tc>
                  <w:tcPr>
                    <w:tcW w:w="2394" w:type="dxa"/>
                  </w:tcPr>
                  <w:p>
                    <w:pPr>
                      <w:rPr>
                        <w:sz w:val="18"/>
                        <w:szCs w:val="18"/>
                      </w:rPr>
                    </w:pPr>
                    <w:r>
                      <w:rPr>
                        <w:sz w:val="18"/>
                        <w:szCs w:val="18"/>
                      </w:rPr>
                      <w:t>加：会计政策变更</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right w:val="single" w:color="auto" w:sz="4" w:space="0"/>
                </w:tcBorders>
              </w:tcPr>
              <w:p>
                <w:pPr>
                  <w:jc w:val="right"/>
                  <w:rPr>
                    <w:sz w:val="18"/>
                    <w:szCs w:val="18"/>
                  </w:rPr>
                </w:pPr>
              </w:p>
            </w:tc>
            <w:tc>
              <w:tcPr>
                <w:tcW w:w="992" w:type="dxa"/>
                <w:tcBorders>
                  <w:left w:val="single" w:color="auto" w:sz="4" w:space="0"/>
                </w:tcBorders>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b84d86ae618141938210b68f81aeafe0"/>
                <w:id w:val="1323232001"/>
              </w:sdtPr>
              <w:sdtContent>
                <w:tc>
                  <w:tcPr>
                    <w:tcW w:w="2394" w:type="dxa"/>
                  </w:tcPr>
                  <w:p>
                    <w:pPr>
                      <w:ind w:firstLine="420" w:firstLineChars="200"/>
                      <w:rPr>
                        <w:sz w:val="18"/>
                        <w:szCs w:val="18"/>
                      </w:rPr>
                    </w:pPr>
                    <w:r>
                      <w:rPr>
                        <w:sz w:val="18"/>
                        <w:szCs w:val="18"/>
                      </w:rPr>
                      <w:t>前期差错更正</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right w:val="single" w:color="auto" w:sz="4" w:space="0"/>
                </w:tcBorders>
              </w:tcPr>
              <w:p>
                <w:pPr>
                  <w:jc w:val="right"/>
                  <w:rPr>
                    <w:sz w:val="18"/>
                    <w:szCs w:val="18"/>
                  </w:rPr>
                </w:pPr>
              </w:p>
            </w:tc>
            <w:tc>
              <w:tcPr>
                <w:tcW w:w="992" w:type="dxa"/>
                <w:tcBorders>
                  <w:left w:val="single" w:color="auto" w:sz="4" w:space="0"/>
                </w:tcBorders>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ae13695d51ae418dba0671a598b76ffb"/>
                <w:id w:val="-470133907"/>
              </w:sdtPr>
              <w:sdtContent>
                <w:tc>
                  <w:tcPr>
                    <w:tcW w:w="2394" w:type="dxa"/>
                  </w:tcPr>
                  <w:p>
                    <w:pPr>
                      <w:ind w:firstLine="420" w:firstLineChars="200"/>
                      <w:rPr>
                        <w:sz w:val="18"/>
                        <w:szCs w:val="18"/>
                      </w:rPr>
                    </w:pPr>
                    <w:r>
                      <w:rPr>
                        <w:rFonts w:hint="eastAsia"/>
                        <w:sz w:val="18"/>
                        <w:szCs w:val="18"/>
                      </w:rPr>
                      <w:t>其他</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right w:val="single" w:color="auto" w:sz="4" w:space="0"/>
                </w:tcBorders>
              </w:tcPr>
              <w:p>
                <w:pPr>
                  <w:jc w:val="right"/>
                  <w:rPr>
                    <w:sz w:val="18"/>
                    <w:szCs w:val="18"/>
                  </w:rPr>
                </w:pPr>
              </w:p>
            </w:tc>
            <w:tc>
              <w:tcPr>
                <w:tcW w:w="992" w:type="dxa"/>
                <w:tcBorders>
                  <w:left w:val="single" w:color="auto" w:sz="4" w:space="0"/>
                </w:tcBorders>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841ceb909a14a2abffb67eeb3435694"/>
                <w:id w:val="-465736126"/>
              </w:sdtPr>
              <w:sdtContent>
                <w:tc>
                  <w:tcPr>
                    <w:tcW w:w="2394" w:type="dxa"/>
                  </w:tcPr>
                  <w:p>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color="auto" w:sz="4" w:space="0"/>
                </w:tcBorders>
                <w:vAlign w:val="center"/>
              </w:tcPr>
              <w:p>
                <w:pPr>
                  <w:jc w:val="right"/>
                  <w:rPr>
                    <w:sz w:val="18"/>
                    <w:szCs w:val="18"/>
                  </w:rPr>
                </w:pPr>
                <w:r>
                  <w:rPr>
                    <w:rFonts w:ascii="宋体" w:hAnsi="宋体"/>
                    <w:spacing w:val="-30"/>
                  </w:rPr>
                  <w:t>4,874,184</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8,118,100</w:t>
                </w:r>
              </w:p>
            </w:tc>
            <w:tc>
              <w:tcPr>
                <w:tcW w:w="947" w:type="dxa"/>
                <w:tcBorders>
                  <w:left w:val="single" w:color="auto" w:sz="4" w:space="0"/>
                  <w:right w:val="single" w:color="auto" w:sz="4" w:space="0"/>
                </w:tcBorders>
                <w:vAlign w:val="center"/>
              </w:tcPr>
              <w:p>
                <w:pPr>
                  <w:jc w:val="right"/>
                  <w:rPr>
                    <w:sz w:val="18"/>
                    <w:szCs w:val="18"/>
                  </w:rPr>
                </w:pPr>
              </w:p>
            </w:tc>
            <w:tc>
              <w:tcPr>
                <w:tcW w:w="992" w:type="dxa"/>
                <w:tcBorders>
                  <w:left w:val="single" w:color="auto" w:sz="4" w:space="0"/>
                </w:tcBorders>
                <w:vAlign w:val="center"/>
              </w:tcPr>
              <w:p>
                <w:pPr>
                  <w:jc w:val="right"/>
                  <w:rPr>
                    <w:sz w:val="18"/>
                    <w:szCs w:val="18"/>
                  </w:rPr>
                </w:pPr>
                <w:r>
                  <w:rPr>
                    <w:rFonts w:ascii="宋体" w:hAnsi="宋体"/>
                    <w:spacing w:val="-30"/>
                  </w:rPr>
                  <w:t>31,720</w:t>
                </w:r>
              </w:p>
            </w:tc>
            <w:tc>
              <w:tcPr>
                <w:tcW w:w="992"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151,802</w:t>
                </w:r>
              </w:p>
            </w:tc>
            <w:tc>
              <w:tcPr>
                <w:tcW w:w="992" w:type="dxa"/>
                <w:vAlign w:val="center"/>
              </w:tcPr>
              <w:p>
                <w:pPr>
                  <w:jc w:val="right"/>
                  <w:rPr>
                    <w:sz w:val="18"/>
                    <w:szCs w:val="18"/>
                  </w:rPr>
                </w:pPr>
                <w:r>
                  <w:rPr>
                    <w:rFonts w:ascii="宋体" w:hAnsi="宋体"/>
                    <w:spacing w:val="-30"/>
                  </w:rPr>
                  <w:t>2,846,444</w:t>
                </w:r>
              </w:p>
            </w:tc>
            <w:tc>
              <w:tcPr>
                <w:tcW w:w="993" w:type="dxa"/>
                <w:vAlign w:val="center"/>
              </w:tcPr>
              <w:p>
                <w:pPr>
                  <w:jc w:val="right"/>
                  <w:rPr>
                    <w:sz w:val="18"/>
                    <w:szCs w:val="18"/>
                  </w:rPr>
                </w:pPr>
                <w:r>
                  <w:rPr>
                    <w:rFonts w:ascii="宋体" w:hAnsi="宋体"/>
                    <w:spacing w:val="-30"/>
                  </w:rPr>
                  <w:t>2,703,146</w:t>
                </w:r>
              </w:p>
            </w:tc>
            <w:tc>
              <w:tcPr>
                <w:tcW w:w="1134" w:type="dxa"/>
                <w:vAlign w:val="center"/>
              </w:tcPr>
              <w:p>
                <w:pPr>
                  <w:jc w:val="right"/>
                  <w:rPr>
                    <w:sz w:val="18"/>
                    <w:szCs w:val="18"/>
                  </w:rPr>
                </w:pPr>
                <w:r>
                  <w:rPr>
                    <w:rFonts w:ascii="宋体" w:hAnsi="宋体"/>
                    <w:spacing w:val="-30"/>
                  </w:rPr>
                  <w:t>37,388,825</w:t>
                </w:r>
              </w:p>
            </w:tc>
            <w:tc>
              <w:tcPr>
                <w:tcW w:w="1120" w:type="dxa"/>
                <w:vAlign w:val="center"/>
              </w:tcPr>
              <w:p>
                <w:pPr>
                  <w:jc w:val="right"/>
                  <w:rPr>
                    <w:sz w:val="18"/>
                    <w:szCs w:val="18"/>
                  </w:rPr>
                </w:pPr>
                <w:r>
                  <w:rPr>
                    <w:rFonts w:ascii="宋体" w:hAnsi="宋体"/>
                    <w:spacing w:val="-30"/>
                  </w:rPr>
                  <w:t>56,114,221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302909e63784410386a25e7b0c2339c7"/>
                <w:id w:val="767811895"/>
              </w:sdtPr>
              <w:sdtContent>
                <w:tc>
                  <w:tcPr>
                    <w:tcW w:w="2394" w:type="dxa"/>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color="auto" w:sz="4" w:space="0"/>
                </w:tcBorders>
                <w:vAlign w:val="center"/>
              </w:tcPr>
              <w:p>
                <w:pPr>
                  <w:jc w:val="right"/>
                  <w:rPr>
                    <w:sz w:val="18"/>
                    <w:szCs w:val="18"/>
                  </w:rPr>
                </w:pPr>
                <w:r>
                  <w:rPr>
                    <w:rFonts w:ascii="宋体" w:hAnsi="宋体"/>
                    <w:spacing w:val="-30"/>
                  </w:rPr>
                  <w:t>74,520</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5,130,514</w:t>
                </w: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709,840</w:t>
                </w:r>
              </w:p>
            </w:tc>
            <w:tc>
              <w:tcPr>
                <w:tcW w:w="992" w:type="dxa"/>
                <w:vAlign w:val="center"/>
              </w:tcPr>
              <w:p>
                <w:pPr>
                  <w:jc w:val="right"/>
                  <w:rPr>
                    <w:sz w:val="18"/>
                    <w:szCs w:val="18"/>
                  </w:rPr>
                </w:pPr>
                <w:r>
                  <w:rPr>
                    <w:rFonts w:ascii="宋体" w:hAnsi="宋体"/>
                    <w:spacing w:val="-30"/>
                  </w:rPr>
                  <w:t>723,593</w:t>
                </w:r>
              </w:p>
            </w:tc>
            <w:tc>
              <w:tcPr>
                <w:tcW w:w="1134" w:type="dxa"/>
                <w:vAlign w:val="center"/>
              </w:tcPr>
              <w:p>
                <w:pPr>
                  <w:jc w:val="right"/>
                  <w:rPr>
                    <w:sz w:val="18"/>
                    <w:szCs w:val="18"/>
                  </w:rPr>
                </w:pPr>
                <w:r>
                  <w:rPr>
                    <w:rFonts w:ascii="宋体" w:hAnsi="宋体"/>
                    <w:spacing w:val="-30"/>
                  </w:rPr>
                  <w:t>35,666</w:t>
                </w:r>
              </w:p>
            </w:tc>
            <w:tc>
              <w:tcPr>
                <w:tcW w:w="992" w:type="dxa"/>
                <w:vAlign w:val="center"/>
              </w:tcPr>
              <w:p>
                <w:pPr>
                  <w:jc w:val="right"/>
                  <w:rPr>
                    <w:sz w:val="18"/>
                    <w:szCs w:val="18"/>
                  </w:rPr>
                </w:pPr>
                <w:r>
                  <w:rPr>
                    <w:rFonts w:ascii="宋体" w:hAnsi="宋体"/>
                    <w:spacing w:val="-30"/>
                  </w:rPr>
                  <w:t>-617,095</w:t>
                </w:r>
              </w:p>
            </w:tc>
            <w:tc>
              <w:tcPr>
                <w:tcW w:w="993"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4,404,539</w:t>
                </w:r>
              </w:p>
            </w:tc>
            <w:tc>
              <w:tcPr>
                <w:tcW w:w="1120" w:type="dxa"/>
                <w:vAlign w:val="center"/>
              </w:tcPr>
              <w:p>
                <w:pPr>
                  <w:jc w:val="right"/>
                  <w:rPr>
                    <w:sz w:val="18"/>
                    <w:szCs w:val="18"/>
                  </w:rPr>
                </w:pPr>
                <w:r>
                  <w:rPr>
                    <w:rFonts w:ascii="宋体" w:hAnsi="宋体"/>
                    <w:spacing w:val="-30"/>
                  </w:rPr>
                  <w:t>9,014,391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65b6c314fb34fb6b0c677b992754d48"/>
                <w:id w:val="1628043176"/>
              </w:sdtPr>
              <w:sdtContent>
                <w:tc>
                  <w:tcPr>
                    <w:tcW w:w="2394" w:type="dxa"/>
                  </w:tcPr>
                  <w:p>
                    <w:pPr>
                      <w:rPr>
                        <w:sz w:val="18"/>
                        <w:szCs w:val="18"/>
                      </w:rPr>
                    </w:pPr>
                    <w:r>
                      <w:rPr>
                        <w:rFonts w:hint="eastAsia"/>
                        <w:sz w:val="18"/>
                        <w:szCs w:val="18"/>
                      </w:rPr>
                      <w:t>（一）综合收益总额</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461,944</w:t>
                </w: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35,666</w:t>
                </w: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14,278,996</w:t>
                </w:r>
              </w:p>
            </w:tc>
            <w:tc>
              <w:tcPr>
                <w:tcW w:w="1120" w:type="dxa"/>
                <w:vAlign w:val="center"/>
              </w:tcPr>
              <w:p>
                <w:pPr>
                  <w:jc w:val="right"/>
                  <w:rPr>
                    <w:sz w:val="18"/>
                    <w:szCs w:val="18"/>
                  </w:rPr>
                </w:pPr>
                <w:r>
                  <w:rPr>
                    <w:rFonts w:ascii="宋体" w:hAnsi="宋体"/>
                    <w:spacing w:val="-30"/>
                  </w:rPr>
                  <w:t>14,776,606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4f759bcfeb8744e79a2c846685bf5bf7"/>
                <w:id w:val="1445345081"/>
              </w:sdtPr>
              <w:sdtContent>
                <w:tc>
                  <w:tcPr>
                    <w:tcW w:w="2394" w:type="dxa"/>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color="auto" w:sz="4" w:space="0"/>
                </w:tcBorders>
                <w:vAlign w:val="center"/>
              </w:tcPr>
              <w:p>
                <w:pPr>
                  <w:jc w:val="right"/>
                  <w:rPr>
                    <w:sz w:val="18"/>
                    <w:szCs w:val="18"/>
                  </w:rPr>
                </w:pPr>
                <w:r>
                  <w:rPr>
                    <w:rFonts w:ascii="宋体" w:hAnsi="宋体"/>
                    <w:spacing w:val="-30"/>
                  </w:rPr>
                  <w:t>74,520</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4,990,400</w:t>
                </w: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839,695</w:t>
                </w:r>
              </w:p>
            </w:tc>
            <w:tc>
              <w:tcPr>
                <w:tcW w:w="992" w:type="dxa"/>
                <w:vAlign w:val="center"/>
              </w:tcPr>
              <w:p>
                <w:pPr>
                  <w:jc w:val="right"/>
                  <w:rPr>
                    <w:sz w:val="18"/>
                    <w:szCs w:val="18"/>
                  </w:rPr>
                </w:pPr>
                <w:r>
                  <w:rPr>
                    <w:rFonts w:ascii="宋体" w:hAnsi="宋体"/>
                    <w:spacing w:val="-30"/>
                  </w:rPr>
                  <w:t>723,593</w:t>
                </w: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20" w:type="dxa"/>
                <w:vAlign w:val="center"/>
              </w:tcPr>
              <w:p>
                <w:pPr>
                  <w:jc w:val="right"/>
                  <w:rPr>
                    <w:sz w:val="18"/>
                    <w:szCs w:val="18"/>
                  </w:rPr>
                </w:pPr>
                <w:r>
                  <w:rPr>
                    <w:rFonts w:ascii="宋体" w:hAnsi="宋体"/>
                    <w:spacing w:val="-30"/>
                  </w:rPr>
                  <w:t>5,181,022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2ca71442ff4441faa275f28e1236357f"/>
                <w:id w:val="-871308212"/>
              </w:sdtPr>
              <w:sdtContent>
                <w:tc>
                  <w:tcPr>
                    <w:tcW w:w="2394" w:type="dxa"/>
                  </w:tcPr>
                  <w:p>
                    <w:pPr>
                      <w:rPr>
                        <w:sz w:val="18"/>
                        <w:szCs w:val="18"/>
                      </w:rPr>
                    </w:pPr>
                    <w:r>
                      <w:rPr>
                        <w:rFonts w:hint="eastAsia"/>
                        <w:sz w:val="18"/>
                        <w:szCs w:val="18"/>
                      </w:rPr>
                      <w:t>1．所有者投入的普通股</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c9217abeeb6e46ac8415ee33ff13a461"/>
                <w:id w:val="-1416705505"/>
              </w:sdtPr>
              <w:sdtContent>
                <w:tc>
                  <w:tcPr>
                    <w:tcW w:w="2394" w:type="dxa"/>
                  </w:tcPr>
                  <w:p>
                    <w:pPr>
                      <w:rPr>
                        <w:sz w:val="18"/>
                        <w:szCs w:val="18"/>
                      </w:rPr>
                    </w:pPr>
                    <w:r>
                      <w:rPr>
                        <w:rFonts w:hint="eastAsia"/>
                        <w:sz w:val="18"/>
                        <w:szCs w:val="18"/>
                      </w:rPr>
                      <w:t>2．其他权益工具持有者投入资本</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4,990,400</w:t>
                </w: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20" w:type="dxa"/>
                <w:vAlign w:val="center"/>
              </w:tcPr>
              <w:p>
                <w:pPr>
                  <w:jc w:val="right"/>
                  <w:rPr>
                    <w:sz w:val="18"/>
                    <w:szCs w:val="18"/>
                  </w:rPr>
                </w:pPr>
                <w:r>
                  <w:rPr>
                    <w:rFonts w:ascii="宋体" w:hAnsi="宋体"/>
                    <w:spacing w:val="-30"/>
                  </w:rPr>
                  <w:t>4,990,400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b62e12f39a04fa3a5e1647793ab3e5e"/>
                <w:id w:val="1656180613"/>
              </w:sdtPr>
              <w:sdtContent>
                <w:tc>
                  <w:tcPr>
                    <w:tcW w:w="2394" w:type="dxa"/>
                  </w:tcPr>
                  <w:p>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color="auto" w:sz="4" w:space="0"/>
                </w:tcBorders>
                <w:vAlign w:val="center"/>
              </w:tcPr>
              <w:p>
                <w:pPr>
                  <w:jc w:val="right"/>
                  <w:rPr>
                    <w:sz w:val="18"/>
                    <w:szCs w:val="18"/>
                  </w:rPr>
                </w:pPr>
                <w:r>
                  <w:rPr>
                    <w:rFonts w:ascii="宋体" w:hAnsi="宋体"/>
                    <w:spacing w:val="-30"/>
                  </w:rPr>
                  <w:t>74,520</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1,001,476</w:t>
                </w:r>
              </w:p>
            </w:tc>
            <w:tc>
              <w:tcPr>
                <w:tcW w:w="992" w:type="dxa"/>
                <w:vAlign w:val="center"/>
              </w:tcPr>
              <w:p>
                <w:pPr>
                  <w:jc w:val="right"/>
                  <w:rPr>
                    <w:sz w:val="18"/>
                    <w:szCs w:val="18"/>
                  </w:rPr>
                </w:pPr>
                <w:r>
                  <w:rPr>
                    <w:rFonts w:ascii="宋体" w:hAnsi="宋体"/>
                    <w:spacing w:val="-30"/>
                  </w:rPr>
                  <w:t>723,593</w:t>
                </w: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20" w:type="dxa"/>
                <w:vAlign w:val="center"/>
              </w:tcPr>
              <w:p>
                <w:pPr>
                  <w:jc w:val="right"/>
                  <w:rPr>
                    <w:sz w:val="18"/>
                    <w:szCs w:val="18"/>
                  </w:rPr>
                </w:pPr>
                <w:r>
                  <w:rPr>
                    <w:rFonts w:ascii="宋体" w:hAnsi="宋体"/>
                    <w:spacing w:val="-30"/>
                  </w:rPr>
                  <w:t>352,403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2fbc8165e276473dbc9d64ff8077b0fc"/>
                <w:id w:val="-258377524"/>
              </w:sdtPr>
              <w:sdtContent>
                <w:tc>
                  <w:tcPr>
                    <w:tcW w:w="2394" w:type="dxa"/>
                  </w:tcPr>
                  <w:p>
                    <w:pPr>
                      <w:rPr>
                        <w:sz w:val="18"/>
                        <w:szCs w:val="18"/>
                      </w:rPr>
                    </w:pPr>
                    <w:r>
                      <w:rPr>
                        <w:rFonts w:hint="eastAsia"/>
                        <w:sz w:val="18"/>
                        <w:szCs w:val="18"/>
                      </w:rPr>
                      <w:t>4．同一控制下企业合并</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-161,781</w:t>
                </w: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20" w:type="dxa"/>
                <w:vAlign w:val="center"/>
              </w:tcPr>
              <w:p>
                <w:pPr>
                  <w:jc w:val="right"/>
                  <w:rPr>
                    <w:sz w:val="18"/>
                    <w:szCs w:val="18"/>
                  </w:rPr>
                </w:pPr>
                <w:r>
                  <w:rPr>
                    <w:rFonts w:ascii="宋体" w:hAnsi="宋体"/>
                    <w:spacing w:val="-30"/>
                  </w:rPr>
                  <w:t>-161,781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09a354c759244b168ea7e28904658be8"/>
                <w:id w:val="1961761808"/>
              </w:sdtPr>
              <w:sdtContent>
                <w:tc>
                  <w:tcPr>
                    <w:tcW w:w="2394" w:type="dxa"/>
                  </w:tcPr>
                  <w:p>
                    <w:pPr>
                      <w:rPr>
                        <w:sz w:val="18"/>
                        <w:szCs w:val="18"/>
                      </w:rPr>
                    </w:pPr>
                    <w:r>
                      <w:rPr>
                        <w:sz w:val="18"/>
                        <w:szCs w:val="18"/>
                      </w:rPr>
                      <w:t>5．其他</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806901fee79c40f688fa2f02ab1d596d"/>
                <w:id w:val="-626089129"/>
              </w:sdtPr>
              <w:sdtContent>
                <w:tc>
                  <w:tcPr>
                    <w:tcW w:w="2394" w:type="dxa"/>
                  </w:tcPr>
                  <w:p>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-321,830</w:t>
                </w: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-9,897,407</w:t>
                </w:r>
              </w:p>
            </w:tc>
            <w:tc>
              <w:tcPr>
                <w:tcW w:w="1120" w:type="dxa"/>
                <w:vAlign w:val="center"/>
              </w:tcPr>
              <w:p>
                <w:pPr>
                  <w:jc w:val="right"/>
                  <w:rPr>
                    <w:sz w:val="18"/>
                    <w:szCs w:val="18"/>
                  </w:rPr>
                </w:pPr>
                <w:r>
                  <w:rPr>
                    <w:rFonts w:ascii="宋体" w:hAnsi="宋体"/>
                    <w:spacing w:val="-30"/>
                  </w:rPr>
                  <w:t>-10,219,237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936c2d33e22476597644c98158847c6"/>
                <w:id w:val="-1503272325"/>
              </w:sdtPr>
              <w:sdtContent>
                <w:tc>
                  <w:tcPr>
                    <w:tcW w:w="2394" w:type="dxa"/>
                  </w:tcPr>
                  <w:p>
                    <w:pPr>
                      <w:rPr>
                        <w:sz w:val="18"/>
                        <w:szCs w:val="18"/>
                      </w:rPr>
                    </w:pPr>
                    <w:r>
                      <w:rPr>
                        <w:sz w:val="18"/>
                        <w:szCs w:val="18"/>
                      </w:rPr>
                      <w:t>1．提取盈余公积</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20" w:type="dxa"/>
                <w:vAlign w:val="center"/>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210044b047ac492dbe47ba7aedd16fad"/>
                <w:id w:val="-71277229"/>
              </w:sdtPr>
              <w:sdtContent>
                <w:tc>
                  <w:tcPr>
                    <w:tcW w:w="2394" w:type="dxa"/>
                  </w:tcPr>
                  <w:p>
                    <w:pPr>
                      <w:rPr>
                        <w:sz w:val="18"/>
                        <w:szCs w:val="18"/>
                      </w:rPr>
                    </w:pPr>
                    <w:r>
                      <w:rPr>
                        <w:rFonts w:hint="eastAsia"/>
                        <w:sz w:val="18"/>
                        <w:szCs w:val="18"/>
                      </w:rPr>
                      <w:t>2</w:t>
                    </w:r>
                    <w:r>
                      <w:rPr>
                        <w:sz w:val="18"/>
                        <w:szCs w:val="18"/>
                      </w:rPr>
                      <w:t>．对所有者（或股东）的分配</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-9,897,407</w:t>
                </w:r>
              </w:p>
            </w:tc>
            <w:tc>
              <w:tcPr>
                <w:tcW w:w="1120" w:type="dxa"/>
                <w:vAlign w:val="center"/>
              </w:tcPr>
              <w:p>
                <w:pPr>
                  <w:jc w:val="right"/>
                  <w:rPr>
                    <w:sz w:val="18"/>
                    <w:szCs w:val="18"/>
                  </w:rPr>
                </w:pPr>
                <w:r>
                  <w:rPr>
                    <w:rFonts w:ascii="宋体" w:hAnsi="宋体"/>
                    <w:spacing w:val="-30"/>
                  </w:rPr>
                  <w:t>-9,897,407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3795f98d1e0f49018a0a394cddd59163"/>
                <w:id w:val="1777126035"/>
              </w:sdtPr>
              <w:sdtContent>
                <w:tc>
                  <w:tcPr>
                    <w:tcW w:w="2394" w:type="dxa"/>
                  </w:tcPr>
                  <w:p>
                    <w:pPr>
                      <w:rPr>
                        <w:sz w:val="18"/>
                        <w:szCs w:val="18"/>
                      </w:rPr>
                    </w:pPr>
                    <w:r>
                      <w:rPr>
                        <w:rFonts w:hint="eastAsia"/>
                        <w:sz w:val="18"/>
                        <w:szCs w:val="18"/>
                      </w:rPr>
                      <w:t>3．对其他权益工具持有者的分配</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-321,830</w:t>
                </w: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p>
            </w:tc>
            <w:tc>
              <w:tcPr>
                <w:tcW w:w="993" w:type="dxa"/>
                <w:vAlign w:val="center"/>
              </w:tcPr>
              <w:p>
                <w:pPr>
                  <w:jc w:val="right"/>
                  <w:rPr>
                    <w:sz w:val="18"/>
                    <w:szCs w:val="18"/>
                  </w:rPr>
                </w:pPr>
              </w:p>
            </w:tc>
            <w:tc>
              <w:tcPr>
                <w:tcW w:w="1134" w:type="dxa"/>
                <w:vAlign w:val="center"/>
              </w:tcPr>
              <w:p>
                <w:pPr>
                  <w:jc w:val="right"/>
                  <w:rPr>
                    <w:sz w:val="18"/>
                    <w:szCs w:val="18"/>
                  </w:rPr>
                </w:pPr>
              </w:p>
            </w:tc>
            <w:tc>
              <w:tcPr>
                <w:tcW w:w="1120" w:type="dxa"/>
                <w:vAlign w:val="center"/>
              </w:tcPr>
              <w:p>
                <w:pPr>
                  <w:jc w:val="right"/>
                  <w:rPr>
                    <w:sz w:val="18"/>
                    <w:szCs w:val="18"/>
                  </w:rPr>
                </w:pPr>
                <w:r>
                  <w:rPr>
                    <w:rFonts w:ascii="宋体" w:hAnsi="宋体"/>
                    <w:spacing w:val="-30"/>
                  </w:rPr>
                  <w:t>-321,830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65affb7384874e8facf889d04ab4dd24"/>
                <w:id w:val="-720590503"/>
              </w:sdtPr>
              <w:sdtContent>
                <w:tc>
                  <w:tcPr>
                    <w:tcW w:w="2394" w:type="dxa"/>
                  </w:tcPr>
                  <w:p>
                    <w:pPr>
                      <w:rPr>
                        <w:sz w:val="18"/>
                        <w:szCs w:val="18"/>
                      </w:rPr>
                    </w:pPr>
                    <w:r>
                      <w:rPr>
                        <w:sz w:val="18"/>
                        <w:szCs w:val="18"/>
                      </w:rPr>
                      <w:t>4．其他</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sdt>
              <w:sdtPr>
                <w:tag w:val="_PLD_ed39015638e6485d9ecad98bd3aaac6b"/>
                <w:id w:val="311450675"/>
              </w:sdtPr>
              <w:sdtContent>
                <w:tc>
                  <w:tcPr>
                    <w:tcW w:w="2394" w:type="dxa"/>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16ddc46b3a95453788bdcaaebfae99fa"/>
                <w:id w:val="1963075951"/>
              </w:sdtPr>
              <w:sdtContent>
                <w:tc>
                  <w:tcPr>
                    <w:tcW w:w="2394" w:type="dxa"/>
                  </w:tcPr>
                  <w:p>
                    <w:pPr>
                      <w:rPr>
                        <w:sz w:val="18"/>
                        <w:szCs w:val="18"/>
                      </w:rPr>
                    </w:pPr>
                    <w:r>
                      <w:rPr>
                        <w:sz w:val="18"/>
                        <w:szCs w:val="18"/>
                      </w:rPr>
                      <w:t>1．资本公积转增资本（或股本）</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f2b4bbca85e4693b990e3e25811eeab"/>
                <w:id w:val="-607591856"/>
              </w:sdtPr>
              <w:sdtContent>
                <w:tc>
                  <w:tcPr>
                    <w:tcW w:w="2394" w:type="dxa"/>
                  </w:tcPr>
                  <w:p>
                    <w:pPr>
                      <w:rPr>
                        <w:sz w:val="18"/>
                        <w:szCs w:val="18"/>
                      </w:rPr>
                    </w:pPr>
                    <w:r>
                      <w:rPr>
                        <w:sz w:val="18"/>
                        <w:szCs w:val="18"/>
                      </w:rPr>
                      <w:t>2．盈余公积转增资本（或股本）</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15d6c710562e41cc9b0f916bb42a3ecd"/>
                <w:id w:val="-2117749444"/>
              </w:sdtPr>
              <w:sdtContent>
                <w:tc>
                  <w:tcPr>
                    <w:tcW w:w="2394" w:type="dxa"/>
                  </w:tcPr>
                  <w:p>
                    <w:pPr>
                      <w:rPr>
                        <w:sz w:val="18"/>
                        <w:szCs w:val="18"/>
                      </w:rPr>
                    </w:pPr>
                    <w:r>
                      <w:rPr>
                        <w:sz w:val="18"/>
                        <w:szCs w:val="18"/>
                      </w:rPr>
                      <w:t>3．盈余公积弥补亏损</w:t>
                    </w:r>
                  </w:p>
                </w:tc>
              </w:sdtContent>
            </w:sdt>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CellMar>
                <w:top w:w="0" w:type="dxa"/>
                <w:left w:w="108" w:type="dxa"/>
                <w:bottom w:w="0" w:type="dxa"/>
                <w:right w:w="108" w:type="dxa"/>
              </w:tblCellMar>
            </w:tblPrEx>
            <w:trPr>
              <w:trHeight w:val="20" w:hRule="atLeast"/>
            </w:trPr>
            <w:tc>
              <w:tcPr>
                <w:tcW w:w="2394" w:type="dxa"/>
              </w:tcPr>
              <w:sdt>
                <w:sdtPr>
                  <w:rPr>
                    <w:sz w:val="18"/>
                    <w:szCs w:val="18"/>
                  </w:rPr>
                  <w:tag w:val="_PLD_f4cb17050ad540c1b6765bbc5ef1d185"/>
                  <w:id w:val="432945102"/>
                </w:sdtPr>
                <w:sdtEndPr>
                  <w:rPr>
                    <w:sz w:val="18"/>
                    <w:szCs w:val="18"/>
                  </w:rPr>
                </w:sdtEndPr>
                <w:sdtContent>
                  <w:p>
                    <w:pPr>
                      <w:pStyle w:val="501"/>
                    </w:pPr>
                    <w:r>
                      <w:rPr>
                        <w:sz w:val="18"/>
                        <w:szCs w:val="18"/>
                      </w:rPr>
                      <w:t>4．设定受益计划变动额结转留存收益</w:t>
                    </w:r>
                  </w:p>
                </w:sdtContent>
              </w:sdt>
            </w:tc>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0" w:hRule="atLeast"/>
            </w:trPr>
            <w:tc>
              <w:tcPr>
                <w:tcW w:w="2394" w:type="dxa"/>
              </w:tcPr>
              <w:sdt>
                <w:sdtPr>
                  <w:rPr>
                    <w:sz w:val="18"/>
                    <w:szCs w:val="18"/>
                  </w:rPr>
                  <w:tag w:val="_PLD_d570b02e3d674dc1a938a4710387119c"/>
                  <w:id w:val="684481698"/>
                </w:sdtPr>
                <w:sdtEndPr>
                  <w:rPr>
                    <w:sz w:val="18"/>
                    <w:szCs w:val="18"/>
                  </w:rPr>
                </w:sdtEndPr>
                <w:sdtContent>
                  <w:p>
                    <w:pPr>
                      <w:rPr>
                        <w:sz w:val="18"/>
                        <w:szCs w:val="18"/>
                      </w:rPr>
                    </w:pPr>
                    <w:r>
                      <w:rPr>
                        <w:sz w:val="18"/>
                        <w:szCs w:val="18"/>
                      </w:rPr>
                      <w:t>5</w:t>
                    </w:r>
                    <w:r>
                      <w:rPr>
                        <w:rFonts w:hint="eastAsia"/>
                        <w:sz w:val="18"/>
                        <w:szCs w:val="18"/>
                      </w:rPr>
                      <w:t>．</w:t>
                    </w:r>
                    <w:r>
                      <w:rPr>
                        <w:sz w:val="18"/>
                        <w:szCs w:val="18"/>
                      </w:rPr>
                      <w:t>其他综合收益结转留存收益</w:t>
                    </w:r>
                  </w:p>
                </w:sdtContent>
              </w:sdt>
            </w:tc>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tcPr>
              <w:sdt>
                <w:sdtPr>
                  <w:rPr>
                    <w:sz w:val="18"/>
                    <w:szCs w:val="18"/>
                  </w:rPr>
                  <w:tag w:val="_PLD_a5cd874c23c44b928dffd9bc4a74c38d"/>
                  <w:id w:val="374434678"/>
                </w:sdtPr>
                <w:sdtEndPr>
                  <w:rPr>
                    <w:sz w:val="18"/>
                    <w:szCs w:val="18"/>
                  </w:rPr>
                </w:sdtEndPr>
                <w:sdtContent>
                  <w:p>
                    <w:pPr>
                      <w:pStyle w:val="501"/>
                    </w:pPr>
                    <w:r>
                      <w:rPr>
                        <w:sz w:val="18"/>
                        <w:szCs w:val="18"/>
                      </w:rPr>
                      <w:t>6</w:t>
                    </w:r>
                    <w:r>
                      <w:rPr>
                        <w:rFonts w:hint="eastAsia"/>
                        <w:sz w:val="18"/>
                        <w:szCs w:val="18"/>
                      </w:rPr>
                      <w:t>．其他</w:t>
                    </w:r>
                  </w:p>
                </w:sdtContent>
              </w:sdt>
            </w:tc>
            <w:tc>
              <w:tcPr>
                <w:tcW w:w="1078" w:type="dxa"/>
                <w:tcBorders>
                  <w:right w:val="single" w:color="auto" w:sz="4" w:space="0"/>
                </w:tcBorders>
              </w:tcPr>
              <w:p>
                <w:pPr>
                  <w:jc w:val="right"/>
                  <w:rPr>
                    <w:sz w:val="18"/>
                    <w:szCs w:val="18"/>
                  </w:rPr>
                </w:pPr>
              </w:p>
            </w:tc>
            <w:tc>
              <w:tcPr>
                <w:tcW w:w="1050" w:type="dxa"/>
                <w:tcBorders>
                  <w:left w:val="single" w:color="auto" w:sz="4" w:space="0"/>
                  <w:right w:val="single" w:color="auto" w:sz="4" w:space="0"/>
                </w:tcBorders>
              </w:tcPr>
              <w:p>
                <w:pPr>
                  <w:jc w:val="right"/>
                  <w:rPr>
                    <w:sz w:val="18"/>
                    <w:szCs w:val="18"/>
                  </w:rPr>
                </w:pPr>
              </w:p>
            </w:tc>
            <w:tc>
              <w:tcPr>
                <w:tcW w:w="1078" w:type="dxa"/>
                <w:tcBorders>
                  <w:left w:val="single" w:color="auto" w:sz="4" w:space="0"/>
                  <w:right w:val="single" w:color="auto" w:sz="4" w:space="0"/>
                </w:tcBorders>
              </w:tcPr>
              <w:p>
                <w:pPr>
                  <w:jc w:val="right"/>
                  <w:rPr>
                    <w:sz w:val="18"/>
                    <w:szCs w:val="18"/>
                  </w:rPr>
                </w:pPr>
              </w:p>
            </w:tc>
            <w:tc>
              <w:tcPr>
                <w:tcW w:w="947" w:type="dxa"/>
                <w:tcBorders>
                  <w:left w:val="single" w:color="auto" w:sz="4" w:space="0"/>
                </w:tcBorders>
              </w:tcPr>
              <w:p>
                <w:pPr>
                  <w:jc w:val="right"/>
                  <w:rPr>
                    <w:sz w:val="18"/>
                    <w:szCs w:val="18"/>
                  </w:rPr>
                </w:pPr>
              </w:p>
            </w:tc>
            <w:tc>
              <w:tcPr>
                <w:tcW w:w="992" w:type="dxa"/>
              </w:tcPr>
              <w:p>
                <w:pPr>
                  <w:jc w:val="right"/>
                  <w:rPr>
                    <w:sz w:val="18"/>
                    <w:szCs w:val="18"/>
                  </w:rPr>
                </w:pPr>
              </w:p>
            </w:tc>
            <w:tc>
              <w:tcPr>
                <w:tcW w:w="992" w:type="dxa"/>
              </w:tcPr>
              <w:p>
                <w:pPr>
                  <w:jc w:val="right"/>
                  <w:rPr>
                    <w:sz w:val="18"/>
                    <w:szCs w:val="18"/>
                  </w:rPr>
                </w:pPr>
              </w:p>
            </w:tc>
            <w:tc>
              <w:tcPr>
                <w:tcW w:w="1134" w:type="dxa"/>
              </w:tcPr>
              <w:p>
                <w:pPr>
                  <w:jc w:val="right"/>
                  <w:rPr>
                    <w:sz w:val="18"/>
                    <w:szCs w:val="18"/>
                  </w:rPr>
                </w:pPr>
              </w:p>
            </w:tc>
            <w:tc>
              <w:tcPr>
                <w:tcW w:w="992" w:type="dxa"/>
              </w:tcPr>
              <w:p>
                <w:pPr>
                  <w:jc w:val="right"/>
                  <w:rPr>
                    <w:sz w:val="18"/>
                    <w:szCs w:val="18"/>
                  </w:rPr>
                </w:pPr>
              </w:p>
            </w:tc>
            <w:tc>
              <w:tcPr>
                <w:tcW w:w="993" w:type="dxa"/>
              </w:tcPr>
              <w:p>
                <w:pPr>
                  <w:jc w:val="right"/>
                  <w:rPr>
                    <w:sz w:val="18"/>
                    <w:szCs w:val="18"/>
                  </w:rPr>
                </w:pPr>
              </w:p>
            </w:tc>
            <w:tc>
              <w:tcPr>
                <w:tcW w:w="1134" w:type="dxa"/>
              </w:tcPr>
              <w:p>
                <w:pPr>
                  <w:jc w:val="right"/>
                  <w:rPr>
                    <w:sz w:val="18"/>
                    <w:szCs w:val="18"/>
                  </w:rPr>
                </w:pPr>
              </w:p>
            </w:tc>
            <w:tc>
              <w:tcPr>
                <w:tcW w:w="1120" w:type="dxa"/>
              </w:tcPr>
              <w:p>
                <w:pPr>
                  <w:jc w:val="right"/>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b6b13ecec0044452bf1609cb679a8ac5"/>
                <w:id w:val="-624081716"/>
              </w:sdtPr>
              <w:sdtContent>
                <w:tc>
                  <w:tcPr>
                    <w:tcW w:w="2394" w:type="dxa"/>
                    <w:vAlign w:val="center"/>
                  </w:tcPr>
                  <w:p>
                    <w:pPr>
                      <w:rPr>
                        <w:sz w:val="18"/>
                        <w:szCs w:val="18"/>
                      </w:rPr>
                    </w:pPr>
                    <w:r>
                      <w:rPr>
                        <w:rFonts w:hint="eastAsia"/>
                        <w:sz w:val="18"/>
                        <w:szCs w:val="18"/>
                      </w:rPr>
                      <w:t>（五）专项储备</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r>
                  <w:rPr>
                    <w:rFonts w:ascii="宋体" w:hAnsi="宋体"/>
                    <w:spacing w:val="-30"/>
                  </w:rPr>
                  <w:t>-594,145</w:t>
                </w:r>
              </w:p>
            </w:tc>
            <w:tc>
              <w:tcPr>
                <w:tcW w:w="993" w:type="dxa"/>
                <w:vAlign w:val="center"/>
              </w:tcPr>
              <w:p>
                <w:pPr>
                  <w:jc w:val="right"/>
                  <w:rPr>
                    <w:sz w:val="18"/>
                    <w:szCs w:val="18"/>
                  </w:rPr>
                </w:pPr>
              </w:p>
            </w:tc>
            <w:tc>
              <w:tcPr>
                <w:tcW w:w="1134" w:type="dxa"/>
                <w:vAlign w:val="center"/>
              </w:tcPr>
              <w:p>
                <w:pPr>
                  <w:jc w:val="right"/>
                  <w:rPr>
                    <w:sz w:val="18"/>
                    <w:szCs w:val="18"/>
                  </w:rPr>
                </w:pPr>
              </w:p>
            </w:tc>
            <w:tc>
              <w:tcPr>
                <w:tcW w:w="1120" w:type="dxa"/>
                <w:vAlign w:val="center"/>
              </w:tcPr>
              <w:p>
                <w:pPr>
                  <w:jc w:val="right"/>
                  <w:rPr>
                    <w:sz w:val="18"/>
                    <w:szCs w:val="18"/>
                  </w:rPr>
                </w:pPr>
                <w:r>
                  <w:rPr>
                    <w:rFonts w:ascii="宋体" w:hAnsi="宋体"/>
                    <w:spacing w:val="-30"/>
                  </w:rPr>
                  <w:t>-594,145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cbede54ab9934d5ea45cda3f59593c28"/>
                <w:id w:val="-1629696499"/>
              </w:sdtPr>
              <w:sdtContent>
                <w:tc>
                  <w:tcPr>
                    <w:tcW w:w="2394" w:type="dxa"/>
                    <w:vAlign w:val="center"/>
                  </w:tcPr>
                  <w:p>
                    <w:pPr>
                      <w:rPr>
                        <w:sz w:val="18"/>
                        <w:szCs w:val="18"/>
                      </w:rPr>
                    </w:pPr>
                    <w:r>
                      <w:rPr>
                        <w:rFonts w:hint="eastAsia"/>
                        <w:sz w:val="18"/>
                        <w:szCs w:val="18"/>
                      </w:rPr>
                      <w:t>1．本期提取</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r>
                  <w:rPr>
                    <w:rFonts w:ascii="宋体" w:hAnsi="宋体"/>
                    <w:spacing w:val="-30"/>
                  </w:rPr>
                  <w:t>993,590</w:t>
                </w:r>
              </w:p>
            </w:tc>
            <w:tc>
              <w:tcPr>
                <w:tcW w:w="993" w:type="dxa"/>
                <w:vAlign w:val="center"/>
              </w:tcPr>
              <w:p>
                <w:pPr>
                  <w:jc w:val="right"/>
                  <w:rPr>
                    <w:sz w:val="18"/>
                    <w:szCs w:val="18"/>
                  </w:rPr>
                </w:pPr>
              </w:p>
            </w:tc>
            <w:tc>
              <w:tcPr>
                <w:tcW w:w="1134" w:type="dxa"/>
                <w:vAlign w:val="center"/>
              </w:tcPr>
              <w:p>
                <w:pPr>
                  <w:jc w:val="right"/>
                  <w:rPr>
                    <w:sz w:val="18"/>
                    <w:szCs w:val="18"/>
                  </w:rPr>
                </w:pPr>
              </w:p>
            </w:tc>
            <w:tc>
              <w:tcPr>
                <w:tcW w:w="1120" w:type="dxa"/>
                <w:vAlign w:val="center"/>
              </w:tcPr>
              <w:p>
                <w:pPr>
                  <w:jc w:val="right"/>
                  <w:rPr>
                    <w:sz w:val="18"/>
                    <w:szCs w:val="18"/>
                  </w:rPr>
                </w:pPr>
                <w:r>
                  <w:rPr>
                    <w:rFonts w:ascii="宋体" w:hAnsi="宋体"/>
                    <w:spacing w:val="-30"/>
                  </w:rPr>
                  <w:t>993,590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7900abe823e94277be091b3f1c7a54a5"/>
                <w:id w:val="647331739"/>
              </w:sdtPr>
              <w:sdtContent>
                <w:tc>
                  <w:tcPr>
                    <w:tcW w:w="2394" w:type="dxa"/>
                    <w:vAlign w:val="center"/>
                  </w:tcPr>
                  <w:p>
                    <w:pPr>
                      <w:rPr>
                        <w:sz w:val="18"/>
                        <w:szCs w:val="18"/>
                      </w:rPr>
                    </w:pPr>
                    <w:r>
                      <w:rPr>
                        <w:rFonts w:hint="eastAsia"/>
                        <w:sz w:val="18"/>
                        <w:szCs w:val="18"/>
                      </w:rPr>
                      <w:t>2．本期使用</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r>
                  <w:rPr>
                    <w:rFonts w:ascii="宋体" w:hAnsi="宋体"/>
                    <w:spacing w:val="-30"/>
                  </w:rPr>
                  <w:t>1,587,735</w:t>
                </w:r>
              </w:p>
            </w:tc>
            <w:tc>
              <w:tcPr>
                <w:tcW w:w="993" w:type="dxa"/>
                <w:vAlign w:val="center"/>
              </w:tcPr>
              <w:p>
                <w:pPr>
                  <w:jc w:val="right"/>
                  <w:rPr>
                    <w:sz w:val="18"/>
                    <w:szCs w:val="18"/>
                  </w:rPr>
                </w:pPr>
              </w:p>
            </w:tc>
            <w:tc>
              <w:tcPr>
                <w:tcW w:w="1134" w:type="dxa"/>
                <w:vAlign w:val="center"/>
              </w:tcPr>
              <w:p>
                <w:pPr>
                  <w:jc w:val="right"/>
                  <w:rPr>
                    <w:sz w:val="18"/>
                    <w:szCs w:val="18"/>
                  </w:rPr>
                </w:pPr>
              </w:p>
            </w:tc>
            <w:tc>
              <w:tcPr>
                <w:tcW w:w="1120" w:type="dxa"/>
                <w:vAlign w:val="center"/>
              </w:tcPr>
              <w:p>
                <w:pPr>
                  <w:jc w:val="right"/>
                  <w:rPr>
                    <w:sz w:val="18"/>
                    <w:szCs w:val="18"/>
                  </w:rPr>
                </w:pPr>
                <w:r>
                  <w:rPr>
                    <w:rFonts w:ascii="宋体" w:hAnsi="宋体"/>
                    <w:spacing w:val="-30"/>
                  </w:rPr>
                  <w:t>1,587,735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7cf659a70268475ea7233d8b82adad5a"/>
                <w:id w:val="-1323879649"/>
              </w:sdtPr>
              <w:sdtContent>
                <w:tc>
                  <w:tcPr>
                    <w:tcW w:w="2394" w:type="dxa"/>
                  </w:tcPr>
                  <w:p>
                    <w:pPr>
                      <w:rPr>
                        <w:sz w:val="18"/>
                        <w:szCs w:val="18"/>
                      </w:rPr>
                    </w:pPr>
                    <w:r>
                      <w:rPr>
                        <w:rFonts w:hint="eastAsia"/>
                        <w:sz w:val="18"/>
                        <w:szCs w:val="18"/>
                      </w:rPr>
                      <w:t>（六）其他</w:t>
                    </w:r>
                  </w:p>
                </w:tc>
              </w:sdtContent>
            </w:sdt>
            <w:tc>
              <w:tcPr>
                <w:tcW w:w="1078" w:type="dxa"/>
                <w:tcBorders>
                  <w:right w:val="single" w:color="auto" w:sz="4" w:space="0"/>
                </w:tcBorders>
                <w:vAlign w:val="center"/>
              </w:tcPr>
              <w:p>
                <w:pPr>
                  <w:jc w:val="right"/>
                  <w:rPr>
                    <w:sz w:val="18"/>
                    <w:szCs w:val="18"/>
                  </w:rPr>
                </w:pP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-129,855</w:t>
                </w:r>
              </w:p>
            </w:tc>
            <w:tc>
              <w:tcPr>
                <w:tcW w:w="992" w:type="dxa"/>
                <w:vAlign w:val="center"/>
              </w:tcPr>
              <w:p>
                <w:pPr>
                  <w:jc w:val="right"/>
                  <w:rPr>
                    <w:sz w:val="18"/>
                    <w:szCs w:val="18"/>
                  </w:rPr>
                </w:pPr>
              </w:p>
            </w:tc>
            <w:tc>
              <w:tcPr>
                <w:tcW w:w="1134" w:type="dxa"/>
                <w:vAlign w:val="center"/>
              </w:tcPr>
              <w:p>
                <w:pPr>
                  <w:jc w:val="right"/>
                  <w:rPr>
                    <w:sz w:val="18"/>
                    <w:szCs w:val="18"/>
                  </w:rPr>
                </w:pPr>
              </w:p>
            </w:tc>
            <w:tc>
              <w:tcPr>
                <w:tcW w:w="992" w:type="dxa"/>
                <w:vAlign w:val="center"/>
              </w:tcPr>
              <w:p>
                <w:pPr>
                  <w:jc w:val="right"/>
                  <w:rPr>
                    <w:sz w:val="18"/>
                    <w:szCs w:val="18"/>
                  </w:rPr>
                </w:pPr>
                <w:r>
                  <w:rPr>
                    <w:rFonts w:ascii="宋体" w:hAnsi="宋体"/>
                    <w:spacing w:val="-30"/>
                  </w:rPr>
                  <w:t>-22,950</w:t>
                </w:r>
              </w:p>
            </w:tc>
            <w:tc>
              <w:tcPr>
                <w:tcW w:w="993" w:type="dxa"/>
                <w:vAlign w:val="center"/>
              </w:tcPr>
              <w:p>
                <w:pPr>
                  <w:jc w:val="right"/>
                  <w:rPr>
                    <w:sz w:val="18"/>
                    <w:szCs w:val="18"/>
                  </w:rPr>
                </w:pPr>
              </w:p>
            </w:tc>
            <w:tc>
              <w:tcPr>
                <w:tcW w:w="1134" w:type="dxa"/>
                <w:vAlign w:val="center"/>
              </w:tcPr>
              <w:p>
                <w:pPr>
                  <w:jc w:val="right"/>
                  <w:rPr>
                    <w:sz w:val="18"/>
                    <w:szCs w:val="18"/>
                  </w:rPr>
                </w:pPr>
                <w:r>
                  <w:rPr>
                    <w:rFonts w:ascii="宋体" w:hAnsi="宋体"/>
                    <w:spacing w:val="-30"/>
                  </w:rPr>
                  <w:t>22,950</w:t>
                </w:r>
              </w:p>
            </w:tc>
            <w:tc>
              <w:tcPr>
                <w:tcW w:w="1120" w:type="dxa"/>
                <w:vAlign w:val="center"/>
              </w:tcPr>
              <w:p>
                <w:pPr>
                  <w:jc w:val="right"/>
                  <w:rPr>
                    <w:sz w:val="18"/>
                    <w:szCs w:val="18"/>
                  </w:rPr>
                </w:pPr>
                <w:r>
                  <w:rPr>
                    <w:rFonts w:ascii="宋体" w:hAnsi="宋体"/>
                    <w:spacing w:val="-30"/>
                  </w:rPr>
                  <w:t>-129,855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tag w:val="_PLD_56eacf5a90be4746898504dda5c8a2c0"/>
                <w:id w:val="1868409818"/>
              </w:sdtPr>
              <w:sdtContent>
                <w:tc>
                  <w:tcPr>
                    <w:tcW w:w="2394" w:type="dxa"/>
                  </w:tcPr>
                  <w:p>
                    <w:pPr>
                      <w:rPr>
                        <w:sz w:val="18"/>
                        <w:szCs w:val="18"/>
                      </w:rPr>
                    </w:pPr>
                    <w:r>
                      <w:rPr>
                        <w:sz w:val="18"/>
                        <w:szCs w:val="18"/>
                      </w:rPr>
                      <w:t>四、本期期末余额</w:t>
                    </w:r>
                  </w:p>
                </w:tc>
              </w:sdtContent>
            </w:sdt>
            <w:tc>
              <w:tcPr>
                <w:tcW w:w="1078" w:type="dxa"/>
                <w:tcBorders>
                  <w:right w:val="single" w:color="auto" w:sz="4" w:space="0"/>
                </w:tcBorders>
                <w:vAlign w:val="center"/>
              </w:tcPr>
              <w:p>
                <w:pPr>
                  <w:jc w:val="right"/>
                  <w:rPr>
                    <w:sz w:val="18"/>
                    <w:szCs w:val="18"/>
                  </w:rPr>
                </w:pPr>
                <w:r>
                  <w:rPr>
                    <w:rFonts w:ascii="宋体" w:hAnsi="宋体"/>
                    <w:spacing w:val="-30"/>
                  </w:rPr>
                  <w:t>4,948,704</w:t>
                </w:r>
              </w:p>
            </w:tc>
            <w:tc>
              <w:tcPr>
                <w:tcW w:w="1050" w:type="dxa"/>
                <w:tcBorders>
                  <w:left w:val="single" w:color="auto" w:sz="4" w:space="0"/>
                  <w:right w:val="single" w:color="auto" w:sz="4" w:space="0"/>
                </w:tcBorders>
                <w:vAlign w:val="center"/>
              </w:tcPr>
              <w:p>
                <w:pPr>
                  <w:jc w:val="right"/>
                  <w:rPr>
                    <w:sz w:val="18"/>
                    <w:szCs w:val="18"/>
                  </w:rPr>
                </w:pPr>
              </w:p>
            </w:tc>
            <w:tc>
              <w:tcPr>
                <w:tcW w:w="1078" w:type="dxa"/>
                <w:tcBorders>
                  <w:left w:val="single" w:color="auto" w:sz="4" w:space="0"/>
                  <w:right w:val="single" w:color="auto" w:sz="4" w:space="0"/>
                </w:tcBorders>
                <w:vAlign w:val="center"/>
              </w:tcPr>
              <w:p>
                <w:pPr>
                  <w:jc w:val="right"/>
                  <w:rPr>
                    <w:sz w:val="18"/>
                    <w:szCs w:val="18"/>
                  </w:rPr>
                </w:pPr>
                <w:r>
                  <w:rPr>
                    <w:rFonts w:ascii="宋体" w:hAnsi="宋体"/>
                    <w:spacing w:val="-30"/>
                  </w:rPr>
                  <w:t>13,248,614</w:t>
                </w:r>
              </w:p>
            </w:tc>
            <w:tc>
              <w:tcPr>
                <w:tcW w:w="947" w:type="dxa"/>
                <w:tcBorders>
                  <w:left w:val="single" w:color="auto" w:sz="4" w:space="0"/>
                </w:tcBorders>
                <w:vAlign w:val="center"/>
              </w:tcPr>
              <w:p>
                <w:pPr>
                  <w:jc w:val="right"/>
                  <w:rPr>
                    <w:sz w:val="18"/>
                    <w:szCs w:val="18"/>
                  </w:rPr>
                </w:pPr>
              </w:p>
            </w:tc>
            <w:tc>
              <w:tcPr>
                <w:tcW w:w="992" w:type="dxa"/>
                <w:vAlign w:val="center"/>
              </w:tcPr>
              <w:p>
                <w:pPr>
                  <w:jc w:val="right"/>
                  <w:rPr>
                    <w:sz w:val="18"/>
                    <w:szCs w:val="18"/>
                  </w:rPr>
                </w:pPr>
                <w:r>
                  <w:rPr>
                    <w:rFonts w:ascii="宋体" w:hAnsi="宋体"/>
                    <w:spacing w:val="-30"/>
                  </w:rPr>
                  <w:t>741,560</w:t>
                </w:r>
              </w:p>
            </w:tc>
            <w:tc>
              <w:tcPr>
                <w:tcW w:w="992" w:type="dxa"/>
                <w:vAlign w:val="center"/>
              </w:tcPr>
              <w:p>
                <w:pPr>
                  <w:jc w:val="right"/>
                  <w:rPr>
                    <w:sz w:val="18"/>
                    <w:szCs w:val="18"/>
                  </w:rPr>
                </w:pPr>
                <w:r>
                  <w:rPr>
                    <w:rFonts w:ascii="宋体" w:hAnsi="宋体"/>
                    <w:spacing w:val="-30"/>
                  </w:rPr>
                  <w:t>723,593</w:t>
                </w:r>
              </w:p>
            </w:tc>
            <w:tc>
              <w:tcPr>
                <w:tcW w:w="1134" w:type="dxa"/>
                <w:vAlign w:val="center"/>
              </w:tcPr>
              <w:p>
                <w:pPr>
                  <w:jc w:val="right"/>
                  <w:rPr>
                    <w:sz w:val="18"/>
                    <w:szCs w:val="18"/>
                  </w:rPr>
                </w:pPr>
                <w:r>
                  <w:rPr>
                    <w:rFonts w:ascii="宋体" w:hAnsi="宋体"/>
                    <w:spacing w:val="-30"/>
                  </w:rPr>
                  <w:t>187,468</w:t>
                </w:r>
              </w:p>
            </w:tc>
            <w:tc>
              <w:tcPr>
                <w:tcW w:w="992" w:type="dxa"/>
                <w:vAlign w:val="center"/>
              </w:tcPr>
              <w:p>
                <w:pPr>
                  <w:jc w:val="right"/>
                  <w:rPr>
                    <w:sz w:val="18"/>
                    <w:szCs w:val="18"/>
                  </w:rPr>
                </w:pPr>
                <w:r>
                  <w:rPr>
                    <w:rFonts w:ascii="宋体" w:hAnsi="宋体"/>
                    <w:spacing w:val="-30"/>
                  </w:rPr>
                  <w:t>2,229,349</w:t>
                </w:r>
              </w:p>
            </w:tc>
            <w:tc>
              <w:tcPr>
                <w:tcW w:w="993" w:type="dxa"/>
                <w:vAlign w:val="center"/>
              </w:tcPr>
              <w:p>
                <w:pPr>
                  <w:jc w:val="right"/>
                  <w:rPr>
                    <w:sz w:val="18"/>
                    <w:szCs w:val="18"/>
                  </w:rPr>
                </w:pPr>
                <w:r>
                  <w:rPr>
                    <w:rFonts w:ascii="宋体" w:hAnsi="宋体"/>
                    <w:spacing w:val="-30"/>
                  </w:rPr>
                  <w:t>2,703,146</w:t>
                </w:r>
              </w:p>
            </w:tc>
            <w:tc>
              <w:tcPr>
                <w:tcW w:w="1134" w:type="dxa"/>
                <w:vAlign w:val="center"/>
              </w:tcPr>
              <w:p>
                <w:pPr>
                  <w:jc w:val="right"/>
                  <w:rPr>
                    <w:sz w:val="18"/>
                    <w:szCs w:val="18"/>
                  </w:rPr>
                </w:pPr>
                <w:r>
                  <w:rPr>
                    <w:rFonts w:ascii="宋体" w:hAnsi="宋体"/>
                    <w:spacing w:val="-30"/>
                  </w:rPr>
                  <w:t>41,793,364</w:t>
                </w:r>
              </w:p>
            </w:tc>
            <w:tc>
              <w:tcPr>
                <w:tcW w:w="1120" w:type="dxa"/>
                <w:vAlign w:val="center"/>
              </w:tcPr>
              <w:p>
                <w:pPr>
                  <w:jc w:val="right"/>
                  <w:rPr>
                    <w:sz w:val="18"/>
                    <w:szCs w:val="18"/>
                  </w:rPr>
                </w:pPr>
                <w:r>
                  <w:rPr>
                    <w:rFonts w:ascii="宋体" w:hAnsi="宋体"/>
                    <w:spacing w:val="-30"/>
                  </w:rPr>
                  <w:t>65,128,612</w:t>
                </w:r>
              </w:p>
            </w:tc>
          </w:tr>
        </w:tbl>
        <w:p>
          <w:pPr>
            <w:pStyle w:val="501"/>
          </w:pPr>
        </w:p>
        <w:p>
          <w:pPr>
            <w:snapToGrid w:val="0"/>
            <w:spacing w:line="240" w:lineRule="atLeast"/>
            <w:rPr>
              <w:b/>
              <w:bCs/>
              <w:color w:val="FF0000"/>
            </w:rPr>
          </w:pPr>
          <w:r>
            <w:rPr>
              <w:rFonts w:hint="eastAsia"/>
            </w:rPr>
            <w:t>公司负责</w:t>
          </w:r>
          <w:r>
            <w:t>人</w:t>
          </w:r>
          <w:r>
            <w:rPr>
              <w:rFonts w:hint="eastAsia"/>
            </w:rPr>
            <w:t>：</w:t>
          </w:r>
          <w:sdt>
            <w:sdtPr>
              <w:rPr>
                <w:rFonts w:hint="eastAsia"/>
              </w:rPr>
              <w:alias w:val="公司负责人姓名"/>
              <w:tag w:val="_GBC_6042a2c12168484781348969a4da3e4c"/>
              <w:id w:val="854693391"/>
              <w:dataBinding w:prefixMappings="xmlns:clcid-mr='clcid-mr'" w:xpath="/*/clcid-mr:GongSiFuZeRenXingMing[not(@periodRef)]" w:storeItemID="{89EBAB94-44A0-46A2-B712-30D997D04A6D}"/>
              <w:text/>
            </w:sdtPr>
            <w:sdtEndPr>
              <w:rPr>
                <w:rFonts w:hint="eastAsia"/>
              </w:rPr>
            </w:sdtEndPr>
            <w:sdtContent>
              <w:r>
                <w:rPr>
                  <w:rFonts w:hint="eastAsia"/>
                </w:rPr>
                <w:t>李伟</w:t>
              </w:r>
            </w:sdtContent>
          </w:sdt>
          <w:r>
            <w:rPr>
              <w:rFonts w:hint="eastAsia"/>
            </w:rPr>
            <w:t xml:space="preserve"> </w:t>
          </w:r>
          <w:r>
            <w:t>主管会计工作负责人</w:t>
          </w:r>
          <w:r>
            <w:rPr>
              <w:rFonts w:hint="eastAsia"/>
            </w:rPr>
            <w:t>：</w:t>
          </w:r>
          <w:sdt>
            <w:sdtPr>
              <w:rPr>
                <w:rFonts w:hint="eastAsia"/>
              </w:rPr>
              <w:alias w:val="主管会计工作负责人姓名"/>
              <w:tag w:val="_GBC_3008dab61aca43f0a6d82ef192943e79"/>
              <w:id w:val="176241981"/>
              <w:dataBinding w:prefixMappings="xmlns:clcid-mr='clcid-mr'" w:xpath="/*/clcid-mr:ZhuGuanKuaiJiGongZuoFuZeRenXingMing[not(@periodRef)]" w:storeItemID="{89EBAB94-44A0-46A2-B712-30D997D04A6D}"/>
              <w:text/>
            </w:sdtPr>
            <w:sdtEndPr>
              <w:rPr>
                <w:rFonts w:hint="eastAsia"/>
              </w:rPr>
            </w:sdtEndPr>
            <w:sdtContent>
              <w:r>
                <w:rPr>
                  <w:rFonts w:hint="eastAsia"/>
                </w:rPr>
                <w:t>赵治国</w:t>
              </w:r>
            </w:sdtContent>
          </w:sdt>
          <w:r>
            <w:rPr>
              <w:rFonts w:hint="eastAsia"/>
            </w:rPr>
            <w:t xml:space="preserve"> </w:t>
          </w:r>
          <w:r>
            <w:t>会计机构负责人</w:t>
          </w:r>
          <w:r>
            <w:rPr>
              <w:rFonts w:hint="eastAsia"/>
            </w:rPr>
            <w:t>：</w:t>
          </w:r>
          <w:sdt>
            <w:sdtPr>
              <w:rPr>
                <w:rFonts w:hint="eastAsia"/>
              </w:rPr>
              <w:alias w:val="会计机构负责人姓名"/>
              <w:tag w:val="_GBC_e6c21b270080402ca8dbdc0cab514bde"/>
              <w:id w:val="-1420180134"/>
              <w:dataBinding w:prefixMappings="xmlns:clcid-mr='clcid-mr'" w:xpath="/*/clcid-mr:KuaiJiJiGouFuZeRenXingMing[not(@periodRef)]" w:storeItemID="{89EBAB94-44A0-46A2-B712-30D997D04A6D}"/>
              <w:text/>
            </w:sdtPr>
            <w:sdtEndPr>
              <w:rPr>
                <w:rFonts w:hint="eastAsia"/>
              </w:rPr>
            </w:sdtEndPr>
            <w:sdtContent>
              <w:r>
                <w:rPr>
                  <w:rFonts w:hint="eastAsia"/>
                </w:rPr>
                <w:t>于强</w:t>
              </w:r>
            </w:sdtContent>
          </w:sdt>
        </w:p>
      </w:sdtContent>
    </w:sdt>
    <w:bookmarkEnd w:id="198"/>
    <w:p>
      <w:pPr>
        <w:rPr>
          <w:color w:val="FF0000"/>
        </w:rPr>
      </w:pPr>
    </w:p>
    <w:p>
      <w:pPr>
        <w:sectPr>
          <w:pgSz w:w="16838" w:h="11906" w:orient="landscape"/>
          <w:pgMar w:top="1276" w:right="1440" w:bottom="1797" w:left="1525" w:header="856" w:footer="992" w:gutter="0"/>
          <w:cols w:space="425" w:num="1"/>
          <w:docGrid w:linePitch="312" w:charSpace="0"/>
        </w:sectPr>
      </w:pPr>
    </w:p>
    <w:p>
      <w:pPr>
        <w:pStyle w:val="503"/>
        <w:numPr>
          <w:ilvl w:val="0"/>
          <w:numId w:val="57"/>
        </w:numPr>
        <w:ind w:left="0" w:right="185" w:rightChars="88" w:firstLine="282" w:firstLineChars="134"/>
        <w:rPr>
          <w:rFonts w:ascii="宋体" w:hAnsi="宋体"/>
        </w:rPr>
      </w:pPr>
      <w:r>
        <w:rPr>
          <w:rFonts w:ascii="宋体" w:hAnsi="宋体"/>
        </w:rPr>
        <w:t>公司基本情况</w:t>
      </w:r>
    </w:p>
    <w:p>
      <w:pPr>
        <w:pStyle w:val="504"/>
        <w:numPr>
          <w:ilvl w:val="0"/>
          <w:numId w:val="59"/>
        </w:numPr>
        <w:tabs>
          <w:tab w:val="left" w:pos="851"/>
          <w:tab w:val="clear" w:pos="1065"/>
        </w:tabs>
        <w:ind w:left="308" w:hanging="306"/>
      </w:pPr>
      <w:r>
        <w:rPr>
          <w:rFonts w:hint="eastAsia"/>
        </w:rPr>
        <w:t>公司概况</w:t>
      </w:r>
    </w:p>
    <w:sdt>
      <w:sdtPr>
        <w:rPr>
          <w:rFonts w:hint="eastAsia"/>
        </w:rPr>
        <w:alias w:val="是否适用：公司概况[双击切换]"/>
        <w:tag w:val="_GBC_7b613deb8c7f4027b73602e5cd1d4a2e"/>
        <w:id w:val="1619106600"/>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概况"/>
        <w:tag w:val="_GBC_dfec127af3a7441dade8cb0f67119e66"/>
        <w:id w:val="-1415009484"/>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兖矿能源集团股份有限公司（以下简称“本公司”，在包含子公司时统称本集团）是经中华人民共和国国家经济体制改革委员会体改生〔1997〕154号文件批准，由山东能源集团有限公司（原名兖矿集团有限公司，以下简称“山东能源”）作为主发起人成立之股份有限公司。本公司成立于1997年9月，注册地为山东省邹城市，总部办公地址为山东省邹城市凫山南路949号。</w:t>
          </w:r>
        </w:p>
        <w:p>
          <w:pPr>
            <w:ind w:firstLine="420" w:firstLineChars="200"/>
            <w:rPr>
              <w:rFonts w:ascii="宋体" w:hAnsi="宋体"/>
            </w:rPr>
          </w:pPr>
          <w:r>
            <w:rPr>
              <w:rFonts w:hint="eastAsia" w:ascii="宋体" w:hAnsi="宋体"/>
            </w:rPr>
            <w:t>本公司设立时总股本为167,000万元，每股面值为1元。于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于1998年6月，本公司发行8,000万股A股，并于1998年7月1日起在上海证券交易所上市交易。于2017年2月16日，本公司美国存托股份从纽约证券交易所退市并取消注册。经多次增发、送股，截至2023年12月31日，本公司股本总额为7,439,371千元。</w:t>
          </w:r>
        </w:p>
        <w:p>
          <w:pPr>
            <w:ind w:firstLine="420" w:firstLineChars="200"/>
            <w:rPr>
              <w:rFonts w:ascii="宋体" w:hAnsi="宋体"/>
            </w:rPr>
          </w:pPr>
          <w:r>
            <w:rPr>
              <w:rFonts w:hint="eastAsia" w:ascii="宋体" w:hAnsi="宋体"/>
            </w:rPr>
            <w:t>本公司经营范围：许可项目：煤炭开采；公共铁路运输；道路货物运输（不含危险货物）；港口经营；特种设备安装改造修理；餐饮服务；住宿服务；污水处理及其再生利用；热力生产和供应；检验检测服务；安全生产检验检测；建设工程施工；第一类增值电信业务；第二类增值电信业务。（依法须经批准的项目，经相关部门批准后方可开展经营活动，具体经营项目以相关部门批准文件或许可证件为准）一般项目：货物进出口；技术进出口；工程造价咨询业务；以自有资金从事投资活动；企业管理；社会经济咨询服务；市场调查（不含涉外调查）；矿山机械制造；矿山机械销售；机械设备租赁；通用设备修理；普通机械设备安装服务；金属材料销售；机械电气设备销售；建筑材料销售；木材销售；专用化学产品制造（不含危险化学品）；专用化学产品销售（不含危险化学品）；日用化学产品制造；煤炭及制品销售；涂料制造（不含危险化学品）；涂料销售（不含危险化学品）；润滑油销售；石油制品销售（不含危险化学品）；化工产品销售（不含许可类化工产品）；技术服务、技术开发、技术咨询、技术交流、技术转让、技术推广；非居住房地产租赁；金属矿石销售；普通货物仓储服务（不含危险化学品等需许可审批的项目）；园林绿化工程施工；游览景区管理；特种作业人员安全技术培训；计量技术服务；企业形象策划；针纺织品销售；塑料制品销售；仪器仪表销售；水泥制品销售；耐火材料生产；耐火材料销售；劳动保护用品销售；办公用品销售；文具用品零售；铁路运输辅助活动；防火封堵材料生产；防火封堵材料销售；电子专用设备制造；电子专用设备销售；软件开发；网络技术服务；网络设备销售；互联网数据服务；广播电视传输设备销售；通讯设备销售；机动车修理和维护；物业管理；人力资源服务（不含职业中介活动、劳务派遣服务）；信息系统集成服务；信息系统运行维护服务；工业自动控制系统装置销售；数字视频监控系统销售；互联网设备销售。（除依法须经批准的项目外，凭营业执照依法自主开展经营活动）</w:t>
          </w:r>
        </w:p>
      </w:sdtContent>
    </w:sdt>
    <w:p>
      <w:pPr>
        <w:rPr>
          <w:rFonts w:ascii="宋体" w:hAnsi="宋体"/>
        </w:rPr>
      </w:pPr>
    </w:p>
    <w:p>
      <w:pPr>
        <w:pStyle w:val="503"/>
        <w:numPr>
          <w:ilvl w:val="0"/>
          <w:numId w:val="57"/>
        </w:numPr>
        <w:ind w:hanging="136"/>
        <w:rPr>
          <w:rFonts w:ascii="宋体" w:hAnsi="宋体"/>
        </w:rPr>
      </w:pPr>
      <w:r>
        <w:rPr>
          <w:rFonts w:hint="eastAsia" w:ascii="宋体" w:hAnsi="宋体"/>
        </w:rPr>
        <w:t>财务报表的编制基础</w:t>
      </w:r>
    </w:p>
    <w:p>
      <w:pPr>
        <w:pStyle w:val="504"/>
        <w:numPr>
          <w:ilvl w:val="0"/>
          <w:numId w:val="60"/>
        </w:numPr>
        <w:ind w:left="426" w:hanging="426"/>
        <w:rPr>
          <w:rFonts w:ascii="宋体" w:hAnsi="宋体"/>
        </w:rPr>
      </w:pPr>
      <w:r>
        <w:rPr>
          <w:rFonts w:ascii="宋体" w:hAnsi="宋体"/>
        </w:rPr>
        <w:t>编制基础</w:t>
      </w:r>
    </w:p>
    <w:sdt>
      <w:sdtPr>
        <w:rPr>
          <w:rFonts w:hint="eastAsia" w:ascii="宋体" w:hAnsi="宋体"/>
        </w:rPr>
        <w:alias w:val="财务报表的编制基础"/>
        <w:tag w:val="_GBC_1dc2375ed7ab49628f5badf2d5006405"/>
        <w:id w:val="1392613675"/>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本集团财务报表根据实际发生的交易和事项，按照财政部颁布的《企业会计准则》及其应用指南、解释及其他相关规定(以下合称“企业会计准则”)，以及中国证券监督管理委员会(以下简称“证监会”)《公开发行证券的公司信息披露编报规则第15号—财务报告的一般规定》（2023年修订）的披露相关规定编制。</w:t>
          </w:r>
        </w:p>
      </w:sdtContent>
    </w:sdt>
    <w:p>
      <w:pPr>
        <w:rPr>
          <w:rFonts w:ascii="宋体" w:hAnsi="宋体"/>
        </w:rPr>
      </w:pPr>
    </w:p>
    <w:p>
      <w:pPr>
        <w:pStyle w:val="504"/>
        <w:numPr>
          <w:ilvl w:val="0"/>
          <w:numId w:val="60"/>
        </w:numPr>
        <w:ind w:left="426" w:hanging="426"/>
        <w:rPr>
          <w:rFonts w:ascii="宋体" w:hAnsi="宋体"/>
        </w:rPr>
      </w:pPr>
      <w:r>
        <w:rPr>
          <w:rFonts w:hint="eastAsia" w:ascii="宋体" w:hAnsi="宋体"/>
        </w:rPr>
        <w:t>持续经营</w:t>
      </w:r>
    </w:p>
    <w:sdt>
      <w:sdtPr>
        <w:rPr>
          <w:rFonts w:hint="eastAsia" w:ascii="宋体" w:hAnsi="宋体"/>
        </w:rPr>
        <w:alias w:val="是否适用：持续经营[双击切换]"/>
        <w:tag w:val="_GBC_fa7177dc4f164e56b4df7bebc60acf50"/>
        <w:id w:val="1968858517"/>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持续经营"/>
        <w:tag w:val="_GBC_dc876c24006b428987a041949eb554f3"/>
        <w:id w:val="1464620886"/>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本集团有近期获利经营的历史且有财务资源支持，自报告期末起12个月具备持续经营能力，无影响持续经营能力的重大事项。因此，本财务报表以持续经营假设为基础编制是合理的。</w:t>
          </w:r>
        </w:p>
      </w:sdtContent>
    </w:sdt>
    <w:p>
      <w:pPr>
        <w:rPr>
          <w:rFonts w:ascii="宋体" w:hAnsi="宋体"/>
        </w:rPr>
      </w:pPr>
    </w:p>
    <w:p>
      <w:pPr>
        <w:pStyle w:val="503"/>
        <w:numPr>
          <w:ilvl w:val="0"/>
          <w:numId w:val="57"/>
        </w:numPr>
        <w:ind w:hanging="136"/>
        <w:rPr>
          <w:rFonts w:ascii="宋体" w:hAnsi="宋体"/>
        </w:rPr>
      </w:pPr>
      <w:r>
        <w:rPr>
          <w:rFonts w:hint="eastAsia" w:ascii="宋体" w:hAnsi="宋体"/>
        </w:rPr>
        <w:t>重</w:t>
      </w:r>
      <w:r>
        <w:rPr>
          <w:rFonts w:ascii="宋体" w:hAnsi="宋体"/>
        </w:rPr>
        <w:t>要会计政策</w:t>
      </w:r>
      <w:r>
        <w:rPr>
          <w:rFonts w:hint="eastAsia" w:ascii="宋体" w:hAnsi="宋体"/>
        </w:rPr>
        <w:t>及</w:t>
      </w:r>
      <w:r>
        <w:rPr>
          <w:rFonts w:ascii="宋体" w:hAnsi="宋体"/>
        </w:rPr>
        <w:t>会计估计</w:t>
      </w:r>
    </w:p>
    <w:p>
      <w:pPr>
        <w:pStyle w:val="531"/>
      </w:pPr>
      <w:r>
        <w:rPr>
          <w:rFonts w:hint="eastAsia"/>
        </w:rPr>
        <w:t>具体会计政策和会计估计提示：</w:t>
      </w:r>
    </w:p>
    <w:sdt>
      <w:sdtPr>
        <w:alias w:val="是否适用：具体会计政策和会计估计提示[双击切换]"/>
        <w:tag w:val="_GBC_86fd142a599649f8a3574e6ddaba5f71"/>
        <w:id w:val="-1017375990"/>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 w:val="0"/>
          <w:bCs w:val="0"/>
          <w:szCs w:val="21"/>
        </w:rPr>
        <w:alias w:val="具体会计政策和会计估计提示"/>
        <w:tag w:val="_GBC_caddaeaf0d1a454ab0bede37f0db7782"/>
        <w:id w:val="-1487085725"/>
      </w:sdtPr>
      <w:sdtEndPr>
        <w:rPr>
          <w:b w:val="0"/>
          <w:bCs w:val="0"/>
          <w:szCs w:val="21"/>
        </w:rPr>
      </w:sdtEndPr>
      <w:sdtContent>
        <w:p>
          <w:pPr>
            <w:pStyle w:val="504"/>
            <w:numPr>
              <w:ilvl w:val="0"/>
              <w:numId w:val="61"/>
            </w:numPr>
            <w:ind w:left="426" w:hanging="284"/>
            <w:rPr>
              <w:rFonts w:ascii="宋体" w:hAnsi="宋体"/>
            </w:rPr>
          </w:pPr>
          <w:r>
            <w:rPr>
              <w:rFonts w:ascii="宋体" w:hAnsi="宋体"/>
            </w:rPr>
            <w:t>遵循企业会计准则的声明</w:t>
          </w:r>
        </w:p>
        <w:p>
          <w:pPr>
            <w:ind w:firstLine="420" w:firstLineChars="200"/>
            <w:rPr>
              <w:rFonts w:ascii="宋体" w:hAnsi="宋体"/>
            </w:rPr>
          </w:pPr>
          <w:r>
            <w:rPr>
              <w:rFonts w:hint="eastAsia" w:ascii="宋体" w:hAnsi="宋体"/>
            </w:rPr>
            <w:t>本财务报表符合企业会计准则的要求，真实、准确、完整地反映了本公司及本集团于2023年12月31日的财务状况以及2023年度经营成果和现金流量等有关信息。</w:t>
          </w:r>
        </w:p>
      </w:sdtContent>
    </w:sdt>
    <w:p>
      <w:pPr>
        <w:pStyle w:val="504"/>
        <w:numPr>
          <w:ilvl w:val="0"/>
          <w:numId w:val="61"/>
        </w:numPr>
        <w:ind w:left="426" w:hanging="284"/>
        <w:rPr>
          <w:rFonts w:ascii="宋体" w:hAnsi="宋体"/>
        </w:rPr>
      </w:pPr>
      <w:r>
        <w:rPr>
          <w:rFonts w:ascii="宋体" w:hAnsi="宋体"/>
        </w:rPr>
        <w:t>会计期间</w:t>
      </w:r>
    </w:p>
    <w:p>
      <w:pPr>
        <w:ind w:firstLine="420" w:firstLineChars="200"/>
        <w:rPr>
          <w:rFonts w:ascii="宋体" w:hAnsi="宋体"/>
        </w:rPr>
      </w:pPr>
      <w:r>
        <w:rPr>
          <w:rFonts w:hint="eastAsia" w:ascii="宋体" w:hAnsi="宋体"/>
        </w:rPr>
        <w:t>本集团的会计期间为公历1月1日至12月31日。</w:t>
      </w:r>
    </w:p>
    <w:p>
      <w:pPr>
        <w:pStyle w:val="504"/>
        <w:numPr>
          <w:ilvl w:val="0"/>
          <w:numId w:val="61"/>
        </w:numPr>
        <w:ind w:left="426" w:hanging="284"/>
        <w:rPr>
          <w:rFonts w:ascii="宋体" w:hAnsi="宋体"/>
        </w:rPr>
      </w:pPr>
      <w:r>
        <w:rPr>
          <w:rFonts w:hint="eastAsia" w:ascii="宋体" w:hAnsi="宋体"/>
        </w:rPr>
        <w:t>营业周期</w:t>
      </w:r>
    </w:p>
    <w:sdt>
      <w:sdtPr>
        <w:rPr>
          <w:rFonts w:hint="eastAsia" w:ascii="宋体" w:hAnsi="宋体"/>
        </w:rPr>
        <w:alias w:val="是否适用：营业周期[双击切换]"/>
        <w:tag w:val="_GBC_41bd09d0a4bd429996597e58a613259e"/>
        <w:id w:val="986509759"/>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营业周期"/>
        <w:tag w:val="_GBC_e145e43187d9463889884f48e9e0b234"/>
        <w:id w:val="-1902597354"/>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营业周期是指企业从购买用于加工的资产起至实现现金或现金等价物的期间。本集团的营业周期为12个月。</w:t>
          </w:r>
        </w:p>
      </w:sdtContent>
    </w:sdt>
    <w:p>
      <w:pPr>
        <w:rPr>
          <w:rFonts w:ascii="宋体" w:hAnsi="宋体"/>
        </w:rPr>
      </w:pPr>
    </w:p>
    <w:p>
      <w:pPr>
        <w:pStyle w:val="504"/>
        <w:numPr>
          <w:ilvl w:val="0"/>
          <w:numId w:val="61"/>
        </w:numPr>
        <w:ind w:left="426" w:hanging="284"/>
        <w:rPr>
          <w:rFonts w:ascii="宋体" w:hAnsi="宋体"/>
        </w:rPr>
      </w:pPr>
      <w:r>
        <w:rPr>
          <w:rFonts w:ascii="宋体" w:hAnsi="宋体"/>
        </w:rPr>
        <w:t>记账本位币</w:t>
      </w:r>
    </w:p>
    <w:p>
      <w:pPr>
        <w:ind w:firstLine="420" w:firstLineChars="200"/>
        <w:rPr>
          <w:rFonts w:ascii="宋体" w:hAnsi="宋体"/>
        </w:rPr>
      </w:pPr>
      <w:r>
        <w:rPr>
          <w:rFonts w:hint="eastAsia" w:ascii="宋体" w:hAnsi="宋体"/>
        </w:rPr>
        <w:t>本公司及境内子公司的记账本位币为人民币。本公司境外子公司采用人民币以外的货币作为记账本位币，本公司在编制财务报表时对这些子公司的外币财务报表进行了折算（参见本附注“五、1</w:t>
      </w:r>
      <w:r>
        <w:rPr>
          <w:rFonts w:ascii="宋体" w:hAnsi="宋体"/>
        </w:rPr>
        <w:t>0</w:t>
      </w:r>
      <w:r>
        <w:rPr>
          <w:rFonts w:hint="eastAsia" w:ascii="宋体" w:hAnsi="宋体"/>
        </w:rPr>
        <w:t>外币业务和外币财务报表折算”）。</w:t>
      </w:r>
    </w:p>
    <w:p>
      <w:pPr>
        <w:pStyle w:val="504"/>
        <w:numPr>
          <w:ilvl w:val="0"/>
          <w:numId w:val="61"/>
        </w:numPr>
        <w:ind w:left="450" w:hanging="308"/>
        <w:rPr>
          <w:rFonts w:ascii="宋体" w:hAnsi="宋体"/>
        </w:rPr>
      </w:pPr>
      <w:r>
        <w:rPr>
          <w:rFonts w:hint="eastAsia" w:ascii="宋体" w:hAnsi="宋体"/>
        </w:rPr>
        <w:t>重要性标准确定方法和选择依据</w:t>
      </w:r>
    </w:p>
    <w:sdt>
      <w:sdtPr>
        <w:rPr>
          <w:rFonts w:ascii="宋体" w:hAnsi="宋体"/>
        </w:rPr>
        <w:alias w:val="是否适用：重要性标准确定方法和选择依据[双击切换]"/>
        <w:tag w:val="_GBC_66b24b4e2070411c88bbdeaf4b0ac338"/>
        <w:id w:val="-1146048967"/>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firstLine="420" w:firstLineChars="200"/>
        <w:rPr>
          <w:rFonts w:ascii="宋体" w:hAnsi="宋体"/>
        </w:rPr>
      </w:pPr>
      <w:r>
        <w:rPr>
          <w:rFonts w:hint="eastAsia" w:ascii="宋体" w:hAnsi="宋体"/>
        </w:rPr>
        <w:t>本集团编制和披露财务报表遵循重要性原则。本财务报表附注中披露事项涉及重要性标准判断的事项及其重要性标准确定方法和选择依据如下：</w:t>
      </w:r>
    </w:p>
    <w:tbl>
      <w:tblPr>
        <w:tblStyle w:val="9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1"/>
        <w:gridCol w:w="4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宋体" w:hAnsi="宋体"/>
            </w:rPr>
            <w:tag w:val="_PLD_9f124ba78a1f4011868edb08cb914673"/>
            <w:id w:val="519434214"/>
          </w:sdtPr>
          <w:sdtEndPr>
            <w:rPr>
              <w:rFonts w:hint="eastAsia" w:ascii="宋体" w:hAnsi="宋体"/>
            </w:rPr>
          </w:sdtEndPr>
          <w:sdtContent>
            <w:tc>
              <w:tcPr>
                <w:tcW w:w="4411" w:type="dxa"/>
              </w:tcPr>
              <w:p>
                <w:pPr>
                  <w:jc w:val="center"/>
                  <w:rPr>
                    <w:rFonts w:ascii="宋体" w:hAnsi="宋体"/>
                  </w:rPr>
                </w:pPr>
                <w:r>
                  <w:rPr>
                    <w:rFonts w:hint="eastAsia" w:ascii="宋体" w:hAnsi="宋体"/>
                  </w:rPr>
                  <w:t>项目</w:t>
                </w:r>
              </w:p>
            </w:tc>
          </w:sdtContent>
        </w:sdt>
        <w:sdt>
          <w:sdtPr>
            <w:rPr>
              <w:rFonts w:ascii="宋体" w:hAnsi="宋体"/>
            </w:rPr>
            <w:tag w:val="_PLD_c9e9f6dfae4c43e0b08da57b23829dd8"/>
            <w:id w:val="-913541973"/>
          </w:sdtPr>
          <w:sdtEndPr>
            <w:rPr>
              <w:rFonts w:ascii="宋体" w:hAnsi="宋体"/>
            </w:rPr>
          </w:sdtEndPr>
          <w:sdtContent>
            <w:tc>
              <w:tcPr>
                <w:tcW w:w="4412" w:type="dxa"/>
              </w:tcPr>
              <w:p>
                <w:pPr>
                  <w:jc w:val="center"/>
                  <w:rPr>
                    <w:rFonts w:ascii="宋体" w:hAnsi="宋体"/>
                  </w:rPr>
                </w:pPr>
                <w:r>
                  <w:rPr>
                    <w:rFonts w:ascii="宋体" w:hAnsi="宋体"/>
                  </w:rPr>
                  <w:t>重要性标准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重要的单项计提坏账准备的应收账款</w:t>
            </w:r>
          </w:p>
        </w:tc>
        <w:tc>
          <w:tcPr>
            <w:tcW w:w="4412" w:type="dxa"/>
            <w:vAlign w:val="center"/>
          </w:tcPr>
          <w:p>
            <w:pPr>
              <w:rPr>
                <w:rFonts w:ascii="宋体" w:hAnsi="宋体"/>
              </w:rPr>
            </w:pPr>
            <w:r>
              <w:rPr>
                <w:rFonts w:hint="eastAsia" w:ascii="宋体" w:hAnsi="宋体"/>
              </w:rPr>
              <w:t>单项计提金额≥500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重要的单项计提坏账准备的其他应收款</w:t>
            </w:r>
          </w:p>
        </w:tc>
        <w:tc>
          <w:tcPr>
            <w:tcW w:w="4412" w:type="dxa"/>
            <w:vAlign w:val="center"/>
          </w:tcPr>
          <w:p>
            <w:pPr>
              <w:rPr>
                <w:rFonts w:ascii="宋体" w:hAnsi="宋体"/>
              </w:rPr>
            </w:pPr>
            <w:r>
              <w:rPr>
                <w:rFonts w:hint="eastAsia" w:ascii="宋体" w:hAnsi="宋体"/>
              </w:rPr>
              <w:t>单项计提金额≥500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本期重要的其他应收款核销</w:t>
            </w:r>
          </w:p>
        </w:tc>
        <w:tc>
          <w:tcPr>
            <w:tcW w:w="4412" w:type="dxa"/>
            <w:vAlign w:val="center"/>
          </w:tcPr>
          <w:p>
            <w:pPr>
              <w:rPr>
                <w:rFonts w:ascii="宋体" w:hAnsi="宋体"/>
              </w:rPr>
            </w:pPr>
            <w:r>
              <w:rPr>
                <w:rFonts w:hint="eastAsia" w:ascii="宋体" w:hAnsi="宋体"/>
              </w:rPr>
              <w:t>单项核销金额≥5000万元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重要的在建工程</w:t>
            </w:r>
          </w:p>
        </w:tc>
        <w:tc>
          <w:tcPr>
            <w:tcW w:w="4412" w:type="dxa"/>
            <w:vAlign w:val="center"/>
          </w:tcPr>
          <w:p>
            <w:pPr>
              <w:rPr>
                <w:rFonts w:ascii="宋体" w:hAnsi="宋体"/>
              </w:rPr>
            </w:pPr>
            <w:r>
              <w:rPr>
                <w:rFonts w:hint="eastAsia" w:ascii="宋体" w:hAnsi="宋体"/>
              </w:rPr>
              <w:t>单项在建项目的预算金额＞</w:t>
            </w:r>
            <w:r>
              <w:rPr>
                <w:rFonts w:ascii="宋体" w:hAnsi="宋体"/>
              </w:rPr>
              <w:t>15</w:t>
            </w:r>
            <w:r>
              <w:rPr>
                <w:rFonts w:hint="eastAsia" w:ascii="宋体" w:hAnsi="宋体"/>
              </w:rPr>
              <w:t>亿元,且累计发生额＞1</w:t>
            </w:r>
            <w:r>
              <w:rPr>
                <w:rFonts w:ascii="宋体" w:hAnsi="宋体"/>
              </w:rPr>
              <w:t>0</w:t>
            </w:r>
            <w:r>
              <w:rPr>
                <w:rFonts w:hint="eastAsia" w:ascii="宋体" w:hAnsi="宋体"/>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账龄超过1年或逾期的重要应付账款</w:t>
            </w:r>
          </w:p>
        </w:tc>
        <w:tc>
          <w:tcPr>
            <w:tcW w:w="4412" w:type="dxa"/>
            <w:vAlign w:val="center"/>
          </w:tcPr>
          <w:p>
            <w:pPr>
              <w:rPr>
                <w:rFonts w:ascii="宋体" w:hAnsi="宋体"/>
              </w:rPr>
            </w:pPr>
            <w:r>
              <w:rPr>
                <w:rFonts w:hint="eastAsia" w:ascii="宋体" w:hAnsi="宋体"/>
              </w:rPr>
              <w:t>单项账龄超过1年的应付账款金额≥1亿元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账龄超过1年或逾期的重要其他应付款</w:t>
            </w:r>
          </w:p>
        </w:tc>
        <w:tc>
          <w:tcPr>
            <w:tcW w:w="4412" w:type="dxa"/>
            <w:vAlign w:val="center"/>
          </w:tcPr>
          <w:p>
            <w:pPr>
              <w:rPr>
                <w:rFonts w:ascii="宋体" w:hAnsi="宋体"/>
              </w:rPr>
            </w:pPr>
            <w:r>
              <w:rPr>
                <w:rFonts w:hint="eastAsia" w:ascii="宋体" w:hAnsi="宋体"/>
              </w:rPr>
              <w:t>单项账龄超过1年的其他应付款金额≥1亿元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重要的收回投资收到的现金</w:t>
            </w:r>
          </w:p>
        </w:tc>
        <w:tc>
          <w:tcPr>
            <w:tcW w:w="4412" w:type="dxa"/>
            <w:vAlign w:val="center"/>
          </w:tcPr>
          <w:p>
            <w:pPr>
              <w:rPr>
                <w:rFonts w:ascii="宋体" w:hAnsi="宋体"/>
              </w:rPr>
            </w:pPr>
            <w:r>
              <w:rPr>
                <w:rFonts w:hint="eastAsia" w:ascii="宋体" w:hAnsi="宋体"/>
              </w:rPr>
              <w:t>单项收回投资收到的金额≥5亿元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重要的投资支付的现金</w:t>
            </w:r>
          </w:p>
        </w:tc>
        <w:tc>
          <w:tcPr>
            <w:tcW w:w="4412" w:type="dxa"/>
            <w:vAlign w:val="center"/>
          </w:tcPr>
          <w:p>
            <w:pPr>
              <w:rPr>
                <w:rFonts w:ascii="宋体" w:hAnsi="宋体"/>
              </w:rPr>
            </w:pPr>
            <w:r>
              <w:rPr>
                <w:rFonts w:hint="eastAsia" w:ascii="宋体" w:hAnsi="宋体"/>
              </w:rPr>
              <w:t>单项投资支付的金额≥5亿元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重要的非全资子公司</w:t>
            </w:r>
          </w:p>
        </w:tc>
        <w:tc>
          <w:tcPr>
            <w:tcW w:w="4412" w:type="dxa"/>
            <w:vAlign w:val="center"/>
          </w:tcPr>
          <w:p>
            <w:pPr>
              <w:rPr>
                <w:rFonts w:ascii="宋体" w:hAnsi="宋体"/>
              </w:rPr>
            </w:pPr>
            <w:r>
              <w:rPr>
                <w:rFonts w:hint="eastAsia" w:ascii="宋体" w:hAnsi="宋体"/>
              </w:rPr>
              <w:t>子公司收入总额占集团收入总额10%以上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重要的联营企业或合营企业</w:t>
            </w:r>
          </w:p>
        </w:tc>
        <w:tc>
          <w:tcPr>
            <w:tcW w:w="4412" w:type="dxa"/>
            <w:vAlign w:val="center"/>
          </w:tcPr>
          <w:p>
            <w:pPr>
              <w:rPr>
                <w:rFonts w:ascii="宋体" w:hAnsi="宋体"/>
              </w:rPr>
            </w:pPr>
            <w:r>
              <w:rPr>
                <w:rFonts w:hint="eastAsia" w:ascii="宋体" w:hAnsi="宋体"/>
              </w:rPr>
              <w:t>对单个被投资单位的长期股权投资账面价值≥10亿元</w:t>
            </w:r>
          </w:p>
        </w:tc>
      </w:tr>
    </w:tbl>
    <w:p>
      <w:pPr>
        <w:rPr>
          <w:rFonts w:ascii="宋体" w:hAnsi="宋体"/>
        </w:rPr>
      </w:pPr>
    </w:p>
    <w:p>
      <w:pPr>
        <w:rPr>
          <w:rFonts w:ascii="宋体" w:hAnsi="宋体"/>
        </w:rPr>
      </w:pPr>
    </w:p>
    <w:p>
      <w:pPr>
        <w:rPr>
          <w:rFonts w:ascii="宋体" w:hAnsi="宋体"/>
        </w:rPr>
      </w:pPr>
    </w:p>
    <w:p>
      <w:pPr>
        <w:pStyle w:val="504"/>
        <w:numPr>
          <w:ilvl w:val="0"/>
          <w:numId w:val="61"/>
        </w:numPr>
        <w:ind w:left="426" w:hanging="284"/>
        <w:rPr>
          <w:rFonts w:ascii="宋体" w:hAnsi="宋体"/>
        </w:rPr>
      </w:pPr>
      <w:r>
        <w:rPr>
          <w:rFonts w:ascii="宋体" w:hAnsi="宋体"/>
        </w:rPr>
        <w:t>同一控制下和非同一控制下企业合并的会计处理方法</w:t>
      </w:r>
    </w:p>
    <w:sdt>
      <w:sdtPr>
        <w:rPr>
          <w:rFonts w:hint="eastAsia" w:ascii="宋体" w:hAnsi="宋体"/>
        </w:rPr>
        <w:alias w:val="是否适用：同一控制下和非同一控制下企业合并的会计处理方法[双击切换]"/>
        <w:tag w:val="_GBC_46d00db18b44411d8dd79543c30557e3"/>
        <w:id w:val="278306796"/>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同一控制下和非同一控制下企业合并的会计处理方法"/>
        <w:tag w:val="_GBC_ef4b9a8d4ac34f45a0f61a23267bcbb8"/>
        <w:id w:val="1935017269"/>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（1）同一控制下的企业合并</w:t>
          </w:r>
        </w:p>
        <w:p>
          <w:pPr>
            <w:ind w:firstLine="420" w:firstLineChars="200"/>
            <w:rPr>
              <w:rFonts w:ascii="宋体" w:hAnsi="宋体"/>
            </w:rPr>
          </w:pPr>
          <w:r>
            <w:rPr>
              <w:rFonts w:hint="eastAsia" w:ascii="宋体" w:hAnsi="宋体"/>
            </w:rPr>
            <w:t>参与合并的企业在合并前后均受同一方或相同的多方最终控制且该控制并非暂时性的，为同一控制下的企业合并。</w:t>
          </w:r>
        </w:p>
        <w:p>
          <w:pPr>
            <w:ind w:firstLine="420" w:firstLineChars="200"/>
            <w:rPr>
              <w:rFonts w:ascii="宋体" w:hAnsi="宋体"/>
            </w:rPr>
          </w:pPr>
          <w:r>
            <w:rPr>
              <w:rFonts w:hint="eastAsia" w:ascii="宋体" w:hAnsi="宋体"/>
            </w:rPr>
            <w:t>本集团作为合并方，在同一控制下企业合并中取得的资产和负债，在合并日按被合并方在最终控制方合并报表中的账面价值计量。取得的净资产账面价值与支付的合并对价账面价值（或发行股份面值总额）的差额，调整资本公积；资本公积不足冲减的，调整留存收益。</w:t>
          </w:r>
        </w:p>
        <w:p>
          <w:pPr>
            <w:ind w:firstLine="420" w:firstLineChars="200"/>
            <w:rPr>
              <w:rFonts w:ascii="宋体" w:hAnsi="宋体"/>
            </w:rPr>
          </w:pPr>
          <w:r>
            <w:rPr>
              <w:rFonts w:hint="eastAsia" w:ascii="宋体" w:hAnsi="宋体"/>
            </w:rPr>
            <w:t>（2）非同一控制下的企业合并</w:t>
          </w:r>
        </w:p>
        <w:p>
          <w:pPr>
            <w:ind w:firstLine="420" w:firstLineChars="200"/>
            <w:rPr>
              <w:rFonts w:ascii="宋体" w:hAnsi="宋体"/>
            </w:rPr>
          </w:pPr>
          <w:r>
            <w:rPr>
              <w:rFonts w:hint="eastAsia" w:ascii="宋体" w:hAnsi="宋体"/>
            </w:rPr>
            <w:t>参与合并的各方在合并前后不受同一方或相同的多方最终控制的，为非同一控制下的企业合并。</w:t>
          </w:r>
        </w:p>
        <w:p>
          <w:pPr>
            <w:ind w:firstLine="420" w:firstLineChars="200"/>
            <w:rPr>
              <w:rFonts w:ascii="宋体" w:hAnsi="宋体"/>
            </w:rPr>
          </w:pPr>
          <w:r>
            <w:rPr>
              <w:rFonts w:hint="eastAsia" w:ascii="宋体" w:hAnsi="宋体"/>
            </w:rPr>
            <w:t>本集团作为购买方，在非同一控制下企业合并中取得的被购买方可辨认资产、负债及或有负债在收购日以公允价值计量。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成本进行复核，经复核后，合并成本仍小于合并中取得的被购买方可辨认净资产公允价值份额的，将其差额计入合并当期营业外收入。</w:t>
          </w:r>
        </w:p>
      </w:sdtContent>
    </w:sdt>
    <w:p>
      <w:pPr>
        <w:rPr>
          <w:rFonts w:ascii="宋体" w:hAnsi="宋体"/>
        </w:rPr>
      </w:pPr>
    </w:p>
    <w:p>
      <w:pPr>
        <w:pStyle w:val="504"/>
        <w:numPr>
          <w:ilvl w:val="0"/>
          <w:numId w:val="61"/>
        </w:numPr>
        <w:ind w:left="426" w:hanging="284"/>
        <w:rPr>
          <w:rFonts w:ascii="宋体" w:hAnsi="宋体"/>
        </w:rPr>
      </w:pPr>
      <w:r>
        <w:rPr>
          <w:rFonts w:hint="eastAsia" w:ascii="宋体" w:hAnsi="宋体" w:cs="宋体"/>
          <w:kern w:val="0"/>
          <w:szCs w:val="24"/>
        </w:rPr>
        <w:t>控制的判断标准和</w:t>
      </w:r>
      <w:r>
        <w:rPr>
          <w:rFonts w:ascii="宋体" w:hAnsi="宋体"/>
        </w:rPr>
        <w:t>合并财务报表的编制方法</w:t>
      </w:r>
    </w:p>
    <w:sdt>
      <w:sdtPr>
        <w:rPr>
          <w:rFonts w:hint="eastAsia" w:ascii="宋体" w:hAnsi="宋体"/>
        </w:rPr>
        <w:alias w:val="是否适用：控制的判断标准和合并财务报表的编制方法[双击切换]"/>
        <w:tag w:val="_GBC_d8312ea572e647a59b796bf708b54713"/>
        <w:id w:val="164831813"/>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控制的判断标准和合并财务报表的编制方法"/>
        <w:tag w:val="_GBC_5201beca0c0944939b4a0d8d100d6fcf"/>
        <w:id w:val="-132486125"/>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本集团</w:t>
          </w:r>
          <w:bookmarkStart w:id="200" w:name="_Hlk157095503"/>
          <w:r>
            <w:rPr>
              <w:rFonts w:hint="eastAsia" w:ascii="宋体" w:hAnsi="宋体"/>
            </w:rPr>
            <w:t>合并财务报表的合并范围以控制为基础予以确定，包括本公司及本公司控制的所有子公司（含企业、被投资单位中可分割的部分，以及企业所控制的结构化主体等）。本集团判断控制的标准为，本集团拥有对被投资方的权力，通过参与被投资方的相关活动而享有可变回报，并且有能力运用对被投资方的权力影响其回报金额。</w:t>
          </w:r>
          <w:bookmarkEnd w:id="200"/>
        </w:p>
        <w:p>
          <w:pPr>
            <w:ind w:firstLine="420" w:firstLineChars="200"/>
            <w:rPr>
              <w:rFonts w:ascii="宋体" w:hAnsi="宋体"/>
            </w:rPr>
          </w:pPr>
          <w:r>
            <w:rPr>
              <w:rFonts w:hint="eastAsia" w:ascii="宋体" w:hAnsi="宋体"/>
            </w:rPr>
            <w:t>在编制合并财务报表时，子公司与本公司采用的会计政策或会计期间不一致的，按照本公司的会计政策或会计期间对子公司财务报表进行必要的调整。</w:t>
          </w:r>
        </w:p>
        <w:p>
          <w:pPr>
            <w:ind w:firstLine="420" w:firstLineChars="200"/>
            <w:rPr>
              <w:rFonts w:ascii="宋体" w:hAnsi="宋体"/>
            </w:rPr>
          </w:pPr>
          <w:r>
            <w:rPr>
              <w:rFonts w:hint="eastAsia" w:ascii="宋体" w:hAnsi="宋体"/>
            </w:rPr>
            <w:t>本公司与子公司及子公司相互之间发生的内部交易对合并财务报表的影响于合并时抵消。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pPr>
            <w:ind w:firstLine="420" w:firstLineChars="200"/>
            <w:rPr>
              <w:rFonts w:ascii="宋体" w:hAnsi="宋体"/>
            </w:rPr>
          </w:pPr>
          <w:r>
            <w:rPr>
              <w:rFonts w:hint="eastAsia" w:ascii="宋体" w:hAnsi="宋体"/>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pPr>
            <w:ind w:firstLine="420" w:firstLineChars="200"/>
            <w:rPr>
              <w:rFonts w:ascii="宋体" w:hAnsi="宋体"/>
            </w:rPr>
          </w:pPr>
          <w:r>
            <w:rPr>
              <w:rFonts w:hint="eastAsia" w:ascii="宋体" w:hAnsi="宋体"/>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pPr>
            <w:ind w:firstLine="420" w:firstLineChars="200"/>
            <w:rPr>
              <w:rFonts w:ascii="宋体" w:hAnsi="宋体"/>
            </w:rPr>
          </w:pPr>
          <w:r>
            <w:rPr>
              <w:rFonts w:hint="eastAsia" w:ascii="宋体" w:hAnsi="宋体"/>
            </w:rPr>
            <w:t>本集团在不丧失控制权的情况下部分处置对子公司的长期股权投资，在合并财务报表中，处置价款与处置长期股权投资相对应享有子公司自购买日或合并日开始持续计算的净资产份额之间的差额，调整资本公积（股本溢价），资本公积不足冲减的，调整留存收益。</w:t>
          </w:r>
        </w:p>
        <w:p>
          <w:pPr>
            <w:ind w:firstLine="420" w:firstLineChars="200"/>
            <w:rPr>
              <w:rFonts w:ascii="宋体" w:hAnsi="宋体"/>
            </w:rPr>
          </w:pPr>
          <w:r>
            <w:rPr>
              <w:rFonts w:hint="eastAsia" w:ascii="宋体" w:hAnsi="宋体"/>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pPr>
            <w:ind w:firstLine="420" w:firstLineChars="200"/>
            <w:rPr>
              <w:rFonts w:ascii="宋体" w:hAnsi="宋体"/>
            </w:rPr>
          </w:pPr>
          <w:r>
            <w:rPr>
              <w:rFonts w:hint="eastAsia" w:ascii="宋体" w:hAnsi="宋体"/>
            </w:rPr>
            <w:t>本集团通过多次交易分步处置对子公司股权投资直至丧失控制权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通过多次交易分步处置对子公司股权投资直至丧失控制权，不属于一揽子交易的，对每一项交易按照是否丧失控制权分别进行会计处理。</w:t>
          </w:r>
        </w:p>
        <w:p>
          <w:pPr>
            <w:rPr>
              <w:rFonts w:ascii="宋体" w:hAnsi="宋体"/>
            </w:rPr>
          </w:pPr>
        </w:p>
      </w:sdtContent>
    </w:sdt>
    <w:p>
      <w:pPr>
        <w:pStyle w:val="504"/>
        <w:numPr>
          <w:ilvl w:val="0"/>
          <w:numId w:val="61"/>
        </w:numPr>
        <w:ind w:left="426" w:hanging="284"/>
        <w:rPr>
          <w:rFonts w:ascii="宋体" w:hAnsi="宋体"/>
          <w:szCs w:val="21"/>
        </w:rPr>
      </w:pPr>
      <w:r>
        <w:rPr>
          <w:rFonts w:hint="eastAsia" w:ascii="宋体" w:hAnsi="宋体"/>
          <w:szCs w:val="21"/>
        </w:rPr>
        <w:t>合营安排</w:t>
      </w:r>
      <w:r>
        <w:rPr>
          <w:rFonts w:hint="eastAsia" w:ascii="宋体" w:hAnsi="宋体"/>
        </w:rPr>
        <w:t>分类</w:t>
      </w:r>
      <w:r>
        <w:rPr>
          <w:rFonts w:hint="eastAsia" w:ascii="宋体" w:hAnsi="宋体"/>
          <w:szCs w:val="21"/>
        </w:rPr>
        <w:t>及共同经营会计处理方法</w:t>
      </w:r>
    </w:p>
    <w:sdt>
      <w:sdtPr>
        <w:rPr>
          <w:rFonts w:hint="eastAsia"/>
        </w:rPr>
        <w:alias w:val="是否适用：合营安排分类及共同经营会计处理方法[双击切换]"/>
        <w:tag w:val="_GBC_e5a2f4bbc77f437e880fdd380b417236"/>
        <w:id w:val="1756550757"/>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rPr>
        <w:alias w:val="合营安排分类及共同经营会计处理方法"/>
        <w:tag w:val="_GBC_cf67ede4230c4056b34792c6a0db55e2"/>
        <w:id w:val="1329946263"/>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本集团的合营安排包括共同经营和合营企业。共同经营，是指合营方享有该安排相关资产且承担该安排相关负债的合营安排。合营企业，是指合营方仅对该安排的净资产享有权利的合营安排。</w:t>
          </w:r>
        </w:p>
        <w:p>
          <w:pPr>
            <w:ind w:firstLine="420" w:firstLineChars="200"/>
            <w:rPr>
              <w:rFonts w:ascii="宋体" w:hAnsi="宋体"/>
              <w:b/>
              <w:bCs/>
            </w:rPr>
          </w:pPr>
          <w:r>
            <w:rPr>
              <w:rFonts w:hint="eastAsia" w:ascii="宋体" w:hAnsi="宋体"/>
            </w:rPr>
            <w:t>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p>
      <w:pPr>
        <w:pStyle w:val="531"/>
      </w:pPr>
    </w:p>
    <w:p>
      <w:pPr>
        <w:pStyle w:val="504"/>
        <w:numPr>
          <w:ilvl w:val="0"/>
          <w:numId w:val="61"/>
        </w:numPr>
        <w:ind w:left="426" w:hanging="284"/>
        <w:rPr>
          <w:rFonts w:ascii="宋体" w:hAnsi="宋体"/>
        </w:rPr>
      </w:pPr>
      <w:r>
        <w:rPr>
          <w:rFonts w:ascii="宋体" w:hAnsi="宋体"/>
        </w:rPr>
        <w:t>现金及现金等价物的确定标准</w:t>
      </w:r>
    </w:p>
    <w:p>
      <w:pPr>
        <w:ind w:firstLine="420" w:firstLineChars="200"/>
        <w:rPr>
          <w:rFonts w:ascii="宋体" w:hAnsi="宋体"/>
        </w:rPr>
      </w:pPr>
      <w:r>
        <w:rPr>
          <w:rFonts w:hint="eastAsia" w:ascii="宋体" w:hAnsi="宋体"/>
        </w:rPr>
        <w:t>本集团现金流量表之现金指库存现金以及可以随时用于支付的存款。现金流量表之现金等价物指持有期限不超过3个月、流动性强、易于转换为已知金额现金且价值变动风险很小的投资。</w:t>
      </w:r>
    </w:p>
    <w:p>
      <w:pPr>
        <w:pStyle w:val="504"/>
        <w:numPr>
          <w:ilvl w:val="0"/>
          <w:numId w:val="61"/>
        </w:numPr>
        <w:ind w:left="567" w:hanging="425"/>
        <w:rPr>
          <w:rFonts w:ascii="宋体" w:hAnsi="宋体"/>
        </w:rPr>
      </w:pPr>
      <w:r>
        <w:rPr>
          <w:rFonts w:ascii="宋体" w:hAnsi="宋体"/>
        </w:rPr>
        <w:t>外币业务和外币报表折算</w:t>
      </w:r>
    </w:p>
    <w:sdt>
      <w:sdtPr>
        <w:rPr>
          <w:rFonts w:hint="eastAsia" w:ascii="宋体" w:hAnsi="宋体"/>
        </w:rPr>
        <w:alias w:val="是否适用：外币业务和外币报表折算[双击切换]"/>
        <w:tag w:val="_GBC_9c9def5a1d2241b5a3ee696d03433778"/>
        <w:id w:val="217556798"/>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外币业务核算方法"/>
        <w:tag w:val="_GBC_1703fe5fc56b42a8972c0906a4ac6d6b"/>
        <w:id w:val="1738129217"/>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（1） 外币交易</w:t>
          </w:r>
        </w:p>
        <w:p>
          <w:pPr>
            <w:ind w:firstLine="420" w:firstLineChars="200"/>
            <w:rPr>
              <w:rFonts w:ascii="宋体" w:hAnsi="宋体"/>
            </w:rPr>
          </w:pPr>
          <w:r>
            <w:rPr>
              <w:rFonts w:hint="eastAsia" w:ascii="宋体" w:hAnsi="宋体"/>
            </w:rPr>
            <w:t>本集团外币交易在初始确认时，采用交易发生日的即期汇率将外币金额折算为记账本位币金额。于资产负债表日，外币货币性项目采用资产负债表日的即期汇率折算为记账本位币，所产生的折算差额除了为购建或生产符合资本化条件的资产而借入的外币专门借款产生的汇兑差额按资本化的原则处理外，直接计入当期损益；以历史成本计量的外币非货币性项目，仍采用交易发生日的即期汇率折算，不改变其记账本位币金额；以公允价值计量的外币非货币性项目，采用公允价值确定日的即期汇率折算，折算后的记账本位币金额与原记账本位币金额的差额，作为公允价值变动（含汇率变动）处理，计入当期损益；收到投资者以外币投入的资本，采用交易发生日即期汇率折算，外币投入资本与相应的货币性项目的记账本位币金额之间不产生外币资本折算差额。</w:t>
          </w:r>
        </w:p>
        <w:p>
          <w:pPr>
            <w:ind w:firstLine="420" w:firstLineChars="200"/>
            <w:rPr>
              <w:rFonts w:ascii="宋体" w:hAnsi="宋体"/>
            </w:rPr>
          </w:pPr>
          <w:r>
            <w:rPr>
              <w:rFonts w:hint="eastAsia" w:ascii="宋体" w:hAnsi="宋体"/>
            </w:rPr>
            <w:t>（2）外币财务报表的折算</w:t>
          </w:r>
        </w:p>
        <w:p>
          <w:pPr>
            <w:ind w:firstLine="420" w:firstLineChars="200"/>
            <w:rPr>
              <w:rFonts w:ascii="宋体" w:hAnsi="宋体"/>
            </w:rPr>
          </w:pPr>
          <w:r>
            <w:rPr>
              <w:rFonts w:hint="eastAsia" w:ascii="宋体" w:hAnsi="宋体"/>
            </w:rPr>
            <w:t>本集团在编制合并财务报表时将境外经营的财务报表折算为人民币，其中：外币资产负债表中资产、负债类项目采用资产负债表日的即期汇率折算；所有者权益类项目除“未分配利润”外，均按业务发生时的即期汇率折算；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pPr>
            <w:rPr>
              <w:rFonts w:ascii="宋体" w:hAnsi="宋体"/>
            </w:rPr>
          </w:pPr>
          <w:r>
            <w:rPr>
              <w:rFonts w:hint="eastAsia" w:ascii="宋体" w:hAnsi="宋体"/>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p>
      <w:pPr>
        <w:rPr>
          <w:rFonts w:ascii="宋体" w:hAnsi="宋体"/>
        </w:rPr>
      </w:pPr>
    </w:p>
    <w:p>
      <w:pPr>
        <w:pStyle w:val="504"/>
        <w:numPr>
          <w:ilvl w:val="0"/>
          <w:numId w:val="61"/>
        </w:numPr>
        <w:ind w:left="567" w:hanging="425"/>
        <w:rPr>
          <w:rFonts w:ascii="宋体" w:hAnsi="宋体"/>
        </w:rPr>
      </w:pPr>
      <w:r>
        <w:rPr>
          <w:rFonts w:ascii="宋体" w:hAnsi="宋体"/>
        </w:rPr>
        <w:t>金融工具</w:t>
      </w:r>
    </w:p>
    <w:sdt>
      <w:sdtPr>
        <w:rPr>
          <w:rFonts w:hint="eastAsia" w:ascii="宋体" w:hAnsi="宋体"/>
        </w:rPr>
        <w:alias w:val="是否适用：金融工具_重要会计政策和估计[双击切换]"/>
        <w:tag w:val="_GBC_1537cea503f244c2af870a2a0d5fd7a9"/>
        <w:id w:val="-1820562848"/>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金融资产和金融负债的核算方法"/>
        <w:tag w:val="_GBC_b358067bbe2a49bf880c383a5db50d8a"/>
        <w:id w:val="862481361"/>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（1）金融工具的确认和终止确认</w:t>
          </w:r>
        </w:p>
        <w:p>
          <w:pPr>
            <w:ind w:firstLine="420" w:firstLineChars="200"/>
            <w:rPr>
              <w:rFonts w:ascii="宋体" w:hAnsi="宋体"/>
            </w:rPr>
          </w:pPr>
          <w:r>
            <w:rPr>
              <w:rFonts w:hint="eastAsia" w:ascii="宋体" w:hAnsi="宋体"/>
            </w:rPr>
            <w:t>本集团成为金融工具合同的一方时确认一项金融资产或金融负债。</w:t>
          </w:r>
        </w:p>
        <w:p>
          <w:pPr>
            <w:ind w:firstLine="420" w:firstLineChars="200"/>
            <w:rPr>
              <w:rFonts w:ascii="宋体" w:hAnsi="宋体"/>
            </w:rPr>
          </w:pPr>
          <w:r>
            <w:rPr>
              <w:rFonts w:hint="eastAsia" w:ascii="宋体" w:hAnsi="宋体"/>
            </w:rPr>
            <w:t>满足下列条件的，终止确认金融资产，即从其账户和资产负债表内予以转销：1）收取金融资产现金流量的权利届满；2）转移了收取金融资产现金流量的权利，或在“过手协议”下承担了及时将收取的现金流量全额支付给第三方的义务；并且实质上转让了金融资产所有权上几乎所有的风险和报酬，或虽然实质上既没有转移也没有保留金融资产所有权上几乎所有的风险和报酬，但放弃了对该金融资产的控制。</w:t>
          </w:r>
        </w:p>
        <w:p>
          <w:pPr>
            <w:ind w:firstLine="420" w:firstLineChars="200"/>
            <w:rPr>
              <w:rFonts w:ascii="宋体" w:hAnsi="宋体"/>
            </w:rPr>
          </w:pPr>
          <w:r>
            <w:rPr>
              <w:rFonts w:hint="eastAsia" w:ascii="宋体" w:hAnsi="宋体"/>
            </w:rPr>
            <w:t>如果金融负债的责任已履行、撤销或届满，则对金融负债进行终止确认。如果现有金融负债被同一债权人以实质上几乎完全不同条款的另一金融负债所取代，或现有负债的条款几乎全部被实质性修改，则此类替换或修改作为终止确认原负债和确认新负债处理，差额计入当期损益。</w:t>
          </w:r>
        </w:p>
        <w:p>
          <w:pPr>
            <w:ind w:firstLine="420" w:firstLineChars="200"/>
            <w:rPr>
              <w:rFonts w:ascii="宋体" w:hAnsi="宋体"/>
            </w:rPr>
          </w:pPr>
          <w:r>
            <w:rPr>
              <w:rFonts w:hint="eastAsia" w:ascii="宋体" w:hAnsi="宋体"/>
            </w:rPr>
            <w:t>以常规方式买卖金融资产，按交易日会计进行确认和终止确认。</w:t>
          </w:r>
        </w:p>
        <w:p>
          <w:pPr>
            <w:ind w:firstLine="420" w:firstLineChars="200"/>
            <w:rPr>
              <w:rFonts w:ascii="宋体" w:hAnsi="宋体"/>
            </w:rPr>
          </w:pPr>
          <w:r>
            <w:rPr>
              <w:rFonts w:hint="eastAsia" w:ascii="宋体" w:hAnsi="宋体"/>
            </w:rPr>
            <w:t>（2）金融资产分类和计量方法</w:t>
          </w:r>
        </w:p>
        <w:p>
          <w:pPr>
            <w:ind w:firstLine="420" w:firstLineChars="200"/>
            <w:rPr>
              <w:rFonts w:ascii="宋体" w:hAnsi="宋体"/>
            </w:rPr>
          </w:pPr>
          <w:r>
            <w:rPr>
              <w:rFonts w:hint="eastAsia" w:ascii="宋体" w:hAnsi="宋体"/>
            </w:rPr>
            <w:t>本集团的金融资产于初始确认时根据本集团管理金融资产的业务模式和金融资产的合同现金流量特征，将金融资产分类为以摊余成本计量的金融资产、以公允价值计量且其变动计入其他综合收益的金融资产、以公允价值计量且其变动计入当期损益的金融资产。当且仅当本集团改变管理金融资产的业务模式时，才对所有受影响的相关金融资产进行重分类。</w:t>
          </w:r>
        </w:p>
        <w:p>
          <w:pPr>
            <w:ind w:firstLine="420" w:firstLineChars="200"/>
            <w:rPr>
              <w:rFonts w:ascii="宋体" w:hAnsi="宋体"/>
            </w:rPr>
          </w:pPr>
          <w:r>
            <w:rPr>
              <w:rFonts w:hint="eastAsia" w:ascii="宋体" w:hAnsi="宋体"/>
            </w:rPr>
            <w:t>在判断业务模式时，本集团考虑包括企业评价和向关键管理人员报告金融资产业绩的方式、影响金融资产业绩的风险及其管理方式以及相关业务管理人员获得报酬的方式等。在评估是否以收取合同现金流量为目标时，本集团需要对金融资产到期日前的出售原因、时间、频率和价值等进行分析判断。</w:t>
          </w:r>
        </w:p>
        <w:p>
          <w:pPr>
            <w:ind w:firstLine="420" w:firstLineChars="200"/>
            <w:rPr>
              <w:rFonts w:ascii="宋体" w:hAnsi="宋体"/>
            </w:rPr>
          </w:pPr>
          <w:r>
            <w:rPr>
              <w:rFonts w:hint="eastAsia" w:ascii="宋体" w:hAnsi="宋体"/>
            </w:rPr>
            <w:t>在判断合同现金流量特征时，本集团需要判断合同现金流量是否仅为对本金和以未偿付本金为基础的利息的支付时，包含对货币时间价值的修正进行评估时，需要判断与基准现金流量相比是否具有显著差异；对包含提前还款特征的金融资产，需要判断提前还款特征的公允价值是否非常小等。</w:t>
          </w:r>
        </w:p>
        <w:p>
          <w:pPr>
            <w:ind w:firstLine="420" w:firstLineChars="200"/>
            <w:rPr>
              <w:rFonts w:ascii="宋体" w:hAnsi="宋体"/>
            </w:rPr>
          </w:pPr>
          <w:r>
            <w:rPr>
              <w:rFonts w:hint="eastAsia" w:ascii="宋体" w:hAnsi="宋体"/>
            </w:rPr>
            <w:t>金融资产在初始确认时以公允价值计量，但是因销售商品或提供服务等产生的应收账款或应收票据未包含重大融资成分或不考虑不超过一年的融资成分的，按照交易价格进行初始计量。</w:t>
          </w:r>
        </w:p>
        <w:p>
          <w:pPr>
            <w:ind w:firstLine="420" w:firstLineChars="200"/>
            <w:rPr>
              <w:rFonts w:ascii="宋体" w:hAnsi="宋体"/>
            </w:rPr>
          </w:pPr>
          <w:r>
            <w:rPr>
              <w:rFonts w:hint="eastAsia" w:ascii="宋体" w:hAnsi="宋体"/>
            </w:rPr>
            <w:t>对于以公允价值计量且其变动计入当期损益的金融资产，相关交易费用直接计入当期损益，其他类别的金融资产相关交易费用计入其初始确认金额。</w:t>
          </w:r>
        </w:p>
        <w:p>
          <w:pPr>
            <w:ind w:firstLine="420" w:firstLineChars="200"/>
            <w:rPr>
              <w:rFonts w:ascii="宋体" w:hAnsi="宋体"/>
            </w:rPr>
          </w:pPr>
          <w:r>
            <w:rPr>
              <w:rFonts w:hint="eastAsia" w:ascii="宋体" w:hAnsi="宋体"/>
            </w:rPr>
            <w:t>金融资产的后续计量取决于其分类：</w:t>
          </w:r>
        </w:p>
        <w:p>
          <w:pPr>
            <w:ind w:firstLine="420" w:firstLineChars="200"/>
            <w:rPr>
              <w:rFonts w:ascii="宋体" w:hAnsi="宋体"/>
            </w:rPr>
          </w:pPr>
          <w:r>
            <w:rPr>
              <w:rFonts w:hint="eastAsia" w:ascii="宋体" w:hAnsi="宋体"/>
            </w:rPr>
            <w:t>1）以摊余成本计量的金融资产</w:t>
          </w:r>
        </w:p>
        <w:p>
          <w:pPr>
            <w:rPr>
              <w:rFonts w:ascii="宋体" w:hAnsi="宋体"/>
            </w:rPr>
          </w:pPr>
          <w:r>
            <w:rPr>
              <w:rFonts w:hint="eastAsia" w:ascii="宋体" w:hAnsi="宋体"/>
            </w:rPr>
            <w:t>金融资产同时符合下列条件的，分类为以摊余成本计量的金融资产：①管理该金融资产的业务模式是以收取合同现金流量为目标。②该金融资产的合同条款规定，在特定日期产生的现金流量，仅为对本金和以未偿付本金金额为基础的利息的支付。本集团该分类的金融资产主要包括：货币资金、应收票据、应收账款、其他应收款、长期应收款、债权投资、发放贷款及垫款、应收企业借款、应收保理款。</w:t>
          </w:r>
        </w:p>
        <w:p>
          <w:pPr>
            <w:ind w:firstLine="420" w:firstLineChars="200"/>
            <w:rPr>
              <w:rFonts w:ascii="宋体" w:hAnsi="宋体"/>
            </w:rPr>
          </w:pPr>
          <w:r>
            <w:rPr>
              <w:rFonts w:hint="eastAsia" w:ascii="宋体" w:hAnsi="宋体"/>
            </w:rPr>
            <w:t>2）以公允价值计量且其变动计入其他综合收益的债务工具投资</w:t>
          </w:r>
        </w:p>
        <w:p>
          <w:pPr>
            <w:ind w:firstLine="420" w:firstLineChars="200"/>
            <w:rPr>
              <w:rFonts w:ascii="宋体" w:hAnsi="宋体"/>
            </w:rPr>
          </w:pPr>
          <w:r>
            <w:rPr>
              <w:rFonts w:hint="eastAsia" w:ascii="宋体" w:hAnsi="宋体"/>
            </w:rPr>
            <w:t>金融资产同时符合下列条件的，分类为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未偿付本金金额为基础的利息的支付。此类金融资产采用实际利率法确认利息收入。除利息收入、减值损失及汇兑差额确认为当期损益外，其余公允价值变动计入其他综合收益。当金融资产终止确认时，之前计入其他综合收益的累计利得或损失从其他综合收益转出，计入当期损益。本集团该分类的金融资产主要包括：应收款项融资。</w:t>
          </w:r>
        </w:p>
        <w:p>
          <w:pPr>
            <w:ind w:firstLine="420" w:firstLineChars="200"/>
            <w:rPr>
              <w:rFonts w:ascii="宋体" w:hAnsi="宋体"/>
            </w:rPr>
          </w:pPr>
          <w:r>
            <w:rPr>
              <w:rFonts w:hint="eastAsia" w:ascii="宋体" w:hAnsi="宋体"/>
            </w:rPr>
            <w:t>3）以公允价值计量且其变动计入其他综合收益的权益工具投资</w:t>
          </w:r>
        </w:p>
        <w:p>
          <w:pPr>
            <w:ind w:firstLine="420" w:firstLineChars="200"/>
            <w:rPr>
              <w:rFonts w:ascii="宋体" w:hAnsi="宋体"/>
            </w:rPr>
          </w:pPr>
          <w:r>
            <w:rPr>
              <w:rFonts w:hint="eastAsia" w:ascii="宋体" w:hAnsi="宋体"/>
            </w:rPr>
            <w:t>本集团不可撤销地选择将部分非交易性权益工具投资指定为以公允价值计量且其变动计入其他综合收益的金融资产，该指定一经作出，不得撤销。本集团仅将相关股利收入（明确作为投资成本部分收回的股利收入除外）计入当期损益，公允价值的后续变动计入其他综合收益，不需计提减值准备。当金融资产终止确认时，之前计入其他综合收益的累计利得或损失从其他综合收益转出，计入留存收益。本集团该分类的金融资产为其他权益工具投资。</w:t>
          </w:r>
        </w:p>
        <w:p>
          <w:pPr>
            <w:ind w:firstLine="420" w:firstLineChars="200"/>
            <w:rPr>
              <w:rFonts w:ascii="宋体" w:hAnsi="宋体"/>
            </w:rPr>
          </w:pPr>
          <w:r>
            <w:rPr>
              <w:rFonts w:hint="eastAsia" w:ascii="宋体" w:hAnsi="宋体"/>
            </w:rPr>
            <w:t>4）以公允价值计量且其变动计入当期损益的金融资产</w:t>
          </w:r>
        </w:p>
        <w:p>
          <w:pPr>
            <w:rPr>
              <w:rFonts w:ascii="宋体" w:hAnsi="宋体"/>
            </w:rPr>
          </w:pPr>
          <w:r>
            <w:rPr>
              <w:rFonts w:hint="eastAsia" w:ascii="宋体" w:hAnsi="宋体"/>
            </w:rPr>
            <w:t>除上述分类为以摊余成本计量的金融资产和分类或指定为以公允价值计量且其变动计入其他综合收益的金融资产之外的金融资产，本集团将其分类为以公允价值计量且其变动计入当期损益的金融资产。此类金融资产按照公允价值进行后续计量，除与套期会计有关外，所有公允价值变动计入当期损益。本集团该分类的金融资产主要包括：交易性金融资产和其他非流动金融资产。</w:t>
          </w:r>
        </w:p>
        <w:p>
          <w:pPr>
            <w:rPr>
              <w:rFonts w:ascii="宋体" w:hAnsi="宋体"/>
            </w:rPr>
          </w:pPr>
          <w:r>
            <w:rPr>
              <w:rFonts w:hint="eastAsia" w:ascii="宋体" w:hAnsi="宋体"/>
            </w:rPr>
            <w:t>本集团在非同一控制下的企业合并中确认的或有对价构成金融资产的，该金融资产分类为以公允价值计量且其变动计入当期损益的金融资产。</w:t>
          </w:r>
        </w:p>
        <w:p>
          <w:pPr>
            <w:ind w:firstLine="420" w:firstLineChars="200"/>
            <w:rPr>
              <w:rFonts w:ascii="宋体" w:hAnsi="宋体"/>
            </w:rPr>
          </w:pPr>
          <w:r>
            <w:rPr>
              <w:rFonts w:hint="eastAsia" w:ascii="宋体" w:hAnsi="宋体"/>
            </w:rPr>
            <w:t>（3） 金融负债分类、确认依据和计量方法</w:t>
          </w:r>
        </w:p>
        <w:p>
          <w:pPr>
            <w:rPr>
              <w:rFonts w:ascii="宋体" w:hAnsi="宋体"/>
            </w:rPr>
          </w:pPr>
          <w:r>
            <w:rPr>
              <w:rFonts w:hint="eastAsia" w:ascii="宋体" w:hAnsi="宋体"/>
            </w:rPr>
            <w:t>除了签发的财务担保合同、以低于市场利率贷款的贷款承诺及由于金融资产转移不符合终止确认条件或继续涉入被转移金融资产所形成的金融负债以外，本集团的金融负债于初始确认时分类为：以公允价值计量且其变动计入当期损益的金融负债、以摊余成本计量的金融负债。对于以公允价值计量且其变动计入当期损益的金融负债，相关交易费用直接计入当期损益，以摊余成本计量的金融负债的相关交易费用计入其初始确认金额。</w:t>
          </w:r>
        </w:p>
        <w:p>
          <w:pPr>
            <w:ind w:firstLine="420" w:firstLineChars="200"/>
            <w:rPr>
              <w:rFonts w:ascii="宋体" w:hAnsi="宋体"/>
            </w:rPr>
          </w:pPr>
          <w:r>
            <w:rPr>
              <w:rFonts w:hint="eastAsia" w:ascii="宋体" w:hAnsi="宋体"/>
            </w:rPr>
            <w:t>金融负债的后续计量取决于其分类：</w:t>
          </w:r>
        </w:p>
        <w:p>
          <w:pPr>
            <w:ind w:firstLine="420" w:firstLineChars="200"/>
            <w:rPr>
              <w:rFonts w:ascii="宋体" w:hAnsi="宋体"/>
            </w:rPr>
          </w:pPr>
          <w:r>
            <w:rPr>
              <w:rFonts w:hint="eastAsia" w:ascii="宋体" w:hAnsi="宋体"/>
            </w:rPr>
            <w:t>1）以摊余成本计量的金融负债</w:t>
          </w:r>
        </w:p>
        <w:p>
          <w:pPr>
            <w:ind w:firstLine="420" w:firstLineChars="200"/>
            <w:rPr>
              <w:rFonts w:ascii="宋体" w:hAnsi="宋体"/>
            </w:rPr>
          </w:pPr>
          <w:r>
            <w:rPr>
              <w:rFonts w:hint="eastAsia" w:ascii="宋体" w:hAnsi="宋体"/>
            </w:rPr>
            <w:t>以摊余成本计量的金融负债，采用实际利率法，按照摊余成本进行后续计量。</w:t>
          </w:r>
        </w:p>
        <w:p>
          <w:pPr>
            <w:ind w:firstLine="420" w:firstLineChars="200"/>
            <w:rPr>
              <w:rFonts w:ascii="宋体" w:hAnsi="宋体"/>
            </w:rPr>
          </w:pPr>
          <w:r>
            <w:rPr>
              <w:rFonts w:hint="eastAsia" w:ascii="宋体" w:hAnsi="宋体"/>
            </w:rPr>
            <w:t>2）以公允价值计量且其变动计入当期损益的金融负债</w:t>
          </w:r>
        </w:p>
        <w:p>
          <w:pPr>
            <w:ind w:firstLine="420" w:firstLineChars="200"/>
            <w:rPr>
              <w:rFonts w:ascii="宋体" w:hAnsi="宋体"/>
            </w:rPr>
          </w:pPr>
          <w:r>
            <w:rPr>
              <w:rFonts w:hint="eastAsia" w:ascii="宋体" w:hAnsi="宋体"/>
            </w:rPr>
            <w:t>以公允价值计量且其变动计入当期损益的金融负债（含属于金融负债的衍生工具），包括交易性金融负债和初始确认时指定为以公允价值计量且其变动计入当期损益的金融负债。交易性金融负债（含属于金融负债的衍生工具），按照公允价值进行后续计量，（除与套期会计有关外）所有公允价值变动均计入当期损益。对于指定为以公允价值计量且其变动计入当期损益的金融负债，按照公允价值进行后续计量，除由本集团自身信用风险变动引起的公允价值变动计入其他综合收益之外，其他公允价值变动计入当期损益；如果由本集团自身信用风险变动引起的公允价值变动计入其他综合收益会造成或扩大损益中的会计错配，本集团将所有公允价值变动（包括自身信用风险变动的影响金额）计入当期损益。</w:t>
          </w:r>
        </w:p>
        <w:p>
          <w:pPr>
            <w:ind w:firstLine="420" w:firstLineChars="200"/>
            <w:rPr>
              <w:rFonts w:ascii="宋体" w:hAnsi="宋体"/>
            </w:rPr>
          </w:pPr>
          <w:r>
            <w:rPr>
              <w:rFonts w:hint="eastAsia" w:ascii="宋体" w:hAnsi="宋体"/>
            </w:rPr>
            <w:t>本集团将在非同一控制下的企业合并中作为购买方确认的或有对价形成金融负债的，按照以公允价值计量且其变动计入当期损益进行会计处理。</w:t>
          </w:r>
        </w:p>
        <w:p>
          <w:pPr>
            <w:ind w:firstLine="420" w:firstLineChars="200"/>
            <w:rPr>
              <w:rFonts w:ascii="宋体" w:hAnsi="宋体"/>
            </w:rPr>
          </w:pPr>
          <w:r>
            <w:rPr>
              <w:rFonts w:hint="eastAsia" w:ascii="宋体" w:hAnsi="宋体"/>
            </w:rPr>
            <w:t>（4）金融工具减值</w:t>
          </w:r>
        </w:p>
        <w:p>
          <w:pPr>
            <w:ind w:firstLine="420" w:firstLineChars="200"/>
            <w:rPr>
              <w:rFonts w:ascii="宋体" w:hAnsi="宋体"/>
            </w:rPr>
          </w:pPr>
          <w:r>
            <w:rPr>
              <w:rFonts w:hint="eastAsia" w:ascii="宋体" w:hAnsi="宋体"/>
            </w:rPr>
            <w:t>本集团以预期信用损失为基础，对以摊余成本计量的金融资产、以公允价值计量且其变动计入其他综合收益的债权投资、合同资产、租赁应收款、贷款承诺及财务担保合同进行减值处理并确认损失准备。</w:t>
          </w:r>
        </w:p>
        <w:p>
          <w:pPr>
            <w:ind w:firstLine="420" w:firstLineChars="200"/>
            <w:rPr>
              <w:rFonts w:ascii="宋体" w:hAnsi="宋体"/>
            </w:rPr>
          </w:pPr>
          <w:r>
            <w:rPr>
              <w:rFonts w:hint="eastAsia" w:ascii="宋体" w:hAnsi="宋体"/>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本集团考虑预期信用损失计量方法时反映如下要素：①通过评价一系列可能的结果而确定的无偏概率加权平均金额；②货币时间价值；③在资产负债表日无须付出不必要的额外成本或即可获得的有关过去事项、当前状况以及未来经济状况预测的合理且有依据的信息。</w:t>
          </w:r>
        </w:p>
        <w:p>
          <w:pPr>
            <w:ind w:firstLine="420" w:firstLineChars="200"/>
            <w:rPr>
              <w:rFonts w:ascii="宋体" w:hAnsi="宋体"/>
            </w:rPr>
          </w:pPr>
          <w:r>
            <w:rPr>
              <w:rFonts w:hint="eastAsia" w:ascii="宋体" w:hAnsi="宋体"/>
            </w:rPr>
            <w:t>本集团基于单项和组合评估金融工具的预期信用损失，以组合为基础进行评估时，本集团基于共同信用风险特征将金融工具分为不同组别。本集团采用的共同信用风险特征包括：金融工具类型、信用风险评级、债务人所处地理位置、债务人所处行业、逾期信息、应收款项账龄等。</w:t>
          </w:r>
        </w:p>
        <w:p>
          <w:pPr>
            <w:ind w:firstLine="420" w:firstLineChars="200"/>
            <w:rPr>
              <w:rFonts w:ascii="宋体" w:hAnsi="宋体"/>
            </w:rPr>
          </w:pPr>
          <w:r>
            <w:rPr>
              <w:rFonts w:hint="eastAsia" w:ascii="宋体" w:hAnsi="宋体"/>
            </w:rPr>
            <w:t>本集团采用预期信用损失模型对金融工具和合同资产的减值进行评估需要做出重大判断和估计，需考虑所有合理且有依据的信息，包括前瞻性信息。在做出这些判断和估计时，本集团根据历史还款数据结合经济政策、宏观经济指标、行业风险等因素推断债务人信用风险的预期变动。不同的估计可能会影响减值准备的计提，已计提的减值准备可能并不等于未来实际的减值损失金额。</w:t>
          </w:r>
        </w:p>
        <w:p>
          <w:pPr>
            <w:ind w:firstLine="420" w:firstLineChars="200"/>
            <w:rPr>
              <w:rFonts w:ascii="宋体" w:hAnsi="宋体"/>
            </w:rPr>
          </w:pPr>
          <w:r>
            <w:rPr>
              <w:rFonts w:hint="eastAsia" w:ascii="宋体" w:hAnsi="宋体"/>
            </w:rPr>
            <w:t>1）应收款项和合同资产的减值测试方法</w:t>
          </w:r>
        </w:p>
        <w:p>
          <w:pPr>
            <w:ind w:firstLine="420" w:firstLineChars="200"/>
            <w:rPr>
              <w:rFonts w:ascii="宋体" w:hAnsi="宋体"/>
            </w:rPr>
          </w:pPr>
          <w:r>
            <w:rPr>
              <w:rFonts w:hint="eastAsia" w:ascii="宋体" w:hAnsi="宋体"/>
            </w:rPr>
            <w:t>对于因销售商品、提供劳务等日常经营活动形成的不含重大融资成分的应收账款、合同资产等应收款项，本集团运用简化计量方法，按照相当于整个存续期内的预期信用损失金额计量损失准备。</w:t>
          </w:r>
        </w:p>
        <w:p>
          <w:pPr>
            <w:ind w:firstLine="420" w:firstLineChars="200"/>
            <w:rPr>
              <w:rFonts w:ascii="宋体" w:hAnsi="宋体"/>
            </w:rPr>
          </w:pPr>
          <w:r>
            <w:rPr>
              <w:rFonts w:hint="eastAsia" w:ascii="宋体" w:hAnsi="宋体"/>
            </w:rPr>
            <w:t>对于租赁应收款、包含重大融资成分的应收款项以及合同资产、其他应收款、应收票据、应收款项融资，本集团选择运用预期信用损失一般模型计量损失准备。</w:t>
          </w:r>
        </w:p>
        <w:p>
          <w:pPr>
            <w:ind w:firstLine="420" w:firstLineChars="200"/>
            <w:rPr>
              <w:rFonts w:ascii="宋体" w:hAnsi="宋体"/>
            </w:rPr>
          </w:pPr>
          <w:r>
            <w:rPr>
              <w:rFonts w:hint="eastAsia" w:ascii="宋体" w:hAnsi="宋体"/>
            </w:rPr>
            <w:t>本集团将特定客户的应收款项确认为单项金额重大的应收款项。本集团对单项金额重大的应收款项单独进行减值测试。</w:t>
          </w:r>
        </w:p>
        <w:p>
          <w:pPr>
            <w:ind w:firstLine="420" w:firstLineChars="200"/>
            <w:rPr>
              <w:rFonts w:ascii="宋体" w:hAnsi="宋体"/>
            </w:rPr>
          </w:pPr>
          <w:r>
            <w:rPr>
              <w:rFonts w:hint="eastAsia" w:ascii="宋体" w:hAnsi="宋体"/>
            </w:rPr>
            <w:t>对于应收款项，除对单项金额重大且已发生信用减值的款项单项确定其信用损失外，通常按照共同信用风险特征组合的基础上，考虑预期信用损失计量方法应反映的要素，参考历史信用损失经验，编制应收账款逾期天数/应收账款账龄与违约损失率对照表，以此为基础计算预期信用损失。若某一客户信用风险特征与组合中其他客户显著不同，或该客户信用风险特征发生显著变化，例如客户发生严重财务困难，应收该客户款项的预期信用损失率已显著高于其所处于账龄、逾期区间的预期信用损失率等，本集团对应收该客户款项按照单项计提损失准备。</w:t>
          </w:r>
        </w:p>
        <w:p>
          <w:pPr>
            <w:ind w:firstLine="420" w:firstLineChars="200"/>
            <w:rPr>
              <w:rFonts w:ascii="宋体" w:hAnsi="宋体"/>
            </w:rPr>
          </w:pPr>
          <w:r>
            <w:rPr>
              <w:rFonts w:hint="eastAsia" w:ascii="宋体" w:hAnsi="宋体"/>
            </w:rPr>
            <w:t>本集团根据应收账款(与合同资产)的账龄、款项性质、信用风险敞口、历史回款情况等信息为基础，按信用风险特征的相似性和相关性进行分组。对于应收账款（与合同资产），本集团判断账龄为其信用风险主要影响因素，因此，本集团以账龄组合组合为基础评估其预期信用损失。本集团根据确认收入的日期确定账龄。</w:t>
          </w:r>
        </w:p>
        <w:p>
          <w:pPr>
            <w:ind w:firstLine="420" w:firstLineChars="200"/>
            <w:rPr>
              <w:rFonts w:ascii="宋体" w:hAnsi="宋体"/>
            </w:rPr>
          </w:pPr>
          <w:r>
            <w:rPr>
              <w:rFonts w:hint="eastAsia" w:ascii="宋体" w:hAnsi="宋体"/>
            </w:rPr>
            <w:t>2）债权投资、其他债权投资、贷款承诺、财务担保合同、租赁应收款、应收款项融资及应收票据的减值测试方法</w:t>
          </w:r>
        </w:p>
        <w:p>
          <w:pPr>
            <w:ind w:firstLine="420" w:firstLineChars="200"/>
            <w:rPr>
              <w:rFonts w:ascii="宋体" w:hAnsi="宋体"/>
            </w:rPr>
          </w:pPr>
          <w:r>
            <w:rPr>
              <w:rFonts w:hint="eastAsia" w:ascii="宋体" w:hAnsi="宋体"/>
            </w:rPr>
            <w:t>除上述采用简化计量方法以外的金融资产，本集团采用一般方法（三阶段法）计提预期信用损失。在每个资产负债表日，本集团评估其信用风险自初始确认后是否已经显著增加，如果信用风险自初始确认后未显著增加，处于第一阶段，本集团按照相当于未来12个月内预期信用损失的金额计量损失准备，并按照账面余额和实际利率计算利息收入；如果信用风险自初始确认后已显著增加但尚未发生信用减值的，处于第二阶段，本集团按照相当于整个存续期内预期信用损失的金额计量损失准备，并按照账面余额和实际利率计算利息收入；如果初始确认后发生信用减值的，处于第三阶段，本集团按照相当于整个存续期内预期信用损失的金额计量损失准备，并按照摊余成本和实际利率计算利息收入。对于资产负债表日只具有较低信用风险的金融工具，本集团假设其信用风险自初始确认后未显著增加。</w:t>
          </w:r>
        </w:p>
        <w:p>
          <w:pPr>
            <w:ind w:firstLine="420" w:firstLineChars="200"/>
            <w:rPr>
              <w:rFonts w:ascii="宋体" w:hAnsi="宋体"/>
            </w:rPr>
          </w:pPr>
          <w:r>
            <w:rPr>
              <w:rFonts w:hint="eastAsia" w:ascii="宋体" w:hAnsi="宋体"/>
            </w:rPr>
            <w:t>整个存续期预期信用损失，是指因金融工具整个预计存续期内所有可能发生的违约事件而导致的预期信用损失。未来12个月内预期信用损失，是指因资产负债表日后12个月内 (若金融工具的预计存续期少于12个月，则为预计存续期) 可能发生的金融工具违约事件而导致的预期信用损失，是整个存续期预期信用损失的一部分。</w:t>
          </w:r>
        </w:p>
        <w:p>
          <w:pPr>
            <w:ind w:firstLine="420" w:firstLineChars="200"/>
            <w:rPr>
              <w:rFonts w:ascii="宋体" w:hAnsi="宋体"/>
            </w:rPr>
          </w:pPr>
          <w:r>
            <w:rPr>
              <w:rFonts w:hint="eastAsia" w:ascii="宋体" w:hAnsi="宋体"/>
            </w:rPr>
            <w:t>（5）金融资产转移的确认依据和计量方法</w:t>
          </w:r>
        </w:p>
        <w:p>
          <w:pPr>
            <w:ind w:firstLine="420" w:firstLineChars="200"/>
            <w:rPr>
              <w:rFonts w:ascii="宋体" w:hAnsi="宋体"/>
            </w:rPr>
          </w:pPr>
          <w:r>
            <w:rPr>
              <w:rFonts w:hint="eastAsia" w:ascii="宋体" w:hAnsi="宋体"/>
            </w:rPr>
            <w:t>对于金融资产转移交易，本集团已将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放弃了对该金融资产控制的，终止确认该金融资产并确认产生的资产和负债，未放弃对该金融资产控制的，按照其继续涉入所转移金融资产的程度确认有关金融资产，并相应确认有关负债。</w:t>
          </w:r>
        </w:p>
        <w:p>
          <w:pPr>
            <w:ind w:firstLine="420" w:firstLineChars="200"/>
            <w:rPr>
              <w:rFonts w:ascii="宋体" w:hAnsi="宋体"/>
            </w:rPr>
          </w:pPr>
          <w:r>
            <w:rPr>
              <w:rFonts w:hint="eastAsia" w:ascii="宋体" w:hAnsi="宋体"/>
            </w:rPr>
            <w:t>金融资产整体转移满足终止确认条件的，将所转移金融资产在终止确认日的账面价值，与因转移而收到的对价及原直接计入其他综合收益的公允价值变动累计额中对应终止确认部分的金额（涉及转移的金融资产同时符合下列条件：①集团管理该金融资产的业务模式既以收取合同现金流量为目标又以出售该金融资产为目标；②该金融资产的合同条款规定，在特定日期产生的现金流量，仅为对本金和以未偿付本金金额为基础的利息的支付。）之和的差额计入当期损益。</w:t>
          </w:r>
        </w:p>
        <w:p>
          <w:pPr>
            <w:ind w:firstLine="420" w:firstLineChars="200"/>
            <w:rPr>
              <w:rFonts w:ascii="宋体" w:hAnsi="宋体"/>
            </w:rPr>
          </w:pPr>
          <w:r>
            <w:rPr>
              <w:rFonts w:hint="eastAsia" w:ascii="宋体" w:hAnsi="宋体"/>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同时符合下列条件：①集团管理该金融资产的业务模式既以收取合同现金流量为目标又以出售该金融资产为目标；②该金融资产的合同条款规定，在特定日期产生的现金流量，仅为对本金和以未偿付本金金额为基础的利息的支付。）之和，与分摊的前述金融资产整体账面价值的差额计入当期损益。</w:t>
          </w:r>
        </w:p>
        <w:p>
          <w:pPr>
            <w:ind w:firstLine="420" w:firstLineChars="200"/>
            <w:rPr>
              <w:rFonts w:ascii="宋体" w:hAnsi="宋体"/>
            </w:rPr>
          </w:pPr>
          <w:r>
            <w:rPr>
              <w:rFonts w:hint="eastAsia" w:ascii="宋体" w:hAnsi="宋体"/>
            </w:rPr>
            <w:t>通过对所转移金融资产提供财务担保方式继续涉入的，按照金融资产的账面价值和财务担保金额两者之中的较低者，确认继续涉入形成的资产。财务担保金额，是指所收到的对价中，将被要求偿还的最高金额。</w:t>
          </w:r>
        </w:p>
        <w:p>
          <w:pPr>
            <w:ind w:firstLine="420" w:firstLineChars="200"/>
            <w:rPr>
              <w:rFonts w:ascii="宋体" w:hAnsi="宋体"/>
            </w:rPr>
          </w:pPr>
          <w:r>
            <w:rPr>
              <w:rFonts w:hint="eastAsia" w:ascii="宋体" w:hAnsi="宋体"/>
            </w:rPr>
            <w:t>（6）金融负债与权益工具的区分及相关处理方法</w:t>
          </w:r>
        </w:p>
        <w:p>
          <w:pPr>
            <w:ind w:firstLine="420" w:firstLineChars="200"/>
            <w:rPr>
              <w:rFonts w:ascii="宋体" w:hAnsi="宋体"/>
            </w:rPr>
          </w:pPr>
          <w:r>
            <w:rPr>
              <w:rFonts w:hint="eastAsia" w:ascii="宋体" w:hAnsi="宋体"/>
            </w:rPr>
            <w:t>本集团按照以下原则区分金融负债与权益工具：（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pPr>
            <w:ind w:firstLine="420" w:firstLineChars="200"/>
            <w:rPr>
              <w:rFonts w:ascii="宋体" w:hAnsi="宋体"/>
            </w:rPr>
          </w:pPr>
          <w:r>
            <w:rPr>
              <w:rFonts w:hint="eastAsia" w:ascii="宋体" w:hAnsi="宋体"/>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pPr>
            <w:ind w:firstLine="420" w:firstLineChars="200"/>
            <w:rPr>
              <w:rFonts w:ascii="宋体" w:hAnsi="宋体"/>
            </w:rPr>
          </w:pPr>
          <w:r>
            <w:rPr>
              <w:rFonts w:hint="eastAsia" w:ascii="宋体" w:hAnsi="宋体"/>
            </w:rPr>
            <w:t>本集团根据所发行的永续债的合同条款及其所反映的经济实质，结合金融资产、金融负债和权益工具的定义，在初始确认时将这些金融工具或其组成部分分类为金融资产、金融负债或权益工具。</w:t>
          </w:r>
        </w:p>
        <w:p>
          <w:pPr>
            <w:ind w:firstLine="420" w:firstLineChars="200"/>
            <w:rPr>
              <w:rFonts w:ascii="宋体" w:hAnsi="宋体"/>
            </w:rPr>
          </w:pPr>
          <w:r>
            <w:rPr>
              <w:rFonts w:hint="eastAsia" w:ascii="宋体" w:hAnsi="宋体"/>
            </w:rPr>
            <w:t>金融工具或其组成部分属于金融负债的，相关利息、股利（或股息）、利得或损失，以及赎回或再融资产生的利得或损失等，本集团计入当期损益。</w:t>
          </w:r>
        </w:p>
        <w:p>
          <w:pPr>
            <w:ind w:firstLine="420" w:firstLineChars="200"/>
            <w:rPr>
              <w:rFonts w:ascii="宋体" w:hAnsi="宋体"/>
            </w:rPr>
          </w:pPr>
          <w:r>
            <w:rPr>
              <w:rFonts w:hint="eastAsia" w:ascii="宋体" w:hAnsi="宋体"/>
            </w:rPr>
            <w:t>金融工具或其组成部分属于权益工具的，其发行（含再融资）、回购、出售或注销时，本集团作为权益的变动处理，不确认权益工具的公允价值变动。</w:t>
          </w:r>
        </w:p>
        <w:p>
          <w:pPr>
            <w:ind w:firstLine="420" w:firstLineChars="200"/>
            <w:rPr>
              <w:rFonts w:ascii="宋体" w:hAnsi="宋体"/>
            </w:rPr>
          </w:pPr>
          <w:r>
            <w:rPr>
              <w:rFonts w:hint="eastAsia" w:ascii="宋体" w:hAnsi="宋体"/>
            </w:rPr>
            <w:t>（7）衍生金融工具</w:t>
          </w:r>
        </w:p>
        <w:p>
          <w:pPr>
            <w:ind w:firstLine="420" w:firstLineChars="200"/>
            <w:rPr>
              <w:rFonts w:ascii="宋体" w:hAnsi="宋体"/>
            </w:rPr>
          </w:pPr>
          <w:r>
            <w:rPr>
              <w:rFonts w:hint="eastAsia" w:ascii="宋体" w:hAnsi="宋体"/>
            </w:rPr>
            <w:t>本集团使用衍生金融工具，例如以外汇远期合同、商品远期合同和利率互换，分别对汇率风险、商品价格风险和利率风险进行套期。衍生金融工具初始以衍生交易合同签订当日的公允价值进行计量，并以其公允价值进行后续计量。公允价值为正数的衍生金融工具确认为一项资产，公允价值为负数的确认为一项负债。</w:t>
          </w:r>
        </w:p>
        <w:p>
          <w:pPr>
            <w:ind w:firstLine="420" w:firstLineChars="200"/>
            <w:rPr>
              <w:rFonts w:ascii="宋体" w:hAnsi="宋体"/>
            </w:rPr>
          </w:pPr>
          <w:r>
            <w:rPr>
              <w:rFonts w:hint="eastAsia" w:ascii="宋体" w:hAnsi="宋体"/>
            </w:rPr>
            <w:t>除与套期会计有关外，衍生工具公允价值变动产生的利得或损失直接计入当期损益。</w:t>
          </w:r>
        </w:p>
        <w:p>
          <w:pPr>
            <w:ind w:firstLine="420" w:firstLineChars="200"/>
            <w:rPr>
              <w:rFonts w:ascii="宋体" w:hAnsi="宋体"/>
            </w:rPr>
          </w:pPr>
          <w:r>
            <w:rPr>
              <w:rFonts w:hint="eastAsia" w:ascii="宋体" w:hAnsi="宋体"/>
            </w:rPr>
            <w:t>（8）金融资产和金融负债的抵销</w:t>
          </w:r>
        </w:p>
        <w:p>
          <w:pPr>
            <w:ind w:firstLine="420" w:firstLineChars="200"/>
            <w:rPr>
              <w:rFonts w:ascii="宋体" w:hAnsi="宋体"/>
            </w:rPr>
          </w:pPr>
          <w:r>
            <w:rPr>
              <w:rFonts w:hint="eastAsia" w:ascii="宋体" w:hAnsi="宋体"/>
            </w:rPr>
            <w:t>本集团的金融资产和金融负债在资产负债表内分别列示，不相互抵销。但同时满足下列条件时，以相互抵销后的净额在资产负债表内列示：（1）本集团具有抵销已确认金额的法定权利，且该种法定权利是当前可执行的；（2）本集团计划以净额结算，或同时变现该金融资产和清偿该金融负债。</w:t>
          </w:r>
        </w:p>
      </w:sdtContent>
    </w:sdt>
    <w:p>
      <w:pPr>
        <w:rPr>
          <w:rFonts w:ascii="宋体" w:hAnsi="宋体"/>
        </w:rPr>
      </w:pPr>
    </w:p>
    <w:p>
      <w:pPr>
        <w:pStyle w:val="504"/>
        <w:numPr>
          <w:ilvl w:val="0"/>
          <w:numId w:val="61"/>
        </w:numPr>
        <w:ind w:left="567" w:hanging="425"/>
        <w:rPr>
          <w:rFonts w:ascii="宋体" w:hAnsi="宋体" w:cs="宋体"/>
          <w:kern w:val="0"/>
          <w:szCs w:val="21"/>
        </w:rPr>
      </w:pPr>
      <w:bookmarkStart w:id="201" w:name="_Hlk533667757"/>
      <w:r>
        <w:rPr>
          <w:rFonts w:hint="eastAsia" w:ascii="宋体" w:hAnsi="宋体" w:cs="宋体"/>
          <w:kern w:val="0"/>
          <w:szCs w:val="21"/>
        </w:rPr>
        <w:t>应收票据</w:t>
      </w:r>
    </w:p>
    <w:sdt>
      <w:sdtPr>
        <w:alias w:val="是否适用：应收票据_重要会计政策和估计[双击切换]"/>
        <w:tag w:val="_GBC_71282cbeee2f4e2784a0766b8ae627ef"/>
        <w:id w:val="2036921717"/>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1"/>
    <w:p>
      <w:pPr>
        <w:rPr>
          <w:rFonts w:ascii="宋体" w:hAnsi="宋体"/>
        </w:rPr>
      </w:pPr>
    </w:p>
    <w:p>
      <w:pPr>
        <w:pStyle w:val="504"/>
        <w:numPr>
          <w:ilvl w:val="0"/>
          <w:numId w:val="61"/>
        </w:numPr>
        <w:ind w:left="567" w:hanging="425"/>
        <w:rPr>
          <w:rFonts w:ascii="宋体" w:hAnsi="宋体" w:cs="宋体"/>
          <w:kern w:val="0"/>
          <w:szCs w:val="21"/>
        </w:rPr>
      </w:pPr>
      <w:bookmarkStart w:id="202" w:name="_Hlk533667783"/>
      <w:bookmarkStart w:id="203" w:name="_Hlk152690378"/>
      <w:r>
        <w:rPr>
          <w:rFonts w:hint="eastAsia" w:ascii="宋体" w:hAnsi="宋体" w:cs="宋体"/>
          <w:kern w:val="0"/>
          <w:szCs w:val="21"/>
        </w:rPr>
        <w:t>应收账款</w:t>
      </w:r>
    </w:p>
    <w:sdt>
      <w:sdtPr>
        <w:rPr>
          <w:rFonts w:hint="eastAsia"/>
        </w:rPr>
        <w:alias w:val="是否适用：应收账款_重要会计政策和估计[双击切换]"/>
        <w:tag w:val="_GBC_d0c8b3edf5e1401fa6e5edeeb4e121b6"/>
        <w:id w:val="-242261198"/>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2"/>
    <w:bookmarkEnd w:id="203"/>
    <w:p>
      <w:pPr>
        <w:rPr>
          <w:rFonts w:ascii="宋体" w:hAnsi="宋体"/>
        </w:rPr>
      </w:pPr>
    </w:p>
    <w:p>
      <w:pPr>
        <w:pStyle w:val="504"/>
        <w:numPr>
          <w:ilvl w:val="0"/>
          <w:numId w:val="61"/>
        </w:numPr>
        <w:ind w:left="567" w:hanging="425"/>
        <w:rPr>
          <w:rFonts w:ascii="宋体" w:hAnsi="宋体"/>
        </w:rPr>
      </w:pPr>
      <w:bookmarkStart w:id="204" w:name="_Hlk24102310"/>
      <w:bookmarkStart w:id="205" w:name="_Hlk152690443"/>
      <w:r>
        <w:rPr>
          <w:rFonts w:hint="eastAsia" w:ascii="宋体" w:hAnsi="宋体"/>
        </w:rPr>
        <w:t>应收款项融资</w:t>
      </w:r>
    </w:p>
    <w:sdt>
      <w:sdtPr>
        <w:alias w:val="是否适用：应收款项融资_重要会计政策和估计[双击切换]"/>
        <w:tag w:val="_GBC_a2e41ba19b9541d683d17977f5a0e631"/>
        <w:id w:val="-976600224"/>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4"/>
    <w:bookmarkEnd w:id="205"/>
    <w:p>
      <w:pPr>
        <w:rPr>
          <w:rFonts w:ascii="宋体" w:hAnsi="宋体"/>
          <w:b/>
        </w:rPr>
      </w:pPr>
      <w:r>
        <w:rPr>
          <w:rFonts w:hint="eastAsia" w:ascii="宋体" w:hAnsi="宋体"/>
          <w:b/>
        </w:rPr>
        <w:t>应收款项融资预期信用损失的确定方法及会计处理方法</w:t>
      </w:r>
    </w:p>
    <w:p>
      <w:pPr>
        <w:tabs>
          <w:tab w:val="left" w:pos="2291"/>
        </w:tabs>
        <w:rPr>
          <w:rFonts w:ascii="宋体" w:hAnsi="宋体"/>
        </w:rPr>
      </w:pPr>
      <w:sdt>
        <w:sdtPr>
          <w:rPr>
            <w:rFonts w:ascii="宋体" w:hAnsi="宋体"/>
          </w:rPr>
          <w:alias w:val="是否适用：应收款项融资预期信用损失的确定方法及会计处理方法[双击切换]"/>
          <w:tag w:val="_GBC_9205d8eaf1c5457692563a4254ccea71"/>
          <w:id w:val="534310902"/>
        </w:sdtPr>
        <w:sdtEndPr>
          <w:rPr>
            <w:rFonts w:ascii="宋体" w:hAnsi="宋体"/>
          </w:rPr>
        </w:sdtEndPr>
        <w:sdtContent>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sdtContent>
      </w:sdt>
    </w:p>
    <w:sdt>
      <w:sdtPr>
        <w:rPr>
          <w:rFonts w:ascii="宋体" w:hAnsi="宋体"/>
        </w:rPr>
        <w:alias w:val="应收款项融资预期信用损失的确定方法及会计处理方法"/>
        <w:tag w:val="_GBC_d494628058d042838722bba8257b3e12"/>
        <w:id w:val="396554456"/>
      </w:sdtPr>
      <w:sdtEndPr>
        <w:rPr>
          <w:rFonts w:ascii="宋体" w:hAnsi="宋体"/>
          <w:highlight w:val="yellow"/>
        </w:rPr>
      </w:sdtEndPr>
      <w:sdtContent>
        <w:p>
          <w:pPr>
            <w:ind w:firstLine="420" w:firstLineChars="200"/>
            <w:rPr>
              <w:rFonts w:ascii="宋体" w:hAnsi="宋体"/>
            </w:rPr>
          </w:pPr>
          <w:r>
            <w:rPr>
              <w:rFonts w:hint="eastAsia" w:ascii="宋体" w:hAnsi="宋体"/>
            </w:rPr>
            <w:t>应收款项融资反映资产负债表日以公允价值计量且其变动计入其他综合收益的应收票据和应</w:t>
          </w:r>
        </w:p>
        <w:p>
          <w:pPr>
            <w:rPr>
              <w:rFonts w:ascii="宋体" w:hAnsi="宋体"/>
            </w:rPr>
          </w:pPr>
          <w:r>
            <w:rPr>
              <w:rFonts w:hint="eastAsia" w:ascii="宋体" w:hAnsi="宋体"/>
            </w:rPr>
            <w:t>收账款等。本集团将既以收取合同现金流量为目的又以出售为目的，信用级别较高银行承兑的银</w:t>
          </w:r>
        </w:p>
        <w:p>
          <w:pPr>
            <w:rPr>
              <w:rFonts w:ascii="宋体" w:hAnsi="宋体"/>
            </w:rPr>
          </w:pPr>
          <w:r>
            <w:rPr>
              <w:rFonts w:hint="eastAsia" w:ascii="宋体" w:hAnsi="宋体"/>
            </w:rPr>
            <w:t>行承兑汇票分类为应收款项融资。</w:t>
          </w:r>
        </w:p>
        <w:p>
          <w:pPr>
            <w:ind w:firstLine="420" w:firstLineChars="200"/>
            <w:rPr>
              <w:rFonts w:ascii="宋体" w:hAnsi="宋体"/>
            </w:rPr>
          </w:pPr>
          <w:r>
            <w:rPr>
              <w:rFonts w:hint="eastAsia" w:ascii="宋体" w:hAnsi="宋体"/>
            </w:rPr>
            <w:t>会计处理方法详见本附注“五、</w:t>
          </w:r>
          <w:r>
            <w:rPr>
              <w:rFonts w:ascii="宋体" w:hAnsi="宋体"/>
            </w:rPr>
            <w:t>11</w:t>
          </w:r>
          <w:r>
            <w:rPr>
              <w:rFonts w:hint="eastAsia" w:ascii="宋体" w:hAnsi="宋体"/>
            </w:rPr>
            <w:t xml:space="preserve"> 金融工具”中划分为以公允价值计量且其变动计入其他</w:t>
          </w:r>
        </w:p>
        <w:p>
          <w:pPr>
            <w:rPr>
              <w:rFonts w:ascii="宋体" w:hAnsi="宋体"/>
            </w:rPr>
          </w:pPr>
          <w:r>
            <w:rPr>
              <w:rFonts w:hint="eastAsia" w:ascii="宋体" w:hAnsi="宋体"/>
            </w:rPr>
            <w:t>综合收益的金融资产相关内容。</w:t>
          </w:r>
        </w:p>
      </w:sdtContent>
    </w:sdt>
    <w:p>
      <w:pPr>
        <w:rPr>
          <w:rFonts w:ascii="宋体" w:hAnsi="宋体"/>
        </w:rPr>
      </w:pPr>
    </w:p>
    <w:p>
      <w:pPr>
        <w:rPr>
          <w:rFonts w:ascii="宋体" w:hAnsi="宋体"/>
          <w:b/>
          <w:szCs w:val="28"/>
        </w:rPr>
      </w:pPr>
      <w:r>
        <w:rPr>
          <w:rFonts w:ascii="宋体" w:hAnsi="宋体"/>
          <w:b/>
          <w:szCs w:val="28"/>
        </w:rPr>
        <w:t>按照信用风险特征组合计提坏账准备的组合类别及确定依据</w:t>
      </w:r>
    </w:p>
    <w:sdt>
      <w:sdtPr>
        <w:rPr>
          <w:rFonts w:ascii="宋体" w:hAnsi="宋体"/>
        </w:rPr>
        <w:alias w:val="是否适用：应收款项融资按照信用风险特征组合计提坏账准备的组合类别及确定依据[双击切换]"/>
        <w:tag w:val="_GBC_96c4eeead8b040d79bbd069f3f4f2aec"/>
        <w:id w:val="115879941"/>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b/>
          <w:bCs/>
          <w:szCs w:val="28"/>
        </w:rPr>
      </w:pPr>
    </w:p>
    <w:p>
      <w:pPr>
        <w:rPr>
          <w:rFonts w:ascii="宋体" w:hAnsi="宋体"/>
          <w:b/>
          <w:szCs w:val="28"/>
        </w:rPr>
      </w:pPr>
      <w:r>
        <w:rPr>
          <w:rFonts w:ascii="宋体" w:hAnsi="宋体"/>
          <w:b/>
          <w:szCs w:val="28"/>
        </w:rPr>
        <w:t>基于账龄确认信用风险特征组合的账龄计算方法</w:t>
      </w:r>
    </w:p>
    <w:sdt>
      <w:sdtPr>
        <w:rPr>
          <w:rFonts w:ascii="宋体" w:hAnsi="宋体"/>
        </w:rPr>
        <w:alias w:val="是否适用：应收款项融资基于账龄确认信用风险特征组合的账龄计算方法[双击切换]"/>
        <w:tag w:val="_GBC_6088373057ea4aacb1a49ee381004fee"/>
        <w:id w:val="1890614404"/>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b/>
          <w:bCs/>
          <w:szCs w:val="28"/>
        </w:rPr>
      </w:pPr>
    </w:p>
    <w:p>
      <w:pPr>
        <w:rPr>
          <w:rFonts w:ascii="宋体" w:hAnsi="宋体"/>
          <w:b/>
          <w:szCs w:val="28"/>
        </w:rPr>
      </w:pPr>
      <w:r>
        <w:rPr>
          <w:rFonts w:ascii="宋体" w:hAnsi="宋体"/>
          <w:b/>
          <w:szCs w:val="28"/>
        </w:rPr>
        <w:t>按照单项计提坏账准备的单项计提判断标准</w:t>
      </w:r>
    </w:p>
    <w:sdt>
      <w:sdtPr>
        <w:rPr>
          <w:rFonts w:ascii="宋体" w:hAnsi="宋体"/>
        </w:rPr>
        <w:alias w:val="是否适用：应收款项融资按照单项计提坏账准备的单项计提判断标准[双击切换]"/>
        <w:tag w:val="_GBC_ee8c0fdee21e477387bf47d167b126ff"/>
        <w:id w:val="1105465460"/>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4"/>
        <w:numPr>
          <w:ilvl w:val="0"/>
          <w:numId w:val="61"/>
        </w:numPr>
        <w:ind w:left="567" w:hanging="425"/>
        <w:rPr>
          <w:rFonts w:ascii="宋体" w:hAnsi="宋体"/>
          <w:szCs w:val="21"/>
        </w:rPr>
      </w:pPr>
      <w:bookmarkStart w:id="206" w:name="_Hlk533667836"/>
      <w:r>
        <w:rPr>
          <w:rFonts w:hint="eastAsia" w:ascii="宋体" w:hAnsi="宋体"/>
          <w:szCs w:val="21"/>
        </w:rPr>
        <w:t>其他应收款</w:t>
      </w:r>
    </w:p>
    <w:sdt>
      <w:sdtPr>
        <w:rPr>
          <w:rFonts w:hint="eastAsia"/>
        </w:rPr>
        <w:alias w:val="是否适用：其他应收款_重要会计政策和估计[双击切换]"/>
        <w:tag w:val="_GBC_bd9572d7068940d78105aa21662a4f54"/>
        <w:id w:val="-2053603916"/>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06"/>
    <w:p>
      <w:pPr>
        <w:rPr>
          <w:rFonts w:ascii="宋体" w:hAnsi="宋体"/>
        </w:rPr>
      </w:pPr>
    </w:p>
    <w:p>
      <w:pPr>
        <w:rPr>
          <w:rFonts w:ascii="宋体" w:hAnsi="宋体"/>
        </w:rPr>
      </w:pPr>
    </w:p>
    <w:p>
      <w:pPr>
        <w:pStyle w:val="504"/>
        <w:numPr>
          <w:ilvl w:val="0"/>
          <w:numId w:val="61"/>
        </w:numPr>
        <w:ind w:left="567" w:hanging="425"/>
        <w:rPr>
          <w:rFonts w:ascii="宋体" w:hAnsi="宋体"/>
        </w:rPr>
      </w:pPr>
      <w:r>
        <w:rPr>
          <w:rFonts w:ascii="宋体" w:hAnsi="宋体"/>
        </w:rPr>
        <w:t>存货</w:t>
      </w:r>
    </w:p>
    <w:sdt>
      <w:sdtPr>
        <w:rPr>
          <w:rFonts w:hint="eastAsia" w:ascii="宋体" w:hAnsi="宋体"/>
        </w:rPr>
        <w:alias w:val="是否适用：存货_重要会计政策和估计[双击切换]"/>
        <w:tag w:val="_GBC_dcacbe0db27e4ea5b80fa4aefb3bdbac"/>
        <w:id w:val="-954633660"/>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b/>
          <w:szCs w:val="28"/>
        </w:rPr>
      </w:pPr>
      <w:r>
        <w:rPr>
          <w:rFonts w:ascii="宋体" w:hAnsi="宋体"/>
          <w:b/>
          <w:szCs w:val="28"/>
        </w:rPr>
        <w:t>存货</w:t>
      </w:r>
      <w:r>
        <w:rPr>
          <w:rFonts w:hint="eastAsia" w:ascii="宋体" w:hAnsi="宋体"/>
          <w:b/>
          <w:szCs w:val="28"/>
        </w:rPr>
        <w:t>类别、发出计价方法、盘存制度、低值易耗品和包装物的摊销方法</w:t>
      </w:r>
    </w:p>
    <w:sdt>
      <w:sdtPr>
        <w:rPr>
          <w:rFonts w:ascii="宋体" w:hAnsi="宋体"/>
        </w:rPr>
        <w:alias w:val="是否适用：存货类别、发出计价方法、盘存制度、低值易耗品和包装物的摊销方法[双击切换]"/>
        <w:tag w:val="_GBC_7a24117441bd45edbee63ef5c75fa013"/>
        <w:id w:val="-230462216"/>
        <w:placeholder>
          <w:docPart w:val="GBC22222222222222222222222222222"/>
        </w:placeholder>
      </w:sdtPr>
      <w:sdtEndPr>
        <w:rPr>
          <w:rFonts w:ascii="宋体" w:hAnsi="宋体"/>
        </w:rPr>
      </w:sdtEndPr>
      <w:sdtContent>
        <w:p>
          <w:pPr>
            <w:rPr>
              <w:rFonts w:ascii="宋体" w:hAnsi="宋体"/>
            </w:rPr>
          </w:pPr>
          <w:bookmarkStart w:id="207" w:name="_Hlk152678121"/>
          <w:bookmarkEnd w:id="20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存货类别、发出计价方法、盘存制度、低值易耗品和包装物的摊销方法"/>
        <w:tag w:val="_GBC_3fcd1bdad070400f9c9e3e5d4c064f2b"/>
        <w:id w:val="-816804728"/>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本集团存货主要包括原材料、煤炭存货、甲醇存货、铁矿石存货、房地产开发成本、矿用设备、机电设备、橡胶制品以及低值易耗品等。</w:t>
          </w:r>
        </w:p>
        <w:p>
          <w:pPr>
            <w:ind w:firstLine="420" w:firstLineChars="200"/>
            <w:rPr>
              <w:rFonts w:ascii="宋体" w:hAnsi="宋体"/>
            </w:rPr>
          </w:pPr>
          <w:r>
            <w:rPr>
              <w:rFonts w:hint="eastAsia" w:ascii="宋体" w:hAnsi="宋体"/>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pPr>
            <w:ind w:firstLine="420" w:firstLineChars="200"/>
            <w:rPr>
              <w:rFonts w:ascii="宋体" w:hAnsi="宋体"/>
            </w:rPr>
          </w:pPr>
          <w:r>
            <w:rPr>
              <w:rFonts w:hint="eastAsia" w:ascii="宋体" w:hAnsi="宋体"/>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pPr>
            <w:ind w:firstLine="420" w:firstLineChars="200"/>
            <w:rPr>
              <w:rFonts w:ascii="宋体" w:hAnsi="宋体"/>
            </w:rPr>
          </w:pPr>
          <w:r>
            <w:rPr>
              <w:rFonts w:hint="eastAsia" w:ascii="宋体" w:hAnsi="宋体"/>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sdtContent>
    </w:sdt>
    <w:p>
      <w:pPr>
        <w:rPr>
          <w:rFonts w:ascii="宋体" w:hAnsi="宋体"/>
          <w:b/>
          <w:szCs w:val="28"/>
        </w:rPr>
      </w:pPr>
      <w:r>
        <w:rPr>
          <w:rFonts w:ascii="宋体" w:hAnsi="宋体"/>
          <w:b/>
          <w:szCs w:val="28"/>
        </w:rPr>
        <w:t>存货跌价准备的确认标准和计提方法</w:t>
      </w:r>
    </w:p>
    <w:sdt>
      <w:sdtPr>
        <w:rPr>
          <w:rFonts w:ascii="宋体" w:hAnsi="宋体"/>
        </w:rPr>
        <w:alias w:val="是否适用：存货跌价准备的确认标准和计提方法[双击切换]"/>
        <w:tag w:val="_GBC_6e8ebb9994fe404dba2a12ec5c785d83"/>
        <w:id w:val="-1955003393"/>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b/>
          <w:szCs w:val="28"/>
        </w:rPr>
      </w:pPr>
    </w:p>
    <w:p>
      <w:pPr>
        <w:rPr>
          <w:rFonts w:ascii="宋体" w:hAnsi="宋体"/>
          <w:b/>
          <w:szCs w:val="28"/>
        </w:rPr>
      </w:pPr>
      <w:r>
        <w:rPr>
          <w:rFonts w:ascii="宋体" w:hAnsi="宋体"/>
          <w:b/>
          <w:szCs w:val="28"/>
        </w:rPr>
        <w:t>按照组合计提存货跌价准备的组合类别及确定依据</w:t>
      </w:r>
      <w:r>
        <w:rPr>
          <w:rFonts w:hint="eastAsia" w:ascii="宋体" w:hAnsi="宋体"/>
          <w:b/>
          <w:bCs/>
          <w:szCs w:val="28"/>
        </w:rPr>
        <w:t>、</w:t>
      </w:r>
      <w:r>
        <w:rPr>
          <w:rFonts w:hint="eastAsia" w:ascii="宋体" w:hAnsi="宋体"/>
          <w:b/>
          <w:bCs/>
        </w:rPr>
        <w:t>不同类别存货可变现净值的确定依据</w:t>
      </w:r>
    </w:p>
    <w:sdt>
      <w:sdtPr>
        <w:rPr>
          <w:rFonts w:ascii="宋体" w:hAnsi="宋体"/>
        </w:rPr>
        <w:alias w:val="是否适用：按照组合计提存货跌价准备的组合类别及确定依据、不同类别存货可变现净值的确定依据[双击切换]"/>
        <w:tag w:val="_GBC_497390f68e764f2baa3b06eda7d6c944"/>
        <w:id w:val="-1941445246"/>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b/>
          <w:szCs w:val="28"/>
        </w:rPr>
      </w:pPr>
    </w:p>
    <w:p>
      <w:pPr>
        <w:rPr>
          <w:rFonts w:ascii="宋体" w:hAnsi="宋体"/>
          <w:b/>
          <w:szCs w:val="28"/>
        </w:rPr>
      </w:pPr>
      <w:r>
        <w:rPr>
          <w:rFonts w:ascii="宋体" w:hAnsi="宋体"/>
          <w:b/>
          <w:szCs w:val="28"/>
        </w:rPr>
        <w:t>基于库龄确认存货可变现净值的各库龄组合可变现净值的计算方法和确定依据</w:t>
      </w:r>
    </w:p>
    <w:sdt>
      <w:sdtPr>
        <w:rPr>
          <w:rFonts w:ascii="宋体" w:hAnsi="宋体"/>
        </w:rPr>
        <w:alias w:val="是否适用：基于库龄确认存货可变现净值的各库龄组合可变现净值的计算方法和确定依据[双击切换]"/>
        <w:tag w:val="_GBC_9d365dfe8a544c55a4c1edb1470b656d"/>
        <w:id w:val="504712609"/>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pStyle w:val="504"/>
        <w:numPr>
          <w:ilvl w:val="0"/>
          <w:numId w:val="61"/>
        </w:numPr>
        <w:ind w:left="567" w:hanging="425"/>
        <w:rPr>
          <w:rFonts w:ascii="宋体" w:hAnsi="宋体"/>
          <w:szCs w:val="21"/>
        </w:rPr>
      </w:pPr>
      <w:bookmarkStart w:id="208" w:name="_Hlk533667851"/>
      <w:r>
        <w:rPr>
          <w:rFonts w:hint="eastAsia" w:ascii="宋体" w:hAnsi="宋体"/>
          <w:szCs w:val="21"/>
        </w:rPr>
        <w:t>合同资产</w:t>
      </w:r>
    </w:p>
    <w:sdt>
      <w:sdtPr>
        <w:rPr>
          <w:rFonts w:hint="eastAsia"/>
        </w:rPr>
        <w:alias w:val="是否适用：合同资产_重要会计政策和估计[双击切换]"/>
        <w:tag w:val="_GBC_5a88c6aff74e4eb184d0541279c7f45e"/>
        <w:id w:val="1587040296"/>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宋体" w:hAnsi="宋体"/>
          <w:b/>
          <w:szCs w:val="28"/>
        </w:rPr>
      </w:pPr>
      <w:r>
        <w:rPr>
          <w:rFonts w:hint="eastAsia" w:ascii="宋体" w:hAnsi="宋体"/>
          <w:b/>
          <w:szCs w:val="28"/>
        </w:rPr>
        <w:t>合同资产的确认方法及标准</w:t>
      </w:r>
    </w:p>
    <w:sdt>
      <w:sdtPr>
        <w:rPr>
          <w:rFonts w:ascii="宋体" w:hAnsi="宋体"/>
        </w:rPr>
        <w:alias w:val="是否适用：合同资产的确定方法、摊销方法和减值测试方法[双击切换]"/>
        <w:tag w:val="_GBC_1b5df72f15664694ad46f712f5c33e91"/>
        <w:id w:val="1737364982"/>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合同资产的确定方法、摊销方法和减值测试方法"/>
        <w:tag w:val="_GBC_82d4491d0bbc4d81ab154bd0c0c35176"/>
        <w:id w:val="-919252229"/>
      </w:sdtPr>
      <w:sdtEndPr>
        <w:rPr>
          <w:rFonts w:ascii="宋体" w:hAnsi="宋体"/>
          <w:highlight w:val="yellow"/>
        </w:rPr>
      </w:sdtEndPr>
      <w:sdtContent>
        <w:p>
          <w:pPr>
            <w:ind w:firstLine="420" w:firstLineChars="200"/>
            <w:rPr>
              <w:rFonts w:ascii="宋体" w:hAnsi="宋体"/>
            </w:rPr>
          </w:pPr>
          <w:r>
            <w:rPr>
              <w:rFonts w:hint="eastAsia" w:ascii="宋体" w:hAnsi="宋体"/>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p>
          <w:pPr>
            <w:ind w:firstLine="420" w:firstLineChars="200"/>
            <w:rPr>
              <w:rFonts w:ascii="宋体" w:hAnsi="宋体"/>
            </w:rPr>
          </w:pPr>
          <w:r>
            <w:rPr>
              <w:rFonts w:hint="eastAsia" w:ascii="宋体" w:hAnsi="宋体"/>
            </w:rPr>
            <w:t>合同资产的预期信用损失的确定方法和会计处理方法，详见上述附注五、11（4）金融工具减值相关内容。</w:t>
          </w:r>
        </w:p>
        <w:p>
          <w:pPr>
            <w:ind w:firstLine="420" w:firstLineChars="200"/>
            <w:rPr>
              <w:rFonts w:ascii="宋体" w:hAnsi="宋体"/>
            </w:rPr>
          </w:pPr>
          <w:r>
            <w:rPr>
              <w:rFonts w:hint="eastAsia" w:ascii="宋体" w:hAnsi="宋体"/>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sdtContent>
    </w:sdt>
    <w:p>
      <w:pPr>
        <w:rPr>
          <w:rFonts w:ascii="宋体" w:hAnsi="宋体"/>
        </w:rPr>
      </w:pPr>
    </w:p>
    <w:p>
      <w:pPr>
        <w:rPr>
          <w:rFonts w:ascii="宋体" w:hAnsi="宋体"/>
          <w:b/>
          <w:szCs w:val="28"/>
        </w:rPr>
      </w:pPr>
      <w:r>
        <w:rPr>
          <w:rFonts w:hint="eastAsia" w:ascii="宋体" w:hAnsi="宋体"/>
          <w:b/>
          <w:szCs w:val="28"/>
        </w:rPr>
        <w:t>合同资产预期信用损失的确定方法及会计处理方法</w:t>
      </w:r>
    </w:p>
    <w:bookmarkEnd w:id="208"/>
    <w:sdt>
      <w:sdtPr>
        <w:rPr>
          <w:rFonts w:ascii="宋体" w:hAnsi="宋体"/>
        </w:rPr>
        <w:alias w:val="是否适用：合同资产预期信用损失的确定方法及会计处理方法[双击切换]"/>
        <w:tag w:val="_GBC_8c12b6b1febf4f9ab1540f119bcd3247"/>
        <w:id w:val="-1380235113"/>
        <w:placeholder>
          <w:docPart w:val="GBC22222222222222222222222222222"/>
        </w:placeholder>
      </w:sdtPr>
      <w:sdtEndPr>
        <w:rPr>
          <w:rFonts w:ascii="宋体" w:hAnsi="宋体"/>
        </w:rPr>
      </w:sdtEndPr>
      <w:sdtContent>
        <w:p>
          <w:pPr>
            <w:rPr>
              <w:rFonts w:ascii="宋体" w:hAnsi="宋体"/>
            </w:rPr>
          </w:pPr>
          <w:bookmarkStart w:id="209" w:name="_Hlk533667866"/>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09"/>
    <w:p>
      <w:pPr>
        <w:rPr>
          <w:rFonts w:ascii="宋体" w:hAnsi="宋体"/>
        </w:rPr>
      </w:pPr>
    </w:p>
    <w:p>
      <w:pPr>
        <w:rPr>
          <w:rFonts w:ascii="宋体" w:hAnsi="宋体"/>
          <w:b/>
          <w:szCs w:val="28"/>
        </w:rPr>
      </w:pPr>
      <w:r>
        <w:rPr>
          <w:rFonts w:ascii="宋体" w:hAnsi="宋体"/>
          <w:b/>
          <w:szCs w:val="28"/>
        </w:rPr>
        <w:t>按照信用风险特征组合计提坏账准备的组合类别及确定依据</w:t>
      </w:r>
    </w:p>
    <w:sdt>
      <w:sdtPr>
        <w:rPr>
          <w:rFonts w:ascii="宋体" w:hAnsi="宋体"/>
        </w:rPr>
        <w:alias w:val="是否适用：合同资产按照信用风险特征组合计提坏账准备的组合类别及确定依据[双击切换]"/>
        <w:tag w:val="_GBC_ebbe09c3657c4b539cc844981adf91e4"/>
        <w:id w:val="765037978"/>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b/>
          <w:bCs/>
          <w:szCs w:val="28"/>
        </w:rPr>
      </w:pPr>
    </w:p>
    <w:p>
      <w:pPr>
        <w:rPr>
          <w:rFonts w:ascii="宋体" w:hAnsi="宋体"/>
          <w:b/>
          <w:szCs w:val="28"/>
        </w:rPr>
      </w:pPr>
      <w:r>
        <w:rPr>
          <w:rFonts w:ascii="宋体" w:hAnsi="宋体"/>
          <w:b/>
          <w:szCs w:val="28"/>
        </w:rPr>
        <w:t>基于账龄确认信用风险特征组合的账龄计算方法</w:t>
      </w:r>
    </w:p>
    <w:sdt>
      <w:sdtPr>
        <w:rPr>
          <w:rFonts w:ascii="宋体" w:hAnsi="宋体"/>
        </w:rPr>
        <w:alias w:val="是否适用：合同资产基于账龄确认信用风险特征组合的账龄计算方法[双击切换]"/>
        <w:tag w:val="_GBC_3400ff02bc46467bac74fee97f4388c5"/>
        <w:id w:val="-1240170688"/>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b/>
          <w:bCs/>
          <w:szCs w:val="28"/>
        </w:rPr>
      </w:pPr>
    </w:p>
    <w:p>
      <w:pPr>
        <w:rPr>
          <w:rFonts w:ascii="宋体" w:hAnsi="宋体"/>
          <w:b/>
          <w:szCs w:val="28"/>
        </w:rPr>
      </w:pPr>
      <w:r>
        <w:rPr>
          <w:rFonts w:ascii="宋体" w:hAnsi="宋体"/>
          <w:b/>
          <w:szCs w:val="28"/>
        </w:rPr>
        <w:t>按照单项计提坏账准备的认定单项计提判断标准</w:t>
      </w:r>
    </w:p>
    <w:sdt>
      <w:sdtPr>
        <w:rPr>
          <w:rFonts w:ascii="宋体" w:hAnsi="宋体"/>
        </w:rPr>
        <w:alias w:val="是否适用：合同资产按照单项计提坏账准备的单项计提判断标准[双击切换]"/>
        <w:tag w:val="_GBC_aec9a536d61144fa91c2f954c8ff8473"/>
        <w:id w:val="122735621"/>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pStyle w:val="504"/>
        <w:numPr>
          <w:ilvl w:val="0"/>
          <w:numId w:val="61"/>
        </w:numPr>
        <w:ind w:left="450" w:hanging="308"/>
        <w:rPr>
          <w:rFonts w:ascii="宋体" w:hAnsi="宋体"/>
          <w:szCs w:val="21"/>
        </w:rPr>
      </w:pPr>
      <w:r>
        <w:rPr>
          <w:rFonts w:hint="eastAsia" w:ascii="宋体" w:hAnsi="宋体"/>
          <w:szCs w:val="21"/>
        </w:rPr>
        <w:t>合同成本</w:t>
      </w:r>
    </w:p>
    <w:p>
      <w:pPr>
        <w:ind w:firstLine="420" w:firstLineChars="200"/>
        <w:rPr>
          <w:rFonts w:ascii="宋体" w:hAnsi="宋体"/>
        </w:rPr>
      </w:pPr>
      <w:r>
        <w:rPr>
          <w:rFonts w:hint="eastAsia" w:ascii="宋体" w:hAnsi="宋体"/>
        </w:rPr>
        <w:t>（1） 与合同成本有关的资产金额的确定方法</w:t>
      </w:r>
    </w:p>
    <w:p>
      <w:pPr>
        <w:ind w:firstLine="420" w:firstLineChars="200"/>
        <w:rPr>
          <w:rFonts w:ascii="宋体" w:hAnsi="宋体"/>
        </w:rPr>
      </w:pPr>
      <w:r>
        <w:rPr>
          <w:rFonts w:hint="eastAsia" w:ascii="宋体" w:hAnsi="宋体"/>
        </w:rPr>
        <w:t>本集团与合同成本有关的资产包括合同履约成本和合同取得成本。根据其流动性，合同履约成本分别列报在存货和其他非流动资产中，合同取得成本分别列报在其他流动资产和其他非流动资产中。</w:t>
      </w:r>
    </w:p>
    <w:p>
      <w:pPr>
        <w:ind w:firstLine="420" w:firstLineChars="200"/>
        <w:rPr>
          <w:rFonts w:ascii="宋体" w:hAnsi="宋体"/>
        </w:rPr>
      </w:pPr>
      <w:r>
        <w:rPr>
          <w:rFonts w:hint="eastAsia" w:ascii="宋体" w:hAnsi="宋体"/>
        </w:rPr>
        <w:t>合同履约成本，即本集团为履行合同发生的成本，不属于存货、固定资产或无形资产等相关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pPr>
        <w:ind w:firstLine="420" w:firstLineChars="200"/>
        <w:rPr>
          <w:rFonts w:ascii="宋体" w:hAnsi="宋体"/>
        </w:rPr>
      </w:pPr>
      <w:r>
        <w:rPr>
          <w:rFonts w:hint="eastAsia" w:ascii="宋体" w:hAnsi="宋体"/>
        </w:rPr>
        <w:t>合同取得成本，即本集团为取得合同发生的增量成本预期能够收回的，作为合同取得成本确认为一项资产。如果该资产摊销期限不超过一年，本集团选择在发生时计入当期损益的简化处理。增量成本，是指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pPr>
        <w:ind w:firstLine="420" w:firstLineChars="200"/>
        <w:rPr>
          <w:rFonts w:ascii="宋体" w:hAnsi="宋体"/>
        </w:rPr>
      </w:pPr>
      <w:r>
        <w:rPr>
          <w:rFonts w:hint="eastAsia" w:ascii="宋体" w:hAnsi="宋体"/>
        </w:rPr>
        <w:t>（2） 与合同成本有关的资产的摊销</w:t>
      </w:r>
    </w:p>
    <w:p>
      <w:pPr>
        <w:ind w:firstLine="420" w:firstLineChars="200"/>
        <w:rPr>
          <w:rFonts w:ascii="宋体" w:hAnsi="宋体"/>
        </w:rPr>
      </w:pPr>
      <w:r>
        <w:rPr>
          <w:rFonts w:hint="eastAsia" w:ascii="宋体" w:hAnsi="宋体"/>
        </w:rPr>
        <w:t>本集团与合同成本有关的资产采用与该资产相关的商品收入确认相同的基础进行摊销，计入当期损益。</w:t>
      </w:r>
    </w:p>
    <w:p>
      <w:pPr>
        <w:ind w:firstLine="420" w:firstLineChars="200"/>
        <w:rPr>
          <w:rFonts w:ascii="宋体" w:hAnsi="宋体"/>
        </w:rPr>
      </w:pPr>
      <w:r>
        <w:rPr>
          <w:rFonts w:hint="eastAsia" w:ascii="宋体" w:hAnsi="宋体"/>
        </w:rPr>
        <w:t>（3） 与合同成本有关的资产的减值</w:t>
      </w:r>
    </w:p>
    <w:p>
      <w:pPr>
        <w:ind w:firstLine="420" w:firstLineChars="200"/>
        <w:rPr>
          <w:rFonts w:ascii="宋体" w:hAnsi="宋体"/>
        </w:rPr>
      </w:pPr>
      <w:r>
        <w:rPr>
          <w:rFonts w:hint="eastAsia" w:ascii="宋体" w:hAnsi="宋体"/>
        </w:rPr>
        <w:t>本集团与合同成本有关的资产，其账面价值高于下列两项差额的，本集团将超出部分计提减值准备，并确认为资产减值损失：①企业因转让与该资产相关的商品预期能够取得的剩余对价；②为转让该相关商品估计将要发生的成本。</w:t>
      </w:r>
    </w:p>
    <w:p>
      <w:pPr>
        <w:rPr>
          <w:rFonts w:ascii="宋体" w:hAnsi="宋体"/>
        </w:rPr>
      </w:pPr>
    </w:p>
    <w:p>
      <w:pPr>
        <w:pStyle w:val="504"/>
        <w:numPr>
          <w:ilvl w:val="0"/>
          <w:numId w:val="61"/>
        </w:numPr>
        <w:ind w:left="450" w:hanging="308"/>
        <w:rPr>
          <w:rFonts w:ascii="宋体" w:hAnsi="宋体"/>
          <w:szCs w:val="21"/>
        </w:rPr>
      </w:pPr>
      <w:r>
        <w:rPr>
          <w:rFonts w:hint="eastAsia" w:ascii="宋体" w:hAnsi="宋体"/>
        </w:rPr>
        <w:t>持有</w:t>
      </w:r>
      <w:r>
        <w:rPr>
          <w:rFonts w:hint="eastAsia" w:ascii="宋体" w:hAnsi="宋体"/>
          <w:szCs w:val="21"/>
        </w:rPr>
        <w:t>待</w:t>
      </w:r>
      <w:r>
        <w:rPr>
          <w:rFonts w:ascii="宋体" w:hAnsi="宋体"/>
          <w:szCs w:val="21"/>
        </w:rPr>
        <w:t>售的非流动资产或处置组</w:t>
      </w:r>
    </w:p>
    <w:sdt>
      <w:sdtPr>
        <w:rPr>
          <w:rFonts w:ascii="宋体" w:hAnsi="宋体"/>
        </w:rPr>
        <w:alias w:val="是否适用：持有待售的非流动资产或处置组[双击切换]"/>
        <w:tag w:val="_GBC_e7f5369a15ba4034bd2498c40687a411"/>
        <w:id w:val="1234903085"/>
        <w:placeholder>
          <w:docPart w:val="GBC22222222222222222222222222222"/>
        </w:placeholder>
      </w:sdtPr>
      <w:sdtEndPr>
        <w:rPr>
          <w:rFonts w:ascii="宋体" w:hAnsi="宋体"/>
        </w:rPr>
      </w:sdtEndPr>
      <w:sdtContent>
        <w:p>
          <w:pPr>
            <w:rPr>
              <w:rFonts w:ascii="宋体" w:hAnsi="宋体"/>
            </w:rPr>
          </w:pPr>
          <w:bookmarkStart w:id="210" w:name="_Hlk53315106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rPr>
          <w:rFonts w:ascii="宋体" w:hAnsi="宋体"/>
          <w:b/>
        </w:rPr>
      </w:pPr>
      <w:r>
        <w:rPr>
          <w:rFonts w:hint="eastAsia" w:ascii="宋体" w:hAnsi="宋体"/>
          <w:b/>
        </w:rPr>
        <w:t>划分为持有待售的非流动资产或处置组的确认标准和会计处理方法</w:t>
      </w:r>
    </w:p>
    <w:bookmarkEnd w:id="210"/>
    <w:sdt>
      <w:sdtPr>
        <w:rPr>
          <w:rFonts w:ascii="宋体" w:hAnsi="宋体"/>
        </w:rPr>
        <w:alias w:val="是否适用：划分为持有待售的非流动资产或处置组的确认标准和会计处理方法[双击切换]"/>
        <w:tag w:val="_GBC_cf8b05c4ada54b2aac5743b74b5fdb45"/>
        <w:id w:val="-1635550681"/>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rPr>
          <w:rFonts w:ascii="宋体" w:hAnsi="宋体"/>
          <w:b/>
        </w:rPr>
      </w:pPr>
      <w:r>
        <w:rPr>
          <w:rFonts w:ascii="宋体" w:hAnsi="宋体"/>
          <w:b/>
        </w:rPr>
        <w:t>终止经营的认定标准和列报方法</w:t>
      </w:r>
    </w:p>
    <w:sdt>
      <w:sdtPr>
        <w:rPr>
          <w:rFonts w:ascii="宋体" w:hAnsi="宋体"/>
        </w:rPr>
        <w:alias w:val="是否适用：终止经营的认定标准和列报方法[双击切换]"/>
        <w:tag w:val="_GBC_a323dd7cc84c4bd1bc42320036ce854b"/>
        <w:id w:val="1995836982"/>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pStyle w:val="504"/>
        <w:numPr>
          <w:ilvl w:val="0"/>
          <w:numId w:val="61"/>
        </w:numPr>
        <w:ind w:left="426" w:hanging="284"/>
        <w:rPr>
          <w:rFonts w:ascii="宋体" w:hAnsi="宋体"/>
        </w:rPr>
      </w:pPr>
      <w:r>
        <w:rPr>
          <w:rFonts w:ascii="宋体" w:hAnsi="宋体"/>
        </w:rPr>
        <w:t>长期股权投资</w:t>
      </w:r>
    </w:p>
    <w:sdt>
      <w:sdtPr>
        <w:rPr>
          <w:rFonts w:hint="eastAsia" w:ascii="宋体" w:hAnsi="宋体"/>
        </w:rPr>
        <w:alias w:val="是否适用：长期股权投资_重要会计政策和估计[双击切换]"/>
        <w:tag w:val="_GBC_990faa4da4e64a5389a573293ba4981b"/>
        <w:id w:val="1914884977"/>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长期股权投资的核算方法"/>
        <w:tag w:val="_GBC_3e77074cd50946b1bccdff9bc1c9556f"/>
        <w:id w:val="-8371797"/>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本集团长期股权投资包括对子公司的投资、对联营企业的投资和对合营企业的权益性投资。</w:t>
          </w:r>
        </w:p>
        <w:p>
          <w:pPr>
            <w:ind w:firstLine="420" w:firstLineChars="200"/>
            <w:rPr>
              <w:rFonts w:ascii="宋体" w:hAnsi="宋体"/>
            </w:rPr>
          </w:pPr>
          <w:r>
            <w:rPr>
              <w:rFonts w:hint="eastAsia" w:ascii="宋体" w:hAnsi="宋体"/>
            </w:rPr>
            <w:t>（1）重大影响、共同控制的判断</w:t>
          </w:r>
        </w:p>
        <w:p>
          <w:pPr>
            <w:ind w:firstLine="420" w:firstLineChars="200"/>
            <w:rPr>
              <w:rFonts w:ascii="宋体" w:hAnsi="宋体"/>
            </w:rPr>
          </w:pPr>
          <w:r>
            <w:rPr>
              <w:rFonts w:hint="eastAsia" w:ascii="宋体" w:hAnsi="宋体"/>
            </w:rPr>
            <w:t>本集团对被投资单位具有重大影响的权益性投资，即对联营企业投资。重大影响，是指本集团对被投资方的财务和经营政策有参与决策的权力，但并不能够控制或者与其他方一起共同控制这些政策的制定。本公司直接或通过子公司间接拥有被投资单位20％以上但低于50％的表决权时，通常认为对被投资单位具有重大影响，除非有明确的证据表明本集团不能参与被投资单位的生产经营决策或形成对被投资单位的控制。本集团持有被投资单位20%以下表决权的，如本集团在被投资单位的董事会或类似权力机构中派有代表、或参与被投资单位财务和经营政策制定过程、或与被投资单位之间发生重要交易、或向被投资单位派出管理人员、或向被投资单位提供关键技术资料等（或综合考虑以上多种事实和情况）,本集团认为对被投资单位具有重大影响。</w:t>
          </w:r>
        </w:p>
        <w:p>
          <w:pPr>
            <w:ind w:firstLine="420" w:firstLineChars="200"/>
            <w:rPr>
              <w:rFonts w:ascii="宋体" w:hAnsi="宋体"/>
            </w:rPr>
          </w:pPr>
          <w:r>
            <w:rPr>
              <w:rFonts w:hint="eastAsia" w:ascii="宋体" w:hAnsi="宋体"/>
            </w:rPr>
            <w:t>本集团与其他合营方一同对被投资单位实施共同控制且对被投资单位净资产享有权利的权益性投资，即对合营企业投资。共同控制，是指按照相关约定对某项安排所共有的控制，并且该安排的相关活动必须经过分享控制权的参与方一致同意后才能决策。本集团对共同控制的判断依据是所有参与方或参与方组合集体控制该安排，并且该安排相关活动的决策必须经过这些集体控制该安排的参与方一致同意。</w:t>
          </w:r>
        </w:p>
        <w:p>
          <w:pPr>
            <w:ind w:firstLine="420" w:firstLineChars="200"/>
            <w:rPr>
              <w:rFonts w:ascii="宋体" w:hAnsi="宋体"/>
            </w:rPr>
          </w:pPr>
          <w:r>
            <w:rPr>
              <w:rFonts w:hint="eastAsia" w:ascii="宋体" w:hAnsi="宋体"/>
            </w:rPr>
            <w:t>（2）会计处理方法</w:t>
          </w:r>
        </w:p>
        <w:p>
          <w:pPr>
            <w:ind w:firstLine="420" w:firstLineChars="200"/>
            <w:rPr>
              <w:rFonts w:ascii="宋体" w:hAnsi="宋体"/>
            </w:rPr>
          </w:pPr>
          <w:r>
            <w:rPr>
              <w:rFonts w:hint="eastAsia" w:ascii="宋体" w:hAnsi="宋体"/>
            </w:rPr>
            <w:t>本集团按照初始投资成本对取得的长期股权投资进行初始计量。</w:t>
          </w:r>
        </w:p>
        <w:p>
          <w:pPr>
            <w:ind w:firstLine="420" w:firstLineChars="200"/>
            <w:rPr>
              <w:rFonts w:ascii="宋体" w:hAnsi="宋体"/>
            </w:rPr>
          </w:pPr>
          <w:r>
            <w:rPr>
              <w:rFonts w:hint="eastAsia" w:ascii="宋体" w:hAnsi="宋体"/>
            </w:rPr>
            <w:t>通过同一控制下的企业合并取得的长期股权投资，以合并日取得被合并方在最终控制方合并报表中净资产的账面价值的份额作为初始投资成本；被合并方在合并日的净资产账面价值为负数的，初始投资成本按零确定。</w:t>
          </w:r>
        </w:p>
        <w:p>
          <w:pPr>
            <w:ind w:firstLine="420" w:firstLineChars="200"/>
            <w:rPr>
              <w:rFonts w:ascii="宋体" w:hAnsi="宋体"/>
            </w:rPr>
          </w:pPr>
          <w:r>
            <w:rPr>
              <w:rFonts w:hint="eastAsia" w:ascii="宋体" w:hAnsi="宋体"/>
            </w:rPr>
            <w:t>通过非同一控制下的企业合并取得的长期股权投资，以合并成本作为初始投资成本；通过多次交易分步实现非同一控制下企业合并，不属于一揽子交易的，以原持有的股权投资账面价值加上新增投资成本之和，作为初始投资成本。</w:t>
          </w:r>
        </w:p>
        <w:p>
          <w:pPr>
            <w:ind w:firstLine="420" w:firstLineChars="200"/>
            <w:rPr>
              <w:rFonts w:ascii="宋体" w:hAnsi="宋体"/>
            </w:rPr>
          </w:pPr>
          <w:r>
            <w:rPr>
              <w:rFonts w:hint="eastAsia" w:ascii="宋体" w:hAnsi="宋体"/>
            </w:rPr>
            <w:t>除企业合并形成的长期股权投资外，以支付现金取得的长期股权投资，按照实际支付的购买价款及与取得长期股权投资直接相关的费用、税金及其他必要支出作为初始投资成本；以发行权益性证券取得的长期股权投资，按照发行权益性证券的公允价值作为投资成本；以债务重组、非货币性资产交换等方式取得的长期股权投资，按相关会计准则的规定确定初始投资成本。</w:t>
          </w:r>
        </w:p>
        <w:p>
          <w:pPr>
            <w:ind w:firstLine="420" w:firstLineChars="200"/>
            <w:rPr>
              <w:rFonts w:ascii="宋体" w:hAnsi="宋体"/>
            </w:rPr>
          </w:pPr>
          <w:r>
            <w:rPr>
              <w:rFonts w:hint="eastAsia" w:ascii="宋体" w:hAnsi="宋体"/>
            </w:rPr>
            <w:t>本公司对子公司投资在个别财务报表中采用成本法核算。采用成本法时，长期股权投资按初始投资成本计价。在追加投资时，按照追加投资支付的成本额公允价值及发生的相关交易费用增加长期股权投资成本的账面价值。被投资单位宣告分派的现金股利或利润，按照应享有的金额确认为当期投资收益。</w:t>
          </w:r>
        </w:p>
        <w:p>
          <w:pPr>
            <w:ind w:firstLine="420" w:firstLineChars="200"/>
            <w:rPr>
              <w:rFonts w:ascii="宋体" w:hAnsi="宋体"/>
            </w:rPr>
          </w:pPr>
          <w:r>
            <w:rPr>
              <w:rFonts w:hint="eastAsia" w:ascii="宋体" w:hAnsi="宋体"/>
            </w:rPr>
            <w:t>本集团对合营企业及联营企业的投资采用权益法核算。采用权益法时，长期股权投资初始投资成本大于投资时应享有被投资单位可辨认净资产公允价值的份额的，不调整长期股权投资账面价值；长期股权投资初始投资成本小于投资时应享有被投资单位可辨认净资产公允价值的份额的，差额调增长期股权投资的账面价值，同时计入取得投资当期损益。</w:t>
          </w:r>
        </w:p>
        <w:p>
          <w:pPr>
            <w:ind w:firstLine="420" w:firstLineChars="200"/>
            <w:rPr>
              <w:rFonts w:ascii="宋体" w:hAnsi="宋体"/>
            </w:rPr>
          </w:pPr>
          <w:r>
            <w:rPr>
              <w:rFonts w:hint="eastAsia" w:ascii="宋体" w:hAnsi="宋体"/>
            </w:rPr>
            <w:t>后续计量采用权益法核算的长期股权投资，在持有投资期间，随着被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不构成业务的交易产生的未实现内部交易损益按照应享有比例计算归属于本集团的部分（内部交易损失属于资产减值损失的，全额确认），对被投资单位的净利润进行调整后确认。本集团确认被投资单位发生的净亏损，以长期股权投资的账面价值以及其他实质上构成对被投资单位净投资的长期权益减记至零为限，本集团负有承担额外损失义务的除外。</w:t>
          </w:r>
        </w:p>
        <w:p>
          <w:pPr>
            <w:ind w:firstLine="420" w:firstLineChars="200"/>
            <w:rPr>
              <w:rFonts w:ascii="宋体" w:hAnsi="宋体"/>
            </w:rPr>
          </w:pPr>
          <w:r>
            <w:rPr>
              <w:rFonts w:hint="eastAsia" w:ascii="宋体" w:hAnsi="宋体"/>
            </w:rPr>
            <w:t>处置长期股权投资，其账面价值与实际取得价款的差额，计入当期投资收益。</w:t>
          </w:r>
        </w:p>
        <w:p>
          <w:pPr>
            <w:ind w:firstLine="420" w:firstLineChars="200"/>
            <w:rPr>
              <w:rFonts w:ascii="宋体" w:hAnsi="宋体"/>
            </w:rPr>
          </w:pPr>
          <w:r>
            <w:rPr>
              <w:rFonts w:hint="eastAsia" w:ascii="宋体" w:hAnsi="宋体"/>
            </w:rPr>
            <w:t>采用权益法核算的长期股权投资，原权益法核算的相关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投资收益。</w:t>
          </w:r>
        </w:p>
        <w:p>
          <w:pPr>
            <w:ind w:firstLine="420" w:firstLineChars="200"/>
            <w:rPr>
              <w:rFonts w:ascii="宋体" w:hAnsi="宋体"/>
            </w:rPr>
          </w:pPr>
          <w:r>
            <w:rPr>
              <w:rFonts w:hint="eastAsia" w:ascii="宋体" w:hAnsi="宋体"/>
            </w:rPr>
            <w:t>因处置部分股权后剩余股权仍采用权益法核算的，原权益法核算的相关其他综合收益采用与被投资单位直接处置相关资产或负债相同的基础处理并按比例结转，因被投资方除净损益、其他综合收益和利润分配以外的其他所有者权益变动而确认的所有者权益，按比例结转入当期投资收益。</w:t>
          </w:r>
        </w:p>
        <w:p>
          <w:pPr>
            <w:ind w:firstLine="420" w:firstLineChars="200"/>
            <w:rPr>
              <w:rFonts w:ascii="宋体" w:hAnsi="宋体"/>
            </w:rPr>
          </w:pPr>
          <w:r>
            <w:rPr>
              <w:rFonts w:hint="eastAsia" w:ascii="宋体" w:hAnsi="宋体"/>
            </w:rPr>
            <w:t>因处置部分股权后丧失了对被投资单位的共同控制或重大影响的，处置后的剩余股权适用《企业会计准则第22号——金融工具确认和计量（财会[2017]7号）》核算的，剩余股权在丧失共同控制或重大影响之日的公允价值与账面价值之间的差额计入当期损益。</w:t>
          </w:r>
        </w:p>
        <w:p>
          <w:pPr>
            <w:ind w:firstLine="420" w:firstLineChars="200"/>
            <w:rPr>
              <w:rFonts w:ascii="宋体" w:hAnsi="宋体"/>
            </w:rPr>
          </w:pPr>
          <w:r>
            <w:rPr>
              <w:rFonts w:hint="eastAsia" w:ascii="宋体" w:hAnsi="宋体"/>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适用《企业会计准则第22号——金融工具确认和计量（财会[2017]7号）》进行会计处理，处置股权账面价值和处置对价的差额计入投资收益，剩余股权在丧失控制之日的公允价值与账面价值间的差额计入当期损益。</w:t>
          </w:r>
        </w:p>
        <w:p>
          <w:pPr>
            <w:ind w:firstLine="420" w:firstLineChars="200"/>
            <w:rPr>
              <w:rFonts w:ascii="宋体" w:hAnsi="宋体"/>
            </w:rPr>
          </w:pPr>
          <w:r>
            <w:rPr>
              <w:rFonts w:hint="eastAsia" w:ascii="宋体" w:hAnsi="宋体"/>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p>
      <w:pPr>
        <w:rPr>
          <w:rFonts w:ascii="宋体" w:hAnsi="宋体"/>
        </w:rPr>
      </w:pPr>
    </w:p>
    <w:p>
      <w:pPr>
        <w:pStyle w:val="504"/>
        <w:numPr>
          <w:ilvl w:val="0"/>
          <w:numId w:val="61"/>
        </w:numPr>
        <w:ind w:left="567" w:hanging="425"/>
        <w:rPr>
          <w:rFonts w:ascii="宋体" w:hAnsi="宋体"/>
        </w:rPr>
      </w:pPr>
      <w:r>
        <w:rPr>
          <w:rFonts w:ascii="宋体" w:hAnsi="宋体"/>
        </w:rPr>
        <w:t>投资性房地产</w:t>
      </w:r>
    </w:p>
    <w:p>
      <w:pPr>
        <w:pStyle w:val="505"/>
        <w:numPr>
          <w:ilvl w:val="3"/>
          <w:numId w:val="62"/>
        </w:numPr>
        <w:ind w:left="426" w:hanging="426"/>
      </w:pPr>
      <w:r>
        <w:rPr>
          <w:rFonts w:hint="eastAsia"/>
        </w:rPr>
        <w:t>如果采用公允价值计量模式的：</w:t>
      </w:r>
    </w:p>
    <w:p>
      <w:pPr>
        <w:pStyle w:val="531"/>
        <w:ind w:firstLine="420" w:firstLineChars="200"/>
      </w:pPr>
      <w:r>
        <w:rPr>
          <w:rFonts w:hint="eastAsia"/>
        </w:rPr>
        <w:t>选择公允价值计量的依据</w:t>
      </w:r>
    </w:p>
    <w:sdt>
      <w:sdtPr>
        <w:rPr>
          <w:rFonts w:ascii="宋体" w:hAnsi="宋体"/>
        </w:rPr>
        <w:alias w:val="采用公允价值计量模式的选择依据"/>
        <w:tag w:val="_GBC_3923e55fa36348df898ac65ec0c9f5a3"/>
        <w:id w:val="-1618676885"/>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本集团投资性房地产是指为赚取租金或资本增值，或两者兼有而持有的房地产，包括已出租的土地使用权、持有并准备增值后转让的土地使用权、已出租的建筑物。采用公允价值模式计量。</w:t>
          </w:r>
        </w:p>
        <w:p>
          <w:pPr>
            <w:ind w:firstLine="420" w:firstLineChars="200"/>
            <w:rPr>
              <w:rFonts w:ascii="宋体" w:hAnsi="宋体"/>
            </w:rPr>
          </w:pPr>
          <w:r>
            <w:rPr>
              <w:rFonts w:hint="eastAsia" w:ascii="宋体" w:hAnsi="宋体"/>
            </w:rPr>
            <w:t>本公司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pPr>
            <w:ind w:firstLine="420" w:firstLineChars="200"/>
            <w:rPr>
              <w:rFonts w:ascii="宋体" w:hAnsi="宋体"/>
            </w:rPr>
          </w:pPr>
          <w:r>
            <w:rPr>
              <w:rFonts w:hint="eastAsia" w:ascii="宋体" w:hAnsi="宋体"/>
            </w:rPr>
            <w:t>本公司采用公允价值模式对投资性房地产进行后续计量，不对投资性房地产计提折旧或进行摊销，在资产负债表日以投资性房地产的公允价值为基础调整其账面价值，公允价值与原账面价值之间的差额计入当期损益。</w:t>
          </w:r>
        </w:p>
        <w:p>
          <w:pPr>
            <w:rPr>
              <w:rFonts w:ascii="宋体" w:hAnsi="宋体"/>
            </w:rPr>
          </w:pPr>
          <w:r>
            <w:rPr>
              <w:rFonts w:hint="eastAsia" w:ascii="宋体" w:hAnsi="宋体"/>
            </w:rPr>
            <w:t>投资性房地产采用公允价值模式进行后续计量的的依据为：</w:t>
          </w:r>
        </w:p>
        <w:p>
          <w:pPr>
            <w:ind w:firstLine="420" w:firstLineChars="200"/>
            <w:rPr>
              <w:rFonts w:ascii="宋体" w:hAnsi="宋体"/>
            </w:rPr>
          </w:pPr>
          <w:r>
            <w:rPr>
              <w:rFonts w:hint="eastAsia" w:ascii="宋体" w:hAnsi="宋体"/>
            </w:rPr>
            <w:t>（1）投资性房地产所在地有活跃的房地产交易市场；</w:t>
          </w:r>
        </w:p>
        <w:p>
          <w:pPr>
            <w:ind w:firstLine="420" w:firstLineChars="200"/>
            <w:rPr>
              <w:rFonts w:ascii="宋体" w:hAnsi="宋体"/>
            </w:rPr>
          </w:pPr>
          <w:r>
            <w:rPr>
              <w:rFonts w:hint="eastAsia" w:ascii="宋体" w:hAnsi="宋体"/>
            </w:rPr>
            <w:t>（2）本公司能够从房地产交易市场上取得同类或类似房地产的市场价格及其他相关信息，从而对投资性房地产的公允价值作出合理的估计。</w:t>
          </w:r>
        </w:p>
        <w:p>
          <w:pPr>
            <w:ind w:firstLine="420" w:firstLineChars="200"/>
            <w:rPr>
              <w:rFonts w:ascii="宋体" w:hAnsi="宋体"/>
            </w:rPr>
          </w:pPr>
          <w:r>
            <w:rPr>
              <w:rFonts w:hint="eastAsia" w:ascii="宋体" w:hAnsi="宋体"/>
            </w:rPr>
            <w:t>本公司确定投资性房地产的公允价值时，参照活跃市场上同类或类似房地产的现行市场价格；无法取得同类或类似房地产的现行市场价格的，参照活跃市场上同类或类似房地产的最近交易价格，并考虑资产状况、所在位置、交易情况、交易日期等因素，从而对投资性房地产的公允价值作出合理的估计；或基于预计未来获得的租金收益和有关现金流量的现值确定其公允价值。本公司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其他综合收益。</w:t>
          </w:r>
        </w:p>
        <w:p>
          <w:pPr>
            <w:ind w:firstLine="420" w:firstLineChars="200"/>
            <w:rPr>
              <w:rFonts w:ascii="宋体" w:hAnsi="宋体"/>
            </w:rPr>
          </w:pPr>
          <w:r>
            <w:rPr>
              <w:rFonts w:hint="eastAsia" w:ascii="宋体" w:hAnsi="宋体"/>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p>
      <w:pPr>
        <w:rPr>
          <w:rFonts w:ascii="宋体" w:hAnsi="宋体"/>
        </w:rPr>
      </w:pPr>
    </w:p>
    <w:p>
      <w:pPr>
        <w:pStyle w:val="504"/>
        <w:numPr>
          <w:ilvl w:val="0"/>
          <w:numId w:val="61"/>
        </w:numPr>
        <w:ind w:left="567" w:hanging="425"/>
        <w:rPr>
          <w:rFonts w:ascii="宋体" w:hAnsi="宋体"/>
        </w:rPr>
      </w:pPr>
      <w:r>
        <w:rPr>
          <w:rFonts w:ascii="宋体" w:hAnsi="宋体"/>
        </w:rPr>
        <w:t>固定资产</w:t>
      </w:r>
    </w:p>
    <w:p>
      <w:pPr>
        <w:pStyle w:val="505"/>
        <w:numPr>
          <w:ilvl w:val="3"/>
          <w:numId w:val="63"/>
        </w:numPr>
        <w:rPr>
          <w:rFonts w:ascii="宋体" w:hAnsi="宋体" w:eastAsia="宋体"/>
        </w:rPr>
      </w:pPr>
      <w:r>
        <w:rPr>
          <w:rFonts w:hint="eastAsia" w:ascii="宋体" w:hAnsi="宋体" w:eastAsia="宋体"/>
        </w:rPr>
        <w:t>确认条件</w:t>
      </w:r>
    </w:p>
    <w:sdt>
      <w:sdtPr>
        <w:alias w:val="是否适用：固定资产确认条件[双击切换]"/>
        <w:tag w:val="_GBC_4c768c6eca804bab9e4fc027185bcda6"/>
        <w:id w:val="-825281178"/>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bCs/>
        </w:rPr>
        <w:alias w:val="固定资产确认条件"/>
        <w:tag w:val="_GBC_3044d53470b143fa9477fa34b85d4ec5"/>
        <w:id w:val="-303078708"/>
        <w:placeholder>
          <w:docPart w:val="GBC22222222222222222222222222222"/>
        </w:placeholder>
      </w:sdtPr>
      <w:sdtEndPr>
        <w:rPr>
          <w:rFonts w:ascii="宋体" w:hAnsi="宋体"/>
          <w:b/>
          <w:bCs/>
        </w:rPr>
      </w:sdtEndPr>
      <w:sdtContent>
        <w:p>
          <w:pPr>
            <w:ind w:firstLine="420" w:firstLineChars="200"/>
            <w:rPr>
              <w:rFonts w:ascii="宋体" w:hAnsi="宋体"/>
              <w:bCs/>
            </w:rPr>
          </w:pPr>
          <w:r>
            <w:rPr>
              <w:rFonts w:hint="eastAsia" w:ascii="宋体" w:hAnsi="宋体"/>
              <w:bCs/>
            </w:rPr>
            <w:t>本集团固定资产是为生产商品、提供劳务、出租或经营管理而持有的，使用年限超过一年的有形资产。</w:t>
          </w:r>
        </w:p>
        <w:p>
          <w:pPr>
            <w:ind w:firstLine="420" w:firstLineChars="200"/>
            <w:rPr>
              <w:rFonts w:ascii="宋体" w:hAnsi="宋体"/>
              <w:bCs/>
            </w:rPr>
          </w:pPr>
          <w:r>
            <w:rPr>
              <w:rFonts w:hint="eastAsia" w:ascii="宋体" w:hAnsi="宋体"/>
              <w:bCs/>
            </w:rPr>
            <w:t>固定资产在与其有关的经济利益很可能流入本集团、且其成本能够可靠计量时予以确认。本集团固定资产包括房屋建筑物、机器设备、运输设备、电子设备和其他。确定固定资产成本时，考虑预计弃置费用因素。</w:t>
          </w:r>
        </w:p>
        <w:p>
          <w:pPr>
            <w:ind w:firstLine="420" w:firstLineChars="200"/>
            <w:rPr>
              <w:rFonts w:ascii="宋体" w:hAnsi="宋体"/>
              <w:b/>
              <w:bCs/>
            </w:rPr>
          </w:pPr>
          <w:r>
            <w:rPr>
              <w:rFonts w:hint="eastAsia" w:ascii="宋体" w:hAnsi="宋体"/>
              <w:bCs/>
            </w:rPr>
            <w:t>除已提足折旧仍继续使用的固定资产和单独计价入账的土地外，本集团对所有固定资产计提折旧。其中矿井建筑物采用产量法计提折旧，其他固定资产采用平均年限法计提折旧。本集团固定资产的分类折旧年限、预计净残值率、折旧率如下：</w:t>
          </w:r>
        </w:p>
      </w:sdtContent>
    </w:sdt>
    <w:p>
      <w:pPr>
        <w:pStyle w:val="505"/>
        <w:numPr>
          <w:ilvl w:val="3"/>
          <w:numId w:val="63"/>
        </w:numPr>
        <w:ind w:left="426" w:hanging="426"/>
        <w:rPr>
          <w:rFonts w:ascii="宋体" w:hAnsi="宋体" w:eastAsia="宋体"/>
        </w:rPr>
      </w:pPr>
      <w:r>
        <w:rPr>
          <w:rFonts w:ascii="宋体" w:hAnsi="宋体" w:eastAsia="宋体"/>
        </w:rPr>
        <w:t>折旧方法</w:t>
      </w:r>
    </w:p>
    <w:sdt>
      <w:sdtPr>
        <w:alias w:val="是否适用：固定资产折旧方法[双击切换]"/>
        <w:tag w:val="_GBC_f89f129fe73045168ebdc30031da9fdd"/>
        <w:id w:val="-1985693095"/>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832"/>
        <w:gridCol w:w="1833"/>
        <w:gridCol w:w="1833"/>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b93b748ee97a4a8bae6f8263364d91d5"/>
            <w:id w:val="1195508061"/>
          </w:sdtPr>
          <w:sdtEndPr>
            <w:rPr>
              <w:rFonts w:ascii="宋体" w:hAnsi="宋体"/>
            </w:rPr>
          </w:sdtEndPr>
          <w:sdtContent>
            <w:tc>
              <w:tcPr>
                <w:tcW w:w="949" w:type="pct"/>
                <w:vAlign w:val="center"/>
              </w:tcPr>
              <w:p>
                <w:pPr>
                  <w:jc w:val="center"/>
                  <w:rPr>
                    <w:rFonts w:ascii="宋体" w:hAnsi="宋体"/>
                  </w:rPr>
                </w:pPr>
                <w:r>
                  <w:rPr>
                    <w:rFonts w:ascii="宋体" w:hAnsi="宋体"/>
                  </w:rPr>
                  <w:t>类别</w:t>
                </w:r>
              </w:p>
            </w:tc>
          </w:sdtContent>
        </w:sdt>
        <w:sdt>
          <w:sdtPr>
            <w:rPr>
              <w:rFonts w:ascii="宋体" w:hAnsi="宋体"/>
            </w:rPr>
            <w:tag w:val="_PLD_8eb75a8ba4fb45a3be1c35e2609526fb"/>
            <w:id w:val="-2050062098"/>
          </w:sdtPr>
          <w:sdtEndPr>
            <w:rPr>
              <w:rFonts w:ascii="宋体" w:hAnsi="宋体"/>
            </w:rPr>
          </w:sdtEndPr>
          <w:sdtContent>
            <w:tc>
              <w:tcPr>
                <w:tcW w:w="1012" w:type="pct"/>
                <w:vAlign w:val="center"/>
              </w:tcPr>
              <w:p>
                <w:pPr>
                  <w:jc w:val="center"/>
                  <w:rPr>
                    <w:rFonts w:ascii="宋体" w:hAnsi="宋体"/>
                  </w:rPr>
                </w:pPr>
                <w:r>
                  <w:rPr>
                    <w:rFonts w:hint="eastAsia" w:ascii="宋体" w:hAnsi="宋体"/>
                  </w:rPr>
                  <w:t>折旧方法</w:t>
                </w:r>
              </w:p>
            </w:tc>
          </w:sdtContent>
        </w:sdt>
        <w:sdt>
          <w:sdtPr>
            <w:rPr>
              <w:rFonts w:ascii="宋体" w:hAnsi="宋体"/>
            </w:rPr>
            <w:tag w:val="_PLD_288e4cb255e44ed98e0c53f336ac01e0"/>
            <w:id w:val="2075157424"/>
          </w:sdtPr>
          <w:sdtEndPr>
            <w:rPr>
              <w:rFonts w:ascii="宋体" w:hAnsi="宋体"/>
            </w:rPr>
          </w:sdtEndPr>
          <w:sdtContent>
            <w:tc>
              <w:tcPr>
                <w:tcW w:w="1013" w:type="pct"/>
                <w:vAlign w:val="center"/>
              </w:tcPr>
              <w:p>
                <w:pPr>
                  <w:jc w:val="center"/>
                  <w:rPr>
                    <w:rFonts w:ascii="宋体" w:hAnsi="宋体"/>
                  </w:rPr>
                </w:pPr>
                <w:r>
                  <w:rPr>
                    <w:rFonts w:ascii="宋体" w:hAnsi="宋体"/>
                  </w:rPr>
                  <w:t>折旧年限（年）</w:t>
                </w:r>
              </w:p>
            </w:tc>
          </w:sdtContent>
        </w:sdt>
        <w:sdt>
          <w:sdtPr>
            <w:rPr>
              <w:rFonts w:ascii="宋体" w:hAnsi="宋体"/>
            </w:rPr>
            <w:tag w:val="_PLD_b978331f5a784568b426597e450ebc7a"/>
            <w:id w:val="-1111359503"/>
          </w:sdtPr>
          <w:sdtEndPr>
            <w:rPr>
              <w:rFonts w:ascii="宋体" w:hAnsi="宋体"/>
            </w:rPr>
          </w:sdtEndPr>
          <w:sdtContent>
            <w:tc>
              <w:tcPr>
                <w:tcW w:w="1013" w:type="pct"/>
                <w:vAlign w:val="center"/>
              </w:tcPr>
              <w:p>
                <w:pPr>
                  <w:jc w:val="center"/>
                  <w:rPr>
                    <w:rFonts w:ascii="宋体" w:hAnsi="宋体"/>
                  </w:rPr>
                </w:pPr>
                <w:r>
                  <w:rPr>
                    <w:rFonts w:ascii="宋体" w:hAnsi="宋体"/>
                  </w:rPr>
                  <w:t>残值率</w:t>
                </w:r>
              </w:p>
            </w:tc>
          </w:sdtContent>
        </w:sdt>
        <w:sdt>
          <w:sdtPr>
            <w:rPr>
              <w:rFonts w:ascii="宋体" w:hAnsi="宋体"/>
            </w:rPr>
            <w:tag w:val="_PLD_02921e2cbb3b427bb4fe2aba2949e56a"/>
            <w:id w:val="947431323"/>
          </w:sdtPr>
          <w:sdtEndPr>
            <w:rPr>
              <w:rFonts w:ascii="宋体" w:hAnsi="宋体"/>
            </w:rPr>
          </w:sdtEndPr>
          <w:sdtContent>
            <w:tc>
              <w:tcPr>
                <w:tcW w:w="1013" w:type="pct"/>
                <w:vAlign w:val="center"/>
              </w:tcPr>
              <w:p>
                <w:pPr>
                  <w:jc w:val="center"/>
                  <w:rPr>
                    <w:rFonts w:ascii="宋体" w:hAnsi="宋体"/>
                  </w:rPr>
                </w:pPr>
                <w:r>
                  <w:rPr>
                    <w:rFonts w:ascii="宋体" w:hAnsi="宋体"/>
                  </w:rPr>
                  <w:t>年折旧率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Borders>
              <w:top w:val="single" w:color="auto" w:sz="2" w:space="0"/>
              <w:left w:val="single" w:color="auto" w:sz="4" w:space="0"/>
              <w:bottom w:val="single" w:color="auto" w:sz="2" w:space="0"/>
              <w:right w:val="single" w:color="auto" w:sz="2" w:space="0"/>
            </w:tcBorders>
            <w:vAlign w:val="center"/>
          </w:tcPr>
          <w:p>
            <w:pPr>
              <w:rPr>
                <w:rFonts w:ascii="宋体" w:hAnsi="宋体"/>
              </w:rPr>
            </w:pPr>
            <w:r>
              <w:rPr>
                <w:rFonts w:hint="eastAsia" w:ascii="宋体" w:hAnsi="宋体"/>
                <w:sz w:val="22"/>
                <w:szCs w:val="22"/>
              </w:rPr>
              <w:t>1</w:t>
            </w:r>
          </w:p>
        </w:tc>
        <w:tc>
          <w:tcPr>
            <w:tcW w:w="1012" w:type="pct"/>
            <w:tcBorders>
              <w:top w:val="single" w:color="auto" w:sz="2" w:space="0"/>
              <w:left w:val="single" w:color="auto" w:sz="2" w:space="0"/>
              <w:bottom w:val="single" w:color="auto" w:sz="2" w:space="0"/>
              <w:right w:val="single" w:color="auto" w:sz="2" w:space="0"/>
            </w:tcBorders>
          </w:tcPr>
          <w:p>
            <w:pPr>
              <w:rPr>
                <w:rFonts w:ascii="宋体" w:hAnsi="宋体"/>
              </w:rPr>
            </w:pPr>
            <w:r>
              <w:rPr>
                <w:rFonts w:hint="eastAsia" w:ascii="宋体" w:hAnsi="宋体"/>
                <w:sz w:val="22"/>
                <w:szCs w:val="22"/>
              </w:rPr>
              <w:t>房屋建筑物</w:t>
            </w:r>
          </w:p>
        </w:tc>
        <w:tc>
          <w:tcPr>
            <w:tcW w:w="1013" w:type="pct"/>
            <w:tcBorders>
              <w:top w:val="single" w:color="auto" w:sz="2" w:space="0"/>
              <w:left w:val="single" w:color="auto" w:sz="2" w:space="0"/>
              <w:bottom w:val="single" w:color="auto" w:sz="2" w:space="0"/>
              <w:right w:val="single" w:color="auto" w:sz="2" w:space="0"/>
            </w:tcBorders>
            <w:vAlign w:val="center"/>
          </w:tcPr>
          <w:p>
            <w:pPr>
              <w:jc w:val="center"/>
              <w:rPr>
                <w:rFonts w:ascii="宋体" w:hAnsi="宋体"/>
              </w:rPr>
            </w:pPr>
            <w:r>
              <w:rPr>
                <w:rFonts w:ascii="宋体" w:hAnsi="宋体"/>
                <w:sz w:val="22"/>
                <w:szCs w:val="22"/>
              </w:rPr>
              <w:t>10-30</w:t>
            </w:r>
          </w:p>
        </w:tc>
        <w:tc>
          <w:tcPr>
            <w:tcW w:w="1013" w:type="pct"/>
            <w:tcBorders>
              <w:top w:val="single" w:color="auto" w:sz="2" w:space="0"/>
              <w:left w:val="single" w:color="auto" w:sz="2" w:space="0"/>
              <w:bottom w:val="single" w:color="auto" w:sz="2" w:space="0"/>
              <w:right w:val="single" w:color="auto" w:sz="2" w:space="0"/>
            </w:tcBorders>
            <w:vAlign w:val="center"/>
          </w:tcPr>
          <w:p>
            <w:pPr>
              <w:rPr>
                <w:rFonts w:ascii="宋体" w:hAnsi="宋体"/>
              </w:rPr>
            </w:pPr>
            <w:r>
              <w:rPr>
                <w:rFonts w:ascii="宋体" w:hAnsi="宋体"/>
                <w:sz w:val="22"/>
                <w:szCs w:val="22"/>
              </w:rPr>
              <w:t>0</w:t>
            </w:r>
          </w:p>
        </w:tc>
        <w:tc>
          <w:tcPr>
            <w:tcW w:w="1013" w:type="pct"/>
            <w:tcBorders>
              <w:top w:val="single" w:color="auto" w:sz="2" w:space="0"/>
              <w:left w:val="single" w:color="auto" w:sz="2" w:space="0"/>
              <w:bottom w:val="single" w:color="auto" w:sz="2" w:space="0"/>
              <w:right w:val="single" w:color="auto" w:sz="4" w:space="0"/>
            </w:tcBorders>
            <w:vAlign w:val="center"/>
          </w:tcPr>
          <w:p>
            <w:pPr>
              <w:jc w:val="center"/>
              <w:rPr>
                <w:rFonts w:ascii="宋体" w:hAnsi="宋体"/>
              </w:rPr>
            </w:pPr>
            <w:r>
              <w:rPr>
                <w:rFonts w:ascii="宋体" w:hAnsi="宋体"/>
                <w:sz w:val="22"/>
                <w:szCs w:val="22"/>
              </w:rPr>
              <w:t>3.33-10.00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Borders>
              <w:top w:val="single" w:color="auto" w:sz="2" w:space="0"/>
              <w:left w:val="single" w:color="auto" w:sz="4" w:space="0"/>
              <w:bottom w:val="single" w:color="auto" w:sz="2" w:space="0"/>
              <w:right w:val="single" w:color="auto" w:sz="2" w:space="0"/>
            </w:tcBorders>
            <w:vAlign w:val="center"/>
          </w:tcPr>
          <w:p>
            <w:pPr>
              <w:rPr>
                <w:rFonts w:ascii="宋体" w:hAnsi="宋体"/>
              </w:rPr>
            </w:pPr>
            <w:r>
              <w:rPr>
                <w:rFonts w:hint="eastAsia" w:ascii="宋体" w:hAnsi="宋体"/>
                <w:sz w:val="22"/>
                <w:szCs w:val="22"/>
              </w:rPr>
              <w:t>2</w:t>
            </w:r>
          </w:p>
        </w:tc>
        <w:tc>
          <w:tcPr>
            <w:tcW w:w="1012" w:type="pct"/>
            <w:tcBorders>
              <w:top w:val="single" w:color="auto" w:sz="2" w:space="0"/>
              <w:left w:val="single" w:color="auto" w:sz="2" w:space="0"/>
              <w:bottom w:val="single" w:color="auto" w:sz="2" w:space="0"/>
              <w:right w:val="single" w:color="auto" w:sz="2" w:space="0"/>
            </w:tcBorders>
          </w:tcPr>
          <w:p>
            <w:pPr>
              <w:rPr>
                <w:rFonts w:ascii="宋体" w:hAnsi="宋体"/>
              </w:rPr>
            </w:pPr>
            <w:r>
              <w:rPr>
                <w:rFonts w:hint="eastAsia" w:ascii="宋体" w:hAnsi="宋体"/>
                <w:sz w:val="22"/>
                <w:szCs w:val="22"/>
              </w:rPr>
              <w:t>地面建筑物</w:t>
            </w:r>
          </w:p>
        </w:tc>
        <w:tc>
          <w:tcPr>
            <w:tcW w:w="1013" w:type="pct"/>
            <w:tcBorders>
              <w:top w:val="single" w:color="auto" w:sz="2" w:space="0"/>
              <w:left w:val="single" w:color="auto" w:sz="2" w:space="0"/>
              <w:bottom w:val="single" w:color="auto" w:sz="2" w:space="0"/>
              <w:right w:val="single" w:color="auto" w:sz="2" w:space="0"/>
            </w:tcBorders>
            <w:vAlign w:val="center"/>
          </w:tcPr>
          <w:p>
            <w:pPr>
              <w:jc w:val="center"/>
              <w:rPr>
                <w:rFonts w:ascii="宋体" w:hAnsi="宋体"/>
              </w:rPr>
            </w:pPr>
            <w:r>
              <w:rPr>
                <w:rFonts w:ascii="宋体" w:hAnsi="宋体"/>
                <w:sz w:val="22"/>
                <w:szCs w:val="22"/>
              </w:rPr>
              <w:t>10-25</w:t>
            </w:r>
          </w:p>
        </w:tc>
        <w:tc>
          <w:tcPr>
            <w:tcW w:w="1013" w:type="pct"/>
            <w:tcBorders>
              <w:top w:val="single" w:color="auto" w:sz="2" w:space="0"/>
              <w:left w:val="single" w:color="auto" w:sz="2" w:space="0"/>
              <w:bottom w:val="single" w:color="auto" w:sz="2" w:space="0"/>
              <w:right w:val="single" w:color="auto" w:sz="2" w:space="0"/>
            </w:tcBorders>
            <w:vAlign w:val="center"/>
          </w:tcPr>
          <w:p>
            <w:pPr>
              <w:rPr>
                <w:rFonts w:ascii="宋体" w:hAnsi="宋体"/>
              </w:rPr>
            </w:pPr>
            <w:r>
              <w:rPr>
                <w:rFonts w:ascii="宋体" w:hAnsi="宋体"/>
                <w:sz w:val="22"/>
                <w:szCs w:val="22"/>
              </w:rPr>
              <w:t>0</w:t>
            </w:r>
          </w:p>
        </w:tc>
        <w:tc>
          <w:tcPr>
            <w:tcW w:w="1013" w:type="pct"/>
            <w:tcBorders>
              <w:top w:val="single" w:color="auto" w:sz="2" w:space="0"/>
              <w:left w:val="single" w:color="auto" w:sz="2" w:space="0"/>
              <w:bottom w:val="single" w:color="auto" w:sz="2" w:space="0"/>
              <w:right w:val="single" w:color="auto" w:sz="4" w:space="0"/>
            </w:tcBorders>
            <w:vAlign w:val="center"/>
          </w:tcPr>
          <w:p>
            <w:pPr>
              <w:jc w:val="center"/>
              <w:rPr>
                <w:rFonts w:ascii="宋体" w:hAnsi="宋体"/>
              </w:rPr>
            </w:pPr>
            <w:r>
              <w:rPr>
                <w:rFonts w:ascii="宋体" w:hAnsi="宋体"/>
                <w:sz w:val="22"/>
                <w:szCs w:val="22"/>
              </w:rPr>
              <w:t>4.00-10.00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Borders>
              <w:top w:val="single" w:color="auto" w:sz="2" w:space="0"/>
              <w:left w:val="single" w:color="auto" w:sz="4" w:space="0"/>
              <w:bottom w:val="single" w:color="auto" w:sz="2" w:space="0"/>
              <w:right w:val="single" w:color="auto" w:sz="2" w:space="0"/>
            </w:tcBorders>
            <w:vAlign w:val="center"/>
          </w:tcPr>
          <w:p>
            <w:pPr>
              <w:rPr>
                <w:rFonts w:ascii="宋体" w:hAnsi="宋体"/>
              </w:rPr>
            </w:pPr>
            <w:r>
              <w:rPr>
                <w:rFonts w:hint="eastAsia" w:ascii="宋体" w:hAnsi="宋体"/>
                <w:sz w:val="22"/>
                <w:szCs w:val="22"/>
              </w:rPr>
              <w:t>3</w:t>
            </w:r>
          </w:p>
        </w:tc>
        <w:tc>
          <w:tcPr>
            <w:tcW w:w="1012" w:type="pct"/>
            <w:tcBorders>
              <w:top w:val="single" w:color="auto" w:sz="2" w:space="0"/>
              <w:left w:val="single" w:color="auto" w:sz="2" w:space="0"/>
              <w:bottom w:val="single" w:color="auto" w:sz="2" w:space="0"/>
              <w:right w:val="single" w:color="auto" w:sz="2" w:space="0"/>
            </w:tcBorders>
          </w:tcPr>
          <w:p>
            <w:pPr>
              <w:rPr>
                <w:rFonts w:ascii="宋体" w:hAnsi="宋体"/>
              </w:rPr>
            </w:pPr>
            <w:r>
              <w:rPr>
                <w:rFonts w:hint="eastAsia" w:ascii="宋体" w:hAnsi="宋体"/>
                <w:sz w:val="22"/>
                <w:szCs w:val="22"/>
              </w:rPr>
              <w:t>码头建筑物</w:t>
            </w:r>
          </w:p>
        </w:tc>
        <w:tc>
          <w:tcPr>
            <w:tcW w:w="1013" w:type="pct"/>
            <w:tcBorders>
              <w:top w:val="single" w:color="auto" w:sz="2" w:space="0"/>
              <w:left w:val="single" w:color="auto" w:sz="2" w:space="0"/>
              <w:bottom w:val="single" w:color="auto" w:sz="2" w:space="0"/>
              <w:right w:val="single" w:color="auto" w:sz="2" w:space="0"/>
            </w:tcBorders>
            <w:vAlign w:val="center"/>
          </w:tcPr>
          <w:p>
            <w:pPr>
              <w:jc w:val="center"/>
              <w:rPr>
                <w:rFonts w:ascii="宋体" w:hAnsi="宋体"/>
              </w:rPr>
            </w:pPr>
            <w:r>
              <w:rPr>
                <w:rFonts w:hint="eastAsia" w:ascii="宋体" w:hAnsi="宋体"/>
                <w:sz w:val="22"/>
                <w:szCs w:val="22"/>
              </w:rPr>
              <w:t>40</w:t>
            </w:r>
          </w:p>
        </w:tc>
        <w:tc>
          <w:tcPr>
            <w:tcW w:w="1013" w:type="pct"/>
            <w:tcBorders>
              <w:top w:val="single" w:color="auto" w:sz="2" w:space="0"/>
              <w:left w:val="single" w:color="auto" w:sz="2" w:space="0"/>
              <w:bottom w:val="single" w:color="auto" w:sz="2" w:space="0"/>
              <w:right w:val="single" w:color="auto" w:sz="2" w:space="0"/>
            </w:tcBorders>
            <w:vAlign w:val="center"/>
          </w:tcPr>
          <w:p>
            <w:pPr>
              <w:rPr>
                <w:rFonts w:ascii="宋体" w:hAnsi="宋体"/>
              </w:rPr>
            </w:pPr>
            <w:r>
              <w:rPr>
                <w:rFonts w:hint="eastAsia" w:ascii="宋体" w:hAnsi="宋体"/>
                <w:sz w:val="22"/>
                <w:szCs w:val="22"/>
              </w:rPr>
              <w:t>0</w:t>
            </w:r>
          </w:p>
        </w:tc>
        <w:tc>
          <w:tcPr>
            <w:tcW w:w="1013" w:type="pct"/>
            <w:tcBorders>
              <w:top w:val="single" w:color="auto" w:sz="2" w:space="0"/>
              <w:left w:val="single" w:color="auto" w:sz="2" w:space="0"/>
              <w:bottom w:val="single" w:color="auto" w:sz="2" w:space="0"/>
              <w:right w:val="single" w:color="auto" w:sz="4" w:space="0"/>
            </w:tcBorders>
            <w:vAlign w:val="center"/>
          </w:tcPr>
          <w:p>
            <w:pPr>
              <w:jc w:val="center"/>
              <w:rPr>
                <w:rFonts w:ascii="宋体" w:hAnsi="宋体"/>
              </w:rPr>
            </w:pPr>
            <w:r>
              <w:rPr>
                <w:rFonts w:hint="eastAsia" w:ascii="宋体" w:hAnsi="宋体"/>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Borders>
              <w:top w:val="single" w:color="auto" w:sz="2" w:space="0"/>
              <w:left w:val="single" w:color="auto" w:sz="4" w:space="0"/>
              <w:bottom w:val="single" w:color="auto" w:sz="2" w:space="0"/>
              <w:right w:val="single" w:color="auto" w:sz="2" w:space="0"/>
            </w:tcBorders>
            <w:vAlign w:val="center"/>
          </w:tcPr>
          <w:p>
            <w:pPr>
              <w:rPr>
                <w:rFonts w:ascii="宋体" w:hAnsi="宋体"/>
              </w:rPr>
            </w:pPr>
            <w:r>
              <w:rPr>
                <w:rFonts w:hint="eastAsia" w:ascii="宋体" w:hAnsi="宋体"/>
                <w:sz w:val="22"/>
                <w:szCs w:val="22"/>
              </w:rPr>
              <w:t>4</w:t>
            </w:r>
          </w:p>
        </w:tc>
        <w:tc>
          <w:tcPr>
            <w:tcW w:w="1012" w:type="pct"/>
            <w:tcBorders>
              <w:top w:val="single" w:color="auto" w:sz="2" w:space="0"/>
              <w:left w:val="single" w:color="auto" w:sz="2" w:space="0"/>
              <w:bottom w:val="single" w:color="auto" w:sz="2" w:space="0"/>
              <w:right w:val="single" w:color="auto" w:sz="2" w:space="0"/>
            </w:tcBorders>
          </w:tcPr>
          <w:p>
            <w:pPr>
              <w:rPr>
                <w:rFonts w:ascii="宋体" w:hAnsi="宋体"/>
              </w:rPr>
            </w:pPr>
            <w:r>
              <w:rPr>
                <w:rFonts w:hint="eastAsia" w:ascii="宋体" w:hAnsi="宋体"/>
                <w:sz w:val="22"/>
                <w:szCs w:val="22"/>
              </w:rPr>
              <w:t>机器设备</w:t>
            </w:r>
          </w:p>
        </w:tc>
        <w:tc>
          <w:tcPr>
            <w:tcW w:w="1013" w:type="pct"/>
            <w:tcBorders>
              <w:top w:val="single" w:color="auto" w:sz="2" w:space="0"/>
              <w:left w:val="single" w:color="auto" w:sz="2" w:space="0"/>
              <w:bottom w:val="single" w:color="auto" w:sz="2" w:space="0"/>
              <w:right w:val="single" w:color="auto" w:sz="2" w:space="0"/>
            </w:tcBorders>
            <w:vAlign w:val="center"/>
          </w:tcPr>
          <w:p>
            <w:pPr>
              <w:jc w:val="center"/>
              <w:rPr>
                <w:rFonts w:ascii="宋体" w:hAnsi="宋体"/>
              </w:rPr>
            </w:pPr>
            <w:r>
              <w:rPr>
                <w:rFonts w:ascii="宋体" w:hAnsi="宋体"/>
                <w:sz w:val="22"/>
                <w:szCs w:val="22"/>
              </w:rPr>
              <w:t>2.5-25</w:t>
            </w:r>
          </w:p>
        </w:tc>
        <w:tc>
          <w:tcPr>
            <w:tcW w:w="1013" w:type="pct"/>
            <w:tcBorders>
              <w:top w:val="single" w:color="auto" w:sz="2" w:space="0"/>
              <w:left w:val="single" w:color="auto" w:sz="2" w:space="0"/>
              <w:bottom w:val="single" w:color="auto" w:sz="2" w:space="0"/>
              <w:right w:val="single" w:color="auto" w:sz="2" w:space="0"/>
            </w:tcBorders>
            <w:vAlign w:val="center"/>
          </w:tcPr>
          <w:p>
            <w:pPr>
              <w:rPr>
                <w:rFonts w:ascii="宋体" w:hAnsi="宋体"/>
              </w:rPr>
            </w:pPr>
            <w:r>
              <w:rPr>
                <w:rFonts w:ascii="宋体" w:hAnsi="宋体"/>
                <w:sz w:val="22"/>
                <w:szCs w:val="22"/>
              </w:rPr>
              <w:t>0</w:t>
            </w:r>
          </w:p>
        </w:tc>
        <w:tc>
          <w:tcPr>
            <w:tcW w:w="1013" w:type="pct"/>
            <w:tcBorders>
              <w:top w:val="single" w:color="auto" w:sz="2" w:space="0"/>
              <w:left w:val="single" w:color="auto" w:sz="2" w:space="0"/>
              <w:bottom w:val="single" w:color="auto" w:sz="2" w:space="0"/>
              <w:right w:val="single" w:color="auto" w:sz="4" w:space="0"/>
            </w:tcBorders>
            <w:vAlign w:val="center"/>
          </w:tcPr>
          <w:p>
            <w:pPr>
              <w:jc w:val="center"/>
              <w:rPr>
                <w:rFonts w:ascii="宋体" w:hAnsi="宋体"/>
              </w:rPr>
            </w:pPr>
            <w:r>
              <w:rPr>
                <w:rFonts w:ascii="宋体" w:hAnsi="宋体"/>
                <w:sz w:val="22"/>
                <w:szCs w:val="22"/>
              </w:rPr>
              <w:t>4.00-40.00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Borders>
              <w:top w:val="single" w:color="auto" w:sz="2" w:space="0"/>
              <w:left w:val="single" w:color="auto" w:sz="4" w:space="0"/>
              <w:bottom w:val="single" w:color="auto" w:sz="4" w:space="0"/>
              <w:right w:val="single" w:color="auto" w:sz="2" w:space="0"/>
            </w:tcBorders>
            <w:vAlign w:val="center"/>
          </w:tcPr>
          <w:p>
            <w:pPr>
              <w:rPr>
                <w:rFonts w:ascii="宋体" w:hAnsi="宋体"/>
              </w:rPr>
            </w:pPr>
            <w:r>
              <w:rPr>
                <w:rFonts w:hint="eastAsia" w:ascii="宋体" w:hAnsi="宋体"/>
                <w:sz w:val="22"/>
                <w:szCs w:val="22"/>
              </w:rPr>
              <w:t>5</w:t>
            </w:r>
          </w:p>
        </w:tc>
        <w:tc>
          <w:tcPr>
            <w:tcW w:w="1012" w:type="pct"/>
            <w:tcBorders>
              <w:top w:val="single" w:color="auto" w:sz="2" w:space="0"/>
              <w:left w:val="single" w:color="auto" w:sz="2" w:space="0"/>
              <w:bottom w:val="single" w:color="auto" w:sz="4" w:space="0"/>
              <w:right w:val="single" w:color="auto" w:sz="2" w:space="0"/>
            </w:tcBorders>
          </w:tcPr>
          <w:p>
            <w:pPr>
              <w:rPr>
                <w:rFonts w:ascii="宋体" w:hAnsi="宋体"/>
              </w:rPr>
            </w:pPr>
            <w:r>
              <w:rPr>
                <w:rFonts w:hint="eastAsia" w:ascii="宋体" w:hAnsi="宋体"/>
                <w:sz w:val="22"/>
                <w:szCs w:val="22"/>
              </w:rPr>
              <w:t>运输设备</w:t>
            </w:r>
          </w:p>
        </w:tc>
        <w:tc>
          <w:tcPr>
            <w:tcW w:w="1013" w:type="pct"/>
            <w:tcBorders>
              <w:top w:val="single" w:color="auto" w:sz="2" w:space="0"/>
              <w:left w:val="single" w:color="auto" w:sz="2" w:space="0"/>
              <w:bottom w:val="single" w:color="auto" w:sz="4" w:space="0"/>
              <w:right w:val="single" w:color="auto" w:sz="2" w:space="0"/>
            </w:tcBorders>
            <w:vAlign w:val="center"/>
          </w:tcPr>
          <w:p>
            <w:pPr>
              <w:jc w:val="center"/>
              <w:rPr>
                <w:rFonts w:ascii="宋体" w:hAnsi="宋体"/>
              </w:rPr>
            </w:pPr>
            <w:r>
              <w:rPr>
                <w:rFonts w:ascii="宋体" w:hAnsi="宋体"/>
                <w:sz w:val="22"/>
                <w:szCs w:val="22"/>
              </w:rPr>
              <w:t>6-18</w:t>
            </w:r>
          </w:p>
        </w:tc>
        <w:tc>
          <w:tcPr>
            <w:tcW w:w="1013" w:type="pct"/>
            <w:tcBorders>
              <w:top w:val="single" w:color="auto" w:sz="2" w:space="0"/>
              <w:left w:val="single" w:color="auto" w:sz="2" w:space="0"/>
              <w:bottom w:val="single" w:color="auto" w:sz="4" w:space="0"/>
              <w:right w:val="single" w:color="auto" w:sz="2" w:space="0"/>
            </w:tcBorders>
            <w:vAlign w:val="center"/>
          </w:tcPr>
          <w:p>
            <w:pPr>
              <w:rPr>
                <w:rFonts w:ascii="宋体" w:hAnsi="宋体"/>
              </w:rPr>
            </w:pPr>
            <w:r>
              <w:rPr>
                <w:rFonts w:ascii="宋体" w:hAnsi="宋体"/>
                <w:sz w:val="22"/>
                <w:szCs w:val="22"/>
              </w:rPr>
              <w:t>0</w:t>
            </w:r>
          </w:p>
        </w:tc>
        <w:tc>
          <w:tcPr>
            <w:tcW w:w="1013" w:type="pct"/>
            <w:tcBorders>
              <w:top w:val="single" w:color="auto" w:sz="2" w:space="0"/>
              <w:left w:val="single" w:color="auto" w:sz="2" w:space="0"/>
              <w:bottom w:val="single" w:color="auto" w:sz="4" w:space="0"/>
              <w:right w:val="single" w:color="auto" w:sz="4" w:space="0"/>
            </w:tcBorders>
            <w:vAlign w:val="center"/>
          </w:tcPr>
          <w:p>
            <w:pPr>
              <w:jc w:val="center"/>
              <w:rPr>
                <w:rFonts w:ascii="宋体" w:hAnsi="宋体"/>
              </w:rPr>
            </w:pPr>
            <w:r>
              <w:rPr>
                <w:rFonts w:ascii="宋体" w:hAnsi="宋体"/>
                <w:sz w:val="22"/>
                <w:szCs w:val="22"/>
              </w:rPr>
              <w:t>5.56-16.67</w:t>
            </w:r>
          </w:p>
        </w:tc>
      </w:tr>
    </w:tbl>
    <w:p>
      <w:pPr>
        <w:ind w:firstLine="420" w:firstLineChars="200"/>
        <w:rPr>
          <w:rFonts w:ascii="宋体" w:hAnsi="宋体"/>
          <w:bCs/>
        </w:rPr>
      </w:pPr>
      <w:r>
        <w:rPr>
          <w:rFonts w:hint="eastAsia" w:ascii="宋体" w:hAnsi="宋体"/>
          <w:bCs/>
        </w:rPr>
        <w:t>除本公司之子公司山东兖煤航运有限公司船舶的折旧年限为18年外，其余运输设备的折旧年限均为6至9年。</w:t>
      </w:r>
    </w:p>
    <w:p>
      <w:pPr>
        <w:pStyle w:val="531"/>
        <w:ind w:firstLine="420" w:firstLineChars="200"/>
      </w:pPr>
      <w:r>
        <w:rPr>
          <w:rFonts w:hint="eastAsia"/>
        </w:rPr>
        <w:t>土地类固定资产指本公司之澳大利亚子公司拥有的土地，由于拥有永久所有权，所以不计提折旧。</w:t>
      </w:r>
    </w:p>
    <w:p>
      <w:pPr>
        <w:pStyle w:val="531"/>
        <w:ind w:firstLine="420" w:firstLineChars="200"/>
      </w:pPr>
      <w:r>
        <w:rPr>
          <w:rFonts w:hint="eastAsia"/>
        </w:rPr>
        <w:t>本集团于每年年度终了，对固定资产的预计使用寿命、预计净残值和折旧方法进行复核，如发生改变，则作为会计估计变更处理。</w:t>
      </w:r>
    </w:p>
    <w:p>
      <w:pPr>
        <w:pStyle w:val="504"/>
        <w:numPr>
          <w:ilvl w:val="0"/>
          <w:numId w:val="61"/>
        </w:numPr>
        <w:ind w:left="567" w:hanging="425"/>
        <w:rPr>
          <w:rFonts w:ascii="宋体" w:hAnsi="宋体"/>
        </w:rPr>
      </w:pPr>
      <w:r>
        <w:rPr>
          <w:rFonts w:ascii="宋体" w:hAnsi="宋体"/>
        </w:rPr>
        <w:t>在建工程</w:t>
      </w:r>
    </w:p>
    <w:sdt>
      <w:sdtPr>
        <w:rPr>
          <w:rFonts w:hint="eastAsia" w:ascii="宋体" w:hAnsi="宋体"/>
        </w:rPr>
        <w:alias w:val="是否适用：在建工程_重要会计政策和估计[双击切换]"/>
        <w:tag w:val="_GBC_00730441e5ea4f57b3cd3ff1ecc5c1bd"/>
        <w:id w:val="997929953"/>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在建工程核算方法"/>
        <w:tag w:val="_GBC_ed79f983df814c58add61776fe84c76e"/>
        <w:id w:val="-1941985966"/>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在建工程成本按实际工程支出确定，包括在建期间发生的各项必要工程支出、工程达到预定可使用状态前的应予资本化的借款费用以及其他相关费用等。</w:t>
          </w:r>
        </w:p>
        <w:p>
          <w:pPr>
            <w:ind w:firstLine="420" w:firstLineChars="200"/>
            <w:rPr>
              <w:rFonts w:ascii="宋体" w:hAnsi="宋体"/>
            </w:rPr>
          </w:pPr>
          <w:r>
            <w:rPr>
              <w:rFonts w:hint="eastAsia" w:ascii="宋体" w:hAnsi="宋体"/>
            </w:rPr>
            <w:t>在建工程在达到预定可使用状态之日起，根据工程预算、造价或工程实际成本等，按估计的价值结转固定资产，次月起开始计提折旧，待办理了竣工决算手续后再对固定资产原值差异进行调整。</w:t>
          </w:r>
        </w:p>
      </w:sdtContent>
    </w:sdt>
    <w:p>
      <w:pPr>
        <w:rPr>
          <w:rFonts w:ascii="宋体" w:hAnsi="宋体"/>
        </w:rPr>
      </w:pPr>
    </w:p>
    <w:p>
      <w:pPr>
        <w:pStyle w:val="504"/>
        <w:numPr>
          <w:ilvl w:val="0"/>
          <w:numId w:val="61"/>
        </w:numPr>
        <w:ind w:left="567" w:hanging="425"/>
        <w:rPr>
          <w:rFonts w:ascii="宋体" w:hAnsi="宋体"/>
        </w:rPr>
      </w:pPr>
      <w:r>
        <w:rPr>
          <w:rFonts w:ascii="宋体" w:hAnsi="宋体"/>
        </w:rPr>
        <w:t>借款费用</w:t>
      </w:r>
    </w:p>
    <w:sdt>
      <w:sdtPr>
        <w:rPr>
          <w:rFonts w:hint="eastAsia" w:ascii="宋体" w:hAnsi="宋体"/>
        </w:rPr>
        <w:alias w:val="是否适用：借款费用_重要会计政策和估计[双击切换]"/>
        <w:tag w:val="_GBC_84ea3b60fd54474487b81f25f176d989"/>
        <w:id w:val="-1585527439"/>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借款费用的会计处理方法"/>
        <w:tag w:val="_GBC_2101c32d32c64f39a8b8fcd2b72dbb0a"/>
        <w:id w:val="-301455272"/>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本集团将发生的可直接归属于符合资本化条件的资产的构建或者生产的借款费用予以资本化，计入相关资产成本，其他借款费用计入当期损益。本集团确定的符合资本化条件的资产包括需要经过1年以上的购建或者生产活动才能达到预定可使用或者可销售状态的固定资产、投资性房地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3个月，暂停借款费用的资本化，直至资产的购建或生产活动重新开始。</w:t>
          </w:r>
        </w:p>
        <w:p>
          <w:pPr>
            <w:ind w:firstLine="420" w:firstLineChars="200"/>
            <w:rPr>
              <w:rFonts w:ascii="宋体" w:hAnsi="宋体"/>
            </w:rPr>
          </w:pPr>
          <w:r>
            <w:rPr>
              <w:rFonts w:hint="eastAsia" w:ascii="宋体" w:hAnsi="宋体"/>
            </w:rPr>
            <w:t>在资本化期间内的每一会计期间，本集团按照以下方法确认借款费用的资本化金额：借入专门借款的，按照当期实际发生的利息费用，扣除尚未动用的借款资金存入银行取得的利息收入或进行暂时性投资取得的投资收益后的金额确定；占用一般借款的，根据累计资产支出超过专门借款部分的资产支出加权平均数乘以所占用一般借款的资本化率确定，其中资本化率根据一般借款加权平均利率计算确定。</w:t>
          </w:r>
        </w:p>
      </w:sdtContent>
    </w:sdt>
    <w:p>
      <w:pPr>
        <w:rPr>
          <w:rFonts w:ascii="宋体" w:hAnsi="宋体"/>
        </w:rPr>
      </w:pPr>
    </w:p>
    <w:p>
      <w:pPr>
        <w:pStyle w:val="504"/>
        <w:numPr>
          <w:ilvl w:val="0"/>
          <w:numId w:val="61"/>
        </w:numPr>
        <w:ind w:left="426" w:hanging="284"/>
        <w:rPr>
          <w:rFonts w:ascii="宋体" w:hAnsi="宋体"/>
        </w:rPr>
      </w:pPr>
      <w:r>
        <w:rPr>
          <w:rFonts w:ascii="宋体" w:hAnsi="宋体"/>
        </w:rPr>
        <w:t>生物资产</w:t>
      </w:r>
    </w:p>
    <w:sdt>
      <w:sdtPr>
        <w:rPr>
          <w:rFonts w:hint="eastAsia" w:ascii="宋体" w:hAnsi="宋体"/>
        </w:rPr>
        <w:alias w:val="是否适用：生物资产_重要会计政策和估计[双击切换]"/>
        <w:tag w:val="_GBC_f511e8d0a6dc417eb1d10eeecb5b05a5"/>
        <w:id w:val="-99257169"/>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pStyle w:val="504"/>
        <w:numPr>
          <w:ilvl w:val="0"/>
          <w:numId w:val="61"/>
        </w:numPr>
        <w:ind w:left="426" w:hanging="284"/>
        <w:rPr>
          <w:rFonts w:ascii="宋体" w:hAnsi="宋体"/>
        </w:rPr>
      </w:pPr>
      <w:r>
        <w:rPr>
          <w:rFonts w:ascii="宋体" w:hAnsi="宋体"/>
        </w:rPr>
        <w:t>油气资产</w:t>
      </w:r>
    </w:p>
    <w:sdt>
      <w:sdtPr>
        <w:rPr>
          <w:rFonts w:hint="eastAsia" w:ascii="宋体" w:hAnsi="宋体"/>
        </w:rPr>
        <w:alias w:val="是否适用：油气资产_重要会计政策和估计[双击切换]"/>
        <w:tag w:val="_GBC_fb60dd1d8d2346fb9b2e461875c070c9"/>
        <w:id w:val="-1432655193"/>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pStyle w:val="504"/>
        <w:numPr>
          <w:ilvl w:val="0"/>
          <w:numId w:val="61"/>
        </w:numPr>
        <w:ind w:left="426" w:hanging="284"/>
        <w:rPr>
          <w:rFonts w:ascii="宋体" w:hAnsi="宋体"/>
        </w:rPr>
      </w:pPr>
      <w:r>
        <w:rPr>
          <w:rFonts w:ascii="宋体" w:hAnsi="宋体"/>
        </w:rPr>
        <w:t>无形资产</w:t>
      </w:r>
    </w:p>
    <w:p>
      <w:pPr>
        <w:pStyle w:val="505"/>
        <w:numPr>
          <w:ilvl w:val="3"/>
          <w:numId w:val="64"/>
        </w:numPr>
        <w:ind w:left="426" w:hanging="426"/>
        <w:rPr>
          <w:rStyle w:val="915"/>
          <w:rFonts w:ascii="宋体" w:hAnsi="宋体"/>
          <w:szCs w:val="28"/>
        </w:rPr>
      </w:pPr>
      <w:r>
        <w:rPr>
          <w:rFonts w:hint="eastAsia" w:ascii="宋体" w:hAnsi="宋体" w:eastAsia="宋体"/>
        </w:rPr>
        <w:t>使用寿命及其确定依据、估计情况、摊销方法</w:t>
      </w:r>
      <w:r>
        <w:rPr>
          <w:rStyle w:val="915"/>
          <w:rFonts w:hint="eastAsia" w:ascii="宋体" w:hAnsi="宋体"/>
        </w:rPr>
        <w:t>或复核程序</w:t>
      </w:r>
    </w:p>
    <w:sdt>
      <w:sdtPr>
        <w:alias w:val="是否适用：无形资产计价方法、使用寿命、减值测试[双击切换]"/>
        <w:tag w:val="_GBC_40df8c87b47d48bbbf73a71cc533a892"/>
        <w:id w:val="-38471880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rPr>
        <w:alias w:val="无形资产计价方法、使用寿命、减值测试"/>
        <w:tag w:val="_GBC_a9e64b18f452482eb6674ec605618dcc"/>
        <w:id w:val="1696345997"/>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本集团无形资产包括采矿权、未探明矿区权益、土地使用权、水资源使用权、专利和专有技术、计算机软件和产能置换支出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进行初始确认时，按公允价值确认计量。</w:t>
          </w:r>
        </w:p>
        <w:p>
          <w:pPr>
            <w:ind w:firstLine="420" w:firstLineChars="200"/>
            <w:rPr>
              <w:rFonts w:ascii="宋体" w:hAnsi="宋体"/>
            </w:rPr>
          </w:pPr>
          <w:r>
            <w:rPr>
              <w:rFonts w:hint="eastAsia" w:ascii="宋体" w:hAnsi="宋体"/>
            </w:rPr>
            <w:t>（1）使用寿命及其确定依据、估计情况、摊销方法或复核程序</w:t>
          </w:r>
        </w:p>
        <w:p>
          <w:pPr>
            <w:ind w:firstLine="420" w:firstLineChars="200"/>
            <w:rPr>
              <w:rFonts w:ascii="宋体" w:hAnsi="宋体"/>
            </w:rPr>
          </w:pPr>
          <w:r>
            <w:rPr>
              <w:rFonts w:hint="eastAsia" w:ascii="宋体" w:hAnsi="宋体"/>
            </w:rPr>
            <w:t>采矿权成本根据已探明及推定煤炭储量以采矿权在矿山服务年限内已探明及推定煤炭总储量为基础采用产量法进行摊销。若为本集团之澳大利亚子公司，则以澳大利亚联合矿石储备委员会（「JORC」）煤炭储量为基础采用产量法进行摊销。</w:t>
          </w:r>
        </w:p>
        <w:p>
          <w:pPr>
            <w:ind w:firstLine="420" w:firstLineChars="200"/>
            <w:rPr>
              <w:rFonts w:ascii="宋体" w:hAnsi="宋体"/>
            </w:rPr>
          </w:pPr>
          <w:r>
            <w:rPr>
              <w:rFonts w:hint="eastAsia" w:ascii="宋体" w:hAnsi="宋体"/>
            </w:rPr>
            <w:t>未探明矿区权益是矿区经勘探评价活动后估计其潜在经济可采储量（不包括采矿权中已探明及推定煤矿总储量的部分，即不包括上述的煤炭储量）的价值（参见本附注“五、2</w:t>
          </w:r>
          <w:r>
            <w:rPr>
              <w:rFonts w:ascii="宋体" w:hAnsi="宋体"/>
            </w:rPr>
            <w:t>8</w:t>
          </w:r>
          <w:r>
            <w:rPr>
              <w:rFonts w:hint="eastAsia" w:ascii="宋体" w:hAnsi="宋体"/>
            </w:rPr>
            <w:t>勘探及评价支出”）。</w:t>
          </w:r>
        </w:p>
        <w:p>
          <w:pPr>
            <w:ind w:firstLine="420" w:firstLineChars="200"/>
            <w:rPr>
              <w:rFonts w:ascii="宋体" w:hAnsi="宋体"/>
            </w:rPr>
          </w:pPr>
          <w:r>
            <w:rPr>
              <w:rFonts w:hint="eastAsia" w:ascii="宋体" w:hAnsi="宋体"/>
            </w:rPr>
            <w:t>土地使用权从出让起始日起，按其出让年限平均摊销。</w:t>
          </w:r>
        </w:p>
        <w:p>
          <w:pPr>
            <w:ind w:firstLine="420" w:firstLineChars="200"/>
            <w:rPr>
              <w:rFonts w:ascii="宋体" w:hAnsi="宋体"/>
            </w:rPr>
          </w:pPr>
          <w:r>
            <w:rPr>
              <w:rFonts w:hint="eastAsia" w:ascii="宋体" w:hAnsi="宋体"/>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于每期末进行减值测试。</w:t>
          </w:r>
        </w:p>
        <w:p>
          <w:pPr>
            <w:ind w:firstLine="420" w:firstLineChars="200"/>
            <w:rPr>
              <w:rFonts w:ascii="宋体" w:hAnsi="宋体"/>
            </w:rPr>
          </w:pPr>
          <w:r>
            <w:rPr>
              <w:rFonts w:hint="eastAsia" w:ascii="宋体" w:hAnsi="宋体"/>
            </w:rPr>
            <w:t>根据国家发改委《关于实施减量置换严控煤炭新增产能有关事项的通知》（发改能源〔2016〕1602号）、《关于做好建设煤矿产能减量置换有关工作的补充通知》（发改能源〔2016〕1897号）和《关于进一步加快建设产能置换工作的通知》（发改能源〔2017〕609号）文件的规定，本集团新建煤矿、核增产能等均进行产能置换指标交易，产能置换支出按照采矿权证剩余年限平均摊销。</w:t>
          </w:r>
        </w:p>
        <w:p>
          <w:pPr>
            <w:ind w:firstLine="420" w:firstLineChars="200"/>
            <w:rPr>
              <w:rFonts w:ascii="宋体" w:hAnsi="宋体"/>
            </w:rPr>
          </w:pPr>
          <w:r>
            <w:rPr>
              <w:rFonts w:hint="eastAsia" w:ascii="宋体" w:hAnsi="宋体"/>
            </w:rP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pPr>
        <w:rPr>
          <w:rFonts w:ascii="宋体" w:hAnsi="宋体"/>
        </w:rPr>
      </w:pPr>
    </w:p>
    <w:p>
      <w:pPr>
        <w:pStyle w:val="505"/>
        <w:numPr>
          <w:ilvl w:val="3"/>
          <w:numId w:val="64"/>
        </w:numPr>
        <w:ind w:left="426" w:hanging="426"/>
        <w:rPr>
          <w:rFonts w:ascii="宋体" w:hAnsi="宋体" w:eastAsia="宋体"/>
        </w:rPr>
      </w:pPr>
      <w:r>
        <w:rPr>
          <w:rFonts w:hint="eastAsia" w:ascii="宋体" w:hAnsi="宋体" w:eastAsia="宋体"/>
        </w:rPr>
        <w:t>研发支出的归集范围及相关会计处理方法</w:t>
      </w:r>
    </w:p>
    <w:sdt>
      <w:sdtPr>
        <w:alias w:val="是否适用：无形资产内部研究开发支出会计政策[双击切换]"/>
        <w:tag w:val="_GBC_8f6b939ea36a42808f60b7c024994f2b"/>
        <w:id w:val="-210510323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rPr>
        <w:alias w:val="无形资产内部研究、开发支出会计政策"/>
        <w:tag w:val="_GBC_af7b1338d88344dfb8cd34ed66bfe672"/>
        <w:id w:val="1016202838"/>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本集团内部研究开发项目的支出分为研究阶段支出与开发阶段支出。研究阶段的支出，于发生时计入当期损益。开发阶段的支出同时满足下列条件的，确认为无形资产，不能满足下述条件的开发阶段的支出计入当期损益： 1)完成该无形资产以使其能够使用或出售在技术上具有可行性； 2)具有完成该无形资产并使用或出售的意图； 3)无形资产产生经济利益的方式，包括能够证明运用该无形资产生产的产品存在市场或无形资产自身存在市场，无形资产将在内部使用的，能够证明其有用性； 4)有足够的技术、财务资源和其他资源支持，以完成该无形资产的开发，并有能力使用或出售该无形资产； 5)归属于该无形资产开发阶段的支出能够可靠地计量。无法区分研究阶段支出和开发阶段支出的，将发生的研发支出全部计入当期损益。</w:t>
          </w:r>
        </w:p>
      </w:sdtContent>
    </w:sdt>
    <w:p>
      <w:pPr>
        <w:pStyle w:val="504"/>
        <w:numPr>
          <w:ilvl w:val="0"/>
          <w:numId w:val="61"/>
        </w:numPr>
        <w:ind w:left="426" w:hanging="284"/>
        <w:rPr>
          <w:rFonts w:ascii="宋体" w:hAnsi="宋体"/>
          <w:szCs w:val="21"/>
        </w:rPr>
      </w:pPr>
      <w:r>
        <w:rPr>
          <w:rFonts w:hint="eastAsia" w:ascii="宋体" w:hAnsi="宋体"/>
          <w:szCs w:val="21"/>
        </w:rPr>
        <w:t>勘探及评价支出</w:t>
      </w:r>
    </w:p>
    <w:p>
      <w:pPr>
        <w:ind w:firstLine="420" w:firstLineChars="200"/>
        <w:rPr>
          <w:rFonts w:ascii="宋体" w:hAnsi="宋体"/>
        </w:rPr>
      </w:pPr>
      <w:r>
        <w:rPr>
          <w:rFonts w:hint="eastAsia" w:ascii="宋体" w:hAnsi="宋体"/>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pPr>
        <w:ind w:firstLine="420" w:firstLineChars="200"/>
        <w:rPr>
          <w:rFonts w:ascii="宋体" w:hAnsi="宋体"/>
        </w:rPr>
      </w:pPr>
      <w:r>
        <w:rPr>
          <w:rFonts w:hint="eastAsia" w:ascii="宋体" w:hAnsi="宋体"/>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pPr>
        <w:ind w:firstLine="420" w:firstLineChars="200"/>
        <w:rPr>
          <w:rFonts w:ascii="宋体" w:hAnsi="宋体"/>
        </w:rPr>
      </w:pPr>
      <w:r>
        <w:rPr>
          <w:rFonts w:hint="eastAsia" w:ascii="宋体" w:hAnsi="宋体"/>
        </w:rPr>
        <w:t>当生产开始时，相关区域的累计支出按照经济可开采储量的耗用率在该区域的服务年限内摊销。</w:t>
      </w:r>
    </w:p>
    <w:p>
      <w:pPr>
        <w:ind w:firstLine="420" w:firstLineChars="200"/>
        <w:rPr>
          <w:rFonts w:ascii="宋体" w:hAnsi="宋体"/>
        </w:rPr>
      </w:pPr>
      <w:r>
        <w:rPr>
          <w:rFonts w:hint="eastAsia" w:ascii="宋体" w:hAnsi="宋体"/>
        </w:rPr>
        <w:t>于企业合并中取得的勘探和评价资产，以其于收购日的公允价值确认，即于收购日其潜在经济可采储量的公允价值，以未探明矿区权益列示。</w:t>
      </w:r>
    </w:p>
    <w:p>
      <w:pPr>
        <w:ind w:firstLine="420" w:firstLineChars="200"/>
        <w:rPr>
          <w:rFonts w:ascii="宋体" w:hAnsi="宋体"/>
        </w:rPr>
      </w:pPr>
      <w:r>
        <w:rPr>
          <w:rFonts w:hint="eastAsia" w:ascii="宋体" w:hAnsi="宋体"/>
        </w:rPr>
        <w:t>勘探及评价资产根据资产性质被列为固定资产（参见本附注“五、</w:t>
      </w:r>
      <w:r>
        <w:rPr>
          <w:rFonts w:ascii="宋体" w:hAnsi="宋体"/>
        </w:rPr>
        <w:t>22</w:t>
      </w:r>
      <w:r>
        <w:rPr>
          <w:rFonts w:hint="eastAsia" w:ascii="宋体" w:hAnsi="宋体"/>
        </w:rPr>
        <w:t>固定资产”）、在建工程（参见本附注“五、</w:t>
      </w:r>
      <w:r>
        <w:rPr>
          <w:rFonts w:ascii="宋体" w:hAnsi="宋体"/>
        </w:rPr>
        <w:t>23</w:t>
      </w:r>
      <w:r>
        <w:rPr>
          <w:rFonts w:hint="eastAsia" w:ascii="宋体" w:hAnsi="宋体"/>
        </w:rPr>
        <w:t>在建工程”）或无形资产（参见本附注“五、2</w:t>
      </w:r>
      <w:r>
        <w:rPr>
          <w:rFonts w:ascii="宋体" w:hAnsi="宋体"/>
        </w:rPr>
        <w:t>7</w:t>
      </w:r>
      <w:r>
        <w:rPr>
          <w:rFonts w:hint="eastAsia" w:ascii="宋体" w:hAnsi="宋体"/>
        </w:rPr>
        <w:t>无形资产”）。</w:t>
      </w:r>
    </w:p>
    <w:p>
      <w:pPr>
        <w:pStyle w:val="504"/>
        <w:numPr>
          <w:ilvl w:val="0"/>
          <w:numId w:val="61"/>
        </w:numPr>
        <w:ind w:left="546" w:hanging="350"/>
        <w:rPr>
          <w:rFonts w:ascii="宋体" w:hAnsi="宋体"/>
          <w:szCs w:val="21"/>
        </w:rPr>
      </w:pPr>
      <w:r>
        <w:rPr>
          <w:rFonts w:hint="eastAsia" w:ascii="宋体" w:hAnsi="宋体"/>
          <w:szCs w:val="21"/>
        </w:rPr>
        <w:t>长期资产减值</w:t>
      </w:r>
    </w:p>
    <w:sdt>
      <w:sdtPr>
        <w:rPr>
          <w:rFonts w:hint="eastAsia" w:ascii="宋体" w:hAnsi="宋体"/>
        </w:rPr>
        <w:alias w:val="是否适用：长期资产减值_重要会计政策和估计[双击切换]"/>
        <w:tag w:val="_GBC_e9110d6af45c4c0d808e2f284fadf642"/>
        <w:id w:val="1979411822"/>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非金融长期资产减值测试方法及会计处理方法"/>
        <w:tag w:val="_GBC_0a065c1269a846f6923598a2c1fc4269"/>
        <w:id w:val="2049562660"/>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本集团于每一资产负债表日对长期股权投资、固定资产、在建工程、使用权资产、使用寿命有限的无形资产等项目进行检查，当存在减值迹象时，本集团进行减值测试。对商誉、使用寿命不确定的无形资产、尚未达到预定可使用状态的开发支出无论是否存在减值迹象，每年末均进行减值测试。</w:t>
          </w:r>
        </w:p>
        <w:p>
          <w:pPr>
            <w:ind w:firstLine="420" w:firstLineChars="200"/>
            <w:rPr>
              <w:rFonts w:ascii="宋体" w:hAnsi="宋体"/>
            </w:rPr>
          </w:pPr>
          <w:r>
            <w:rPr>
              <w:rFonts w:hint="eastAsia" w:ascii="宋体" w:hAnsi="宋体"/>
            </w:rPr>
            <w:t>（1） 除金融资产之外的非流动资产减值（除商誉外）</w:t>
          </w:r>
        </w:p>
        <w:p>
          <w:pPr>
            <w:ind w:firstLine="420" w:firstLineChars="200"/>
            <w:rPr>
              <w:rFonts w:ascii="宋体" w:hAnsi="宋体"/>
            </w:rPr>
          </w:pPr>
          <w:r>
            <w:rPr>
              <w:rFonts w:hint="eastAsia" w:ascii="宋体" w:hAnsi="宋体"/>
            </w:rPr>
            <w:t>本集团在进行减值测试时，按照资产的公允价值减去处置费用后的净额与资产预计未来现金流量的现值两者之间的较高者确定其可收回金额。减值测试后，若该资产的账面价值超过其可收回金额，其差额确认为减值损失。</w:t>
          </w:r>
        </w:p>
        <w:p>
          <w:pPr>
            <w:ind w:firstLine="420" w:firstLineChars="200"/>
            <w:rPr>
              <w:rFonts w:ascii="宋体" w:hAnsi="宋体"/>
            </w:rPr>
          </w:pPr>
          <w:r>
            <w:rPr>
              <w:rFonts w:hint="eastAsia" w:ascii="宋体" w:hAnsi="宋体"/>
            </w:rPr>
            <w:t>本集团以单项资产为基础估计其可回收金额，难以对单项资产的可回收金额进行估计的，以该资产所属资产组为基础确定资产组的可回收金额。资产组的认定，以资产组产生的主要现金流入是否独立于其他资产或者资产组的现金流入为依据。</w:t>
          </w:r>
        </w:p>
        <w:p>
          <w:pPr>
            <w:ind w:firstLine="420" w:firstLineChars="200"/>
            <w:rPr>
              <w:rFonts w:ascii="宋体" w:hAnsi="宋体"/>
            </w:rPr>
          </w:pPr>
          <w:r>
            <w:rPr>
              <w:rFonts w:hint="eastAsia" w:ascii="宋体" w:hAnsi="宋体"/>
            </w:rPr>
            <w:t>公允价值减去处置费用后的净额，参考公平交易中类似资产的销售协议价格或可观察到的市场价格，减去可直接归属于该资产处置的增量成本确定。预计未来现金流量现值时，管理层必须估计该项资产或资产组的预计未来现金流量，并选择恰当的折现率确定未来现金流量的现值。</w:t>
          </w:r>
        </w:p>
        <w:p>
          <w:pPr>
            <w:ind w:firstLine="420" w:firstLineChars="200"/>
            <w:rPr>
              <w:rFonts w:ascii="宋体" w:hAnsi="宋体"/>
            </w:rPr>
          </w:pPr>
          <w:r>
            <w:rPr>
              <w:rFonts w:hint="eastAsia" w:ascii="宋体" w:hAnsi="宋体"/>
            </w:rPr>
            <w:t>（2） 商誉减值</w:t>
          </w:r>
        </w:p>
        <w:p>
          <w:pPr>
            <w:ind w:firstLine="420" w:firstLineChars="200"/>
            <w:rPr>
              <w:rFonts w:ascii="宋体" w:hAnsi="宋体"/>
            </w:rPr>
          </w:pPr>
          <w:r>
            <w:rPr>
              <w:rFonts w:hint="eastAsia" w:ascii="宋体" w:hAnsi="宋体"/>
            </w:rPr>
            <w:t>本集团对企业合并形成的商誉，自购买日起将其账面价值按照合理的方法分摊至相关的资产组，难以分摊至相关的资产组的分摊至相关的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p>
        <w:p>
          <w:pPr>
            <w:ind w:firstLine="420" w:firstLineChars="200"/>
            <w:rPr>
              <w:rFonts w:ascii="宋体" w:hAnsi="宋体"/>
            </w:rPr>
          </w:pPr>
          <w:r>
            <w:rPr>
              <w:rFonts w:hint="eastAsia" w:ascii="宋体" w:hAnsi="宋体"/>
            </w:rPr>
            <w:t>上述资产的减值损失一经确认，在以后会计期间不予转回。</w:t>
          </w:r>
        </w:p>
      </w:sdtContent>
    </w:sdt>
    <w:p>
      <w:pPr>
        <w:rPr>
          <w:rFonts w:ascii="宋体" w:hAnsi="宋体"/>
        </w:rPr>
      </w:pPr>
    </w:p>
    <w:p>
      <w:pPr>
        <w:pStyle w:val="504"/>
        <w:numPr>
          <w:ilvl w:val="0"/>
          <w:numId w:val="61"/>
        </w:numPr>
        <w:ind w:left="420" w:hanging="294"/>
        <w:rPr>
          <w:rFonts w:ascii="宋体" w:hAnsi="宋体"/>
        </w:rPr>
      </w:pPr>
      <w:r>
        <w:rPr>
          <w:rFonts w:ascii="宋体" w:hAnsi="宋体"/>
        </w:rPr>
        <w:t>长期待摊费用</w:t>
      </w:r>
    </w:p>
    <w:sdt>
      <w:sdtPr>
        <w:rPr>
          <w:rFonts w:hint="eastAsia" w:ascii="宋体" w:hAnsi="宋体"/>
        </w:rPr>
        <w:alias w:val="是否适用：长期待摊费用_重要会计政策和估计[双击切换]"/>
        <w:tag w:val="_GBC_5f2bbee5e66644d489f8d74ae8f96539"/>
        <w:id w:val="1260724415"/>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开办费、长期待摊费用摊销方法"/>
        <w:tag w:val="_GBC_a0e2b7a5a9454eaea97ca201421d7dde"/>
        <w:id w:val="-2039036159"/>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本集团的长期待摊费用是指已经支出，但应由当期及以后各期承担的摊销期限在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p>
      <w:pPr>
        <w:rPr>
          <w:rFonts w:ascii="宋体" w:hAnsi="宋体"/>
        </w:rPr>
      </w:pPr>
    </w:p>
    <w:p>
      <w:pPr>
        <w:pStyle w:val="504"/>
        <w:numPr>
          <w:ilvl w:val="0"/>
          <w:numId w:val="61"/>
        </w:numPr>
        <w:ind w:left="490" w:hanging="308"/>
        <w:rPr>
          <w:rFonts w:ascii="宋体" w:hAnsi="宋体"/>
          <w:szCs w:val="21"/>
        </w:rPr>
      </w:pPr>
      <w:r>
        <w:rPr>
          <w:rFonts w:hint="eastAsia" w:ascii="宋体" w:hAnsi="宋体"/>
          <w:szCs w:val="21"/>
        </w:rPr>
        <w:t>合同负债</w:t>
      </w:r>
    </w:p>
    <w:sdt>
      <w:sdtPr>
        <w:rPr>
          <w:rFonts w:ascii="宋体" w:hAnsi="宋体"/>
        </w:rPr>
        <w:alias w:val="是否适用：合同负债的确定方法、摊销方法和减值测试方法[双击切换]"/>
        <w:tag w:val="_GBC_1d0f6a0a7f304d3f94158c9d73a7239a"/>
        <w:id w:val="-401131821"/>
        <w:placeholder>
          <w:docPart w:val="GBC22222222222222222222222222222"/>
        </w:placeholder>
      </w:sdtPr>
      <w:sdtEndPr>
        <w:rPr>
          <w:rFonts w:ascii="宋体" w:hAnsi="宋体"/>
        </w:rPr>
      </w:sdtEndPr>
      <w:sdtContent>
        <w:p>
          <w:pPr>
            <w:rPr>
              <w:rFonts w:ascii="宋体" w:hAnsi="宋体"/>
            </w:rPr>
          </w:pPr>
          <w:bookmarkStart w:id="211" w:name="_Hlk533668008"/>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11"/>
    <w:p>
      <w:pPr>
        <w:rPr>
          <w:rFonts w:ascii="宋体" w:hAnsi="宋体"/>
        </w:rPr>
      </w:pPr>
    </w:p>
    <w:p>
      <w:pPr>
        <w:pStyle w:val="504"/>
        <w:numPr>
          <w:ilvl w:val="0"/>
          <w:numId w:val="61"/>
        </w:numPr>
        <w:ind w:left="574" w:hanging="432"/>
        <w:rPr>
          <w:rFonts w:ascii="宋体" w:hAnsi="宋体"/>
        </w:rPr>
      </w:pPr>
      <w:r>
        <w:rPr>
          <w:rFonts w:hint="eastAsia" w:ascii="宋体" w:hAnsi="宋体"/>
        </w:rPr>
        <w:t>职工薪酬</w:t>
      </w:r>
    </w:p>
    <w:p>
      <w:pPr>
        <w:pStyle w:val="505"/>
        <w:numPr>
          <w:ilvl w:val="3"/>
          <w:numId w:val="65"/>
        </w:numPr>
        <w:ind w:left="426" w:hanging="426"/>
        <w:rPr>
          <w:rFonts w:ascii="宋体" w:hAnsi="宋体" w:eastAsia="宋体"/>
        </w:rPr>
      </w:pPr>
      <w:r>
        <w:rPr>
          <w:rFonts w:hint="eastAsia" w:ascii="宋体" w:hAnsi="宋体" w:eastAsia="宋体"/>
        </w:rPr>
        <w:t>短期薪酬的会计处理方法</w:t>
      </w:r>
    </w:p>
    <w:sdt>
      <w:sdtPr>
        <w:rPr>
          <w:rFonts w:hint="eastAsia" w:ascii="宋体" w:hAnsi="宋体"/>
        </w:rPr>
        <w:alias w:val="是否适用：短期薪酬的会计处理方法[双击切换]"/>
        <w:tag w:val="_GBC_efadddc5ff4a48fb9432574c3528c6b3"/>
        <w:id w:val="-1762672849"/>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短期薪酬的会计处理方法"/>
        <w:tag w:val="_GBC_8fdf44b194ac45fb945d36b9896df796"/>
        <w:id w:val="-616448926"/>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本集团职工薪酬包括短期薪酬、离职后福利、辞退福利和其他长期福利。</w:t>
          </w:r>
        </w:p>
        <w:p>
          <w:pPr>
            <w:ind w:firstLine="420" w:firstLineChars="200"/>
            <w:rPr>
              <w:rFonts w:ascii="宋体" w:hAnsi="宋体"/>
            </w:rPr>
          </w:pPr>
          <w:r>
            <w:rPr>
              <w:rFonts w:hint="eastAsia" w:ascii="宋体" w:hAnsi="宋体"/>
            </w:rPr>
            <w:t>短期薪酬主要包括职工工资、奖金、津贴和补贴，职工福利费，医疗保险费、工伤保险费和生育保险费等社会保险费，住房公积金，工会经费和职工教育经费，短期带薪缺勤等，在职工提供服务的会计期间，将实际发生的短期薪酬确认为负债，并按照受益对象计入当期损益或相关资产成本。</w:t>
          </w:r>
        </w:p>
      </w:sdtContent>
    </w:sdt>
    <w:p>
      <w:pPr>
        <w:rPr>
          <w:rFonts w:ascii="宋体" w:hAnsi="宋体"/>
        </w:rPr>
      </w:pPr>
    </w:p>
    <w:p>
      <w:pPr>
        <w:pStyle w:val="505"/>
        <w:numPr>
          <w:ilvl w:val="3"/>
          <w:numId w:val="65"/>
        </w:numPr>
        <w:ind w:left="426" w:hanging="426"/>
        <w:rPr>
          <w:rFonts w:ascii="宋体" w:hAnsi="宋体" w:eastAsia="宋体"/>
        </w:rPr>
      </w:pPr>
      <w:r>
        <w:rPr>
          <w:rFonts w:hint="eastAsia" w:ascii="宋体" w:hAnsi="宋体" w:eastAsia="宋体"/>
        </w:rPr>
        <w:t>离职后福利的会计处理方法</w:t>
      </w:r>
    </w:p>
    <w:sdt>
      <w:sdtPr>
        <w:rPr>
          <w:rFonts w:hint="eastAsia" w:ascii="宋体" w:hAnsi="宋体"/>
        </w:rPr>
        <w:alias w:val="是否适用：离职后福利的会计处理方法[双击切换]"/>
        <w:tag w:val="_GBC_64248844b1544474ae8d85d08e7479af"/>
        <w:id w:val="1861706659"/>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离职后福利的会计处理方法"/>
        <w:tag w:val="_GBC_3b0bafa6ef784ba99c829e2f60cf828e"/>
        <w:id w:val="-991402892"/>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pPr>
        <w:rPr>
          <w:rFonts w:ascii="宋体" w:hAnsi="宋体"/>
        </w:rPr>
      </w:pPr>
    </w:p>
    <w:p>
      <w:pPr>
        <w:pStyle w:val="505"/>
        <w:numPr>
          <w:ilvl w:val="3"/>
          <w:numId w:val="65"/>
        </w:numPr>
        <w:ind w:left="426" w:hanging="426"/>
        <w:rPr>
          <w:rFonts w:ascii="宋体" w:hAnsi="宋体" w:eastAsia="宋体"/>
        </w:rPr>
      </w:pPr>
      <w:r>
        <w:rPr>
          <w:rFonts w:hint="eastAsia" w:ascii="宋体" w:hAnsi="宋体" w:eastAsia="宋体"/>
        </w:rPr>
        <w:t>辞退福利的会计处理方法</w:t>
      </w:r>
    </w:p>
    <w:sdt>
      <w:sdtPr>
        <w:rPr>
          <w:rFonts w:hint="eastAsia" w:ascii="宋体" w:hAnsi="宋体"/>
        </w:rPr>
        <w:alias w:val="是否适用：辞退福利的会计处理方法[双击切换]"/>
        <w:tag w:val="_GBC_7a3bf6905df64c658fb0148a81f2964d"/>
        <w:id w:val="161590258"/>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辞退福利的会计处理方法"/>
        <w:tag w:val="_GBC_a93705fb60b24bceb25c88a68ed87432"/>
        <w:id w:val="-1195535652"/>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pPr>
        <w:rPr>
          <w:rFonts w:ascii="宋体" w:hAnsi="宋体"/>
        </w:rPr>
      </w:pPr>
    </w:p>
    <w:p>
      <w:pPr>
        <w:pStyle w:val="505"/>
        <w:numPr>
          <w:ilvl w:val="3"/>
          <w:numId w:val="65"/>
        </w:numPr>
        <w:ind w:left="426" w:hanging="426"/>
        <w:rPr>
          <w:rFonts w:ascii="宋体" w:hAnsi="宋体" w:eastAsia="宋体"/>
        </w:rPr>
      </w:pPr>
      <w:r>
        <w:rPr>
          <w:rFonts w:hint="eastAsia" w:ascii="宋体" w:hAnsi="宋体" w:eastAsia="宋体"/>
        </w:rPr>
        <w:t>其他长期职工福利的会计处理方法</w:t>
      </w:r>
    </w:p>
    <w:sdt>
      <w:sdtPr>
        <w:rPr>
          <w:rFonts w:hint="eastAsia" w:ascii="宋体" w:hAnsi="宋体"/>
        </w:rPr>
        <w:alias w:val="是否适用：其他长期职工福利的会计处理方法[双击切换]"/>
        <w:tag w:val="_GBC_94d434167e154a30ad2071a069525a71"/>
        <w:id w:val="1367104567"/>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其他长期职工福利的会计处理方法"/>
        <w:tag w:val="_GBC_0e549e9400284de7b64ddf6ecc255dea"/>
        <w:id w:val="-171567064"/>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其他长期福利，是指除短期薪酬、离职后福利、辞退福利之外所有的职工薪酬。</w:t>
          </w:r>
        </w:p>
      </w:sdtContent>
    </w:sdt>
    <w:p>
      <w:pPr>
        <w:pStyle w:val="504"/>
        <w:numPr>
          <w:ilvl w:val="0"/>
          <w:numId w:val="61"/>
        </w:numPr>
        <w:ind w:left="588" w:hanging="364"/>
        <w:rPr>
          <w:rFonts w:ascii="宋体" w:hAnsi="宋体"/>
        </w:rPr>
      </w:pPr>
      <w:r>
        <w:rPr>
          <w:rFonts w:ascii="宋体" w:hAnsi="宋体"/>
        </w:rPr>
        <w:t>预计负债</w:t>
      </w:r>
    </w:p>
    <w:sdt>
      <w:sdtPr>
        <w:rPr>
          <w:rFonts w:hint="eastAsia" w:ascii="宋体" w:hAnsi="宋体"/>
        </w:rPr>
        <w:alias w:val="是否适用：预计负债_重要会计政策和估计[双击切换]"/>
        <w:tag w:val="_GBC_546a7423773c46d2b57f08fc5fdbc638"/>
        <w:id w:val="243696605"/>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预计负债的核算方法"/>
        <w:tag w:val="_GBC_d6934772e41e485d9e00e349486f9d7e"/>
        <w:id w:val="241073806"/>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当与因开采煤矿而形成的复垦、弃置及环境清理事项，以及对外担保、未决诉讼或仲裁、产品质量保证、裁员计划、亏损合同、重组义务等或有事项相关的业务同时符合以下条件时，本集团将其确认为负债：该义务是本集团承担的现时义务；该义务的履行很可能导致经济利益流出企业；该义务的金额能够可靠地计量。</w:t>
          </w:r>
        </w:p>
        <w:p>
          <w:pPr>
            <w:ind w:firstLine="420" w:firstLineChars="200"/>
            <w:rPr>
              <w:rFonts w:ascii="宋体" w:hAnsi="宋体"/>
            </w:rPr>
          </w:pPr>
          <w:r>
            <w:rPr>
              <w:rFonts w:hint="eastAsia" w:ascii="宋体" w:hAnsi="宋体"/>
            </w:rPr>
            <w:t>预计负债按照履行相关现时义务所需支出的最佳估计数进行初始计量，并综合考虑与或有事项有关的风险、不确定性和货币时间价值等因素。本集团于资产负债表日对当前最佳估计数进行复核并对预计负债的账面价值进行调整。</w:t>
          </w:r>
        </w:p>
      </w:sdtContent>
    </w:sdt>
    <w:p>
      <w:pPr>
        <w:rPr>
          <w:rFonts w:ascii="宋体" w:hAnsi="宋体"/>
        </w:rPr>
      </w:pPr>
    </w:p>
    <w:p>
      <w:pPr>
        <w:pStyle w:val="504"/>
        <w:numPr>
          <w:ilvl w:val="0"/>
          <w:numId w:val="61"/>
        </w:numPr>
        <w:ind w:left="490" w:hanging="348"/>
        <w:rPr>
          <w:rFonts w:ascii="宋体" w:hAnsi="宋体"/>
        </w:rPr>
      </w:pPr>
      <w:r>
        <w:rPr>
          <w:rFonts w:hint="eastAsia" w:ascii="宋体" w:hAnsi="宋体"/>
        </w:rPr>
        <w:t>股份支付</w:t>
      </w:r>
    </w:p>
    <w:sdt>
      <w:sdtPr>
        <w:rPr>
          <w:rFonts w:hint="eastAsia" w:ascii="宋体" w:hAnsi="宋体"/>
        </w:rPr>
        <w:alias w:val="是否适用：股份支付_重要会计政策和估计[双击切换]"/>
        <w:tag w:val="_GBC_7741eb89da65434190830ba1cd87e4dc"/>
        <w:id w:val="1884759446"/>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股份支付的核算方法"/>
        <w:tag w:val="_GBC_99e197c555ed4cf8aa00bbd5da2fe98b"/>
        <w:id w:val="1174458759"/>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用以换取职工提供服务的以权益结算的股份支付，以授予职工权益工具在授予日的公允价值计量。如授予后立即可行权，在授予日按照权益工具的公允价值计入相关成本或费用，相应增加资本公积。如需在完成等待期内的服务或达到规定业绩条件才可行权，在等待期内的每个资产负债表日，以对可行权权益工具数量的最佳估计为基础，按照权益工具授予日的公允价值，将当期取得的服务计入相关成本或费用和资本公积。如果修改了以权益结算的股份支付的条款，至少按照未修改条款的情况确认取得的服务。此外，增加所授予权益工具公允价值的修改，或在修改日对职工有利的变更，均确认取得服务的增加。</w:t>
          </w:r>
        </w:p>
        <w:p>
          <w:pPr>
            <w:ind w:firstLine="420" w:firstLineChars="200"/>
            <w:rPr>
              <w:rFonts w:ascii="宋体" w:hAnsi="宋体"/>
            </w:rPr>
          </w:pPr>
          <w:r>
            <w:rPr>
              <w:rFonts w:hint="eastAsia" w:ascii="宋体" w:hAnsi="宋体"/>
            </w:rPr>
            <w:t>如果取消了以权益结算的股份支付，则于取消日作为加速行权处理，立即确认尚未确认的金额。职工或其他方能够选择满足非可行权条件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p>
          <w:pPr>
            <w:ind w:firstLine="420" w:firstLineChars="200"/>
            <w:rPr>
              <w:rFonts w:ascii="宋体" w:hAnsi="宋体"/>
            </w:rPr>
          </w:pPr>
          <w:r>
            <w:rPr>
              <w:rFonts w:hint="eastAsia" w:ascii="宋体" w:hAnsi="宋体"/>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在相关负债结算前的每个资产负债表日以及结算日，对负债的公允价值重新计量，其变动计入当期损益。</w:t>
          </w:r>
        </w:p>
        <w:p>
          <w:pPr>
            <w:ind w:firstLine="420" w:firstLineChars="200"/>
            <w:rPr>
              <w:rFonts w:ascii="宋体" w:hAnsi="宋体"/>
            </w:rPr>
          </w:pPr>
          <w:r>
            <w:rPr>
              <w:rFonts w:hint="eastAsia" w:ascii="宋体" w:hAnsi="宋体"/>
            </w:rPr>
            <w:t>本集团修改以现金结算的股份支付协议中的条款和条件使其成为以权益结算的股份支付的，在修改日，本集团按照所授予权益工具当日的公允价值计量以权益结算的股份支付，将已取得的服务计入资本公积，同时终止确认以现金结算的股份支付在修改日已确认的负债，两者之间的差额计入当期损益。上述规定同样适用于修改发生在等待期结束后的情形。如果由于修改延长或缩短了等待期，本集团按照修改后的等待期进行上述会计处理(无需考虑不利修改的有关会计处理规定)。如果本集团取消一项以现金结算的股份支付，授予一项以权益结算的股份支付，并在授予权益工具日认定其是用来替代已取消的以现金结算的股份支付(因未满足可行权条件而被取消的除外)的，比照上述情形进行会计处理。</w:t>
          </w:r>
        </w:p>
      </w:sdtContent>
    </w:sdt>
    <w:p>
      <w:pPr>
        <w:rPr>
          <w:rFonts w:ascii="宋体" w:hAnsi="宋体"/>
        </w:rPr>
      </w:pPr>
    </w:p>
    <w:p>
      <w:pPr>
        <w:pStyle w:val="504"/>
        <w:numPr>
          <w:ilvl w:val="0"/>
          <w:numId w:val="61"/>
        </w:numPr>
        <w:ind w:left="709"/>
        <w:rPr>
          <w:rFonts w:ascii="宋体" w:hAnsi="宋体"/>
        </w:rPr>
      </w:pPr>
      <w:r>
        <w:rPr>
          <w:rFonts w:hint="eastAsia" w:ascii="宋体" w:hAnsi="宋体"/>
        </w:rPr>
        <w:t>优先股、永续债等其他金融工具</w:t>
      </w:r>
    </w:p>
    <w:sdt>
      <w:sdtPr>
        <w:rPr>
          <w:rFonts w:hint="eastAsia" w:ascii="宋体" w:hAnsi="宋体"/>
        </w:rPr>
        <w:alias w:val="是否适用：优先股、永续债等其他金融工具[双击切换]"/>
        <w:tag w:val="_GBC_00e1aed4ff2c40d6bda73971e87d6eb8"/>
        <w:id w:val="-1810932221"/>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优先股、永续债等其他金融工具的核算方法"/>
        <w:tag w:val="_GBC_4d72f974ad08467694c4c547d6e1f03b"/>
        <w:id w:val="-562793990"/>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归类为债务工具的优先股、永续债，按其公允价值扣除交易费用后的金额进行初始计量，并采用实际利率法按摊余成本进行后续计量，其利息支出或股利分配按照借款费用进行处理，其回购或赎回产生的利得或损失计入当期损益。</w:t>
          </w:r>
        </w:p>
        <w:p>
          <w:pPr>
            <w:ind w:firstLine="420" w:firstLineChars="200"/>
            <w:rPr>
              <w:rFonts w:ascii="宋体" w:hAnsi="宋体"/>
            </w:rPr>
          </w:pPr>
          <w:r>
            <w:rPr>
              <w:rFonts w:hint="eastAsia" w:ascii="宋体" w:hAnsi="宋体"/>
            </w:rPr>
            <w:t>归类为权益工具的优先股、永续债，在发行时收到的对价扣除交易费用后增加所有者权益，其利息支出或股利分配按照利润分配进行处理，回购或注销作为权益变动处理。</w:t>
          </w:r>
        </w:p>
      </w:sdtContent>
    </w:sdt>
    <w:p>
      <w:pPr>
        <w:rPr>
          <w:rFonts w:ascii="宋体" w:hAnsi="宋体"/>
        </w:rPr>
      </w:pPr>
    </w:p>
    <w:p>
      <w:pPr>
        <w:pStyle w:val="504"/>
        <w:numPr>
          <w:ilvl w:val="0"/>
          <w:numId w:val="61"/>
        </w:numPr>
        <w:ind w:left="709"/>
        <w:rPr>
          <w:rFonts w:ascii="宋体" w:hAnsi="宋体"/>
          <w:szCs w:val="21"/>
        </w:rPr>
      </w:pPr>
      <w:r>
        <w:rPr>
          <w:rFonts w:hint="eastAsia" w:ascii="宋体" w:hAnsi="宋体"/>
          <w:szCs w:val="21"/>
        </w:rPr>
        <w:t>露天矿表层土剥采成本</w:t>
      </w:r>
    </w:p>
    <w:p>
      <w:pPr>
        <w:ind w:firstLine="420" w:firstLineChars="200"/>
        <w:rPr>
          <w:rFonts w:ascii="宋体" w:hAnsi="宋体"/>
        </w:rPr>
      </w:pPr>
      <w:r>
        <w:rPr>
          <w:rFonts w:hint="eastAsia" w:ascii="宋体" w:hAnsi="宋体"/>
        </w:rPr>
        <w:t>露天矿表层土剥采成本指为达至煤层而发生的累计支出，包括直接剥离成本及机器设备的运行成本。对能提升矿石的未来开采能力的此类剥采成本在满足特定标准时确认为非流动资产（剥采资产），其余剥采成本在发生当期计入生产成本，结转至存货。</w:t>
      </w:r>
    </w:p>
    <w:p>
      <w:pPr>
        <w:ind w:firstLine="420" w:firstLineChars="200"/>
        <w:rPr>
          <w:rFonts w:ascii="宋体" w:hAnsi="宋体"/>
        </w:rPr>
      </w:pPr>
      <w:r>
        <w:rPr>
          <w:rFonts w:hint="eastAsia" w:ascii="宋体" w:hAnsi="宋体"/>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p>
    <w:p>
      <w:pPr>
        <w:ind w:firstLine="420" w:firstLineChars="200"/>
        <w:rPr>
          <w:rFonts w:ascii="宋体" w:hAnsi="宋体"/>
        </w:rPr>
      </w:pPr>
      <w:r>
        <w:rPr>
          <w:rFonts w:hint="eastAsia" w:ascii="宋体" w:hAnsi="宋体"/>
        </w:rPr>
        <w:t>剥采活动资产应作为与其相关的矿业资产的一部分予以确认。</w:t>
      </w:r>
    </w:p>
    <w:p>
      <w:pPr>
        <w:ind w:firstLine="420" w:firstLineChars="200"/>
        <w:rPr>
          <w:rFonts w:ascii="宋体" w:hAnsi="宋体"/>
        </w:rPr>
      </w:pPr>
      <w:r>
        <w:rPr>
          <w:rFonts w:hint="eastAsia" w:ascii="宋体" w:hAnsi="宋体"/>
        </w:rPr>
        <w:t>剥采资产入账根据其所构成的现有资产的性质分类为有形资产和无形资产。当剥采资产与存货不能独立识别时，剥采成本会根据相应之生产标准分配至剥采资产及存货中。</w:t>
      </w:r>
    </w:p>
    <w:p>
      <w:pPr>
        <w:ind w:firstLine="420" w:firstLineChars="200"/>
        <w:rPr>
          <w:rFonts w:ascii="宋体" w:hAnsi="宋体"/>
        </w:rPr>
      </w:pPr>
      <w:r>
        <w:rPr>
          <w:rFonts w:hint="eastAsia" w:ascii="宋体" w:hAnsi="宋体"/>
        </w:rPr>
        <w:t>剥采资产将会在与其相关的已识别矿体组成部分的预期剩余使用寿命内计提折旧。</w:t>
      </w:r>
    </w:p>
    <w:p>
      <w:pPr>
        <w:rPr>
          <w:rFonts w:ascii="宋体" w:hAnsi="宋体"/>
        </w:rPr>
      </w:pPr>
    </w:p>
    <w:p>
      <w:pPr>
        <w:pStyle w:val="504"/>
        <w:numPr>
          <w:ilvl w:val="0"/>
          <w:numId w:val="61"/>
        </w:numPr>
        <w:ind w:left="709"/>
        <w:rPr>
          <w:rFonts w:ascii="宋体" w:hAnsi="宋体"/>
          <w:szCs w:val="21"/>
        </w:rPr>
      </w:pPr>
      <w:r>
        <w:rPr>
          <w:rFonts w:hint="eastAsia" w:ascii="宋体" w:hAnsi="宋体"/>
          <w:szCs w:val="21"/>
        </w:rPr>
        <w:t>土地塌陷、复原、重整及环保费</w:t>
      </w:r>
    </w:p>
    <w:p>
      <w:pPr>
        <w:ind w:firstLine="420" w:firstLineChars="200"/>
        <w:rPr>
          <w:rFonts w:ascii="宋体" w:hAnsi="宋体"/>
        </w:rPr>
      </w:pPr>
      <w:r>
        <w:rPr>
          <w:rFonts w:hint="eastAsia" w:ascii="宋体" w:hAnsi="宋体"/>
        </w:rPr>
        <w:t>本集团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pPr>
        <w:ind w:firstLine="420" w:firstLineChars="200"/>
        <w:rPr>
          <w:rFonts w:ascii="宋体" w:hAnsi="宋体"/>
        </w:rPr>
      </w:pPr>
      <w:r>
        <w:rPr>
          <w:rFonts w:hint="eastAsia" w:ascii="宋体" w:hAnsi="宋体"/>
        </w:rPr>
        <w:t>鉴于本集团支付搬迁费用及各项土地塌陷、复原、重整及环保费的时间与相应土地之下矿场的开采时间存在差异，故将由于预付与未来开采有关的土地征地搬迁费用等与支付数小于预提数而形成的与未来支付有关的预提土地塌陷征地、补偿、复原、环保等的差额作为一项流动资产或一项流动负债列报。</w:t>
      </w:r>
    </w:p>
    <w:p>
      <w:pPr>
        <w:pStyle w:val="504"/>
        <w:numPr>
          <w:ilvl w:val="0"/>
          <w:numId w:val="61"/>
        </w:numPr>
        <w:ind w:left="567"/>
        <w:rPr>
          <w:rFonts w:ascii="宋体" w:hAnsi="宋体"/>
          <w:szCs w:val="21"/>
        </w:rPr>
      </w:pPr>
      <w:r>
        <w:rPr>
          <w:rFonts w:hint="eastAsia" w:ascii="宋体" w:hAnsi="宋体"/>
          <w:szCs w:val="21"/>
        </w:rPr>
        <w:t>各专项储备</w:t>
      </w:r>
    </w:p>
    <w:p>
      <w:pPr>
        <w:ind w:firstLine="420" w:firstLineChars="200"/>
        <w:rPr>
          <w:rFonts w:ascii="宋体" w:hAnsi="宋体"/>
        </w:rPr>
      </w:pPr>
      <w:r>
        <w:rPr>
          <w:rFonts w:hint="eastAsia" w:ascii="宋体" w:hAnsi="宋体"/>
        </w:rPr>
        <w:t>（1） 维持简单再生产费用</w:t>
      </w:r>
    </w:p>
    <w:p>
      <w:pPr>
        <w:ind w:firstLine="420" w:firstLineChars="200"/>
        <w:rPr>
          <w:rFonts w:ascii="宋体" w:hAnsi="宋体"/>
        </w:rPr>
      </w:pPr>
      <w:r>
        <w:rPr>
          <w:rFonts w:hint="eastAsia" w:ascii="宋体" w:hAnsi="宋体"/>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9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3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vAlign w:val="center"/>
          </w:tcPr>
          <w:p>
            <w:pPr>
              <w:rPr>
                <w:rFonts w:ascii="宋体" w:hAnsi="宋体"/>
                <w:bCs/>
              </w:rPr>
            </w:pPr>
            <w:r>
              <w:rPr>
                <w:rFonts w:ascii="宋体" w:hAnsi="宋体"/>
                <w:bCs/>
              </w:rPr>
              <w:t>公司名称</w:t>
            </w:r>
          </w:p>
        </w:tc>
        <w:tc>
          <w:tcPr>
            <w:tcW w:w="3299" w:type="dxa"/>
            <w:vAlign w:val="center"/>
          </w:tcPr>
          <w:p>
            <w:pPr>
              <w:rPr>
                <w:rFonts w:ascii="宋体" w:hAnsi="宋体"/>
                <w:bCs/>
              </w:rPr>
            </w:pPr>
            <w:r>
              <w:rPr>
                <w:rFonts w:ascii="宋体" w:hAnsi="宋体"/>
                <w:bCs/>
              </w:rPr>
              <w:t>计提标准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vAlign w:val="center"/>
          </w:tcPr>
          <w:p>
            <w:pPr>
              <w:rPr>
                <w:rFonts w:ascii="宋体" w:hAnsi="宋体"/>
              </w:rPr>
            </w:pPr>
            <w:r>
              <w:rPr>
                <w:rFonts w:ascii="宋体" w:hAnsi="宋体"/>
              </w:rPr>
              <w:t>本公司及中国境内山东、山西</w:t>
            </w:r>
            <w:r>
              <w:rPr>
                <w:rFonts w:hint="eastAsia" w:ascii="宋体" w:hAnsi="宋体"/>
              </w:rPr>
              <w:t>、新疆</w:t>
            </w:r>
            <w:r>
              <w:rPr>
                <w:rFonts w:ascii="宋体" w:hAnsi="宋体"/>
              </w:rPr>
              <w:t>之子公司</w:t>
            </w:r>
          </w:p>
        </w:tc>
        <w:tc>
          <w:tcPr>
            <w:tcW w:w="3299" w:type="dxa"/>
            <w:vAlign w:val="center"/>
          </w:tcPr>
          <w:p>
            <w:pPr>
              <w:rPr>
                <w:rFonts w:ascii="宋体" w:hAnsi="宋体"/>
              </w:rPr>
            </w:pPr>
            <w:r>
              <w:rPr>
                <w:rFonts w:ascii="宋体" w:hAnsi="宋体"/>
              </w:rPr>
              <w:t>6元/吨</w:t>
            </w:r>
            <w:r>
              <w:rPr>
                <w:rFonts w:hint="eastAsia" w:ascii="宋体" w:hAnsi="宋体"/>
              </w:rPr>
              <w:t>、8</w:t>
            </w:r>
            <w:r>
              <w:rPr>
                <w:rFonts w:ascii="宋体" w:hAnsi="宋体"/>
              </w:rPr>
              <w:t>.5</w:t>
            </w:r>
            <w:r>
              <w:rPr>
                <w:rFonts w:hint="eastAsia" w:ascii="宋体" w:hAnsi="宋体"/>
              </w:rPr>
              <w:t>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vAlign w:val="center"/>
          </w:tcPr>
          <w:p>
            <w:pPr>
              <w:rPr>
                <w:rFonts w:ascii="宋体" w:hAnsi="宋体"/>
              </w:rPr>
            </w:pPr>
            <w:r>
              <w:rPr>
                <w:rFonts w:ascii="宋体" w:hAnsi="宋体"/>
              </w:rPr>
              <w:t>本公司所属</w:t>
            </w:r>
            <w:r>
              <w:rPr>
                <w:rFonts w:hint="eastAsia" w:ascii="宋体" w:hAnsi="宋体"/>
              </w:rPr>
              <w:t>中国境内</w:t>
            </w:r>
            <w:r>
              <w:rPr>
                <w:rFonts w:ascii="宋体" w:hAnsi="宋体"/>
              </w:rPr>
              <w:t>内蒙古</w:t>
            </w:r>
            <w:r>
              <w:rPr>
                <w:rFonts w:hint="eastAsia" w:ascii="宋体" w:hAnsi="宋体"/>
              </w:rPr>
              <w:t>、陕西</w:t>
            </w:r>
            <w:r>
              <w:rPr>
                <w:rFonts w:ascii="宋体" w:hAnsi="宋体"/>
              </w:rPr>
              <w:t>之子公司</w:t>
            </w:r>
          </w:p>
        </w:tc>
        <w:tc>
          <w:tcPr>
            <w:tcW w:w="3299" w:type="dxa"/>
            <w:vAlign w:val="center"/>
          </w:tcPr>
          <w:p>
            <w:pPr>
              <w:rPr>
                <w:rFonts w:ascii="宋体" w:hAnsi="宋体"/>
              </w:rPr>
            </w:pPr>
            <w:r>
              <w:rPr>
                <w:rFonts w:hint="eastAsia" w:ascii="宋体" w:hAnsi="宋体"/>
              </w:rPr>
              <w:t>10</w:t>
            </w:r>
            <w:r>
              <w:rPr>
                <w:rFonts w:ascii="宋体" w:hAnsi="宋体"/>
              </w:rPr>
              <w:t>.5元/吨</w:t>
            </w:r>
          </w:p>
        </w:tc>
      </w:tr>
    </w:tbl>
    <w:p>
      <w:pPr>
        <w:ind w:firstLine="420" w:firstLineChars="200"/>
        <w:rPr>
          <w:rFonts w:ascii="宋体" w:hAnsi="宋体"/>
        </w:rPr>
      </w:pPr>
      <w:r>
        <w:rPr>
          <w:rFonts w:hint="eastAsia" w:ascii="宋体" w:hAnsi="宋体"/>
        </w:rPr>
        <w:t>（2） 安全生产费用</w:t>
      </w:r>
    </w:p>
    <w:p>
      <w:pPr>
        <w:ind w:firstLine="420" w:firstLineChars="200"/>
        <w:rPr>
          <w:rFonts w:ascii="宋体" w:hAnsi="宋体"/>
        </w:rPr>
      </w:pPr>
      <w:r>
        <w:rPr>
          <w:rFonts w:hint="eastAsia" w:ascii="宋体" w:hAnsi="宋体"/>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9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3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vAlign w:val="center"/>
          </w:tcPr>
          <w:p>
            <w:pPr>
              <w:rPr>
                <w:rFonts w:ascii="宋体" w:hAnsi="宋体"/>
                <w:bCs/>
              </w:rPr>
            </w:pPr>
            <w:r>
              <w:rPr>
                <w:rFonts w:ascii="宋体" w:hAnsi="宋体"/>
                <w:b/>
              </w:rPr>
              <w:t>公司名称</w:t>
            </w:r>
          </w:p>
        </w:tc>
        <w:tc>
          <w:tcPr>
            <w:tcW w:w="3299" w:type="dxa"/>
            <w:vAlign w:val="center"/>
          </w:tcPr>
          <w:p>
            <w:pPr>
              <w:rPr>
                <w:rFonts w:ascii="宋体" w:hAnsi="宋体"/>
                <w:bCs/>
              </w:rPr>
            </w:pPr>
            <w:r>
              <w:rPr>
                <w:rFonts w:ascii="宋体" w:hAnsi="宋体"/>
                <w:b/>
              </w:rPr>
              <w:t>计提标准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vAlign w:val="center"/>
          </w:tcPr>
          <w:p>
            <w:pPr>
              <w:rPr>
                <w:rFonts w:ascii="宋体" w:hAnsi="宋体"/>
              </w:rPr>
            </w:pPr>
            <w:r>
              <w:rPr>
                <w:rFonts w:ascii="宋体" w:hAnsi="宋体"/>
              </w:rPr>
              <w:t>本公司及山东</w:t>
            </w:r>
            <w:r>
              <w:rPr>
                <w:rFonts w:hint="eastAsia" w:ascii="宋体" w:hAnsi="宋体"/>
              </w:rPr>
              <w:t>、山西</w:t>
            </w:r>
            <w:r>
              <w:rPr>
                <w:rFonts w:ascii="宋体" w:hAnsi="宋体"/>
              </w:rPr>
              <w:t>境内子公司</w:t>
            </w:r>
          </w:p>
        </w:tc>
        <w:tc>
          <w:tcPr>
            <w:tcW w:w="3299" w:type="dxa"/>
            <w:vAlign w:val="center"/>
          </w:tcPr>
          <w:p>
            <w:pPr>
              <w:rPr>
                <w:rFonts w:ascii="宋体" w:hAnsi="宋体"/>
              </w:rPr>
            </w:pPr>
            <w:r>
              <w:rPr>
                <w:rFonts w:hint="eastAsia" w:ascii="宋体" w:hAnsi="宋体"/>
              </w:rPr>
              <w:t>15元/吨、</w:t>
            </w:r>
            <w:r>
              <w:rPr>
                <w:rFonts w:ascii="宋体" w:hAnsi="宋体"/>
              </w:rPr>
              <w:t>50元/吨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vAlign w:val="center"/>
          </w:tcPr>
          <w:p>
            <w:pPr>
              <w:rPr>
                <w:rFonts w:ascii="宋体" w:hAnsi="宋体"/>
              </w:rPr>
            </w:pPr>
            <w:r>
              <w:rPr>
                <w:rFonts w:ascii="宋体" w:hAnsi="宋体"/>
              </w:rPr>
              <w:t>本公司之内蒙古</w:t>
            </w:r>
            <w:r>
              <w:rPr>
                <w:rFonts w:hint="eastAsia" w:ascii="宋体" w:hAnsi="宋体"/>
              </w:rPr>
              <w:t>、陕西</w:t>
            </w:r>
            <w:r>
              <w:rPr>
                <w:rFonts w:ascii="宋体" w:hAnsi="宋体"/>
              </w:rPr>
              <w:t>境内子公司</w:t>
            </w:r>
          </w:p>
        </w:tc>
        <w:tc>
          <w:tcPr>
            <w:tcW w:w="3299" w:type="dxa"/>
            <w:vAlign w:val="center"/>
          </w:tcPr>
          <w:p>
            <w:pPr>
              <w:rPr>
                <w:rFonts w:ascii="宋体" w:hAnsi="宋体"/>
              </w:rPr>
            </w:pPr>
            <w:r>
              <w:rPr>
                <w:rFonts w:ascii="宋体" w:hAnsi="宋体"/>
              </w:rPr>
              <w:t>30</w:t>
            </w:r>
            <w:r>
              <w:rPr>
                <w:rFonts w:hint="eastAsia" w:ascii="宋体" w:hAnsi="宋体"/>
              </w:rPr>
              <w:t>元/吨、</w:t>
            </w:r>
            <w:r>
              <w:rPr>
                <w:rFonts w:ascii="宋体" w:hAnsi="宋体"/>
              </w:rPr>
              <w:t>50元/吨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vAlign w:val="center"/>
          </w:tcPr>
          <w:p>
            <w:pPr>
              <w:rPr>
                <w:rFonts w:ascii="宋体" w:hAnsi="宋体"/>
              </w:rPr>
            </w:pPr>
            <w:r>
              <w:rPr>
                <w:rFonts w:ascii="宋体" w:hAnsi="宋体"/>
              </w:rPr>
              <w:t>本公司之</w:t>
            </w:r>
            <w:r>
              <w:rPr>
                <w:rFonts w:hint="eastAsia" w:ascii="宋体" w:hAnsi="宋体"/>
              </w:rPr>
              <w:t>新疆</w:t>
            </w:r>
            <w:r>
              <w:rPr>
                <w:rFonts w:ascii="宋体" w:hAnsi="宋体"/>
              </w:rPr>
              <w:t>境内子公司</w:t>
            </w:r>
          </w:p>
        </w:tc>
        <w:tc>
          <w:tcPr>
            <w:tcW w:w="3299" w:type="dxa"/>
            <w:vAlign w:val="center"/>
          </w:tcPr>
          <w:p>
            <w:pPr>
              <w:rPr>
                <w:rFonts w:ascii="宋体" w:hAnsi="宋体"/>
              </w:rPr>
            </w:pPr>
            <w:r>
              <w:rPr>
                <w:rFonts w:hint="eastAsia" w:ascii="宋体" w:hAnsi="宋体"/>
              </w:rPr>
              <w:t>15元/吨、</w:t>
            </w:r>
            <w:r>
              <w:rPr>
                <w:rFonts w:ascii="宋体" w:hAnsi="宋体"/>
              </w:rPr>
              <w:t>30</w:t>
            </w:r>
            <w:r>
              <w:rPr>
                <w:rFonts w:hint="eastAsia" w:ascii="宋体" w:hAnsi="宋体"/>
              </w:rPr>
              <w:t>元/吨、</w:t>
            </w:r>
            <w:r>
              <w:rPr>
                <w:rFonts w:ascii="宋体" w:hAnsi="宋体"/>
              </w:rPr>
              <w:t>50元/吨</w:t>
            </w:r>
          </w:p>
        </w:tc>
      </w:tr>
    </w:tbl>
    <w:p>
      <w:pPr>
        <w:ind w:firstLine="420" w:firstLineChars="200"/>
        <w:rPr>
          <w:rFonts w:ascii="宋体" w:hAnsi="宋体"/>
        </w:rPr>
      </w:pPr>
      <w:r>
        <w:rPr>
          <w:rFonts w:hint="eastAsia" w:ascii="宋体" w:hAnsi="宋体"/>
        </w:rPr>
        <w:t>根据财政部、国家安全生产监督管理总局、国家煤炭安全监察局及有关地方政府部门的规定，自2019年9月1日起，冲击地压煤矿应当在国家规定的安全费用提取标准的基础上，按照每吨煤不少于15元加提安全费用。本公司及山东境内子公司所属冲击地压煤矿自2019年9月1日起，在国家规定的安全费用提取标准的基础上，按照每吨煤15元加提安全费用。</w:t>
      </w:r>
    </w:p>
    <w:p>
      <w:pPr>
        <w:ind w:firstLine="420" w:firstLineChars="200"/>
        <w:rPr>
          <w:rFonts w:ascii="宋体" w:hAnsi="宋体"/>
        </w:rPr>
      </w:pPr>
      <w:r>
        <w:rPr>
          <w:rFonts w:hint="eastAsia" w:ascii="宋体" w:hAnsi="宋体"/>
        </w:rPr>
        <w:t>2022年11月21日财政部发布《财政部安全生产费管理办法-财资（2022）136号》，规定自管理办法颁布之日起，冲击地压煤矿按照每吨煤50元计提安全生产费。</w:t>
      </w:r>
    </w:p>
    <w:p>
      <w:pPr>
        <w:ind w:firstLine="420" w:firstLineChars="200"/>
        <w:rPr>
          <w:rFonts w:ascii="宋体" w:hAnsi="宋体"/>
        </w:rPr>
      </w:pPr>
      <w:r>
        <w:rPr>
          <w:rFonts w:hint="eastAsia" w:ascii="宋体" w:hAnsi="宋体"/>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pPr>
        <w:ind w:firstLine="420" w:firstLineChars="200"/>
        <w:rPr>
          <w:rFonts w:ascii="宋体" w:hAnsi="宋体"/>
        </w:rPr>
      </w:pPr>
      <w:r>
        <w:rPr>
          <w:rFonts w:hint="eastAsia" w:ascii="宋体" w:hAnsi="宋体"/>
        </w:rPr>
        <w:t>（3） 改革专项发展基金</w:t>
      </w:r>
    </w:p>
    <w:p>
      <w:pPr>
        <w:ind w:firstLine="420" w:firstLineChars="200"/>
        <w:rPr>
          <w:rFonts w:ascii="宋体" w:hAnsi="宋体"/>
        </w:rPr>
      </w:pPr>
      <w:r>
        <w:rPr>
          <w:rFonts w:hint="eastAsia" w:ascii="宋体" w:hAnsi="宋体"/>
        </w:rPr>
        <w:t>根据山东省财政厅、山东省人民政府国有资产监督管理委员会和山东省煤炭工业局《关于省属重点煤炭企业建立改革发展专项资金的通知》（鲁财企〔2004〕28号）规定，本公司从2004年7月1日起按开采原煤量每吨5元计提改革专项发展基金，以用于新矿井建设等相关支出。</w:t>
      </w:r>
    </w:p>
    <w:p>
      <w:pPr>
        <w:ind w:firstLine="420" w:firstLineChars="200"/>
        <w:rPr>
          <w:rFonts w:ascii="宋体" w:hAnsi="宋体"/>
        </w:rPr>
      </w:pPr>
      <w:r>
        <w:rPr>
          <w:rFonts w:hint="eastAsia" w:ascii="宋体" w:hAnsi="宋体"/>
        </w:rPr>
        <w:t>根据山东省财政厅、山东省人民政府国有资产监督管理委员会和山东省煤炭工业局《关于停止执行省属重点煤炭企业提取改革发展专项资金政策的通知》（鲁财企〔2008〕44号），自2008年1月1日起，本公司停止计提改革专项发展基金。</w:t>
      </w:r>
    </w:p>
    <w:p>
      <w:pPr>
        <w:ind w:firstLine="420" w:firstLineChars="200"/>
        <w:rPr>
          <w:rFonts w:ascii="宋体" w:hAnsi="宋体"/>
        </w:rPr>
      </w:pPr>
      <w:r>
        <w:rPr>
          <w:rFonts w:hint="eastAsia" w:ascii="宋体" w:hAnsi="宋体"/>
        </w:rPr>
        <w:t>（4） 山西省矿山环境恢复治理保证金</w:t>
      </w:r>
    </w:p>
    <w:p>
      <w:pPr>
        <w:ind w:firstLine="420" w:firstLineChars="200"/>
        <w:rPr>
          <w:rFonts w:ascii="宋体" w:hAnsi="宋体"/>
        </w:rPr>
      </w:pPr>
      <w:r>
        <w:rPr>
          <w:rFonts w:hint="eastAsia" w:ascii="宋体" w:hAnsi="宋体"/>
        </w:rPr>
        <w:t>根据《山西省人民政府关于印发山西省矿山环境恢复治理保证金提取使用管理办法(试行)的通知》（晋政发〔2007〕41号）的规定，自2008年5月1日起，本公司之子公司山西和顺天池能源有限责任公司按开采原煤量每吨10元计提矿山环境恢复治理保证金。矿山环境恢复治理保证金提取和使用管理遵循“企业所有、专款专用、专户储存、政府监管”的原则。</w:t>
      </w:r>
    </w:p>
    <w:p>
      <w:pPr>
        <w:ind w:firstLine="420" w:firstLineChars="200"/>
        <w:rPr>
          <w:rFonts w:ascii="宋体" w:hAnsi="宋体"/>
        </w:rPr>
      </w:pPr>
      <w:r>
        <w:rPr>
          <w:rFonts w:hint="eastAsia" w:ascii="宋体" w:hAnsi="宋体"/>
        </w:rPr>
        <w:t>根据《关于印发进一步促进全省煤炭经济转变发展方式实现可持续增长措施的通知》（晋政发〔2013〕26号），暂停提取矿山环境恢复治理保证金。</w:t>
      </w:r>
    </w:p>
    <w:p>
      <w:pPr>
        <w:ind w:firstLine="420" w:firstLineChars="200"/>
        <w:rPr>
          <w:rFonts w:ascii="宋体" w:hAnsi="宋体"/>
        </w:rPr>
      </w:pPr>
      <w:r>
        <w:rPr>
          <w:rFonts w:hint="eastAsia" w:ascii="宋体" w:hAnsi="宋体"/>
        </w:rPr>
        <w:t>（5） 山西省煤矿转产发展资金</w:t>
      </w:r>
    </w:p>
    <w:p>
      <w:pPr>
        <w:ind w:firstLine="420" w:firstLineChars="200"/>
        <w:rPr>
          <w:rFonts w:ascii="宋体" w:hAnsi="宋体"/>
        </w:rPr>
      </w:pPr>
      <w:r>
        <w:rPr>
          <w:rFonts w:hint="eastAsia" w:ascii="宋体" w:hAnsi="宋体"/>
        </w:rPr>
        <w:t>根据《山西省煤矿转产发展资金提取使用管理办法(试行)》（晋政发〔2007〕40号）规定，自2008年5月1日起，本公司之子公司山西和顺天池能源有限责任公司按开采原煤量每吨5元计提煤矿转产发展资金。</w:t>
      </w:r>
    </w:p>
    <w:p>
      <w:pPr>
        <w:ind w:firstLine="420" w:firstLineChars="200"/>
        <w:rPr>
          <w:rFonts w:ascii="宋体" w:hAnsi="宋体"/>
        </w:rPr>
      </w:pPr>
      <w:r>
        <w:rPr>
          <w:rFonts w:hint="eastAsia" w:ascii="宋体" w:hAnsi="宋体"/>
        </w:rPr>
        <w:t>根据《关于印发进一步促进全省煤炭经济转变发展方式实现可持续增长措施的通知》（晋政发〔2013〕26号），暂停提取煤矿转产发展资金。</w:t>
      </w:r>
    </w:p>
    <w:p>
      <w:pPr>
        <w:ind w:firstLine="420" w:firstLineChars="200"/>
        <w:rPr>
          <w:rFonts w:ascii="宋体" w:hAnsi="宋体"/>
        </w:rPr>
      </w:pPr>
      <w:r>
        <w:rPr>
          <w:rFonts w:hint="eastAsia" w:ascii="宋体" w:hAnsi="宋体"/>
        </w:rPr>
        <w:t>（6） 一般风险准备金</w:t>
      </w:r>
    </w:p>
    <w:p>
      <w:pPr>
        <w:ind w:firstLine="420" w:firstLineChars="200"/>
        <w:rPr>
          <w:rFonts w:ascii="宋体" w:hAnsi="宋体"/>
        </w:rPr>
      </w:pPr>
      <w:r>
        <w:rPr>
          <w:rFonts w:hint="eastAsia" w:ascii="宋体" w:hAnsi="宋体"/>
        </w:rPr>
        <w:t>根据财政部《金融企业准备金计提管理办法》（财金〔2012〕20号）规定，本公司之子公司山东能源集团财务有限公司按照不低于风险资产资产负债表日余额的1.5%计提一般风险准备金。</w:t>
      </w:r>
    </w:p>
    <w:p>
      <w:pPr>
        <w:pStyle w:val="504"/>
        <w:numPr>
          <w:ilvl w:val="0"/>
          <w:numId w:val="61"/>
        </w:numPr>
        <w:ind w:left="567"/>
        <w:rPr>
          <w:rFonts w:ascii="宋体" w:hAnsi="宋体"/>
          <w:szCs w:val="21"/>
        </w:rPr>
      </w:pPr>
      <w:r>
        <w:rPr>
          <w:rFonts w:hint="eastAsia" w:ascii="宋体" w:hAnsi="宋体"/>
          <w:szCs w:val="21"/>
        </w:rPr>
        <w:t>收入</w:t>
      </w:r>
    </w:p>
    <w:p>
      <w:pPr>
        <w:pStyle w:val="505"/>
        <w:numPr>
          <w:ilvl w:val="3"/>
          <w:numId w:val="66"/>
        </w:numPr>
        <w:ind w:left="426" w:hanging="426"/>
        <w:rPr>
          <w:rFonts w:ascii="宋体" w:hAnsi="宋体" w:eastAsia="宋体"/>
          <w:szCs w:val="21"/>
        </w:rPr>
      </w:pPr>
      <w:r>
        <w:rPr>
          <w:rFonts w:hint="eastAsia" w:ascii="宋体" w:hAnsi="宋体" w:eastAsia="宋体"/>
          <w:szCs w:val="21"/>
        </w:rPr>
        <w:t>按照业务类型披露收入确认和计量所采用的会计政策</w:t>
      </w:r>
    </w:p>
    <w:sdt>
      <w:sdtPr>
        <w:rPr>
          <w:rFonts w:ascii="宋体" w:hAnsi="宋体"/>
        </w:rPr>
        <w:alias w:val="是否适用：收入确认和计量所采用的会计政策[双击切换]"/>
        <w:tag w:val="_GBC_58b9f76eca7b4d9d8e5c5dfd0fba5c09"/>
        <w:id w:val="-574363370"/>
        <w:placeholder>
          <w:docPart w:val="GBC22222222222222222222222222222"/>
        </w:placeholder>
      </w:sdtPr>
      <w:sdtEndPr>
        <w:rPr>
          <w:rFonts w:ascii="宋体" w:hAnsi="宋体"/>
        </w:rPr>
      </w:sdtEndPr>
      <w:sdtContent>
        <w:p>
          <w:pPr>
            <w:rPr>
              <w:rFonts w:ascii="宋体" w:hAnsi="宋体"/>
            </w:rPr>
          </w:pPr>
          <w:bookmarkStart w:id="212" w:name="_Hlk533668053"/>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收入确认和计量所采用的会计政策"/>
        <w:tag w:val="_GBC_9ba2713a8f0a44ef9a4ee890aa13e0fb"/>
        <w:id w:val="1304350242"/>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本集团的营业收入包括销售煤炭、销售甲醇等煤制化工产品、销售电力及热力、销售矿用设备、机电设备、橡胶制品、辅助材料、大宗物资、贷款和租赁等业务收入。</w:t>
          </w:r>
        </w:p>
        <w:p>
          <w:pPr>
            <w:ind w:firstLine="420" w:firstLineChars="200"/>
            <w:rPr>
              <w:rFonts w:ascii="宋体" w:hAnsi="宋体"/>
            </w:rPr>
          </w:pPr>
          <w:r>
            <w:rPr>
              <w:rFonts w:hint="eastAsia" w:ascii="宋体" w:hAnsi="宋体"/>
            </w:rPr>
            <w:t>本集团在履行了合同中的履约义务，即在客户取得相关商品或服务的控制权时，确认收入。</w:t>
          </w:r>
        </w:p>
        <w:p>
          <w:pPr>
            <w:ind w:firstLine="420" w:firstLineChars="200"/>
            <w:rPr>
              <w:rFonts w:ascii="宋体" w:hAnsi="宋体"/>
            </w:rPr>
          </w:pPr>
          <w:r>
            <w:rPr>
              <w:rFonts w:hint="eastAsia" w:ascii="宋体" w:hAnsi="宋体"/>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pPr>
            <w:ind w:firstLine="420" w:firstLineChars="200"/>
            <w:rPr>
              <w:rFonts w:ascii="宋体" w:hAnsi="宋体"/>
            </w:rPr>
          </w:pPr>
          <w:r>
            <w:rPr>
              <w:rFonts w:hint="eastAsia" w:ascii="宋体" w:hAnsi="宋体"/>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pPr>
            <w:ind w:firstLine="420" w:firstLineChars="200"/>
            <w:rPr>
              <w:rFonts w:ascii="宋体" w:hAnsi="宋体"/>
            </w:rPr>
          </w:pPr>
          <w:r>
            <w:rPr>
              <w:rFonts w:hint="eastAsia" w:ascii="宋体" w:hAnsi="宋体"/>
            </w:rPr>
            <w:t>满足下列条件之一时，本集团属于在某一段时间内履行履约义务，否则，属于在某一时点履行履约义务：</w:t>
          </w:r>
        </w:p>
        <w:p>
          <w:pPr>
            <w:ind w:firstLine="420" w:firstLineChars="200"/>
            <w:rPr>
              <w:rFonts w:ascii="宋体" w:hAnsi="宋体"/>
            </w:rPr>
          </w:pPr>
          <w:r>
            <w:rPr>
              <w:rFonts w:hint="eastAsia" w:ascii="宋体" w:hAnsi="宋体"/>
            </w:rPr>
            <w:t>（1）客户在本集团履约的同时即取得并消耗本集团履约所带来的经济利益；</w:t>
          </w:r>
        </w:p>
        <w:p>
          <w:pPr>
            <w:ind w:firstLine="420" w:firstLineChars="200"/>
            <w:rPr>
              <w:rFonts w:ascii="宋体" w:hAnsi="宋体"/>
            </w:rPr>
          </w:pPr>
          <w:r>
            <w:rPr>
              <w:rFonts w:hint="eastAsia" w:ascii="宋体" w:hAnsi="宋体"/>
            </w:rPr>
            <w:t>（2）客户能够控制本集团履约过程中在建的商品；</w:t>
          </w:r>
        </w:p>
        <w:p>
          <w:pPr>
            <w:ind w:firstLine="420" w:firstLineChars="200"/>
            <w:rPr>
              <w:rFonts w:ascii="宋体" w:hAnsi="宋体"/>
            </w:rPr>
          </w:pPr>
          <w:r>
            <w:rPr>
              <w:rFonts w:hint="eastAsia" w:ascii="宋体" w:hAnsi="宋体"/>
            </w:rPr>
            <w:t>（3）本集团履约过程中所产出的商品具有不可替代用途，且本集团在整个合同期间内有权就累计至今已完成的履约部分收取款项。</w:t>
          </w:r>
        </w:p>
        <w:p>
          <w:pPr>
            <w:ind w:firstLine="420" w:firstLineChars="200"/>
            <w:rPr>
              <w:rFonts w:ascii="宋体" w:hAnsi="宋体"/>
            </w:rPr>
          </w:pPr>
          <w:r>
            <w:rPr>
              <w:rFonts w:hint="eastAsia" w:ascii="宋体" w:hAnsi="宋体"/>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pPr>
            <w:ind w:firstLine="420" w:firstLineChars="200"/>
            <w:rPr>
              <w:rFonts w:ascii="宋体" w:hAnsi="宋体"/>
            </w:rPr>
          </w:pPr>
          <w:r>
            <w:rPr>
              <w:rFonts w:hint="eastAsia" w:ascii="宋体" w:hAnsi="宋体"/>
            </w:rPr>
            <w:t>对于在某一时点履行的履约义务，本集团在客户取得相关商品或服务控制权时点确认收入。在判断客户是否已取得商品或服务控制权时，本集团会考虑下列迹象：</w:t>
          </w:r>
        </w:p>
        <w:p>
          <w:pPr>
            <w:ind w:firstLine="420" w:firstLineChars="200"/>
            <w:rPr>
              <w:rFonts w:ascii="宋体" w:hAnsi="宋体"/>
            </w:rPr>
          </w:pPr>
          <w:r>
            <w:rPr>
              <w:rFonts w:hint="eastAsia" w:ascii="宋体" w:hAnsi="宋体"/>
            </w:rPr>
            <w:t>（1）本集团就该商品或服务享有现时收款权利；</w:t>
          </w:r>
        </w:p>
        <w:p>
          <w:pPr>
            <w:ind w:firstLine="420" w:firstLineChars="200"/>
            <w:rPr>
              <w:rFonts w:ascii="宋体" w:hAnsi="宋体"/>
            </w:rPr>
          </w:pPr>
          <w:r>
            <w:rPr>
              <w:rFonts w:hint="eastAsia" w:ascii="宋体" w:hAnsi="宋体"/>
            </w:rPr>
            <w:t>（2）本集团已将该商品的法定所有权转移给客户；</w:t>
          </w:r>
        </w:p>
        <w:p>
          <w:pPr>
            <w:ind w:firstLine="420" w:firstLineChars="200"/>
            <w:rPr>
              <w:rFonts w:ascii="宋体" w:hAnsi="宋体"/>
            </w:rPr>
          </w:pPr>
          <w:r>
            <w:rPr>
              <w:rFonts w:hint="eastAsia" w:ascii="宋体" w:hAnsi="宋体"/>
            </w:rPr>
            <w:t>（3）本集团已将该商品的实物转移给客户；</w:t>
          </w:r>
        </w:p>
        <w:p>
          <w:pPr>
            <w:ind w:firstLine="420" w:firstLineChars="200"/>
            <w:rPr>
              <w:rFonts w:ascii="宋体" w:hAnsi="宋体"/>
            </w:rPr>
          </w:pPr>
          <w:r>
            <w:rPr>
              <w:rFonts w:hint="eastAsia" w:ascii="宋体" w:hAnsi="宋体"/>
            </w:rPr>
            <w:t>（4）本集团已将该商品所有权上的主要风险和报酬转移给客户；</w:t>
          </w:r>
        </w:p>
        <w:p>
          <w:pPr>
            <w:ind w:firstLine="420" w:firstLineChars="200"/>
            <w:rPr>
              <w:rFonts w:ascii="宋体" w:hAnsi="宋体"/>
            </w:rPr>
          </w:pPr>
          <w:r>
            <w:rPr>
              <w:rFonts w:hint="eastAsia" w:ascii="宋体" w:hAnsi="宋体"/>
            </w:rPr>
            <w:t>（5）客户已接受该商品或服务等。</w:t>
          </w:r>
        </w:p>
        <w:p>
          <w:pPr>
            <w:ind w:firstLine="420" w:firstLineChars="200"/>
            <w:rPr>
              <w:rFonts w:ascii="宋体" w:hAnsi="宋体"/>
            </w:rPr>
          </w:pPr>
          <w:r>
            <w:rPr>
              <w:rFonts w:hint="eastAsia" w:ascii="宋体" w:hAnsi="宋体"/>
            </w:rPr>
            <w:t>本集团根据其在向客户转让商品前是否拥有对该商品的控制权，来判断其从事交易时的身份是主要责任人还是代理人。在向客户转让商品前能够控制该商品的，本集团为主要责任人，按照已收或对价总额确认收入；否则为代理人，按照预期有权收取的佣金或手续费的金额确认收入，该金额按照已收或应收对价总额扣除支付给其他相关方的价款后净额，或者按照既定的佣金额比例确定。本集团判断在向客户转让商品前能够控制该商品的情形包括：</w:t>
          </w:r>
        </w:p>
        <w:p>
          <w:pPr>
            <w:ind w:firstLine="420" w:firstLineChars="200"/>
            <w:rPr>
              <w:rFonts w:ascii="宋体" w:hAnsi="宋体"/>
            </w:rPr>
          </w:pPr>
          <w:r>
            <w:rPr>
              <w:rFonts w:hint="eastAsia" w:ascii="宋体" w:hAnsi="宋体"/>
            </w:rPr>
            <w:t>（1）本集团自第三方取得商品或其他资产控制权后，再转让给客户；</w:t>
          </w:r>
        </w:p>
        <w:p>
          <w:pPr>
            <w:ind w:firstLine="420" w:firstLineChars="200"/>
            <w:rPr>
              <w:rFonts w:ascii="宋体" w:hAnsi="宋体"/>
            </w:rPr>
          </w:pPr>
          <w:r>
            <w:rPr>
              <w:rFonts w:hint="eastAsia" w:ascii="宋体" w:hAnsi="宋体"/>
            </w:rPr>
            <w:t>（2）本集团能够主导第三方代表本集团向客户提供服务；</w:t>
          </w:r>
        </w:p>
        <w:p>
          <w:pPr>
            <w:ind w:firstLine="420" w:firstLineChars="200"/>
            <w:rPr>
              <w:rFonts w:ascii="宋体" w:hAnsi="宋体"/>
            </w:rPr>
          </w:pPr>
          <w:r>
            <w:rPr>
              <w:rFonts w:hint="eastAsia" w:ascii="宋体" w:hAnsi="宋体"/>
            </w:rPr>
            <w:t>（3）本集团自第三方取得商品控制权后，通过提供重大的服务将该商品与其他整合成某组产出转让给客户。</w:t>
          </w:r>
        </w:p>
        <w:p>
          <w:pPr>
            <w:ind w:firstLine="420" w:firstLineChars="200"/>
            <w:rPr>
              <w:rFonts w:ascii="宋体" w:hAnsi="宋体"/>
            </w:rPr>
          </w:pPr>
          <w:r>
            <w:rPr>
              <w:rFonts w:hint="eastAsia" w:ascii="宋体" w:hAnsi="宋体"/>
            </w:rPr>
            <w:t>在具体判断向客户转让商品前是否拥有对该商品的控制权时，不仅局限于合同的法律形式，并综合考虑所有相关事实和情况，这些事实和情况包括：</w:t>
          </w:r>
        </w:p>
        <w:p>
          <w:pPr>
            <w:ind w:firstLine="420" w:firstLineChars="200"/>
            <w:rPr>
              <w:rFonts w:ascii="宋体" w:hAnsi="宋体"/>
            </w:rPr>
          </w:pPr>
          <w:r>
            <w:rPr>
              <w:rFonts w:hint="eastAsia" w:ascii="宋体" w:hAnsi="宋体"/>
            </w:rPr>
            <w:t>（1）本集团承担向客户转让商品的主要责任；</w:t>
          </w:r>
        </w:p>
        <w:p>
          <w:pPr>
            <w:ind w:firstLine="420" w:firstLineChars="200"/>
            <w:rPr>
              <w:rFonts w:ascii="宋体" w:hAnsi="宋体"/>
            </w:rPr>
          </w:pPr>
          <w:r>
            <w:rPr>
              <w:rFonts w:hint="eastAsia" w:ascii="宋体" w:hAnsi="宋体"/>
            </w:rPr>
            <w:t>（2）本集团在转让商品之前或之后承担了该商品的存货风险；</w:t>
          </w:r>
        </w:p>
        <w:p>
          <w:pPr>
            <w:ind w:firstLine="420" w:firstLineChars="200"/>
            <w:rPr>
              <w:rFonts w:ascii="宋体" w:hAnsi="宋体"/>
            </w:rPr>
          </w:pPr>
          <w:r>
            <w:rPr>
              <w:rFonts w:hint="eastAsia" w:ascii="宋体" w:hAnsi="宋体"/>
            </w:rPr>
            <w:t>（3）本集团有权自主决定所交易商品的价格；</w:t>
          </w:r>
        </w:p>
        <w:p>
          <w:pPr>
            <w:ind w:firstLine="420" w:firstLineChars="200"/>
            <w:rPr>
              <w:rFonts w:ascii="宋体" w:hAnsi="宋体"/>
            </w:rPr>
          </w:pPr>
          <w:r>
            <w:rPr>
              <w:rFonts w:hint="eastAsia" w:ascii="宋体" w:hAnsi="宋体"/>
            </w:rPr>
            <w:t>（4）其他相关事实和情况。</w:t>
          </w:r>
        </w:p>
        <w:p>
          <w:pPr>
            <w:ind w:firstLine="420" w:firstLineChars="200"/>
            <w:rPr>
              <w:rFonts w:ascii="宋体" w:hAnsi="宋体"/>
            </w:rPr>
          </w:pPr>
          <w:r>
            <w:rPr>
              <w:rFonts w:hint="eastAsia" w:ascii="宋体" w:hAnsi="宋体"/>
            </w:rPr>
            <w:t>本集团已向客户转让商品或服务而有权收取对价的权利(且该权利取决于时间流逝之外的其他因素)作为合同资产列示，合同资产以预期信用损失为基础计提减值（参见本附注“五、11（4）金融工具减值”）。本集团拥有的、无条件（仅取决于时间流逝）向客户收取对价的权利作为应收款项列示。本集团已收或应收客户对价而应向客户转让商品或服务的义务作为合同负债列示。</w:t>
          </w:r>
        </w:p>
        <w:p>
          <w:pPr>
            <w:rPr>
              <w:rFonts w:ascii="宋体" w:hAnsi="宋体"/>
            </w:rPr>
          </w:pPr>
          <w:r>
            <w:rPr>
              <w:rFonts w:hint="eastAsia" w:ascii="宋体" w:hAnsi="宋体"/>
            </w:rPr>
            <w:t>与本集团取得收入的主要活动相关的具体会计政策描述如下：</w:t>
          </w:r>
        </w:p>
        <w:p>
          <w:pPr>
            <w:ind w:firstLine="420" w:firstLineChars="200"/>
            <w:rPr>
              <w:rFonts w:ascii="宋体" w:hAnsi="宋体"/>
            </w:rPr>
          </w:pPr>
          <w:r>
            <w:rPr>
              <w:rFonts w:hint="eastAsia" w:ascii="宋体" w:hAnsi="宋体"/>
            </w:rPr>
            <w:t>（1）本集团煤炭、甲醇等化工产品、热力、矿用设备、机电设备、橡胶制品、辅助材料、大宗物资及其他商品在控制权转移给购货方时予以确认；</w:t>
          </w:r>
        </w:p>
        <w:p>
          <w:pPr>
            <w:ind w:firstLine="420" w:firstLineChars="200"/>
            <w:rPr>
              <w:rFonts w:ascii="宋体" w:hAnsi="宋体"/>
            </w:rPr>
          </w:pPr>
          <w:r>
            <w:rPr>
              <w:rFonts w:hint="eastAsia" w:ascii="宋体" w:hAnsi="宋体"/>
            </w:rPr>
            <w:t>（2）本集团电力销售收入在电力供应至各电厂所在地的电网公司，电网公司取得电力的控制权时确认收入，并根据供电量及每年与有关各电力公司确定的适用电价计算；</w:t>
          </w:r>
        </w:p>
        <w:p>
          <w:pPr>
            <w:ind w:firstLine="420" w:firstLineChars="200"/>
            <w:rPr>
              <w:rFonts w:ascii="宋体" w:hAnsi="宋体"/>
            </w:rPr>
          </w:pPr>
          <w:r>
            <w:rPr>
              <w:rFonts w:hint="eastAsia" w:ascii="宋体" w:hAnsi="宋体"/>
            </w:rPr>
            <w:t>（3）本集团出售房产开发产品的收入在房产开发产品完工并验收合格，签订具有法律约束力的销售合同，将房产开发产品的控制权转移给购买方时予以确认；</w:t>
          </w:r>
        </w:p>
        <w:p>
          <w:pPr>
            <w:ind w:firstLine="420" w:firstLineChars="200"/>
            <w:rPr>
              <w:rFonts w:ascii="宋体" w:hAnsi="宋体"/>
            </w:rPr>
          </w:pPr>
          <w:r>
            <w:rPr>
              <w:rFonts w:hint="eastAsia" w:ascii="宋体" w:hAnsi="宋体"/>
            </w:rPr>
            <w:t>（4）本集团铁路、航运以及其他服务收入在劳务完成时确认；</w:t>
          </w:r>
        </w:p>
        <w:p>
          <w:pPr>
            <w:ind w:firstLine="420" w:firstLineChars="200"/>
            <w:rPr>
              <w:rFonts w:ascii="宋体" w:hAnsi="宋体"/>
            </w:rPr>
          </w:pPr>
          <w:r>
            <w:rPr>
              <w:rFonts w:hint="eastAsia" w:ascii="宋体" w:hAnsi="宋体"/>
            </w:rPr>
            <w:t>（5）本集团利息收入按借出货币资金的时间和实际利率计算确定</w:t>
          </w:r>
        </w:p>
      </w:sdtContent>
    </w:sdt>
    <w:bookmarkEnd w:id="212"/>
    <w:p>
      <w:pPr>
        <w:rPr>
          <w:rFonts w:ascii="宋体" w:hAnsi="宋体"/>
        </w:rPr>
      </w:pPr>
    </w:p>
    <w:p>
      <w:pPr>
        <w:pStyle w:val="505"/>
        <w:numPr>
          <w:ilvl w:val="3"/>
          <w:numId w:val="66"/>
        </w:numPr>
        <w:ind w:left="426" w:hanging="426"/>
        <w:rPr>
          <w:rFonts w:ascii="宋体" w:hAnsi="宋体" w:eastAsia="宋体"/>
          <w:szCs w:val="21"/>
        </w:rPr>
      </w:pPr>
      <w:r>
        <w:rPr>
          <w:rFonts w:hint="eastAsia" w:ascii="宋体" w:hAnsi="宋体" w:eastAsia="宋体" w:cs="宋体"/>
          <w:bCs w:val="0"/>
          <w:kern w:val="0"/>
          <w:szCs w:val="21"/>
        </w:rPr>
        <w:t>同类业务采用不同经营模式涉及</w:t>
      </w:r>
      <w:r>
        <w:rPr>
          <w:rFonts w:ascii="宋体" w:hAnsi="宋体" w:eastAsia="宋体" w:cs="宋体"/>
          <w:kern w:val="0"/>
          <w:szCs w:val="21"/>
        </w:rPr>
        <w:t>不同收入确认方式及计量方法</w:t>
      </w:r>
    </w:p>
    <w:sdt>
      <w:sdtPr>
        <w:rPr>
          <w:rFonts w:ascii="宋体" w:hAnsi="宋体"/>
        </w:rPr>
        <w:alias w:val="是否适用：同类业务采用不同经营模式导致收入确认会计政策存在差异的情况[双击切换]"/>
        <w:tag w:val="_GBC_778cfed951bb4cf4997e2d67e4b1e3a9"/>
        <w:id w:val="1588883254"/>
        <w:placeholder>
          <w:docPart w:val="GBC22222222222222222222222222222"/>
        </w:placeholder>
      </w:sdtPr>
      <w:sdtEndPr>
        <w:rPr>
          <w:rFonts w:ascii="宋体" w:hAnsi="宋体"/>
        </w:rPr>
      </w:sdtEndPr>
      <w:sdtContent>
        <w:p>
          <w:pPr>
            <w:rPr>
              <w:rFonts w:ascii="宋体" w:hAnsi="宋体"/>
            </w:rPr>
          </w:pPr>
          <w:bookmarkStart w:id="213" w:name="_Hlk53366808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13"/>
    <w:p>
      <w:pPr>
        <w:rPr>
          <w:rFonts w:ascii="宋体" w:hAnsi="宋体"/>
        </w:rPr>
      </w:pPr>
    </w:p>
    <w:p>
      <w:pPr>
        <w:pStyle w:val="504"/>
        <w:numPr>
          <w:ilvl w:val="0"/>
          <w:numId w:val="61"/>
        </w:numPr>
        <w:ind w:left="709"/>
        <w:rPr>
          <w:rFonts w:ascii="宋体" w:hAnsi="宋体"/>
          <w:szCs w:val="21"/>
        </w:rPr>
      </w:pPr>
      <w:r>
        <w:rPr>
          <w:rFonts w:hint="eastAsia" w:ascii="宋体" w:hAnsi="宋体"/>
          <w:szCs w:val="21"/>
        </w:rPr>
        <w:t>合同成本</w:t>
      </w:r>
    </w:p>
    <w:sdt>
      <w:sdtPr>
        <w:alias w:val="是否适用：合同成本_重要会计政策和估计[双击切换]"/>
        <w:tag w:val="_GBC_c5b4accd569d48e8a81ed05eb0bf64fb"/>
        <w:id w:val="-777171925"/>
        <w:placeholder>
          <w:docPart w:val="GBC22222222222222222222222222222"/>
        </w:placeholder>
      </w:sdtPr>
      <w:sdtContent>
        <w:p>
          <w:pPr>
            <w:pStyle w:val="531"/>
          </w:pPr>
          <w:bookmarkStart w:id="214" w:name="_Hlk53366813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4"/>
    <w:p>
      <w:pPr>
        <w:rPr>
          <w:rFonts w:ascii="宋体" w:hAnsi="宋体"/>
        </w:rPr>
      </w:pPr>
    </w:p>
    <w:p>
      <w:pPr>
        <w:pStyle w:val="504"/>
        <w:numPr>
          <w:ilvl w:val="0"/>
          <w:numId w:val="61"/>
        </w:numPr>
        <w:ind w:left="709" w:hanging="443"/>
        <w:rPr>
          <w:rFonts w:ascii="宋体" w:hAnsi="宋体"/>
        </w:rPr>
      </w:pPr>
      <w:r>
        <w:rPr>
          <w:rFonts w:ascii="宋体" w:hAnsi="宋体"/>
        </w:rPr>
        <w:t>政府补助</w:t>
      </w:r>
    </w:p>
    <w:sdt>
      <w:sdtPr>
        <w:alias w:val="是否适用：政府补助_重要会计政策和估计[双击切换]"/>
        <w:tag w:val="_GBC_d8ac76c6a68c49fb952fadc0e46c9ef4"/>
        <w:id w:val="1372494542"/>
        <w:placeholder>
          <w:docPart w:val="GBC22222222222222222222222222222"/>
        </w:placeholder>
      </w:sdtPr>
      <w:sdtContent>
        <w:p>
          <w:pPr>
            <w:pStyle w:val="531"/>
          </w:pPr>
          <w:bookmarkStart w:id="215" w:name="_Hlk53366814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852463149"/>
        <w:placeholder>
          <w:docPart w:val="GBC22222222222222222222222222222"/>
        </w:placeholder>
      </w:sdtPr>
      <w:sdtContent>
        <w:p>
          <w:pPr>
            <w:pStyle w:val="531"/>
            <w:ind w:firstLine="420" w:firstLineChars="200"/>
          </w:pPr>
          <w:r>
            <w:rPr>
              <w:rFonts w:hint="eastAsia"/>
            </w:rPr>
            <w:t>政府补助在能够满足其所附的条件并且能够收到时，予以确认。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(1元)计量。</w:t>
          </w:r>
        </w:p>
        <w:p>
          <w:pPr>
            <w:pStyle w:val="531"/>
            <w:ind w:firstLine="420" w:firstLineChars="200"/>
          </w:pPr>
          <w:r>
            <w:rPr>
              <w:rFonts w:hint="eastAsia"/>
            </w:rPr>
            <w:t>本集团的政府补助包括与资产相关的政府补助、与收益相关的政府补助。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pPr>
            <w:pStyle w:val="531"/>
            <w:ind w:firstLine="420" w:firstLineChars="200"/>
          </w:pPr>
          <w:r>
            <w:rPr>
              <w:rFonts w:hint="eastAsia"/>
            </w:rPr>
            <w:t>与资产相关的政府补助确认为递延收益，在相关资产使用寿命内平均分配计入当期损益。相关资产在使用寿命结束前被出售、转让、报废或发生毁损的，将尚未分配的相关递延收益余额转入资产处置当期的损益。</w:t>
          </w:r>
        </w:p>
        <w:p>
          <w:pPr>
            <w:pStyle w:val="531"/>
            <w:ind w:firstLine="420" w:firstLineChars="200"/>
          </w:pPr>
          <w:r>
            <w:rPr>
              <w:rFonts w:hint="eastAsia"/>
            </w:rPr>
            <w:t>与收益相关的政府补助，用于补偿以后期间的相关成本费用或损失的，确认为递延收益，并在确认相关成本费用或损失的期间计入当期损益。与日常活动相关的政府补助，按照经济业务实质，计入其他收益或冲减相关成本费用。与日常活动无关的政府补助，计入营业外收支。</w:t>
          </w:r>
        </w:p>
      </w:sdtContent>
    </w:sdt>
    <w:bookmarkEnd w:id="215"/>
    <w:p>
      <w:pPr>
        <w:pStyle w:val="531"/>
      </w:pPr>
    </w:p>
    <w:p>
      <w:pPr>
        <w:pStyle w:val="504"/>
        <w:numPr>
          <w:ilvl w:val="0"/>
          <w:numId w:val="61"/>
        </w:numPr>
        <w:ind w:left="567"/>
        <w:rPr>
          <w:rFonts w:ascii="宋体" w:hAnsi="宋体"/>
        </w:rPr>
      </w:pPr>
      <w:r>
        <w:rPr>
          <w:rFonts w:ascii="宋体" w:hAnsi="宋体"/>
        </w:rPr>
        <w:t>递延所得税资产/递延所得税负债</w:t>
      </w:r>
    </w:p>
    <w:sdt>
      <w:sdtPr>
        <w:rPr>
          <w:rFonts w:hint="eastAsia" w:ascii="宋体" w:hAnsi="宋体"/>
        </w:rPr>
        <w:alias w:val="是否适用：所得税的会计处理方法[双击切换]"/>
        <w:tag w:val="_GBC_7e8295f4559b44568e5d37a6a605588c"/>
        <w:id w:val="-1017619018"/>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所得税的会计处理方法"/>
        <w:tag w:val="_GBC_545dd84ed2b9458fa5e2b87aa1e1cc1c"/>
        <w:id w:val="1731109828"/>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本集团递延所得税资产和递延所得税负债根据资产和负债的计税基础与其账面价值之间的差额、以及未作为资产和负债确认但按照税法规定可以确定其计税基础的项目的计税基础与其账面价值之间的差额产生的(暂时性差异)计算确认。</w:t>
          </w:r>
        </w:p>
        <w:p>
          <w:pPr>
            <w:ind w:firstLine="420" w:firstLineChars="200"/>
            <w:rPr>
              <w:rFonts w:ascii="宋体" w:hAnsi="宋体"/>
            </w:rPr>
          </w:pPr>
          <w:r>
            <w:rPr>
              <w:rFonts w:hint="eastAsia" w:ascii="宋体" w:hAnsi="宋体"/>
            </w:rPr>
            <w:t>本集团对除以下情形外的所有应纳税暂时性差异确认递延所得税负债：（1）暂时性差异产生于商誉的初始确认或既不影响会计利润也不影响应纳税所得额(或可抵扣亏损)的非企业合并的交易中产生的资产或负债的初始确认；（2）与子公司、联营企业及合营企业投资相关的应纳税暂时性差异，本集团能够控制暂时性差异转回的时间且该暂时性差异在可预见的未来很可能不会转回的。</w:t>
          </w:r>
        </w:p>
        <w:p>
          <w:pPr>
            <w:ind w:firstLine="420" w:firstLineChars="200"/>
            <w:rPr>
              <w:rFonts w:ascii="宋体" w:hAnsi="宋体"/>
            </w:rPr>
          </w:pPr>
          <w:r>
            <w:rPr>
              <w:rFonts w:hint="eastAsia" w:ascii="宋体" w:hAnsi="宋体"/>
            </w:rPr>
            <w:t>本集团以很可能取得用来抵扣可抵扣暂时性差异、可抵扣亏损和税款抵减的未来应纳税所得额为限，对除以下情形外产生的可抵扣暂时性差异、可抵扣亏损和税款抵减确认递延所得税资产：（1）暂时性差异产生于既不影响会计利润也不影响应纳税所得额(或可抵扣亏损)的非企业合并的交易中产生的资产或负债的初始确认；（2）与子公司、联营企业及合营企业投资相关的可抵扣暂时性差异，不能同时满足以下条件的：暂时性差异在可预见的未来很可能转回、未来很可能获得用来抵扣可抵扣暂时性差异的应纳税所得额。</w:t>
          </w:r>
        </w:p>
        <w:p>
          <w:pPr>
            <w:ind w:firstLine="420" w:firstLineChars="200"/>
            <w:rPr>
              <w:rFonts w:ascii="宋体" w:hAnsi="宋体"/>
            </w:rPr>
          </w:pPr>
          <w:r>
            <w:rPr>
              <w:rFonts w:hint="eastAsia" w:ascii="宋体" w:hAnsi="宋体"/>
            </w:rPr>
            <w:t>本集团在很可能有足够的应纳税所得额用以抵扣可抵扣亏损的限度内，就所有尚未利用的可抵扣亏损确认递延所得税资产。管理层运用大量的判断来估计未来取得应纳税所得额的时间和金额，结合纳税筹划策略，决定应确认的递延所得税资产的金额，因此存在不确定性。</w:t>
          </w:r>
        </w:p>
        <w:p>
          <w:pPr>
            <w:ind w:firstLine="420" w:firstLineChars="200"/>
            <w:rPr>
              <w:rFonts w:ascii="宋体" w:hAnsi="宋体"/>
            </w:rPr>
          </w:pPr>
          <w:r>
            <w:rPr>
              <w:rFonts w:hint="eastAsia" w:ascii="宋体" w:hAnsi="宋体"/>
            </w:rPr>
            <w:t>于资产负债表日，递延所得税资产和递延所得税负债，按照预期收回该资产或清偿该负债期间的适用税率计量。</w:t>
          </w:r>
        </w:p>
        <w:p>
          <w:pPr>
            <w:ind w:firstLine="420" w:firstLineChars="200"/>
            <w:rPr>
              <w:rFonts w:ascii="宋体" w:hAnsi="宋体"/>
            </w:rPr>
          </w:pPr>
          <w:r>
            <w:rPr>
              <w:rFonts w:hint="eastAsia" w:ascii="宋体" w:hAnsi="宋体"/>
            </w:rPr>
            <w:t>在同时满足下列条件时，本集团将递延所得税资产及递延所得税负债以抵消后的净额列示：本集团拥有以净额结算当期所得税资产及当期递延所得税负债的法定权利；递延所得税资产和递延所得税负债是与同一税收征管部门对同一纳税主体征收的所得税相关或者对不同的纳税主体相关，但在未来每一具有重要性的递延所得税资产和递延所得税负债转回的期间内，涉及的纳税主体体意图以净额结算当期所得税资产及当期所得税负债或是同时取得资产、清偿债务。</w:t>
          </w:r>
        </w:p>
        <w:p>
          <w:pPr>
            <w:ind w:firstLine="420" w:firstLineChars="200"/>
            <w:rPr>
              <w:rFonts w:ascii="宋体" w:hAnsi="宋体"/>
            </w:rPr>
          </w:pPr>
          <w:r>
            <w:rPr>
              <w:rFonts w:hint="eastAsia" w:ascii="宋体" w:hAnsi="宋体"/>
            </w:rPr>
            <w:t>本集团对因单项交易而确认的租赁负债和使用权资产，以及确认的弃置义务相关预计负债和对应的相关资产，产生应纳税暂时性差异和可抵扣暂时性差异的，在交易发生时分别确认相应的递延所得税负债和递延所得税资产。</w:t>
          </w:r>
        </w:p>
      </w:sdtContent>
    </w:sdt>
    <w:p>
      <w:pPr>
        <w:rPr>
          <w:rFonts w:ascii="宋体" w:hAnsi="宋体"/>
        </w:rPr>
      </w:pPr>
    </w:p>
    <w:p>
      <w:pPr>
        <w:pStyle w:val="504"/>
        <w:numPr>
          <w:ilvl w:val="0"/>
          <w:numId w:val="61"/>
        </w:numPr>
        <w:ind w:left="709"/>
        <w:rPr>
          <w:rFonts w:ascii="宋体" w:hAnsi="宋体"/>
        </w:rPr>
      </w:pPr>
      <w:r>
        <w:rPr>
          <w:rFonts w:ascii="宋体" w:hAnsi="宋体"/>
        </w:rPr>
        <w:t>租赁</w:t>
      </w:r>
    </w:p>
    <w:sdt>
      <w:sdtPr>
        <w:alias w:val="是否适用：租赁_重要会计政策和估计[双击切换]"/>
        <w:tag w:val="_GBC_6915a792f5f54d76bb3c5c2090ce337f"/>
        <w:id w:val="-33653861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firstLine="420" w:firstLineChars="200"/>
        <w:rPr>
          <w:rFonts w:ascii="宋体" w:hAnsi="宋体"/>
        </w:rPr>
      </w:pPr>
      <w:r>
        <w:rPr>
          <w:rFonts w:hint="eastAsia" w:ascii="宋体" w:hAnsi="宋体"/>
        </w:rPr>
        <w:t>在合同开始日，本集团评估合同是否为租赁或者包含租赁。如果合同一方让渡了在一定期间内控制一项或多项已识别资产使用的权利以换取对价，则该合同为租赁或者包含租赁。</w:t>
      </w:r>
    </w:p>
    <w:p>
      <w:pPr>
        <w:ind w:firstLine="420" w:firstLineChars="200"/>
        <w:rPr>
          <w:rFonts w:ascii="宋体" w:hAnsi="宋体"/>
        </w:rPr>
      </w:pPr>
      <w:r>
        <w:rPr>
          <w:rFonts w:hint="eastAsia" w:ascii="宋体" w:hAnsi="宋体"/>
        </w:rPr>
        <w:t>合同中同时包含多项单独租赁的，本集团将合同予以分拆，并分别各项单独租赁进行会计处理。合同中同时包含租赁和非租赁部分的，本集团将租赁和非租赁部分分拆后进行会计处理。各租赁部分分别按照租赁准则进行会计处理，非租赁部分按照其他适用的企业会计准则进行会计处理。</w:t>
      </w:r>
    </w:p>
    <w:p>
      <w:pPr>
        <w:rPr>
          <w:rFonts w:ascii="宋体" w:hAnsi="宋体"/>
          <w:b/>
          <w:szCs w:val="32"/>
        </w:rPr>
      </w:pPr>
      <w:r>
        <w:rPr>
          <w:rFonts w:ascii="宋体" w:hAnsi="宋体"/>
          <w:b/>
          <w:szCs w:val="32"/>
        </w:rPr>
        <w:t>作为承租方对短期租赁和低价值资产租赁进行简化处理的判断依据和会计处理方法</w:t>
      </w:r>
    </w:p>
    <w:sdt>
      <w:sdtPr>
        <w:rPr>
          <w:rFonts w:ascii="宋体" w:hAnsi="宋体"/>
        </w:rPr>
        <w:alias w:val="是否适用：作为承租方对短期租赁和低价值资产租赁进行简化处理的判断依据和会计处理方法[双击切换]"/>
        <w:tag w:val="_GBC_96c8873101a04b4ab58dc379b95e7de7"/>
        <w:id w:val="-1733844937"/>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作为承租方对短期租赁和低价值资产租赁进行简化处理的判断依据和会计处理方法"/>
        <w:tag w:val="_GBC_608ebcbb99ad40879d4235963013eef6"/>
        <w:id w:val="-1022007763"/>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（1）租赁确认</w:t>
          </w:r>
        </w:p>
        <w:p>
          <w:pPr>
            <w:ind w:firstLine="420" w:firstLineChars="200"/>
            <w:rPr>
              <w:rFonts w:ascii="宋体" w:hAnsi="宋体"/>
            </w:rPr>
          </w:pPr>
          <w:r>
            <w:rPr>
              <w:rFonts w:hint="eastAsia" w:ascii="宋体" w:hAnsi="宋体"/>
            </w:rPr>
            <w:t>除了短期租赁和低价值资产租赁，在租赁期开始日，本集团对租赁确认使用权资产和租赁负债。</w:t>
          </w:r>
        </w:p>
        <w:p>
          <w:pPr>
            <w:ind w:firstLine="420" w:firstLineChars="200"/>
            <w:rPr>
              <w:rFonts w:ascii="宋体" w:hAnsi="宋体"/>
            </w:rPr>
          </w:pPr>
          <w:r>
            <w:rPr>
              <w:rFonts w:hint="eastAsia" w:ascii="宋体" w:hAnsi="宋体"/>
            </w:rPr>
            <w:t>使用权资产，是指本集团作为承租人可在租赁期内使用租赁资产的权利，按照成本进行初始计量。该成本包括：①租赁负债的初始计量金额；②在租赁期开始日或之前支付的租赁付款额扣除已享受的租赁激励相关金额；③发生的初始直接费用；④为拆卸及移除租赁资产、复原租赁资产所在场地或将租赁资产恢复至租赁条款约定状态预计将发生的成本（属于为生产存货而发生的除外）。本集团按照租赁准则有关规定重新计量租赁负债的，相应调整使用权资产的账面价值。</w:t>
          </w:r>
        </w:p>
        <w:p>
          <w:pPr>
            <w:ind w:firstLine="420" w:firstLineChars="200"/>
            <w:rPr>
              <w:rFonts w:ascii="宋体" w:hAnsi="宋体"/>
            </w:rPr>
          </w:pPr>
          <w:r>
            <w:rPr>
              <w:rFonts w:hint="eastAsia" w:ascii="宋体" w:hAnsi="宋体"/>
            </w:rPr>
            <w:t>本集团根据与使用权资产有关的经济利益的预期消耗方式以直线法对使用权资产计提折旧。能够合理确定租赁期届满时取得租赁资产所有权的，在租赁资产剩余使用寿命内计提折旧；无法合理确定租赁期届满时能够取得租赁资产所有权的，在租赁期与租赁资产剩余使用寿命两者孰短的期间内计提折旧。计提的折旧金额根据使用权资产的用途，计入相关资产的成本或者当期损益。</w:t>
          </w:r>
        </w:p>
        <w:p>
          <w:pPr>
            <w:ind w:firstLine="420" w:firstLineChars="200"/>
            <w:rPr>
              <w:rFonts w:ascii="宋体" w:hAnsi="宋体"/>
            </w:rPr>
          </w:pPr>
          <w:r>
            <w:rPr>
              <w:rFonts w:hint="eastAsia" w:ascii="宋体" w:hAnsi="宋体"/>
            </w:rPr>
            <w:t>本集团按照租赁期开始日尚未支付的租赁付款额的现值对租赁负债进行初始计量。租赁付款额包括：①固定付款额及实质固定付款额，扣除租赁激励相关金额；②取决于指数或比率的可变租赁付款额；③本集团合理确定将行使购买选择权时，购买选择权的行权价格；④租赁期反映出本集团将行使终止租赁选择权时，行使终止租赁选择权需支付的款项；⑤根据本集团提供的担保余值预计应支付的款项。</w:t>
          </w:r>
        </w:p>
        <w:p>
          <w:pPr>
            <w:ind w:firstLine="420" w:firstLineChars="200"/>
            <w:rPr>
              <w:rFonts w:ascii="宋体" w:hAnsi="宋体"/>
            </w:rPr>
          </w:pPr>
          <w:r>
            <w:rPr>
              <w:rFonts w:hint="eastAsia" w:ascii="宋体" w:hAnsi="宋体"/>
            </w:rPr>
            <w:t>在计算租赁付款额的现值时，本集团采用租赁内含利率作为折现率。本集团按照固定的周期性利率计算租赁负债在租赁期内各期间的利息费用，并计入当期损益，但应当资本化的除外。</w:t>
          </w:r>
        </w:p>
        <w:p>
          <w:pPr>
            <w:ind w:firstLine="420" w:firstLineChars="200"/>
            <w:rPr>
              <w:rFonts w:ascii="宋体" w:hAnsi="宋体"/>
            </w:rPr>
          </w:pPr>
          <w:r>
            <w:rPr>
              <w:rFonts w:hint="eastAsia" w:ascii="宋体" w:hAnsi="宋体"/>
            </w:rPr>
            <w:t>在租赁期开始日后，本集团确认租赁负债的利息时，增加租赁负债的账面金额；支付租赁付款额时，减少租赁负债的账面金额。当实质固定付款额发生变动、担保余值预计的应付金额发生变化、用于确定租赁付款额的指数或比率发生变动、购买选择权、续租选择权或终止选择权的评估结果或实际行权情况发生变化时，本集团按照变动后的租赁付款额的现值重新计量租赁负债。</w:t>
          </w:r>
        </w:p>
        <w:p>
          <w:pPr>
            <w:ind w:firstLine="420" w:firstLineChars="200"/>
            <w:rPr>
              <w:rFonts w:ascii="宋体" w:hAnsi="宋体"/>
            </w:rPr>
          </w:pPr>
          <w:r>
            <w:rPr>
              <w:rFonts w:hint="eastAsia" w:ascii="宋体" w:hAnsi="宋体"/>
            </w:rPr>
            <w:t>（2）短期租赁和低价值资产租赁</w:t>
          </w:r>
        </w:p>
        <w:p>
          <w:pPr>
            <w:ind w:firstLine="420" w:firstLineChars="200"/>
            <w:rPr>
              <w:rFonts w:ascii="宋体" w:hAnsi="宋体"/>
            </w:rPr>
          </w:pPr>
          <w:r>
            <w:rPr>
              <w:rFonts w:hint="eastAsia" w:ascii="宋体" w:hAnsi="宋体"/>
            </w:rPr>
            <w:t>对于租赁期不超过12个月的短期租赁和单项租赁资产为全新资产时价值较低的低价值资产租赁，本集团选择不确认使用权资产和租赁负债。本集团将短期租赁和低价值资产租赁的租赁付款额，在租赁期内各个期间按照直线法或其他系统合理的方法计入相关资产成本或当期损益。</w:t>
          </w:r>
        </w:p>
        <w:p>
          <w:pPr>
            <w:ind w:firstLine="420" w:firstLineChars="200"/>
            <w:rPr>
              <w:rFonts w:ascii="宋体" w:hAnsi="宋体"/>
            </w:rPr>
          </w:pPr>
          <w:r>
            <w:rPr>
              <w:rFonts w:hint="eastAsia" w:ascii="宋体" w:hAnsi="宋体"/>
            </w:rPr>
            <w:t>（3）售后租回</w:t>
          </w:r>
        </w:p>
        <w:p>
          <w:pPr>
            <w:ind w:firstLine="420" w:firstLineChars="200"/>
            <w:rPr>
              <w:rFonts w:ascii="宋体" w:hAnsi="宋体"/>
            </w:rPr>
          </w:pPr>
          <w:r>
            <w:rPr>
              <w:rFonts w:hint="eastAsia" w:ascii="宋体" w:hAnsi="宋体"/>
            </w:rPr>
            <w:t>本集团作为售后租回交易中的卖方兼承租人，对相关标的资产转让是否构成销售进行评估。本集团判断不构成销售的，本集团继续确认被转让资产，同时确认一项与转让收入等的金融负债；构成销售的，本集团按原资产账面价值中与租回获得的使用权有关的部分，计量售后租回所形成的使用权资产，并仅就转让至出租人的权利确认相关利得或损失。</w:t>
          </w:r>
        </w:p>
      </w:sdtContent>
    </w:sdt>
    <w:p>
      <w:pPr>
        <w:rPr>
          <w:rFonts w:ascii="宋体" w:hAnsi="宋体"/>
          <w:szCs w:val="32"/>
        </w:rPr>
      </w:pPr>
    </w:p>
    <w:p>
      <w:pPr>
        <w:rPr>
          <w:rFonts w:ascii="宋体" w:hAnsi="宋体"/>
          <w:b/>
          <w:szCs w:val="32"/>
        </w:rPr>
      </w:pPr>
      <w:r>
        <w:rPr>
          <w:rFonts w:ascii="宋体" w:hAnsi="宋体"/>
          <w:b/>
          <w:szCs w:val="32"/>
        </w:rPr>
        <w:t>作为出租方的租赁分类标准和会计处理方法</w:t>
      </w:r>
    </w:p>
    <w:sdt>
      <w:sdtPr>
        <w:rPr>
          <w:rFonts w:ascii="宋体" w:hAnsi="宋体"/>
        </w:rPr>
        <w:alias w:val="是否适用：作为出租方的租赁分类标准和会计处理方法[双击切换]"/>
        <w:tag w:val="_GBC_4ce66446786b4db69563b4f1b2b86d89"/>
        <w:id w:val="514428935"/>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作为出租方的租赁分类标准和会计处理方法"/>
        <w:tag w:val="_GBC_ca849938b2044c5a8ca6cd68a06181a3"/>
        <w:id w:val="-1111363701"/>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本集团作为出租人，如果一项租赁实质上转移了与租赁资产所有权有关的几乎全部风险和报酬，本集团将该项租赁分类为融资租赁，除此之外分类为经营租赁。</w:t>
          </w:r>
        </w:p>
        <w:p>
          <w:pPr>
            <w:ind w:firstLine="420" w:firstLineChars="200"/>
            <w:rPr>
              <w:rFonts w:ascii="宋体" w:hAnsi="宋体"/>
            </w:rPr>
          </w:pPr>
          <w:r>
            <w:rPr>
              <w:rFonts w:hint="eastAsia" w:ascii="宋体" w:hAnsi="宋体"/>
            </w:rPr>
            <w:t>（1）融资租赁</w:t>
          </w:r>
        </w:p>
        <w:p>
          <w:pPr>
            <w:ind w:firstLine="420" w:firstLineChars="200"/>
            <w:rPr>
              <w:rFonts w:ascii="宋体" w:hAnsi="宋体"/>
            </w:rPr>
          </w:pPr>
          <w:r>
            <w:rPr>
              <w:rFonts w:hint="eastAsia" w:ascii="宋体" w:hAnsi="宋体"/>
            </w:rPr>
            <w:t>在租赁期开始日，本集团对融资租赁确认应收融资租赁款，并终止确认融资租赁资产。本集团对应收融资租赁款进行初始计量时，以租赁投资净额作为应收融资租赁款的入账价值。</w:t>
          </w:r>
        </w:p>
        <w:p>
          <w:pPr>
            <w:ind w:firstLine="420" w:firstLineChars="200"/>
            <w:rPr>
              <w:rFonts w:ascii="宋体" w:hAnsi="宋体"/>
            </w:rPr>
          </w:pPr>
          <w:r>
            <w:rPr>
              <w:rFonts w:hint="eastAsia" w:ascii="宋体" w:hAnsi="宋体"/>
            </w:rPr>
            <w:t>租赁投资净额为未担保余值和租赁期开始日尚未收到的租赁收款额按照租赁内含利率折现的现值之和。本集团按照固定的周期性利率计算并确认租赁期内各个期间的利息收入。本集团取得的未纳入租赁投资净额计量的可变租赁付款额在实际发生时计入当期损益。</w:t>
          </w:r>
        </w:p>
        <w:p>
          <w:pPr>
            <w:ind w:firstLine="420" w:firstLineChars="200"/>
            <w:rPr>
              <w:rFonts w:ascii="宋体" w:hAnsi="宋体"/>
            </w:rPr>
          </w:pPr>
          <w:r>
            <w:rPr>
              <w:rFonts w:hint="eastAsia" w:ascii="宋体" w:hAnsi="宋体"/>
            </w:rPr>
            <w:t>（2）经营租赁</w:t>
          </w:r>
        </w:p>
        <w:p>
          <w:pPr>
            <w:ind w:firstLine="420" w:firstLineChars="200"/>
            <w:rPr>
              <w:rFonts w:ascii="宋体" w:hAnsi="宋体"/>
            </w:rPr>
          </w:pPr>
          <w:r>
            <w:rPr>
              <w:rFonts w:hint="eastAsia" w:ascii="宋体" w:hAnsi="宋体"/>
            </w:rPr>
            <w:t>在租赁期内各个期间，本集团采用直线法将经营租赁的租赁收款额确认为租金收入。</w:t>
          </w:r>
        </w:p>
        <w:p>
          <w:pPr>
            <w:ind w:firstLine="420" w:firstLineChars="200"/>
            <w:rPr>
              <w:rFonts w:ascii="宋体" w:hAnsi="宋体"/>
            </w:rPr>
          </w:pPr>
          <w:r>
            <w:rPr>
              <w:rFonts w:hint="eastAsia" w:ascii="宋体" w:hAnsi="宋体"/>
            </w:rPr>
            <w:t>本集团发生的与经营租赁有关的初始直接费用资本化至租赁标的资产的成本，在租赁期内按照与租金收入相同的确认基础分期计入当期损益。本集团取得的与经营租赁有关的未计入租赁收款额的可变租赁付款额,在实际发生时计入当期损益。</w:t>
          </w:r>
        </w:p>
        <w:p>
          <w:pPr>
            <w:ind w:firstLine="420" w:firstLineChars="200"/>
            <w:rPr>
              <w:rFonts w:ascii="宋体" w:hAnsi="宋体"/>
            </w:rPr>
          </w:pPr>
          <w:r>
            <w:rPr>
              <w:rFonts w:hint="eastAsia" w:ascii="宋体" w:hAnsi="宋体"/>
            </w:rPr>
            <w:t>经营租赁发生变更的，本集团自变更生效日开始，将其作为一项新的租赁进行会计处理，与变更前租赁有关的预收或应收租赁收款额视为新租赁的收款额。</w:t>
          </w:r>
        </w:p>
        <w:p>
          <w:pPr>
            <w:ind w:firstLine="420" w:firstLineChars="200"/>
            <w:rPr>
              <w:rFonts w:ascii="宋体" w:hAnsi="宋体"/>
            </w:rPr>
          </w:pPr>
          <w:r>
            <w:rPr>
              <w:rFonts w:hint="eastAsia" w:ascii="宋体" w:hAnsi="宋体"/>
            </w:rPr>
            <w:t>（3）售后租回</w:t>
          </w:r>
        </w:p>
        <w:p>
          <w:pPr>
            <w:ind w:firstLine="420" w:firstLineChars="200"/>
            <w:rPr>
              <w:rFonts w:ascii="宋体" w:hAnsi="宋体"/>
            </w:rPr>
          </w:pPr>
          <w:r>
            <w:rPr>
              <w:rFonts w:hint="eastAsia" w:ascii="宋体" w:hAnsi="宋体"/>
            </w:rPr>
            <w:t>本集团作为售后租回交易中的买方兼出租人，相关标的资产的控制权未转移给本集团，本集团不确认被转让资产，但确认一项与转让收入等额的金融资产；相关标的资产的控制权已转移给本集团，资产转让构成销售，本集团对资产购买进行会计处理，并根据前述政策对资产的出租进行会计处理。</w:t>
          </w:r>
        </w:p>
      </w:sdtContent>
    </w:sdt>
    <w:p>
      <w:pPr>
        <w:pStyle w:val="531"/>
      </w:pPr>
    </w:p>
    <w:p>
      <w:pPr>
        <w:pStyle w:val="504"/>
        <w:numPr>
          <w:ilvl w:val="0"/>
          <w:numId w:val="61"/>
        </w:numPr>
        <w:ind w:left="567"/>
        <w:rPr>
          <w:rFonts w:ascii="宋体" w:hAnsi="宋体"/>
        </w:rPr>
      </w:pPr>
      <w:r>
        <w:rPr>
          <w:rFonts w:hint="eastAsia" w:ascii="宋体" w:hAnsi="宋体"/>
        </w:rPr>
        <w:t>持有待售</w:t>
      </w:r>
    </w:p>
    <w:p>
      <w:pPr>
        <w:ind w:firstLine="420" w:firstLineChars="200"/>
        <w:rPr>
          <w:rFonts w:ascii="宋体" w:hAnsi="宋体"/>
        </w:rPr>
      </w:pPr>
      <w:r>
        <w:rPr>
          <w:rFonts w:hint="eastAsia" w:ascii="宋体" w:hAnsi="宋体"/>
        </w:rPr>
        <w:t>本集团主要通过出售（包括具有商业实质的非货币性资产交换，下同）而非持续使用一项非流动资产或处置组收回其账面价值的，将其划分为持有待售类别。</w:t>
      </w:r>
    </w:p>
    <w:p>
      <w:pPr>
        <w:ind w:firstLine="420" w:firstLineChars="200"/>
        <w:rPr>
          <w:rFonts w:ascii="宋体" w:hAnsi="宋体"/>
        </w:rPr>
      </w:pPr>
      <w:r>
        <w:rPr>
          <w:rFonts w:hint="eastAsia" w:ascii="宋体" w:hAnsi="宋体"/>
        </w:rPr>
        <w:t>本集团将同时符合下列条件的非流动资产或处置组划分为持有待售：①根据类似交易中出售此类资产或处置组的惯例，在当前状况下即可立即出售；②出售极可能发生，即已经就一项出售计划作出决议且获得确定的购买承诺，预计出售将在一年内完成。有关规定要求相关权力机构或者监管部门批准后方可出售的需要获得相关批准。本集团持有的非流动资产或处置组账面价值高于公允价值减去出售费用后的净额的，将账面价值减记至公允价值减去出售费用后的净额，减记的金额确认为资产减值损失，计入当期损益，同时计提持有待售资产减值准备。</w:t>
      </w:r>
    </w:p>
    <w:p>
      <w:pPr>
        <w:ind w:firstLine="420" w:firstLineChars="200"/>
        <w:rPr>
          <w:rFonts w:ascii="宋体" w:hAnsi="宋体"/>
        </w:rPr>
      </w:pPr>
      <w:r>
        <w:rPr>
          <w:rFonts w:hint="eastAsia" w:ascii="宋体" w:hAnsi="宋体"/>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pPr>
        <w:ind w:firstLine="420" w:firstLineChars="200"/>
        <w:rPr>
          <w:rFonts w:ascii="宋体" w:hAnsi="宋体"/>
        </w:rPr>
      </w:pPr>
      <w:r>
        <w:rPr>
          <w:rFonts w:hint="eastAsia" w:ascii="宋体" w:hAnsi="宋体"/>
        </w:rPr>
        <w:t>持有待售的非流动资产或处置组中的非流动资产不计提折旧或摊销，持有待售的处置组中负债的利息和其他费用继续予以确认。</w:t>
      </w:r>
    </w:p>
    <w:p>
      <w:pPr>
        <w:ind w:firstLine="420" w:firstLineChars="200"/>
        <w:rPr>
          <w:rFonts w:ascii="宋体" w:hAnsi="宋体"/>
        </w:rPr>
      </w:pPr>
      <w:r>
        <w:rPr>
          <w:rFonts w:hint="eastAsia" w:ascii="宋体" w:hAnsi="宋体"/>
        </w:rPr>
        <w:t>终止确认持有待售的非流动资产或处置组时，将尚未确认的利得或损失计入当期损益。</w:t>
      </w:r>
    </w:p>
    <w:p>
      <w:pPr>
        <w:pStyle w:val="504"/>
        <w:numPr>
          <w:ilvl w:val="0"/>
          <w:numId w:val="61"/>
        </w:numPr>
        <w:ind w:left="709"/>
        <w:rPr>
          <w:rFonts w:ascii="宋体" w:hAnsi="宋体"/>
        </w:rPr>
      </w:pPr>
      <w:r>
        <w:rPr>
          <w:rFonts w:hint="eastAsia" w:ascii="宋体" w:hAnsi="宋体"/>
        </w:rPr>
        <w:t>终止经营</w:t>
      </w:r>
    </w:p>
    <w:p>
      <w:pPr>
        <w:ind w:firstLine="420" w:firstLineChars="200"/>
        <w:rPr>
          <w:rFonts w:ascii="宋体" w:hAnsi="宋体"/>
        </w:rPr>
      </w:pPr>
      <w:r>
        <w:rPr>
          <w:rFonts w:hint="eastAsia" w:ascii="宋体" w:hAnsi="宋体"/>
        </w:rPr>
        <w:t>终止经营，是指本集团满足下列条件之一的、能够单独区分的组成部分，且该组成部分已经处置或划分为持有待售类别：（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pPr>
        <w:pStyle w:val="504"/>
        <w:numPr>
          <w:ilvl w:val="0"/>
          <w:numId w:val="61"/>
        </w:numPr>
        <w:ind w:left="709"/>
        <w:rPr>
          <w:rFonts w:ascii="宋体" w:hAnsi="宋体"/>
        </w:rPr>
      </w:pPr>
      <w:r>
        <w:rPr>
          <w:rFonts w:hint="eastAsia" w:ascii="宋体" w:hAnsi="宋体"/>
        </w:rPr>
        <w:t>公允价值变动</w:t>
      </w:r>
    </w:p>
    <w:p>
      <w:pPr>
        <w:ind w:firstLine="420" w:firstLineChars="200"/>
        <w:rPr>
          <w:rFonts w:ascii="宋体" w:hAnsi="宋体"/>
        </w:rPr>
      </w:pPr>
      <w:r>
        <w:rPr>
          <w:rFonts w:hint="eastAsia" w:ascii="宋体" w:hAnsi="宋体"/>
        </w:rPr>
        <w:t>本集团于每个资产负债表日以公允价值计量投资性房地产、衍生金融工具和权益工具投资。公允价值，是指市场参与者在计量日发生的有序交易中，出售一项资产所能收到或者转移一项负债所需支付的价格。</w:t>
      </w:r>
    </w:p>
    <w:p>
      <w:pPr>
        <w:ind w:firstLine="420" w:firstLineChars="200"/>
        <w:rPr>
          <w:rFonts w:ascii="宋体" w:hAnsi="宋体"/>
        </w:rPr>
      </w:pPr>
      <w:r>
        <w:rPr>
          <w:rFonts w:hint="eastAsia" w:ascii="宋体" w:hAnsi="宋体"/>
        </w:rPr>
        <w:t>在财务报表中以公允价值计量或披露的资产和负债，根据对公允价值计量整体而言具有重要意义的最低层次输入值，确定所属的公允价值层次：第一层次输入值，在计量日能够取得的相同资产或负债在活跃市场上未经调整的报价；第二层次输入值，除第一层次输入值外相关资产或负债直接或间接可观察的输入值；第三层次输入值，相关资产或负债的不可观察输入值。</w:t>
      </w:r>
    </w:p>
    <w:p>
      <w:pPr>
        <w:ind w:firstLine="420" w:firstLineChars="200"/>
        <w:rPr>
          <w:rFonts w:ascii="宋体" w:hAnsi="宋体"/>
        </w:rPr>
      </w:pPr>
      <w:r>
        <w:rPr>
          <w:rFonts w:hint="eastAsia" w:ascii="宋体" w:hAnsi="宋体"/>
        </w:rPr>
        <w:t>对于在活跃市场上交易的金融工具，本集团以其活跃市场报价确定其公允价值；对于不在活跃市场上交易的金融工具，本集团采用估值技术确定其公允价值，所使用的估值模型主要为现金流量折现模型。估值技术的输入值主要包括：债权类为无风险利率、信用溢价和流动性溢价；股权类为估值乘数和流动性折价。</w:t>
      </w:r>
    </w:p>
    <w:p>
      <w:pPr>
        <w:ind w:firstLine="420" w:firstLineChars="200"/>
        <w:rPr>
          <w:rFonts w:ascii="宋体" w:hAnsi="宋体"/>
        </w:rPr>
      </w:pPr>
      <w:r>
        <w:rPr>
          <w:rFonts w:hint="eastAsia" w:ascii="宋体" w:hAnsi="宋体"/>
        </w:rPr>
        <w:t>第三层级的公允价值以本集团的评估模型为依据确定，例如现金流折现模型。本集团还会考虑初始交易价格，相同或类似金融工具的近期交易，或者可比金融工具的完全第三方交易。于2023年12月31日，以公允价值计量的第三层级金融资产在估值时使用贴现率等重大不可观察的输入值，但其公允价值对这些重大不可观察输入值的合理变动无重大敏感性。</w:t>
      </w:r>
    </w:p>
    <w:p>
      <w:pPr>
        <w:ind w:firstLine="420" w:firstLineChars="200"/>
        <w:rPr>
          <w:rFonts w:ascii="宋体" w:hAnsi="宋体"/>
        </w:rPr>
      </w:pPr>
      <w:r>
        <w:rPr>
          <w:rFonts w:hint="eastAsia" w:ascii="宋体" w:hAnsi="宋体"/>
        </w:rPr>
        <w:t>本集团采用市场法确定对非上市股权投资的公允价值。这要求本集团确定可比上市公司、选择市场乘数、对流动性折价进行估计等，因此具有不确定性。</w:t>
      </w:r>
    </w:p>
    <w:p>
      <w:pPr>
        <w:ind w:firstLine="420" w:firstLineChars="200"/>
        <w:rPr>
          <w:rFonts w:ascii="宋体" w:hAnsi="宋体"/>
        </w:rPr>
      </w:pPr>
      <w:r>
        <w:rPr>
          <w:rFonts w:hint="eastAsia" w:ascii="宋体" w:hAnsi="宋体"/>
        </w:rPr>
        <w:t>每个资产负债表日，本集团对在财务报表中确认的持续以公允价值计量的资产和负债进行重新评估，以确定是否在公允价值计量层次之间发生转换。</w:t>
      </w:r>
    </w:p>
    <w:p>
      <w:pPr>
        <w:pStyle w:val="504"/>
        <w:numPr>
          <w:ilvl w:val="0"/>
          <w:numId w:val="61"/>
        </w:numPr>
        <w:ind w:left="709"/>
        <w:rPr>
          <w:rFonts w:ascii="宋体" w:hAnsi="宋体"/>
        </w:rPr>
      </w:pPr>
      <w:r>
        <w:rPr>
          <w:rFonts w:hint="eastAsia" w:ascii="宋体" w:hAnsi="宋体"/>
        </w:rPr>
        <w:t>所得税的会计核算</w:t>
      </w:r>
    </w:p>
    <w:p>
      <w:pPr>
        <w:ind w:firstLine="420" w:firstLineChars="200"/>
        <w:rPr>
          <w:rFonts w:ascii="宋体" w:hAnsi="宋体"/>
        </w:rPr>
      </w:pPr>
      <w:r>
        <w:rPr>
          <w:rFonts w:hint="eastAsia" w:ascii="宋体" w:hAnsi="宋体"/>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pPr>
        <w:ind w:firstLine="420" w:firstLineChars="200"/>
        <w:rPr>
          <w:rFonts w:ascii="宋体" w:hAnsi="宋体"/>
        </w:rPr>
      </w:pPr>
      <w:r>
        <w:rPr>
          <w:rFonts w:hint="eastAsia" w:ascii="宋体" w:hAnsi="宋体"/>
        </w:rP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pPr>
        <w:pStyle w:val="504"/>
        <w:numPr>
          <w:ilvl w:val="0"/>
          <w:numId w:val="61"/>
        </w:numPr>
        <w:ind w:left="709"/>
        <w:rPr>
          <w:rFonts w:ascii="宋体" w:hAnsi="宋体"/>
        </w:rPr>
      </w:pPr>
      <w:r>
        <w:rPr>
          <w:rFonts w:hint="eastAsia" w:ascii="宋体" w:hAnsi="宋体"/>
        </w:rPr>
        <w:t>分部信息</w:t>
      </w:r>
    </w:p>
    <w:p>
      <w:pPr>
        <w:ind w:firstLine="420" w:firstLineChars="200"/>
        <w:rPr>
          <w:rFonts w:ascii="宋体" w:hAnsi="宋体"/>
        </w:rPr>
      </w:pPr>
      <w:r>
        <w:rPr>
          <w:rFonts w:hint="eastAsia" w:ascii="宋体" w:hAnsi="宋体"/>
        </w:rPr>
        <w:t>本集团以内部组织结构、管理要求、内部报告制度为依据确定经营分部，以经营分部为基础确定报告分部。经营分部，是指企业内同时满足下列条件的组成部分：</w:t>
      </w:r>
    </w:p>
    <w:p>
      <w:pPr>
        <w:ind w:firstLine="420" w:firstLineChars="200"/>
        <w:rPr>
          <w:rFonts w:ascii="宋体" w:hAnsi="宋体"/>
        </w:rPr>
      </w:pPr>
      <w:r>
        <w:rPr>
          <w:rFonts w:hint="eastAsia" w:ascii="宋体" w:hAnsi="宋体"/>
        </w:rPr>
        <w:t>（1）该组成部分能够在日常活动中产生收入、发生费用；</w:t>
      </w:r>
    </w:p>
    <w:p>
      <w:pPr>
        <w:ind w:firstLine="420" w:firstLineChars="200"/>
        <w:rPr>
          <w:rFonts w:ascii="宋体" w:hAnsi="宋体"/>
        </w:rPr>
      </w:pPr>
      <w:r>
        <w:rPr>
          <w:rFonts w:hint="eastAsia" w:ascii="宋体" w:hAnsi="宋体"/>
        </w:rPr>
        <w:t>（2）本集团管理层能够定期评价该组成部分的经营成果，以决定向其配置资源、评价其业绩；</w:t>
      </w:r>
    </w:p>
    <w:p>
      <w:pPr>
        <w:ind w:firstLine="420" w:firstLineChars="200"/>
        <w:rPr>
          <w:rFonts w:ascii="宋体" w:hAnsi="宋体"/>
        </w:rPr>
      </w:pPr>
      <w:r>
        <w:rPr>
          <w:rFonts w:hint="eastAsia" w:ascii="宋体" w:hAnsi="宋体"/>
        </w:rPr>
        <w:t>（3）本集团能够取得该组成部分的财务状况、经营成果和现金流量等有关会计信息。</w:t>
      </w:r>
    </w:p>
    <w:p>
      <w:pPr>
        <w:pStyle w:val="504"/>
        <w:numPr>
          <w:ilvl w:val="0"/>
          <w:numId w:val="61"/>
        </w:numPr>
        <w:ind w:left="546" w:hanging="308"/>
        <w:rPr>
          <w:rFonts w:ascii="宋体" w:hAnsi="宋体"/>
        </w:rPr>
      </w:pPr>
      <w:r>
        <w:rPr>
          <w:rFonts w:hint="eastAsia" w:ascii="宋体" w:hAnsi="宋体"/>
        </w:rPr>
        <w:t>套期业务的处理方法</w:t>
      </w:r>
    </w:p>
    <w:p>
      <w:pPr>
        <w:ind w:firstLine="420" w:firstLineChars="200"/>
      </w:pPr>
      <w:r>
        <w:rPr>
          <w:rFonts w:hint="eastAsia"/>
        </w:rPr>
        <w:t>本集团使用衍生金融工具如远期外汇合约、利率掉期合约等对与外汇相关的风险及利率波动风险进行现金流量套期。</w:t>
      </w:r>
    </w:p>
    <w:p>
      <w:pPr>
        <w:ind w:firstLine="420" w:firstLineChars="200"/>
      </w:pPr>
      <w:r>
        <w:rPr>
          <w:rFonts w:hint="eastAsia"/>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pPr>
        <w:ind w:firstLine="420" w:firstLineChars="200"/>
      </w:pPr>
      <w:r>
        <w:rPr>
          <w:rFonts w:hint="eastAsia"/>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pPr>
        <w:ind w:firstLine="420" w:firstLineChars="200"/>
      </w:pPr>
      <w:r>
        <w:rPr>
          <w:rFonts w:hint="eastAsia"/>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pPr>
        <w:pStyle w:val="504"/>
        <w:numPr>
          <w:ilvl w:val="0"/>
          <w:numId w:val="61"/>
        </w:numPr>
        <w:ind w:left="714" w:hanging="504"/>
        <w:rPr>
          <w:rFonts w:ascii="宋体" w:hAnsi="宋体"/>
        </w:rPr>
      </w:pPr>
      <w:r>
        <w:rPr>
          <w:rFonts w:hint="eastAsia" w:ascii="宋体" w:hAnsi="宋体"/>
        </w:rPr>
        <w:t>其他重要的会计政策和会计估计</w:t>
      </w:r>
    </w:p>
    <w:sdt>
      <w:sdtPr>
        <w:rPr>
          <w:rFonts w:hint="eastAsia" w:ascii="宋体" w:hAnsi="宋体"/>
        </w:rPr>
        <w:alias w:val="是否适用：其他重要的会计政策和会计估计[双击切换]"/>
        <w:tag w:val="_GBC_b463c26b00e64f799c5b85b2c1c805fb"/>
        <w:id w:val="392627474"/>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其他主要会计政策会计估计和会计报表的编制方法"/>
        <w:tag w:val="_GBC_5cf318d9d3d148c4af010cce77bc955d"/>
        <w:id w:val="-1024165087"/>
        <w:placeholder>
          <w:docPart w:val="GBC22222222222222222222222222222"/>
        </w:placeholder>
      </w:sdtPr>
      <w:sdtEndPr>
        <w:rPr>
          <w:rFonts w:hint="eastAsia" w:ascii="宋体" w:hAnsi="宋体"/>
        </w:rPr>
      </w:sdtEndPr>
      <w:sdtContent>
        <w:p>
          <w:pPr>
            <w:ind w:firstLine="315" w:firstLineChars="150"/>
            <w:rPr>
              <w:rFonts w:ascii="宋体" w:hAnsi="宋体"/>
            </w:rPr>
          </w:pPr>
          <w:r>
            <w:rPr>
              <w:rFonts w:hint="eastAsia" w:ascii="宋体" w:hAnsi="宋体"/>
            </w:rP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pPr>
            <w:ind w:firstLine="420" w:firstLineChars="200"/>
            <w:rPr>
              <w:rFonts w:ascii="宋体" w:hAnsi="宋体"/>
            </w:rPr>
          </w:pPr>
          <w:r>
            <w:rPr>
              <w:rFonts w:hint="eastAsia" w:ascii="宋体" w:hAnsi="宋体"/>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pPr>
            <w:ind w:firstLine="420" w:firstLineChars="200"/>
            <w:rPr>
              <w:rFonts w:ascii="宋体" w:hAnsi="宋体"/>
            </w:rPr>
          </w:pPr>
          <w:r>
            <w:rPr>
              <w:rFonts w:hint="eastAsia" w:ascii="宋体" w:hAnsi="宋体"/>
            </w:rPr>
            <w:t>资产负债表日，会计估计中很可能导致未来期间资产、负债账面价值作出重大调整的关键假设和不确定性主要有：</w:t>
          </w:r>
        </w:p>
        <w:p>
          <w:pPr>
            <w:ind w:firstLine="315" w:firstLineChars="150"/>
            <w:rPr>
              <w:rFonts w:ascii="宋体" w:hAnsi="宋体"/>
            </w:rPr>
          </w:pPr>
          <w:r>
            <w:rPr>
              <w:rFonts w:hint="eastAsia" w:ascii="宋体" w:hAnsi="宋体"/>
            </w:rPr>
            <w:t>（1）折旧和摊销</w:t>
          </w:r>
        </w:p>
        <w:p>
          <w:pPr>
            <w:ind w:firstLine="315" w:firstLineChars="150"/>
            <w:rPr>
              <w:rFonts w:ascii="宋体" w:hAnsi="宋体"/>
            </w:rPr>
          </w:pPr>
          <w:r>
            <w:rPr>
              <w:rFonts w:hint="eastAsia" w:ascii="宋体" w:hAnsi="宋体"/>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pPr>
            <w:ind w:firstLine="420" w:firstLineChars="200"/>
            <w:rPr>
              <w:rFonts w:ascii="宋体" w:hAnsi="宋体"/>
            </w:rPr>
          </w:pPr>
          <w:r>
            <w:rPr>
              <w:rFonts w:hint="eastAsia" w:ascii="宋体" w:hAnsi="宋体"/>
            </w:rP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pPr>
            <w:ind w:firstLine="315" w:firstLineChars="150"/>
            <w:rPr>
              <w:rFonts w:ascii="宋体" w:hAnsi="宋体"/>
            </w:rPr>
          </w:pPr>
          <w:r>
            <w:rPr>
              <w:rFonts w:hint="eastAsia" w:ascii="宋体" w:hAnsi="宋体"/>
            </w:rPr>
            <w:t>（2）土地塌陷、复垦、重整及环保义务</w:t>
          </w:r>
        </w:p>
        <w:p>
          <w:pPr>
            <w:rPr>
              <w:rFonts w:ascii="宋体" w:hAnsi="宋体"/>
            </w:rPr>
          </w:pPr>
          <w:r>
            <w:rPr>
              <w:rFonts w:hint="eastAsia" w:ascii="宋体" w:hAnsi="宋体"/>
            </w:rP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pPr>
            <w:ind w:firstLine="420" w:firstLineChars="200"/>
            <w:rPr>
              <w:rFonts w:ascii="宋体" w:hAnsi="宋体"/>
            </w:rPr>
          </w:pPr>
          <w:r>
            <w:rPr>
              <w:rFonts w:hint="eastAsia" w:ascii="宋体" w:hAnsi="宋体"/>
            </w:rPr>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Pr>
              <w:rFonts w:hint="eastAsia" w:ascii="Batang" w:hAnsi="Batang" w:eastAsia="Batang" w:cs="Batang"/>
            </w:rPr>
            <w:t>行</w:t>
          </w:r>
          <w:r>
            <w:rPr>
              <w:rFonts w:hint="eastAsia" w:ascii="宋体" w:hAnsi="宋体" w:cs="宋体"/>
            </w:rPr>
            <w:t>，对未来土地及环境的影响变得明显的情况下，有关土地塌陷、复垦、重整及环保费成本的估计可能须</w:t>
          </w:r>
          <w:r>
            <w:rPr>
              <w:rFonts w:hint="eastAsia" w:ascii="Batang" w:hAnsi="Batang" w:eastAsia="Batang" w:cs="Batang"/>
            </w:rPr>
            <w:t>不</w:t>
          </w:r>
          <w:r>
            <w:rPr>
              <w:rFonts w:hint="eastAsia" w:ascii="宋体" w:hAnsi="宋体" w:cs="宋体"/>
            </w:rPr>
            <w:t>时修订。</w:t>
          </w:r>
        </w:p>
        <w:p>
          <w:pPr>
            <w:ind w:firstLine="315" w:firstLineChars="150"/>
            <w:rPr>
              <w:rFonts w:ascii="宋体" w:hAnsi="宋体"/>
            </w:rPr>
          </w:pPr>
          <w:r>
            <w:rPr>
              <w:rFonts w:hint="eastAsia" w:ascii="宋体" w:hAnsi="宋体"/>
            </w:rPr>
            <w:t>（3）非金融长期资产减值</w:t>
          </w:r>
        </w:p>
        <w:p>
          <w:pPr>
            <w:ind w:firstLine="420" w:firstLineChars="200"/>
            <w:rPr>
              <w:rFonts w:ascii="宋体" w:hAnsi="宋体"/>
            </w:rPr>
          </w:pPr>
          <w:r>
            <w:rPr>
              <w:rFonts w:hint="eastAsia" w:ascii="宋体" w:hAnsi="宋体"/>
            </w:rPr>
            <w:t>如本附注“五、2</w:t>
          </w:r>
          <w:r>
            <w:rPr>
              <w:rFonts w:ascii="宋体" w:hAnsi="宋体"/>
            </w:rPr>
            <w:t>9</w:t>
          </w:r>
          <w:r>
            <w:rPr>
              <w:rFonts w:hint="eastAsia" w:ascii="宋体" w:hAnsi="宋体"/>
            </w:rPr>
            <w:t>长期资产减值”所述，本集团在资产负债表日对非金融资产进行减值评估，以确定资产可收回金额是否下跌至低于其账面价值。如果情况显示该资产的账面价值超过其可收回金额，其差额确认为减值损失。</w:t>
          </w:r>
        </w:p>
        <w:p>
          <w:pPr>
            <w:ind w:firstLine="420" w:firstLineChars="200"/>
            <w:rPr>
              <w:rFonts w:ascii="宋体" w:hAnsi="宋体"/>
            </w:rPr>
          </w:pPr>
          <w:r>
            <w:rPr>
              <w:rFonts w:hint="eastAsia" w:ascii="宋体" w:hAnsi="宋体"/>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经营成本、资本性支出以及计算现值时使用的折现率等做出重大判断。本集团在估计可收回金额时会采用所有能够获得的相关资料，根据过往经验及对市场发展之预测来估计，可能与之后期间实际结果不同。</w:t>
          </w:r>
        </w:p>
        <w:p>
          <w:pPr>
            <w:ind w:firstLine="315" w:firstLineChars="150"/>
            <w:rPr>
              <w:rFonts w:ascii="宋体" w:hAnsi="宋体"/>
            </w:rPr>
          </w:pPr>
          <w:r>
            <w:rPr>
              <w:rFonts w:hint="eastAsia" w:ascii="宋体" w:hAnsi="宋体"/>
            </w:rPr>
            <w:t>（4）金融资产的分类</w:t>
          </w:r>
        </w:p>
        <w:p>
          <w:pPr>
            <w:ind w:firstLine="420" w:firstLineChars="200"/>
            <w:rPr>
              <w:rFonts w:ascii="宋体" w:hAnsi="宋体"/>
            </w:rPr>
          </w:pPr>
          <w:r>
            <w:rPr>
              <w:rFonts w:hint="eastAsia" w:ascii="宋体" w:hAnsi="宋体"/>
            </w:rPr>
            <w:t>本集团在确定金融资产的分类时涉及的重大判断包括业务模式及合同现金流量特征的分析等。</w:t>
          </w:r>
        </w:p>
        <w:p>
          <w:pPr>
            <w:rPr>
              <w:rFonts w:ascii="宋体" w:hAnsi="宋体"/>
            </w:rPr>
          </w:pPr>
          <w:r>
            <w:rPr>
              <w:rFonts w:hint="eastAsia" w:ascii="宋体" w:hAnsi="宋体"/>
            </w:rPr>
            <w:t>本集团在金融资产组合的层次上确定管理金融资产的业务模式，考虑的因素包括评价和向关键管理人员报告金融资产业绩的方式、影响金融资产业绩的风险及其管理方式、以及相关业务管理人员获得报酬的方式等。</w:t>
          </w:r>
        </w:p>
        <w:p>
          <w:pPr>
            <w:ind w:firstLine="420" w:firstLineChars="200"/>
            <w:rPr>
              <w:rFonts w:ascii="宋体" w:hAnsi="宋体"/>
            </w:rPr>
          </w:pPr>
          <w:r>
            <w:rPr>
              <w:rFonts w:hint="eastAsia" w:ascii="宋体" w:hAnsi="宋体"/>
            </w:rPr>
            <w:t>本集团在评估金融资产的合同现金流量是否与基本借贷安排相一致时，存在以下主要判断：本金是否可能因提前还款等原因导致在存续期内的时间分布或者金额发生变动；利息是否仅包括货币时间价值、信用风险、其他基本借贷风险以及与成本和利润的对价。例如，提前偿付的金额是否仅反映了尚未支付的本金及以未偿付本金为基础的利息，以及因提前终止合同而支付的合理补偿。</w:t>
          </w:r>
        </w:p>
        <w:p>
          <w:pPr>
            <w:ind w:firstLine="315" w:firstLineChars="150"/>
            <w:rPr>
              <w:rFonts w:ascii="宋体" w:hAnsi="宋体"/>
            </w:rPr>
          </w:pPr>
          <w:r>
            <w:rPr>
              <w:rFonts w:hint="eastAsia" w:ascii="宋体" w:hAnsi="宋体"/>
            </w:rPr>
            <w:t>（5）预期信用损失的计量</w:t>
          </w:r>
        </w:p>
        <w:p>
          <w:pPr>
            <w:ind w:firstLine="420" w:firstLineChars="200"/>
            <w:rPr>
              <w:rFonts w:ascii="宋体" w:hAnsi="宋体"/>
            </w:rPr>
          </w:pPr>
          <w:r>
            <w:rPr>
              <w:rFonts w:hint="eastAsia" w:ascii="宋体" w:hAnsi="宋体"/>
            </w:rPr>
            <w:t>本集团对以摊余成本计量的金融资产、以公允价值计量且其变动计入其他综合收益的债务工具投资、应收融资租赁款、应收账款、合同资产以及信用承诺，使用预期信用损失模型计量其减值准备；其中涉及关键定义、参数和假设的建立和定期复核，例如对未来的宏观经济情况和债务人的信用行为的估计(例如，客户违约的可能性及相应损失)。对预期信用损失的计量存在许多重大判断，例如：将具有类似信用风险特征的业务划入同一个组合，选择恰当的计量模型，并确定计量相关的关键参数；信用风险显著增加、违约和已发生信用减值的判断标准；用于前瞻性计量的经济指标、经济情景及其权重的采用。</w:t>
          </w:r>
        </w:p>
        <w:p>
          <w:pPr>
            <w:ind w:firstLine="315" w:firstLineChars="150"/>
            <w:rPr>
              <w:rFonts w:ascii="宋体" w:hAnsi="宋体"/>
            </w:rPr>
          </w:pPr>
          <w:r>
            <w:rPr>
              <w:rFonts w:hint="eastAsia" w:ascii="宋体" w:hAnsi="宋体"/>
            </w:rPr>
            <w:t>（6）金融工具的公允价值</w:t>
          </w:r>
        </w:p>
        <w:p>
          <w:pPr>
            <w:ind w:firstLine="420" w:firstLineChars="200"/>
            <w:rPr>
              <w:rFonts w:ascii="宋体" w:hAnsi="宋体"/>
            </w:rPr>
          </w:pPr>
          <w:r>
            <w:rPr>
              <w:rFonts w:hint="eastAsia" w:ascii="宋体" w:hAnsi="宋体"/>
            </w:rPr>
            <w:t>对于不存在活跃市场的金融工具，本公司采用估值技术确定其公允价值。估值技术包括：使用熟悉情况的交易各方自愿进行的近期公平市场交易(若可获得)，参照本质相同的其他金融工具的现行公允价值，折现现金流量分析和期权定价模型。在可行的情况下，估值技术尽可能使用市场参数。然而，当缺乏市场参数时，管理层需就自身和交易对手的信用风险、市场波动率、相关性等方面作出估计。这些相关假设的变化会对金融工具的公允价值产生影响。</w:t>
          </w:r>
        </w:p>
        <w:p>
          <w:pPr>
            <w:ind w:firstLine="315" w:firstLineChars="150"/>
            <w:rPr>
              <w:rFonts w:ascii="宋体" w:hAnsi="宋体"/>
            </w:rPr>
          </w:pPr>
          <w:r>
            <w:rPr>
              <w:rFonts w:hint="eastAsia" w:ascii="宋体" w:hAnsi="宋体"/>
            </w:rPr>
            <w:t>（7）企业合并中采用的公允价值</w:t>
          </w:r>
        </w:p>
        <w:p>
          <w:pPr>
            <w:ind w:firstLine="420" w:firstLineChars="200"/>
            <w:rPr>
              <w:rFonts w:ascii="宋体" w:hAnsi="宋体"/>
            </w:rPr>
          </w:pPr>
          <w:r>
            <w:rPr>
              <w:rFonts w:hint="eastAsia" w:ascii="宋体" w:hAnsi="宋体"/>
            </w:rPr>
            <w:t>非同一控制下企业合并中所取得的被购买方的可辨认资产、负债在收购日的公允价值计量，本集团采用了估值模型，包括使用收益现值法评估探矿权资产、使用重置成本法评估房屋建筑物和设备、使用市场法评估土地等。未来现金流量预测中涉及关键假设及参数，包括投产日期的假设、矿权资产剩余可使用年限的估计、矿产售价的估计、折现率的估计等。</w:t>
          </w:r>
        </w:p>
        <w:p>
          <w:pPr>
            <w:ind w:firstLine="420" w:firstLineChars="200"/>
            <w:rPr>
              <w:rFonts w:ascii="宋体" w:hAnsi="宋体"/>
            </w:rPr>
          </w:pPr>
          <w:r>
            <w:rPr>
              <w:rFonts w:hint="eastAsia" w:ascii="宋体" w:hAnsi="宋体"/>
            </w:rPr>
            <w:t>同一控制下企业合并或有对价的公允价值初始计量，本公司采用了估算模型，包括影响业绩因素的假设、业绩对赌期间实现利润的金额和概率估计，以及折现率的估计。</w:t>
          </w:r>
        </w:p>
        <w:p>
          <w:pPr>
            <w:ind w:firstLine="420" w:firstLineChars="200"/>
            <w:rPr>
              <w:rFonts w:ascii="宋体" w:hAnsi="宋体"/>
            </w:rPr>
          </w:pPr>
          <w:r>
            <w:rPr>
              <w:rFonts w:hint="eastAsia" w:ascii="宋体" w:hAnsi="宋体"/>
            </w:rPr>
            <w:t>（8）税项</w:t>
          </w:r>
        </w:p>
        <w:p>
          <w:pPr>
            <w:ind w:firstLine="420" w:firstLineChars="200"/>
            <w:rPr>
              <w:rFonts w:ascii="宋体" w:hAnsi="宋体"/>
            </w:rPr>
          </w:pPr>
          <w:r>
            <w:rPr>
              <w:rFonts w:hint="eastAsia" w:ascii="宋体" w:hAnsi="宋体"/>
            </w:rPr>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pPr>
            <w:ind w:firstLine="420" w:firstLineChars="200"/>
            <w:rPr>
              <w:rFonts w:ascii="宋体" w:hAnsi="宋体"/>
            </w:rPr>
          </w:pPr>
          <w:r>
            <w:rPr>
              <w:rFonts w:hint="eastAsia" w:ascii="宋体" w:hAnsi="宋体"/>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sdtContent>
    </w:sdt>
    <w:p>
      <w:pPr>
        <w:pStyle w:val="504"/>
        <w:numPr>
          <w:ilvl w:val="0"/>
          <w:numId w:val="61"/>
        </w:numPr>
        <w:ind w:left="567"/>
        <w:rPr>
          <w:rFonts w:ascii="宋体" w:hAnsi="宋体"/>
        </w:rPr>
      </w:pPr>
      <w:r>
        <w:rPr>
          <w:rFonts w:hint="eastAsia" w:ascii="宋体" w:hAnsi="宋体"/>
        </w:rPr>
        <w:t>重要</w:t>
      </w:r>
      <w:r>
        <w:rPr>
          <w:rFonts w:ascii="宋体" w:hAnsi="宋体"/>
        </w:rPr>
        <w:t>会计政策</w:t>
      </w:r>
      <w:r>
        <w:rPr>
          <w:rFonts w:hint="eastAsia" w:ascii="宋体" w:hAnsi="宋体"/>
        </w:rPr>
        <w:t>和</w:t>
      </w:r>
      <w:r>
        <w:rPr>
          <w:rFonts w:ascii="宋体" w:hAnsi="宋体"/>
        </w:rPr>
        <w:t>会计估计的变更</w:t>
      </w:r>
    </w:p>
    <w:p>
      <w:pPr>
        <w:pStyle w:val="505"/>
        <w:numPr>
          <w:ilvl w:val="3"/>
          <w:numId w:val="67"/>
        </w:numPr>
        <w:ind w:left="426" w:hanging="426"/>
        <w:rPr>
          <w:rFonts w:ascii="宋体" w:hAnsi="宋体" w:eastAsia="宋体"/>
        </w:rPr>
      </w:pPr>
      <w:r>
        <w:rPr>
          <w:rFonts w:hint="eastAsia" w:ascii="宋体" w:hAnsi="宋体" w:eastAsia="宋体"/>
        </w:rPr>
        <w:t>重要</w:t>
      </w:r>
      <w:r>
        <w:rPr>
          <w:rFonts w:ascii="宋体" w:hAnsi="宋体" w:eastAsia="宋体"/>
        </w:rPr>
        <w:t>会计政策变更</w:t>
      </w:r>
    </w:p>
    <w:sdt>
      <w:sdtPr>
        <w:rPr>
          <w:rFonts w:ascii="宋体" w:hAnsi="宋体"/>
        </w:rPr>
        <w:alias w:val="是否适用：重要会计政策变更[双击切换]"/>
        <w:tag w:val="_GBC_f1ebc580f60c4d30a80747190ffbec4f"/>
        <w:id w:val="-315654406"/>
        <w:lock w:val="contentLocked"/>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firstLine="420" w:firstLineChars="200"/>
        <w:jc w:val="left"/>
        <w:rPr>
          <w:rFonts w:ascii="宋体" w:hAnsi="宋体"/>
        </w:rPr>
      </w:pPr>
      <w:r>
        <w:rPr>
          <w:rFonts w:hint="eastAsia" w:ascii="宋体" w:hAnsi="宋体"/>
        </w:rPr>
        <w:t>根据财政部2022年11月30日发布的《企业会计准则解释第16号》“关于单项交易产生的资产和负债相关的递延所得税不适用初始确认豁免的会计处理”的规定，自2023年1月1日起，对于不是企业合并、交易发生时既不影响会计利润也不影响应纳税所得额（或可抵扣亏损）、且初始确认的资产和负债导致产生等额应纳税暂时性差异和可抵扣暂时性差异的单项交易（包括承租人在租赁期开始日初始确认租赁负债并计入使用权资产的租赁交易，以及因固定资产等存在弃置义务而确认预计负债并计入相关资产成本的交易等），应当根据《企业会计准则第18号——所得税》等有关规定，对该交易因资产和负债的初始确认所产生的应纳税暂时性差异和可抵扣暂时性差异，在交易发生时分别确认相应的递延所得税负债和递延所得税资产。同时，对于在首次施行上述规定的财务报表列报最早期间的期初至施行日之间发生的适用上述规定的单项交易而确认的负债和资产，产生应纳税暂时性差异和可抵扣暂时性差异的，将累积影响数调整财务报表列报最早期间的期初留存收益及其他相关财务报表项目。</w:t>
      </w:r>
    </w:p>
    <w:p>
      <w:pPr>
        <w:ind w:firstLine="420" w:firstLineChars="200"/>
        <w:jc w:val="left"/>
        <w:rPr>
          <w:rFonts w:ascii="宋体" w:hAnsi="宋体"/>
        </w:rPr>
      </w:pPr>
      <w:r>
        <w:rPr>
          <w:rFonts w:hint="eastAsia" w:ascii="宋体" w:hAnsi="宋体"/>
        </w:rPr>
        <w:t>本集团根据上述规定，自2023年1月1日起对相关会计政策进行相应变更。对于2022年1月1日至首次执行日之间发生的适用该规定的单项交易按照该规定进行了追溯调整。对于2022年1月1日因适用该规定的单项交易而确认的租赁负债和使用权资产，以及确认的弃置义务相关预计负债和对应的相关资产，产生应纳税暂时性差异和可抵扣暂时性差异的，本集团按照该规定和《企业会计准则第18号——所得税》的规定，将累积影响数调整财务报表列报最早期间的期初留存收益及其他相关财务报表项目。</w:t>
      </w:r>
    </w:p>
    <w:p>
      <w:pPr>
        <w:ind w:firstLine="420" w:firstLineChars="200"/>
        <w:jc w:val="left"/>
        <w:rPr>
          <w:rFonts w:ascii="宋体" w:hAnsi="宋体"/>
        </w:rPr>
      </w:pPr>
      <w:r>
        <w:rPr>
          <w:rFonts w:hint="eastAsia" w:ascii="宋体" w:hAnsi="宋体"/>
        </w:rPr>
        <w:t>受重要影响的合并报表项目名称和金额如下：</w:t>
      </w:r>
    </w:p>
    <w:p>
      <w:pPr>
        <w:jc w:val="right"/>
      </w:pPr>
      <w:r>
        <w:rPr>
          <w:rFonts w:hint="eastAsia"/>
        </w:rPr>
        <w:t>单位：千元  币种：人民币</w:t>
      </w:r>
    </w:p>
    <w:tbl>
      <w:tblPr>
        <w:tblStyle w:val="948"/>
        <w:tblW w:w="5000"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322"/>
        <w:gridCol w:w="1908"/>
        <w:gridCol w:w="1908"/>
        <w:gridCol w:w="1911"/>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836" w:type="pct"/>
            <w:vMerge w:val="restart"/>
            <w:tcBorders>
              <w:top w:val="single" w:color="auto" w:sz="4" w:space="0"/>
              <w:left w:val="single" w:color="auto" w:sz="4" w:space="0"/>
              <w:bottom w:val="single" w:color="auto" w:sz="2" w:space="0"/>
              <w:right w:val="single" w:color="auto" w:sz="2" w:space="0"/>
            </w:tcBorders>
            <w:vAlign w:val="center"/>
          </w:tcPr>
          <w:p>
            <w:pPr>
              <w:widowControl/>
              <w:spacing w:line="360" w:lineRule="exact"/>
              <w:rPr>
                <w:rFonts w:cs="Arial" w:asciiTheme="majorEastAsia" w:hAnsiTheme="majorEastAsia" w:eastAsiaTheme="majorEastAsia"/>
                <w:bCs/>
                <w:snapToGrid w:val="0"/>
                <w:kern w:val="0"/>
                <w:lang w:val="en-GB"/>
              </w:rPr>
            </w:pPr>
            <w:r>
              <w:rPr>
                <w:rFonts w:hint="eastAsia" w:cs="Arial" w:asciiTheme="majorEastAsia" w:hAnsiTheme="majorEastAsia" w:eastAsiaTheme="majorEastAsia"/>
                <w:bCs/>
                <w:snapToGrid w:val="0"/>
                <w:kern w:val="0"/>
                <w:lang w:val="en-GB"/>
              </w:rPr>
              <w:t>受影响的项目</w:t>
            </w:r>
          </w:p>
        </w:tc>
        <w:tc>
          <w:tcPr>
            <w:tcW w:w="3164" w:type="pct"/>
            <w:gridSpan w:val="3"/>
            <w:tcBorders>
              <w:top w:val="single" w:color="auto" w:sz="4" w:space="0"/>
              <w:left w:val="single" w:color="auto" w:sz="2" w:space="0"/>
              <w:bottom w:val="single" w:color="auto" w:sz="2" w:space="0"/>
              <w:right w:val="single" w:color="auto" w:sz="4" w:space="0"/>
            </w:tcBorders>
            <w:vAlign w:val="center"/>
          </w:tcPr>
          <w:p>
            <w:pPr>
              <w:widowControl/>
              <w:spacing w:line="360" w:lineRule="exact"/>
              <w:jc w:val="center"/>
              <w:rPr>
                <w:rFonts w:cs="Arial" w:asciiTheme="majorEastAsia" w:hAnsiTheme="majorEastAsia" w:eastAsiaTheme="majorEastAsia"/>
                <w:bCs/>
                <w:snapToGrid w:val="0"/>
                <w:kern w:val="0"/>
                <w:lang w:val="en-GB"/>
              </w:rPr>
            </w:pPr>
            <w:r>
              <w:rPr>
                <w:rFonts w:hint="eastAsia" w:cs="Arial" w:asciiTheme="majorEastAsia" w:hAnsiTheme="majorEastAsia" w:eastAsiaTheme="majorEastAsia"/>
                <w:bCs/>
                <w:snapToGrid w:val="0"/>
                <w:kern w:val="0"/>
                <w:lang w:val="en-GB"/>
              </w:rPr>
              <w:t>20</w:t>
            </w:r>
            <w:r>
              <w:rPr>
                <w:rFonts w:cs="Arial" w:asciiTheme="majorEastAsia" w:hAnsiTheme="majorEastAsia" w:eastAsiaTheme="majorEastAsia"/>
                <w:bCs/>
                <w:snapToGrid w:val="0"/>
                <w:kern w:val="0"/>
                <w:lang w:val="en-GB"/>
              </w:rPr>
              <w:t>22</w:t>
            </w:r>
            <w:r>
              <w:rPr>
                <w:rFonts w:hint="eastAsia" w:cs="Arial" w:asciiTheme="majorEastAsia" w:hAnsiTheme="majorEastAsia" w:eastAsiaTheme="majorEastAsia"/>
                <w:bCs/>
                <w:snapToGrid w:val="0"/>
                <w:kern w:val="0"/>
                <w:lang w:val="en-GB"/>
              </w:rPr>
              <w:t>年12月31日</w:t>
            </w:r>
          </w:p>
          <w:p>
            <w:pPr>
              <w:widowControl/>
              <w:spacing w:line="360" w:lineRule="exact"/>
              <w:jc w:val="center"/>
              <w:rPr>
                <w:rFonts w:cs="Arial" w:asciiTheme="majorEastAsia" w:hAnsiTheme="majorEastAsia" w:eastAsiaTheme="majorEastAsia"/>
                <w:bCs/>
                <w:snapToGrid w:val="0"/>
                <w:kern w:val="0"/>
                <w:lang w:val="en-GB" w:eastAsia="en-US"/>
              </w:rPr>
            </w:pPr>
            <w:r>
              <w:rPr>
                <w:rFonts w:hint="eastAsia" w:cs="Arial" w:asciiTheme="majorEastAsia" w:hAnsiTheme="majorEastAsia" w:eastAsiaTheme="majorEastAsia"/>
                <w:bCs/>
                <w:snapToGrid w:val="0"/>
                <w:kern w:val="0"/>
                <w:lang w:val="en-GB"/>
              </w:rPr>
              <w:t>（20</w:t>
            </w:r>
            <w:r>
              <w:rPr>
                <w:rFonts w:cs="Arial" w:asciiTheme="majorEastAsia" w:hAnsiTheme="majorEastAsia" w:eastAsiaTheme="majorEastAsia"/>
                <w:bCs/>
                <w:snapToGrid w:val="0"/>
                <w:kern w:val="0"/>
                <w:lang w:val="en-GB"/>
              </w:rPr>
              <w:t>22</w:t>
            </w:r>
            <w:r>
              <w:rPr>
                <w:rFonts w:hint="eastAsia" w:cs="Arial" w:asciiTheme="majorEastAsia" w:hAnsiTheme="majorEastAsia" w:eastAsiaTheme="majorEastAsia"/>
                <w:bCs/>
                <w:snapToGrid w:val="0"/>
                <w:kern w:val="0"/>
                <w:lang w:val="en-GB"/>
              </w:rPr>
              <w:t>年1-12月）</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836" w:type="pct"/>
            <w:vMerge w:val="continue"/>
            <w:tcBorders>
              <w:top w:val="double" w:color="auto" w:sz="4" w:space="0"/>
              <w:left w:val="single" w:color="auto" w:sz="4" w:space="0"/>
              <w:bottom w:val="single" w:color="auto" w:sz="2" w:space="0"/>
              <w:right w:val="single" w:color="auto" w:sz="2" w:space="0"/>
            </w:tcBorders>
            <w:vAlign w:val="center"/>
          </w:tcPr>
          <w:p>
            <w:pPr>
              <w:widowControl/>
              <w:jc w:val="left"/>
              <w:rPr>
                <w:rFonts w:cs="Arial" w:asciiTheme="majorEastAsia" w:hAnsiTheme="majorEastAsia" w:eastAsiaTheme="majorEastAsia"/>
                <w:bCs/>
                <w:snapToGrid w:val="0"/>
                <w:kern w:val="0"/>
                <w:lang w:val="en-GB"/>
              </w:rPr>
            </w:pPr>
          </w:p>
        </w:tc>
        <w:tc>
          <w:tcPr>
            <w:tcW w:w="1054" w:type="pct"/>
            <w:tcBorders>
              <w:top w:val="single" w:color="auto" w:sz="2" w:space="0"/>
              <w:left w:val="single" w:color="auto" w:sz="2" w:space="0"/>
              <w:bottom w:val="single" w:color="auto" w:sz="2" w:space="0"/>
              <w:right w:val="single" w:color="auto" w:sz="2" w:space="0"/>
            </w:tcBorders>
            <w:vAlign w:val="center"/>
          </w:tcPr>
          <w:p>
            <w:pPr>
              <w:widowControl/>
              <w:tabs>
                <w:tab w:val="left" w:pos="800"/>
                <w:tab w:val="left" w:pos="900"/>
              </w:tabs>
              <w:spacing w:line="360" w:lineRule="exact"/>
              <w:jc w:val="center"/>
              <w:rPr>
                <w:rFonts w:asciiTheme="majorEastAsia" w:hAnsiTheme="majorEastAsia" w:eastAsiaTheme="majorEastAsia"/>
                <w:bCs/>
                <w:snapToGrid w:val="0"/>
                <w:kern w:val="0"/>
                <w:lang w:val="en-GB"/>
              </w:rPr>
            </w:pPr>
            <w:r>
              <w:rPr>
                <w:rFonts w:hint="eastAsia" w:asciiTheme="majorEastAsia" w:hAnsiTheme="majorEastAsia" w:eastAsiaTheme="majorEastAsia"/>
                <w:bCs/>
                <w:snapToGrid w:val="0"/>
                <w:kern w:val="0"/>
                <w:lang w:val="en-GB"/>
              </w:rPr>
              <w:t>调整前</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tabs>
                <w:tab w:val="left" w:pos="800"/>
                <w:tab w:val="left" w:pos="900"/>
              </w:tabs>
              <w:spacing w:line="360" w:lineRule="exact"/>
              <w:jc w:val="center"/>
              <w:rPr>
                <w:rFonts w:asciiTheme="majorEastAsia" w:hAnsiTheme="majorEastAsia" w:eastAsiaTheme="majorEastAsia"/>
                <w:bCs/>
                <w:snapToGrid w:val="0"/>
                <w:kern w:val="0"/>
                <w:lang w:val="en-GB"/>
              </w:rPr>
            </w:pPr>
            <w:r>
              <w:rPr>
                <w:rFonts w:hint="eastAsia" w:asciiTheme="majorEastAsia" w:hAnsiTheme="majorEastAsia" w:eastAsiaTheme="majorEastAsia"/>
                <w:bCs/>
                <w:snapToGrid w:val="0"/>
                <w:kern w:val="0"/>
                <w:lang w:val="en-GB"/>
              </w:rPr>
              <w:t>调整金额</w:t>
            </w:r>
          </w:p>
        </w:tc>
        <w:tc>
          <w:tcPr>
            <w:tcW w:w="1056" w:type="pct"/>
            <w:tcBorders>
              <w:top w:val="single" w:color="auto" w:sz="2" w:space="0"/>
              <w:left w:val="single" w:color="auto" w:sz="2" w:space="0"/>
              <w:bottom w:val="single" w:color="auto" w:sz="2" w:space="0"/>
              <w:right w:val="single" w:color="auto" w:sz="4" w:space="0"/>
            </w:tcBorders>
            <w:vAlign w:val="center"/>
          </w:tcPr>
          <w:p>
            <w:pPr>
              <w:widowControl/>
              <w:tabs>
                <w:tab w:val="left" w:pos="800"/>
                <w:tab w:val="left" w:pos="900"/>
              </w:tabs>
              <w:spacing w:line="360" w:lineRule="exact"/>
              <w:jc w:val="center"/>
              <w:rPr>
                <w:rFonts w:asciiTheme="majorEastAsia" w:hAnsiTheme="majorEastAsia" w:eastAsiaTheme="majorEastAsia"/>
                <w:bCs/>
                <w:snapToGrid w:val="0"/>
                <w:kern w:val="0"/>
                <w:lang w:val="en-GB"/>
              </w:rPr>
            </w:pPr>
            <w:r>
              <w:rPr>
                <w:rFonts w:hint="eastAsia" w:asciiTheme="majorEastAsia" w:hAnsiTheme="majorEastAsia" w:eastAsiaTheme="majorEastAsia"/>
                <w:bCs/>
                <w:snapToGrid w:val="0"/>
                <w:kern w:val="0"/>
                <w:lang w:val="en-GB"/>
              </w:rPr>
              <w:t>调整后</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资产合计</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376,003,76</w:t>
            </w:r>
            <w:r>
              <w:rPr>
                <w:rFonts w:asciiTheme="majorEastAsia" w:hAnsiTheme="majorEastAsia" w:eastAsiaTheme="majorEastAsia"/>
                <w:bCs/>
                <w:snapToGrid w:val="0"/>
                <w:color w:val="000000"/>
                <w:kern w:val="0"/>
                <w:lang w:val="en-GB" w:eastAsia="en-US"/>
              </w:rPr>
              <w:t>1</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1,471,666</w:t>
            </w:r>
          </w:p>
        </w:tc>
        <w:tc>
          <w:tcPr>
            <w:tcW w:w="1056"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377,475,42</w:t>
            </w:r>
            <w:r>
              <w:rPr>
                <w:rFonts w:asciiTheme="majorEastAsia" w:hAnsiTheme="majorEastAsia" w:eastAsiaTheme="majorEastAsia"/>
                <w:bCs/>
                <w:snapToGrid w:val="0"/>
                <w:color w:val="000000"/>
                <w:kern w:val="0"/>
                <w:lang w:val="en-GB" w:eastAsia="en-US"/>
              </w:rPr>
              <w:t>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其中：递延所得税资产</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4,594,512</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1,471,666</w:t>
            </w:r>
          </w:p>
        </w:tc>
        <w:tc>
          <w:tcPr>
            <w:tcW w:w="1056"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6,066,178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负债合计</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232,092,493</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1,472,181</w:t>
            </w:r>
          </w:p>
        </w:tc>
        <w:tc>
          <w:tcPr>
            <w:tcW w:w="1056"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233,564,674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其中：递延所得税负债</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8,591,840</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1,472,181</w:t>
            </w:r>
          </w:p>
        </w:tc>
        <w:tc>
          <w:tcPr>
            <w:tcW w:w="1056"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10,064,021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股东权益合计</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143,911,26</w:t>
            </w:r>
            <w:r>
              <w:rPr>
                <w:rFonts w:asciiTheme="majorEastAsia" w:hAnsiTheme="majorEastAsia" w:eastAsiaTheme="majorEastAsia"/>
                <w:bCs/>
                <w:snapToGrid w:val="0"/>
                <w:color w:val="000000"/>
                <w:kern w:val="0"/>
                <w:lang w:val="en-GB" w:eastAsia="en-US"/>
              </w:rPr>
              <w:t>8</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-515</w:t>
            </w:r>
          </w:p>
        </w:tc>
        <w:tc>
          <w:tcPr>
            <w:tcW w:w="1056"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143,910,75</w:t>
            </w:r>
            <w:r>
              <w:rPr>
                <w:rFonts w:asciiTheme="majorEastAsia" w:hAnsiTheme="majorEastAsia" w:eastAsiaTheme="majorEastAsia"/>
                <w:bCs/>
                <w:snapToGrid w:val="0"/>
                <w:color w:val="000000"/>
                <w:kern w:val="0"/>
                <w:lang w:val="en-GB" w:eastAsia="en-US"/>
              </w:rPr>
              <w:t>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其中：未分配利润</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77,237,928</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-79</w:t>
            </w:r>
          </w:p>
        </w:tc>
        <w:tc>
          <w:tcPr>
            <w:tcW w:w="1056"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77,237,849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ind w:firstLine="630" w:firstLineChars="300"/>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少数股东权益</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44,060,551</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-436</w:t>
            </w:r>
          </w:p>
        </w:tc>
        <w:tc>
          <w:tcPr>
            <w:tcW w:w="1056"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44,060,115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所得税费用</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asciiTheme="majorEastAsia" w:hAnsiTheme="majorEastAsia" w:eastAsiaTheme="majorEastAsia"/>
                <w:bCs/>
                <w:snapToGrid w:val="0"/>
                <w:color w:val="000000"/>
                <w:kern w:val="0"/>
                <w:lang w:val="en-GB" w:eastAsia="en-US"/>
              </w:rPr>
            </w:pPr>
            <w:r>
              <w:rPr>
                <w:rFonts w:hint="eastAsia" w:asciiTheme="majorEastAsia" w:hAnsiTheme="majorEastAsia" w:eastAsiaTheme="majorEastAsia"/>
                <w:bCs/>
                <w:snapToGrid w:val="0"/>
                <w:color w:val="000000"/>
                <w:kern w:val="0"/>
                <w:lang w:val="en-GB" w:eastAsia="en-US"/>
              </w:rPr>
              <w:t>16,127,258</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asciiTheme="majorEastAsia" w:hAnsiTheme="majorEastAsia" w:eastAsiaTheme="majorEastAsia"/>
                <w:bCs/>
                <w:snapToGrid w:val="0"/>
                <w:color w:val="000000"/>
                <w:kern w:val="0"/>
                <w:lang w:val="en-GB" w:eastAsia="en-US"/>
              </w:rPr>
            </w:pPr>
            <w:r>
              <w:rPr>
                <w:rFonts w:hint="eastAsia" w:asciiTheme="majorEastAsia" w:hAnsiTheme="majorEastAsia" w:eastAsiaTheme="majorEastAsia"/>
                <w:bCs/>
                <w:snapToGrid w:val="0"/>
                <w:color w:val="000000"/>
                <w:kern w:val="0"/>
                <w:lang w:val="en-GB" w:eastAsia="en-US"/>
              </w:rPr>
              <w:t>-15,176</w:t>
            </w:r>
          </w:p>
        </w:tc>
        <w:tc>
          <w:tcPr>
            <w:tcW w:w="1056"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asciiTheme="majorEastAsia" w:hAnsiTheme="majorEastAsia" w:eastAsiaTheme="majorEastAsia"/>
                <w:bCs/>
                <w:snapToGrid w:val="0"/>
                <w:color w:val="000000"/>
                <w:kern w:val="0"/>
                <w:lang w:val="en-GB" w:eastAsia="en-US"/>
              </w:rPr>
            </w:pPr>
            <w:r>
              <w:rPr>
                <w:rFonts w:hint="eastAsia" w:asciiTheme="majorEastAsia" w:hAnsiTheme="majorEastAsia" w:eastAsiaTheme="majorEastAsia"/>
                <w:bCs/>
                <w:snapToGrid w:val="0"/>
                <w:color w:val="000000"/>
                <w:kern w:val="0"/>
                <w:lang w:val="en-GB" w:eastAsia="en-US"/>
              </w:rPr>
              <w:t>16,112,082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4"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净利润</w:t>
            </w:r>
          </w:p>
        </w:tc>
        <w:tc>
          <w:tcPr>
            <w:tcW w:w="1054" w:type="pct"/>
            <w:tcBorders>
              <w:top w:val="single" w:color="auto" w:sz="2" w:space="0"/>
              <w:left w:val="single" w:color="auto" w:sz="2" w:space="0"/>
              <w:bottom w:val="single" w:color="auto" w:sz="4" w:space="0"/>
              <w:right w:val="single" w:color="auto" w:sz="2" w:space="0"/>
            </w:tcBorders>
            <w:vAlign w:val="center"/>
          </w:tcPr>
          <w:p>
            <w:pPr>
              <w:widowControl/>
              <w:spacing w:line="360" w:lineRule="exact"/>
              <w:jc w:val="right"/>
              <w:rPr>
                <w:rFonts w:asciiTheme="majorEastAsia" w:hAnsiTheme="majorEastAsia" w:eastAsiaTheme="majorEastAsia"/>
                <w:bCs/>
                <w:snapToGrid w:val="0"/>
                <w:color w:val="000000"/>
                <w:kern w:val="0"/>
                <w:lang w:val="en-GB" w:eastAsia="en-US"/>
              </w:rPr>
            </w:pPr>
            <w:r>
              <w:rPr>
                <w:rFonts w:hint="eastAsia" w:asciiTheme="majorEastAsia" w:hAnsiTheme="majorEastAsia" w:eastAsiaTheme="majorEastAsia"/>
                <w:bCs/>
                <w:snapToGrid w:val="0"/>
                <w:color w:val="000000"/>
                <w:kern w:val="0"/>
                <w:lang w:val="en-GB" w:eastAsia="en-US"/>
              </w:rPr>
              <w:t>46,045,072</w:t>
            </w:r>
          </w:p>
        </w:tc>
        <w:tc>
          <w:tcPr>
            <w:tcW w:w="1054" w:type="pct"/>
            <w:tcBorders>
              <w:top w:val="single" w:color="auto" w:sz="2" w:space="0"/>
              <w:left w:val="single" w:color="auto" w:sz="2" w:space="0"/>
              <w:bottom w:val="single" w:color="auto" w:sz="4" w:space="0"/>
              <w:right w:val="single" w:color="auto" w:sz="2" w:space="0"/>
            </w:tcBorders>
            <w:vAlign w:val="center"/>
          </w:tcPr>
          <w:p>
            <w:pPr>
              <w:widowControl/>
              <w:spacing w:line="360" w:lineRule="exact"/>
              <w:jc w:val="right"/>
              <w:rPr>
                <w:rFonts w:asciiTheme="majorEastAsia" w:hAnsiTheme="majorEastAsia" w:eastAsiaTheme="majorEastAsia"/>
                <w:bCs/>
                <w:snapToGrid w:val="0"/>
                <w:color w:val="000000"/>
                <w:kern w:val="0"/>
                <w:lang w:val="en-GB" w:eastAsia="en-US"/>
              </w:rPr>
            </w:pPr>
            <w:r>
              <w:rPr>
                <w:rFonts w:hint="eastAsia" w:asciiTheme="majorEastAsia" w:hAnsiTheme="majorEastAsia" w:eastAsiaTheme="majorEastAsia"/>
                <w:bCs/>
                <w:snapToGrid w:val="0"/>
                <w:color w:val="000000"/>
                <w:kern w:val="0"/>
                <w:lang w:val="en-GB" w:eastAsia="en-US"/>
              </w:rPr>
              <w:t>-15,176</w:t>
            </w:r>
          </w:p>
        </w:tc>
        <w:tc>
          <w:tcPr>
            <w:tcW w:w="1056" w:type="pct"/>
            <w:tcBorders>
              <w:top w:val="single" w:color="auto" w:sz="2" w:space="0"/>
              <w:left w:val="single" w:color="auto" w:sz="2" w:space="0"/>
              <w:bottom w:val="single" w:color="auto" w:sz="4" w:space="0"/>
              <w:right w:val="single" w:color="auto" w:sz="4" w:space="0"/>
            </w:tcBorders>
            <w:vAlign w:val="center"/>
          </w:tcPr>
          <w:p>
            <w:pPr>
              <w:widowControl/>
              <w:spacing w:line="360" w:lineRule="exact"/>
              <w:jc w:val="right"/>
              <w:rPr>
                <w:rFonts w:asciiTheme="majorEastAsia" w:hAnsiTheme="majorEastAsia" w:eastAsiaTheme="majorEastAsia"/>
                <w:bCs/>
                <w:snapToGrid w:val="0"/>
                <w:color w:val="000000"/>
                <w:kern w:val="0"/>
                <w:lang w:val="en-GB" w:eastAsia="en-US"/>
              </w:rPr>
            </w:pPr>
            <w:r>
              <w:rPr>
                <w:rFonts w:hint="eastAsia" w:asciiTheme="majorEastAsia" w:hAnsiTheme="majorEastAsia" w:eastAsiaTheme="majorEastAsia"/>
                <w:bCs/>
                <w:snapToGrid w:val="0"/>
                <w:color w:val="000000"/>
                <w:kern w:val="0"/>
                <w:lang w:val="en-GB" w:eastAsia="en-US"/>
              </w:rPr>
              <w:t>46,029,896</w:t>
            </w:r>
          </w:p>
        </w:tc>
      </w:tr>
    </w:tbl>
    <w:p>
      <w:pPr>
        <w:widowControl/>
        <w:spacing w:before="156" w:beforeLines="50" w:after="156" w:afterLines="50" w:line="360" w:lineRule="exact"/>
        <w:rPr>
          <w:rFonts w:asciiTheme="majorEastAsia" w:hAnsiTheme="majorEastAsia" w:eastAsiaTheme="majorEastAsia"/>
          <w:snapToGrid w:val="0"/>
          <w:kern w:val="0"/>
          <w:sz w:val="22"/>
          <w:szCs w:val="22"/>
          <w:lang w:val="en-GB"/>
        </w:rPr>
      </w:pPr>
      <w:r>
        <w:rPr>
          <w:rFonts w:hint="eastAsia" w:asciiTheme="majorEastAsia" w:hAnsiTheme="majorEastAsia" w:eastAsiaTheme="majorEastAsia"/>
          <w:snapToGrid w:val="0"/>
          <w:kern w:val="0"/>
          <w:sz w:val="22"/>
          <w:szCs w:val="22"/>
          <w:lang w:val="en-GB"/>
        </w:rPr>
        <w:t>（续表）</w:t>
      </w:r>
    </w:p>
    <w:tbl>
      <w:tblPr>
        <w:tblStyle w:val="948"/>
        <w:tblW w:w="5000"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323"/>
        <w:gridCol w:w="1908"/>
        <w:gridCol w:w="1909"/>
        <w:gridCol w:w="1909"/>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836" w:type="pct"/>
            <w:vMerge w:val="restart"/>
            <w:tcBorders>
              <w:top w:val="single" w:color="auto" w:sz="4" w:space="0"/>
              <w:left w:val="single" w:color="auto" w:sz="4" w:space="0"/>
              <w:bottom w:val="single" w:color="auto" w:sz="2" w:space="0"/>
              <w:right w:val="single" w:color="auto" w:sz="2" w:space="0"/>
            </w:tcBorders>
            <w:vAlign w:val="center"/>
          </w:tcPr>
          <w:p>
            <w:pPr>
              <w:widowControl/>
              <w:spacing w:line="360" w:lineRule="exact"/>
              <w:rPr>
                <w:rFonts w:cs="Arial" w:asciiTheme="majorEastAsia" w:hAnsiTheme="majorEastAsia" w:eastAsiaTheme="majorEastAsia"/>
                <w:bCs/>
                <w:snapToGrid w:val="0"/>
                <w:kern w:val="0"/>
                <w:lang w:val="en-GB"/>
              </w:rPr>
            </w:pPr>
            <w:r>
              <w:rPr>
                <w:rFonts w:hint="eastAsia" w:cs="Arial" w:asciiTheme="majorEastAsia" w:hAnsiTheme="majorEastAsia" w:eastAsiaTheme="majorEastAsia"/>
                <w:bCs/>
                <w:snapToGrid w:val="0"/>
                <w:kern w:val="0"/>
                <w:lang w:val="en-GB"/>
              </w:rPr>
              <w:t>受影响的项目</w:t>
            </w:r>
          </w:p>
        </w:tc>
        <w:tc>
          <w:tcPr>
            <w:tcW w:w="3164" w:type="pct"/>
            <w:gridSpan w:val="3"/>
            <w:tcBorders>
              <w:top w:val="single" w:color="auto" w:sz="4" w:space="0"/>
              <w:left w:val="single" w:color="auto" w:sz="2" w:space="0"/>
              <w:bottom w:val="single" w:color="auto" w:sz="2" w:space="0"/>
              <w:right w:val="single" w:color="auto" w:sz="4" w:space="0"/>
            </w:tcBorders>
            <w:vAlign w:val="center"/>
          </w:tcPr>
          <w:p>
            <w:pPr>
              <w:widowControl/>
              <w:spacing w:line="360" w:lineRule="exact"/>
              <w:jc w:val="center"/>
              <w:rPr>
                <w:rFonts w:cs="Arial" w:asciiTheme="majorEastAsia" w:hAnsiTheme="majorEastAsia" w:eastAsiaTheme="majorEastAsia"/>
                <w:bCs/>
                <w:snapToGrid w:val="0"/>
                <w:kern w:val="0"/>
                <w:lang w:val="en-GB" w:eastAsia="en-US"/>
              </w:rPr>
            </w:pPr>
            <w:r>
              <w:rPr>
                <w:rFonts w:hint="eastAsia" w:cs="Arial" w:asciiTheme="majorEastAsia" w:hAnsiTheme="majorEastAsia" w:eastAsiaTheme="majorEastAsia"/>
                <w:bCs/>
                <w:snapToGrid w:val="0"/>
                <w:kern w:val="0"/>
                <w:lang w:val="en-GB"/>
              </w:rPr>
              <w:t>20</w:t>
            </w:r>
            <w:r>
              <w:rPr>
                <w:rFonts w:cs="Arial" w:asciiTheme="majorEastAsia" w:hAnsiTheme="majorEastAsia" w:eastAsiaTheme="majorEastAsia"/>
                <w:bCs/>
                <w:snapToGrid w:val="0"/>
                <w:kern w:val="0"/>
                <w:lang w:val="en-GB"/>
              </w:rPr>
              <w:t>22</w:t>
            </w:r>
            <w:r>
              <w:rPr>
                <w:rFonts w:hint="eastAsia" w:cs="Arial" w:asciiTheme="majorEastAsia" w:hAnsiTheme="majorEastAsia" w:eastAsiaTheme="majorEastAsia"/>
                <w:bCs/>
                <w:snapToGrid w:val="0"/>
                <w:kern w:val="0"/>
                <w:lang w:val="en-GB"/>
              </w:rPr>
              <w:t>年1月1日</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836" w:type="pct"/>
            <w:vMerge w:val="continue"/>
            <w:tcBorders>
              <w:top w:val="double" w:color="auto" w:sz="4" w:space="0"/>
              <w:left w:val="single" w:color="auto" w:sz="4" w:space="0"/>
              <w:bottom w:val="single" w:color="auto" w:sz="2" w:space="0"/>
              <w:right w:val="single" w:color="auto" w:sz="2" w:space="0"/>
            </w:tcBorders>
            <w:vAlign w:val="center"/>
          </w:tcPr>
          <w:p>
            <w:pPr>
              <w:widowControl/>
              <w:jc w:val="left"/>
              <w:rPr>
                <w:rFonts w:cs="Arial" w:asciiTheme="majorEastAsia" w:hAnsiTheme="majorEastAsia" w:eastAsiaTheme="majorEastAsia"/>
                <w:bCs/>
                <w:snapToGrid w:val="0"/>
                <w:kern w:val="0"/>
                <w:lang w:val="en-GB"/>
              </w:rPr>
            </w:pPr>
          </w:p>
        </w:tc>
        <w:tc>
          <w:tcPr>
            <w:tcW w:w="1054" w:type="pct"/>
            <w:tcBorders>
              <w:top w:val="single" w:color="auto" w:sz="2" w:space="0"/>
              <w:left w:val="single" w:color="auto" w:sz="2" w:space="0"/>
              <w:bottom w:val="single" w:color="auto" w:sz="2" w:space="0"/>
              <w:right w:val="single" w:color="auto" w:sz="2" w:space="0"/>
            </w:tcBorders>
            <w:vAlign w:val="center"/>
          </w:tcPr>
          <w:p>
            <w:pPr>
              <w:widowControl/>
              <w:tabs>
                <w:tab w:val="left" w:pos="800"/>
                <w:tab w:val="left" w:pos="900"/>
              </w:tabs>
              <w:spacing w:line="360" w:lineRule="exact"/>
              <w:jc w:val="center"/>
              <w:rPr>
                <w:rFonts w:asciiTheme="majorEastAsia" w:hAnsiTheme="majorEastAsia" w:eastAsiaTheme="majorEastAsia"/>
                <w:bCs/>
                <w:snapToGrid w:val="0"/>
                <w:kern w:val="0"/>
                <w:lang w:val="en-GB"/>
              </w:rPr>
            </w:pPr>
            <w:r>
              <w:rPr>
                <w:rFonts w:hint="eastAsia" w:asciiTheme="majorEastAsia" w:hAnsiTheme="majorEastAsia" w:eastAsiaTheme="majorEastAsia"/>
                <w:bCs/>
                <w:snapToGrid w:val="0"/>
                <w:kern w:val="0"/>
                <w:lang w:val="en-GB"/>
              </w:rPr>
              <w:t>调整前</w:t>
            </w:r>
          </w:p>
        </w:tc>
        <w:tc>
          <w:tcPr>
            <w:tcW w:w="1055" w:type="pct"/>
            <w:tcBorders>
              <w:top w:val="single" w:color="auto" w:sz="2" w:space="0"/>
              <w:left w:val="single" w:color="auto" w:sz="2" w:space="0"/>
              <w:bottom w:val="single" w:color="auto" w:sz="2" w:space="0"/>
              <w:right w:val="single" w:color="auto" w:sz="2" w:space="0"/>
            </w:tcBorders>
            <w:vAlign w:val="center"/>
          </w:tcPr>
          <w:p>
            <w:pPr>
              <w:widowControl/>
              <w:tabs>
                <w:tab w:val="left" w:pos="800"/>
                <w:tab w:val="left" w:pos="900"/>
              </w:tabs>
              <w:spacing w:line="360" w:lineRule="exact"/>
              <w:jc w:val="center"/>
              <w:rPr>
                <w:rFonts w:asciiTheme="majorEastAsia" w:hAnsiTheme="majorEastAsia" w:eastAsiaTheme="majorEastAsia"/>
                <w:bCs/>
                <w:snapToGrid w:val="0"/>
                <w:kern w:val="0"/>
                <w:lang w:val="en-GB"/>
              </w:rPr>
            </w:pPr>
            <w:r>
              <w:rPr>
                <w:rFonts w:hint="eastAsia" w:asciiTheme="majorEastAsia" w:hAnsiTheme="majorEastAsia" w:eastAsiaTheme="majorEastAsia"/>
                <w:bCs/>
                <w:snapToGrid w:val="0"/>
                <w:kern w:val="0"/>
                <w:lang w:val="en-GB"/>
              </w:rPr>
              <w:t>调整金额</w:t>
            </w:r>
          </w:p>
        </w:tc>
        <w:tc>
          <w:tcPr>
            <w:tcW w:w="1055" w:type="pct"/>
            <w:tcBorders>
              <w:top w:val="single" w:color="auto" w:sz="2" w:space="0"/>
              <w:left w:val="single" w:color="auto" w:sz="2" w:space="0"/>
              <w:bottom w:val="single" w:color="auto" w:sz="2" w:space="0"/>
              <w:right w:val="single" w:color="auto" w:sz="4" w:space="0"/>
            </w:tcBorders>
            <w:vAlign w:val="center"/>
          </w:tcPr>
          <w:p>
            <w:pPr>
              <w:widowControl/>
              <w:tabs>
                <w:tab w:val="left" w:pos="800"/>
                <w:tab w:val="left" w:pos="900"/>
              </w:tabs>
              <w:spacing w:line="360" w:lineRule="exact"/>
              <w:jc w:val="center"/>
              <w:rPr>
                <w:rFonts w:asciiTheme="majorEastAsia" w:hAnsiTheme="majorEastAsia" w:eastAsiaTheme="majorEastAsia"/>
                <w:bCs/>
                <w:snapToGrid w:val="0"/>
                <w:kern w:val="0"/>
                <w:lang w:val="en-GB"/>
              </w:rPr>
            </w:pPr>
            <w:r>
              <w:rPr>
                <w:rFonts w:hint="eastAsia" w:asciiTheme="majorEastAsia" w:hAnsiTheme="majorEastAsia" w:eastAsiaTheme="majorEastAsia"/>
                <w:bCs/>
                <w:snapToGrid w:val="0"/>
                <w:kern w:val="0"/>
                <w:lang w:val="en-GB"/>
              </w:rPr>
              <w:t>调整后</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资产合计</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382,473,925</w:t>
            </w:r>
          </w:p>
        </w:tc>
        <w:tc>
          <w:tcPr>
            <w:tcW w:w="1055"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555,381</w:t>
            </w:r>
          </w:p>
        </w:tc>
        <w:tc>
          <w:tcPr>
            <w:tcW w:w="1055"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383,029,306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其中：递延所得税资产</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4,727,824</w:t>
            </w:r>
          </w:p>
        </w:tc>
        <w:tc>
          <w:tcPr>
            <w:tcW w:w="1055"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555,381</w:t>
            </w:r>
          </w:p>
        </w:tc>
        <w:tc>
          <w:tcPr>
            <w:tcW w:w="1055"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5,283,205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负债合计</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271,785,292</w:t>
            </w:r>
          </w:p>
        </w:tc>
        <w:tc>
          <w:tcPr>
            <w:tcW w:w="1055"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571,073</w:t>
            </w:r>
          </w:p>
        </w:tc>
        <w:tc>
          <w:tcPr>
            <w:tcW w:w="1055"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272,356,365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其中：递延所得税负债</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9,107,510</w:t>
            </w:r>
          </w:p>
        </w:tc>
        <w:tc>
          <w:tcPr>
            <w:tcW w:w="1055"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571,073</w:t>
            </w:r>
          </w:p>
        </w:tc>
        <w:tc>
          <w:tcPr>
            <w:tcW w:w="1055"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9,678,58</w:t>
            </w:r>
            <w:r>
              <w:rPr>
                <w:rFonts w:asciiTheme="majorEastAsia" w:hAnsiTheme="majorEastAsia" w:eastAsiaTheme="majorEastAsia"/>
                <w:bCs/>
                <w:snapToGrid w:val="0"/>
                <w:color w:val="000000"/>
                <w:kern w:val="0"/>
                <w:lang w:val="en-GB" w:eastAsia="en-US"/>
              </w:rPr>
              <w:t>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股东权益合计</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110,688,63</w:t>
            </w:r>
            <w:r>
              <w:rPr>
                <w:rFonts w:asciiTheme="majorEastAsia" w:hAnsiTheme="majorEastAsia" w:eastAsiaTheme="majorEastAsia"/>
                <w:bCs/>
                <w:snapToGrid w:val="0"/>
                <w:color w:val="000000"/>
                <w:kern w:val="0"/>
                <w:lang w:val="en-GB" w:eastAsia="en-US"/>
              </w:rPr>
              <w:t>2</w:t>
            </w:r>
          </w:p>
        </w:tc>
        <w:tc>
          <w:tcPr>
            <w:tcW w:w="1055"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-15,691</w:t>
            </w:r>
          </w:p>
        </w:tc>
        <w:tc>
          <w:tcPr>
            <w:tcW w:w="1055"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110,672,94</w:t>
            </w:r>
            <w:r>
              <w:rPr>
                <w:rFonts w:asciiTheme="majorEastAsia" w:hAnsiTheme="majorEastAsia" w:eastAsiaTheme="majorEastAsia"/>
                <w:bCs/>
                <w:snapToGrid w:val="0"/>
                <w:color w:val="000000"/>
                <w:kern w:val="0"/>
                <w:lang w:val="en-GB" w:eastAsia="en-US"/>
              </w:rPr>
              <w:t>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2" w:space="0"/>
              <w:right w:val="single" w:color="auto" w:sz="2" w:space="0"/>
            </w:tcBorders>
            <w:vAlign w:val="center"/>
          </w:tcPr>
          <w:p>
            <w:pPr>
              <w:widowControl/>
              <w:spacing w:line="360" w:lineRule="exact"/>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其中：未分配利润</w:t>
            </w:r>
          </w:p>
        </w:tc>
        <w:tc>
          <w:tcPr>
            <w:tcW w:w="1054"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54,068,497</w:t>
            </w:r>
          </w:p>
        </w:tc>
        <w:tc>
          <w:tcPr>
            <w:tcW w:w="1055" w:type="pct"/>
            <w:tcBorders>
              <w:top w:val="single" w:color="auto" w:sz="2" w:space="0"/>
              <w:left w:val="single" w:color="auto" w:sz="2" w:space="0"/>
              <w:bottom w:val="single" w:color="auto" w:sz="2"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-10,763</w:t>
            </w:r>
          </w:p>
        </w:tc>
        <w:tc>
          <w:tcPr>
            <w:tcW w:w="1055" w:type="pct"/>
            <w:tcBorders>
              <w:top w:val="single" w:color="auto" w:sz="2" w:space="0"/>
              <w:left w:val="single" w:color="auto" w:sz="2" w:space="0"/>
              <w:bottom w:val="single" w:color="auto" w:sz="2"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54,057,734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36" w:type="pct"/>
            <w:tcBorders>
              <w:top w:val="single" w:color="auto" w:sz="2" w:space="0"/>
              <w:left w:val="single" w:color="auto" w:sz="4" w:space="0"/>
              <w:bottom w:val="single" w:color="auto" w:sz="4" w:space="0"/>
              <w:right w:val="single" w:color="auto" w:sz="2" w:space="0"/>
            </w:tcBorders>
            <w:vAlign w:val="center"/>
          </w:tcPr>
          <w:p>
            <w:pPr>
              <w:widowControl/>
              <w:spacing w:line="360" w:lineRule="exact"/>
              <w:ind w:firstLine="630" w:firstLineChars="300"/>
              <w:rPr>
                <w:rFonts w:cs="宋体" w:asciiTheme="majorEastAsia" w:hAnsiTheme="majorEastAsia" w:eastAsiaTheme="majorEastAsia"/>
                <w:bCs/>
                <w:snapToGrid w:val="0"/>
                <w:color w:val="000000"/>
                <w:kern w:val="0"/>
              </w:rPr>
            </w:pPr>
            <w:r>
              <w:rPr>
                <w:rFonts w:hint="eastAsia" w:cs="宋体" w:asciiTheme="majorEastAsia" w:hAnsiTheme="majorEastAsia" w:eastAsiaTheme="majorEastAsia"/>
                <w:bCs/>
                <w:snapToGrid w:val="0"/>
                <w:color w:val="000000"/>
                <w:kern w:val="0"/>
              </w:rPr>
              <w:t>少数股东权益</w:t>
            </w:r>
          </w:p>
        </w:tc>
        <w:tc>
          <w:tcPr>
            <w:tcW w:w="1054" w:type="pct"/>
            <w:tcBorders>
              <w:top w:val="single" w:color="auto" w:sz="2" w:space="0"/>
              <w:left w:val="single" w:color="auto" w:sz="2" w:space="0"/>
              <w:bottom w:val="single" w:color="auto" w:sz="4"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38,287,210</w:t>
            </w:r>
          </w:p>
        </w:tc>
        <w:tc>
          <w:tcPr>
            <w:tcW w:w="1055" w:type="pct"/>
            <w:tcBorders>
              <w:top w:val="single" w:color="auto" w:sz="2" w:space="0"/>
              <w:left w:val="single" w:color="auto" w:sz="2" w:space="0"/>
              <w:bottom w:val="single" w:color="auto" w:sz="4" w:space="0"/>
              <w:right w:val="single" w:color="auto" w:sz="2"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-4,928</w:t>
            </w:r>
          </w:p>
        </w:tc>
        <w:tc>
          <w:tcPr>
            <w:tcW w:w="1055" w:type="pct"/>
            <w:tcBorders>
              <w:top w:val="single" w:color="auto" w:sz="2" w:space="0"/>
              <w:left w:val="single" w:color="auto" w:sz="2" w:space="0"/>
              <w:bottom w:val="single" w:color="auto" w:sz="4" w:space="0"/>
              <w:right w:val="single" w:color="auto" w:sz="4" w:space="0"/>
            </w:tcBorders>
            <w:vAlign w:val="center"/>
          </w:tcPr>
          <w:p>
            <w:pPr>
              <w:widowControl/>
              <w:spacing w:line="360" w:lineRule="exact"/>
              <w:jc w:val="right"/>
              <w:rPr>
                <w:rFonts w:cs="宋体" w:asciiTheme="majorEastAsia" w:hAnsiTheme="majorEastAsia" w:eastAsiaTheme="majorEastAsia"/>
                <w:bCs/>
                <w:snapToGrid w:val="0"/>
                <w:color w:val="000000"/>
                <w:kern w:val="0"/>
              </w:rPr>
            </w:pPr>
            <w:r>
              <w:rPr>
                <w:rFonts w:hint="eastAsia" w:asciiTheme="majorEastAsia" w:hAnsiTheme="majorEastAsia" w:eastAsiaTheme="majorEastAsia"/>
                <w:bCs/>
                <w:snapToGrid w:val="0"/>
                <w:color w:val="000000"/>
                <w:kern w:val="0"/>
                <w:lang w:val="en-GB" w:eastAsia="en-US"/>
              </w:rPr>
              <w:t>38,282,282</w:t>
            </w:r>
          </w:p>
        </w:tc>
      </w:tr>
    </w:tbl>
    <w:p>
      <w:pPr>
        <w:pStyle w:val="501"/>
      </w:pPr>
    </w:p>
    <w:p>
      <w:pPr>
        <w:pStyle w:val="505"/>
        <w:numPr>
          <w:ilvl w:val="3"/>
          <w:numId w:val="67"/>
        </w:numPr>
        <w:ind w:left="426" w:hanging="426"/>
      </w:pPr>
      <w:r>
        <w:rPr>
          <w:rFonts w:hint="eastAsia"/>
        </w:rPr>
        <w:t>重要</w:t>
      </w:r>
      <w:r>
        <w:t>会计估计变更</w:t>
      </w:r>
    </w:p>
    <w:sdt>
      <w:sdtPr>
        <w:alias w:val="是否适用：重要会计估计变更[双击切换]"/>
        <w:tag w:val="_GBC_902f08bd36774074945386d2d1f9b67d"/>
        <w:id w:val="-1825970838"/>
        <w:lock w:val="contentLocked"/>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会计估计的变更的其他说明"/>
        <w:tag w:val="_GBC_a41b27e651e046789ab16161a8619783"/>
        <w:id w:val="1873886209"/>
      </w:sdtPr>
      <w:sdtContent>
        <w:p>
          <w:pPr>
            <w:ind w:firstLine="420" w:firstLineChars="200"/>
          </w:pPr>
          <w:r>
            <w:rPr>
              <w:rFonts w:hint="eastAsia"/>
            </w:rPr>
            <w:t>本报告期本集团未发生重大会计估计变更事项。</w:t>
          </w:r>
        </w:p>
      </w:sdtContent>
    </w:sdt>
    <w:p>
      <w:pPr>
        <w:pStyle w:val="501"/>
      </w:pPr>
      <w:bookmarkStart w:id="216" w:name="_Hlk10465969"/>
      <w:bookmarkEnd w:id="216"/>
    </w:p>
    <w:p>
      <w:pPr>
        <w:pStyle w:val="505"/>
        <w:numPr>
          <w:ilvl w:val="3"/>
          <w:numId w:val="67"/>
        </w:numPr>
        <w:ind w:left="426" w:hanging="426"/>
        <w:rPr>
          <w:rFonts w:ascii="宋体" w:hAnsi="宋体" w:eastAsia="宋体"/>
        </w:rPr>
      </w:pPr>
      <w:r>
        <w:rPr>
          <w:rFonts w:ascii="宋体" w:hAnsi="宋体" w:eastAsia="宋体"/>
        </w:rPr>
        <w:t>2023年</w:t>
      </w:r>
      <w:r>
        <w:rPr>
          <w:rFonts w:hint="eastAsia" w:ascii="宋体" w:hAnsi="宋体" w:eastAsia="宋体"/>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316839051"/>
        <w:placeholder>
          <w:docPart w:val="GBC22222222222222222222222222222"/>
        </w:placeholder>
      </w:sdtPr>
      <w:sdtEndPr>
        <w:rPr>
          <w:rFonts w:hint="eastAsia"/>
        </w:rPr>
      </w:sdtEndPr>
      <w:sdtContent>
        <w:p>
          <w:pPr>
            <w:pStyle w:val="531"/>
          </w:pPr>
          <w:bookmarkStart w:id="217" w:name="_Hlk2410024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7"/>
    <w:p>
      <w:pPr>
        <w:pStyle w:val="501"/>
      </w:pPr>
    </w:p>
    <w:p>
      <w:pPr>
        <w:pStyle w:val="504"/>
        <w:numPr>
          <w:ilvl w:val="0"/>
          <w:numId w:val="61"/>
        </w:numPr>
        <w:ind w:left="567"/>
      </w:pPr>
      <w:r>
        <w:rPr>
          <w:rFonts w:hint="eastAsia"/>
        </w:rPr>
        <w:t>其他</w:t>
      </w:r>
    </w:p>
    <w:sdt>
      <w:sdtPr>
        <w:rPr>
          <w:rFonts w:hint="eastAsia"/>
        </w:rPr>
        <w:alias w:val="是否适用：公司主要会计政策、会计估计和前期差错的其他说明[双击切换]"/>
        <w:tag w:val="_GBC_bcb348c2b015461e9de30ce69ad888ae"/>
        <w:id w:val="1523971163"/>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3"/>
        <w:numPr>
          <w:ilvl w:val="0"/>
          <w:numId w:val="57"/>
        </w:numPr>
        <w:ind w:hanging="136"/>
        <w:rPr>
          <w:rFonts w:ascii="宋体" w:hAnsi="宋体"/>
        </w:rPr>
      </w:pPr>
      <w:r>
        <w:rPr>
          <w:rFonts w:hint="eastAsia" w:ascii="宋体" w:hAnsi="宋体"/>
        </w:rPr>
        <w:t>税项</w:t>
      </w:r>
    </w:p>
    <w:p>
      <w:pPr>
        <w:pStyle w:val="504"/>
        <w:numPr>
          <w:ilvl w:val="0"/>
          <w:numId w:val="68"/>
        </w:numPr>
        <w:tabs>
          <w:tab w:val="left" w:pos="546"/>
        </w:tabs>
      </w:pPr>
      <w:r>
        <w:t>主要税种及税率</w:t>
      </w:r>
    </w:p>
    <w:p>
      <w:pPr>
        <w:pStyle w:val="531"/>
      </w:pPr>
      <w:r>
        <w:t>主要税种及税率</w:t>
      </w:r>
      <w:r>
        <w:rPr>
          <w:rFonts w:hint="eastAsia"/>
        </w:rPr>
        <w:t>情况</w:t>
      </w:r>
    </w:p>
    <w:sdt>
      <w:sdtPr>
        <w:alias w:val="是否适用：主要税种及税率情况 [双击切换]"/>
        <w:tag w:val="_GBC_f900f926144b41b9ba020b5a24aff3c0"/>
        <w:id w:val="-120717193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firstLine="420" w:firstLineChars="200"/>
        <w:rPr>
          <w:rFonts w:ascii="宋体" w:hAnsi="宋体"/>
        </w:rPr>
      </w:pPr>
      <w:r>
        <w:rPr>
          <w:rFonts w:hint="eastAsia" w:ascii="宋体" w:hAnsi="宋体"/>
        </w:rPr>
        <w:t>（1）本公司及中国境内子公司税率如下：</w:t>
      </w:r>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3607"/>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758c089ae1414f99b1cc36321c29a1"/>
            <w:id w:val="2127891897"/>
          </w:sdtPr>
          <w:sdtContent>
            <w:tc>
              <w:tcPr>
                <w:tcW w:w="1282" w:type="pct"/>
                <w:vAlign w:val="center"/>
              </w:tcPr>
              <w:p>
                <w:pPr>
                  <w:jc w:val="center"/>
                </w:pPr>
                <w:r>
                  <w:t>税种</w:t>
                </w:r>
              </w:p>
            </w:tc>
          </w:sdtContent>
        </w:sdt>
        <w:sdt>
          <w:sdtPr>
            <w:tag w:val="_PLD_0e1599c84a4d47cc8f6f9b3d3069a1bd"/>
            <w:id w:val="-905374807"/>
          </w:sdtPr>
          <w:sdtContent>
            <w:tc>
              <w:tcPr>
                <w:tcW w:w="1993" w:type="pct"/>
                <w:vAlign w:val="center"/>
              </w:tcPr>
              <w:p>
                <w:pPr>
                  <w:jc w:val="center"/>
                </w:pPr>
                <w:r>
                  <w:t>计税依据</w:t>
                </w:r>
              </w:p>
            </w:tc>
          </w:sdtContent>
        </w:sdt>
        <w:sdt>
          <w:sdtPr>
            <w:tag w:val="_PLD_74e07bcec6714b078c64caa53447462a"/>
            <w:id w:val="-2124762244"/>
          </w:sdtPr>
          <w:sdtContent>
            <w:tc>
              <w:tcPr>
                <w:tcW w:w="1725" w:type="pct"/>
                <w:vAlign w:val="center"/>
              </w:tcPr>
              <w:p>
                <w:pPr>
                  <w:jc w:val="center"/>
                </w:pPr>
                <w:r>
                  <w:t>税率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hint="eastAsia" w:asciiTheme="majorEastAsia" w:hAnsiTheme="majorEastAsia" w:eastAsiaTheme="majorEastAsia"/>
              </w:rPr>
              <w:t>增值税</w:t>
            </w:r>
          </w:p>
        </w:tc>
        <w:tc>
          <w:tcPr>
            <w:tcW w:w="1993" w:type="pct"/>
            <w:vAlign w:val="center"/>
          </w:tcPr>
          <w:p>
            <w:pPr>
              <w:pStyle w:val="501"/>
            </w:pPr>
            <w:r>
              <w:rPr>
                <w:rFonts w:hint="eastAsia" w:asciiTheme="majorEastAsia" w:hAnsiTheme="majorEastAsia" w:eastAsiaTheme="majorEastAsia"/>
              </w:rPr>
              <w:t>按税法规定计算的销售货物和应税劳务收入为基础计算销项税额，在扣除当期允许抵扣的进项税额后，差额部分为应缴增值税</w:t>
            </w:r>
          </w:p>
        </w:tc>
        <w:tc>
          <w:tcPr>
            <w:tcW w:w="1725" w:type="pct"/>
            <w:vAlign w:val="center"/>
          </w:tcPr>
          <w:p>
            <w:pPr>
              <w:pStyle w:val="501"/>
            </w:pPr>
            <w:r>
              <w:rPr>
                <w:rFonts w:hint="eastAsia" w:asciiTheme="majorEastAsia" w:hAnsiTheme="majorEastAsia" w:eastAsiaTheme="majorEastAsia"/>
              </w:rPr>
              <w:t>3%、5%、6%、9%、13%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hint="eastAsia" w:asciiTheme="majorEastAsia" w:hAnsiTheme="majorEastAsia" w:eastAsiaTheme="majorEastAsia"/>
              </w:rPr>
              <w:t>城市维护建设税</w:t>
            </w:r>
          </w:p>
        </w:tc>
        <w:tc>
          <w:tcPr>
            <w:tcW w:w="1993" w:type="pct"/>
            <w:vAlign w:val="center"/>
          </w:tcPr>
          <w:p>
            <w:pPr>
              <w:pStyle w:val="501"/>
            </w:pPr>
            <w:r>
              <w:rPr>
                <w:rFonts w:hint="eastAsia" w:asciiTheme="majorEastAsia" w:hAnsiTheme="majorEastAsia" w:eastAsiaTheme="majorEastAsia"/>
              </w:rPr>
              <w:t>按实际缴纳增值税、消费税计征</w:t>
            </w:r>
          </w:p>
        </w:tc>
        <w:tc>
          <w:tcPr>
            <w:tcW w:w="1725" w:type="pct"/>
            <w:vAlign w:val="center"/>
          </w:tcPr>
          <w:p>
            <w:pPr>
              <w:pStyle w:val="501"/>
            </w:pPr>
            <w:r>
              <w:rPr>
                <w:rFonts w:asciiTheme="majorEastAsia" w:hAnsiTheme="majorEastAsia" w:eastAsiaTheme="majorEastAsia"/>
              </w:rPr>
              <w:t>1</w:t>
            </w:r>
            <w:r>
              <w:rPr>
                <w:rFonts w:hint="eastAsia" w:asciiTheme="majorEastAsia" w:hAnsiTheme="majorEastAsia" w:eastAsiaTheme="majorEastAsia"/>
              </w:rPr>
              <w:t>%、5%、</w:t>
            </w:r>
            <w:r>
              <w:rPr>
                <w:rFonts w:asciiTheme="majorEastAsia" w:hAnsiTheme="majorEastAsia" w:eastAsiaTheme="majorEastAsia"/>
              </w:rPr>
              <w:t>7%</w:t>
            </w:r>
          </w:p>
        </w:tc>
      </w:tr>
      <w:sdt>
        <w:sdtPr>
          <w:rPr>
            <w:rFonts w:asciiTheme="minorHAnsi" w:hAnsiTheme="minorHAnsi" w:eastAsiaTheme="minorEastAsia" w:cstheme="minorBidi"/>
            <w14:ligatures w14:val="standardContextual"/>
          </w:rPr>
          <w:alias w:val="其他主要税种及税率"/>
          <w:tag w:val="_GBC_b4f10406bc8741879c7bff390b72f9b9"/>
          <w:id w:val="164064077"/>
        </w:sdtPr>
        <w:sdtEndPr>
          <w:rPr>
            <w:rFonts w:asciiTheme="minorHAnsi" w:hAnsiTheme="minorHAnsi" w:eastAsiaTheme="minorEastAsia" w:cstheme="minorBidi"/>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hint="eastAsia" w:asciiTheme="majorEastAsia" w:hAnsiTheme="majorEastAsia" w:eastAsiaTheme="majorEastAsia"/>
                  </w:rPr>
                  <w:t>教育费附加</w:t>
                </w:r>
              </w:p>
            </w:tc>
            <w:tc>
              <w:tcPr>
                <w:tcW w:w="1993" w:type="pct"/>
                <w:vAlign w:val="center"/>
              </w:tcPr>
              <w:p>
                <w:pPr>
                  <w:pStyle w:val="501"/>
                </w:pPr>
                <w:r>
                  <w:rPr>
                    <w:rFonts w:hint="eastAsia" w:asciiTheme="majorEastAsia" w:hAnsiTheme="majorEastAsia" w:eastAsiaTheme="majorEastAsia"/>
                  </w:rPr>
                  <w:t>按实际缴纳增值税、消费税计征</w:t>
                </w:r>
              </w:p>
            </w:tc>
            <w:tc>
              <w:tcPr>
                <w:tcW w:w="1725" w:type="pct"/>
                <w:vAlign w:val="center"/>
              </w:tcPr>
              <w:p>
                <w:pPr>
                  <w:pStyle w:val="501"/>
                </w:pPr>
                <w:r>
                  <w:rPr>
                    <w:rFonts w:hint="eastAsia" w:asciiTheme="majorEastAsia" w:hAnsiTheme="majorEastAsia" w:eastAsiaTheme="majorEastAsia"/>
                  </w:rPr>
                  <w:t>3%</w:t>
                </w:r>
              </w:p>
            </w:tc>
          </w:tr>
        </w:sdtContent>
      </w:sdt>
      <w:sdt>
        <w:sdtPr>
          <w:rPr>
            <w:rFonts w:asciiTheme="minorHAnsi" w:hAnsiTheme="minorHAnsi" w:eastAsiaTheme="minorEastAsia" w:cstheme="minorBidi"/>
            <w14:ligatures w14:val="standardContextual"/>
          </w:rPr>
          <w:alias w:val="其他主要税种及税率"/>
          <w:tag w:val="_GBC_b4f10406bc8741879c7bff390b72f9b9"/>
          <w:id w:val="-994946377"/>
        </w:sdtPr>
        <w:sdtEndPr>
          <w:rPr>
            <w:rFonts w:asciiTheme="minorHAnsi" w:hAnsiTheme="minorHAnsi" w:eastAsiaTheme="minorEastAsia" w:cstheme="minorBidi"/>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hint="eastAsia" w:asciiTheme="majorEastAsia" w:hAnsiTheme="majorEastAsia" w:eastAsiaTheme="majorEastAsia"/>
                  </w:rPr>
                  <w:t>资源税</w:t>
                </w:r>
              </w:p>
            </w:tc>
            <w:tc>
              <w:tcPr>
                <w:tcW w:w="1993" w:type="pct"/>
                <w:vAlign w:val="center"/>
              </w:tcPr>
              <w:p>
                <w:pPr>
                  <w:pStyle w:val="501"/>
                </w:pPr>
                <w:r>
                  <w:rPr>
                    <w:rFonts w:hint="eastAsia" w:asciiTheme="majorEastAsia" w:hAnsiTheme="majorEastAsia" w:eastAsiaTheme="majorEastAsia"/>
                  </w:rPr>
                  <w:t>按煤炭销售金额计征</w:t>
                </w:r>
              </w:p>
            </w:tc>
            <w:tc>
              <w:tcPr>
                <w:tcW w:w="1725" w:type="pct"/>
                <w:vAlign w:val="center"/>
              </w:tcPr>
              <w:p>
                <w:pPr>
                  <w:pStyle w:val="501"/>
                </w:pPr>
                <w:r>
                  <w:rPr>
                    <w:rFonts w:hint="eastAsia" w:asciiTheme="majorEastAsia" w:hAnsiTheme="majorEastAsia" w:eastAsiaTheme="majorEastAsia"/>
                  </w:rPr>
                  <w:t>3.5%、4%、5%、6%、8%、9%、9.5%、10%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hint="eastAsia" w:asciiTheme="majorEastAsia" w:hAnsiTheme="majorEastAsia" w:eastAsiaTheme="majorEastAsia"/>
              </w:rPr>
              <w:t>企业所得税</w:t>
            </w:r>
          </w:p>
        </w:tc>
        <w:tc>
          <w:tcPr>
            <w:tcW w:w="1993" w:type="pct"/>
            <w:vAlign w:val="center"/>
          </w:tcPr>
          <w:p>
            <w:pPr>
              <w:pStyle w:val="501"/>
            </w:pPr>
            <w:r>
              <w:rPr>
                <w:rFonts w:hint="eastAsia" w:asciiTheme="majorEastAsia" w:hAnsiTheme="majorEastAsia" w:eastAsiaTheme="majorEastAsia"/>
              </w:rPr>
              <w:t>应纳税所得额</w:t>
            </w:r>
          </w:p>
        </w:tc>
        <w:tc>
          <w:tcPr>
            <w:tcW w:w="1725" w:type="pct"/>
            <w:vAlign w:val="center"/>
          </w:tcPr>
          <w:p>
            <w:pPr>
              <w:pStyle w:val="501"/>
            </w:pPr>
            <w:r>
              <w:rPr>
                <w:rFonts w:hint="eastAsia" w:asciiTheme="majorEastAsia" w:hAnsiTheme="majorEastAsia" w:eastAsiaTheme="majorEastAsia"/>
              </w:rPr>
              <w:t>25%</w:t>
            </w:r>
          </w:p>
        </w:tc>
      </w:tr>
      <w:sdt>
        <w:sdtPr>
          <w:rPr>
            <w:rFonts w:asciiTheme="minorHAnsi" w:hAnsiTheme="minorHAnsi" w:eastAsiaTheme="minorEastAsia" w:cstheme="minorBidi"/>
            <w14:ligatures w14:val="standardContextual"/>
          </w:rPr>
          <w:alias w:val="其他主要税种及税率"/>
          <w:tag w:val="_GBC_b4f10406bc8741879c7bff390b72f9b9"/>
          <w:id w:val="-1850554469"/>
        </w:sdtPr>
        <w:sdtEndPr>
          <w:rPr>
            <w:rFonts w:asciiTheme="minorHAnsi" w:hAnsiTheme="minorHAnsi" w:eastAsiaTheme="minorEastAsia" w:cstheme="minorBidi"/>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hint="eastAsia" w:asciiTheme="majorEastAsia" w:hAnsiTheme="majorEastAsia" w:eastAsiaTheme="majorEastAsia"/>
                  </w:rPr>
                  <w:t>环保税</w:t>
                </w:r>
              </w:p>
            </w:tc>
            <w:tc>
              <w:tcPr>
                <w:tcW w:w="1993" w:type="pct"/>
                <w:vAlign w:val="center"/>
              </w:tcPr>
              <w:p>
                <w:pPr>
                  <w:pStyle w:val="501"/>
                </w:pPr>
                <w:r>
                  <w:rPr>
                    <w:rFonts w:hint="eastAsia" w:asciiTheme="majorEastAsia" w:hAnsiTheme="majorEastAsia" w:eastAsiaTheme="majorEastAsia"/>
                  </w:rPr>
                  <w:t>按实际排污量</w:t>
                </w:r>
              </w:p>
            </w:tc>
            <w:tc>
              <w:tcPr>
                <w:tcW w:w="1725" w:type="pct"/>
                <w:vAlign w:val="center"/>
              </w:tcPr>
              <w:p>
                <w:pPr>
                  <w:pStyle w:val="501"/>
                </w:pPr>
                <w:r>
                  <w:rPr>
                    <w:rFonts w:hint="eastAsia" w:asciiTheme="majorEastAsia" w:hAnsiTheme="majorEastAsia" w:eastAsiaTheme="majorEastAsia"/>
                  </w:rPr>
                  <w:t>1.2至6元/污染当量</w:t>
                </w:r>
              </w:p>
            </w:tc>
          </w:tr>
        </w:sdtContent>
      </w:sdt>
      <w:sdt>
        <w:sdtPr>
          <w:rPr>
            <w:rFonts w:asciiTheme="minorHAnsi" w:hAnsiTheme="minorHAnsi" w:eastAsiaTheme="minorEastAsia" w:cstheme="minorBidi"/>
            <w14:ligatures w14:val="standardContextual"/>
          </w:rPr>
          <w:alias w:val="其他主要税种及税率"/>
          <w:tag w:val="_GBC_b4f10406bc8741879c7bff390b72f9b9"/>
          <w:id w:val="-486705389"/>
        </w:sdtPr>
        <w:sdtEndPr>
          <w:rPr>
            <w:rFonts w:asciiTheme="minorHAnsi" w:hAnsiTheme="minorHAnsi" w:eastAsiaTheme="minorEastAsia" w:cstheme="minorBidi"/>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hint="eastAsia" w:asciiTheme="majorEastAsia" w:hAnsiTheme="majorEastAsia" w:eastAsiaTheme="majorEastAsia"/>
                  </w:rPr>
                  <w:t>水资源税</w:t>
                </w:r>
              </w:p>
            </w:tc>
            <w:tc>
              <w:tcPr>
                <w:tcW w:w="1993" w:type="pct"/>
                <w:vAlign w:val="center"/>
              </w:tcPr>
              <w:p>
                <w:pPr>
                  <w:pStyle w:val="501"/>
                </w:pPr>
                <w:r>
                  <w:rPr>
                    <w:rFonts w:hint="eastAsia" w:asciiTheme="majorEastAsia" w:hAnsiTheme="majorEastAsia" w:eastAsiaTheme="majorEastAsia"/>
                  </w:rPr>
                  <w:t>按实际取水量或排水量</w:t>
                </w:r>
              </w:p>
            </w:tc>
            <w:tc>
              <w:tcPr>
                <w:tcW w:w="1725" w:type="pct"/>
                <w:vAlign w:val="center"/>
              </w:tcPr>
              <w:p>
                <w:pPr>
                  <w:pStyle w:val="501"/>
                </w:pPr>
                <w:r>
                  <w:rPr>
                    <w:rFonts w:asciiTheme="majorEastAsia" w:hAnsiTheme="majorEastAsia" w:eastAsiaTheme="majorEastAsia"/>
                  </w:rPr>
                  <w:t>0.4</w:t>
                </w:r>
                <w:r>
                  <w:rPr>
                    <w:rFonts w:hint="eastAsia" w:asciiTheme="majorEastAsia" w:hAnsiTheme="majorEastAsia" w:eastAsiaTheme="majorEastAsia"/>
                  </w:rPr>
                  <w:t>至</w:t>
                </w:r>
                <w:r>
                  <w:rPr>
                    <w:rFonts w:asciiTheme="majorEastAsia" w:hAnsiTheme="majorEastAsia" w:eastAsiaTheme="majorEastAsia"/>
                  </w:rPr>
                  <w:t>5</w:t>
                </w:r>
                <w:r>
                  <w:rPr>
                    <w:rFonts w:hint="eastAsia" w:asciiTheme="majorEastAsia" w:hAnsiTheme="majorEastAsia" w:eastAsiaTheme="majorEastAsia"/>
                  </w:rPr>
                  <w:t>元/立方米</w:t>
                </w:r>
              </w:p>
            </w:tc>
          </w:tr>
        </w:sdtContent>
      </w:sdt>
      <w:sdt>
        <w:sdtPr>
          <w:rPr>
            <w:rFonts w:asciiTheme="minorHAnsi" w:hAnsiTheme="minorHAnsi" w:eastAsiaTheme="minorEastAsia" w:cstheme="minorBidi"/>
            <w14:ligatures w14:val="standardContextual"/>
          </w:rPr>
          <w:alias w:val="其他主要税种及税率"/>
          <w:tag w:val="_GBC_b4f10406bc8741879c7bff390b72f9b9"/>
          <w:id w:val="2009870228"/>
        </w:sdtPr>
        <w:sdtEndPr>
          <w:rPr>
            <w:rFonts w:asciiTheme="minorHAnsi" w:hAnsiTheme="minorHAnsi" w:eastAsiaTheme="minorEastAsia" w:cstheme="minorBidi"/>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hint="eastAsia" w:asciiTheme="majorEastAsia" w:hAnsiTheme="majorEastAsia" w:eastAsiaTheme="majorEastAsia"/>
                  </w:rPr>
                  <w:t>消费税</w:t>
                </w:r>
              </w:p>
            </w:tc>
            <w:tc>
              <w:tcPr>
                <w:tcW w:w="1993" w:type="pct"/>
                <w:vAlign w:val="center"/>
              </w:tcPr>
              <w:p>
                <w:pPr>
                  <w:pStyle w:val="501"/>
                </w:pPr>
                <w:r>
                  <w:rPr>
                    <w:rFonts w:hint="eastAsia" w:asciiTheme="majorEastAsia" w:hAnsiTheme="majorEastAsia" w:eastAsiaTheme="majorEastAsia"/>
                  </w:rPr>
                  <w:t>按实际销量</w:t>
                </w:r>
              </w:p>
            </w:tc>
            <w:tc>
              <w:tcPr>
                <w:tcW w:w="1725" w:type="pct"/>
                <w:vAlign w:val="center"/>
              </w:tcPr>
              <w:p>
                <w:pPr>
                  <w:pStyle w:val="501"/>
                </w:pPr>
                <w:r>
                  <w:rPr>
                    <w:rFonts w:hint="eastAsia" w:asciiTheme="majorEastAsia" w:hAnsiTheme="majorEastAsia" w:eastAsiaTheme="majorEastAsia"/>
                  </w:rPr>
                  <w:t>1.2至1</w:t>
                </w:r>
                <w:r>
                  <w:rPr>
                    <w:rFonts w:asciiTheme="majorEastAsia" w:hAnsiTheme="majorEastAsia" w:eastAsiaTheme="majorEastAsia"/>
                  </w:rPr>
                  <w:t>.52</w:t>
                </w:r>
                <w:r>
                  <w:rPr>
                    <w:rFonts w:hint="eastAsia" w:asciiTheme="majorEastAsia" w:hAnsiTheme="majorEastAsia" w:eastAsiaTheme="majorEastAsia"/>
                  </w:rPr>
                  <w:t>元/升</w:t>
                </w:r>
              </w:p>
            </w:tc>
          </w:tr>
        </w:sdtContent>
      </w:sdt>
    </w:tbl>
    <w:p>
      <w:pPr>
        <w:ind w:firstLine="420" w:firstLineChars="200"/>
        <w:rPr>
          <w:rFonts w:ascii="宋体" w:hAnsi="宋体"/>
        </w:rPr>
      </w:pPr>
      <w:r>
        <w:rPr>
          <w:rFonts w:hint="eastAsia" w:ascii="宋体" w:hAnsi="宋体"/>
        </w:rPr>
        <w:t>（2）本公司之澳大利亚子公司适用的主要税种及其税率列示如下：</w:t>
      </w:r>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3607"/>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758c089ae1414f99b1cc36321c29a1"/>
            <w:id w:val="-2051984898"/>
          </w:sdtPr>
          <w:sdtContent>
            <w:tc>
              <w:tcPr>
                <w:tcW w:w="1282" w:type="pct"/>
                <w:vAlign w:val="center"/>
              </w:tcPr>
              <w:p>
                <w:pPr>
                  <w:jc w:val="center"/>
                </w:pPr>
                <w:r>
                  <w:t>税种</w:t>
                </w:r>
              </w:p>
            </w:tc>
          </w:sdtContent>
        </w:sdt>
        <w:sdt>
          <w:sdtPr>
            <w:tag w:val="_PLD_0e1599c84a4d47cc8f6f9b3d3069a1bd"/>
            <w:id w:val="921769765"/>
          </w:sdtPr>
          <w:sdtContent>
            <w:tc>
              <w:tcPr>
                <w:tcW w:w="1993" w:type="pct"/>
                <w:vAlign w:val="center"/>
              </w:tcPr>
              <w:p>
                <w:pPr>
                  <w:jc w:val="center"/>
                </w:pPr>
                <w:r>
                  <w:t>计税依据</w:t>
                </w:r>
              </w:p>
            </w:tc>
          </w:sdtContent>
        </w:sdt>
        <w:sdt>
          <w:sdtPr>
            <w:tag w:val="_PLD_74e07bcec6714b078c64caa53447462a"/>
            <w:id w:val="705143302"/>
          </w:sdtPr>
          <w:sdtContent>
            <w:tc>
              <w:tcPr>
                <w:tcW w:w="1725" w:type="pct"/>
                <w:vAlign w:val="center"/>
              </w:tcPr>
              <w:p>
                <w:pPr>
                  <w:jc w:val="center"/>
                </w:pPr>
                <w:r>
                  <w:t>税率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rPr>
                <w:rFonts w:asciiTheme="majorEastAsia" w:hAnsiTheme="majorEastAsia" w:eastAsiaTheme="majorEastAsia"/>
              </w:rPr>
            </w:pPr>
            <w:r>
              <w:rPr>
                <w:rFonts w:asciiTheme="majorEastAsia" w:hAnsiTheme="majorEastAsia" w:eastAsiaTheme="majorEastAsia"/>
              </w:rPr>
              <w:t>企业所得税（注）</w:t>
            </w:r>
          </w:p>
        </w:tc>
        <w:tc>
          <w:tcPr>
            <w:tcW w:w="1993" w:type="pct"/>
            <w:vAlign w:val="center"/>
          </w:tcPr>
          <w:p>
            <w:pPr>
              <w:rPr>
                <w:rFonts w:asciiTheme="majorEastAsia" w:hAnsiTheme="majorEastAsia" w:eastAsiaTheme="majorEastAsia"/>
              </w:rPr>
            </w:pPr>
            <w:r>
              <w:rPr>
                <w:rFonts w:asciiTheme="majorEastAsia" w:hAnsiTheme="majorEastAsia" w:eastAsiaTheme="majorEastAsia"/>
              </w:rPr>
              <w:t>应纳税所得额</w:t>
            </w:r>
          </w:p>
        </w:tc>
        <w:tc>
          <w:tcPr>
            <w:tcW w:w="1725" w:type="pct"/>
            <w:vAlign w:val="center"/>
          </w:tcPr>
          <w:p>
            <w:pPr>
              <w:rPr>
                <w:rFonts w:asciiTheme="majorEastAsia" w:hAnsiTheme="majorEastAsia" w:eastAsiaTheme="majorEastAsia"/>
              </w:rPr>
            </w:pPr>
            <w:r>
              <w:rPr>
                <w:rFonts w:asciiTheme="majorEastAsia" w:hAnsiTheme="majorEastAsia" w:eastAsiaTheme="major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asciiTheme="majorEastAsia" w:hAnsiTheme="majorEastAsia" w:eastAsiaTheme="majorEastAsia"/>
              </w:rPr>
              <w:t>商品及服务税</w:t>
            </w:r>
          </w:p>
        </w:tc>
        <w:tc>
          <w:tcPr>
            <w:tcW w:w="1993" w:type="pct"/>
            <w:vAlign w:val="center"/>
          </w:tcPr>
          <w:p>
            <w:pPr>
              <w:pStyle w:val="501"/>
            </w:pPr>
            <w:r>
              <w:rPr>
                <w:rFonts w:asciiTheme="majorEastAsia" w:hAnsiTheme="majorEastAsia" w:eastAsiaTheme="majorEastAsia"/>
              </w:rPr>
              <w:t>应纳税增值额</w:t>
            </w:r>
          </w:p>
        </w:tc>
        <w:tc>
          <w:tcPr>
            <w:tcW w:w="1725" w:type="pct"/>
            <w:vAlign w:val="center"/>
          </w:tcPr>
          <w:p>
            <w:pPr>
              <w:pStyle w:val="501"/>
            </w:pPr>
            <w:r>
              <w:rPr>
                <w:rFonts w:asciiTheme="majorEastAsia" w:hAnsiTheme="majorEastAsia" w:eastAsiaTheme="majorEastAsia"/>
              </w:rPr>
              <w:t>10%</w:t>
            </w:r>
          </w:p>
        </w:tc>
      </w:tr>
      <w:sdt>
        <w:sdtPr>
          <w:rPr>
            <w:rFonts w:asciiTheme="minorHAnsi" w:hAnsiTheme="minorHAnsi" w:eastAsiaTheme="minorEastAsia" w:cstheme="minorBidi"/>
            <w14:ligatures w14:val="standardContextual"/>
          </w:rPr>
          <w:alias w:val="其他主要税种及税率"/>
          <w:tag w:val="_GBC_b4f10406bc8741879c7bff390b72f9b9"/>
          <w:id w:val="653031411"/>
        </w:sdtPr>
        <w:sdtEndPr>
          <w:rPr>
            <w:rFonts w:asciiTheme="minorHAnsi" w:hAnsiTheme="minorHAnsi" w:eastAsiaTheme="minorEastAsia" w:cstheme="minorBidi"/>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asciiTheme="majorEastAsia" w:hAnsiTheme="majorEastAsia" w:eastAsiaTheme="majorEastAsia"/>
                  </w:rPr>
                  <w:t>资源税</w:t>
                </w:r>
              </w:p>
            </w:tc>
            <w:tc>
              <w:tcPr>
                <w:tcW w:w="1993" w:type="pct"/>
                <w:vAlign w:val="center"/>
              </w:tcPr>
              <w:p>
                <w:pPr>
                  <w:pStyle w:val="501"/>
                </w:pPr>
                <w:r>
                  <w:rPr>
                    <w:rFonts w:asciiTheme="majorEastAsia" w:hAnsiTheme="majorEastAsia" w:eastAsiaTheme="majorEastAsia"/>
                  </w:rPr>
                  <w:t>煤炭销售收入</w:t>
                </w:r>
              </w:p>
            </w:tc>
            <w:tc>
              <w:tcPr>
                <w:tcW w:w="1725" w:type="pct"/>
                <w:vAlign w:val="center"/>
              </w:tcPr>
              <w:p>
                <w:pPr>
                  <w:pStyle w:val="501"/>
                </w:pPr>
                <w:r>
                  <w:rPr>
                    <w:rFonts w:asciiTheme="majorEastAsia" w:hAnsiTheme="majorEastAsia" w:eastAsiaTheme="majorEastAsia"/>
                  </w:rPr>
                  <w:t>7%-40%</w:t>
                </w:r>
              </w:p>
            </w:tc>
          </w:tr>
        </w:sdtContent>
      </w:sdt>
      <w:sdt>
        <w:sdtPr>
          <w:rPr>
            <w:rFonts w:asciiTheme="minorHAnsi" w:hAnsiTheme="minorHAnsi" w:eastAsiaTheme="minorEastAsia" w:cstheme="minorBidi"/>
            <w14:ligatures w14:val="standardContextual"/>
          </w:rPr>
          <w:alias w:val="其他主要税种及税率"/>
          <w:tag w:val="_GBC_b4f10406bc8741879c7bff390b72f9b9"/>
          <w:id w:val="117421009"/>
        </w:sdtPr>
        <w:sdtEndPr>
          <w:rPr>
            <w:rFonts w:asciiTheme="minorHAnsi" w:hAnsiTheme="minorHAnsi" w:eastAsiaTheme="minorEastAsia" w:cstheme="minorBidi"/>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hint="eastAsia" w:asciiTheme="majorEastAsia" w:hAnsiTheme="majorEastAsia" w:eastAsiaTheme="majorEastAsia"/>
                  </w:rPr>
                  <w:t>职工薪酬税</w:t>
                </w:r>
                <w:r>
                  <w:rPr>
                    <w:rFonts w:asciiTheme="majorEastAsia" w:hAnsiTheme="majorEastAsia" w:eastAsiaTheme="majorEastAsia"/>
                  </w:rPr>
                  <w:t>-</w:t>
                </w:r>
                <w:r>
                  <w:rPr>
                    <w:rFonts w:hint="eastAsia" w:asciiTheme="majorEastAsia" w:hAnsiTheme="majorEastAsia" w:eastAsiaTheme="majorEastAsia"/>
                  </w:rPr>
                  <w:t>昆士兰州</w:t>
                </w:r>
              </w:p>
            </w:tc>
            <w:tc>
              <w:tcPr>
                <w:tcW w:w="1993" w:type="pct"/>
                <w:vAlign w:val="center"/>
              </w:tcPr>
              <w:p>
                <w:pPr>
                  <w:pStyle w:val="501"/>
                </w:pPr>
                <w:r>
                  <w:rPr>
                    <w:rFonts w:hint="eastAsia" w:asciiTheme="majorEastAsia" w:hAnsiTheme="majorEastAsia" w:eastAsiaTheme="majorEastAsia"/>
                  </w:rPr>
                  <w:t>职工工资总额</w:t>
                </w:r>
              </w:p>
            </w:tc>
            <w:tc>
              <w:tcPr>
                <w:tcW w:w="1725" w:type="pct"/>
                <w:vAlign w:val="center"/>
              </w:tcPr>
              <w:p>
                <w:pPr>
                  <w:pStyle w:val="501"/>
                </w:pPr>
                <w:r>
                  <w:rPr>
                    <w:rFonts w:asciiTheme="majorEastAsia" w:hAnsiTheme="majorEastAsia" w:eastAsiaTheme="majorEastAsia"/>
                  </w:rPr>
                  <w:t>4.75%</w:t>
                </w:r>
                <w:r>
                  <w:rPr>
                    <w:rFonts w:hint="eastAsia" w:asciiTheme="majorEastAsia" w:hAnsiTheme="majorEastAsia" w:eastAsiaTheme="majorEastAsia"/>
                  </w:rPr>
                  <w:t>、</w:t>
                </w:r>
                <w:r>
                  <w:rPr>
                    <w:rFonts w:asciiTheme="majorEastAsia" w:hAnsiTheme="majorEastAsia" w:eastAsiaTheme="majorEastAsia"/>
                  </w:rPr>
                  <w:t>4.95%</w:t>
                </w:r>
              </w:p>
            </w:tc>
          </w:tr>
        </w:sdtContent>
      </w:sdt>
      <w:sdt>
        <w:sdtPr>
          <w:rPr>
            <w:rFonts w:asciiTheme="minorHAnsi" w:hAnsiTheme="minorHAnsi" w:eastAsiaTheme="minorEastAsia" w:cstheme="minorBidi"/>
            <w14:ligatures w14:val="standardContextual"/>
          </w:rPr>
          <w:alias w:val="其他主要税种及税率"/>
          <w:tag w:val="_GBC_b4f10406bc8741879c7bff390b72f9b9"/>
          <w:id w:val="-1165781758"/>
        </w:sdtPr>
        <w:sdtEndPr>
          <w:rPr>
            <w:rFonts w:asciiTheme="minorHAnsi" w:hAnsiTheme="minorHAnsi" w:eastAsiaTheme="minorEastAsia" w:cstheme="minorBidi"/>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hint="eastAsia" w:asciiTheme="majorEastAsia" w:hAnsiTheme="majorEastAsia" w:eastAsiaTheme="majorEastAsia"/>
                  </w:rPr>
                  <w:t>职工薪酬税</w:t>
                </w:r>
                <w:r>
                  <w:rPr>
                    <w:rFonts w:asciiTheme="majorEastAsia" w:hAnsiTheme="majorEastAsia" w:eastAsiaTheme="majorEastAsia"/>
                  </w:rPr>
                  <w:t>-</w:t>
                </w:r>
                <w:r>
                  <w:rPr>
                    <w:rFonts w:hint="eastAsia" w:asciiTheme="majorEastAsia" w:hAnsiTheme="majorEastAsia" w:eastAsiaTheme="majorEastAsia"/>
                  </w:rPr>
                  <w:t>新南威尔士州</w:t>
                </w:r>
              </w:p>
            </w:tc>
            <w:tc>
              <w:tcPr>
                <w:tcW w:w="1993" w:type="pct"/>
                <w:vAlign w:val="center"/>
              </w:tcPr>
              <w:p>
                <w:pPr>
                  <w:pStyle w:val="501"/>
                </w:pPr>
                <w:r>
                  <w:rPr>
                    <w:rFonts w:hint="eastAsia" w:asciiTheme="majorEastAsia" w:hAnsiTheme="majorEastAsia" w:eastAsiaTheme="majorEastAsia"/>
                  </w:rPr>
                  <w:t>职工工资总额</w:t>
                </w:r>
              </w:p>
            </w:tc>
            <w:tc>
              <w:tcPr>
                <w:tcW w:w="1725" w:type="pct"/>
                <w:vAlign w:val="center"/>
              </w:tcPr>
              <w:p>
                <w:pPr>
                  <w:pStyle w:val="501"/>
                </w:pPr>
                <w:r>
                  <w:rPr>
                    <w:rFonts w:asciiTheme="majorEastAsia" w:hAnsiTheme="majorEastAsia" w:eastAsiaTheme="majorEastAsia"/>
                  </w:rPr>
                  <w:t>5.45%</w:t>
                </w:r>
              </w:p>
            </w:tc>
          </w:tr>
        </w:sdtContent>
      </w:sdt>
    </w:tbl>
    <w:p>
      <w:pPr>
        <w:ind w:firstLine="420" w:firstLineChars="200"/>
      </w:pPr>
      <w:r>
        <w:rPr>
          <w:rFonts w:hint="eastAsia"/>
        </w:rPr>
        <w:t>注：本公司之子公司兖州煤业澳大利亚有限公司所得税适用税率为30%。兖州煤业澳大利亚有限公司及其全资拥有的子公司根据澳大利亚合并纳税的规定构成一家所得税合并纳税集团；兖州煤业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州煤业澳大利亚有限公司确认相应的递延所得税资产。该集团签订了一个共享税务协议，即集团中每个实体根据他们的税前利润占整个集团的比例来分配各自应缴纳的税金。合并纳税集团也签订一个纳税资金协议即每个实体通过集团内部往来科目确认各自的当期所得税资产和负债。</w:t>
      </w:r>
    </w:p>
    <w:p>
      <w:pPr>
        <w:ind w:firstLine="420" w:firstLineChars="200"/>
        <w:rPr>
          <w:rFonts w:ascii="宋体" w:hAnsi="宋体"/>
        </w:rPr>
      </w:pPr>
      <w:r>
        <w:rPr>
          <w:rFonts w:hint="eastAsia" w:ascii="宋体" w:hAnsi="宋体"/>
        </w:rPr>
        <w:t>（3）本公司其他境外子公司适用的主要税种及其税率列示如下：</w:t>
      </w:r>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181"/>
        <w:gridCol w:w="2471"/>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jc w:val="center"/>
            </w:pPr>
            <w:r>
              <w:t>地区或国家</w:t>
            </w:r>
          </w:p>
        </w:tc>
        <w:tc>
          <w:tcPr>
            <w:tcW w:w="1205" w:type="pct"/>
            <w:vAlign w:val="center"/>
          </w:tcPr>
          <w:p>
            <w:pPr>
              <w:jc w:val="center"/>
            </w:pPr>
            <w:r>
              <w:t>税种</w:t>
            </w:r>
          </w:p>
        </w:tc>
        <w:sdt>
          <w:sdtPr>
            <w:tag w:val="_PLD_0e1599c84a4d47cc8f6f9b3d3069a1bd"/>
            <w:id w:val="-583064828"/>
          </w:sdtPr>
          <w:sdtContent>
            <w:tc>
              <w:tcPr>
                <w:tcW w:w="1365" w:type="pct"/>
                <w:vAlign w:val="center"/>
              </w:tcPr>
              <w:p>
                <w:pPr>
                  <w:jc w:val="center"/>
                </w:pPr>
                <w:r>
                  <w:t>计税依据</w:t>
                </w:r>
              </w:p>
            </w:tc>
          </w:sdtContent>
        </w:sdt>
        <w:sdt>
          <w:sdtPr>
            <w:tag w:val="_PLD_74e07bcec6714b078c64caa53447462a"/>
            <w:id w:val="-1378074181"/>
          </w:sdtPr>
          <w:sdtContent>
            <w:tc>
              <w:tcPr>
                <w:tcW w:w="1147" w:type="pct"/>
                <w:vAlign w:val="center"/>
              </w:tcPr>
              <w:p>
                <w:pPr>
                  <w:jc w:val="center"/>
                </w:pPr>
                <w:r>
                  <w:t>税率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rPr>
                <w:rFonts w:asciiTheme="majorEastAsia" w:hAnsiTheme="majorEastAsia" w:eastAsiaTheme="majorEastAsia"/>
              </w:rPr>
            </w:pPr>
            <w:r>
              <w:rPr>
                <w:rFonts w:asciiTheme="majorEastAsia" w:hAnsiTheme="majorEastAsia" w:eastAsiaTheme="majorEastAsia"/>
              </w:rPr>
              <w:t>香港</w:t>
            </w:r>
          </w:p>
        </w:tc>
        <w:tc>
          <w:tcPr>
            <w:tcW w:w="1205" w:type="pct"/>
            <w:vAlign w:val="center"/>
          </w:tcPr>
          <w:p>
            <w:pPr>
              <w:rPr>
                <w:rFonts w:asciiTheme="majorEastAsia" w:hAnsiTheme="majorEastAsia" w:eastAsiaTheme="majorEastAsia"/>
              </w:rPr>
            </w:pPr>
            <w:r>
              <w:rPr>
                <w:rFonts w:asciiTheme="majorEastAsia" w:hAnsiTheme="majorEastAsia" w:eastAsiaTheme="majorEastAsia"/>
              </w:rPr>
              <w:t>企业所得税</w:t>
            </w:r>
          </w:p>
        </w:tc>
        <w:tc>
          <w:tcPr>
            <w:tcW w:w="1365" w:type="pct"/>
            <w:vAlign w:val="center"/>
          </w:tcPr>
          <w:p>
            <w:pPr>
              <w:rPr>
                <w:rFonts w:asciiTheme="majorEastAsia" w:hAnsiTheme="majorEastAsia" w:eastAsiaTheme="majorEastAsia"/>
              </w:rPr>
            </w:pPr>
            <w:r>
              <w:rPr>
                <w:rFonts w:asciiTheme="majorEastAsia" w:hAnsiTheme="majorEastAsia" w:eastAsiaTheme="majorEastAsia"/>
              </w:rPr>
              <w:t>应纳税所得额</w:t>
            </w:r>
          </w:p>
        </w:tc>
        <w:tc>
          <w:tcPr>
            <w:tcW w:w="1147" w:type="pct"/>
            <w:vAlign w:val="center"/>
          </w:tcPr>
          <w:p>
            <w:pPr>
              <w:rPr>
                <w:rFonts w:asciiTheme="majorEastAsia" w:hAnsiTheme="majorEastAsia" w:eastAsiaTheme="majorEastAsia"/>
              </w:rPr>
            </w:pPr>
            <w:r>
              <w:rPr>
                <w:rFonts w:asciiTheme="majorEastAsia" w:hAnsiTheme="majorEastAsia" w:eastAsiaTheme="majorEastAsia"/>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asciiTheme="majorEastAsia" w:hAnsiTheme="majorEastAsia" w:eastAsiaTheme="majorEastAsia"/>
              </w:rPr>
              <w:t>卢森堡</w:t>
            </w:r>
          </w:p>
        </w:tc>
        <w:tc>
          <w:tcPr>
            <w:tcW w:w="1205" w:type="pct"/>
            <w:vAlign w:val="center"/>
          </w:tcPr>
          <w:p>
            <w:pPr>
              <w:pStyle w:val="501"/>
            </w:pPr>
            <w:r>
              <w:rPr>
                <w:rFonts w:asciiTheme="majorEastAsia" w:hAnsiTheme="majorEastAsia" w:eastAsiaTheme="majorEastAsia"/>
              </w:rPr>
              <w:t>企业所得税</w:t>
            </w:r>
          </w:p>
        </w:tc>
        <w:tc>
          <w:tcPr>
            <w:tcW w:w="1365" w:type="pct"/>
            <w:vAlign w:val="center"/>
          </w:tcPr>
          <w:p>
            <w:pPr>
              <w:pStyle w:val="501"/>
            </w:pPr>
            <w:r>
              <w:rPr>
                <w:rFonts w:asciiTheme="majorEastAsia" w:hAnsiTheme="majorEastAsia" w:eastAsiaTheme="majorEastAsia"/>
              </w:rPr>
              <w:t>应纳税所得额</w:t>
            </w:r>
          </w:p>
        </w:tc>
        <w:tc>
          <w:tcPr>
            <w:tcW w:w="1147" w:type="pct"/>
            <w:vAlign w:val="center"/>
          </w:tcPr>
          <w:p>
            <w:pPr>
              <w:pStyle w:val="501"/>
            </w:pPr>
            <w:r>
              <w:rPr>
                <w:rFonts w:asciiTheme="majorEastAsia" w:hAnsiTheme="majorEastAsia" w:eastAsiaTheme="majorEastAsia"/>
              </w:rPr>
              <w:t>24.94%</w:t>
            </w:r>
          </w:p>
        </w:tc>
      </w:tr>
      <w:sdt>
        <w:sdtPr>
          <w:rPr>
            <w:rFonts w:asciiTheme="minorHAnsi" w:hAnsiTheme="minorHAnsi" w:eastAsiaTheme="minorEastAsia" w:cstheme="minorBidi"/>
            <w14:ligatures w14:val="standardContextual"/>
          </w:rPr>
          <w:alias w:val="其他主要税种及税率"/>
          <w:tag w:val="_GBC_b4f10406bc8741879c7bff390b72f9b9"/>
          <w:id w:val="-255054133"/>
        </w:sdtPr>
        <w:sdtEndPr>
          <w:rPr>
            <w:rFonts w:asciiTheme="minorHAnsi" w:hAnsiTheme="minorHAnsi" w:eastAsiaTheme="minorEastAsia" w:cstheme="minorBidi"/>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asciiTheme="majorEastAsia" w:hAnsiTheme="majorEastAsia" w:eastAsiaTheme="majorEastAsia"/>
                  </w:rPr>
                  <w:t>加拿大</w:t>
                </w:r>
              </w:p>
            </w:tc>
            <w:tc>
              <w:tcPr>
                <w:tcW w:w="1205" w:type="pct"/>
                <w:vAlign w:val="center"/>
              </w:tcPr>
              <w:p>
                <w:pPr>
                  <w:pStyle w:val="501"/>
                </w:pPr>
                <w:r>
                  <w:rPr>
                    <w:rFonts w:asciiTheme="majorEastAsia" w:hAnsiTheme="majorEastAsia" w:eastAsiaTheme="majorEastAsia"/>
                  </w:rPr>
                  <w:t>货物及服务税</w:t>
                </w:r>
              </w:p>
            </w:tc>
            <w:tc>
              <w:tcPr>
                <w:tcW w:w="1365" w:type="pct"/>
                <w:vAlign w:val="center"/>
              </w:tcPr>
              <w:p>
                <w:pPr>
                  <w:pStyle w:val="501"/>
                </w:pPr>
                <w:r>
                  <w:rPr>
                    <w:rFonts w:asciiTheme="majorEastAsia" w:hAnsiTheme="majorEastAsia" w:eastAsiaTheme="majorEastAsia"/>
                  </w:rPr>
                  <w:t>商品计税价格</w:t>
                </w:r>
              </w:p>
            </w:tc>
            <w:tc>
              <w:tcPr>
                <w:tcW w:w="1147" w:type="pct"/>
                <w:vAlign w:val="center"/>
              </w:tcPr>
              <w:p>
                <w:pPr>
                  <w:pStyle w:val="501"/>
                </w:pPr>
                <w:r>
                  <w:rPr>
                    <w:rFonts w:asciiTheme="majorEastAsia" w:hAnsiTheme="majorEastAsia" w:eastAsiaTheme="majorEastAsia"/>
                  </w:rPr>
                  <w:t>5%</w:t>
                </w:r>
              </w:p>
            </w:tc>
          </w:tr>
        </w:sdtContent>
      </w:sdt>
      <w:sdt>
        <w:sdtPr>
          <w:rPr>
            <w:rFonts w:asciiTheme="minorHAnsi" w:hAnsiTheme="minorHAnsi" w:eastAsiaTheme="minorEastAsia" w:cstheme="minorBidi"/>
            <w14:ligatures w14:val="standardContextual"/>
          </w:rPr>
          <w:alias w:val="其他主要税种及税率"/>
          <w:tag w:val="_GBC_b4f10406bc8741879c7bff390b72f9b9"/>
          <w:id w:val="2143456278"/>
        </w:sdtPr>
        <w:sdtEndPr>
          <w:rPr>
            <w:rFonts w:asciiTheme="minorHAnsi" w:hAnsiTheme="minorHAnsi" w:eastAsiaTheme="minorEastAsia" w:cstheme="minorBidi"/>
            <w14:ligatures w14:val="standardContextua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pStyle w:val="501"/>
                </w:pPr>
                <w:r>
                  <w:rPr>
                    <w:rFonts w:asciiTheme="majorEastAsia" w:hAnsiTheme="majorEastAsia" w:eastAsiaTheme="majorEastAsia"/>
                  </w:rPr>
                  <w:t>加拿大</w:t>
                </w:r>
              </w:p>
            </w:tc>
            <w:tc>
              <w:tcPr>
                <w:tcW w:w="1205" w:type="pct"/>
                <w:vAlign w:val="center"/>
              </w:tcPr>
              <w:p>
                <w:pPr>
                  <w:pStyle w:val="501"/>
                </w:pPr>
                <w:r>
                  <w:rPr>
                    <w:rFonts w:asciiTheme="majorEastAsia" w:hAnsiTheme="majorEastAsia" w:eastAsiaTheme="majorEastAsia"/>
                  </w:rPr>
                  <w:t>企业所得税</w:t>
                </w:r>
              </w:p>
            </w:tc>
            <w:tc>
              <w:tcPr>
                <w:tcW w:w="1365" w:type="pct"/>
                <w:vAlign w:val="center"/>
              </w:tcPr>
              <w:p>
                <w:pPr>
                  <w:pStyle w:val="501"/>
                </w:pPr>
                <w:r>
                  <w:rPr>
                    <w:rFonts w:asciiTheme="majorEastAsia" w:hAnsiTheme="majorEastAsia" w:eastAsiaTheme="majorEastAsia"/>
                  </w:rPr>
                  <w:t>应纳税所得额</w:t>
                </w:r>
              </w:p>
            </w:tc>
            <w:tc>
              <w:tcPr>
                <w:tcW w:w="1147" w:type="pct"/>
                <w:vAlign w:val="center"/>
              </w:tcPr>
              <w:p>
                <w:pPr>
                  <w:pStyle w:val="501"/>
                </w:pPr>
                <w:r>
                  <w:rPr>
                    <w:rFonts w:asciiTheme="majorEastAsia" w:hAnsiTheme="majorEastAsia" w:eastAsiaTheme="majorEastAsia"/>
                  </w:rPr>
                  <w:t>26.5%</w:t>
                </w:r>
              </w:p>
            </w:tc>
          </w:tr>
        </w:sdtContent>
      </w:sdt>
    </w:tbl>
    <w:p>
      <w:pPr>
        <w:pStyle w:val="501"/>
      </w:pPr>
    </w:p>
    <w:p>
      <w:pPr>
        <w:pStyle w:val="501"/>
      </w:pPr>
      <w:r>
        <w:rPr>
          <w:rFonts w:hint="eastAsia"/>
        </w:rPr>
        <w:t>存在不同企业所得税税率纳税主体的，披露情况说明</w:t>
      </w:r>
    </w:p>
    <w:sdt>
      <w:sdtPr>
        <w:alias w:val="是否适用：存在不同企业所得税税率纳税主体的，披露情况说明[双击切换]"/>
        <w:tag w:val="_GBC_f117cb1e9d6f4e82900861637cf6a799"/>
        <w:id w:val="-1899731234"/>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68"/>
        </w:numPr>
        <w:tabs>
          <w:tab w:val="left" w:pos="546"/>
        </w:tabs>
      </w:pPr>
      <w:r>
        <w:t>税收优惠</w:t>
      </w:r>
    </w:p>
    <w:sdt>
      <w:sdtPr>
        <w:rPr>
          <w:rFonts w:hint="eastAsia"/>
        </w:rPr>
        <w:alias w:val="是否适用：税收优惠[双击切换]"/>
        <w:tag w:val="_GBC_7b649dcf8ab54475bffc51edb3c33588"/>
        <w:id w:val="-1264298759"/>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优惠税赋及批文"/>
        <w:tag w:val="_GBC_3bbdacdaa3ba421fb8a81b9bda047bb4"/>
        <w:id w:val="933014314"/>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（1）增值税税收优惠</w:t>
          </w:r>
        </w:p>
        <w:p>
          <w:pPr>
            <w:ind w:firstLine="420" w:firstLineChars="200"/>
            <w:rPr>
              <w:rFonts w:ascii="宋体" w:hAnsi="宋体"/>
            </w:rPr>
          </w:pPr>
          <w:r>
            <w:rPr>
              <w:rFonts w:hint="eastAsia" w:ascii="宋体" w:hAnsi="宋体"/>
            </w:rPr>
            <w:t>根据财政部、国家税务总局《关于明确增值税小规模纳税人减免增值税等政策的公告》（财政部、税务总局公告2023年第1号），自2023年1月1日至2023年12月31日，允许生产性服务业纳税人按照当期可抵扣进项税额加计5%抵减应纳税额，允许生活性服务业纳税人按照当期可抵扣进项税额加计10%抵减应纳税额。</w:t>
          </w:r>
        </w:p>
        <w:p>
          <w:pPr>
            <w:ind w:firstLine="420" w:firstLineChars="200"/>
            <w:rPr>
              <w:rFonts w:ascii="宋体" w:hAnsi="宋体"/>
            </w:rPr>
          </w:pPr>
          <w:r>
            <w:rPr>
              <w:rFonts w:hint="eastAsia" w:ascii="宋体" w:hAnsi="宋体"/>
            </w:rPr>
            <w:t>根据财政部、国家税务总局关于印发《资源综合利用产品和劳务增值税优惠目录》的通知（财税〔2015〕78号）本公司之下属子公司兖煤菏泽能化有限公司赵楼煤矿及山东兖矿济三电力有限公司享受电力、热力实现的增值税即征即退50%的政策。</w:t>
          </w:r>
        </w:p>
        <w:p>
          <w:pPr>
            <w:ind w:firstLine="420" w:firstLineChars="200"/>
            <w:rPr>
              <w:rFonts w:ascii="宋体" w:hAnsi="宋体"/>
            </w:rPr>
          </w:pPr>
          <w:r>
            <w:rPr>
              <w:rFonts w:hint="eastAsia" w:ascii="宋体" w:hAnsi="宋体"/>
            </w:rPr>
            <w:t>（2）资源税税收优惠</w:t>
          </w:r>
        </w:p>
        <w:p>
          <w:pPr>
            <w:ind w:firstLine="420" w:firstLineChars="200"/>
            <w:rPr>
              <w:rFonts w:ascii="宋体" w:hAnsi="宋体"/>
            </w:rPr>
          </w:pPr>
          <w:r>
            <w:rPr>
              <w:rFonts w:hint="eastAsia" w:ascii="宋体" w:hAnsi="宋体"/>
            </w:rPr>
            <w:t>根据《财政部、国家税务总局关于实施煤炭资源税改革的通知》（财税〔2014〕72号）对衰竭期煤矿开采的煤炭，资源税减征30%。衰竭期煤矿，是指剩余可采储量下降到原设计可采储量的20%（含）以下，或者剩余服务年限不超过5年的煤矿。本公司南屯煤矿、鲍店煤矿、兴隆庄煤矿、济宁二号煤矿自2015年起享受此优惠。杨村煤矿自2017年起享受此优惠。</w:t>
          </w:r>
        </w:p>
        <w:p>
          <w:pPr>
            <w:ind w:firstLine="420" w:firstLineChars="200"/>
            <w:rPr>
              <w:rFonts w:ascii="宋体" w:hAnsi="宋体"/>
            </w:rPr>
          </w:pPr>
          <w:r>
            <w:rPr>
              <w:rFonts w:hint="eastAsia" w:ascii="宋体" w:hAnsi="宋体"/>
            </w:rPr>
            <w:t>（3）企业所得税税收优惠</w:t>
          </w:r>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1"/>
            <w:gridCol w:w="1716"/>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tcPr>
              <w:p>
                <w:pPr>
                  <w:jc w:val="center"/>
                  <w:rPr>
                    <w:rFonts w:ascii="宋体" w:hAnsi="宋体"/>
                  </w:rPr>
                </w:pPr>
                <w:bookmarkStart w:id="218" w:name="_Hlk161754438"/>
                <w:r>
                  <w:rPr>
                    <w:rFonts w:hint="eastAsia" w:ascii="宋体" w:hAnsi="宋体"/>
                  </w:rPr>
                  <w:t>子公司</w:t>
                </w:r>
              </w:p>
            </w:tc>
            <w:tc>
              <w:tcPr>
                <w:tcW w:w="948" w:type="pct"/>
              </w:tcPr>
              <w:p>
                <w:pPr>
                  <w:jc w:val="center"/>
                  <w:rPr>
                    <w:rFonts w:ascii="宋体" w:hAnsi="宋体"/>
                  </w:rPr>
                </w:pPr>
                <w:r>
                  <w:rPr>
                    <w:rFonts w:hint="eastAsia" w:ascii="宋体" w:hAnsi="宋体"/>
                  </w:rPr>
                  <w:t>税率</w:t>
                </w:r>
              </w:p>
            </w:tc>
            <w:tc>
              <w:tcPr>
                <w:tcW w:w="1725" w:type="pct"/>
              </w:tcPr>
              <w:p>
                <w:pPr>
                  <w:jc w:val="center"/>
                  <w:rPr>
                    <w:rFonts w:ascii="宋体" w:hAnsi="宋体"/>
                  </w:rPr>
                </w:pPr>
                <w:r>
                  <w:rPr>
                    <w:rFonts w:hint="eastAsia" w:ascii="宋体" w:hAnsi="宋体"/>
                  </w:rPr>
                  <w:t>注释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rPr>
                </w:pPr>
                <w:r>
                  <w:rPr>
                    <w:rFonts w:hint="eastAsia" w:ascii="宋体" w:hAnsi="宋体"/>
                    <w:color w:val="000000"/>
                  </w:rPr>
                  <w:t>鄂尔多斯市转龙湾煤炭有限公司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hint="eastAsia" w:ascii="宋体" w:hAnsi="宋体"/>
                    <w:color w:val="000000"/>
                  </w:rPr>
                  <w:t>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rPr>
                </w:pPr>
                <w:r>
                  <w:rPr>
                    <w:rFonts w:hint="eastAsia" w:ascii="宋体" w:hAnsi="宋体"/>
                    <w:color w:val="000000"/>
                  </w:rPr>
                  <w:t>内蒙古荣信化工有限公司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hint="eastAsia" w:ascii="宋体" w:hAnsi="宋体"/>
                    <w:color w:val="000000"/>
                  </w:rPr>
                  <w:t>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rPr>
                </w:pPr>
                <w:r>
                  <w:rPr>
                    <w:rFonts w:hint="eastAsia" w:ascii="宋体" w:hAnsi="宋体"/>
                    <w:color w:val="000000"/>
                  </w:rPr>
                  <w:t>兖州煤业榆林能化有限公司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ascii="宋体" w:hAnsi="宋体"/>
                    <w:color w:val="000000"/>
                  </w:rPr>
                  <w:t>注</w:t>
                </w:r>
                <w:r>
                  <w:rPr>
                    <w:rFonts w:hint="eastAsia" w:ascii="宋体" w:hAnsi="宋体"/>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rPr>
                </w:pPr>
                <w:r>
                  <w:rPr>
                    <w:rFonts w:hint="eastAsia" w:ascii="宋体" w:hAnsi="宋体"/>
                    <w:color w:val="000000"/>
                  </w:rPr>
                  <w:t>陕西未来能源化工有限公司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ascii="宋体" w:hAnsi="宋体"/>
                    <w:color w:val="000000"/>
                  </w:rPr>
                  <w:t>注</w:t>
                </w:r>
                <w:r>
                  <w:rPr>
                    <w:rFonts w:hint="eastAsia" w:ascii="宋体" w:hAnsi="宋体"/>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rPr>
                </w:pPr>
                <w:r>
                  <w:rPr>
                    <w:rFonts w:hint="eastAsia" w:ascii="宋体" w:hAnsi="宋体"/>
                    <w:color w:val="000000"/>
                  </w:rPr>
                  <w:t>鄂尔多斯市锋威光电有限公司</w:t>
                </w:r>
              </w:p>
            </w:tc>
            <w:tc>
              <w:tcPr>
                <w:tcW w:w="948" w:type="pct"/>
                <w:vAlign w:val="center"/>
              </w:tcPr>
              <w:p>
                <w:pPr>
                  <w:rPr>
                    <w:rFonts w:ascii="宋体" w:hAnsi="宋体"/>
                  </w:rPr>
                </w:pPr>
                <w:r>
                  <w:rPr>
                    <w:rFonts w:ascii="宋体" w:hAnsi="宋体"/>
                    <w:color w:val="000000"/>
                  </w:rPr>
                  <w:t>15%</w:t>
                </w:r>
              </w:p>
            </w:tc>
            <w:tc>
              <w:tcPr>
                <w:tcW w:w="1725" w:type="pct"/>
                <w:vAlign w:val="center"/>
              </w:tcPr>
              <w:p>
                <w:pPr>
                  <w:rPr>
                    <w:rFonts w:ascii="宋体" w:hAnsi="宋体"/>
                  </w:rPr>
                </w:pPr>
                <w:r>
                  <w:rPr>
                    <w:rFonts w:hint="eastAsia" w:ascii="宋体" w:hAnsi="宋体"/>
                    <w:color w:val="000000"/>
                  </w:rPr>
                  <w:t>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内蒙古昊盛煤业有限公司</w:t>
                </w:r>
              </w:p>
            </w:tc>
            <w:tc>
              <w:tcPr>
                <w:tcW w:w="948" w:type="pct"/>
                <w:vAlign w:val="center"/>
              </w:tcPr>
              <w:p>
                <w:pPr>
                  <w:rPr>
                    <w:rFonts w:ascii="宋体" w:hAnsi="宋体"/>
                  </w:rPr>
                </w:pPr>
                <w:r>
                  <w:rPr>
                    <w:rFonts w:ascii="宋体" w:hAnsi="宋体"/>
                    <w:color w:val="000000"/>
                  </w:rPr>
                  <w:t>15%</w:t>
                </w:r>
              </w:p>
            </w:tc>
            <w:tc>
              <w:tcPr>
                <w:tcW w:w="1725" w:type="pct"/>
                <w:vAlign w:val="center"/>
              </w:tcPr>
              <w:p>
                <w:pPr>
                  <w:rPr>
                    <w:rFonts w:ascii="宋体" w:hAnsi="宋体"/>
                  </w:rPr>
                </w:pPr>
                <w:r>
                  <w:rPr>
                    <w:rFonts w:hint="eastAsia" w:ascii="宋体" w:hAnsi="宋体"/>
                    <w:color w:val="000000"/>
                  </w:rPr>
                  <w:t>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兖矿东华重工有限公司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hint="eastAsia" w:ascii="宋体" w:hAnsi="宋体"/>
                    <w:color w:val="000000"/>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兖矿集团邹城金通橡胶有限公司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hint="eastAsia" w:ascii="宋体" w:hAnsi="宋体"/>
                    <w:color w:val="000000"/>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兖州东方机电有限公司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hint="eastAsia" w:ascii="宋体" w:hAnsi="宋体"/>
                    <w:color w:val="000000"/>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山东兖矿集团长龙电缆制造有限公司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hint="eastAsia" w:ascii="宋体" w:hAnsi="宋体"/>
                    <w:color w:val="000000"/>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兖矿集团唐村实业有限公司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hint="eastAsia" w:ascii="宋体" w:hAnsi="宋体"/>
                    <w:color w:val="000000"/>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兖矿榆林精细化工有限公司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hint="eastAsia" w:ascii="宋体" w:hAnsi="宋体"/>
                    <w:color w:val="000000"/>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兖矿鲁南化工有限公司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hint="eastAsia" w:ascii="宋体" w:hAnsi="宋体"/>
                    <w:color w:val="000000"/>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兖矿济宁化工装备有限公司</w:t>
                </w:r>
              </w:p>
            </w:tc>
            <w:tc>
              <w:tcPr>
                <w:tcW w:w="948" w:type="pct"/>
                <w:vAlign w:val="center"/>
              </w:tcPr>
              <w:p>
                <w:pPr>
                  <w:rPr>
                    <w:rFonts w:ascii="宋体" w:hAnsi="宋体"/>
                  </w:rPr>
                </w:pPr>
                <w:r>
                  <w:rPr>
                    <w:rFonts w:ascii="宋体" w:hAnsi="宋体"/>
                    <w:color w:val="000000"/>
                  </w:rPr>
                  <w:t>15%</w:t>
                </w:r>
              </w:p>
            </w:tc>
            <w:tc>
              <w:tcPr>
                <w:tcW w:w="1725" w:type="pct"/>
                <w:vAlign w:val="center"/>
              </w:tcPr>
              <w:p>
                <w:pPr>
                  <w:rPr>
                    <w:rFonts w:ascii="宋体" w:hAnsi="宋体"/>
                  </w:rPr>
                </w:pPr>
                <w:r>
                  <w:rPr>
                    <w:rFonts w:hint="eastAsia" w:ascii="宋体" w:hAnsi="宋体"/>
                    <w:color w:val="000000"/>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兖煤蓝天清洁能源有限公司</w:t>
                </w:r>
              </w:p>
            </w:tc>
            <w:tc>
              <w:tcPr>
                <w:tcW w:w="948" w:type="pct"/>
                <w:vAlign w:val="center"/>
              </w:tcPr>
              <w:p>
                <w:pPr>
                  <w:rPr>
                    <w:rFonts w:ascii="宋体" w:hAnsi="宋体"/>
                  </w:rPr>
                </w:pPr>
                <w:r>
                  <w:rPr>
                    <w:rFonts w:ascii="宋体" w:hAnsi="宋体"/>
                    <w:color w:val="000000"/>
                  </w:rPr>
                  <w:t>15%</w:t>
                </w:r>
              </w:p>
            </w:tc>
            <w:tc>
              <w:tcPr>
                <w:tcW w:w="1725" w:type="pct"/>
                <w:vAlign w:val="center"/>
              </w:tcPr>
              <w:p>
                <w:pPr>
                  <w:rPr>
                    <w:rFonts w:ascii="宋体" w:hAnsi="宋体"/>
                  </w:rPr>
                </w:pPr>
                <w:r>
                  <w:rPr>
                    <w:rFonts w:hint="eastAsia" w:ascii="宋体" w:hAnsi="宋体"/>
                    <w:color w:val="000000"/>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卡松科技股份有限公司</w:t>
                </w:r>
              </w:p>
            </w:tc>
            <w:tc>
              <w:tcPr>
                <w:tcW w:w="948" w:type="pct"/>
                <w:vAlign w:val="center"/>
              </w:tcPr>
              <w:p>
                <w:pPr>
                  <w:rPr>
                    <w:rFonts w:ascii="宋体" w:hAnsi="宋体"/>
                  </w:rPr>
                </w:pPr>
                <w:r>
                  <w:rPr>
                    <w:rFonts w:ascii="宋体" w:hAnsi="宋体"/>
                    <w:color w:val="000000"/>
                  </w:rPr>
                  <w:t>15%</w:t>
                </w:r>
              </w:p>
            </w:tc>
            <w:tc>
              <w:tcPr>
                <w:tcW w:w="1725" w:type="pct"/>
                <w:vAlign w:val="center"/>
              </w:tcPr>
              <w:p>
                <w:pPr>
                  <w:rPr>
                    <w:rFonts w:ascii="宋体" w:hAnsi="宋体"/>
                  </w:rPr>
                </w:pPr>
                <w:r>
                  <w:rPr>
                    <w:rFonts w:hint="eastAsia" w:ascii="宋体" w:hAnsi="宋体"/>
                    <w:color w:val="000000"/>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端信供应链（深圳）有限公司</w:t>
                </w:r>
              </w:p>
            </w:tc>
            <w:tc>
              <w:tcPr>
                <w:tcW w:w="948" w:type="pct"/>
                <w:vAlign w:val="center"/>
              </w:tcPr>
              <w:p>
                <w:pPr>
                  <w:rPr>
                    <w:rFonts w:ascii="宋体" w:hAnsi="宋体"/>
                  </w:rPr>
                </w:pPr>
                <w:r>
                  <w:rPr>
                    <w:rFonts w:hint="eastAsia" w:ascii="宋体" w:hAnsi="宋体"/>
                    <w:color w:val="000000"/>
                  </w:rPr>
                  <w:t>15%</w:t>
                </w:r>
              </w:p>
            </w:tc>
            <w:tc>
              <w:tcPr>
                <w:tcW w:w="1725" w:type="pct"/>
                <w:vAlign w:val="center"/>
              </w:tcPr>
              <w:p>
                <w:pPr>
                  <w:rPr>
                    <w:rFonts w:ascii="宋体" w:hAnsi="宋体"/>
                  </w:rPr>
                </w:pPr>
                <w:r>
                  <w:rPr>
                    <w:rFonts w:hint="eastAsia" w:ascii="宋体" w:hAnsi="宋体"/>
                    <w:color w:val="000000"/>
                  </w:rPr>
                  <w:t>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pct"/>
                <w:vAlign w:val="center"/>
              </w:tcPr>
              <w:p>
                <w:pPr>
                  <w:rPr>
                    <w:rFonts w:ascii="宋体" w:hAnsi="宋体" w:cstheme="minorBidi"/>
                    <w14:ligatures w14:val="standardContextual"/>
                  </w:rPr>
                </w:pPr>
                <w:r>
                  <w:rPr>
                    <w:rFonts w:hint="eastAsia" w:ascii="宋体" w:hAnsi="宋体"/>
                    <w:color w:val="000000"/>
                  </w:rPr>
                  <w:t>兖矿商业保理（上海）有限公司</w:t>
                </w:r>
              </w:p>
            </w:tc>
            <w:tc>
              <w:tcPr>
                <w:tcW w:w="948" w:type="pct"/>
                <w:vAlign w:val="center"/>
              </w:tcPr>
              <w:p>
                <w:pPr>
                  <w:rPr>
                    <w:rFonts w:ascii="宋体" w:hAnsi="宋体"/>
                  </w:rPr>
                </w:pPr>
                <w:r>
                  <w:rPr>
                    <w:rFonts w:ascii="宋体" w:hAnsi="宋体"/>
                    <w:color w:val="000000"/>
                  </w:rPr>
                  <w:t>5</w:t>
                </w:r>
                <w:r>
                  <w:rPr>
                    <w:rFonts w:hint="eastAsia" w:ascii="宋体" w:hAnsi="宋体"/>
                    <w:color w:val="000000"/>
                  </w:rPr>
                  <w:t>%</w:t>
                </w:r>
              </w:p>
            </w:tc>
            <w:tc>
              <w:tcPr>
                <w:tcW w:w="1725" w:type="pct"/>
                <w:vAlign w:val="center"/>
              </w:tcPr>
              <w:p>
                <w:pPr>
                  <w:rPr>
                    <w:rFonts w:ascii="宋体" w:hAnsi="宋体"/>
                  </w:rPr>
                </w:pPr>
                <w:r>
                  <w:rPr>
                    <w:rFonts w:hint="eastAsia" w:ascii="宋体" w:hAnsi="宋体"/>
                    <w:color w:val="000000"/>
                  </w:rPr>
                  <w:t>注4</w:t>
                </w:r>
              </w:p>
            </w:tc>
          </w:tr>
          <w:bookmarkEnd w:id="218"/>
        </w:tbl>
        <w:p>
          <w:pPr>
            <w:ind w:firstLine="420" w:firstLineChars="200"/>
            <w:jc w:val="left"/>
            <w:rPr>
              <w:rFonts w:ascii="宋体" w:hAnsi="宋体"/>
            </w:rPr>
          </w:pPr>
          <w:r>
            <w:rPr>
              <w:rFonts w:hint="eastAsia" w:ascii="宋体" w:hAnsi="宋体"/>
            </w:rPr>
            <w:t>注1：鄂尔多斯市转龙湾煤炭有限公司、内蒙古荣信化工有限公司（同时也是高新技术企业，企业所得税申报时选择使用西部大开发优惠政策）、兖州煤业榆林能化有限公司、陕西未来能源化工有限公司、鄂尔多斯市锋威光电有限公司和内蒙古昊盛煤业有限公司根据《中共中央国务院关于深入实施西部大开发战略的若干意见》(中发〔2010〕11号)、《关于深入实施西部大开发战略有关企业所得税问题的公告》(国家税务总局公告2012年第12号)及其他相关文件，符合西部大开发鼓励类产业优惠政策条件，适用的企业所得税税率为15%。</w:t>
          </w:r>
        </w:p>
        <w:p>
          <w:pPr>
            <w:ind w:firstLine="420" w:firstLineChars="200"/>
            <w:jc w:val="left"/>
            <w:rPr>
              <w:rFonts w:ascii="宋体" w:hAnsi="宋体"/>
            </w:rPr>
          </w:pPr>
          <w:r>
            <w:rPr>
              <w:rFonts w:hint="eastAsia" w:ascii="宋体" w:hAnsi="宋体"/>
            </w:rPr>
            <w:t>注2：兖矿东华重工有限公司、兖矿集团邹城金通橡胶有限公司、兖州东方机电有限公司、山东兖矿集团长龙电缆制造有限公司、兖矿集团唐村实业有限公司、兖矿榆林精细化工有限公司、兖矿鲁南化工有限公司、兖矿济宁化工装备有限公司、兖煤蓝天清洁能源有限公司、卡松科技股份有限公司获得高新技术企业认定，符合国家税务总局《关于实施高新技术企业所得税优惠有关问题的通知》(国税函〔2009〕203号)的相关规定，适用的企业所得税税率为15%。</w:t>
          </w:r>
        </w:p>
        <w:p>
          <w:pPr>
            <w:ind w:firstLine="420" w:firstLineChars="200"/>
            <w:jc w:val="left"/>
            <w:rPr>
              <w:rFonts w:ascii="宋体" w:hAnsi="宋体"/>
            </w:rPr>
          </w:pPr>
          <w:r>
            <w:rPr>
              <w:rFonts w:hint="eastAsia" w:ascii="宋体" w:hAnsi="宋体"/>
            </w:rPr>
            <w:t>注3：端信供应链（深圳）有限公司根据财政部、国家税务总局《关于广东横琴新区福建平潭综合实验区深圳前海深港现代服务业合作区企业所得税优惠政策及优惠目录的通知》（财税〔2014〕26号）的规定，对设在横琴新区、平潭综合实验区和前海深港现代服务业合作区的鼓励类产业企业减按15%的税率征收企业所得税。</w:t>
          </w:r>
        </w:p>
        <w:p>
          <w:pPr>
            <w:ind w:firstLine="420" w:firstLineChars="200"/>
            <w:jc w:val="left"/>
            <w:rPr>
              <w:rFonts w:ascii="宋体" w:hAnsi="宋体"/>
            </w:rPr>
          </w:pPr>
          <w:r>
            <w:rPr>
              <w:rFonts w:hint="eastAsia" w:ascii="宋体" w:hAnsi="宋体"/>
            </w:rPr>
            <w:t>注4：兖矿商业保理（上海）有限公司根据财政部、税务总局《关于进一步支持小微企业和个体工商户发展有关税费政策的公告》（财政部、税务总局公告2023年第12号）的相关规定，适用的企业所得税税率为5%。</w:t>
          </w:r>
        </w:p>
      </w:sdtContent>
    </w:sdt>
    <w:p>
      <w:pPr>
        <w:rPr>
          <w:rFonts w:ascii="宋体" w:hAnsi="宋体"/>
        </w:rPr>
      </w:pPr>
    </w:p>
    <w:p>
      <w:pPr>
        <w:pStyle w:val="504"/>
        <w:numPr>
          <w:ilvl w:val="0"/>
          <w:numId w:val="68"/>
        </w:numPr>
        <w:tabs>
          <w:tab w:val="left" w:pos="546"/>
        </w:tabs>
        <w:rPr>
          <w:rFonts w:asciiTheme="minorEastAsia" w:hAnsiTheme="minorEastAsia" w:eastAsiaTheme="minorEastAsia"/>
        </w:rPr>
      </w:pPr>
      <w:r>
        <w:t>其他</w:t>
      </w:r>
    </w:p>
    <w:sdt>
      <w:sdtPr>
        <w:rPr>
          <w:rFonts w:hint="eastAsia"/>
        </w:rPr>
        <w:alias w:val="是否适用：税项说明[双击切换]"/>
        <w:tag w:val="_GBC_cb15d487e8d84ad7877bd8820156d381"/>
        <w:id w:val="-1167331085"/>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3"/>
        <w:numPr>
          <w:ilvl w:val="0"/>
          <w:numId w:val="57"/>
        </w:numPr>
        <w:ind w:hanging="224"/>
      </w:pPr>
      <w:r>
        <w:rPr>
          <w:rFonts w:hint="eastAsia"/>
        </w:rPr>
        <w:t>合并财务报表项目注释</w:t>
      </w:r>
    </w:p>
    <w:p>
      <w:pPr>
        <w:pStyle w:val="504"/>
        <w:numPr>
          <w:ilvl w:val="0"/>
          <w:numId w:val="69"/>
        </w:numPr>
        <w:rPr>
          <w:szCs w:val="21"/>
        </w:rPr>
      </w:pPr>
      <w:r>
        <w:rPr>
          <w:szCs w:val="21"/>
        </w:rPr>
        <w:t>货币资金</w:t>
      </w:r>
    </w:p>
    <w:sdt>
      <w:sdtPr>
        <w:rPr>
          <w:rFonts w:hint="eastAsia"/>
        </w:rPr>
        <w:alias w:val="是否适用：货币资金[双击切换]"/>
        <w:tag w:val="_GBC_7583a9a918ef405ba2d26448cc628ff5"/>
        <w:id w:val="277229950"/>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napToGrid w:val="0"/>
        <w:spacing w:line="240" w:lineRule="atLeast"/>
        <w:jc w:val="right"/>
      </w:pPr>
      <w:r>
        <w:rPr>
          <w:rFonts w:hint="eastAsia"/>
        </w:rPr>
        <w:t>单位：</w:t>
      </w:r>
      <w:sdt>
        <w:sdtPr>
          <w:rPr>
            <w:rFonts w:hint="eastAsia"/>
          </w:rPr>
          <w:alias w:val="单位：财务附注：货币资金"/>
          <w:tag w:val="_GBC_837f4fb04cac4b8aa6bed7dc457a1486"/>
          <w:id w:val="2756105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货币资金"/>
          <w:tag w:val="_GBC_6a1d907ad1af44b1a90a92ac03d51b34"/>
          <w:id w:val="-4762216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58"/>
        <w:gridCol w:w="2904"/>
        <w:gridCol w:w="2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40e7daf451b4f14ba49162bfbbd1e72"/>
            <w:id w:val="1741205489"/>
          </w:sdtPr>
          <w:sdtContent>
            <w:tc>
              <w:tcPr>
                <w:tcW w:w="1743" w:type="pct"/>
                <w:shd w:val="clear" w:color="auto" w:fill="auto"/>
                <w:vAlign w:val="center"/>
              </w:tcPr>
              <w:p>
                <w:pPr>
                  <w:autoSpaceDE w:val="0"/>
                  <w:autoSpaceDN w:val="0"/>
                  <w:adjustRightInd w:val="0"/>
                  <w:snapToGrid w:val="0"/>
                  <w:spacing w:line="240" w:lineRule="atLeast"/>
                  <w:jc w:val="center"/>
                </w:pPr>
                <w:r>
                  <w:rPr>
                    <w:rFonts w:hint="eastAsia"/>
                  </w:rPr>
                  <w:t>项目</w:t>
                </w:r>
              </w:p>
            </w:tc>
          </w:sdtContent>
        </w:sdt>
        <w:sdt>
          <w:sdtPr>
            <w:tag w:val="_PLD_79d1e78073b542bda1ea85bf8925b2cd"/>
            <w:id w:val="645862141"/>
          </w:sdtPr>
          <w:sdtContent>
            <w:tc>
              <w:tcPr>
                <w:tcW w:w="1603" w:type="pct"/>
                <w:shd w:val="clear" w:color="auto" w:fill="auto"/>
                <w:vAlign w:val="center"/>
              </w:tcPr>
              <w:p>
                <w:pPr>
                  <w:autoSpaceDE w:val="0"/>
                  <w:autoSpaceDN w:val="0"/>
                  <w:adjustRightInd w:val="0"/>
                  <w:snapToGrid w:val="0"/>
                  <w:spacing w:line="240" w:lineRule="atLeast"/>
                  <w:jc w:val="center"/>
                </w:pPr>
                <w:r>
                  <w:rPr>
                    <w:rFonts w:hint="eastAsia"/>
                  </w:rPr>
                  <w:t>期末余额</w:t>
                </w:r>
              </w:p>
            </w:tc>
          </w:sdtContent>
        </w:sdt>
        <w:sdt>
          <w:sdtPr>
            <w:tag w:val="_PLD_725adef951424bb094850d632de69fd0"/>
            <w:id w:val="-1278860492"/>
          </w:sdtPr>
          <w:sdtContent>
            <w:tc>
              <w:tcPr>
                <w:tcW w:w="1655" w:type="pct"/>
                <w:shd w:val="clear" w:color="auto" w:fill="auto"/>
                <w:vAlign w:val="center"/>
              </w:tcPr>
              <w:p>
                <w:pPr>
                  <w:autoSpaceDE w:val="0"/>
                  <w:autoSpaceDN w:val="0"/>
                  <w:adjustRightInd w:val="0"/>
                  <w:snapToGrid w:val="0"/>
                  <w:spacing w:line="240" w:lineRule="atLeast"/>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43" w:type="pct"/>
            <w:shd w:val="clear" w:color="auto" w:fill="auto"/>
          </w:tcPr>
          <w:p>
            <w:pPr>
              <w:autoSpaceDE w:val="0"/>
              <w:autoSpaceDN w:val="0"/>
              <w:adjustRightInd w:val="0"/>
              <w:snapToGrid w:val="0"/>
              <w:spacing w:line="240" w:lineRule="atLeast"/>
            </w:pPr>
            <w:r>
              <w:rPr>
                <w:rFonts w:hint="eastAsia"/>
              </w:rPr>
              <w:t>库存现金</w:t>
            </w:r>
          </w:p>
        </w:tc>
        <w:tc>
          <w:tcPr>
            <w:tcW w:w="1603"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139</w:t>
            </w:r>
          </w:p>
        </w:tc>
        <w:tc>
          <w:tcPr>
            <w:tcW w:w="1655"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43" w:type="pct"/>
            <w:shd w:val="clear" w:color="auto" w:fill="auto"/>
          </w:tcPr>
          <w:p>
            <w:pPr>
              <w:autoSpaceDE w:val="0"/>
              <w:autoSpaceDN w:val="0"/>
              <w:adjustRightInd w:val="0"/>
              <w:snapToGrid w:val="0"/>
              <w:spacing w:line="240" w:lineRule="atLeast"/>
            </w:pPr>
            <w:r>
              <w:rPr>
                <w:rFonts w:hint="eastAsia"/>
              </w:rPr>
              <w:t>银行存款</w:t>
            </w:r>
          </w:p>
        </w:tc>
        <w:tc>
          <w:tcPr>
            <w:tcW w:w="1603"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30,268,061</w:t>
            </w:r>
          </w:p>
        </w:tc>
        <w:tc>
          <w:tcPr>
            <w:tcW w:w="1655"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58,312,841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43" w:type="pct"/>
            <w:shd w:val="clear" w:color="auto" w:fill="auto"/>
          </w:tcPr>
          <w:p>
            <w:pPr>
              <w:autoSpaceDE w:val="0"/>
              <w:autoSpaceDN w:val="0"/>
              <w:adjustRightInd w:val="0"/>
              <w:snapToGrid w:val="0"/>
              <w:spacing w:line="240" w:lineRule="atLeast"/>
            </w:pPr>
            <w:r>
              <w:rPr>
                <w:rFonts w:hint="eastAsia"/>
              </w:rPr>
              <w:t>其他货币资金</w:t>
            </w:r>
          </w:p>
        </w:tc>
        <w:tc>
          <w:tcPr>
            <w:tcW w:w="1603"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7,328,936</w:t>
            </w:r>
          </w:p>
        </w:tc>
        <w:tc>
          <w:tcPr>
            <w:tcW w:w="1655"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8,280,283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43" w:type="pct"/>
            <w:shd w:val="clear" w:color="auto" w:fill="auto"/>
            <w:vAlign w:val="center"/>
          </w:tcPr>
          <w:p>
            <w:pPr>
              <w:autoSpaceDE w:val="0"/>
              <w:autoSpaceDN w:val="0"/>
              <w:adjustRightInd w:val="0"/>
              <w:snapToGrid w:val="0"/>
              <w:spacing w:line="240" w:lineRule="atLeast"/>
            </w:pPr>
            <w:r>
              <w:rPr>
                <w:rFonts w:hint="eastAsia"/>
              </w:rPr>
              <w:t>合计</w:t>
            </w:r>
          </w:p>
        </w:tc>
        <w:tc>
          <w:tcPr>
            <w:tcW w:w="1603"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37,597,136</w:t>
            </w:r>
          </w:p>
        </w:tc>
        <w:tc>
          <w:tcPr>
            <w:tcW w:w="1655"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66,593,273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43" w:type="pct"/>
            <w:shd w:val="clear" w:color="auto" w:fill="auto"/>
          </w:tcPr>
          <w:p>
            <w:pPr>
              <w:autoSpaceDE w:val="0"/>
              <w:autoSpaceDN w:val="0"/>
              <w:adjustRightInd w:val="0"/>
              <w:snapToGrid w:val="0"/>
              <w:spacing w:line="240" w:lineRule="atLeast"/>
              <w:ind w:leftChars="-10" w:hanging="21" w:hangingChars="10"/>
              <w:jc w:val="center"/>
            </w:pPr>
            <w:r>
              <w:rPr>
                <w:rFonts w:hint="eastAsia"/>
              </w:rPr>
              <w:t xml:space="preserve"> 其中：存放在境外的款项总额</w:t>
            </w:r>
          </w:p>
        </w:tc>
        <w:tc>
          <w:tcPr>
            <w:tcW w:w="1603"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8,270,856</w:t>
            </w:r>
          </w:p>
        </w:tc>
        <w:tc>
          <w:tcPr>
            <w:tcW w:w="1655"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16,791,486</w:t>
            </w:r>
          </w:p>
        </w:tc>
      </w:tr>
    </w:tbl>
    <w:p>
      <w:pPr>
        <w:pStyle w:val="531"/>
      </w:pPr>
    </w:p>
    <w:p>
      <w:pPr>
        <w:pStyle w:val="501"/>
      </w:pPr>
      <w:r>
        <w:rPr>
          <w:rFonts w:hint="eastAsia"/>
        </w:rPr>
        <w:t>其他说明</w:t>
      </w:r>
    </w:p>
    <w:sdt>
      <w:sdtPr>
        <w:alias w:val="货币资金的说明"/>
        <w:tag w:val="_GBC_672a863055084dfabbc1ba40f04a68b4"/>
        <w:id w:val="-663547910"/>
        <w:placeholder>
          <w:docPart w:val="GBC22222222222222222222222222222"/>
        </w:placeholder>
      </w:sdtPr>
      <w:sdtContent>
        <w:p>
          <w:pPr>
            <w:pStyle w:val="501"/>
          </w:pPr>
          <w:r>
            <w:rPr>
              <w:rFonts w:hint="eastAsia" w:asciiTheme="majorEastAsia" w:hAnsiTheme="majorEastAsia" w:eastAsiaTheme="majorEastAsia"/>
              <w:bCs/>
              <w:sz w:val="22"/>
              <w:szCs w:val="22"/>
            </w:rPr>
            <w:t>本集团限制用途的资金主要包括：</w:t>
          </w:r>
        </w:p>
        <w:tbl>
          <w:tblPr>
            <w:tblStyle w:val="9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5"/>
            <w:gridCol w:w="2807"/>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75" w:type="dxa"/>
                <w:vAlign w:val="center"/>
              </w:tcPr>
              <w:p>
                <w:pPr>
                  <w:jc w:val="center"/>
                  <w:rPr>
                    <w:rFonts w:ascii="Times New Roman" w:hAnsi="Times New Roman"/>
                  </w:rPr>
                </w:pPr>
                <w:r>
                  <w:rPr>
                    <w:rFonts w:hint="eastAsia" w:ascii="Times New Roman" w:hAnsi="Times New Roman"/>
                  </w:rPr>
                  <w:t>项目</w:t>
                </w:r>
              </w:p>
            </w:tc>
            <w:tc>
              <w:tcPr>
                <w:tcW w:w="2807" w:type="dxa"/>
                <w:vAlign w:val="center"/>
              </w:tcPr>
              <w:p>
                <w:pPr>
                  <w:jc w:val="center"/>
                  <w:rPr>
                    <w:rFonts w:ascii="Times New Roman" w:hAnsi="Times New Roman"/>
                  </w:rPr>
                </w:pPr>
                <w:r>
                  <w:rPr>
                    <w:rFonts w:hint="eastAsia" w:ascii="Times New Roman" w:hAnsi="Times New Roman"/>
                  </w:rPr>
                  <w:t>年末余额</w:t>
                </w:r>
              </w:p>
            </w:tc>
            <w:tc>
              <w:tcPr>
                <w:tcW w:w="2941" w:type="dxa"/>
                <w:vAlign w:val="center"/>
              </w:tcPr>
              <w:p>
                <w:pPr>
                  <w:jc w:val="center"/>
                  <w:rPr>
                    <w:rFonts w:ascii="Times New Roman" w:hAnsi="Times New Roman"/>
                  </w:rPr>
                </w:pPr>
                <w:r>
                  <w:rPr>
                    <w:rFonts w:hint="eastAsia" w:ascii="Times New Roman" w:hAnsi="Times New Roman"/>
                  </w:rPr>
                  <w:t>年初余额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Align w:val="center"/>
              </w:tcPr>
              <w:p>
                <w:pPr>
                  <w:rPr>
                    <w:rFonts w:ascii="Times New Roman" w:hAnsi="Times New Roman"/>
                  </w:rPr>
                </w:pPr>
                <w:r>
                  <w:rPr>
                    <w:rFonts w:hint="eastAsia" w:ascii="Times New Roman" w:hAnsi="Times New Roman"/>
                  </w:rPr>
                  <w:t>票据及信用证保证金</w:t>
                </w:r>
              </w:p>
            </w:tc>
            <w:tc>
              <w:tcPr>
                <w:tcW w:w="2807" w:type="dxa"/>
                <w:vAlign w:val="center"/>
              </w:tcPr>
              <w:p>
                <w:pPr>
                  <w:jc w:val="right"/>
                  <w:rPr>
                    <w:rFonts w:ascii="宋体" w:hAnsi="宋体"/>
                  </w:rPr>
                </w:pPr>
                <w:r>
                  <w:rPr>
                    <w:rFonts w:hint="eastAsia" w:ascii="宋体" w:hAnsi="宋体"/>
                  </w:rPr>
                  <w:t>2,875,788</w:t>
                </w:r>
              </w:p>
            </w:tc>
            <w:tc>
              <w:tcPr>
                <w:tcW w:w="2941" w:type="dxa"/>
                <w:vAlign w:val="center"/>
              </w:tcPr>
              <w:p>
                <w:pPr>
                  <w:jc w:val="right"/>
                  <w:rPr>
                    <w:rFonts w:ascii="宋体" w:hAnsi="宋体"/>
                  </w:rPr>
                </w:pPr>
                <w:r>
                  <w:rPr>
                    <w:rFonts w:hint="eastAsia" w:ascii="宋体" w:hAnsi="宋体"/>
                  </w:rPr>
                  <w:t>2,857,243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Align w:val="center"/>
              </w:tcPr>
              <w:p>
                <w:pPr>
                  <w:rPr>
                    <w:rFonts w:ascii="Times New Roman" w:hAnsi="Times New Roman"/>
                  </w:rPr>
                </w:pPr>
                <w:r>
                  <w:rPr>
                    <w:rFonts w:hint="eastAsia" w:ascii="Times New Roman" w:hAnsi="Times New Roman"/>
                  </w:rPr>
                  <w:t>环境恢复治理基金</w:t>
                </w:r>
              </w:p>
            </w:tc>
            <w:tc>
              <w:tcPr>
                <w:tcW w:w="2807" w:type="dxa"/>
                <w:vAlign w:val="center"/>
              </w:tcPr>
              <w:p>
                <w:pPr>
                  <w:jc w:val="right"/>
                  <w:rPr>
                    <w:rFonts w:ascii="宋体" w:hAnsi="宋体"/>
                  </w:rPr>
                </w:pPr>
                <w:r>
                  <w:rPr>
                    <w:rFonts w:hint="eastAsia" w:ascii="宋体" w:hAnsi="宋体"/>
                  </w:rPr>
                  <w:t>2,736,368</w:t>
                </w:r>
              </w:p>
            </w:tc>
            <w:tc>
              <w:tcPr>
                <w:tcW w:w="2941" w:type="dxa"/>
                <w:vAlign w:val="center"/>
              </w:tcPr>
              <w:p>
                <w:pPr>
                  <w:jc w:val="right"/>
                  <w:rPr>
                    <w:rFonts w:ascii="宋体" w:hAnsi="宋体"/>
                  </w:rPr>
                </w:pPr>
                <w:r>
                  <w:rPr>
                    <w:rFonts w:hint="eastAsia" w:ascii="宋体" w:hAnsi="宋体"/>
                  </w:rPr>
                  <w:t>2,165,121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Align w:val="center"/>
              </w:tcPr>
              <w:p>
                <w:pPr>
                  <w:rPr>
                    <w:rFonts w:ascii="Times New Roman" w:hAnsi="Times New Roman"/>
                  </w:rPr>
                </w:pPr>
                <w:r>
                  <w:rPr>
                    <w:rFonts w:hint="eastAsia" w:ascii="Times New Roman" w:hAnsi="Times New Roman"/>
                  </w:rPr>
                  <w:t>法定存款保证金</w:t>
                </w:r>
              </w:p>
            </w:tc>
            <w:tc>
              <w:tcPr>
                <w:tcW w:w="2807" w:type="dxa"/>
                <w:vAlign w:val="center"/>
              </w:tcPr>
              <w:p>
                <w:pPr>
                  <w:jc w:val="right"/>
                  <w:rPr>
                    <w:rFonts w:ascii="宋体" w:hAnsi="宋体"/>
                  </w:rPr>
                </w:pPr>
                <w:r>
                  <w:rPr>
                    <w:rFonts w:hint="eastAsia" w:ascii="宋体" w:hAnsi="宋体"/>
                  </w:rPr>
                  <w:t>1,524,257</w:t>
                </w:r>
              </w:p>
            </w:tc>
            <w:tc>
              <w:tcPr>
                <w:tcW w:w="2941" w:type="dxa"/>
                <w:vAlign w:val="center"/>
              </w:tcPr>
              <w:p>
                <w:pPr>
                  <w:jc w:val="right"/>
                  <w:rPr>
                    <w:rFonts w:ascii="宋体" w:hAnsi="宋体"/>
                  </w:rPr>
                </w:pPr>
                <w:r>
                  <w:rPr>
                    <w:rFonts w:hint="eastAsia" w:ascii="宋体" w:hAnsi="宋体"/>
                  </w:rPr>
                  <w:t>2,524,619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Align w:val="center"/>
              </w:tcPr>
              <w:p>
                <w:pPr>
                  <w:rPr>
                    <w:rFonts w:ascii="Times New Roman" w:hAnsi="Times New Roman"/>
                  </w:rPr>
                </w:pPr>
                <w:r>
                  <w:rPr>
                    <w:rFonts w:hint="eastAsia" w:ascii="Times New Roman" w:hAnsi="Times New Roman"/>
                  </w:rPr>
                  <w:t>冻结资金</w:t>
                </w:r>
              </w:p>
            </w:tc>
            <w:tc>
              <w:tcPr>
                <w:tcW w:w="2807" w:type="dxa"/>
                <w:vAlign w:val="center"/>
              </w:tcPr>
              <w:p>
                <w:pPr>
                  <w:jc w:val="right"/>
                  <w:rPr>
                    <w:rFonts w:ascii="宋体" w:hAnsi="宋体"/>
                  </w:rPr>
                </w:pPr>
                <w:r>
                  <w:rPr>
                    <w:rFonts w:hint="eastAsia" w:ascii="宋体" w:hAnsi="宋体"/>
                  </w:rPr>
                  <w:t>56,872</w:t>
                </w:r>
              </w:p>
            </w:tc>
            <w:tc>
              <w:tcPr>
                <w:tcW w:w="2941" w:type="dxa"/>
                <w:vAlign w:val="center"/>
              </w:tcPr>
              <w:p>
                <w:pPr>
                  <w:jc w:val="right"/>
                  <w:rPr>
                    <w:rFonts w:ascii="宋体" w:hAnsi="宋体"/>
                  </w:rPr>
                </w:pPr>
                <w:r>
                  <w:rPr>
                    <w:rFonts w:hint="eastAsia" w:ascii="宋体" w:hAnsi="宋体"/>
                  </w:rPr>
                  <w:t>243,679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Align w:val="center"/>
              </w:tcPr>
              <w:p>
                <w:pPr>
                  <w:rPr>
                    <w:rFonts w:ascii="Times New Roman" w:hAnsi="Times New Roman"/>
                  </w:rPr>
                </w:pPr>
                <w:r>
                  <w:rPr>
                    <w:rFonts w:hint="eastAsia" w:ascii="Times New Roman" w:hAnsi="Times New Roman"/>
                  </w:rPr>
                  <w:t>质押的定期存款</w:t>
                </w:r>
              </w:p>
            </w:tc>
            <w:tc>
              <w:tcPr>
                <w:tcW w:w="2807" w:type="dxa"/>
                <w:vAlign w:val="center"/>
              </w:tcPr>
              <w:p>
                <w:pPr>
                  <w:jc w:val="right"/>
                  <w:rPr>
                    <w:rFonts w:ascii="宋体" w:hAnsi="宋体"/>
                  </w:rPr>
                </w:pPr>
                <w:r>
                  <w:rPr>
                    <w:rFonts w:hint="eastAsia" w:ascii="宋体" w:hAnsi="宋体"/>
                  </w:rPr>
                  <w:t>56,600</w:t>
                </w:r>
              </w:p>
            </w:tc>
            <w:tc>
              <w:tcPr>
                <w:tcW w:w="2941" w:type="dxa"/>
                <w:vAlign w:val="center"/>
              </w:tcPr>
              <w:p>
                <w:pPr>
                  <w:jc w:val="right"/>
                  <w:rPr>
                    <w:rFonts w:ascii="宋体" w:hAnsi="宋体"/>
                  </w:rPr>
                </w:pPr>
                <w:r>
                  <w:rPr>
                    <w:rFonts w:hint="eastAsia" w:ascii="宋体" w:hAnsi="宋体"/>
                  </w:rPr>
                  <w:t>472,134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Align w:val="center"/>
              </w:tcPr>
              <w:p>
                <w:pPr>
                  <w:rPr>
                    <w:rFonts w:ascii="Times New Roman" w:hAnsi="Times New Roman"/>
                  </w:rPr>
                </w:pPr>
                <w:r>
                  <w:rPr>
                    <w:rFonts w:hint="eastAsia" w:ascii="Times New Roman" w:hAnsi="Times New Roman"/>
                  </w:rPr>
                  <w:t>贷款保证金</w:t>
                </w:r>
              </w:p>
            </w:tc>
            <w:tc>
              <w:tcPr>
                <w:tcW w:w="2807" w:type="dxa"/>
                <w:vAlign w:val="center"/>
              </w:tcPr>
              <w:p>
                <w:pPr>
                  <w:jc w:val="right"/>
                  <w:rPr>
                    <w:rFonts w:ascii="宋体" w:hAnsi="宋体"/>
                  </w:rPr>
                </w:pPr>
              </w:p>
            </w:tc>
            <w:tc>
              <w:tcPr>
                <w:tcW w:w="2941" w:type="dxa"/>
                <w:vAlign w:val="center"/>
              </w:tcPr>
              <w:p>
                <w:pPr>
                  <w:jc w:val="right"/>
                  <w:rPr>
                    <w:rFonts w:ascii="宋体" w:hAnsi="宋体"/>
                  </w:rPr>
                </w:pPr>
                <w:r>
                  <w:rPr>
                    <w:rFonts w:hint="eastAsia" w:ascii="宋体" w:hAnsi="宋体"/>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Align w:val="center"/>
              </w:tcPr>
              <w:p>
                <w:pPr>
                  <w:rPr>
                    <w:rFonts w:ascii="Times New Roman" w:hAnsi="Times New Roman"/>
                  </w:rPr>
                </w:pPr>
                <w:r>
                  <w:rPr>
                    <w:rFonts w:hint="eastAsia" w:ascii="Times New Roman" w:hAnsi="Times New Roman"/>
                  </w:rPr>
                  <w:t>其他保证金</w:t>
                </w:r>
              </w:p>
            </w:tc>
            <w:tc>
              <w:tcPr>
                <w:tcW w:w="2807" w:type="dxa"/>
                <w:vAlign w:val="center"/>
              </w:tcPr>
              <w:p>
                <w:pPr>
                  <w:jc w:val="right"/>
                  <w:rPr>
                    <w:rFonts w:ascii="宋体" w:hAnsi="宋体"/>
                  </w:rPr>
                </w:pPr>
                <w:r>
                  <w:rPr>
                    <w:rFonts w:hint="eastAsia" w:ascii="宋体" w:hAnsi="宋体"/>
                  </w:rPr>
                  <w:t>79,051</w:t>
                </w:r>
              </w:p>
            </w:tc>
            <w:tc>
              <w:tcPr>
                <w:tcW w:w="2941" w:type="dxa"/>
                <w:vAlign w:val="center"/>
              </w:tcPr>
              <w:p>
                <w:pPr>
                  <w:jc w:val="right"/>
                  <w:rPr>
                    <w:rFonts w:ascii="宋体" w:hAnsi="宋体"/>
                  </w:rPr>
                </w:pPr>
                <w:r>
                  <w:rPr>
                    <w:rFonts w:hint="eastAsia" w:ascii="宋体" w:hAnsi="宋体"/>
                  </w:rPr>
                  <w:t>17,320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Align w:val="center"/>
              </w:tcPr>
              <w:p>
                <w:pPr>
                  <w:jc w:val="center"/>
                  <w:rPr>
                    <w:rFonts w:ascii="Times New Roman" w:hAnsi="Times New Roman"/>
                  </w:rPr>
                </w:pPr>
                <w:r>
                  <w:rPr>
                    <w:rFonts w:hint="eastAsia" w:ascii="Times New Roman" w:hAnsi="Times New Roman"/>
                  </w:rPr>
                  <w:t>合计</w:t>
                </w:r>
              </w:p>
            </w:tc>
            <w:tc>
              <w:tcPr>
                <w:tcW w:w="2807" w:type="dxa"/>
                <w:vAlign w:val="center"/>
              </w:tcPr>
              <w:p>
                <w:pPr>
                  <w:jc w:val="right"/>
                  <w:rPr>
                    <w:rFonts w:ascii="宋体" w:hAnsi="宋体"/>
                  </w:rPr>
                </w:pPr>
                <w:r>
                  <w:rPr>
                    <w:rFonts w:hint="eastAsia" w:ascii="宋体" w:hAnsi="宋体"/>
                  </w:rPr>
                  <w:t>7,328,936</w:t>
                </w:r>
              </w:p>
            </w:tc>
            <w:tc>
              <w:tcPr>
                <w:tcW w:w="2941" w:type="dxa"/>
                <w:vAlign w:val="center"/>
              </w:tcPr>
              <w:p>
                <w:pPr>
                  <w:jc w:val="right"/>
                  <w:rPr>
                    <w:rFonts w:ascii="宋体" w:hAnsi="宋体"/>
                  </w:rPr>
                </w:pPr>
                <w:r>
                  <w:rPr>
                    <w:rFonts w:hint="eastAsia" w:ascii="宋体" w:hAnsi="宋体"/>
                  </w:rPr>
                  <w:t>8,280,143</w:t>
                </w:r>
              </w:p>
            </w:tc>
          </w:tr>
        </w:tbl>
        <w:p>
          <w:pPr>
            <w:pStyle w:val="501"/>
          </w:pPr>
        </w:p>
      </w:sdtContent>
    </w:sdt>
    <w:p>
      <w:pPr>
        <w:pStyle w:val="504"/>
        <w:numPr>
          <w:ilvl w:val="0"/>
          <w:numId w:val="69"/>
        </w:numPr>
        <w:rPr>
          <w:szCs w:val="21"/>
        </w:rPr>
      </w:pPr>
      <w:r>
        <w:rPr>
          <w:rFonts w:hint="eastAsia"/>
          <w:szCs w:val="21"/>
        </w:rPr>
        <w:t>交易性金融资产</w:t>
      </w:r>
    </w:p>
    <w:sdt>
      <w:sdtPr>
        <w:alias w:val="是否适用：交易性金融资产[双击切换]"/>
        <w:tag w:val="_GBC_c852c730c6fa4a3e8930f5cbbab9909f"/>
        <w:id w:val="674998167"/>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3286675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交易性金融资产"/>
          <w:tag w:val="_GBC_e8e3367ec5e14f73842c7a3ca8b264a2"/>
          <w:id w:val="-4455456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4"/>
        <w:gridCol w:w="2845"/>
        <w:gridCol w:w="3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3b99f59eccaa43478dfbfc184cd2ce48"/>
            <w:id w:val="-1067642189"/>
          </w:sdtPr>
          <w:sdtEndPr>
            <w:rPr>
              <w:rFonts w:ascii="宋体" w:hAnsi="宋体"/>
            </w:rPr>
          </w:sdtEndPr>
          <w:sdtContent>
            <w:tc>
              <w:tcPr>
                <w:tcW w:w="1765" w:type="pc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caf9d9000b3e44c1817249ef4121d5db"/>
            <w:id w:val="-1245637359"/>
          </w:sdtPr>
          <w:sdtEndPr>
            <w:rPr>
              <w:rFonts w:ascii="宋体" w:hAnsi="宋体"/>
            </w:rPr>
          </w:sdtEndPr>
          <w:sdtContent>
            <w:tc>
              <w:tcPr>
                <w:tcW w:w="1572" w:type="pct"/>
                <w:shd w:val="clear" w:color="auto" w:fill="auto"/>
                <w:vAlign w:val="center"/>
              </w:tcPr>
              <w:p>
                <w:pPr>
                  <w:autoSpaceDE w:val="0"/>
                  <w:autoSpaceDN w:val="0"/>
                  <w:adjustRightInd w:val="0"/>
                  <w:snapToGrid w:val="0"/>
                  <w:spacing w:line="240" w:lineRule="atLeast"/>
                  <w:jc w:val="center"/>
                  <w:rPr>
                    <w:rFonts w:ascii="宋体" w:hAnsi="宋体"/>
                  </w:rPr>
                </w:pPr>
                <w:r>
                  <w:rPr>
                    <w:rFonts w:hint="eastAsia" w:ascii="宋体" w:hAnsi="宋体"/>
                  </w:rPr>
                  <w:t>期末余额</w:t>
                </w:r>
              </w:p>
            </w:tc>
          </w:sdtContent>
        </w:sdt>
        <w:sdt>
          <w:sdtPr>
            <w:rPr>
              <w:rFonts w:ascii="宋体" w:hAnsi="宋体"/>
            </w:rPr>
            <w:tag w:val="_PLD_fd58d8f4bb044aef9b5735371503f591"/>
            <w:id w:val="1833111080"/>
          </w:sdtPr>
          <w:sdtEndPr>
            <w:rPr>
              <w:rFonts w:ascii="宋体" w:hAnsi="宋体"/>
            </w:rPr>
          </w:sdtEndPr>
          <w:sdtContent>
            <w:tc>
              <w:tcPr>
                <w:tcW w:w="1663" w:type="pct"/>
                <w:shd w:val="clear" w:color="auto" w:fill="auto"/>
                <w:vAlign w:val="center"/>
              </w:tcPr>
              <w:p>
                <w:pPr>
                  <w:autoSpaceDE w:val="0"/>
                  <w:autoSpaceDN w:val="0"/>
                  <w:adjustRightInd w:val="0"/>
                  <w:snapToGrid w:val="0"/>
                  <w:spacing w:line="240" w:lineRule="atLeast"/>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shd w:val="clear" w:color="auto" w:fill="auto"/>
          </w:tcPr>
          <w:p>
            <w:pPr>
              <w:autoSpaceDE w:val="0"/>
              <w:autoSpaceDN w:val="0"/>
              <w:adjustRightInd w:val="0"/>
              <w:ind w:firstLine="33" w:firstLineChars="16"/>
              <w:rPr>
                <w:rFonts w:ascii="宋体" w:hAnsi="宋体"/>
              </w:rPr>
            </w:pPr>
            <w:r>
              <w:rPr>
                <w:rFonts w:hint="eastAsia" w:ascii="宋体" w:hAnsi="宋体"/>
              </w:rPr>
              <w:t>特别收益权（注1）</w:t>
            </w:r>
          </w:p>
        </w:tc>
        <w:tc>
          <w:tcPr>
            <w:tcW w:w="1572" w:type="pct"/>
            <w:shd w:val="clear" w:color="auto" w:fill="auto"/>
            <w:vAlign w:val="center"/>
          </w:tcPr>
          <w:p>
            <w:pPr>
              <w:jc w:val="right"/>
              <w:rPr>
                <w:rFonts w:ascii="宋体" w:hAnsi="宋体"/>
              </w:rPr>
            </w:pPr>
            <w:r>
              <w:rPr>
                <w:rFonts w:hint="eastAsia" w:ascii="宋体" w:hAnsi="宋体"/>
                <w:color w:val="000000"/>
              </w:rPr>
              <w:t>107,247</w:t>
            </w:r>
          </w:p>
        </w:tc>
        <w:tc>
          <w:tcPr>
            <w:tcW w:w="1663" w:type="pct"/>
            <w:shd w:val="clear" w:color="auto" w:fill="auto"/>
            <w:vAlign w:val="center"/>
          </w:tcPr>
          <w:p>
            <w:pPr>
              <w:jc w:val="right"/>
              <w:rPr>
                <w:rFonts w:ascii="宋体" w:hAnsi="宋体"/>
              </w:rPr>
            </w:pPr>
            <w:r>
              <w:rPr>
                <w:rFonts w:hint="eastAsia" w:ascii="宋体" w:hAnsi="宋体"/>
                <w:color w:val="000000"/>
              </w:rPr>
              <w:t>94,276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shd w:val="clear" w:color="auto" w:fill="auto"/>
          </w:tcPr>
          <w:p>
            <w:pPr>
              <w:autoSpaceDE w:val="0"/>
              <w:autoSpaceDN w:val="0"/>
              <w:adjustRightInd w:val="0"/>
              <w:ind w:firstLine="33" w:firstLineChars="16"/>
              <w:rPr>
                <w:rFonts w:ascii="宋体" w:hAnsi="宋体"/>
              </w:rPr>
            </w:pPr>
            <w:r>
              <w:rPr>
                <w:rFonts w:hint="eastAsia" w:ascii="宋体" w:hAnsi="宋体"/>
              </w:rPr>
              <w:t>权益工具投资（注2）</w:t>
            </w:r>
          </w:p>
        </w:tc>
        <w:tc>
          <w:tcPr>
            <w:tcW w:w="1572" w:type="pct"/>
            <w:shd w:val="clear" w:color="auto" w:fill="auto"/>
            <w:vAlign w:val="center"/>
          </w:tcPr>
          <w:p>
            <w:pPr>
              <w:jc w:val="right"/>
              <w:rPr>
                <w:rFonts w:ascii="宋体" w:hAnsi="宋体"/>
              </w:rPr>
            </w:pPr>
            <w:r>
              <w:rPr>
                <w:rFonts w:hint="eastAsia" w:ascii="宋体" w:hAnsi="宋体"/>
              </w:rPr>
              <w:t>225</w:t>
            </w:r>
          </w:p>
        </w:tc>
        <w:tc>
          <w:tcPr>
            <w:tcW w:w="1663" w:type="pct"/>
            <w:shd w:val="clear" w:color="auto" w:fill="auto"/>
            <w:vAlign w:val="center"/>
          </w:tcPr>
          <w:p>
            <w:pPr>
              <w:jc w:val="right"/>
              <w:rPr>
                <w:rFonts w:ascii="宋体" w:hAnsi="宋体"/>
              </w:rPr>
            </w:pPr>
            <w:r>
              <w:rPr>
                <w:rFonts w:hint="eastAsia" w:ascii="宋体" w:hAnsi="宋体"/>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shd w:val="clear" w:color="auto" w:fill="auto"/>
          </w:tcPr>
          <w:p>
            <w:pPr>
              <w:autoSpaceDE w:val="0"/>
              <w:autoSpaceDN w:val="0"/>
              <w:adjustRightInd w:val="0"/>
              <w:ind w:firstLine="33" w:firstLineChars="16"/>
              <w:rPr>
                <w:rFonts w:ascii="宋体" w:hAnsi="宋体"/>
              </w:rPr>
            </w:pPr>
            <w:r>
              <w:rPr>
                <w:rFonts w:hint="eastAsia" w:ascii="宋体" w:hAnsi="宋体"/>
              </w:rPr>
              <w:t>货币基金</w:t>
            </w:r>
          </w:p>
        </w:tc>
        <w:tc>
          <w:tcPr>
            <w:tcW w:w="1572" w:type="pct"/>
            <w:shd w:val="clear" w:color="auto" w:fill="auto"/>
          </w:tcPr>
          <w:p>
            <w:pPr>
              <w:jc w:val="right"/>
              <w:rPr>
                <w:rFonts w:ascii="宋体" w:hAnsi="宋体"/>
              </w:rPr>
            </w:pPr>
          </w:p>
        </w:tc>
        <w:tc>
          <w:tcPr>
            <w:tcW w:w="1663" w:type="pct"/>
            <w:shd w:val="clear" w:color="auto" w:fill="auto"/>
          </w:tcPr>
          <w:p>
            <w:pPr>
              <w:jc w:val="right"/>
              <w:rPr>
                <w:rFonts w:ascii="宋体" w:hAnsi="宋体"/>
              </w:rPr>
            </w:pPr>
            <w:r>
              <w:rPr>
                <w:rFonts w:ascii="宋体" w:hAnsi="宋体"/>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shd w:val="clear" w:color="auto" w:fill="auto"/>
            <w:vAlign w:val="center"/>
          </w:tcPr>
          <w:p>
            <w:pPr>
              <w:jc w:val="center"/>
              <w:rPr>
                <w:rFonts w:ascii="宋体" w:hAnsi="宋体"/>
              </w:rPr>
            </w:pPr>
            <w:r>
              <w:rPr>
                <w:rFonts w:hint="eastAsia" w:ascii="宋体" w:hAnsi="宋体"/>
              </w:rPr>
              <w:t>合计</w:t>
            </w:r>
          </w:p>
        </w:tc>
        <w:tc>
          <w:tcPr>
            <w:tcW w:w="1572" w:type="pct"/>
            <w:shd w:val="clear" w:color="auto" w:fill="auto"/>
          </w:tcPr>
          <w:p>
            <w:pPr>
              <w:jc w:val="right"/>
              <w:rPr>
                <w:rFonts w:ascii="宋体" w:hAnsi="宋体"/>
              </w:rPr>
            </w:pPr>
            <w:r>
              <w:rPr>
                <w:rFonts w:ascii="宋体" w:hAnsi="宋体"/>
              </w:rPr>
              <w:t>107,472</w:t>
            </w:r>
          </w:p>
        </w:tc>
        <w:tc>
          <w:tcPr>
            <w:tcW w:w="1663" w:type="pct"/>
            <w:shd w:val="clear" w:color="auto" w:fill="auto"/>
          </w:tcPr>
          <w:p>
            <w:pPr>
              <w:jc w:val="right"/>
              <w:rPr>
                <w:rFonts w:ascii="宋体" w:hAnsi="宋体"/>
              </w:rPr>
            </w:pPr>
            <w:r>
              <w:rPr>
                <w:rFonts w:ascii="宋体" w:hAnsi="宋体"/>
              </w:rPr>
              <w:t>95,713</w:t>
            </w:r>
          </w:p>
        </w:tc>
      </w:tr>
    </w:tbl>
    <w:p>
      <w:pPr>
        <w:pStyle w:val="501"/>
      </w:pPr>
    </w:p>
    <w:p>
      <w:pPr>
        <w:pStyle w:val="531"/>
      </w:pPr>
      <w:r>
        <w:rPr>
          <w:rFonts w:hint="eastAsia"/>
        </w:rPr>
        <w:t>其他</w:t>
      </w:r>
      <w:r>
        <w:t>说明</w:t>
      </w:r>
      <w:r>
        <w:rPr>
          <w:rFonts w:hint="eastAsia"/>
        </w:rPr>
        <w:t>：</w:t>
      </w:r>
    </w:p>
    <w:sdt>
      <w:sdtPr>
        <w:alias w:val="是否适用：交易性金融资产的说明[双击切换]"/>
        <w:tag w:val="_GBC_9bed9315a85147e7ac11c2b4bac78358"/>
        <w:id w:val="1387298553"/>
        <w:placeholder>
          <w:docPart w:val="GBC22222222222222222222222222222"/>
        </w:placeholder>
      </w:sdtPr>
      <w:sdtContent>
        <w:p>
          <w:pPr>
            <w:pStyle w:val="531"/>
          </w:pPr>
          <w:bookmarkStart w:id="219" w:name="_Hlk533595247"/>
          <w:bookmarkEnd w:id="21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交易性金融资产的说明"/>
        <w:tag w:val="_GBC_20a177fc99e145c4bb7b3119682db963"/>
        <w:id w:val="2141444682"/>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注1：交易性金融资产之特别收益权系本公司之子公司格罗斯特煤炭有限公司拥有的在中山矿项目中取得其按离港煤炭销售价4%计算的特别收益之权利。公司管理层于每报告日，对此项权利依据未来现金流量折现后的现值进行计量，变动损益计入当期损益。截至2023年12月31日，将未来一年内将取得的收益107,247千元作为交易性金融资产，超过一年将取得的收益949,704千元作为其他非流动金融资产。</w:t>
          </w:r>
        </w:p>
        <w:p>
          <w:pPr>
            <w:ind w:firstLine="420" w:firstLineChars="200"/>
            <w:rPr>
              <w:rFonts w:ascii="宋体" w:hAnsi="宋体"/>
            </w:rPr>
          </w:pPr>
          <w:r>
            <w:rPr>
              <w:rFonts w:hint="eastAsia" w:ascii="宋体" w:hAnsi="宋体"/>
            </w:rPr>
            <w:t>注2：交易性金融资产之权益工具投资系本公司根据重庆力帆汽车销售有限公司重整计划，取得的力帆科技（集团）股份有限公司62,875股A股股票，报告期末以该股票2023年12月31日的收盘价作为公允价值计价，变动损益计入当期损益。</w:t>
          </w:r>
        </w:p>
      </w:sdtContent>
    </w:sdt>
    <w:p>
      <w:pPr>
        <w:pStyle w:val="504"/>
        <w:numPr>
          <w:ilvl w:val="0"/>
          <w:numId w:val="69"/>
        </w:numPr>
        <w:rPr>
          <w:szCs w:val="21"/>
        </w:rPr>
      </w:pPr>
      <w:r>
        <w:rPr>
          <w:rFonts w:hint="eastAsia"/>
          <w:szCs w:val="21"/>
        </w:rPr>
        <w:t>衍生金融资产</w:t>
      </w:r>
    </w:p>
    <w:sdt>
      <w:sdtPr>
        <w:alias w:val="是否适用：衍生金融资产[双击切换]"/>
        <w:tag w:val="_GBC_d17bfaab262c4a499d0afca62045c5e0"/>
        <w:id w:val="-138432699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ind w:left="1470" w:right="25" w:rightChars="12" w:hanging="1470" w:hangingChars="700"/>
      </w:pPr>
    </w:p>
    <w:p>
      <w:pPr>
        <w:snapToGrid w:val="0"/>
        <w:spacing w:line="240" w:lineRule="atLeast"/>
        <w:ind w:left="1470" w:right="25" w:rightChars="12" w:hanging="1470" w:hangingChars="700"/>
      </w:pPr>
    </w:p>
    <w:p>
      <w:pPr>
        <w:pStyle w:val="504"/>
        <w:numPr>
          <w:ilvl w:val="0"/>
          <w:numId w:val="69"/>
        </w:numPr>
        <w:rPr>
          <w:rFonts w:ascii="宋体" w:hAnsi="宋体" w:cs="宋体"/>
          <w:kern w:val="0"/>
          <w:szCs w:val="21"/>
        </w:rPr>
      </w:pPr>
      <w:r>
        <w:rPr>
          <w:rFonts w:hint="eastAsia" w:ascii="宋体" w:hAnsi="宋体" w:cs="宋体"/>
          <w:kern w:val="0"/>
          <w:szCs w:val="21"/>
        </w:rPr>
        <w:t>应收票据</w:t>
      </w:r>
    </w:p>
    <w:p>
      <w:pPr>
        <w:pStyle w:val="505"/>
        <w:numPr>
          <w:ilvl w:val="3"/>
          <w:numId w:val="70"/>
        </w:numPr>
      </w:pPr>
      <w:r>
        <w:rPr>
          <w:rFonts w:hint="eastAsia"/>
        </w:rPr>
        <w:t>应收票据分类列示</w:t>
      </w:r>
    </w:p>
    <w:sdt>
      <w:sdtPr>
        <w:alias w:val="是否适用：应收票据分类列示[双击切换]"/>
        <w:tag w:val="_GBC_bdf010020d484a01ae60c52d7465a06a"/>
        <w:id w:val="-334457357"/>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jc w:val="right"/>
      </w:pPr>
      <w:r>
        <w:rPr>
          <w:rFonts w:hint="eastAsia"/>
        </w:rPr>
        <w:t>单位：</w:t>
      </w:r>
      <w:sdt>
        <w:sdtPr>
          <w:rPr>
            <w:rFonts w:hint="eastAsia"/>
          </w:rPr>
          <w:alias w:val="单位：财务附注：应收票据分类"/>
          <w:tag w:val="_GBC_4fa3399364a4449485326bfdb1de5245"/>
          <w:id w:val="-4766120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应收票据分类"/>
          <w:tag w:val="_GBC_0daf818486924555b786788616dee3e7"/>
          <w:id w:val="13573056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00"/>
        <w:gridCol w:w="2921"/>
        <w:gridCol w:w="2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d44f6beac5e4b8688c30e166c6780c8"/>
            <w:id w:val="-591160058"/>
          </w:sdtPr>
          <w:sdtContent>
            <w:tc>
              <w:tcPr>
                <w:tcW w:w="1766" w:type="pct"/>
                <w:vAlign w:val="center"/>
              </w:tcPr>
              <w:p>
                <w:pPr>
                  <w:autoSpaceDE w:val="0"/>
                  <w:autoSpaceDN w:val="0"/>
                  <w:adjustRightInd w:val="0"/>
                  <w:snapToGrid w:val="0"/>
                  <w:spacing w:line="240" w:lineRule="atLeast"/>
                  <w:jc w:val="center"/>
                </w:pPr>
                <w:r>
                  <w:rPr>
                    <w:rFonts w:hint="eastAsia"/>
                  </w:rPr>
                  <w:t>项目</w:t>
                </w:r>
              </w:p>
            </w:tc>
          </w:sdtContent>
        </w:sdt>
        <w:sdt>
          <w:sdtPr>
            <w:tag w:val="_PLD_dea2f5c6a1cb487287096a3435e5e8de"/>
            <w:id w:val="1458368941"/>
          </w:sdtPr>
          <w:sdtContent>
            <w:tc>
              <w:tcPr>
                <w:tcW w:w="1612" w:type="pct"/>
                <w:vAlign w:val="center"/>
              </w:tcPr>
              <w:p>
                <w:pPr>
                  <w:autoSpaceDE w:val="0"/>
                  <w:autoSpaceDN w:val="0"/>
                  <w:adjustRightInd w:val="0"/>
                  <w:snapToGrid w:val="0"/>
                  <w:spacing w:line="240" w:lineRule="atLeast"/>
                  <w:jc w:val="center"/>
                </w:pPr>
                <w:r>
                  <w:rPr>
                    <w:rFonts w:hint="eastAsia"/>
                  </w:rPr>
                  <w:t>期末余额</w:t>
                </w:r>
              </w:p>
            </w:tc>
          </w:sdtContent>
        </w:sdt>
        <w:sdt>
          <w:sdtPr>
            <w:tag w:val="_PLD_5d16922842b04d10836d1bc80b3b3b4e"/>
            <w:id w:val="-477687530"/>
          </w:sdtPr>
          <w:sdtContent>
            <w:tc>
              <w:tcPr>
                <w:tcW w:w="1621" w:type="pct"/>
                <w:vAlign w:val="center"/>
              </w:tcPr>
              <w:p>
                <w:pPr>
                  <w:autoSpaceDE w:val="0"/>
                  <w:autoSpaceDN w:val="0"/>
                  <w:adjustRightInd w:val="0"/>
                  <w:snapToGrid w:val="0"/>
                  <w:spacing w:line="240" w:lineRule="atLeast"/>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6" w:type="pct"/>
          </w:tcPr>
          <w:p>
            <w:pPr>
              <w:autoSpaceDE w:val="0"/>
              <w:autoSpaceDN w:val="0"/>
              <w:adjustRightInd w:val="0"/>
              <w:snapToGrid w:val="0"/>
              <w:spacing w:line="240" w:lineRule="atLeast"/>
            </w:pPr>
            <w:r>
              <w:rPr>
                <w:rFonts w:hint="eastAsia"/>
              </w:rPr>
              <w:t>银行承兑票据</w:t>
            </w:r>
          </w:p>
        </w:tc>
        <w:tc>
          <w:tcPr>
            <w:tcW w:w="1612" w:type="pct"/>
          </w:tcPr>
          <w:p>
            <w:pPr>
              <w:ind w:right="13"/>
              <w:jc w:val="right"/>
              <w:rPr>
                <w:rFonts w:ascii="宋体" w:hAnsi="宋体"/>
              </w:rPr>
            </w:pPr>
            <w:r>
              <w:rPr>
                <w:rFonts w:ascii="宋体" w:hAnsi="宋体"/>
              </w:rPr>
              <w:t>831,185</w:t>
            </w:r>
          </w:p>
        </w:tc>
        <w:tc>
          <w:tcPr>
            <w:tcW w:w="1621" w:type="pct"/>
          </w:tcPr>
          <w:p>
            <w:pPr>
              <w:ind w:right="13"/>
              <w:jc w:val="right"/>
              <w:rPr>
                <w:rFonts w:ascii="宋体" w:hAnsi="宋体"/>
              </w:rPr>
            </w:pPr>
            <w:r>
              <w:rPr>
                <w:rFonts w:ascii="宋体" w:hAnsi="宋体"/>
              </w:rPr>
              <w:t>1,056,814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6" w:type="pct"/>
          </w:tcPr>
          <w:p>
            <w:pPr>
              <w:autoSpaceDE w:val="0"/>
              <w:autoSpaceDN w:val="0"/>
              <w:adjustRightInd w:val="0"/>
              <w:snapToGrid w:val="0"/>
              <w:spacing w:line="240" w:lineRule="atLeast"/>
            </w:pPr>
            <w:r>
              <w:rPr>
                <w:rFonts w:hint="eastAsia"/>
              </w:rPr>
              <w:t>商业承兑票据</w:t>
            </w:r>
          </w:p>
        </w:tc>
        <w:tc>
          <w:tcPr>
            <w:tcW w:w="1612" w:type="pct"/>
          </w:tcPr>
          <w:p>
            <w:pPr>
              <w:ind w:right="13"/>
              <w:jc w:val="right"/>
              <w:rPr>
                <w:rFonts w:ascii="宋体" w:hAnsi="宋体"/>
              </w:rPr>
            </w:pPr>
            <w:r>
              <w:rPr>
                <w:rFonts w:ascii="宋体" w:hAnsi="宋体"/>
              </w:rPr>
              <w:t>38,226</w:t>
            </w:r>
          </w:p>
        </w:tc>
        <w:tc>
          <w:tcPr>
            <w:tcW w:w="1621" w:type="pct"/>
          </w:tcPr>
          <w:p>
            <w:pPr>
              <w:ind w:right="13"/>
              <w:jc w:val="right"/>
              <w:rPr>
                <w:rFonts w:ascii="宋体" w:hAnsi="宋体"/>
              </w:rPr>
            </w:pPr>
            <w:r>
              <w:rPr>
                <w:rFonts w:ascii="宋体" w:hAnsi="宋体"/>
              </w:rPr>
              <w:t>153,057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6" w:type="pct"/>
            <w:vAlign w:val="center"/>
          </w:tcPr>
          <w:p>
            <w:pPr>
              <w:autoSpaceDE w:val="0"/>
              <w:autoSpaceDN w:val="0"/>
              <w:adjustRightInd w:val="0"/>
              <w:snapToGrid w:val="0"/>
              <w:spacing w:line="240" w:lineRule="atLeast"/>
              <w:jc w:val="center"/>
            </w:pPr>
            <w:r>
              <w:rPr>
                <w:rFonts w:hint="eastAsia"/>
              </w:rPr>
              <w:t>合计</w:t>
            </w:r>
          </w:p>
        </w:tc>
        <w:tc>
          <w:tcPr>
            <w:tcW w:w="1612" w:type="pct"/>
          </w:tcPr>
          <w:p>
            <w:pPr>
              <w:jc w:val="right"/>
              <w:rPr>
                <w:rFonts w:ascii="宋体" w:hAnsi="宋体"/>
              </w:rPr>
            </w:pPr>
            <w:r>
              <w:rPr>
                <w:rFonts w:ascii="宋体" w:hAnsi="宋体"/>
              </w:rPr>
              <w:t>869,411</w:t>
            </w:r>
          </w:p>
        </w:tc>
        <w:tc>
          <w:tcPr>
            <w:tcW w:w="1621" w:type="pct"/>
          </w:tcPr>
          <w:p>
            <w:pPr>
              <w:autoSpaceDE w:val="0"/>
              <w:autoSpaceDN w:val="0"/>
              <w:adjustRightInd w:val="0"/>
              <w:jc w:val="right"/>
              <w:rPr>
                <w:rFonts w:ascii="宋体" w:hAnsi="宋体"/>
              </w:rPr>
            </w:pPr>
            <w:r>
              <w:rPr>
                <w:rFonts w:ascii="宋体" w:hAnsi="宋体"/>
              </w:rPr>
              <w:t>1,209,871</w:t>
            </w:r>
          </w:p>
        </w:tc>
      </w:tr>
    </w:tbl>
    <w:p>
      <w:pPr>
        <w:snapToGrid w:val="0"/>
        <w:spacing w:line="240" w:lineRule="atLeast"/>
      </w:pPr>
    </w:p>
    <w:p>
      <w:pPr>
        <w:snapToGrid w:val="0"/>
        <w:spacing w:line="240" w:lineRule="atLeast"/>
      </w:pPr>
    </w:p>
    <w:p>
      <w:pPr>
        <w:pStyle w:val="505"/>
        <w:numPr>
          <w:ilvl w:val="3"/>
          <w:numId w:val="70"/>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13718251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期末公司已抵押的应收票据情况"/>
          <w:tag w:val="_GBC_88ae26bc06554889af4ca1b04af173a2"/>
          <w:id w:val="-15748096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期末公司已抵押的应收票据情况"/>
          <w:tag w:val="_GBC_eae6c4df7ed442a192f280eac97a6bbe"/>
          <w:id w:val="-20226108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9"/>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fba821574d940ccb2b29fd9faa1df4d"/>
            <w:id w:val="653417417"/>
          </w:sdtPr>
          <w:sdtContent>
            <w:tc>
              <w:tcPr>
                <w:tcW w:w="2425" w:type="pct"/>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pPr>
                <w:r>
                  <w:rPr>
                    <w:rFonts w:hint="eastAsia"/>
                  </w:rPr>
                  <w:t>项目</w:t>
                </w:r>
              </w:p>
            </w:tc>
          </w:sdtContent>
        </w:sdt>
        <w:sdt>
          <w:sdtPr>
            <w:tag w:val="_PLD_6b8ef906a8a84040b5e0c0175f20353a"/>
            <w:id w:val="2102221852"/>
          </w:sdtPr>
          <w:sdtContent>
            <w:tc>
              <w:tcPr>
                <w:tcW w:w="2575" w:type="pct"/>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pPr>
                <w:r>
                  <w:rPr>
                    <w:rFonts w:hint="eastAsia"/>
                  </w:rPr>
                  <w:t>期末已质押金额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pct"/>
            <w:tcBorders>
              <w:top w:val="single" w:color="auto" w:sz="4" w:space="0"/>
              <w:left w:val="single" w:color="auto" w:sz="4" w:space="0"/>
              <w:bottom w:val="single" w:color="auto" w:sz="4" w:space="0"/>
              <w:right w:val="single" w:color="auto" w:sz="4" w:space="0"/>
            </w:tcBorders>
          </w:tcPr>
          <w:p>
            <w:pPr>
              <w:snapToGrid w:val="0"/>
              <w:spacing w:line="240" w:lineRule="atLeast"/>
            </w:pPr>
            <w:r>
              <w:rPr>
                <w:rFonts w:hint="eastAsia"/>
              </w:rPr>
              <w:t>银行承兑票据</w:t>
            </w:r>
          </w:p>
        </w:tc>
        <w:tc>
          <w:tcPr>
            <w:tcW w:w="2575" w:type="pct"/>
            <w:tcBorders>
              <w:top w:val="single" w:color="auto" w:sz="4" w:space="0"/>
              <w:left w:val="single" w:color="auto" w:sz="4" w:space="0"/>
              <w:bottom w:val="single" w:color="auto" w:sz="4" w:space="0"/>
              <w:right w:val="single" w:color="auto" w:sz="4" w:space="0"/>
            </w:tcBorders>
          </w:tcPr>
          <w:p>
            <w:pPr>
              <w:snapToGrid w:val="0"/>
              <w:spacing w:line="240" w:lineRule="atLeast"/>
              <w:jc w:val="right"/>
            </w:pPr>
            <w:r>
              <w:rPr>
                <w:rFonts w:asciiTheme="majorEastAsia" w:hAnsiTheme="majorEastAsia" w:eastAsiaTheme="majorEastAsia"/>
                <w:sz w:val="22"/>
                <w:szCs w:val="22"/>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pct"/>
            <w:tcBorders>
              <w:top w:val="single" w:color="auto" w:sz="4" w:space="0"/>
              <w:left w:val="single" w:color="auto" w:sz="4" w:space="0"/>
              <w:bottom w:val="single" w:color="auto" w:sz="4" w:space="0"/>
              <w:right w:val="single" w:color="auto" w:sz="4" w:space="0"/>
            </w:tcBorders>
          </w:tcPr>
          <w:p>
            <w:pPr>
              <w:snapToGrid w:val="0"/>
              <w:spacing w:line="240" w:lineRule="atLeast"/>
            </w:pPr>
            <w:r>
              <w:rPr>
                <w:rFonts w:hint="eastAsia"/>
              </w:rPr>
              <w:t>商业承兑票据</w:t>
            </w:r>
          </w:p>
        </w:tc>
        <w:tc>
          <w:tcPr>
            <w:tcW w:w="2575" w:type="pct"/>
            <w:tcBorders>
              <w:top w:val="single" w:color="auto" w:sz="4" w:space="0"/>
              <w:left w:val="single" w:color="auto" w:sz="4" w:space="0"/>
              <w:bottom w:val="single" w:color="auto" w:sz="4" w:space="0"/>
              <w:right w:val="single" w:color="auto" w:sz="4" w:space="0"/>
            </w:tcBorders>
          </w:tcPr>
          <w:p>
            <w:pPr>
              <w:snapToGrid w:val="0"/>
              <w:spacing w:line="240" w:lineRule="atLeast"/>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pPr>
            <w:r>
              <w:rPr>
                <w:rFonts w:hint="eastAsia"/>
              </w:rPr>
              <w:t>合计</w:t>
            </w:r>
          </w:p>
        </w:tc>
        <w:tc>
          <w:tcPr>
            <w:tcW w:w="2575" w:type="pct"/>
            <w:tcBorders>
              <w:top w:val="single" w:color="auto" w:sz="4" w:space="0"/>
              <w:left w:val="single" w:color="auto" w:sz="4" w:space="0"/>
              <w:bottom w:val="single" w:color="auto" w:sz="4" w:space="0"/>
              <w:right w:val="single" w:color="auto" w:sz="4" w:space="0"/>
            </w:tcBorders>
          </w:tcPr>
          <w:p>
            <w:pPr>
              <w:jc w:val="right"/>
            </w:pPr>
            <w:r>
              <w:rPr>
                <w:rFonts w:asciiTheme="majorEastAsia" w:hAnsiTheme="majorEastAsia" w:eastAsiaTheme="majorEastAsia"/>
                <w:sz w:val="22"/>
                <w:szCs w:val="22"/>
              </w:rPr>
              <w:t>8,000</w:t>
            </w:r>
          </w:p>
        </w:tc>
      </w:tr>
    </w:tbl>
    <w:p>
      <w:pPr>
        <w:pStyle w:val="501"/>
      </w:pPr>
    </w:p>
    <w:p>
      <w:pPr>
        <w:pStyle w:val="505"/>
        <w:numPr>
          <w:ilvl w:val="3"/>
          <w:numId w:val="70"/>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45590990"/>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6804574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6143475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4"/>
        <w:gridCol w:w="2733"/>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a87ff67e5b45fd8796a3a35ba8193e"/>
            <w:id w:val="1913037962"/>
          </w:sdtPr>
          <w:sdtContent>
            <w:tc>
              <w:tcPr>
                <w:tcW w:w="1765" w:type="pct"/>
                <w:shd w:val="clear" w:color="auto" w:fill="auto"/>
                <w:vAlign w:val="center"/>
              </w:tcPr>
              <w:p>
                <w:pPr>
                  <w:jc w:val="center"/>
                </w:pPr>
                <w:r>
                  <w:rPr>
                    <w:rFonts w:hint="eastAsia"/>
                  </w:rPr>
                  <w:t>项目</w:t>
                </w:r>
              </w:p>
            </w:tc>
          </w:sdtContent>
        </w:sdt>
        <w:sdt>
          <w:sdtPr>
            <w:tag w:val="_PLD_f9150e3257574b5dab33b7c7a9c74bd0"/>
            <w:id w:val="-1579121900"/>
          </w:sdtPr>
          <w:sdtContent>
            <w:tc>
              <w:tcPr>
                <w:tcW w:w="1510" w:type="pct"/>
                <w:shd w:val="clear" w:color="auto" w:fill="auto"/>
                <w:vAlign w:val="center"/>
              </w:tcPr>
              <w:p>
                <w:pPr>
                  <w:jc w:val="center"/>
                </w:pPr>
                <w:r>
                  <w:rPr>
                    <w:rFonts w:hint="eastAsia"/>
                  </w:rPr>
                  <w:t>期末终止确认金额</w:t>
                </w:r>
              </w:p>
            </w:tc>
          </w:sdtContent>
        </w:sdt>
        <w:sdt>
          <w:sdtPr>
            <w:tag w:val="_PLD_4f99e6fe1d4c4c57bab686890f8d0f57"/>
            <w:id w:val="-191147435"/>
          </w:sdtPr>
          <w:sdtContent>
            <w:tc>
              <w:tcPr>
                <w:tcW w:w="1725" w:type="pct"/>
                <w:shd w:val="clear" w:color="auto" w:fill="auto"/>
                <w:vAlign w:val="center"/>
              </w:tcPr>
              <w:p>
                <w:pPr>
                  <w:jc w:val="center"/>
                </w:pPr>
                <w:r>
                  <w:rPr>
                    <w:rFonts w:hint="eastAsia"/>
                  </w:rPr>
                  <w:t>期末未终止确认金额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shd w:val="clear" w:color="auto" w:fill="auto"/>
          </w:tcPr>
          <w:p>
            <w:pPr>
              <w:pStyle w:val="501"/>
            </w:pPr>
            <w:r>
              <w:rPr>
                <w:rFonts w:hint="eastAsia"/>
              </w:rPr>
              <w:t>银行承兑票据</w:t>
            </w:r>
          </w:p>
        </w:tc>
        <w:tc>
          <w:tcPr>
            <w:tcW w:w="1510" w:type="pct"/>
            <w:shd w:val="clear" w:color="auto" w:fill="auto"/>
          </w:tcPr>
          <w:p>
            <w:pPr>
              <w:jc w:val="right"/>
            </w:pPr>
          </w:p>
        </w:tc>
        <w:tc>
          <w:tcPr>
            <w:tcW w:w="1725" w:type="pct"/>
            <w:shd w:val="clear" w:color="auto" w:fill="auto"/>
          </w:tcPr>
          <w:p>
            <w:pPr>
              <w:jc w:val="right"/>
            </w:pPr>
            <w:r>
              <w:rPr>
                <w:rFonts w:asciiTheme="majorEastAsia" w:hAnsiTheme="majorEastAsia" w:eastAsiaTheme="majorEastAsia"/>
                <w:sz w:val="22"/>
                <w:szCs w:val="22"/>
              </w:rPr>
              <w:t>391,700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shd w:val="clear" w:color="auto" w:fill="auto"/>
          </w:tcPr>
          <w:p>
            <w:pPr>
              <w:pStyle w:val="531"/>
            </w:pPr>
            <w:r>
              <w:rPr>
                <w:rFonts w:hint="eastAsia"/>
              </w:rPr>
              <w:t>商业承兑票据</w:t>
            </w:r>
          </w:p>
        </w:tc>
        <w:tc>
          <w:tcPr>
            <w:tcW w:w="1510" w:type="pct"/>
            <w:shd w:val="clear" w:color="auto" w:fill="auto"/>
          </w:tcPr>
          <w:p>
            <w:pPr>
              <w:jc w:val="right"/>
            </w:pPr>
          </w:p>
        </w:tc>
        <w:tc>
          <w:tcPr>
            <w:tcW w:w="1725" w:type="pct"/>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pct"/>
            <w:shd w:val="clear" w:color="auto" w:fill="auto"/>
            <w:vAlign w:val="center"/>
          </w:tcPr>
          <w:p>
            <w:pPr>
              <w:jc w:val="center"/>
            </w:pPr>
            <w:r>
              <w:rPr>
                <w:rFonts w:hint="eastAsia"/>
              </w:rPr>
              <w:t>合计</w:t>
            </w:r>
          </w:p>
        </w:tc>
        <w:tc>
          <w:tcPr>
            <w:tcW w:w="1510" w:type="pct"/>
            <w:shd w:val="clear" w:color="auto" w:fill="auto"/>
          </w:tcPr>
          <w:p>
            <w:pPr>
              <w:jc w:val="right"/>
            </w:pPr>
          </w:p>
        </w:tc>
        <w:tc>
          <w:tcPr>
            <w:tcW w:w="1725" w:type="pct"/>
            <w:shd w:val="clear" w:color="auto" w:fill="auto"/>
          </w:tcPr>
          <w:p>
            <w:pPr>
              <w:jc w:val="right"/>
            </w:pPr>
            <w:r>
              <w:rPr>
                <w:rFonts w:asciiTheme="majorEastAsia" w:hAnsiTheme="majorEastAsia" w:eastAsiaTheme="majorEastAsia"/>
                <w:sz w:val="22"/>
                <w:szCs w:val="22"/>
              </w:rPr>
              <w:t>391,700</w:t>
            </w:r>
          </w:p>
        </w:tc>
      </w:tr>
    </w:tbl>
    <w:p>
      <w:pPr>
        <w:rPr>
          <w:rFonts w:ascii="Times New Roman" w:hAnsi="Times New Roman"/>
        </w:rPr>
      </w:pPr>
    </w:p>
    <w:p>
      <w:pPr>
        <w:pStyle w:val="505"/>
        <w:numPr>
          <w:ilvl w:val="3"/>
          <w:numId w:val="70"/>
        </w:numPr>
        <w:ind w:left="426" w:hanging="426"/>
      </w:pPr>
      <w:r>
        <w:t>按坏账计提方法分类披露</w:t>
      </w:r>
    </w:p>
    <w:sdt>
      <w:sdtPr>
        <w:alias w:val="是否适用：应收票据按坏账计提方法分类披露[双击切换]"/>
        <w:tag w:val="_GBC_806abc31b942462ba4b46f92c99312a5"/>
        <w:id w:val="-344408814"/>
        <w:placeholder>
          <w:docPart w:val="GBC22222222222222222222222222222"/>
        </w:placeholder>
      </w:sdtPr>
      <w:sdtContent>
        <w:p>
          <w:pPr>
            <w:pStyle w:val="531"/>
          </w:pPr>
          <w:bookmarkStart w:id="220" w:name="_Hlk53359624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7839581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应收票据按坏账计提方法分类披露"/>
          <w:tag w:val="_GBC_601e6cb0999d4fd599cfcacf79d2aa28"/>
          <w:id w:val="-4847069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975"/>
        <w:gridCol w:w="566"/>
        <w:gridCol w:w="563"/>
        <w:gridCol w:w="585"/>
        <w:gridCol w:w="975"/>
        <w:gridCol w:w="1191"/>
        <w:gridCol w:w="585"/>
        <w:gridCol w:w="599"/>
        <w:gridCol w:w="599"/>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blHeader/>
        </w:trPr>
        <w:sdt>
          <w:sdtPr>
            <w:rPr>
              <w:rFonts w:ascii="宋体" w:hAnsi="宋体"/>
            </w:rPr>
            <w:tag w:val="_PLD_694877484ae448bcbdceead91da15b38"/>
            <w:id w:val="130376026"/>
          </w:sdtPr>
          <w:sdtEndPr>
            <w:rPr>
              <w:rFonts w:ascii="宋体" w:hAnsi="宋体"/>
            </w:rPr>
          </w:sdtEndPr>
          <w:sdtContent>
            <w:tc>
              <w:tcPr>
                <w:tcW w:w="674" w:type="pct"/>
                <w:vMerge w:val="restart"/>
                <w:tcBorders>
                  <w:top w:val="single" w:color="auto" w:sz="4" w:space="0"/>
                  <w:left w:val="single" w:color="auto" w:sz="4" w:space="0"/>
                  <w:right w:val="single" w:color="auto" w:sz="4" w:space="0"/>
                </w:tcBorders>
                <w:vAlign w:val="center"/>
              </w:tcPr>
              <w:p>
                <w:pPr>
                  <w:jc w:val="center"/>
                  <w:rPr>
                    <w:rFonts w:ascii="宋体" w:hAnsi="宋体"/>
                  </w:rPr>
                </w:pPr>
                <w:bookmarkStart w:id="221" w:name="_Hlk533511527"/>
                <w:r>
                  <w:rPr>
                    <w:rFonts w:hint="eastAsia" w:ascii="宋体" w:hAnsi="宋体"/>
                  </w:rPr>
                  <w:t>类别</w:t>
                </w:r>
              </w:p>
            </w:tc>
          </w:sdtContent>
        </w:sdt>
        <w:sdt>
          <w:sdtPr>
            <w:rPr>
              <w:rFonts w:ascii="宋体" w:hAnsi="宋体"/>
            </w:rPr>
            <w:tag w:val="_PLD_fafb5208264e4d4bb8e6b267fb648c20"/>
            <w:id w:val="380823679"/>
          </w:sdtPr>
          <w:sdtEndPr>
            <w:rPr>
              <w:rFonts w:ascii="宋体" w:hAnsi="宋体"/>
            </w:rPr>
          </w:sdtEndPr>
          <w:sdtContent>
            <w:tc>
              <w:tcPr>
                <w:tcW w:w="2025"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期末余额</w:t>
                </w:r>
              </w:p>
            </w:tc>
          </w:sdtContent>
        </w:sdt>
        <w:sdt>
          <w:sdtPr>
            <w:rPr>
              <w:rFonts w:ascii="宋体" w:hAnsi="宋体"/>
            </w:rPr>
            <w:tag w:val="_PLD_8205b68975c546be850548a72e9a6054"/>
            <w:id w:val="749477256"/>
          </w:sdtPr>
          <w:sdtEndPr>
            <w:rPr>
              <w:rFonts w:ascii="宋体" w:hAnsi="宋体"/>
            </w:rPr>
          </w:sdtEndPr>
          <w:sdtContent>
            <w:tc>
              <w:tcPr>
                <w:tcW w:w="2301"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blHeader/>
        </w:trPr>
        <w:tc>
          <w:tcPr>
            <w:tcW w:w="674" w:type="pct"/>
            <w:vMerge w:val="continue"/>
            <w:tcBorders>
              <w:left w:val="single" w:color="auto" w:sz="4" w:space="0"/>
              <w:right w:val="single" w:color="auto" w:sz="4" w:space="0"/>
            </w:tcBorders>
            <w:vAlign w:val="center"/>
          </w:tcPr>
          <w:p>
            <w:pPr>
              <w:rPr>
                <w:rFonts w:ascii="宋体" w:hAnsi="宋体"/>
              </w:rPr>
            </w:pPr>
          </w:p>
        </w:tc>
        <w:sdt>
          <w:sdtPr>
            <w:rPr>
              <w:rFonts w:ascii="宋体" w:hAnsi="宋体"/>
            </w:rPr>
            <w:tag w:val="_PLD_7056cf81ea5945de8de7b1a9d0e25fd7"/>
            <w:id w:val="1116343667"/>
          </w:sdtPr>
          <w:sdtEndPr>
            <w:rPr>
              <w:rFonts w:ascii="宋体" w:hAnsi="宋体"/>
            </w:rPr>
          </w:sdtEndPr>
          <w:sdtContent>
            <w:tc>
              <w:tcPr>
                <w:tcW w:w="852"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34f16de3fbfe4d57907bcde799e70cf5"/>
            <w:id w:val="1028458351"/>
          </w:sdtPr>
          <w:sdtEndPr>
            <w:rPr>
              <w:rFonts w:ascii="宋体" w:hAnsi="宋体"/>
            </w:rPr>
          </w:sdtEndPr>
          <w:sdtContent>
            <w:tc>
              <w:tcPr>
                <w:tcW w:w="634"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cd77106f5f004386a9ab2d4ac038ed51"/>
            <w:id w:val="-2101856266"/>
          </w:sdtPr>
          <w:sdtEndPr>
            <w:rPr>
              <w:rFonts w:ascii="宋体" w:hAnsi="宋体"/>
            </w:rPr>
          </w:sdtEndPr>
          <w:sdtContent>
            <w:tc>
              <w:tcPr>
                <w:tcW w:w="539" w:type="pct"/>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sdt>
          <w:sdtPr>
            <w:rPr>
              <w:rFonts w:ascii="宋体" w:hAnsi="宋体"/>
            </w:rPr>
            <w:tag w:val="_PLD_f426e0de2bf0466d9f5f3a3cac025942"/>
            <w:id w:val="977721981"/>
          </w:sdtPr>
          <w:sdtEndPr>
            <w:rPr>
              <w:rFonts w:ascii="宋体" w:hAnsi="宋体"/>
            </w:rPr>
          </w:sdtEndPr>
          <w:sdtContent>
            <w:tc>
              <w:tcPr>
                <w:tcW w:w="981" w:type="pct"/>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42ed37b6856f4ff3b7f03ee8855d758a"/>
            <w:id w:val="1703518301"/>
          </w:sdtPr>
          <w:sdtEndPr>
            <w:rPr>
              <w:rFonts w:ascii="宋体" w:hAnsi="宋体"/>
            </w:rPr>
          </w:sdtEndPr>
          <w:sdtContent>
            <w:tc>
              <w:tcPr>
                <w:tcW w:w="662" w:type="pct"/>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f82bf84717ad44b1847dfdc19cbcf7f8"/>
            <w:id w:val="2123190218"/>
          </w:sdtPr>
          <w:sdtEndPr>
            <w:rPr>
              <w:rFonts w:ascii="宋体" w:hAnsi="宋体"/>
            </w:rPr>
          </w:sdtEndPr>
          <w:sdtContent>
            <w:tc>
              <w:tcPr>
                <w:tcW w:w="658" w:type="pct"/>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blHeader/>
        </w:trPr>
        <w:tc>
          <w:tcPr>
            <w:tcW w:w="674" w:type="pct"/>
            <w:vMerge w:val="continue"/>
            <w:tcBorders>
              <w:left w:val="single" w:color="auto" w:sz="4" w:space="0"/>
              <w:bottom w:val="single" w:color="auto" w:sz="4" w:space="0"/>
              <w:right w:val="single" w:color="auto" w:sz="4" w:space="0"/>
            </w:tcBorders>
            <w:vAlign w:val="center"/>
          </w:tcPr>
          <w:p>
            <w:pPr>
              <w:rPr>
                <w:rFonts w:ascii="宋体" w:hAnsi="宋体"/>
              </w:rPr>
            </w:pPr>
          </w:p>
        </w:tc>
        <w:sdt>
          <w:sdtPr>
            <w:rPr>
              <w:rFonts w:ascii="宋体" w:hAnsi="宋体"/>
            </w:rPr>
            <w:tag w:val="_PLD_aa10a65b20404088a51399b13bc1f8a5"/>
            <w:id w:val="1370112916"/>
          </w:sdtPr>
          <w:sdtEndPr>
            <w:rPr>
              <w:rFonts w:ascii="宋体" w:hAnsi="宋体"/>
            </w:rPr>
          </w:sdtEndPr>
          <w:sdtContent>
            <w:tc>
              <w:tcPr>
                <w:tcW w:w="539"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5ca29603eb73434e9c2b6a938262bcf4"/>
            <w:id w:val="-567883205"/>
          </w:sdtPr>
          <w:sdtEndPr>
            <w:rPr>
              <w:rFonts w:ascii="宋体" w:hAnsi="宋体"/>
            </w:rPr>
          </w:sdtEndPr>
          <w:sdtContent>
            <w:tc>
              <w:tcPr>
                <w:tcW w:w="313"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ascii="宋体" w:hAnsi="宋体"/>
            </w:rPr>
            <w:tag w:val="_PLD_6964d79d10954e17b7bb61b577242def"/>
            <w:id w:val="-1412148627"/>
          </w:sdtPr>
          <w:sdtEndPr>
            <w:rPr>
              <w:rFonts w:ascii="宋体" w:hAnsi="宋体"/>
            </w:rPr>
          </w:sdtEndPr>
          <w:sdtContent>
            <w:tc>
              <w:tcPr>
                <w:tcW w:w="311"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3b8eaa1922a244bea17eec1b5b1e71f7"/>
            <w:id w:val="1730348281"/>
          </w:sdtPr>
          <w:sdtEndPr>
            <w:rPr>
              <w:rFonts w:ascii="宋体" w:hAnsi="宋体"/>
            </w:rPr>
          </w:sdtEndPr>
          <w:sdtContent>
            <w:tc>
              <w:tcPr>
                <w:tcW w:w="323"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539" w:type="pct"/>
            <w:vMerge w:val="continue"/>
            <w:tcBorders>
              <w:left w:val="single" w:color="auto" w:sz="4" w:space="0"/>
              <w:bottom w:val="single" w:color="auto" w:sz="4" w:space="0"/>
              <w:right w:val="single" w:color="auto" w:sz="4" w:space="0"/>
            </w:tcBorders>
            <w:vAlign w:val="center"/>
          </w:tcPr>
          <w:p>
            <w:pPr>
              <w:jc w:val="center"/>
              <w:rPr>
                <w:rFonts w:ascii="宋体" w:hAnsi="宋体"/>
              </w:rPr>
            </w:pPr>
          </w:p>
        </w:tc>
        <w:sdt>
          <w:sdtPr>
            <w:rPr>
              <w:rFonts w:ascii="宋体" w:hAnsi="宋体"/>
            </w:rPr>
            <w:tag w:val="_PLD_2643b99ff0364343807a178f0f8dd5da"/>
            <w:id w:val="366260842"/>
          </w:sdtPr>
          <w:sdtEndPr>
            <w:rPr>
              <w:rFonts w:ascii="宋体" w:hAnsi="宋体"/>
            </w:rPr>
          </w:sdtEndPr>
          <w:sdtContent>
            <w:tc>
              <w:tcPr>
                <w:tcW w:w="658"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889230571c2941e88f231f43b4b8a99e"/>
            <w:id w:val="-32970607"/>
          </w:sdtPr>
          <w:sdtEndPr>
            <w:rPr>
              <w:rFonts w:ascii="宋体" w:hAnsi="宋体"/>
            </w:rPr>
          </w:sdtEndPr>
          <w:sdtContent>
            <w:tc>
              <w:tcPr>
                <w:tcW w:w="323"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ascii="宋体" w:hAnsi="宋体"/>
            </w:rPr>
            <w:tag w:val="_PLD_e1c946a6d26548c493697d23050b8325"/>
            <w:id w:val="1806122535"/>
          </w:sdtPr>
          <w:sdtEndPr>
            <w:rPr>
              <w:rFonts w:ascii="宋体" w:hAnsi="宋体"/>
            </w:rPr>
          </w:sdtEndPr>
          <w:sdtContent>
            <w:tc>
              <w:tcPr>
                <w:tcW w:w="331"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8bfda0f6261147ccb519211fb86f82f6"/>
            <w:id w:val="-1282032728"/>
          </w:sdtPr>
          <w:sdtEndPr>
            <w:rPr>
              <w:rFonts w:ascii="宋体" w:hAnsi="宋体"/>
            </w:rPr>
          </w:sdtEndPr>
          <w:sdtContent>
            <w:tc>
              <w:tcPr>
                <w:tcW w:w="331"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658" w:type="pct"/>
            <w:vMerge w:val="continue"/>
            <w:tcBorders>
              <w:left w:val="single" w:color="auto" w:sz="4" w:space="0"/>
              <w:bottom w:val="single" w:color="auto" w:sz="4" w:space="0"/>
              <w:right w:val="single" w:color="auto" w:sz="4" w:space="0"/>
            </w:tcBorders>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4"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按单项计提坏账准备</w:t>
            </w:r>
          </w:p>
        </w:tc>
        <w:tc>
          <w:tcPr>
            <w:tcW w:w="539"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13"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11" w:type="pct"/>
            <w:tcBorders>
              <w:top w:val="single" w:color="auto" w:sz="4" w:space="0"/>
              <w:left w:val="single" w:color="auto" w:sz="4" w:space="0"/>
              <w:bottom w:val="single" w:color="auto" w:sz="4" w:space="0"/>
              <w:right w:val="single" w:color="auto" w:sz="4" w:space="0"/>
            </w:tcBorders>
          </w:tcPr>
          <w:p>
            <w:pPr>
              <w:rPr>
                <w:rFonts w:ascii="宋体" w:hAnsi="宋体"/>
              </w:rPr>
            </w:pPr>
          </w:p>
        </w:tc>
        <w:tc>
          <w:tcPr>
            <w:tcW w:w="323"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658"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23"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31"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31"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658"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4"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按组合计提坏账准备</w:t>
            </w:r>
          </w:p>
        </w:tc>
        <w:tc>
          <w:tcPr>
            <w:tcW w:w="53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870,228</w:t>
            </w:r>
          </w:p>
        </w:tc>
        <w:tc>
          <w:tcPr>
            <w:tcW w:w="31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100</w:t>
            </w:r>
          </w:p>
        </w:tc>
        <w:tc>
          <w:tcPr>
            <w:tcW w:w="31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817</w:t>
            </w:r>
          </w:p>
        </w:tc>
        <w:tc>
          <w:tcPr>
            <w:tcW w:w="32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0.1</w:t>
            </w:r>
          </w:p>
        </w:tc>
        <w:tc>
          <w:tcPr>
            <w:tcW w:w="53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869,411</w:t>
            </w:r>
          </w:p>
        </w:tc>
        <w:tc>
          <w:tcPr>
            <w:tcW w:w="65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1,209,871</w:t>
            </w:r>
          </w:p>
        </w:tc>
        <w:tc>
          <w:tcPr>
            <w:tcW w:w="32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100</w:t>
            </w:r>
          </w:p>
        </w:tc>
        <w:tc>
          <w:tcPr>
            <w:tcW w:w="33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33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5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1,209,871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rPr>
              <w:t>合计</w:t>
            </w:r>
          </w:p>
        </w:tc>
        <w:tc>
          <w:tcPr>
            <w:tcW w:w="53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870,228</w:t>
            </w:r>
          </w:p>
        </w:tc>
        <w:tc>
          <w:tcPr>
            <w:tcW w:w="31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100</w:t>
            </w:r>
          </w:p>
        </w:tc>
        <w:tc>
          <w:tcPr>
            <w:tcW w:w="31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817</w:t>
            </w:r>
          </w:p>
        </w:tc>
        <w:tc>
          <w:tcPr>
            <w:tcW w:w="32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0</w:t>
            </w:r>
            <w:r>
              <w:rPr>
                <w:rFonts w:ascii="宋体" w:hAnsi="宋体"/>
              </w:rPr>
              <w:t>.1</w:t>
            </w:r>
          </w:p>
        </w:tc>
        <w:tc>
          <w:tcPr>
            <w:tcW w:w="53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869,411</w:t>
            </w:r>
          </w:p>
        </w:tc>
        <w:tc>
          <w:tcPr>
            <w:tcW w:w="65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1,209,871</w:t>
            </w:r>
          </w:p>
        </w:tc>
        <w:tc>
          <w:tcPr>
            <w:tcW w:w="32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1</w:t>
            </w:r>
            <w:r>
              <w:rPr>
                <w:rFonts w:ascii="宋体" w:hAnsi="宋体"/>
              </w:rPr>
              <w:t>00</w:t>
            </w:r>
          </w:p>
        </w:tc>
        <w:tc>
          <w:tcPr>
            <w:tcW w:w="33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33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5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1,209,871</w:t>
            </w:r>
          </w:p>
        </w:tc>
      </w:tr>
      <w:bookmarkEnd w:id="220"/>
    </w:tbl>
    <w:p>
      <w:pPr>
        <w:pStyle w:val="531"/>
      </w:pPr>
    </w:p>
    <w:p>
      <w:pPr>
        <w:pStyle w:val="531"/>
      </w:pPr>
      <w:r>
        <w:rPr>
          <w:rFonts w:hint="eastAsia"/>
        </w:rPr>
        <w:t>按单项计提坏账准备：</w:t>
      </w:r>
    </w:p>
    <w:bookmarkEnd w:id="221"/>
    <w:sdt>
      <w:sdtPr>
        <w:rPr>
          <w:rFonts w:hint="eastAsia"/>
        </w:rPr>
        <w:alias w:val="是否适用：按单项计提坏账准备的应收票据详细情况[双击切换]"/>
        <w:tag w:val="_GBC_9f41f638de8f4c42b9d00ca6755931fb"/>
        <w:id w:val="-1959100922"/>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bookmarkStart w:id="222" w:name="_Hlk533597423"/>
    </w:p>
    <w:bookmarkEnd w:id="222"/>
    <w:p>
      <w:pPr>
        <w:pStyle w:val="501"/>
      </w:pPr>
    </w:p>
    <w:sdt>
      <w:sdtPr>
        <w:rPr>
          <w:rFonts w:hint="eastAsia" w:asciiTheme="minorHAnsi" w:hAnsiTheme="minorHAnsi" w:cstheme="minorBidi"/>
          <w:bCs/>
          <w:szCs w:val="22"/>
        </w:rPr>
        <w:tag w:val="_PLD_c5822df72e094b5083c45a32639c6995"/>
        <w:id w:val="309069720"/>
        <w:placeholder>
          <w:docPart w:val="GBC22222222222222222222222222222"/>
        </w:placeholder>
      </w:sdtPr>
      <w:sdtEndPr>
        <w:rPr>
          <w:rFonts w:hint="eastAsia" w:asciiTheme="minorHAnsi" w:hAnsiTheme="minorHAnsi" w:cstheme="minorBidi"/>
          <w:bCs/>
          <w:szCs w:val="22"/>
        </w:rPr>
      </w:sdtEndPr>
      <w:sdtContent>
        <w:p>
          <w:pPr>
            <w:rPr>
              <w:rFonts w:asciiTheme="minorHAnsi" w:hAnsiTheme="minorHAnsi" w:cstheme="minorBidi"/>
              <w:bCs/>
              <w:szCs w:val="22"/>
            </w:rPr>
          </w:pPr>
          <w:r>
            <w:rPr>
              <w:rFonts w:hint="eastAsia" w:asciiTheme="minorHAnsi" w:hAnsiTheme="minorHAnsi" w:cstheme="minorBidi"/>
              <w:bCs/>
              <w:szCs w:val="22"/>
            </w:rPr>
            <w:t>按组合计提坏账准备：</w:t>
          </w:r>
        </w:p>
      </w:sdtContent>
    </w:sdt>
    <w:sdt>
      <w:sdtPr>
        <w:rPr>
          <w:rFonts w:hint="eastAsia" w:asciiTheme="minorHAnsi" w:hAnsiTheme="minorHAnsi" w:cstheme="minorBidi"/>
          <w:bCs/>
          <w:szCs w:val="22"/>
        </w:rPr>
        <w:alias w:val="是否适用：按组合计提坏账准备的应收票据详细情况[双击切换]"/>
        <w:tag w:val="_GBC_6007da8f43a241c5b804069722b7b005"/>
        <w:id w:val="-1545822030"/>
        <w:lock w:val="contentLocked"/>
        <w:placeholder>
          <w:docPart w:val="GBC22222222222222222222222222222"/>
        </w:placeholder>
      </w:sdtPr>
      <w:sdtEndPr>
        <w:rPr>
          <w:rFonts w:hint="eastAsia" w:asciiTheme="minorHAnsi" w:hAnsiTheme="minorHAnsi" w:cstheme="minorBidi"/>
          <w:bCs/>
          <w:szCs w:val="22"/>
        </w:rPr>
      </w:sdtEndPr>
      <w:sdtContent>
        <w:p>
          <w:pPr>
            <w:rPr>
              <w:rFonts w:asciiTheme="minorHAnsi" w:hAnsiTheme="minorHAnsi"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pPr>
        <w:autoSpaceDE w:val="0"/>
        <w:autoSpaceDN w:val="0"/>
        <w:adjustRightInd w:val="0"/>
        <w:ind w:left="5880" w:right="105"/>
        <w:jc w:val="right"/>
      </w:pPr>
      <w:bookmarkStart w:id="223" w:name="_Hlk533601037"/>
      <w:r>
        <w:rPr>
          <w:rFonts w:hint="eastAsia"/>
        </w:rPr>
        <w:t>单位：</w:t>
      </w:r>
      <w:sdt>
        <w:sdtPr>
          <w:rPr>
            <w:rFonts w:hint="eastAsia"/>
          </w:rPr>
          <w:alias w:val="单位：按组合计提坏账准备的应收票据详细情况"/>
          <w:tag w:val="_GBC_dd22ce6fdcd5426dbe2948860a8cd0a2"/>
          <w:id w:val="10271478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按组合计提坏账准备的应收票据详细情况"/>
          <w:tag w:val="_GBC_6593230bd891417499c638314f150d60"/>
          <w:id w:val="11820949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74ad584541ec46019bc0ec583b56e6dc"/>
            <w:id w:val="638451039"/>
          </w:sdtPr>
          <w:sdtContent>
            <w:tc>
              <w:tcPr>
                <w:tcW w:w="1158" w:type="pct"/>
                <w:vMerge w:val="restart"/>
                <w:vAlign w:val="center"/>
              </w:tcPr>
              <w:p>
                <w:pPr>
                  <w:jc w:val="center"/>
                </w:pPr>
                <w:r>
                  <w:rPr>
                    <w:rFonts w:hint="eastAsia"/>
                  </w:rPr>
                  <w:t>名称</w:t>
                </w:r>
              </w:p>
            </w:tc>
          </w:sdtContent>
        </w:sdt>
        <w:sdt>
          <w:sdtPr>
            <w:tag w:val="_PLD_4cf87ed9c9624586a738a40c94ad8178"/>
            <w:id w:val="-1680646164"/>
          </w:sdtPr>
          <w:sdtContent>
            <w:tc>
              <w:tcPr>
                <w:tcW w:w="3842" w:type="pct"/>
                <w:gridSpan w:val="3"/>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pPr>
              <w:jc w:val="center"/>
            </w:pPr>
          </w:p>
        </w:tc>
        <w:sdt>
          <w:sdtPr>
            <w:tag w:val="_PLD_c7947e62ac1341a0ab9934cdaf575521"/>
            <w:id w:val="935867103"/>
          </w:sdtPr>
          <w:sdtContent>
            <w:tc>
              <w:tcPr>
                <w:tcW w:w="1276" w:type="pct"/>
                <w:vAlign w:val="center"/>
              </w:tcPr>
              <w:p>
                <w:pPr>
                  <w:jc w:val="center"/>
                </w:pPr>
                <w:r>
                  <w:rPr>
                    <w:rFonts w:hint="eastAsia"/>
                  </w:rPr>
                  <w:t>应收票据</w:t>
                </w:r>
              </w:p>
            </w:tc>
          </w:sdtContent>
        </w:sdt>
        <w:sdt>
          <w:sdtPr>
            <w:tag w:val="_PLD_b0f88303dbd14344a84ee332cb6d53f9"/>
            <w:id w:val="-230156053"/>
          </w:sdtPr>
          <w:sdtContent>
            <w:tc>
              <w:tcPr>
                <w:tcW w:w="1299" w:type="pct"/>
                <w:vAlign w:val="center"/>
              </w:tcPr>
              <w:p>
                <w:pPr>
                  <w:jc w:val="center"/>
                </w:pPr>
                <w:r>
                  <w:rPr>
                    <w:rFonts w:hint="eastAsia"/>
                  </w:rPr>
                  <w:t>坏账准备</w:t>
                </w:r>
              </w:p>
            </w:tc>
          </w:sdtContent>
        </w:sdt>
        <w:sdt>
          <w:sdtPr>
            <w:tag w:val="_PLD_2ac8d6b7fbbb4250ab600dfdbe0fcb56"/>
            <w:id w:val="835572940"/>
          </w:sdtPr>
          <w:sdtContent>
            <w:tc>
              <w:tcPr>
                <w:tcW w:w="1267" w:type="pct"/>
                <w:vAlign w:val="center"/>
              </w:tcPr>
              <w:p>
                <w:pPr>
                  <w:jc w:val="center"/>
                </w:pPr>
                <w:r>
                  <w:t>计提比例</w:t>
                </w:r>
                <w:r>
                  <w:rPr>
                    <w:rFonts w:hint="eastAsia"/>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pPr>
              <w:rPr>
                <w:rFonts w:ascii="宋体" w:hAnsi="宋体"/>
              </w:rPr>
            </w:pPr>
            <w:r>
              <w:rPr>
                <w:rFonts w:hint="eastAsia" w:ascii="宋体" w:hAnsi="宋体"/>
              </w:rPr>
              <w:t>按组合计提坏账准备</w:t>
            </w:r>
          </w:p>
        </w:tc>
        <w:tc>
          <w:tcPr>
            <w:tcW w:w="1276" w:type="pct"/>
            <w:vAlign w:val="center"/>
          </w:tcPr>
          <w:p>
            <w:pPr>
              <w:jc w:val="right"/>
              <w:rPr>
                <w:rFonts w:ascii="宋体" w:hAnsi="宋体"/>
              </w:rPr>
            </w:pPr>
            <w:r>
              <w:rPr>
                <w:rFonts w:ascii="宋体" w:hAnsi="宋体"/>
              </w:rPr>
              <w:t>870</w:t>
            </w:r>
            <w:r>
              <w:rPr>
                <w:rFonts w:hint="eastAsia" w:ascii="宋体" w:hAnsi="宋体"/>
              </w:rPr>
              <w:t>,</w:t>
            </w:r>
            <w:r>
              <w:rPr>
                <w:rFonts w:ascii="宋体" w:hAnsi="宋体"/>
              </w:rPr>
              <w:t>228</w:t>
            </w:r>
          </w:p>
        </w:tc>
        <w:tc>
          <w:tcPr>
            <w:tcW w:w="1299" w:type="pct"/>
            <w:vAlign w:val="center"/>
          </w:tcPr>
          <w:p>
            <w:pPr>
              <w:jc w:val="right"/>
              <w:rPr>
                <w:rFonts w:ascii="宋体" w:hAnsi="宋体"/>
              </w:rPr>
            </w:pPr>
            <w:r>
              <w:rPr>
                <w:rFonts w:hint="eastAsia" w:ascii="宋体" w:hAnsi="宋体"/>
              </w:rPr>
              <w:t>8</w:t>
            </w:r>
            <w:r>
              <w:rPr>
                <w:rFonts w:ascii="宋体" w:hAnsi="宋体"/>
              </w:rPr>
              <w:t>17</w:t>
            </w:r>
          </w:p>
        </w:tc>
        <w:tc>
          <w:tcPr>
            <w:tcW w:w="1267" w:type="pct"/>
            <w:vAlign w:val="center"/>
          </w:tcPr>
          <w:p>
            <w:pPr>
              <w:jc w:val="right"/>
              <w:rPr>
                <w:rFonts w:ascii="宋体" w:hAnsi="宋体"/>
              </w:rPr>
            </w:pPr>
            <w:r>
              <w:rPr>
                <w:rFonts w:hint="eastAsia" w:ascii="宋体" w:hAnsi="宋体"/>
              </w:rPr>
              <w:t>0</w:t>
            </w:r>
            <w:r>
              <w:rPr>
                <w:rFonts w:ascii="宋体" w:hAnsi="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pPr>
              <w:jc w:val="center"/>
            </w:pPr>
            <w:r>
              <w:rPr>
                <w:rFonts w:hint="eastAsia"/>
              </w:rPr>
              <w:t>合计</w:t>
            </w:r>
          </w:p>
        </w:tc>
        <w:tc>
          <w:tcPr>
            <w:tcW w:w="1276" w:type="pct"/>
            <w:vAlign w:val="center"/>
          </w:tcPr>
          <w:p>
            <w:pPr>
              <w:jc w:val="right"/>
              <w:rPr>
                <w:rFonts w:ascii="宋体" w:hAnsi="宋体"/>
              </w:rPr>
            </w:pPr>
            <w:r>
              <w:rPr>
                <w:rFonts w:ascii="宋体" w:hAnsi="宋体"/>
              </w:rPr>
              <w:t>870</w:t>
            </w:r>
            <w:r>
              <w:rPr>
                <w:rFonts w:hint="eastAsia" w:ascii="宋体" w:hAnsi="宋体"/>
              </w:rPr>
              <w:t>,</w:t>
            </w:r>
            <w:r>
              <w:rPr>
                <w:rFonts w:ascii="宋体" w:hAnsi="宋体"/>
              </w:rPr>
              <w:t>228</w:t>
            </w:r>
          </w:p>
        </w:tc>
        <w:tc>
          <w:tcPr>
            <w:tcW w:w="1299" w:type="pct"/>
            <w:vAlign w:val="center"/>
          </w:tcPr>
          <w:p>
            <w:pPr>
              <w:jc w:val="right"/>
              <w:rPr>
                <w:rFonts w:ascii="宋体" w:hAnsi="宋体"/>
              </w:rPr>
            </w:pPr>
            <w:r>
              <w:rPr>
                <w:rFonts w:hint="eastAsia" w:ascii="宋体" w:hAnsi="宋体"/>
              </w:rPr>
              <w:t>8</w:t>
            </w:r>
            <w:r>
              <w:rPr>
                <w:rFonts w:ascii="宋体" w:hAnsi="宋体"/>
              </w:rPr>
              <w:t>17</w:t>
            </w:r>
          </w:p>
        </w:tc>
        <w:tc>
          <w:tcPr>
            <w:tcW w:w="1267" w:type="pct"/>
            <w:vAlign w:val="center"/>
          </w:tcPr>
          <w:p>
            <w:pPr>
              <w:jc w:val="right"/>
              <w:rPr>
                <w:rFonts w:ascii="宋体" w:hAnsi="宋体"/>
              </w:rPr>
            </w:pPr>
            <w:r>
              <w:rPr>
                <w:rFonts w:hint="eastAsia" w:ascii="宋体" w:hAnsi="宋体"/>
              </w:rPr>
              <w:t>0</w:t>
            </w:r>
            <w:r>
              <w:rPr>
                <w:rFonts w:ascii="宋体" w:hAnsi="宋体"/>
              </w:rPr>
              <w:t>.1</w:t>
            </w:r>
          </w:p>
        </w:tc>
      </w:tr>
    </w:tbl>
    <w:p>
      <w:pPr>
        <w:pStyle w:val="501"/>
      </w:pPr>
      <w:r>
        <w:rPr>
          <w:rFonts w:hint="eastAsia"/>
        </w:rPr>
        <w:t>按组合计提坏账准备的说明</w:t>
      </w:r>
    </w:p>
    <w:sdt>
      <w:sdtPr>
        <w:alias w:val="是否适用：按组合计提坏账准备的应收票据确认标准[双击切换]"/>
        <w:tag w:val="_GBC_8da9c261e1b645a580319dc9ae336a84"/>
        <w:id w:val="-322053424"/>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23"/>
    <w:p>
      <w:pPr>
        <w:rPr>
          <w:rFonts w:asciiTheme="minorHAnsi" w:hAnsiTheme="minorHAnsi" w:cstheme="minorBidi"/>
          <w:b/>
          <w:bCs/>
          <w:szCs w:val="22"/>
        </w:rPr>
      </w:pPr>
    </w:p>
    <w:p>
      <w:pPr>
        <w:rPr>
          <w:rFonts w:cstheme="minorBidi"/>
          <w:bCs/>
          <w:szCs w:val="22"/>
        </w:rPr>
      </w:pPr>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803077511"/>
        <w:placeholder>
          <w:docPart w:val="GBC22222222222222222222222222222"/>
        </w:placeholder>
      </w:sdtPr>
      <w:sdtEndPr>
        <w:rPr>
          <w:rFonts w:cstheme="minorBidi"/>
          <w:bCs/>
          <w:szCs w:val="22"/>
        </w:rPr>
      </w:sdtEndPr>
      <w:sdtContent>
        <w:p>
          <w:pPr>
            <w:rPr>
              <w:rFonts w:cstheme="minorBidi"/>
              <w:bCs/>
              <w:szCs w:val="22"/>
            </w:rPr>
          </w:pPr>
          <w:bookmarkStart w:id="224" w:name="_Hlk153356892"/>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pPr>
        <w:autoSpaceDE w:val="0"/>
        <w:autoSpaceDN w:val="0"/>
        <w:adjustRightInd w:val="0"/>
        <w:ind w:left="181" w:leftChars="86" w:right="105" w:rightChars="50"/>
        <w:jc w:val="right"/>
      </w:pPr>
      <w:r>
        <w:rPr>
          <w:rFonts w:hint="eastAsia"/>
        </w:rPr>
        <w:t>单位：</w:t>
      </w:r>
      <w:sdt>
        <w:sdtPr>
          <w:rPr>
            <w:rFonts w:hint="eastAsia"/>
          </w:rPr>
          <w:alias w:val="单位：按预期信用损失一般模型计提坏账准备"/>
          <w:tag w:val="_GBC_2cc2d909d1754ff19f99ac2c6fa788c1"/>
          <w:id w:val="43062663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按预期信用损失一般模型计提坏账准备"/>
          <w:tag w:val="_GBC_c3a3fe554de74bdea2977c4831944e52"/>
          <w:id w:val="-5338134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559"/>
        <w:gridCol w:w="1701"/>
        <w:gridCol w:w="1701"/>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hint="eastAsia" w:ascii="宋体" w:hAnsi="宋体" w:eastAsia="宋体" w:cs="宋体"/>
              <w:sz w:val="21"/>
              <w:szCs w:val="21"/>
              <w:lang w:eastAsia="zh-CN"/>
            </w:rPr>
            <w:tag w:val="_PLD_c5549b0384f346caa49bcbb13ecda128"/>
            <w:id w:val="-1403984896"/>
          </w:sdtPr>
          <w:sdtEndPr>
            <w:rPr>
              <w:rFonts w:hint="eastAsia" w:ascii="宋体" w:hAnsi="宋体" w:eastAsia="宋体" w:cs="宋体"/>
              <w:sz w:val="21"/>
              <w:szCs w:val="21"/>
              <w:lang w:eastAsia="zh-CN"/>
            </w:rPr>
          </w:sdtEndPr>
          <w:sdtContent>
            <w:tc>
              <w:tcPr>
                <w:tcW w:w="2660" w:type="dxa"/>
                <w:vMerge w:val="restart"/>
                <w:vAlign w:val="center"/>
              </w:tcPr>
              <w:p>
                <w:pPr>
                  <w:pStyle w:val="575"/>
                  <w:spacing w:after="0" w:line="240" w:lineRule="auto"/>
                  <w:ind w:left="181" w:leftChars="86"/>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rPr>
              <w:rFonts w:hint="eastAsia" w:ascii="宋体" w:hAnsi="宋体" w:eastAsia="宋体" w:cs="宋体"/>
              <w:sz w:val="21"/>
              <w:szCs w:val="21"/>
              <w:lang w:eastAsia="zh-CN"/>
            </w:rPr>
            <w:tag w:val="_PLD_23311567934e470ab7a42b1192d0de3f"/>
            <w:id w:val="1143551823"/>
          </w:sdtPr>
          <w:sdtEndPr>
            <w:rPr>
              <w:rFonts w:hint="eastAsia" w:ascii="宋体" w:hAnsi="宋体" w:eastAsia="宋体" w:cs="宋体"/>
              <w:sz w:val="21"/>
              <w:szCs w:val="21"/>
              <w:lang w:eastAsia="zh-CN"/>
            </w:rPr>
          </w:sdtEndPr>
          <w:sdtContent>
            <w:tc>
              <w:tcPr>
                <w:tcW w:w="1559" w:type="dxa"/>
                <w:vAlign w:val="center"/>
              </w:tcPr>
              <w:p>
                <w:pPr>
                  <w:pStyle w:val="575"/>
                  <w:spacing w:after="0" w:line="240" w:lineRule="auto"/>
                  <w:ind w:left="181" w:leftChars="86"/>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rPr>
              <w:rFonts w:hint="eastAsia" w:ascii="宋体" w:hAnsi="宋体" w:eastAsia="宋体" w:cs="宋体"/>
              <w:sz w:val="21"/>
              <w:szCs w:val="21"/>
              <w:lang w:eastAsia="zh-CN"/>
            </w:rPr>
            <w:tag w:val="_PLD_5a4e1b8ab26e4af8b3eadbc3b8ec74d1"/>
            <w:id w:val="416759955"/>
          </w:sdtPr>
          <w:sdtEndPr>
            <w:rPr>
              <w:rFonts w:hint="eastAsia" w:ascii="宋体" w:hAnsi="宋体" w:eastAsia="宋体" w:cs="宋体"/>
              <w:sz w:val="21"/>
              <w:szCs w:val="21"/>
              <w:lang w:eastAsia="zh-CN"/>
            </w:rPr>
          </w:sdtEndPr>
          <w:sdtContent>
            <w:tc>
              <w:tcPr>
                <w:tcW w:w="1701" w:type="dxa"/>
                <w:vAlign w:val="center"/>
              </w:tcPr>
              <w:p>
                <w:pPr>
                  <w:pStyle w:val="575"/>
                  <w:spacing w:after="0" w:line="240" w:lineRule="auto"/>
                  <w:ind w:left="181" w:leftChars="86"/>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rPr>
              <w:rFonts w:hint="eastAsia" w:ascii="宋体" w:hAnsi="宋体" w:eastAsia="宋体" w:cs="宋体"/>
              <w:sz w:val="21"/>
              <w:szCs w:val="21"/>
              <w:lang w:eastAsia="zh-CN"/>
            </w:rPr>
            <w:tag w:val="_PLD_d99cc0b8d26441cd993d62176f15af01"/>
            <w:id w:val="-1547213029"/>
          </w:sdtPr>
          <w:sdtEndPr>
            <w:rPr>
              <w:rFonts w:hint="eastAsia" w:ascii="宋体" w:hAnsi="宋体" w:eastAsia="宋体" w:cs="宋体"/>
              <w:sz w:val="21"/>
              <w:szCs w:val="21"/>
              <w:lang w:eastAsia="zh-CN"/>
            </w:rPr>
          </w:sdtEndPr>
          <w:sdtContent>
            <w:tc>
              <w:tcPr>
                <w:tcW w:w="1701" w:type="dxa"/>
                <w:vAlign w:val="center"/>
              </w:tcPr>
              <w:p>
                <w:pPr>
                  <w:pStyle w:val="575"/>
                  <w:spacing w:after="0" w:line="240" w:lineRule="auto"/>
                  <w:ind w:left="181" w:leftChars="86"/>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rPr>
              <w:rFonts w:hint="eastAsia" w:ascii="宋体" w:hAnsi="宋体" w:eastAsia="宋体" w:cs="宋体"/>
              <w:sz w:val="21"/>
              <w:szCs w:val="21"/>
              <w:lang w:eastAsia="zh-CN"/>
            </w:rPr>
            <w:tag w:val="_PLD_57d52ff3a7394af2969b68057bdf6514"/>
            <w:id w:val="-501505176"/>
          </w:sdtPr>
          <w:sdtEndPr>
            <w:rPr>
              <w:rFonts w:hint="eastAsia" w:ascii="宋体" w:hAnsi="宋体" w:eastAsia="宋体" w:cs="宋体"/>
              <w:sz w:val="21"/>
              <w:szCs w:val="21"/>
              <w:lang w:eastAsia="zh-CN"/>
            </w:rPr>
          </w:sdtEndPr>
          <w:sdtContent>
            <w:tc>
              <w:tcPr>
                <w:tcW w:w="1428" w:type="dxa"/>
                <w:vMerge w:val="restar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60" w:type="dxa"/>
            <w:vMerge w:val="continue"/>
            <w:vAlign w:val="center"/>
          </w:tcPr>
          <w:p>
            <w:pPr>
              <w:ind w:left="181" w:leftChars="86"/>
              <w:jc w:val="center"/>
              <w:rPr>
                <w:color w:val="008000"/>
              </w:rPr>
            </w:pPr>
          </w:p>
        </w:tc>
        <w:sdt>
          <w:sdtPr>
            <w:rPr>
              <w:rFonts w:hint="eastAsia" w:ascii="宋体" w:hAnsi="宋体" w:eastAsia="宋体" w:cs="宋体"/>
              <w:sz w:val="21"/>
              <w:szCs w:val="21"/>
              <w:lang w:eastAsia="zh-CN"/>
            </w:rPr>
            <w:tag w:val="_PLD_1f5ad5e6387b4ff5abfa0a20e9963330"/>
            <w:id w:val="791558885"/>
          </w:sdtPr>
          <w:sdtEndPr>
            <w:rPr>
              <w:rFonts w:hint="eastAsia" w:ascii="宋体" w:hAnsi="宋体" w:eastAsia="宋体" w:cs="宋体"/>
              <w:sz w:val="21"/>
              <w:szCs w:val="21"/>
              <w:lang w:eastAsia="zh-CN"/>
            </w:rPr>
          </w:sdtEndPr>
          <w:sdtContent>
            <w:tc>
              <w:tcPr>
                <w:tcW w:w="1559" w:type="dxa"/>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rPr>
              <w:rFonts w:hint="eastAsia" w:ascii="宋体" w:hAnsi="宋体" w:eastAsia="宋体" w:cs="宋体"/>
              <w:sz w:val="21"/>
              <w:szCs w:val="21"/>
              <w:lang w:eastAsia="zh-CN"/>
            </w:rPr>
            <w:tag w:val="_PLD_d369752d8d7f4916b33ff278fc0ba846"/>
            <w:id w:val="-1176025007"/>
          </w:sdtPr>
          <w:sdtEndPr>
            <w:rPr>
              <w:rFonts w:hint="eastAsia" w:ascii="宋体" w:hAnsi="宋体" w:eastAsia="宋体" w:cs="宋体"/>
              <w:sz w:val="21"/>
              <w:szCs w:val="21"/>
              <w:lang w:eastAsia="zh-CN"/>
            </w:rPr>
          </w:sdtEndPr>
          <w:sdtContent>
            <w:tc>
              <w:tcPr>
                <w:tcW w:w="1701" w:type="dxa"/>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rPr>
              <w:rFonts w:hint="eastAsia" w:ascii="宋体" w:hAnsi="宋体" w:eastAsia="宋体" w:cs="宋体"/>
              <w:sz w:val="21"/>
              <w:szCs w:val="21"/>
              <w:lang w:eastAsia="zh-CN"/>
            </w:rPr>
            <w:tag w:val="_PLD_fed206a945b84444b7609cf21b57962a"/>
            <w:id w:val="-1305163763"/>
          </w:sdtPr>
          <w:sdtEndPr>
            <w:rPr>
              <w:rFonts w:hint="eastAsia" w:ascii="宋体" w:hAnsi="宋体" w:eastAsia="宋体" w:cs="宋体"/>
              <w:sz w:val="21"/>
              <w:szCs w:val="21"/>
              <w:lang w:eastAsia="zh-CN"/>
            </w:rPr>
          </w:sdtEndPr>
          <w:sdtContent>
            <w:tc>
              <w:tcPr>
                <w:tcW w:w="1701" w:type="dxa"/>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1428" w:type="dxa"/>
            <w:vMerge w:val="continue"/>
          </w:tcPr>
          <w:p>
            <w:pPr>
              <w:ind w:left="181" w:leftChars="86"/>
              <w:jc w:val="center"/>
              <w:rPr>
                <w:color w:val="008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2023年</w:t>
            </w:r>
            <w:r>
              <w:rPr>
                <w:rFonts w:hint="eastAsia" w:ascii="宋体" w:hAnsi="宋体" w:eastAsia="宋体" w:cs="宋体"/>
                <w:sz w:val="21"/>
                <w:szCs w:val="21"/>
                <w:lang w:eastAsia="zh-CN"/>
              </w:rPr>
              <w:t>1月1日余额</w:t>
            </w:r>
          </w:p>
        </w:tc>
        <w:tc>
          <w:tcPr>
            <w:tcW w:w="1559" w:type="dxa"/>
          </w:tcPr>
          <w:p>
            <w:pPr>
              <w:ind w:left="181" w:leftChars="86"/>
              <w:jc w:val="right"/>
            </w:pPr>
          </w:p>
        </w:tc>
        <w:tc>
          <w:tcPr>
            <w:tcW w:w="1701" w:type="dxa"/>
          </w:tcPr>
          <w:p>
            <w:pPr>
              <w:ind w:left="181" w:leftChars="86"/>
              <w:jc w:val="right"/>
            </w:pPr>
          </w:p>
        </w:tc>
        <w:tc>
          <w:tcPr>
            <w:tcW w:w="1701" w:type="dxa"/>
          </w:tcPr>
          <w:p>
            <w:pPr>
              <w:ind w:left="181" w:leftChars="86"/>
              <w:jc w:val="right"/>
            </w:pPr>
          </w:p>
        </w:tc>
        <w:tc>
          <w:tcPr>
            <w:tcW w:w="1428" w:type="dxa"/>
          </w:tcPr>
          <w:p>
            <w:pPr>
              <w:ind w:left="181" w:leftChars="86"/>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2023年1月1日余额在本期</w:t>
            </w:r>
          </w:p>
        </w:tc>
        <w:tc>
          <w:tcPr>
            <w:tcW w:w="1559" w:type="dxa"/>
          </w:tcPr>
          <w:p>
            <w:pPr>
              <w:ind w:left="181" w:leftChars="86"/>
              <w:jc w:val="right"/>
            </w:pPr>
          </w:p>
        </w:tc>
        <w:tc>
          <w:tcPr>
            <w:tcW w:w="1701" w:type="dxa"/>
          </w:tcPr>
          <w:p>
            <w:pPr>
              <w:ind w:left="181" w:leftChars="86"/>
              <w:jc w:val="right"/>
            </w:pPr>
          </w:p>
        </w:tc>
        <w:tc>
          <w:tcPr>
            <w:tcW w:w="1701" w:type="dxa"/>
          </w:tcPr>
          <w:p>
            <w:pPr>
              <w:ind w:left="181" w:leftChars="86"/>
              <w:jc w:val="right"/>
            </w:pPr>
          </w:p>
        </w:tc>
        <w:tc>
          <w:tcPr>
            <w:tcW w:w="1428" w:type="dxa"/>
          </w:tcPr>
          <w:p>
            <w:pPr>
              <w:ind w:left="181" w:leftChars="86"/>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ind w:left="181" w:leftChars="86"/>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tc>
          <w:tcPr>
            <w:tcW w:w="1559" w:type="dxa"/>
          </w:tcPr>
          <w:p>
            <w:pPr>
              <w:ind w:left="181" w:leftChars="86"/>
              <w:jc w:val="right"/>
            </w:pPr>
          </w:p>
        </w:tc>
        <w:tc>
          <w:tcPr>
            <w:tcW w:w="1701" w:type="dxa"/>
          </w:tcPr>
          <w:p>
            <w:pPr>
              <w:ind w:left="181" w:leftChars="86"/>
              <w:jc w:val="right"/>
            </w:pPr>
          </w:p>
        </w:tc>
        <w:tc>
          <w:tcPr>
            <w:tcW w:w="1701" w:type="dxa"/>
          </w:tcPr>
          <w:p>
            <w:pPr>
              <w:ind w:left="181" w:leftChars="86"/>
              <w:jc w:val="right"/>
            </w:pPr>
          </w:p>
        </w:tc>
        <w:tc>
          <w:tcPr>
            <w:tcW w:w="1428" w:type="dxa"/>
          </w:tcPr>
          <w:p>
            <w:pPr>
              <w:ind w:left="181" w:leftChars="86"/>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ind w:left="181" w:leftChars="86"/>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tc>
          <w:tcPr>
            <w:tcW w:w="1559" w:type="dxa"/>
          </w:tcPr>
          <w:p>
            <w:pPr>
              <w:ind w:left="181" w:leftChars="86"/>
              <w:jc w:val="right"/>
            </w:pPr>
          </w:p>
        </w:tc>
        <w:tc>
          <w:tcPr>
            <w:tcW w:w="1701" w:type="dxa"/>
          </w:tcPr>
          <w:p>
            <w:pPr>
              <w:ind w:left="181" w:leftChars="86"/>
              <w:jc w:val="right"/>
            </w:pPr>
          </w:p>
        </w:tc>
        <w:tc>
          <w:tcPr>
            <w:tcW w:w="1701" w:type="dxa"/>
          </w:tcPr>
          <w:p>
            <w:pPr>
              <w:ind w:left="181" w:leftChars="86"/>
              <w:jc w:val="right"/>
            </w:pPr>
          </w:p>
        </w:tc>
        <w:tc>
          <w:tcPr>
            <w:tcW w:w="1428" w:type="dxa"/>
          </w:tcPr>
          <w:p>
            <w:pPr>
              <w:ind w:left="181" w:leftChars="86"/>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ind w:left="181" w:leftChars="86"/>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tc>
          <w:tcPr>
            <w:tcW w:w="1559" w:type="dxa"/>
          </w:tcPr>
          <w:p>
            <w:pPr>
              <w:ind w:left="181" w:leftChars="86"/>
              <w:jc w:val="right"/>
            </w:pPr>
          </w:p>
        </w:tc>
        <w:tc>
          <w:tcPr>
            <w:tcW w:w="1701" w:type="dxa"/>
          </w:tcPr>
          <w:p>
            <w:pPr>
              <w:ind w:left="181" w:leftChars="86"/>
              <w:jc w:val="right"/>
            </w:pPr>
          </w:p>
        </w:tc>
        <w:tc>
          <w:tcPr>
            <w:tcW w:w="1701" w:type="dxa"/>
          </w:tcPr>
          <w:p>
            <w:pPr>
              <w:ind w:left="181" w:leftChars="86"/>
              <w:jc w:val="right"/>
            </w:pPr>
          </w:p>
        </w:tc>
        <w:tc>
          <w:tcPr>
            <w:tcW w:w="1428" w:type="dxa"/>
          </w:tcPr>
          <w:p>
            <w:pPr>
              <w:ind w:left="181" w:leftChars="86"/>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ind w:left="181" w:leftChars="86"/>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tc>
          <w:tcPr>
            <w:tcW w:w="1559" w:type="dxa"/>
          </w:tcPr>
          <w:p>
            <w:pPr>
              <w:ind w:left="181" w:leftChars="86"/>
              <w:jc w:val="right"/>
            </w:pPr>
          </w:p>
        </w:tc>
        <w:tc>
          <w:tcPr>
            <w:tcW w:w="1701" w:type="dxa"/>
          </w:tcPr>
          <w:p>
            <w:pPr>
              <w:ind w:left="181" w:leftChars="86"/>
              <w:jc w:val="right"/>
            </w:pPr>
          </w:p>
        </w:tc>
        <w:tc>
          <w:tcPr>
            <w:tcW w:w="1701" w:type="dxa"/>
          </w:tcPr>
          <w:p>
            <w:pPr>
              <w:ind w:left="181" w:leftChars="86"/>
              <w:jc w:val="right"/>
            </w:pPr>
          </w:p>
        </w:tc>
        <w:tc>
          <w:tcPr>
            <w:tcW w:w="1428" w:type="dxa"/>
          </w:tcPr>
          <w:p>
            <w:pPr>
              <w:ind w:left="181" w:leftChars="86"/>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1559" w:type="dxa"/>
          </w:tcPr>
          <w:p>
            <w:pPr>
              <w:ind w:left="181" w:leftChars="86"/>
              <w:jc w:val="right"/>
            </w:pPr>
          </w:p>
        </w:tc>
        <w:tc>
          <w:tcPr>
            <w:tcW w:w="1701" w:type="dxa"/>
          </w:tcPr>
          <w:p>
            <w:pPr>
              <w:ind w:left="181" w:leftChars="86"/>
              <w:jc w:val="right"/>
              <w:rPr>
                <w:rFonts w:ascii="宋体" w:hAnsi="宋体"/>
              </w:rPr>
            </w:pPr>
            <w:r>
              <w:rPr>
                <w:rFonts w:ascii="宋体" w:hAnsi="宋体"/>
              </w:rPr>
              <w:t>817</w:t>
            </w: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r>
              <w:rPr>
                <w:rFonts w:ascii="宋体" w:hAnsi="宋体"/>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sz w:val="21"/>
              </w:rPr>
            </w:pPr>
            <w:r>
              <w:rPr>
                <w:rFonts w:hint="eastAsia" w:ascii="宋体" w:hAnsi="宋体" w:eastAsia="宋体"/>
                <w:sz w:val="21"/>
              </w:rPr>
              <w:t>本期转回</w:t>
            </w:r>
          </w:p>
        </w:tc>
        <w:tc>
          <w:tcPr>
            <w:tcW w:w="1559" w:type="dxa"/>
          </w:tcPr>
          <w:p>
            <w:pPr>
              <w:ind w:left="181" w:leftChars="86"/>
              <w:jc w:val="right"/>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本期转销</w:t>
            </w:r>
          </w:p>
        </w:tc>
        <w:tc>
          <w:tcPr>
            <w:tcW w:w="1559" w:type="dxa"/>
          </w:tcPr>
          <w:p>
            <w:pPr>
              <w:ind w:left="181" w:leftChars="86"/>
              <w:jc w:val="right"/>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pPr>
            <w:r>
              <w:rPr>
                <w:rFonts w:hint="eastAsia" w:ascii="宋体" w:hAnsi="宋体" w:eastAsia="宋体" w:cs="宋体"/>
                <w:sz w:val="21"/>
                <w:szCs w:val="21"/>
                <w:lang w:eastAsia="zh-CN"/>
              </w:rPr>
              <w:t>本期核销</w:t>
            </w:r>
          </w:p>
        </w:tc>
        <w:tc>
          <w:tcPr>
            <w:tcW w:w="1559" w:type="dxa"/>
          </w:tcPr>
          <w:p>
            <w:pPr>
              <w:ind w:left="181" w:leftChars="86"/>
              <w:jc w:val="right"/>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其他变动</w:t>
            </w:r>
          </w:p>
        </w:tc>
        <w:tc>
          <w:tcPr>
            <w:tcW w:w="1559" w:type="dxa"/>
          </w:tcPr>
          <w:p>
            <w:pPr>
              <w:ind w:left="181" w:leftChars="86"/>
              <w:jc w:val="right"/>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2023年12月31日</w:t>
            </w:r>
            <w:r>
              <w:rPr>
                <w:rFonts w:hint="eastAsia" w:ascii="宋体" w:hAnsi="宋体" w:eastAsia="宋体" w:cs="宋体"/>
                <w:sz w:val="21"/>
                <w:szCs w:val="21"/>
                <w:lang w:eastAsia="zh-CN"/>
              </w:rPr>
              <w:t>余额</w:t>
            </w:r>
          </w:p>
        </w:tc>
        <w:tc>
          <w:tcPr>
            <w:tcW w:w="1559" w:type="dxa"/>
          </w:tcPr>
          <w:p>
            <w:pPr>
              <w:ind w:left="181" w:leftChars="86"/>
              <w:jc w:val="right"/>
            </w:pPr>
          </w:p>
        </w:tc>
        <w:tc>
          <w:tcPr>
            <w:tcW w:w="1701" w:type="dxa"/>
          </w:tcPr>
          <w:p>
            <w:pPr>
              <w:ind w:left="181" w:leftChars="86"/>
              <w:jc w:val="right"/>
              <w:rPr>
                <w:rFonts w:ascii="宋体" w:hAnsi="宋体"/>
              </w:rPr>
            </w:pPr>
            <w:r>
              <w:rPr>
                <w:rFonts w:ascii="宋体" w:hAnsi="宋体"/>
              </w:rPr>
              <w:t>817</w:t>
            </w: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r>
              <w:rPr>
                <w:rFonts w:ascii="宋体" w:hAnsi="宋体"/>
              </w:rPr>
              <w:t>817</w:t>
            </w:r>
          </w:p>
        </w:tc>
      </w:tr>
    </w:tbl>
    <w:p>
      <w:pPr>
        <w:autoSpaceDE w:val="0"/>
        <w:autoSpaceDN w:val="0"/>
        <w:adjustRightInd w:val="0"/>
        <w:ind w:right="105" w:rightChars="50"/>
      </w:pPr>
      <w:r>
        <w:rPr>
          <w:rFonts w:hint="eastAsia"/>
        </w:rPr>
        <w:t>各阶段划分依据和坏账准备计提比例</w:t>
      </w:r>
    </w:p>
    <w:p>
      <w:pPr>
        <w:pStyle w:val="560"/>
      </w:pPr>
      <w:r>
        <w:rPr>
          <w:rFonts w:hint="eastAsia"/>
        </w:rPr>
        <w:t>对本期发生损失准备变动的应收票据账面余额显著变动的情况说明：</w:t>
      </w:r>
    </w:p>
    <w:sdt>
      <w:sdtPr>
        <w:alias w:val="是否适用：对本期发生损失准备变动的账面余额显著变动的情况说明[双击切换]"/>
        <w:tag w:val="_GBC_2f34fd35c9654c8fa0b6583125cc946c"/>
        <w:id w:val="39174863"/>
        <w:placeholder>
          <w:docPart w:val="GBC22222222222222222222222222222"/>
        </w:placeholder>
      </w:sdt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24"/>
    <w:p>
      <w:pPr>
        <w:pStyle w:val="505"/>
        <w:numPr>
          <w:ilvl w:val="3"/>
          <w:numId w:val="70"/>
        </w:numPr>
        <w:ind w:left="426" w:hanging="426"/>
      </w:pPr>
      <w:bookmarkStart w:id="225" w:name="_Hlk154148795"/>
      <w:bookmarkStart w:id="226" w:name="_Hlk532980547"/>
      <w:r>
        <w:rPr>
          <w:rFonts w:hint="eastAsia"/>
        </w:rPr>
        <w:t>坏账准备的情况</w:t>
      </w:r>
    </w:p>
    <w:sdt>
      <w:sdtPr>
        <w:alias w:val="是否适用：应收票据坏账准备情况[双击切换]"/>
        <w:tag w:val="_GBC_3c7b44ae9e3b4aa6a67012163093206f"/>
        <w:id w:val="-301468533"/>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snapToGrid w:val="0"/>
        <w:spacing w:line="240" w:lineRule="atLeast"/>
        <w:ind w:left="425" w:firstLine="0" w:firstLineChars="0"/>
        <w:jc w:val="right"/>
        <w:rPr>
          <w:szCs w:val="21"/>
        </w:rPr>
      </w:pPr>
      <w:r>
        <w:rPr>
          <w:rFonts w:hint="eastAsia"/>
          <w:szCs w:val="21"/>
        </w:rPr>
        <w:t>单位：</w:t>
      </w:r>
      <w:sdt>
        <w:sdtPr>
          <w:rPr>
            <w:rFonts w:hint="eastAsia"/>
            <w:szCs w:val="21"/>
          </w:rPr>
          <w:alias w:val="单位：应收票据坏账准备情况"/>
          <w:tag w:val="_GBC_369a6567da6f4681886799eccc7ce30e"/>
          <w:id w:val="-2612159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应收票据坏账准备情况"/>
          <w:tag w:val="_GBC_2ca7f0c4216640399e139055a5b3f6df"/>
          <w:id w:val="18310274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61"/>
        <w:tblW w:w="52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529"/>
        <w:gridCol w:w="1276"/>
        <w:gridCol w:w="1277"/>
        <w:gridCol w:w="1419"/>
        <w:gridCol w:w="1555"/>
        <w:gridCol w:w="1135"/>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blHeader/>
        </w:trPr>
        <w:sdt>
          <w:sdtPr>
            <w:tag w:val="_PLD_5c2e077065ea4069947c5dad1aefe7c9"/>
            <w:id w:val="-1594311600"/>
          </w:sdtPr>
          <w:sdtContent>
            <w:tc>
              <w:tcPr>
                <w:tcW w:w="808" w:type="pct"/>
                <w:vMerge w:val="restart"/>
                <w:shd w:val="clear" w:color="auto" w:fill="FFFFFF"/>
                <w:vAlign w:val="center"/>
              </w:tcPr>
              <w:p>
                <w:pPr>
                  <w:jc w:val="center"/>
                </w:pPr>
                <w:r>
                  <w:t>类别</w:t>
                </w:r>
              </w:p>
            </w:tc>
          </w:sdtContent>
        </w:sdt>
        <w:sdt>
          <w:sdtPr>
            <w:tag w:val="_PLD_be42aed4ff82447ca43a862394d9d8b0"/>
            <w:id w:val="-1219661801"/>
          </w:sdtPr>
          <w:sdtContent>
            <w:tc>
              <w:tcPr>
                <w:tcW w:w="674" w:type="pct"/>
                <w:vMerge w:val="restart"/>
                <w:shd w:val="clear" w:color="auto" w:fill="FFFFFF"/>
                <w:vAlign w:val="center"/>
              </w:tcPr>
              <w:p>
                <w:pPr>
                  <w:jc w:val="center"/>
                </w:pPr>
                <w:r>
                  <w:t>期初余额</w:t>
                </w:r>
              </w:p>
            </w:tc>
          </w:sdtContent>
        </w:sdt>
        <w:sdt>
          <w:sdtPr>
            <w:tag w:val="_PLD_6aa2190a976944ebbcbd0551027474a9"/>
            <w:id w:val="1845593151"/>
          </w:sdtPr>
          <w:sdtContent>
            <w:tc>
              <w:tcPr>
                <w:tcW w:w="2843" w:type="pct"/>
                <w:gridSpan w:val="4"/>
                <w:shd w:val="clear" w:color="auto" w:fill="FFFFFF"/>
                <w:vAlign w:val="center"/>
              </w:tcPr>
              <w:p>
                <w:pPr>
                  <w:jc w:val="center"/>
                </w:pPr>
                <w:r>
                  <w:rPr>
                    <w:rFonts w:hint="eastAsia"/>
                  </w:rPr>
                  <w:t>本期变动</w:t>
                </w:r>
                <w:r>
                  <w:t>金额</w:t>
                </w:r>
              </w:p>
            </w:tc>
          </w:sdtContent>
        </w:sdt>
        <w:sdt>
          <w:sdtPr>
            <w:tag w:val="_PLD_b9edf7d7d59c4a92b06644af7a055d81"/>
            <w:id w:val="-1118213877"/>
          </w:sdtPr>
          <w:sdtContent>
            <w:tc>
              <w:tcPr>
                <w:tcW w:w="674" w:type="pct"/>
                <w:vMerge w:val="restart"/>
                <w:shd w:val="clear" w:color="auto" w:fill="FFFFFF"/>
                <w:vAlign w:val="center"/>
              </w:tcPr>
              <w:p>
                <w:pPr>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blHeader/>
        </w:trPr>
        <w:tc>
          <w:tcPr>
            <w:tcW w:w="808" w:type="pct"/>
            <w:vMerge w:val="continue"/>
            <w:shd w:val="clear" w:color="auto" w:fill="FFFFFF"/>
          </w:tcPr>
          <w:p>
            <w:pPr>
              <w:jc w:val="center"/>
            </w:pPr>
          </w:p>
        </w:tc>
        <w:tc>
          <w:tcPr>
            <w:tcW w:w="674" w:type="pct"/>
            <w:vMerge w:val="continue"/>
            <w:shd w:val="clear" w:color="auto" w:fill="FFFFFF"/>
          </w:tcPr>
          <w:p>
            <w:pPr>
              <w:jc w:val="right"/>
            </w:pPr>
          </w:p>
        </w:tc>
        <w:sdt>
          <w:sdtPr>
            <w:tag w:val="_PLD_36062efa6f854d3c8eee6ca1e0b72bca"/>
            <w:id w:val="693499713"/>
          </w:sdtPr>
          <w:sdtContent>
            <w:tc>
              <w:tcPr>
                <w:tcW w:w="674" w:type="pct"/>
                <w:shd w:val="clear" w:color="auto" w:fill="FFFFFF"/>
                <w:vAlign w:val="center"/>
              </w:tcPr>
              <w:p>
                <w:pPr>
                  <w:jc w:val="center"/>
                </w:pPr>
                <w:r>
                  <w:t>计提</w:t>
                </w:r>
              </w:p>
            </w:tc>
          </w:sdtContent>
        </w:sdt>
        <w:sdt>
          <w:sdtPr>
            <w:tag w:val="_PLD_0b4224d18fad47e08fa90eb4f8c7e612"/>
            <w:id w:val="-355357034"/>
          </w:sdtPr>
          <w:sdtContent>
            <w:tc>
              <w:tcPr>
                <w:tcW w:w="749" w:type="pct"/>
                <w:shd w:val="clear" w:color="auto" w:fill="FFFFFF"/>
                <w:vAlign w:val="center"/>
              </w:tcPr>
              <w:p>
                <w:pPr>
                  <w:jc w:val="center"/>
                </w:pPr>
                <w:r>
                  <w:rPr>
                    <w:rFonts w:hint="eastAsia"/>
                  </w:rPr>
                  <w:t>收回或转回</w:t>
                </w:r>
              </w:p>
            </w:tc>
          </w:sdtContent>
        </w:sdt>
        <w:tc>
          <w:tcPr>
            <w:tcW w:w="821" w:type="pct"/>
            <w:shd w:val="clear" w:color="auto" w:fill="FFFFFF"/>
            <w:vAlign w:val="center"/>
          </w:tcPr>
          <w:sdt>
            <w:sdtPr>
              <w:rPr>
                <w:rFonts w:hint="eastAsia"/>
              </w:rPr>
              <w:tag w:val="_PLD_dff8ef418de94a2b8e2615f6e297e890"/>
              <w:id w:val="486052729"/>
            </w:sdtPr>
            <w:sdtEndPr>
              <w:rPr>
                <w:rFonts w:hint="eastAsia"/>
              </w:rPr>
            </w:sdtEndPr>
            <w:sdtContent>
              <w:p>
                <w:pPr>
                  <w:jc w:val="center"/>
                </w:pPr>
                <w:r>
                  <w:rPr>
                    <w:rFonts w:hint="eastAsia"/>
                  </w:rPr>
                  <w:t>转销或核销</w:t>
                </w:r>
              </w:p>
            </w:sdtContent>
          </w:sdt>
        </w:tc>
        <w:tc>
          <w:tcPr>
            <w:tcW w:w="599" w:type="pct"/>
            <w:shd w:val="clear" w:color="auto" w:fill="FFFFFF"/>
          </w:tcPr>
          <w:sdt>
            <w:sdtPr>
              <w:rPr>
                <w:rFonts w:hint="eastAsia"/>
              </w:rPr>
              <w:tag w:val="_PLD_529e6104ed0640fcab7db5615e37639f"/>
              <w:id w:val="-418024787"/>
            </w:sdtPr>
            <w:sdtEndPr>
              <w:rPr>
                <w:rFonts w:hint="eastAsia"/>
              </w:rPr>
            </w:sdtEndPr>
            <w:sdtContent>
              <w:p>
                <w:pPr>
                  <w:jc w:val="right"/>
                </w:pPr>
                <w:r>
                  <w:rPr>
                    <w:rFonts w:hint="eastAsia"/>
                  </w:rPr>
                  <w:t>其他变动</w:t>
                </w:r>
              </w:p>
            </w:sdtContent>
          </w:sdt>
        </w:tc>
        <w:tc>
          <w:tcPr>
            <w:tcW w:w="674" w:type="pct"/>
            <w:vMerge w:val="continue"/>
            <w:shd w:val="clear" w:color="auto" w:fill="FFFFFF"/>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08" w:type="pct"/>
            <w:shd w:val="clear" w:color="auto" w:fill="auto"/>
            <w:vAlign w:val="center"/>
          </w:tcPr>
          <w:p>
            <w:pPr>
              <w:pStyle w:val="501"/>
            </w:pPr>
            <w:r>
              <w:rPr>
                <w:rFonts w:hint="eastAsia"/>
              </w:rPr>
              <w:t>应收票据坏账准备</w:t>
            </w:r>
          </w:p>
        </w:tc>
        <w:tc>
          <w:tcPr>
            <w:tcW w:w="674" w:type="pct"/>
            <w:shd w:val="clear" w:color="auto" w:fill="auto"/>
          </w:tcPr>
          <w:p>
            <w:pPr>
              <w:jc w:val="right"/>
            </w:pPr>
          </w:p>
        </w:tc>
        <w:tc>
          <w:tcPr>
            <w:tcW w:w="674" w:type="pct"/>
            <w:shd w:val="clear" w:color="auto" w:fill="auto"/>
            <w:vAlign w:val="center"/>
          </w:tcPr>
          <w:p>
            <w:pPr>
              <w:jc w:val="right"/>
              <w:rPr>
                <w:rFonts w:ascii="宋体" w:hAnsi="宋体"/>
              </w:rPr>
            </w:pPr>
            <w:r>
              <w:rPr>
                <w:rFonts w:ascii="宋体" w:hAnsi="宋体"/>
              </w:rPr>
              <w:t>817</w:t>
            </w:r>
          </w:p>
        </w:tc>
        <w:tc>
          <w:tcPr>
            <w:tcW w:w="749" w:type="pct"/>
            <w:shd w:val="clear" w:color="auto" w:fill="auto"/>
            <w:vAlign w:val="center"/>
          </w:tcPr>
          <w:p>
            <w:pPr>
              <w:jc w:val="right"/>
              <w:rPr>
                <w:rFonts w:ascii="宋体" w:hAnsi="宋体"/>
              </w:rPr>
            </w:pPr>
          </w:p>
        </w:tc>
        <w:tc>
          <w:tcPr>
            <w:tcW w:w="821" w:type="pct"/>
            <w:vAlign w:val="center"/>
          </w:tcPr>
          <w:p>
            <w:pPr>
              <w:jc w:val="right"/>
              <w:rPr>
                <w:rFonts w:ascii="宋体" w:hAnsi="宋体"/>
              </w:rPr>
            </w:pPr>
          </w:p>
        </w:tc>
        <w:tc>
          <w:tcPr>
            <w:tcW w:w="599" w:type="pct"/>
            <w:vAlign w:val="center"/>
          </w:tcPr>
          <w:p>
            <w:pPr>
              <w:jc w:val="right"/>
              <w:rPr>
                <w:rFonts w:ascii="宋体" w:hAnsi="宋体"/>
              </w:rPr>
            </w:pPr>
          </w:p>
        </w:tc>
        <w:tc>
          <w:tcPr>
            <w:tcW w:w="674" w:type="pct"/>
            <w:shd w:val="clear" w:color="auto" w:fill="auto"/>
            <w:vAlign w:val="center"/>
          </w:tcPr>
          <w:p>
            <w:pPr>
              <w:jc w:val="right"/>
              <w:rPr>
                <w:rFonts w:ascii="宋体" w:hAnsi="宋体"/>
              </w:rPr>
            </w:pPr>
            <w:r>
              <w:rPr>
                <w:rFonts w:ascii="宋体" w:hAnsi="宋体"/>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08" w:type="pct"/>
            <w:shd w:val="clear" w:color="auto" w:fill="auto"/>
          </w:tcPr>
          <w:p>
            <w:pPr>
              <w:jc w:val="center"/>
            </w:pPr>
            <w:r>
              <w:rPr>
                <w:rFonts w:hint="eastAsia"/>
              </w:rPr>
              <w:t>合计</w:t>
            </w:r>
          </w:p>
        </w:tc>
        <w:tc>
          <w:tcPr>
            <w:tcW w:w="674" w:type="pct"/>
            <w:shd w:val="clear" w:color="auto" w:fill="auto"/>
          </w:tcPr>
          <w:p>
            <w:pPr>
              <w:jc w:val="right"/>
            </w:pPr>
          </w:p>
        </w:tc>
        <w:tc>
          <w:tcPr>
            <w:tcW w:w="674" w:type="pct"/>
            <w:shd w:val="clear" w:color="auto" w:fill="auto"/>
            <w:vAlign w:val="center"/>
          </w:tcPr>
          <w:p>
            <w:pPr>
              <w:jc w:val="right"/>
              <w:rPr>
                <w:rFonts w:ascii="宋体" w:hAnsi="宋体"/>
              </w:rPr>
            </w:pPr>
            <w:r>
              <w:rPr>
                <w:rFonts w:ascii="宋体" w:hAnsi="宋体"/>
              </w:rPr>
              <w:t>817</w:t>
            </w:r>
          </w:p>
        </w:tc>
        <w:tc>
          <w:tcPr>
            <w:tcW w:w="749" w:type="pct"/>
            <w:shd w:val="clear" w:color="auto" w:fill="auto"/>
            <w:vAlign w:val="center"/>
          </w:tcPr>
          <w:p>
            <w:pPr>
              <w:jc w:val="right"/>
              <w:rPr>
                <w:rFonts w:ascii="宋体" w:hAnsi="宋体"/>
              </w:rPr>
            </w:pPr>
          </w:p>
        </w:tc>
        <w:tc>
          <w:tcPr>
            <w:tcW w:w="821" w:type="pct"/>
            <w:vAlign w:val="center"/>
          </w:tcPr>
          <w:p>
            <w:pPr>
              <w:jc w:val="right"/>
              <w:rPr>
                <w:rFonts w:ascii="宋体" w:hAnsi="宋体"/>
              </w:rPr>
            </w:pPr>
          </w:p>
        </w:tc>
        <w:tc>
          <w:tcPr>
            <w:tcW w:w="599" w:type="pct"/>
            <w:vAlign w:val="center"/>
          </w:tcPr>
          <w:p>
            <w:pPr>
              <w:jc w:val="right"/>
              <w:rPr>
                <w:rFonts w:ascii="宋体" w:hAnsi="宋体"/>
              </w:rPr>
            </w:pPr>
          </w:p>
        </w:tc>
        <w:tc>
          <w:tcPr>
            <w:tcW w:w="674" w:type="pct"/>
            <w:shd w:val="clear" w:color="auto" w:fill="auto"/>
            <w:vAlign w:val="center"/>
          </w:tcPr>
          <w:p>
            <w:pPr>
              <w:jc w:val="right"/>
              <w:rPr>
                <w:rFonts w:ascii="宋体" w:hAnsi="宋体"/>
              </w:rPr>
            </w:pPr>
            <w:r>
              <w:rPr>
                <w:rFonts w:ascii="宋体" w:hAnsi="宋体"/>
              </w:rPr>
              <w:t>817</w:t>
            </w:r>
          </w:p>
        </w:tc>
      </w:tr>
    </w:tbl>
    <w:p>
      <w:pPr>
        <w:pStyle w:val="501"/>
      </w:pPr>
    </w:p>
    <w:p>
      <w:pPr>
        <w:pStyle w:val="531"/>
      </w:pPr>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157679459"/>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bookmarkEnd w:id="225"/>
    <w:p>
      <w:pPr>
        <w:pStyle w:val="505"/>
        <w:numPr>
          <w:ilvl w:val="3"/>
          <w:numId w:val="70"/>
        </w:numPr>
        <w:ind w:left="426" w:hanging="426"/>
      </w:pPr>
      <w:bookmarkStart w:id="227" w:name="_Hlk152837614"/>
      <w:bookmarkStart w:id="228" w:name="_Hlk532982011"/>
      <w:r>
        <w:rPr>
          <w:rFonts w:hint="eastAsia"/>
        </w:rPr>
        <w:t>本期实际核销的应收票据情况</w:t>
      </w:r>
    </w:p>
    <w:bookmarkEnd w:id="226"/>
    <w:sdt>
      <w:sdtPr>
        <w:alias w:val="是否适用：实际核销的应收票据[双击切换]"/>
        <w:tag w:val="_GBC_a0d8af67abfc4a1698fd198064d3b108"/>
        <w:id w:val="1966070720"/>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其中重要的应收票据核销情况：</w:t>
      </w:r>
    </w:p>
    <w:bookmarkEnd w:id="227"/>
    <w:sdt>
      <w:sdtPr>
        <w:alias w:val="是否适用：重要的应收票据核销[双击切换]"/>
        <w:tag w:val="_GBC_8a4eb0fe2cd044db955869f172508ff4"/>
        <w:id w:val="-911087117"/>
        <w:placeholder>
          <w:docPart w:val="GBC22222222222222222222222222222"/>
        </w:placeholder>
      </w:sdtPr>
      <w:sdtContent>
        <w:p>
          <w:pPr>
            <w:pStyle w:val="501"/>
          </w:pPr>
          <w:bookmarkStart w:id="229" w:name="_Hlk152837635"/>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29"/>
    <w:p>
      <w:pPr>
        <w:pStyle w:val="501"/>
      </w:pPr>
    </w:p>
    <w:p>
      <w:pPr>
        <w:snapToGrid w:val="0"/>
        <w:spacing w:line="240" w:lineRule="atLeast"/>
      </w:pPr>
      <w:r>
        <w:rPr>
          <w:rFonts w:hint="eastAsia"/>
        </w:rPr>
        <w:t>应收票据核销说明：</w:t>
      </w:r>
    </w:p>
    <w:sdt>
      <w:sdtPr>
        <w:rPr>
          <w:rFonts w:asciiTheme="minorHAnsi" w:hAnsiTheme="minorHAnsi" w:cstheme="minorBidi"/>
          <w:bCs/>
          <w:szCs w:val="22"/>
        </w:rPr>
        <w:alias w:val="是否适用：应收票据核销说明[双击切换]"/>
        <w:tag w:val="_GBC_8e9a6863f024409f96d0d85cebbd362b"/>
        <w:id w:val="2010482588"/>
        <w:placeholder>
          <w:docPart w:val="GBC22222222222222222222222222222"/>
        </w:placeholder>
      </w:sdtPr>
      <w:sdtEndPr>
        <w:rPr>
          <w:rFonts w:asciiTheme="minorHAnsi" w:hAnsiTheme="minorHAnsi" w:cstheme="minorBidi"/>
          <w:bCs/>
          <w:szCs w:val="22"/>
        </w:rPr>
      </w:sdtEndPr>
      <w:sdtContent>
        <w:p>
          <w:pPr>
            <w:rPr>
              <w:rFonts w:asciiTheme="minorHAnsi" w:hAnsiTheme="minorHAnsi" w:cstheme="minorBidi"/>
              <w:bCs/>
              <w:szCs w:val="22"/>
            </w:rPr>
          </w:pPr>
          <w:bookmarkStart w:id="230" w:name="_Hlk152837641"/>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bookmarkEnd w:id="230"/>
    <w:p>
      <w:pPr>
        <w:rPr>
          <w:rFonts w:asciiTheme="minorHAnsi" w:hAnsiTheme="minorHAnsi" w:cstheme="minorBidi"/>
          <w:b/>
          <w:bCs/>
          <w:szCs w:val="22"/>
        </w:rPr>
      </w:pPr>
    </w:p>
    <w:p>
      <w:pPr>
        <w:pStyle w:val="531"/>
      </w:pPr>
      <w:r>
        <w:rPr>
          <w:rFonts w:hint="eastAsia"/>
        </w:rPr>
        <w:t>其他说明</w:t>
      </w:r>
    </w:p>
    <w:bookmarkEnd w:id="228"/>
    <w:sdt>
      <w:sdtPr>
        <w:alias w:val="是否适用：应收票据的说明[双击切换]"/>
        <w:tag w:val="_GBC_dc21e09520924a5db7020ba029631550"/>
        <w:id w:val="-120701719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p>
      <w:pPr>
        <w:pStyle w:val="504"/>
        <w:numPr>
          <w:ilvl w:val="0"/>
          <w:numId w:val="69"/>
        </w:numPr>
        <w:rPr>
          <w:rFonts w:ascii="宋体" w:hAnsi="宋体" w:cs="宋体"/>
          <w:kern w:val="0"/>
          <w:szCs w:val="21"/>
        </w:rPr>
      </w:pPr>
      <w:r>
        <w:rPr>
          <w:rFonts w:hint="eastAsia" w:ascii="宋体" w:hAnsi="宋体" w:cs="宋体"/>
          <w:kern w:val="0"/>
          <w:szCs w:val="21"/>
        </w:rPr>
        <w:t>应收账款</w:t>
      </w:r>
    </w:p>
    <w:p>
      <w:pPr>
        <w:pStyle w:val="505"/>
        <w:numPr>
          <w:ilvl w:val="3"/>
          <w:numId w:val="71"/>
        </w:numPr>
        <w:ind w:left="426" w:hanging="426"/>
      </w:pPr>
      <w:r>
        <w:rPr>
          <w:rFonts w:hint="eastAsia"/>
        </w:rPr>
        <w:t>按账龄披露</w:t>
      </w:r>
    </w:p>
    <w:sdt>
      <w:sdtPr>
        <w:rPr>
          <w:rFonts w:hint="eastAsia"/>
        </w:rPr>
        <w:alias w:val="是否适用：组合中，按账龄分析法计提坏账准备的应收账款[双击切换]"/>
        <w:tag w:val="_GBC_f6086903419d448ab27bc2735b69674a"/>
        <w:id w:val="499158956"/>
      </w:sdtPr>
      <w:sdtEndPr>
        <w:rPr>
          <w:rFonts w:hint="eastAsia"/>
        </w:rPr>
      </w:sdtEndPr>
      <w:sdtContent>
        <w:p>
          <w:pPr>
            <w:pStyle w:val="501"/>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单项金额不重大但按信用风险特征组合后该组合的风险较大的应收账款"/>
          <w:tag w:val="_GBC_eeeef14b591e4a8d839681ee71744810"/>
          <w:id w:val="367806408"/>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单项金额不重大但按信用风险特征组合后该组合的风险较大的应收账款"/>
          <w:tag w:val="_GBC_380b2c118777445781c47a562212f944"/>
          <w:id w:val="34922245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6"/>
        <w:gridCol w:w="3051"/>
        <w:gridCol w:w="3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宋体" w:hAnsi="宋体"/>
            </w:rPr>
            <w:tag w:val="_PLD_987827fb8f754c15801979884cb78127"/>
            <w:id w:val="1155804700"/>
          </w:sdtPr>
          <w:sdtEndPr>
            <w:rPr>
              <w:rFonts w:ascii="宋体" w:hAnsi="宋体"/>
            </w:rPr>
          </w:sdtEndPr>
          <w:sdtContent>
            <w:tc>
              <w:tcPr>
                <w:tcW w:w="1628" w:type="pct"/>
              </w:tcPr>
              <w:p>
                <w:pPr>
                  <w:jc w:val="center"/>
                  <w:rPr>
                    <w:rFonts w:ascii="宋体" w:hAnsi="宋体"/>
                  </w:rPr>
                </w:pPr>
                <w:r>
                  <w:rPr>
                    <w:rFonts w:hint="eastAsia" w:ascii="宋体" w:hAnsi="宋体"/>
                  </w:rPr>
                  <w:t>账龄</w:t>
                </w:r>
              </w:p>
            </w:tc>
          </w:sdtContent>
        </w:sdt>
        <w:sdt>
          <w:sdtPr>
            <w:rPr>
              <w:rFonts w:ascii="宋体" w:hAnsi="宋体"/>
            </w:rPr>
            <w:tag w:val="_PLD_53a2def126e844eabd4ea223442a8a87"/>
            <w:id w:val="981740158"/>
          </w:sdtPr>
          <w:sdtEndPr>
            <w:rPr>
              <w:rFonts w:ascii="宋体" w:hAnsi="宋体"/>
            </w:rPr>
          </w:sdtEndPr>
          <w:sdtContent>
            <w:tc>
              <w:tcPr>
                <w:tcW w:w="1686" w:type="pct"/>
              </w:tcPr>
              <w:p>
                <w:pPr>
                  <w:jc w:val="center"/>
                  <w:rPr>
                    <w:rFonts w:ascii="宋体" w:hAnsi="宋体"/>
                  </w:rPr>
                </w:pPr>
                <w:r>
                  <w:rPr>
                    <w:rFonts w:hint="eastAsia" w:ascii="宋体" w:hAnsi="宋体"/>
                  </w:rPr>
                  <w:t>期末账面余额</w:t>
                </w:r>
              </w:p>
            </w:tc>
          </w:sdtContent>
        </w:sdt>
        <w:sdt>
          <w:sdtPr>
            <w:rPr>
              <w:rFonts w:hint="eastAsia" w:ascii="宋体" w:hAnsi="宋体"/>
            </w:rPr>
            <w:tag w:val="_PLD_a827d93406c24ad3bf1a17438f1117c1"/>
            <w:id w:val="2048489148"/>
          </w:sdtPr>
          <w:sdtEndPr>
            <w:rPr>
              <w:rFonts w:hint="eastAsia" w:ascii="宋体" w:hAnsi="宋体"/>
            </w:rPr>
          </w:sdtEndPr>
          <w:sdtContent>
            <w:tc>
              <w:tcPr>
                <w:tcW w:w="1686" w:type="pct"/>
              </w:tcPr>
              <w:p>
                <w:pPr>
                  <w:jc w:val="center"/>
                  <w:rPr>
                    <w:rFonts w:ascii="宋体" w:hAnsi="宋体"/>
                  </w:rPr>
                </w:pPr>
                <w:r>
                  <w:rPr>
                    <w:rFonts w:hint="eastAsia" w:ascii="宋体" w:hAnsi="宋体"/>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pct"/>
          </w:tcPr>
          <w:p>
            <w:pPr>
              <w:rPr>
                <w:rFonts w:ascii="宋体" w:hAnsi="宋体" w:cs="Calibri"/>
                <w:color w:val="000000"/>
              </w:rPr>
            </w:pPr>
            <w:r>
              <w:rPr>
                <w:rFonts w:ascii="宋体" w:hAnsi="宋体" w:cs="Calibri"/>
                <w:color w:val="000000"/>
              </w:rPr>
              <w:t>1</w:t>
            </w:r>
            <w:r>
              <w:rPr>
                <w:rFonts w:hint="eastAsia" w:ascii="宋体" w:hAnsi="宋体" w:cs="Calibri"/>
                <w:color w:val="000000"/>
              </w:rPr>
              <w:t>年以内（含1年）</w:t>
            </w:r>
          </w:p>
        </w:tc>
        <w:tc>
          <w:tcPr>
            <w:tcW w:w="1686" w:type="pct"/>
          </w:tcPr>
          <w:p>
            <w:pPr>
              <w:jc w:val="right"/>
              <w:rPr>
                <w:rFonts w:ascii="宋体" w:hAnsi="宋体"/>
              </w:rPr>
            </w:pPr>
            <w:r>
              <w:rPr>
                <w:rFonts w:ascii="宋体" w:hAnsi="宋体"/>
              </w:rPr>
              <w:t>6,198,036</w:t>
            </w:r>
          </w:p>
        </w:tc>
        <w:tc>
          <w:tcPr>
            <w:tcW w:w="1686" w:type="pct"/>
          </w:tcPr>
          <w:p>
            <w:pPr>
              <w:jc w:val="right"/>
              <w:rPr>
                <w:rFonts w:ascii="宋体" w:hAnsi="宋体"/>
              </w:rPr>
            </w:pPr>
            <w:r>
              <w:rPr>
                <w:rFonts w:ascii="宋体" w:hAnsi="宋体"/>
              </w:rPr>
              <w:t>7,290,563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pct"/>
          </w:tcPr>
          <w:p>
            <w:pPr>
              <w:rPr>
                <w:rFonts w:ascii="宋体" w:hAnsi="宋体"/>
              </w:rPr>
            </w:pPr>
            <w:r>
              <w:rPr>
                <w:rFonts w:ascii="宋体" w:hAnsi="宋体" w:cs="Calibri"/>
                <w:color w:val="000000"/>
              </w:rPr>
              <w:t>1</w:t>
            </w:r>
            <w:r>
              <w:rPr>
                <w:rFonts w:hint="eastAsia" w:ascii="宋体" w:hAnsi="宋体" w:cs="Calibri"/>
                <w:color w:val="000000"/>
              </w:rPr>
              <w:t>至</w:t>
            </w:r>
            <w:r>
              <w:rPr>
                <w:rFonts w:ascii="宋体" w:hAnsi="宋体" w:cs="Calibri"/>
                <w:color w:val="000000"/>
              </w:rPr>
              <w:t>2</w:t>
            </w:r>
            <w:r>
              <w:rPr>
                <w:rFonts w:hint="eastAsia" w:ascii="宋体" w:hAnsi="宋体" w:cs="Calibri"/>
                <w:color w:val="000000"/>
              </w:rPr>
              <w:t>年</w:t>
            </w:r>
          </w:p>
        </w:tc>
        <w:tc>
          <w:tcPr>
            <w:tcW w:w="1686" w:type="pct"/>
          </w:tcPr>
          <w:p>
            <w:pPr>
              <w:jc w:val="right"/>
              <w:rPr>
                <w:rFonts w:ascii="宋体" w:hAnsi="宋体"/>
              </w:rPr>
            </w:pPr>
            <w:r>
              <w:rPr>
                <w:rFonts w:ascii="宋体" w:hAnsi="宋体"/>
              </w:rPr>
              <w:t>382,419</w:t>
            </w:r>
          </w:p>
        </w:tc>
        <w:tc>
          <w:tcPr>
            <w:tcW w:w="1686" w:type="pct"/>
          </w:tcPr>
          <w:p>
            <w:pPr>
              <w:jc w:val="right"/>
              <w:rPr>
                <w:rFonts w:ascii="宋体" w:hAnsi="宋体"/>
              </w:rPr>
            </w:pPr>
            <w:r>
              <w:rPr>
                <w:rFonts w:ascii="宋体" w:hAnsi="宋体"/>
              </w:rPr>
              <w:t>459,147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pct"/>
          </w:tcPr>
          <w:p>
            <w:pPr>
              <w:rPr>
                <w:rFonts w:ascii="宋体" w:hAnsi="宋体"/>
              </w:rPr>
            </w:pPr>
            <w:r>
              <w:rPr>
                <w:rFonts w:ascii="宋体" w:hAnsi="宋体" w:cs="Calibri"/>
                <w:color w:val="000000"/>
              </w:rPr>
              <w:t>2</w:t>
            </w:r>
            <w:r>
              <w:rPr>
                <w:rFonts w:hint="eastAsia" w:ascii="宋体" w:hAnsi="宋体" w:cs="Calibri"/>
                <w:color w:val="000000"/>
              </w:rPr>
              <w:t>至</w:t>
            </w:r>
            <w:r>
              <w:rPr>
                <w:rFonts w:ascii="宋体" w:hAnsi="宋体" w:cs="Calibri"/>
                <w:color w:val="000000"/>
              </w:rPr>
              <w:t>3</w:t>
            </w:r>
            <w:r>
              <w:rPr>
                <w:rFonts w:hint="eastAsia" w:ascii="宋体" w:hAnsi="宋体" w:cs="Calibri"/>
                <w:color w:val="000000"/>
              </w:rPr>
              <w:t>年</w:t>
            </w:r>
          </w:p>
        </w:tc>
        <w:tc>
          <w:tcPr>
            <w:tcW w:w="1686" w:type="pct"/>
          </w:tcPr>
          <w:p>
            <w:pPr>
              <w:jc w:val="right"/>
              <w:rPr>
                <w:rFonts w:ascii="宋体" w:hAnsi="宋体"/>
              </w:rPr>
            </w:pPr>
            <w:r>
              <w:rPr>
                <w:rFonts w:ascii="宋体" w:hAnsi="宋体"/>
              </w:rPr>
              <w:t>152,294</w:t>
            </w:r>
          </w:p>
        </w:tc>
        <w:tc>
          <w:tcPr>
            <w:tcW w:w="1686" w:type="pct"/>
          </w:tcPr>
          <w:p>
            <w:pPr>
              <w:jc w:val="right"/>
              <w:rPr>
                <w:rFonts w:ascii="宋体" w:hAnsi="宋体"/>
              </w:rPr>
            </w:pPr>
            <w:r>
              <w:rPr>
                <w:rFonts w:ascii="宋体" w:hAnsi="宋体"/>
              </w:rPr>
              <w:t>155,712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pct"/>
          </w:tcPr>
          <w:p>
            <w:pPr>
              <w:rPr>
                <w:rFonts w:ascii="宋体" w:hAnsi="宋体"/>
              </w:rPr>
            </w:pPr>
            <w:r>
              <w:rPr>
                <w:rFonts w:ascii="宋体" w:hAnsi="宋体" w:cs="Calibri"/>
                <w:color w:val="000000"/>
              </w:rPr>
              <w:t>3</w:t>
            </w:r>
            <w:r>
              <w:rPr>
                <w:rFonts w:hint="eastAsia" w:ascii="宋体" w:hAnsi="宋体" w:cs="Calibri"/>
                <w:color w:val="000000"/>
              </w:rPr>
              <w:t>年以上</w:t>
            </w:r>
          </w:p>
        </w:tc>
        <w:tc>
          <w:tcPr>
            <w:tcW w:w="1686" w:type="pct"/>
          </w:tcPr>
          <w:p>
            <w:pPr>
              <w:jc w:val="right"/>
              <w:rPr>
                <w:rFonts w:ascii="宋体" w:hAnsi="宋体"/>
              </w:rPr>
            </w:pPr>
            <w:r>
              <w:rPr>
                <w:rFonts w:ascii="宋体" w:hAnsi="宋体"/>
              </w:rPr>
              <w:t>732,018</w:t>
            </w:r>
          </w:p>
        </w:tc>
        <w:tc>
          <w:tcPr>
            <w:tcW w:w="1686" w:type="pct"/>
          </w:tcPr>
          <w:p>
            <w:pPr>
              <w:jc w:val="right"/>
              <w:rPr>
                <w:rFonts w:ascii="宋体" w:hAnsi="宋体"/>
              </w:rPr>
            </w:pPr>
            <w:r>
              <w:rPr>
                <w:rFonts w:ascii="宋体" w:hAnsi="宋体"/>
              </w:rPr>
              <w:t>740,684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4228da7212b54dbabe98902b22a02f1a"/>
            <w:id w:val="1467168998"/>
          </w:sdtPr>
          <w:sdtEndPr>
            <w:rPr>
              <w:rFonts w:ascii="宋体" w:hAnsi="宋体"/>
            </w:rPr>
          </w:sdtEndPr>
          <w:sdtContent>
            <w:tc>
              <w:tcPr>
                <w:tcW w:w="1628" w:type="pct"/>
              </w:tcPr>
              <w:p>
                <w:pPr>
                  <w:jc w:val="center"/>
                  <w:rPr>
                    <w:rFonts w:ascii="宋体" w:hAnsi="宋体"/>
                  </w:rPr>
                </w:pPr>
                <w:r>
                  <w:rPr>
                    <w:rFonts w:hint="eastAsia" w:ascii="宋体" w:hAnsi="宋体"/>
                  </w:rPr>
                  <w:t>合计</w:t>
                </w:r>
              </w:p>
            </w:tc>
          </w:sdtContent>
        </w:sdt>
        <w:tc>
          <w:tcPr>
            <w:tcW w:w="1686" w:type="pct"/>
          </w:tcPr>
          <w:p>
            <w:pPr>
              <w:jc w:val="right"/>
              <w:rPr>
                <w:rFonts w:ascii="宋体" w:hAnsi="宋体"/>
              </w:rPr>
            </w:pPr>
            <w:r>
              <w:rPr>
                <w:rFonts w:ascii="宋体" w:hAnsi="宋体"/>
              </w:rPr>
              <w:t>7,464,767</w:t>
            </w:r>
          </w:p>
        </w:tc>
        <w:tc>
          <w:tcPr>
            <w:tcW w:w="1686" w:type="pct"/>
          </w:tcPr>
          <w:p>
            <w:pPr>
              <w:jc w:val="right"/>
              <w:rPr>
                <w:rFonts w:ascii="宋体" w:hAnsi="宋体"/>
              </w:rPr>
            </w:pPr>
            <w:r>
              <w:rPr>
                <w:rFonts w:ascii="宋体" w:hAnsi="宋体"/>
              </w:rPr>
              <w:t>8,646,106</w:t>
            </w:r>
          </w:p>
        </w:tc>
      </w:tr>
    </w:tbl>
    <w:p>
      <w:pPr>
        <w:pStyle w:val="501"/>
      </w:pPr>
    </w:p>
    <w:p>
      <w:pPr>
        <w:pStyle w:val="505"/>
        <w:numPr>
          <w:ilvl w:val="3"/>
          <w:numId w:val="71"/>
        </w:numPr>
        <w:ind w:left="426" w:hanging="426"/>
      </w:pPr>
      <w:r>
        <w:rPr>
          <w:rFonts w:hint="eastAsia"/>
        </w:rPr>
        <w:t>按坏账计提方法分类披露</w:t>
      </w:r>
    </w:p>
    <w:sdt>
      <w:sdtPr>
        <w:alias w:val="是否适用：应收账款分类披露[双击切换]"/>
        <w:tag w:val="_GBC_5532cbb0484a40fcb185be4bb8709d46"/>
        <w:id w:val="672075341"/>
        <w:placeholder>
          <w:docPart w:val="GBC22222222222222222222222222222"/>
        </w:placeholder>
      </w:sdtPr>
      <w:sdtContent>
        <w:p>
          <w:pPr>
            <w:pStyle w:val="531"/>
          </w:pPr>
          <w:bookmarkStart w:id="231" w:name="_Hlk53360158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财务附注：应收账款按种类披露"/>
          <w:tag w:val="_GBC_9672a88fa94c441f9769b560659b37f6"/>
          <w:id w:val="-1361949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财务附注：应收账款按种类披露"/>
          <w:tag w:val="_GBC_45ed90b2e73740bfa8c1f5d7d12ff35e"/>
          <w:id w:val="21387508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792"/>
        <w:gridCol w:w="731"/>
        <w:gridCol w:w="664"/>
        <w:gridCol w:w="932"/>
        <w:gridCol w:w="792"/>
        <w:gridCol w:w="792"/>
        <w:gridCol w:w="731"/>
        <w:gridCol w:w="664"/>
        <w:gridCol w:w="932"/>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blHeader/>
        </w:trPr>
        <w:sdt>
          <w:sdtPr>
            <w:rPr>
              <w:rFonts w:ascii="宋体" w:hAnsi="宋体"/>
            </w:rPr>
            <w:tag w:val="_PLD_f8d5a19b9b724da98e30475a6df20be9"/>
            <w:id w:val="-656376911"/>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bookmarkStart w:id="232" w:name="_Hlk161411164"/>
                <w:r>
                  <w:rPr>
                    <w:rFonts w:hint="eastAsia" w:ascii="宋体" w:hAnsi="宋体"/>
                  </w:rPr>
                  <w:t>类别</w:t>
                </w:r>
              </w:p>
            </w:tc>
          </w:sdtContent>
        </w:sdt>
        <w:sdt>
          <w:sdtPr>
            <w:rPr>
              <w:rFonts w:ascii="宋体" w:hAnsi="宋体"/>
            </w:rPr>
            <w:tag w:val="_PLD_8e6cd64a5cc84d259bab748be3f49169"/>
            <w:id w:val="-1641416309"/>
          </w:sdtPr>
          <w:sdtEndPr>
            <w:rPr>
              <w:rFonts w:ascii="宋体" w:hAnsi="宋体"/>
            </w:rPr>
          </w:sdtEndPr>
          <w:sdtContent>
            <w:tc>
              <w:tcPr>
                <w:tcW w:w="0" w:type="auto"/>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期末余额</w:t>
                </w:r>
              </w:p>
            </w:tc>
          </w:sdtContent>
        </w:sdt>
        <w:sdt>
          <w:sdtPr>
            <w:rPr>
              <w:rFonts w:ascii="宋体" w:hAnsi="宋体"/>
            </w:rPr>
            <w:tag w:val="_PLD_f3718624b866493ab3b8d8edadf10560"/>
            <w:id w:val="-1447310810"/>
          </w:sdtPr>
          <w:sdtEndPr>
            <w:rPr>
              <w:rFonts w:ascii="宋体" w:hAnsi="宋体"/>
            </w:rPr>
          </w:sdtEndPr>
          <w:sdtContent>
            <w:tc>
              <w:tcPr>
                <w:tcW w:w="0" w:type="auto"/>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blHeader/>
        </w:trPr>
        <w:tc>
          <w:tcPr>
            <w:tcW w:w="0" w:type="auto"/>
            <w:vMerge w:val="continue"/>
            <w:tcBorders>
              <w:left w:val="single" w:color="auto" w:sz="4" w:space="0"/>
              <w:right w:val="single" w:color="auto" w:sz="4" w:space="0"/>
            </w:tcBorders>
            <w:vAlign w:val="center"/>
          </w:tcPr>
          <w:p>
            <w:pPr>
              <w:rPr>
                <w:rFonts w:ascii="宋体" w:hAnsi="宋体"/>
              </w:rPr>
            </w:pPr>
          </w:p>
        </w:tc>
        <w:sdt>
          <w:sdtPr>
            <w:rPr>
              <w:rFonts w:ascii="宋体" w:hAnsi="宋体"/>
            </w:rPr>
            <w:tag w:val="_PLD_696c52ce758e49deb616a7fb8df8ee20"/>
            <w:id w:val="2070769737"/>
          </w:sdtPr>
          <w:sdtEndPr>
            <w:rPr>
              <w:rFonts w:ascii="宋体" w:hAnsi="宋体"/>
            </w:rPr>
          </w:sdtEndPr>
          <w:sdtContent>
            <w:tc>
              <w:tcPr>
                <w:tcW w:w="0" w:type="auto"/>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1ca261fa1763424688ba2be8550f43e1"/>
            <w:id w:val="27997822"/>
          </w:sdtPr>
          <w:sdtEndPr>
            <w:rPr>
              <w:rFonts w:ascii="宋体" w:hAnsi="宋体"/>
            </w:rPr>
          </w:sdtEndPr>
          <w:sdtContent>
            <w:tc>
              <w:tcPr>
                <w:tcW w:w="0" w:type="auto"/>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caaf7fb85a4a432890635f2eb9c38cd5"/>
            <w:id w:val="-690064005"/>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sdt>
          <w:sdtPr>
            <w:rPr>
              <w:rFonts w:ascii="宋体" w:hAnsi="宋体"/>
            </w:rPr>
            <w:tag w:val="_PLD_f01498a5d6634d7ab63dd393e266902a"/>
            <w:id w:val="1005170355"/>
          </w:sdtPr>
          <w:sdtEndPr>
            <w:rPr>
              <w:rFonts w:ascii="宋体" w:hAnsi="宋体"/>
            </w:rPr>
          </w:sdtEndPr>
          <w:sdtContent>
            <w:tc>
              <w:tcPr>
                <w:tcW w:w="0" w:type="auto"/>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e9336373677a4e1781b6e81f705c1bec"/>
            <w:id w:val="1571154820"/>
          </w:sdtPr>
          <w:sdtEndPr>
            <w:rPr>
              <w:rFonts w:ascii="宋体" w:hAnsi="宋体"/>
            </w:rPr>
          </w:sdtEndPr>
          <w:sdtContent>
            <w:tc>
              <w:tcPr>
                <w:tcW w:w="0" w:type="auto"/>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09bacc527e7b4910a0c82606fe4a5754"/>
            <w:id w:val="-2103409390"/>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blHeader/>
        </w:trPr>
        <w:tc>
          <w:tcPr>
            <w:tcW w:w="0" w:type="auto"/>
            <w:vMerge w:val="continue"/>
            <w:tcBorders>
              <w:left w:val="single" w:color="auto" w:sz="4" w:space="0"/>
              <w:bottom w:val="single" w:color="auto" w:sz="4" w:space="0"/>
              <w:right w:val="single" w:color="auto" w:sz="4" w:space="0"/>
            </w:tcBorders>
            <w:vAlign w:val="center"/>
          </w:tcPr>
          <w:p>
            <w:pPr>
              <w:rPr>
                <w:rFonts w:ascii="宋体" w:hAnsi="宋体"/>
              </w:rPr>
            </w:pPr>
          </w:p>
        </w:tc>
        <w:sdt>
          <w:sdtPr>
            <w:rPr>
              <w:rFonts w:ascii="宋体" w:hAnsi="宋体"/>
            </w:rPr>
            <w:tag w:val="_PLD_9a908e63a38c4885ae2f80c1b860b93a"/>
            <w:id w:val="1865170664"/>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df211ff0344e48aa8266bff852c13d4a"/>
            <w:id w:val="-1436896831"/>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ascii="宋体" w:hAnsi="宋体"/>
            </w:rPr>
            <w:tag w:val="_PLD_bc7278fbd5c542a3abfb9a55090a49e0"/>
            <w:id w:val="-1695764450"/>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98f107e07b5b44938d61d6b0984d9e2b"/>
            <w:id w:val="-618149869"/>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0" w:type="auto"/>
            <w:vMerge w:val="continue"/>
            <w:tcBorders>
              <w:left w:val="single" w:color="auto" w:sz="4" w:space="0"/>
              <w:bottom w:val="single" w:color="auto" w:sz="4" w:space="0"/>
              <w:right w:val="single" w:color="auto" w:sz="4" w:space="0"/>
            </w:tcBorders>
            <w:vAlign w:val="center"/>
          </w:tcPr>
          <w:p>
            <w:pPr>
              <w:jc w:val="center"/>
              <w:rPr>
                <w:rFonts w:ascii="宋体" w:hAnsi="宋体"/>
              </w:rPr>
            </w:pPr>
          </w:p>
        </w:tc>
        <w:sdt>
          <w:sdtPr>
            <w:rPr>
              <w:rFonts w:ascii="宋体" w:hAnsi="宋体"/>
            </w:rPr>
            <w:tag w:val="_PLD_27c35a851bfc461b93652bdd1c4da46e"/>
            <w:id w:val="-209962402"/>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8cdcb4d0cfc74ea299eeda00998b7eed"/>
            <w:id w:val="2115863166"/>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ascii="宋体" w:hAnsi="宋体"/>
            </w:rPr>
            <w:tag w:val="_PLD_205ec069d7004eaba20d3af25a7dfeda"/>
            <w:id w:val="-2136943806"/>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cee6517bce154e26a5f2a917cc143a54"/>
            <w:id w:val="-130484661"/>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0" w:type="auto"/>
            <w:vMerge w:val="continue"/>
            <w:tcBorders>
              <w:left w:val="single" w:color="auto" w:sz="4" w:space="0"/>
              <w:bottom w:val="single" w:color="auto" w:sz="4" w:space="0"/>
              <w:right w:val="single" w:color="auto" w:sz="4" w:space="0"/>
            </w:tcBorders>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按单项计提坏账准备</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519,618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443,033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8</w:t>
            </w:r>
            <w:r>
              <w:rPr>
                <w:rFonts w:ascii="宋体" w:hAnsi="宋体"/>
                <w:spacing w:val="-20"/>
                <w:w w:val="80"/>
              </w:rPr>
              <w:t>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76,585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581,805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502,220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86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79,585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按组合计提坏账准备</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6,945,149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93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75,890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6,869,259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8,064,301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93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89,413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7,974,888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spacing w:val="-20"/>
              <w:w w:val="80"/>
            </w:rPr>
            <w:tag w:val="_PLD_ce0cfa8fc80147608db7db4b7ce1db69"/>
            <w:id w:val="-124232156"/>
          </w:sdtPr>
          <w:sdtEndPr>
            <w:rPr>
              <w:rFonts w:ascii="宋体" w:hAnsi="宋体"/>
              <w:spacing w:val="-20"/>
              <w:w w:val="80"/>
            </w:rPr>
          </w:sdtEndPr>
          <w:sdtContent>
            <w:tc>
              <w:tcPr>
                <w:tcW w:w="0" w:type="auto"/>
                <w:gridSpan w:val="11"/>
                <w:tcBorders>
                  <w:top w:val="single" w:color="auto" w:sz="4" w:space="0"/>
                  <w:left w:val="single" w:color="auto" w:sz="4" w:space="0"/>
                  <w:bottom w:val="single" w:color="auto" w:sz="4" w:space="0"/>
                  <w:right w:val="single" w:color="auto" w:sz="4" w:space="0"/>
                </w:tcBorders>
              </w:tcPr>
              <w:p>
                <w:pPr>
                  <w:rPr>
                    <w:rFonts w:ascii="宋体" w:hAnsi="宋体"/>
                    <w:spacing w:val="-20"/>
                    <w:w w:val="80"/>
                  </w:rPr>
                </w:pPr>
                <w:r>
                  <w:rPr>
                    <w:rFonts w:hint="eastAsia" w:ascii="宋体" w:hAnsi="宋体"/>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alias w:val="按组合计提坏账准备的应收账款明细-组合名称"/>
            <w:tag w:val="_GBC_a216a551f9d54c89b88dad6bcecd942d"/>
            <w:id w:val="-490861881"/>
          </w:sdtPr>
          <w:sdtEndPr>
            <w:rPr>
              <w:rFonts w:ascii="宋体" w:hAnsi="宋体"/>
            </w:rPr>
          </w:sdtEndPr>
          <w:sdtContent>
            <w:tc>
              <w:tcPr>
                <w:tcW w:w="0" w:type="auto"/>
                <w:tcBorders>
                  <w:top w:val="single" w:color="auto" w:sz="4" w:space="0"/>
                  <w:left w:val="single" w:color="auto" w:sz="4" w:space="0"/>
                  <w:bottom w:val="single" w:color="auto" w:sz="4" w:space="0"/>
                  <w:right w:val="single" w:color="auto" w:sz="4" w:space="0"/>
                </w:tcBorders>
              </w:tcPr>
              <w:p>
                <w:pPr>
                  <w:rPr>
                    <w:rFonts w:ascii="宋体" w:hAnsi="宋体"/>
                    <w:color w:val="808080"/>
                  </w:rPr>
                </w:pPr>
                <w:r>
                  <w:rPr>
                    <w:rFonts w:hint="eastAsia" w:ascii="宋体" w:hAnsi="宋体"/>
                  </w:rPr>
                  <w:t>账龄组合</w:t>
                </w:r>
              </w:p>
            </w:tc>
          </w:sdtContent>
        </w:sdt>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5,461,409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73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75,890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5,385,519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5,810,253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67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89,413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2</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5,720,840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alias w:val="按组合计提坏账准备的应收账款明细-组合名称"/>
            <w:tag w:val="_GBC_a216a551f9d54c89b88dad6bcecd942d"/>
            <w:id w:val="-1101418447"/>
          </w:sdtPr>
          <w:sdtEndPr>
            <w:rPr>
              <w:rFonts w:ascii="宋体" w:hAnsi="宋体"/>
            </w:rPr>
          </w:sdtEndPr>
          <w:sdtContent>
            <w:tc>
              <w:tcPr>
                <w:tcW w:w="0" w:type="auto"/>
                <w:tcBorders>
                  <w:top w:val="single" w:color="auto" w:sz="4" w:space="0"/>
                  <w:left w:val="single" w:color="auto" w:sz="4" w:space="0"/>
                  <w:bottom w:val="single" w:color="auto" w:sz="4" w:space="0"/>
                  <w:right w:val="single" w:color="auto" w:sz="4" w:space="0"/>
                </w:tcBorders>
              </w:tcPr>
              <w:p>
                <w:pPr>
                  <w:rPr>
                    <w:rFonts w:ascii="宋体" w:hAnsi="宋体"/>
                    <w:color w:val="808080"/>
                  </w:rPr>
                </w:pPr>
                <w:r>
                  <w:rPr>
                    <w:rFonts w:hint="eastAsia" w:ascii="宋体" w:hAnsi="宋体"/>
                  </w:rPr>
                  <w:t>关联方组合</w:t>
                </w:r>
              </w:p>
            </w:tc>
          </w:sdtContent>
        </w:sdt>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1,483,740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20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1,483,740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2,254,048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26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2,254,048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rPr>
              <w:t>合计</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7,464,767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w:t>
            </w:r>
            <w:r>
              <w:rPr>
                <w:rFonts w:ascii="宋体" w:hAnsi="宋体"/>
                <w:spacing w:val="-20"/>
                <w:w w:val="80"/>
              </w:rPr>
              <w:t>00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51</w:t>
            </w:r>
            <w:r>
              <w:rPr>
                <w:rFonts w:ascii="宋体" w:hAnsi="宋体"/>
                <w:spacing w:val="-20"/>
                <w:w w:val="80"/>
              </w:rPr>
              <w:t>8</w:t>
            </w:r>
            <w:r>
              <w:rPr>
                <w:rFonts w:hint="eastAsia" w:ascii="宋体" w:hAnsi="宋体"/>
                <w:spacing w:val="-20"/>
                <w:w w:val="80"/>
              </w:rPr>
              <w:t>,</w:t>
            </w:r>
            <w:r>
              <w:rPr>
                <w:rFonts w:ascii="宋体" w:hAnsi="宋体"/>
                <w:spacing w:val="-20"/>
                <w:w w:val="80"/>
              </w:rPr>
              <w:t>923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6,945,844</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8,646,106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w:t>
            </w:r>
            <w:r>
              <w:rPr>
                <w:rFonts w:ascii="宋体" w:hAnsi="宋体"/>
                <w:spacing w:val="-20"/>
                <w:w w:val="80"/>
              </w:rPr>
              <w:t>00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591,633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8,054,473</w:t>
            </w:r>
          </w:p>
        </w:tc>
      </w:tr>
      <w:bookmarkEnd w:id="231"/>
      <w:bookmarkEnd w:id="232"/>
    </w:tbl>
    <w:p>
      <w:pPr>
        <w:pStyle w:val="531"/>
      </w:pPr>
      <w:bookmarkStart w:id="233" w:name="_Hlk533606785"/>
    </w:p>
    <w:p>
      <w:pPr>
        <w:pStyle w:val="501"/>
      </w:pPr>
      <w:r>
        <w:rPr>
          <w:rFonts w:hint="eastAsia"/>
        </w:rPr>
        <w:t>按单项计提坏账准备：</w:t>
      </w:r>
    </w:p>
    <w:sdt>
      <w:sdtPr>
        <w:rPr>
          <w:rFonts w:hint="eastAsia"/>
        </w:rPr>
        <w:alias w:val="是否适用：按单项计提坏账准备的应收账款详细情况[双击切换]"/>
        <w:tag w:val="_GBC_1add32cead514597854ff8ba7f5bf59e"/>
        <w:id w:val="-1215580788"/>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895a0edb0a3a4e12b8b3c0e2c547284e"/>
          <w:id w:val="2674380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按单项计提坏账准备的应收账款详细情况"/>
          <w:tag w:val="_GBC_ceb9b753925d4115a51bdbcf043dc1b2"/>
          <w:id w:val="-6811991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312"/>
        <w:gridCol w:w="1318"/>
        <w:gridCol w:w="1133"/>
        <w:gridCol w:w="1404"/>
        <w:gridCol w:w="1158"/>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宋体" w:hAnsi="宋体"/>
            </w:rPr>
            <w:tag w:val="_PLD_97fa41067b8749859d9b8b001dab9dde"/>
            <w:id w:val="-2031089504"/>
          </w:sdtPr>
          <w:sdtEndPr>
            <w:rPr>
              <w:rFonts w:ascii="宋体" w:hAnsi="宋体"/>
            </w:rPr>
          </w:sdtEndPr>
          <w:sdtContent>
            <w:tc>
              <w:tcPr>
                <w:tcW w:w="1001" w:type="pct"/>
                <w:vMerge w:val="restart"/>
                <w:vAlign w:val="center"/>
              </w:tcPr>
              <w:p>
                <w:pPr>
                  <w:jc w:val="center"/>
                  <w:rPr>
                    <w:rFonts w:ascii="宋体" w:hAnsi="宋体"/>
                  </w:rPr>
                </w:pPr>
                <w:r>
                  <w:rPr>
                    <w:rFonts w:hint="eastAsia" w:ascii="宋体" w:hAnsi="宋体"/>
                  </w:rPr>
                  <w:t>名称</w:t>
                </w:r>
              </w:p>
            </w:tc>
          </w:sdtContent>
        </w:sdt>
        <w:tc>
          <w:tcPr>
            <w:tcW w:w="1453" w:type="pct"/>
            <w:gridSpan w:val="2"/>
            <w:vAlign w:val="center"/>
          </w:tcPr>
          <w:p>
            <w:pPr>
              <w:jc w:val="center"/>
              <w:rPr>
                <w:rFonts w:ascii="宋体" w:hAnsi="宋体"/>
              </w:rPr>
            </w:pPr>
            <w:r>
              <w:rPr>
                <w:rFonts w:hint="eastAsia" w:ascii="宋体" w:hAnsi="宋体"/>
              </w:rPr>
              <w:t>期初余额</w:t>
            </w:r>
          </w:p>
        </w:tc>
        <w:sdt>
          <w:sdtPr>
            <w:rPr>
              <w:rFonts w:ascii="宋体" w:hAnsi="宋体"/>
            </w:rPr>
            <w:tag w:val="_PLD_53121e07f76046af9290059d0b8136d4"/>
            <w:id w:val="654269856"/>
          </w:sdtPr>
          <w:sdtEndPr>
            <w:rPr>
              <w:rFonts w:ascii="宋体" w:hAnsi="宋体"/>
            </w:rPr>
          </w:sdtEndPr>
          <w:sdtContent>
            <w:tc>
              <w:tcPr>
                <w:tcW w:w="2546" w:type="pct"/>
                <w:gridSpan w:val="4"/>
                <w:vAlign w:val="center"/>
              </w:tcPr>
              <w:p>
                <w:pPr>
                  <w:jc w:val="center"/>
                  <w:rPr>
                    <w:rFonts w:ascii="宋体" w:hAnsi="宋体"/>
                  </w:rPr>
                </w:pPr>
                <w:r>
                  <w:rPr>
                    <w:rFonts w:hint="eastAsia"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01" w:type="pct"/>
            <w:vMerge w:val="continue"/>
          </w:tcPr>
          <w:p>
            <w:pPr>
              <w:jc w:val="center"/>
              <w:rPr>
                <w:rFonts w:ascii="宋体" w:hAnsi="宋体"/>
              </w:rPr>
            </w:pPr>
          </w:p>
        </w:tc>
        <w:tc>
          <w:tcPr>
            <w:tcW w:w="725" w:type="pct"/>
            <w:vAlign w:val="center"/>
          </w:tcPr>
          <w:p>
            <w:pPr>
              <w:jc w:val="center"/>
              <w:rPr>
                <w:rFonts w:ascii="宋体" w:hAnsi="宋体"/>
              </w:rPr>
            </w:pPr>
            <w:r>
              <w:rPr>
                <w:rFonts w:hint="eastAsia" w:ascii="宋体" w:hAnsi="宋体"/>
              </w:rPr>
              <w:t>账面余额</w:t>
            </w:r>
          </w:p>
        </w:tc>
        <w:tc>
          <w:tcPr>
            <w:tcW w:w="728" w:type="pct"/>
            <w:vAlign w:val="center"/>
          </w:tcPr>
          <w:p>
            <w:pPr>
              <w:jc w:val="center"/>
              <w:rPr>
                <w:rFonts w:ascii="宋体" w:hAnsi="宋体"/>
              </w:rPr>
            </w:pPr>
            <w:r>
              <w:rPr>
                <w:rFonts w:hint="eastAsia" w:ascii="宋体" w:hAnsi="宋体"/>
              </w:rPr>
              <w:t>坏账准备</w:t>
            </w:r>
          </w:p>
        </w:tc>
        <w:tc>
          <w:tcPr>
            <w:tcW w:w="626" w:type="pct"/>
            <w:vAlign w:val="center"/>
          </w:tcPr>
          <w:p>
            <w:pPr>
              <w:jc w:val="center"/>
              <w:rPr>
                <w:rFonts w:ascii="宋体" w:hAnsi="宋体"/>
              </w:rPr>
            </w:pPr>
            <w:r>
              <w:rPr>
                <w:rFonts w:hint="eastAsia" w:ascii="宋体" w:hAnsi="宋体"/>
              </w:rPr>
              <w:t>账面余额</w:t>
            </w:r>
          </w:p>
        </w:tc>
        <w:tc>
          <w:tcPr>
            <w:tcW w:w="776" w:type="pct"/>
            <w:vAlign w:val="center"/>
          </w:tcPr>
          <w:p>
            <w:pPr>
              <w:jc w:val="center"/>
              <w:rPr>
                <w:rFonts w:ascii="宋体" w:hAnsi="宋体"/>
              </w:rPr>
            </w:pPr>
            <w:r>
              <w:rPr>
                <w:rFonts w:hint="eastAsia" w:ascii="宋体" w:hAnsi="宋体"/>
              </w:rPr>
              <w:t>坏账准备</w:t>
            </w:r>
          </w:p>
        </w:tc>
        <w:tc>
          <w:tcPr>
            <w:tcW w:w="640" w:type="pct"/>
            <w:vAlign w:val="center"/>
          </w:tcPr>
          <w:p>
            <w:pPr>
              <w:jc w:val="center"/>
              <w:rPr>
                <w:rFonts w:ascii="宋体" w:hAnsi="宋体"/>
              </w:rPr>
            </w:pPr>
            <w:r>
              <w:rPr>
                <w:rFonts w:ascii="宋体" w:hAnsi="宋体"/>
              </w:rPr>
              <w:t>计提比例</w:t>
            </w:r>
            <w:r>
              <w:rPr>
                <w:rFonts w:hint="eastAsia" w:ascii="宋体" w:hAnsi="宋体"/>
              </w:rPr>
              <w:t>（%）</w:t>
            </w:r>
          </w:p>
        </w:tc>
        <w:tc>
          <w:tcPr>
            <w:tcW w:w="504" w:type="pct"/>
            <w:vAlign w:val="center"/>
          </w:tcPr>
          <w:p>
            <w:pPr>
              <w:jc w:val="center"/>
              <w:rPr>
                <w:rFonts w:ascii="宋体" w:hAnsi="宋体"/>
              </w:rPr>
            </w:pPr>
            <w:r>
              <w:rPr>
                <w:rFonts w:hint="eastAsia" w:ascii="宋体" w:hAnsi="宋体"/>
              </w:rPr>
              <w:t>计提理由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公司1</w:t>
            </w:r>
          </w:p>
        </w:tc>
        <w:tc>
          <w:tcPr>
            <w:tcW w:w="725" w:type="pct"/>
            <w:vAlign w:val="center"/>
          </w:tcPr>
          <w:p>
            <w:pPr>
              <w:jc w:val="right"/>
              <w:rPr>
                <w:rFonts w:ascii="宋体" w:hAnsi="宋体"/>
              </w:rPr>
            </w:pPr>
            <w:r>
              <w:rPr>
                <w:rFonts w:ascii="宋体" w:hAnsi="宋体"/>
              </w:rPr>
              <w:t>265,282</w:t>
            </w:r>
          </w:p>
        </w:tc>
        <w:tc>
          <w:tcPr>
            <w:tcW w:w="728" w:type="pct"/>
            <w:vAlign w:val="center"/>
          </w:tcPr>
          <w:p>
            <w:pPr>
              <w:jc w:val="right"/>
              <w:rPr>
                <w:rFonts w:ascii="宋体" w:hAnsi="宋体"/>
              </w:rPr>
            </w:pPr>
            <w:r>
              <w:rPr>
                <w:rFonts w:ascii="宋体" w:hAnsi="宋体"/>
              </w:rPr>
              <w:t>185,697</w:t>
            </w:r>
          </w:p>
        </w:tc>
        <w:tc>
          <w:tcPr>
            <w:tcW w:w="626" w:type="pct"/>
            <w:vAlign w:val="center"/>
          </w:tcPr>
          <w:p>
            <w:pPr>
              <w:jc w:val="right"/>
              <w:rPr>
                <w:rFonts w:ascii="宋体" w:hAnsi="宋体"/>
              </w:rPr>
            </w:pPr>
            <w:r>
              <w:rPr>
                <w:rFonts w:hint="eastAsia" w:ascii="宋体" w:hAnsi="宋体"/>
              </w:rPr>
              <w:t>262,282</w:t>
            </w:r>
          </w:p>
        </w:tc>
        <w:tc>
          <w:tcPr>
            <w:tcW w:w="776" w:type="pct"/>
            <w:vAlign w:val="center"/>
          </w:tcPr>
          <w:p>
            <w:pPr>
              <w:jc w:val="right"/>
              <w:rPr>
                <w:rFonts w:ascii="宋体" w:hAnsi="宋体"/>
              </w:rPr>
            </w:pPr>
            <w:r>
              <w:rPr>
                <w:rFonts w:hint="eastAsia" w:ascii="宋体" w:hAnsi="宋体"/>
              </w:rPr>
              <w:t>185,697</w:t>
            </w:r>
          </w:p>
        </w:tc>
        <w:tc>
          <w:tcPr>
            <w:tcW w:w="640" w:type="pct"/>
            <w:vAlign w:val="center"/>
          </w:tcPr>
          <w:p>
            <w:pPr>
              <w:jc w:val="right"/>
              <w:rPr>
                <w:rFonts w:ascii="宋体" w:hAnsi="宋体"/>
              </w:rPr>
            </w:pPr>
            <w:r>
              <w:rPr>
                <w:rFonts w:hint="eastAsia" w:ascii="宋体" w:hAnsi="宋体"/>
              </w:rPr>
              <w:t>71</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公司2</w:t>
            </w:r>
          </w:p>
        </w:tc>
        <w:tc>
          <w:tcPr>
            <w:tcW w:w="725" w:type="pct"/>
            <w:vAlign w:val="center"/>
          </w:tcPr>
          <w:p>
            <w:pPr>
              <w:jc w:val="right"/>
              <w:rPr>
                <w:rFonts w:ascii="宋体" w:hAnsi="宋体"/>
              </w:rPr>
            </w:pPr>
            <w:r>
              <w:rPr>
                <w:rFonts w:ascii="宋体" w:hAnsi="宋体"/>
              </w:rPr>
              <w:t>26,069</w:t>
            </w:r>
          </w:p>
        </w:tc>
        <w:tc>
          <w:tcPr>
            <w:tcW w:w="728" w:type="pct"/>
            <w:vAlign w:val="center"/>
          </w:tcPr>
          <w:p>
            <w:pPr>
              <w:jc w:val="right"/>
              <w:rPr>
                <w:rFonts w:ascii="宋体" w:hAnsi="宋体"/>
              </w:rPr>
            </w:pPr>
            <w:r>
              <w:rPr>
                <w:rFonts w:ascii="宋体" w:hAnsi="宋体"/>
              </w:rPr>
              <w:t>26,069</w:t>
            </w:r>
          </w:p>
        </w:tc>
        <w:tc>
          <w:tcPr>
            <w:tcW w:w="626" w:type="pct"/>
            <w:vAlign w:val="center"/>
          </w:tcPr>
          <w:p>
            <w:pPr>
              <w:jc w:val="right"/>
              <w:rPr>
                <w:rFonts w:ascii="宋体" w:hAnsi="宋体"/>
              </w:rPr>
            </w:pPr>
            <w:r>
              <w:rPr>
                <w:rFonts w:hint="eastAsia" w:ascii="宋体" w:hAnsi="宋体"/>
              </w:rPr>
              <w:t>26,069</w:t>
            </w:r>
          </w:p>
        </w:tc>
        <w:tc>
          <w:tcPr>
            <w:tcW w:w="776" w:type="pct"/>
            <w:vAlign w:val="center"/>
          </w:tcPr>
          <w:p>
            <w:pPr>
              <w:jc w:val="right"/>
              <w:rPr>
                <w:rFonts w:ascii="宋体" w:hAnsi="宋体"/>
              </w:rPr>
            </w:pPr>
            <w:r>
              <w:rPr>
                <w:rFonts w:hint="eastAsia" w:ascii="宋体" w:hAnsi="宋体"/>
              </w:rPr>
              <w:t>26,069</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公司3</w:t>
            </w:r>
          </w:p>
        </w:tc>
        <w:tc>
          <w:tcPr>
            <w:tcW w:w="725" w:type="pct"/>
            <w:vAlign w:val="center"/>
          </w:tcPr>
          <w:p>
            <w:pPr>
              <w:jc w:val="right"/>
              <w:rPr>
                <w:rFonts w:ascii="宋体" w:hAnsi="宋体"/>
              </w:rPr>
            </w:pPr>
            <w:r>
              <w:rPr>
                <w:rFonts w:ascii="宋体" w:hAnsi="宋体"/>
              </w:rPr>
              <w:t>19,359</w:t>
            </w:r>
          </w:p>
        </w:tc>
        <w:tc>
          <w:tcPr>
            <w:tcW w:w="728" w:type="pct"/>
            <w:vAlign w:val="center"/>
          </w:tcPr>
          <w:p>
            <w:pPr>
              <w:jc w:val="right"/>
              <w:rPr>
                <w:rFonts w:ascii="宋体" w:hAnsi="宋体"/>
              </w:rPr>
            </w:pPr>
            <w:r>
              <w:rPr>
                <w:rFonts w:ascii="宋体" w:hAnsi="宋体"/>
              </w:rPr>
              <w:t>19,359</w:t>
            </w:r>
          </w:p>
        </w:tc>
        <w:tc>
          <w:tcPr>
            <w:tcW w:w="626" w:type="pct"/>
            <w:vAlign w:val="center"/>
          </w:tcPr>
          <w:p>
            <w:pPr>
              <w:jc w:val="right"/>
              <w:rPr>
                <w:rFonts w:ascii="宋体" w:hAnsi="宋体"/>
              </w:rPr>
            </w:pPr>
            <w:r>
              <w:rPr>
                <w:rFonts w:hint="eastAsia" w:ascii="宋体" w:hAnsi="宋体"/>
              </w:rPr>
              <w:t>19,678</w:t>
            </w:r>
          </w:p>
        </w:tc>
        <w:tc>
          <w:tcPr>
            <w:tcW w:w="776" w:type="pct"/>
            <w:vAlign w:val="center"/>
          </w:tcPr>
          <w:p>
            <w:pPr>
              <w:jc w:val="right"/>
              <w:rPr>
                <w:rFonts w:ascii="宋体" w:hAnsi="宋体"/>
              </w:rPr>
            </w:pPr>
            <w:r>
              <w:rPr>
                <w:rFonts w:hint="eastAsia" w:ascii="宋体" w:hAnsi="宋体"/>
              </w:rPr>
              <w:t>19,678</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公司4</w:t>
            </w:r>
          </w:p>
        </w:tc>
        <w:tc>
          <w:tcPr>
            <w:tcW w:w="725" w:type="pct"/>
            <w:vAlign w:val="center"/>
          </w:tcPr>
          <w:p>
            <w:pPr>
              <w:jc w:val="right"/>
              <w:rPr>
                <w:rFonts w:ascii="宋体" w:hAnsi="宋体"/>
              </w:rPr>
            </w:pPr>
            <w:r>
              <w:rPr>
                <w:rFonts w:ascii="宋体" w:hAnsi="宋体"/>
              </w:rPr>
              <w:t>19,070</w:t>
            </w:r>
          </w:p>
        </w:tc>
        <w:tc>
          <w:tcPr>
            <w:tcW w:w="728" w:type="pct"/>
            <w:vAlign w:val="center"/>
          </w:tcPr>
          <w:p>
            <w:pPr>
              <w:jc w:val="right"/>
              <w:rPr>
                <w:rFonts w:ascii="宋体" w:hAnsi="宋体"/>
              </w:rPr>
            </w:pPr>
            <w:r>
              <w:rPr>
                <w:rFonts w:ascii="宋体" w:hAnsi="宋体"/>
              </w:rPr>
              <w:t>19,070</w:t>
            </w:r>
          </w:p>
        </w:tc>
        <w:tc>
          <w:tcPr>
            <w:tcW w:w="626" w:type="pct"/>
            <w:vAlign w:val="center"/>
          </w:tcPr>
          <w:p>
            <w:pPr>
              <w:jc w:val="right"/>
              <w:rPr>
                <w:rFonts w:ascii="宋体" w:hAnsi="宋体"/>
              </w:rPr>
            </w:pPr>
            <w:r>
              <w:rPr>
                <w:rFonts w:hint="eastAsia" w:ascii="宋体" w:hAnsi="宋体"/>
              </w:rPr>
              <w:t>19,070</w:t>
            </w:r>
          </w:p>
        </w:tc>
        <w:tc>
          <w:tcPr>
            <w:tcW w:w="776" w:type="pct"/>
            <w:vAlign w:val="center"/>
          </w:tcPr>
          <w:p>
            <w:pPr>
              <w:jc w:val="right"/>
              <w:rPr>
                <w:rFonts w:ascii="宋体" w:hAnsi="宋体"/>
              </w:rPr>
            </w:pPr>
            <w:r>
              <w:rPr>
                <w:rFonts w:hint="eastAsia" w:ascii="宋体" w:hAnsi="宋体"/>
              </w:rPr>
              <w:t>19,070</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公司5</w:t>
            </w:r>
          </w:p>
        </w:tc>
        <w:tc>
          <w:tcPr>
            <w:tcW w:w="725" w:type="pct"/>
            <w:vAlign w:val="center"/>
          </w:tcPr>
          <w:p>
            <w:pPr>
              <w:jc w:val="right"/>
              <w:rPr>
                <w:rFonts w:ascii="宋体" w:hAnsi="宋体"/>
              </w:rPr>
            </w:pPr>
            <w:r>
              <w:rPr>
                <w:rFonts w:ascii="宋体" w:hAnsi="宋体"/>
              </w:rPr>
              <w:t>12,072</w:t>
            </w:r>
          </w:p>
        </w:tc>
        <w:tc>
          <w:tcPr>
            <w:tcW w:w="728" w:type="pct"/>
            <w:vAlign w:val="center"/>
          </w:tcPr>
          <w:p>
            <w:pPr>
              <w:jc w:val="right"/>
              <w:rPr>
                <w:rFonts w:ascii="宋体" w:hAnsi="宋体"/>
              </w:rPr>
            </w:pPr>
            <w:r>
              <w:rPr>
                <w:rFonts w:ascii="宋体" w:hAnsi="宋体"/>
              </w:rPr>
              <w:t>12,072</w:t>
            </w:r>
          </w:p>
        </w:tc>
        <w:tc>
          <w:tcPr>
            <w:tcW w:w="626" w:type="pct"/>
            <w:vAlign w:val="center"/>
          </w:tcPr>
          <w:p>
            <w:pPr>
              <w:jc w:val="right"/>
              <w:rPr>
                <w:rFonts w:ascii="宋体" w:hAnsi="宋体"/>
              </w:rPr>
            </w:pPr>
            <w:r>
              <w:rPr>
                <w:rFonts w:hint="eastAsia" w:ascii="宋体" w:hAnsi="宋体"/>
              </w:rPr>
              <w:t>12,072</w:t>
            </w:r>
          </w:p>
        </w:tc>
        <w:tc>
          <w:tcPr>
            <w:tcW w:w="776" w:type="pct"/>
            <w:vAlign w:val="center"/>
          </w:tcPr>
          <w:p>
            <w:pPr>
              <w:jc w:val="right"/>
              <w:rPr>
                <w:rFonts w:ascii="宋体" w:hAnsi="宋体"/>
              </w:rPr>
            </w:pPr>
            <w:r>
              <w:rPr>
                <w:rFonts w:hint="eastAsia" w:ascii="宋体" w:hAnsi="宋体"/>
              </w:rPr>
              <w:t>12,072</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公司6</w:t>
            </w:r>
          </w:p>
        </w:tc>
        <w:tc>
          <w:tcPr>
            <w:tcW w:w="725" w:type="pct"/>
            <w:vAlign w:val="center"/>
          </w:tcPr>
          <w:p>
            <w:pPr>
              <w:jc w:val="right"/>
              <w:rPr>
                <w:rFonts w:ascii="宋体" w:hAnsi="宋体"/>
              </w:rPr>
            </w:pPr>
            <w:r>
              <w:rPr>
                <w:rFonts w:ascii="宋体" w:hAnsi="宋体"/>
              </w:rPr>
              <w:t>10,660</w:t>
            </w:r>
          </w:p>
        </w:tc>
        <w:tc>
          <w:tcPr>
            <w:tcW w:w="728" w:type="pct"/>
            <w:vAlign w:val="center"/>
          </w:tcPr>
          <w:p>
            <w:pPr>
              <w:jc w:val="right"/>
              <w:rPr>
                <w:rFonts w:ascii="宋体" w:hAnsi="宋体"/>
              </w:rPr>
            </w:pPr>
            <w:r>
              <w:rPr>
                <w:rFonts w:ascii="宋体" w:hAnsi="宋体"/>
              </w:rPr>
              <w:t>10,660</w:t>
            </w:r>
          </w:p>
        </w:tc>
        <w:tc>
          <w:tcPr>
            <w:tcW w:w="626" w:type="pct"/>
            <w:vAlign w:val="center"/>
          </w:tcPr>
          <w:p>
            <w:pPr>
              <w:jc w:val="right"/>
              <w:rPr>
                <w:rFonts w:ascii="宋体" w:hAnsi="宋体"/>
              </w:rPr>
            </w:pPr>
            <w:r>
              <w:rPr>
                <w:rFonts w:hint="eastAsia" w:ascii="宋体" w:hAnsi="宋体"/>
              </w:rPr>
              <w:t>10,660</w:t>
            </w:r>
          </w:p>
        </w:tc>
        <w:tc>
          <w:tcPr>
            <w:tcW w:w="776" w:type="pct"/>
            <w:vAlign w:val="center"/>
          </w:tcPr>
          <w:p>
            <w:pPr>
              <w:jc w:val="right"/>
              <w:rPr>
                <w:rFonts w:ascii="宋体" w:hAnsi="宋体"/>
              </w:rPr>
            </w:pPr>
            <w:r>
              <w:rPr>
                <w:rFonts w:hint="eastAsia" w:ascii="宋体" w:hAnsi="宋体"/>
              </w:rPr>
              <w:t>10,660</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公司7</w:t>
            </w:r>
          </w:p>
        </w:tc>
        <w:tc>
          <w:tcPr>
            <w:tcW w:w="725" w:type="pct"/>
            <w:vAlign w:val="center"/>
          </w:tcPr>
          <w:p>
            <w:pPr>
              <w:jc w:val="right"/>
              <w:rPr>
                <w:rFonts w:ascii="宋体" w:hAnsi="宋体"/>
              </w:rPr>
            </w:pPr>
            <w:r>
              <w:rPr>
                <w:rFonts w:ascii="宋体" w:hAnsi="宋体"/>
              </w:rPr>
              <w:t>9,195</w:t>
            </w:r>
          </w:p>
        </w:tc>
        <w:tc>
          <w:tcPr>
            <w:tcW w:w="728" w:type="pct"/>
            <w:vAlign w:val="center"/>
          </w:tcPr>
          <w:p>
            <w:pPr>
              <w:jc w:val="right"/>
              <w:rPr>
                <w:rFonts w:ascii="宋体" w:hAnsi="宋体"/>
              </w:rPr>
            </w:pPr>
            <w:r>
              <w:rPr>
                <w:rFonts w:ascii="宋体" w:hAnsi="宋体"/>
              </w:rPr>
              <w:t>9,195</w:t>
            </w:r>
          </w:p>
        </w:tc>
        <w:tc>
          <w:tcPr>
            <w:tcW w:w="626" w:type="pct"/>
            <w:vAlign w:val="center"/>
          </w:tcPr>
          <w:p>
            <w:pPr>
              <w:jc w:val="right"/>
              <w:rPr>
                <w:rFonts w:ascii="宋体" w:hAnsi="宋体"/>
              </w:rPr>
            </w:pPr>
            <w:r>
              <w:rPr>
                <w:rFonts w:hint="eastAsia" w:ascii="宋体" w:hAnsi="宋体"/>
              </w:rPr>
              <w:t>9,195</w:t>
            </w:r>
          </w:p>
        </w:tc>
        <w:tc>
          <w:tcPr>
            <w:tcW w:w="776" w:type="pct"/>
            <w:vAlign w:val="center"/>
          </w:tcPr>
          <w:p>
            <w:pPr>
              <w:jc w:val="right"/>
              <w:rPr>
                <w:rFonts w:ascii="宋体" w:hAnsi="宋体"/>
              </w:rPr>
            </w:pPr>
            <w:r>
              <w:rPr>
                <w:rFonts w:hint="eastAsia" w:ascii="宋体" w:hAnsi="宋体"/>
              </w:rPr>
              <w:t>9,195</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公司8</w:t>
            </w:r>
          </w:p>
        </w:tc>
        <w:tc>
          <w:tcPr>
            <w:tcW w:w="725" w:type="pct"/>
            <w:vAlign w:val="center"/>
          </w:tcPr>
          <w:p>
            <w:pPr>
              <w:jc w:val="right"/>
              <w:rPr>
                <w:rFonts w:ascii="宋体" w:hAnsi="宋体"/>
              </w:rPr>
            </w:pPr>
            <w:r>
              <w:rPr>
                <w:rFonts w:ascii="宋体" w:hAnsi="宋体"/>
              </w:rPr>
              <w:t>8,800</w:t>
            </w:r>
          </w:p>
        </w:tc>
        <w:tc>
          <w:tcPr>
            <w:tcW w:w="728" w:type="pct"/>
            <w:vAlign w:val="center"/>
          </w:tcPr>
          <w:p>
            <w:pPr>
              <w:jc w:val="right"/>
              <w:rPr>
                <w:rFonts w:ascii="宋体" w:hAnsi="宋体"/>
              </w:rPr>
            </w:pPr>
            <w:r>
              <w:rPr>
                <w:rFonts w:ascii="宋体" w:hAnsi="宋体"/>
              </w:rPr>
              <w:t>8,800</w:t>
            </w:r>
          </w:p>
        </w:tc>
        <w:tc>
          <w:tcPr>
            <w:tcW w:w="626" w:type="pct"/>
            <w:vAlign w:val="center"/>
          </w:tcPr>
          <w:p>
            <w:pPr>
              <w:jc w:val="right"/>
              <w:rPr>
                <w:rFonts w:ascii="宋体" w:hAnsi="宋体"/>
              </w:rPr>
            </w:pPr>
            <w:r>
              <w:rPr>
                <w:rFonts w:hint="eastAsia" w:ascii="宋体" w:hAnsi="宋体"/>
              </w:rPr>
              <w:t>8,800</w:t>
            </w:r>
          </w:p>
        </w:tc>
        <w:tc>
          <w:tcPr>
            <w:tcW w:w="776" w:type="pct"/>
            <w:vAlign w:val="center"/>
          </w:tcPr>
          <w:p>
            <w:pPr>
              <w:jc w:val="right"/>
              <w:rPr>
                <w:rFonts w:ascii="宋体" w:hAnsi="宋体"/>
              </w:rPr>
            </w:pPr>
            <w:r>
              <w:rPr>
                <w:rFonts w:hint="eastAsia" w:ascii="宋体" w:hAnsi="宋体"/>
              </w:rPr>
              <w:t>8,800</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w:t>
            </w:r>
            <w:r>
              <w:rPr>
                <w:rFonts w:ascii="宋体" w:hAnsi="宋体"/>
              </w:rPr>
              <w:t>9</w:t>
            </w:r>
          </w:p>
        </w:tc>
        <w:tc>
          <w:tcPr>
            <w:tcW w:w="725" w:type="pct"/>
            <w:vAlign w:val="center"/>
          </w:tcPr>
          <w:p>
            <w:pPr>
              <w:jc w:val="right"/>
              <w:rPr>
                <w:rFonts w:ascii="宋体" w:hAnsi="宋体"/>
              </w:rPr>
            </w:pPr>
            <w:r>
              <w:rPr>
                <w:rFonts w:ascii="宋体" w:hAnsi="宋体"/>
              </w:rPr>
              <w:t>8,630</w:t>
            </w:r>
          </w:p>
        </w:tc>
        <w:tc>
          <w:tcPr>
            <w:tcW w:w="728" w:type="pct"/>
            <w:vAlign w:val="center"/>
          </w:tcPr>
          <w:p>
            <w:pPr>
              <w:jc w:val="right"/>
              <w:rPr>
                <w:rFonts w:ascii="宋体" w:hAnsi="宋体"/>
              </w:rPr>
            </w:pPr>
            <w:r>
              <w:rPr>
                <w:rFonts w:ascii="宋体" w:hAnsi="宋体"/>
              </w:rPr>
              <w:t>8,630</w:t>
            </w:r>
          </w:p>
        </w:tc>
        <w:tc>
          <w:tcPr>
            <w:tcW w:w="626" w:type="pct"/>
            <w:vAlign w:val="center"/>
          </w:tcPr>
          <w:p>
            <w:pPr>
              <w:jc w:val="right"/>
              <w:rPr>
                <w:rFonts w:ascii="宋体" w:hAnsi="宋体"/>
              </w:rPr>
            </w:pPr>
            <w:r>
              <w:rPr>
                <w:rFonts w:hint="eastAsia" w:ascii="宋体" w:hAnsi="宋体"/>
              </w:rPr>
              <w:t>8,630</w:t>
            </w:r>
          </w:p>
        </w:tc>
        <w:tc>
          <w:tcPr>
            <w:tcW w:w="776" w:type="pct"/>
            <w:vAlign w:val="center"/>
          </w:tcPr>
          <w:p>
            <w:pPr>
              <w:jc w:val="right"/>
              <w:rPr>
                <w:rFonts w:ascii="宋体" w:hAnsi="宋体"/>
              </w:rPr>
            </w:pPr>
            <w:r>
              <w:rPr>
                <w:rFonts w:hint="eastAsia" w:ascii="宋体" w:hAnsi="宋体"/>
              </w:rPr>
              <w:t>8,630</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公司1</w:t>
            </w:r>
            <w:r>
              <w:rPr>
                <w:rFonts w:ascii="宋体" w:hAnsi="宋体"/>
              </w:rPr>
              <w:t>0</w:t>
            </w:r>
          </w:p>
        </w:tc>
        <w:tc>
          <w:tcPr>
            <w:tcW w:w="725" w:type="pct"/>
            <w:vAlign w:val="center"/>
          </w:tcPr>
          <w:p>
            <w:pPr>
              <w:jc w:val="right"/>
              <w:rPr>
                <w:rFonts w:ascii="宋体" w:hAnsi="宋体"/>
              </w:rPr>
            </w:pPr>
            <w:r>
              <w:rPr>
                <w:rFonts w:ascii="宋体" w:hAnsi="宋体"/>
              </w:rPr>
              <w:t>8,300</w:t>
            </w:r>
          </w:p>
        </w:tc>
        <w:tc>
          <w:tcPr>
            <w:tcW w:w="728" w:type="pct"/>
            <w:vAlign w:val="center"/>
          </w:tcPr>
          <w:p>
            <w:pPr>
              <w:jc w:val="right"/>
              <w:rPr>
                <w:rFonts w:ascii="宋体" w:hAnsi="宋体"/>
              </w:rPr>
            </w:pPr>
            <w:r>
              <w:rPr>
                <w:rFonts w:ascii="宋体" w:hAnsi="宋体"/>
              </w:rPr>
              <w:t>8,300</w:t>
            </w:r>
          </w:p>
        </w:tc>
        <w:tc>
          <w:tcPr>
            <w:tcW w:w="626" w:type="pct"/>
            <w:vAlign w:val="center"/>
          </w:tcPr>
          <w:p>
            <w:pPr>
              <w:jc w:val="right"/>
              <w:rPr>
                <w:rFonts w:ascii="宋体" w:hAnsi="宋体"/>
              </w:rPr>
            </w:pPr>
            <w:r>
              <w:rPr>
                <w:rFonts w:hint="eastAsia" w:ascii="宋体" w:hAnsi="宋体"/>
              </w:rPr>
              <w:t>8,300</w:t>
            </w:r>
          </w:p>
        </w:tc>
        <w:tc>
          <w:tcPr>
            <w:tcW w:w="776" w:type="pct"/>
            <w:vAlign w:val="center"/>
          </w:tcPr>
          <w:p>
            <w:pPr>
              <w:jc w:val="right"/>
              <w:rPr>
                <w:rFonts w:ascii="宋体" w:hAnsi="宋体"/>
              </w:rPr>
            </w:pPr>
            <w:r>
              <w:rPr>
                <w:rFonts w:hint="eastAsia" w:ascii="宋体" w:hAnsi="宋体"/>
              </w:rPr>
              <w:t>8,300</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公司1</w:t>
            </w:r>
            <w:r>
              <w:rPr>
                <w:rFonts w:ascii="宋体" w:hAnsi="宋体"/>
              </w:rPr>
              <w:t>1</w:t>
            </w:r>
          </w:p>
        </w:tc>
        <w:tc>
          <w:tcPr>
            <w:tcW w:w="725" w:type="pct"/>
            <w:vAlign w:val="center"/>
          </w:tcPr>
          <w:p>
            <w:pPr>
              <w:jc w:val="right"/>
              <w:rPr>
                <w:rFonts w:ascii="宋体" w:hAnsi="宋体"/>
              </w:rPr>
            </w:pPr>
            <w:r>
              <w:rPr>
                <w:rFonts w:ascii="宋体" w:hAnsi="宋体"/>
              </w:rPr>
              <w:t>59,991</w:t>
            </w:r>
          </w:p>
        </w:tc>
        <w:tc>
          <w:tcPr>
            <w:tcW w:w="728" w:type="pct"/>
            <w:vAlign w:val="center"/>
          </w:tcPr>
          <w:p>
            <w:pPr>
              <w:jc w:val="right"/>
              <w:rPr>
                <w:rFonts w:ascii="宋体" w:hAnsi="宋体"/>
              </w:rPr>
            </w:pPr>
            <w:r>
              <w:rPr>
                <w:rFonts w:ascii="宋体" w:hAnsi="宋体"/>
              </w:rPr>
              <w:t>59,991</w:t>
            </w:r>
          </w:p>
        </w:tc>
        <w:tc>
          <w:tcPr>
            <w:tcW w:w="626" w:type="pct"/>
            <w:vAlign w:val="center"/>
          </w:tcPr>
          <w:p>
            <w:pPr>
              <w:jc w:val="right"/>
              <w:rPr>
                <w:rFonts w:ascii="宋体" w:hAnsi="宋体"/>
              </w:rPr>
            </w:pPr>
            <w:r>
              <w:rPr>
                <w:rFonts w:hint="eastAsia" w:ascii="宋体" w:hAnsi="宋体"/>
              </w:rPr>
              <w:t>7,696</w:t>
            </w:r>
          </w:p>
        </w:tc>
        <w:tc>
          <w:tcPr>
            <w:tcW w:w="776" w:type="pct"/>
            <w:vAlign w:val="center"/>
          </w:tcPr>
          <w:p>
            <w:pPr>
              <w:jc w:val="right"/>
              <w:rPr>
                <w:rFonts w:ascii="宋体" w:hAnsi="宋体"/>
              </w:rPr>
            </w:pPr>
            <w:r>
              <w:rPr>
                <w:rFonts w:hint="eastAsia" w:ascii="宋体" w:hAnsi="宋体"/>
              </w:rPr>
              <w:t>7,696</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公司1</w:t>
            </w:r>
            <w:r>
              <w:rPr>
                <w:rFonts w:ascii="宋体" w:hAnsi="宋体"/>
              </w:rPr>
              <w:t>2</w:t>
            </w:r>
          </w:p>
        </w:tc>
        <w:tc>
          <w:tcPr>
            <w:tcW w:w="725" w:type="pct"/>
            <w:vAlign w:val="center"/>
          </w:tcPr>
          <w:p>
            <w:pPr>
              <w:jc w:val="right"/>
              <w:rPr>
                <w:rFonts w:ascii="宋体" w:hAnsi="宋体"/>
              </w:rPr>
            </w:pPr>
            <w:r>
              <w:rPr>
                <w:rFonts w:ascii="宋体" w:hAnsi="宋体"/>
              </w:rPr>
              <w:t>7,459</w:t>
            </w:r>
          </w:p>
        </w:tc>
        <w:tc>
          <w:tcPr>
            <w:tcW w:w="728" w:type="pct"/>
            <w:vAlign w:val="center"/>
          </w:tcPr>
          <w:p>
            <w:pPr>
              <w:jc w:val="right"/>
              <w:rPr>
                <w:rFonts w:ascii="宋体" w:hAnsi="宋体"/>
              </w:rPr>
            </w:pPr>
            <w:r>
              <w:rPr>
                <w:rFonts w:ascii="宋体" w:hAnsi="宋体"/>
              </w:rPr>
              <w:t>7,459</w:t>
            </w:r>
          </w:p>
        </w:tc>
        <w:tc>
          <w:tcPr>
            <w:tcW w:w="626" w:type="pct"/>
            <w:vAlign w:val="center"/>
          </w:tcPr>
          <w:p>
            <w:pPr>
              <w:jc w:val="right"/>
              <w:rPr>
                <w:rFonts w:ascii="宋体" w:hAnsi="宋体"/>
              </w:rPr>
            </w:pPr>
            <w:r>
              <w:rPr>
                <w:rFonts w:hint="eastAsia" w:ascii="宋体" w:hAnsi="宋体"/>
              </w:rPr>
              <w:t>7,459</w:t>
            </w:r>
          </w:p>
        </w:tc>
        <w:tc>
          <w:tcPr>
            <w:tcW w:w="776" w:type="pct"/>
            <w:vAlign w:val="center"/>
          </w:tcPr>
          <w:p>
            <w:pPr>
              <w:jc w:val="right"/>
              <w:rPr>
                <w:rFonts w:ascii="宋体" w:hAnsi="宋体"/>
              </w:rPr>
            </w:pPr>
            <w:r>
              <w:rPr>
                <w:rFonts w:hint="eastAsia" w:ascii="宋体" w:hAnsi="宋体"/>
              </w:rPr>
              <w:t>7,459</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公司1</w:t>
            </w:r>
            <w:r>
              <w:rPr>
                <w:rFonts w:ascii="宋体" w:hAnsi="宋体"/>
              </w:rPr>
              <w:t>3</w:t>
            </w:r>
          </w:p>
        </w:tc>
        <w:tc>
          <w:tcPr>
            <w:tcW w:w="725" w:type="pct"/>
            <w:vAlign w:val="center"/>
          </w:tcPr>
          <w:p>
            <w:pPr>
              <w:jc w:val="right"/>
              <w:rPr>
                <w:rFonts w:ascii="宋体" w:hAnsi="宋体"/>
              </w:rPr>
            </w:pPr>
            <w:r>
              <w:rPr>
                <w:rFonts w:ascii="宋体" w:hAnsi="宋体"/>
              </w:rPr>
              <w:t>6,700</w:t>
            </w:r>
          </w:p>
        </w:tc>
        <w:tc>
          <w:tcPr>
            <w:tcW w:w="728" w:type="pct"/>
            <w:vAlign w:val="center"/>
          </w:tcPr>
          <w:p>
            <w:pPr>
              <w:jc w:val="right"/>
              <w:rPr>
                <w:rFonts w:ascii="宋体" w:hAnsi="宋体"/>
              </w:rPr>
            </w:pPr>
            <w:r>
              <w:rPr>
                <w:rFonts w:ascii="宋体" w:hAnsi="宋体"/>
              </w:rPr>
              <w:t>6,700</w:t>
            </w:r>
          </w:p>
        </w:tc>
        <w:tc>
          <w:tcPr>
            <w:tcW w:w="626" w:type="pct"/>
            <w:vAlign w:val="center"/>
          </w:tcPr>
          <w:p>
            <w:pPr>
              <w:jc w:val="right"/>
              <w:rPr>
                <w:rFonts w:ascii="宋体" w:hAnsi="宋体"/>
              </w:rPr>
            </w:pPr>
            <w:r>
              <w:rPr>
                <w:rFonts w:hint="eastAsia" w:ascii="宋体" w:hAnsi="宋体"/>
              </w:rPr>
              <w:t>6,700</w:t>
            </w:r>
          </w:p>
        </w:tc>
        <w:tc>
          <w:tcPr>
            <w:tcW w:w="776" w:type="pct"/>
            <w:vAlign w:val="center"/>
          </w:tcPr>
          <w:p>
            <w:pPr>
              <w:jc w:val="right"/>
              <w:rPr>
                <w:rFonts w:ascii="宋体" w:hAnsi="宋体"/>
              </w:rPr>
            </w:pPr>
            <w:r>
              <w:rPr>
                <w:rFonts w:hint="eastAsia" w:ascii="宋体" w:hAnsi="宋体"/>
              </w:rPr>
              <w:t>6,700</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公司1</w:t>
            </w:r>
            <w:r>
              <w:rPr>
                <w:rFonts w:ascii="宋体" w:hAnsi="宋体"/>
              </w:rPr>
              <w:t>4</w:t>
            </w:r>
          </w:p>
        </w:tc>
        <w:tc>
          <w:tcPr>
            <w:tcW w:w="725" w:type="pct"/>
            <w:vAlign w:val="center"/>
          </w:tcPr>
          <w:p>
            <w:pPr>
              <w:jc w:val="right"/>
              <w:rPr>
                <w:rFonts w:ascii="宋体" w:hAnsi="宋体"/>
              </w:rPr>
            </w:pPr>
            <w:r>
              <w:rPr>
                <w:rFonts w:ascii="宋体" w:hAnsi="宋体"/>
              </w:rPr>
              <w:t>5,895</w:t>
            </w:r>
          </w:p>
        </w:tc>
        <w:tc>
          <w:tcPr>
            <w:tcW w:w="728" w:type="pct"/>
            <w:vAlign w:val="center"/>
          </w:tcPr>
          <w:p>
            <w:pPr>
              <w:jc w:val="right"/>
              <w:rPr>
                <w:rFonts w:ascii="宋体" w:hAnsi="宋体"/>
              </w:rPr>
            </w:pPr>
            <w:r>
              <w:rPr>
                <w:rFonts w:ascii="宋体" w:hAnsi="宋体"/>
              </w:rPr>
              <w:t>5,895</w:t>
            </w:r>
          </w:p>
        </w:tc>
        <w:tc>
          <w:tcPr>
            <w:tcW w:w="626" w:type="pct"/>
            <w:vAlign w:val="center"/>
          </w:tcPr>
          <w:p>
            <w:pPr>
              <w:jc w:val="right"/>
              <w:rPr>
                <w:rFonts w:ascii="宋体" w:hAnsi="宋体"/>
              </w:rPr>
            </w:pPr>
            <w:r>
              <w:rPr>
                <w:rFonts w:hint="eastAsia" w:ascii="宋体" w:hAnsi="宋体"/>
              </w:rPr>
              <w:t>5,895</w:t>
            </w:r>
          </w:p>
        </w:tc>
        <w:tc>
          <w:tcPr>
            <w:tcW w:w="776" w:type="pct"/>
            <w:vAlign w:val="center"/>
          </w:tcPr>
          <w:p>
            <w:pPr>
              <w:jc w:val="right"/>
              <w:rPr>
                <w:rFonts w:ascii="宋体" w:hAnsi="宋体"/>
              </w:rPr>
            </w:pPr>
            <w:r>
              <w:rPr>
                <w:rFonts w:hint="eastAsia" w:ascii="宋体" w:hAnsi="宋体"/>
              </w:rPr>
              <w:t>5,895</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公司1</w:t>
            </w:r>
            <w:r>
              <w:rPr>
                <w:rFonts w:ascii="宋体" w:hAnsi="宋体"/>
              </w:rPr>
              <w:t>5</w:t>
            </w:r>
          </w:p>
        </w:tc>
        <w:tc>
          <w:tcPr>
            <w:tcW w:w="725" w:type="pct"/>
            <w:vAlign w:val="center"/>
          </w:tcPr>
          <w:p>
            <w:pPr>
              <w:jc w:val="right"/>
              <w:rPr>
                <w:rFonts w:ascii="宋体" w:hAnsi="宋体"/>
              </w:rPr>
            </w:pPr>
            <w:r>
              <w:rPr>
                <w:rFonts w:ascii="宋体" w:hAnsi="宋体"/>
              </w:rPr>
              <w:t>5,773</w:t>
            </w:r>
          </w:p>
        </w:tc>
        <w:tc>
          <w:tcPr>
            <w:tcW w:w="728" w:type="pct"/>
            <w:vAlign w:val="center"/>
          </w:tcPr>
          <w:p>
            <w:pPr>
              <w:jc w:val="right"/>
              <w:rPr>
                <w:rFonts w:ascii="宋体" w:hAnsi="宋体"/>
              </w:rPr>
            </w:pPr>
            <w:r>
              <w:rPr>
                <w:rFonts w:ascii="宋体" w:hAnsi="宋体"/>
              </w:rPr>
              <w:t>5,773</w:t>
            </w:r>
          </w:p>
        </w:tc>
        <w:tc>
          <w:tcPr>
            <w:tcW w:w="626" w:type="pct"/>
            <w:vAlign w:val="center"/>
          </w:tcPr>
          <w:p>
            <w:pPr>
              <w:jc w:val="right"/>
              <w:rPr>
                <w:rFonts w:ascii="宋体" w:hAnsi="宋体"/>
              </w:rPr>
            </w:pPr>
            <w:r>
              <w:rPr>
                <w:rFonts w:hint="eastAsia" w:ascii="宋体" w:hAnsi="宋体"/>
              </w:rPr>
              <w:t>5,773</w:t>
            </w:r>
          </w:p>
        </w:tc>
        <w:tc>
          <w:tcPr>
            <w:tcW w:w="776" w:type="pct"/>
            <w:vAlign w:val="center"/>
          </w:tcPr>
          <w:p>
            <w:pPr>
              <w:jc w:val="right"/>
              <w:rPr>
                <w:rFonts w:ascii="宋体" w:hAnsi="宋体"/>
              </w:rPr>
            </w:pPr>
            <w:r>
              <w:rPr>
                <w:rFonts w:hint="eastAsia" w:ascii="宋体" w:hAnsi="宋体"/>
              </w:rPr>
              <w:t>5,773</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公司1</w:t>
            </w:r>
            <w:r>
              <w:rPr>
                <w:rFonts w:ascii="宋体" w:hAnsi="宋体"/>
              </w:rPr>
              <w:t>6</w:t>
            </w:r>
          </w:p>
        </w:tc>
        <w:tc>
          <w:tcPr>
            <w:tcW w:w="725" w:type="pct"/>
            <w:vAlign w:val="center"/>
          </w:tcPr>
          <w:p>
            <w:pPr>
              <w:jc w:val="right"/>
              <w:rPr>
                <w:rFonts w:ascii="宋体" w:hAnsi="宋体"/>
              </w:rPr>
            </w:pPr>
            <w:r>
              <w:rPr>
                <w:rFonts w:ascii="宋体" w:hAnsi="宋体"/>
              </w:rPr>
              <w:t>5,707</w:t>
            </w:r>
          </w:p>
        </w:tc>
        <w:tc>
          <w:tcPr>
            <w:tcW w:w="728" w:type="pct"/>
            <w:vAlign w:val="center"/>
          </w:tcPr>
          <w:p>
            <w:pPr>
              <w:jc w:val="right"/>
              <w:rPr>
                <w:rFonts w:ascii="宋体" w:hAnsi="宋体"/>
              </w:rPr>
            </w:pPr>
            <w:r>
              <w:rPr>
                <w:rFonts w:ascii="宋体" w:hAnsi="宋体"/>
              </w:rPr>
              <w:t>5,707</w:t>
            </w:r>
          </w:p>
        </w:tc>
        <w:tc>
          <w:tcPr>
            <w:tcW w:w="626" w:type="pct"/>
            <w:vAlign w:val="center"/>
          </w:tcPr>
          <w:p>
            <w:pPr>
              <w:jc w:val="right"/>
              <w:rPr>
                <w:rFonts w:ascii="宋体" w:hAnsi="宋体"/>
              </w:rPr>
            </w:pPr>
            <w:r>
              <w:rPr>
                <w:rFonts w:hint="eastAsia" w:ascii="宋体" w:hAnsi="宋体"/>
              </w:rPr>
              <w:t>5,707</w:t>
            </w:r>
          </w:p>
        </w:tc>
        <w:tc>
          <w:tcPr>
            <w:tcW w:w="776" w:type="pct"/>
            <w:vAlign w:val="center"/>
          </w:tcPr>
          <w:p>
            <w:pPr>
              <w:jc w:val="right"/>
              <w:rPr>
                <w:rFonts w:ascii="宋体" w:hAnsi="宋体"/>
              </w:rPr>
            </w:pPr>
            <w:r>
              <w:rPr>
                <w:rFonts w:hint="eastAsia" w:ascii="宋体" w:hAnsi="宋体"/>
              </w:rPr>
              <w:t>5,707</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公司1</w:t>
            </w:r>
            <w:r>
              <w:rPr>
                <w:rFonts w:ascii="宋体" w:hAnsi="宋体"/>
              </w:rPr>
              <w:t>7</w:t>
            </w:r>
          </w:p>
        </w:tc>
        <w:tc>
          <w:tcPr>
            <w:tcW w:w="725" w:type="pct"/>
            <w:vAlign w:val="center"/>
          </w:tcPr>
          <w:p>
            <w:pPr>
              <w:jc w:val="right"/>
              <w:rPr>
                <w:rFonts w:ascii="宋体" w:hAnsi="宋体"/>
              </w:rPr>
            </w:pPr>
            <w:r>
              <w:rPr>
                <w:rFonts w:ascii="宋体" w:hAnsi="宋体"/>
              </w:rPr>
              <w:t>5,631</w:t>
            </w:r>
          </w:p>
        </w:tc>
        <w:tc>
          <w:tcPr>
            <w:tcW w:w="728" w:type="pct"/>
            <w:vAlign w:val="center"/>
          </w:tcPr>
          <w:p>
            <w:pPr>
              <w:jc w:val="right"/>
              <w:rPr>
                <w:rFonts w:ascii="宋体" w:hAnsi="宋体"/>
              </w:rPr>
            </w:pPr>
            <w:r>
              <w:rPr>
                <w:rFonts w:ascii="宋体" w:hAnsi="宋体"/>
              </w:rPr>
              <w:t>5,631</w:t>
            </w:r>
          </w:p>
        </w:tc>
        <w:tc>
          <w:tcPr>
            <w:tcW w:w="626" w:type="pct"/>
            <w:vAlign w:val="center"/>
          </w:tcPr>
          <w:p>
            <w:pPr>
              <w:jc w:val="right"/>
              <w:rPr>
                <w:rFonts w:ascii="宋体" w:hAnsi="宋体"/>
              </w:rPr>
            </w:pPr>
            <w:r>
              <w:rPr>
                <w:rFonts w:asciiTheme="majorEastAsia" w:hAnsiTheme="majorEastAsia" w:eastAsiaTheme="majorEastAsia"/>
                <w:sz w:val="22"/>
                <w:szCs w:val="22"/>
              </w:rPr>
              <w:t>5,289</w:t>
            </w:r>
          </w:p>
        </w:tc>
        <w:tc>
          <w:tcPr>
            <w:tcW w:w="776" w:type="pct"/>
            <w:vAlign w:val="center"/>
          </w:tcPr>
          <w:p>
            <w:pPr>
              <w:jc w:val="right"/>
              <w:rPr>
                <w:rFonts w:ascii="宋体" w:hAnsi="宋体"/>
              </w:rPr>
            </w:pPr>
            <w:r>
              <w:rPr>
                <w:rFonts w:asciiTheme="majorEastAsia" w:hAnsiTheme="majorEastAsia" w:eastAsiaTheme="majorEastAsia"/>
                <w:sz w:val="22"/>
                <w:szCs w:val="22"/>
              </w:rPr>
              <w:t>5,289</w:t>
            </w:r>
          </w:p>
        </w:tc>
        <w:tc>
          <w:tcPr>
            <w:tcW w:w="640" w:type="pct"/>
            <w:vAlign w:val="center"/>
          </w:tcPr>
          <w:p>
            <w:pPr>
              <w:jc w:val="right"/>
              <w:rPr>
                <w:rFonts w:ascii="宋体" w:hAnsi="宋体"/>
              </w:rPr>
            </w:pPr>
            <w:r>
              <w:rPr>
                <w:rFonts w:hint="eastAsia" w:ascii="宋体" w:hAnsi="宋体"/>
              </w:rPr>
              <w:t>1</w:t>
            </w:r>
            <w:r>
              <w:rPr>
                <w:rFonts w:ascii="宋体" w:hAnsi="宋体"/>
              </w:rPr>
              <w:t>00</w:t>
            </w:r>
          </w:p>
        </w:tc>
        <w:tc>
          <w:tcPr>
            <w:tcW w:w="504" w:type="pct"/>
            <w:vAlign w:val="center"/>
          </w:tcPr>
          <w:p>
            <w:pPr>
              <w:rPr>
                <w:rFonts w:ascii="宋体" w:hAnsi="宋体"/>
                <w:spacing w:val="-20"/>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公司1</w:t>
            </w:r>
            <w:r>
              <w:rPr>
                <w:rFonts w:ascii="宋体" w:hAnsi="宋体"/>
              </w:rPr>
              <w:t>8</w:t>
            </w:r>
          </w:p>
        </w:tc>
        <w:tc>
          <w:tcPr>
            <w:tcW w:w="725" w:type="pct"/>
            <w:vAlign w:val="center"/>
          </w:tcPr>
          <w:p>
            <w:pPr>
              <w:jc w:val="right"/>
              <w:rPr>
                <w:rFonts w:ascii="宋体" w:hAnsi="宋体"/>
              </w:rPr>
            </w:pPr>
            <w:r>
              <w:rPr>
                <w:rFonts w:ascii="宋体" w:hAnsi="宋体"/>
              </w:rPr>
              <w:t>8,420</w:t>
            </w:r>
          </w:p>
        </w:tc>
        <w:tc>
          <w:tcPr>
            <w:tcW w:w="728" w:type="pct"/>
            <w:vAlign w:val="center"/>
          </w:tcPr>
          <w:p>
            <w:pPr>
              <w:jc w:val="right"/>
              <w:rPr>
                <w:rFonts w:ascii="宋体" w:hAnsi="宋体"/>
              </w:rPr>
            </w:pPr>
            <w:r>
              <w:rPr>
                <w:rFonts w:ascii="宋体" w:hAnsi="宋体"/>
              </w:rPr>
              <w:t>8,420</w:t>
            </w:r>
          </w:p>
        </w:tc>
        <w:tc>
          <w:tcPr>
            <w:tcW w:w="626" w:type="pct"/>
            <w:vAlign w:val="center"/>
          </w:tcPr>
          <w:p>
            <w:pPr>
              <w:jc w:val="right"/>
              <w:rPr>
                <w:rFonts w:ascii="宋体" w:hAnsi="宋体"/>
              </w:rPr>
            </w:pPr>
          </w:p>
        </w:tc>
        <w:tc>
          <w:tcPr>
            <w:tcW w:w="776" w:type="pct"/>
            <w:vAlign w:val="center"/>
          </w:tcPr>
          <w:p>
            <w:pPr>
              <w:jc w:val="right"/>
              <w:rPr>
                <w:rFonts w:ascii="宋体" w:hAnsi="宋体"/>
              </w:rPr>
            </w:pPr>
          </w:p>
        </w:tc>
        <w:tc>
          <w:tcPr>
            <w:tcW w:w="640" w:type="pct"/>
            <w:vAlign w:val="center"/>
          </w:tcPr>
          <w:p>
            <w:pPr>
              <w:jc w:val="right"/>
              <w:rPr>
                <w:rFonts w:ascii="宋体" w:hAnsi="宋体"/>
              </w:rPr>
            </w:pPr>
          </w:p>
        </w:tc>
        <w:tc>
          <w:tcPr>
            <w:tcW w:w="504" w:type="pct"/>
            <w:vAlign w:val="center"/>
          </w:tcPr>
          <w:p>
            <w:pPr>
              <w:rPr>
                <w:rFonts w:ascii="宋体" w:hAnsi="宋体"/>
                <w:spacing w:val="-20"/>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rPr>
                <w:rFonts w:ascii="宋体" w:hAnsi="宋体"/>
              </w:rPr>
            </w:pPr>
            <w:r>
              <w:rPr>
                <w:rFonts w:hint="eastAsia" w:ascii="宋体" w:hAnsi="宋体"/>
              </w:rPr>
              <w:t>其他不重大客户</w:t>
            </w:r>
          </w:p>
        </w:tc>
        <w:tc>
          <w:tcPr>
            <w:tcW w:w="725" w:type="pct"/>
            <w:vAlign w:val="center"/>
          </w:tcPr>
          <w:p>
            <w:pPr>
              <w:jc w:val="right"/>
              <w:rPr>
                <w:rFonts w:ascii="宋体" w:hAnsi="宋体"/>
              </w:rPr>
            </w:pPr>
            <w:r>
              <w:rPr>
                <w:rFonts w:ascii="宋体" w:hAnsi="宋体"/>
              </w:rPr>
              <w:t>88,792</w:t>
            </w:r>
          </w:p>
        </w:tc>
        <w:tc>
          <w:tcPr>
            <w:tcW w:w="728" w:type="pct"/>
            <w:vAlign w:val="center"/>
          </w:tcPr>
          <w:p>
            <w:pPr>
              <w:jc w:val="right"/>
              <w:rPr>
                <w:rFonts w:ascii="宋体" w:hAnsi="宋体"/>
              </w:rPr>
            </w:pPr>
            <w:r>
              <w:rPr>
                <w:rFonts w:ascii="宋体" w:hAnsi="宋体"/>
              </w:rPr>
              <w:t>88,792</w:t>
            </w:r>
          </w:p>
        </w:tc>
        <w:tc>
          <w:tcPr>
            <w:tcW w:w="626" w:type="pct"/>
            <w:vAlign w:val="center"/>
          </w:tcPr>
          <w:p>
            <w:pPr>
              <w:jc w:val="right"/>
              <w:rPr>
                <w:rFonts w:ascii="宋体" w:hAnsi="宋体"/>
              </w:rPr>
            </w:pPr>
            <w:r>
              <w:rPr>
                <w:rFonts w:hint="eastAsia" w:ascii="宋体" w:hAnsi="宋体"/>
              </w:rPr>
              <w:t>90,</w:t>
            </w:r>
            <w:r>
              <w:rPr>
                <w:rFonts w:ascii="宋体" w:hAnsi="宋体"/>
              </w:rPr>
              <w:t>343</w:t>
            </w:r>
          </w:p>
        </w:tc>
        <w:tc>
          <w:tcPr>
            <w:tcW w:w="776" w:type="pct"/>
            <w:vAlign w:val="center"/>
          </w:tcPr>
          <w:p>
            <w:pPr>
              <w:jc w:val="right"/>
              <w:rPr>
                <w:rFonts w:ascii="宋体" w:hAnsi="宋体"/>
              </w:rPr>
            </w:pPr>
            <w:r>
              <w:rPr>
                <w:rFonts w:hint="eastAsia" w:ascii="宋体" w:hAnsi="宋体"/>
              </w:rPr>
              <w:t>90,</w:t>
            </w:r>
            <w:r>
              <w:rPr>
                <w:rFonts w:ascii="宋体" w:hAnsi="宋体"/>
              </w:rPr>
              <w:t>343</w:t>
            </w:r>
          </w:p>
        </w:tc>
        <w:tc>
          <w:tcPr>
            <w:tcW w:w="640" w:type="pct"/>
            <w:vAlign w:val="center"/>
          </w:tcPr>
          <w:p>
            <w:pPr>
              <w:jc w:val="right"/>
              <w:rPr>
                <w:rFonts w:ascii="宋体" w:hAnsi="宋体"/>
              </w:rPr>
            </w:pPr>
            <w:r>
              <w:rPr>
                <w:rFonts w:hint="eastAsia" w:ascii="宋体" w:hAnsi="宋体"/>
              </w:rPr>
              <w:t>100</w:t>
            </w:r>
          </w:p>
        </w:tc>
        <w:tc>
          <w:tcPr>
            <w:tcW w:w="504" w:type="pct"/>
            <w:vAlign w:val="center"/>
          </w:tcPr>
          <w:p>
            <w:pPr>
              <w:rPr>
                <w:rFonts w:ascii="宋体" w:hAnsi="宋体"/>
              </w:rPr>
            </w:pPr>
            <w:r>
              <w:rPr>
                <w:rFonts w:hint="eastAsia" w:ascii="宋体" w:hAnsi="宋体"/>
                <w:spacing w:val="-20"/>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jc w:val="center"/>
              <w:rPr>
                <w:rFonts w:ascii="宋体" w:hAnsi="宋体"/>
              </w:rPr>
            </w:pPr>
            <w:r>
              <w:rPr>
                <w:rFonts w:hint="eastAsia" w:ascii="宋体" w:hAnsi="宋体"/>
              </w:rPr>
              <w:t>合计</w:t>
            </w:r>
          </w:p>
        </w:tc>
        <w:tc>
          <w:tcPr>
            <w:tcW w:w="725" w:type="pct"/>
            <w:vAlign w:val="center"/>
          </w:tcPr>
          <w:p>
            <w:pPr>
              <w:jc w:val="right"/>
              <w:rPr>
                <w:rFonts w:ascii="宋体" w:hAnsi="宋体"/>
              </w:rPr>
            </w:pPr>
            <w:r>
              <w:rPr>
                <w:rFonts w:ascii="宋体" w:hAnsi="宋体"/>
              </w:rPr>
              <w:t>581,805</w:t>
            </w:r>
          </w:p>
        </w:tc>
        <w:tc>
          <w:tcPr>
            <w:tcW w:w="728" w:type="pct"/>
            <w:vAlign w:val="center"/>
          </w:tcPr>
          <w:p>
            <w:pPr>
              <w:jc w:val="right"/>
              <w:rPr>
                <w:rFonts w:ascii="宋体" w:hAnsi="宋体"/>
              </w:rPr>
            </w:pPr>
            <w:r>
              <w:rPr>
                <w:rFonts w:ascii="宋体" w:hAnsi="宋体"/>
              </w:rPr>
              <w:t>502,220</w:t>
            </w:r>
          </w:p>
        </w:tc>
        <w:tc>
          <w:tcPr>
            <w:tcW w:w="626" w:type="pct"/>
          </w:tcPr>
          <w:p>
            <w:pPr>
              <w:jc w:val="right"/>
              <w:rPr>
                <w:rFonts w:ascii="宋体" w:hAnsi="宋体"/>
              </w:rPr>
            </w:pPr>
            <w:r>
              <w:rPr>
                <w:rFonts w:ascii="宋体" w:hAnsi="宋体"/>
              </w:rPr>
              <w:t>519,618</w:t>
            </w:r>
          </w:p>
        </w:tc>
        <w:tc>
          <w:tcPr>
            <w:tcW w:w="776" w:type="pct"/>
          </w:tcPr>
          <w:p>
            <w:pPr>
              <w:jc w:val="right"/>
              <w:rPr>
                <w:rFonts w:ascii="宋体" w:hAnsi="宋体"/>
              </w:rPr>
            </w:pPr>
            <w:r>
              <w:rPr>
                <w:rFonts w:ascii="宋体" w:hAnsi="宋体"/>
              </w:rPr>
              <w:t>443,033</w:t>
            </w:r>
          </w:p>
        </w:tc>
        <w:tc>
          <w:tcPr>
            <w:tcW w:w="640" w:type="pct"/>
            <w:vAlign w:val="center"/>
          </w:tcPr>
          <w:p>
            <w:pPr>
              <w:jc w:val="right"/>
              <w:rPr>
                <w:rFonts w:ascii="宋体" w:hAnsi="宋体"/>
              </w:rPr>
            </w:pPr>
            <w:r>
              <w:rPr>
                <w:rFonts w:hint="eastAsia" w:ascii="宋体" w:hAnsi="宋体"/>
              </w:rPr>
              <w:t>—</w:t>
            </w:r>
          </w:p>
        </w:tc>
        <w:tc>
          <w:tcPr>
            <w:tcW w:w="504" w:type="pct"/>
            <w:vAlign w:val="center"/>
          </w:tcPr>
          <w:p>
            <w:pPr>
              <w:jc w:val="right"/>
              <w:rPr>
                <w:rFonts w:ascii="宋体" w:hAnsi="宋体"/>
              </w:rPr>
            </w:pPr>
            <w:r>
              <w:rPr>
                <w:rFonts w:hint="eastAsia" w:ascii="宋体" w:hAnsi="宋体"/>
                <w:bCs/>
              </w:rPr>
              <w:t>—</w:t>
            </w:r>
          </w:p>
        </w:tc>
      </w:tr>
    </w:tbl>
    <w:p>
      <w:pPr>
        <w:pStyle w:val="501"/>
      </w:pPr>
    </w:p>
    <w:p>
      <w:pPr>
        <w:pStyle w:val="501"/>
      </w:pPr>
      <w:r>
        <w:rPr>
          <w:rFonts w:hint="eastAsia"/>
        </w:rPr>
        <w:t>按单项计提坏账准备的说明：</w:t>
      </w:r>
    </w:p>
    <w:sdt>
      <w:sdtPr>
        <w:alias w:val="是否适用：按单项计提坏账准备的应收账款说明[双击切换]"/>
        <w:tag w:val="_GBC_e665d0e996124f458355f06bf32118ca"/>
        <w:id w:val="637922807"/>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bookmarkEnd w:id="233"/>
    <w:sdt>
      <w:sdtPr>
        <w:rPr>
          <w:rFonts w:hint="eastAsia"/>
        </w:rPr>
        <w:tag w:val="_PLD_21b31dda4e9f44bd901ccb9e126e1392"/>
        <w:id w:val="-2039270250"/>
        <w:placeholder>
          <w:docPart w:val="GBC22222222222222222222222222222"/>
        </w:placeholder>
      </w:sdtPr>
      <w:sdtEndPr>
        <w:rPr>
          <w:rFonts w:hint="eastAsia"/>
        </w:rPr>
      </w:sdtEndPr>
      <w:sdtContent>
        <w:p>
          <w:pPr>
            <w:pStyle w:val="501"/>
          </w:pPr>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1485002016"/>
        <w:lock w:val="contentLocked"/>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pPr>
      <w:bookmarkStart w:id="234" w:name="_Hlk533607573"/>
      <w:r>
        <w:rPr>
          <w:rFonts w:hint="eastAsia"/>
        </w:rPr>
        <w:t>单位：</w:t>
      </w:r>
      <w:sdt>
        <w:sdtPr>
          <w:rPr>
            <w:rFonts w:hint="eastAsia"/>
          </w:rPr>
          <w:alias w:val="单位：按组合计提坏账准备的应收账款详细情况"/>
          <w:tag w:val="_GBC_048426f3fbc6488d9ff13660d47dce88"/>
          <w:id w:val="-15443608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按组合计提坏账准备的应收账款详细情况"/>
          <w:tag w:val="_GBC_2a89eacddb4842daa40a2883ae740824"/>
          <w:id w:val="6302902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76fac25a376f4d4b884d95c8c8b4cdbd"/>
            <w:id w:val="1251852320"/>
          </w:sdtPr>
          <w:sdtContent>
            <w:tc>
              <w:tcPr>
                <w:tcW w:w="1158" w:type="pct"/>
                <w:vMerge w:val="restart"/>
                <w:vAlign w:val="center"/>
              </w:tcPr>
              <w:p>
                <w:pPr>
                  <w:jc w:val="center"/>
                </w:pPr>
                <w:r>
                  <w:rPr>
                    <w:rFonts w:hint="eastAsia"/>
                  </w:rPr>
                  <w:t>名称</w:t>
                </w:r>
              </w:p>
            </w:tc>
          </w:sdtContent>
        </w:sdt>
        <w:sdt>
          <w:sdtPr>
            <w:tag w:val="_PLD_2ea73da2ba22410090605fad4228c06a"/>
            <w:id w:val="-537818652"/>
          </w:sdtPr>
          <w:sdtContent>
            <w:tc>
              <w:tcPr>
                <w:tcW w:w="3842" w:type="pct"/>
                <w:gridSpan w:val="3"/>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58" w:type="pct"/>
            <w:vMerge w:val="continue"/>
          </w:tcPr>
          <w:p>
            <w:pPr>
              <w:jc w:val="center"/>
            </w:pPr>
          </w:p>
        </w:tc>
        <w:sdt>
          <w:sdtPr>
            <w:tag w:val="_PLD_841eb33e3b60464dbe6b3cefac602503"/>
            <w:id w:val="1342124319"/>
          </w:sdtPr>
          <w:sdtContent>
            <w:tc>
              <w:tcPr>
                <w:tcW w:w="1276" w:type="pct"/>
                <w:vAlign w:val="center"/>
              </w:tcPr>
              <w:p>
                <w:pPr>
                  <w:jc w:val="center"/>
                </w:pPr>
                <w:r>
                  <w:rPr>
                    <w:rFonts w:hint="eastAsia"/>
                  </w:rPr>
                  <w:t>应收账款</w:t>
                </w:r>
              </w:p>
            </w:tc>
          </w:sdtContent>
        </w:sdt>
        <w:sdt>
          <w:sdtPr>
            <w:tag w:val="_PLD_b28da65f0aac478c80ab20a817d350ac"/>
            <w:id w:val="-1341540598"/>
          </w:sdtPr>
          <w:sdtContent>
            <w:tc>
              <w:tcPr>
                <w:tcW w:w="1299" w:type="pct"/>
                <w:vAlign w:val="center"/>
              </w:tcPr>
              <w:p>
                <w:pPr>
                  <w:jc w:val="center"/>
                </w:pPr>
                <w:r>
                  <w:rPr>
                    <w:rFonts w:hint="eastAsia"/>
                  </w:rPr>
                  <w:t>坏账准备</w:t>
                </w:r>
              </w:p>
            </w:tc>
          </w:sdtContent>
        </w:sdt>
        <w:sdt>
          <w:sdtPr>
            <w:tag w:val="_PLD_98321f537bf94701b17705eae6c543e2"/>
            <w:id w:val="1696957473"/>
          </w:sdtPr>
          <w:sdtContent>
            <w:tc>
              <w:tcPr>
                <w:tcW w:w="1267" w:type="pct"/>
                <w:vAlign w:val="center"/>
              </w:tcPr>
              <w:p>
                <w:pPr>
                  <w:jc w:val="center"/>
                </w:pPr>
                <w:r>
                  <w:t>计提比例</w:t>
                </w:r>
                <w:r>
                  <w:rPr>
                    <w:rFonts w:hint="eastAsia"/>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pPr>
              <w:rPr>
                <w:rFonts w:ascii="宋体" w:hAnsi="宋体"/>
              </w:rPr>
            </w:pPr>
            <w:r>
              <w:rPr>
                <w:rFonts w:hint="eastAsia" w:ascii="宋体" w:hAnsi="宋体"/>
                <w:bCs/>
                <w:iCs/>
              </w:rPr>
              <w:t>1年以内</w:t>
            </w:r>
          </w:p>
        </w:tc>
        <w:tc>
          <w:tcPr>
            <w:tcW w:w="1276" w:type="pct"/>
          </w:tcPr>
          <w:p>
            <w:pPr>
              <w:jc w:val="right"/>
              <w:rPr>
                <w:rFonts w:ascii="宋体" w:hAnsi="宋体"/>
              </w:rPr>
            </w:pPr>
            <w:r>
              <w:rPr>
                <w:rFonts w:hint="eastAsia" w:ascii="宋体" w:hAnsi="宋体"/>
              </w:rPr>
              <w:t>4,902,262</w:t>
            </w:r>
          </w:p>
        </w:tc>
        <w:tc>
          <w:tcPr>
            <w:tcW w:w="1299" w:type="pct"/>
          </w:tcPr>
          <w:p>
            <w:pPr>
              <w:jc w:val="right"/>
              <w:rPr>
                <w:rFonts w:ascii="宋体" w:hAnsi="宋体"/>
              </w:rPr>
            </w:pPr>
            <w:r>
              <w:rPr>
                <w:rFonts w:hint="eastAsia" w:ascii="宋体" w:hAnsi="宋体"/>
              </w:rPr>
              <w:t>9,582</w:t>
            </w:r>
          </w:p>
        </w:tc>
        <w:tc>
          <w:tcPr>
            <w:tcW w:w="1267" w:type="pct"/>
          </w:tcPr>
          <w:p>
            <w:pPr>
              <w:jc w:val="right"/>
              <w:rPr>
                <w:rFonts w:ascii="宋体" w:hAnsi="宋体"/>
              </w:rPr>
            </w:pPr>
            <w:r>
              <w:rPr>
                <w:rFonts w:hint="eastAsia" w:ascii="宋体" w:hAnsi="宋体"/>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pPr>
              <w:rPr>
                <w:rFonts w:ascii="宋体" w:hAnsi="宋体"/>
              </w:rPr>
            </w:pPr>
            <w:r>
              <w:rPr>
                <w:rFonts w:hint="eastAsia" w:ascii="宋体" w:hAnsi="宋体"/>
                <w:bCs/>
                <w:iCs/>
              </w:rPr>
              <w:t>1-2年</w:t>
            </w:r>
          </w:p>
        </w:tc>
        <w:tc>
          <w:tcPr>
            <w:tcW w:w="1276" w:type="pct"/>
          </w:tcPr>
          <w:p>
            <w:pPr>
              <w:jc w:val="right"/>
              <w:rPr>
                <w:rFonts w:ascii="宋体" w:hAnsi="宋体"/>
              </w:rPr>
            </w:pPr>
            <w:r>
              <w:rPr>
                <w:rFonts w:hint="eastAsia" w:ascii="宋体" w:hAnsi="宋体"/>
              </w:rPr>
              <w:t>218,092</w:t>
            </w:r>
          </w:p>
        </w:tc>
        <w:tc>
          <w:tcPr>
            <w:tcW w:w="1299" w:type="pct"/>
          </w:tcPr>
          <w:p>
            <w:pPr>
              <w:jc w:val="right"/>
              <w:rPr>
                <w:rFonts w:ascii="宋体" w:hAnsi="宋体"/>
              </w:rPr>
            </w:pPr>
            <w:r>
              <w:rPr>
                <w:rFonts w:hint="eastAsia" w:ascii="宋体" w:hAnsi="宋体"/>
              </w:rPr>
              <w:t>5,701</w:t>
            </w:r>
          </w:p>
        </w:tc>
        <w:tc>
          <w:tcPr>
            <w:tcW w:w="1267" w:type="pct"/>
          </w:tcPr>
          <w:p>
            <w:pPr>
              <w:jc w:val="right"/>
              <w:rPr>
                <w:rFonts w:ascii="宋体" w:hAnsi="宋体"/>
              </w:rPr>
            </w:pPr>
            <w:r>
              <w:rPr>
                <w:rFonts w:hint="eastAsia" w:ascii="宋体" w:hAnsi="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pPr>
              <w:rPr>
                <w:rFonts w:ascii="宋体" w:hAnsi="宋体"/>
              </w:rPr>
            </w:pPr>
            <w:r>
              <w:rPr>
                <w:rFonts w:hint="eastAsia" w:ascii="宋体" w:hAnsi="宋体"/>
                <w:bCs/>
                <w:iCs/>
              </w:rPr>
              <w:t>2-3年</w:t>
            </w:r>
          </w:p>
        </w:tc>
        <w:tc>
          <w:tcPr>
            <w:tcW w:w="1276" w:type="pct"/>
          </w:tcPr>
          <w:p>
            <w:pPr>
              <w:jc w:val="right"/>
              <w:rPr>
                <w:rFonts w:ascii="宋体" w:hAnsi="宋体"/>
              </w:rPr>
            </w:pPr>
            <w:r>
              <w:rPr>
                <w:rFonts w:hint="eastAsia" w:ascii="宋体" w:hAnsi="宋体"/>
              </w:rPr>
              <w:t>117,021</w:t>
            </w:r>
          </w:p>
        </w:tc>
        <w:tc>
          <w:tcPr>
            <w:tcW w:w="1299" w:type="pct"/>
          </w:tcPr>
          <w:p>
            <w:pPr>
              <w:jc w:val="right"/>
              <w:rPr>
                <w:rFonts w:ascii="宋体" w:hAnsi="宋体"/>
              </w:rPr>
            </w:pPr>
            <w:r>
              <w:rPr>
                <w:rFonts w:hint="eastAsia" w:ascii="宋体" w:hAnsi="宋体"/>
              </w:rPr>
              <w:t>4,516</w:t>
            </w:r>
          </w:p>
        </w:tc>
        <w:tc>
          <w:tcPr>
            <w:tcW w:w="1267" w:type="pct"/>
          </w:tcPr>
          <w:p>
            <w:pPr>
              <w:jc w:val="right"/>
              <w:rPr>
                <w:rFonts w:ascii="宋体" w:hAnsi="宋体"/>
              </w:rPr>
            </w:pPr>
            <w:r>
              <w:rPr>
                <w:rFonts w:hint="eastAsia" w:ascii="宋体" w:hAnsi="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pPr>
              <w:rPr>
                <w:rFonts w:ascii="宋体" w:hAnsi="宋体"/>
              </w:rPr>
            </w:pPr>
            <w:r>
              <w:rPr>
                <w:rFonts w:hint="eastAsia" w:ascii="宋体" w:hAnsi="宋体" w:cs="宋体"/>
                <w:bCs/>
              </w:rPr>
              <w:t>3年以上</w:t>
            </w:r>
          </w:p>
        </w:tc>
        <w:tc>
          <w:tcPr>
            <w:tcW w:w="1276" w:type="pct"/>
          </w:tcPr>
          <w:p>
            <w:pPr>
              <w:jc w:val="right"/>
              <w:rPr>
                <w:rFonts w:ascii="宋体" w:hAnsi="宋体"/>
              </w:rPr>
            </w:pPr>
            <w:r>
              <w:rPr>
                <w:rFonts w:hint="eastAsia" w:ascii="宋体" w:hAnsi="宋体"/>
              </w:rPr>
              <w:t>224,034</w:t>
            </w:r>
          </w:p>
        </w:tc>
        <w:tc>
          <w:tcPr>
            <w:tcW w:w="1299" w:type="pct"/>
          </w:tcPr>
          <w:p>
            <w:pPr>
              <w:jc w:val="right"/>
              <w:rPr>
                <w:rFonts w:ascii="宋体" w:hAnsi="宋体"/>
              </w:rPr>
            </w:pPr>
            <w:r>
              <w:rPr>
                <w:rFonts w:hint="eastAsia" w:ascii="宋体" w:hAnsi="宋体"/>
              </w:rPr>
              <w:t>56,091</w:t>
            </w:r>
          </w:p>
        </w:tc>
        <w:tc>
          <w:tcPr>
            <w:tcW w:w="1267" w:type="pct"/>
          </w:tcPr>
          <w:p>
            <w:pPr>
              <w:jc w:val="right"/>
              <w:rPr>
                <w:rFonts w:ascii="宋体" w:hAnsi="宋体"/>
              </w:rPr>
            </w:pPr>
            <w:r>
              <w:rPr>
                <w:rFonts w:hint="eastAsia" w:ascii="宋体" w:hAnsi="宋体"/>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pPr>
              <w:jc w:val="center"/>
              <w:rPr>
                <w:rFonts w:ascii="宋体" w:hAnsi="宋体"/>
              </w:rPr>
            </w:pPr>
            <w:r>
              <w:rPr>
                <w:rFonts w:hint="eastAsia" w:ascii="宋体" w:hAnsi="宋体"/>
              </w:rPr>
              <w:t>合计</w:t>
            </w:r>
          </w:p>
        </w:tc>
        <w:tc>
          <w:tcPr>
            <w:tcW w:w="1276" w:type="pct"/>
          </w:tcPr>
          <w:p>
            <w:pPr>
              <w:jc w:val="right"/>
              <w:rPr>
                <w:rFonts w:ascii="宋体" w:hAnsi="宋体"/>
              </w:rPr>
            </w:pPr>
            <w:r>
              <w:rPr>
                <w:rFonts w:hint="eastAsia" w:ascii="宋体" w:hAnsi="宋体"/>
              </w:rPr>
              <w:t>5,461,409</w:t>
            </w:r>
          </w:p>
        </w:tc>
        <w:tc>
          <w:tcPr>
            <w:tcW w:w="1299" w:type="pct"/>
          </w:tcPr>
          <w:p>
            <w:pPr>
              <w:jc w:val="right"/>
              <w:rPr>
                <w:rFonts w:ascii="宋体" w:hAnsi="宋体"/>
              </w:rPr>
            </w:pPr>
            <w:r>
              <w:rPr>
                <w:rFonts w:hint="eastAsia" w:ascii="宋体" w:hAnsi="宋体"/>
              </w:rPr>
              <w:t>75,890</w:t>
            </w:r>
          </w:p>
        </w:tc>
        <w:tc>
          <w:tcPr>
            <w:tcW w:w="1267" w:type="pct"/>
          </w:tcPr>
          <w:p>
            <w:pPr>
              <w:jc w:val="right"/>
              <w:rPr>
                <w:rFonts w:ascii="宋体" w:hAnsi="宋体"/>
              </w:rPr>
            </w:pPr>
            <w:r>
              <w:rPr>
                <w:rFonts w:hint="eastAsia" w:ascii="宋体" w:hAnsi="宋体"/>
              </w:rPr>
              <w:t>1</w:t>
            </w:r>
          </w:p>
        </w:tc>
      </w:tr>
    </w:tbl>
    <w:p>
      <w:pPr>
        <w:pStyle w:val="501"/>
      </w:pPr>
      <w:r>
        <w:rPr>
          <w:rFonts w:hint="eastAsia"/>
        </w:rPr>
        <w:t>按组合计提坏账准备的说明：</w:t>
      </w:r>
    </w:p>
    <w:sdt>
      <w:sdtPr>
        <w:alias w:val="是否适用：按组合计提坏账准备的应收账款确认标准[双击切换]"/>
        <w:tag w:val="_GBC_d256dc36994548098f599f5c34cca3f5"/>
        <w:id w:val="957377881"/>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34"/>
    <w:p>
      <w:pPr>
        <w:pStyle w:val="531"/>
      </w:pPr>
    </w:p>
    <w:p>
      <w:pPr>
        <w:rPr>
          <w:rFonts w:cstheme="minorBidi"/>
          <w:bCs/>
          <w:szCs w:val="22"/>
        </w:rPr>
      </w:pPr>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1567258172"/>
        <w:placeholder>
          <w:docPart w:val="GBC22222222222222222222222222222"/>
        </w:placeholder>
      </w:sdtPr>
      <w:sdtEndPr>
        <w:rPr>
          <w:rFonts w:cstheme="minorBidi"/>
          <w:bCs/>
          <w:szCs w:val="22"/>
        </w:rPr>
      </w:sdtEndPr>
      <w:sdtContent>
        <w:p>
          <w:pPr>
            <w:rPr>
              <w:rFonts w:cstheme="minorBidi"/>
              <w:bCs/>
              <w:szCs w:val="22"/>
            </w:rPr>
          </w:pPr>
          <w:bookmarkStart w:id="235" w:name="_Hlk153357523"/>
          <w:bookmarkStart w:id="236" w:name="_Hlk154134618"/>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pPr>
        <w:pStyle w:val="501"/>
      </w:pPr>
    </w:p>
    <w:p>
      <w:pPr>
        <w:autoSpaceDE w:val="0"/>
        <w:autoSpaceDN w:val="0"/>
        <w:adjustRightInd w:val="0"/>
        <w:ind w:right="105" w:rightChars="50"/>
      </w:pPr>
      <w:r>
        <w:rPr>
          <w:rFonts w:hint="eastAsia"/>
        </w:rPr>
        <w:t>各阶段划分依据和坏账准备计提比例</w:t>
      </w:r>
    </w:p>
    <w:p>
      <w:pPr>
        <w:rPr>
          <w:rFonts w:asciiTheme="minorHAnsi" w:hAnsiTheme="minorHAnsi" w:cstheme="minorBidi"/>
          <w:b/>
          <w:bCs/>
          <w:szCs w:val="22"/>
        </w:rPr>
      </w:pPr>
    </w:p>
    <w:p>
      <w:pPr>
        <w:pStyle w:val="560"/>
      </w:pPr>
      <w:r>
        <w:rPr>
          <w:rFonts w:hint="eastAsia"/>
        </w:rPr>
        <w:t>对本期发生损失准备变动的应收账款账面余额显著变动的情况说明：</w:t>
      </w:r>
    </w:p>
    <w:sdt>
      <w:sdtPr>
        <w:alias w:val="是否适用：对本期发生损失准备变动的账面余额显著变动的情况说明[双击切换]"/>
        <w:tag w:val="_GBC_253db3108f924621ad49e8a14b359867"/>
        <w:id w:val="2025281551"/>
        <w:placeholder>
          <w:docPart w:val="GBC22222222222222222222222222222"/>
        </w:placeholder>
      </w:sdt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35"/>
    <w:bookmarkEnd w:id="236"/>
    <w:p>
      <w:pPr>
        <w:rPr>
          <w:rFonts w:asciiTheme="minorHAnsi" w:hAnsiTheme="minorHAnsi" w:cstheme="minorBidi"/>
          <w:b/>
          <w:bCs/>
          <w:szCs w:val="22"/>
        </w:rPr>
      </w:pPr>
    </w:p>
    <w:p>
      <w:pPr>
        <w:pStyle w:val="505"/>
        <w:numPr>
          <w:ilvl w:val="3"/>
          <w:numId w:val="71"/>
        </w:numPr>
        <w:ind w:left="426" w:hanging="426"/>
      </w:pPr>
      <w:bookmarkStart w:id="237" w:name="_Hlk532991911"/>
      <w:r>
        <w:rPr>
          <w:rFonts w:hint="eastAsia"/>
        </w:rPr>
        <w:t>坏账准备的情况</w:t>
      </w:r>
    </w:p>
    <w:sdt>
      <w:sdtPr>
        <w:alias w:val="是否适用：应收账款坏账准备[双击切换]"/>
        <w:tag w:val="_GBC_9f417fa21150444abc4efab15ee99d53"/>
        <w:id w:val="-1635865987"/>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snapToGrid w:val="0"/>
        <w:spacing w:line="240" w:lineRule="atLeast"/>
        <w:ind w:left="425" w:firstLine="0" w:firstLineChars="0"/>
        <w:jc w:val="right"/>
        <w:rPr>
          <w:szCs w:val="21"/>
        </w:rPr>
      </w:pPr>
      <w:r>
        <w:rPr>
          <w:rFonts w:hint="eastAsia"/>
          <w:szCs w:val="21"/>
        </w:rPr>
        <w:t>单位：</w:t>
      </w:r>
      <w:sdt>
        <w:sdtPr>
          <w:rPr>
            <w:rFonts w:hint="eastAsia"/>
            <w:szCs w:val="21"/>
          </w:rPr>
          <w:alias w:val="单位：应收账款坏账准备"/>
          <w:tag w:val="_GBC_c27d9b760b54449682d5a777e36369c3"/>
          <w:id w:val="-6569956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应收账款坏账准备"/>
          <w:tag w:val="_GBC_0ea3ceddf10d4313a5111e5088ac98cf"/>
          <w:id w:val="12789097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82"/>
        <w:gridCol w:w="1245"/>
        <w:gridCol w:w="1352"/>
        <w:gridCol w:w="1245"/>
        <w:gridCol w:w="1249"/>
        <w:gridCol w:w="124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blHeader/>
        </w:trPr>
        <w:sdt>
          <w:sdtPr>
            <w:tag w:val="_PLD_4744c2787819466dad3d228aea9d34a1"/>
            <w:id w:val="-62102818"/>
          </w:sdtPr>
          <w:sdtContent>
            <w:tc>
              <w:tcPr>
                <w:tcW w:w="818" w:type="pct"/>
                <w:vMerge w:val="restart"/>
                <w:shd w:val="clear" w:color="auto" w:fill="FFFFFF"/>
                <w:vAlign w:val="center"/>
              </w:tcPr>
              <w:p>
                <w:pPr>
                  <w:jc w:val="center"/>
                </w:pPr>
                <w:r>
                  <w:t>类别</w:t>
                </w:r>
              </w:p>
            </w:tc>
          </w:sdtContent>
        </w:sdt>
        <w:sdt>
          <w:sdtPr>
            <w:tag w:val="_PLD_c730e797b90345869cdb1a0f449d27c4"/>
            <w:id w:val="651870643"/>
          </w:sdtPr>
          <w:sdtContent>
            <w:tc>
              <w:tcPr>
                <w:tcW w:w="687" w:type="pct"/>
                <w:vMerge w:val="restart"/>
                <w:shd w:val="clear" w:color="auto" w:fill="FFFFFF"/>
                <w:vAlign w:val="center"/>
              </w:tcPr>
              <w:p>
                <w:pPr>
                  <w:jc w:val="center"/>
                </w:pPr>
                <w:r>
                  <w:t>期初余额</w:t>
                </w:r>
              </w:p>
            </w:tc>
          </w:sdtContent>
        </w:sdt>
        <w:sdt>
          <w:sdtPr>
            <w:tag w:val="_PLD_b648ee5a72ff43aabfa5e5467354f612"/>
            <w:id w:val="1370483247"/>
          </w:sdtPr>
          <w:sdtContent>
            <w:tc>
              <w:tcPr>
                <w:tcW w:w="2809" w:type="pct"/>
                <w:gridSpan w:val="4"/>
                <w:shd w:val="clear" w:color="auto" w:fill="FFFFFF"/>
                <w:vAlign w:val="center"/>
              </w:tcPr>
              <w:p>
                <w:pPr>
                  <w:jc w:val="center"/>
                </w:pPr>
                <w:r>
                  <w:rPr>
                    <w:rFonts w:hint="eastAsia"/>
                  </w:rPr>
                  <w:t>本期变动</w:t>
                </w:r>
                <w:r>
                  <w:t>金额</w:t>
                </w:r>
              </w:p>
            </w:tc>
          </w:sdtContent>
        </w:sdt>
        <w:sdt>
          <w:sdtPr>
            <w:tag w:val="_PLD_670842119a0446778c0343318379e7bb"/>
            <w:id w:val="1944420313"/>
          </w:sdtPr>
          <w:sdtContent>
            <w:tc>
              <w:tcPr>
                <w:tcW w:w="685" w:type="pct"/>
                <w:vMerge w:val="restart"/>
                <w:shd w:val="clear" w:color="auto" w:fill="FFFFFF"/>
                <w:vAlign w:val="center"/>
              </w:tcPr>
              <w:p>
                <w:pPr>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blHeader/>
        </w:trPr>
        <w:tc>
          <w:tcPr>
            <w:tcW w:w="818" w:type="pct"/>
            <w:vMerge w:val="continue"/>
            <w:shd w:val="clear" w:color="auto" w:fill="FFFFFF"/>
          </w:tcPr>
          <w:p>
            <w:pPr>
              <w:jc w:val="center"/>
            </w:pPr>
          </w:p>
        </w:tc>
        <w:tc>
          <w:tcPr>
            <w:tcW w:w="687" w:type="pct"/>
            <w:vMerge w:val="continue"/>
            <w:shd w:val="clear" w:color="auto" w:fill="FFFFFF"/>
          </w:tcPr>
          <w:p>
            <w:pPr>
              <w:jc w:val="center"/>
            </w:pPr>
          </w:p>
        </w:tc>
        <w:sdt>
          <w:sdtPr>
            <w:tag w:val="_PLD_9f89b7b6eb974ea9b6438eecb96ab8d7"/>
            <w:id w:val="318622484"/>
          </w:sdtPr>
          <w:sdtContent>
            <w:tc>
              <w:tcPr>
                <w:tcW w:w="746" w:type="pct"/>
                <w:shd w:val="clear" w:color="auto" w:fill="FFFFFF"/>
                <w:vAlign w:val="center"/>
              </w:tcPr>
              <w:p>
                <w:pPr>
                  <w:jc w:val="center"/>
                </w:pPr>
                <w:r>
                  <w:t>计提</w:t>
                </w:r>
              </w:p>
            </w:tc>
          </w:sdtContent>
        </w:sdt>
        <w:sdt>
          <w:sdtPr>
            <w:tag w:val="_PLD_d83025520e1c49cb905bac81a5fe67a9"/>
            <w:id w:val="782773847"/>
          </w:sdtPr>
          <w:sdtContent>
            <w:tc>
              <w:tcPr>
                <w:tcW w:w="687" w:type="pct"/>
                <w:shd w:val="clear" w:color="auto" w:fill="FFFFFF"/>
                <w:vAlign w:val="center"/>
              </w:tcPr>
              <w:p>
                <w:pPr>
                  <w:jc w:val="center"/>
                </w:pPr>
                <w:r>
                  <w:rPr>
                    <w:rFonts w:hint="eastAsia"/>
                  </w:rPr>
                  <w:t>收回或转回</w:t>
                </w:r>
              </w:p>
            </w:tc>
          </w:sdtContent>
        </w:sdt>
        <w:tc>
          <w:tcPr>
            <w:tcW w:w="689" w:type="pct"/>
            <w:shd w:val="clear" w:color="auto" w:fill="FFFFFF"/>
            <w:vAlign w:val="center"/>
          </w:tcPr>
          <w:sdt>
            <w:sdtPr>
              <w:rPr>
                <w:rFonts w:hint="eastAsia"/>
              </w:rPr>
              <w:tag w:val="_PLD_43341cdf094c434589f9f5a4eeb8fb4a"/>
              <w:id w:val="290334911"/>
            </w:sdtPr>
            <w:sdtEndPr>
              <w:rPr>
                <w:rFonts w:hint="eastAsia"/>
              </w:rPr>
            </w:sdtEndPr>
            <w:sdtContent>
              <w:p>
                <w:pPr>
                  <w:jc w:val="center"/>
                </w:pPr>
                <w:r>
                  <w:rPr>
                    <w:rFonts w:hint="eastAsia"/>
                  </w:rPr>
                  <w:t>转销或核销</w:t>
                </w:r>
              </w:p>
            </w:sdtContent>
          </w:sdt>
        </w:tc>
        <w:tc>
          <w:tcPr>
            <w:tcW w:w="687" w:type="pct"/>
            <w:shd w:val="clear" w:color="auto" w:fill="FFFFFF"/>
            <w:vAlign w:val="center"/>
          </w:tcPr>
          <w:sdt>
            <w:sdtPr>
              <w:rPr>
                <w:rFonts w:hint="eastAsia"/>
              </w:rPr>
              <w:tag w:val="_PLD_4105509cd7cf412981897dd91879a014"/>
              <w:id w:val="1800256960"/>
            </w:sdtPr>
            <w:sdtEndPr>
              <w:rPr>
                <w:rFonts w:hint="eastAsia"/>
              </w:rPr>
            </w:sdtEndPr>
            <w:sdtContent>
              <w:p>
                <w:pPr>
                  <w:jc w:val="center"/>
                </w:pPr>
                <w:r>
                  <w:rPr>
                    <w:rFonts w:hint="eastAsia"/>
                  </w:rPr>
                  <w:t>其他变动</w:t>
                </w:r>
              </w:p>
            </w:sdtContent>
          </w:sdt>
        </w:tc>
        <w:tc>
          <w:tcPr>
            <w:tcW w:w="685" w:type="pct"/>
            <w:vMerge w:val="continue"/>
            <w:shd w:val="clear" w:color="auto" w:fill="FFFFFF"/>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pct"/>
            <w:shd w:val="clear" w:color="auto" w:fill="auto"/>
            <w:vAlign w:val="center"/>
          </w:tcPr>
          <w:p>
            <w:pPr>
              <w:rPr>
                <w:rFonts w:ascii="宋体" w:hAnsi="宋体"/>
              </w:rPr>
            </w:pPr>
            <w:r>
              <w:rPr>
                <w:rFonts w:hint="eastAsia" w:ascii="宋体" w:hAnsi="宋体"/>
              </w:rPr>
              <w:t>应收账款坏账准备</w:t>
            </w:r>
          </w:p>
        </w:tc>
        <w:tc>
          <w:tcPr>
            <w:tcW w:w="687" w:type="pct"/>
            <w:shd w:val="clear" w:color="auto" w:fill="auto"/>
            <w:vAlign w:val="center"/>
          </w:tcPr>
          <w:p>
            <w:pPr>
              <w:jc w:val="right"/>
              <w:rPr>
                <w:rFonts w:ascii="宋体" w:hAnsi="宋体"/>
              </w:rPr>
            </w:pPr>
            <w:r>
              <w:rPr>
                <w:rFonts w:hint="eastAsia" w:ascii="宋体" w:hAnsi="宋体"/>
              </w:rPr>
              <w:t>591,633</w:t>
            </w:r>
          </w:p>
        </w:tc>
        <w:tc>
          <w:tcPr>
            <w:tcW w:w="746" w:type="pct"/>
            <w:shd w:val="clear" w:color="auto" w:fill="auto"/>
            <w:vAlign w:val="center"/>
          </w:tcPr>
          <w:p>
            <w:pPr>
              <w:jc w:val="right"/>
              <w:rPr>
                <w:rFonts w:ascii="宋体" w:hAnsi="宋体"/>
              </w:rPr>
            </w:pPr>
            <w:r>
              <w:rPr>
                <w:rFonts w:hint="eastAsia" w:ascii="宋体" w:hAnsi="宋体"/>
              </w:rPr>
              <w:t>-1,527</w:t>
            </w:r>
          </w:p>
        </w:tc>
        <w:tc>
          <w:tcPr>
            <w:tcW w:w="687" w:type="pct"/>
            <w:shd w:val="clear" w:color="auto" w:fill="auto"/>
            <w:vAlign w:val="center"/>
          </w:tcPr>
          <w:p>
            <w:pPr>
              <w:jc w:val="right"/>
              <w:rPr>
                <w:rFonts w:ascii="宋体" w:hAnsi="宋体"/>
              </w:rPr>
            </w:pPr>
            <w:r>
              <w:rPr>
                <w:rFonts w:hint="eastAsia" w:ascii="宋体" w:hAnsi="宋体"/>
              </w:rPr>
              <w:t>-56,782</w:t>
            </w:r>
          </w:p>
        </w:tc>
        <w:tc>
          <w:tcPr>
            <w:tcW w:w="689" w:type="pct"/>
            <w:vAlign w:val="center"/>
          </w:tcPr>
          <w:p>
            <w:pPr>
              <w:jc w:val="right"/>
              <w:rPr>
                <w:rFonts w:ascii="宋体" w:hAnsi="宋体"/>
              </w:rPr>
            </w:pPr>
            <w:r>
              <w:rPr>
                <w:rFonts w:hint="eastAsia" w:ascii="宋体" w:hAnsi="宋体"/>
              </w:rPr>
              <w:t>-1</w:t>
            </w:r>
            <w:r>
              <w:rPr>
                <w:rFonts w:ascii="宋体" w:hAnsi="宋体"/>
              </w:rPr>
              <w:t>4</w:t>
            </w:r>
            <w:r>
              <w:rPr>
                <w:rFonts w:hint="eastAsia" w:ascii="宋体" w:hAnsi="宋体"/>
              </w:rPr>
              <w:t>,</w:t>
            </w:r>
            <w:r>
              <w:rPr>
                <w:rFonts w:ascii="宋体" w:hAnsi="宋体"/>
              </w:rPr>
              <w:t>401</w:t>
            </w:r>
          </w:p>
        </w:tc>
        <w:tc>
          <w:tcPr>
            <w:tcW w:w="687" w:type="pct"/>
            <w:vAlign w:val="center"/>
          </w:tcPr>
          <w:p>
            <w:pPr>
              <w:jc w:val="right"/>
              <w:rPr>
                <w:rFonts w:ascii="宋体" w:hAnsi="宋体"/>
              </w:rPr>
            </w:pPr>
          </w:p>
        </w:tc>
        <w:tc>
          <w:tcPr>
            <w:tcW w:w="685" w:type="pct"/>
            <w:shd w:val="clear" w:color="auto" w:fill="auto"/>
            <w:vAlign w:val="center"/>
          </w:tcPr>
          <w:p>
            <w:pPr>
              <w:jc w:val="right"/>
              <w:rPr>
                <w:rFonts w:ascii="宋体" w:hAnsi="宋体"/>
              </w:rPr>
            </w:pPr>
            <w:r>
              <w:rPr>
                <w:rFonts w:hint="eastAsia" w:ascii="宋体" w:hAnsi="宋体"/>
              </w:rPr>
              <w:t>51</w:t>
            </w:r>
            <w:r>
              <w:rPr>
                <w:rFonts w:ascii="宋体" w:hAnsi="宋体"/>
              </w:rPr>
              <w:t>8</w:t>
            </w:r>
            <w:r>
              <w:rPr>
                <w:rFonts w:hint="eastAsia" w:ascii="宋体" w:hAnsi="宋体"/>
              </w:rPr>
              <w:t>,</w:t>
            </w:r>
            <w:r>
              <w:rPr>
                <w:rFonts w:ascii="宋体" w:hAnsi="宋体"/>
              </w:rPr>
              <w:t>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18" w:type="pct"/>
            <w:shd w:val="clear" w:color="auto" w:fill="auto"/>
            <w:vAlign w:val="center"/>
          </w:tcPr>
          <w:p>
            <w:pPr>
              <w:jc w:val="center"/>
              <w:rPr>
                <w:rFonts w:ascii="宋体" w:hAnsi="宋体"/>
              </w:rPr>
            </w:pPr>
            <w:r>
              <w:rPr>
                <w:rFonts w:hint="eastAsia" w:ascii="宋体" w:hAnsi="宋体"/>
              </w:rPr>
              <w:t>合计</w:t>
            </w:r>
          </w:p>
        </w:tc>
        <w:tc>
          <w:tcPr>
            <w:tcW w:w="687" w:type="pct"/>
            <w:shd w:val="clear" w:color="auto" w:fill="auto"/>
            <w:vAlign w:val="center"/>
          </w:tcPr>
          <w:p>
            <w:pPr>
              <w:jc w:val="right"/>
              <w:rPr>
                <w:rFonts w:ascii="宋体" w:hAnsi="宋体"/>
              </w:rPr>
            </w:pPr>
            <w:r>
              <w:rPr>
                <w:rFonts w:hint="eastAsia" w:ascii="宋体" w:hAnsi="宋体"/>
              </w:rPr>
              <w:t>591,633</w:t>
            </w:r>
          </w:p>
        </w:tc>
        <w:tc>
          <w:tcPr>
            <w:tcW w:w="746" w:type="pct"/>
            <w:shd w:val="clear" w:color="auto" w:fill="auto"/>
            <w:vAlign w:val="center"/>
          </w:tcPr>
          <w:p>
            <w:pPr>
              <w:jc w:val="right"/>
              <w:rPr>
                <w:rFonts w:ascii="宋体" w:hAnsi="宋体"/>
              </w:rPr>
            </w:pPr>
            <w:r>
              <w:rPr>
                <w:rFonts w:hint="eastAsia" w:ascii="宋体" w:hAnsi="宋体"/>
              </w:rPr>
              <w:t>-1,527</w:t>
            </w:r>
          </w:p>
        </w:tc>
        <w:tc>
          <w:tcPr>
            <w:tcW w:w="687" w:type="pct"/>
            <w:shd w:val="clear" w:color="auto" w:fill="auto"/>
            <w:vAlign w:val="center"/>
          </w:tcPr>
          <w:p>
            <w:pPr>
              <w:jc w:val="right"/>
              <w:rPr>
                <w:rFonts w:ascii="宋体" w:hAnsi="宋体"/>
              </w:rPr>
            </w:pPr>
            <w:r>
              <w:rPr>
                <w:rFonts w:hint="eastAsia" w:ascii="宋体" w:hAnsi="宋体"/>
              </w:rPr>
              <w:t>-56,782</w:t>
            </w:r>
          </w:p>
        </w:tc>
        <w:tc>
          <w:tcPr>
            <w:tcW w:w="689" w:type="pct"/>
            <w:vAlign w:val="center"/>
          </w:tcPr>
          <w:p>
            <w:pPr>
              <w:jc w:val="right"/>
              <w:rPr>
                <w:rFonts w:ascii="宋体" w:hAnsi="宋体"/>
              </w:rPr>
            </w:pPr>
            <w:r>
              <w:rPr>
                <w:rFonts w:hint="eastAsia" w:ascii="宋体" w:hAnsi="宋体"/>
              </w:rPr>
              <w:t>-1</w:t>
            </w:r>
            <w:r>
              <w:rPr>
                <w:rFonts w:ascii="宋体" w:hAnsi="宋体"/>
              </w:rPr>
              <w:t>4</w:t>
            </w:r>
            <w:r>
              <w:rPr>
                <w:rFonts w:hint="eastAsia" w:ascii="宋体" w:hAnsi="宋体"/>
              </w:rPr>
              <w:t>,</w:t>
            </w:r>
            <w:r>
              <w:rPr>
                <w:rFonts w:ascii="宋体" w:hAnsi="宋体"/>
              </w:rPr>
              <w:t>401</w:t>
            </w:r>
          </w:p>
        </w:tc>
        <w:tc>
          <w:tcPr>
            <w:tcW w:w="687" w:type="pct"/>
            <w:vAlign w:val="center"/>
          </w:tcPr>
          <w:p>
            <w:pPr>
              <w:jc w:val="right"/>
              <w:rPr>
                <w:rFonts w:ascii="宋体" w:hAnsi="宋体"/>
              </w:rPr>
            </w:pPr>
          </w:p>
        </w:tc>
        <w:tc>
          <w:tcPr>
            <w:tcW w:w="685" w:type="pct"/>
            <w:shd w:val="clear" w:color="auto" w:fill="auto"/>
            <w:vAlign w:val="center"/>
          </w:tcPr>
          <w:p>
            <w:pPr>
              <w:jc w:val="right"/>
              <w:rPr>
                <w:rFonts w:ascii="宋体" w:hAnsi="宋体"/>
              </w:rPr>
            </w:pPr>
            <w:r>
              <w:rPr>
                <w:rFonts w:hint="eastAsia" w:ascii="宋体" w:hAnsi="宋体"/>
              </w:rPr>
              <w:t>51</w:t>
            </w:r>
            <w:r>
              <w:rPr>
                <w:rFonts w:ascii="宋体" w:hAnsi="宋体"/>
              </w:rPr>
              <w:t>8</w:t>
            </w:r>
            <w:r>
              <w:rPr>
                <w:rFonts w:hint="eastAsia" w:ascii="宋体" w:hAnsi="宋体"/>
              </w:rPr>
              <w:t>,</w:t>
            </w:r>
            <w:r>
              <w:rPr>
                <w:rFonts w:ascii="宋体" w:hAnsi="宋体"/>
              </w:rPr>
              <w:t>923</w:t>
            </w:r>
          </w:p>
        </w:tc>
      </w:tr>
    </w:tbl>
    <w:p>
      <w:pPr>
        <w:pStyle w:val="560"/>
      </w:pPr>
    </w:p>
    <w:p>
      <w:pPr>
        <w:pStyle w:val="531"/>
      </w:pPr>
      <w:r>
        <w:rPr>
          <w:rFonts w:hint="eastAsia"/>
        </w:rPr>
        <w:t>其中本期坏账准备收回或转回金额重要的：</w:t>
      </w:r>
    </w:p>
    <w:bookmarkEnd w:id="237"/>
    <w:sdt>
      <w:sdtPr>
        <w:alias w:val="是否适用：其中本期坏账准备收回或转回金额重要的[双击切换]"/>
        <w:tag w:val="_GBC_6da74212535e450f9d1465f00dddd00b"/>
        <w:id w:val="-579292718"/>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1594" w:rightChars="-759"/>
      </w:pPr>
    </w:p>
    <w:p>
      <w:pPr>
        <w:pStyle w:val="505"/>
        <w:numPr>
          <w:ilvl w:val="3"/>
          <w:numId w:val="71"/>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83612374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本报告期实际核销的应收款项情况"/>
          <w:tag w:val="_GBC_120829dd17474bb7a477e3113cdeaa92"/>
          <w:id w:val="-6546032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本报告期实际核销的应收款项情况"/>
          <w:tag w:val="_GBC_23c46b534069436795b165d258eb279c"/>
          <w:id w:val="21070708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3"/>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1b4d2de9bc4878bfaf030b4ac7f864"/>
            <w:id w:val="335803219"/>
          </w:sdtPr>
          <w:sdtContent>
            <w:tc>
              <w:tcPr>
                <w:tcW w:w="2361" w:type="pct"/>
                <w:vAlign w:val="center"/>
              </w:tcPr>
              <w:p>
                <w:pPr>
                  <w:jc w:val="center"/>
                </w:pPr>
                <w:r>
                  <w:rPr>
                    <w:rFonts w:hint="eastAsia"/>
                  </w:rPr>
                  <w:t>项目</w:t>
                </w:r>
              </w:p>
            </w:tc>
          </w:sdtContent>
        </w:sdt>
        <w:sdt>
          <w:sdtPr>
            <w:tag w:val="_PLD_8157ba5967c14e4e821de564c4546b40"/>
            <w:id w:val="937956413"/>
          </w:sdtPr>
          <w:sdtContent>
            <w:tc>
              <w:tcPr>
                <w:tcW w:w="2639" w:type="pct"/>
              </w:tcPr>
              <w:p>
                <w:pPr>
                  <w:jc w:val="center"/>
                </w:pPr>
                <w:r>
                  <w:rPr>
                    <w:rFonts w:hint="eastAsia"/>
                  </w:rPr>
                  <w:t>核销金额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pct"/>
          </w:tcPr>
          <w:p>
            <w:pPr>
              <w:pStyle w:val="501"/>
            </w:pPr>
            <w:r>
              <w:rPr>
                <w:rFonts w:hint="eastAsia"/>
              </w:rPr>
              <w:t>实际核销的应收账款</w:t>
            </w:r>
          </w:p>
        </w:tc>
        <w:tc>
          <w:tcPr>
            <w:tcW w:w="2639" w:type="pct"/>
          </w:tcPr>
          <w:p>
            <w:pPr>
              <w:jc w:val="right"/>
              <w:rPr>
                <w:rFonts w:ascii="宋体" w:hAnsi="宋体"/>
              </w:rPr>
            </w:pPr>
            <w:r>
              <w:rPr>
                <w:rFonts w:ascii="宋体" w:hAnsi="宋体"/>
              </w:rPr>
              <w:t>14,401</w:t>
            </w:r>
          </w:p>
        </w:tc>
      </w:tr>
    </w:tbl>
    <w:p>
      <w:pPr>
        <w:pStyle w:val="501"/>
      </w:pPr>
    </w:p>
    <w:p>
      <w:pPr>
        <w:pStyle w:val="501"/>
      </w:pPr>
      <w:r>
        <w:rPr>
          <w:rFonts w:hint="eastAsia"/>
        </w:rPr>
        <w:t>其中重要的应收账款核销情况</w:t>
      </w:r>
    </w:p>
    <w:sdt>
      <w:sdtPr>
        <w:alias w:val="是否适用：其中重要的应收账款核销情况[双击切换]"/>
        <w:tag w:val="_GBC_3c12c3e5b4fd4acda2beb7a5cacacd97"/>
        <w:id w:val="-1419941065"/>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应收账款核销说明：</w:t>
      </w:r>
    </w:p>
    <w:sdt>
      <w:sdtPr>
        <w:alias w:val="是否适用：应收账款核销说明[双击切换]"/>
        <w:tag w:val="_GBC_e00d0b458c1b4b5f99d670e3f2a2b2e2"/>
        <w:id w:val="1884905626"/>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5"/>
        <w:numPr>
          <w:ilvl w:val="3"/>
          <w:numId w:val="71"/>
        </w:numPr>
        <w:ind w:left="426" w:hanging="426"/>
      </w:pPr>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384d0a1c7eac41bb9693117cbe9c7e5b"/>
        <w:id w:val="1472250897"/>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napToGrid w:val="0"/>
        <w:spacing w:line="240" w:lineRule="atLeast"/>
        <w:jc w:val="right"/>
      </w:pPr>
      <w:r>
        <w:rPr>
          <w:rFonts w:hint="eastAsia"/>
        </w:rPr>
        <w:t>单位：</w:t>
      </w:r>
      <w:sdt>
        <w:sdtPr>
          <w:alias w:val="单位：财务附注：应收账款前五名欠款情况"/>
          <w:tag w:val="_GBC_95040abe54a0489f8b830082545a50f5"/>
          <w:id w:val="67107268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币种：</w:t>
      </w:r>
      <w:sdt>
        <w:sdtPr>
          <w:rPr>
            <w:rFonts w:hint="eastAsia"/>
          </w:rPr>
          <w:alias w:val="币种：财务附注：应收账款前五名欠款情况"/>
          <w:tag w:val="_GBC_2e7ff062f76c406d86d744597244f24c"/>
          <w:id w:val="-4583410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509"/>
        <w:gridCol w:w="1509"/>
        <w:gridCol w:w="1508"/>
        <w:gridCol w:w="1508"/>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sdt>
          <w:sdtPr>
            <w:rPr>
              <w:rFonts w:hint="eastAsia" w:ascii="宋体" w:hAnsi="宋体"/>
            </w:rPr>
            <w:tag w:val="_PLD_393da722a1e6440ebfe654baf23b690e"/>
            <w:id w:val="1906561751"/>
          </w:sdtPr>
          <w:sdtEndPr>
            <w:rPr>
              <w:rFonts w:hint="eastAsia" w:ascii="宋体" w:hAnsi="宋体"/>
            </w:rPr>
          </w:sdtEndPr>
          <w:sdtContent>
            <w:tc>
              <w:tcPr>
                <w:tcW w:w="834" w:type="pct"/>
                <w:vAlign w:val="center"/>
              </w:tcPr>
              <w:p>
                <w:pPr>
                  <w:ind w:right="105"/>
                  <w:jc w:val="center"/>
                  <w:rPr>
                    <w:rFonts w:ascii="宋体" w:hAnsi="宋体"/>
                  </w:rPr>
                </w:pPr>
                <w:r>
                  <w:rPr>
                    <w:rFonts w:hint="eastAsia" w:ascii="宋体" w:hAnsi="宋体"/>
                  </w:rPr>
                  <w:t>单位名称</w:t>
                </w:r>
              </w:p>
            </w:tc>
          </w:sdtContent>
        </w:sdt>
        <w:sdt>
          <w:sdtPr>
            <w:rPr>
              <w:rFonts w:hint="eastAsia" w:ascii="宋体" w:hAnsi="宋体"/>
            </w:rPr>
            <w:tag w:val="_PLD_e14b89c8ccbc4e1fbb83ed437d4f7c27"/>
            <w:id w:val="-100343413"/>
          </w:sdtPr>
          <w:sdtEndPr>
            <w:rPr>
              <w:rFonts w:hint="eastAsia" w:ascii="宋体" w:hAnsi="宋体"/>
            </w:rPr>
          </w:sdtEndPr>
          <w:sdtContent>
            <w:tc>
              <w:tcPr>
                <w:tcW w:w="834" w:type="pct"/>
                <w:vAlign w:val="center"/>
              </w:tcPr>
              <w:p>
                <w:pPr>
                  <w:ind w:right="73"/>
                  <w:jc w:val="center"/>
                  <w:rPr>
                    <w:rFonts w:ascii="宋体" w:hAnsi="宋体"/>
                  </w:rPr>
                </w:pPr>
                <w:r>
                  <w:rPr>
                    <w:rFonts w:hint="eastAsia" w:ascii="宋体" w:hAnsi="宋体"/>
                  </w:rPr>
                  <w:t>应收账款期末余额</w:t>
                </w:r>
              </w:p>
            </w:tc>
          </w:sdtContent>
        </w:sdt>
        <w:sdt>
          <w:sdtPr>
            <w:rPr>
              <w:rFonts w:hint="eastAsia" w:ascii="宋体" w:hAnsi="宋体"/>
            </w:rPr>
            <w:tag w:val="_PLD_9e781bfbeaa241238adba8f92d150259"/>
            <w:id w:val="21447787"/>
          </w:sdtPr>
          <w:sdtEndPr>
            <w:rPr>
              <w:rFonts w:hint="eastAsia" w:ascii="宋体" w:hAnsi="宋体"/>
            </w:rPr>
          </w:sdtEndPr>
          <w:sdtContent>
            <w:tc>
              <w:tcPr>
                <w:tcW w:w="834" w:type="pct"/>
                <w:vAlign w:val="center"/>
              </w:tcPr>
              <w:p>
                <w:pPr>
                  <w:jc w:val="center"/>
                  <w:rPr>
                    <w:rFonts w:ascii="宋体" w:hAnsi="宋体"/>
                  </w:rPr>
                </w:pPr>
                <w:r>
                  <w:rPr>
                    <w:rFonts w:hint="eastAsia" w:ascii="宋体" w:hAnsi="宋体"/>
                  </w:rPr>
                  <w:t>合同资产期末余额</w:t>
                </w:r>
              </w:p>
            </w:tc>
          </w:sdtContent>
        </w:sdt>
        <w:sdt>
          <w:sdtPr>
            <w:rPr>
              <w:rFonts w:hint="eastAsia" w:ascii="宋体" w:hAnsi="宋体"/>
            </w:rPr>
            <w:tag w:val="_PLD_666c0ccb3f21467e9e36a3c674bf8485"/>
            <w:id w:val="148951006"/>
          </w:sdtPr>
          <w:sdtEndPr>
            <w:rPr>
              <w:rFonts w:hint="eastAsia" w:ascii="宋体" w:hAnsi="宋体"/>
            </w:rPr>
          </w:sdtEndPr>
          <w:sdtContent>
            <w:tc>
              <w:tcPr>
                <w:tcW w:w="833" w:type="pct"/>
                <w:vAlign w:val="center"/>
              </w:tcPr>
              <w:p>
                <w:pPr>
                  <w:jc w:val="center"/>
                  <w:rPr>
                    <w:rFonts w:ascii="宋体" w:hAnsi="宋体"/>
                  </w:rPr>
                </w:pPr>
                <w:r>
                  <w:rPr>
                    <w:rFonts w:hint="eastAsia" w:ascii="宋体" w:hAnsi="宋体"/>
                  </w:rPr>
                  <w:t>应收账款和合同资产期末余额</w:t>
                </w:r>
              </w:p>
            </w:tc>
          </w:sdtContent>
        </w:sdt>
        <w:sdt>
          <w:sdtPr>
            <w:rPr>
              <w:rFonts w:hint="eastAsia" w:ascii="宋体" w:hAnsi="宋体"/>
            </w:rPr>
            <w:tag w:val="_PLD_8b734501e3a344dda6644cb9d228c237"/>
            <w:id w:val="-445227391"/>
          </w:sdtPr>
          <w:sdtEndPr>
            <w:rPr>
              <w:rFonts w:hint="eastAsia" w:ascii="宋体" w:hAnsi="宋体"/>
            </w:rPr>
          </w:sdtEndPr>
          <w:sdtContent>
            <w:tc>
              <w:tcPr>
                <w:tcW w:w="833" w:type="pct"/>
                <w:vAlign w:val="center"/>
              </w:tcPr>
              <w:p>
                <w:pPr>
                  <w:jc w:val="center"/>
                  <w:rPr>
                    <w:rFonts w:ascii="宋体" w:hAnsi="宋体"/>
                  </w:rPr>
                </w:pPr>
                <w:r>
                  <w:rPr>
                    <w:rFonts w:hint="eastAsia" w:ascii="宋体" w:hAnsi="宋体"/>
                  </w:rPr>
                  <w:t>占应收账款和合同资产期末余额合计数的比例（%）</w:t>
                </w:r>
              </w:p>
            </w:tc>
          </w:sdtContent>
        </w:sdt>
        <w:sdt>
          <w:sdtPr>
            <w:rPr>
              <w:rFonts w:hint="eastAsia" w:ascii="宋体" w:hAnsi="宋体"/>
            </w:rPr>
            <w:tag w:val="_PLD_e198f1b6108c4fccacfc45ea46e8ff41"/>
            <w:id w:val="-880852654"/>
          </w:sdtPr>
          <w:sdtEndPr>
            <w:rPr>
              <w:rFonts w:hint="eastAsia" w:ascii="宋体" w:hAnsi="宋体"/>
            </w:rPr>
          </w:sdtEndPr>
          <w:sdtContent>
            <w:tc>
              <w:tcPr>
                <w:tcW w:w="833" w:type="pct"/>
                <w:vAlign w:val="center"/>
              </w:tcPr>
              <w:p>
                <w:pPr>
                  <w:jc w:val="center"/>
                  <w:rPr>
                    <w:rFonts w:ascii="宋体" w:hAnsi="宋体"/>
                  </w:rPr>
                </w:pPr>
                <w:r>
                  <w:rPr>
                    <w:rFonts w:hint="eastAsia" w:ascii="宋体" w:hAnsi="宋体"/>
                  </w:rPr>
                  <w:t>坏账准备期末余额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4" w:type="pct"/>
            <w:vAlign w:val="center"/>
          </w:tcPr>
          <w:p>
            <w:pPr>
              <w:ind w:right="105"/>
              <w:jc w:val="center"/>
              <w:rPr>
                <w:rFonts w:ascii="宋体" w:hAnsi="宋体"/>
              </w:rPr>
            </w:pPr>
            <w:r>
              <w:rPr>
                <w:rFonts w:hint="eastAsia" w:ascii="宋体" w:hAnsi="宋体"/>
              </w:rPr>
              <w:t>公司1</w:t>
            </w:r>
          </w:p>
        </w:tc>
        <w:tc>
          <w:tcPr>
            <w:tcW w:w="834" w:type="pct"/>
            <w:vAlign w:val="center"/>
          </w:tcPr>
          <w:p>
            <w:pPr>
              <w:ind w:right="73"/>
              <w:jc w:val="right"/>
              <w:rPr>
                <w:rFonts w:ascii="宋体" w:hAnsi="宋体"/>
              </w:rPr>
            </w:pPr>
            <w:r>
              <w:rPr>
                <w:rFonts w:hint="eastAsia" w:ascii="宋体" w:hAnsi="宋体"/>
              </w:rPr>
              <w:t>600,523</w:t>
            </w:r>
          </w:p>
        </w:tc>
        <w:tc>
          <w:tcPr>
            <w:tcW w:w="834"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600,523</w:t>
            </w:r>
          </w:p>
        </w:tc>
        <w:tc>
          <w:tcPr>
            <w:tcW w:w="833" w:type="pct"/>
            <w:vAlign w:val="center"/>
          </w:tcPr>
          <w:p>
            <w:pPr>
              <w:jc w:val="right"/>
              <w:rPr>
                <w:rFonts w:ascii="宋体" w:hAnsi="宋体"/>
              </w:rPr>
            </w:pPr>
            <w:r>
              <w:rPr>
                <w:rFonts w:hint="eastAsia" w:ascii="宋体" w:hAnsi="宋体"/>
              </w:rPr>
              <w:t>8</w:t>
            </w:r>
          </w:p>
        </w:tc>
        <w:tc>
          <w:tcPr>
            <w:tcW w:w="83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4" w:type="pct"/>
            <w:vAlign w:val="center"/>
          </w:tcPr>
          <w:p>
            <w:pPr>
              <w:ind w:right="105"/>
              <w:jc w:val="center"/>
              <w:rPr>
                <w:rFonts w:ascii="宋体" w:hAnsi="宋体"/>
              </w:rPr>
            </w:pPr>
            <w:r>
              <w:rPr>
                <w:rFonts w:hint="eastAsia" w:ascii="宋体" w:hAnsi="宋体"/>
              </w:rPr>
              <w:t>公司2</w:t>
            </w:r>
          </w:p>
        </w:tc>
        <w:tc>
          <w:tcPr>
            <w:tcW w:w="834" w:type="pct"/>
            <w:vAlign w:val="center"/>
          </w:tcPr>
          <w:p>
            <w:pPr>
              <w:ind w:right="73"/>
              <w:jc w:val="right"/>
              <w:rPr>
                <w:rFonts w:ascii="宋体" w:hAnsi="宋体"/>
              </w:rPr>
            </w:pPr>
            <w:r>
              <w:rPr>
                <w:rFonts w:hint="eastAsia" w:ascii="宋体" w:hAnsi="宋体"/>
              </w:rPr>
              <w:t>492,627</w:t>
            </w:r>
          </w:p>
        </w:tc>
        <w:tc>
          <w:tcPr>
            <w:tcW w:w="834"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492,627</w:t>
            </w:r>
          </w:p>
        </w:tc>
        <w:tc>
          <w:tcPr>
            <w:tcW w:w="833" w:type="pct"/>
            <w:vAlign w:val="center"/>
          </w:tcPr>
          <w:p>
            <w:pPr>
              <w:jc w:val="right"/>
              <w:rPr>
                <w:rFonts w:ascii="宋体" w:hAnsi="宋体"/>
              </w:rPr>
            </w:pPr>
            <w:r>
              <w:rPr>
                <w:rFonts w:hint="eastAsia" w:ascii="宋体" w:hAnsi="宋体"/>
              </w:rPr>
              <w:t>7</w:t>
            </w:r>
          </w:p>
        </w:tc>
        <w:tc>
          <w:tcPr>
            <w:tcW w:w="83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4" w:type="pct"/>
            <w:vAlign w:val="center"/>
          </w:tcPr>
          <w:p>
            <w:pPr>
              <w:ind w:right="105"/>
              <w:jc w:val="center"/>
              <w:rPr>
                <w:rFonts w:ascii="宋体" w:hAnsi="宋体"/>
              </w:rPr>
            </w:pPr>
            <w:r>
              <w:rPr>
                <w:rFonts w:hint="eastAsia" w:ascii="宋体" w:hAnsi="宋体"/>
              </w:rPr>
              <w:t>公司3</w:t>
            </w:r>
          </w:p>
        </w:tc>
        <w:tc>
          <w:tcPr>
            <w:tcW w:w="834" w:type="pct"/>
            <w:vAlign w:val="center"/>
          </w:tcPr>
          <w:p>
            <w:pPr>
              <w:ind w:right="73"/>
              <w:jc w:val="right"/>
              <w:rPr>
                <w:rFonts w:ascii="宋体" w:hAnsi="宋体"/>
              </w:rPr>
            </w:pPr>
            <w:r>
              <w:rPr>
                <w:rFonts w:hint="eastAsia" w:ascii="宋体" w:hAnsi="宋体"/>
              </w:rPr>
              <w:t>314,594</w:t>
            </w:r>
          </w:p>
        </w:tc>
        <w:tc>
          <w:tcPr>
            <w:tcW w:w="834"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314,594</w:t>
            </w:r>
          </w:p>
        </w:tc>
        <w:tc>
          <w:tcPr>
            <w:tcW w:w="833" w:type="pct"/>
            <w:vAlign w:val="center"/>
          </w:tcPr>
          <w:p>
            <w:pPr>
              <w:jc w:val="right"/>
              <w:rPr>
                <w:rFonts w:ascii="宋体" w:hAnsi="宋体"/>
              </w:rPr>
            </w:pPr>
            <w:r>
              <w:rPr>
                <w:rFonts w:hint="eastAsia" w:ascii="宋体" w:hAnsi="宋体"/>
              </w:rPr>
              <w:t>4</w:t>
            </w:r>
          </w:p>
        </w:tc>
        <w:tc>
          <w:tcPr>
            <w:tcW w:w="83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4" w:type="pct"/>
            <w:vAlign w:val="center"/>
          </w:tcPr>
          <w:p>
            <w:pPr>
              <w:ind w:right="105"/>
              <w:jc w:val="center"/>
              <w:rPr>
                <w:rFonts w:ascii="宋体" w:hAnsi="宋体"/>
              </w:rPr>
            </w:pPr>
            <w:r>
              <w:rPr>
                <w:rFonts w:hint="eastAsia" w:ascii="宋体" w:hAnsi="宋体"/>
              </w:rPr>
              <w:t>公司4</w:t>
            </w:r>
          </w:p>
        </w:tc>
        <w:tc>
          <w:tcPr>
            <w:tcW w:w="834" w:type="pct"/>
            <w:vAlign w:val="center"/>
          </w:tcPr>
          <w:p>
            <w:pPr>
              <w:ind w:right="73"/>
              <w:jc w:val="right"/>
              <w:rPr>
                <w:rFonts w:ascii="宋体" w:hAnsi="宋体"/>
              </w:rPr>
            </w:pPr>
            <w:r>
              <w:rPr>
                <w:rFonts w:hint="eastAsia" w:ascii="宋体" w:hAnsi="宋体"/>
              </w:rPr>
              <w:t>271,806</w:t>
            </w:r>
          </w:p>
        </w:tc>
        <w:tc>
          <w:tcPr>
            <w:tcW w:w="834"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271,806</w:t>
            </w:r>
          </w:p>
        </w:tc>
        <w:tc>
          <w:tcPr>
            <w:tcW w:w="833" w:type="pct"/>
            <w:vAlign w:val="center"/>
          </w:tcPr>
          <w:p>
            <w:pPr>
              <w:jc w:val="right"/>
              <w:rPr>
                <w:rFonts w:ascii="宋体" w:hAnsi="宋体"/>
              </w:rPr>
            </w:pPr>
            <w:r>
              <w:rPr>
                <w:rFonts w:hint="eastAsia" w:ascii="宋体" w:hAnsi="宋体"/>
              </w:rPr>
              <w:t>4</w:t>
            </w:r>
          </w:p>
        </w:tc>
        <w:tc>
          <w:tcPr>
            <w:tcW w:w="83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4" w:type="pct"/>
            <w:vAlign w:val="center"/>
          </w:tcPr>
          <w:p>
            <w:pPr>
              <w:ind w:right="105"/>
              <w:jc w:val="center"/>
              <w:rPr>
                <w:rFonts w:ascii="宋体" w:hAnsi="宋体"/>
              </w:rPr>
            </w:pPr>
            <w:r>
              <w:rPr>
                <w:rFonts w:hint="eastAsia" w:ascii="宋体" w:hAnsi="宋体"/>
              </w:rPr>
              <w:t>公司5</w:t>
            </w:r>
          </w:p>
        </w:tc>
        <w:tc>
          <w:tcPr>
            <w:tcW w:w="834" w:type="pct"/>
            <w:vAlign w:val="center"/>
          </w:tcPr>
          <w:p>
            <w:pPr>
              <w:ind w:right="73"/>
              <w:jc w:val="right"/>
              <w:rPr>
                <w:rFonts w:ascii="宋体" w:hAnsi="宋体"/>
              </w:rPr>
            </w:pPr>
            <w:r>
              <w:rPr>
                <w:rFonts w:hint="eastAsia" w:ascii="宋体" w:hAnsi="宋体"/>
              </w:rPr>
              <w:t>262,282</w:t>
            </w:r>
          </w:p>
        </w:tc>
        <w:tc>
          <w:tcPr>
            <w:tcW w:w="834"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262,282</w:t>
            </w:r>
          </w:p>
        </w:tc>
        <w:tc>
          <w:tcPr>
            <w:tcW w:w="833" w:type="pct"/>
            <w:vAlign w:val="center"/>
          </w:tcPr>
          <w:p>
            <w:pPr>
              <w:jc w:val="right"/>
              <w:rPr>
                <w:rFonts w:ascii="宋体" w:hAnsi="宋体"/>
              </w:rPr>
            </w:pPr>
            <w:r>
              <w:rPr>
                <w:rFonts w:hint="eastAsia" w:ascii="宋体" w:hAnsi="宋体"/>
              </w:rPr>
              <w:t>4</w:t>
            </w:r>
          </w:p>
        </w:tc>
        <w:tc>
          <w:tcPr>
            <w:tcW w:w="833" w:type="pct"/>
            <w:vAlign w:val="center"/>
          </w:tcPr>
          <w:p>
            <w:pPr>
              <w:jc w:val="right"/>
              <w:rPr>
                <w:rFonts w:ascii="宋体" w:hAnsi="宋体"/>
              </w:rPr>
            </w:pPr>
            <w:r>
              <w:rPr>
                <w:rFonts w:hint="eastAsia" w:ascii="宋体" w:hAnsi="宋体"/>
              </w:rPr>
              <w:t>185,697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4" w:type="pct"/>
            <w:vAlign w:val="center"/>
          </w:tcPr>
          <w:p>
            <w:pPr>
              <w:ind w:right="105"/>
              <w:jc w:val="center"/>
              <w:rPr>
                <w:rFonts w:ascii="宋体" w:hAnsi="宋体"/>
              </w:rPr>
            </w:pPr>
            <w:r>
              <w:rPr>
                <w:rFonts w:hint="eastAsia" w:ascii="宋体" w:hAnsi="宋体"/>
              </w:rPr>
              <w:t>合计</w:t>
            </w:r>
          </w:p>
        </w:tc>
        <w:tc>
          <w:tcPr>
            <w:tcW w:w="834" w:type="pct"/>
            <w:vAlign w:val="center"/>
          </w:tcPr>
          <w:p>
            <w:pPr>
              <w:ind w:right="73"/>
              <w:jc w:val="right"/>
              <w:rPr>
                <w:rFonts w:ascii="宋体" w:hAnsi="宋体"/>
              </w:rPr>
            </w:pPr>
            <w:r>
              <w:rPr>
                <w:rFonts w:hint="eastAsia" w:ascii="宋体" w:hAnsi="宋体"/>
              </w:rPr>
              <w:t>1,941,832</w:t>
            </w:r>
          </w:p>
        </w:tc>
        <w:tc>
          <w:tcPr>
            <w:tcW w:w="834"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1,941,832</w:t>
            </w:r>
          </w:p>
        </w:tc>
        <w:tc>
          <w:tcPr>
            <w:tcW w:w="833" w:type="pct"/>
            <w:vAlign w:val="center"/>
          </w:tcPr>
          <w:p>
            <w:pPr>
              <w:jc w:val="right"/>
              <w:rPr>
                <w:rFonts w:ascii="宋体" w:hAnsi="宋体"/>
              </w:rPr>
            </w:pPr>
            <w:r>
              <w:rPr>
                <w:rFonts w:hint="eastAsia" w:ascii="宋体" w:hAnsi="宋体"/>
              </w:rPr>
              <w:t>27</w:t>
            </w:r>
          </w:p>
        </w:tc>
        <w:tc>
          <w:tcPr>
            <w:tcW w:w="833" w:type="pct"/>
            <w:vAlign w:val="center"/>
          </w:tcPr>
          <w:p>
            <w:pPr>
              <w:jc w:val="right"/>
              <w:rPr>
                <w:rFonts w:ascii="宋体" w:hAnsi="宋体"/>
              </w:rPr>
            </w:pPr>
            <w:r>
              <w:rPr>
                <w:rFonts w:hint="eastAsia" w:ascii="宋体" w:hAnsi="宋体"/>
              </w:rPr>
              <w:t>185,697</w:t>
            </w:r>
          </w:p>
        </w:tc>
      </w:tr>
    </w:tbl>
    <w:p>
      <w:pPr>
        <w:snapToGrid w:val="0"/>
        <w:spacing w:line="240" w:lineRule="atLeast"/>
      </w:pPr>
    </w:p>
    <w:p>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258491811"/>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69"/>
        </w:numPr>
        <w:tabs>
          <w:tab w:val="left" w:pos="504"/>
        </w:tabs>
      </w:pPr>
      <w:r>
        <w:rPr>
          <w:rFonts w:hint="eastAsia"/>
        </w:rPr>
        <w:t>合同资产</w:t>
      </w:r>
    </w:p>
    <w:p>
      <w:pPr>
        <w:pStyle w:val="505"/>
        <w:numPr>
          <w:ilvl w:val="3"/>
          <w:numId w:val="72"/>
        </w:numPr>
        <w:ind w:left="426" w:hanging="426"/>
      </w:pPr>
      <w:bookmarkStart w:id="238" w:name="_Hlk532992678"/>
      <w:r>
        <w:rPr>
          <w:rFonts w:hint="eastAsia"/>
        </w:rPr>
        <w:t>合同资产情况</w:t>
      </w:r>
    </w:p>
    <w:sdt>
      <w:sdtPr>
        <w:alias w:val="是否适用：合同资产情况[双击切换]"/>
        <w:tag w:val="_GBC_71da29cd2c0f4ec4a2849d6760e0ec90"/>
        <w:id w:val="454453869"/>
        <w:placeholder>
          <w:docPart w:val="GBC22222222222222222222222222222"/>
        </w:placeholder>
      </w:sdtPr>
      <w:sdtContent>
        <w:p>
          <w:pPr>
            <w:pStyle w:val="531"/>
          </w:pPr>
          <w:bookmarkStart w:id="239" w:name="_Hlk53340956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5"/>
        <w:numPr>
          <w:ilvl w:val="3"/>
          <w:numId w:val="72"/>
        </w:numPr>
        <w:ind w:left="426" w:hanging="426"/>
      </w:pPr>
      <w:r>
        <w:rPr>
          <w:rFonts w:hint="eastAsia"/>
        </w:rPr>
        <w:t>报告期内账面价值发生重大变动的金额和原因</w:t>
      </w:r>
    </w:p>
    <w:bookmarkEnd w:id="238"/>
    <w:bookmarkEnd w:id="239"/>
    <w:sdt>
      <w:sdtPr>
        <w:alias w:val="是否适用：合同资产账面价值发生重大变动[双击切换]"/>
        <w:tag w:val="_GBC_d707053a57f34cbab810279b617bfcc7"/>
        <w:id w:val="645401216"/>
        <w:placeholder>
          <w:docPart w:val="GBC22222222222222222222222222222"/>
        </w:placeholder>
      </w:sdtPr>
      <w:sdtContent>
        <w:p>
          <w:pPr>
            <w:pStyle w:val="501"/>
          </w:pPr>
          <w:bookmarkStart w:id="240" w:name="_Hlk532993169"/>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numPr>
          <w:ilvl w:val="3"/>
          <w:numId w:val="72"/>
        </w:numPr>
        <w:ind w:left="426" w:hanging="426"/>
        <w:rPr>
          <w:rFonts w:ascii="宋体" w:hAnsi="宋体" w:eastAsia="宋体" w:cs="宋体"/>
          <w:kern w:val="0"/>
          <w:szCs w:val="24"/>
        </w:rPr>
      </w:pPr>
      <w:r>
        <w:rPr>
          <w:rFonts w:hint="eastAsia" w:ascii="宋体" w:hAnsi="宋体" w:eastAsia="宋体" w:cs="宋体"/>
          <w:kern w:val="0"/>
          <w:szCs w:val="24"/>
        </w:rPr>
        <w:t>按</w:t>
      </w:r>
      <w:r>
        <w:rPr>
          <w:rFonts w:ascii="宋体" w:hAnsi="宋体" w:eastAsia="宋体" w:cs="宋体"/>
          <w:kern w:val="0"/>
          <w:szCs w:val="24"/>
        </w:rPr>
        <w:t>坏账计提方法分类披露</w:t>
      </w:r>
    </w:p>
    <w:sdt>
      <w:sdtPr>
        <w:alias w:val="是否适用：按坏账计提方法分类披露[双击切换]"/>
        <w:tag w:val="_GBC_6dd4a97ab67f497ba65822d927d1d29e"/>
        <w:id w:val="563378724"/>
        <w:placeholder>
          <w:docPart w:val="GBC22222222222222222222222222222"/>
        </w:placeholder>
      </w:sdtPr>
      <w:sdtContent>
        <w:p>
          <w:pPr>
            <w:pStyle w:val="531"/>
          </w:pPr>
          <w:bookmarkStart w:id="241" w:name="_Hlk15337898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按单项计提坏账准备：</w:t>
      </w:r>
    </w:p>
    <w:sdt>
      <w:sdtPr>
        <w:alias w:val="是否适用：按单项计提坏账准备的详细情况[双击切换]"/>
        <w:tag w:val="_GBC_0ab170ec63fb435387c8b835e9d77a54"/>
        <w:id w:val="562683535"/>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按单项计提坏账准备的说明：</w:t>
      </w:r>
    </w:p>
    <w:sdt>
      <w:sdtPr>
        <w:alias w:val="是否适用：按单项计提坏账准备的说明[双击切换]"/>
        <w:tag w:val="_GBC_0aa7517d534e4bfeae4b430fe21b3412"/>
        <w:id w:val="-2019838606"/>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rPr>
          <w:bCs/>
          <w:szCs w:val="22"/>
        </w:rPr>
      </w:pPr>
      <w:r>
        <w:rPr>
          <w:rFonts w:hint="eastAsia"/>
          <w:bCs/>
          <w:szCs w:val="22"/>
        </w:rPr>
        <w:t>按组合计提坏账准备：</w:t>
      </w:r>
    </w:p>
    <w:sdt>
      <w:sdtPr>
        <w:rPr>
          <w:bCs/>
          <w:szCs w:val="22"/>
        </w:rPr>
        <w:alias w:val="是否适用：按组合计提坏账准备的详细情况[双击切换]"/>
        <w:tag w:val="_GBC_dd62dad60e90472bb2ac73e80b2edb97"/>
        <w:id w:val="1098754691"/>
        <w:placeholder>
          <w:docPart w:val="GBC22222222222222222222222222222"/>
        </w:placeholder>
      </w:sdtPr>
      <w:sdtEndPr>
        <w:rPr>
          <w:bCs/>
          <w:szCs w:val="22"/>
        </w:rPr>
      </w:sdtEndPr>
      <w:sdtContent>
        <w:p>
          <w:pPr>
            <w:pStyle w:val="501"/>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pPr>
        <w:pStyle w:val="501"/>
      </w:pPr>
    </w:p>
    <w:bookmarkEnd w:id="241"/>
    <w:p>
      <w:pPr>
        <w:rPr>
          <w:b/>
          <w:bCs/>
          <w:szCs w:val="22"/>
        </w:rPr>
      </w:pPr>
    </w:p>
    <w:p>
      <w:pPr>
        <w:rPr>
          <w:rFonts w:cstheme="minorBidi"/>
          <w:bCs/>
          <w:szCs w:val="22"/>
        </w:rPr>
      </w:pPr>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1077128060"/>
        <w:placeholder>
          <w:docPart w:val="GBC22222222222222222222222222222"/>
        </w:placeholder>
      </w:sdtPr>
      <w:sdtEndPr>
        <w:rPr>
          <w:rFonts w:cstheme="minorBidi"/>
          <w:bCs/>
          <w:szCs w:val="22"/>
        </w:rPr>
      </w:sdtEndPr>
      <w:sdtContent>
        <w:p>
          <w:pPr>
            <w:rPr>
              <w:rFonts w:cstheme="minorBidi"/>
              <w:bCs/>
              <w:szCs w:val="22"/>
            </w:rPr>
          </w:pPr>
          <w:bookmarkStart w:id="242" w:name="_Hlk154135145"/>
          <w:bookmarkStart w:id="243" w:name="_Hlk153379126"/>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pPr>
        <w:pStyle w:val="560"/>
        <w:rPr>
          <w:rFonts w:ascii="宋体" w:hAnsi="宋体" w:cs="宋体"/>
          <w:kern w:val="0"/>
          <w:szCs w:val="24"/>
        </w:rPr>
      </w:pPr>
    </w:p>
    <w:p>
      <w:pPr>
        <w:pStyle w:val="560"/>
      </w:pPr>
      <w:r>
        <w:rPr>
          <w:rFonts w:hint="eastAsia"/>
        </w:rPr>
        <w:t>对本期发生损失准备变动的合同资产账面余额显著变动的情况说明：</w:t>
      </w:r>
    </w:p>
    <w:sdt>
      <w:sdtPr>
        <w:alias w:val="是否适用：对本期发生损失准备变动的账面余额显著变动的情况说明[双击切换]"/>
        <w:tag w:val="_GBC_5d2109eaa8194f47bcc2f4bbd6c081ae"/>
        <w:id w:val="-1448162359"/>
        <w:placeholder>
          <w:docPart w:val="GBC22222222222222222222222222222"/>
        </w:placeholder>
      </w:sdt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42"/>
    <w:bookmarkEnd w:id="243"/>
    <w:p>
      <w:pPr>
        <w:rPr>
          <w:rFonts w:asciiTheme="minorHAnsi" w:hAnsiTheme="minorHAnsi" w:cstheme="minorBidi"/>
          <w:b/>
          <w:bCs/>
          <w:szCs w:val="22"/>
        </w:rPr>
      </w:pPr>
    </w:p>
    <w:bookmarkEnd w:id="240"/>
    <w:p>
      <w:pPr>
        <w:pStyle w:val="505"/>
        <w:numPr>
          <w:ilvl w:val="3"/>
          <w:numId w:val="72"/>
        </w:numPr>
        <w:ind w:left="426" w:hanging="426"/>
        <w:rPr>
          <w:szCs w:val="21"/>
        </w:rPr>
      </w:pPr>
      <w:bookmarkStart w:id="244" w:name="_Hlk533847869"/>
      <w:r>
        <w:rPr>
          <w:rFonts w:hint="eastAsia"/>
          <w:szCs w:val="21"/>
        </w:rPr>
        <w:t>本期合同资产计提坏账准备情况</w:t>
      </w:r>
    </w:p>
    <w:sdt>
      <w:sdtPr>
        <w:alias w:val="是否适用：合同资产减值准备[双击切换]"/>
        <w:tag w:val="_GBC_7a32a2cf2788460d8c760b8ac21cef48"/>
        <w:id w:val="1401482751"/>
        <w:placeholder>
          <w:docPart w:val="GBC22222222222222222222222222222"/>
        </w:placeholder>
      </w:sdt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autoSpaceDE w:val="0"/>
        <w:autoSpaceDN w:val="0"/>
        <w:adjustRightInd w:val="0"/>
        <w:ind w:right="105" w:rightChars="50"/>
      </w:pPr>
    </w:p>
    <w:p>
      <w:pPr>
        <w:pStyle w:val="531"/>
      </w:pPr>
      <w:r>
        <w:rPr>
          <w:rFonts w:hint="eastAsia"/>
        </w:rPr>
        <w:t>其中本期坏账准备收回或转回金额重要的：</w:t>
      </w:r>
    </w:p>
    <w:sdt>
      <w:sdtPr>
        <w:alias w:val="是否适用：本期坏账准备收回或转回金额重要的[双击切换]"/>
        <w:tag w:val="_GBC_40c6e5cd3d9b48fa9d8ddf51159f73e3"/>
        <w:id w:val="-920409481"/>
        <w:placeholder>
          <w:docPart w:val="GBC22222222222222222222222222222"/>
        </w:placeholder>
      </w:sdtPr>
      <w:sdtContent>
        <w:p>
          <w:pPr>
            <w:pStyle w:val="531"/>
          </w:pPr>
          <w:bookmarkStart w:id="245" w:name="_Hlk15337928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ind w:right="-1594" w:rightChars="-759"/>
      </w:pPr>
    </w:p>
    <w:p>
      <w:pPr>
        <w:pStyle w:val="505"/>
        <w:numPr>
          <w:ilvl w:val="3"/>
          <w:numId w:val="72"/>
        </w:numPr>
        <w:ind w:left="426" w:hanging="426"/>
        <w:rPr>
          <w:szCs w:val="21"/>
        </w:rPr>
      </w:pPr>
      <w:r>
        <w:rPr>
          <w:szCs w:val="21"/>
        </w:rPr>
        <w:t>本期实际核销的</w:t>
      </w:r>
      <w:r>
        <w:rPr>
          <w:rFonts w:hint="eastAsia"/>
          <w:szCs w:val="21"/>
        </w:rPr>
        <w:t>合同资产</w:t>
      </w:r>
      <w:r>
        <w:rPr>
          <w:szCs w:val="21"/>
        </w:rPr>
        <w:t>情况</w:t>
      </w:r>
    </w:p>
    <w:bookmarkEnd w:id="245"/>
    <w:sdt>
      <w:sdtPr>
        <w:alias w:val="是否适用：实际核销的情况[双击切换]"/>
        <w:tag w:val="_GBC_d2036f8632c6441bbae156d4fcc0a1bb"/>
        <w:id w:val="-229083393"/>
        <w:placeholder>
          <w:docPart w:val="GBC22222222222222222222222222222"/>
        </w:placeholder>
      </w:sdtPr>
      <w:sdtContent>
        <w:p>
          <w:pPr>
            <w:pStyle w:val="531"/>
          </w:pPr>
          <w:bookmarkStart w:id="246" w:name="_Hlk15337942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其中重要的合同资产核销情况</w:t>
      </w:r>
    </w:p>
    <w:sdt>
      <w:sdtPr>
        <w:rPr>
          <w:rFonts w:hint="eastAsia"/>
        </w:rPr>
        <w:alias w:val="是否适用：重要的核销情况[双击切换]"/>
        <w:tag w:val="_GBC_a32f8e56eb4941f98078bbae5f9968b0"/>
        <w:id w:val="1845199667"/>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合同资产核销说明：</w:t>
      </w:r>
    </w:p>
    <w:sdt>
      <w:sdtPr>
        <w:alias w:val="是否适用：核销说明[双击切换]"/>
        <w:tag w:val="_GBC_837b8448d70d489b99f47e83a77e0bef"/>
        <w:id w:val="-1896267354"/>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44"/>
    <w:p>
      <w:pPr>
        <w:pStyle w:val="501"/>
      </w:pPr>
    </w:p>
    <w:p>
      <w:pPr>
        <w:pStyle w:val="501"/>
      </w:pPr>
      <w:r>
        <w:rPr>
          <w:rFonts w:hint="eastAsia"/>
        </w:rPr>
        <w:t>其他说明：</w:t>
      </w:r>
    </w:p>
    <w:bookmarkEnd w:id="246"/>
    <w:sdt>
      <w:sdtPr>
        <w:alias w:val="是否适用：合同资产其他说明[双击切换]"/>
        <w:tag w:val="_GBC_92ce0006559b479d93e7dbde6e8efca4"/>
        <w:id w:val="-718659345"/>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4"/>
        <w:numPr>
          <w:ilvl w:val="0"/>
          <w:numId w:val="69"/>
        </w:numPr>
        <w:rPr>
          <w:szCs w:val="21"/>
        </w:rPr>
      </w:pPr>
      <w:bookmarkStart w:id="247" w:name="_Hlk24102175"/>
      <w:r>
        <w:rPr>
          <w:rFonts w:hint="eastAsia"/>
          <w:szCs w:val="21"/>
        </w:rPr>
        <w:t>应收款项融资</w:t>
      </w:r>
    </w:p>
    <w:p>
      <w:pPr>
        <w:pStyle w:val="505"/>
        <w:numPr>
          <w:ilvl w:val="0"/>
          <w:numId w:val="73"/>
        </w:numPr>
      </w:pPr>
      <w:r>
        <w:rPr>
          <w:rFonts w:hint="eastAsia"/>
        </w:rPr>
        <w:t>应收款项融资分类列示</w:t>
      </w:r>
    </w:p>
    <w:sdt>
      <w:sdtPr>
        <w:alias w:val="是否适用：应收款项融资[双击切换]"/>
        <w:tag w:val="_GBC_e38b7d767cdd4e9f8dd5f7f6ea2330da"/>
        <w:id w:val="-941749806"/>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left="420" w:right="-98"/>
        <w:jc w:val="right"/>
      </w:pPr>
      <w:r>
        <w:rPr>
          <w:rFonts w:hint="eastAsia"/>
        </w:rPr>
        <w:t xml:space="preserve">  单位：</w:t>
      </w:r>
      <w:sdt>
        <w:sdtPr>
          <w:rPr>
            <w:rFonts w:hint="eastAsia"/>
          </w:rPr>
          <w:alias w:val="单位：应收款项融资"/>
          <w:tag w:val="_GBC_718fb908b95f48ec84742dfac4338fd4"/>
          <w:id w:val="33203867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应收款项融资"/>
          <w:tag w:val="_GBC_e0c43db94ecc4e51b884c86496138ea2"/>
          <w:id w:val="-18478667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5"/>
        <w:gridCol w:w="2897"/>
        <w:gridCol w:w="2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e528ffb61e4b53acdd40b3208f06a9"/>
            <w:id w:val="-1792508568"/>
          </w:sdtPr>
          <w:sdtContent>
            <w:tc>
              <w:tcPr>
                <w:tcW w:w="1793" w:type="pct"/>
                <w:shd w:val="clear" w:color="auto" w:fill="auto"/>
                <w:vAlign w:val="center"/>
              </w:tcPr>
              <w:p>
                <w:pPr>
                  <w:jc w:val="center"/>
                </w:pPr>
                <w:bookmarkStart w:id="248" w:name="_Hlk12969247"/>
                <w:r>
                  <w:rPr>
                    <w:rFonts w:hint="eastAsia"/>
                  </w:rPr>
                  <w:t>项目</w:t>
                </w:r>
              </w:p>
            </w:tc>
          </w:sdtContent>
        </w:sdt>
        <w:sdt>
          <w:sdtPr>
            <w:tag w:val="_PLD_8d81c1822e774f6081deb29ea5466dc8"/>
            <w:id w:val="1390303630"/>
          </w:sdtPr>
          <w:sdtContent>
            <w:tc>
              <w:tcPr>
                <w:tcW w:w="1601" w:type="pct"/>
                <w:shd w:val="clear" w:color="auto" w:fill="auto"/>
                <w:vAlign w:val="center"/>
              </w:tcPr>
              <w:p>
                <w:pPr>
                  <w:autoSpaceDE w:val="0"/>
                  <w:autoSpaceDN w:val="0"/>
                  <w:adjustRightInd w:val="0"/>
                  <w:snapToGrid w:val="0"/>
                  <w:spacing w:line="240" w:lineRule="atLeast"/>
                  <w:jc w:val="center"/>
                </w:pPr>
                <w:r>
                  <w:rPr>
                    <w:rFonts w:hint="eastAsia"/>
                  </w:rPr>
                  <w:t>期末余额</w:t>
                </w:r>
              </w:p>
            </w:tc>
          </w:sdtContent>
        </w:sdt>
        <w:sdt>
          <w:sdtPr>
            <w:tag w:val="_PLD_c1ad8d0386f942b4b74733e3287ad275"/>
            <w:id w:val="-406534074"/>
          </w:sdtPr>
          <w:sdtContent>
            <w:tc>
              <w:tcPr>
                <w:tcW w:w="1606" w:type="pct"/>
                <w:shd w:val="clear" w:color="auto" w:fill="auto"/>
                <w:vAlign w:val="center"/>
              </w:tcPr>
              <w:p>
                <w:pPr>
                  <w:autoSpaceDE w:val="0"/>
                  <w:autoSpaceDN w:val="0"/>
                  <w:adjustRightInd w:val="0"/>
                  <w:snapToGrid w:val="0"/>
                  <w:spacing w:line="240" w:lineRule="atLeast"/>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pct"/>
            <w:shd w:val="clear" w:color="auto" w:fill="auto"/>
            <w:vAlign w:val="center"/>
          </w:tcPr>
          <w:p>
            <w:pPr>
              <w:autoSpaceDE w:val="0"/>
              <w:autoSpaceDN w:val="0"/>
              <w:adjustRightInd w:val="0"/>
              <w:rPr>
                <w:rFonts w:ascii="宋体" w:hAnsi="宋体"/>
              </w:rPr>
            </w:pPr>
            <w:r>
              <w:rPr>
                <w:rFonts w:hint="eastAsia" w:ascii="宋体" w:hAnsi="宋体"/>
              </w:rPr>
              <w:t>银行承兑汇票</w:t>
            </w:r>
          </w:p>
        </w:tc>
        <w:tc>
          <w:tcPr>
            <w:tcW w:w="1601" w:type="pct"/>
            <w:shd w:val="clear" w:color="auto" w:fill="auto"/>
          </w:tcPr>
          <w:p>
            <w:pPr>
              <w:jc w:val="right"/>
              <w:rPr>
                <w:rFonts w:ascii="宋体" w:hAnsi="宋体"/>
              </w:rPr>
            </w:pPr>
            <w:r>
              <w:rPr>
                <w:rFonts w:hint="eastAsia" w:ascii="宋体" w:hAnsi="宋体"/>
              </w:rPr>
              <w:t>4,670,738</w:t>
            </w:r>
          </w:p>
        </w:tc>
        <w:tc>
          <w:tcPr>
            <w:tcW w:w="1606" w:type="pct"/>
            <w:shd w:val="clear" w:color="auto" w:fill="auto"/>
          </w:tcPr>
          <w:p>
            <w:pPr>
              <w:jc w:val="right"/>
              <w:rPr>
                <w:rFonts w:ascii="宋体" w:hAnsi="宋体"/>
              </w:rPr>
            </w:pPr>
            <w:r>
              <w:rPr>
                <w:rFonts w:hint="eastAsia" w:ascii="宋体" w:hAnsi="宋体"/>
              </w:rPr>
              <w:t>4,551,436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pct"/>
            <w:shd w:val="clear" w:color="auto" w:fill="auto"/>
            <w:vAlign w:val="center"/>
          </w:tcPr>
          <w:p>
            <w:pPr>
              <w:jc w:val="center"/>
              <w:rPr>
                <w:rFonts w:ascii="宋体" w:hAnsi="宋体"/>
              </w:rPr>
            </w:pPr>
            <w:r>
              <w:rPr>
                <w:rFonts w:hint="eastAsia" w:ascii="宋体" w:hAnsi="宋体"/>
              </w:rPr>
              <w:t>合计</w:t>
            </w:r>
          </w:p>
        </w:tc>
        <w:tc>
          <w:tcPr>
            <w:tcW w:w="1601" w:type="pct"/>
            <w:shd w:val="clear" w:color="auto" w:fill="auto"/>
          </w:tcPr>
          <w:p>
            <w:pPr>
              <w:jc w:val="right"/>
              <w:rPr>
                <w:rFonts w:ascii="宋体" w:hAnsi="宋体"/>
              </w:rPr>
            </w:pPr>
            <w:r>
              <w:rPr>
                <w:rFonts w:hint="eastAsia" w:ascii="宋体" w:hAnsi="宋体"/>
              </w:rPr>
              <w:t>4,670,738</w:t>
            </w:r>
          </w:p>
        </w:tc>
        <w:tc>
          <w:tcPr>
            <w:tcW w:w="1606" w:type="pct"/>
            <w:shd w:val="clear" w:color="auto" w:fill="auto"/>
          </w:tcPr>
          <w:p>
            <w:pPr>
              <w:jc w:val="right"/>
              <w:rPr>
                <w:rFonts w:ascii="宋体" w:hAnsi="宋体"/>
              </w:rPr>
            </w:pPr>
            <w:r>
              <w:rPr>
                <w:rFonts w:hint="eastAsia" w:ascii="宋体" w:hAnsi="宋体"/>
              </w:rPr>
              <w:t>4,551,436</w:t>
            </w:r>
          </w:p>
        </w:tc>
      </w:tr>
    </w:tbl>
    <w:p>
      <w:pPr>
        <w:pStyle w:val="531"/>
      </w:pPr>
    </w:p>
    <w:p>
      <w:pPr>
        <w:pStyle w:val="505"/>
        <w:numPr>
          <w:ilvl w:val="0"/>
          <w:numId w:val="73"/>
        </w:numPr>
      </w:pPr>
      <w:r>
        <w:t>期末公司已</w:t>
      </w:r>
      <w:r>
        <w:rPr>
          <w:rFonts w:hint="eastAsia"/>
        </w:rPr>
        <w:t>质押</w:t>
      </w:r>
      <w:r>
        <w:t>的应收款项融资</w:t>
      </w:r>
    </w:p>
    <w:sdt>
      <w:sdtPr>
        <w:alias w:val="是否适用：期末公司已质押的应收款项融资[双击切换]"/>
        <w:tag w:val="_GBC_31b898cd43844d68932063bb1e6347a8"/>
        <w:id w:val="-210486294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期末公司已质押的应收款项融资"/>
          <w:tag w:val="_GBC_9e6b3fd4af074660a7fbfec2b5551544"/>
          <w:id w:val="190672344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期末公司已质押的应收款项融资"/>
          <w:tag w:val="_GBC_89090210038149448272d1e532edc47b"/>
          <w:id w:val="-14426842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9"/>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56e5861318574eb9b63389d46eca70c6"/>
            <w:id w:val="-425881666"/>
          </w:sdtPr>
          <w:sdtEndPr>
            <w:rPr>
              <w:rFonts w:hint="eastAsia"/>
            </w:rPr>
          </w:sdtEndPr>
          <w:sdtContent>
            <w:tc>
              <w:tcPr>
                <w:tcW w:w="2425" w:type="pct"/>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pPr>
                <w:r>
                  <w:rPr>
                    <w:rFonts w:hint="eastAsia"/>
                  </w:rPr>
                  <w:t>项目</w:t>
                </w:r>
              </w:p>
            </w:tc>
          </w:sdtContent>
        </w:sdt>
        <w:sdt>
          <w:sdtPr>
            <w:rPr>
              <w:rFonts w:hint="eastAsia"/>
            </w:rPr>
            <w:tag w:val="_PLD_904d0f9cc8304fb883685e2968d4b686"/>
            <w:id w:val="-930117359"/>
          </w:sdtPr>
          <w:sdtEndPr>
            <w:rPr>
              <w:rFonts w:hint="eastAsia"/>
            </w:rPr>
          </w:sdtEndPr>
          <w:sdtContent>
            <w:tc>
              <w:tcPr>
                <w:tcW w:w="2575" w:type="pct"/>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pPr>
                <w:r>
                  <w:rPr>
                    <w:rFonts w:hint="eastAsia"/>
                  </w:rPr>
                  <w:t>期末已质押金额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pct"/>
            <w:tcBorders>
              <w:top w:val="single" w:color="auto" w:sz="4" w:space="0"/>
              <w:left w:val="single" w:color="auto" w:sz="4" w:space="0"/>
              <w:bottom w:val="single" w:color="auto" w:sz="4" w:space="0"/>
              <w:right w:val="single" w:color="auto" w:sz="4" w:space="0"/>
            </w:tcBorders>
            <w:vAlign w:val="center"/>
          </w:tcPr>
          <w:p>
            <w:pPr>
              <w:snapToGrid w:val="0"/>
              <w:spacing w:line="240" w:lineRule="atLeast"/>
              <w:rPr>
                <w:rFonts w:ascii="宋体" w:hAnsi="宋体"/>
              </w:rPr>
            </w:pPr>
            <w:r>
              <w:rPr>
                <w:rFonts w:hint="eastAsia" w:ascii="宋体" w:hAnsi="宋体"/>
              </w:rPr>
              <w:t>银行承兑汇票</w:t>
            </w:r>
          </w:p>
        </w:tc>
        <w:tc>
          <w:tcPr>
            <w:tcW w:w="2575" w:type="pct"/>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right"/>
              <w:rPr>
                <w:rFonts w:ascii="宋体" w:hAnsi="宋体"/>
              </w:rPr>
            </w:pPr>
            <w:r>
              <w:rPr>
                <w:rFonts w:hint="eastAsia" w:ascii="宋体" w:hAnsi="宋体"/>
              </w:rPr>
              <w:t>1,594,647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合计</w:t>
            </w:r>
          </w:p>
        </w:tc>
        <w:tc>
          <w:tcPr>
            <w:tcW w:w="25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1,594,647</w:t>
            </w:r>
          </w:p>
        </w:tc>
      </w:tr>
    </w:tbl>
    <w:p>
      <w:pPr>
        <w:pStyle w:val="501"/>
      </w:pPr>
    </w:p>
    <w:p>
      <w:pPr>
        <w:pStyle w:val="505"/>
        <w:numPr>
          <w:ilvl w:val="0"/>
          <w:numId w:val="73"/>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1116294148"/>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期末公司已背书或贴现且在资产负债表日尚未到期的应收款项融资"/>
          <w:tag w:val="_GBC_93228107c43a481da9506f790cd8af92"/>
          <w:id w:val="48350832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期末公司已背书或贴现且在资产负债表日尚未到期的应收款项融资"/>
          <w:tag w:val="_GBC_321f16b9d20241dd9a8da269a46b1e36"/>
          <w:id w:val="-18253477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3050"/>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33b7f0ccb35e48099a6f7696604b4e21"/>
            <w:id w:val="-2044740708"/>
          </w:sdtPr>
          <w:sdtEndPr>
            <w:rPr>
              <w:rFonts w:hint="eastAsia"/>
            </w:rPr>
          </w:sdtEndPr>
          <w:sdtContent>
            <w:tc>
              <w:tcPr>
                <w:tcW w:w="2877" w:type="dxa"/>
                <w:shd w:val="clear" w:color="auto" w:fill="auto"/>
                <w:vAlign w:val="center"/>
              </w:tcPr>
              <w:p>
                <w:pPr>
                  <w:jc w:val="center"/>
                </w:pPr>
                <w:r>
                  <w:rPr>
                    <w:rFonts w:hint="eastAsia"/>
                  </w:rPr>
                  <w:t>项目</w:t>
                </w:r>
              </w:p>
            </w:tc>
          </w:sdtContent>
        </w:sdt>
        <w:sdt>
          <w:sdtPr>
            <w:rPr>
              <w:rFonts w:hint="eastAsia"/>
            </w:rPr>
            <w:tag w:val="_PLD_149743054c254feca84017182a25be7d"/>
            <w:id w:val="-1310478738"/>
          </w:sdtPr>
          <w:sdtEndPr>
            <w:rPr>
              <w:rFonts w:hint="eastAsia"/>
            </w:rPr>
          </w:sdtEndPr>
          <w:sdtContent>
            <w:tc>
              <w:tcPr>
                <w:tcW w:w="3050" w:type="dxa"/>
                <w:shd w:val="clear" w:color="auto" w:fill="auto"/>
                <w:vAlign w:val="center"/>
              </w:tcPr>
              <w:p>
                <w:pPr>
                  <w:jc w:val="center"/>
                </w:pPr>
                <w:r>
                  <w:rPr>
                    <w:rFonts w:hint="eastAsia"/>
                  </w:rPr>
                  <w:t>期末终止确认金额</w:t>
                </w:r>
              </w:p>
            </w:tc>
          </w:sdtContent>
        </w:sdt>
        <w:sdt>
          <w:sdtPr>
            <w:rPr>
              <w:rFonts w:hint="eastAsia"/>
            </w:rPr>
            <w:tag w:val="_PLD_9f59617eec3d4ee4b21512d75b778f97"/>
            <w:id w:val="442811008"/>
          </w:sdtPr>
          <w:sdtEndPr>
            <w:rPr>
              <w:rFonts w:hint="eastAsia"/>
            </w:rPr>
          </w:sdtEndPr>
          <w:sdtContent>
            <w:tc>
              <w:tcPr>
                <w:tcW w:w="3122" w:type="dxa"/>
                <w:shd w:val="clear" w:color="auto" w:fill="auto"/>
                <w:vAlign w:val="center"/>
              </w:tcPr>
              <w:p>
                <w:pPr>
                  <w:jc w:val="center"/>
                </w:pPr>
                <w:r>
                  <w:rPr>
                    <w:rFonts w:hint="eastAsia"/>
                  </w:rPr>
                  <w:t>期末未终止确认金额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shd w:val="clear" w:color="auto" w:fill="auto"/>
            <w:vAlign w:val="center"/>
          </w:tcPr>
          <w:p>
            <w:pPr>
              <w:rPr>
                <w:rFonts w:ascii="宋体" w:hAnsi="宋体"/>
              </w:rPr>
            </w:pPr>
            <w:r>
              <w:rPr>
                <w:rFonts w:hint="eastAsia" w:ascii="宋体" w:hAnsi="宋体"/>
              </w:rPr>
              <w:t>银行承兑汇票</w:t>
            </w:r>
          </w:p>
        </w:tc>
        <w:tc>
          <w:tcPr>
            <w:tcW w:w="3050" w:type="dxa"/>
            <w:shd w:val="clear" w:color="auto" w:fill="auto"/>
          </w:tcPr>
          <w:p>
            <w:pPr>
              <w:jc w:val="right"/>
              <w:rPr>
                <w:rFonts w:ascii="宋体" w:hAnsi="宋体"/>
              </w:rPr>
            </w:pPr>
            <w:r>
              <w:rPr>
                <w:rFonts w:hint="eastAsia" w:ascii="宋体" w:hAnsi="宋体"/>
              </w:rPr>
              <w:t>2,858,076</w:t>
            </w:r>
          </w:p>
        </w:tc>
        <w:tc>
          <w:tcPr>
            <w:tcW w:w="3122" w:type="dxa"/>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shd w:val="clear" w:color="auto" w:fill="auto"/>
            <w:vAlign w:val="center"/>
          </w:tcPr>
          <w:p>
            <w:pPr>
              <w:jc w:val="center"/>
              <w:rPr>
                <w:rFonts w:ascii="宋体" w:hAnsi="宋体"/>
              </w:rPr>
            </w:pPr>
            <w:r>
              <w:rPr>
                <w:rFonts w:hint="eastAsia" w:ascii="宋体" w:hAnsi="宋体"/>
              </w:rPr>
              <w:t>合计</w:t>
            </w:r>
          </w:p>
        </w:tc>
        <w:tc>
          <w:tcPr>
            <w:tcW w:w="3050" w:type="dxa"/>
            <w:shd w:val="clear" w:color="auto" w:fill="auto"/>
          </w:tcPr>
          <w:p>
            <w:pPr>
              <w:jc w:val="right"/>
              <w:rPr>
                <w:rFonts w:ascii="宋体" w:hAnsi="宋体"/>
              </w:rPr>
            </w:pPr>
            <w:r>
              <w:rPr>
                <w:rFonts w:hint="eastAsia" w:ascii="宋体" w:hAnsi="宋体"/>
                <w:bCs/>
              </w:rPr>
              <w:t>2,858,076</w:t>
            </w:r>
          </w:p>
        </w:tc>
        <w:tc>
          <w:tcPr>
            <w:tcW w:w="3122" w:type="dxa"/>
            <w:shd w:val="clear" w:color="auto" w:fill="auto"/>
          </w:tcPr>
          <w:p>
            <w:pPr>
              <w:jc w:val="right"/>
            </w:pPr>
          </w:p>
        </w:tc>
      </w:tr>
    </w:tbl>
    <w:p>
      <w:pPr>
        <w:pStyle w:val="501"/>
      </w:pPr>
    </w:p>
    <w:p>
      <w:pPr>
        <w:pStyle w:val="505"/>
        <w:numPr>
          <w:ilvl w:val="0"/>
          <w:numId w:val="73"/>
        </w:numPr>
      </w:pPr>
      <w:r>
        <w:rPr>
          <w:rFonts w:hint="eastAsia"/>
        </w:rPr>
        <w:t>按</w:t>
      </w:r>
      <w:r>
        <w:t>坏账计提方法分类披露</w:t>
      </w:r>
    </w:p>
    <w:sdt>
      <w:sdtPr>
        <w:alias w:val="是否适用：按坏账计提方法分类披露[双击切换]"/>
        <w:tag w:val="_GBC_bb62f97adc6849f2b3d956a701e7fa7d"/>
        <w:id w:val="179177794"/>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按坏账计提方法分类披露"/>
          <w:tag w:val="_GBC_afce95625fb54d649db4504416f97993"/>
          <w:id w:val="175431562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按坏账计提方法分类披露"/>
          <w:tag w:val="_GBC_91522fb58fac49f98a70383ae037ccb1"/>
          <w:id w:val="5553512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166"/>
        <w:gridCol w:w="574"/>
        <w:gridCol w:w="571"/>
        <w:gridCol w:w="592"/>
        <w:gridCol w:w="1166"/>
        <w:gridCol w:w="972"/>
        <w:gridCol w:w="593"/>
        <w:gridCol w:w="637"/>
        <w:gridCol w:w="57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blHeader/>
        </w:trPr>
        <w:sdt>
          <w:sdtPr>
            <w:rPr>
              <w:rFonts w:hint="eastAsia" w:ascii="宋体" w:hAnsi="宋体"/>
            </w:rPr>
            <w:tag w:val="_PLD_f68e676fc6a84daca677728fb4846d5c"/>
            <w:id w:val="1885830474"/>
          </w:sdtPr>
          <w:sdtEndPr>
            <w:rPr>
              <w:rFonts w:hint="eastAsia" w:ascii="宋体" w:hAnsi="宋体"/>
            </w:rPr>
          </w:sdtEndPr>
          <w:sdtContent>
            <w:tc>
              <w:tcPr>
                <w:tcW w:w="716" w:type="pct"/>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类别</w:t>
                </w:r>
              </w:p>
            </w:tc>
          </w:sdtContent>
        </w:sdt>
        <w:sdt>
          <w:sdtPr>
            <w:rPr>
              <w:rFonts w:hint="eastAsia" w:ascii="宋体" w:hAnsi="宋体"/>
            </w:rPr>
            <w:tag w:val="_PLD_7526fe6d315d4e1792a06a3a20f7c8a7"/>
            <w:id w:val="-407460417"/>
          </w:sdtPr>
          <w:sdtEndPr>
            <w:rPr>
              <w:rFonts w:hint="eastAsia" w:ascii="宋体" w:hAnsi="宋体"/>
            </w:rPr>
          </w:sdtEndPr>
          <w:sdtContent>
            <w:tc>
              <w:tcPr>
                <w:tcW w:w="2441"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期末余额</w:t>
                </w:r>
              </w:p>
            </w:tc>
          </w:sdtContent>
        </w:sdt>
        <w:sdt>
          <w:sdtPr>
            <w:rPr>
              <w:rFonts w:hint="eastAsia" w:ascii="宋体" w:hAnsi="宋体"/>
            </w:rPr>
            <w:tag w:val="_PLD_ad93e5a9447e498e88df26e20997a4fa"/>
            <w:id w:val="-487319572"/>
          </w:sdtPr>
          <w:sdtEndPr>
            <w:rPr>
              <w:rFonts w:hint="eastAsia" w:ascii="宋体" w:hAnsi="宋体"/>
            </w:rPr>
          </w:sdtEndPr>
          <w:sdtContent>
            <w:tc>
              <w:tcPr>
                <w:tcW w:w="1842"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blHeader/>
        </w:trPr>
        <w:tc>
          <w:tcPr>
            <w:tcW w:w="716" w:type="pct"/>
            <w:vMerge w:val="continue"/>
            <w:tcBorders>
              <w:left w:val="single" w:color="auto" w:sz="4" w:space="0"/>
              <w:right w:val="single" w:color="auto" w:sz="4" w:space="0"/>
            </w:tcBorders>
            <w:vAlign w:val="center"/>
          </w:tcPr>
          <w:p>
            <w:pPr>
              <w:rPr>
                <w:rFonts w:ascii="宋体" w:hAnsi="宋体"/>
              </w:rPr>
            </w:pPr>
          </w:p>
        </w:tc>
        <w:sdt>
          <w:sdtPr>
            <w:rPr>
              <w:rFonts w:hint="eastAsia" w:ascii="宋体" w:hAnsi="宋体"/>
            </w:rPr>
            <w:tag w:val="_PLD_efeb6e8fd2c848db89000a127165017d"/>
            <w:id w:val="301049469"/>
          </w:sdtPr>
          <w:sdtEndPr>
            <w:rPr>
              <w:rFonts w:hint="eastAsia" w:ascii="宋体" w:hAnsi="宋体"/>
            </w:rPr>
          </w:sdtEndPr>
          <w:sdtContent>
            <w:tc>
              <w:tcPr>
                <w:tcW w:w="103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hint="eastAsia" w:ascii="宋体" w:hAnsi="宋体"/>
            </w:rPr>
            <w:tag w:val="_PLD_074820a140e444569b9c31ba456d445d"/>
            <w:id w:val="1711376219"/>
          </w:sdtPr>
          <w:sdtEndPr>
            <w:rPr>
              <w:rFonts w:hint="eastAsia" w:ascii="宋体" w:hAnsi="宋体"/>
            </w:rPr>
          </w:sdtEndPr>
          <w:sdtContent>
            <w:tc>
              <w:tcPr>
                <w:tcW w:w="71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hint="eastAsia" w:ascii="宋体" w:hAnsi="宋体"/>
            </w:rPr>
            <w:tag w:val="_PLD_0e73feade6b64ffea4c07ceb4c74c990"/>
            <w:id w:val="477659986"/>
          </w:sdtPr>
          <w:sdtEndPr>
            <w:rPr>
              <w:rFonts w:hint="eastAsia" w:ascii="宋体" w:hAnsi="宋体"/>
            </w:rPr>
          </w:sdtEndPr>
          <w:sdtContent>
            <w:tc>
              <w:tcPr>
                <w:tcW w:w="683" w:type="pct"/>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sdt>
          <w:sdtPr>
            <w:rPr>
              <w:rFonts w:hint="eastAsia" w:ascii="宋体" w:hAnsi="宋体"/>
            </w:rPr>
            <w:tag w:val="_PLD_b0785464053b4ca089cada115404fd73"/>
            <w:id w:val="1227409926"/>
          </w:sdtPr>
          <w:sdtEndPr>
            <w:rPr>
              <w:rFonts w:hint="eastAsia" w:ascii="宋体" w:hAnsi="宋体"/>
            </w:rPr>
          </w:sdtEndPr>
          <w:sdtContent>
            <w:tc>
              <w:tcPr>
                <w:tcW w:w="742" w:type="pct"/>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hint="eastAsia" w:ascii="宋体" w:hAnsi="宋体"/>
            </w:rPr>
            <w:tag w:val="_PLD_88d1fec2235e4be89a414fbcacbf61e6"/>
            <w:id w:val="-1609655183"/>
          </w:sdtPr>
          <w:sdtEndPr>
            <w:rPr>
              <w:rFonts w:hint="eastAsia" w:ascii="宋体" w:hAnsi="宋体"/>
            </w:rPr>
          </w:sdtEndPr>
          <w:sdtContent>
            <w:tc>
              <w:tcPr>
                <w:tcW w:w="748" w:type="pct"/>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hint="eastAsia" w:ascii="宋体" w:hAnsi="宋体"/>
            </w:rPr>
            <w:tag w:val="_PLD_b24eaddf2f8b49b5875ad2ce73e5a025"/>
            <w:id w:val="8270425"/>
          </w:sdtPr>
          <w:sdtEndPr>
            <w:rPr>
              <w:rFonts w:hint="eastAsia" w:ascii="宋体" w:hAnsi="宋体"/>
            </w:rPr>
          </w:sdtEndPr>
          <w:sdtContent>
            <w:tc>
              <w:tcPr>
                <w:tcW w:w="352" w:type="pct"/>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blHeader/>
        </w:trPr>
        <w:tc>
          <w:tcPr>
            <w:tcW w:w="716" w:type="pct"/>
            <w:vMerge w:val="continue"/>
            <w:tcBorders>
              <w:left w:val="single" w:color="auto" w:sz="4" w:space="0"/>
              <w:bottom w:val="single" w:color="auto" w:sz="4" w:space="0"/>
              <w:right w:val="single" w:color="auto" w:sz="4" w:space="0"/>
            </w:tcBorders>
            <w:vAlign w:val="center"/>
          </w:tcPr>
          <w:p>
            <w:pPr>
              <w:rPr>
                <w:rFonts w:ascii="宋体" w:hAnsi="宋体"/>
              </w:rPr>
            </w:pPr>
          </w:p>
        </w:tc>
        <w:sdt>
          <w:sdtPr>
            <w:rPr>
              <w:rFonts w:hint="eastAsia" w:ascii="宋体" w:hAnsi="宋体"/>
            </w:rPr>
            <w:tag w:val="_PLD_017bf1092d274948bd3994b9813f4dc6"/>
            <w:id w:val="-1107190147"/>
          </w:sdtPr>
          <w:sdtEndPr>
            <w:rPr>
              <w:rFonts w:hint="eastAsia" w:ascii="宋体" w:hAnsi="宋体"/>
            </w:rPr>
          </w:sdtEndPr>
          <w:sdtContent>
            <w:tc>
              <w:tcPr>
                <w:tcW w:w="683"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hint="eastAsia" w:ascii="宋体" w:hAnsi="宋体"/>
            </w:rPr>
            <w:tag w:val="_PLD_d625eb5473464b418050d8c82a2ce675"/>
            <w:id w:val="1891998699"/>
          </w:sdtPr>
          <w:sdtEndPr>
            <w:rPr>
              <w:rFonts w:hint="default" w:ascii="宋体" w:hAnsi="宋体"/>
            </w:rPr>
          </w:sdtEndPr>
          <w:sdtContent>
            <w:tc>
              <w:tcPr>
                <w:tcW w:w="355"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hint="eastAsia" w:ascii="宋体" w:hAnsi="宋体"/>
            </w:rPr>
            <w:tag w:val="_PLD_b3e0f0b758214e84b36b1fb05394d2a6"/>
            <w:id w:val="-477070872"/>
          </w:sdtPr>
          <w:sdtEndPr>
            <w:rPr>
              <w:rFonts w:hint="eastAsia" w:ascii="宋体" w:hAnsi="宋体"/>
            </w:rPr>
          </w:sdtEndPr>
          <w:sdtContent>
            <w:tc>
              <w:tcPr>
                <w:tcW w:w="354"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hint="eastAsia" w:ascii="宋体" w:hAnsi="宋体"/>
            </w:rPr>
            <w:tag w:val="_PLD_2d4a63a9e2d842b98c030b4de75fda81"/>
            <w:id w:val="621502219"/>
          </w:sdtPr>
          <w:sdtEndPr>
            <w:rPr>
              <w:rFonts w:hint="default" w:ascii="宋体" w:hAnsi="宋体"/>
            </w:rPr>
          </w:sdtEndPr>
          <w:sdtContent>
            <w:tc>
              <w:tcPr>
                <w:tcW w:w="366"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683" w:type="pct"/>
            <w:vMerge w:val="continue"/>
            <w:tcBorders>
              <w:left w:val="single" w:color="auto" w:sz="4" w:space="0"/>
              <w:bottom w:val="single" w:color="auto" w:sz="4" w:space="0"/>
              <w:right w:val="single" w:color="auto" w:sz="4" w:space="0"/>
            </w:tcBorders>
            <w:vAlign w:val="center"/>
          </w:tcPr>
          <w:p>
            <w:pPr>
              <w:jc w:val="center"/>
              <w:rPr>
                <w:rFonts w:ascii="宋体" w:hAnsi="宋体"/>
              </w:rPr>
            </w:pPr>
          </w:p>
        </w:tc>
        <w:sdt>
          <w:sdtPr>
            <w:rPr>
              <w:rFonts w:hint="eastAsia" w:ascii="宋体" w:hAnsi="宋体"/>
            </w:rPr>
            <w:tag w:val="_PLD_6ca5b2e0e4244969b5d3b6e1d2038e49"/>
            <w:id w:val="1866242847"/>
          </w:sdtPr>
          <w:sdtEndPr>
            <w:rPr>
              <w:rFonts w:hint="eastAsia" w:ascii="宋体" w:hAnsi="宋体"/>
            </w:rPr>
          </w:sdtEndPr>
          <w:sdtContent>
            <w:tc>
              <w:tcPr>
                <w:tcW w:w="376"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hint="eastAsia" w:ascii="宋体" w:hAnsi="宋体"/>
            </w:rPr>
            <w:tag w:val="_PLD_95988aa897a0485bac7b4f6f07505308"/>
            <w:id w:val="1180012679"/>
          </w:sdtPr>
          <w:sdtEndPr>
            <w:rPr>
              <w:rFonts w:hint="default" w:ascii="宋体" w:hAnsi="宋体"/>
            </w:rPr>
          </w:sdtEndPr>
          <w:sdtContent>
            <w:tc>
              <w:tcPr>
                <w:tcW w:w="366"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hint="eastAsia" w:ascii="宋体" w:hAnsi="宋体"/>
            </w:rPr>
            <w:tag w:val="_PLD_74ee8f5e539042c8944a895be658983f"/>
            <w:id w:val="-436684876"/>
          </w:sdtPr>
          <w:sdtEndPr>
            <w:rPr>
              <w:rFonts w:hint="eastAsia" w:ascii="宋体" w:hAnsi="宋体"/>
            </w:rPr>
          </w:sdtEndPr>
          <w:sdtContent>
            <w:tc>
              <w:tcPr>
                <w:tcW w:w="374"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hint="eastAsia" w:ascii="宋体" w:hAnsi="宋体"/>
            </w:rPr>
            <w:tag w:val="_PLD_5968b7c1fceb4e109559c839ec045cc3"/>
            <w:id w:val="-768311834"/>
          </w:sdtPr>
          <w:sdtEndPr>
            <w:rPr>
              <w:rFonts w:hint="default" w:ascii="宋体" w:hAnsi="宋体"/>
            </w:rPr>
          </w:sdtEndPr>
          <w:sdtContent>
            <w:tc>
              <w:tcPr>
                <w:tcW w:w="374" w:type="pct"/>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352" w:type="pct"/>
            <w:vMerge w:val="continue"/>
            <w:tcBorders>
              <w:left w:val="single" w:color="auto" w:sz="4" w:space="0"/>
              <w:bottom w:val="single" w:color="auto" w:sz="4" w:space="0"/>
              <w:right w:val="single" w:color="auto" w:sz="4" w:space="0"/>
            </w:tcBorders>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6"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按单项计提坏账准备</w:t>
            </w:r>
          </w:p>
        </w:tc>
        <w:tc>
          <w:tcPr>
            <w:tcW w:w="683"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55"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54" w:type="pct"/>
            <w:tcBorders>
              <w:top w:val="single" w:color="auto" w:sz="4" w:space="0"/>
              <w:left w:val="single" w:color="auto" w:sz="4" w:space="0"/>
              <w:bottom w:val="single" w:color="auto" w:sz="4" w:space="0"/>
              <w:right w:val="single" w:color="auto" w:sz="4" w:space="0"/>
            </w:tcBorders>
          </w:tcPr>
          <w:p>
            <w:pPr>
              <w:rPr>
                <w:rFonts w:ascii="宋体" w:hAnsi="宋体"/>
              </w:rPr>
            </w:pPr>
          </w:p>
        </w:tc>
        <w:tc>
          <w:tcPr>
            <w:tcW w:w="366"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683"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76"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66"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74"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74"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c>
          <w:tcPr>
            <w:tcW w:w="352" w:type="pct"/>
            <w:tcBorders>
              <w:top w:val="single" w:color="auto" w:sz="4" w:space="0"/>
              <w:left w:val="single" w:color="auto" w:sz="4" w:space="0"/>
              <w:bottom w:val="single" w:color="auto" w:sz="4" w:space="0"/>
              <w:right w:val="single" w:color="auto" w:sz="4" w:space="0"/>
            </w:tcBorders>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6"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按组合计提坏账准备</w:t>
            </w: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hint="eastAsia" w:ascii="宋体" w:hAnsi="宋体"/>
                <w:w w:val="80"/>
              </w:rPr>
              <w:t>4,670,738</w:t>
            </w:r>
          </w:p>
        </w:tc>
        <w:tc>
          <w:tcPr>
            <w:tcW w:w="35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hint="eastAsia" w:ascii="宋体" w:hAnsi="宋体"/>
                <w:w w:val="80"/>
              </w:rPr>
              <w:t>100</w:t>
            </w:r>
          </w:p>
        </w:tc>
        <w:tc>
          <w:tcPr>
            <w:tcW w:w="35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hint="eastAsia" w:ascii="宋体" w:hAnsi="宋体"/>
                <w:w w:val="80"/>
              </w:rPr>
              <w:t>4,670,738</w:t>
            </w:r>
          </w:p>
        </w:tc>
        <w:tc>
          <w:tcPr>
            <w:tcW w:w="37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hint="eastAsia" w:ascii="宋体" w:hAnsi="宋体"/>
                <w:w w:val="80"/>
              </w:rPr>
              <w:t>4,552,780</w:t>
            </w: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hint="eastAsia" w:ascii="宋体" w:hAnsi="宋体"/>
                <w:w w:val="80"/>
              </w:rPr>
              <w:t>100</w:t>
            </w:r>
          </w:p>
        </w:tc>
        <w:tc>
          <w:tcPr>
            <w:tcW w:w="37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hint="eastAsia" w:ascii="宋体" w:hAnsi="宋体"/>
                <w:w w:val="80"/>
              </w:rPr>
              <w:t>1,344</w:t>
            </w:r>
          </w:p>
        </w:tc>
        <w:tc>
          <w:tcPr>
            <w:tcW w:w="37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p>
        </w:tc>
        <w:tc>
          <w:tcPr>
            <w:tcW w:w="35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hint="eastAsia" w:ascii="宋体" w:hAnsi="宋体"/>
                <w:w w:val="80"/>
              </w:rPr>
              <w:t>4,551,436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rPr>
              <w:t>合计</w:t>
            </w:r>
          </w:p>
        </w:tc>
        <w:tc>
          <w:tcPr>
            <w:tcW w:w="683" w:type="pct"/>
            <w:tcBorders>
              <w:top w:val="single" w:color="auto" w:sz="4" w:space="0"/>
              <w:left w:val="single" w:color="auto" w:sz="4" w:space="0"/>
              <w:bottom w:val="single" w:color="auto" w:sz="4" w:space="0"/>
              <w:right w:val="single" w:color="auto" w:sz="4" w:space="0"/>
            </w:tcBorders>
          </w:tcPr>
          <w:p>
            <w:pPr>
              <w:jc w:val="right"/>
              <w:rPr>
                <w:rFonts w:ascii="宋体" w:hAnsi="宋体"/>
                <w:w w:val="80"/>
              </w:rPr>
            </w:pPr>
            <w:r>
              <w:rPr>
                <w:rFonts w:ascii="宋体" w:hAnsi="宋体"/>
                <w:w w:val="80"/>
              </w:rPr>
              <w:t>4,670,738</w:t>
            </w:r>
          </w:p>
        </w:tc>
        <w:tc>
          <w:tcPr>
            <w:tcW w:w="35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ascii="宋体" w:hAnsi="宋体"/>
                <w:w w:val="80"/>
              </w:rPr>
              <w:t>100</w:t>
            </w:r>
          </w:p>
        </w:tc>
        <w:tc>
          <w:tcPr>
            <w:tcW w:w="35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ascii="宋体" w:hAnsi="宋体"/>
                <w:w w:val="80"/>
              </w:rPr>
              <w:t>4,670,738</w:t>
            </w:r>
          </w:p>
        </w:tc>
        <w:tc>
          <w:tcPr>
            <w:tcW w:w="37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ascii="宋体" w:hAnsi="宋体"/>
                <w:w w:val="80"/>
              </w:rPr>
              <w:t>4,552,780</w:t>
            </w: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ascii="宋体" w:hAnsi="宋体"/>
                <w:w w:val="80"/>
              </w:rPr>
              <w:t>100</w:t>
            </w:r>
          </w:p>
        </w:tc>
        <w:tc>
          <w:tcPr>
            <w:tcW w:w="37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r>
              <w:rPr>
                <w:rFonts w:ascii="宋体" w:hAnsi="宋体"/>
                <w:w w:val="80"/>
              </w:rPr>
              <w:t>1,344</w:t>
            </w:r>
          </w:p>
        </w:tc>
        <w:tc>
          <w:tcPr>
            <w:tcW w:w="37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w w:val="80"/>
              </w:rPr>
            </w:pPr>
          </w:p>
        </w:tc>
        <w:tc>
          <w:tcPr>
            <w:tcW w:w="352" w:type="pct"/>
            <w:tcBorders>
              <w:top w:val="single" w:color="auto" w:sz="4" w:space="0"/>
              <w:left w:val="single" w:color="auto" w:sz="4" w:space="0"/>
              <w:bottom w:val="single" w:color="auto" w:sz="4" w:space="0"/>
              <w:right w:val="single" w:color="auto" w:sz="4" w:space="0"/>
            </w:tcBorders>
          </w:tcPr>
          <w:p>
            <w:pPr>
              <w:jc w:val="right"/>
              <w:rPr>
                <w:rFonts w:ascii="宋体" w:hAnsi="宋体"/>
                <w:w w:val="80"/>
              </w:rPr>
            </w:pPr>
            <w:r>
              <w:rPr>
                <w:rFonts w:ascii="宋体" w:hAnsi="宋体"/>
                <w:w w:val="80"/>
              </w:rPr>
              <w:t>4,551,436</w:t>
            </w:r>
          </w:p>
        </w:tc>
      </w:tr>
    </w:tbl>
    <w:p>
      <w:pPr>
        <w:pStyle w:val="531"/>
      </w:pPr>
    </w:p>
    <w:p>
      <w:pPr>
        <w:pStyle w:val="531"/>
      </w:pPr>
      <w:r>
        <w:rPr>
          <w:rFonts w:hint="eastAsia"/>
        </w:rPr>
        <w:t>按单项计提坏账准备：</w:t>
      </w:r>
    </w:p>
    <w:sdt>
      <w:sdtPr>
        <w:alias w:val="是否适用：按单项计提坏账准备的详细情况[双击切换]"/>
        <w:tag w:val="_GBC_65f67a26c8854813ab351f644b5cb549"/>
        <w:id w:val="1324166619"/>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按单项计提坏账准备的说明：</w:t>
      </w:r>
    </w:p>
    <w:sdt>
      <w:sdtPr>
        <w:alias w:val="是否适用：按单项计提坏账准备的说明[双击切换]"/>
        <w:tag w:val="_GBC_d2e6ec1c09f24f3f8d01b46d2d307db0"/>
        <w:id w:val="1897770498"/>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rPr>
          <w:bCs/>
          <w:szCs w:val="22"/>
        </w:rPr>
      </w:pPr>
      <w:r>
        <w:rPr>
          <w:rFonts w:hint="eastAsia"/>
          <w:bCs/>
          <w:szCs w:val="22"/>
        </w:rPr>
        <w:t>按组合计提坏账准备：</w:t>
      </w:r>
    </w:p>
    <w:sdt>
      <w:sdtPr>
        <w:rPr>
          <w:bCs/>
          <w:szCs w:val="22"/>
        </w:rPr>
        <w:alias w:val="是否适用：按组合计提坏账准备的详细情况[双击切换]"/>
        <w:tag w:val="_GBC_8f072c0ad15941d789bf25455711e72b"/>
        <w:id w:val="-224373631"/>
        <w:placeholder>
          <w:docPart w:val="GBC22222222222222222222222222222"/>
        </w:placeholder>
      </w:sdtPr>
      <w:sdtEndPr>
        <w:rPr>
          <w:bCs/>
          <w:szCs w:val="22"/>
        </w:rPr>
      </w:sdtEndPr>
      <w:sdtContent>
        <w:p>
          <w:pPr>
            <w:rPr>
              <w:bCs/>
              <w:szCs w:val="22"/>
            </w:rPr>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pPr>
        <w:autoSpaceDE w:val="0"/>
        <w:autoSpaceDN w:val="0"/>
        <w:adjustRightInd w:val="0"/>
        <w:ind w:left="5880" w:right="105"/>
        <w:jc w:val="right"/>
      </w:pPr>
      <w:r>
        <w:rPr>
          <w:rFonts w:hint="eastAsia"/>
        </w:rPr>
        <w:t>单位：</w:t>
      </w:r>
      <w:sdt>
        <w:sdtPr>
          <w:rPr>
            <w:rFonts w:hint="eastAsia"/>
          </w:rPr>
          <w:alias w:val="单位：按组合计提坏账准备的详细名称"/>
          <w:tag w:val="_GBC_889504a043144b428772a702c63d1a40"/>
          <w:id w:val="10729298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按组合计提坏账准备的详细名称"/>
          <w:tag w:val="_GBC_17575c5933d34182a84d747051e18fd9"/>
          <w:id w:val="-17444038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t xml:space="preserve"> </w:t>
      </w:r>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hint="eastAsia"/>
            </w:rPr>
            <w:tag w:val="_PLD_df77350dbf4b462ca67057822480c2a2"/>
            <w:id w:val="943503784"/>
          </w:sdtPr>
          <w:sdtEndPr>
            <w:rPr>
              <w:rFonts w:hint="eastAsia"/>
            </w:rPr>
          </w:sdtEndPr>
          <w:sdtContent>
            <w:tc>
              <w:tcPr>
                <w:tcW w:w="1158" w:type="pct"/>
                <w:vMerge w:val="restart"/>
                <w:vAlign w:val="center"/>
              </w:tcPr>
              <w:p>
                <w:pPr>
                  <w:jc w:val="center"/>
                </w:pPr>
                <w:r>
                  <w:rPr>
                    <w:rFonts w:hint="eastAsia"/>
                  </w:rPr>
                  <w:t>名称</w:t>
                </w:r>
              </w:p>
            </w:tc>
          </w:sdtContent>
        </w:sdt>
        <w:sdt>
          <w:sdtPr>
            <w:rPr>
              <w:rFonts w:hint="eastAsia"/>
            </w:rPr>
            <w:tag w:val="_PLD_34ce67e65f51440a98001e760a59ae68"/>
            <w:id w:val="-1262838930"/>
          </w:sdtPr>
          <w:sdtEndPr>
            <w:rPr>
              <w:rFonts w:hint="eastAsia"/>
            </w:rPr>
          </w:sdtEndPr>
          <w:sdtContent>
            <w:tc>
              <w:tcPr>
                <w:tcW w:w="3842" w:type="pct"/>
                <w:gridSpan w:val="3"/>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58" w:type="pct"/>
            <w:vMerge w:val="continue"/>
          </w:tcPr>
          <w:p>
            <w:pPr>
              <w:jc w:val="center"/>
            </w:pPr>
          </w:p>
        </w:tc>
        <w:sdt>
          <w:sdtPr>
            <w:rPr>
              <w:rFonts w:hint="eastAsia"/>
            </w:rPr>
            <w:tag w:val="_PLD_23185354abd44a7ba3f6db3667ab802b"/>
            <w:id w:val="610705403"/>
          </w:sdtPr>
          <w:sdtEndPr>
            <w:rPr>
              <w:rFonts w:hint="eastAsia"/>
            </w:rPr>
          </w:sdtEndPr>
          <w:sdtContent>
            <w:tc>
              <w:tcPr>
                <w:tcW w:w="1276" w:type="pct"/>
                <w:vAlign w:val="center"/>
              </w:tcPr>
              <w:p>
                <w:pPr>
                  <w:jc w:val="center"/>
                </w:pPr>
                <w:r>
                  <w:rPr>
                    <w:rFonts w:hint="eastAsia"/>
                  </w:rPr>
                  <w:t>应收融资款项</w:t>
                </w:r>
              </w:p>
            </w:tc>
          </w:sdtContent>
        </w:sdt>
        <w:sdt>
          <w:sdtPr>
            <w:rPr>
              <w:rFonts w:hint="eastAsia"/>
            </w:rPr>
            <w:tag w:val="_PLD_792aa507fc10410abb2c4abbc3ffe613"/>
            <w:id w:val="-940147435"/>
          </w:sdtPr>
          <w:sdtEndPr>
            <w:rPr>
              <w:rFonts w:hint="eastAsia"/>
            </w:rPr>
          </w:sdtEndPr>
          <w:sdtContent>
            <w:tc>
              <w:tcPr>
                <w:tcW w:w="1299" w:type="pct"/>
                <w:vAlign w:val="center"/>
              </w:tcPr>
              <w:p>
                <w:pPr>
                  <w:jc w:val="center"/>
                </w:pPr>
                <w:r>
                  <w:rPr>
                    <w:rFonts w:hint="eastAsia"/>
                  </w:rPr>
                  <w:t>坏账准备</w:t>
                </w:r>
              </w:p>
            </w:tc>
          </w:sdtContent>
        </w:sdt>
        <w:sdt>
          <w:sdtPr>
            <w:tag w:val="_PLD_d98cb34aa8324eb18787c26a555cffb8"/>
            <w:id w:val="-437138471"/>
          </w:sdtPr>
          <w:sdtEndPr>
            <w:rPr>
              <w:rFonts w:hint="eastAsia"/>
            </w:rPr>
          </w:sdtEndPr>
          <w:sdtContent>
            <w:tc>
              <w:tcPr>
                <w:tcW w:w="1267" w:type="pct"/>
                <w:vAlign w:val="center"/>
              </w:tcPr>
              <w:p>
                <w:pPr>
                  <w:jc w:val="center"/>
                </w:pPr>
                <w:r>
                  <w:t>计提比例</w:t>
                </w:r>
                <w:r>
                  <w:rPr>
                    <w:rFonts w:hint="eastAsia"/>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pPr>
              <w:rPr>
                <w:rFonts w:ascii="宋体" w:hAnsi="宋体"/>
              </w:rPr>
            </w:pPr>
            <w:r>
              <w:rPr>
                <w:rFonts w:hint="eastAsia" w:ascii="宋体" w:hAnsi="宋体"/>
              </w:rPr>
              <w:t>1年以内</w:t>
            </w:r>
          </w:p>
        </w:tc>
        <w:tc>
          <w:tcPr>
            <w:tcW w:w="1276" w:type="pct"/>
            <w:vAlign w:val="center"/>
          </w:tcPr>
          <w:p>
            <w:pPr>
              <w:jc w:val="right"/>
              <w:rPr>
                <w:rFonts w:ascii="宋体" w:hAnsi="宋体"/>
              </w:rPr>
            </w:pPr>
            <w:r>
              <w:rPr>
                <w:rFonts w:hint="eastAsia" w:ascii="宋体" w:hAnsi="宋体"/>
              </w:rPr>
              <w:t>4,670,738</w:t>
            </w:r>
          </w:p>
        </w:tc>
        <w:tc>
          <w:tcPr>
            <w:tcW w:w="1299" w:type="pct"/>
          </w:tcPr>
          <w:p>
            <w:pPr>
              <w:jc w:val="right"/>
            </w:pPr>
          </w:p>
        </w:tc>
        <w:tc>
          <w:tcPr>
            <w:tcW w:w="1267" w:type="pct"/>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pPr>
              <w:jc w:val="center"/>
              <w:rPr>
                <w:rFonts w:ascii="宋体" w:hAnsi="宋体"/>
              </w:rPr>
            </w:pPr>
            <w:r>
              <w:rPr>
                <w:rFonts w:hint="eastAsia" w:ascii="宋体" w:hAnsi="宋体"/>
              </w:rPr>
              <w:t>合计</w:t>
            </w:r>
          </w:p>
        </w:tc>
        <w:tc>
          <w:tcPr>
            <w:tcW w:w="1276" w:type="pct"/>
          </w:tcPr>
          <w:p>
            <w:pPr>
              <w:jc w:val="right"/>
              <w:rPr>
                <w:rFonts w:ascii="宋体" w:hAnsi="宋体"/>
              </w:rPr>
            </w:pPr>
            <w:r>
              <w:rPr>
                <w:rFonts w:hint="eastAsia" w:ascii="宋体" w:hAnsi="宋体"/>
              </w:rPr>
              <w:t>4,670,738</w:t>
            </w:r>
          </w:p>
        </w:tc>
        <w:tc>
          <w:tcPr>
            <w:tcW w:w="1299" w:type="pct"/>
          </w:tcPr>
          <w:p>
            <w:pPr>
              <w:jc w:val="right"/>
            </w:pPr>
          </w:p>
        </w:tc>
        <w:tc>
          <w:tcPr>
            <w:tcW w:w="1267" w:type="pct"/>
          </w:tcPr>
          <w:p>
            <w:pPr>
              <w:jc w:val="right"/>
            </w:pPr>
          </w:p>
        </w:tc>
      </w:tr>
    </w:tbl>
    <w:p>
      <w:pPr>
        <w:pStyle w:val="501"/>
      </w:pPr>
      <w:r>
        <w:rPr>
          <w:rFonts w:hint="eastAsia"/>
        </w:rPr>
        <w:t>按组合计提坏账准备的说明</w:t>
      </w:r>
    </w:p>
    <w:sdt>
      <w:sdtPr>
        <w:alias w:val="是否适用：按组合计提坏账准备的的说明[双击切换]"/>
        <w:tag w:val="_GBC_d5c0038ba4094660abb29d30d764f501"/>
        <w:id w:val="-1212955234"/>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b/>
          <w:bCs/>
          <w:szCs w:val="22"/>
        </w:rPr>
      </w:pPr>
    </w:p>
    <w:p>
      <w:pPr>
        <w:rPr>
          <w:rFonts w:cstheme="minorBidi"/>
          <w:bCs/>
          <w:szCs w:val="22"/>
        </w:rPr>
      </w:pPr>
      <w:r>
        <w:rPr>
          <w:rFonts w:hint="eastAsia" w:cstheme="minorBidi"/>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1798913703"/>
        <w:placeholder>
          <w:docPart w:val="GBC22222222222222222222222222222"/>
        </w:placeholder>
      </w:sdtPr>
      <w:sdtEndPr>
        <w:rPr>
          <w:rFonts w:cstheme="minorBidi"/>
          <w:bCs/>
          <w:szCs w:val="22"/>
        </w:rPr>
      </w:sdtEndPr>
      <w:sdtContent>
        <w:p>
          <w:pPr>
            <w:rPr>
              <w:rFonts w:cstheme="minorBidi"/>
              <w:bCs/>
              <w:szCs w:val="22"/>
            </w:rPr>
          </w:pPr>
          <w:bookmarkStart w:id="249" w:name="_Hlk154134692"/>
          <w:bookmarkStart w:id="250" w:name="_Hlk153372713"/>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pPr>
        <w:autoSpaceDE w:val="0"/>
        <w:autoSpaceDN w:val="0"/>
        <w:adjustRightInd w:val="0"/>
        <w:ind w:left="181" w:leftChars="86" w:right="105" w:rightChars="50"/>
        <w:jc w:val="right"/>
      </w:pPr>
      <w:r>
        <w:rPr>
          <w:rFonts w:hint="eastAsia"/>
        </w:rPr>
        <w:t>单位：</w:t>
      </w:r>
      <w:sdt>
        <w:sdtPr>
          <w:rPr>
            <w:rFonts w:hint="eastAsia"/>
          </w:rPr>
          <w:alias w:val="单位：按预期信用损失一般模型计提坏账准备"/>
          <w:tag w:val="_GBC_d4605746de39473e980badd7d4d390dd"/>
          <w:id w:val="-60071956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按预期信用损失一般模型计提坏账准备"/>
          <w:tag w:val="_GBC_9403da8f0be143abab7480cfaac75bfb"/>
          <w:id w:val="-16361792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559"/>
        <w:gridCol w:w="1701"/>
        <w:gridCol w:w="1701"/>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hint="eastAsia" w:ascii="宋体" w:hAnsi="宋体" w:eastAsia="宋体" w:cs="宋体"/>
              <w:sz w:val="21"/>
              <w:szCs w:val="21"/>
              <w:lang w:eastAsia="zh-CN"/>
            </w:rPr>
            <w:tag w:val="_PLD_94de9e5090234394a136ef2a23999e97"/>
            <w:id w:val="2059744287"/>
          </w:sdtPr>
          <w:sdtEndPr>
            <w:rPr>
              <w:rFonts w:hint="eastAsia" w:ascii="宋体" w:hAnsi="宋体" w:eastAsia="宋体" w:cs="宋体"/>
              <w:sz w:val="21"/>
              <w:szCs w:val="21"/>
              <w:lang w:eastAsia="zh-CN"/>
            </w:rPr>
          </w:sdtEndPr>
          <w:sdtContent>
            <w:tc>
              <w:tcPr>
                <w:tcW w:w="2660" w:type="dxa"/>
                <w:vMerge w:val="restart"/>
                <w:vAlign w:val="center"/>
              </w:tcPr>
              <w:p>
                <w:pPr>
                  <w:pStyle w:val="575"/>
                  <w:spacing w:after="0" w:line="240" w:lineRule="auto"/>
                  <w:ind w:left="181" w:leftChars="86"/>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rPr>
              <w:rFonts w:hint="eastAsia" w:ascii="宋体" w:hAnsi="宋体" w:eastAsia="宋体" w:cs="宋体"/>
              <w:sz w:val="21"/>
              <w:szCs w:val="21"/>
              <w:lang w:eastAsia="zh-CN"/>
            </w:rPr>
            <w:tag w:val="_PLD_309d171be64142158047a7389274480b"/>
            <w:id w:val="-797455463"/>
          </w:sdtPr>
          <w:sdtEndPr>
            <w:rPr>
              <w:rFonts w:hint="eastAsia" w:ascii="宋体" w:hAnsi="宋体" w:eastAsia="宋体" w:cs="宋体"/>
              <w:sz w:val="21"/>
              <w:szCs w:val="21"/>
              <w:lang w:eastAsia="zh-CN"/>
            </w:rPr>
          </w:sdtEndPr>
          <w:sdtContent>
            <w:tc>
              <w:tcPr>
                <w:tcW w:w="1559" w:type="dxa"/>
                <w:vAlign w:val="center"/>
              </w:tcPr>
              <w:p>
                <w:pPr>
                  <w:pStyle w:val="575"/>
                  <w:spacing w:after="0" w:line="240" w:lineRule="auto"/>
                  <w:ind w:left="181" w:leftChars="86"/>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rPr>
              <w:rFonts w:hint="eastAsia" w:ascii="宋体" w:hAnsi="宋体" w:eastAsia="宋体" w:cs="宋体"/>
              <w:sz w:val="21"/>
              <w:szCs w:val="21"/>
              <w:lang w:eastAsia="zh-CN"/>
            </w:rPr>
            <w:tag w:val="_PLD_7972d1502bb14e00a8d55d55710211ff"/>
            <w:id w:val="407036436"/>
          </w:sdtPr>
          <w:sdtEndPr>
            <w:rPr>
              <w:rFonts w:hint="eastAsia" w:ascii="宋体" w:hAnsi="宋体" w:eastAsia="宋体" w:cs="宋体"/>
              <w:sz w:val="21"/>
              <w:szCs w:val="21"/>
              <w:lang w:eastAsia="zh-CN"/>
            </w:rPr>
          </w:sdtEndPr>
          <w:sdtContent>
            <w:tc>
              <w:tcPr>
                <w:tcW w:w="1701" w:type="dxa"/>
                <w:vAlign w:val="center"/>
              </w:tcPr>
              <w:p>
                <w:pPr>
                  <w:pStyle w:val="575"/>
                  <w:spacing w:after="0" w:line="240" w:lineRule="auto"/>
                  <w:ind w:left="181" w:leftChars="86"/>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rPr>
              <w:rFonts w:hint="eastAsia" w:ascii="宋体" w:hAnsi="宋体" w:eastAsia="宋体" w:cs="宋体"/>
              <w:sz w:val="21"/>
              <w:szCs w:val="21"/>
              <w:lang w:eastAsia="zh-CN"/>
            </w:rPr>
            <w:tag w:val="_PLD_1d1e3eaa8f5349d690f3814132088ccc"/>
            <w:id w:val="-1850021003"/>
          </w:sdtPr>
          <w:sdtEndPr>
            <w:rPr>
              <w:rFonts w:hint="eastAsia" w:ascii="宋体" w:hAnsi="宋体" w:eastAsia="宋体" w:cs="宋体"/>
              <w:sz w:val="21"/>
              <w:szCs w:val="21"/>
              <w:lang w:eastAsia="zh-CN"/>
            </w:rPr>
          </w:sdtEndPr>
          <w:sdtContent>
            <w:tc>
              <w:tcPr>
                <w:tcW w:w="1701" w:type="dxa"/>
                <w:vAlign w:val="center"/>
              </w:tcPr>
              <w:p>
                <w:pPr>
                  <w:pStyle w:val="575"/>
                  <w:spacing w:after="0" w:line="240" w:lineRule="auto"/>
                  <w:ind w:left="181" w:leftChars="86"/>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rPr>
              <w:rFonts w:hint="eastAsia" w:ascii="宋体" w:hAnsi="宋体" w:eastAsia="宋体" w:cs="宋体"/>
              <w:sz w:val="21"/>
              <w:szCs w:val="21"/>
              <w:lang w:eastAsia="zh-CN"/>
            </w:rPr>
            <w:tag w:val="_PLD_d929dc2d5f074b6b915903279a78aeb3"/>
            <w:id w:val="584276009"/>
          </w:sdtPr>
          <w:sdtEndPr>
            <w:rPr>
              <w:rFonts w:hint="eastAsia" w:ascii="宋体" w:hAnsi="宋体" w:eastAsia="宋体" w:cs="宋体"/>
              <w:sz w:val="21"/>
              <w:szCs w:val="21"/>
              <w:lang w:eastAsia="zh-CN"/>
            </w:rPr>
          </w:sdtEndPr>
          <w:sdtContent>
            <w:tc>
              <w:tcPr>
                <w:tcW w:w="1428" w:type="dxa"/>
                <w:vMerge w:val="restar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60" w:type="dxa"/>
            <w:vMerge w:val="continue"/>
            <w:vAlign w:val="center"/>
          </w:tcPr>
          <w:p>
            <w:pPr>
              <w:ind w:left="181" w:leftChars="86"/>
              <w:jc w:val="center"/>
              <w:rPr>
                <w:color w:val="008000"/>
              </w:rPr>
            </w:pPr>
          </w:p>
        </w:tc>
        <w:sdt>
          <w:sdtPr>
            <w:rPr>
              <w:rFonts w:hint="eastAsia" w:ascii="宋体" w:hAnsi="宋体" w:eastAsia="宋体" w:cs="宋体"/>
              <w:sz w:val="21"/>
              <w:szCs w:val="21"/>
              <w:lang w:eastAsia="zh-CN"/>
            </w:rPr>
            <w:tag w:val="_PLD_786cc826003f4557958858fdc0236cf8"/>
            <w:id w:val="1806809762"/>
          </w:sdtPr>
          <w:sdtEndPr>
            <w:rPr>
              <w:rFonts w:hint="eastAsia" w:ascii="宋体" w:hAnsi="宋体" w:eastAsia="宋体" w:cs="宋体"/>
              <w:sz w:val="21"/>
              <w:szCs w:val="21"/>
              <w:lang w:eastAsia="zh-CN"/>
            </w:rPr>
          </w:sdtEndPr>
          <w:sdtContent>
            <w:tc>
              <w:tcPr>
                <w:tcW w:w="1559" w:type="dxa"/>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rPr>
              <w:rFonts w:hint="eastAsia" w:ascii="宋体" w:hAnsi="宋体" w:eastAsia="宋体" w:cs="宋体"/>
              <w:sz w:val="21"/>
              <w:szCs w:val="21"/>
              <w:lang w:eastAsia="zh-CN"/>
            </w:rPr>
            <w:tag w:val="_PLD_8e92877e84374423afe289dc3863d9c2"/>
            <w:id w:val="1266504649"/>
          </w:sdtPr>
          <w:sdtEndPr>
            <w:rPr>
              <w:rFonts w:hint="eastAsia" w:ascii="宋体" w:hAnsi="宋体" w:eastAsia="宋体" w:cs="宋体"/>
              <w:sz w:val="21"/>
              <w:szCs w:val="21"/>
              <w:lang w:eastAsia="zh-CN"/>
            </w:rPr>
          </w:sdtEndPr>
          <w:sdtContent>
            <w:tc>
              <w:tcPr>
                <w:tcW w:w="1701" w:type="dxa"/>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rPr>
              <w:rFonts w:hint="eastAsia" w:ascii="宋体" w:hAnsi="宋体" w:eastAsia="宋体" w:cs="宋体"/>
              <w:sz w:val="21"/>
              <w:szCs w:val="21"/>
              <w:lang w:eastAsia="zh-CN"/>
            </w:rPr>
            <w:tag w:val="_PLD_e10e11a9f6d1495db475dcfec626cac8"/>
            <w:id w:val="-1640259151"/>
          </w:sdtPr>
          <w:sdtEndPr>
            <w:rPr>
              <w:rFonts w:hint="eastAsia" w:ascii="宋体" w:hAnsi="宋体" w:eastAsia="宋体" w:cs="宋体"/>
              <w:sz w:val="21"/>
              <w:szCs w:val="21"/>
              <w:lang w:eastAsia="zh-CN"/>
            </w:rPr>
          </w:sdtEndPr>
          <w:sdtContent>
            <w:tc>
              <w:tcPr>
                <w:tcW w:w="1701" w:type="dxa"/>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1428" w:type="dxa"/>
            <w:vMerge w:val="continue"/>
          </w:tcPr>
          <w:p>
            <w:pPr>
              <w:ind w:left="181" w:leftChars="86"/>
              <w:jc w:val="center"/>
              <w:rPr>
                <w:color w:val="008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2023年</w:t>
            </w:r>
            <w:r>
              <w:rPr>
                <w:rFonts w:hint="eastAsia" w:ascii="宋体" w:hAnsi="宋体" w:eastAsia="宋体" w:cs="宋体"/>
                <w:sz w:val="21"/>
                <w:szCs w:val="21"/>
                <w:lang w:eastAsia="zh-CN"/>
              </w:rPr>
              <w:t>1月1日余额</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r>
              <w:rPr>
                <w:rFonts w:ascii="宋体" w:hAnsi="宋体"/>
              </w:rPr>
              <w:t>1,344</w:t>
            </w: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r>
              <w:rPr>
                <w:rFonts w:ascii="宋体" w:hAnsi="宋体"/>
              </w:rPr>
              <w:t>1,344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2023年1月1日余额在本期</w:t>
            </w:r>
          </w:p>
        </w:tc>
        <w:tc>
          <w:tcPr>
            <w:tcW w:w="1559" w:type="dxa"/>
          </w:tcPr>
          <w:p>
            <w:pPr>
              <w:ind w:left="181" w:leftChars="86"/>
              <w:jc w:val="right"/>
              <w:rPr>
                <w:rFonts w:ascii="宋体" w:hAnsi="宋体"/>
              </w:rPr>
            </w:pPr>
            <w:r>
              <w:rPr>
                <w:rFonts w:hint="eastAsia" w:ascii="宋体" w:hAnsi="宋体"/>
                <w:snapToGrid w:val="0"/>
                <w:sz w:val="22"/>
                <w:szCs w:val="22"/>
              </w:rPr>
              <w:t>—</w:t>
            </w:r>
          </w:p>
        </w:tc>
        <w:tc>
          <w:tcPr>
            <w:tcW w:w="1701" w:type="dxa"/>
          </w:tcPr>
          <w:p>
            <w:pPr>
              <w:ind w:left="181" w:leftChars="86"/>
              <w:jc w:val="right"/>
              <w:rPr>
                <w:rFonts w:ascii="宋体" w:hAnsi="宋体"/>
              </w:rPr>
            </w:pPr>
            <w:r>
              <w:rPr>
                <w:rFonts w:hint="eastAsia" w:ascii="宋体" w:hAnsi="宋体"/>
                <w:snapToGrid w:val="0"/>
              </w:rPr>
              <w:t>—</w:t>
            </w:r>
          </w:p>
        </w:tc>
        <w:tc>
          <w:tcPr>
            <w:tcW w:w="1701" w:type="dxa"/>
          </w:tcPr>
          <w:p>
            <w:pPr>
              <w:ind w:left="181" w:leftChars="86"/>
              <w:jc w:val="right"/>
              <w:rPr>
                <w:rFonts w:ascii="宋体" w:hAnsi="宋体"/>
              </w:rPr>
            </w:pPr>
            <w:r>
              <w:rPr>
                <w:rFonts w:hint="eastAsia" w:ascii="宋体" w:hAnsi="宋体"/>
                <w:snapToGrid w:val="0"/>
              </w:rPr>
              <w:t>—</w:t>
            </w:r>
          </w:p>
        </w:tc>
        <w:tc>
          <w:tcPr>
            <w:tcW w:w="1428" w:type="dxa"/>
          </w:tcPr>
          <w:p>
            <w:pPr>
              <w:ind w:left="181" w:leftChars="86"/>
              <w:jc w:val="right"/>
              <w:rPr>
                <w:rFonts w:ascii="宋体" w:hAnsi="宋体"/>
              </w:rPr>
            </w:pPr>
            <w:r>
              <w:rPr>
                <w:rFonts w:hint="eastAsia" w:ascii="宋体" w:hAnsi="宋体"/>
                <w:snapToGrid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ind w:left="181" w:leftChars="86"/>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ind w:left="181" w:leftChars="86"/>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ind w:left="181" w:leftChars="86"/>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ind w:left="181" w:leftChars="86"/>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r>
              <w:rPr>
                <w:rFonts w:hint="eastAsia" w:ascii="宋体" w:hAnsi="宋体"/>
              </w:rPr>
              <w:t>-</w:t>
            </w:r>
            <w:r>
              <w:rPr>
                <w:rFonts w:ascii="宋体" w:hAnsi="宋体"/>
              </w:rPr>
              <w:t>1,344</w:t>
            </w: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r>
              <w:rPr>
                <w:rFonts w:ascii="宋体" w:hAnsi="宋体"/>
              </w:rPr>
              <w:t>-1,344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sz w:val="21"/>
              </w:rPr>
            </w:pPr>
            <w:r>
              <w:rPr>
                <w:rFonts w:hint="eastAsia" w:ascii="宋体" w:hAnsi="宋体" w:eastAsia="宋体"/>
                <w:sz w:val="21"/>
              </w:rPr>
              <w:t>本期转回</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本期转销</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pPr>
            <w:r>
              <w:rPr>
                <w:rFonts w:hint="eastAsia" w:ascii="宋体" w:hAnsi="宋体" w:eastAsia="宋体" w:cs="宋体"/>
                <w:sz w:val="21"/>
                <w:szCs w:val="21"/>
                <w:lang w:eastAsia="zh-CN"/>
              </w:rPr>
              <w:t>本期核销</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其他变动</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57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2023年12月31日</w:t>
            </w:r>
            <w:r>
              <w:rPr>
                <w:rFonts w:hint="eastAsia" w:ascii="宋体" w:hAnsi="宋体" w:eastAsia="宋体" w:cs="宋体"/>
                <w:sz w:val="21"/>
                <w:szCs w:val="21"/>
                <w:lang w:eastAsia="zh-CN"/>
              </w:rPr>
              <w:t>余额</w:t>
            </w:r>
          </w:p>
        </w:tc>
        <w:tc>
          <w:tcPr>
            <w:tcW w:w="1559"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701" w:type="dxa"/>
          </w:tcPr>
          <w:p>
            <w:pPr>
              <w:ind w:left="181" w:leftChars="86"/>
              <w:jc w:val="right"/>
              <w:rPr>
                <w:rFonts w:ascii="宋体" w:hAnsi="宋体"/>
              </w:rPr>
            </w:pPr>
          </w:p>
        </w:tc>
        <w:tc>
          <w:tcPr>
            <w:tcW w:w="1428" w:type="dxa"/>
          </w:tcPr>
          <w:p>
            <w:pPr>
              <w:ind w:left="181" w:leftChars="86"/>
              <w:jc w:val="right"/>
              <w:rPr>
                <w:rFonts w:ascii="宋体" w:hAnsi="宋体"/>
              </w:rPr>
            </w:pPr>
          </w:p>
        </w:tc>
      </w:tr>
    </w:tbl>
    <w:p>
      <w:pPr>
        <w:rPr>
          <w:rFonts w:asciiTheme="minorHAnsi" w:hAnsiTheme="minorHAnsi" w:cstheme="minorBidi"/>
          <w:b/>
          <w:bCs/>
          <w:szCs w:val="22"/>
        </w:rPr>
      </w:pPr>
    </w:p>
    <w:p>
      <w:pPr>
        <w:pStyle w:val="560"/>
      </w:pPr>
      <w:r>
        <w:rPr>
          <w:rFonts w:hint="eastAsia"/>
        </w:rPr>
        <w:t>对本期发生损失准备变动的应收款项融资账面余额显著变动的情况说明：</w:t>
      </w:r>
    </w:p>
    <w:sdt>
      <w:sdtPr>
        <w:alias w:val="是否适用：对本期发生损失准备变动的账面余额显著变动的情况说明[双击切换]"/>
        <w:tag w:val="_GBC_14de6d8177254b0abb86a102aa2886f9"/>
        <w:id w:val="1772656938"/>
        <w:placeholder>
          <w:docPart w:val="GBC22222222222222222222222222222"/>
        </w:placeholder>
      </w:sdt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49"/>
    <w:p>
      <w:pPr>
        <w:rPr>
          <w:rFonts w:asciiTheme="minorHAnsi" w:hAnsiTheme="minorHAnsi" w:cstheme="minorBidi"/>
          <w:b/>
          <w:bCs/>
          <w:szCs w:val="22"/>
        </w:rPr>
      </w:pPr>
    </w:p>
    <w:p>
      <w:pPr>
        <w:pStyle w:val="505"/>
        <w:numPr>
          <w:ilvl w:val="0"/>
          <w:numId w:val="73"/>
        </w:numPr>
      </w:pPr>
      <w:r>
        <w:rPr>
          <w:rFonts w:hint="eastAsia"/>
        </w:rPr>
        <w:t>坏账准备的情况</w:t>
      </w:r>
    </w:p>
    <w:bookmarkEnd w:id="250"/>
    <w:sdt>
      <w:sdtPr>
        <w:alias w:val="是否适用：坏账准备情况[双击切换]"/>
        <w:tag w:val="_GBC_9eb14f08b86f4a7096cd60413baf3092"/>
        <w:id w:val="1172684429"/>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snapToGrid w:val="0"/>
        <w:spacing w:line="240" w:lineRule="atLeast"/>
        <w:ind w:left="425" w:firstLine="0" w:firstLineChars="0"/>
        <w:jc w:val="right"/>
        <w:rPr>
          <w:szCs w:val="21"/>
        </w:rPr>
      </w:pPr>
      <w:r>
        <w:rPr>
          <w:rFonts w:hint="eastAsia"/>
          <w:szCs w:val="21"/>
        </w:rPr>
        <w:t>单位：</w:t>
      </w:r>
      <w:sdt>
        <w:sdtPr>
          <w:rPr>
            <w:rFonts w:hint="eastAsia"/>
            <w:szCs w:val="21"/>
          </w:rPr>
          <w:alias w:val="单位：坏账准备情况"/>
          <w:tag w:val="_GBC_5ab5b38f71554e548a7da7469b9a6563"/>
          <w:id w:val="-184924627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坏账准备情况"/>
          <w:tag w:val="_GBC_75b72a7ab17c4cf1bd4ba5d141928bc3"/>
          <w:id w:val="-20538423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82"/>
        <w:gridCol w:w="1245"/>
        <w:gridCol w:w="1352"/>
        <w:gridCol w:w="1245"/>
        <w:gridCol w:w="1249"/>
        <w:gridCol w:w="124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a46b4be5eac54730a5ecc97d21006ace"/>
            <w:id w:val="836659014"/>
          </w:sdtPr>
          <w:sdtContent>
            <w:tc>
              <w:tcPr>
                <w:tcW w:w="818" w:type="pct"/>
                <w:vMerge w:val="restart"/>
                <w:shd w:val="clear" w:color="auto" w:fill="FFFFFF"/>
                <w:vAlign w:val="center"/>
              </w:tcPr>
              <w:p>
                <w:pPr>
                  <w:jc w:val="center"/>
                </w:pPr>
                <w:r>
                  <w:t>类别</w:t>
                </w:r>
              </w:p>
            </w:tc>
          </w:sdtContent>
        </w:sdt>
        <w:sdt>
          <w:sdtPr>
            <w:tag w:val="_PLD_d4b99d9fdab64d968285bcb65ee5a9c9"/>
            <w:id w:val="1324558056"/>
          </w:sdtPr>
          <w:sdtContent>
            <w:tc>
              <w:tcPr>
                <w:tcW w:w="687" w:type="pct"/>
                <w:vMerge w:val="restart"/>
                <w:shd w:val="clear" w:color="auto" w:fill="FFFFFF"/>
                <w:vAlign w:val="center"/>
              </w:tcPr>
              <w:p>
                <w:pPr>
                  <w:jc w:val="center"/>
                </w:pPr>
                <w:r>
                  <w:t>期初余额</w:t>
                </w:r>
              </w:p>
            </w:tc>
          </w:sdtContent>
        </w:sdt>
        <w:sdt>
          <w:sdtPr>
            <w:rPr>
              <w:rFonts w:hint="eastAsia"/>
            </w:rPr>
            <w:tag w:val="_PLD_bb9fe77e488348759988e6de00cf0888"/>
            <w:id w:val="-559556955"/>
          </w:sdtPr>
          <w:sdtEndPr>
            <w:rPr>
              <w:rFonts w:hint="default"/>
            </w:rPr>
          </w:sdtEndPr>
          <w:sdtContent>
            <w:tc>
              <w:tcPr>
                <w:tcW w:w="2809" w:type="pct"/>
                <w:gridSpan w:val="4"/>
                <w:shd w:val="clear" w:color="auto" w:fill="FFFFFF"/>
                <w:vAlign w:val="center"/>
              </w:tcPr>
              <w:p>
                <w:pPr>
                  <w:jc w:val="center"/>
                </w:pPr>
                <w:r>
                  <w:rPr>
                    <w:rFonts w:hint="eastAsia"/>
                  </w:rPr>
                  <w:t>本期变动</w:t>
                </w:r>
                <w:r>
                  <w:t>金额</w:t>
                </w:r>
              </w:p>
            </w:tc>
          </w:sdtContent>
        </w:sdt>
        <w:tc>
          <w:tcPr>
            <w:tcW w:w="685" w:type="pct"/>
            <w:vMerge w:val="restart"/>
            <w:shd w:val="clear" w:color="auto" w:fill="FFFFFF"/>
            <w:vAlign w:val="center"/>
          </w:tcPr>
          <w:sdt>
            <w:sdtPr>
              <w:tag w:val="_PLD_4c903f521c2a44f8b3c6edf248f56a13"/>
              <w:id w:val="-331296031"/>
            </w:sdtPr>
            <w:sdtContent>
              <w:p>
                <w:pPr>
                  <w:jc w:val="center"/>
                </w:pPr>
                <w:r>
                  <w:t>期末余额</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18" w:type="pct"/>
            <w:vMerge w:val="continue"/>
            <w:shd w:val="clear" w:color="auto" w:fill="FFFFFF"/>
          </w:tcPr>
          <w:p>
            <w:pPr>
              <w:jc w:val="center"/>
            </w:pPr>
          </w:p>
        </w:tc>
        <w:tc>
          <w:tcPr>
            <w:tcW w:w="687" w:type="pct"/>
            <w:vMerge w:val="continue"/>
            <w:shd w:val="clear" w:color="auto" w:fill="FFFFFF"/>
          </w:tcPr>
          <w:p>
            <w:pPr>
              <w:jc w:val="center"/>
            </w:pPr>
          </w:p>
        </w:tc>
        <w:sdt>
          <w:sdtPr>
            <w:tag w:val="_PLD_05213841fb3c4d199a04bfa58ea477bd"/>
            <w:id w:val="1865326771"/>
          </w:sdtPr>
          <w:sdtContent>
            <w:tc>
              <w:tcPr>
                <w:tcW w:w="746" w:type="pct"/>
                <w:shd w:val="clear" w:color="auto" w:fill="FFFFFF"/>
                <w:vAlign w:val="center"/>
              </w:tcPr>
              <w:p>
                <w:pPr>
                  <w:jc w:val="center"/>
                </w:pPr>
                <w:r>
                  <w:t>计提</w:t>
                </w:r>
              </w:p>
            </w:tc>
          </w:sdtContent>
        </w:sdt>
        <w:sdt>
          <w:sdtPr>
            <w:rPr>
              <w:rFonts w:hint="eastAsia"/>
            </w:rPr>
            <w:tag w:val="_PLD_2cacb214840642a88adeea3c75c2b1f3"/>
            <w:id w:val="1179544652"/>
          </w:sdtPr>
          <w:sdtEndPr>
            <w:rPr>
              <w:rFonts w:hint="eastAsia"/>
            </w:rPr>
          </w:sdtEndPr>
          <w:sdtContent>
            <w:tc>
              <w:tcPr>
                <w:tcW w:w="687" w:type="pct"/>
                <w:shd w:val="clear" w:color="auto" w:fill="FFFFFF"/>
                <w:vAlign w:val="center"/>
              </w:tcPr>
              <w:p>
                <w:pPr>
                  <w:jc w:val="center"/>
                </w:pPr>
                <w:r>
                  <w:rPr>
                    <w:rFonts w:hint="eastAsia"/>
                  </w:rPr>
                  <w:t>收回或转回</w:t>
                </w:r>
              </w:p>
            </w:tc>
          </w:sdtContent>
        </w:sdt>
        <w:sdt>
          <w:sdtPr>
            <w:rPr>
              <w:rFonts w:hint="eastAsia"/>
            </w:rPr>
            <w:tag w:val="_PLD_ec119f9722974e3d97d0dca9ec927d68"/>
            <w:id w:val="58445922"/>
          </w:sdtPr>
          <w:sdtEndPr>
            <w:rPr>
              <w:rFonts w:hint="eastAsia"/>
            </w:rPr>
          </w:sdtEndPr>
          <w:sdtContent>
            <w:tc>
              <w:tcPr>
                <w:tcW w:w="689" w:type="pct"/>
                <w:shd w:val="clear" w:color="auto" w:fill="FFFFFF"/>
                <w:vAlign w:val="center"/>
              </w:tcPr>
              <w:p>
                <w:pPr>
                  <w:jc w:val="center"/>
                </w:pPr>
                <w:r>
                  <w:rPr>
                    <w:rFonts w:hint="eastAsia"/>
                  </w:rPr>
                  <w:t>转销或核销</w:t>
                </w:r>
              </w:p>
            </w:tc>
          </w:sdtContent>
        </w:sdt>
        <w:sdt>
          <w:sdtPr>
            <w:rPr>
              <w:rFonts w:hint="eastAsia"/>
            </w:rPr>
            <w:tag w:val="_PLD_431b725862c245398312c045eac8b2e9"/>
            <w:id w:val="-1154222407"/>
          </w:sdtPr>
          <w:sdtEndPr>
            <w:rPr>
              <w:rFonts w:hint="eastAsia"/>
            </w:rPr>
          </w:sdtEndPr>
          <w:sdtContent>
            <w:tc>
              <w:tcPr>
                <w:tcW w:w="687" w:type="pct"/>
                <w:shd w:val="clear" w:color="auto" w:fill="FFFFFF"/>
                <w:vAlign w:val="center"/>
              </w:tcPr>
              <w:p>
                <w:pPr>
                  <w:jc w:val="center"/>
                </w:pPr>
                <w:r>
                  <w:rPr>
                    <w:rFonts w:hint="eastAsia"/>
                  </w:rPr>
                  <w:t>其他变动</w:t>
                </w:r>
              </w:p>
            </w:tc>
          </w:sdtContent>
        </w:sdt>
        <w:tc>
          <w:tcPr>
            <w:tcW w:w="685" w:type="pct"/>
            <w:vMerge w:val="continue"/>
            <w:shd w:val="clear" w:color="auto" w:fill="FFFFFF"/>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18" w:type="pct"/>
            <w:shd w:val="clear" w:color="auto" w:fill="auto"/>
          </w:tcPr>
          <w:p>
            <w:pPr>
              <w:widowControl/>
              <w:jc w:val="left"/>
              <w:rPr>
                <w:rFonts w:ascii="宋体" w:hAnsi="宋体" w:cs="宋体"/>
                <w:kern w:val="0"/>
              </w:rPr>
            </w:pPr>
            <w:r>
              <w:rPr>
                <w:rFonts w:hint="eastAsia" w:ascii="宋体" w:hAnsi="宋体"/>
                <w:snapToGrid w:val="0"/>
              </w:rPr>
              <w:t>应收款项融资坏账准备</w:t>
            </w:r>
          </w:p>
        </w:tc>
        <w:tc>
          <w:tcPr>
            <w:tcW w:w="687" w:type="pct"/>
            <w:shd w:val="clear" w:color="auto" w:fill="auto"/>
            <w:vAlign w:val="center"/>
          </w:tcPr>
          <w:p>
            <w:pPr>
              <w:jc w:val="right"/>
            </w:pPr>
            <w:r>
              <w:rPr>
                <w:rFonts w:hint="eastAsia" w:ascii="宋体" w:hAnsi="宋体"/>
              </w:rPr>
              <w:t>1,344</w:t>
            </w:r>
          </w:p>
        </w:tc>
        <w:tc>
          <w:tcPr>
            <w:tcW w:w="746" w:type="pct"/>
            <w:shd w:val="clear" w:color="auto" w:fill="auto"/>
            <w:vAlign w:val="center"/>
          </w:tcPr>
          <w:p>
            <w:pPr>
              <w:jc w:val="right"/>
            </w:pPr>
            <w:r>
              <w:rPr>
                <w:rFonts w:hint="eastAsia" w:ascii="宋体" w:hAnsi="宋体"/>
              </w:rPr>
              <w:t>-1,344</w:t>
            </w:r>
          </w:p>
        </w:tc>
        <w:tc>
          <w:tcPr>
            <w:tcW w:w="687" w:type="pct"/>
            <w:shd w:val="clear" w:color="auto" w:fill="auto"/>
          </w:tcPr>
          <w:p>
            <w:pPr>
              <w:jc w:val="right"/>
            </w:pPr>
          </w:p>
        </w:tc>
        <w:tc>
          <w:tcPr>
            <w:tcW w:w="689" w:type="pct"/>
          </w:tcPr>
          <w:p>
            <w:pPr>
              <w:jc w:val="right"/>
            </w:pPr>
          </w:p>
        </w:tc>
        <w:tc>
          <w:tcPr>
            <w:tcW w:w="687" w:type="pct"/>
          </w:tcPr>
          <w:p>
            <w:pPr>
              <w:jc w:val="right"/>
            </w:pPr>
          </w:p>
        </w:tc>
        <w:tc>
          <w:tcPr>
            <w:tcW w:w="685" w:type="pct"/>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18" w:type="pct"/>
            <w:shd w:val="clear" w:color="auto" w:fill="auto"/>
          </w:tcPr>
          <w:p>
            <w:pPr>
              <w:jc w:val="center"/>
            </w:pPr>
            <w:r>
              <w:rPr>
                <w:rFonts w:hint="eastAsia"/>
              </w:rPr>
              <w:t>合计</w:t>
            </w:r>
          </w:p>
        </w:tc>
        <w:tc>
          <w:tcPr>
            <w:tcW w:w="687" w:type="pct"/>
            <w:shd w:val="clear" w:color="auto" w:fill="auto"/>
            <w:vAlign w:val="center"/>
          </w:tcPr>
          <w:p>
            <w:pPr>
              <w:jc w:val="right"/>
            </w:pPr>
            <w:r>
              <w:rPr>
                <w:rFonts w:hint="eastAsia" w:ascii="宋体" w:hAnsi="宋体"/>
              </w:rPr>
              <w:t>1,344</w:t>
            </w:r>
          </w:p>
        </w:tc>
        <w:tc>
          <w:tcPr>
            <w:tcW w:w="746" w:type="pct"/>
            <w:shd w:val="clear" w:color="auto" w:fill="auto"/>
            <w:vAlign w:val="center"/>
          </w:tcPr>
          <w:p>
            <w:pPr>
              <w:jc w:val="right"/>
            </w:pPr>
            <w:r>
              <w:rPr>
                <w:rFonts w:hint="eastAsia" w:ascii="宋体" w:hAnsi="宋体"/>
              </w:rPr>
              <w:t>-1,344</w:t>
            </w:r>
          </w:p>
        </w:tc>
        <w:tc>
          <w:tcPr>
            <w:tcW w:w="687" w:type="pct"/>
            <w:shd w:val="clear" w:color="auto" w:fill="auto"/>
          </w:tcPr>
          <w:p>
            <w:pPr>
              <w:jc w:val="right"/>
            </w:pPr>
          </w:p>
        </w:tc>
        <w:tc>
          <w:tcPr>
            <w:tcW w:w="689" w:type="pct"/>
          </w:tcPr>
          <w:p>
            <w:pPr>
              <w:jc w:val="right"/>
            </w:pPr>
          </w:p>
        </w:tc>
        <w:tc>
          <w:tcPr>
            <w:tcW w:w="687" w:type="pct"/>
          </w:tcPr>
          <w:p>
            <w:pPr>
              <w:jc w:val="right"/>
            </w:pPr>
          </w:p>
        </w:tc>
        <w:tc>
          <w:tcPr>
            <w:tcW w:w="685" w:type="pct"/>
            <w:shd w:val="clear" w:color="auto" w:fill="auto"/>
          </w:tcPr>
          <w:p>
            <w:pPr>
              <w:jc w:val="right"/>
            </w:pPr>
          </w:p>
        </w:tc>
      </w:tr>
    </w:tbl>
    <w:p>
      <w:pPr>
        <w:pStyle w:val="560"/>
      </w:pPr>
    </w:p>
    <w:p>
      <w:pPr>
        <w:pStyle w:val="531"/>
      </w:pPr>
      <w:r>
        <w:rPr>
          <w:rFonts w:hint="eastAsia"/>
        </w:rPr>
        <w:t>其中本期坏账准备收回或转回金额重要的：</w:t>
      </w:r>
    </w:p>
    <w:sdt>
      <w:sdtPr>
        <w:alias w:val="是否适用：本期坏账准备收回或转回金额重要的[双击切换]"/>
        <w:tag w:val="_GBC_2b51db20288a43b39962432da30280fe"/>
        <w:id w:val="-190783169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ind w:right="-1594" w:rightChars="-759"/>
      </w:pPr>
    </w:p>
    <w:p>
      <w:pPr>
        <w:pStyle w:val="505"/>
        <w:numPr>
          <w:ilvl w:val="0"/>
          <w:numId w:val="73"/>
        </w:numPr>
      </w:pPr>
      <w:r>
        <w:t>本期实际核销的应收款项融资情况</w:t>
      </w:r>
    </w:p>
    <w:sdt>
      <w:sdtPr>
        <w:alias w:val="是否适用：实际核销的情况[双击切换]"/>
        <w:tag w:val="_GBC_4075b47847034ec5b4b4aeeb85217687"/>
        <w:id w:val="1452826857"/>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其中重要的应收款项融资核销情况</w:t>
      </w:r>
    </w:p>
    <w:sdt>
      <w:sdtPr>
        <w:rPr>
          <w:rFonts w:hint="eastAsia"/>
        </w:rPr>
        <w:alias w:val="是否适用：重要的核销情况[双击切换]"/>
        <w:tag w:val="_GBC_a1c05dd99dc343f883b67997da317840"/>
        <w:id w:val="524915652"/>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核销说明：</w:t>
      </w:r>
    </w:p>
    <w:sdt>
      <w:sdtPr>
        <w:alias w:val="是否适用：核销说明[双击切换]"/>
        <w:tag w:val="_GBC_960239b4d8f94352ba13280d190272c1"/>
        <w:id w:val="741296383"/>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5"/>
        <w:numPr>
          <w:ilvl w:val="0"/>
          <w:numId w:val="73"/>
        </w:num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1529713119"/>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47"/>
    <w:p>
      <w:pPr>
        <w:pStyle w:val="531"/>
      </w:pPr>
    </w:p>
    <w:p>
      <w:pPr>
        <w:pStyle w:val="505"/>
        <w:numPr>
          <w:ilvl w:val="0"/>
          <w:numId w:val="73"/>
        </w:numPr>
      </w:pPr>
      <w:r>
        <w:rPr>
          <w:rFonts w:hint="eastAsia"/>
        </w:rPr>
        <w:t>其他</w:t>
      </w:r>
      <w:r>
        <w:t>说明</w:t>
      </w:r>
      <w:r>
        <w:rPr>
          <w:rFonts w:hint="eastAsia"/>
        </w:rPr>
        <w:t>：</w:t>
      </w:r>
    </w:p>
    <w:bookmarkEnd w:id="248"/>
    <w:sdt>
      <w:sdtPr>
        <w:rPr>
          <w:rFonts w:hint="eastAsia"/>
        </w:rPr>
        <w:alias w:val="是否适用：应收款项融资其他说明[双击切换]"/>
        <w:tag w:val="_GBC_19d5ef5dfbe64f2d98d9ab83a2e48c14"/>
        <w:id w:val="1203207242"/>
        <w:placeholder>
          <w:docPart w:val="GBC22222222222222222222222222222"/>
        </w:placeholder>
      </w:sdtPr>
      <w:sdtEndPr>
        <w:rPr>
          <w:rFonts w:hint="eastAsia"/>
        </w:rPr>
      </w:sdtEndPr>
      <w:sdtContent>
        <w:p>
          <w:pPr>
            <w:pStyle w:val="531"/>
          </w:pPr>
          <w:bookmarkStart w:id="251" w:name="_Hlk1305739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51"/>
    <w:p>
      <w:pPr>
        <w:pStyle w:val="501"/>
      </w:pPr>
    </w:p>
    <w:p>
      <w:pPr>
        <w:pStyle w:val="504"/>
        <w:numPr>
          <w:ilvl w:val="0"/>
          <w:numId w:val="69"/>
        </w:numPr>
      </w:pPr>
      <w:r>
        <w:rPr>
          <w:rFonts w:hint="eastAsia"/>
        </w:rPr>
        <w:t>预付款项</w:t>
      </w:r>
    </w:p>
    <w:p>
      <w:pPr>
        <w:pStyle w:val="505"/>
        <w:numPr>
          <w:ilvl w:val="3"/>
          <w:numId w:val="74"/>
        </w:numPr>
        <w:ind w:left="426" w:hanging="426"/>
      </w:pPr>
      <w:r>
        <w:rPr>
          <w:rFonts w:hint="eastAsia"/>
        </w:rPr>
        <w:t>预付款项按账龄列示</w:t>
      </w:r>
    </w:p>
    <w:sdt>
      <w:sdtPr>
        <w:rPr>
          <w:rFonts w:hint="eastAsia"/>
        </w:rPr>
        <w:alias w:val="是否适用：预付款项按账龄列示[双击切换]"/>
        <w:tag w:val="_GBC_9c50af2eedb44a33921bab4a9f5ef35c"/>
        <w:id w:val="1884135962"/>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rPr>
      </w:pPr>
      <w:r>
        <w:rPr>
          <w:rFonts w:hint="eastAsia"/>
        </w:rPr>
        <w:t>单位：</w:t>
      </w:r>
      <w:sdt>
        <w:sdtPr>
          <w:rPr>
            <w:rFonts w:hint="eastAsia"/>
          </w:rPr>
          <w:alias w:val="单位：财务附注：预付账款账龄"/>
          <w:tag w:val="_GBC_25e874c523c14d528beabbdb96c27981"/>
          <w:id w:val="6348312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预付账款账龄"/>
          <w:tag w:val="_GBC_5fd49f072b7e406886d7d66537c647e5"/>
          <w:id w:val="-15167583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85"/>
        <w:gridCol w:w="1926"/>
        <w:gridCol w:w="1912"/>
        <w:gridCol w:w="1910"/>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37" w:hRule="atLeast"/>
        </w:trPr>
        <w:sdt>
          <w:sdtPr>
            <w:tag w:val="_PLD_497c76328aa14442bd9ed8d02efaffdc"/>
            <w:id w:val="1633984649"/>
          </w:sdtPr>
          <w:sdtContent>
            <w:tc>
              <w:tcPr>
                <w:tcW w:w="764" w:type="pct"/>
                <w:vMerge w:val="restart"/>
                <w:vAlign w:val="center"/>
              </w:tcPr>
              <w:p>
                <w:pPr>
                  <w:ind w:right="5"/>
                  <w:jc w:val="center"/>
                </w:pPr>
                <w:r>
                  <w:rPr>
                    <w:rFonts w:hint="eastAsia"/>
                  </w:rPr>
                  <w:t>账龄</w:t>
                </w:r>
              </w:p>
            </w:tc>
          </w:sdtContent>
        </w:sdt>
        <w:sdt>
          <w:sdtPr>
            <w:tag w:val="_PLD_3c7cef9fd55549768916decb59114918"/>
            <w:id w:val="414213315"/>
          </w:sdtPr>
          <w:sdtContent>
            <w:tc>
              <w:tcPr>
                <w:tcW w:w="2118" w:type="pct"/>
                <w:gridSpan w:val="2"/>
                <w:vAlign w:val="center"/>
              </w:tcPr>
              <w:p>
                <w:pPr>
                  <w:ind w:right="5"/>
                  <w:jc w:val="center"/>
                </w:pPr>
                <w:r>
                  <w:rPr>
                    <w:rFonts w:hint="eastAsia"/>
                  </w:rPr>
                  <w:t>期末余额</w:t>
                </w:r>
              </w:p>
            </w:tc>
          </w:sdtContent>
        </w:sdt>
        <w:sdt>
          <w:sdtPr>
            <w:tag w:val="_PLD_3338d9aea932468fa8faa1bef2db4526"/>
            <w:id w:val="-611287067"/>
          </w:sdtPr>
          <w:sdtContent>
            <w:tc>
              <w:tcPr>
                <w:tcW w:w="2117" w:type="pct"/>
                <w:gridSpan w:val="2"/>
                <w:vAlign w:val="center"/>
              </w:tcPr>
              <w:p>
                <w:pPr>
                  <w:ind w:right="5"/>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vMerge w:val="continue"/>
          </w:tcPr>
          <w:p>
            <w:pPr>
              <w:pStyle w:val="501"/>
            </w:pPr>
          </w:p>
        </w:tc>
        <w:sdt>
          <w:sdtPr>
            <w:tag w:val="_PLD_2b1b05d61c574fe485d979f04a81c8c9"/>
            <w:id w:val="-925723975"/>
          </w:sdtPr>
          <w:sdtContent>
            <w:tc>
              <w:tcPr>
                <w:tcW w:w="1063" w:type="pct"/>
                <w:vAlign w:val="center"/>
              </w:tcPr>
              <w:p>
                <w:pPr>
                  <w:ind w:right="5"/>
                  <w:jc w:val="center"/>
                </w:pPr>
                <w:r>
                  <w:rPr>
                    <w:rFonts w:hint="eastAsia"/>
                  </w:rPr>
                  <w:t>金额</w:t>
                </w:r>
              </w:p>
            </w:tc>
          </w:sdtContent>
        </w:sdt>
        <w:sdt>
          <w:sdtPr>
            <w:tag w:val="_PLD_7faf25028eff45ce8c6bf33a9060f296"/>
            <w:id w:val="761645602"/>
          </w:sdtPr>
          <w:sdtContent>
            <w:tc>
              <w:tcPr>
                <w:tcW w:w="1055" w:type="pct"/>
                <w:vAlign w:val="center"/>
              </w:tcPr>
              <w:p>
                <w:pPr>
                  <w:ind w:right="5"/>
                  <w:jc w:val="center"/>
                </w:pPr>
                <w:r>
                  <w:rPr>
                    <w:rFonts w:hint="eastAsia"/>
                  </w:rPr>
                  <w:t>比例</w:t>
                </w:r>
                <w:r>
                  <w:t>(%)</w:t>
                </w:r>
              </w:p>
            </w:tc>
          </w:sdtContent>
        </w:sdt>
        <w:sdt>
          <w:sdtPr>
            <w:tag w:val="_PLD_56219e7f20ba4e60b1a3edd32c1c534e"/>
            <w:id w:val="-234779286"/>
          </w:sdtPr>
          <w:sdtContent>
            <w:tc>
              <w:tcPr>
                <w:tcW w:w="1054" w:type="pct"/>
                <w:vAlign w:val="center"/>
              </w:tcPr>
              <w:p>
                <w:pPr>
                  <w:ind w:right="5"/>
                  <w:jc w:val="center"/>
                </w:pPr>
                <w:r>
                  <w:rPr>
                    <w:rFonts w:hint="eastAsia"/>
                  </w:rPr>
                  <w:t>金额</w:t>
                </w:r>
              </w:p>
            </w:tc>
          </w:sdtContent>
        </w:sdt>
        <w:sdt>
          <w:sdtPr>
            <w:tag w:val="_PLD_430fca228ced43ada83018b2091f7abf"/>
            <w:id w:val="1759327830"/>
          </w:sdtPr>
          <w:sdtContent>
            <w:tc>
              <w:tcPr>
                <w:tcW w:w="1063" w:type="pct"/>
                <w:vAlign w:val="center"/>
              </w:tcPr>
              <w:p>
                <w:pPr>
                  <w:ind w:right="5"/>
                  <w:jc w:val="center"/>
                </w:pPr>
                <w:r>
                  <w:rPr>
                    <w:rFonts w:hint="eastAsia"/>
                  </w:rPr>
                  <w:t>比例</w:t>
                </w:r>
                <w: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99" w:hRule="atLeast"/>
        </w:trPr>
        <w:tc>
          <w:tcPr>
            <w:tcW w:w="764" w:type="pct"/>
          </w:tcPr>
          <w:p>
            <w:pPr>
              <w:ind w:right="5"/>
            </w:pPr>
            <w:r>
              <w:rPr>
                <w:rFonts w:hint="eastAsia"/>
              </w:rPr>
              <w:t>1年以内</w:t>
            </w:r>
          </w:p>
        </w:tc>
        <w:tc>
          <w:tcPr>
            <w:tcW w:w="1063" w:type="pct"/>
          </w:tcPr>
          <w:p>
            <w:pPr>
              <w:ind w:right="5"/>
              <w:jc w:val="right"/>
              <w:rPr>
                <w:rFonts w:ascii="宋体" w:hAnsi="宋体"/>
              </w:rPr>
            </w:pPr>
            <w:r>
              <w:rPr>
                <w:rFonts w:hint="eastAsia" w:ascii="宋体" w:hAnsi="宋体"/>
              </w:rPr>
              <w:t>4,931,458</w:t>
            </w:r>
          </w:p>
        </w:tc>
        <w:tc>
          <w:tcPr>
            <w:tcW w:w="1055" w:type="pct"/>
          </w:tcPr>
          <w:p>
            <w:pPr>
              <w:ind w:right="5"/>
              <w:jc w:val="right"/>
              <w:rPr>
                <w:rFonts w:ascii="宋体" w:hAnsi="宋体"/>
              </w:rPr>
            </w:pPr>
            <w:r>
              <w:rPr>
                <w:rFonts w:hint="eastAsia" w:ascii="宋体" w:hAnsi="宋体"/>
              </w:rPr>
              <w:t>97</w:t>
            </w:r>
          </w:p>
        </w:tc>
        <w:tc>
          <w:tcPr>
            <w:tcW w:w="1054" w:type="pct"/>
          </w:tcPr>
          <w:p>
            <w:pPr>
              <w:ind w:right="5"/>
              <w:jc w:val="right"/>
              <w:rPr>
                <w:rFonts w:ascii="宋体" w:hAnsi="宋体"/>
              </w:rPr>
            </w:pPr>
            <w:r>
              <w:rPr>
                <w:rFonts w:hint="eastAsia" w:ascii="宋体" w:hAnsi="宋体"/>
              </w:rPr>
              <w:t>3,966,966</w:t>
            </w:r>
          </w:p>
        </w:tc>
        <w:tc>
          <w:tcPr>
            <w:tcW w:w="1063" w:type="pct"/>
          </w:tcPr>
          <w:p>
            <w:pPr>
              <w:ind w:right="5"/>
              <w:jc w:val="right"/>
              <w:rPr>
                <w:rFonts w:ascii="宋体" w:hAnsi="宋体"/>
              </w:rPr>
            </w:pPr>
            <w:r>
              <w:rPr>
                <w:rFonts w:hint="eastAsia" w:ascii="宋体" w:hAnsi="宋体"/>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pPr>
            <w:r>
              <w:rPr>
                <w:rFonts w:hint="eastAsia"/>
              </w:rPr>
              <w:t>1至2年</w:t>
            </w:r>
          </w:p>
        </w:tc>
        <w:tc>
          <w:tcPr>
            <w:tcW w:w="1063" w:type="pct"/>
          </w:tcPr>
          <w:p>
            <w:pPr>
              <w:ind w:right="5"/>
              <w:jc w:val="right"/>
              <w:rPr>
                <w:rFonts w:ascii="宋体" w:hAnsi="宋体"/>
              </w:rPr>
            </w:pPr>
            <w:r>
              <w:rPr>
                <w:rFonts w:hint="eastAsia" w:ascii="宋体" w:hAnsi="宋体"/>
              </w:rPr>
              <w:t>42,276</w:t>
            </w:r>
          </w:p>
        </w:tc>
        <w:tc>
          <w:tcPr>
            <w:tcW w:w="1055" w:type="pct"/>
          </w:tcPr>
          <w:p>
            <w:pPr>
              <w:ind w:right="5"/>
              <w:jc w:val="right"/>
              <w:rPr>
                <w:rFonts w:ascii="宋体" w:hAnsi="宋体"/>
              </w:rPr>
            </w:pPr>
            <w:r>
              <w:rPr>
                <w:rFonts w:hint="eastAsia" w:ascii="宋体" w:hAnsi="宋体"/>
              </w:rPr>
              <w:t>1</w:t>
            </w:r>
          </w:p>
        </w:tc>
        <w:tc>
          <w:tcPr>
            <w:tcW w:w="1054" w:type="pct"/>
          </w:tcPr>
          <w:p>
            <w:pPr>
              <w:ind w:right="5"/>
              <w:jc w:val="right"/>
              <w:rPr>
                <w:rFonts w:ascii="宋体" w:hAnsi="宋体"/>
              </w:rPr>
            </w:pPr>
            <w:r>
              <w:rPr>
                <w:rFonts w:hint="eastAsia" w:ascii="宋体" w:hAnsi="宋体"/>
              </w:rPr>
              <w:t>56,151</w:t>
            </w:r>
          </w:p>
        </w:tc>
        <w:tc>
          <w:tcPr>
            <w:tcW w:w="1063" w:type="pct"/>
          </w:tcPr>
          <w:p>
            <w:pPr>
              <w:ind w:right="5"/>
              <w:jc w:val="right"/>
              <w:rPr>
                <w:rFonts w:ascii="宋体" w:hAnsi="宋体"/>
              </w:rPr>
            </w:pPr>
            <w:r>
              <w:rPr>
                <w:rFonts w:hint="eastAsia" w:ascii="宋体" w:hAnsi="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pPr>
            <w:r>
              <w:rPr>
                <w:rFonts w:hint="eastAsia"/>
              </w:rPr>
              <w:t>2至3年</w:t>
            </w:r>
          </w:p>
        </w:tc>
        <w:tc>
          <w:tcPr>
            <w:tcW w:w="1063" w:type="pct"/>
          </w:tcPr>
          <w:p>
            <w:pPr>
              <w:ind w:right="5"/>
              <w:jc w:val="right"/>
              <w:rPr>
                <w:rFonts w:ascii="宋体" w:hAnsi="宋体"/>
              </w:rPr>
            </w:pPr>
            <w:r>
              <w:rPr>
                <w:rFonts w:hint="eastAsia" w:ascii="宋体" w:hAnsi="宋体"/>
              </w:rPr>
              <w:t>12,789</w:t>
            </w:r>
          </w:p>
        </w:tc>
        <w:tc>
          <w:tcPr>
            <w:tcW w:w="1055" w:type="pct"/>
          </w:tcPr>
          <w:p>
            <w:pPr>
              <w:ind w:right="5"/>
              <w:jc w:val="right"/>
              <w:rPr>
                <w:rFonts w:ascii="宋体" w:hAnsi="宋体"/>
              </w:rPr>
            </w:pPr>
          </w:p>
        </w:tc>
        <w:tc>
          <w:tcPr>
            <w:tcW w:w="1054" w:type="pct"/>
          </w:tcPr>
          <w:p>
            <w:pPr>
              <w:ind w:right="5"/>
              <w:jc w:val="right"/>
              <w:rPr>
                <w:rFonts w:ascii="宋体" w:hAnsi="宋体"/>
              </w:rPr>
            </w:pPr>
            <w:r>
              <w:rPr>
                <w:rFonts w:hint="eastAsia" w:ascii="宋体" w:hAnsi="宋体"/>
              </w:rPr>
              <w:t>165,731</w:t>
            </w:r>
          </w:p>
        </w:tc>
        <w:tc>
          <w:tcPr>
            <w:tcW w:w="1063" w:type="pct"/>
          </w:tcPr>
          <w:p>
            <w:pPr>
              <w:ind w:right="5"/>
              <w:jc w:val="right"/>
              <w:rPr>
                <w:rFonts w:ascii="宋体" w:hAnsi="宋体"/>
              </w:rPr>
            </w:pPr>
            <w:r>
              <w:rPr>
                <w:rFonts w:hint="eastAsia" w:ascii="宋体" w:hAnsi="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pPr>
            <w:r>
              <w:rPr>
                <w:rFonts w:hint="eastAsia"/>
              </w:rPr>
              <w:t>3年以上</w:t>
            </w:r>
          </w:p>
        </w:tc>
        <w:tc>
          <w:tcPr>
            <w:tcW w:w="1063" w:type="pct"/>
          </w:tcPr>
          <w:p>
            <w:pPr>
              <w:ind w:right="5"/>
              <w:jc w:val="right"/>
              <w:rPr>
                <w:rFonts w:ascii="宋体" w:hAnsi="宋体"/>
              </w:rPr>
            </w:pPr>
            <w:r>
              <w:rPr>
                <w:rFonts w:hint="eastAsia" w:ascii="宋体" w:hAnsi="宋体"/>
              </w:rPr>
              <w:t>87,395</w:t>
            </w:r>
          </w:p>
        </w:tc>
        <w:tc>
          <w:tcPr>
            <w:tcW w:w="1055" w:type="pct"/>
          </w:tcPr>
          <w:p>
            <w:pPr>
              <w:ind w:right="5"/>
              <w:jc w:val="right"/>
              <w:rPr>
                <w:rFonts w:ascii="宋体" w:hAnsi="宋体"/>
              </w:rPr>
            </w:pPr>
            <w:r>
              <w:rPr>
                <w:rFonts w:hint="eastAsia" w:ascii="宋体" w:hAnsi="宋体"/>
              </w:rPr>
              <w:t>2</w:t>
            </w:r>
          </w:p>
        </w:tc>
        <w:tc>
          <w:tcPr>
            <w:tcW w:w="1054" w:type="pct"/>
          </w:tcPr>
          <w:p>
            <w:pPr>
              <w:ind w:right="5"/>
              <w:jc w:val="right"/>
              <w:rPr>
                <w:rFonts w:ascii="宋体" w:hAnsi="宋体"/>
              </w:rPr>
            </w:pPr>
            <w:r>
              <w:rPr>
                <w:rFonts w:hint="eastAsia" w:ascii="宋体" w:hAnsi="宋体"/>
              </w:rPr>
              <w:t>1,084</w:t>
            </w:r>
          </w:p>
        </w:tc>
        <w:tc>
          <w:tcPr>
            <w:tcW w:w="1063" w:type="pct"/>
          </w:tcPr>
          <w:p>
            <w:pPr>
              <w:ind w:right="5"/>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4" w:type="pct"/>
          </w:tcPr>
          <w:p>
            <w:pPr>
              <w:ind w:right="5"/>
              <w:jc w:val="center"/>
            </w:pPr>
            <w:r>
              <w:rPr>
                <w:rFonts w:hint="eastAsia"/>
              </w:rPr>
              <w:t>合计</w:t>
            </w:r>
          </w:p>
        </w:tc>
        <w:tc>
          <w:tcPr>
            <w:tcW w:w="1063" w:type="pct"/>
          </w:tcPr>
          <w:p>
            <w:pPr>
              <w:ind w:right="5"/>
              <w:jc w:val="right"/>
              <w:rPr>
                <w:rFonts w:ascii="宋体" w:hAnsi="宋体"/>
              </w:rPr>
            </w:pPr>
            <w:r>
              <w:rPr>
                <w:rFonts w:hint="eastAsia" w:ascii="宋体" w:hAnsi="宋体"/>
              </w:rPr>
              <w:t>5,073,918</w:t>
            </w:r>
          </w:p>
        </w:tc>
        <w:tc>
          <w:tcPr>
            <w:tcW w:w="1055" w:type="pct"/>
          </w:tcPr>
          <w:p>
            <w:pPr>
              <w:ind w:right="5"/>
              <w:jc w:val="right"/>
              <w:rPr>
                <w:rFonts w:ascii="宋体" w:hAnsi="宋体"/>
              </w:rPr>
            </w:pPr>
            <w:r>
              <w:rPr>
                <w:rFonts w:hint="eastAsia" w:ascii="宋体" w:hAnsi="宋体"/>
              </w:rPr>
              <w:t>100</w:t>
            </w:r>
          </w:p>
        </w:tc>
        <w:tc>
          <w:tcPr>
            <w:tcW w:w="1054" w:type="pct"/>
          </w:tcPr>
          <w:p>
            <w:pPr>
              <w:ind w:right="5"/>
              <w:jc w:val="right"/>
              <w:rPr>
                <w:rFonts w:ascii="宋体" w:hAnsi="宋体"/>
              </w:rPr>
            </w:pPr>
            <w:r>
              <w:rPr>
                <w:rFonts w:hint="eastAsia" w:ascii="宋体" w:hAnsi="宋体"/>
              </w:rPr>
              <w:t>4,189,932</w:t>
            </w:r>
          </w:p>
        </w:tc>
        <w:tc>
          <w:tcPr>
            <w:tcW w:w="1063" w:type="pct"/>
          </w:tcPr>
          <w:p>
            <w:pPr>
              <w:ind w:right="5"/>
              <w:jc w:val="right"/>
              <w:rPr>
                <w:rFonts w:ascii="宋体" w:hAnsi="宋体"/>
              </w:rPr>
            </w:pPr>
            <w:r>
              <w:rPr>
                <w:rFonts w:hint="eastAsia" w:ascii="宋体" w:hAnsi="宋体"/>
              </w:rPr>
              <w:t>100</w:t>
            </w:r>
          </w:p>
        </w:tc>
      </w:tr>
    </w:tbl>
    <w:p>
      <w:pPr>
        <w:pStyle w:val="531"/>
      </w:pPr>
    </w:p>
    <w:p>
      <w:pPr>
        <w:pStyle w:val="505"/>
        <w:numPr>
          <w:ilvl w:val="3"/>
          <w:numId w:val="74"/>
        </w:numPr>
        <w:ind w:left="426" w:hanging="426"/>
        <w:rPr>
          <w:szCs w:val="21"/>
        </w:rPr>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441534505"/>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8"/>
        <w:gridCol w:w="2181"/>
        <w:gridCol w:w="1558"/>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sdt>
          <w:sdtPr>
            <w:rPr>
              <w:rFonts w:hint="eastAsia" w:ascii="宋体" w:hAnsi="宋体"/>
            </w:rPr>
            <w:tag w:val="_PLD_0ab17d7ae0014b6192c9dd0e6d3d3a25"/>
            <w:id w:val="390549937"/>
          </w:sdtPr>
          <w:sdtEndPr>
            <w:rPr>
              <w:rFonts w:hint="eastAsia" w:ascii="宋体" w:hAnsi="宋体"/>
            </w:rPr>
          </w:sdtEndPr>
          <w:sdtContent>
            <w:tc>
              <w:tcPr>
                <w:tcW w:w="1684" w:type="pct"/>
                <w:vAlign w:val="center"/>
              </w:tcPr>
              <w:p>
                <w:pPr>
                  <w:ind w:right="105"/>
                  <w:jc w:val="center"/>
                  <w:rPr>
                    <w:rFonts w:ascii="宋体" w:hAnsi="宋体"/>
                  </w:rPr>
                </w:pPr>
                <w:r>
                  <w:rPr>
                    <w:rFonts w:hint="eastAsia" w:ascii="宋体" w:hAnsi="宋体"/>
                  </w:rPr>
                  <w:t>单位名称</w:t>
                </w:r>
              </w:p>
            </w:tc>
          </w:sdtContent>
        </w:sdt>
        <w:sdt>
          <w:sdtPr>
            <w:rPr>
              <w:rFonts w:hint="eastAsia" w:ascii="宋体" w:hAnsi="宋体"/>
            </w:rPr>
            <w:tag w:val="_PLD_cdd4a1e632c94d14908eb36a620946a9"/>
            <w:id w:val="1043022094"/>
          </w:sdtPr>
          <w:sdtEndPr>
            <w:rPr>
              <w:rFonts w:hint="eastAsia" w:ascii="宋体" w:hAnsi="宋体"/>
            </w:rPr>
          </w:sdtEndPr>
          <w:sdtContent>
            <w:tc>
              <w:tcPr>
                <w:tcW w:w="1205" w:type="pct"/>
                <w:vAlign w:val="center"/>
              </w:tcPr>
              <w:p>
                <w:pPr>
                  <w:ind w:right="73"/>
                  <w:jc w:val="center"/>
                  <w:rPr>
                    <w:rFonts w:ascii="宋体" w:hAnsi="宋体"/>
                  </w:rPr>
                </w:pPr>
                <w:r>
                  <w:rPr>
                    <w:rFonts w:hint="eastAsia" w:ascii="宋体" w:hAnsi="宋体"/>
                  </w:rPr>
                  <w:t>期末余额</w:t>
                </w:r>
              </w:p>
            </w:tc>
          </w:sdtContent>
        </w:sdt>
        <w:tc>
          <w:tcPr>
            <w:tcW w:w="861" w:type="pct"/>
            <w:vAlign w:val="center"/>
          </w:tcPr>
          <w:p>
            <w:pPr>
              <w:jc w:val="center"/>
              <w:rPr>
                <w:rFonts w:ascii="宋体" w:hAnsi="宋体"/>
              </w:rPr>
            </w:pPr>
            <w:r>
              <w:rPr>
                <w:rFonts w:hint="eastAsia" w:ascii="宋体" w:hAnsi="宋体"/>
              </w:rPr>
              <w:t>账龄</w:t>
            </w:r>
          </w:p>
        </w:tc>
        <w:sdt>
          <w:sdtPr>
            <w:rPr>
              <w:rFonts w:hint="eastAsia" w:ascii="宋体" w:hAnsi="宋体"/>
            </w:rPr>
            <w:tag w:val="_PLD_c9db34035f63426095900b82cc8a8131"/>
            <w:id w:val="-33274763"/>
          </w:sdtPr>
          <w:sdtEndPr>
            <w:rPr>
              <w:rFonts w:hint="default" w:ascii="宋体" w:hAnsi="宋体"/>
            </w:rPr>
          </w:sdtEndPr>
          <w:sdtContent>
            <w:tc>
              <w:tcPr>
                <w:tcW w:w="1250" w:type="pct"/>
                <w:vAlign w:val="center"/>
              </w:tcPr>
              <w:p>
                <w:pPr>
                  <w:jc w:val="center"/>
                  <w:rPr>
                    <w:rFonts w:ascii="宋体" w:hAnsi="宋体"/>
                  </w:rPr>
                </w:pPr>
                <w:r>
                  <w:rPr>
                    <w:rFonts w:hint="eastAsia" w:ascii="宋体" w:hAnsi="宋体"/>
                  </w:rPr>
                  <w:t>占预付款项期末余额合计数的比例(</w:t>
                </w:r>
                <w:r>
                  <w:rPr>
                    <w:rFonts w:ascii="宋体" w:hAnsi="宋体"/>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4" w:type="pct"/>
            <w:vAlign w:val="center"/>
          </w:tcPr>
          <w:p>
            <w:pPr>
              <w:ind w:right="105"/>
              <w:jc w:val="center"/>
              <w:rPr>
                <w:rFonts w:asciiTheme="minorEastAsia" w:hAnsiTheme="minorEastAsia" w:eastAsiaTheme="minorEastAsia"/>
              </w:rPr>
            </w:pPr>
            <w:r>
              <w:rPr>
                <w:rFonts w:hint="eastAsia" w:asciiTheme="minorEastAsia" w:hAnsiTheme="minorEastAsia" w:eastAsiaTheme="minorEastAsia"/>
              </w:rPr>
              <w:t>公司1</w:t>
            </w:r>
          </w:p>
        </w:tc>
        <w:tc>
          <w:tcPr>
            <w:tcW w:w="1205" w:type="pct"/>
            <w:vAlign w:val="center"/>
          </w:tcPr>
          <w:p>
            <w:pPr>
              <w:ind w:right="73"/>
              <w:jc w:val="right"/>
              <w:rPr>
                <w:rFonts w:ascii="宋体" w:hAnsi="宋体"/>
              </w:rPr>
            </w:pPr>
            <w:r>
              <w:rPr>
                <w:rFonts w:hint="eastAsia" w:ascii="宋体" w:hAnsi="宋体"/>
              </w:rPr>
              <w:t>619,495</w:t>
            </w:r>
          </w:p>
        </w:tc>
        <w:tc>
          <w:tcPr>
            <w:tcW w:w="861" w:type="pct"/>
            <w:vAlign w:val="center"/>
          </w:tcPr>
          <w:p>
            <w:pPr>
              <w:jc w:val="center"/>
              <w:rPr>
                <w:rFonts w:ascii="宋体" w:hAnsi="宋体"/>
              </w:rPr>
            </w:pPr>
            <w:r>
              <w:rPr>
                <w:rFonts w:hint="eastAsia" w:ascii="宋体" w:hAnsi="宋体"/>
              </w:rPr>
              <w:t>1年以内</w:t>
            </w:r>
          </w:p>
        </w:tc>
        <w:tc>
          <w:tcPr>
            <w:tcW w:w="1250" w:type="pct"/>
            <w:vAlign w:val="center"/>
          </w:tcPr>
          <w:p>
            <w:pPr>
              <w:jc w:val="right"/>
              <w:rPr>
                <w:rFonts w:ascii="宋体" w:hAnsi="宋体"/>
              </w:rPr>
            </w:pPr>
            <w:r>
              <w:rPr>
                <w:rFonts w:hint="eastAsia" w:ascii="宋体" w:hAnsi="宋体"/>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4" w:type="pct"/>
            <w:vAlign w:val="center"/>
          </w:tcPr>
          <w:p>
            <w:pPr>
              <w:ind w:right="105"/>
              <w:jc w:val="center"/>
              <w:rPr>
                <w:rFonts w:asciiTheme="minorEastAsia" w:hAnsiTheme="minorEastAsia" w:eastAsiaTheme="minorEastAsia"/>
              </w:rPr>
            </w:pPr>
            <w:r>
              <w:rPr>
                <w:rFonts w:hint="eastAsia" w:asciiTheme="minorEastAsia" w:hAnsiTheme="minorEastAsia" w:eastAsiaTheme="minorEastAsia"/>
              </w:rPr>
              <w:t>公司2</w:t>
            </w:r>
          </w:p>
        </w:tc>
        <w:tc>
          <w:tcPr>
            <w:tcW w:w="1205" w:type="pct"/>
            <w:vAlign w:val="center"/>
          </w:tcPr>
          <w:p>
            <w:pPr>
              <w:ind w:right="73"/>
              <w:jc w:val="right"/>
              <w:rPr>
                <w:rFonts w:ascii="宋体" w:hAnsi="宋体"/>
              </w:rPr>
            </w:pPr>
            <w:r>
              <w:rPr>
                <w:rFonts w:hint="eastAsia" w:ascii="宋体" w:hAnsi="宋体"/>
              </w:rPr>
              <w:t>502,767</w:t>
            </w:r>
          </w:p>
        </w:tc>
        <w:tc>
          <w:tcPr>
            <w:tcW w:w="861" w:type="pct"/>
            <w:vAlign w:val="center"/>
          </w:tcPr>
          <w:p>
            <w:pPr>
              <w:jc w:val="center"/>
              <w:rPr>
                <w:rFonts w:ascii="宋体" w:hAnsi="宋体"/>
              </w:rPr>
            </w:pPr>
            <w:r>
              <w:rPr>
                <w:rFonts w:hint="eastAsia" w:ascii="宋体" w:hAnsi="宋体"/>
              </w:rPr>
              <w:t>1年以内</w:t>
            </w:r>
          </w:p>
        </w:tc>
        <w:tc>
          <w:tcPr>
            <w:tcW w:w="1250" w:type="pct"/>
            <w:vAlign w:val="center"/>
          </w:tcPr>
          <w:p>
            <w:pPr>
              <w:jc w:val="right"/>
              <w:rPr>
                <w:rFonts w:ascii="宋体" w:hAnsi="宋体"/>
              </w:rPr>
            </w:pPr>
            <w:r>
              <w:rPr>
                <w:rFonts w:hint="eastAsia" w:ascii="宋体" w:hAnsi="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4" w:type="pct"/>
            <w:vAlign w:val="center"/>
          </w:tcPr>
          <w:p>
            <w:pPr>
              <w:ind w:right="105"/>
              <w:jc w:val="center"/>
              <w:rPr>
                <w:rFonts w:asciiTheme="minorEastAsia" w:hAnsiTheme="minorEastAsia" w:eastAsiaTheme="minorEastAsia"/>
              </w:rPr>
            </w:pPr>
            <w:r>
              <w:rPr>
                <w:rFonts w:hint="eastAsia" w:asciiTheme="minorEastAsia" w:hAnsiTheme="minorEastAsia" w:eastAsiaTheme="minorEastAsia"/>
              </w:rPr>
              <w:t>公司3</w:t>
            </w:r>
          </w:p>
        </w:tc>
        <w:tc>
          <w:tcPr>
            <w:tcW w:w="1205" w:type="pct"/>
            <w:vAlign w:val="center"/>
          </w:tcPr>
          <w:p>
            <w:pPr>
              <w:ind w:right="73"/>
              <w:jc w:val="right"/>
              <w:rPr>
                <w:rFonts w:ascii="宋体" w:hAnsi="宋体"/>
              </w:rPr>
            </w:pPr>
            <w:r>
              <w:rPr>
                <w:rFonts w:hint="eastAsia" w:ascii="宋体" w:hAnsi="宋体"/>
              </w:rPr>
              <w:t>487,059</w:t>
            </w:r>
          </w:p>
        </w:tc>
        <w:tc>
          <w:tcPr>
            <w:tcW w:w="861" w:type="pct"/>
            <w:vAlign w:val="center"/>
          </w:tcPr>
          <w:p>
            <w:pPr>
              <w:jc w:val="center"/>
              <w:rPr>
                <w:rFonts w:ascii="宋体" w:hAnsi="宋体"/>
              </w:rPr>
            </w:pPr>
            <w:r>
              <w:rPr>
                <w:rFonts w:hint="eastAsia" w:ascii="宋体" w:hAnsi="宋体"/>
              </w:rPr>
              <w:t>1年以内</w:t>
            </w:r>
          </w:p>
        </w:tc>
        <w:tc>
          <w:tcPr>
            <w:tcW w:w="1250" w:type="pct"/>
            <w:vAlign w:val="center"/>
          </w:tcPr>
          <w:p>
            <w:pPr>
              <w:jc w:val="right"/>
              <w:rPr>
                <w:rFonts w:ascii="宋体" w:hAnsi="宋体"/>
              </w:rPr>
            </w:pPr>
            <w:r>
              <w:rPr>
                <w:rFonts w:hint="eastAsia" w:ascii="宋体" w:hAnsi="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4" w:type="pct"/>
            <w:vAlign w:val="center"/>
          </w:tcPr>
          <w:p>
            <w:pPr>
              <w:ind w:right="105"/>
              <w:jc w:val="center"/>
              <w:rPr>
                <w:rFonts w:asciiTheme="minorEastAsia" w:hAnsiTheme="minorEastAsia" w:eastAsiaTheme="minorEastAsia"/>
              </w:rPr>
            </w:pPr>
            <w:r>
              <w:rPr>
                <w:rFonts w:hint="eastAsia" w:asciiTheme="minorEastAsia" w:hAnsiTheme="minorEastAsia" w:eastAsiaTheme="minorEastAsia"/>
              </w:rPr>
              <w:t>公司4</w:t>
            </w:r>
          </w:p>
        </w:tc>
        <w:tc>
          <w:tcPr>
            <w:tcW w:w="1205" w:type="pct"/>
            <w:vAlign w:val="center"/>
          </w:tcPr>
          <w:p>
            <w:pPr>
              <w:ind w:right="73"/>
              <w:jc w:val="right"/>
              <w:rPr>
                <w:rFonts w:ascii="宋体" w:hAnsi="宋体"/>
              </w:rPr>
            </w:pPr>
            <w:r>
              <w:rPr>
                <w:rFonts w:hint="eastAsia" w:ascii="宋体" w:hAnsi="宋体"/>
              </w:rPr>
              <w:t>409,694</w:t>
            </w:r>
          </w:p>
        </w:tc>
        <w:tc>
          <w:tcPr>
            <w:tcW w:w="861" w:type="pct"/>
            <w:vAlign w:val="center"/>
          </w:tcPr>
          <w:p>
            <w:pPr>
              <w:jc w:val="center"/>
              <w:rPr>
                <w:rFonts w:ascii="宋体" w:hAnsi="宋体"/>
              </w:rPr>
            </w:pPr>
            <w:r>
              <w:rPr>
                <w:rFonts w:hint="eastAsia" w:ascii="宋体" w:hAnsi="宋体"/>
              </w:rPr>
              <w:t>1年以内</w:t>
            </w:r>
          </w:p>
        </w:tc>
        <w:tc>
          <w:tcPr>
            <w:tcW w:w="1250" w:type="pct"/>
            <w:vAlign w:val="center"/>
          </w:tcPr>
          <w:p>
            <w:pPr>
              <w:jc w:val="right"/>
              <w:rPr>
                <w:rFonts w:ascii="宋体" w:hAnsi="宋体"/>
              </w:rPr>
            </w:pPr>
            <w:r>
              <w:rPr>
                <w:rFonts w:hint="eastAsia" w:ascii="宋体" w:hAnsi="宋体"/>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4" w:type="pct"/>
            <w:vAlign w:val="center"/>
          </w:tcPr>
          <w:p>
            <w:pPr>
              <w:ind w:right="105"/>
              <w:jc w:val="center"/>
              <w:rPr>
                <w:rFonts w:asciiTheme="minorEastAsia" w:hAnsiTheme="minorEastAsia" w:eastAsiaTheme="minorEastAsia"/>
              </w:rPr>
            </w:pPr>
            <w:r>
              <w:rPr>
                <w:rFonts w:hint="eastAsia" w:asciiTheme="minorEastAsia" w:hAnsiTheme="minorEastAsia" w:eastAsiaTheme="minorEastAsia"/>
              </w:rPr>
              <w:t>公司5</w:t>
            </w:r>
          </w:p>
        </w:tc>
        <w:tc>
          <w:tcPr>
            <w:tcW w:w="1205" w:type="pct"/>
            <w:vAlign w:val="center"/>
          </w:tcPr>
          <w:p>
            <w:pPr>
              <w:ind w:right="73"/>
              <w:jc w:val="right"/>
              <w:rPr>
                <w:rFonts w:ascii="宋体" w:hAnsi="宋体"/>
              </w:rPr>
            </w:pPr>
            <w:r>
              <w:rPr>
                <w:rFonts w:hint="eastAsia" w:ascii="宋体" w:hAnsi="宋体"/>
              </w:rPr>
              <w:t>303,377</w:t>
            </w:r>
          </w:p>
        </w:tc>
        <w:tc>
          <w:tcPr>
            <w:tcW w:w="861" w:type="pct"/>
            <w:vAlign w:val="center"/>
          </w:tcPr>
          <w:p>
            <w:pPr>
              <w:jc w:val="center"/>
              <w:rPr>
                <w:rFonts w:ascii="宋体" w:hAnsi="宋体"/>
              </w:rPr>
            </w:pPr>
            <w:r>
              <w:rPr>
                <w:rFonts w:hint="eastAsia" w:ascii="宋体" w:hAnsi="宋体"/>
              </w:rPr>
              <w:t>1年以内</w:t>
            </w:r>
          </w:p>
        </w:tc>
        <w:tc>
          <w:tcPr>
            <w:tcW w:w="1250" w:type="pct"/>
            <w:vAlign w:val="center"/>
          </w:tcPr>
          <w:p>
            <w:pPr>
              <w:jc w:val="right"/>
              <w:rPr>
                <w:rFonts w:ascii="宋体" w:hAnsi="宋体"/>
              </w:rPr>
            </w:pPr>
            <w:r>
              <w:rPr>
                <w:rFonts w:hint="eastAsia" w:ascii="宋体" w:hAnsi="宋体"/>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4" w:type="pct"/>
          </w:tcPr>
          <w:p>
            <w:pPr>
              <w:ind w:right="105"/>
              <w:jc w:val="center"/>
              <w:rPr>
                <w:rFonts w:ascii="宋体" w:hAnsi="宋体"/>
              </w:rPr>
            </w:pPr>
            <w:r>
              <w:rPr>
                <w:rFonts w:hint="eastAsia" w:ascii="宋体" w:hAnsi="宋体"/>
              </w:rPr>
              <w:t>合计</w:t>
            </w:r>
          </w:p>
        </w:tc>
        <w:tc>
          <w:tcPr>
            <w:tcW w:w="1205" w:type="pct"/>
          </w:tcPr>
          <w:p>
            <w:pPr>
              <w:ind w:right="73"/>
              <w:jc w:val="right"/>
              <w:rPr>
                <w:rFonts w:ascii="宋体" w:hAnsi="宋体"/>
              </w:rPr>
            </w:pPr>
            <w:r>
              <w:rPr>
                <w:rFonts w:hint="eastAsia" w:ascii="宋体" w:hAnsi="宋体"/>
                <w:snapToGrid w:val="0"/>
              </w:rPr>
              <w:t>2,322,392</w:t>
            </w:r>
          </w:p>
        </w:tc>
        <w:tc>
          <w:tcPr>
            <w:tcW w:w="861" w:type="pct"/>
            <w:vAlign w:val="center"/>
          </w:tcPr>
          <w:p>
            <w:pPr>
              <w:jc w:val="center"/>
              <w:rPr>
                <w:rFonts w:ascii="宋体" w:hAnsi="宋体"/>
              </w:rPr>
            </w:pPr>
            <w:r>
              <w:rPr>
                <w:rFonts w:hint="eastAsia" w:ascii="宋体" w:hAnsi="宋体"/>
              </w:rPr>
              <w:t>—</w:t>
            </w:r>
          </w:p>
        </w:tc>
        <w:tc>
          <w:tcPr>
            <w:tcW w:w="1250" w:type="pct"/>
            <w:vAlign w:val="center"/>
          </w:tcPr>
          <w:p>
            <w:pPr>
              <w:jc w:val="right"/>
              <w:rPr>
                <w:rFonts w:ascii="宋体" w:hAnsi="宋体"/>
              </w:rPr>
            </w:pPr>
            <w:r>
              <w:rPr>
                <w:rFonts w:hint="eastAsia" w:ascii="宋体" w:hAnsi="宋体"/>
              </w:rPr>
              <w:t>46</w:t>
            </w:r>
          </w:p>
        </w:tc>
      </w:tr>
    </w:tbl>
    <w:p>
      <w:pPr>
        <w:snapToGrid w:val="0"/>
        <w:spacing w:line="240" w:lineRule="atLeast"/>
      </w:pPr>
    </w:p>
    <w:p>
      <w:pPr>
        <w:snapToGrid w:val="0"/>
        <w:spacing w:line="240" w:lineRule="atLeast"/>
      </w:pPr>
    </w:p>
    <w:p>
      <w:pPr>
        <w:pStyle w:val="531"/>
      </w:pPr>
      <w:r>
        <w:rPr>
          <w:rFonts w:hint="eastAsia"/>
        </w:rPr>
        <w:t>其他说明</w:t>
      </w:r>
    </w:p>
    <w:sdt>
      <w:sdtPr>
        <w:rPr>
          <w:rFonts w:hint="eastAsia"/>
        </w:rPr>
        <w:alias w:val="是否适用：预付帐款的说明[双击切换]"/>
        <w:tag w:val="_GBC_292d88b78b6d439981e508e0126d8061"/>
        <w:id w:val="-1939200489"/>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69"/>
        </w:numPr>
      </w:pPr>
      <w:r>
        <w:rPr>
          <w:rFonts w:hint="eastAsia"/>
        </w:rPr>
        <w:t>其他应收款</w:t>
      </w:r>
    </w:p>
    <w:p>
      <w:pPr>
        <w:pStyle w:val="505"/>
      </w:pPr>
      <w:r>
        <w:rPr>
          <w:rFonts w:hint="eastAsia" w:ascii="宋体" w:hAnsi="宋体" w:eastAsia="宋体" w:cs="宋体"/>
          <w:kern w:val="0"/>
          <w:szCs w:val="24"/>
        </w:rPr>
        <w:t>项目列示</w:t>
      </w:r>
    </w:p>
    <w:sdt>
      <w:sdtPr>
        <w:alias w:val="是否适用：其他应收款分类列示[双击切换]"/>
        <w:tag w:val="_GBC_5cf24a2049f64010a4df1f0db5a97234"/>
        <w:id w:val="-2083289528"/>
        <w:placeholder>
          <w:docPart w:val="GBC22222222222222222222222222222"/>
        </w:placeholder>
      </w:sdtPr>
      <w:sdtContent>
        <w:p>
          <w:pPr>
            <w:pStyle w:val="531"/>
          </w:pPr>
          <w:bookmarkStart w:id="252" w:name="_Hlk53290609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其他应收款分类列示"/>
          <w:tag w:val="_GBC_7f9aa6546943491ca0ac8585be1822b5"/>
          <w:id w:val="-6145138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其他应收款分类列示"/>
          <w:tag w:val="_GBC_04bd5c819b004daf9b35f05cdd98046d"/>
          <w:id w:val="6604360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blHeader/>
        </w:trPr>
        <w:sdt>
          <w:sdtPr>
            <w:tag w:val="_PLD_4377dcbf8fc04365884311b6628ee70c"/>
            <w:id w:val="-1296989017"/>
          </w:sdtPr>
          <w:sdtContent>
            <w:tc>
              <w:tcPr>
                <w:tcW w:w="1764" w:type="pct"/>
                <w:vAlign w:val="center"/>
              </w:tcPr>
              <w:p>
                <w:pPr>
                  <w:jc w:val="center"/>
                </w:pPr>
                <w:r>
                  <w:rPr>
                    <w:rFonts w:hint="eastAsia"/>
                  </w:rPr>
                  <w:t>项目</w:t>
                </w:r>
              </w:p>
            </w:tc>
          </w:sdtContent>
        </w:sdt>
        <w:sdt>
          <w:sdtPr>
            <w:tag w:val="_PLD_9eed799cfa4b445abd6bf2c21c8e53d1"/>
            <w:id w:val="1294097960"/>
          </w:sdtPr>
          <w:sdtContent>
            <w:tc>
              <w:tcPr>
                <w:tcW w:w="1622" w:type="pct"/>
                <w:vAlign w:val="center"/>
              </w:tcPr>
              <w:p>
                <w:pPr>
                  <w:jc w:val="center"/>
                </w:pPr>
                <w:r>
                  <w:rPr>
                    <w:rFonts w:hint="eastAsia"/>
                  </w:rPr>
                  <w:t>期末余额</w:t>
                </w:r>
              </w:p>
            </w:tc>
          </w:sdtContent>
        </w:sdt>
        <w:sdt>
          <w:sdtPr>
            <w:tag w:val="_PLD_200365ee1196470e91075b949a7f5552"/>
            <w:id w:val="2004698901"/>
          </w:sdtPr>
          <w:sdtContent>
            <w:tc>
              <w:tcPr>
                <w:tcW w:w="1614" w:type="pct"/>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pPr>
            <w:r>
              <w:rPr>
                <w:rFonts w:hint="eastAsia"/>
              </w:rPr>
              <w:t>应收股利</w:t>
            </w:r>
          </w:p>
        </w:tc>
        <w:tc>
          <w:tcPr>
            <w:tcW w:w="1622" w:type="pct"/>
          </w:tcPr>
          <w:p>
            <w:pPr>
              <w:ind w:right="5"/>
              <w:jc w:val="right"/>
              <w:rPr>
                <w:rFonts w:ascii="宋体" w:hAnsi="宋体"/>
              </w:rPr>
            </w:pPr>
            <w:r>
              <w:rPr>
                <w:rFonts w:hint="eastAsia" w:ascii="宋体" w:hAnsi="宋体"/>
              </w:rPr>
              <w:t>455,230</w:t>
            </w:r>
          </w:p>
        </w:tc>
        <w:tc>
          <w:tcPr>
            <w:tcW w:w="1614" w:type="pct"/>
          </w:tcPr>
          <w:p>
            <w:pPr>
              <w:ind w:right="5"/>
              <w:jc w:val="right"/>
              <w:rPr>
                <w:rFonts w:ascii="宋体" w:hAnsi="宋体"/>
              </w:rPr>
            </w:pPr>
            <w:r>
              <w:rPr>
                <w:rFonts w:hint="eastAsia" w:ascii="宋体" w:hAnsi="宋体"/>
              </w:rPr>
              <w:t>220,311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pPr>
            <w:r>
              <w:rPr>
                <w:rFonts w:hint="eastAsia"/>
              </w:rPr>
              <w:t>其他应收款</w:t>
            </w:r>
          </w:p>
        </w:tc>
        <w:tc>
          <w:tcPr>
            <w:tcW w:w="1622" w:type="pct"/>
          </w:tcPr>
          <w:p>
            <w:pPr>
              <w:ind w:right="5"/>
              <w:jc w:val="right"/>
              <w:rPr>
                <w:rFonts w:ascii="宋体" w:hAnsi="宋体"/>
              </w:rPr>
            </w:pPr>
            <w:r>
              <w:rPr>
                <w:rFonts w:hint="eastAsia" w:ascii="宋体" w:hAnsi="宋体"/>
              </w:rPr>
              <w:t>3,745,849</w:t>
            </w:r>
          </w:p>
        </w:tc>
        <w:tc>
          <w:tcPr>
            <w:tcW w:w="1614" w:type="pct"/>
          </w:tcPr>
          <w:p>
            <w:pPr>
              <w:ind w:right="5"/>
              <w:jc w:val="right"/>
              <w:rPr>
                <w:rFonts w:ascii="宋体" w:hAnsi="宋体"/>
              </w:rPr>
            </w:pPr>
            <w:r>
              <w:rPr>
                <w:rFonts w:hint="eastAsia" w:ascii="宋体" w:hAnsi="宋体"/>
              </w:rPr>
              <w:t>5,721,891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autoSpaceDE w:val="0"/>
              <w:autoSpaceDN w:val="0"/>
              <w:adjustRightInd w:val="0"/>
            </w:pPr>
            <w:r>
              <w:rPr>
                <w:rFonts w:hint="eastAsia"/>
              </w:rPr>
              <w:t>合计</w:t>
            </w:r>
          </w:p>
        </w:tc>
        <w:tc>
          <w:tcPr>
            <w:tcW w:w="1622" w:type="pct"/>
          </w:tcPr>
          <w:p>
            <w:pPr>
              <w:jc w:val="right"/>
              <w:rPr>
                <w:rFonts w:ascii="宋体" w:hAnsi="宋体"/>
              </w:rPr>
            </w:pPr>
            <w:r>
              <w:rPr>
                <w:rFonts w:hint="eastAsia" w:ascii="宋体" w:hAnsi="宋体"/>
              </w:rPr>
              <w:t>4,201,079</w:t>
            </w:r>
          </w:p>
        </w:tc>
        <w:tc>
          <w:tcPr>
            <w:tcW w:w="1614" w:type="pct"/>
          </w:tcPr>
          <w:p>
            <w:pPr>
              <w:jc w:val="right"/>
              <w:rPr>
                <w:rFonts w:ascii="宋体" w:hAnsi="宋体"/>
              </w:rPr>
            </w:pPr>
            <w:r>
              <w:rPr>
                <w:rFonts w:hint="eastAsia" w:ascii="宋体" w:hAnsi="宋体"/>
              </w:rPr>
              <w:t>5,942,202</w:t>
            </w:r>
          </w:p>
        </w:tc>
      </w:tr>
    </w:tbl>
    <w:p>
      <w:pPr>
        <w:pStyle w:val="531"/>
      </w:pPr>
    </w:p>
    <w:p>
      <w:pPr>
        <w:pStyle w:val="501"/>
      </w:pPr>
      <w:r>
        <w:rPr>
          <w:rFonts w:hint="eastAsia"/>
        </w:rPr>
        <w:t>其他说明：</w:t>
      </w:r>
    </w:p>
    <w:bookmarkEnd w:id="252"/>
    <w:sdt>
      <w:sdtPr>
        <w:alias w:val="是否适用：其他应收款分类列示其他说明[双击切换]"/>
        <w:tag w:val="_GBC_87a25d8043fc4fcfac6a8c802b58dfc7"/>
        <w:id w:val="1037782039"/>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ind w:left="360" w:hanging="360"/>
      </w:pPr>
      <w:r>
        <w:rPr>
          <w:rFonts w:hint="eastAsia"/>
        </w:rPr>
        <w:t>应收利息</w:t>
      </w:r>
    </w:p>
    <w:p>
      <w:pPr>
        <w:pStyle w:val="506"/>
        <w:numPr>
          <w:ilvl w:val="0"/>
          <w:numId w:val="75"/>
        </w:numPr>
        <w:ind w:leftChars="0"/>
      </w:pPr>
      <w:r>
        <w:rPr>
          <w:rFonts w:hint="eastAsia"/>
        </w:rPr>
        <w:t>应收利息分类</w:t>
      </w:r>
    </w:p>
    <w:sdt>
      <w:sdtPr>
        <w:alias w:val="是否适用：应收利息分类[双击切换]"/>
        <w:tag w:val="_GBC_83217ec91e3240eeb9ff337eca1b11bb"/>
        <w:id w:val="1855995585"/>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6"/>
        <w:numPr>
          <w:ilvl w:val="0"/>
          <w:numId w:val="75"/>
        </w:numPr>
        <w:ind w:leftChars="0"/>
      </w:pPr>
      <w:r>
        <w:rPr>
          <w:rFonts w:hint="eastAsia"/>
        </w:rPr>
        <w:t>重要逾期利息</w:t>
      </w:r>
    </w:p>
    <w:sdt>
      <w:sdtPr>
        <w:alias w:val="是否适用：重要逾期利息[双击切换]"/>
        <w:tag w:val="_GBC_4720cbb6fd9144c2b14ef7120e6159be"/>
        <w:id w:val="-114927770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6"/>
        <w:numPr>
          <w:ilvl w:val="0"/>
          <w:numId w:val="75"/>
        </w:numPr>
        <w:ind w:leftChars="0"/>
        <w:rPr>
          <w:rFonts w:ascii="宋体" w:hAnsi="宋体" w:cs="宋体"/>
          <w:kern w:val="0"/>
          <w:szCs w:val="24"/>
        </w:rPr>
      </w:pPr>
      <w:r>
        <w:rPr>
          <w:rFonts w:hint="eastAsia" w:ascii="宋体" w:hAnsi="宋体" w:cs="宋体"/>
          <w:kern w:val="0"/>
          <w:szCs w:val="24"/>
        </w:rPr>
        <w:t>按</w:t>
      </w:r>
      <w:r>
        <w:rPr>
          <w:rFonts w:ascii="宋体" w:hAnsi="宋体" w:cs="宋体"/>
          <w:kern w:val="0"/>
          <w:szCs w:val="24"/>
        </w:rPr>
        <w:t>坏账计提方法分类披露</w:t>
      </w:r>
    </w:p>
    <w:sdt>
      <w:sdtPr>
        <w:alias w:val="是否适用：按坏账计提方法分类披露[双击切换]"/>
        <w:tag w:val="_GBC_4dfa1c3f378a461fb32dcc384b94c01c"/>
        <w:id w:val="501245403"/>
        <w:placeholder>
          <w:docPart w:val="GBC22222222222222222222222222222"/>
        </w:placeholder>
      </w:sdtPr>
      <w:sdtContent>
        <w:p>
          <w:pPr>
            <w:pStyle w:val="531"/>
          </w:pPr>
          <w:bookmarkStart w:id="253" w:name="_Hlk15337483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按单项计提坏账准备：</w:t>
      </w:r>
    </w:p>
    <w:sdt>
      <w:sdtPr>
        <w:alias w:val="是否适用：按单项计提坏账准备的详细情况[双击切换]"/>
        <w:tag w:val="_GBC_f555101264ef4acba1df68e54d30175a"/>
        <w:id w:val="-86813446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按单项计提坏账准备的说明：</w:t>
      </w:r>
    </w:p>
    <w:sdt>
      <w:sdtPr>
        <w:alias w:val="是否适用：按单项计提坏账准备的说明[双击切换]"/>
        <w:tag w:val="_GBC_e7140d40a6d84e56957900180d1e6af2"/>
        <w:id w:val="-822660216"/>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rPr>
          <w:bCs/>
          <w:szCs w:val="22"/>
        </w:rPr>
      </w:pPr>
      <w:r>
        <w:rPr>
          <w:rFonts w:hint="eastAsia"/>
          <w:bCs/>
          <w:szCs w:val="22"/>
        </w:rPr>
        <w:t>按组合计提坏账准备：</w:t>
      </w:r>
    </w:p>
    <w:sdt>
      <w:sdtPr>
        <w:rPr>
          <w:bCs/>
          <w:szCs w:val="22"/>
        </w:rPr>
        <w:alias w:val="是否适用：按组合计提坏账准备的详细情况[双击切换]"/>
        <w:tag w:val="_GBC_ee220409efb74ad0a4dffa7172a6bdf0"/>
        <w:id w:val="1075625730"/>
        <w:placeholder>
          <w:docPart w:val="GBC22222222222222222222222222222"/>
        </w:placeholder>
      </w:sdtPr>
      <w:sdtEndPr>
        <w:rPr>
          <w:bCs/>
          <w:szCs w:val="22"/>
        </w:rPr>
      </w:sdtEndPr>
      <w:sdtContent>
        <w:p>
          <w:pPr>
            <w:pStyle w:val="501"/>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pPr>
        <w:pStyle w:val="501"/>
      </w:pPr>
    </w:p>
    <w:bookmarkEnd w:id="253"/>
    <w:p>
      <w:pPr>
        <w:rPr>
          <w:b/>
          <w:bCs/>
          <w:szCs w:val="22"/>
        </w:rPr>
      </w:pPr>
    </w:p>
    <w:p>
      <w:pPr>
        <w:pStyle w:val="506"/>
        <w:numPr>
          <w:ilvl w:val="0"/>
          <w:numId w:val="75"/>
        </w:numPr>
        <w:ind w:leftChars="0"/>
      </w:pPr>
      <w:r>
        <w:rPr>
          <w:rFonts w:hint="eastAsia" w:ascii="宋体" w:hAnsi="宋体" w:cs="宋体"/>
          <w:kern w:val="0"/>
          <w:szCs w:val="24"/>
        </w:rPr>
        <w:t>按预期信用损失一般模型计提坏账准备</w:t>
      </w:r>
    </w:p>
    <w:sdt>
      <w:sdtPr>
        <w:alias w:val="是否适用：应收利息坏账准备调节表[双击切换]"/>
        <w:tag w:val="_GBC_2926f106217b4c11a5fe606b79f60d83"/>
        <w:id w:val="327487565"/>
        <w:placeholder>
          <w:docPart w:val="GBC22222222222222222222222222222"/>
        </w:placeholder>
      </w:sdtPr>
      <w:sdtContent>
        <w:p>
          <w:pPr>
            <w:pStyle w:val="501"/>
          </w:pPr>
          <w:bookmarkStart w:id="254" w:name="_Hlk53386729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autoSpaceDE w:val="0"/>
        <w:autoSpaceDN w:val="0"/>
        <w:adjustRightInd w:val="0"/>
        <w:ind w:right="105" w:rightChars="50"/>
      </w:pPr>
    </w:p>
    <w:p>
      <w:pPr>
        <w:pStyle w:val="560"/>
      </w:pPr>
      <w:r>
        <w:rPr>
          <w:rFonts w:hint="eastAsia"/>
        </w:rPr>
        <w:t>对本期发生损失准备变动的应收利息账面余额显著变动的情况说明：</w:t>
      </w:r>
    </w:p>
    <w:sdt>
      <w:sdtPr>
        <w:alias w:val="是否适用：应收利息本期发生损失准备变动且账面余额显著变动的情况说明[双击切换]"/>
        <w:tag w:val="_GBC_07d71685a64f4800b3e351083fc5c9ae"/>
        <w:id w:val="-1531094967"/>
        <w:placeholder>
          <w:docPart w:val="GBC22222222222222222222222222222"/>
        </w:placeholder>
      </w:sdt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54"/>
    <w:p>
      <w:pPr>
        <w:autoSpaceDE w:val="0"/>
        <w:autoSpaceDN w:val="0"/>
        <w:adjustRightInd w:val="0"/>
        <w:ind w:right="105" w:rightChars="50"/>
      </w:pPr>
    </w:p>
    <w:p>
      <w:pPr>
        <w:pStyle w:val="506"/>
        <w:numPr>
          <w:ilvl w:val="0"/>
          <w:numId w:val="75"/>
        </w:numPr>
        <w:ind w:leftChars="0"/>
        <w:rPr>
          <w:rFonts w:ascii="宋体" w:hAnsi="宋体" w:cs="宋体"/>
          <w:kern w:val="0"/>
          <w:szCs w:val="24"/>
        </w:rPr>
      </w:pPr>
      <w:r>
        <w:rPr>
          <w:rFonts w:hint="eastAsia" w:ascii="宋体" w:hAnsi="宋体" w:cs="宋体"/>
          <w:kern w:val="0"/>
          <w:szCs w:val="24"/>
        </w:rPr>
        <w:t>坏账准备的情况</w:t>
      </w:r>
    </w:p>
    <w:sdt>
      <w:sdtPr>
        <w:alias w:val="是否适用：坏账准备情况[双击切换]"/>
        <w:tag w:val="_GBC_faf892fca7fd4a8ebcdef2231ff828bc"/>
        <w:id w:val="1178162252"/>
        <w:placeholder>
          <w:docPart w:val="GBC22222222222222222222222222222"/>
        </w:placeholder>
      </w:sdtPr>
      <w:sdtContent>
        <w:p>
          <w:pPr>
            <w:pStyle w:val="531"/>
          </w:pPr>
          <w:bookmarkStart w:id="255" w:name="_Hlk15337504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其中本期坏账准备收回或转回金额重要的：</w:t>
      </w:r>
    </w:p>
    <w:sdt>
      <w:sdtPr>
        <w:alias w:val="是否适用：本期坏账准备收回或转回金额重要的[双击切换]"/>
        <w:tag w:val="_GBC_5a2d052a52b74bb7a867cb7ad62574c9"/>
        <w:id w:val="107671466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6"/>
        <w:numPr>
          <w:ilvl w:val="0"/>
          <w:numId w:val="75"/>
        </w:numPr>
        <w:ind w:leftChars="0"/>
        <w:rPr>
          <w:rFonts w:ascii="宋体" w:hAnsi="宋体" w:cs="宋体"/>
          <w:kern w:val="0"/>
          <w:szCs w:val="24"/>
        </w:rPr>
      </w:pPr>
      <w:r>
        <w:rPr>
          <w:rFonts w:ascii="宋体" w:hAnsi="宋体" w:cs="宋体"/>
          <w:kern w:val="0"/>
          <w:szCs w:val="24"/>
        </w:rPr>
        <w:t>本期实际核销的应收</w:t>
      </w:r>
      <w:r>
        <w:rPr>
          <w:rFonts w:hint="eastAsia" w:ascii="宋体" w:hAnsi="宋体" w:cs="宋体"/>
          <w:kern w:val="0"/>
          <w:szCs w:val="24"/>
        </w:rPr>
        <w:t>利息</w:t>
      </w:r>
      <w:r>
        <w:rPr>
          <w:rFonts w:ascii="宋体" w:hAnsi="宋体" w:cs="宋体"/>
          <w:kern w:val="0"/>
          <w:szCs w:val="24"/>
        </w:rPr>
        <w:t>情况</w:t>
      </w:r>
    </w:p>
    <w:sdt>
      <w:sdtPr>
        <w:alias w:val="是否适用：实际核销的情况[双击切换]"/>
        <w:tag w:val="_GBC_d4fcf512bafe4a40a1f75d78eee0f333"/>
        <w:id w:val="-1489082107"/>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其中重要的应收利息核销情况</w:t>
      </w:r>
    </w:p>
    <w:sdt>
      <w:sdtPr>
        <w:rPr>
          <w:rFonts w:hint="eastAsia"/>
        </w:rPr>
        <w:alias w:val="是否适用：重要的核销情况[双击切换]"/>
        <w:tag w:val="_GBC_2cc69a5549814fd6aee1164366f580ec"/>
        <w:id w:val="984279871"/>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核销说明：</w:t>
      </w:r>
    </w:p>
    <w:sdt>
      <w:sdtPr>
        <w:alias w:val="是否适用：核销说明[双击切换]"/>
        <w:tag w:val="_GBC_d8b86767c1604cb69ee84c043aa1b8dc"/>
        <w:id w:val="872577389"/>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31"/>
      </w:pPr>
      <w:r>
        <w:rPr>
          <w:rFonts w:hint="eastAsia"/>
        </w:rPr>
        <w:t>其他说明：</w:t>
      </w:r>
    </w:p>
    <w:bookmarkEnd w:id="255"/>
    <w:sdt>
      <w:sdtPr>
        <w:rPr>
          <w:rFonts w:hint="eastAsia"/>
        </w:rPr>
        <w:alias w:val="是否适用：应收利息的说明[双击切换]"/>
        <w:tag w:val="_GBC_353af20a1db84c639b0e03e660c37a48"/>
        <w:id w:val="-1531706757"/>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ind w:left="360" w:hanging="360"/>
      </w:pPr>
      <w:r>
        <w:rPr>
          <w:rFonts w:hint="eastAsia"/>
        </w:rPr>
        <w:t>应收股利</w:t>
      </w:r>
    </w:p>
    <w:p>
      <w:pPr>
        <w:pStyle w:val="506"/>
        <w:numPr>
          <w:ilvl w:val="0"/>
          <w:numId w:val="76"/>
        </w:numPr>
        <w:ind w:leftChars="0"/>
      </w:pPr>
      <w:r>
        <w:rPr>
          <w:rFonts w:hint="eastAsia"/>
        </w:rPr>
        <w:t>应收股利</w:t>
      </w:r>
    </w:p>
    <w:sdt>
      <w:sdtPr>
        <w:alias w:val="是否适用：应收股利[双击切换]"/>
        <w:tag w:val="_GBC_c0f7b0360a644690b0472107042df17a"/>
        <w:id w:val="200400840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6"/>
        <w:numPr>
          <w:ilvl w:val="0"/>
          <w:numId w:val="76"/>
        </w:numPr>
        <w:ind w:leftChars="0"/>
      </w:pPr>
      <w:r>
        <w:rPr>
          <w:rFonts w:hint="eastAsia"/>
        </w:rPr>
        <w:t>重要的账龄超过1年的应收股利</w:t>
      </w:r>
    </w:p>
    <w:p>
      <w:pPr>
        <w:pStyle w:val="501"/>
      </w:pPr>
      <w:sdt>
        <w:sdtPr>
          <w:rPr>
            <w:rFonts w:hint="eastAsia"/>
          </w:rPr>
          <w:alias w:val="是否适用：重要的账龄超过1年的应收股利[双击切换]"/>
          <w:tag w:val="_GBC_d46c4e6d2f2e4e20b430a619bde9abe8"/>
          <w:id w:val="1324079296"/>
          <w:placeholder>
            <w:docPart w:val="GBC22222222222222222222222222222"/>
          </w:placeholder>
        </w:sdtPr>
        <w:sdtEndPr>
          <w:rPr>
            <w:rFonts w:hint="eastAsia"/>
          </w:rPr>
        </w:sdtEnd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pStyle w:val="501"/>
      </w:pPr>
    </w:p>
    <w:p>
      <w:pPr>
        <w:pStyle w:val="506"/>
        <w:numPr>
          <w:ilvl w:val="0"/>
          <w:numId w:val="76"/>
        </w:numPr>
        <w:ind w:leftChars="0"/>
        <w:rPr>
          <w:rFonts w:ascii="宋体" w:hAnsi="宋体" w:cs="宋体"/>
          <w:kern w:val="0"/>
          <w:szCs w:val="24"/>
        </w:rPr>
      </w:pPr>
      <w:r>
        <w:rPr>
          <w:rFonts w:hint="eastAsia" w:ascii="宋体" w:hAnsi="宋体" w:cs="宋体"/>
          <w:kern w:val="0"/>
          <w:szCs w:val="24"/>
        </w:rPr>
        <w:t>按</w:t>
      </w:r>
      <w:r>
        <w:rPr>
          <w:rFonts w:ascii="宋体" w:hAnsi="宋体" w:cs="宋体"/>
          <w:kern w:val="0"/>
          <w:szCs w:val="24"/>
        </w:rPr>
        <w:t>坏账计提方法分类披露</w:t>
      </w:r>
    </w:p>
    <w:sdt>
      <w:sdtPr>
        <w:alias w:val="是否适用：按坏账计提方法分类披露[双击切换]"/>
        <w:tag w:val="_GBC_ad0add93fbe54bc5984d3fdcd19c4070"/>
        <w:id w:val="-1416707581"/>
        <w:placeholder>
          <w:docPart w:val="GBC22222222222222222222222222222"/>
        </w:placeholder>
      </w:sdtPr>
      <w:sdtContent>
        <w:p>
          <w:pPr>
            <w:pStyle w:val="531"/>
          </w:pPr>
          <w:bookmarkStart w:id="256" w:name="_Hlk1533772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按单项计提坏账准备：</w:t>
      </w:r>
    </w:p>
    <w:sdt>
      <w:sdtPr>
        <w:alias w:val="是否适用：按单项计提坏账准备的详细情况[双击切换]"/>
        <w:tag w:val="_GBC_0715807534664009b6e06e12b5244cb0"/>
        <w:id w:val="1139919848"/>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按单项计提坏账准备的说明：</w:t>
      </w:r>
    </w:p>
    <w:sdt>
      <w:sdtPr>
        <w:alias w:val="是否适用：按单项计提坏账准备的说明[双击切换]"/>
        <w:tag w:val="_GBC_22fd3e53fab548e0b8db7ad77d176da5"/>
        <w:id w:val="-390116509"/>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rPr>
          <w:bCs/>
          <w:szCs w:val="22"/>
        </w:rPr>
      </w:pPr>
      <w:r>
        <w:rPr>
          <w:rFonts w:hint="eastAsia"/>
          <w:bCs/>
          <w:szCs w:val="22"/>
        </w:rPr>
        <w:t>按组合计提坏账准备：</w:t>
      </w:r>
    </w:p>
    <w:sdt>
      <w:sdtPr>
        <w:rPr>
          <w:bCs/>
          <w:szCs w:val="22"/>
        </w:rPr>
        <w:alias w:val="是否适用：按组合计提坏账准备的详细情况[双击切换]"/>
        <w:tag w:val="_GBC_3fb2695da2d2471f82cd62f8736c521e"/>
        <w:id w:val="2042930278"/>
        <w:placeholder>
          <w:docPart w:val="GBC22222222222222222222222222222"/>
        </w:placeholder>
      </w:sdtPr>
      <w:sdtEndPr>
        <w:rPr>
          <w:bCs/>
          <w:szCs w:val="22"/>
        </w:rPr>
      </w:sdtEndPr>
      <w:sdtContent>
        <w:p>
          <w:pPr>
            <w:pStyle w:val="501"/>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pPr>
        <w:pStyle w:val="501"/>
      </w:pPr>
    </w:p>
    <w:p>
      <w:pPr>
        <w:rPr>
          <w:b/>
          <w:bCs/>
          <w:szCs w:val="22"/>
        </w:rPr>
      </w:pPr>
    </w:p>
    <w:p>
      <w:pPr>
        <w:pStyle w:val="506"/>
        <w:numPr>
          <w:ilvl w:val="0"/>
          <w:numId w:val="76"/>
        </w:numPr>
        <w:ind w:leftChars="0"/>
      </w:pPr>
      <w:r>
        <w:rPr>
          <w:rFonts w:hint="eastAsia"/>
        </w:rPr>
        <w:t>按预期信用损失一般模型计提坏账准备</w:t>
      </w:r>
      <w:r>
        <w:t xml:space="preserve"> </w:t>
      </w:r>
    </w:p>
    <w:bookmarkEnd w:id="256"/>
    <w:sdt>
      <w:sdtPr>
        <w:alias w:val="是否适用：应收股利坏账准备调节表[双击切换]"/>
        <w:tag w:val="_GBC_847cf15503744e02b8ac7395c17d2da6"/>
        <w:id w:val="821928603"/>
        <w:placeholder>
          <w:docPart w:val="GBC22222222222222222222222222222"/>
        </w:placeholder>
      </w:sdtPr>
      <w:sdtContent>
        <w:p>
          <w:pPr>
            <w:pStyle w:val="531"/>
          </w:pPr>
          <w:bookmarkStart w:id="257" w:name="_Hlk53342114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60"/>
      </w:pPr>
      <w:r>
        <w:rPr>
          <w:rFonts w:hint="eastAsia"/>
        </w:rPr>
        <w:t>对本期发生损失准备变动的应收股利账面余额显著变动的情况说明：</w:t>
      </w:r>
    </w:p>
    <w:sdt>
      <w:sdtPr>
        <w:alias w:val="是否适用：应收股利本期发生损失准备变动且账面余额显著变动的情况说明[双击切换]"/>
        <w:tag w:val="_GBC_f431acf85fd94f1eb2cd4d70b0f69b2c"/>
        <w:id w:val="-2105106395"/>
        <w:placeholder>
          <w:docPart w:val="GBC22222222222222222222222222222"/>
        </w:placeholder>
      </w:sdt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57"/>
    <w:p>
      <w:pPr>
        <w:autoSpaceDE w:val="0"/>
        <w:autoSpaceDN w:val="0"/>
        <w:adjustRightInd w:val="0"/>
        <w:ind w:right="105" w:rightChars="50"/>
      </w:pPr>
    </w:p>
    <w:p>
      <w:pPr>
        <w:pStyle w:val="506"/>
        <w:numPr>
          <w:ilvl w:val="0"/>
          <w:numId w:val="76"/>
        </w:numPr>
        <w:ind w:leftChars="0"/>
        <w:rPr>
          <w:rFonts w:ascii="宋体" w:hAnsi="宋体" w:cs="宋体"/>
          <w:kern w:val="0"/>
          <w:szCs w:val="24"/>
        </w:rPr>
      </w:pPr>
      <w:r>
        <w:rPr>
          <w:rFonts w:hint="eastAsia" w:ascii="宋体" w:hAnsi="宋体" w:cs="宋体"/>
          <w:kern w:val="0"/>
          <w:szCs w:val="24"/>
        </w:rPr>
        <w:t>坏账准备的情况</w:t>
      </w:r>
    </w:p>
    <w:sdt>
      <w:sdtPr>
        <w:alias w:val="是否适用：坏账准备情况[双击切换]"/>
        <w:tag w:val="_GBC_3425c1c233b1473ca1aaf53c81088091"/>
        <w:id w:val="178793624"/>
        <w:placeholder>
          <w:docPart w:val="GBC22222222222222222222222222222"/>
        </w:placeholder>
      </w:sdtPr>
      <w:sdtContent>
        <w:p>
          <w:pPr>
            <w:pStyle w:val="531"/>
          </w:pPr>
          <w:bookmarkStart w:id="258" w:name="_Hlk15337745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其中本期坏账准备收回或转回金额重要的：</w:t>
      </w:r>
    </w:p>
    <w:sdt>
      <w:sdtPr>
        <w:alias w:val="是否适用：本期坏账准备收回或转回金额重要的[双击切换]"/>
        <w:tag w:val="_GBC_d8ca1b67740e4a2e8d7777b8dee9c902"/>
        <w:id w:val="434719004"/>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ind w:right="-1594" w:rightChars="-759"/>
      </w:pPr>
    </w:p>
    <w:p>
      <w:pPr>
        <w:pStyle w:val="506"/>
        <w:numPr>
          <w:ilvl w:val="0"/>
          <w:numId w:val="76"/>
        </w:numPr>
        <w:ind w:leftChars="0"/>
        <w:rPr>
          <w:rFonts w:ascii="宋体" w:hAnsi="宋体" w:cs="宋体"/>
          <w:kern w:val="0"/>
          <w:szCs w:val="24"/>
        </w:rPr>
      </w:pPr>
      <w:r>
        <w:rPr>
          <w:rFonts w:ascii="宋体" w:hAnsi="宋体" w:cs="宋体"/>
          <w:kern w:val="0"/>
          <w:szCs w:val="24"/>
        </w:rPr>
        <w:t>本期实际核销的应收</w:t>
      </w:r>
      <w:r>
        <w:rPr>
          <w:rFonts w:hint="eastAsia" w:ascii="宋体" w:hAnsi="宋体" w:cs="宋体"/>
          <w:kern w:val="0"/>
          <w:szCs w:val="24"/>
        </w:rPr>
        <w:t>股利</w:t>
      </w:r>
      <w:r>
        <w:rPr>
          <w:rFonts w:ascii="宋体" w:hAnsi="宋体" w:cs="宋体"/>
          <w:kern w:val="0"/>
          <w:szCs w:val="24"/>
        </w:rPr>
        <w:t>情况</w:t>
      </w:r>
    </w:p>
    <w:sdt>
      <w:sdtPr>
        <w:alias w:val="是否适用：实际核销的情况[双击切换]"/>
        <w:tag w:val="_GBC_affd5e7be1cd4edaac5e7416308656eb"/>
        <w:id w:val="-7244152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其中重要的应收股利核销情况</w:t>
      </w:r>
    </w:p>
    <w:sdt>
      <w:sdtPr>
        <w:rPr>
          <w:rFonts w:hint="eastAsia"/>
        </w:rPr>
        <w:alias w:val="是否适用：重要的核销情况[双击切换]"/>
        <w:tag w:val="_GBC_a09dafd42ae74d3fae2308963d62171e"/>
        <w:id w:val="-1718818237"/>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核销说明：</w:t>
      </w:r>
    </w:p>
    <w:sdt>
      <w:sdtPr>
        <w:alias w:val="是否适用：核销说明[双击切换]"/>
        <w:tag w:val="_GBC_fd7a575bc84240be8d95e73a6c70d53d"/>
        <w:id w:val="1826081916"/>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58"/>
    <w:p>
      <w:pPr>
        <w:pStyle w:val="531"/>
      </w:pPr>
    </w:p>
    <w:p>
      <w:pPr>
        <w:pStyle w:val="501"/>
      </w:pPr>
      <w:r>
        <w:rPr>
          <w:rFonts w:hint="eastAsia"/>
        </w:rPr>
        <w:t>其他说明：</w:t>
      </w:r>
    </w:p>
    <w:p>
      <w:pPr>
        <w:pStyle w:val="501"/>
      </w:pPr>
      <w:sdt>
        <w:sdtPr>
          <w:alias w:val="是否适用：应收股利的说明[双击切换]"/>
          <w:tag w:val="_GBC_22314d2cdf794d5f90af92f13665da22"/>
          <w:id w:val="375212533"/>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snapToGrid w:val="0"/>
        <w:spacing w:line="240" w:lineRule="atLeast"/>
        <w:ind w:right="25" w:rightChars="12"/>
        <w:rPr>
          <w:color w:val="FF0000"/>
        </w:rPr>
      </w:pPr>
    </w:p>
    <w:p>
      <w:pPr>
        <w:pStyle w:val="505"/>
        <w:ind w:left="360" w:hanging="360"/>
      </w:pPr>
      <w:r>
        <w:rPr>
          <w:rFonts w:hint="eastAsia"/>
        </w:rPr>
        <w:t>其他应收款</w:t>
      </w:r>
    </w:p>
    <w:p>
      <w:pPr>
        <w:pStyle w:val="506"/>
        <w:numPr>
          <w:ilvl w:val="0"/>
          <w:numId w:val="77"/>
        </w:numPr>
        <w:ind w:leftChars="0"/>
      </w:pPr>
      <w:r>
        <w:rPr>
          <w:rFonts w:hint="eastAsia"/>
        </w:rPr>
        <w:t>按账龄披露</w:t>
      </w:r>
    </w:p>
    <w:sdt>
      <w:sdtPr>
        <w:rPr>
          <w:rFonts w:hint="eastAsia"/>
        </w:rPr>
        <w:alias w:val="是否适用：组合中，按账龄分析法计提坏账准备的其他应收账款[双击切换]"/>
        <w:tag w:val="_GBC_b46a4e720a884c40b402c5b30a4f4432"/>
        <w:id w:val="-1635710217"/>
      </w:sdtPr>
      <w:sdtEndPr>
        <w:rPr>
          <w:rFonts w:hint="eastAsia"/>
        </w:rPr>
      </w:sdtEndPr>
      <w:sdtContent>
        <w:p>
          <w:pPr>
            <w:pStyle w:val="501"/>
          </w:pPr>
          <w:r>
            <w:rPr>
              <w:rFonts w:hint="eastAsia"/>
            </w:rPr>
            <w:fldChar w:fldCharType="begin"/>
          </w:r>
          <w:r>
            <w:rPr>
              <w:rFonts w:hint="eastAsia"/>
            </w:rPr>
            <w:instrText xml:space="preserve">MACROBUTTON SnrToggleCheckbox √适用 </w:instrText>
          </w:r>
          <w:r>
            <w:rPr>
              <w:rFonts w:hint="eastAsia"/>
            </w:rPr>
            <w:fldChar w:fldCharType="end"/>
          </w:r>
          <w:r>
            <w:rPr>
              <w:rFonts w:hint="eastAsia"/>
            </w:rPr>
            <w:fldChar w:fldCharType="begin"/>
          </w:r>
          <w:r>
            <w:rPr>
              <w:rFonts w:hint="eastAsia"/>
            </w:rPr>
            <w:instrText xml:space="preserve">MACROBUTTON  SnrToggleCheckbox □不适用 </w:instrText>
          </w:r>
          <w:r>
            <w:rPr>
              <w:rFonts w:hint="eastAsia"/>
            </w:rPr>
            <w:fldChar w:fldCharType="end"/>
          </w:r>
        </w:p>
      </w:sdtContent>
    </w:sdt>
    <w:p>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192922123"/>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单项金额不重大但按信用风险特征组合后该组合的风险较大的其他应收账款"/>
          <w:tag w:val="_GBC_eccd3e1ac8d04ff882b9e0189e7dd629"/>
          <w:id w:val="95960778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73"/>
        <w:gridCol w:w="2993"/>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693c274d2774e098d4e6f0b6ce787c4"/>
            <w:id w:val="320925668"/>
          </w:sdtPr>
          <w:sdtContent>
            <w:tc>
              <w:tcPr>
                <w:tcW w:w="169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账龄</w:t>
                </w:r>
              </w:p>
            </w:tc>
          </w:sdtContent>
        </w:sdt>
        <w:sdt>
          <w:sdtPr>
            <w:tag w:val="_PLD_592d3cc76c64401da21e664b374ad045"/>
            <w:id w:val="1659809718"/>
          </w:sdtPr>
          <w:sdtContent>
            <w:tc>
              <w:tcPr>
                <w:tcW w:w="1652"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期末账面余额</w:t>
                </w:r>
              </w:p>
            </w:tc>
          </w:sdtContent>
        </w:sdt>
        <w:tc>
          <w:tcPr>
            <w:tcW w:w="1652" w:type="pct"/>
            <w:tcBorders>
              <w:top w:val="single" w:color="auto" w:sz="4" w:space="0"/>
              <w:left w:val="single" w:color="auto" w:sz="4" w:space="0"/>
              <w:bottom w:val="single" w:color="auto" w:sz="4" w:space="0"/>
              <w:right w:val="single" w:color="auto" w:sz="4" w:space="0"/>
            </w:tcBorders>
          </w:tcPr>
          <w:sdt>
            <w:sdtPr>
              <w:rPr>
                <w:rFonts w:hint="eastAsia"/>
              </w:rPr>
              <w:tag w:val="_PLD_9bcf94b318874d63924c35d852b5b3c8"/>
              <w:id w:val="1323239713"/>
            </w:sdtPr>
            <w:sdtEndPr>
              <w:rPr>
                <w:rFonts w:hint="eastAsia"/>
              </w:rPr>
            </w:sdtEndPr>
            <w:sdtContent>
              <w:p>
                <w:pPr>
                  <w:jc w:val="center"/>
                </w:pPr>
                <w:r>
                  <w:rPr>
                    <w:rFonts w:hint="eastAsia"/>
                  </w:rPr>
                  <w:t>期初账面余额</w:t>
                </w:r>
              </w:p>
            </w:sdtContent>
          </w:sdt>
        </w:tc>
      </w:tr>
      <w:sdt>
        <w:sdtPr>
          <w:rPr>
            <w:rFonts w:ascii="宋体" w:hAnsi="宋体"/>
          </w:rPr>
          <w:alias w:val="按账龄分析法计提坏账准备的其他应收款明细"/>
          <w:tag w:val="_TUP_ee38dddc16a8427aa70aa7b0949306f1"/>
          <w:id w:val="-2097000086"/>
        </w:sdtPr>
        <w:sdtEndPr>
          <w:rPr>
            <w:rFonts w:ascii="宋体" w:hAnsi="宋体"/>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1年以内（含1年）</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2,685,1</w:t>
                </w:r>
                <w:r>
                  <w:rPr>
                    <w:rFonts w:ascii="宋体" w:hAnsi="宋体"/>
                  </w:rPr>
                  <w:t>70</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3,936,814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宋体" w:hAnsi="宋体"/>
            </w:rPr>
            <w:tag w:val="_PLD_98586cfb9fec441587daa5f6317031cb"/>
            <w:id w:val="-1464426410"/>
          </w:sdtPr>
          <w:sdtEndPr>
            <w:rPr>
              <w:rFonts w:ascii="宋体" w:hAnsi="宋体"/>
            </w:rPr>
          </w:sdtEndPr>
          <w:sdtContent>
            <w:tc>
              <w:tcPr>
                <w:tcW w:w="1696"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1至2年</w:t>
                </w:r>
              </w:p>
            </w:tc>
          </w:sdtContent>
        </w:sdt>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467,724</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699,047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宋体" w:hAnsi="宋体"/>
            </w:rPr>
            <w:tag w:val="_PLD_c7dfbea412634188b20a56b875d5c1a0"/>
            <w:id w:val="1873870531"/>
          </w:sdtPr>
          <w:sdtEndPr>
            <w:rPr>
              <w:rFonts w:ascii="宋体" w:hAnsi="宋体"/>
            </w:rPr>
          </w:sdtEndPr>
          <w:sdtContent>
            <w:tc>
              <w:tcPr>
                <w:tcW w:w="1696"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2至3年</w:t>
                </w:r>
              </w:p>
            </w:tc>
          </w:sdtContent>
        </w:sdt>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420,150</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932,432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宋体" w:hAnsi="宋体"/>
            </w:rPr>
            <w:tag w:val="_PLD_7dbeac7b61054fb5aa2ba4792e03ec86"/>
            <w:id w:val="-3440091"/>
          </w:sdtPr>
          <w:sdtEndPr>
            <w:rPr>
              <w:rFonts w:ascii="宋体" w:hAnsi="宋体"/>
            </w:rPr>
          </w:sdtEndPr>
          <w:sdtContent>
            <w:tc>
              <w:tcPr>
                <w:tcW w:w="1696"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3年以上</w:t>
                </w:r>
              </w:p>
            </w:tc>
          </w:sdtContent>
        </w:sdt>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ascii="宋体" w:hAnsi="宋体"/>
              </w:rPr>
              <w:t>2,411,577</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2,984,678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宋体" w:hAnsi="宋体"/>
            </w:rPr>
            <w:tag w:val="_PLD_86909243a0c54a05a7001e5799415551"/>
            <w:id w:val="695433009"/>
          </w:sdtPr>
          <w:sdtEndPr>
            <w:rPr>
              <w:rFonts w:ascii="宋体" w:hAnsi="宋体"/>
            </w:rPr>
          </w:sdtEndPr>
          <w:sdtContent>
            <w:tc>
              <w:tcPr>
                <w:tcW w:w="169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合计</w:t>
                </w:r>
              </w:p>
            </w:tc>
          </w:sdtContent>
        </w:sdt>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ascii="宋体" w:hAnsi="宋体"/>
              </w:rPr>
              <w:t>5,984,621</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8,552,971</w:t>
            </w:r>
          </w:p>
        </w:tc>
      </w:tr>
    </w:tbl>
    <w:p>
      <w:pPr>
        <w:pStyle w:val="501"/>
      </w:pPr>
    </w:p>
    <w:p>
      <w:pPr>
        <w:pStyle w:val="531"/>
      </w:pPr>
    </w:p>
    <w:p>
      <w:pPr>
        <w:pStyle w:val="506"/>
        <w:numPr>
          <w:ilvl w:val="0"/>
          <w:numId w:val="77"/>
        </w:numPr>
        <w:ind w:leftChars="0"/>
      </w:pPr>
      <w:r>
        <w:rPr>
          <w:rFonts w:hint="eastAsia"/>
        </w:rPr>
        <w:t>按款项性质分类情况</w:t>
      </w:r>
    </w:p>
    <w:p>
      <w:pPr>
        <w:pStyle w:val="531"/>
      </w:pPr>
      <w:sdt>
        <w:sdtPr>
          <w:alias w:val="是否适用：其他应收款按款项性质分类情况[双击切换]"/>
          <w:tag w:val="_GBC_f8f8208812d5412eb0a2fdddf1a9d330"/>
          <w:id w:val="-361356863"/>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其他应收款按款项性质分类情况"/>
          <w:tag w:val="_GBC_6e3e3b79e1a6467e8f5cdcabc0a95e4a"/>
          <w:id w:val="12027479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其他应收款按款项性质分类情况"/>
          <w:tag w:val="_GBC_09f3d6bcff8b483f9de34a3ddb25bad4"/>
          <w:id w:val="18915332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2980"/>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宋体" w:hAnsi="宋体"/>
            </w:rPr>
            <w:tag w:val="_PLD_e3e4ae09c73a4371a49803278d537455"/>
            <w:id w:val="1811829991"/>
          </w:sdtPr>
          <w:sdtEndPr>
            <w:rPr>
              <w:rFonts w:ascii="宋体" w:hAnsi="宋体"/>
            </w:rPr>
          </w:sdtEndPr>
          <w:sdtContent>
            <w:tc>
              <w:tcPr>
                <w:tcW w:w="1700" w:type="pct"/>
                <w:shd w:val="clear" w:color="auto" w:fill="auto"/>
                <w:vAlign w:val="center"/>
              </w:tcPr>
              <w:p>
                <w:pPr>
                  <w:jc w:val="center"/>
                  <w:rPr>
                    <w:rFonts w:ascii="宋体" w:hAnsi="宋体"/>
                  </w:rPr>
                </w:pPr>
                <w:r>
                  <w:rPr>
                    <w:rFonts w:hint="eastAsia" w:ascii="宋体" w:hAnsi="宋体"/>
                  </w:rPr>
                  <w:t>款项性质</w:t>
                </w:r>
              </w:p>
            </w:tc>
          </w:sdtContent>
        </w:sdt>
        <w:sdt>
          <w:sdtPr>
            <w:rPr>
              <w:rFonts w:ascii="宋体" w:hAnsi="宋体"/>
            </w:rPr>
            <w:tag w:val="_PLD_166416173edb4a39b34c47c78d0dc766"/>
            <w:id w:val="-2000882548"/>
          </w:sdtPr>
          <w:sdtEndPr>
            <w:rPr>
              <w:rFonts w:ascii="宋体" w:hAnsi="宋体"/>
            </w:rPr>
          </w:sdtEndPr>
          <w:sdtContent>
            <w:tc>
              <w:tcPr>
                <w:tcW w:w="1647" w:type="pct"/>
                <w:shd w:val="clear" w:color="auto" w:fill="auto"/>
                <w:vAlign w:val="center"/>
              </w:tcPr>
              <w:p>
                <w:pPr>
                  <w:jc w:val="center"/>
                  <w:rPr>
                    <w:rFonts w:ascii="宋体" w:hAnsi="宋体"/>
                  </w:rPr>
                </w:pPr>
                <w:r>
                  <w:rPr>
                    <w:rFonts w:hint="eastAsia" w:ascii="宋体" w:hAnsi="宋体"/>
                  </w:rPr>
                  <w:t>期末账面余额</w:t>
                </w:r>
              </w:p>
            </w:tc>
          </w:sdtContent>
        </w:sdt>
        <w:sdt>
          <w:sdtPr>
            <w:rPr>
              <w:rFonts w:ascii="宋体" w:hAnsi="宋体"/>
            </w:rPr>
            <w:tag w:val="_PLD_a78baace40634aeaaff4786c955e1f60"/>
            <w:id w:val="527602611"/>
          </w:sdtPr>
          <w:sdtEndPr>
            <w:rPr>
              <w:rFonts w:ascii="宋体" w:hAnsi="宋体"/>
            </w:rPr>
          </w:sdtEndPr>
          <w:sdtContent>
            <w:tc>
              <w:tcPr>
                <w:tcW w:w="1653" w:type="pct"/>
                <w:shd w:val="clear" w:color="auto" w:fill="auto"/>
                <w:vAlign w:val="center"/>
              </w:tcPr>
              <w:p>
                <w:pPr>
                  <w:jc w:val="center"/>
                  <w:rPr>
                    <w:rFonts w:ascii="宋体" w:hAnsi="宋体"/>
                  </w:rPr>
                </w:pPr>
                <w:r>
                  <w:rPr>
                    <w:rFonts w:hint="eastAsia" w:ascii="宋体" w:hAnsi="宋体"/>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pStyle w:val="531"/>
            </w:pPr>
            <w:r>
              <w:rPr>
                <w:rFonts w:hint="eastAsia"/>
              </w:rPr>
              <w:t>往来款</w:t>
            </w:r>
          </w:p>
        </w:tc>
        <w:tc>
          <w:tcPr>
            <w:tcW w:w="1647" w:type="pct"/>
            <w:shd w:val="clear" w:color="auto" w:fill="auto"/>
          </w:tcPr>
          <w:p>
            <w:pPr>
              <w:jc w:val="right"/>
              <w:rPr>
                <w:rFonts w:ascii="宋体" w:hAnsi="宋体"/>
              </w:rPr>
            </w:pPr>
            <w:r>
              <w:rPr>
                <w:rFonts w:hint="eastAsia" w:ascii="宋体" w:hAnsi="宋体"/>
              </w:rPr>
              <w:t>4,313,794</w:t>
            </w:r>
          </w:p>
        </w:tc>
        <w:tc>
          <w:tcPr>
            <w:tcW w:w="1653" w:type="pct"/>
            <w:shd w:val="clear" w:color="auto" w:fill="auto"/>
          </w:tcPr>
          <w:p>
            <w:pPr>
              <w:jc w:val="right"/>
              <w:rPr>
                <w:rFonts w:ascii="宋体" w:hAnsi="宋体"/>
              </w:rPr>
            </w:pPr>
            <w:r>
              <w:rPr>
                <w:rFonts w:hint="eastAsia" w:ascii="宋体" w:hAnsi="宋体"/>
              </w:rPr>
              <w:t>6,756,455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pStyle w:val="531"/>
            </w:pPr>
            <w:r>
              <w:rPr>
                <w:rFonts w:hint="eastAsia"/>
              </w:rPr>
              <w:t>预计无法收回的款项</w:t>
            </w:r>
          </w:p>
        </w:tc>
        <w:tc>
          <w:tcPr>
            <w:tcW w:w="1647" w:type="pct"/>
            <w:shd w:val="clear" w:color="auto" w:fill="auto"/>
          </w:tcPr>
          <w:p>
            <w:pPr>
              <w:jc w:val="right"/>
              <w:rPr>
                <w:rFonts w:ascii="宋体" w:hAnsi="宋体"/>
              </w:rPr>
            </w:pPr>
            <w:r>
              <w:rPr>
                <w:rFonts w:ascii="宋体" w:hAnsi="宋体"/>
              </w:rPr>
              <w:t>1,107,174</w:t>
            </w:r>
          </w:p>
        </w:tc>
        <w:tc>
          <w:tcPr>
            <w:tcW w:w="1653" w:type="pct"/>
            <w:shd w:val="clear" w:color="auto" w:fill="auto"/>
          </w:tcPr>
          <w:p>
            <w:pPr>
              <w:jc w:val="right"/>
              <w:rPr>
                <w:rFonts w:ascii="宋体" w:hAnsi="宋体"/>
              </w:rPr>
            </w:pPr>
            <w:r>
              <w:rPr>
                <w:rFonts w:hint="eastAsia" w:ascii="宋体" w:hAnsi="宋体"/>
              </w:rPr>
              <w:t>1,192,681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pStyle w:val="531"/>
            </w:pPr>
            <w:r>
              <w:rPr>
                <w:rFonts w:hint="eastAsia"/>
              </w:rPr>
              <w:t>应收代垫款</w:t>
            </w:r>
          </w:p>
        </w:tc>
        <w:tc>
          <w:tcPr>
            <w:tcW w:w="1647" w:type="pct"/>
            <w:shd w:val="clear" w:color="auto" w:fill="auto"/>
          </w:tcPr>
          <w:p>
            <w:pPr>
              <w:jc w:val="right"/>
              <w:rPr>
                <w:rFonts w:ascii="宋体" w:hAnsi="宋体"/>
              </w:rPr>
            </w:pPr>
            <w:r>
              <w:rPr>
                <w:rFonts w:hint="eastAsia" w:ascii="宋体" w:hAnsi="宋体"/>
              </w:rPr>
              <w:t>386,139</w:t>
            </w:r>
          </w:p>
        </w:tc>
        <w:tc>
          <w:tcPr>
            <w:tcW w:w="1653" w:type="pct"/>
            <w:shd w:val="clear" w:color="auto" w:fill="auto"/>
          </w:tcPr>
          <w:p>
            <w:pPr>
              <w:jc w:val="right"/>
              <w:rPr>
                <w:rFonts w:ascii="宋体" w:hAnsi="宋体"/>
              </w:rPr>
            </w:pPr>
            <w:r>
              <w:rPr>
                <w:rFonts w:hint="eastAsia" w:ascii="宋体" w:hAnsi="宋体"/>
              </w:rPr>
              <w:t>380,909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pStyle w:val="531"/>
            </w:pPr>
            <w:r>
              <w:rPr>
                <w:rFonts w:hint="eastAsia"/>
              </w:rPr>
              <w:t>押金保证金</w:t>
            </w:r>
          </w:p>
        </w:tc>
        <w:tc>
          <w:tcPr>
            <w:tcW w:w="1647" w:type="pct"/>
            <w:shd w:val="clear" w:color="auto" w:fill="auto"/>
          </w:tcPr>
          <w:p>
            <w:pPr>
              <w:jc w:val="right"/>
              <w:rPr>
                <w:rFonts w:ascii="宋体" w:hAnsi="宋体"/>
              </w:rPr>
            </w:pPr>
            <w:r>
              <w:rPr>
                <w:rFonts w:hint="eastAsia" w:ascii="宋体" w:hAnsi="宋体"/>
              </w:rPr>
              <w:t>152,137</w:t>
            </w:r>
          </w:p>
        </w:tc>
        <w:tc>
          <w:tcPr>
            <w:tcW w:w="1653" w:type="pct"/>
            <w:shd w:val="clear" w:color="auto" w:fill="auto"/>
          </w:tcPr>
          <w:p>
            <w:pPr>
              <w:jc w:val="right"/>
              <w:rPr>
                <w:rFonts w:ascii="宋体" w:hAnsi="宋体"/>
              </w:rPr>
            </w:pPr>
            <w:r>
              <w:rPr>
                <w:rFonts w:hint="eastAsia" w:ascii="宋体" w:hAnsi="宋体"/>
              </w:rPr>
              <w:t>189,047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pStyle w:val="531"/>
            </w:pPr>
            <w:r>
              <w:rPr>
                <w:rFonts w:hint="eastAsia"/>
              </w:rPr>
              <w:t>备用金</w:t>
            </w:r>
          </w:p>
        </w:tc>
        <w:tc>
          <w:tcPr>
            <w:tcW w:w="1647" w:type="pct"/>
            <w:shd w:val="clear" w:color="auto" w:fill="auto"/>
          </w:tcPr>
          <w:p>
            <w:pPr>
              <w:jc w:val="right"/>
              <w:rPr>
                <w:rFonts w:ascii="宋体" w:hAnsi="宋体"/>
              </w:rPr>
            </w:pPr>
            <w:r>
              <w:rPr>
                <w:rFonts w:hint="eastAsia" w:ascii="宋体" w:hAnsi="宋体"/>
              </w:rPr>
              <w:t>14,199</w:t>
            </w:r>
          </w:p>
        </w:tc>
        <w:tc>
          <w:tcPr>
            <w:tcW w:w="1653" w:type="pct"/>
            <w:shd w:val="clear" w:color="auto" w:fill="auto"/>
          </w:tcPr>
          <w:p>
            <w:pPr>
              <w:jc w:val="right"/>
              <w:rPr>
                <w:rFonts w:ascii="宋体" w:hAnsi="宋体"/>
              </w:rPr>
            </w:pPr>
            <w:r>
              <w:rPr>
                <w:rFonts w:hint="eastAsia" w:ascii="宋体" w:hAnsi="宋体"/>
              </w:rPr>
              <w:t>20,718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pStyle w:val="531"/>
            </w:pPr>
            <w:r>
              <w:rPr>
                <w:rFonts w:hint="eastAsia"/>
              </w:rPr>
              <w:t>其他</w:t>
            </w:r>
          </w:p>
        </w:tc>
        <w:tc>
          <w:tcPr>
            <w:tcW w:w="1647" w:type="pct"/>
            <w:shd w:val="clear" w:color="auto" w:fill="auto"/>
          </w:tcPr>
          <w:p>
            <w:pPr>
              <w:jc w:val="right"/>
              <w:rPr>
                <w:rFonts w:ascii="宋体" w:hAnsi="宋体"/>
              </w:rPr>
            </w:pPr>
            <w:r>
              <w:rPr>
                <w:rFonts w:hint="eastAsia" w:ascii="宋体" w:hAnsi="宋体"/>
              </w:rPr>
              <w:t>11,178</w:t>
            </w:r>
          </w:p>
        </w:tc>
        <w:tc>
          <w:tcPr>
            <w:tcW w:w="1653" w:type="pct"/>
            <w:shd w:val="clear" w:color="auto" w:fill="auto"/>
          </w:tcPr>
          <w:p>
            <w:pPr>
              <w:jc w:val="right"/>
              <w:rPr>
                <w:rFonts w:ascii="宋体" w:hAnsi="宋体"/>
              </w:rPr>
            </w:pPr>
            <w:r>
              <w:rPr>
                <w:rFonts w:hint="eastAsia" w:ascii="宋体" w:hAnsi="宋体"/>
              </w:rPr>
              <w:t>13,161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rPr>
                <w:rFonts w:ascii="宋体" w:hAnsi="宋体"/>
              </w:rPr>
            </w:pPr>
            <w:r>
              <w:rPr>
                <w:rFonts w:hint="eastAsia" w:ascii="宋体" w:hAnsi="宋体"/>
              </w:rPr>
              <w:t>合计</w:t>
            </w:r>
          </w:p>
        </w:tc>
        <w:tc>
          <w:tcPr>
            <w:tcW w:w="1647" w:type="pct"/>
            <w:shd w:val="clear" w:color="auto" w:fill="auto"/>
          </w:tcPr>
          <w:p>
            <w:pPr>
              <w:jc w:val="right"/>
              <w:rPr>
                <w:rFonts w:ascii="宋体" w:hAnsi="宋体"/>
              </w:rPr>
            </w:pPr>
            <w:r>
              <w:rPr>
                <w:rFonts w:ascii="宋体" w:hAnsi="宋体"/>
              </w:rPr>
              <w:t>5,984,621</w:t>
            </w:r>
          </w:p>
        </w:tc>
        <w:tc>
          <w:tcPr>
            <w:tcW w:w="1653" w:type="pct"/>
            <w:shd w:val="clear" w:color="auto" w:fill="auto"/>
          </w:tcPr>
          <w:p>
            <w:pPr>
              <w:jc w:val="right"/>
              <w:rPr>
                <w:rFonts w:ascii="宋体" w:hAnsi="宋体"/>
              </w:rPr>
            </w:pPr>
            <w:r>
              <w:rPr>
                <w:rFonts w:hint="eastAsia" w:ascii="宋体" w:hAnsi="宋体"/>
              </w:rPr>
              <w:t>8,552,971</w:t>
            </w:r>
          </w:p>
        </w:tc>
      </w:tr>
    </w:tbl>
    <w:p>
      <w:pPr>
        <w:pStyle w:val="531"/>
      </w:pPr>
    </w:p>
    <w:p>
      <w:pPr>
        <w:pStyle w:val="506"/>
        <w:numPr>
          <w:ilvl w:val="0"/>
          <w:numId w:val="77"/>
        </w:numPr>
        <w:ind w:leftChars="0"/>
      </w:pPr>
      <w:r>
        <w:rPr>
          <w:rFonts w:hint="eastAsia"/>
        </w:rPr>
        <w:t>坏账准备计提情况</w:t>
      </w:r>
    </w:p>
    <w:sdt>
      <w:sdtPr>
        <w:rPr>
          <w:szCs w:val="21"/>
        </w:rPr>
        <w:alias w:val="是否适用：其他应收款坏账准备调节表[双击切换]"/>
        <w:tag w:val="_GBC_89d7c1af9f504137a919fea1a314fa80"/>
        <w:id w:val="-1954009751"/>
        <w:placeholder>
          <w:docPart w:val="GBC22222222222222222222222222222"/>
        </w:placeholder>
      </w:sdtPr>
      <w:sdtEndPr>
        <w:rPr>
          <w:szCs w:val="21"/>
        </w:rPr>
      </w:sdtEndPr>
      <w:sdtContent>
        <w:p>
          <w:pPr>
            <w:pStyle w:val="531"/>
          </w:pPr>
          <w:bookmarkStart w:id="259" w:name="_Hlk53386788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jc w:val="right"/>
      </w:pPr>
      <w:r>
        <w:rPr>
          <w:rFonts w:hint="eastAsia"/>
        </w:rPr>
        <w:t>单位：</w:t>
      </w:r>
      <w:sdt>
        <w:sdtPr>
          <w:rPr>
            <w:rFonts w:hint="eastAsia"/>
          </w:rPr>
          <w:alias w:val="单位：其他应收款坏账准备调节表"/>
          <w:tag w:val="_GBC_1e902dc07fc44240af1ff69475733c28"/>
          <w:id w:val="16409231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其他应收款坏账准备调节表"/>
          <w:tag w:val="_GBC_5e93354ddb8841df82a0d16f2f5b44ae"/>
          <w:id w:val="-6255408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560"/>
        <w:gridCol w:w="1985"/>
        <w:gridCol w:w="198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2f734c3456a843bda898d16924c52045"/>
            <w:id w:val="-1695840354"/>
          </w:sdtPr>
          <w:sdtContent>
            <w:tc>
              <w:tcPr>
                <w:tcW w:w="1001" w:type="pct"/>
                <w:vMerge w:val="restar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cc2d5e47d032466f8f32fd4edec15e33"/>
            <w:id w:val="57130814"/>
          </w:sdtPr>
          <w:sdtContent>
            <w:tc>
              <w:tcPr>
                <w:tcW w:w="862" w:type="pc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f7ffd31ab3534493bb75ab7d04c0c751"/>
            <w:id w:val="201141763"/>
          </w:sdtPr>
          <w:sdtContent>
            <w:tc>
              <w:tcPr>
                <w:tcW w:w="1097" w:type="pc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b787de87168848159cb3a46726196c34"/>
            <w:id w:val="1771499496"/>
          </w:sdtPr>
          <w:sdtContent>
            <w:tc>
              <w:tcPr>
                <w:tcW w:w="1097" w:type="pc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3b31af1f922741a8874346a86f3e2d25"/>
            <w:id w:val="-97340782"/>
          </w:sdtPr>
          <w:sdtContent>
            <w:tc>
              <w:tcPr>
                <w:tcW w:w="943" w:type="pct"/>
                <w:vMerge w:val="restar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01" w:type="pct"/>
            <w:vMerge w:val="continue"/>
            <w:vAlign w:val="center"/>
          </w:tcPr>
          <w:p>
            <w:pPr>
              <w:jc w:val="center"/>
              <w:rPr>
                <w:color w:val="008000"/>
              </w:rPr>
            </w:pPr>
          </w:p>
        </w:tc>
        <w:sdt>
          <w:sdtPr>
            <w:tag w:val="_PLD_7158bbb0fd6b45478d53b382f0c1a5e9"/>
            <w:id w:val="-337305017"/>
          </w:sdtPr>
          <w:sdtContent>
            <w:tc>
              <w:tcPr>
                <w:tcW w:w="862" w:type="pc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a456fd5785a44d89b944d155197986fc"/>
            <w:id w:val="1519502194"/>
          </w:sdtPr>
          <w:sdtContent>
            <w:tc>
              <w:tcPr>
                <w:tcW w:w="1097" w:type="pc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fb9265a3aa334f7ab93242b9630540b0"/>
            <w:id w:val="1481569227"/>
          </w:sdtPr>
          <w:sdtContent>
            <w:tc>
              <w:tcPr>
                <w:tcW w:w="1097" w:type="pc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943" w:type="pct"/>
            <w:vMerge w:val="continue"/>
          </w:tcPr>
          <w:p>
            <w:pPr>
              <w:jc w:val="center"/>
              <w:rPr>
                <w:color w:val="008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ascii="宋体" w:hAnsi="宋体" w:eastAsia="宋体" w:cs="宋体"/>
                <w:sz w:val="21"/>
                <w:szCs w:val="21"/>
                <w:lang w:eastAsia="zh-CN"/>
              </w:rPr>
              <w:t>2023年</w:t>
            </w:r>
            <w:r>
              <w:rPr>
                <w:rFonts w:hint="eastAsia" w:ascii="宋体" w:hAnsi="宋体" w:eastAsia="宋体" w:cs="宋体"/>
                <w:sz w:val="21"/>
                <w:szCs w:val="21"/>
                <w:lang w:eastAsia="zh-CN"/>
              </w:rPr>
              <w:t>1月1日余额</w:t>
            </w:r>
          </w:p>
        </w:tc>
        <w:tc>
          <w:tcPr>
            <w:tcW w:w="862" w:type="pct"/>
          </w:tcPr>
          <w:p>
            <w:pPr>
              <w:jc w:val="right"/>
            </w:pPr>
          </w:p>
        </w:tc>
        <w:tc>
          <w:tcPr>
            <w:tcW w:w="1097" w:type="pct"/>
            <w:vAlign w:val="center"/>
          </w:tcPr>
          <w:p>
            <w:pPr>
              <w:jc w:val="right"/>
              <w:rPr>
                <w:rFonts w:ascii="宋体" w:hAnsi="宋体"/>
              </w:rPr>
            </w:pPr>
            <w:r>
              <w:rPr>
                <w:rFonts w:ascii="宋体" w:hAnsi="宋体"/>
              </w:rPr>
              <w:t>854,517</w:t>
            </w:r>
          </w:p>
        </w:tc>
        <w:tc>
          <w:tcPr>
            <w:tcW w:w="1097" w:type="pct"/>
            <w:vAlign w:val="center"/>
          </w:tcPr>
          <w:p>
            <w:pPr>
              <w:jc w:val="right"/>
              <w:rPr>
                <w:rFonts w:ascii="宋体" w:hAnsi="宋体"/>
              </w:rPr>
            </w:pPr>
            <w:r>
              <w:rPr>
                <w:rFonts w:ascii="宋体" w:hAnsi="宋体"/>
              </w:rPr>
              <w:t>1,976,563</w:t>
            </w:r>
          </w:p>
        </w:tc>
        <w:tc>
          <w:tcPr>
            <w:tcW w:w="943" w:type="pct"/>
            <w:vAlign w:val="center"/>
          </w:tcPr>
          <w:p>
            <w:pPr>
              <w:jc w:val="right"/>
              <w:rPr>
                <w:rFonts w:ascii="宋体" w:hAnsi="宋体"/>
              </w:rPr>
            </w:pPr>
            <w:r>
              <w:rPr>
                <w:rFonts w:ascii="宋体" w:hAnsi="宋体"/>
              </w:rPr>
              <w:t xml:space="preserve">2,831,080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2023年1月1日余额在本期</w:t>
            </w:r>
          </w:p>
        </w:tc>
        <w:tc>
          <w:tcPr>
            <w:tcW w:w="862" w:type="pct"/>
            <w:vAlign w:val="center"/>
          </w:tcPr>
          <w:p>
            <w:pPr>
              <w:jc w:val="center"/>
            </w:pPr>
            <w:r>
              <w:rPr>
                <w:rFonts w:hint="eastAsia"/>
              </w:rPr>
              <w:t>—</w:t>
            </w:r>
          </w:p>
        </w:tc>
        <w:tc>
          <w:tcPr>
            <w:tcW w:w="1097" w:type="pct"/>
            <w:vAlign w:val="center"/>
          </w:tcPr>
          <w:p>
            <w:pPr>
              <w:jc w:val="center"/>
              <w:rPr>
                <w:rFonts w:ascii="宋体" w:hAnsi="宋体"/>
              </w:rPr>
            </w:pPr>
            <w:r>
              <w:rPr>
                <w:rFonts w:ascii="宋体" w:hAnsi="宋体"/>
              </w:rPr>
              <w:t>—</w:t>
            </w:r>
          </w:p>
        </w:tc>
        <w:tc>
          <w:tcPr>
            <w:tcW w:w="1097" w:type="pct"/>
            <w:vAlign w:val="center"/>
          </w:tcPr>
          <w:p>
            <w:pPr>
              <w:jc w:val="center"/>
              <w:rPr>
                <w:rFonts w:ascii="宋体" w:hAnsi="宋体"/>
              </w:rPr>
            </w:pPr>
            <w:r>
              <w:rPr>
                <w:rFonts w:ascii="宋体" w:hAnsi="宋体"/>
              </w:rPr>
              <w:t>—</w:t>
            </w:r>
          </w:p>
        </w:tc>
        <w:tc>
          <w:tcPr>
            <w:tcW w:w="943" w:type="pct"/>
            <w:vAlign w:val="center"/>
          </w:tcPr>
          <w:p>
            <w:pPr>
              <w:jc w:val="center"/>
              <w:rPr>
                <w:rFonts w:ascii="宋体" w:hAnsi="宋体"/>
              </w:rPr>
            </w:pPr>
            <w:r>
              <w:rPr>
                <w:rFonts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tc>
          <w:tcPr>
            <w:tcW w:w="862" w:type="pct"/>
          </w:tcPr>
          <w:p>
            <w:pPr>
              <w:jc w:val="right"/>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tc>
          <w:tcPr>
            <w:tcW w:w="862" w:type="pct"/>
          </w:tcPr>
          <w:p>
            <w:pPr>
              <w:jc w:val="right"/>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tc>
          <w:tcPr>
            <w:tcW w:w="862" w:type="pct"/>
          </w:tcPr>
          <w:p>
            <w:pPr>
              <w:jc w:val="right"/>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tc>
          <w:tcPr>
            <w:tcW w:w="862" w:type="pct"/>
          </w:tcPr>
          <w:p>
            <w:pPr>
              <w:jc w:val="right"/>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862" w:type="pct"/>
          </w:tcPr>
          <w:p>
            <w:pPr>
              <w:jc w:val="right"/>
            </w:pPr>
          </w:p>
        </w:tc>
        <w:tc>
          <w:tcPr>
            <w:tcW w:w="1097" w:type="pct"/>
            <w:vAlign w:val="center"/>
          </w:tcPr>
          <w:p>
            <w:pPr>
              <w:jc w:val="right"/>
              <w:rPr>
                <w:rFonts w:ascii="宋体" w:hAnsi="宋体"/>
              </w:rPr>
            </w:pPr>
            <w:r>
              <w:rPr>
                <w:rFonts w:ascii="宋体" w:hAnsi="宋体"/>
              </w:rPr>
              <w:t>-67,005</w:t>
            </w:r>
          </w:p>
        </w:tc>
        <w:tc>
          <w:tcPr>
            <w:tcW w:w="1097" w:type="pct"/>
            <w:vAlign w:val="center"/>
          </w:tcPr>
          <w:p>
            <w:pPr>
              <w:jc w:val="right"/>
              <w:rPr>
                <w:rFonts w:ascii="宋体" w:hAnsi="宋体"/>
              </w:rPr>
            </w:pPr>
            <w:r>
              <w:rPr>
                <w:rFonts w:ascii="宋体" w:hAnsi="宋体"/>
              </w:rPr>
              <w:t>1,561</w:t>
            </w:r>
          </w:p>
        </w:tc>
        <w:tc>
          <w:tcPr>
            <w:tcW w:w="943" w:type="pct"/>
            <w:vAlign w:val="center"/>
          </w:tcPr>
          <w:p>
            <w:pPr>
              <w:jc w:val="right"/>
              <w:rPr>
                <w:rFonts w:ascii="宋体" w:hAnsi="宋体"/>
              </w:rPr>
            </w:pPr>
            <w:r>
              <w:rPr>
                <w:rFonts w:ascii="宋体" w:hAnsi="宋体"/>
              </w:rPr>
              <w:t>-65,444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本期转回</w:t>
            </w:r>
          </w:p>
        </w:tc>
        <w:tc>
          <w:tcPr>
            <w:tcW w:w="862" w:type="pct"/>
          </w:tcPr>
          <w:p>
            <w:pPr>
              <w:jc w:val="right"/>
            </w:pPr>
          </w:p>
        </w:tc>
        <w:tc>
          <w:tcPr>
            <w:tcW w:w="1097" w:type="pct"/>
            <w:vAlign w:val="center"/>
          </w:tcPr>
          <w:p>
            <w:pPr>
              <w:jc w:val="right"/>
              <w:rPr>
                <w:rFonts w:ascii="宋体" w:hAnsi="宋体"/>
              </w:rPr>
            </w:pPr>
          </w:p>
        </w:tc>
        <w:tc>
          <w:tcPr>
            <w:tcW w:w="1097" w:type="pct"/>
            <w:vAlign w:val="center"/>
          </w:tcPr>
          <w:p>
            <w:pPr>
              <w:jc w:val="right"/>
              <w:rPr>
                <w:rFonts w:ascii="宋体" w:hAnsi="宋体"/>
              </w:rPr>
            </w:pPr>
            <w:r>
              <w:rPr>
                <w:rFonts w:ascii="宋体" w:hAnsi="宋体"/>
              </w:rPr>
              <w:t>-75,695</w:t>
            </w:r>
          </w:p>
        </w:tc>
        <w:tc>
          <w:tcPr>
            <w:tcW w:w="943" w:type="pct"/>
            <w:vAlign w:val="center"/>
          </w:tcPr>
          <w:p>
            <w:pPr>
              <w:jc w:val="right"/>
              <w:rPr>
                <w:rFonts w:ascii="宋体" w:hAnsi="宋体"/>
              </w:rPr>
            </w:pPr>
            <w:r>
              <w:rPr>
                <w:rFonts w:ascii="宋体" w:hAnsi="宋体"/>
              </w:rPr>
              <w:t>-75,695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本期转销</w:t>
            </w:r>
          </w:p>
        </w:tc>
        <w:tc>
          <w:tcPr>
            <w:tcW w:w="862" w:type="pct"/>
          </w:tcPr>
          <w:p>
            <w:pPr>
              <w:jc w:val="right"/>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本期核销</w:t>
            </w:r>
          </w:p>
        </w:tc>
        <w:tc>
          <w:tcPr>
            <w:tcW w:w="862" w:type="pct"/>
          </w:tcPr>
          <w:p>
            <w:pPr>
              <w:jc w:val="right"/>
            </w:pPr>
          </w:p>
        </w:tc>
        <w:tc>
          <w:tcPr>
            <w:tcW w:w="1097" w:type="pct"/>
            <w:vAlign w:val="center"/>
          </w:tcPr>
          <w:p>
            <w:pPr>
              <w:jc w:val="right"/>
              <w:rPr>
                <w:rFonts w:ascii="宋体" w:hAnsi="宋体"/>
              </w:rPr>
            </w:pPr>
            <w:r>
              <w:rPr>
                <w:rFonts w:ascii="宋体" w:hAnsi="宋体"/>
              </w:rPr>
              <w:t>-79,933</w:t>
            </w:r>
          </w:p>
        </w:tc>
        <w:tc>
          <w:tcPr>
            <w:tcW w:w="1097" w:type="pct"/>
            <w:vAlign w:val="center"/>
          </w:tcPr>
          <w:p>
            <w:pPr>
              <w:jc w:val="right"/>
              <w:rPr>
                <w:rFonts w:ascii="宋体" w:hAnsi="宋体"/>
              </w:rPr>
            </w:pPr>
            <w:r>
              <w:rPr>
                <w:rFonts w:ascii="宋体" w:hAnsi="宋体"/>
              </w:rPr>
              <w:t xml:space="preserve">-372,866  </w:t>
            </w:r>
          </w:p>
        </w:tc>
        <w:tc>
          <w:tcPr>
            <w:tcW w:w="943" w:type="pct"/>
            <w:vAlign w:val="center"/>
          </w:tcPr>
          <w:p>
            <w:pPr>
              <w:jc w:val="right"/>
              <w:rPr>
                <w:rFonts w:ascii="宋体" w:hAnsi="宋体"/>
              </w:rPr>
            </w:pPr>
            <w:r>
              <w:rPr>
                <w:rFonts w:ascii="宋体" w:hAnsi="宋体"/>
              </w:rPr>
              <w:t>-452,799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其他变动</w:t>
            </w:r>
          </w:p>
        </w:tc>
        <w:tc>
          <w:tcPr>
            <w:tcW w:w="862" w:type="pct"/>
          </w:tcPr>
          <w:p>
            <w:pPr>
              <w:jc w:val="right"/>
            </w:pPr>
          </w:p>
        </w:tc>
        <w:tc>
          <w:tcPr>
            <w:tcW w:w="1097" w:type="pct"/>
            <w:vAlign w:val="center"/>
          </w:tcPr>
          <w:p>
            <w:pPr>
              <w:jc w:val="right"/>
              <w:rPr>
                <w:rFonts w:ascii="宋体" w:hAnsi="宋体"/>
              </w:rPr>
            </w:pPr>
          </w:p>
        </w:tc>
        <w:tc>
          <w:tcPr>
            <w:tcW w:w="1097" w:type="pct"/>
            <w:vAlign w:val="center"/>
          </w:tcPr>
          <w:p>
            <w:pPr>
              <w:jc w:val="right"/>
              <w:rPr>
                <w:rFonts w:ascii="宋体" w:hAnsi="宋体"/>
              </w:rPr>
            </w:pPr>
            <w:r>
              <w:rPr>
                <w:rFonts w:ascii="宋体" w:hAnsi="宋体"/>
              </w:rPr>
              <w:t>1,630</w:t>
            </w:r>
          </w:p>
        </w:tc>
        <w:tc>
          <w:tcPr>
            <w:tcW w:w="943" w:type="pct"/>
            <w:vAlign w:val="center"/>
          </w:tcPr>
          <w:p>
            <w:pPr>
              <w:jc w:val="right"/>
              <w:rPr>
                <w:rFonts w:ascii="宋体" w:hAnsi="宋体"/>
              </w:rPr>
            </w:pPr>
            <w:r>
              <w:rPr>
                <w:rFonts w:ascii="宋体" w:hAnsi="宋体"/>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2023年12月31日</w:t>
            </w:r>
            <w:r>
              <w:rPr>
                <w:rFonts w:hint="eastAsia" w:ascii="宋体" w:hAnsi="宋体" w:eastAsia="宋体" w:cs="宋体"/>
                <w:sz w:val="21"/>
                <w:szCs w:val="21"/>
                <w:lang w:eastAsia="zh-CN"/>
              </w:rPr>
              <w:t>余额</w:t>
            </w:r>
          </w:p>
        </w:tc>
        <w:tc>
          <w:tcPr>
            <w:tcW w:w="862" w:type="pct"/>
            <w:vAlign w:val="center"/>
          </w:tcPr>
          <w:p>
            <w:pPr>
              <w:jc w:val="right"/>
            </w:pPr>
          </w:p>
        </w:tc>
        <w:tc>
          <w:tcPr>
            <w:tcW w:w="1097" w:type="pct"/>
            <w:vAlign w:val="center"/>
          </w:tcPr>
          <w:p>
            <w:pPr>
              <w:jc w:val="right"/>
              <w:rPr>
                <w:rFonts w:ascii="宋体" w:hAnsi="宋体"/>
              </w:rPr>
            </w:pPr>
            <w:r>
              <w:rPr>
                <w:rFonts w:ascii="宋体" w:hAnsi="宋体"/>
              </w:rPr>
              <w:t>707,579</w:t>
            </w:r>
          </w:p>
        </w:tc>
        <w:tc>
          <w:tcPr>
            <w:tcW w:w="1097" w:type="pct"/>
            <w:vAlign w:val="center"/>
          </w:tcPr>
          <w:p>
            <w:pPr>
              <w:jc w:val="right"/>
              <w:rPr>
                <w:rFonts w:ascii="宋体" w:hAnsi="宋体"/>
              </w:rPr>
            </w:pPr>
            <w:r>
              <w:rPr>
                <w:rFonts w:ascii="宋体" w:hAnsi="宋体"/>
              </w:rPr>
              <w:t>1,531,193</w:t>
            </w:r>
          </w:p>
        </w:tc>
        <w:tc>
          <w:tcPr>
            <w:tcW w:w="943" w:type="pct"/>
            <w:vAlign w:val="center"/>
          </w:tcPr>
          <w:p>
            <w:pPr>
              <w:jc w:val="right"/>
              <w:rPr>
                <w:rFonts w:ascii="宋体" w:hAnsi="宋体"/>
              </w:rPr>
            </w:pPr>
            <w:r>
              <w:rPr>
                <w:rFonts w:ascii="宋体" w:hAnsi="宋体"/>
              </w:rPr>
              <w:t>2,238,772</w:t>
            </w:r>
          </w:p>
        </w:tc>
      </w:tr>
    </w:tbl>
    <w:p>
      <w:pPr>
        <w:pStyle w:val="531"/>
      </w:pPr>
    </w:p>
    <w:p>
      <w:pPr>
        <w:pStyle w:val="531"/>
        <w:rPr>
          <w:rFonts w:ascii="Calibri" w:hAnsi="Calibri" w:cs="Times New Roman"/>
          <w:kern w:val="2"/>
          <w:szCs w:val="21"/>
        </w:rPr>
      </w:pPr>
      <w:r>
        <w:rPr>
          <w:rFonts w:hint="eastAsia" w:ascii="Calibri" w:hAnsi="Calibri" w:cs="Times New Roman"/>
          <w:kern w:val="2"/>
          <w:szCs w:val="21"/>
        </w:rPr>
        <w:t>1）其他应收款按坏账计提方法分类列示</w:t>
      </w:r>
    </w:p>
    <w:tbl>
      <w:tblPr>
        <w:tblStyle w:val="9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792"/>
        <w:gridCol w:w="706"/>
        <w:gridCol w:w="792"/>
        <w:gridCol w:w="880"/>
        <w:gridCol w:w="792"/>
        <w:gridCol w:w="792"/>
        <w:gridCol w:w="706"/>
        <w:gridCol w:w="792"/>
        <w:gridCol w:w="880"/>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blHeader/>
        </w:trPr>
        <w:sdt>
          <w:sdtPr>
            <w:rPr>
              <w:rFonts w:ascii="宋体" w:hAnsi="宋体"/>
            </w:rPr>
            <w:tag w:val="_PLD_f8d5a19b9b724da98e30475a6df20be9"/>
            <w:id w:val="2047103088"/>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类别</w:t>
                </w:r>
              </w:p>
            </w:tc>
          </w:sdtContent>
        </w:sdt>
        <w:sdt>
          <w:sdtPr>
            <w:rPr>
              <w:rFonts w:ascii="宋体" w:hAnsi="宋体"/>
            </w:rPr>
            <w:tag w:val="_PLD_8e6cd64a5cc84d259bab748be3f49169"/>
            <w:id w:val="989146229"/>
          </w:sdtPr>
          <w:sdtEndPr>
            <w:rPr>
              <w:rFonts w:ascii="宋体" w:hAnsi="宋体"/>
            </w:rPr>
          </w:sdtEndPr>
          <w:sdtContent>
            <w:tc>
              <w:tcPr>
                <w:tcW w:w="0" w:type="auto"/>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期末余额</w:t>
                </w:r>
              </w:p>
            </w:tc>
          </w:sdtContent>
        </w:sdt>
        <w:sdt>
          <w:sdtPr>
            <w:rPr>
              <w:rFonts w:ascii="宋体" w:hAnsi="宋体"/>
            </w:rPr>
            <w:tag w:val="_PLD_f3718624b866493ab3b8d8edadf10560"/>
            <w:id w:val="-774095733"/>
          </w:sdtPr>
          <w:sdtEndPr>
            <w:rPr>
              <w:rFonts w:ascii="宋体" w:hAnsi="宋体"/>
            </w:rPr>
          </w:sdtEndPr>
          <w:sdtContent>
            <w:tc>
              <w:tcPr>
                <w:tcW w:w="0" w:type="auto"/>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blHeader/>
        </w:trPr>
        <w:tc>
          <w:tcPr>
            <w:tcW w:w="0" w:type="auto"/>
            <w:vMerge w:val="continue"/>
            <w:tcBorders>
              <w:left w:val="single" w:color="auto" w:sz="4" w:space="0"/>
              <w:right w:val="single" w:color="auto" w:sz="4" w:space="0"/>
            </w:tcBorders>
            <w:vAlign w:val="center"/>
          </w:tcPr>
          <w:p>
            <w:pPr>
              <w:rPr>
                <w:rFonts w:ascii="宋体" w:hAnsi="宋体"/>
              </w:rPr>
            </w:pPr>
          </w:p>
        </w:tc>
        <w:sdt>
          <w:sdtPr>
            <w:rPr>
              <w:rFonts w:ascii="宋体" w:hAnsi="宋体"/>
            </w:rPr>
            <w:tag w:val="_PLD_696c52ce758e49deb616a7fb8df8ee20"/>
            <w:id w:val="-297227331"/>
          </w:sdtPr>
          <w:sdtEndPr>
            <w:rPr>
              <w:rFonts w:ascii="宋体" w:hAnsi="宋体"/>
            </w:rPr>
          </w:sdtEndPr>
          <w:sdtContent>
            <w:tc>
              <w:tcPr>
                <w:tcW w:w="0" w:type="auto"/>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1ca261fa1763424688ba2be8550f43e1"/>
            <w:id w:val="-605264122"/>
          </w:sdtPr>
          <w:sdtEndPr>
            <w:rPr>
              <w:rFonts w:ascii="宋体" w:hAnsi="宋体"/>
            </w:rPr>
          </w:sdtEndPr>
          <w:sdtContent>
            <w:tc>
              <w:tcPr>
                <w:tcW w:w="0" w:type="auto"/>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caaf7fb85a4a432890635f2eb9c38cd5"/>
            <w:id w:val="-1740622633"/>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sdt>
          <w:sdtPr>
            <w:rPr>
              <w:rFonts w:ascii="宋体" w:hAnsi="宋体"/>
            </w:rPr>
            <w:tag w:val="_PLD_f01498a5d6634d7ab63dd393e266902a"/>
            <w:id w:val="1614473844"/>
          </w:sdtPr>
          <w:sdtEndPr>
            <w:rPr>
              <w:rFonts w:ascii="宋体" w:hAnsi="宋体"/>
            </w:rPr>
          </w:sdtEndPr>
          <w:sdtContent>
            <w:tc>
              <w:tcPr>
                <w:tcW w:w="0" w:type="auto"/>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e9336373677a4e1781b6e81f705c1bec"/>
            <w:id w:val="-715430562"/>
          </w:sdtPr>
          <w:sdtEndPr>
            <w:rPr>
              <w:rFonts w:ascii="宋体" w:hAnsi="宋体"/>
            </w:rPr>
          </w:sdtEndPr>
          <w:sdtContent>
            <w:tc>
              <w:tcPr>
                <w:tcW w:w="0" w:type="auto"/>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09bacc527e7b4910a0c82606fe4a5754"/>
            <w:id w:val="465635575"/>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blHeader/>
        </w:trPr>
        <w:tc>
          <w:tcPr>
            <w:tcW w:w="0" w:type="auto"/>
            <w:vMerge w:val="continue"/>
            <w:tcBorders>
              <w:left w:val="single" w:color="auto" w:sz="4" w:space="0"/>
              <w:bottom w:val="single" w:color="auto" w:sz="4" w:space="0"/>
              <w:right w:val="single" w:color="auto" w:sz="4" w:space="0"/>
            </w:tcBorders>
            <w:vAlign w:val="center"/>
          </w:tcPr>
          <w:p>
            <w:pPr>
              <w:rPr>
                <w:rFonts w:ascii="宋体" w:hAnsi="宋体"/>
              </w:rPr>
            </w:pPr>
          </w:p>
        </w:tc>
        <w:sdt>
          <w:sdtPr>
            <w:rPr>
              <w:rFonts w:ascii="宋体" w:hAnsi="宋体"/>
            </w:rPr>
            <w:tag w:val="_PLD_9a908e63a38c4885ae2f80c1b860b93a"/>
            <w:id w:val="638303408"/>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df211ff0344e48aa8266bff852c13d4a"/>
            <w:id w:val="473187302"/>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ascii="宋体" w:hAnsi="宋体"/>
            </w:rPr>
            <w:tag w:val="_PLD_bc7278fbd5c542a3abfb9a55090a49e0"/>
            <w:id w:val="319395501"/>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98f107e07b5b44938d61d6b0984d9e2b"/>
            <w:id w:val="-865216226"/>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0" w:type="auto"/>
            <w:vMerge w:val="continue"/>
            <w:tcBorders>
              <w:left w:val="single" w:color="auto" w:sz="4" w:space="0"/>
              <w:bottom w:val="single" w:color="auto" w:sz="4" w:space="0"/>
              <w:right w:val="single" w:color="auto" w:sz="4" w:space="0"/>
            </w:tcBorders>
            <w:vAlign w:val="center"/>
          </w:tcPr>
          <w:p>
            <w:pPr>
              <w:jc w:val="center"/>
              <w:rPr>
                <w:rFonts w:ascii="宋体" w:hAnsi="宋体"/>
              </w:rPr>
            </w:pPr>
          </w:p>
        </w:tc>
        <w:sdt>
          <w:sdtPr>
            <w:rPr>
              <w:rFonts w:ascii="宋体" w:hAnsi="宋体"/>
            </w:rPr>
            <w:tag w:val="_PLD_27c35a851bfc461b93652bdd1c4da46e"/>
            <w:id w:val="-1384787051"/>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8cdcb4d0cfc74ea299eeda00998b7eed"/>
            <w:id w:val="1738360991"/>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ascii="宋体" w:hAnsi="宋体"/>
            </w:rPr>
            <w:tag w:val="_PLD_205ec069d7004eaba20d3af25a7dfeda"/>
            <w:id w:val="1291793409"/>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cee6517bce154e26a5f2a917cc143a54"/>
            <w:id w:val="1252548044"/>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0" w:type="auto"/>
            <w:vMerge w:val="continue"/>
            <w:tcBorders>
              <w:left w:val="single" w:color="auto" w:sz="4" w:space="0"/>
              <w:bottom w:val="single" w:color="auto" w:sz="4" w:space="0"/>
              <w:right w:val="single" w:color="auto" w:sz="4" w:space="0"/>
            </w:tcBorders>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按单项计提坏账准备</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1,578,724</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1,531,193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47,531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2,027,383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24</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1,976,563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50,820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按组合计提坏账准备</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4,405,897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74</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707,579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3,698,318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6,525,588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854,517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5,671,071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tag w:val="_PLD_ce0cfa8fc80147608db7db4b7ce1db69"/>
            <w:id w:val="-1058077186"/>
          </w:sdtPr>
          <w:sdtEndPr>
            <w:rPr>
              <w:rFonts w:ascii="宋体" w:hAnsi="宋体"/>
            </w:rPr>
          </w:sdtEndPr>
          <w:sdtContent>
            <w:tc>
              <w:tcPr>
                <w:tcW w:w="0" w:type="auto"/>
                <w:gridSpan w:val="11"/>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color w:val="808080"/>
              </w:rPr>
            </w:pPr>
            <w:r>
              <w:rPr>
                <w:rFonts w:hint="eastAsia" w:ascii="宋体" w:hAnsi="宋体"/>
              </w:rPr>
              <w:t>账龄组合</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2,497,325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4</w:t>
            </w:r>
            <w:r>
              <w:rPr>
                <w:rFonts w:ascii="宋体" w:hAnsi="宋体"/>
                <w:spacing w:val="-20"/>
                <w:w w:val="80"/>
              </w:rPr>
              <w:t>2</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707,579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28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1,789,746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2,828,668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854,517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1,974,1</w:t>
            </w:r>
            <w:r>
              <w:rPr>
                <w:rFonts w:ascii="宋体" w:hAnsi="宋体"/>
                <w:spacing w:val="-20"/>
                <w:w w:val="80"/>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color w:val="808080"/>
              </w:rPr>
            </w:pPr>
            <w:r>
              <w:rPr>
                <w:rFonts w:hint="eastAsia" w:ascii="宋体" w:hAnsi="宋体"/>
              </w:rPr>
              <w:t>关联方组合</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1,908,572</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3</w:t>
            </w:r>
            <w:r>
              <w:rPr>
                <w:rFonts w:ascii="宋体" w:hAnsi="宋体"/>
                <w:spacing w:val="-20"/>
                <w:w w:val="80"/>
              </w:rPr>
              <w:t>2</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1,908,572</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3,696,920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43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3,696,920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rPr>
              <w:t>合计</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w:t>
            </w:r>
            <w:r>
              <w:rPr>
                <w:rFonts w:ascii="宋体" w:hAnsi="宋体"/>
                <w:spacing w:val="-20"/>
                <w:w w:val="80"/>
              </w:rPr>
              <w:t>984</w:t>
            </w:r>
            <w:r>
              <w:rPr>
                <w:rFonts w:hint="eastAsia" w:ascii="宋体" w:hAnsi="宋体"/>
                <w:spacing w:val="-20"/>
                <w:w w:val="80"/>
              </w:rPr>
              <w:t>,</w:t>
            </w:r>
            <w:r>
              <w:rPr>
                <w:rFonts w:ascii="宋体" w:hAnsi="宋体"/>
                <w:spacing w:val="-20"/>
                <w:w w:val="80"/>
              </w:rPr>
              <w:t>621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100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w:t>
            </w:r>
            <w:r>
              <w:rPr>
                <w:rFonts w:hint="eastAsia" w:ascii="宋体" w:hAnsi="宋体"/>
                <w:spacing w:val="-20"/>
                <w:w w:val="80"/>
              </w:rPr>
              <w:t>,</w:t>
            </w:r>
            <w:r>
              <w:rPr>
                <w:rFonts w:ascii="宋体" w:hAnsi="宋体"/>
                <w:spacing w:val="-20"/>
                <w:w w:val="80"/>
              </w:rPr>
              <w:t>238</w:t>
            </w:r>
            <w:r>
              <w:rPr>
                <w:rFonts w:hint="eastAsia" w:ascii="宋体" w:hAnsi="宋体"/>
                <w:spacing w:val="-20"/>
                <w:w w:val="80"/>
              </w:rPr>
              <w:t>,</w:t>
            </w:r>
            <w:r>
              <w:rPr>
                <w:rFonts w:ascii="宋体" w:hAnsi="宋体"/>
                <w:spacing w:val="-20"/>
                <w:w w:val="80"/>
              </w:rPr>
              <w:t>772</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3,745,849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8,552,971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100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2,831,080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5,721,891</w:t>
            </w:r>
          </w:p>
        </w:tc>
      </w:tr>
    </w:tbl>
    <w:p>
      <w:pPr>
        <w:pStyle w:val="531"/>
      </w:pPr>
    </w:p>
    <w:p>
      <w:pPr>
        <w:pStyle w:val="531"/>
      </w:pPr>
      <w:r>
        <w:rPr>
          <w:rFonts w:hint="eastAsia"/>
        </w:rPr>
        <w:t>2）其他应收款按单项计提坏账准备</w:t>
      </w:r>
    </w:p>
    <w:tbl>
      <w:tblPr>
        <w:tblStyle w:val="9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1161"/>
        <w:gridCol w:w="1161"/>
        <w:gridCol w:w="1161"/>
        <w:gridCol w:w="1161"/>
        <w:gridCol w:w="1137"/>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121" w:type="dxa"/>
            <w:vMerge w:val="restart"/>
            <w:vAlign w:val="center"/>
          </w:tcPr>
          <w:p>
            <w:pPr>
              <w:spacing w:line="360" w:lineRule="exact"/>
              <w:jc w:val="center"/>
              <w:rPr>
                <w:rFonts w:ascii="宋体" w:hAnsi="宋体"/>
                <w:kern w:val="0"/>
              </w:rPr>
            </w:pPr>
            <w:r>
              <w:rPr>
                <w:rFonts w:hint="eastAsia" w:ascii="宋体" w:hAnsi="宋体"/>
              </w:rPr>
              <w:t>名称</w:t>
            </w:r>
          </w:p>
        </w:tc>
        <w:tc>
          <w:tcPr>
            <w:tcW w:w="2322" w:type="dxa"/>
            <w:gridSpan w:val="2"/>
            <w:vAlign w:val="center"/>
          </w:tcPr>
          <w:p>
            <w:pPr>
              <w:spacing w:line="360" w:lineRule="exact"/>
              <w:jc w:val="center"/>
              <w:rPr>
                <w:rFonts w:ascii="宋体" w:hAnsi="宋体"/>
              </w:rPr>
            </w:pPr>
            <w:r>
              <w:rPr>
                <w:rFonts w:hint="eastAsia" w:ascii="宋体" w:hAnsi="宋体"/>
              </w:rPr>
              <w:t>期初余额</w:t>
            </w:r>
          </w:p>
        </w:tc>
        <w:tc>
          <w:tcPr>
            <w:tcW w:w="4380" w:type="dxa"/>
            <w:gridSpan w:val="4"/>
            <w:vAlign w:val="center"/>
          </w:tcPr>
          <w:p>
            <w:pPr>
              <w:spacing w:line="360" w:lineRule="exact"/>
              <w:jc w:val="center"/>
              <w:rPr>
                <w:rFonts w:ascii="宋体" w:hAnsi="宋体"/>
              </w:rPr>
            </w:pPr>
            <w:r>
              <w:rPr>
                <w:rFonts w:hint="eastAsia" w:ascii="宋体" w:hAnsi="宋体"/>
              </w:rPr>
              <w:t>期末余额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121" w:type="dxa"/>
            <w:vMerge w:val="continue"/>
            <w:vAlign w:val="center"/>
          </w:tcPr>
          <w:p>
            <w:pPr>
              <w:jc w:val="center"/>
              <w:rPr>
                <w:rFonts w:ascii="宋体" w:hAnsi="宋体"/>
                <w:lang w:val="en-GB"/>
              </w:rPr>
            </w:pPr>
          </w:p>
        </w:tc>
        <w:tc>
          <w:tcPr>
            <w:tcW w:w="1161" w:type="dxa"/>
            <w:vAlign w:val="center"/>
          </w:tcPr>
          <w:p>
            <w:pPr>
              <w:spacing w:line="360" w:lineRule="exact"/>
              <w:jc w:val="center"/>
              <w:rPr>
                <w:rFonts w:ascii="宋体" w:hAnsi="宋体"/>
                <w:highlight w:val="yellow"/>
              </w:rPr>
            </w:pPr>
            <w:r>
              <w:rPr>
                <w:rFonts w:hint="eastAsia" w:ascii="宋体" w:hAnsi="宋体"/>
              </w:rPr>
              <w:t>账面余额</w:t>
            </w:r>
          </w:p>
        </w:tc>
        <w:tc>
          <w:tcPr>
            <w:tcW w:w="1161" w:type="dxa"/>
            <w:vAlign w:val="center"/>
          </w:tcPr>
          <w:p>
            <w:pPr>
              <w:spacing w:line="360" w:lineRule="exact"/>
              <w:jc w:val="center"/>
              <w:rPr>
                <w:rFonts w:ascii="宋体" w:hAnsi="宋体"/>
              </w:rPr>
            </w:pPr>
            <w:r>
              <w:rPr>
                <w:rFonts w:hint="eastAsia" w:ascii="宋体" w:hAnsi="宋体"/>
              </w:rPr>
              <w:t>坏账准备</w:t>
            </w:r>
          </w:p>
        </w:tc>
        <w:tc>
          <w:tcPr>
            <w:tcW w:w="1161" w:type="dxa"/>
            <w:vAlign w:val="center"/>
          </w:tcPr>
          <w:p>
            <w:pPr>
              <w:spacing w:line="360" w:lineRule="exact"/>
              <w:jc w:val="center"/>
              <w:rPr>
                <w:rFonts w:ascii="宋体" w:hAnsi="宋体"/>
              </w:rPr>
            </w:pPr>
            <w:r>
              <w:rPr>
                <w:rFonts w:hint="eastAsia" w:ascii="宋体" w:hAnsi="宋体"/>
              </w:rPr>
              <w:t>账面余额</w:t>
            </w:r>
          </w:p>
        </w:tc>
        <w:tc>
          <w:tcPr>
            <w:tcW w:w="1161" w:type="dxa"/>
            <w:vAlign w:val="center"/>
          </w:tcPr>
          <w:p>
            <w:pPr>
              <w:spacing w:line="360" w:lineRule="exact"/>
              <w:jc w:val="center"/>
              <w:rPr>
                <w:rFonts w:ascii="宋体" w:hAnsi="宋体"/>
              </w:rPr>
            </w:pPr>
            <w:r>
              <w:rPr>
                <w:rFonts w:hint="eastAsia" w:ascii="宋体" w:hAnsi="宋体"/>
              </w:rPr>
              <w:t>坏账准备</w:t>
            </w:r>
          </w:p>
        </w:tc>
        <w:tc>
          <w:tcPr>
            <w:tcW w:w="1137" w:type="dxa"/>
            <w:vAlign w:val="center"/>
          </w:tcPr>
          <w:p>
            <w:pPr>
              <w:spacing w:line="360" w:lineRule="exact"/>
              <w:jc w:val="center"/>
              <w:rPr>
                <w:rFonts w:ascii="宋体" w:hAnsi="宋体"/>
              </w:rPr>
            </w:pPr>
            <w:r>
              <w:rPr>
                <w:rFonts w:hint="eastAsia" w:ascii="宋体" w:hAnsi="宋体"/>
              </w:rPr>
              <w:t>计提比例（%）</w:t>
            </w:r>
          </w:p>
        </w:tc>
        <w:tc>
          <w:tcPr>
            <w:tcW w:w="921" w:type="dxa"/>
            <w:vAlign w:val="center"/>
          </w:tcPr>
          <w:p>
            <w:pPr>
              <w:spacing w:line="360" w:lineRule="exact"/>
              <w:jc w:val="center"/>
              <w:rPr>
                <w:rFonts w:ascii="宋体" w:hAnsi="宋体"/>
              </w:rPr>
            </w:pPr>
            <w:r>
              <w:rPr>
                <w:rFonts w:hint="eastAsia" w:ascii="宋体" w:hAnsi="宋体"/>
              </w:rPr>
              <w:t>计提</w:t>
            </w:r>
          </w:p>
          <w:p>
            <w:pPr>
              <w:spacing w:line="360" w:lineRule="exact"/>
              <w:jc w:val="center"/>
              <w:rPr>
                <w:rFonts w:ascii="宋体" w:hAnsi="宋体"/>
              </w:rPr>
            </w:pPr>
            <w:r>
              <w:rPr>
                <w:rFonts w:hint="eastAsia" w:ascii="宋体" w:hAnsi="宋体"/>
              </w:rPr>
              <w:t>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lang w:val="en-GB"/>
              </w:rPr>
            </w:pPr>
            <w:r>
              <w:rPr>
                <w:rFonts w:hint="eastAsia" w:asciiTheme="minorEastAsia" w:hAnsiTheme="minorEastAsia" w:eastAsiaTheme="minorEastAsia"/>
              </w:rPr>
              <w:t>公司1</w:t>
            </w:r>
          </w:p>
        </w:tc>
        <w:tc>
          <w:tcPr>
            <w:tcW w:w="1161" w:type="dxa"/>
            <w:vAlign w:val="center"/>
          </w:tcPr>
          <w:p>
            <w:pPr>
              <w:spacing w:line="360" w:lineRule="exact"/>
              <w:jc w:val="right"/>
              <w:rPr>
                <w:rFonts w:ascii="宋体" w:hAnsi="宋体"/>
              </w:rPr>
            </w:pPr>
            <w:r>
              <w:rPr>
                <w:rFonts w:hint="eastAsia" w:ascii="宋体" w:hAnsi="宋体"/>
              </w:rPr>
              <w:t>648,074</w:t>
            </w:r>
          </w:p>
        </w:tc>
        <w:tc>
          <w:tcPr>
            <w:tcW w:w="1161" w:type="dxa"/>
            <w:vAlign w:val="center"/>
          </w:tcPr>
          <w:p>
            <w:pPr>
              <w:spacing w:line="360" w:lineRule="exact"/>
              <w:jc w:val="right"/>
              <w:rPr>
                <w:rFonts w:ascii="宋体" w:hAnsi="宋体"/>
              </w:rPr>
            </w:pPr>
            <w:r>
              <w:rPr>
                <w:rFonts w:hint="eastAsia" w:ascii="宋体" w:hAnsi="宋体"/>
              </w:rPr>
              <w:t>597,254</w:t>
            </w:r>
          </w:p>
        </w:tc>
        <w:tc>
          <w:tcPr>
            <w:tcW w:w="1161" w:type="dxa"/>
            <w:vAlign w:val="center"/>
          </w:tcPr>
          <w:p>
            <w:pPr>
              <w:spacing w:line="360" w:lineRule="exact"/>
              <w:jc w:val="right"/>
              <w:rPr>
                <w:rFonts w:ascii="宋体" w:hAnsi="宋体"/>
              </w:rPr>
            </w:pPr>
            <w:r>
              <w:rPr>
                <w:rFonts w:hint="eastAsia" w:ascii="宋体" w:hAnsi="宋体"/>
              </w:rPr>
              <w:t>644,785</w:t>
            </w:r>
          </w:p>
        </w:tc>
        <w:tc>
          <w:tcPr>
            <w:tcW w:w="1161" w:type="dxa"/>
            <w:vAlign w:val="center"/>
          </w:tcPr>
          <w:p>
            <w:pPr>
              <w:spacing w:line="360" w:lineRule="exact"/>
              <w:jc w:val="right"/>
              <w:rPr>
                <w:rFonts w:ascii="宋体" w:hAnsi="宋体"/>
              </w:rPr>
            </w:pPr>
            <w:r>
              <w:rPr>
                <w:rFonts w:hint="eastAsia" w:ascii="宋体" w:hAnsi="宋体"/>
              </w:rPr>
              <w:t>597,254</w:t>
            </w:r>
          </w:p>
        </w:tc>
        <w:tc>
          <w:tcPr>
            <w:tcW w:w="1137" w:type="dxa"/>
            <w:vAlign w:val="center"/>
          </w:tcPr>
          <w:p>
            <w:pPr>
              <w:spacing w:line="360" w:lineRule="exact"/>
              <w:jc w:val="right"/>
              <w:rPr>
                <w:rFonts w:ascii="宋体" w:hAnsi="宋体"/>
              </w:rPr>
            </w:pPr>
            <w:r>
              <w:rPr>
                <w:rFonts w:hint="eastAsia" w:ascii="宋体" w:hAnsi="宋体"/>
              </w:rPr>
              <w:t>93</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公司2</w:t>
            </w:r>
          </w:p>
        </w:tc>
        <w:tc>
          <w:tcPr>
            <w:tcW w:w="1161" w:type="dxa"/>
            <w:vAlign w:val="center"/>
          </w:tcPr>
          <w:p>
            <w:pPr>
              <w:spacing w:line="360" w:lineRule="exact"/>
              <w:jc w:val="right"/>
              <w:rPr>
                <w:rFonts w:ascii="宋体" w:hAnsi="宋体"/>
              </w:rPr>
            </w:pPr>
            <w:r>
              <w:rPr>
                <w:rFonts w:hint="eastAsia" w:ascii="宋体" w:hAnsi="宋体"/>
              </w:rPr>
              <w:t>338,297</w:t>
            </w:r>
          </w:p>
        </w:tc>
        <w:tc>
          <w:tcPr>
            <w:tcW w:w="1161" w:type="dxa"/>
            <w:vAlign w:val="center"/>
          </w:tcPr>
          <w:p>
            <w:pPr>
              <w:spacing w:line="360" w:lineRule="exact"/>
              <w:jc w:val="right"/>
              <w:rPr>
                <w:rFonts w:ascii="宋体" w:hAnsi="宋体"/>
              </w:rPr>
            </w:pPr>
            <w:r>
              <w:rPr>
                <w:rFonts w:hint="eastAsia" w:ascii="宋体" w:hAnsi="宋体"/>
              </w:rPr>
              <w:t>338,297</w:t>
            </w:r>
          </w:p>
        </w:tc>
        <w:tc>
          <w:tcPr>
            <w:tcW w:w="1161" w:type="dxa"/>
            <w:vAlign w:val="center"/>
          </w:tcPr>
          <w:p>
            <w:pPr>
              <w:spacing w:line="360" w:lineRule="exact"/>
              <w:jc w:val="right"/>
              <w:rPr>
                <w:rFonts w:ascii="宋体" w:hAnsi="宋体"/>
              </w:rPr>
            </w:pPr>
            <w:r>
              <w:rPr>
                <w:rFonts w:hint="eastAsia" w:ascii="宋体" w:hAnsi="宋体"/>
              </w:rPr>
              <w:t>301,618</w:t>
            </w:r>
          </w:p>
        </w:tc>
        <w:tc>
          <w:tcPr>
            <w:tcW w:w="1161" w:type="dxa"/>
            <w:vAlign w:val="center"/>
          </w:tcPr>
          <w:p>
            <w:pPr>
              <w:spacing w:line="360" w:lineRule="exact"/>
              <w:jc w:val="right"/>
              <w:rPr>
                <w:rFonts w:ascii="宋体" w:hAnsi="宋体"/>
              </w:rPr>
            </w:pPr>
            <w:r>
              <w:rPr>
                <w:rFonts w:hint="eastAsia" w:ascii="宋体" w:hAnsi="宋体"/>
              </w:rPr>
              <w:t>301,618</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公司3</w:t>
            </w:r>
          </w:p>
        </w:tc>
        <w:tc>
          <w:tcPr>
            <w:tcW w:w="1161" w:type="dxa"/>
            <w:vAlign w:val="center"/>
          </w:tcPr>
          <w:p>
            <w:pPr>
              <w:spacing w:line="360" w:lineRule="exact"/>
              <w:jc w:val="right"/>
              <w:rPr>
                <w:rFonts w:ascii="宋体" w:hAnsi="宋体"/>
              </w:rPr>
            </w:pPr>
            <w:r>
              <w:rPr>
                <w:rFonts w:hint="eastAsia" w:ascii="宋体" w:hAnsi="宋体"/>
              </w:rPr>
              <w:t>146,388</w:t>
            </w:r>
          </w:p>
        </w:tc>
        <w:tc>
          <w:tcPr>
            <w:tcW w:w="1161" w:type="dxa"/>
            <w:vAlign w:val="center"/>
          </w:tcPr>
          <w:p>
            <w:pPr>
              <w:spacing w:line="360" w:lineRule="exact"/>
              <w:jc w:val="right"/>
              <w:rPr>
                <w:rFonts w:ascii="宋体" w:hAnsi="宋体"/>
              </w:rPr>
            </w:pPr>
            <w:r>
              <w:rPr>
                <w:rFonts w:hint="eastAsia" w:ascii="宋体" w:hAnsi="宋体"/>
              </w:rPr>
              <w:t>146,388</w:t>
            </w:r>
          </w:p>
        </w:tc>
        <w:tc>
          <w:tcPr>
            <w:tcW w:w="1161" w:type="dxa"/>
            <w:vAlign w:val="center"/>
          </w:tcPr>
          <w:p>
            <w:pPr>
              <w:spacing w:line="360" w:lineRule="exact"/>
              <w:jc w:val="right"/>
              <w:rPr>
                <w:rFonts w:ascii="宋体" w:hAnsi="宋体"/>
              </w:rPr>
            </w:pPr>
            <w:r>
              <w:rPr>
                <w:rFonts w:hint="eastAsia" w:ascii="宋体" w:hAnsi="宋体"/>
              </w:rPr>
              <w:t>146,388</w:t>
            </w:r>
          </w:p>
        </w:tc>
        <w:tc>
          <w:tcPr>
            <w:tcW w:w="1161" w:type="dxa"/>
            <w:vAlign w:val="center"/>
          </w:tcPr>
          <w:p>
            <w:pPr>
              <w:spacing w:line="360" w:lineRule="exact"/>
              <w:jc w:val="right"/>
              <w:rPr>
                <w:rFonts w:ascii="宋体" w:hAnsi="宋体"/>
              </w:rPr>
            </w:pPr>
            <w:r>
              <w:rPr>
                <w:rFonts w:hint="eastAsia" w:ascii="宋体" w:hAnsi="宋体"/>
              </w:rPr>
              <w:t>146,388</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公司4</w:t>
            </w:r>
          </w:p>
        </w:tc>
        <w:tc>
          <w:tcPr>
            <w:tcW w:w="1161" w:type="dxa"/>
            <w:vAlign w:val="center"/>
          </w:tcPr>
          <w:p>
            <w:pPr>
              <w:spacing w:line="360" w:lineRule="exact"/>
              <w:jc w:val="right"/>
              <w:rPr>
                <w:rFonts w:ascii="宋体" w:hAnsi="宋体"/>
              </w:rPr>
            </w:pPr>
            <w:r>
              <w:rPr>
                <w:rFonts w:hint="eastAsia" w:ascii="宋体" w:hAnsi="宋体"/>
              </w:rPr>
              <w:t>121,606</w:t>
            </w:r>
          </w:p>
        </w:tc>
        <w:tc>
          <w:tcPr>
            <w:tcW w:w="1161" w:type="dxa"/>
            <w:vAlign w:val="center"/>
          </w:tcPr>
          <w:p>
            <w:pPr>
              <w:spacing w:line="360" w:lineRule="exact"/>
              <w:jc w:val="right"/>
              <w:rPr>
                <w:rFonts w:ascii="宋体" w:hAnsi="宋体"/>
              </w:rPr>
            </w:pPr>
            <w:r>
              <w:rPr>
                <w:rFonts w:hint="eastAsia" w:ascii="宋体" w:hAnsi="宋体"/>
              </w:rPr>
              <w:t>121,606</w:t>
            </w:r>
          </w:p>
        </w:tc>
        <w:tc>
          <w:tcPr>
            <w:tcW w:w="1161" w:type="dxa"/>
            <w:vAlign w:val="center"/>
          </w:tcPr>
          <w:p>
            <w:pPr>
              <w:spacing w:line="360" w:lineRule="exact"/>
              <w:jc w:val="right"/>
              <w:rPr>
                <w:rFonts w:ascii="宋体" w:hAnsi="宋体"/>
              </w:rPr>
            </w:pPr>
            <w:r>
              <w:rPr>
                <w:rFonts w:hint="eastAsia" w:ascii="宋体" w:hAnsi="宋体"/>
              </w:rPr>
              <w:t>121,606</w:t>
            </w:r>
          </w:p>
        </w:tc>
        <w:tc>
          <w:tcPr>
            <w:tcW w:w="1161" w:type="dxa"/>
            <w:vAlign w:val="center"/>
          </w:tcPr>
          <w:p>
            <w:pPr>
              <w:spacing w:line="360" w:lineRule="exact"/>
              <w:jc w:val="right"/>
              <w:rPr>
                <w:rFonts w:ascii="宋体" w:hAnsi="宋体"/>
              </w:rPr>
            </w:pPr>
            <w:r>
              <w:rPr>
                <w:rFonts w:hint="eastAsia" w:ascii="宋体" w:hAnsi="宋体"/>
              </w:rPr>
              <w:t>121,606</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公司5</w:t>
            </w:r>
          </w:p>
        </w:tc>
        <w:tc>
          <w:tcPr>
            <w:tcW w:w="1161" w:type="dxa"/>
            <w:vAlign w:val="center"/>
          </w:tcPr>
          <w:p>
            <w:pPr>
              <w:spacing w:line="360" w:lineRule="exact"/>
              <w:jc w:val="right"/>
              <w:rPr>
                <w:rFonts w:ascii="宋体" w:hAnsi="宋体"/>
              </w:rPr>
            </w:pPr>
            <w:r>
              <w:rPr>
                <w:rFonts w:hint="eastAsia" w:ascii="宋体" w:hAnsi="宋体"/>
              </w:rPr>
              <w:t>115,788</w:t>
            </w:r>
          </w:p>
        </w:tc>
        <w:tc>
          <w:tcPr>
            <w:tcW w:w="1161" w:type="dxa"/>
            <w:vAlign w:val="center"/>
          </w:tcPr>
          <w:p>
            <w:pPr>
              <w:spacing w:line="360" w:lineRule="exact"/>
              <w:jc w:val="right"/>
              <w:rPr>
                <w:rFonts w:ascii="宋体" w:hAnsi="宋体"/>
              </w:rPr>
            </w:pPr>
            <w:r>
              <w:rPr>
                <w:rFonts w:hint="eastAsia" w:ascii="宋体" w:hAnsi="宋体"/>
              </w:rPr>
              <w:t>115,788</w:t>
            </w:r>
          </w:p>
        </w:tc>
        <w:tc>
          <w:tcPr>
            <w:tcW w:w="1161" w:type="dxa"/>
            <w:vAlign w:val="center"/>
          </w:tcPr>
          <w:p>
            <w:pPr>
              <w:spacing w:line="360" w:lineRule="exact"/>
              <w:jc w:val="right"/>
              <w:rPr>
                <w:rFonts w:ascii="宋体" w:hAnsi="宋体"/>
              </w:rPr>
            </w:pPr>
            <w:r>
              <w:rPr>
                <w:rFonts w:hint="eastAsia" w:ascii="宋体" w:hAnsi="宋体"/>
              </w:rPr>
              <w:t>90,602</w:t>
            </w:r>
          </w:p>
        </w:tc>
        <w:tc>
          <w:tcPr>
            <w:tcW w:w="1161" w:type="dxa"/>
            <w:vAlign w:val="center"/>
          </w:tcPr>
          <w:p>
            <w:pPr>
              <w:spacing w:line="360" w:lineRule="exact"/>
              <w:jc w:val="right"/>
              <w:rPr>
                <w:rFonts w:ascii="宋体" w:hAnsi="宋体"/>
              </w:rPr>
            </w:pPr>
            <w:r>
              <w:rPr>
                <w:rFonts w:hint="eastAsia" w:ascii="宋体" w:hAnsi="宋体"/>
              </w:rPr>
              <w:t>90,602</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w:t>
            </w:r>
            <w:r>
              <w:rPr>
                <w:rFonts w:asciiTheme="minorEastAsia" w:hAnsiTheme="minorEastAsia" w:eastAsiaTheme="minorEastAsia"/>
              </w:rPr>
              <w:t>6</w:t>
            </w:r>
          </w:p>
        </w:tc>
        <w:tc>
          <w:tcPr>
            <w:tcW w:w="1161" w:type="dxa"/>
            <w:vAlign w:val="center"/>
          </w:tcPr>
          <w:p>
            <w:pPr>
              <w:spacing w:line="360" w:lineRule="exact"/>
              <w:jc w:val="right"/>
              <w:rPr>
                <w:rFonts w:ascii="宋体" w:hAnsi="宋体"/>
              </w:rPr>
            </w:pPr>
            <w:r>
              <w:rPr>
                <w:rFonts w:hint="eastAsia" w:ascii="宋体" w:hAnsi="宋体"/>
              </w:rPr>
              <w:t>69,169</w:t>
            </w:r>
          </w:p>
        </w:tc>
        <w:tc>
          <w:tcPr>
            <w:tcW w:w="1161" w:type="dxa"/>
            <w:vAlign w:val="center"/>
          </w:tcPr>
          <w:p>
            <w:pPr>
              <w:spacing w:line="360" w:lineRule="exact"/>
              <w:jc w:val="right"/>
              <w:rPr>
                <w:rFonts w:ascii="宋体" w:hAnsi="宋体"/>
              </w:rPr>
            </w:pPr>
            <w:r>
              <w:rPr>
                <w:rFonts w:hint="eastAsia" w:ascii="宋体" w:hAnsi="宋体"/>
              </w:rPr>
              <w:t>69,169</w:t>
            </w:r>
          </w:p>
        </w:tc>
        <w:tc>
          <w:tcPr>
            <w:tcW w:w="1161" w:type="dxa"/>
            <w:vAlign w:val="center"/>
          </w:tcPr>
          <w:p>
            <w:pPr>
              <w:spacing w:line="360" w:lineRule="exact"/>
              <w:jc w:val="right"/>
              <w:rPr>
                <w:rFonts w:ascii="宋体" w:hAnsi="宋体"/>
              </w:rPr>
            </w:pPr>
            <w:r>
              <w:rPr>
                <w:rFonts w:hint="eastAsia" w:ascii="宋体" w:hAnsi="宋体"/>
              </w:rPr>
              <w:t>69,169</w:t>
            </w:r>
          </w:p>
        </w:tc>
        <w:tc>
          <w:tcPr>
            <w:tcW w:w="1161" w:type="dxa"/>
            <w:vAlign w:val="center"/>
          </w:tcPr>
          <w:p>
            <w:pPr>
              <w:spacing w:line="360" w:lineRule="exact"/>
              <w:jc w:val="right"/>
              <w:rPr>
                <w:rFonts w:ascii="宋体" w:hAnsi="宋体"/>
              </w:rPr>
            </w:pPr>
            <w:r>
              <w:rPr>
                <w:rFonts w:hint="eastAsia" w:ascii="宋体" w:hAnsi="宋体"/>
              </w:rPr>
              <w:t>69,169</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w:t>
            </w:r>
            <w:r>
              <w:rPr>
                <w:rFonts w:asciiTheme="minorEastAsia" w:hAnsiTheme="minorEastAsia" w:eastAsiaTheme="minorEastAsia"/>
              </w:rPr>
              <w:t>7</w:t>
            </w:r>
          </w:p>
        </w:tc>
        <w:tc>
          <w:tcPr>
            <w:tcW w:w="1161" w:type="dxa"/>
            <w:vAlign w:val="center"/>
          </w:tcPr>
          <w:p>
            <w:pPr>
              <w:spacing w:line="360" w:lineRule="exact"/>
              <w:jc w:val="right"/>
              <w:rPr>
                <w:rFonts w:ascii="宋体" w:hAnsi="宋体"/>
              </w:rPr>
            </w:pPr>
            <w:r>
              <w:rPr>
                <w:rFonts w:hint="eastAsia" w:ascii="宋体" w:hAnsi="宋体"/>
              </w:rPr>
              <w:t>48,558</w:t>
            </w:r>
          </w:p>
        </w:tc>
        <w:tc>
          <w:tcPr>
            <w:tcW w:w="1161" w:type="dxa"/>
            <w:vAlign w:val="center"/>
          </w:tcPr>
          <w:p>
            <w:pPr>
              <w:spacing w:line="360" w:lineRule="exact"/>
              <w:jc w:val="right"/>
              <w:rPr>
                <w:rFonts w:ascii="宋体" w:hAnsi="宋体"/>
              </w:rPr>
            </w:pPr>
            <w:r>
              <w:rPr>
                <w:rFonts w:hint="eastAsia" w:ascii="宋体" w:hAnsi="宋体"/>
              </w:rPr>
              <w:t>48,558</w:t>
            </w:r>
          </w:p>
        </w:tc>
        <w:tc>
          <w:tcPr>
            <w:tcW w:w="1161" w:type="dxa"/>
            <w:vAlign w:val="center"/>
          </w:tcPr>
          <w:p>
            <w:pPr>
              <w:spacing w:line="360" w:lineRule="exact"/>
              <w:jc w:val="right"/>
              <w:rPr>
                <w:rFonts w:ascii="宋体" w:hAnsi="宋体"/>
              </w:rPr>
            </w:pPr>
            <w:r>
              <w:rPr>
                <w:rFonts w:hint="eastAsia" w:ascii="宋体" w:hAnsi="宋体"/>
              </w:rPr>
              <w:t>48,558</w:t>
            </w:r>
          </w:p>
        </w:tc>
        <w:tc>
          <w:tcPr>
            <w:tcW w:w="1161" w:type="dxa"/>
            <w:vAlign w:val="center"/>
          </w:tcPr>
          <w:p>
            <w:pPr>
              <w:spacing w:line="360" w:lineRule="exact"/>
              <w:jc w:val="right"/>
              <w:rPr>
                <w:rFonts w:ascii="宋体" w:hAnsi="宋体"/>
              </w:rPr>
            </w:pPr>
            <w:r>
              <w:rPr>
                <w:rFonts w:hint="eastAsia" w:ascii="宋体" w:hAnsi="宋体"/>
              </w:rPr>
              <w:t>48,558</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w:t>
            </w:r>
            <w:r>
              <w:rPr>
                <w:rFonts w:asciiTheme="minorEastAsia" w:hAnsiTheme="minorEastAsia" w:eastAsiaTheme="minorEastAsia"/>
              </w:rPr>
              <w:t>8</w:t>
            </w:r>
          </w:p>
        </w:tc>
        <w:tc>
          <w:tcPr>
            <w:tcW w:w="1161" w:type="dxa"/>
            <w:vAlign w:val="center"/>
          </w:tcPr>
          <w:p>
            <w:pPr>
              <w:spacing w:line="360" w:lineRule="exact"/>
              <w:jc w:val="right"/>
              <w:rPr>
                <w:rFonts w:ascii="宋体" w:hAnsi="宋体"/>
              </w:rPr>
            </w:pPr>
            <w:r>
              <w:rPr>
                <w:rFonts w:hint="eastAsia" w:ascii="宋体" w:hAnsi="宋体"/>
              </w:rPr>
              <w:t>42,267</w:t>
            </w:r>
          </w:p>
        </w:tc>
        <w:tc>
          <w:tcPr>
            <w:tcW w:w="1161" w:type="dxa"/>
            <w:vAlign w:val="center"/>
          </w:tcPr>
          <w:p>
            <w:pPr>
              <w:spacing w:line="360" w:lineRule="exact"/>
              <w:jc w:val="right"/>
              <w:rPr>
                <w:rFonts w:ascii="宋体" w:hAnsi="宋体"/>
              </w:rPr>
            </w:pPr>
            <w:r>
              <w:rPr>
                <w:rFonts w:hint="eastAsia" w:ascii="宋体" w:hAnsi="宋体"/>
              </w:rPr>
              <w:t>42,267</w:t>
            </w:r>
          </w:p>
        </w:tc>
        <w:tc>
          <w:tcPr>
            <w:tcW w:w="1161" w:type="dxa"/>
            <w:vAlign w:val="center"/>
          </w:tcPr>
          <w:p>
            <w:pPr>
              <w:spacing w:line="360" w:lineRule="exact"/>
              <w:jc w:val="right"/>
              <w:rPr>
                <w:rFonts w:ascii="宋体" w:hAnsi="宋体"/>
              </w:rPr>
            </w:pPr>
            <w:r>
              <w:rPr>
                <w:rFonts w:hint="eastAsia" w:ascii="宋体" w:hAnsi="宋体"/>
              </w:rPr>
              <w:t>42,200</w:t>
            </w:r>
          </w:p>
        </w:tc>
        <w:tc>
          <w:tcPr>
            <w:tcW w:w="1161" w:type="dxa"/>
            <w:vAlign w:val="center"/>
          </w:tcPr>
          <w:p>
            <w:pPr>
              <w:spacing w:line="360" w:lineRule="exact"/>
              <w:jc w:val="right"/>
              <w:rPr>
                <w:rFonts w:ascii="宋体" w:hAnsi="宋体"/>
              </w:rPr>
            </w:pPr>
            <w:r>
              <w:rPr>
                <w:rFonts w:hint="eastAsia" w:ascii="宋体" w:hAnsi="宋体"/>
              </w:rPr>
              <w:t>42,200</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w:t>
            </w:r>
            <w:r>
              <w:rPr>
                <w:rFonts w:asciiTheme="minorEastAsia" w:hAnsiTheme="minorEastAsia" w:eastAsiaTheme="minorEastAsia"/>
              </w:rPr>
              <w:t>9</w:t>
            </w:r>
          </w:p>
        </w:tc>
        <w:tc>
          <w:tcPr>
            <w:tcW w:w="1161" w:type="dxa"/>
            <w:vAlign w:val="center"/>
          </w:tcPr>
          <w:p>
            <w:pPr>
              <w:spacing w:line="360" w:lineRule="exact"/>
              <w:jc w:val="right"/>
              <w:rPr>
                <w:rFonts w:ascii="宋体" w:hAnsi="宋体"/>
              </w:rPr>
            </w:pPr>
            <w:r>
              <w:rPr>
                <w:rFonts w:hint="eastAsia" w:ascii="宋体" w:hAnsi="宋体"/>
              </w:rPr>
              <w:t>26,048</w:t>
            </w:r>
          </w:p>
        </w:tc>
        <w:tc>
          <w:tcPr>
            <w:tcW w:w="1161" w:type="dxa"/>
            <w:vAlign w:val="center"/>
          </w:tcPr>
          <w:p>
            <w:pPr>
              <w:spacing w:line="360" w:lineRule="exact"/>
              <w:jc w:val="right"/>
              <w:rPr>
                <w:rFonts w:ascii="宋体" w:hAnsi="宋体"/>
              </w:rPr>
            </w:pPr>
            <w:r>
              <w:rPr>
                <w:rFonts w:hint="eastAsia" w:ascii="宋体" w:hAnsi="宋体"/>
              </w:rPr>
              <w:t>26,048</w:t>
            </w:r>
          </w:p>
        </w:tc>
        <w:tc>
          <w:tcPr>
            <w:tcW w:w="1161" w:type="dxa"/>
            <w:vAlign w:val="center"/>
          </w:tcPr>
          <w:p>
            <w:pPr>
              <w:spacing w:line="360" w:lineRule="exact"/>
              <w:jc w:val="right"/>
              <w:rPr>
                <w:rFonts w:ascii="宋体" w:hAnsi="宋体"/>
              </w:rPr>
            </w:pPr>
            <w:r>
              <w:rPr>
                <w:rFonts w:hint="eastAsia" w:ascii="宋体" w:hAnsi="宋体"/>
              </w:rPr>
              <w:t>21,362</w:t>
            </w:r>
          </w:p>
        </w:tc>
        <w:tc>
          <w:tcPr>
            <w:tcW w:w="1161" w:type="dxa"/>
            <w:vAlign w:val="center"/>
          </w:tcPr>
          <w:p>
            <w:pPr>
              <w:spacing w:line="360" w:lineRule="exact"/>
              <w:jc w:val="right"/>
              <w:rPr>
                <w:rFonts w:ascii="宋体" w:hAnsi="宋体"/>
              </w:rPr>
            </w:pPr>
            <w:r>
              <w:rPr>
                <w:rFonts w:hint="eastAsia" w:ascii="宋体" w:hAnsi="宋体"/>
              </w:rPr>
              <w:t>21,362</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w:t>
            </w:r>
            <w:r>
              <w:rPr>
                <w:rFonts w:asciiTheme="minorEastAsia" w:hAnsiTheme="minorEastAsia" w:eastAsiaTheme="minorEastAsia"/>
              </w:rPr>
              <w:t>10</w:t>
            </w:r>
          </w:p>
        </w:tc>
        <w:tc>
          <w:tcPr>
            <w:tcW w:w="1161" w:type="dxa"/>
            <w:vAlign w:val="center"/>
          </w:tcPr>
          <w:p>
            <w:pPr>
              <w:spacing w:line="360" w:lineRule="exact"/>
              <w:jc w:val="right"/>
              <w:rPr>
                <w:rFonts w:ascii="宋体" w:hAnsi="宋体"/>
              </w:rPr>
            </w:pPr>
            <w:r>
              <w:rPr>
                <w:rFonts w:hint="eastAsia" w:ascii="宋体" w:hAnsi="宋体"/>
              </w:rPr>
              <w:t>16,444</w:t>
            </w:r>
          </w:p>
        </w:tc>
        <w:tc>
          <w:tcPr>
            <w:tcW w:w="1161" w:type="dxa"/>
            <w:vAlign w:val="center"/>
          </w:tcPr>
          <w:p>
            <w:pPr>
              <w:spacing w:line="360" w:lineRule="exact"/>
              <w:jc w:val="right"/>
              <w:rPr>
                <w:rFonts w:ascii="宋体" w:hAnsi="宋体"/>
              </w:rPr>
            </w:pPr>
            <w:r>
              <w:rPr>
                <w:rFonts w:hint="eastAsia" w:ascii="宋体" w:hAnsi="宋体"/>
              </w:rPr>
              <w:t>16,444</w:t>
            </w:r>
          </w:p>
        </w:tc>
        <w:tc>
          <w:tcPr>
            <w:tcW w:w="1161" w:type="dxa"/>
            <w:vAlign w:val="center"/>
          </w:tcPr>
          <w:p>
            <w:pPr>
              <w:spacing w:line="360" w:lineRule="exact"/>
              <w:jc w:val="right"/>
              <w:rPr>
                <w:rFonts w:ascii="宋体" w:hAnsi="宋体"/>
              </w:rPr>
            </w:pPr>
            <w:r>
              <w:rPr>
                <w:rFonts w:hint="eastAsia" w:ascii="宋体" w:hAnsi="宋体"/>
              </w:rPr>
              <w:t>16,444</w:t>
            </w:r>
          </w:p>
        </w:tc>
        <w:tc>
          <w:tcPr>
            <w:tcW w:w="1161" w:type="dxa"/>
            <w:vAlign w:val="center"/>
          </w:tcPr>
          <w:p>
            <w:pPr>
              <w:spacing w:line="360" w:lineRule="exact"/>
              <w:jc w:val="right"/>
              <w:rPr>
                <w:rFonts w:ascii="宋体" w:hAnsi="宋体"/>
              </w:rPr>
            </w:pPr>
            <w:r>
              <w:rPr>
                <w:rFonts w:hint="eastAsia" w:ascii="宋体" w:hAnsi="宋体"/>
              </w:rPr>
              <w:t>16,444</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公司1</w:t>
            </w:r>
            <w:r>
              <w:rPr>
                <w:rFonts w:asciiTheme="minorEastAsia" w:hAnsiTheme="minorEastAsia" w:eastAsiaTheme="minorEastAsia"/>
              </w:rPr>
              <w:t>1</w:t>
            </w:r>
          </w:p>
        </w:tc>
        <w:tc>
          <w:tcPr>
            <w:tcW w:w="1161" w:type="dxa"/>
            <w:vAlign w:val="center"/>
          </w:tcPr>
          <w:p>
            <w:pPr>
              <w:spacing w:line="360" w:lineRule="exact"/>
              <w:jc w:val="right"/>
              <w:rPr>
                <w:rFonts w:ascii="宋体" w:hAnsi="宋体"/>
              </w:rPr>
            </w:pPr>
            <w:r>
              <w:rPr>
                <w:rFonts w:hint="eastAsia" w:ascii="宋体" w:hAnsi="宋体"/>
              </w:rPr>
              <w:t>9,368</w:t>
            </w:r>
          </w:p>
        </w:tc>
        <w:tc>
          <w:tcPr>
            <w:tcW w:w="1161" w:type="dxa"/>
            <w:vAlign w:val="center"/>
          </w:tcPr>
          <w:p>
            <w:pPr>
              <w:spacing w:line="360" w:lineRule="exact"/>
              <w:jc w:val="right"/>
              <w:rPr>
                <w:rFonts w:ascii="宋体" w:hAnsi="宋体"/>
              </w:rPr>
            </w:pPr>
            <w:r>
              <w:rPr>
                <w:rFonts w:hint="eastAsia" w:ascii="宋体" w:hAnsi="宋体"/>
              </w:rPr>
              <w:t>9,368</w:t>
            </w:r>
          </w:p>
        </w:tc>
        <w:tc>
          <w:tcPr>
            <w:tcW w:w="1161" w:type="dxa"/>
            <w:vAlign w:val="center"/>
          </w:tcPr>
          <w:p>
            <w:pPr>
              <w:spacing w:line="360" w:lineRule="exact"/>
              <w:jc w:val="right"/>
              <w:rPr>
                <w:rFonts w:ascii="宋体" w:hAnsi="宋体"/>
              </w:rPr>
            </w:pPr>
            <w:r>
              <w:rPr>
                <w:rFonts w:hint="eastAsia" w:ascii="宋体" w:hAnsi="宋体"/>
              </w:rPr>
              <w:t>9,368</w:t>
            </w:r>
          </w:p>
        </w:tc>
        <w:tc>
          <w:tcPr>
            <w:tcW w:w="1161" w:type="dxa"/>
            <w:vAlign w:val="center"/>
          </w:tcPr>
          <w:p>
            <w:pPr>
              <w:spacing w:line="360" w:lineRule="exact"/>
              <w:jc w:val="right"/>
              <w:rPr>
                <w:rFonts w:ascii="宋体" w:hAnsi="宋体"/>
              </w:rPr>
            </w:pPr>
            <w:r>
              <w:rPr>
                <w:rFonts w:hint="eastAsia" w:ascii="宋体" w:hAnsi="宋体"/>
              </w:rPr>
              <w:t>9,368</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公司12</w:t>
            </w:r>
          </w:p>
        </w:tc>
        <w:tc>
          <w:tcPr>
            <w:tcW w:w="1161" w:type="dxa"/>
            <w:vAlign w:val="center"/>
          </w:tcPr>
          <w:p>
            <w:pPr>
              <w:spacing w:line="360" w:lineRule="exact"/>
              <w:jc w:val="right"/>
              <w:rPr>
                <w:rFonts w:ascii="宋体" w:hAnsi="宋体"/>
              </w:rPr>
            </w:pPr>
            <w:r>
              <w:rPr>
                <w:rFonts w:hint="eastAsia" w:ascii="宋体" w:hAnsi="宋体"/>
              </w:rPr>
              <w:t>9,216</w:t>
            </w:r>
          </w:p>
        </w:tc>
        <w:tc>
          <w:tcPr>
            <w:tcW w:w="1161" w:type="dxa"/>
            <w:vAlign w:val="center"/>
          </w:tcPr>
          <w:p>
            <w:pPr>
              <w:spacing w:line="360" w:lineRule="exact"/>
              <w:jc w:val="right"/>
              <w:rPr>
                <w:rFonts w:ascii="宋体" w:hAnsi="宋体"/>
              </w:rPr>
            </w:pPr>
            <w:r>
              <w:rPr>
                <w:rFonts w:hint="eastAsia" w:ascii="宋体" w:hAnsi="宋体"/>
              </w:rPr>
              <w:t>9,216</w:t>
            </w:r>
          </w:p>
        </w:tc>
        <w:tc>
          <w:tcPr>
            <w:tcW w:w="1161" w:type="dxa"/>
            <w:vAlign w:val="center"/>
          </w:tcPr>
          <w:p>
            <w:pPr>
              <w:spacing w:line="360" w:lineRule="exact"/>
              <w:jc w:val="right"/>
              <w:rPr>
                <w:rFonts w:ascii="宋体" w:hAnsi="宋体"/>
              </w:rPr>
            </w:pPr>
            <w:r>
              <w:rPr>
                <w:rFonts w:hint="eastAsia" w:ascii="宋体" w:hAnsi="宋体"/>
              </w:rPr>
              <w:t>9,216</w:t>
            </w:r>
          </w:p>
        </w:tc>
        <w:tc>
          <w:tcPr>
            <w:tcW w:w="1161" w:type="dxa"/>
            <w:vAlign w:val="center"/>
          </w:tcPr>
          <w:p>
            <w:pPr>
              <w:spacing w:line="360" w:lineRule="exact"/>
              <w:jc w:val="right"/>
              <w:rPr>
                <w:rFonts w:ascii="宋体" w:hAnsi="宋体"/>
              </w:rPr>
            </w:pPr>
            <w:r>
              <w:rPr>
                <w:rFonts w:hint="eastAsia" w:ascii="宋体" w:hAnsi="宋体"/>
              </w:rPr>
              <w:t>9,216</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公司13</w:t>
            </w:r>
          </w:p>
        </w:tc>
        <w:tc>
          <w:tcPr>
            <w:tcW w:w="1161" w:type="dxa"/>
            <w:vAlign w:val="center"/>
          </w:tcPr>
          <w:p>
            <w:pPr>
              <w:spacing w:line="360" w:lineRule="exact"/>
              <w:jc w:val="right"/>
              <w:rPr>
                <w:rFonts w:ascii="宋体" w:hAnsi="宋体"/>
              </w:rPr>
            </w:pPr>
            <w:r>
              <w:rPr>
                <w:rFonts w:hint="eastAsia" w:ascii="宋体" w:hAnsi="宋体"/>
              </w:rPr>
              <w:t>8,987</w:t>
            </w:r>
          </w:p>
        </w:tc>
        <w:tc>
          <w:tcPr>
            <w:tcW w:w="1161" w:type="dxa"/>
            <w:vAlign w:val="center"/>
          </w:tcPr>
          <w:p>
            <w:pPr>
              <w:spacing w:line="360" w:lineRule="exact"/>
              <w:jc w:val="right"/>
              <w:rPr>
                <w:rFonts w:ascii="宋体" w:hAnsi="宋体"/>
              </w:rPr>
            </w:pPr>
            <w:r>
              <w:rPr>
                <w:rFonts w:hint="eastAsia" w:ascii="宋体" w:hAnsi="宋体"/>
              </w:rPr>
              <w:t>8,987</w:t>
            </w:r>
          </w:p>
        </w:tc>
        <w:tc>
          <w:tcPr>
            <w:tcW w:w="1161" w:type="dxa"/>
            <w:vAlign w:val="center"/>
          </w:tcPr>
          <w:p>
            <w:pPr>
              <w:spacing w:line="360" w:lineRule="exact"/>
              <w:jc w:val="right"/>
              <w:rPr>
                <w:rFonts w:ascii="宋体" w:hAnsi="宋体"/>
              </w:rPr>
            </w:pPr>
            <w:r>
              <w:rPr>
                <w:rFonts w:hint="eastAsia" w:ascii="宋体" w:hAnsi="宋体"/>
              </w:rPr>
              <w:t>8,987</w:t>
            </w:r>
          </w:p>
        </w:tc>
        <w:tc>
          <w:tcPr>
            <w:tcW w:w="1161" w:type="dxa"/>
            <w:vAlign w:val="center"/>
          </w:tcPr>
          <w:p>
            <w:pPr>
              <w:spacing w:line="360" w:lineRule="exact"/>
              <w:jc w:val="right"/>
              <w:rPr>
                <w:rFonts w:ascii="宋体" w:hAnsi="宋体"/>
              </w:rPr>
            </w:pPr>
            <w:r>
              <w:rPr>
                <w:rFonts w:hint="eastAsia" w:ascii="宋体" w:hAnsi="宋体"/>
              </w:rPr>
              <w:t>8,987</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公司14</w:t>
            </w:r>
          </w:p>
        </w:tc>
        <w:tc>
          <w:tcPr>
            <w:tcW w:w="1161" w:type="dxa"/>
            <w:vAlign w:val="center"/>
          </w:tcPr>
          <w:p>
            <w:pPr>
              <w:spacing w:line="360" w:lineRule="exact"/>
              <w:jc w:val="right"/>
              <w:rPr>
                <w:rFonts w:ascii="宋体" w:hAnsi="宋体"/>
              </w:rPr>
            </w:pPr>
            <w:r>
              <w:rPr>
                <w:rFonts w:hint="eastAsia" w:ascii="宋体" w:hAnsi="宋体"/>
              </w:rPr>
              <w:t>8,692</w:t>
            </w:r>
          </w:p>
        </w:tc>
        <w:tc>
          <w:tcPr>
            <w:tcW w:w="1161" w:type="dxa"/>
            <w:vAlign w:val="center"/>
          </w:tcPr>
          <w:p>
            <w:pPr>
              <w:spacing w:line="360" w:lineRule="exact"/>
              <w:jc w:val="right"/>
              <w:rPr>
                <w:rFonts w:ascii="宋体" w:hAnsi="宋体"/>
              </w:rPr>
            </w:pPr>
            <w:r>
              <w:rPr>
                <w:rFonts w:hint="eastAsia" w:ascii="宋体" w:hAnsi="宋体"/>
              </w:rPr>
              <w:t>8,692</w:t>
            </w:r>
          </w:p>
        </w:tc>
        <w:tc>
          <w:tcPr>
            <w:tcW w:w="1161" w:type="dxa"/>
            <w:vAlign w:val="center"/>
          </w:tcPr>
          <w:p>
            <w:pPr>
              <w:spacing w:line="360" w:lineRule="exact"/>
              <w:jc w:val="right"/>
              <w:rPr>
                <w:rFonts w:ascii="宋体" w:hAnsi="宋体"/>
              </w:rPr>
            </w:pPr>
            <w:r>
              <w:rPr>
                <w:rFonts w:hint="eastAsia" w:ascii="宋体" w:hAnsi="宋体"/>
              </w:rPr>
              <w:t>8,326</w:t>
            </w:r>
          </w:p>
        </w:tc>
        <w:tc>
          <w:tcPr>
            <w:tcW w:w="1161" w:type="dxa"/>
            <w:vAlign w:val="center"/>
          </w:tcPr>
          <w:p>
            <w:pPr>
              <w:spacing w:line="360" w:lineRule="exact"/>
              <w:jc w:val="right"/>
              <w:rPr>
                <w:rFonts w:ascii="宋体" w:hAnsi="宋体"/>
              </w:rPr>
            </w:pPr>
            <w:r>
              <w:rPr>
                <w:rFonts w:hint="eastAsia" w:ascii="宋体" w:hAnsi="宋体"/>
              </w:rPr>
              <w:t>8,326</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公司15</w:t>
            </w:r>
          </w:p>
        </w:tc>
        <w:tc>
          <w:tcPr>
            <w:tcW w:w="1161" w:type="dxa"/>
            <w:vAlign w:val="center"/>
          </w:tcPr>
          <w:p>
            <w:pPr>
              <w:spacing w:line="360" w:lineRule="exact"/>
              <w:jc w:val="right"/>
              <w:rPr>
                <w:rFonts w:ascii="宋体" w:hAnsi="宋体"/>
              </w:rPr>
            </w:pPr>
            <w:r>
              <w:rPr>
                <w:rFonts w:hint="eastAsia" w:ascii="宋体" w:hAnsi="宋体"/>
              </w:rPr>
              <w:t>8,072</w:t>
            </w:r>
          </w:p>
        </w:tc>
        <w:tc>
          <w:tcPr>
            <w:tcW w:w="1161" w:type="dxa"/>
            <w:vAlign w:val="center"/>
          </w:tcPr>
          <w:p>
            <w:pPr>
              <w:spacing w:line="360" w:lineRule="exact"/>
              <w:jc w:val="right"/>
              <w:rPr>
                <w:rFonts w:ascii="宋体" w:hAnsi="宋体"/>
              </w:rPr>
            </w:pPr>
            <w:r>
              <w:rPr>
                <w:rFonts w:hint="eastAsia" w:ascii="宋体" w:hAnsi="宋体"/>
              </w:rPr>
              <w:t>8,072</w:t>
            </w:r>
          </w:p>
        </w:tc>
        <w:tc>
          <w:tcPr>
            <w:tcW w:w="1161" w:type="dxa"/>
            <w:vAlign w:val="center"/>
          </w:tcPr>
          <w:p>
            <w:pPr>
              <w:spacing w:line="360" w:lineRule="exact"/>
              <w:jc w:val="right"/>
              <w:rPr>
                <w:rFonts w:ascii="宋体" w:hAnsi="宋体"/>
              </w:rPr>
            </w:pPr>
            <w:r>
              <w:rPr>
                <w:rFonts w:hint="eastAsia" w:ascii="宋体" w:hAnsi="宋体"/>
              </w:rPr>
              <w:t>8,072</w:t>
            </w:r>
          </w:p>
        </w:tc>
        <w:tc>
          <w:tcPr>
            <w:tcW w:w="1161" w:type="dxa"/>
            <w:vAlign w:val="center"/>
          </w:tcPr>
          <w:p>
            <w:pPr>
              <w:spacing w:line="360" w:lineRule="exact"/>
              <w:jc w:val="right"/>
              <w:rPr>
                <w:rFonts w:ascii="宋体" w:hAnsi="宋体"/>
              </w:rPr>
            </w:pPr>
            <w:r>
              <w:rPr>
                <w:rFonts w:hint="eastAsia" w:ascii="宋体" w:hAnsi="宋体"/>
              </w:rPr>
              <w:t>8,072</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公司1</w:t>
            </w:r>
            <w:r>
              <w:rPr>
                <w:rFonts w:asciiTheme="minorEastAsia" w:hAnsiTheme="minorEastAsia" w:eastAsiaTheme="minorEastAsia"/>
              </w:rPr>
              <w:t>6</w:t>
            </w:r>
          </w:p>
        </w:tc>
        <w:tc>
          <w:tcPr>
            <w:tcW w:w="1161" w:type="dxa"/>
            <w:vAlign w:val="center"/>
          </w:tcPr>
          <w:p>
            <w:pPr>
              <w:spacing w:line="360" w:lineRule="exact"/>
              <w:jc w:val="right"/>
              <w:rPr>
                <w:rFonts w:ascii="宋体" w:hAnsi="宋体"/>
              </w:rPr>
            </w:pPr>
            <w:r>
              <w:rPr>
                <w:rFonts w:hint="eastAsia" w:ascii="宋体" w:hAnsi="宋体"/>
              </w:rPr>
              <w:t>15,657</w:t>
            </w:r>
          </w:p>
        </w:tc>
        <w:tc>
          <w:tcPr>
            <w:tcW w:w="1161" w:type="dxa"/>
            <w:vAlign w:val="center"/>
          </w:tcPr>
          <w:p>
            <w:pPr>
              <w:spacing w:line="360" w:lineRule="exact"/>
              <w:jc w:val="right"/>
              <w:rPr>
                <w:rFonts w:ascii="宋体" w:hAnsi="宋体"/>
              </w:rPr>
            </w:pPr>
            <w:r>
              <w:rPr>
                <w:rFonts w:hint="eastAsia" w:ascii="宋体" w:hAnsi="宋体"/>
              </w:rPr>
              <w:t>15,657</w:t>
            </w:r>
          </w:p>
        </w:tc>
        <w:tc>
          <w:tcPr>
            <w:tcW w:w="1161" w:type="dxa"/>
            <w:vAlign w:val="center"/>
          </w:tcPr>
          <w:p>
            <w:pPr>
              <w:spacing w:line="360" w:lineRule="exact"/>
              <w:jc w:val="right"/>
              <w:rPr>
                <w:rFonts w:ascii="宋体" w:hAnsi="宋体"/>
              </w:rPr>
            </w:pPr>
            <w:r>
              <w:rPr>
                <w:rFonts w:hint="eastAsia" w:ascii="宋体" w:hAnsi="宋体"/>
              </w:rPr>
              <w:t>4,520</w:t>
            </w:r>
          </w:p>
        </w:tc>
        <w:tc>
          <w:tcPr>
            <w:tcW w:w="1161" w:type="dxa"/>
            <w:vAlign w:val="center"/>
          </w:tcPr>
          <w:p>
            <w:pPr>
              <w:spacing w:line="360" w:lineRule="exact"/>
              <w:jc w:val="right"/>
              <w:rPr>
                <w:rFonts w:ascii="宋体" w:hAnsi="宋体"/>
              </w:rPr>
            </w:pPr>
            <w:r>
              <w:rPr>
                <w:rFonts w:hint="eastAsia" w:ascii="宋体" w:hAnsi="宋体"/>
              </w:rPr>
              <w:t>4,520</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公司</w:t>
            </w:r>
            <w:r>
              <w:rPr>
                <w:rFonts w:asciiTheme="minorEastAsia" w:hAnsiTheme="minorEastAsia" w:eastAsiaTheme="minorEastAsia"/>
              </w:rPr>
              <w:t>17</w:t>
            </w:r>
          </w:p>
        </w:tc>
        <w:tc>
          <w:tcPr>
            <w:tcW w:w="1161" w:type="dxa"/>
            <w:vAlign w:val="center"/>
          </w:tcPr>
          <w:p>
            <w:pPr>
              <w:spacing w:line="360" w:lineRule="exact"/>
              <w:jc w:val="right"/>
              <w:rPr>
                <w:rFonts w:ascii="宋体" w:hAnsi="宋体"/>
              </w:rPr>
            </w:pPr>
            <w:r>
              <w:rPr>
                <w:rFonts w:hint="eastAsia" w:ascii="宋体" w:hAnsi="宋体"/>
              </w:rPr>
              <w:t>362,211</w:t>
            </w:r>
          </w:p>
        </w:tc>
        <w:tc>
          <w:tcPr>
            <w:tcW w:w="1161" w:type="dxa"/>
            <w:vAlign w:val="center"/>
          </w:tcPr>
          <w:p>
            <w:pPr>
              <w:spacing w:line="360" w:lineRule="exact"/>
              <w:jc w:val="right"/>
              <w:rPr>
                <w:rFonts w:ascii="宋体" w:hAnsi="宋体"/>
              </w:rPr>
            </w:pPr>
            <w:r>
              <w:rPr>
                <w:rFonts w:hint="eastAsia" w:ascii="宋体" w:hAnsi="宋体"/>
              </w:rPr>
              <w:t>362,211</w:t>
            </w:r>
          </w:p>
        </w:tc>
        <w:tc>
          <w:tcPr>
            <w:tcW w:w="1161" w:type="dxa"/>
            <w:vAlign w:val="center"/>
          </w:tcPr>
          <w:p>
            <w:pPr>
              <w:spacing w:line="360" w:lineRule="exact"/>
              <w:jc w:val="right"/>
              <w:rPr>
                <w:rFonts w:ascii="宋体" w:hAnsi="宋体"/>
              </w:rPr>
            </w:pPr>
          </w:p>
        </w:tc>
        <w:tc>
          <w:tcPr>
            <w:tcW w:w="1161" w:type="dxa"/>
            <w:vAlign w:val="center"/>
          </w:tcPr>
          <w:p>
            <w:pPr>
              <w:spacing w:line="360" w:lineRule="exact"/>
              <w:jc w:val="right"/>
              <w:rPr>
                <w:rFonts w:ascii="宋体" w:hAnsi="宋体"/>
              </w:rPr>
            </w:pPr>
          </w:p>
        </w:tc>
        <w:tc>
          <w:tcPr>
            <w:tcW w:w="1137" w:type="dxa"/>
            <w:vAlign w:val="center"/>
          </w:tcPr>
          <w:p>
            <w:pPr>
              <w:spacing w:line="360" w:lineRule="exact"/>
              <w:jc w:val="right"/>
              <w:rPr>
                <w:rFonts w:ascii="宋体" w:hAnsi="宋体"/>
              </w:rPr>
            </w:pP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rPr>
                <w:rFonts w:ascii="宋体" w:hAnsi="宋体"/>
              </w:rPr>
            </w:pPr>
            <w:r>
              <w:rPr>
                <w:rFonts w:hint="eastAsia" w:ascii="宋体" w:hAnsi="宋体"/>
              </w:rPr>
              <w:t>其他不重要单位</w:t>
            </w:r>
          </w:p>
        </w:tc>
        <w:tc>
          <w:tcPr>
            <w:tcW w:w="1161" w:type="dxa"/>
            <w:vAlign w:val="center"/>
          </w:tcPr>
          <w:p>
            <w:pPr>
              <w:spacing w:line="360" w:lineRule="exact"/>
              <w:jc w:val="right"/>
              <w:rPr>
                <w:rFonts w:ascii="宋体" w:hAnsi="宋体"/>
              </w:rPr>
            </w:pPr>
            <w:r>
              <w:rPr>
                <w:rFonts w:hint="eastAsia" w:ascii="宋体" w:hAnsi="宋体"/>
              </w:rPr>
              <w:t>32,541</w:t>
            </w:r>
          </w:p>
        </w:tc>
        <w:tc>
          <w:tcPr>
            <w:tcW w:w="1161" w:type="dxa"/>
            <w:vAlign w:val="center"/>
          </w:tcPr>
          <w:p>
            <w:pPr>
              <w:spacing w:line="360" w:lineRule="exact"/>
              <w:jc w:val="right"/>
              <w:rPr>
                <w:rFonts w:ascii="宋体" w:hAnsi="宋体"/>
              </w:rPr>
            </w:pPr>
            <w:r>
              <w:rPr>
                <w:rFonts w:hint="eastAsia" w:ascii="宋体" w:hAnsi="宋体"/>
              </w:rPr>
              <w:t>32,541</w:t>
            </w:r>
          </w:p>
        </w:tc>
        <w:tc>
          <w:tcPr>
            <w:tcW w:w="1161" w:type="dxa"/>
            <w:vAlign w:val="center"/>
          </w:tcPr>
          <w:p>
            <w:pPr>
              <w:spacing w:line="360" w:lineRule="exact"/>
              <w:jc w:val="right"/>
              <w:rPr>
                <w:rFonts w:ascii="宋体" w:hAnsi="宋体"/>
              </w:rPr>
            </w:pPr>
            <w:r>
              <w:rPr>
                <w:rFonts w:hint="eastAsia" w:ascii="宋体" w:hAnsi="宋体"/>
              </w:rPr>
              <w:t>27,503</w:t>
            </w:r>
          </w:p>
        </w:tc>
        <w:tc>
          <w:tcPr>
            <w:tcW w:w="1161" w:type="dxa"/>
            <w:vAlign w:val="center"/>
          </w:tcPr>
          <w:p>
            <w:pPr>
              <w:spacing w:line="360" w:lineRule="exact"/>
              <w:jc w:val="right"/>
              <w:rPr>
                <w:rFonts w:ascii="宋体" w:hAnsi="宋体"/>
              </w:rPr>
            </w:pPr>
            <w:r>
              <w:rPr>
                <w:rFonts w:hint="eastAsia" w:ascii="宋体" w:hAnsi="宋体"/>
              </w:rPr>
              <w:t>27,503</w:t>
            </w:r>
          </w:p>
        </w:tc>
        <w:tc>
          <w:tcPr>
            <w:tcW w:w="1137" w:type="dxa"/>
            <w:vAlign w:val="center"/>
          </w:tcPr>
          <w:p>
            <w:pPr>
              <w:spacing w:line="360" w:lineRule="exact"/>
              <w:jc w:val="right"/>
              <w:rPr>
                <w:rFonts w:ascii="宋体" w:hAnsi="宋体"/>
              </w:rPr>
            </w:pPr>
            <w:r>
              <w:rPr>
                <w:rFonts w:hint="eastAsia" w:ascii="宋体" w:hAnsi="宋体"/>
              </w:rPr>
              <w:t>100</w:t>
            </w:r>
          </w:p>
        </w:tc>
        <w:tc>
          <w:tcPr>
            <w:tcW w:w="921" w:type="dxa"/>
            <w:vAlign w:val="center"/>
          </w:tcPr>
          <w:p>
            <w:pPr>
              <w:spacing w:line="360" w:lineRule="exact"/>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21" w:type="dxa"/>
            <w:vAlign w:val="center"/>
          </w:tcPr>
          <w:p>
            <w:pPr>
              <w:spacing w:line="360" w:lineRule="exact"/>
              <w:rPr>
                <w:rFonts w:ascii="宋体" w:hAnsi="宋体"/>
              </w:rPr>
            </w:pPr>
            <w:r>
              <w:rPr>
                <w:rFonts w:hint="eastAsia" w:ascii="宋体" w:hAnsi="宋体"/>
              </w:rPr>
              <w:t>合计</w:t>
            </w:r>
          </w:p>
        </w:tc>
        <w:tc>
          <w:tcPr>
            <w:tcW w:w="1161" w:type="dxa"/>
          </w:tcPr>
          <w:p>
            <w:pPr>
              <w:spacing w:line="360" w:lineRule="exact"/>
              <w:jc w:val="right"/>
              <w:rPr>
                <w:rFonts w:ascii="宋体" w:hAnsi="宋体"/>
                <w:bCs/>
              </w:rPr>
            </w:pPr>
            <w:r>
              <w:rPr>
                <w:rFonts w:ascii="宋体" w:hAnsi="宋体"/>
              </w:rPr>
              <w:t>2,027,383</w:t>
            </w:r>
          </w:p>
        </w:tc>
        <w:tc>
          <w:tcPr>
            <w:tcW w:w="1161" w:type="dxa"/>
          </w:tcPr>
          <w:p>
            <w:pPr>
              <w:spacing w:line="360" w:lineRule="exact"/>
              <w:jc w:val="right"/>
              <w:rPr>
                <w:rFonts w:ascii="宋体" w:hAnsi="宋体"/>
                <w:bCs/>
              </w:rPr>
            </w:pPr>
            <w:r>
              <w:rPr>
                <w:rFonts w:ascii="宋体" w:hAnsi="宋体"/>
              </w:rPr>
              <w:t>1,976,563</w:t>
            </w:r>
          </w:p>
        </w:tc>
        <w:tc>
          <w:tcPr>
            <w:tcW w:w="1161" w:type="dxa"/>
          </w:tcPr>
          <w:p>
            <w:pPr>
              <w:spacing w:line="360" w:lineRule="exact"/>
              <w:jc w:val="right"/>
              <w:rPr>
                <w:rFonts w:ascii="宋体" w:hAnsi="宋体"/>
                <w:bCs/>
              </w:rPr>
            </w:pPr>
            <w:r>
              <w:rPr>
                <w:rFonts w:ascii="宋体" w:hAnsi="宋体"/>
              </w:rPr>
              <w:t>1,578,724</w:t>
            </w:r>
          </w:p>
        </w:tc>
        <w:tc>
          <w:tcPr>
            <w:tcW w:w="1161" w:type="dxa"/>
          </w:tcPr>
          <w:p>
            <w:pPr>
              <w:spacing w:line="360" w:lineRule="exact"/>
              <w:jc w:val="right"/>
              <w:rPr>
                <w:rFonts w:ascii="宋体" w:hAnsi="宋体"/>
                <w:bCs/>
              </w:rPr>
            </w:pPr>
            <w:r>
              <w:rPr>
                <w:rFonts w:ascii="宋体" w:hAnsi="宋体"/>
              </w:rPr>
              <w:t>1,531,193</w:t>
            </w:r>
          </w:p>
        </w:tc>
        <w:tc>
          <w:tcPr>
            <w:tcW w:w="1137" w:type="dxa"/>
            <w:vAlign w:val="center"/>
          </w:tcPr>
          <w:p>
            <w:pPr>
              <w:spacing w:line="360" w:lineRule="exact"/>
              <w:jc w:val="right"/>
              <w:rPr>
                <w:rFonts w:ascii="宋体" w:hAnsi="宋体"/>
                <w:bCs/>
              </w:rPr>
            </w:pPr>
            <w:r>
              <w:rPr>
                <w:rFonts w:hint="eastAsia" w:ascii="宋体" w:hAnsi="宋体"/>
              </w:rPr>
              <w:t>—</w:t>
            </w:r>
          </w:p>
        </w:tc>
        <w:tc>
          <w:tcPr>
            <w:tcW w:w="921" w:type="dxa"/>
            <w:vAlign w:val="center"/>
          </w:tcPr>
          <w:p>
            <w:pPr>
              <w:spacing w:line="360" w:lineRule="exact"/>
              <w:jc w:val="right"/>
              <w:rPr>
                <w:rFonts w:ascii="宋体" w:hAnsi="宋体"/>
                <w:bCs/>
              </w:rPr>
            </w:pPr>
            <w:r>
              <w:rPr>
                <w:rFonts w:hint="eastAsia" w:ascii="宋体" w:hAnsi="宋体"/>
                <w:bCs/>
              </w:rPr>
              <w:t>—</w:t>
            </w:r>
          </w:p>
        </w:tc>
      </w:tr>
    </w:tbl>
    <w:p>
      <w:pPr>
        <w:pStyle w:val="531"/>
      </w:pPr>
    </w:p>
    <w:p>
      <w:pPr>
        <w:pStyle w:val="560"/>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812758991"/>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本期坏账准备计提金额以及评估金融工具的信用风险是否显著增加的采用依据：</w:t>
      </w:r>
    </w:p>
    <w:bookmarkEnd w:id="259"/>
    <w:sdt>
      <w:sdtPr>
        <w:alias w:val="是否适用：其他应收款本期坏账准备计提金额以及评估金融工具的信用风险显著增加的采用依据[双击切换]"/>
        <w:tag w:val="_GBC_443438be92c7443db5842cb1e5d811cd"/>
        <w:id w:val="-461341310"/>
        <w:placeholder>
          <w:docPart w:val="GBC22222222222222222222222222222"/>
        </w:placeholder>
      </w:sdtPr>
      <w:sdtContent>
        <w:p>
          <w:pPr>
            <w:pStyle w:val="531"/>
          </w:pPr>
          <w:bookmarkStart w:id="260" w:name="_Hlk53480681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60"/>
    <w:p>
      <w:pPr>
        <w:pStyle w:val="531"/>
      </w:pPr>
    </w:p>
    <w:p>
      <w:pPr>
        <w:pStyle w:val="506"/>
        <w:numPr>
          <w:ilvl w:val="0"/>
          <w:numId w:val="77"/>
        </w:numPr>
        <w:ind w:leftChars="0"/>
      </w:pPr>
      <w:r>
        <w:rPr>
          <w:rFonts w:hint="eastAsia"/>
        </w:rPr>
        <w:t>坏账准备的情况</w:t>
      </w:r>
    </w:p>
    <w:sdt>
      <w:sdtPr>
        <w:alias w:val="是否适用：其他应收款坏账准备[双击切换]"/>
        <w:tag w:val="_GBC_524ff4c8c6e549ef8e2bf00ca72ddbb6"/>
        <w:id w:val="943035755"/>
        <w:placeholder>
          <w:docPart w:val="GBC22222222222222222222222222222"/>
        </w:placeholder>
      </w:sdtPr>
      <w:sdtContent>
        <w:p>
          <w:pPr>
            <w:pStyle w:val="531"/>
          </w:pPr>
          <w:bookmarkStart w:id="261" w:name="_Hlk53283139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snapToGrid w:val="0"/>
        <w:spacing w:line="240" w:lineRule="atLeast"/>
        <w:ind w:left="425" w:firstLine="0" w:firstLineChars="0"/>
        <w:jc w:val="right"/>
        <w:rPr>
          <w:szCs w:val="21"/>
        </w:rPr>
      </w:pPr>
      <w:r>
        <w:rPr>
          <w:rFonts w:hint="eastAsia"/>
          <w:szCs w:val="21"/>
        </w:rPr>
        <w:t>单位：</w:t>
      </w:r>
      <w:sdt>
        <w:sdtPr>
          <w:rPr>
            <w:rFonts w:hint="eastAsia"/>
            <w:szCs w:val="21"/>
          </w:rPr>
          <w:alias w:val="单位：其他应收款坏账准备"/>
          <w:tag w:val="_GBC_a1cc48852f8047719c9f4b9326a997e3"/>
          <w:id w:val="-19802148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其他应收款坏账准备"/>
          <w:tag w:val="_GBC_cc05d2791f5f4983a0b6c04ec0989295"/>
          <w:id w:val="5843489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545"/>
        <w:gridCol w:w="1237"/>
        <w:gridCol w:w="1339"/>
        <w:gridCol w:w="1234"/>
        <w:gridCol w:w="1237"/>
        <w:gridCol w:w="1234"/>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26385dc5e422410c8676e4fee82120cb"/>
            <w:id w:val="-712881894"/>
          </w:sdtPr>
          <w:sdtContent>
            <w:tc>
              <w:tcPr>
                <w:tcW w:w="853" w:type="pct"/>
                <w:vMerge w:val="restart"/>
                <w:shd w:val="clear" w:color="auto" w:fill="FFFFFF"/>
                <w:vAlign w:val="center"/>
              </w:tcPr>
              <w:p>
                <w:pPr>
                  <w:jc w:val="center"/>
                </w:pPr>
                <w:r>
                  <w:t>类别</w:t>
                </w:r>
              </w:p>
            </w:tc>
          </w:sdtContent>
        </w:sdt>
        <w:sdt>
          <w:sdtPr>
            <w:tag w:val="_PLD_325dd74545cb4f67921ea1cc7ed20a2b"/>
            <w:id w:val="-868065183"/>
          </w:sdtPr>
          <w:sdtContent>
            <w:tc>
              <w:tcPr>
                <w:tcW w:w="683" w:type="pct"/>
                <w:vMerge w:val="restart"/>
                <w:shd w:val="clear" w:color="auto" w:fill="FFFFFF"/>
                <w:vAlign w:val="center"/>
              </w:tcPr>
              <w:p>
                <w:pPr>
                  <w:jc w:val="center"/>
                </w:pPr>
                <w:r>
                  <w:t>期初余额</w:t>
                </w:r>
              </w:p>
            </w:tc>
          </w:sdtContent>
        </w:sdt>
        <w:sdt>
          <w:sdtPr>
            <w:tag w:val="_PLD_d513696ccf0b46ccb4ea6d2ef23dbbd2"/>
            <w:id w:val="-1341771868"/>
          </w:sdtPr>
          <w:sdtContent>
            <w:tc>
              <w:tcPr>
                <w:tcW w:w="2784" w:type="pct"/>
                <w:gridSpan w:val="4"/>
                <w:shd w:val="clear" w:color="auto" w:fill="FFFFFF"/>
                <w:vAlign w:val="center"/>
              </w:tcPr>
              <w:p>
                <w:pPr>
                  <w:jc w:val="center"/>
                </w:pPr>
                <w:r>
                  <w:rPr>
                    <w:rFonts w:hint="eastAsia"/>
                  </w:rPr>
                  <w:t>本期变动</w:t>
                </w:r>
                <w:r>
                  <w:t>金额</w:t>
                </w:r>
              </w:p>
            </w:tc>
          </w:sdtContent>
        </w:sdt>
        <w:sdt>
          <w:sdtPr>
            <w:tag w:val="_PLD_20b48d7d53584edf917ab5d4207d6a9c"/>
            <w:id w:val="-329451678"/>
          </w:sdtPr>
          <w:sdtContent>
            <w:tc>
              <w:tcPr>
                <w:tcW w:w="680" w:type="pct"/>
                <w:vMerge w:val="restart"/>
                <w:shd w:val="clear" w:color="auto" w:fill="FFFFFF"/>
                <w:vAlign w:val="center"/>
              </w:tcPr>
              <w:p>
                <w:pPr>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53" w:type="pct"/>
            <w:vMerge w:val="continue"/>
            <w:shd w:val="clear" w:color="auto" w:fill="FFFFFF"/>
          </w:tcPr>
          <w:p>
            <w:pPr>
              <w:jc w:val="center"/>
            </w:pPr>
          </w:p>
        </w:tc>
        <w:tc>
          <w:tcPr>
            <w:tcW w:w="683" w:type="pct"/>
            <w:vMerge w:val="continue"/>
            <w:shd w:val="clear" w:color="auto" w:fill="FFFFFF"/>
          </w:tcPr>
          <w:p>
            <w:pPr>
              <w:jc w:val="center"/>
            </w:pPr>
          </w:p>
        </w:tc>
        <w:sdt>
          <w:sdtPr>
            <w:tag w:val="_PLD_97824acb5c834e9fbe6cf8e4b6cac761"/>
            <w:id w:val="-705957335"/>
          </w:sdtPr>
          <w:sdtContent>
            <w:tc>
              <w:tcPr>
                <w:tcW w:w="739" w:type="pct"/>
                <w:shd w:val="clear" w:color="auto" w:fill="FFFFFF"/>
                <w:vAlign w:val="center"/>
              </w:tcPr>
              <w:p>
                <w:pPr>
                  <w:jc w:val="center"/>
                </w:pPr>
                <w:r>
                  <w:t>计提</w:t>
                </w:r>
              </w:p>
            </w:tc>
          </w:sdtContent>
        </w:sdt>
        <w:sdt>
          <w:sdtPr>
            <w:tag w:val="_PLD_233002cee9bc4108842b58a08731b243"/>
            <w:id w:val="2049798706"/>
          </w:sdtPr>
          <w:sdtContent>
            <w:tc>
              <w:tcPr>
                <w:tcW w:w="681" w:type="pct"/>
                <w:shd w:val="clear" w:color="auto" w:fill="FFFFFF"/>
                <w:vAlign w:val="center"/>
              </w:tcPr>
              <w:p>
                <w:pPr>
                  <w:jc w:val="center"/>
                </w:pPr>
                <w:r>
                  <w:rPr>
                    <w:rFonts w:hint="eastAsia"/>
                  </w:rPr>
                  <w:t>收回或转回</w:t>
                </w:r>
              </w:p>
            </w:tc>
          </w:sdtContent>
        </w:sdt>
        <w:sdt>
          <w:sdtPr>
            <w:tag w:val="_PLD_6bcdf2328a584128aba90aa75e33c767"/>
            <w:id w:val="866801442"/>
          </w:sdtPr>
          <w:sdtContent>
            <w:tc>
              <w:tcPr>
                <w:tcW w:w="683" w:type="pct"/>
                <w:shd w:val="clear" w:color="auto" w:fill="FFFFFF"/>
                <w:vAlign w:val="center"/>
              </w:tcPr>
              <w:p>
                <w:pPr>
                  <w:jc w:val="center"/>
                </w:pPr>
                <w:r>
                  <w:rPr>
                    <w:rFonts w:hint="eastAsia"/>
                  </w:rPr>
                  <w:t>转销或核销</w:t>
                </w:r>
              </w:p>
            </w:tc>
          </w:sdtContent>
        </w:sdt>
        <w:tc>
          <w:tcPr>
            <w:tcW w:w="681" w:type="pct"/>
            <w:shd w:val="clear" w:color="auto" w:fill="FFFFFF"/>
            <w:vAlign w:val="center"/>
          </w:tcPr>
          <w:sdt>
            <w:sdtPr>
              <w:rPr>
                <w:rFonts w:hint="eastAsia"/>
              </w:rPr>
              <w:tag w:val="_PLD_da684cd2e7cd4d42baf40bc9d95a0ce8"/>
              <w:id w:val="279004387"/>
            </w:sdtPr>
            <w:sdtEndPr>
              <w:rPr>
                <w:rFonts w:hint="eastAsia"/>
              </w:rPr>
            </w:sdtEndPr>
            <w:sdtContent>
              <w:p>
                <w:pPr>
                  <w:jc w:val="right"/>
                </w:pPr>
                <w:r>
                  <w:rPr>
                    <w:rFonts w:hint="eastAsia"/>
                  </w:rPr>
                  <w:t>其他变动</w:t>
                </w:r>
              </w:p>
            </w:sdtContent>
          </w:sdt>
        </w:tc>
        <w:tc>
          <w:tcPr>
            <w:tcW w:w="680" w:type="pct"/>
            <w:vMerge w:val="continue"/>
            <w:shd w:val="clear" w:color="auto" w:fill="FFFFFF"/>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53" w:type="pct"/>
            <w:shd w:val="clear" w:color="auto" w:fill="auto"/>
          </w:tcPr>
          <w:p>
            <w:pPr>
              <w:rPr>
                <w:rFonts w:ascii="宋体" w:hAnsi="宋体"/>
              </w:rPr>
            </w:pPr>
            <w:r>
              <w:rPr>
                <w:rFonts w:hint="eastAsia" w:ascii="宋体" w:hAnsi="宋体"/>
              </w:rPr>
              <w:t>其他应收款坏账准备</w:t>
            </w:r>
          </w:p>
        </w:tc>
        <w:tc>
          <w:tcPr>
            <w:tcW w:w="683" w:type="pct"/>
            <w:shd w:val="clear" w:color="auto" w:fill="auto"/>
            <w:vAlign w:val="center"/>
          </w:tcPr>
          <w:p>
            <w:pPr>
              <w:jc w:val="right"/>
              <w:rPr>
                <w:rFonts w:ascii="宋体" w:hAnsi="宋体"/>
              </w:rPr>
            </w:pPr>
            <w:r>
              <w:rPr>
                <w:rFonts w:hint="eastAsia" w:ascii="宋体" w:hAnsi="宋体"/>
              </w:rPr>
              <w:t>2,831,080</w:t>
            </w:r>
          </w:p>
        </w:tc>
        <w:tc>
          <w:tcPr>
            <w:tcW w:w="739" w:type="pct"/>
            <w:shd w:val="clear" w:color="auto" w:fill="auto"/>
            <w:vAlign w:val="center"/>
          </w:tcPr>
          <w:p>
            <w:pPr>
              <w:jc w:val="right"/>
              <w:rPr>
                <w:rFonts w:ascii="宋体" w:hAnsi="宋体"/>
              </w:rPr>
            </w:pPr>
            <w:r>
              <w:rPr>
                <w:rFonts w:hint="eastAsia" w:ascii="宋体" w:hAnsi="宋体"/>
              </w:rPr>
              <w:t>-65,44</w:t>
            </w:r>
            <w:r>
              <w:rPr>
                <w:rFonts w:ascii="宋体" w:hAnsi="宋体"/>
              </w:rPr>
              <w:t>4</w:t>
            </w:r>
          </w:p>
        </w:tc>
        <w:tc>
          <w:tcPr>
            <w:tcW w:w="681" w:type="pct"/>
            <w:shd w:val="clear" w:color="auto" w:fill="auto"/>
            <w:vAlign w:val="center"/>
          </w:tcPr>
          <w:p>
            <w:pPr>
              <w:jc w:val="right"/>
              <w:rPr>
                <w:rFonts w:ascii="宋体" w:hAnsi="宋体"/>
              </w:rPr>
            </w:pPr>
            <w:r>
              <w:rPr>
                <w:rFonts w:hint="eastAsia" w:ascii="宋体" w:hAnsi="宋体"/>
              </w:rPr>
              <w:t>-</w:t>
            </w:r>
            <w:r>
              <w:rPr>
                <w:rFonts w:ascii="宋体" w:hAnsi="宋体"/>
              </w:rPr>
              <w:t>75,695</w:t>
            </w:r>
          </w:p>
        </w:tc>
        <w:tc>
          <w:tcPr>
            <w:tcW w:w="683" w:type="pct"/>
            <w:vAlign w:val="center"/>
          </w:tcPr>
          <w:p>
            <w:pPr>
              <w:jc w:val="right"/>
              <w:rPr>
                <w:rFonts w:ascii="宋体" w:hAnsi="宋体"/>
              </w:rPr>
            </w:pPr>
            <w:r>
              <w:rPr>
                <w:rFonts w:hint="eastAsia" w:ascii="宋体" w:hAnsi="宋体"/>
              </w:rPr>
              <w:t>-</w:t>
            </w:r>
            <w:r>
              <w:rPr>
                <w:rFonts w:ascii="宋体" w:hAnsi="宋体"/>
              </w:rPr>
              <w:t>452</w:t>
            </w:r>
            <w:r>
              <w:rPr>
                <w:rFonts w:hint="eastAsia" w:ascii="宋体" w:hAnsi="宋体"/>
              </w:rPr>
              <w:t>,</w:t>
            </w:r>
            <w:r>
              <w:rPr>
                <w:rFonts w:ascii="宋体" w:hAnsi="宋体"/>
              </w:rPr>
              <w:t>799</w:t>
            </w:r>
          </w:p>
        </w:tc>
        <w:tc>
          <w:tcPr>
            <w:tcW w:w="681" w:type="pct"/>
            <w:vAlign w:val="center"/>
          </w:tcPr>
          <w:p>
            <w:pPr>
              <w:jc w:val="right"/>
              <w:rPr>
                <w:rFonts w:ascii="宋体" w:hAnsi="宋体"/>
              </w:rPr>
            </w:pPr>
            <w:r>
              <w:rPr>
                <w:rFonts w:ascii="宋体" w:hAnsi="宋体"/>
              </w:rPr>
              <w:t>1,630</w:t>
            </w:r>
          </w:p>
        </w:tc>
        <w:tc>
          <w:tcPr>
            <w:tcW w:w="680" w:type="pct"/>
            <w:shd w:val="clear" w:color="auto" w:fill="auto"/>
            <w:vAlign w:val="center"/>
          </w:tcPr>
          <w:p>
            <w:pPr>
              <w:jc w:val="right"/>
              <w:rPr>
                <w:rFonts w:ascii="宋体" w:hAnsi="宋体"/>
              </w:rPr>
            </w:pPr>
            <w:r>
              <w:rPr>
                <w:rFonts w:ascii="宋体" w:hAnsi="宋体"/>
              </w:rPr>
              <w:t>2</w:t>
            </w:r>
            <w:r>
              <w:rPr>
                <w:rFonts w:hint="eastAsia" w:ascii="宋体" w:hAnsi="宋体"/>
              </w:rPr>
              <w:t>,</w:t>
            </w:r>
            <w:r>
              <w:rPr>
                <w:rFonts w:ascii="宋体" w:hAnsi="宋体"/>
              </w:rPr>
              <w:t>238</w:t>
            </w:r>
            <w:r>
              <w:rPr>
                <w:rFonts w:hint="eastAsia" w:ascii="宋体" w:hAnsi="宋体"/>
              </w:rPr>
              <w:t>,</w:t>
            </w:r>
            <w:r>
              <w:rPr>
                <w:rFonts w:ascii="宋体" w:hAnsi="宋体"/>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53" w:type="pct"/>
            <w:shd w:val="clear" w:color="auto" w:fill="auto"/>
          </w:tcPr>
          <w:p>
            <w:pPr>
              <w:jc w:val="center"/>
            </w:pPr>
            <w:r>
              <w:rPr>
                <w:rFonts w:hint="eastAsia"/>
              </w:rPr>
              <w:t>合计</w:t>
            </w:r>
          </w:p>
        </w:tc>
        <w:tc>
          <w:tcPr>
            <w:tcW w:w="683" w:type="pct"/>
            <w:shd w:val="clear" w:color="auto" w:fill="auto"/>
            <w:vAlign w:val="center"/>
          </w:tcPr>
          <w:p>
            <w:pPr>
              <w:jc w:val="right"/>
            </w:pPr>
            <w:r>
              <w:rPr>
                <w:rFonts w:hint="eastAsia" w:ascii="宋体" w:hAnsi="宋体"/>
              </w:rPr>
              <w:t>2,831,080</w:t>
            </w:r>
          </w:p>
        </w:tc>
        <w:tc>
          <w:tcPr>
            <w:tcW w:w="739" w:type="pct"/>
            <w:shd w:val="clear" w:color="auto" w:fill="auto"/>
            <w:vAlign w:val="center"/>
          </w:tcPr>
          <w:p>
            <w:pPr>
              <w:jc w:val="right"/>
            </w:pPr>
            <w:r>
              <w:rPr>
                <w:rFonts w:hint="eastAsia" w:ascii="宋体" w:hAnsi="宋体"/>
              </w:rPr>
              <w:t>-65,44</w:t>
            </w:r>
            <w:r>
              <w:rPr>
                <w:rFonts w:ascii="宋体" w:hAnsi="宋体"/>
              </w:rPr>
              <w:t>4</w:t>
            </w:r>
          </w:p>
        </w:tc>
        <w:tc>
          <w:tcPr>
            <w:tcW w:w="681" w:type="pct"/>
            <w:shd w:val="clear" w:color="auto" w:fill="auto"/>
            <w:vAlign w:val="center"/>
          </w:tcPr>
          <w:p>
            <w:pPr>
              <w:jc w:val="right"/>
            </w:pPr>
            <w:r>
              <w:rPr>
                <w:rFonts w:hint="eastAsia" w:ascii="宋体" w:hAnsi="宋体"/>
              </w:rPr>
              <w:t>-</w:t>
            </w:r>
            <w:r>
              <w:rPr>
                <w:rFonts w:ascii="宋体" w:hAnsi="宋体"/>
              </w:rPr>
              <w:t>75,695</w:t>
            </w:r>
          </w:p>
        </w:tc>
        <w:tc>
          <w:tcPr>
            <w:tcW w:w="683" w:type="pct"/>
            <w:vAlign w:val="center"/>
          </w:tcPr>
          <w:p>
            <w:pPr>
              <w:jc w:val="right"/>
            </w:pPr>
            <w:r>
              <w:rPr>
                <w:rFonts w:hint="eastAsia" w:ascii="宋体" w:hAnsi="宋体"/>
              </w:rPr>
              <w:t>-</w:t>
            </w:r>
            <w:r>
              <w:rPr>
                <w:rFonts w:ascii="宋体" w:hAnsi="宋体"/>
              </w:rPr>
              <w:t>452</w:t>
            </w:r>
            <w:r>
              <w:rPr>
                <w:rFonts w:hint="eastAsia" w:ascii="宋体" w:hAnsi="宋体"/>
              </w:rPr>
              <w:t>,</w:t>
            </w:r>
            <w:r>
              <w:rPr>
                <w:rFonts w:ascii="宋体" w:hAnsi="宋体"/>
              </w:rPr>
              <w:t>799</w:t>
            </w:r>
          </w:p>
        </w:tc>
        <w:tc>
          <w:tcPr>
            <w:tcW w:w="681" w:type="pct"/>
            <w:vAlign w:val="center"/>
          </w:tcPr>
          <w:p>
            <w:pPr>
              <w:jc w:val="right"/>
              <w:rPr>
                <w:rFonts w:ascii="宋体" w:hAnsi="宋体"/>
              </w:rPr>
            </w:pPr>
            <w:r>
              <w:rPr>
                <w:rFonts w:ascii="宋体" w:hAnsi="宋体"/>
              </w:rPr>
              <w:t>1,630</w:t>
            </w:r>
          </w:p>
        </w:tc>
        <w:tc>
          <w:tcPr>
            <w:tcW w:w="680" w:type="pct"/>
            <w:shd w:val="clear" w:color="auto" w:fill="auto"/>
            <w:vAlign w:val="center"/>
          </w:tcPr>
          <w:p>
            <w:pPr>
              <w:jc w:val="right"/>
            </w:pPr>
            <w:r>
              <w:rPr>
                <w:rFonts w:ascii="宋体" w:hAnsi="宋体"/>
              </w:rPr>
              <w:t>2</w:t>
            </w:r>
            <w:r>
              <w:rPr>
                <w:rFonts w:hint="eastAsia" w:ascii="宋体" w:hAnsi="宋体"/>
              </w:rPr>
              <w:t>,</w:t>
            </w:r>
            <w:r>
              <w:rPr>
                <w:rFonts w:ascii="宋体" w:hAnsi="宋体"/>
              </w:rPr>
              <w:t>238</w:t>
            </w:r>
            <w:r>
              <w:rPr>
                <w:rFonts w:hint="eastAsia" w:ascii="宋体" w:hAnsi="宋体"/>
              </w:rPr>
              <w:t>,</w:t>
            </w:r>
            <w:r>
              <w:rPr>
                <w:rFonts w:ascii="宋体" w:hAnsi="宋体"/>
              </w:rPr>
              <w:t>772</w:t>
            </w:r>
          </w:p>
        </w:tc>
      </w:tr>
    </w:tbl>
    <w:p>
      <w:pPr>
        <w:pStyle w:val="531"/>
      </w:pPr>
    </w:p>
    <w:p>
      <w:pPr>
        <w:pStyle w:val="531"/>
      </w:pPr>
      <w:r>
        <w:rPr>
          <w:rFonts w:hint="eastAsia"/>
        </w:rPr>
        <w:t>其中本期坏账准备转回或收回金额重要的：</w:t>
      </w:r>
    </w:p>
    <w:sdt>
      <w:sdtPr>
        <w:alias w:val="是否适用：其中本期其他应收账款坏账准备收回或转回金额重要的[双击切换]"/>
        <w:tag w:val="_GBC_c99a80b9a36440d7b9ed3ce899868361"/>
        <w:id w:val="97298189"/>
        <w:placeholder>
          <w:docPart w:val="GBC22222222222222222222222222222"/>
        </w:placeholder>
      </w:sdtPr>
      <w:sdtContent>
        <w:p>
          <w:pPr>
            <w:pStyle w:val="531"/>
          </w:pPr>
          <w:bookmarkStart w:id="262" w:name="_Hlk154157836"/>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bookmarkEnd w:id="262"/>
    <w:p>
      <w:pPr>
        <w:pStyle w:val="506"/>
        <w:numPr>
          <w:ilvl w:val="0"/>
          <w:numId w:val="77"/>
        </w:numPr>
        <w:ind w:leftChars="0"/>
      </w:pPr>
      <w:r>
        <w:rPr>
          <w:rFonts w:hint="eastAsia"/>
        </w:rPr>
        <w:t>本期实际核销的其他应收款情况</w:t>
      </w:r>
    </w:p>
    <w:bookmarkEnd w:id="261"/>
    <w:sdt>
      <w:sdtPr>
        <w:alias w:val="是否适用：本期实际核销的其他应收款情况[双击切换]"/>
        <w:tag w:val="_GBC_2ce86125d6b94b148fa674141e6497b1"/>
        <w:id w:val="13337862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本报告期实际核销的其他应收款项情况"/>
          <w:tag w:val="_GBC_b44e35ef641b42dbb8431fa4625a2457"/>
          <w:id w:val="6045403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本报告期实际核销的其他应收款项情况"/>
          <w:tag w:val="_GBC_5908d1cb324b4d60915517ea5537d0f4"/>
          <w:id w:val="6724512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4430"/>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37dfaf7051a145ae922646054d926a0e"/>
            <w:id w:val="-1961093318"/>
          </w:sdtPr>
          <w:sdtContent>
            <w:tc>
              <w:tcPr>
                <w:tcW w:w="2490" w:type="pct"/>
              </w:tcPr>
              <w:p>
                <w:pPr>
                  <w:ind w:right="73"/>
                  <w:jc w:val="center"/>
                </w:pPr>
                <w:r>
                  <w:rPr>
                    <w:rFonts w:hint="eastAsia"/>
                  </w:rPr>
                  <w:t>项目</w:t>
                </w:r>
              </w:p>
            </w:tc>
          </w:sdtContent>
        </w:sdt>
        <w:sdt>
          <w:sdtPr>
            <w:tag w:val="_PLD_57b56183aec749d9a0e8479977704a0b"/>
            <w:id w:val="1433704328"/>
          </w:sdtPr>
          <w:sdtContent>
            <w:tc>
              <w:tcPr>
                <w:tcW w:w="2510" w:type="pct"/>
              </w:tcPr>
              <w:p>
                <w:pPr>
                  <w:ind w:right="73"/>
                  <w:jc w:val="center"/>
                </w:pPr>
                <w:r>
                  <w:rPr>
                    <w:rFonts w:hint="eastAsia"/>
                  </w:rPr>
                  <w:t>核销金额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2490" w:type="pct"/>
          </w:tcPr>
          <w:p>
            <w:pPr>
              <w:ind w:right="73"/>
            </w:pPr>
            <w:r>
              <w:rPr>
                <w:rFonts w:hint="eastAsia"/>
              </w:rPr>
              <w:t>实际核销的其他应收款</w:t>
            </w:r>
          </w:p>
        </w:tc>
        <w:tc>
          <w:tcPr>
            <w:tcW w:w="2510" w:type="pct"/>
          </w:tcPr>
          <w:p>
            <w:pPr>
              <w:ind w:right="73"/>
              <w:jc w:val="right"/>
              <w:rPr>
                <w:rFonts w:ascii="宋体" w:hAnsi="宋体"/>
              </w:rPr>
            </w:pPr>
            <w:r>
              <w:rPr>
                <w:rFonts w:ascii="宋体" w:hAnsi="宋体"/>
              </w:rPr>
              <w:t>452,799</w:t>
            </w:r>
          </w:p>
        </w:tc>
      </w:tr>
    </w:tbl>
    <w:p>
      <w:pPr>
        <w:pStyle w:val="501"/>
      </w:pPr>
    </w:p>
    <w:p>
      <w:pPr>
        <w:pStyle w:val="501"/>
      </w:pPr>
      <w:r>
        <w:rPr>
          <w:rFonts w:hint="eastAsia"/>
        </w:rPr>
        <w:t>其中重要的其他应收款核销情况：</w:t>
      </w:r>
    </w:p>
    <w:sdt>
      <w:sdtPr>
        <w:alias w:val="是否适用：其中重要的其他应收款核销情况[双击切换]"/>
        <w:tag w:val="_GBC_6f3b8f9a05dc4f2082e4ad20a1930006"/>
        <w:id w:val="-1504977103"/>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财务附注：重要的其他应收账款核销情况"/>
          <w:tag w:val="_GBC_2ba624a41490414fa1cf15c47aa464b7"/>
          <w:id w:val="-6649420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重要的其他应收账款核销情况"/>
          <w:tag w:val="_GBC_9fb7c57030f54bb4b1a264ab6cc1497d"/>
          <w:id w:val="686239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466"/>
        <w:gridCol w:w="1384"/>
        <w:gridCol w:w="1352"/>
        <w:gridCol w:w="1479"/>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2184ea9a5dbf45c4ba014b2f6fa3fc93"/>
            <w:id w:val="-1774938369"/>
          </w:sdtPr>
          <w:sdtContent>
            <w:tc>
              <w:tcPr>
                <w:tcW w:w="894" w:type="pct"/>
                <w:shd w:val="clear" w:color="auto" w:fill="auto"/>
                <w:vAlign w:val="center"/>
              </w:tcPr>
              <w:p>
                <w:pPr>
                  <w:jc w:val="center"/>
                </w:pPr>
                <w:r>
                  <w:t>单位名称</w:t>
                </w:r>
              </w:p>
            </w:tc>
          </w:sdtContent>
        </w:sdt>
        <w:sdt>
          <w:sdtPr>
            <w:tag w:val="_PLD_9b69402b5fdd4a91844568505c88f991"/>
            <w:id w:val="620652626"/>
          </w:sdtPr>
          <w:sdtContent>
            <w:tc>
              <w:tcPr>
                <w:tcW w:w="810" w:type="pct"/>
                <w:shd w:val="clear" w:color="auto" w:fill="auto"/>
                <w:vAlign w:val="center"/>
              </w:tcPr>
              <w:p>
                <w:pPr>
                  <w:jc w:val="center"/>
                </w:pPr>
                <w:r>
                  <w:t>其他应收款性质</w:t>
                </w:r>
              </w:p>
            </w:tc>
          </w:sdtContent>
        </w:sdt>
        <w:sdt>
          <w:sdtPr>
            <w:tag w:val="_PLD_6eae3ef7bd3543d58882285508f9ec59"/>
            <w:id w:val="1901245821"/>
          </w:sdtPr>
          <w:sdtContent>
            <w:tc>
              <w:tcPr>
                <w:tcW w:w="765" w:type="pct"/>
                <w:tcBorders>
                  <w:bottom w:val="single" w:color="auto" w:sz="4" w:space="0"/>
                </w:tcBorders>
                <w:shd w:val="clear" w:color="auto" w:fill="auto"/>
                <w:vAlign w:val="center"/>
              </w:tcPr>
              <w:p>
                <w:pPr>
                  <w:jc w:val="center"/>
                </w:pPr>
                <w:r>
                  <w:rPr>
                    <w:rFonts w:hint="eastAsia"/>
                  </w:rPr>
                  <w:t>核</w:t>
                </w:r>
                <w:r>
                  <w:t>销金额</w:t>
                </w:r>
              </w:p>
            </w:tc>
          </w:sdtContent>
        </w:sdt>
        <w:sdt>
          <w:sdtPr>
            <w:tag w:val="_PLD_787c4e3814d04c798ccca9025bcaff47"/>
            <w:id w:val="-500270514"/>
          </w:sdtPr>
          <w:sdtContent>
            <w:tc>
              <w:tcPr>
                <w:tcW w:w="747" w:type="pct"/>
                <w:shd w:val="clear" w:color="auto" w:fill="auto"/>
                <w:vAlign w:val="center"/>
              </w:tcPr>
              <w:p>
                <w:pPr>
                  <w:jc w:val="center"/>
                </w:pPr>
                <w:r>
                  <w:rPr>
                    <w:rFonts w:hint="eastAsia"/>
                  </w:rPr>
                  <w:t>核</w:t>
                </w:r>
                <w:r>
                  <w:t>销原因</w:t>
                </w:r>
              </w:p>
            </w:tc>
          </w:sdtContent>
        </w:sdt>
        <w:sdt>
          <w:sdtPr>
            <w:tag w:val="_PLD_0e166e7f1ab94190b8207226bc7e6cb5"/>
            <w:id w:val="1608690224"/>
          </w:sdtPr>
          <w:sdtContent>
            <w:tc>
              <w:tcPr>
                <w:tcW w:w="817" w:type="pct"/>
                <w:shd w:val="clear" w:color="auto" w:fill="auto"/>
                <w:vAlign w:val="center"/>
              </w:tcPr>
              <w:p>
                <w:pPr>
                  <w:jc w:val="center"/>
                </w:pPr>
                <w:r>
                  <w:rPr>
                    <w:rFonts w:hint="eastAsia"/>
                  </w:rPr>
                  <w:t>履行的核销程序</w:t>
                </w:r>
              </w:p>
            </w:tc>
          </w:sdtContent>
        </w:sdt>
        <w:sdt>
          <w:sdtPr>
            <w:tag w:val="_PLD_5ddd0b419ba1467c85c3578b7ef32935"/>
            <w:id w:val="1193033495"/>
          </w:sdtPr>
          <w:sdtContent>
            <w:tc>
              <w:tcPr>
                <w:tcW w:w="967" w:type="pct"/>
                <w:shd w:val="clear" w:color="auto" w:fill="auto"/>
                <w:vAlign w:val="center"/>
              </w:tcPr>
              <w:p>
                <w:pPr>
                  <w:jc w:val="center"/>
                </w:pPr>
                <w:r>
                  <w:rPr>
                    <w:rFonts w:hint="eastAsia"/>
                  </w:rPr>
                  <w:t>款项</w:t>
                </w:r>
                <w:r>
                  <w:t>是否</w:t>
                </w:r>
                <w:r>
                  <w:rPr>
                    <w:rFonts w:hint="eastAsia"/>
                  </w:rPr>
                  <w:t>由</w:t>
                </w:r>
                <w:r>
                  <w:t>关联交易产生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shd w:val="clear" w:color="auto" w:fill="auto"/>
            <w:vAlign w:val="center"/>
          </w:tcPr>
          <w:p>
            <w:pPr>
              <w:jc w:val="center"/>
              <w:rPr>
                <w:rFonts w:ascii="宋体" w:hAnsi="宋体"/>
              </w:rPr>
            </w:pPr>
            <w:r>
              <w:rPr>
                <w:rFonts w:hint="eastAsia" w:ascii="宋体" w:hAnsi="宋体"/>
              </w:rPr>
              <w:t>公司1</w:t>
            </w:r>
          </w:p>
        </w:tc>
        <w:tc>
          <w:tcPr>
            <w:tcW w:w="810" w:type="pct"/>
            <w:tcBorders>
              <w:bottom w:val="single" w:color="auto" w:sz="4" w:space="0"/>
            </w:tcBorders>
            <w:shd w:val="clear" w:color="auto" w:fill="auto"/>
            <w:vAlign w:val="center"/>
          </w:tcPr>
          <w:p>
            <w:pPr>
              <w:jc w:val="center"/>
              <w:rPr>
                <w:rFonts w:ascii="宋体" w:hAnsi="宋体"/>
              </w:rPr>
            </w:pPr>
            <w:r>
              <w:rPr>
                <w:rFonts w:hint="eastAsia" w:ascii="宋体" w:hAnsi="宋体"/>
              </w:rPr>
              <w:t>往来款</w:t>
            </w:r>
          </w:p>
        </w:tc>
        <w:tc>
          <w:tcPr>
            <w:tcW w:w="765" w:type="pct"/>
            <w:tcBorders>
              <w:bottom w:val="single" w:color="auto" w:sz="4" w:space="0"/>
            </w:tcBorders>
            <w:shd w:val="clear" w:color="auto" w:fill="auto"/>
            <w:vAlign w:val="center"/>
          </w:tcPr>
          <w:p>
            <w:pPr>
              <w:jc w:val="right"/>
              <w:rPr>
                <w:rFonts w:ascii="宋体" w:hAnsi="宋体"/>
              </w:rPr>
            </w:pPr>
            <w:r>
              <w:rPr>
                <w:rFonts w:hint="eastAsia" w:ascii="宋体" w:hAnsi="宋体"/>
              </w:rPr>
              <w:t>361,252</w:t>
            </w:r>
          </w:p>
        </w:tc>
        <w:tc>
          <w:tcPr>
            <w:tcW w:w="747" w:type="pct"/>
            <w:tcBorders>
              <w:bottom w:val="single" w:color="auto" w:sz="4" w:space="0"/>
            </w:tcBorders>
            <w:shd w:val="clear" w:color="auto" w:fill="auto"/>
            <w:vAlign w:val="center"/>
          </w:tcPr>
          <w:p>
            <w:pPr>
              <w:rPr>
                <w:rFonts w:ascii="宋体" w:hAnsi="宋体"/>
              </w:rPr>
            </w:pPr>
            <w:r>
              <w:rPr>
                <w:rFonts w:hint="eastAsia" w:ascii="宋体" w:hAnsi="宋体"/>
              </w:rPr>
              <w:t xml:space="preserve">企业破产清算完成 </w:t>
            </w:r>
          </w:p>
        </w:tc>
        <w:tc>
          <w:tcPr>
            <w:tcW w:w="817" w:type="pct"/>
            <w:tcBorders>
              <w:bottom w:val="single" w:color="auto" w:sz="4" w:space="0"/>
            </w:tcBorders>
            <w:shd w:val="clear" w:color="auto" w:fill="auto"/>
            <w:vAlign w:val="center"/>
          </w:tcPr>
          <w:p>
            <w:pPr>
              <w:rPr>
                <w:rFonts w:ascii="宋体" w:hAnsi="宋体"/>
              </w:rPr>
            </w:pPr>
            <w:r>
              <w:rPr>
                <w:rFonts w:hint="eastAsia" w:ascii="宋体" w:hAnsi="宋体"/>
              </w:rPr>
              <w:t>董事会会议决议</w:t>
            </w:r>
          </w:p>
        </w:tc>
        <w:tc>
          <w:tcPr>
            <w:tcW w:w="967" w:type="pct"/>
            <w:tcBorders>
              <w:bottom w:val="single" w:color="auto" w:sz="4" w:space="0"/>
            </w:tcBorders>
            <w:shd w:val="clear" w:color="auto" w:fill="auto"/>
            <w:vAlign w:val="center"/>
          </w:tcPr>
          <w:p>
            <w:pPr>
              <w:jc w:val="center"/>
              <w:rPr>
                <w:rFonts w:ascii="宋体" w:hAnsi="宋体"/>
              </w:rPr>
            </w:pPr>
            <w:r>
              <w:rPr>
                <w:rFonts w:hint="eastAsia" w:ascii="宋体" w:hAnsi="宋体"/>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shd w:val="clear" w:color="auto" w:fill="auto"/>
            <w:vAlign w:val="center"/>
          </w:tcPr>
          <w:p>
            <w:pPr>
              <w:jc w:val="center"/>
              <w:rPr>
                <w:rFonts w:ascii="宋体" w:hAnsi="宋体"/>
              </w:rPr>
            </w:pPr>
            <w:r>
              <w:rPr>
                <w:rFonts w:hint="eastAsia" w:ascii="宋体" w:hAnsi="宋体"/>
              </w:rPr>
              <w:t>公司</w:t>
            </w:r>
            <w:r>
              <w:rPr>
                <w:rFonts w:ascii="宋体" w:hAnsi="宋体"/>
              </w:rPr>
              <w:t>2</w:t>
            </w:r>
          </w:p>
        </w:tc>
        <w:tc>
          <w:tcPr>
            <w:tcW w:w="810" w:type="pct"/>
            <w:tcBorders>
              <w:bottom w:val="single" w:color="auto" w:sz="4" w:space="0"/>
            </w:tcBorders>
            <w:shd w:val="clear" w:color="auto" w:fill="auto"/>
            <w:vAlign w:val="center"/>
          </w:tcPr>
          <w:p>
            <w:pPr>
              <w:jc w:val="center"/>
              <w:rPr>
                <w:rFonts w:ascii="宋体" w:hAnsi="宋体"/>
              </w:rPr>
            </w:pPr>
            <w:r>
              <w:rPr>
                <w:rFonts w:hint="eastAsia" w:ascii="宋体" w:hAnsi="宋体"/>
              </w:rPr>
              <w:t>往来款</w:t>
            </w:r>
          </w:p>
        </w:tc>
        <w:tc>
          <w:tcPr>
            <w:tcW w:w="765" w:type="pct"/>
            <w:tcBorders>
              <w:bottom w:val="single" w:color="auto" w:sz="4" w:space="0"/>
            </w:tcBorders>
            <w:shd w:val="clear" w:color="auto" w:fill="auto"/>
            <w:vAlign w:val="center"/>
          </w:tcPr>
          <w:p>
            <w:pPr>
              <w:jc w:val="right"/>
              <w:rPr>
                <w:rFonts w:ascii="宋体" w:hAnsi="宋体"/>
              </w:rPr>
            </w:pPr>
            <w:r>
              <w:rPr>
                <w:rFonts w:ascii="宋体" w:hAnsi="宋体"/>
              </w:rPr>
              <w:t>79,933</w:t>
            </w:r>
          </w:p>
        </w:tc>
        <w:tc>
          <w:tcPr>
            <w:tcW w:w="747" w:type="pct"/>
            <w:tcBorders>
              <w:bottom w:val="single" w:color="auto" w:sz="4" w:space="0"/>
            </w:tcBorders>
            <w:shd w:val="clear" w:color="auto" w:fill="auto"/>
            <w:vAlign w:val="center"/>
          </w:tcPr>
          <w:p>
            <w:pPr>
              <w:rPr>
                <w:rFonts w:ascii="宋体" w:hAnsi="宋体"/>
              </w:rPr>
            </w:pPr>
            <w:r>
              <w:rPr>
                <w:rFonts w:hint="eastAsia" w:ascii="宋体" w:hAnsi="宋体"/>
              </w:rPr>
              <w:t xml:space="preserve">企业破产清算完成 </w:t>
            </w:r>
          </w:p>
        </w:tc>
        <w:tc>
          <w:tcPr>
            <w:tcW w:w="817" w:type="pct"/>
            <w:tcBorders>
              <w:bottom w:val="single" w:color="auto" w:sz="4" w:space="0"/>
            </w:tcBorders>
            <w:shd w:val="clear" w:color="auto" w:fill="auto"/>
            <w:vAlign w:val="center"/>
          </w:tcPr>
          <w:p>
            <w:pPr>
              <w:rPr>
                <w:rFonts w:ascii="宋体" w:hAnsi="宋体"/>
              </w:rPr>
            </w:pPr>
            <w:r>
              <w:rPr>
                <w:rFonts w:hint="eastAsia" w:ascii="宋体" w:hAnsi="宋体"/>
              </w:rPr>
              <w:t>董事会会议决议</w:t>
            </w:r>
          </w:p>
        </w:tc>
        <w:tc>
          <w:tcPr>
            <w:tcW w:w="967" w:type="pct"/>
            <w:tcBorders>
              <w:bottom w:val="single" w:color="auto" w:sz="4" w:space="0"/>
            </w:tcBorders>
            <w:shd w:val="clear" w:color="auto" w:fill="auto"/>
            <w:vAlign w:val="center"/>
          </w:tcPr>
          <w:p>
            <w:pPr>
              <w:jc w:val="center"/>
              <w:rPr>
                <w:rFonts w:ascii="宋体" w:hAnsi="宋体"/>
              </w:rPr>
            </w:pPr>
            <w:r>
              <w:rPr>
                <w:rFonts w:hint="eastAsia" w:ascii="宋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pct"/>
            <w:shd w:val="clear" w:color="auto" w:fill="auto"/>
            <w:vAlign w:val="center"/>
          </w:tcPr>
          <w:p>
            <w:pPr>
              <w:jc w:val="center"/>
            </w:pPr>
            <w:r>
              <w:t>合计</w:t>
            </w:r>
          </w:p>
        </w:tc>
        <w:tc>
          <w:tcPr>
            <w:tcW w:w="810" w:type="pct"/>
            <w:shd w:val="clear" w:color="auto" w:fill="auto"/>
          </w:tcPr>
          <w:p>
            <w:pPr>
              <w:jc w:val="center"/>
              <w:rPr>
                <w:rFonts w:ascii="宋体" w:hAnsi="宋体"/>
              </w:rPr>
            </w:pPr>
            <w:r>
              <w:rPr>
                <w:rFonts w:hint="eastAsia" w:ascii="宋体" w:hAnsi="宋体"/>
              </w:rPr>
              <w:t>/</w:t>
            </w:r>
          </w:p>
        </w:tc>
        <w:tc>
          <w:tcPr>
            <w:tcW w:w="765" w:type="pct"/>
            <w:shd w:val="clear" w:color="auto" w:fill="auto"/>
          </w:tcPr>
          <w:p>
            <w:pPr>
              <w:jc w:val="right"/>
              <w:rPr>
                <w:rFonts w:ascii="宋体" w:hAnsi="宋体"/>
              </w:rPr>
            </w:pPr>
            <w:r>
              <w:rPr>
                <w:rFonts w:ascii="宋体" w:hAnsi="宋体"/>
              </w:rPr>
              <w:t>441,185</w:t>
            </w:r>
          </w:p>
        </w:tc>
        <w:tc>
          <w:tcPr>
            <w:tcW w:w="747" w:type="pct"/>
            <w:shd w:val="clear" w:color="auto" w:fill="auto"/>
          </w:tcPr>
          <w:p>
            <w:pPr>
              <w:jc w:val="center"/>
              <w:rPr>
                <w:rFonts w:ascii="宋体" w:hAnsi="宋体"/>
              </w:rPr>
            </w:pPr>
            <w:r>
              <w:rPr>
                <w:rFonts w:hint="eastAsia" w:ascii="宋体" w:hAnsi="宋体"/>
              </w:rPr>
              <w:t>/</w:t>
            </w:r>
          </w:p>
        </w:tc>
        <w:tc>
          <w:tcPr>
            <w:tcW w:w="817" w:type="pct"/>
            <w:shd w:val="clear" w:color="auto" w:fill="auto"/>
          </w:tcPr>
          <w:p>
            <w:pPr>
              <w:jc w:val="center"/>
              <w:rPr>
                <w:rFonts w:ascii="宋体" w:hAnsi="宋体"/>
              </w:rPr>
            </w:pPr>
            <w:r>
              <w:rPr>
                <w:rFonts w:hint="eastAsia" w:ascii="宋体" w:hAnsi="宋体"/>
              </w:rPr>
              <w:t>/</w:t>
            </w:r>
          </w:p>
        </w:tc>
        <w:tc>
          <w:tcPr>
            <w:tcW w:w="967" w:type="pct"/>
            <w:shd w:val="clear" w:color="auto" w:fill="auto"/>
          </w:tcPr>
          <w:p>
            <w:pPr>
              <w:jc w:val="center"/>
              <w:rPr>
                <w:rFonts w:ascii="宋体" w:hAnsi="宋体"/>
              </w:rPr>
            </w:pPr>
            <w:r>
              <w:rPr>
                <w:rFonts w:hint="eastAsia" w:ascii="宋体" w:hAnsi="宋体"/>
              </w:rPr>
              <w:t>/</w:t>
            </w:r>
          </w:p>
        </w:tc>
      </w:tr>
    </w:tbl>
    <w:p>
      <w:pPr>
        <w:snapToGrid w:val="0"/>
        <w:spacing w:line="240" w:lineRule="atLeast"/>
      </w:pPr>
    </w:p>
    <w:p>
      <w:pPr>
        <w:snapToGrid w:val="0"/>
        <w:spacing w:line="240" w:lineRule="atLeast"/>
        <w:rPr>
          <w:b/>
          <w:bCs/>
        </w:rPr>
      </w:pPr>
      <w:r>
        <w:rPr>
          <w:rFonts w:hint="eastAsia"/>
        </w:rPr>
        <w:t>其他应收款核销说明：</w:t>
      </w:r>
    </w:p>
    <w:sdt>
      <w:sdtPr>
        <w:alias w:val="是否适用：其他应收款冲销坏帐明细的说明[双击切换]"/>
        <w:tag w:val="_GBC_c894606830c4440ba090ef98078b372b"/>
        <w:id w:val="-1369917027"/>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napToGrid w:val="0"/>
        <w:spacing w:line="240" w:lineRule="atLeast"/>
      </w:pPr>
    </w:p>
    <w:p>
      <w:pPr>
        <w:pStyle w:val="506"/>
        <w:numPr>
          <w:ilvl w:val="0"/>
          <w:numId w:val="77"/>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75355628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应收账款前五名欠款情况"/>
          <w:tag w:val="_GBC_06f7a71e039445228d80a5741df4c4f7"/>
          <w:id w:val="-1075150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其他应收账款前五名欠款情况"/>
          <w:tag w:val="_GBC_54cf5f95e62e4f5f8ccb31731efadf32"/>
          <w:id w:val="12116846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1265"/>
        <w:gridCol w:w="1792"/>
        <w:gridCol w:w="1377"/>
        <w:gridCol w:w="1350"/>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sdt>
          <w:sdtPr>
            <w:rPr>
              <w:rFonts w:ascii="宋体" w:hAnsi="宋体"/>
            </w:rPr>
            <w:tag w:val="_PLD_f30fc2dc8886472699c892f0395ab05e"/>
            <w:id w:val="-1507588442"/>
          </w:sdtPr>
          <w:sdtEndPr>
            <w:rPr>
              <w:rFonts w:ascii="宋体" w:hAnsi="宋体"/>
            </w:rPr>
          </w:sdtEndPr>
          <w:sdtContent>
            <w:tc>
              <w:tcPr>
                <w:tcW w:w="863" w:type="pct"/>
                <w:vAlign w:val="center"/>
              </w:tcPr>
              <w:p>
                <w:pPr>
                  <w:ind w:right="105"/>
                  <w:jc w:val="center"/>
                  <w:rPr>
                    <w:rFonts w:ascii="宋体" w:hAnsi="宋体"/>
                  </w:rPr>
                </w:pPr>
                <w:r>
                  <w:rPr>
                    <w:rFonts w:hint="eastAsia" w:ascii="宋体" w:hAnsi="宋体"/>
                  </w:rPr>
                  <w:t>单位名称</w:t>
                </w:r>
              </w:p>
            </w:tc>
          </w:sdtContent>
        </w:sdt>
        <w:sdt>
          <w:sdtPr>
            <w:rPr>
              <w:rFonts w:ascii="宋体" w:hAnsi="宋体"/>
            </w:rPr>
            <w:tag w:val="_PLD_1bc905abb4bf4c679b9fbe0a7587d651"/>
            <w:id w:val="1381286985"/>
          </w:sdtPr>
          <w:sdtEndPr>
            <w:rPr>
              <w:rFonts w:ascii="宋体" w:hAnsi="宋体"/>
            </w:rPr>
          </w:sdtEndPr>
          <w:sdtContent>
            <w:tc>
              <w:tcPr>
                <w:tcW w:w="699" w:type="pct"/>
                <w:vAlign w:val="center"/>
              </w:tcPr>
              <w:p>
                <w:pPr>
                  <w:ind w:right="73"/>
                  <w:jc w:val="center"/>
                  <w:rPr>
                    <w:rFonts w:ascii="宋体" w:hAnsi="宋体"/>
                  </w:rPr>
                </w:pPr>
                <w:r>
                  <w:rPr>
                    <w:rFonts w:hint="eastAsia" w:ascii="宋体" w:hAnsi="宋体"/>
                  </w:rPr>
                  <w:t>期末余额</w:t>
                </w:r>
              </w:p>
            </w:tc>
          </w:sdtContent>
        </w:sdt>
        <w:sdt>
          <w:sdtPr>
            <w:rPr>
              <w:rFonts w:ascii="宋体" w:hAnsi="宋体"/>
            </w:rPr>
            <w:tag w:val="_PLD_055b75c0a3cf450e995ac7e13fdc0c08"/>
            <w:id w:val="-1826193692"/>
          </w:sdtPr>
          <w:sdtEndPr>
            <w:rPr>
              <w:rFonts w:ascii="宋体" w:hAnsi="宋体"/>
            </w:rPr>
          </w:sdtEndPr>
          <w:sdtContent>
            <w:tc>
              <w:tcPr>
                <w:tcW w:w="990" w:type="pct"/>
                <w:vAlign w:val="center"/>
              </w:tcPr>
              <w:p>
                <w:pPr>
                  <w:jc w:val="center"/>
                  <w:rPr>
                    <w:rFonts w:ascii="宋体" w:hAnsi="宋体"/>
                  </w:rPr>
                </w:pPr>
                <w:r>
                  <w:rPr>
                    <w:rFonts w:hint="eastAsia" w:ascii="宋体" w:hAnsi="宋体"/>
                  </w:rPr>
                  <w:t>占其他应收款期末余额合计数的比例(</w:t>
                </w:r>
                <w:r>
                  <w:rPr>
                    <w:rFonts w:ascii="宋体" w:hAnsi="宋体"/>
                  </w:rPr>
                  <w:t>%)</w:t>
                </w:r>
              </w:p>
            </w:tc>
          </w:sdtContent>
        </w:sdt>
        <w:sdt>
          <w:sdtPr>
            <w:rPr>
              <w:rFonts w:ascii="宋体" w:hAnsi="宋体"/>
            </w:rPr>
            <w:tag w:val="_PLD_44129b8132114de2a4d33c4acb8af98f"/>
            <w:id w:val="1096293483"/>
          </w:sdtPr>
          <w:sdtEndPr>
            <w:rPr>
              <w:rFonts w:ascii="宋体" w:hAnsi="宋体"/>
            </w:rPr>
          </w:sdtEndPr>
          <w:sdtContent>
            <w:tc>
              <w:tcPr>
                <w:tcW w:w="761" w:type="pct"/>
                <w:vAlign w:val="center"/>
              </w:tcPr>
              <w:p>
                <w:pPr>
                  <w:ind w:right="73"/>
                  <w:jc w:val="center"/>
                  <w:rPr>
                    <w:rFonts w:ascii="宋体" w:hAnsi="宋体"/>
                  </w:rPr>
                </w:pPr>
                <w:r>
                  <w:rPr>
                    <w:rFonts w:hint="eastAsia" w:ascii="宋体" w:hAnsi="宋体"/>
                  </w:rPr>
                  <w:t>款项的性质</w:t>
                </w:r>
              </w:p>
            </w:tc>
          </w:sdtContent>
        </w:sdt>
        <w:sdt>
          <w:sdtPr>
            <w:rPr>
              <w:rFonts w:ascii="宋体" w:hAnsi="宋体"/>
            </w:rPr>
            <w:tag w:val="_PLD_d9231de346f74815b1bc7c82527b1ef5"/>
            <w:id w:val="-1917858723"/>
          </w:sdtPr>
          <w:sdtEndPr>
            <w:rPr>
              <w:rFonts w:ascii="宋体" w:hAnsi="宋体"/>
            </w:rPr>
          </w:sdtEndPr>
          <w:sdtContent>
            <w:tc>
              <w:tcPr>
                <w:tcW w:w="746" w:type="pct"/>
                <w:vAlign w:val="center"/>
              </w:tcPr>
              <w:p>
                <w:pPr>
                  <w:ind w:right="73"/>
                  <w:jc w:val="center"/>
                  <w:rPr>
                    <w:rFonts w:ascii="宋体" w:hAnsi="宋体"/>
                  </w:rPr>
                </w:pPr>
                <w:r>
                  <w:rPr>
                    <w:rFonts w:hint="eastAsia" w:ascii="宋体" w:hAnsi="宋体"/>
                  </w:rPr>
                  <w:t>账龄</w:t>
                </w:r>
              </w:p>
            </w:tc>
          </w:sdtContent>
        </w:sdt>
        <w:sdt>
          <w:sdtPr>
            <w:rPr>
              <w:rFonts w:ascii="宋体" w:hAnsi="宋体"/>
            </w:rPr>
            <w:tag w:val="_PLD_a7951a260c094fc8b8b64f2d1e6a933e"/>
            <w:id w:val="1701127185"/>
          </w:sdtPr>
          <w:sdtEndPr>
            <w:rPr>
              <w:rFonts w:ascii="宋体" w:hAnsi="宋体"/>
            </w:rPr>
          </w:sdtEndPr>
          <w:sdtContent>
            <w:tc>
              <w:tcPr>
                <w:tcW w:w="941" w:type="pct"/>
                <w:vAlign w:val="center"/>
              </w:tcPr>
              <w:p>
                <w:pPr>
                  <w:jc w:val="center"/>
                  <w:rPr>
                    <w:rFonts w:ascii="宋体" w:hAnsi="宋体"/>
                  </w:rPr>
                </w:pPr>
                <w:r>
                  <w:rPr>
                    <w:rFonts w:hint="eastAsia" w:ascii="宋体" w:hAnsi="宋体"/>
                  </w:rPr>
                  <w:t>坏账准备</w:t>
                </w:r>
              </w:p>
              <w:p>
                <w:pPr>
                  <w:jc w:val="center"/>
                  <w:rPr>
                    <w:rFonts w:ascii="宋体" w:hAnsi="宋体"/>
                  </w:rPr>
                </w:pPr>
                <w:r>
                  <w:rPr>
                    <w:rFonts w:hint="eastAsia"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3" w:type="pct"/>
            <w:vAlign w:val="center"/>
          </w:tcPr>
          <w:p>
            <w:pPr>
              <w:ind w:right="105"/>
              <w:jc w:val="center"/>
              <w:rPr>
                <w:rFonts w:ascii="宋体" w:hAnsi="宋体"/>
              </w:rPr>
            </w:pPr>
            <w:r>
              <w:rPr>
                <w:rFonts w:hint="eastAsia" w:ascii="宋体" w:hAnsi="宋体"/>
              </w:rPr>
              <w:t>公司1</w:t>
            </w:r>
          </w:p>
        </w:tc>
        <w:tc>
          <w:tcPr>
            <w:tcW w:w="699" w:type="pct"/>
            <w:vAlign w:val="center"/>
          </w:tcPr>
          <w:p>
            <w:pPr>
              <w:ind w:right="73"/>
              <w:jc w:val="right"/>
              <w:rPr>
                <w:rFonts w:ascii="宋体" w:hAnsi="宋体"/>
              </w:rPr>
            </w:pPr>
            <w:r>
              <w:rPr>
                <w:rFonts w:ascii="宋体" w:hAnsi="宋体"/>
              </w:rPr>
              <w:t>971,209</w:t>
            </w:r>
          </w:p>
        </w:tc>
        <w:tc>
          <w:tcPr>
            <w:tcW w:w="990" w:type="pct"/>
            <w:vAlign w:val="center"/>
          </w:tcPr>
          <w:p>
            <w:pPr>
              <w:jc w:val="right"/>
              <w:rPr>
                <w:rFonts w:ascii="宋体" w:hAnsi="宋体"/>
              </w:rPr>
            </w:pPr>
            <w:r>
              <w:rPr>
                <w:rFonts w:ascii="宋体" w:hAnsi="宋体"/>
              </w:rPr>
              <w:t>16</w:t>
            </w:r>
          </w:p>
        </w:tc>
        <w:tc>
          <w:tcPr>
            <w:tcW w:w="761" w:type="pct"/>
            <w:vAlign w:val="center"/>
          </w:tcPr>
          <w:p>
            <w:pPr>
              <w:ind w:right="73"/>
              <w:jc w:val="center"/>
              <w:rPr>
                <w:rFonts w:ascii="宋体" w:hAnsi="宋体"/>
              </w:rPr>
            </w:pPr>
            <w:r>
              <w:rPr>
                <w:rFonts w:hint="eastAsia" w:ascii="宋体" w:hAnsi="宋体"/>
              </w:rPr>
              <w:t>往来款</w:t>
            </w:r>
          </w:p>
        </w:tc>
        <w:tc>
          <w:tcPr>
            <w:tcW w:w="746" w:type="pct"/>
            <w:vAlign w:val="center"/>
          </w:tcPr>
          <w:p>
            <w:pPr>
              <w:ind w:right="73"/>
              <w:jc w:val="left"/>
              <w:rPr>
                <w:rFonts w:ascii="宋体" w:hAnsi="宋体"/>
              </w:rPr>
            </w:pPr>
            <w:r>
              <w:rPr>
                <w:rFonts w:hint="eastAsia" w:ascii="宋体" w:hAnsi="宋体"/>
              </w:rPr>
              <w:t>1-3年</w:t>
            </w:r>
          </w:p>
        </w:tc>
        <w:tc>
          <w:tcPr>
            <w:tcW w:w="941"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3" w:type="pct"/>
            <w:vAlign w:val="center"/>
          </w:tcPr>
          <w:p>
            <w:pPr>
              <w:ind w:right="105"/>
              <w:jc w:val="center"/>
              <w:rPr>
                <w:rFonts w:ascii="宋体" w:hAnsi="宋体"/>
                <w:sz w:val="22"/>
                <w:szCs w:val="22"/>
              </w:rPr>
            </w:pPr>
            <w:r>
              <w:rPr>
                <w:rFonts w:hint="eastAsia" w:ascii="宋体" w:hAnsi="宋体"/>
                <w:sz w:val="22"/>
                <w:szCs w:val="22"/>
              </w:rPr>
              <w:t>公司</w:t>
            </w:r>
            <w:r>
              <w:rPr>
                <w:rFonts w:ascii="宋体" w:hAnsi="宋体"/>
                <w:sz w:val="22"/>
                <w:szCs w:val="22"/>
              </w:rPr>
              <w:t>2</w:t>
            </w:r>
          </w:p>
        </w:tc>
        <w:tc>
          <w:tcPr>
            <w:tcW w:w="699" w:type="pct"/>
            <w:vAlign w:val="center"/>
          </w:tcPr>
          <w:p>
            <w:pPr>
              <w:ind w:right="73"/>
              <w:jc w:val="right"/>
              <w:rPr>
                <w:rFonts w:ascii="宋体" w:hAnsi="宋体"/>
              </w:rPr>
            </w:pPr>
            <w:r>
              <w:rPr>
                <w:rFonts w:ascii="宋体" w:hAnsi="宋体"/>
              </w:rPr>
              <w:t>701</w:t>
            </w:r>
            <w:r>
              <w:rPr>
                <w:rFonts w:hint="eastAsia" w:ascii="宋体" w:hAnsi="宋体"/>
              </w:rPr>
              <w:t>,</w:t>
            </w:r>
            <w:r>
              <w:rPr>
                <w:rFonts w:ascii="宋体" w:hAnsi="宋体"/>
              </w:rPr>
              <w:t>067</w:t>
            </w:r>
          </w:p>
        </w:tc>
        <w:tc>
          <w:tcPr>
            <w:tcW w:w="990" w:type="pct"/>
            <w:vAlign w:val="center"/>
          </w:tcPr>
          <w:p>
            <w:pPr>
              <w:jc w:val="right"/>
              <w:rPr>
                <w:rFonts w:ascii="宋体" w:hAnsi="宋体"/>
              </w:rPr>
            </w:pPr>
            <w:r>
              <w:rPr>
                <w:rFonts w:ascii="宋体" w:hAnsi="宋体"/>
              </w:rPr>
              <w:t>12</w:t>
            </w:r>
          </w:p>
        </w:tc>
        <w:tc>
          <w:tcPr>
            <w:tcW w:w="761" w:type="pct"/>
            <w:vAlign w:val="center"/>
          </w:tcPr>
          <w:p>
            <w:pPr>
              <w:ind w:right="73"/>
              <w:jc w:val="center"/>
              <w:rPr>
                <w:rFonts w:ascii="宋体" w:hAnsi="宋体"/>
              </w:rPr>
            </w:pPr>
            <w:r>
              <w:rPr>
                <w:rFonts w:hint="eastAsia" w:ascii="宋体" w:hAnsi="宋体"/>
              </w:rPr>
              <w:t>往来款</w:t>
            </w:r>
          </w:p>
        </w:tc>
        <w:tc>
          <w:tcPr>
            <w:tcW w:w="746" w:type="pct"/>
            <w:vAlign w:val="center"/>
          </w:tcPr>
          <w:p>
            <w:pPr>
              <w:ind w:right="73"/>
              <w:rPr>
                <w:rFonts w:ascii="宋体" w:hAnsi="宋体"/>
              </w:rPr>
            </w:pPr>
            <w:r>
              <w:rPr>
                <w:rFonts w:hint="eastAsia" w:ascii="宋体" w:hAnsi="宋体"/>
              </w:rPr>
              <w:t>1-3年，3年以上</w:t>
            </w:r>
          </w:p>
        </w:tc>
        <w:tc>
          <w:tcPr>
            <w:tcW w:w="941"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3" w:type="pct"/>
            <w:vAlign w:val="center"/>
          </w:tcPr>
          <w:p>
            <w:pPr>
              <w:ind w:right="105"/>
              <w:jc w:val="center"/>
              <w:rPr>
                <w:rFonts w:ascii="宋体" w:hAnsi="宋体"/>
              </w:rPr>
            </w:pPr>
            <w:r>
              <w:rPr>
                <w:rFonts w:hint="eastAsia" w:ascii="宋体" w:hAnsi="宋体"/>
              </w:rPr>
              <w:t>公司</w:t>
            </w:r>
            <w:r>
              <w:rPr>
                <w:rFonts w:ascii="宋体" w:hAnsi="宋体"/>
              </w:rPr>
              <w:t>3</w:t>
            </w:r>
          </w:p>
        </w:tc>
        <w:tc>
          <w:tcPr>
            <w:tcW w:w="699" w:type="pct"/>
            <w:vAlign w:val="center"/>
          </w:tcPr>
          <w:p>
            <w:pPr>
              <w:ind w:right="73"/>
              <w:jc w:val="right"/>
              <w:rPr>
                <w:rFonts w:ascii="宋体" w:hAnsi="宋体"/>
              </w:rPr>
            </w:pPr>
            <w:r>
              <w:rPr>
                <w:rFonts w:ascii="宋体" w:hAnsi="宋体"/>
              </w:rPr>
              <w:t>644,785</w:t>
            </w:r>
          </w:p>
        </w:tc>
        <w:tc>
          <w:tcPr>
            <w:tcW w:w="990" w:type="pct"/>
            <w:vAlign w:val="center"/>
          </w:tcPr>
          <w:p>
            <w:pPr>
              <w:jc w:val="right"/>
              <w:rPr>
                <w:rFonts w:ascii="宋体" w:hAnsi="宋体"/>
              </w:rPr>
            </w:pPr>
            <w:r>
              <w:rPr>
                <w:rFonts w:ascii="宋体" w:hAnsi="宋体"/>
              </w:rPr>
              <w:t>11</w:t>
            </w:r>
          </w:p>
        </w:tc>
        <w:tc>
          <w:tcPr>
            <w:tcW w:w="761" w:type="pct"/>
            <w:vAlign w:val="center"/>
          </w:tcPr>
          <w:p>
            <w:pPr>
              <w:ind w:right="73"/>
              <w:jc w:val="center"/>
              <w:rPr>
                <w:rFonts w:ascii="宋体" w:hAnsi="宋体"/>
              </w:rPr>
            </w:pPr>
            <w:r>
              <w:rPr>
                <w:rFonts w:hint="eastAsia" w:ascii="宋体" w:hAnsi="宋体"/>
              </w:rPr>
              <w:t>往来款</w:t>
            </w:r>
          </w:p>
        </w:tc>
        <w:tc>
          <w:tcPr>
            <w:tcW w:w="746" w:type="pct"/>
            <w:vAlign w:val="center"/>
          </w:tcPr>
          <w:p>
            <w:pPr>
              <w:ind w:right="73"/>
              <w:jc w:val="left"/>
              <w:rPr>
                <w:rFonts w:ascii="宋体" w:hAnsi="宋体"/>
              </w:rPr>
            </w:pPr>
            <w:r>
              <w:rPr>
                <w:rFonts w:hint="eastAsia" w:ascii="宋体" w:hAnsi="宋体"/>
              </w:rPr>
              <w:t>3年以上</w:t>
            </w:r>
          </w:p>
        </w:tc>
        <w:tc>
          <w:tcPr>
            <w:tcW w:w="941" w:type="pct"/>
            <w:vAlign w:val="center"/>
          </w:tcPr>
          <w:p>
            <w:pPr>
              <w:jc w:val="right"/>
              <w:rPr>
                <w:rFonts w:ascii="宋体" w:hAnsi="宋体"/>
              </w:rPr>
            </w:pPr>
            <w:r>
              <w:rPr>
                <w:rFonts w:hint="eastAsia" w:ascii="宋体" w:hAnsi="宋体"/>
              </w:rPr>
              <w:t>597,254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3" w:type="pct"/>
            <w:vAlign w:val="center"/>
          </w:tcPr>
          <w:p>
            <w:pPr>
              <w:ind w:right="105"/>
              <w:jc w:val="center"/>
              <w:rPr>
                <w:rFonts w:ascii="宋体" w:hAnsi="宋体"/>
              </w:rPr>
            </w:pPr>
            <w:r>
              <w:rPr>
                <w:rFonts w:hint="eastAsia" w:ascii="宋体" w:hAnsi="宋体"/>
              </w:rPr>
              <w:t>公司4</w:t>
            </w:r>
          </w:p>
        </w:tc>
        <w:tc>
          <w:tcPr>
            <w:tcW w:w="699" w:type="pct"/>
            <w:vAlign w:val="center"/>
          </w:tcPr>
          <w:p>
            <w:pPr>
              <w:ind w:right="73"/>
              <w:jc w:val="right"/>
              <w:rPr>
                <w:rFonts w:ascii="宋体" w:hAnsi="宋体"/>
              </w:rPr>
            </w:pPr>
            <w:r>
              <w:rPr>
                <w:rFonts w:ascii="宋体" w:hAnsi="宋体"/>
              </w:rPr>
              <w:t>301,618</w:t>
            </w:r>
          </w:p>
        </w:tc>
        <w:tc>
          <w:tcPr>
            <w:tcW w:w="990" w:type="pct"/>
            <w:vAlign w:val="center"/>
          </w:tcPr>
          <w:p>
            <w:pPr>
              <w:jc w:val="right"/>
              <w:rPr>
                <w:rFonts w:ascii="宋体" w:hAnsi="宋体"/>
              </w:rPr>
            </w:pPr>
            <w:r>
              <w:rPr>
                <w:rFonts w:hint="eastAsia" w:ascii="宋体" w:hAnsi="宋体"/>
              </w:rPr>
              <w:t>5</w:t>
            </w:r>
          </w:p>
        </w:tc>
        <w:tc>
          <w:tcPr>
            <w:tcW w:w="761" w:type="pct"/>
            <w:vAlign w:val="center"/>
          </w:tcPr>
          <w:p>
            <w:pPr>
              <w:ind w:right="73"/>
              <w:jc w:val="center"/>
              <w:rPr>
                <w:rFonts w:ascii="宋体" w:hAnsi="宋体"/>
              </w:rPr>
            </w:pPr>
            <w:r>
              <w:rPr>
                <w:rFonts w:hint="eastAsia" w:ascii="宋体" w:hAnsi="宋体"/>
              </w:rPr>
              <w:t>往来款</w:t>
            </w:r>
          </w:p>
        </w:tc>
        <w:tc>
          <w:tcPr>
            <w:tcW w:w="746" w:type="pct"/>
            <w:vAlign w:val="center"/>
          </w:tcPr>
          <w:p>
            <w:pPr>
              <w:ind w:right="73"/>
              <w:jc w:val="left"/>
              <w:rPr>
                <w:rFonts w:ascii="宋体" w:hAnsi="宋体"/>
              </w:rPr>
            </w:pPr>
            <w:r>
              <w:rPr>
                <w:rFonts w:hint="eastAsia" w:ascii="宋体" w:hAnsi="宋体"/>
              </w:rPr>
              <w:t>3年以上</w:t>
            </w:r>
          </w:p>
        </w:tc>
        <w:tc>
          <w:tcPr>
            <w:tcW w:w="941" w:type="pct"/>
            <w:vAlign w:val="center"/>
          </w:tcPr>
          <w:p>
            <w:pPr>
              <w:jc w:val="right"/>
              <w:rPr>
                <w:rFonts w:ascii="宋体" w:hAnsi="宋体"/>
              </w:rPr>
            </w:pPr>
            <w:r>
              <w:rPr>
                <w:rFonts w:ascii="宋体" w:hAnsi="宋体"/>
              </w:rPr>
              <w:t>301,618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3" w:type="pct"/>
            <w:vAlign w:val="center"/>
          </w:tcPr>
          <w:p>
            <w:pPr>
              <w:ind w:right="105"/>
              <w:jc w:val="center"/>
              <w:rPr>
                <w:rFonts w:ascii="宋体" w:hAnsi="宋体"/>
              </w:rPr>
            </w:pPr>
            <w:r>
              <w:rPr>
                <w:rFonts w:hint="eastAsia" w:ascii="宋体" w:hAnsi="宋体"/>
              </w:rPr>
              <w:t>公司5</w:t>
            </w:r>
          </w:p>
        </w:tc>
        <w:tc>
          <w:tcPr>
            <w:tcW w:w="699" w:type="pct"/>
            <w:vAlign w:val="center"/>
          </w:tcPr>
          <w:p>
            <w:pPr>
              <w:ind w:right="73"/>
              <w:jc w:val="right"/>
              <w:rPr>
                <w:rFonts w:ascii="宋体" w:hAnsi="宋体"/>
              </w:rPr>
            </w:pPr>
            <w:r>
              <w:rPr>
                <w:rFonts w:ascii="宋体" w:hAnsi="宋体"/>
              </w:rPr>
              <w:t>178,410</w:t>
            </w:r>
          </w:p>
        </w:tc>
        <w:tc>
          <w:tcPr>
            <w:tcW w:w="990" w:type="pct"/>
            <w:vAlign w:val="center"/>
          </w:tcPr>
          <w:p>
            <w:pPr>
              <w:jc w:val="right"/>
              <w:rPr>
                <w:rFonts w:ascii="宋体" w:hAnsi="宋体"/>
              </w:rPr>
            </w:pPr>
            <w:r>
              <w:rPr>
                <w:rFonts w:ascii="宋体" w:hAnsi="宋体"/>
              </w:rPr>
              <w:t>3</w:t>
            </w:r>
          </w:p>
        </w:tc>
        <w:tc>
          <w:tcPr>
            <w:tcW w:w="761" w:type="pct"/>
            <w:vAlign w:val="center"/>
          </w:tcPr>
          <w:p>
            <w:pPr>
              <w:ind w:right="73"/>
              <w:jc w:val="center"/>
              <w:rPr>
                <w:rFonts w:ascii="宋体" w:hAnsi="宋体"/>
              </w:rPr>
            </w:pPr>
            <w:r>
              <w:rPr>
                <w:rFonts w:hint="eastAsia" w:ascii="宋体" w:hAnsi="宋体"/>
              </w:rPr>
              <w:t>往来款</w:t>
            </w:r>
          </w:p>
        </w:tc>
        <w:tc>
          <w:tcPr>
            <w:tcW w:w="746" w:type="pct"/>
            <w:vAlign w:val="center"/>
          </w:tcPr>
          <w:p>
            <w:pPr>
              <w:ind w:right="73"/>
              <w:jc w:val="left"/>
              <w:rPr>
                <w:rFonts w:ascii="宋体" w:hAnsi="宋体"/>
              </w:rPr>
            </w:pPr>
            <w:r>
              <w:rPr>
                <w:rFonts w:hint="eastAsia" w:ascii="宋体" w:hAnsi="宋体"/>
              </w:rPr>
              <w:t>1年以内,3年以上</w:t>
            </w:r>
          </w:p>
        </w:tc>
        <w:tc>
          <w:tcPr>
            <w:tcW w:w="941"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3" w:type="pct"/>
            <w:vAlign w:val="center"/>
          </w:tcPr>
          <w:p>
            <w:pPr>
              <w:ind w:right="105"/>
              <w:jc w:val="center"/>
              <w:rPr>
                <w:rFonts w:ascii="宋体" w:hAnsi="宋体"/>
              </w:rPr>
            </w:pPr>
            <w:r>
              <w:rPr>
                <w:rFonts w:hint="eastAsia" w:ascii="宋体" w:hAnsi="宋体"/>
                <w:b/>
              </w:rPr>
              <w:t>合计</w:t>
            </w:r>
          </w:p>
        </w:tc>
        <w:tc>
          <w:tcPr>
            <w:tcW w:w="699" w:type="pct"/>
            <w:vAlign w:val="center"/>
          </w:tcPr>
          <w:p>
            <w:pPr>
              <w:ind w:right="73"/>
              <w:jc w:val="right"/>
              <w:rPr>
                <w:rFonts w:ascii="宋体" w:hAnsi="宋体"/>
              </w:rPr>
            </w:pPr>
            <w:r>
              <w:rPr>
                <w:rFonts w:ascii="宋体" w:hAnsi="宋体"/>
              </w:rPr>
              <w:t>2,797,089</w:t>
            </w:r>
          </w:p>
        </w:tc>
        <w:tc>
          <w:tcPr>
            <w:tcW w:w="990" w:type="pct"/>
            <w:vAlign w:val="center"/>
          </w:tcPr>
          <w:p>
            <w:pPr>
              <w:jc w:val="right"/>
              <w:rPr>
                <w:rFonts w:ascii="宋体" w:hAnsi="宋体"/>
              </w:rPr>
            </w:pPr>
            <w:r>
              <w:rPr>
                <w:rFonts w:ascii="宋体" w:hAnsi="宋体"/>
              </w:rPr>
              <w:t>47</w:t>
            </w:r>
          </w:p>
        </w:tc>
        <w:tc>
          <w:tcPr>
            <w:tcW w:w="761" w:type="pct"/>
            <w:vAlign w:val="center"/>
          </w:tcPr>
          <w:p>
            <w:pPr>
              <w:ind w:right="73"/>
              <w:jc w:val="right"/>
              <w:rPr>
                <w:rFonts w:ascii="宋体" w:hAnsi="宋体"/>
              </w:rPr>
            </w:pPr>
            <w:r>
              <w:rPr>
                <w:rFonts w:hint="eastAsia" w:ascii="宋体" w:hAnsi="宋体"/>
                <w:bCs/>
              </w:rPr>
              <w:t>—</w:t>
            </w:r>
          </w:p>
        </w:tc>
        <w:tc>
          <w:tcPr>
            <w:tcW w:w="746" w:type="pct"/>
            <w:vAlign w:val="center"/>
          </w:tcPr>
          <w:p>
            <w:pPr>
              <w:ind w:right="73"/>
              <w:rPr>
                <w:rFonts w:ascii="宋体" w:hAnsi="宋体"/>
              </w:rPr>
            </w:pPr>
            <w:r>
              <w:rPr>
                <w:rFonts w:hint="eastAsia" w:ascii="宋体" w:hAnsi="宋体"/>
              </w:rPr>
              <w:t>—</w:t>
            </w:r>
          </w:p>
        </w:tc>
        <w:tc>
          <w:tcPr>
            <w:tcW w:w="941" w:type="pct"/>
            <w:vAlign w:val="center"/>
          </w:tcPr>
          <w:p>
            <w:pPr>
              <w:jc w:val="right"/>
              <w:rPr>
                <w:rFonts w:ascii="宋体" w:hAnsi="宋体"/>
              </w:rPr>
            </w:pPr>
            <w:r>
              <w:rPr>
                <w:rFonts w:ascii="宋体" w:hAnsi="宋体"/>
              </w:rPr>
              <w:t>898,872</w:t>
            </w:r>
          </w:p>
        </w:tc>
      </w:tr>
    </w:tbl>
    <w:p>
      <w:pPr>
        <w:snapToGrid w:val="0"/>
        <w:spacing w:line="240" w:lineRule="atLeast"/>
      </w:pPr>
    </w:p>
    <w:p>
      <w:pPr>
        <w:pStyle w:val="506"/>
        <w:numPr>
          <w:ilvl w:val="0"/>
          <w:numId w:val="77"/>
        </w:numPr>
        <w:ind w:leftChars="0"/>
        <w:rPr>
          <w:rFonts w:ascii="宋体" w:hAnsi="宋体" w:cs="宋体"/>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219757692"/>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napToGrid w:val="0"/>
        <w:spacing w:line="240" w:lineRule="atLeast"/>
      </w:pPr>
    </w:p>
    <w:p>
      <w:pPr>
        <w:pStyle w:val="531"/>
      </w:pPr>
      <w:r>
        <w:rPr>
          <w:rFonts w:hint="eastAsia"/>
        </w:rPr>
        <w:t>其他</w:t>
      </w:r>
      <w:r>
        <w:t>说明：</w:t>
      </w:r>
    </w:p>
    <w:sdt>
      <w:sdtPr>
        <w:rPr>
          <w:rFonts w:hint="eastAsia"/>
        </w:rPr>
        <w:alias w:val="是否适用：其他应收款的其他说明[双击切换]"/>
        <w:tag w:val="_GBC_f19370687b664bbeafd6d2809311f81e"/>
        <w:id w:val="170685523"/>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69"/>
        </w:numPr>
      </w:pPr>
      <w:r>
        <w:rPr>
          <w:rFonts w:hint="eastAsia"/>
        </w:rPr>
        <w:t>存货</w:t>
      </w:r>
    </w:p>
    <w:p>
      <w:pPr>
        <w:pStyle w:val="505"/>
        <w:numPr>
          <w:ilvl w:val="3"/>
          <w:numId w:val="78"/>
        </w:numPr>
        <w:ind w:left="426" w:hanging="426"/>
      </w:pPr>
      <w:r>
        <w:rPr>
          <w:rFonts w:hint="eastAsia"/>
        </w:rPr>
        <w:t>存货分类</w:t>
      </w:r>
    </w:p>
    <w:sdt>
      <w:sdtPr>
        <w:alias w:val="是否适用：存货分类[双击切换]"/>
        <w:tag w:val="_GBC_357bbe1b1f034d20ba175209243f1121"/>
        <w:id w:val="-289904052"/>
        <w:placeholder>
          <w:docPart w:val="GBC22222222222222222222222222222"/>
        </w:placeholder>
      </w:sdtPr>
      <w:sdtContent>
        <w:p>
          <w:pPr>
            <w:pStyle w:val="531"/>
          </w:pPr>
          <w:bookmarkStart w:id="263" w:name="_Hlk532992451"/>
          <w:bookmarkStart w:id="264" w:name="_Hlk24116366"/>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存货分类"/>
          <w:tag w:val="_GBC_d8d041ff281d42b2825673de12d9cf99"/>
          <w:id w:val="8568543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存货分类"/>
          <w:tag w:val="_GBC_dfe02fee4d9a4b77b46c5afad867d464"/>
          <w:id w:val="-13046168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1"/>
        <w:gridCol w:w="1196"/>
        <w:gridCol w:w="1348"/>
        <w:gridCol w:w="1227"/>
        <w:gridCol w:w="1303"/>
        <w:gridCol w:w="1357"/>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7ef81863f9f475b86b8ee43ac7e9274"/>
            <w:id w:val="2036155576"/>
          </w:sdtPr>
          <w:sdtContent>
            <w:tc>
              <w:tcPr>
                <w:tcW w:w="785" w:type="pct"/>
                <w:vMerge w:val="restart"/>
                <w:vAlign w:val="center"/>
              </w:tcPr>
              <w:p>
                <w:pPr>
                  <w:jc w:val="center"/>
                </w:pPr>
                <w:r>
                  <w:rPr>
                    <w:rFonts w:hint="eastAsia"/>
                  </w:rPr>
                  <w:t>项目</w:t>
                </w:r>
              </w:p>
            </w:tc>
          </w:sdtContent>
        </w:sdt>
        <w:sdt>
          <w:sdtPr>
            <w:tag w:val="_PLD_68fbd4316a69442d924038f565882f99"/>
            <w:id w:val="-1707857001"/>
          </w:sdtPr>
          <w:sdtContent>
            <w:tc>
              <w:tcPr>
                <w:tcW w:w="2084" w:type="pct"/>
                <w:gridSpan w:val="3"/>
                <w:vAlign w:val="center"/>
              </w:tcPr>
              <w:p>
                <w:pPr>
                  <w:jc w:val="center"/>
                </w:pPr>
                <w:r>
                  <w:rPr>
                    <w:rFonts w:hint="eastAsia"/>
                  </w:rPr>
                  <w:t>期末余额</w:t>
                </w:r>
              </w:p>
            </w:tc>
          </w:sdtContent>
        </w:sdt>
        <w:sdt>
          <w:sdtPr>
            <w:tag w:val="_PLD_39f6313de32c45ce95b6a2ef18238d4a"/>
            <w:id w:val="-2010667849"/>
          </w:sdtPr>
          <w:sdtContent>
            <w:tc>
              <w:tcPr>
                <w:tcW w:w="2131" w:type="pct"/>
                <w:gridSpan w:val="3"/>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5" w:type="pct"/>
            <w:vMerge w:val="continue"/>
          </w:tcPr>
          <w:p>
            <w:pPr>
              <w:ind w:right="5"/>
              <w:jc w:val="center"/>
            </w:pPr>
          </w:p>
        </w:tc>
        <w:sdt>
          <w:sdtPr>
            <w:tag w:val="_PLD_73436d894fc444d5b519a3b75a689324"/>
            <w:id w:val="1848822880"/>
          </w:sdtPr>
          <w:sdtContent>
            <w:tc>
              <w:tcPr>
                <w:tcW w:w="661" w:type="pct"/>
                <w:vAlign w:val="center"/>
              </w:tcPr>
              <w:p>
                <w:pPr>
                  <w:ind w:right="5"/>
                  <w:jc w:val="center"/>
                </w:pPr>
                <w:r>
                  <w:rPr>
                    <w:rFonts w:hint="eastAsia"/>
                  </w:rPr>
                  <w:t>账面余额</w:t>
                </w:r>
              </w:p>
            </w:tc>
          </w:sdtContent>
        </w:sdt>
        <w:tc>
          <w:tcPr>
            <w:tcW w:w="745" w:type="pct"/>
            <w:vAlign w:val="center"/>
          </w:tcPr>
          <w:p>
            <w:pPr>
              <w:ind w:right="5"/>
              <w:jc w:val="center"/>
            </w:pPr>
            <w:sdt>
              <w:sdtPr>
                <w:tag w:val="_PLD_09cd496fa8624ad4a9538b5b209e6d5a"/>
                <w:id w:val="-489176435"/>
              </w:sdtPr>
              <w:sdtContent>
                <w:r>
                  <w:rPr>
                    <w:rFonts w:hint="eastAsia"/>
                  </w:rPr>
                  <w:t>存货跌价准备</w:t>
                </w:r>
                <w:r>
                  <w:t>/合同履约成本减值准备</w:t>
                </w:r>
              </w:sdtContent>
            </w:sdt>
          </w:p>
        </w:tc>
        <w:sdt>
          <w:sdtPr>
            <w:tag w:val="_PLD_2c7532c412cf491899c310ef9902157e"/>
            <w:id w:val="304359632"/>
          </w:sdtPr>
          <w:sdtContent>
            <w:tc>
              <w:tcPr>
                <w:tcW w:w="678" w:type="pct"/>
                <w:vAlign w:val="center"/>
              </w:tcPr>
              <w:p>
                <w:pPr>
                  <w:ind w:right="5"/>
                  <w:jc w:val="center"/>
                </w:pPr>
                <w:r>
                  <w:rPr>
                    <w:rFonts w:hint="eastAsia"/>
                  </w:rPr>
                  <w:t>账面价值</w:t>
                </w:r>
              </w:p>
            </w:tc>
          </w:sdtContent>
        </w:sdt>
        <w:sdt>
          <w:sdtPr>
            <w:tag w:val="_PLD_6c2924a6d3da466f96c5c2e2f2d81de1"/>
            <w:id w:val="25604217"/>
          </w:sdtPr>
          <w:sdtContent>
            <w:tc>
              <w:tcPr>
                <w:tcW w:w="720" w:type="pct"/>
                <w:vAlign w:val="center"/>
              </w:tcPr>
              <w:p>
                <w:pPr>
                  <w:ind w:right="5"/>
                  <w:jc w:val="center"/>
                </w:pPr>
                <w:r>
                  <w:rPr>
                    <w:rFonts w:hint="eastAsia"/>
                  </w:rPr>
                  <w:t>账面余额</w:t>
                </w:r>
              </w:p>
            </w:tc>
          </w:sdtContent>
        </w:sdt>
        <w:tc>
          <w:tcPr>
            <w:tcW w:w="750" w:type="pct"/>
            <w:vAlign w:val="center"/>
          </w:tcPr>
          <w:p>
            <w:pPr>
              <w:ind w:right="5"/>
              <w:jc w:val="center"/>
            </w:pPr>
            <w:sdt>
              <w:sdtPr>
                <w:tag w:val="_PLD_e5df78ba36d146dfb7eedab7ddd98031"/>
                <w:id w:val="1823697667"/>
              </w:sdtPr>
              <w:sdtContent>
                <w:r>
                  <w:rPr>
                    <w:rFonts w:hint="eastAsia"/>
                  </w:rPr>
                  <w:t>存货跌价准备</w:t>
                </w:r>
                <w:r>
                  <w:t>/合同履约成本减值准备</w:t>
                </w:r>
              </w:sdtContent>
            </w:sdt>
          </w:p>
        </w:tc>
        <w:sdt>
          <w:sdtPr>
            <w:tag w:val="_PLD_ba07e513b5504e03b2dcef7d8421fa16"/>
            <w:id w:val="-1511440579"/>
          </w:sdtPr>
          <w:sdtContent>
            <w:tc>
              <w:tcPr>
                <w:tcW w:w="661" w:type="pct"/>
                <w:vAlign w:val="center"/>
              </w:tcPr>
              <w:p>
                <w:pPr>
                  <w:ind w:right="5"/>
                  <w:jc w:val="center"/>
                </w:pPr>
                <w:r>
                  <w:rPr>
                    <w:rFonts w:hint="eastAsia"/>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5" w:type="pct"/>
          </w:tcPr>
          <w:p>
            <w:pPr>
              <w:ind w:right="5"/>
            </w:pPr>
            <w:r>
              <w:rPr>
                <w:rFonts w:hint="eastAsia"/>
              </w:rPr>
              <w:t>原材料</w:t>
            </w:r>
          </w:p>
        </w:tc>
        <w:tc>
          <w:tcPr>
            <w:tcW w:w="661" w:type="pct"/>
            <w:vAlign w:val="center"/>
          </w:tcPr>
          <w:p>
            <w:pPr>
              <w:ind w:right="5"/>
              <w:jc w:val="right"/>
              <w:rPr>
                <w:rFonts w:ascii="宋体" w:hAnsi="宋体"/>
              </w:rPr>
            </w:pPr>
            <w:r>
              <w:rPr>
                <w:rFonts w:ascii="宋体" w:hAnsi="宋体"/>
              </w:rPr>
              <w:t>2,014,306</w:t>
            </w:r>
          </w:p>
        </w:tc>
        <w:tc>
          <w:tcPr>
            <w:tcW w:w="745" w:type="pct"/>
            <w:vAlign w:val="center"/>
          </w:tcPr>
          <w:p>
            <w:pPr>
              <w:ind w:right="5"/>
              <w:jc w:val="right"/>
              <w:rPr>
                <w:rFonts w:ascii="宋体" w:hAnsi="宋体"/>
              </w:rPr>
            </w:pPr>
            <w:r>
              <w:rPr>
                <w:rFonts w:ascii="宋体" w:hAnsi="宋体"/>
              </w:rPr>
              <w:t>2,591</w:t>
            </w:r>
          </w:p>
        </w:tc>
        <w:tc>
          <w:tcPr>
            <w:tcW w:w="678" w:type="pct"/>
            <w:vAlign w:val="center"/>
          </w:tcPr>
          <w:p>
            <w:pPr>
              <w:ind w:right="5"/>
              <w:jc w:val="right"/>
              <w:rPr>
                <w:rFonts w:ascii="宋体" w:hAnsi="宋体"/>
              </w:rPr>
            </w:pPr>
            <w:r>
              <w:rPr>
                <w:rFonts w:ascii="宋体" w:hAnsi="宋体"/>
              </w:rPr>
              <w:t>2,011,715</w:t>
            </w:r>
          </w:p>
        </w:tc>
        <w:tc>
          <w:tcPr>
            <w:tcW w:w="720" w:type="pct"/>
            <w:vAlign w:val="center"/>
          </w:tcPr>
          <w:p>
            <w:pPr>
              <w:ind w:right="5"/>
              <w:jc w:val="right"/>
              <w:rPr>
                <w:rFonts w:ascii="宋体" w:hAnsi="宋体"/>
              </w:rPr>
            </w:pPr>
            <w:r>
              <w:rPr>
                <w:rFonts w:ascii="宋体" w:hAnsi="宋体"/>
              </w:rPr>
              <w:t>2,105,750</w:t>
            </w:r>
          </w:p>
        </w:tc>
        <w:tc>
          <w:tcPr>
            <w:tcW w:w="750" w:type="pct"/>
            <w:vAlign w:val="center"/>
          </w:tcPr>
          <w:p>
            <w:pPr>
              <w:ind w:right="5"/>
              <w:jc w:val="right"/>
              <w:rPr>
                <w:rFonts w:ascii="宋体" w:hAnsi="宋体"/>
              </w:rPr>
            </w:pPr>
            <w:r>
              <w:rPr>
                <w:rFonts w:ascii="宋体" w:hAnsi="宋体"/>
              </w:rPr>
              <w:t>4,188</w:t>
            </w:r>
          </w:p>
        </w:tc>
        <w:tc>
          <w:tcPr>
            <w:tcW w:w="661" w:type="pct"/>
            <w:vAlign w:val="center"/>
          </w:tcPr>
          <w:p>
            <w:pPr>
              <w:ind w:right="5"/>
              <w:jc w:val="right"/>
              <w:rPr>
                <w:rFonts w:ascii="宋体" w:hAnsi="宋体"/>
              </w:rPr>
            </w:pPr>
            <w:r>
              <w:rPr>
                <w:rFonts w:ascii="宋体" w:hAnsi="宋体"/>
              </w:rPr>
              <w:t>2,101,562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5" w:type="pct"/>
          </w:tcPr>
          <w:p>
            <w:pPr>
              <w:ind w:right="5"/>
            </w:pPr>
            <w:r>
              <w:rPr>
                <w:rFonts w:hint="eastAsia"/>
              </w:rPr>
              <w:t>产成品</w:t>
            </w:r>
          </w:p>
        </w:tc>
        <w:tc>
          <w:tcPr>
            <w:tcW w:w="661" w:type="pct"/>
            <w:vAlign w:val="center"/>
          </w:tcPr>
          <w:p>
            <w:pPr>
              <w:ind w:right="5"/>
              <w:jc w:val="right"/>
              <w:rPr>
                <w:rFonts w:ascii="宋体" w:hAnsi="宋体"/>
              </w:rPr>
            </w:pPr>
            <w:r>
              <w:rPr>
                <w:rFonts w:ascii="宋体" w:hAnsi="宋体"/>
              </w:rPr>
              <w:t>2,130,723</w:t>
            </w:r>
          </w:p>
        </w:tc>
        <w:tc>
          <w:tcPr>
            <w:tcW w:w="745" w:type="pct"/>
            <w:vAlign w:val="center"/>
          </w:tcPr>
          <w:p>
            <w:pPr>
              <w:ind w:right="5"/>
              <w:jc w:val="right"/>
              <w:rPr>
                <w:rFonts w:ascii="宋体" w:hAnsi="宋体"/>
              </w:rPr>
            </w:pPr>
            <w:r>
              <w:rPr>
                <w:rFonts w:ascii="宋体" w:hAnsi="宋体"/>
              </w:rPr>
              <w:t>29,045</w:t>
            </w:r>
          </w:p>
        </w:tc>
        <w:tc>
          <w:tcPr>
            <w:tcW w:w="678" w:type="pct"/>
            <w:vAlign w:val="center"/>
          </w:tcPr>
          <w:p>
            <w:pPr>
              <w:ind w:right="5"/>
              <w:jc w:val="right"/>
              <w:rPr>
                <w:rFonts w:ascii="宋体" w:hAnsi="宋体"/>
              </w:rPr>
            </w:pPr>
            <w:r>
              <w:rPr>
                <w:rFonts w:ascii="宋体" w:hAnsi="宋体"/>
              </w:rPr>
              <w:t>2,101,678</w:t>
            </w:r>
          </w:p>
        </w:tc>
        <w:tc>
          <w:tcPr>
            <w:tcW w:w="720" w:type="pct"/>
            <w:vAlign w:val="center"/>
          </w:tcPr>
          <w:p>
            <w:pPr>
              <w:ind w:right="5"/>
              <w:jc w:val="right"/>
              <w:rPr>
                <w:rFonts w:ascii="宋体" w:hAnsi="宋体"/>
              </w:rPr>
            </w:pPr>
            <w:r>
              <w:rPr>
                <w:rFonts w:ascii="宋体" w:hAnsi="宋体"/>
              </w:rPr>
              <w:t>3,183,915</w:t>
            </w:r>
          </w:p>
        </w:tc>
        <w:tc>
          <w:tcPr>
            <w:tcW w:w="750" w:type="pct"/>
            <w:vAlign w:val="center"/>
          </w:tcPr>
          <w:p>
            <w:pPr>
              <w:ind w:right="5"/>
              <w:jc w:val="right"/>
              <w:rPr>
                <w:rFonts w:ascii="宋体" w:hAnsi="宋体"/>
              </w:rPr>
            </w:pPr>
            <w:r>
              <w:rPr>
                <w:rFonts w:ascii="宋体" w:hAnsi="宋体"/>
              </w:rPr>
              <w:t>53,223</w:t>
            </w:r>
          </w:p>
        </w:tc>
        <w:tc>
          <w:tcPr>
            <w:tcW w:w="661" w:type="pct"/>
            <w:vAlign w:val="center"/>
          </w:tcPr>
          <w:p>
            <w:pPr>
              <w:ind w:right="5"/>
              <w:jc w:val="right"/>
              <w:rPr>
                <w:rFonts w:ascii="宋体" w:hAnsi="宋体"/>
              </w:rPr>
            </w:pPr>
            <w:r>
              <w:rPr>
                <w:rFonts w:ascii="宋体" w:hAnsi="宋体"/>
              </w:rPr>
              <w:t>3,130,692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5" w:type="pct"/>
          </w:tcPr>
          <w:p>
            <w:pPr>
              <w:ind w:right="5"/>
            </w:pPr>
            <w:r>
              <w:rPr>
                <w:rFonts w:hint="eastAsia"/>
              </w:rPr>
              <w:t>库存商品</w:t>
            </w:r>
          </w:p>
        </w:tc>
        <w:tc>
          <w:tcPr>
            <w:tcW w:w="661" w:type="pct"/>
            <w:vAlign w:val="center"/>
          </w:tcPr>
          <w:p>
            <w:pPr>
              <w:ind w:right="5"/>
              <w:jc w:val="right"/>
              <w:rPr>
                <w:rFonts w:ascii="宋体" w:hAnsi="宋体"/>
              </w:rPr>
            </w:pPr>
            <w:r>
              <w:rPr>
                <w:rFonts w:ascii="宋体" w:hAnsi="宋体"/>
              </w:rPr>
              <w:t>2,117,334</w:t>
            </w:r>
          </w:p>
        </w:tc>
        <w:tc>
          <w:tcPr>
            <w:tcW w:w="745" w:type="pct"/>
            <w:vAlign w:val="center"/>
          </w:tcPr>
          <w:p>
            <w:pPr>
              <w:ind w:right="5"/>
              <w:jc w:val="right"/>
              <w:rPr>
                <w:rFonts w:ascii="宋体" w:hAnsi="宋体"/>
              </w:rPr>
            </w:pPr>
            <w:r>
              <w:rPr>
                <w:rFonts w:ascii="宋体" w:hAnsi="宋体"/>
              </w:rPr>
              <w:t>735</w:t>
            </w:r>
          </w:p>
        </w:tc>
        <w:tc>
          <w:tcPr>
            <w:tcW w:w="678" w:type="pct"/>
            <w:vAlign w:val="center"/>
          </w:tcPr>
          <w:p>
            <w:pPr>
              <w:ind w:right="5"/>
              <w:jc w:val="right"/>
              <w:rPr>
                <w:rFonts w:ascii="宋体" w:hAnsi="宋体"/>
              </w:rPr>
            </w:pPr>
            <w:r>
              <w:rPr>
                <w:rFonts w:ascii="宋体" w:hAnsi="宋体"/>
              </w:rPr>
              <w:t>2,116,599</w:t>
            </w:r>
          </w:p>
        </w:tc>
        <w:tc>
          <w:tcPr>
            <w:tcW w:w="720" w:type="pct"/>
            <w:vAlign w:val="center"/>
          </w:tcPr>
          <w:p>
            <w:pPr>
              <w:ind w:right="5"/>
              <w:jc w:val="right"/>
              <w:rPr>
                <w:rFonts w:ascii="宋体" w:hAnsi="宋体"/>
              </w:rPr>
            </w:pPr>
            <w:r>
              <w:rPr>
                <w:rFonts w:ascii="宋体" w:hAnsi="宋体"/>
              </w:rPr>
              <w:t>2,830,813</w:t>
            </w:r>
          </w:p>
        </w:tc>
        <w:tc>
          <w:tcPr>
            <w:tcW w:w="750" w:type="pct"/>
            <w:vAlign w:val="center"/>
          </w:tcPr>
          <w:p>
            <w:pPr>
              <w:ind w:right="5"/>
              <w:jc w:val="right"/>
              <w:rPr>
                <w:rFonts w:ascii="宋体" w:hAnsi="宋体"/>
              </w:rPr>
            </w:pPr>
            <w:r>
              <w:rPr>
                <w:rFonts w:ascii="宋体" w:hAnsi="宋体"/>
              </w:rPr>
              <w:t>735</w:t>
            </w:r>
          </w:p>
        </w:tc>
        <w:tc>
          <w:tcPr>
            <w:tcW w:w="661" w:type="pct"/>
            <w:vAlign w:val="center"/>
          </w:tcPr>
          <w:p>
            <w:pPr>
              <w:ind w:right="5"/>
              <w:jc w:val="right"/>
              <w:rPr>
                <w:rFonts w:ascii="宋体" w:hAnsi="宋体"/>
              </w:rPr>
            </w:pPr>
            <w:r>
              <w:rPr>
                <w:rFonts w:ascii="宋体" w:hAnsi="宋体"/>
              </w:rPr>
              <w:t>2,830,078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5" w:type="pct"/>
            <w:vAlign w:val="center"/>
          </w:tcPr>
          <w:p>
            <w:pPr>
              <w:ind w:right="5"/>
            </w:pPr>
            <w:r>
              <w:rPr>
                <w:rFonts w:hint="eastAsia" w:cs="宋体" w:asciiTheme="majorEastAsia" w:hAnsiTheme="majorEastAsia" w:eastAsiaTheme="majorEastAsia"/>
                <w:sz w:val="22"/>
                <w:szCs w:val="22"/>
              </w:rPr>
              <w:t>低值易耗品</w:t>
            </w:r>
          </w:p>
        </w:tc>
        <w:tc>
          <w:tcPr>
            <w:tcW w:w="661" w:type="pct"/>
            <w:vAlign w:val="center"/>
          </w:tcPr>
          <w:p>
            <w:pPr>
              <w:ind w:right="5"/>
              <w:jc w:val="right"/>
              <w:rPr>
                <w:rFonts w:ascii="宋体" w:hAnsi="宋体"/>
              </w:rPr>
            </w:pPr>
            <w:r>
              <w:rPr>
                <w:rFonts w:ascii="宋体" w:hAnsi="宋体"/>
              </w:rPr>
              <w:t>772,088</w:t>
            </w:r>
          </w:p>
        </w:tc>
        <w:tc>
          <w:tcPr>
            <w:tcW w:w="745" w:type="pct"/>
            <w:vAlign w:val="center"/>
          </w:tcPr>
          <w:p>
            <w:pPr>
              <w:ind w:right="5"/>
              <w:jc w:val="right"/>
              <w:rPr>
                <w:rFonts w:ascii="宋体" w:hAnsi="宋体"/>
              </w:rPr>
            </w:pPr>
          </w:p>
        </w:tc>
        <w:tc>
          <w:tcPr>
            <w:tcW w:w="678" w:type="pct"/>
            <w:vAlign w:val="center"/>
          </w:tcPr>
          <w:p>
            <w:pPr>
              <w:ind w:right="5"/>
              <w:jc w:val="right"/>
              <w:rPr>
                <w:rFonts w:ascii="宋体" w:hAnsi="宋体"/>
              </w:rPr>
            </w:pPr>
            <w:r>
              <w:rPr>
                <w:rFonts w:ascii="宋体" w:hAnsi="宋体"/>
              </w:rPr>
              <w:t>772,088</w:t>
            </w:r>
          </w:p>
        </w:tc>
        <w:tc>
          <w:tcPr>
            <w:tcW w:w="720" w:type="pct"/>
            <w:vAlign w:val="center"/>
          </w:tcPr>
          <w:p>
            <w:pPr>
              <w:ind w:right="5"/>
              <w:jc w:val="right"/>
              <w:rPr>
                <w:rFonts w:ascii="宋体" w:hAnsi="宋体"/>
              </w:rPr>
            </w:pPr>
            <w:r>
              <w:rPr>
                <w:rFonts w:ascii="宋体" w:hAnsi="宋体"/>
              </w:rPr>
              <w:t xml:space="preserve">664,020 </w:t>
            </w:r>
          </w:p>
        </w:tc>
        <w:tc>
          <w:tcPr>
            <w:tcW w:w="750" w:type="pct"/>
            <w:vAlign w:val="center"/>
          </w:tcPr>
          <w:p>
            <w:pPr>
              <w:ind w:right="5"/>
              <w:jc w:val="right"/>
              <w:rPr>
                <w:rFonts w:ascii="宋体" w:hAnsi="宋体"/>
              </w:rPr>
            </w:pPr>
          </w:p>
        </w:tc>
        <w:tc>
          <w:tcPr>
            <w:tcW w:w="661" w:type="pct"/>
            <w:vAlign w:val="center"/>
          </w:tcPr>
          <w:p>
            <w:pPr>
              <w:ind w:right="5"/>
              <w:jc w:val="right"/>
              <w:rPr>
                <w:rFonts w:ascii="宋体" w:hAnsi="宋体"/>
              </w:rPr>
            </w:pPr>
            <w:r>
              <w:rPr>
                <w:rFonts w:ascii="宋体" w:hAnsi="宋体"/>
              </w:rPr>
              <w:t>664,020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5" w:type="pct"/>
            <w:vAlign w:val="center"/>
          </w:tcPr>
          <w:p>
            <w:pPr>
              <w:ind w:right="5"/>
            </w:pPr>
            <w:r>
              <w:rPr>
                <w:rFonts w:hint="eastAsia" w:cs="宋体" w:asciiTheme="majorEastAsia" w:hAnsiTheme="majorEastAsia" w:eastAsiaTheme="majorEastAsia"/>
                <w:sz w:val="22"/>
                <w:szCs w:val="22"/>
              </w:rPr>
              <w:t>在产品</w:t>
            </w:r>
          </w:p>
        </w:tc>
        <w:tc>
          <w:tcPr>
            <w:tcW w:w="661" w:type="pct"/>
            <w:vAlign w:val="center"/>
          </w:tcPr>
          <w:p>
            <w:pPr>
              <w:ind w:right="5"/>
              <w:jc w:val="right"/>
              <w:rPr>
                <w:rFonts w:ascii="宋体" w:hAnsi="宋体"/>
              </w:rPr>
            </w:pPr>
            <w:r>
              <w:rPr>
                <w:rFonts w:ascii="宋体" w:hAnsi="宋体"/>
              </w:rPr>
              <w:t>561,648</w:t>
            </w:r>
          </w:p>
        </w:tc>
        <w:tc>
          <w:tcPr>
            <w:tcW w:w="745" w:type="pct"/>
            <w:vAlign w:val="center"/>
          </w:tcPr>
          <w:p>
            <w:pPr>
              <w:ind w:right="5"/>
              <w:jc w:val="right"/>
              <w:rPr>
                <w:rFonts w:ascii="宋体" w:hAnsi="宋体"/>
              </w:rPr>
            </w:pPr>
          </w:p>
        </w:tc>
        <w:tc>
          <w:tcPr>
            <w:tcW w:w="678" w:type="pct"/>
            <w:vAlign w:val="center"/>
          </w:tcPr>
          <w:p>
            <w:pPr>
              <w:ind w:right="5"/>
              <w:jc w:val="right"/>
              <w:rPr>
                <w:rFonts w:ascii="宋体" w:hAnsi="宋体"/>
              </w:rPr>
            </w:pPr>
            <w:r>
              <w:rPr>
                <w:rFonts w:ascii="宋体" w:hAnsi="宋体"/>
              </w:rPr>
              <w:t>561,648</w:t>
            </w:r>
          </w:p>
        </w:tc>
        <w:tc>
          <w:tcPr>
            <w:tcW w:w="720" w:type="pct"/>
            <w:vAlign w:val="center"/>
          </w:tcPr>
          <w:p>
            <w:pPr>
              <w:ind w:right="5"/>
              <w:jc w:val="right"/>
              <w:rPr>
                <w:rFonts w:ascii="宋体" w:hAnsi="宋体"/>
              </w:rPr>
            </w:pPr>
            <w:r>
              <w:rPr>
                <w:rFonts w:ascii="宋体" w:hAnsi="宋体"/>
              </w:rPr>
              <w:t>397,386</w:t>
            </w:r>
          </w:p>
        </w:tc>
        <w:tc>
          <w:tcPr>
            <w:tcW w:w="750" w:type="pct"/>
            <w:vAlign w:val="center"/>
          </w:tcPr>
          <w:p>
            <w:pPr>
              <w:ind w:right="5"/>
              <w:jc w:val="right"/>
              <w:rPr>
                <w:rFonts w:ascii="宋体" w:hAnsi="宋体"/>
              </w:rPr>
            </w:pPr>
          </w:p>
        </w:tc>
        <w:tc>
          <w:tcPr>
            <w:tcW w:w="661" w:type="pct"/>
            <w:vAlign w:val="center"/>
          </w:tcPr>
          <w:p>
            <w:pPr>
              <w:ind w:right="5"/>
              <w:jc w:val="right"/>
              <w:rPr>
                <w:rFonts w:ascii="宋体" w:hAnsi="宋体"/>
              </w:rPr>
            </w:pPr>
            <w:r>
              <w:rPr>
                <w:rFonts w:ascii="宋体" w:hAnsi="宋体"/>
              </w:rPr>
              <w:t>397,386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5" w:type="pct"/>
            <w:vAlign w:val="center"/>
          </w:tcPr>
          <w:p>
            <w:pPr>
              <w:ind w:right="5"/>
            </w:pPr>
            <w:r>
              <w:rPr>
                <w:rFonts w:hint="eastAsia" w:cs="宋体" w:asciiTheme="majorEastAsia" w:hAnsiTheme="majorEastAsia" w:eastAsiaTheme="majorEastAsia"/>
                <w:sz w:val="22"/>
                <w:szCs w:val="22"/>
              </w:rPr>
              <w:t>工程存货</w:t>
            </w:r>
          </w:p>
        </w:tc>
        <w:tc>
          <w:tcPr>
            <w:tcW w:w="661" w:type="pct"/>
            <w:vAlign w:val="center"/>
          </w:tcPr>
          <w:p>
            <w:pPr>
              <w:ind w:right="5"/>
              <w:jc w:val="right"/>
              <w:rPr>
                <w:rFonts w:ascii="宋体" w:hAnsi="宋体"/>
              </w:rPr>
            </w:pPr>
            <w:r>
              <w:rPr>
                <w:rFonts w:ascii="宋体" w:hAnsi="宋体"/>
              </w:rPr>
              <w:t>83,066</w:t>
            </w:r>
          </w:p>
        </w:tc>
        <w:tc>
          <w:tcPr>
            <w:tcW w:w="745" w:type="pct"/>
            <w:vAlign w:val="center"/>
          </w:tcPr>
          <w:p>
            <w:pPr>
              <w:ind w:right="5"/>
              <w:jc w:val="right"/>
              <w:rPr>
                <w:rFonts w:ascii="宋体" w:hAnsi="宋体"/>
              </w:rPr>
            </w:pPr>
            <w:r>
              <w:rPr>
                <w:rFonts w:ascii="宋体" w:hAnsi="宋体"/>
              </w:rPr>
              <w:t>64,230</w:t>
            </w:r>
          </w:p>
        </w:tc>
        <w:tc>
          <w:tcPr>
            <w:tcW w:w="678" w:type="pct"/>
            <w:vAlign w:val="center"/>
          </w:tcPr>
          <w:p>
            <w:pPr>
              <w:ind w:right="5"/>
              <w:jc w:val="right"/>
              <w:rPr>
                <w:rFonts w:ascii="宋体" w:hAnsi="宋体"/>
              </w:rPr>
            </w:pPr>
            <w:r>
              <w:rPr>
                <w:rFonts w:ascii="宋体" w:hAnsi="宋体"/>
              </w:rPr>
              <w:t>18,836</w:t>
            </w:r>
          </w:p>
        </w:tc>
        <w:tc>
          <w:tcPr>
            <w:tcW w:w="720" w:type="pct"/>
            <w:vAlign w:val="center"/>
          </w:tcPr>
          <w:p>
            <w:pPr>
              <w:ind w:right="5"/>
              <w:jc w:val="right"/>
              <w:rPr>
                <w:rFonts w:ascii="宋体" w:hAnsi="宋体"/>
              </w:rPr>
            </w:pPr>
            <w:r>
              <w:rPr>
                <w:rFonts w:ascii="宋体" w:hAnsi="宋体"/>
              </w:rPr>
              <w:t>106,097</w:t>
            </w:r>
          </w:p>
        </w:tc>
        <w:tc>
          <w:tcPr>
            <w:tcW w:w="750" w:type="pct"/>
            <w:vAlign w:val="center"/>
          </w:tcPr>
          <w:p>
            <w:pPr>
              <w:ind w:right="5"/>
              <w:jc w:val="right"/>
              <w:rPr>
                <w:rFonts w:ascii="宋体" w:hAnsi="宋体"/>
              </w:rPr>
            </w:pPr>
            <w:r>
              <w:rPr>
                <w:rFonts w:ascii="宋体" w:hAnsi="宋体"/>
              </w:rPr>
              <w:t>68,614</w:t>
            </w:r>
          </w:p>
        </w:tc>
        <w:tc>
          <w:tcPr>
            <w:tcW w:w="661" w:type="pct"/>
            <w:vAlign w:val="center"/>
          </w:tcPr>
          <w:p>
            <w:pPr>
              <w:ind w:right="5"/>
              <w:jc w:val="right"/>
              <w:rPr>
                <w:rFonts w:ascii="宋体" w:hAnsi="宋体"/>
              </w:rPr>
            </w:pPr>
            <w:r>
              <w:rPr>
                <w:rFonts w:ascii="宋体" w:hAnsi="宋体"/>
              </w:rPr>
              <w:t>37,483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5" w:type="pct"/>
            <w:vAlign w:val="center"/>
          </w:tcPr>
          <w:p>
            <w:pPr>
              <w:ind w:right="5"/>
            </w:pPr>
            <w:r>
              <w:rPr>
                <w:rFonts w:hint="eastAsia" w:cs="宋体" w:asciiTheme="majorEastAsia" w:hAnsiTheme="majorEastAsia" w:eastAsiaTheme="majorEastAsia"/>
                <w:sz w:val="22"/>
                <w:szCs w:val="22"/>
              </w:rPr>
              <w:t>房地产开发成本</w:t>
            </w:r>
          </w:p>
        </w:tc>
        <w:tc>
          <w:tcPr>
            <w:tcW w:w="661" w:type="pct"/>
            <w:vAlign w:val="center"/>
          </w:tcPr>
          <w:p>
            <w:pPr>
              <w:ind w:right="5"/>
              <w:jc w:val="right"/>
              <w:rPr>
                <w:rFonts w:ascii="宋体" w:hAnsi="宋体"/>
              </w:rPr>
            </w:pPr>
            <w:r>
              <w:rPr>
                <w:rFonts w:ascii="宋体" w:hAnsi="宋体"/>
              </w:rPr>
              <w:t>16,922</w:t>
            </w:r>
          </w:p>
        </w:tc>
        <w:tc>
          <w:tcPr>
            <w:tcW w:w="745" w:type="pct"/>
            <w:vAlign w:val="center"/>
          </w:tcPr>
          <w:p>
            <w:pPr>
              <w:ind w:right="5"/>
              <w:jc w:val="right"/>
              <w:rPr>
                <w:rFonts w:ascii="宋体" w:hAnsi="宋体"/>
              </w:rPr>
            </w:pPr>
            <w:r>
              <w:rPr>
                <w:rFonts w:ascii="宋体" w:hAnsi="宋体"/>
              </w:rPr>
              <w:t>3,027</w:t>
            </w:r>
          </w:p>
        </w:tc>
        <w:tc>
          <w:tcPr>
            <w:tcW w:w="678" w:type="pct"/>
            <w:vAlign w:val="center"/>
          </w:tcPr>
          <w:p>
            <w:pPr>
              <w:ind w:right="5"/>
              <w:jc w:val="right"/>
              <w:rPr>
                <w:rFonts w:ascii="宋体" w:hAnsi="宋体"/>
              </w:rPr>
            </w:pPr>
            <w:r>
              <w:rPr>
                <w:rFonts w:ascii="宋体" w:hAnsi="宋体"/>
              </w:rPr>
              <w:t>13,895</w:t>
            </w:r>
          </w:p>
        </w:tc>
        <w:tc>
          <w:tcPr>
            <w:tcW w:w="720" w:type="pct"/>
            <w:vAlign w:val="center"/>
          </w:tcPr>
          <w:p>
            <w:pPr>
              <w:ind w:right="5"/>
              <w:jc w:val="right"/>
              <w:rPr>
                <w:rFonts w:ascii="宋体" w:hAnsi="宋体"/>
              </w:rPr>
            </w:pPr>
            <w:r>
              <w:rPr>
                <w:rFonts w:ascii="宋体" w:hAnsi="宋体"/>
              </w:rPr>
              <w:t>751,646</w:t>
            </w:r>
          </w:p>
        </w:tc>
        <w:tc>
          <w:tcPr>
            <w:tcW w:w="750" w:type="pct"/>
            <w:vAlign w:val="center"/>
          </w:tcPr>
          <w:p>
            <w:pPr>
              <w:ind w:right="5"/>
              <w:jc w:val="right"/>
              <w:rPr>
                <w:rFonts w:ascii="宋体" w:hAnsi="宋体"/>
              </w:rPr>
            </w:pPr>
            <w:r>
              <w:rPr>
                <w:rFonts w:ascii="宋体" w:hAnsi="宋体"/>
              </w:rPr>
              <w:t>237,265</w:t>
            </w:r>
          </w:p>
        </w:tc>
        <w:tc>
          <w:tcPr>
            <w:tcW w:w="661" w:type="pct"/>
            <w:vAlign w:val="center"/>
          </w:tcPr>
          <w:p>
            <w:pPr>
              <w:ind w:right="5"/>
              <w:jc w:val="right"/>
              <w:rPr>
                <w:rFonts w:ascii="宋体" w:hAnsi="宋体"/>
              </w:rPr>
            </w:pPr>
            <w:r>
              <w:rPr>
                <w:rFonts w:ascii="宋体" w:hAnsi="宋体"/>
              </w:rPr>
              <w:t>514,381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5" w:type="pct"/>
            <w:vAlign w:val="center"/>
          </w:tcPr>
          <w:p>
            <w:pPr>
              <w:ind w:right="5"/>
              <w:rPr>
                <w:rFonts w:cs="宋体" w:asciiTheme="majorEastAsia" w:hAnsiTheme="majorEastAsia" w:eastAsiaTheme="majorEastAsia"/>
                <w:sz w:val="22"/>
                <w:szCs w:val="22"/>
              </w:rPr>
            </w:pPr>
            <w:r>
              <w:rPr>
                <w:rFonts w:hint="eastAsia" w:cs="宋体" w:asciiTheme="majorEastAsia" w:hAnsiTheme="majorEastAsia" w:eastAsiaTheme="majorEastAsia"/>
                <w:sz w:val="22"/>
                <w:szCs w:val="22"/>
              </w:rPr>
              <w:t>其他</w:t>
            </w:r>
          </w:p>
        </w:tc>
        <w:tc>
          <w:tcPr>
            <w:tcW w:w="661" w:type="pct"/>
            <w:vAlign w:val="center"/>
          </w:tcPr>
          <w:p>
            <w:pPr>
              <w:ind w:right="5"/>
              <w:jc w:val="right"/>
              <w:rPr>
                <w:rFonts w:ascii="宋体" w:hAnsi="宋体"/>
              </w:rPr>
            </w:pPr>
            <w:r>
              <w:rPr>
                <w:rFonts w:ascii="宋体" w:hAnsi="宋体"/>
              </w:rPr>
              <w:t>145,451</w:t>
            </w:r>
          </w:p>
        </w:tc>
        <w:tc>
          <w:tcPr>
            <w:tcW w:w="745" w:type="pct"/>
            <w:vAlign w:val="center"/>
          </w:tcPr>
          <w:p>
            <w:pPr>
              <w:ind w:right="5"/>
              <w:jc w:val="right"/>
              <w:rPr>
                <w:rFonts w:ascii="宋体" w:hAnsi="宋体"/>
              </w:rPr>
            </w:pPr>
          </w:p>
        </w:tc>
        <w:tc>
          <w:tcPr>
            <w:tcW w:w="678" w:type="pct"/>
            <w:vAlign w:val="center"/>
          </w:tcPr>
          <w:p>
            <w:pPr>
              <w:ind w:right="5"/>
              <w:jc w:val="right"/>
              <w:rPr>
                <w:rFonts w:ascii="宋体" w:hAnsi="宋体"/>
              </w:rPr>
            </w:pPr>
            <w:r>
              <w:rPr>
                <w:rFonts w:ascii="宋体" w:hAnsi="宋体"/>
              </w:rPr>
              <w:t>145,451</w:t>
            </w:r>
          </w:p>
        </w:tc>
        <w:tc>
          <w:tcPr>
            <w:tcW w:w="720" w:type="pct"/>
            <w:vAlign w:val="center"/>
          </w:tcPr>
          <w:p>
            <w:pPr>
              <w:ind w:right="5"/>
              <w:jc w:val="right"/>
              <w:rPr>
                <w:rFonts w:ascii="宋体" w:hAnsi="宋体"/>
              </w:rPr>
            </w:pPr>
          </w:p>
        </w:tc>
        <w:tc>
          <w:tcPr>
            <w:tcW w:w="750" w:type="pct"/>
            <w:vAlign w:val="center"/>
          </w:tcPr>
          <w:p>
            <w:pPr>
              <w:ind w:right="5"/>
              <w:jc w:val="right"/>
              <w:rPr>
                <w:rFonts w:ascii="宋体" w:hAnsi="宋体"/>
              </w:rPr>
            </w:pPr>
          </w:p>
        </w:tc>
        <w:tc>
          <w:tcPr>
            <w:tcW w:w="661" w:type="pct"/>
            <w:vAlign w:val="center"/>
          </w:tcPr>
          <w:p>
            <w:pPr>
              <w:ind w:right="5"/>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5" w:type="pct"/>
          </w:tcPr>
          <w:p>
            <w:pPr>
              <w:ind w:right="5"/>
              <w:jc w:val="center"/>
            </w:pPr>
            <w:r>
              <w:rPr>
                <w:rFonts w:hint="eastAsia"/>
              </w:rPr>
              <w:t>合计</w:t>
            </w:r>
          </w:p>
        </w:tc>
        <w:tc>
          <w:tcPr>
            <w:tcW w:w="661" w:type="pct"/>
            <w:vAlign w:val="center"/>
          </w:tcPr>
          <w:p>
            <w:pPr>
              <w:ind w:right="5"/>
              <w:jc w:val="right"/>
              <w:rPr>
                <w:rFonts w:ascii="宋体" w:hAnsi="宋体"/>
              </w:rPr>
            </w:pPr>
            <w:r>
              <w:rPr>
                <w:rFonts w:ascii="宋体" w:hAnsi="宋体"/>
              </w:rPr>
              <w:t>7,841,538</w:t>
            </w:r>
          </w:p>
        </w:tc>
        <w:tc>
          <w:tcPr>
            <w:tcW w:w="745" w:type="pct"/>
            <w:vAlign w:val="center"/>
          </w:tcPr>
          <w:p>
            <w:pPr>
              <w:ind w:right="5"/>
              <w:jc w:val="right"/>
              <w:rPr>
                <w:rFonts w:ascii="宋体" w:hAnsi="宋体"/>
              </w:rPr>
            </w:pPr>
            <w:r>
              <w:rPr>
                <w:rFonts w:ascii="宋体" w:hAnsi="宋体"/>
              </w:rPr>
              <w:t>99,628</w:t>
            </w:r>
          </w:p>
        </w:tc>
        <w:tc>
          <w:tcPr>
            <w:tcW w:w="678" w:type="pct"/>
            <w:vAlign w:val="center"/>
          </w:tcPr>
          <w:p>
            <w:pPr>
              <w:ind w:right="5"/>
              <w:jc w:val="right"/>
              <w:rPr>
                <w:rFonts w:ascii="宋体" w:hAnsi="宋体"/>
              </w:rPr>
            </w:pPr>
            <w:r>
              <w:rPr>
                <w:rFonts w:ascii="宋体" w:hAnsi="宋体"/>
              </w:rPr>
              <w:t>7,741,910</w:t>
            </w:r>
          </w:p>
        </w:tc>
        <w:tc>
          <w:tcPr>
            <w:tcW w:w="720" w:type="pct"/>
            <w:vAlign w:val="center"/>
          </w:tcPr>
          <w:p>
            <w:pPr>
              <w:ind w:right="5"/>
              <w:jc w:val="right"/>
              <w:rPr>
                <w:rFonts w:ascii="宋体" w:hAnsi="宋体"/>
              </w:rPr>
            </w:pPr>
            <w:r>
              <w:rPr>
                <w:rFonts w:ascii="宋体" w:hAnsi="宋体"/>
              </w:rPr>
              <w:t>10,039,627</w:t>
            </w:r>
          </w:p>
        </w:tc>
        <w:tc>
          <w:tcPr>
            <w:tcW w:w="750" w:type="pct"/>
            <w:vAlign w:val="center"/>
          </w:tcPr>
          <w:p>
            <w:pPr>
              <w:ind w:right="5"/>
              <w:jc w:val="right"/>
              <w:rPr>
                <w:rFonts w:ascii="宋体" w:hAnsi="宋体"/>
              </w:rPr>
            </w:pPr>
            <w:r>
              <w:rPr>
                <w:rFonts w:ascii="宋体" w:hAnsi="宋体"/>
              </w:rPr>
              <w:t>364,025</w:t>
            </w:r>
          </w:p>
        </w:tc>
        <w:tc>
          <w:tcPr>
            <w:tcW w:w="661" w:type="pct"/>
            <w:vAlign w:val="center"/>
          </w:tcPr>
          <w:p>
            <w:pPr>
              <w:ind w:right="5"/>
              <w:jc w:val="right"/>
              <w:rPr>
                <w:rFonts w:ascii="宋体" w:hAnsi="宋体"/>
              </w:rPr>
            </w:pPr>
            <w:r>
              <w:rPr>
                <w:rFonts w:ascii="宋体" w:hAnsi="宋体"/>
              </w:rPr>
              <w:t>9,675,602</w:t>
            </w:r>
          </w:p>
        </w:tc>
      </w:tr>
      <w:bookmarkEnd w:id="263"/>
      <w:bookmarkEnd w:id="264"/>
    </w:tbl>
    <w:p>
      <w:pPr>
        <w:pStyle w:val="505"/>
        <w:numPr>
          <w:ilvl w:val="3"/>
          <w:numId w:val="78"/>
        </w:numPr>
        <w:ind w:left="426" w:hanging="426"/>
      </w:pPr>
      <w:r>
        <w:t>存货跌价准备及合同履约成本减值准备</w:t>
      </w:r>
    </w:p>
    <w:tbl>
      <w:tblPr>
        <w:tblStyle w:val="9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103"/>
        <w:gridCol w:w="1103"/>
        <w:gridCol w:w="1103"/>
        <w:gridCol w:w="1103"/>
        <w:gridCol w:w="1103"/>
        <w:gridCol w:w="1103"/>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02" w:type="dxa"/>
            <w:vMerge w:val="restart"/>
            <w:vAlign w:val="center"/>
          </w:tcPr>
          <w:p>
            <w:pPr>
              <w:jc w:val="center"/>
              <w:rPr>
                <w:rFonts w:ascii="宋体" w:hAnsi="宋体"/>
              </w:rPr>
            </w:pPr>
            <w:r>
              <w:rPr>
                <w:rFonts w:hint="eastAsia" w:ascii="宋体" w:hAnsi="宋体"/>
              </w:rPr>
              <w:t>项目</w:t>
            </w:r>
          </w:p>
        </w:tc>
        <w:tc>
          <w:tcPr>
            <w:tcW w:w="1103" w:type="dxa"/>
            <w:vMerge w:val="restart"/>
            <w:vAlign w:val="center"/>
          </w:tcPr>
          <w:p>
            <w:pPr>
              <w:jc w:val="center"/>
              <w:rPr>
                <w:rFonts w:ascii="宋体" w:hAnsi="宋体"/>
              </w:rPr>
            </w:pPr>
            <w:r>
              <w:rPr>
                <w:rFonts w:hint="eastAsia" w:ascii="宋体" w:hAnsi="宋体"/>
              </w:rPr>
              <w:t>年初余额</w:t>
            </w:r>
          </w:p>
        </w:tc>
        <w:tc>
          <w:tcPr>
            <w:tcW w:w="2206" w:type="dxa"/>
            <w:gridSpan w:val="2"/>
            <w:vAlign w:val="center"/>
          </w:tcPr>
          <w:p>
            <w:pPr>
              <w:jc w:val="center"/>
              <w:rPr>
                <w:rFonts w:ascii="宋体" w:hAnsi="宋体"/>
              </w:rPr>
            </w:pPr>
            <w:r>
              <w:rPr>
                <w:rFonts w:hint="eastAsia" w:ascii="宋体" w:hAnsi="宋体"/>
              </w:rPr>
              <w:t>本年增加</w:t>
            </w:r>
          </w:p>
        </w:tc>
        <w:tc>
          <w:tcPr>
            <w:tcW w:w="2206" w:type="dxa"/>
            <w:gridSpan w:val="2"/>
            <w:vAlign w:val="center"/>
          </w:tcPr>
          <w:p>
            <w:pPr>
              <w:jc w:val="center"/>
              <w:rPr>
                <w:rFonts w:ascii="宋体" w:hAnsi="宋体"/>
              </w:rPr>
            </w:pPr>
            <w:r>
              <w:rPr>
                <w:rFonts w:hint="eastAsia" w:ascii="宋体" w:hAnsi="宋体"/>
              </w:rPr>
              <w:t>本年减少</w:t>
            </w:r>
          </w:p>
        </w:tc>
        <w:tc>
          <w:tcPr>
            <w:tcW w:w="1103" w:type="dxa"/>
            <w:vMerge w:val="restart"/>
            <w:vAlign w:val="center"/>
          </w:tcPr>
          <w:p>
            <w:pPr>
              <w:jc w:val="center"/>
              <w:rPr>
                <w:rFonts w:ascii="宋体" w:hAnsi="宋体"/>
              </w:rPr>
            </w:pPr>
            <w:r>
              <w:rPr>
                <w:rFonts w:hint="eastAsia" w:ascii="宋体" w:hAnsi="宋体"/>
              </w:rPr>
              <w:t>外币报表折算</w:t>
            </w:r>
          </w:p>
        </w:tc>
        <w:tc>
          <w:tcPr>
            <w:tcW w:w="1103" w:type="dxa"/>
            <w:vMerge w:val="restart"/>
            <w:vAlign w:val="center"/>
          </w:tcPr>
          <w:p>
            <w:pPr>
              <w:jc w:val="center"/>
              <w:rPr>
                <w:rFonts w:ascii="宋体" w:hAnsi="宋体"/>
              </w:rPr>
            </w:pPr>
            <w:r>
              <w:rPr>
                <w:rFonts w:hint="eastAsia" w:ascii="宋体" w:hAnsi="宋体"/>
              </w:rPr>
              <w:t>年末余额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02" w:type="dxa"/>
            <w:vMerge w:val="continue"/>
          </w:tcPr>
          <w:p>
            <w:pPr>
              <w:rPr>
                <w:rFonts w:ascii="宋体" w:hAnsi="宋体"/>
              </w:rPr>
            </w:pPr>
          </w:p>
        </w:tc>
        <w:tc>
          <w:tcPr>
            <w:tcW w:w="1103" w:type="dxa"/>
            <w:vMerge w:val="continue"/>
          </w:tcPr>
          <w:p>
            <w:pPr>
              <w:rPr>
                <w:rFonts w:ascii="宋体" w:hAnsi="宋体"/>
              </w:rPr>
            </w:pPr>
          </w:p>
        </w:tc>
        <w:tc>
          <w:tcPr>
            <w:tcW w:w="1103" w:type="dxa"/>
            <w:vAlign w:val="center"/>
          </w:tcPr>
          <w:p>
            <w:pPr>
              <w:jc w:val="center"/>
              <w:rPr>
                <w:rFonts w:ascii="宋体" w:hAnsi="宋体"/>
              </w:rPr>
            </w:pPr>
            <w:r>
              <w:rPr>
                <w:rFonts w:hint="eastAsia" w:ascii="宋体" w:hAnsi="宋体"/>
              </w:rPr>
              <w:t>计提</w:t>
            </w:r>
          </w:p>
        </w:tc>
        <w:tc>
          <w:tcPr>
            <w:tcW w:w="1103" w:type="dxa"/>
            <w:vAlign w:val="center"/>
          </w:tcPr>
          <w:p>
            <w:pPr>
              <w:jc w:val="center"/>
              <w:rPr>
                <w:rFonts w:ascii="宋体" w:hAnsi="宋体"/>
              </w:rPr>
            </w:pPr>
            <w:r>
              <w:rPr>
                <w:rFonts w:hint="eastAsia" w:ascii="宋体" w:hAnsi="宋体"/>
              </w:rPr>
              <w:t>其他</w:t>
            </w:r>
          </w:p>
        </w:tc>
        <w:tc>
          <w:tcPr>
            <w:tcW w:w="1103" w:type="dxa"/>
            <w:vAlign w:val="center"/>
          </w:tcPr>
          <w:p>
            <w:pPr>
              <w:jc w:val="center"/>
              <w:rPr>
                <w:rFonts w:ascii="宋体" w:hAnsi="宋体"/>
              </w:rPr>
            </w:pPr>
            <w:r>
              <w:rPr>
                <w:rFonts w:hint="eastAsia" w:ascii="宋体" w:hAnsi="宋体"/>
              </w:rPr>
              <w:t>转回或转销</w:t>
            </w:r>
          </w:p>
        </w:tc>
        <w:tc>
          <w:tcPr>
            <w:tcW w:w="1103" w:type="dxa"/>
            <w:vAlign w:val="center"/>
          </w:tcPr>
          <w:p>
            <w:pPr>
              <w:jc w:val="center"/>
              <w:rPr>
                <w:rFonts w:ascii="宋体" w:hAnsi="宋体"/>
              </w:rPr>
            </w:pPr>
            <w:r>
              <w:rPr>
                <w:rFonts w:hint="eastAsia" w:ascii="宋体" w:hAnsi="宋体"/>
              </w:rPr>
              <w:t>其他</w:t>
            </w:r>
          </w:p>
        </w:tc>
        <w:tc>
          <w:tcPr>
            <w:tcW w:w="1103" w:type="dxa"/>
            <w:vMerge w:val="continue"/>
          </w:tcPr>
          <w:p>
            <w:pPr>
              <w:rPr>
                <w:rFonts w:ascii="宋体" w:hAnsi="宋体"/>
              </w:rPr>
            </w:pPr>
          </w:p>
        </w:tc>
        <w:tc>
          <w:tcPr>
            <w:tcW w:w="1103" w:type="dxa"/>
            <w:vMerge w:val="continue"/>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rPr>
                <w:rFonts w:ascii="宋体" w:hAnsi="宋体"/>
              </w:rPr>
            </w:pPr>
            <w:r>
              <w:rPr>
                <w:rFonts w:hint="eastAsia" w:ascii="宋体" w:hAnsi="宋体" w:cs="宋体"/>
              </w:rPr>
              <w:t>原材料</w:t>
            </w:r>
          </w:p>
        </w:tc>
        <w:tc>
          <w:tcPr>
            <w:tcW w:w="1103" w:type="dxa"/>
            <w:vAlign w:val="center"/>
          </w:tcPr>
          <w:p>
            <w:pPr>
              <w:jc w:val="right"/>
              <w:rPr>
                <w:rFonts w:ascii="宋体" w:hAnsi="宋体"/>
              </w:rPr>
            </w:pPr>
            <w:r>
              <w:rPr>
                <w:rFonts w:hint="eastAsia" w:ascii="宋体" w:hAnsi="宋体"/>
              </w:rPr>
              <w:t>4,188</w:t>
            </w:r>
          </w:p>
        </w:tc>
        <w:tc>
          <w:tcPr>
            <w:tcW w:w="1103" w:type="dxa"/>
            <w:vAlign w:val="center"/>
          </w:tcPr>
          <w:p>
            <w:pPr>
              <w:jc w:val="right"/>
              <w:rPr>
                <w:rFonts w:ascii="宋体" w:hAnsi="宋体"/>
              </w:rPr>
            </w:pPr>
          </w:p>
        </w:tc>
        <w:tc>
          <w:tcPr>
            <w:tcW w:w="1103" w:type="dxa"/>
            <w:vAlign w:val="center"/>
          </w:tcPr>
          <w:p>
            <w:pPr>
              <w:jc w:val="right"/>
              <w:rPr>
                <w:rFonts w:ascii="宋体" w:hAnsi="宋体"/>
              </w:rPr>
            </w:pPr>
          </w:p>
        </w:tc>
        <w:tc>
          <w:tcPr>
            <w:tcW w:w="1103" w:type="dxa"/>
            <w:vAlign w:val="center"/>
          </w:tcPr>
          <w:p>
            <w:pPr>
              <w:jc w:val="right"/>
              <w:rPr>
                <w:rFonts w:ascii="宋体" w:hAnsi="宋体"/>
              </w:rPr>
            </w:pPr>
            <w:r>
              <w:rPr>
                <w:rFonts w:hint="eastAsia" w:ascii="宋体" w:hAnsi="宋体"/>
              </w:rPr>
              <w:t>-1,597</w:t>
            </w:r>
          </w:p>
        </w:tc>
        <w:tc>
          <w:tcPr>
            <w:tcW w:w="1103" w:type="dxa"/>
            <w:vAlign w:val="center"/>
          </w:tcPr>
          <w:p>
            <w:pPr>
              <w:jc w:val="right"/>
              <w:rPr>
                <w:rFonts w:ascii="宋体" w:hAnsi="宋体"/>
              </w:rPr>
            </w:pPr>
          </w:p>
        </w:tc>
        <w:tc>
          <w:tcPr>
            <w:tcW w:w="1103" w:type="dxa"/>
            <w:vAlign w:val="center"/>
          </w:tcPr>
          <w:p>
            <w:pPr>
              <w:jc w:val="right"/>
              <w:rPr>
                <w:rFonts w:ascii="宋体" w:hAnsi="宋体"/>
              </w:rPr>
            </w:pPr>
          </w:p>
        </w:tc>
        <w:tc>
          <w:tcPr>
            <w:tcW w:w="1103" w:type="dxa"/>
            <w:vAlign w:val="center"/>
          </w:tcPr>
          <w:p>
            <w:pPr>
              <w:jc w:val="right"/>
              <w:rPr>
                <w:rFonts w:ascii="宋体" w:hAnsi="宋体"/>
              </w:rPr>
            </w:pPr>
            <w:r>
              <w:rPr>
                <w:rFonts w:hint="eastAsia" w:ascii="宋体" w:hAnsi="宋体"/>
              </w:rPr>
              <w:t>2,591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rPr>
                <w:rFonts w:ascii="宋体" w:hAnsi="宋体"/>
              </w:rPr>
            </w:pPr>
            <w:r>
              <w:rPr>
                <w:rFonts w:hint="eastAsia" w:ascii="宋体" w:hAnsi="宋体"/>
              </w:rPr>
              <w:t>产成品</w:t>
            </w:r>
          </w:p>
        </w:tc>
        <w:tc>
          <w:tcPr>
            <w:tcW w:w="1103" w:type="dxa"/>
            <w:vAlign w:val="center"/>
          </w:tcPr>
          <w:p>
            <w:pPr>
              <w:jc w:val="right"/>
              <w:rPr>
                <w:rFonts w:ascii="宋体" w:hAnsi="宋体"/>
              </w:rPr>
            </w:pPr>
            <w:r>
              <w:rPr>
                <w:rFonts w:hint="eastAsia" w:ascii="宋体" w:hAnsi="宋体"/>
              </w:rPr>
              <w:t>53,223</w:t>
            </w:r>
          </w:p>
        </w:tc>
        <w:tc>
          <w:tcPr>
            <w:tcW w:w="1103" w:type="dxa"/>
            <w:vAlign w:val="center"/>
          </w:tcPr>
          <w:p>
            <w:pPr>
              <w:jc w:val="right"/>
              <w:rPr>
                <w:rFonts w:ascii="宋体" w:hAnsi="宋体"/>
              </w:rPr>
            </w:pPr>
            <w:r>
              <w:rPr>
                <w:rFonts w:hint="eastAsia" w:ascii="宋体" w:hAnsi="宋体"/>
              </w:rPr>
              <w:t>15,643</w:t>
            </w:r>
          </w:p>
        </w:tc>
        <w:tc>
          <w:tcPr>
            <w:tcW w:w="1103" w:type="dxa"/>
            <w:vAlign w:val="center"/>
          </w:tcPr>
          <w:p>
            <w:pPr>
              <w:jc w:val="right"/>
              <w:rPr>
                <w:rFonts w:ascii="宋体" w:hAnsi="宋体"/>
              </w:rPr>
            </w:pPr>
          </w:p>
        </w:tc>
        <w:tc>
          <w:tcPr>
            <w:tcW w:w="1103" w:type="dxa"/>
            <w:vAlign w:val="center"/>
          </w:tcPr>
          <w:p>
            <w:pPr>
              <w:jc w:val="right"/>
              <w:rPr>
                <w:rFonts w:ascii="宋体" w:hAnsi="宋体"/>
              </w:rPr>
            </w:pPr>
            <w:r>
              <w:rPr>
                <w:rFonts w:hint="eastAsia" w:ascii="宋体" w:hAnsi="宋体"/>
              </w:rPr>
              <w:t>-40,958</w:t>
            </w:r>
          </w:p>
        </w:tc>
        <w:tc>
          <w:tcPr>
            <w:tcW w:w="1103" w:type="dxa"/>
            <w:vAlign w:val="center"/>
          </w:tcPr>
          <w:p>
            <w:pPr>
              <w:jc w:val="right"/>
              <w:rPr>
                <w:rFonts w:ascii="宋体" w:hAnsi="宋体"/>
              </w:rPr>
            </w:pPr>
          </w:p>
        </w:tc>
        <w:tc>
          <w:tcPr>
            <w:tcW w:w="1103" w:type="dxa"/>
            <w:vAlign w:val="center"/>
          </w:tcPr>
          <w:p>
            <w:pPr>
              <w:jc w:val="right"/>
              <w:rPr>
                <w:rFonts w:ascii="宋体" w:hAnsi="宋体"/>
              </w:rPr>
            </w:pPr>
            <w:r>
              <w:rPr>
                <w:rFonts w:hint="eastAsia" w:ascii="宋体" w:hAnsi="宋体"/>
              </w:rPr>
              <w:t>1,137</w:t>
            </w:r>
          </w:p>
        </w:tc>
        <w:tc>
          <w:tcPr>
            <w:tcW w:w="1103" w:type="dxa"/>
            <w:vAlign w:val="center"/>
          </w:tcPr>
          <w:p>
            <w:pPr>
              <w:jc w:val="right"/>
              <w:rPr>
                <w:rFonts w:ascii="宋体" w:hAnsi="宋体"/>
              </w:rPr>
            </w:pPr>
            <w:r>
              <w:rPr>
                <w:rFonts w:hint="eastAsia" w:ascii="宋体" w:hAnsi="宋体"/>
              </w:rPr>
              <w:t>29,045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rPr>
                <w:rFonts w:ascii="宋体" w:hAnsi="宋体"/>
              </w:rPr>
            </w:pPr>
            <w:r>
              <w:rPr>
                <w:rFonts w:hint="eastAsia" w:ascii="宋体" w:hAnsi="宋体" w:cs="宋体"/>
              </w:rPr>
              <w:t>库存商品</w:t>
            </w:r>
          </w:p>
        </w:tc>
        <w:tc>
          <w:tcPr>
            <w:tcW w:w="1103" w:type="dxa"/>
            <w:vAlign w:val="center"/>
          </w:tcPr>
          <w:p>
            <w:pPr>
              <w:jc w:val="right"/>
              <w:rPr>
                <w:rFonts w:ascii="宋体" w:hAnsi="宋体"/>
              </w:rPr>
            </w:pPr>
            <w:r>
              <w:rPr>
                <w:rFonts w:hint="eastAsia" w:ascii="宋体" w:hAnsi="宋体"/>
              </w:rPr>
              <w:t>735</w:t>
            </w:r>
          </w:p>
        </w:tc>
        <w:tc>
          <w:tcPr>
            <w:tcW w:w="1103" w:type="dxa"/>
            <w:vAlign w:val="center"/>
          </w:tcPr>
          <w:p>
            <w:pPr>
              <w:jc w:val="right"/>
              <w:rPr>
                <w:rFonts w:ascii="宋体" w:hAnsi="宋体"/>
              </w:rPr>
            </w:pPr>
          </w:p>
        </w:tc>
        <w:tc>
          <w:tcPr>
            <w:tcW w:w="1103" w:type="dxa"/>
            <w:vAlign w:val="center"/>
          </w:tcPr>
          <w:p>
            <w:pPr>
              <w:jc w:val="right"/>
              <w:rPr>
                <w:rFonts w:ascii="宋体" w:hAnsi="宋体"/>
              </w:rPr>
            </w:pPr>
          </w:p>
        </w:tc>
        <w:tc>
          <w:tcPr>
            <w:tcW w:w="1103" w:type="dxa"/>
            <w:vAlign w:val="center"/>
          </w:tcPr>
          <w:p>
            <w:pPr>
              <w:jc w:val="right"/>
              <w:rPr>
                <w:rFonts w:ascii="宋体" w:hAnsi="宋体"/>
              </w:rPr>
            </w:pPr>
          </w:p>
        </w:tc>
        <w:tc>
          <w:tcPr>
            <w:tcW w:w="1103" w:type="dxa"/>
            <w:vAlign w:val="center"/>
          </w:tcPr>
          <w:p>
            <w:pPr>
              <w:jc w:val="right"/>
              <w:rPr>
                <w:rFonts w:ascii="宋体" w:hAnsi="宋体"/>
              </w:rPr>
            </w:pPr>
          </w:p>
        </w:tc>
        <w:tc>
          <w:tcPr>
            <w:tcW w:w="1103" w:type="dxa"/>
            <w:vAlign w:val="center"/>
          </w:tcPr>
          <w:p>
            <w:pPr>
              <w:jc w:val="right"/>
              <w:rPr>
                <w:rFonts w:ascii="宋体" w:hAnsi="宋体"/>
              </w:rPr>
            </w:pPr>
          </w:p>
        </w:tc>
        <w:tc>
          <w:tcPr>
            <w:tcW w:w="1103" w:type="dxa"/>
            <w:vAlign w:val="center"/>
          </w:tcPr>
          <w:p>
            <w:pPr>
              <w:jc w:val="right"/>
              <w:rPr>
                <w:rFonts w:ascii="宋体" w:hAnsi="宋体"/>
              </w:rPr>
            </w:pPr>
            <w:r>
              <w:rPr>
                <w:rFonts w:hint="eastAsia" w:ascii="宋体" w:hAnsi="宋体"/>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rPr>
                <w:rFonts w:ascii="宋体" w:hAnsi="宋体"/>
              </w:rPr>
            </w:pPr>
            <w:r>
              <w:rPr>
                <w:rFonts w:hint="eastAsia" w:ascii="宋体" w:hAnsi="宋体" w:cs="宋体"/>
              </w:rPr>
              <w:t>工程存货</w:t>
            </w:r>
          </w:p>
        </w:tc>
        <w:tc>
          <w:tcPr>
            <w:tcW w:w="1103" w:type="dxa"/>
            <w:vAlign w:val="center"/>
          </w:tcPr>
          <w:p>
            <w:pPr>
              <w:jc w:val="right"/>
              <w:rPr>
                <w:rFonts w:ascii="宋体" w:hAnsi="宋体"/>
              </w:rPr>
            </w:pPr>
            <w:r>
              <w:rPr>
                <w:rFonts w:hint="eastAsia" w:ascii="宋体" w:hAnsi="宋体" w:cs="宋体"/>
              </w:rPr>
              <w:t>68,614</w:t>
            </w:r>
          </w:p>
        </w:tc>
        <w:tc>
          <w:tcPr>
            <w:tcW w:w="1103" w:type="dxa"/>
            <w:vAlign w:val="center"/>
          </w:tcPr>
          <w:p>
            <w:pPr>
              <w:jc w:val="right"/>
              <w:rPr>
                <w:rFonts w:ascii="宋体" w:hAnsi="宋体"/>
              </w:rPr>
            </w:pPr>
            <w:r>
              <w:rPr>
                <w:rFonts w:hint="eastAsia" w:ascii="宋体" w:hAnsi="宋体"/>
              </w:rPr>
              <w:t>-4,384</w:t>
            </w:r>
          </w:p>
        </w:tc>
        <w:tc>
          <w:tcPr>
            <w:tcW w:w="1103" w:type="dxa"/>
            <w:vAlign w:val="center"/>
          </w:tcPr>
          <w:p>
            <w:pPr>
              <w:jc w:val="right"/>
              <w:rPr>
                <w:rFonts w:ascii="宋体" w:hAnsi="宋体"/>
              </w:rPr>
            </w:pPr>
          </w:p>
        </w:tc>
        <w:tc>
          <w:tcPr>
            <w:tcW w:w="1103" w:type="dxa"/>
            <w:vAlign w:val="center"/>
          </w:tcPr>
          <w:p>
            <w:pPr>
              <w:jc w:val="right"/>
              <w:rPr>
                <w:rFonts w:ascii="宋体" w:hAnsi="宋体"/>
              </w:rPr>
            </w:pPr>
          </w:p>
        </w:tc>
        <w:tc>
          <w:tcPr>
            <w:tcW w:w="1103" w:type="dxa"/>
            <w:vAlign w:val="center"/>
          </w:tcPr>
          <w:p>
            <w:pPr>
              <w:jc w:val="right"/>
              <w:rPr>
                <w:rFonts w:ascii="宋体" w:hAnsi="宋体"/>
              </w:rPr>
            </w:pPr>
          </w:p>
        </w:tc>
        <w:tc>
          <w:tcPr>
            <w:tcW w:w="1103" w:type="dxa"/>
            <w:vAlign w:val="center"/>
          </w:tcPr>
          <w:p>
            <w:pPr>
              <w:jc w:val="right"/>
              <w:rPr>
                <w:rFonts w:ascii="宋体" w:hAnsi="宋体"/>
              </w:rPr>
            </w:pPr>
          </w:p>
        </w:tc>
        <w:tc>
          <w:tcPr>
            <w:tcW w:w="1103" w:type="dxa"/>
            <w:vAlign w:val="center"/>
          </w:tcPr>
          <w:p>
            <w:pPr>
              <w:jc w:val="right"/>
              <w:rPr>
                <w:rFonts w:ascii="宋体" w:hAnsi="宋体"/>
              </w:rPr>
            </w:pPr>
            <w:r>
              <w:rPr>
                <w:rFonts w:hint="eastAsia" w:ascii="宋体" w:hAnsi="宋体" w:cs="宋体"/>
              </w:rPr>
              <w:t>64,230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rPr>
                <w:rFonts w:ascii="宋体" w:hAnsi="宋体"/>
              </w:rPr>
            </w:pPr>
            <w:r>
              <w:rPr>
                <w:rFonts w:hint="eastAsia" w:ascii="宋体" w:hAnsi="宋体" w:cs="宋体"/>
              </w:rPr>
              <w:t>房地产开发成本</w:t>
            </w:r>
          </w:p>
        </w:tc>
        <w:tc>
          <w:tcPr>
            <w:tcW w:w="1103" w:type="dxa"/>
            <w:vAlign w:val="center"/>
          </w:tcPr>
          <w:p>
            <w:pPr>
              <w:jc w:val="right"/>
              <w:rPr>
                <w:rFonts w:ascii="宋体" w:hAnsi="宋体"/>
              </w:rPr>
            </w:pPr>
            <w:r>
              <w:rPr>
                <w:rFonts w:ascii="宋体" w:hAnsi="宋体"/>
              </w:rPr>
              <w:t>237</w:t>
            </w:r>
            <w:r>
              <w:rPr>
                <w:rFonts w:hint="eastAsia" w:ascii="宋体" w:hAnsi="宋体"/>
              </w:rPr>
              <w:t>,</w:t>
            </w:r>
            <w:r>
              <w:rPr>
                <w:rFonts w:ascii="宋体" w:hAnsi="宋体"/>
              </w:rPr>
              <w:t>265</w:t>
            </w:r>
          </w:p>
        </w:tc>
        <w:tc>
          <w:tcPr>
            <w:tcW w:w="1103" w:type="dxa"/>
            <w:vAlign w:val="center"/>
          </w:tcPr>
          <w:p>
            <w:pPr>
              <w:jc w:val="right"/>
              <w:rPr>
                <w:rFonts w:ascii="宋体" w:hAnsi="宋体"/>
              </w:rPr>
            </w:pPr>
            <w:r>
              <w:rPr>
                <w:rFonts w:hint="eastAsia" w:ascii="宋体" w:hAnsi="宋体"/>
              </w:rPr>
              <w:t>23,833</w:t>
            </w:r>
          </w:p>
        </w:tc>
        <w:tc>
          <w:tcPr>
            <w:tcW w:w="1103" w:type="dxa"/>
            <w:vAlign w:val="center"/>
          </w:tcPr>
          <w:p>
            <w:pPr>
              <w:jc w:val="right"/>
              <w:rPr>
                <w:rFonts w:ascii="宋体" w:hAnsi="宋体"/>
              </w:rPr>
            </w:pPr>
          </w:p>
        </w:tc>
        <w:tc>
          <w:tcPr>
            <w:tcW w:w="1103" w:type="dxa"/>
            <w:vAlign w:val="center"/>
          </w:tcPr>
          <w:p>
            <w:pPr>
              <w:jc w:val="right"/>
              <w:rPr>
                <w:rFonts w:ascii="宋体" w:hAnsi="宋体"/>
              </w:rPr>
            </w:pPr>
          </w:p>
        </w:tc>
        <w:tc>
          <w:tcPr>
            <w:tcW w:w="1103" w:type="dxa"/>
            <w:vAlign w:val="center"/>
          </w:tcPr>
          <w:p>
            <w:pPr>
              <w:jc w:val="right"/>
              <w:rPr>
                <w:rFonts w:ascii="宋体" w:hAnsi="宋体"/>
              </w:rPr>
            </w:pPr>
            <w:r>
              <w:rPr>
                <w:rFonts w:hint="eastAsia" w:ascii="宋体" w:hAnsi="宋体"/>
              </w:rPr>
              <w:t>-258,071</w:t>
            </w:r>
          </w:p>
        </w:tc>
        <w:tc>
          <w:tcPr>
            <w:tcW w:w="1103" w:type="dxa"/>
            <w:vAlign w:val="center"/>
          </w:tcPr>
          <w:p>
            <w:pPr>
              <w:jc w:val="right"/>
              <w:rPr>
                <w:rFonts w:ascii="宋体" w:hAnsi="宋体"/>
              </w:rPr>
            </w:pPr>
          </w:p>
        </w:tc>
        <w:tc>
          <w:tcPr>
            <w:tcW w:w="1103" w:type="dxa"/>
            <w:vAlign w:val="center"/>
          </w:tcPr>
          <w:p>
            <w:pPr>
              <w:jc w:val="right"/>
              <w:rPr>
                <w:rFonts w:ascii="宋体" w:hAnsi="宋体"/>
              </w:rPr>
            </w:pPr>
            <w:r>
              <w:rPr>
                <w:rFonts w:ascii="宋体" w:hAnsi="宋体"/>
              </w:rPr>
              <w:t>3</w:t>
            </w:r>
            <w:r>
              <w:rPr>
                <w:rFonts w:hint="eastAsia" w:ascii="宋体" w:hAnsi="宋体"/>
              </w:rPr>
              <w:t>,</w:t>
            </w:r>
            <w:r>
              <w:rPr>
                <w:rFonts w:ascii="宋体" w:hAnsi="宋体"/>
              </w:rPr>
              <w:t>02</w:t>
            </w:r>
            <w:r>
              <w:rPr>
                <w:rFonts w:hint="eastAsia" w:ascii="宋体" w:hAnsi="宋体"/>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rPr>
                <w:rFonts w:ascii="宋体" w:hAnsi="宋体" w:cs="宋体"/>
              </w:rPr>
            </w:pPr>
            <w:r>
              <w:rPr>
                <w:rFonts w:hint="eastAsia" w:ascii="宋体" w:hAnsi="宋体"/>
              </w:rPr>
              <w:t>合计</w:t>
            </w:r>
          </w:p>
        </w:tc>
        <w:tc>
          <w:tcPr>
            <w:tcW w:w="1103" w:type="dxa"/>
            <w:vAlign w:val="center"/>
          </w:tcPr>
          <w:p>
            <w:pPr>
              <w:jc w:val="right"/>
              <w:rPr>
                <w:rFonts w:ascii="宋体" w:hAnsi="宋体"/>
              </w:rPr>
            </w:pPr>
            <w:r>
              <w:rPr>
                <w:rFonts w:hint="eastAsia" w:ascii="宋体" w:hAnsi="宋体"/>
              </w:rPr>
              <w:t>364,025</w:t>
            </w:r>
          </w:p>
        </w:tc>
        <w:tc>
          <w:tcPr>
            <w:tcW w:w="1103" w:type="dxa"/>
            <w:vAlign w:val="center"/>
          </w:tcPr>
          <w:p>
            <w:pPr>
              <w:jc w:val="right"/>
              <w:rPr>
                <w:rFonts w:ascii="宋体" w:hAnsi="宋体"/>
              </w:rPr>
            </w:pPr>
            <w:r>
              <w:rPr>
                <w:rFonts w:hint="eastAsia" w:ascii="宋体" w:hAnsi="宋体"/>
              </w:rPr>
              <w:t>35,092</w:t>
            </w:r>
          </w:p>
        </w:tc>
        <w:tc>
          <w:tcPr>
            <w:tcW w:w="1103" w:type="dxa"/>
            <w:vAlign w:val="center"/>
          </w:tcPr>
          <w:p>
            <w:pPr>
              <w:jc w:val="right"/>
              <w:rPr>
                <w:rFonts w:ascii="宋体" w:hAnsi="宋体"/>
              </w:rPr>
            </w:pPr>
          </w:p>
        </w:tc>
        <w:tc>
          <w:tcPr>
            <w:tcW w:w="1103" w:type="dxa"/>
            <w:vAlign w:val="center"/>
          </w:tcPr>
          <w:p>
            <w:pPr>
              <w:jc w:val="right"/>
              <w:rPr>
                <w:rFonts w:ascii="宋体" w:hAnsi="宋体"/>
              </w:rPr>
            </w:pPr>
            <w:r>
              <w:rPr>
                <w:rFonts w:hint="eastAsia" w:ascii="宋体" w:hAnsi="宋体"/>
              </w:rPr>
              <w:t>-42,555</w:t>
            </w:r>
          </w:p>
        </w:tc>
        <w:tc>
          <w:tcPr>
            <w:tcW w:w="1103" w:type="dxa"/>
            <w:vAlign w:val="center"/>
          </w:tcPr>
          <w:p>
            <w:pPr>
              <w:jc w:val="right"/>
              <w:rPr>
                <w:rFonts w:ascii="宋体" w:hAnsi="宋体"/>
              </w:rPr>
            </w:pPr>
            <w:r>
              <w:rPr>
                <w:rFonts w:hint="eastAsia" w:ascii="宋体" w:hAnsi="宋体"/>
              </w:rPr>
              <w:t>-258,071</w:t>
            </w:r>
          </w:p>
        </w:tc>
        <w:tc>
          <w:tcPr>
            <w:tcW w:w="1103" w:type="dxa"/>
            <w:vAlign w:val="center"/>
          </w:tcPr>
          <w:p>
            <w:pPr>
              <w:jc w:val="right"/>
              <w:rPr>
                <w:rFonts w:ascii="宋体" w:hAnsi="宋体"/>
              </w:rPr>
            </w:pPr>
            <w:r>
              <w:rPr>
                <w:rFonts w:hint="eastAsia" w:ascii="宋体" w:hAnsi="宋体"/>
              </w:rPr>
              <w:t>1,137</w:t>
            </w:r>
          </w:p>
        </w:tc>
        <w:tc>
          <w:tcPr>
            <w:tcW w:w="1103" w:type="dxa"/>
            <w:vAlign w:val="center"/>
          </w:tcPr>
          <w:p>
            <w:pPr>
              <w:jc w:val="right"/>
              <w:rPr>
                <w:rFonts w:ascii="宋体" w:hAnsi="宋体"/>
              </w:rPr>
            </w:pPr>
            <w:r>
              <w:rPr>
                <w:rFonts w:hint="eastAsia" w:ascii="宋体" w:hAnsi="宋体"/>
              </w:rPr>
              <w:t>99,628</w:t>
            </w:r>
          </w:p>
        </w:tc>
      </w:tr>
    </w:tbl>
    <w:p>
      <w:pPr>
        <w:pStyle w:val="501"/>
      </w:pPr>
    </w:p>
    <w:p>
      <w:pPr>
        <w:pStyle w:val="505"/>
        <w:numPr>
          <w:ilvl w:val="3"/>
          <w:numId w:val="78"/>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1707757911"/>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5"/>
        <w:numPr>
          <w:ilvl w:val="3"/>
          <w:numId w:val="78"/>
        </w:numPr>
        <w:ind w:left="426" w:hanging="426"/>
      </w:pPr>
      <w:r>
        <w:rPr>
          <w:rFonts w:hint="eastAsia"/>
        </w:rPr>
        <w:t>合同履约成本本期摊销金额的说明</w:t>
      </w:r>
    </w:p>
    <w:sdt>
      <w:sdtPr>
        <w:alias w:val="是否适用：合同履约成本本期摊销金额的说明[双击切换]"/>
        <w:tag w:val="_GBC_7532d5a15e3d45fa8d69ad2921659b13"/>
        <w:id w:val="-679193628"/>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其他说明</w:t>
      </w:r>
    </w:p>
    <w:sdt>
      <w:sdtPr>
        <w:rPr>
          <w:rFonts w:hint="eastAsia"/>
        </w:rPr>
        <w:alias w:val="是否适用：建造合同形成的已完工未结算资产的其他说明[双击切换]"/>
        <w:tag w:val="_GBC_441099179b66496e99c8de04f24782ad"/>
        <w:id w:val="-1598713969"/>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Times New Roman" w:hAnsi="Times New Roman"/>
        </w:rPr>
      </w:pPr>
    </w:p>
    <w:p>
      <w:pPr>
        <w:pStyle w:val="504"/>
        <w:numPr>
          <w:ilvl w:val="0"/>
          <w:numId w:val="69"/>
        </w:numPr>
        <w:tabs>
          <w:tab w:val="left" w:pos="504"/>
        </w:tabs>
      </w:pPr>
      <w:r>
        <w:rPr>
          <w:rFonts w:hint="eastAsia"/>
        </w:rPr>
        <w:t>持有待售资产</w:t>
      </w:r>
    </w:p>
    <w:sdt>
      <w:sdtPr>
        <w:alias w:val="是否适用：划分为持有待售的资产[双击切换]"/>
        <w:tag w:val="_GBC_78f2c13384374d8eb0edd5d62d86bc52"/>
        <w:id w:val="-1386867256"/>
        <w:placeholder>
          <w:docPart w:val="GBC22222222222222222222222222222"/>
        </w:placeholder>
      </w:sdtPr>
      <w:sdtContent>
        <w:p>
          <w:pPr>
            <w:pStyle w:val="531"/>
          </w:pPr>
          <w:bookmarkStart w:id="265" w:name="_Hlk2438062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bookmarkEnd w:id="265"/>
    <w:p>
      <w:pPr>
        <w:pStyle w:val="531"/>
      </w:pPr>
    </w:p>
    <w:p>
      <w:pPr>
        <w:pStyle w:val="504"/>
        <w:numPr>
          <w:ilvl w:val="0"/>
          <w:numId w:val="69"/>
        </w:numPr>
        <w:tabs>
          <w:tab w:val="left" w:pos="504"/>
        </w:tabs>
      </w:pPr>
      <w:r>
        <w:rPr>
          <w:rFonts w:hint="eastAsia"/>
        </w:rPr>
        <w:t>一年内到期的非流动资产</w:t>
      </w:r>
    </w:p>
    <w:sdt>
      <w:sdtPr>
        <w:alias w:val="是否适用：一年内到期的非流动资产[双击切换]"/>
        <w:tag w:val="_GBC_ed2c28c8d4014bbb85fa424cc20fe6d7"/>
        <w:id w:val="-27655609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210"/>
        <w:jc w:val="right"/>
      </w:pPr>
      <w:r>
        <w:rPr>
          <w:rFonts w:hint="eastAsia"/>
        </w:rPr>
        <w:t>单位：</w:t>
      </w:r>
      <w:sdt>
        <w:sdtPr>
          <w:rPr>
            <w:rFonts w:hint="eastAsia"/>
          </w:rPr>
          <w:alias w:val="单位：财务附注：一年内到期的非流动资产"/>
          <w:tag w:val="_GBC_f77c8d19672140bf85fc2463f9170dd6"/>
          <w:id w:val="-16643837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一年内到期的非流动资产"/>
          <w:tag w:val="_GBC_8556c531d1034a2b8dbccdc6ef602448"/>
          <w:id w:val="20415454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7"/>
        <w:gridCol w:w="2897"/>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a40529190b0945ecb6483b84560649d2"/>
            <w:id w:val="1629272385"/>
          </w:sdtPr>
          <w:sdtEndPr>
            <w:rPr>
              <w:rFonts w:ascii="宋体" w:hAnsi="宋体"/>
            </w:rPr>
          </w:sdtEndPr>
          <w:sdtContent>
            <w:tc>
              <w:tcPr>
                <w:tcW w:w="1816" w:type="pc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5e30d8809b4b4a148861aad7ac937cad"/>
            <w:id w:val="1544476167"/>
          </w:sdtPr>
          <w:sdtEndPr>
            <w:rPr>
              <w:rFonts w:ascii="宋体" w:hAnsi="宋体"/>
            </w:rPr>
          </w:sdtEndPr>
          <w:sdtContent>
            <w:tc>
              <w:tcPr>
                <w:tcW w:w="1601" w:type="pct"/>
                <w:shd w:val="clear" w:color="auto" w:fill="auto"/>
                <w:vAlign w:val="center"/>
              </w:tcPr>
              <w:p>
                <w:pPr>
                  <w:jc w:val="center"/>
                  <w:rPr>
                    <w:rFonts w:ascii="宋体" w:hAnsi="宋体"/>
                  </w:rPr>
                </w:pPr>
                <w:r>
                  <w:rPr>
                    <w:rFonts w:hint="eastAsia" w:ascii="宋体" w:hAnsi="宋体"/>
                  </w:rPr>
                  <w:t>期末余额</w:t>
                </w:r>
              </w:p>
            </w:tc>
          </w:sdtContent>
        </w:sdt>
        <w:sdt>
          <w:sdtPr>
            <w:rPr>
              <w:rFonts w:ascii="宋体" w:hAnsi="宋体"/>
            </w:rPr>
            <w:tag w:val="_PLD_a1484dda7f4045b7bee1d347a33d9d30"/>
            <w:id w:val="1144546890"/>
          </w:sdtPr>
          <w:sdtEndPr>
            <w:rPr>
              <w:rFonts w:ascii="宋体" w:hAnsi="宋体"/>
            </w:rPr>
          </w:sdtEndPr>
          <w:sdtContent>
            <w:tc>
              <w:tcPr>
                <w:tcW w:w="1583" w:type="pct"/>
                <w:shd w:val="clear" w:color="auto" w:fill="auto"/>
                <w:vAlign w:val="center"/>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宋体" w:hAnsi="宋体"/>
              </w:rPr>
            </w:pPr>
            <w:r>
              <w:rPr>
                <w:rFonts w:hint="eastAsia" w:ascii="宋体" w:hAnsi="宋体"/>
              </w:rPr>
              <w:t>一年内到期的长期应收款（注）</w:t>
            </w:r>
          </w:p>
        </w:tc>
        <w:tc>
          <w:tcPr>
            <w:tcW w:w="1601" w:type="pct"/>
            <w:shd w:val="clear" w:color="auto" w:fill="auto"/>
          </w:tcPr>
          <w:p>
            <w:pPr>
              <w:snapToGrid w:val="0"/>
              <w:jc w:val="right"/>
              <w:rPr>
                <w:rFonts w:ascii="宋体" w:hAnsi="宋体"/>
              </w:rPr>
            </w:pPr>
            <w:r>
              <w:rPr>
                <w:rFonts w:hint="eastAsia" w:ascii="宋体" w:hAnsi="宋体"/>
              </w:rPr>
              <w:t>2,185,928</w:t>
            </w:r>
          </w:p>
        </w:tc>
        <w:tc>
          <w:tcPr>
            <w:tcW w:w="1583" w:type="pct"/>
            <w:shd w:val="clear" w:color="auto" w:fill="auto"/>
          </w:tcPr>
          <w:p>
            <w:pPr>
              <w:snapToGrid w:val="0"/>
              <w:jc w:val="right"/>
              <w:rPr>
                <w:rFonts w:ascii="宋体" w:hAnsi="宋体"/>
              </w:rPr>
            </w:pPr>
            <w:r>
              <w:rPr>
                <w:rFonts w:hint="eastAsia" w:ascii="宋体" w:hAnsi="宋体"/>
              </w:rPr>
              <w:t>2,</w:t>
            </w:r>
            <w:r>
              <w:rPr>
                <w:rFonts w:ascii="宋体" w:hAnsi="宋体"/>
              </w:rPr>
              <w:t>596</w:t>
            </w:r>
            <w:r>
              <w:rPr>
                <w:rFonts w:hint="eastAsia" w:ascii="宋体" w:hAnsi="宋体"/>
              </w:rPr>
              <w:t>,988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宋体" w:hAnsi="宋体"/>
              </w:rPr>
            </w:pPr>
            <w:r>
              <w:rPr>
                <w:rFonts w:hint="eastAsia" w:ascii="宋体" w:hAnsi="宋体"/>
              </w:rPr>
              <w:t>一年内到期的发放贷款及垫款</w:t>
            </w:r>
          </w:p>
        </w:tc>
        <w:tc>
          <w:tcPr>
            <w:tcW w:w="1601" w:type="pct"/>
            <w:shd w:val="clear" w:color="auto" w:fill="auto"/>
          </w:tcPr>
          <w:p>
            <w:pPr>
              <w:snapToGrid w:val="0"/>
              <w:jc w:val="right"/>
              <w:rPr>
                <w:rFonts w:ascii="宋体" w:hAnsi="宋体"/>
              </w:rPr>
            </w:pPr>
          </w:p>
        </w:tc>
        <w:tc>
          <w:tcPr>
            <w:tcW w:w="1583" w:type="pct"/>
            <w:shd w:val="clear" w:color="auto" w:fill="auto"/>
          </w:tcPr>
          <w:p>
            <w:pPr>
              <w:snapToGrid w:val="0"/>
              <w:jc w:val="right"/>
              <w:rPr>
                <w:rFonts w:ascii="宋体" w:hAnsi="宋体"/>
              </w:rPr>
            </w:pPr>
            <w:r>
              <w:rPr>
                <w:rFonts w:hint="eastAsia" w:ascii="宋体" w:hAnsi="宋体"/>
              </w:rPr>
              <w:t>3,</w:t>
            </w:r>
            <w:r>
              <w:rPr>
                <w:rFonts w:ascii="宋体" w:hAnsi="宋体"/>
              </w:rPr>
              <w:t>802</w:t>
            </w:r>
            <w:r>
              <w:rPr>
                <w:rFonts w:hint="eastAsia" w:ascii="宋体" w:hAnsi="宋体"/>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jc w:val="center"/>
              <w:rPr>
                <w:rFonts w:ascii="宋体" w:hAnsi="宋体"/>
              </w:rPr>
            </w:pPr>
            <w:r>
              <w:rPr>
                <w:rFonts w:hint="eastAsia" w:ascii="宋体" w:hAnsi="宋体"/>
              </w:rPr>
              <w:t>合计</w:t>
            </w:r>
          </w:p>
        </w:tc>
        <w:tc>
          <w:tcPr>
            <w:tcW w:w="1601" w:type="pct"/>
            <w:shd w:val="clear" w:color="auto" w:fill="auto"/>
          </w:tcPr>
          <w:p>
            <w:pPr>
              <w:snapToGrid w:val="0"/>
              <w:jc w:val="right"/>
              <w:rPr>
                <w:rFonts w:ascii="宋体" w:hAnsi="宋体"/>
              </w:rPr>
            </w:pPr>
            <w:r>
              <w:rPr>
                <w:rFonts w:hint="eastAsia" w:ascii="宋体" w:hAnsi="宋体"/>
              </w:rPr>
              <w:t>2,185,928</w:t>
            </w:r>
          </w:p>
        </w:tc>
        <w:tc>
          <w:tcPr>
            <w:tcW w:w="1583" w:type="pct"/>
            <w:shd w:val="clear" w:color="auto" w:fill="auto"/>
          </w:tcPr>
          <w:p>
            <w:pPr>
              <w:snapToGrid w:val="0"/>
              <w:jc w:val="right"/>
              <w:rPr>
                <w:rFonts w:ascii="宋体" w:hAnsi="宋体"/>
              </w:rPr>
            </w:pPr>
            <w:r>
              <w:rPr>
                <w:rFonts w:hint="eastAsia" w:ascii="宋体" w:hAnsi="宋体"/>
              </w:rPr>
              <w:t>6,399,488</w:t>
            </w:r>
          </w:p>
        </w:tc>
      </w:tr>
    </w:tbl>
    <w:p>
      <w:pPr>
        <w:ind w:firstLine="420" w:firstLineChars="200"/>
        <w:rPr>
          <w:rFonts w:ascii="宋体" w:hAnsi="宋体"/>
        </w:rPr>
      </w:pPr>
      <w:r>
        <w:rPr>
          <w:rFonts w:hint="eastAsia" w:ascii="宋体" w:hAnsi="宋体"/>
        </w:rPr>
        <w:t>注：一年内到期的长期应收款主要为本公司之子公司兖矿融资租赁有限公司长期应收融资租赁款2,150,443千元。</w:t>
      </w:r>
    </w:p>
    <w:p>
      <w:pPr>
        <w:pStyle w:val="505"/>
      </w:pPr>
      <w:r>
        <w:rPr>
          <w:rFonts w:hint="eastAsia"/>
        </w:rPr>
        <w:t>一年内到期的债权投资</w:t>
      </w:r>
    </w:p>
    <w:sdt>
      <w:sdtPr>
        <w:alias w:val="是否适用：一年内到期的债权投资[双击切换]"/>
        <w:tag w:val="_GBC_21106d2d4b32436eb1949dc414c4e6e2"/>
        <w:id w:val="-2021618618"/>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p>
      <w:pPr>
        <w:pStyle w:val="505"/>
      </w:pPr>
      <w:r>
        <w:rPr>
          <w:rFonts w:hint="eastAsia"/>
        </w:rPr>
        <w:t>一年内到期的其他债权投资</w:t>
      </w:r>
    </w:p>
    <w:sdt>
      <w:sdtPr>
        <w:alias w:val="是否适用：一年内到期的其他债权投资[双击切换]"/>
        <w:tag w:val="_GBC_7e23007806f94dceb2b97ed0f5d1e010"/>
        <w:id w:val="-1408752683"/>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ind w:right="210"/>
      </w:pPr>
    </w:p>
    <w:p>
      <w:pPr>
        <w:pStyle w:val="504"/>
        <w:numPr>
          <w:ilvl w:val="0"/>
          <w:numId w:val="69"/>
        </w:numPr>
        <w:tabs>
          <w:tab w:val="left" w:pos="504"/>
        </w:tabs>
      </w:pPr>
      <w:r>
        <w:rPr>
          <w:rFonts w:hint="eastAsia"/>
        </w:rPr>
        <w:t>其他流动资产</w:t>
      </w:r>
    </w:p>
    <w:sdt>
      <w:sdtPr>
        <w:alias w:val="是否适用：其他流动资产[双击切换]"/>
        <w:tag w:val="_GBC_49fe7514f24d4f7fbf009ae51ff98d5a"/>
        <w:id w:val="-478144781"/>
        <w:placeholder>
          <w:docPart w:val="GBC22222222222222222222222222222"/>
        </w:placeholder>
      </w:sdtPr>
      <w:sdtContent>
        <w:p>
          <w:pPr>
            <w:pStyle w:val="531"/>
          </w:pPr>
          <w:bookmarkStart w:id="266" w:name="_Hlk53360905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其他流动资产"/>
          <w:tag w:val="_GBC_8aa27294471c4172ba97de2c15d029c6"/>
          <w:id w:val="-1140492917"/>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其他流动资产"/>
          <w:tag w:val="_GBC_8e1e40ac44704231aa91fcfbbccbd924"/>
          <w:id w:val="-159855735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2917"/>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宋体" w:hAnsi="宋体"/>
            </w:rPr>
            <w:tag w:val="_PLD_a34f889fb3794268b1f04c9534377486"/>
            <w:id w:val="733120676"/>
          </w:sdtPr>
          <w:sdtEndPr>
            <w:rPr>
              <w:rFonts w:ascii="宋体" w:hAnsi="宋体"/>
            </w:rPr>
          </w:sdtEndPr>
          <w:sdtContent>
            <w:tc>
              <w:tcPr>
                <w:tcW w:w="1816" w:type="pct"/>
                <w:shd w:val="clear" w:color="auto" w:fill="auto"/>
                <w:vAlign w:val="center"/>
              </w:tcPr>
              <w:p>
                <w:pPr>
                  <w:jc w:val="center"/>
                  <w:rPr>
                    <w:rFonts w:ascii="宋体" w:hAnsi="宋体"/>
                  </w:rPr>
                </w:pPr>
                <w:bookmarkStart w:id="267" w:name="_Hlk533421736"/>
                <w:r>
                  <w:rPr>
                    <w:rFonts w:hint="eastAsia" w:ascii="宋体" w:hAnsi="宋体"/>
                  </w:rPr>
                  <w:t>项目</w:t>
                </w:r>
              </w:p>
            </w:tc>
          </w:sdtContent>
        </w:sdt>
        <w:sdt>
          <w:sdtPr>
            <w:rPr>
              <w:rFonts w:ascii="宋体" w:hAnsi="宋体"/>
            </w:rPr>
            <w:tag w:val="_PLD_97b9b7e912e14a06b24f532e76914900"/>
            <w:id w:val="1189259603"/>
          </w:sdtPr>
          <w:sdtEndPr>
            <w:rPr>
              <w:rFonts w:ascii="宋体" w:hAnsi="宋体"/>
            </w:rPr>
          </w:sdtEndPr>
          <w:sdtContent>
            <w:tc>
              <w:tcPr>
                <w:tcW w:w="1612" w:type="pct"/>
                <w:shd w:val="clear" w:color="auto" w:fill="auto"/>
                <w:vAlign w:val="center"/>
              </w:tcPr>
              <w:p>
                <w:pPr>
                  <w:jc w:val="center"/>
                  <w:rPr>
                    <w:rFonts w:ascii="宋体" w:hAnsi="宋体"/>
                  </w:rPr>
                </w:pPr>
                <w:r>
                  <w:rPr>
                    <w:rFonts w:hint="eastAsia" w:ascii="宋体" w:hAnsi="宋体"/>
                  </w:rPr>
                  <w:t>期末余额</w:t>
                </w:r>
              </w:p>
            </w:tc>
          </w:sdtContent>
        </w:sdt>
        <w:sdt>
          <w:sdtPr>
            <w:rPr>
              <w:rFonts w:ascii="宋体" w:hAnsi="宋体"/>
            </w:rPr>
            <w:tag w:val="_PLD_c02c94d4c7614f3cadd2972514fb87f4"/>
            <w:id w:val="1162509204"/>
          </w:sdtPr>
          <w:sdtEndPr>
            <w:rPr>
              <w:rFonts w:ascii="宋体" w:hAnsi="宋体"/>
            </w:rPr>
          </w:sdtEndPr>
          <w:sdtContent>
            <w:tc>
              <w:tcPr>
                <w:tcW w:w="1572" w:type="pct"/>
                <w:shd w:val="clear" w:color="auto" w:fill="auto"/>
                <w:vAlign w:val="center"/>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宋体" w:hAnsi="宋体"/>
              </w:rPr>
            </w:pPr>
            <w:r>
              <w:rPr>
                <w:rFonts w:hint="eastAsia" w:ascii="宋体" w:hAnsi="宋体"/>
              </w:rPr>
              <w:t>发放贷款及垫款</w:t>
            </w:r>
          </w:p>
        </w:tc>
        <w:tc>
          <w:tcPr>
            <w:tcW w:w="1612" w:type="pct"/>
            <w:shd w:val="clear" w:color="auto" w:fill="auto"/>
          </w:tcPr>
          <w:p>
            <w:pPr>
              <w:snapToGrid w:val="0"/>
              <w:jc w:val="right"/>
              <w:rPr>
                <w:rFonts w:ascii="宋体" w:hAnsi="宋体"/>
              </w:rPr>
            </w:pPr>
            <w:r>
              <w:rPr>
                <w:rFonts w:hint="eastAsia" w:ascii="宋体" w:hAnsi="宋体"/>
              </w:rPr>
              <w:t>12,747,150</w:t>
            </w:r>
          </w:p>
        </w:tc>
        <w:tc>
          <w:tcPr>
            <w:tcW w:w="1572" w:type="pct"/>
            <w:shd w:val="clear" w:color="auto" w:fill="auto"/>
          </w:tcPr>
          <w:p>
            <w:pPr>
              <w:snapToGrid w:val="0"/>
              <w:jc w:val="right"/>
              <w:rPr>
                <w:rFonts w:ascii="宋体" w:hAnsi="宋体"/>
              </w:rPr>
            </w:pPr>
            <w:r>
              <w:rPr>
                <w:rFonts w:hint="eastAsia" w:ascii="宋体" w:hAnsi="宋体"/>
              </w:rPr>
              <w:t>8,765,312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宋体" w:hAnsi="宋体"/>
              </w:rPr>
            </w:pPr>
            <w:r>
              <w:rPr>
                <w:rFonts w:hint="eastAsia" w:ascii="宋体" w:hAnsi="宋体"/>
              </w:rPr>
              <w:t>土地塌陷、复原、重整及环保费</w:t>
            </w:r>
          </w:p>
        </w:tc>
        <w:tc>
          <w:tcPr>
            <w:tcW w:w="1612" w:type="pct"/>
            <w:shd w:val="clear" w:color="auto" w:fill="auto"/>
          </w:tcPr>
          <w:p>
            <w:pPr>
              <w:snapToGrid w:val="0"/>
              <w:jc w:val="right"/>
              <w:rPr>
                <w:rFonts w:ascii="宋体" w:hAnsi="宋体"/>
              </w:rPr>
            </w:pPr>
            <w:r>
              <w:rPr>
                <w:rFonts w:hint="eastAsia" w:ascii="宋体" w:hAnsi="宋体"/>
              </w:rPr>
              <w:t>12,</w:t>
            </w:r>
            <w:r>
              <w:rPr>
                <w:rFonts w:ascii="宋体" w:hAnsi="宋体"/>
              </w:rPr>
              <w:t>322</w:t>
            </w:r>
            <w:r>
              <w:rPr>
                <w:rFonts w:hint="eastAsia" w:ascii="宋体" w:hAnsi="宋体"/>
              </w:rPr>
              <w:t>,</w:t>
            </w:r>
            <w:r>
              <w:rPr>
                <w:rFonts w:ascii="宋体" w:hAnsi="宋体"/>
              </w:rPr>
              <w:t>765</w:t>
            </w:r>
          </w:p>
        </w:tc>
        <w:tc>
          <w:tcPr>
            <w:tcW w:w="1572" w:type="pct"/>
            <w:shd w:val="clear" w:color="auto" w:fill="auto"/>
          </w:tcPr>
          <w:p>
            <w:pPr>
              <w:snapToGrid w:val="0"/>
              <w:jc w:val="right"/>
              <w:rPr>
                <w:rFonts w:ascii="宋体" w:hAnsi="宋体"/>
              </w:rPr>
            </w:pPr>
            <w:r>
              <w:rPr>
                <w:rFonts w:hint="eastAsia" w:ascii="宋体" w:hAnsi="宋体"/>
              </w:rPr>
              <w:t>8,717,389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宋体" w:hAnsi="宋体"/>
              </w:rPr>
            </w:pPr>
            <w:r>
              <w:rPr>
                <w:rFonts w:hint="eastAsia" w:ascii="宋体" w:hAnsi="宋体"/>
              </w:rPr>
              <w:t>待抵扣进项税、预缴税款</w:t>
            </w:r>
          </w:p>
        </w:tc>
        <w:tc>
          <w:tcPr>
            <w:tcW w:w="1612" w:type="pct"/>
            <w:shd w:val="clear" w:color="auto" w:fill="auto"/>
          </w:tcPr>
          <w:p>
            <w:pPr>
              <w:snapToGrid w:val="0"/>
              <w:jc w:val="right"/>
              <w:rPr>
                <w:rFonts w:ascii="宋体" w:hAnsi="宋体"/>
              </w:rPr>
            </w:pPr>
            <w:r>
              <w:rPr>
                <w:rFonts w:hint="eastAsia" w:ascii="宋体" w:hAnsi="宋体"/>
              </w:rPr>
              <w:t>1,022,00</w:t>
            </w:r>
            <w:r>
              <w:rPr>
                <w:rFonts w:ascii="宋体" w:hAnsi="宋体"/>
              </w:rPr>
              <w:t>6</w:t>
            </w:r>
          </w:p>
        </w:tc>
        <w:tc>
          <w:tcPr>
            <w:tcW w:w="1572" w:type="pct"/>
            <w:shd w:val="clear" w:color="auto" w:fill="auto"/>
          </w:tcPr>
          <w:p>
            <w:pPr>
              <w:snapToGrid w:val="0"/>
              <w:jc w:val="right"/>
              <w:rPr>
                <w:rFonts w:ascii="宋体" w:hAnsi="宋体"/>
              </w:rPr>
            </w:pPr>
            <w:r>
              <w:rPr>
                <w:rFonts w:hint="eastAsia" w:ascii="宋体" w:hAnsi="宋体"/>
              </w:rPr>
              <w:t>1,351,994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宋体" w:hAnsi="宋体"/>
              </w:rPr>
            </w:pPr>
            <w:r>
              <w:rPr>
                <w:rFonts w:hint="eastAsia" w:ascii="宋体" w:hAnsi="宋体"/>
              </w:rPr>
              <w:t>应收保理款</w:t>
            </w:r>
          </w:p>
        </w:tc>
        <w:tc>
          <w:tcPr>
            <w:tcW w:w="1612" w:type="pct"/>
            <w:shd w:val="clear" w:color="auto" w:fill="auto"/>
          </w:tcPr>
          <w:p>
            <w:pPr>
              <w:snapToGrid w:val="0"/>
              <w:jc w:val="right"/>
              <w:rPr>
                <w:rFonts w:ascii="宋体" w:hAnsi="宋体"/>
              </w:rPr>
            </w:pPr>
            <w:r>
              <w:rPr>
                <w:rFonts w:hint="eastAsia" w:ascii="宋体" w:hAnsi="宋体"/>
              </w:rPr>
              <w:t>344,016</w:t>
            </w:r>
          </w:p>
        </w:tc>
        <w:tc>
          <w:tcPr>
            <w:tcW w:w="1572" w:type="pct"/>
            <w:shd w:val="clear" w:color="auto" w:fill="auto"/>
          </w:tcPr>
          <w:p>
            <w:pPr>
              <w:snapToGrid w:val="0"/>
              <w:jc w:val="right"/>
              <w:rPr>
                <w:rFonts w:ascii="宋体" w:hAnsi="宋体"/>
              </w:rPr>
            </w:pPr>
            <w:r>
              <w:rPr>
                <w:rFonts w:hint="eastAsia" w:ascii="宋体" w:hAnsi="宋体"/>
              </w:rPr>
              <w:t>377,141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宋体" w:hAnsi="宋体"/>
              </w:rPr>
            </w:pPr>
            <w:r>
              <w:rPr>
                <w:rFonts w:hint="eastAsia" w:ascii="宋体" w:hAnsi="宋体"/>
              </w:rPr>
              <w:t>预缴采矿权出让收益</w:t>
            </w:r>
          </w:p>
        </w:tc>
        <w:tc>
          <w:tcPr>
            <w:tcW w:w="1612" w:type="pct"/>
            <w:shd w:val="clear" w:color="auto" w:fill="auto"/>
          </w:tcPr>
          <w:p>
            <w:pPr>
              <w:snapToGrid w:val="0"/>
              <w:jc w:val="right"/>
              <w:rPr>
                <w:rFonts w:ascii="宋体" w:hAnsi="宋体"/>
              </w:rPr>
            </w:pPr>
            <w:r>
              <w:rPr>
                <w:rFonts w:hint="eastAsia" w:ascii="宋体" w:hAnsi="宋体"/>
              </w:rPr>
              <w:t>217,547</w:t>
            </w:r>
          </w:p>
        </w:tc>
        <w:tc>
          <w:tcPr>
            <w:tcW w:w="1572" w:type="pct"/>
            <w:shd w:val="clear" w:color="auto" w:fill="auto"/>
          </w:tcPr>
          <w:p>
            <w:pPr>
              <w:snapToGrid w:val="0"/>
              <w:jc w:val="right"/>
              <w:rPr>
                <w:rFonts w:ascii="宋体" w:hAnsi="宋体"/>
              </w:rPr>
            </w:pPr>
            <w:r>
              <w:rPr>
                <w:rFonts w:hint="eastAsia" w:ascii="宋体" w:hAnsi="宋体"/>
              </w:rPr>
              <w:t>252,341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宋体" w:hAnsi="宋体"/>
              </w:rPr>
            </w:pPr>
            <w:r>
              <w:rPr>
                <w:rFonts w:hint="eastAsia" w:ascii="宋体" w:hAnsi="宋体"/>
              </w:rPr>
              <w:t>环境治理保证金</w:t>
            </w:r>
          </w:p>
        </w:tc>
        <w:tc>
          <w:tcPr>
            <w:tcW w:w="1612" w:type="pct"/>
            <w:shd w:val="clear" w:color="auto" w:fill="auto"/>
          </w:tcPr>
          <w:p>
            <w:pPr>
              <w:snapToGrid w:val="0"/>
              <w:jc w:val="right"/>
              <w:rPr>
                <w:rFonts w:ascii="宋体" w:hAnsi="宋体"/>
              </w:rPr>
            </w:pPr>
            <w:r>
              <w:rPr>
                <w:rFonts w:hint="eastAsia" w:ascii="宋体" w:hAnsi="宋体"/>
              </w:rPr>
              <w:t>62,186</w:t>
            </w:r>
          </w:p>
        </w:tc>
        <w:tc>
          <w:tcPr>
            <w:tcW w:w="1572" w:type="pct"/>
            <w:shd w:val="clear" w:color="auto" w:fill="auto"/>
          </w:tcPr>
          <w:p>
            <w:pPr>
              <w:snapToGrid w:val="0"/>
              <w:jc w:val="right"/>
              <w:rPr>
                <w:rFonts w:ascii="宋体" w:hAnsi="宋体"/>
              </w:rPr>
            </w:pPr>
            <w:r>
              <w:rPr>
                <w:rFonts w:hint="eastAsia" w:ascii="宋体" w:hAnsi="宋体"/>
              </w:rPr>
              <w:t>62,186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宋体" w:hAnsi="宋体"/>
              </w:rPr>
            </w:pPr>
            <w:r>
              <w:rPr>
                <w:rFonts w:hint="eastAsia" w:ascii="宋体" w:hAnsi="宋体"/>
              </w:rPr>
              <w:t>长期服务假基金会补偿金</w:t>
            </w:r>
          </w:p>
        </w:tc>
        <w:tc>
          <w:tcPr>
            <w:tcW w:w="1612" w:type="pct"/>
            <w:shd w:val="clear" w:color="auto" w:fill="auto"/>
          </w:tcPr>
          <w:p>
            <w:pPr>
              <w:snapToGrid w:val="0"/>
              <w:jc w:val="right"/>
              <w:rPr>
                <w:rFonts w:ascii="宋体" w:hAnsi="宋体"/>
              </w:rPr>
            </w:pPr>
            <w:r>
              <w:rPr>
                <w:rFonts w:hint="eastAsia" w:ascii="宋体" w:hAnsi="宋体"/>
              </w:rPr>
              <w:t>31,150</w:t>
            </w:r>
          </w:p>
        </w:tc>
        <w:tc>
          <w:tcPr>
            <w:tcW w:w="1572" w:type="pct"/>
            <w:shd w:val="clear" w:color="auto" w:fill="auto"/>
          </w:tcPr>
          <w:p>
            <w:pPr>
              <w:snapToGrid w:val="0"/>
              <w:jc w:val="right"/>
              <w:rPr>
                <w:rFonts w:ascii="宋体" w:hAnsi="宋体"/>
              </w:rPr>
            </w:pPr>
            <w:r>
              <w:rPr>
                <w:rFonts w:hint="eastAsia" w:ascii="宋体" w:hAnsi="宋体"/>
              </w:rPr>
              <w:t>11,396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rPr>
                <w:rFonts w:ascii="宋体" w:hAnsi="宋体"/>
              </w:rPr>
            </w:pPr>
            <w:r>
              <w:rPr>
                <w:rFonts w:hint="eastAsia" w:ascii="宋体" w:hAnsi="宋体"/>
              </w:rPr>
              <w:t>其他</w:t>
            </w:r>
          </w:p>
        </w:tc>
        <w:tc>
          <w:tcPr>
            <w:tcW w:w="1612" w:type="pct"/>
            <w:shd w:val="clear" w:color="auto" w:fill="auto"/>
          </w:tcPr>
          <w:p>
            <w:pPr>
              <w:snapToGrid w:val="0"/>
              <w:jc w:val="right"/>
              <w:rPr>
                <w:rFonts w:ascii="宋体" w:hAnsi="宋体"/>
              </w:rPr>
            </w:pPr>
          </w:p>
        </w:tc>
        <w:tc>
          <w:tcPr>
            <w:tcW w:w="1572" w:type="pct"/>
            <w:shd w:val="clear" w:color="auto" w:fill="auto"/>
          </w:tcPr>
          <w:p>
            <w:pPr>
              <w:snapToGrid w:val="0"/>
              <w:jc w:val="right"/>
              <w:rPr>
                <w:rFonts w:ascii="宋体" w:hAnsi="宋体"/>
              </w:rPr>
            </w:pPr>
            <w:r>
              <w:rPr>
                <w:rFonts w:hint="eastAsia" w:ascii="宋体" w:hAnsi="宋体"/>
              </w:rPr>
              <w:t>31,329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jc w:val="center"/>
              <w:rPr>
                <w:rFonts w:ascii="宋体" w:hAnsi="宋体"/>
              </w:rPr>
            </w:pPr>
            <w:r>
              <w:rPr>
                <w:rFonts w:hint="eastAsia" w:ascii="宋体" w:hAnsi="宋体"/>
              </w:rPr>
              <w:t>合计</w:t>
            </w:r>
          </w:p>
        </w:tc>
        <w:tc>
          <w:tcPr>
            <w:tcW w:w="1612" w:type="pct"/>
            <w:shd w:val="clear" w:color="auto" w:fill="auto"/>
          </w:tcPr>
          <w:p>
            <w:pPr>
              <w:snapToGrid w:val="0"/>
              <w:jc w:val="right"/>
              <w:rPr>
                <w:rFonts w:ascii="宋体" w:hAnsi="宋体"/>
              </w:rPr>
            </w:pPr>
            <w:r>
              <w:rPr>
                <w:rFonts w:ascii="宋体" w:hAnsi="宋体"/>
              </w:rPr>
              <w:t>26,746,820</w:t>
            </w:r>
          </w:p>
        </w:tc>
        <w:tc>
          <w:tcPr>
            <w:tcW w:w="1572" w:type="pct"/>
            <w:shd w:val="clear" w:color="auto" w:fill="auto"/>
          </w:tcPr>
          <w:p>
            <w:pPr>
              <w:snapToGrid w:val="0"/>
              <w:jc w:val="right"/>
              <w:rPr>
                <w:rFonts w:ascii="宋体" w:hAnsi="宋体"/>
              </w:rPr>
            </w:pPr>
            <w:r>
              <w:rPr>
                <w:rFonts w:hint="eastAsia" w:ascii="宋体" w:hAnsi="宋体"/>
              </w:rPr>
              <w:t>19,569,088</w:t>
            </w:r>
          </w:p>
        </w:tc>
      </w:tr>
      <w:bookmarkEnd w:id="266"/>
      <w:bookmarkEnd w:id="267"/>
    </w:tbl>
    <w:p>
      <w:pPr>
        <w:pStyle w:val="531"/>
      </w:pPr>
    </w:p>
    <w:p>
      <w:pPr>
        <w:pStyle w:val="504"/>
        <w:numPr>
          <w:ilvl w:val="0"/>
          <w:numId w:val="69"/>
        </w:numPr>
        <w:tabs>
          <w:tab w:val="left" w:pos="504"/>
        </w:tabs>
      </w:pPr>
      <w:r>
        <w:rPr>
          <w:rFonts w:hint="eastAsia"/>
        </w:rPr>
        <w:t>债权投资</w:t>
      </w:r>
    </w:p>
    <w:p>
      <w:pPr>
        <w:pStyle w:val="505"/>
        <w:numPr>
          <w:ilvl w:val="3"/>
          <w:numId w:val="79"/>
        </w:numPr>
        <w:ind w:left="426" w:hanging="426"/>
      </w:pPr>
      <w:bookmarkStart w:id="268" w:name="_Hlk532993723"/>
      <w:r>
        <w:rPr>
          <w:rFonts w:hint="eastAsia"/>
        </w:rPr>
        <w:t>债权投资情况</w:t>
      </w:r>
    </w:p>
    <w:sdt>
      <w:sdtPr>
        <w:alias w:val="是否适用：以摊余成本计量的长期债权投资[双击切换]"/>
        <w:tag w:val="_GBC_dbc7f90615cc46578228904cb4aa1cff"/>
        <w:id w:val="980581472"/>
        <w:placeholder>
          <w:docPart w:val="GBC22222222222222222222222222222"/>
        </w:placeholder>
      </w:sdtPr>
      <w:sdtContent>
        <w:p>
          <w:pPr>
            <w:pStyle w:val="531"/>
          </w:pPr>
          <w:bookmarkStart w:id="269" w:name="_Hlk53340958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以摊余成本计量的长期债权投资"/>
          <w:tag w:val="_GBC_e4b2af44ab544925b7940c81ec4f76a8"/>
          <w:id w:val="-10105228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以摊余成本计量的长期债权投资"/>
          <w:tag w:val="_GBC_844b3b4285304877a6269088d25bb6e0"/>
          <w:id w:val="14952250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792"/>
        <w:gridCol w:w="1283"/>
        <w:gridCol w:w="1150"/>
        <w:gridCol w:w="1201"/>
        <w:gridCol w:w="1270"/>
        <w:gridCol w:w="1176"/>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41e2acdea5b465389b0cf9a9a5b09ad"/>
            <w:id w:val="-2125224954"/>
          </w:sdtPr>
          <w:sdtContent>
            <w:tc>
              <w:tcPr>
                <w:tcW w:w="989" w:type="pct"/>
                <w:vMerge w:val="restart"/>
                <w:shd w:val="clear" w:color="auto" w:fill="auto"/>
                <w:vAlign w:val="center"/>
              </w:tcPr>
              <w:p>
                <w:pPr>
                  <w:jc w:val="center"/>
                </w:pPr>
                <w:r>
                  <w:rPr>
                    <w:rFonts w:hint="eastAsia"/>
                  </w:rPr>
                  <w:t>项目</w:t>
                </w:r>
              </w:p>
            </w:tc>
          </w:sdtContent>
        </w:sdt>
        <w:sdt>
          <w:sdtPr>
            <w:tag w:val="_PLD_bb05d19aa0fc43b595aeb3a6f7a5144e"/>
            <w:id w:val="-495648115"/>
          </w:sdtPr>
          <w:sdtContent>
            <w:tc>
              <w:tcPr>
                <w:tcW w:w="2006" w:type="pct"/>
                <w:gridSpan w:val="3"/>
                <w:shd w:val="clear" w:color="auto" w:fill="auto"/>
                <w:vAlign w:val="center"/>
              </w:tcPr>
              <w:p>
                <w:pPr>
                  <w:autoSpaceDE w:val="0"/>
                  <w:autoSpaceDN w:val="0"/>
                  <w:adjustRightInd w:val="0"/>
                  <w:snapToGrid w:val="0"/>
                  <w:spacing w:line="240" w:lineRule="atLeast"/>
                  <w:jc w:val="center"/>
                </w:pPr>
                <w:r>
                  <w:rPr>
                    <w:rFonts w:hint="eastAsia"/>
                  </w:rPr>
                  <w:t>期末余额</w:t>
                </w:r>
              </w:p>
            </w:tc>
          </w:sdtContent>
        </w:sdt>
        <w:sdt>
          <w:sdtPr>
            <w:tag w:val="_PLD_54e466b4eeec4c2380fbadf96ea47833"/>
            <w:id w:val="727493297"/>
          </w:sdtPr>
          <w:sdtContent>
            <w:tc>
              <w:tcPr>
                <w:tcW w:w="2005" w:type="pct"/>
                <w:gridSpan w:val="3"/>
                <w:shd w:val="clear" w:color="auto" w:fill="auto"/>
                <w:vAlign w:val="center"/>
              </w:tcPr>
              <w:p>
                <w:pPr>
                  <w:autoSpaceDE w:val="0"/>
                  <w:autoSpaceDN w:val="0"/>
                  <w:adjustRightInd w:val="0"/>
                  <w:snapToGrid w:val="0"/>
                  <w:spacing w:line="240" w:lineRule="atLeast"/>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989" w:type="pct"/>
            <w:vMerge w:val="continue"/>
            <w:shd w:val="clear" w:color="auto" w:fill="auto"/>
            <w:vAlign w:val="center"/>
          </w:tcPr>
          <w:p>
            <w:pPr>
              <w:jc w:val="center"/>
            </w:pPr>
          </w:p>
        </w:tc>
        <w:sdt>
          <w:sdtPr>
            <w:tag w:val="_PLD_2f38b39e23df473e8d5fb07365f7092f"/>
            <w:id w:val="-1582592796"/>
          </w:sdtPr>
          <w:sdtContent>
            <w:tc>
              <w:tcPr>
                <w:tcW w:w="708" w:type="pct"/>
                <w:shd w:val="clear" w:color="auto" w:fill="auto"/>
                <w:vAlign w:val="center"/>
              </w:tcPr>
              <w:p>
                <w:pPr>
                  <w:jc w:val="center"/>
                </w:pPr>
                <w:r>
                  <w:rPr>
                    <w:rFonts w:hint="eastAsia"/>
                  </w:rPr>
                  <w:t>账面余额</w:t>
                </w:r>
              </w:p>
            </w:tc>
          </w:sdtContent>
        </w:sdt>
        <w:sdt>
          <w:sdtPr>
            <w:tag w:val="_PLD_700afc848f304a6bb239d4ba71b88363"/>
            <w:id w:val="1968766178"/>
          </w:sdtPr>
          <w:sdtContent>
            <w:tc>
              <w:tcPr>
                <w:tcW w:w="635" w:type="pct"/>
                <w:shd w:val="clear" w:color="auto" w:fill="auto"/>
                <w:vAlign w:val="center"/>
              </w:tcPr>
              <w:p>
                <w:pPr>
                  <w:jc w:val="center"/>
                </w:pPr>
                <w:r>
                  <w:rPr>
                    <w:rFonts w:hint="eastAsia"/>
                  </w:rPr>
                  <w:t>减值准备</w:t>
                </w:r>
              </w:p>
            </w:tc>
          </w:sdtContent>
        </w:sdt>
        <w:sdt>
          <w:sdtPr>
            <w:tag w:val="_PLD_fa422c3c2cf34a3aad6f54a2ec1b1238"/>
            <w:id w:val="-693387990"/>
          </w:sdtPr>
          <w:sdtContent>
            <w:tc>
              <w:tcPr>
                <w:tcW w:w="663" w:type="pct"/>
                <w:shd w:val="clear" w:color="auto" w:fill="auto"/>
                <w:vAlign w:val="center"/>
              </w:tcPr>
              <w:p>
                <w:pPr>
                  <w:jc w:val="center"/>
                </w:pPr>
                <w:r>
                  <w:rPr>
                    <w:rFonts w:hint="eastAsia"/>
                  </w:rPr>
                  <w:t>账面价值</w:t>
                </w:r>
              </w:p>
            </w:tc>
          </w:sdtContent>
        </w:sdt>
        <w:sdt>
          <w:sdtPr>
            <w:tag w:val="_PLD_34965d3b66af46c680bb205960c1f786"/>
            <w:id w:val="1567609394"/>
          </w:sdtPr>
          <w:sdtContent>
            <w:tc>
              <w:tcPr>
                <w:tcW w:w="701" w:type="pct"/>
                <w:shd w:val="clear" w:color="auto" w:fill="auto"/>
                <w:vAlign w:val="center"/>
              </w:tcPr>
              <w:p>
                <w:pPr>
                  <w:jc w:val="center"/>
                </w:pPr>
                <w:r>
                  <w:rPr>
                    <w:rFonts w:hint="eastAsia"/>
                  </w:rPr>
                  <w:t>账面余额</w:t>
                </w:r>
              </w:p>
            </w:tc>
          </w:sdtContent>
        </w:sdt>
        <w:sdt>
          <w:sdtPr>
            <w:tag w:val="_PLD_8cc6f9efceac4df3b7df82f8e339722a"/>
            <w:id w:val="706304948"/>
          </w:sdtPr>
          <w:sdtContent>
            <w:tc>
              <w:tcPr>
                <w:tcW w:w="649" w:type="pct"/>
                <w:shd w:val="clear" w:color="auto" w:fill="auto"/>
                <w:vAlign w:val="center"/>
              </w:tcPr>
              <w:p>
                <w:pPr>
                  <w:jc w:val="center"/>
                </w:pPr>
                <w:r>
                  <w:rPr>
                    <w:rFonts w:hint="eastAsia"/>
                  </w:rPr>
                  <w:t>减值准备</w:t>
                </w:r>
              </w:p>
            </w:tc>
          </w:sdtContent>
        </w:sdt>
        <w:sdt>
          <w:sdtPr>
            <w:tag w:val="_PLD_23d43e3c982642b198da573116b4069d"/>
            <w:id w:val="1813751768"/>
          </w:sdtPr>
          <w:sdtContent>
            <w:tc>
              <w:tcPr>
                <w:tcW w:w="655" w:type="pct"/>
                <w:shd w:val="clear" w:color="auto" w:fill="auto"/>
                <w:vAlign w:val="center"/>
              </w:tcPr>
              <w:p>
                <w:pPr>
                  <w:jc w:val="center"/>
                </w:pPr>
                <w:r>
                  <w:rPr>
                    <w:rFonts w:hint="eastAsia"/>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989" w:type="pct"/>
            <w:shd w:val="clear" w:color="auto" w:fill="auto"/>
            <w:vAlign w:val="center"/>
          </w:tcPr>
          <w:p>
            <w:pPr>
              <w:pStyle w:val="501"/>
            </w:pPr>
            <w:r>
              <w:rPr>
                <w:rFonts w:hint="eastAsia"/>
              </w:rPr>
              <w:t>委托贷款</w:t>
            </w:r>
          </w:p>
        </w:tc>
        <w:tc>
          <w:tcPr>
            <w:tcW w:w="70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190,000</w:t>
            </w:r>
          </w:p>
        </w:tc>
        <w:tc>
          <w:tcPr>
            <w:tcW w:w="63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190,000</w:t>
            </w:r>
          </w:p>
        </w:tc>
        <w:tc>
          <w:tcPr>
            <w:tcW w:w="66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70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190,000</w:t>
            </w:r>
          </w:p>
        </w:tc>
        <w:tc>
          <w:tcPr>
            <w:tcW w:w="64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190,000</w:t>
            </w:r>
          </w:p>
        </w:tc>
        <w:tc>
          <w:tcPr>
            <w:tcW w:w="655" w:type="pct"/>
            <w:shd w:val="clear" w:color="auto" w:fill="auto"/>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989" w:type="pct"/>
            <w:shd w:val="clear" w:color="auto" w:fill="auto"/>
            <w:vAlign w:val="center"/>
          </w:tcPr>
          <w:p>
            <w:pPr>
              <w:pStyle w:val="501"/>
            </w:pPr>
            <w:r>
              <w:rPr>
                <w:rFonts w:hint="eastAsia"/>
              </w:rPr>
              <w:t>格拉斯通债券</w:t>
            </w:r>
          </w:p>
        </w:tc>
        <w:tc>
          <w:tcPr>
            <w:tcW w:w="70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152,724</w:t>
            </w:r>
          </w:p>
        </w:tc>
        <w:tc>
          <w:tcPr>
            <w:tcW w:w="63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83,877</w:t>
            </w:r>
          </w:p>
        </w:tc>
        <w:tc>
          <w:tcPr>
            <w:tcW w:w="66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68,847</w:t>
            </w:r>
          </w:p>
        </w:tc>
        <w:tc>
          <w:tcPr>
            <w:tcW w:w="70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148,485</w:t>
            </w:r>
          </w:p>
        </w:tc>
        <w:tc>
          <w:tcPr>
            <w:tcW w:w="64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81,549</w:t>
            </w:r>
          </w:p>
        </w:tc>
        <w:tc>
          <w:tcPr>
            <w:tcW w:w="655" w:type="pct"/>
            <w:shd w:val="clear" w:color="auto" w:fill="auto"/>
          </w:tcPr>
          <w:p>
            <w:pPr>
              <w:jc w:val="right"/>
              <w:rPr>
                <w:rFonts w:ascii="宋体" w:hAnsi="宋体"/>
              </w:rPr>
            </w:pPr>
            <w:r>
              <w:rPr>
                <w:rFonts w:ascii="宋体" w:hAnsi="宋体"/>
              </w:rPr>
              <w:t>66,936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989" w:type="pct"/>
            <w:shd w:val="clear" w:color="auto" w:fill="auto"/>
            <w:vAlign w:val="center"/>
          </w:tcPr>
          <w:p>
            <w:pPr>
              <w:pStyle w:val="501"/>
            </w:pPr>
            <w:r>
              <w:rPr>
                <w:rFonts w:hint="eastAsia"/>
              </w:rPr>
              <w:t>菏泽城投美元债</w:t>
            </w:r>
          </w:p>
        </w:tc>
        <w:tc>
          <w:tcPr>
            <w:tcW w:w="70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3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6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70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139,292</w:t>
            </w:r>
          </w:p>
        </w:tc>
        <w:tc>
          <w:tcPr>
            <w:tcW w:w="64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55" w:type="pct"/>
            <w:shd w:val="clear" w:color="auto" w:fill="auto"/>
          </w:tcPr>
          <w:p>
            <w:pPr>
              <w:jc w:val="right"/>
              <w:rPr>
                <w:rFonts w:ascii="宋体" w:hAnsi="宋体"/>
              </w:rPr>
            </w:pPr>
            <w:r>
              <w:rPr>
                <w:rFonts w:ascii="宋体" w:hAnsi="宋体"/>
              </w:rPr>
              <w:t>139,292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989" w:type="pct"/>
            <w:tcBorders>
              <w:bottom w:val="single" w:color="auto" w:sz="4" w:space="0"/>
            </w:tcBorders>
            <w:shd w:val="clear" w:color="auto" w:fill="auto"/>
            <w:vAlign w:val="center"/>
          </w:tcPr>
          <w:p>
            <w:pPr>
              <w:pStyle w:val="501"/>
            </w:pPr>
            <w:r>
              <w:rPr>
                <w:rFonts w:hint="eastAsia"/>
              </w:rPr>
              <w:t>国债</w:t>
            </w:r>
          </w:p>
        </w:tc>
        <w:tc>
          <w:tcPr>
            <w:tcW w:w="70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3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6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70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19,986</w:t>
            </w:r>
          </w:p>
        </w:tc>
        <w:tc>
          <w:tcPr>
            <w:tcW w:w="64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55" w:type="pct"/>
            <w:tcBorders>
              <w:bottom w:val="single" w:color="auto" w:sz="4" w:space="0"/>
            </w:tcBorders>
            <w:shd w:val="clear" w:color="auto" w:fill="auto"/>
          </w:tcPr>
          <w:p>
            <w:pPr>
              <w:jc w:val="right"/>
              <w:rPr>
                <w:rFonts w:ascii="宋体" w:hAnsi="宋体"/>
              </w:rPr>
            </w:pPr>
            <w:r>
              <w:rPr>
                <w:rFonts w:ascii="宋体" w:hAnsi="宋体"/>
              </w:rPr>
              <w:t>19,986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989" w:type="pct"/>
            <w:tcBorders>
              <w:bottom w:val="single" w:color="auto" w:sz="4" w:space="0"/>
            </w:tcBorders>
            <w:shd w:val="clear" w:color="auto" w:fill="auto"/>
            <w:vAlign w:val="center"/>
          </w:tcPr>
          <w:p>
            <w:pPr>
              <w:jc w:val="center"/>
            </w:pPr>
            <w:r>
              <w:rPr>
                <w:rFonts w:hint="eastAsia"/>
              </w:rPr>
              <w:t>合计</w:t>
            </w:r>
          </w:p>
        </w:tc>
        <w:tc>
          <w:tcPr>
            <w:tcW w:w="70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342,724</w:t>
            </w:r>
          </w:p>
        </w:tc>
        <w:tc>
          <w:tcPr>
            <w:tcW w:w="63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273,877</w:t>
            </w:r>
          </w:p>
        </w:tc>
        <w:tc>
          <w:tcPr>
            <w:tcW w:w="663" w:type="pct"/>
            <w:tcBorders>
              <w:bottom w:val="single" w:color="auto" w:sz="4" w:space="0"/>
            </w:tcBorders>
            <w:shd w:val="clear" w:color="auto" w:fill="auto"/>
          </w:tcPr>
          <w:p>
            <w:pPr>
              <w:jc w:val="right"/>
              <w:rPr>
                <w:rFonts w:ascii="宋体" w:hAnsi="宋体"/>
              </w:rPr>
            </w:pPr>
            <w:r>
              <w:rPr>
                <w:rFonts w:ascii="宋体" w:hAnsi="宋体"/>
              </w:rPr>
              <w:t>68,847</w:t>
            </w:r>
          </w:p>
        </w:tc>
        <w:tc>
          <w:tcPr>
            <w:tcW w:w="701" w:type="pct"/>
            <w:tcBorders>
              <w:bottom w:val="single" w:color="auto" w:sz="4" w:space="0"/>
            </w:tcBorders>
            <w:shd w:val="clear" w:color="auto" w:fill="auto"/>
          </w:tcPr>
          <w:p>
            <w:pPr>
              <w:jc w:val="right"/>
              <w:rPr>
                <w:rFonts w:ascii="宋体" w:hAnsi="宋体"/>
              </w:rPr>
            </w:pPr>
            <w:r>
              <w:rPr>
                <w:rFonts w:ascii="宋体" w:hAnsi="宋体"/>
              </w:rPr>
              <w:t>497,763</w:t>
            </w:r>
          </w:p>
        </w:tc>
        <w:tc>
          <w:tcPr>
            <w:tcW w:w="649" w:type="pct"/>
            <w:tcBorders>
              <w:bottom w:val="single" w:color="auto" w:sz="4" w:space="0"/>
            </w:tcBorders>
            <w:shd w:val="clear" w:color="auto" w:fill="auto"/>
          </w:tcPr>
          <w:p>
            <w:pPr>
              <w:jc w:val="right"/>
              <w:rPr>
                <w:rFonts w:ascii="宋体" w:hAnsi="宋体"/>
              </w:rPr>
            </w:pPr>
            <w:r>
              <w:rPr>
                <w:rFonts w:ascii="宋体" w:hAnsi="宋体"/>
              </w:rPr>
              <w:t>271,549</w:t>
            </w:r>
          </w:p>
        </w:tc>
        <w:tc>
          <w:tcPr>
            <w:tcW w:w="655" w:type="pct"/>
            <w:tcBorders>
              <w:bottom w:val="single" w:color="auto" w:sz="4" w:space="0"/>
            </w:tcBorders>
            <w:shd w:val="clear" w:color="auto" w:fill="auto"/>
          </w:tcPr>
          <w:p>
            <w:pPr>
              <w:jc w:val="right"/>
              <w:rPr>
                <w:rFonts w:ascii="宋体" w:hAnsi="宋体"/>
              </w:rPr>
            </w:pPr>
            <w:r>
              <w:rPr>
                <w:rFonts w:ascii="宋体" w:hAnsi="宋体"/>
              </w:rPr>
              <w:t>226,214</w:t>
            </w:r>
          </w:p>
        </w:tc>
      </w:tr>
    </w:tbl>
    <w:p>
      <w:pPr>
        <w:pStyle w:val="501"/>
      </w:pPr>
    </w:p>
    <w:p>
      <w:pPr>
        <w:pStyle w:val="501"/>
      </w:pPr>
      <w:r>
        <w:rPr>
          <w:rFonts w:hint="eastAsia"/>
        </w:rPr>
        <w:t>债权投资减值准备本期变动情况</w:t>
      </w:r>
    </w:p>
    <w:sdt>
      <w:sdtPr>
        <w:alias w:val="是否适用：减值准备本期变动情况[双击切换]"/>
        <w:tag w:val="_GBC_87c0bbb5863948af834604c8aeaf814f"/>
        <w:id w:val="-2053372101"/>
        <w:placeholder>
          <w:docPart w:val="GBC22222222222222222222222222222"/>
        </w:placeholder>
      </w:sdtPr>
      <w:sdtContent>
        <w:p>
          <w:pPr>
            <w:pStyle w:val="531"/>
          </w:pPr>
          <w:bookmarkStart w:id="270" w:name="_Hlk15345545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70"/>
    <w:p>
      <w:pPr>
        <w:pStyle w:val="531"/>
      </w:pPr>
    </w:p>
    <w:p>
      <w:pPr>
        <w:pStyle w:val="505"/>
        <w:numPr>
          <w:ilvl w:val="3"/>
          <w:numId w:val="79"/>
        </w:numPr>
        <w:ind w:left="426" w:hanging="426"/>
      </w:pPr>
      <w:r>
        <w:rPr>
          <w:rFonts w:hint="eastAsia"/>
        </w:rPr>
        <w:t>期末重要的债权投资</w:t>
      </w:r>
    </w:p>
    <w:sdt>
      <w:sdtPr>
        <w:alias w:val="是否适用：重要的债权投资[双击切换]"/>
        <w:tag w:val="_GBC_ca6db275ff8944c2900ec34693d6ebf6"/>
        <w:id w:val="-1682972427"/>
        <w:placeholder>
          <w:docPart w:val="GBC22222222222222222222222222222"/>
        </w:placeholder>
      </w:sdtPr>
      <w:sdtContent>
        <w:p>
          <w:pPr>
            <w:pStyle w:val="531"/>
          </w:pPr>
          <w:bookmarkStart w:id="271" w:name="_Hlk53299419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71"/>
    <w:p>
      <w:pPr>
        <w:pStyle w:val="531"/>
      </w:pPr>
    </w:p>
    <w:p>
      <w:pPr>
        <w:pStyle w:val="505"/>
        <w:numPr>
          <w:ilvl w:val="3"/>
          <w:numId w:val="79"/>
        </w:numPr>
        <w:ind w:left="426" w:hanging="426"/>
      </w:pPr>
      <w:r>
        <w:rPr>
          <w:rFonts w:hint="eastAsia" w:ascii="宋体" w:hAnsi="宋体" w:eastAsia="宋体" w:cs="宋体"/>
          <w:bCs w:val="0"/>
          <w:kern w:val="0"/>
          <w:szCs w:val="24"/>
        </w:rPr>
        <w:t>减值准备计提情况</w:t>
      </w:r>
    </w:p>
    <w:bookmarkEnd w:id="268"/>
    <w:bookmarkEnd w:id="269"/>
    <w:sdt>
      <w:sdtPr>
        <w:alias w:val="是否适用：债权投资减值准备调节表[双击切换]"/>
        <w:tag w:val="_GBC_686136d6dd874d559865e7aa5dd1a835"/>
        <w:id w:val="1957210156"/>
        <w:placeholder>
          <w:docPart w:val="GBC22222222222222222222222222222"/>
        </w:placeholder>
      </w:sdtPr>
      <w:sdtContent>
        <w:p>
          <w:pPr>
            <w:pStyle w:val="531"/>
          </w:pPr>
          <w:bookmarkStart w:id="272" w:name="_Hlk53387231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60"/>
      </w:pPr>
      <w:r>
        <w:rPr>
          <w:rFonts w:hint="eastAsia"/>
        </w:rPr>
        <w:t>对本期发生损失准备变动的债权投资账面余额显著变动的情况说明：</w:t>
      </w:r>
    </w:p>
    <w:sdt>
      <w:sdtPr>
        <w:alias w:val="是否适用：债权投资本期发生损失准备变动且账面余额显著变动的情况说明[双击切换]"/>
        <w:tag w:val="_GBC_5f05e251eb914f049048988a9e9168df"/>
        <w:id w:val="-35737801"/>
        <w:placeholder>
          <w:docPart w:val="GBC22222222222222222222222222222"/>
        </w:placeholder>
      </w:sdt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72"/>
    <w:p>
      <w:pPr>
        <w:autoSpaceDE w:val="0"/>
        <w:autoSpaceDN w:val="0"/>
        <w:adjustRightInd w:val="0"/>
        <w:ind w:right="105" w:rightChars="50"/>
      </w:pPr>
    </w:p>
    <w:p>
      <w:pPr>
        <w:pStyle w:val="560"/>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1112556177"/>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5"/>
        <w:numPr>
          <w:ilvl w:val="3"/>
          <w:numId w:val="79"/>
        </w:numPr>
        <w:ind w:left="426" w:hanging="426"/>
        <w:rPr>
          <w:rFonts w:ascii="宋体" w:hAnsi="宋体" w:eastAsia="宋体" w:cs="宋体"/>
          <w:kern w:val="0"/>
          <w:szCs w:val="24"/>
        </w:rPr>
      </w:pPr>
      <w:r>
        <w:rPr>
          <w:rFonts w:ascii="宋体" w:hAnsi="宋体" w:eastAsia="宋体" w:cs="宋体"/>
          <w:kern w:val="0"/>
          <w:szCs w:val="24"/>
        </w:rPr>
        <w:t>本期实际</w:t>
      </w:r>
      <w:r>
        <w:rPr>
          <w:rFonts w:hint="eastAsia" w:ascii="宋体" w:hAnsi="宋体" w:eastAsia="宋体" w:cs="宋体"/>
          <w:kern w:val="0"/>
          <w:szCs w:val="24"/>
        </w:rPr>
        <w:t>的</w:t>
      </w:r>
      <w:r>
        <w:rPr>
          <w:rFonts w:ascii="宋体" w:hAnsi="宋体" w:eastAsia="宋体" w:cs="宋体"/>
          <w:kern w:val="0"/>
          <w:szCs w:val="24"/>
        </w:rPr>
        <w:t>核销</w:t>
      </w:r>
      <w:r>
        <w:rPr>
          <w:rFonts w:hint="eastAsia" w:ascii="宋体" w:hAnsi="宋体" w:eastAsia="宋体" w:cs="宋体"/>
          <w:kern w:val="0"/>
          <w:szCs w:val="24"/>
        </w:rPr>
        <w:t>债权投资</w:t>
      </w:r>
      <w:r>
        <w:rPr>
          <w:rFonts w:ascii="宋体" w:hAnsi="宋体" w:eastAsia="宋体" w:cs="宋体"/>
          <w:kern w:val="0"/>
          <w:szCs w:val="24"/>
        </w:rPr>
        <w:t>情况</w:t>
      </w:r>
    </w:p>
    <w:sdt>
      <w:sdtPr>
        <w:alias w:val="是否适用：实际核销的情况[双击切换]"/>
        <w:tag w:val="_GBC_fc91e5e5672d4b4eb2e0779a0867e84c"/>
        <w:id w:val="-36978629"/>
        <w:placeholder>
          <w:docPart w:val="GBC22222222222222222222222222222"/>
        </w:placeholder>
      </w:sdtPr>
      <w:sdtContent>
        <w:p>
          <w:pPr>
            <w:pStyle w:val="531"/>
          </w:pPr>
          <w:bookmarkStart w:id="273" w:name="_Hlk15345555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其中重要的债权投资</w:t>
      </w:r>
      <w:r>
        <w:t>情况</w:t>
      </w:r>
      <w:r>
        <w:rPr>
          <w:rFonts w:hint="eastAsia"/>
        </w:rPr>
        <w:t>核销情况</w:t>
      </w:r>
    </w:p>
    <w:sdt>
      <w:sdtPr>
        <w:rPr>
          <w:rFonts w:hint="eastAsia"/>
        </w:rPr>
        <w:alias w:val="是否适用：重要的核销情况[双击切换]"/>
        <w:tag w:val="_GBC_b1835377ab8f4324a0ddc492f3da304c"/>
        <w:id w:val="233741942"/>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债权投资的核销说明：</w:t>
      </w:r>
    </w:p>
    <w:sdt>
      <w:sdtPr>
        <w:alias w:val="是否适用：核销说明[双击切换]"/>
        <w:tag w:val="_GBC_f135d5c946cc473182fa418ce9c408ae"/>
        <w:id w:val="1883599576"/>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1"/>
      </w:pPr>
      <w:r>
        <w:rPr>
          <w:rFonts w:hint="eastAsia"/>
        </w:rPr>
        <w:t>其他说明</w:t>
      </w:r>
    </w:p>
    <w:bookmarkEnd w:id="273"/>
    <w:sdt>
      <w:sdtPr>
        <w:alias w:val="是否适用：债权投资其他说明[双击切换]"/>
        <w:tag w:val="_GBC_17cf4c675aec4f36816c24c079df205c"/>
        <w:id w:val="478968009"/>
        <w:placeholder>
          <w:docPart w:val="GBC22222222222222222222222222222"/>
        </w:placeholder>
      </w:sdtPr>
      <w:sdtContent>
        <w:p>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right="210"/>
      </w:pPr>
    </w:p>
    <w:p>
      <w:pPr>
        <w:pStyle w:val="504"/>
        <w:numPr>
          <w:ilvl w:val="0"/>
          <w:numId w:val="69"/>
        </w:numPr>
        <w:tabs>
          <w:tab w:val="left" w:pos="504"/>
        </w:tabs>
      </w:pPr>
      <w:r>
        <w:rPr>
          <w:rFonts w:hint="eastAsia"/>
        </w:rPr>
        <w:t>其他债权投资</w:t>
      </w:r>
    </w:p>
    <w:p>
      <w:pPr>
        <w:pStyle w:val="505"/>
        <w:numPr>
          <w:ilvl w:val="3"/>
          <w:numId w:val="80"/>
        </w:numPr>
        <w:ind w:left="426" w:hanging="426"/>
      </w:pPr>
      <w:r>
        <w:rPr>
          <w:rFonts w:hint="eastAsia"/>
        </w:rPr>
        <w:t>其他债权投资情况</w:t>
      </w:r>
    </w:p>
    <w:sdt>
      <w:sdtPr>
        <w:alias w:val="是否适用：其他债权投资情况[双击切换]"/>
        <w:tag w:val="_GBC_23599130a9db43be881f1fb4a46d3b7e"/>
        <w:id w:val="124599837"/>
        <w:placeholder>
          <w:docPart w:val="GBC22222222222222222222222222222"/>
        </w:placeholder>
      </w:sdtPr>
      <w:sdtContent>
        <w:p>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right="210"/>
      </w:pPr>
    </w:p>
    <w:p>
      <w:pPr>
        <w:pStyle w:val="501"/>
      </w:pPr>
      <w:r>
        <w:rPr>
          <w:rFonts w:hint="eastAsia"/>
        </w:rPr>
        <w:t>其他债权投资减值准备本期变动情况</w:t>
      </w:r>
    </w:p>
    <w:sdt>
      <w:sdtPr>
        <w:alias w:val="是否适用：减值准备本期变动情况[双击切换]"/>
        <w:tag w:val="_GBC_3e5ec98f577f4409b379fbfcb3b1cc79"/>
        <w:id w:val="1054121783"/>
        <w:placeholder>
          <w:docPart w:val="GBC22222222222222222222222222222"/>
        </w:placeholder>
      </w:sdtPr>
      <w:sdtContent>
        <w:p>
          <w:pPr>
            <w:pStyle w:val="531"/>
          </w:pPr>
          <w:bookmarkStart w:id="274" w:name="_Hlk15345569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74"/>
    <w:p>
      <w:pPr>
        <w:pStyle w:val="501"/>
      </w:pPr>
    </w:p>
    <w:p>
      <w:pPr>
        <w:pStyle w:val="505"/>
        <w:numPr>
          <w:ilvl w:val="3"/>
          <w:numId w:val="80"/>
        </w:numPr>
        <w:ind w:left="426" w:hanging="426"/>
      </w:pPr>
      <w:r>
        <w:rPr>
          <w:rFonts w:hint="eastAsia"/>
        </w:rPr>
        <w:t>期末重要的其他债权投资</w:t>
      </w:r>
    </w:p>
    <w:sdt>
      <w:sdtPr>
        <w:alias w:val="是否适用：重要的其他债权投资[双击切换]"/>
        <w:tag w:val="_GBC_bb82f40f19284b2489199fbaa477b35c"/>
        <w:id w:val="1822616002"/>
        <w:placeholder>
          <w:docPart w:val="GBC22222222222222222222222222222"/>
        </w:placeholder>
      </w:sdtPr>
      <w:sdtContent>
        <w:p>
          <w:pPr>
            <w:ind w:right="210"/>
          </w:pPr>
          <w:bookmarkStart w:id="275" w:name="_Hlk533848078"/>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75"/>
    <w:p>
      <w:pPr>
        <w:ind w:right="210"/>
      </w:pPr>
    </w:p>
    <w:p>
      <w:pPr>
        <w:pStyle w:val="505"/>
        <w:numPr>
          <w:ilvl w:val="3"/>
          <w:numId w:val="80"/>
        </w:numPr>
        <w:ind w:left="426" w:hanging="426"/>
      </w:pPr>
      <w:r>
        <w:rPr>
          <w:rFonts w:hint="eastAsia" w:ascii="宋体" w:hAnsi="宋体" w:eastAsia="宋体" w:cs="宋体"/>
          <w:bCs w:val="0"/>
          <w:kern w:val="0"/>
          <w:szCs w:val="24"/>
        </w:rPr>
        <w:t>减值准备计提情况</w:t>
      </w:r>
    </w:p>
    <w:sdt>
      <w:sdtPr>
        <w:alias w:val="是否适用：其他债权投资减值准备调节表[双击切换]"/>
        <w:tag w:val="_GBC_4fb0e145a1004885abb87d20ed68a2ed"/>
        <w:id w:val="887999352"/>
        <w:placeholder>
          <w:docPart w:val="GBC22222222222222222222222222222"/>
        </w:placeholder>
      </w:sdtPr>
      <w:sdtContent>
        <w:p>
          <w:pPr>
            <w:pStyle w:val="531"/>
          </w:pPr>
          <w:bookmarkStart w:id="276" w:name="_Hlk53387267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60"/>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312911287"/>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60"/>
      </w:pPr>
      <w:r>
        <w:rPr>
          <w:rFonts w:hint="eastAsia"/>
        </w:rPr>
        <w:t>本期减值准备计提金额以及评估金融工具的信用风险是否显著增加的采用依据</w:t>
      </w:r>
    </w:p>
    <w:bookmarkEnd w:id="276"/>
    <w:sdt>
      <w:sdtPr>
        <w:alias w:val="是否适用：其他债权投资本期坏账准备计提金额以及评估金融工具的信用风险显著增加的采用依据[双击切换]"/>
        <w:tag w:val="_GBC_e7060850bcfb44fb91c77f959b237378"/>
        <w:id w:val="-1249104338"/>
        <w:placeholder>
          <w:docPart w:val="GBC22222222222222222222222222222"/>
        </w:placeholder>
      </w:sdtPr>
      <w:sdtContent>
        <w:p>
          <w:pPr>
            <w:ind w:right="210"/>
          </w:pPr>
          <w:bookmarkStart w:id="277" w:name="_Hlk533848073"/>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77"/>
    <w:p>
      <w:pPr>
        <w:ind w:right="210"/>
      </w:pPr>
    </w:p>
    <w:p>
      <w:pPr>
        <w:pStyle w:val="505"/>
        <w:numPr>
          <w:ilvl w:val="3"/>
          <w:numId w:val="80"/>
        </w:numPr>
        <w:ind w:left="426" w:hanging="426"/>
        <w:rPr>
          <w:rFonts w:ascii="宋体" w:hAnsi="宋体" w:eastAsia="宋体" w:cs="宋体"/>
          <w:kern w:val="0"/>
          <w:szCs w:val="24"/>
        </w:rPr>
      </w:pPr>
      <w:r>
        <w:rPr>
          <w:rFonts w:ascii="宋体" w:hAnsi="宋体" w:eastAsia="宋体" w:cs="宋体"/>
          <w:kern w:val="0"/>
          <w:szCs w:val="24"/>
        </w:rPr>
        <w:t>本期实际核销</w:t>
      </w:r>
      <w:r>
        <w:rPr>
          <w:rFonts w:hint="eastAsia" w:ascii="宋体" w:hAnsi="宋体" w:eastAsia="宋体" w:cs="宋体"/>
          <w:kern w:val="0"/>
          <w:szCs w:val="24"/>
        </w:rPr>
        <w:t>的其他债权投资</w:t>
      </w:r>
      <w:r>
        <w:rPr>
          <w:rFonts w:ascii="宋体" w:hAnsi="宋体" w:eastAsia="宋体" w:cs="宋体"/>
          <w:kern w:val="0"/>
          <w:szCs w:val="24"/>
        </w:rPr>
        <w:t>情况</w:t>
      </w:r>
    </w:p>
    <w:sdt>
      <w:sdtPr>
        <w:alias w:val="是否适用：实际核销的情况[双击切换]"/>
        <w:tag w:val="_GBC_7ae85c2d27ec44faaa716fc50cbdc0bf"/>
        <w:id w:val="-317275692"/>
        <w:placeholder>
          <w:docPart w:val="GBC22222222222222222222222222222"/>
        </w:placeholder>
      </w:sdtPr>
      <w:sdtContent>
        <w:p>
          <w:pPr>
            <w:pStyle w:val="531"/>
          </w:pPr>
          <w:bookmarkStart w:id="278" w:name="_Hlk15345698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其中重要的其他债权投资</w:t>
      </w:r>
      <w:r>
        <w:t>情况</w:t>
      </w:r>
      <w:r>
        <w:rPr>
          <w:rFonts w:hint="eastAsia"/>
        </w:rPr>
        <w:t>核销情况</w:t>
      </w:r>
    </w:p>
    <w:sdt>
      <w:sdtPr>
        <w:rPr>
          <w:rFonts w:hint="eastAsia"/>
        </w:rPr>
        <w:alias w:val="是否适用：重要的核销情况[双击切换]"/>
        <w:tag w:val="_GBC_d4c60ae51ff54b7399e4fd6edd2e8504"/>
        <w:id w:val="1034551758"/>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其他债权投资的核销说明：</w:t>
      </w:r>
    </w:p>
    <w:sdt>
      <w:sdtPr>
        <w:alias w:val="是否适用：核销说明[双击切换]"/>
        <w:tag w:val="_GBC_689ae117433c459c8a9722be4d19d604"/>
        <w:id w:val="-1986618098"/>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31"/>
      </w:pPr>
      <w:r>
        <w:rPr>
          <w:rFonts w:hint="eastAsia"/>
        </w:rPr>
        <w:t>其他说明：</w:t>
      </w:r>
    </w:p>
    <w:bookmarkEnd w:id="278"/>
    <w:sdt>
      <w:sdtPr>
        <w:alias w:val="是否适用：其他债权投资其他说明[双击切换]"/>
        <w:tag w:val="_GBC_ce8084fd599f45febc44624db662adaa"/>
        <w:id w:val="-199516606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4"/>
        <w:numPr>
          <w:ilvl w:val="0"/>
          <w:numId w:val="69"/>
        </w:numPr>
        <w:tabs>
          <w:tab w:val="left" w:pos="504"/>
        </w:tabs>
        <w:rPr>
          <w:rFonts w:ascii="宋体" w:hAnsi="宋体"/>
          <w:szCs w:val="21"/>
        </w:rPr>
      </w:pPr>
      <w:r>
        <w:rPr>
          <w:rFonts w:hint="eastAsia" w:ascii="宋体" w:hAnsi="宋体"/>
          <w:szCs w:val="21"/>
        </w:rPr>
        <w:t>长期应收款</w:t>
      </w:r>
    </w:p>
    <w:p>
      <w:pPr>
        <w:pStyle w:val="505"/>
        <w:numPr>
          <w:ilvl w:val="3"/>
          <w:numId w:val="81"/>
        </w:numPr>
        <w:ind w:left="426" w:hanging="426"/>
      </w:pPr>
      <w:r>
        <w:rPr>
          <w:rFonts w:hint="eastAsia"/>
        </w:rPr>
        <w:t>长期应收款情况</w:t>
      </w:r>
    </w:p>
    <w:sdt>
      <w:sdtPr>
        <w:alias w:val="是否适用：长期应收款情况[双击切换]"/>
        <w:tag w:val="_GBC_0c54e576828240c482e58c8a9f7cd173"/>
        <w:id w:val="-48670588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应收款"/>
          <w:tag w:val="_GBC_83e90e099c524c00ad00f3262465133a"/>
          <w:id w:val="-2842680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长期应收款"/>
          <w:tag w:val="_GBC_1c013f993d584882abdce9005f6d0f21"/>
          <w:id w:val="-9264156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151"/>
        <w:gridCol w:w="990"/>
        <w:gridCol w:w="1164"/>
        <w:gridCol w:w="1162"/>
        <w:gridCol w:w="961"/>
        <w:gridCol w:w="1178"/>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79a5a5db414628bc47ed54fb917eb5"/>
            <w:id w:val="1476878787"/>
          </w:sdtPr>
          <w:sdtContent>
            <w:tc>
              <w:tcPr>
                <w:tcW w:w="933" w:type="pct"/>
                <w:vMerge w:val="restart"/>
                <w:shd w:val="clear" w:color="auto" w:fill="auto"/>
                <w:vAlign w:val="center"/>
              </w:tcPr>
              <w:p>
                <w:pPr>
                  <w:jc w:val="center"/>
                </w:pPr>
                <w:r>
                  <w:rPr>
                    <w:rFonts w:hint="eastAsia"/>
                  </w:rPr>
                  <w:t>项目</w:t>
                </w:r>
              </w:p>
            </w:tc>
          </w:sdtContent>
        </w:sdt>
        <w:sdt>
          <w:sdtPr>
            <w:tag w:val="_PLD_9a36ea2203424631bf208c9515121cc2"/>
            <w:id w:val="-541595870"/>
          </w:sdtPr>
          <w:sdtContent>
            <w:tc>
              <w:tcPr>
                <w:tcW w:w="1826" w:type="pct"/>
                <w:gridSpan w:val="3"/>
                <w:shd w:val="clear" w:color="auto" w:fill="auto"/>
                <w:vAlign w:val="center"/>
              </w:tcPr>
              <w:p>
                <w:pPr>
                  <w:jc w:val="center"/>
                </w:pPr>
                <w:r>
                  <w:rPr>
                    <w:rFonts w:hint="eastAsia"/>
                  </w:rPr>
                  <w:t>期末余额</w:t>
                </w:r>
              </w:p>
            </w:tc>
          </w:sdtContent>
        </w:sdt>
        <w:sdt>
          <w:sdtPr>
            <w:tag w:val="_PLD_03d144ce33e04be682481d2a013c13af"/>
            <w:id w:val="1726254048"/>
          </w:sdtPr>
          <w:sdtContent>
            <w:tc>
              <w:tcPr>
                <w:tcW w:w="1824" w:type="pct"/>
                <w:gridSpan w:val="3"/>
                <w:shd w:val="clear" w:color="auto" w:fill="auto"/>
                <w:vAlign w:val="center"/>
              </w:tcPr>
              <w:p>
                <w:pPr>
                  <w:jc w:val="center"/>
                </w:pPr>
                <w:r>
                  <w:rPr>
                    <w:rFonts w:hint="eastAsia"/>
                  </w:rPr>
                  <w:t>期初余额</w:t>
                </w:r>
              </w:p>
            </w:tc>
          </w:sdtContent>
        </w:sdt>
        <w:sdt>
          <w:sdtPr>
            <w:tag w:val="_PLD_19a494fc04ce4efba377e98e304b04d0"/>
            <w:id w:val="1598446670"/>
          </w:sdtPr>
          <w:sdtContent>
            <w:tc>
              <w:tcPr>
                <w:tcW w:w="417" w:type="pct"/>
                <w:vMerge w:val="restart"/>
                <w:shd w:val="clear" w:color="auto" w:fill="auto"/>
                <w:vAlign w:val="center"/>
              </w:tcPr>
              <w:p>
                <w:pPr>
                  <w:jc w:val="center"/>
                </w:pPr>
                <w:r>
                  <w:rPr>
                    <w:rFonts w:hint="eastAsia"/>
                  </w:rPr>
                  <w:t>折现率区间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33" w:type="pct"/>
            <w:vMerge w:val="continue"/>
            <w:shd w:val="clear" w:color="auto" w:fill="auto"/>
            <w:vAlign w:val="center"/>
          </w:tcPr>
          <w:p>
            <w:pPr>
              <w:jc w:val="center"/>
            </w:pPr>
          </w:p>
        </w:tc>
        <w:sdt>
          <w:sdtPr>
            <w:tag w:val="_PLD_c0fe744fa9744e57b65a03499c0b9370"/>
            <w:id w:val="1806507365"/>
          </w:sdtPr>
          <w:sdtContent>
            <w:tc>
              <w:tcPr>
                <w:tcW w:w="636" w:type="pct"/>
                <w:shd w:val="clear" w:color="auto" w:fill="auto"/>
                <w:vAlign w:val="center"/>
              </w:tcPr>
              <w:p>
                <w:pPr>
                  <w:jc w:val="center"/>
                </w:pPr>
                <w:r>
                  <w:rPr>
                    <w:rFonts w:hint="eastAsia"/>
                  </w:rPr>
                  <w:t>账面余额</w:t>
                </w:r>
              </w:p>
            </w:tc>
          </w:sdtContent>
        </w:sdt>
        <w:sdt>
          <w:sdtPr>
            <w:tag w:val="_PLD_77ffaa95600c4c8d82666d2fa1a55587"/>
            <w:id w:val="-130247747"/>
          </w:sdtPr>
          <w:sdtContent>
            <w:tc>
              <w:tcPr>
                <w:tcW w:w="547" w:type="pct"/>
                <w:shd w:val="clear" w:color="auto" w:fill="auto"/>
                <w:vAlign w:val="center"/>
              </w:tcPr>
              <w:p>
                <w:pPr>
                  <w:jc w:val="center"/>
                </w:pPr>
                <w:r>
                  <w:rPr>
                    <w:rFonts w:hint="eastAsia"/>
                  </w:rPr>
                  <w:t>坏账准备</w:t>
                </w:r>
              </w:p>
            </w:tc>
          </w:sdtContent>
        </w:sdt>
        <w:sdt>
          <w:sdtPr>
            <w:tag w:val="_PLD_b4a8209a5fa445268b4557f9b0cea931"/>
            <w:id w:val="307063887"/>
          </w:sdtPr>
          <w:sdtContent>
            <w:tc>
              <w:tcPr>
                <w:tcW w:w="643" w:type="pct"/>
                <w:shd w:val="clear" w:color="auto" w:fill="auto"/>
                <w:vAlign w:val="center"/>
              </w:tcPr>
              <w:p>
                <w:pPr>
                  <w:jc w:val="center"/>
                </w:pPr>
                <w:r>
                  <w:rPr>
                    <w:rFonts w:hint="eastAsia"/>
                  </w:rPr>
                  <w:t>账面价值</w:t>
                </w:r>
              </w:p>
            </w:tc>
          </w:sdtContent>
        </w:sdt>
        <w:sdt>
          <w:sdtPr>
            <w:tag w:val="_PLD_8f25a17bc1634cc893a4d67aa1847b6a"/>
            <w:id w:val="1501242385"/>
          </w:sdtPr>
          <w:sdtContent>
            <w:tc>
              <w:tcPr>
                <w:tcW w:w="642" w:type="pct"/>
                <w:shd w:val="clear" w:color="auto" w:fill="auto"/>
                <w:vAlign w:val="center"/>
              </w:tcPr>
              <w:p>
                <w:pPr>
                  <w:jc w:val="center"/>
                </w:pPr>
                <w:r>
                  <w:rPr>
                    <w:rFonts w:hint="eastAsia"/>
                  </w:rPr>
                  <w:t>账面余额</w:t>
                </w:r>
              </w:p>
            </w:tc>
          </w:sdtContent>
        </w:sdt>
        <w:sdt>
          <w:sdtPr>
            <w:tag w:val="_PLD_a654b9f6a8cf4e1797c1b5ccb7073aa0"/>
            <w:id w:val="-170105853"/>
          </w:sdtPr>
          <w:sdtContent>
            <w:tc>
              <w:tcPr>
                <w:tcW w:w="531" w:type="pct"/>
                <w:shd w:val="clear" w:color="auto" w:fill="auto"/>
                <w:vAlign w:val="center"/>
              </w:tcPr>
              <w:p>
                <w:pPr>
                  <w:jc w:val="center"/>
                </w:pPr>
                <w:r>
                  <w:rPr>
                    <w:rFonts w:hint="eastAsia"/>
                  </w:rPr>
                  <w:t>坏账准备</w:t>
                </w:r>
              </w:p>
            </w:tc>
          </w:sdtContent>
        </w:sdt>
        <w:sdt>
          <w:sdtPr>
            <w:tag w:val="_PLD_bccad3095dd04c1e9d8e38cc94818670"/>
            <w:id w:val="705601003"/>
          </w:sdtPr>
          <w:sdtContent>
            <w:tc>
              <w:tcPr>
                <w:tcW w:w="651" w:type="pct"/>
                <w:shd w:val="clear" w:color="auto" w:fill="auto"/>
                <w:vAlign w:val="center"/>
              </w:tcPr>
              <w:p>
                <w:pPr>
                  <w:jc w:val="center"/>
                </w:pPr>
                <w:r>
                  <w:rPr>
                    <w:rFonts w:hint="eastAsia"/>
                  </w:rPr>
                  <w:t>账面价值</w:t>
                </w:r>
              </w:p>
            </w:tc>
          </w:sdtContent>
        </w:sdt>
        <w:tc>
          <w:tcPr>
            <w:tcW w:w="417" w:type="pct"/>
            <w:vMerge w:val="continue"/>
            <w:shd w:val="clear" w:color="auto" w:fill="auto"/>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33" w:type="pct"/>
            <w:shd w:val="clear" w:color="auto" w:fill="auto"/>
          </w:tcPr>
          <w:p>
            <w:pPr>
              <w:pStyle w:val="501"/>
            </w:pPr>
            <w:r>
              <w:rPr>
                <w:rFonts w:hint="eastAsia"/>
              </w:rPr>
              <w:t>融资租赁款</w:t>
            </w:r>
          </w:p>
        </w:tc>
        <w:tc>
          <w:tcPr>
            <w:tcW w:w="636" w:type="pct"/>
            <w:vAlign w:val="center"/>
          </w:tcPr>
          <w:p>
            <w:pPr>
              <w:jc w:val="right"/>
              <w:rPr>
                <w:rFonts w:ascii="宋体" w:hAnsi="宋体"/>
              </w:rPr>
            </w:pPr>
            <w:r>
              <w:rPr>
                <w:rFonts w:ascii="宋体" w:hAnsi="宋体"/>
              </w:rPr>
              <w:t>1,711,029</w:t>
            </w:r>
          </w:p>
        </w:tc>
        <w:tc>
          <w:tcPr>
            <w:tcW w:w="547" w:type="pct"/>
            <w:vAlign w:val="center"/>
          </w:tcPr>
          <w:p>
            <w:pPr>
              <w:jc w:val="right"/>
              <w:rPr>
                <w:rFonts w:ascii="宋体" w:hAnsi="宋体"/>
              </w:rPr>
            </w:pPr>
            <w:r>
              <w:rPr>
                <w:rFonts w:ascii="宋体" w:hAnsi="宋体"/>
              </w:rPr>
              <w:t>172,297</w:t>
            </w:r>
          </w:p>
        </w:tc>
        <w:tc>
          <w:tcPr>
            <w:tcW w:w="643" w:type="pct"/>
            <w:vAlign w:val="center"/>
          </w:tcPr>
          <w:p>
            <w:pPr>
              <w:jc w:val="right"/>
              <w:rPr>
                <w:rFonts w:ascii="宋体" w:hAnsi="宋体"/>
              </w:rPr>
            </w:pPr>
            <w:r>
              <w:rPr>
                <w:rFonts w:ascii="宋体" w:hAnsi="宋体"/>
              </w:rPr>
              <w:t>1,538,732</w:t>
            </w:r>
          </w:p>
        </w:tc>
        <w:tc>
          <w:tcPr>
            <w:tcW w:w="642" w:type="pct"/>
            <w:vAlign w:val="center"/>
          </w:tcPr>
          <w:p>
            <w:pPr>
              <w:jc w:val="right"/>
              <w:rPr>
                <w:rFonts w:ascii="宋体" w:hAnsi="宋体"/>
              </w:rPr>
            </w:pPr>
            <w:r>
              <w:rPr>
                <w:rFonts w:ascii="宋体" w:hAnsi="宋体"/>
              </w:rPr>
              <w:t>1,769,617</w:t>
            </w:r>
          </w:p>
        </w:tc>
        <w:tc>
          <w:tcPr>
            <w:tcW w:w="531" w:type="pct"/>
            <w:vAlign w:val="center"/>
          </w:tcPr>
          <w:p>
            <w:pPr>
              <w:jc w:val="right"/>
              <w:rPr>
                <w:rFonts w:ascii="宋体" w:hAnsi="宋体"/>
              </w:rPr>
            </w:pPr>
            <w:r>
              <w:rPr>
                <w:rFonts w:ascii="宋体" w:hAnsi="宋体"/>
              </w:rPr>
              <w:t>166,029</w:t>
            </w:r>
          </w:p>
        </w:tc>
        <w:tc>
          <w:tcPr>
            <w:tcW w:w="651" w:type="pct"/>
            <w:vAlign w:val="center"/>
          </w:tcPr>
          <w:p>
            <w:pPr>
              <w:jc w:val="right"/>
              <w:rPr>
                <w:rFonts w:ascii="宋体" w:hAnsi="宋体"/>
              </w:rPr>
            </w:pPr>
            <w:r>
              <w:rPr>
                <w:rFonts w:ascii="宋体" w:hAnsi="宋体"/>
              </w:rPr>
              <w:t>1,603,588</w:t>
            </w:r>
          </w:p>
        </w:tc>
        <w:tc>
          <w:tcPr>
            <w:tcW w:w="417" w:type="pct"/>
            <w:shd w:val="clear" w:color="auto" w:fill="auto"/>
            <w:vAlign w:val="center"/>
          </w:tcPr>
          <w:p>
            <w:pPr>
              <w:ind w:right="105" w:rightChars="50"/>
              <w:jc w:val="right"/>
              <w:rPr>
                <w:rFonts w:ascii="宋体" w:hAnsi="宋体"/>
              </w:rPr>
            </w:pPr>
            <w:r>
              <w:rPr>
                <w:rFonts w:ascii="宋体" w:hAnsi="宋体"/>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33" w:type="pct"/>
            <w:shd w:val="clear" w:color="auto" w:fill="auto"/>
          </w:tcPr>
          <w:p>
            <w:pPr>
              <w:ind w:firstLine="420" w:firstLineChars="200"/>
            </w:pPr>
            <w:r>
              <w:rPr>
                <w:rFonts w:hint="eastAsia"/>
              </w:rPr>
              <w:t>其中：未实现融资收益</w:t>
            </w:r>
          </w:p>
        </w:tc>
        <w:tc>
          <w:tcPr>
            <w:tcW w:w="636" w:type="pct"/>
            <w:vAlign w:val="center"/>
          </w:tcPr>
          <w:p>
            <w:pPr>
              <w:jc w:val="right"/>
              <w:rPr>
                <w:rFonts w:ascii="宋体" w:hAnsi="宋体"/>
              </w:rPr>
            </w:pPr>
            <w:r>
              <w:rPr>
                <w:rFonts w:ascii="宋体" w:hAnsi="宋体"/>
              </w:rPr>
              <w:t>394,124</w:t>
            </w:r>
          </w:p>
        </w:tc>
        <w:tc>
          <w:tcPr>
            <w:tcW w:w="547" w:type="pct"/>
            <w:vAlign w:val="center"/>
          </w:tcPr>
          <w:p>
            <w:pPr>
              <w:jc w:val="right"/>
              <w:rPr>
                <w:rFonts w:ascii="宋体" w:hAnsi="宋体"/>
              </w:rPr>
            </w:pPr>
          </w:p>
        </w:tc>
        <w:tc>
          <w:tcPr>
            <w:tcW w:w="643" w:type="pct"/>
            <w:vAlign w:val="center"/>
          </w:tcPr>
          <w:p>
            <w:pPr>
              <w:jc w:val="right"/>
              <w:rPr>
                <w:rFonts w:ascii="宋体" w:hAnsi="宋体"/>
              </w:rPr>
            </w:pPr>
            <w:r>
              <w:rPr>
                <w:rFonts w:ascii="宋体" w:hAnsi="宋体"/>
              </w:rPr>
              <w:t>394,124</w:t>
            </w:r>
          </w:p>
        </w:tc>
        <w:tc>
          <w:tcPr>
            <w:tcW w:w="642" w:type="pct"/>
            <w:vAlign w:val="center"/>
          </w:tcPr>
          <w:p>
            <w:pPr>
              <w:jc w:val="right"/>
              <w:rPr>
                <w:rFonts w:ascii="宋体" w:hAnsi="宋体"/>
              </w:rPr>
            </w:pPr>
            <w:r>
              <w:rPr>
                <w:rFonts w:ascii="宋体" w:hAnsi="宋体"/>
              </w:rPr>
              <w:t>382,461</w:t>
            </w:r>
          </w:p>
        </w:tc>
        <w:tc>
          <w:tcPr>
            <w:tcW w:w="531" w:type="pct"/>
            <w:vAlign w:val="center"/>
          </w:tcPr>
          <w:p>
            <w:pPr>
              <w:jc w:val="right"/>
              <w:rPr>
                <w:rFonts w:ascii="宋体" w:hAnsi="宋体"/>
              </w:rPr>
            </w:pPr>
          </w:p>
        </w:tc>
        <w:tc>
          <w:tcPr>
            <w:tcW w:w="651" w:type="pct"/>
            <w:vAlign w:val="center"/>
          </w:tcPr>
          <w:p>
            <w:pPr>
              <w:jc w:val="right"/>
              <w:rPr>
                <w:rFonts w:ascii="宋体" w:hAnsi="宋体"/>
              </w:rPr>
            </w:pPr>
            <w:r>
              <w:rPr>
                <w:rFonts w:ascii="宋体" w:hAnsi="宋体"/>
              </w:rPr>
              <w:t>382,461</w:t>
            </w:r>
          </w:p>
        </w:tc>
        <w:tc>
          <w:tcPr>
            <w:tcW w:w="417" w:type="pct"/>
            <w:shd w:val="clear" w:color="auto" w:fill="auto"/>
            <w:vAlign w:val="center"/>
          </w:tcPr>
          <w:p>
            <w:pPr>
              <w:ind w:right="105" w:rightChars="5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33" w:type="pct"/>
            <w:shd w:val="clear" w:color="auto" w:fill="auto"/>
          </w:tcPr>
          <w:p>
            <w:pPr>
              <w:pStyle w:val="501"/>
            </w:pPr>
            <w:r>
              <w:rPr>
                <w:rFonts w:hint="eastAsia"/>
              </w:rPr>
              <w:t>应收代垫采矿权价款</w:t>
            </w:r>
          </w:p>
        </w:tc>
        <w:tc>
          <w:tcPr>
            <w:tcW w:w="636" w:type="pct"/>
            <w:vAlign w:val="center"/>
          </w:tcPr>
          <w:p>
            <w:pPr>
              <w:jc w:val="right"/>
              <w:rPr>
                <w:rFonts w:ascii="宋体" w:hAnsi="宋体"/>
              </w:rPr>
            </w:pPr>
            <w:r>
              <w:rPr>
                <w:rFonts w:ascii="宋体" w:hAnsi="宋体"/>
              </w:rPr>
              <w:t>760,890</w:t>
            </w:r>
          </w:p>
        </w:tc>
        <w:tc>
          <w:tcPr>
            <w:tcW w:w="547" w:type="pct"/>
            <w:vAlign w:val="center"/>
          </w:tcPr>
          <w:p>
            <w:pPr>
              <w:jc w:val="right"/>
              <w:rPr>
                <w:rFonts w:ascii="宋体" w:hAnsi="宋体"/>
              </w:rPr>
            </w:pPr>
          </w:p>
        </w:tc>
        <w:tc>
          <w:tcPr>
            <w:tcW w:w="643" w:type="pct"/>
            <w:vAlign w:val="center"/>
          </w:tcPr>
          <w:p>
            <w:pPr>
              <w:jc w:val="right"/>
              <w:rPr>
                <w:rFonts w:ascii="宋体" w:hAnsi="宋体"/>
              </w:rPr>
            </w:pPr>
            <w:r>
              <w:rPr>
                <w:rFonts w:ascii="宋体" w:hAnsi="宋体"/>
              </w:rPr>
              <w:t>760,890</w:t>
            </w:r>
          </w:p>
        </w:tc>
        <w:tc>
          <w:tcPr>
            <w:tcW w:w="642" w:type="pct"/>
            <w:vAlign w:val="center"/>
          </w:tcPr>
          <w:p>
            <w:pPr>
              <w:jc w:val="right"/>
              <w:rPr>
                <w:rFonts w:ascii="宋体" w:hAnsi="宋体"/>
              </w:rPr>
            </w:pPr>
            <w:r>
              <w:rPr>
                <w:rFonts w:ascii="宋体" w:hAnsi="宋体"/>
              </w:rPr>
              <w:t>727,927</w:t>
            </w:r>
          </w:p>
        </w:tc>
        <w:tc>
          <w:tcPr>
            <w:tcW w:w="531" w:type="pct"/>
            <w:vAlign w:val="center"/>
          </w:tcPr>
          <w:p>
            <w:pPr>
              <w:jc w:val="right"/>
              <w:rPr>
                <w:rFonts w:ascii="宋体" w:hAnsi="宋体"/>
              </w:rPr>
            </w:pPr>
          </w:p>
        </w:tc>
        <w:tc>
          <w:tcPr>
            <w:tcW w:w="651" w:type="pct"/>
            <w:vAlign w:val="center"/>
          </w:tcPr>
          <w:p>
            <w:pPr>
              <w:jc w:val="right"/>
              <w:rPr>
                <w:rFonts w:ascii="宋体" w:hAnsi="宋体"/>
              </w:rPr>
            </w:pPr>
            <w:r>
              <w:rPr>
                <w:rFonts w:ascii="宋体" w:hAnsi="宋体"/>
              </w:rPr>
              <w:t>727,927</w:t>
            </w:r>
          </w:p>
        </w:tc>
        <w:tc>
          <w:tcPr>
            <w:tcW w:w="417" w:type="pct"/>
            <w:shd w:val="clear" w:color="auto" w:fill="auto"/>
            <w:vAlign w:val="center"/>
          </w:tcPr>
          <w:p>
            <w:pPr>
              <w:ind w:right="105" w:rightChars="50"/>
              <w:jc w:val="right"/>
              <w:rPr>
                <w:rFonts w:ascii="宋体" w:hAnsi="宋体"/>
              </w:rPr>
            </w:pPr>
            <w:r>
              <w:rPr>
                <w:rFonts w:ascii="宋体" w:hAnsi="宋体"/>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33" w:type="pct"/>
            <w:shd w:val="clear" w:color="auto" w:fill="auto"/>
          </w:tcPr>
          <w:p>
            <w:pPr>
              <w:pStyle w:val="501"/>
            </w:pPr>
            <w:r>
              <w:rPr>
                <w:rFonts w:hint="eastAsia"/>
              </w:rPr>
              <w:t>其他</w:t>
            </w:r>
          </w:p>
        </w:tc>
        <w:tc>
          <w:tcPr>
            <w:tcW w:w="636" w:type="pct"/>
            <w:vAlign w:val="center"/>
          </w:tcPr>
          <w:p>
            <w:pPr>
              <w:jc w:val="right"/>
              <w:rPr>
                <w:rFonts w:ascii="宋体" w:hAnsi="宋体"/>
              </w:rPr>
            </w:pPr>
            <w:r>
              <w:rPr>
                <w:rFonts w:ascii="宋体" w:hAnsi="宋体"/>
              </w:rPr>
              <w:t>33,798</w:t>
            </w:r>
          </w:p>
        </w:tc>
        <w:tc>
          <w:tcPr>
            <w:tcW w:w="547" w:type="pct"/>
            <w:vAlign w:val="center"/>
          </w:tcPr>
          <w:p>
            <w:pPr>
              <w:jc w:val="right"/>
              <w:rPr>
                <w:rFonts w:ascii="宋体" w:hAnsi="宋体"/>
              </w:rPr>
            </w:pPr>
          </w:p>
        </w:tc>
        <w:tc>
          <w:tcPr>
            <w:tcW w:w="643" w:type="pct"/>
            <w:vAlign w:val="center"/>
          </w:tcPr>
          <w:p>
            <w:pPr>
              <w:jc w:val="right"/>
              <w:rPr>
                <w:rFonts w:ascii="宋体" w:hAnsi="宋体"/>
              </w:rPr>
            </w:pPr>
            <w:r>
              <w:rPr>
                <w:rFonts w:ascii="宋体" w:hAnsi="宋体"/>
              </w:rPr>
              <w:t>33,798</w:t>
            </w:r>
          </w:p>
        </w:tc>
        <w:tc>
          <w:tcPr>
            <w:tcW w:w="642" w:type="pct"/>
            <w:vAlign w:val="center"/>
          </w:tcPr>
          <w:p>
            <w:pPr>
              <w:jc w:val="right"/>
              <w:rPr>
                <w:rFonts w:ascii="宋体" w:hAnsi="宋体"/>
              </w:rPr>
            </w:pPr>
            <w:r>
              <w:rPr>
                <w:rFonts w:ascii="宋体" w:hAnsi="宋体"/>
              </w:rPr>
              <w:t>32,667</w:t>
            </w:r>
          </w:p>
        </w:tc>
        <w:tc>
          <w:tcPr>
            <w:tcW w:w="531" w:type="pct"/>
            <w:vAlign w:val="center"/>
          </w:tcPr>
          <w:p>
            <w:pPr>
              <w:jc w:val="right"/>
              <w:rPr>
                <w:rFonts w:ascii="宋体" w:hAnsi="宋体"/>
              </w:rPr>
            </w:pPr>
          </w:p>
        </w:tc>
        <w:tc>
          <w:tcPr>
            <w:tcW w:w="651" w:type="pct"/>
            <w:vAlign w:val="center"/>
          </w:tcPr>
          <w:p>
            <w:pPr>
              <w:jc w:val="right"/>
              <w:rPr>
                <w:rFonts w:ascii="宋体" w:hAnsi="宋体"/>
              </w:rPr>
            </w:pPr>
            <w:r>
              <w:rPr>
                <w:rFonts w:ascii="宋体" w:hAnsi="宋体"/>
              </w:rPr>
              <w:t>32,667</w:t>
            </w:r>
          </w:p>
        </w:tc>
        <w:tc>
          <w:tcPr>
            <w:tcW w:w="417" w:type="pct"/>
            <w:shd w:val="clear" w:color="auto" w:fill="auto"/>
            <w:vAlign w:val="center"/>
          </w:tcPr>
          <w:p>
            <w:pPr>
              <w:ind w:right="105" w:rightChars="5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33" w:type="pct"/>
            <w:shd w:val="clear" w:color="auto" w:fill="auto"/>
            <w:vAlign w:val="center"/>
          </w:tcPr>
          <w:p>
            <w:pPr>
              <w:jc w:val="center"/>
            </w:pPr>
            <w:r>
              <w:rPr>
                <w:rFonts w:hint="eastAsia"/>
              </w:rPr>
              <w:t>合计</w:t>
            </w:r>
          </w:p>
        </w:tc>
        <w:tc>
          <w:tcPr>
            <w:tcW w:w="636" w:type="pct"/>
            <w:shd w:val="clear" w:color="auto" w:fill="auto"/>
            <w:vAlign w:val="center"/>
          </w:tcPr>
          <w:p>
            <w:pPr>
              <w:jc w:val="right"/>
              <w:rPr>
                <w:rFonts w:ascii="宋体" w:hAnsi="宋体"/>
              </w:rPr>
            </w:pPr>
            <w:r>
              <w:rPr>
                <w:rFonts w:ascii="宋体" w:hAnsi="宋体"/>
              </w:rPr>
              <w:t>2,505,717</w:t>
            </w:r>
          </w:p>
        </w:tc>
        <w:tc>
          <w:tcPr>
            <w:tcW w:w="547" w:type="pct"/>
            <w:vAlign w:val="center"/>
          </w:tcPr>
          <w:p>
            <w:pPr>
              <w:jc w:val="right"/>
              <w:rPr>
                <w:rFonts w:ascii="宋体" w:hAnsi="宋体"/>
              </w:rPr>
            </w:pPr>
            <w:r>
              <w:rPr>
                <w:rFonts w:ascii="宋体" w:hAnsi="宋体"/>
              </w:rPr>
              <w:t>172,297</w:t>
            </w:r>
          </w:p>
        </w:tc>
        <w:tc>
          <w:tcPr>
            <w:tcW w:w="643" w:type="pct"/>
            <w:vAlign w:val="center"/>
          </w:tcPr>
          <w:p>
            <w:pPr>
              <w:jc w:val="right"/>
              <w:rPr>
                <w:rFonts w:ascii="宋体" w:hAnsi="宋体"/>
              </w:rPr>
            </w:pPr>
            <w:r>
              <w:rPr>
                <w:rFonts w:ascii="宋体" w:hAnsi="宋体"/>
              </w:rPr>
              <w:t>2,333,420</w:t>
            </w:r>
          </w:p>
        </w:tc>
        <w:tc>
          <w:tcPr>
            <w:tcW w:w="642" w:type="pct"/>
            <w:vAlign w:val="center"/>
          </w:tcPr>
          <w:p>
            <w:pPr>
              <w:jc w:val="right"/>
              <w:rPr>
                <w:rFonts w:ascii="宋体" w:hAnsi="宋体"/>
              </w:rPr>
            </w:pPr>
            <w:r>
              <w:rPr>
                <w:rFonts w:ascii="宋体" w:hAnsi="宋体"/>
              </w:rPr>
              <w:t>2,530,211</w:t>
            </w:r>
          </w:p>
        </w:tc>
        <w:tc>
          <w:tcPr>
            <w:tcW w:w="531" w:type="pct"/>
            <w:vAlign w:val="center"/>
          </w:tcPr>
          <w:p>
            <w:pPr>
              <w:jc w:val="right"/>
              <w:rPr>
                <w:rFonts w:ascii="宋体" w:hAnsi="宋体"/>
              </w:rPr>
            </w:pPr>
            <w:r>
              <w:rPr>
                <w:rFonts w:ascii="宋体" w:hAnsi="宋体"/>
              </w:rPr>
              <w:t>166,029</w:t>
            </w:r>
          </w:p>
        </w:tc>
        <w:tc>
          <w:tcPr>
            <w:tcW w:w="651" w:type="pct"/>
            <w:shd w:val="clear" w:color="auto" w:fill="auto"/>
            <w:vAlign w:val="center"/>
          </w:tcPr>
          <w:p>
            <w:pPr>
              <w:jc w:val="right"/>
              <w:rPr>
                <w:rFonts w:ascii="宋体" w:hAnsi="宋体"/>
              </w:rPr>
            </w:pPr>
            <w:r>
              <w:rPr>
                <w:rFonts w:ascii="宋体" w:hAnsi="宋体"/>
              </w:rPr>
              <w:t>2,364,182</w:t>
            </w:r>
          </w:p>
        </w:tc>
        <w:tc>
          <w:tcPr>
            <w:tcW w:w="417" w:type="pct"/>
            <w:shd w:val="clear" w:color="auto" w:fill="auto"/>
            <w:vAlign w:val="center"/>
          </w:tcPr>
          <w:p>
            <w:pPr>
              <w:ind w:right="105" w:rightChars="50"/>
              <w:jc w:val="right"/>
              <w:rPr>
                <w:rFonts w:ascii="宋体" w:hAnsi="宋体"/>
              </w:rPr>
            </w:pPr>
            <w:r>
              <w:rPr>
                <w:rFonts w:hint="eastAsia" w:ascii="宋体" w:hAnsi="宋体"/>
              </w:rPr>
              <w:t>/</w:t>
            </w:r>
          </w:p>
        </w:tc>
      </w:tr>
    </w:tbl>
    <w:p>
      <w:pPr>
        <w:rPr>
          <w:color w:val="FF0000"/>
        </w:rPr>
      </w:pPr>
    </w:p>
    <w:p>
      <w:pPr>
        <w:pStyle w:val="505"/>
        <w:numPr>
          <w:ilvl w:val="3"/>
          <w:numId w:val="81"/>
        </w:numPr>
        <w:ind w:left="426" w:hanging="426"/>
        <w:rPr>
          <w:rFonts w:ascii="宋体" w:hAnsi="宋体" w:eastAsia="宋体" w:cs="宋体"/>
          <w:kern w:val="0"/>
          <w:szCs w:val="24"/>
        </w:rPr>
      </w:pPr>
      <w:r>
        <w:rPr>
          <w:rFonts w:hint="eastAsia" w:ascii="宋体" w:hAnsi="宋体" w:eastAsia="宋体" w:cs="宋体"/>
          <w:kern w:val="0"/>
          <w:szCs w:val="24"/>
        </w:rPr>
        <w:t>按</w:t>
      </w:r>
      <w:r>
        <w:rPr>
          <w:rFonts w:ascii="宋体" w:hAnsi="宋体" w:eastAsia="宋体" w:cs="宋体"/>
          <w:kern w:val="0"/>
          <w:szCs w:val="24"/>
        </w:rPr>
        <w:t>坏账计提方法分类披露</w:t>
      </w:r>
    </w:p>
    <w:sdt>
      <w:sdtPr>
        <w:alias w:val="是否适用：按坏账计提方法分类披露[双击切换]"/>
        <w:tag w:val="_GBC_b88f58fcc61342f3b795c44388b6782b"/>
        <w:id w:val="-1279792423"/>
        <w:placeholder>
          <w:docPart w:val="GBC22222222222222222222222222222"/>
        </w:placeholder>
      </w:sdtPr>
      <w:sdtContent>
        <w:p>
          <w:pPr>
            <w:pStyle w:val="531"/>
          </w:pPr>
          <w:bookmarkStart w:id="279" w:name="_Hlk15345734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按坏账计提方法分类披露"/>
          <w:tag w:val="_GBC_bd420b8bfb1348be9783552f5fd7a05e"/>
          <w:id w:val="-7320337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按坏账计提方法分类披露"/>
          <w:tag w:val="_GBC_3ac94de7648b4b0f979b720c33955d79"/>
          <w:id w:val="7681940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995"/>
        <w:gridCol w:w="544"/>
        <w:gridCol w:w="834"/>
        <w:gridCol w:w="564"/>
        <w:gridCol w:w="995"/>
        <w:gridCol w:w="981"/>
        <w:gridCol w:w="564"/>
        <w:gridCol w:w="812"/>
        <w:gridCol w:w="580"/>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rPr>
              <w:rFonts w:hint="eastAsia"/>
            </w:rPr>
            <w:tag w:val="_PLD_c1f44ed4b1a04d33962261a361bb9b1b"/>
            <w:id w:val="-1751267148"/>
          </w:sdtPr>
          <w:sdtEndPr>
            <w:rPr>
              <w:rFonts w:hint="eastAsia"/>
            </w:rPr>
          </w:sdtEndPr>
          <w:sdtContent>
            <w:tc>
              <w:tcPr>
                <w:tcW w:w="716" w:type="pct"/>
                <w:vMerge w:val="restart"/>
                <w:tcBorders>
                  <w:top w:val="single" w:color="auto" w:sz="4" w:space="0"/>
                  <w:left w:val="single" w:color="auto" w:sz="4" w:space="0"/>
                  <w:right w:val="single" w:color="auto" w:sz="4" w:space="0"/>
                </w:tcBorders>
                <w:vAlign w:val="center"/>
              </w:tcPr>
              <w:p>
                <w:pPr>
                  <w:jc w:val="center"/>
                </w:pPr>
                <w:r>
                  <w:rPr>
                    <w:rFonts w:hint="eastAsia"/>
                  </w:rPr>
                  <w:t>类别</w:t>
                </w:r>
              </w:p>
            </w:tc>
          </w:sdtContent>
        </w:sdt>
        <w:sdt>
          <w:sdtPr>
            <w:rPr>
              <w:rFonts w:hint="eastAsia"/>
            </w:rPr>
            <w:tag w:val="_PLD_a9d390643c964401aa5f9b3500e0b907"/>
            <w:id w:val="31549525"/>
          </w:sdtPr>
          <w:sdtEndPr>
            <w:rPr>
              <w:rFonts w:hint="eastAsia"/>
            </w:rPr>
          </w:sdtEndPr>
          <w:sdtContent>
            <w:tc>
              <w:tcPr>
                <w:tcW w:w="2444"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pPr>
                <w:r>
                  <w:rPr>
                    <w:rFonts w:hint="eastAsia"/>
                  </w:rPr>
                  <w:t>期末余额</w:t>
                </w:r>
              </w:p>
            </w:tc>
          </w:sdtContent>
        </w:sdt>
        <w:sdt>
          <w:sdtPr>
            <w:rPr>
              <w:rFonts w:hint="eastAsia"/>
            </w:rPr>
            <w:tag w:val="_PLD_1648e2d0a2e043a1b5e331d43977d521"/>
            <w:id w:val="-434834392"/>
          </w:sdtPr>
          <w:sdtEndPr>
            <w:rPr>
              <w:rFonts w:hint="eastAsia"/>
            </w:rPr>
          </w:sdtEndPr>
          <w:sdtContent>
            <w:tc>
              <w:tcPr>
                <w:tcW w:w="1840"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716" w:type="pct"/>
            <w:vMerge w:val="continue"/>
            <w:tcBorders>
              <w:left w:val="single" w:color="auto" w:sz="4" w:space="0"/>
              <w:right w:val="single" w:color="auto" w:sz="4" w:space="0"/>
            </w:tcBorders>
            <w:vAlign w:val="center"/>
          </w:tcPr>
          <w:p>
            <w:pPr>
              <w:pStyle w:val="501"/>
            </w:pPr>
          </w:p>
        </w:tc>
        <w:sdt>
          <w:sdtPr>
            <w:rPr>
              <w:rFonts w:hint="eastAsia"/>
            </w:rPr>
            <w:tag w:val="_PLD_3728122722094c6c87dbbc3d1d8391b6"/>
            <w:id w:val="442662036"/>
          </w:sdtPr>
          <w:sdtEndPr>
            <w:rPr>
              <w:rFonts w:hint="eastAsia"/>
            </w:rPr>
          </w:sdtEndPr>
          <w:sdtContent>
            <w:tc>
              <w:tcPr>
                <w:tcW w:w="959" w:type="pct"/>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账面余额</w:t>
                </w:r>
              </w:p>
            </w:tc>
          </w:sdtContent>
        </w:sdt>
        <w:sdt>
          <w:sdtPr>
            <w:rPr>
              <w:rFonts w:hint="eastAsia"/>
            </w:rPr>
            <w:tag w:val="_PLD_45cda725567e44bf952a7c8d03586e93"/>
            <w:id w:val="-2022928928"/>
          </w:sdtPr>
          <w:sdtEndPr>
            <w:rPr>
              <w:rFonts w:hint="eastAsia"/>
            </w:rPr>
          </w:sdtEndPr>
          <w:sdtContent>
            <w:tc>
              <w:tcPr>
                <w:tcW w:w="880" w:type="pct"/>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坏账准备</w:t>
                </w:r>
              </w:p>
            </w:tc>
          </w:sdtContent>
        </w:sdt>
        <w:sdt>
          <w:sdtPr>
            <w:rPr>
              <w:rFonts w:hint="eastAsia"/>
            </w:rPr>
            <w:tag w:val="_PLD_b5d693e10b584218a2fcb7c20c5f82d8"/>
            <w:id w:val="905725890"/>
          </w:sdtPr>
          <w:sdtEndPr>
            <w:rPr>
              <w:rFonts w:hint="eastAsia"/>
            </w:rPr>
          </w:sdtEndPr>
          <w:sdtContent>
            <w:tc>
              <w:tcPr>
                <w:tcW w:w="604" w:type="pct"/>
                <w:vMerge w:val="restart"/>
                <w:tcBorders>
                  <w:top w:val="single" w:color="auto" w:sz="4" w:space="0"/>
                  <w:left w:val="single" w:color="auto" w:sz="4" w:space="0"/>
                  <w:right w:val="single" w:color="auto" w:sz="4" w:space="0"/>
                </w:tcBorders>
                <w:vAlign w:val="center"/>
              </w:tcPr>
              <w:p>
                <w:pPr>
                  <w:jc w:val="center"/>
                </w:pPr>
                <w:r>
                  <w:rPr>
                    <w:rFonts w:hint="eastAsia"/>
                  </w:rPr>
                  <w:t>账面</w:t>
                </w:r>
              </w:p>
              <w:p>
                <w:pPr>
                  <w:jc w:val="center"/>
                </w:pPr>
                <w:r>
                  <w:rPr>
                    <w:rFonts w:hint="eastAsia"/>
                  </w:rPr>
                  <w:t>价值</w:t>
                </w:r>
              </w:p>
            </w:tc>
          </w:sdtContent>
        </w:sdt>
        <w:sdt>
          <w:sdtPr>
            <w:rPr>
              <w:rFonts w:hint="eastAsia"/>
            </w:rPr>
            <w:tag w:val="_PLD_91cf019e97d04cb7980e45e7ee7f25c6"/>
            <w:id w:val="780303702"/>
          </w:sdtPr>
          <w:sdtEndPr>
            <w:rPr>
              <w:rFonts w:hint="eastAsia"/>
            </w:rPr>
          </w:sdtEndPr>
          <w:sdtContent>
            <w:tc>
              <w:tcPr>
                <w:tcW w:w="742" w:type="pct"/>
                <w:gridSpan w:val="2"/>
                <w:tcBorders>
                  <w:top w:val="single" w:color="auto" w:sz="4" w:space="0"/>
                  <w:left w:val="single" w:color="auto" w:sz="4" w:space="0"/>
                  <w:right w:val="single" w:color="auto" w:sz="4" w:space="0"/>
                </w:tcBorders>
                <w:vAlign w:val="center"/>
              </w:tcPr>
              <w:p>
                <w:pPr>
                  <w:jc w:val="center"/>
                </w:pPr>
                <w:r>
                  <w:rPr>
                    <w:rFonts w:hint="eastAsia"/>
                  </w:rPr>
                  <w:t>账面余额</w:t>
                </w:r>
              </w:p>
            </w:tc>
          </w:sdtContent>
        </w:sdt>
        <w:sdt>
          <w:sdtPr>
            <w:rPr>
              <w:rFonts w:hint="eastAsia"/>
            </w:rPr>
            <w:tag w:val="_PLD_a0939ab7fd2844cda721292f9bdbe8a9"/>
            <w:id w:val="-1159693070"/>
          </w:sdtPr>
          <w:sdtEndPr>
            <w:rPr>
              <w:rFonts w:hint="eastAsia"/>
            </w:rPr>
          </w:sdtEndPr>
          <w:sdtContent>
            <w:tc>
              <w:tcPr>
                <w:tcW w:w="747" w:type="pct"/>
                <w:gridSpan w:val="2"/>
                <w:tcBorders>
                  <w:top w:val="single" w:color="auto" w:sz="4" w:space="0"/>
                  <w:left w:val="single" w:color="auto" w:sz="4" w:space="0"/>
                  <w:right w:val="single" w:color="auto" w:sz="4" w:space="0"/>
                </w:tcBorders>
                <w:vAlign w:val="center"/>
              </w:tcPr>
              <w:p>
                <w:pPr>
                  <w:jc w:val="center"/>
                </w:pPr>
                <w:r>
                  <w:rPr>
                    <w:rFonts w:hint="eastAsia"/>
                  </w:rPr>
                  <w:t>坏账准备</w:t>
                </w:r>
              </w:p>
            </w:tc>
          </w:sdtContent>
        </w:sdt>
        <w:sdt>
          <w:sdtPr>
            <w:rPr>
              <w:rFonts w:hint="eastAsia"/>
            </w:rPr>
            <w:tag w:val="_PLD_57c2a684efce445789de9538ca62e055"/>
            <w:id w:val="-1547365566"/>
          </w:sdtPr>
          <w:sdtEndPr>
            <w:rPr>
              <w:rFonts w:hint="eastAsia"/>
            </w:rPr>
          </w:sdtEndPr>
          <w:sdtContent>
            <w:tc>
              <w:tcPr>
                <w:tcW w:w="351" w:type="pct"/>
                <w:vMerge w:val="restart"/>
                <w:tcBorders>
                  <w:top w:val="single" w:color="auto" w:sz="4" w:space="0"/>
                  <w:left w:val="single" w:color="auto" w:sz="4" w:space="0"/>
                  <w:right w:val="single" w:color="auto" w:sz="4" w:space="0"/>
                </w:tcBorders>
                <w:vAlign w:val="center"/>
              </w:tcPr>
              <w:p>
                <w:pPr>
                  <w:jc w:val="center"/>
                </w:pPr>
                <w:r>
                  <w:rPr>
                    <w:rFonts w:hint="eastAsia"/>
                  </w:rPr>
                  <w:t>账面</w:t>
                </w:r>
              </w:p>
              <w:p>
                <w:pPr>
                  <w:jc w:val="center"/>
                </w:pPr>
                <w:r>
                  <w:rPr>
                    <w:rFonts w:hint="eastAsia"/>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16" w:type="pct"/>
            <w:vMerge w:val="continue"/>
            <w:tcBorders>
              <w:left w:val="single" w:color="auto" w:sz="4" w:space="0"/>
              <w:bottom w:val="single" w:color="auto" w:sz="4" w:space="0"/>
              <w:right w:val="single" w:color="auto" w:sz="4" w:space="0"/>
            </w:tcBorders>
            <w:vAlign w:val="center"/>
          </w:tcPr>
          <w:p>
            <w:pPr>
              <w:pStyle w:val="501"/>
            </w:pPr>
          </w:p>
        </w:tc>
        <w:sdt>
          <w:sdtPr>
            <w:rPr>
              <w:rFonts w:hint="eastAsia"/>
            </w:rPr>
            <w:tag w:val="_PLD_79f42c5148e442c4896219a8569d3c88"/>
            <w:id w:val="84506160"/>
          </w:sdtPr>
          <w:sdtEndPr>
            <w:rPr>
              <w:rFonts w:hint="eastAsia"/>
            </w:rPr>
          </w:sdtEndPr>
          <w:sdtContent>
            <w:tc>
              <w:tcPr>
                <w:tcW w:w="604" w:type="pct"/>
                <w:tcBorders>
                  <w:left w:val="single" w:color="auto" w:sz="4" w:space="0"/>
                  <w:bottom w:val="single" w:color="auto" w:sz="4" w:space="0"/>
                  <w:right w:val="single" w:color="auto" w:sz="4" w:space="0"/>
                </w:tcBorders>
                <w:vAlign w:val="center"/>
              </w:tcPr>
              <w:p>
                <w:pPr>
                  <w:jc w:val="center"/>
                </w:pPr>
                <w:r>
                  <w:rPr>
                    <w:rFonts w:hint="eastAsia"/>
                  </w:rPr>
                  <w:t>金额</w:t>
                </w:r>
              </w:p>
            </w:tc>
          </w:sdtContent>
        </w:sdt>
        <w:sdt>
          <w:sdtPr>
            <w:rPr>
              <w:rFonts w:hint="eastAsia"/>
            </w:rPr>
            <w:tag w:val="_PLD_b2812c729f8b42eb8ec4be1270c8bef7"/>
            <w:id w:val="1527673907"/>
          </w:sdtPr>
          <w:sdtEndPr>
            <w:rPr>
              <w:rFonts w:hint="default"/>
            </w:rPr>
          </w:sdtEndPr>
          <w:sdtContent>
            <w:tc>
              <w:tcPr>
                <w:tcW w:w="355" w:type="pct"/>
                <w:tcBorders>
                  <w:left w:val="single" w:color="auto" w:sz="4" w:space="0"/>
                  <w:bottom w:val="single" w:color="auto" w:sz="4" w:space="0"/>
                  <w:right w:val="single" w:color="auto" w:sz="4" w:space="0"/>
                </w:tcBorders>
                <w:vAlign w:val="center"/>
              </w:tcPr>
              <w:p>
                <w:pPr>
                  <w:jc w:val="center"/>
                </w:pPr>
                <w:r>
                  <w:rPr>
                    <w:rFonts w:hint="eastAsia"/>
                  </w:rPr>
                  <w:t>比例</w:t>
                </w:r>
                <w:r>
                  <w:t>(%)</w:t>
                </w:r>
              </w:p>
            </w:tc>
          </w:sdtContent>
        </w:sdt>
        <w:sdt>
          <w:sdtPr>
            <w:rPr>
              <w:rFonts w:hint="eastAsia"/>
            </w:rPr>
            <w:tag w:val="_PLD_e53419d2dc934e91bc0da11a8e5064ef"/>
            <w:id w:val="545255476"/>
          </w:sdtPr>
          <w:sdtEndPr>
            <w:rPr>
              <w:rFonts w:hint="eastAsia"/>
            </w:rPr>
          </w:sdtEndPr>
          <w:sdtContent>
            <w:tc>
              <w:tcPr>
                <w:tcW w:w="515" w:type="pct"/>
                <w:tcBorders>
                  <w:left w:val="single" w:color="auto" w:sz="4" w:space="0"/>
                  <w:bottom w:val="single" w:color="auto" w:sz="4" w:space="0"/>
                  <w:right w:val="single" w:color="auto" w:sz="4" w:space="0"/>
                </w:tcBorders>
                <w:vAlign w:val="center"/>
              </w:tcPr>
              <w:p>
                <w:pPr>
                  <w:jc w:val="center"/>
                </w:pPr>
                <w:r>
                  <w:rPr>
                    <w:rFonts w:hint="eastAsia"/>
                  </w:rPr>
                  <w:t>金额</w:t>
                </w:r>
              </w:p>
            </w:tc>
          </w:sdtContent>
        </w:sdt>
        <w:sdt>
          <w:sdtPr>
            <w:rPr>
              <w:rFonts w:hint="eastAsia"/>
            </w:rPr>
            <w:tag w:val="_PLD_8fc1623422b24a81b3dc15cd79f7512f"/>
            <w:id w:val="1489982261"/>
          </w:sdtPr>
          <w:sdtEndPr>
            <w:rPr>
              <w:rFonts w:hint="default"/>
            </w:rPr>
          </w:sdtEndPr>
          <w:sdtContent>
            <w:tc>
              <w:tcPr>
                <w:tcW w:w="366" w:type="pct"/>
                <w:tcBorders>
                  <w:left w:val="single" w:color="auto" w:sz="4" w:space="0"/>
                  <w:bottom w:val="single" w:color="auto" w:sz="4" w:space="0"/>
                  <w:right w:val="single" w:color="auto" w:sz="4" w:space="0"/>
                </w:tcBorders>
                <w:vAlign w:val="center"/>
              </w:tcPr>
              <w:p>
                <w:pPr>
                  <w:jc w:val="center"/>
                </w:pPr>
                <w:r>
                  <w:rPr>
                    <w:rFonts w:hint="eastAsia"/>
                  </w:rPr>
                  <w:t>计提比例</w:t>
                </w:r>
                <w:r>
                  <w:t>(%)</w:t>
                </w:r>
              </w:p>
            </w:tc>
          </w:sdtContent>
        </w:sdt>
        <w:tc>
          <w:tcPr>
            <w:tcW w:w="604" w:type="pct"/>
            <w:vMerge w:val="continue"/>
            <w:tcBorders>
              <w:left w:val="single" w:color="auto" w:sz="4" w:space="0"/>
              <w:bottom w:val="single" w:color="auto" w:sz="4" w:space="0"/>
              <w:right w:val="single" w:color="auto" w:sz="4" w:space="0"/>
            </w:tcBorders>
            <w:vAlign w:val="center"/>
          </w:tcPr>
          <w:p>
            <w:pPr>
              <w:jc w:val="center"/>
            </w:pPr>
          </w:p>
        </w:tc>
        <w:sdt>
          <w:sdtPr>
            <w:rPr>
              <w:rFonts w:hint="eastAsia"/>
            </w:rPr>
            <w:tag w:val="_PLD_9f3942e9c0ba424695638f4161f4e42d"/>
            <w:id w:val="2100056458"/>
          </w:sdtPr>
          <w:sdtEndPr>
            <w:rPr>
              <w:rFonts w:hint="eastAsia"/>
            </w:rPr>
          </w:sdtEndPr>
          <w:sdtContent>
            <w:tc>
              <w:tcPr>
                <w:tcW w:w="376" w:type="pct"/>
                <w:tcBorders>
                  <w:left w:val="single" w:color="auto" w:sz="4" w:space="0"/>
                  <w:bottom w:val="single" w:color="auto" w:sz="4" w:space="0"/>
                  <w:right w:val="single" w:color="auto" w:sz="4" w:space="0"/>
                </w:tcBorders>
                <w:vAlign w:val="center"/>
              </w:tcPr>
              <w:p>
                <w:pPr>
                  <w:jc w:val="center"/>
                </w:pPr>
                <w:r>
                  <w:rPr>
                    <w:rFonts w:hint="eastAsia"/>
                  </w:rPr>
                  <w:t>金额</w:t>
                </w:r>
              </w:p>
            </w:tc>
          </w:sdtContent>
        </w:sdt>
        <w:sdt>
          <w:sdtPr>
            <w:rPr>
              <w:rFonts w:hint="eastAsia"/>
            </w:rPr>
            <w:tag w:val="_PLD_f3235b18b60547df8e3d3385802089f4"/>
            <w:id w:val="1833790751"/>
          </w:sdtPr>
          <w:sdtEndPr>
            <w:rPr>
              <w:rFonts w:hint="default"/>
            </w:rPr>
          </w:sdtEndPr>
          <w:sdtContent>
            <w:tc>
              <w:tcPr>
                <w:tcW w:w="366" w:type="pct"/>
                <w:tcBorders>
                  <w:left w:val="single" w:color="auto" w:sz="4" w:space="0"/>
                  <w:bottom w:val="single" w:color="auto" w:sz="4" w:space="0"/>
                  <w:right w:val="single" w:color="auto" w:sz="4" w:space="0"/>
                </w:tcBorders>
                <w:vAlign w:val="center"/>
              </w:tcPr>
              <w:p>
                <w:pPr>
                  <w:jc w:val="center"/>
                </w:pPr>
                <w:r>
                  <w:rPr>
                    <w:rFonts w:hint="eastAsia"/>
                  </w:rPr>
                  <w:t>比例</w:t>
                </w:r>
                <w:r>
                  <w:t>(%)</w:t>
                </w:r>
              </w:p>
            </w:tc>
          </w:sdtContent>
        </w:sdt>
        <w:sdt>
          <w:sdtPr>
            <w:rPr>
              <w:rFonts w:hint="eastAsia"/>
            </w:rPr>
            <w:tag w:val="_PLD_95314b7a1e474331887eccdfdd39852f"/>
            <w:id w:val="-1507749856"/>
          </w:sdtPr>
          <w:sdtEndPr>
            <w:rPr>
              <w:rFonts w:hint="eastAsia"/>
            </w:rPr>
          </w:sdtEndPr>
          <w:sdtContent>
            <w:tc>
              <w:tcPr>
                <w:tcW w:w="373" w:type="pct"/>
                <w:tcBorders>
                  <w:left w:val="single" w:color="auto" w:sz="4" w:space="0"/>
                  <w:bottom w:val="single" w:color="auto" w:sz="4" w:space="0"/>
                  <w:right w:val="single" w:color="auto" w:sz="4" w:space="0"/>
                </w:tcBorders>
                <w:vAlign w:val="center"/>
              </w:tcPr>
              <w:p>
                <w:pPr>
                  <w:jc w:val="center"/>
                </w:pPr>
                <w:r>
                  <w:rPr>
                    <w:rFonts w:hint="eastAsia"/>
                  </w:rPr>
                  <w:t>金额</w:t>
                </w:r>
              </w:p>
            </w:tc>
          </w:sdtContent>
        </w:sdt>
        <w:sdt>
          <w:sdtPr>
            <w:rPr>
              <w:rFonts w:hint="eastAsia"/>
            </w:rPr>
            <w:tag w:val="_PLD_39204f5cc16e488ba0242450ae9e4aad"/>
            <w:id w:val="1772741585"/>
          </w:sdtPr>
          <w:sdtEndPr>
            <w:rPr>
              <w:rFonts w:hint="default"/>
            </w:rPr>
          </w:sdtEndPr>
          <w:sdtContent>
            <w:tc>
              <w:tcPr>
                <w:tcW w:w="373" w:type="pct"/>
                <w:tcBorders>
                  <w:left w:val="single" w:color="auto" w:sz="4" w:space="0"/>
                  <w:bottom w:val="single" w:color="auto" w:sz="4" w:space="0"/>
                  <w:right w:val="single" w:color="auto" w:sz="4" w:space="0"/>
                </w:tcBorders>
                <w:vAlign w:val="center"/>
              </w:tcPr>
              <w:p>
                <w:pPr>
                  <w:jc w:val="center"/>
                </w:pPr>
                <w:r>
                  <w:rPr>
                    <w:rFonts w:hint="eastAsia"/>
                  </w:rPr>
                  <w:t>计提比例</w:t>
                </w:r>
                <w:r>
                  <w:t>(%)</w:t>
                </w:r>
              </w:p>
            </w:tc>
          </w:sdtContent>
        </w:sdt>
        <w:tc>
          <w:tcPr>
            <w:tcW w:w="351" w:type="pct"/>
            <w:vMerge w:val="continue"/>
            <w:tcBorders>
              <w:left w:val="single" w:color="auto" w:sz="4" w:space="0"/>
              <w:bottom w:val="single" w:color="auto" w:sz="4" w:space="0"/>
              <w:right w:val="single" w:color="auto" w:sz="4" w:space="0"/>
            </w:tcBorders>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6" w:type="pct"/>
            <w:tcBorders>
              <w:top w:val="single" w:color="auto" w:sz="4" w:space="0"/>
              <w:left w:val="single" w:color="auto" w:sz="4" w:space="0"/>
              <w:bottom w:val="single" w:color="auto" w:sz="4" w:space="0"/>
              <w:right w:val="single" w:color="auto" w:sz="4" w:space="0"/>
            </w:tcBorders>
          </w:tcPr>
          <w:p>
            <w:pPr>
              <w:pStyle w:val="501"/>
            </w:pPr>
            <w:r>
              <w:rPr>
                <w:rFonts w:hint="eastAsia"/>
              </w:rPr>
              <w:t>按单项计提坏账准备</w:t>
            </w:r>
          </w:p>
        </w:tc>
        <w:tc>
          <w:tcPr>
            <w:tcW w:w="604" w:type="pct"/>
            <w:tcBorders>
              <w:top w:val="single" w:color="auto" w:sz="4" w:space="0"/>
              <w:left w:val="single" w:color="auto" w:sz="4" w:space="0"/>
              <w:bottom w:val="single" w:color="auto" w:sz="4" w:space="0"/>
              <w:right w:val="single" w:color="auto" w:sz="4" w:space="0"/>
            </w:tcBorders>
          </w:tcPr>
          <w:p>
            <w:pPr>
              <w:jc w:val="right"/>
              <w:rPr>
                <w:rFonts w:ascii="宋体" w:hAnsi="宋体"/>
                <w:spacing w:val="-20"/>
              </w:rPr>
            </w:pPr>
          </w:p>
        </w:tc>
        <w:tc>
          <w:tcPr>
            <w:tcW w:w="355" w:type="pct"/>
            <w:tcBorders>
              <w:top w:val="single" w:color="auto" w:sz="4" w:space="0"/>
              <w:left w:val="single" w:color="auto" w:sz="4" w:space="0"/>
              <w:bottom w:val="single" w:color="auto" w:sz="4" w:space="0"/>
              <w:right w:val="single" w:color="auto" w:sz="4" w:space="0"/>
            </w:tcBorders>
          </w:tcPr>
          <w:p>
            <w:pPr>
              <w:jc w:val="right"/>
              <w:rPr>
                <w:rFonts w:ascii="宋体" w:hAnsi="宋体"/>
                <w:spacing w:val="-20"/>
              </w:rPr>
            </w:pPr>
          </w:p>
        </w:tc>
        <w:tc>
          <w:tcPr>
            <w:tcW w:w="515" w:type="pct"/>
            <w:tcBorders>
              <w:top w:val="single" w:color="auto" w:sz="4" w:space="0"/>
              <w:left w:val="single" w:color="auto" w:sz="4" w:space="0"/>
              <w:bottom w:val="single" w:color="auto" w:sz="4" w:space="0"/>
              <w:right w:val="single" w:color="auto" w:sz="4" w:space="0"/>
            </w:tcBorders>
          </w:tcPr>
          <w:p>
            <w:pPr>
              <w:rPr>
                <w:rFonts w:ascii="宋体" w:hAnsi="宋体"/>
                <w:spacing w:val="-20"/>
              </w:rPr>
            </w:pPr>
          </w:p>
        </w:tc>
        <w:tc>
          <w:tcPr>
            <w:tcW w:w="366" w:type="pct"/>
            <w:tcBorders>
              <w:top w:val="single" w:color="auto" w:sz="4" w:space="0"/>
              <w:left w:val="single" w:color="auto" w:sz="4" w:space="0"/>
              <w:bottom w:val="single" w:color="auto" w:sz="4" w:space="0"/>
              <w:right w:val="single" w:color="auto" w:sz="4" w:space="0"/>
            </w:tcBorders>
          </w:tcPr>
          <w:p>
            <w:pPr>
              <w:jc w:val="right"/>
              <w:rPr>
                <w:rFonts w:ascii="宋体" w:hAnsi="宋体"/>
                <w:spacing w:val="-20"/>
              </w:rPr>
            </w:pPr>
          </w:p>
        </w:tc>
        <w:tc>
          <w:tcPr>
            <w:tcW w:w="604" w:type="pct"/>
            <w:tcBorders>
              <w:top w:val="single" w:color="auto" w:sz="4" w:space="0"/>
              <w:left w:val="single" w:color="auto" w:sz="4" w:space="0"/>
              <w:bottom w:val="single" w:color="auto" w:sz="4" w:space="0"/>
              <w:right w:val="single" w:color="auto" w:sz="4" w:space="0"/>
            </w:tcBorders>
          </w:tcPr>
          <w:p>
            <w:pPr>
              <w:jc w:val="right"/>
              <w:rPr>
                <w:rFonts w:ascii="宋体" w:hAnsi="宋体"/>
                <w:spacing w:val="-20"/>
              </w:rPr>
            </w:pPr>
          </w:p>
        </w:tc>
        <w:tc>
          <w:tcPr>
            <w:tcW w:w="376" w:type="pct"/>
            <w:tcBorders>
              <w:top w:val="single" w:color="auto" w:sz="4" w:space="0"/>
              <w:left w:val="single" w:color="auto" w:sz="4" w:space="0"/>
              <w:bottom w:val="single" w:color="auto" w:sz="4" w:space="0"/>
              <w:right w:val="single" w:color="auto" w:sz="4" w:space="0"/>
            </w:tcBorders>
          </w:tcPr>
          <w:p>
            <w:pPr>
              <w:jc w:val="right"/>
              <w:rPr>
                <w:rFonts w:ascii="宋体" w:hAnsi="宋体"/>
                <w:spacing w:val="-20"/>
              </w:rPr>
            </w:pPr>
          </w:p>
        </w:tc>
        <w:tc>
          <w:tcPr>
            <w:tcW w:w="366" w:type="pct"/>
            <w:tcBorders>
              <w:top w:val="single" w:color="auto" w:sz="4" w:space="0"/>
              <w:left w:val="single" w:color="auto" w:sz="4" w:space="0"/>
              <w:bottom w:val="single" w:color="auto" w:sz="4" w:space="0"/>
              <w:right w:val="single" w:color="auto" w:sz="4" w:space="0"/>
            </w:tcBorders>
          </w:tcPr>
          <w:p>
            <w:pPr>
              <w:jc w:val="right"/>
              <w:rPr>
                <w:rFonts w:ascii="宋体" w:hAnsi="宋体"/>
                <w:spacing w:val="-20"/>
              </w:rPr>
            </w:pPr>
          </w:p>
        </w:tc>
        <w:tc>
          <w:tcPr>
            <w:tcW w:w="373" w:type="pct"/>
            <w:tcBorders>
              <w:top w:val="single" w:color="auto" w:sz="4" w:space="0"/>
              <w:left w:val="single" w:color="auto" w:sz="4" w:space="0"/>
              <w:bottom w:val="single" w:color="auto" w:sz="4" w:space="0"/>
              <w:right w:val="single" w:color="auto" w:sz="4" w:space="0"/>
            </w:tcBorders>
          </w:tcPr>
          <w:p>
            <w:pPr>
              <w:jc w:val="right"/>
              <w:rPr>
                <w:rFonts w:ascii="宋体" w:hAnsi="宋体"/>
                <w:spacing w:val="-20"/>
              </w:rPr>
            </w:pPr>
          </w:p>
        </w:tc>
        <w:tc>
          <w:tcPr>
            <w:tcW w:w="373" w:type="pct"/>
            <w:tcBorders>
              <w:top w:val="single" w:color="auto" w:sz="4" w:space="0"/>
              <w:left w:val="single" w:color="auto" w:sz="4" w:space="0"/>
              <w:bottom w:val="single" w:color="auto" w:sz="4" w:space="0"/>
              <w:right w:val="single" w:color="auto" w:sz="4" w:space="0"/>
            </w:tcBorders>
          </w:tcPr>
          <w:p>
            <w:pPr>
              <w:jc w:val="right"/>
              <w:rPr>
                <w:rFonts w:ascii="宋体" w:hAnsi="宋体"/>
                <w:spacing w:val="-20"/>
              </w:rPr>
            </w:pPr>
          </w:p>
        </w:tc>
        <w:tc>
          <w:tcPr>
            <w:tcW w:w="351" w:type="pct"/>
            <w:tcBorders>
              <w:top w:val="single" w:color="auto" w:sz="4" w:space="0"/>
              <w:left w:val="single" w:color="auto" w:sz="4" w:space="0"/>
              <w:bottom w:val="single" w:color="auto" w:sz="4" w:space="0"/>
              <w:right w:val="single" w:color="auto" w:sz="4" w:space="0"/>
            </w:tcBorders>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6" w:type="pct"/>
            <w:tcBorders>
              <w:top w:val="single" w:color="auto" w:sz="4" w:space="0"/>
              <w:left w:val="single" w:color="auto" w:sz="4" w:space="0"/>
              <w:bottom w:val="single" w:color="auto" w:sz="4" w:space="0"/>
              <w:right w:val="single" w:color="auto" w:sz="4" w:space="0"/>
            </w:tcBorders>
          </w:tcPr>
          <w:p>
            <w:pPr>
              <w:pStyle w:val="501"/>
            </w:pPr>
            <w:r>
              <w:rPr>
                <w:rFonts w:hint="eastAsia"/>
              </w:rPr>
              <w:t>按组合计提坏账准备</w:t>
            </w:r>
          </w:p>
        </w:tc>
        <w:tc>
          <w:tcPr>
            <w:tcW w:w="6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2,505,717</w:t>
            </w:r>
          </w:p>
        </w:tc>
        <w:tc>
          <w:tcPr>
            <w:tcW w:w="35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100</w:t>
            </w:r>
          </w:p>
        </w:tc>
        <w:tc>
          <w:tcPr>
            <w:tcW w:w="51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172,297</w:t>
            </w:r>
          </w:p>
        </w:tc>
        <w:tc>
          <w:tcPr>
            <w:tcW w:w="366"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7</w:t>
            </w:r>
          </w:p>
        </w:tc>
        <w:tc>
          <w:tcPr>
            <w:tcW w:w="604" w:type="pct"/>
            <w:tcBorders>
              <w:top w:val="single" w:color="auto" w:sz="2" w:space="0"/>
              <w:left w:val="single" w:color="auto" w:sz="2" w:space="0"/>
              <w:bottom w:val="single" w:color="auto" w:sz="2" w:space="0"/>
              <w:right w:val="nil"/>
            </w:tcBorders>
            <w:vAlign w:val="center"/>
          </w:tcPr>
          <w:p>
            <w:pPr>
              <w:jc w:val="right"/>
              <w:rPr>
                <w:rFonts w:ascii="宋体" w:hAnsi="宋体"/>
                <w:spacing w:val="-20"/>
              </w:rPr>
            </w:pPr>
            <w:r>
              <w:rPr>
                <w:rFonts w:ascii="宋体" w:hAnsi="宋体"/>
                <w:spacing w:val="-20"/>
              </w:rPr>
              <w:t>2,333,420</w:t>
            </w:r>
          </w:p>
        </w:tc>
        <w:tc>
          <w:tcPr>
            <w:tcW w:w="376"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2,530,211</w:t>
            </w:r>
          </w:p>
        </w:tc>
        <w:tc>
          <w:tcPr>
            <w:tcW w:w="366"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100</w:t>
            </w:r>
          </w:p>
        </w:tc>
        <w:tc>
          <w:tcPr>
            <w:tcW w:w="373"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spacing w:val="-20"/>
              </w:rPr>
            </w:pPr>
            <w:r>
              <w:rPr>
                <w:rFonts w:ascii="宋体" w:hAnsi="宋体"/>
                <w:spacing w:val="-20"/>
              </w:rPr>
              <w:t>166,029</w:t>
            </w:r>
          </w:p>
        </w:tc>
        <w:tc>
          <w:tcPr>
            <w:tcW w:w="37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7</w:t>
            </w:r>
          </w:p>
        </w:tc>
        <w:tc>
          <w:tcPr>
            <w:tcW w:w="3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2,364,182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合计</w:t>
            </w:r>
          </w:p>
        </w:tc>
        <w:tc>
          <w:tcPr>
            <w:tcW w:w="60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2,505,717</w:t>
            </w:r>
          </w:p>
        </w:tc>
        <w:tc>
          <w:tcPr>
            <w:tcW w:w="35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100</w:t>
            </w:r>
          </w:p>
        </w:tc>
        <w:tc>
          <w:tcPr>
            <w:tcW w:w="51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172,297</w:t>
            </w: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7</w:t>
            </w:r>
          </w:p>
        </w:tc>
        <w:tc>
          <w:tcPr>
            <w:tcW w:w="60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2,333,420</w:t>
            </w:r>
          </w:p>
        </w:tc>
        <w:tc>
          <w:tcPr>
            <w:tcW w:w="37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2,530,211</w:t>
            </w:r>
          </w:p>
        </w:tc>
        <w:tc>
          <w:tcPr>
            <w:tcW w:w="36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100</w:t>
            </w:r>
          </w:p>
        </w:tc>
        <w:tc>
          <w:tcPr>
            <w:tcW w:w="37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166,029</w:t>
            </w:r>
          </w:p>
        </w:tc>
        <w:tc>
          <w:tcPr>
            <w:tcW w:w="37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7</w:t>
            </w:r>
          </w:p>
        </w:tc>
        <w:tc>
          <w:tcPr>
            <w:tcW w:w="3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2,364,182</w:t>
            </w:r>
          </w:p>
        </w:tc>
      </w:tr>
    </w:tbl>
    <w:p>
      <w:pPr>
        <w:pStyle w:val="531"/>
      </w:pPr>
    </w:p>
    <w:p>
      <w:pPr>
        <w:pStyle w:val="531"/>
      </w:pPr>
      <w:r>
        <w:rPr>
          <w:rFonts w:hint="eastAsia"/>
        </w:rPr>
        <w:t>按单项计提坏账准备：</w:t>
      </w:r>
    </w:p>
    <w:sdt>
      <w:sdtPr>
        <w:alias w:val="是否适用：按单项计提坏账准备的详细情况[双击切换]"/>
        <w:tag w:val="_GBC_19243c464e23496a87380a02fccd7f4a"/>
        <w:id w:val="565147993"/>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按单项计提坏账准备的说明：</w:t>
      </w:r>
    </w:p>
    <w:sdt>
      <w:sdtPr>
        <w:alias w:val="是否适用：按单项计提坏账准备的说明[双击切换]"/>
        <w:tag w:val="_GBC_ee6f2bb0912a4ff4a6aa0561400844a8"/>
        <w:id w:val="-1238477677"/>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rPr>
          <w:bCs/>
          <w:szCs w:val="22"/>
        </w:rPr>
      </w:pPr>
      <w:r>
        <w:rPr>
          <w:rFonts w:hint="eastAsia"/>
          <w:bCs/>
          <w:szCs w:val="22"/>
        </w:rPr>
        <w:t>按组合计提坏账准备：</w:t>
      </w:r>
    </w:p>
    <w:sdt>
      <w:sdtPr>
        <w:rPr>
          <w:bCs/>
          <w:szCs w:val="22"/>
        </w:rPr>
        <w:alias w:val="是否适用：按组合计提坏账准备的详细情况[双击切换]"/>
        <w:tag w:val="_GBC_e6c71fc91a6941b5af515956aed70086"/>
        <w:id w:val="-332925263"/>
        <w:placeholder>
          <w:docPart w:val="GBC22222222222222222222222222222"/>
        </w:placeholder>
      </w:sdtPr>
      <w:sdtEndPr>
        <w:rPr>
          <w:bCs/>
          <w:szCs w:val="22"/>
        </w:rPr>
      </w:sdtEndPr>
      <w:sdtContent>
        <w:p>
          <w:pPr>
            <w:pStyle w:val="501"/>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bookmarkEnd w:id="279"/>
    <w:p>
      <w:pPr>
        <w:rPr>
          <w:b/>
          <w:bCs/>
          <w:szCs w:val="22"/>
        </w:rPr>
      </w:pPr>
    </w:p>
    <w:p>
      <w:pPr>
        <w:pStyle w:val="505"/>
        <w:numPr>
          <w:ilvl w:val="3"/>
          <w:numId w:val="81"/>
        </w:numPr>
        <w:ind w:left="426" w:hanging="426"/>
        <w:rPr>
          <w:rFonts w:ascii="宋体" w:hAnsi="宋体" w:eastAsia="宋体" w:cs="宋体"/>
          <w:kern w:val="0"/>
          <w:szCs w:val="24"/>
        </w:rPr>
      </w:pPr>
      <w:r>
        <w:rPr>
          <w:rFonts w:hint="eastAsia" w:ascii="宋体" w:hAnsi="宋体" w:eastAsia="宋体" w:cs="宋体"/>
          <w:kern w:val="0"/>
          <w:szCs w:val="24"/>
        </w:rPr>
        <w:t>按预期信用损失一般模型计提坏账准备</w:t>
      </w:r>
    </w:p>
    <w:sdt>
      <w:sdtPr>
        <w:alias w:val="是否适用：长期应收款坏账准备调节表[双击切换]"/>
        <w:tag w:val="_GBC_83c414b79fa243258be4f4c6998e475c"/>
        <w:id w:val="1447042843"/>
        <w:placeholder>
          <w:docPart w:val="GBC22222222222222222222222222222"/>
        </w:placeholder>
      </w:sdtPr>
      <w:sdtContent>
        <w:p>
          <w:pPr>
            <w:pStyle w:val="531"/>
          </w:pPr>
          <w:bookmarkStart w:id="280" w:name="_Hlk53387242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105" w:rightChars="50"/>
        <w:jc w:val="right"/>
      </w:pPr>
      <w:r>
        <w:rPr>
          <w:rFonts w:hint="eastAsia"/>
        </w:rPr>
        <w:t>单位：</w:t>
      </w:r>
      <w:sdt>
        <w:sdtPr>
          <w:rPr>
            <w:rFonts w:hint="eastAsia"/>
          </w:rPr>
          <w:alias w:val="单位：长期应收款坏账准备调节表"/>
          <w:tag w:val="_GBC_7d2528c518494f00b0f6d9873d82b6b8"/>
          <w:id w:val="-18312852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长期应收款坏账准备调节表"/>
          <w:tag w:val="_GBC_5c4daf2984c3464ea5f009d8fc6503d4"/>
          <w:id w:val="-85358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560"/>
        <w:gridCol w:w="1985"/>
        <w:gridCol w:w="198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53e254a36bf74b8aa6d62ff3627bc51c"/>
            <w:id w:val="528845105"/>
          </w:sdtPr>
          <w:sdtEndPr>
            <w:rPr>
              <w:rFonts w:ascii="宋体" w:hAnsi="宋体"/>
            </w:rPr>
          </w:sdtEndPr>
          <w:sdtContent>
            <w:tc>
              <w:tcPr>
                <w:tcW w:w="1001" w:type="pct"/>
                <w:vMerge w:val="restart"/>
                <w:vAlign w:val="center"/>
              </w:tcPr>
              <w:p>
                <w:pPr>
                  <w:jc w:val="center"/>
                  <w:rPr>
                    <w:rFonts w:ascii="宋体" w:hAnsi="宋体"/>
                  </w:rPr>
                </w:pPr>
                <w:r>
                  <w:rPr>
                    <w:rFonts w:hint="eastAsia" w:ascii="宋体" w:hAnsi="宋体"/>
                  </w:rPr>
                  <w:t>坏账</w:t>
                </w:r>
                <w:r>
                  <w:rPr>
                    <w:rFonts w:ascii="宋体" w:hAnsi="宋体"/>
                  </w:rPr>
                  <w:t>准备</w:t>
                </w:r>
              </w:p>
            </w:tc>
          </w:sdtContent>
        </w:sdt>
        <w:sdt>
          <w:sdtPr>
            <w:rPr>
              <w:rFonts w:ascii="宋体" w:hAnsi="宋体"/>
            </w:rPr>
            <w:tag w:val="_PLD_6728ea3d5ef54c4dbe708cf82174dd20"/>
            <w:id w:val="1773044049"/>
          </w:sdtPr>
          <w:sdtEndPr>
            <w:rPr>
              <w:rFonts w:ascii="宋体" w:hAnsi="宋体"/>
            </w:rPr>
          </w:sdtEndPr>
          <w:sdtContent>
            <w:tc>
              <w:tcPr>
                <w:tcW w:w="862" w:type="pct"/>
                <w:vAlign w:val="center"/>
              </w:tcPr>
              <w:p>
                <w:pPr>
                  <w:jc w:val="center"/>
                  <w:rPr>
                    <w:rFonts w:ascii="宋体" w:hAnsi="宋体"/>
                  </w:rPr>
                </w:pPr>
                <w:r>
                  <w:rPr>
                    <w:rFonts w:ascii="宋体" w:hAnsi="宋体"/>
                  </w:rPr>
                  <w:t>第一阶段</w:t>
                </w:r>
              </w:p>
            </w:tc>
          </w:sdtContent>
        </w:sdt>
        <w:sdt>
          <w:sdtPr>
            <w:rPr>
              <w:rFonts w:ascii="宋体" w:hAnsi="宋体"/>
            </w:rPr>
            <w:tag w:val="_PLD_02047fc355b74a09b8b179812acc2694"/>
            <w:id w:val="1295798976"/>
          </w:sdtPr>
          <w:sdtEndPr>
            <w:rPr>
              <w:rFonts w:ascii="宋体" w:hAnsi="宋体"/>
            </w:rPr>
          </w:sdtEndPr>
          <w:sdtContent>
            <w:tc>
              <w:tcPr>
                <w:tcW w:w="1097" w:type="pct"/>
                <w:vAlign w:val="center"/>
              </w:tcPr>
              <w:p>
                <w:pPr>
                  <w:jc w:val="center"/>
                  <w:rPr>
                    <w:rFonts w:ascii="宋体" w:hAnsi="宋体"/>
                  </w:rPr>
                </w:pPr>
                <w:r>
                  <w:rPr>
                    <w:rFonts w:ascii="宋体" w:hAnsi="宋体"/>
                  </w:rPr>
                  <w:t>第二阶段</w:t>
                </w:r>
              </w:p>
            </w:tc>
          </w:sdtContent>
        </w:sdt>
        <w:sdt>
          <w:sdtPr>
            <w:rPr>
              <w:rFonts w:ascii="宋体" w:hAnsi="宋体"/>
            </w:rPr>
            <w:tag w:val="_PLD_e5935642877d42508a235dc58315a0f2"/>
            <w:id w:val="-131327844"/>
          </w:sdtPr>
          <w:sdtEndPr>
            <w:rPr>
              <w:rFonts w:ascii="宋体" w:hAnsi="宋体"/>
            </w:rPr>
          </w:sdtEndPr>
          <w:sdtContent>
            <w:tc>
              <w:tcPr>
                <w:tcW w:w="1097" w:type="pct"/>
                <w:vAlign w:val="center"/>
              </w:tcPr>
              <w:p>
                <w:pPr>
                  <w:jc w:val="center"/>
                  <w:rPr>
                    <w:rFonts w:ascii="宋体" w:hAnsi="宋体"/>
                  </w:rPr>
                </w:pPr>
                <w:r>
                  <w:rPr>
                    <w:rFonts w:ascii="宋体" w:hAnsi="宋体"/>
                  </w:rPr>
                  <w:t>第三阶段</w:t>
                </w:r>
              </w:p>
            </w:tc>
          </w:sdtContent>
        </w:sdt>
        <w:sdt>
          <w:sdtPr>
            <w:rPr>
              <w:rFonts w:ascii="宋体" w:hAnsi="宋体"/>
            </w:rPr>
            <w:tag w:val="_PLD_97eac4c32ede4977b86fdf2a821830f1"/>
            <w:id w:val="1438096417"/>
          </w:sdtPr>
          <w:sdtEndPr>
            <w:rPr>
              <w:rFonts w:ascii="宋体" w:hAnsi="宋体"/>
            </w:rPr>
          </w:sdtEndPr>
          <w:sdtContent>
            <w:tc>
              <w:tcPr>
                <w:tcW w:w="943" w:type="pct"/>
                <w:vMerge w:val="restart"/>
                <w:vAlign w:val="center"/>
              </w:tcPr>
              <w:p>
                <w:pPr>
                  <w:jc w:val="center"/>
                  <w:rPr>
                    <w:rFonts w:ascii="宋体" w:hAnsi="宋体"/>
                  </w:rPr>
                </w:pPr>
                <w:r>
                  <w:rPr>
                    <w:rFonts w:ascii="宋体" w:hAnsi="宋体"/>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Merge w:val="continue"/>
            <w:vAlign w:val="center"/>
          </w:tcPr>
          <w:p>
            <w:pPr>
              <w:pStyle w:val="575"/>
              <w:spacing w:after="0" w:line="240" w:lineRule="auto"/>
              <w:jc w:val="both"/>
              <w:rPr>
                <w:rFonts w:ascii="宋体" w:hAnsi="宋体" w:eastAsia="宋体" w:cs="宋体"/>
                <w:sz w:val="21"/>
                <w:szCs w:val="21"/>
                <w:lang w:eastAsia="zh-CN"/>
              </w:rPr>
            </w:pPr>
          </w:p>
        </w:tc>
        <w:sdt>
          <w:sdtPr>
            <w:rPr>
              <w:rFonts w:ascii="宋体" w:hAnsi="宋体"/>
            </w:rPr>
            <w:tag w:val="_PLD_a2c40398df0245aca8ae9b95349e294a"/>
            <w:id w:val="-75369131"/>
          </w:sdtPr>
          <w:sdtEndPr>
            <w:rPr>
              <w:rFonts w:ascii="宋体" w:hAnsi="宋体"/>
            </w:rPr>
          </w:sdtEndPr>
          <w:sdtContent>
            <w:tc>
              <w:tcPr>
                <w:tcW w:w="862" w:type="pct"/>
                <w:vAlign w:val="center"/>
              </w:tcPr>
              <w:p>
                <w:pPr>
                  <w:jc w:val="center"/>
                  <w:rPr>
                    <w:rFonts w:ascii="宋体" w:hAnsi="宋体"/>
                  </w:rPr>
                </w:pPr>
                <w:r>
                  <w:rPr>
                    <w:rFonts w:ascii="宋体" w:hAnsi="宋体"/>
                  </w:rPr>
                  <w:t>未来12个月预期信用损失</w:t>
                </w:r>
              </w:p>
            </w:tc>
          </w:sdtContent>
        </w:sdt>
        <w:sdt>
          <w:sdtPr>
            <w:rPr>
              <w:rFonts w:ascii="宋体" w:hAnsi="宋体"/>
            </w:rPr>
            <w:tag w:val="_PLD_0e42fbfea225447ba1a604708ea0e5cb"/>
            <w:id w:val="932312493"/>
          </w:sdtPr>
          <w:sdtEndPr>
            <w:rPr>
              <w:rFonts w:ascii="宋体" w:hAnsi="宋体"/>
            </w:rPr>
          </w:sdtEndPr>
          <w:sdtContent>
            <w:tc>
              <w:tcPr>
                <w:tcW w:w="1097" w:type="pct"/>
                <w:vAlign w:val="center"/>
              </w:tcPr>
              <w:p>
                <w:pPr>
                  <w:jc w:val="center"/>
                  <w:rPr>
                    <w:rFonts w:ascii="宋体" w:hAnsi="宋体"/>
                  </w:rPr>
                </w:pPr>
                <w:r>
                  <w:rPr>
                    <w:rFonts w:ascii="宋体" w:hAnsi="宋体"/>
                  </w:rPr>
                  <w:t>整个存续期预期信用损失(未发生信用减值)</w:t>
                </w:r>
              </w:p>
            </w:tc>
          </w:sdtContent>
        </w:sdt>
        <w:sdt>
          <w:sdtPr>
            <w:rPr>
              <w:rFonts w:ascii="宋体" w:hAnsi="宋体"/>
            </w:rPr>
            <w:tag w:val="_PLD_80c9178ef7da44f9a0fbcd79a28d1369"/>
            <w:id w:val="1639221818"/>
          </w:sdtPr>
          <w:sdtEndPr>
            <w:rPr>
              <w:rFonts w:ascii="宋体" w:hAnsi="宋体"/>
            </w:rPr>
          </w:sdtEndPr>
          <w:sdtContent>
            <w:tc>
              <w:tcPr>
                <w:tcW w:w="1097" w:type="pct"/>
                <w:vAlign w:val="center"/>
              </w:tcPr>
              <w:p>
                <w:pPr>
                  <w:jc w:val="center"/>
                  <w:rPr>
                    <w:rFonts w:ascii="宋体" w:hAnsi="宋体"/>
                  </w:rPr>
                </w:pPr>
                <w:r>
                  <w:rPr>
                    <w:rFonts w:ascii="宋体" w:hAnsi="宋体"/>
                  </w:rPr>
                  <w:t>整个存续期预期信用损失(已发生信用减值)</w:t>
                </w:r>
              </w:p>
            </w:tc>
          </w:sdtContent>
        </w:sdt>
        <w:tc>
          <w:tcPr>
            <w:tcW w:w="943" w:type="pct"/>
            <w:vMerge w:val="continue"/>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ascii="宋体" w:hAnsi="宋体" w:eastAsia="宋体" w:cs="宋体"/>
                <w:sz w:val="21"/>
                <w:szCs w:val="21"/>
                <w:lang w:eastAsia="zh-CN"/>
              </w:rPr>
              <w:t>2023年</w:t>
            </w:r>
            <w:r>
              <w:rPr>
                <w:rFonts w:hint="eastAsia" w:ascii="宋体" w:hAnsi="宋体" w:eastAsia="宋体" w:cs="宋体"/>
                <w:sz w:val="21"/>
                <w:szCs w:val="21"/>
                <w:lang w:eastAsia="zh-CN"/>
              </w:rPr>
              <w:t>1月1日余额</w:t>
            </w:r>
          </w:p>
        </w:tc>
        <w:tc>
          <w:tcPr>
            <w:tcW w:w="862" w:type="pct"/>
            <w:vAlign w:val="center"/>
          </w:tcPr>
          <w:p>
            <w:pPr>
              <w:jc w:val="right"/>
              <w:rPr>
                <w:rFonts w:ascii="宋体" w:hAnsi="宋体"/>
              </w:rPr>
            </w:pPr>
            <w:r>
              <w:rPr>
                <w:rFonts w:ascii="宋体" w:hAnsi="宋体"/>
              </w:rPr>
              <w:t>47,534</w:t>
            </w:r>
          </w:p>
        </w:tc>
        <w:tc>
          <w:tcPr>
            <w:tcW w:w="1097" w:type="pct"/>
            <w:vAlign w:val="center"/>
          </w:tcPr>
          <w:p>
            <w:pPr>
              <w:jc w:val="right"/>
              <w:rPr>
                <w:rFonts w:ascii="宋体" w:hAnsi="宋体"/>
              </w:rPr>
            </w:pPr>
          </w:p>
        </w:tc>
        <w:tc>
          <w:tcPr>
            <w:tcW w:w="1097" w:type="pct"/>
            <w:vAlign w:val="center"/>
          </w:tcPr>
          <w:p>
            <w:pPr>
              <w:jc w:val="right"/>
              <w:rPr>
                <w:rFonts w:ascii="宋体" w:hAnsi="宋体"/>
              </w:rPr>
            </w:pPr>
            <w:r>
              <w:rPr>
                <w:rFonts w:ascii="宋体" w:hAnsi="宋体"/>
              </w:rPr>
              <w:t>118,495</w:t>
            </w:r>
          </w:p>
        </w:tc>
        <w:tc>
          <w:tcPr>
            <w:tcW w:w="943" w:type="pct"/>
            <w:vAlign w:val="center"/>
          </w:tcPr>
          <w:p>
            <w:pPr>
              <w:jc w:val="right"/>
              <w:rPr>
                <w:rFonts w:ascii="宋体" w:hAnsi="宋体"/>
              </w:rPr>
            </w:pPr>
            <w:r>
              <w:rPr>
                <w:rFonts w:ascii="宋体" w:hAnsi="宋体"/>
              </w:rPr>
              <w:t>166,029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862" w:type="pct"/>
            <w:vAlign w:val="center"/>
          </w:tcPr>
          <w:p>
            <w:pPr>
              <w:jc w:val="right"/>
              <w:rPr>
                <w:rFonts w:ascii="宋体" w:hAnsi="宋体"/>
              </w:rPr>
            </w:pPr>
            <w:r>
              <w:rPr>
                <w:rFonts w:ascii="宋体" w:hAnsi="宋体"/>
              </w:rPr>
              <w:t>12,486</w:t>
            </w: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r>
              <w:rPr>
                <w:rFonts w:ascii="宋体" w:hAnsi="宋体"/>
              </w:rPr>
              <w:t>12,486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sz w:val="21"/>
                <w:szCs w:val="21"/>
              </w:rPr>
            </w:pPr>
            <w:r>
              <w:rPr>
                <w:rFonts w:hint="eastAsia" w:ascii="宋体" w:hAnsi="宋体" w:eastAsia="宋体"/>
                <w:sz w:val="21"/>
                <w:szCs w:val="21"/>
                <w:lang w:eastAsia="zh-CN"/>
              </w:rPr>
              <w:t>本期转回</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本期转销</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sz w:val="21"/>
                <w:szCs w:val="21"/>
              </w:rPr>
            </w:pPr>
            <w:r>
              <w:rPr>
                <w:rFonts w:hint="eastAsia" w:ascii="宋体" w:hAnsi="宋体" w:eastAsia="宋体"/>
                <w:sz w:val="21"/>
                <w:szCs w:val="21"/>
                <w:lang w:eastAsia="zh-CN"/>
              </w:rPr>
              <w:t>本期核销</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r>
              <w:rPr>
                <w:rFonts w:ascii="宋体" w:hAnsi="宋体"/>
              </w:rPr>
              <w:t>-76,308</w:t>
            </w:r>
          </w:p>
        </w:tc>
        <w:tc>
          <w:tcPr>
            <w:tcW w:w="943" w:type="pct"/>
            <w:vAlign w:val="center"/>
          </w:tcPr>
          <w:p>
            <w:pPr>
              <w:jc w:val="right"/>
              <w:rPr>
                <w:rFonts w:ascii="宋体" w:hAnsi="宋体"/>
              </w:rPr>
            </w:pPr>
            <w:r>
              <w:rPr>
                <w:rFonts w:ascii="宋体" w:hAnsi="宋体"/>
              </w:rPr>
              <w:t>-76,308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其他变动</w:t>
            </w:r>
          </w:p>
        </w:tc>
        <w:tc>
          <w:tcPr>
            <w:tcW w:w="862" w:type="pct"/>
            <w:vAlign w:val="center"/>
          </w:tcPr>
          <w:p>
            <w:pPr>
              <w:jc w:val="right"/>
              <w:rPr>
                <w:rFonts w:ascii="宋体" w:hAnsi="宋体"/>
              </w:rPr>
            </w:pPr>
            <w:r>
              <w:rPr>
                <w:rFonts w:ascii="宋体" w:hAnsi="宋体"/>
              </w:rPr>
              <w:t>70,090</w:t>
            </w: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r>
              <w:rPr>
                <w:rFonts w:ascii="宋体" w:hAnsi="宋体"/>
              </w:rPr>
              <w:t>70,090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2023年12月31日</w:t>
            </w:r>
            <w:r>
              <w:rPr>
                <w:rFonts w:hint="eastAsia" w:ascii="宋体" w:hAnsi="宋体" w:eastAsia="宋体" w:cs="宋体"/>
                <w:sz w:val="21"/>
                <w:szCs w:val="21"/>
                <w:lang w:eastAsia="zh-CN"/>
              </w:rPr>
              <w:t>余额</w:t>
            </w:r>
          </w:p>
        </w:tc>
        <w:tc>
          <w:tcPr>
            <w:tcW w:w="862" w:type="pct"/>
            <w:vAlign w:val="center"/>
          </w:tcPr>
          <w:p>
            <w:pPr>
              <w:jc w:val="right"/>
              <w:rPr>
                <w:rFonts w:ascii="宋体" w:hAnsi="宋体"/>
              </w:rPr>
            </w:pPr>
            <w:r>
              <w:rPr>
                <w:rFonts w:ascii="宋体" w:hAnsi="宋体"/>
              </w:rPr>
              <w:t>130,110</w:t>
            </w:r>
          </w:p>
        </w:tc>
        <w:tc>
          <w:tcPr>
            <w:tcW w:w="1097" w:type="pct"/>
            <w:vAlign w:val="center"/>
          </w:tcPr>
          <w:p>
            <w:pPr>
              <w:jc w:val="right"/>
              <w:rPr>
                <w:rFonts w:ascii="宋体" w:hAnsi="宋体"/>
              </w:rPr>
            </w:pPr>
          </w:p>
        </w:tc>
        <w:tc>
          <w:tcPr>
            <w:tcW w:w="1097" w:type="pct"/>
            <w:vAlign w:val="center"/>
          </w:tcPr>
          <w:p>
            <w:pPr>
              <w:jc w:val="right"/>
              <w:rPr>
                <w:rFonts w:ascii="宋体" w:hAnsi="宋体"/>
              </w:rPr>
            </w:pPr>
            <w:r>
              <w:rPr>
                <w:rFonts w:ascii="宋体" w:hAnsi="宋体"/>
              </w:rPr>
              <w:t>42,187</w:t>
            </w:r>
          </w:p>
        </w:tc>
        <w:tc>
          <w:tcPr>
            <w:tcW w:w="943" w:type="pct"/>
            <w:vAlign w:val="center"/>
          </w:tcPr>
          <w:p>
            <w:pPr>
              <w:jc w:val="right"/>
              <w:rPr>
                <w:rFonts w:ascii="宋体" w:hAnsi="宋体"/>
              </w:rPr>
            </w:pPr>
            <w:r>
              <w:rPr>
                <w:rFonts w:ascii="宋体" w:hAnsi="宋体"/>
              </w:rPr>
              <w:t>172,297</w:t>
            </w:r>
          </w:p>
        </w:tc>
      </w:tr>
    </w:tbl>
    <w:p>
      <w:pPr>
        <w:rPr>
          <w:bCs/>
          <w:szCs w:val="22"/>
        </w:rPr>
      </w:pPr>
    </w:p>
    <w:p>
      <w:pPr>
        <w:pStyle w:val="531"/>
      </w:pPr>
    </w:p>
    <w:p>
      <w:pPr>
        <w:pStyle w:val="560"/>
      </w:pPr>
      <w:r>
        <w:rPr>
          <w:rFonts w:hint="eastAsia"/>
        </w:rPr>
        <w:t>对本期发生损失准备变动的长期应收款账面余额显著变动的情况说明：</w:t>
      </w:r>
    </w:p>
    <w:sdt>
      <w:sdtPr>
        <w:alias w:val="是否适用：长期应收款本期发生损失准备变动且账面余额显著变动的情况说明[双击切换]"/>
        <w:tag w:val="_GBC_8e2c1b904a3a4c10829d424151d47109"/>
        <w:id w:val="719706590"/>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80"/>
    <w:p>
      <w:pPr>
        <w:pStyle w:val="501"/>
      </w:pPr>
    </w:p>
    <w:p>
      <w:pPr>
        <w:pStyle w:val="560"/>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2118248728"/>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numPr>
          <w:ilvl w:val="3"/>
          <w:numId w:val="81"/>
        </w:numPr>
        <w:ind w:left="426" w:hanging="426"/>
        <w:rPr>
          <w:rFonts w:ascii="宋体" w:hAnsi="宋体" w:eastAsia="宋体" w:cs="宋体"/>
          <w:kern w:val="0"/>
          <w:szCs w:val="24"/>
        </w:rPr>
      </w:pPr>
      <w:r>
        <w:rPr>
          <w:rFonts w:hint="eastAsia" w:ascii="宋体" w:hAnsi="宋体" w:eastAsia="宋体" w:cs="宋体"/>
          <w:kern w:val="0"/>
          <w:szCs w:val="24"/>
        </w:rPr>
        <w:t>坏账准备的情况</w:t>
      </w:r>
    </w:p>
    <w:sdt>
      <w:sdtPr>
        <w:alias w:val="是否适用：坏账准备情况[双击切换]"/>
        <w:tag w:val="_GBC_1878fe8dd18b4d7f9eb1b263bc7833d1"/>
        <w:id w:val="-1148581631"/>
        <w:placeholder>
          <w:docPart w:val="GBC22222222222222222222222222222"/>
        </w:placeholder>
      </w:sdtPr>
      <w:sdtContent>
        <w:p>
          <w:pPr>
            <w:pStyle w:val="531"/>
          </w:pPr>
          <w:bookmarkStart w:id="281" w:name="_Hlk154131356"/>
          <w:bookmarkStart w:id="282" w:name="_Hlk15345763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snapToGrid w:val="0"/>
        <w:spacing w:line="240" w:lineRule="atLeast"/>
        <w:ind w:left="425" w:firstLine="0" w:firstLineChars="0"/>
        <w:jc w:val="right"/>
        <w:rPr>
          <w:szCs w:val="21"/>
        </w:rPr>
      </w:pPr>
      <w:r>
        <w:rPr>
          <w:rFonts w:hint="eastAsia"/>
          <w:szCs w:val="21"/>
        </w:rPr>
        <w:t>单位：</w:t>
      </w:r>
      <w:sdt>
        <w:sdtPr>
          <w:rPr>
            <w:rFonts w:hint="eastAsia"/>
            <w:szCs w:val="21"/>
          </w:rPr>
          <w:alias w:val="单位：坏账准备情况"/>
          <w:tag w:val="_GBC_bc8d00c0d3174cfcb352620f1eb8a667"/>
          <w:id w:val="-108167753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坏账准备情况"/>
          <w:tag w:val="_GBC_91b48dea1a804a74bee76eea04035acd"/>
          <w:id w:val="-11131370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82"/>
        <w:gridCol w:w="1245"/>
        <w:gridCol w:w="1352"/>
        <w:gridCol w:w="1245"/>
        <w:gridCol w:w="1249"/>
        <w:gridCol w:w="124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1b57eec9eb0c4064b8160bee3fcae2b4"/>
            <w:id w:val="-829595637"/>
          </w:sdtPr>
          <w:sdtContent>
            <w:tc>
              <w:tcPr>
                <w:tcW w:w="818" w:type="pct"/>
                <w:vMerge w:val="restart"/>
                <w:shd w:val="clear" w:color="auto" w:fill="FFFFFF"/>
                <w:vAlign w:val="center"/>
              </w:tcPr>
              <w:p>
                <w:pPr>
                  <w:jc w:val="center"/>
                </w:pPr>
                <w:r>
                  <w:t>类别</w:t>
                </w:r>
              </w:p>
            </w:tc>
          </w:sdtContent>
        </w:sdt>
        <w:sdt>
          <w:sdtPr>
            <w:tag w:val="_PLD_35b59bfd9c7d401382d341cb7fd9f429"/>
            <w:id w:val="-897668606"/>
          </w:sdtPr>
          <w:sdtContent>
            <w:tc>
              <w:tcPr>
                <w:tcW w:w="687" w:type="pct"/>
                <w:vMerge w:val="restart"/>
                <w:shd w:val="clear" w:color="auto" w:fill="FFFFFF"/>
                <w:vAlign w:val="center"/>
              </w:tcPr>
              <w:p>
                <w:pPr>
                  <w:jc w:val="center"/>
                </w:pPr>
                <w:r>
                  <w:t>期初余额</w:t>
                </w:r>
              </w:p>
            </w:tc>
          </w:sdtContent>
        </w:sdt>
        <w:sdt>
          <w:sdtPr>
            <w:rPr>
              <w:rFonts w:hint="eastAsia"/>
            </w:rPr>
            <w:tag w:val="_PLD_f832a927fbc74b77a4b316e48dd5b52d"/>
            <w:id w:val="1809510518"/>
          </w:sdtPr>
          <w:sdtEndPr>
            <w:rPr>
              <w:rFonts w:hint="default"/>
            </w:rPr>
          </w:sdtEndPr>
          <w:sdtContent>
            <w:tc>
              <w:tcPr>
                <w:tcW w:w="2809" w:type="pct"/>
                <w:gridSpan w:val="4"/>
                <w:shd w:val="clear" w:color="auto" w:fill="FFFFFF"/>
                <w:vAlign w:val="center"/>
              </w:tcPr>
              <w:p>
                <w:pPr>
                  <w:jc w:val="center"/>
                </w:pPr>
                <w:r>
                  <w:rPr>
                    <w:rFonts w:hint="eastAsia"/>
                  </w:rPr>
                  <w:t>本期变动</w:t>
                </w:r>
                <w:r>
                  <w:t>金额</w:t>
                </w:r>
              </w:p>
            </w:tc>
          </w:sdtContent>
        </w:sdt>
        <w:tc>
          <w:tcPr>
            <w:tcW w:w="685" w:type="pct"/>
            <w:vMerge w:val="restart"/>
            <w:shd w:val="clear" w:color="auto" w:fill="FFFFFF"/>
            <w:vAlign w:val="center"/>
          </w:tcPr>
          <w:sdt>
            <w:sdtPr>
              <w:tag w:val="_PLD_ccc97add96524818a21d9404254ba0a1"/>
              <w:id w:val="1069697391"/>
            </w:sdtPr>
            <w:sdtContent>
              <w:p>
                <w:pPr>
                  <w:jc w:val="center"/>
                </w:pPr>
                <w:r>
                  <w:t>期末余额</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18" w:type="pct"/>
            <w:vMerge w:val="continue"/>
            <w:shd w:val="clear" w:color="auto" w:fill="FFFFFF"/>
          </w:tcPr>
          <w:p>
            <w:pPr>
              <w:jc w:val="center"/>
            </w:pPr>
          </w:p>
        </w:tc>
        <w:tc>
          <w:tcPr>
            <w:tcW w:w="687" w:type="pct"/>
            <w:vMerge w:val="continue"/>
            <w:shd w:val="clear" w:color="auto" w:fill="FFFFFF"/>
          </w:tcPr>
          <w:p>
            <w:pPr>
              <w:jc w:val="center"/>
            </w:pPr>
          </w:p>
        </w:tc>
        <w:sdt>
          <w:sdtPr>
            <w:tag w:val="_PLD_8c73657619504c478224bb03d05744fb"/>
            <w:id w:val="1941263393"/>
          </w:sdtPr>
          <w:sdtContent>
            <w:tc>
              <w:tcPr>
                <w:tcW w:w="746" w:type="pct"/>
                <w:shd w:val="clear" w:color="auto" w:fill="FFFFFF"/>
                <w:vAlign w:val="center"/>
              </w:tcPr>
              <w:p>
                <w:pPr>
                  <w:jc w:val="center"/>
                </w:pPr>
                <w:r>
                  <w:t>计提</w:t>
                </w:r>
              </w:p>
            </w:tc>
          </w:sdtContent>
        </w:sdt>
        <w:sdt>
          <w:sdtPr>
            <w:rPr>
              <w:rFonts w:hint="eastAsia"/>
            </w:rPr>
            <w:tag w:val="_PLD_022cda494f134770bf3ef208bf599998"/>
            <w:id w:val="-821119802"/>
          </w:sdtPr>
          <w:sdtEndPr>
            <w:rPr>
              <w:rFonts w:hint="eastAsia"/>
            </w:rPr>
          </w:sdtEndPr>
          <w:sdtContent>
            <w:tc>
              <w:tcPr>
                <w:tcW w:w="687" w:type="pct"/>
                <w:shd w:val="clear" w:color="auto" w:fill="FFFFFF"/>
                <w:vAlign w:val="center"/>
              </w:tcPr>
              <w:p>
                <w:pPr>
                  <w:jc w:val="center"/>
                </w:pPr>
                <w:r>
                  <w:rPr>
                    <w:rFonts w:hint="eastAsia"/>
                  </w:rPr>
                  <w:t>收回或转回</w:t>
                </w:r>
              </w:p>
            </w:tc>
          </w:sdtContent>
        </w:sdt>
        <w:sdt>
          <w:sdtPr>
            <w:rPr>
              <w:rFonts w:hint="eastAsia"/>
            </w:rPr>
            <w:tag w:val="_PLD_3c73b120957a4df8af659b57c66c504b"/>
            <w:id w:val="2021591223"/>
          </w:sdtPr>
          <w:sdtEndPr>
            <w:rPr>
              <w:rFonts w:hint="eastAsia"/>
            </w:rPr>
          </w:sdtEndPr>
          <w:sdtContent>
            <w:tc>
              <w:tcPr>
                <w:tcW w:w="689" w:type="pct"/>
                <w:shd w:val="clear" w:color="auto" w:fill="FFFFFF"/>
                <w:vAlign w:val="center"/>
              </w:tcPr>
              <w:p>
                <w:pPr>
                  <w:jc w:val="center"/>
                </w:pPr>
                <w:r>
                  <w:rPr>
                    <w:rFonts w:hint="eastAsia"/>
                  </w:rPr>
                  <w:t>转销或核销</w:t>
                </w:r>
              </w:p>
            </w:tc>
          </w:sdtContent>
        </w:sdt>
        <w:sdt>
          <w:sdtPr>
            <w:rPr>
              <w:rFonts w:hint="eastAsia"/>
            </w:rPr>
            <w:tag w:val="_PLD_3a826535e5024414812e143b3ba426dc"/>
            <w:id w:val="-1924096590"/>
          </w:sdtPr>
          <w:sdtEndPr>
            <w:rPr>
              <w:rFonts w:hint="eastAsia"/>
            </w:rPr>
          </w:sdtEndPr>
          <w:sdtContent>
            <w:tc>
              <w:tcPr>
                <w:tcW w:w="687" w:type="pct"/>
                <w:shd w:val="clear" w:color="auto" w:fill="FFFFFF"/>
                <w:vAlign w:val="center"/>
              </w:tcPr>
              <w:p>
                <w:pPr>
                  <w:jc w:val="center"/>
                </w:pPr>
                <w:r>
                  <w:rPr>
                    <w:rFonts w:hint="eastAsia"/>
                  </w:rPr>
                  <w:t>其他变动</w:t>
                </w:r>
              </w:p>
            </w:tc>
          </w:sdtContent>
        </w:sdt>
        <w:tc>
          <w:tcPr>
            <w:tcW w:w="685" w:type="pct"/>
            <w:vMerge w:val="continue"/>
            <w:shd w:val="clear" w:color="auto" w:fill="FFFFFF"/>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18" w:type="pct"/>
            <w:shd w:val="clear" w:color="auto" w:fill="auto"/>
          </w:tcPr>
          <w:p>
            <w:pPr>
              <w:pStyle w:val="501"/>
            </w:pPr>
            <w:r>
              <w:rPr>
                <w:rFonts w:hint="eastAsia"/>
              </w:rPr>
              <w:t>坏账准备</w:t>
            </w:r>
          </w:p>
        </w:tc>
        <w:tc>
          <w:tcPr>
            <w:tcW w:w="687" w:type="pct"/>
            <w:shd w:val="clear" w:color="auto" w:fill="auto"/>
          </w:tcPr>
          <w:p>
            <w:pPr>
              <w:jc w:val="right"/>
              <w:rPr>
                <w:rFonts w:ascii="宋体" w:hAnsi="宋体"/>
              </w:rPr>
            </w:pPr>
            <w:r>
              <w:rPr>
                <w:rFonts w:ascii="宋体" w:hAnsi="宋体"/>
              </w:rPr>
              <w:t>166,029</w:t>
            </w:r>
          </w:p>
        </w:tc>
        <w:tc>
          <w:tcPr>
            <w:tcW w:w="746" w:type="pct"/>
            <w:shd w:val="clear" w:color="auto" w:fill="auto"/>
          </w:tcPr>
          <w:p>
            <w:pPr>
              <w:jc w:val="right"/>
              <w:rPr>
                <w:rFonts w:ascii="宋体" w:hAnsi="宋体"/>
              </w:rPr>
            </w:pPr>
            <w:r>
              <w:rPr>
                <w:rFonts w:ascii="宋体" w:hAnsi="宋体"/>
              </w:rPr>
              <w:t>12,486</w:t>
            </w:r>
          </w:p>
        </w:tc>
        <w:tc>
          <w:tcPr>
            <w:tcW w:w="687" w:type="pct"/>
            <w:shd w:val="clear" w:color="auto" w:fill="auto"/>
          </w:tcPr>
          <w:p>
            <w:pPr>
              <w:jc w:val="right"/>
              <w:rPr>
                <w:rFonts w:ascii="宋体" w:hAnsi="宋体"/>
              </w:rPr>
            </w:pPr>
          </w:p>
        </w:tc>
        <w:tc>
          <w:tcPr>
            <w:tcW w:w="689" w:type="pct"/>
          </w:tcPr>
          <w:p>
            <w:pPr>
              <w:jc w:val="right"/>
              <w:rPr>
                <w:rFonts w:ascii="宋体" w:hAnsi="宋体"/>
              </w:rPr>
            </w:pPr>
            <w:r>
              <w:rPr>
                <w:rFonts w:ascii="宋体" w:hAnsi="宋体"/>
              </w:rPr>
              <w:t>-76,308</w:t>
            </w:r>
          </w:p>
        </w:tc>
        <w:tc>
          <w:tcPr>
            <w:tcW w:w="687" w:type="pct"/>
          </w:tcPr>
          <w:p>
            <w:pPr>
              <w:jc w:val="right"/>
              <w:rPr>
                <w:rFonts w:ascii="宋体" w:hAnsi="宋体"/>
              </w:rPr>
            </w:pPr>
            <w:r>
              <w:rPr>
                <w:rFonts w:ascii="宋体" w:hAnsi="宋体"/>
              </w:rPr>
              <w:t>70,090</w:t>
            </w:r>
          </w:p>
        </w:tc>
        <w:tc>
          <w:tcPr>
            <w:tcW w:w="685" w:type="pct"/>
            <w:shd w:val="clear" w:color="auto" w:fill="auto"/>
          </w:tcPr>
          <w:p>
            <w:pPr>
              <w:jc w:val="right"/>
              <w:rPr>
                <w:rFonts w:ascii="宋体" w:hAnsi="宋体"/>
              </w:rPr>
            </w:pPr>
            <w:r>
              <w:rPr>
                <w:rFonts w:ascii="宋体" w:hAnsi="宋体"/>
              </w:rPr>
              <w:t>172,297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18" w:type="pct"/>
            <w:shd w:val="clear" w:color="auto" w:fill="auto"/>
          </w:tcPr>
          <w:p>
            <w:pPr>
              <w:jc w:val="center"/>
            </w:pPr>
            <w:r>
              <w:rPr>
                <w:rFonts w:hint="eastAsia"/>
              </w:rPr>
              <w:t>合计</w:t>
            </w:r>
          </w:p>
        </w:tc>
        <w:tc>
          <w:tcPr>
            <w:tcW w:w="687" w:type="pct"/>
            <w:shd w:val="clear" w:color="auto" w:fill="auto"/>
            <w:vAlign w:val="center"/>
          </w:tcPr>
          <w:p>
            <w:pPr>
              <w:jc w:val="right"/>
              <w:rPr>
                <w:rFonts w:ascii="宋体" w:hAnsi="宋体"/>
              </w:rPr>
            </w:pPr>
            <w:r>
              <w:rPr>
                <w:rFonts w:ascii="宋体" w:hAnsi="宋体"/>
              </w:rPr>
              <w:t>166,029</w:t>
            </w:r>
          </w:p>
        </w:tc>
        <w:tc>
          <w:tcPr>
            <w:tcW w:w="746" w:type="pct"/>
            <w:shd w:val="clear" w:color="auto" w:fill="auto"/>
          </w:tcPr>
          <w:p>
            <w:pPr>
              <w:jc w:val="right"/>
              <w:rPr>
                <w:rFonts w:ascii="宋体" w:hAnsi="宋体"/>
              </w:rPr>
            </w:pPr>
            <w:r>
              <w:rPr>
                <w:rFonts w:ascii="宋体" w:hAnsi="宋体"/>
              </w:rPr>
              <w:t>12,486</w:t>
            </w:r>
          </w:p>
        </w:tc>
        <w:tc>
          <w:tcPr>
            <w:tcW w:w="687" w:type="pct"/>
            <w:shd w:val="clear" w:color="auto" w:fill="auto"/>
          </w:tcPr>
          <w:p>
            <w:pPr>
              <w:jc w:val="right"/>
              <w:rPr>
                <w:rFonts w:ascii="宋体" w:hAnsi="宋体"/>
              </w:rPr>
            </w:pPr>
          </w:p>
        </w:tc>
        <w:tc>
          <w:tcPr>
            <w:tcW w:w="689" w:type="pct"/>
          </w:tcPr>
          <w:p>
            <w:pPr>
              <w:jc w:val="right"/>
              <w:rPr>
                <w:rFonts w:ascii="宋体" w:hAnsi="宋体"/>
              </w:rPr>
            </w:pPr>
            <w:r>
              <w:rPr>
                <w:rFonts w:ascii="宋体" w:hAnsi="宋体"/>
              </w:rPr>
              <w:t>-76,308</w:t>
            </w:r>
          </w:p>
        </w:tc>
        <w:tc>
          <w:tcPr>
            <w:tcW w:w="687" w:type="pct"/>
          </w:tcPr>
          <w:p>
            <w:pPr>
              <w:jc w:val="right"/>
              <w:rPr>
                <w:rFonts w:ascii="宋体" w:hAnsi="宋体"/>
              </w:rPr>
            </w:pPr>
            <w:r>
              <w:rPr>
                <w:rFonts w:ascii="宋体" w:hAnsi="宋体"/>
              </w:rPr>
              <w:t>70,090</w:t>
            </w:r>
          </w:p>
        </w:tc>
        <w:tc>
          <w:tcPr>
            <w:tcW w:w="685" w:type="pct"/>
            <w:shd w:val="clear" w:color="auto" w:fill="auto"/>
          </w:tcPr>
          <w:p>
            <w:pPr>
              <w:jc w:val="right"/>
              <w:rPr>
                <w:rFonts w:ascii="宋体" w:hAnsi="宋体"/>
              </w:rPr>
            </w:pPr>
            <w:r>
              <w:rPr>
                <w:rFonts w:ascii="宋体" w:hAnsi="宋体"/>
              </w:rPr>
              <w:t>172,297</w:t>
            </w:r>
          </w:p>
        </w:tc>
      </w:tr>
    </w:tbl>
    <w:p>
      <w:pPr>
        <w:pStyle w:val="560"/>
      </w:pPr>
    </w:p>
    <w:p>
      <w:pPr>
        <w:pStyle w:val="531"/>
      </w:pPr>
      <w:r>
        <w:rPr>
          <w:rFonts w:hint="eastAsia"/>
        </w:rPr>
        <w:t>其中本期坏账准备收回或转回金额重要的：</w:t>
      </w:r>
    </w:p>
    <w:bookmarkEnd w:id="281"/>
    <w:sdt>
      <w:sdtPr>
        <w:alias w:val="是否适用：本期坏账准备收回或转回金额重要的[双击切换]"/>
        <w:tag w:val="_GBC_b4e3b5deca584587a596a753699de6b7"/>
        <w:id w:val="482047861"/>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1594" w:rightChars="-759"/>
      </w:pPr>
    </w:p>
    <w:p>
      <w:pPr>
        <w:pStyle w:val="505"/>
        <w:numPr>
          <w:ilvl w:val="3"/>
          <w:numId w:val="81"/>
        </w:numPr>
        <w:ind w:left="426" w:hanging="426"/>
        <w:rPr>
          <w:rFonts w:ascii="宋体" w:hAnsi="宋体" w:eastAsia="宋体" w:cs="宋体"/>
          <w:kern w:val="0"/>
          <w:szCs w:val="24"/>
        </w:rPr>
      </w:pPr>
      <w:r>
        <w:rPr>
          <w:rFonts w:ascii="宋体" w:hAnsi="宋体" w:eastAsia="宋体" w:cs="宋体"/>
          <w:kern w:val="0"/>
          <w:szCs w:val="24"/>
        </w:rPr>
        <w:t>本期实际核销的</w:t>
      </w:r>
      <w:r>
        <w:rPr>
          <w:rFonts w:hint="eastAsia" w:ascii="宋体" w:hAnsi="宋体" w:eastAsia="宋体" w:cs="宋体"/>
          <w:kern w:val="0"/>
          <w:szCs w:val="24"/>
        </w:rPr>
        <w:t>长期应收款</w:t>
      </w:r>
      <w:r>
        <w:rPr>
          <w:rFonts w:ascii="宋体" w:hAnsi="宋体" w:eastAsia="宋体" w:cs="宋体"/>
          <w:kern w:val="0"/>
          <w:szCs w:val="24"/>
        </w:rPr>
        <w:t>情况</w:t>
      </w:r>
    </w:p>
    <w:sdt>
      <w:sdtPr>
        <w:alias w:val="是否适用：实际核销的情况[双击切换]"/>
        <w:tag w:val="_GBC_e9d4e4f95df144d1beb521844e7c35e7"/>
        <w:id w:val="813307350"/>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实际核销的情况"/>
          <w:tag w:val="_GBC_3507b2cdc9cb464981f32d035133146f"/>
          <w:id w:val="-29444291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实际核销的情况"/>
          <w:tag w:val="_GBC_b8f851ff8e15451a924996051f4900b5"/>
          <w:id w:val="8395888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t xml:space="preserve"> </w:t>
      </w:r>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3"/>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12bd810d00d6487fb6289c578f2772b0"/>
            <w:id w:val="1045482764"/>
          </w:sdtPr>
          <w:sdtEndPr>
            <w:rPr>
              <w:rFonts w:hint="eastAsia"/>
            </w:rPr>
          </w:sdtEndPr>
          <w:sdtContent>
            <w:tc>
              <w:tcPr>
                <w:tcW w:w="2361" w:type="pct"/>
                <w:vAlign w:val="center"/>
              </w:tcPr>
              <w:p>
                <w:pPr>
                  <w:jc w:val="center"/>
                </w:pPr>
                <w:r>
                  <w:rPr>
                    <w:rFonts w:hint="eastAsia"/>
                  </w:rPr>
                  <w:t>项目</w:t>
                </w:r>
              </w:p>
            </w:tc>
          </w:sdtContent>
        </w:sdt>
        <w:tc>
          <w:tcPr>
            <w:tcW w:w="2639" w:type="pct"/>
          </w:tcPr>
          <w:sdt>
            <w:sdtPr>
              <w:rPr>
                <w:rFonts w:hint="eastAsia"/>
              </w:rPr>
              <w:tag w:val="_PLD_4f673d5d3ad248c1bbe0c51377c5707c"/>
              <w:id w:val="-1550905589"/>
            </w:sdtPr>
            <w:sdtEndPr>
              <w:rPr>
                <w:rFonts w:hint="eastAsia"/>
              </w:rPr>
            </w:sdtEndPr>
            <w:sdtContent>
              <w:p>
                <w:pPr>
                  <w:jc w:val="center"/>
                </w:pPr>
                <w:r>
                  <w:rPr>
                    <w:rFonts w:hint="eastAsia"/>
                  </w:rPr>
                  <w:t>核销金额</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pct"/>
          </w:tcPr>
          <w:p>
            <w:pPr>
              <w:pStyle w:val="501"/>
            </w:pPr>
            <w:r>
              <w:rPr>
                <w:rFonts w:hint="eastAsia"/>
              </w:rPr>
              <w:t>实际核销的长期应收款</w:t>
            </w:r>
          </w:p>
        </w:tc>
        <w:tc>
          <w:tcPr>
            <w:tcW w:w="2639" w:type="pct"/>
          </w:tcPr>
          <w:p>
            <w:pPr>
              <w:jc w:val="right"/>
              <w:rPr>
                <w:rFonts w:ascii="宋体" w:hAnsi="宋体"/>
              </w:rPr>
            </w:pPr>
            <w:r>
              <w:rPr>
                <w:rFonts w:ascii="宋体" w:hAnsi="宋体"/>
              </w:rPr>
              <w:t>76,308</w:t>
            </w:r>
          </w:p>
        </w:tc>
      </w:tr>
    </w:tbl>
    <w:p>
      <w:pPr>
        <w:pStyle w:val="501"/>
      </w:pPr>
    </w:p>
    <w:p>
      <w:pPr>
        <w:pStyle w:val="501"/>
      </w:pPr>
      <w:r>
        <w:rPr>
          <w:rFonts w:hint="eastAsia"/>
        </w:rPr>
        <w:t>其中重要的长期应收款核销情况</w:t>
      </w:r>
    </w:p>
    <w:sdt>
      <w:sdtPr>
        <w:rPr>
          <w:rFonts w:hint="eastAsia"/>
        </w:rPr>
        <w:alias w:val="是否适用：重要的核销情况[双击切换]"/>
        <w:tag w:val="_GBC_17fbcf123507404b9fc25df0517e3788"/>
        <w:id w:val="1999300977"/>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长期应收款核销说明：</w:t>
      </w:r>
    </w:p>
    <w:sdt>
      <w:sdtPr>
        <w:alias w:val="是否适用：核销说明[双击切换]"/>
        <w:tag w:val="_GBC_b5e2283b2a954039b963ac2506245e4d"/>
        <w:id w:val="167072861"/>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82"/>
    <w:p>
      <w:pPr>
        <w:pStyle w:val="501"/>
      </w:pPr>
    </w:p>
    <w:p>
      <w:pPr>
        <w:pStyle w:val="501"/>
      </w:pPr>
      <w:r>
        <w:rPr>
          <w:rFonts w:hint="eastAsia"/>
        </w:rPr>
        <w:t>其他说明</w:t>
      </w:r>
    </w:p>
    <w:sdt>
      <w:sdtPr>
        <w:alias w:val="是否适用：长期应收款的其他说明[双击切换]"/>
        <w:tag w:val="_GBC_374ef9a861254142b9ef8519d87eb5ac"/>
        <w:id w:val="-944384320"/>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长期股权投资</w:t>
      </w:r>
    </w:p>
    <w:p>
      <w:pPr>
        <w:pStyle w:val="505"/>
        <w:numPr>
          <w:ilvl w:val="0"/>
          <w:numId w:val="82"/>
        </w:numPr>
      </w:pPr>
      <w:r>
        <w:rPr>
          <w:rFonts w:hint="eastAsia"/>
        </w:rPr>
        <w:t>长期股权投资情况</w:t>
      </w:r>
    </w:p>
    <w:p>
      <w:pPr>
        <w:rPr>
          <w:rFonts w:ascii="宋体" w:hAnsi="宋体"/>
        </w:rPr>
      </w:pPr>
      <w:sdt>
        <w:sdtPr>
          <w:rPr>
            <w:rFonts w:hint="eastAsia"/>
          </w:rPr>
          <w:alias w:val="是否适用：长期股权投资[双击切换]"/>
          <w:tag w:val="_GBC_94e2c461d3d34280a0a5f1e908656d3e"/>
          <w:id w:val="-338616958"/>
        </w:sdtPr>
        <w:sdtEndPr>
          <w:rPr>
            <w:rFonts w:hint="eastAsia" w:ascii="宋体" w:hAnsi="宋体"/>
          </w:rPr>
        </w:sdtEnd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pStyle w:val="531"/>
        <w:sectPr>
          <w:pgSz w:w="11906" w:h="16838"/>
          <w:pgMar w:top="1440" w:right="1797" w:bottom="1525" w:left="1276" w:header="856" w:footer="992" w:gutter="0"/>
          <w:cols w:space="425" w:num="1"/>
          <w:docGrid w:type="lines" w:linePitch="312" w:charSpace="0"/>
        </w:sectPr>
      </w:pPr>
      <w:bookmarkStart w:id="283" w:name="_Hlk152856977"/>
    </w:p>
    <w:p>
      <w:pPr>
        <w:jc w:val="right"/>
      </w:pPr>
      <w:r>
        <w:rPr>
          <w:rFonts w:hint="eastAsia"/>
        </w:rPr>
        <w:t>单位：</w:t>
      </w:r>
      <w:sdt>
        <w:sdtPr>
          <w:rPr>
            <w:rFonts w:hint="eastAsia"/>
          </w:rPr>
          <w:alias w:val="单位：财务附注：长期股权投资"/>
          <w:tag w:val="_GBC_9ef1128bd666425898c1d0386f4940f0"/>
          <w:id w:val="15060905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长期股权投资"/>
          <w:tag w:val="_GBC_3839232c7f594f79a27ec799cde377b3"/>
          <w:id w:val="9047212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283"/>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0"/>
        <w:gridCol w:w="1152"/>
        <w:gridCol w:w="865"/>
        <w:gridCol w:w="1006"/>
        <w:gridCol w:w="1009"/>
        <w:gridCol w:w="865"/>
        <w:gridCol w:w="1152"/>
        <w:gridCol w:w="1152"/>
        <w:gridCol w:w="575"/>
        <w:gridCol w:w="865"/>
        <w:gridCol w:w="930"/>
        <w:gridCol w:w="1090"/>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宋体" w:hAnsi="宋体"/>
              <w:spacing w:val="-20"/>
            </w:rPr>
            <w:tag w:val="_PLD_904000e8ce384d4988e09c22d5f8f725"/>
            <w:id w:val="2072077467"/>
          </w:sdtPr>
          <w:sdtEndPr>
            <w:rPr>
              <w:rFonts w:ascii="宋体" w:hAnsi="宋体"/>
              <w:spacing w:val="-20"/>
            </w:rPr>
          </w:sdtEndPr>
          <w:sdtContent>
            <w:tc>
              <w:tcPr>
                <w:tcW w:w="919"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被投资单位</w:t>
                </w:r>
              </w:p>
            </w:tc>
          </w:sdtContent>
        </w:sdt>
        <w:sdt>
          <w:sdtPr>
            <w:rPr>
              <w:rFonts w:ascii="宋体" w:hAnsi="宋体"/>
              <w:spacing w:val="-20"/>
            </w:rPr>
            <w:tag w:val="_PLD_2325481f20324f949b4d5af7cfe3ea45"/>
            <w:id w:val="-262079954"/>
          </w:sdtPr>
          <w:sdtEndPr>
            <w:rPr>
              <w:rFonts w:ascii="宋体" w:hAnsi="宋体"/>
              <w:spacing w:val="-20"/>
            </w:rPr>
          </w:sdtEndPr>
          <w:sdtContent>
            <w:tc>
              <w:tcPr>
                <w:tcW w:w="409"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期初</w:t>
                </w:r>
              </w:p>
              <w:p>
                <w:pPr>
                  <w:jc w:val="center"/>
                  <w:rPr>
                    <w:rFonts w:ascii="宋体" w:hAnsi="宋体"/>
                    <w:spacing w:val="-20"/>
                  </w:rPr>
                </w:pPr>
                <w:r>
                  <w:rPr>
                    <w:rFonts w:hint="eastAsia" w:ascii="宋体" w:hAnsi="宋体"/>
                    <w:spacing w:val="-20"/>
                  </w:rPr>
                  <w:t>余额</w:t>
                </w:r>
              </w:p>
            </w:tc>
          </w:sdtContent>
        </w:sdt>
        <w:sdt>
          <w:sdtPr>
            <w:rPr>
              <w:rFonts w:ascii="宋体" w:hAnsi="宋体"/>
              <w:spacing w:val="-20"/>
            </w:rPr>
            <w:tag w:val="_PLD_62e0836260734d34965d8070b1a6f2dd"/>
            <w:id w:val="440503754"/>
          </w:sdtPr>
          <w:sdtEndPr>
            <w:rPr>
              <w:rFonts w:ascii="宋体" w:hAnsi="宋体"/>
              <w:spacing w:val="-20"/>
            </w:rPr>
          </w:sdtEndPr>
          <w:sdtContent>
            <w:tc>
              <w:tcPr>
                <w:tcW w:w="2988" w:type="pct"/>
                <w:gridSpan w:val="9"/>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本期增减变动</w:t>
                </w:r>
              </w:p>
            </w:tc>
          </w:sdtContent>
        </w:sdt>
        <w:sdt>
          <w:sdtPr>
            <w:rPr>
              <w:rFonts w:ascii="宋体" w:hAnsi="宋体"/>
              <w:spacing w:val="-20"/>
            </w:rPr>
            <w:tag w:val="_PLD_7b9429fc29b64f4c83eea02ed0cad7ba"/>
            <w:id w:val="-353269985"/>
          </w:sdtPr>
          <w:sdtEndPr>
            <w:rPr>
              <w:rFonts w:ascii="宋体" w:hAnsi="宋体"/>
              <w:spacing w:val="-20"/>
            </w:rPr>
          </w:sdtEndPr>
          <w:sdtContent>
            <w:tc>
              <w:tcPr>
                <w:tcW w:w="387"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期末</w:t>
                </w:r>
              </w:p>
              <w:p>
                <w:pPr>
                  <w:jc w:val="center"/>
                  <w:rPr>
                    <w:rFonts w:ascii="宋体" w:hAnsi="宋体"/>
                    <w:spacing w:val="-20"/>
                  </w:rPr>
                </w:pPr>
                <w:r>
                  <w:rPr>
                    <w:rFonts w:hint="eastAsia" w:ascii="宋体" w:hAnsi="宋体"/>
                    <w:spacing w:val="-20"/>
                  </w:rPr>
                  <w:t>余额</w:t>
                </w:r>
              </w:p>
            </w:tc>
          </w:sdtContent>
        </w:sdt>
        <w:sdt>
          <w:sdtPr>
            <w:rPr>
              <w:rFonts w:ascii="宋体" w:hAnsi="宋体"/>
              <w:spacing w:val="-20"/>
            </w:rPr>
            <w:tag w:val="_PLD_79298dc466f54a239357520005d5d0d6"/>
            <w:id w:val="-12232089"/>
          </w:sdtPr>
          <w:sdtEndPr>
            <w:rPr>
              <w:rFonts w:ascii="宋体" w:hAnsi="宋体"/>
              <w:spacing w:val="-20"/>
            </w:rPr>
          </w:sdtEndPr>
          <w:sdtContent>
            <w:tc>
              <w:tcPr>
                <w:tcW w:w="297"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19" w:type="pct"/>
            <w:vMerge w:val="continue"/>
            <w:tcBorders>
              <w:left w:val="single" w:color="auto" w:sz="4" w:space="0"/>
              <w:bottom w:val="single" w:color="auto" w:sz="4" w:space="0"/>
              <w:right w:val="single" w:color="auto" w:sz="4" w:space="0"/>
            </w:tcBorders>
            <w:shd w:val="clear" w:color="auto" w:fill="auto"/>
          </w:tcPr>
          <w:p>
            <w:pPr>
              <w:jc w:val="center"/>
              <w:rPr>
                <w:rFonts w:ascii="宋体" w:hAnsi="宋体"/>
                <w:spacing w:val="-20"/>
              </w:rPr>
            </w:pPr>
          </w:p>
        </w:tc>
        <w:tc>
          <w:tcPr>
            <w:tcW w:w="409" w:type="pct"/>
            <w:vMerge w:val="continue"/>
            <w:tcBorders>
              <w:left w:val="single" w:color="auto" w:sz="4" w:space="0"/>
              <w:bottom w:val="single" w:color="auto" w:sz="4" w:space="0"/>
              <w:right w:val="single" w:color="auto" w:sz="4" w:space="0"/>
            </w:tcBorders>
            <w:shd w:val="clear" w:color="auto" w:fill="auto"/>
          </w:tcPr>
          <w:p>
            <w:pPr>
              <w:jc w:val="center"/>
              <w:rPr>
                <w:rFonts w:ascii="宋体" w:hAnsi="宋体"/>
                <w:spacing w:val="-20"/>
              </w:rPr>
            </w:pPr>
          </w:p>
        </w:tc>
        <w:sdt>
          <w:sdtPr>
            <w:rPr>
              <w:rFonts w:ascii="宋体" w:hAnsi="宋体"/>
              <w:spacing w:val="-20"/>
            </w:rPr>
            <w:tag w:val="_PLD_32174384d8204c80ab4f8eb2ee1b7c00"/>
            <w:id w:val="1712466647"/>
          </w:sdtPr>
          <w:sdtEndPr>
            <w:rPr>
              <w:rFonts w:ascii="宋体" w:hAnsi="宋体"/>
              <w:spacing w:val="-20"/>
            </w:rPr>
          </w:sdtEndPr>
          <w:sdtContent>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追加投资</w:t>
                </w:r>
              </w:p>
            </w:tc>
          </w:sdtContent>
        </w:sdt>
        <w:sdt>
          <w:sdtPr>
            <w:rPr>
              <w:rFonts w:ascii="宋体" w:hAnsi="宋体"/>
              <w:spacing w:val="-20"/>
            </w:rPr>
            <w:tag w:val="_PLD_095046b604db44b8b22c0d62f18b7d7b"/>
            <w:id w:val="-988172581"/>
          </w:sdtPr>
          <w:sdtEndPr>
            <w:rPr>
              <w:rFonts w:ascii="宋体" w:hAnsi="宋体"/>
              <w:spacing w:val="-20"/>
            </w:rPr>
          </w:sdtEndPr>
          <w:sdtContent>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减少投资</w:t>
                </w:r>
              </w:p>
            </w:tc>
          </w:sdtContent>
        </w:sdt>
        <w:sdt>
          <w:sdtPr>
            <w:rPr>
              <w:rFonts w:ascii="宋体" w:hAnsi="宋体"/>
              <w:spacing w:val="-20"/>
            </w:rPr>
            <w:tag w:val="_PLD_6b1aa2f12a4b43c9acfdfe03af1b69b5"/>
            <w:id w:val="1853676698"/>
          </w:sdtPr>
          <w:sdtEndPr>
            <w:rPr>
              <w:rFonts w:ascii="宋体" w:hAnsi="宋体"/>
              <w:spacing w:val="-20"/>
            </w:rPr>
          </w:sdtEndPr>
          <w:sdtContent>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权益法下确认的投资损益</w:t>
                </w:r>
              </w:p>
            </w:tc>
          </w:sdtContent>
        </w:sdt>
        <w:sdt>
          <w:sdtPr>
            <w:rPr>
              <w:rFonts w:ascii="宋体" w:hAnsi="宋体"/>
              <w:spacing w:val="-20"/>
            </w:rPr>
            <w:tag w:val="_PLD_7843f54d0d14415a8d81c3e768bcd483"/>
            <w:id w:val="2049100623"/>
          </w:sdtPr>
          <w:sdtEndPr>
            <w:rPr>
              <w:rFonts w:ascii="宋体" w:hAnsi="宋体"/>
              <w:spacing w:val="-20"/>
            </w:rPr>
          </w:sdtEndPr>
          <w:sdtContent>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其他综合收益调整</w:t>
                </w:r>
              </w:p>
            </w:tc>
          </w:sdtContent>
        </w:sdt>
        <w:sdt>
          <w:sdtPr>
            <w:rPr>
              <w:rFonts w:ascii="宋体" w:hAnsi="宋体"/>
              <w:spacing w:val="-20"/>
            </w:rPr>
            <w:tag w:val="_PLD_dd698127723b4ea0815eca9ac49240a1"/>
            <w:id w:val="1569301982"/>
          </w:sdtPr>
          <w:sdtEndPr>
            <w:rPr>
              <w:rFonts w:ascii="宋体" w:hAnsi="宋体"/>
              <w:spacing w:val="-20"/>
            </w:rPr>
          </w:sdtEndPr>
          <w:sdtContent>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其他权益变动</w:t>
                </w:r>
              </w:p>
            </w:tc>
          </w:sdtContent>
        </w:sdt>
        <w:sdt>
          <w:sdtPr>
            <w:rPr>
              <w:rFonts w:ascii="宋体" w:hAnsi="宋体"/>
              <w:spacing w:val="-20"/>
            </w:rPr>
            <w:tag w:val="_PLD_6d37a876ad014b7ba59d452d3d7f5f15"/>
            <w:id w:val="-1525857032"/>
          </w:sdtPr>
          <w:sdtEndPr>
            <w:rPr>
              <w:rFonts w:ascii="宋体" w:hAnsi="宋体"/>
              <w:spacing w:val="-20"/>
            </w:rPr>
          </w:sdtEndPr>
          <w:sdtContent>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宣告发放现金股利或利润</w:t>
                </w:r>
              </w:p>
            </w:tc>
          </w:sdtContent>
        </w:sdt>
        <w:sdt>
          <w:sdtPr>
            <w:rPr>
              <w:rFonts w:ascii="宋体" w:hAnsi="宋体"/>
              <w:spacing w:val="-20"/>
            </w:rPr>
            <w:tag w:val="_PLD_050d96d5e62f42b9bb4f13a2ca047503"/>
            <w:id w:val="1084947850"/>
          </w:sdtPr>
          <w:sdtEndPr>
            <w:rPr>
              <w:rFonts w:ascii="宋体" w:hAnsi="宋体"/>
              <w:spacing w:val="-20"/>
            </w:rPr>
          </w:sdtEndPr>
          <w:sdtContent>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计提减值准备</w:t>
                </w:r>
              </w:p>
            </w:tc>
          </w:sdtContent>
        </w:sdt>
        <w:sdt>
          <w:sdtPr>
            <w:rPr>
              <w:rFonts w:ascii="宋体" w:hAnsi="宋体"/>
              <w:spacing w:val="-20"/>
            </w:rPr>
            <w:tag w:val="_PLD_add111e25b4543c48121d495919f2030"/>
            <w:id w:val="357862443"/>
          </w:sdtPr>
          <w:sdtEndPr>
            <w:rPr>
              <w:rFonts w:ascii="宋体" w:hAnsi="宋体"/>
              <w:spacing w:val="-20"/>
            </w:rPr>
          </w:sdtEndPr>
          <w:sdtContent>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其他</w:t>
                </w:r>
              </w:p>
            </w:tc>
          </w:sdtContent>
        </w:sdt>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外币报表折算</w:t>
            </w:r>
          </w:p>
        </w:tc>
        <w:tc>
          <w:tcPr>
            <w:tcW w:w="387"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p>
        </w:tc>
        <w:tc>
          <w:tcPr>
            <w:tcW w:w="297"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spacing w:val="-20"/>
            </w:rPr>
            <w:tag w:val="_PLD_35b755e14b594e4c91e0b7c9ecb32e60"/>
            <w:id w:val="-1195535407"/>
          </w:sdtPr>
          <w:sdtEndPr>
            <w:rPr>
              <w:rFonts w:ascii="宋体" w:hAnsi="宋体"/>
              <w:spacing w:val="-20"/>
            </w:rPr>
          </w:sdtEndPr>
          <w:sdtContent>
            <w:tc>
              <w:tcPr>
                <w:tcW w:w="5000" w:type="pct"/>
                <w:gridSpan w:val="13"/>
                <w:tcBorders>
                  <w:top w:val="single" w:color="auto" w:sz="4" w:space="0"/>
                  <w:left w:val="single" w:color="auto" w:sz="4" w:space="0"/>
                  <w:bottom w:val="single" w:color="auto" w:sz="4" w:space="0"/>
                  <w:right w:val="single" w:color="auto" w:sz="4" w:space="0"/>
                </w:tcBorders>
                <w:shd w:val="clear" w:color="auto" w:fill="auto"/>
              </w:tcPr>
              <w:p>
                <w:pPr>
                  <w:rPr>
                    <w:rFonts w:ascii="宋体" w:hAnsi="宋体"/>
                    <w:spacing w:val="-20"/>
                  </w:rPr>
                </w:pPr>
                <w:r>
                  <w:rPr>
                    <w:rFonts w:hint="eastAsia" w:ascii="宋体" w:hAnsi="宋体"/>
                    <w:spacing w:val="-20"/>
                  </w:rPr>
                  <w:t>一、合营企业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地芬雷选煤工程技术（天津）有限公司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35,735</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1,679</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37,414</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中山矿合营企业</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1,123,923</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62,585</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32,974</w:t>
            </w: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1,219,482</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山东东华装备再制造有限公司（注1）</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15,259</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-15,259</w:t>
            </w: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 xml:space="preserve">   </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HVO Entities（注2）</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纽卡斯尔煤炭基础建设集团（注3）</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山东博创凯盛工业科技有限公司（注4）</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50,000</w:t>
            </w: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753</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50,753</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山东丰隆智控工业科技有限公司（注5）</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50,000</w:t>
            </w: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-1,654</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48,346</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小计</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1,174,917</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100,000</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-15,259</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63,363</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32,974</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1,355,995</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spacing w:val="-20"/>
            </w:rPr>
            <w:tag w:val="_PLD_2c448562bca04f23a9ec97848768cd82"/>
            <w:id w:val="661435390"/>
          </w:sdtPr>
          <w:sdtEndPr>
            <w:rPr>
              <w:rFonts w:ascii="宋体" w:hAnsi="宋体"/>
              <w:spacing w:val="-20"/>
            </w:rPr>
          </w:sdtEndPr>
          <w:sdtContent>
            <w:tc>
              <w:tcPr>
                <w:tcW w:w="5000" w:type="pct"/>
                <w:gridSpan w:val="13"/>
                <w:tcBorders>
                  <w:top w:val="single" w:color="auto" w:sz="4" w:space="0"/>
                  <w:left w:val="single" w:color="auto" w:sz="4" w:space="0"/>
                  <w:bottom w:val="single" w:color="auto" w:sz="4" w:space="0"/>
                  <w:right w:val="single" w:color="auto" w:sz="4" w:space="0"/>
                </w:tcBorders>
                <w:shd w:val="clear" w:color="auto" w:fill="auto"/>
              </w:tcPr>
              <w:p>
                <w:pPr>
                  <w:rPr>
                    <w:rFonts w:ascii="宋体" w:hAnsi="宋体"/>
                    <w:spacing w:val="-20"/>
                  </w:rPr>
                </w:pPr>
                <w:r>
                  <w:rPr>
                    <w:rFonts w:hint="eastAsia" w:ascii="宋体" w:hAnsi="宋体"/>
                    <w:spacing w:val="-20"/>
                  </w:rPr>
                  <w:t>二、联营企业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华电邹县发电有限公司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984,543</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107,087</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4,322</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1,095,952</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上海中期期货股份有限公司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725,696</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齐鲁银行股份有限公司（注6）</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2,269,764</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临商银行股份有限公司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2,078,655</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68,417</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9,687</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2,156,759</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山东省东岳泰恒发展有限公司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242,069</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2,661</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244,730</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兖矿售电有限公司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32,280</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1,867</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34,147</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内蒙古伊泰呼准铁路有限公司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2,159,397</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73,384</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5,884</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1,639</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-34,282</w:t>
            </w: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2,206,022</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鄂尔多斯市海勒斯铁路运输有限公司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48,289</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18</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48,307</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浙商银行股份有限公司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6,659,420</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沃拉塔港煤炭服务公司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826,514</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77,271</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3,273</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-57,373</w:t>
            </w: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181</w:t>
            </w: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23,746</w:t>
            </w: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873,612</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兖矿清湖生态科技（山东）有限责任公司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6,300</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-956</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5,344</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兖矿苗夫智慧生态科技（山东）有限公司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50,000</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52</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50,052</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山东聚合顺鲁化新材料有限公司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138,315</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13,955</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152,270</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山东能源（海南）智慧国际科技有限公司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91,885</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-4,186</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5,056</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-15,498</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77,257</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内蒙古东能能源有限责任公司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11,042</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1,180</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12,222</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内蒙古西能能源有限责任公司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23,288</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-564</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22,724</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内蒙古锦联铝材有限公司（注7）</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4,691,156</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225,000</w:t>
            </w: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419,943</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-908,239</w:t>
            </w: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4,427,860</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内蒙古霍煤锦联矿业有限责任公司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16,673</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-1,705</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14,968</w:t>
            </w:r>
          </w:p>
        </w:tc>
        <w:tc>
          <w:tcPr>
            <w:tcW w:w="2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6,158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德伯特机械(山东)有限公司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17,451</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2,864</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20,315</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山东新宝龙工业科技有限公司（注8）</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63,852</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55,852</w:t>
            </w: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13,274</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729</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133,707</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山东宝能智维工业科技有限公司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2,822</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-798</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2,024</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水兴能源（邹城）有限公司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15,421</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225</w:t>
            </w: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15,646</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伊犁新天煤化工有限责任公司</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1,469,065</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434,698</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-1,381</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1,902,382</w:t>
            </w: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WICET Holdings Pty Ltd（注9）</w:t>
            </w: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58"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3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8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9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小计</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22,623,897</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290,884</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2,197,655</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55,618</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-1,423,494</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-1,250,165</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17,509</w:t>
            </w: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124,706</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22,636,610</w:t>
            </w:r>
          </w:p>
        </w:tc>
        <w:tc>
          <w:tcPr>
            <w:tcW w:w="2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6,158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3"/>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三、其他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山西天浩化工股份有限公司（注10）</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149,786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兖矿集团大陆机械有限公司（注11）</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39,845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小计</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189,631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合计</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23,798,814</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390,884</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-15,259</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2,261,018</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55,618</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-1,423,494</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-1,250,165</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17,509</w:t>
            </w:r>
          </w:p>
        </w:tc>
        <w:tc>
          <w:tcPr>
            <w:tcW w:w="3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157,680</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23,992,605</w:t>
            </w:r>
          </w:p>
        </w:tc>
        <w:tc>
          <w:tcPr>
            <w:tcW w:w="2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195,789</w:t>
            </w:r>
          </w:p>
        </w:tc>
      </w:tr>
    </w:tbl>
    <w:p>
      <w:pPr>
        <w:snapToGrid w:val="0"/>
        <w:spacing w:line="240" w:lineRule="atLeast"/>
        <w:ind w:firstLine="420" w:firstLineChars="200"/>
        <w:rPr>
          <w:rFonts w:ascii="宋体" w:hAnsi="宋体"/>
        </w:rPr>
      </w:pPr>
      <w:r>
        <w:rPr>
          <w:rFonts w:hint="eastAsia" w:ascii="宋体" w:hAnsi="宋体"/>
        </w:rPr>
        <w:t>注1：本公司之合营公司山东东华装备再制造有限公司于2023年2月28日已注销。</w:t>
      </w:r>
    </w:p>
    <w:p>
      <w:pPr>
        <w:snapToGrid w:val="0"/>
        <w:spacing w:line="240" w:lineRule="atLeast"/>
        <w:ind w:firstLine="420" w:firstLineChars="200"/>
        <w:rPr>
          <w:rFonts w:ascii="宋体" w:hAnsi="宋体"/>
        </w:rPr>
      </w:pPr>
      <w:r>
        <w:rPr>
          <w:rFonts w:hint="eastAsia" w:ascii="宋体" w:hAnsi="宋体"/>
        </w:rPr>
        <w:t>注2：本公司之子公司澳洲公司在HVO Entities累计亏损额超过其投资账面价值，对其长期股权投资账面价值计为零。</w:t>
      </w:r>
    </w:p>
    <w:p>
      <w:pPr>
        <w:snapToGrid w:val="0"/>
        <w:spacing w:line="240" w:lineRule="atLeast"/>
        <w:ind w:firstLine="420" w:firstLineChars="200"/>
        <w:rPr>
          <w:rFonts w:ascii="宋体" w:hAnsi="宋体"/>
        </w:rPr>
      </w:pPr>
      <w:r>
        <w:rPr>
          <w:rFonts w:hint="eastAsia" w:ascii="宋体" w:hAnsi="宋体"/>
        </w:rPr>
        <w:t>注3：本公司之子公司澳洲公司在纽卡斯尔煤炭基础建设集团累计亏损额超过其投资账面价值，对其长期股权投资账面价值计为零。</w:t>
      </w:r>
    </w:p>
    <w:p>
      <w:pPr>
        <w:snapToGrid w:val="0"/>
        <w:spacing w:line="240" w:lineRule="atLeast"/>
        <w:ind w:firstLine="420" w:firstLineChars="200"/>
        <w:rPr>
          <w:rFonts w:ascii="宋体" w:hAnsi="宋体"/>
        </w:rPr>
      </w:pPr>
      <w:r>
        <w:rPr>
          <w:rFonts w:hint="eastAsia" w:ascii="宋体" w:hAnsi="宋体"/>
        </w:rPr>
        <w:t xml:space="preserve">注4：2023年，本公司之子公司兖煤卢森堡资源有限公司向山东博创凯盛工业科技有限公司投资50,000千元，持股比例为50% </w:t>
      </w:r>
      <w:r>
        <w:rPr>
          <w:rFonts w:ascii="宋体" w:hAnsi="宋体"/>
        </w:rPr>
        <w:t>,2023</w:t>
      </w:r>
      <w:r>
        <w:rPr>
          <w:rFonts w:hint="eastAsia" w:ascii="宋体" w:hAnsi="宋体"/>
        </w:rPr>
        <w:t>年1</w:t>
      </w:r>
      <w:r>
        <w:rPr>
          <w:rFonts w:ascii="宋体" w:hAnsi="宋体"/>
        </w:rPr>
        <w:t>1</w:t>
      </w:r>
      <w:r>
        <w:rPr>
          <w:rFonts w:hint="eastAsia" w:ascii="宋体" w:hAnsi="宋体"/>
        </w:rPr>
        <w:t>月，无偿划转至本公司之子公司兖矿东华重工有限公司。</w:t>
      </w:r>
    </w:p>
    <w:p>
      <w:pPr>
        <w:snapToGrid w:val="0"/>
        <w:spacing w:line="240" w:lineRule="atLeast"/>
        <w:ind w:firstLine="420" w:firstLineChars="200"/>
        <w:rPr>
          <w:rFonts w:ascii="宋体" w:hAnsi="宋体"/>
        </w:rPr>
      </w:pPr>
      <w:r>
        <w:rPr>
          <w:rFonts w:hint="eastAsia" w:ascii="宋体" w:hAnsi="宋体"/>
        </w:rPr>
        <w:t>注5：2023年，本公司之子公司兖煤卢森堡资源有限公司向山东丰隆智控工业科技有限公司投资50,000千元，持股比例为50%。</w:t>
      </w:r>
    </w:p>
    <w:p>
      <w:pPr>
        <w:snapToGrid w:val="0"/>
        <w:spacing w:line="240" w:lineRule="atLeast"/>
        <w:ind w:firstLine="420" w:firstLineChars="200"/>
        <w:rPr>
          <w:rFonts w:ascii="宋体" w:hAnsi="宋体"/>
        </w:rPr>
      </w:pPr>
      <w:r>
        <w:rPr>
          <w:rFonts w:hint="eastAsia" w:ascii="宋体" w:hAnsi="宋体"/>
        </w:rPr>
        <w:t>注6：2023年7月19日齐鲁银行披露了《齐鲁银行股份有限公司关于稳定股价方案的公告》（公告编号：2023-037）。因股价触发实施稳定股价措施的启动条件，齐鲁银行采取由持股5%以上的股东增持股份的措施稳定股价。2023年12月，本公司增持齐鲁银行2,575千股，持股比例下降为7.69%。齐鲁银行股份有限公司在本财务报告批准报出日尚未公开披露2023年年度业绩。依据相关监管准则，在不披露齐鲁银行股份有限公司相关数据的同时，删除上海中期期货股份有限公司、浙商银行股份有限公司相关数据，以保证在披露合计数据前提下，齐鲁银行股份有限公司相关数据不会被计算得出。</w:t>
      </w:r>
    </w:p>
    <w:p>
      <w:pPr>
        <w:snapToGrid w:val="0"/>
        <w:spacing w:line="240" w:lineRule="atLeast"/>
        <w:ind w:firstLine="420" w:firstLineChars="200"/>
        <w:rPr>
          <w:rFonts w:ascii="宋体" w:hAnsi="宋体"/>
        </w:rPr>
      </w:pPr>
      <w:r>
        <w:rPr>
          <w:rFonts w:hint="eastAsia" w:ascii="宋体" w:hAnsi="宋体"/>
        </w:rPr>
        <w:t>注7：2023年，本公司之子公司内蒙古矿业（集团）有限责任公司向内蒙古锦联铝材有限公司增资225,000千元，持股比例为44.25%。</w:t>
      </w:r>
    </w:p>
    <w:p>
      <w:pPr>
        <w:snapToGrid w:val="0"/>
        <w:spacing w:line="240" w:lineRule="atLeast"/>
        <w:ind w:firstLine="420" w:firstLineChars="200"/>
        <w:rPr>
          <w:rFonts w:ascii="宋体" w:hAnsi="宋体"/>
        </w:rPr>
      </w:pPr>
      <w:r>
        <w:rPr>
          <w:rFonts w:hint="eastAsia" w:ascii="宋体" w:hAnsi="宋体"/>
        </w:rPr>
        <w:t>注8：2023年，山东新宝龙工业科技有限公司引入新股东增资，变更后，本公司持股下降至18.03%，本公司之子公司兖煤卢森堡资源有限公司对其增资55,852千元，持股27.96%，本集团共计持股45.99%。</w:t>
      </w:r>
    </w:p>
    <w:p>
      <w:pPr>
        <w:snapToGrid w:val="0"/>
        <w:spacing w:line="240" w:lineRule="atLeast"/>
        <w:ind w:firstLine="420" w:firstLineChars="200"/>
        <w:rPr>
          <w:rFonts w:ascii="宋体" w:hAnsi="宋体"/>
        </w:rPr>
      </w:pPr>
      <w:r>
        <w:rPr>
          <w:rFonts w:hint="eastAsia" w:ascii="宋体" w:hAnsi="宋体"/>
        </w:rPr>
        <w:t>注9：本公司之子公司澳洲公司在WICET Holdings Pty Ltd累计亏损额超过其投资账面价值，对其长期股权投资账面价值计为零。</w:t>
      </w:r>
    </w:p>
    <w:p>
      <w:pPr>
        <w:snapToGrid w:val="0"/>
        <w:spacing w:line="240" w:lineRule="atLeast"/>
        <w:ind w:firstLine="420" w:firstLineChars="200"/>
        <w:rPr>
          <w:rFonts w:ascii="宋体" w:hAnsi="宋体"/>
        </w:rPr>
      </w:pPr>
      <w:r>
        <w:rPr>
          <w:rFonts w:hint="eastAsia" w:ascii="宋体" w:hAnsi="宋体"/>
        </w:rPr>
        <w:t>注10：山西天浩化工股份有限公司（以下简称“山西天浩”）因长期停产致严重资不抵债，2018年12月31日，山西天浩向山西省吕梁市中级人民法院申请破产清算。2019年9月27日，山西省吕梁市中级人民法院裁定受理山西天浩破产清算一案，山西天浩已向破产管理人移交控制权，2019年11月起不再纳入合并范围，并对其长期股权投资全额计提减值准备。</w:t>
      </w:r>
    </w:p>
    <w:p>
      <w:pPr>
        <w:snapToGrid w:val="0"/>
        <w:spacing w:line="240" w:lineRule="atLeast"/>
        <w:ind w:firstLine="420" w:firstLineChars="200"/>
        <w:rPr>
          <w:rFonts w:ascii="宋体" w:hAnsi="宋体"/>
        </w:rPr>
      </w:pPr>
      <w:r>
        <w:rPr>
          <w:rFonts w:hint="eastAsia" w:ascii="宋体" w:hAnsi="宋体"/>
        </w:rPr>
        <w:t>注11：兖矿集团大陆机械有限公司（以下简称“大陆机械公司”）于2020年9月23日以其不能清偿到期债务，并且其资产不足以清偿全部债务为由，向济宁市兖州区人民法院申请破产清算，法院于2020年9月24日出具[2020]鲁0812破申4号民事裁定书同意受理其破产清算申请，大陆机械公司已向破产管理人移交控制权。2020年10月起大陆机械公司不再纳入合并范围，并对其长期股权投资全额计提减值准备。</w:t>
      </w:r>
    </w:p>
    <w:p>
      <w:pPr>
        <w:pStyle w:val="505"/>
        <w:numPr>
          <w:ilvl w:val="0"/>
          <w:numId w:val="82"/>
        </w:numPr>
        <w:rPr>
          <w:rFonts w:ascii="宋体" w:hAnsi="宋体" w:eastAsia="宋体"/>
        </w:rPr>
      </w:pPr>
      <w:r>
        <w:rPr>
          <w:rFonts w:hint="eastAsia" w:ascii="宋体" w:hAnsi="宋体" w:eastAsia="宋体"/>
        </w:rPr>
        <w:t>长期股权投资的减值测试情况</w:t>
      </w:r>
    </w:p>
    <w:sdt>
      <w:sdtPr>
        <w:alias w:val="是否适用：减值测试情况[双击切换]"/>
        <w:tag w:val="_GBC_869bca5d4169451086ae6ff386220647"/>
        <w:id w:val="-1917547318"/>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p>
    <w:p>
      <w:pPr>
        <w:snapToGrid w:val="0"/>
        <w:spacing w:line="240" w:lineRule="atLeast"/>
        <w:rPr>
          <w:rFonts w:ascii="宋体" w:hAnsi="宋体"/>
        </w:rPr>
      </w:pPr>
    </w:p>
    <w:p>
      <w:pPr>
        <w:snapToGrid w:val="0"/>
        <w:spacing w:line="240" w:lineRule="atLeast"/>
        <w:rPr>
          <w:rFonts w:ascii="宋体" w:hAnsi="宋体"/>
        </w:rPr>
      </w:pPr>
    </w:p>
    <w:p>
      <w:pPr>
        <w:snapToGrid w:val="0"/>
        <w:spacing w:line="240" w:lineRule="atLeast"/>
        <w:rPr>
          <w:rFonts w:ascii="宋体" w:hAnsi="宋体"/>
        </w:rPr>
        <w:sectPr>
          <w:pgSz w:w="16838" w:h="11906" w:orient="landscape"/>
          <w:pgMar w:top="1276" w:right="1440" w:bottom="1797" w:left="1525" w:header="856" w:footer="992" w:gutter="0"/>
          <w:cols w:space="425" w:num="1"/>
          <w:docGrid w:type="lines" w:linePitch="312" w:charSpace="0"/>
        </w:sectPr>
      </w:pPr>
    </w:p>
    <w:p>
      <w:pPr>
        <w:snapToGrid w:val="0"/>
        <w:spacing w:line="240" w:lineRule="atLeast"/>
      </w:pPr>
    </w:p>
    <w:p>
      <w:pPr>
        <w:pStyle w:val="504"/>
        <w:numPr>
          <w:ilvl w:val="0"/>
          <w:numId w:val="69"/>
        </w:numPr>
        <w:tabs>
          <w:tab w:val="left" w:pos="504"/>
        </w:tabs>
        <w:rPr>
          <w:szCs w:val="21"/>
        </w:rPr>
      </w:pPr>
      <w:r>
        <w:rPr>
          <w:rFonts w:hint="eastAsia"/>
          <w:szCs w:val="21"/>
        </w:rPr>
        <w:t>其他权益工具投资</w:t>
      </w:r>
    </w:p>
    <w:p>
      <w:pPr>
        <w:pStyle w:val="505"/>
        <w:numPr>
          <w:ilvl w:val="3"/>
          <w:numId w:val="83"/>
        </w:numPr>
        <w:ind w:left="426" w:hanging="426"/>
      </w:pPr>
      <w:bookmarkStart w:id="284" w:name="_Hlk532994936"/>
      <w:r>
        <w:rPr>
          <w:rFonts w:hint="eastAsia"/>
        </w:rPr>
        <w:t>其他权益工具投资情况</w:t>
      </w:r>
    </w:p>
    <w:sdt>
      <w:sdtPr>
        <w:alias w:val="是否适用：其他权益工具投资情况[双击切换]"/>
        <w:tag w:val="_GBC_d086d5c38ce84090b98eac90481c97aa"/>
        <w:id w:val="1887217498"/>
        <w:placeholder>
          <w:docPart w:val="GBC22222222222222222222222222222"/>
        </w:placeholder>
      </w:sdtPr>
      <w:sdtContent>
        <w:p>
          <w:pPr>
            <w:pStyle w:val="531"/>
          </w:pPr>
          <w:bookmarkStart w:id="285" w:name="_Hlk533409702"/>
          <w:bookmarkStart w:id="286" w:name="_Hlk15285829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pPr>
      <w:r>
        <w:rPr>
          <w:rFonts w:hint="eastAsia"/>
        </w:rPr>
        <w:t>单位：</w:t>
      </w:r>
      <w:sdt>
        <w:sdtPr>
          <w:rPr>
            <w:rFonts w:hint="eastAsia"/>
          </w:rPr>
          <w:alias w:val="单位：其他权益工具投资情况"/>
          <w:tag w:val="_GBC_afada4c07d144e589675aeac548ff1d0"/>
          <w:id w:val="-20025665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其他权益工具投资情况"/>
          <w:tag w:val="_GBC_b0fd0da2e6914f91b6f9923463f182a5"/>
          <w:id w:val="-21457283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284"/>
    <w:bookmarkEnd w:id="285"/>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866"/>
        <w:gridCol w:w="577"/>
        <w:gridCol w:w="758"/>
        <w:gridCol w:w="1152"/>
        <w:gridCol w:w="1113"/>
        <w:gridCol w:w="434"/>
        <w:gridCol w:w="865"/>
        <w:gridCol w:w="789"/>
        <w:gridCol w:w="1152"/>
        <w:gridCol w:w="1084"/>
        <w:gridCol w:w="3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hint="eastAsia" w:ascii="宋体" w:hAnsi="宋体"/>
              <w:spacing w:val="-20"/>
            </w:rPr>
            <w:tag w:val="_PLD_0f1e4cd012be4666a6aee1d8ddb3d5fc"/>
            <w:id w:val="-1631083198"/>
          </w:sdtPr>
          <w:sdtEndPr>
            <w:rPr>
              <w:rFonts w:hint="eastAsia" w:ascii="宋体" w:hAnsi="宋体"/>
              <w:spacing w:val="-20"/>
            </w:rPr>
          </w:sdtEndPr>
          <w:sdtContent>
            <w:tc>
              <w:tcPr>
                <w:tcW w:w="561"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项目</w:t>
                </w:r>
              </w:p>
            </w:tc>
          </w:sdtContent>
        </w:sdt>
        <w:sdt>
          <w:sdtPr>
            <w:rPr>
              <w:rFonts w:hint="eastAsia" w:ascii="宋体" w:hAnsi="宋体"/>
              <w:spacing w:val="-20"/>
            </w:rPr>
            <w:tag w:val="_PLD_cd86550f752a4870b5ecfa3ace922f6d"/>
            <w:id w:val="632985313"/>
          </w:sdtPr>
          <w:sdtEndPr>
            <w:rPr>
              <w:rFonts w:hint="eastAsia" w:ascii="宋体" w:hAnsi="宋体"/>
              <w:spacing w:val="-20"/>
            </w:rPr>
          </w:sdtEndPr>
          <w:sdtContent>
            <w:tc>
              <w:tcPr>
                <w:tcW w:w="307"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期初</w:t>
                </w:r>
              </w:p>
              <w:p>
                <w:pPr>
                  <w:jc w:val="center"/>
                  <w:rPr>
                    <w:rFonts w:ascii="宋体" w:hAnsi="宋体"/>
                    <w:spacing w:val="-20"/>
                  </w:rPr>
                </w:pPr>
                <w:r>
                  <w:rPr>
                    <w:rFonts w:hint="eastAsia" w:ascii="宋体" w:hAnsi="宋体"/>
                    <w:spacing w:val="-20"/>
                  </w:rPr>
                  <w:t>余额</w:t>
                </w:r>
              </w:p>
            </w:tc>
          </w:sdtContent>
        </w:sdt>
        <w:sdt>
          <w:sdtPr>
            <w:rPr>
              <w:rFonts w:hint="eastAsia" w:ascii="宋体" w:hAnsi="宋体"/>
              <w:spacing w:val="-20"/>
            </w:rPr>
            <w:tag w:val="_PLD_379e5b07c94943c082f8141e69827eb8"/>
            <w:id w:val="-1837992572"/>
          </w:sdtPr>
          <w:sdtEndPr>
            <w:rPr>
              <w:rFonts w:hint="eastAsia" w:ascii="宋体" w:hAnsi="宋体"/>
              <w:spacing w:val="-20"/>
            </w:rPr>
          </w:sdtEndPr>
          <w:sdtContent>
            <w:tc>
              <w:tcPr>
                <w:tcW w:w="1432"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本期增减变动</w:t>
                </w:r>
              </w:p>
            </w:tc>
          </w:sdtContent>
        </w:sdt>
        <w:sdt>
          <w:sdtPr>
            <w:rPr>
              <w:rFonts w:hint="eastAsia" w:ascii="宋体" w:hAnsi="宋体"/>
              <w:spacing w:val="-20"/>
            </w:rPr>
            <w:tag w:val="_PLD_ac415aedc9c6446485bac805332ca59b"/>
            <w:id w:val="-1825960585"/>
          </w:sdtPr>
          <w:sdtEndPr>
            <w:rPr>
              <w:rFonts w:hint="eastAsia" w:ascii="宋体" w:hAnsi="宋体"/>
              <w:spacing w:val="-20"/>
            </w:rPr>
          </w:sdtEndPr>
          <w:sdtContent>
            <w:tc>
              <w:tcPr>
                <w:tcW w:w="307"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期末</w:t>
                </w:r>
              </w:p>
              <w:p>
                <w:pPr>
                  <w:jc w:val="center"/>
                  <w:rPr>
                    <w:rFonts w:ascii="宋体" w:hAnsi="宋体"/>
                    <w:spacing w:val="-20"/>
                  </w:rPr>
                </w:pPr>
                <w:r>
                  <w:rPr>
                    <w:rFonts w:hint="eastAsia" w:ascii="宋体" w:hAnsi="宋体"/>
                    <w:spacing w:val="-20"/>
                  </w:rPr>
                  <w:t>余额</w:t>
                </w:r>
              </w:p>
            </w:tc>
          </w:sdtContent>
        </w:sdt>
        <w:sdt>
          <w:sdtPr>
            <w:rPr>
              <w:rFonts w:hint="eastAsia" w:ascii="宋体" w:hAnsi="宋体"/>
              <w:spacing w:val="-20"/>
            </w:rPr>
            <w:tag w:val="_PLD_d139f6e8adbe4eb2bd13c29bba65a2f9"/>
            <w:id w:val="-754909907"/>
          </w:sdtPr>
          <w:sdtEndPr>
            <w:rPr>
              <w:rFonts w:hint="eastAsia" w:ascii="宋体" w:hAnsi="宋体"/>
              <w:spacing w:val="-20"/>
            </w:rPr>
          </w:sdtEndPr>
          <w:sdtContent>
            <w:tc>
              <w:tcPr>
                <w:tcW w:w="280" w:type="pct"/>
                <w:vMerge w:val="restart"/>
                <w:tcBorders>
                  <w:top w:val="single" w:color="auto" w:sz="4" w:space="0"/>
                  <w:left w:val="single" w:color="auto" w:sz="4" w:space="0"/>
                  <w:right w:val="single" w:color="auto" w:sz="4" w:space="0"/>
                </w:tcBorders>
                <w:vAlign w:val="center"/>
              </w:tcPr>
              <w:p>
                <w:pPr>
                  <w:jc w:val="center"/>
                  <w:rPr>
                    <w:rFonts w:ascii="宋体" w:hAnsi="宋体"/>
                    <w:spacing w:val="-20"/>
                  </w:rPr>
                </w:pPr>
                <w:r>
                  <w:rPr>
                    <w:rFonts w:hint="eastAsia" w:ascii="宋体" w:hAnsi="宋体"/>
                    <w:spacing w:val="-20"/>
                  </w:rPr>
                  <w:t>本期确认的股利收入</w:t>
                </w:r>
              </w:p>
            </w:tc>
          </w:sdtContent>
        </w:sdt>
        <w:sdt>
          <w:sdtPr>
            <w:rPr>
              <w:rFonts w:hint="eastAsia" w:ascii="宋体" w:hAnsi="宋体"/>
              <w:spacing w:val="-20"/>
            </w:rPr>
            <w:tag w:val="_PLD_0bed6b4465254f08b9b73b5b113c87f5"/>
            <w:id w:val="334346561"/>
          </w:sdtPr>
          <w:sdtEndPr>
            <w:rPr>
              <w:rFonts w:hint="eastAsia" w:ascii="宋体" w:hAnsi="宋体"/>
              <w:spacing w:val="-20"/>
            </w:rPr>
          </w:sdtEndPr>
          <w:sdtContent>
            <w:tc>
              <w:tcPr>
                <w:tcW w:w="409" w:type="pct"/>
                <w:vMerge w:val="restart"/>
                <w:tcBorders>
                  <w:top w:val="single" w:color="auto" w:sz="4" w:space="0"/>
                  <w:left w:val="single" w:color="auto" w:sz="4" w:space="0"/>
                  <w:right w:val="single" w:color="auto" w:sz="4" w:space="0"/>
                </w:tcBorders>
                <w:vAlign w:val="center"/>
              </w:tcPr>
              <w:p>
                <w:pPr>
                  <w:jc w:val="center"/>
                  <w:rPr>
                    <w:rFonts w:ascii="宋体" w:hAnsi="宋体"/>
                    <w:spacing w:val="-20"/>
                  </w:rPr>
                </w:pPr>
                <w:r>
                  <w:rPr>
                    <w:rFonts w:hint="eastAsia" w:ascii="宋体" w:hAnsi="宋体"/>
                    <w:spacing w:val="-20"/>
                  </w:rPr>
                  <w:t>累计计入其他综合收益的利得</w:t>
                </w:r>
              </w:p>
            </w:tc>
          </w:sdtContent>
        </w:sdt>
        <w:sdt>
          <w:sdtPr>
            <w:rPr>
              <w:rFonts w:hint="eastAsia" w:ascii="宋体" w:hAnsi="宋体"/>
              <w:spacing w:val="-20"/>
            </w:rPr>
            <w:tag w:val="_PLD_e1975ba88e6f4c8d8d6ca2c971af1701"/>
            <w:id w:val="1753925152"/>
          </w:sdtPr>
          <w:sdtEndPr>
            <w:rPr>
              <w:rFonts w:hint="eastAsia" w:ascii="宋体" w:hAnsi="宋体"/>
              <w:spacing w:val="-20"/>
            </w:rPr>
          </w:sdtEndPr>
          <w:sdtContent>
            <w:tc>
              <w:tcPr>
                <w:tcW w:w="385" w:type="pct"/>
                <w:vMerge w:val="restart"/>
                <w:tcBorders>
                  <w:top w:val="single" w:color="auto" w:sz="4" w:space="0"/>
                  <w:left w:val="single" w:color="auto" w:sz="4" w:space="0"/>
                  <w:right w:val="single" w:color="auto" w:sz="4" w:space="0"/>
                </w:tcBorders>
                <w:vAlign w:val="center"/>
              </w:tcPr>
              <w:p>
                <w:pPr>
                  <w:jc w:val="center"/>
                  <w:rPr>
                    <w:rFonts w:ascii="宋体" w:hAnsi="宋体"/>
                    <w:spacing w:val="-20"/>
                  </w:rPr>
                </w:pPr>
                <w:r>
                  <w:rPr>
                    <w:rFonts w:hint="eastAsia" w:ascii="宋体" w:hAnsi="宋体"/>
                    <w:spacing w:val="-20"/>
                  </w:rPr>
                  <w:t>累计计入其他综合收益的损失</w:t>
                </w:r>
              </w:p>
            </w:tc>
          </w:sdtContent>
        </w:sdt>
        <w:sdt>
          <w:sdtPr>
            <w:rPr>
              <w:rFonts w:hint="eastAsia" w:ascii="宋体" w:hAnsi="宋体"/>
              <w:spacing w:val="-20"/>
            </w:rPr>
            <w:tag w:val="_PLD_22e80ab64b37459ebc83e5b928d25051"/>
            <w:id w:val="546492250"/>
          </w:sdtPr>
          <w:sdtEndPr>
            <w:rPr>
              <w:rFonts w:hint="eastAsia" w:ascii="宋体" w:hAnsi="宋体"/>
              <w:spacing w:val="-20"/>
            </w:rPr>
          </w:sdtEndPr>
          <w:sdtContent>
            <w:tc>
              <w:tcPr>
                <w:tcW w:w="1320"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指定为以公允价值计量且其变动计入其他综合收益的原因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61" w:type="pct"/>
            <w:vMerge w:val="continue"/>
            <w:tcBorders>
              <w:left w:val="single" w:color="auto" w:sz="4" w:space="0"/>
              <w:bottom w:val="single" w:color="auto" w:sz="4" w:space="0"/>
              <w:right w:val="single" w:color="auto" w:sz="4" w:space="0"/>
            </w:tcBorders>
            <w:shd w:val="clear" w:color="auto" w:fill="auto"/>
          </w:tcPr>
          <w:p>
            <w:pPr>
              <w:jc w:val="center"/>
              <w:rPr>
                <w:rFonts w:ascii="宋体" w:hAnsi="宋体"/>
                <w:spacing w:val="-20"/>
              </w:rPr>
            </w:pPr>
          </w:p>
        </w:tc>
        <w:tc>
          <w:tcPr>
            <w:tcW w:w="307" w:type="pct"/>
            <w:vMerge w:val="continue"/>
            <w:tcBorders>
              <w:left w:val="single" w:color="auto" w:sz="4" w:space="0"/>
              <w:bottom w:val="single" w:color="auto" w:sz="4" w:space="0"/>
              <w:right w:val="single" w:color="auto" w:sz="4" w:space="0"/>
            </w:tcBorders>
            <w:shd w:val="clear" w:color="auto" w:fill="auto"/>
          </w:tcPr>
          <w:p>
            <w:pPr>
              <w:jc w:val="center"/>
              <w:rPr>
                <w:rFonts w:ascii="宋体" w:hAnsi="宋体"/>
                <w:spacing w:val="-20"/>
              </w:rPr>
            </w:pPr>
          </w:p>
        </w:tc>
        <w:sdt>
          <w:sdtPr>
            <w:rPr>
              <w:rFonts w:hint="eastAsia" w:ascii="宋体" w:hAnsi="宋体"/>
              <w:spacing w:val="-20"/>
            </w:rPr>
            <w:tag w:val="_PLD_dcfe2e1d36cd40b9af799c21d5b8002d"/>
            <w:id w:val="230353386"/>
          </w:sdtPr>
          <w:sdtEndPr>
            <w:rPr>
              <w:rFonts w:hint="eastAsia" w:ascii="宋体" w:hAnsi="宋体"/>
              <w:spacing w:val="-20"/>
            </w:rPr>
          </w:sdtEndPr>
          <w:sdtContent>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追加投资</w:t>
                </w:r>
              </w:p>
            </w:tc>
          </w:sdtContent>
        </w:sdt>
        <w:sdt>
          <w:sdtPr>
            <w:rPr>
              <w:rFonts w:hint="eastAsia" w:ascii="宋体" w:hAnsi="宋体"/>
              <w:spacing w:val="-20"/>
            </w:rPr>
            <w:tag w:val="_PLD_35b99bcd41834275ae207d04ef825953"/>
            <w:id w:val="390860603"/>
          </w:sdtPr>
          <w:sdtEndPr>
            <w:rPr>
              <w:rFonts w:hint="eastAsia" w:ascii="宋体" w:hAnsi="宋体"/>
              <w:spacing w:val="-20"/>
            </w:rPr>
          </w:sdtEndPr>
          <w:sdtContent>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减少投资</w:t>
                </w:r>
              </w:p>
            </w:tc>
          </w:sdtContent>
        </w:sdt>
        <w:sdt>
          <w:sdtPr>
            <w:rPr>
              <w:rFonts w:hint="eastAsia" w:ascii="宋体" w:hAnsi="宋体"/>
              <w:spacing w:val="-20"/>
            </w:rPr>
            <w:tag w:val="_PLD_8a4bbeebcb134d688741468780d5bbd1"/>
            <w:id w:val="-2023698550"/>
          </w:sdtPr>
          <w:sdtEndPr>
            <w:rPr>
              <w:rFonts w:hint="eastAsia" w:ascii="宋体" w:hAnsi="宋体"/>
              <w:spacing w:val="-20"/>
            </w:rPr>
          </w:sdtEndPr>
          <w:sdtContent>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本期计入其他综合收益的利得</w:t>
                </w:r>
              </w:p>
            </w:tc>
          </w:sdtContent>
        </w:sdt>
        <w:sdt>
          <w:sdtPr>
            <w:rPr>
              <w:rFonts w:hint="eastAsia" w:ascii="宋体" w:hAnsi="宋体"/>
              <w:spacing w:val="-20"/>
            </w:rPr>
            <w:tag w:val="_PLD_34c6f06bd6ce4dec84766a6723567bb2"/>
            <w:id w:val="1225107561"/>
          </w:sdtPr>
          <w:sdtEndPr>
            <w:rPr>
              <w:rFonts w:hint="eastAsia" w:ascii="宋体" w:hAnsi="宋体"/>
              <w:spacing w:val="-20"/>
            </w:rPr>
          </w:sdtEndPr>
          <w:sdtContent>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本期计入其他综合收益的损失</w:t>
                </w:r>
              </w:p>
            </w:tc>
          </w:sdtContent>
        </w:sdt>
        <w:sdt>
          <w:sdtPr>
            <w:rPr>
              <w:rFonts w:hint="eastAsia" w:ascii="宋体" w:hAnsi="宋体"/>
              <w:spacing w:val="-20"/>
            </w:rPr>
            <w:tag w:val="_PLD_10fb3a2b23634dbcb6ec64725618b767"/>
            <w:id w:val="623424307"/>
          </w:sdtPr>
          <w:sdtEndPr>
            <w:rPr>
              <w:rFonts w:hint="eastAsia" w:ascii="宋体" w:hAnsi="宋体"/>
              <w:spacing w:val="-20"/>
            </w:rPr>
          </w:sdtEndPr>
          <w:sdtContent>
            <w:tc>
              <w:tcPr>
                <w:tcW w:w="154" w:type="pct"/>
                <w:tcBorders>
                  <w:left w:val="single" w:color="auto" w:sz="4" w:space="0"/>
                  <w:bottom w:val="single" w:color="auto" w:sz="4" w:space="0"/>
                  <w:right w:val="single" w:color="auto" w:sz="4" w:space="0"/>
                </w:tcBorders>
                <w:vAlign w:val="center"/>
              </w:tcPr>
              <w:p>
                <w:pPr>
                  <w:jc w:val="center"/>
                  <w:rPr>
                    <w:rFonts w:ascii="宋体" w:hAnsi="宋体"/>
                    <w:spacing w:val="-20"/>
                  </w:rPr>
                </w:pPr>
                <w:r>
                  <w:rPr>
                    <w:rFonts w:hint="eastAsia" w:ascii="宋体" w:hAnsi="宋体"/>
                    <w:spacing w:val="-20"/>
                  </w:rPr>
                  <w:t>其他</w:t>
                </w:r>
              </w:p>
            </w:tc>
          </w:sdtContent>
        </w:sdt>
        <w:tc>
          <w:tcPr>
            <w:tcW w:w="307"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p>
        </w:tc>
        <w:tc>
          <w:tcPr>
            <w:tcW w:w="280" w:type="pct"/>
            <w:vMerge w:val="continue"/>
            <w:tcBorders>
              <w:left w:val="single" w:color="auto" w:sz="4" w:space="0"/>
              <w:bottom w:val="single" w:color="auto" w:sz="4" w:space="0"/>
              <w:right w:val="single" w:color="auto" w:sz="4" w:space="0"/>
            </w:tcBorders>
          </w:tcPr>
          <w:p>
            <w:pPr>
              <w:jc w:val="center"/>
              <w:rPr>
                <w:rFonts w:ascii="宋体" w:hAnsi="宋体"/>
                <w:spacing w:val="-20"/>
              </w:rPr>
            </w:pPr>
          </w:p>
        </w:tc>
        <w:tc>
          <w:tcPr>
            <w:tcW w:w="409" w:type="pct"/>
            <w:vMerge w:val="continue"/>
            <w:tcBorders>
              <w:left w:val="single" w:color="auto" w:sz="4" w:space="0"/>
              <w:bottom w:val="single" w:color="auto" w:sz="4" w:space="0"/>
              <w:right w:val="single" w:color="auto" w:sz="4" w:space="0"/>
            </w:tcBorders>
          </w:tcPr>
          <w:p>
            <w:pPr>
              <w:jc w:val="center"/>
              <w:rPr>
                <w:rFonts w:ascii="宋体" w:hAnsi="宋体"/>
                <w:spacing w:val="-20"/>
              </w:rPr>
            </w:pPr>
          </w:p>
        </w:tc>
        <w:tc>
          <w:tcPr>
            <w:tcW w:w="385" w:type="pct"/>
            <w:vMerge w:val="continue"/>
            <w:tcBorders>
              <w:left w:val="single" w:color="auto" w:sz="4" w:space="0"/>
              <w:bottom w:val="single" w:color="auto" w:sz="4" w:space="0"/>
              <w:right w:val="single" w:color="auto" w:sz="4" w:space="0"/>
            </w:tcBorders>
          </w:tcPr>
          <w:p>
            <w:pPr>
              <w:jc w:val="center"/>
              <w:rPr>
                <w:rFonts w:ascii="宋体" w:hAnsi="宋体"/>
                <w:spacing w:val="-20"/>
              </w:rPr>
            </w:pPr>
          </w:p>
        </w:tc>
        <w:tc>
          <w:tcPr>
            <w:tcW w:w="1320"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江苏连云港港口股份有限公司</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441</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75</w:t>
            </w:r>
          </w:p>
        </w:tc>
        <w:tc>
          <w:tcPr>
            <w:tcW w:w="15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3</w:t>
            </w:r>
            <w:r>
              <w:rPr>
                <w:rFonts w:ascii="宋体" w:hAnsi="宋体"/>
                <w:spacing w:val="-20"/>
              </w:rPr>
              <w:t>66</w:t>
            </w:r>
          </w:p>
        </w:tc>
        <w:tc>
          <w:tcPr>
            <w:tcW w:w="2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5</w:t>
            </w:r>
            <w:r>
              <w:rPr>
                <w:rFonts w:ascii="宋体" w:hAnsi="宋体"/>
                <w:spacing w:val="-20"/>
              </w:rPr>
              <w:t>34</w:t>
            </w:r>
          </w:p>
        </w:tc>
        <w:tc>
          <w:tcPr>
            <w:tcW w:w="38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2</w:t>
            </w:r>
            <w:r>
              <w:rPr>
                <w:rFonts w:ascii="宋体" w:hAnsi="宋体"/>
                <w:spacing w:val="-20"/>
              </w:rPr>
              <w:t>57</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持有原则为既以收取合同现金流量为目标又以出售该金融资产为目标，非短期出售目的持有。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山东邹城建信村镇银行有限公司</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3,771</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4</w:t>
            </w:r>
            <w:r>
              <w:rPr>
                <w:rFonts w:ascii="宋体" w:hAnsi="宋体"/>
                <w:spacing w:val="-20"/>
              </w:rPr>
              <w:t>3</w:t>
            </w:r>
          </w:p>
        </w:tc>
        <w:tc>
          <w:tcPr>
            <w:tcW w:w="15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3</w:t>
            </w:r>
            <w:r>
              <w:rPr>
                <w:rFonts w:ascii="宋体" w:hAnsi="宋体"/>
                <w:spacing w:val="-20"/>
              </w:rPr>
              <w:t>,728</w:t>
            </w:r>
          </w:p>
        </w:tc>
        <w:tc>
          <w:tcPr>
            <w:tcW w:w="2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8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1</w:t>
            </w:r>
            <w:r>
              <w:rPr>
                <w:rFonts w:ascii="宋体" w:hAnsi="宋体"/>
                <w:spacing w:val="-20"/>
              </w:rPr>
              <w:t>,242</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持有原则为既以收取合同现金流量为目标又以出售该金融资产为目标，非短期出售目的持有。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天津物产二号企业管理合伙企业（有限合伙）</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26,065</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15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26,065</w:t>
            </w:r>
          </w:p>
        </w:tc>
        <w:tc>
          <w:tcPr>
            <w:tcW w:w="2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8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持有原则为既以收取合同现金流量为目标又以出售该金融资产为目标，非短期出售目的持有。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建信信托-彩蝶6号财产权信托计划</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70,520</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15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70,520</w:t>
            </w:r>
          </w:p>
        </w:tc>
        <w:tc>
          <w:tcPr>
            <w:tcW w:w="2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8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持有原则为既以收取合同现金流量为目标又以出售该金融资产为目标，非短期出售目的持有。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天津物产三号企业管理合伙企业（有限合伙）</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15,967</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15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15,967</w:t>
            </w:r>
          </w:p>
        </w:tc>
        <w:tc>
          <w:tcPr>
            <w:tcW w:w="2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8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持有原则为既以收取合同现金流量为目标又以出售该金融资产为目标，非短期出售目的持有。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中峰化学有限公司</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10,000</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9,899</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101</w:t>
            </w:r>
          </w:p>
        </w:tc>
        <w:tc>
          <w:tcPr>
            <w:tcW w:w="15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8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持有原则为既以收取合同现金流量为目标又以出售该金融资产为目标，非短期出售目的持有。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合计</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126,764</w:t>
            </w: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9,899</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219</w:t>
            </w:r>
          </w:p>
        </w:tc>
        <w:tc>
          <w:tcPr>
            <w:tcW w:w="15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116,646</w:t>
            </w:r>
          </w:p>
        </w:tc>
        <w:tc>
          <w:tcPr>
            <w:tcW w:w="2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534</w:t>
            </w:r>
          </w:p>
        </w:tc>
        <w:tc>
          <w:tcPr>
            <w:tcW w:w="38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1,499</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w:t>
            </w:r>
          </w:p>
        </w:tc>
      </w:tr>
      <w:bookmarkEnd w:id="286"/>
    </w:tbl>
    <w:p>
      <w:pPr>
        <w:pStyle w:val="570"/>
        <w:ind w:firstLine="0" w:firstLineChars="0"/>
      </w:pPr>
    </w:p>
    <w:p>
      <w:pPr>
        <w:pStyle w:val="505"/>
        <w:numPr>
          <w:ilvl w:val="3"/>
          <w:numId w:val="83"/>
        </w:numPr>
        <w:ind w:left="426" w:hanging="426"/>
      </w:pPr>
      <w:r>
        <w:rPr>
          <w:rFonts w:hint="eastAsia"/>
        </w:rPr>
        <w:t>本期存在终止确认的情况说明</w:t>
      </w:r>
    </w:p>
    <w:sdt>
      <w:sdtPr>
        <w:alias w:val="是否适用：本期存在终止确认的情况说明[双击切换]"/>
        <w:tag w:val="_GBC_27e93a66690f439284ed9d6df3a9bd6c"/>
        <w:id w:val="965888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pPr>
      <w:r>
        <w:rPr>
          <w:rFonts w:hint="eastAsia"/>
        </w:rPr>
        <w:t>单位：</w:t>
      </w:r>
      <w:sdt>
        <w:sdtPr>
          <w:rPr>
            <w:rFonts w:hint="eastAsia"/>
          </w:rPr>
          <w:alias w:val="单位：本期存在终止确认的情况说明"/>
          <w:tag w:val="_GBC_759c11ecec1d4205a78fc472337b6631"/>
          <w:id w:val="112620390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本期存在终止确认的情况说明"/>
          <w:tag w:val="_GBC_cc186d82ed5045959ead4bf8df997425"/>
          <w:id w:val="8504551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5"/>
        <w:gridCol w:w="2715"/>
        <w:gridCol w:w="2976"/>
        <w:gridCol w:w="2936"/>
        <w:gridCol w:w="2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4151626802a342299aa82a6d36518152"/>
            <w:id w:val="20829387"/>
          </w:sdtPr>
          <w:sdtEndPr>
            <w:rPr>
              <w:rFonts w:hint="eastAsia"/>
            </w:rPr>
          </w:sdtEndPr>
          <w:sdtContent>
            <w:tc>
              <w:tcPr>
                <w:tcW w:w="2782" w:type="dxa"/>
                <w:shd w:val="clear" w:color="auto" w:fill="auto"/>
                <w:vAlign w:val="center"/>
              </w:tcPr>
              <w:p>
                <w:pPr>
                  <w:pStyle w:val="543"/>
                  <w:ind w:firstLine="0" w:firstLineChars="0"/>
                  <w:jc w:val="center"/>
                </w:pPr>
                <w:r>
                  <w:rPr>
                    <w:rFonts w:hint="eastAsia"/>
                  </w:rPr>
                  <w:t>项目</w:t>
                </w:r>
              </w:p>
            </w:tc>
          </w:sdtContent>
        </w:sdt>
        <w:tc>
          <w:tcPr>
            <w:tcW w:w="2770" w:type="dxa"/>
            <w:shd w:val="clear" w:color="auto" w:fill="auto"/>
            <w:vAlign w:val="center"/>
          </w:tcPr>
          <w:p>
            <w:pPr>
              <w:pStyle w:val="543"/>
              <w:ind w:firstLine="0" w:firstLineChars="0"/>
              <w:jc w:val="center"/>
            </w:pPr>
            <w:r>
              <w:rPr>
                <w:rFonts w:hint="eastAsia"/>
              </w:rPr>
              <w:t xml:space="preserve">终止确认时的公允价值  </w:t>
            </w:r>
          </w:p>
        </w:tc>
        <w:sdt>
          <w:sdtPr>
            <w:rPr>
              <w:rFonts w:hint="eastAsia"/>
            </w:rPr>
            <w:tag w:val="_PLD_1053f64a84e049cc872f5ab9238f18f5"/>
            <w:id w:val="-555083624"/>
          </w:sdtPr>
          <w:sdtEndPr>
            <w:rPr>
              <w:rFonts w:hint="eastAsia"/>
            </w:rPr>
          </w:sdtEndPr>
          <w:sdtContent>
            <w:tc>
              <w:tcPr>
                <w:tcW w:w="3041" w:type="dxa"/>
                <w:shd w:val="clear" w:color="auto" w:fill="auto"/>
                <w:vAlign w:val="center"/>
              </w:tcPr>
              <w:p>
                <w:pPr>
                  <w:pStyle w:val="543"/>
                  <w:ind w:firstLine="0" w:firstLineChars="0"/>
                  <w:jc w:val="center"/>
                </w:pPr>
                <w:r>
                  <w:rPr>
                    <w:rFonts w:hint="eastAsia"/>
                  </w:rPr>
                  <w:t>因终止确认转入留存收益的累计利得</w:t>
                </w:r>
              </w:p>
            </w:tc>
          </w:sdtContent>
        </w:sdt>
        <w:sdt>
          <w:sdtPr>
            <w:rPr>
              <w:rFonts w:hint="eastAsia"/>
            </w:rPr>
            <w:tag w:val="_PLD_7e31b1b77b6641c8aeadd3fa03f6005c"/>
            <w:id w:val="-903292385"/>
          </w:sdtPr>
          <w:sdtEndPr>
            <w:rPr>
              <w:rFonts w:hint="eastAsia"/>
            </w:rPr>
          </w:sdtEndPr>
          <w:sdtContent>
            <w:tc>
              <w:tcPr>
                <w:tcW w:w="3009" w:type="dxa"/>
                <w:shd w:val="clear" w:color="auto" w:fill="auto"/>
                <w:vAlign w:val="center"/>
              </w:tcPr>
              <w:p>
                <w:pPr>
                  <w:pStyle w:val="543"/>
                  <w:ind w:firstLine="0" w:firstLineChars="0"/>
                  <w:jc w:val="center"/>
                </w:pPr>
                <w:r>
                  <w:rPr>
                    <w:rFonts w:hint="eastAsia"/>
                  </w:rPr>
                  <w:t>因终止确认转入留存收益的累计损失</w:t>
                </w:r>
              </w:p>
            </w:tc>
          </w:sdtContent>
        </w:sdt>
        <w:sdt>
          <w:sdtPr>
            <w:rPr>
              <w:rFonts w:hint="eastAsia"/>
            </w:rPr>
            <w:tag w:val="_PLD_80f4dcb3c7594eda8417f4104945820e"/>
            <w:id w:val="1337730911"/>
          </w:sdtPr>
          <w:sdtEndPr>
            <w:rPr>
              <w:rFonts w:hint="eastAsia"/>
            </w:rPr>
          </w:sdtEndPr>
          <w:sdtContent>
            <w:tc>
              <w:tcPr>
                <w:tcW w:w="2815" w:type="dxa"/>
                <w:shd w:val="clear" w:color="auto" w:fill="auto"/>
                <w:vAlign w:val="center"/>
              </w:tcPr>
              <w:p>
                <w:pPr>
                  <w:pStyle w:val="543"/>
                  <w:ind w:firstLine="0" w:firstLineChars="0"/>
                  <w:jc w:val="center"/>
                </w:pPr>
                <w:r>
                  <w:rPr>
                    <w:rFonts w:hint="eastAsia"/>
                  </w:rPr>
                  <w:t>终止确认的原因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2" w:type="dxa"/>
            <w:shd w:val="clear" w:color="auto" w:fill="auto"/>
          </w:tcPr>
          <w:p>
            <w:pPr>
              <w:pStyle w:val="543"/>
              <w:ind w:firstLine="0" w:firstLineChars="0"/>
              <w:jc w:val="left"/>
            </w:pPr>
            <w:r>
              <w:rPr>
                <w:rFonts w:hint="eastAsia"/>
              </w:rPr>
              <w:t>中峰化学有限公司</w:t>
            </w:r>
          </w:p>
        </w:tc>
        <w:tc>
          <w:tcPr>
            <w:tcW w:w="2770" w:type="dxa"/>
            <w:shd w:val="clear" w:color="auto" w:fill="auto"/>
          </w:tcPr>
          <w:p>
            <w:pPr>
              <w:pStyle w:val="543"/>
              <w:ind w:firstLine="0" w:firstLineChars="0"/>
              <w:jc w:val="right"/>
              <w:rPr>
                <w:rFonts w:ascii="宋体" w:hAnsi="宋体"/>
              </w:rPr>
            </w:pPr>
            <w:r>
              <w:rPr>
                <w:rFonts w:ascii="宋体" w:hAnsi="宋体"/>
              </w:rPr>
              <w:t>14,758</w:t>
            </w:r>
          </w:p>
        </w:tc>
        <w:tc>
          <w:tcPr>
            <w:tcW w:w="3041" w:type="dxa"/>
            <w:shd w:val="clear" w:color="auto" w:fill="auto"/>
          </w:tcPr>
          <w:p>
            <w:pPr>
              <w:pStyle w:val="543"/>
              <w:ind w:firstLine="0" w:firstLineChars="0"/>
              <w:jc w:val="right"/>
              <w:rPr>
                <w:rFonts w:ascii="宋体" w:hAnsi="宋体"/>
              </w:rPr>
            </w:pPr>
            <w:r>
              <w:rPr>
                <w:rFonts w:ascii="宋体" w:hAnsi="宋体"/>
              </w:rPr>
              <w:t>4,863</w:t>
            </w:r>
          </w:p>
        </w:tc>
        <w:tc>
          <w:tcPr>
            <w:tcW w:w="3009" w:type="dxa"/>
            <w:shd w:val="clear" w:color="auto" w:fill="auto"/>
          </w:tcPr>
          <w:p>
            <w:pPr>
              <w:pStyle w:val="543"/>
              <w:ind w:firstLine="0" w:firstLineChars="0"/>
              <w:jc w:val="right"/>
              <w:rPr>
                <w:rFonts w:ascii="宋体" w:hAnsi="宋体"/>
              </w:rPr>
            </w:pPr>
          </w:p>
        </w:tc>
        <w:tc>
          <w:tcPr>
            <w:tcW w:w="2815" w:type="dxa"/>
            <w:shd w:val="clear" w:color="auto" w:fill="auto"/>
            <w:vAlign w:val="center"/>
          </w:tcPr>
          <w:p>
            <w:pPr>
              <w:pStyle w:val="543"/>
              <w:ind w:firstLine="0" w:firstLineChars="0"/>
              <w:jc w:val="center"/>
              <w:rPr>
                <w:rFonts w:ascii="宋体" w:hAnsi="宋体"/>
              </w:rPr>
            </w:pPr>
            <w:r>
              <w:rPr>
                <w:rFonts w:hint="eastAsia" w:ascii="宋体" w:hAnsi="宋体"/>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2" w:type="dxa"/>
            <w:shd w:val="clear" w:color="auto" w:fill="auto"/>
          </w:tcPr>
          <w:p>
            <w:pPr>
              <w:pStyle w:val="543"/>
              <w:ind w:firstLine="0" w:firstLineChars="0"/>
              <w:jc w:val="center"/>
            </w:pPr>
            <w:r>
              <w:rPr>
                <w:rFonts w:hint="eastAsia"/>
              </w:rPr>
              <w:t>合计</w:t>
            </w:r>
          </w:p>
        </w:tc>
        <w:tc>
          <w:tcPr>
            <w:tcW w:w="2770" w:type="dxa"/>
            <w:shd w:val="clear" w:color="auto" w:fill="auto"/>
          </w:tcPr>
          <w:p>
            <w:pPr>
              <w:pStyle w:val="543"/>
              <w:ind w:firstLine="0" w:firstLineChars="0"/>
              <w:jc w:val="right"/>
              <w:rPr>
                <w:rFonts w:ascii="宋体" w:hAnsi="宋体"/>
              </w:rPr>
            </w:pPr>
            <w:r>
              <w:rPr>
                <w:rFonts w:ascii="宋体" w:hAnsi="宋体"/>
              </w:rPr>
              <w:t>14,758</w:t>
            </w:r>
          </w:p>
        </w:tc>
        <w:tc>
          <w:tcPr>
            <w:tcW w:w="3041" w:type="dxa"/>
            <w:shd w:val="clear" w:color="auto" w:fill="auto"/>
          </w:tcPr>
          <w:p>
            <w:pPr>
              <w:pStyle w:val="543"/>
              <w:ind w:firstLine="0" w:firstLineChars="0"/>
              <w:jc w:val="right"/>
              <w:rPr>
                <w:rFonts w:ascii="宋体" w:hAnsi="宋体"/>
              </w:rPr>
            </w:pPr>
            <w:r>
              <w:rPr>
                <w:rFonts w:ascii="宋体" w:hAnsi="宋体"/>
              </w:rPr>
              <w:t>4,863</w:t>
            </w:r>
          </w:p>
        </w:tc>
        <w:tc>
          <w:tcPr>
            <w:tcW w:w="3009" w:type="dxa"/>
            <w:shd w:val="clear" w:color="auto" w:fill="auto"/>
          </w:tcPr>
          <w:p>
            <w:pPr>
              <w:pStyle w:val="543"/>
              <w:ind w:firstLine="0" w:firstLineChars="0"/>
              <w:jc w:val="right"/>
              <w:rPr>
                <w:rFonts w:ascii="宋体" w:hAnsi="宋体"/>
              </w:rPr>
            </w:pPr>
          </w:p>
        </w:tc>
        <w:tc>
          <w:tcPr>
            <w:tcW w:w="2815" w:type="dxa"/>
            <w:shd w:val="clear" w:color="auto" w:fill="auto"/>
          </w:tcPr>
          <w:p>
            <w:pPr>
              <w:pStyle w:val="543"/>
              <w:ind w:firstLine="0" w:firstLineChars="0"/>
              <w:jc w:val="center"/>
              <w:rPr>
                <w:rFonts w:ascii="宋体" w:hAnsi="宋体"/>
              </w:rPr>
            </w:pPr>
            <w:r>
              <w:rPr>
                <w:rFonts w:hint="eastAsia" w:ascii="宋体" w:hAnsi="宋体"/>
              </w:rPr>
              <w:t>/</w:t>
            </w:r>
          </w:p>
        </w:tc>
      </w:tr>
    </w:tbl>
    <w:p>
      <w:pPr>
        <w:pStyle w:val="501"/>
      </w:pPr>
    </w:p>
    <w:p>
      <w:pPr>
        <w:pStyle w:val="531"/>
      </w:pPr>
      <w:r>
        <w:rPr>
          <w:rFonts w:hint="eastAsia"/>
        </w:rPr>
        <w:t>其他</w:t>
      </w:r>
      <w:r>
        <w:t>说明</w:t>
      </w:r>
      <w:r>
        <w:rPr>
          <w:rFonts w:hint="eastAsia"/>
        </w:rPr>
        <w:t>：</w:t>
      </w:r>
    </w:p>
    <w:sdt>
      <w:sdtPr>
        <w:alias w:val="是否适用：其他权益工具投资其他说明[双击切换]"/>
        <w:tag w:val="_GBC_217dff5073ff4a12b86d342292038452"/>
        <w:id w:val="-130877677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p>
      <w:pPr>
        <w:pStyle w:val="531"/>
      </w:pPr>
    </w:p>
    <w:p>
      <w:pPr>
        <w:pStyle w:val="531"/>
      </w:pPr>
    </w:p>
    <w:p>
      <w:pPr>
        <w:pStyle w:val="504"/>
        <w:numPr>
          <w:ilvl w:val="0"/>
          <w:numId w:val="69"/>
        </w:numPr>
        <w:tabs>
          <w:tab w:val="left" w:pos="504"/>
        </w:tabs>
        <w:rPr>
          <w:szCs w:val="21"/>
        </w:rPr>
        <w:sectPr>
          <w:pgSz w:w="16838" w:h="11906" w:orient="landscape"/>
          <w:pgMar w:top="1276" w:right="1440" w:bottom="1797" w:left="1525" w:header="856" w:footer="992" w:gutter="0"/>
          <w:cols w:space="425" w:num="1"/>
          <w:docGrid w:type="lines" w:linePitch="312" w:charSpace="0"/>
        </w:sectPr>
      </w:pPr>
    </w:p>
    <w:p>
      <w:pPr>
        <w:pStyle w:val="504"/>
        <w:numPr>
          <w:ilvl w:val="0"/>
          <w:numId w:val="69"/>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1406801403"/>
        <w:placeholder>
          <w:docPart w:val="GBC22222222222222222222222222222"/>
        </w:placeholder>
      </w:sdtPr>
      <w:sdtContent>
        <w:p>
          <w:pPr>
            <w:pStyle w:val="531"/>
          </w:pPr>
          <w:bookmarkStart w:id="287" w:name="_Hlk53340974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ind w:left="420" w:firstLine="0" w:firstLineChars="0"/>
        <w:jc w:val="right"/>
      </w:pPr>
      <w:r>
        <w:rPr>
          <w:rFonts w:hint="eastAsia"/>
        </w:rPr>
        <w:t>单位：</w:t>
      </w:r>
      <w:sdt>
        <w:sdtPr>
          <w:rPr>
            <w:rFonts w:hint="eastAsia"/>
          </w:rPr>
          <w:alias w:val="单位：其他非流动金融资产"/>
          <w:tag w:val="_GBC_b8c42dcb53bd4c3f9365edc05449c616"/>
          <w:id w:val="20417112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其他非流动金融资产"/>
          <w:tag w:val="_GBC_0ec4dd5c6d514c4eaee0c607d823645d"/>
          <w:id w:val="8909245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0"/>
        <w:gridCol w:w="2688"/>
        <w:gridCol w:w="2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70b7398bc4e1451ebd7725f7c1da3c7c"/>
            <w:id w:val="-1055621312"/>
          </w:sdtPr>
          <w:sdtEndPr>
            <w:rPr>
              <w:rFonts w:ascii="宋体" w:hAnsi="宋体"/>
            </w:rPr>
          </w:sdtEndPr>
          <w:sdtContent>
            <w:tc>
              <w:tcPr>
                <w:tcW w:w="2017" w:type="pc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46e0364c5f14428588b5d737770a1709"/>
            <w:id w:val="363491808"/>
          </w:sdtPr>
          <w:sdtEndPr>
            <w:rPr>
              <w:rFonts w:ascii="宋体" w:hAnsi="宋体"/>
            </w:rPr>
          </w:sdtEndPr>
          <w:sdtContent>
            <w:tc>
              <w:tcPr>
                <w:tcW w:w="1485" w:type="pct"/>
                <w:shd w:val="clear" w:color="auto" w:fill="auto"/>
                <w:vAlign w:val="center"/>
              </w:tcPr>
              <w:p>
                <w:pPr>
                  <w:autoSpaceDE w:val="0"/>
                  <w:autoSpaceDN w:val="0"/>
                  <w:adjustRightInd w:val="0"/>
                  <w:snapToGrid w:val="0"/>
                  <w:spacing w:line="240" w:lineRule="atLeast"/>
                  <w:jc w:val="center"/>
                  <w:rPr>
                    <w:rFonts w:ascii="宋体" w:hAnsi="宋体"/>
                  </w:rPr>
                </w:pPr>
                <w:r>
                  <w:rPr>
                    <w:rFonts w:hint="eastAsia" w:ascii="宋体" w:hAnsi="宋体"/>
                  </w:rPr>
                  <w:t>期末余额</w:t>
                </w:r>
              </w:p>
            </w:tc>
          </w:sdtContent>
        </w:sdt>
        <w:sdt>
          <w:sdtPr>
            <w:rPr>
              <w:rFonts w:ascii="宋体" w:hAnsi="宋体"/>
            </w:rPr>
            <w:tag w:val="_PLD_430a86eb7f8641b382f4d5e0f0afc66f"/>
            <w:id w:val="95526069"/>
          </w:sdtPr>
          <w:sdtEndPr>
            <w:rPr>
              <w:rFonts w:ascii="宋体" w:hAnsi="宋体"/>
            </w:rPr>
          </w:sdtEndPr>
          <w:sdtContent>
            <w:tc>
              <w:tcPr>
                <w:tcW w:w="1498" w:type="pct"/>
                <w:shd w:val="clear" w:color="auto" w:fill="auto"/>
                <w:vAlign w:val="center"/>
              </w:tcPr>
              <w:p>
                <w:pPr>
                  <w:autoSpaceDE w:val="0"/>
                  <w:autoSpaceDN w:val="0"/>
                  <w:adjustRightInd w:val="0"/>
                  <w:snapToGrid w:val="0"/>
                  <w:spacing w:line="240" w:lineRule="atLeast"/>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pPr>
              <w:rPr>
                <w:rFonts w:ascii="宋体" w:hAnsi="宋体"/>
              </w:rPr>
            </w:pPr>
            <w:r>
              <w:rPr>
                <w:rFonts w:hint="eastAsia" w:ascii="宋体" w:hAnsi="宋体"/>
              </w:rPr>
              <w:t>特别收益权（附注七、2）</w:t>
            </w:r>
          </w:p>
        </w:tc>
        <w:tc>
          <w:tcPr>
            <w:tcW w:w="1485" w:type="pct"/>
            <w:vAlign w:val="center"/>
          </w:tcPr>
          <w:p>
            <w:pPr>
              <w:jc w:val="right"/>
              <w:rPr>
                <w:rFonts w:ascii="宋体" w:hAnsi="宋体"/>
              </w:rPr>
            </w:pPr>
            <w:r>
              <w:rPr>
                <w:rFonts w:ascii="宋体" w:hAnsi="宋体"/>
              </w:rPr>
              <w:t>949,704</w:t>
            </w:r>
          </w:p>
        </w:tc>
        <w:tc>
          <w:tcPr>
            <w:tcW w:w="1498" w:type="pct"/>
            <w:shd w:val="clear" w:color="auto" w:fill="auto"/>
            <w:vAlign w:val="center"/>
          </w:tcPr>
          <w:p>
            <w:pPr>
              <w:jc w:val="right"/>
              <w:rPr>
                <w:rFonts w:ascii="宋体" w:hAnsi="宋体"/>
              </w:rPr>
            </w:pPr>
            <w:r>
              <w:rPr>
                <w:rFonts w:ascii="宋体" w:hAnsi="宋体"/>
              </w:rPr>
              <w:t>1,004,040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pPr>
              <w:rPr>
                <w:rFonts w:ascii="宋体" w:hAnsi="宋体"/>
              </w:rPr>
            </w:pPr>
            <w:r>
              <w:rPr>
                <w:rFonts w:hint="eastAsia" w:ascii="宋体" w:hAnsi="宋体"/>
              </w:rPr>
              <w:t>陕西靖神铁路有限责任公司</w:t>
            </w:r>
          </w:p>
        </w:tc>
        <w:tc>
          <w:tcPr>
            <w:tcW w:w="1485" w:type="pct"/>
            <w:vAlign w:val="center"/>
          </w:tcPr>
          <w:p>
            <w:pPr>
              <w:jc w:val="right"/>
              <w:rPr>
                <w:rFonts w:ascii="宋体" w:hAnsi="宋体"/>
              </w:rPr>
            </w:pPr>
            <w:r>
              <w:rPr>
                <w:rFonts w:ascii="宋体" w:hAnsi="宋体"/>
              </w:rPr>
              <w:t>180,697</w:t>
            </w:r>
          </w:p>
        </w:tc>
        <w:tc>
          <w:tcPr>
            <w:tcW w:w="1498" w:type="pct"/>
            <w:shd w:val="clear" w:color="auto" w:fill="auto"/>
            <w:vAlign w:val="center"/>
          </w:tcPr>
          <w:p>
            <w:pPr>
              <w:jc w:val="right"/>
              <w:rPr>
                <w:rFonts w:ascii="宋体" w:hAnsi="宋体"/>
              </w:rPr>
            </w:pPr>
            <w:r>
              <w:rPr>
                <w:rFonts w:ascii="宋体" w:hAnsi="宋体"/>
              </w:rPr>
              <w:t>163,678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pPr>
              <w:rPr>
                <w:rFonts w:ascii="宋体" w:hAnsi="宋体"/>
              </w:rPr>
            </w:pPr>
            <w:r>
              <w:rPr>
                <w:rFonts w:hint="eastAsia" w:ascii="宋体" w:hAnsi="宋体"/>
              </w:rPr>
              <w:t>榆林市榆阳区煤矿疏干水环境治理有限公司</w:t>
            </w:r>
          </w:p>
        </w:tc>
        <w:tc>
          <w:tcPr>
            <w:tcW w:w="1485" w:type="pct"/>
            <w:vAlign w:val="center"/>
          </w:tcPr>
          <w:p>
            <w:pPr>
              <w:jc w:val="right"/>
              <w:rPr>
                <w:rFonts w:ascii="宋体" w:hAnsi="宋体"/>
              </w:rPr>
            </w:pPr>
            <w:r>
              <w:rPr>
                <w:rFonts w:ascii="宋体" w:hAnsi="宋体"/>
              </w:rPr>
              <w:t>165,060</w:t>
            </w:r>
          </w:p>
        </w:tc>
        <w:tc>
          <w:tcPr>
            <w:tcW w:w="1498" w:type="pct"/>
            <w:shd w:val="clear" w:color="auto" w:fill="auto"/>
            <w:vAlign w:val="center"/>
          </w:tcPr>
          <w:p>
            <w:pPr>
              <w:jc w:val="right"/>
              <w:rPr>
                <w:rFonts w:ascii="宋体" w:hAnsi="宋体"/>
              </w:rPr>
            </w:pPr>
            <w:r>
              <w:rPr>
                <w:rFonts w:ascii="宋体" w:hAnsi="宋体"/>
              </w:rPr>
              <w:t>165,060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pPr>
              <w:rPr>
                <w:rFonts w:ascii="宋体" w:hAnsi="宋体"/>
              </w:rPr>
            </w:pPr>
            <w:r>
              <w:rPr>
                <w:rFonts w:hint="eastAsia" w:ascii="宋体" w:hAnsi="宋体"/>
              </w:rPr>
              <w:t>鄂尔多斯南部铁路有限责任公司</w:t>
            </w:r>
          </w:p>
        </w:tc>
        <w:tc>
          <w:tcPr>
            <w:tcW w:w="1485" w:type="pct"/>
            <w:vAlign w:val="center"/>
          </w:tcPr>
          <w:p>
            <w:pPr>
              <w:jc w:val="right"/>
              <w:rPr>
                <w:rFonts w:ascii="宋体" w:hAnsi="宋体"/>
              </w:rPr>
            </w:pPr>
            <w:r>
              <w:rPr>
                <w:rFonts w:ascii="宋体" w:hAnsi="宋体"/>
              </w:rPr>
              <w:t>141,997</w:t>
            </w:r>
          </w:p>
        </w:tc>
        <w:tc>
          <w:tcPr>
            <w:tcW w:w="1498" w:type="pct"/>
            <w:shd w:val="clear" w:color="auto" w:fill="auto"/>
            <w:vAlign w:val="center"/>
          </w:tcPr>
          <w:p>
            <w:pPr>
              <w:jc w:val="right"/>
              <w:rPr>
                <w:rFonts w:ascii="宋体" w:hAnsi="宋体"/>
              </w:rPr>
            </w:pPr>
            <w:r>
              <w:rPr>
                <w:rFonts w:ascii="宋体" w:hAnsi="宋体"/>
              </w:rPr>
              <w:t>110,076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pPr>
              <w:rPr>
                <w:rFonts w:ascii="宋体" w:hAnsi="宋体"/>
              </w:rPr>
            </w:pPr>
            <w:r>
              <w:rPr>
                <w:rFonts w:hint="eastAsia" w:ascii="宋体" w:hAnsi="宋体"/>
              </w:rPr>
              <w:t>杭州时代鼎丰创业投资合伙企业(有限合伙)</w:t>
            </w:r>
          </w:p>
        </w:tc>
        <w:tc>
          <w:tcPr>
            <w:tcW w:w="1485" w:type="pct"/>
            <w:vAlign w:val="center"/>
          </w:tcPr>
          <w:p>
            <w:pPr>
              <w:jc w:val="right"/>
              <w:rPr>
                <w:rFonts w:ascii="宋体" w:hAnsi="宋体"/>
              </w:rPr>
            </w:pPr>
            <w:r>
              <w:rPr>
                <w:rFonts w:ascii="宋体" w:hAnsi="宋体"/>
              </w:rPr>
              <w:t>35,991</w:t>
            </w:r>
          </w:p>
        </w:tc>
        <w:tc>
          <w:tcPr>
            <w:tcW w:w="1498" w:type="pct"/>
            <w:shd w:val="clear" w:color="auto" w:fill="auto"/>
            <w:vAlign w:val="center"/>
          </w:tcPr>
          <w:p>
            <w:pPr>
              <w:jc w:val="right"/>
              <w:rPr>
                <w:rFonts w:ascii="宋体" w:hAnsi="宋体"/>
              </w:rPr>
            </w:pPr>
            <w:r>
              <w:rPr>
                <w:rFonts w:ascii="宋体" w:hAnsi="宋体"/>
              </w:rPr>
              <w:t>65,907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pPr>
              <w:rPr>
                <w:rFonts w:ascii="宋体" w:hAnsi="宋体"/>
              </w:rPr>
            </w:pPr>
            <w:r>
              <w:rPr>
                <w:rFonts w:hint="eastAsia" w:ascii="宋体" w:hAnsi="宋体"/>
              </w:rPr>
              <w:t>上海骥琛企业管理合伙企业（有限合伙）</w:t>
            </w:r>
          </w:p>
        </w:tc>
        <w:tc>
          <w:tcPr>
            <w:tcW w:w="1485" w:type="pct"/>
            <w:vAlign w:val="center"/>
          </w:tcPr>
          <w:p>
            <w:pPr>
              <w:jc w:val="right"/>
              <w:rPr>
                <w:rFonts w:ascii="宋体" w:hAnsi="宋体"/>
              </w:rPr>
            </w:pPr>
            <w:r>
              <w:rPr>
                <w:rFonts w:ascii="宋体" w:hAnsi="宋体"/>
              </w:rPr>
              <w:t>30,000</w:t>
            </w:r>
          </w:p>
        </w:tc>
        <w:tc>
          <w:tcPr>
            <w:tcW w:w="1498" w:type="pct"/>
            <w:shd w:val="clear" w:color="auto" w:fill="auto"/>
            <w:vAlign w:val="center"/>
          </w:tcPr>
          <w:p>
            <w:pPr>
              <w:jc w:val="right"/>
              <w:rPr>
                <w:rFonts w:ascii="宋体" w:hAnsi="宋体"/>
              </w:rPr>
            </w:pPr>
            <w:r>
              <w:rPr>
                <w:rFonts w:ascii="宋体" w:hAnsi="宋体"/>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pPr>
              <w:jc w:val="center"/>
              <w:rPr>
                <w:rFonts w:ascii="宋体" w:hAnsi="宋体"/>
              </w:rPr>
            </w:pPr>
            <w:r>
              <w:rPr>
                <w:rFonts w:hint="eastAsia" w:ascii="宋体" w:hAnsi="宋体"/>
              </w:rPr>
              <w:t>合计</w:t>
            </w:r>
          </w:p>
        </w:tc>
        <w:tc>
          <w:tcPr>
            <w:tcW w:w="1485" w:type="pct"/>
            <w:shd w:val="clear" w:color="auto" w:fill="auto"/>
          </w:tcPr>
          <w:p>
            <w:pPr>
              <w:jc w:val="right"/>
              <w:rPr>
                <w:rFonts w:ascii="宋体" w:hAnsi="宋体"/>
              </w:rPr>
            </w:pPr>
            <w:r>
              <w:rPr>
                <w:rFonts w:ascii="宋体" w:hAnsi="宋体"/>
              </w:rPr>
              <w:t>1,503,449</w:t>
            </w:r>
          </w:p>
        </w:tc>
        <w:tc>
          <w:tcPr>
            <w:tcW w:w="1498" w:type="pct"/>
            <w:shd w:val="clear" w:color="auto" w:fill="auto"/>
          </w:tcPr>
          <w:p>
            <w:pPr>
              <w:jc w:val="right"/>
              <w:rPr>
                <w:rFonts w:ascii="宋体" w:hAnsi="宋体"/>
              </w:rPr>
            </w:pPr>
            <w:r>
              <w:rPr>
                <w:rFonts w:ascii="宋体" w:hAnsi="宋体"/>
              </w:rPr>
              <w:t>1,538,761</w:t>
            </w:r>
          </w:p>
        </w:tc>
      </w:tr>
    </w:tbl>
    <w:p>
      <w:pPr>
        <w:pStyle w:val="531"/>
      </w:pPr>
    </w:p>
    <w:p>
      <w:pPr>
        <w:pStyle w:val="531"/>
      </w:pPr>
      <w:r>
        <w:rPr>
          <w:rFonts w:hint="eastAsia"/>
        </w:rPr>
        <w:t>其他</w:t>
      </w:r>
      <w:r>
        <w:t>说明</w:t>
      </w:r>
      <w:r>
        <w:rPr>
          <w:rFonts w:hint="eastAsia"/>
        </w:rPr>
        <w:t>：</w:t>
      </w:r>
    </w:p>
    <w:bookmarkEnd w:id="287"/>
    <w:sdt>
      <w:sdtPr>
        <w:alias w:val="是否适用：其他非流动金融资产其他说明[双击切换]"/>
        <w:tag w:val="_GBC_037912ebdd3b4e80b4b66cf88f8cb3e7"/>
        <w:id w:val="978567497"/>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napToGrid w:val="0"/>
        <w:spacing w:line="240" w:lineRule="atLeast"/>
      </w:pPr>
    </w:p>
    <w:p>
      <w:pPr>
        <w:pStyle w:val="504"/>
        <w:numPr>
          <w:ilvl w:val="0"/>
          <w:numId w:val="69"/>
        </w:numPr>
        <w:tabs>
          <w:tab w:val="left" w:pos="504"/>
        </w:tabs>
        <w:rPr>
          <w:rFonts w:ascii="宋体" w:hAnsi="宋体"/>
          <w:szCs w:val="21"/>
        </w:rPr>
      </w:pPr>
      <w:r>
        <w:rPr>
          <w:rFonts w:hint="eastAsia" w:ascii="宋体" w:hAnsi="宋体"/>
          <w:szCs w:val="21"/>
        </w:rPr>
        <w:t>投资性房地产</w:t>
      </w:r>
    </w:p>
    <w:p>
      <w:pPr>
        <w:pStyle w:val="531"/>
      </w:pPr>
      <w:r>
        <w:t>投资性房地产</w:t>
      </w:r>
      <w:r>
        <w:rPr>
          <w:rFonts w:hint="eastAsia"/>
        </w:rPr>
        <w:t>计量模式</w:t>
      </w:r>
    </w:p>
    <w:p>
      <w:pPr>
        <w:pStyle w:val="505"/>
        <w:numPr>
          <w:ilvl w:val="3"/>
          <w:numId w:val="84"/>
        </w:numPr>
        <w:tabs>
          <w:tab w:val="left" w:pos="360"/>
        </w:tabs>
        <w:ind w:left="426" w:hanging="426"/>
      </w:pPr>
      <w:r>
        <w:rPr>
          <w:rFonts w:hint="eastAsia"/>
        </w:rPr>
        <w:t>采用</w:t>
      </w:r>
      <w:r>
        <w:t>公允价值计量</w:t>
      </w:r>
      <w:r>
        <w:rPr>
          <w:rFonts w:hint="eastAsia"/>
        </w:rPr>
        <w:t>模式</w:t>
      </w:r>
      <w:r>
        <w:t>的投资性房地产</w:t>
      </w:r>
    </w:p>
    <w:p>
      <w:pPr>
        <w:jc w:val="right"/>
      </w:pPr>
      <w:r>
        <w:rPr>
          <w:rFonts w:hint="eastAsia"/>
        </w:rPr>
        <w:t>单位：</w:t>
      </w:r>
      <w:sdt>
        <w:sdtPr>
          <w:rPr>
            <w:rFonts w:hint="eastAsia"/>
          </w:rPr>
          <w:alias w:val="单位：财务附注：按公允价值计量的投资性房地产"/>
          <w:tag w:val="_GBC_edb2093e740b46cfa90fbbec84c4779e"/>
          <w:id w:val="19458816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按公允价值计量的投资性房地产"/>
          <w:tag w:val="_GBC_314dc21b542f417e9e3fa009103b2fad"/>
          <w:id w:val="16799997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5"/>
        <w:gridCol w:w="2409"/>
        <w:gridCol w:w="2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ec2b0bdac5a848679dbc2f8fd98e0a15"/>
            <w:id w:val="-2109811906"/>
          </w:sdtPr>
          <w:sdtContent>
            <w:tc>
              <w:tcPr>
                <w:tcW w:w="22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项目</w:t>
                </w:r>
              </w:p>
            </w:tc>
          </w:sdtContent>
        </w:sdt>
        <w:sdt>
          <w:sdtPr>
            <w:tag w:val="_PLD_edeac5439f954721b65cd63c777ed853"/>
            <w:id w:val="1729494108"/>
          </w:sdtPr>
          <w:sdtContent>
            <w:tc>
              <w:tcPr>
                <w:tcW w:w="13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房屋、建筑物</w:t>
                </w:r>
              </w:p>
            </w:tc>
          </w:sdtContent>
        </w:sdt>
        <w:sdt>
          <w:sdtPr>
            <w:tag w:val="_PLD_9f1b0b9082fa472087bc17bc00c32446"/>
            <w:id w:val="-976678196"/>
          </w:sdtPr>
          <w:sdtContent>
            <w:tc>
              <w:tcPr>
                <w:tcW w:w="14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246"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一、期初余额</w:t>
            </w:r>
          </w:p>
        </w:tc>
        <w:tc>
          <w:tcPr>
            <w:tcW w:w="133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1,471,730</w:t>
            </w:r>
          </w:p>
        </w:tc>
        <w:tc>
          <w:tcPr>
            <w:tcW w:w="14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1,471,730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246"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二、本期变动</w:t>
            </w:r>
          </w:p>
        </w:tc>
        <w:tc>
          <w:tcPr>
            <w:tcW w:w="133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p>
        </w:tc>
        <w:tc>
          <w:tcPr>
            <w:tcW w:w="14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246"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pPr>
            <w:r>
              <w:rPr>
                <w:rFonts w:hint="eastAsia"/>
              </w:rPr>
              <w:t>加：外购</w:t>
            </w:r>
          </w:p>
        </w:tc>
        <w:tc>
          <w:tcPr>
            <w:tcW w:w="133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36,590</w:t>
            </w:r>
          </w:p>
        </w:tc>
        <w:tc>
          <w:tcPr>
            <w:tcW w:w="14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36,590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246" w:type="pct"/>
            <w:tcBorders>
              <w:top w:val="single" w:color="auto" w:sz="4" w:space="0"/>
              <w:left w:val="single" w:color="auto" w:sz="4" w:space="0"/>
              <w:bottom w:val="single" w:color="auto" w:sz="4" w:space="0"/>
              <w:right w:val="single" w:color="auto" w:sz="4" w:space="0"/>
            </w:tcBorders>
            <w:shd w:val="clear" w:color="auto" w:fill="auto"/>
          </w:tcPr>
          <w:p>
            <w:pPr>
              <w:ind w:firstLine="840" w:firstLineChars="400"/>
              <w:rPr>
                <w:rFonts w:ascii="宋体" w:hAnsi="宋体"/>
              </w:rPr>
            </w:pPr>
            <w:r>
              <w:rPr>
                <w:rFonts w:hint="eastAsia" w:ascii="宋体" w:hAnsi="宋体"/>
              </w:rPr>
              <w:t>存货\固定资产\在建工程转入</w:t>
            </w:r>
          </w:p>
        </w:tc>
        <w:tc>
          <w:tcPr>
            <w:tcW w:w="133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34,907</w:t>
            </w:r>
          </w:p>
        </w:tc>
        <w:tc>
          <w:tcPr>
            <w:tcW w:w="14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34,907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246"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宋体" w:hAnsi="宋体"/>
              </w:rPr>
            </w:pPr>
            <w:r>
              <w:rPr>
                <w:rFonts w:hint="eastAsia" w:ascii="宋体" w:hAnsi="宋体"/>
              </w:rPr>
              <w:t>减：处置</w:t>
            </w:r>
          </w:p>
        </w:tc>
        <w:tc>
          <w:tcPr>
            <w:tcW w:w="133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p>
        </w:tc>
        <w:tc>
          <w:tcPr>
            <w:tcW w:w="14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246" w:type="pct"/>
            <w:tcBorders>
              <w:top w:val="single" w:color="auto" w:sz="4" w:space="0"/>
              <w:left w:val="single" w:color="auto" w:sz="4" w:space="0"/>
              <w:bottom w:val="single" w:color="auto" w:sz="4" w:space="0"/>
              <w:right w:val="single" w:color="auto" w:sz="4" w:space="0"/>
            </w:tcBorders>
            <w:shd w:val="clear" w:color="auto" w:fill="auto"/>
          </w:tcPr>
          <w:p>
            <w:pPr>
              <w:ind w:firstLine="840" w:firstLineChars="400"/>
              <w:rPr>
                <w:rFonts w:ascii="宋体" w:hAnsi="宋体"/>
              </w:rPr>
            </w:pPr>
            <w:r>
              <w:rPr>
                <w:rFonts w:hint="eastAsia" w:ascii="宋体" w:hAnsi="宋体"/>
              </w:rPr>
              <w:t>其他转出</w:t>
            </w:r>
          </w:p>
        </w:tc>
        <w:tc>
          <w:tcPr>
            <w:tcW w:w="133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452,112</w:t>
            </w:r>
          </w:p>
        </w:tc>
        <w:tc>
          <w:tcPr>
            <w:tcW w:w="14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452,112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246"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rFonts w:ascii="宋体" w:hAnsi="宋体"/>
              </w:rPr>
            </w:pPr>
            <w:r>
              <w:rPr>
                <w:rFonts w:hint="eastAsia" w:ascii="宋体" w:hAnsi="宋体"/>
              </w:rPr>
              <w:t>公允价值变动</w:t>
            </w:r>
          </w:p>
        </w:tc>
        <w:tc>
          <w:tcPr>
            <w:tcW w:w="133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18,454</w:t>
            </w:r>
          </w:p>
        </w:tc>
        <w:tc>
          <w:tcPr>
            <w:tcW w:w="14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18,454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246"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三、期末余额</w:t>
            </w:r>
          </w:p>
        </w:tc>
        <w:tc>
          <w:tcPr>
            <w:tcW w:w="133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1,109,569</w:t>
            </w:r>
          </w:p>
        </w:tc>
        <w:tc>
          <w:tcPr>
            <w:tcW w:w="142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1,109,569</w:t>
            </w:r>
          </w:p>
        </w:tc>
      </w:tr>
    </w:tbl>
    <w:p>
      <w:pPr>
        <w:pStyle w:val="501"/>
      </w:pPr>
    </w:p>
    <w:p>
      <w:pPr>
        <w:pStyle w:val="505"/>
        <w:numPr>
          <w:ilvl w:val="3"/>
          <w:numId w:val="45"/>
        </w:numPr>
        <w:tabs>
          <w:tab w:val="left" w:pos="360"/>
        </w:tabs>
        <w:ind w:left="426" w:hanging="426"/>
      </w:pPr>
      <w:r>
        <w:rPr>
          <w:rFonts w:hint="eastAsia"/>
        </w:rPr>
        <w:t>未办妥产权证书的投资性房地产情况</w:t>
      </w:r>
    </w:p>
    <w:p>
      <w:pPr>
        <w:pStyle w:val="531"/>
      </w:pPr>
      <w:sdt>
        <w:sdtPr>
          <w:alias w:val="是否适用：未办妥产权证书的投资性房地产情况[双击切换]"/>
          <w:tag w:val="_GBC_aad55a6994294cf7a3592474b5d3538e"/>
          <w:id w:val="2020280518"/>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办妥产权证书的投资性房地产情况"/>
          <w:tag w:val="_GBC_dd909de09a744489a78d879e630f180b"/>
          <w:id w:val="-7285318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未办妥产权证书的投资性房地产情况"/>
          <w:tag w:val="_GBC_0a09a7d3d40449358c2bce7203e0957c"/>
          <w:id w:val="3025038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041015b61a49bb8b4adaca966bfd32"/>
            <w:id w:val="2011021839"/>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33e298086c714b44be9784290a608e75"/>
            <w:id w:val="331653655"/>
          </w:sdtPr>
          <w:sdtContent>
            <w:tc>
              <w:tcPr>
                <w:tcW w:w="1582" w:type="pct"/>
                <w:shd w:val="clear" w:color="auto" w:fill="auto"/>
                <w:vAlign w:val="center"/>
              </w:tcPr>
              <w:p>
                <w:pPr>
                  <w:tabs>
                    <w:tab w:val="right" w:pos="3690"/>
                    <w:tab w:val="right" w:pos="5130"/>
                    <w:tab w:val="right" w:pos="6030"/>
                    <w:tab w:val="right" w:pos="7650"/>
                    <w:tab w:val="right" w:pos="9270"/>
                  </w:tabs>
                  <w:adjustRightInd w:val="0"/>
                  <w:snapToGrid w:val="0"/>
                  <w:jc w:val="center"/>
                </w:pPr>
                <w:r>
                  <w:rPr>
                    <w:rFonts w:hint="eastAsia"/>
                  </w:rPr>
                  <w:t>账面价值</w:t>
                </w:r>
              </w:p>
            </w:tc>
          </w:sdtContent>
        </w:sdt>
        <w:sdt>
          <w:sdtPr>
            <w:tag w:val="_PLD_4abbb3e21b9844baa14b22e4b21d862e"/>
            <w:id w:val="-1415695059"/>
          </w:sdtPr>
          <w:sdtContent>
            <w:tc>
              <w:tcPr>
                <w:tcW w:w="1590" w:type="pct"/>
                <w:shd w:val="clear" w:color="auto" w:fill="auto"/>
                <w:vAlign w:val="center"/>
              </w:tcPr>
              <w:p>
                <w:pPr>
                  <w:tabs>
                    <w:tab w:val="right" w:pos="3690"/>
                    <w:tab w:val="right" w:pos="5130"/>
                    <w:tab w:val="right" w:pos="6030"/>
                    <w:tab w:val="right" w:pos="7650"/>
                    <w:tab w:val="right" w:pos="9270"/>
                  </w:tabs>
                  <w:adjustRightInd w:val="0"/>
                  <w:snapToGrid w:val="0"/>
                  <w:jc w:val="center"/>
                </w:pPr>
                <w:r>
                  <w:rPr>
                    <w:rFonts w:hint="eastAsia"/>
                  </w:rPr>
                  <w:t>未办妥产权证书原因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房屋、建筑物</w:t>
            </w:r>
          </w:p>
        </w:tc>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744,266</w:t>
            </w:r>
          </w:p>
        </w:tc>
        <w:tc>
          <w:tcPr>
            <w:tcW w:w="1590" w:type="pct"/>
            <w:shd w:val="clear" w:color="auto" w:fill="auto"/>
          </w:tcPr>
          <w:p>
            <w:pPr>
              <w:tabs>
                <w:tab w:val="right" w:pos="3690"/>
                <w:tab w:val="right" w:pos="5130"/>
                <w:tab w:val="right" w:pos="6030"/>
                <w:tab w:val="right" w:pos="7650"/>
                <w:tab w:val="right" w:pos="9270"/>
              </w:tabs>
              <w:adjustRightInd w:val="0"/>
              <w:snapToGrid w:val="0"/>
              <w:jc w:val="center"/>
              <w:rPr>
                <w:rFonts w:ascii="宋体" w:hAnsi="宋体"/>
              </w:rPr>
            </w:pPr>
            <w:r>
              <w:rPr>
                <w:rFonts w:hint="eastAsia" w:ascii="宋体" w:hAnsi="宋体"/>
              </w:rPr>
              <w:t>正在办理</w:t>
            </w:r>
          </w:p>
        </w:tc>
      </w:tr>
    </w:tbl>
    <w:p>
      <w:pPr>
        <w:pStyle w:val="501"/>
      </w:pPr>
    </w:p>
    <w:p>
      <w:pPr>
        <w:pStyle w:val="505"/>
        <w:numPr>
          <w:ilvl w:val="3"/>
          <w:numId w:val="45"/>
        </w:numPr>
        <w:tabs>
          <w:tab w:val="left" w:pos="360"/>
        </w:tabs>
        <w:ind w:left="426" w:hanging="426"/>
      </w:pPr>
      <w:r>
        <w:rPr>
          <w:rFonts w:hint="eastAsia"/>
        </w:rPr>
        <w:t>转换为投资性房地产并采用公允价值计量模式的情况说明</w:t>
      </w:r>
    </w:p>
    <w:sdt>
      <w:sdtPr>
        <w:alias w:val="是否适用：转换为投资性房地产并采用公允价值计量模式的情况[双击切换]"/>
        <w:tag w:val="_GBC_8f1d5a50f3204e339c7f95f02e0ded52"/>
        <w:id w:val="1465077563"/>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ind w:left="-2" w:leftChars="-21" w:hanging="42" w:hangingChars="20"/>
      </w:pPr>
      <w:r>
        <w:rPr>
          <w:rFonts w:hint="eastAsia"/>
        </w:rPr>
        <w:t>其他说明</w:t>
      </w:r>
    </w:p>
    <w:sdt>
      <w:sdtPr>
        <w:alias w:val="是否适用：投资性房地产的说明[双击切换]"/>
        <w:tag w:val="_GBC_8bfb4ff2be19482ea8535705f2db855a"/>
        <w:id w:val="-411243932"/>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right="283"/>
      </w:pPr>
    </w:p>
    <w:p>
      <w:pPr>
        <w:pStyle w:val="505"/>
        <w:numPr>
          <w:ilvl w:val="3"/>
          <w:numId w:val="84"/>
        </w:numPr>
        <w:ind w:left="426" w:hanging="426"/>
      </w:pPr>
      <w:bookmarkStart w:id="288" w:name="_Hlk153460290"/>
      <w:r>
        <w:rPr>
          <w:rFonts w:hint="eastAsia"/>
        </w:rPr>
        <w:t>采用成本计量模式的投资性房地产的减值测试情况</w:t>
      </w:r>
    </w:p>
    <w:sdt>
      <w:sdtPr>
        <w:alias w:val="是否适用：减值测试情况[双击切换]"/>
        <w:tag w:val="_GBC_373a9d68c3e14bb29f489d169fab52f2"/>
        <w:id w:val="199035932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snapToGrid w:val="0"/>
        <w:spacing w:line="240" w:lineRule="atLeast"/>
      </w:pPr>
    </w:p>
    <w:p>
      <w:pPr>
        <w:pStyle w:val="504"/>
        <w:numPr>
          <w:ilvl w:val="0"/>
          <w:numId w:val="69"/>
        </w:numPr>
        <w:tabs>
          <w:tab w:val="left" w:pos="504"/>
        </w:tabs>
        <w:rPr>
          <w:rFonts w:ascii="宋体" w:hAnsi="宋体"/>
          <w:szCs w:val="21"/>
        </w:rPr>
      </w:pPr>
      <w:r>
        <w:rPr>
          <w:rFonts w:hint="eastAsia" w:ascii="宋体" w:hAnsi="宋体"/>
          <w:szCs w:val="21"/>
        </w:rPr>
        <w:t>固定资产</w:t>
      </w:r>
    </w:p>
    <w:p>
      <w:pPr>
        <w:pStyle w:val="505"/>
      </w:pPr>
      <w:bookmarkStart w:id="289" w:name="_Hlk532907583"/>
      <w:r>
        <w:rPr>
          <w:rFonts w:hint="eastAsia"/>
        </w:rPr>
        <w:t>项目列示</w:t>
      </w:r>
    </w:p>
    <w:bookmarkEnd w:id="288"/>
    <w:sdt>
      <w:sdtPr>
        <w:alias w:val="是否适用：固定资产分类列示[双击切换]"/>
        <w:tag w:val="_GBC_aa56cf68790e4b9d866b3ea7d6d8073d"/>
        <w:id w:val="-99195522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固定资产分类列示"/>
          <w:tag w:val="_GBC_857b5f6755c84b5aa235351580358065"/>
          <w:id w:val="13757359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固定资产分类列示"/>
          <w:tag w:val="_GBC_726c882708c540a4a7832f00029fe5d4"/>
          <w:id w:val="5700035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c8e68343ee4b7fa02f5422a7fad5c0"/>
            <w:id w:val="142939951"/>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a7d9e039146b4c3ab8e71ba63a4ca55d"/>
            <w:id w:val="-1403821626"/>
          </w:sdtPr>
          <w:sdtContent>
            <w:tc>
              <w:tcPr>
                <w:tcW w:w="1582" w:type="pct"/>
                <w:shd w:val="clear" w:color="auto" w:fill="auto"/>
                <w:vAlign w:val="center"/>
              </w:tcPr>
              <w:p>
                <w:pPr>
                  <w:jc w:val="center"/>
                </w:pPr>
                <w:r>
                  <w:rPr>
                    <w:rFonts w:hint="eastAsia"/>
                  </w:rPr>
                  <w:t>期末余额</w:t>
                </w:r>
              </w:p>
            </w:tc>
          </w:sdtContent>
        </w:sdt>
        <w:sdt>
          <w:sdtPr>
            <w:tag w:val="_PLD_a075f0130f1f4334b8370490adf71764"/>
            <w:id w:val="1391467751"/>
          </w:sdtPr>
          <w:sdtContent>
            <w:tc>
              <w:tcPr>
                <w:tcW w:w="1590" w:type="pct"/>
                <w:shd w:val="clear" w:color="auto" w:fill="auto"/>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pPr>
            <w:r>
              <w:rPr>
                <w:rFonts w:hint="eastAsia"/>
              </w:rPr>
              <w:t>固定资产</w:t>
            </w:r>
          </w:p>
        </w:tc>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112,468,586</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112,034,718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pPr>
            <w:r>
              <w:rPr>
                <w:rFonts w:hint="eastAsia"/>
              </w:rPr>
              <w:t>固定资产清理</w:t>
            </w:r>
          </w:p>
        </w:tc>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7,846</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pPr>
            <w:r>
              <w:rPr>
                <w:rFonts w:hint="eastAsia"/>
              </w:rPr>
              <w:t>合计</w:t>
            </w:r>
          </w:p>
        </w:tc>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112,476,432</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112,034,718</w:t>
            </w:r>
          </w:p>
        </w:tc>
      </w:tr>
    </w:tbl>
    <w:p>
      <w:pPr>
        <w:rPr>
          <w:b/>
        </w:rPr>
      </w:pPr>
    </w:p>
    <w:p>
      <w:pPr>
        <w:pStyle w:val="501"/>
      </w:pPr>
      <w:r>
        <w:rPr>
          <w:rFonts w:hint="eastAsia"/>
        </w:rPr>
        <w:t>其他说明：</w:t>
      </w:r>
    </w:p>
    <w:bookmarkEnd w:id="289"/>
    <w:sdt>
      <w:sdtPr>
        <w:alias w:val="是否适用：固定资产分类列示其他说明[双击切换]"/>
        <w:tag w:val="_GBC_242c272ba3a1435aacea1f45ade5a2e0"/>
        <w:id w:val="166217211"/>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ind w:left="360" w:hanging="360"/>
      </w:pPr>
      <w:r>
        <w:rPr>
          <w:rFonts w:hint="eastAsia"/>
        </w:rPr>
        <w:t>固定资产</w:t>
      </w:r>
    </w:p>
    <w:p>
      <w:pPr>
        <w:pStyle w:val="506"/>
        <w:numPr>
          <w:ilvl w:val="0"/>
          <w:numId w:val="85"/>
        </w:numPr>
        <w:ind w:leftChars="0"/>
      </w:pPr>
      <w:r>
        <w:rPr>
          <w:rFonts w:hint="eastAsia"/>
        </w:rPr>
        <w:t>固定资产情况</w:t>
      </w:r>
    </w:p>
    <w:sdt>
      <w:sdtPr>
        <w:alias w:val="是否适用：固定资产情况[双击切换]"/>
        <w:tag w:val="_GBC_a44afb7019ae43b7a273970cf76154a3"/>
        <w:id w:val="-2433579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jc w:val="right"/>
        <w:sectPr>
          <w:pgSz w:w="11906" w:h="16838"/>
          <w:pgMar w:top="1440" w:right="1797" w:bottom="1525" w:left="1276" w:header="856" w:footer="992" w:gutter="0"/>
          <w:cols w:space="425" w:num="1"/>
          <w:docGrid w:type="lines" w:linePitch="312" w:charSpace="0"/>
        </w:sectPr>
      </w:pPr>
    </w:p>
    <w:p>
      <w:pPr>
        <w:autoSpaceDE w:val="0"/>
        <w:autoSpaceDN w:val="0"/>
        <w:adjustRightInd w:val="0"/>
        <w:jc w:val="right"/>
      </w:pPr>
      <w:r>
        <w:rPr>
          <w:rFonts w:hint="eastAsia"/>
        </w:rPr>
        <w:t>单位：</w:t>
      </w:r>
      <w:sdt>
        <w:sdtPr>
          <w:rPr>
            <w:rFonts w:hint="eastAsia"/>
          </w:rPr>
          <w:alias w:val="单位：财务附注：固定资产情况"/>
          <w:tag w:val="_GBC_6aff6dff3e7c47e2891bcccce5ef5b8c"/>
          <w:id w:val="1226664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固定资产情况"/>
          <w:tag w:val="_GBC_acfb726ad8bc4e37a6326a98b903d495"/>
          <w:id w:val="15134098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805"/>
        <w:gridCol w:w="1421"/>
        <w:gridCol w:w="1554"/>
        <w:gridCol w:w="1554"/>
        <w:gridCol w:w="1554"/>
        <w:gridCol w:w="1686"/>
        <w:gridCol w:w="1421"/>
        <w:gridCol w:w="1421"/>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blHeader/>
        </w:trPr>
        <w:sdt>
          <w:sdtPr>
            <w:rPr>
              <w:rFonts w:ascii="宋体" w:hAnsi="宋体"/>
            </w:rPr>
            <w:tag w:val="_PLD_0431b88b9ff14ebb90e5715c273e1c1d"/>
            <w:id w:val="1189875299"/>
          </w:sdtPr>
          <w:sdtEndPr>
            <w:rPr>
              <w:rFonts w:ascii="宋体" w:hAnsi="宋体"/>
            </w:rPr>
          </w:sdtEndPr>
          <w:sdtContent>
            <w:tc>
              <w:tcPr>
                <w:tcW w:w="640" w:type="pct"/>
                <w:shd w:val="clear" w:color="auto" w:fill="auto"/>
                <w:vAlign w:val="center"/>
              </w:tcPr>
              <w:p>
                <w:pPr>
                  <w:jc w:val="center"/>
                  <w:rPr>
                    <w:rFonts w:ascii="宋体" w:hAnsi="宋体"/>
                  </w:rPr>
                </w:pPr>
                <w:r>
                  <w:rPr>
                    <w:rFonts w:hint="eastAsia" w:ascii="宋体" w:hAnsi="宋体"/>
                  </w:rPr>
                  <w:t>项目</w:t>
                </w:r>
              </w:p>
            </w:tc>
          </w:sdtContent>
        </w:sdt>
        <w:sdt>
          <w:sdtPr>
            <w:rPr>
              <w:rFonts w:hint="eastAsia" w:ascii="宋体" w:hAnsi="宋体"/>
            </w:rPr>
            <w:alias w:val="固定资产情况明细-项目名称"/>
            <w:tag w:val="_GBC_d421638fcfb34bbba0e548b4cb719a06"/>
            <w:id w:val="889930602"/>
            <w:text/>
          </w:sdtPr>
          <w:sdtEndPr>
            <w:rPr>
              <w:rFonts w:hint="eastAsia" w:ascii="宋体" w:hAnsi="宋体"/>
            </w:rPr>
          </w:sdtEndPr>
          <w:sdtContent>
            <w:tc>
              <w:tcPr>
                <w:tcW w:w="504" w:type="pct"/>
                <w:shd w:val="clear" w:color="auto" w:fill="auto"/>
                <w:vAlign w:val="center"/>
              </w:tcPr>
              <w:p>
                <w:pPr>
                  <w:jc w:val="center"/>
                  <w:rPr>
                    <w:rFonts w:ascii="宋体" w:hAnsi="宋体"/>
                  </w:rPr>
                </w:pPr>
                <w:r>
                  <w:rPr>
                    <w:rFonts w:hint="eastAsia" w:ascii="宋体" w:hAnsi="宋体"/>
                  </w:rPr>
                  <w:t>土地</w:t>
                </w:r>
              </w:p>
            </w:tc>
          </w:sdtContent>
        </w:sdt>
        <w:sdt>
          <w:sdtPr>
            <w:rPr>
              <w:rFonts w:hint="eastAsia" w:ascii="宋体" w:hAnsi="宋体"/>
            </w:rPr>
            <w:alias w:val="固定资产情况明细-项目名称"/>
            <w:tag w:val="_GBC_d421638fcfb34bbba0e548b4cb719a06"/>
            <w:id w:val="-1703932423"/>
            <w:text/>
          </w:sdtPr>
          <w:sdtEndPr>
            <w:rPr>
              <w:rFonts w:hint="eastAsia" w:ascii="宋体" w:hAnsi="宋体"/>
            </w:rPr>
          </w:sdtEndPr>
          <w:sdtContent>
            <w:tc>
              <w:tcPr>
                <w:tcW w:w="551" w:type="pct"/>
                <w:shd w:val="clear" w:color="auto" w:fill="auto"/>
                <w:vAlign w:val="center"/>
              </w:tcPr>
              <w:p>
                <w:pPr>
                  <w:jc w:val="center"/>
                  <w:rPr>
                    <w:rFonts w:ascii="宋体" w:hAnsi="宋体"/>
                  </w:rPr>
                </w:pPr>
                <w:r>
                  <w:rPr>
                    <w:rFonts w:hint="eastAsia" w:ascii="宋体" w:hAnsi="宋体"/>
                  </w:rPr>
                  <w:t>房屋建筑物</w:t>
                </w:r>
              </w:p>
            </w:tc>
          </w:sdtContent>
        </w:sdt>
        <w:sdt>
          <w:sdtPr>
            <w:rPr>
              <w:rFonts w:hint="eastAsia" w:ascii="宋体" w:hAnsi="宋体"/>
            </w:rPr>
            <w:alias w:val="固定资产情况明细-项目名称"/>
            <w:tag w:val="_GBC_d421638fcfb34bbba0e548b4cb719a06"/>
            <w:id w:val="1130816816"/>
            <w:text/>
          </w:sdtPr>
          <w:sdtEndPr>
            <w:rPr>
              <w:rFonts w:hint="eastAsia" w:ascii="宋体" w:hAnsi="宋体"/>
            </w:rPr>
          </w:sdtEndPr>
          <w:sdtContent>
            <w:tc>
              <w:tcPr>
                <w:tcW w:w="551" w:type="pct"/>
                <w:shd w:val="clear" w:color="auto" w:fill="auto"/>
                <w:vAlign w:val="center"/>
              </w:tcPr>
              <w:p>
                <w:pPr>
                  <w:jc w:val="center"/>
                  <w:rPr>
                    <w:rFonts w:ascii="宋体" w:hAnsi="宋体"/>
                  </w:rPr>
                </w:pPr>
                <w:r>
                  <w:rPr>
                    <w:rFonts w:hint="eastAsia" w:ascii="宋体" w:hAnsi="宋体"/>
                  </w:rPr>
                  <w:t>矿井建筑物</w:t>
                </w:r>
              </w:p>
            </w:tc>
          </w:sdtContent>
        </w:sdt>
        <w:sdt>
          <w:sdtPr>
            <w:rPr>
              <w:rFonts w:hint="eastAsia" w:ascii="宋体" w:hAnsi="宋体"/>
            </w:rPr>
            <w:alias w:val="固定资产情况明细-项目名称"/>
            <w:tag w:val="_GBC_d421638fcfb34bbba0e548b4cb719a06"/>
            <w:id w:val="-837387259"/>
            <w:text/>
          </w:sdtPr>
          <w:sdtEndPr>
            <w:rPr>
              <w:rFonts w:hint="eastAsia" w:ascii="宋体" w:hAnsi="宋体"/>
            </w:rPr>
          </w:sdtEndPr>
          <w:sdtContent>
            <w:tc>
              <w:tcPr>
                <w:tcW w:w="551" w:type="pct"/>
                <w:shd w:val="clear" w:color="auto" w:fill="auto"/>
                <w:vAlign w:val="center"/>
              </w:tcPr>
              <w:p>
                <w:pPr>
                  <w:jc w:val="center"/>
                  <w:rPr>
                    <w:rFonts w:ascii="宋体" w:hAnsi="宋体"/>
                  </w:rPr>
                </w:pPr>
                <w:r>
                  <w:rPr>
                    <w:rFonts w:hint="eastAsia" w:ascii="宋体" w:hAnsi="宋体"/>
                  </w:rPr>
                  <w:t>地面建筑物</w:t>
                </w:r>
              </w:p>
            </w:tc>
          </w:sdtContent>
        </w:sdt>
        <w:sdt>
          <w:sdtPr>
            <w:rPr>
              <w:rFonts w:hint="eastAsia" w:ascii="宋体" w:hAnsi="宋体"/>
            </w:rPr>
            <w:alias w:val="固定资产情况明细-项目名称"/>
            <w:tag w:val="_GBC_d421638fcfb34bbba0e548b4cb719a06"/>
            <w:id w:val="460860104"/>
            <w:text/>
          </w:sdtPr>
          <w:sdtEndPr>
            <w:rPr>
              <w:rFonts w:hint="eastAsia" w:ascii="宋体" w:hAnsi="宋体"/>
            </w:rPr>
          </w:sdtEndPr>
          <w:sdtContent>
            <w:tc>
              <w:tcPr>
                <w:tcW w:w="598" w:type="pct"/>
                <w:shd w:val="clear" w:color="auto" w:fill="auto"/>
                <w:vAlign w:val="center"/>
              </w:tcPr>
              <w:p>
                <w:pPr>
                  <w:jc w:val="center"/>
                  <w:rPr>
                    <w:rFonts w:ascii="宋体" w:hAnsi="宋体"/>
                  </w:rPr>
                </w:pPr>
                <w:r>
                  <w:rPr>
                    <w:rFonts w:hint="eastAsia" w:ascii="宋体" w:hAnsi="宋体"/>
                  </w:rPr>
                  <w:t>机器设备</w:t>
                </w:r>
              </w:p>
            </w:tc>
          </w:sdtContent>
        </w:sdt>
        <w:sdt>
          <w:sdtPr>
            <w:rPr>
              <w:rFonts w:hint="eastAsia" w:ascii="宋体" w:hAnsi="宋体"/>
            </w:rPr>
            <w:alias w:val="固定资产情况明细-项目名称"/>
            <w:tag w:val="_GBC_d421638fcfb34bbba0e548b4cb719a06"/>
            <w:id w:val="-1858257764"/>
            <w:text/>
          </w:sdtPr>
          <w:sdtEndPr>
            <w:rPr>
              <w:rFonts w:hint="eastAsia" w:ascii="宋体" w:hAnsi="宋体"/>
            </w:rPr>
          </w:sdtEndPr>
          <w:sdtContent>
            <w:tc>
              <w:tcPr>
                <w:tcW w:w="504" w:type="pct"/>
                <w:shd w:val="clear" w:color="auto" w:fill="auto"/>
                <w:vAlign w:val="center"/>
              </w:tcPr>
              <w:p>
                <w:pPr>
                  <w:jc w:val="center"/>
                  <w:rPr>
                    <w:rFonts w:ascii="宋体" w:hAnsi="宋体"/>
                  </w:rPr>
                </w:pPr>
                <w:r>
                  <w:rPr>
                    <w:rFonts w:hint="eastAsia" w:ascii="宋体" w:hAnsi="宋体"/>
                  </w:rPr>
                  <w:t>运输工具</w:t>
                </w:r>
              </w:p>
            </w:tc>
          </w:sdtContent>
        </w:sdt>
        <w:sdt>
          <w:sdtPr>
            <w:rPr>
              <w:rFonts w:hint="eastAsia" w:ascii="宋体" w:hAnsi="宋体"/>
            </w:rPr>
            <w:alias w:val="固定资产情况明细-项目名称"/>
            <w:tag w:val="_GBC_d421638fcfb34bbba0e548b4cb719a06"/>
            <w:id w:val="-2042823369"/>
            <w:text/>
          </w:sdtPr>
          <w:sdtEndPr>
            <w:rPr>
              <w:rFonts w:hint="eastAsia" w:ascii="宋体" w:hAnsi="宋体"/>
            </w:rPr>
          </w:sdtEndPr>
          <w:sdtContent>
            <w:tc>
              <w:tcPr>
                <w:tcW w:w="504" w:type="pct"/>
                <w:shd w:val="clear" w:color="auto" w:fill="auto"/>
                <w:vAlign w:val="center"/>
              </w:tcPr>
              <w:p>
                <w:pPr>
                  <w:rPr>
                    <w:rFonts w:ascii="宋体" w:hAnsi="宋体"/>
                  </w:rPr>
                </w:pPr>
                <w:r>
                  <w:rPr>
                    <w:rFonts w:hint="eastAsia" w:ascii="宋体" w:hAnsi="宋体"/>
                  </w:rPr>
                  <w:t>其他</w:t>
                </w:r>
              </w:p>
            </w:tc>
          </w:sdtContent>
        </w:sdt>
        <w:sdt>
          <w:sdtPr>
            <w:rPr>
              <w:rFonts w:ascii="宋体" w:hAnsi="宋体"/>
            </w:rPr>
            <w:tag w:val="_PLD_44989fc4cd3d46cc990c4d1941405a11"/>
            <w:id w:val="-1664237588"/>
          </w:sdtPr>
          <w:sdtEndPr>
            <w:rPr>
              <w:rFonts w:ascii="宋体" w:hAnsi="宋体"/>
            </w:rPr>
          </w:sdtEndPr>
          <w:sdtContent>
            <w:tc>
              <w:tcPr>
                <w:tcW w:w="597" w:type="pct"/>
                <w:shd w:val="clear" w:color="auto" w:fill="auto"/>
                <w:vAlign w:val="center"/>
              </w:tcPr>
              <w:p>
                <w:pPr>
                  <w:jc w:val="center"/>
                  <w:rPr>
                    <w:rFonts w:ascii="宋体" w:hAnsi="宋体"/>
                  </w:rPr>
                </w:pPr>
                <w:r>
                  <w:rPr>
                    <w:rFonts w:hint="eastAsia" w:ascii="宋体" w:hAnsi="宋体"/>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宋体" w:hAnsi="宋体"/>
            </w:rPr>
            <w:tag w:val="_PLD_baa91289996942f0a3579319b339b24d"/>
            <w:id w:val="399636027"/>
          </w:sdtPr>
          <w:sdtEndPr>
            <w:rPr>
              <w:rFonts w:ascii="宋体" w:hAnsi="宋体"/>
            </w:rPr>
          </w:sdtEndPr>
          <w:sdtContent>
            <w:tc>
              <w:tcPr>
                <w:tcW w:w="5000" w:type="pct"/>
                <w:gridSpan w:val="9"/>
                <w:shd w:val="clear" w:color="auto" w:fill="auto"/>
              </w:tcPr>
              <w:p>
                <w:pPr>
                  <w:rPr>
                    <w:rFonts w:ascii="宋体" w:hAnsi="宋体"/>
                  </w:rPr>
                </w:pPr>
                <w:r>
                  <w:rPr>
                    <w:rFonts w:hint="eastAsia" w:ascii="宋体" w:hAnsi="宋体"/>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ascii="宋体" w:hAnsi="宋体"/>
              </w:rPr>
              <w:t>1.</w:t>
            </w:r>
            <w:r>
              <w:rPr>
                <w:rFonts w:hint="eastAsia" w:ascii="宋体" w:hAnsi="宋体"/>
              </w:rPr>
              <w:t>期初余额</w:t>
            </w:r>
          </w:p>
        </w:tc>
        <w:tc>
          <w:tcPr>
            <w:tcW w:w="504" w:type="pct"/>
            <w:vAlign w:val="center"/>
          </w:tcPr>
          <w:p>
            <w:pPr>
              <w:jc w:val="right"/>
              <w:rPr>
                <w:rFonts w:ascii="宋体" w:hAnsi="宋体"/>
              </w:rPr>
            </w:pPr>
            <w:r>
              <w:rPr>
                <w:rFonts w:ascii="宋体" w:hAnsi="宋体"/>
              </w:rPr>
              <w:t>1,442,079</w:t>
            </w:r>
          </w:p>
        </w:tc>
        <w:tc>
          <w:tcPr>
            <w:tcW w:w="551" w:type="pct"/>
            <w:vAlign w:val="center"/>
          </w:tcPr>
          <w:p>
            <w:pPr>
              <w:jc w:val="right"/>
              <w:rPr>
                <w:rFonts w:ascii="宋体" w:hAnsi="宋体"/>
              </w:rPr>
            </w:pPr>
            <w:r>
              <w:rPr>
                <w:rFonts w:ascii="宋体" w:hAnsi="宋体"/>
              </w:rPr>
              <w:t>16,186,632</w:t>
            </w:r>
          </w:p>
        </w:tc>
        <w:tc>
          <w:tcPr>
            <w:tcW w:w="551" w:type="pct"/>
            <w:vAlign w:val="center"/>
          </w:tcPr>
          <w:p>
            <w:pPr>
              <w:jc w:val="right"/>
              <w:rPr>
                <w:rFonts w:ascii="宋体" w:hAnsi="宋体"/>
              </w:rPr>
            </w:pPr>
            <w:r>
              <w:rPr>
                <w:rFonts w:ascii="宋体" w:hAnsi="宋体"/>
              </w:rPr>
              <w:t>49,177,786</w:t>
            </w:r>
          </w:p>
        </w:tc>
        <w:tc>
          <w:tcPr>
            <w:tcW w:w="551" w:type="pct"/>
            <w:vAlign w:val="center"/>
          </w:tcPr>
          <w:p>
            <w:pPr>
              <w:jc w:val="right"/>
              <w:rPr>
                <w:rFonts w:ascii="宋体" w:hAnsi="宋体"/>
              </w:rPr>
            </w:pPr>
            <w:r>
              <w:rPr>
                <w:rFonts w:ascii="宋体" w:hAnsi="宋体"/>
              </w:rPr>
              <w:t>21,865,694</w:t>
            </w:r>
          </w:p>
        </w:tc>
        <w:tc>
          <w:tcPr>
            <w:tcW w:w="598" w:type="pct"/>
            <w:vAlign w:val="center"/>
          </w:tcPr>
          <w:p>
            <w:pPr>
              <w:jc w:val="right"/>
              <w:rPr>
                <w:rFonts w:ascii="宋体" w:hAnsi="宋体"/>
              </w:rPr>
            </w:pPr>
            <w:r>
              <w:rPr>
                <w:rFonts w:ascii="宋体" w:hAnsi="宋体"/>
              </w:rPr>
              <w:t>94,120,581</w:t>
            </w:r>
          </w:p>
        </w:tc>
        <w:tc>
          <w:tcPr>
            <w:tcW w:w="504" w:type="pct"/>
            <w:vAlign w:val="center"/>
          </w:tcPr>
          <w:p>
            <w:pPr>
              <w:jc w:val="right"/>
              <w:rPr>
                <w:rFonts w:ascii="宋体" w:hAnsi="宋体"/>
              </w:rPr>
            </w:pPr>
            <w:r>
              <w:rPr>
                <w:rFonts w:ascii="宋体" w:hAnsi="宋体"/>
              </w:rPr>
              <w:t>2,245,786</w:t>
            </w:r>
          </w:p>
        </w:tc>
        <w:tc>
          <w:tcPr>
            <w:tcW w:w="504" w:type="pct"/>
            <w:vAlign w:val="center"/>
          </w:tcPr>
          <w:p>
            <w:pPr>
              <w:jc w:val="right"/>
              <w:rPr>
                <w:rFonts w:ascii="宋体" w:hAnsi="宋体"/>
              </w:rPr>
            </w:pPr>
            <w:r>
              <w:rPr>
                <w:rFonts w:ascii="宋体" w:hAnsi="宋体"/>
              </w:rPr>
              <w:t>8,060,050</w:t>
            </w:r>
          </w:p>
        </w:tc>
        <w:tc>
          <w:tcPr>
            <w:tcW w:w="597" w:type="pct"/>
            <w:vAlign w:val="center"/>
          </w:tcPr>
          <w:p>
            <w:pPr>
              <w:jc w:val="right"/>
              <w:rPr>
                <w:rFonts w:ascii="宋体" w:hAnsi="宋体"/>
              </w:rPr>
            </w:pPr>
            <w:r>
              <w:rPr>
                <w:rFonts w:ascii="宋体" w:hAnsi="宋体"/>
              </w:rPr>
              <w:t>193,098,608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ascii="宋体" w:hAnsi="宋体"/>
              </w:rPr>
              <w:t>2.</w:t>
            </w:r>
            <w:r>
              <w:rPr>
                <w:rFonts w:hint="eastAsia" w:ascii="宋体" w:hAnsi="宋体"/>
              </w:rPr>
              <w:t>本期增加金额</w:t>
            </w:r>
          </w:p>
        </w:tc>
        <w:tc>
          <w:tcPr>
            <w:tcW w:w="504" w:type="pct"/>
            <w:vAlign w:val="center"/>
          </w:tcPr>
          <w:p>
            <w:pPr>
              <w:jc w:val="right"/>
              <w:rPr>
                <w:rFonts w:ascii="宋体" w:hAnsi="宋体"/>
              </w:rPr>
            </w:pPr>
            <w:r>
              <w:rPr>
                <w:rFonts w:ascii="宋体" w:hAnsi="宋体"/>
              </w:rPr>
              <w:t>939</w:t>
            </w:r>
          </w:p>
        </w:tc>
        <w:tc>
          <w:tcPr>
            <w:tcW w:w="551" w:type="pct"/>
            <w:vAlign w:val="center"/>
          </w:tcPr>
          <w:p>
            <w:pPr>
              <w:jc w:val="right"/>
              <w:rPr>
                <w:rFonts w:ascii="宋体" w:hAnsi="宋体"/>
              </w:rPr>
            </w:pPr>
            <w:r>
              <w:rPr>
                <w:rFonts w:ascii="宋体" w:hAnsi="宋体"/>
              </w:rPr>
              <w:t>1,985,793</w:t>
            </w:r>
          </w:p>
        </w:tc>
        <w:tc>
          <w:tcPr>
            <w:tcW w:w="551" w:type="pct"/>
            <w:vAlign w:val="center"/>
          </w:tcPr>
          <w:p>
            <w:pPr>
              <w:jc w:val="right"/>
              <w:rPr>
                <w:rFonts w:ascii="宋体" w:hAnsi="宋体"/>
              </w:rPr>
            </w:pPr>
            <w:r>
              <w:rPr>
                <w:rFonts w:ascii="宋体" w:hAnsi="宋体"/>
              </w:rPr>
              <w:t>1,582,083</w:t>
            </w:r>
          </w:p>
        </w:tc>
        <w:tc>
          <w:tcPr>
            <w:tcW w:w="551" w:type="pct"/>
            <w:vAlign w:val="center"/>
          </w:tcPr>
          <w:p>
            <w:pPr>
              <w:jc w:val="right"/>
              <w:rPr>
                <w:rFonts w:ascii="宋体" w:hAnsi="宋体"/>
              </w:rPr>
            </w:pPr>
            <w:r>
              <w:rPr>
                <w:rFonts w:ascii="宋体" w:hAnsi="宋体"/>
              </w:rPr>
              <w:t>2,151,653</w:t>
            </w:r>
          </w:p>
        </w:tc>
        <w:tc>
          <w:tcPr>
            <w:tcW w:w="598" w:type="pct"/>
            <w:vAlign w:val="center"/>
          </w:tcPr>
          <w:p>
            <w:pPr>
              <w:jc w:val="right"/>
              <w:rPr>
                <w:rFonts w:ascii="宋体" w:hAnsi="宋体"/>
              </w:rPr>
            </w:pPr>
            <w:r>
              <w:rPr>
                <w:rFonts w:ascii="宋体" w:hAnsi="宋体"/>
              </w:rPr>
              <w:t>12,705,236</w:t>
            </w:r>
          </w:p>
        </w:tc>
        <w:tc>
          <w:tcPr>
            <w:tcW w:w="504" w:type="pct"/>
            <w:vAlign w:val="center"/>
          </w:tcPr>
          <w:p>
            <w:pPr>
              <w:jc w:val="right"/>
              <w:rPr>
                <w:rFonts w:ascii="宋体" w:hAnsi="宋体"/>
              </w:rPr>
            </w:pPr>
            <w:r>
              <w:rPr>
                <w:rFonts w:ascii="宋体" w:hAnsi="宋体"/>
              </w:rPr>
              <w:t>248,361</w:t>
            </w:r>
          </w:p>
        </w:tc>
        <w:tc>
          <w:tcPr>
            <w:tcW w:w="504" w:type="pct"/>
            <w:vAlign w:val="center"/>
          </w:tcPr>
          <w:p>
            <w:pPr>
              <w:jc w:val="right"/>
              <w:rPr>
                <w:rFonts w:ascii="宋体" w:hAnsi="宋体"/>
              </w:rPr>
            </w:pPr>
            <w:r>
              <w:rPr>
                <w:rFonts w:ascii="宋体" w:hAnsi="宋体"/>
              </w:rPr>
              <w:t>1,456,643</w:t>
            </w:r>
          </w:p>
        </w:tc>
        <w:tc>
          <w:tcPr>
            <w:tcW w:w="597" w:type="pct"/>
            <w:vAlign w:val="center"/>
          </w:tcPr>
          <w:p>
            <w:pPr>
              <w:jc w:val="right"/>
              <w:rPr>
                <w:rFonts w:ascii="宋体" w:hAnsi="宋体"/>
              </w:rPr>
            </w:pPr>
            <w:r>
              <w:rPr>
                <w:rFonts w:ascii="宋体" w:hAnsi="宋体"/>
              </w:rPr>
              <w:t>20,130,708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（1）购置</w:t>
            </w:r>
          </w:p>
        </w:tc>
        <w:tc>
          <w:tcPr>
            <w:tcW w:w="504" w:type="pct"/>
            <w:vAlign w:val="center"/>
          </w:tcPr>
          <w:p>
            <w:pPr>
              <w:jc w:val="right"/>
              <w:rPr>
                <w:rFonts w:ascii="宋体" w:hAnsi="宋体"/>
              </w:rPr>
            </w:pPr>
          </w:p>
        </w:tc>
        <w:tc>
          <w:tcPr>
            <w:tcW w:w="551" w:type="pct"/>
            <w:vAlign w:val="center"/>
          </w:tcPr>
          <w:p>
            <w:pPr>
              <w:jc w:val="right"/>
              <w:rPr>
                <w:rFonts w:ascii="宋体" w:hAnsi="宋体"/>
              </w:rPr>
            </w:pPr>
            <w:r>
              <w:rPr>
                <w:rFonts w:ascii="宋体" w:hAnsi="宋体"/>
              </w:rPr>
              <w:t>16,224</w:t>
            </w:r>
          </w:p>
        </w:tc>
        <w:tc>
          <w:tcPr>
            <w:tcW w:w="551" w:type="pct"/>
            <w:vAlign w:val="center"/>
          </w:tcPr>
          <w:p>
            <w:pPr>
              <w:jc w:val="right"/>
              <w:rPr>
                <w:rFonts w:ascii="宋体" w:hAnsi="宋体"/>
              </w:rPr>
            </w:pPr>
            <w:r>
              <w:rPr>
                <w:rFonts w:ascii="宋体" w:hAnsi="宋体"/>
              </w:rPr>
              <w:t>29,760</w:t>
            </w:r>
          </w:p>
        </w:tc>
        <w:tc>
          <w:tcPr>
            <w:tcW w:w="551" w:type="pct"/>
            <w:vAlign w:val="center"/>
          </w:tcPr>
          <w:p>
            <w:pPr>
              <w:jc w:val="right"/>
              <w:rPr>
                <w:rFonts w:ascii="宋体" w:hAnsi="宋体"/>
              </w:rPr>
            </w:pPr>
            <w:r>
              <w:rPr>
                <w:rFonts w:ascii="宋体" w:hAnsi="宋体"/>
              </w:rPr>
              <w:t>138,965</w:t>
            </w:r>
          </w:p>
        </w:tc>
        <w:tc>
          <w:tcPr>
            <w:tcW w:w="598" w:type="pct"/>
            <w:vAlign w:val="center"/>
          </w:tcPr>
          <w:p>
            <w:pPr>
              <w:jc w:val="right"/>
              <w:rPr>
                <w:rFonts w:ascii="宋体" w:hAnsi="宋体"/>
              </w:rPr>
            </w:pPr>
            <w:r>
              <w:rPr>
                <w:rFonts w:ascii="宋体" w:hAnsi="宋体"/>
              </w:rPr>
              <w:t>2,404,950</w:t>
            </w:r>
          </w:p>
        </w:tc>
        <w:tc>
          <w:tcPr>
            <w:tcW w:w="504" w:type="pct"/>
            <w:vAlign w:val="center"/>
          </w:tcPr>
          <w:p>
            <w:pPr>
              <w:jc w:val="right"/>
              <w:rPr>
                <w:rFonts w:ascii="宋体" w:hAnsi="宋体"/>
              </w:rPr>
            </w:pPr>
            <w:r>
              <w:rPr>
                <w:rFonts w:ascii="宋体" w:hAnsi="宋体"/>
              </w:rPr>
              <w:t>128,037</w:t>
            </w:r>
          </w:p>
        </w:tc>
        <w:tc>
          <w:tcPr>
            <w:tcW w:w="504" w:type="pct"/>
            <w:vAlign w:val="center"/>
          </w:tcPr>
          <w:p>
            <w:pPr>
              <w:jc w:val="right"/>
              <w:rPr>
                <w:rFonts w:ascii="宋体" w:hAnsi="宋体"/>
              </w:rPr>
            </w:pPr>
            <w:r>
              <w:rPr>
                <w:rFonts w:ascii="宋体" w:hAnsi="宋体"/>
              </w:rPr>
              <w:t>194,388</w:t>
            </w:r>
          </w:p>
        </w:tc>
        <w:tc>
          <w:tcPr>
            <w:tcW w:w="597" w:type="pct"/>
            <w:vAlign w:val="center"/>
          </w:tcPr>
          <w:p>
            <w:pPr>
              <w:jc w:val="right"/>
              <w:rPr>
                <w:rFonts w:ascii="宋体" w:hAnsi="宋体"/>
              </w:rPr>
            </w:pPr>
            <w:r>
              <w:rPr>
                <w:rFonts w:ascii="宋体" w:hAnsi="宋体"/>
              </w:rPr>
              <w:t>2,912,324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（2）在建工程转入</w:t>
            </w:r>
          </w:p>
        </w:tc>
        <w:tc>
          <w:tcPr>
            <w:tcW w:w="504" w:type="pct"/>
            <w:vAlign w:val="center"/>
          </w:tcPr>
          <w:p>
            <w:pPr>
              <w:jc w:val="right"/>
              <w:rPr>
                <w:rFonts w:ascii="宋体" w:hAnsi="宋体"/>
              </w:rPr>
            </w:pPr>
            <w:r>
              <w:rPr>
                <w:rFonts w:ascii="宋体" w:hAnsi="宋体"/>
              </w:rPr>
              <w:t>939</w:t>
            </w:r>
          </w:p>
        </w:tc>
        <w:tc>
          <w:tcPr>
            <w:tcW w:w="551" w:type="pct"/>
            <w:vAlign w:val="center"/>
          </w:tcPr>
          <w:p>
            <w:pPr>
              <w:jc w:val="right"/>
              <w:rPr>
                <w:rFonts w:ascii="宋体" w:hAnsi="宋体"/>
              </w:rPr>
            </w:pPr>
            <w:r>
              <w:rPr>
                <w:rFonts w:ascii="宋体" w:hAnsi="宋体"/>
              </w:rPr>
              <w:t>843,632</w:t>
            </w:r>
          </w:p>
        </w:tc>
        <w:tc>
          <w:tcPr>
            <w:tcW w:w="551" w:type="pct"/>
            <w:vAlign w:val="center"/>
          </w:tcPr>
          <w:p>
            <w:pPr>
              <w:jc w:val="right"/>
              <w:rPr>
                <w:rFonts w:ascii="宋体" w:hAnsi="宋体"/>
              </w:rPr>
            </w:pPr>
            <w:r>
              <w:rPr>
                <w:rFonts w:ascii="宋体" w:hAnsi="宋体"/>
              </w:rPr>
              <w:t>1,024,295</w:t>
            </w:r>
          </w:p>
        </w:tc>
        <w:tc>
          <w:tcPr>
            <w:tcW w:w="551" w:type="pct"/>
            <w:vAlign w:val="center"/>
          </w:tcPr>
          <w:p>
            <w:pPr>
              <w:jc w:val="right"/>
              <w:rPr>
                <w:rFonts w:ascii="宋体" w:hAnsi="宋体"/>
              </w:rPr>
            </w:pPr>
            <w:r>
              <w:rPr>
                <w:rFonts w:ascii="宋体" w:hAnsi="宋体"/>
              </w:rPr>
              <w:t>1,070,832</w:t>
            </w:r>
          </w:p>
        </w:tc>
        <w:tc>
          <w:tcPr>
            <w:tcW w:w="598" w:type="pct"/>
            <w:vAlign w:val="center"/>
          </w:tcPr>
          <w:p>
            <w:pPr>
              <w:jc w:val="right"/>
              <w:rPr>
                <w:rFonts w:ascii="宋体" w:hAnsi="宋体"/>
              </w:rPr>
            </w:pPr>
            <w:r>
              <w:rPr>
                <w:rFonts w:ascii="宋体" w:hAnsi="宋体"/>
              </w:rPr>
              <w:t>6,713,521</w:t>
            </w:r>
          </w:p>
        </w:tc>
        <w:tc>
          <w:tcPr>
            <w:tcW w:w="504" w:type="pct"/>
            <w:vAlign w:val="center"/>
          </w:tcPr>
          <w:p>
            <w:pPr>
              <w:jc w:val="right"/>
              <w:rPr>
                <w:rFonts w:ascii="宋体" w:hAnsi="宋体"/>
              </w:rPr>
            </w:pPr>
            <w:r>
              <w:rPr>
                <w:rFonts w:ascii="宋体" w:hAnsi="宋体"/>
              </w:rPr>
              <w:t>22,824</w:t>
            </w:r>
          </w:p>
        </w:tc>
        <w:tc>
          <w:tcPr>
            <w:tcW w:w="504" w:type="pct"/>
            <w:vAlign w:val="center"/>
          </w:tcPr>
          <w:p>
            <w:pPr>
              <w:jc w:val="right"/>
              <w:rPr>
                <w:rFonts w:ascii="宋体" w:hAnsi="宋体"/>
              </w:rPr>
            </w:pPr>
            <w:r>
              <w:rPr>
                <w:rFonts w:ascii="宋体" w:hAnsi="宋体"/>
              </w:rPr>
              <w:t>428,318</w:t>
            </w:r>
          </w:p>
        </w:tc>
        <w:tc>
          <w:tcPr>
            <w:tcW w:w="597" w:type="pct"/>
            <w:vAlign w:val="center"/>
          </w:tcPr>
          <w:p>
            <w:pPr>
              <w:jc w:val="right"/>
              <w:rPr>
                <w:rFonts w:ascii="宋体" w:hAnsi="宋体"/>
              </w:rPr>
            </w:pPr>
            <w:r>
              <w:rPr>
                <w:rFonts w:ascii="宋体" w:hAnsi="宋体"/>
              </w:rPr>
              <w:t>10,104,361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（3）重分类转入</w:t>
            </w:r>
          </w:p>
        </w:tc>
        <w:tc>
          <w:tcPr>
            <w:tcW w:w="504" w:type="pct"/>
            <w:vAlign w:val="center"/>
          </w:tcPr>
          <w:p>
            <w:pPr>
              <w:jc w:val="right"/>
              <w:rPr>
                <w:rFonts w:ascii="宋体" w:hAnsi="宋体"/>
              </w:rPr>
            </w:pPr>
          </w:p>
        </w:tc>
        <w:tc>
          <w:tcPr>
            <w:tcW w:w="551" w:type="pct"/>
            <w:vAlign w:val="center"/>
          </w:tcPr>
          <w:p>
            <w:pPr>
              <w:jc w:val="right"/>
              <w:rPr>
                <w:rFonts w:ascii="宋体" w:hAnsi="宋体"/>
              </w:rPr>
            </w:pPr>
            <w:r>
              <w:rPr>
                <w:rFonts w:ascii="宋体" w:hAnsi="宋体"/>
              </w:rPr>
              <w:t>180,997</w:t>
            </w:r>
          </w:p>
        </w:tc>
        <w:tc>
          <w:tcPr>
            <w:tcW w:w="551" w:type="pct"/>
            <w:vAlign w:val="center"/>
          </w:tcPr>
          <w:p>
            <w:pPr>
              <w:jc w:val="right"/>
              <w:rPr>
                <w:rFonts w:ascii="宋体" w:hAnsi="宋体"/>
              </w:rPr>
            </w:pPr>
            <w:r>
              <w:rPr>
                <w:rFonts w:ascii="宋体" w:hAnsi="宋体"/>
              </w:rPr>
              <w:t>209,947</w:t>
            </w:r>
          </w:p>
        </w:tc>
        <w:tc>
          <w:tcPr>
            <w:tcW w:w="551" w:type="pct"/>
            <w:vAlign w:val="center"/>
          </w:tcPr>
          <w:p>
            <w:pPr>
              <w:jc w:val="right"/>
              <w:rPr>
                <w:rFonts w:ascii="宋体" w:hAnsi="宋体"/>
              </w:rPr>
            </w:pPr>
            <w:r>
              <w:rPr>
                <w:rFonts w:ascii="宋体" w:hAnsi="宋体"/>
              </w:rPr>
              <w:t>941,856</w:t>
            </w:r>
          </w:p>
        </w:tc>
        <w:tc>
          <w:tcPr>
            <w:tcW w:w="598" w:type="pct"/>
            <w:vAlign w:val="center"/>
          </w:tcPr>
          <w:p>
            <w:pPr>
              <w:jc w:val="right"/>
              <w:rPr>
                <w:rFonts w:ascii="宋体" w:hAnsi="宋体"/>
              </w:rPr>
            </w:pPr>
            <w:r>
              <w:rPr>
                <w:rFonts w:ascii="宋体" w:hAnsi="宋体"/>
              </w:rPr>
              <w:t>2,917,135</w:t>
            </w:r>
          </w:p>
        </w:tc>
        <w:tc>
          <w:tcPr>
            <w:tcW w:w="504" w:type="pct"/>
            <w:vAlign w:val="center"/>
          </w:tcPr>
          <w:p>
            <w:pPr>
              <w:jc w:val="right"/>
              <w:rPr>
                <w:rFonts w:ascii="宋体" w:hAnsi="宋体"/>
              </w:rPr>
            </w:pPr>
            <w:r>
              <w:rPr>
                <w:rFonts w:ascii="宋体" w:hAnsi="宋体"/>
              </w:rPr>
              <w:t>97,500</w:t>
            </w:r>
          </w:p>
        </w:tc>
        <w:tc>
          <w:tcPr>
            <w:tcW w:w="504" w:type="pct"/>
            <w:vAlign w:val="center"/>
          </w:tcPr>
          <w:p>
            <w:pPr>
              <w:jc w:val="right"/>
              <w:rPr>
                <w:rFonts w:ascii="宋体" w:hAnsi="宋体"/>
              </w:rPr>
            </w:pPr>
            <w:r>
              <w:rPr>
                <w:rFonts w:ascii="宋体" w:hAnsi="宋体"/>
              </w:rPr>
              <w:t>833,937</w:t>
            </w:r>
          </w:p>
        </w:tc>
        <w:tc>
          <w:tcPr>
            <w:tcW w:w="597" w:type="pct"/>
            <w:vAlign w:val="center"/>
          </w:tcPr>
          <w:p>
            <w:pPr>
              <w:jc w:val="right"/>
              <w:rPr>
                <w:rFonts w:ascii="宋体" w:hAnsi="宋体"/>
              </w:rPr>
            </w:pPr>
            <w:r>
              <w:rPr>
                <w:rFonts w:ascii="宋体" w:hAnsi="宋体"/>
              </w:rPr>
              <w:t>5,181,372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（4）其他增加</w:t>
            </w:r>
          </w:p>
        </w:tc>
        <w:tc>
          <w:tcPr>
            <w:tcW w:w="504" w:type="pct"/>
            <w:vAlign w:val="center"/>
          </w:tcPr>
          <w:p>
            <w:pPr>
              <w:jc w:val="right"/>
              <w:rPr>
                <w:rFonts w:ascii="宋体" w:hAnsi="宋体"/>
              </w:rPr>
            </w:pPr>
          </w:p>
        </w:tc>
        <w:tc>
          <w:tcPr>
            <w:tcW w:w="551" w:type="pct"/>
            <w:vAlign w:val="center"/>
          </w:tcPr>
          <w:p>
            <w:pPr>
              <w:jc w:val="right"/>
              <w:rPr>
                <w:rFonts w:ascii="宋体" w:hAnsi="宋体"/>
              </w:rPr>
            </w:pPr>
            <w:r>
              <w:rPr>
                <w:rFonts w:ascii="宋体" w:hAnsi="宋体"/>
              </w:rPr>
              <w:t>944,940</w:t>
            </w:r>
          </w:p>
        </w:tc>
        <w:tc>
          <w:tcPr>
            <w:tcW w:w="551" w:type="pct"/>
            <w:vAlign w:val="center"/>
          </w:tcPr>
          <w:p>
            <w:pPr>
              <w:jc w:val="right"/>
              <w:rPr>
                <w:rFonts w:ascii="宋体" w:hAnsi="宋体"/>
              </w:rPr>
            </w:pPr>
            <w:r>
              <w:rPr>
                <w:rFonts w:ascii="宋体" w:hAnsi="宋体"/>
              </w:rPr>
              <w:t>318,081</w:t>
            </w:r>
          </w:p>
        </w:tc>
        <w:tc>
          <w:tcPr>
            <w:tcW w:w="551" w:type="pct"/>
            <w:vAlign w:val="center"/>
          </w:tcPr>
          <w:p>
            <w:pPr>
              <w:jc w:val="right"/>
              <w:rPr>
                <w:rFonts w:ascii="宋体" w:hAnsi="宋体"/>
              </w:rPr>
            </w:pPr>
          </w:p>
        </w:tc>
        <w:tc>
          <w:tcPr>
            <w:tcW w:w="598" w:type="pct"/>
            <w:vAlign w:val="center"/>
          </w:tcPr>
          <w:p>
            <w:pPr>
              <w:jc w:val="right"/>
              <w:rPr>
                <w:rFonts w:ascii="宋体" w:hAnsi="宋体"/>
              </w:rPr>
            </w:pPr>
            <w:r>
              <w:rPr>
                <w:rFonts w:ascii="宋体" w:hAnsi="宋体"/>
              </w:rPr>
              <w:t>669,630</w:t>
            </w:r>
          </w:p>
        </w:tc>
        <w:tc>
          <w:tcPr>
            <w:tcW w:w="504" w:type="pct"/>
            <w:vAlign w:val="center"/>
          </w:tcPr>
          <w:p>
            <w:pPr>
              <w:jc w:val="right"/>
              <w:rPr>
                <w:rFonts w:ascii="宋体" w:hAnsi="宋体"/>
              </w:rPr>
            </w:pPr>
          </w:p>
        </w:tc>
        <w:tc>
          <w:tcPr>
            <w:tcW w:w="504" w:type="pct"/>
            <w:vAlign w:val="center"/>
          </w:tcPr>
          <w:p>
            <w:pPr>
              <w:jc w:val="right"/>
              <w:rPr>
                <w:rFonts w:ascii="宋体" w:hAnsi="宋体"/>
              </w:rPr>
            </w:pPr>
          </w:p>
        </w:tc>
        <w:tc>
          <w:tcPr>
            <w:tcW w:w="597" w:type="pct"/>
            <w:vAlign w:val="center"/>
          </w:tcPr>
          <w:p>
            <w:pPr>
              <w:jc w:val="right"/>
              <w:rPr>
                <w:rFonts w:ascii="宋体" w:hAnsi="宋体"/>
              </w:rPr>
            </w:pPr>
            <w:r>
              <w:rPr>
                <w:rFonts w:ascii="宋体" w:hAnsi="宋体"/>
              </w:rPr>
              <w:t>1,932,651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4" w:firstLineChars="202"/>
              <w:rPr>
                <w:rFonts w:ascii="宋体" w:hAnsi="宋体"/>
              </w:rPr>
            </w:pPr>
            <w:r>
              <w:rPr>
                <w:rFonts w:hint="eastAsia" w:ascii="宋体" w:hAnsi="宋体"/>
              </w:rPr>
              <w:t>3.本期减少金额</w:t>
            </w:r>
          </w:p>
        </w:tc>
        <w:tc>
          <w:tcPr>
            <w:tcW w:w="504" w:type="pct"/>
            <w:vAlign w:val="center"/>
          </w:tcPr>
          <w:p>
            <w:pPr>
              <w:jc w:val="right"/>
              <w:rPr>
                <w:rFonts w:ascii="宋体" w:hAnsi="宋体"/>
              </w:rPr>
            </w:pPr>
            <w:r>
              <w:rPr>
                <w:rFonts w:ascii="宋体" w:hAnsi="宋体"/>
              </w:rPr>
              <w:t>4,001</w:t>
            </w:r>
          </w:p>
        </w:tc>
        <w:tc>
          <w:tcPr>
            <w:tcW w:w="551" w:type="pct"/>
            <w:vAlign w:val="center"/>
          </w:tcPr>
          <w:p>
            <w:pPr>
              <w:jc w:val="right"/>
              <w:rPr>
                <w:rFonts w:ascii="宋体" w:hAnsi="宋体"/>
              </w:rPr>
            </w:pPr>
            <w:r>
              <w:rPr>
                <w:rFonts w:ascii="宋体" w:hAnsi="宋体"/>
              </w:rPr>
              <w:t>1,386,873</w:t>
            </w:r>
          </w:p>
        </w:tc>
        <w:tc>
          <w:tcPr>
            <w:tcW w:w="551" w:type="pct"/>
            <w:vAlign w:val="center"/>
          </w:tcPr>
          <w:p>
            <w:pPr>
              <w:jc w:val="right"/>
              <w:rPr>
                <w:rFonts w:ascii="宋体" w:hAnsi="宋体"/>
              </w:rPr>
            </w:pPr>
            <w:r>
              <w:rPr>
                <w:rFonts w:ascii="宋体" w:hAnsi="宋体"/>
              </w:rPr>
              <w:t>1,644,203</w:t>
            </w:r>
          </w:p>
        </w:tc>
        <w:tc>
          <w:tcPr>
            <w:tcW w:w="551" w:type="pct"/>
            <w:vAlign w:val="center"/>
          </w:tcPr>
          <w:p>
            <w:pPr>
              <w:jc w:val="right"/>
              <w:rPr>
                <w:rFonts w:ascii="宋体" w:hAnsi="宋体"/>
              </w:rPr>
            </w:pPr>
            <w:r>
              <w:rPr>
                <w:rFonts w:ascii="宋体" w:hAnsi="宋体"/>
              </w:rPr>
              <w:t>396,051</w:t>
            </w:r>
          </w:p>
        </w:tc>
        <w:tc>
          <w:tcPr>
            <w:tcW w:w="598" w:type="pct"/>
            <w:vAlign w:val="center"/>
          </w:tcPr>
          <w:p>
            <w:pPr>
              <w:jc w:val="right"/>
              <w:rPr>
                <w:rFonts w:ascii="宋体" w:hAnsi="宋体"/>
              </w:rPr>
            </w:pPr>
            <w:r>
              <w:rPr>
                <w:rFonts w:ascii="宋体" w:hAnsi="宋体"/>
              </w:rPr>
              <w:t>5,706,723</w:t>
            </w:r>
          </w:p>
        </w:tc>
        <w:tc>
          <w:tcPr>
            <w:tcW w:w="504" w:type="pct"/>
            <w:vAlign w:val="center"/>
          </w:tcPr>
          <w:p>
            <w:pPr>
              <w:jc w:val="right"/>
              <w:rPr>
                <w:rFonts w:ascii="宋体" w:hAnsi="宋体"/>
              </w:rPr>
            </w:pPr>
            <w:r>
              <w:rPr>
                <w:rFonts w:ascii="宋体" w:hAnsi="宋体"/>
              </w:rPr>
              <w:t>84,562</w:t>
            </w:r>
          </w:p>
        </w:tc>
        <w:tc>
          <w:tcPr>
            <w:tcW w:w="504" w:type="pct"/>
            <w:vAlign w:val="center"/>
          </w:tcPr>
          <w:p>
            <w:pPr>
              <w:jc w:val="right"/>
              <w:rPr>
                <w:rFonts w:ascii="宋体" w:hAnsi="宋体"/>
              </w:rPr>
            </w:pPr>
            <w:r>
              <w:rPr>
                <w:rFonts w:ascii="宋体" w:hAnsi="宋体"/>
              </w:rPr>
              <w:t>1,760,318</w:t>
            </w:r>
          </w:p>
        </w:tc>
        <w:tc>
          <w:tcPr>
            <w:tcW w:w="597" w:type="pct"/>
            <w:vAlign w:val="center"/>
          </w:tcPr>
          <w:p>
            <w:pPr>
              <w:jc w:val="right"/>
              <w:rPr>
                <w:rFonts w:ascii="宋体" w:hAnsi="宋体"/>
              </w:rPr>
            </w:pPr>
            <w:r>
              <w:rPr>
                <w:rFonts w:ascii="宋体" w:hAnsi="宋体"/>
              </w:rPr>
              <w:t>10,982,731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（1）处置或报废</w:t>
            </w:r>
          </w:p>
        </w:tc>
        <w:tc>
          <w:tcPr>
            <w:tcW w:w="504" w:type="pct"/>
            <w:vAlign w:val="center"/>
          </w:tcPr>
          <w:p>
            <w:pPr>
              <w:jc w:val="right"/>
              <w:rPr>
                <w:rFonts w:ascii="宋体" w:hAnsi="宋体"/>
              </w:rPr>
            </w:pPr>
            <w:r>
              <w:rPr>
                <w:rFonts w:ascii="宋体" w:hAnsi="宋体"/>
              </w:rPr>
              <w:t>4,001</w:t>
            </w:r>
          </w:p>
        </w:tc>
        <w:tc>
          <w:tcPr>
            <w:tcW w:w="551" w:type="pct"/>
            <w:vAlign w:val="center"/>
          </w:tcPr>
          <w:p>
            <w:pPr>
              <w:jc w:val="right"/>
              <w:rPr>
                <w:rFonts w:ascii="宋体" w:hAnsi="宋体"/>
              </w:rPr>
            </w:pPr>
            <w:r>
              <w:rPr>
                <w:rFonts w:ascii="宋体" w:hAnsi="宋体"/>
              </w:rPr>
              <w:t>241,999</w:t>
            </w:r>
          </w:p>
        </w:tc>
        <w:tc>
          <w:tcPr>
            <w:tcW w:w="551" w:type="pct"/>
            <w:vAlign w:val="center"/>
          </w:tcPr>
          <w:p>
            <w:pPr>
              <w:jc w:val="right"/>
              <w:rPr>
                <w:rFonts w:ascii="宋体" w:hAnsi="宋体"/>
              </w:rPr>
            </w:pPr>
            <w:r>
              <w:rPr>
                <w:rFonts w:ascii="宋体" w:hAnsi="宋体"/>
              </w:rPr>
              <w:t>117,275</w:t>
            </w:r>
          </w:p>
        </w:tc>
        <w:tc>
          <w:tcPr>
            <w:tcW w:w="551" w:type="pct"/>
            <w:vAlign w:val="center"/>
          </w:tcPr>
          <w:p>
            <w:pPr>
              <w:jc w:val="right"/>
              <w:rPr>
                <w:rFonts w:ascii="宋体" w:hAnsi="宋体"/>
              </w:rPr>
            </w:pPr>
            <w:r>
              <w:rPr>
                <w:rFonts w:ascii="宋体" w:hAnsi="宋体"/>
              </w:rPr>
              <w:t>160,005</w:t>
            </w:r>
          </w:p>
        </w:tc>
        <w:tc>
          <w:tcPr>
            <w:tcW w:w="598" w:type="pct"/>
            <w:vAlign w:val="center"/>
          </w:tcPr>
          <w:p>
            <w:pPr>
              <w:jc w:val="right"/>
              <w:rPr>
                <w:rFonts w:ascii="宋体" w:hAnsi="宋体"/>
              </w:rPr>
            </w:pPr>
            <w:r>
              <w:rPr>
                <w:rFonts w:ascii="宋体" w:hAnsi="宋体"/>
              </w:rPr>
              <w:t>3,617,432</w:t>
            </w:r>
          </w:p>
        </w:tc>
        <w:tc>
          <w:tcPr>
            <w:tcW w:w="504" w:type="pct"/>
            <w:vAlign w:val="center"/>
          </w:tcPr>
          <w:p>
            <w:pPr>
              <w:jc w:val="right"/>
              <w:rPr>
                <w:rFonts w:ascii="宋体" w:hAnsi="宋体"/>
              </w:rPr>
            </w:pPr>
            <w:r>
              <w:rPr>
                <w:rFonts w:ascii="宋体" w:hAnsi="宋体"/>
              </w:rPr>
              <w:t>30,550</w:t>
            </w:r>
          </w:p>
        </w:tc>
        <w:tc>
          <w:tcPr>
            <w:tcW w:w="504" w:type="pct"/>
            <w:vAlign w:val="center"/>
          </w:tcPr>
          <w:p>
            <w:pPr>
              <w:jc w:val="right"/>
              <w:rPr>
                <w:rFonts w:ascii="宋体" w:hAnsi="宋体"/>
              </w:rPr>
            </w:pPr>
            <w:r>
              <w:rPr>
                <w:rFonts w:ascii="宋体" w:hAnsi="宋体"/>
              </w:rPr>
              <w:t>93,908</w:t>
            </w:r>
          </w:p>
        </w:tc>
        <w:tc>
          <w:tcPr>
            <w:tcW w:w="597" w:type="pct"/>
            <w:vAlign w:val="center"/>
          </w:tcPr>
          <w:p>
            <w:pPr>
              <w:jc w:val="right"/>
              <w:rPr>
                <w:rFonts w:ascii="宋体" w:hAnsi="宋体"/>
              </w:rPr>
            </w:pPr>
            <w:r>
              <w:rPr>
                <w:rFonts w:ascii="宋体" w:hAnsi="宋体"/>
              </w:rPr>
              <w:t>4,265,170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vAlign w:val="center"/>
          </w:tcPr>
          <w:p>
            <w:pPr>
              <w:ind w:firstLine="630" w:firstLineChars="300"/>
              <w:rPr>
                <w:rFonts w:ascii="宋体" w:hAnsi="宋体"/>
              </w:rPr>
            </w:pPr>
            <w:r>
              <w:rPr>
                <w:rFonts w:hint="eastAsia" w:ascii="宋体" w:hAnsi="宋体"/>
              </w:rPr>
              <w:t>（2）重分类转出</w:t>
            </w:r>
          </w:p>
        </w:tc>
        <w:tc>
          <w:tcPr>
            <w:tcW w:w="504" w:type="pct"/>
            <w:vAlign w:val="center"/>
          </w:tcPr>
          <w:p>
            <w:pPr>
              <w:jc w:val="right"/>
              <w:rPr>
                <w:rFonts w:ascii="宋体" w:hAnsi="宋体"/>
              </w:rPr>
            </w:pPr>
          </w:p>
        </w:tc>
        <w:tc>
          <w:tcPr>
            <w:tcW w:w="551" w:type="pct"/>
            <w:vAlign w:val="center"/>
          </w:tcPr>
          <w:p>
            <w:pPr>
              <w:jc w:val="right"/>
              <w:rPr>
                <w:rFonts w:ascii="宋体" w:hAnsi="宋体"/>
              </w:rPr>
            </w:pPr>
            <w:r>
              <w:rPr>
                <w:rFonts w:ascii="宋体" w:hAnsi="宋体"/>
              </w:rPr>
              <w:t>1,092,240</w:t>
            </w:r>
          </w:p>
        </w:tc>
        <w:tc>
          <w:tcPr>
            <w:tcW w:w="551" w:type="pct"/>
            <w:vAlign w:val="center"/>
          </w:tcPr>
          <w:p>
            <w:pPr>
              <w:jc w:val="right"/>
              <w:rPr>
                <w:rFonts w:ascii="宋体" w:hAnsi="宋体"/>
              </w:rPr>
            </w:pPr>
            <w:r>
              <w:rPr>
                <w:rFonts w:ascii="宋体" w:hAnsi="宋体"/>
              </w:rPr>
              <w:t>43,849</w:t>
            </w:r>
          </w:p>
        </w:tc>
        <w:tc>
          <w:tcPr>
            <w:tcW w:w="551" w:type="pct"/>
            <w:vAlign w:val="center"/>
          </w:tcPr>
          <w:p>
            <w:pPr>
              <w:jc w:val="right"/>
              <w:rPr>
                <w:rFonts w:ascii="宋体" w:hAnsi="宋体"/>
              </w:rPr>
            </w:pPr>
            <w:r>
              <w:rPr>
                <w:rFonts w:ascii="宋体" w:hAnsi="宋体"/>
              </w:rPr>
              <w:t>236,046</w:t>
            </w:r>
          </w:p>
        </w:tc>
        <w:tc>
          <w:tcPr>
            <w:tcW w:w="598" w:type="pct"/>
            <w:vAlign w:val="center"/>
          </w:tcPr>
          <w:p>
            <w:pPr>
              <w:jc w:val="right"/>
              <w:rPr>
                <w:rFonts w:ascii="宋体" w:hAnsi="宋体"/>
              </w:rPr>
            </w:pPr>
            <w:r>
              <w:rPr>
                <w:rFonts w:ascii="宋体" w:hAnsi="宋体"/>
              </w:rPr>
              <w:t>2,088,815</w:t>
            </w:r>
          </w:p>
        </w:tc>
        <w:tc>
          <w:tcPr>
            <w:tcW w:w="504" w:type="pct"/>
            <w:vAlign w:val="center"/>
          </w:tcPr>
          <w:p>
            <w:pPr>
              <w:jc w:val="right"/>
              <w:rPr>
                <w:rFonts w:ascii="宋体" w:hAnsi="宋体"/>
              </w:rPr>
            </w:pPr>
            <w:r>
              <w:rPr>
                <w:rFonts w:ascii="宋体" w:hAnsi="宋体"/>
              </w:rPr>
              <w:t>54,012</w:t>
            </w:r>
          </w:p>
        </w:tc>
        <w:tc>
          <w:tcPr>
            <w:tcW w:w="504" w:type="pct"/>
            <w:vAlign w:val="center"/>
          </w:tcPr>
          <w:p>
            <w:pPr>
              <w:jc w:val="right"/>
              <w:rPr>
                <w:rFonts w:ascii="宋体" w:hAnsi="宋体"/>
              </w:rPr>
            </w:pPr>
            <w:r>
              <w:rPr>
                <w:rFonts w:ascii="宋体" w:hAnsi="宋体"/>
              </w:rPr>
              <w:t>1,666,410</w:t>
            </w:r>
          </w:p>
        </w:tc>
        <w:tc>
          <w:tcPr>
            <w:tcW w:w="597" w:type="pct"/>
            <w:vAlign w:val="center"/>
          </w:tcPr>
          <w:p>
            <w:pPr>
              <w:jc w:val="right"/>
              <w:rPr>
                <w:rFonts w:ascii="宋体" w:hAnsi="宋体"/>
              </w:rPr>
            </w:pPr>
            <w:r>
              <w:rPr>
                <w:rFonts w:ascii="宋体" w:hAnsi="宋体"/>
              </w:rPr>
              <w:t>5,181,372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vAlign w:val="center"/>
          </w:tcPr>
          <w:p>
            <w:pPr>
              <w:ind w:firstLine="630" w:firstLineChars="300"/>
              <w:rPr>
                <w:rFonts w:ascii="宋体" w:hAnsi="宋体"/>
              </w:rPr>
            </w:pPr>
            <w:r>
              <w:rPr>
                <w:rFonts w:hint="eastAsia" w:ascii="宋体" w:hAnsi="宋体"/>
              </w:rPr>
              <w:t xml:space="preserve">（3）其他减少  </w:t>
            </w:r>
          </w:p>
        </w:tc>
        <w:tc>
          <w:tcPr>
            <w:tcW w:w="504" w:type="pct"/>
            <w:vAlign w:val="center"/>
          </w:tcPr>
          <w:p>
            <w:pPr>
              <w:jc w:val="right"/>
              <w:rPr>
                <w:rFonts w:ascii="宋体" w:hAnsi="宋体"/>
              </w:rPr>
            </w:pPr>
          </w:p>
        </w:tc>
        <w:tc>
          <w:tcPr>
            <w:tcW w:w="551" w:type="pct"/>
            <w:vAlign w:val="center"/>
          </w:tcPr>
          <w:p>
            <w:pPr>
              <w:jc w:val="right"/>
              <w:rPr>
                <w:rFonts w:ascii="宋体" w:hAnsi="宋体"/>
              </w:rPr>
            </w:pPr>
          </w:p>
        </w:tc>
        <w:tc>
          <w:tcPr>
            <w:tcW w:w="551" w:type="pct"/>
            <w:vAlign w:val="center"/>
          </w:tcPr>
          <w:p>
            <w:pPr>
              <w:jc w:val="right"/>
              <w:rPr>
                <w:rFonts w:ascii="宋体" w:hAnsi="宋体"/>
              </w:rPr>
            </w:pPr>
            <w:r>
              <w:rPr>
                <w:rFonts w:ascii="宋体" w:hAnsi="宋体"/>
              </w:rPr>
              <w:t>1,483,079</w:t>
            </w:r>
          </w:p>
        </w:tc>
        <w:tc>
          <w:tcPr>
            <w:tcW w:w="551" w:type="pct"/>
            <w:vAlign w:val="center"/>
          </w:tcPr>
          <w:p>
            <w:pPr>
              <w:jc w:val="right"/>
              <w:rPr>
                <w:rFonts w:ascii="宋体" w:hAnsi="宋体"/>
              </w:rPr>
            </w:pPr>
          </w:p>
        </w:tc>
        <w:tc>
          <w:tcPr>
            <w:tcW w:w="598" w:type="pct"/>
            <w:vAlign w:val="center"/>
          </w:tcPr>
          <w:p>
            <w:pPr>
              <w:jc w:val="right"/>
              <w:rPr>
                <w:rFonts w:ascii="宋体" w:hAnsi="宋体"/>
              </w:rPr>
            </w:pPr>
            <w:r>
              <w:rPr>
                <w:rFonts w:ascii="宋体" w:hAnsi="宋体"/>
              </w:rPr>
              <w:t>476</w:t>
            </w:r>
          </w:p>
        </w:tc>
        <w:tc>
          <w:tcPr>
            <w:tcW w:w="504" w:type="pct"/>
            <w:vAlign w:val="center"/>
          </w:tcPr>
          <w:p>
            <w:pPr>
              <w:jc w:val="right"/>
              <w:rPr>
                <w:rFonts w:ascii="宋体" w:hAnsi="宋体"/>
              </w:rPr>
            </w:pPr>
          </w:p>
        </w:tc>
        <w:tc>
          <w:tcPr>
            <w:tcW w:w="504" w:type="pct"/>
            <w:vAlign w:val="center"/>
          </w:tcPr>
          <w:p>
            <w:pPr>
              <w:jc w:val="right"/>
              <w:rPr>
                <w:rFonts w:ascii="宋体" w:hAnsi="宋体"/>
              </w:rPr>
            </w:pPr>
          </w:p>
        </w:tc>
        <w:tc>
          <w:tcPr>
            <w:tcW w:w="597" w:type="pct"/>
            <w:vAlign w:val="center"/>
          </w:tcPr>
          <w:p>
            <w:pPr>
              <w:jc w:val="right"/>
              <w:rPr>
                <w:rFonts w:ascii="宋体" w:hAnsi="宋体"/>
              </w:rPr>
            </w:pPr>
            <w:r>
              <w:rPr>
                <w:rFonts w:ascii="宋体" w:hAnsi="宋体"/>
              </w:rPr>
              <w:t>1,483,555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vAlign w:val="center"/>
          </w:tcPr>
          <w:p>
            <w:pPr>
              <w:ind w:firstLine="630" w:firstLineChars="300"/>
              <w:rPr>
                <w:rFonts w:ascii="宋体" w:hAnsi="宋体"/>
              </w:rPr>
            </w:pPr>
            <w:r>
              <w:rPr>
                <w:rFonts w:hint="eastAsia" w:ascii="宋体" w:hAnsi="宋体"/>
              </w:rPr>
              <w:t>（4）转为投资性房地产</w:t>
            </w:r>
          </w:p>
        </w:tc>
        <w:tc>
          <w:tcPr>
            <w:tcW w:w="504" w:type="pct"/>
            <w:vAlign w:val="center"/>
          </w:tcPr>
          <w:p>
            <w:pPr>
              <w:jc w:val="right"/>
              <w:rPr>
                <w:rFonts w:ascii="宋体" w:hAnsi="宋体"/>
              </w:rPr>
            </w:pPr>
          </w:p>
        </w:tc>
        <w:tc>
          <w:tcPr>
            <w:tcW w:w="551" w:type="pct"/>
            <w:vAlign w:val="center"/>
          </w:tcPr>
          <w:p>
            <w:pPr>
              <w:jc w:val="right"/>
              <w:rPr>
                <w:rFonts w:ascii="宋体" w:hAnsi="宋体"/>
              </w:rPr>
            </w:pPr>
            <w:r>
              <w:rPr>
                <w:rFonts w:ascii="宋体" w:hAnsi="宋体"/>
              </w:rPr>
              <w:t>52,634</w:t>
            </w:r>
          </w:p>
        </w:tc>
        <w:tc>
          <w:tcPr>
            <w:tcW w:w="551" w:type="pct"/>
            <w:vAlign w:val="center"/>
          </w:tcPr>
          <w:p>
            <w:pPr>
              <w:jc w:val="right"/>
              <w:rPr>
                <w:rFonts w:ascii="宋体" w:hAnsi="宋体"/>
              </w:rPr>
            </w:pPr>
          </w:p>
        </w:tc>
        <w:tc>
          <w:tcPr>
            <w:tcW w:w="551" w:type="pct"/>
            <w:vAlign w:val="center"/>
          </w:tcPr>
          <w:p>
            <w:pPr>
              <w:jc w:val="right"/>
              <w:rPr>
                <w:rFonts w:ascii="宋体" w:hAnsi="宋体"/>
              </w:rPr>
            </w:pPr>
          </w:p>
        </w:tc>
        <w:tc>
          <w:tcPr>
            <w:tcW w:w="598" w:type="pct"/>
            <w:vAlign w:val="center"/>
          </w:tcPr>
          <w:p>
            <w:pPr>
              <w:jc w:val="right"/>
              <w:rPr>
                <w:rFonts w:ascii="宋体" w:hAnsi="宋体"/>
              </w:rPr>
            </w:pPr>
          </w:p>
        </w:tc>
        <w:tc>
          <w:tcPr>
            <w:tcW w:w="504" w:type="pct"/>
            <w:vAlign w:val="center"/>
          </w:tcPr>
          <w:p>
            <w:pPr>
              <w:jc w:val="right"/>
              <w:rPr>
                <w:rFonts w:ascii="宋体" w:hAnsi="宋体"/>
              </w:rPr>
            </w:pPr>
          </w:p>
        </w:tc>
        <w:tc>
          <w:tcPr>
            <w:tcW w:w="504" w:type="pct"/>
            <w:vAlign w:val="center"/>
          </w:tcPr>
          <w:p>
            <w:pPr>
              <w:jc w:val="right"/>
              <w:rPr>
                <w:rFonts w:ascii="宋体" w:hAnsi="宋体"/>
              </w:rPr>
            </w:pPr>
          </w:p>
        </w:tc>
        <w:tc>
          <w:tcPr>
            <w:tcW w:w="597" w:type="pct"/>
            <w:vAlign w:val="center"/>
          </w:tcPr>
          <w:p>
            <w:pPr>
              <w:jc w:val="right"/>
              <w:rPr>
                <w:rFonts w:ascii="宋体" w:hAnsi="宋体"/>
              </w:rPr>
            </w:pPr>
            <w:r>
              <w:rPr>
                <w:rFonts w:ascii="宋体" w:hAnsi="宋体"/>
              </w:rPr>
              <w:t>52,634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vAlign w:val="center"/>
          </w:tcPr>
          <w:p>
            <w:pPr>
              <w:ind w:firstLine="630" w:firstLineChars="300"/>
              <w:rPr>
                <w:rFonts w:ascii="宋体" w:hAnsi="宋体"/>
              </w:rPr>
            </w:pPr>
            <w:r>
              <w:rPr>
                <w:rFonts w:hint="eastAsia" w:ascii="宋体" w:hAnsi="宋体"/>
              </w:rPr>
              <w:t>4.外币报表折算差额</w:t>
            </w:r>
          </w:p>
        </w:tc>
        <w:tc>
          <w:tcPr>
            <w:tcW w:w="504" w:type="pct"/>
            <w:vAlign w:val="center"/>
          </w:tcPr>
          <w:p>
            <w:pPr>
              <w:jc w:val="right"/>
              <w:rPr>
                <w:rFonts w:ascii="宋体" w:hAnsi="宋体"/>
              </w:rPr>
            </w:pPr>
            <w:r>
              <w:rPr>
                <w:rFonts w:ascii="宋体" w:hAnsi="宋体"/>
              </w:rPr>
              <w:t>41,608</w:t>
            </w:r>
          </w:p>
        </w:tc>
        <w:tc>
          <w:tcPr>
            <w:tcW w:w="551" w:type="pct"/>
            <w:vAlign w:val="center"/>
          </w:tcPr>
          <w:p>
            <w:pPr>
              <w:jc w:val="right"/>
              <w:rPr>
                <w:rFonts w:ascii="宋体" w:hAnsi="宋体"/>
              </w:rPr>
            </w:pPr>
            <w:r>
              <w:rPr>
                <w:rFonts w:ascii="宋体" w:hAnsi="宋体"/>
              </w:rPr>
              <w:t>32,156</w:t>
            </w:r>
          </w:p>
        </w:tc>
        <w:tc>
          <w:tcPr>
            <w:tcW w:w="551" w:type="pct"/>
            <w:vAlign w:val="center"/>
          </w:tcPr>
          <w:p>
            <w:pPr>
              <w:jc w:val="right"/>
              <w:rPr>
                <w:rFonts w:ascii="宋体" w:hAnsi="宋体"/>
              </w:rPr>
            </w:pPr>
            <w:r>
              <w:rPr>
                <w:rFonts w:ascii="宋体" w:hAnsi="宋体"/>
              </w:rPr>
              <w:t>376,279</w:t>
            </w:r>
          </w:p>
        </w:tc>
        <w:tc>
          <w:tcPr>
            <w:tcW w:w="551" w:type="pct"/>
            <w:vAlign w:val="center"/>
          </w:tcPr>
          <w:p>
            <w:pPr>
              <w:jc w:val="right"/>
              <w:rPr>
                <w:rFonts w:ascii="宋体" w:hAnsi="宋体"/>
              </w:rPr>
            </w:pPr>
          </w:p>
        </w:tc>
        <w:tc>
          <w:tcPr>
            <w:tcW w:w="598" w:type="pct"/>
            <w:vAlign w:val="center"/>
          </w:tcPr>
          <w:p>
            <w:pPr>
              <w:jc w:val="right"/>
              <w:rPr>
                <w:rFonts w:ascii="宋体" w:hAnsi="宋体"/>
              </w:rPr>
            </w:pPr>
            <w:r>
              <w:rPr>
                <w:rFonts w:ascii="宋体" w:hAnsi="宋体"/>
              </w:rPr>
              <w:t>565,129</w:t>
            </w:r>
          </w:p>
        </w:tc>
        <w:tc>
          <w:tcPr>
            <w:tcW w:w="504" w:type="pct"/>
            <w:vAlign w:val="center"/>
          </w:tcPr>
          <w:p>
            <w:pPr>
              <w:jc w:val="right"/>
              <w:rPr>
                <w:rFonts w:ascii="宋体" w:hAnsi="宋体"/>
              </w:rPr>
            </w:pPr>
            <w:r>
              <w:rPr>
                <w:rFonts w:ascii="宋体" w:hAnsi="宋体"/>
              </w:rPr>
              <w:t>12</w:t>
            </w:r>
          </w:p>
        </w:tc>
        <w:tc>
          <w:tcPr>
            <w:tcW w:w="504" w:type="pct"/>
            <w:vAlign w:val="center"/>
          </w:tcPr>
          <w:p>
            <w:pPr>
              <w:jc w:val="right"/>
              <w:rPr>
                <w:rFonts w:ascii="宋体" w:hAnsi="宋体"/>
              </w:rPr>
            </w:pPr>
          </w:p>
        </w:tc>
        <w:tc>
          <w:tcPr>
            <w:tcW w:w="597" w:type="pct"/>
            <w:vAlign w:val="center"/>
          </w:tcPr>
          <w:p>
            <w:pPr>
              <w:jc w:val="right"/>
              <w:rPr>
                <w:rFonts w:ascii="宋体" w:hAnsi="宋体"/>
              </w:rPr>
            </w:pPr>
            <w:r>
              <w:rPr>
                <w:rFonts w:ascii="宋体" w:hAnsi="宋体"/>
              </w:rPr>
              <w:t>1,015,184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ascii="宋体" w:hAnsi="宋体"/>
              </w:rPr>
              <w:t>5</w:t>
            </w:r>
            <w:r>
              <w:rPr>
                <w:rFonts w:hint="eastAsia" w:ascii="宋体" w:hAnsi="宋体"/>
              </w:rPr>
              <w:t>.期末余额</w:t>
            </w:r>
          </w:p>
        </w:tc>
        <w:tc>
          <w:tcPr>
            <w:tcW w:w="504" w:type="pct"/>
            <w:vAlign w:val="center"/>
          </w:tcPr>
          <w:p>
            <w:pPr>
              <w:jc w:val="right"/>
              <w:rPr>
                <w:rFonts w:ascii="宋体" w:hAnsi="宋体"/>
              </w:rPr>
            </w:pPr>
            <w:r>
              <w:rPr>
                <w:rFonts w:ascii="宋体" w:hAnsi="宋体"/>
              </w:rPr>
              <w:t>1,480,625</w:t>
            </w:r>
          </w:p>
        </w:tc>
        <w:tc>
          <w:tcPr>
            <w:tcW w:w="551" w:type="pct"/>
            <w:vAlign w:val="center"/>
          </w:tcPr>
          <w:p>
            <w:pPr>
              <w:jc w:val="right"/>
              <w:rPr>
                <w:rFonts w:ascii="宋体" w:hAnsi="宋体"/>
              </w:rPr>
            </w:pPr>
            <w:r>
              <w:rPr>
                <w:rFonts w:ascii="宋体" w:hAnsi="宋体"/>
              </w:rPr>
              <w:t>16,817,708</w:t>
            </w:r>
          </w:p>
        </w:tc>
        <w:tc>
          <w:tcPr>
            <w:tcW w:w="551" w:type="pct"/>
            <w:vAlign w:val="center"/>
          </w:tcPr>
          <w:p>
            <w:pPr>
              <w:jc w:val="right"/>
              <w:rPr>
                <w:rFonts w:ascii="宋体" w:hAnsi="宋体"/>
              </w:rPr>
            </w:pPr>
            <w:r>
              <w:rPr>
                <w:rFonts w:ascii="宋体" w:hAnsi="宋体"/>
              </w:rPr>
              <w:t>49,491,945</w:t>
            </w:r>
          </w:p>
        </w:tc>
        <w:tc>
          <w:tcPr>
            <w:tcW w:w="551" w:type="pct"/>
            <w:vAlign w:val="center"/>
          </w:tcPr>
          <w:p>
            <w:pPr>
              <w:jc w:val="right"/>
              <w:rPr>
                <w:rFonts w:ascii="宋体" w:hAnsi="宋体"/>
              </w:rPr>
            </w:pPr>
            <w:r>
              <w:rPr>
                <w:rFonts w:ascii="宋体" w:hAnsi="宋体"/>
              </w:rPr>
              <w:t>23,621,296</w:t>
            </w:r>
          </w:p>
        </w:tc>
        <w:tc>
          <w:tcPr>
            <w:tcW w:w="598" w:type="pct"/>
            <w:vAlign w:val="center"/>
          </w:tcPr>
          <w:p>
            <w:pPr>
              <w:jc w:val="right"/>
              <w:rPr>
                <w:rFonts w:ascii="宋体" w:hAnsi="宋体"/>
              </w:rPr>
            </w:pPr>
            <w:r>
              <w:rPr>
                <w:rFonts w:ascii="宋体" w:hAnsi="宋体"/>
              </w:rPr>
              <w:t>101,684,223</w:t>
            </w:r>
          </w:p>
        </w:tc>
        <w:tc>
          <w:tcPr>
            <w:tcW w:w="504" w:type="pct"/>
            <w:vAlign w:val="center"/>
          </w:tcPr>
          <w:p>
            <w:pPr>
              <w:jc w:val="right"/>
              <w:rPr>
                <w:rFonts w:ascii="宋体" w:hAnsi="宋体"/>
              </w:rPr>
            </w:pPr>
            <w:r>
              <w:rPr>
                <w:rFonts w:ascii="宋体" w:hAnsi="宋体"/>
              </w:rPr>
              <w:t>2,409,597</w:t>
            </w:r>
          </w:p>
        </w:tc>
        <w:tc>
          <w:tcPr>
            <w:tcW w:w="504" w:type="pct"/>
            <w:vAlign w:val="center"/>
          </w:tcPr>
          <w:p>
            <w:pPr>
              <w:jc w:val="right"/>
              <w:rPr>
                <w:rFonts w:ascii="宋体" w:hAnsi="宋体"/>
              </w:rPr>
            </w:pPr>
            <w:r>
              <w:rPr>
                <w:rFonts w:ascii="宋体" w:hAnsi="宋体"/>
              </w:rPr>
              <w:t>7,756,375</w:t>
            </w:r>
          </w:p>
        </w:tc>
        <w:tc>
          <w:tcPr>
            <w:tcW w:w="597" w:type="pct"/>
            <w:vAlign w:val="center"/>
          </w:tcPr>
          <w:p>
            <w:pPr>
              <w:jc w:val="right"/>
              <w:rPr>
                <w:rFonts w:ascii="宋体" w:hAnsi="宋体"/>
              </w:rPr>
            </w:pPr>
            <w:r>
              <w:rPr>
                <w:rFonts w:ascii="宋体" w:hAnsi="宋体"/>
              </w:rPr>
              <w:t>203,261,769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宋体" w:hAnsi="宋体"/>
            </w:rPr>
            <w:tag w:val="_PLD_14f44e7a4341414ca27a4047f9622e44"/>
            <w:id w:val="-1825885402"/>
          </w:sdtPr>
          <w:sdtEndPr>
            <w:rPr>
              <w:rFonts w:ascii="宋体" w:hAnsi="宋体"/>
            </w:rPr>
          </w:sdtEndPr>
          <w:sdtContent>
            <w:tc>
              <w:tcPr>
                <w:tcW w:w="5000" w:type="pct"/>
                <w:gridSpan w:val="9"/>
                <w:shd w:val="clear" w:color="auto" w:fill="auto"/>
              </w:tcPr>
              <w:p>
                <w:pPr>
                  <w:rPr>
                    <w:rFonts w:ascii="宋体" w:hAnsi="宋体"/>
                  </w:rPr>
                </w:pPr>
                <w:r>
                  <w:rPr>
                    <w:rFonts w:hint="eastAsia" w:ascii="宋体" w:hAnsi="宋体"/>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ascii="宋体" w:hAnsi="宋体"/>
              </w:rPr>
              <w:t>1.</w:t>
            </w:r>
            <w:r>
              <w:rPr>
                <w:rFonts w:hint="eastAsia" w:ascii="宋体" w:hAnsi="宋体"/>
              </w:rPr>
              <w:t>期初余额</w:t>
            </w:r>
          </w:p>
        </w:tc>
        <w:tc>
          <w:tcPr>
            <w:tcW w:w="504" w:type="pct"/>
            <w:shd w:val="clear" w:color="auto" w:fill="auto"/>
            <w:vAlign w:val="center"/>
          </w:tcPr>
          <w:p>
            <w:pPr>
              <w:jc w:val="right"/>
              <w:rPr>
                <w:rFonts w:ascii="宋体" w:hAnsi="宋体"/>
              </w:rPr>
            </w:pPr>
          </w:p>
        </w:tc>
        <w:tc>
          <w:tcPr>
            <w:tcW w:w="551" w:type="pct"/>
            <w:vAlign w:val="center"/>
          </w:tcPr>
          <w:p>
            <w:pPr>
              <w:jc w:val="right"/>
              <w:rPr>
                <w:rFonts w:ascii="宋体" w:hAnsi="宋体"/>
              </w:rPr>
            </w:pPr>
            <w:r>
              <w:rPr>
                <w:rFonts w:ascii="宋体" w:hAnsi="宋体"/>
              </w:rPr>
              <w:t>5,719,745</w:t>
            </w:r>
          </w:p>
        </w:tc>
        <w:tc>
          <w:tcPr>
            <w:tcW w:w="551" w:type="pct"/>
            <w:vAlign w:val="center"/>
          </w:tcPr>
          <w:p>
            <w:pPr>
              <w:jc w:val="right"/>
              <w:rPr>
                <w:rFonts w:ascii="宋体" w:hAnsi="宋体"/>
              </w:rPr>
            </w:pPr>
            <w:r>
              <w:rPr>
                <w:rFonts w:ascii="宋体" w:hAnsi="宋体"/>
              </w:rPr>
              <w:t>14,355,566</w:t>
            </w:r>
          </w:p>
        </w:tc>
        <w:tc>
          <w:tcPr>
            <w:tcW w:w="551" w:type="pct"/>
            <w:vAlign w:val="center"/>
          </w:tcPr>
          <w:p>
            <w:pPr>
              <w:jc w:val="right"/>
              <w:rPr>
                <w:rFonts w:ascii="宋体" w:hAnsi="宋体"/>
              </w:rPr>
            </w:pPr>
            <w:r>
              <w:rPr>
                <w:rFonts w:ascii="宋体" w:hAnsi="宋体"/>
              </w:rPr>
              <w:t>8,174,221</w:t>
            </w:r>
          </w:p>
        </w:tc>
        <w:tc>
          <w:tcPr>
            <w:tcW w:w="598" w:type="pct"/>
            <w:vAlign w:val="center"/>
          </w:tcPr>
          <w:p>
            <w:pPr>
              <w:jc w:val="right"/>
              <w:rPr>
                <w:rFonts w:ascii="宋体" w:hAnsi="宋体"/>
              </w:rPr>
            </w:pPr>
            <w:r>
              <w:rPr>
                <w:rFonts w:ascii="宋体" w:hAnsi="宋体"/>
              </w:rPr>
              <w:t>46,865,305</w:t>
            </w:r>
          </w:p>
        </w:tc>
        <w:tc>
          <w:tcPr>
            <w:tcW w:w="504" w:type="pct"/>
            <w:vAlign w:val="center"/>
          </w:tcPr>
          <w:p>
            <w:pPr>
              <w:jc w:val="right"/>
              <w:rPr>
                <w:rFonts w:ascii="宋体" w:hAnsi="宋体"/>
              </w:rPr>
            </w:pPr>
            <w:r>
              <w:rPr>
                <w:rFonts w:ascii="宋体" w:hAnsi="宋体"/>
              </w:rPr>
              <w:t>1,329,088</w:t>
            </w:r>
          </w:p>
        </w:tc>
        <w:tc>
          <w:tcPr>
            <w:tcW w:w="504" w:type="pct"/>
            <w:vAlign w:val="center"/>
          </w:tcPr>
          <w:p>
            <w:pPr>
              <w:jc w:val="right"/>
              <w:rPr>
                <w:rFonts w:ascii="宋体" w:hAnsi="宋体"/>
              </w:rPr>
            </w:pPr>
            <w:r>
              <w:rPr>
                <w:rFonts w:ascii="宋体" w:hAnsi="宋体"/>
              </w:rPr>
              <w:t>3,509,988</w:t>
            </w:r>
          </w:p>
        </w:tc>
        <w:tc>
          <w:tcPr>
            <w:tcW w:w="597" w:type="pct"/>
            <w:vAlign w:val="center"/>
          </w:tcPr>
          <w:p>
            <w:pPr>
              <w:jc w:val="right"/>
              <w:rPr>
                <w:rFonts w:ascii="宋体" w:hAnsi="宋体"/>
              </w:rPr>
            </w:pPr>
            <w:r>
              <w:rPr>
                <w:rFonts w:ascii="宋体" w:hAnsi="宋体"/>
              </w:rPr>
              <w:t>79,953,913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ascii="宋体" w:hAnsi="宋体"/>
              </w:rPr>
              <w:t>2.</w:t>
            </w:r>
            <w:r>
              <w:rPr>
                <w:rFonts w:hint="eastAsia" w:ascii="宋体" w:hAnsi="宋体"/>
              </w:rPr>
              <w:t>本期增加金额</w:t>
            </w:r>
          </w:p>
        </w:tc>
        <w:tc>
          <w:tcPr>
            <w:tcW w:w="504" w:type="pct"/>
            <w:shd w:val="clear" w:color="auto" w:fill="auto"/>
            <w:vAlign w:val="center"/>
          </w:tcPr>
          <w:p>
            <w:pPr>
              <w:jc w:val="right"/>
              <w:rPr>
                <w:rFonts w:ascii="宋体" w:hAnsi="宋体"/>
              </w:rPr>
            </w:pPr>
          </w:p>
        </w:tc>
        <w:tc>
          <w:tcPr>
            <w:tcW w:w="551" w:type="pct"/>
            <w:vAlign w:val="center"/>
          </w:tcPr>
          <w:p>
            <w:pPr>
              <w:jc w:val="right"/>
              <w:rPr>
                <w:rFonts w:ascii="宋体" w:hAnsi="宋体"/>
              </w:rPr>
            </w:pPr>
            <w:r>
              <w:rPr>
                <w:rFonts w:ascii="宋体" w:hAnsi="宋体"/>
              </w:rPr>
              <w:t>697,288</w:t>
            </w:r>
          </w:p>
        </w:tc>
        <w:tc>
          <w:tcPr>
            <w:tcW w:w="551" w:type="pct"/>
            <w:vAlign w:val="center"/>
          </w:tcPr>
          <w:p>
            <w:pPr>
              <w:jc w:val="right"/>
              <w:rPr>
                <w:rFonts w:ascii="宋体" w:hAnsi="宋体"/>
              </w:rPr>
            </w:pPr>
            <w:r>
              <w:rPr>
                <w:rFonts w:ascii="宋体" w:hAnsi="宋体"/>
              </w:rPr>
              <w:t>1,859,248</w:t>
            </w:r>
          </w:p>
        </w:tc>
        <w:tc>
          <w:tcPr>
            <w:tcW w:w="551" w:type="pct"/>
            <w:vAlign w:val="center"/>
          </w:tcPr>
          <w:p>
            <w:pPr>
              <w:jc w:val="right"/>
              <w:rPr>
                <w:rFonts w:ascii="宋体" w:hAnsi="宋体"/>
              </w:rPr>
            </w:pPr>
            <w:r>
              <w:rPr>
                <w:rFonts w:ascii="宋体" w:hAnsi="宋体"/>
              </w:rPr>
              <w:t>1,221,236</w:t>
            </w:r>
          </w:p>
        </w:tc>
        <w:tc>
          <w:tcPr>
            <w:tcW w:w="598" w:type="pct"/>
            <w:vAlign w:val="center"/>
          </w:tcPr>
          <w:p>
            <w:pPr>
              <w:jc w:val="right"/>
              <w:rPr>
                <w:rFonts w:ascii="宋体" w:hAnsi="宋体"/>
              </w:rPr>
            </w:pPr>
            <w:r>
              <w:rPr>
                <w:rFonts w:ascii="宋体" w:hAnsi="宋体"/>
              </w:rPr>
              <w:t>7,956,441</w:t>
            </w:r>
          </w:p>
        </w:tc>
        <w:tc>
          <w:tcPr>
            <w:tcW w:w="504" w:type="pct"/>
            <w:vAlign w:val="center"/>
          </w:tcPr>
          <w:p>
            <w:pPr>
              <w:jc w:val="right"/>
              <w:rPr>
                <w:rFonts w:ascii="宋体" w:hAnsi="宋体"/>
              </w:rPr>
            </w:pPr>
            <w:r>
              <w:rPr>
                <w:rFonts w:ascii="宋体" w:hAnsi="宋体"/>
              </w:rPr>
              <w:t>342,803</w:t>
            </w:r>
          </w:p>
        </w:tc>
        <w:tc>
          <w:tcPr>
            <w:tcW w:w="504" w:type="pct"/>
            <w:vAlign w:val="center"/>
          </w:tcPr>
          <w:p>
            <w:pPr>
              <w:jc w:val="right"/>
              <w:rPr>
                <w:rFonts w:ascii="宋体" w:hAnsi="宋体"/>
              </w:rPr>
            </w:pPr>
            <w:r>
              <w:rPr>
                <w:rFonts w:ascii="宋体" w:hAnsi="宋体"/>
              </w:rPr>
              <w:t>1,529,999</w:t>
            </w:r>
          </w:p>
        </w:tc>
        <w:tc>
          <w:tcPr>
            <w:tcW w:w="597" w:type="pct"/>
            <w:vAlign w:val="center"/>
          </w:tcPr>
          <w:p>
            <w:pPr>
              <w:jc w:val="right"/>
              <w:rPr>
                <w:rFonts w:ascii="宋体" w:hAnsi="宋体"/>
              </w:rPr>
            </w:pPr>
            <w:r>
              <w:rPr>
                <w:rFonts w:ascii="宋体" w:hAnsi="宋体"/>
              </w:rPr>
              <w:t>13,607,015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（1）计提</w:t>
            </w:r>
          </w:p>
        </w:tc>
        <w:tc>
          <w:tcPr>
            <w:tcW w:w="504" w:type="pct"/>
            <w:shd w:val="clear" w:color="auto" w:fill="auto"/>
            <w:vAlign w:val="center"/>
          </w:tcPr>
          <w:p>
            <w:pPr>
              <w:jc w:val="right"/>
              <w:rPr>
                <w:rFonts w:ascii="宋体" w:hAnsi="宋体"/>
              </w:rPr>
            </w:pPr>
          </w:p>
        </w:tc>
        <w:tc>
          <w:tcPr>
            <w:tcW w:w="551" w:type="pct"/>
            <w:vAlign w:val="center"/>
          </w:tcPr>
          <w:p>
            <w:pPr>
              <w:jc w:val="right"/>
              <w:rPr>
                <w:rFonts w:ascii="宋体" w:hAnsi="宋体"/>
              </w:rPr>
            </w:pPr>
            <w:r>
              <w:rPr>
                <w:rFonts w:ascii="宋体" w:hAnsi="宋体"/>
              </w:rPr>
              <w:t>656,827</w:t>
            </w:r>
          </w:p>
        </w:tc>
        <w:tc>
          <w:tcPr>
            <w:tcW w:w="551" w:type="pct"/>
            <w:vAlign w:val="center"/>
          </w:tcPr>
          <w:p>
            <w:pPr>
              <w:jc w:val="right"/>
              <w:rPr>
                <w:rFonts w:ascii="宋体" w:hAnsi="宋体"/>
              </w:rPr>
            </w:pPr>
            <w:r>
              <w:rPr>
                <w:rFonts w:ascii="宋体" w:hAnsi="宋体"/>
              </w:rPr>
              <w:t>1,850,413</w:t>
            </w:r>
          </w:p>
        </w:tc>
        <w:tc>
          <w:tcPr>
            <w:tcW w:w="551" w:type="pct"/>
            <w:vAlign w:val="center"/>
          </w:tcPr>
          <w:p>
            <w:pPr>
              <w:jc w:val="right"/>
              <w:rPr>
                <w:rFonts w:ascii="宋体" w:hAnsi="宋体"/>
              </w:rPr>
            </w:pPr>
            <w:r>
              <w:rPr>
                <w:rFonts w:ascii="宋体" w:hAnsi="宋体"/>
              </w:rPr>
              <w:t>966,195</w:t>
            </w:r>
          </w:p>
        </w:tc>
        <w:tc>
          <w:tcPr>
            <w:tcW w:w="598" w:type="pct"/>
            <w:vAlign w:val="center"/>
          </w:tcPr>
          <w:p>
            <w:pPr>
              <w:jc w:val="right"/>
              <w:rPr>
                <w:rFonts w:ascii="宋体" w:hAnsi="宋体"/>
              </w:rPr>
            </w:pPr>
            <w:r>
              <w:rPr>
                <w:rFonts w:ascii="宋体" w:hAnsi="宋体"/>
              </w:rPr>
              <w:t>7,286,123</w:t>
            </w:r>
          </w:p>
        </w:tc>
        <w:tc>
          <w:tcPr>
            <w:tcW w:w="504" w:type="pct"/>
            <w:vAlign w:val="center"/>
          </w:tcPr>
          <w:p>
            <w:pPr>
              <w:jc w:val="right"/>
              <w:rPr>
                <w:rFonts w:ascii="宋体" w:hAnsi="宋体"/>
              </w:rPr>
            </w:pPr>
            <w:r>
              <w:rPr>
                <w:rFonts w:ascii="宋体" w:hAnsi="宋体"/>
              </w:rPr>
              <w:t>290,671</w:t>
            </w:r>
          </w:p>
        </w:tc>
        <w:tc>
          <w:tcPr>
            <w:tcW w:w="504" w:type="pct"/>
            <w:vAlign w:val="center"/>
          </w:tcPr>
          <w:p>
            <w:pPr>
              <w:jc w:val="right"/>
              <w:rPr>
                <w:rFonts w:ascii="宋体" w:hAnsi="宋体"/>
              </w:rPr>
            </w:pPr>
            <w:r>
              <w:rPr>
                <w:rFonts w:ascii="宋体" w:hAnsi="宋体"/>
              </w:rPr>
              <w:t>526,593</w:t>
            </w:r>
          </w:p>
        </w:tc>
        <w:tc>
          <w:tcPr>
            <w:tcW w:w="597" w:type="pct"/>
            <w:vAlign w:val="center"/>
          </w:tcPr>
          <w:p>
            <w:pPr>
              <w:jc w:val="right"/>
              <w:rPr>
                <w:rFonts w:ascii="宋体" w:hAnsi="宋体"/>
              </w:rPr>
            </w:pPr>
            <w:r>
              <w:rPr>
                <w:rFonts w:ascii="宋体" w:hAnsi="宋体"/>
              </w:rPr>
              <w:t>11,576,822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（2）重分类转入</w:t>
            </w:r>
          </w:p>
        </w:tc>
        <w:tc>
          <w:tcPr>
            <w:tcW w:w="504" w:type="pct"/>
            <w:shd w:val="clear" w:color="auto" w:fill="auto"/>
          </w:tcPr>
          <w:p>
            <w:pPr>
              <w:jc w:val="right"/>
              <w:rPr>
                <w:rFonts w:ascii="宋体" w:hAnsi="宋体"/>
              </w:rPr>
            </w:pPr>
          </w:p>
        </w:tc>
        <w:tc>
          <w:tcPr>
            <w:tcW w:w="551" w:type="pct"/>
            <w:vAlign w:val="center"/>
          </w:tcPr>
          <w:p>
            <w:pPr>
              <w:jc w:val="right"/>
              <w:rPr>
                <w:rFonts w:ascii="宋体" w:hAnsi="宋体"/>
              </w:rPr>
            </w:pPr>
            <w:r>
              <w:rPr>
                <w:rFonts w:ascii="宋体" w:hAnsi="宋体"/>
              </w:rPr>
              <w:t>40,461</w:t>
            </w:r>
          </w:p>
        </w:tc>
        <w:tc>
          <w:tcPr>
            <w:tcW w:w="551" w:type="pct"/>
            <w:vAlign w:val="center"/>
          </w:tcPr>
          <w:p>
            <w:pPr>
              <w:jc w:val="right"/>
              <w:rPr>
                <w:rFonts w:ascii="宋体" w:hAnsi="宋体"/>
              </w:rPr>
            </w:pPr>
            <w:r>
              <w:rPr>
                <w:rFonts w:ascii="宋体" w:hAnsi="宋体"/>
              </w:rPr>
              <w:t>8,835</w:t>
            </w:r>
          </w:p>
        </w:tc>
        <w:tc>
          <w:tcPr>
            <w:tcW w:w="551" w:type="pct"/>
            <w:vAlign w:val="center"/>
          </w:tcPr>
          <w:p>
            <w:pPr>
              <w:jc w:val="right"/>
              <w:rPr>
                <w:rFonts w:ascii="宋体" w:hAnsi="宋体"/>
              </w:rPr>
            </w:pPr>
            <w:r>
              <w:rPr>
                <w:rFonts w:ascii="宋体" w:hAnsi="宋体"/>
              </w:rPr>
              <w:t>255,041</w:t>
            </w:r>
          </w:p>
        </w:tc>
        <w:tc>
          <w:tcPr>
            <w:tcW w:w="598" w:type="pct"/>
            <w:vAlign w:val="center"/>
          </w:tcPr>
          <w:p>
            <w:pPr>
              <w:jc w:val="right"/>
              <w:rPr>
                <w:rFonts w:ascii="宋体" w:hAnsi="宋体"/>
              </w:rPr>
            </w:pPr>
            <w:r>
              <w:rPr>
                <w:rFonts w:ascii="宋体" w:hAnsi="宋体"/>
              </w:rPr>
              <w:t>670,318</w:t>
            </w:r>
          </w:p>
        </w:tc>
        <w:tc>
          <w:tcPr>
            <w:tcW w:w="504" w:type="pct"/>
            <w:vAlign w:val="center"/>
          </w:tcPr>
          <w:p>
            <w:pPr>
              <w:jc w:val="right"/>
              <w:rPr>
                <w:rFonts w:ascii="宋体" w:hAnsi="宋体"/>
              </w:rPr>
            </w:pPr>
            <w:r>
              <w:rPr>
                <w:rFonts w:ascii="宋体" w:hAnsi="宋体"/>
              </w:rPr>
              <w:t>52,132</w:t>
            </w:r>
          </w:p>
        </w:tc>
        <w:tc>
          <w:tcPr>
            <w:tcW w:w="504" w:type="pct"/>
            <w:vAlign w:val="center"/>
          </w:tcPr>
          <w:p>
            <w:pPr>
              <w:jc w:val="right"/>
              <w:rPr>
                <w:rFonts w:ascii="宋体" w:hAnsi="宋体"/>
              </w:rPr>
            </w:pPr>
            <w:r>
              <w:rPr>
                <w:rFonts w:ascii="宋体" w:hAnsi="宋体"/>
              </w:rPr>
              <w:t>1,003,406</w:t>
            </w:r>
          </w:p>
        </w:tc>
        <w:tc>
          <w:tcPr>
            <w:tcW w:w="597" w:type="pct"/>
            <w:vAlign w:val="center"/>
          </w:tcPr>
          <w:p>
            <w:pPr>
              <w:jc w:val="right"/>
              <w:rPr>
                <w:rFonts w:ascii="宋体" w:hAnsi="宋体"/>
              </w:rPr>
            </w:pPr>
            <w:r>
              <w:rPr>
                <w:rFonts w:ascii="宋体" w:hAnsi="宋体"/>
              </w:rPr>
              <w:t>2,030,193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hint="eastAsia" w:ascii="宋体" w:hAnsi="宋体"/>
              </w:rPr>
              <w:t>3.本期减少金额</w:t>
            </w:r>
          </w:p>
        </w:tc>
        <w:tc>
          <w:tcPr>
            <w:tcW w:w="504" w:type="pct"/>
            <w:shd w:val="clear" w:color="auto" w:fill="auto"/>
            <w:vAlign w:val="center"/>
          </w:tcPr>
          <w:p>
            <w:pPr>
              <w:jc w:val="right"/>
              <w:rPr>
                <w:rFonts w:ascii="宋体" w:hAnsi="宋体"/>
              </w:rPr>
            </w:pPr>
          </w:p>
        </w:tc>
        <w:tc>
          <w:tcPr>
            <w:tcW w:w="551" w:type="pct"/>
            <w:vAlign w:val="center"/>
          </w:tcPr>
          <w:p>
            <w:pPr>
              <w:jc w:val="right"/>
              <w:rPr>
                <w:rFonts w:ascii="宋体" w:hAnsi="宋体"/>
              </w:rPr>
            </w:pPr>
            <w:r>
              <w:rPr>
                <w:rFonts w:ascii="宋体" w:hAnsi="宋体"/>
              </w:rPr>
              <w:t>372,586</w:t>
            </w:r>
          </w:p>
        </w:tc>
        <w:tc>
          <w:tcPr>
            <w:tcW w:w="551" w:type="pct"/>
            <w:vAlign w:val="center"/>
          </w:tcPr>
          <w:p>
            <w:pPr>
              <w:jc w:val="right"/>
              <w:rPr>
                <w:rFonts w:ascii="宋体" w:hAnsi="宋体"/>
              </w:rPr>
            </w:pPr>
            <w:r>
              <w:rPr>
                <w:rFonts w:ascii="宋体" w:hAnsi="宋体"/>
              </w:rPr>
              <w:t>37,087</w:t>
            </w:r>
          </w:p>
        </w:tc>
        <w:tc>
          <w:tcPr>
            <w:tcW w:w="551" w:type="pct"/>
            <w:vAlign w:val="center"/>
          </w:tcPr>
          <w:p>
            <w:pPr>
              <w:jc w:val="right"/>
              <w:rPr>
                <w:rFonts w:ascii="宋体" w:hAnsi="宋体"/>
              </w:rPr>
            </w:pPr>
            <w:r>
              <w:rPr>
                <w:rFonts w:ascii="宋体" w:hAnsi="宋体"/>
              </w:rPr>
              <w:t>23,980</w:t>
            </w:r>
          </w:p>
        </w:tc>
        <w:tc>
          <w:tcPr>
            <w:tcW w:w="598" w:type="pct"/>
            <w:vAlign w:val="center"/>
          </w:tcPr>
          <w:p>
            <w:pPr>
              <w:jc w:val="right"/>
              <w:rPr>
                <w:rFonts w:ascii="宋体" w:hAnsi="宋体"/>
              </w:rPr>
            </w:pPr>
            <w:r>
              <w:rPr>
                <w:rFonts w:ascii="宋体" w:hAnsi="宋体"/>
              </w:rPr>
              <w:t>3,783,903</w:t>
            </w:r>
          </w:p>
        </w:tc>
        <w:tc>
          <w:tcPr>
            <w:tcW w:w="504" w:type="pct"/>
            <w:vAlign w:val="center"/>
          </w:tcPr>
          <w:p>
            <w:pPr>
              <w:jc w:val="right"/>
              <w:rPr>
                <w:rFonts w:ascii="宋体" w:hAnsi="宋体"/>
              </w:rPr>
            </w:pPr>
            <w:r>
              <w:rPr>
                <w:rFonts w:ascii="宋体" w:hAnsi="宋体"/>
              </w:rPr>
              <w:t>77,718</w:t>
            </w:r>
          </w:p>
        </w:tc>
        <w:tc>
          <w:tcPr>
            <w:tcW w:w="504" w:type="pct"/>
            <w:vAlign w:val="center"/>
          </w:tcPr>
          <w:p>
            <w:pPr>
              <w:jc w:val="right"/>
              <w:rPr>
                <w:rFonts w:ascii="宋体" w:hAnsi="宋体"/>
              </w:rPr>
            </w:pPr>
            <w:r>
              <w:rPr>
                <w:rFonts w:ascii="宋体" w:hAnsi="宋体"/>
              </w:rPr>
              <w:t>122,280</w:t>
            </w:r>
          </w:p>
        </w:tc>
        <w:tc>
          <w:tcPr>
            <w:tcW w:w="597" w:type="pct"/>
            <w:vAlign w:val="center"/>
          </w:tcPr>
          <w:p>
            <w:pPr>
              <w:jc w:val="right"/>
              <w:rPr>
                <w:rFonts w:ascii="宋体" w:hAnsi="宋体"/>
              </w:rPr>
            </w:pPr>
            <w:r>
              <w:rPr>
                <w:rFonts w:ascii="宋体" w:hAnsi="宋体"/>
              </w:rPr>
              <w:t>4,417,554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（1）处置或报废</w:t>
            </w:r>
          </w:p>
        </w:tc>
        <w:tc>
          <w:tcPr>
            <w:tcW w:w="504" w:type="pct"/>
            <w:shd w:val="clear" w:color="auto" w:fill="auto"/>
            <w:vAlign w:val="center"/>
          </w:tcPr>
          <w:p>
            <w:pPr>
              <w:jc w:val="right"/>
              <w:rPr>
                <w:rFonts w:ascii="宋体" w:hAnsi="宋体"/>
              </w:rPr>
            </w:pPr>
          </w:p>
        </w:tc>
        <w:tc>
          <w:tcPr>
            <w:tcW w:w="551" w:type="pct"/>
            <w:vAlign w:val="center"/>
          </w:tcPr>
          <w:p>
            <w:pPr>
              <w:jc w:val="right"/>
              <w:rPr>
                <w:rFonts w:ascii="宋体" w:hAnsi="宋体"/>
              </w:rPr>
            </w:pPr>
            <w:r>
              <w:rPr>
                <w:rFonts w:ascii="宋体" w:hAnsi="宋体"/>
              </w:rPr>
              <w:t>61,286</w:t>
            </w:r>
          </w:p>
        </w:tc>
        <w:tc>
          <w:tcPr>
            <w:tcW w:w="551" w:type="pct"/>
            <w:vAlign w:val="center"/>
          </w:tcPr>
          <w:p>
            <w:pPr>
              <w:jc w:val="right"/>
              <w:rPr>
                <w:rFonts w:ascii="宋体" w:hAnsi="宋体"/>
              </w:rPr>
            </w:pPr>
            <w:r>
              <w:rPr>
                <w:rFonts w:ascii="宋体" w:hAnsi="宋体"/>
              </w:rPr>
              <w:t>18,466</w:t>
            </w:r>
          </w:p>
        </w:tc>
        <w:tc>
          <w:tcPr>
            <w:tcW w:w="551" w:type="pct"/>
            <w:vAlign w:val="center"/>
          </w:tcPr>
          <w:p>
            <w:pPr>
              <w:jc w:val="right"/>
              <w:rPr>
                <w:rFonts w:ascii="宋体" w:hAnsi="宋体"/>
              </w:rPr>
            </w:pPr>
            <w:r>
              <w:rPr>
                <w:rFonts w:ascii="宋体" w:hAnsi="宋体"/>
              </w:rPr>
              <w:t>14,647</w:t>
            </w:r>
          </w:p>
        </w:tc>
        <w:tc>
          <w:tcPr>
            <w:tcW w:w="598" w:type="pct"/>
            <w:vAlign w:val="center"/>
          </w:tcPr>
          <w:p>
            <w:pPr>
              <w:jc w:val="right"/>
              <w:rPr>
                <w:rFonts w:ascii="宋体" w:hAnsi="宋体"/>
              </w:rPr>
            </w:pPr>
            <w:r>
              <w:rPr>
                <w:rFonts w:ascii="宋体" w:hAnsi="宋体"/>
              </w:rPr>
              <w:t>2,174,481</w:t>
            </w:r>
          </w:p>
        </w:tc>
        <w:tc>
          <w:tcPr>
            <w:tcW w:w="504" w:type="pct"/>
            <w:vAlign w:val="center"/>
          </w:tcPr>
          <w:p>
            <w:pPr>
              <w:jc w:val="right"/>
              <w:rPr>
                <w:rFonts w:ascii="宋体" w:hAnsi="宋体"/>
              </w:rPr>
            </w:pPr>
            <w:r>
              <w:rPr>
                <w:rFonts w:ascii="宋体" w:hAnsi="宋体"/>
              </w:rPr>
              <w:t>23,699</w:t>
            </w:r>
          </w:p>
        </w:tc>
        <w:tc>
          <w:tcPr>
            <w:tcW w:w="504" w:type="pct"/>
            <w:vAlign w:val="center"/>
          </w:tcPr>
          <w:p>
            <w:pPr>
              <w:jc w:val="right"/>
              <w:rPr>
                <w:rFonts w:ascii="宋体" w:hAnsi="宋体"/>
              </w:rPr>
            </w:pPr>
            <w:r>
              <w:rPr>
                <w:rFonts w:ascii="宋体" w:hAnsi="宋体"/>
              </w:rPr>
              <w:t>77,055</w:t>
            </w:r>
          </w:p>
        </w:tc>
        <w:tc>
          <w:tcPr>
            <w:tcW w:w="597" w:type="pct"/>
            <w:vAlign w:val="center"/>
          </w:tcPr>
          <w:p>
            <w:pPr>
              <w:jc w:val="right"/>
              <w:rPr>
                <w:rFonts w:ascii="宋体" w:hAnsi="宋体"/>
              </w:rPr>
            </w:pPr>
            <w:r>
              <w:rPr>
                <w:rFonts w:ascii="宋体" w:hAnsi="宋体"/>
              </w:rPr>
              <w:t>2,369,634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（2）重分类转出</w:t>
            </w:r>
          </w:p>
        </w:tc>
        <w:tc>
          <w:tcPr>
            <w:tcW w:w="504" w:type="pct"/>
            <w:shd w:val="clear" w:color="auto" w:fill="auto"/>
          </w:tcPr>
          <w:p>
            <w:pPr>
              <w:jc w:val="right"/>
              <w:rPr>
                <w:rFonts w:ascii="宋体" w:hAnsi="宋体"/>
              </w:rPr>
            </w:pPr>
          </w:p>
        </w:tc>
        <w:tc>
          <w:tcPr>
            <w:tcW w:w="551" w:type="pct"/>
            <w:vAlign w:val="center"/>
          </w:tcPr>
          <w:p>
            <w:pPr>
              <w:jc w:val="right"/>
              <w:rPr>
                <w:rFonts w:ascii="宋体" w:hAnsi="宋体"/>
              </w:rPr>
            </w:pPr>
            <w:r>
              <w:rPr>
                <w:rFonts w:ascii="宋体" w:hAnsi="宋体"/>
              </w:rPr>
              <w:t>293,573</w:t>
            </w:r>
          </w:p>
        </w:tc>
        <w:tc>
          <w:tcPr>
            <w:tcW w:w="551" w:type="pct"/>
            <w:vAlign w:val="center"/>
          </w:tcPr>
          <w:p>
            <w:pPr>
              <w:jc w:val="right"/>
              <w:rPr>
                <w:rFonts w:ascii="宋体" w:hAnsi="宋体"/>
              </w:rPr>
            </w:pPr>
            <w:r>
              <w:rPr>
                <w:rFonts w:ascii="宋体" w:hAnsi="宋体"/>
              </w:rPr>
              <w:t>18,621</w:t>
            </w:r>
          </w:p>
        </w:tc>
        <w:tc>
          <w:tcPr>
            <w:tcW w:w="551" w:type="pct"/>
            <w:vAlign w:val="center"/>
          </w:tcPr>
          <w:p>
            <w:pPr>
              <w:jc w:val="right"/>
              <w:rPr>
                <w:rFonts w:ascii="宋体" w:hAnsi="宋体"/>
              </w:rPr>
            </w:pPr>
            <w:r>
              <w:rPr>
                <w:rFonts w:ascii="宋体" w:hAnsi="宋体"/>
              </w:rPr>
              <w:t>9,333</w:t>
            </w:r>
          </w:p>
        </w:tc>
        <w:tc>
          <w:tcPr>
            <w:tcW w:w="598" w:type="pct"/>
            <w:vAlign w:val="center"/>
          </w:tcPr>
          <w:p>
            <w:pPr>
              <w:jc w:val="right"/>
              <w:rPr>
                <w:rFonts w:ascii="宋体" w:hAnsi="宋体"/>
              </w:rPr>
            </w:pPr>
            <w:r>
              <w:rPr>
                <w:rFonts w:ascii="宋体" w:hAnsi="宋体"/>
              </w:rPr>
              <w:t>1,609,422</w:t>
            </w:r>
          </w:p>
        </w:tc>
        <w:tc>
          <w:tcPr>
            <w:tcW w:w="504" w:type="pct"/>
            <w:vAlign w:val="center"/>
          </w:tcPr>
          <w:p>
            <w:pPr>
              <w:jc w:val="right"/>
              <w:rPr>
                <w:rFonts w:ascii="宋体" w:hAnsi="宋体"/>
              </w:rPr>
            </w:pPr>
            <w:r>
              <w:rPr>
                <w:rFonts w:ascii="宋体" w:hAnsi="宋体"/>
              </w:rPr>
              <w:t>54,019</w:t>
            </w:r>
          </w:p>
        </w:tc>
        <w:tc>
          <w:tcPr>
            <w:tcW w:w="504" w:type="pct"/>
            <w:vAlign w:val="center"/>
          </w:tcPr>
          <w:p>
            <w:pPr>
              <w:jc w:val="right"/>
              <w:rPr>
                <w:rFonts w:ascii="宋体" w:hAnsi="宋体"/>
              </w:rPr>
            </w:pPr>
            <w:r>
              <w:rPr>
                <w:rFonts w:ascii="宋体" w:hAnsi="宋体"/>
              </w:rPr>
              <w:t>45,225</w:t>
            </w:r>
          </w:p>
        </w:tc>
        <w:tc>
          <w:tcPr>
            <w:tcW w:w="597" w:type="pct"/>
            <w:vAlign w:val="center"/>
          </w:tcPr>
          <w:p>
            <w:pPr>
              <w:jc w:val="right"/>
              <w:rPr>
                <w:rFonts w:ascii="宋体" w:hAnsi="宋体"/>
              </w:rPr>
            </w:pPr>
            <w:r>
              <w:rPr>
                <w:rFonts w:ascii="宋体" w:hAnsi="宋体"/>
              </w:rPr>
              <w:t>2,030,193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（3）转为投资性房地产</w:t>
            </w:r>
          </w:p>
        </w:tc>
        <w:tc>
          <w:tcPr>
            <w:tcW w:w="504" w:type="pct"/>
            <w:shd w:val="clear" w:color="auto" w:fill="auto"/>
          </w:tcPr>
          <w:p>
            <w:pPr>
              <w:jc w:val="right"/>
              <w:rPr>
                <w:rFonts w:ascii="宋体" w:hAnsi="宋体"/>
              </w:rPr>
            </w:pPr>
          </w:p>
        </w:tc>
        <w:tc>
          <w:tcPr>
            <w:tcW w:w="551" w:type="pct"/>
            <w:vAlign w:val="center"/>
          </w:tcPr>
          <w:p>
            <w:pPr>
              <w:jc w:val="right"/>
              <w:rPr>
                <w:rFonts w:ascii="宋体" w:hAnsi="宋体"/>
              </w:rPr>
            </w:pPr>
            <w:r>
              <w:rPr>
                <w:rFonts w:ascii="宋体" w:hAnsi="宋体"/>
              </w:rPr>
              <w:t>17,727</w:t>
            </w:r>
          </w:p>
        </w:tc>
        <w:tc>
          <w:tcPr>
            <w:tcW w:w="551" w:type="pct"/>
            <w:vAlign w:val="center"/>
          </w:tcPr>
          <w:p>
            <w:pPr>
              <w:jc w:val="right"/>
              <w:rPr>
                <w:rFonts w:ascii="宋体" w:hAnsi="宋体"/>
              </w:rPr>
            </w:pPr>
          </w:p>
        </w:tc>
        <w:tc>
          <w:tcPr>
            <w:tcW w:w="551" w:type="pct"/>
            <w:vAlign w:val="center"/>
          </w:tcPr>
          <w:p>
            <w:pPr>
              <w:jc w:val="right"/>
              <w:rPr>
                <w:rFonts w:ascii="宋体" w:hAnsi="宋体"/>
              </w:rPr>
            </w:pPr>
          </w:p>
        </w:tc>
        <w:tc>
          <w:tcPr>
            <w:tcW w:w="598" w:type="pct"/>
            <w:vAlign w:val="center"/>
          </w:tcPr>
          <w:p>
            <w:pPr>
              <w:jc w:val="right"/>
              <w:rPr>
                <w:rFonts w:ascii="宋体" w:hAnsi="宋体"/>
              </w:rPr>
            </w:pPr>
          </w:p>
        </w:tc>
        <w:tc>
          <w:tcPr>
            <w:tcW w:w="504" w:type="pct"/>
            <w:vAlign w:val="center"/>
          </w:tcPr>
          <w:p>
            <w:pPr>
              <w:jc w:val="right"/>
              <w:rPr>
                <w:rFonts w:ascii="宋体" w:hAnsi="宋体"/>
              </w:rPr>
            </w:pPr>
          </w:p>
        </w:tc>
        <w:tc>
          <w:tcPr>
            <w:tcW w:w="504" w:type="pct"/>
            <w:vAlign w:val="center"/>
          </w:tcPr>
          <w:p>
            <w:pPr>
              <w:jc w:val="right"/>
              <w:rPr>
                <w:rFonts w:ascii="宋体" w:hAnsi="宋体"/>
              </w:rPr>
            </w:pPr>
          </w:p>
        </w:tc>
        <w:tc>
          <w:tcPr>
            <w:tcW w:w="597" w:type="pct"/>
            <w:vAlign w:val="center"/>
          </w:tcPr>
          <w:p>
            <w:pPr>
              <w:jc w:val="right"/>
              <w:rPr>
                <w:rFonts w:ascii="宋体" w:hAnsi="宋体"/>
              </w:rPr>
            </w:pPr>
            <w:r>
              <w:rPr>
                <w:rFonts w:ascii="宋体" w:hAnsi="宋体"/>
              </w:rPr>
              <w:t>17,727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4.外币报表折算差额</w:t>
            </w:r>
          </w:p>
        </w:tc>
        <w:tc>
          <w:tcPr>
            <w:tcW w:w="504" w:type="pct"/>
            <w:shd w:val="clear" w:color="auto" w:fill="auto"/>
          </w:tcPr>
          <w:p>
            <w:pPr>
              <w:jc w:val="right"/>
              <w:rPr>
                <w:rFonts w:ascii="宋体" w:hAnsi="宋体"/>
              </w:rPr>
            </w:pPr>
          </w:p>
        </w:tc>
        <w:tc>
          <w:tcPr>
            <w:tcW w:w="551" w:type="pct"/>
            <w:vAlign w:val="center"/>
          </w:tcPr>
          <w:p>
            <w:pPr>
              <w:jc w:val="right"/>
              <w:rPr>
                <w:rFonts w:ascii="宋体" w:hAnsi="宋体"/>
              </w:rPr>
            </w:pPr>
            <w:r>
              <w:rPr>
                <w:rFonts w:ascii="宋体" w:hAnsi="宋体"/>
              </w:rPr>
              <w:t>19,129</w:t>
            </w:r>
          </w:p>
        </w:tc>
        <w:tc>
          <w:tcPr>
            <w:tcW w:w="551" w:type="pct"/>
            <w:vAlign w:val="center"/>
          </w:tcPr>
          <w:p>
            <w:pPr>
              <w:jc w:val="right"/>
              <w:rPr>
                <w:rFonts w:ascii="宋体" w:hAnsi="宋体"/>
              </w:rPr>
            </w:pPr>
            <w:r>
              <w:rPr>
                <w:rFonts w:ascii="宋体" w:hAnsi="宋体"/>
              </w:rPr>
              <w:t>161,716</w:t>
            </w:r>
          </w:p>
        </w:tc>
        <w:tc>
          <w:tcPr>
            <w:tcW w:w="551" w:type="pct"/>
            <w:vAlign w:val="center"/>
          </w:tcPr>
          <w:p>
            <w:pPr>
              <w:jc w:val="right"/>
              <w:rPr>
                <w:rFonts w:ascii="宋体" w:hAnsi="宋体"/>
              </w:rPr>
            </w:pPr>
          </w:p>
        </w:tc>
        <w:tc>
          <w:tcPr>
            <w:tcW w:w="598" w:type="pct"/>
            <w:vAlign w:val="center"/>
          </w:tcPr>
          <w:p>
            <w:pPr>
              <w:jc w:val="right"/>
              <w:rPr>
                <w:rFonts w:ascii="宋体" w:hAnsi="宋体"/>
              </w:rPr>
            </w:pPr>
            <w:r>
              <w:rPr>
                <w:rFonts w:ascii="宋体" w:hAnsi="宋体"/>
              </w:rPr>
              <w:t>377,857</w:t>
            </w:r>
          </w:p>
        </w:tc>
        <w:tc>
          <w:tcPr>
            <w:tcW w:w="504" w:type="pct"/>
            <w:vAlign w:val="center"/>
          </w:tcPr>
          <w:p>
            <w:pPr>
              <w:jc w:val="right"/>
              <w:rPr>
                <w:rFonts w:ascii="宋体" w:hAnsi="宋体"/>
              </w:rPr>
            </w:pPr>
            <w:r>
              <w:rPr>
                <w:rFonts w:ascii="宋体" w:hAnsi="宋体"/>
              </w:rPr>
              <w:t>6</w:t>
            </w:r>
          </w:p>
        </w:tc>
        <w:tc>
          <w:tcPr>
            <w:tcW w:w="504" w:type="pct"/>
            <w:vAlign w:val="center"/>
          </w:tcPr>
          <w:p>
            <w:pPr>
              <w:jc w:val="right"/>
              <w:rPr>
                <w:rFonts w:ascii="宋体" w:hAnsi="宋体"/>
              </w:rPr>
            </w:pPr>
          </w:p>
        </w:tc>
        <w:tc>
          <w:tcPr>
            <w:tcW w:w="597" w:type="pct"/>
            <w:vAlign w:val="center"/>
          </w:tcPr>
          <w:p>
            <w:pPr>
              <w:jc w:val="right"/>
              <w:rPr>
                <w:rFonts w:ascii="宋体" w:hAnsi="宋体"/>
              </w:rPr>
            </w:pPr>
            <w:r>
              <w:rPr>
                <w:rFonts w:ascii="宋体" w:hAnsi="宋体"/>
              </w:rPr>
              <w:t>558,708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ascii="宋体" w:hAnsi="宋体"/>
              </w:rPr>
              <w:t>5</w:t>
            </w:r>
            <w:r>
              <w:rPr>
                <w:rFonts w:hint="eastAsia" w:ascii="宋体" w:hAnsi="宋体"/>
              </w:rPr>
              <w:t>.期末余额</w:t>
            </w:r>
          </w:p>
        </w:tc>
        <w:tc>
          <w:tcPr>
            <w:tcW w:w="504" w:type="pct"/>
            <w:shd w:val="clear" w:color="auto" w:fill="auto"/>
            <w:vAlign w:val="center"/>
          </w:tcPr>
          <w:p>
            <w:pPr>
              <w:jc w:val="right"/>
              <w:rPr>
                <w:rFonts w:ascii="宋体" w:hAnsi="宋体"/>
              </w:rPr>
            </w:pPr>
          </w:p>
        </w:tc>
        <w:tc>
          <w:tcPr>
            <w:tcW w:w="551" w:type="pct"/>
            <w:vAlign w:val="center"/>
          </w:tcPr>
          <w:p>
            <w:pPr>
              <w:jc w:val="right"/>
              <w:rPr>
                <w:rFonts w:ascii="宋体" w:hAnsi="宋体"/>
              </w:rPr>
            </w:pPr>
            <w:r>
              <w:rPr>
                <w:rFonts w:ascii="宋体" w:hAnsi="宋体"/>
              </w:rPr>
              <w:t>6,063,576</w:t>
            </w:r>
          </w:p>
        </w:tc>
        <w:tc>
          <w:tcPr>
            <w:tcW w:w="551" w:type="pct"/>
            <w:vAlign w:val="center"/>
          </w:tcPr>
          <w:p>
            <w:pPr>
              <w:jc w:val="right"/>
              <w:rPr>
                <w:rFonts w:ascii="宋体" w:hAnsi="宋体"/>
              </w:rPr>
            </w:pPr>
            <w:r>
              <w:rPr>
                <w:rFonts w:ascii="宋体" w:hAnsi="宋体"/>
              </w:rPr>
              <w:t>16,339,443</w:t>
            </w:r>
          </w:p>
        </w:tc>
        <w:tc>
          <w:tcPr>
            <w:tcW w:w="551" w:type="pct"/>
            <w:vAlign w:val="center"/>
          </w:tcPr>
          <w:p>
            <w:pPr>
              <w:jc w:val="right"/>
              <w:rPr>
                <w:rFonts w:ascii="宋体" w:hAnsi="宋体"/>
              </w:rPr>
            </w:pPr>
            <w:r>
              <w:rPr>
                <w:rFonts w:ascii="宋体" w:hAnsi="宋体"/>
              </w:rPr>
              <w:t>9,371,477</w:t>
            </w:r>
          </w:p>
        </w:tc>
        <w:tc>
          <w:tcPr>
            <w:tcW w:w="598" w:type="pct"/>
            <w:vAlign w:val="center"/>
          </w:tcPr>
          <w:p>
            <w:pPr>
              <w:jc w:val="right"/>
              <w:rPr>
                <w:rFonts w:ascii="宋体" w:hAnsi="宋体"/>
              </w:rPr>
            </w:pPr>
            <w:r>
              <w:rPr>
                <w:rFonts w:ascii="宋体" w:hAnsi="宋体"/>
              </w:rPr>
              <w:t>51,415,700</w:t>
            </w:r>
          </w:p>
        </w:tc>
        <w:tc>
          <w:tcPr>
            <w:tcW w:w="504" w:type="pct"/>
            <w:vAlign w:val="center"/>
          </w:tcPr>
          <w:p>
            <w:pPr>
              <w:jc w:val="right"/>
              <w:rPr>
                <w:rFonts w:ascii="宋体" w:hAnsi="宋体"/>
              </w:rPr>
            </w:pPr>
            <w:r>
              <w:rPr>
                <w:rFonts w:ascii="宋体" w:hAnsi="宋体"/>
              </w:rPr>
              <w:t>1,594,179</w:t>
            </w:r>
          </w:p>
        </w:tc>
        <w:tc>
          <w:tcPr>
            <w:tcW w:w="504" w:type="pct"/>
            <w:vAlign w:val="center"/>
          </w:tcPr>
          <w:p>
            <w:pPr>
              <w:jc w:val="right"/>
              <w:rPr>
                <w:rFonts w:ascii="宋体" w:hAnsi="宋体"/>
              </w:rPr>
            </w:pPr>
            <w:r>
              <w:rPr>
                <w:rFonts w:ascii="宋体" w:hAnsi="宋体"/>
              </w:rPr>
              <w:t>4,917,707</w:t>
            </w:r>
          </w:p>
        </w:tc>
        <w:tc>
          <w:tcPr>
            <w:tcW w:w="597" w:type="pct"/>
            <w:vAlign w:val="center"/>
          </w:tcPr>
          <w:p>
            <w:pPr>
              <w:jc w:val="right"/>
              <w:rPr>
                <w:rFonts w:ascii="宋体" w:hAnsi="宋体"/>
              </w:rPr>
            </w:pPr>
            <w:r>
              <w:rPr>
                <w:rFonts w:ascii="宋体" w:hAnsi="宋体"/>
              </w:rPr>
              <w:t>89,702,082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宋体" w:hAnsi="宋体"/>
            </w:rPr>
            <w:tag w:val="_PLD_b98cd9e8075a44b28b16fc9fd4c3c81f"/>
            <w:id w:val="2110691029"/>
          </w:sdtPr>
          <w:sdtEndPr>
            <w:rPr>
              <w:rFonts w:ascii="宋体" w:hAnsi="宋体"/>
            </w:rPr>
          </w:sdtEndPr>
          <w:sdtContent>
            <w:tc>
              <w:tcPr>
                <w:tcW w:w="5000" w:type="pct"/>
                <w:gridSpan w:val="9"/>
                <w:shd w:val="clear" w:color="auto" w:fill="auto"/>
              </w:tcPr>
              <w:p>
                <w:pPr>
                  <w:rPr>
                    <w:rFonts w:ascii="宋体" w:hAnsi="宋体"/>
                  </w:rPr>
                </w:pPr>
                <w:r>
                  <w:rPr>
                    <w:rFonts w:hint="eastAsia" w:ascii="宋体" w:hAnsi="宋体"/>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ascii="宋体" w:hAnsi="宋体"/>
              </w:rPr>
              <w:t>1.</w:t>
            </w:r>
            <w:r>
              <w:rPr>
                <w:rFonts w:hint="eastAsia" w:ascii="宋体" w:hAnsi="宋体"/>
              </w:rPr>
              <w:t>期初余额</w:t>
            </w:r>
          </w:p>
        </w:tc>
        <w:tc>
          <w:tcPr>
            <w:tcW w:w="504" w:type="pct"/>
            <w:shd w:val="clear" w:color="auto" w:fill="auto"/>
            <w:vAlign w:val="center"/>
          </w:tcPr>
          <w:p>
            <w:pPr>
              <w:jc w:val="right"/>
              <w:rPr>
                <w:rFonts w:ascii="宋体" w:hAnsi="宋体"/>
              </w:rPr>
            </w:pPr>
          </w:p>
        </w:tc>
        <w:tc>
          <w:tcPr>
            <w:tcW w:w="551" w:type="pct"/>
            <w:vAlign w:val="center"/>
          </w:tcPr>
          <w:p>
            <w:pPr>
              <w:jc w:val="right"/>
              <w:rPr>
                <w:rFonts w:ascii="宋体" w:hAnsi="宋体"/>
              </w:rPr>
            </w:pPr>
            <w:r>
              <w:rPr>
                <w:rFonts w:ascii="宋体" w:hAnsi="宋体"/>
              </w:rPr>
              <w:t>26,275</w:t>
            </w:r>
          </w:p>
        </w:tc>
        <w:tc>
          <w:tcPr>
            <w:tcW w:w="551" w:type="pct"/>
            <w:vAlign w:val="center"/>
          </w:tcPr>
          <w:p>
            <w:pPr>
              <w:jc w:val="right"/>
              <w:rPr>
                <w:rFonts w:ascii="宋体" w:hAnsi="宋体"/>
              </w:rPr>
            </w:pPr>
            <w:r>
              <w:rPr>
                <w:rFonts w:ascii="宋体" w:hAnsi="宋体"/>
              </w:rPr>
              <w:t>710,459</w:t>
            </w:r>
          </w:p>
        </w:tc>
        <w:tc>
          <w:tcPr>
            <w:tcW w:w="551" w:type="pct"/>
            <w:vAlign w:val="center"/>
          </w:tcPr>
          <w:p>
            <w:pPr>
              <w:jc w:val="right"/>
              <w:rPr>
                <w:rFonts w:ascii="宋体" w:hAnsi="宋体"/>
              </w:rPr>
            </w:pPr>
            <w:r>
              <w:rPr>
                <w:rFonts w:ascii="宋体" w:hAnsi="宋体"/>
              </w:rPr>
              <w:t>88,795</w:t>
            </w:r>
          </w:p>
        </w:tc>
        <w:tc>
          <w:tcPr>
            <w:tcW w:w="598" w:type="pct"/>
            <w:vAlign w:val="center"/>
          </w:tcPr>
          <w:p>
            <w:pPr>
              <w:jc w:val="right"/>
              <w:rPr>
                <w:rFonts w:ascii="宋体" w:hAnsi="宋体"/>
              </w:rPr>
            </w:pPr>
            <w:r>
              <w:rPr>
                <w:rFonts w:ascii="宋体" w:hAnsi="宋体"/>
              </w:rPr>
              <w:t>277,912</w:t>
            </w:r>
          </w:p>
        </w:tc>
        <w:tc>
          <w:tcPr>
            <w:tcW w:w="504" w:type="pct"/>
            <w:vAlign w:val="center"/>
          </w:tcPr>
          <w:p>
            <w:pPr>
              <w:jc w:val="right"/>
              <w:rPr>
                <w:rFonts w:ascii="宋体" w:hAnsi="宋体"/>
              </w:rPr>
            </w:pPr>
            <w:r>
              <w:rPr>
                <w:rFonts w:ascii="宋体" w:hAnsi="宋体"/>
              </w:rPr>
              <w:t>1,128</w:t>
            </w:r>
          </w:p>
        </w:tc>
        <w:tc>
          <w:tcPr>
            <w:tcW w:w="504" w:type="pct"/>
            <w:vAlign w:val="center"/>
          </w:tcPr>
          <w:p>
            <w:pPr>
              <w:jc w:val="right"/>
              <w:rPr>
                <w:rFonts w:ascii="宋体" w:hAnsi="宋体"/>
              </w:rPr>
            </w:pPr>
            <w:r>
              <w:rPr>
                <w:rFonts w:ascii="宋体" w:hAnsi="宋体"/>
              </w:rPr>
              <w:t>5,408</w:t>
            </w:r>
          </w:p>
        </w:tc>
        <w:tc>
          <w:tcPr>
            <w:tcW w:w="597" w:type="pct"/>
            <w:vAlign w:val="center"/>
          </w:tcPr>
          <w:p>
            <w:pPr>
              <w:jc w:val="right"/>
              <w:rPr>
                <w:rFonts w:ascii="宋体" w:hAnsi="宋体"/>
              </w:rPr>
            </w:pPr>
            <w:r>
              <w:rPr>
                <w:rFonts w:ascii="宋体" w:hAnsi="宋体"/>
              </w:rPr>
              <w:t>1,109,977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ascii="宋体" w:hAnsi="宋体"/>
              </w:rPr>
              <w:t>2.</w:t>
            </w:r>
            <w:r>
              <w:rPr>
                <w:rFonts w:hint="eastAsia" w:ascii="宋体" w:hAnsi="宋体"/>
              </w:rPr>
              <w:t>本期增加金额</w:t>
            </w:r>
          </w:p>
        </w:tc>
        <w:tc>
          <w:tcPr>
            <w:tcW w:w="504" w:type="pct"/>
            <w:shd w:val="clear" w:color="auto" w:fill="auto"/>
            <w:vAlign w:val="center"/>
          </w:tcPr>
          <w:p>
            <w:pPr>
              <w:jc w:val="right"/>
              <w:rPr>
                <w:rFonts w:ascii="宋体" w:hAnsi="宋体"/>
              </w:rPr>
            </w:pPr>
          </w:p>
        </w:tc>
        <w:tc>
          <w:tcPr>
            <w:tcW w:w="551" w:type="pct"/>
            <w:shd w:val="clear" w:color="auto" w:fill="auto"/>
            <w:vAlign w:val="center"/>
          </w:tcPr>
          <w:p>
            <w:pPr>
              <w:jc w:val="right"/>
              <w:rPr>
                <w:rFonts w:ascii="宋体" w:hAnsi="宋体"/>
              </w:rPr>
            </w:pPr>
          </w:p>
        </w:tc>
        <w:tc>
          <w:tcPr>
            <w:tcW w:w="551" w:type="pct"/>
            <w:shd w:val="clear" w:color="auto" w:fill="auto"/>
            <w:vAlign w:val="center"/>
          </w:tcPr>
          <w:p>
            <w:pPr>
              <w:jc w:val="right"/>
              <w:rPr>
                <w:rFonts w:ascii="宋体" w:hAnsi="宋体"/>
              </w:rPr>
            </w:pPr>
          </w:p>
        </w:tc>
        <w:tc>
          <w:tcPr>
            <w:tcW w:w="551" w:type="pct"/>
            <w:shd w:val="clear" w:color="auto" w:fill="auto"/>
            <w:vAlign w:val="center"/>
          </w:tcPr>
          <w:p>
            <w:pPr>
              <w:jc w:val="right"/>
              <w:rPr>
                <w:rFonts w:ascii="宋体" w:hAnsi="宋体"/>
              </w:rPr>
            </w:pPr>
          </w:p>
        </w:tc>
        <w:tc>
          <w:tcPr>
            <w:tcW w:w="598" w:type="pct"/>
            <w:shd w:val="clear" w:color="auto" w:fill="auto"/>
            <w:vAlign w:val="center"/>
          </w:tcPr>
          <w:p>
            <w:pPr>
              <w:jc w:val="right"/>
              <w:rPr>
                <w:rFonts w:ascii="宋体" w:hAnsi="宋体"/>
              </w:rPr>
            </w:pPr>
          </w:p>
        </w:tc>
        <w:tc>
          <w:tcPr>
            <w:tcW w:w="504" w:type="pct"/>
            <w:shd w:val="clear" w:color="auto" w:fill="auto"/>
            <w:vAlign w:val="center"/>
          </w:tcPr>
          <w:p>
            <w:pPr>
              <w:jc w:val="right"/>
              <w:rPr>
                <w:rFonts w:ascii="宋体" w:hAnsi="宋体"/>
              </w:rPr>
            </w:pPr>
          </w:p>
        </w:tc>
        <w:tc>
          <w:tcPr>
            <w:tcW w:w="504" w:type="pct"/>
            <w:shd w:val="clear" w:color="auto" w:fill="auto"/>
            <w:vAlign w:val="center"/>
          </w:tcPr>
          <w:p>
            <w:pPr>
              <w:jc w:val="right"/>
              <w:rPr>
                <w:rFonts w:ascii="宋体" w:hAnsi="宋体"/>
              </w:rPr>
            </w:pPr>
          </w:p>
        </w:tc>
        <w:tc>
          <w:tcPr>
            <w:tcW w:w="597" w:type="pct"/>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（1）计提</w:t>
            </w:r>
          </w:p>
        </w:tc>
        <w:tc>
          <w:tcPr>
            <w:tcW w:w="504" w:type="pct"/>
            <w:shd w:val="clear" w:color="auto" w:fill="auto"/>
            <w:vAlign w:val="center"/>
          </w:tcPr>
          <w:p>
            <w:pPr>
              <w:jc w:val="right"/>
              <w:rPr>
                <w:rFonts w:ascii="宋体" w:hAnsi="宋体"/>
              </w:rPr>
            </w:pPr>
          </w:p>
        </w:tc>
        <w:tc>
          <w:tcPr>
            <w:tcW w:w="551" w:type="pct"/>
            <w:shd w:val="clear" w:color="auto" w:fill="auto"/>
            <w:vAlign w:val="center"/>
          </w:tcPr>
          <w:p>
            <w:pPr>
              <w:jc w:val="right"/>
              <w:rPr>
                <w:rFonts w:ascii="宋体" w:hAnsi="宋体"/>
              </w:rPr>
            </w:pPr>
          </w:p>
        </w:tc>
        <w:tc>
          <w:tcPr>
            <w:tcW w:w="551" w:type="pct"/>
            <w:shd w:val="clear" w:color="auto" w:fill="auto"/>
            <w:vAlign w:val="center"/>
          </w:tcPr>
          <w:p>
            <w:pPr>
              <w:jc w:val="right"/>
              <w:rPr>
                <w:rFonts w:ascii="宋体" w:hAnsi="宋体"/>
              </w:rPr>
            </w:pPr>
          </w:p>
        </w:tc>
        <w:tc>
          <w:tcPr>
            <w:tcW w:w="551" w:type="pct"/>
            <w:shd w:val="clear" w:color="auto" w:fill="auto"/>
            <w:vAlign w:val="center"/>
          </w:tcPr>
          <w:p>
            <w:pPr>
              <w:jc w:val="right"/>
              <w:rPr>
                <w:rFonts w:ascii="宋体" w:hAnsi="宋体"/>
              </w:rPr>
            </w:pPr>
          </w:p>
        </w:tc>
        <w:tc>
          <w:tcPr>
            <w:tcW w:w="598" w:type="pct"/>
            <w:shd w:val="clear" w:color="auto" w:fill="auto"/>
            <w:vAlign w:val="center"/>
          </w:tcPr>
          <w:p>
            <w:pPr>
              <w:jc w:val="right"/>
              <w:rPr>
                <w:rFonts w:ascii="宋体" w:hAnsi="宋体"/>
              </w:rPr>
            </w:pPr>
          </w:p>
        </w:tc>
        <w:tc>
          <w:tcPr>
            <w:tcW w:w="504" w:type="pct"/>
            <w:shd w:val="clear" w:color="auto" w:fill="auto"/>
            <w:vAlign w:val="center"/>
          </w:tcPr>
          <w:p>
            <w:pPr>
              <w:jc w:val="right"/>
              <w:rPr>
                <w:rFonts w:ascii="宋体" w:hAnsi="宋体"/>
              </w:rPr>
            </w:pPr>
          </w:p>
        </w:tc>
        <w:tc>
          <w:tcPr>
            <w:tcW w:w="504" w:type="pct"/>
            <w:shd w:val="clear" w:color="auto" w:fill="auto"/>
            <w:vAlign w:val="center"/>
          </w:tcPr>
          <w:p>
            <w:pPr>
              <w:jc w:val="right"/>
              <w:rPr>
                <w:rFonts w:ascii="宋体" w:hAnsi="宋体"/>
              </w:rPr>
            </w:pPr>
          </w:p>
        </w:tc>
        <w:tc>
          <w:tcPr>
            <w:tcW w:w="597" w:type="pct"/>
            <w:shd w:val="clear" w:color="auto" w:fill="auto"/>
            <w:vAlign w:val="center"/>
          </w:tcPr>
          <w:p>
            <w:pPr>
              <w:jc w:val="right"/>
              <w:rPr>
                <w:rFonts w:ascii="宋体" w:hAnsi="宋体"/>
              </w:rPr>
            </w:pPr>
          </w:p>
        </w:tc>
      </w:tr>
      <w:tr>
        <w:tblPrEx>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hint="eastAsia" w:ascii="宋体" w:hAnsi="宋体"/>
              </w:rPr>
              <w:t>3.本期减少金额</w:t>
            </w:r>
          </w:p>
        </w:tc>
        <w:tc>
          <w:tcPr>
            <w:tcW w:w="504" w:type="pct"/>
            <w:shd w:val="clear" w:color="auto" w:fill="auto"/>
            <w:vAlign w:val="center"/>
          </w:tcPr>
          <w:p>
            <w:pPr>
              <w:jc w:val="right"/>
              <w:rPr>
                <w:rFonts w:ascii="宋体" w:hAnsi="宋体"/>
              </w:rPr>
            </w:pPr>
          </w:p>
        </w:tc>
        <w:tc>
          <w:tcPr>
            <w:tcW w:w="551" w:type="pct"/>
            <w:vAlign w:val="center"/>
          </w:tcPr>
          <w:p>
            <w:pPr>
              <w:jc w:val="right"/>
              <w:rPr>
                <w:rFonts w:ascii="宋体" w:hAnsi="宋体"/>
              </w:rPr>
            </w:pPr>
            <w:r>
              <w:rPr>
                <w:rFonts w:ascii="宋体" w:hAnsi="宋体"/>
              </w:rPr>
              <w:t>2,004</w:t>
            </w:r>
          </w:p>
        </w:tc>
        <w:tc>
          <w:tcPr>
            <w:tcW w:w="551" w:type="pct"/>
            <w:vAlign w:val="center"/>
          </w:tcPr>
          <w:p>
            <w:pPr>
              <w:jc w:val="right"/>
              <w:rPr>
                <w:rFonts w:ascii="宋体" w:hAnsi="宋体"/>
              </w:rPr>
            </w:pPr>
            <w:r>
              <w:rPr>
                <w:rFonts w:ascii="宋体" w:hAnsi="宋体"/>
              </w:rPr>
              <w:t>22,566</w:t>
            </w:r>
          </w:p>
        </w:tc>
        <w:tc>
          <w:tcPr>
            <w:tcW w:w="551" w:type="pct"/>
            <w:vAlign w:val="center"/>
          </w:tcPr>
          <w:p>
            <w:pPr>
              <w:jc w:val="right"/>
              <w:rPr>
                <w:rFonts w:ascii="宋体" w:hAnsi="宋体"/>
              </w:rPr>
            </w:pPr>
          </w:p>
        </w:tc>
        <w:tc>
          <w:tcPr>
            <w:tcW w:w="598" w:type="pct"/>
            <w:vAlign w:val="center"/>
          </w:tcPr>
          <w:p>
            <w:pPr>
              <w:jc w:val="right"/>
              <w:rPr>
                <w:rFonts w:ascii="宋体" w:hAnsi="宋体"/>
              </w:rPr>
            </w:pPr>
            <w:r>
              <w:rPr>
                <w:rFonts w:ascii="宋体" w:hAnsi="宋体"/>
              </w:rPr>
              <w:t>19,568</w:t>
            </w:r>
          </w:p>
        </w:tc>
        <w:tc>
          <w:tcPr>
            <w:tcW w:w="504" w:type="pct"/>
            <w:vAlign w:val="center"/>
          </w:tcPr>
          <w:p>
            <w:pPr>
              <w:jc w:val="right"/>
              <w:rPr>
                <w:rFonts w:ascii="宋体" w:hAnsi="宋体"/>
              </w:rPr>
            </w:pPr>
          </w:p>
        </w:tc>
        <w:tc>
          <w:tcPr>
            <w:tcW w:w="504" w:type="pct"/>
            <w:vAlign w:val="center"/>
          </w:tcPr>
          <w:p>
            <w:pPr>
              <w:jc w:val="right"/>
              <w:rPr>
                <w:rFonts w:ascii="宋体" w:hAnsi="宋体"/>
              </w:rPr>
            </w:pPr>
          </w:p>
        </w:tc>
        <w:tc>
          <w:tcPr>
            <w:tcW w:w="597" w:type="pct"/>
            <w:vAlign w:val="center"/>
          </w:tcPr>
          <w:p>
            <w:pPr>
              <w:jc w:val="right"/>
              <w:rPr>
                <w:rFonts w:ascii="宋体" w:hAnsi="宋体"/>
              </w:rPr>
            </w:pPr>
            <w:r>
              <w:rPr>
                <w:rFonts w:ascii="宋体" w:hAnsi="宋体"/>
              </w:rPr>
              <w:t>44,138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（1）处置或报废</w:t>
            </w:r>
          </w:p>
        </w:tc>
        <w:tc>
          <w:tcPr>
            <w:tcW w:w="504" w:type="pct"/>
            <w:shd w:val="clear" w:color="auto" w:fill="auto"/>
            <w:vAlign w:val="center"/>
          </w:tcPr>
          <w:p>
            <w:pPr>
              <w:jc w:val="right"/>
              <w:rPr>
                <w:rFonts w:ascii="宋体" w:hAnsi="宋体"/>
              </w:rPr>
            </w:pPr>
          </w:p>
        </w:tc>
        <w:tc>
          <w:tcPr>
            <w:tcW w:w="551" w:type="pct"/>
            <w:vAlign w:val="center"/>
          </w:tcPr>
          <w:p>
            <w:pPr>
              <w:jc w:val="right"/>
              <w:rPr>
                <w:rFonts w:ascii="宋体" w:hAnsi="宋体"/>
              </w:rPr>
            </w:pPr>
          </w:p>
        </w:tc>
        <w:tc>
          <w:tcPr>
            <w:tcW w:w="551" w:type="pct"/>
            <w:vAlign w:val="center"/>
          </w:tcPr>
          <w:p>
            <w:pPr>
              <w:jc w:val="right"/>
              <w:rPr>
                <w:rFonts w:ascii="宋体" w:hAnsi="宋体"/>
              </w:rPr>
            </w:pPr>
          </w:p>
        </w:tc>
        <w:tc>
          <w:tcPr>
            <w:tcW w:w="551" w:type="pct"/>
            <w:vAlign w:val="center"/>
          </w:tcPr>
          <w:p>
            <w:pPr>
              <w:jc w:val="right"/>
              <w:rPr>
                <w:rFonts w:ascii="宋体" w:hAnsi="宋体"/>
              </w:rPr>
            </w:pPr>
          </w:p>
        </w:tc>
        <w:tc>
          <w:tcPr>
            <w:tcW w:w="598" w:type="pct"/>
            <w:vAlign w:val="center"/>
          </w:tcPr>
          <w:p>
            <w:pPr>
              <w:jc w:val="right"/>
              <w:rPr>
                <w:rFonts w:ascii="宋体" w:hAnsi="宋体"/>
              </w:rPr>
            </w:pPr>
            <w:r>
              <w:rPr>
                <w:rFonts w:ascii="宋体" w:hAnsi="宋体"/>
              </w:rPr>
              <w:t>404</w:t>
            </w:r>
          </w:p>
        </w:tc>
        <w:tc>
          <w:tcPr>
            <w:tcW w:w="504" w:type="pct"/>
            <w:vAlign w:val="center"/>
          </w:tcPr>
          <w:p>
            <w:pPr>
              <w:jc w:val="right"/>
              <w:rPr>
                <w:rFonts w:ascii="宋体" w:hAnsi="宋体"/>
              </w:rPr>
            </w:pPr>
          </w:p>
        </w:tc>
        <w:tc>
          <w:tcPr>
            <w:tcW w:w="504" w:type="pct"/>
            <w:vAlign w:val="center"/>
          </w:tcPr>
          <w:p>
            <w:pPr>
              <w:jc w:val="right"/>
              <w:rPr>
                <w:rFonts w:ascii="宋体" w:hAnsi="宋体"/>
              </w:rPr>
            </w:pPr>
          </w:p>
        </w:tc>
        <w:tc>
          <w:tcPr>
            <w:tcW w:w="597" w:type="pct"/>
            <w:vAlign w:val="center"/>
          </w:tcPr>
          <w:p>
            <w:pPr>
              <w:jc w:val="right"/>
              <w:rPr>
                <w:rFonts w:ascii="宋体" w:hAnsi="宋体"/>
              </w:rPr>
            </w:pPr>
            <w:r>
              <w:rPr>
                <w:rFonts w:ascii="宋体" w:hAnsi="宋体"/>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 xml:space="preserve">（2）其他减少  </w:t>
            </w:r>
          </w:p>
        </w:tc>
        <w:tc>
          <w:tcPr>
            <w:tcW w:w="504" w:type="pct"/>
            <w:shd w:val="clear" w:color="auto" w:fill="auto"/>
          </w:tcPr>
          <w:p>
            <w:pPr>
              <w:jc w:val="right"/>
              <w:rPr>
                <w:rFonts w:ascii="宋体" w:hAnsi="宋体"/>
              </w:rPr>
            </w:pPr>
          </w:p>
        </w:tc>
        <w:tc>
          <w:tcPr>
            <w:tcW w:w="551" w:type="pct"/>
            <w:vAlign w:val="center"/>
          </w:tcPr>
          <w:p>
            <w:pPr>
              <w:jc w:val="right"/>
              <w:rPr>
                <w:rFonts w:ascii="宋体" w:hAnsi="宋体"/>
              </w:rPr>
            </w:pPr>
            <w:r>
              <w:rPr>
                <w:rFonts w:ascii="宋体" w:hAnsi="宋体"/>
              </w:rPr>
              <w:t>2,004</w:t>
            </w:r>
          </w:p>
        </w:tc>
        <w:tc>
          <w:tcPr>
            <w:tcW w:w="551" w:type="pct"/>
            <w:vAlign w:val="center"/>
          </w:tcPr>
          <w:p>
            <w:pPr>
              <w:jc w:val="right"/>
              <w:rPr>
                <w:rFonts w:ascii="宋体" w:hAnsi="宋体"/>
              </w:rPr>
            </w:pPr>
            <w:r>
              <w:rPr>
                <w:rFonts w:ascii="宋体" w:hAnsi="宋体"/>
              </w:rPr>
              <w:t>22,566</w:t>
            </w:r>
          </w:p>
        </w:tc>
        <w:tc>
          <w:tcPr>
            <w:tcW w:w="551" w:type="pct"/>
            <w:vAlign w:val="center"/>
          </w:tcPr>
          <w:p>
            <w:pPr>
              <w:jc w:val="right"/>
              <w:rPr>
                <w:rFonts w:ascii="宋体" w:hAnsi="宋体"/>
              </w:rPr>
            </w:pPr>
          </w:p>
        </w:tc>
        <w:tc>
          <w:tcPr>
            <w:tcW w:w="598" w:type="pct"/>
            <w:vAlign w:val="center"/>
          </w:tcPr>
          <w:p>
            <w:pPr>
              <w:jc w:val="right"/>
              <w:rPr>
                <w:rFonts w:ascii="宋体" w:hAnsi="宋体"/>
              </w:rPr>
            </w:pPr>
            <w:r>
              <w:rPr>
                <w:rFonts w:ascii="宋体" w:hAnsi="宋体"/>
              </w:rPr>
              <w:t>19,164</w:t>
            </w:r>
          </w:p>
        </w:tc>
        <w:tc>
          <w:tcPr>
            <w:tcW w:w="504" w:type="pct"/>
            <w:vAlign w:val="center"/>
          </w:tcPr>
          <w:p>
            <w:pPr>
              <w:jc w:val="right"/>
              <w:rPr>
                <w:rFonts w:ascii="宋体" w:hAnsi="宋体"/>
              </w:rPr>
            </w:pPr>
          </w:p>
        </w:tc>
        <w:tc>
          <w:tcPr>
            <w:tcW w:w="504" w:type="pct"/>
            <w:vAlign w:val="center"/>
          </w:tcPr>
          <w:p>
            <w:pPr>
              <w:jc w:val="right"/>
              <w:rPr>
                <w:rFonts w:ascii="宋体" w:hAnsi="宋体"/>
              </w:rPr>
            </w:pPr>
          </w:p>
        </w:tc>
        <w:tc>
          <w:tcPr>
            <w:tcW w:w="597" w:type="pct"/>
            <w:vAlign w:val="center"/>
          </w:tcPr>
          <w:p>
            <w:pPr>
              <w:jc w:val="right"/>
              <w:rPr>
                <w:rFonts w:ascii="宋体" w:hAnsi="宋体"/>
              </w:rPr>
            </w:pPr>
            <w:r>
              <w:rPr>
                <w:rFonts w:ascii="宋体" w:hAnsi="宋体"/>
              </w:rPr>
              <w:t>43,734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630" w:firstLineChars="300"/>
              <w:rPr>
                <w:rFonts w:ascii="宋体" w:hAnsi="宋体"/>
              </w:rPr>
            </w:pPr>
            <w:r>
              <w:rPr>
                <w:rFonts w:hint="eastAsia" w:ascii="宋体" w:hAnsi="宋体"/>
              </w:rPr>
              <w:t>4.外币报表折算差额</w:t>
            </w:r>
          </w:p>
        </w:tc>
        <w:tc>
          <w:tcPr>
            <w:tcW w:w="504" w:type="pct"/>
            <w:shd w:val="clear" w:color="auto" w:fill="auto"/>
          </w:tcPr>
          <w:p>
            <w:pPr>
              <w:jc w:val="right"/>
              <w:rPr>
                <w:rFonts w:ascii="宋体" w:hAnsi="宋体"/>
              </w:rPr>
            </w:pPr>
          </w:p>
        </w:tc>
        <w:tc>
          <w:tcPr>
            <w:tcW w:w="551" w:type="pct"/>
            <w:vAlign w:val="center"/>
          </w:tcPr>
          <w:p>
            <w:pPr>
              <w:jc w:val="right"/>
              <w:rPr>
                <w:rFonts w:ascii="宋体" w:hAnsi="宋体"/>
              </w:rPr>
            </w:pPr>
            <w:r>
              <w:rPr>
                <w:rFonts w:ascii="宋体" w:hAnsi="宋体"/>
              </w:rPr>
              <w:t>110</w:t>
            </w:r>
          </w:p>
        </w:tc>
        <w:tc>
          <w:tcPr>
            <w:tcW w:w="551" w:type="pct"/>
            <w:vAlign w:val="center"/>
          </w:tcPr>
          <w:p>
            <w:pPr>
              <w:jc w:val="right"/>
              <w:rPr>
                <w:rFonts w:ascii="宋体" w:hAnsi="宋体"/>
              </w:rPr>
            </w:pPr>
            <w:r>
              <w:rPr>
                <w:rFonts w:ascii="宋体" w:hAnsi="宋体"/>
              </w:rPr>
              <w:t>19,775</w:t>
            </w:r>
          </w:p>
        </w:tc>
        <w:tc>
          <w:tcPr>
            <w:tcW w:w="551" w:type="pct"/>
            <w:vAlign w:val="center"/>
          </w:tcPr>
          <w:p>
            <w:pPr>
              <w:jc w:val="right"/>
              <w:rPr>
                <w:rFonts w:ascii="宋体" w:hAnsi="宋体"/>
              </w:rPr>
            </w:pPr>
          </w:p>
        </w:tc>
        <w:tc>
          <w:tcPr>
            <w:tcW w:w="598" w:type="pct"/>
            <w:vAlign w:val="center"/>
          </w:tcPr>
          <w:p>
            <w:pPr>
              <w:jc w:val="right"/>
              <w:rPr>
                <w:rFonts w:ascii="宋体" w:hAnsi="宋体"/>
              </w:rPr>
            </w:pPr>
            <w:r>
              <w:rPr>
                <w:rFonts w:ascii="宋体" w:hAnsi="宋体"/>
              </w:rPr>
              <w:t>5,377</w:t>
            </w:r>
          </w:p>
        </w:tc>
        <w:tc>
          <w:tcPr>
            <w:tcW w:w="504" w:type="pct"/>
            <w:vAlign w:val="center"/>
          </w:tcPr>
          <w:p>
            <w:pPr>
              <w:jc w:val="right"/>
              <w:rPr>
                <w:rFonts w:ascii="宋体" w:hAnsi="宋体"/>
              </w:rPr>
            </w:pPr>
          </w:p>
        </w:tc>
        <w:tc>
          <w:tcPr>
            <w:tcW w:w="504" w:type="pct"/>
            <w:vAlign w:val="center"/>
          </w:tcPr>
          <w:p>
            <w:pPr>
              <w:jc w:val="right"/>
              <w:rPr>
                <w:rFonts w:ascii="宋体" w:hAnsi="宋体"/>
              </w:rPr>
            </w:pPr>
          </w:p>
        </w:tc>
        <w:tc>
          <w:tcPr>
            <w:tcW w:w="597" w:type="pct"/>
            <w:vAlign w:val="center"/>
          </w:tcPr>
          <w:p>
            <w:pPr>
              <w:jc w:val="right"/>
              <w:rPr>
                <w:rFonts w:ascii="宋体" w:hAnsi="宋体"/>
              </w:rPr>
            </w:pPr>
            <w:r>
              <w:rPr>
                <w:rFonts w:ascii="宋体" w:hAnsi="宋体"/>
              </w:rPr>
              <w:t>25,262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ascii="宋体" w:hAnsi="宋体"/>
              </w:rPr>
              <w:t>5</w:t>
            </w:r>
            <w:r>
              <w:rPr>
                <w:rFonts w:hint="eastAsia" w:ascii="宋体" w:hAnsi="宋体"/>
              </w:rPr>
              <w:t>.期末余额</w:t>
            </w:r>
          </w:p>
        </w:tc>
        <w:tc>
          <w:tcPr>
            <w:tcW w:w="504" w:type="pct"/>
            <w:shd w:val="clear" w:color="auto" w:fill="auto"/>
            <w:vAlign w:val="center"/>
          </w:tcPr>
          <w:p>
            <w:pPr>
              <w:jc w:val="right"/>
              <w:rPr>
                <w:rFonts w:ascii="宋体" w:hAnsi="宋体"/>
              </w:rPr>
            </w:pPr>
          </w:p>
        </w:tc>
        <w:tc>
          <w:tcPr>
            <w:tcW w:w="551" w:type="pct"/>
            <w:vAlign w:val="center"/>
          </w:tcPr>
          <w:p>
            <w:pPr>
              <w:jc w:val="right"/>
              <w:rPr>
                <w:rFonts w:ascii="宋体" w:hAnsi="宋体"/>
              </w:rPr>
            </w:pPr>
            <w:r>
              <w:rPr>
                <w:rFonts w:ascii="宋体" w:hAnsi="宋体"/>
              </w:rPr>
              <w:t>24,381</w:t>
            </w:r>
          </w:p>
        </w:tc>
        <w:tc>
          <w:tcPr>
            <w:tcW w:w="551" w:type="pct"/>
            <w:vAlign w:val="center"/>
          </w:tcPr>
          <w:p>
            <w:pPr>
              <w:jc w:val="right"/>
              <w:rPr>
                <w:rFonts w:ascii="宋体" w:hAnsi="宋体"/>
              </w:rPr>
            </w:pPr>
            <w:r>
              <w:rPr>
                <w:rFonts w:ascii="宋体" w:hAnsi="宋体"/>
              </w:rPr>
              <w:t>707,668</w:t>
            </w:r>
          </w:p>
        </w:tc>
        <w:tc>
          <w:tcPr>
            <w:tcW w:w="551" w:type="pct"/>
            <w:vAlign w:val="center"/>
          </w:tcPr>
          <w:p>
            <w:pPr>
              <w:jc w:val="right"/>
              <w:rPr>
                <w:rFonts w:ascii="宋体" w:hAnsi="宋体"/>
              </w:rPr>
            </w:pPr>
            <w:r>
              <w:rPr>
                <w:rFonts w:ascii="宋体" w:hAnsi="宋体"/>
              </w:rPr>
              <w:t>88,795</w:t>
            </w:r>
          </w:p>
        </w:tc>
        <w:tc>
          <w:tcPr>
            <w:tcW w:w="598" w:type="pct"/>
            <w:vAlign w:val="center"/>
          </w:tcPr>
          <w:p>
            <w:pPr>
              <w:jc w:val="right"/>
              <w:rPr>
                <w:rFonts w:ascii="宋体" w:hAnsi="宋体"/>
              </w:rPr>
            </w:pPr>
            <w:r>
              <w:rPr>
                <w:rFonts w:ascii="宋体" w:hAnsi="宋体"/>
              </w:rPr>
              <w:t>263,721</w:t>
            </w:r>
          </w:p>
        </w:tc>
        <w:tc>
          <w:tcPr>
            <w:tcW w:w="504" w:type="pct"/>
            <w:vAlign w:val="center"/>
          </w:tcPr>
          <w:p>
            <w:pPr>
              <w:jc w:val="right"/>
              <w:rPr>
                <w:rFonts w:ascii="宋体" w:hAnsi="宋体"/>
              </w:rPr>
            </w:pPr>
            <w:r>
              <w:rPr>
                <w:rFonts w:ascii="宋体" w:hAnsi="宋体"/>
              </w:rPr>
              <w:t>1,128</w:t>
            </w:r>
          </w:p>
        </w:tc>
        <w:tc>
          <w:tcPr>
            <w:tcW w:w="504" w:type="pct"/>
            <w:vAlign w:val="center"/>
          </w:tcPr>
          <w:p>
            <w:pPr>
              <w:jc w:val="right"/>
              <w:rPr>
                <w:rFonts w:ascii="宋体" w:hAnsi="宋体"/>
              </w:rPr>
            </w:pPr>
            <w:r>
              <w:rPr>
                <w:rFonts w:ascii="宋体" w:hAnsi="宋体"/>
              </w:rPr>
              <w:t>5,408</w:t>
            </w:r>
          </w:p>
        </w:tc>
        <w:tc>
          <w:tcPr>
            <w:tcW w:w="597" w:type="pct"/>
            <w:vAlign w:val="center"/>
          </w:tcPr>
          <w:p>
            <w:pPr>
              <w:jc w:val="right"/>
              <w:rPr>
                <w:rFonts w:ascii="宋体" w:hAnsi="宋体"/>
              </w:rPr>
            </w:pPr>
            <w:r>
              <w:rPr>
                <w:rFonts w:ascii="宋体" w:hAnsi="宋体"/>
              </w:rPr>
              <w:t>1,091,101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宋体" w:hAnsi="宋体"/>
            </w:rPr>
            <w:tag w:val="_PLD_e1d51c426bd84ffbb9a1a19b00d3b374"/>
            <w:id w:val="-712268263"/>
          </w:sdtPr>
          <w:sdtEndPr>
            <w:rPr>
              <w:rFonts w:ascii="宋体" w:hAnsi="宋体"/>
            </w:rPr>
          </w:sdtEndPr>
          <w:sdtContent>
            <w:tc>
              <w:tcPr>
                <w:tcW w:w="5000" w:type="pct"/>
                <w:gridSpan w:val="9"/>
                <w:shd w:val="clear" w:color="auto" w:fill="auto"/>
              </w:tcPr>
              <w:p>
                <w:pPr>
                  <w:rPr>
                    <w:rFonts w:ascii="宋体" w:hAnsi="宋体"/>
                  </w:rPr>
                </w:pPr>
                <w:r>
                  <w:rPr>
                    <w:rFonts w:hint="eastAsia" w:ascii="宋体" w:hAnsi="宋体"/>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hint="eastAsia" w:ascii="宋体" w:hAnsi="宋体"/>
              </w:rPr>
              <w:t>1.期末账面价值</w:t>
            </w:r>
          </w:p>
        </w:tc>
        <w:tc>
          <w:tcPr>
            <w:tcW w:w="504" w:type="pct"/>
            <w:vAlign w:val="center"/>
          </w:tcPr>
          <w:p>
            <w:pPr>
              <w:jc w:val="right"/>
              <w:rPr>
                <w:rFonts w:ascii="宋体" w:hAnsi="宋体"/>
              </w:rPr>
            </w:pPr>
            <w:r>
              <w:rPr>
                <w:rFonts w:ascii="宋体" w:hAnsi="宋体"/>
              </w:rPr>
              <w:t>1,480,625</w:t>
            </w:r>
          </w:p>
        </w:tc>
        <w:tc>
          <w:tcPr>
            <w:tcW w:w="551" w:type="pct"/>
            <w:vAlign w:val="center"/>
          </w:tcPr>
          <w:p>
            <w:pPr>
              <w:jc w:val="right"/>
              <w:rPr>
                <w:rFonts w:ascii="宋体" w:hAnsi="宋体"/>
              </w:rPr>
            </w:pPr>
            <w:r>
              <w:rPr>
                <w:rFonts w:ascii="宋体" w:hAnsi="宋体"/>
              </w:rPr>
              <w:t>10,729,751</w:t>
            </w:r>
          </w:p>
        </w:tc>
        <w:tc>
          <w:tcPr>
            <w:tcW w:w="551" w:type="pct"/>
            <w:vAlign w:val="center"/>
          </w:tcPr>
          <w:p>
            <w:pPr>
              <w:jc w:val="right"/>
              <w:rPr>
                <w:rFonts w:ascii="宋体" w:hAnsi="宋体"/>
              </w:rPr>
            </w:pPr>
            <w:r>
              <w:rPr>
                <w:rFonts w:ascii="宋体" w:hAnsi="宋体"/>
              </w:rPr>
              <w:t>32,444,834</w:t>
            </w:r>
          </w:p>
        </w:tc>
        <w:tc>
          <w:tcPr>
            <w:tcW w:w="551" w:type="pct"/>
            <w:vAlign w:val="center"/>
          </w:tcPr>
          <w:p>
            <w:pPr>
              <w:jc w:val="right"/>
              <w:rPr>
                <w:rFonts w:ascii="宋体" w:hAnsi="宋体"/>
              </w:rPr>
            </w:pPr>
            <w:r>
              <w:rPr>
                <w:rFonts w:ascii="宋体" w:hAnsi="宋体"/>
              </w:rPr>
              <w:t>14,161,024</w:t>
            </w:r>
          </w:p>
        </w:tc>
        <w:tc>
          <w:tcPr>
            <w:tcW w:w="598" w:type="pct"/>
            <w:vAlign w:val="center"/>
          </w:tcPr>
          <w:p>
            <w:pPr>
              <w:jc w:val="right"/>
              <w:rPr>
                <w:rFonts w:ascii="宋体" w:hAnsi="宋体"/>
              </w:rPr>
            </w:pPr>
            <w:r>
              <w:rPr>
                <w:rFonts w:ascii="宋体" w:hAnsi="宋体"/>
              </w:rPr>
              <w:t>50,004,802</w:t>
            </w:r>
          </w:p>
        </w:tc>
        <w:tc>
          <w:tcPr>
            <w:tcW w:w="504" w:type="pct"/>
            <w:vAlign w:val="center"/>
          </w:tcPr>
          <w:p>
            <w:pPr>
              <w:jc w:val="right"/>
              <w:rPr>
                <w:rFonts w:ascii="宋体" w:hAnsi="宋体"/>
              </w:rPr>
            </w:pPr>
            <w:r>
              <w:rPr>
                <w:rFonts w:ascii="宋体" w:hAnsi="宋体"/>
              </w:rPr>
              <w:t>814,290</w:t>
            </w:r>
          </w:p>
        </w:tc>
        <w:tc>
          <w:tcPr>
            <w:tcW w:w="504" w:type="pct"/>
            <w:vAlign w:val="center"/>
          </w:tcPr>
          <w:p>
            <w:pPr>
              <w:jc w:val="right"/>
              <w:rPr>
                <w:rFonts w:ascii="宋体" w:hAnsi="宋体"/>
              </w:rPr>
            </w:pPr>
            <w:r>
              <w:rPr>
                <w:rFonts w:ascii="宋体" w:hAnsi="宋体"/>
              </w:rPr>
              <w:t>2,833,260</w:t>
            </w:r>
          </w:p>
        </w:tc>
        <w:tc>
          <w:tcPr>
            <w:tcW w:w="597" w:type="pct"/>
            <w:shd w:val="clear" w:color="auto" w:fill="auto"/>
            <w:vAlign w:val="center"/>
          </w:tcPr>
          <w:p>
            <w:pPr>
              <w:jc w:val="right"/>
              <w:rPr>
                <w:rFonts w:ascii="宋体" w:hAnsi="宋体"/>
              </w:rPr>
            </w:pPr>
            <w:r>
              <w:rPr>
                <w:rFonts w:ascii="宋体" w:hAnsi="宋体"/>
              </w:rPr>
              <w:t>112,468,586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40" w:type="pct"/>
            <w:shd w:val="clear" w:color="auto" w:fill="auto"/>
          </w:tcPr>
          <w:p>
            <w:pPr>
              <w:ind w:firstLine="420" w:firstLineChars="200"/>
              <w:rPr>
                <w:rFonts w:ascii="宋体" w:hAnsi="宋体"/>
              </w:rPr>
            </w:pPr>
            <w:r>
              <w:rPr>
                <w:rFonts w:hint="eastAsia" w:ascii="宋体" w:hAnsi="宋体"/>
              </w:rPr>
              <w:t>2.期初账面价值</w:t>
            </w:r>
          </w:p>
        </w:tc>
        <w:tc>
          <w:tcPr>
            <w:tcW w:w="504" w:type="pct"/>
            <w:vAlign w:val="center"/>
          </w:tcPr>
          <w:p>
            <w:pPr>
              <w:jc w:val="right"/>
              <w:rPr>
                <w:rFonts w:ascii="宋体" w:hAnsi="宋体"/>
              </w:rPr>
            </w:pPr>
            <w:r>
              <w:rPr>
                <w:rFonts w:ascii="宋体" w:hAnsi="宋体"/>
              </w:rPr>
              <w:t>1,442,079</w:t>
            </w:r>
          </w:p>
        </w:tc>
        <w:tc>
          <w:tcPr>
            <w:tcW w:w="551" w:type="pct"/>
            <w:vAlign w:val="center"/>
          </w:tcPr>
          <w:p>
            <w:pPr>
              <w:jc w:val="right"/>
              <w:rPr>
                <w:rFonts w:ascii="宋体" w:hAnsi="宋体"/>
              </w:rPr>
            </w:pPr>
            <w:r>
              <w:rPr>
                <w:rFonts w:ascii="宋体" w:hAnsi="宋体"/>
              </w:rPr>
              <w:t>10,440,612</w:t>
            </w:r>
          </w:p>
        </w:tc>
        <w:tc>
          <w:tcPr>
            <w:tcW w:w="551" w:type="pct"/>
            <w:vAlign w:val="center"/>
          </w:tcPr>
          <w:p>
            <w:pPr>
              <w:jc w:val="right"/>
              <w:rPr>
                <w:rFonts w:ascii="宋体" w:hAnsi="宋体"/>
              </w:rPr>
            </w:pPr>
            <w:r>
              <w:rPr>
                <w:rFonts w:ascii="宋体" w:hAnsi="宋体"/>
              </w:rPr>
              <w:t>34,111,761</w:t>
            </w:r>
          </w:p>
        </w:tc>
        <w:tc>
          <w:tcPr>
            <w:tcW w:w="551" w:type="pct"/>
            <w:vAlign w:val="center"/>
          </w:tcPr>
          <w:p>
            <w:pPr>
              <w:jc w:val="right"/>
              <w:rPr>
                <w:rFonts w:ascii="宋体" w:hAnsi="宋体"/>
              </w:rPr>
            </w:pPr>
            <w:r>
              <w:rPr>
                <w:rFonts w:ascii="宋体" w:hAnsi="宋体"/>
              </w:rPr>
              <w:t>13,602,678</w:t>
            </w:r>
          </w:p>
        </w:tc>
        <w:tc>
          <w:tcPr>
            <w:tcW w:w="598" w:type="pct"/>
            <w:vAlign w:val="center"/>
          </w:tcPr>
          <w:p>
            <w:pPr>
              <w:jc w:val="right"/>
              <w:rPr>
                <w:rFonts w:ascii="宋体" w:hAnsi="宋体"/>
              </w:rPr>
            </w:pPr>
            <w:r>
              <w:rPr>
                <w:rFonts w:ascii="宋体" w:hAnsi="宋体"/>
              </w:rPr>
              <w:t>46,977,364</w:t>
            </w:r>
          </w:p>
        </w:tc>
        <w:tc>
          <w:tcPr>
            <w:tcW w:w="504" w:type="pct"/>
            <w:vAlign w:val="center"/>
          </w:tcPr>
          <w:p>
            <w:pPr>
              <w:jc w:val="right"/>
              <w:rPr>
                <w:rFonts w:ascii="宋体" w:hAnsi="宋体"/>
              </w:rPr>
            </w:pPr>
            <w:r>
              <w:rPr>
                <w:rFonts w:ascii="宋体" w:hAnsi="宋体"/>
              </w:rPr>
              <w:t>915,570</w:t>
            </w:r>
          </w:p>
        </w:tc>
        <w:tc>
          <w:tcPr>
            <w:tcW w:w="504" w:type="pct"/>
            <w:vAlign w:val="center"/>
          </w:tcPr>
          <w:p>
            <w:pPr>
              <w:jc w:val="right"/>
              <w:rPr>
                <w:rFonts w:ascii="宋体" w:hAnsi="宋体"/>
              </w:rPr>
            </w:pPr>
            <w:r>
              <w:rPr>
                <w:rFonts w:ascii="宋体" w:hAnsi="宋体"/>
              </w:rPr>
              <w:t>4,544,654</w:t>
            </w:r>
          </w:p>
        </w:tc>
        <w:tc>
          <w:tcPr>
            <w:tcW w:w="597" w:type="pct"/>
            <w:shd w:val="clear" w:color="auto" w:fill="auto"/>
            <w:vAlign w:val="center"/>
          </w:tcPr>
          <w:p>
            <w:pPr>
              <w:jc w:val="right"/>
              <w:rPr>
                <w:rFonts w:ascii="宋体" w:hAnsi="宋体"/>
              </w:rPr>
            </w:pPr>
            <w:r>
              <w:rPr>
                <w:rFonts w:ascii="宋体" w:hAnsi="宋体"/>
              </w:rPr>
              <w:t>112,034,718</w:t>
            </w:r>
          </w:p>
        </w:tc>
      </w:tr>
    </w:tbl>
    <w:p>
      <w:pPr>
        <w:ind w:firstLine="420" w:firstLineChars="200"/>
        <w:sectPr>
          <w:pgSz w:w="16838" w:h="11906" w:orient="landscape"/>
          <w:pgMar w:top="1276" w:right="1440" w:bottom="1797" w:left="1525" w:header="856" w:footer="992" w:gutter="0"/>
          <w:cols w:space="425" w:num="1"/>
          <w:docGrid w:type="lines" w:linePitch="312" w:charSpace="0"/>
        </w:sectPr>
      </w:pPr>
      <w:r>
        <w:rPr>
          <w:rFonts w:hint="eastAsia"/>
        </w:rPr>
        <w:t>注:土地类固定资产系本公司之子公司澳洲公司拥有的永久性土地使用权，因此无需计提折旧。</w:t>
      </w:r>
    </w:p>
    <w:p>
      <w:pPr>
        <w:pStyle w:val="501"/>
      </w:pPr>
    </w:p>
    <w:p>
      <w:pPr>
        <w:pStyle w:val="506"/>
        <w:numPr>
          <w:ilvl w:val="0"/>
          <w:numId w:val="85"/>
        </w:numPr>
        <w:ind w:leftChars="0"/>
        <w:rPr>
          <w:rFonts w:ascii="宋体" w:hAnsi="宋体" w:cs="宋体"/>
          <w:kern w:val="0"/>
          <w:szCs w:val="24"/>
        </w:rPr>
      </w:pPr>
      <w:r>
        <w:rPr>
          <w:rFonts w:hint="eastAsia" w:ascii="宋体" w:hAnsi="宋体" w:cs="宋体"/>
          <w:kern w:val="0"/>
          <w:szCs w:val="24"/>
        </w:rPr>
        <w:t>暂时闲置的固定资产情况</w:t>
      </w:r>
    </w:p>
    <w:sdt>
      <w:sdtPr>
        <w:alias w:val="是否适用：暂时闲置的固定资产情况[双击切换]"/>
        <w:tag w:val="_GBC_2fdfdf37e427442eb50e14c905c59fbe"/>
        <w:id w:val="213659399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6"/>
        <w:numPr>
          <w:ilvl w:val="0"/>
          <w:numId w:val="85"/>
        </w:numPr>
        <w:ind w:leftChars="0"/>
        <w:rPr>
          <w:rFonts w:ascii="宋体" w:hAnsi="宋体" w:cs="宋体"/>
          <w:kern w:val="0"/>
          <w:szCs w:val="24"/>
        </w:rPr>
      </w:pPr>
      <w:r>
        <w:rPr>
          <w:rFonts w:hint="eastAsia" w:ascii="宋体" w:hAnsi="宋体" w:cs="宋体"/>
          <w:kern w:val="0"/>
          <w:szCs w:val="24"/>
        </w:rPr>
        <w:t>通过经营租赁租出的固定资产</w:t>
      </w:r>
    </w:p>
    <w:sdt>
      <w:sdtPr>
        <w:alias w:val="是否适用：通过经营租赁租出的固定资产[双击切换]"/>
        <w:tag w:val="_GBC_c2ddde62aad742b6997b43c9077b5c4b"/>
        <w:id w:val="19944512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rPr>
          <w:color w:val="FF0000"/>
        </w:rPr>
      </w:pPr>
    </w:p>
    <w:p>
      <w:pPr>
        <w:pStyle w:val="506"/>
        <w:numPr>
          <w:ilvl w:val="0"/>
          <w:numId w:val="85"/>
        </w:numPr>
        <w:ind w:leftChars="0"/>
        <w:rPr>
          <w:rFonts w:ascii="宋体" w:hAnsi="宋体" w:cs="宋体"/>
          <w:kern w:val="0"/>
          <w:szCs w:val="24"/>
        </w:rPr>
      </w:pPr>
      <w:r>
        <w:rPr>
          <w:rFonts w:hint="eastAsia" w:ascii="宋体" w:hAnsi="宋体" w:cs="宋体"/>
          <w:kern w:val="0"/>
          <w:szCs w:val="24"/>
        </w:rPr>
        <w:t>未办妥产权证书的固定资产情况</w:t>
      </w:r>
    </w:p>
    <w:p>
      <w:pPr>
        <w:pStyle w:val="531"/>
      </w:pPr>
      <w:sdt>
        <w:sdtPr>
          <w:alias w:val="是否适用：未办妥产权证书的固定资产情况[双击切换]"/>
          <w:tag w:val="_GBC_46625a97c34c4326af56ee4f005058fb"/>
          <w:id w:val="1027681677"/>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办妥产权证书的固定资产情况"/>
          <w:tag w:val="_GBC_af0b65f779a444509a345fcc235c4e13"/>
          <w:id w:val="-8888087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未办妥产权证书的固定资产情况"/>
          <w:tag w:val="_GBC_8b4f91db9e314b61ac2d85b092fd5832"/>
          <w:id w:val="5569807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3042"/>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112d13ed7a04a10bce803acc672660e"/>
            <w:id w:val="447055243"/>
          </w:sdtPr>
          <w:sdtContent>
            <w:tc>
              <w:tcPr>
                <w:tcW w:w="1629" w:type="pct"/>
                <w:vAlign w:val="center"/>
              </w:tcPr>
              <w:p>
                <w:pPr>
                  <w:jc w:val="center"/>
                </w:pPr>
                <w:r>
                  <w:rPr>
                    <w:rFonts w:hint="eastAsia"/>
                  </w:rPr>
                  <w:t>项目</w:t>
                </w:r>
              </w:p>
            </w:tc>
          </w:sdtContent>
        </w:sdt>
        <w:sdt>
          <w:sdtPr>
            <w:tag w:val="_PLD_5fca73223de74724a06b56d07c06e26b"/>
            <w:id w:val="1965699466"/>
          </w:sdtPr>
          <w:sdtContent>
            <w:tc>
              <w:tcPr>
                <w:tcW w:w="1681" w:type="pct"/>
                <w:vAlign w:val="center"/>
              </w:tcPr>
              <w:p>
                <w:pPr>
                  <w:jc w:val="center"/>
                </w:pPr>
                <w:r>
                  <w:rPr>
                    <w:rFonts w:hint="eastAsia"/>
                  </w:rPr>
                  <w:t>账面价值</w:t>
                </w:r>
              </w:p>
            </w:tc>
          </w:sdtContent>
        </w:sdt>
        <w:sdt>
          <w:sdtPr>
            <w:tag w:val="_PLD_0f07869ee4694758ae54754a2afb45dd"/>
            <w:id w:val="-862136791"/>
          </w:sdtPr>
          <w:sdtContent>
            <w:tc>
              <w:tcPr>
                <w:tcW w:w="1690" w:type="pct"/>
                <w:vAlign w:val="center"/>
              </w:tcPr>
              <w:p>
                <w:pPr>
                  <w:jc w:val="center"/>
                </w:pPr>
                <w:r>
                  <w:rPr>
                    <w:rFonts w:hint="eastAsia"/>
                  </w:rPr>
                  <w:t>未办妥产权证书的原因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Pr>
          <w:p>
            <w:pPr>
              <w:pStyle w:val="501"/>
            </w:pPr>
            <w:r>
              <w:rPr>
                <w:rFonts w:hint="eastAsia"/>
              </w:rPr>
              <w:t>地面建筑物</w:t>
            </w:r>
          </w:p>
        </w:tc>
        <w:tc>
          <w:tcPr>
            <w:tcW w:w="1681" w:type="pct"/>
            <w:vAlign w:val="center"/>
          </w:tcPr>
          <w:p>
            <w:pPr>
              <w:jc w:val="right"/>
              <w:rPr>
                <w:rFonts w:ascii="宋体" w:hAnsi="宋体"/>
              </w:rPr>
            </w:pPr>
            <w:r>
              <w:rPr>
                <w:rFonts w:ascii="宋体" w:hAnsi="宋体"/>
              </w:rPr>
              <w:t>174,704</w:t>
            </w:r>
          </w:p>
        </w:tc>
        <w:tc>
          <w:tcPr>
            <w:tcW w:w="1690" w:type="pct"/>
          </w:tcPr>
          <w:p>
            <w:pPr>
              <w:rPr>
                <w:rFonts w:ascii="宋体" w:hAnsi="宋体"/>
              </w:rPr>
            </w:pPr>
            <w:r>
              <w:rPr>
                <w:rFonts w:hint="eastAsia" w:ascii="宋体" w:hAnsi="宋体"/>
              </w:rPr>
              <w:t>正在办理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Pr>
          <w:p>
            <w:pPr>
              <w:pStyle w:val="501"/>
            </w:pPr>
            <w:r>
              <w:rPr>
                <w:rFonts w:hint="eastAsia"/>
              </w:rPr>
              <w:t>房屋建筑物</w:t>
            </w:r>
          </w:p>
        </w:tc>
        <w:tc>
          <w:tcPr>
            <w:tcW w:w="1681" w:type="pct"/>
            <w:vAlign w:val="center"/>
          </w:tcPr>
          <w:p>
            <w:pPr>
              <w:jc w:val="right"/>
              <w:rPr>
                <w:rFonts w:ascii="宋体" w:hAnsi="宋体"/>
              </w:rPr>
            </w:pPr>
            <w:r>
              <w:rPr>
                <w:rFonts w:hint="eastAsia" w:ascii="宋体" w:hAnsi="宋体"/>
              </w:rPr>
              <w:t>6</w:t>
            </w:r>
            <w:r>
              <w:rPr>
                <w:rFonts w:ascii="宋体" w:hAnsi="宋体"/>
              </w:rPr>
              <w:t>,122,377</w:t>
            </w:r>
          </w:p>
        </w:tc>
        <w:tc>
          <w:tcPr>
            <w:tcW w:w="1690" w:type="pct"/>
          </w:tcPr>
          <w:p>
            <w:pPr>
              <w:rPr>
                <w:rFonts w:ascii="宋体" w:hAnsi="宋体"/>
              </w:rPr>
            </w:pPr>
            <w:r>
              <w:rPr>
                <w:rFonts w:hint="eastAsia" w:ascii="宋体" w:hAnsi="宋体"/>
              </w:rPr>
              <w:t>正在办理</w:t>
            </w:r>
          </w:p>
        </w:tc>
      </w:tr>
    </w:tbl>
    <w:p>
      <w:pPr>
        <w:pStyle w:val="531"/>
      </w:pPr>
    </w:p>
    <w:p>
      <w:pPr>
        <w:pStyle w:val="506"/>
        <w:numPr>
          <w:ilvl w:val="0"/>
          <w:numId w:val="85"/>
        </w:numPr>
        <w:ind w:leftChars="0"/>
        <w:rPr>
          <w:rFonts w:ascii="宋体" w:hAnsi="宋体" w:cs="宋体"/>
          <w:kern w:val="0"/>
          <w:szCs w:val="24"/>
        </w:rPr>
      </w:pPr>
      <w:bookmarkStart w:id="290" w:name="_Hlk153460880"/>
      <w:r>
        <w:rPr>
          <w:rFonts w:hint="eastAsia" w:ascii="宋体" w:hAnsi="宋体" w:cs="宋体"/>
          <w:kern w:val="0"/>
          <w:szCs w:val="24"/>
        </w:rPr>
        <w:t>固定资产的减值测试情况</w:t>
      </w:r>
    </w:p>
    <w:sdt>
      <w:sdtPr>
        <w:alias w:val="是否适用：减值测试情况[双击切换]"/>
        <w:tag w:val="_GBC_d1f21a00be1347f697689e4105263cab"/>
        <w:id w:val="1454445480"/>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bookmarkEnd w:id="290"/>
    <w:p>
      <w:pPr>
        <w:snapToGrid w:val="0"/>
        <w:spacing w:line="240" w:lineRule="atLeast"/>
      </w:pPr>
    </w:p>
    <w:p>
      <w:pPr>
        <w:pStyle w:val="501"/>
      </w:pPr>
      <w:r>
        <w:rPr>
          <w:rFonts w:hint="eastAsia"/>
        </w:rPr>
        <w:t>其他说明：</w:t>
      </w:r>
    </w:p>
    <w:sdt>
      <w:sdtPr>
        <w:alias w:val="是否适用：固定资产的说明[双击切换]"/>
        <w:tag w:val="_GBC_a7ec4df8fd354d7d9980e0f731a85e12"/>
        <w:id w:val="1868406501"/>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ind w:left="360" w:hanging="360"/>
      </w:pPr>
      <w:r>
        <w:rPr>
          <w:rFonts w:hint="eastAsia"/>
        </w:rPr>
        <w:t>固定资产清理</w:t>
      </w:r>
    </w:p>
    <w:sdt>
      <w:sdtPr>
        <w:alias w:val="是否适用：固定资产清理[双击切换]"/>
        <w:tag w:val="_GBC_e3c92a1042004e36882d16145109bd0e"/>
        <w:id w:val="52559820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固定资产清理"/>
          <w:tag w:val="_GBC_dd9fac0435e34162af7691578328c197"/>
          <w:id w:val="-8174150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固定资产清理"/>
          <w:tag w:val="_GBC_0a3f7129159d46aa90131f740f7a333d"/>
          <w:id w:val="-9735230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4851"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397"/>
        <w:gridCol w:w="3282"/>
        <w:gridCol w:w="3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72ed8e60b9b44aee824af33d3a0e1e45"/>
            <w:id w:val="-332607054"/>
          </w:sdtPr>
          <w:sdtContent>
            <w:tc>
              <w:tcPr>
                <w:tcW w:w="1364" w:type="pct"/>
                <w:shd w:val="clear" w:color="auto" w:fill="auto"/>
              </w:tcPr>
              <w:p>
                <w:pPr>
                  <w:jc w:val="center"/>
                </w:pPr>
                <w:r>
                  <w:rPr>
                    <w:rFonts w:hint="eastAsia"/>
                  </w:rPr>
                  <w:t>项目</w:t>
                </w:r>
              </w:p>
            </w:tc>
          </w:sdtContent>
        </w:sdt>
        <w:sdt>
          <w:sdtPr>
            <w:tag w:val="_PLD_5116ba95ffe94c9abd82d232062969bb"/>
            <w:id w:val="330099767"/>
          </w:sdtPr>
          <w:sdtContent>
            <w:tc>
              <w:tcPr>
                <w:tcW w:w="1867" w:type="pct"/>
                <w:shd w:val="clear" w:color="auto" w:fill="auto"/>
              </w:tcPr>
              <w:p>
                <w:pPr>
                  <w:jc w:val="center"/>
                </w:pPr>
                <w:r>
                  <w:rPr>
                    <w:rFonts w:hint="eastAsia"/>
                  </w:rPr>
                  <w:t>期末余额</w:t>
                </w:r>
              </w:p>
            </w:tc>
          </w:sdtContent>
        </w:sdt>
        <w:sdt>
          <w:sdtPr>
            <w:tag w:val="_PLD_27fd89dc7db94a19a2bd7ad6296eabf8"/>
            <w:id w:val="1537075858"/>
          </w:sdtPr>
          <w:sdtContent>
            <w:tc>
              <w:tcPr>
                <w:tcW w:w="1769" w:type="pct"/>
                <w:shd w:val="clear" w:color="auto" w:fill="auto"/>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64" w:type="pct"/>
            <w:shd w:val="clear" w:color="auto" w:fill="auto"/>
          </w:tcPr>
          <w:p>
            <w:pPr>
              <w:pStyle w:val="531"/>
            </w:pPr>
            <w:r>
              <w:rPr>
                <w:rFonts w:hint="eastAsia"/>
              </w:rPr>
              <w:t>机器设备</w:t>
            </w:r>
          </w:p>
        </w:tc>
        <w:tc>
          <w:tcPr>
            <w:tcW w:w="1867" w:type="pct"/>
            <w:shd w:val="clear" w:color="auto" w:fill="auto"/>
          </w:tcPr>
          <w:p>
            <w:pPr>
              <w:jc w:val="right"/>
              <w:rPr>
                <w:rFonts w:ascii="宋体" w:hAnsi="宋体"/>
              </w:rPr>
            </w:pPr>
            <w:r>
              <w:rPr>
                <w:rFonts w:ascii="宋体" w:hAnsi="宋体"/>
              </w:rPr>
              <w:t>7,846</w:t>
            </w:r>
          </w:p>
        </w:tc>
        <w:tc>
          <w:tcPr>
            <w:tcW w:w="1769" w:type="pct"/>
            <w:shd w:val="clear" w:color="auto" w:fill="auto"/>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64" w:type="pct"/>
            <w:shd w:val="clear" w:color="auto" w:fill="auto"/>
            <w:vAlign w:val="center"/>
          </w:tcPr>
          <w:p>
            <w:pPr>
              <w:jc w:val="center"/>
            </w:pPr>
            <w:r>
              <w:rPr>
                <w:rFonts w:hint="eastAsia"/>
              </w:rPr>
              <w:t>合计</w:t>
            </w:r>
          </w:p>
        </w:tc>
        <w:tc>
          <w:tcPr>
            <w:tcW w:w="1867" w:type="pct"/>
            <w:shd w:val="clear" w:color="auto" w:fill="auto"/>
          </w:tcPr>
          <w:p>
            <w:pPr>
              <w:jc w:val="right"/>
              <w:rPr>
                <w:rFonts w:ascii="宋体" w:hAnsi="宋体"/>
              </w:rPr>
            </w:pPr>
            <w:r>
              <w:rPr>
                <w:rFonts w:ascii="宋体" w:hAnsi="宋体"/>
              </w:rPr>
              <w:t>7,846</w:t>
            </w:r>
          </w:p>
        </w:tc>
        <w:tc>
          <w:tcPr>
            <w:tcW w:w="1769" w:type="pct"/>
            <w:shd w:val="clear" w:color="auto" w:fill="auto"/>
          </w:tcPr>
          <w:p>
            <w:pPr>
              <w:jc w:val="right"/>
              <w:rPr>
                <w:rFonts w:ascii="宋体" w:hAnsi="宋体"/>
              </w:rPr>
            </w:pPr>
          </w:p>
        </w:tc>
      </w:tr>
    </w:tbl>
    <w:p>
      <w:pPr>
        <w:pStyle w:val="501"/>
      </w:pPr>
    </w:p>
    <w:p>
      <w:pPr>
        <w:pStyle w:val="501"/>
      </w:pPr>
    </w:p>
    <w:p>
      <w:pPr>
        <w:pStyle w:val="504"/>
        <w:numPr>
          <w:ilvl w:val="0"/>
          <w:numId w:val="69"/>
        </w:numPr>
        <w:tabs>
          <w:tab w:val="left" w:pos="504"/>
        </w:tabs>
        <w:rPr>
          <w:rFonts w:ascii="宋体" w:hAnsi="宋体"/>
          <w:szCs w:val="21"/>
        </w:rPr>
      </w:pPr>
      <w:r>
        <w:rPr>
          <w:rFonts w:hint="eastAsia" w:ascii="宋体" w:hAnsi="宋体"/>
          <w:szCs w:val="21"/>
        </w:rPr>
        <w:t>在建工程</w:t>
      </w:r>
      <w:bookmarkStart w:id="291" w:name="_Hlk532914352"/>
    </w:p>
    <w:p>
      <w:pPr>
        <w:pStyle w:val="505"/>
        <w:rPr>
          <w:rFonts w:ascii="宋体" w:hAnsi="宋体"/>
          <w:szCs w:val="21"/>
        </w:rPr>
      </w:pPr>
      <w:r>
        <w:rPr>
          <w:rFonts w:hint="eastAsia"/>
        </w:rPr>
        <w:t>项目列示</w:t>
      </w:r>
    </w:p>
    <w:sdt>
      <w:sdtPr>
        <w:alias w:val="是否适用：在建工程分类列示[双击切换]"/>
        <w:tag w:val="_GBC_c1e2db0ea96a470497d3e7b3545f11ff"/>
        <w:id w:val="162211447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在建工程分类列示"/>
          <w:tag w:val="_GBC_c3fc0d9041a1447580d30c51269288ae"/>
          <w:id w:val="-14537031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在建工程分类列示"/>
          <w:tag w:val="_GBC_1bdb2a3deae044179993a80635469bb5"/>
          <w:id w:val="-5661917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blHeader/>
        </w:trPr>
        <w:sdt>
          <w:sdtPr>
            <w:tag w:val="_PLD_e3fac3cdac65475ca8ba6bb772e3b841"/>
            <w:id w:val="-851649241"/>
          </w:sdtPr>
          <w:sdtContent>
            <w:tc>
              <w:tcPr>
                <w:tcW w:w="1764" w:type="pct"/>
                <w:vAlign w:val="center"/>
              </w:tcPr>
              <w:p>
                <w:pPr>
                  <w:jc w:val="center"/>
                </w:pPr>
                <w:r>
                  <w:rPr>
                    <w:rFonts w:hint="eastAsia"/>
                  </w:rPr>
                  <w:t>项目</w:t>
                </w:r>
              </w:p>
            </w:tc>
          </w:sdtContent>
        </w:sdt>
        <w:sdt>
          <w:sdtPr>
            <w:tag w:val="_PLD_4e98919cdcd84191b541b2ee895e77bf"/>
            <w:id w:val="2032908477"/>
          </w:sdtPr>
          <w:sdtContent>
            <w:tc>
              <w:tcPr>
                <w:tcW w:w="1622" w:type="pct"/>
                <w:vAlign w:val="center"/>
              </w:tcPr>
              <w:p>
                <w:pPr>
                  <w:jc w:val="center"/>
                </w:pPr>
                <w:r>
                  <w:rPr>
                    <w:rFonts w:hint="eastAsia"/>
                  </w:rPr>
                  <w:t>期末余额</w:t>
                </w:r>
              </w:p>
            </w:tc>
          </w:sdtContent>
        </w:sdt>
        <w:sdt>
          <w:sdtPr>
            <w:tag w:val="_PLD_4ce0928269bc47149a98320193bd0b0a"/>
            <w:id w:val="-1848789583"/>
          </w:sdtPr>
          <w:sdtContent>
            <w:tc>
              <w:tcPr>
                <w:tcW w:w="1614" w:type="pct"/>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tabs>
                <w:tab w:val="right" w:pos="3690"/>
                <w:tab w:val="right" w:pos="5130"/>
                <w:tab w:val="right" w:pos="6030"/>
                <w:tab w:val="right" w:pos="7650"/>
                <w:tab w:val="right" w:pos="9270"/>
              </w:tabs>
              <w:adjustRightInd w:val="0"/>
              <w:snapToGrid w:val="0"/>
            </w:pPr>
            <w:r>
              <w:rPr>
                <w:rFonts w:hint="eastAsia"/>
              </w:rPr>
              <w:t>在建工程</w:t>
            </w:r>
          </w:p>
        </w:tc>
        <w:tc>
          <w:tcPr>
            <w:tcW w:w="1622" w:type="pct"/>
          </w:tcPr>
          <w:p>
            <w:pPr>
              <w:ind w:right="5"/>
              <w:jc w:val="right"/>
              <w:rPr>
                <w:rFonts w:ascii="宋体" w:hAnsi="宋体"/>
              </w:rPr>
            </w:pPr>
            <w:r>
              <w:rPr>
                <w:rFonts w:ascii="宋体" w:hAnsi="宋体"/>
              </w:rPr>
              <w:t>20,204,957</w:t>
            </w:r>
          </w:p>
        </w:tc>
        <w:tc>
          <w:tcPr>
            <w:tcW w:w="1614" w:type="pct"/>
          </w:tcPr>
          <w:p>
            <w:pPr>
              <w:ind w:right="5"/>
              <w:jc w:val="right"/>
              <w:rPr>
                <w:rFonts w:ascii="宋体" w:hAnsi="宋体"/>
              </w:rPr>
            </w:pPr>
            <w:r>
              <w:rPr>
                <w:rFonts w:ascii="宋体" w:hAnsi="宋体"/>
              </w:rPr>
              <w:t>17,938,112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vAlign w:val="center"/>
          </w:tcPr>
          <w:p>
            <w:pPr>
              <w:autoSpaceDE w:val="0"/>
              <w:autoSpaceDN w:val="0"/>
              <w:adjustRightInd w:val="0"/>
              <w:jc w:val="center"/>
            </w:pPr>
            <w:r>
              <w:rPr>
                <w:rFonts w:hint="eastAsia"/>
              </w:rPr>
              <w:t>合计</w:t>
            </w:r>
          </w:p>
        </w:tc>
        <w:tc>
          <w:tcPr>
            <w:tcW w:w="1622" w:type="pct"/>
          </w:tcPr>
          <w:p>
            <w:pPr>
              <w:jc w:val="right"/>
              <w:rPr>
                <w:rFonts w:ascii="宋体" w:hAnsi="宋体"/>
              </w:rPr>
            </w:pPr>
            <w:r>
              <w:rPr>
                <w:rFonts w:ascii="宋体" w:hAnsi="宋体"/>
              </w:rPr>
              <w:t>20,204,957</w:t>
            </w:r>
          </w:p>
        </w:tc>
        <w:tc>
          <w:tcPr>
            <w:tcW w:w="1614" w:type="pct"/>
          </w:tcPr>
          <w:p>
            <w:pPr>
              <w:ind w:right="5"/>
              <w:jc w:val="right"/>
              <w:rPr>
                <w:rFonts w:ascii="宋体" w:hAnsi="宋体"/>
              </w:rPr>
            </w:pPr>
            <w:r>
              <w:rPr>
                <w:rFonts w:ascii="宋体" w:hAnsi="宋体"/>
              </w:rPr>
              <w:t>17,938,112</w:t>
            </w:r>
          </w:p>
        </w:tc>
      </w:tr>
      <w:bookmarkEnd w:id="291"/>
    </w:tbl>
    <w:p>
      <w:pPr>
        <w:pStyle w:val="531"/>
      </w:pPr>
    </w:p>
    <w:p>
      <w:pPr>
        <w:pStyle w:val="501"/>
      </w:pPr>
      <w:r>
        <w:rPr>
          <w:rFonts w:hint="eastAsia"/>
        </w:rPr>
        <w:t>其他说明：</w:t>
      </w:r>
    </w:p>
    <w:sdt>
      <w:sdtPr>
        <w:alias w:val="是否适用：在建工程分类列示其他说明[双击切换]"/>
        <w:tag w:val="_GBC_97da24841dd24220bc5206311fc28039"/>
        <w:id w:val="-1125765636"/>
        <w:placeholder>
          <w:docPart w:val="GBC22222222222222222222222222222"/>
        </w:placeholder>
      </w:sdtPr>
      <w:sdtContent>
        <w:p>
          <w:pPr>
            <w:pStyle w:val="501"/>
          </w:pPr>
          <w:bookmarkStart w:id="292" w:name="_Hlk532915382"/>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92"/>
    <w:p>
      <w:pPr>
        <w:pStyle w:val="501"/>
      </w:pPr>
    </w:p>
    <w:p>
      <w:pPr>
        <w:pStyle w:val="505"/>
        <w:ind w:left="360" w:hanging="360"/>
      </w:pPr>
      <w:r>
        <w:rPr>
          <w:rFonts w:hint="eastAsia"/>
        </w:rPr>
        <w:t>在建工程</w:t>
      </w:r>
    </w:p>
    <w:p>
      <w:pPr>
        <w:pStyle w:val="506"/>
        <w:numPr>
          <w:ilvl w:val="0"/>
          <w:numId w:val="86"/>
        </w:numPr>
        <w:ind w:leftChars="0"/>
      </w:pPr>
      <w:r>
        <w:rPr>
          <w:rFonts w:hint="eastAsia"/>
        </w:rPr>
        <w:t>在建工程情况</w:t>
      </w:r>
    </w:p>
    <w:sdt>
      <w:sdtPr>
        <w:alias w:val="是否适用：在建工程情况[双击切换]"/>
        <w:tag w:val="_GBC_3d1e0f4f19d8472c9f5250b0ba025185"/>
        <w:id w:val="207361739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在建工程"/>
          <w:tag w:val="_GBC_c20f70bc9d1e4476bd65c1988111664f"/>
          <w:id w:val="7719759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在建工程"/>
          <w:tag w:val="_GBC_8057969f154445809d2bd47ba3a4ee1d"/>
          <w:id w:val="-15028160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266"/>
        <w:gridCol w:w="1161"/>
        <w:gridCol w:w="1266"/>
        <w:gridCol w:w="1266"/>
        <w:gridCol w:w="1161"/>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4c6d788b0564cf39dd83135bd94fa33"/>
            <w:id w:val="-1803071587"/>
          </w:sdtPr>
          <w:sdtContent>
            <w:tc>
              <w:tcPr>
                <w:tcW w:w="1039" w:type="pct"/>
                <w:vMerge w:val="restart"/>
                <w:vAlign w:val="center"/>
              </w:tcPr>
              <w:p>
                <w:pPr>
                  <w:jc w:val="center"/>
                </w:pPr>
                <w:r>
                  <w:rPr>
                    <w:rFonts w:hint="eastAsia"/>
                  </w:rPr>
                  <w:t>项目</w:t>
                </w:r>
              </w:p>
            </w:tc>
          </w:sdtContent>
        </w:sdt>
        <w:sdt>
          <w:sdtPr>
            <w:tag w:val="_PLD_0f8aeba685c643d8bbe995cb6221e768"/>
            <w:id w:val="-1664389298"/>
          </w:sdtPr>
          <w:sdtContent>
            <w:tc>
              <w:tcPr>
                <w:tcW w:w="1987" w:type="pct"/>
                <w:gridSpan w:val="3"/>
                <w:vAlign w:val="center"/>
              </w:tcPr>
              <w:p>
                <w:pPr>
                  <w:jc w:val="center"/>
                </w:pPr>
                <w:r>
                  <w:rPr>
                    <w:rFonts w:hint="eastAsia"/>
                  </w:rPr>
                  <w:t>期末余额</w:t>
                </w:r>
              </w:p>
            </w:tc>
          </w:sdtContent>
        </w:sdt>
        <w:sdt>
          <w:sdtPr>
            <w:tag w:val="_PLD_87e3270219434e9f8494ce0079d505fd"/>
            <w:id w:val="1859395107"/>
          </w:sdtPr>
          <w:sdtContent>
            <w:tc>
              <w:tcPr>
                <w:tcW w:w="1973" w:type="pct"/>
                <w:gridSpan w:val="3"/>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9" w:type="pct"/>
            <w:vMerge w:val="continue"/>
            <w:vAlign w:val="center"/>
          </w:tcPr>
          <w:p>
            <w:pPr>
              <w:tabs>
                <w:tab w:val="left" w:pos="420"/>
              </w:tabs>
              <w:ind w:left="420" w:hanging="420"/>
              <w:jc w:val="center"/>
            </w:pPr>
          </w:p>
        </w:tc>
        <w:sdt>
          <w:sdtPr>
            <w:tag w:val="_PLD_38fd2fe6396a41ae994e421a6ad8573a"/>
            <w:id w:val="-2098010417"/>
          </w:sdtPr>
          <w:sdtContent>
            <w:tc>
              <w:tcPr>
                <w:tcW w:w="665" w:type="pct"/>
                <w:vAlign w:val="center"/>
              </w:tcPr>
              <w:p>
                <w:pPr>
                  <w:tabs>
                    <w:tab w:val="left" w:pos="420"/>
                  </w:tabs>
                  <w:ind w:left="420" w:hanging="420"/>
                  <w:jc w:val="center"/>
                </w:pPr>
                <w:r>
                  <w:rPr>
                    <w:rFonts w:hint="eastAsia"/>
                  </w:rPr>
                  <w:t>账面余额</w:t>
                </w:r>
              </w:p>
            </w:tc>
          </w:sdtContent>
        </w:sdt>
        <w:sdt>
          <w:sdtPr>
            <w:tag w:val="_PLD_efb5f565ae7d43338576e6ba69d207b2"/>
            <w:id w:val="-248111037"/>
          </w:sdtPr>
          <w:sdtContent>
            <w:tc>
              <w:tcPr>
                <w:tcW w:w="658" w:type="pct"/>
                <w:vAlign w:val="center"/>
              </w:tcPr>
              <w:p>
                <w:pPr>
                  <w:pStyle w:val="27"/>
                  <w:spacing w:line="240" w:lineRule="auto"/>
                  <w:jc w:val="center"/>
                </w:pPr>
                <w:r>
                  <w:rPr>
                    <w:rFonts w:hint="eastAsia"/>
                  </w:rPr>
                  <w:t>减值准备</w:t>
                </w:r>
              </w:p>
            </w:tc>
          </w:sdtContent>
        </w:sdt>
        <w:sdt>
          <w:sdtPr>
            <w:tag w:val="_PLD_74e2fff2faeb4e10b56ba612a8b3b4e8"/>
            <w:id w:val="-302466231"/>
          </w:sdtPr>
          <w:sdtContent>
            <w:tc>
              <w:tcPr>
                <w:tcW w:w="665" w:type="pct"/>
                <w:vAlign w:val="center"/>
              </w:tcPr>
              <w:p>
                <w:pPr>
                  <w:pStyle w:val="27"/>
                  <w:spacing w:line="240" w:lineRule="auto"/>
                  <w:jc w:val="center"/>
                </w:pPr>
                <w:r>
                  <w:rPr>
                    <w:rFonts w:hint="eastAsia"/>
                  </w:rPr>
                  <w:t>账面价值</w:t>
                </w:r>
              </w:p>
            </w:tc>
          </w:sdtContent>
        </w:sdt>
        <w:sdt>
          <w:sdtPr>
            <w:tag w:val="_PLD_320b5c6e751a40cb8f8d6cb989669680"/>
            <w:id w:val="1090275691"/>
          </w:sdtPr>
          <w:sdtContent>
            <w:tc>
              <w:tcPr>
                <w:tcW w:w="650" w:type="pct"/>
                <w:vAlign w:val="center"/>
              </w:tcPr>
              <w:p>
                <w:pPr>
                  <w:tabs>
                    <w:tab w:val="left" w:pos="420"/>
                  </w:tabs>
                  <w:ind w:left="420" w:hanging="420"/>
                  <w:jc w:val="center"/>
                </w:pPr>
                <w:r>
                  <w:rPr>
                    <w:rFonts w:hint="eastAsia"/>
                  </w:rPr>
                  <w:t>账面余额</w:t>
                </w:r>
              </w:p>
            </w:tc>
          </w:sdtContent>
        </w:sdt>
        <w:sdt>
          <w:sdtPr>
            <w:tag w:val="_PLD_887f924a18a14763b7d38b336e4eca91"/>
            <w:id w:val="-207723619"/>
          </w:sdtPr>
          <w:sdtContent>
            <w:tc>
              <w:tcPr>
                <w:tcW w:w="658" w:type="pct"/>
                <w:vAlign w:val="center"/>
              </w:tcPr>
              <w:p>
                <w:pPr>
                  <w:pStyle w:val="27"/>
                  <w:spacing w:line="240" w:lineRule="auto"/>
                  <w:jc w:val="center"/>
                </w:pPr>
                <w:r>
                  <w:rPr>
                    <w:rFonts w:hint="eastAsia"/>
                  </w:rPr>
                  <w:t>减值准备</w:t>
                </w:r>
              </w:p>
            </w:tc>
          </w:sdtContent>
        </w:sdt>
        <w:sdt>
          <w:sdtPr>
            <w:tag w:val="_PLD_56d3163c60044998bf2f3d80a83c26a6"/>
            <w:id w:val="-506141712"/>
          </w:sdtPr>
          <w:sdtContent>
            <w:tc>
              <w:tcPr>
                <w:tcW w:w="665" w:type="pct"/>
                <w:vAlign w:val="center"/>
              </w:tcPr>
              <w:p>
                <w:pPr>
                  <w:pStyle w:val="27"/>
                  <w:spacing w:line="240" w:lineRule="auto"/>
                  <w:jc w:val="center"/>
                </w:pPr>
                <w:r>
                  <w:rPr>
                    <w:rFonts w:hint="eastAsia"/>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9" w:type="pct"/>
          </w:tcPr>
          <w:p>
            <w:pPr>
              <w:pStyle w:val="501"/>
            </w:pPr>
            <w:r>
              <w:rPr>
                <w:rFonts w:hint="eastAsia"/>
              </w:rPr>
              <w:t>一、维简工程</w:t>
            </w:r>
          </w:p>
        </w:tc>
        <w:tc>
          <w:tcPr>
            <w:tcW w:w="665" w:type="pct"/>
            <w:vAlign w:val="center"/>
          </w:tcPr>
          <w:p>
            <w:pPr>
              <w:jc w:val="right"/>
              <w:rPr>
                <w:rFonts w:ascii="宋体" w:hAnsi="宋体"/>
              </w:rPr>
            </w:pPr>
            <w:r>
              <w:rPr>
                <w:rFonts w:ascii="宋体" w:hAnsi="宋体"/>
              </w:rPr>
              <w:t>2,984,866</w:t>
            </w:r>
          </w:p>
        </w:tc>
        <w:tc>
          <w:tcPr>
            <w:tcW w:w="658" w:type="pct"/>
            <w:vAlign w:val="center"/>
          </w:tcPr>
          <w:p>
            <w:pPr>
              <w:jc w:val="right"/>
              <w:rPr>
                <w:rFonts w:ascii="宋体" w:hAnsi="宋体"/>
              </w:rPr>
            </w:pPr>
            <w:r>
              <w:rPr>
                <w:rFonts w:ascii="宋体" w:hAnsi="宋体"/>
              </w:rPr>
              <w:t>44,358</w:t>
            </w:r>
          </w:p>
        </w:tc>
        <w:tc>
          <w:tcPr>
            <w:tcW w:w="665" w:type="pct"/>
            <w:vAlign w:val="center"/>
          </w:tcPr>
          <w:p>
            <w:pPr>
              <w:jc w:val="right"/>
              <w:rPr>
                <w:rFonts w:ascii="宋体" w:hAnsi="宋体"/>
              </w:rPr>
            </w:pPr>
            <w:r>
              <w:rPr>
                <w:rFonts w:ascii="宋体" w:hAnsi="宋体"/>
              </w:rPr>
              <w:t>2,940,508</w:t>
            </w:r>
          </w:p>
        </w:tc>
        <w:tc>
          <w:tcPr>
            <w:tcW w:w="650" w:type="pct"/>
            <w:vAlign w:val="center"/>
          </w:tcPr>
          <w:p>
            <w:pPr>
              <w:jc w:val="right"/>
              <w:rPr>
                <w:rFonts w:ascii="宋体" w:hAnsi="宋体"/>
              </w:rPr>
            </w:pPr>
            <w:r>
              <w:rPr>
                <w:rFonts w:ascii="宋体" w:hAnsi="宋体"/>
              </w:rPr>
              <w:t>2,276,728</w:t>
            </w:r>
          </w:p>
        </w:tc>
        <w:tc>
          <w:tcPr>
            <w:tcW w:w="658" w:type="pct"/>
            <w:vAlign w:val="center"/>
          </w:tcPr>
          <w:p>
            <w:pPr>
              <w:jc w:val="right"/>
              <w:rPr>
                <w:rFonts w:ascii="宋体" w:hAnsi="宋体"/>
              </w:rPr>
            </w:pPr>
            <w:r>
              <w:rPr>
                <w:rFonts w:ascii="宋体" w:hAnsi="宋体"/>
              </w:rPr>
              <w:t>44,358</w:t>
            </w:r>
          </w:p>
        </w:tc>
        <w:tc>
          <w:tcPr>
            <w:tcW w:w="665" w:type="pct"/>
            <w:vAlign w:val="center"/>
          </w:tcPr>
          <w:p>
            <w:pPr>
              <w:jc w:val="right"/>
              <w:rPr>
                <w:rFonts w:ascii="宋体" w:hAnsi="宋体"/>
              </w:rPr>
            </w:pPr>
            <w:r>
              <w:rPr>
                <w:rFonts w:ascii="宋体" w:hAnsi="宋体"/>
              </w:rPr>
              <w:t>2,232,370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9" w:type="pct"/>
          </w:tcPr>
          <w:p>
            <w:pPr>
              <w:pStyle w:val="501"/>
            </w:pPr>
            <w:r>
              <w:rPr>
                <w:rFonts w:hint="eastAsia"/>
              </w:rPr>
              <w:t>二、技改工程</w:t>
            </w:r>
          </w:p>
        </w:tc>
        <w:tc>
          <w:tcPr>
            <w:tcW w:w="665" w:type="pct"/>
            <w:vAlign w:val="center"/>
          </w:tcPr>
          <w:p>
            <w:pPr>
              <w:jc w:val="right"/>
              <w:rPr>
                <w:rFonts w:ascii="宋体" w:hAnsi="宋体"/>
              </w:rPr>
            </w:pPr>
            <w:r>
              <w:rPr>
                <w:rFonts w:ascii="宋体" w:hAnsi="宋体"/>
              </w:rPr>
              <w:t>768,909</w:t>
            </w:r>
          </w:p>
        </w:tc>
        <w:tc>
          <w:tcPr>
            <w:tcW w:w="658" w:type="pct"/>
            <w:vAlign w:val="center"/>
          </w:tcPr>
          <w:p>
            <w:pPr>
              <w:jc w:val="right"/>
              <w:rPr>
                <w:rFonts w:ascii="宋体" w:hAnsi="宋体"/>
              </w:rPr>
            </w:pPr>
          </w:p>
        </w:tc>
        <w:tc>
          <w:tcPr>
            <w:tcW w:w="665" w:type="pct"/>
            <w:vAlign w:val="center"/>
          </w:tcPr>
          <w:p>
            <w:pPr>
              <w:jc w:val="right"/>
              <w:rPr>
                <w:rFonts w:ascii="宋体" w:hAnsi="宋体"/>
              </w:rPr>
            </w:pPr>
            <w:r>
              <w:rPr>
                <w:rFonts w:ascii="宋体" w:hAnsi="宋体"/>
              </w:rPr>
              <w:t>768,909</w:t>
            </w:r>
          </w:p>
        </w:tc>
        <w:tc>
          <w:tcPr>
            <w:tcW w:w="650" w:type="pct"/>
            <w:vAlign w:val="center"/>
          </w:tcPr>
          <w:p>
            <w:pPr>
              <w:jc w:val="right"/>
              <w:rPr>
                <w:rFonts w:ascii="宋体" w:hAnsi="宋体"/>
              </w:rPr>
            </w:pPr>
            <w:r>
              <w:rPr>
                <w:rFonts w:ascii="宋体" w:hAnsi="宋体"/>
              </w:rPr>
              <w:t>2,158,000</w:t>
            </w:r>
          </w:p>
        </w:tc>
        <w:tc>
          <w:tcPr>
            <w:tcW w:w="658" w:type="pct"/>
            <w:vAlign w:val="center"/>
          </w:tcPr>
          <w:p>
            <w:pPr>
              <w:jc w:val="right"/>
              <w:rPr>
                <w:rFonts w:ascii="宋体" w:hAnsi="宋体"/>
              </w:rPr>
            </w:pPr>
          </w:p>
        </w:tc>
        <w:tc>
          <w:tcPr>
            <w:tcW w:w="665" w:type="pct"/>
            <w:vAlign w:val="center"/>
          </w:tcPr>
          <w:p>
            <w:pPr>
              <w:jc w:val="right"/>
              <w:rPr>
                <w:rFonts w:ascii="宋体" w:hAnsi="宋体"/>
              </w:rPr>
            </w:pPr>
            <w:r>
              <w:rPr>
                <w:rFonts w:ascii="宋体" w:hAnsi="宋体"/>
              </w:rPr>
              <w:t>2,158,000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9" w:type="pct"/>
          </w:tcPr>
          <w:p>
            <w:pPr>
              <w:pStyle w:val="501"/>
            </w:pPr>
            <w:r>
              <w:rPr>
                <w:rFonts w:hint="eastAsia"/>
              </w:rPr>
              <w:t>三、基建工程</w:t>
            </w:r>
          </w:p>
        </w:tc>
        <w:tc>
          <w:tcPr>
            <w:tcW w:w="665" w:type="pct"/>
            <w:vAlign w:val="center"/>
          </w:tcPr>
          <w:p>
            <w:pPr>
              <w:jc w:val="right"/>
              <w:rPr>
                <w:rFonts w:ascii="宋体" w:hAnsi="宋体"/>
              </w:rPr>
            </w:pPr>
            <w:r>
              <w:rPr>
                <w:rFonts w:ascii="宋体" w:hAnsi="宋体"/>
              </w:rPr>
              <w:t>16,429,645</w:t>
            </w:r>
          </w:p>
        </w:tc>
        <w:tc>
          <w:tcPr>
            <w:tcW w:w="658" w:type="pct"/>
            <w:vAlign w:val="center"/>
          </w:tcPr>
          <w:p>
            <w:pPr>
              <w:jc w:val="right"/>
              <w:rPr>
                <w:rFonts w:ascii="宋体" w:hAnsi="宋体"/>
              </w:rPr>
            </w:pPr>
            <w:r>
              <w:rPr>
                <w:rFonts w:ascii="宋体" w:hAnsi="宋体"/>
              </w:rPr>
              <w:t>821,508</w:t>
            </w:r>
          </w:p>
        </w:tc>
        <w:tc>
          <w:tcPr>
            <w:tcW w:w="665" w:type="pct"/>
            <w:vAlign w:val="center"/>
          </w:tcPr>
          <w:p>
            <w:pPr>
              <w:jc w:val="right"/>
              <w:rPr>
                <w:rFonts w:ascii="宋体" w:hAnsi="宋体"/>
              </w:rPr>
            </w:pPr>
            <w:r>
              <w:rPr>
                <w:rFonts w:ascii="宋体" w:hAnsi="宋体"/>
              </w:rPr>
              <w:t>15,608,137</w:t>
            </w:r>
          </w:p>
        </w:tc>
        <w:tc>
          <w:tcPr>
            <w:tcW w:w="650" w:type="pct"/>
            <w:vAlign w:val="center"/>
          </w:tcPr>
          <w:p>
            <w:pPr>
              <w:jc w:val="right"/>
              <w:rPr>
                <w:rFonts w:ascii="宋体" w:hAnsi="宋体"/>
              </w:rPr>
            </w:pPr>
            <w:r>
              <w:rPr>
                <w:rFonts w:ascii="宋体" w:hAnsi="宋体"/>
              </w:rPr>
              <w:t>13,594,947</w:t>
            </w:r>
          </w:p>
        </w:tc>
        <w:tc>
          <w:tcPr>
            <w:tcW w:w="658" w:type="pct"/>
            <w:vAlign w:val="center"/>
          </w:tcPr>
          <w:p>
            <w:pPr>
              <w:jc w:val="right"/>
              <w:rPr>
                <w:rFonts w:ascii="宋体" w:hAnsi="宋体"/>
              </w:rPr>
            </w:pPr>
            <w:r>
              <w:rPr>
                <w:rFonts w:ascii="宋体" w:hAnsi="宋体"/>
              </w:rPr>
              <w:t>821,467</w:t>
            </w:r>
          </w:p>
        </w:tc>
        <w:tc>
          <w:tcPr>
            <w:tcW w:w="665" w:type="pct"/>
            <w:vAlign w:val="center"/>
          </w:tcPr>
          <w:p>
            <w:pPr>
              <w:jc w:val="right"/>
              <w:rPr>
                <w:rFonts w:ascii="宋体" w:hAnsi="宋体"/>
              </w:rPr>
            </w:pPr>
            <w:r>
              <w:rPr>
                <w:rFonts w:ascii="宋体" w:hAnsi="宋体"/>
              </w:rPr>
              <w:t>12,773,480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9" w:type="pct"/>
          </w:tcPr>
          <w:p>
            <w:pPr>
              <w:pStyle w:val="501"/>
            </w:pPr>
            <w:r>
              <w:rPr>
                <w:rFonts w:hint="eastAsia"/>
              </w:rPr>
              <w:t>四、安全工程</w:t>
            </w:r>
          </w:p>
        </w:tc>
        <w:tc>
          <w:tcPr>
            <w:tcW w:w="665" w:type="pct"/>
            <w:vAlign w:val="center"/>
          </w:tcPr>
          <w:p>
            <w:pPr>
              <w:jc w:val="right"/>
              <w:rPr>
                <w:rFonts w:ascii="宋体" w:hAnsi="宋体"/>
              </w:rPr>
            </w:pPr>
            <w:r>
              <w:rPr>
                <w:rFonts w:ascii="宋体" w:hAnsi="宋体"/>
              </w:rPr>
              <w:t>316,823</w:t>
            </w:r>
          </w:p>
        </w:tc>
        <w:tc>
          <w:tcPr>
            <w:tcW w:w="658" w:type="pct"/>
            <w:vAlign w:val="center"/>
          </w:tcPr>
          <w:p>
            <w:pPr>
              <w:jc w:val="right"/>
              <w:rPr>
                <w:rFonts w:ascii="宋体" w:hAnsi="宋体"/>
              </w:rPr>
            </w:pPr>
          </w:p>
        </w:tc>
        <w:tc>
          <w:tcPr>
            <w:tcW w:w="665" w:type="pct"/>
            <w:vAlign w:val="center"/>
          </w:tcPr>
          <w:p>
            <w:pPr>
              <w:jc w:val="right"/>
              <w:rPr>
                <w:rFonts w:ascii="宋体" w:hAnsi="宋体"/>
              </w:rPr>
            </w:pPr>
            <w:r>
              <w:rPr>
                <w:rFonts w:ascii="宋体" w:hAnsi="宋体"/>
              </w:rPr>
              <w:t>316,823</w:t>
            </w:r>
          </w:p>
        </w:tc>
        <w:tc>
          <w:tcPr>
            <w:tcW w:w="650" w:type="pct"/>
            <w:vAlign w:val="center"/>
          </w:tcPr>
          <w:p>
            <w:pPr>
              <w:jc w:val="right"/>
              <w:rPr>
                <w:rFonts w:ascii="宋体" w:hAnsi="宋体"/>
              </w:rPr>
            </w:pPr>
            <w:r>
              <w:rPr>
                <w:rFonts w:ascii="宋体" w:hAnsi="宋体"/>
              </w:rPr>
              <w:t>241,673</w:t>
            </w:r>
          </w:p>
        </w:tc>
        <w:tc>
          <w:tcPr>
            <w:tcW w:w="658" w:type="pct"/>
            <w:vAlign w:val="center"/>
          </w:tcPr>
          <w:p>
            <w:pPr>
              <w:jc w:val="right"/>
              <w:rPr>
                <w:rFonts w:ascii="宋体" w:hAnsi="宋体"/>
              </w:rPr>
            </w:pPr>
          </w:p>
        </w:tc>
        <w:tc>
          <w:tcPr>
            <w:tcW w:w="665" w:type="pct"/>
            <w:vAlign w:val="center"/>
          </w:tcPr>
          <w:p>
            <w:pPr>
              <w:jc w:val="right"/>
              <w:rPr>
                <w:rFonts w:ascii="宋体" w:hAnsi="宋体"/>
              </w:rPr>
            </w:pPr>
            <w:r>
              <w:rPr>
                <w:rFonts w:ascii="宋体" w:hAnsi="宋体"/>
              </w:rPr>
              <w:t>241,673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9" w:type="pct"/>
          </w:tcPr>
          <w:p>
            <w:pPr>
              <w:pStyle w:val="501"/>
            </w:pPr>
            <w:r>
              <w:rPr>
                <w:rFonts w:hint="eastAsia"/>
              </w:rPr>
              <w:t>五、勘探工程</w:t>
            </w:r>
          </w:p>
        </w:tc>
        <w:tc>
          <w:tcPr>
            <w:tcW w:w="665" w:type="pct"/>
            <w:vAlign w:val="center"/>
          </w:tcPr>
          <w:p>
            <w:pPr>
              <w:jc w:val="right"/>
              <w:rPr>
                <w:rFonts w:ascii="宋体" w:hAnsi="宋体"/>
              </w:rPr>
            </w:pPr>
            <w:r>
              <w:rPr>
                <w:rFonts w:ascii="宋体" w:hAnsi="宋体"/>
              </w:rPr>
              <w:t>1,133,563</w:t>
            </w:r>
          </w:p>
        </w:tc>
        <w:tc>
          <w:tcPr>
            <w:tcW w:w="658" w:type="pct"/>
            <w:vAlign w:val="center"/>
          </w:tcPr>
          <w:p>
            <w:pPr>
              <w:jc w:val="right"/>
              <w:rPr>
                <w:rFonts w:ascii="宋体" w:hAnsi="宋体"/>
              </w:rPr>
            </w:pPr>
            <w:r>
              <w:rPr>
                <w:rFonts w:ascii="宋体" w:hAnsi="宋体"/>
              </w:rPr>
              <w:t>681,624</w:t>
            </w:r>
          </w:p>
        </w:tc>
        <w:tc>
          <w:tcPr>
            <w:tcW w:w="665" w:type="pct"/>
            <w:vAlign w:val="center"/>
          </w:tcPr>
          <w:p>
            <w:pPr>
              <w:jc w:val="right"/>
              <w:rPr>
                <w:rFonts w:ascii="宋体" w:hAnsi="宋体"/>
              </w:rPr>
            </w:pPr>
            <w:r>
              <w:rPr>
                <w:rFonts w:ascii="宋体" w:hAnsi="宋体"/>
              </w:rPr>
              <w:t>451,939</w:t>
            </w:r>
          </w:p>
        </w:tc>
        <w:tc>
          <w:tcPr>
            <w:tcW w:w="650" w:type="pct"/>
            <w:vAlign w:val="center"/>
          </w:tcPr>
          <w:p>
            <w:pPr>
              <w:jc w:val="right"/>
              <w:rPr>
                <w:rFonts w:ascii="宋体" w:hAnsi="宋体"/>
              </w:rPr>
            </w:pPr>
            <w:r>
              <w:rPr>
                <w:rFonts w:ascii="宋体" w:hAnsi="宋体"/>
              </w:rPr>
              <w:t>1,143,630</w:t>
            </w:r>
          </w:p>
        </w:tc>
        <w:tc>
          <w:tcPr>
            <w:tcW w:w="658" w:type="pct"/>
            <w:vAlign w:val="center"/>
          </w:tcPr>
          <w:p>
            <w:pPr>
              <w:jc w:val="right"/>
              <w:rPr>
                <w:rFonts w:ascii="宋体" w:hAnsi="宋体"/>
              </w:rPr>
            </w:pPr>
            <w:r>
              <w:rPr>
                <w:rFonts w:ascii="宋体" w:hAnsi="宋体"/>
              </w:rPr>
              <w:t>662,701</w:t>
            </w:r>
          </w:p>
        </w:tc>
        <w:tc>
          <w:tcPr>
            <w:tcW w:w="665" w:type="pct"/>
            <w:vAlign w:val="center"/>
          </w:tcPr>
          <w:p>
            <w:pPr>
              <w:jc w:val="right"/>
              <w:rPr>
                <w:rFonts w:ascii="宋体" w:hAnsi="宋体"/>
              </w:rPr>
            </w:pPr>
            <w:r>
              <w:rPr>
                <w:rFonts w:ascii="宋体" w:hAnsi="宋体"/>
              </w:rPr>
              <w:t>480,929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9" w:type="pct"/>
          </w:tcPr>
          <w:p>
            <w:pPr>
              <w:pStyle w:val="501"/>
            </w:pPr>
            <w:r>
              <w:rPr>
                <w:rFonts w:hint="eastAsia"/>
              </w:rPr>
              <w:t>六、科技工程</w:t>
            </w:r>
          </w:p>
        </w:tc>
        <w:tc>
          <w:tcPr>
            <w:tcW w:w="665" w:type="pct"/>
            <w:vAlign w:val="center"/>
          </w:tcPr>
          <w:p>
            <w:pPr>
              <w:jc w:val="right"/>
              <w:rPr>
                <w:rFonts w:ascii="宋体" w:hAnsi="宋体"/>
              </w:rPr>
            </w:pPr>
            <w:r>
              <w:rPr>
                <w:rFonts w:ascii="宋体" w:hAnsi="宋体"/>
              </w:rPr>
              <w:t>6,324</w:t>
            </w:r>
          </w:p>
        </w:tc>
        <w:tc>
          <w:tcPr>
            <w:tcW w:w="658" w:type="pct"/>
            <w:vAlign w:val="center"/>
          </w:tcPr>
          <w:p>
            <w:pPr>
              <w:jc w:val="right"/>
              <w:rPr>
                <w:rFonts w:ascii="宋体" w:hAnsi="宋体"/>
              </w:rPr>
            </w:pPr>
          </w:p>
        </w:tc>
        <w:tc>
          <w:tcPr>
            <w:tcW w:w="665" w:type="pct"/>
            <w:vAlign w:val="center"/>
          </w:tcPr>
          <w:p>
            <w:pPr>
              <w:jc w:val="right"/>
              <w:rPr>
                <w:rFonts w:ascii="宋体" w:hAnsi="宋体"/>
              </w:rPr>
            </w:pPr>
            <w:r>
              <w:rPr>
                <w:rFonts w:ascii="宋体" w:hAnsi="宋体"/>
              </w:rPr>
              <w:t>6,324</w:t>
            </w:r>
          </w:p>
        </w:tc>
        <w:tc>
          <w:tcPr>
            <w:tcW w:w="650" w:type="pct"/>
            <w:vAlign w:val="center"/>
          </w:tcPr>
          <w:p>
            <w:pPr>
              <w:jc w:val="right"/>
              <w:rPr>
                <w:rFonts w:ascii="宋体" w:hAnsi="宋体"/>
              </w:rPr>
            </w:pPr>
            <w:r>
              <w:rPr>
                <w:rFonts w:ascii="宋体" w:hAnsi="宋体"/>
              </w:rPr>
              <w:t>19,769</w:t>
            </w:r>
          </w:p>
        </w:tc>
        <w:tc>
          <w:tcPr>
            <w:tcW w:w="658" w:type="pct"/>
            <w:vAlign w:val="center"/>
          </w:tcPr>
          <w:p>
            <w:pPr>
              <w:jc w:val="right"/>
              <w:rPr>
                <w:rFonts w:ascii="宋体" w:hAnsi="宋体"/>
              </w:rPr>
            </w:pPr>
          </w:p>
        </w:tc>
        <w:tc>
          <w:tcPr>
            <w:tcW w:w="665" w:type="pct"/>
            <w:vAlign w:val="center"/>
          </w:tcPr>
          <w:p>
            <w:pPr>
              <w:jc w:val="right"/>
              <w:rPr>
                <w:rFonts w:ascii="宋体" w:hAnsi="宋体"/>
              </w:rPr>
            </w:pPr>
            <w:r>
              <w:rPr>
                <w:rFonts w:ascii="宋体" w:hAnsi="宋体"/>
              </w:rPr>
              <w:t>19,769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9" w:type="pct"/>
          </w:tcPr>
          <w:p>
            <w:pPr>
              <w:pStyle w:val="501"/>
            </w:pPr>
            <w:r>
              <w:rPr>
                <w:rFonts w:hint="eastAsia"/>
              </w:rPr>
              <w:t>七、修理工程</w:t>
            </w:r>
          </w:p>
        </w:tc>
        <w:tc>
          <w:tcPr>
            <w:tcW w:w="665" w:type="pct"/>
            <w:vAlign w:val="center"/>
          </w:tcPr>
          <w:p>
            <w:pPr>
              <w:jc w:val="right"/>
              <w:rPr>
                <w:rFonts w:ascii="宋体" w:hAnsi="宋体"/>
              </w:rPr>
            </w:pPr>
            <w:r>
              <w:rPr>
                <w:rFonts w:ascii="宋体" w:hAnsi="宋体"/>
              </w:rPr>
              <w:t>112,811</w:t>
            </w:r>
          </w:p>
        </w:tc>
        <w:tc>
          <w:tcPr>
            <w:tcW w:w="658" w:type="pct"/>
            <w:vAlign w:val="center"/>
          </w:tcPr>
          <w:p>
            <w:pPr>
              <w:jc w:val="right"/>
              <w:rPr>
                <w:rFonts w:ascii="宋体" w:hAnsi="宋体"/>
              </w:rPr>
            </w:pPr>
            <w:r>
              <w:rPr>
                <w:rFonts w:ascii="宋体" w:hAnsi="宋体"/>
              </w:rPr>
              <w:t>494</w:t>
            </w:r>
          </w:p>
        </w:tc>
        <w:tc>
          <w:tcPr>
            <w:tcW w:w="665" w:type="pct"/>
            <w:vAlign w:val="center"/>
          </w:tcPr>
          <w:p>
            <w:pPr>
              <w:jc w:val="right"/>
              <w:rPr>
                <w:rFonts w:ascii="宋体" w:hAnsi="宋体"/>
              </w:rPr>
            </w:pPr>
            <w:r>
              <w:rPr>
                <w:rFonts w:ascii="宋体" w:hAnsi="宋体"/>
              </w:rPr>
              <w:t>112,317</w:t>
            </w:r>
          </w:p>
        </w:tc>
        <w:tc>
          <w:tcPr>
            <w:tcW w:w="650" w:type="pct"/>
            <w:vAlign w:val="center"/>
          </w:tcPr>
          <w:p>
            <w:pPr>
              <w:jc w:val="right"/>
              <w:rPr>
                <w:rFonts w:ascii="宋体" w:hAnsi="宋体"/>
              </w:rPr>
            </w:pPr>
            <w:r>
              <w:rPr>
                <w:rFonts w:ascii="宋体" w:hAnsi="宋体"/>
              </w:rPr>
              <w:t>32,385</w:t>
            </w:r>
          </w:p>
        </w:tc>
        <w:tc>
          <w:tcPr>
            <w:tcW w:w="658" w:type="pct"/>
            <w:vAlign w:val="center"/>
          </w:tcPr>
          <w:p>
            <w:pPr>
              <w:jc w:val="right"/>
              <w:rPr>
                <w:rFonts w:ascii="宋体" w:hAnsi="宋体"/>
              </w:rPr>
            </w:pPr>
            <w:r>
              <w:rPr>
                <w:rFonts w:ascii="宋体" w:hAnsi="宋体"/>
              </w:rPr>
              <w:t>494</w:t>
            </w:r>
          </w:p>
        </w:tc>
        <w:tc>
          <w:tcPr>
            <w:tcW w:w="665" w:type="pct"/>
            <w:vAlign w:val="center"/>
          </w:tcPr>
          <w:p>
            <w:pPr>
              <w:jc w:val="right"/>
              <w:rPr>
                <w:rFonts w:ascii="宋体" w:hAnsi="宋体"/>
              </w:rPr>
            </w:pPr>
            <w:r>
              <w:rPr>
                <w:rFonts w:ascii="宋体" w:hAnsi="宋体"/>
              </w:rPr>
              <w:t>31,891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39" w:type="pct"/>
            <w:vAlign w:val="center"/>
          </w:tcPr>
          <w:p>
            <w:pPr>
              <w:jc w:val="center"/>
            </w:pPr>
            <w:r>
              <w:rPr>
                <w:rFonts w:hint="eastAsia"/>
              </w:rPr>
              <w:t>合计</w:t>
            </w:r>
          </w:p>
        </w:tc>
        <w:tc>
          <w:tcPr>
            <w:tcW w:w="665" w:type="pct"/>
            <w:vAlign w:val="center"/>
          </w:tcPr>
          <w:p>
            <w:pPr>
              <w:jc w:val="right"/>
              <w:rPr>
                <w:rFonts w:ascii="宋体" w:hAnsi="宋体"/>
              </w:rPr>
            </w:pPr>
            <w:r>
              <w:rPr>
                <w:rFonts w:ascii="宋体" w:hAnsi="宋体"/>
              </w:rPr>
              <w:t>21,752,941</w:t>
            </w:r>
          </w:p>
        </w:tc>
        <w:tc>
          <w:tcPr>
            <w:tcW w:w="658" w:type="pct"/>
            <w:vAlign w:val="center"/>
          </w:tcPr>
          <w:p>
            <w:pPr>
              <w:jc w:val="right"/>
              <w:rPr>
                <w:rFonts w:ascii="宋体" w:hAnsi="宋体"/>
              </w:rPr>
            </w:pPr>
            <w:r>
              <w:rPr>
                <w:rFonts w:ascii="宋体" w:hAnsi="宋体"/>
              </w:rPr>
              <w:t>1,547,984</w:t>
            </w:r>
          </w:p>
        </w:tc>
        <w:tc>
          <w:tcPr>
            <w:tcW w:w="665" w:type="pct"/>
            <w:vAlign w:val="center"/>
          </w:tcPr>
          <w:p>
            <w:pPr>
              <w:jc w:val="right"/>
              <w:rPr>
                <w:rFonts w:ascii="宋体" w:hAnsi="宋体"/>
              </w:rPr>
            </w:pPr>
            <w:r>
              <w:rPr>
                <w:rFonts w:ascii="宋体" w:hAnsi="宋体"/>
              </w:rPr>
              <w:t>20,204,957</w:t>
            </w:r>
          </w:p>
        </w:tc>
        <w:tc>
          <w:tcPr>
            <w:tcW w:w="650" w:type="pct"/>
            <w:vAlign w:val="center"/>
          </w:tcPr>
          <w:p>
            <w:pPr>
              <w:jc w:val="right"/>
              <w:rPr>
                <w:rFonts w:ascii="宋体" w:hAnsi="宋体"/>
              </w:rPr>
            </w:pPr>
            <w:r>
              <w:rPr>
                <w:rFonts w:ascii="宋体" w:hAnsi="宋体"/>
              </w:rPr>
              <w:t>19,467,132</w:t>
            </w:r>
          </w:p>
        </w:tc>
        <w:tc>
          <w:tcPr>
            <w:tcW w:w="658" w:type="pct"/>
            <w:vAlign w:val="center"/>
          </w:tcPr>
          <w:p>
            <w:pPr>
              <w:jc w:val="right"/>
              <w:rPr>
                <w:rFonts w:ascii="宋体" w:hAnsi="宋体"/>
              </w:rPr>
            </w:pPr>
            <w:r>
              <w:rPr>
                <w:rFonts w:ascii="宋体" w:hAnsi="宋体"/>
              </w:rPr>
              <w:t>1,529,020</w:t>
            </w:r>
          </w:p>
        </w:tc>
        <w:tc>
          <w:tcPr>
            <w:tcW w:w="665" w:type="pct"/>
            <w:vAlign w:val="center"/>
          </w:tcPr>
          <w:p>
            <w:pPr>
              <w:jc w:val="right"/>
              <w:rPr>
                <w:rFonts w:ascii="宋体" w:hAnsi="宋体"/>
              </w:rPr>
            </w:pPr>
            <w:r>
              <w:rPr>
                <w:rFonts w:ascii="宋体" w:hAnsi="宋体"/>
              </w:rPr>
              <w:t>17,938,112</w:t>
            </w:r>
          </w:p>
        </w:tc>
      </w:tr>
    </w:tbl>
    <w:p>
      <w:pPr>
        <w:pStyle w:val="531"/>
        <w:sectPr>
          <w:pgSz w:w="11906" w:h="16838"/>
          <w:pgMar w:top="1440" w:right="1797" w:bottom="1525" w:left="1276" w:header="856" w:footer="992" w:gutter="0"/>
          <w:cols w:space="425" w:num="1"/>
          <w:docGrid w:type="lines" w:linePitch="312" w:charSpace="0"/>
        </w:sectPr>
      </w:pPr>
    </w:p>
    <w:p>
      <w:pPr>
        <w:pStyle w:val="531"/>
      </w:pPr>
    </w:p>
    <w:p>
      <w:pPr>
        <w:pStyle w:val="506"/>
        <w:numPr>
          <w:ilvl w:val="0"/>
          <w:numId w:val="86"/>
        </w:numPr>
        <w:ind w:leftChars="0"/>
        <w:rPr>
          <w:rFonts w:ascii="宋体" w:hAnsi="宋体" w:cs="宋体"/>
          <w:kern w:val="0"/>
          <w:szCs w:val="24"/>
        </w:rPr>
      </w:pPr>
      <w:r>
        <w:rPr>
          <w:rFonts w:hint="eastAsia" w:ascii="宋体" w:hAnsi="宋体" w:cs="宋体"/>
          <w:kern w:val="0"/>
          <w:szCs w:val="24"/>
        </w:rPr>
        <w:t>重要在建工程项目本期变动情况</w:t>
      </w:r>
    </w:p>
    <w:sdt>
      <w:sdtPr>
        <w:alias w:val="是否适用：重要在建工程项目本期变动情况[双击切换]"/>
        <w:tag w:val="_GBC_964f4529e8234c358a8541e8c4754ec8"/>
        <w:id w:val="-710425170"/>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在建工程项目变动情况"/>
          <w:tag w:val="_GBC_9057dff5be8544c398fdbd55cff334f7"/>
          <w:id w:val="291662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在建工程项目变动情况"/>
          <w:tag w:val="_GBC_110e0fe0dd4f471bae83a62e58e88d74"/>
          <w:id w:val="-2573783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175"/>
        <w:gridCol w:w="1175"/>
        <w:gridCol w:w="1054"/>
        <w:gridCol w:w="1116"/>
        <w:gridCol w:w="777"/>
        <w:gridCol w:w="887"/>
        <w:gridCol w:w="1144"/>
        <w:gridCol w:w="970"/>
        <w:gridCol w:w="663"/>
        <w:gridCol w:w="1020"/>
        <w:gridCol w:w="952"/>
        <w:gridCol w:w="741"/>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sdt>
          <w:sdtPr>
            <w:rPr>
              <w:rFonts w:ascii="宋体" w:hAnsi="宋体"/>
              <w:spacing w:val="-20"/>
            </w:rPr>
            <w:tag w:val="_PLD_0072ffbc51294cefbe17dde844d0e5ed"/>
            <w:id w:val="-1489324276"/>
          </w:sdtPr>
          <w:sdtEndPr>
            <w:rPr>
              <w:rFonts w:ascii="宋体" w:hAnsi="宋体"/>
              <w:spacing w:val="-20"/>
            </w:rPr>
          </w:sdtEndPr>
          <w:sdtContent>
            <w:tc>
              <w:tcPr>
                <w:tcW w:w="621" w:type="pct"/>
                <w:shd w:val="clear" w:color="auto" w:fill="auto"/>
                <w:vAlign w:val="center"/>
              </w:tcPr>
              <w:p>
                <w:pPr>
                  <w:jc w:val="center"/>
                  <w:rPr>
                    <w:rFonts w:ascii="宋体" w:hAnsi="宋体"/>
                    <w:spacing w:val="-20"/>
                  </w:rPr>
                </w:pPr>
                <w:r>
                  <w:rPr>
                    <w:rFonts w:hint="eastAsia" w:ascii="宋体" w:hAnsi="宋体"/>
                    <w:spacing w:val="-20"/>
                  </w:rPr>
                  <w:t>项目名称</w:t>
                </w:r>
              </w:p>
            </w:tc>
          </w:sdtContent>
        </w:sdt>
        <w:sdt>
          <w:sdtPr>
            <w:rPr>
              <w:rFonts w:ascii="宋体" w:hAnsi="宋体"/>
              <w:spacing w:val="-20"/>
            </w:rPr>
            <w:tag w:val="_PLD_6349ea6a696f4d27b00b071275a38ea5"/>
            <w:id w:val="-1200706147"/>
          </w:sdtPr>
          <w:sdtEndPr>
            <w:rPr>
              <w:rFonts w:ascii="宋体" w:hAnsi="宋体"/>
              <w:spacing w:val="-20"/>
            </w:rPr>
          </w:sdtEndPr>
          <w:sdtContent>
            <w:tc>
              <w:tcPr>
                <w:tcW w:w="417" w:type="pct"/>
                <w:shd w:val="clear" w:color="auto" w:fill="auto"/>
                <w:vAlign w:val="center"/>
              </w:tcPr>
              <w:p>
                <w:pPr>
                  <w:jc w:val="center"/>
                  <w:rPr>
                    <w:rFonts w:ascii="宋体" w:hAnsi="宋体"/>
                    <w:spacing w:val="-20"/>
                  </w:rPr>
                </w:pPr>
                <w:r>
                  <w:rPr>
                    <w:rFonts w:hint="eastAsia" w:ascii="宋体" w:hAnsi="宋体"/>
                    <w:spacing w:val="-20"/>
                  </w:rPr>
                  <w:t>预算数</w:t>
                </w:r>
              </w:p>
            </w:tc>
          </w:sdtContent>
        </w:sdt>
        <w:sdt>
          <w:sdtPr>
            <w:rPr>
              <w:rFonts w:ascii="宋体" w:hAnsi="宋体"/>
              <w:spacing w:val="-20"/>
            </w:rPr>
            <w:tag w:val="_PLD_392420deb7e94f0a8026947a325da4f4"/>
            <w:id w:val="-1131940521"/>
          </w:sdtPr>
          <w:sdtEndPr>
            <w:rPr>
              <w:rFonts w:ascii="宋体" w:hAnsi="宋体"/>
              <w:spacing w:val="-20"/>
            </w:rPr>
          </w:sdtEndPr>
          <w:sdtContent>
            <w:tc>
              <w:tcPr>
                <w:tcW w:w="417" w:type="pct"/>
                <w:shd w:val="clear" w:color="auto" w:fill="auto"/>
                <w:vAlign w:val="center"/>
              </w:tcPr>
              <w:p>
                <w:pPr>
                  <w:jc w:val="center"/>
                  <w:rPr>
                    <w:rFonts w:ascii="宋体" w:hAnsi="宋体"/>
                    <w:spacing w:val="-20"/>
                  </w:rPr>
                </w:pPr>
                <w:r>
                  <w:rPr>
                    <w:rFonts w:hint="eastAsia" w:ascii="宋体" w:hAnsi="宋体"/>
                    <w:spacing w:val="-20"/>
                  </w:rPr>
                  <w:t>期初</w:t>
                </w:r>
              </w:p>
              <w:p>
                <w:pPr>
                  <w:jc w:val="center"/>
                  <w:rPr>
                    <w:rFonts w:ascii="宋体" w:hAnsi="宋体"/>
                    <w:spacing w:val="-20"/>
                  </w:rPr>
                </w:pPr>
                <w:r>
                  <w:rPr>
                    <w:rFonts w:hint="eastAsia" w:ascii="宋体" w:hAnsi="宋体"/>
                    <w:spacing w:val="-20"/>
                  </w:rPr>
                  <w:t>余额</w:t>
                </w:r>
              </w:p>
            </w:tc>
          </w:sdtContent>
        </w:sdt>
        <w:sdt>
          <w:sdtPr>
            <w:rPr>
              <w:rFonts w:ascii="宋体" w:hAnsi="宋体"/>
              <w:spacing w:val="-20"/>
            </w:rPr>
            <w:tag w:val="_PLD_de4faed3465b4da6b8ac35d7e677431c"/>
            <w:id w:val="1803425974"/>
          </w:sdtPr>
          <w:sdtEndPr>
            <w:rPr>
              <w:rFonts w:ascii="宋体" w:hAnsi="宋体"/>
              <w:spacing w:val="-20"/>
            </w:rPr>
          </w:sdtEndPr>
          <w:sdtContent>
            <w:tc>
              <w:tcPr>
                <w:tcW w:w="374" w:type="pct"/>
                <w:shd w:val="clear" w:color="auto" w:fill="auto"/>
                <w:vAlign w:val="center"/>
              </w:tcPr>
              <w:p>
                <w:pPr>
                  <w:jc w:val="center"/>
                  <w:rPr>
                    <w:rFonts w:ascii="宋体" w:hAnsi="宋体"/>
                    <w:spacing w:val="-20"/>
                  </w:rPr>
                </w:pPr>
                <w:r>
                  <w:rPr>
                    <w:rFonts w:hint="eastAsia" w:ascii="宋体" w:hAnsi="宋体"/>
                    <w:spacing w:val="-20"/>
                  </w:rPr>
                  <w:t>本期增加金额</w:t>
                </w:r>
              </w:p>
            </w:tc>
          </w:sdtContent>
        </w:sdt>
        <w:tc>
          <w:tcPr>
            <w:tcW w:w="396" w:type="pct"/>
            <w:shd w:val="clear" w:color="auto" w:fill="auto"/>
            <w:vAlign w:val="center"/>
          </w:tcPr>
          <w:p>
            <w:pPr>
              <w:jc w:val="center"/>
              <w:rPr>
                <w:rFonts w:ascii="宋体" w:hAnsi="宋体"/>
                <w:spacing w:val="-20"/>
              </w:rPr>
            </w:pPr>
            <w:sdt>
              <w:sdtPr>
                <w:rPr>
                  <w:rFonts w:ascii="宋体" w:hAnsi="宋体"/>
                  <w:spacing w:val="-20"/>
                </w:rPr>
                <w:tag w:val="_PLD_51ce4224316b4f4b99a8fb0c8e4500a5"/>
                <w:id w:val="1440647038"/>
              </w:sdtPr>
              <w:sdtEndPr>
                <w:rPr>
                  <w:rFonts w:hint="eastAsia" w:ascii="宋体" w:hAnsi="宋体"/>
                  <w:spacing w:val="-20"/>
                </w:rPr>
              </w:sdtEndPr>
              <w:sdtContent>
                <w:r>
                  <w:rPr>
                    <w:rFonts w:hint="eastAsia" w:ascii="宋体" w:hAnsi="宋体"/>
                    <w:spacing w:val="-20"/>
                  </w:rPr>
                  <w:t>本期转入固定资产</w:t>
                </w:r>
              </w:sdtContent>
            </w:sdt>
            <w:r>
              <w:rPr>
                <w:rFonts w:hint="eastAsia" w:ascii="宋体" w:hAnsi="宋体"/>
                <w:spacing w:val="-20"/>
              </w:rPr>
              <w:t>、无形资产金额</w:t>
            </w:r>
          </w:p>
        </w:tc>
        <w:sdt>
          <w:sdtPr>
            <w:rPr>
              <w:rFonts w:ascii="宋体" w:hAnsi="宋体"/>
              <w:spacing w:val="-20"/>
            </w:rPr>
            <w:tag w:val="_PLD_d80ffbe10b944f57a31723041ffbcbdf"/>
            <w:id w:val="1089731161"/>
          </w:sdtPr>
          <w:sdtEndPr>
            <w:rPr>
              <w:rFonts w:ascii="宋体" w:hAnsi="宋体"/>
              <w:spacing w:val="-20"/>
            </w:rPr>
          </w:sdtEndPr>
          <w:sdtContent>
            <w:tc>
              <w:tcPr>
                <w:tcW w:w="276" w:type="pct"/>
                <w:shd w:val="clear" w:color="auto" w:fill="auto"/>
                <w:vAlign w:val="center"/>
              </w:tcPr>
              <w:p>
                <w:pPr>
                  <w:jc w:val="center"/>
                  <w:rPr>
                    <w:rFonts w:ascii="宋体" w:hAnsi="宋体"/>
                    <w:spacing w:val="-20"/>
                  </w:rPr>
                </w:pPr>
                <w:r>
                  <w:rPr>
                    <w:rFonts w:hint="eastAsia" w:ascii="宋体" w:hAnsi="宋体"/>
                    <w:spacing w:val="-20"/>
                  </w:rPr>
                  <w:t>本期其他减少金额</w:t>
                </w:r>
              </w:p>
            </w:tc>
          </w:sdtContent>
        </w:sdt>
        <w:tc>
          <w:tcPr>
            <w:tcW w:w="315" w:type="pct"/>
            <w:vAlign w:val="center"/>
          </w:tcPr>
          <w:p>
            <w:pPr>
              <w:jc w:val="center"/>
              <w:rPr>
                <w:rFonts w:ascii="宋体" w:hAnsi="宋体"/>
                <w:spacing w:val="-20"/>
              </w:rPr>
            </w:pPr>
            <w:r>
              <w:rPr>
                <w:rFonts w:hint="eastAsia" w:ascii="宋体" w:hAnsi="宋体"/>
                <w:spacing w:val="-20"/>
              </w:rPr>
              <w:t>外币报表折算</w:t>
            </w:r>
          </w:p>
          <w:p>
            <w:pPr>
              <w:jc w:val="center"/>
              <w:rPr>
                <w:rFonts w:ascii="宋体" w:hAnsi="宋体"/>
                <w:spacing w:val="-20"/>
              </w:rPr>
            </w:pPr>
          </w:p>
        </w:tc>
        <w:sdt>
          <w:sdtPr>
            <w:rPr>
              <w:rFonts w:ascii="宋体" w:hAnsi="宋体"/>
              <w:spacing w:val="-20"/>
            </w:rPr>
            <w:tag w:val="_PLD_c8b617c64ad64a03834695d9bc0b8d2f"/>
            <w:id w:val="-1829425520"/>
          </w:sdtPr>
          <w:sdtEndPr>
            <w:rPr>
              <w:rFonts w:ascii="宋体" w:hAnsi="宋体"/>
              <w:spacing w:val="-20"/>
            </w:rPr>
          </w:sdtEndPr>
          <w:sdtContent>
            <w:tc>
              <w:tcPr>
                <w:tcW w:w="406" w:type="pct"/>
                <w:vAlign w:val="center"/>
              </w:tcPr>
              <w:p>
                <w:pPr>
                  <w:jc w:val="center"/>
                  <w:rPr>
                    <w:rFonts w:ascii="宋体" w:hAnsi="宋体"/>
                    <w:spacing w:val="-20"/>
                  </w:rPr>
                </w:pPr>
                <w:r>
                  <w:rPr>
                    <w:rFonts w:hint="eastAsia" w:ascii="宋体" w:hAnsi="宋体"/>
                    <w:spacing w:val="-20"/>
                  </w:rPr>
                  <w:t>期末</w:t>
                </w:r>
              </w:p>
              <w:p>
                <w:pPr>
                  <w:jc w:val="center"/>
                  <w:rPr>
                    <w:rFonts w:ascii="宋体" w:hAnsi="宋体"/>
                    <w:spacing w:val="-20"/>
                  </w:rPr>
                </w:pPr>
                <w:r>
                  <w:rPr>
                    <w:rFonts w:hint="eastAsia" w:ascii="宋体" w:hAnsi="宋体"/>
                    <w:spacing w:val="-20"/>
                  </w:rPr>
                  <w:t>余额</w:t>
                </w:r>
              </w:p>
            </w:tc>
          </w:sdtContent>
        </w:sdt>
        <w:sdt>
          <w:sdtPr>
            <w:rPr>
              <w:rFonts w:ascii="宋体" w:hAnsi="宋体"/>
              <w:spacing w:val="-20"/>
            </w:rPr>
            <w:tag w:val="_PLD_738551d97ef741f093f852402c423e47"/>
            <w:id w:val="-1980378533"/>
          </w:sdtPr>
          <w:sdtEndPr>
            <w:rPr>
              <w:rFonts w:ascii="宋体" w:hAnsi="宋体"/>
              <w:spacing w:val="-20"/>
            </w:rPr>
          </w:sdtEndPr>
          <w:sdtContent>
            <w:tc>
              <w:tcPr>
                <w:tcW w:w="344" w:type="pct"/>
                <w:shd w:val="clear" w:color="auto" w:fill="auto"/>
                <w:vAlign w:val="center"/>
              </w:tcPr>
              <w:p>
                <w:pPr>
                  <w:jc w:val="center"/>
                  <w:rPr>
                    <w:rFonts w:ascii="宋体" w:hAnsi="宋体"/>
                    <w:spacing w:val="-20"/>
                  </w:rPr>
                </w:pPr>
                <w:r>
                  <w:rPr>
                    <w:rFonts w:hint="eastAsia" w:ascii="宋体" w:hAnsi="宋体"/>
                    <w:spacing w:val="-20"/>
                  </w:rPr>
                  <w:t>工程累计投入占预算比例(%)</w:t>
                </w:r>
              </w:p>
            </w:tc>
          </w:sdtContent>
        </w:sdt>
        <w:sdt>
          <w:sdtPr>
            <w:rPr>
              <w:rFonts w:ascii="宋体" w:hAnsi="宋体"/>
              <w:spacing w:val="-20"/>
            </w:rPr>
            <w:tag w:val="_PLD_0f7f749f98e74f33ae9032c17002d136"/>
            <w:id w:val="1502546619"/>
          </w:sdtPr>
          <w:sdtEndPr>
            <w:rPr>
              <w:rFonts w:ascii="宋体" w:hAnsi="宋体"/>
              <w:spacing w:val="-20"/>
            </w:rPr>
          </w:sdtEndPr>
          <w:sdtContent>
            <w:tc>
              <w:tcPr>
                <w:tcW w:w="235" w:type="pct"/>
                <w:shd w:val="clear" w:color="auto" w:fill="auto"/>
                <w:vAlign w:val="center"/>
              </w:tcPr>
              <w:p>
                <w:pPr>
                  <w:jc w:val="center"/>
                  <w:rPr>
                    <w:rFonts w:ascii="宋体" w:hAnsi="宋体"/>
                    <w:spacing w:val="-20"/>
                  </w:rPr>
                </w:pPr>
                <w:r>
                  <w:rPr>
                    <w:rFonts w:hint="eastAsia" w:ascii="宋体" w:hAnsi="宋体"/>
                    <w:spacing w:val="-20"/>
                  </w:rPr>
                  <w:t>工程进度(</w:t>
                </w:r>
                <w:r>
                  <w:rPr>
                    <w:rFonts w:ascii="宋体" w:hAnsi="宋体"/>
                    <w:spacing w:val="-20"/>
                  </w:rPr>
                  <w:t>%)</w:t>
                </w:r>
              </w:p>
            </w:tc>
          </w:sdtContent>
        </w:sdt>
        <w:sdt>
          <w:sdtPr>
            <w:rPr>
              <w:rFonts w:ascii="宋体" w:hAnsi="宋体"/>
              <w:spacing w:val="-20"/>
            </w:rPr>
            <w:tag w:val="_PLD_0b58d44121d2475586a13d1ce8eaed0a"/>
            <w:id w:val="54129298"/>
          </w:sdtPr>
          <w:sdtEndPr>
            <w:rPr>
              <w:rFonts w:ascii="宋体" w:hAnsi="宋体"/>
              <w:spacing w:val="-20"/>
            </w:rPr>
          </w:sdtEndPr>
          <w:sdtContent>
            <w:tc>
              <w:tcPr>
                <w:tcW w:w="362" w:type="pct"/>
                <w:shd w:val="clear" w:color="auto" w:fill="auto"/>
                <w:vAlign w:val="center"/>
              </w:tcPr>
              <w:p>
                <w:pPr>
                  <w:jc w:val="center"/>
                  <w:rPr>
                    <w:rFonts w:ascii="宋体" w:hAnsi="宋体"/>
                    <w:spacing w:val="-20"/>
                  </w:rPr>
                </w:pPr>
                <w:r>
                  <w:rPr>
                    <w:rFonts w:hint="eastAsia" w:ascii="宋体" w:hAnsi="宋体"/>
                    <w:spacing w:val="-20"/>
                  </w:rPr>
                  <w:t>利息资本化累计金额</w:t>
                </w:r>
              </w:p>
            </w:tc>
          </w:sdtContent>
        </w:sdt>
        <w:sdt>
          <w:sdtPr>
            <w:rPr>
              <w:rFonts w:ascii="宋体" w:hAnsi="宋体"/>
              <w:spacing w:val="-20"/>
            </w:rPr>
            <w:tag w:val="_PLD_2250f692e957437687c2cafcae1d7f81"/>
            <w:id w:val="1175077798"/>
          </w:sdtPr>
          <w:sdtEndPr>
            <w:rPr>
              <w:rFonts w:ascii="宋体" w:hAnsi="宋体"/>
              <w:spacing w:val="-20"/>
            </w:rPr>
          </w:sdtEndPr>
          <w:sdtContent>
            <w:tc>
              <w:tcPr>
                <w:tcW w:w="338" w:type="pct"/>
                <w:shd w:val="clear" w:color="auto" w:fill="auto"/>
                <w:vAlign w:val="center"/>
              </w:tcPr>
              <w:p>
                <w:pPr>
                  <w:jc w:val="center"/>
                  <w:rPr>
                    <w:rFonts w:ascii="宋体" w:hAnsi="宋体"/>
                    <w:spacing w:val="-20"/>
                  </w:rPr>
                </w:pPr>
                <w:r>
                  <w:rPr>
                    <w:rFonts w:hint="eastAsia" w:ascii="宋体" w:hAnsi="宋体"/>
                    <w:spacing w:val="-20"/>
                  </w:rPr>
                  <w:t>其中：本期利息资本化金额</w:t>
                </w:r>
              </w:p>
            </w:tc>
          </w:sdtContent>
        </w:sdt>
        <w:tc>
          <w:tcPr>
            <w:tcW w:w="263" w:type="pct"/>
            <w:shd w:val="clear" w:color="auto" w:fill="auto"/>
            <w:vAlign w:val="center"/>
          </w:tcPr>
          <w:p>
            <w:pPr>
              <w:jc w:val="center"/>
              <w:rPr>
                <w:rFonts w:ascii="宋体" w:hAnsi="宋体"/>
                <w:spacing w:val="-20"/>
              </w:rPr>
            </w:pPr>
            <w:r>
              <w:rPr>
                <w:rFonts w:hint="eastAsia" w:ascii="宋体" w:hAnsi="宋体"/>
                <w:spacing w:val="-20"/>
              </w:rPr>
              <w:t>本期利息资本化率(%)</w:t>
            </w:r>
          </w:p>
        </w:tc>
        <w:sdt>
          <w:sdtPr>
            <w:rPr>
              <w:rFonts w:ascii="宋体" w:hAnsi="宋体"/>
              <w:spacing w:val="-20"/>
            </w:rPr>
            <w:tag w:val="_PLD_6015e39597424a7ea59d45da3ff56e99"/>
            <w:id w:val="-2121824940"/>
          </w:sdtPr>
          <w:sdtEndPr>
            <w:rPr>
              <w:rFonts w:ascii="宋体" w:hAnsi="宋体"/>
              <w:spacing w:val="-20"/>
            </w:rPr>
          </w:sdtEndPr>
          <w:sdtContent>
            <w:tc>
              <w:tcPr>
                <w:tcW w:w="236" w:type="pct"/>
                <w:shd w:val="clear" w:color="auto" w:fill="auto"/>
                <w:vAlign w:val="center"/>
              </w:tcPr>
              <w:p>
                <w:pPr>
                  <w:jc w:val="center"/>
                  <w:rPr>
                    <w:rFonts w:ascii="宋体" w:hAnsi="宋体"/>
                    <w:spacing w:val="-20"/>
                  </w:rPr>
                </w:pPr>
                <w:r>
                  <w:rPr>
                    <w:rFonts w:hint="eastAsia" w:ascii="宋体" w:hAnsi="宋体"/>
                    <w:spacing w:val="-20"/>
                  </w:rPr>
                  <w:t>资金来源</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1" w:type="pct"/>
            <w:shd w:val="clear" w:color="auto" w:fill="auto"/>
            <w:vAlign w:val="center"/>
          </w:tcPr>
          <w:p>
            <w:pPr>
              <w:rPr>
                <w:rFonts w:ascii="宋体" w:hAnsi="宋体"/>
                <w:spacing w:val="-20"/>
              </w:rPr>
            </w:pPr>
            <w:r>
              <w:rPr>
                <w:rFonts w:hint="eastAsia" w:ascii="宋体" w:hAnsi="宋体"/>
                <w:spacing w:val="-20"/>
              </w:rPr>
              <w:t>加拿大钾矿（注）</w:t>
            </w:r>
          </w:p>
        </w:tc>
        <w:tc>
          <w:tcPr>
            <w:tcW w:w="417" w:type="pct"/>
            <w:vAlign w:val="center"/>
          </w:tcPr>
          <w:p>
            <w:pPr>
              <w:jc w:val="right"/>
              <w:rPr>
                <w:rFonts w:ascii="宋体" w:hAnsi="宋体"/>
                <w:spacing w:val="-20"/>
              </w:rPr>
            </w:pPr>
            <w:r>
              <w:rPr>
                <w:rFonts w:ascii="宋体" w:hAnsi="宋体"/>
                <w:spacing w:val="-20"/>
              </w:rPr>
              <w:t>N/A</w:t>
            </w:r>
          </w:p>
        </w:tc>
        <w:tc>
          <w:tcPr>
            <w:tcW w:w="417" w:type="pct"/>
            <w:vAlign w:val="center"/>
          </w:tcPr>
          <w:p>
            <w:pPr>
              <w:jc w:val="right"/>
              <w:rPr>
                <w:rFonts w:ascii="宋体" w:hAnsi="宋体"/>
                <w:spacing w:val="-20"/>
              </w:rPr>
            </w:pPr>
            <w:r>
              <w:rPr>
                <w:rFonts w:ascii="宋体" w:hAnsi="宋体"/>
                <w:spacing w:val="-20"/>
              </w:rPr>
              <w:t>1,874,244</w:t>
            </w:r>
          </w:p>
        </w:tc>
        <w:tc>
          <w:tcPr>
            <w:tcW w:w="374" w:type="pct"/>
            <w:vAlign w:val="center"/>
          </w:tcPr>
          <w:p>
            <w:pPr>
              <w:jc w:val="right"/>
              <w:rPr>
                <w:rFonts w:ascii="宋体" w:hAnsi="宋体"/>
                <w:spacing w:val="-20"/>
              </w:rPr>
            </w:pPr>
            <w:r>
              <w:rPr>
                <w:rFonts w:ascii="宋体" w:hAnsi="宋体"/>
                <w:spacing w:val="-20"/>
              </w:rPr>
              <w:t>8,263</w:t>
            </w:r>
          </w:p>
        </w:tc>
        <w:tc>
          <w:tcPr>
            <w:tcW w:w="396" w:type="pct"/>
            <w:vAlign w:val="center"/>
          </w:tcPr>
          <w:p>
            <w:pPr>
              <w:jc w:val="right"/>
              <w:rPr>
                <w:rFonts w:ascii="宋体" w:hAnsi="宋体"/>
                <w:spacing w:val="-20"/>
              </w:rPr>
            </w:pPr>
          </w:p>
        </w:tc>
        <w:tc>
          <w:tcPr>
            <w:tcW w:w="276" w:type="pct"/>
            <w:vAlign w:val="center"/>
          </w:tcPr>
          <w:p>
            <w:pPr>
              <w:jc w:val="right"/>
              <w:rPr>
                <w:rFonts w:ascii="宋体" w:hAnsi="宋体"/>
                <w:spacing w:val="-20"/>
              </w:rPr>
            </w:pPr>
          </w:p>
        </w:tc>
        <w:tc>
          <w:tcPr>
            <w:tcW w:w="315" w:type="pct"/>
            <w:vAlign w:val="center"/>
          </w:tcPr>
          <w:p>
            <w:pPr>
              <w:jc w:val="right"/>
              <w:rPr>
                <w:rFonts w:ascii="宋体" w:hAnsi="宋体"/>
                <w:spacing w:val="-20"/>
              </w:rPr>
            </w:pPr>
            <w:r>
              <w:rPr>
                <w:rFonts w:ascii="宋体" w:hAnsi="宋体"/>
                <w:spacing w:val="-20"/>
              </w:rPr>
              <w:t>83,624</w:t>
            </w:r>
          </w:p>
        </w:tc>
        <w:tc>
          <w:tcPr>
            <w:tcW w:w="406" w:type="pct"/>
            <w:vAlign w:val="center"/>
          </w:tcPr>
          <w:p>
            <w:pPr>
              <w:jc w:val="right"/>
              <w:rPr>
                <w:rFonts w:ascii="宋体" w:hAnsi="宋体"/>
                <w:spacing w:val="-20"/>
              </w:rPr>
            </w:pPr>
            <w:r>
              <w:rPr>
                <w:rFonts w:ascii="宋体" w:hAnsi="宋体"/>
                <w:spacing w:val="-20"/>
              </w:rPr>
              <w:t>1,966,131</w:t>
            </w:r>
          </w:p>
        </w:tc>
        <w:tc>
          <w:tcPr>
            <w:tcW w:w="344" w:type="pct"/>
            <w:vAlign w:val="center"/>
          </w:tcPr>
          <w:p>
            <w:pPr>
              <w:jc w:val="right"/>
              <w:rPr>
                <w:rFonts w:ascii="宋体" w:hAnsi="宋体"/>
                <w:spacing w:val="-20"/>
              </w:rPr>
            </w:pPr>
            <w:r>
              <w:rPr>
                <w:rFonts w:ascii="宋体" w:hAnsi="宋体"/>
                <w:spacing w:val="-20"/>
              </w:rPr>
              <w:t>N/A</w:t>
            </w:r>
          </w:p>
        </w:tc>
        <w:tc>
          <w:tcPr>
            <w:tcW w:w="235" w:type="pct"/>
            <w:vAlign w:val="center"/>
          </w:tcPr>
          <w:p>
            <w:pPr>
              <w:jc w:val="center"/>
              <w:rPr>
                <w:rFonts w:ascii="宋体" w:hAnsi="宋体"/>
                <w:spacing w:val="-20"/>
              </w:rPr>
            </w:pPr>
            <w:r>
              <w:rPr>
                <w:rFonts w:ascii="宋体" w:hAnsi="宋体"/>
                <w:spacing w:val="-20"/>
              </w:rPr>
              <w:t>N/A</w:t>
            </w:r>
          </w:p>
        </w:tc>
        <w:tc>
          <w:tcPr>
            <w:tcW w:w="362" w:type="pct"/>
            <w:vAlign w:val="center"/>
          </w:tcPr>
          <w:p>
            <w:pPr>
              <w:jc w:val="right"/>
              <w:rPr>
                <w:rFonts w:ascii="宋体" w:hAnsi="宋体"/>
                <w:spacing w:val="-20"/>
              </w:rPr>
            </w:pPr>
            <w:r>
              <w:rPr>
                <w:rFonts w:ascii="宋体" w:hAnsi="宋体"/>
                <w:spacing w:val="-20"/>
              </w:rPr>
              <w:t>28,995</w:t>
            </w:r>
          </w:p>
        </w:tc>
        <w:tc>
          <w:tcPr>
            <w:tcW w:w="338" w:type="pct"/>
            <w:vAlign w:val="center"/>
          </w:tcPr>
          <w:p>
            <w:pPr>
              <w:jc w:val="right"/>
              <w:rPr>
                <w:rFonts w:ascii="宋体" w:hAnsi="宋体"/>
                <w:spacing w:val="-20"/>
              </w:rPr>
            </w:pPr>
          </w:p>
        </w:tc>
        <w:tc>
          <w:tcPr>
            <w:tcW w:w="263" w:type="pct"/>
            <w:vAlign w:val="center"/>
          </w:tcPr>
          <w:p>
            <w:pPr>
              <w:rPr>
                <w:rFonts w:ascii="宋体" w:hAnsi="宋体"/>
                <w:spacing w:val="-20"/>
              </w:rPr>
            </w:pPr>
          </w:p>
        </w:tc>
        <w:tc>
          <w:tcPr>
            <w:tcW w:w="236" w:type="pct"/>
            <w:vAlign w:val="center"/>
          </w:tcPr>
          <w:p>
            <w:pPr>
              <w:rPr>
                <w:rFonts w:ascii="宋体" w:hAnsi="宋体"/>
                <w:spacing w:val="-20"/>
              </w:rPr>
            </w:pPr>
            <w:r>
              <w:rPr>
                <w:rFonts w:hint="eastAsia" w:ascii="宋体" w:hAnsi="宋体"/>
                <w:spacing w:val="-20"/>
              </w:rPr>
              <w:t>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1" w:type="pct"/>
            <w:shd w:val="clear" w:color="auto" w:fill="auto"/>
            <w:vAlign w:val="center"/>
          </w:tcPr>
          <w:p>
            <w:pPr>
              <w:rPr>
                <w:rFonts w:ascii="宋体" w:hAnsi="宋体"/>
                <w:spacing w:val="-20"/>
              </w:rPr>
            </w:pPr>
            <w:r>
              <w:rPr>
                <w:rFonts w:hint="eastAsia" w:ascii="宋体" w:hAnsi="宋体"/>
                <w:spacing w:val="-20"/>
              </w:rPr>
              <w:t>万福煤矿</w:t>
            </w:r>
          </w:p>
        </w:tc>
        <w:tc>
          <w:tcPr>
            <w:tcW w:w="417" w:type="pct"/>
            <w:vAlign w:val="center"/>
          </w:tcPr>
          <w:p>
            <w:pPr>
              <w:jc w:val="right"/>
              <w:rPr>
                <w:rFonts w:ascii="宋体" w:hAnsi="宋体"/>
                <w:spacing w:val="-20"/>
              </w:rPr>
            </w:pPr>
            <w:r>
              <w:rPr>
                <w:rFonts w:ascii="宋体" w:hAnsi="宋体"/>
                <w:spacing w:val="-20"/>
              </w:rPr>
              <w:t>8,395,930</w:t>
            </w:r>
          </w:p>
        </w:tc>
        <w:tc>
          <w:tcPr>
            <w:tcW w:w="417" w:type="pct"/>
            <w:vAlign w:val="center"/>
          </w:tcPr>
          <w:p>
            <w:pPr>
              <w:jc w:val="right"/>
              <w:rPr>
                <w:rFonts w:ascii="宋体" w:hAnsi="宋体"/>
                <w:spacing w:val="-20"/>
              </w:rPr>
            </w:pPr>
            <w:r>
              <w:rPr>
                <w:rFonts w:ascii="宋体" w:hAnsi="宋体"/>
                <w:spacing w:val="-20"/>
              </w:rPr>
              <w:t>5,173,321</w:t>
            </w:r>
          </w:p>
        </w:tc>
        <w:tc>
          <w:tcPr>
            <w:tcW w:w="374" w:type="pct"/>
            <w:vAlign w:val="center"/>
          </w:tcPr>
          <w:p>
            <w:pPr>
              <w:jc w:val="right"/>
              <w:rPr>
                <w:rFonts w:ascii="宋体" w:hAnsi="宋体"/>
                <w:spacing w:val="-20"/>
              </w:rPr>
            </w:pPr>
            <w:r>
              <w:rPr>
                <w:rFonts w:ascii="宋体" w:hAnsi="宋体"/>
                <w:spacing w:val="-20"/>
              </w:rPr>
              <w:t>762,914</w:t>
            </w:r>
          </w:p>
        </w:tc>
        <w:tc>
          <w:tcPr>
            <w:tcW w:w="396" w:type="pct"/>
            <w:vAlign w:val="center"/>
          </w:tcPr>
          <w:p>
            <w:pPr>
              <w:jc w:val="right"/>
              <w:rPr>
                <w:rFonts w:ascii="宋体" w:hAnsi="宋体"/>
                <w:spacing w:val="-20"/>
              </w:rPr>
            </w:pPr>
          </w:p>
        </w:tc>
        <w:tc>
          <w:tcPr>
            <w:tcW w:w="276" w:type="pct"/>
            <w:vAlign w:val="center"/>
          </w:tcPr>
          <w:p>
            <w:pPr>
              <w:jc w:val="right"/>
              <w:rPr>
                <w:rFonts w:ascii="宋体" w:hAnsi="宋体"/>
                <w:spacing w:val="-20"/>
              </w:rPr>
            </w:pPr>
          </w:p>
        </w:tc>
        <w:tc>
          <w:tcPr>
            <w:tcW w:w="315" w:type="pct"/>
            <w:vAlign w:val="center"/>
          </w:tcPr>
          <w:p>
            <w:pPr>
              <w:jc w:val="right"/>
              <w:rPr>
                <w:rFonts w:ascii="宋体" w:hAnsi="宋体"/>
                <w:spacing w:val="-20"/>
              </w:rPr>
            </w:pPr>
          </w:p>
        </w:tc>
        <w:tc>
          <w:tcPr>
            <w:tcW w:w="406" w:type="pct"/>
            <w:vAlign w:val="center"/>
          </w:tcPr>
          <w:p>
            <w:pPr>
              <w:jc w:val="right"/>
              <w:rPr>
                <w:rFonts w:ascii="宋体" w:hAnsi="宋体"/>
                <w:spacing w:val="-20"/>
              </w:rPr>
            </w:pPr>
            <w:r>
              <w:rPr>
                <w:rFonts w:ascii="宋体" w:hAnsi="宋体"/>
                <w:spacing w:val="-20"/>
              </w:rPr>
              <w:t>5,936,235</w:t>
            </w:r>
          </w:p>
        </w:tc>
        <w:tc>
          <w:tcPr>
            <w:tcW w:w="344" w:type="pct"/>
            <w:vAlign w:val="center"/>
          </w:tcPr>
          <w:p>
            <w:pPr>
              <w:jc w:val="right"/>
              <w:rPr>
                <w:rFonts w:ascii="宋体" w:hAnsi="宋体"/>
                <w:spacing w:val="-20"/>
              </w:rPr>
            </w:pPr>
            <w:r>
              <w:rPr>
                <w:rFonts w:ascii="宋体" w:hAnsi="宋体"/>
                <w:spacing w:val="-20"/>
              </w:rPr>
              <w:t>71</w:t>
            </w:r>
          </w:p>
        </w:tc>
        <w:tc>
          <w:tcPr>
            <w:tcW w:w="235" w:type="pct"/>
            <w:vAlign w:val="center"/>
          </w:tcPr>
          <w:p>
            <w:pPr>
              <w:jc w:val="center"/>
              <w:rPr>
                <w:rFonts w:ascii="宋体" w:hAnsi="宋体"/>
                <w:spacing w:val="-20"/>
              </w:rPr>
            </w:pPr>
            <w:r>
              <w:rPr>
                <w:rFonts w:ascii="宋体" w:hAnsi="宋体"/>
                <w:spacing w:val="-20"/>
              </w:rPr>
              <w:t>71</w:t>
            </w:r>
          </w:p>
        </w:tc>
        <w:tc>
          <w:tcPr>
            <w:tcW w:w="362" w:type="pct"/>
            <w:vAlign w:val="center"/>
          </w:tcPr>
          <w:p>
            <w:pPr>
              <w:jc w:val="right"/>
              <w:rPr>
                <w:rFonts w:ascii="宋体" w:hAnsi="宋体"/>
                <w:spacing w:val="-20"/>
              </w:rPr>
            </w:pPr>
            <w:r>
              <w:rPr>
                <w:rFonts w:ascii="宋体" w:hAnsi="宋体"/>
                <w:spacing w:val="-20"/>
              </w:rPr>
              <w:t>1,273,911</w:t>
            </w:r>
          </w:p>
        </w:tc>
        <w:tc>
          <w:tcPr>
            <w:tcW w:w="338" w:type="pct"/>
            <w:vAlign w:val="center"/>
          </w:tcPr>
          <w:p>
            <w:pPr>
              <w:jc w:val="right"/>
              <w:rPr>
                <w:rFonts w:ascii="宋体" w:hAnsi="宋体"/>
                <w:spacing w:val="-20"/>
              </w:rPr>
            </w:pPr>
            <w:r>
              <w:rPr>
                <w:rFonts w:ascii="宋体" w:hAnsi="宋体"/>
                <w:spacing w:val="-20"/>
              </w:rPr>
              <w:t>297,532</w:t>
            </w:r>
          </w:p>
        </w:tc>
        <w:tc>
          <w:tcPr>
            <w:tcW w:w="263" w:type="pct"/>
          </w:tcPr>
          <w:p>
            <w:pPr>
              <w:jc w:val="right"/>
              <w:rPr>
                <w:rFonts w:ascii="宋体" w:hAnsi="宋体"/>
                <w:spacing w:val="-20"/>
              </w:rPr>
            </w:pPr>
            <w:r>
              <w:rPr>
                <w:rFonts w:ascii="宋体" w:hAnsi="宋体"/>
                <w:spacing w:val="-20"/>
              </w:rPr>
              <w:t>2.27-4.75</w:t>
            </w:r>
          </w:p>
        </w:tc>
        <w:tc>
          <w:tcPr>
            <w:tcW w:w="236" w:type="pct"/>
            <w:vAlign w:val="center"/>
          </w:tcPr>
          <w:p>
            <w:pPr>
              <w:rPr>
                <w:rFonts w:ascii="宋体" w:hAnsi="宋体"/>
                <w:spacing w:val="-20"/>
              </w:rPr>
            </w:pPr>
            <w:r>
              <w:rPr>
                <w:rFonts w:hint="eastAsia" w:ascii="宋体" w:hAnsi="宋体"/>
                <w:spacing w:val="-20"/>
              </w:rPr>
              <w:t>自筹及贷款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1" w:type="pct"/>
            <w:shd w:val="clear" w:color="auto" w:fill="auto"/>
            <w:vAlign w:val="center"/>
          </w:tcPr>
          <w:p>
            <w:pPr>
              <w:rPr>
                <w:rFonts w:ascii="宋体" w:hAnsi="宋体"/>
                <w:spacing w:val="-20"/>
              </w:rPr>
            </w:pPr>
            <w:r>
              <w:rPr>
                <w:rFonts w:hint="eastAsia" w:ascii="宋体" w:hAnsi="宋体"/>
                <w:spacing w:val="-20"/>
              </w:rPr>
              <w:t>兖矿泰安港公铁水联运物流园项目</w:t>
            </w:r>
          </w:p>
        </w:tc>
        <w:tc>
          <w:tcPr>
            <w:tcW w:w="417" w:type="pct"/>
            <w:vAlign w:val="center"/>
          </w:tcPr>
          <w:p>
            <w:pPr>
              <w:jc w:val="right"/>
              <w:rPr>
                <w:rFonts w:ascii="宋体" w:hAnsi="宋体"/>
                <w:spacing w:val="-20"/>
              </w:rPr>
            </w:pPr>
            <w:r>
              <w:rPr>
                <w:rFonts w:ascii="宋体" w:hAnsi="宋体"/>
                <w:spacing w:val="-20"/>
              </w:rPr>
              <w:t>2,380,610</w:t>
            </w:r>
          </w:p>
        </w:tc>
        <w:tc>
          <w:tcPr>
            <w:tcW w:w="417" w:type="pct"/>
            <w:vAlign w:val="center"/>
          </w:tcPr>
          <w:p>
            <w:pPr>
              <w:jc w:val="right"/>
              <w:rPr>
                <w:rFonts w:ascii="宋体" w:hAnsi="宋体"/>
                <w:spacing w:val="-20"/>
              </w:rPr>
            </w:pPr>
            <w:r>
              <w:rPr>
                <w:rFonts w:ascii="宋体" w:hAnsi="宋体"/>
                <w:spacing w:val="-20"/>
              </w:rPr>
              <w:t>1,077,630</w:t>
            </w:r>
          </w:p>
        </w:tc>
        <w:tc>
          <w:tcPr>
            <w:tcW w:w="374" w:type="pct"/>
            <w:vAlign w:val="center"/>
          </w:tcPr>
          <w:p>
            <w:pPr>
              <w:jc w:val="right"/>
              <w:rPr>
                <w:rFonts w:ascii="宋体" w:hAnsi="宋体"/>
                <w:spacing w:val="-20"/>
              </w:rPr>
            </w:pPr>
            <w:r>
              <w:rPr>
                <w:rFonts w:ascii="宋体" w:hAnsi="宋体"/>
                <w:spacing w:val="-20"/>
              </w:rPr>
              <w:t>889,220</w:t>
            </w:r>
          </w:p>
        </w:tc>
        <w:tc>
          <w:tcPr>
            <w:tcW w:w="396" w:type="pct"/>
            <w:vAlign w:val="center"/>
          </w:tcPr>
          <w:p>
            <w:pPr>
              <w:jc w:val="right"/>
              <w:rPr>
                <w:rFonts w:ascii="宋体" w:hAnsi="宋体"/>
                <w:spacing w:val="-20"/>
              </w:rPr>
            </w:pPr>
            <w:r>
              <w:rPr>
                <w:rFonts w:ascii="宋体" w:hAnsi="宋体"/>
                <w:spacing w:val="-20"/>
              </w:rPr>
              <w:t>379,963</w:t>
            </w:r>
          </w:p>
        </w:tc>
        <w:tc>
          <w:tcPr>
            <w:tcW w:w="276" w:type="pct"/>
            <w:vAlign w:val="center"/>
          </w:tcPr>
          <w:p>
            <w:pPr>
              <w:jc w:val="right"/>
              <w:rPr>
                <w:rFonts w:ascii="宋体" w:hAnsi="宋体"/>
                <w:spacing w:val="-20"/>
              </w:rPr>
            </w:pPr>
          </w:p>
        </w:tc>
        <w:tc>
          <w:tcPr>
            <w:tcW w:w="315" w:type="pct"/>
            <w:vAlign w:val="center"/>
          </w:tcPr>
          <w:p>
            <w:pPr>
              <w:jc w:val="right"/>
              <w:rPr>
                <w:rFonts w:ascii="宋体" w:hAnsi="宋体"/>
                <w:spacing w:val="-20"/>
              </w:rPr>
            </w:pPr>
          </w:p>
        </w:tc>
        <w:tc>
          <w:tcPr>
            <w:tcW w:w="406" w:type="pct"/>
            <w:vAlign w:val="center"/>
          </w:tcPr>
          <w:p>
            <w:pPr>
              <w:jc w:val="right"/>
              <w:rPr>
                <w:rFonts w:ascii="宋体" w:hAnsi="宋体"/>
                <w:spacing w:val="-20"/>
              </w:rPr>
            </w:pPr>
            <w:r>
              <w:rPr>
                <w:rFonts w:ascii="宋体" w:hAnsi="宋体"/>
                <w:spacing w:val="-20"/>
              </w:rPr>
              <w:t>1,586,887</w:t>
            </w:r>
          </w:p>
        </w:tc>
        <w:tc>
          <w:tcPr>
            <w:tcW w:w="344" w:type="pct"/>
            <w:vAlign w:val="center"/>
          </w:tcPr>
          <w:p>
            <w:pPr>
              <w:jc w:val="right"/>
              <w:rPr>
                <w:rFonts w:ascii="宋体" w:hAnsi="宋体"/>
                <w:spacing w:val="-20"/>
              </w:rPr>
            </w:pPr>
            <w:r>
              <w:rPr>
                <w:rFonts w:ascii="宋体" w:hAnsi="宋体"/>
                <w:spacing w:val="-20"/>
              </w:rPr>
              <w:t>83</w:t>
            </w:r>
          </w:p>
        </w:tc>
        <w:tc>
          <w:tcPr>
            <w:tcW w:w="235" w:type="pct"/>
            <w:vAlign w:val="center"/>
          </w:tcPr>
          <w:p>
            <w:pPr>
              <w:jc w:val="center"/>
              <w:rPr>
                <w:rFonts w:ascii="宋体" w:hAnsi="宋体"/>
                <w:spacing w:val="-20"/>
              </w:rPr>
            </w:pPr>
            <w:r>
              <w:rPr>
                <w:rFonts w:ascii="宋体" w:hAnsi="宋体"/>
                <w:spacing w:val="-20"/>
              </w:rPr>
              <w:t>83</w:t>
            </w:r>
          </w:p>
        </w:tc>
        <w:tc>
          <w:tcPr>
            <w:tcW w:w="362" w:type="pct"/>
            <w:vAlign w:val="center"/>
          </w:tcPr>
          <w:p>
            <w:pPr>
              <w:jc w:val="right"/>
              <w:rPr>
                <w:rFonts w:ascii="宋体" w:hAnsi="宋体"/>
                <w:spacing w:val="-20"/>
              </w:rPr>
            </w:pPr>
            <w:r>
              <w:rPr>
                <w:rFonts w:ascii="宋体" w:hAnsi="宋体"/>
                <w:spacing w:val="-20"/>
              </w:rPr>
              <w:t>41,295</w:t>
            </w:r>
          </w:p>
        </w:tc>
        <w:tc>
          <w:tcPr>
            <w:tcW w:w="338" w:type="pct"/>
            <w:vAlign w:val="center"/>
          </w:tcPr>
          <w:p>
            <w:pPr>
              <w:jc w:val="right"/>
              <w:rPr>
                <w:rFonts w:ascii="宋体" w:hAnsi="宋体"/>
                <w:spacing w:val="-20"/>
              </w:rPr>
            </w:pPr>
            <w:r>
              <w:rPr>
                <w:rFonts w:ascii="宋体" w:hAnsi="宋体"/>
                <w:spacing w:val="-20"/>
              </w:rPr>
              <w:t>20,530</w:t>
            </w:r>
          </w:p>
        </w:tc>
        <w:tc>
          <w:tcPr>
            <w:tcW w:w="263" w:type="pct"/>
          </w:tcPr>
          <w:p>
            <w:pPr>
              <w:jc w:val="right"/>
              <w:rPr>
                <w:rFonts w:ascii="宋体" w:hAnsi="宋体"/>
                <w:spacing w:val="-20"/>
              </w:rPr>
            </w:pPr>
            <w:r>
              <w:rPr>
                <w:rFonts w:ascii="宋体" w:hAnsi="宋体"/>
                <w:spacing w:val="-20"/>
              </w:rPr>
              <w:t>3.27</w:t>
            </w:r>
            <w:r>
              <w:rPr>
                <w:rFonts w:hint="eastAsia" w:ascii="宋体" w:hAnsi="宋体"/>
                <w:spacing w:val="-20"/>
              </w:rPr>
              <w:t>、</w:t>
            </w:r>
            <w:r>
              <w:rPr>
                <w:rFonts w:ascii="宋体" w:hAnsi="宋体"/>
                <w:spacing w:val="-20"/>
              </w:rPr>
              <w:t>3.13</w:t>
            </w:r>
          </w:p>
        </w:tc>
        <w:tc>
          <w:tcPr>
            <w:tcW w:w="236" w:type="pct"/>
            <w:vAlign w:val="center"/>
          </w:tcPr>
          <w:p>
            <w:pPr>
              <w:rPr>
                <w:rFonts w:ascii="宋体" w:hAnsi="宋体"/>
                <w:spacing w:val="-20"/>
              </w:rPr>
            </w:pPr>
            <w:r>
              <w:rPr>
                <w:rFonts w:hint="eastAsia" w:ascii="宋体" w:hAnsi="宋体"/>
                <w:spacing w:val="-20"/>
              </w:rPr>
              <w:t>自筹及贷款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1" w:type="pct"/>
            <w:shd w:val="clear" w:color="auto" w:fill="auto"/>
            <w:vAlign w:val="center"/>
          </w:tcPr>
          <w:p>
            <w:pPr>
              <w:rPr>
                <w:rFonts w:ascii="宋体" w:hAnsi="宋体"/>
                <w:spacing w:val="-20"/>
              </w:rPr>
            </w:pPr>
            <w:r>
              <w:rPr>
                <w:rFonts w:hint="eastAsia" w:ascii="宋体" w:hAnsi="宋体"/>
                <w:spacing w:val="-20"/>
              </w:rPr>
              <w:t>鲁化己内酰胺产业链配套节能减碳一体化工程项目</w:t>
            </w:r>
          </w:p>
        </w:tc>
        <w:tc>
          <w:tcPr>
            <w:tcW w:w="417" w:type="pct"/>
            <w:vAlign w:val="center"/>
          </w:tcPr>
          <w:p>
            <w:pPr>
              <w:jc w:val="right"/>
              <w:rPr>
                <w:rFonts w:ascii="宋体" w:hAnsi="宋体"/>
                <w:spacing w:val="-20"/>
              </w:rPr>
            </w:pPr>
            <w:r>
              <w:rPr>
                <w:rFonts w:ascii="宋体" w:hAnsi="宋体"/>
                <w:spacing w:val="-20"/>
              </w:rPr>
              <w:t>2,015,533</w:t>
            </w:r>
          </w:p>
        </w:tc>
        <w:tc>
          <w:tcPr>
            <w:tcW w:w="417" w:type="pct"/>
            <w:vAlign w:val="center"/>
          </w:tcPr>
          <w:p>
            <w:pPr>
              <w:jc w:val="right"/>
              <w:rPr>
                <w:rFonts w:ascii="宋体" w:hAnsi="宋体"/>
                <w:spacing w:val="-20"/>
              </w:rPr>
            </w:pPr>
            <w:r>
              <w:rPr>
                <w:rFonts w:ascii="宋体" w:hAnsi="宋体"/>
                <w:spacing w:val="-20"/>
              </w:rPr>
              <w:t>398,980</w:t>
            </w:r>
          </w:p>
        </w:tc>
        <w:tc>
          <w:tcPr>
            <w:tcW w:w="374" w:type="pct"/>
            <w:vAlign w:val="center"/>
          </w:tcPr>
          <w:p>
            <w:pPr>
              <w:jc w:val="right"/>
              <w:rPr>
                <w:rFonts w:ascii="宋体" w:hAnsi="宋体"/>
                <w:spacing w:val="-20"/>
              </w:rPr>
            </w:pPr>
            <w:r>
              <w:rPr>
                <w:rFonts w:ascii="宋体" w:hAnsi="宋体"/>
                <w:spacing w:val="-20"/>
              </w:rPr>
              <w:t>1,127,625</w:t>
            </w:r>
          </w:p>
        </w:tc>
        <w:tc>
          <w:tcPr>
            <w:tcW w:w="396" w:type="pct"/>
            <w:vAlign w:val="center"/>
          </w:tcPr>
          <w:p>
            <w:pPr>
              <w:jc w:val="right"/>
              <w:rPr>
                <w:rFonts w:ascii="宋体" w:hAnsi="宋体"/>
                <w:spacing w:val="-20"/>
              </w:rPr>
            </w:pPr>
          </w:p>
        </w:tc>
        <w:tc>
          <w:tcPr>
            <w:tcW w:w="276" w:type="pct"/>
            <w:vAlign w:val="center"/>
          </w:tcPr>
          <w:p>
            <w:pPr>
              <w:jc w:val="right"/>
              <w:rPr>
                <w:rFonts w:ascii="宋体" w:hAnsi="宋体"/>
                <w:spacing w:val="-20"/>
              </w:rPr>
            </w:pPr>
          </w:p>
        </w:tc>
        <w:tc>
          <w:tcPr>
            <w:tcW w:w="315" w:type="pct"/>
            <w:vAlign w:val="center"/>
          </w:tcPr>
          <w:p>
            <w:pPr>
              <w:jc w:val="right"/>
              <w:rPr>
                <w:rFonts w:ascii="宋体" w:hAnsi="宋体"/>
                <w:spacing w:val="-20"/>
              </w:rPr>
            </w:pPr>
          </w:p>
        </w:tc>
        <w:tc>
          <w:tcPr>
            <w:tcW w:w="406" w:type="pct"/>
            <w:vAlign w:val="center"/>
          </w:tcPr>
          <w:p>
            <w:pPr>
              <w:jc w:val="right"/>
              <w:rPr>
                <w:rFonts w:ascii="宋体" w:hAnsi="宋体"/>
                <w:spacing w:val="-20"/>
              </w:rPr>
            </w:pPr>
            <w:r>
              <w:rPr>
                <w:rFonts w:ascii="宋体" w:hAnsi="宋体"/>
                <w:spacing w:val="-20"/>
              </w:rPr>
              <w:t>1,526,605</w:t>
            </w:r>
          </w:p>
        </w:tc>
        <w:tc>
          <w:tcPr>
            <w:tcW w:w="344" w:type="pct"/>
            <w:vAlign w:val="center"/>
          </w:tcPr>
          <w:p>
            <w:pPr>
              <w:jc w:val="right"/>
              <w:rPr>
                <w:rFonts w:ascii="宋体" w:hAnsi="宋体"/>
                <w:spacing w:val="-20"/>
              </w:rPr>
            </w:pPr>
            <w:r>
              <w:rPr>
                <w:rFonts w:hint="eastAsia" w:ascii="宋体" w:hAnsi="宋体"/>
                <w:spacing w:val="-20"/>
              </w:rPr>
              <w:t>7</w:t>
            </w:r>
            <w:r>
              <w:rPr>
                <w:rFonts w:ascii="宋体" w:hAnsi="宋体"/>
                <w:spacing w:val="-20"/>
              </w:rPr>
              <w:t>6</w:t>
            </w:r>
          </w:p>
        </w:tc>
        <w:tc>
          <w:tcPr>
            <w:tcW w:w="235" w:type="pct"/>
            <w:vAlign w:val="center"/>
          </w:tcPr>
          <w:p>
            <w:pPr>
              <w:jc w:val="center"/>
              <w:rPr>
                <w:rFonts w:ascii="宋体" w:hAnsi="宋体"/>
                <w:spacing w:val="-20"/>
              </w:rPr>
            </w:pPr>
            <w:r>
              <w:rPr>
                <w:rFonts w:hint="eastAsia" w:ascii="宋体" w:hAnsi="宋体"/>
                <w:spacing w:val="-20"/>
              </w:rPr>
              <w:t>7</w:t>
            </w:r>
            <w:r>
              <w:rPr>
                <w:rFonts w:ascii="宋体" w:hAnsi="宋体"/>
                <w:spacing w:val="-20"/>
              </w:rPr>
              <w:t>6</w:t>
            </w:r>
          </w:p>
        </w:tc>
        <w:tc>
          <w:tcPr>
            <w:tcW w:w="362" w:type="pct"/>
            <w:vAlign w:val="center"/>
          </w:tcPr>
          <w:p>
            <w:pPr>
              <w:jc w:val="right"/>
              <w:rPr>
                <w:rFonts w:ascii="宋体" w:hAnsi="宋体"/>
                <w:spacing w:val="-20"/>
              </w:rPr>
            </w:pPr>
          </w:p>
        </w:tc>
        <w:tc>
          <w:tcPr>
            <w:tcW w:w="338" w:type="pct"/>
            <w:vAlign w:val="center"/>
          </w:tcPr>
          <w:p>
            <w:pPr>
              <w:jc w:val="right"/>
              <w:rPr>
                <w:rFonts w:ascii="宋体" w:hAnsi="宋体"/>
                <w:spacing w:val="-20"/>
              </w:rPr>
            </w:pPr>
          </w:p>
        </w:tc>
        <w:tc>
          <w:tcPr>
            <w:tcW w:w="263" w:type="pct"/>
            <w:vAlign w:val="center"/>
          </w:tcPr>
          <w:p>
            <w:pPr>
              <w:rPr>
                <w:rFonts w:ascii="宋体" w:hAnsi="宋体"/>
                <w:spacing w:val="-20"/>
              </w:rPr>
            </w:pPr>
          </w:p>
        </w:tc>
        <w:tc>
          <w:tcPr>
            <w:tcW w:w="236" w:type="pct"/>
            <w:vAlign w:val="center"/>
          </w:tcPr>
          <w:p>
            <w:pPr>
              <w:rPr>
                <w:rFonts w:ascii="宋体" w:hAnsi="宋体"/>
                <w:spacing w:val="-20"/>
              </w:rPr>
            </w:pPr>
            <w:r>
              <w:rPr>
                <w:rFonts w:hint="eastAsia" w:ascii="宋体" w:hAnsi="宋体"/>
                <w:spacing w:val="-20"/>
              </w:rPr>
              <w:t>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1" w:type="pct"/>
            <w:shd w:val="clear" w:color="auto" w:fill="auto"/>
            <w:vAlign w:val="center"/>
          </w:tcPr>
          <w:p>
            <w:pPr>
              <w:rPr>
                <w:rFonts w:ascii="宋体" w:hAnsi="宋体"/>
                <w:spacing w:val="-20"/>
              </w:rPr>
            </w:pPr>
            <w:r>
              <w:rPr>
                <w:rFonts w:hint="eastAsia" w:ascii="宋体" w:hAnsi="宋体"/>
                <w:spacing w:val="-20"/>
              </w:rPr>
              <w:t>榆林能化年产10万吨DMMn项目</w:t>
            </w:r>
          </w:p>
        </w:tc>
        <w:tc>
          <w:tcPr>
            <w:tcW w:w="417" w:type="pct"/>
            <w:vAlign w:val="center"/>
          </w:tcPr>
          <w:p>
            <w:pPr>
              <w:jc w:val="right"/>
              <w:rPr>
                <w:rFonts w:ascii="宋体" w:hAnsi="宋体"/>
                <w:spacing w:val="-20"/>
              </w:rPr>
            </w:pPr>
            <w:r>
              <w:rPr>
                <w:rFonts w:ascii="宋体" w:hAnsi="宋体"/>
                <w:spacing w:val="-20"/>
              </w:rPr>
              <w:t>4,361,440</w:t>
            </w:r>
          </w:p>
        </w:tc>
        <w:tc>
          <w:tcPr>
            <w:tcW w:w="417" w:type="pct"/>
            <w:vAlign w:val="center"/>
          </w:tcPr>
          <w:p>
            <w:pPr>
              <w:jc w:val="right"/>
              <w:rPr>
                <w:rFonts w:ascii="宋体" w:hAnsi="宋体"/>
                <w:spacing w:val="-20"/>
              </w:rPr>
            </w:pPr>
            <w:r>
              <w:rPr>
                <w:rFonts w:ascii="宋体" w:hAnsi="宋体"/>
                <w:spacing w:val="-20"/>
              </w:rPr>
              <w:t>3,689,594</w:t>
            </w:r>
          </w:p>
        </w:tc>
        <w:tc>
          <w:tcPr>
            <w:tcW w:w="374" w:type="pct"/>
            <w:vAlign w:val="center"/>
          </w:tcPr>
          <w:p>
            <w:pPr>
              <w:jc w:val="right"/>
              <w:rPr>
                <w:rFonts w:ascii="宋体" w:hAnsi="宋体"/>
                <w:spacing w:val="-20"/>
              </w:rPr>
            </w:pPr>
            <w:r>
              <w:rPr>
                <w:rFonts w:ascii="宋体" w:hAnsi="宋体"/>
                <w:spacing w:val="-20"/>
              </w:rPr>
              <w:t>17,784</w:t>
            </w:r>
          </w:p>
        </w:tc>
        <w:tc>
          <w:tcPr>
            <w:tcW w:w="396" w:type="pct"/>
            <w:vAlign w:val="center"/>
          </w:tcPr>
          <w:p>
            <w:pPr>
              <w:jc w:val="right"/>
              <w:rPr>
                <w:rFonts w:ascii="宋体" w:hAnsi="宋体"/>
                <w:spacing w:val="-20"/>
              </w:rPr>
            </w:pPr>
          </w:p>
        </w:tc>
        <w:tc>
          <w:tcPr>
            <w:tcW w:w="276" w:type="pct"/>
            <w:vAlign w:val="center"/>
          </w:tcPr>
          <w:p>
            <w:pPr>
              <w:jc w:val="right"/>
              <w:rPr>
                <w:rFonts w:ascii="宋体" w:hAnsi="宋体"/>
                <w:spacing w:val="-20"/>
              </w:rPr>
            </w:pPr>
          </w:p>
        </w:tc>
        <w:tc>
          <w:tcPr>
            <w:tcW w:w="315" w:type="pct"/>
            <w:vAlign w:val="center"/>
          </w:tcPr>
          <w:p>
            <w:pPr>
              <w:jc w:val="right"/>
              <w:rPr>
                <w:rFonts w:ascii="宋体" w:hAnsi="宋体"/>
                <w:spacing w:val="-20"/>
              </w:rPr>
            </w:pPr>
          </w:p>
        </w:tc>
        <w:tc>
          <w:tcPr>
            <w:tcW w:w="406" w:type="pct"/>
            <w:vAlign w:val="center"/>
          </w:tcPr>
          <w:p>
            <w:pPr>
              <w:jc w:val="right"/>
              <w:rPr>
                <w:rFonts w:ascii="宋体" w:hAnsi="宋体"/>
                <w:spacing w:val="-20"/>
              </w:rPr>
            </w:pPr>
            <w:r>
              <w:rPr>
                <w:rFonts w:ascii="宋体" w:hAnsi="宋体"/>
                <w:spacing w:val="-20"/>
              </w:rPr>
              <w:t>3,707,378</w:t>
            </w:r>
          </w:p>
        </w:tc>
        <w:tc>
          <w:tcPr>
            <w:tcW w:w="344" w:type="pct"/>
            <w:vAlign w:val="center"/>
          </w:tcPr>
          <w:p>
            <w:pPr>
              <w:jc w:val="right"/>
              <w:rPr>
                <w:rFonts w:ascii="宋体" w:hAnsi="宋体"/>
                <w:spacing w:val="-20"/>
              </w:rPr>
            </w:pPr>
            <w:r>
              <w:rPr>
                <w:rFonts w:hint="eastAsia" w:ascii="宋体" w:hAnsi="宋体"/>
                <w:spacing w:val="-20"/>
              </w:rPr>
              <w:t>8</w:t>
            </w:r>
            <w:r>
              <w:rPr>
                <w:rFonts w:ascii="宋体" w:hAnsi="宋体"/>
                <w:spacing w:val="-20"/>
              </w:rPr>
              <w:t>5</w:t>
            </w:r>
          </w:p>
        </w:tc>
        <w:tc>
          <w:tcPr>
            <w:tcW w:w="235" w:type="pct"/>
            <w:vAlign w:val="center"/>
          </w:tcPr>
          <w:p>
            <w:pPr>
              <w:jc w:val="center"/>
              <w:rPr>
                <w:rFonts w:ascii="宋体" w:hAnsi="宋体"/>
                <w:spacing w:val="-20"/>
              </w:rPr>
            </w:pPr>
            <w:r>
              <w:rPr>
                <w:rFonts w:hint="eastAsia" w:ascii="宋体" w:hAnsi="宋体"/>
                <w:spacing w:val="-20"/>
              </w:rPr>
              <w:t>8</w:t>
            </w:r>
            <w:r>
              <w:rPr>
                <w:rFonts w:ascii="宋体" w:hAnsi="宋体"/>
                <w:spacing w:val="-20"/>
              </w:rPr>
              <w:t>5</w:t>
            </w:r>
          </w:p>
        </w:tc>
        <w:tc>
          <w:tcPr>
            <w:tcW w:w="362" w:type="pct"/>
            <w:vAlign w:val="center"/>
          </w:tcPr>
          <w:p>
            <w:pPr>
              <w:jc w:val="right"/>
              <w:rPr>
                <w:rFonts w:ascii="宋体" w:hAnsi="宋体"/>
                <w:spacing w:val="-20"/>
              </w:rPr>
            </w:pPr>
          </w:p>
        </w:tc>
        <w:tc>
          <w:tcPr>
            <w:tcW w:w="338" w:type="pct"/>
            <w:vAlign w:val="center"/>
          </w:tcPr>
          <w:p>
            <w:pPr>
              <w:jc w:val="right"/>
              <w:rPr>
                <w:rFonts w:ascii="宋体" w:hAnsi="宋体"/>
                <w:spacing w:val="-20"/>
              </w:rPr>
            </w:pPr>
          </w:p>
        </w:tc>
        <w:tc>
          <w:tcPr>
            <w:tcW w:w="263" w:type="pct"/>
            <w:vAlign w:val="center"/>
          </w:tcPr>
          <w:p>
            <w:pPr>
              <w:rPr>
                <w:rFonts w:ascii="宋体" w:hAnsi="宋体"/>
                <w:spacing w:val="-20"/>
              </w:rPr>
            </w:pPr>
          </w:p>
        </w:tc>
        <w:tc>
          <w:tcPr>
            <w:tcW w:w="236" w:type="pct"/>
            <w:vAlign w:val="center"/>
          </w:tcPr>
          <w:p>
            <w:pPr>
              <w:rPr>
                <w:rFonts w:ascii="宋体" w:hAnsi="宋体"/>
                <w:spacing w:val="-20"/>
              </w:rPr>
            </w:pPr>
            <w:r>
              <w:rPr>
                <w:rFonts w:hint="eastAsia" w:ascii="宋体" w:hAnsi="宋体"/>
                <w:spacing w:val="-20"/>
              </w:rPr>
              <w:t>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1" w:type="pct"/>
            <w:shd w:val="clear" w:color="auto" w:fill="auto"/>
            <w:vAlign w:val="center"/>
          </w:tcPr>
          <w:p>
            <w:pPr>
              <w:rPr>
                <w:rFonts w:ascii="宋体" w:hAnsi="宋体"/>
                <w:spacing w:val="-20"/>
              </w:rPr>
            </w:pPr>
            <w:r>
              <w:rPr>
                <w:rFonts w:hint="eastAsia" w:ascii="宋体" w:hAnsi="宋体"/>
                <w:spacing w:val="-20"/>
              </w:rPr>
              <w:t>兖矿能源智慧制造园区项目</w:t>
            </w:r>
          </w:p>
        </w:tc>
        <w:tc>
          <w:tcPr>
            <w:tcW w:w="417" w:type="pct"/>
            <w:vAlign w:val="center"/>
          </w:tcPr>
          <w:p>
            <w:pPr>
              <w:jc w:val="right"/>
              <w:rPr>
                <w:rFonts w:ascii="宋体" w:hAnsi="宋体"/>
                <w:spacing w:val="-20"/>
              </w:rPr>
            </w:pPr>
            <w:r>
              <w:rPr>
                <w:rFonts w:ascii="宋体" w:hAnsi="宋体"/>
                <w:spacing w:val="-20"/>
              </w:rPr>
              <w:t>1,698,968</w:t>
            </w:r>
          </w:p>
        </w:tc>
        <w:tc>
          <w:tcPr>
            <w:tcW w:w="417" w:type="pct"/>
            <w:vAlign w:val="center"/>
          </w:tcPr>
          <w:p>
            <w:pPr>
              <w:jc w:val="right"/>
              <w:rPr>
                <w:rFonts w:ascii="宋体" w:hAnsi="宋体"/>
                <w:spacing w:val="-20"/>
              </w:rPr>
            </w:pPr>
            <w:r>
              <w:rPr>
                <w:rFonts w:ascii="宋体" w:hAnsi="宋体"/>
                <w:spacing w:val="-20"/>
              </w:rPr>
              <w:t>743,877</w:t>
            </w:r>
          </w:p>
        </w:tc>
        <w:tc>
          <w:tcPr>
            <w:tcW w:w="374" w:type="pct"/>
            <w:vAlign w:val="center"/>
          </w:tcPr>
          <w:p>
            <w:pPr>
              <w:jc w:val="right"/>
              <w:rPr>
                <w:rFonts w:ascii="宋体" w:hAnsi="宋体"/>
                <w:spacing w:val="-20"/>
              </w:rPr>
            </w:pPr>
            <w:r>
              <w:rPr>
                <w:rFonts w:ascii="宋体" w:hAnsi="宋体"/>
                <w:spacing w:val="-20"/>
              </w:rPr>
              <w:t>477,656</w:t>
            </w:r>
          </w:p>
        </w:tc>
        <w:tc>
          <w:tcPr>
            <w:tcW w:w="396" w:type="pct"/>
            <w:vAlign w:val="center"/>
          </w:tcPr>
          <w:p>
            <w:pPr>
              <w:jc w:val="right"/>
              <w:rPr>
                <w:rFonts w:ascii="宋体" w:hAnsi="宋体"/>
                <w:spacing w:val="-20"/>
              </w:rPr>
            </w:pPr>
          </w:p>
        </w:tc>
        <w:tc>
          <w:tcPr>
            <w:tcW w:w="276" w:type="pct"/>
            <w:vAlign w:val="center"/>
          </w:tcPr>
          <w:p>
            <w:pPr>
              <w:jc w:val="right"/>
              <w:rPr>
                <w:rFonts w:ascii="宋体" w:hAnsi="宋体"/>
                <w:spacing w:val="-20"/>
              </w:rPr>
            </w:pPr>
          </w:p>
        </w:tc>
        <w:tc>
          <w:tcPr>
            <w:tcW w:w="315" w:type="pct"/>
            <w:vAlign w:val="center"/>
          </w:tcPr>
          <w:p>
            <w:pPr>
              <w:jc w:val="right"/>
              <w:rPr>
                <w:rFonts w:ascii="宋体" w:hAnsi="宋体"/>
                <w:spacing w:val="-20"/>
              </w:rPr>
            </w:pPr>
          </w:p>
        </w:tc>
        <w:tc>
          <w:tcPr>
            <w:tcW w:w="406" w:type="pct"/>
            <w:vAlign w:val="center"/>
          </w:tcPr>
          <w:p>
            <w:pPr>
              <w:jc w:val="right"/>
              <w:rPr>
                <w:rFonts w:ascii="宋体" w:hAnsi="宋体"/>
                <w:spacing w:val="-20"/>
              </w:rPr>
            </w:pPr>
            <w:r>
              <w:rPr>
                <w:rFonts w:ascii="宋体" w:hAnsi="宋体"/>
                <w:spacing w:val="-20"/>
              </w:rPr>
              <w:t>1,221,533</w:t>
            </w:r>
          </w:p>
        </w:tc>
        <w:tc>
          <w:tcPr>
            <w:tcW w:w="344" w:type="pct"/>
            <w:vAlign w:val="center"/>
          </w:tcPr>
          <w:p>
            <w:pPr>
              <w:jc w:val="right"/>
              <w:rPr>
                <w:rFonts w:ascii="宋体" w:hAnsi="宋体"/>
                <w:spacing w:val="-20"/>
              </w:rPr>
            </w:pPr>
            <w:r>
              <w:rPr>
                <w:rFonts w:ascii="宋体" w:hAnsi="宋体"/>
                <w:spacing w:val="-20"/>
              </w:rPr>
              <w:t>72</w:t>
            </w:r>
          </w:p>
        </w:tc>
        <w:tc>
          <w:tcPr>
            <w:tcW w:w="235" w:type="pct"/>
            <w:vAlign w:val="center"/>
          </w:tcPr>
          <w:p>
            <w:pPr>
              <w:jc w:val="center"/>
              <w:rPr>
                <w:rFonts w:ascii="宋体" w:hAnsi="宋体"/>
                <w:spacing w:val="-20"/>
              </w:rPr>
            </w:pPr>
            <w:r>
              <w:rPr>
                <w:rFonts w:ascii="宋体" w:hAnsi="宋体"/>
                <w:spacing w:val="-20"/>
              </w:rPr>
              <w:t>72</w:t>
            </w:r>
          </w:p>
        </w:tc>
        <w:tc>
          <w:tcPr>
            <w:tcW w:w="362" w:type="pct"/>
            <w:vAlign w:val="center"/>
          </w:tcPr>
          <w:p>
            <w:pPr>
              <w:jc w:val="right"/>
              <w:rPr>
                <w:rFonts w:ascii="宋体" w:hAnsi="宋体"/>
                <w:spacing w:val="-20"/>
              </w:rPr>
            </w:pPr>
          </w:p>
        </w:tc>
        <w:tc>
          <w:tcPr>
            <w:tcW w:w="338" w:type="pct"/>
            <w:vAlign w:val="center"/>
          </w:tcPr>
          <w:p>
            <w:pPr>
              <w:jc w:val="right"/>
              <w:rPr>
                <w:rFonts w:ascii="宋体" w:hAnsi="宋体"/>
                <w:spacing w:val="-20"/>
              </w:rPr>
            </w:pPr>
          </w:p>
        </w:tc>
        <w:tc>
          <w:tcPr>
            <w:tcW w:w="263" w:type="pct"/>
            <w:vAlign w:val="center"/>
          </w:tcPr>
          <w:p>
            <w:pPr>
              <w:rPr>
                <w:rFonts w:ascii="宋体" w:hAnsi="宋体"/>
                <w:spacing w:val="-20"/>
              </w:rPr>
            </w:pPr>
          </w:p>
        </w:tc>
        <w:tc>
          <w:tcPr>
            <w:tcW w:w="236" w:type="pct"/>
            <w:vAlign w:val="center"/>
          </w:tcPr>
          <w:p>
            <w:pPr>
              <w:rPr>
                <w:rFonts w:ascii="宋体" w:hAnsi="宋体"/>
                <w:spacing w:val="-20"/>
              </w:rPr>
            </w:pPr>
            <w:r>
              <w:rPr>
                <w:rFonts w:hint="eastAsia" w:ascii="宋体" w:hAnsi="宋体"/>
                <w:spacing w:val="-20"/>
              </w:rPr>
              <w:t>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1" w:type="pct"/>
            <w:shd w:val="clear" w:color="auto" w:fill="auto"/>
            <w:vAlign w:val="center"/>
          </w:tcPr>
          <w:p>
            <w:pPr>
              <w:jc w:val="center"/>
              <w:rPr>
                <w:rFonts w:ascii="宋体" w:hAnsi="宋体"/>
                <w:spacing w:val="-20"/>
              </w:rPr>
            </w:pPr>
            <w:r>
              <w:rPr>
                <w:rFonts w:hint="eastAsia" w:ascii="宋体" w:hAnsi="宋体"/>
                <w:spacing w:val="-20"/>
              </w:rPr>
              <w:t>合计</w:t>
            </w:r>
          </w:p>
        </w:tc>
        <w:tc>
          <w:tcPr>
            <w:tcW w:w="417" w:type="pct"/>
            <w:vAlign w:val="center"/>
          </w:tcPr>
          <w:p>
            <w:pPr>
              <w:jc w:val="right"/>
              <w:rPr>
                <w:rFonts w:ascii="宋体" w:hAnsi="宋体"/>
                <w:spacing w:val="-20"/>
              </w:rPr>
            </w:pPr>
            <w:r>
              <w:rPr>
                <w:rFonts w:ascii="宋体" w:hAnsi="宋体"/>
                <w:spacing w:val="-20"/>
              </w:rPr>
              <w:t>18,852,481</w:t>
            </w:r>
          </w:p>
        </w:tc>
        <w:tc>
          <w:tcPr>
            <w:tcW w:w="417" w:type="pct"/>
            <w:vAlign w:val="center"/>
          </w:tcPr>
          <w:p>
            <w:pPr>
              <w:jc w:val="right"/>
              <w:rPr>
                <w:rFonts w:ascii="宋体" w:hAnsi="宋体"/>
                <w:spacing w:val="-20"/>
              </w:rPr>
            </w:pPr>
            <w:r>
              <w:rPr>
                <w:rFonts w:ascii="宋体" w:hAnsi="宋体"/>
                <w:spacing w:val="-20"/>
              </w:rPr>
              <w:t>12,957,646</w:t>
            </w:r>
          </w:p>
        </w:tc>
        <w:tc>
          <w:tcPr>
            <w:tcW w:w="374" w:type="pct"/>
            <w:vAlign w:val="center"/>
          </w:tcPr>
          <w:p>
            <w:pPr>
              <w:jc w:val="right"/>
              <w:rPr>
                <w:rFonts w:ascii="宋体" w:hAnsi="宋体"/>
                <w:spacing w:val="-20"/>
              </w:rPr>
            </w:pPr>
            <w:r>
              <w:rPr>
                <w:rFonts w:ascii="宋体" w:hAnsi="宋体"/>
                <w:spacing w:val="-20"/>
              </w:rPr>
              <w:t>3,283,462</w:t>
            </w:r>
          </w:p>
        </w:tc>
        <w:tc>
          <w:tcPr>
            <w:tcW w:w="396" w:type="pct"/>
            <w:vAlign w:val="center"/>
          </w:tcPr>
          <w:p>
            <w:pPr>
              <w:jc w:val="right"/>
              <w:rPr>
                <w:rFonts w:ascii="宋体" w:hAnsi="宋体"/>
                <w:spacing w:val="-20"/>
              </w:rPr>
            </w:pPr>
            <w:r>
              <w:rPr>
                <w:rFonts w:ascii="宋体" w:hAnsi="宋体"/>
                <w:spacing w:val="-20"/>
              </w:rPr>
              <w:t>379,963</w:t>
            </w:r>
          </w:p>
        </w:tc>
        <w:tc>
          <w:tcPr>
            <w:tcW w:w="276" w:type="pct"/>
            <w:vAlign w:val="center"/>
          </w:tcPr>
          <w:p>
            <w:pPr>
              <w:jc w:val="right"/>
              <w:rPr>
                <w:rFonts w:ascii="宋体" w:hAnsi="宋体"/>
                <w:spacing w:val="-20"/>
              </w:rPr>
            </w:pPr>
          </w:p>
        </w:tc>
        <w:tc>
          <w:tcPr>
            <w:tcW w:w="315" w:type="pct"/>
            <w:vAlign w:val="center"/>
          </w:tcPr>
          <w:p>
            <w:pPr>
              <w:jc w:val="right"/>
              <w:rPr>
                <w:rFonts w:ascii="宋体" w:hAnsi="宋体"/>
                <w:spacing w:val="-20"/>
              </w:rPr>
            </w:pPr>
            <w:r>
              <w:rPr>
                <w:rFonts w:ascii="宋体" w:hAnsi="宋体"/>
                <w:spacing w:val="-20"/>
              </w:rPr>
              <w:t>83,624</w:t>
            </w:r>
          </w:p>
        </w:tc>
        <w:tc>
          <w:tcPr>
            <w:tcW w:w="406" w:type="pct"/>
            <w:vAlign w:val="center"/>
          </w:tcPr>
          <w:p>
            <w:pPr>
              <w:jc w:val="right"/>
              <w:rPr>
                <w:rFonts w:ascii="宋体" w:hAnsi="宋体"/>
                <w:spacing w:val="-20"/>
              </w:rPr>
            </w:pPr>
            <w:r>
              <w:rPr>
                <w:rFonts w:ascii="宋体" w:hAnsi="宋体"/>
                <w:spacing w:val="-20"/>
              </w:rPr>
              <w:t>15,944,769</w:t>
            </w:r>
          </w:p>
        </w:tc>
        <w:tc>
          <w:tcPr>
            <w:tcW w:w="344" w:type="pct"/>
            <w:vAlign w:val="center"/>
          </w:tcPr>
          <w:p>
            <w:pPr>
              <w:jc w:val="right"/>
              <w:rPr>
                <w:rFonts w:ascii="宋体" w:hAnsi="宋体"/>
                <w:spacing w:val="-20"/>
              </w:rPr>
            </w:pPr>
            <w:r>
              <w:rPr>
                <w:rFonts w:ascii="宋体" w:hAnsi="宋体"/>
                <w:spacing w:val="-20"/>
              </w:rPr>
              <w:t>/</w:t>
            </w:r>
          </w:p>
        </w:tc>
        <w:tc>
          <w:tcPr>
            <w:tcW w:w="235" w:type="pct"/>
            <w:vAlign w:val="center"/>
          </w:tcPr>
          <w:p>
            <w:pPr>
              <w:jc w:val="right"/>
              <w:rPr>
                <w:rFonts w:ascii="宋体" w:hAnsi="宋体"/>
                <w:spacing w:val="-20"/>
              </w:rPr>
            </w:pPr>
            <w:r>
              <w:rPr>
                <w:rFonts w:ascii="宋体" w:hAnsi="宋体"/>
                <w:spacing w:val="-20"/>
              </w:rPr>
              <w:t>/</w:t>
            </w:r>
          </w:p>
        </w:tc>
        <w:tc>
          <w:tcPr>
            <w:tcW w:w="362" w:type="pct"/>
            <w:vAlign w:val="center"/>
          </w:tcPr>
          <w:p>
            <w:pPr>
              <w:jc w:val="right"/>
              <w:rPr>
                <w:rFonts w:ascii="宋体" w:hAnsi="宋体"/>
                <w:spacing w:val="-20"/>
              </w:rPr>
            </w:pPr>
            <w:r>
              <w:rPr>
                <w:rFonts w:ascii="宋体" w:hAnsi="宋体"/>
                <w:spacing w:val="-20"/>
              </w:rPr>
              <w:t>1,344,201</w:t>
            </w:r>
          </w:p>
        </w:tc>
        <w:tc>
          <w:tcPr>
            <w:tcW w:w="338" w:type="pct"/>
            <w:vAlign w:val="center"/>
          </w:tcPr>
          <w:p>
            <w:pPr>
              <w:jc w:val="right"/>
              <w:rPr>
                <w:rFonts w:ascii="宋体" w:hAnsi="宋体"/>
                <w:spacing w:val="-20"/>
              </w:rPr>
            </w:pPr>
            <w:r>
              <w:rPr>
                <w:rFonts w:ascii="宋体" w:hAnsi="宋体"/>
                <w:spacing w:val="-20"/>
              </w:rPr>
              <w:t>318,062</w:t>
            </w:r>
          </w:p>
        </w:tc>
        <w:tc>
          <w:tcPr>
            <w:tcW w:w="263" w:type="pct"/>
            <w:vAlign w:val="center"/>
          </w:tcPr>
          <w:p>
            <w:pPr>
              <w:jc w:val="right"/>
              <w:rPr>
                <w:rFonts w:ascii="宋体" w:hAnsi="宋体"/>
                <w:spacing w:val="-20"/>
              </w:rPr>
            </w:pPr>
            <w:r>
              <w:rPr>
                <w:rFonts w:ascii="宋体" w:hAnsi="宋体"/>
                <w:spacing w:val="-20"/>
              </w:rPr>
              <w:t>/</w:t>
            </w:r>
          </w:p>
        </w:tc>
        <w:tc>
          <w:tcPr>
            <w:tcW w:w="236" w:type="pct"/>
            <w:vAlign w:val="center"/>
          </w:tcPr>
          <w:p>
            <w:pPr>
              <w:jc w:val="right"/>
              <w:rPr>
                <w:rFonts w:ascii="宋体" w:hAnsi="宋体"/>
                <w:spacing w:val="-20"/>
              </w:rPr>
            </w:pPr>
            <w:r>
              <w:rPr>
                <w:rFonts w:ascii="宋体" w:hAnsi="宋体"/>
                <w:spacing w:val="-20"/>
              </w:rPr>
              <w:t>/</w:t>
            </w:r>
          </w:p>
        </w:tc>
      </w:tr>
    </w:tbl>
    <w:p>
      <w:pPr>
        <w:spacing w:before="156" w:beforeLines="50"/>
        <w:sectPr>
          <w:pgSz w:w="16838" w:h="11906" w:orient="landscape"/>
          <w:pgMar w:top="1276" w:right="1440" w:bottom="1797" w:left="1525" w:header="856" w:footer="992" w:gutter="0"/>
          <w:cols w:space="425" w:num="1"/>
          <w:docGrid w:type="lines" w:linePitch="312" w:charSpace="0"/>
        </w:sectPr>
      </w:pPr>
      <w:r>
        <w:rPr>
          <w:rFonts w:hint="eastAsia"/>
        </w:rPr>
        <w:t>注：加</w:t>
      </w:r>
      <w:r>
        <w:rPr>
          <w:rFonts w:hint="eastAsia" w:ascii="宋体" w:hAnsi="宋体"/>
        </w:rPr>
        <w:t>拿大钾矿拥有 6 个钾矿采矿权，项目</w:t>
      </w:r>
      <w:r>
        <w:rPr>
          <w:rFonts w:hint="eastAsia"/>
        </w:rPr>
        <w:t>可行性研究已经完成，尚没有具体开发规划。</w:t>
      </w:r>
    </w:p>
    <w:p>
      <w:pPr>
        <w:pStyle w:val="506"/>
        <w:numPr>
          <w:ilvl w:val="0"/>
          <w:numId w:val="86"/>
        </w:numPr>
        <w:ind w:leftChars="0"/>
        <w:rPr>
          <w:rFonts w:ascii="宋体" w:hAnsi="宋体" w:cs="宋体"/>
          <w:kern w:val="0"/>
          <w:szCs w:val="24"/>
        </w:rPr>
      </w:pPr>
      <w:r>
        <w:rPr>
          <w:rFonts w:hint="eastAsia" w:ascii="宋体" w:hAnsi="宋体" w:cs="宋体"/>
          <w:kern w:val="0"/>
          <w:szCs w:val="24"/>
        </w:rPr>
        <w:t>本期计提在建工程减值准备情况</w:t>
      </w:r>
    </w:p>
    <w:sdt>
      <w:sdtPr>
        <w:alias w:val="是否适用：本期计提在建工程减值准备情况[双击切换]"/>
        <w:tag w:val="_GBC_f0a78e682a314d34a7b55dd88c219307"/>
        <w:id w:val="1070383203"/>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exact"/>
        <w:jc w:val="right"/>
      </w:pPr>
      <w:r>
        <w:rPr>
          <w:rFonts w:hint="eastAsia"/>
        </w:rPr>
        <w:t>单位：</w:t>
      </w:r>
      <w:sdt>
        <w:sdtPr>
          <w:rPr>
            <w:rFonts w:hint="eastAsia"/>
          </w:rPr>
          <w:alias w:val="单位：财务附注：在建工程减值准备"/>
          <w:tag w:val="_GBC_8d07728a10e04fe8975346f691b08703"/>
          <w:id w:val="-1866065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在建工程减值准备"/>
          <w:tag w:val="_GBC_dcac5a7bb0554146902fd010b31997cd"/>
          <w:id w:val="-3251357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13" w:type="dxa"/>
          <w:bottom w:w="0" w:type="dxa"/>
          <w:right w:w="113" w:type="dxa"/>
        </w:tblCellMar>
      </w:tblPr>
      <w:tblGrid>
        <w:gridCol w:w="1306"/>
        <w:gridCol w:w="1457"/>
        <w:gridCol w:w="1455"/>
        <w:gridCol w:w="1163"/>
        <w:gridCol w:w="1310"/>
        <w:gridCol w:w="1455"/>
        <w:gridCol w:w="9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Height w:val="280" w:hRule="atLeast"/>
          <w:tblHeader/>
        </w:trPr>
        <w:sdt>
          <w:sdtPr>
            <w:tag w:val="_PLD_ca5fca2bcae54c8d81b3befb48b8bf1c"/>
            <w:id w:val="1984811081"/>
          </w:sdtPr>
          <w:sdtContent>
            <w:tc>
              <w:tcPr>
                <w:tcW w:w="721" w:type="pct"/>
                <w:tcBorders>
                  <w:top w:val="single" w:color="auto" w:sz="2" w:space="0"/>
                  <w:left w:val="single" w:color="auto" w:sz="2" w:space="0"/>
                  <w:bottom w:val="single" w:color="auto" w:sz="2" w:space="0"/>
                  <w:right w:val="single" w:color="auto" w:sz="2" w:space="0"/>
                </w:tcBorders>
                <w:shd w:val="clear" w:color="auto" w:fill="auto"/>
                <w:vAlign w:val="center"/>
              </w:tcPr>
              <w:p>
                <w:pPr>
                  <w:jc w:val="center"/>
                </w:pPr>
                <w:bookmarkStart w:id="293" w:name="_Hlk153461314"/>
                <w:r>
                  <w:rPr>
                    <w:rFonts w:hint="eastAsia"/>
                  </w:rPr>
                  <w:t>项目</w:t>
                </w:r>
              </w:p>
            </w:tc>
          </w:sdtContent>
        </w:sdt>
        <w:sdt>
          <w:sdtPr>
            <w:tag w:val="_PLD_28dd15af0114424f8f5185950c3635bc"/>
            <w:id w:val="-96639641"/>
          </w:sdtPr>
          <w:sdtContent>
            <w:tc>
              <w:tcPr>
                <w:tcW w:w="804" w:type="pct"/>
                <w:tcBorders>
                  <w:top w:val="single" w:color="auto" w:sz="2" w:space="0"/>
                  <w:left w:val="single" w:color="auto" w:sz="2" w:space="0"/>
                  <w:bottom w:val="single" w:color="auto" w:sz="2" w:space="0"/>
                  <w:right w:val="single" w:color="auto" w:sz="2" w:space="0"/>
                </w:tcBorders>
              </w:tcPr>
              <w:p>
                <w:pPr>
                  <w:jc w:val="center"/>
                </w:pPr>
                <w:r>
                  <w:t>期初余额</w:t>
                </w:r>
              </w:p>
            </w:tc>
          </w:sdtContent>
        </w:sdt>
        <w:sdt>
          <w:sdtPr>
            <w:tag w:val="_PLD_ec3d7160e0da43cdacd9d2ec22f977da"/>
            <w:id w:val="-2086604566"/>
          </w:sdtPr>
          <w:sdtContent>
            <w:tc>
              <w:tcPr>
                <w:tcW w:w="803" w:type="pct"/>
                <w:tcBorders>
                  <w:top w:val="single" w:color="auto" w:sz="2" w:space="0"/>
                  <w:left w:val="single" w:color="auto" w:sz="2" w:space="0"/>
                  <w:bottom w:val="single" w:color="auto" w:sz="2" w:space="0"/>
                  <w:right w:val="single" w:color="auto" w:sz="2" w:space="0"/>
                </w:tcBorders>
              </w:tcPr>
              <w:p>
                <w:pPr>
                  <w:jc w:val="center"/>
                </w:pPr>
                <w:r>
                  <w:t>本期增加</w:t>
                </w:r>
              </w:p>
            </w:tc>
          </w:sdtContent>
        </w:sdt>
        <w:sdt>
          <w:sdtPr>
            <w:tag w:val="_PLD_2a4dec9242fb44d7bd2cf9053d3ffd92"/>
            <w:id w:val="-1471509438"/>
          </w:sdtPr>
          <w:sdtContent>
            <w:tc>
              <w:tcPr>
                <w:tcW w:w="642" w:type="pct"/>
                <w:tcBorders>
                  <w:top w:val="single" w:color="auto" w:sz="2" w:space="0"/>
                  <w:left w:val="single" w:color="auto" w:sz="2" w:space="0"/>
                  <w:bottom w:val="single" w:color="auto" w:sz="2" w:space="0"/>
                  <w:right w:val="single" w:color="auto" w:sz="2" w:space="0"/>
                </w:tcBorders>
              </w:tcPr>
              <w:p>
                <w:pPr>
                  <w:jc w:val="center"/>
                </w:pPr>
                <w:r>
                  <w:t>本期减少</w:t>
                </w:r>
              </w:p>
            </w:tc>
          </w:sdtContent>
        </w:sdt>
        <w:tc>
          <w:tcPr>
            <w:tcW w:w="723" w:type="pct"/>
            <w:tcBorders>
              <w:top w:val="single" w:color="auto" w:sz="2" w:space="0"/>
              <w:left w:val="single" w:color="auto" w:sz="2" w:space="0"/>
              <w:bottom w:val="single" w:color="auto" w:sz="2" w:space="0"/>
              <w:right w:val="single" w:color="auto" w:sz="2" w:space="0"/>
            </w:tcBorders>
          </w:tcPr>
          <w:p>
            <w:pPr>
              <w:jc w:val="center"/>
            </w:pPr>
            <w:r>
              <w:rPr>
                <w:rFonts w:hint="eastAsia"/>
              </w:rPr>
              <w:t>外币报表折算</w:t>
            </w:r>
          </w:p>
        </w:tc>
        <w:sdt>
          <w:sdtPr>
            <w:rPr>
              <w:rFonts w:hint="eastAsia"/>
            </w:rPr>
            <w:tag w:val="_PLD_a48d3febdc3b43778ed5bbd8e0c30ba0"/>
            <w:id w:val="450367410"/>
          </w:sdtPr>
          <w:sdtEndPr>
            <w:rPr>
              <w:rFonts w:hint="eastAsia"/>
            </w:rPr>
          </w:sdtEndPr>
          <w:sdtContent>
            <w:tc>
              <w:tcPr>
                <w:tcW w:w="803" w:type="pct"/>
                <w:tcBorders>
                  <w:top w:val="single" w:color="auto" w:sz="2" w:space="0"/>
                  <w:left w:val="single" w:color="auto" w:sz="2" w:space="0"/>
                  <w:bottom w:val="single" w:color="auto" w:sz="2" w:space="0"/>
                  <w:right w:val="single" w:color="auto" w:sz="2" w:space="0"/>
                </w:tcBorders>
              </w:tcPr>
              <w:p>
                <w:pPr>
                  <w:jc w:val="center"/>
                </w:pPr>
                <w:r>
                  <w:rPr>
                    <w:rFonts w:hint="eastAsia"/>
                  </w:rPr>
                  <w:t>期末余额</w:t>
                </w:r>
              </w:p>
            </w:tc>
          </w:sdtContent>
        </w:sdt>
        <w:sdt>
          <w:sdtPr>
            <w:tag w:val="_PLD_671763ef665249248712c4c3426bd61e"/>
            <w:id w:val="1758938926"/>
          </w:sdtPr>
          <w:sdtContent>
            <w:tc>
              <w:tcPr>
                <w:tcW w:w="504" w:type="pct"/>
                <w:tcBorders>
                  <w:top w:val="single" w:color="auto" w:sz="2" w:space="0"/>
                  <w:left w:val="single" w:color="auto" w:sz="2" w:space="0"/>
                  <w:bottom w:val="single" w:color="auto" w:sz="2" w:space="0"/>
                  <w:right w:val="single" w:color="auto" w:sz="2" w:space="0"/>
                </w:tcBorders>
                <w:shd w:val="clear" w:color="auto" w:fill="auto"/>
                <w:vAlign w:val="center"/>
              </w:tcPr>
              <w:p>
                <w:pPr>
                  <w:jc w:val="center"/>
                </w:pPr>
                <w:r>
                  <w:rPr>
                    <w:rFonts w:hint="eastAsia"/>
                  </w:rPr>
                  <w:t>计提原因</w:t>
                </w:r>
              </w:p>
            </w:tc>
          </w:sdtContent>
        </w:sdt>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721" w:type="pct"/>
            <w:vAlign w:val="center"/>
          </w:tcPr>
          <w:p>
            <w:pPr>
              <w:pStyle w:val="501"/>
            </w:pPr>
            <w:r>
              <w:rPr>
                <w:rFonts w:hint="eastAsia"/>
              </w:rPr>
              <w:t>维简工程</w:t>
            </w:r>
          </w:p>
        </w:tc>
        <w:tc>
          <w:tcPr>
            <w:tcW w:w="804" w:type="pct"/>
            <w:vAlign w:val="center"/>
          </w:tcPr>
          <w:p>
            <w:pPr>
              <w:jc w:val="right"/>
              <w:rPr>
                <w:rFonts w:ascii="宋体" w:hAnsi="宋体"/>
              </w:rPr>
            </w:pPr>
            <w:r>
              <w:rPr>
                <w:rFonts w:ascii="宋体" w:hAnsi="宋体"/>
              </w:rPr>
              <w:t>44,358</w:t>
            </w:r>
          </w:p>
        </w:tc>
        <w:tc>
          <w:tcPr>
            <w:tcW w:w="803" w:type="pct"/>
            <w:vAlign w:val="center"/>
          </w:tcPr>
          <w:p>
            <w:pPr>
              <w:jc w:val="right"/>
              <w:rPr>
                <w:rFonts w:ascii="宋体" w:hAnsi="宋体"/>
              </w:rPr>
            </w:pPr>
          </w:p>
        </w:tc>
        <w:tc>
          <w:tcPr>
            <w:tcW w:w="642" w:type="pct"/>
            <w:vAlign w:val="center"/>
          </w:tcPr>
          <w:p>
            <w:pPr>
              <w:jc w:val="right"/>
              <w:rPr>
                <w:rFonts w:ascii="宋体" w:hAnsi="宋体"/>
              </w:rPr>
            </w:pPr>
          </w:p>
        </w:tc>
        <w:tc>
          <w:tcPr>
            <w:tcW w:w="723" w:type="pct"/>
            <w:vAlign w:val="center"/>
          </w:tcPr>
          <w:p>
            <w:pPr>
              <w:jc w:val="right"/>
              <w:rPr>
                <w:rFonts w:ascii="宋体" w:hAnsi="宋体"/>
              </w:rPr>
            </w:pPr>
          </w:p>
        </w:tc>
        <w:tc>
          <w:tcPr>
            <w:tcW w:w="803" w:type="pct"/>
            <w:vAlign w:val="center"/>
          </w:tcPr>
          <w:p>
            <w:pPr>
              <w:jc w:val="right"/>
              <w:rPr>
                <w:rFonts w:ascii="宋体" w:hAnsi="宋体"/>
              </w:rPr>
            </w:pPr>
            <w:r>
              <w:rPr>
                <w:rFonts w:ascii="宋体" w:hAnsi="宋体"/>
              </w:rPr>
              <w:t>44,358</w:t>
            </w:r>
          </w:p>
        </w:tc>
        <w:tc>
          <w:tcPr>
            <w:tcW w:w="504" w:type="pct"/>
            <w:vAlign w:val="center"/>
          </w:tcPr>
          <w:p>
            <w:pPr>
              <w:pStyle w:val="501"/>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Pr>
        <w:tc>
          <w:tcPr>
            <w:tcW w:w="721" w:type="pct"/>
            <w:vAlign w:val="center"/>
          </w:tcPr>
          <w:p>
            <w:pPr>
              <w:pStyle w:val="501"/>
            </w:pPr>
            <w:r>
              <w:rPr>
                <w:rFonts w:hint="eastAsia"/>
              </w:rPr>
              <w:t>基建工程</w:t>
            </w:r>
          </w:p>
        </w:tc>
        <w:tc>
          <w:tcPr>
            <w:tcW w:w="804" w:type="pct"/>
            <w:vAlign w:val="center"/>
          </w:tcPr>
          <w:p>
            <w:pPr>
              <w:jc w:val="right"/>
              <w:rPr>
                <w:rFonts w:ascii="宋体" w:hAnsi="宋体"/>
              </w:rPr>
            </w:pPr>
            <w:r>
              <w:rPr>
                <w:rFonts w:ascii="宋体" w:hAnsi="宋体"/>
              </w:rPr>
              <w:t>821,467</w:t>
            </w:r>
          </w:p>
        </w:tc>
        <w:tc>
          <w:tcPr>
            <w:tcW w:w="803" w:type="pct"/>
            <w:vAlign w:val="center"/>
          </w:tcPr>
          <w:p>
            <w:pPr>
              <w:jc w:val="right"/>
              <w:rPr>
                <w:rFonts w:ascii="宋体" w:hAnsi="宋体"/>
              </w:rPr>
            </w:pPr>
          </w:p>
        </w:tc>
        <w:tc>
          <w:tcPr>
            <w:tcW w:w="642" w:type="pct"/>
            <w:vAlign w:val="center"/>
          </w:tcPr>
          <w:p>
            <w:pPr>
              <w:jc w:val="right"/>
              <w:rPr>
                <w:rFonts w:ascii="宋体" w:hAnsi="宋体"/>
              </w:rPr>
            </w:pPr>
          </w:p>
        </w:tc>
        <w:tc>
          <w:tcPr>
            <w:tcW w:w="723" w:type="pct"/>
            <w:vAlign w:val="center"/>
          </w:tcPr>
          <w:p>
            <w:pPr>
              <w:jc w:val="right"/>
              <w:rPr>
                <w:rFonts w:ascii="宋体" w:hAnsi="宋体"/>
              </w:rPr>
            </w:pPr>
            <w:r>
              <w:rPr>
                <w:rFonts w:ascii="宋体" w:hAnsi="宋体"/>
              </w:rPr>
              <w:t>41</w:t>
            </w:r>
          </w:p>
        </w:tc>
        <w:tc>
          <w:tcPr>
            <w:tcW w:w="803" w:type="pct"/>
            <w:vAlign w:val="center"/>
          </w:tcPr>
          <w:p>
            <w:pPr>
              <w:jc w:val="right"/>
              <w:rPr>
                <w:rFonts w:ascii="宋体" w:hAnsi="宋体"/>
              </w:rPr>
            </w:pPr>
            <w:r>
              <w:rPr>
                <w:rFonts w:ascii="宋体" w:hAnsi="宋体"/>
              </w:rPr>
              <w:t>821,508</w:t>
            </w:r>
          </w:p>
        </w:tc>
        <w:tc>
          <w:tcPr>
            <w:tcW w:w="504" w:type="pct"/>
            <w:vAlign w:val="center"/>
          </w:tcPr>
          <w:p>
            <w:pPr>
              <w:pStyle w:val="501"/>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721" w:type="pct"/>
            <w:vAlign w:val="center"/>
          </w:tcPr>
          <w:p>
            <w:pPr>
              <w:pStyle w:val="501"/>
            </w:pPr>
            <w:r>
              <w:rPr>
                <w:rFonts w:hint="eastAsia"/>
              </w:rPr>
              <w:t>勘探工程</w:t>
            </w:r>
          </w:p>
        </w:tc>
        <w:tc>
          <w:tcPr>
            <w:tcW w:w="804" w:type="pct"/>
            <w:vAlign w:val="center"/>
          </w:tcPr>
          <w:p>
            <w:pPr>
              <w:jc w:val="right"/>
              <w:rPr>
                <w:rFonts w:ascii="宋体" w:hAnsi="宋体"/>
              </w:rPr>
            </w:pPr>
            <w:r>
              <w:rPr>
                <w:rFonts w:ascii="宋体" w:hAnsi="宋体"/>
              </w:rPr>
              <w:t>662,701</w:t>
            </w:r>
          </w:p>
        </w:tc>
        <w:tc>
          <w:tcPr>
            <w:tcW w:w="803" w:type="pct"/>
            <w:vAlign w:val="center"/>
          </w:tcPr>
          <w:p>
            <w:pPr>
              <w:jc w:val="right"/>
              <w:rPr>
                <w:rFonts w:ascii="宋体" w:hAnsi="宋体"/>
              </w:rPr>
            </w:pPr>
          </w:p>
        </w:tc>
        <w:tc>
          <w:tcPr>
            <w:tcW w:w="642" w:type="pct"/>
            <w:vAlign w:val="center"/>
          </w:tcPr>
          <w:p>
            <w:pPr>
              <w:jc w:val="right"/>
              <w:rPr>
                <w:rFonts w:ascii="宋体" w:hAnsi="宋体"/>
              </w:rPr>
            </w:pPr>
          </w:p>
        </w:tc>
        <w:tc>
          <w:tcPr>
            <w:tcW w:w="723" w:type="pct"/>
            <w:vAlign w:val="center"/>
          </w:tcPr>
          <w:p>
            <w:pPr>
              <w:jc w:val="right"/>
              <w:rPr>
                <w:rFonts w:ascii="宋体" w:hAnsi="宋体"/>
              </w:rPr>
            </w:pPr>
            <w:r>
              <w:rPr>
                <w:rFonts w:ascii="宋体" w:hAnsi="宋体"/>
              </w:rPr>
              <w:t>18,923</w:t>
            </w:r>
          </w:p>
        </w:tc>
        <w:tc>
          <w:tcPr>
            <w:tcW w:w="803" w:type="pct"/>
            <w:vAlign w:val="center"/>
          </w:tcPr>
          <w:p>
            <w:pPr>
              <w:jc w:val="right"/>
              <w:rPr>
                <w:rFonts w:ascii="宋体" w:hAnsi="宋体"/>
              </w:rPr>
            </w:pPr>
            <w:r>
              <w:rPr>
                <w:rFonts w:ascii="宋体" w:hAnsi="宋体"/>
              </w:rPr>
              <w:t>681,624</w:t>
            </w:r>
          </w:p>
        </w:tc>
        <w:tc>
          <w:tcPr>
            <w:tcW w:w="504" w:type="pct"/>
            <w:vAlign w:val="center"/>
          </w:tcPr>
          <w:p>
            <w:pPr>
              <w:pStyle w:val="501"/>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721" w:type="pct"/>
            <w:vAlign w:val="center"/>
          </w:tcPr>
          <w:p>
            <w:pPr>
              <w:pStyle w:val="501"/>
            </w:pPr>
            <w:r>
              <w:rPr>
                <w:rFonts w:hint="eastAsia"/>
              </w:rPr>
              <w:t>修理工程</w:t>
            </w:r>
          </w:p>
        </w:tc>
        <w:tc>
          <w:tcPr>
            <w:tcW w:w="804" w:type="pct"/>
            <w:vAlign w:val="center"/>
          </w:tcPr>
          <w:p>
            <w:pPr>
              <w:jc w:val="right"/>
              <w:rPr>
                <w:rFonts w:ascii="宋体" w:hAnsi="宋体"/>
              </w:rPr>
            </w:pPr>
            <w:r>
              <w:rPr>
                <w:rFonts w:ascii="宋体" w:hAnsi="宋体"/>
              </w:rPr>
              <w:t>494</w:t>
            </w:r>
          </w:p>
        </w:tc>
        <w:tc>
          <w:tcPr>
            <w:tcW w:w="803" w:type="pct"/>
            <w:vAlign w:val="center"/>
          </w:tcPr>
          <w:p>
            <w:pPr>
              <w:jc w:val="right"/>
              <w:rPr>
                <w:rFonts w:ascii="宋体" w:hAnsi="宋体"/>
              </w:rPr>
            </w:pPr>
          </w:p>
        </w:tc>
        <w:tc>
          <w:tcPr>
            <w:tcW w:w="642" w:type="pct"/>
            <w:vAlign w:val="center"/>
          </w:tcPr>
          <w:p>
            <w:pPr>
              <w:jc w:val="right"/>
              <w:rPr>
                <w:rFonts w:ascii="宋体" w:hAnsi="宋体"/>
              </w:rPr>
            </w:pPr>
          </w:p>
        </w:tc>
        <w:tc>
          <w:tcPr>
            <w:tcW w:w="723" w:type="pct"/>
            <w:vAlign w:val="center"/>
          </w:tcPr>
          <w:p>
            <w:pPr>
              <w:jc w:val="right"/>
              <w:rPr>
                <w:rFonts w:ascii="宋体" w:hAnsi="宋体"/>
              </w:rPr>
            </w:pPr>
          </w:p>
        </w:tc>
        <w:tc>
          <w:tcPr>
            <w:tcW w:w="803" w:type="pct"/>
            <w:vAlign w:val="center"/>
          </w:tcPr>
          <w:p>
            <w:pPr>
              <w:jc w:val="right"/>
              <w:rPr>
                <w:rFonts w:ascii="宋体" w:hAnsi="宋体"/>
              </w:rPr>
            </w:pPr>
            <w:r>
              <w:rPr>
                <w:rFonts w:ascii="宋体" w:hAnsi="宋体"/>
              </w:rPr>
              <w:t>494</w:t>
            </w:r>
          </w:p>
        </w:tc>
        <w:tc>
          <w:tcPr>
            <w:tcW w:w="504" w:type="pct"/>
            <w:vAlign w:val="center"/>
          </w:tcPr>
          <w:p>
            <w:pPr>
              <w:pStyle w:val="501"/>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721" w:type="pct"/>
            <w:tcBorders>
              <w:top w:val="single" w:color="auto" w:sz="2" w:space="0"/>
              <w:left w:val="single" w:color="auto" w:sz="2" w:space="0"/>
              <w:bottom w:val="single" w:color="auto" w:sz="2" w:space="0"/>
              <w:right w:val="single" w:color="auto" w:sz="2" w:space="0"/>
            </w:tcBorders>
            <w:shd w:val="clear" w:color="auto" w:fill="auto"/>
            <w:vAlign w:val="center"/>
          </w:tcPr>
          <w:p>
            <w:pPr>
              <w:jc w:val="center"/>
            </w:pPr>
            <w:r>
              <w:rPr>
                <w:rFonts w:hint="eastAsia"/>
              </w:rPr>
              <w:t>合计</w:t>
            </w:r>
          </w:p>
        </w:tc>
        <w:tc>
          <w:tcPr>
            <w:tcW w:w="804" w:type="pct"/>
            <w:vAlign w:val="center"/>
          </w:tcPr>
          <w:p>
            <w:pPr>
              <w:jc w:val="right"/>
              <w:rPr>
                <w:rFonts w:ascii="宋体" w:hAnsi="宋体"/>
              </w:rPr>
            </w:pPr>
            <w:r>
              <w:rPr>
                <w:rFonts w:ascii="宋体" w:hAnsi="宋体"/>
              </w:rPr>
              <w:t>1,529,020</w:t>
            </w:r>
          </w:p>
        </w:tc>
        <w:tc>
          <w:tcPr>
            <w:tcW w:w="803" w:type="pct"/>
            <w:vAlign w:val="center"/>
          </w:tcPr>
          <w:p>
            <w:pPr>
              <w:jc w:val="right"/>
              <w:rPr>
                <w:rFonts w:ascii="宋体" w:hAnsi="宋体"/>
              </w:rPr>
            </w:pPr>
          </w:p>
        </w:tc>
        <w:tc>
          <w:tcPr>
            <w:tcW w:w="642" w:type="pct"/>
            <w:vAlign w:val="center"/>
          </w:tcPr>
          <w:p>
            <w:pPr>
              <w:jc w:val="right"/>
              <w:rPr>
                <w:rFonts w:ascii="宋体" w:hAnsi="宋体"/>
              </w:rPr>
            </w:pPr>
          </w:p>
        </w:tc>
        <w:tc>
          <w:tcPr>
            <w:tcW w:w="723" w:type="pct"/>
            <w:vAlign w:val="center"/>
          </w:tcPr>
          <w:p>
            <w:pPr>
              <w:jc w:val="right"/>
              <w:rPr>
                <w:rFonts w:ascii="宋体" w:hAnsi="宋体"/>
              </w:rPr>
            </w:pPr>
            <w:r>
              <w:rPr>
                <w:rFonts w:hint="eastAsia" w:ascii="宋体" w:hAnsi="宋体"/>
              </w:rPr>
              <w:t>1</w:t>
            </w:r>
            <w:r>
              <w:rPr>
                <w:rFonts w:ascii="宋体" w:hAnsi="宋体"/>
              </w:rPr>
              <w:t>8,964</w:t>
            </w:r>
          </w:p>
        </w:tc>
        <w:tc>
          <w:tcPr>
            <w:tcW w:w="803" w:type="pct"/>
            <w:vAlign w:val="center"/>
          </w:tcPr>
          <w:p>
            <w:pPr>
              <w:jc w:val="right"/>
              <w:rPr>
                <w:rFonts w:ascii="宋体" w:hAnsi="宋体"/>
              </w:rPr>
            </w:pPr>
            <w:r>
              <w:rPr>
                <w:rFonts w:ascii="宋体" w:hAnsi="宋体"/>
              </w:rPr>
              <w:t>1,547,984</w:t>
            </w:r>
          </w:p>
        </w:tc>
        <w:tc>
          <w:tcPr>
            <w:tcW w:w="504" w:type="pct"/>
            <w:vAlign w:val="center"/>
          </w:tcPr>
          <w:p>
            <w:pPr>
              <w:jc w:val="center"/>
            </w:pPr>
          </w:p>
        </w:tc>
      </w:tr>
    </w:tbl>
    <w:p>
      <w:pPr>
        <w:pStyle w:val="501"/>
      </w:pPr>
    </w:p>
    <w:p>
      <w:pPr>
        <w:pStyle w:val="506"/>
        <w:numPr>
          <w:ilvl w:val="0"/>
          <w:numId w:val="86"/>
        </w:numPr>
        <w:ind w:leftChars="0"/>
        <w:rPr>
          <w:rFonts w:ascii="宋体" w:hAnsi="宋体" w:cs="宋体"/>
          <w:kern w:val="0"/>
          <w:szCs w:val="24"/>
        </w:rPr>
      </w:pPr>
      <w:r>
        <w:rPr>
          <w:rFonts w:hint="eastAsia" w:ascii="宋体" w:hAnsi="宋体" w:cs="宋体"/>
          <w:kern w:val="0"/>
          <w:szCs w:val="24"/>
        </w:rPr>
        <w:t>在建工程的减值测试情况</w:t>
      </w:r>
    </w:p>
    <w:sdt>
      <w:sdtPr>
        <w:alias w:val="是否适用：减值测试情况[双击切换]"/>
        <w:tag w:val="_GBC_d3e3ceb3450d42e8a3d61da2c2d7d3cb"/>
        <w:id w:val="-3680797"/>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bookmarkEnd w:id="293"/>
    <w:p>
      <w:pPr>
        <w:pStyle w:val="501"/>
      </w:pPr>
      <w:r>
        <w:rPr>
          <w:rFonts w:hint="eastAsia"/>
        </w:rPr>
        <w:t>其他说明</w:t>
      </w:r>
    </w:p>
    <w:sdt>
      <w:sdtPr>
        <w:alias w:val="是否适用：在建工程的说明[双击切换]"/>
        <w:tag w:val="_GBC_e6220a45d928426882f5c3ad23ff2098"/>
        <w:id w:val="-801384885"/>
        <w:placeholder>
          <w:docPart w:val="GBC22222222222222222222222222222"/>
        </w:placeholder>
      </w:sdtPr>
      <w:sdtContent>
        <w:p>
          <w:pPr>
            <w:rPr>
              <w:color w:val="FF0000"/>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6"/>
        <w:numPr>
          <w:ilvl w:val="0"/>
          <w:numId w:val="86"/>
        </w:numPr>
        <w:ind w:leftChars="0"/>
        <w:rPr>
          <w:rFonts w:ascii="宋体" w:hAnsi="宋体" w:cs="宋体"/>
          <w:kern w:val="0"/>
          <w:szCs w:val="24"/>
        </w:rPr>
      </w:pPr>
      <w:r>
        <w:rPr>
          <w:rFonts w:hint="eastAsia" w:ascii="宋体" w:hAnsi="宋体" w:cs="宋体"/>
          <w:kern w:val="0"/>
          <w:szCs w:val="24"/>
        </w:rPr>
        <w:t>工程物资</w:t>
      </w:r>
    </w:p>
    <w:sdt>
      <w:sdtPr>
        <w:alias w:val="是否适用：工程物资[双击切换]"/>
        <w:tag w:val="_GBC_91916c11fa864423a1c0e6a4024fdda5"/>
        <w:id w:val="1988743579"/>
        <w:placeholder>
          <w:docPart w:val="GBC22222222222222222222222222222"/>
        </w:placeholder>
      </w:sdtPr>
      <w:sdtContent>
        <w:p>
          <w:pPr>
            <w:pStyle w:val="531"/>
          </w:pPr>
          <w:bookmarkStart w:id="294" w:name="_Hlk53290332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294"/>
    <w:p>
      <w:pPr>
        <w:rPr>
          <w:rFonts w:cstheme="minorBidi"/>
        </w:rPr>
      </w:pPr>
    </w:p>
    <w:p>
      <w:pPr>
        <w:pStyle w:val="504"/>
        <w:numPr>
          <w:ilvl w:val="0"/>
          <w:numId w:val="69"/>
        </w:numPr>
        <w:tabs>
          <w:tab w:val="left" w:pos="504"/>
        </w:tabs>
        <w:rPr>
          <w:rFonts w:ascii="宋体" w:hAnsi="宋体"/>
          <w:szCs w:val="21"/>
        </w:rPr>
      </w:pPr>
      <w:r>
        <w:rPr>
          <w:rFonts w:hint="eastAsia" w:ascii="宋体" w:hAnsi="宋体"/>
          <w:szCs w:val="21"/>
        </w:rPr>
        <w:t>生产性生物资产</w:t>
      </w:r>
    </w:p>
    <w:p>
      <w:pPr>
        <w:pStyle w:val="505"/>
        <w:numPr>
          <w:ilvl w:val="3"/>
          <w:numId w:val="87"/>
        </w:numPr>
        <w:ind w:left="426" w:hanging="426"/>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1936117255"/>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cstheme="minorBidi"/>
        </w:rPr>
      </w:pPr>
    </w:p>
    <w:p>
      <w:pPr>
        <w:pStyle w:val="505"/>
        <w:numPr>
          <w:ilvl w:val="3"/>
          <w:numId w:val="87"/>
        </w:numPr>
        <w:ind w:left="426" w:hanging="426"/>
        <w:rPr>
          <w:rFonts w:ascii="宋体" w:hAnsi="宋体" w:eastAsia="宋体" w:cstheme="minorBidi"/>
          <w:kern w:val="0"/>
          <w:szCs w:val="24"/>
        </w:rPr>
      </w:pPr>
      <w:bookmarkStart w:id="295" w:name="_Hlk153461442"/>
      <w:r>
        <w:rPr>
          <w:rFonts w:hint="eastAsia" w:ascii="宋体" w:hAnsi="宋体" w:eastAsia="宋体" w:cstheme="minorBidi"/>
          <w:kern w:val="0"/>
          <w:szCs w:val="24"/>
        </w:rPr>
        <w:t>采用成本计量模式的生产性生物资产的减值测试情况</w:t>
      </w:r>
    </w:p>
    <w:sdt>
      <w:sdtPr>
        <w:alias w:val="是否适用：减值测试情况[双击切换]"/>
        <w:tag w:val="_GBC_1463ca9b414a4cb28d5d13fd1d3b8486"/>
        <w:id w:val="-2127455930"/>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95"/>
    <w:p>
      <w:pPr>
        <w:snapToGrid w:val="0"/>
        <w:spacing w:line="240" w:lineRule="atLeast"/>
      </w:pPr>
    </w:p>
    <w:p>
      <w:pPr>
        <w:pStyle w:val="505"/>
        <w:numPr>
          <w:ilvl w:val="3"/>
          <w:numId w:val="87"/>
        </w:numPr>
        <w:ind w:left="426" w:hanging="426"/>
      </w:pPr>
      <w:r>
        <w:rPr>
          <w:rFonts w:hint="eastAsia"/>
        </w:rPr>
        <w:t>采用公允价值计量模式的生产性生物资产</w:t>
      </w:r>
    </w:p>
    <w:sdt>
      <w:sdtPr>
        <w:alias w:val="是否适用：财务附注：以公允价值计量的生产性生物资产[双击切换]"/>
        <w:tag w:val="_GBC_9b7a21a74fee4d22abc99ad9ee747e07"/>
        <w:id w:val="1739583269"/>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autoSpaceDE w:val="0"/>
        <w:autoSpaceDN w:val="0"/>
        <w:adjustRightInd w:val="0"/>
      </w:pPr>
      <w:r>
        <w:rPr>
          <w:rFonts w:hint="eastAsia"/>
        </w:rPr>
        <w:t>其他说明</w:t>
      </w:r>
    </w:p>
    <w:sdt>
      <w:sdtPr>
        <w:alias w:val="是否适用：生产性生物资产的说明[双击切换]"/>
        <w:tag w:val="_GBC_d3e0f749d04b4097a0886c38dadda8f4"/>
        <w:id w:val="-681739629"/>
        <w:placeholder>
          <w:docPart w:val="GBC22222222222222222222222222222"/>
        </w:placeholder>
      </w:sdtPr>
      <w:sdtContent>
        <w:p>
          <w:pPr>
            <w:autoSpaceDE w:val="0"/>
            <w:autoSpaceDN w:val="0"/>
            <w:adjustRightInd w:val="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油气资产</w:t>
      </w:r>
    </w:p>
    <w:p>
      <w:pPr>
        <w:pStyle w:val="505"/>
        <w:numPr>
          <w:ilvl w:val="0"/>
          <w:numId w:val="88"/>
        </w:numPr>
        <w:ind w:left="450" w:hanging="450"/>
      </w:pPr>
      <w:r>
        <w:rPr>
          <w:rFonts w:hint="eastAsia"/>
        </w:rPr>
        <w:t>油气资产情况</w:t>
      </w:r>
    </w:p>
    <w:sdt>
      <w:sdtPr>
        <w:alias w:val="是否适用：油气资产[双击切换]"/>
        <w:tag w:val="_GBC_a587239cd6ac4d96b99f6fe496e97c34"/>
        <w:id w:val="-1562715093"/>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rPr>
          <w:rFonts w:cstheme="minorBidi"/>
        </w:rPr>
      </w:pPr>
    </w:p>
    <w:p>
      <w:pPr>
        <w:pStyle w:val="505"/>
        <w:numPr>
          <w:ilvl w:val="0"/>
          <w:numId w:val="88"/>
        </w:numPr>
        <w:ind w:left="450" w:hanging="450"/>
      </w:pPr>
      <w:bookmarkStart w:id="296" w:name="_Hlk153461604"/>
      <w:r>
        <w:rPr>
          <w:rFonts w:hint="eastAsia"/>
        </w:rPr>
        <w:t>油气资产的减值测试情况</w:t>
      </w:r>
    </w:p>
    <w:sdt>
      <w:sdtPr>
        <w:alias w:val="是否适用：减值测试情况[双击切换]"/>
        <w:tag w:val="_GBC_c658db7dbb96462dbe4ab745ca73e3ca"/>
        <w:id w:val="-124262589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96"/>
    <w:p>
      <w:pPr>
        <w:sectPr>
          <w:pgSz w:w="11906" w:h="16838"/>
          <w:pgMar w:top="1440" w:right="1797" w:bottom="1525" w:left="1276" w:header="856" w:footer="992" w:gutter="0"/>
          <w:cols w:space="425" w:num="1"/>
          <w:docGrid w:type="lines" w:linePitch="312" w:charSpace="0"/>
        </w:sectPr>
      </w:pPr>
    </w:p>
    <w:sdt>
      <w:sdtPr>
        <w:rPr>
          <w:rFonts w:hint="eastAsia" w:ascii="宋体" w:hAnsi="宋体" w:cs="宋体"/>
          <w:b w:val="0"/>
          <w:bCs w:val="0"/>
          <w:kern w:val="0"/>
          <w:szCs w:val="21"/>
        </w:rPr>
        <w:alias w:val="模块:使用权资产"/>
        <w:tag w:val="_SEC_56ef077439914c3f97ba31c1af9eef32"/>
        <w:id w:val="709227938"/>
      </w:sdtPr>
      <w:sdtEndPr>
        <w:rPr>
          <w:rFonts w:hint="eastAsia" w:ascii="Calibri" w:hAnsi="Calibri" w:cs="Times New Roman"/>
          <w:b w:val="0"/>
          <w:bCs w:val="0"/>
          <w:kern w:val="2"/>
          <w:szCs w:val="21"/>
        </w:rPr>
      </w:sdtEndPr>
      <w:sdtContent>
        <w:p>
          <w:pPr>
            <w:pStyle w:val="504"/>
            <w:numPr>
              <w:ilvl w:val="0"/>
              <w:numId w:val="69"/>
            </w:numPr>
            <w:tabs>
              <w:tab w:val="left" w:pos="504"/>
            </w:tabs>
            <w:rPr>
              <w:szCs w:val="21"/>
            </w:rPr>
          </w:pPr>
          <w:r>
            <w:rPr>
              <w:rFonts w:hint="eastAsia"/>
              <w:szCs w:val="21"/>
            </w:rPr>
            <w:t>使用权资产</w:t>
          </w:r>
        </w:p>
        <w:p>
          <w:pPr>
            <w:pStyle w:val="505"/>
            <w:numPr>
              <w:ilvl w:val="0"/>
              <w:numId w:val="89"/>
            </w:numPr>
            <w:ind w:left="450" w:hanging="450"/>
          </w:pPr>
          <w:r>
            <w:rPr>
              <w:rFonts w:hint="eastAsia"/>
            </w:rPr>
            <w:t>使用权资产情况</w:t>
          </w:r>
        </w:p>
        <w:sdt>
          <w:sdtPr>
            <w:alias w:val="是否适用：使用权资产[双击切换]"/>
            <w:tag w:val="_GBC_0d86ed9789d84ef592fcb1556e3f676f"/>
            <w:id w:val="-93788237"/>
          </w:sdtPr>
          <w:sdtContent>
            <w:p>
              <w:pPr>
                <w:pStyle w:val="501"/>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autoSpaceDE w:val="0"/>
            <w:autoSpaceDN w:val="0"/>
            <w:adjustRightInd w:val="0"/>
            <w:jc w:val="right"/>
          </w:pPr>
          <w:r>
            <w:rPr>
              <w:rFonts w:hint="eastAsia"/>
            </w:rPr>
            <w:t>单位：</w:t>
          </w:r>
          <w:sdt>
            <w:sdtPr>
              <w:rPr>
                <w:rFonts w:hint="eastAsia"/>
              </w:rPr>
              <w:alias w:val="单位：使用权资产"/>
              <w:tag w:val="_GBC_f958637710fb400c8900b59a67a7bfeb"/>
              <w:id w:val="915369062"/>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使用权资产"/>
              <w:tag w:val="_GBC_52957ed8d1644c96801bc28a57ac0486"/>
              <w:id w:val="-482705155"/>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9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1894"/>
            <w:gridCol w:w="2003"/>
            <w:gridCol w:w="1967"/>
            <w:gridCol w:w="1995"/>
            <w:gridCol w:w="1739"/>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sdt>
              <w:sdtPr>
                <w:rPr>
                  <w:rFonts w:ascii="宋体" w:hAnsi="宋体"/>
                </w:rPr>
                <w:tag w:val="_PLD_6e52ac1447e040bbbee6d5db3fc1c995"/>
                <w:id w:val="-1192532859"/>
              </w:sdtPr>
              <w:sdtEndPr>
                <w:rPr>
                  <w:rFonts w:ascii="宋体" w:hAnsi="宋体"/>
                </w:rPr>
              </w:sdtEndPr>
              <w:sdtContent>
                <w:tc>
                  <w:tcPr>
                    <w:tcW w:w="991" w:type="pct"/>
                    <w:shd w:val="clear" w:color="auto" w:fill="auto"/>
                    <w:vAlign w:val="center"/>
                  </w:tcPr>
                  <w:p>
                    <w:pPr>
                      <w:spacing w:line="240" w:lineRule="atLeast"/>
                      <w:jc w:val="center"/>
                      <w:rPr>
                        <w:rFonts w:ascii="宋体" w:hAnsi="宋体"/>
                      </w:rPr>
                    </w:pPr>
                    <w:r>
                      <w:rPr>
                        <w:rFonts w:hint="eastAsia" w:ascii="宋体" w:hAnsi="宋体"/>
                      </w:rPr>
                      <w:t>项目</w:t>
                    </w:r>
                  </w:p>
                </w:tc>
              </w:sdtContent>
            </w:sdt>
            <w:sdt>
              <w:sdtPr>
                <w:rPr>
                  <w:rFonts w:ascii="宋体" w:hAnsi="宋体"/>
                </w:rPr>
                <w:alias w:val="使用权资产明细-项目"/>
                <w:tag w:val="_GBC_8854a3b92dce426b81aa78cb836a99cd"/>
                <w:id w:val="-1384864223"/>
              </w:sdtPr>
              <w:sdtEndPr>
                <w:rPr>
                  <w:rFonts w:ascii="宋体" w:hAnsi="宋体"/>
                </w:rPr>
              </w:sdtEndPr>
              <w:sdtContent>
                <w:tc>
                  <w:tcPr>
                    <w:tcW w:w="672" w:type="pct"/>
                    <w:shd w:val="clear" w:color="auto" w:fill="auto"/>
                    <w:vAlign w:val="center"/>
                  </w:tcPr>
                  <w:p>
                    <w:pPr>
                      <w:spacing w:line="240" w:lineRule="atLeast"/>
                      <w:jc w:val="center"/>
                      <w:rPr>
                        <w:rFonts w:ascii="宋体" w:hAnsi="宋体"/>
                      </w:rPr>
                    </w:pPr>
                    <w:r>
                      <w:rPr>
                        <w:rFonts w:hint="eastAsia" w:ascii="宋体" w:hAnsi="宋体"/>
                      </w:rPr>
                      <w:t>房屋</w:t>
                    </w:r>
                  </w:p>
                  <w:p>
                    <w:pPr>
                      <w:spacing w:line="240" w:lineRule="atLeast"/>
                      <w:jc w:val="center"/>
                      <w:rPr>
                        <w:rFonts w:ascii="宋体" w:hAnsi="宋体"/>
                      </w:rPr>
                    </w:pPr>
                    <w:r>
                      <w:rPr>
                        <w:rFonts w:hint="eastAsia" w:ascii="宋体" w:hAnsi="宋体"/>
                      </w:rPr>
                      <w:t>建筑物</w:t>
                    </w:r>
                  </w:p>
                </w:tc>
              </w:sdtContent>
            </w:sdt>
            <w:sdt>
              <w:sdtPr>
                <w:rPr>
                  <w:rFonts w:ascii="宋体" w:hAnsi="宋体"/>
                </w:rPr>
                <w:alias w:val="使用权资产明细-项目"/>
                <w:tag w:val="_GBC_8854a3b92dce426b81aa78cb836a99cd"/>
                <w:id w:val="-1665156485"/>
              </w:sdtPr>
              <w:sdtEndPr>
                <w:rPr>
                  <w:rFonts w:ascii="宋体" w:hAnsi="宋体"/>
                </w:rPr>
              </w:sdtEndPr>
              <w:sdtContent>
                <w:tc>
                  <w:tcPr>
                    <w:tcW w:w="711" w:type="pct"/>
                    <w:shd w:val="clear" w:color="auto" w:fill="auto"/>
                    <w:vAlign w:val="center"/>
                  </w:tcPr>
                  <w:p>
                    <w:pPr>
                      <w:spacing w:line="240" w:lineRule="atLeast"/>
                      <w:jc w:val="center"/>
                      <w:rPr>
                        <w:rFonts w:ascii="宋体" w:hAnsi="宋体"/>
                      </w:rPr>
                    </w:pPr>
                    <w:r>
                      <w:rPr>
                        <w:rFonts w:hint="eastAsia" w:ascii="宋体" w:hAnsi="宋体"/>
                      </w:rPr>
                      <w:t>地面</w:t>
                    </w:r>
                  </w:p>
                  <w:p>
                    <w:pPr>
                      <w:spacing w:line="240" w:lineRule="atLeast"/>
                      <w:jc w:val="center"/>
                      <w:rPr>
                        <w:rFonts w:ascii="宋体" w:hAnsi="宋体"/>
                      </w:rPr>
                    </w:pPr>
                    <w:r>
                      <w:rPr>
                        <w:rFonts w:hint="eastAsia" w:ascii="宋体" w:hAnsi="宋体"/>
                      </w:rPr>
                      <w:t>建筑物</w:t>
                    </w:r>
                  </w:p>
                </w:tc>
              </w:sdtContent>
            </w:sdt>
            <w:sdt>
              <w:sdtPr>
                <w:rPr>
                  <w:rFonts w:ascii="宋体" w:hAnsi="宋体"/>
                </w:rPr>
                <w:alias w:val="使用权资产明细-项目"/>
                <w:tag w:val="_GBC_8854a3b92dce426b81aa78cb836a99cd"/>
                <w:id w:val="2020812451"/>
              </w:sdtPr>
              <w:sdtEndPr>
                <w:rPr>
                  <w:rFonts w:ascii="宋体" w:hAnsi="宋体"/>
                </w:rPr>
              </w:sdtEndPr>
              <w:sdtContent>
                <w:tc>
                  <w:tcPr>
                    <w:tcW w:w="698" w:type="pct"/>
                    <w:shd w:val="clear" w:color="auto" w:fill="auto"/>
                    <w:vAlign w:val="center"/>
                  </w:tcPr>
                  <w:p>
                    <w:pPr>
                      <w:spacing w:line="240" w:lineRule="atLeast"/>
                      <w:jc w:val="center"/>
                      <w:rPr>
                        <w:rFonts w:ascii="宋体" w:hAnsi="宋体"/>
                      </w:rPr>
                    </w:pPr>
                    <w:r>
                      <w:rPr>
                        <w:rFonts w:hint="eastAsia" w:ascii="宋体" w:hAnsi="宋体"/>
                      </w:rPr>
                      <w:t>机器设备</w:t>
                    </w:r>
                  </w:p>
                </w:tc>
              </w:sdtContent>
            </w:sdt>
            <w:sdt>
              <w:sdtPr>
                <w:rPr>
                  <w:rFonts w:ascii="宋体" w:hAnsi="宋体"/>
                </w:rPr>
                <w:alias w:val="使用权资产明细-项目"/>
                <w:tag w:val="_GBC_8854a3b92dce426b81aa78cb836a99cd"/>
                <w:id w:val="-1782099464"/>
              </w:sdtPr>
              <w:sdtEndPr>
                <w:rPr>
                  <w:rFonts w:ascii="宋体" w:hAnsi="宋体"/>
                </w:rPr>
              </w:sdtEndPr>
              <w:sdtContent>
                <w:tc>
                  <w:tcPr>
                    <w:tcW w:w="708" w:type="pct"/>
                    <w:shd w:val="clear" w:color="auto" w:fill="auto"/>
                    <w:vAlign w:val="center"/>
                  </w:tcPr>
                  <w:p>
                    <w:pPr>
                      <w:spacing w:line="240" w:lineRule="atLeast"/>
                      <w:jc w:val="center"/>
                      <w:rPr>
                        <w:rFonts w:ascii="宋体" w:hAnsi="宋体"/>
                      </w:rPr>
                    </w:pPr>
                    <w:r>
                      <w:rPr>
                        <w:rFonts w:hint="eastAsia" w:ascii="宋体" w:hAnsi="宋体"/>
                      </w:rPr>
                      <w:t>运输设备</w:t>
                    </w:r>
                  </w:p>
                </w:tc>
              </w:sdtContent>
            </w:sdt>
            <w:sdt>
              <w:sdtPr>
                <w:rPr>
                  <w:rFonts w:ascii="宋体" w:hAnsi="宋体"/>
                </w:rPr>
                <w:alias w:val="使用权资产明细-项目"/>
                <w:tag w:val="_GBC_8854a3b92dce426b81aa78cb836a99cd"/>
                <w:id w:val="-556392830"/>
              </w:sdtPr>
              <w:sdtEndPr>
                <w:rPr>
                  <w:rFonts w:ascii="宋体" w:hAnsi="宋体"/>
                </w:rPr>
              </w:sdtEndPr>
              <w:sdtContent>
                <w:tc>
                  <w:tcPr>
                    <w:tcW w:w="617" w:type="pct"/>
                    <w:shd w:val="clear" w:color="auto" w:fill="auto"/>
                    <w:vAlign w:val="center"/>
                  </w:tcPr>
                  <w:p>
                    <w:pPr>
                      <w:spacing w:line="240" w:lineRule="atLeast"/>
                      <w:jc w:val="center"/>
                      <w:rPr>
                        <w:rFonts w:ascii="宋体" w:hAnsi="宋体"/>
                      </w:rPr>
                    </w:pPr>
                    <w:r>
                      <w:rPr>
                        <w:rFonts w:hint="eastAsia" w:ascii="宋体" w:hAnsi="宋体"/>
                      </w:rPr>
                      <w:t>其他</w:t>
                    </w:r>
                  </w:p>
                </w:tc>
              </w:sdtContent>
            </w:sdt>
            <w:sdt>
              <w:sdtPr>
                <w:rPr>
                  <w:rFonts w:ascii="宋体" w:hAnsi="宋体"/>
                </w:rPr>
                <w:tag w:val="_PLD_9c5be9b6ed044311be8a2370c18f35f0"/>
                <w:id w:val="-1472048481"/>
              </w:sdtPr>
              <w:sdtEndPr>
                <w:rPr>
                  <w:rFonts w:ascii="宋体" w:hAnsi="宋体"/>
                </w:rPr>
              </w:sdtEndPr>
              <w:sdtContent>
                <w:tc>
                  <w:tcPr>
                    <w:tcW w:w="604" w:type="pct"/>
                    <w:shd w:val="clear" w:color="auto" w:fill="auto"/>
                    <w:vAlign w:val="center"/>
                  </w:tcPr>
                  <w:p>
                    <w:pPr>
                      <w:spacing w:line="240" w:lineRule="atLeast"/>
                      <w:jc w:val="center"/>
                      <w:rPr>
                        <w:rFonts w:ascii="宋体" w:hAnsi="宋体"/>
                      </w:rPr>
                    </w:pPr>
                    <w:r>
                      <w:rPr>
                        <w:rFonts w:ascii="宋体" w:hAnsi="宋体"/>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宋体" w:hAnsi="宋体"/>
                </w:rPr>
                <w:tag w:val="_PLD_3548dba12ab44fffb8352baf0a2432b0"/>
                <w:id w:val="-368532002"/>
              </w:sdtPr>
              <w:sdtEndPr>
                <w:rPr>
                  <w:rFonts w:ascii="宋体" w:hAnsi="宋体"/>
                </w:rPr>
              </w:sdtEndPr>
              <w:sdtContent>
                <w:tc>
                  <w:tcPr>
                    <w:tcW w:w="5000" w:type="pct"/>
                    <w:gridSpan w:val="7"/>
                    <w:shd w:val="clear" w:color="auto" w:fill="auto"/>
                    <w:vAlign w:val="center"/>
                  </w:tcPr>
                  <w:p>
                    <w:pPr>
                      <w:spacing w:line="240" w:lineRule="atLeast"/>
                      <w:rPr>
                        <w:rFonts w:ascii="宋体" w:hAnsi="宋体"/>
                      </w:rPr>
                    </w:pPr>
                    <w:r>
                      <w:rPr>
                        <w:rFonts w:ascii="宋体" w:hAnsi="宋体"/>
                      </w:rPr>
                      <w:t>一、</w:t>
                    </w:r>
                    <w:r>
                      <w:rPr>
                        <w:rFonts w:hint="eastAsia" w:ascii="宋体" w:hAnsi="宋体"/>
                      </w:rPr>
                      <w:t>账面</w:t>
                    </w:r>
                    <w:r>
                      <w:rPr>
                        <w:rFonts w:ascii="宋体" w:hAnsi="宋体"/>
                      </w:rPr>
                      <w:t>原</w:t>
                    </w:r>
                    <w:r>
                      <w:rPr>
                        <w:rFonts w:hint="eastAsia" w:ascii="宋体" w:hAnsi="宋体"/>
                      </w:rPr>
                      <w:t>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rPr>
                    <w:rFonts w:ascii="宋体" w:hAnsi="宋体"/>
                  </w:rPr>
                </w:pPr>
                <w:r>
                  <w:rPr>
                    <w:rFonts w:ascii="宋体" w:hAnsi="宋体"/>
                  </w:rPr>
                  <w:t xml:space="preserve">    1.</w:t>
                </w:r>
                <w:r>
                  <w:rPr>
                    <w:rFonts w:hint="eastAsia" w:ascii="宋体" w:hAnsi="宋体"/>
                  </w:rPr>
                  <w:t>期</w:t>
                </w:r>
                <w:r>
                  <w:rPr>
                    <w:rFonts w:ascii="宋体" w:hAnsi="宋体"/>
                  </w:rPr>
                  <w:t>初余额</w:t>
                </w:r>
              </w:p>
            </w:tc>
            <w:tc>
              <w:tcPr>
                <w:tcW w:w="672" w:type="pct"/>
                <w:vAlign w:val="center"/>
              </w:tcPr>
              <w:p>
                <w:pPr>
                  <w:spacing w:line="240" w:lineRule="atLeast"/>
                  <w:jc w:val="right"/>
                  <w:rPr>
                    <w:rFonts w:ascii="宋体" w:hAnsi="宋体"/>
                  </w:rPr>
                </w:pPr>
                <w:r>
                  <w:rPr>
                    <w:rFonts w:ascii="宋体" w:hAnsi="宋体"/>
                  </w:rPr>
                  <w:t>41,219</w:t>
                </w: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1,295,599</w:t>
                </w:r>
              </w:p>
            </w:tc>
            <w:tc>
              <w:tcPr>
                <w:tcW w:w="708" w:type="pct"/>
                <w:vAlign w:val="center"/>
              </w:tcPr>
              <w:p>
                <w:pPr>
                  <w:spacing w:line="240" w:lineRule="atLeast"/>
                  <w:jc w:val="right"/>
                  <w:rPr>
                    <w:rFonts w:ascii="宋体" w:hAnsi="宋体"/>
                  </w:rPr>
                </w:pPr>
                <w:r>
                  <w:rPr>
                    <w:rFonts w:ascii="宋体" w:hAnsi="宋体"/>
                  </w:rPr>
                  <w:t>53,852</w:t>
                </w:r>
              </w:p>
            </w:tc>
            <w:tc>
              <w:tcPr>
                <w:tcW w:w="617" w:type="pct"/>
                <w:vAlign w:val="center"/>
              </w:tcPr>
              <w:p>
                <w:pPr>
                  <w:spacing w:line="240" w:lineRule="atLeast"/>
                  <w:jc w:val="right"/>
                  <w:rPr>
                    <w:rFonts w:ascii="宋体" w:hAnsi="宋体"/>
                  </w:rPr>
                </w:pPr>
                <w:r>
                  <w:rPr>
                    <w:rFonts w:ascii="宋体" w:hAnsi="宋体"/>
                  </w:rPr>
                  <w:t>45,807</w:t>
                </w:r>
              </w:p>
            </w:tc>
            <w:tc>
              <w:tcPr>
                <w:tcW w:w="604" w:type="pct"/>
                <w:vAlign w:val="center"/>
              </w:tcPr>
              <w:p>
                <w:pPr>
                  <w:spacing w:line="240" w:lineRule="atLeast"/>
                  <w:jc w:val="right"/>
                  <w:rPr>
                    <w:rFonts w:ascii="宋体" w:hAnsi="宋体"/>
                  </w:rPr>
                </w:pPr>
                <w:r>
                  <w:rPr>
                    <w:rFonts w:ascii="宋体" w:hAnsi="宋体"/>
                  </w:rPr>
                  <w:t>1,436,477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ascii="宋体" w:hAnsi="宋体"/>
                  </w:rPr>
                  <w:t>2.本期增加</w:t>
                </w:r>
                <w:r>
                  <w:rPr>
                    <w:rFonts w:hint="eastAsia" w:ascii="宋体" w:hAnsi="宋体"/>
                  </w:rPr>
                  <w:t>金额</w:t>
                </w:r>
              </w:p>
            </w:tc>
            <w:tc>
              <w:tcPr>
                <w:tcW w:w="672" w:type="pct"/>
                <w:vAlign w:val="center"/>
              </w:tcPr>
              <w:p>
                <w:pPr>
                  <w:spacing w:line="240" w:lineRule="atLeast"/>
                  <w:jc w:val="right"/>
                  <w:rPr>
                    <w:rFonts w:ascii="宋体" w:hAnsi="宋体"/>
                  </w:rPr>
                </w:pPr>
                <w:r>
                  <w:rPr>
                    <w:rFonts w:ascii="宋体" w:hAnsi="宋体"/>
                  </w:rPr>
                  <w:t>6,698</w:t>
                </w:r>
              </w:p>
            </w:tc>
            <w:tc>
              <w:tcPr>
                <w:tcW w:w="711" w:type="pct"/>
                <w:vAlign w:val="center"/>
              </w:tcPr>
              <w:p>
                <w:pPr>
                  <w:spacing w:line="240" w:lineRule="atLeast"/>
                  <w:jc w:val="right"/>
                  <w:rPr>
                    <w:rFonts w:ascii="宋体" w:hAnsi="宋体"/>
                  </w:rPr>
                </w:pPr>
                <w:r>
                  <w:rPr>
                    <w:rFonts w:ascii="宋体" w:hAnsi="宋体"/>
                  </w:rPr>
                  <w:t>32,409</w:t>
                </w:r>
              </w:p>
            </w:tc>
            <w:tc>
              <w:tcPr>
                <w:tcW w:w="698" w:type="pct"/>
                <w:vAlign w:val="center"/>
              </w:tcPr>
              <w:p>
                <w:pPr>
                  <w:spacing w:line="240" w:lineRule="atLeast"/>
                  <w:jc w:val="right"/>
                  <w:rPr>
                    <w:rFonts w:ascii="宋体" w:hAnsi="宋体"/>
                  </w:rPr>
                </w:pPr>
                <w:r>
                  <w:rPr>
                    <w:rFonts w:ascii="宋体" w:hAnsi="宋体"/>
                  </w:rPr>
                  <w:t>80,877</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r>
                  <w:rPr>
                    <w:rFonts w:ascii="宋体" w:hAnsi="宋体"/>
                  </w:rPr>
                  <w:t>119,984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vAlign w:val="center"/>
              </w:tcPr>
              <w:p>
                <w:pPr>
                  <w:spacing w:line="240" w:lineRule="atLeast"/>
                  <w:ind w:firstLine="660" w:firstLineChars="300"/>
                  <w:rPr>
                    <w:rFonts w:ascii="宋体" w:hAnsi="宋体"/>
                  </w:rPr>
                </w:pPr>
                <w:r>
                  <w:rPr>
                    <w:rFonts w:hint="eastAsia" w:ascii="宋体" w:hAnsi="宋体"/>
                    <w:color w:val="000000" w:themeColor="text1"/>
                    <w:sz w:val="22"/>
                    <w:szCs w:val="22"/>
                    <w14:textFill>
                      <w14:solidFill>
                        <w14:schemeClr w14:val="tx1"/>
                      </w14:solidFill>
                    </w14:textFill>
                  </w:rPr>
                  <w:t>（1）租入</w:t>
                </w:r>
              </w:p>
            </w:tc>
            <w:tc>
              <w:tcPr>
                <w:tcW w:w="672" w:type="pct"/>
                <w:vAlign w:val="center"/>
              </w:tcPr>
              <w:p>
                <w:pPr>
                  <w:spacing w:line="240" w:lineRule="atLeast"/>
                  <w:jc w:val="right"/>
                  <w:rPr>
                    <w:rFonts w:ascii="宋体" w:hAnsi="宋体"/>
                  </w:rPr>
                </w:pPr>
                <w:r>
                  <w:rPr>
                    <w:rFonts w:ascii="宋体" w:hAnsi="宋体"/>
                  </w:rPr>
                  <w:t>6,698</w:t>
                </w:r>
              </w:p>
            </w:tc>
            <w:tc>
              <w:tcPr>
                <w:tcW w:w="711" w:type="pct"/>
                <w:vAlign w:val="center"/>
              </w:tcPr>
              <w:p>
                <w:pPr>
                  <w:spacing w:line="240" w:lineRule="atLeast"/>
                  <w:jc w:val="right"/>
                  <w:rPr>
                    <w:rFonts w:ascii="宋体" w:hAnsi="宋体"/>
                  </w:rPr>
                </w:pPr>
                <w:r>
                  <w:rPr>
                    <w:rFonts w:ascii="宋体" w:hAnsi="宋体"/>
                  </w:rPr>
                  <w:t>32,409</w:t>
                </w:r>
              </w:p>
            </w:tc>
            <w:tc>
              <w:tcPr>
                <w:tcW w:w="698" w:type="pct"/>
                <w:vAlign w:val="center"/>
              </w:tcPr>
              <w:p>
                <w:pPr>
                  <w:spacing w:line="240" w:lineRule="atLeast"/>
                  <w:jc w:val="right"/>
                  <w:rPr>
                    <w:rFonts w:ascii="宋体" w:hAnsi="宋体"/>
                  </w:rPr>
                </w:pPr>
                <w:r>
                  <w:rPr>
                    <w:rFonts w:ascii="宋体" w:hAnsi="宋体"/>
                  </w:rPr>
                  <w:t>3,510</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r>
                  <w:rPr>
                    <w:rFonts w:ascii="宋体" w:hAnsi="宋体"/>
                  </w:rPr>
                  <w:t>42,617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vAlign w:val="center"/>
              </w:tcPr>
              <w:p>
                <w:pPr>
                  <w:spacing w:line="240" w:lineRule="atLeast"/>
                  <w:ind w:firstLine="660" w:firstLineChars="300"/>
                  <w:rPr>
                    <w:rFonts w:ascii="宋体" w:hAnsi="宋体"/>
                  </w:rPr>
                </w:pPr>
                <w:r>
                  <w:rPr>
                    <w:rFonts w:hint="eastAsia" w:ascii="宋体" w:hAnsi="宋体"/>
                    <w:sz w:val="22"/>
                    <w:szCs w:val="22"/>
                  </w:rPr>
                  <w:t>（</w:t>
                </w:r>
                <w:r>
                  <w:rPr>
                    <w:rFonts w:ascii="宋体" w:hAnsi="宋体"/>
                    <w:sz w:val="22"/>
                    <w:szCs w:val="22"/>
                  </w:rPr>
                  <w:t>2</w:t>
                </w:r>
                <w:r>
                  <w:rPr>
                    <w:rFonts w:hint="eastAsia" w:ascii="宋体" w:hAnsi="宋体"/>
                    <w:sz w:val="22"/>
                    <w:szCs w:val="22"/>
                  </w:rPr>
                  <w:t>）其他增加</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77,367</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r>
                  <w:rPr>
                    <w:rFonts w:ascii="宋体" w:hAnsi="宋体"/>
                  </w:rPr>
                  <w:t>77,367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ascii="宋体" w:hAnsi="宋体"/>
                  </w:rPr>
                  <w:t>3.本期减少</w:t>
                </w:r>
                <w:r>
                  <w:rPr>
                    <w:rFonts w:hint="eastAsia" w:ascii="宋体" w:hAnsi="宋体"/>
                  </w:rPr>
                  <w:t>金额</w:t>
                </w:r>
              </w:p>
            </w:tc>
            <w:tc>
              <w:tcPr>
                <w:tcW w:w="672" w:type="pct"/>
                <w:vAlign w:val="center"/>
              </w:tcPr>
              <w:p>
                <w:pPr>
                  <w:spacing w:line="240" w:lineRule="atLeast"/>
                  <w:jc w:val="right"/>
                  <w:rPr>
                    <w:rFonts w:ascii="宋体" w:hAnsi="宋体"/>
                  </w:rPr>
                </w:pPr>
                <w:r>
                  <w:rPr>
                    <w:rFonts w:ascii="宋体" w:hAnsi="宋体"/>
                  </w:rPr>
                  <w:t>30,672</w:t>
                </w: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140,792</w:t>
                </w:r>
              </w:p>
            </w:tc>
            <w:tc>
              <w:tcPr>
                <w:tcW w:w="708" w:type="pct"/>
                <w:vAlign w:val="center"/>
              </w:tcPr>
              <w:p>
                <w:pPr>
                  <w:spacing w:line="240" w:lineRule="atLeast"/>
                  <w:jc w:val="right"/>
                  <w:rPr>
                    <w:rFonts w:ascii="宋体" w:hAnsi="宋体"/>
                  </w:rPr>
                </w:pPr>
                <w:r>
                  <w:rPr>
                    <w:rFonts w:ascii="宋体" w:hAnsi="宋体"/>
                  </w:rPr>
                  <w:t>53,852</w:t>
                </w:r>
              </w:p>
            </w:tc>
            <w:tc>
              <w:tcPr>
                <w:tcW w:w="617" w:type="pct"/>
                <w:vAlign w:val="center"/>
              </w:tcPr>
              <w:p>
                <w:pPr>
                  <w:spacing w:line="240" w:lineRule="atLeast"/>
                  <w:jc w:val="right"/>
                  <w:rPr>
                    <w:rFonts w:ascii="宋体" w:hAnsi="宋体"/>
                  </w:rPr>
                </w:pPr>
                <w:r>
                  <w:rPr>
                    <w:rFonts w:ascii="宋体" w:hAnsi="宋体"/>
                  </w:rPr>
                  <w:t>32,347</w:t>
                </w:r>
              </w:p>
            </w:tc>
            <w:tc>
              <w:tcPr>
                <w:tcW w:w="604" w:type="pct"/>
                <w:vAlign w:val="center"/>
              </w:tcPr>
              <w:p>
                <w:pPr>
                  <w:spacing w:line="240" w:lineRule="atLeast"/>
                  <w:jc w:val="right"/>
                  <w:rPr>
                    <w:rFonts w:ascii="宋体" w:hAnsi="宋体"/>
                  </w:rPr>
                </w:pPr>
                <w:r>
                  <w:rPr>
                    <w:rFonts w:ascii="宋体" w:hAnsi="宋体"/>
                  </w:rPr>
                  <w:t>257,663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vAlign w:val="center"/>
              </w:tcPr>
              <w:p>
                <w:pPr>
                  <w:spacing w:line="240" w:lineRule="atLeast"/>
                  <w:ind w:firstLine="660" w:firstLineChars="300"/>
                  <w:rPr>
                    <w:rFonts w:ascii="宋体" w:hAnsi="宋体"/>
                  </w:rPr>
                </w:pPr>
                <w:r>
                  <w:rPr>
                    <w:rFonts w:hint="eastAsia" w:ascii="宋体" w:hAnsi="宋体"/>
                    <w:sz w:val="22"/>
                    <w:szCs w:val="22"/>
                  </w:rPr>
                  <w:t>（1）处置或报废</w:t>
                </w:r>
              </w:p>
            </w:tc>
            <w:tc>
              <w:tcPr>
                <w:tcW w:w="672" w:type="pct"/>
                <w:vAlign w:val="center"/>
              </w:tcPr>
              <w:p>
                <w:pPr>
                  <w:spacing w:line="240" w:lineRule="atLeast"/>
                  <w:jc w:val="right"/>
                  <w:rPr>
                    <w:rFonts w:ascii="宋体" w:hAnsi="宋体"/>
                  </w:rPr>
                </w:pPr>
                <w:r>
                  <w:rPr>
                    <w:rFonts w:ascii="宋体" w:hAnsi="宋体"/>
                  </w:rPr>
                  <w:t>30,672</w:t>
                </w: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140,792</w:t>
                </w:r>
              </w:p>
            </w:tc>
            <w:tc>
              <w:tcPr>
                <w:tcW w:w="708" w:type="pct"/>
                <w:vAlign w:val="center"/>
              </w:tcPr>
              <w:p>
                <w:pPr>
                  <w:spacing w:line="240" w:lineRule="atLeast"/>
                  <w:jc w:val="right"/>
                  <w:rPr>
                    <w:rFonts w:ascii="宋体" w:hAnsi="宋体"/>
                  </w:rPr>
                </w:pPr>
                <w:r>
                  <w:rPr>
                    <w:rFonts w:ascii="宋体" w:hAnsi="宋体"/>
                  </w:rPr>
                  <w:t>53,852</w:t>
                </w:r>
              </w:p>
            </w:tc>
            <w:tc>
              <w:tcPr>
                <w:tcW w:w="617" w:type="pct"/>
                <w:vAlign w:val="center"/>
              </w:tcPr>
              <w:p>
                <w:pPr>
                  <w:spacing w:line="240" w:lineRule="atLeast"/>
                  <w:jc w:val="right"/>
                  <w:rPr>
                    <w:rFonts w:ascii="宋体" w:hAnsi="宋体"/>
                  </w:rPr>
                </w:pPr>
                <w:r>
                  <w:rPr>
                    <w:rFonts w:ascii="宋体" w:hAnsi="宋体"/>
                  </w:rPr>
                  <w:t>32,347</w:t>
                </w:r>
              </w:p>
            </w:tc>
            <w:tc>
              <w:tcPr>
                <w:tcW w:w="604" w:type="pct"/>
                <w:vAlign w:val="center"/>
              </w:tcPr>
              <w:p>
                <w:pPr>
                  <w:spacing w:line="240" w:lineRule="atLeast"/>
                  <w:jc w:val="right"/>
                  <w:rPr>
                    <w:rFonts w:ascii="宋体" w:hAnsi="宋体"/>
                  </w:rPr>
                </w:pPr>
                <w:r>
                  <w:rPr>
                    <w:rFonts w:ascii="宋体" w:hAnsi="宋体"/>
                  </w:rPr>
                  <w:t>257,663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vAlign w:val="center"/>
              </w:tcPr>
              <w:p>
                <w:pPr>
                  <w:spacing w:line="240" w:lineRule="atLeast"/>
                  <w:ind w:firstLine="409" w:firstLineChars="186"/>
                  <w:rPr>
                    <w:rFonts w:ascii="宋体" w:hAnsi="宋体"/>
                  </w:rPr>
                </w:pPr>
                <w:r>
                  <w:rPr>
                    <w:rFonts w:hint="eastAsia" w:ascii="宋体" w:hAnsi="宋体"/>
                    <w:sz w:val="22"/>
                    <w:szCs w:val="22"/>
                  </w:rPr>
                  <w:t>4.外币报表折算差额</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34,524</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r>
                  <w:rPr>
                    <w:rFonts w:ascii="宋体" w:hAnsi="宋体"/>
                  </w:rPr>
                  <w:t>34,524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ascii="宋体" w:hAnsi="宋体"/>
                  </w:rPr>
                  <w:t>5.期末余额</w:t>
                </w:r>
              </w:p>
            </w:tc>
            <w:tc>
              <w:tcPr>
                <w:tcW w:w="672" w:type="pct"/>
                <w:vAlign w:val="center"/>
              </w:tcPr>
              <w:p>
                <w:pPr>
                  <w:spacing w:line="240" w:lineRule="atLeast"/>
                  <w:jc w:val="right"/>
                  <w:rPr>
                    <w:rFonts w:ascii="宋体" w:hAnsi="宋体"/>
                  </w:rPr>
                </w:pPr>
                <w:r>
                  <w:rPr>
                    <w:rFonts w:ascii="宋体" w:hAnsi="宋体"/>
                  </w:rPr>
                  <w:t>17,245</w:t>
                </w:r>
              </w:p>
            </w:tc>
            <w:tc>
              <w:tcPr>
                <w:tcW w:w="711" w:type="pct"/>
                <w:vAlign w:val="center"/>
              </w:tcPr>
              <w:p>
                <w:pPr>
                  <w:spacing w:line="240" w:lineRule="atLeast"/>
                  <w:jc w:val="right"/>
                  <w:rPr>
                    <w:rFonts w:ascii="宋体" w:hAnsi="宋体"/>
                  </w:rPr>
                </w:pPr>
                <w:r>
                  <w:rPr>
                    <w:rFonts w:ascii="宋体" w:hAnsi="宋体"/>
                  </w:rPr>
                  <w:t>32,409</w:t>
                </w:r>
              </w:p>
            </w:tc>
            <w:tc>
              <w:tcPr>
                <w:tcW w:w="698" w:type="pct"/>
                <w:vAlign w:val="center"/>
              </w:tcPr>
              <w:p>
                <w:pPr>
                  <w:spacing w:line="240" w:lineRule="atLeast"/>
                  <w:jc w:val="right"/>
                  <w:rPr>
                    <w:rFonts w:ascii="宋体" w:hAnsi="宋体"/>
                  </w:rPr>
                </w:pPr>
                <w:r>
                  <w:rPr>
                    <w:rFonts w:ascii="宋体" w:hAnsi="宋体"/>
                  </w:rPr>
                  <w:t>1,270,208</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r>
                  <w:rPr>
                    <w:rFonts w:ascii="宋体" w:hAnsi="宋体"/>
                  </w:rPr>
                  <w:t>13,460</w:t>
                </w:r>
              </w:p>
            </w:tc>
            <w:tc>
              <w:tcPr>
                <w:tcW w:w="604" w:type="pct"/>
                <w:vAlign w:val="center"/>
              </w:tcPr>
              <w:p>
                <w:pPr>
                  <w:spacing w:line="240" w:lineRule="atLeast"/>
                  <w:jc w:val="right"/>
                  <w:rPr>
                    <w:rFonts w:ascii="宋体" w:hAnsi="宋体"/>
                  </w:rPr>
                </w:pPr>
                <w:r>
                  <w:rPr>
                    <w:rFonts w:ascii="宋体" w:hAnsi="宋体"/>
                  </w:rPr>
                  <w:t>1,333,322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宋体" w:hAnsi="宋体"/>
                </w:rPr>
                <w:tag w:val="_PLD_39b1174f077e44e0af9583631dcb785f"/>
                <w:id w:val="-1808849375"/>
              </w:sdtPr>
              <w:sdtEndPr>
                <w:rPr>
                  <w:rFonts w:ascii="宋体" w:hAnsi="宋体"/>
                </w:rPr>
              </w:sdtEndPr>
              <w:sdtContent>
                <w:tc>
                  <w:tcPr>
                    <w:tcW w:w="5000" w:type="pct"/>
                    <w:gridSpan w:val="7"/>
                    <w:shd w:val="clear" w:color="auto" w:fill="auto"/>
                    <w:vAlign w:val="center"/>
                  </w:tcPr>
                  <w:p>
                    <w:pPr>
                      <w:spacing w:line="240" w:lineRule="atLeast"/>
                      <w:rPr>
                        <w:rFonts w:ascii="宋体" w:hAnsi="宋体"/>
                      </w:rPr>
                    </w:pPr>
                    <w:r>
                      <w:rPr>
                        <w:rFonts w:ascii="宋体" w:hAnsi="宋体"/>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hint="eastAsia" w:ascii="宋体" w:hAnsi="宋体"/>
                  </w:rPr>
                  <w:t>1.期</w:t>
                </w:r>
                <w:r>
                  <w:rPr>
                    <w:rFonts w:ascii="宋体" w:hAnsi="宋体"/>
                  </w:rPr>
                  <w:t>初余额</w:t>
                </w:r>
              </w:p>
            </w:tc>
            <w:tc>
              <w:tcPr>
                <w:tcW w:w="672" w:type="pct"/>
                <w:vAlign w:val="center"/>
              </w:tcPr>
              <w:p>
                <w:pPr>
                  <w:spacing w:line="240" w:lineRule="atLeast"/>
                  <w:jc w:val="right"/>
                  <w:rPr>
                    <w:rFonts w:ascii="宋体" w:hAnsi="宋体"/>
                  </w:rPr>
                </w:pPr>
                <w:r>
                  <w:rPr>
                    <w:rFonts w:ascii="宋体" w:hAnsi="宋体"/>
                  </w:rPr>
                  <w:t>32,517</w:t>
                </w: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463,176</w:t>
                </w:r>
              </w:p>
            </w:tc>
            <w:tc>
              <w:tcPr>
                <w:tcW w:w="708" w:type="pct"/>
                <w:vAlign w:val="center"/>
              </w:tcPr>
              <w:p>
                <w:pPr>
                  <w:spacing w:line="240" w:lineRule="atLeast"/>
                  <w:jc w:val="right"/>
                  <w:rPr>
                    <w:rFonts w:ascii="宋体" w:hAnsi="宋体"/>
                  </w:rPr>
                </w:pPr>
                <w:r>
                  <w:rPr>
                    <w:rFonts w:ascii="宋体" w:hAnsi="宋体"/>
                  </w:rPr>
                  <w:t>14,032</w:t>
                </w:r>
              </w:p>
            </w:tc>
            <w:tc>
              <w:tcPr>
                <w:tcW w:w="617" w:type="pct"/>
                <w:vAlign w:val="center"/>
              </w:tcPr>
              <w:p>
                <w:pPr>
                  <w:spacing w:line="240" w:lineRule="atLeast"/>
                  <w:jc w:val="right"/>
                  <w:rPr>
                    <w:rFonts w:ascii="宋体" w:hAnsi="宋体"/>
                  </w:rPr>
                </w:pPr>
                <w:r>
                  <w:rPr>
                    <w:rFonts w:ascii="宋体" w:hAnsi="宋体"/>
                  </w:rPr>
                  <w:t>20,567</w:t>
                </w:r>
              </w:p>
            </w:tc>
            <w:tc>
              <w:tcPr>
                <w:tcW w:w="604" w:type="pct"/>
                <w:vAlign w:val="center"/>
              </w:tcPr>
              <w:p>
                <w:pPr>
                  <w:spacing w:line="240" w:lineRule="atLeast"/>
                  <w:jc w:val="right"/>
                  <w:rPr>
                    <w:rFonts w:ascii="宋体" w:hAnsi="宋体"/>
                  </w:rPr>
                </w:pPr>
                <w:r>
                  <w:rPr>
                    <w:rFonts w:ascii="宋体" w:hAnsi="宋体"/>
                  </w:rPr>
                  <w:t>530,292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ascii="宋体" w:hAnsi="宋体"/>
                  </w:rPr>
                  <w:t>2.本期增加</w:t>
                </w:r>
                <w:r>
                  <w:rPr>
                    <w:rFonts w:hint="eastAsia" w:ascii="宋体" w:hAnsi="宋体"/>
                  </w:rPr>
                  <w:t>金额</w:t>
                </w:r>
              </w:p>
            </w:tc>
            <w:tc>
              <w:tcPr>
                <w:tcW w:w="672" w:type="pct"/>
                <w:vAlign w:val="center"/>
              </w:tcPr>
              <w:p>
                <w:pPr>
                  <w:spacing w:line="240" w:lineRule="atLeast"/>
                  <w:jc w:val="right"/>
                  <w:rPr>
                    <w:rFonts w:ascii="宋体" w:hAnsi="宋体"/>
                  </w:rPr>
                </w:pPr>
                <w:r>
                  <w:rPr>
                    <w:rFonts w:ascii="宋体" w:hAnsi="宋体"/>
                  </w:rPr>
                  <w:t>4,791</w:t>
                </w:r>
              </w:p>
            </w:tc>
            <w:tc>
              <w:tcPr>
                <w:tcW w:w="711" w:type="pct"/>
                <w:vAlign w:val="center"/>
              </w:tcPr>
              <w:p>
                <w:pPr>
                  <w:spacing w:line="240" w:lineRule="atLeast"/>
                  <w:jc w:val="right"/>
                  <w:rPr>
                    <w:rFonts w:ascii="宋体" w:hAnsi="宋体"/>
                  </w:rPr>
                </w:pPr>
                <w:r>
                  <w:rPr>
                    <w:rFonts w:ascii="宋体" w:hAnsi="宋体"/>
                  </w:rPr>
                  <w:t>6,436</w:t>
                </w:r>
              </w:p>
            </w:tc>
            <w:tc>
              <w:tcPr>
                <w:tcW w:w="698" w:type="pct"/>
                <w:vAlign w:val="center"/>
              </w:tcPr>
              <w:p>
                <w:pPr>
                  <w:spacing w:line="240" w:lineRule="atLeast"/>
                  <w:jc w:val="right"/>
                  <w:rPr>
                    <w:rFonts w:ascii="宋体" w:hAnsi="宋体"/>
                  </w:rPr>
                </w:pPr>
                <w:r>
                  <w:rPr>
                    <w:rFonts w:ascii="宋体" w:hAnsi="宋体"/>
                  </w:rPr>
                  <w:t>249,825</w:t>
                </w:r>
              </w:p>
            </w:tc>
            <w:tc>
              <w:tcPr>
                <w:tcW w:w="708" w:type="pct"/>
                <w:vAlign w:val="center"/>
              </w:tcPr>
              <w:p>
                <w:pPr>
                  <w:spacing w:line="240" w:lineRule="atLeast"/>
                  <w:jc w:val="right"/>
                  <w:rPr>
                    <w:rFonts w:ascii="宋体" w:hAnsi="宋体"/>
                  </w:rPr>
                </w:pPr>
                <w:r>
                  <w:rPr>
                    <w:rFonts w:ascii="宋体" w:hAnsi="宋体"/>
                  </w:rPr>
                  <w:t>12,809</w:t>
                </w:r>
              </w:p>
            </w:tc>
            <w:tc>
              <w:tcPr>
                <w:tcW w:w="617" w:type="pct"/>
                <w:vAlign w:val="center"/>
              </w:tcPr>
              <w:p>
                <w:pPr>
                  <w:spacing w:line="240" w:lineRule="atLeast"/>
                  <w:jc w:val="right"/>
                  <w:rPr>
                    <w:rFonts w:ascii="宋体" w:hAnsi="宋体"/>
                  </w:rPr>
                </w:pPr>
                <w:r>
                  <w:rPr>
                    <w:rFonts w:ascii="宋体" w:hAnsi="宋体"/>
                  </w:rPr>
                  <w:t>1,695</w:t>
                </w:r>
              </w:p>
            </w:tc>
            <w:tc>
              <w:tcPr>
                <w:tcW w:w="604" w:type="pct"/>
                <w:vAlign w:val="center"/>
              </w:tcPr>
              <w:p>
                <w:pPr>
                  <w:spacing w:line="240" w:lineRule="atLeast"/>
                  <w:jc w:val="right"/>
                  <w:rPr>
                    <w:rFonts w:ascii="宋体" w:hAnsi="宋体"/>
                  </w:rPr>
                </w:pPr>
                <w:r>
                  <w:rPr>
                    <w:rFonts w:ascii="宋体" w:hAnsi="宋体"/>
                  </w:rPr>
                  <w:t>275,556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630" w:firstLineChars="300"/>
                  <w:rPr>
                    <w:rFonts w:ascii="宋体" w:hAnsi="宋体"/>
                  </w:rPr>
                </w:pPr>
                <w:r>
                  <w:rPr>
                    <w:rFonts w:ascii="宋体" w:hAnsi="宋体"/>
                  </w:rPr>
                  <w:t>(1)计提</w:t>
                </w:r>
              </w:p>
            </w:tc>
            <w:tc>
              <w:tcPr>
                <w:tcW w:w="672" w:type="pct"/>
                <w:vAlign w:val="center"/>
              </w:tcPr>
              <w:p>
                <w:pPr>
                  <w:spacing w:line="240" w:lineRule="atLeast"/>
                  <w:jc w:val="right"/>
                  <w:rPr>
                    <w:rFonts w:ascii="宋体" w:hAnsi="宋体"/>
                  </w:rPr>
                </w:pPr>
                <w:r>
                  <w:rPr>
                    <w:rFonts w:ascii="宋体" w:hAnsi="宋体"/>
                  </w:rPr>
                  <w:t>4,791</w:t>
                </w:r>
              </w:p>
            </w:tc>
            <w:tc>
              <w:tcPr>
                <w:tcW w:w="711" w:type="pct"/>
                <w:vAlign w:val="center"/>
              </w:tcPr>
              <w:p>
                <w:pPr>
                  <w:spacing w:line="240" w:lineRule="atLeast"/>
                  <w:jc w:val="right"/>
                  <w:rPr>
                    <w:rFonts w:ascii="宋体" w:hAnsi="宋体"/>
                  </w:rPr>
                </w:pPr>
                <w:r>
                  <w:rPr>
                    <w:rFonts w:ascii="宋体" w:hAnsi="宋体"/>
                  </w:rPr>
                  <w:t>6,436</w:t>
                </w:r>
              </w:p>
            </w:tc>
            <w:tc>
              <w:tcPr>
                <w:tcW w:w="698" w:type="pct"/>
                <w:vAlign w:val="center"/>
              </w:tcPr>
              <w:p>
                <w:pPr>
                  <w:spacing w:line="240" w:lineRule="atLeast"/>
                  <w:jc w:val="right"/>
                  <w:rPr>
                    <w:rFonts w:ascii="宋体" w:hAnsi="宋体"/>
                  </w:rPr>
                </w:pPr>
                <w:r>
                  <w:rPr>
                    <w:rFonts w:ascii="宋体" w:hAnsi="宋体"/>
                  </w:rPr>
                  <w:t>249,825</w:t>
                </w:r>
              </w:p>
            </w:tc>
            <w:tc>
              <w:tcPr>
                <w:tcW w:w="708" w:type="pct"/>
                <w:vAlign w:val="center"/>
              </w:tcPr>
              <w:p>
                <w:pPr>
                  <w:spacing w:line="240" w:lineRule="atLeast"/>
                  <w:jc w:val="right"/>
                  <w:rPr>
                    <w:rFonts w:ascii="宋体" w:hAnsi="宋体"/>
                  </w:rPr>
                </w:pPr>
                <w:r>
                  <w:rPr>
                    <w:rFonts w:ascii="宋体" w:hAnsi="宋体"/>
                  </w:rPr>
                  <w:t>12,809</w:t>
                </w:r>
              </w:p>
            </w:tc>
            <w:tc>
              <w:tcPr>
                <w:tcW w:w="617" w:type="pct"/>
                <w:vAlign w:val="center"/>
              </w:tcPr>
              <w:p>
                <w:pPr>
                  <w:spacing w:line="240" w:lineRule="atLeast"/>
                  <w:jc w:val="right"/>
                  <w:rPr>
                    <w:rFonts w:ascii="宋体" w:hAnsi="宋体"/>
                  </w:rPr>
                </w:pPr>
                <w:r>
                  <w:rPr>
                    <w:rFonts w:ascii="宋体" w:hAnsi="宋体"/>
                  </w:rPr>
                  <w:t>1,695</w:t>
                </w:r>
              </w:p>
            </w:tc>
            <w:tc>
              <w:tcPr>
                <w:tcW w:w="604" w:type="pct"/>
                <w:vAlign w:val="center"/>
              </w:tcPr>
              <w:p>
                <w:pPr>
                  <w:spacing w:line="240" w:lineRule="atLeast"/>
                  <w:jc w:val="right"/>
                  <w:rPr>
                    <w:rFonts w:ascii="宋体" w:hAnsi="宋体"/>
                  </w:rPr>
                </w:pPr>
                <w:r>
                  <w:rPr>
                    <w:rFonts w:ascii="宋体" w:hAnsi="宋体"/>
                  </w:rPr>
                  <w:t>275,556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hint="eastAsia" w:ascii="宋体" w:hAnsi="宋体"/>
                  </w:rPr>
                  <w:t>3.</w:t>
                </w:r>
                <w:r>
                  <w:rPr>
                    <w:rFonts w:ascii="宋体" w:hAnsi="宋体"/>
                  </w:rPr>
                  <w:t>本期减少</w:t>
                </w:r>
                <w:r>
                  <w:rPr>
                    <w:rFonts w:hint="eastAsia" w:ascii="宋体" w:hAnsi="宋体"/>
                  </w:rPr>
                  <w:t>金额</w:t>
                </w:r>
              </w:p>
            </w:tc>
            <w:tc>
              <w:tcPr>
                <w:tcW w:w="672" w:type="pct"/>
                <w:vAlign w:val="center"/>
              </w:tcPr>
              <w:p>
                <w:pPr>
                  <w:spacing w:line="240" w:lineRule="atLeast"/>
                  <w:jc w:val="right"/>
                  <w:rPr>
                    <w:rFonts w:ascii="宋体" w:hAnsi="宋体"/>
                  </w:rPr>
                </w:pPr>
                <w:r>
                  <w:rPr>
                    <w:rFonts w:ascii="宋体" w:hAnsi="宋体"/>
                  </w:rPr>
                  <w:t>30,488</w:t>
                </w: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140,278</w:t>
                </w:r>
              </w:p>
            </w:tc>
            <w:tc>
              <w:tcPr>
                <w:tcW w:w="708" w:type="pct"/>
                <w:vAlign w:val="center"/>
              </w:tcPr>
              <w:p>
                <w:pPr>
                  <w:spacing w:line="240" w:lineRule="atLeast"/>
                  <w:jc w:val="right"/>
                  <w:rPr>
                    <w:rFonts w:ascii="宋体" w:hAnsi="宋体"/>
                  </w:rPr>
                </w:pPr>
                <w:r>
                  <w:rPr>
                    <w:rFonts w:ascii="宋体" w:hAnsi="宋体"/>
                  </w:rPr>
                  <w:t>26,841</w:t>
                </w:r>
              </w:p>
            </w:tc>
            <w:tc>
              <w:tcPr>
                <w:tcW w:w="617" w:type="pct"/>
                <w:vAlign w:val="center"/>
              </w:tcPr>
              <w:p>
                <w:pPr>
                  <w:spacing w:line="240" w:lineRule="atLeast"/>
                  <w:jc w:val="right"/>
                  <w:rPr>
                    <w:rFonts w:ascii="宋体" w:hAnsi="宋体"/>
                  </w:rPr>
                </w:pPr>
                <w:r>
                  <w:rPr>
                    <w:rFonts w:ascii="宋体" w:hAnsi="宋体"/>
                  </w:rPr>
                  <w:t>14,832</w:t>
                </w:r>
              </w:p>
            </w:tc>
            <w:tc>
              <w:tcPr>
                <w:tcW w:w="604" w:type="pct"/>
                <w:vAlign w:val="center"/>
              </w:tcPr>
              <w:p>
                <w:pPr>
                  <w:spacing w:line="240" w:lineRule="atLeast"/>
                  <w:jc w:val="right"/>
                  <w:rPr>
                    <w:rFonts w:ascii="宋体" w:hAnsi="宋体"/>
                  </w:rPr>
                </w:pPr>
                <w:r>
                  <w:rPr>
                    <w:rFonts w:ascii="宋体" w:hAnsi="宋体"/>
                  </w:rPr>
                  <w:t>212,439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630" w:firstLineChars="300"/>
                  <w:rPr>
                    <w:rFonts w:ascii="宋体" w:hAnsi="宋体"/>
                  </w:rPr>
                </w:pPr>
                <w:r>
                  <w:rPr>
                    <w:rFonts w:ascii="宋体" w:hAnsi="宋体"/>
                  </w:rPr>
                  <w:t>(1)</w:t>
                </w:r>
                <w:r>
                  <w:rPr>
                    <w:rFonts w:hint="eastAsia" w:ascii="宋体" w:hAnsi="宋体"/>
                  </w:rPr>
                  <w:t>处置或报废</w:t>
                </w:r>
              </w:p>
            </w:tc>
            <w:tc>
              <w:tcPr>
                <w:tcW w:w="672" w:type="pct"/>
                <w:vAlign w:val="center"/>
              </w:tcPr>
              <w:p>
                <w:pPr>
                  <w:spacing w:line="240" w:lineRule="atLeast"/>
                  <w:jc w:val="right"/>
                  <w:rPr>
                    <w:rFonts w:ascii="宋体" w:hAnsi="宋体"/>
                  </w:rPr>
                </w:pPr>
                <w:r>
                  <w:rPr>
                    <w:rFonts w:ascii="宋体" w:hAnsi="宋体"/>
                  </w:rPr>
                  <w:t>30,488</w:t>
                </w: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140,278</w:t>
                </w:r>
              </w:p>
            </w:tc>
            <w:tc>
              <w:tcPr>
                <w:tcW w:w="708" w:type="pct"/>
                <w:vAlign w:val="center"/>
              </w:tcPr>
              <w:p>
                <w:pPr>
                  <w:spacing w:line="240" w:lineRule="atLeast"/>
                  <w:jc w:val="right"/>
                  <w:rPr>
                    <w:rFonts w:ascii="宋体" w:hAnsi="宋体"/>
                  </w:rPr>
                </w:pPr>
                <w:r>
                  <w:rPr>
                    <w:rFonts w:ascii="宋体" w:hAnsi="宋体"/>
                  </w:rPr>
                  <w:t>26,841</w:t>
                </w:r>
              </w:p>
            </w:tc>
            <w:tc>
              <w:tcPr>
                <w:tcW w:w="617" w:type="pct"/>
                <w:vAlign w:val="center"/>
              </w:tcPr>
              <w:p>
                <w:pPr>
                  <w:spacing w:line="240" w:lineRule="atLeast"/>
                  <w:jc w:val="right"/>
                  <w:rPr>
                    <w:rFonts w:ascii="宋体" w:hAnsi="宋体"/>
                  </w:rPr>
                </w:pPr>
                <w:r>
                  <w:rPr>
                    <w:rFonts w:ascii="宋体" w:hAnsi="宋体"/>
                  </w:rPr>
                  <w:t>14,832</w:t>
                </w:r>
              </w:p>
            </w:tc>
            <w:tc>
              <w:tcPr>
                <w:tcW w:w="604" w:type="pct"/>
                <w:vAlign w:val="center"/>
              </w:tcPr>
              <w:p>
                <w:pPr>
                  <w:spacing w:line="240" w:lineRule="atLeast"/>
                  <w:jc w:val="right"/>
                  <w:rPr>
                    <w:rFonts w:ascii="宋体" w:hAnsi="宋体"/>
                  </w:rPr>
                </w:pPr>
                <w:r>
                  <w:rPr>
                    <w:rFonts w:ascii="宋体" w:hAnsi="宋体"/>
                  </w:rPr>
                  <w:t>212,439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vAlign w:val="center"/>
              </w:tcPr>
              <w:p>
                <w:pPr>
                  <w:spacing w:line="240" w:lineRule="atLeast"/>
                  <w:ind w:firstLine="422" w:firstLineChars="192"/>
                  <w:rPr>
                    <w:rFonts w:ascii="宋体" w:hAnsi="宋体"/>
                  </w:rPr>
                </w:pPr>
                <w:r>
                  <w:rPr>
                    <w:rFonts w:hint="eastAsia" w:ascii="宋体" w:hAnsi="宋体"/>
                    <w:sz w:val="22"/>
                    <w:szCs w:val="22"/>
                  </w:rPr>
                  <w:t>4.外币报表折算差额</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13,184</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r>
                  <w:rPr>
                    <w:rFonts w:ascii="宋体" w:hAnsi="宋体"/>
                  </w:rPr>
                  <w:t>13,184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ascii="宋体" w:hAnsi="宋体"/>
                  </w:rPr>
                  <w:t>5</w:t>
                </w:r>
                <w:r>
                  <w:rPr>
                    <w:rFonts w:hint="eastAsia" w:ascii="宋体" w:hAnsi="宋体"/>
                  </w:rPr>
                  <w:t>.</w:t>
                </w:r>
                <w:r>
                  <w:rPr>
                    <w:rFonts w:ascii="宋体" w:hAnsi="宋体"/>
                  </w:rPr>
                  <w:t>期末余额</w:t>
                </w:r>
              </w:p>
            </w:tc>
            <w:tc>
              <w:tcPr>
                <w:tcW w:w="672" w:type="pct"/>
                <w:vAlign w:val="center"/>
              </w:tcPr>
              <w:p>
                <w:pPr>
                  <w:spacing w:line="240" w:lineRule="atLeast"/>
                  <w:jc w:val="right"/>
                  <w:rPr>
                    <w:rFonts w:ascii="宋体" w:hAnsi="宋体"/>
                  </w:rPr>
                </w:pPr>
                <w:r>
                  <w:rPr>
                    <w:rFonts w:ascii="宋体" w:hAnsi="宋体"/>
                  </w:rPr>
                  <w:t>6,820</w:t>
                </w:r>
              </w:p>
            </w:tc>
            <w:tc>
              <w:tcPr>
                <w:tcW w:w="711" w:type="pct"/>
                <w:vAlign w:val="center"/>
              </w:tcPr>
              <w:p>
                <w:pPr>
                  <w:spacing w:line="240" w:lineRule="atLeast"/>
                  <w:jc w:val="right"/>
                  <w:rPr>
                    <w:rFonts w:ascii="宋体" w:hAnsi="宋体"/>
                  </w:rPr>
                </w:pPr>
                <w:r>
                  <w:rPr>
                    <w:rFonts w:ascii="宋体" w:hAnsi="宋体"/>
                  </w:rPr>
                  <w:t>6,436</w:t>
                </w:r>
              </w:p>
            </w:tc>
            <w:tc>
              <w:tcPr>
                <w:tcW w:w="698" w:type="pct"/>
                <w:vAlign w:val="center"/>
              </w:tcPr>
              <w:p>
                <w:pPr>
                  <w:spacing w:line="240" w:lineRule="atLeast"/>
                  <w:jc w:val="right"/>
                  <w:rPr>
                    <w:rFonts w:ascii="宋体" w:hAnsi="宋体"/>
                  </w:rPr>
                </w:pPr>
                <w:r>
                  <w:rPr>
                    <w:rFonts w:ascii="宋体" w:hAnsi="宋体"/>
                  </w:rPr>
                  <w:t>585,907</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r>
                  <w:rPr>
                    <w:rFonts w:ascii="宋体" w:hAnsi="宋体"/>
                  </w:rPr>
                  <w:t>7,430</w:t>
                </w:r>
              </w:p>
            </w:tc>
            <w:tc>
              <w:tcPr>
                <w:tcW w:w="604" w:type="pct"/>
                <w:vAlign w:val="center"/>
              </w:tcPr>
              <w:p>
                <w:pPr>
                  <w:spacing w:line="240" w:lineRule="atLeast"/>
                  <w:jc w:val="right"/>
                  <w:rPr>
                    <w:rFonts w:ascii="宋体" w:hAnsi="宋体"/>
                  </w:rPr>
                </w:pPr>
                <w:r>
                  <w:rPr>
                    <w:rFonts w:ascii="宋体" w:hAnsi="宋体"/>
                  </w:rPr>
                  <w:t>606,593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宋体" w:hAnsi="宋体"/>
                </w:rPr>
                <w:tag w:val="_PLD_a32c53282c7a49e1a1747c76e44e7471"/>
                <w:id w:val="455148311"/>
              </w:sdtPr>
              <w:sdtEndPr>
                <w:rPr>
                  <w:rFonts w:ascii="宋体" w:hAnsi="宋体"/>
                </w:rPr>
              </w:sdtEndPr>
              <w:sdtContent>
                <w:tc>
                  <w:tcPr>
                    <w:tcW w:w="5000" w:type="pct"/>
                    <w:gridSpan w:val="7"/>
                    <w:shd w:val="clear" w:color="auto" w:fill="auto"/>
                    <w:vAlign w:val="center"/>
                  </w:tcPr>
                  <w:p>
                    <w:pPr>
                      <w:spacing w:line="240" w:lineRule="atLeast"/>
                      <w:rPr>
                        <w:rFonts w:ascii="宋体" w:hAnsi="宋体"/>
                      </w:rPr>
                    </w:pPr>
                    <w:r>
                      <w:rPr>
                        <w:rFonts w:ascii="宋体" w:hAnsi="宋体"/>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hint="eastAsia" w:ascii="宋体" w:hAnsi="宋体"/>
                  </w:rPr>
                  <w:t>1.期</w:t>
                </w:r>
                <w:r>
                  <w:rPr>
                    <w:rFonts w:ascii="宋体" w:hAnsi="宋体"/>
                  </w:rPr>
                  <w:t>初余额</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127,235</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r>
                  <w:rPr>
                    <w:rFonts w:ascii="宋体" w:hAnsi="宋体"/>
                  </w:rPr>
                  <w:t>127,235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ascii="宋体" w:hAnsi="宋体"/>
                  </w:rPr>
                  <w:t>2.本期增加</w:t>
                </w:r>
                <w:r>
                  <w:rPr>
                    <w:rFonts w:hint="eastAsia" w:ascii="宋体" w:hAnsi="宋体"/>
                  </w:rPr>
                  <w:t>金额</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630" w:firstLineChars="300"/>
                  <w:rPr>
                    <w:rFonts w:ascii="宋体" w:hAnsi="宋体"/>
                  </w:rPr>
                </w:pPr>
                <w:r>
                  <w:rPr>
                    <w:rFonts w:ascii="宋体" w:hAnsi="宋体"/>
                  </w:rPr>
                  <w:t>(1)计提</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hint="eastAsia" w:ascii="宋体" w:hAnsi="宋体"/>
                  </w:rPr>
                  <w:t>3.</w:t>
                </w:r>
                <w:r>
                  <w:rPr>
                    <w:rFonts w:ascii="宋体" w:hAnsi="宋体"/>
                  </w:rPr>
                  <w:t>本期减少</w:t>
                </w:r>
                <w:r>
                  <w:rPr>
                    <w:rFonts w:hint="eastAsia" w:ascii="宋体" w:hAnsi="宋体"/>
                  </w:rPr>
                  <w:t>金额</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20,641</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r>
                  <w:rPr>
                    <w:rFonts w:ascii="宋体" w:hAnsi="宋体"/>
                  </w:rPr>
                  <w:t>20,641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630" w:firstLineChars="300"/>
                  <w:rPr>
                    <w:rFonts w:ascii="宋体" w:hAnsi="宋体"/>
                  </w:rPr>
                </w:pPr>
                <w:r>
                  <w:rPr>
                    <w:rFonts w:ascii="宋体" w:hAnsi="宋体"/>
                  </w:rPr>
                  <w:t>(1)</w:t>
                </w:r>
                <w:r>
                  <w:rPr>
                    <w:rFonts w:hint="eastAsia" w:ascii="宋体" w:hAnsi="宋体"/>
                  </w:rPr>
                  <w:t>处置</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vAlign w:val="center"/>
              </w:tcPr>
              <w:p>
                <w:pPr>
                  <w:spacing w:line="240" w:lineRule="atLeast"/>
                  <w:ind w:firstLine="660" w:firstLineChars="300"/>
                  <w:rPr>
                    <w:rFonts w:ascii="宋体" w:hAnsi="宋体"/>
                  </w:rPr>
                </w:pPr>
                <w:r>
                  <w:rPr>
                    <w:rFonts w:hint="eastAsia" w:ascii="宋体" w:hAnsi="宋体"/>
                    <w:sz w:val="22"/>
                    <w:szCs w:val="22"/>
                  </w:rPr>
                  <w:t>（2）其他减少</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20,641</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r>
                  <w:rPr>
                    <w:rFonts w:ascii="宋体" w:hAnsi="宋体"/>
                  </w:rPr>
                  <w:t>20,641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vAlign w:val="center"/>
              </w:tcPr>
              <w:p>
                <w:pPr>
                  <w:spacing w:line="240" w:lineRule="atLeast"/>
                  <w:ind w:firstLine="409" w:firstLineChars="186"/>
                  <w:rPr>
                    <w:rFonts w:ascii="宋体" w:hAnsi="宋体"/>
                  </w:rPr>
                </w:pPr>
                <w:r>
                  <w:rPr>
                    <w:rFonts w:hint="eastAsia" w:ascii="宋体" w:hAnsi="宋体"/>
                    <w:sz w:val="22"/>
                    <w:szCs w:val="22"/>
                  </w:rPr>
                  <w:t>4.外币报表折算差额</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3,343</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r>
                  <w:rPr>
                    <w:rFonts w:ascii="宋体" w:hAnsi="宋体"/>
                  </w:rPr>
                  <w:t>3,343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ind w:firstLine="420" w:firstLineChars="200"/>
                  <w:rPr>
                    <w:rFonts w:ascii="宋体" w:hAnsi="宋体"/>
                  </w:rPr>
                </w:pPr>
                <w:r>
                  <w:rPr>
                    <w:rFonts w:ascii="宋体" w:hAnsi="宋体"/>
                  </w:rPr>
                  <w:t>5</w:t>
                </w:r>
                <w:r>
                  <w:rPr>
                    <w:rFonts w:hint="eastAsia" w:ascii="宋体" w:hAnsi="宋体"/>
                  </w:rPr>
                  <w:t>.</w:t>
                </w:r>
                <w:r>
                  <w:rPr>
                    <w:rFonts w:ascii="宋体" w:hAnsi="宋体"/>
                  </w:rPr>
                  <w:t>期末余额</w:t>
                </w:r>
              </w:p>
            </w:tc>
            <w:tc>
              <w:tcPr>
                <w:tcW w:w="672" w:type="pct"/>
                <w:vAlign w:val="center"/>
              </w:tcPr>
              <w:p>
                <w:pPr>
                  <w:spacing w:line="240" w:lineRule="atLeast"/>
                  <w:jc w:val="right"/>
                  <w:rPr>
                    <w:rFonts w:ascii="宋体" w:hAnsi="宋体"/>
                  </w:rPr>
                </w:pP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109,937</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p>
            </w:tc>
            <w:tc>
              <w:tcPr>
                <w:tcW w:w="604" w:type="pct"/>
                <w:vAlign w:val="center"/>
              </w:tcPr>
              <w:p>
                <w:pPr>
                  <w:spacing w:line="240" w:lineRule="atLeast"/>
                  <w:jc w:val="right"/>
                  <w:rPr>
                    <w:rFonts w:ascii="宋体" w:hAnsi="宋体"/>
                  </w:rPr>
                </w:pPr>
                <w:r>
                  <w:rPr>
                    <w:rFonts w:ascii="宋体" w:hAnsi="宋体"/>
                  </w:rPr>
                  <w:t>109,937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宋体" w:hAnsi="宋体"/>
                </w:rPr>
                <w:tag w:val="_PLD_11c4f53648e149a88b6ff0ef5ef90dc8"/>
                <w:id w:val="-890955915"/>
              </w:sdtPr>
              <w:sdtEndPr>
                <w:rPr>
                  <w:rFonts w:ascii="宋体" w:hAnsi="宋体"/>
                </w:rPr>
              </w:sdtEndPr>
              <w:sdtContent>
                <w:tc>
                  <w:tcPr>
                    <w:tcW w:w="5000" w:type="pct"/>
                    <w:gridSpan w:val="7"/>
                    <w:shd w:val="clear" w:color="auto" w:fill="auto"/>
                    <w:vAlign w:val="center"/>
                  </w:tcPr>
                  <w:p>
                    <w:pPr>
                      <w:spacing w:line="240" w:lineRule="atLeast"/>
                      <w:rPr>
                        <w:rFonts w:ascii="宋体" w:hAnsi="宋体"/>
                      </w:rPr>
                    </w:pPr>
                    <w:r>
                      <w:rPr>
                        <w:rFonts w:ascii="宋体" w:hAnsi="宋体"/>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rPr>
                    <w:rFonts w:ascii="宋体" w:hAnsi="宋体"/>
                  </w:rPr>
                </w:pPr>
                <w:r>
                  <w:rPr>
                    <w:rFonts w:ascii="宋体" w:hAnsi="宋体"/>
                  </w:rPr>
                  <w:t xml:space="preserve">    1.期末账面价值</w:t>
                </w:r>
              </w:p>
            </w:tc>
            <w:tc>
              <w:tcPr>
                <w:tcW w:w="672" w:type="pct"/>
                <w:vAlign w:val="center"/>
              </w:tcPr>
              <w:p>
                <w:pPr>
                  <w:spacing w:line="240" w:lineRule="atLeast"/>
                  <w:jc w:val="right"/>
                  <w:rPr>
                    <w:rFonts w:ascii="宋体" w:hAnsi="宋体"/>
                  </w:rPr>
                </w:pPr>
                <w:r>
                  <w:rPr>
                    <w:rFonts w:ascii="宋体" w:hAnsi="宋体"/>
                  </w:rPr>
                  <w:t>10,425</w:t>
                </w:r>
              </w:p>
            </w:tc>
            <w:tc>
              <w:tcPr>
                <w:tcW w:w="711" w:type="pct"/>
                <w:vAlign w:val="center"/>
              </w:tcPr>
              <w:p>
                <w:pPr>
                  <w:spacing w:line="240" w:lineRule="atLeast"/>
                  <w:jc w:val="right"/>
                  <w:rPr>
                    <w:rFonts w:ascii="宋体" w:hAnsi="宋体"/>
                  </w:rPr>
                </w:pPr>
                <w:r>
                  <w:rPr>
                    <w:rFonts w:ascii="宋体" w:hAnsi="宋体"/>
                  </w:rPr>
                  <w:t>25,973</w:t>
                </w:r>
              </w:p>
            </w:tc>
            <w:tc>
              <w:tcPr>
                <w:tcW w:w="698" w:type="pct"/>
                <w:vAlign w:val="center"/>
              </w:tcPr>
              <w:p>
                <w:pPr>
                  <w:spacing w:line="240" w:lineRule="atLeast"/>
                  <w:jc w:val="right"/>
                  <w:rPr>
                    <w:rFonts w:ascii="宋体" w:hAnsi="宋体"/>
                  </w:rPr>
                </w:pPr>
                <w:r>
                  <w:rPr>
                    <w:rFonts w:ascii="宋体" w:hAnsi="宋体"/>
                  </w:rPr>
                  <w:t>574,364</w:t>
                </w:r>
              </w:p>
            </w:tc>
            <w:tc>
              <w:tcPr>
                <w:tcW w:w="708" w:type="pct"/>
                <w:vAlign w:val="center"/>
              </w:tcPr>
              <w:p>
                <w:pPr>
                  <w:spacing w:line="240" w:lineRule="atLeast"/>
                  <w:jc w:val="right"/>
                  <w:rPr>
                    <w:rFonts w:ascii="宋体" w:hAnsi="宋体"/>
                  </w:rPr>
                </w:pPr>
              </w:p>
            </w:tc>
            <w:tc>
              <w:tcPr>
                <w:tcW w:w="617" w:type="pct"/>
                <w:vAlign w:val="center"/>
              </w:tcPr>
              <w:p>
                <w:pPr>
                  <w:spacing w:line="240" w:lineRule="atLeast"/>
                  <w:jc w:val="right"/>
                  <w:rPr>
                    <w:rFonts w:ascii="宋体" w:hAnsi="宋体"/>
                  </w:rPr>
                </w:pPr>
                <w:r>
                  <w:rPr>
                    <w:rFonts w:ascii="宋体" w:hAnsi="宋体"/>
                  </w:rPr>
                  <w:t>6,030</w:t>
                </w:r>
              </w:p>
            </w:tc>
            <w:tc>
              <w:tcPr>
                <w:tcW w:w="604" w:type="pct"/>
                <w:vAlign w:val="center"/>
              </w:tcPr>
              <w:p>
                <w:pPr>
                  <w:spacing w:line="240" w:lineRule="atLeast"/>
                  <w:jc w:val="right"/>
                  <w:rPr>
                    <w:rFonts w:ascii="宋体" w:hAnsi="宋体"/>
                  </w:rPr>
                </w:pPr>
                <w:r>
                  <w:rPr>
                    <w:rFonts w:ascii="宋体" w:hAnsi="宋体"/>
                  </w:rPr>
                  <w:t>616,792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91" w:type="pct"/>
                <w:shd w:val="clear" w:color="auto" w:fill="auto"/>
                <w:vAlign w:val="center"/>
              </w:tcPr>
              <w:p>
                <w:pPr>
                  <w:spacing w:line="240" w:lineRule="atLeast"/>
                  <w:rPr>
                    <w:rFonts w:ascii="宋体" w:hAnsi="宋体"/>
                  </w:rPr>
                </w:pPr>
                <w:r>
                  <w:rPr>
                    <w:rFonts w:ascii="宋体" w:hAnsi="宋体"/>
                  </w:rPr>
                  <w:t xml:space="preserve">    2.期初账面价值</w:t>
                </w:r>
              </w:p>
            </w:tc>
            <w:tc>
              <w:tcPr>
                <w:tcW w:w="672" w:type="pct"/>
                <w:vAlign w:val="center"/>
              </w:tcPr>
              <w:p>
                <w:pPr>
                  <w:spacing w:line="240" w:lineRule="atLeast"/>
                  <w:jc w:val="right"/>
                  <w:rPr>
                    <w:rFonts w:ascii="宋体" w:hAnsi="宋体"/>
                  </w:rPr>
                </w:pPr>
                <w:r>
                  <w:rPr>
                    <w:rFonts w:ascii="宋体" w:hAnsi="宋体"/>
                  </w:rPr>
                  <w:t>8,702</w:t>
                </w:r>
              </w:p>
            </w:tc>
            <w:tc>
              <w:tcPr>
                <w:tcW w:w="711" w:type="pct"/>
                <w:vAlign w:val="center"/>
              </w:tcPr>
              <w:p>
                <w:pPr>
                  <w:spacing w:line="240" w:lineRule="atLeast"/>
                  <w:jc w:val="right"/>
                  <w:rPr>
                    <w:rFonts w:ascii="宋体" w:hAnsi="宋体"/>
                  </w:rPr>
                </w:pPr>
              </w:p>
            </w:tc>
            <w:tc>
              <w:tcPr>
                <w:tcW w:w="698" w:type="pct"/>
                <w:vAlign w:val="center"/>
              </w:tcPr>
              <w:p>
                <w:pPr>
                  <w:spacing w:line="240" w:lineRule="atLeast"/>
                  <w:jc w:val="right"/>
                  <w:rPr>
                    <w:rFonts w:ascii="宋体" w:hAnsi="宋体"/>
                  </w:rPr>
                </w:pPr>
                <w:r>
                  <w:rPr>
                    <w:rFonts w:ascii="宋体" w:hAnsi="宋体"/>
                  </w:rPr>
                  <w:t>705,188</w:t>
                </w:r>
              </w:p>
            </w:tc>
            <w:tc>
              <w:tcPr>
                <w:tcW w:w="708" w:type="pct"/>
                <w:vAlign w:val="center"/>
              </w:tcPr>
              <w:p>
                <w:pPr>
                  <w:spacing w:line="240" w:lineRule="atLeast"/>
                  <w:jc w:val="right"/>
                  <w:rPr>
                    <w:rFonts w:ascii="宋体" w:hAnsi="宋体"/>
                  </w:rPr>
                </w:pPr>
                <w:r>
                  <w:rPr>
                    <w:rFonts w:ascii="宋体" w:hAnsi="宋体"/>
                  </w:rPr>
                  <w:t>39,820</w:t>
                </w:r>
              </w:p>
            </w:tc>
            <w:tc>
              <w:tcPr>
                <w:tcW w:w="617" w:type="pct"/>
                <w:vAlign w:val="center"/>
              </w:tcPr>
              <w:p>
                <w:pPr>
                  <w:spacing w:line="240" w:lineRule="atLeast"/>
                  <w:jc w:val="right"/>
                  <w:rPr>
                    <w:rFonts w:ascii="宋体" w:hAnsi="宋体"/>
                  </w:rPr>
                </w:pPr>
                <w:r>
                  <w:rPr>
                    <w:rFonts w:ascii="宋体" w:hAnsi="宋体"/>
                  </w:rPr>
                  <w:t>25,240</w:t>
                </w:r>
              </w:p>
            </w:tc>
            <w:tc>
              <w:tcPr>
                <w:tcW w:w="604" w:type="pct"/>
                <w:vAlign w:val="center"/>
              </w:tcPr>
              <w:p>
                <w:pPr>
                  <w:spacing w:line="240" w:lineRule="atLeast"/>
                  <w:jc w:val="right"/>
                  <w:rPr>
                    <w:rFonts w:ascii="宋体" w:hAnsi="宋体"/>
                  </w:rPr>
                </w:pPr>
                <w:r>
                  <w:rPr>
                    <w:rFonts w:ascii="宋体" w:hAnsi="宋体"/>
                  </w:rPr>
                  <w:t>778,950</w:t>
                </w:r>
              </w:p>
            </w:tc>
          </w:tr>
        </w:tbl>
        <w:p>
          <w:pPr>
            <w:pStyle w:val="501"/>
          </w:pPr>
        </w:p>
      </w:sdtContent>
    </w:sdt>
    <w:p>
      <w:pPr>
        <w:pStyle w:val="505"/>
        <w:numPr>
          <w:ilvl w:val="0"/>
          <w:numId w:val="89"/>
        </w:numPr>
        <w:ind w:left="450" w:hanging="450"/>
      </w:pPr>
      <w:r>
        <w:rPr>
          <w:rFonts w:hint="eastAsia"/>
        </w:rPr>
        <w:t>使用权资产的减值测试情况</w:t>
      </w:r>
    </w:p>
    <w:sdt>
      <w:sdtPr>
        <w:alias w:val="是否适用：减值测试情况[双击切换]"/>
        <w:tag w:val="_GBC_3b3aabc5b9ad4e9896fb84bfd63b8c60"/>
        <w:id w:val="-1120536867"/>
      </w:sdtPr>
      <w:sdtContent>
        <w:p>
          <w:pPr>
            <w:pStyle w:val="501"/>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无形资产</w:t>
      </w:r>
    </w:p>
    <w:p>
      <w:pPr>
        <w:pStyle w:val="505"/>
        <w:numPr>
          <w:ilvl w:val="3"/>
          <w:numId w:val="90"/>
        </w:numPr>
        <w:ind w:left="426" w:hanging="426"/>
      </w:pPr>
      <w:r>
        <w:rPr>
          <w:rFonts w:hint="eastAsia"/>
        </w:rPr>
        <w:t>无形资产情况</w:t>
      </w:r>
    </w:p>
    <w:sdt>
      <w:sdtPr>
        <w:rPr>
          <w:rFonts w:hint="eastAsia"/>
        </w:rPr>
        <w:alias w:val="是否适用：无形资产情况[双击切换]"/>
        <w:tag w:val="_GBC_42237c7a99c64602a661c1668bc893bd"/>
        <w:id w:val="-529258042"/>
        <w:placeholder>
          <w:docPart w:val="GBC22222222222222222222222222222"/>
        </w:placeholder>
      </w:sdtPr>
      <w:sdtEndPr>
        <w:rPr>
          <w:rFonts w:hint="eastAsia"/>
        </w:rPr>
      </w:sdtEndPr>
      <w:sdtContent>
        <w:p>
          <w:pPr>
            <w:snapToGrid w:val="0"/>
            <w:spacing w:line="240" w:lineRule="atLeast"/>
          </w:pPr>
          <w:bookmarkStart w:id="297" w:name="_Hlk90557281"/>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napToGrid w:val="0"/>
        <w:spacing w:line="240" w:lineRule="atLeast"/>
        <w:jc w:val="right"/>
      </w:pPr>
      <w:r>
        <w:rPr>
          <w:rFonts w:hint="eastAsia"/>
        </w:rPr>
        <w:t>单位：</w:t>
      </w:r>
      <w:sdt>
        <w:sdtPr>
          <w:rPr>
            <w:rFonts w:hint="eastAsia"/>
          </w:rPr>
          <w:alias w:val="单位：财务附注：无形资产情况"/>
          <w:tag w:val="_GBC_37e64bddc8e645b48a19b4e7bafb7839"/>
          <w:id w:val="-5789045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无形资产情况"/>
          <w:tag w:val="_GBC_2c85ccef3cf1470c8cf657b14b474192"/>
          <w:id w:val="320087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1361"/>
        <w:gridCol w:w="1323"/>
        <w:gridCol w:w="1878"/>
        <w:gridCol w:w="1323"/>
        <w:gridCol w:w="1323"/>
        <w:gridCol w:w="1323"/>
        <w:gridCol w:w="1323"/>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sdt>
          <w:sdtPr>
            <w:rPr>
              <w:rFonts w:ascii="宋体" w:hAnsi="宋体"/>
            </w:rPr>
            <w:tag w:val="_PLD_0d0c5c4c9acf46eaa7c41a19eb731a5c"/>
            <w:id w:val="-1533408000"/>
          </w:sdtPr>
          <w:sdtEndPr>
            <w:rPr>
              <w:rFonts w:ascii="宋体" w:hAnsi="宋体"/>
            </w:rPr>
          </w:sdtEndPr>
          <w:sdtContent>
            <w:tc>
              <w:tcPr>
                <w:tcW w:w="784" w:type="pc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alias w:val="无形资产明细－项目"/>
            <w:tag w:val="_GBC_1a0001be34594900ba0c5e610a635d50"/>
            <w:id w:val="-146050517"/>
          </w:sdtPr>
          <w:sdtEndPr>
            <w:rPr>
              <w:rFonts w:hint="eastAsia" w:ascii="宋体" w:hAnsi="宋体"/>
            </w:rPr>
          </w:sdtEndPr>
          <w:sdtContent>
            <w:tc>
              <w:tcPr>
                <w:tcW w:w="483" w:type="pct"/>
                <w:shd w:val="clear" w:color="auto" w:fill="auto"/>
                <w:vAlign w:val="center"/>
              </w:tcPr>
              <w:p>
                <w:pPr>
                  <w:jc w:val="center"/>
                  <w:rPr>
                    <w:rFonts w:ascii="宋体" w:hAnsi="宋体"/>
                  </w:rPr>
                </w:pPr>
                <w:r>
                  <w:rPr>
                    <w:rFonts w:hint="eastAsia" w:ascii="宋体" w:hAnsi="宋体"/>
                  </w:rPr>
                  <w:t>采矿权</w:t>
                </w:r>
              </w:p>
            </w:tc>
          </w:sdtContent>
        </w:sdt>
        <w:sdt>
          <w:sdtPr>
            <w:rPr>
              <w:rFonts w:ascii="宋体" w:hAnsi="宋体"/>
            </w:rPr>
            <w:alias w:val="无形资产明细－项目"/>
            <w:tag w:val="_GBC_1a0001be34594900ba0c5e610a635d50"/>
            <w:id w:val="948811997"/>
          </w:sdtPr>
          <w:sdtEndPr>
            <w:rPr>
              <w:rFonts w:hint="eastAsia" w:ascii="宋体" w:hAnsi="宋体"/>
            </w:rPr>
          </w:sdtEndPr>
          <w:sdtContent>
            <w:tc>
              <w:tcPr>
                <w:tcW w:w="469" w:type="pct"/>
                <w:shd w:val="clear" w:color="auto" w:fill="auto"/>
                <w:vAlign w:val="center"/>
              </w:tcPr>
              <w:p>
                <w:pPr>
                  <w:jc w:val="center"/>
                  <w:rPr>
                    <w:rFonts w:ascii="宋体" w:hAnsi="宋体"/>
                  </w:rPr>
                </w:pPr>
                <w:r>
                  <w:rPr>
                    <w:rFonts w:hint="eastAsia" w:ascii="宋体" w:hAnsi="宋体"/>
                  </w:rPr>
                  <w:t>未探明矿区权益</w:t>
                </w:r>
              </w:p>
            </w:tc>
          </w:sdtContent>
        </w:sdt>
        <w:sdt>
          <w:sdtPr>
            <w:rPr>
              <w:rFonts w:ascii="宋体" w:hAnsi="宋体"/>
            </w:rPr>
            <w:tag w:val="_PLD_0dfc6d612ce04e4ab91d7f5c675c7954"/>
            <w:id w:val="1325861435"/>
          </w:sdtPr>
          <w:sdtEndPr>
            <w:rPr>
              <w:rFonts w:ascii="宋体" w:hAnsi="宋体"/>
            </w:rPr>
          </w:sdtEndPr>
          <w:sdtContent>
            <w:tc>
              <w:tcPr>
                <w:tcW w:w="666" w:type="pct"/>
                <w:shd w:val="clear" w:color="auto" w:fill="auto"/>
                <w:vAlign w:val="center"/>
              </w:tcPr>
              <w:p>
                <w:pPr>
                  <w:jc w:val="center"/>
                  <w:rPr>
                    <w:rFonts w:ascii="宋体" w:hAnsi="宋体"/>
                  </w:rPr>
                </w:pPr>
                <w:r>
                  <w:rPr>
                    <w:rFonts w:hint="eastAsia" w:ascii="宋体" w:hAnsi="宋体"/>
                  </w:rPr>
                  <w:t>土地使用权</w:t>
                </w:r>
              </w:p>
            </w:tc>
          </w:sdtContent>
        </w:sdt>
        <w:sdt>
          <w:sdtPr>
            <w:rPr>
              <w:rFonts w:ascii="宋体" w:hAnsi="宋体"/>
            </w:rPr>
            <w:alias w:val="无形资产明细－项目"/>
            <w:tag w:val="_GBC_1a0001be34594900ba0c5e610a635d50"/>
            <w:id w:val="-1238623893"/>
          </w:sdtPr>
          <w:sdtEndPr>
            <w:rPr>
              <w:rFonts w:hint="eastAsia" w:ascii="宋体" w:hAnsi="宋体"/>
            </w:rPr>
          </w:sdtEndPr>
          <w:sdtContent>
            <w:tc>
              <w:tcPr>
                <w:tcW w:w="469" w:type="pct"/>
                <w:shd w:val="clear" w:color="auto" w:fill="auto"/>
                <w:vAlign w:val="center"/>
              </w:tcPr>
              <w:p>
                <w:pPr>
                  <w:jc w:val="center"/>
                  <w:rPr>
                    <w:rFonts w:ascii="宋体" w:hAnsi="宋体"/>
                  </w:rPr>
                </w:pPr>
                <w:r>
                  <w:rPr>
                    <w:rFonts w:hint="eastAsia" w:ascii="宋体" w:hAnsi="宋体"/>
                  </w:rPr>
                  <w:t>专利和专有技术</w:t>
                </w:r>
              </w:p>
            </w:tc>
          </w:sdtContent>
        </w:sdt>
        <w:sdt>
          <w:sdtPr>
            <w:rPr>
              <w:rFonts w:ascii="宋体" w:hAnsi="宋体"/>
            </w:rPr>
            <w:alias w:val="无形资产明细－项目"/>
            <w:tag w:val="_GBC_1a0001be34594900ba0c5e610a635d50"/>
            <w:id w:val="1550564118"/>
          </w:sdtPr>
          <w:sdtEndPr>
            <w:rPr>
              <w:rFonts w:hint="eastAsia" w:ascii="宋体" w:hAnsi="宋体"/>
            </w:rPr>
          </w:sdtEndPr>
          <w:sdtContent>
            <w:tc>
              <w:tcPr>
                <w:tcW w:w="469" w:type="pct"/>
                <w:shd w:val="clear" w:color="auto" w:fill="auto"/>
                <w:vAlign w:val="center"/>
              </w:tcPr>
              <w:p>
                <w:pPr>
                  <w:jc w:val="center"/>
                  <w:rPr>
                    <w:rFonts w:ascii="宋体" w:hAnsi="宋体"/>
                  </w:rPr>
                </w:pPr>
                <w:r>
                  <w:rPr>
                    <w:rFonts w:hint="eastAsia" w:ascii="宋体" w:hAnsi="宋体"/>
                  </w:rPr>
                  <w:t>水资源使用权</w:t>
                </w:r>
              </w:p>
            </w:tc>
          </w:sdtContent>
        </w:sdt>
        <w:sdt>
          <w:sdtPr>
            <w:rPr>
              <w:rFonts w:ascii="宋体" w:hAnsi="宋体"/>
            </w:rPr>
            <w:alias w:val="无形资产明细－项目"/>
            <w:tag w:val="_GBC_1a0001be34594900ba0c5e610a635d50"/>
            <w:id w:val="-1819104273"/>
          </w:sdtPr>
          <w:sdtEndPr>
            <w:rPr>
              <w:rFonts w:hint="eastAsia" w:ascii="宋体" w:hAnsi="宋体"/>
            </w:rPr>
          </w:sdtEndPr>
          <w:sdtContent>
            <w:tc>
              <w:tcPr>
                <w:tcW w:w="469" w:type="pct"/>
                <w:shd w:val="clear" w:color="auto" w:fill="auto"/>
                <w:vAlign w:val="center"/>
              </w:tcPr>
              <w:p>
                <w:pPr>
                  <w:jc w:val="center"/>
                  <w:rPr>
                    <w:rFonts w:ascii="宋体" w:hAnsi="宋体"/>
                  </w:rPr>
                </w:pPr>
                <w:r>
                  <w:rPr>
                    <w:rFonts w:hint="eastAsia" w:ascii="宋体" w:hAnsi="宋体"/>
                  </w:rPr>
                  <w:t>产能置换</w:t>
                </w:r>
              </w:p>
            </w:tc>
          </w:sdtContent>
        </w:sdt>
        <w:sdt>
          <w:sdtPr>
            <w:rPr>
              <w:rFonts w:ascii="宋体" w:hAnsi="宋体"/>
            </w:rPr>
            <w:alias w:val="无形资产明细－项目"/>
            <w:tag w:val="_GBC_1a0001be34594900ba0c5e610a635d50"/>
            <w:id w:val="1299648999"/>
          </w:sdtPr>
          <w:sdtEndPr>
            <w:rPr>
              <w:rFonts w:hint="eastAsia" w:ascii="宋体" w:hAnsi="宋体"/>
            </w:rPr>
          </w:sdtEndPr>
          <w:sdtContent>
            <w:tc>
              <w:tcPr>
                <w:tcW w:w="469" w:type="pct"/>
                <w:shd w:val="clear" w:color="auto" w:fill="auto"/>
                <w:vAlign w:val="center"/>
              </w:tcPr>
              <w:p>
                <w:pPr>
                  <w:jc w:val="center"/>
                  <w:rPr>
                    <w:rFonts w:ascii="宋体" w:hAnsi="宋体"/>
                  </w:rPr>
                </w:pPr>
                <w:r>
                  <w:rPr>
                    <w:rFonts w:hint="eastAsia" w:ascii="宋体" w:hAnsi="宋体"/>
                  </w:rPr>
                  <w:t>计算机软件</w:t>
                </w:r>
              </w:p>
            </w:tc>
          </w:sdtContent>
        </w:sdt>
        <w:sdt>
          <w:sdtPr>
            <w:rPr>
              <w:rFonts w:ascii="宋体" w:hAnsi="宋体"/>
            </w:rPr>
            <w:tag w:val="_PLD_010a173744294c79817b77db863e3438"/>
            <w:id w:val="75479642"/>
          </w:sdtPr>
          <w:sdtEndPr>
            <w:rPr>
              <w:rFonts w:ascii="宋体" w:hAnsi="宋体"/>
            </w:rPr>
          </w:sdtEndPr>
          <w:sdtContent>
            <w:tc>
              <w:tcPr>
                <w:tcW w:w="718" w:type="pct"/>
                <w:shd w:val="clear" w:color="auto" w:fill="auto"/>
                <w:vAlign w:val="center"/>
              </w:tcPr>
              <w:p>
                <w:pPr>
                  <w:jc w:val="center"/>
                  <w:rPr>
                    <w:rFonts w:ascii="宋体" w:hAnsi="宋体"/>
                  </w:rPr>
                </w:pPr>
                <w:r>
                  <w:rPr>
                    <w:rFonts w:ascii="宋体" w:hAnsi="宋体"/>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宋体" w:hAnsi="宋体"/>
            </w:rPr>
            <w:tag w:val="_PLD_d38b2136312a4180852ade61efe6b93c"/>
            <w:id w:val="1942484119"/>
          </w:sdtPr>
          <w:sdtEndPr>
            <w:rPr>
              <w:rFonts w:ascii="宋体" w:hAnsi="宋体"/>
            </w:rPr>
          </w:sdtEndPr>
          <w:sdtContent>
            <w:tc>
              <w:tcPr>
                <w:tcW w:w="4996" w:type="pct"/>
                <w:gridSpan w:val="9"/>
                <w:shd w:val="clear" w:color="auto" w:fill="auto"/>
                <w:vAlign w:val="center"/>
              </w:tcPr>
              <w:p>
                <w:pPr>
                  <w:rPr>
                    <w:rFonts w:ascii="宋体" w:hAnsi="宋体"/>
                  </w:rPr>
                </w:pPr>
                <w:r>
                  <w:rPr>
                    <w:rFonts w:ascii="宋体" w:hAnsi="宋体"/>
                  </w:rPr>
                  <w:t>一、</w:t>
                </w:r>
                <w:r>
                  <w:rPr>
                    <w:rFonts w:hint="eastAsia" w:ascii="宋体" w:hAnsi="宋体"/>
                  </w:rPr>
                  <w:t>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rPr>
                <w:rFonts w:ascii="宋体" w:hAnsi="宋体"/>
              </w:rPr>
            </w:pPr>
            <w:r>
              <w:rPr>
                <w:rFonts w:ascii="宋体" w:hAnsi="宋体"/>
              </w:rPr>
              <w:t xml:space="preserve">    1.</w:t>
            </w:r>
            <w:r>
              <w:rPr>
                <w:rFonts w:hint="eastAsia" w:ascii="宋体" w:hAnsi="宋体"/>
              </w:rPr>
              <w:t>期</w:t>
            </w:r>
            <w:r>
              <w:rPr>
                <w:rFonts w:ascii="宋体" w:hAnsi="宋体"/>
              </w:rPr>
              <w:t>初余额</w:t>
            </w:r>
          </w:p>
        </w:tc>
        <w:tc>
          <w:tcPr>
            <w:tcW w:w="483" w:type="pct"/>
            <w:vAlign w:val="center"/>
          </w:tcPr>
          <w:p>
            <w:pPr>
              <w:jc w:val="right"/>
              <w:rPr>
                <w:rFonts w:ascii="宋体" w:hAnsi="宋体"/>
              </w:rPr>
            </w:pPr>
            <w:r>
              <w:rPr>
                <w:rFonts w:ascii="宋体" w:hAnsi="宋体"/>
              </w:rPr>
              <w:t>79,483,662</w:t>
            </w:r>
          </w:p>
        </w:tc>
        <w:tc>
          <w:tcPr>
            <w:tcW w:w="469" w:type="pct"/>
            <w:vAlign w:val="center"/>
          </w:tcPr>
          <w:p>
            <w:pPr>
              <w:jc w:val="right"/>
              <w:rPr>
                <w:rFonts w:ascii="宋体" w:hAnsi="宋体"/>
              </w:rPr>
            </w:pPr>
            <w:r>
              <w:rPr>
                <w:rFonts w:ascii="宋体" w:hAnsi="宋体"/>
              </w:rPr>
              <w:t>2,648,943</w:t>
            </w:r>
          </w:p>
        </w:tc>
        <w:tc>
          <w:tcPr>
            <w:tcW w:w="666" w:type="pct"/>
            <w:vAlign w:val="center"/>
          </w:tcPr>
          <w:p>
            <w:pPr>
              <w:jc w:val="right"/>
              <w:rPr>
                <w:rFonts w:ascii="宋体" w:hAnsi="宋体"/>
              </w:rPr>
            </w:pPr>
            <w:r>
              <w:rPr>
                <w:rFonts w:ascii="宋体" w:hAnsi="宋体"/>
              </w:rPr>
              <w:t>5,349,731</w:t>
            </w:r>
          </w:p>
        </w:tc>
        <w:tc>
          <w:tcPr>
            <w:tcW w:w="469" w:type="pct"/>
            <w:vAlign w:val="center"/>
          </w:tcPr>
          <w:p>
            <w:pPr>
              <w:jc w:val="right"/>
              <w:rPr>
                <w:rFonts w:ascii="宋体" w:hAnsi="宋体"/>
              </w:rPr>
            </w:pPr>
            <w:r>
              <w:rPr>
                <w:rFonts w:ascii="宋体" w:hAnsi="宋体"/>
              </w:rPr>
              <w:t>1,416,336</w:t>
            </w:r>
          </w:p>
        </w:tc>
        <w:tc>
          <w:tcPr>
            <w:tcW w:w="469" w:type="pct"/>
            <w:vAlign w:val="center"/>
          </w:tcPr>
          <w:p>
            <w:pPr>
              <w:jc w:val="right"/>
              <w:rPr>
                <w:rFonts w:ascii="宋体" w:hAnsi="宋体"/>
              </w:rPr>
            </w:pPr>
            <w:r>
              <w:rPr>
                <w:rFonts w:ascii="宋体" w:hAnsi="宋体"/>
              </w:rPr>
              <w:t>544,924</w:t>
            </w:r>
          </w:p>
        </w:tc>
        <w:tc>
          <w:tcPr>
            <w:tcW w:w="469" w:type="pct"/>
            <w:vAlign w:val="center"/>
          </w:tcPr>
          <w:p>
            <w:pPr>
              <w:jc w:val="right"/>
              <w:rPr>
                <w:rFonts w:ascii="宋体" w:hAnsi="宋体"/>
              </w:rPr>
            </w:pPr>
            <w:r>
              <w:rPr>
                <w:rFonts w:ascii="宋体" w:hAnsi="宋体"/>
              </w:rPr>
              <w:t>2,451,645</w:t>
            </w:r>
          </w:p>
        </w:tc>
        <w:tc>
          <w:tcPr>
            <w:tcW w:w="469" w:type="pct"/>
            <w:vAlign w:val="center"/>
          </w:tcPr>
          <w:p>
            <w:pPr>
              <w:jc w:val="right"/>
              <w:rPr>
                <w:rFonts w:ascii="宋体" w:hAnsi="宋体"/>
              </w:rPr>
            </w:pPr>
            <w:r>
              <w:rPr>
                <w:rFonts w:ascii="宋体" w:hAnsi="宋体"/>
              </w:rPr>
              <w:t>263,812</w:t>
            </w:r>
          </w:p>
        </w:tc>
        <w:tc>
          <w:tcPr>
            <w:tcW w:w="718" w:type="pct"/>
            <w:vAlign w:val="center"/>
          </w:tcPr>
          <w:p>
            <w:pPr>
              <w:jc w:val="right"/>
              <w:rPr>
                <w:rFonts w:ascii="宋体" w:hAnsi="宋体"/>
              </w:rPr>
            </w:pPr>
            <w:r>
              <w:rPr>
                <w:rFonts w:ascii="宋体" w:hAnsi="宋体"/>
              </w:rPr>
              <w:t>92,159,053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420" w:firstLineChars="200"/>
              <w:rPr>
                <w:rFonts w:ascii="宋体" w:hAnsi="宋体"/>
              </w:rPr>
            </w:pPr>
            <w:r>
              <w:rPr>
                <w:rFonts w:ascii="宋体" w:hAnsi="宋体"/>
              </w:rPr>
              <w:t>2.本期增加</w:t>
            </w:r>
            <w:r>
              <w:rPr>
                <w:rFonts w:hint="eastAsia" w:ascii="宋体" w:hAnsi="宋体"/>
              </w:rPr>
              <w:t>金额</w:t>
            </w:r>
          </w:p>
        </w:tc>
        <w:tc>
          <w:tcPr>
            <w:tcW w:w="483" w:type="pct"/>
            <w:vAlign w:val="center"/>
          </w:tcPr>
          <w:p>
            <w:pPr>
              <w:jc w:val="right"/>
              <w:rPr>
                <w:rFonts w:ascii="宋体" w:hAnsi="宋体"/>
              </w:rPr>
            </w:pPr>
            <w:r>
              <w:rPr>
                <w:rFonts w:ascii="宋体" w:hAnsi="宋体"/>
              </w:rPr>
              <w:t>587,953</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682,757</w:t>
            </w:r>
          </w:p>
        </w:tc>
        <w:tc>
          <w:tcPr>
            <w:tcW w:w="469" w:type="pct"/>
            <w:vAlign w:val="center"/>
          </w:tcPr>
          <w:p>
            <w:pPr>
              <w:jc w:val="right"/>
              <w:rPr>
                <w:rFonts w:ascii="宋体" w:hAnsi="宋体"/>
              </w:rPr>
            </w:pPr>
            <w:r>
              <w:rPr>
                <w:rFonts w:ascii="宋体" w:hAnsi="宋体"/>
              </w:rPr>
              <w:t>6,642</w:t>
            </w:r>
          </w:p>
        </w:tc>
        <w:tc>
          <w:tcPr>
            <w:tcW w:w="469" w:type="pct"/>
            <w:vAlign w:val="center"/>
          </w:tcPr>
          <w:p>
            <w:pPr>
              <w:jc w:val="right"/>
              <w:rPr>
                <w:rFonts w:ascii="宋体" w:hAnsi="宋体"/>
              </w:rPr>
            </w:pPr>
            <w:r>
              <w:rPr>
                <w:rFonts w:ascii="宋体" w:hAnsi="宋体"/>
              </w:rPr>
              <w:t>41,413</w:t>
            </w:r>
          </w:p>
        </w:tc>
        <w:tc>
          <w:tcPr>
            <w:tcW w:w="469" w:type="pct"/>
            <w:vAlign w:val="center"/>
          </w:tcPr>
          <w:p>
            <w:pPr>
              <w:jc w:val="right"/>
              <w:rPr>
                <w:rFonts w:ascii="宋体" w:hAnsi="宋体"/>
              </w:rPr>
            </w:pPr>
            <w:r>
              <w:rPr>
                <w:rFonts w:ascii="宋体" w:hAnsi="宋体"/>
              </w:rPr>
              <w:t>123,706</w:t>
            </w:r>
          </w:p>
        </w:tc>
        <w:tc>
          <w:tcPr>
            <w:tcW w:w="469" w:type="pct"/>
            <w:vAlign w:val="center"/>
          </w:tcPr>
          <w:p>
            <w:pPr>
              <w:jc w:val="right"/>
              <w:rPr>
                <w:rFonts w:ascii="宋体" w:hAnsi="宋体"/>
              </w:rPr>
            </w:pPr>
            <w:r>
              <w:rPr>
                <w:rFonts w:ascii="宋体" w:hAnsi="宋体"/>
              </w:rPr>
              <w:t>3,788</w:t>
            </w:r>
          </w:p>
        </w:tc>
        <w:tc>
          <w:tcPr>
            <w:tcW w:w="718" w:type="pct"/>
            <w:vAlign w:val="center"/>
          </w:tcPr>
          <w:p>
            <w:pPr>
              <w:jc w:val="right"/>
              <w:rPr>
                <w:rFonts w:ascii="宋体" w:hAnsi="宋体"/>
              </w:rPr>
            </w:pPr>
            <w:r>
              <w:rPr>
                <w:rFonts w:ascii="宋体" w:hAnsi="宋体"/>
              </w:rPr>
              <w:t>1,446,259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630" w:firstLineChars="300"/>
              <w:rPr>
                <w:rFonts w:ascii="宋体" w:hAnsi="宋体"/>
              </w:rPr>
            </w:pPr>
            <w:r>
              <w:rPr>
                <w:rFonts w:hint="eastAsia" w:ascii="宋体" w:hAnsi="宋体"/>
              </w:rPr>
              <w:t>（1）购置</w:t>
            </w:r>
          </w:p>
        </w:tc>
        <w:tc>
          <w:tcPr>
            <w:tcW w:w="483" w:type="pct"/>
            <w:vAlign w:val="center"/>
          </w:tcPr>
          <w:p>
            <w:pPr>
              <w:jc w:val="right"/>
              <w:rPr>
                <w:rFonts w:ascii="宋体" w:hAnsi="宋体"/>
              </w:rPr>
            </w:pPr>
            <w:r>
              <w:rPr>
                <w:rFonts w:ascii="宋体" w:hAnsi="宋体"/>
              </w:rPr>
              <w:t>419,521</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292,725</w:t>
            </w:r>
          </w:p>
        </w:tc>
        <w:tc>
          <w:tcPr>
            <w:tcW w:w="469" w:type="pct"/>
            <w:vAlign w:val="center"/>
          </w:tcPr>
          <w:p>
            <w:pPr>
              <w:jc w:val="right"/>
              <w:rPr>
                <w:rFonts w:ascii="宋体" w:hAnsi="宋体"/>
              </w:rPr>
            </w:pPr>
            <w:r>
              <w:rPr>
                <w:rFonts w:ascii="宋体" w:hAnsi="宋体"/>
              </w:rPr>
              <w:t>6,642</w:t>
            </w:r>
          </w:p>
        </w:tc>
        <w:tc>
          <w:tcPr>
            <w:tcW w:w="469" w:type="pct"/>
            <w:vAlign w:val="center"/>
          </w:tcPr>
          <w:p>
            <w:pPr>
              <w:jc w:val="right"/>
              <w:rPr>
                <w:rFonts w:ascii="宋体" w:hAnsi="宋体"/>
              </w:rPr>
            </w:pPr>
            <w:r>
              <w:rPr>
                <w:rFonts w:ascii="宋体" w:hAnsi="宋体"/>
              </w:rPr>
              <w:t>41,413</w:t>
            </w:r>
          </w:p>
        </w:tc>
        <w:tc>
          <w:tcPr>
            <w:tcW w:w="469" w:type="pct"/>
            <w:vAlign w:val="center"/>
          </w:tcPr>
          <w:p>
            <w:pPr>
              <w:jc w:val="right"/>
              <w:rPr>
                <w:rFonts w:ascii="宋体" w:hAnsi="宋体"/>
              </w:rPr>
            </w:pPr>
            <w:r>
              <w:rPr>
                <w:rFonts w:ascii="宋体" w:hAnsi="宋体"/>
              </w:rPr>
              <w:t>123,706</w:t>
            </w:r>
          </w:p>
        </w:tc>
        <w:tc>
          <w:tcPr>
            <w:tcW w:w="469" w:type="pct"/>
            <w:vAlign w:val="center"/>
          </w:tcPr>
          <w:p>
            <w:pPr>
              <w:jc w:val="right"/>
              <w:rPr>
                <w:rFonts w:ascii="宋体" w:hAnsi="宋体"/>
              </w:rPr>
            </w:pPr>
            <w:r>
              <w:rPr>
                <w:rFonts w:ascii="宋体" w:hAnsi="宋体"/>
              </w:rPr>
              <w:t>3,709</w:t>
            </w:r>
          </w:p>
        </w:tc>
        <w:tc>
          <w:tcPr>
            <w:tcW w:w="718" w:type="pct"/>
            <w:vAlign w:val="center"/>
          </w:tcPr>
          <w:p>
            <w:pPr>
              <w:jc w:val="right"/>
              <w:rPr>
                <w:rFonts w:ascii="宋体" w:hAnsi="宋体"/>
              </w:rPr>
            </w:pPr>
            <w:r>
              <w:rPr>
                <w:rFonts w:ascii="宋体" w:hAnsi="宋体"/>
              </w:rPr>
              <w:t>887,716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84" w:type="pct"/>
            <w:shd w:val="clear" w:color="auto" w:fill="auto"/>
          </w:tcPr>
          <w:p>
            <w:pPr>
              <w:ind w:firstLine="630" w:firstLineChars="300"/>
              <w:rPr>
                <w:rFonts w:ascii="宋体" w:hAnsi="宋体"/>
              </w:rPr>
            </w:pPr>
            <w:r>
              <w:rPr>
                <w:rFonts w:hint="eastAsia" w:ascii="宋体" w:hAnsi="宋体"/>
              </w:rPr>
              <w:t>（2）在建工程转入</w:t>
            </w:r>
          </w:p>
        </w:tc>
        <w:tc>
          <w:tcPr>
            <w:tcW w:w="483" w:type="pct"/>
            <w:vAlign w:val="center"/>
          </w:tcPr>
          <w:p>
            <w:pPr>
              <w:jc w:val="right"/>
              <w:rPr>
                <w:rFonts w:ascii="宋体" w:hAnsi="宋体"/>
              </w:rPr>
            </w:pPr>
            <w:r>
              <w:rPr>
                <w:rFonts w:ascii="宋体" w:hAnsi="宋体"/>
              </w:rPr>
              <w:t>168,432</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390,032</w:t>
            </w: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79</w:t>
            </w:r>
          </w:p>
        </w:tc>
        <w:tc>
          <w:tcPr>
            <w:tcW w:w="718" w:type="pct"/>
            <w:vAlign w:val="center"/>
          </w:tcPr>
          <w:p>
            <w:pPr>
              <w:jc w:val="right"/>
              <w:rPr>
                <w:rFonts w:ascii="宋体" w:hAnsi="宋体"/>
              </w:rPr>
            </w:pPr>
            <w:r>
              <w:rPr>
                <w:rFonts w:ascii="宋体" w:hAnsi="宋体"/>
              </w:rPr>
              <w:t>558,543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rPr>
                <w:rFonts w:ascii="宋体" w:hAnsi="宋体"/>
              </w:rPr>
            </w:pPr>
            <w:r>
              <w:rPr>
                <w:rFonts w:ascii="宋体" w:hAnsi="宋体"/>
              </w:rPr>
              <w:t xml:space="preserve">    3.本期减少</w:t>
            </w:r>
            <w:r>
              <w:rPr>
                <w:rFonts w:hint="eastAsia" w:ascii="宋体" w:hAnsi="宋体"/>
              </w:rPr>
              <w:t>金额</w:t>
            </w:r>
          </w:p>
        </w:tc>
        <w:tc>
          <w:tcPr>
            <w:tcW w:w="483" w:type="pct"/>
            <w:vAlign w:val="center"/>
          </w:tcPr>
          <w:p>
            <w:pPr>
              <w:jc w:val="right"/>
              <w:rPr>
                <w:rFonts w:ascii="宋体" w:hAnsi="宋体"/>
              </w:rPr>
            </w:pPr>
            <w:r>
              <w:rPr>
                <w:rFonts w:ascii="宋体" w:hAnsi="宋体"/>
              </w:rPr>
              <w:t>4,488</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2,873</w:t>
            </w: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440</w:t>
            </w:r>
          </w:p>
        </w:tc>
        <w:tc>
          <w:tcPr>
            <w:tcW w:w="718" w:type="pct"/>
            <w:vAlign w:val="center"/>
          </w:tcPr>
          <w:p>
            <w:pPr>
              <w:jc w:val="right"/>
              <w:rPr>
                <w:rFonts w:ascii="宋体" w:hAnsi="宋体"/>
              </w:rPr>
            </w:pPr>
            <w:r>
              <w:rPr>
                <w:rFonts w:ascii="宋体" w:hAnsi="宋体"/>
              </w:rPr>
              <w:t>7,801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630" w:firstLineChars="300"/>
              <w:rPr>
                <w:rFonts w:ascii="宋体" w:hAnsi="宋体"/>
              </w:rPr>
            </w:pPr>
            <w:r>
              <w:rPr>
                <w:rFonts w:hint="eastAsia" w:ascii="宋体" w:hAnsi="宋体"/>
              </w:rPr>
              <w:t>（1）处置</w:t>
            </w:r>
          </w:p>
        </w:tc>
        <w:tc>
          <w:tcPr>
            <w:tcW w:w="483" w:type="pct"/>
            <w:vAlign w:val="center"/>
          </w:tcPr>
          <w:p>
            <w:pPr>
              <w:jc w:val="right"/>
              <w:rPr>
                <w:rFonts w:ascii="宋体" w:hAnsi="宋体"/>
              </w:rPr>
            </w:pPr>
            <w:r>
              <w:rPr>
                <w:rFonts w:ascii="宋体" w:hAnsi="宋体"/>
              </w:rPr>
              <w:t>4,488</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2,873</w:t>
            </w: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440</w:t>
            </w:r>
          </w:p>
        </w:tc>
        <w:tc>
          <w:tcPr>
            <w:tcW w:w="718" w:type="pct"/>
            <w:vAlign w:val="center"/>
          </w:tcPr>
          <w:p>
            <w:pPr>
              <w:jc w:val="right"/>
              <w:rPr>
                <w:rFonts w:ascii="宋体" w:hAnsi="宋体"/>
              </w:rPr>
            </w:pPr>
            <w:r>
              <w:rPr>
                <w:rFonts w:ascii="宋体" w:hAnsi="宋体"/>
              </w:rPr>
              <w:t>7,801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4" w:type="pct"/>
            <w:shd w:val="clear" w:color="auto" w:fill="auto"/>
          </w:tcPr>
          <w:p>
            <w:pPr>
              <w:ind w:firstLine="422" w:firstLineChars="201"/>
              <w:rPr>
                <w:rFonts w:ascii="宋体" w:hAnsi="宋体"/>
              </w:rPr>
            </w:pPr>
            <w:r>
              <w:rPr>
                <w:rFonts w:hint="eastAsia" w:ascii="宋体" w:hAnsi="宋体"/>
              </w:rPr>
              <w:t>4.外币报表折算差额</w:t>
            </w:r>
          </w:p>
        </w:tc>
        <w:tc>
          <w:tcPr>
            <w:tcW w:w="483" w:type="pct"/>
            <w:vAlign w:val="center"/>
          </w:tcPr>
          <w:p>
            <w:pPr>
              <w:jc w:val="right"/>
              <w:rPr>
                <w:rFonts w:ascii="宋体" w:hAnsi="宋体"/>
              </w:rPr>
            </w:pPr>
            <w:r>
              <w:rPr>
                <w:rFonts w:ascii="宋体" w:hAnsi="宋体"/>
              </w:rPr>
              <w:t>904,075</w:t>
            </w:r>
          </w:p>
        </w:tc>
        <w:tc>
          <w:tcPr>
            <w:tcW w:w="469" w:type="pct"/>
            <w:vAlign w:val="center"/>
          </w:tcPr>
          <w:p>
            <w:pPr>
              <w:jc w:val="right"/>
              <w:rPr>
                <w:rFonts w:ascii="宋体" w:hAnsi="宋体"/>
              </w:rPr>
            </w:pPr>
            <w:r>
              <w:rPr>
                <w:rFonts w:ascii="宋体" w:hAnsi="宋体"/>
              </w:rPr>
              <w:t>75,638</w:t>
            </w:r>
          </w:p>
        </w:tc>
        <w:tc>
          <w:tcPr>
            <w:tcW w:w="666" w:type="pct"/>
            <w:vAlign w:val="center"/>
          </w:tcPr>
          <w:p>
            <w:pPr>
              <w:jc w:val="right"/>
              <w:rPr>
                <w:rFonts w:ascii="宋体" w:hAnsi="宋体"/>
              </w:rPr>
            </w:pPr>
            <w:r>
              <w:rPr>
                <w:rFonts w:ascii="宋体" w:hAnsi="宋体"/>
              </w:rPr>
              <w:t>3,509</w:t>
            </w:r>
          </w:p>
        </w:tc>
        <w:tc>
          <w:tcPr>
            <w:tcW w:w="469" w:type="pct"/>
            <w:vAlign w:val="center"/>
          </w:tcPr>
          <w:p>
            <w:pPr>
              <w:jc w:val="right"/>
              <w:rPr>
                <w:rFonts w:ascii="宋体" w:hAnsi="宋体"/>
              </w:rPr>
            </w:pPr>
            <w:r>
              <w:rPr>
                <w:rFonts w:ascii="宋体" w:hAnsi="宋体"/>
              </w:rPr>
              <w:t>3,366</w:t>
            </w:r>
          </w:p>
        </w:tc>
        <w:tc>
          <w:tcPr>
            <w:tcW w:w="469" w:type="pct"/>
            <w:vAlign w:val="center"/>
          </w:tcPr>
          <w:p>
            <w:pPr>
              <w:jc w:val="right"/>
              <w:rPr>
                <w:rFonts w:ascii="宋体" w:hAnsi="宋体"/>
              </w:rPr>
            </w:pPr>
            <w:r>
              <w:rPr>
                <w:rFonts w:ascii="宋体" w:hAnsi="宋体"/>
              </w:rPr>
              <w:t>7,057</w:t>
            </w: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5,299</w:t>
            </w:r>
          </w:p>
        </w:tc>
        <w:tc>
          <w:tcPr>
            <w:tcW w:w="718" w:type="pct"/>
            <w:vAlign w:val="center"/>
          </w:tcPr>
          <w:p>
            <w:pPr>
              <w:jc w:val="right"/>
              <w:rPr>
                <w:rFonts w:ascii="宋体" w:hAnsi="宋体"/>
              </w:rPr>
            </w:pPr>
            <w:r>
              <w:rPr>
                <w:rFonts w:ascii="宋体" w:hAnsi="宋体"/>
              </w:rPr>
              <w:t>998,944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rPr>
                <w:rFonts w:ascii="宋体" w:hAnsi="宋体"/>
              </w:rPr>
            </w:pPr>
            <w:r>
              <w:rPr>
                <w:rFonts w:ascii="宋体" w:hAnsi="宋体"/>
              </w:rPr>
              <w:t xml:space="preserve">   5.期末余额</w:t>
            </w:r>
          </w:p>
        </w:tc>
        <w:tc>
          <w:tcPr>
            <w:tcW w:w="483" w:type="pct"/>
            <w:vAlign w:val="center"/>
          </w:tcPr>
          <w:p>
            <w:pPr>
              <w:jc w:val="right"/>
              <w:rPr>
                <w:rFonts w:ascii="宋体" w:hAnsi="宋体"/>
              </w:rPr>
            </w:pPr>
            <w:r>
              <w:rPr>
                <w:rFonts w:ascii="宋体" w:hAnsi="宋体"/>
              </w:rPr>
              <w:t>80,971,202</w:t>
            </w:r>
          </w:p>
        </w:tc>
        <w:tc>
          <w:tcPr>
            <w:tcW w:w="469" w:type="pct"/>
            <w:vAlign w:val="center"/>
          </w:tcPr>
          <w:p>
            <w:pPr>
              <w:jc w:val="right"/>
              <w:rPr>
                <w:rFonts w:ascii="宋体" w:hAnsi="宋体"/>
              </w:rPr>
            </w:pPr>
            <w:r>
              <w:rPr>
                <w:rFonts w:ascii="宋体" w:hAnsi="宋体"/>
              </w:rPr>
              <w:t>2,724,581</w:t>
            </w:r>
          </w:p>
        </w:tc>
        <w:tc>
          <w:tcPr>
            <w:tcW w:w="666" w:type="pct"/>
            <w:vAlign w:val="center"/>
          </w:tcPr>
          <w:p>
            <w:pPr>
              <w:jc w:val="right"/>
              <w:rPr>
                <w:rFonts w:ascii="宋体" w:hAnsi="宋体"/>
              </w:rPr>
            </w:pPr>
            <w:r>
              <w:rPr>
                <w:rFonts w:ascii="宋体" w:hAnsi="宋体"/>
              </w:rPr>
              <w:t>6,033,124</w:t>
            </w:r>
          </w:p>
        </w:tc>
        <w:tc>
          <w:tcPr>
            <w:tcW w:w="469" w:type="pct"/>
            <w:vAlign w:val="center"/>
          </w:tcPr>
          <w:p>
            <w:pPr>
              <w:jc w:val="right"/>
              <w:rPr>
                <w:rFonts w:ascii="宋体" w:hAnsi="宋体"/>
              </w:rPr>
            </w:pPr>
            <w:r>
              <w:rPr>
                <w:rFonts w:ascii="宋体" w:hAnsi="宋体"/>
              </w:rPr>
              <w:t>1,426,344</w:t>
            </w:r>
          </w:p>
        </w:tc>
        <w:tc>
          <w:tcPr>
            <w:tcW w:w="469" w:type="pct"/>
            <w:vAlign w:val="center"/>
          </w:tcPr>
          <w:p>
            <w:pPr>
              <w:jc w:val="right"/>
              <w:rPr>
                <w:rFonts w:ascii="宋体" w:hAnsi="宋体"/>
              </w:rPr>
            </w:pPr>
            <w:r>
              <w:rPr>
                <w:rFonts w:ascii="宋体" w:hAnsi="宋体"/>
              </w:rPr>
              <w:t>593,394</w:t>
            </w:r>
          </w:p>
        </w:tc>
        <w:tc>
          <w:tcPr>
            <w:tcW w:w="469" w:type="pct"/>
            <w:vAlign w:val="center"/>
          </w:tcPr>
          <w:p>
            <w:pPr>
              <w:jc w:val="right"/>
              <w:rPr>
                <w:rFonts w:ascii="宋体" w:hAnsi="宋体"/>
              </w:rPr>
            </w:pPr>
            <w:r>
              <w:rPr>
                <w:rFonts w:ascii="宋体" w:hAnsi="宋体"/>
              </w:rPr>
              <w:t>2,575,351</w:t>
            </w:r>
          </w:p>
        </w:tc>
        <w:tc>
          <w:tcPr>
            <w:tcW w:w="469" w:type="pct"/>
            <w:vAlign w:val="center"/>
          </w:tcPr>
          <w:p>
            <w:pPr>
              <w:jc w:val="right"/>
              <w:rPr>
                <w:rFonts w:ascii="宋体" w:hAnsi="宋体"/>
              </w:rPr>
            </w:pPr>
            <w:r>
              <w:rPr>
                <w:rFonts w:ascii="宋体" w:hAnsi="宋体"/>
              </w:rPr>
              <w:t>272,459</w:t>
            </w:r>
          </w:p>
        </w:tc>
        <w:tc>
          <w:tcPr>
            <w:tcW w:w="718" w:type="pct"/>
            <w:vAlign w:val="center"/>
          </w:tcPr>
          <w:p>
            <w:pPr>
              <w:jc w:val="right"/>
              <w:rPr>
                <w:rFonts w:ascii="宋体" w:hAnsi="宋体"/>
              </w:rPr>
            </w:pPr>
            <w:r>
              <w:rPr>
                <w:rFonts w:ascii="宋体" w:hAnsi="宋体"/>
              </w:rPr>
              <w:t>94,596,455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宋体" w:hAnsi="宋体"/>
            </w:rPr>
            <w:tag w:val="_PLD_31b6b6971eff48bf893163f2b1779469"/>
            <w:id w:val="-1468659257"/>
          </w:sdtPr>
          <w:sdtEndPr>
            <w:rPr>
              <w:rFonts w:ascii="宋体" w:hAnsi="宋体"/>
            </w:rPr>
          </w:sdtEndPr>
          <w:sdtContent>
            <w:tc>
              <w:tcPr>
                <w:tcW w:w="4996" w:type="pct"/>
                <w:gridSpan w:val="9"/>
                <w:shd w:val="clear" w:color="auto" w:fill="auto"/>
                <w:vAlign w:val="center"/>
              </w:tcPr>
              <w:p>
                <w:pPr>
                  <w:rPr>
                    <w:rFonts w:ascii="宋体" w:hAnsi="宋体"/>
                  </w:rPr>
                </w:pPr>
                <w:r>
                  <w:rPr>
                    <w:rFonts w:ascii="宋体" w:hAnsi="宋体"/>
                  </w:rPr>
                  <w:t>二、累计</w:t>
                </w:r>
                <w:r>
                  <w:rPr>
                    <w:rFonts w:hint="eastAsia" w:ascii="宋体" w:hAnsi="宋体"/>
                  </w:rPr>
                  <w:t>摊销</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420" w:firstLineChars="200"/>
              <w:rPr>
                <w:rFonts w:ascii="宋体" w:hAnsi="宋体"/>
              </w:rPr>
            </w:pPr>
            <w:r>
              <w:rPr>
                <w:rFonts w:hint="eastAsia" w:ascii="宋体" w:hAnsi="宋体"/>
              </w:rPr>
              <w:t>1.期</w:t>
            </w:r>
            <w:r>
              <w:rPr>
                <w:rFonts w:ascii="宋体" w:hAnsi="宋体"/>
              </w:rPr>
              <w:t>初余额</w:t>
            </w:r>
          </w:p>
        </w:tc>
        <w:tc>
          <w:tcPr>
            <w:tcW w:w="483" w:type="pct"/>
            <w:vAlign w:val="center"/>
          </w:tcPr>
          <w:p>
            <w:pPr>
              <w:jc w:val="right"/>
              <w:rPr>
                <w:rFonts w:ascii="宋体" w:hAnsi="宋体"/>
              </w:rPr>
            </w:pPr>
            <w:r>
              <w:rPr>
                <w:rFonts w:ascii="宋体" w:hAnsi="宋体"/>
              </w:rPr>
              <w:t>18,656,983</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931,215</w:t>
            </w:r>
          </w:p>
        </w:tc>
        <w:tc>
          <w:tcPr>
            <w:tcW w:w="469" w:type="pct"/>
            <w:vAlign w:val="center"/>
          </w:tcPr>
          <w:p>
            <w:pPr>
              <w:jc w:val="right"/>
              <w:rPr>
                <w:rFonts w:ascii="宋体" w:hAnsi="宋体"/>
              </w:rPr>
            </w:pPr>
            <w:r>
              <w:rPr>
                <w:rFonts w:ascii="宋体" w:hAnsi="宋体"/>
              </w:rPr>
              <w:t>708,325</w:t>
            </w:r>
          </w:p>
        </w:tc>
        <w:tc>
          <w:tcPr>
            <w:tcW w:w="469" w:type="pct"/>
            <w:vAlign w:val="center"/>
          </w:tcPr>
          <w:p>
            <w:pPr>
              <w:jc w:val="right"/>
              <w:rPr>
                <w:rFonts w:ascii="宋体" w:hAnsi="宋体"/>
              </w:rPr>
            </w:pPr>
            <w:r>
              <w:rPr>
                <w:rFonts w:ascii="宋体" w:hAnsi="宋体"/>
              </w:rPr>
              <w:t>42,472</w:t>
            </w:r>
          </w:p>
        </w:tc>
        <w:tc>
          <w:tcPr>
            <w:tcW w:w="469" w:type="pct"/>
            <w:vAlign w:val="center"/>
          </w:tcPr>
          <w:p>
            <w:pPr>
              <w:jc w:val="right"/>
              <w:rPr>
                <w:rFonts w:ascii="宋体" w:hAnsi="宋体"/>
              </w:rPr>
            </w:pPr>
            <w:r>
              <w:rPr>
                <w:rFonts w:ascii="宋体" w:hAnsi="宋体"/>
              </w:rPr>
              <w:t>235,048</w:t>
            </w:r>
          </w:p>
        </w:tc>
        <w:tc>
          <w:tcPr>
            <w:tcW w:w="469" w:type="pct"/>
            <w:vAlign w:val="center"/>
          </w:tcPr>
          <w:p>
            <w:pPr>
              <w:jc w:val="right"/>
              <w:rPr>
                <w:rFonts w:ascii="宋体" w:hAnsi="宋体"/>
              </w:rPr>
            </w:pPr>
            <w:r>
              <w:rPr>
                <w:rFonts w:ascii="宋体" w:hAnsi="宋体"/>
              </w:rPr>
              <w:t>205,803</w:t>
            </w:r>
          </w:p>
        </w:tc>
        <w:tc>
          <w:tcPr>
            <w:tcW w:w="718" w:type="pct"/>
            <w:vAlign w:val="center"/>
          </w:tcPr>
          <w:p>
            <w:pPr>
              <w:jc w:val="right"/>
              <w:rPr>
                <w:rFonts w:ascii="宋体" w:hAnsi="宋体"/>
              </w:rPr>
            </w:pPr>
            <w:r>
              <w:rPr>
                <w:rFonts w:ascii="宋体" w:hAnsi="宋体"/>
              </w:rPr>
              <w:t>20,779,846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420" w:firstLineChars="200"/>
              <w:rPr>
                <w:rFonts w:ascii="宋体" w:hAnsi="宋体"/>
              </w:rPr>
            </w:pPr>
            <w:r>
              <w:rPr>
                <w:rFonts w:ascii="宋体" w:hAnsi="宋体"/>
              </w:rPr>
              <w:t>2.本期增加</w:t>
            </w:r>
            <w:r>
              <w:rPr>
                <w:rFonts w:hint="eastAsia" w:ascii="宋体" w:hAnsi="宋体"/>
              </w:rPr>
              <w:t>金额</w:t>
            </w:r>
          </w:p>
        </w:tc>
        <w:tc>
          <w:tcPr>
            <w:tcW w:w="483" w:type="pct"/>
            <w:vAlign w:val="center"/>
          </w:tcPr>
          <w:p>
            <w:pPr>
              <w:jc w:val="right"/>
              <w:rPr>
                <w:rFonts w:ascii="宋体" w:hAnsi="宋体"/>
              </w:rPr>
            </w:pPr>
            <w:r>
              <w:rPr>
                <w:rFonts w:ascii="宋体" w:hAnsi="宋体"/>
              </w:rPr>
              <w:t>2,584,670</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134,784</w:t>
            </w:r>
          </w:p>
        </w:tc>
        <w:tc>
          <w:tcPr>
            <w:tcW w:w="469" w:type="pct"/>
            <w:vAlign w:val="center"/>
          </w:tcPr>
          <w:p>
            <w:pPr>
              <w:jc w:val="right"/>
              <w:rPr>
                <w:rFonts w:ascii="宋体" w:hAnsi="宋体"/>
              </w:rPr>
            </w:pPr>
            <w:r>
              <w:rPr>
                <w:rFonts w:ascii="宋体" w:hAnsi="宋体"/>
              </w:rPr>
              <w:t>102,289</w:t>
            </w:r>
          </w:p>
        </w:tc>
        <w:tc>
          <w:tcPr>
            <w:tcW w:w="469" w:type="pct"/>
            <w:vAlign w:val="center"/>
          </w:tcPr>
          <w:p>
            <w:pPr>
              <w:jc w:val="right"/>
              <w:rPr>
                <w:rFonts w:ascii="宋体" w:hAnsi="宋体"/>
              </w:rPr>
            </w:pPr>
            <w:r>
              <w:rPr>
                <w:rFonts w:ascii="宋体" w:hAnsi="宋体"/>
              </w:rPr>
              <w:t>13,577</w:t>
            </w:r>
          </w:p>
        </w:tc>
        <w:tc>
          <w:tcPr>
            <w:tcW w:w="469" w:type="pct"/>
            <w:vAlign w:val="center"/>
          </w:tcPr>
          <w:p>
            <w:pPr>
              <w:jc w:val="right"/>
              <w:rPr>
                <w:rFonts w:ascii="宋体" w:hAnsi="宋体"/>
              </w:rPr>
            </w:pPr>
            <w:r>
              <w:rPr>
                <w:rFonts w:ascii="宋体" w:hAnsi="宋体"/>
              </w:rPr>
              <w:t>115,347</w:t>
            </w:r>
          </w:p>
        </w:tc>
        <w:tc>
          <w:tcPr>
            <w:tcW w:w="469" w:type="pct"/>
            <w:vAlign w:val="center"/>
          </w:tcPr>
          <w:p>
            <w:pPr>
              <w:jc w:val="right"/>
              <w:rPr>
                <w:rFonts w:ascii="宋体" w:hAnsi="宋体"/>
              </w:rPr>
            </w:pPr>
            <w:r>
              <w:rPr>
                <w:rFonts w:ascii="宋体" w:hAnsi="宋体"/>
              </w:rPr>
              <w:t>8,843</w:t>
            </w:r>
          </w:p>
        </w:tc>
        <w:tc>
          <w:tcPr>
            <w:tcW w:w="718" w:type="pct"/>
            <w:vAlign w:val="center"/>
          </w:tcPr>
          <w:p>
            <w:pPr>
              <w:jc w:val="right"/>
              <w:rPr>
                <w:rFonts w:ascii="宋体" w:hAnsi="宋体"/>
              </w:rPr>
            </w:pPr>
            <w:r>
              <w:rPr>
                <w:rFonts w:ascii="宋体" w:hAnsi="宋体"/>
              </w:rPr>
              <w:t>2,959,510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630" w:firstLineChars="300"/>
              <w:rPr>
                <w:rFonts w:ascii="宋体" w:hAnsi="宋体"/>
              </w:rPr>
            </w:pPr>
            <w:r>
              <w:rPr>
                <w:rFonts w:hint="eastAsia" w:ascii="宋体" w:hAnsi="宋体"/>
              </w:rPr>
              <w:t>（1）</w:t>
            </w:r>
            <w:r>
              <w:rPr>
                <w:rFonts w:ascii="宋体" w:hAnsi="宋体"/>
              </w:rPr>
              <w:t>计提</w:t>
            </w:r>
          </w:p>
        </w:tc>
        <w:tc>
          <w:tcPr>
            <w:tcW w:w="483" w:type="pct"/>
            <w:vAlign w:val="center"/>
          </w:tcPr>
          <w:p>
            <w:pPr>
              <w:jc w:val="right"/>
              <w:rPr>
                <w:rFonts w:ascii="宋体" w:hAnsi="宋体"/>
              </w:rPr>
            </w:pPr>
            <w:r>
              <w:rPr>
                <w:rFonts w:ascii="宋体" w:hAnsi="宋体"/>
              </w:rPr>
              <w:t>2,584,670</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134,784</w:t>
            </w:r>
          </w:p>
        </w:tc>
        <w:tc>
          <w:tcPr>
            <w:tcW w:w="469" w:type="pct"/>
            <w:vAlign w:val="center"/>
          </w:tcPr>
          <w:p>
            <w:pPr>
              <w:jc w:val="right"/>
              <w:rPr>
                <w:rFonts w:ascii="宋体" w:hAnsi="宋体"/>
              </w:rPr>
            </w:pPr>
            <w:r>
              <w:rPr>
                <w:rFonts w:ascii="宋体" w:hAnsi="宋体"/>
              </w:rPr>
              <w:t>102,289</w:t>
            </w:r>
          </w:p>
        </w:tc>
        <w:tc>
          <w:tcPr>
            <w:tcW w:w="469" w:type="pct"/>
            <w:vAlign w:val="center"/>
          </w:tcPr>
          <w:p>
            <w:pPr>
              <w:jc w:val="right"/>
              <w:rPr>
                <w:rFonts w:ascii="宋体" w:hAnsi="宋体"/>
              </w:rPr>
            </w:pPr>
            <w:r>
              <w:rPr>
                <w:rFonts w:ascii="宋体" w:hAnsi="宋体"/>
              </w:rPr>
              <w:t>13,577</w:t>
            </w:r>
          </w:p>
        </w:tc>
        <w:tc>
          <w:tcPr>
            <w:tcW w:w="469" w:type="pct"/>
            <w:vAlign w:val="center"/>
          </w:tcPr>
          <w:p>
            <w:pPr>
              <w:jc w:val="right"/>
              <w:rPr>
                <w:rFonts w:ascii="宋体" w:hAnsi="宋体"/>
              </w:rPr>
            </w:pPr>
            <w:r>
              <w:rPr>
                <w:rFonts w:ascii="宋体" w:hAnsi="宋体"/>
              </w:rPr>
              <w:t>115,347</w:t>
            </w:r>
          </w:p>
        </w:tc>
        <w:tc>
          <w:tcPr>
            <w:tcW w:w="469" w:type="pct"/>
            <w:vAlign w:val="center"/>
          </w:tcPr>
          <w:p>
            <w:pPr>
              <w:jc w:val="right"/>
              <w:rPr>
                <w:rFonts w:ascii="宋体" w:hAnsi="宋体"/>
              </w:rPr>
            </w:pPr>
            <w:r>
              <w:rPr>
                <w:rFonts w:ascii="宋体" w:hAnsi="宋体"/>
              </w:rPr>
              <w:t>8,843</w:t>
            </w:r>
          </w:p>
        </w:tc>
        <w:tc>
          <w:tcPr>
            <w:tcW w:w="718" w:type="pct"/>
            <w:vAlign w:val="center"/>
          </w:tcPr>
          <w:p>
            <w:pPr>
              <w:jc w:val="right"/>
              <w:rPr>
                <w:rFonts w:ascii="宋体" w:hAnsi="宋体"/>
              </w:rPr>
            </w:pPr>
            <w:r>
              <w:rPr>
                <w:rFonts w:ascii="宋体" w:hAnsi="宋体"/>
              </w:rPr>
              <w:t>2,959,510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420" w:firstLineChars="200"/>
              <w:rPr>
                <w:rFonts w:ascii="宋体" w:hAnsi="宋体"/>
              </w:rPr>
            </w:pPr>
            <w:r>
              <w:rPr>
                <w:rFonts w:hint="eastAsia" w:ascii="宋体" w:hAnsi="宋体"/>
              </w:rPr>
              <w:t>3.</w:t>
            </w:r>
            <w:r>
              <w:rPr>
                <w:rFonts w:ascii="宋体" w:hAnsi="宋体"/>
              </w:rPr>
              <w:t>本期减少</w:t>
            </w:r>
            <w:r>
              <w:rPr>
                <w:rFonts w:hint="eastAsia" w:ascii="宋体" w:hAnsi="宋体"/>
              </w:rPr>
              <w:t>金额</w:t>
            </w:r>
          </w:p>
        </w:tc>
        <w:tc>
          <w:tcPr>
            <w:tcW w:w="483" w:type="pct"/>
            <w:vAlign w:val="center"/>
          </w:tcPr>
          <w:p>
            <w:pPr>
              <w:jc w:val="right"/>
              <w:rPr>
                <w:rFonts w:ascii="宋体" w:hAnsi="宋体"/>
              </w:rPr>
            </w:pPr>
            <w:r>
              <w:rPr>
                <w:rFonts w:ascii="宋体" w:hAnsi="宋体"/>
              </w:rPr>
              <w:t>2,600</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1,621</w:t>
            </w: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356</w:t>
            </w:r>
          </w:p>
        </w:tc>
        <w:tc>
          <w:tcPr>
            <w:tcW w:w="718" w:type="pct"/>
            <w:vAlign w:val="center"/>
          </w:tcPr>
          <w:p>
            <w:pPr>
              <w:jc w:val="right"/>
              <w:rPr>
                <w:rFonts w:ascii="宋体" w:hAnsi="宋体"/>
              </w:rPr>
            </w:pPr>
            <w:r>
              <w:rPr>
                <w:rFonts w:ascii="宋体" w:hAnsi="宋体"/>
              </w:rPr>
              <w:t>4,577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84" w:type="pct"/>
            <w:shd w:val="clear" w:color="auto" w:fill="auto"/>
            <w:vAlign w:val="center"/>
          </w:tcPr>
          <w:p>
            <w:pPr>
              <w:ind w:firstLine="630" w:firstLineChars="300"/>
              <w:rPr>
                <w:rFonts w:ascii="宋体" w:hAnsi="宋体"/>
              </w:rPr>
            </w:pPr>
            <w:r>
              <w:rPr>
                <w:rFonts w:hint="eastAsia" w:ascii="宋体" w:hAnsi="宋体"/>
              </w:rPr>
              <w:t>（1）处置</w:t>
            </w:r>
          </w:p>
        </w:tc>
        <w:tc>
          <w:tcPr>
            <w:tcW w:w="483" w:type="pct"/>
            <w:vAlign w:val="center"/>
          </w:tcPr>
          <w:p>
            <w:pPr>
              <w:jc w:val="right"/>
              <w:rPr>
                <w:rFonts w:ascii="宋体" w:hAnsi="宋体"/>
              </w:rPr>
            </w:pPr>
            <w:r>
              <w:rPr>
                <w:rFonts w:ascii="宋体" w:hAnsi="宋体"/>
              </w:rPr>
              <w:t>2,600</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1,621</w:t>
            </w: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356</w:t>
            </w:r>
          </w:p>
        </w:tc>
        <w:tc>
          <w:tcPr>
            <w:tcW w:w="718" w:type="pct"/>
            <w:vAlign w:val="center"/>
          </w:tcPr>
          <w:p>
            <w:pPr>
              <w:jc w:val="right"/>
              <w:rPr>
                <w:rFonts w:ascii="宋体" w:hAnsi="宋体"/>
              </w:rPr>
            </w:pPr>
            <w:r>
              <w:rPr>
                <w:rFonts w:ascii="宋体" w:hAnsi="宋体"/>
              </w:rPr>
              <w:t>4,577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784" w:type="pct"/>
            <w:shd w:val="clear" w:color="auto" w:fill="auto"/>
          </w:tcPr>
          <w:p>
            <w:pPr>
              <w:ind w:firstLine="436" w:firstLineChars="208"/>
              <w:rPr>
                <w:rFonts w:ascii="宋体" w:hAnsi="宋体"/>
              </w:rPr>
            </w:pPr>
            <w:r>
              <w:rPr>
                <w:rFonts w:hint="eastAsia" w:ascii="宋体" w:hAnsi="宋体"/>
              </w:rPr>
              <w:t>4.外币报表折算差额</w:t>
            </w:r>
          </w:p>
        </w:tc>
        <w:tc>
          <w:tcPr>
            <w:tcW w:w="483" w:type="pct"/>
            <w:vAlign w:val="center"/>
          </w:tcPr>
          <w:p>
            <w:pPr>
              <w:jc w:val="right"/>
              <w:rPr>
                <w:rFonts w:ascii="宋体" w:hAnsi="宋体"/>
              </w:rPr>
            </w:pPr>
            <w:r>
              <w:rPr>
                <w:rFonts w:ascii="宋体" w:hAnsi="宋体"/>
              </w:rPr>
              <w:t>334,509</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920</w:t>
            </w: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4,473</w:t>
            </w:r>
          </w:p>
        </w:tc>
        <w:tc>
          <w:tcPr>
            <w:tcW w:w="718" w:type="pct"/>
            <w:vAlign w:val="center"/>
          </w:tcPr>
          <w:p>
            <w:pPr>
              <w:jc w:val="right"/>
              <w:rPr>
                <w:rFonts w:ascii="宋体" w:hAnsi="宋体"/>
              </w:rPr>
            </w:pPr>
            <w:r>
              <w:rPr>
                <w:rFonts w:ascii="宋体" w:hAnsi="宋体"/>
              </w:rPr>
              <w:t>339,902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420" w:firstLineChars="200"/>
              <w:rPr>
                <w:rFonts w:ascii="宋体" w:hAnsi="宋体"/>
              </w:rPr>
            </w:pPr>
            <w:r>
              <w:rPr>
                <w:rFonts w:ascii="宋体" w:hAnsi="宋体"/>
              </w:rPr>
              <w:t>5</w:t>
            </w:r>
            <w:r>
              <w:rPr>
                <w:rFonts w:hint="eastAsia" w:ascii="宋体" w:hAnsi="宋体"/>
              </w:rPr>
              <w:t>.</w:t>
            </w:r>
            <w:r>
              <w:rPr>
                <w:rFonts w:ascii="宋体" w:hAnsi="宋体"/>
              </w:rPr>
              <w:t>期末余额</w:t>
            </w:r>
          </w:p>
        </w:tc>
        <w:tc>
          <w:tcPr>
            <w:tcW w:w="483" w:type="pct"/>
            <w:vAlign w:val="center"/>
          </w:tcPr>
          <w:p>
            <w:pPr>
              <w:jc w:val="right"/>
              <w:rPr>
                <w:rFonts w:ascii="宋体" w:hAnsi="宋体"/>
              </w:rPr>
            </w:pPr>
            <w:r>
              <w:rPr>
                <w:rFonts w:ascii="宋体" w:hAnsi="宋体"/>
              </w:rPr>
              <w:t>21,573,562</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1,065,298</w:t>
            </w:r>
          </w:p>
        </w:tc>
        <w:tc>
          <w:tcPr>
            <w:tcW w:w="469" w:type="pct"/>
            <w:vAlign w:val="center"/>
          </w:tcPr>
          <w:p>
            <w:pPr>
              <w:jc w:val="right"/>
              <w:rPr>
                <w:rFonts w:ascii="宋体" w:hAnsi="宋体"/>
              </w:rPr>
            </w:pPr>
            <w:r>
              <w:rPr>
                <w:rFonts w:ascii="宋体" w:hAnsi="宋体"/>
              </w:rPr>
              <w:t>810,614</w:t>
            </w:r>
          </w:p>
        </w:tc>
        <w:tc>
          <w:tcPr>
            <w:tcW w:w="469" w:type="pct"/>
            <w:vAlign w:val="center"/>
          </w:tcPr>
          <w:p>
            <w:pPr>
              <w:jc w:val="right"/>
              <w:rPr>
                <w:rFonts w:ascii="宋体" w:hAnsi="宋体"/>
              </w:rPr>
            </w:pPr>
            <w:r>
              <w:rPr>
                <w:rFonts w:ascii="宋体" w:hAnsi="宋体"/>
              </w:rPr>
              <w:t>56,049</w:t>
            </w:r>
          </w:p>
        </w:tc>
        <w:tc>
          <w:tcPr>
            <w:tcW w:w="469" w:type="pct"/>
            <w:vAlign w:val="center"/>
          </w:tcPr>
          <w:p>
            <w:pPr>
              <w:jc w:val="right"/>
              <w:rPr>
                <w:rFonts w:ascii="宋体" w:hAnsi="宋体"/>
              </w:rPr>
            </w:pPr>
            <w:r>
              <w:rPr>
                <w:rFonts w:ascii="宋体" w:hAnsi="宋体"/>
              </w:rPr>
              <w:t>350,395</w:t>
            </w:r>
          </w:p>
        </w:tc>
        <w:tc>
          <w:tcPr>
            <w:tcW w:w="469" w:type="pct"/>
            <w:vAlign w:val="center"/>
          </w:tcPr>
          <w:p>
            <w:pPr>
              <w:jc w:val="right"/>
              <w:rPr>
                <w:rFonts w:ascii="宋体" w:hAnsi="宋体"/>
              </w:rPr>
            </w:pPr>
            <w:r>
              <w:rPr>
                <w:rFonts w:ascii="宋体" w:hAnsi="宋体"/>
              </w:rPr>
              <w:t>218,763</w:t>
            </w:r>
          </w:p>
        </w:tc>
        <w:tc>
          <w:tcPr>
            <w:tcW w:w="718" w:type="pct"/>
            <w:vAlign w:val="center"/>
          </w:tcPr>
          <w:p>
            <w:pPr>
              <w:jc w:val="right"/>
              <w:rPr>
                <w:rFonts w:ascii="宋体" w:hAnsi="宋体"/>
              </w:rPr>
            </w:pPr>
            <w:r>
              <w:rPr>
                <w:rFonts w:ascii="宋体" w:hAnsi="宋体"/>
              </w:rPr>
              <w:t>24,074,681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宋体" w:hAnsi="宋体"/>
            </w:rPr>
            <w:tag w:val="_PLD_f7d5f180eba449a29a01985d504a8cad"/>
            <w:id w:val="1658957791"/>
          </w:sdtPr>
          <w:sdtEndPr>
            <w:rPr>
              <w:rFonts w:ascii="宋体" w:hAnsi="宋体"/>
            </w:rPr>
          </w:sdtEndPr>
          <w:sdtContent>
            <w:tc>
              <w:tcPr>
                <w:tcW w:w="4996" w:type="pct"/>
                <w:gridSpan w:val="9"/>
                <w:shd w:val="clear" w:color="auto" w:fill="auto"/>
                <w:vAlign w:val="center"/>
              </w:tcPr>
              <w:p>
                <w:pPr>
                  <w:rPr>
                    <w:rFonts w:ascii="宋体" w:hAnsi="宋体"/>
                  </w:rPr>
                </w:pPr>
                <w:r>
                  <w:rPr>
                    <w:rFonts w:ascii="宋体" w:hAnsi="宋体"/>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420" w:firstLineChars="200"/>
              <w:rPr>
                <w:rFonts w:ascii="宋体" w:hAnsi="宋体"/>
              </w:rPr>
            </w:pPr>
            <w:r>
              <w:rPr>
                <w:rFonts w:hint="eastAsia" w:ascii="宋体" w:hAnsi="宋体"/>
              </w:rPr>
              <w:t>1.期</w:t>
            </w:r>
            <w:r>
              <w:rPr>
                <w:rFonts w:ascii="宋体" w:hAnsi="宋体"/>
              </w:rPr>
              <w:t>初余额</w:t>
            </w:r>
          </w:p>
        </w:tc>
        <w:tc>
          <w:tcPr>
            <w:tcW w:w="483" w:type="pct"/>
            <w:vAlign w:val="center"/>
          </w:tcPr>
          <w:p>
            <w:pPr>
              <w:jc w:val="right"/>
              <w:rPr>
                <w:rFonts w:ascii="宋体" w:hAnsi="宋体"/>
              </w:rPr>
            </w:pPr>
            <w:r>
              <w:rPr>
                <w:rFonts w:ascii="宋体" w:hAnsi="宋体"/>
              </w:rPr>
              <w:t>3,241,608</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2,517</w:t>
            </w:r>
          </w:p>
        </w:tc>
        <w:tc>
          <w:tcPr>
            <w:tcW w:w="469" w:type="pct"/>
            <w:vAlign w:val="center"/>
          </w:tcPr>
          <w:p>
            <w:pPr>
              <w:jc w:val="right"/>
              <w:rPr>
                <w:rFonts w:ascii="宋体" w:hAnsi="宋体"/>
              </w:rPr>
            </w:pPr>
            <w:r>
              <w:rPr>
                <w:rFonts w:ascii="宋体" w:hAnsi="宋体"/>
              </w:rPr>
              <w:t>127,165</w:t>
            </w:r>
          </w:p>
        </w:tc>
        <w:tc>
          <w:tcPr>
            <w:tcW w:w="469" w:type="pct"/>
            <w:vAlign w:val="center"/>
          </w:tcPr>
          <w:p>
            <w:pPr>
              <w:jc w:val="right"/>
              <w:rPr>
                <w:rFonts w:ascii="宋体" w:hAnsi="宋体"/>
              </w:rPr>
            </w:pPr>
            <w:r>
              <w:rPr>
                <w:rFonts w:ascii="宋体" w:hAnsi="宋体"/>
              </w:rPr>
              <w:t>26,397</w:t>
            </w: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835</w:t>
            </w:r>
          </w:p>
        </w:tc>
        <w:tc>
          <w:tcPr>
            <w:tcW w:w="718" w:type="pct"/>
            <w:vAlign w:val="center"/>
          </w:tcPr>
          <w:p>
            <w:pPr>
              <w:jc w:val="right"/>
              <w:rPr>
                <w:rFonts w:ascii="宋体" w:hAnsi="宋体"/>
              </w:rPr>
            </w:pPr>
            <w:r>
              <w:rPr>
                <w:rFonts w:ascii="宋体" w:hAnsi="宋体"/>
              </w:rPr>
              <w:t>3,398,522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420" w:firstLineChars="200"/>
              <w:rPr>
                <w:rFonts w:ascii="宋体" w:hAnsi="宋体"/>
              </w:rPr>
            </w:pPr>
            <w:r>
              <w:rPr>
                <w:rFonts w:ascii="宋体" w:hAnsi="宋体"/>
              </w:rPr>
              <w:t>2.本期增加</w:t>
            </w:r>
            <w:r>
              <w:rPr>
                <w:rFonts w:hint="eastAsia" w:ascii="宋体" w:hAnsi="宋体"/>
              </w:rPr>
              <w:t>金额</w:t>
            </w:r>
          </w:p>
        </w:tc>
        <w:tc>
          <w:tcPr>
            <w:tcW w:w="483" w:type="pct"/>
            <w:vAlign w:val="center"/>
          </w:tcPr>
          <w:p>
            <w:pPr>
              <w:jc w:val="right"/>
              <w:rPr>
                <w:rFonts w:ascii="宋体" w:hAnsi="宋体"/>
              </w:rPr>
            </w:pPr>
          </w:p>
        </w:tc>
        <w:tc>
          <w:tcPr>
            <w:tcW w:w="469" w:type="pct"/>
            <w:vAlign w:val="center"/>
          </w:tcPr>
          <w:p>
            <w:pPr>
              <w:jc w:val="right"/>
              <w:rPr>
                <w:rFonts w:ascii="宋体" w:hAnsi="宋体"/>
              </w:rPr>
            </w:pPr>
          </w:p>
        </w:tc>
        <w:tc>
          <w:tcPr>
            <w:tcW w:w="666"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718"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630" w:firstLineChars="300"/>
              <w:rPr>
                <w:rFonts w:ascii="宋体" w:hAnsi="宋体"/>
              </w:rPr>
            </w:pPr>
            <w:r>
              <w:rPr>
                <w:rFonts w:hint="eastAsia" w:ascii="宋体" w:hAnsi="宋体"/>
              </w:rPr>
              <w:t>（1）</w:t>
            </w:r>
            <w:r>
              <w:rPr>
                <w:rFonts w:ascii="宋体" w:hAnsi="宋体"/>
              </w:rPr>
              <w:t>计提</w:t>
            </w:r>
          </w:p>
        </w:tc>
        <w:tc>
          <w:tcPr>
            <w:tcW w:w="483" w:type="pct"/>
            <w:vAlign w:val="center"/>
          </w:tcPr>
          <w:p>
            <w:pPr>
              <w:jc w:val="right"/>
              <w:rPr>
                <w:rFonts w:ascii="宋体" w:hAnsi="宋体"/>
              </w:rPr>
            </w:pPr>
          </w:p>
        </w:tc>
        <w:tc>
          <w:tcPr>
            <w:tcW w:w="469" w:type="pct"/>
            <w:vAlign w:val="center"/>
          </w:tcPr>
          <w:p>
            <w:pPr>
              <w:jc w:val="right"/>
              <w:rPr>
                <w:rFonts w:ascii="宋体" w:hAnsi="宋体"/>
              </w:rPr>
            </w:pPr>
          </w:p>
        </w:tc>
        <w:tc>
          <w:tcPr>
            <w:tcW w:w="666"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718"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420" w:firstLineChars="200"/>
              <w:rPr>
                <w:rFonts w:ascii="宋体" w:hAnsi="宋体"/>
              </w:rPr>
            </w:pPr>
            <w:r>
              <w:rPr>
                <w:rFonts w:hint="eastAsia" w:ascii="宋体" w:hAnsi="宋体"/>
              </w:rPr>
              <w:t>3.</w:t>
            </w:r>
            <w:r>
              <w:rPr>
                <w:rFonts w:ascii="宋体" w:hAnsi="宋体"/>
              </w:rPr>
              <w:t>本期减少</w:t>
            </w:r>
            <w:r>
              <w:rPr>
                <w:rFonts w:hint="eastAsia" w:ascii="宋体" w:hAnsi="宋体"/>
              </w:rPr>
              <w:t>金额</w:t>
            </w:r>
          </w:p>
        </w:tc>
        <w:tc>
          <w:tcPr>
            <w:tcW w:w="483" w:type="pct"/>
            <w:vAlign w:val="center"/>
          </w:tcPr>
          <w:p>
            <w:pPr>
              <w:jc w:val="right"/>
              <w:rPr>
                <w:rFonts w:ascii="宋体" w:hAnsi="宋体"/>
              </w:rPr>
            </w:pPr>
            <w:r>
              <w:rPr>
                <w:rFonts w:ascii="宋体" w:hAnsi="宋体"/>
              </w:rPr>
              <w:t>76,605</w:t>
            </w:r>
          </w:p>
        </w:tc>
        <w:tc>
          <w:tcPr>
            <w:tcW w:w="469" w:type="pct"/>
            <w:vAlign w:val="center"/>
          </w:tcPr>
          <w:p>
            <w:pPr>
              <w:jc w:val="right"/>
              <w:rPr>
                <w:rFonts w:ascii="宋体" w:hAnsi="宋体"/>
              </w:rPr>
            </w:pPr>
          </w:p>
        </w:tc>
        <w:tc>
          <w:tcPr>
            <w:tcW w:w="666"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hint="eastAsia" w:ascii="宋体" w:hAnsi="宋体"/>
              </w:rPr>
              <w:t>4</w:t>
            </w:r>
            <w:r>
              <w:rPr>
                <w:rFonts w:ascii="宋体" w:hAnsi="宋体"/>
              </w:rPr>
              <w:t>38</w:t>
            </w:r>
          </w:p>
        </w:tc>
        <w:tc>
          <w:tcPr>
            <w:tcW w:w="718" w:type="pct"/>
            <w:vAlign w:val="center"/>
          </w:tcPr>
          <w:p>
            <w:pPr>
              <w:jc w:val="right"/>
              <w:rPr>
                <w:rFonts w:ascii="宋体" w:hAnsi="宋体"/>
              </w:rPr>
            </w:pPr>
            <w:r>
              <w:rPr>
                <w:rFonts w:ascii="宋体" w:hAnsi="宋体"/>
              </w:rPr>
              <w:t>77,043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84" w:type="pct"/>
            <w:shd w:val="clear" w:color="auto" w:fill="auto"/>
          </w:tcPr>
          <w:p>
            <w:pPr>
              <w:ind w:firstLine="630" w:firstLineChars="300"/>
              <w:rPr>
                <w:rFonts w:ascii="宋体" w:hAnsi="宋体"/>
              </w:rPr>
            </w:pPr>
            <w:r>
              <w:rPr>
                <w:rFonts w:hint="eastAsia" w:ascii="宋体" w:hAnsi="宋体"/>
              </w:rPr>
              <w:t>（</w:t>
            </w:r>
            <w:r>
              <w:rPr>
                <w:rFonts w:ascii="宋体" w:hAnsi="宋体"/>
              </w:rPr>
              <w:t>1</w:t>
            </w:r>
            <w:r>
              <w:rPr>
                <w:rFonts w:hint="eastAsia" w:ascii="宋体" w:hAnsi="宋体"/>
              </w:rPr>
              <w:t xml:space="preserve">）其他减少  </w:t>
            </w:r>
          </w:p>
        </w:tc>
        <w:tc>
          <w:tcPr>
            <w:tcW w:w="483" w:type="pct"/>
            <w:vAlign w:val="center"/>
          </w:tcPr>
          <w:p>
            <w:pPr>
              <w:jc w:val="right"/>
              <w:rPr>
                <w:rFonts w:ascii="宋体" w:hAnsi="宋体"/>
              </w:rPr>
            </w:pPr>
            <w:r>
              <w:rPr>
                <w:rFonts w:ascii="宋体" w:hAnsi="宋体"/>
              </w:rPr>
              <w:t>76,605</w:t>
            </w:r>
          </w:p>
        </w:tc>
        <w:tc>
          <w:tcPr>
            <w:tcW w:w="469" w:type="pct"/>
            <w:vAlign w:val="center"/>
          </w:tcPr>
          <w:p>
            <w:pPr>
              <w:jc w:val="right"/>
              <w:rPr>
                <w:rFonts w:ascii="宋体" w:hAnsi="宋体"/>
              </w:rPr>
            </w:pPr>
          </w:p>
        </w:tc>
        <w:tc>
          <w:tcPr>
            <w:tcW w:w="666"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438</w:t>
            </w:r>
          </w:p>
        </w:tc>
        <w:tc>
          <w:tcPr>
            <w:tcW w:w="718" w:type="pct"/>
            <w:vAlign w:val="center"/>
          </w:tcPr>
          <w:p>
            <w:pPr>
              <w:jc w:val="right"/>
              <w:rPr>
                <w:rFonts w:ascii="宋体" w:hAnsi="宋体"/>
              </w:rPr>
            </w:pPr>
            <w:r>
              <w:rPr>
                <w:rFonts w:ascii="宋体" w:hAnsi="宋体"/>
              </w:rPr>
              <w:t>77,043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84" w:type="pct"/>
            <w:shd w:val="clear" w:color="auto" w:fill="auto"/>
          </w:tcPr>
          <w:p>
            <w:pPr>
              <w:ind w:firstLine="420" w:firstLineChars="200"/>
              <w:rPr>
                <w:rFonts w:ascii="宋体" w:hAnsi="宋体"/>
              </w:rPr>
            </w:pPr>
            <w:r>
              <w:rPr>
                <w:rFonts w:hint="eastAsia" w:ascii="宋体" w:hAnsi="宋体"/>
              </w:rPr>
              <w:t>4.外币报表折算差额</w:t>
            </w:r>
          </w:p>
        </w:tc>
        <w:tc>
          <w:tcPr>
            <w:tcW w:w="483" w:type="pct"/>
            <w:vAlign w:val="center"/>
          </w:tcPr>
          <w:p>
            <w:pPr>
              <w:jc w:val="right"/>
              <w:rPr>
                <w:rFonts w:ascii="宋体" w:hAnsi="宋体"/>
              </w:rPr>
            </w:pPr>
            <w:r>
              <w:rPr>
                <w:rFonts w:ascii="宋体" w:hAnsi="宋体"/>
              </w:rPr>
              <w:t>40,606</w:t>
            </w:r>
          </w:p>
        </w:tc>
        <w:tc>
          <w:tcPr>
            <w:tcW w:w="469" w:type="pct"/>
            <w:vAlign w:val="center"/>
          </w:tcPr>
          <w:p>
            <w:pPr>
              <w:jc w:val="right"/>
              <w:rPr>
                <w:rFonts w:ascii="宋体" w:hAnsi="宋体"/>
              </w:rPr>
            </w:pPr>
          </w:p>
        </w:tc>
        <w:tc>
          <w:tcPr>
            <w:tcW w:w="666"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3,365</w:t>
            </w:r>
          </w:p>
        </w:tc>
        <w:tc>
          <w:tcPr>
            <w:tcW w:w="469" w:type="pct"/>
            <w:vAlign w:val="center"/>
          </w:tcPr>
          <w:p>
            <w:pPr>
              <w:jc w:val="right"/>
              <w:rPr>
                <w:rFonts w:ascii="宋体" w:hAnsi="宋体"/>
              </w:rPr>
            </w:pPr>
            <w:r>
              <w:rPr>
                <w:rFonts w:ascii="宋体" w:hAnsi="宋体"/>
              </w:rPr>
              <w:t>754</w:t>
            </w: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18</w:t>
            </w:r>
          </w:p>
        </w:tc>
        <w:tc>
          <w:tcPr>
            <w:tcW w:w="718" w:type="pct"/>
            <w:vAlign w:val="center"/>
          </w:tcPr>
          <w:p>
            <w:pPr>
              <w:jc w:val="right"/>
              <w:rPr>
                <w:rFonts w:ascii="宋体" w:hAnsi="宋体"/>
              </w:rPr>
            </w:pPr>
            <w:r>
              <w:rPr>
                <w:rFonts w:ascii="宋体" w:hAnsi="宋体"/>
              </w:rPr>
              <w:t>44,743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ind w:firstLine="420" w:firstLineChars="200"/>
              <w:rPr>
                <w:rFonts w:ascii="宋体" w:hAnsi="宋体"/>
              </w:rPr>
            </w:pPr>
            <w:r>
              <w:rPr>
                <w:rFonts w:ascii="宋体" w:hAnsi="宋体"/>
              </w:rPr>
              <w:t>5</w:t>
            </w:r>
            <w:r>
              <w:rPr>
                <w:rFonts w:hint="eastAsia" w:ascii="宋体" w:hAnsi="宋体"/>
              </w:rPr>
              <w:t>.</w:t>
            </w:r>
            <w:r>
              <w:rPr>
                <w:rFonts w:ascii="宋体" w:hAnsi="宋体"/>
              </w:rPr>
              <w:t>期末余额</w:t>
            </w:r>
          </w:p>
        </w:tc>
        <w:tc>
          <w:tcPr>
            <w:tcW w:w="483" w:type="pct"/>
            <w:vAlign w:val="center"/>
          </w:tcPr>
          <w:p>
            <w:pPr>
              <w:jc w:val="right"/>
              <w:rPr>
                <w:rFonts w:ascii="宋体" w:hAnsi="宋体"/>
              </w:rPr>
            </w:pPr>
            <w:r>
              <w:rPr>
                <w:rFonts w:ascii="宋体" w:hAnsi="宋体"/>
              </w:rPr>
              <w:t>3,205,609</w:t>
            </w:r>
          </w:p>
        </w:tc>
        <w:tc>
          <w:tcPr>
            <w:tcW w:w="469" w:type="pct"/>
            <w:vAlign w:val="center"/>
          </w:tcPr>
          <w:p>
            <w:pPr>
              <w:jc w:val="right"/>
              <w:rPr>
                <w:rFonts w:ascii="宋体" w:hAnsi="宋体"/>
              </w:rPr>
            </w:pPr>
          </w:p>
        </w:tc>
        <w:tc>
          <w:tcPr>
            <w:tcW w:w="666" w:type="pct"/>
            <w:vAlign w:val="center"/>
          </w:tcPr>
          <w:p>
            <w:pPr>
              <w:jc w:val="right"/>
              <w:rPr>
                <w:rFonts w:ascii="宋体" w:hAnsi="宋体"/>
              </w:rPr>
            </w:pPr>
            <w:r>
              <w:rPr>
                <w:rFonts w:ascii="宋体" w:hAnsi="宋体"/>
              </w:rPr>
              <w:t>2,517</w:t>
            </w:r>
          </w:p>
        </w:tc>
        <w:tc>
          <w:tcPr>
            <w:tcW w:w="469" w:type="pct"/>
            <w:vAlign w:val="center"/>
          </w:tcPr>
          <w:p>
            <w:pPr>
              <w:jc w:val="right"/>
              <w:rPr>
                <w:rFonts w:ascii="宋体" w:hAnsi="宋体"/>
              </w:rPr>
            </w:pPr>
            <w:r>
              <w:rPr>
                <w:rFonts w:ascii="宋体" w:hAnsi="宋体"/>
              </w:rPr>
              <w:t>130,530</w:t>
            </w:r>
          </w:p>
        </w:tc>
        <w:tc>
          <w:tcPr>
            <w:tcW w:w="469" w:type="pct"/>
            <w:vAlign w:val="center"/>
          </w:tcPr>
          <w:p>
            <w:pPr>
              <w:jc w:val="right"/>
              <w:rPr>
                <w:rFonts w:ascii="宋体" w:hAnsi="宋体"/>
              </w:rPr>
            </w:pPr>
            <w:r>
              <w:rPr>
                <w:rFonts w:ascii="宋体" w:hAnsi="宋体"/>
              </w:rPr>
              <w:t>27,151</w:t>
            </w:r>
          </w:p>
        </w:tc>
        <w:tc>
          <w:tcPr>
            <w:tcW w:w="469" w:type="pct"/>
            <w:vAlign w:val="center"/>
          </w:tcPr>
          <w:p>
            <w:pPr>
              <w:jc w:val="right"/>
              <w:rPr>
                <w:rFonts w:ascii="宋体" w:hAnsi="宋体"/>
              </w:rPr>
            </w:pPr>
          </w:p>
        </w:tc>
        <w:tc>
          <w:tcPr>
            <w:tcW w:w="469" w:type="pct"/>
            <w:vAlign w:val="center"/>
          </w:tcPr>
          <w:p>
            <w:pPr>
              <w:jc w:val="right"/>
              <w:rPr>
                <w:rFonts w:ascii="宋体" w:hAnsi="宋体"/>
              </w:rPr>
            </w:pPr>
            <w:r>
              <w:rPr>
                <w:rFonts w:ascii="宋体" w:hAnsi="宋体"/>
              </w:rPr>
              <w:t>415</w:t>
            </w:r>
          </w:p>
        </w:tc>
        <w:tc>
          <w:tcPr>
            <w:tcW w:w="718" w:type="pct"/>
            <w:vAlign w:val="center"/>
          </w:tcPr>
          <w:p>
            <w:pPr>
              <w:jc w:val="right"/>
              <w:rPr>
                <w:rFonts w:ascii="宋体" w:hAnsi="宋体"/>
              </w:rPr>
            </w:pPr>
            <w:r>
              <w:rPr>
                <w:rFonts w:ascii="宋体" w:hAnsi="宋体"/>
              </w:rPr>
              <w:t>3,366,222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宋体" w:hAnsi="宋体"/>
            </w:rPr>
            <w:tag w:val="_PLD_4b0672b3afec475f9c6133950914fc81"/>
            <w:id w:val="1325088029"/>
          </w:sdtPr>
          <w:sdtEndPr>
            <w:rPr>
              <w:rFonts w:ascii="宋体" w:hAnsi="宋体"/>
            </w:rPr>
          </w:sdtEndPr>
          <w:sdtContent>
            <w:tc>
              <w:tcPr>
                <w:tcW w:w="4996" w:type="pct"/>
                <w:gridSpan w:val="9"/>
                <w:shd w:val="clear" w:color="auto" w:fill="auto"/>
                <w:vAlign w:val="center"/>
              </w:tcPr>
              <w:p>
                <w:pPr>
                  <w:rPr>
                    <w:rFonts w:ascii="宋体" w:hAnsi="宋体"/>
                  </w:rPr>
                </w:pPr>
                <w:r>
                  <w:rPr>
                    <w:rFonts w:ascii="宋体" w:hAnsi="宋体"/>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rPr>
                <w:rFonts w:ascii="宋体" w:hAnsi="宋体"/>
              </w:rPr>
            </w:pPr>
            <w:r>
              <w:rPr>
                <w:rFonts w:ascii="宋体" w:hAnsi="宋体"/>
              </w:rPr>
              <w:t xml:space="preserve">    1.期末账面价值</w:t>
            </w:r>
          </w:p>
        </w:tc>
        <w:tc>
          <w:tcPr>
            <w:tcW w:w="483" w:type="pct"/>
            <w:vAlign w:val="center"/>
          </w:tcPr>
          <w:p>
            <w:pPr>
              <w:jc w:val="right"/>
              <w:rPr>
                <w:rFonts w:ascii="宋体" w:hAnsi="宋体"/>
              </w:rPr>
            </w:pPr>
            <w:r>
              <w:rPr>
                <w:rFonts w:ascii="宋体" w:hAnsi="宋体"/>
              </w:rPr>
              <w:t>56,192,031</w:t>
            </w:r>
          </w:p>
        </w:tc>
        <w:tc>
          <w:tcPr>
            <w:tcW w:w="469" w:type="pct"/>
            <w:vAlign w:val="center"/>
          </w:tcPr>
          <w:p>
            <w:pPr>
              <w:jc w:val="right"/>
              <w:rPr>
                <w:rFonts w:ascii="宋体" w:hAnsi="宋体"/>
              </w:rPr>
            </w:pPr>
            <w:r>
              <w:rPr>
                <w:rFonts w:ascii="宋体" w:hAnsi="宋体"/>
              </w:rPr>
              <w:t>2,724,581</w:t>
            </w:r>
          </w:p>
        </w:tc>
        <w:tc>
          <w:tcPr>
            <w:tcW w:w="666" w:type="pct"/>
            <w:vAlign w:val="center"/>
          </w:tcPr>
          <w:p>
            <w:pPr>
              <w:jc w:val="right"/>
              <w:rPr>
                <w:rFonts w:ascii="宋体" w:hAnsi="宋体"/>
              </w:rPr>
            </w:pPr>
            <w:r>
              <w:rPr>
                <w:rFonts w:ascii="宋体" w:hAnsi="宋体"/>
              </w:rPr>
              <w:t>4,965,309</w:t>
            </w:r>
          </w:p>
        </w:tc>
        <w:tc>
          <w:tcPr>
            <w:tcW w:w="469" w:type="pct"/>
            <w:vAlign w:val="center"/>
          </w:tcPr>
          <w:p>
            <w:pPr>
              <w:jc w:val="right"/>
              <w:rPr>
                <w:rFonts w:ascii="宋体" w:hAnsi="宋体"/>
              </w:rPr>
            </w:pPr>
            <w:r>
              <w:rPr>
                <w:rFonts w:ascii="宋体" w:hAnsi="宋体"/>
              </w:rPr>
              <w:t>485,200</w:t>
            </w:r>
          </w:p>
        </w:tc>
        <w:tc>
          <w:tcPr>
            <w:tcW w:w="469" w:type="pct"/>
            <w:vAlign w:val="center"/>
          </w:tcPr>
          <w:p>
            <w:pPr>
              <w:jc w:val="right"/>
              <w:rPr>
                <w:rFonts w:ascii="宋体" w:hAnsi="宋体"/>
              </w:rPr>
            </w:pPr>
            <w:r>
              <w:rPr>
                <w:rFonts w:ascii="宋体" w:hAnsi="宋体"/>
              </w:rPr>
              <w:t>510,194</w:t>
            </w:r>
          </w:p>
        </w:tc>
        <w:tc>
          <w:tcPr>
            <w:tcW w:w="469" w:type="pct"/>
            <w:vAlign w:val="center"/>
          </w:tcPr>
          <w:p>
            <w:pPr>
              <w:jc w:val="right"/>
              <w:rPr>
                <w:rFonts w:ascii="宋体" w:hAnsi="宋体"/>
              </w:rPr>
            </w:pPr>
            <w:r>
              <w:rPr>
                <w:rFonts w:ascii="宋体" w:hAnsi="宋体"/>
              </w:rPr>
              <w:t>2,224,956</w:t>
            </w:r>
          </w:p>
        </w:tc>
        <w:tc>
          <w:tcPr>
            <w:tcW w:w="469" w:type="pct"/>
            <w:vAlign w:val="center"/>
          </w:tcPr>
          <w:p>
            <w:pPr>
              <w:jc w:val="right"/>
              <w:rPr>
                <w:rFonts w:ascii="宋体" w:hAnsi="宋体"/>
              </w:rPr>
            </w:pPr>
            <w:r>
              <w:rPr>
                <w:rFonts w:ascii="宋体" w:hAnsi="宋体"/>
              </w:rPr>
              <w:t>53,281</w:t>
            </w:r>
          </w:p>
        </w:tc>
        <w:tc>
          <w:tcPr>
            <w:tcW w:w="718" w:type="pct"/>
            <w:vAlign w:val="center"/>
          </w:tcPr>
          <w:p>
            <w:pPr>
              <w:jc w:val="right"/>
              <w:rPr>
                <w:rFonts w:ascii="宋体" w:hAnsi="宋体"/>
              </w:rPr>
            </w:pPr>
            <w:r>
              <w:rPr>
                <w:rFonts w:ascii="宋体" w:hAnsi="宋体"/>
              </w:rPr>
              <w:t>67,155,552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 w:type="pct"/>
            <w:shd w:val="clear" w:color="auto" w:fill="auto"/>
            <w:vAlign w:val="center"/>
          </w:tcPr>
          <w:p>
            <w:pPr>
              <w:rPr>
                <w:rFonts w:ascii="宋体" w:hAnsi="宋体"/>
              </w:rPr>
            </w:pPr>
            <w:r>
              <w:rPr>
                <w:rFonts w:ascii="宋体" w:hAnsi="宋体"/>
              </w:rPr>
              <w:t xml:space="preserve">    2.</w:t>
            </w:r>
            <w:r>
              <w:rPr>
                <w:rFonts w:hint="eastAsia" w:ascii="宋体" w:hAnsi="宋体"/>
              </w:rPr>
              <w:t>期初</w:t>
            </w:r>
            <w:r>
              <w:rPr>
                <w:rFonts w:ascii="宋体" w:hAnsi="宋体"/>
              </w:rPr>
              <w:t>账面价值</w:t>
            </w:r>
          </w:p>
        </w:tc>
        <w:tc>
          <w:tcPr>
            <w:tcW w:w="483" w:type="pct"/>
            <w:vAlign w:val="center"/>
          </w:tcPr>
          <w:p>
            <w:pPr>
              <w:jc w:val="right"/>
              <w:rPr>
                <w:rFonts w:ascii="宋体" w:hAnsi="宋体"/>
              </w:rPr>
            </w:pPr>
            <w:r>
              <w:rPr>
                <w:rFonts w:ascii="宋体" w:hAnsi="宋体"/>
              </w:rPr>
              <w:t>57,585,071</w:t>
            </w:r>
          </w:p>
        </w:tc>
        <w:tc>
          <w:tcPr>
            <w:tcW w:w="469" w:type="pct"/>
            <w:vAlign w:val="center"/>
          </w:tcPr>
          <w:p>
            <w:pPr>
              <w:jc w:val="right"/>
              <w:rPr>
                <w:rFonts w:ascii="宋体" w:hAnsi="宋体"/>
              </w:rPr>
            </w:pPr>
            <w:r>
              <w:rPr>
                <w:rFonts w:ascii="宋体" w:hAnsi="宋体"/>
              </w:rPr>
              <w:t>2,648,943</w:t>
            </w:r>
          </w:p>
        </w:tc>
        <w:tc>
          <w:tcPr>
            <w:tcW w:w="666" w:type="pct"/>
            <w:vAlign w:val="center"/>
          </w:tcPr>
          <w:p>
            <w:pPr>
              <w:jc w:val="right"/>
              <w:rPr>
                <w:rFonts w:ascii="宋体" w:hAnsi="宋体"/>
              </w:rPr>
            </w:pPr>
            <w:r>
              <w:rPr>
                <w:rFonts w:ascii="宋体" w:hAnsi="宋体"/>
              </w:rPr>
              <w:t>4,415,999</w:t>
            </w:r>
          </w:p>
        </w:tc>
        <w:tc>
          <w:tcPr>
            <w:tcW w:w="469" w:type="pct"/>
            <w:vAlign w:val="center"/>
          </w:tcPr>
          <w:p>
            <w:pPr>
              <w:jc w:val="right"/>
              <w:rPr>
                <w:rFonts w:ascii="宋体" w:hAnsi="宋体"/>
              </w:rPr>
            </w:pPr>
            <w:r>
              <w:rPr>
                <w:rFonts w:ascii="宋体" w:hAnsi="宋体"/>
              </w:rPr>
              <w:t>580,846</w:t>
            </w:r>
          </w:p>
        </w:tc>
        <w:tc>
          <w:tcPr>
            <w:tcW w:w="469" w:type="pct"/>
            <w:vAlign w:val="center"/>
          </w:tcPr>
          <w:p>
            <w:pPr>
              <w:jc w:val="right"/>
              <w:rPr>
                <w:rFonts w:ascii="宋体" w:hAnsi="宋体"/>
              </w:rPr>
            </w:pPr>
            <w:r>
              <w:rPr>
                <w:rFonts w:ascii="宋体" w:hAnsi="宋体"/>
              </w:rPr>
              <w:t>476,055</w:t>
            </w:r>
          </w:p>
        </w:tc>
        <w:tc>
          <w:tcPr>
            <w:tcW w:w="469" w:type="pct"/>
            <w:vAlign w:val="center"/>
          </w:tcPr>
          <w:p>
            <w:pPr>
              <w:jc w:val="right"/>
              <w:rPr>
                <w:rFonts w:ascii="宋体" w:hAnsi="宋体"/>
              </w:rPr>
            </w:pPr>
            <w:r>
              <w:rPr>
                <w:rFonts w:ascii="宋体" w:hAnsi="宋体"/>
              </w:rPr>
              <w:t>2,216,597</w:t>
            </w:r>
          </w:p>
        </w:tc>
        <w:tc>
          <w:tcPr>
            <w:tcW w:w="469" w:type="pct"/>
            <w:vAlign w:val="center"/>
          </w:tcPr>
          <w:p>
            <w:pPr>
              <w:jc w:val="right"/>
              <w:rPr>
                <w:rFonts w:ascii="宋体" w:hAnsi="宋体"/>
              </w:rPr>
            </w:pPr>
            <w:r>
              <w:rPr>
                <w:rFonts w:ascii="宋体" w:hAnsi="宋体"/>
              </w:rPr>
              <w:t>57,174</w:t>
            </w:r>
          </w:p>
        </w:tc>
        <w:tc>
          <w:tcPr>
            <w:tcW w:w="718" w:type="pct"/>
            <w:vAlign w:val="center"/>
          </w:tcPr>
          <w:p>
            <w:pPr>
              <w:jc w:val="right"/>
              <w:rPr>
                <w:rFonts w:ascii="宋体" w:hAnsi="宋体"/>
              </w:rPr>
            </w:pPr>
            <w:r>
              <w:rPr>
                <w:rFonts w:ascii="宋体" w:hAnsi="宋体"/>
              </w:rPr>
              <w:t>67,980,685</w:t>
            </w:r>
          </w:p>
        </w:tc>
      </w:tr>
      <w:bookmarkEnd w:id="297"/>
    </w:tbl>
    <w:p>
      <w:pPr>
        <w:snapToGrid w:val="0"/>
        <w:spacing w:line="240" w:lineRule="atLeast"/>
      </w:pPr>
    </w:p>
    <w:p>
      <w:pPr>
        <w:pStyle w:val="505"/>
        <w:numPr>
          <w:ilvl w:val="3"/>
          <w:numId w:val="90"/>
        </w:numPr>
        <w:ind w:left="426" w:hanging="426"/>
      </w:pPr>
      <w:r>
        <w:rPr>
          <w:rFonts w:hint="eastAsia"/>
        </w:rPr>
        <w:t>未办妥产权证书的土地使用权情况</w:t>
      </w:r>
    </w:p>
    <w:p>
      <w:pPr>
        <w:pStyle w:val="531"/>
      </w:pPr>
      <w:sdt>
        <w:sdtPr>
          <w:alias w:val="是否适用：未办妥产权证书的土地使用权情况[双击切换]"/>
          <w:tag w:val="_GBC_62bb02d09b844cb69dfe16466ac211c9"/>
          <w:id w:val="-771399188"/>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办妥产权证书的土地使用权情况"/>
          <w:tag w:val="_GBC_0f049ced02af4be6bb3132c9fb8b9914"/>
          <w:id w:val="-4221942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未办妥产权证书的土地使用权情况"/>
          <w:tag w:val="_GBC_2d9d301f865248d6b6f1b7ab06b239cf"/>
          <w:id w:val="-16169683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p>
      <w:pPr>
        <w:snapToGrid w:val="0"/>
        <w:spacing w:line="240" w:lineRule="atLeast"/>
      </w:pPr>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4"/>
        <w:gridCol w:w="4697"/>
        <w:gridCol w:w="4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94f6bb5ef6741f099060f7a817e1f9c"/>
            <w:id w:val="1645695874"/>
          </w:sdtPr>
          <w:sdtContent>
            <w:tc>
              <w:tcPr>
                <w:tcW w:w="1666" w:type="pct"/>
                <w:shd w:val="clear" w:color="auto" w:fill="auto"/>
                <w:vAlign w:val="center"/>
              </w:tcPr>
              <w:p>
                <w:pPr>
                  <w:jc w:val="center"/>
                </w:pPr>
                <w:r>
                  <w:rPr>
                    <w:rFonts w:hint="eastAsia"/>
                  </w:rPr>
                  <w:t>项目</w:t>
                </w:r>
              </w:p>
            </w:tc>
          </w:sdtContent>
        </w:sdt>
        <w:sdt>
          <w:sdtPr>
            <w:tag w:val="_PLD_e52ee31192ed4f9facd48939a297a1af"/>
            <w:id w:val="-93941617"/>
          </w:sdtPr>
          <w:sdtContent>
            <w:tc>
              <w:tcPr>
                <w:tcW w:w="1667" w:type="pct"/>
                <w:shd w:val="clear" w:color="auto" w:fill="auto"/>
                <w:vAlign w:val="center"/>
              </w:tcPr>
              <w:p>
                <w:pPr>
                  <w:jc w:val="center"/>
                </w:pPr>
                <w:r>
                  <w:rPr>
                    <w:rFonts w:hint="eastAsia"/>
                  </w:rPr>
                  <w:t>账面价值</w:t>
                </w:r>
              </w:p>
            </w:tc>
          </w:sdtContent>
        </w:sdt>
        <w:sdt>
          <w:sdtPr>
            <w:tag w:val="_PLD_658d52b6529741e0acdd01e40f47293b"/>
            <w:id w:val="759721282"/>
          </w:sdtPr>
          <w:sdtContent>
            <w:tc>
              <w:tcPr>
                <w:tcW w:w="1667" w:type="pct"/>
                <w:shd w:val="clear" w:color="auto" w:fill="auto"/>
                <w:vAlign w:val="center"/>
              </w:tcPr>
              <w:p>
                <w:pPr>
                  <w:jc w:val="center"/>
                </w:pPr>
                <w:r>
                  <w:rPr>
                    <w:rFonts w:hint="eastAsia"/>
                  </w:rPr>
                  <w:t>未办妥产权证书的原因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pPr>
              <w:pStyle w:val="501"/>
            </w:pPr>
            <w:r>
              <w:rPr>
                <w:rFonts w:hint="eastAsia"/>
              </w:rPr>
              <w:t>土地使用权</w:t>
            </w:r>
          </w:p>
        </w:tc>
        <w:tc>
          <w:tcPr>
            <w:tcW w:w="1667" w:type="pct"/>
            <w:shd w:val="clear" w:color="auto" w:fill="auto"/>
            <w:vAlign w:val="center"/>
          </w:tcPr>
          <w:p>
            <w:pPr>
              <w:jc w:val="right"/>
              <w:rPr>
                <w:rFonts w:ascii="宋体" w:hAnsi="宋体"/>
              </w:rPr>
            </w:pPr>
            <w:r>
              <w:rPr>
                <w:rFonts w:ascii="宋体" w:hAnsi="宋体"/>
              </w:rPr>
              <w:t>539,567</w:t>
            </w:r>
          </w:p>
        </w:tc>
        <w:tc>
          <w:tcPr>
            <w:tcW w:w="1667" w:type="pct"/>
            <w:shd w:val="clear" w:color="auto" w:fill="auto"/>
            <w:vAlign w:val="center"/>
          </w:tcPr>
          <w:p>
            <w:pPr>
              <w:pStyle w:val="501"/>
            </w:pPr>
            <w:r>
              <w:rPr>
                <w:rFonts w:hint="eastAsia"/>
              </w:rPr>
              <w:t>正在办理</w:t>
            </w:r>
          </w:p>
        </w:tc>
      </w:tr>
    </w:tbl>
    <w:p>
      <w:pPr>
        <w:pStyle w:val="505"/>
        <w:numPr>
          <w:ilvl w:val="0"/>
          <w:numId w:val="89"/>
        </w:numPr>
        <w:ind w:left="450" w:hanging="450"/>
      </w:pPr>
      <w:bookmarkStart w:id="298" w:name="_Hlk153461844"/>
      <w:r>
        <w:rPr>
          <w:rFonts w:hint="eastAsia"/>
        </w:rPr>
        <w:t>无形资产的减值测试情况</w:t>
      </w:r>
    </w:p>
    <w:sdt>
      <w:sdtPr>
        <w:alias w:val="是否适用：减值测试情况[双击切换]"/>
        <w:tag w:val="_GBC_c5612c50ddb44cf8892aefcbaf89a0f7"/>
        <w:id w:val="-474221597"/>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98"/>
    <w:p>
      <w:pPr>
        <w:snapToGrid w:val="0"/>
        <w:spacing w:line="240" w:lineRule="atLeast"/>
        <w:sectPr>
          <w:pgSz w:w="16838" w:h="11906" w:orient="landscape"/>
          <w:pgMar w:top="1276" w:right="1440" w:bottom="1797" w:left="1525" w:header="856" w:footer="992" w:gutter="0"/>
          <w:cols w:space="425" w:num="1"/>
          <w:docGrid w:type="lines" w:linePitch="312" w:charSpace="0"/>
        </w:sectPr>
      </w:pPr>
    </w:p>
    <w:p>
      <w:pPr>
        <w:pStyle w:val="504"/>
        <w:numPr>
          <w:ilvl w:val="0"/>
          <w:numId w:val="69"/>
        </w:numPr>
        <w:tabs>
          <w:tab w:val="left" w:pos="504"/>
        </w:tabs>
        <w:rPr>
          <w:rFonts w:ascii="宋体" w:hAnsi="宋体"/>
          <w:szCs w:val="21"/>
        </w:rPr>
      </w:pPr>
      <w:r>
        <w:rPr>
          <w:rFonts w:hint="eastAsia" w:ascii="宋体" w:hAnsi="宋体"/>
          <w:szCs w:val="21"/>
        </w:rPr>
        <w:t>商誉</w:t>
      </w:r>
    </w:p>
    <w:p>
      <w:pPr>
        <w:pStyle w:val="505"/>
        <w:numPr>
          <w:ilvl w:val="3"/>
          <w:numId w:val="91"/>
        </w:numPr>
        <w:ind w:left="426" w:hanging="426"/>
      </w:pPr>
      <w:r>
        <w:rPr>
          <w:rFonts w:hint="eastAsia"/>
        </w:rPr>
        <w:t>商誉账面原值</w:t>
      </w:r>
    </w:p>
    <w:sdt>
      <w:sdtPr>
        <w:alias w:val="是否适用：商誉账面原值[双击切换]"/>
        <w:tag w:val="_GBC_ef393f0687ab4747a43cd96895a18dcb"/>
        <w:id w:val="-1454253588"/>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商誉"/>
          <w:tag w:val="_GBC_1969cb3272364bc49f9ccb754d95df61"/>
          <w:id w:val="-17217437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商誉"/>
          <w:tag w:val="_GBC_55d7143fbcf14746b997ea323f9b063b"/>
          <w:id w:val="4306248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308"/>
        <w:gridCol w:w="1164"/>
        <w:gridCol w:w="1017"/>
        <w:gridCol w:w="1017"/>
        <w:gridCol w:w="873"/>
        <w:gridCol w:w="873"/>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tag w:val="_PLD_321a0416f313455db9437f8692d7d27e"/>
            <w:id w:val="-1054692715"/>
          </w:sdtPr>
          <w:sdtContent>
            <w:tc>
              <w:tcPr>
                <w:tcW w:w="881" w:type="pct"/>
                <w:vMerge w:val="restart"/>
                <w:shd w:val="clear" w:color="auto" w:fill="auto"/>
                <w:vAlign w:val="center"/>
              </w:tcPr>
              <w:p>
                <w:pPr>
                  <w:autoSpaceDE w:val="0"/>
                  <w:autoSpaceDN w:val="0"/>
                  <w:adjustRightInd w:val="0"/>
                  <w:snapToGrid w:val="0"/>
                  <w:jc w:val="center"/>
                </w:pPr>
                <w:bookmarkStart w:id="299" w:name="_Hlk161421863"/>
                <w:r>
                  <w:rPr>
                    <w:rFonts w:hint="eastAsia"/>
                  </w:rPr>
                  <w:t>被投资单位名称或形成商誉的事项</w:t>
                </w:r>
              </w:p>
            </w:tc>
          </w:sdtContent>
        </w:sdt>
        <w:sdt>
          <w:sdtPr>
            <w:tag w:val="_PLD_f188a95931d64e73a28589bedff91f08"/>
            <w:id w:val="2029219382"/>
          </w:sdtPr>
          <w:sdtContent>
            <w:tc>
              <w:tcPr>
                <w:tcW w:w="723" w:type="pct"/>
                <w:vMerge w:val="restart"/>
                <w:shd w:val="clear" w:color="auto" w:fill="auto"/>
                <w:vAlign w:val="center"/>
              </w:tcPr>
              <w:p>
                <w:pPr>
                  <w:autoSpaceDE w:val="0"/>
                  <w:autoSpaceDN w:val="0"/>
                  <w:adjustRightInd w:val="0"/>
                  <w:snapToGrid w:val="0"/>
                  <w:jc w:val="center"/>
                </w:pPr>
                <w:r>
                  <w:rPr>
                    <w:rFonts w:hint="eastAsia"/>
                  </w:rPr>
                  <w:t>期初余额</w:t>
                </w:r>
              </w:p>
            </w:tc>
          </w:sdtContent>
        </w:sdt>
        <w:sdt>
          <w:sdtPr>
            <w:tag w:val="_PLD_fe0863051d574b7da3ab0c8be387303e"/>
            <w:id w:val="1689177913"/>
          </w:sdtPr>
          <w:sdtContent>
            <w:tc>
              <w:tcPr>
                <w:tcW w:w="1205" w:type="pct"/>
                <w:gridSpan w:val="2"/>
                <w:shd w:val="clear" w:color="auto" w:fill="auto"/>
                <w:vAlign w:val="center"/>
              </w:tcPr>
              <w:p>
                <w:pPr>
                  <w:autoSpaceDE w:val="0"/>
                  <w:autoSpaceDN w:val="0"/>
                  <w:adjustRightInd w:val="0"/>
                  <w:snapToGrid w:val="0"/>
                  <w:jc w:val="center"/>
                </w:pPr>
                <w:r>
                  <w:rPr>
                    <w:rFonts w:hint="eastAsia"/>
                  </w:rPr>
                  <w:t>本期增加</w:t>
                </w:r>
              </w:p>
            </w:tc>
          </w:sdtContent>
        </w:sdt>
        <w:sdt>
          <w:sdtPr>
            <w:tag w:val="_PLD_ce868c17962f49c4aa34996033f79dd2"/>
            <w:id w:val="942041712"/>
          </w:sdtPr>
          <w:sdtContent>
            <w:tc>
              <w:tcPr>
                <w:tcW w:w="1044" w:type="pct"/>
                <w:gridSpan w:val="2"/>
                <w:shd w:val="clear" w:color="auto" w:fill="auto"/>
                <w:vAlign w:val="center"/>
              </w:tcPr>
              <w:p>
                <w:pPr>
                  <w:autoSpaceDE w:val="0"/>
                  <w:autoSpaceDN w:val="0"/>
                  <w:adjustRightInd w:val="0"/>
                  <w:snapToGrid w:val="0"/>
                  <w:jc w:val="center"/>
                </w:pPr>
                <w:r>
                  <w:rPr>
                    <w:rFonts w:hint="eastAsia"/>
                  </w:rPr>
                  <w:t>本期减少</w:t>
                </w:r>
              </w:p>
            </w:tc>
          </w:sdtContent>
        </w:sdt>
        <w:sdt>
          <w:sdtPr>
            <w:tag w:val="_PLD_9b7450bb10fb432a80b42e729cd30f12"/>
            <w:id w:val="-1314260831"/>
          </w:sdtPr>
          <w:sdtContent>
            <w:tc>
              <w:tcPr>
                <w:tcW w:w="482" w:type="pct"/>
                <w:vMerge w:val="restart"/>
                <w:shd w:val="clear" w:color="auto" w:fill="auto"/>
                <w:vAlign w:val="center"/>
              </w:tcPr>
              <w:p>
                <w:pPr>
                  <w:autoSpaceDE w:val="0"/>
                  <w:autoSpaceDN w:val="0"/>
                  <w:adjustRightInd w:val="0"/>
                  <w:snapToGrid w:val="0"/>
                  <w:jc w:val="center"/>
                </w:pPr>
                <w:r>
                  <w:rPr>
                    <w:rFonts w:hint="eastAsia"/>
                  </w:rPr>
                  <w:t>外币报表折算差额</w:t>
                </w:r>
              </w:p>
            </w:tc>
          </w:sdtContent>
        </w:sdt>
        <w:sdt>
          <w:sdtPr>
            <w:tag w:val="_PLD_9b7450bb10fb432a80b42e729cd30f12"/>
            <w:id w:val="-1466122220"/>
          </w:sdtPr>
          <w:sdtContent>
            <w:tc>
              <w:tcPr>
                <w:tcW w:w="665" w:type="pct"/>
                <w:vMerge w:val="restart"/>
                <w:shd w:val="clear" w:color="auto" w:fill="auto"/>
                <w:vAlign w:val="center"/>
              </w:tcPr>
              <w:p>
                <w:pPr>
                  <w:autoSpaceDE w:val="0"/>
                  <w:autoSpaceDN w:val="0"/>
                  <w:adjustRightInd w:val="0"/>
                  <w:snapToGrid w:val="0"/>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81" w:type="pct"/>
            <w:vMerge w:val="continue"/>
            <w:shd w:val="clear" w:color="auto" w:fill="auto"/>
          </w:tcPr>
          <w:p>
            <w:pPr>
              <w:autoSpaceDE w:val="0"/>
              <w:autoSpaceDN w:val="0"/>
              <w:adjustRightInd w:val="0"/>
              <w:snapToGrid w:val="0"/>
              <w:jc w:val="center"/>
            </w:pPr>
          </w:p>
        </w:tc>
        <w:tc>
          <w:tcPr>
            <w:tcW w:w="723" w:type="pct"/>
            <w:vMerge w:val="continue"/>
            <w:shd w:val="clear" w:color="auto" w:fill="auto"/>
          </w:tcPr>
          <w:p>
            <w:pPr>
              <w:autoSpaceDE w:val="0"/>
              <w:autoSpaceDN w:val="0"/>
              <w:adjustRightInd w:val="0"/>
              <w:snapToGrid w:val="0"/>
              <w:jc w:val="center"/>
            </w:pPr>
          </w:p>
        </w:tc>
        <w:tc>
          <w:tcPr>
            <w:tcW w:w="643" w:type="pct"/>
            <w:shd w:val="clear" w:color="auto" w:fill="auto"/>
            <w:vAlign w:val="center"/>
          </w:tcPr>
          <w:p>
            <w:pPr>
              <w:autoSpaceDE w:val="0"/>
              <w:autoSpaceDN w:val="0"/>
              <w:adjustRightInd w:val="0"/>
              <w:snapToGrid w:val="0"/>
              <w:jc w:val="center"/>
            </w:pPr>
            <w:r>
              <w:rPr>
                <w:rFonts w:hint="eastAsia"/>
              </w:rPr>
              <w:t>企业合并形成的</w:t>
            </w:r>
          </w:p>
        </w:tc>
        <w:tc>
          <w:tcPr>
            <w:tcW w:w="562" w:type="pct"/>
            <w:shd w:val="clear" w:color="auto" w:fill="auto"/>
            <w:vAlign w:val="center"/>
          </w:tcPr>
          <w:p>
            <w:pPr>
              <w:autoSpaceDE w:val="0"/>
              <w:autoSpaceDN w:val="0"/>
              <w:adjustRightInd w:val="0"/>
              <w:snapToGrid w:val="0"/>
              <w:jc w:val="center"/>
            </w:pPr>
            <w:r>
              <w:rPr>
                <w:rFonts w:hint="eastAsia"/>
              </w:rPr>
              <w:t>　其他</w:t>
            </w:r>
          </w:p>
        </w:tc>
        <w:tc>
          <w:tcPr>
            <w:tcW w:w="562" w:type="pct"/>
            <w:shd w:val="clear" w:color="auto" w:fill="auto"/>
            <w:vAlign w:val="center"/>
          </w:tcPr>
          <w:p>
            <w:pPr>
              <w:autoSpaceDE w:val="0"/>
              <w:autoSpaceDN w:val="0"/>
              <w:adjustRightInd w:val="0"/>
              <w:snapToGrid w:val="0"/>
              <w:jc w:val="center"/>
            </w:pPr>
            <w:r>
              <w:rPr>
                <w:rFonts w:hint="eastAsia"/>
              </w:rPr>
              <w:t>处置</w:t>
            </w:r>
          </w:p>
        </w:tc>
        <w:tc>
          <w:tcPr>
            <w:tcW w:w="482" w:type="pct"/>
            <w:shd w:val="clear" w:color="auto" w:fill="auto"/>
            <w:vAlign w:val="center"/>
          </w:tcPr>
          <w:p>
            <w:pPr>
              <w:autoSpaceDE w:val="0"/>
              <w:autoSpaceDN w:val="0"/>
              <w:adjustRightInd w:val="0"/>
              <w:snapToGrid w:val="0"/>
              <w:jc w:val="center"/>
            </w:pPr>
            <w:r>
              <w:rPr>
                <w:rFonts w:hint="eastAsia"/>
              </w:rPr>
              <w:t>　其他</w:t>
            </w:r>
          </w:p>
        </w:tc>
        <w:tc>
          <w:tcPr>
            <w:tcW w:w="482" w:type="pct"/>
            <w:vMerge w:val="continue"/>
            <w:shd w:val="clear" w:color="auto" w:fill="auto"/>
          </w:tcPr>
          <w:p>
            <w:pPr>
              <w:autoSpaceDE w:val="0"/>
              <w:autoSpaceDN w:val="0"/>
              <w:adjustRightInd w:val="0"/>
              <w:snapToGrid w:val="0"/>
              <w:jc w:val="center"/>
            </w:pPr>
          </w:p>
        </w:tc>
        <w:tc>
          <w:tcPr>
            <w:tcW w:w="665" w:type="pct"/>
            <w:vMerge w:val="continue"/>
            <w:shd w:val="clear" w:color="auto" w:fill="auto"/>
          </w:tcPr>
          <w:p>
            <w:pPr>
              <w:autoSpaceDE w:val="0"/>
              <w:autoSpaceDN w:val="0"/>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81" w:type="pct"/>
            <w:shd w:val="clear" w:color="auto" w:fill="auto"/>
          </w:tcPr>
          <w:p>
            <w:pPr>
              <w:autoSpaceDE w:val="0"/>
              <w:autoSpaceDN w:val="0"/>
              <w:adjustRightInd w:val="0"/>
              <w:snapToGrid w:val="0"/>
            </w:pPr>
            <w:r>
              <w:rPr>
                <w:rFonts w:hint="eastAsia"/>
              </w:rPr>
              <w:t>收购鑫泰</w:t>
            </w:r>
          </w:p>
        </w:tc>
        <w:tc>
          <w:tcPr>
            <w:tcW w:w="723" w:type="pct"/>
            <w:shd w:val="clear" w:color="auto" w:fill="auto"/>
          </w:tcPr>
          <w:p>
            <w:pPr>
              <w:autoSpaceDE w:val="0"/>
              <w:autoSpaceDN w:val="0"/>
              <w:adjustRightInd w:val="0"/>
              <w:snapToGrid w:val="0"/>
              <w:jc w:val="right"/>
              <w:rPr>
                <w:rFonts w:ascii="宋体" w:hAnsi="宋体"/>
              </w:rPr>
            </w:pPr>
            <w:r>
              <w:rPr>
                <w:rFonts w:hint="eastAsia" w:ascii="宋体" w:hAnsi="宋体"/>
              </w:rPr>
              <w:t>653,836</w:t>
            </w:r>
          </w:p>
        </w:tc>
        <w:tc>
          <w:tcPr>
            <w:tcW w:w="643"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665" w:type="pct"/>
            <w:shd w:val="clear" w:color="auto" w:fill="auto"/>
          </w:tcPr>
          <w:p>
            <w:pPr>
              <w:autoSpaceDE w:val="0"/>
              <w:autoSpaceDN w:val="0"/>
              <w:adjustRightInd w:val="0"/>
              <w:snapToGrid w:val="0"/>
              <w:jc w:val="right"/>
              <w:rPr>
                <w:rFonts w:ascii="宋体" w:hAnsi="宋体"/>
              </w:rPr>
            </w:pPr>
            <w:r>
              <w:rPr>
                <w:rFonts w:hint="eastAsia" w:ascii="宋体" w:hAnsi="宋体"/>
              </w:rPr>
              <w:t>653,836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81" w:type="pct"/>
            <w:shd w:val="clear" w:color="auto" w:fill="auto"/>
          </w:tcPr>
          <w:p>
            <w:pPr>
              <w:autoSpaceDE w:val="0"/>
              <w:autoSpaceDN w:val="0"/>
              <w:adjustRightInd w:val="0"/>
              <w:snapToGrid w:val="0"/>
            </w:pPr>
            <w:r>
              <w:rPr>
                <w:rFonts w:hint="eastAsia"/>
              </w:rPr>
              <w:t>收购兖煤资源</w:t>
            </w:r>
          </w:p>
        </w:tc>
        <w:tc>
          <w:tcPr>
            <w:tcW w:w="723" w:type="pct"/>
            <w:shd w:val="clear" w:color="auto" w:fill="auto"/>
          </w:tcPr>
          <w:p>
            <w:pPr>
              <w:autoSpaceDE w:val="0"/>
              <w:autoSpaceDN w:val="0"/>
              <w:adjustRightInd w:val="0"/>
              <w:snapToGrid w:val="0"/>
              <w:jc w:val="right"/>
              <w:rPr>
                <w:rFonts w:ascii="宋体" w:hAnsi="宋体"/>
              </w:rPr>
            </w:pPr>
            <w:r>
              <w:rPr>
                <w:rFonts w:hint="eastAsia" w:ascii="宋体" w:hAnsi="宋体"/>
              </w:rPr>
              <w:t>287,699</w:t>
            </w:r>
          </w:p>
        </w:tc>
        <w:tc>
          <w:tcPr>
            <w:tcW w:w="643"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r>
              <w:rPr>
                <w:rFonts w:hint="eastAsia" w:ascii="宋体" w:hAnsi="宋体"/>
              </w:rPr>
              <w:t>8,214</w:t>
            </w:r>
          </w:p>
        </w:tc>
        <w:tc>
          <w:tcPr>
            <w:tcW w:w="665" w:type="pct"/>
            <w:shd w:val="clear" w:color="auto" w:fill="auto"/>
          </w:tcPr>
          <w:p>
            <w:pPr>
              <w:autoSpaceDE w:val="0"/>
              <w:autoSpaceDN w:val="0"/>
              <w:adjustRightInd w:val="0"/>
              <w:snapToGrid w:val="0"/>
              <w:jc w:val="right"/>
              <w:rPr>
                <w:rFonts w:ascii="宋体" w:hAnsi="宋体"/>
              </w:rPr>
            </w:pPr>
            <w:r>
              <w:rPr>
                <w:rFonts w:hint="eastAsia" w:ascii="宋体" w:hAnsi="宋体"/>
              </w:rPr>
              <w:t>295,913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81" w:type="pct"/>
            <w:shd w:val="clear" w:color="auto" w:fill="auto"/>
          </w:tcPr>
          <w:p>
            <w:pPr>
              <w:autoSpaceDE w:val="0"/>
              <w:autoSpaceDN w:val="0"/>
              <w:adjustRightInd w:val="0"/>
              <w:snapToGrid w:val="0"/>
            </w:pPr>
            <w:r>
              <w:rPr>
                <w:rFonts w:hint="eastAsia"/>
              </w:rPr>
              <w:t>收购新泰克Ⅱ</w:t>
            </w:r>
          </w:p>
        </w:tc>
        <w:tc>
          <w:tcPr>
            <w:tcW w:w="723" w:type="pct"/>
            <w:shd w:val="clear" w:color="auto" w:fill="auto"/>
          </w:tcPr>
          <w:p>
            <w:pPr>
              <w:autoSpaceDE w:val="0"/>
              <w:autoSpaceDN w:val="0"/>
              <w:adjustRightInd w:val="0"/>
              <w:snapToGrid w:val="0"/>
              <w:jc w:val="right"/>
              <w:rPr>
                <w:rFonts w:ascii="宋体" w:hAnsi="宋体"/>
              </w:rPr>
            </w:pPr>
            <w:r>
              <w:rPr>
                <w:rFonts w:hint="eastAsia" w:ascii="宋体" w:hAnsi="宋体"/>
              </w:rPr>
              <w:t>20,618</w:t>
            </w:r>
          </w:p>
        </w:tc>
        <w:tc>
          <w:tcPr>
            <w:tcW w:w="643"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r>
              <w:rPr>
                <w:rFonts w:hint="eastAsia" w:ascii="宋体" w:hAnsi="宋体"/>
              </w:rPr>
              <w:t>589</w:t>
            </w:r>
          </w:p>
        </w:tc>
        <w:tc>
          <w:tcPr>
            <w:tcW w:w="665" w:type="pct"/>
            <w:shd w:val="clear" w:color="auto" w:fill="auto"/>
          </w:tcPr>
          <w:p>
            <w:pPr>
              <w:autoSpaceDE w:val="0"/>
              <w:autoSpaceDN w:val="0"/>
              <w:adjustRightInd w:val="0"/>
              <w:snapToGrid w:val="0"/>
              <w:jc w:val="right"/>
              <w:rPr>
                <w:rFonts w:ascii="宋体" w:hAnsi="宋体"/>
              </w:rPr>
            </w:pPr>
            <w:r>
              <w:rPr>
                <w:rFonts w:hint="eastAsia" w:ascii="宋体" w:hAnsi="宋体"/>
              </w:rPr>
              <w:t>21,207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81" w:type="pct"/>
            <w:shd w:val="clear" w:color="auto" w:fill="auto"/>
          </w:tcPr>
          <w:p>
            <w:pPr>
              <w:autoSpaceDE w:val="0"/>
              <w:autoSpaceDN w:val="0"/>
              <w:adjustRightInd w:val="0"/>
              <w:snapToGrid w:val="0"/>
            </w:pPr>
            <w:r>
              <w:rPr>
                <w:rFonts w:hint="eastAsia"/>
              </w:rPr>
              <w:t>收购普力马</w:t>
            </w:r>
          </w:p>
        </w:tc>
        <w:tc>
          <w:tcPr>
            <w:tcW w:w="723" w:type="pct"/>
            <w:shd w:val="clear" w:color="auto" w:fill="auto"/>
          </w:tcPr>
          <w:p>
            <w:pPr>
              <w:autoSpaceDE w:val="0"/>
              <w:autoSpaceDN w:val="0"/>
              <w:adjustRightInd w:val="0"/>
              <w:snapToGrid w:val="0"/>
              <w:jc w:val="right"/>
              <w:rPr>
                <w:rFonts w:ascii="宋体" w:hAnsi="宋体"/>
              </w:rPr>
            </w:pPr>
            <w:r>
              <w:rPr>
                <w:rFonts w:hint="eastAsia" w:ascii="宋体" w:hAnsi="宋体"/>
              </w:rPr>
              <w:t>12,822</w:t>
            </w:r>
          </w:p>
        </w:tc>
        <w:tc>
          <w:tcPr>
            <w:tcW w:w="643"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r>
              <w:rPr>
                <w:rFonts w:hint="eastAsia" w:ascii="宋体" w:hAnsi="宋体"/>
              </w:rPr>
              <w:t>366</w:t>
            </w:r>
          </w:p>
        </w:tc>
        <w:tc>
          <w:tcPr>
            <w:tcW w:w="665" w:type="pct"/>
            <w:shd w:val="clear" w:color="auto" w:fill="auto"/>
          </w:tcPr>
          <w:p>
            <w:pPr>
              <w:autoSpaceDE w:val="0"/>
              <w:autoSpaceDN w:val="0"/>
              <w:adjustRightInd w:val="0"/>
              <w:snapToGrid w:val="0"/>
              <w:jc w:val="right"/>
              <w:rPr>
                <w:rFonts w:ascii="宋体" w:hAnsi="宋体"/>
              </w:rPr>
            </w:pPr>
            <w:r>
              <w:rPr>
                <w:rFonts w:hint="eastAsia" w:ascii="宋体" w:hAnsi="宋体"/>
              </w:rPr>
              <w:t>13,188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81" w:type="pct"/>
            <w:shd w:val="clear" w:color="auto" w:fill="auto"/>
          </w:tcPr>
          <w:p>
            <w:pPr>
              <w:autoSpaceDE w:val="0"/>
              <w:autoSpaceDN w:val="0"/>
              <w:adjustRightInd w:val="0"/>
              <w:snapToGrid w:val="0"/>
            </w:pPr>
            <w:r>
              <w:rPr>
                <w:rFonts w:hint="eastAsia"/>
              </w:rPr>
              <w:t>收购兖煤航运</w:t>
            </w:r>
          </w:p>
        </w:tc>
        <w:tc>
          <w:tcPr>
            <w:tcW w:w="723" w:type="pct"/>
            <w:shd w:val="clear" w:color="auto" w:fill="auto"/>
          </w:tcPr>
          <w:p>
            <w:pPr>
              <w:autoSpaceDE w:val="0"/>
              <w:autoSpaceDN w:val="0"/>
              <w:adjustRightInd w:val="0"/>
              <w:snapToGrid w:val="0"/>
              <w:jc w:val="right"/>
              <w:rPr>
                <w:rFonts w:ascii="宋体" w:hAnsi="宋体"/>
              </w:rPr>
            </w:pPr>
            <w:r>
              <w:rPr>
                <w:rFonts w:hint="eastAsia" w:ascii="宋体" w:hAnsi="宋体"/>
              </w:rPr>
              <w:t>10,045</w:t>
            </w:r>
          </w:p>
        </w:tc>
        <w:tc>
          <w:tcPr>
            <w:tcW w:w="643"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665" w:type="pct"/>
            <w:shd w:val="clear" w:color="auto" w:fill="auto"/>
          </w:tcPr>
          <w:p>
            <w:pPr>
              <w:autoSpaceDE w:val="0"/>
              <w:autoSpaceDN w:val="0"/>
              <w:adjustRightInd w:val="0"/>
              <w:snapToGrid w:val="0"/>
              <w:jc w:val="right"/>
              <w:rPr>
                <w:rFonts w:ascii="宋体" w:hAnsi="宋体"/>
              </w:rPr>
            </w:pPr>
            <w:r>
              <w:rPr>
                <w:rFonts w:hint="eastAsia" w:ascii="宋体" w:hAnsi="宋体"/>
              </w:rPr>
              <w:t>10,045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81" w:type="pct"/>
            <w:shd w:val="clear" w:color="auto" w:fill="auto"/>
          </w:tcPr>
          <w:p>
            <w:pPr>
              <w:autoSpaceDE w:val="0"/>
              <w:autoSpaceDN w:val="0"/>
              <w:adjustRightInd w:val="0"/>
              <w:snapToGrid w:val="0"/>
            </w:pPr>
            <w:r>
              <w:rPr>
                <w:rFonts w:hint="eastAsia"/>
              </w:rPr>
              <w:t>收购卡松科技</w:t>
            </w:r>
          </w:p>
        </w:tc>
        <w:tc>
          <w:tcPr>
            <w:tcW w:w="723" w:type="pct"/>
            <w:shd w:val="clear" w:color="auto" w:fill="auto"/>
          </w:tcPr>
          <w:p>
            <w:pPr>
              <w:autoSpaceDE w:val="0"/>
              <w:autoSpaceDN w:val="0"/>
              <w:adjustRightInd w:val="0"/>
              <w:snapToGrid w:val="0"/>
              <w:jc w:val="right"/>
              <w:rPr>
                <w:rFonts w:ascii="宋体" w:hAnsi="宋体"/>
              </w:rPr>
            </w:pPr>
            <w:r>
              <w:rPr>
                <w:rFonts w:hint="eastAsia" w:ascii="宋体" w:hAnsi="宋体"/>
              </w:rPr>
              <w:t>31,543</w:t>
            </w:r>
          </w:p>
        </w:tc>
        <w:tc>
          <w:tcPr>
            <w:tcW w:w="643"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665" w:type="pct"/>
            <w:shd w:val="clear" w:color="auto" w:fill="auto"/>
          </w:tcPr>
          <w:p>
            <w:pPr>
              <w:autoSpaceDE w:val="0"/>
              <w:autoSpaceDN w:val="0"/>
              <w:adjustRightInd w:val="0"/>
              <w:snapToGrid w:val="0"/>
              <w:jc w:val="right"/>
              <w:rPr>
                <w:rFonts w:ascii="宋体" w:hAnsi="宋体"/>
              </w:rPr>
            </w:pPr>
            <w:r>
              <w:rPr>
                <w:rFonts w:hint="eastAsia" w:ascii="宋体" w:hAnsi="宋体"/>
              </w:rPr>
              <w:t>31,543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81" w:type="pct"/>
            <w:shd w:val="clear" w:color="auto" w:fill="auto"/>
            <w:vAlign w:val="center"/>
          </w:tcPr>
          <w:p>
            <w:pPr>
              <w:autoSpaceDE w:val="0"/>
              <w:autoSpaceDN w:val="0"/>
              <w:adjustRightInd w:val="0"/>
              <w:snapToGrid w:val="0"/>
              <w:jc w:val="center"/>
              <w:rPr>
                <w:u w:val="double"/>
              </w:rPr>
            </w:pPr>
            <w:r>
              <w:rPr>
                <w:rFonts w:hint="eastAsia"/>
              </w:rPr>
              <w:t>合计</w:t>
            </w:r>
          </w:p>
        </w:tc>
        <w:tc>
          <w:tcPr>
            <w:tcW w:w="723" w:type="pct"/>
            <w:shd w:val="clear" w:color="auto" w:fill="auto"/>
          </w:tcPr>
          <w:p>
            <w:pPr>
              <w:autoSpaceDE w:val="0"/>
              <w:autoSpaceDN w:val="0"/>
              <w:adjustRightInd w:val="0"/>
              <w:snapToGrid w:val="0"/>
              <w:jc w:val="right"/>
              <w:rPr>
                <w:rFonts w:ascii="宋体" w:hAnsi="宋体"/>
              </w:rPr>
            </w:pPr>
            <w:r>
              <w:rPr>
                <w:rFonts w:ascii="宋体" w:hAnsi="宋体"/>
              </w:rPr>
              <w:t>1,016,563</w:t>
            </w:r>
          </w:p>
        </w:tc>
        <w:tc>
          <w:tcPr>
            <w:tcW w:w="643"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r>
              <w:rPr>
                <w:rFonts w:ascii="宋体" w:hAnsi="宋体"/>
              </w:rPr>
              <w:t>9,169</w:t>
            </w:r>
          </w:p>
        </w:tc>
        <w:tc>
          <w:tcPr>
            <w:tcW w:w="665" w:type="pct"/>
            <w:shd w:val="clear" w:color="auto" w:fill="auto"/>
          </w:tcPr>
          <w:p>
            <w:pPr>
              <w:autoSpaceDE w:val="0"/>
              <w:autoSpaceDN w:val="0"/>
              <w:adjustRightInd w:val="0"/>
              <w:snapToGrid w:val="0"/>
              <w:jc w:val="right"/>
              <w:rPr>
                <w:rFonts w:ascii="宋体" w:hAnsi="宋体"/>
              </w:rPr>
            </w:pPr>
            <w:r>
              <w:rPr>
                <w:rFonts w:ascii="宋体" w:hAnsi="宋体"/>
              </w:rPr>
              <w:t>1,025,732</w:t>
            </w:r>
          </w:p>
        </w:tc>
      </w:tr>
      <w:bookmarkEnd w:id="299"/>
    </w:tbl>
    <w:p>
      <w:pPr>
        <w:pStyle w:val="501"/>
      </w:pPr>
    </w:p>
    <w:p>
      <w:pPr>
        <w:pStyle w:val="505"/>
        <w:numPr>
          <w:ilvl w:val="3"/>
          <w:numId w:val="91"/>
        </w:numPr>
        <w:ind w:left="426" w:hanging="426"/>
      </w:pPr>
      <w:r>
        <w:rPr>
          <w:rFonts w:hint="eastAsia"/>
        </w:rPr>
        <w:t>商誉减值准备</w:t>
      </w:r>
    </w:p>
    <w:sdt>
      <w:sdtPr>
        <w:alias w:val="是否适用：商誉减值准备[双击切换]"/>
        <w:tag w:val="_GBC_6da4c3df55cf453f9753bb7045db7e9c"/>
        <w:id w:val="31716318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商誉减值准备"/>
          <w:tag w:val="_GBC_f57fd757a9b44c6ebaa3d245d43745bc"/>
          <w:id w:val="9621542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商誉减值准备"/>
          <w:tag w:val="_GBC_c1f3995384ba4c438db9d1f743b78f7d"/>
          <w:id w:val="12942516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1"/>
        <w:gridCol w:w="1106"/>
        <w:gridCol w:w="1076"/>
        <w:gridCol w:w="1014"/>
        <w:gridCol w:w="869"/>
        <w:gridCol w:w="871"/>
        <w:gridCol w:w="1141"/>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sdt>
          <w:sdtPr>
            <w:tag w:val="_PLD_18986b1742bd44dfbf2a33ba8f31cdbc"/>
            <w:id w:val="-1891330988"/>
          </w:sdtPr>
          <w:sdtContent>
            <w:tc>
              <w:tcPr>
                <w:tcW w:w="1119" w:type="pct"/>
                <w:vMerge w:val="restart"/>
                <w:shd w:val="clear" w:color="auto" w:fill="auto"/>
                <w:vAlign w:val="center"/>
              </w:tcPr>
              <w:p>
                <w:pPr>
                  <w:autoSpaceDE w:val="0"/>
                  <w:autoSpaceDN w:val="0"/>
                  <w:adjustRightInd w:val="0"/>
                  <w:snapToGrid w:val="0"/>
                  <w:jc w:val="center"/>
                </w:pPr>
                <w:r>
                  <w:rPr>
                    <w:rFonts w:hint="eastAsia"/>
                  </w:rPr>
                  <w:t>被投资单位名称或形成商誉的事项</w:t>
                </w:r>
              </w:p>
            </w:tc>
          </w:sdtContent>
        </w:sdt>
        <w:sdt>
          <w:sdtPr>
            <w:tag w:val="_PLD_f4fc332b28b44b9498c110ad4ae0a59b"/>
            <w:id w:val="-1220196738"/>
          </w:sdtPr>
          <w:sdtContent>
            <w:tc>
              <w:tcPr>
                <w:tcW w:w="613" w:type="pct"/>
                <w:vMerge w:val="restart"/>
                <w:shd w:val="clear" w:color="auto" w:fill="auto"/>
                <w:vAlign w:val="center"/>
              </w:tcPr>
              <w:p>
                <w:pPr>
                  <w:autoSpaceDE w:val="0"/>
                  <w:autoSpaceDN w:val="0"/>
                  <w:adjustRightInd w:val="0"/>
                  <w:snapToGrid w:val="0"/>
                  <w:jc w:val="center"/>
                </w:pPr>
                <w:r>
                  <w:rPr>
                    <w:rFonts w:hint="eastAsia"/>
                  </w:rPr>
                  <w:t>期初余额</w:t>
                </w:r>
              </w:p>
            </w:tc>
          </w:sdtContent>
        </w:sdt>
        <w:sdt>
          <w:sdtPr>
            <w:tag w:val="_PLD_9c5ef388bfe9420c986843182b04de06"/>
            <w:id w:val="-1438827451"/>
          </w:sdtPr>
          <w:sdtContent>
            <w:tc>
              <w:tcPr>
                <w:tcW w:w="1157" w:type="pct"/>
                <w:gridSpan w:val="2"/>
                <w:shd w:val="clear" w:color="auto" w:fill="auto"/>
                <w:vAlign w:val="center"/>
              </w:tcPr>
              <w:p>
                <w:pPr>
                  <w:autoSpaceDE w:val="0"/>
                  <w:autoSpaceDN w:val="0"/>
                  <w:adjustRightInd w:val="0"/>
                  <w:snapToGrid w:val="0"/>
                  <w:jc w:val="center"/>
                </w:pPr>
                <w:r>
                  <w:rPr>
                    <w:rFonts w:hint="eastAsia"/>
                  </w:rPr>
                  <w:t>本期增加</w:t>
                </w:r>
              </w:p>
            </w:tc>
          </w:sdtContent>
        </w:sdt>
        <w:sdt>
          <w:sdtPr>
            <w:tag w:val="_PLD_2d0c2da11bf944d99d5a113a6d874ecf"/>
            <w:id w:val="1653865917"/>
          </w:sdtPr>
          <w:sdtContent>
            <w:tc>
              <w:tcPr>
                <w:tcW w:w="965" w:type="pct"/>
                <w:gridSpan w:val="2"/>
                <w:shd w:val="clear" w:color="auto" w:fill="auto"/>
                <w:vAlign w:val="center"/>
              </w:tcPr>
              <w:p>
                <w:pPr>
                  <w:autoSpaceDE w:val="0"/>
                  <w:autoSpaceDN w:val="0"/>
                  <w:adjustRightInd w:val="0"/>
                  <w:snapToGrid w:val="0"/>
                  <w:jc w:val="center"/>
                </w:pPr>
                <w:r>
                  <w:rPr>
                    <w:rFonts w:hint="eastAsia"/>
                  </w:rPr>
                  <w:t>本期减少</w:t>
                </w:r>
              </w:p>
            </w:tc>
          </w:sdtContent>
        </w:sdt>
        <w:sdt>
          <w:sdtPr>
            <w:tag w:val="_PLD_507192cf6da34101afd3a25ed1e4bd77"/>
            <w:id w:val="-1383246225"/>
          </w:sdtPr>
          <w:sdtContent>
            <w:tc>
              <w:tcPr>
                <w:tcW w:w="632" w:type="pct"/>
                <w:vMerge w:val="restart"/>
                <w:shd w:val="clear" w:color="auto" w:fill="auto"/>
                <w:vAlign w:val="center"/>
              </w:tcPr>
              <w:p>
                <w:pPr>
                  <w:autoSpaceDE w:val="0"/>
                  <w:autoSpaceDN w:val="0"/>
                  <w:adjustRightInd w:val="0"/>
                  <w:snapToGrid w:val="0"/>
                  <w:jc w:val="center"/>
                </w:pPr>
                <w:r>
                  <w:rPr>
                    <w:rFonts w:hint="eastAsia"/>
                  </w:rPr>
                  <w:t>外币报表折算差额</w:t>
                </w:r>
              </w:p>
            </w:tc>
          </w:sdtContent>
        </w:sdt>
        <w:sdt>
          <w:sdtPr>
            <w:tag w:val="_PLD_507192cf6da34101afd3a25ed1e4bd77"/>
            <w:id w:val="1133598342"/>
          </w:sdtPr>
          <w:sdtContent>
            <w:tc>
              <w:tcPr>
                <w:tcW w:w="515" w:type="pct"/>
                <w:vMerge w:val="restart"/>
                <w:shd w:val="clear" w:color="auto" w:fill="auto"/>
                <w:vAlign w:val="center"/>
              </w:tcPr>
              <w:p>
                <w:pPr>
                  <w:autoSpaceDE w:val="0"/>
                  <w:autoSpaceDN w:val="0"/>
                  <w:adjustRightInd w:val="0"/>
                  <w:snapToGrid w:val="0"/>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119" w:type="pct"/>
            <w:vMerge w:val="continue"/>
            <w:shd w:val="clear" w:color="auto" w:fill="auto"/>
          </w:tcPr>
          <w:p>
            <w:pPr>
              <w:autoSpaceDE w:val="0"/>
              <w:autoSpaceDN w:val="0"/>
              <w:adjustRightInd w:val="0"/>
              <w:snapToGrid w:val="0"/>
            </w:pPr>
          </w:p>
        </w:tc>
        <w:tc>
          <w:tcPr>
            <w:tcW w:w="613" w:type="pct"/>
            <w:vMerge w:val="continue"/>
            <w:shd w:val="clear" w:color="auto" w:fill="auto"/>
            <w:vAlign w:val="center"/>
          </w:tcPr>
          <w:p>
            <w:pPr>
              <w:autoSpaceDE w:val="0"/>
              <w:autoSpaceDN w:val="0"/>
              <w:adjustRightInd w:val="0"/>
              <w:snapToGrid w:val="0"/>
              <w:jc w:val="right"/>
            </w:pPr>
          </w:p>
        </w:tc>
        <w:tc>
          <w:tcPr>
            <w:tcW w:w="596" w:type="pct"/>
            <w:shd w:val="clear" w:color="auto" w:fill="auto"/>
            <w:vAlign w:val="center"/>
          </w:tcPr>
          <w:p>
            <w:pPr>
              <w:autoSpaceDE w:val="0"/>
              <w:autoSpaceDN w:val="0"/>
              <w:adjustRightInd w:val="0"/>
              <w:snapToGrid w:val="0"/>
              <w:jc w:val="center"/>
            </w:pPr>
            <w:r>
              <w:rPr>
                <w:rFonts w:hint="eastAsia"/>
              </w:rPr>
              <w:t>计提</w:t>
            </w:r>
          </w:p>
        </w:tc>
        <w:tc>
          <w:tcPr>
            <w:tcW w:w="562" w:type="pct"/>
            <w:shd w:val="clear" w:color="auto" w:fill="auto"/>
            <w:vAlign w:val="center"/>
          </w:tcPr>
          <w:p>
            <w:pPr>
              <w:autoSpaceDE w:val="0"/>
              <w:autoSpaceDN w:val="0"/>
              <w:adjustRightInd w:val="0"/>
              <w:snapToGrid w:val="0"/>
              <w:jc w:val="center"/>
            </w:pPr>
            <w:r>
              <w:rPr>
                <w:rFonts w:hint="eastAsia"/>
              </w:rPr>
              <w:t>其他　</w:t>
            </w:r>
          </w:p>
        </w:tc>
        <w:tc>
          <w:tcPr>
            <w:tcW w:w="482" w:type="pct"/>
            <w:shd w:val="clear" w:color="auto" w:fill="auto"/>
            <w:vAlign w:val="center"/>
          </w:tcPr>
          <w:p>
            <w:pPr>
              <w:autoSpaceDE w:val="0"/>
              <w:autoSpaceDN w:val="0"/>
              <w:adjustRightInd w:val="0"/>
              <w:snapToGrid w:val="0"/>
              <w:jc w:val="center"/>
            </w:pPr>
            <w:r>
              <w:rPr>
                <w:rFonts w:hint="eastAsia"/>
              </w:rPr>
              <w:t>处置</w:t>
            </w:r>
          </w:p>
        </w:tc>
        <w:tc>
          <w:tcPr>
            <w:tcW w:w="483" w:type="pct"/>
            <w:shd w:val="clear" w:color="auto" w:fill="auto"/>
            <w:vAlign w:val="center"/>
          </w:tcPr>
          <w:p>
            <w:pPr>
              <w:autoSpaceDE w:val="0"/>
              <w:autoSpaceDN w:val="0"/>
              <w:adjustRightInd w:val="0"/>
              <w:snapToGrid w:val="0"/>
              <w:jc w:val="center"/>
            </w:pPr>
            <w:r>
              <w:rPr>
                <w:rFonts w:hint="eastAsia"/>
              </w:rPr>
              <w:t>其他　</w:t>
            </w:r>
          </w:p>
        </w:tc>
        <w:tc>
          <w:tcPr>
            <w:tcW w:w="632" w:type="pct"/>
            <w:vMerge w:val="continue"/>
            <w:shd w:val="clear" w:color="auto" w:fill="auto"/>
          </w:tcPr>
          <w:p>
            <w:pPr>
              <w:autoSpaceDE w:val="0"/>
              <w:autoSpaceDN w:val="0"/>
              <w:adjustRightInd w:val="0"/>
              <w:snapToGrid w:val="0"/>
              <w:jc w:val="center"/>
            </w:pPr>
          </w:p>
        </w:tc>
        <w:tc>
          <w:tcPr>
            <w:tcW w:w="515" w:type="pct"/>
            <w:vMerge w:val="continue"/>
            <w:shd w:val="clear" w:color="auto" w:fill="auto"/>
          </w:tcPr>
          <w:p>
            <w:pPr>
              <w:autoSpaceDE w:val="0"/>
              <w:autoSpaceDN w:val="0"/>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19" w:type="pct"/>
            <w:shd w:val="clear" w:color="auto" w:fill="auto"/>
          </w:tcPr>
          <w:p>
            <w:pPr>
              <w:autoSpaceDE w:val="0"/>
              <w:autoSpaceDN w:val="0"/>
              <w:adjustRightInd w:val="0"/>
              <w:snapToGrid w:val="0"/>
            </w:pPr>
            <w:r>
              <w:rPr>
                <w:rFonts w:hint="eastAsia"/>
              </w:rPr>
              <w:t>收购鑫泰</w:t>
            </w:r>
          </w:p>
        </w:tc>
        <w:tc>
          <w:tcPr>
            <w:tcW w:w="613" w:type="pct"/>
            <w:shd w:val="clear" w:color="auto" w:fill="auto"/>
          </w:tcPr>
          <w:p>
            <w:pPr>
              <w:autoSpaceDE w:val="0"/>
              <w:autoSpaceDN w:val="0"/>
              <w:adjustRightInd w:val="0"/>
              <w:snapToGrid w:val="0"/>
              <w:jc w:val="right"/>
              <w:rPr>
                <w:rFonts w:ascii="宋体" w:hAnsi="宋体"/>
              </w:rPr>
            </w:pPr>
            <w:r>
              <w:rPr>
                <w:rFonts w:hint="eastAsia" w:ascii="宋体" w:hAnsi="宋体"/>
              </w:rPr>
              <w:t>653,836</w:t>
            </w:r>
          </w:p>
        </w:tc>
        <w:tc>
          <w:tcPr>
            <w:tcW w:w="596"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3" w:type="pct"/>
            <w:shd w:val="clear" w:color="auto" w:fill="auto"/>
          </w:tcPr>
          <w:p>
            <w:pPr>
              <w:autoSpaceDE w:val="0"/>
              <w:autoSpaceDN w:val="0"/>
              <w:adjustRightInd w:val="0"/>
              <w:snapToGrid w:val="0"/>
              <w:jc w:val="right"/>
              <w:rPr>
                <w:rFonts w:ascii="宋体" w:hAnsi="宋体"/>
              </w:rPr>
            </w:pPr>
          </w:p>
        </w:tc>
        <w:tc>
          <w:tcPr>
            <w:tcW w:w="632" w:type="pct"/>
            <w:shd w:val="clear" w:color="auto" w:fill="auto"/>
          </w:tcPr>
          <w:p>
            <w:pPr>
              <w:autoSpaceDE w:val="0"/>
              <w:autoSpaceDN w:val="0"/>
              <w:adjustRightInd w:val="0"/>
              <w:snapToGrid w:val="0"/>
              <w:jc w:val="right"/>
              <w:rPr>
                <w:rFonts w:ascii="宋体" w:hAnsi="宋体"/>
              </w:rPr>
            </w:pPr>
          </w:p>
        </w:tc>
        <w:tc>
          <w:tcPr>
            <w:tcW w:w="515" w:type="pct"/>
            <w:shd w:val="clear" w:color="auto" w:fill="auto"/>
          </w:tcPr>
          <w:p>
            <w:pPr>
              <w:autoSpaceDE w:val="0"/>
              <w:autoSpaceDN w:val="0"/>
              <w:adjustRightInd w:val="0"/>
              <w:snapToGrid w:val="0"/>
              <w:jc w:val="right"/>
              <w:rPr>
                <w:rFonts w:ascii="宋体" w:hAnsi="宋体"/>
              </w:rPr>
            </w:pPr>
            <w:r>
              <w:rPr>
                <w:rFonts w:ascii="宋体" w:hAnsi="宋体"/>
              </w:rPr>
              <w:t>653,836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19" w:type="pct"/>
            <w:shd w:val="clear" w:color="auto" w:fill="auto"/>
          </w:tcPr>
          <w:p>
            <w:pPr>
              <w:autoSpaceDE w:val="0"/>
              <w:autoSpaceDN w:val="0"/>
              <w:adjustRightInd w:val="0"/>
              <w:snapToGrid w:val="0"/>
            </w:pPr>
            <w:r>
              <w:rPr>
                <w:rFonts w:hint="eastAsia"/>
              </w:rPr>
              <w:t>收购兖煤资源</w:t>
            </w:r>
          </w:p>
        </w:tc>
        <w:tc>
          <w:tcPr>
            <w:tcW w:w="613" w:type="pct"/>
            <w:shd w:val="clear" w:color="auto" w:fill="auto"/>
          </w:tcPr>
          <w:p>
            <w:pPr>
              <w:autoSpaceDE w:val="0"/>
              <w:autoSpaceDN w:val="0"/>
              <w:adjustRightInd w:val="0"/>
              <w:snapToGrid w:val="0"/>
              <w:jc w:val="right"/>
              <w:rPr>
                <w:rFonts w:ascii="宋体" w:hAnsi="宋体"/>
              </w:rPr>
            </w:pPr>
            <w:r>
              <w:rPr>
                <w:rFonts w:hint="eastAsia" w:ascii="宋体" w:hAnsi="宋体"/>
              </w:rPr>
              <w:t>8,019</w:t>
            </w:r>
          </w:p>
        </w:tc>
        <w:tc>
          <w:tcPr>
            <w:tcW w:w="596"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3" w:type="pct"/>
            <w:shd w:val="clear" w:color="auto" w:fill="auto"/>
          </w:tcPr>
          <w:p>
            <w:pPr>
              <w:autoSpaceDE w:val="0"/>
              <w:autoSpaceDN w:val="0"/>
              <w:adjustRightInd w:val="0"/>
              <w:snapToGrid w:val="0"/>
              <w:jc w:val="right"/>
              <w:rPr>
                <w:rFonts w:ascii="宋体" w:hAnsi="宋体"/>
              </w:rPr>
            </w:pPr>
          </w:p>
        </w:tc>
        <w:tc>
          <w:tcPr>
            <w:tcW w:w="632" w:type="pct"/>
            <w:shd w:val="clear" w:color="auto" w:fill="auto"/>
          </w:tcPr>
          <w:p>
            <w:pPr>
              <w:autoSpaceDE w:val="0"/>
              <w:autoSpaceDN w:val="0"/>
              <w:adjustRightInd w:val="0"/>
              <w:snapToGrid w:val="0"/>
              <w:jc w:val="right"/>
              <w:rPr>
                <w:rFonts w:ascii="宋体" w:hAnsi="宋体"/>
              </w:rPr>
            </w:pPr>
            <w:r>
              <w:rPr>
                <w:rFonts w:ascii="宋体" w:hAnsi="宋体"/>
              </w:rPr>
              <w:t>228</w:t>
            </w:r>
          </w:p>
        </w:tc>
        <w:tc>
          <w:tcPr>
            <w:tcW w:w="515" w:type="pct"/>
            <w:shd w:val="clear" w:color="auto" w:fill="auto"/>
          </w:tcPr>
          <w:p>
            <w:pPr>
              <w:autoSpaceDE w:val="0"/>
              <w:autoSpaceDN w:val="0"/>
              <w:adjustRightInd w:val="0"/>
              <w:snapToGrid w:val="0"/>
              <w:jc w:val="right"/>
              <w:rPr>
                <w:rFonts w:ascii="宋体" w:hAnsi="宋体"/>
              </w:rPr>
            </w:pPr>
            <w:r>
              <w:rPr>
                <w:rFonts w:ascii="宋体" w:hAnsi="宋体"/>
              </w:rPr>
              <w:t>8,247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19" w:type="pct"/>
            <w:shd w:val="clear" w:color="auto" w:fill="auto"/>
          </w:tcPr>
          <w:p>
            <w:pPr>
              <w:autoSpaceDE w:val="0"/>
              <w:autoSpaceDN w:val="0"/>
              <w:adjustRightInd w:val="0"/>
              <w:snapToGrid w:val="0"/>
            </w:pPr>
            <w:r>
              <w:rPr>
                <w:rFonts w:hint="eastAsia"/>
              </w:rPr>
              <w:t>收购普力马</w:t>
            </w:r>
          </w:p>
        </w:tc>
        <w:tc>
          <w:tcPr>
            <w:tcW w:w="613" w:type="pct"/>
            <w:shd w:val="clear" w:color="auto" w:fill="auto"/>
          </w:tcPr>
          <w:p>
            <w:pPr>
              <w:autoSpaceDE w:val="0"/>
              <w:autoSpaceDN w:val="0"/>
              <w:adjustRightInd w:val="0"/>
              <w:snapToGrid w:val="0"/>
              <w:jc w:val="right"/>
              <w:rPr>
                <w:rFonts w:ascii="宋体" w:hAnsi="宋体"/>
              </w:rPr>
            </w:pPr>
            <w:r>
              <w:rPr>
                <w:rFonts w:hint="eastAsia" w:ascii="宋体" w:hAnsi="宋体"/>
              </w:rPr>
              <w:t>12,822</w:t>
            </w:r>
          </w:p>
        </w:tc>
        <w:tc>
          <w:tcPr>
            <w:tcW w:w="596"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3" w:type="pct"/>
            <w:shd w:val="clear" w:color="auto" w:fill="auto"/>
          </w:tcPr>
          <w:p>
            <w:pPr>
              <w:autoSpaceDE w:val="0"/>
              <w:autoSpaceDN w:val="0"/>
              <w:adjustRightInd w:val="0"/>
              <w:snapToGrid w:val="0"/>
              <w:jc w:val="right"/>
              <w:rPr>
                <w:rFonts w:ascii="宋体" w:hAnsi="宋体"/>
              </w:rPr>
            </w:pPr>
          </w:p>
        </w:tc>
        <w:tc>
          <w:tcPr>
            <w:tcW w:w="632" w:type="pct"/>
            <w:shd w:val="clear" w:color="auto" w:fill="auto"/>
          </w:tcPr>
          <w:p>
            <w:pPr>
              <w:autoSpaceDE w:val="0"/>
              <w:autoSpaceDN w:val="0"/>
              <w:adjustRightInd w:val="0"/>
              <w:snapToGrid w:val="0"/>
              <w:jc w:val="right"/>
              <w:rPr>
                <w:rFonts w:ascii="宋体" w:hAnsi="宋体"/>
              </w:rPr>
            </w:pPr>
            <w:r>
              <w:rPr>
                <w:rFonts w:ascii="宋体" w:hAnsi="宋体"/>
              </w:rPr>
              <w:t>366</w:t>
            </w:r>
          </w:p>
        </w:tc>
        <w:tc>
          <w:tcPr>
            <w:tcW w:w="515" w:type="pct"/>
            <w:shd w:val="clear" w:color="auto" w:fill="auto"/>
          </w:tcPr>
          <w:p>
            <w:pPr>
              <w:autoSpaceDE w:val="0"/>
              <w:autoSpaceDN w:val="0"/>
              <w:adjustRightInd w:val="0"/>
              <w:snapToGrid w:val="0"/>
              <w:jc w:val="right"/>
              <w:rPr>
                <w:rFonts w:ascii="宋体" w:hAnsi="宋体"/>
              </w:rPr>
            </w:pPr>
            <w:r>
              <w:rPr>
                <w:rFonts w:ascii="宋体" w:hAnsi="宋体"/>
              </w:rPr>
              <w:t>13,188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19" w:type="pct"/>
            <w:shd w:val="clear" w:color="auto" w:fill="auto"/>
          </w:tcPr>
          <w:p>
            <w:pPr>
              <w:autoSpaceDE w:val="0"/>
              <w:autoSpaceDN w:val="0"/>
              <w:adjustRightInd w:val="0"/>
              <w:snapToGrid w:val="0"/>
            </w:pPr>
            <w:r>
              <w:rPr>
                <w:rFonts w:hint="eastAsia"/>
              </w:rPr>
              <w:t>收购卡松科技</w:t>
            </w:r>
          </w:p>
        </w:tc>
        <w:tc>
          <w:tcPr>
            <w:tcW w:w="613" w:type="pct"/>
            <w:shd w:val="clear" w:color="auto" w:fill="auto"/>
          </w:tcPr>
          <w:p>
            <w:pPr>
              <w:autoSpaceDE w:val="0"/>
              <w:autoSpaceDN w:val="0"/>
              <w:adjustRightInd w:val="0"/>
              <w:snapToGrid w:val="0"/>
              <w:jc w:val="right"/>
              <w:rPr>
                <w:rFonts w:ascii="宋体" w:hAnsi="宋体"/>
              </w:rPr>
            </w:pPr>
            <w:r>
              <w:rPr>
                <w:rFonts w:hint="eastAsia" w:ascii="宋体" w:hAnsi="宋体"/>
              </w:rPr>
              <w:t>31,543</w:t>
            </w:r>
          </w:p>
        </w:tc>
        <w:tc>
          <w:tcPr>
            <w:tcW w:w="596"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3" w:type="pct"/>
            <w:shd w:val="clear" w:color="auto" w:fill="auto"/>
          </w:tcPr>
          <w:p>
            <w:pPr>
              <w:autoSpaceDE w:val="0"/>
              <w:autoSpaceDN w:val="0"/>
              <w:adjustRightInd w:val="0"/>
              <w:snapToGrid w:val="0"/>
              <w:jc w:val="right"/>
              <w:rPr>
                <w:rFonts w:ascii="宋体" w:hAnsi="宋体"/>
              </w:rPr>
            </w:pPr>
          </w:p>
        </w:tc>
        <w:tc>
          <w:tcPr>
            <w:tcW w:w="632" w:type="pct"/>
            <w:shd w:val="clear" w:color="auto" w:fill="auto"/>
          </w:tcPr>
          <w:p>
            <w:pPr>
              <w:autoSpaceDE w:val="0"/>
              <w:autoSpaceDN w:val="0"/>
              <w:adjustRightInd w:val="0"/>
              <w:snapToGrid w:val="0"/>
              <w:jc w:val="right"/>
              <w:rPr>
                <w:rFonts w:ascii="宋体" w:hAnsi="宋体"/>
              </w:rPr>
            </w:pPr>
          </w:p>
        </w:tc>
        <w:tc>
          <w:tcPr>
            <w:tcW w:w="515" w:type="pct"/>
            <w:shd w:val="clear" w:color="auto" w:fill="auto"/>
          </w:tcPr>
          <w:p>
            <w:pPr>
              <w:autoSpaceDE w:val="0"/>
              <w:autoSpaceDN w:val="0"/>
              <w:adjustRightInd w:val="0"/>
              <w:snapToGrid w:val="0"/>
              <w:jc w:val="right"/>
              <w:rPr>
                <w:rFonts w:ascii="宋体" w:hAnsi="宋体"/>
              </w:rPr>
            </w:pPr>
            <w:r>
              <w:rPr>
                <w:rFonts w:ascii="宋体" w:hAnsi="宋体"/>
              </w:rPr>
              <w:t>31,543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19" w:type="pct"/>
            <w:shd w:val="clear" w:color="auto" w:fill="auto"/>
            <w:vAlign w:val="center"/>
          </w:tcPr>
          <w:p>
            <w:pPr>
              <w:autoSpaceDE w:val="0"/>
              <w:autoSpaceDN w:val="0"/>
              <w:adjustRightInd w:val="0"/>
              <w:snapToGrid w:val="0"/>
              <w:jc w:val="center"/>
              <w:rPr>
                <w:u w:val="double"/>
              </w:rPr>
            </w:pPr>
            <w:r>
              <w:rPr>
                <w:rFonts w:hint="eastAsia"/>
              </w:rPr>
              <w:t>合计</w:t>
            </w:r>
          </w:p>
        </w:tc>
        <w:tc>
          <w:tcPr>
            <w:tcW w:w="613" w:type="pct"/>
            <w:shd w:val="clear" w:color="auto" w:fill="auto"/>
          </w:tcPr>
          <w:p>
            <w:pPr>
              <w:autoSpaceDE w:val="0"/>
              <w:autoSpaceDN w:val="0"/>
              <w:adjustRightInd w:val="0"/>
              <w:snapToGrid w:val="0"/>
              <w:jc w:val="right"/>
              <w:rPr>
                <w:rFonts w:ascii="宋体" w:hAnsi="宋体"/>
              </w:rPr>
            </w:pPr>
            <w:r>
              <w:rPr>
                <w:rFonts w:ascii="宋体" w:hAnsi="宋体"/>
              </w:rPr>
              <w:t>706,220</w:t>
            </w:r>
          </w:p>
        </w:tc>
        <w:tc>
          <w:tcPr>
            <w:tcW w:w="596" w:type="pct"/>
            <w:shd w:val="clear" w:color="auto" w:fill="auto"/>
          </w:tcPr>
          <w:p>
            <w:pPr>
              <w:autoSpaceDE w:val="0"/>
              <w:autoSpaceDN w:val="0"/>
              <w:adjustRightInd w:val="0"/>
              <w:snapToGrid w:val="0"/>
              <w:jc w:val="right"/>
              <w:rPr>
                <w:rFonts w:ascii="宋体" w:hAnsi="宋体"/>
              </w:rPr>
            </w:pPr>
          </w:p>
        </w:tc>
        <w:tc>
          <w:tcPr>
            <w:tcW w:w="562" w:type="pct"/>
            <w:shd w:val="clear" w:color="auto" w:fill="auto"/>
          </w:tcPr>
          <w:p>
            <w:pPr>
              <w:autoSpaceDE w:val="0"/>
              <w:autoSpaceDN w:val="0"/>
              <w:adjustRightInd w:val="0"/>
              <w:snapToGrid w:val="0"/>
              <w:jc w:val="right"/>
              <w:rPr>
                <w:rFonts w:ascii="宋体" w:hAnsi="宋体"/>
              </w:rPr>
            </w:pPr>
          </w:p>
        </w:tc>
        <w:tc>
          <w:tcPr>
            <w:tcW w:w="482" w:type="pct"/>
            <w:shd w:val="clear" w:color="auto" w:fill="auto"/>
          </w:tcPr>
          <w:p>
            <w:pPr>
              <w:autoSpaceDE w:val="0"/>
              <w:autoSpaceDN w:val="0"/>
              <w:adjustRightInd w:val="0"/>
              <w:snapToGrid w:val="0"/>
              <w:jc w:val="right"/>
              <w:rPr>
                <w:rFonts w:ascii="宋体" w:hAnsi="宋体"/>
              </w:rPr>
            </w:pPr>
          </w:p>
        </w:tc>
        <w:tc>
          <w:tcPr>
            <w:tcW w:w="483" w:type="pct"/>
            <w:shd w:val="clear" w:color="auto" w:fill="auto"/>
          </w:tcPr>
          <w:p>
            <w:pPr>
              <w:autoSpaceDE w:val="0"/>
              <w:autoSpaceDN w:val="0"/>
              <w:adjustRightInd w:val="0"/>
              <w:snapToGrid w:val="0"/>
              <w:jc w:val="right"/>
              <w:rPr>
                <w:rFonts w:ascii="宋体" w:hAnsi="宋体"/>
              </w:rPr>
            </w:pPr>
          </w:p>
        </w:tc>
        <w:tc>
          <w:tcPr>
            <w:tcW w:w="632" w:type="pct"/>
            <w:shd w:val="clear" w:color="auto" w:fill="auto"/>
          </w:tcPr>
          <w:p>
            <w:pPr>
              <w:autoSpaceDE w:val="0"/>
              <w:autoSpaceDN w:val="0"/>
              <w:adjustRightInd w:val="0"/>
              <w:snapToGrid w:val="0"/>
              <w:jc w:val="right"/>
              <w:rPr>
                <w:rFonts w:ascii="宋体" w:hAnsi="宋体"/>
              </w:rPr>
            </w:pPr>
            <w:r>
              <w:rPr>
                <w:rFonts w:ascii="宋体" w:hAnsi="宋体"/>
              </w:rPr>
              <w:t>594</w:t>
            </w:r>
          </w:p>
        </w:tc>
        <w:tc>
          <w:tcPr>
            <w:tcW w:w="515" w:type="pct"/>
            <w:shd w:val="clear" w:color="auto" w:fill="auto"/>
          </w:tcPr>
          <w:p>
            <w:pPr>
              <w:autoSpaceDE w:val="0"/>
              <w:autoSpaceDN w:val="0"/>
              <w:adjustRightInd w:val="0"/>
              <w:snapToGrid w:val="0"/>
              <w:jc w:val="right"/>
              <w:rPr>
                <w:rFonts w:ascii="宋体" w:hAnsi="宋体"/>
              </w:rPr>
            </w:pPr>
            <w:r>
              <w:rPr>
                <w:rFonts w:ascii="宋体" w:hAnsi="宋体"/>
              </w:rPr>
              <w:t>706,814</w:t>
            </w:r>
          </w:p>
        </w:tc>
      </w:tr>
    </w:tbl>
    <w:p>
      <w:pPr>
        <w:pStyle w:val="501"/>
      </w:pPr>
    </w:p>
    <w:p>
      <w:pPr>
        <w:pStyle w:val="505"/>
        <w:numPr>
          <w:ilvl w:val="3"/>
          <w:numId w:val="91"/>
        </w:numPr>
        <w:ind w:left="426" w:hanging="426"/>
        <w:rPr>
          <w:rFonts w:ascii="宋体" w:hAnsi="宋体" w:eastAsia="宋体" w:cs="宋体"/>
          <w:kern w:val="0"/>
          <w:szCs w:val="24"/>
        </w:rPr>
      </w:pPr>
      <w:r>
        <w:rPr>
          <w:rFonts w:hint="eastAsia" w:ascii="宋体" w:hAnsi="宋体" w:eastAsia="宋体" w:cs="宋体"/>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2082254045"/>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资产组或资产组组合发生变化</w:t>
      </w:r>
    </w:p>
    <w:sdt>
      <w:sdtPr>
        <w:alias w:val="是否适用：资产组或资产组组合发生变化[双击切换]"/>
        <w:tag w:val="_GBC_31d9e35c99cb43c2ad1aced4a6a40606"/>
        <w:id w:val="-301156445"/>
        <w:placeholder>
          <w:docPart w:val="GBC22222222222222222222222222222"/>
        </w:placeholder>
      </w:sdtPr>
      <w:sdtContent>
        <w:p>
          <w:pPr>
            <w:pStyle w:val="531"/>
          </w:pPr>
          <w:bookmarkStart w:id="300" w:name="_Hlk15346288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0"/>
    <w:p>
      <w:pPr>
        <w:pStyle w:val="531"/>
      </w:pPr>
    </w:p>
    <w:p>
      <w:pPr>
        <w:pStyle w:val="531"/>
      </w:pPr>
      <w:r>
        <w:rPr>
          <w:rFonts w:hint="eastAsia"/>
        </w:rPr>
        <w:t>其他说明</w:t>
      </w:r>
    </w:p>
    <w:sdt>
      <w:sdtPr>
        <w:alias w:val="是否适用：商誉所在资产组或资产组组合的相关信息其他说明[双击切换]"/>
        <w:tag w:val="_GBC_9f9bd4d9cf084d4594694aa545981d14"/>
        <w:id w:val="1410192526"/>
        <w:placeholder>
          <w:docPart w:val="GBC22222222222222222222222222222"/>
        </w:placeholder>
      </w:sdtPr>
      <w:sdtContent>
        <w:p>
          <w:pPr>
            <w:pStyle w:val="531"/>
          </w:pPr>
          <w:bookmarkStart w:id="301" w:name="_Hlk15294873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1"/>
    <w:p>
      <w:pPr>
        <w:pStyle w:val="531"/>
      </w:pPr>
    </w:p>
    <w:p>
      <w:pPr>
        <w:pStyle w:val="505"/>
        <w:numPr>
          <w:ilvl w:val="3"/>
          <w:numId w:val="91"/>
        </w:numPr>
        <w:ind w:left="424" w:hanging="424" w:hangingChars="201"/>
      </w:pPr>
      <w:r>
        <w:rPr>
          <w:rFonts w:hint="eastAsia"/>
        </w:rPr>
        <w:t>可收回金额的具体确定方法</w:t>
      </w:r>
    </w:p>
    <w:p>
      <w:pPr>
        <w:pStyle w:val="531"/>
      </w:pPr>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1059549317"/>
        <w:placeholder>
          <w:docPart w:val="GBC22222222222222222222222222222"/>
        </w:placeholder>
      </w:sdtPr>
      <w:sdtContent>
        <w:p>
          <w:pPr>
            <w:pStyle w:val="531"/>
          </w:pPr>
          <w:bookmarkStart w:id="302" w:name="_Hlk15346307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987162117"/>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242616335"/>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p>
      <w:pPr>
        <w:pStyle w:val="531"/>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209190850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2"/>
    <w:p>
      <w:pPr>
        <w:snapToGrid w:val="0"/>
        <w:spacing w:line="240" w:lineRule="atLeast"/>
      </w:pPr>
    </w:p>
    <w:p>
      <w:pPr>
        <w:pStyle w:val="505"/>
        <w:numPr>
          <w:ilvl w:val="3"/>
          <w:numId w:val="91"/>
        </w:numPr>
        <w:ind w:left="426" w:hanging="426"/>
        <w:rPr>
          <w:rFonts w:ascii="宋体" w:hAnsi="宋体" w:eastAsia="宋体" w:cs="宋体"/>
          <w:kern w:val="0"/>
          <w:szCs w:val="24"/>
        </w:rPr>
      </w:pPr>
      <w:r>
        <w:rPr>
          <w:rFonts w:hint="eastAsia" w:ascii="宋体" w:hAnsi="宋体" w:eastAsia="宋体" w:cs="宋体"/>
          <w:kern w:val="0"/>
          <w:szCs w:val="24"/>
        </w:rPr>
        <w:t>业绩承诺及对应商誉减值情况</w:t>
      </w:r>
    </w:p>
    <w:p>
      <w:pPr>
        <w:pStyle w:val="531"/>
      </w:pPr>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440915156"/>
        <w:placeholder>
          <w:docPart w:val="GBC22222222222222222222222222222"/>
        </w:placeholder>
      </w:sdtPr>
      <w:sdtContent>
        <w:p>
          <w:pPr>
            <w:pStyle w:val="531"/>
          </w:pPr>
          <w:bookmarkStart w:id="303" w:name="_Hlk15346344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3"/>
    <w:p>
      <w:pPr>
        <w:pStyle w:val="531"/>
      </w:pPr>
    </w:p>
    <w:p>
      <w:pPr>
        <w:pStyle w:val="531"/>
      </w:pPr>
      <w:r>
        <w:rPr>
          <w:rFonts w:hint="eastAsia"/>
        </w:rPr>
        <w:t>其他说明</w:t>
      </w:r>
    </w:p>
    <w:sdt>
      <w:sdtPr>
        <w:alias w:val="是否适用：商誉其他需要说明的事项[双击切换]"/>
        <w:tag w:val="_GBC_99f8ebd0cb464294bea4051ad19cf581"/>
        <w:id w:val="-185871916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rFonts w:cstheme="minorBidi"/>
        </w:rPr>
      </w:pPr>
    </w:p>
    <w:p>
      <w:pPr>
        <w:pStyle w:val="504"/>
        <w:numPr>
          <w:ilvl w:val="0"/>
          <w:numId w:val="69"/>
        </w:numPr>
        <w:tabs>
          <w:tab w:val="left" w:pos="504"/>
        </w:tabs>
        <w:rPr>
          <w:rFonts w:ascii="宋体" w:hAnsi="宋体"/>
          <w:szCs w:val="21"/>
        </w:rPr>
      </w:pPr>
      <w:r>
        <w:rPr>
          <w:rFonts w:hint="eastAsia" w:ascii="宋体" w:hAnsi="宋体"/>
          <w:szCs w:val="21"/>
        </w:rPr>
        <w:t>长期待摊费用</w:t>
      </w:r>
    </w:p>
    <w:sdt>
      <w:sdtPr>
        <w:alias w:val="是否适用：长期待摊费用[双击切换]"/>
        <w:tag w:val="_GBC_cbcb541b65cd4be6b93f357c0fdd9f09"/>
        <w:id w:val="-64535535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递延所得税资产/ 递延所得税负债</w:t>
      </w:r>
    </w:p>
    <w:p>
      <w:pPr>
        <w:pStyle w:val="505"/>
        <w:numPr>
          <w:ilvl w:val="0"/>
          <w:numId w:val="92"/>
        </w:numPr>
        <w:ind w:left="426" w:hanging="426"/>
      </w:pPr>
      <w:r>
        <w:rPr>
          <w:rFonts w:hint="eastAsia"/>
        </w:rPr>
        <w:t>未经抵销的递延所得税资产</w:t>
      </w:r>
    </w:p>
    <w:sdt>
      <w:sdtPr>
        <w:alias w:val="是否适用：未经抵销的递延所得税资产[双击切换]"/>
        <w:tag w:val="_GBC_ba4415ee4af24efe852073192d94c115"/>
        <w:id w:val="1004481539"/>
        <w:placeholder>
          <w:docPart w:val="GBC22222222222222222222222222222"/>
        </w:placeholder>
      </w:sdtPr>
      <w:sdtContent>
        <w:p>
          <w:pPr>
            <w:pStyle w:val="531"/>
          </w:pPr>
          <w:bookmarkStart w:id="304" w:name="_Hlk2410345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已确认的递延所得税资产和递延所得税负债"/>
          <w:tag w:val="_GBC_39a9c92575cb4f1c9a029fb2f64168e5"/>
          <w:id w:val="-10164669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已确认的递延所得税资产和递延所得税负债"/>
          <w:tag w:val="_GBC_33d1ac52f1ce463294fce1044445d46f"/>
          <w:id w:val="958380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1651"/>
        <w:gridCol w:w="1647"/>
        <w:gridCol w:w="1664"/>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sdt>
          <w:sdtPr>
            <w:tag w:val="_PLD_e006c9e7b70844cd8ef6f2cbb5161589"/>
            <w:id w:val="1107619642"/>
          </w:sdtPr>
          <w:sdtContent>
            <w:tc>
              <w:tcPr>
                <w:tcW w:w="1350" w:type="pct"/>
                <w:vMerge w:val="restart"/>
                <w:shd w:val="clear" w:color="auto" w:fill="auto"/>
                <w:vAlign w:val="center"/>
              </w:tcPr>
              <w:p>
                <w:pPr>
                  <w:jc w:val="center"/>
                </w:pPr>
                <w:r>
                  <w:rPr>
                    <w:rFonts w:hint="eastAsia"/>
                  </w:rPr>
                  <w:t>项目</w:t>
                </w:r>
              </w:p>
            </w:tc>
          </w:sdtContent>
        </w:sdt>
        <w:sdt>
          <w:sdtPr>
            <w:tag w:val="_PLD_9380d941020241f39819205f4df8c355"/>
            <w:id w:val="-371004358"/>
          </w:sdtPr>
          <w:sdtContent>
            <w:tc>
              <w:tcPr>
                <w:tcW w:w="1822" w:type="pct"/>
                <w:gridSpan w:val="2"/>
                <w:shd w:val="clear" w:color="auto" w:fill="auto"/>
                <w:vAlign w:val="center"/>
              </w:tcPr>
              <w:p>
                <w:pPr>
                  <w:jc w:val="center"/>
                </w:pPr>
                <w:r>
                  <w:rPr>
                    <w:rFonts w:hint="eastAsia"/>
                  </w:rPr>
                  <w:t>期末余额</w:t>
                </w:r>
              </w:p>
            </w:tc>
          </w:sdtContent>
        </w:sdt>
        <w:sdt>
          <w:sdtPr>
            <w:tag w:val="_PLD_40d587838e534f37a8f9a9e7e2020671"/>
            <w:id w:val="-512379876"/>
          </w:sdtPr>
          <w:sdtContent>
            <w:tc>
              <w:tcPr>
                <w:tcW w:w="1828" w:type="pct"/>
                <w:gridSpan w:val="2"/>
                <w:shd w:val="clear" w:color="auto" w:fill="auto"/>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350" w:type="pct"/>
            <w:vMerge w:val="continue"/>
            <w:shd w:val="clear" w:color="auto" w:fill="auto"/>
            <w:vAlign w:val="center"/>
          </w:tcPr>
          <w:p>
            <w:pPr>
              <w:jc w:val="center"/>
              <w:rPr>
                <w:b/>
              </w:rPr>
            </w:pPr>
          </w:p>
        </w:tc>
        <w:sdt>
          <w:sdtPr>
            <w:tag w:val="_PLD_c239006a5e6040d58bedd94ab36e9784"/>
            <w:id w:val="218955805"/>
          </w:sdtPr>
          <w:sdtContent>
            <w:tc>
              <w:tcPr>
                <w:tcW w:w="912" w:type="pct"/>
                <w:shd w:val="clear" w:color="auto" w:fill="auto"/>
                <w:vAlign w:val="center"/>
              </w:tcPr>
              <w:p>
                <w:pPr>
                  <w:jc w:val="center"/>
                </w:pPr>
                <w:r>
                  <w:rPr>
                    <w:rFonts w:hint="eastAsia"/>
                  </w:rPr>
                  <w:t>可抵扣暂时性差异</w:t>
                </w:r>
              </w:p>
            </w:tc>
          </w:sdtContent>
        </w:sdt>
        <w:sdt>
          <w:sdtPr>
            <w:tag w:val="_PLD_1559717fc58743e19a1e868ac528fbc0"/>
            <w:id w:val="-1462576625"/>
          </w:sdtPr>
          <w:sdtContent>
            <w:tc>
              <w:tcPr>
                <w:tcW w:w="910" w:type="pct"/>
                <w:shd w:val="clear" w:color="auto" w:fill="auto"/>
                <w:vAlign w:val="center"/>
              </w:tcPr>
              <w:p>
                <w:pPr>
                  <w:jc w:val="center"/>
                </w:pPr>
                <w:r>
                  <w:rPr>
                    <w:rFonts w:hint="eastAsia"/>
                  </w:rPr>
                  <w:t>递延所得税</w:t>
                </w:r>
              </w:p>
              <w:p>
                <w:pPr>
                  <w:jc w:val="center"/>
                </w:pPr>
                <w:r>
                  <w:rPr>
                    <w:rFonts w:hint="eastAsia"/>
                  </w:rPr>
                  <w:t>资产</w:t>
                </w:r>
              </w:p>
            </w:tc>
          </w:sdtContent>
        </w:sdt>
        <w:sdt>
          <w:sdtPr>
            <w:tag w:val="_PLD_de171afb73ff474dbccc47c2cec6d4f1"/>
            <w:id w:val="-342091141"/>
          </w:sdtPr>
          <w:sdtContent>
            <w:tc>
              <w:tcPr>
                <w:tcW w:w="919" w:type="pct"/>
                <w:shd w:val="clear" w:color="auto" w:fill="auto"/>
                <w:vAlign w:val="center"/>
              </w:tcPr>
              <w:p>
                <w:pPr>
                  <w:jc w:val="center"/>
                </w:pPr>
                <w:r>
                  <w:rPr>
                    <w:rFonts w:hint="eastAsia"/>
                  </w:rPr>
                  <w:t>可抵扣暂时性差异</w:t>
                </w:r>
              </w:p>
            </w:tc>
          </w:sdtContent>
        </w:sdt>
        <w:sdt>
          <w:sdtPr>
            <w:tag w:val="_PLD_bafc90864e7347e5bb50ec31a5dffe05"/>
            <w:id w:val="1063445603"/>
          </w:sdtPr>
          <w:sdtContent>
            <w:tc>
              <w:tcPr>
                <w:tcW w:w="909" w:type="pct"/>
                <w:shd w:val="clear" w:color="auto" w:fill="auto"/>
                <w:vAlign w:val="center"/>
              </w:tcPr>
              <w:p>
                <w:pPr>
                  <w:jc w:val="center"/>
                </w:pPr>
                <w:r>
                  <w:rPr>
                    <w:rFonts w:hint="eastAsia"/>
                  </w:rPr>
                  <w:t>递延所得税</w:t>
                </w:r>
              </w:p>
              <w:p>
                <w:pPr>
                  <w:jc w:val="center"/>
                </w:pPr>
                <w:r>
                  <w:rPr>
                    <w:rFonts w:hint="eastAsia"/>
                  </w:rPr>
                  <w:t>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b/>
                <w:bCs/>
              </w:rPr>
            </w:pPr>
            <w:r>
              <w:rPr>
                <w:rFonts w:hint="eastAsia" w:asciiTheme="majorEastAsia" w:hAnsiTheme="majorEastAsia" w:eastAsiaTheme="majorEastAsia"/>
                <w:b/>
                <w:bCs/>
              </w:rPr>
              <w:t>母公司及境内子公司</w:t>
            </w:r>
          </w:p>
        </w:tc>
        <w:tc>
          <w:tcPr>
            <w:tcW w:w="912" w:type="pct"/>
            <w:shd w:val="clear" w:color="auto" w:fill="auto"/>
          </w:tcPr>
          <w:p>
            <w:pPr>
              <w:jc w:val="right"/>
              <w:rPr>
                <w:rFonts w:asciiTheme="majorEastAsia" w:hAnsiTheme="majorEastAsia" w:eastAsiaTheme="majorEastAsia"/>
              </w:rPr>
            </w:pPr>
          </w:p>
        </w:tc>
        <w:tc>
          <w:tcPr>
            <w:tcW w:w="910" w:type="pct"/>
            <w:shd w:val="clear" w:color="auto" w:fill="auto"/>
          </w:tcPr>
          <w:p>
            <w:pPr>
              <w:jc w:val="right"/>
              <w:rPr>
                <w:rFonts w:asciiTheme="majorEastAsia" w:hAnsiTheme="majorEastAsia" w:eastAsiaTheme="majorEastAsia"/>
              </w:rPr>
            </w:pPr>
          </w:p>
        </w:tc>
        <w:tc>
          <w:tcPr>
            <w:tcW w:w="919" w:type="pct"/>
            <w:shd w:val="clear" w:color="auto" w:fill="auto"/>
          </w:tcPr>
          <w:p>
            <w:pPr>
              <w:jc w:val="right"/>
              <w:rPr>
                <w:rFonts w:asciiTheme="majorEastAsia" w:hAnsiTheme="majorEastAsia" w:eastAsiaTheme="majorEastAsia"/>
              </w:rPr>
            </w:pPr>
          </w:p>
        </w:tc>
        <w:tc>
          <w:tcPr>
            <w:tcW w:w="909" w:type="pct"/>
            <w:shd w:val="clear" w:color="auto" w:fill="auto"/>
          </w:tcPr>
          <w:p>
            <w:pPr>
              <w:jc w:val="right"/>
              <w:rPr>
                <w:rFonts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弃置义务</w:t>
            </w:r>
          </w:p>
        </w:tc>
        <w:tc>
          <w:tcPr>
            <w:tcW w:w="912"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6,801,271</w:t>
            </w:r>
          </w:p>
        </w:tc>
        <w:tc>
          <w:tcPr>
            <w:tcW w:w="910"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1,630,302</w:t>
            </w:r>
          </w:p>
        </w:tc>
        <w:tc>
          <w:tcPr>
            <w:tcW w:w="919"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6,470,140</w:t>
            </w:r>
          </w:p>
        </w:tc>
        <w:tc>
          <w:tcPr>
            <w:tcW w:w="909"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1,549,612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tcBorders>
              <w:bottom w:val="single" w:color="auto" w:sz="4" w:space="0"/>
            </w:tcBorders>
            <w:shd w:val="clear" w:color="auto" w:fill="auto"/>
          </w:tcPr>
          <w:p>
            <w:pPr>
              <w:rPr>
                <w:rFonts w:asciiTheme="majorEastAsia" w:hAnsiTheme="majorEastAsia" w:eastAsiaTheme="majorEastAsia"/>
              </w:rPr>
            </w:pPr>
            <w:r>
              <w:rPr>
                <w:rFonts w:hint="eastAsia" w:asciiTheme="majorEastAsia" w:hAnsiTheme="majorEastAsia" w:eastAsiaTheme="majorEastAsia"/>
              </w:rPr>
              <w:t>未弥补亏损</w:t>
            </w:r>
          </w:p>
        </w:tc>
        <w:tc>
          <w:tcPr>
            <w:tcW w:w="912"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6,360,199</w:t>
            </w:r>
          </w:p>
        </w:tc>
        <w:tc>
          <w:tcPr>
            <w:tcW w:w="910"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1,329,065</w:t>
            </w:r>
          </w:p>
        </w:tc>
        <w:tc>
          <w:tcPr>
            <w:tcW w:w="91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6,782,196</w:t>
            </w:r>
          </w:p>
        </w:tc>
        <w:tc>
          <w:tcPr>
            <w:tcW w:w="90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1,522,784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tcBorders>
              <w:bottom w:val="single" w:color="auto" w:sz="4" w:space="0"/>
            </w:tcBorders>
            <w:shd w:val="clear" w:color="auto" w:fill="auto"/>
          </w:tcPr>
          <w:p>
            <w:pPr>
              <w:rPr>
                <w:rFonts w:asciiTheme="majorEastAsia" w:hAnsiTheme="majorEastAsia" w:eastAsiaTheme="majorEastAsia"/>
              </w:rPr>
            </w:pPr>
            <w:r>
              <w:rPr>
                <w:rFonts w:hint="eastAsia" w:asciiTheme="majorEastAsia" w:hAnsiTheme="majorEastAsia" w:eastAsiaTheme="majorEastAsia"/>
              </w:rPr>
              <w:t>土地塌陷、复原、重整及环保费</w:t>
            </w:r>
          </w:p>
        </w:tc>
        <w:tc>
          <w:tcPr>
            <w:tcW w:w="912"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3,090,489</w:t>
            </w:r>
          </w:p>
        </w:tc>
        <w:tc>
          <w:tcPr>
            <w:tcW w:w="910"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684,945</w:t>
            </w:r>
          </w:p>
        </w:tc>
        <w:tc>
          <w:tcPr>
            <w:tcW w:w="919"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3,493,881</w:t>
            </w:r>
          </w:p>
        </w:tc>
        <w:tc>
          <w:tcPr>
            <w:tcW w:w="909"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773,595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资产减值准备</w:t>
            </w:r>
          </w:p>
        </w:tc>
        <w:tc>
          <w:tcPr>
            <w:tcW w:w="912"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2,059,703</w:t>
            </w:r>
          </w:p>
        </w:tc>
        <w:tc>
          <w:tcPr>
            <w:tcW w:w="910"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462,026</w:t>
            </w:r>
          </w:p>
        </w:tc>
        <w:tc>
          <w:tcPr>
            <w:tcW w:w="919"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2,387,290</w:t>
            </w:r>
          </w:p>
        </w:tc>
        <w:tc>
          <w:tcPr>
            <w:tcW w:w="909"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502,015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采矿权出让收益</w:t>
            </w:r>
          </w:p>
        </w:tc>
        <w:tc>
          <w:tcPr>
            <w:tcW w:w="912"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1,638,642</w:t>
            </w:r>
          </w:p>
        </w:tc>
        <w:tc>
          <w:tcPr>
            <w:tcW w:w="910" w:type="pct"/>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397,815</w:t>
            </w:r>
          </w:p>
        </w:tc>
        <w:tc>
          <w:tcPr>
            <w:tcW w:w="91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1,408,002</w:t>
            </w:r>
          </w:p>
        </w:tc>
        <w:tc>
          <w:tcPr>
            <w:tcW w:w="90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343,635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固定资产折旧差异</w:t>
            </w:r>
          </w:p>
        </w:tc>
        <w:tc>
          <w:tcPr>
            <w:tcW w:w="912"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1,292,891</w:t>
            </w:r>
          </w:p>
        </w:tc>
        <w:tc>
          <w:tcPr>
            <w:tcW w:w="910"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322,581</w:t>
            </w:r>
          </w:p>
        </w:tc>
        <w:tc>
          <w:tcPr>
            <w:tcW w:w="91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1,402,381</w:t>
            </w:r>
          </w:p>
        </w:tc>
        <w:tc>
          <w:tcPr>
            <w:tcW w:w="90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350,040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维简费、发展基金</w:t>
            </w:r>
          </w:p>
        </w:tc>
        <w:tc>
          <w:tcPr>
            <w:tcW w:w="912"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1,031,618</w:t>
            </w:r>
          </w:p>
        </w:tc>
        <w:tc>
          <w:tcPr>
            <w:tcW w:w="910"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243,847</w:t>
            </w:r>
          </w:p>
        </w:tc>
        <w:tc>
          <w:tcPr>
            <w:tcW w:w="91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2,035,204</w:t>
            </w:r>
          </w:p>
        </w:tc>
        <w:tc>
          <w:tcPr>
            <w:tcW w:w="90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474,922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固定资产清理</w:t>
            </w:r>
          </w:p>
        </w:tc>
        <w:tc>
          <w:tcPr>
            <w:tcW w:w="912"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800,613</w:t>
            </w:r>
          </w:p>
        </w:tc>
        <w:tc>
          <w:tcPr>
            <w:tcW w:w="910"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200,153</w:t>
            </w:r>
          </w:p>
        </w:tc>
        <w:tc>
          <w:tcPr>
            <w:tcW w:w="91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800,613</w:t>
            </w:r>
          </w:p>
        </w:tc>
        <w:tc>
          <w:tcPr>
            <w:tcW w:w="90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200,153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已计提未支付的工资、保险</w:t>
            </w:r>
          </w:p>
        </w:tc>
        <w:tc>
          <w:tcPr>
            <w:tcW w:w="912"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355,762</w:t>
            </w:r>
          </w:p>
        </w:tc>
        <w:tc>
          <w:tcPr>
            <w:tcW w:w="910"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87,844</w:t>
            </w:r>
          </w:p>
        </w:tc>
        <w:tc>
          <w:tcPr>
            <w:tcW w:w="91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627,065</w:t>
            </w:r>
          </w:p>
        </w:tc>
        <w:tc>
          <w:tcPr>
            <w:tcW w:w="90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152,438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无形资产摊销差异</w:t>
            </w:r>
          </w:p>
        </w:tc>
        <w:tc>
          <w:tcPr>
            <w:tcW w:w="912" w:type="pct"/>
            <w:tcBorders>
              <w:top w:val="nil"/>
              <w:left w:val="nil"/>
              <w:bottom w:val="single" w:color="auto" w:sz="8" w:space="0"/>
              <w:right w:val="single" w:color="auto" w:sz="8" w:space="0"/>
            </w:tcBorders>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205,969</w:t>
            </w:r>
          </w:p>
        </w:tc>
        <w:tc>
          <w:tcPr>
            <w:tcW w:w="910" w:type="pct"/>
            <w:tcBorders>
              <w:top w:val="nil"/>
              <w:left w:val="nil"/>
              <w:bottom w:val="single" w:color="auto" w:sz="8" w:space="0"/>
              <w:right w:val="single" w:color="auto" w:sz="8" w:space="0"/>
            </w:tcBorders>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51,492</w:t>
            </w:r>
          </w:p>
        </w:tc>
        <w:tc>
          <w:tcPr>
            <w:tcW w:w="91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338,805</w:t>
            </w:r>
          </w:p>
        </w:tc>
        <w:tc>
          <w:tcPr>
            <w:tcW w:w="90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84,701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递延收益</w:t>
            </w:r>
          </w:p>
        </w:tc>
        <w:tc>
          <w:tcPr>
            <w:tcW w:w="912"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197,423</w:t>
            </w:r>
          </w:p>
        </w:tc>
        <w:tc>
          <w:tcPr>
            <w:tcW w:w="910"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43,412</w:t>
            </w:r>
          </w:p>
        </w:tc>
        <w:tc>
          <w:tcPr>
            <w:tcW w:w="91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205,325</w:t>
            </w:r>
          </w:p>
        </w:tc>
        <w:tc>
          <w:tcPr>
            <w:tcW w:w="90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48,991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 xml:space="preserve">租赁负债  </w:t>
            </w:r>
          </w:p>
        </w:tc>
        <w:tc>
          <w:tcPr>
            <w:tcW w:w="912"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9,213</w:t>
            </w:r>
          </w:p>
        </w:tc>
        <w:tc>
          <w:tcPr>
            <w:tcW w:w="910"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2,303</w:t>
            </w:r>
          </w:p>
        </w:tc>
        <w:tc>
          <w:tcPr>
            <w:tcW w:w="91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6,334</w:t>
            </w:r>
          </w:p>
        </w:tc>
        <w:tc>
          <w:tcPr>
            <w:tcW w:w="90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1,583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tcPr>
          <w:p>
            <w:pPr>
              <w:rPr>
                <w:rFonts w:asciiTheme="majorEastAsia" w:hAnsiTheme="majorEastAsia" w:eastAsiaTheme="majorEastAsia"/>
              </w:rPr>
            </w:pPr>
            <w:r>
              <w:rPr>
                <w:rFonts w:hint="eastAsia" w:asciiTheme="majorEastAsia" w:hAnsiTheme="majorEastAsia" w:eastAsiaTheme="majorEastAsia"/>
              </w:rPr>
              <w:t xml:space="preserve">其他权益工具投资公允价值调整  </w:t>
            </w:r>
          </w:p>
        </w:tc>
        <w:tc>
          <w:tcPr>
            <w:tcW w:w="912" w:type="pct"/>
            <w:tcBorders>
              <w:bottom w:val="single" w:color="auto" w:sz="4" w:space="0"/>
            </w:tcBorders>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1,242</w:t>
            </w:r>
          </w:p>
        </w:tc>
        <w:tc>
          <w:tcPr>
            <w:tcW w:w="910" w:type="pct"/>
            <w:tcBorders>
              <w:bottom w:val="single" w:color="auto" w:sz="4" w:space="0"/>
            </w:tcBorders>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 xml:space="preserve">310 </w:t>
            </w:r>
          </w:p>
        </w:tc>
        <w:tc>
          <w:tcPr>
            <w:tcW w:w="919" w:type="pct"/>
            <w:tcBorders>
              <w:bottom w:val="single" w:color="auto" w:sz="4" w:space="0"/>
            </w:tcBorders>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 xml:space="preserve">1,198 </w:t>
            </w:r>
          </w:p>
        </w:tc>
        <w:tc>
          <w:tcPr>
            <w:tcW w:w="909" w:type="pct"/>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 xml:space="preserve">299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tcBorders>
              <w:right w:val="single" w:color="auto" w:sz="4" w:space="0"/>
            </w:tcBorders>
            <w:shd w:val="clear" w:color="auto" w:fill="auto"/>
          </w:tcPr>
          <w:p>
            <w:pPr>
              <w:rPr>
                <w:rFonts w:asciiTheme="majorEastAsia" w:hAnsiTheme="majorEastAsia" w:eastAsiaTheme="majorEastAsia"/>
              </w:rPr>
            </w:pPr>
            <w:r>
              <w:rPr>
                <w:rFonts w:hint="eastAsia" w:asciiTheme="majorEastAsia" w:hAnsiTheme="majorEastAsia" w:eastAsiaTheme="majorEastAsia"/>
              </w:rPr>
              <w:t xml:space="preserve">其他  </w:t>
            </w:r>
          </w:p>
        </w:tc>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773,148</w:t>
            </w:r>
          </w:p>
        </w:tc>
        <w:tc>
          <w:tcPr>
            <w:tcW w:w="91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ajorEastAsia" w:hAnsiTheme="majorEastAsia" w:eastAsiaTheme="majorEastAsia"/>
              </w:rPr>
            </w:pPr>
            <w:r>
              <w:rPr>
                <w:rFonts w:asciiTheme="majorEastAsia" w:hAnsiTheme="majorEastAsia" w:eastAsiaTheme="majorEastAsia"/>
              </w:rPr>
              <w:t>188,599</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591,763</w:t>
            </w:r>
          </w:p>
        </w:tc>
        <w:tc>
          <w:tcPr>
            <w:tcW w:w="909" w:type="pct"/>
            <w:tcBorders>
              <w:left w:val="single" w:color="auto" w:sz="4" w:space="0"/>
            </w:tcBorders>
            <w:shd w:val="clear" w:color="auto" w:fill="auto"/>
            <w:vAlign w:val="center"/>
          </w:tcPr>
          <w:p>
            <w:pPr>
              <w:jc w:val="right"/>
              <w:rPr>
                <w:rFonts w:asciiTheme="majorEastAsia" w:hAnsiTheme="majorEastAsia" w:eastAsiaTheme="majorEastAsia"/>
              </w:rPr>
            </w:pPr>
            <w:r>
              <w:rPr>
                <w:rFonts w:hint="eastAsia" w:asciiTheme="majorEastAsia" w:hAnsiTheme="majorEastAsia" w:eastAsiaTheme="majorEastAsia"/>
              </w:rPr>
              <w:t>143,289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tcBorders>
              <w:right w:val="single" w:color="auto" w:sz="4" w:space="0"/>
            </w:tcBorders>
            <w:vAlign w:val="center"/>
          </w:tcPr>
          <w:p>
            <w:pPr>
              <w:pStyle w:val="501"/>
            </w:pPr>
            <w:r>
              <w:rPr>
                <w:rFonts w:asciiTheme="majorEastAsia" w:hAnsiTheme="majorEastAsia" w:eastAsiaTheme="majorEastAsia"/>
                <w:b/>
                <w:sz w:val="22"/>
                <w:szCs w:val="22"/>
              </w:rPr>
              <w:t>澳大利亚子公司</w:t>
            </w:r>
          </w:p>
        </w:tc>
        <w:tc>
          <w:tcPr>
            <w:tcW w:w="912" w:type="pct"/>
            <w:tcBorders>
              <w:top w:val="single" w:color="auto" w:sz="4" w:space="0"/>
              <w:left w:val="single" w:color="auto" w:sz="4" w:space="0"/>
              <w:bottom w:val="single" w:color="auto" w:sz="4" w:space="0"/>
              <w:right w:val="single" w:color="auto" w:sz="4" w:space="0"/>
            </w:tcBorders>
            <w:vAlign w:val="center"/>
          </w:tcPr>
          <w:p>
            <w:pPr>
              <w:jc w:val="right"/>
              <w:rPr>
                <w:rFonts w:asciiTheme="majorEastAsia" w:hAnsiTheme="majorEastAsia" w:eastAsiaTheme="majorEastAsia"/>
              </w:rPr>
            </w:pPr>
          </w:p>
        </w:tc>
        <w:tc>
          <w:tcPr>
            <w:tcW w:w="910" w:type="pct"/>
            <w:tcBorders>
              <w:top w:val="single" w:color="auto" w:sz="4" w:space="0"/>
              <w:left w:val="single" w:color="auto" w:sz="4" w:space="0"/>
              <w:bottom w:val="single" w:color="auto" w:sz="4" w:space="0"/>
              <w:right w:val="single" w:color="auto" w:sz="4" w:space="0"/>
            </w:tcBorders>
            <w:vAlign w:val="center"/>
          </w:tcPr>
          <w:p>
            <w:pPr>
              <w:jc w:val="right"/>
              <w:rPr>
                <w:rFonts w:asciiTheme="majorEastAsia" w:hAnsiTheme="majorEastAsia" w:eastAsiaTheme="majorEastAsia"/>
              </w:rPr>
            </w:pPr>
          </w:p>
        </w:tc>
        <w:tc>
          <w:tcPr>
            <w:tcW w:w="919" w:type="pct"/>
            <w:tcBorders>
              <w:top w:val="single" w:color="auto" w:sz="4" w:space="0"/>
              <w:left w:val="single" w:color="auto" w:sz="4" w:space="0"/>
              <w:bottom w:val="single" w:color="auto" w:sz="4" w:space="0"/>
              <w:right w:val="single" w:color="auto" w:sz="4" w:space="0"/>
            </w:tcBorders>
            <w:vAlign w:val="center"/>
          </w:tcPr>
          <w:p>
            <w:pPr>
              <w:jc w:val="right"/>
              <w:rPr>
                <w:rFonts w:asciiTheme="majorEastAsia" w:hAnsiTheme="majorEastAsia" w:eastAsiaTheme="majorEastAsia"/>
              </w:rPr>
            </w:pPr>
          </w:p>
        </w:tc>
        <w:tc>
          <w:tcPr>
            <w:tcW w:w="909" w:type="pct"/>
            <w:tcBorders>
              <w:left w:val="single" w:color="auto" w:sz="4" w:space="0"/>
            </w:tcBorders>
            <w:vAlign w:val="center"/>
          </w:tcPr>
          <w:p>
            <w:pPr>
              <w:jc w:val="right"/>
              <w:rPr>
                <w:rFonts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Align w:val="center"/>
          </w:tcPr>
          <w:p>
            <w:pPr>
              <w:pStyle w:val="501"/>
            </w:pPr>
            <w:r>
              <w:rPr>
                <w:rFonts w:hint="eastAsia" w:asciiTheme="majorEastAsia" w:hAnsiTheme="majorEastAsia" w:eastAsiaTheme="majorEastAsia"/>
                <w:sz w:val="22"/>
                <w:szCs w:val="22"/>
              </w:rPr>
              <w:t>复垦费用</w:t>
            </w:r>
          </w:p>
        </w:tc>
        <w:tc>
          <w:tcPr>
            <w:tcW w:w="912" w:type="pct"/>
            <w:tcBorders>
              <w:top w:val="single" w:color="auto" w:sz="4" w:space="0"/>
            </w:tcBorders>
            <w:vAlign w:val="center"/>
          </w:tcPr>
          <w:p>
            <w:pPr>
              <w:jc w:val="right"/>
              <w:rPr>
                <w:rFonts w:asciiTheme="majorEastAsia" w:hAnsiTheme="majorEastAsia" w:eastAsiaTheme="majorEastAsia"/>
              </w:rPr>
            </w:pPr>
            <w:r>
              <w:rPr>
                <w:rFonts w:asciiTheme="majorEastAsia" w:hAnsiTheme="majorEastAsia" w:eastAsiaTheme="majorEastAsia"/>
                <w:color w:val="000000"/>
              </w:rPr>
              <w:t>6,574,435</w:t>
            </w:r>
          </w:p>
        </w:tc>
        <w:tc>
          <w:tcPr>
            <w:tcW w:w="910" w:type="pct"/>
            <w:tcBorders>
              <w:top w:val="single" w:color="auto" w:sz="4" w:space="0"/>
            </w:tcBorders>
            <w:vAlign w:val="center"/>
          </w:tcPr>
          <w:p>
            <w:pPr>
              <w:jc w:val="right"/>
              <w:rPr>
                <w:rFonts w:asciiTheme="majorEastAsia" w:hAnsiTheme="majorEastAsia" w:eastAsiaTheme="majorEastAsia"/>
              </w:rPr>
            </w:pPr>
            <w:r>
              <w:rPr>
                <w:rFonts w:asciiTheme="majorEastAsia" w:hAnsiTheme="majorEastAsia" w:eastAsiaTheme="majorEastAsia"/>
                <w:color w:val="000000"/>
              </w:rPr>
              <w:t>1,972,331</w:t>
            </w:r>
          </w:p>
        </w:tc>
        <w:tc>
          <w:tcPr>
            <w:tcW w:w="919" w:type="pct"/>
            <w:tcBorders>
              <w:top w:val="single" w:color="auto" w:sz="4" w:space="0"/>
            </w:tcBorders>
            <w:vAlign w:val="center"/>
          </w:tcPr>
          <w:p>
            <w:pPr>
              <w:jc w:val="right"/>
              <w:rPr>
                <w:rFonts w:asciiTheme="majorEastAsia" w:hAnsiTheme="majorEastAsia" w:eastAsiaTheme="majorEastAsia"/>
              </w:rPr>
            </w:pPr>
            <w:r>
              <w:rPr>
                <w:rFonts w:asciiTheme="majorEastAsia" w:hAnsiTheme="majorEastAsia" w:eastAsiaTheme="majorEastAsia"/>
                <w:color w:val="000000"/>
              </w:rPr>
              <w:t>6,195,899</w:t>
            </w:r>
          </w:p>
        </w:tc>
        <w:tc>
          <w:tcPr>
            <w:tcW w:w="909" w:type="pct"/>
            <w:vAlign w:val="center"/>
          </w:tcPr>
          <w:p>
            <w:pPr>
              <w:jc w:val="right"/>
              <w:rPr>
                <w:rFonts w:asciiTheme="majorEastAsia" w:hAnsiTheme="majorEastAsia" w:eastAsiaTheme="majorEastAsia"/>
              </w:rPr>
            </w:pPr>
            <w:r>
              <w:rPr>
                <w:rFonts w:asciiTheme="majorEastAsia" w:hAnsiTheme="majorEastAsia" w:eastAsiaTheme="majorEastAsia"/>
                <w:color w:val="000000"/>
              </w:rPr>
              <w:t>1,858,770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Align w:val="center"/>
          </w:tcPr>
          <w:p>
            <w:pPr>
              <w:pStyle w:val="501"/>
            </w:pPr>
            <w:r>
              <w:rPr>
                <w:rFonts w:hint="eastAsia" w:asciiTheme="majorEastAsia" w:hAnsiTheme="majorEastAsia" w:eastAsiaTheme="majorEastAsia"/>
                <w:sz w:val="22"/>
                <w:szCs w:val="22"/>
              </w:rPr>
              <w:t>套期工具</w:t>
            </w:r>
          </w:p>
        </w:tc>
        <w:tc>
          <w:tcPr>
            <w:tcW w:w="912" w:type="pct"/>
            <w:vAlign w:val="center"/>
          </w:tcPr>
          <w:p>
            <w:pPr>
              <w:jc w:val="right"/>
              <w:rPr>
                <w:rFonts w:asciiTheme="majorEastAsia" w:hAnsiTheme="majorEastAsia" w:eastAsiaTheme="majorEastAsia"/>
              </w:rPr>
            </w:pPr>
            <w:r>
              <w:rPr>
                <w:rFonts w:asciiTheme="majorEastAsia" w:hAnsiTheme="majorEastAsia" w:eastAsiaTheme="majorEastAsia"/>
                <w:color w:val="000000"/>
              </w:rPr>
              <w:t>913,378</w:t>
            </w:r>
          </w:p>
        </w:tc>
        <w:tc>
          <w:tcPr>
            <w:tcW w:w="910" w:type="pct"/>
            <w:vAlign w:val="center"/>
          </w:tcPr>
          <w:p>
            <w:pPr>
              <w:jc w:val="right"/>
              <w:rPr>
                <w:rFonts w:asciiTheme="majorEastAsia" w:hAnsiTheme="majorEastAsia" w:eastAsiaTheme="majorEastAsia"/>
              </w:rPr>
            </w:pPr>
            <w:r>
              <w:rPr>
                <w:rFonts w:asciiTheme="majorEastAsia" w:hAnsiTheme="majorEastAsia" w:eastAsiaTheme="majorEastAsia"/>
                <w:color w:val="000000"/>
              </w:rPr>
              <w:t>274,014</w:t>
            </w:r>
          </w:p>
        </w:tc>
        <w:tc>
          <w:tcPr>
            <w:tcW w:w="919" w:type="pct"/>
            <w:vAlign w:val="center"/>
          </w:tcPr>
          <w:p>
            <w:pPr>
              <w:jc w:val="right"/>
              <w:rPr>
                <w:rFonts w:asciiTheme="majorEastAsia" w:hAnsiTheme="majorEastAsia" w:eastAsiaTheme="majorEastAsia"/>
              </w:rPr>
            </w:pPr>
            <w:r>
              <w:rPr>
                <w:rFonts w:asciiTheme="majorEastAsia" w:hAnsiTheme="majorEastAsia" w:eastAsiaTheme="majorEastAsia"/>
                <w:color w:val="000000"/>
              </w:rPr>
              <w:t>654,700</w:t>
            </w:r>
          </w:p>
        </w:tc>
        <w:tc>
          <w:tcPr>
            <w:tcW w:w="909" w:type="pct"/>
            <w:vAlign w:val="center"/>
          </w:tcPr>
          <w:p>
            <w:pPr>
              <w:jc w:val="right"/>
              <w:rPr>
                <w:rFonts w:asciiTheme="majorEastAsia" w:hAnsiTheme="majorEastAsia" w:eastAsiaTheme="majorEastAsia"/>
              </w:rPr>
            </w:pPr>
            <w:r>
              <w:rPr>
                <w:rFonts w:asciiTheme="majorEastAsia" w:hAnsiTheme="majorEastAsia" w:eastAsiaTheme="majorEastAsia"/>
                <w:color w:val="000000"/>
              </w:rPr>
              <w:t>196,410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Align w:val="center"/>
          </w:tcPr>
          <w:p>
            <w:pPr>
              <w:pStyle w:val="501"/>
            </w:pPr>
            <w:r>
              <w:rPr>
                <w:rFonts w:hint="eastAsia"/>
              </w:rPr>
              <w:t>预提费用</w:t>
            </w:r>
          </w:p>
        </w:tc>
        <w:tc>
          <w:tcPr>
            <w:tcW w:w="912" w:type="pct"/>
            <w:vAlign w:val="center"/>
          </w:tcPr>
          <w:p>
            <w:pPr>
              <w:jc w:val="right"/>
              <w:rPr>
                <w:rFonts w:asciiTheme="majorEastAsia" w:hAnsiTheme="majorEastAsia" w:eastAsiaTheme="majorEastAsia"/>
              </w:rPr>
            </w:pPr>
            <w:r>
              <w:rPr>
                <w:rFonts w:asciiTheme="majorEastAsia" w:hAnsiTheme="majorEastAsia" w:eastAsiaTheme="majorEastAsia"/>
                <w:color w:val="000000"/>
              </w:rPr>
              <w:t>748,650</w:t>
            </w:r>
          </w:p>
        </w:tc>
        <w:tc>
          <w:tcPr>
            <w:tcW w:w="910" w:type="pct"/>
            <w:vAlign w:val="center"/>
          </w:tcPr>
          <w:p>
            <w:pPr>
              <w:jc w:val="right"/>
              <w:rPr>
                <w:rFonts w:asciiTheme="majorEastAsia" w:hAnsiTheme="majorEastAsia" w:eastAsiaTheme="majorEastAsia"/>
              </w:rPr>
            </w:pPr>
            <w:r>
              <w:rPr>
                <w:rFonts w:asciiTheme="majorEastAsia" w:hAnsiTheme="majorEastAsia" w:eastAsiaTheme="majorEastAsia"/>
                <w:color w:val="000000"/>
              </w:rPr>
              <w:t>224,595</w:t>
            </w:r>
          </w:p>
        </w:tc>
        <w:tc>
          <w:tcPr>
            <w:tcW w:w="919" w:type="pct"/>
            <w:vAlign w:val="center"/>
          </w:tcPr>
          <w:p>
            <w:pPr>
              <w:jc w:val="right"/>
              <w:rPr>
                <w:rFonts w:asciiTheme="majorEastAsia" w:hAnsiTheme="majorEastAsia" w:eastAsiaTheme="majorEastAsia"/>
              </w:rPr>
            </w:pPr>
            <w:r>
              <w:rPr>
                <w:rFonts w:asciiTheme="majorEastAsia" w:hAnsiTheme="majorEastAsia" w:eastAsiaTheme="majorEastAsia"/>
                <w:color w:val="000000"/>
              </w:rPr>
              <w:t>668,814</w:t>
            </w:r>
          </w:p>
        </w:tc>
        <w:tc>
          <w:tcPr>
            <w:tcW w:w="909" w:type="pct"/>
            <w:vAlign w:val="center"/>
          </w:tcPr>
          <w:p>
            <w:pPr>
              <w:jc w:val="right"/>
              <w:rPr>
                <w:rFonts w:asciiTheme="majorEastAsia" w:hAnsiTheme="majorEastAsia" w:eastAsiaTheme="majorEastAsia"/>
              </w:rPr>
            </w:pPr>
            <w:r>
              <w:rPr>
                <w:rFonts w:asciiTheme="majorEastAsia" w:hAnsiTheme="majorEastAsia" w:eastAsiaTheme="majorEastAsia"/>
                <w:color w:val="000000"/>
              </w:rPr>
              <w:t>200,644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Align w:val="center"/>
          </w:tcPr>
          <w:p>
            <w:pPr>
              <w:pStyle w:val="501"/>
            </w:pPr>
            <w:r>
              <w:rPr>
                <w:rFonts w:hint="eastAsia" w:asciiTheme="majorEastAsia" w:hAnsiTheme="majorEastAsia" w:eastAsiaTheme="majorEastAsia"/>
                <w:sz w:val="22"/>
                <w:szCs w:val="22"/>
              </w:rPr>
              <w:t>租赁负债</w:t>
            </w:r>
          </w:p>
        </w:tc>
        <w:tc>
          <w:tcPr>
            <w:tcW w:w="912" w:type="pct"/>
            <w:vAlign w:val="center"/>
          </w:tcPr>
          <w:p>
            <w:pPr>
              <w:jc w:val="right"/>
              <w:rPr>
                <w:rFonts w:asciiTheme="majorEastAsia" w:hAnsiTheme="majorEastAsia" w:eastAsiaTheme="majorEastAsia"/>
              </w:rPr>
            </w:pPr>
            <w:r>
              <w:rPr>
                <w:rFonts w:asciiTheme="majorEastAsia" w:hAnsiTheme="majorEastAsia" w:eastAsiaTheme="majorEastAsia"/>
                <w:color w:val="000000"/>
              </w:rPr>
              <w:t>323,277</w:t>
            </w:r>
          </w:p>
        </w:tc>
        <w:tc>
          <w:tcPr>
            <w:tcW w:w="910" w:type="pct"/>
            <w:vAlign w:val="center"/>
          </w:tcPr>
          <w:p>
            <w:pPr>
              <w:jc w:val="right"/>
              <w:rPr>
                <w:rFonts w:asciiTheme="majorEastAsia" w:hAnsiTheme="majorEastAsia" w:eastAsiaTheme="majorEastAsia"/>
              </w:rPr>
            </w:pPr>
            <w:r>
              <w:rPr>
                <w:rFonts w:asciiTheme="majorEastAsia" w:hAnsiTheme="majorEastAsia" w:eastAsiaTheme="majorEastAsia"/>
                <w:color w:val="000000"/>
              </w:rPr>
              <w:t>96,983</w:t>
            </w:r>
          </w:p>
        </w:tc>
        <w:tc>
          <w:tcPr>
            <w:tcW w:w="919" w:type="pct"/>
            <w:vAlign w:val="center"/>
          </w:tcPr>
          <w:p>
            <w:pPr>
              <w:jc w:val="right"/>
              <w:rPr>
                <w:rFonts w:asciiTheme="majorEastAsia" w:hAnsiTheme="majorEastAsia" w:eastAsiaTheme="majorEastAsia"/>
              </w:rPr>
            </w:pPr>
            <w:r>
              <w:rPr>
                <w:rFonts w:asciiTheme="majorEastAsia" w:hAnsiTheme="majorEastAsia" w:eastAsiaTheme="majorEastAsia"/>
                <w:color w:val="000000"/>
              </w:rPr>
              <w:t>701,274</w:t>
            </w:r>
          </w:p>
        </w:tc>
        <w:tc>
          <w:tcPr>
            <w:tcW w:w="909" w:type="pct"/>
            <w:vAlign w:val="center"/>
          </w:tcPr>
          <w:p>
            <w:pPr>
              <w:jc w:val="right"/>
              <w:rPr>
                <w:rFonts w:asciiTheme="majorEastAsia" w:hAnsiTheme="majorEastAsia" w:eastAsiaTheme="majorEastAsia"/>
              </w:rPr>
            </w:pPr>
            <w:r>
              <w:rPr>
                <w:rFonts w:asciiTheme="majorEastAsia" w:hAnsiTheme="majorEastAsia" w:eastAsiaTheme="majorEastAsia"/>
                <w:color w:val="000000"/>
              </w:rPr>
              <w:t>210,382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Align w:val="center"/>
          </w:tcPr>
          <w:p>
            <w:pPr>
              <w:pStyle w:val="501"/>
            </w:pPr>
            <w:r>
              <w:rPr>
                <w:rFonts w:hint="eastAsia" w:asciiTheme="majorEastAsia" w:hAnsiTheme="majorEastAsia" w:eastAsiaTheme="majorEastAsia"/>
                <w:sz w:val="22"/>
                <w:szCs w:val="22"/>
              </w:rPr>
              <w:t>资产摊销</w:t>
            </w:r>
          </w:p>
        </w:tc>
        <w:tc>
          <w:tcPr>
            <w:tcW w:w="912" w:type="pct"/>
            <w:vAlign w:val="center"/>
          </w:tcPr>
          <w:p>
            <w:pPr>
              <w:jc w:val="right"/>
              <w:rPr>
                <w:rFonts w:asciiTheme="majorEastAsia" w:hAnsiTheme="majorEastAsia" w:eastAsiaTheme="majorEastAsia"/>
              </w:rPr>
            </w:pPr>
            <w:r>
              <w:rPr>
                <w:rFonts w:asciiTheme="majorEastAsia" w:hAnsiTheme="majorEastAsia" w:eastAsiaTheme="majorEastAsia"/>
                <w:color w:val="000000"/>
              </w:rPr>
              <w:t>248,099</w:t>
            </w:r>
          </w:p>
        </w:tc>
        <w:tc>
          <w:tcPr>
            <w:tcW w:w="910" w:type="pct"/>
            <w:vAlign w:val="center"/>
          </w:tcPr>
          <w:p>
            <w:pPr>
              <w:jc w:val="right"/>
              <w:rPr>
                <w:rFonts w:asciiTheme="majorEastAsia" w:hAnsiTheme="majorEastAsia" w:eastAsiaTheme="majorEastAsia"/>
              </w:rPr>
            </w:pPr>
            <w:r>
              <w:rPr>
                <w:rFonts w:asciiTheme="majorEastAsia" w:hAnsiTheme="majorEastAsia" w:eastAsiaTheme="majorEastAsia"/>
                <w:color w:val="000000"/>
              </w:rPr>
              <w:t>74,430</w:t>
            </w:r>
          </w:p>
        </w:tc>
        <w:tc>
          <w:tcPr>
            <w:tcW w:w="919" w:type="pct"/>
            <w:vAlign w:val="center"/>
          </w:tcPr>
          <w:p>
            <w:pPr>
              <w:jc w:val="right"/>
              <w:rPr>
                <w:rFonts w:asciiTheme="majorEastAsia" w:hAnsiTheme="majorEastAsia" w:eastAsiaTheme="majorEastAsia"/>
              </w:rPr>
            </w:pPr>
            <w:r>
              <w:rPr>
                <w:rFonts w:asciiTheme="majorEastAsia" w:hAnsiTheme="majorEastAsia" w:eastAsiaTheme="majorEastAsia"/>
                <w:color w:val="000000"/>
              </w:rPr>
              <w:t>293,708</w:t>
            </w:r>
          </w:p>
        </w:tc>
        <w:tc>
          <w:tcPr>
            <w:tcW w:w="909" w:type="pct"/>
            <w:vAlign w:val="center"/>
          </w:tcPr>
          <w:p>
            <w:pPr>
              <w:jc w:val="right"/>
              <w:rPr>
                <w:rFonts w:asciiTheme="majorEastAsia" w:hAnsiTheme="majorEastAsia" w:eastAsiaTheme="majorEastAsia"/>
              </w:rPr>
            </w:pPr>
            <w:r>
              <w:rPr>
                <w:rFonts w:asciiTheme="majorEastAsia" w:hAnsiTheme="majorEastAsia" w:eastAsiaTheme="majorEastAsia"/>
                <w:color w:val="000000"/>
              </w:rPr>
              <w:t>88,112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Align w:val="center"/>
          </w:tcPr>
          <w:p>
            <w:pPr>
              <w:pStyle w:val="501"/>
            </w:pPr>
            <w:r>
              <w:rPr>
                <w:rFonts w:hint="eastAsia" w:asciiTheme="majorEastAsia" w:hAnsiTheme="majorEastAsia" w:eastAsiaTheme="majorEastAsia"/>
                <w:sz w:val="22"/>
                <w:szCs w:val="22"/>
              </w:rPr>
              <w:t>未实现外汇损益</w:t>
            </w:r>
          </w:p>
        </w:tc>
        <w:tc>
          <w:tcPr>
            <w:tcW w:w="912" w:type="pct"/>
            <w:vAlign w:val="center"/>
          </w:tcPr>
          <w:p>
            <w:pPr>
              <w:jc w:val="right"/>
              <w:rPr>
                <w:rFonts w:asciiTheme="majorEastAsia" w:hAnsiTheme="majorEastAsia" w:eastAsiaTheme="majorEastAsia"/>
                <w:color w:val="000000"/>
              </w:rPr>
            </w:pPr>
            <w:r>
              <w:rPr>
                <w:rFonts w:asciiTheme="majorEastAsia" w:hAnsiTheme="majorEastAsia" w:eastAsiaTheme="majorEastAsia"/>
                <w:color w:val="000000"/>
              </w:rPr>
              <w:t>-79,290</w:t>
            </w:r>
          </w:p>
        </w:tc>
        <w:tc>
          <w:tcPr>
            <w:tcW w:w="910" w:type="pct"/>
            <w:vAlign w:val="center"/>
          </w:tcPr>
          <w:p>
            <w:pPr>
              <w:jc w:val="right"/>
              <w:rPr>
                <w:rFonts w:asciiTheme="majorEastAsia" w:hAnsiTheme="majorEastAsia" w:eastAsiaTheme="majorEastAsia"/>
                <w:color w:val="000000"/>
              </w:rPr>
            </w:pPr>
            <w:r>
              <w:rPr>
                <w:rFonts w:asciiTheme="majorEastAsia" w:hAnsiTheme="majorEastAsia" w:eastAsiaTheme="majorEastAsia"/>
                <w:color w:val="000000"/>
              </w:rPr>
              <w:t>-23,787</w:t>
            </w:r>
          </w:p>
        </w:tc>
        <w:tc>
          <w:tcPr>
            <w:tcW w:w="919" w:type="pct"/>
            <w:vAlign w:val="center"/>
          </w:tcPr>
          <w:p>
            <w:pPr>
              <w:jc w:val="right"/>
              <w:rPr>
                <w:rFonts w:asciiTheme="majorEastAsia" w:hAnsiTheme="majorEastAsia" w:eastAsiaTheme="majorEastAsia"/>
                <w:color w:val="000000"/>
              </w:rPr>
            </w:pPr>
            <w:r>
              <w:rPr>
                <w:rFonts w:asciiTheme="majorEastAsia" w:hAnsiTheme="majorEastAsia" w:eastAsiaTheme="majorEastAsia"/>
                <w:color w:val="000000"/>
              </w:rPr>
              <w:t>330,518</w:t>
            </w:r>
          </w:p>
        </w:tc>
        <w:tc>
          <w:tcPr>
            <w:tcW w:w="909" w:type="pct"/>
            <w:vAlign w:val="center"/>
          </w:tcPr>
          <w:p>
            <w:pPr>
              <w:jc w:val="right"/>
              <w:rPr>
                <w:rFonts w:asciiTheme="majorEastAsia" w:hAnsiTheme="majorEastAsia" w:eastAsiaTheme="majorEastAsia"/>
                <w:color w:val="000000"/>
              </w:rPr>
            </w:pPr>
            <w:r>
              <w:rPr>
                <w:rFonts w:asciiTheme="majorEastAsia" w:hAnsiTheme="majorEastAsia" w:eastAsiaTheme="majorEastAsia"/>
                <w:color w:val="000000"/>
              </w:rPr>
              <w:t>99,155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Align w:val="center"/>
          </w:tcPr>
          <w:p>
            <w:pPr>
              <w:pStyle w:val="501"/>
            </w:pPr>
            <w:r>
              <w:rPr>
                <w:rFonts w:hint="eastAsia" w:asciiTheme="majorEastAsia" w:hAnsiTheme="majorEastAsia" w:eastAsiaTheme="majorEastAsia"/>
                <w:sz w:val="22"/>
                <w:szCs w:val="22"/>
              </w:rPr>
              <w:t>其他</w:t>
            </w:r>
          </w:p>
        </w:tc>
        <w:tc>
          <w:tcPr>
            <w:tcW w:w="912" w:type="pct"/>
            <w:vAlign w:val="center"/>
          </w:tcPr>
          <w:p>
            <w:pPr>
              <w:jc w:val="right"/>
              <w:rPr>
                <w:rFonts w:asciiTheme="majorEastAsia" w:hAnsiTheme="majorEastAsia" w:eastAsiaTheme="majorEastAsia"/>
                <w:color w:val="000000"/>
              </w:rPr>
            </w:pPr>
            <w:r>
              <w:rPr>
                <w:rFonts w:asciiTheme="majorEastAsia" w:hAnsiTheme="majorEastAsia" w:eastAsiaTheme="majorEastAsia"/>
                <w:color w:val="000000"/>
              </w:rPr>
              <w:t>297,944</w:t>
            </w:r>
          </w:p>
        </w:tc>
        <w:tc>
          <w:tcPr>
            <w:tcW w:w="910" w:type="pct"/>
            <w:vAlign w:val="center"/>
          </w:tcPr>
          <w:p>
            <w:pPr>
              <w:jc w:val="right"/>
              <w:rPr>
                <w:rFonts w:asciiTheme="majorEastAsia" w:hAnsiTheme="majorEastAsia" w:eastAsiaTheme="majorEastAsia"/>
                <w:color w:val="000000"/>
              </w:rPr>
            </w:pPr>
            <w:r>
              <w:rPr>
                <w:rFonts w:asciiTheme="majorEastAsia" w:hAnsiTheme="majorEastAsia" w:eastAsiaTheme="majorEastAsia"/>
                <w:color w:val="000000"/>
              </w:rPr>
              <w:t>89,383</w:t>
            </w:r>
          </w:p>
        </w:tc>
        <w:tc>
          <w:tcPr>
            <w:tcW w:w="919" w:type="pct"/>
            <w:vAlign w:val="center"/>
          </w:tcPr>
          <w:p>
            <w:pPr>
              <w:jc w:val="right"/>
              <w:rPr>
                <w:rFonts w:asciiTheme="majorEastAsia" w:hAnsiTheme="majorEastAsia" w:eastAsiaTheme="majorEastAsia"/>
                <w:color w:val="000000"/>
              </w:rPr>
            </w:pPr>
            <w:r>
              <w:rPr>
                <w:rFonts w:asciiTheme="majorEastAsia" w:hAnsiTheme="majorEastAsia" w:eastAsiaTheme="majorEastAsia"/>
                <w:color w:val="000000"/>
              </w:rPr>
              <w:t>282,855</w:t>
            </w:r>
          </w:p>
        </w:tc>
        <w:tc>
          <w:tcPr>
            <w:tcW w:w="909" w:type="pct"/>
            <w:vAlign w:val="center"/>
          </w:tcPr>
          <w:p>
            <w:pPr>
              <w:jc w:val="right"/>
              <w:rPr>
                <w:rFonts w:asciiTheme="majorEastAsia" w:hAnsiTheme="majorEastAsia" w:eastAsiaTheme="majorEastAsia"/>
                <w:color w:val="000000"/>
              </w:rPr>
            </w:pPr>
            <w:r>
              <w:rPr>
                <w:rFonts w:asciiTheme="majorEastAsia" w:hAnsiTheme="majorEastAsia" w:eastAsiaTheme="majorEastAsia"/>
                <w:color w:val="000000"/>
              </w:rPr>
              <w:t>84,856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jc w:val="center"/>
            </w:pPr>
            <w:r>
              <w:rPr>
                <w:rFonts w:hint="eastAsia"/>
              </w:rPr>
              <w:t>合计</w:t>
            </w:r>
          </w:p>
        </w:tc>
        <w:tc>
          <w:tcPr>
            <w:tcW w:w="912" w:type="pct"/>
          </w:tcPr>
          <w:p>
            <w:pPr>
              <w:jc w:val="right"/>
              <w:rPr>
                <w:rFonts w:asciiTheme="majorEastAsia" w:hAnsiTheme="majorEastAsia" w:eastAsiaTheme="majorEastAsia"/>
                <w:color w:val="000000"/>
              </w:rPr>
            </w:pPr>
            <w:r>
              <w:rPr>
                <w:rFonts w:asciiTheme="majorEastAsia" w:hAnsiTheme="majorEastAsia" w:eastAsiaTheme="majorEastAsia"/>
                <w:color w:val="000000"/>
              </w:rPr>
              <w:t>33,644,676</w:t>
            </w:r>
          </w:p>
        </w:tc>
        <w:tc>
          <w:tcPr>
            <w:tcW w:w="910" w:type="pct"/>
          </w:tcPr>
          <w:p>
            <w:pPr>
              <w:jc w:val="right"/>
              <w:rPr>
                <w:rFonts w:asciiTheme="majorEastAsia" w:hAnsiTheme="majorEastAsia" w:eastAsiaTheme="majorEastAsia"/>
                <w:color w:val="000000"/>
              </w:rPr>
            </w:pPr>
            <w:r>
              <w:rPr>
                <w:rFonts w:asciiTheme="majorEastAsia" w:hAnsiTheme="majorEastAsia" w:eastAsiaTheme="majorEastAsia"/>
                <w:color w:val="000000"/>
              </w:rPr>
              <w:t>8,352,643</w:t>
            </w:r>
          </w:p>
        </w:tc>
        <w:tc>
          <w:tcPr>
            <w:tcW w:w="919" w:type="pct"/>
          </w:tcPr>
          <w:p>
            <w:pPr>
              <w:jc w:val="right"/>
              <w:rPr>
                <w:rFonts w:asciiTheme="majorEastAsia" w:hAnsiTheme="majorEastAsia" w:eastAsiaTheme="majorEastAsia"/>
                <w:color w:val="000000"/>
              </w:rPr>
            </w:pPr>
            <w:r>
              <w:rPr>
                <w:rFonts w:asciiTheme="majorEastAsia" w:hAnsiTheme="majorEastAsia" w:eastAsiaTheme="majorEastAsia"/>
                <w:color w:val="000000"/>
              </w:rPr>
              <w:t>35,677,965</w:t>
            </w:r>
          </w:p>
        </w:tc>
        <w:tc>
          <w:tcPr>
            <w:tcW w:w="909" w:type="pct"/>
          </w:tcPr>
          <w:p>
            <w:pPr>
              <w:jc w:val="right"/>
              <w:rPr>
                <w:rFonts w:asciiTheme="majorEastAsia" w:hAnsiTheme="majorEastAsia" w:eastAsiaTheme="majorEastAsia"/>
                <w:color w:val="000000"/>
              </w:rPr>
            </w:pPr>
            <w:r>
              <w:rPr>
                <w:rFonts w:asciiTheme="majorEastAsia" w:hAnsiTheme="majorEastAsia" w:eastAsiaTheme="majorEastAsia"/>
                <w:color w:val="000000"/>
              </w:rPr>
              <w:t>8,886,386</w:t>
            </w:r>
          </w:p>
        </w:tc>
      </w:tr>
    </w:tbl>
    <w:p>
      <w:pPr>
        <w:pStyle w:val="531"/>
      </w:pPr>
    </w:p>
    <w:p>
      <w:pPr>
        <w:pStyle w:val="505"/>
        <w:numPr>
          <w:ilvl w:val="0"/>
          <w:numId w:val="92"/>
        </w:numPr>
        <w:ind w:left="426" w:hanging="426"/>
      </w:pPr>
      <w:r>
        <w:rPr>
          <w:rFonts w:hint="eastAsia"/>
        </w:rPr>
        <w:t>未经抵销的递延所得税负债</w:t>
      </w:r>
    </w:p>
    <w:p>
      <w:pPr>
        <w:pStyle w:val="531"/>
      </w:pPr>
      <w:sdt>
        <w:sdtPr>
          <w:alias w:val="是否适用：未经抵销的递延所得税负债[双击切换]"/>
          <w:tag w:val="_GBC_e7d8f83d611d4464afa60fcd4c2b0690"/>
          <w:id w:val="243468989"/>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经抵销的递延所得税负债"/>
          <w:tag w:val="_GBC_20c1fd2b551d429d888a1c48c5ee9c5a"/>
          <w:id w:val="1254864147"/>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未经抵销的递延所得税负债"/>
          <w:tag w:val="_GBC_e6ace91667794eff9d02520878b629f9"/>
          <w:id w:val="-9779606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1676"/>
        <w:gridCol w:w="1665"/>
        <w:gridCol w:w="1658"/>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sdt>
          <w:sdtPr>
            <w:tag w:val="_PLD_e9bdb30dce784b4a9efd1b5efd6964fb"/>
            <w:id w:val="1152722295"/>
          </w:sdtPr>
          <w:sdtContent>
            <w:tc>
              <w:tcPr>
                <w:tcW w:w="1312" w:type="pct"/>
                <w:vMerge w:val="restart"/>
              </w:tcPr>
              <w:p>
                <w:pPr>
                  <w:jc w:val="center"/>
                  <w:rPr>
                    <w:rFonts w:ascii="Times New Roman" w:hAnsi="Times New Roman"/>
                  </w:rPr>
                </w:pPr>
                <w:r>
                  <w:rPr>
                    <w:rFonts w:hint="eastAsia" w:ascii="Times New Roman" w:hAnsi="Times New Roman"/>
                  </w:rPr>
                  <w:t>项目</w:t>
                </w:r>
              </w:p>
            </w:tc>
          </w:sdtContent>
        </w:sdt>
        <w:sdt>
          <w:sdtPr>
            <w:tag w:val="_PLD_600f3752c404468197724275bf44cd43"/>
            <w:id w:val="-1800607566"/>
          </w:sdtPr>
          <w:sdtContent>
            <w:tc>
              <w:tcPr>
                <w:tcW w:w="1846" w:type="pct"/>
                <w:gridSpan w:val="2"/>
              </w:tcPr>
              <w:p>
                <w:pPr>
                  <w:jc w:val="center"/>
                  <w:rPr>
                    <w:rFonts w:ascii="Times New Roman" w:hAnsi="Times New Roman"/>
                  </w:rPr>
                </w:pPr>
                <w:r>
                  <w:rPr>
                    <w:rFonts w:hint="eastAsia" w:ascii="Times New Roman" w:hAnsi="Times New Roman"/>
                  </w:rPr>
                  <w:t>期末余额</w:t>
                </w:r>
              </w:p>
            </w:tc>
          </w:sdtContent>
        </w:sdt>
        <w:sdt>
          <w:sdtPr>
            <w:tag w:val="_PLD_7e4b2554e2544865b74424edbdb55d4b"/>
            <w:id w:val="1518271504"/>
          </w:sdtPr>
          <w:sdtContent>
            <w:tc>
              <w:tcPr>
                <w:tcW w:w="1842" w:type="pct"/>
                <w:gridSpan w:val="2"/>
              </w:tcPr>
              <w:p>
                <w:pPr>
                  <w:jc w:val="center"/>
                  <w:rPr>
                    <w:rFonts w:ascii="Times New Roman" w:hAnsi="Times New Roman"/>
                  </w:rPr>
                </w:pPr>
                <w:r>
                  <w:rPr>
                    <w:rFonts w:hint="eastAsia" w:ascii="Times New Roman" w:hAnsi="Times New Roman"/>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312" w:type="pct"/>
            <w:vMerge w:val="continue"/>
          </w:tcPr>
          <w:p>
            <w:pPr>
              <w:jc w:val="center"/>
              <w:rPr>
                <w:rFonts w:ascii="Times New Roman" w:hAnsi="Times New Roman"/>
                <w:b/>
              </w:rPr>
            </w:pPr>
          </w:p>
        </w:tc>
        <w:sdt>
          <w:sdtPr>
            <w:tag w:val="_PLD_2db432e06e184a41a8eb727ebb64ec40"/>
            <w:id w:val="1800717009"/>
          </w:sdtPr>
          <w:sdtContent>
            <w:tc>
              <w:tcPr>
                <w:tcW w:w="926" w:type="pct"/>
              </w:tcPr>
              <w:p>
                <w:pPr>
                  <w:jc w:val="center"/>
                  <w:rPr>
                    <w:rFonts w:ascii="Times New Roman" w:hAnsi="Times New Roman"/>
                  </w:rPr>
                </w:pPr>
                <w:r>
                  <w:rPr>
                    <w:rFonts w:hint="eastAsia" w:ascii="Arial" w:hAnsi="Arial"/>
                  </w:rPr>
                  <w:t>应纳税暂时性差异</w:t>
                </w:r>
              </w:p>
            </w:tc>
          </w:sdtContent>
        </w:sdt>
        <w:sdt>
          <w:sdtPr>
            <w:tag w:val="_PLD_b3dd3e66f628452aab8284dc189a458b"/>
            <w:id w:val="810133555"/>
          </w:sdtPr>
          <w:sdtContent>
            <w:tc>
              <w:tcPr>
                <w:tcW w:w="920" w:type="pct"/>
              </w:tcPr>
              <w:p>
                <w:pPr>
                  <w:jc w:val="center"/>
                  <w:rPr>
                    <w:rFonts w:ascii="Times New Roman" w:hAnsi="Times New Roman"/>
                  </w:rPr>
                </w:pPr>
                <w:r>
                  <w:rPr>
                    <w:rFonts w:hint="eastAsia" w:ascii="Times New Roman" w:hAnsi="Times New Roman"/>
                  </w:rPr>
                  <w:t>递延所得税</w:t>
                </w:r>
              </w:p>
              <w:p>
                <w:pPr>
                  <w:jc w:val="center"/>
                  <w:rPr>
                    <w:rFonts w:ascii="Times New Roman" w:hAnsi="Times New Roman"/>
                  </w:rPr>
                </w:pPr>
                <w:r>
                  <w:rPr>
                    <w:rFonts w:hint="eastAsia" w:ascii="Times New Roman" w:hAnsi="Times New Roman"/>
                  </w:rPr>
                  <w:t>负债</w:t>
                </w:r>
              </w:p>
            </w:tc>
          </w:sdtContent>
        </w:sdt>
        <w:sdt>
          <w:sdtPr>
            <w:tag w:val="_PLD_3e69493cf6a2462eab1eaf8ece87a89d"/>
            <w:id w:val="439336105"/>
          </w:sdtPr>
          <w:sdtContent>
            <w:tc>
              <w:tcPr>
                <w:tcW w:w="916" w:type="pct"/>
              </w:tcPr>
              <w:p>
                <w:pPr>
                  <w:jc w:val="center"/>
                  <w:rPr>
                    <w:rFonts w:ascii="Times New Roman" w:hAnsi="Times New Roman"/>
                  </w:rPr>
                </w:pPr>
                <w:r>
                  <w:rPr>
                    <w:rFonts w:hint="eastAsia" w:ascii="Arial" w:hAnsi="Arial"/>
                  </w:rPr>
                  <w:t>应纳税暂时性差异</w:t>
                </w:r>
              </w:p>
            </w:tc>
          </w:sdtContent>
        </w:sdt>
        <w:sdt>
          <w:sdtPr>
            <w:tag w:val="_PLD_ad4c3389a4a04a96990ace5203f3adbb"/>
            <w:id w:val="215940554"/>
          </w:sdtPr>
          <w:sdtContent>
            <w:tc>
              <w:tcPr>
                <w:tcW w:w="926" w:type="pct"/>
              </w:tcPr>
              <w:p>
                <w:pPr>
                  <w:jc w:val="center"/>
                  <w:rPr>
                    <w:rFonts w:ascii="Times New Roman" w:hAnsi="Times New Roman"/>
                  </w:rPr>
                </w:pPr>
                <w:r>
                  <w:rPr>
                    <w:rFonts w:hint="eastAsia" w:ascii="Times New Roman" w:hAnsi="Times New Roman"/>
                  </w:rPr>
                  <w:t>递延所得税</w:t>
                </w:r>
              </w:p>
              <w:p>
                <w:pPr>
                  <w:jc w:val="center"/>
                  <w:rPr>
                    <w:rFonts w:ascii="Times New Roman" w:hAnsi="Times New Roman"/>
                  </w:rPr>
                </w:pPr>
                <w:r>
                  <w:rPr>
                    <w:rFonts w:hint="eastAsia" w:ascii="Times New Roman" w:hAnsi="Times New Roman"/>
                  </w:rPr>
                  <w:t>负债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asciiTheme="majorEastAsia" w:hAnsiTheme="majorEastAsia" w:eastAsiaTheme="majorEastAsia"/>
                <w:b/>
                <w:sz w:val="22"/>
                <w:szCs w:val="22"/>
              </w:rPr>
              <w:t>母公司及境内子公司</w:t>
            </w:r>
          </w:p>
        </w:tc>
        <w:tc>
          <w:tcPr>
            <w:tcW w:w="926" w:type="pct"/>
          </w:tcPr>
          <w:p>
            <w:pPr>
              <w:jc w:val="right"/>
              <w:rPr>
                <w:rFonts w:ascii="Times New Roman" w:hAnsi="Times New Roman"/>
              </w:rPr>
            </w:pPr>
          </w:p>
        </w:tc>
        <w:tc>
          <w:tcPr>
            <w:tcW w:w="920" w:type="pct"/>
          </w:tcPr>
          <w:p>
            <w:pPr>
              <w:jc w:val="right"/>
              <w:rPr>
                <w:rFonts w:ascii="Times New Roman" w:hAnsi="Times New Roman"/>
              </w:rPr>
            </w:pPr>
          </w:p>
        </w:tc>
        <w:tc>
          <w:tcPr>
            <w:tcW w:w="916" w:type="pct"/>
          </w:tcPr>
          <w:p>
            <w:pPr>
              <w:jc w:val="right"/>
              <w:rPr>
                <w:rFonts w:ascii="Times New Roman" w:hAnsi="Times New Roman"/>
              </w:rPr>
            </w:pPr>
          </w:p>
        </w:tc>
        <w:tc>
          <w:tcPr>
            <w:tcW w:w="926" w:type="pct"/>
          </w:tcPr>
          <w:p>
            <w:pPr>
              <w:jc w:val="righ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color w:val="000000"/>
                <w:sz w:val="22"/>
                <w:szCs w:val="22"/>
              </w:rPr>
              <w:t>采（探）矿权公允价值</w:t>
            </w:r>
          </w:p>
        </w:tc>
        <w:tc>
          <w:tcPr>
            <w:tcW w:w="926" w:type="pct"/>
          </w:tcPr>
          <w:p>
            <w:pPr>
              <w:jc w:val="right"/>
              <w:rPr>
                <w:rFonts w:ascii="宋体" w:hAnsi="宋体"/>
              </w:rPr>
            </w:pPr>
            <w:r>
              <w:rPr>
                <w:rFonts w:ascii="宋体" w:hAnsi="宋体"/>
                <w:color w:val="000000"/>
              </w:rPr>
              <w:t>23,848,428</w:t>
            </w:r>
          </w:p>
        </w:tc>
        <w:tc>
          <w:tcPr>
            <w:tcW w:w="920" w:type="pct"/>
          </w:tcPr>
          <w:p>
            <w:pPr>
              <w:jc w:val="right"/>
              <w:rPr>
                <w:rFonts w:ascii="宋体" w:hAnsi="宋体"/>
              </w:rPr>
            </w:pPr>
            <w:r>
              <w:rPr>
                <w:rFonts w:ascii="宋体" w:hAnsi="宋体"/>
                <w:color w:val="000000"/>
              </w:rPr>
              <w:t>5,849,537</w:t>
            </w:r>
          </w:p>
        </w:tc>
        <w:tc>
          <w:tcPr>
            <w:tcW w:w="916" w:type="pct"/>
          </w:tcPr>
          <w:p>
            <w:pPr>
              <w:jc w:val="right"/>
              <w:rPr>
                <w:rFonts w:ascii="宋体" w:hAnsi="宋体"/>
              </w:rPr>
            </w:pPr>
            <w:r>
              <w:rPr>
                <w:rFonts w:hint="eastAsia" w:ascii="宋体" w:hAnsi="宋体"/>
                <w:color w:val="000000"/>
              </w:rPr>
              <w:t>24,079,967</w:t>
            </w:r>
          </w:p>
        </w:tc>
        <w:tc>
          <w:tcPr>
            <w:tcW w:w="926" w:type="pct"/>
          </w:tcPr>
          <w:p>
            <w:pPr>
              <w:jc w:val="right"/>
              <w:rPr>
                <w:rFonts w:ascii="宋体" w:hAnsi="宋体"/>
              </w:rPr>
            </w:pPr>
            <w:r>
              <w:rPr>
                <w:rFonts w:hint="eastAsia" w:ascii="宋体" w:hAnsi="宋体"/>
                <w:color w:val="000000"/>
              </w:rPr>
              <w:t>5,911,950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color w:val="000000"/>
                <w:sz w:val="22"/>
                <w:szCs w:val="22"/>
              </w:rPr>
              <w:t>弃置义务</w:t>
            </w:r>
          </w:p>
        </w:tc>
        <w:tc>
          <w:tcPr>
            <w:tcW w:w="926" w:type="pct"/>
          </w:tcPr>
          <w:p>
            <w:pPr>
              <w:jc w:val="right"/>
              <w:rPr>
                <w:rFonts w:ascii="宋体" w:hAnsi="宋体"/>
              </w:rPr>
            </w:pPr>
            <w:r>
              <w:rPr>
                <w:rFonts w:hint="eastAsia" w:ascii="宋体" w:hAnsi="宋体"/>
                <w:color w:val="000000"/>
              </w:rPr>
              <w:t>5,837,172</w:t>
            </w:r>
          </w:p>
        </w:tc>
        <w:tc>
          <w:tcPr>
            <w:tcW w:w="920" w:type="pct"/>
          </w:tcPr>
          <w:p>
            <w:pPr>
              <w:jc w:val="right"/>
              <w:rPr>
                <w:rFonts w:ascii="宋体" w:hAnsi="宋体"/>
              </w:rPr>
            </w:pPr>
            <w:r>
              <w:rPr>
                <w:rFonts w:hint="eastAsia" w:ascii="宋体" w:hAnsi="宋体"/>
                <w:color w:val="000000"/>
              </w:rPr>
              <w:t>1,397,502</w:t>
            </w:r>
          </w:p>
        </w:tc>
        <w:tc>
          <w:tcPr>
            <w:tcW w:w="916" w:type="pct"/>
          </w:tcPr>
          <w:p>
            <w:pPr>
              <w:jc w:val="right"/>
              <w:rPr>
                <w:rFonts w:ascii="宋体" w:hAnsi="宋体"/>
              </w:rPr>
            </w:pPr>
            <w:r>
              <w:rPr>
                <w:rFonts w:hint="eastAsia" w:ascii="宋体" w:hAnsi="宋体"/>
                <w:color w:val="000000"/>
              </w:rPr>
              <w:t>6,118,693</w:t>
            </w:r>
          </w:p>
        </w:tc>
        <w:tc>
          <w:tcPr>
            <w:tcW w:w="926" w:type="pct"/>
          </w:tcPr>
          <w:p>
            <w:pPr>
              <w:jc w:val="right"/>
              <w:rPr>
                <w:rFonts w:ascii="宋体" w:hAnsi="宋体"/>
              </w:rPr>
            </w:pPr>
            <w:r>
              <w:rPr>
                <w:rFonts w:hint="eastAsia" w:ascii="宋体" w:hAnsi="宋体"/>
                <w:color w:val="000000"/>
              </w:rPr>
              <w:t>1,464,999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color w:val="000000"/>
                <w:sz w:val="22"/>
                <w:szCs w:val="22"/>
              </w:rPr>
              <w:t>固定资产加速折旧</w:t>
            </w:r>
          </w:p>
        </w:tc>
        <w:tc>
          <w:tcPr>
            <w:tcW w:w="926" w:type="pct"/>
          </w:tcPr>
          <w:p>
            <w:pPr>
              <w:jc w:val="right"/>
              <w:rPr>
                <w:rFonts w:ascii="宋体" w:hAnsi="宋体"/>
              </w:rPr>
            </w:pPr>
            <w:r>
              <w:rPr>
                <w:rFonts w:hint="eastAsia" w:ascii="宋体" w:hAnsi="宋体"/>
                <w:color w:val="000000"/>
              </w:rPr>
              <w:t>2,306,893</w:t>
            </w:r>
          </w:p>
        </w:tc>
        <w:tc>
          <w:tcPr>
            <w:tcW w:w="920" w:type="pct"/>
          </w:tcPr>
          <w:p>
            <w:pPr>
              <w:jc w:val="right"/>
              <w:rPr>
                <w:rFonts w:ascii="宋体" w:hAnsi="宋体"/>
              </w:rPr>
            </w:pPr>
            <w:r>
              <w:rPr>
                <w:rFonts w:hint="eastAsia" w:ascii="宋体" w:hAnsi="宋体"/>
                <w:color w:val="000000"/>
              </w:rPr>
              <w:t>526,979</w:t>
            </w:r>
          </w:p>
        </w:tc>
        <w:tc>
          <w:tcPr>
            <w:tcW w:w="916" w:type="pct"/>
          </w:tcPr>
          <w:p>
            <w:pPr>
              <w:jc w:val="right"/>
              <w:rPr>
                <w:rFonts w:ascii="宋体" w:hAnsi="宋体"/>
              </w:rPr>
            </w:pPr>
            <w:r>
              <w:rPr>
                <w:rFonts w:hint="eastAsia" w:ascii="宋体" w:hAnsi="宋体"/>
                <w:color w:val="000000"/>
              </w:rPr>
              <w:t>2,274,327</w:t>
            </w:r>
          </w:p>
        </w:tc>
        <w:tc>
          <w:tcPr>
            <w:tcW w:w="926" w:type="pct"/>
          </w:tcPr>
          <w:p>
            <w:pPr>
              <w:jc w:val="right"/>
              <w:rPr>
                <w:rFonts w:ascii="宋体" w:hAnsi="宋体"/>
              </w:rPr>
            </w:pPr>
            <w:r>
              <w:rPr>
                <w:rFonts w:hint="eastAsia" w:ascii="宋体" w:hAnsi="宋体"/>
                <w:color w:val="000000"/>
              </w:rPr>
              <w:t>516,850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color w:val="000000"/>
                <w:sz w:val="22"/>
                <w:szCs w:val="22"/>
              </w:rPr>
              <w:t>非同一控制下企业合并资产评估增值</w:t>
            </w:r>
          </w:p>
        </w:tc>
        <w:tc>
          <w:tcPr>
            <w:tcW w:w="926" w:type="pct"/>
            <w:vAlign w:val="center"/>
          </w:tcPr>
          <w:p>
            <w:pPr>
              <w:jc w:val="right"/>
              <w:rPr>
                <w:rFonts w:ascii="宋体" w:hAnsi="宋体"/>
              </w:rPr>
            </w:pPr>
            <w:r>
              <w:rPr>
                <w:rFonts w:hint="eastAsia" w:ascii="宋体" w:hAnsi="宋体"/>
                <w:color w:val="000000"/>
              </w:rPr>
              <w:t>430,146</w:t>
            </w:r>
          </w:p>
        </w:tc>
        <w:tc>
          <w:tcPr>
            <w:tcW w:w="920" w:type="pct"/>
            <w:vAlign w:val="center"/>
          </w:tcPr>
          <w:p>
            <w:pPr>
              <w:jc w:val="right"/>
              <w:rPr>
                <w:rFonts w:ascii="宋体" w:hAnsi="宋体"/>
              </w:rPr>
            </w:pPr>
            <w:r>
              <w:rPr>
                <w:rFonts w:hint="eastAsia" w:ascii="宋体" w:hAnsi="宋体"/>
                <w:color w:val="000000"/>
              </w:rPr>
              <w:t>107,536</w:t>
            </w:r>
          </w:p>
        </w:tc>
        <w:tc>
          <w:tcPr>
            <w:tcW w:w="916" w:type="pct"/>
            <w:vAlign w:val="center"/>
          </w:tcPr>
          <w:p>
            <w:pPr>
              <w:jc w:val="right"/>
              <w:rPr>
                <w:rFonts w:ascii="宋体" w:hAnsi="宋体"/>
              </w:rPr>
            </w:pPr>
            <w:r>
              <w:rPr>
                <w:rFonts w:hint="eastAsia" w:ascii="宋体" w:hAnsi="宋体"/>
                <w:color w:val="000000"/>
              </w:rPr>
              <w:t>430,575</w:t>
            </w:r>
          </w:p>
        </w:tc>
        <w:tc>
          <w:tcPr>
            <w:tcW w:w="926" w:type="pct"/>
            <w:vAlign w:val="center"/>
          </w:tcPr>
          <w:p>
            <w:pPr>
              <w:jc w:val="right"/>
              <w:rPr>
                <w:rFonts w:ascii="宋体" w:hAnsi="宋体"/>
              </w:rPr>
            </w:pPr>
            <w:r>
              <w:rPr>
                <w:rFonts w:hint="eastAsia" w:ascii="宋体" w:hAnsi="宋体"/>
                <w:color w:val="000000"/>
              </w:rPr>
              <w:t>107,644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color w:val="000000"/>
                <w:sz w:val="22"/>
                <w:szCs w:val="22"/>
              </w:rPr>
              <w:t>固定资产转投资性房地产</w:t>
            </w:r>
          </w:p>
        </w:tc>
        <w:tc>
          <w:tcPr>
            <w:tcW w:w="926" w:type="pct"/>
            <w:vAlign w:val="center"/>
          </w:tcPr>
          <w:p>
            <w:pPr>
              <w:jc w:val="right"/>
              <w:rPr>
                <w:rFonts w:ascii="宋体" w:hAnsi="宋体"/>
              </w:rPr>
            </w:pPr>
            <w:r>
              <w:rPr>
                <w:rFonts w:ascii="宋体" w:hAnsi="宋体"/>
                <w:color w:val="000000"/>
              </w:rPr>
              <w:t>352,077</w:t>
            </w:r>
          </w:p>
        </w:tc>
        <w:tc>
          <w:tcPr>
            <w:tcW w:w="920" w:type="pct"/>
            <w:vAlign w:val="center"/>
          </w:tcPr>
          <w:p>
            <w:pPr>
              <w:jc w:val="right"/>
              <w:rPr>
                <w:rFonts w:ascii="宋体" w:hAnsi="宋体"/>
              </w:rPr>
            </w:pPr>
            <w:r>
              <w:rPr>
                <w:rFonts w:ascii="宋体" w:hAnsi="宋体"/>
                <w:color w:val="000000"/>
              </w:rPr>
              <w:t>88,019</w:t>
            </w:r>
          </w:p>
        </w:tc>
        <w:tc>
          <w:tcPr>
            <w:tcW w:w="916" w:type="pct"/>
            <w:vAlign w:val="center"/>
          </w:tcPr>
          <w:p>
            <w:pPr>
              <w:jc w:val="right"/>
              <w:rPr>
                <w:rFonts w:ascii="宋体" w:hAnsi="宋体"/>
              </w:rPr>
            </w:pPr>
            <w:r>
              <w:rPr>
                <w:rFonts w:ascii="宋体" w:hAnsi="宋体"/>
                <w:color w:val="000000"/>
              </w:rPr>
              <w:t>356,203</w:t>
            </w:r>
          </w:p>
        </w:tc>
        <w:tc>
          <w:tcPr>
            <w:tcW w:w="926" w:type="pct"/>
            <w:vAlign w:val="center"/>
          </w:tcPr>
          <w:p>
            <w:pPr>
              <w:jc w:val="right"/>
              <w:rPr>
                <w:rFonts w:ascii="宋体" w:hAnsi="宋体"/>
              </w:rPr>
            </w:pPr>
            <w:r>
              <w:rPr>
                <w:rFonts w:ascii="宋体" w:hAnsi="宋体"/>
                <w:color w:val="000000"/>
              </w:rPr>
              <w:t>89,051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color w:val="000000"/>
                <w:sz w:val="22"/>
                <w:szCs w:val="22"/>
              </w:rPr>
              <w:t>投资性房地产公允价值变动</w:t>
            </w:r>
          </w:p>
        </w:tc>
        <w:tc>
          <w:tcPr>
            <w:tcW w:w="926" w:type="pct"/>
            <w:vAlign w:val="center"/>
          </w:tcPr>
          <w:p>
            <w:pPr>
              <w:jc w:val="right"/>
              <w:rPr>
                <w:rFonts w:ascii="宋体" w:hAnsi="宋体"/>
              </w:rPr>
            </w:pPr>
            <w:r>
              <w:rPr>
                <w:rFonts w:ascii="宋体" w:hAnsi="宋体"/>
              </w:rPr>
              <w:t>156,923</w:t>
            </w:r>
          </w:p>
        </w:tc>
        <w:tc>
          <w:tcPr>
            <w:tcW w:w="920" w:type="pct"/>
            <w:vAlign w:val="center"/>
          </w:tcPr>
          <w:p>
            <w:pPr>
              <w:jc w:val="right"/>
              <w:rPr>
                <w:rFonts w:ascii="宋体" w:hAnsi="宋体"/>
              </w:rPr>
            </w:pPr>
            <w:r>
              <w:rPr>
                <w:rFonts w:ascii="宋体" w:hAnsi="宋体"/>
              </w:rPr>
              <w:t>39,231</w:t>
            </w:r>
          </w:p>
        </w:tc>
        <w:tc>
          <w:tcPr>
            <w:tcW w:w="916" w:type="pct"/>
            <w:vAlign w:val="center"/>
          </w:tcPr>
          <w:p>
            <w:pPr>
              <w:jc w:val="right"/>
              <w:rPr>
                <w:rFonts w:ascii="宋体" w:hAnsi="宋体"/>
              </w:rPr>
            </w:pPr>
            <w:r>
              <w:rPr>
                <w:rFonts w:ascii="宋体" w:hAnsi="宋体"/>
              </w:rPr>
              <w:t>138,469</w:t>
            </w:r>
          </w:p>
        </w:tc>
        <w:tc>
          <w:tcPr>
            <w:tcW w:w="926" w:type="pct"/>
            <w:vAlign w:val="center"/>
          </w:tcPr>
          <w:p>
            <w:pPr>
              <w:jc w:val="right"/>
              <w:rPr>
                <w:rFonts w:ascii="宋体" w:hAnsi="宋体"/>
              </w:rPr>
            </w:pPr>
            <w:r>
              <w:rPr>
                <w:rFonts w:ascii="宋体" w:hAnsi="宋体"/>
              </w:rPr>
              <w:t>34,617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heme="majorEastAsia" w:hAnsiTheme="majorEastAsia" w:eastAsiaTheme="majorEastAsia"/>
                <w:color w:val="000000"/>
                <w:sz w:val="22"/>
                <w:szCs w:val="22"/>
              </w:rPr>
            </w:pPr>
            <w:r>
              <w:rPr>
                <w:rFonts w:hint="eastAsia" w:asciiTheme="majorEastAsia" w:hAnsiTheme="majorEastAsia" w:eastAsiaTheme="majorEastAsia"/>
                <w:color w:val="000000"/>
                <w:sz w:val="22"/>
                <w:szCs w:val="22"/>
              </w:rPr>
              <w:t>其他非流动金融资产公允价值调整</w:t>
            </w:r>
          </w:p>
        </w:tc>
        <w:tc>
          <w:tcPr>
            <w:tcW w:w="926" w:type="pct"/>
            <w:vAlign w:val="center"/>
          </w:tcPr>
          <w:p>
            <w:pPr>
              <w:jc w:val="right"/>
              <w:rPr>
                <w:rFonts w:asciiTheme="majorEastAsia" w:hAnsiTheme="majorEastAsia" w:eastAsiaTheme="majorEastAsia"/>
                <w:color w:val="000000"/>
                <w:sz w:val="22"/>
                <w:szCs w:val="22"/>
              </w:rPr>
            </w:pPr>
            <w:r>
              <w:rPr>
                <w:rFonts w:hint="eastAsia" w:asciiTheme="majorEastAsia" w:hAnsiTheme="majorEastAsia" w:eastAsiaTheme="majorEastAsia"/>
                <w:color w:val="000000"/>
                <w:sz w:val="22"/>
                <w:szCs w:val="22"/>
              </w:rPr>
              <w:t>35,991</w:t>
            </w:r>
          </w:p>
        </w:tc>
        <w:tc>
          <w:tcPr>
            <w:tcW w:w="920" w:type="pct"/>
            <w:vAlign w:val="center"/>
          </w:tcPr>
          <w:p>
            <w:pPr>
              <w:jc w:val="right"/>
              <w:rPr>
                <w:rFonts w:asciiTheme="majorEastAsia" w:hAnsiTheme="majorEastAsia" w:eastAsiaTheme="majorEastAsia"/>
                <w:color w:val="000000"/>
                <w:sz w:val="22"/>
                <w:szCs w:val="22"/>
              </w:rPr>
            </w:pPr>
            <w:r>
              <w:rPr>
                <w:rFonts w:hint="eastAsia" w:asciiTheme="majorEastAsia" w:hAnsiTheme="majorEastAsia" w:eastAsiaTheme="majorEastAsia"/>
                <w:color w:val="000000"/>
                <w:sz w:val="22"/>
                <w:szCs w:val="22"/>
              </w:rPr>
              <w:t>8,998</w:t>
            </w:r>
          </w:p>
        </w:tc>
        <w:tc>
          <w:tcPr>
            <w:tcW w:w="916" w:type="pct"/>
            <w:vAlign w:val="center"/>
          </w:tcPr>
          <w:p>
            <w:pPr>
              <w:jc w:val="right"/>
              <w:rPr>
                <w:rFonts w:asciiTheme="majorEastAsia" w:hAnsiTheme="majorEastAsia" w:eastAsiaTheme="majorEastAsia"/>
                <w:color w:val="000000"/>
                <w:sz w:val="22"/>
                <w:szCs w:val="22"/>
              </w:rPr>
            </w:pPr>
            <w:r>
              <w:rPr>
                <w:rFonts w:hint="eastAsia" w:asciiTheme="majorEastAsia" w:hAnsiTheme="majorEastAsia" w:eastAsiaTheme="majorEastAsia"/>
                <w:color w:val="000000"/>
                <w:sz w:val="22"/>
                <w:szCs w:val="22"/>
              </w:rPr>
              <w:t>42,032</w:t>
            </w:r>
          </w:p>
        </w:tc>
        <w:tc>
          <w:tcPr>
            <w:tcW w:w="926" w:type="pct"/>
            <w:vAlign w:val="center"/>
          </w:tcPr>
          <w:p>
            <w:pPr>
              <w:jc w:val="right"/>
              <w:rPr>
                <w:rFonts w:asciiTheme="majorEastAsia" w:hAnsiTheme="majorEastAsia" w:eastAsiaTheme="majorEastAsia"/>
                <w:color w:val="000000"/>
                <w:sz w:val="22"/>
                <w:szCs w:val="22"/>
              </w:rPr>
            </w:pPr>
            <w:r>
              <w:rPr>
                <w:rFonts w:hint="eastAsia" w:asciiTheme="majorEastAsia" w:hAnsiTheme="majorEastAsia" w:eastAsiaTheme="majorEastAsia"/>
                <w:color w:val="000000"/>
                <w:sz w:val="22"/>
                <w:szCs w:val="22"/>
              </w:rPr>
              <w:t>10,508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imes New Roman" w:hAnsi="Times New Roman"/>
              </w:rPr>
              <w:t>使用权资产</w:t>
            </w:r>
          </w:p>
        </w:tc>
        <w:tc>
          <w:tcPr>
            <w:tcW w:w="926" w:type="pct"/>
            <w:vAlign w:val="center"/>
          </w:tcPr>
          <w:p>
            <w:pPr>
              <w:jc w:val="right"/>
              <w:rPr>
                <w:rFonts w:ascii="宋体" w:hAnsi="宋体"/>
              </w:rPr>
            </w:pPr>
            <w:r>
              <w:rPr>
                <w:rFonts w:hint="eastAsia" w:ascii="宋体" w:hAnsi="宋体"/>
                <w:color w:val="000000"/>
              </w:rPr>
              <w:t>14,128</w:t>
            </w:r>
          </w:p>
        </w:tc>
        <w:tc>
          <w:tcPr>
            <w:tcW w:w="920" w:type="pct"/>
            <w:vAlign w:val="center"/>
          </w:tcPr>
          <w:p>
            <w:pPr>
              <w:jc w:val="right"/>
              <w:rPr>
                <w:rFonts w:ascii="宋体" w:hAnsi="宋体"/>
              </w:rPr>
            </w:pPr>
            <w:r>
              <w:rPr>
                <w:rFonts w:hint="eastAsia" w:ascii="宋体" w:hAnsi="宋体"/>
                <w:color w:val="000000"/>
              </w:rPr>
              <w:t>3,532</w:t>
            </w:r>
          </w:p>
        </w:tc>
        <w:tc>
          <w:tcPr>
            <w:tcW w:w="916" w:type="pct"/>
            <w:vAlign w:val="center"/>
          </w:tcPr>
          <w:p>
            <w:pPr>
              <w:jc w:val="right"/>
              <w:rPr>
                <w:rFonts w:ascii="宋体" w:hAnsi="宋体"/>
              </w:rPr>
            </w:pPr>
            <w:r>
              <w:rPr>
                <w:rFonts w:hint="eastAsia" w:ascii="宋体" w:hAnsi="宋体"/>
                <w:color w:val="000000"/>
              </w:rPr>
              <w:t>28,729</w:t>
            </w:r>
          </w:p>
        </w:tc>
        <w:tc>
          <w:tcPr>
            <w:tcW w:w="926" w:type="pct"/>
            <w:vAlign w:val="center"/>
          </w:tcPr>
          <w:p>
            <w:pPr>
              <w:jc w:val="right"/>
              <w:rPr>
                <w:rFonts w:ascii="宋体" w:hAnsi="宋体"/>
              </w:rPr>
            </w:pPr>
            <w:r>
              <w:rPr>
                <w:rFonts w:hint="eastAsia" w:ascii="宋体" w:hAnsi="宋体"/>
                <w:color w:val="000000"/>
              </w:rPr>
              <w:t>7,182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color w:val="000000"/>
                <w:sz w:val="22"/>
                <w:szCs w:val="22"/>
              </w:rPr>
              <w:t>其他权益工具投资公允价值变动</w:t>
            </w:r>
          </w:p>
        </w:tc>
        <w:tc>
          <w:tcPr>
            <w:tcW w:w="926" w:type="pct"/>
            <w:vAlign w:val="center"/>
          </w:tcPr>
          <w:p>
            <w:pPr>
              <w:jc w:val="right"/>
              <w:rPr>
                <w:rFonts w:ascii="宋体" w:hAnsi="宋体"/>
              </w:rPr>
            </w:pPr>
            <w:r>
              <w:rPr>
                <w:rFonts w:hint="eastAsia" w:ascii="宋体" w:hAnsi="宋体"/>
                <w:color w:val="000000"/>
              </w:rPr>
              <w:t>277</w:t>
            </w:r>
          </w:p>
        </w:tc>
        <w:tc>
          <w:tcPr>
            <w:tcW w:w="920" w:type="pct"/>
            <w:vAlign w:val="center"/>
          </w:tcPr>
          <w:p>
            <w:pPr>
              <w:jc w:val="right"/>
              <w:rPr>
                <w:rFonts w:ascii="宋体" w:hAnsi="宋体"/>
              </w:rPr>
            </w:pPr>
            <w:r>
              <w:rPr>
                <w:rFonts w:hint="eastAsia" w:ascii="宋体" w:hAnsi="宋体"/>
                <w:color w:val="000000"/>
              </w:rPr>
              <w:t>69</w:t>
            </w:r>
          </w:p>
        </w:tc>
        <w:tc>
          <w:tcPr>
            <w:tcW w:w="916" w:type="pct"/>
            <w:vAlign w:val="center"/>
          </w:tcPr>
          <w:p>
            <w:pPr>
              <w:jc w:val="right"/>
              <w:rPr>
                <w:rFonts w:ascii="宋体" w:hAnsi="宋体"/>
              </w:rPr>
            </w:pPr>
            <w:r>
              <w:rPr>
                <w:rFonts w:hint="eastAsia" w:ascii="宋体" w:hAnsi="宋体"/>
                <w:color w:val="000000"/>
              </w:rPr>
              <w:t>351</w:t>
            </w:r>
          </w:p>
        </w:tc>
        <w:tc>
          <w:tcPr>
            <w:tcW w:w="926" w:type="pct"/>
            <w:vAlign w:val="center"/>
          </w:tcPr>
          <w:p>
            <w:pPr>
              <w:jc w:val="right"/>
              <w:rPr>
                <w:rFonts w:ascii="宋体" w:hAnsi="宋体"/>
              </w:rPr>
            </w:pPr>
            <w:r>
              <w:rPr>
                <w:rFonts w:hint="eastAsia" w:ascii="宋体" w:hAnsi="宋体"/>
                <w:color w:val="000000"/>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color w:val="000000"/>
                <w:sz w:val="22"/>
                <w:szCs w:val="22"/>
              </w:rPr>
              <w:t>其他</w:t>
            </w:r>
          </w:p>
        </w:tc>
        <w:tc>
          <w:tcPr>
            <w:tcW w:w="926" w:type="pct"/>
          </w:tcPr>
          <w:p>
            <w:pPr>
              <w:jc w:val="right"/>
              <w:rPr>
                <w:rFonts w:ascii="宋体" w:hAnsi="宋体"/>
              </w:rPr>
            </w:pPr>
            <w:r>
              <w:rPr>
                <w:rFonts w:ascii="宋体" w:hAnsi="宋体"/>
                <w:color w:val="000000"/>
              </w:rPr>
              <w:t>639,209</w:t>
            </w:r>
          </w:p>
        </w:tc>
        <w:tc>
          <w:tcPr>
            <w:tcW w:w="920" w:type="pct"/>
          </w:tcPr>
          <w:p>
            <w:pPr>
              <w:jc w:val="right"/>
              <w:rPr>
                <w:rFonts w:ascii="宋体" w:hAnsi="宋体"/>
              </w:rPr>
            </w:pPr>
            <w:r>
              <w:rPr>
                <w:rFonts w:ascii="宋体" w:hAnsi="宋体"/>
                <w:color w:val="000000"/>
              </w:rPr>
              <w:t>95,882</w:t>
            </w:r>
          </w:p>
        </w:tc>
        <w:tc>
          <w:tcPr>
            <w:tcW w:w="916" w:type="pct"/>
          </w:tcPr>
          <w:p>
            <w:pPr>
              <w:jc w:val="right"/>
              <w:rPr>
                <w:rFonts w:ascii="宋体" w:hAnsi="宋体"/>
              </w:rPr>
            </w:pPr>
            <w:r>
              <w:rPr>
                <w:rFonts w:ascii="宋体" w:hAnsi="宋体"/>
                <w:color w:val="000000"/>
              </w:rPr>
              <w:t>743,797</w:t>
            </w:r>
          </w:p>
        </w:tc>
        <w:tc>
          <w:tcPr>
            <w:tcW w:w="926" w:type="pct"/>
          </w:tcPr>
          <w:p>
            <w:pPr>
              <w:jc w:val="right"/>
              <w:rPr>
                <w:rFonts w:ascii="宋体" w:hAnsi="宋体"/>
              </w:rPr>
            </w:pPr>
            <w:r>
              <w:rPr>
                <w:rFonts w:ascii="宋体" w:hAnsi="宋体"/>
                <w:color w:val="000000"/>
              </w:rPr>
              <w:t>114,702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asciiTheme="majorEastAsia" w:hAnsiTheme="majorEastAsia" w:eastAsiaTheme="majorEastAsia"/>
                <w:b/>
                <w:sz w:val="22"/>
                <w:szCs w:val="22"/>
              </w:rPr>
              <w:t>澳大利亚子公司</w:t>
            </w:r>
          </w:p>
        </w:tc>
        <w:tc>
          <w:tcPr>
            <w:tcW w:w="926" w:type="pct"/>
          </w:tcPr>
          <w:p>
            <w:pPr>
              <w:jc w:val="right"/>
              <w:rPr>
                <w:rFonts w:ascii="宋体" w:hAnsi="宋体"/>
              </w:rPr>
            </w:pPr>
          </w:p>
        </w:tc>
        <w:tc>
          <w:tcPr>
            <w:tcW w:w="920" w:type="pct"/>
          </w:tcPr>
          <w:p>
            <w:pPr>
              <w:jc w:val="right"/>
              <w:rPr>
                <w:rFonts w:ascii="宋体" w:hAnsi="宋体"/>
              </w:rPr>
            </w:pPr>
          </w:p>
        </w:tc>
        <w:tc>
          <w:tcPr>
            <w:tcW w:w="916" w:type="pct"/>
          </w:tcPr>
          <w:p>
            <w:pPr>
              <w:jc w:val="right"/>
              <w:rPr>
                <w:rFonts w:ascii="宋体" w:hAnsi="宋体"/>
              </w:rPr>
            </w:pPr>
          </w:p>
        </w:tc>
        <w:tc>
          <w:tcPr>
            <w:tcW w:w="926" w:type="pct"/>
          </w:tcPr>
          <w:p>
            <w:pPr>
              <w:jc w:val="right"/>
              <w:rPr>
                <w:rFonts w:ascii="宋体" w:hAnsi="宋体"/>
              </w:rPr>
            </w:pPr>
          </w:p>
        </w:tc>
      </w:tr>
      <w:tr>
        <w:tblPrEx>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sz w:val="22"/>
                <w:szCs w:val="22"/>
              </w:rPr>
              <w:t>资产摊销及确认</w:t>
            </w:r>
          </w:p>
        </w:tc>
        <w:tc>
          <w:tcPr>
            <w:tcW w:w="926" w:type="pct"/>
          </w:tcPr>
          <w:p>
            <w:pPr>
              <w:jc w:val="right"/>
              <w:rPr>
                <w:rFonts w:ascii="宋体" w:hAnsi="宋体"/>
              </w:rPr>
            </w:pPr>
            <w:r>
              <w:rPr>
                <w:rFonts w:ascii="宋体" w:hAnsi="宋体"/>
                <w:color w:val="000000"/>
              </w:rPr>
              <w:t>12,792,855</w:t>
            </w:r>
          </w:p>
        </w:tc>
        <w:tc>
          <w:tcPr>
            <w:tcW w:w="920" w:type="pct"/>
          </w:tcPr>
          <w:p>
            <w:pPr>
              <w:jc w:val="right"/>
              <w:rPr>
                <w:rFonts w:ascii="宋体" w:hAnsi="宋体"/>
              </w:rPr>
            </w:pPr>
            <w:r>
              <w:rPr>
                <w:rFonts w:ascii="宋体" w:hAnsi="宋体"/>
                <w:color w:val="000000"/>
              </w:rPr>
              <w:t>3,837,856</w:t>
            </w:r>
          </w:p>
        </w:tc>
        <w:tc>
          <w:tcPr>
            <w:tcW w:w="916" w:type="pct"/>
          </w:tcPr>
          <w:p>
            <w:pPr>
              <w:jc w:val="right"/>
              <w:rPr>
                <w:rFonts w:ascii="宋体" w:hAnsi="宋体"/>
              </w:rPr>
            </w:pPr>
            <w:r>
              <w:rPr>
                <w:rFonts w:ascii="宋体" w:hAnsi="宋体"/>
                <w:color w:val="000000"/>
              </w:rPr>
              <w:t>13,278,732</w:t>
            </w:r>
          </w:p>
        </w:tc>
        <w:tc>
          <w:tcPr>
            <w:tcW w:w="926" w:type="pct"/>
          </w:tcPr>
          <w:p>
            <w:pPr>
              <w:jc w:val="right"/>
              <w:rPr>
                <w:rFonts w:ascii="宋体" w:hAnsi="宋体"/>
              </w:rPr>
            </w:pPr>
            <w:r>
              <w:rPr>
                <w:rFonts w:hint="eastAsia" w:ascii="宋体" w:hAnsi="宋体"/>
                <w:color w:val="000000"/>
              </w:rPr>
              <w:t>3,983,619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sz w:val="22"/>
                <w:szCs w:val="22"/>
              </w:rPr>
              <w:t>未实现外汇损益</w:t>
            </w:r>
          </w:p>
        </w:tc>
        <w:tc>
          <w:tcPr>
            <w:tcW w:w="926" w:type="pct"/>
          </w:tcPr>
          <w:p>
            <w:pPr>
              <w:jc w:val="right"/>
              <w:rPr>
                <w:rFonts w:ascii="宋体" w:hAnsi="宋体"/>
              </w:rPr>
            </w:pPr>
            <w:r>
              <w:rPr>
                <w:rFonts w:ascii="宋体" w:hAnsi="宋体"/>
                <w:color w:val="000000"/>
              </w:rPr>
              <w:t>1,454,121</w:t>
            </w:r>
          </w:p>
        </w:tc>
        <w:tc>
          <w:tcPr>
            <w:tcW w:w="920" w:type="pct"/>
          </w:tcPr>
          <w:p>
            <w:pPr>
              <w:jc w:val="right"/>
              <w:rPr>
                <w:rFonts w:ascii="宋体" w:hAnsi="宋体"/>
              </w:rPr>
            </w:pPr>
            <w:r>
              <w:rPr>
                <w:rFonts w:ascii="宋体" w:hAnsi="宋体"/>
                <w:color w:val="000000"/>
              </w:rPr>
              <w:t>436,236</w:t>
            </w:r>
          </w:p>
        </w:tc>
        <w:tc>
          <w:tcPr>
            <w:tcW w:w="916" w:type="pct"/>
          </w:tcPr>
          <w:p>
            <w:pPr>
              <w:jc w:val="right"/>
              <w:rPr>
                <w:rFonts w:ascii="宋体" w:hAnsi="宋体"/>
              </w:rPr>
            </w:pPr>
            <w:r>
              <w:rPr>
                <w:rFonts w:hint="eastAsia" w:ascii="宋体" w:hAnsi="宋体"/>
                <w:color w:val="000000"/>
              </w:rPr>
              <w:t>1,275,070</w:t>
            </w:r>
          </w:p>
        </w:tc>
        <w:tc>
          <w:tcPr>
            <w:tcW w:w="926" w:type="pct"/>
          </w:tcPr>
          <w:p>
            <w:pPr>
              <w:jc w:val="right"/>
              <w:rPr>
                <w:rFonts w:ascii="宋体" w:hAnsi="宋体"/>
              </w:rPr>
            </w:pPr>
            <w:r>
              <w:rPr>
                <w:rFonts w:hint="eastAsia" w:ascii="宋体" w:hAnsi="宋体"/>
                <w:color w:val="000000"/>
              </w:rPr>
              <w:t>382,521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rPr>
                <w:rFonts w:ascii="Times New Roman" w:hAnsi="Times New Roman"/>
              </w:rPr>
            </w:pPr>
            <w:r>
              <w:rPr>
                <w:rFonts w:hint="eastAsia" w:asciiTheme="majorEastAsia" w:hAnsiTheme="majorEastAsia" w:eastAsiaTheme="majorEastAsia"/>
                <w:sz w:val="22"/>
                <w:szCs w:val="22"/>
              </w:rPr>
              <w:t>其他</w:t>
            </w:r>
          </w:p>
        </w:tc>
        <w:tc>
          <w:tcPr>
            <w:tcW w:w="926" w:type="pct"/>
          </w:tcPr>
          <w:p>
            <w:pPr>
              <w:jc w:val="right"/>
              <w:rPr>
                <w:rFonts w:ascii="宋体" w:hAnsi="宋体"/>
              </w:rPr>
            </w:pPr>
            <w:r>
              <w:rPr>
                <w:rFonts w:ascii="宋体" w:hAnsi="宋体"/>
                <w:color w:val="000000"/>
              </w:rPr>
              <w:t>888,214</w:t>
            </w:r>
          </w:p>
        </w:tc>
        <w:tc>
          <w:tcPr>
            <w:tcW w:w="920" w:type="pct"/>
          </w:tcPr>
          <w:p>
            <w:pPr>
              <w:jc w:val="right"/>
              <w:rPr>
                <w:rFonts w:ascii="宋体" w:hAnsi="宋体"/>
              </w:rPr>
            </w:pPr>
            <w:r>
              <w:rPr>
                <w:rFonts w:ascii="宋体" w:hAnsi="宋体"/>
                <w:color w:val="000000"/>
              </w:rPr>
              <w:t>266,464</w:t>
            </w:r>
          </w:p>
        </w:tc>
        <w:tc>
          <w:tcPr>
            <w:tcW w:w="916" w:type="pct"/>
          </w:tcPr>
          <w:p>
            <w:pPr>
              <w:jc w:val="right"/>
              <w:rPr>
                <w:rFonts w:ascii="宋体" w:hAnsi="宋体"/>
              </w:rPr>
            </w:pPr>
            <w:r>
              <w:rPr>
                <w:rFonts w:hint="eastAsia" w:ascii="宋体" w:hAnsi="宋体"/>
                <w:color w:val="000000"/>
              </w:rPr>
              <w:t>868,328</w:t>
            </w:r>
          </w:p>
        </w:tc>
        <w:tc>
          <w:tcPr>
            <w:tcW w:w="926" w:type="pct"/>
          </w:tcPr>
          <w:p>
            <w:pPr>
              <w:jc w:val="right"/>
              <w:rPr>
                <w:rFonts w:ascii="宋体" w:hAnsi="宋体"/>
              </w:rPr>
            </w:pPr>
            <w:r>
              <w:rPr>
                <w:rFonts w:hint="eastAsia" w:ascii="宋体" w:hAnsi="宋体"/>
                <w:color w:val="000000"/>
              </w:rPr>
              <w:t>260,498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12" w:type="pct"/>
          </w:tcPr>
          <w:p>
            <w:pPr>
              <w:jc w:val="center"/>
              <w:rPr>
                <w:rFonts w:ascii="Times New Roman" w:hAnsi="Times New Roman"/>
              </w:rPr>
            </w:pPr>
            <w:r>
              <w:rPr>
                <w:rFonts w:hint="eastAsia" w:ascii="Times New Roman" w:hAnsi="Times New Roman"/>
              </w:rPr>
              <w:t>合计</w:t>
            </w:r>
          </w:p>
        </w:tc>
        <w:tc>
          <w:tcPr>
            <w:tcW w:w="926" w:type="pct"/>
          </w:tcPr>
          <w:p>
            <w:pPr>
              <w:jc w:val="right"/>
              <w:rPr>
                <w:rFonts w:ascii="宋体" w:hAnsi="宋体"/>
              </w:rPr>
            </w:pPr>
            <w:r>
              <w:rPr>
                <w:rFonts w:ascii="宋体" w:hAnsi="宋体"/>
              </w:rPr>
              <w:t>48,756,434</w:t>
            </w:r>
          </w:p>
        </w:tc>
        <w:tc>
          <w:tcPr>
            <w:tcW w:w="920" w:type="pct"/>
          </w:tcPr>
          <w:p>
            <w:pPr>
              <w:jc w:val="right"/>
              <w:rPr>
                <w:rFonts w:ascii="宋体" w:hAnsi="宋体"/>
              </w:rPr>
            </w:pPr>
            <w:r>
              <w:rPr>
                <w:rFonts w:ascii="宋体" w:hAnsi="宋体"/>
              </w:rPr>
              <w:t>12,657,841</w:t>
            </w:r>
          </w:p>
        </w:tc>
        <w:tc>
          <w:tcPr>
            <w:tcW w:w="916" w:type="pct"/>
          </w:tcPr>
          <w:p>
            <w:pPr>
              <w:jc w:val="right"/>
              <w:rPr>
                <w:rFonts w:ascii="宋体" w:hAnsi="宋体"/>
              </w:rPr>
            </w:pPr>
            <w:r>
              <w:rPr>
                <w:rFonts w:ascii="宋体" w:hAnsi="宋体"/>
              </w:rPr>
              <w:t>49,635,273</w:t>
            </w:r>
          </w:p>
        </w:tc>
        <w:tc>
          <w:tcPr>
            <w:tcW w:w="926" w:type="pct"/>
          </w:tcPr>
          <w:p>
            <w:pPr>
              <w:jc w:val="right"/>
              <w:rPr>
                <w:rFonts w:ascii="宋体" w:hAnsi="宋体"/>
              </w:rPr>
            </w:pPr>
            <w:r>
              <w:rPr>
                <w:rFonts w:ascii="宋体" w:hAnsi="宋体"/>
              </w:rPr>
              <w:t>12,884,229</w:t>
            </w:r>
          </w:p>
        </w:tc>
      </w:tr>
    </w:tbl>
    <w:p>
      <w:pPr>
        <w:pStyle w:val="531"/>
      </w:pPr>
    </w:p>
    <w:p>
      <w:pPr>
        <w:pStyle w:val="505"/>
        <w:numPr>
          <w:ilvl w:val="0"/>
          <w:numId w:val="92"/>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1492169723"/>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pPr>
      <w:r>
        <w:rPr>
          <w:rFonts w:hint="eastAsia"/>
        </w:rPr>
        <w:t>单位：</w:t>
      </w:r>
      <w:sdt>
        <w:sdtPr>
          <w:rPr>
            <w:rFonts w:hint="eastAsia"/>
          </w:rPr>
          <w:alias w:val="单位：财务附注：互抵后的递延所得税资产及负债的组成项目"/>
          <w:tag w:val="_GBC_2b339a7e526d4061aa348bb358a09881"/>
          <w:id w:val="-12793390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2646050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3"/>
        <w:gridCol w:w="1676"/>
        <w:gridCol w:w="1661"/>
        <w:gridCol w:w="168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76bc62ed08748b387f49005e1f18dee"/>
            <w:id w:val="1037622933"/>
          </w:sdtPr>
          <w:sdtContent>
            <w:tc>
              <w:tcPr>
                <w:tcW w:w="1306" w:type="pct"/>
                <w:tcBorders>
                  <w:bottom w:val="single" w:color="auto" w:sz="4" w:space="0"/>
                </w:tcBorders>
                <w:shd w:val="clear" w:color="auto" w:fill="auto"/>
                <w:vAlign w:val="center"/>
              </w:tcPr>
              <w:p>
                <w:pPr>
                  <w:jc w:val="center"/>
                </w:pPr>
                <w:r>
                  <w:rPr>
                    <w:rFonts w:hint="eastAsia"/>
                  </w:rPr>
                  <w:t>项目</w:t>
                </w:r>
              </w:p>
            </w:tc>
          </w:sdtContent>
        </w:sdt>
        <w:sdt>
          <w:sdtPr>
            <w:tag w:val="_PLD_6cd13a97416d42f89e9ea2c943014688"/>
            <w:id w:val="1882129126"/>
          </w:sdtPr>
          <w:sdtContent>
            <w:tc>
              <w:tcPr>
                <w:tcW w:w="926" w:type="pct"/>
                <w:tcBorders>
                  <w:bottom w:val="single" w:color="auto" w:sz="4" w:space="0"/>
                </w:tcBorders>
                <w:shd w:val="clear" w:color="auto" w:fill="auto"/>
                <w:vAlign w:val="center"/>
              </w:tcPr>
              <w:p>
                <w:pPr>
                  <w:jc w:val="center"/>
                </w:pPr>
                <w:r>
                  <w:rPr>
                    <w:rFonts w:hint="eastAsia"/>
                  </w:rPr>
                  <w:t>递延所得税资产和负债期末互抵金额</w:t>
                </w:r>
              </w:p>
            </w:tc>
          </w:sdtContent>
        </w:sdt>
        <w:sdt>
          <w:sdtPr>
            <w:tag w:val="_PLD_09c02830b1824a4c8ce30fe73cda15b9"/>
            <w:id w:val="1856848373"/>
          </w:sdtPr>
          <w:sdtContent>
            <w:tc>
              <w:tcPr>
                <w:tcW w:w="918" w:type="pct"/>
                <w:tcBorders>
                  <w:bottom w:val="single" w:color="auto" w:sz="4" w:space="0"/>
                </w:tcBorders>
                <w:shd w:val="clear" w:color="auto" w:fill="auto"/>
                <w:vAlign w:val="center"/>
              </w:tcPr>
              <w:p>
                <w:pPr>
                  <w:jc w:val="center"/>
                </w:pPr>
                <w:r>
                  <w:rPr>
                    <w:rFonts w:hint="eastAsia"/>
                  </w:rPr>
                  <w:t>抵销后递延所得税资产或负债期末余额</w:t>
                </w:r>
              </w:p>
            </w:tc>
          </w:sdtContent>
        </w:sdt>
        <w:sdt>
          <w:sdtPr>
            <w:tag w:val="_PLD_862180b8f6b94867ac93686a5c934b4c"/>
            <w:id w:val="-1323418141"/>
          </w:sdtPr>
          <w:sdtContent>
            <w:tc>
              <w:tcPr>
                <w:tcW w:w="933" w:type="pct"/>
                <w:tcBorders>
                  <w:bottom w:val="single" w:color="auto" w:sz="4" w:space="0"/>
                </w:tcBorders>
                <w:shd w:val="clear" w:color="auto" w:fill="auto"/>
                <w:vAlign w:val="center"/>
              </w:tcPr>
              <w:p>
                <w:pPr>
                  <w:jc w:val="center"/>
                </w:pPr>
                <w:r>
                  <w:rPr>
                    <w:rFonts w:hint="eastAsia"/>
                  </w:rPr>
                  <w:t>递延所得税资产和负债期初互抵金额</w:t>
                </w:r>
              </w:p>
            </w:tc>
          </w:sdtContent>
        </w:sdt>
        <w:sdt>
          <w:sdtPr>
            <w:tag w:val="_PLD_3aec77ff824a48e989777a8da4146bf7"/>
            <w:id w:val="2002616709"/>
          </w:sdtPr>
          <w:sdtContent>
            <w:tc>
              <w:tcPr>
                <w:tcW w:w="917" w:type="pct"/>
                <w:tcBorders>
                  <w:bottom w:val="single" w:color="auto" w:sz="4" w:space="0"/>
                </w:tcBorders>
                <w:shd w:val="clear" w:color="auto" w:fill="auto"/>
                <w:vAlign w:val="center"/>
              </w:tcPr>
              <w:p>
                <w:pPr>
                  <w:jc w:val="center"/>
                </w:pPr>
                <w:r>
                  <w:rPr>
                    <w:rFonts w:hint="eastAsia"/>
                  </w:rPr>
                  <w:t>抵销后递延所得税资产或负债期初余额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shd w:val="clear" w:color="auto" w:fill="auto"/>
          </w:tcPr>
          <w:p>
            <w:pPr>
              <w:pStyle w:val="501"/>
            </w:pPr>
            <w:r>
              <w:rPr>
                <w:rFonts w:hint="eastAsia"/>
              </w:rPr>
              <w:t>递延所得税资产</w:t>
            </w:r>
          </w:p>
        </w:tc>
        <w:tc>
          <w:tcPr>
            <w:tcW w:w="926" w:type="pct"/>
            <w:vAlign w:val="center"/>
          </w:tcPr>
          <w:p>
            <w:pPr>
              <w:jc w:val="right"/>
            </w:pPr>
            <w:r>
              <w:rPr>
                <w:rFonts w:asciiTheme="majorEastAsia" w:hAnsiTheme="majorEastAsia" w:eastAsiaTheme="majorEastAsia"/>
                <w:bCs/>
              </w:rPr>
              <w:t>2,872,078</w:t>
            </w:r>
          </w:p>
        </w:tc>
        <w:tc>
          <w:tcPr>
            <w:tcW w:w="918" w:type="pct"/>
            <w:vAlign w:val="center"/>
          </w:tcPr>
          <w:p>
            <w:pPr>
              <w:jc w:val="right"/>
            </w:pPr>
            <w:r>
              <w:rPr>
                <w:rFonts w:asciiTheme="majorEastAsia" w:hAnsiTheme="majorEastAsia" w:eastAsiaTheme="majorEastAsia"/>
                <w:bCs/>
              </w:rPr>
              <w:t>5,480,565</w:t>
            </w:r>
          </w:p>
        </w:tc>
        <w:tc>
          <w:tcPr>
            <w:tcW w:w="933" w:type="pct"/>
            <w:vAlign w:val="center"/>
          </w:tcPr>
          <w:p>
            <w:pPr>
              <w:jc w:val="right"/>
            </w:pPr>
            <w:r>
              <w:rPr>
                <w:rFonts w:asciiTheme="majorEastAsia" w:hAnsiTheme="majorEastAsia" w:eastAsiaTheme="majorEastAsia"/>
              </w:rPr>
              <w:t>2,820,208</w:t>
            </w:r>
          </w:p>
        </w:tc>
        <w:tc>
          <w:tcPr>
            <w:tcW w:w="917" w:type="pct"/>
            <w:vAlign w:val="center"/>
          </w:tcPr>
          <w:p>
            <w:pPr>
              <w:jc w:val="right"/>
            </w:pPr>
            <w:r>
              <w:rPr>
                <w:rFonts w:asciiTheme="majorEastAsia" w:hAnsiTheme="majorEastAsia" w:eastAsiaTheme="majorEastAsia"/>
              </w:rPr>
              <w:t>6,066,178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bottom w:val="single" w:color="auto" w:sz="4" w:space="0"/>
            </w:tcBorders>
            <w:shd w:val="clear" w:color="auto" w:fill="auto"/>
          </w:tcPr>
          <w:p>
            <w:pPr>
              <w:pStyle w:val="501"/>
            </w:pPr>
            <w:r>
              <w:rPr>
                <w:rFonts w:hint="eastAsia"/>
              </w:rPr>
              <w:t>递延所得税负债</w:t>
            </w:r>
          </w:p>
        </w:tc>
        <w:tc>
          <w:tcPr>
            <w:tcW w:w="926" w:type="pct"/>
            <w:vAlign w:val="center"/>
          </w:tcPr>
          <w:p>
            <w:pPr>
              <w:jc w:val="right"/>
            </w:pPr>
            <w:r>
              <w:rPr>
                <w:rFonts w:asciiTheme="majorEastAsia" w:hAnsiTheme="majorEastAsia" w:eastAsiaTheme="majorEastAsia"/>
                <w:bCs/>
              </w:rPr>
              <w:t>2,872,078</w:t>
            </w:r>
          </w:p>
        </w:tc>
        <w:tc>
          <w:tcPr>
            <w:tcW w:w="918" w:type="pct"/>
            <w:vAlign w:val="center"/>
          </w:tcPr>
          <w:p>
            <w:pPr>
              <w:jc w:val="right"/>
            </w:pPr>
            <w:r>
              <w:rPr>
                <w:rFonts w:asciiTheme="majorEastAsia" w:hAnsiTheme="majorEastAsia" w:eastAsiaTheme="majorEastAsia"/>
                <w:bCs/>
              </w:rPr>
              <w:t>9,785,763</w:t>
            </w:r>
          </w:p>
        </w:tc>
        <w:tc>
          <w:tcPr>
            <w:tcW w:w="933" w:type="pct"/>
            <w:vAlign w:val="center"/>
          </w:tcPr>
          <w:p>
            <w:pPr>
              <w:jc w:val="right"/>
            </w:pPr>
            <w:r>
              <w:rPr>
                <w:rFonts w:asciiTheme="majorEastAsia" w:hAnsiTheme="majorEastAsia" w:eastAsiaTheme="majorEastAsia"/>
              </w:rPr>
              <w:t>2,820,208</w:t>
            </w:r>
          </w:p>
        </w:tc>
        <w:tc>
          <w:tcPr>
            <w:tcW w:w="917" w:type="pct"/>
            <w:vAlign w:val="center"/>
          </w:tcPr>
          <w:p>
            <w:pPr>
              <w:jc w:val="right"/>
            </w:pPr>
            <w:r>
              <w:rPr>
                <w:rFonts w:asciiTheme="majorEastAsia" w:hAnsiTheme="majorEastAsia" w:eastAsiaTheme="majorEastAsia"/>
              </w:rPr>
              <w:t>10,064,021</w:t>
            </w:r>
          </w:p>
        </w:tc>
      </w:tr>
    </w:tbl>
    <w:p>
      <w:pPr>
        <w:ind w:right="113" w:firstLine="420" w:firstLineChars="200"/>
        <w:rPr>
          <w:rFonts w:asciiTheme="majorEastAsia" w:hAnsiTheme="majorEastAsia" w:eastAsiaTheme="majorEastAsia"/>
        </w:rPr>
      </w:pPr>
      <w:r>
        <w:rPr>
          <w:rFonts w:hint="eastAsia" w:asciiTheme="majorEastAsia" w:hAnsiTheme="majorEastAsia" w:eastAsiaTheme="majorEastAsia"/>
        </w:rPr>
        <w:t>注：本公司之澳洲地区子公司分别属于两个纳税集团，经批准，于2023年12月31日，抵销递延所得税资产和递延所得税负债2,872,078千元。</w:t>
      </w:r>
    </w:p>
    <w:p>
      <w:pPr>
        <w:pStyle w:val="505"/>
        <w:numPr>
          <w:ilvl w:val="0"/>
          <w:numId w:val="92"/>
        </w:numPr>
        <w:ind w:left="426" w:hanging="426"/>
      </w:pPr>
      <w:r>
        <w:rPr>
          <w:rFonts w:hint="eastAsia"/>
        </w:rPr>
        <w:t>未确认递延所得税资产明细</w:t>
      </w:r>
    </w:p>
    <w:sdt>
      <w:sdtPr>
        <w:alias w:val="是否适用：未确认递延所得税资产明细[双击切换]"/>
        <w:tag w:val="_GBC_713996bf5e4d4c6988835fbf892c5ef2"/>
        <w:id w:val="93325423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5"/>
        <w:numPr>
          <w:ilvl w:val="0"/>
          <w:numId w:val="92"/>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429321313"/>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304"/>
    <w:p>
      <w:pPr>
        <w:pStyle w:val="531"/>
        <w:rPr>
          <w:color w:val="FF00FF"/>
        </w:rPr>
      </w:pPr>
    </w:p>
    <w:p>
      <w:pPr>
        <w:pStyle w:val="501"/>
      </w:pPr>
      <w:r>
        <w:rPr>
          <w:rFonts w:hint="eastAsia"/>
        </w:rPr>
        <w:t>其他说明：</w:t>
      </w:r>
    </w:p>
    <w:sdt>
      <w:sdtPr>
        <w:alias w:val="是否适用：递延所得税资产和递延所得税负债的说明[双击切换]"/>
        <w:tag w:val="_GBC_7f4fae30d73847918bda2bbfa91008fe"/>
        <w:id w:val="-1277323805"/>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69"/>
        </w:numPr>
        <w:tabs>
          <w:tab w:val="left" w:pos="504"/>
        </w:tabs>
        <w:rPr>
          <w:szCs w:val="21"/>
        </w:rPr>
      </w:pPr>
      <w:r>
        <w:rPr>
          <w:rFonts w:hint="eastAsia"/>
          <w:szCs w:val="21"/>
        </w:rPr>
        <w:t>其他非流动资产</w:t>
      </w:r>
    </w:p>
    <w:sdt>
      <w:sdtPr>
        <w:alias w:val="是否适用：其他非流动资产[双击切换]"/>
        <w:tag w:val="_GBC_a847828a70d64218a7f8a07dc593d18b"/>
        <w:id w:val="2142529863"/>
        <w:placeholder>
          <w:docPart w:val="GBC22222222222222222222222222222"/>
        </w:placeholder>
      </w:sdtPr>
      <w:sdtContent>
        <w:p>
          <w:pPr>
            <w:pStyle w:val="531"/>
          </w:pPr>
          <w:bookmarkStart w:id="305" w:name="_Hlk53367009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alias w:val="单位：财务附注：其他非流动资产"/>
          <w:tag w:val="_GBC_7c7ae7cee25948deb399f93e000e5ba2"/>
          <w:id w:val="4757189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其他非流动资产"/>
          <w:tag w:val="_GBC_b449fdd4941b4ff8a1bda3449b257e1d"/>
          <w:id w:val="13277863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510"/>
        <w:gridCol w:w="1310"/>
        <w:gridCol w:w="1227"/>
        <w:gridCol w:w="1310"/>
        <w:gridCol w:w="1310"/>
        <w:gridCol w:w="1082"/>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blHeader/>
        </w:trPr>
        <w:sdt>
          <w:sdtPr>
            <w:tag w:val="_PLD_2b90e6e62acc45b288941c3eec3d8d88"/>
            <w:id w:val="1489751241"/>
          </w:sdtPr>
          <w:sdtContent>
            <w:tc>
              <w:tcPr>
                <w:tcW w:w="834" w:type="pct"/>
                <w:vMerge w:val="restart"/>
                <w:shd w:val="clear" w:color="auto" w:fill="auto"/>
                <w:vAlign w:val="center"/>
              </w:tcPr>
              <w:p>
                <w:pPr>
                  <w:jc w:val="center"/>
                </w:pPr>
                <w:r>
                  <w:rPr>
                    <w:rFonts w:hint="eastAsia"/>
                  </w:rPr>
                  <w:t>项目</w:t>
                </w:r>
              </w:p>
            </w:tc>
          </w:sdtContent>
        </w:sdt>
        <w:sdt>
          <w:sdtPr>
            <w:tag w:val="_PLD_bb07270ad4df4c0f94d4e0af019ab46c"/>
            <w:id w:val="-1544813854"/>
          </w:sdtPr>
          <w:sdtContent>
            <w:tc>
              <w:tcPr>
                <w:tcW w:w="2123" w:type="pct"/>
                <w:gridSpan w:val="3"/>
              </w:tcPr>
              <w:p>
                <w:pPr>
                  <w:jc w:val="center"/>
                </w:pPr>
                <w:r>
                  <w:rPr>
                    <w:rFonts w:hint="eastAsia"/>
                  </w:rPr>
                  <w:t>期末余额</w:t>
                </w:r>
              </w:p>
            </w:tc>
          </w:sdtContent>
        </w:sdt>
        <w:sdt>
          <w:sdtPr>
            <w:tag w:val="_PLD_7a3b43a9fc7d404ca5a79aa8f44f7452"/>
            <w:id w:val="-265927993"/>
          </w:sdtPr>
          <w:sdtContent>
            <w:tc>
              <w:tcPr>
                <w:tcW w:w="2043" w:type="pct"/>
                <w:gridSpan w:val="3"/>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blHeader/>
        </w:trPr>
        <w:tc>
          <w:tcPr>
            <w:tcW w:w="834" w:type="pct"/>
            <w:vMerge w:val="continue"/>
            <w:shd w:val="clear" w:color="auto" w:fill="auto"/>
            <w:vAlign w:val="center"/>
          </w:tcPr>
          <w:p>
            <w:pPr>
              <w:jc w:val="center"/>
            </w:pPr>
          </w:p>
        </w:tc>
        <w:tc>
          <w:tcPr>
            <w:tcW w:w="723" w:type="pct"/>
          </w:tcPr>
          <w:sdt>
            <w:sdtPr>
              <w:rPr>
                <w:rFonts w:hint="eastAsia"/>
              </w:rPr>
              <w:tag w:val="_PLD_eaca5bccdac9417999d4d9af7ad1eefe"/>
              <w:id w:val="456926574"/>
            </w:sdtPr>
            <w:sdtEndPr>
              <w:rPr>
                <w:rFonts w:hint="eastAsia"/>
              </w:rPr>
            </w:sdtEndPr>
            <w:sdtContent>
              <w:p>
                <w:pPr>
                  <w:jc w:val="center"/>
                </w:pPr>
                <w:r>
                  <w:rPr>
                    <w:rFonts w:hint="eastAsia"/>
                  </w:rPr>
                  <w:t>账面余额</w:t>
                </w:r>
              </w:p>
            </w:sdtContent>
          </w:sdt>
        </w:tc>
        <w:tc>
          <w:tcPr>
            <w:tcW w:w="677" w:type="pct"/>
          </w:tcPr>
          <w:sdt>
            <w:sdtPr>
              <w:tag w:val="_PLD_b913601a6f0c496ba876b57f7e93b40e"/>
              <w:id w:val="1275516999"/>
            </w:sdtPr>
            <w:sdtContent>
              <w:p>
                <w:pPr>
                  <w:jc w:val="center"/>
                </w:pPr>
                <w:r>
                  <w:t>减值准备</w:t>
                </w:r>
              </w:p>
            </w:sdtContent>
          </w:sdt>
        </w:tc>
        <w:tc>
          <w:tcPr>
            <w:tcW w:w="723" w:type="pct"/>
            <w:shd w:val="clear" w:color="auto" w:fill="auto"/>
            <w:vAlign w:val="center"/>
          </w:tcPr>
          <w:sdt>
            <w:sdtPr>
              <w:tag w:val="_PLD_22318356783c413ba8286ddb8d1cda63"/>
              <w:id w:val="-1956167245"/>
            </w:sdtPr>
            <w:sdtContent>
              <w:p>
                <w:pPr>
                  <w:jc w:val="center"/>
                </w:pPr>
                <w:r>
                  <w:t>账面价值</w:t>
                </w:r>
              </w:p>
            </w:sdtContent>
          </w:sdt>
        </w:tc>
        <w:tc>
          <w:tcPr>
            <w:tcW w:w="723" w:type="pct"/>
          </w:tcPr>
          <w:sdt>
            <w:sdtPr>
              <w:tag w:val="_PLD_0c6f94cdfaf1457fa98b2252d3b39131"/>
              <w:id w:val="-986309194"/>
            </w:sdtPr>
            <w:sdtContent>
              <w:p>
                <w:pPr>
                  <w:jc w:val="center"/>
                </w:pPr>
                <w:r>
                  <w:t>账面余额</w:t>
                </w:r>
              </w:p>
            </w:sdtContent>
          </w:sdt>
        </w:tc>
        <w:tc>
          <w:tcPr>
            <w:tcW w:w="597" w:type="pct"/>
          </w:tcPr>
          <w:sdt>
            <w:sdtPr>
              <w:tag w:val="_PLD_9d7969af67514b9e93b62156119189b9"/>
              <w:id w:val="664752815"/>
            </w:sdtPr>
            <w:sdtContent>
              <w:p>
                <w:pPr>
                  <w:jc w:val="center"/>
                </w:pPr>
                <w:r>
                  <w:t>减值准备</w:t>
                </w:r>
              </w:p>
            </w:sdtContent>
          </w:sdt>
        </w:tc>
        <w:tc>
          <w:tcPr>
            <w:tcW w:w="723" w:type="pct"/>
            <w:shd w:val="clear" w:color="auto" w:fill="auto"/>
            <w:vAlign w:val="center"/>
          </w:tcPr>
          <w:sdt>
            <w:sdtPr>
              <w:tag w:val="_PLD_9c8736640ddf4dc897f3c30fb690ab09"/>
              <w:id w:val="1478185279"/>
            </w:sdtPr>
            <w:sdtContent>
              <w:p>
                <w:pPr>
                  <w:jc w:val="center"/>
                </w:pPr>
                <w:r>
                  <w:t>账面价值</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34" w:type="pct"/>
            <w:vAlign w:val="center"/>
          </w:tcPr>
          <w:p>
            <w:pPr>
              <w:rPr>
                <w:rFonts w:ascii="宋体" w:hAnsi="宋体"/>
              </w:rPr>
            </w:pPr>
            <w:r>
              <w:rPr>
                <w:rFonts w:hint="eastAsia" w:ascii="宋体" w:hAnsi="宋体"/>
              </w:rPr>
              <w:t>探（采）矿权（注）</w:t>
            </w:r>
          </w:p>
        </w:tc>
        <w:tc>
          <w:tcPr>
            <w:tcW w:w="723" w:type="pct"/>
            <w:vAlign w:val="center"/>
          </w:tcPr>
          <w:p>
            <w:pPr>
              <w:jc w:val="right"/>
              <w:rPr>
                <w:rFonts w:ascii="宋体" w:hAnsi="宋体"/>
              </w:rPr>
            </w:pPr>
            <w:r>
              <w:rPr>
                <w:rFonts w:ascii="宋体" w:hAnsi="宋体"/>
              </w:rPr>
              <w:t>16,835,083</w:t>
            </w:r>
          </w:p>
        </w:tc>
        <w:tc>
          <w:tcPr>
            <w:tcW w:w="677" w:type="pct"/>
            <w:vAlign w:val="center"/>
          </w:tcPr>
          <w:p>
            <w:pPr>
              <w:jc w:val="right"/>
              <w:rPr>
                <w:rFonts w:ascii="宋体" w:hAnsi="宋体"/>
              </w:rPr>
            </w:pPr>
          </w:p>
        </w:tc>
        <w:tc>
          <w:tcPr>
            <w:tcW w:w="723" w:type="pct"/>
            <w:vAlign w:val="center"/>
          </w:tcPr>
          <w:p>
            <w:pPr>
              <w:jc w:val="right"/>
              <w:rPr>
                <w:rFonts w:ascii="宋体" w:hAnsi="宋体"/>
              </w:rPr>
            </w:pPr>
            <w:r>
              <w:rPr>
                <w:rFonts w:ascii="宋体" w:hAnsi="宋体"/>
              </w:rPr>
              <w:t>16,835,083</w:t>
            </w:r>
          </w:p>
        </w:tc>
        <w:tc>
          <w:tcPr>
            <w:tcW w:w="723" w:type="pct"/>
            <w:vAlign w:val="center"/>
          </w:tcPr>
          <w:p>
            <w:pPr>
              <w:jc w:val="right"/>
              <w:rPr>
                <w:rFonts w:ascii="宋体" w:hAnsi="宋体"/>
              </w:rPr>
            </w:pPr>
            <w:r>
              <w:rPr>
                <w:rFonts w:ascii="宋体" w:hAnsi="宋体"/>
              </w:rPr>
              <w:t>13,110,704</w:t>
            </w:r>
          </w:p>
        </w:tc>
        <w:tc>
          <w:tcPr>
            <w:tcW w:w="597" w:type="pct"/>
            <w:vAlign w:val="center"/>
          </w:tcPr>
          <w:p>
            <w:pPr>
              <w:jc w:val="right"/>
              <w:rPr>
                <w:rFonts w:ascii="宋体" w:hAnsi="宋体"/>
              </w:rPr>
            </w:pPr>
          </w:p>
        </w:tc>
        <w:tc>
          <w:tcPr>
            <w:tcW w:w="723" w:type="pct"/>
            <w:vAlign w:val="center"/>
          </w:tcPr>
          <w:p>
            <w:pPr>
              <w:jc w:val="right"/>
              <w:rPr>
                <w:rFonts w:ascii="宋体" w:hAnsi="宋体"/>
              </w:rPr>
            </w:pPr>
            <w:r>
              <w:rPr>
                <w:rFonts w:ascii="宋体" w:hAnsi="宋体"/>
              </w:rPr>
              <w:t>13,110,704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34" w:type="pct"/>
            <w:vAlign w:val="bottom"/>
          </w:tcPr>
          <w:p>
            <w:pPr>
              <w:rPr>
                <w:rFonts w:ascii="宋体" w:hAnsi="宋体"/>
              </w:rPr>
            </w:pPr>
            <w:r>
              <w:rPr>
                <w:rFonts w:hint="eastAsia" w:ascii="宋体" w:hAnsi="宋体"/>
              </w:rPr>
              <w:t>发放贷款及垫款</w:t>
            </w:r>
          </w:p>
        </w:tc>
        <w:tc>
          <w:tcPr>
            <w:tcW w:w="723" w:type="pct"/>
            <w:vAlign w:val="center"/>
          </w:tcPr>
          <w:p>
            <w:pPr>
              <w:jc w:val="right"/>
              <w:rPr>
                <w:rFonts w:ascii="宋体" w:hAnsi="宋体"/>
              </w:rPr>
            </w:pPr>
            <w:r>
              <w:rPr>
                <w:rFonts w:ascii="宋体" w:hAnsi="宋体"/>
              </w:rPr>
              <w:t>1,760,000</w:t>
            </w:r>
          </w:p>
        </w:tc>
        <w:tc>
          <w:tcPr>
            <w:tcW w:w="677" w:type="pct"/>
            <w:vAlign w:val="center"/>
          </w:tcPr>
          <w:p>
            <w:pPr>
              <w:jc w:val="right"/>
              <w:rPr>
                <w:rFonts w:ascii="宋体" w:hAnsi="宋体"/>
              </w:rPr>
            </w:pPr>
            <w:r>
              <w:rPr>
                <w:rFonts w:ascii="宋体" w:hAnsi="宋体"/>
              </w:rPr>
              <w:t>44,000</w:t>
            </w:r>
          </w:p>
        </w:tc>
        <w:tc>
          <w:tcPr>
            <w:tcW w:w="723" w:type="pct"/>
            <w:vAlign w:val="center"/>
          </w:tcPr>
          <w:p>
            <w:pPr>
              <w:jc w:val="right"/>
              <w:rPr>
                <w:rFonts w:ascii="宋体" w:hAnsi="宋体"/>
              </w:rPr>
            </w:pPr>
            <w:r>
              <w:rPr>
                <w:rFonts w:ascii="宋体" w:hAnsi="宋体"/>
              </w:rPr>
              <w:t>1,716,000</w:t>
            </w:r>
          </w:p>
        </w:tc>
        <w:tc>
          <w:tcPr>
            <w:tcW w:w="723" w:type="pct"/>
            <w:vAlign w:val="center"/>
          </w:tcPr>
          <w:p>
            <w:pPr>
              <w:jc w:val="right"/>
              <w:rPr>
                <w:rFonts w:ascii="宋体" w:hAnsi="宋体"/>
              </w:rPr>
            </w:pPr>
          </w:p>
        </w:tc>
        <w:tc>
          <w:tcPr>
            <w:tcW w:w="597" w:type="pct"/>
            <w:vAlign w:val="center"/>
          </w:tcPr>
          <w:p>
            <w:pPr>
              <w:jc w:val="right"/>
              <w:rPr>
                <w:rFonts w:ascii="宋体" w:hAnsi="宋体"/>
              </w:rPr>
            </w:pPr>
          </w:p>
        </w:tc>
        <w:tc>
          <w:tcPr>
            <w:tcW w:w="72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34" w:type="pct"/>
            <w:vAlign w:val="center"/>
          </w:tcPr>
          <w:p>
            <w:pPr>
              <w:rPr>
                <w:rFonts w:ascii="宋体" w:hAnsi="宋体"/>
              </w:rPr>
            </w:pPr>
            <w:r>
              <w:rPr>
                <w:rFonts w:hint="eastAsia" w:ascii="宋体" w:hAnsi="宋体"/>
              </w:rPr>
              <w:t>预付设备、工程款</w:t>
            </w:r>
          </w:p>
        </w:tc>
        <w:tc>
          <w:tcPr>
            <w:tcW w:w="723" w:type="pct"/>
            <w:vAlign w:val="center"/>
          </w:tcPr>
          <w:p>
            <w:pPr>
              <w:jc w:val="right"/>
              <w:rPr>
                <w:rFonts w:ascii="宋体" w:hAnsi="宋体"/>
              </w:rPr>
            </w:pPr>
            <w:r>
              <w:rPr>
                <w:rFonts w:ascii="宋体" w:hAnsi="宋体"/>
              </w:rPr>
              <w:t>1,199,964</w:t>
            </w:r>
          </w:p>
        </w:tc>
        <w:tc>
          <w:tcPr>
            <w:tcW w:w="677" w:type="pct"/>
            <w:vAlign w:val="center"/>
          </w:tcPr>
          <w:p>
            <w:pPr>
              <w:jc w:val="right"/>
              <w:rPr>
                <w:rFonts w:ascii="宋体" w:hAnsi="宋体"/>
              </w:rPr>
            </w:pPr>
          </w:p>
        </w:tc>
        <w:tc>
          <w:tcPr>
            <w:tcW w:w="723" w:type="pct"/>
            <w:vAlign w:val="center"/>
          </w:tcPr>
          <w:p>
            <w:pPr>
              <w:jc w:val="right"/>
              <w:rPr>
                <w:rFonts w:ascii="宋体" w:hAnsi="宋体"/>
              </w:rPr>
            </w:pPr>
            <w:r>
              <w:rPr>
                <w:rFonts w:ascii="宋体" w:hAnsi="宋体"/>
              </w:rPr>
              <w:t>1,199,964</w:t>
            </w:r>
          </w:p>
        </w:tc>
        <w:tc>
          <w:tcPr>
            <w:tcW w:w="723" w:type="pct"/>
            <w:vAlign w:val="center"/>
          </w:tcPr>
          <w:p>
            <w:pPr>
              <w:jc w:val="right"/>
              <w:rPr>
                <w:rFonts w:ascii="宋体" w:hAnsi="宋体"/>
              </w:rPr>
            </w:pPr>
            <w:r>
              <w:rPr>
                <w:rFonts w:ascii="宋体" w:hAnsi="宋体"/>
              </w:rPr>
              <w:t>1,840,947</w:t>
            </w:r>
          </w:p>
        </w:tc>
        <w:tc>
          <w:tcPr>
            <w:tcW w:w="597" w:type="pct"/>
            <w:vAlign w:val="center"/>
          </w:tcPr>
          <w:p>
            <w:pPr>
              <w:jc w:val="right"/>
              <w:rPr>
                <w:rFonts w:ascii="宋体" w:hAnsi="宋体"/>
              </w:rPr>
            </w:pPr>
          </w:p>
        </w:tc>
        <w:tc>
          <w:tcPr>
            <w:tcW w:w="723" w:type="pct"/>
            <w:vAlign w:val="center"/>
          </w:tcPr>
          <w:p>
            <w:pPr>
              <w:jc w:val="right"/>
              <w:rPr>
                <w:rFonts w:ascii="宋体" w:hAnsi="宋体"/>
              </w:rPr>
            </w:pPr>
            <w:r>
              <w:rPr>
                <w:rFonts w:ascii="宋体" w:hAnsi="宋体"/>
              </w:rPr>
              <w:t>1,840,947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34" w:type="pct"/>
            <w:vAlign w:val="bottom"/>
          </w:tcPr>
          <w:p>
            <w:pPr>
              <w:rPr>
                <w:rFonts w:ascii="宋体" w:hAnsi="宋体"/>
              </w:rPr>
            </w:pPr>
            <w:r>
              <w:rPr>
                <w:rFonts w:hint="eastAsia" w:ascii="宋体" w:hAnsi="宋体"/>
              </w:rPr>
              <w:t>保理款</w:t>
            </w:r>
          </w:p>
        </w:tc>
        <w:tc>
          <w:tcPr>
            <w:tcW w:w="723" w:type="pct"/>
            <w:vAlign w:val="center"/>
          </w:tcPr>
          <w:p>
            <w:pPr>
              <w:jc w:val="right"/>
              <w:rPr>
                <w:rFonts w:ascii="宋体" w:hAnsi="宋体"/>
              </w:rPr>
            </w:pPr>
            <w:r>
              <w:rPr>
                <w:rFonts w:ascii="宋体" w:hAnsi="宋体"/>
              </w:rPr>
              <w:t>993,850</w:t>
            </w:r>
          </w:p>
        </w:tc>
        <w:tc>
          <w:tcPr>
            <w:tcW w:w="677" w:type="pct"/>
            <w:vAlign w:val="center"/>
          </w:tcPr>
          <w:p>
            <w:pPr>
              <w:jc w:val="right"/>
              <w:rPr>
                <w:rFonts w:ascii="宋体" w:hAnsi="宋体"/>
              </w:rPr>
            </w:pPr>
            <w:r>
              <w:rPr>
                <w:rFonts w:ascii="宋体" w:hAnsi="宋体"/>
              </w:rPr>
              <w:t>9,939</w:t>
            </w:r>
          </w:p>
        </w:tc>
        <w:tc>
          <w:tcPr>
            <w:tcW w:w="723" w:type="pct"/>
            <w:vAlign w:val="center"/>
          </w:tcPr>
          <w:p>
            <w:pPr>
              <w:jc w:val="right"/>
              <w:rPr>
                <w:rFonts w:ascii="宋体" w:hAnsi="宋体"/>
              </w:rPr>
            </w:pPr>
            <w:r>
              <w:rPr>
                <w:rFonts w:ascii="宋体" w:hAnsi="宋体"/>
              </w:rPr>
              <w:t>983,911</w:t>
            </w:r>
          </w:p>
        </w:tc>
        <w:tc>
          <w:tcPr>
            <w:tcW w:w="723" w:type="pct"/>
            <w:vAlign w:val="center"/>
          </w:tcPr>
          <w:p>
            <w:pPr>
              <w:jc w:val="right"/>
              <w:rPr>
                <w:rFonts w:ascii="宋体" w:hAnsi="宋体"/>
              </w:rPr>
            </w:pPr>
          </w:p>
        </w:tc>
        <w:tc>
          <w:tcPr>
            <w:tcW w:w="597" w:type="pct"/>
            <w:vAlign w:val="center"/>
          </w:tcPr>
          <w:p>
            <w:pPr>
              <w:jc w:val="right"/>
              <w:rPr>
                <w:rFonts w:ascii="宋体" w:hAnsi="宋体"/>
              </w:rPr>
            </w:pPr>
          </w:p>
        </w:tc>
        <w:tc>
          <w:tcPr>
            <w:tcW w:w="72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34" w:type="pct"/>
            <w:vAlign w:val="bottom"/>
          </w:tcPr>
          <w:p>
            <w:pPr>
              <w:rPr>
                <w:rFonts w:ascii="宋体" w:hAnsi="宋体"/>
              </w:rPr>
            </w:pPr>
            <w:r>
              <w:rPr>
                <w:rFonts w:hint="eastAsia" w:ascii="宋体" w:hAnsi="宋体"/>
              </w:rPr>
              <w:t>长期服务假基金会补偿金（附注七、4</w:t>
            </w:r>
            <w:r>
              <w:rPr>
                <w:rFonts w:ascii="宋体" w:hAnsi="宋体"/>
              </w:rPr>
              <w:t>9</w:t>
            </w:r>
            <w:r>
              <w:rPr>
                <w:rFonts w:hint="eastAsia" w:ascii="宋体" w:hAnsi="宋体"/>
              </w:rPr>
              <w:t>）</w:t>
            </w:r>
          </w:p>
        </w:tc>
        <w:tc>
          <w:tcPr>
            <w:tcW w:w="723" w:type="pct"/>
            <w:vAlign w:val="center"/>
          </w:tcPr>
          <w:p>
            <w:pPr>
              <w:jc w:val="right"/>
              <w:rPr>
                <w:rFonts w:ascii="宋体" w:hAnsi="宋体"/>
              </w:rPr>
            </w:pPr>
            <w:r>
              <w:rPr>
                <w:rFonts w:ascii="宋体" w:hAnsi="宋体"/>
              </w:rPr>
              <w:t>420,930</w:t>
            </w:r>
          </w:p>
        </w:tc>
        <w:tc>
          <w:tcPr>
            <w:tcW w:w="677" w:type="pct"/>
            <w:vAlign w:val="center"/>
          </w:tcPr>
          <w:p>
            <w:pPr>
              <w:jc w:val="right"/>
              <w:rPr>
                <w:rFonts w:ascii="宋体" w:hAnsi="宋体"/>
              </w:rPr>
            </w:pPr>
          </w:p>
        </w:tc>
        <w:tc>
          <w:tcPr>
            <w:tcW w:w="723" w:type="pct"/>
            <w:vAlign w:val="center"/>
          </w:tcPr>
          <w:p>
            <w:pPr>
              <w:jc w:val="right"/>
              <w:rPr>
                <w:rFonts w:ascii="宋体" w:hAnsi="宋体"/>
              </w:rPr>
            </w:pPr>
            <w:r>
              <w:rPr>
                <w:rFonts w:ascii="宋体" w:hAnsi="宋体"/>
              </w:rPr>
              <w:t>420,930</w:t>
            </w:r>
          </w:p>
        </w:tc>
        <w:tc>
          <w:tcPr>
            <w:tcW w:w="723" w:type="pct"/>
            <w:vAlign w:val="center"/>
          </w:tcPr>
          <w:p>
            <w:pPr>
              <w:jc w:val="right"/>
              <w:rPr>
                <w:rFonts w:ascii="宋体" w:hAnsi="宋体"/>
              </w:rPr>
            </w:pPr>
            <w:r>
              <w:rPr>
                <w:rFonts w:ascii="宋体" w:hAnsi="宋体"/>
              </w:rPr>
              <w:t>409,310</w:t>
            </w:r>
          </w:p>
        </w:tc>
        <w:tc>
          <w:tcPr>
            <w:tcW w:w="597" w:type="pct"/>
            <w:vAlign w:val="center"/>
          </w:tcPr>
          <w:p>
            <w:pPr>
              <w:jc w:val="right"/>
              <w:rPr>
                <w:rFonts w:ascii="宋体" w:hAnsi="宋体"/>
              </w:rPr>
            </w:pPr>
          </w:p>
        </w:tc>
        <w:tc>
          <w:tcPr>
            <w:tcW w:w="723" w:type="pct"/>
            <w:vAlign w:val="center"/>
          </w:tcPr>
          <w:p>
            <w:pPr>
              <w:jc w:val="right"/>
              <w:rPr>
                <w:rFonts w:ascii="宋体" w:hAnsi="宋体"/>
              </w:rPr>
            </w:pPr>
            <w:r>
              <w:rPr>
                <w:rFonts w:ascii="宋体" w:hAnsi="宋体"/>
              </w:rPr>
              <w:t>409,310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34" w:type="pct"/>
            <w:vAlign w:val="center"/>
          </w:tcPr>
          <w:p>
            <w:pPr>
              <w:rPr>
                <w:rFonts w:ascii="宋体" w:hAnsi="宋体"/>
              </w:rPr>
            </w:pPr>
            <w:r>
              <w:rPr>
                <w:rFonts w:hint="eastAsia" w:ascii="宋体" w:hAnsi="宋体"/>
              </w:rPr>
              <w:t>产能置换款</w:t>
            </w:r>
          </w:p>
        </w:tc>
        <w:tc>
          <w:tcPr>
            <w:tcW w:w="723" w:type="pct"/>
            <w:vAlign w:val="center"/>
          </w:tcPr>
          <w:p>
            <w:pPr>
              <w:jc w:val="right"/>
              <w:rPr>
                <w:rFonts w:ascii="宋体" w:hAnsi="宋体"/>
              </w:rPr>
            </w:pPr>
            <w:r>
              <w:rPr>
                <w:rFonts w:ascii="宋体" w:hAnsi="宋体"/>
              </w:rPr>
              <w:t>77,398</w:t>
            </w:r>
          </w:p>
        </w:tc>
        <w:tc>
          <w:tcPr>
            <w:tcW w:w="677" w:type="pct"/>
            <w:vAlign w:val="center"/>
          </w:tcPr>
          <w:p>
            <w:pPr>
              <w:jc w:val="right"/>
              <w:rPr>
                <w:rFonts w:ascii="宋体" w:hAnsi="宋体"/>
              </w:rPr>
            </w:pPr>
          </w:p>
        </w:tc>
        <w:tc>
          <w:tcPr>
            <w:tcW w:w="723" w:type="pct"/>
            <w:vAlign w:val="center"/>
          </w:tcPr>
          <w:p>
            <w:pPr>
              <w:jc w:val="right"/>
              <w:rPr>
                <w:rFonts w:ascii="宋体" w:hAnsi="宋体"/>
              </w:rPr>
            </w:pPr>
            <w:r>
              <w:rPr>
                <w:rFonts w:ascii="宋体" w:hAnsi="宋体"/>
              </w:rPr>
              <w:t>77,398</w:t>
            </w:r>
          </w:p>
        </w:tc>
        <w:tc>
          <w:tcPr>
            <w:tcW w:w="723" w:type="pct"/>
            <w:vAlign w:val="center"/>
          </w:tcPr>
          <w:p>
            <w:pPr>
              <w:jc w:val="right"/>
              <w:rPr>
                <w:rFonts w:ascii="宋体" w:hAnsi="宋体"/>
              </w:rPr>
            </w:pPr>
            <w:r>
              <w:rPr>
                <w:rFonts w:ascii="宋体" w:hAnsi="宋体"/>
              </w:rPr>
              <w:t>174,613</w:t>
            </w:r>
          </w:p>
        </w:tc>
        <w:tc>
          <w:tcPr>
            <w:tcW w:w="597" w:type="pct"/>
            <w:vAlign w:val="center"/>
          </w:tcPr>
          <w:p>
            <w:pPr>
              <w:jc w:val="right"/>
              <w:rPr>
                <w:rFonts w:ascii="宋体" w:hAnsi="宋体"/>
              </w:rPr>
            </w:pPr>
          </w:p>
        </w:tc>
        <w:tc>
          <w:tcPr>
            <w:tcW w:w="723" w:type="pct"/>
            <w:vAlign w:val="center"/>
          </w:tcPr>
          <w:p>
            <w:pPr>
              <w:jc w:val="right"/>
              <w:rPr>
                <w:rFonts w:ascii="宋体" w:hAnsi="宋体"/>
              </w:rPr>
            </w:pPr>
            <w:r>
              <w:rPr>
                <w:rFonts w:ascii="宋体" w:hAnsi="宋体"/>
              </w:rPr>
              <w:t>174,613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34" w:type="pct"/>
            <w:vAlign w:val="bottom"/>
          </w:tcPr>
          <w:p>
            <w:pPr>
              <w:rPr>
                <w:rFonts w:ascii="宋体" w:hAnsi="宋体"/>
              </w:rPr>
            </w:pPr>
            <w:r>
              <w:rPr>
                <w:rFonts w:hint="eastAsia" w:ascii="宋体" w:hAnsi="宋体"/>
              </w:rPr>
              <w:t>其他</w:t>
            </w:r>
          </w:p>
        </w:tc>
        <w:tc>
          <w:tcPr>
            <w:tcW w:w="723" w:type="pct"/>
            <w:vAlign w:val="center"/>
          </w:tcPr>
          <w:p>
            <w:pPr>
              <w:jc w:val="right"/>
              <w:rPr>
                <w:rFonts w:ascii="宋体" w:hAnsi="宋体"/>
              </w:rPr>
            </w:pPr>
            <w:r>
              <w:rPr>
                <w:rFonts w:ascii="宋体" w:hAnsi="宋体"/>
              </w:rPr>
              <w:t>1,014,098</w:t>
            </w:r>
          </w:p>
        </w:tc>
        <w:tc>
          <w:tcPr>
            <w:tcW w:w="677" w:type="pct"/>
            <w:vAlign w:val="center"/>
          </w:tcPr>
          <w:p>
            <w:pPr>
              <w:jc w:val="right"/>
              <w:rPr>
                <w:rFonts w:ascii="宋体" w:hAnsi="宋体"/>
              </w:rPr>
            </w:pPr>
            <w:r>
              <w:rPr>
                <w:rFonts w:ascii="宋体" w:hAnsi="宋体"/>
              </w:rPr>
              <w:t>41,871</w:t>
            </w:r>
          </w:p>
        </w:tc>
        <w:tc>
          <w:tcPr>
            <w:tcW w:w="723" w:type="pct"/>
            <w:vAlign w:val="center"/>
          </w:tcPr>
          <w:p>
            <w:pPr>
              <w:jc w:val="right"/>
              <w:rPr>
                <w:rFonts w:ascii="宋体" w:hAnsi="宋体"/>
              </w:rPr>
            </w:pPr>
            <w:r>
              <w:rPr>
                <w:rFonts w:ascii="宋体" w:hAnsi="宋体"/>
              </w:rPr>
              <w:t>972,227</w:t>
            </w:r>
          </w:p>
        </w:tc>
        <w:tc>
          <w:tcPr>
            <w:tcW w:w="723" w:type="pct"/>
            <w:vAlign w:val="center"/>
          </w:tcPr>
          <w:p>
            <w:pPr>
              <w:jc w:val="right"/>
              <w:rPr>
                <w:rFonts w:ascii="宋体" w:hAnsi="宋体"/>
              </w:rPr>
            </w:pPr>
            <w:r>
              <w:rPr>
                <w:rFonts w:ascii="宋体" w:hAnsi="宋体"/>
              </w:rPr>
              <w:t>685,196</w:t>
            </w:r>
          </w:p>
        </w:tc>
        <w:tc>
          <w:tcPr>
            <w:tcW w:w="597" w:type="pct"/>
            <w:vAlign w:val="center"/>
          </w:tcPr>
          <w:p>
            <w:pPr>
              <w:jc w:val="right"/>
              <w:rPr>
                <w:rFonts w:ascii="宋体" w:hAnsi="宋体"/>
              </w:rPr>
            </w:pPr>
            <w:r>
              <w:rPr>
                <w:rFonts w:ascii="宋体" w:hAnsi="宋体"/>
              </w:rPr>
              <w:t>56,810</w:t>
            </w:r>
          </w:p>
        </w:tc>
        <w:tc>
          <w:tcPr>
            <w:tcW w:w="723" w:type="pct"/>
            <w:vAlign w:val="center"/>
          </w:tcPr>
          <w:p>
            <w:pPr>
              <w:jc w:val="right"/>
              <w:rPr>
                <w:rFonts w:ascii="宋体" w:hAnsi="宋体"/>
              </w:rPr>
            </w:pPr>
            <w:r>
              <w:rPr>
                <w:rFonts w:ascii="宋体" w:hAnsi="宋体"/>
              </w:rPr>
              <w:t>628,386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34" w:type="pct"/>
            <w:shd w:val="clear" w:color="auto" w:fill="auto"/>
            <w:vAlign w:val="center"/>
          </w:tcPr>
          <w:p>
            <w:pPr>
              <w:jc w:val="center"/>
              <w:rPr>
                <w:rFonts w:ascii="宋体" w:hAnsi="宋体"/>
              </w:rPr>
            </w:pPr>
            <w:r>
              <w:rPr>
                <w:rFonts w:hint="eastAsia" w:ascii="宋体" w:hAnsi="宋体"/>
              </w:rPr>
              <w:t>合计</w:t>
            </w:r>
          </w:p>
        </w:tc>
        <w:tc>
          <w:tcPr>
            <w:tcW w:w="723" w:type="pct"/>
            <w:vAlign w:val="center"/>
          </w:tcPr>
          <w:p>
            <w:pPr>
              <w:jc w:val="right"/>
              <w:rPr>
                <w:rFonts w:ascii="宋体" w:hAnsi="宋体"/>
              </w:rPr>
            </w:pPr>
            <w:r>
              <w:rPr>
                <w:rFonts w:ascii="宋体" w:hAnsi="宋体"/>
              </w:rPr>
              <w:t>22,301,323</w:t>
            </w:r>
          </w:p>
        </w:tc>
        <w:tc>
          <w:tcPr>
            <w:tcW w:w="677" w:type="pct"/>
            <w:vAlign w:val="center"/>
          </w:tcPr>
          <w:p>
            <w:pPr>
              <w:jc w:val="right"/>
              <w:rPr>
                <w:rFonts w:ascii="宋体" w:hAnsi="宋体"/>
              </w:rPr>
            </w:pPr>
            <w:r>
              <w:rPr>
                <w:rFonts w:hint="eastAsia" w:ascii="宋体" w:hAnsi="宋体"/>
              </w:rPr>
              <w:t>9</w:t>
            </w:r>
            <w:r>
              <w:rPr>
                <w:rFonts w:ascii="宋体" w:hAnsi="宋体"/>
              </w:rPr>
              <w:t>5,810</w:t>
            </w:r>
          </w:p>
        </w:tc>
        <w:tc>
          <w:tcPr>
            <w:tcW w:w="723" w:type="pct"/>
            <w:vAlign w:val="center"/>
          </w:tcPr>
          <w:p>
            <w:pPr>
              <w:jc w:val="right"/>
              <w:rPr>
                <w:rFonts w:ascii="宋体" w:hAnsi="宋体"/>
              </w:rPr>
            </w:pPr>
            <w:r>
              <w:rPr>
                <w:rFonts w:ascii="宋体" w:hAnsi="宋体"/>
              </w:rPr>
              <w:t>22,205,513</w:t>
            </w:r>
          </w:p>
        </w:tc>
        <w:tc>
          <w:tcPr>
            <w:tcW w:w="723" w:type="pct"/>
            <w:vAlign w:val="center"/>
          </w:tcPr>
          <w:p>
            <w:pPr>
              <w:jc w:val="right"/>
              <w:rPr>
                <w:rFonts w:ascii="宋体" w:hAnsi="宋体"/>
              </w:rPr>
            </w:pPr>
            <w:r>
              <w:rPr>
                <w:rFonts w:ascii="宋体" w:hAnsi="宋体"/>
              </w:rPr>
              <w:t>16,220,770</w:t>
            </w:r>
          </w:p>
        </w:tc>
        <w:tc>
          <w:tcPr>
            <w:tcW w:w="597" w:type="pct"/>
            <w:vAlign w:val="center"/>
          </w:tcPr>
          <w:p>
            <w:pPr>
              <w:jc w:val="right"/>
              <w:rPr>
                <w:rFonts w:ascii="宋体" w:hAnsi="宋体"/>
              </w:rPr>
            </w:pPr>
            <w:r>
              <w:rPr>
                <w:rFonts w:ascii="宋体" w:hAnsi="宋体"/>
              </w:rPr>
              <w:t>56,810</w:t>
            </w:r>
          </w:p>
        </w:tc>
        <w:tc>
          <w:tcPr>
            <w:tcW w:w="723" w:type="pct"/>
            <w:vAlign w:val="center"/>
          </w:tcPr>
          <w:p>
            <w:pPr>
              <w:jc w:val="right"/>
              <w:rPr>
                <w:rFonts w:ascii="宋体" w:hAnsi="宋体"/>
              </w:rPr>
            </w:pPr>
            <w:r>
              <w:rPr>
                <w:rFonts w:ascii="宋体" w:hAnsi="宋体"/>
              </w:rPr>
              <w:t>16,163,960</w:t>
            </w:r>
          </w:p>
        </w:tc>
      </w:tr>
    </w:tbl>
    <w:p>
      <w:pPr>
        <w:pStyle w:val="501"/>
      </w:pPr>
      <w:r>
        <w:rPr>
          <w:rFonts w:hint="eastAsia"/>
        </w:rPr>
        <w:t>其他说明：</w:t>
      </w:r>
    </w:p>
    <w:p>
      <w:pPr>
        <w:ind w:firstLine="420" w:firstLineChars="200"/>
      </w:pPr>
      <w:sdt>
        <w:sdtPr>
          <w:alias w:val="其他长期资产的说明"/>
          <w:tag w:val="_GBC_d2d37b97b8df4ba1b7bcbf3e8c04d024"/>
          <w:id w:val="928860341"/>
          <w:placeholder>
            <w:docPart w:val="GBC22222222222222222222222222222"/>
          </w:placeholder>
        </w:sdtPr>
        <w:sdtContent>
          <w:r>
            <w:rPr>
              <w:rFonts w:hint="eastAsia"/>
            </w:rPr>
            <w:t>注：探（采）矿权主要系内蒙古准格尔煤田刘三圪旦煤矿、内蒙古自治区兴和县曹四夭矿区钼矿和内蒙古自治区东胜煤田嘎鲁图煤矿等矿权价款。</w:t>
          </w:r>
        </w:sdtContent>
      </w:sdt>
      <w:bookmarkEnd w:id="305"/>
    </w:p>
    <w:p>
      <w:pPr>
        <w:sectPr>
          <w:pgSz w:w="11906" w:h="16838"/>
          <w:pgMar w:top="1440" w:right="1797" w:bottom="1525" w:left="1276" w:header="856" w:footer="992" w:gutter="0"/>
          <w:cols w:space="425" w:num="1"/>
          <w:docGrid w:type="lines" w:linePitch="312" w:charSpace="0"/>
        </w:sectPr>
      </w:pPr>
    </w:p>
    <w:p>
      <w:pPr>
        <w:pStyle w:val="504"/>
        <w:numPr>
          <w:ilvl w:val="0"/>
          <w:numId w:val="69"/>
        </w:numPr>
        <w:tabs>
          <w:tab w:val="left" w:pos="504"/>
        </w:tabs>
        <w:rPr>
          <w:rFonts w:ascii="宋体" w:hAnsi="宋体"/>
          <w:szCs w:val="21"/>
        </w:rPr>
      </w:pPr>
      <w:r>
        <w:rPr>
          <w:rFonts w:hint="eastAsia" w:ascii="宋体" w:hAnsi="宋体"/>
          <w:szCs w:val="21"/>
        </w:rPr>
        <w:t>所有权或使用权受限资产</w:t>
      </w:r>
    </w:p>
    <w:sdt>
      <w:sdtPr>
        <w:alias w:val="是否适用：所有权或使用权受到限制的资产[双击切换]"/>
        <w:tag w:val="_GBC_a283d24f027d4d16b90b482ce573c322"/>
        <w:id w:val="-1816320209"/>
      </w:sdtPr>
      <w:sdtContent>
        <w:p>
          <w:pPr>
            <w:pStyle w:val="501"/>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pStyle w:val="543"/>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所有权或使用权受到限制的资产"/>
          <w:tag w:val="_GBC_3477487b65f945b1991b65aa0ada53b6"/>
          <w:id w:val="-1864516236"/>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千元</w:t>
          </w:r>
        </w:sdtContent>
      </w:sdt>
      <w:r>
        <w:rPr>
          <w:rFonts w:hint="eastAsia" w:ascii="宋体" w:hAnsi="宋体"/>
          <w:szCs w:val="21"/>
        </w:rPr>
        <w:t xml:space="preserve">  币种：</w:t>
      </w:r>
      <w:sdt>
        <w:sdtPr>
          <w:rPr>
            <w:rFonts w:hint="eastAsia" w:ascii="宋体" w:hAnsi="宋体"/>
            <w:szCs w:val="21"/>
          </w:rPr>
          <w:alias w:val="币种：财务附注：所有权或使用权受到限制的资产"/>
          <w:tag w:val="_GBC_49ce2140e00b44d7b998aa58d39778c8"/>
          <w:id w:val="193108871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6"/>
        <w:gridCol w:w="1266"/>
        <w:gridCol w:w="1266"/>
        <w:gridCol w:w="843"/>
        <w:gridCol w:w="1611"/>
        <w:gridCol w:w="1371"/>
        <w:gridCol w:w="1371"/>
        <w:gridCol w:w="844"/>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宋体" w:hAnsi="宋体"/>
            </w:rPr>
            <w:tag w:val="_PLD_825ad37db2ce492f9bb6ff7f034b7d59"/>
            <w:id w:val="21831289"/>
          </w:sdtPr>
          <w:sdtEndPr>
            <w:rPr>
              <w:rFonts w:hint="eastAsia" w:ascii="宋体" w:hAnsi="宋体"/>
            </w:rPr>
          </w:sdtEndPr>
          <w:sdtContent>
            <w:tc>
              <w:tcPr>
                <w:tcW w:w="0" w:type="auto"/>
                <w:vMerge w:val="restart"/>
                <w:vAlign w:val="center"/>
              </w:tcPr>
              <w:p>
                <w:pPr>
                  <w:jc w:val="center"/>
                  <w:rPr>
                    <w:rFonts w:ascii="宋体" w:hAnsi="宋体"/>
                  </w:rPr>
                </w:pPr>
                <w:r>
                  <w:rPr>
                    <w:rFonts w:hint="eastAsia" w:ascii="宋体" w:hAnsi="宋体"/>
                  </w:rPr>
                  <w:t>项目</w:t>
                </w:r>
              </w:p>
            </w:tc>
          </w:sdtContent>
        </w:sdt>
        <w:sdt>
          <w:sdtPr>
            <w:rPr>
              <w:rFonts w:hint="eastAsia" w:ascii="宋体" w:hAnsi="宋体"/>
            </w:rPr>
            <w:tag w:val="_PLD_5e34e991b3f446acbd7aca256a1acb2d"/>
            <w:id w:val="1492917286"/>
          </w:sdtPr>
          <w:sdtEndPr>
            <w:rPr>
              <w:rFonts w:hint="eastAsia" w:ascii="宋体" w:hAnsi="宋体"/>
            </w:rPr>
          </w:sdtEndPr>
          <w:sdtContent>
            <w:tc>
              <w:tcPr>
                <w:tcW w:w="0" w:type="auto"/>
                <w:gridSpan w:val="4"/>
                <w:vAlign w:val="center"/>
              </w:tcPr>
              <w:p>
                <w:pPr>
                  <w:jc w:val="center"/>
                  <w:rPr>
                    <w:rFonts w:ascii="宋体" w:hAnsi="宋体"/>
                  </w:rPr>
                </w:pPr>
                <w:r>
                  <w:rPr>
                    <w:rFonts w:hint="eastAsia" w:ascii="宋体" w:hAnsi="宋体"/>
                  </w:rPr>
                  <w:t>期末</w:t>
                </w:r>
              </w:p>
            </w:tc>
          </w:sdtContent>
        </w:sdt>
        <w:sdt>
          <w:sdtPr>
            <w:rPr>
              <w:rFonts w:hint="eastAsia" w:ascii="宋体" w:hAnsi="宋体"/>
            </w:rPr>
            <w:tag w:val="_PLD_282f81b96d884d3fbdb88a534a3cd80a"/>
            <w:id w:val="570631479"/>
          </w:sdtPr>
          <w:sdtEndPr>
            <w:rPr>
              <w:rFonts w:hint="eastAsia" w:ascii="宋体" w:hAnsi="宋体"/>
            </w:rPr>
          </w:sdtEndPr>
          <w:sdtContent>
            <w:tc>
              <w:tcPr>
                <w:tcW w:w="0" w:type="auto"/>
                <w:gridSpan w:val="4"/>
                <w:vAlign w:val="center"/>
              </w:tcPr>
              <w:p>
                <w:pPr>
                  <w:jc w:val="center"/>
                  <w:rPr>
                    <w:rFonts w:ascii="宋体" w:hAnsi="宋体"/>
                  </w:rPr>
                </w:pPr>
                <w:r>
                  <w:rPr>
                    <w:rFonts w:hint="eastAsia" w:ascii="宋体" w:hAnsi="宋体"/>
                  </w:rPr>
                  <w:t>期初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0" w:type="auto"/>
            <w:vMerge w:val="continue"/>
          </w:tcPr>
          <w:p>
            <w:pPr>
              <w:rPr>
                <w:rFonts w:ascii="宋体" w:hAnsi="宋体"/>
              </w:rPr>
            </w:pPr>
          </w:p>
        </w:tc>
        <w:sdt>
          <w:sdtPr>
            <w:rPr>
              <w:rFonts w:ascii="宋体" w:hAnsi="宋体"/>
            </w:rPr>
            <w:tag w:val="_PLD_64004453368f45deb228668add3f6655"/>
            <w:id w:val="192508434"/>
          </w:sdtPr>
          <w:sdtEndPr>
            <w:rPr>
              <w:rFonts w:ascii="宋体" w:hAnsi="宋体"/>
            </w:rPr>
          </w:sdtEndPr>
          <w:sdtContent>
            <w:tc>
              <w:tcPr>
                <w:tcW w:w="0" w:type="auto"/>
              </w:tcPr>
              <w:p>
                <w:pPr>
                  <w:jc w:val="center"/>
                  <w:rPr>
                    <w:rFonts w:ascii="宋体" w:hAnsi="宋体"/>
                  </w:rPr>
                </w:pPr>
                <w:r>
                  <w:rPr>
                    <w:rFonts w:ascii="宋体" w:hAnsi="宋体"/>
                  </w:rPr>
                  <w:t>账面余额</w:t>
                </w:r>
              </w:p>
            </w:tc>
          </w:sdtContent>
        </w:sdt>
        <w:sdt>
          <w:sdtPr>
            <w:rPr>
              <w:rFonts w:ascii="宋体" w:hAnsi="宋体"/>
            </w:rPr>
            <w:tag w:val="_PLD_5a76ffbabf9f4b50a7dc29ed261b076e"/>
            <w:id w:val="-2069645395"/>
          </w:sdtPr>
          <w:sdtEndPr>
            <w:rPr>
              <w:rFonts w:ascii="宋体" w:hAnsi="宋体"/>
            </w:rPr>
          </w:sdtEndPr>
          <w:sdtContent>
            <w:tc>
              <w:tcPr>
                <w:tcW w:w="0" w:type="auto"/>
              </w:tcPr>
              <w:p>
                <w:pPr>
                  <w:jc w:val="center"/>
                  <w:rPr>
                    <w:rFonts w:ascii="宋体" w:hAnsi="宋体"/>
                  </w:rPr>
                </w:pPr>
                <w:r>
                  <w:rPr>
                    <w:rFonts w:ascii="宋体" w:hAnsi="宋体"/>
                  </w:rPr>
                  <w:t>账面价值</w:t>
                </w:r>
              </w:p>
            </w:tc>
          </w:sdtContent>
        </w:sdt>
        <w:sdt>
          <w:sdtPr>
            <w:rPr>
              <w:rFonts w:ascii="宋体" w:hAnsi="宋体"/>
            </w:rPr>
            <w:tag w:val="_PLD_c3cc16e1890f43fba67dc0efd759b735"/>
            <w:id w:val="-595786620"/>
          </w:sdtPr>
          <w:sdtEndPr>
            <w:rPr>
              <w:rFonts w:ascii="宋体" w:hAnsi="宋体"/>
            </w:rPr>
          </w:sdtEndPr>
          <w:sdtContent>
            <w:tc>
              <w:tcPr>
                <w:tcW w:w="0" w:type="auto"/>
              </w:tcPr>
              <w:p>
                <w:pPr>
                  <w:jc w:val="center"/>
                  <w:rPr>
                    <w:rFonts w:ascii="宋体" w:hAnsi="宋体"/>
                  </w:rPr>
                </w:pPr>
                <w:r>
                  <w:rPr>
                    <w:rFonts w:ascii="宋体" w:hAnsi="宋体"/>
                  </w:rPr>
                  <w:t>受限类型</w:t>
                </w:r>
              </w:p>
            </w:tc>
          </w:sdtContent>
        </w:sdt>
        <w:sdt>
          <w:sdtPr>
            <w:rPr>
              <w:rFonts w:ascii="宋体" w:hAnsi="宋体"/>
            </w:rPr>
            <w:tag w:val="_PLD_8a211b26df0b4260a21a41d957e1dfdf"/>
            <w:id w:val="2097513016"/>
          </w:sdtPr>
          <w:sdtEndPr>
            <w:rPr>
              <w:rFonts w:ascii="宋体" w:hAnsi="宋体"/>
            </w:rPr>
          </w:sdtEndPr>
          <w:sdtContent>
            <w:tc>
              <w:tcPr>
                <w:tcW w:w="0" w:type="auto"/>
              </w:tcPr>
              <w:p>
                <w:pPr>
                  <w:jc w:val="center"/>
                  <w:rPr>
                    <w:rFonts w:ascii="宋体" w:hAnsi="宋体"/>
                  </w:rPr>
                </w:pPr>
                <w:r>
                  <w:rPr>
                    <w:rFonts w:ascii="宋体" w:hAnsi="宋体"/>
                  </w:rPr>
                  <w:t>受限情况</w:t>
                </w:r>
              </w:p>
            </w:tc>
          </w:sdtContent>
        </w:sdt>
        <w:sdt>
          <w:sdtPr>
            <w:rPr>
              <w:rFonts w:ascii="宋体" w:hAnsi="宋体"/>
            </w:rPr>
            <w:tag w:val="_PLD_9581673e46d4411fa8fe5e12a8080d0f"/>
            <w:id w:val="-236093160"/>
          </w:sdtPr>
          <w:sdtEndPr>
            <w:rPr>
              <w:rFonts w:ascii="宋体" w:hAnsi="宋体"/>
            </w:rPr>
          </w:sdtEndPr>
          <w:sdtContent>
            <w:tc>
              <w:tcPr>
                <w:tcW w:w="0" w:type="auto"/>
              </w:tcPr>
              <w:p>
                <w:pPr>
                  <w:jc w:val="center"/>
                  <w:rPr>
                    <w:rFonts w:ascii="宋体" w:hAnsi="宋体"/>
                  </w:rPr>
                </w:pPr>
                <w:r>
                  <w:rPr>
                    <w:rFonts w:ascii="宋体" w:hAnsi="宋体"/>
                  </w:rPr>
                  <w:t>账面余额</w:t>
                </w:r>
              </w:p>
            </w:tc>
          </w:sdtContent>
        </w:sdt>
        <w:sdt>
          <w:sdtPr>
            <w:rPr>
              <w:rFonts w:ascii="宋体" w:hAnsi="宋体"/>
            </w:rPr>
            <w:tag w:val="_PLD_ce461bf839e5491eadcc3d70f9ce620e"/>
            <w:id w:val="-585773986"/>
          </w:sdtPr>
          <w:sdtEndPr>
            <w:rPr>
              <w:rFonts w:ascii="宋体" w:hAnsi="宋体"/>
            </w:rPr>
          </w:sdtEndPr>
          <w:sdtContent>
            <w:tc>
              <w:tcPr>
                <w:tcW w:w="0" w:type="auto"/>
              </w:tcPr>
              <w:p>
                <w:pPr>
                  <w:jc w:val="center"/>
                  <w:rPr>
                    <w:rFonts w:ascii="宋体" w:hAnsi="宋体"/>
                  </w:rPr>
                </w:pPr>
                <w:r>
                  <w:rPr>
                    <w:rFonts w:ascii="宋体" w:hAnsi="宋体"/>
                  </w:rPr>
                  <w:t>账面价值</w:t>
                </w:r>
              </w:p>
            </w:tc>
          </w:sdtContent>
        </w:sdt>
        <w:sdt>
          <w:sdtPr>
            <w:rPr>
              <w:rFonts w:ascii="宋体" w:hAnsi="宋体"/>
            </w:rPr>
            <w:tag w:val="_PLD_5ae696f538304ef6a934581c56fba9ec"/>
            <w:id w:val="-1956785208"/>
          </w:sdtPr>
          <w:sdtEndPr>
            <w:rPr>
              <w:rFonts w:ascii="宋体" w:hAnsi="宋体"/>
            </w:rPr>
          </w:sdtEndPr>
          <w:sdtContent>
            <w:tc>
              <w:tcPr>
                <w:tcW w:w="0" w:type="auto"/>
              </w:tcPr>
              <w:p>
                <w:pPr>
                  <w:jc w:val="center"/>
                  <w:rPr>
                    <w:rFonts w:ascii="宋体" w:hAnsi="宋体"/>
                  </w:rPr>
                </w:pPr>
                <w:r>
                  <w:rPr>
                    <w:rFonts w:ascii="宋体" w:hAnsi="宋体"/>
                  </w:rPr>
                  <w:t>受限类型</w:t>
                </w:r>
              </w:p>
            </w:tc>
          </w:sdtContent>
        </w:sdt>
        <w:sdt>
          <w:sdtPr>
            <w:rPr>
              <w:rFonts w:ascii="宋体" w:hAnsi="宋体"/>
            </w:rPr>
            <w:tag w:val="_PLD_04889a12b1314877b4e00ff0f38fa250"/>
            <w:id w:val="27468775"/>
          </w:sdtPr>
          <w:sdtEndPr>
            <w:rPr>
              <w:rFonts w:ascii="宋体" w:hAnsi="宋体"/>
            </w:rPr>
          </w:sdtEndPr>
          <w:sdtContent>
            <w:tc>
              <w:tcPr>
                <w:tcW w:w="0" w:type="auto"/>
              </w:tcPr>
              <w:p>
                <w:pPr>
                  <w:jc w:val="center"/>
                  <w:rPr>
                    <w:rFonts w:ascii="宋体" w:hAnsi="宋体"/>
                  </w:rPr>
                </w:pPr>
                <w:r>
                  <w:rPr>
                    <w:rFonts w:ascii="宋体" w:hAnsi="宋体"/>
                  </w:rPr>
                  <w:t>受限情况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left"/>
              <w:rPr>
                <w:rFonts w:ascii="宋体" w:hAnsi="宋体"/>
              </w:rPr>
            </w:pPr>
            <w:r>
              <w:rPr>
                <w:rFonts w:ascii="宋体" w:hAnsi="宋体"/>
              </w:rPr>
              <w:t>货币资金</w:t>
            </w:r>
          </w:p>
        </w:tc>
        <w:tc>
          <w:tcPr>
            <w:tcW w:w="0" w:type="auto"/>
            <w:vAlign w:val="center"/>
          </w:tcPr>
          <w:p>
            <w:pPr>
              <w:jc w:val="right"/>
              <w:rPr>
                <w:rFonts w:ascii="宋体" w:hAnsi="宋体"/>
              </w:rPr>
            </w:pPr>
            <w:r>
              <w:rPr>
                <w:rFonts w:hint="eastAsia" w:ascii="宋体" w:hAnsi="宋体"/>
              </w:rPr>
              <w:t>7,328,936</w:t>
            </w:r>
          </w:p>
        </w:tc>
        <w:tc>
          <w:tcPr>
            <w:tcW w:w="0" w:type="auto"/>
            <w:vAlign w:val="center"/>
          </w:tcPr>
          <w:p>
            <w:pPr>
              <w:jc w:val="right"/>
              <w:rPr>
                <w:rFonts w:ascii="宋体" w:hAnsi="宋体"/>
              </w:rPr>
            </w:pPr>
            <w:r>
              <w:rPr>
                <w:rFonts w:hint="eastAsia" w:ascii="宋体" w:hAnsi="宋体"/>
              </w:rPr>
              <w:t>7,328,936</w:t>
            </w:r>
          </w:p>
        </w:tc>
        <w:tc>
          <w:tcPr>
            <w:tcW w:w="0" w:type="auto"/>
            <w:vAlign w:val="center"/>
          </w:tcPr>
          <w:p>
            <w:pPr>
              <w:rPr>
                <w:rFonts w:ascii="宋体" w:hAnsi="宋体"/>
              </w:rPr>
            </w:pPr>
            <w:r>
              <w:rPr>
                <w:rFonts w:ascii="宋体" w:hAnsi="宋体"/>
              </w:rPr>
              <w:t>其他</w:t>
            </w:r>
          </w:p>
        </w:tc>
        <w:tc>
          <w:tcPr>
            <w:tcW w:w="0" w:type="auto"/>
            <w:vAlign w:val="center"/>
          </w:tcPr>
          <w:p>
            <w:pPr>
              <w:rPr>
                <w:rFonts w:ascii="宋体" w:hAnsi="宋体"/>
              </w:rPr>
            </w:pPr>
            <w:r>
              <w:rPr>
                <w:rFonts w:hint="eastAsia" w:ascii="宋体" w:hAnsi="宋体"/>
              </w:rPr>
              <w:t>附注七、1</w:t>
            </w:r>
          </w:p>
        </w:tc>
        <w:tc>
          <w:tcPr>
            <w:tcW w:w="0" w:type="auto"/>
            <w:vAlign w:val="center"/>
          </w:tcPr>
          <w:p>
            <w:pPr>
              <w:jc w:val="right"/>
              <w:rPr>
                <w:rFonts w:ascii="宋体" w:hAnsi="宋体"/>
              </w:rPr>
            </w:pPr>
            <w:r>
              <w:rPr>
                <w:rFonts w:hint="eastAsia" w:ascii="宋体" w:hAnsi="宋体"/>
              </w:rPr>
              <w:t>8,280,143</w:t>
            </w:r>
          </w:p>
        </w:tc>
        <w:tc>
          <w:tcPr>
            <w:tcW w:w="0" w:type="auto"/>
            <w:vAlign w:val="center"/>
          </w:tcPr>
          <w:p>
            <w:pPr>
              <w:jc w:val="right"/>
              <w:rPr>
                <w:rFonts w:ascii="宋体" w:hAnsi="宋体"/>
              </w:rPr>
            </w:pPr>
            <w:r>
              <w:rPr>
                <w:rFonts w:hint="eastAsia" w:ascii="宋体" w:hAnsi="宋体"/>
              </w:rPr>
              <w:t>8,280,143</w:t>
            </w:r>
          </w:p>
        </w:tc>
        <w:tc>
          <w:tcPr>
            <w:tcW w:w="0" w:type="auto"/>
            <w:vAlign w:val="center"/>
          </w:tcPr>
          <w:p>
            <w:pPr>
              <w:rPr>
                <w:rFonts w:ascii="宋体" w:hAnsi="宋体"/>
              </w:rPr>
            </w:pPr>
            <w:r>
              <w:rPr>
                <w:rFonts w:ascii="宋体" w:hAnsi="宋体"/>
              </w:rPr>
              <w:t>其他</w:t>
            </w:r>
          </w:p>
        </w:tc>
        <w:tc>
          <w:tcPr>
            <w:tcW w:w="0" w:type="auto"/>
            <w:vAlign w:val="center"/>
          </w:tcPr>
          <w:p>
            <w:pPr>
              <w:rPr>
                <w:rFonts w:ascii="宋体" w:hAnsi="宋体"/>
              </w:rPr>
            </w:pPr>
            <w:r>
              <w:rPr>
                <w:rFonts w:hint="eastAsia" w:ascii="宋体" w:hAnsi="宋体"/>
              </w:rPr>
              <w:t>附注七、1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left"/>
              <w:rPr>
                <w:rFonts w:ascii="宋体" w:hAnsi="宋体"/>
              </w:rPr>
            </w:pPr>
            <w:r>
              <w:rPr>
                <w:rFonts w:ascii="宋体" w:hAnsi="宋体"/>
              </w:rPr>
              <w:t>应收票据</w:t>
            </w:r>
          </w:p>
        </w:tc>
        <w:tc>
          <w:tcPr>
            <w:tcW w:w="0" w:type="auto"/>
            <w:vAlign w:val="center"/>
          </w:tcPr>
          <w:p>
            <w:pPr>
              <w:jc w:val="right"/>
              <w:rPr>
                <w:rFonts w:ascii="宋体" w:hAnsi="宋体"/>
              </w:rPr>
            </w:pPr>
            <w:r>
              <w:rPr>
                <w:rFonts w:hint="eastAsia" w:ascii="宋体" w:hAnsi="宋体"/>
              </w:rPr>
              <w:t>8,000</w:t>
            </w:r>
          </w:p>
        </w:tc>
        <w:tc>
          <w:tcPr>
            <w:tcW w:w="0" w:type="auto"/>
            <w:vAlign w:val="center"/>
          </w:tcPr>
          <w:p>
            <w:pPr>
              <w:jc w:val="right"/>
              <w:rPr>
                <w:rFonts w:ascii="宋体" w:hAnsi="宋体"/>
              </w:rPr>
            </w:pPr>
            <w:r>
              <w:rPr>
                <w:rFonts w:hint="eastAsia" w:ascii="宋体" w:hAnsi="宋体"/>
              </w:rPr>
              <w:t>8,000</w:t>
            </w:r>
          </w:p>
        </w:tc>
        <w:tc>
          <w:tcPr>
            <w:tcW w:w="0" w:type="auto"/>
          </w:tcPr>
          <w:p>
            <w:pPr>
              <w:rPr>
                <w:rFonts w:ascii="宋体" w:hAnsi="宋体"/>
              </w:rPr>
            </w:pPr>
            <w:r>
              <w:rPr>
                <w:rFonts w:ascii="宋体" w:hAnsi="宋体"/>
              </w:rPr>
              <w:t>质押</w:t>
            </w:r>
          </w:p>
        </w:tc>
        <w:tc>
          <w:tcPr>
            <w:tcW w:w="0" w:type="auto"/>
            <w:vAlign w:val="center"/>
          </w:tcPr>
          <w:p>
            <w:pPr>
              <w:rPr>
                <w:rFonts w:ascii="宋体" w:hAnsi="宋体"/>
              </w:rPr>
            </w:pPr>
            <w:r>
              <w:rPr>
                <w:rFonts w:hint="eastAsia" w:ascii="宋体" w:hAnsi="宋体"/>
              </w:rPr>
              <w:t>附注七、</w:t>
            </w:r>
            <w:r>
              <w:rPr>
                <w:rFonts w:ascii="宋体" w:hAnsi="宋体"/>
              </w:rPr>
              <w:t>4</w:t>
            </w:r>
          </w:p>
        </w:tc>
        <w:tc>
          <w:tcPr>
            <w:tcW w:w="0" w:type="auto"/>
            <w:vAlign w:val="center"/>
          </w:tcPr>
          <w:p>
            <w:pPr>
              <w:jc w:val="right"/>
              <w:rPr>
                <w:rFonts w:ascii="宋体" w:hAnsi="宋体"/>
              </w:rPr>
            </w:pPr>
          </w:p>
        </w:tc>
        <w:tc>
          <w:tcPr>
            <w:tcW w:w="0" w:type="auto"/>
            <w:vAlign w:val="center"/>
          </w:tcPr>
          <w:p>
            <w:pPr>
              <w:jc w:val="right"/>
              <w:rPr>
                <w:rFonts w:ascii="宋体" w:hAnsi="宋体"/>
              </w:rPr>
            </w:pPr>
          </w:p>
        </w:tc>
        <w:tc>
          <w:tcPr>
            <w:tcW w:w="0" w:type="auto"/>
          </w:tcPr>
          <w:p>
            <w:pPr>
              <w:rPr>
                <w:rFonts w:ascii="宋体" w:hAnsi="宋体"/>
              </w:rPr>
            </w:pPr>
            <w:r>
              <w:rPr>
                <w:rFonts w:ascii="宋体" w:hAnsi="宋体"/>
              </w:rPr>
              <w:t>质押</w:t>
            </w:r>
          </w:p>
        </w:tc>
        <w:tc>
          <w:tcPr>
            <w:tcW w:w="0" w:type="auto"/>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ascii="宋体" w:hAnsi="宋体"/>
              </w:rPr>
            </w:pPr>
            <w:r>
              <w:rPr>
                <w:rFonts w:ascii="宋体" w:hAnsi="宋体"/>
              </w:rPr>
              <w:t>固定资产</w:t>
            </w:r>
          </w:p>
        </w:tc>
        <w:tc>
          <w:tcPr>
            <w:tcW w:w="0" w:type="auto"/>
            <w:vAlign w:val="center"/>
          </w:tcPr>
          <w:p>
            <w:pPr>
              <w:jc w:val="right"/>
              <w:rPr>
                <w:rFonts w:ascii="宋体" w:hAnsi="宋体"/>
              </w:rPr>
            </w:pPr>
            <w:r>
              <w:rPr>
                <w:rFonts w:ascii="宋体" w:hAnsi="宋体"/>
              </w:rPr>
              <w:t>3,436,997</w:t>
            </w:r>
          </w:p>
        </w:tc>
        <w:tc>
          <w:tcPr>
            <w:tcW w:w="0" w:type="auto"/>
            <w:vAlign w:val="center"/>
          </w:tcPr>
          <w:p>
            <w:pPr>
              <w:jc w:val="right"/>
              <w:rPr>
                <w:rFonts w:ascii="宋体" w:hAnsi="宋体"/>
              </w:rPr>
            </w:pPr>
            <w:r>
              <w:rPr>
                <w:rFonts w:hint="eastAsia" w:ascii="宋体" w:hAnsi="宋体"/>
              </w:rPr>
              <w:t>3,436,600</w:t>
            </w:r>
          </w:p>
        </w:tc>
        <w:tc>
          <w:tcPr>
            <w:tcW w:w="0" w:type="auto"/>
            <w:vAlign w:val="center"/>
          </w:tcPr>
          <w:p>
            <w:pPr>
              <w:rPr>
                <w:rFonts w:ascii="宋体" w:hAnsi="宋体"/>
              </w:rPr>
            </w:pPr>
            <w:r>
              <w:rPr>
                <w:rFonts w:ascii="宋体" w:hAnsi="宋体"/>
              </w:rPr>
              <w:t>其他</w:t>
            </w:r>
          </w:p>
        </w:tc>
        <w:tc>
          <w:tcPr>
            <w:tcW w:w="0" w:type="auto"/>
            <w:vAlign w:val="center"/>
          </w:tcPr>
          <w:p>
            <w:pPr>
              <w:rPr>
                <w:rFonts w:ascii="宋体" w:hAnsi="宋体"/>
              </w:rPr>
            </w:pPr>
            <w:r>
              <w:rPr>
                <w:rFonts w:hint="eastAsia" w:ascii="宋体" w:hAnsi="宋体"/>
              </w:rPr>
              <w:t>售后回租、诉讼冻结</w:t>
            </w:r>
          </w:p>
        </w:tc>
        <w:tc>
          <w:tcPr>
            <w:tcW w:w="0" w:type="auto"/>
            <w:vAlign w:val="center"/>
          </w:tcPr>
          <w:p>
            <w:pPr>
              <w:jc w:val="right"/>
              <w:rPr>
                <w:rFonts w:ascii="宋体" w:hAnsi="宋体"/>
              </w:rPr>
            </w:pPr>
            <w:r>
              <w:rPr>
                <w:rFonts w:ascii="宋体" w:hAnsi="宋体"/>
              </w:rPr>
              <w:t>4,920,175</w:t>
            </w:r>
          </w:p>
        </w:tc>
        <w:tc>
          <w:tcPr>
            <w:tcW w:w="0" w:type="auto"/>
            <w:vAlign w:val="center"/>
          </w:tcPr>
          <w:p>
            <w:pPr>
              <w:jc w:val="right"/>
              <w:rPr>
                <w:rFonts w:ascii="宋体" w:hAnsi="宋体"/>
              </w:rPr>
            </w:pPr>
            <w:r>
              <w:rPr>
                <w:rFonts w:ascii="宋体" w:hAnsi="宋体"/>
              </w:rPr>
              <w:t>4,919,798</w:t>
            </w:r>
          </w:p>
        </w:tc>
        <w:tc>
          <w:tcPr>
            <w:tcW w:w="0" w:type="auto"/>
            <w:vAlign w:val="center"/>
          </w:tcPr>
          <w:p>
            <w:pPr>
              <w:rPr>
                <w:rFonts w:ascii="宋体" w:hAnsi="宋体"/>
              </w:rPr>
            </w:pPr>
            <w:r>
              <w:rPr>
                <w:rFonts w:ascii="宋体" w:hAnsi="宋体"/>
              </w:rPr>
              <w:t>其他</w:t>
            </w:r>
          </w:p>
        </w:tc>
        <w:tc>
          <w:tcPr>
            <w:tcW w:w="0" w:type="auto"/>
            <w:vAlign w:val="center"/>
          </w:tcPr>
          <w:p>
            <w:pPr>
              <w:rPr>
                <w:rFonts w:ascii="宋体" w:hAnsi="宋体"/>
              </w:rPr>
            </w:pPr>
            <w:r>
              <w:rPr>
                <w:rFonts w:hint="eastAsia" w:ascii="宋体" w:hAnsi="宋体"/>
              </w:rPr>
              <w:t>售后回租、诉讼冻结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single" w:color="auto" w:sz="4" w:space="0"/>
            </w:tcBorders>
          </w:tcPr>
          <w:p>
            <w:pPr>
              <w:jc w:val="left"/>
              <w:rPr>
                <w:rFonts w:ascii="宋体" w:hAnsi="宋体"/>
              </w:rPr>
            </w:pPr>
            <w:r>
              <w:rPr>
                <w:rFonts w:ascii="宋体" w:hAnsi="宋体"/>
              </w:rPr>
              <w:t>无形资产</w:t>
            </w:r>
          </w:p>
        </w:tc>
        <w:tc>
          <w:tcPr>
            <w:tcW w:w="0" w:type="auto"/>
            <w:vAlign w:val="center"/>
          </w:tcPr>
          <w:p>
            <w:pPr>
              <w:jc w:val="right"/>
              <w:rPr>
                <w:rFonts w:ascii="宋体" w:hAnsi="宋体"/>
              </w:rPr>
            </w:pPr>
            <w:r>
              <w:rPr>
                <w:rFonts w:hint="eastAsia" w:ascii="宋体" w:hAnsi="宋体"/>
              </w:rPr>
              <w:t>5,339</w:t>
            </w:r>
          </w:p>
        </w:tc>
        <w:tc>
          <w:tcPr>
            <w:tcW w:w="0" w:type="auto"/>
            <w:vAlign w:val="center"/>
          </w:tcPr>
          <w:p>
            <w:pPr>
              <w:jc w:val="right"/>
              <w:rPr>
                <w:rFonts w:ascii="宋体" w:hAnsi="宋体"/>
              </w:rPr>
            </w:pPr>
            <w:r>
              <w:rPr>
                <w:rFonts w:hint="eastAsia" w:ascii="宋体" w:hAnsi="宋体"/>
              </w:rPr>
              <w:t>4,102</w:t>
            </w:r>
          </w:p>
        </w:tc>
        <w:tc>
          <w:tcPr>
            <w:tcW w:w="0" w:type="auto"/>
            <w:vAlign w:val="center"/>
          </w:tcPr>
          <w:p>
            <w:pPr>
              <w:rPr>
                <w:rFonts w:ascii="宋体" w:hAnsi="宋体"/>
              </w:rPr>
            </w:pPr>
            <w:r>
              <w:rPr>
                <w:rFonts w:ascii="宋体" w:hAnsi="宋体"/>
              </w:rPr>
              <w:t>其他</w:t>
            </w:r>
          </w:p>
        </w:tc>
        <w:tc>
          <w:tcPr>
            <w:tcW w:w="0" w:type="auto"/>
          </w:tcPr>
          <w:p>
            <w:pPr>
              <w:rPr>
                <w:rFonts w:ascii="宋体" w:hAnsi="宋体"/>
              </w:rPr>
            </w:pPr>
            <w:r>
              <w:rPr>
                <w:rFonts w:hint="eastAsia" w:ascii="宋体" w:hAnsi="宋体"/>
              </w:rPr>
              <w:t>诉讼冻结</w:t>
            </w:r>
          </w:p>
        </w:tc>
        <w:tc>
          <w:tcPr>
            <w:tcW w:w="0" w:type="auto"/>
            <w:vAlign w:val="center"/>
          </w:tcPr>
          <w:p>
            <w:pPr>
              <w:jc w:val="right"/>
              <w:rPr>
                <w:rFonts w:ascii="宋体" w:hAnsi="宋体"/>
              </w:rPr>
            </w:pPr>
            <w:r>
              <w:rPr>
                <w:rFonts w:ascii="宋体" w:hAnsi="宋体"/>
              </w:rPr>
              <w:t>565,684</w:t>
            </w:r>
          </w:p>
        </w:tc>
        <w:tc>
          <w:tcPr>
            <w:tcW w:w="0" w:type="auto"/>
            <w:vAlign w:val="center"/>
          </w:tcPr>
          <w:p>
            <w:pPr>
              <w:jc w:val="right"/>
              <w:rPr>
                <w:rFonts w:ascii="宋体" w:hAnsi="宋体"/>
              </w:rPr>
            </w:pPr>
            <w:r>
              <w:rPr>
                <w:rFonts w:ascii="宋体" w:hAnsi="宋体"/>
              </w:rPr>
              <w:t>564,554</w:t>
            </w:r>
          </w:p>
        </w:tc>
        <w:tc>
          <w:tcPr>
            <w:tcW w:w="0" w:type="auto"/>
            <w:vAlign w:val="center"/>
          </w:tcPr>
          <w:p>
            <w:pPr>
              <w:rPr>
                <w:rFonts w:ascii="宋体" w:hAnsi="宋体"/>
              </w:rPr>
            </w:pPr>
            <w:r>
              <w:rPr>
                <w:rFonts w:ascii="宋体" w:hAnsi="宋体"/>
              </w:rPr>
              <w:t>其他</w:t>
            </w:r>
          </w:p>
        </w:tc>
        <w:tc>
          <w:tcPr>
            <w:tcW w:w="0" w:type="auto"/>
          </w:tcPr>
          <w:p>
            <w:pPr>
              <w:rPr>
                <w:rFonts w:ascii="宋体" w:hAnsi="宋体"/>
              </w:rPr>
            </w:pPr>
            <w:r>
              <w:rPr>
                <w:rFonts w:hint="eastAsia" w:ascii="宋体" w:hAnsi="宋体"/>
              </w:rPr>
              <w:t>诉讼冻结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ascii="宋体" w:hAnsi="宋体"/>
              </w:rPr>
            </w:pPr>
            <w:r>
              <w:rPr>
                <w:rFonts w:hint="eastAsia" w:ascii="宋体" w:hAnsi="宋体"/>
              </w:rPr>
              <w:t>应收款项融资</w:t>
            </w:r>
          </w:p>
        </w:tc>
        <w:tc>
          <w:tcPr>
            <w:tcW w:w="0" w:type="auto"/>
            <w:vAlign w:val="center"/>
          </w:tcPr>
          <w:p>
            <w:pPr>
              <w:jc w:val="right"/>
              <w:rPr>
                <w:rFonts w:ascii="宋体" w:hAnsi="宋体"/>
              </w:rPr>
            </w:pPr>
            <w:r>
              <w:rPr>
                <w:rFonts w:hint="eastAsia" w:ascii="宋体" w:hAnsi="宋体"/>
              </w:rPr>
              <w:t>1,594,647</w:t>
            </w:r>
          </w:p>
        </w:tc>
        <w:tc>
          <w:tcPr>
            <w:tcW w:w="0" w:type="auto"/>
            <w:vAlign w:val="center"/>
          </w:tcPr>
          <w:p>
            <w:pPr>
              <w:jc w:val="right"/>
              <w:rPr>
                <w:rFonts w:ascii="宋体" w:hAnsi="宋体"/>
              </w:rPr>
            </w:pPr>
            <w:r>
              <w:rPr>
                <w:rFonts w:hint="eastAsia" w:ascii="宋体" w:hAnsi="宋体"/>
              </w:rPr>
              <w:t>1,594,647</w:t>
            </w:r>
          </w:p>
        </w:tc>
        <w:tc>
          <w:tcPr>
            <w:tcW w:w="0" w:type="auto"/>
          </w:tcPr>
          <w:p>
            <w:pPr>
              <w:rPr>
                <w:rFonts w:ascii="宋体" w:hAnsi="宋体"/>
              </w:rPr>
            </w:pPr>
            <w:r>
              <w:rPr>
                <w:rFonts w:ascii="宋体" w:hAnsi="宋体"/>
              </w:rPr>
              <w:t>质押</w:t>
            </w:r>
          </w:p>
        </w:tc>
        <w:tc>
          <w:tcPr>
            <w:tcW w:w="0" w:type="auto"/>
            <w:vAlign w:val="center"/>
          </w:tcPr>
          <w:p>
            <w:pPr>
              <w:rPr>
                <w:rFonts w:ascii="宋体" w:hAnsi="宋体"/>
              </w:rPr>
            </w:pPr>
            <w:r>
              <w:rPr>
                <w:rFonts w:hint="eastAsia" w:ascii="宋体" w:hAnsi="宋体"/>
              </w:rPr>
              <w:t>附注七、</w:t>
            </w:r>
            <w:r>
              <w:rPr>
                <w:rFonts w:ascii="宋体" w:hAnsi="宋体"/>
              </w:rPr>
              <w:t>7</w:t>
            </w:r>
          </w:p>
        </w:tc>
        <w:tc>
          <w:tcPr>
            <w:tcW w:w="0" w:type="auto"/>
            <w:vAlign w:val="center"/>
          </w:tcPr>
          <w:p>
            <w:pPr>
              <w:jc w:val="right"/>
              <w:rPr>
                <w:rFonts w:ascii="宋体" w:hAnsi="宋体"/>
              </w:rPr>
            </w:pPr>
            <w:r>
              <w:rPr>
                <w:rFonts w:hint="eastAsia" w:ascii="宋体" w:hAnsi="宋体"/>
              </w:rPr>
              <w:t>1,150,504</w:t>
            </w:r>
          </w:p>
        </w:tc>
        <w:tc>
          <w:tcPr>
            <w:tcW w:w="0" w:type="auto"/>
            <w:vAlign w:val="center"/>
          </w:tcPr>
          <w:p>
            <w:pPr>
              <w:jc w:val="right"/>
              <w:rPr>
                <w:rFonts w:ascii="宋体" w:hAnsi="宋体"/>
              </w:rPr>
            </w:pPr>
            <w:r>
              <w:rPr>
                <w:rFonts w:hint="eastAsia" w:ascii="宋体" w:hAnsi="宋体"/>
              </w:rPr>
              <w:t>1,150,504</w:t>
            </w:r>
          </w:p>
        </w:tc>
        <w:tc>
          <w:tcPr>
            <w:tcW w:w="0" w:type="auto"/>
          </w:tcPr>
          <w:p>
            <w:pPr>
              <w:rPr>
                <w:rFonts w:ascii="宋体" w:hAnsi="宋体"/>
              </w:rPr>
            </w:pPr>
            <w:r>
              <w:rPr>
                <w:rFonts w:ascii="宋体" w:hAnsi="宋体"/>
              </w:rPr>
              <w:t>质押</w:t>
            </w:r>
          </w:p>
        </w:tc>
        <w:tc>
          <w:tcPr>
            <w:tcW w:w="0" w:type="auto"/>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ascii="宋体" w:hAnsi="宋体"/>
              </w:rPr>
            </w:pPr>
            <w:r>
              <w:rPr>
                <w:rFonts w:hint="eastAsia" w:ascii="宋体" w:hAnsi="宋体"/>
              </w:rPr>
              <w:t>长期应收款</w:t>
            </w:r>
          </w:p>
        </w:tc>
        <w:tc>
          <w:tcPr>
            <w:tcW w:w="0" w:type="auto"/>
            <w:vAlign w:val="center"/>
          </w:tcPr>
          <w:p>
            <w:pPr>
              <w:jc w:val="right"/>
              <w:rPr>
                <w:rFonts w:ascii="宋体" w:hAnsi="宋体"/>
              </w:rPr>
            </w:pPr>
            <w:r>
              <w:rPr>
                <w:rFonts w:hint="eastAsia" w:ascii="宋体" w:hAnsi="宋体"/>
              </w:rPr>
              <w:t>4,110,912</w:t>
            </w:r>
          </w:p>
        </w:tc>
        <w:tc>
          <w:tcPr>
            <w:tcW w:w="0" w:type="auto"/>
            <w:vAlign w:val="center"/>
          </w:tcPr>
          <w:p>
            <w:pPr>
              <w:jc w:val="right"/>
              <w:rPr>
                <w:rFonts w:ascii="宋体" w:hAnsi="宋体"/>
              </w:rPr>
            </w:pPr>
            <w:r>
              <w:rPr>
                <w:rFonts w:hint="eastAsia" w:ascii="宋体" w:hAnsi="宋体"/>
              </w:rPr>
              <w:t>4,110,912</w:t>
            </w:r>
          </w:p>
        </w:tc>
        <w:tc>
          <w:tcPr>
            <w:tcW w:w="0" w:type="auto"/>
          </w:tcPr>
          <w:p>
            <w:pPr>
              <w:rPr>
                <w:rFonts w:ascii="宋体" w:hAnsi="宋体"/>
              </w:rPr>
            </w:pPr>
            <w:r>
              <w:rPr>
                <w:rFonts w:ascii="宋体" w:hAnsi="宋体"/>
              </w:rPr>
              <w:t>质押</w:t>
            </w:r>
          </w:p>
        </w:tc>
        <w:tc>
          <w:tcPr>
            <w:tcW w:w="0" w:type="auto"/>
            <w:vAlign w:val="center"/>
          </w:tcPr>
          <w:p>
            <w:pPr>
              <w:rPr>
                <w:rFonts w:ascii="宋体" w:hAnsi="宋体"/>
              </w:rPr>
            </w:pPr>
            <w:r>
              <w:rPr>
                <w:rFonts w:hint="eastAsia" w:ascii="宋体" w:hAnsi="宋体"/>
              </w:rPr>
              <w:t>附注七、</w:t>
            </w:r>
            <w:r>
              <w:rPr>
                <w:rFonts w:ascii="宋体" w:hAnsi="宋体"/>
              </w:rPr>
              <w:t>45</w:t>
            </w:r>
          </w:p>
        </w:tc>
        <w:tc>
          <w:tcPr>
            <w:tcW w:w="0" w:type="auto"/>
            <w:vAlign w:val="center"/>
          </w:tcPr>
          <w:p>
            <w:pPr>
              <w:jc w:val="right"/>
              <w:rPr>
                <w:rFonts w:ascii="宋体" w:hAnsi="宋体"/>
              </w:rPr>
            </w:pPr>
            <w:r>
              <w:rPr>
                <w:rFonts w:hint="eastAsia" w:ascii="宋体" w:hAnsi="宋体"/>
              </w:rPr>
              <w:t>5,529,671</w:t>
            </w:r>
          </w:p>
        </w:tc>
        <w:tc>
          <w:tcPr>
            <w:tcW w:w="0" w:type="auto"/>
            <w:vAlign w:val="center"/>
          </w:tcPr>
          <w:p>
            <w:pPr>
              <w:jc w:val="right"/>
              <w:rPr>
                <w:rFonts w:ascii="宋体" w:hAnsi="宋体"/>
              </w:rPr>
            </w:pPr>
            <w:r>
              <w:rPr>
                <w:rFonts w:hint="eastAsia" w:ascii="宋体" w:hAnsi="宋体"/>
              </w:rPr>
              <w:t>5,529,671</w:t>
            </w:r>
          </w:p>
        </w:tc>
        <w:tc>
          <w:tcPr>
            <w:tcW w:w="0" w:type="auto"/>
          </w:tcPr>
          <w:p>
            <w:pPr>
              <w:rPr>
                <w:rFonts w:ascii="宋体" w:hAnsi="宋体"/>
              </w:rPr>
            </w:pPr>
            <w:r>
              <w:rPr>
                <w:rFonts w:ascii="宋体" w:hAnsi="宋体"/>
              </w:rPr>
              <w:t>质押</w:t>
            </w:r>
          </w:p>
        </w:tc>
        <w:tc>
          <w:tcPr>
            <w:tcW w:w="0" w:type="auto"/>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ascii="宋体" w:hAnsi="宋体"/>
              </w:rPr>
            </w:pPr>
            <w:r>
              <w:rPr>
                <w:rFonts w:hint="eastAsia" w:ascii="宋体" w:hAnsi="宋体"/>
              </w:rPr>
              <w:t>长期股权投资</w:t>
            </w:r>
          </w:p>
        </w:tc>
        <w:tc>
          <w:tcPr>
            <w:tcW w:w="0" w:type="auto"/>
            <w:vAlign w:val="center"/>
          </w:tcPr>
          <w:p>
            <w:pPr>
              <w:jc w:val="right"/>
              <w:rPr>
                <w:rFonts w:ascii="宋体" w:hAnsi="宋体"/>
              </w:rPr>
            </w:pPr>
            <w:r>
              <w:rPr>
                <w:rFonts w:hint="eastAsia" w:ascii="宋体" w:hAnsi="宋体"/>
              </w:rPr>
              <w:t>5,838,706</w:t>
            </w:r>
          </w:p>
        </w:tc>
        <w:tc>
          <w:tcPr>
            <w:tcW w:w="0" w:type="auto"/>
            <w:vAlign w:val="center"/>
          </w:tcPr>
          <w:p>
            <w:pPr>
              <w:jc w:val="right"/>
              <w:rPr>
                <w:rFonts w:ascii="宋体" w:hAnsi="宋体"/>
              </w:rPr>
            </w:pPr>
            <w:r>
              <w:rPr>
                <w:rFonts w:hint="eastAsia" w:ascii="宋体" w:hAnsi="宋体"/>
              </w:rPr>
              <w:t>5,838,706</w:t>
            </w:r>
          </w:p>
        </w:tc>
        <w:tc>
          <w:tcPr>
            <w:tcW w:w="0" w:type="auto"/>
            <w:vAlign w:val="center"/>
          </w:tcPr>
          <w:p>
            <w:pPr>
              <w:rPr>
                <w:rFonts w:ascii="宋体" w:hAnsi="宋体"/>
              </w:rPr>
            </w:pPr>
            <w:r>
              <w:rPr>
                <w:rFonts w:ascii="宋体" w:hAnsi="宋体"/>
              </w:rPr>
              <w:t>质押</w:t>
            </w:r>
          </w:p>
        </w:tc>
        <w:tc>
          <w:tcPr>
            <w:tcW w:w="0" w:type="auto"/>
            <w:vAlign w:val="center"/>
          </w:tcPr>
          <w:p>
            <w:pPr>
              <w:rPr>
                <w:rFonts w:ascii="宋体" w:hAnsi="宋体"/>
              </w:rPr>
            </w:pPr>
            <w:r>
              <w:rPr>
                <w:rFonts w:hint="eastAsia" w:ascii="宋体" w:hAnsi="宋体"/>
              </w:rPr>
              <w:t>附注七、</w:t>
            </w:r>
            <w:r>
              <w:rPr>
                <w:rFonts w:ascii="宋体" w:hAnsi="宋体"/>
              </w:rPr>
              <w:t>45</w:t>
            </w:r>
          </w:p>
        </w:tc>
        <w:tc>
          <w:tcPr>
            <w:tcW w:w="0" w:type="auto"/>
            <w:vAlign w:val="center"/>
          </w:tcPr>
          <w:p>
            <w:pPr>
              <w:jc w:val="right"/>
              <w:rPr>
                <w:rFonts w:ascii="宋体" w:hAnsi="宋体"/>
              </w:rPr>
            </w:pPr>
            <w:r>
              <w:rPr>
                <w:rFonts w:hint="eastAsia" w:ascii="宋体" w:hAnsi="宋体"/>
              </w:rPr>
              <w:t>6,659,420</w:t>
            </w:r>
          </w:p>
        </w:tc>
        <w:tc>
          <w:tcPr>
            <w:tcW w:w="0" w:type="auto"/>
            <w:vAlign w:val="center"/>
          </w:tcPr>
          <w:p>
            <w:pPr>
              <w:jc w:val="right"/>
              <w:rPr>
                <w:rFonts w:ascii="宋体" w:hAnsi="宋体"/>
              </w:rPr>
            </w:pPr>
            <w:r>
              <w:rPr>
                <w:rFonts w:hint="eastAsia" w:ascii="宋体" w:hAnsi="宋体"/>
              </w:rPr>
              <w:t>6,659,420</w:t>
            </w:r>
          </w:p>
        </w:tc>
        <w:tc>
          <w:tcPr>
            <w:tcW w:w="0" w:type="auto"/>
            <w:vAlign w:val="center"/>
          </w:tcPr>
          <w:p>
            <w:pPr>
              <w:rPr>
                <w:rFonts w:ascii="宋体" w:hAnsi="宋体"/>
              </w:rPr>
            </w:pPr>
            <w:r>
              <w:rPr>
                <w:rFonts w:ascii="宋体" w:hAnsi="宋体"/>
              </w:rPr>
              <w:t>质押</w:t>
            </w:r>
          </w:p>
        </w:tc>
        <w:tc>
          <w:tcPr>
            <w:tcW w:w="0" w:type="auto"/>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ascii="宋体" w:hAnsi="宋体"/>
              </w:rPr>
            </w:pPr>
            <w:r>
              <w:rPr>
                <w:rFonts w:hint="eastAsia" w:ascii="宋体" w:hAnsi="宋体"/>
              </w:rPr>
              <w:t>对陕西未来能源的股权质押</w:t>
            </w:r>
          </w:p>
        </w:tc>
        <w:tc>
          <w:tcPr>
            <w:tcW w:w="0" w:type="auto"/>
            <w:vAlign w:val="center"/>
          </w:tcPr>
          <w:p>
            <w:pPr>
              <w:jc w:val="right"/>
              <w:rPr>
                <w:rFonts w:ascii="宋体" w:hAnsi="宋体"/>
              </w:rPr>
            </w:pPr>
            <w:r>
              <w:rPr>
                <w:rFonts w:hint="eastAsia" w:ascii="宋体" w:hAnsi="宋体"/>
              </w:rPr>
              <w:t>4,714,110</w:t>
            </w:r>
          </w:p>
        </w:tc>
        <w:tc>
          <w:tcPr>
            <w:tcW w:w="0" w:type="auto"/>
            <w:vAlign w:val="center"/>
          </w:tcPr>
          <w:p>
            <w:pPr>
              <w:jc w:val="right"/>
              <w:rPr>
                <w:rFonts w:ascii="宋体" w:hAnsi="宋体"/>
              </w:rPr>
            </w:pPr>
            <w:r>
              <w:rPr>
                <w:rFonts w:hint="eastAsia" w:ascii="宋体" w:hAnsi="宋体"/>
              </w:rPr>
              <w:t>4,714,110</w:t>
            </w:r>
          </w:p>
        </w:tc>
        <w:tc>
          <w:tcPr>
            <w:tcW w:w="0" w:type="auto"/>
            <w:vAlign w:val="center"/>
          </w:tcPr>
          <w:p>
            <w:pPr>
              <w:rPr>
                <w:rFonts w:ascii="宋体" w:hAnsi="宋体"/>
              </w:rPr>
            </w:pPr>
            <w:r>
              <w:rPr>
                <w:rFonts w:ascii="宋体" w:hAnsi="宋体"/>
              </w:rPr>
              <w:t>质押</w:t>
            </w:r>
          </w:p>
        </w:tc>
        <w:tc>
          <w:tcPr>
            <w:tcW w:w="0" w:type="auto"/>
            <w:vAlign w:val="center"/>
          </w:tcPr>
          <w:p>
            <w:pPr>
              <w:rPr>
                <w:rFonts w:ascii="宋体" w:hAnsi="宋体"/>
              </w:rPr>
            </w:pPr>
            <w:r>
              <w:rPr>
                <w:rFonts w:hint="eastAsia" w:ascii="宋体" w:hAnsi="宋体"/>
              </w:rPr>
              <w:t>附注七、</w:t>
            </w:r>
            <w:r>
              <w:rPr>
                <w:rFonts w:ascii="宋体" w:hAnsi="宋体"/>
              </w:rPr>
              <w:t>45</w:t>
            </w:r>
          </w:p>
        </w:tc>
        <w:tc>
          <w:tcPr>
            <w:tcW w:w="0" w:type="auto"/>
            <w:vAlign w:val="center"/>
          </w:tcPr>
          <w:p>
            <w:pPr>
              <w:jc w:val="right"/>
              <w:rPr>
                <w:rFonts w:ascii="宋体" w:hAnsi="宋体"/>
              </w:rPr>
            </w:pPr>
            <w:r>
              <w:rPr>
                <w:rFonts w:hint="eastAsia" w:ascii="宋体" w:hAnsi="宋体"/>
              </w:rPr>
              <w:t>5,114,054</w:t>
            </w:r>
          </w:p>
        </w:tc>
        <w:tc>
          <w:tcPr>
            <w:tcW w:w="0" w:type="auto"/>
            <w:vAlign w:val="center"/>
          </w:tcPr>
          <w:p>
            <w:pPr>
              <w:jc w:val="right"/>
              <w:rPr>
                <w:rFonts w:ascii="宋体" w:hAnsi="宋体"/>
              </w:rPr>
            </w:pPr>
            <w:r>
              <w:rPr>
                <w:rFonts w:hint="eastAsia" w:ascii="宋体" w:hAnsi="宋体"/>
              </w:rPr>
              <w:t>5,114,054</w:t>
            </w:r>
          </w:p>
        </w:tc>
        <w:tc>
          <w:tcPr>
            <w:tcW w:w="0" w:type="auto"/>
            <w:vAlign w:val="center"/>
          </w:tcPr>
          <w:p>
            <w:pPr>
              <w:rPr>
                <w:rFonts w:ascii="宋体" w:hAnsi="宋体"/>
              </w:rPr>
            </w:pPr>
            <w:r>
              <w:rPr>
                <w:rFonts w:ascii="宋体" w:hAnsi="宋体"/>
              </w:rPr>
              <w:t>质押</w:t>
            </w:r>
          </w:p>
        </w:tc>
        <w:tc>
          <w:tcPr>
            <w:tcW w:w="0" w:type="auto"/>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ascii="宋体" w:hAnsi="宋体"/>
              </w:rPr>
            </w:pPr>
            <w:r>
              <w:rPr>
                <w:rFonts w:hint="eastAsia" w:ascii="宋体" w:hAnsi="宋体"/>
              </w:rPr>
              <w:t>普力马煤矿总资产</w:t>
            </w:r>
          </w:p>
        </w:tc>
        <w:tc>
          <w:tcPr>
            <w:tcW w:w="0" w:type="auto"/>
            <w:vAlign w:val="center"/>
          </w:tcPr>
          <w:p>
            <w:pPr>
              <w:jc w:val="right"/>
              <w:rPr>
                <w:rFonts w:ascii="宋体" w:hAnsi="宋体"/>
              </w:rPr>
            </w:pPr>
            <w:r>
              <w:rPr>
                <w:rFonts w:hint="eastAsia" w:ascii="宋体" w:hAnsi="宋体"/>
              </w:rPr>
              <w:t>9,435,276</w:t>
            </w:r>
          </w:p>
        </w:tc>
        <w:tc>
          <w:tcPr>
            <w:tcW w:w="0" w:type="auto"/>
            <w:vAlign w:val="center"/>
          </w:tcPr>
          <w:p>
            <w:pPr>
              <w:jc w:val="right"/>
              <w:rPr>
                <w:rFonts w:ascii="宋体" w:hAnsi="宋体"/>
              </w:rPr>
            </w:pPr>
            <w:r>
              <w:rPr>
                <w:rFonts w:hint="eastAsia" w:ascii="宋体" w:hAnsi="宋体"/>
              </w:rPr>
              <w:t>9,435,276</w:t>
            </w:r>
          </w:p>
        </w:tc>
        <w:tc>
          <w:tcPr>
            <w:tcW w:w="0" w:type="auto"/>
            <w:vAlign w:val="center"/>
          </w:tcPr>
          <w:p>
            <w:pPr>
              <w:rPr>
                <w:rFonts w:ascii="宋体" w:hAnsi="宋体"/>
              </w:rPr>
            </w:pPr>
            <w:r>
              <w:rPr>
                <w:rFonts w:ascii="宋体" w:hAnsi="宋体"/>
              </w:rPr>
              <w:t>抵押</w:t>
            </w:r>
          </w:p>
        </w:tc>
        <w:tc>
          <w:tcPr>
            <w:tcW w:w="0" w:type="auto"/>
            <w:vAlign w:val="center"/>
          </w:tcPr>
          <w:p>
            <w:pPr>
              <w:rPr>
                <w:rFonts w:ascii="宋体" w:hAnsi="宋体"/>
              </w:rPr>
            </w:pPr>
            <w:r>
              <w:rPr>
                <w:rFonts w:hint="eastAsia" w:ascii="宋体" w:hAnsi="宋体"/>
              </w:rPr>
              <w:t>附注七、</w:t>
            </w:r>
            <w:r>
              <w:rPr>
                <w:rFonts w:ascii="宋体" w:hAnsi="宋体"/>
              </w:rPr>
              <w:t>45</w:t>
            </w:r>
          </w:p>
        </w:tc>
        <w:tc>
          <w:tcPr>
            <w:tcW w:w="0" w:type="auto"/>
            <w:vAlign w:val="center"/>
          </w:tcPr>
          <w:p>
            <w:pPr>
              <w:jc w:val="right"/>
              <w:rPr>
                <w:rFonts w:ascii="宋体" w:hAnsi="宋体"/>
              </w:rPr>
            </w:pPr>
            <w:r>
              <w:rPr>
                <w:rFonts w:hint="eastAsia" w:ascii="宋体" w:hAnsi="宋体"/>
              </w:rPr>
              <w:t>7,217,107</w:t>
            </w:r>
          </w:p>
        </w:tc>
        <w:tc>
          <w:tcPr>
            <w:tcW w:w="0" w:type="auto"/>
            <w:vAlign w:val="center"/>
          </w:tcPr>
          <w:p>
            <w:pPr>
              <w:jc w:val="right"/>
              <w:rPr>
                <w:rFonts w:ascii="宋体" w:hAnsi="宋体"/>
              </w:rPr>
            </w:pPr>
            <w:r>
              <w:rPr>
                <w:rFonts w:hint="eastAsia" w:ascii="宋体" w:hAnsi="宋体"/>
              </w:rPr>
              <w:t>7,217,107</w:t>
            </w:r>
          </w:p>
        </w:tc>
        <w:tc>
          <w:tcPr>
            <w:tcW w:w="0" w:type="auto"/>
            <w:vAlign w:val="center"/>
          </w:tcPr>
          <w:p>
            <w:pPr>
              <w:rPr>
                <w:rFonts w:ascii="宋体" w:hAnsi="宋体"/>
              </w:rPr>
            </w:pPr>
            <w:r>
              <w:rPr>
                <w:rFonts w:ascii="宋体" w:hAnsi="宋体"/>
              </w:rPr>
              <w:t>抵押</w:t>
            </w:r>
          </w:p>
        </w:tc>
        <w:tc>
          <w:tcPr>
            <w:tcW w:w="0" w:type="auto"/>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ascii="宋体" w:hAnsi="宋体"/>
              </w:rPr>
            </w:pPr>
            <w:r>
              <w:rPr>
                <w:rFonts w:hint="eastAsia" w:ascii="宋体" w:hAnsi="宋体"/>
              </w:rPr>
              <w:t>兖煤澳大利亚有限公司净资产</w:t>
            </w:r>
          </w:p>
        </w:tc>
        <w:tc>
          <w:tcPr>
            <w:tcW w:w="0" w:type="auto"/>
            <w:vAlign w:val="center"/>
          </w:tcPr>
          <w:p>
            <w:pPr>
              <w:jc w:val="right"/>
              <w:rPr>
                <w:rFonts w:ascii="宋体" w:hAnsi="宋体"/>
              </w:rPr>
            </w:pPr>
            <w:r>
              <w:rPr>
                <w:rFonts w:hint="eastAsia" w:ascii="宋体" w:hAnsi="宋体"/>
              </w:rPr>
              <w:t>8,859,636</w:t>
            </w:r>
          </w:p>
        </w:tc>
        <w:tc>
          <w:tcPr>
            <w:tcW w:w="0" w:type="auto"/>
            <w:vAlign w:val="center"/>
          </w:tcPr>
          <w:p>
            <w:pPr>
              <w:jc w:val="right"/>
              <w:rPr>
                <w:rFonts w:ascii="宋体" w:hAnsi="宋体"/>
              </w:rPr>
            </w:pPr>
            <w:r>
              <w:rPr>
                <w:rFonts w:hint="eastAsia" w:ascii="宋体" w:hAnsi="宋体"/>
              </w:rPr>
              <w:t>8,859,636</w:t>
            </w:r>
          </w:p>
        </w:tc>
        <w:tc>
          <w:tcPr>
            <w:tcW w:w="0" w:type="auto"/>
            <w:vAlign w:val="center"/>
          </w:tcPr>
          <w:p>
            <w:pPr>
              <w:rPr>
                <w:rFonts w:ascii="宋体" w:hAnsi="宋体"/>
              </w:rPr>
            </w:pPr>
            <w:r>
              <w:rPr>
                <w:rFonts w:ascii="宋体" w:hAnsi="宋体"/>
              </w:rPr>
              <w:t>质押</w:t>
            </w:r>
          </w:p>
        </w:tc>
        <w:tc>
          <w:tcPr>
            <w:tcW w:w="0" w:type="auto"/>
            <w:vAlign w:val="center"/>
          </w:tcPr>
          <w:p>
            <w:pPr>
              <w:rPr>
                <w:rFonts w:ascii="宋体" w:hAnsi="宋体"/>
              </w:rPr>
            </w:pPr>
            <w:r>
              <w:rPr>
                <w:rFonts w:hint="eastAsia" w:ascii="宋体" w:hAnsi="宋体"/>
              </w:rPr>
              <w:t>附注七、</w:t>
            </w:r>
            <w:r>
              <w:rPr>
                <w:rFonts w:ascii="宋体" w:hAnsi="宋体"/>
              </w:rPr>
              <w:t>45</w:t>
            </w:r>
          </w:p>
        </w:tc>
        <w:tc>
          <w:tcPr>
            <w:tcW w:w="0" w:type="auto"/>
            <w:vAlign w:val="center"/>
          </w:tcPr>
          <w:p>
            <w:pPr>
              <w:jc w:val="right"/>
              <w:rPr>
                <w:rFonts w:ascii="宋体" w:hAnsi="宋体"/>
              </w:rPr>
            </w:pPr>
            <w:r>
              <w:rPr>
                <w:rFonts w:hint="eastAsia" w:ascii="宋体" w:hAnsi="宋体"/>
              </w:rPr>
              <w:t>8,190,565</w:t>
            </w:r>
          </w:p>
        </w:tc>
        <w:tc>
          <w:tcPr>
            <w:tcW w:w="0" w:type="auto"/>
            <w:vAlign w:val="center"/>
          </w:tcPr>
          <w:p>
            <w:pPr>
              <w:jc w:val="right"/>
              <w:rPr>
                <w:rFonts w:ascii="宋体" w:hAnsi="宋体"/>
              </w:rPr>
            </w:pPr>
            <w:r>
              <w:rPr>
                <w:rFonts w:hint="eastAsia" w:ascii="宋体" w:hAnsi="宋体"/>
              </w:rPr>
              <w:t>8,190,565</w:t>
            </w:r>
          </w:p>
        </w:tc>
        <w:tc>
          <w:tcPr>
            <w:tcW w:w="0" w:type="auto"/>
            <w:vAlign w:val="center"/>
          </w:tcPr>
          <w:p>
            <w:pPr>
              <w:rPr>
                <w:rFonts w:ascii="宋体" w:hAnsi="宋体"/>
              </w:rPr>
            </w:pPr>
            <w:r>
              <w:rPr>
                <w:rFonts w:ascii="宋体" w:hAnsi="宋体"/>
              </w:rPr>
              <w:t>质押</w:t>
            </w:r>
          </w:p>
        </w:tc>
        <w:tc>
          <w:tcPr>
            <w:tcW w:w="0" w:type="auto"/>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ascii="宋体" w:hAnsi="宋体"/>
              </w:rPr>
            </w:pPr>
            <w:r>
              <w:rPr>
                <w:rFonts w:hint="eastAsia" w:ascii="宋体" w:hAnsi="宋体"/>
              </w:rPr>
              <w:t>兖煤澳大利亚资源有限公司与联合煤炭工业有限公司总资产</w:t>
            </w:r>
          </w:p>
        </w:tc>
        <w:tc>
          <w:tcPr>
            <w:tcW w:w="0" w:type="auto"/>
            <w:vAlign w:val="center"/>
          </w:tcPr>
          <w:p>
            <w:pPr>
              <w:jc w:val="right"/>
              <w:rPr>
                <w:rFonts w:ascii="宋体" w:hAnsi="宋体"/>
              </w:rPr>
            </w:pPr>
            <w:r>
              <w:rPr>
                <w:rFonts w:hint="eastAsia" w:ascii="宋体" w:hAnsi="宋体"/>
              </w:rPr>
              <w:t>52,380,353</w:t>
            </w:r>
          </w:p>
        </w:tc>
        <w:tc>
          <w:tcPr>
            <w:tcW w:w="0" w:type="auto"/>
            <w:vAlign w:val="center"/>
          </w:tcPr>
          <w:p>
            <w:pPr>
              <w:jc w:val="right"/>
              <w:rPr>
                <w:rFonts w:ascii="宋体" w:hAnsi="宋体"/>
              </w:rPr>
            </w:pPr>
            <w:r>
              <w:rPr>
                <w:rFonts w:hint="eastAsia" w:ascii="宋体" w:hAnsi="宋体"/>
              </w:rPr>
              <w:t>52,380,353</w:t>
            </w:r>
          </w:p>
        </w:tc>
        <w:tc>
          <w:tcPr>
            <w:tcW w:w="0" w:type="auto"/>
            <w:vAlign w:val="center"/>
          </w:tcPr>
          <w:p>
            <w:pPr>
              <w:rPr>
                <w:rFonts w:ascii="宋体" w:hAnsi="宋体"/>
              </w:rPr>
            </w:pPr>
            <w:r>
              <w:rPr>
                <w:rFonts w:ascii="宋体" w:hAnsi="宋体"/>
              </w:rPr>
              <w:t>抵押</w:t>
            </w:r>
          </w:p>
        </w:tc>
        <w:tc>
          <w:tcPr>
            <w:tcW w:w="0" w:type="auto"/>
            <w:vAlign w:val="center"/>
          </w:tcPr>
          <w:p>
            <w:pPr>
              <w:rPr>
                <w:rFonts w:ascii="宋体" w:hAnsi="宋体"/>
              </w:rPr>
            </w:pPr>
            <w:r>
              <w:rPr>
                <w:rFonts w:hint="eastAsia" w:ascii="宋体" w:hAnsi="宋体"/>
              </w:rPr>
              <w:t>授信额度的抵押</w:t>
            </w:r>
          </w:p>
        </w:tc>
        <w:tc>
          <w:tcPr>
            <w:tcW w:w="0" w:type="auto"/>
            <w:vAlign w:val="center"/>
          </w:tcPr>
          <w:p>
            <w:pPr>
              <w:jc w:val="right"/>
              <w:rPr>
                <w:rFonts w:ascii="宋体" w:hAnsi="宋体"/>
              </w:rPr>
            </w:pPr>
            <w:r>
              <w:rPr>
                <w:rFonts w:hint="eastAsia" w:ascii="宋体" w:hAnsi="宋体"/>
              </w:rPr>
              <w:t>55,389,397</w:t>
            </w:r>
          </w:p>
        </w:tc>
        <w:tc>
          <w:tcPr>
            <w:tcW w:w="0" w:type="auto"/>
            <w:vAlign w:val="center"/>
          </w:tcPr>
          <w:p>
            <w:pPr>
              <w:jc w:val="right"/>
              <w:rPr>
                <w:rFonts w:ascii="宋体" w:hAnsi="宋体"/>
              </w:rPr>
            </w:pPr>
            <w:r>
              <w:rPr>
                <w:rFonts w:ascii="宋体" w:hAnsi="宋体"/>
              </w:rPr>
              <w:t>55,389,397</w:t>
            </w:r>
          </w:p>
        </w:tc>
        <w:tc>
          <w:tcPr>
            <w:tcW w:w="0" w:type="auto"/>
            <w:vAlign w:val="center"/>
          </w:tcPr>
          <w:p>
            <w:pPr>
              <w:rPr>
                <w:rFonts w:ascii="宋体" w:hAnsi="宋体"/>
              </w:rPr>
            </w:pPr>
            <w:r>
              <w:rPr>
                <w:rFonts w:ascii="宋体" w:hAnsi="宋体"/>
              </w:rPr>
              <w:t>抵押</w:t>
            </w:r>
          </w:p>
        </w:tc>
        <w:tc>
          <w:tcPr>
            <w:tcW w:w="0" w:type="auto"/>
            <w:vAlign w:val="center"/>
          </w:tcPr>
          <w:p>
            <w:pPr>
              <w:rPr>
                <w:rFonts w:ascii="宋体" w:hAnsi="宋体"/>
              </w:rPr>
            </w:pPr>
            <w:r>
              <w:rPr>
                <w:rFonts w:hint="eastAsia" w:ascii="宋体" w:hAnsi="宋体"/>
              </w:rPr>
              <w:t>授信额度的抵押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e0721354a5074c9b831f85c82ecbc214"/>
            <w:id w:val="-1306694063"/>
          </w:sdtPr>
          <w:sdtEndPr>
            <w:rPr>
              <w:rFonts w:ascii="宋体" w:hAnsi="宋体"/>
            </w:rPr>
          </w:sdtEndPr>
          <w:sdtContent>
            <w:tc>
              <w:tcPr>
                <w:tcW w:w="0" w:type="auto"/>
              </w:tcPr>
              <w:p>
                <w:pPr>
                  <w:jc w:val="center"/>
                  <w:rPr>
                    <w:rFonts w:ascii="宋体" w:hAnsi="宋体"/>
                  </w:rPr>
                </w:pPr>
                <w:r>
                  <w:rPr>
                    <w:rFonts w:ascii="宋体" w:hAnsi="宋体"/>
                  </w:rPr>
                  <w:t>合计</w:t>
                </w:r>
              </w:p>
            </w:tc>
          </w:sdtContent>
        </w:sdt>
        <w:tc>
          <w:tcPr>
            <w:tcW w:w="0" w:type="auto"/>
            <w:vAlign w:val="center"/>
          </w:tcPr>
          <w:p>
            <w:pPr>
              <w:jc w:val="right"/>
              <w:rPr>
                <w:rFonts w:ascii="宋体" w:hAnsi="宋体"/>
              </w:rPr>
            </w:pPr>
            <w:r>
              <w:rPr>
                <w:rFonts w:hint="eastAsia" w:ascii="宋体" w:hAnsi="宋体"/>
              </w:rPr>
              <w:t>97,712,912</w:t>
            </w:r>
          </w:p>
        </w:tc>
        <w:tc>
          <w:tcPr>
            <w:tcW w:w="0" w:type="auto"/>
            <w:vAlign w:val="center"/>
          </w:tcPr>
          <w:p>
            <w:pPr>
              <w:jc w:val="right"/>
              <w:rPr>
                <w:rFonts w:ascii="宋体" w:hAnsi="宋体"/>
              </w:rPr>
            </w:pPr>
            <w:r>
              <w:rPr>
                <w:rFonts w:hint="eastAsia" w:ascii="宋体" w:hAnsi="宋体"/>
              </w:rPr>
              <w:t>97,711,278</w:t>
            </w:r>
          </w:p>
        </w:tc>
        <w:tc>
          <w:tcPr>
            <w:tcW w:w="0" w:type="auto"/>
          </w:tcPr>
          <w:p>
            <w:pPr>
              <w:jc w:val="center"/>
              <w:rPr>
                <w:rFonts w:ascii="宋体" w:hAnsi="宋体"/>
              </w:rPr>
            </w:pPr>
            <w:r>
              <w:rPr>
                <w:rFonts w:ascii="宋体" w:hAnsi="宋体"/>
              </w:rPr>
              <w:t>/</w:t>
            </w:r>
          </w:p>
        </w:tc>
        <w:tc>
          <w:tcPr>
            <w:tcW w:w="0" w:type="auto"/>
          </w:tcPr>
          <w:p>
            <w:pPr>
              <w:jc w:val="center"/>
              <w:rPr>
                <w:rFonts w:ascii="宋体" w:hAnsi="宋体"/>
              </w:rPr>
            </w:pPr>
            <w:r>
              <w:rPr>
                <w:rFonts w:ascii="宋体" w:hAnsi="宋体"/>
              </w:rPr>
              <w:t>/</w:t>
            </w:r>
          </w:p>
        </w:tc>
        <w:tc>
          <w:tcPr>
            <w:tcW w:w="0" w:type="auto"/>
            <w:vAlign w:val="center"/>
          </w:tcPr>
          <w:p>
            <w:pPr>
              <w:jc w:val="right"/>
              <w:rPr>
                <w:rFonts w:ascii="宋体" w:hAnsi="宋体"/>
              </w:rPr>
            </w:pPr>
            <w:r>
              <w:rPr>
                <w:rFonts w:hint="eastAsia" w:ascii="宋体" w:hAnsi="宋体"/>
              </w:rPr>
              <w:t>103,016,720</w:t>
            </w:r>
          </w:p>
        </w:tc>
        <w:tc>
          <w:tcPr>
            <w:tcW w:w="0" w:type="auto"/>
            <w:vAlign w:val="center"/>
          </w:tcPr>
          <w:p>
            <w:pPr>
              <w:jc w:val="right"/>
              <w:rPr>
                <w:rFonts w:ascii="宋体" w:hAnsi="宋体"/>
              </w:rPr>
            </w:pPr>
            <w:r>
              <w:rPr>
                <w:rFonts w:hint="eastAsia" w:ascii="宋体" w:hAnsi="宋体"/>
              </w:rPr>
              <w:t>103,015,213</w:t>
            </w:r>
          </w:p>
        </w:tc>
        <w:tc>
          <w:tcPr>
            <w:tcW w:w="0" w:type="auto"/>
          </w:tcPr>
          <w:p>
            <w:pPr>
              <w:jc w:val="center"/>
              <w:rPr>
                <w:rFonts w:ascii="宋体" w:hAnsi="宋体"/>
              </w:rPr>
            </w:pPr>
            <w:r>
              <w:rPr>
                <w:rFonts w:ascii="宋体" w:hAnsi="宋体"/>
              </w:rPr>
              <w:t>/</w:t>
            </w:r>
          </w:p>
        </w:tc>
        <w:tc>
          <w:tcPr>
            <w:tcW w:w="0" w:type="auto"/>
          </w:tcPr>
          <w:sdt>
            <w:sdtPr>
              <w:rPr>
                <w:rFonts w:ascii="宋体" w:hAnsi="宋体"/>
              </w:rPr>
              <w:tag w:val="_PLD_86721fd604614267a38c3673af068c13"/>
              <w:id w:val="2067517430"/>
            </w:sdtPr>
            <w:sdtEndPr>
              <w:rPr>
                <w:rFonts w:ascii="宋体" w:hAnsi="宋体"/>
              </w:rPr>
            </w:sdtEndPr>
            <w:sdtContent>
              <w:p>
                <w:pPr>
                  <w:jc w:val="center"/>
                  <w:rPr>
                    <w:rFonts w:ascii="宋体" w:hAnsi="宋体"/>
                  </w:rPr>
                </w:pPr>
                <w:r>
                  <w:rPr>
                    <w:rFonts w:ascii="宋体" w:hAnsi="宋体"/>
                  </w:rPr>
                  <w:t>/</w:t>
                </w:r>
              </w:p>
            </w:sdtContent>
          </w:sdt>
        </w:tc>
      </w:tr>
    </w:tbl>
    <w:p>
      <w:pPr>
        <w:sectPr>
          <w:pgSz w:w="16838" w:h="11906" w:orient="landscape"/>
          <w:pgMar w:top="1276" w:right="1440" w:bottom="1797" w:left="1525" w:header="856" w:footer="992" w:gutter="0"/>
          <w:cols w:space="425" w:num="1"/>
          <w:docGrid w:type="lines" w:linePitch="312" w:charSpace="0"/>
        </w:sectPr>
      </w:pPr>
    </w:p>
    <w:p>
      <w:pPr>
        <w:pStyle w:val="504"/>
        <w:numPr>
          <w:ilvl w:val="0"/>
          <w:numId w:val="69"/>
        </w:numPr>
        <w:tabs>
          <w:tab w:val="left" w:pos="504"/>
        </w:tabs>
        <w:rPr>
          <w:rFonts w:ascii="宋体" w:hAnsi="宋体"/>
          <w:szCs w:val="21"/>
        </w:rPr>
      </w:pPr>
      <w:r>
        <w:rPr>
          <w:rFonts w:hint="eastAsia" w:ascii="宋体" w:hAnsi="宋体"/>
          <w:szCs w:val="21"/>
        </w:rPr>
        <w:t>短期借款</w:t>
      </w:r>
    </w:p>
    <w:p>
      <w:pPr>
        <w:pStyle w:val="505"/>
        <w:numPr>
          <w:ilvl w:val="0"/>
          <w:numId w:val="93"/>
        </w:numPr>
        <w:ind w:left="426" w:hanging="426"/>
      </w:pPr>
      <w:r>
        <w:rPr>
          <w:rFonts w:hint="eastAsia"/>
        </w:rPr>
        <w:t>短期借款分类</w:t>
      </w:r>
    </w:p>
    <w:sdt>
      <w:sdtPr>
        <w:alias w:val="是否适用：短期借款分类[双击切换]"/>
        <w:tag w:val="_GBC_d7624f1054024527b72d59c4122e81cb"/>
        <w:id w:val="-204050114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短期借款分类"/>
          <w:tag w:val="_GBC_8d30fbb8785645499f9234dccd6e5b81"/>
          <w:id w:val="4594571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短期借款分类"/>
          <w:tag w:val="_GBC_f7294c19819e4515b1d98b3d42f8d07c"/>
          <w:id w:val="12658935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69"/>
        <w:gridCol w:w="3004"/>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rPr>
              <w:rFonts w:ascii="宋体" w:hAnsi="宋体"/>
            </w:rPr>
            <w:tag w:val="_PLD_7d518e78e06f4dc9b46aae7b6b47fd01"/>
            <w:id w:val="1915195214"/>
          </w:sdtPr>
          <w:sdtEndPr>
            <w:rPr>
              <w:rFonts w:ascii="宋体" w:hAnsi="宋体"/>
            </w:rPr>
          </w:sdtEndPr>
          <w:sdtContent>
            <w:tc>
              <w:tcPr>
                <w:tcW w:w="1613" w:type="pct"/>
                <w:vAlign w:val="center"/>
              </w:tcPr>
              <w:p>
                <w:pPr>
                  <w:autoSpaceDE w:val="0"/>
                  <w:autoSpaceDN w:val="0"/>
                  <w:adjustRightInd w:val="0"/>
                  <w:snapToGrid w:val="0"/>
                  <w:spacing w:line="240" w:lineRule="atLeast"/>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w:t>
                </w:r>
              </w:p>
            </w:tc>
          </w:sdtContent>
        </w:sdt>
        <w:sdt>
          <w:sdtPr>
            <w:rPr>
              <w:rFonts w:ascii="宋体" w:hAnsi="宋体"/>
            </w:rPr>
            <w:tag w:val="_PLD_cda187315847461e8ed854d1807d3b14"/>
            <w:id w:val="-19865665"/>
          </w:sdtPr>
          <w:sdtEndPr>
            <w:rPr>
              <w:rFonts w:ascii="宋体" w:hAnsi="宋体"/>
            </w:rPr>
          </w:sdtEndPr>
          <w:sdtContent>
            <w:tc>
              <w:tcPr>
                <w:tcW w:w="1689" w:type="pct"/>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期末余额</w:t>
                </w:r>
              </w:p>
            </w:tc>
          </w:sdtContent>
        </w:sdt>
        <w:sdt>
          <w:sdtPr>
            <w:rPr>
              <w:rFonts w:ascii="宋体" w:hAnsi="宋体"/>
            </w:rPr>
            <w:tag w:val="_PLD_805e4b849be14c0ab0ca7f324971119b"/>
            <w:id w:val="385619540"/>
          </w:sdtPr>
          <w:sdtEndPr>
            <w:rPr>
              <w:rFonts w:ascii="宋体" w:hAnsi="宋体"/>
            </w:rPr>
          </w:sdtEndPr>
          <w:sdtContent>
            <w:tc>
              <w:tcPr>
                <w:tcW w:w="1698" w:type="pct"/>
                <w:vAlign w:val="center"/>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pPr>
              <w:autoSpaceDE w:val="0"/>
              <w:autoSpaceDN w:val="0"/>
              <w:adjustRightInd w:val="0"/>
              <w:snapToGrid w:val="0"/>
              <w:spacing w:line="240" w:lineRule="atLeas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信用借款</w:t>
            </w:r>
          </w:p>
        </w:tc>
        <w:tc>
          <w:tcPr>
            <w:tcW w:w="1689" w:type="pct"/>
            <w:shd w:val="clear" w:color="auto" w:fill="auto"/>
          </w:tcPr>
          <w:p>
            <w:pPr>
              <w:autoSpaceDE w:val="0"/>
              <w:autoSpaceDN w:val="0"/>
              <w:adjustRightInd w:val="0"/>
              <w:snapToGrid w:val="0"/>
              <w:spacing w:line="240" w:lineRule="atLeast"/>
              <w:ind w:right="180"/>
              <w:jc w:val="right"/>
              <w:rPr>
                <w:rFonts w:ascii="宋体" w:hAnsi="宋体"/>
              </w:rPr>
            </w:pPr>
            <w:r>
              <w:rPr>
                <w:rFonts w:ascii="宋体" w:hAnsi="宋体"/>
              </w:rPr>
              <w:t>3,415,247</w:t>
            </w:r>
          </w:p>
        </w:tc>
        <w:tc>
          <w:tcPr>
            <w:tcW w:w="1698" w:type="pct"/>
            <w:shd w:val="clear" w:color="auto" w:fill="auto"/>
          </w:tcPr>
          <w:p>
            <w:pPr>
              <w:autoSpaceDE w:val="0"/>
              <w:autoSpaceDN w:val="0"/>
              <w:adjustRightInd w:val="0"/>
              <w:snapToGrid w:val="0"/>
              <w:spacing w:line="240" w:lineRule="atLeast"/>
              <w:ind w:right="180"/>
              <w:jc w:val="right"/>
              <w:rPr>
                <w:rFonts w:ascii="宋体" w:hAnsi="宋体"/>
              </w:rPr>
            </w:pPr>
            <w:r>
              <w:rPr>
                <w:rFonts w:ascii="宋体" w:hAnsi="宋体"/>
              </w:rPr>
              <w:t>2,282,172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pPr>
              <w:autoSpaceDE w:val="0"/>
              <w:autoSpaceDN w:val="0"/>
              <w:adjustRightInd w:val="0"/>
              <w:snapToGrid w:val="0"/>
              <w:spacing w:line="240" w:lineRule="atLeas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保证借款（注2）</w:t>
            </w:r>
          </w:p>
        </w:tc>
        <w:tc>
          <w:tcPr>
            <w:tcW w:w="1689" w:type="pct"/>
            <w:shd w:val="clear" w:color="auto" w:fill="auto"/>
          </w:tcPr>
          <w:p>
            <w:pPr>
              <w:autoSpaceDE w:val="0"/>
              <w:autoSpaceDN w:val="0"/>
              <w:adjustRightInd w:val="0"/>
              <w:snapToGrid w:val="0"/>
              <w:spacing w:line="240" w:lineRule="atLeast"/>
              <w:ind w:right="180"/>
              <w:jc w:val="right"/>
              <w:rPr>
                <w:rFonts w:ascii="宋体" w:hAnsi="宋体"/>
              </w:rPr>
            </w:pPr>
            <w:r>
              <w:rPr>
                <w:rFonts w:ascii="宋体" w:hAnsi="宋体"/>
              </w:rPr>
              <w:t>665,449</w:t>
            </w:r>
          </w:p>
        </w:tc>
        <w:tc>
          <w:tcPr>
            <w:tcW w:w="1698" w:type="pct"/>
            <w:shd w:val="clear" w:color="auto" w:fill="auto"/>
          </w:tcPr>
          <w:p>
            <w:pPr>
              <w:autoSpaceDE w:val="0"/>
              <w:autoSpaceDN w:val="0"/>
              <w:adjustRightInd w:val="0"/>
              <w:snapToGrid w:val="0"/>
              <w:spacing w:line="240" w:lineRule="atLeast"/>
              <w:ind w:right="180"/>
              <w:jc w:val="right"/>
              <w:rPr>
                <w:rFonts w:ascii="宋体" w:hAnsi="宋体"/>
              </w:rPr>
            </w:pPr>
            <w:r>
              <w:rPr>
                <w:rFonts w:ascii="宋体" w:hAnsi="宋体"/>
              </w:rPr>
              <w:t>3,396,366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shd w:val="clear" w:color="auto" w:fill="auto"/>
          </w:tcPr>
          <w:p>
            <w:pPr>
              <w:autoSpaceDE w:val="0"/>
              <w:autoSpaceDN w:val="0"/>
              <w:adjustRightInd w:val="0"/>
              <w:snapToGrid w:val="0"/>
              <w:spacing w:line="240" w:lineRule="atLeas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质押借款</w:t>
            </w:r>
          </w:p>
        </w:tc>
        <w:tc>
          <w:tcPr>
            <w:tcW w:w="1689" w:type="pct"/>
            <w:shd w:val="clear" w:color="auto" w:fill="auto"/>
          </w:tcPr>
          <w:p>
            <w:pPr>
              <w:autoSpaceDE w:val="0"/>
              <w:autoSpaceDN w:val="0"/>
              <w:adjustRightInd w:val="0"/>
              <w:snapToGrid w:val="0"/>
              <w:spacing w:line="240" w:lineRule="atLeast"/>
              <w:ind w:right="180"/>
              <w:jc w:val="right"/>
              <w:rPr>
                <w:rFonts w:ascii="宋体" w:hAnsi="宋体"/>
              </w:rPr>
            </w:pPr>
          </w:p>
        </w:tc>
        <w:tc>
          <w:tcPr>
            <w:tcW w:w="1698" w:type="pct"/>
            <w:shd w:val="clear" w:color="auto" w:fill="auto"/>
          </w:tcPr>
          <w:p>
            <w:pPr>
              <w:autoSpaceDE w:val="0"/>
              <w:autoSpaceDN w:val="0"/>
              <w:adjustRightInd w:val="0"/>
              <w:snapToGrid w:val="0"/>
              <w:spacing w:line="240" w:lineRule="atLeast"/>
              <w:ind w:right="180"/>
              <w:jc w:val="right"/>
              <w:rPr>
                <w:rFonts w:ascii="宋体" w:hAnsi="宋体"/>
              </w:rPr>
            </w:pPr>
            <w:r>
              <w:rPr>
                <w:rFonts w:ascii="宋体" w:hAnsi="宋体"/>
              </w:rPr>
              <w:t>778,311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tc>
          <w:tcPr>
            <w:tcW w:w="1613" w:type="pct"/>
            <w:shd w:val="clear" w:color="auto" w:fill="auto"/>
          </w:tcPr>
          <w:p>
            <w:pPr>
              <w:autoSpaceDE w:val="0"/>
              <w:autoSpaceDN w:val="0"/>
              <w:adjustRightInd w:val="0"/>
              <w:snapToGrid w:val="0"/>
              <w:spacing w:line="240" w:lineRule="atLeas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抵押借款</w:t>
            </w:r>
          </w:p>
        </w:tc>
        <w:tc>
          <w:tcPr>
            <w:tcW w:w="1689" w:type="pct"/>
            <w:shd w:val="clear" w:color="auto" w:fill="auto"/>
          </w:tcPr>
          <w:p>
            <w:pPr>
              <w:autoSpaceDE w:val="0"/>
              <w:autoSpaceDN w:val="0"/>
              <w:adjustRightInd w:val="0"/>
              <w:snapToGrid w:val="0"/>
              <w:spacing w:line="240" w:lineRule="atLeast"/>
              <w:ind w:right="180"/>
              <w:jc w:val="right"/>
              <w:rPr>
                <w:rFonts w:ascii="宋体" w:hAnsi="宋体"/>
              </w:rPr>
            </w:pPr>
          </w:p>
        </w:tc>
        <w:tc>
          <w:tcPr>
            <w:tcW w:w="1698" w:type="pct"/>
            <w:shd w:val="clear" w:color="auto" w:fill="auto"/>
          </w:tcPr>
          <w:p>
            <w:pPr>
              <w:autoSpaceDE w:val="0"/>
              <w:autoSpaceDN w:val="0"/>
              <w:adjustRightInd w:val="0"/>
              <w:snapToGrid w:val="0"/>
              <w:spacing w:line="240" w:lineRule="atLeast"/>
              <w:ind w:right="180"/>
              <w:jc w:val="right"/>
              <w:rPr>
                <w:rFonts w:ascii="宋体" w:hAnsi="宋体"/>
              </w:rPr>
            </w:pPr>
            <w:r>
              <w:rPr>
                <w:rFonts w:ascii="宋体" w:hAnsi="宋体"/>
              </w:rPr>
              <w:t>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tcPr>
          <w:p>
            <w:pPr>
              <w:autoSpaceDE w:val="0"/>
              <w:autoSpaceDN w:val="0"/>
              <w:adjustRightInd w:val="0"/>
              <w:snapToGrid w:val="0"/>
              <w:spacing w:line="240" w:lineRule="atLeast"/>
              <w:rPr>
                <w:rFonts w:ascii="宋体" w:hAnsi="宋体"/>
              </w:rPr>
            </w:pPr>
            <w:r>
              <w:rPr>
                <w:rFonts w:hint="eastAsia" w:ascii="宋体" w:hAnsi="宋体"/>
              </w:rPr>
              <w:t>应付利息</w:t>
            </w:r>
          </w:p>
        </w:tc>
        <w:tc>
          <w:tcPr>
            <w:tcW w:w="1689" w:type="pct"/>
          </w:tcPr>
          <w:p>
            <w:pPr>
              <w:autoSpaceDE w:val="0"/>
              <w:autoSpaceDN w:val="0"/>
              <w:adjustRightInd w:val="0"/>
              <w:snapToGrid w:val="0"/>
              <w:spacing w:line="240" w:lineRule="atLeast"/>
              <w:ind w:right="180"/>
              <w:jc w:val="right"/>
              <w:rPr>
                <w:rFonts w:ascii="宋体" w:hAnsi="宋体"/>
              </w:rPr>
            </w:pPr>
            <w:r>
              <w:rPr>
                <w:rFonts w:ascii="宋体" w:hAnsi="宋体"/>
              </w:rPr>
              <w:t>3,603</w:t>
            </w:r>
          </w:p>
        </w:tc>
        <w:tc>
          <w:tcPr>
            <w:tcW w:w="1698" w:type="pct"/>
          </w:tcPr>
          <w:p>
            <w:pPr>
              <w:autoSpaceDE w:val="0"/>
              <w:autoSpaceDN w:val="0"/>
              <w:adjustRightInd w:val="0"/>
              <w:snapToGrid w:val="0"/>
              <w:spacing w:line="240" w:lineRule="atLeast"/>
              <w:ind w:right="180"/>
              <w:jc w:val="right"/>
              <w:rPr>
                <w:rFonts w:ascii="宋体" w:hAnsi="宋体"/>
              </w:rPr>
            </w:pPr>
            <w:r>
              <w:rPr>
                <w:rFonts w:ascii="宋体" w:hAnsi="宋体"/>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vAlign w:val="center"/>
          </w:tcPr>
          <w:p>
            <w:pPr>
              <w:autoSpaceDE w:val="0"/>
              <w:autoSpaceDN w:val="0"/>
              <w:adjustRightInd w:val="0"/>
              <w:snapToGrid w:val="0"/>
              <w:spacing w:line="240" w:lineRule="atLeast"/>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合计</w:t>
            </w:r>
          </w:p>
        </w:tc>
        <w:tc>
          <w:tcPr>
            <w:tcW w:w="1689" w:type="pct"/>
          </w:tcPr>
          <w:p>
            <w:pPr>
              <w:autoSpaceDE w:val="0"/>
              <w:autoSpaceDN w:val="0"/>
              <w:adjustRightInd w:val="0"/>
              <w:snapToGrid w:val="0"/>
              <w:spacing w:line="240" w:lineRule="atLeast"/>
              <w:ind w:right="180"/>
              <w:jc w:val="right"/>
              <w:rPr>
                <w:rFonts w:ascii="宋体" w:hAnsi="宋体"/>
              </w:rPr>
            </w:pPr>
            <w:r>
              <w:rPr>
                <w:rFonts w:ascii="宋体" w:hAnsi="宋体"/>
              </w:rPr>
              <w:t>4,084,299</w:t>
            </w:r>
          </w:p>
        </w:tc>
        <w:tc>
          <w:tcPr>
            <w:tcW w:w="1698" w:type="pct"/>
          </w:tcPr>
          <w:p>
            <w:pPr>
              <w:autoSpaceDE w:val="0"/>
              <w:autoSpaceDN w:val="0"/>
              <w:adjustRightInd w:val="0"/>
              <w:snapToGrid w:val="0"/>
              <w:spacing w:line="240" w:lineRule="atLeast"/>
              <w:ind w:right="180"/>
              <w:jc w:val="right"/>
              <w:rPr>
                <w:rFonts w:ascii="宋体" w:hAnsi="宋体"/>
              </w:rPr>
            </w:pPr>
            <w:r>
              <w:rPr>
                <w:rFonts w:ascii="宋体" w:hAnsi="宋体"/>
              </w:rPr>
              <w:t>6,486,249</w:t>
            </w:r>
          </w:p>
        </w:tc>
      </w:tr>
    </w:tbl>
    <w:p>
      <w:pPr>
        <w:snapToGrid w:val="0"/>
        <w:spacing w:line="240" w:lineRule="atLeas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短期借款分类的说明：</w:t>
      </w:r>
    </w:p>
    <w:sdt>
      <w:sdtPr>
        <w:rPr>
          <w:rFonts w:ascii="宋体" w:hAnsi="宋体"/>
        </w:rPr>
        <w:alias w:val="短期借款分类的说明"/>
        <w:tag w:val="_GBC_39c88fc069c44763b7ed661bff072142"/>
        <w:id w:val="-801073388"/>
        <w:placeholder>
          <w:docPart w:val="GBC22222222222222222222222222222"/>
        </w:placeholder>
      </w:sdtPr>
      <w:sdtEndPr>
        <w:rPr>
          <w:rFonts w:ascii="宋体" w:hAnsi="宋体"/>
        </w:rPr>
      </w:sdtEndPr>
      <w:sdtContent>
        <w:p>
          <w:pPr>
            <w:snapToGrid w:val="0"/>
            <w:spacing w:line="240" w:lineRule="atLeast"/>
            <w:ind w:firstLine="420" w:firstLineChars="200"/>
            <w:rPr>
              <w:rFonts w:ascii="宋体" w:hAnsi="宋体"/>
            </w:rPr>
          </w:pPr>
          <w:r>
            <w:rPr>
              <w:rFonts w:hint="eastAsia" w:ascii="宋体" w:hAnsi="宋体"/>
            </w:rPr>
            <w:t>注1：短期借款中人民币借款利率在2.40%至4.50%之间，外币美元借款利率在6个月Libor+25BPs至7.03%之间。短期借款中美元借款余额为9,25</w:t>
          </w:r>
          <w:r>
            <w:rPr>
              <w:rFonts w:ascii="宋体" w:hAnsi="宋体"/>
            </w:rPr>
            <w:t>7</w:t>
          </w:r>
          <w:r>
            <w:rPr>
              <w:rFonts w:hint="eastAsia" w:ascii="宋体" w:hAnsi="宋体"/>
            </w:rPr>
            <w:t>千元，折合人民币65,56</w:t>
          </w:r>
          <w:r>
            <w:rPr>
              <w:rFonts w:ascii="宋体" w:hAnsi="宋体"/>
            </w:rPr>
            <w:t>5</w:t>
          </w:r>
          <w:r>
            <w:rPr>
              <w:rFonts w:hint="eastAsia" w:ascii="宋体" w:hAnsi="宋体"/>
            </w:rPr>
            <w:t>千元；</w:t>
          </w:r>
        </w:p>
        <w:p>
          <w:pPr>
            <w:snapToGrid w:val="0"/>
            <w:spacing w:line="240" w:lineRule="atLeast"/>
            <w:ind w:firstLine="420" w:firstLineChars="200"/>
            <w:rPr>
              <w:rFonts w:ascii="宋体" w:hAnsi="宋体"/>
            </w:rPr>
          </w:pPr>
          <w:r>
            <w:rPr>
              <w:rFonts w:hint="eastAsia" w:ascii="宋体" w:hAnsi="宋体"/>
            </w:rPr>
            <w:t>注2：短期借款中的保证借款由3家公司提供担保，其中：69,331千元由本公司提供担保；369,400千元由本公司之子公司鲁西矿业提供担保；226,718千元由浙江省能源集团有限公司提供担保。</w:t>
          </w:r>
        </w:p>
      </w:sdtContent>
    </w:sdt>
    <w:p>
      <w:pPr>
        <w:pStyle w:val="505"/>
        <w:numPr>
          <w:ilvl w:val="0"/>
          <w:numId w:val="93"/>
        </w:numPr>
        <w:ind w:left="426" w:hanging="426"/>
      </w:pPr>
      <w:r>
        <w:rPr>
          <w:rFonts w:hint="eastAsia"/>
        </w:rPr>
        <w:t>已逾期未偿还的短期借款情况</w:t>
      </w:r>
    </w:p>
    <w:sdt>
      <w:sdtPr>
        <w:alias w:val="是否适用：已逾期未偿还的短期借款情况[双击切换]"/>
        <w:tag w:val="_GBC_b92057263cbf4b81a96df7b9d664c576"/>
        <w:id w:val="1235588910"/>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t>其中重要的已逾期未偿还的短期借款情况如下：</w:t>
      </w:r>
    </w:p>
    <w:sdt>
      <w:sdtPr>
        <w:alias w:val="是否适用：其中重要的已逾期未偿还的短期借款情况[双击切换]"/>
        <w:tag w:val="_GBC_7c9437a678604c0382802a3e97f4d126"/>
        <w:id w:val="26065011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其他说明</w:t>
      </w:r>
    </w:p>
    <w:sdt>
      <w:sdtPr>
        <w:alias w:val="是否适用：短期借款的说明[双击切换]"/>
        <w:tag w:val="_GBC_c52256f82238457bbb4708bc99652730"/>
        <w:id w:val="-2137944786"/>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69"/>
        </w:numPr>
        <w:tabs>
          <w:tab w:val="left" w:pos="504"/>
        </w:tabs>
        <w:rPr>
          <w:szCs w:val="21"/>
        </w:rPr>
      </w:pPr>
      <w:r>
        <w:rPr>
          <w:rFonts w:hint="eastAsia"/>
          <w:szCs w:val="21"/>
        </w:rPr>
        <w:t>交易性金融负债</w:t>
      </w:r>
    </w:p>
    <w:sdt>
      <w:sdtPr>
        <w:alias w:val="是否适用：交易性金融负债[双击切换]"/>
        <w:tag w:val="_GBC_c7e98597070f45a4a30160e35e818445"/>
        <w:id w:val="2071465948"/>
        <w:placeholder>
          <w:docPart w:val="GBC22222222222222222222222222222"/>
        </w:placeholder>
      </w:sdtPr>
      <w:sdtContent>
        <w:p>
          <w:pPr>
            <w:pStyle w:val="501"/>
          </w:pPr>
          <w:bookmarkStart w:id="306" w:name="_Hlk533670147"/>
          <w:bookmarkStart w:id="307" w:name="_Hlk533422954"/>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31"/>
      </w:pPr>
      <w:r>
        <w:rPr>
          <w:rFonts w:hint="eastAsia"/>
        </w:rPr>
        <w:t>其他</w:t>
      </w:r>
      <w:r>
        <w:t>说明</w:t>
      </w:r>
      <w:r>
        <w:rPr>
          <w:rFonts w:hint="eastAsia"/>
        </w:rPr>
        <w:t>：</w:t>
      </w:r>
    </w:p>
    <w:sdt>
      <w:sdtPr>
        <w:alias w:val="是否适用：交易性金融负债的说明[双击切换]"/>
        <w:tag w:val="_GBC_995f4c24d1994336b676a94c12f11d69"/>
        <w:id w:val="-1240005573"/>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06"/>
    <w:bookmarkEnd w:id="307"/>
    <w:p>
      <w:pPr>
        <w:pStyle w:val="501"/>
      </w:pPr>
    </w:p>
    <w:p>
      <w:pPr>
        <w:pStyle w:val="504"/>
        <w:numPr>
          <w:ilvl w:val="0"/>
          <w:numId w:val="69"/>
        </w:numPr>
        <w:tabs>
          <w:tab w:val="left" w:pos="504"/>
        </w:tabs>
        <w:rPr>
          <w:szCs w:val="21"/>
        </w:rPr>
      </w:pPr>
      <w:r>
        <w:rPr>
          <w:rFonts w:hint="eastAsia"/>
          <w:szCs w:val="21"/>
        </w:rPr>
        <w:t>衍生</w:t>
      </w:r>
      <w:r>
        <w:rPr>
          <w:rFonts w:hint="eastAsia"/>
        </w:rPr>
        <w:t>金融</w:t>
      </w:r>
      <w:r>
        <w:rPr>
          <w:rFonts w:hint="eastAsia"/>
          <w:szCs w:val="21"/>
        </w:rPr>
        <w:t>负债</w:t>
      </w:r>
    </w:p>
    <w:p>
      <w:pPr>
        <w:pStyle w:val="501"/>
      </w:pPr>
      <w:sdt>
        <w:sdtPr>
          <w:alias w:val="是否适用：衍生金融负债[双击切换]"/>
          <w:tag w:val="_GBC_9a70de9cca174edeb1bce62f4a47d15c"/>
          <w:id w:val="-1861890404"/>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pStyle w:val="501"/>
      </w:pPr>
    </w:p>
    <w:p>
      <w:pPr>
        <w:pStyle w:val="501"/>
      </w:pPr>
    </w:p>
    <w:p>
      <w:pPr>
        <w:pStyle w:val="504"/>
        <w:numPr>
          <w:ilvl w:val="0"/>
          <w:numId w:val="69"/>
        </w:numPr>
        <w:tabs>
          <w:tab w:val="left" w:pos="504"/>
        </w:tabs>
        <w:rPr>
          <w:szCs w:val="21"/>
        </w:rPr>
      </w:pPr>
      <w:r>
        <w:rPr>
          <w:rFonts w:hint="eastAsia"/>
        </w:rPr>
        <w:t>应付票据</w:t>
      </w:r>
    </w:p>
    <w:p>
      <w:pPr>
        <w:pStyle w:val="505"/>
        <w:numPr>
          <w:ilvl w:val="0"/>
          <w:numId w:val="94"/>
        </w:numPr>
        <w:ind w:left="426" w:hanging="426"/>
      </w:pPr>
      <w:r>
        <w:rPr>
          <w:rFonts w:hint="eastAsia"/>
        </w:rPr>
        <w:t>应付票据列示</w:t>
      </w:r>
    </w:p>
    <w:p>
      <w:pPr>
        <w:pStyle w:val="531"/>
        <w:tabs>
          <w:tab w:val="left" w:pos="2410"/>
        </w:tabs>
      </w:pPr>
      <w:sdt>
        <w:sdtPr>
          <w:alias w:val="是否适用：应付票据[双击切换]"/>
          <w:tag w:val="_GBC_c0116f9cd6f34dcfa483a1f112dac85a"/>
          <w:id w:val="-1720588849"/>
          <w:lock w:val="conten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r>
        <w:tab/>
      </w:r>
    </w:p>
    <w:p>
      <w:pPr>
        <w:jc w:val="right"/>
      </w:pPr>
      <w:r>
        <w:rPr>
          <w:rFonts w:hint="eastAsia"/>
        </w:rPr>
        <w:t>单位：</w:t>
      </w:r>
      <w:bookmarkStart w:id="308" w:name="_Hlk24103817"/>
      <w:sdt>
        <w:sdtPr>
          <w:rPr>
            <w:rFonts w:hint="eastAsia"/>
          </w:rPr>
          <w:alias w:val="单位：财务附注：应付票据"/>
          <w:tag w:val="_GBC_15d55f1cad24473fb8cfaa98468213e2"/>
          <w:id w:val="-1831197310"/>
          <w:placeholder>
            <w:docPart w:val="GBC22222222222222222222222222222"/>
          </w:placeholder>
          <w:dataBinding w:prefixMappings="xmlns:clcid-ci-ar='clcid-ci-ar'" w:xpath="/*/clcid-ci-ar:DanWeiCaiWuFuZhuYingFuPiaoJ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应付票据"/>
          <w:tag w:val="_GBC_db171c7622f3432ab2c9c6ae31a7aba7"/>
          <w:id w:val="10647601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351"/>
        <w:gridCol w:w="3397"/>
        <w:gridCol w:w="33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sdt>
          <w:sdtPr>
            <w:tag w:val="_PLD_73e624e5fe424f71bbf918594e2a1c9a"/>
            <w:id w:val="-1372991202"/>
          </w:sdtPr>
          <w:sdtContent>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pPr>
                <w:r>
                  <w:rPr>
                    <w:rFonts w:hint="eastAsia"/>
                  </w:rPr>
                  <w:t>种类</w:t>
                </w:r>
              </w:p>
            </w:tc>
          </w:sdtContent>
        </w:sdt>
        <w:sdt>
          <w:sdtPr>
            <w:tag w:val="_PLD_cca40679bdc548d8af0315d52fd2660e"/>
            <w:id w:val="-900676826"/>
          </w:sdtPr>
          <w:sdtContent>
            <w:tc>
              <w:tcPr>
                <w:tcW w:w="18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pPr>
                <w:r>
                  <w:rPr>
                    <w:rFonts w:hint="eastAsia"/>
                  </w:rPr>
                  <w:t>期末余额</w:t>
                </w:r>
              </w:p>
            </w:tc>
          </w:sdtContent>
        </w:sdt>
        <w:sdt>
          <w:sdtPr>
            <w:tag w:val="_PLD_6429209ce46840dba67a32ae31e71913"/>
            <w:id w:val="-361594548"/>
          </w:sdtPr>
          <w:sdtContent>
            <w:tc>
              <w:tcPr>
                <w:tcW w:w="182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pPr>
                <w:r>
                  <w:rPr>
                    <w:rFonts w:hint="eastAsia"/>
                  </w:rPr>
                  <w:t>期初余额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pPr>
            <w:r>
              <w:rPr>
                <w:rFonts w:hint="eastAsia"/>
              </w:rPr>
              <w:t>银行承兑汇票</w:t>
            </w:r>
          </w:p>
        </w:tc>
        <w:tc>
          <w:tcPr>
            <w:tcW w:w="1877" w:type="pct"/>
            <w:tcBorders>
              <w:top w:val="single" w:color="auto" w:sz="6" w:space="0"/>
              <w:left w:val="single" w:color="auto" w:sz="6" w:space="0"/>
              <w:bottom w:val="single" w:color="auto" w:sz="6" w:space="0"/>
              <w:right w:val="single" w:color="auto" w:sz="6" w:space="0"/>
            </w:tcBorders>
            <w:shd w:val="clear" w:color="auto" w:fill="auto"/>
          </w:tcPr>
          <w:p>
            <w:pPr>
              <w:ind w:right="13"/>
              <w:jc w:val="right"/>
              <w:rPr>
                <w:rFonts w:ascii="宋体" w:hAnsi="宋体"/>
              </w:rPr>
            </w:pPr>
            <w:r>
              <w:rPr>
                <w:rFonts w:ascii="宋体" w:hAnsi="宋体"/>
              </w:rPr>
              <w:t>10,619,383</w:t>
            </w:r>
          </w:p>
        </w:tc>
        <w:tc>
          <w:tcPr>
            <w:tcW w:w="1824"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宋体" w:hAnsi="宋体"/>
              </w:rPr>
            </w:pPr>
            <w:r>
              <w:rPr>
                <w:rFonts w:ascii="宋体" w:hAnsi="宋体"/>
              </w:rPr>
              <w:t>8,426,469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pPr>
            <w:r>
              <w:rPr>
                <w:rFonts w:hint="eastAsia"/>
              </w:rPr>
              <w:t>商业承兑汇票</w:t>
            </w:r>
          </w:p>
        </w:tc>
        <w:tc>
          <w:tcPr>
            <w:tcW w:w="1877" w:type="pct"/>
            <w:tcBorders>
              <w:top w:val="single" w:color="auto" w:sz="6" w:space="0"/>
              <w:left w:val="single" w:color="auto" w:sz="6" w:space="0"/>
              <w:bottom w:val="single" w:color="auto" w:sz="6" w:space="0"/>
              <w:right w:val="single" w:color="auto" w:sz="6" w:space="0"/>
            </w:tcBorders>
            <w:shd w:val="clear" w:color="auto" w:fill="auto"/>
          </w:tcPr>
          <w:p>
            <w:pPr>
              <w:ind w:right="13"/>
              <w:jc w:val="right"/>
              <w:rPr>
                <w:rFonts w:ascii="宋体" w:hAnsi="宋体"/>
              </w:rPr>
            </w:pPr>
            <w:r>
              <w:rPr>
                <w:rFonts w:ascii="宋体" w:hAnsi="宋体"/>
              </w:rPr>
              <w:t>754,950</w:t>
            </w:r>
          </w:p>
        </w:tc>
        <w:tc>
          <w:tcPr>
            <w:tcW w:w="1824"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宋体" w:hAnsi="宋体"/>
              </w:rPr>
            </w:pPr>
            <w:r>
              <w:rPr>
                <w:rFonts w:ascii="宋体" w:hAnsi="宋体"/>
              </w:rPr>
              <w:t>1,186,618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pPr>
            <w:r>
              <w:rPr>
                <w:rFonts w:hint="eastAsia"/>
              </w:rPr>
              <w:t>信用证</w:t>
            </w:r>
          </w:p>
        </w:tc>
        <w:tc>
          <w:tcPr>
            <w:tcW w:w="1877" w:type="pct"/>
            <w:tcBorders>
              <w:top w:val="single" w:color="auto" w:sz="6" w:space="0"/>
              <w:left w:val="single" w:color="auto" w:sz="6" w:space="0"/>
              <w:bottom w:val="single" w:color="auto" w:sz="6" w:space="0"/>
              <w:right w:val="single" w:color="auto" w:sz="6" w:space="0"/>
            </w:tcBorders>
            <w:shd w:val="clear" w:color="auto" w:fill="auto"/>
          </w:tcPr>
          <w:p>
            <w:pPr>
              <w:ind w:right="13"/>
              <w:jc w:val="right"/>
              <w:rPr>
                <w:rFonts w:ascii="宋体" w:hAnsi="宋体"/>
              </w:rPr>
            </w:pPr>
            <w:r>
              <w:rPr>
                <w:rFonts w:ascii="宋体" w:hAnsi="宋体"/>
              </w:rPr>
              <w:t>502,522</w:t>
            </w:r>
          </w:p>
        </w:tc>
        <w:tc>
          <w:tcPr>
            <w:tcW w:w="1824"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宋体" w:hAnsi="宋体"/>
              </w:rPr>
            </w:pPr>
            <w:r>
              <w:rPr>
                <w:rFonts w:ascii="宋体" w:hAnsi="宋体"/>
              </w:rPr>
              <w:t>1,850,958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pPr>
            <w:r>
              <w:rPr>
                <w:rFonts w:hint="eastAsia"/>
              </w:rPr>
              <w:t>合计</w:t>
            </w:r>
          </w:p>
        </w:tc>
        <w:tc>
          <w:tcPr>
            <w:tcW w:w="1877" w:type="pct"/>
            <w:tcBorders>
              <w:top w:val="single" w:color="auto" w:sz="6" w:space="0"/>
              <w:left w:val="single" w:color="auto" w:sz="6" w:space="0"/>
              <w:bottom w:val="single" w:color="auto" w:sz="6" w:space="0"/>
              <w:right w:val="single" w:color="auto" w:sz="6" w:space="0"/>
            </w:tcBorders>
          </w:tcPr>
          <w:p>
            <w:pPr>
              <w:jc w:val="right"/>
              <w:rPr>
                <w:rFonts w:ascii="宋体" w:hAnsi="宋体"/>
              </w:rPr>
            </w:pPr>
            <w:r>
              <w:rPr>
                <w:rFonts w:ascii="宋体" w:hAnsi="宋体"/>
              </w:rPr>
              <w:t>11,876,855</w:t>
            </w:r>
          </w:p>
        </w:tc>
        <w:tc>
          <w:tcPr>
            <w:tcW w:w="1824" w:type="pct"/>
            <w:tcBorders>
              <w:top w:val="single" w:color="auto" w:sz="6" w:space="0"/>
              <w:left w:val="single" w:color="auto" w:sz="6" w:space="0"/>
              <w:bottom w:val="single" w:color="auto" w:sz="6" w:space="0"/>
              <w:right w:val="single" w:color="auto" w:sz="6" w:space="0"/>
            </w:tcBorders>
          </w:tcPr>
          <w:p>
            <w:pPr>
              <w:jc w:val="right"/>
              <w:rPr>
                <w:rFonts w:ascii="宋体" w:hAnsi="宋体"/>
              </w:rPr>
            </w:pPr>
            <w:r>
              <w:rPr>
                <w:rFonts w:ascii="宋体" w:hAnsi="宋体"/>
              </w:rPr>
              <w:t>11,464,045</w:t>
            </w:r>
          </w:p>
        </w:tc>
      </w:tr>
      <w:bookmarkEnd w:id="308"/>
    </w:tbl>
    <w:p>
      <w:pPr>
        <w:pStyle w:val="501"/>
      </w:pPr>
    </w:p>
    <w:p>
      <w:pPr>
        <w:pStyle w:val="504"/>
        <w:numPr>
          <w:ilvl w:val="0"/>
          <w:numId w:val="69"/>
        </w:numPr>
        <w:tabs>
          <w:tab w:val="left" w:pos="504"/>
        </w:tabs>
      </w:pPr>
      <w:r>
        <w:rPr>
          <w:rFonts w:hint="eastAsia"/>
        </w:rPr>
        <w:t>应付账款</w:t>
      </w:r>
    </w:p>
    <w:p>
      <w:pPr>
        <w:pStyle w:val="505"/>
        <w:numPr>
          <w:ilvl w:val="0"/>
          <w:numId w:val="95"/>
        </w:numPr>
        <w:ind w:left="426" w:hanging="426"/>
      </w:pPr>
      <w:r>
        <w:rPr>
          <w:rFonts w:hint="eastAsia"/>
        </w:rPr>
        <w:t>应付账款列示</w:t>
      </w:r>
    </w:p>
    <w:sdt>
      <w:sdtPr>
        <w:alias w:val="是否适用：应付账款列示[双击切换]"/>
        <w:tag w:val="_GBC_dfb190a9e762454c9f89eb6be64b6eae"/>
        <w:id w:val="-1851405348"/>
      </w:sdtPr>
      <w:sdtContent>
        <w:p>
          <w:pPr>
            <w:pStyle w:val="501"/>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账款情况"/>
          <w:tag w:val="_GBC_c14fe17937b74139aa7e100941fb21e9"/>
          <w:id w:val="570783670"/>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应付账款情况"/>
          <w:tag w:val="_GBC_946604b552a44d368399e078594b3226"/>
          <w:id w:val="-34780541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67"/>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8270d78e97cf4a1cb18154c5c5dafe58"/>
            <w:id w:val="962768003"/>
          </w:sdtPr>
          <w:sdtEndPr>
            <w:rPr>
              <w:rFonts w:ascii="宋体" w:hAnsi="宋体"/>
            </w:rPr>
          </w:sdtEndPr>
          <w:sdtContent>
            <w:tc>
              <w:tcPr>
                <w:tcW w:w="1570" w:type="pct"/>
                <w:shd w:val="clear" w:color="auto" w:fill="auto"/>
              </w:tcPr>
              <w:p>
                <w:pPr>
                  <w:jc w:val="center"/>
                  <w:rPr>
                    <w:rFonts w:ascii="宋体" w:hAnsi="宋体"/>
                  </w:rPr>
                </w:pPr>
                <w:r>
                  <w:rPr>
                    <w:rFonts w:hint="eastAsia" w:ascii="宋体" w:hAnsi="宋体"/>
                  </w:rPr>
                  <w:t>项目</w:t>
                </w:r>
              </w:p>
            </w:tc>
          </w:sdtContent>
        </w:sdt>
        <w:sdt>
          <w:sdtPr>
            <w:rPr>
              <w:rFonts w:ascii="宋体" w:hAnsi="宋体"/>
            </w:rPr>
            <w:tag w:val="_PLD_56127cd5754c44aaacae0a1320139a7a"/>
            <w:id w:val="-2044657161"/>
          </w:sdtPr>
          <w:sdtEndPr>
            <w:rPr>
              <w:rFonts w:ascii="宋体" w:hAnsi="宋体"/>
            </w:rPr>
          </w:sdtEndPr>
          <w:sdtContent>
            <w:tc>
              <w:tcPr>
                <w:tcW w:w="1584" w:type="pct"/>
                <w:shd w:val="clear" w:color="auto" w:fill="auto"/>
              </w:tcPr>
              <w:p>
                <w:pPr>
                  <w:jc w:val="center"/>
                  <w:rPr>
                    <w:rFonts w:ascii="宋体" w:hAnsi="宋体"/>
                  </w:rPr>
                </w:pPr>
                <w:r>
                  <w:rPr>
                    <w:rFonts w:hint="eastAsia" w:ascii="宋体" w:hAnsi="宋体"/>
                  </w:rPr>
                  <w:t>期末余额</w:t>
                </w:r>
              </w:p>
            </w:tc>
          </w:sdtContent>
        </w:sdt>
        <w:sdt>
          <w:sdtPr>
            <w:rPr>
              <w:rFonts w:ascii="宋体" w:hAnsi="宋体"/>
            </w:rPr>
            <w:tag w:val="_PLD_27c6d2ca479446539fe00ab23ee1dc13"/>
            <w:id w:val="-1474741917"/>
          </w:sdtPr>
          <w:sdtEndPr>
            <w:rPr>
              <w:rFonts w:ascii="宋体" w:hAnsi="宋体"/>
            </w:rPr>
          </w:sdtEndPr>
          <w:sdtContent>
            <w:tc>
              <w:tcPr>
                <w:tcW w:w="1846" w:type="pct"/>
                <w:shd w:val="clear" w:color="auto" w:fill="auto"/>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8c494311a3a446fa9ed8956bb8a7f277"/>
            <w:id w:val="-819183610"/>
          </w:sdtPr>
          <w:sdtEndPr>
            <w:rPr>
              <w:rFonts w:ascii="宋体" w:hAnsi="宋体"/>
            </w:rPr>
          </w:sdtEndPr>
          <w:sdtContent>
            <w:tc>
              <w:tcPr>
                <w:tcW w:w="1570" w:type="pct"/>
                <w:shd w:val="clear" w:color="auto" w:fill="auto"/>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合计</w:t>
                </w:r>
              </w:p>
            </w:tc>
          </w:sdtContent>
        </w:sdt>
        <w:tc>
          <w:tcPr>
            <w:tcW w:w="1584" w:type="pct"/>
            <w:shd w:val="clear" w:color="auto" w:fill="auto"/>
          </w:tcPr>
          <w:p>
            <w:pPr>
              <w:jc w:val="right"/>
              <w:rPr>
                <w:rFonts w:ascii="宋体" w:hAnsi="宋体"/>
              </w:rPr>
            </w:pPr>
            <w:r>
              <w:rPr>
                <w:rFonts w:ascii="宋体" w:hAnsi="宋体"/>
              </w:rPr>
              <w:t>19,553,007</w:t>
            </w:r>
          </w:p>
        </w:tc>
        <w:tc>
          <w:tcPr>
            <w:tcW w:w="1846" w:type="pct"/>
            <w:shd w:val="clear" w:color="auto" w:fill="auto"/>
          </w:tcPr>
          <w:p>
            <w:pPr>
              <w:jc w:val="right"/>
              <w:rPr>
                <w:rFonts w:ascii="宋体" w:hAnsi="宋体"/>
              </w:rPr>
            </w:pPr>
            <w:r>
              <w:rPr>
                <w:rFonts w:ascii="宋体" w:hAnsi="宋体"/>
              </w:rPr>
              <w:t>23,420,037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jc w:val="center"/>
              <w:rPr>
                <w:rFonts w:ascii="宋体" w:hAnsi="宋体"/>
              </w:rPr>
            </w:pPr>
            <w:r>
              <w:rPr>
                <w:rFonts w:hint="eastAsia" w:ascii="宋体" w:hAnsi="宋体"/>
              </w:rPr>
              <w:t>其中：1年以上</w:t>
            </w:r>
          </w:p>
        </w:tc>
        <w:tc>
          <w:tcPr>
            <w:tcW w:w="1584" w:type="pct"/>
            <w:shd w:val="clear" w:color="auto" w:fill="auto"/>
          </w:tcPr>
          <w:p>
            <w:pPr>
              <w:jc w:val="right"/>
              <w:rPr>
                <w:rFonts w:ascii="宋体" w:hAnsi="宋体"/>
              </w:rPr>
            </w:pPr>
            <w:r>
              <w:rPr>
                <w:rFonts w:ascii="宋体" w:hAnsi="宋体"/>
              </w:rPr>
              <w:t>3,846,121</w:t>
            </w:r>
          </w:p>
        </w:tc>
        <w:tc>
          <w:tcPr>
            <w:tcW w:w="1846" w:type="pct"/>
            <w:shd w:val="clear" w:color="auto" w:fill="auto"/>
          </w:tcPr>
          <w:p>
            <w:pPr>
              <w:jc w:val="right"/>
              <w:rPr>
                <w:rFonts w:ascii="宋体" w:hAnsi="宋体"/>
              </w:rPr>
            </w:pPr>
            <w:r>
              <w:rPr>
                <w:rFonts w:ascii="宋体" w:hAnsi="宋体"/>
              </w:rPr>
              <w:t>3,729,201</w:t>
            </w:r>
          </w:p>
        </w:tc>
      </w:tr>
    </w:tbl>
    <w:p>
      <w:pPr>
        <w:pStyle w:val="501"/>
      </w:pPr>
    </w:p>
    <w:p>
      <w:pPr>
        <w:pStyle w:val="501"/>
      </w:pPr>
    </w:p>
    <w:p>
      <w:pPr>
        <w:pStyle w:val="505"/>
        <w:numPr>
          <w:ilvl w:val="0"/>
          <w:numId w:val="95"/>
        </w:numPr>
        <w:ind w:left="426" w:hanging="426"/>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2079164538"/>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账龄超过1年的应付账款"/>
          <w:tag w:val="_GBC_400afb873eea4650b57e850422f00616"/>
          <w:id w:val="2340534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重要的账龄超过1年的应付账款"/>
          <w:tag w:val="_GBC_e8618ecbab754a8a9213d0e97303efbc"/>
          <w:id w:val="456839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2827"/>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fdad43e863d14167af7eeaf4873d2a72"/>
            <w:id w:val="-1920557648"/>
          </w:sdtPr>
          <w:sdtEndPr>
            <w:rPr>
              <w:rFonts w:ascii="宋体" w:hAnsi="宋体"/>
            </w:rPr>
          </w:sdtEndPr>
          <w:sdtContent>
            <w:tc>
              <w:tcPr>
                <w:tcW w:w="1814" w:type="pc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cd3e87440a294e4685cb5994a6fce19b"/>
            <w:id w:val="-297064512"/>
          </w:sdtPr>
          <w:sdtEndPr>
            <w:rPr>
              <w:rFonts w:ascii="宋体" w:hAnsi="宋体"/>
            </w:rPr>
          </w:sdtEndPr>
          <w:sdtContent>
            <w:tc>
              <w:tcPr>
                <w:tcW w:w="1562" w:type="pct"/>
                <w:shd w:val="clear" w:color="auto" w:fill="auto"/>
                <w:vAlign w:val="center"/>
              </w:tcPr>
              <w:p>
                <w:pPr>
                  <w:jc w:val="center"/>
                  <w:rPr>
                    <w:rFonts w:ascii="宋体" w:hAnsi="宋体"/>
                  </w:rPr>
                </w:pPr>
                <w:r>
                  <w:rPr>
                    <w:rFonts w:hint="eastAsia" w:ascii="宋体" w:hAnsi="宋体"/>
                  </w:rPr>
                  <w:t>期末余额</w:t>
                </w:r>
              </w:p>
            </w:tc>
          </w:sdtContent>
        </w:sdt>
        <w:sdt>
          <w:sdtPr>
            <w:rPr>
              <w:rFonts w:ascii="宋体" w:hAnsi="宋体"/>
            </w:rPr>
            <w:tag w:val="_PLD_3948dc08dbd84dbd875d1bd042c28c03"/>
            <w:id w:val="1005330367"/>
          </w:sdtPr>
          <w:sdtEndPr>
            <w:rPr>
              <w:rFonts w:ascii="宋体" w:hAnsi="宋体"/>
            </w:rPr>
          </w:sdtEndPr>
          <w:sdtContent>
            <w:tc>
              <w:tcPr>
                <w:tcW w:w="1624" w:type="pct"/>
                <w:shd w:val="clear" w:color="auto" w:fill="auto"/>
                <w:vAlign w:val="center"/>
              </w:tcPr>
              <w:p>
                <w:pPr>
                  <w:jc w:val="center"/>
                  <w:rPr>
                    <w:rFonts w:ascii="宋体" w:hAnsi="宋体"/>
                  </w:rPr>
                </w:pPr>
                <w:r>
                  <w:rPr>
                    <w:rFonts w:hint="eastAsia" w:ascii="宋体" w:hAnsi="宋体"/>
                  </w:rPr>
                  <w:t>未偿还或结转的原因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rPr>
                <w:rFonts w:ascii="宋体" w:hAnsi="宋体"/>
              </w:rPr>
            </w:pPr>
            <w:r>
              <w:rPr>
                <w:rFonts w:hint="eastAsia" w:ascii="宋体" w:hAnsi="宋体"/>
              </w:rPr>
              <w:t>公司1</w:t>
            </w:r>
          </w:p>
        </w:tc>
        <w:tc>
          <w:tcPr>
            <w:tcW w:w="1562" w:type="pct"/>
            <w:shd w:val="clear" w:color="auto" w:fill="auto"/>
            <w:vAlign w:val="center"/>
          </w:tcPr>
          <w:p>
            <w:pPr>
              <w:jc w:val="right"/>
              <w:rPr>
                <w:rFonts w:ascii="宋体" w:hAnsi="宋体"/>
              </w:rPr>
            </w:pPr>
            <w:r>
              <w:rPr>
                <w:rFonts w:ascii="宋体" w:hAnsi="宋体"/>
              </w:rPr>
              <w:t>247,473</w:t>
            </w:r>
          </w:p>
        </w:tc>
        <w:tc>
          <w:tcPr>
            <w:tcW w:w="1624" w:type="pct"/>
            <w:shd w:val="clear" w:color="auto" w:fill="auto"/>
            <w:vAlign w:val="center"/>
          </w:tcPr>
          <w:p>
            <w:pPr>
              <w:rPr>
                <w:rFonts w:ascii="宋体" w:hAnsi="宋体"/>
              </w:rPr>
            </w:pPr>
            <w:r>
              <w:rPr>
                <w:rFonts w:hint="eastAsia" w:ascii="宋体" w:hAnsi="宋体"/>
              </w:rPr>
              <w:t>尚未结算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vAlign w:val="center"/>
          </w:tcPr>
          <w:p>
            <w:pPr>
              <w:rPr>
                <w:rFonts w:ascii="宋体" w:hAnsi="宋体"/>
              </w:rPr>
            </w:pPr>
            <w:r>
              <w:rPr>
                <w:rFonts w:hint="eastAsia" w:ascii="宋体" w:hAnsi="宋体"/>
              </w:rPr>
              <w:t>公司</w:t>
            </w:r>
            <w:r>
              <w:rPr>
                <w:rFonts w:ascii="宋体" w:hAnsi="宋体"/>
              </w:rPr>
              <w:t>2</w:t>
            </w:r>
          </w:p>
        </w:tc>
        <w:tc>
          <w:tcPr>
            <w:tcW w:w="1562" w:type="pct"/>
            <w:shd w:val="clear" w:color="auto" w:fill="auto"/>
            <w:vAlign w:val="center"/>
          </w:tcPr>
          <w:p>
            <w:pPr>
              <w:jc w:val="right"/>
              <w:rPr>
                <w:rFonts w:ascii="宋体" w:hAnsi="宋体"/>
              </w:rPr>
            </w:pPr>
            <w:r>
              <w:rPr>
                <w:rFonts w:hint="eastAsia" w:ascii="宋体" w:hAnsi="宋体"/>
              </w:rPr>
              <w:t>229,672</w:t>
            </w:r>
          </w:p>
        </w:tc>
        <w:tc>
          <w:tcPr>
            <w:tcW w:w="1624" w:type="pct"/>
            <w:shd w:val="clear" w:color="auto" w:fill="auto"/>
            <w:vAlign w:val="center"/>
          </w:tcPr>
          <w:p>
            <w:pPr>
              <w:rPr>
                <w:rFonts w:ascii="宋体" w:hAnsi="宋体"/>
              </w:rPr>
            </w:pPr>
            <w:r>
              <w:rPr>
                <w:rFonts w:hint="eastAsia" w:ascii="宋体" w:hAnsi="宋体"/>
              </w:rPr>
              <w:t>尚未结算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vAlign w:val="center"/>
          </w:tcPr>
          <w:p>
            <w:pPr>
              <w:rPr>
                <w:rFonts w:ascii="宋体" w:hAnsi="宋体"/>
              </w:rPr>
            </w:pPr>
            <w:r>
              <w:rPr>
                <w:rFonts w:hint="eastAsia" w:ascii="宋体" w:hAnsi="宋体"/>
              </w:rPr>
              <w:t>公司</w:t>
            </w:r>
            <w:r>
              <w:rPr>
                <w:rFonts w:ascii="宋体" w:hAnsi="宋体"/>
              </w:rPr>
              <w:t>3</w:t>
            </w:r>
          </w:p>
        </w:tc>
        <w:tc>
          <w:tcPr>
            <w:tcW w:w="1562" w:type="pct"/>
            <w:shd w:val="clear" w:color="auto" w:fill="auto"/>
            <w:vAlign w:val="center"/>
          </w:tcPr>
          <w:p>
            <w:pPr>
              <w:jc w:val="right"/>
              <w:rPr>
                <w:rFonts w:ascii="宋体" w:hAnsi="宋体"/>
              </w:rPr>
            </w:pPr>
            <w:r>
              <w:rPr>
                <w:rFonts w:hint="eastAsia" w:ascii="宋体" w:hAnsi="宋体"/>
              </w:rPr>
              <w:t>176,457</w:t>
            </w:r>
          </w:p>
        </w:tc>
        <w:tc>
          <w:tcPr>
            <w:tcW w:w="1624" w:type="pct"/>
            <w:shd w:val="clear" w:color="auto" w:fill="auto"/>
            <w:vAlign w:val="center"/>
          </w:tcPr>
          <w:p>
            <w:pPr>
              <w:rPr>
                <w:rFonts w:ascii="宋体" w:hAnsi="宋体"/>
              </w:rPr>
            </w:pPr>
            <w:r>
              <w:rPr>
                <w:rFonts w:hint="eastAsia" w:ascii="宋体" w:hAnsi="宋体"/>
              </w:rPr>
              <w:t>尚未结算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vAlign w:val="center"/>
          </w:tcPr>
          <w:p>
            <w:pPr>
              <w:rPr>
                <w:rFonts w:ascii="宋体" w:hAnsi="宋体"/>
              </w:rPr>
            </w:pPr>
            <w:r>
              <w:rPr>
                <w:rFonts w:hint="eastAsia" w:ascii="宋体" w:hAnsi="宋体"/>
              </w:rPr>
              <w:t>公司4</w:t>
            </w:r>
          </w:p>
        </w:tc>
        <w:tc>
          <w:tcPr>
            <w:tcW w:w="1562" w:type="pct"/>
            <w:shd w:val="clear" w:color="auto" w:fill="auto"/>
            <w:vAlign w:val="center"/>
          </w:tcPr>
          <w:p>
            <w:pPr>
              <w:jc w:val="right"/>
              <w:rPr>
                <w:rFonts w:ascii="宋体" w:hAnsi="宋体"/>
              </w:rPr>
            </w:pPr>
            <w:r>
              <w:rPr>
                <w:rFonts w:hint="eastAsia" w:ascii="宋体" w:hAnsi="宋体"/>
              </w:rPr>
              <w:t>118,687</w:t>
            </w:r>
          </w:p>
        </w:tc>
        <w:tc>
          <w:tcPr>
            <w:tcW w:w="1624" w:type="pct"/>
            <w:shd w:val="clear" w:color="auto" w:fill="auto"/>
            <w:vAlign w:val="center"/>
          </w:tcPr>
          <w:p>
            <w:pPr>
              <w:rPr>
                <w:rFonts w:ascii="宋体" w:hAnsi="宋体"/>
              </w:rPr>
            </w:pPr>
            <w:r>
              <w:rPr>
                <w:rFonts w:hint="eastAsia" w:ascii="宋体" w:hAnsi="宋体"/>
              </w:rPr>
              <w:t>尚未结算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vAlign w:val="center"/>
          </w:tcPr>
          <w:p>
            <w:pPr>
              <w:rPr>
                <w:rFonts w:ascii="宋体" w:hAnsi="宋体"/>
              </w:rPr>
            </w:pPr>
            <w:r>
              <w:rPr>
                <w:rFonts w:hint="eastAsia" w:ascii="宋体" w:hAnsi="宋体"/>
              </w:rPr>
              <w:t>公司5</w:t>
            </w:r>
          </w:p>
        </w:tc>
        <w:tc>
          <w:tcPr>
            <w:tcW w:w="1562" w:type="pct"/>
            <w:shd w:val="clear" w:color="auto" w:fill="auto"/>
            <w:vAlign w:val="center"/>
          </w:tcPr>
          <w:p>
            <w:pPr>
              <w:jc w:val="right"/>
              <w:rPr>
                <w:rFonts w:ascii="宋体" w:hAnsi="宋体"/>
              </w:rPr>
            </w:pPr>
            <w:r>
              <w:rPr>
                <w:rFonts w:hint="eastAsia" w:ascii="宋体" w:hAnsi="宋体"/>
              </w:rPr>
              <w:t>105,681</w:t>
            </w:r>
          </w:p>
        </w:tc>
        <w:tc>
          <w:tcPr>
            <w:tcW w:w="1624" w:type="pct"/>
            <w:shd w:val="clear" w:color="auto" w:fill="auto"/>
            <w:vAlign w:val="center"/>
          </w:tcPr>
          <w:p>
            <w:pPr>
              <w:rPr>
                <w:rFonts w:ascii="宋体" w:hAnsi="宋体"/>
              </w:rPr>
            </w:pPr>
            <w:r>
              <w:rPr>
                <w:rFonts w:hint="eastAsia" w:ascii="宋体" w:hAnsi="宋体"/>
              </w:rPr>
              <w:t>尚未结算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shd w:val="clear" w:color="auto" w:fill="auto"/>
            <w:vAlign w:val="center"/>
          </w:tcPr>
          <w:p>
            <w:pPr>
              <w:jc w:val="center"/>
              <w:rPr>
                <w:rFonts w:ascii="宋体" w:hAnsi="宋体"/>
              </w:rPr>
            </w:pPr>
            <w:r>
              <w:rPr>
                <w:rFonts w:hint="eastAsia" w:ascii="宋体" w:hAnsi="宋体"/>
              </w:rPr>
              <w:t>合计</w:t>
            </w:r>
          </w:p>
        </w:tc>
        <w:tc>
          <w:tcPr>
            <w:tcW w:w="1562" w:type="pct"/>
            <w:shd w:val="clear" w:color="auto" w:fill="auto"/>
            <w:vAlign w:val="center"/>
          </w:tcPr>
          <w:p>
            <w:pPr>
              <w:jc w:val="right"/>
              <w:rPr>
                <w:rFonts w:ascii="宋体" w:hAnsi="宋体"/>
              </w:rPr>
            </w:pPr>
            <w:r>
              <w:rPr>
                <w:rFonts w:ascii="宋体" w:hAnsi="宋体"/>
              </w:rPr>
              <w:t>877,970</w:t>
            </w:r>
          </w:p>
        </w:tc>
        <w:tc>
          <w:tcPr>
            <w:tcW w:w="1624" w:type="pct"/>
            <w:shd w:val="clear" w:color="auto" w:fill="auto"/>
          </w:tcPr>
          <w:p>
            <w:pPr>
              <w:jc w:val="center"/>
              <w:rPr>
                <w:rFonts w:ascii="宋体" w:hAnsi="宋体"/>
              </w:rPr>
            </w:pPr>
            <w:r>
              <w:rPr>
                <w:rFonts w:hint="eastAsia" w:ascii="宋体" w:hAnsi="宋体"/>
              </w:rPr>
              <w:t>/</w:t>
            </w:r>
          </w:p>
        </w:tc>
      </w:tr>
    </w:tbl>
    <w:p>
      <w:pPr>
        <w:pStyle w:val="531"/>
      </w:pPr>
    </w:p>
    <w:p>
      <w:pPr>
        <w:pStyle w:val="501"/>
      </w:pPr>
      <w:r>
        <w:rPr>
          <w:rFonts w:hint="eastAsia"/>
        </w:rPr>
        <w:t>其他说明</w:t>
      </w:r>
    </w:p>
    <w:sdt>
      <w:sdtPr>
        <w:alias w:val="是否适用：应付账款的其他说明[双击切换]"/>
        <w:tag w:val="_GBC_5dc0587a83084b71961a20293aaa95fb"/>
        <w:id w:val="994073554"/>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napToGrid w:val="0"/>
        <w:spacing w:line="240" w:lineRule="atLeast"/>
      </w:pPr>
    </w:p>
    <w:p>
      <w:pPr>
        <w:pStyle w:val="504"/>
        <w:numPr>
          <w:ilvl w:val="0"/>
          <w:numId w:val="69"/>
        </w:numPr>
        <w:tabs>
          <w:tab w:val="left" w:pos="504"/>
        </w:tabs>
        <w:rPr>
          <w:rFonts w:ascii="宋体" w:hAnsi="宋体"/>
          <w:szCs w:val="21"/>
        </w:rPr>
      </w:pPr>
      <w:r>
        <w:rPr>
          <w:rFonts w:hint="eastAsia" w:ascii="宋体" w:hAnsi="宋体"/>
          <w:szCs w:val="21"/>
        </w:rPr>
        <w:t>预收款项</w:t>
      </w:r>
    </w:p>
    <w:p>
      <w:pPr>
        <w:pStyle w:val="505"/>
        <w:numPr>
          <w:ilvl w:val="0"/>
          <w:numId w:val="96"/>
        </w:numPr>
      </w:pPr>
      <w:r>
        <w:rPr>
          <w:rFonts w:hint="eastAsia"/>
        </w:rPr>
        <w:t>预收账款项列示</w:t>
      </w:r>
    </w:p>
    <w:sdt>
      <w:sdtPr>
        <w:alias w:val="是否适用：预收账款项列示[双击切换]"/>
        <w:tag w:val="_GBC_87fabe8d5b22400ca19233d7f82c54fc"/>
        <w:id w:val="-681506837"/>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5"/>
        <w:numPr>
          <w:ilvl w:val="0"/>
          <w:numId w:val="96"/>
        </w:numPr>
      </w:pPr>
      <w:r>
        <w:rPr>
          <w:rFonts w:hint="eastAsia"/>
        </w:rPr>
        <w:t>账龄超过</w:t>
      </w:r>
      <w:r>
        <w:t>1年的重要预收款项</w:t>
      </w:r>
    </w:p>
    <w:sdt>
      <w:sdtPr>
        <w:alias w:val="是否适用：账龄超过1年的重要预收款项[双击切换]"/>
        <w:tag w:val="_GBC_79146ea4ecd2426b824d2bcf21203a69"/>
        <w:id w:val="-4375784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rPr>
          <w:rFonts w:cstheme="minorBidi"/>
        </w:rPr>
      </w:pPr>
    </w:p>
    <w:p>
      <w:pPr>
        <w:pStyle w:val="505"/>
        <w:numPr>
          <w:ilvl w:val="0"/>
          <w:numId w:val="96"/>
        </w:numPr>
        <w:ind w:left="450" w:hanging="450"/>
      </w:pPr>
      <w:r>
        <w:rPr>
          <w:rFonts w:hint="eastAsia"/>
        </w:rPr>
        <w:t>报告期内账面价值发生重大变动的金额和原因</w:t>
      </w:r>
    </w:p>
    <w:sdt>
      <w:sdtPr>
        <w:alias w:val="是否适用：预收款项账面价值发生重大变动的金额和原因?[双击切换]"/>
        <w:tag w:val="_GBC_080f20e9d1b64963a38dcdee1ed191a2"/>
        <w:id w:val="-1092003312"/>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31"/>
      </w:pPr>
      <w:r>
        <w:rPr>
          <w:rFonts w:hint="eastAsia"/>
        </w:rPr>
        <w:t>其他说明</w:t>
      </w:r>
    </w:p>
    <w:sdt>
      <w:sdtPr>
        <w:alias w:val="是否适用：预收账款的其他说明[双击切换]"/>
        <w:tag w:val="_GBC_c0e961ba454e4e2cb91293bde731349d"/>
        <w:id w:val="1873182410"/>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color w:val="000000" w:themeColor="text1"/>
          <w14:textFill>
            <w14:solidFill>
              <w14:schemeClr w14:val="tx1"/>
            </w14:solidFill>
          </w14:textFill>
        </w:rPr>
      </w:pPr>
    </w:p>
    <w:p>
      <w:pPr>
        <w:pStyle w:val="504"/>
        <w:numPr>
          <w:ilvl w:val="0"/>
          <w:numId w:val="69"/>
        </w:numPr>
        <w:tabs>
          <w:tab w:val="left" w:pos="504"/>
        </w:tabs>
        <w:rPr>
          <w:szCs w:val="21"/>
        </w:rPr>
      </w:pPr>
      <w:r>
        <w:rPr>
          <w:rFonts w:hint="eastAsia"/>
          <w:szCs w:val="21"/>
        </w:rPr>
        <w:t>合同负债</w:t>
      </w:r>
    </w:p>
    <w:p>
      <w:pPr>
        <w:pStyle w:val="505"/>
        <w:numPr>
          <w:ilvl w:val="0"/>
          <w:numId w:val="97"/>
        </w:numPr>
      </w:pPr>
      <w:r>
        <w:rPr>
          <w:rFonts w:hint="eastAsia"/>
        </w:rPr>
        <w:t>合同负债情况</w:t>
      </w:r>
    </w:p>
    <w:sdt>
      <w:sdtPr>
        <w:alias w:val="是否适用：合同负债情况[双击切换]"/>
        <w:tag w:val="_GBC_257112066c884c67acfede3a1536844a"/>
        <w:id w:val="1786003944"/>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360"/>
        <w:jc w:val="right"/>
      </w:pPr>
      <w:r>
        <w:rPr>
          <w:rFonts w:hint="eastAsia"/>
        </w:rPr>
        <w:t>单位：</w:t>
      </w:r>
      <w:sdt>
        <w:sdtPr>
          <w:rPr>
            <w:rFonts w:hint="eastAsia"/>
          </w:rPr>
          <w:alias w:val="单位：合同负债情况"/>
          <w:tag w:val="_GBC_ea58ca5e76b74f328a4691ca7c6cc941"/>
          <w:id w:val="-9815290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合同负债情况"/>
          <w:tag w:val="_GBC_58f1908d1f4c48699237bf8c7f3604da"/>
          <w:id w:val="-14501587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c331ae60cae44b02b2a16eccd02434b1"/>
            <w:id w:val="1858918530"/>
          </w:sdtPr>
          <w:sdtEndPr>
            <w:rPr>
              <w:rFonts w:ascii="宋体" w:hAnsi="宋体"/>
            </w:rPr>
          </w:sdtEndPr>
          <w:sdtContent>
            <w:tc>
              <w:tcPr>
                <w:tcW w:w="1601" w:type="pct"/>
                <w:shd w:val="clear" w:color="auto" w:fill="auto"/>
              </w:tcPr>
              <w:p>
                <w:pPr>
                  <w:jc w:val="center"/>
                  <w:rPr>
                    <w:rFonts w:ascii="宋体" w:hAnsi="宋体"/>
                  </w:rPr>
                </w:pPr>
                <w:r>
                  <w:rPr>
                    <w:rFonts w:hint="eastAsia" w:ascii="宋体" w:hAnsi="宋体"/>
                  </w:rPr>
                  <w:t>项目</w:t>
                </w:r>
              </w:p>
            </w:tc>
          </w:sdtContent>
        </w:sdt>
        <w:sdt>
          <w:sdtPr>
            <w:rPr>
              <w:rFonts w:ascii="宋体" w:hAnsi="宋体"/>
            </w:rPr>
            <w:tag w:val="_PLD_1619b2dd861a497cbc814256ed0e2957"/>
            <w:id w:val="1352998649"/>
          </w:sdtPr>
          <w:sdtEndPr>
            <w:rPr>
              <w:rFonts w:ascii="宋体" w:hAnsi="宋体"/>
            </w:rPr>
          </w:sdtEndPr>
          <w:sdtContent>
            <w:tc>
              <w:tcPr>
                <w:tcW w:w="1701" w:type="pct"/>
                <w:shd w:val="clear" w:color="auto" w:fill="auto"/>
                <w:vAlign w:val="center"/>
              </w:tcPr>
              <w:p>
                <w:pPr>
                  <w:autoSpaceDE w:val="0"/>
                  <w:autoSpaceDN w:val="0"/>
                  <w:adjustRightInd w:val="0"/>
                  <w:snapToGrid w:val="0"/>
                  <w:spacing w:line="240" w:lineRule="atLeast"/>
                  <w:jc w:val="center"/>
                  <w:rPr>
                    <w:rFonts w:ascii="宋体" w:hAnsi="宋体"/>
                  </w:rPr>
                </w:pPr>
                <w:r>
                  <w:rPr>
                    <w:rFonts w:hint="eastAsia" w:ascii="宋体" w:hAnsi="宋体"/>
                  </w:rPr>
                  <w:t>期末余额</w:t>
                </w:r>
              </w:p>
            </w:tc>
          </w:sdtContent>
        </w:sdt>
        <w:sdt>
          <w:sdtPr>
            <w:rPr>
              <w:rFonts w:ascii="宋体" w:hAnsi="宋体"/>
            </w:rPr>
            <w:tag w:val="_PLD_6341013bed194ee78619c433ebd01fda"/>
            <w:id w:val="-2028398790"/>
          </w:sdtPr>
          <w:sdtEndPr>
            <w:rPr>
              <w:rFonts w:ascii="宋体" w:hAnsi="宋体"/>
            </w:rPr>
          </w:sdtEndPr>
          <w:sdtContent>
            <w:tc>
              <w:tcPr>
                <w:tcW w:w="1698" w:type="pct"/>
                <w:shd w:val="clear" w:color="auto" w:fill="auto"/>
                <w:vAlign w:val="center"/>
              </w:tcPr>
              <w:p>
                <w:pPr>
                  <w:autoSpaceDE w:val="0"/>
                  <w:autoSpaceDN w:val="0"/>
                  <w:adjustRightInd w:val="0"/>
                  <w:snapToGrid w:val="0"/>
                  <w:spacing w:line="240" w:lineRule="atLeast"/>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rPr>
                <w:rFonts w:ascii="宋体" w:hAnsi="宋体"/>
              </w:rPr>
            </w:pPr>
            <w:r>
              <w:rPr>
                <w:rFonts w:hint="eastAsia" w:ascii="宋体" w:hAnsi="宋体"/>
              </w:rPr>
              <w:t>合计</w:t>
            </w:r>
          </w:p>
        </w:tc>
        <w:tc>
          <w:tcPr>
            <w:tcW w:w="1701" w:type="pct"/>
            <w:shd w:val="clear" w:color="auto" w:fill="auto"/>
          </w:tcPr>
          <w:p>
            <w:pPr>
              <w:jc w:val="right"/>
              <w:rPr>
                <w:rFonts w:ascii="宋体" w:hAnsi="宋体"/>
              </w:rPr>
            </w:pPr>
            <w:r>
              <w:rPr>
                <w:rFonts w:ascii="宋体" w:hAnsi="宋体"/>
              </w:rPr>
              <w:t>5,091,445</w:t>
            </w:r>
          </w:p>
        </w:tc>
        <w:tc>
          <w:tcPr>
            <w:tcW w:w="1698" w:type="pct"/>
            <w:shd w:val="clear" w:color="auto" w:fill="auto"/>
          </w:tcPr>
          <w:p>
            <w:pPr>
              <w:jc w:val="right"/>
              <w:rPr>
                <w:rFonts w:ascii="宋体" w:hAnsi="宋体"/>
              </w:rPr>
            </w:pPr>
            <w:r>
              <w:rPr>
                <w:rFonts w:ascii="宋体" w:hAnsi="宋体"/>
              </w:rPr>
              <w:t>5,085,316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rPr>
                <w:rFonts w:ascii="宋体" w:hAnsi="宋体"/>
              </w:rPr>
            </w:pPr>
            <w:r>
              <w:rPr>
                <w:rFonts w:hint="eastAsia" w:ascii="宋体" w:hAnsi="宋体"/>
              </w:rPr>
              <w:t>其中：1年以上</w:t>
            </w:r>
          </w:p>
        </w:tc>
        <w:tc>
          <w:tcPr>
            <w:tcW w:w="1701" w:type="pct"/>
            <w:shd w:val="clear" w:color="auto" w:fill="auto"/>
          </w:tcPr>
          <w:p>
            <w:pPr>
              <w:jc w:val="right"/>
              <w:rPr>
                <w:rFonts w:ascii="宋体" w:hAnsi="宋体"/>
              </w:rPr>
            </w:pPr>
            <w:r>
              <w:rPr>
                <w:rFonts w:ascii="宋体" w:hAnsi="宋体"/>
              </w:rPr>
              <w:t>173,925</w:t>
            </w:r>
          </w:p>
        </w:tc>
        <w:tc>
          <w:tcPr>
            <w:tcW w:w="1698" w:type="pct"/>
            <w:shd w:val="clear" w:color="auto" w:fill="auto"/>
          </w:tcPr>
          <w:p>
            <w:pPr>
              <w:jc w:val="right"/>
              <w:rPr>
                <w:rFonts w:ascii="宋体" w:hAnsi="宋体"/>
              </w:rPr>
            </w:pPr>
            <w:r>
              <w:rPr>
                <w:rFonts w:ascii="宋体" w:hAnsi="宋体"/>
              </w:rPr>
              <w:t>220,961</w:t>
            </w:r>
          </w:p>
        </w:tc>
      </w:tr>
    </w:tbl>
    <w:p>
      <w:pPr>
        <w:pStyle w:val="531"/>
      </w:pPr>
    </w:p>
    <w:p>
      <w:pPr>
        <w:pStyle w:val="505"/>
        <w:numPr>
          <w:ilvl w:val="0"/>
          <w:numId w:val="97"/>
        </w:numPr>
        <w:ind w:left="450" w:hanging="450"/>
      </w:pPr>
      <w:r>
        <w:rPr>
          <w:rFonts w:hint="eastAsia"/>
        </w:rPr>
        <w:t>账龄超过</w:t>
      </w:r>
      <w:r>
        <w:t>1年的重要合同负债</w:t>
      </w:r>
    </w:p>
    <w:sdt>
      <w:sdtPr>
        <w:alias w:val="是否适用：账龄超过1年的重要合同负债明细[双击切换]"/>
        <w:tag w:val="_GBC_743f27908aba47b4a5755e98b31475ae"/>
        <w:id w:val="1770968278"/>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5"/>
        <w:numPr>
          <w:ilvl w:val="0"/>
          <w:numId w:val="97"/>
        </w:numPr>
      </w:pPr>
      <w:r>
        <w:rPr>
          <w:rFonts w:hint="eastAsia"/>
        </w:rPr>
        <w:t>报告期内账面价值发生重大变动的金额和原因</w:t>
      </w:r>
    </w:p>
    <w:sdt>
      <w:sdtPr>
        <w:alias w:val="是否适用：合同负债账面价值发生重大变动[双击切换]"/>
        <w:tag w:val="_GBC_267fd365085f4836b846799edc8c3765"/>
        <w:id w:val="2067058026"/>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1"/>
      </w:pPr>
      <w:r>
        <w:rPr>
          <w:rFonts w:hint="eastAsia"/>
        </w:rPr>
        <w:t>其他说明：</w:t>
      </w:r>
    </w:p>
    <w:sdt>
      <w:sdtPr>
        <w:alias w:val="是否适用：合同负债其他说明[双击切换]"/>
        <w:tag w:val="_GBC_1c99003b181f47ebb73e6452f4bfa446"/>
        <w:id w:val="-1089616700"/>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4"/>
        <w:numPr>
          <w:ilvl w:val="0"/>
          <w:numId w:val="69"/>
        </w:numPr>
        <w:tabs>
          <w:tab w:val="left" w:pos="504"/>
        </w:tabs>
        <w:rPr>
          <w:rFonts w:ascii="宋体" w:hAnsi="宋体"/>
          <w:szCs w:val="21"/>
        </w:rPr>
      </w:pPr>
      <w:r>
        <w:rPr>
          <w:rFonts w:hint="eastAsia" w:ascii="宋体" w:hAnsi="宋体"/>
          <w:szCs w:val="21"/>
        </w:rPr>
        <w:t>应付职工薪酬</w:t>
      </w:r>
    </w:p>
    <w:p>
      <w:pPr>
        <w:pStyle w:val="505"/>
        <w:numPr>
          <w:ilvl w:val="0"/>
          <w:numId w:val="98"/>
        </w:numPr>
      </w:pPr>
      <w:r>
        <w:rPr>
          <w:rFonts w:hint="eastAsia"/>
        </w:rPr>
        <w:t>应付职工薪酬列示</w:t>
      </w:r>
    </w:p>
    <w:sdt>
      <w:sdtPr>
        <w:alias w:val="是否适用：应付职工薪酬列示[双击切换]"/>
        <w:tag w:val="_GBC_215b41e091df4b2bbb2009fd3c8040b5"/>
        <w:id w:val="-33183429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职工薪酬"/>
          <w:tag w:val="_GBC_6889c0e435324d63b7c01ed595a8e140"/>
          <w:id w:val="20620549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应付职工薪酬"/>
          <w:tag w:val="_GBC_64bcd9de14a14550b941cbdaf7bdc974"/>
          <w:id w:val="-7895072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1361"/>
        <w:gridCol w:w="1357"/>
        <w:gridCol w:w="1361"/>
        <w:gridCol w:w="1388"/>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61dc2d96c64c3fb5d407cdbec097a2"/>
            <w:id w:val="725183526"/>
          </w:sdtPr>
          <w:sdtContent>
            <w:tc>
              <w:tcPr>
                <w:tcW w:w="1300" w:type="pct"/>
                <w:shd w:val="clear" w:color="auto" w:fill="auto"/>
                <w:vAlign w:val="center"/>
              </w:tcPr>
              <w:p>
                <w:pPr>
                  <w:jc w:val="center"/>
                </w:pPr>
                <w:r>
                  <w:rPr>
                    <w:rFonts w:hint="eastAsia"/>
                  </w:rPr>
                  <w:t>项目</w:t>
                </w:r>
              </w:p>
            </w:tc>
          </w:sdtContent>
        </w:sdt>
        <w:sdt>
          <w:sdtPr>
            <w:tag w:val="_PLD_f666739d3c0f4f9891bd8f4974d101ec"/>
            <w:id w:val="1194425874"/>
          </w:sdtPr>
          <w:sdtContent>
            <w:tc>
              <w:tcPr>
                <w:tcW w:w="752" w:type="pct"/>
                <w:shd w:val="clear" w:color="auto" w:fill="auto"/>
                <w:vAlign w:val="center"/>
              </w:tcPr>
              <w:p>
                <w:pPr>
                  <w:jc w:val="center"/>
                </w:pPr>
                <w:r>
                  <w:rPr>
                    <w:rFonts w:hint="eastAsia"/>
                  </w:rPr>
                  <w:t>期初余额</w:t>
                </w:r>
              </w:p>
            </w:tc>
          </w:sdtContent>
        </w:sdt>
        <w:sdt>
          <w:sdtPr>
            <w:tag w:val="_PLD_cc701d3a5a44484d862c996437df1e7d"/>
            <w:id w:val="-954556103"/>
          </w:sdtPr>
          <w:sdtContent>
            <w:tc>
              <w:tcPr>
                <w:tcW w:w="750" w:type="pct"/>
                <w:shd w:val="clear" w:color="auto" w:fill="auto"/>
                <w:vAlign w:val="center"/>
              </w:tcPr>
              <w:p>
                <w:pPr>
                  <w:jc w:val="center"/>
                </w:pPr>
                <w:r>
                  <w:rPr>
                    <w:rFonts w:hint="eastAsia"/>
                  </w:rPr>
                  <w:t>本期增加</w:t>
                </w:r>
              </w:p>
            </w:tc>
          </w:sdtContent>
        </w:sdt>
        <w:sdt>
          <w:sdtPr>
            <w:tag w:val="_PLD_0e8f833fca684ce592b0cba6d04c75ef"/>
            <w:id w:val="1618182528"/>
          </w:sdtPr>
          <w:sdtContent>
            <w:tc>
              <w:tcPr>
                <w:tcW w:w="752" w:type="pct"/>
                <w:shd w:val="clear" w:color="auto" w:fill="auto"/>
                <w:vAlign w:val="center"/>
              </w:tcPr>
              <w:p>
                <w:pPr>
                  <w:jc w:val="center"/>
                </w:pPr>
                <w:r>
                  <w:rPr>
                    <w:rFonts w:hint="eastAsia"/>
                  </w:rPr>
                  <w:t>本期减少</w:t>
                </w:r>
              </w:p>
            </w:tc>
          </w:sdtContent>
        </w:sdt>
        <w:tc>
          <w:tcPr>
            <w:tcW w:w="767" w:type="pct"/>
            <w:shd w:val="clear" w:color="auto" w:fill="auto"/>
            <w:vAlign w:val="center"/>
          </w:tcPr>
          <w:p>
            <w:pPr>
              <w:jc w:val="center"/>
            </w:pPr>
            <w:r>
              <w:rPr>
                <w:rFonts w:hint="eastAsia"/>
              </w:rPr>
              <w:t>外币报表折算差额</w:t>
            </w:r>
          </w:p>
        </w:tc>
        <w:sdt>
          <w:sdtPr>
            <w:tag w:val="_PLD_c39a265e94994f0480d13abd59d3eb39"/>
            <w:id w:val="1716311640"/>
          </w:sdtPr>
          <w:sdtContent>
            <w:tc>
              <w:tcPr>
                <w:tcW w:w="679" w:type="pct"/>
                <w:shd w:val="clear" w:color="auto" w:fill="auto"/>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pct"/>
            <w:shd w:val="clear" w:color="auto" w:fill="auto"/>
          </w:tcPr>
          <w:p>
            <w:pPr>
              <w:rPr>
                <w:rFonts w:ascii="宋体" w:hAnsi="宋体"/>
              </w:rPr>
            </w:pPr>
            <w:r>
              <w:rPr>
                <w:rFonts w:hint="eastAsia" w:ascii="宋体" w:hAnsi="宋体"/>
              </w:rPr>
              <w:t>一、短期薪酬</w:t>
            </w:r>
          </w:p>
        </w:tc>
        <w:tc>
          <w:tcPr>
            <w:tcW w:w="752" w:type="pct"/>
            <w:shd w:val="clear" w:color="auto" w:fill="auto"/>
            <w:vAlign w:val="center"/>
          </w:tcPr>
          <w:p>
            <w:pPr>
              <w:jc w:val="right"/>
              <w:rPr>
                <w:rFonts w:ascii="宋体" w:hAnsi="宋体"/>
              </w:rPr>
            </w:pPr>
            <w:r>
              <w:rPr>
                <w:rFonts w:ascii="宋体" w:hAnsi="宋体"/>
              </w:rPr>
              <w:t>2,716,315</w:t>
            </w:r>
          </w:p>
        </w:tc>
        <w:tc>
          <w:tcPr>
            <w:tcW w:w="750" w:type="pct"/>
            <w:shd w:val="clear" w:color="auto" w:fill="auto"/>
            <w:vAlign w:val="center"/>
          </w:tcPr>
          <w:p>
            <w:pPr>
              <w:jc w:val="right"/>
              <w:rPr>
                <w:rFonts w:ascii="宋体" w:hAnsi="宋体"/>
              </w:rPr>
            </w:pPr>
            <w:r>
              <w:rPr>
                <w:rFonts w:ascii="宋体" w:hAnsi="宋体"/>
              </w:rPr>
              <w:t>19,694,724</w:t>
            </w:r>
          </w:p>
        </w:tc>
        <w:tc>
          <w:tcPr>
            <w:tcW w:w="752" w:type="pct"/>
            <w:shd w:val="clear" w:color="auto" w:fill="auto"/>
            <w:vAlign w:val="center"/>
          </w:tcPr>
          <w:p>
            <w:pPr>
              <w:jc w:val="right"/>
              <w:rPr>
                <w:rFonts w:ascii="宋体" w:hAnsi="宋体"/>
              </w:rPr>
            </w:pPr>
            <w:r>
              <w:rPr>
                <w:rFonts w:ascii="宋体" w:hAnsi="宋体"/>
              </w:rPr>
              <w:t>19,936,368</w:t>
            </w:r>
          </w:p>
        </w:tc>
        <w:tc>
          <w:tcPr>
            <w:tcW w:w="767" w:type="pct"/>
            <w:shd w:val="clear" w:color="auto" w:fill="auto"/>
            <w:vAlign w:val="center"/>
          </w:tcPr>
          <w:p>
            <w:pPr>
              <w:jc w:val="right"/>
              <w:rPr>
                <w:rFonts w:ascii="宋体" w:hAnsi="宋体"/>
              </w:rPr>
            </w:pPr>
            <w:r>
              <w:rPr>
                <w:rFonts w:hint="eastAsia" w:ascii="宋体" w:hAnsi="宋体"/>
              </w:rPr>
              <w:t>20,628</w:t>
            </w:r>
          </w:p>
        </w:tc>
        <w:tc>
          <w:tcPr>
            <w:tcW w:w="679" w:type="pct"/>
            <w:shd w:val="clear" w:color="auto" w:fill="auto"/>
            <w:vAlign w:val="center"/>
          </w:tcPr>
          <w:p>
            <w:pPr>
              <w:jc w:val="right"/>
              <w:rPr>
                <w:rFonts w:ascii="宋体" w:hAnsi="宋体"/>
              </w:rPr>
            </w:pPr>
            <w:r>
              <w:rPr>
                <w:rFonts w:ascii="宋体" w:hAnsi="宋体"/>
              </w:rPr>
              <w:t>2,495,299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shd w:val="clear" w:color="auto" w:fill="auto"/>
          </w:tcPr>
          <w:p>
            <w:pPr>
              <w:rPr>
                <w:rFonts w:ascii="宋体" w:hAnsi="宋体"/>
              </w:rPr>
            </w:pPr>
            <w:r>
              <w:rPr>
                <w:rFonts w:hint="eastAsia" w:ascii="宋体" w:hAnsi="宋体"/>
              </w:rPr>
              <w:t>二、离职后福利-设定提存计划</w:t>
            </w:r>
          </w:p>
        </w:tc>
        <w:tc>
          <w:tcPr>
            <w:tcW w:w="752" w:type="pct"/>
            <w:shd w:val="clear" w:color="auto" w:fill="auto"/>
            <w:vAlign w:val="center"/>
          </w:tcPr>
          <w:p>
            <w:pPr>
              <w:jc w:val="right"/>
              <w:rPr>
                <w:rFonts w:ascii="宋体" w:hAnsi="宋体"/>
              </w:rPr>
            </w:pPr>
            <w:r>
              <w:rPr>
                <w:rFonts w:ascii="宋体" w:hAnsi="宋体"/>
              </w:rPr>
              <w:t>74,788</w:t>
            </w:r>
          </w:p>
        </w:tc>
        <w:tc>
          <w:tcPr>
            <w:tcW w:w="750" w:type="pct"/>
            <w:shd w:val="clear" w:color="auto" w:fill="auto"/>
            <w:vAlign w:val="center"/>
          </w:tcPr>
          <w:p>
            <w:pPr>
              <w:jc w:val="right"/>
              <w:rPr>
                <w:rFonts w:ascii="宋体" w:hAnsi="宋体"/>
              </w:rPr>
            </w:pPr>
            <w:r>
              <w:rPr>
                <w:rFonts w:ascii="宋体" w:hAnsi="宋体"/>
              </w:rPr>
              <w:t>2,476,134</w:t>
            </w:r>
          </w:p>
        </w:tc>
        <w:tc>
          <w:tcPr>
            <w:tcW w:w="752" w:type="pct"/>
            <w:shd w:val="clear" w:color="auto" w:fill="auto"/>
            <w:vAlign w:val="center"/>
          </w:tcPr>
          <w:p>
            <w:pPr>
              <w:jc w:val="right"/>
              <w:rPr>
                <w:rFonts w:ascii="宋体" w:hAnsi="宋体"/>
              </w:rPr>
            </w:pPr>
            <w:r>
              <w:rPr>
                <w:rFonts w:ascii="宋体" w:hAnsi="宋体"/>
              </w:rPr>
              <w:t>2,495,037</w:t>
            </w:r>
          </w:p>
        </w:tc>
        <w:tc>
          <w:tcPr>
            <w:tcW w:w="767" w:type="pct"/>
            <w:shd w:val="clear" w:color="auto" w:fill="auto"/>
            <w:vAlign w:val="center"/>
          </w:tcPr>
          <w:p>
            <w:pPr>
              <w:jc w:val="right"/>
              <w:rPr>
                <w:rFonts w:ascii="宋体" w:hAnsi="宋体"/>
              </w:rPr>
            </w:pPr>
          </w:p>
        </w:tc>
        <w:tc>
          <w:tcPr>
            <w:tcW w:w="679" w:type="pct"/>
            <w:shd w:val="clear" w:color="auto" w:fill="auto"/>
            <w:vAlign w:val="center"/>
          </w:tcPr>
          <w:p>
            <w:pPr>
              <w:jc w:val="right"/>
              <w:rPr>
                <w:rFonts w:ascii="宋体" w:hAnsi="宋体"/>
              </w:rPr>
            </w:pPr>
            <w:r>
              <w:rPr>
                <w:rFonts w:ascii="宋体" w:hAnsi="宋体"/>
              </w:rPr>
              <w:t>55,885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shd w:val="clear" w:color="auto" w:fill="auto"/>
          </w:tcPr>
          <w:p>
            <w:pPr>
              <w:rPr>
                <w:rFonts w:ascii="宋体" w:hAnsi="宋体"/>
              </w:rPr>
            </w:pPr>
            <w:r>
              <w:rPr>
                <w:rFonts w:hint="eastAsia" w:ascii="宋体" w:hAnsi="宋体"/>
              </w:rPr>
              <w:t>三、辞退福利</w:t>
            </w:r>
          </w:p>
        </w:tc>
        <w:tc>
          <w:tcPr>
            <w:tcW w:w="752" w:type="pct"/>
            <w:shd w:val="clear" w:color="auto" w:fill="auto"/>
            <w:vAlign w:val="center"/>
          </w:tcPr>
          <w:p>
            <w:pPr>
              <w:jc w:val="right"/>
              <w:rPr>
                <w:rFonts w:ascii="宋体" w:hAnsi="宋体"/>
              </w:rPr>
            </w:pPr>
          </w:p>
        </w:tc>
        <w:tc>
          <w:tcPr>
            <w:tcW w:w="750" w:type="pct"/>
            <w:shd w:val="clear" w:color="auto" w:fill="auto"/>
            <w:vAlign w:val="center"/>
          </w:tcPr>
          <w:p>
            <w:pPr>
              <w:jc w:val="right"/>
              <w:rPr>
                <w:rFonts w:ascii="宋体" w:hAnsi="宋体"/>
              </w:rPr>
            </w:pPr>
            <w:r>
              <w:rPr>
                <w:rFonts w:hint="eastAsia" w:ascii="宋体" w:hAnsi="宋体"/>
              </w:rPr>
              <w:t>8,529</w:t>
            </w:r>
          </w:p>
        </w:tc>
        <w:tc>
          <w:tcPr>
            <w:tcW w:w="752" w:type="pct"/>
            <w:shd w:val="clear" w:color="auto" w:fill="auto"/>
            <w:vAlign w:val="center"/>
          </w:tcPr>
          <w:p>
            <w:pPr>
              <w:jc w:val="right"/>
              <w:rPr>
                <w:rFonts w:ascii="宋体" w:hAnsi="宋体"/>
              </w:rPr>
            </w:pPr>
            <w:r>
              <w:rPr>
                <w:rFonts w:hint="eastAsia" w:ascii="宋体" w:hAnsi="宋体"/>
              </w:rPr>
              <w:t>8,529</w:t>
            </w:r>
          </w:p>
        </w:tc>
        <w:tc>
          <w:tcPr>
            <w:tcW w:w="767" w:type="pct"/>
            <w:shd w:val="clear" w:color="auto" w:fill="auto"/>
            <w:vAlign w:val="center"/>
          </w:tcPr>
          <w:p>
            <w:pPr>
              <w:jc w:val="right"/>
              <w:rPr>
                <w:rFonts w:ascii="宋体" w:hAnsi="宋体"/>
              </w:rPr>
            </w:pPr>
          </w:p>
        </w:tc>
        <w:tc>
          <w:tcPr>
            <w:tcW w:w="679" w:type="pct"/>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shd w:val="clear" w:color="auto" w:fill="auto"/>
          </w:tcPr>
          <w:p>
            <w:pPr>
              <w:rPr>
                <w:rFonts w:ascii="宋体" w:hAnsi="宋体"/>
              </w:rPr>
            </w:pPr>
            <w:r>
              <w:rPr>
                <w:rFonts w:hint="eastAsia" w:ascii="宋体" w:hAnsi="宋体"/>
              </w:rPr>
              <w:t>四、一年内到期的其他福利</w:t>
            </w:r>
          </w:p>
        </w:tc>
        <w:tc>
          <w:tcPr>
            <w:tcW w:w="752" w:type="pct"/>
            <w:shd w:val="clear" w:color="auto" w:fill="auto"/>
            <w:vAlign w:val="center"/>
          </w:tcPr>
          <w:p>
            <w:pPr>
              <w:jc w:val="right"/>
              <w:rPr>
                <w:rFonts w:ascii="宋体" w:hAnsi="宋体"/>
              </w:rPr>
            </w:pPr>
            <w:r>
              <w:rPr>
                <w:rFonts w:hint="eastAsia" w:ascii="宋体" w:hAnsi="宋体"/>
              </w:rPr>
              <w:t>21,669</w:t>
            </w:r>
          </w:p>
        </w:tc>
        <w:tc>
          <w:tcPr>
            <w:tcW w:w="750" w:type="pct"/>
            <w:shd w:val="clear" w:color="auto" w:fill="auto"/>
            <w:vAlign w:val="center"/>
          </w:tcPr>
          <w:p>
            <w:pPr>
              <w:jc w:val="right"/>
              <w:rPr>
                <w:rFonts w:ascii="宋体" w:hAnsi="宋体"/>
              </w:rPr>
            </w:pPr>
            <w:r>
              <w:rPr>
                <w:rFonts w:hint="eastAsia" w:ascii="宋体" w:hAnsi="宋体"/>
              </w:rPr>
              <w:t>266,186</w:t>
            </w:r>
          </w:p>
        </w:tc>
        <w:tc>
          <w:tcPr>
            <w:tcW w:w="752" w:type="pct"/>
            <w:shd w:val="clear" w:color="auto" w:fill="auto"/>
            <w:vAlign w:val="center"/>
          </w:tcPr>
          <w:p>
            <w:pPr>
              <w:jc w:val="right"/>
              <w:rPr>
                <w:rFonts w:ascii="宋体" w:hAnsi="宋体"/>
              </w:rPr>
            </w:pPr>
            <w:r>
              <w:rPr>
                <w:rFonts w:hint="eastAsia" w:ascii="宋体" w:hAnsi="宋体"/>
              </w:rPr>
              <w:t>263,452</w:t>
            </w:r>
          </w:p>
        </w:tc>
        <w:tc>
          <w:tcPr>
            <w:tcW w:w="767" w:type="pct"/>
            <w:shd w:val="clear" w:color="auto" w:fill="auto"/>
            <w:vAlign w:val="center"/>
          </w:tcPr>
          <w:p>
            <w:pPr>
              <w:jc w:val="right"/>
              <w:rPr>
                <w:rFonts w:ascii="宋体" w:hAnsi="宋体"/>
              </w:rPr>
            </w:pPr>
            <w:r>
              <w:rPr>
                <w:rFonts w:hint="eastAsia" w:ascii="宋体" w:hAnsi="宋体"/>
              </w:rPr>
              <w:t>737</w:t>
            </w:r>
          </w:p>
        </w:tc>
        <w:tc>
          <w:tcPr>
            <w:tcW w:w="679" w:type="pct"/>
            <w:shd w:val="clear" w:color="auto" w:fill="auto"/>
            <w:vAlign w:val="center"/>
          </w:tcPr>
          <w:p>
            <w:pPr>
              <w:jc w:val="right"/>
              <w:rPr>
                <w:rFonts w:ascii="宋体" w:hAnsi="宋体"/>
              </w:rPr>
            </w:pPr>
            <w:r>
              <w:rPr>
                <w:rFonts w:hint="eastAsia" w:ascii="宋体" w:hAnsi="宋体"/>
              </w:rPr>
              <w:t>25,140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pct"/>
            <w:shd w:val="clear" w:color="auto" w:fill="auto"/>
            <w:vAlign w:val="center"/>
          </w:tcPr>
          <w:p>
            <w:pPr>
              <w:jc w:val="center"/>
              <w:rPr>
                <w:rFonts w:ascii="宋体" w:hAnsi="宋体"/>
              </w:rPr>
            </w:pPr>
            <w:r>
              <w:rPr>
                <w:rFonts w:hint="eastAsia" w:ascii="宋体" w:hAnsi="宋体"/>
              </w:rPr>
              <w:t>合计</w:t>
            </w:r>
          </w:p>
        </w:tc>
        <w:tc>
          <w:tcPr>
            <w:tcW w:w="752" w:type="pct"/>
            <w:shd w:val="clear" w:color="auto" w:fill="auto"/>
            <w:vAlign w:val="center"/>
          </w:tcPr>
          <w:p>
            <w:pPr>
              <w:jc w:val="right"/>
              <w:rPr>
                <w:rFonts w:ascii="宋体" w:hAnsi="宋体"/>
              </w:rPr>
            </w:pPr>
            <w:r>
              <w:rPr>
                <w:rFonts w:ascii="宋体" w:hAnsi="宋体"/>
              </w:rPr>
              <w:t>2,812,772</w:t>
            </w:r>
          </w:p>
        </w:tc>
        <w:tc>
          <w:tcPr>
            <w:tcW w:w="750" w:type="pct"/>
            <w:shd w:val="clear" w:color="auto" w:fill="auto"/>
            <w:vAlign w:val="center"/>
          </w:tcPr>
          <w:p>
            <w:pPr>
              <w:jc w:val="right"/>
              <w:rPr>
                <w:rFonts w:ascii="宋体" w:hAnsi="宋体"/>
              </w:rPr>
            </w:pPr>
            <w:r>
              <w:rPr>
                <w:rFonts w:ascii="宋体" w:hAnsi="宋体"/>
              </w:rPr>
              <w:t>22,445,573</w:t>
            </w:r>
          </w:p>
        </w:tc>
        <w:tc>
          <w:tcPr>
            <w:tcW w:w="752" w:type="pct"/>
            <w:shd w:val="clear" w:color="auto" w:fill="auto"/>
            <w:vAlign w:val="center"/>
          </w:tcPr>
          <w:p>
            <w:pPr>
              <w:jc w:val="right"/>
              <w:rPr>
                <w:rFonts w:ascii="宋体" w:hAnsi="宋体"/>
              </w:rPr>
            </w:pPr>
            <w:r>
              <w:rPr>
                <w:rFonts w:ascii="宋体" w:hAnsi="宋体"/>
              </w:rPr>
              <w:t>22,703,386</w:t>
            </w:r>
          </w:p>
        </w:tc>
        <w:tc>
          <w:tcPr>
            <w:tcW w:w="767" w:type="pct"/>
            <w:shd w:val="clear" w:color="auto" w:fill="auto"/>
            <w:vAlign w:val="center"/>
          </w:tcPr>
          <w:p>
            <w:pPr>
              <w:jc w:val="right"/>
              <w:rPr>
                <w:rFonts w:ascii="宋体" w:hAnsi="宋体"/>
              </w:rPr>
            </w:pPr>
            <w:r>
              <w:rPr>
                <w:rFonts w:hint="eastAsia" w:ascii="宋体" w:hAnsi="宋体"/>
              </w:rPr>
              <w:t>21,365</w:t>
            </w:r>
          </w:p>
        </w:tc>
        <w:tc>
          <w:tcPr>
            <w:tcW w:w="679" w:type="pct"/>
            <w:shd w:val="clear" w:color="auto" w:fill="auto"/>
            <w:vAlign w:val="center"/>
          </w:tcPr>
          <w:p>
            <w:pPr>
              <w:jc w:val="right"/>
              <w:rPr>
                <w:rFonts w:ascii="宋体" w:hAnsi="宋体"/>
              </w:rPr>
            </w:pPr>
            <w:r>
              <w:rPr>
                <w:rFonts w:ascii="宋体" w:hAnsi="宋体"/>
              </w:rPr>
              <w:t>2,576,324</w:t>
            </w:r>
          </w:p>
        </w:tc>
      </w:tr>
    </w:tbl>
    <w:p>
      <w:pPr>
        <w:pStyle w:val="501"/>
      </w:pPr>
    </w:p>
    <w:p>
      <w:pPr>
        <w:pStyle w:val="505"/>
        <w:numPr>
          <w:ilvl w:val="0"/>
          <w:numId w:val="98"/>
        </w:numPr>
      </w:pPr>
      <w:r>
        <w:rPr>
          <w:rFonts w:hint="eastAsia"/>
        </w:rPr>
        <w:t>短期薪酬列示</w:t>
      </w:r>
    </w:p>
    <w:sdt>
      <w:sdtPr>
        <w:alias w:val="是否适用：短期薪酬列示[双击切换]"/>
        <w:tag w:val="_GBC_531fef0ef27e47ad98c1bb26abdf204f"/>
        <w:id w:val="165256754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短期薪酬"/>
          <w:tag w:val="_GBC_4710a4978b1b4a4bbcd5757aaf80b8d7"/>
          <w:id w:val="-10347259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短期薪酬"/>
          <w:tag w:val="_GBC_aa08b58287754c0d8fad97e31bacb9e4"/>
          <w:id w:val="-18321212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1363"/>
        <w:gridCol w:w="1345"/>
        <w:gridCol w:w="1359"/>
        <w:gridCol w:w="1403"/>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977153d49ca449b191bb833cd5f689b2"/>
            <w:id w:val="-107741890"/>
          </w:sdtPr>
          <w:sdtContent>
            <w:tc>
              <w:tcPr>
                <w:tcW w:w="130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项目</w:t>
                </w:r>
              </w:p>
            </w:tc>
          </w:sdtContent>
        </w:sdt>
        <w:sdt>
          <w:sdtPr>
            <w:tag w:val="_PLD_557c49ee2a4f40de99f948c76f4c3adc"/>
            <w:id w:val="-1482530748"/>
          </w:sdtPr>
          <w:sdtContent>
            <w:tc>
              <w:tcPr>
                <w:tcW w:w="75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期初余额</w:t>
                </w:r>
              </w:p>
            </w:tc>
          </w:sdtContent>
        </w:sdt>
        <w:sdt>
          <w:sdtPr>
            <w:tag w:val="_PLD_98d1ab48f8084264aff0ef3a30e8ba71"/>
            <w:id w:val="1666127560"/>
          </w:sdtPr>
          <w:sdtContent>
            <w:tc>
              <w:tcPr>
                <w:tcW w:w="743"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本期增加</w:t>
                </w:r>
              </w:p>
            </w:tc>
          </w:sdtContent>
        </w:sdt>
        <w:sdt>
          <w:sdtPr>
            <w:tag w:val="_PLD_e35c4f26db444503b2f9a32896872169"/>
            <w:id w:val="1094521304"/>
          </w:sdtPr>
          <w:sdtContent>
            <w:tc>
              <w:tcPr>
                <w:tcW w:w="751" w:type="pct"/>
                <w:tcBorders>
                  <w:top w:val="single" w:color="auto" w:sz="4" w:space="0"/>
                  <w:left w:val="single" w:color="auto" w:sz="4" w:space="0"/>
                  <w:bottom w:val="single" w:color="auto" w:sz="4" w:space="0"/>
                  <w:right w:val="single" w:color="auto" w:sz="4" w:space="0"/>
                </w:tcBorders>
                <w:vAlign w:val="center"/>
              </w:tcPr>
              <w:p>
                <w:pPr>
                  <w:jc w:val="center"/>
                </w:pPr>
                <w:r>
                  <w:t>本期减少</w:t>
                </w:r>
              </w:p>
            </w:tc>
          </w:sdtContent>
        </w:sdt>
        <w:tc>
          <w:tcPr>
            <w:tcW w:w="775"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外币报表折算差额</w:t>
            </w:r>
          </w:p>
        </w:tc>
        <w:sdt>
          <w:sdtPr>
            <w:tag w:val="_PLD_e67d191300ac43c2b1b07c1beddfe891"/>
            <w:id w:val="-477067677"/>
          </w:sdtPr>
          <w:sdtContent>
            <w:tc>
              <w:tcPr>
                <w:tcW w:w="67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一、工资、奖金、津贴和补贴</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1,133,58</w:t>
            </w:r>
            <w:r>
              <w:rPr>
                <w:rFonts w:ascii="宋体" w:hAnsi="宋体"/>
              </w:rPr>
              <w:t>0</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14,717,088</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14,836,778</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7,242</w:t>
            </w: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1,021,132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二、职工福利费</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3,632</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1,510,553</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1,514,084</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三、社会保险费</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260,777</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756,728</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944,381</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73,12</w:t>
            </w:r>
            <w:r>
              <w:rPr>
                <w:rFonts w:ascii="宋体" w:hAnsi="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top w:val="single" w:color="auto" w:sz="4" w:space="0"/>
              <w:left w:val="single" w:color="auto" w:sz="4" w:space="0"/>
              <w:bottom w:val="single" w:color="auto" w:sz="4" w:space="0"/>
              <w:right w:val="single" w:color="auto" w:sz="4" w:space="0"/>
            </w:tcBorders>
          </w:tcPr>
          <w:p>
            <w:pPr>
              <w:rPr>
                <w:color w:val="008000"/>
              </w:rPr>
            </w:pPr>
            <w:r>
              <w:rPr>
                <w:rFonts w:hint="eastAsia"/>
              </w:rPr>
              <w:t>其中：</w:t>
            </w:r>
            <w:r>
              <w:t>医疗保险费</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236,682</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615,965</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795,842</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56,805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6" w:type="pct"/>
            <w:tcBorders>
              <w:top w:val="single" w:color="auto" w:sz="4" w:space="0"/>
              <w:left w:val="single" w:color="auto" w:sz="4" w:space="0"/>
              <w:bottom w:val="single" w:color="auto" w:sz="4" w:space="0"/>
              <w:right w:val="single" w:color="auto" w:sz="4" w:space="0"/>
            </w:tcBorders>
          </w:tcPr>
          <w:p>
            <w:pPr>
              <w:ind w:firstLine="630" w:firstLineChars="300"/>
            </w:pPr>
            <w:r>
              <w:rPr>
                <w:rFonts w:hint="eastAsia"/>
              </w:rPr>
              <w:t>工伤保险费</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21,852</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135,299</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141,846</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15,30</w:t>
            </w:r>
            <w:r>
              <w:rPr>
                <w:rFonts w:ascii="宋体" w:hAnsi="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top w:val="single" w:color="auto" w:sz="4" w:space="0"/>
              <w:left w:val="single" w:color="auto" w:sz="4" w:space="0"/>
              <w:bottom w:val="single" w:color="auto" w:sz="4" w:space="0"/>
              <w:right w:val="single" w:color="auto" w:sz="4" w:space="0"/>
            </w:tcBorders>
          </w:tcPr>
          <w:p>
            <w:pPr>
              <w:ind w:firstLine="630" w:firstLineChars="300"/>
            </w:pPr>
            <w:r>
              <w:rPr>
                <w:rFonts w:hint="eastAsia"/>
              </w:rPr>
              <w:t>生育保险费</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2,243</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5,464</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6,693</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1,01</w:t>
            </w:r>
            <w:r>
              <w:rPr>
                <w:rFonts w:ascii="宋体" w:hAnsi="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四、住房公积金</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45,500</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1,124,434</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1,123,930</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46,004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五、工会经费和职工教育经费</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553,024</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422,608</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398,579</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577,053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六、短期带薪缺勤</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523,79</w:t>
            </w:r>
            <w:r>
              <w:rPr>
                <w:rFonts w:ascii="宋体" w:hAnsi="宋体"/>
              </w:rPr>
              <w:t>4</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1,163,313</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1,100,936</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13,386</w:t>
            </w: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599,557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七、短期利润分享计划</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196,008</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17,680</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178,328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合计</w:t>
            </w:r>
          </w:p>
        </w:tc>
        <w:tc>
          <w:tcPr>
            <w:tcW w:w="75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2,716,315</w:t>
            </w:r>
          </w:p>
        </w:tc>
        <w:tc>
          <w:tcPr>
            <w:tcW w:w="7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19,694,724</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19,936,368</w:t>
            </w:r>
          </w:p>
        </w:tc>
        <w:tc>
          <w:tcPr>
            <w:tcW w:w="7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20,628</w:t>
            </w:r>
          </w:p>
        </w:tc>
        <w:tc>
          <w:tcPr>
            <w:tcW w:w="6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2,495,299</w:t>
            </w:r>
          </w:p>
        </w:tc>
      </w:tr>
    </w:tbl>
    <w:p>
      <w:pPr>
        <w:pStyle w:val="501"/>
      </w:pPr>
    </w:p>
    <w:p>
      <w:pPr>
        <w:pStyle w:val="505"/>
        <w:numPr>
          <w:ilvl w:val="0"/>
          <w:numId w:val="98"/>
        </w:numPr>
      </w:pPr>
      <w:r>
        <w:rPr>
          <w:rFonts w:hint="eastAsia"/>
        </w:rPr>
        <w:t>设定提存计划列示</w:t>
      </w:r>
    </w:p>
    <w:p>
      <w:pPr>
        <w:pStyle w:val="531"/>
      </w:pPr>
      <w:sdt>
        <w:sdtPr>
          <w:alias w:val="是否适用：设定提存计划列示[双击切换]"/>
          <w:tag w:val="_GBC_b10b1dbaca2d418ba8658bab8f732ec8"/>
          <w:id w:val="-361596508"/>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设定提存计划列示"/>
          <w:tag w:val="_GBC_925094ba622346ba8857a40cf7e6f1b2"/>
          <w:id w:val="-5884680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设定提存计划列示"/>
          <w:tag w:val="_GBC_e3e3da384da84c8f92edb23d37c13690"/>
          <w:id w:val="-858446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1373"/>
        <w:gridCol w:w="1359"/>
        <w:gridCol w:w="1389"/>
        <w:gridCol w:w="1498"/>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5a05fd1b5f8842ba9ae6094f6792dfbe"/>
            <w:id w:val="-345094263"/>
          </w:sdtPr>
          <w:sdtEndPr>
            <w:rPr>
              <w:rFonts w:ascii="宋体" w:hAnsi="宋体"/>
            </w:rPr>
          </w:sdtEndPr>
          <w:sdtContent>
            <w:tc>
              <w:tcPr>
                <w:tcW w:w="1290"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fae7d76d85e4429d925f3d30ff27566f"/>
            <w:id w:val="-1299526782"/>
          </w:sdtPr>
          <w:sdtEndPr>
            <w:rPr>
              <w:rFonts w:ascii="宋体" w:hAnsi="宋体"/>
            </w:rPr>
          </w:sdtEndPr>
          <w:sdtContent>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期初余额</w:t>
                </w:r>
              </w:p>
            </w:tc>
          </w:sdtContent>
        </w:sdt>
        <w:sdt>
          <w:sdtPr>
            <w:rPr>
              <w:rFonts w:ascii="宋体" w:hAnsi="宋体"/>
            </w:rPr>
            <w:tag w:val="_PLD_cd3c897871944aa0a1ea524d70e51704"/>
            <w:id w:val="-1588685396"/>
          </w:sdtPr>
          <w:sdtEndPr>
            <w:rPr>
              <w:rFonts w:ascii="宋体" w:hAnsi="宋体"/>
            </w:rPr>
          </w:sdtEndPr>
          <w:sdtContent>
            <w:tc>
              <w:tcPr>
                <w:tcW w:w="751"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本期增加</w:t>
                </w:r>
              </w:p>
            </w:tc>
          </w:sdtContent>
        </w:sdt>
        <w:sdt>
          <w:sdtPr>
            <w:rPr>
              <w:rFonts w:ascii="宋体" w:hAnsi="宋体"/>
            </w:rPr>
            <w:tag w:val="_PLD_5ef10b06a3d24730bad93c45f119182f"/>
            <w:id w:val="1098918468"/>
          </w:sdtPr>
          <w:sdtEndPr>
            <w:rPr>
              <w:rFonts w:ascii="宋体" w:hAnsi="宋体"/>
            </w:rPr>
          </w:sdtEndPr>
          <w:sdtContent>
            <w:tc>
              <w:tcPr>
                <w:tcW w:w="76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本期减少</w:t>
                </w:r>
              </w:p>
            </w:tc>
          </w:sdtContent>
        </w:sdt>
        <w:tc>
          <w:tcPr>
            <w:tcW w:w="828"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外币报表折算差额</w:t>
            </w:r>
          </w:p>
        </w:tc>
        <w:sdt>
          <w:sdtPr>
            <w:rPr>
              <w:rFonts w:ascii="宋体" w:hAnsi="宋体"/>
            </w:rPr>
            <w:tag w:val="_PLD_13d5e5df016d4921aa56218755dfb8f4"/>
            <w:id w:val="-1079826834"/>
          </w:sdtPr>
          <w:sdtEndPr>
            <w:rPr>
              <w:rFonts w:ascii="宋体" w:hAnsi="宋体"/>
            </w:rPr>
          </w:sdtEndPr>
          <w:sdtContent>
            <w:tc>
              <w:tcPr>
                <w:tcW w:w="60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tcBorders>
              <w:top w:val="single" w:color="auto" w:sz="6" w:space="0"/>
              <w:left w:val="single" w:color="auto" w:sz="6" w:space="0"/>
              <w:bottom w:val="single" w:color="auto" w:sz="6" w:space="0"/>
              <w:right w:val="single" w:color="auto" w:sz="6" w:space="0"/>
            </w:tcBorders>
            <w:shd w:val="clear" w:color="auto" w:fill="auto"/>
          </w:tcPr>
          <w:p>
            <w:pPr>
              <w:rPr>
                <w:rFonts w:ascii="宋体" w:hAnsi="宋体"/>
              </w:rPr>
            </w:pPr>
            <w:r>
              <w:rPr>
                <w:rFonts w:hint="eastAsia" w:ascii="宋体" w:hAnsi="宋体"/>
              </w:rPr>
              <w:t>1、基本养老保险</w:t>
            </w:r>
          </w:p>
        </w:tc>
        <w:tc>
          <w:tcPr>
            <w:tcW w:w="759"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48,95</w:t>
            </w:r>
            <w:r>
              <w:rPr>
                <w:rFonts w:ascii="宋体" w:hAnsi="宋体"/>
              </w:rPr>
              <w:t>5</w:t>
            </w: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1,601,504</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1,609,329</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41,13</w:t>
            </w:r>
            <w:r>
              <w:rPr>
                <w:rFonts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tcBorders>
              <w:top w:val="single" w:color="auto" w:sz="6" w:space="0"/>
              <w:left w:val="single" w:color="auto" w:sz="6" w:space="0"/>
              <w:bottom w:val="single" w:color="auto" w:sz="6" w:space="0"/>
              <w:right w:val="single" w:color="auto" w:sz="6" w:space="0"/>
            </w:tcBorders>
            <w:shd w:val="clear" w:color="auto" w:fill="auto"/>
          </w:tcPr>
          <w:p>
            <w:pPr>
              <w:rPr>
                <w:rFonts w:ascii="宋体" w:hAnsi="宋体"/>
              </w:rPr>
            </w:pPr>
            <w:r>
              <w:rPr>
                <w:rFonts w:hint="eastAsia" w:ascii="宋体" w:hAnsi="宋体"/>
              </w:rPr>
              <w:t>2、失业保险费</w:t>
            </w:r>
          </w:p>
        </w:tc>
        <w:tc>
          <w:tcPr>
            <w:tcW w:w="759"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16,629</w:t>
            </w: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57,</w:t>
            </w:r>
            <w:r>
              <w:rPr>
                <w:rFonts w:ascii="宋体" w:hAnsi="宋体"/>
              </w:rPr>
              <w:t>434</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67,</w:t>
            </w:r>
            <w:r>
              <w:rPr>
                <w:rFonts w:ascii="宋体" w:hAnsi="宋体"/>
              </w:rPr>
              <w:t>485</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6,578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tcBorders>
              <w:top w:val="single" w:color="auto" w:sz="6" w:space="0"/>
              <w:left w:val="single" w:color="auto" w:sz="6" w:space="0"/>
              <w:bottom w:val="single" w:color="auto" w:sz="6" w:space="0"/>
              <w:right w:val="single" w:color="auto" w:sz="6" w:space="0"/>
            </w:tcBorders>
            <w:shd w:val="clear" w:color="auto" w:fill="auto"/>
          </w:tcPr>
          <w:p>
            <w:pPr>
              <w:rPr>
                <w:rFonts w:ascii="宋体" w:hAnsi="宋体"/>
              </w:rPr>
            </w:pPr>
            <w:r>
              <w:rPr>
                <w:rFonts w:hint="eastAsia" w:ascii="宋体" w:hAnsi="宋体"/>
              </w:rPr>
              <w:t>3、企业年金缴费</w:t>
            </w:r>
          </w:p>
        </w:tc>
        <w:tc>
          <w:tcPr>
            <w:tcW w:w="759"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9,204</w:t>
            </w: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817,196</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818,223</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8,17</w:t>
            </w:r>
            <w:r>
              <w:rPr>
                <w:rFonts w:ascii="宋体" w:hAnsi="宋体"/>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合计</w:t>
            </w:r>
          </w:p>
        </w:tc>
        <w:tc>
          <w:tcPr>
            <w:tcW w:w="759"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74,788</w:t>
            </w: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2,476,134</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2,495,037</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55,885</w:t>
            </w:r>
          </w:p>
        </w:tc>
      </w:tr>
    </w:tbl>
    <w:p>
      <w:pPr>
        <w:autoSpaceDE w:val="0"/>
        <w:autoSpaceDN w:val="0"/>
        <w:adjustRightInd w:val="0"/>
      </w:pPr>
      <w:r>
        <w:rPr>
          <w:rFonts w:hint="eastAsia"/>
        </w:rPr>
        <w:t>其他说明：</w:t>
      </w:r>
    </w:p>
    <w:sdt>
      <w:sdtPr>
        <w:alias w:val="是否适用：应付职工薪酬的说明[双击切换]"/>
        <w:tag w:val="_GBC_140070104764414eae4680364e4d0b62"/>
        <w:id w:val="-1606959334"/>
        <w:placeholder>
          <w:docPart w:val="GBC22222222222222222222222222222"/>
        </w:placeholder>
      </w:sdtPr>
      <w:sdtContent>
        <w:p>
          <w:pPr>
            <w:autoSpaceDE w:val="0"/>
            <w:autoSpaceDN w:val="0"/>
            <w:adjustRightInd w:val="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autoSpaceDE w:val="0"/>
        <w:autoSpaceDN w:val="0"/>
        <w:adjustRightInd w:val="0"/>
      </w:pPr>
    </w:p>
    <w:p>
      <w:pPr>
        <w:pStyle w:val="504"/>
        <w:numPr>
          <w:ilvl w:val="0"/>
          <w:numId w:val="69"/>
        </w:numPr>
        <w:tabs>
          <w:tab w:val="left" w:pos="504"/>
        </w:tabs>
        <w:rPr>
          <w:rFonts w:ascii="宋体" w:hAnsi="宋体"/>
          <w:szCs w:val="21"/>
        </w:rPr>
      </w:pPr>
      <w:r>
        <w:rPr>
          <w:rFonts w:hint="eastAsia" w:ascii="宋体" w:hAnsi="宋体"/>
          <w:szCs w:val="21"/>
        </w:rPr>
        <w:t>应交税费</w:t>
      </w:r>
    </w:p>
    <w:sdt>
      <w:sdtPr>
        <w:alias w:val="是否适用：应交税费[双击切换]"/>
        <w:tag w:val="_GBC_2ed6216b8f4c4523a1de5c2628cc02a2"/>
        <w:id w:val="-112754869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交税费"/>
          <w:tag w:val="_GBC_9fe49c1b8a984180ae11c305f9fe5484"/>
          <w:id w:val="-4518621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应交税费"/>
          <w:tag w:val="_GBC_aefdac676d8d4584b84883b8a3980e21"/>
          <w:id w:val="5200595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1"/>
        <w:gridCol w:w="3006"/>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tag w:val="_PLD_6c8ac0907441450eac644085301d6804"/>
            <w:id w:val="-675728806"/>
          </w:sdtPr>
          <w:sdtEndPr>
            <w:rPr>
              <w:rFonts w:ascii="宋体" w:hAnsi="宋体"/>
            </w:rPr>
          </w:sdtEndPr>
          <w:sdtContent>
            <w:tc>
              <w:tcPr>
                <w:tcW w:w="1675" w:type="pct"/>
                <w:vAlign w:val="center"/>
              </w:tcPr>
              <w:p>
                <w:pPr>
                  <w:ind w:right="105"/>
                  <w:jc w:val="center"/>
                  <w:rPr>
                    <w:rFonts w:ascii="宋体" w:hAnsi="宋体"/>
                  </w:rPr>
                </w:pPr>
                <w:r>
                  <w:rPr>
                    <w:rFonts w:hint="eastAsia" w:ascii="宋体" w:hAnsi="宋体"/>
                  </w:rPr>
                  <w:t>项目</w:t>
                </w:r>
              </w:p>
            </w:tc>
          </w:sdtContent>
        </w:sdt>
        <w:sdt>
          <w:sdtPr>
            <w:rPr>
              <w:rFonts w:ascii="宋体" w:hAnsi="宋体"/>
            </w:rPr>
            <w:tag w:val="_PLD_8dab1e5e153c4b93a2d18673e1365591"/>
            <w:id w:val="-235552538"/>
          </w:sdtPr>
          <w:sdtEndPr>
            <w:rPr>
              <w:rFonts w:ascii="宋体" w:hAnsi="宋体"/>
            </w:rPr>
          </w:sdtEndPr>
          <w:sdtContent>
            <w:tc>
              <w:tcPr>
                <w:tcW w:w="1661" w:type="pct"/>
                <w:vAlign w:val="center"/>
              </w:tcPr>
              <w:p>
                <w:pPr>
                  <w:jc w:val="center"/>
                  <w:rPr>
                    <w:rFonts w:ascii="宋体" w:hAnsi="宋体"/>
                  </w:rPr>
                </w:pPr>
                <w:r>
                  <w:rPr>
                    <w:rFonts w:hint="eastAsia" w:ascii="宋体" w:hAnsi="宋体"/>
                  </w:rPr>
                  <w:t>期末余额</w:t>
                </w:r>
              </w:p>
            </w:tc>
          </w:sdtContent>
        </w:sdt>
        <w:sdt>
          <w:sdtPr>
            <w:rPr>
              <w:rFonts w:ascii="宋体" w:hAnsi="宋体"/>
            </w:rPr>
            <w:tag w:val="_PLD_9793c5ba001a43cb914658d949d3dcec"/>
            <w:id w:val="-1603179853"/>
          </w:sdtPr>
          <w:sdtEndPr>
            <w:rPr>
              <w:rFonts w:ascii="宋体" w:hAnsi="宋体"/>
            </w:rPr>
          </w:sdtEndPr>
          <w:sdtContent>
            <w:tc>
              <w:tcPr>
                <w:tcW w:w="1664" w:type="pct"/>
                <w:vAlign w:val="center"/>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ascii="宋体" w:hAnsi="宋体"/>
              </w:rPr>
            </w:pPr>
            <w:r>
              <w:rPr>
                <w:rFonts w:hint="eastAsia" w:ascii="宋体" w:hAnsi="宋体"/>
              </w:rPr>
              <w:t>企业所得税</w:t>
            </w:r>
          </w:p>
        </w:tc>
        <w:tc>
          <w:tcPr>
            <w:tcW w:w="1661" w:type="pct"/>
            <w:shd w:val="clear" w:color="auto" w:fill="auto"/>
            <w:vAlign w:val="center"/>
          </w:tcPr>
          <w:p>
            <w:pPr>
              <w:jc w:val="right"/>
              <w:rPr>
                <w:rFonts w:ascii="宋体" w:hAnsi="宋体"/>
              </w:rPr>
            </w:pPr>
            <w:r>
              <w:rPr>
                <w:rFonts w:ascii="宋体" w:hAnsi="宋体"/>
              </w:rPr>
              <w:t>2,613,951</w:t>
            </w:r>
          </w:p>
        </w:tc>
        <w:tc>
          <w:tcPr>
            <w:tcW w:w="1664" w:type="pct"/>
            <w:shd w:val="clear" w:color="auto" w:fill="auto"/>
            <w:vAlign w:val="center"/>
          </w:tcPr>
          <w:p>
            <w:pPr>
              <w:jc w:val="right"/>
              <w:rPr>
                <w:rFonts w:ascii="宋体" w:hAnsi="宋体"/>
              </w:rPr>
            </w:pPr>
            <w:r>
              <w:rPr>
                <w:rFonts w:ascii="宋体" w:hAnsi="宋体"/>
              </w:rPr>
              <w:t>10,731,312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ascii="宋体" w:hAnsi="宋体"/>
              </w:rPr>
            </w:pPr>
            <w:r>
              <w:rPr>
                <w:rFonts w:hint="eastAsia" w:ascii="宋体" w:hAnsi="宋体"/>
              </w:rPr>
              <w:t>个人所得税</w:t>
            </w:r>
          </w:p>
        </w:tc>
        <w:tc>
          <w:tcPr>
            <w:tcW w:w="1661" w:type="pct"/>
            <w:shd w:val="clear" w:color="auto" w:fill="auto"/>
            <w:vAlign w:val="center"/>
          </w:tcPr>
          <w:p>
            <w:pPr>
              <w:jc w:val="right"/>
              <w:rPr>
                <w:rFonts w:ascii="宋体" w:hAnsi="宋体"/>
              </w:rPr>
            </w:pPr>
            <w:r>
              <w:rPr>
                <w:rFonts w:ascii="宋体" w:hAnsi="宋体"/>
              </w:rPr>
              <w:t>530,396</w:t>
            </w:r>
          </w:p>
        </w:tc>
        <w:tc>
          <w:tcPr>
            <w:tcW w:w="1664" w:type="pct"/>
            <w:shd w:val="clear" w:color="auto" w:fill="auto"/>
            <w:vAlign w:val="center"/>
          </w:tcPr>
          <w:p>
            <w:pPr>
              <w:jc w:val="right"/>
              <w:rPr>
                <w:rFonts w:ascii="宋体" w:hAnsi="宋体"/>
              </w:rPr>
            </w:pPr>
            <w:r>
              <w:rPr>
                <w:rFonts w:ascii="宋体" w:hAnsi="宋体"/>
              </w:rPr>
              <w:t>299,618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ascii="宋体" w:hAnsi="宋体"/>
              </w:rPr>
            </w:pPr>
            <w:r>
              <w:rPr>
                <w:rFonts w:hint="eastAsia" w:ascii="宋体" w:hAnsi="宋体"/>
              </w:rPr>
              <w:t>资源税</w:t>
            </w:r>
          </w:p>
        </w:tc>
        <w:tc>
          <w:tcPr>
            <w:tcW w:w="1661" w:type="pct"/>
            <w:shd w:val="clear" w:color="auto" w:fill="auto"/>
            <w:vAlign w:val="center"/>
          </w:tcPr>
          <w:p>
            <w:pPr>
              <w:jc w:val="right"/>
              <w:rPr>
                <w:rFonts w:ascii="宋体" w:hAnsi="宋体"/>
              </w:rPr>
            </w:pPr>
            <w:r>
              <w:rPr>
                <w:rFonts w:hint="eastAsia" w:ascii="宋体" w:hAnsi="宋体"/>
              </w:rPr>
              <w:t>301,737</w:t>
            </w:r>
          </w:p>
        </w:tc>
        <w:tc>
          <w:tcPr>
            <w:tcW w:w="1664" w:type="pct"/>
            <w:shd w:val="clear" w:color="auto" w:fill="auto"/>
            <w:vAlign w:val="center"/>
          </w:tcPr>
          <w:p>
            <w:pPr>
              <w:jc w:val="right"/>
              <w:rPr>
                <w:rFonts w:ascii="宋体" w:hAnsi="宋体"/>
              </w:rPr>
            </w:pPr>
            <w:r>
              <w:rPr>
                <w:rFonts w:ascii="宋体" w:hAnsi="宋体"/>
              </w:rPr>
              <w:t>716,253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ascii="宋体" w:hAnsi="宋体"/>
              </w:rPr>
            </w:pPr>
            <w:r>
              <w:rPr>
                <w:rFonts w:hint="eastAsia" w:ascii="宋体" w:hAnsi="宋体"/>
              </w:rPr>
              <w:t>增值税</w:t>
            </w:r>
          </w:p>
        </w:tc>
        <w:tc>
          <w:tcPr>
            <w:tcW w:w="1661" w:type="pct"/>
            <w:shd w:val="clear" w:color="auto" w:fill="auto"/>
            <w:vAlign w:val="center"/>
          </w:tcPr>
          <w:p>
            <w:pPr>
              <w:jc w:val="right"/>
              <w:rPr>
                <w:rFonts w:ascii="宋体" w:hAnsi="宋体"/>
              </w:rPr>
            </w:pPr>
            <w:r>
              <w:rPr>
                <w:rFonts w:ascii="宋体" w:hAnsi="宋体"/>
              </w:rPr>
              <w:t>249,238</w:t>
            </w:r>
          </w:p>
        </w:tc>
        <w:tc>
          <w:tcPr>
            <w:tcW w:w="1664" w:type="pct"/>
            <w:shd w:val="clear" w:color="auto" w:fill="auto"/>
            <w:vAlign w:val="center"/>
          </w:tcPr>
          <w:p>
            <w:pPr>
              <w:jc w:val="right"/>
              <w:rPr>
                <w:rFonts w:ascii="宋体" w:hAnsi="宋体"/>
              </w:rPr>
            </w:pPr>
            <w:r>
              <w:rPr>
                <w:rFonts w:ascii="宋体" w:hAnsi="宋体"/>
              </w:rPr>
              <w:t>400,698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rPr>
                <w:rFonts w:ascii="宋体" w:hAnsi="宋体"/>
              </w:rPr>
            </w:pPr>
            <w:r>
              <w:rPr>
                <w:rFonts w:hint="eastAsia" w:ascii="宋体" w:hAnsi="宋体"/>
              </w:rPr>
              <w:t>消费税</w:t>
            </w:r>
          </w:p>
        </w:tc>
        <w:tc>
          <w:tcPr>
            <w:tcW w:w="1661" w:type="pct"/>
            <w:shd w:val="clear" w:color="auto" w:fill="auto"/>
            <w:vAlign w:val="center"/>
          </w:tcPr>
          <w:p>
            <w:pPr>
              <w:jc w:val="right"/>
              <w:rPr>
                <w:rFonts w:ascii="宋体" w:hAnsi="宋体"/>
              </w:rPr>
            </w:pPr>
            <w:r>
              <w:rPr>
                <w:rFonts w:hint="eastAsia" w:ascii="宋体" w:hAnsi="宋体"/>
              </w:rPr>
              <w:t>47,611</w:t>
            </w:r>
          </w:p>
        </w:tc>
        <w:tc>
          <w:tcPr>
            <w:tcW w:w="1664" w:type="pct"/>
            <w:shd w:val="clear" w:color="auto" w:fill="auto"/>
            <w:vAlign w:val="center"/>
          </w:tcPr>
          <w:p>
            <w:pPr>
              <w:jc w:val="right"/>
              <w:rPr>
                <w:rFonts w:ascii="宋体" w:hAnsi="宋体"/>
              </w:rPr>
            </w:pPr>
            <w:r>
              <w:rPr>
                <w:rFonts w:hint="eastAsia" w:ascii="宋体" w:hAnsi="宋体"/>
              </w:rPr>
              <w:t>114,277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rPr>
                <w:rFonts w:ascii="宋体" w:hAnsi="宋体"/>
              </w:rPr>
            </w:pPr>
            <w:r>
              <w:rPr>
                <w:rFonts w:hint="eastAsia" w:ascii="宋体" w:hAnsi="宋体"/>
              </w:rPr>
              <w:t>其他</w:t>
            </w:r>
          </w:p>
        </w:tc>
        <w:tc>
          <w:tcPr>
            <w:tcW w:w="1661" w:type="pct"/>
            <w:vAlign w:val="center"/>
          </w:tcPr>
          <w:p>
            <w:pPr>
              <w:jc w:val="right"/>
              <w:rPr>
                <w:rFonts w:ascii="宋体" w:hAnsi="宋体"/>
              </w:rPr>
            </w:pPr>
            <w:r>
              <w:rPr>
                <w:rFonts w:ascii="宋体" w:hAnsi="宋体"/>
              </w:rPr>
              <w:t>307,236</w:t>
            </w:r>
          </w:p>
        </w:tc>
        <w:tc>
          <w:tcPr>
            <w:tcW w:w="1664" w:type="pct"/>
            <w:vAlign w:val="center"/>
          </w:tcPr>
          <w:p>
            <w:pPr>
              <w:jc w:val="right"/>
              <w:rPr>
                <w:rFonts w:ascii="宋体" w:hAnsi="宋体"/>
              </w:rPr>
            </w:pPr>
            <w:r>
              <w:rPr>
                <w:rFonts w:ascii="宋体" w:hAnsi="宋体"/>
              </w:rPr>
              <w:t>470,763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vAlign w:val="center"/>
          </w:tcPr>
          <w:p>
            <w:pPr>
              <w:ind w:right="105"/>
              <w:jc w:val="center"/>
              <w:rPr>
                <w:rFonts w:ascii="宋体" w:hAnsi="宋体"/>
              </w:rPr>
            </w:pPr>
            <w:r>
              <w:rPr>
                <w:rFonts w:hint="eastAsia" w:ascii="宋体" w:hAnsi="宋体"/>
              </w:rPr>
              <w:t>合计</w:t>
            </w:r>
          </w:p>
        </w:tc>
        <w:tc>
          <w:tcPr>
            <w:tcW w:w="1661" w:type="pct"/>
            <w:vAlign w:val="center"/>
          </w:tcPr>
          <w:p>
            <w:pPr>
              <w:jc w:val="right"/>
              <w:rPr>
                <w:rFonts w:ascii="宋体" w:hAnsi="宋体"/>
              </w:rPr>
            </w:pPr>
            <w:r>
              <w:rPr>
                <w:rFonts w:ascii="宋体" w:hAnsi="宋体"/>
              </w:rPr>
              <w:t>4,050,169</w:t>
            </w:r>
          </w:p>
        </w:tc>
        <w:tc>
          <w:tcPr>
            <w:tcW w:w="1664" w:type="pct"/>
            <w:vAlign w:val="center"/>
          </w:tcPr>
          <w:p>
            <w:pPr>
              <w:jc w:val="right"/>
              <w:rPr>
                <w:rFonts w:ascii="宋体" w:hAnsi="宋体"/>
              </w:rPr>
            </w:pPr>
            <w:r>
              <w:rPr>
                <w:rFonts w:ascii="宋体" w:hAnsi="宋体"/>
              </w:rPr>
              <w:t>12,732,921</w:t>
            </w:r>
          </w:p>
        </w:tc>
      </w:tr>
    </w:tbl>
    <w:p>
      <w:pPr>
        <w:pStyle w:val="501"/>
      </w:pPr>
    </w:p>
    <w:p>
      <w:pPr>
        <w:pStyle w:val="504"/>
        <w:numPr>
          <w:ilvl w:val="0"/>
          <w:numId w:val="69"/>
        </w:numPr>
        <w:tabs>
          <w:tab w:val="left" w:pos="504"/>
        </w:tabs>
        <w:rPr>
          <w:szCs w:val="21"/>
        </w:rPr>
      </w:pPr>
      <w:r>
        <w:rPr>
          <w:rFonts w:hint="eastAsia"/>
          <w:szCs w:val="21"/>
        </w:rPr>
        <w:t>其他应付款</w:t>
      </w:r>
    </w:p>
    <w:p>
      <w:pPr>
        <w:pStyle w:val="505"/>
        <w:numPr>
          <w:ilvl w:val="0"/>
          <w:numId w:val="99"/>
        </w:numPr>
      </w:pPr>
      <w:r>
        <w:rPr>
          <w:rFonts w:hint="eastAsia"/>
        </w:rPr>
        <w:t>项目列示</w:t>
      </w:r>
    </w:p>
    <w:sdt>
      <w:sdtPr>
        <w:alias w:val="是否适用：其他应付款分类列示[双击切换]"/>
        <w:tag w:val="_GBC_66f20e30acfe43c3b4edf860d086ad10"/>
        <w:id w:val="-1399984547"/>
        <w:placeholder>
          <w:docPart w:val="GBC22222222222222222222222222222"/>
        </w:placeholder>
      </w:sdtPr>
      <w:sdtContent>
        <w:p>
          <w:pPr>
            <w:pStyle w:val="531"/>
          </w:pPr>
          <w:bookmarkStart w:id="309" w:name="_Hlk53291004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宋体" w:hAnsi="宋体"/>
        </w:rPr>
      </w:pPr>
      <w:r>
        <w:rPr>
          <w:rFonts w:hint="eastAsia" w:ascii="宋体" w:hAnsi="宋体"/>
        </w:rPr>
        <w:t>单位：</w:t>
      </w:r>
      <w:sdt>
        <w:sdtPr>
          <w:rPr>
            <w:rFonts w:hint="eastAsia" w:ascii="宋体" w:hAnsi="宋体"/>
          </w:rPr>
          <w:alias w:val="单位：其他应付款分类列示"/>
          <w:tag w:val="_GBC_1d2c755c7a60470390b86f677f589d52"/>
          <w:id w:val="-4612701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千元</w:t>
          </w:r>
        </w:sdtContent>
      </w:sdt>
      <w:r>
        <w:rPr>
          <w:rFonts w:hint="eastAsia" w:ascii="宋体" w:hAnsi="宋体"/>
        </w:rPr>
        <w:t xml:space="preserve">  币种：</w:t>
      </w:r>
      <w:sdt>
        <w:sdtPr>
          <w:rPr>
            <w:rFonts w:hint="eastAsia" w:ascii="宋体" w:hAnsi="宋体"/>
          </w:rPr>
          <w:alias w:val="币种：其他应付款分类列示"/>
          <w:tag w:val="_GBC_54becc5fdf374134a56007701ad1c4e0"/>
          <w:id w:val="-528535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5b32323c48c441e4832da1fe28654990"/>
            <w:id w:val="1824931387"/>
          </w:sdtPr>
          <w:sdtEndPr>
            <w:rPr>
              <w:rFonts w:ascii="宋体" w:hAnsi="宋体"/>
            </w:rPr>
          </w:sdtEnd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rFonts w:ascii="宋体" w:hAnsi="宋体"/>
                  </w:rPr>
                </w:pPr>
                <w:r>
                  <w:rPr>
                    <w:rFonts w:hint="eastAsia" w:ascii="宋体" w:hAnsi="宋体"/>
                  </w:rPr>
                  <w:t>项目</w:t>
                </w:r>
              </w:p>
            </w:tc>
          </w:sdtContent>
        </w:sdt>
        <w:sdt>
          <w:sdtPr>
            <w:rPr>
              <w:rFonts w:ascii="宋体" w:hAnsi="宋体"/>
            </w:rPr>
            <w:tag w:val="_PLD_427fe40919c945eaada0e2529b497787"/>
            <w:id w:val="-1295594269"/>
          </w:sdtPr>
          <w:sdtEndPr>
            <w:rPr>
              <w:rFonts w:ascii="宋体" w:hAnsi="宋体"/>
            </w:rPr>
          </w:sdtEndPr>
          <w:sdtContent>
            <w:tc>
              <w:tcPr>
                <w:tcW w:w="1582" w:type="pct"/>
                <w:shd w:val="clear" w:color="auto" w:fill="auto"/>
                <w:vAlign w:val="center"/>
              </w:tcPr>
              <w:p>
                <w:pPr>
                  <w:jc w:val="center"/>
                  <w:rPr>
                    <w:rFonts w:ascii="宋体" w:hAnsi="宋体"/>
                  </w:rPr>
                </w:pPr>
                <w:r>
                  <w:rPr>
                    <w:rFonts w:hint="eastAsia" w:ascii="宋体" w:hAnsi="宋体"/>
                  </w:rPr>
                  <w:t>期末余额</w:t>
                </w:r>
              </w:p>
            </w:tc>
          </w:sdtContent>
        </w:sdt>
        <w:sdt>
          <w:sdtPr>
            <w:rPr>
              <w:rFonts w:ascii="宋体" w:hAnsi="宋体"/>
            </w:rPr>
            <w:tag w:val="_PLD_963dd0fff1a644319fa667127e37c635"/>
            <w:id w:val="2110850195"/>
          </w:sdtPr>
          <w:sdtEndPr>
            <w:rPr>
              <w:rFonts w:ascii="宋体" w:hAnsi="宋体"/>
            </w:rPr>
          </w:sdtEndPr>
          <w:sdtContent>
            <w:tc>
              <w:tcPr>
                <w:tcW w:w="1590" w:type="pct"/>
                <w:shd w:val="clear" w:color="auto" w:fill="auto"/>
                <w:vAlign w:val="center"/>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应付股利</w:t>
            </w:r>
          </w:p>
        </w:tc>
        <w:tc>
          <w:tcPr>
            <w:tcW w:w="1582" w:type="pct"/>
            <w:shd w:val="clear" w:color="auto" w:fill="auto"/>
            <w:vAlign w:val="center"/>
          </w:tcPr>
          <w:p>
            <w:pPr>
              <w:jc w:val="right"/>
              <w:rPr>
                <w:rFonts w:ascii="宋体" w:hAnsi="宋体"/>
              </w:rPr>
            </w:pPr>
            <w:r>
              <w:rPr>
                <w:rFonts w:ascii="宋体" w:hAnsi="宋体"/>
              </w:rPr>
              <w:t>2,931,471</w:t>
            </w:r>
          </w:p>
        </w:tc>
        <w:tc>
          <w:tcPr>
            <w:tcW w:w="1590" w:type="pct"/>
            <w:shd w:val="clear" w:color="auto" w:fill="auto"/>
            <w:vAlign w:val="center"/>
          </w:tcPr>
          <w:p>
            <w:pPr>
              <w:jc w:val="right"/>
              <w:rPr>
                <w:rFonts w:ascii="宋体" w:hAnsi="宋体"/>
              </w:rPr>
            </w:pPr>
            <w:r>
              <w:rPr>
                <w:rFonts w:ascii="宋体" w:hAnsi="宋体"/>
              </w:rPr>
              <w:t>1,371,449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其他应付款</w:t>
            </w:r>
          </w:p>
        </w:tc>
        <w:tc>
          <w:tcPr>
            <w:tcW w:w="1582" w:type="pct"/>
            <w:shd w:val="clear" w:color="auto" w:fill="auto"/>
            <w:vAlign w:val="center"/>
          </w:tcPr>
          <w:p>
            <w:pPr>
              <w:jc w:val="right"/>
              <w:rPr>
                <w:rFonts w:ascii="宋体" w:hAnsi="宋体"/>
              </w:rPr>
            </w:pPr>
            <w:r>
              <w:rPr>
                <w:rFonts w:ascii="宋体" w:hAnsi="宋体"/>
              </w:rPr>
              <w:t>50,455,352</w:t>
            </w:r>
          </w:p>
        </w:tc>
        <w:tc>
          <w:tcPr>
            <w:tcW w:w="1590" w:type="pct"/>
            <w:shd w:val="clear" w:color="auto" w:fill="auto"/>
            <w:vAlign w:val="center"/>
          </w:tcPr>
          <w:p>
            <w:pPr>
              <w:jc w:val="right"/>
              <w:rPr>
                <w:rFonts w:ascii="宋体" w:hAnsi="宋体"/>
              </w:rPr>
            </w:pPr>
            <w:r>
              <w:rPr>
                <w:rFonts w:ascii="宋体" w:hAnsi="宋体"/>
              </w:rPr>
              <w:t>47,991,348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合计</w:t>
            </w:r>
          </w:p>
        </w:tc>
        <w:tc>
          <w:tcPr>
            <w:tcW w:w="1582" w:type="pct"/>
            <w:shd w:val="clear" w:color="auto" w:fill="auto"/>
            <w:vAlign w:val="center"/>
          </w:tcPr>
          <w:p>
            <w:pPr>
              <w:jc w:val="right"/>
              <w:rPr>
                <w:rFonts w:ascii="宋体" w:hAnsi="宋体"/>
              </w:rPr>
            </w:pPr>
            <w:r>
              <w:rPr>
                <w:rFonts w:ascii="宋体" w:hAnsi="宋体"/>
              </w:rPr>
              <w:t>53,386,823</w:t>
            </w:r>
          </w:p>
        </w:tc>
        <w:tc>
          <w:tcPr>
            <w:tcW w:w="1590" w:type="pct"/>
            <w:shd w:val="clear" w:color="auto" w:fill="auto"/>
            <w:vAlign w:val="center"/>
          </w:tcPr>
          <w:p>
            <w:pPr>
              <w:jc w:val="right"/>
              <w:rPr>
                <w:rFonts w:ascii="宋体" w:hAnsi="宋体"/>
              </w:rPr>
            </w:pPr>
            <w:r>
              <w:rPr>
                <w:rFonts w:ascii="宋体" w:hAnsi="宋体"/>
              </w:rPr>
              <w:t>49,362,797</w:t>
            </w:r>
          </w:p>
        </w:tc>
      </w:tr>
    </w:tbl>
    <w:p>
      <w:pPr>
        <w:pStyle w:val="531"/>
      </w:pPr>
    </w:p>
    <w:p>
      <w:pPr>
        <w:pStyle w:val="501"/>
      </w:pPr>
      <w:r>
        <w:rPr>
          <w:rFonts w:hint="eastAsia"/>
        </w:rPr>
        <w:t>其他说明：</w:t>
      </w:r>
    </w:p>
    <w:sdt>
      <w:sdtPr>
        <w:alias w:val="是否适用：其他应付款分类列示其他说明[双击切换]"/>
        <w:tag w:val="_GBC_9cfb2316deee44a8a3605ab376f15408"/>
        <w:id w:val="-966038420"/>
        <w:placeholder>
          <w:docPart w:val="GBC22222222222222222222222222222"/>
        </w:placeholder>
      </w:sdtPr>
      <w:sdtContent>
        <w:p>
          <w:pPr>
            <w:pStyle w:val="501"/>
          </w:pPr>
          <w:bookmarkStart w:id="310" w:name="_Hlk155097683"/>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5"/>
        <w:numPr>
          <w:ilvl w:val="0"/>
          <w:numId w:val="99"/>
        </w:numPr>
        <w:rPr>
          <w:rFonts w:ascii="宋体" w:hAnsi="宋体" w:eastAsia="宋体" w:cs="宋体"/>
          <w:kern w:val="0"/>
          <w:szCs w:val="24"/>
        </w:rPr>
      </w:pPr>
      <w:r>
        <w:rPr>
          <w:rFonts w:hint="eastAsia" w:ascii="宋体" w:hAnsi="宋体" w:eastAsia="宋体" w:cs="宋体"/>
          <w:kern w:val="0"/>
          <w:szCs w:val="24"/>
        </w:rPr>
        <w:t>应付利息</w:t>
      </w:r>
    </w:p>
    <w:p>
      <w:pPr>
        <w:pStyle w:val="531"/>
      </w:pPr>
      <w:r>
        <w:rPr>
          <w:rFonts w:hint="eastAsia"/>
        </w:rPr>
        <w:t>分类列示</w:t>
      </w:r>
    </w:p>
    <w:sdt>
      <w:sdtPr>
        <w:alias w:val="是否适用：应付利息[双击切换]"/>
        <w:tag w:val="_GBC_563016e83d32408f90ee8ae140b7dccd"/>
        <w:id w:val="-101406987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逾期的重要应付利息：</w:t>
      </w:r>
    </w:p>
    <w:sdt>
      <w:sdtPr>
        <w:alias w:val="是否适用：重要的已逾期未支付的利息情况[双击切换]"/>
        <w:tag w:val="_GBC_e97342df449a4b51897b93180a76915c"/>
        <w:id w:val="-468132173"/>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pacing w:before="60" w:after="60"/>
      </w:pPr>
      <w:r>
        <w:rPr>
          <w:rFonts w:hint="eastAsia"/>
        </w:rPr>
        <w:t>其他说明：</w:t>
      </w:r>
    </w:p>
    <w:sdt>
      <w:sdtPr>
        <w:alias w:val="是否适用：应付利息说明[双击切换]"/>
        <w:tag w:val="_GBC_8e7eb675343843e89996290865d02478"/>
        <w:id w:val="-180826893"/>
        <w:placeholder>
          <w:docPart w:val="GBC22222222222222222222222222222"/>
        </w:placeholder>
      </w:sdtPr>
      <w:sdtContent>
        <w:p>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numPr>
          <w:ilvl w:val="0"/>
          <w:numId w:val="99"/>
        </w:numPr>
        <w:rPr>
          <w:rFonts w:ascii="宋体" w:hAnsi="宋体" w:eastAsia="宋体" w:cs="宋体"/>
          <w:kern w:val="0"/>
          <w:szCs w:val="24"/>
        </w:rPr>
      </w:pPr>
      <w:r>
        <w:rPr>
          <w:rFonts w:hint="eastAsia" w:ascii="宋体" w:hAnsi="宋体" w:eastAsia="宋体" w:cs="宋体"/>
          <w:kern w:val="0"/>
          <w:szCs w:val="24"/>
        </w:rPr>
        <w:t>应付股利</w:t>
      </w:r>
    </w:p>
    <w:p>
      <w:pPr>
        <w:pStyle w:val="531"/>
      </w:pPr>
      <w:r>
        <w:rPr>
          <w:rFonts w:hint="eastAsia"/>
        </w:rPr>
        <w:t>分类列示</w:t>
      </w:r>
    </w:p>
    <w:sdt>
      <w:sdtPr>
        <w:alias w:val="是否适用：应付股利[双击切换]"/>
        <w:tag w:val="_GBC_b5ae3881f6d849679d4053b7e1707366"/>
        <w:id w:val="-19168922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股利"/>
          <w:tag w:val="_GBC_746e24ac62424d15a96488b86eb826bf"/>
          <w:id w:val="17461495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应付股利"/>
          <w:tag w:val="_GBC_c18d5382c5f94daeb6547452b4d37f05"/>
          <w:id w:val="-901444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859"/>
        <w:gridCol w:w="3017"/>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宋体" w:hAnsi="宋体"/>
            </w:rPr>
            <w:tag w:val="_PLD_88e24e44527e4710873d9194ba96a0df"/>
            <w:id w:val="-761294115"/>
          </w:sdtPr>
          <w:sdtEndPr>
            <w:rPr>
              <w:rFonts w:ascii="宋体" w:hAnsi="宋体"/>
            </w:rPr>
          </w:sdtEndPr>
          <w:sdtContent>
            <w:tc>
              <w:tcPr>
                <w:tcW w:w="1607" w:type="pct"/>
              </w:tcPr>
              <w:p>
                <w:pPr>
                  <w:ind w:right="105"/>
                  <w:jc w:val="center"/>
                  <w:rPr>
                    <w:rFonts w:ascii="宋体" w:hAnsi="宋体"/>
                  </w:rPr>
                </w:pPr>
                <w:r>
                  <w:rPr>
                    <w:rFonts w:hint="eastAsia" w:ascii="宋体" w:hAnsi="宋体"/>
                  </w:rPr>
                  <w:t>项目</w:t>
                </w:r>
              </w:p>
            </w:tc>
          </w:sdtContent>
        </w:sdt>
        <w:sdt>
          <w:sdtPr>
            <w:rPr>
              <w:rFonts w:ascii="宋体" w:hAnsi="宋体"/>
            </w:rPr>
            <w:tag w:val="_PLD_af903224d39d4058972c7eba8a903356"/>
            <w:id w:val="-1880923361"/>
          </w:sdtPr>
          <w:sdtEndPr>
            <w:rPr>
              <w:rFonts w:ascii="宋体" w:hAnsi="宋体"/>
            </w:rPr>
          </w:sdtEndPr>
          <w:sdtContent>
            <w:tc>
              <w:tcPr>
                <w:tcW w:w="1696" w:type="pct"/>
              </w:tcPr>
              <w:p>
                <w:pPr>
                  <w:jc w:val="center"/>
                  <w:rPr>
                    <w:rFonts w:ascii="宋体" w:hAnsi="宋体"/>
                  </w:rPr>
                </w:pPr>
                <w:r>
                  <w:rPr>
                    <w:rFonts w:hint="eastAsia" w:ascii="宋体" w:hAnsi="宋体"/>
                  </w:rPr>
                  <w:t>期末余额</w:t>
                </w:r>
              </w:p>
            </w:tc>
          </w:sdtContent>
        </w:sdt>
        <w:sdt>
          <w:sdtPr>
            <w:rPr>
              <w:rFonts w:ascii="宋体" w:hAnsi="宋体"/>
            </w:rPr>
            <w:tag w:val="_PLD_11459cf9081a4b309da14403cad71071"/>
            <w:id w:val="-441608812"/>
          </w:sdtPr>
          <w:sdtEndPr>
            <w:rPr>
              <w:rFonts w:ascii="宋体" w:hAnsi="宋体"/>
            </w:rPr>
          </w:sdtEndPr>
          <w:sdtContent>
            <w:tc>
              <w:tcPr>
                <w:tcW w:w="1697" w:type="pct"/>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ind w:right="105"/>
              <w:rPr>
                <w:rFonts w:ascii="宋体" w:hAnsi="宋体"/>
              </w:rPr>
            </w:pPr>
            <w:r>
              <w:rPr>
                <w:rFonts w:hint="eastAsia" w:ascii="宋体" w:hAnsi="宋体"/>
              </w:rPr>
              <w:t>普通股股利</w:t>
            </w:r>
          </w:p>
        </w:tc>
        <w:tc>
          <w:tcPr>
            <w:tcW w:w="1696" w:type="pct"/>
            <w:vAlign w:val="center"/>
          </w:tcPr>
          <w:p>
            <w:pPr>
              <w:jc w:val="right"/>
              <w:rPr>
                <w:rFonts w:ascii="宋体" w:hAnsi="宋体"/>
              </w:rPr>
            </w:pPr>
            <w:r>
              <w:rPr>
                <w:rFonts w:ascii="宋体" w:hAnsi="宋体"/>
              </w:rPr>
              <w:t>2,931,471</w:t>
            </w:r>
          </w:p>
        </w:tc>
        <w:tc>
          <w:tcPr>
            <w:tcW w:w="1697" w:type="pct"/>
            <w:vAlign w:val="center"/>
          </w:tcPr>
          <w:p>
            <w:pPr>
              <w:jc w:val="right"/>
              <w:rPr>
                <w:rFonts w:ascii="宋体" w:hAnsi="宋体"/>
              </w:rPr>
            </w:pPr>
            <w:r>
              <w:rPr>
                <w:rFonts w:ascii="宋体" w:hAnsi="宋体"/>
              </w:rPr>
              <w:t>1,371,449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07" w:type="pct"/>
          </w:tcPr>
          <w:p>
            <w:pPr>
              <w:ind w:right="105"/>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合计</w:t>
            </w:r>
          </w:p>
        </w:tc>
        <w:tc>
          <w:tcPr>
            <w:tcW w:w="1696" w:type="pct"/>
            <w:vAlign w:val="center"/>
          </w:tcPr>
          <w:p>
            <w:pPr>
              <w:jc w:val="right"/>
              <w:rPr>
                <w:rFonts w:ascii="宋体" w:hAnsi="宋体"/>
              </w:rPr>
            </w:pPr>
            <w:r>
              <w:rPr>
                <w:rFonts w:ascii="宋体" w:hAnsi="宋体"/>
              </w:rPr>
              <w:t>2,931,471</w:t>
            </w:r>
          </w:p>
        </w:tc>
        <w:tc>
          <w:tcPr>
            <w:tcW w:w="1697" w:type="pct"/>
            <w:vAlign w:val="center"/>
          </w:tcPr>
          <w:p>
            <w:pPr>
              <w:jc w:val="right"/>
              <w:rPr>
                <w:rFonts w:ascii="宋体" w:hAnsi="宋体"/>
              </w:rPr>
            </w:pPr>
            <w:r>
              <w:rPr>
                <w:rFonts w:ascii="宋体" w:hAnsi="宋体"/>
              </w:rPr>
              <w:t>1,371,449</w:t>
            </w:r>
          </w:p>
        </w:tc>
      </w:tr>
    </w:tbl>
    <w:p>
      <w:pPr>
        <w:snapToGrid w:val="0"/>
      </w:pPr>
    </w:p>
    <w:p>
      <w:pPr>
        <w:pStyle w:val="505"/>
        <w:numPr>
          <w:ilvl w:val="0"/>
          <w:numId w:val="99"/>
        </w:numPr>
        <w:rPr>
          <w:rFonts w:ascii="宋体" w:hAnsi="宋体" w:eastAsia="宋体" w:cs="宋体"/>
          <w:kern w:val="0"/>
          <w:szCs w:val="24"/>
        </w:rPr>
      </w:pPr>
      <w:r>
        <w:rPr>
          <w:rFonts w:hint="eastAsia" w:ascii="宋体" w:hAnsi="宋体" w:eastAsia="宋体" w:cs="宋体"/>
          <w:kern w:val="0"/>
          <w:szCs w:val="24"/>
        </w:rPr>
        <w:t>其他应付款</w:t>
      </w:r>
    </w:p>
    <w:p>
      <w:pPr>
        <w:pStyle w:val="531"/>
      </w:pPr>
      <w:r>
        <w:rPr>
          <w:rFonts w:hint="eastAsia"/>
        </w:rPr>
        <w:t>按款项性质列示其他应付款</w:t>
      </w:r>
    </w:p>
    <w:sdt>
      <w:sdtPr>
        <w:alias w:val="是否适用：按款项性质列示其他应付款[双击切换]"/>
        <w:tag w:val="_GBC_57fbe084a94a43569e8618c84187e188"/>
        <w:id w:val="-145308716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应付款情况"/>
          <w:tag w:val="_GBC_d726e1428c6749b29d7f0a192835a738"/>
          <w:id w:val="7823934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其他应付款情况"/>
          <w:tag w:val="_GBC_d6d5ce55cea54bfdb348f465f935498d"/>
          <w:id w:val="15096423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3"/>
        <w:gridCol w:w="2999"/>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93c8bd274adc4f10996e441415613a6a"/>
            <w:id w:val="1523816730"/>
          </w:sdtPr>
          <w:sdtEndPr>
            <w:rPr>
              <w:rFonts w:ascii="宋体" w:hAnsi="宋体"/>
            </w:rPr>
          </w:sdtEndPr>
          <w:sdtContent>
            <w:tc>
              <w:tcPr>
                <w:tcW w:w="1615" w:type="pct"/>
                <w:shd w:val="clear" w:color="auto" w:fill="auto"/>
              </w:tcPr>
              <w:p>
                <w:pPr>
                  <w:jc w:val="center"/>
                  <w:rPr>
                    <w:rFonts w:ascii="宋体" w:hAnsi="宋体"/>
                  </w:rPr>
                </w:pPr>
                <w:r>
                  <w:rPr>
                    <w:rFonts w:hint="eastAsia" w:ascii="宋体" w:hAnsi="宋体"/>
                  </w:rPr>
                  <w:t>项目</w:t>
                </w:r>
              </w:p>
            </w:tc>
          </w:sdtContent>
        </w:sdt>
        <w:sdt>
          <w:sdtPr>
            <w:rPr>
              <w:rFonts w:ascii="宋体" w:hAnsi="宋体"/>
            </w:rPr>
            <w:tag w:val="_PLD_a5c3f7ebd9dd4870a971a7b858fb9f49"/>
            <w:id w:val="-634639772"/>
          </w:sdtPr>
          <w:sdtEndPr>
            <w:rPr>
              <w:rFonts w:ascii="宋体" w:hAnsi="宋体"/>
            </w:rPr>
          </w:sdtEndPr>
          <w:sdtContent>
            <w:tc>
              <w:tcPr>
                <w:tcW w:w="1657" w:type="pct"/>
                <w:shd w:val="clear" w:color="auto" w:fill="auto"/>
              </w:tcPr>
              <w:p>
                <w:pPr>
                  <w:jc w:val="center"/>
                  <w:rPr>
                    <w:rFonts w:ascii="宋体" w:hAnsi="宋体"/>
                  </w:rPr>
                </w:pPr>
                <w:r>
                  <w:rPr>
                    <w:rFonts w:hint="eastAsia" w:ascii="宋体" w:hAnsi="宋体"/>
                  </w:rPr>
                  <w:t>期末余额</w:t>
                </w:r>
              </w:p>
            </w:tc>
          </w:sdtContent>
        </w:sdt>
        <w:sdt>
          <w:sdtPr>
            <w:rPr>
              <w:rFonts w:ascii="宋体" w:hAnsi="宋体"/>
            </w:rPr>
            <w:tag w:val="_PLD_f8823e49aba34d32b07cafa41f32e166"/>
            <w:id w:val="-1623224023"/>
          </w:sdtPr>
          <w:sdtEndPr>
            <w:rPr>
              <w:rFonts w:ascii="宋体" w:hAnsi="宋体"/>
            </w:rPr>
          </w:sdtEndPr>
          <w:sdtContent>
            <w:tc>
              <w:tcPr>
                <w:tcW w:w="1728" w:type="pct"/>
                <w:shd w:val="clear" w:color="auto" w:fill="auto"/>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vAlign w:val="center"/>
          </w:tcPr>
          <w:p>
            <w:pPr>
              <w:ind w:right="105"/>
              <w:rPr>
                <w:rFonts w:ascii="宋体" w:hAnsi="宋体"/>
              </w:rPr>
            </w:pPr>
            <w:r>
              <w:rPr>
                <w:rFonts w:hint="eastAsia" w:ascii="宋体" w:hAnsi="宋体"/>
              </w:rPr>
              <w:t>吸收存款</w:t>
            </w:r>
          </w:p>
        </w:tc>
        <w:tc>
          <w:tcPr>
            <w:tcW w:w="1657" w:type="pct"/>
            <w:shd w:val="clear" w:color="auto" w:fill="auto"/>
            <w:vAlign w:val="center"/>
          </w:tcPr>
          <w:p>
            <w:pPr>
              <w:jc w:val="right"/>
              <w:rPr>
                <w:rFonts w:ascii="宋体" w:hAnsi="宋体"/>
              </w:rPr>
            </w:pPr>
            <w:r>
              <w:rPr>
                <w:rFonts w:ascii="宋体" w:hAnsi="宋体"/>
              </w:rPr>
              <w:t>26,373,026</w:t>
            </w:r>
          </w:p>
        </w:tc>
        <w:tc>
          <w:tcPr>
            <w:tcW w:w="1728" w:type="pct"/>
            <w:shd w:val="clear" w:color="auto" w:fill="auto"/>
            <w:vAlign w:val="center"/>
          </w:tcPr>
          <w:p>
            <w:pPr>
              <w:jc w:val="right"/>
              <w:rPr>
                <w:rFonts w:ascii="宋体" w:hAnsi="宋体"/>
              </w:rPr>
            </w:pPr>
            <w:r>
              <w:rPr>
                <w:rFonts w:ascii="宋体" w:hAnsi="宋体"/>
              </w:rPr>
              <w:t>34,723,807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vAlign w:val="center"/>
          </w:tcPr>
          <w:p>
            <w:pPr>
              <w:ind w:right="105"/>
              <w:rPr>
                <w:rFonts w:ascii="宋体" w:hAnsi="宋体"/>
              </w:rPr>
            </w:pPr>
            <w:r>
              <w:rPr>
                <w:rFonts w:hint="eastAsia" w:ascii="宋体" w:hAnsi="宋体"/>
              </w:rPr>
              <w:t>应付投资款（注）</w:t>
            </w:r>
          </w:p>
        </w:tc>
        <w:tc>
          <w:tcPr>
            <w:tcW w:w="1657" w:type="pct"/>
            <w:shd w:val="clear" w:color="auto" w:fill="auto"/>
            <w:vAlign w:val="center"/>
          </w:tcPr>
          <w:p>
            <w:pPr>
              <w:jc w:val="right"/>
              <w:rPr>
                <w:rFonts w:ascii="宋体" w:hAnsi="宋体"/>
              </w:rPr>
            </w:pPr>
            <w:r>
              <w:rPr>
                <w:rFonts w:ascii="宋体" w:hAnsi="宋体"/>
              </w:rPr>
              <w:t>11,496,646</w:t>
            </w:r>
          </w:p>
        </w:tc>
        <w:tc>
          <w:tcPr>
            <w:tcW w:w="1728" w:type="pct"/>
            <w:shd w:val="clear" w:color="auto" w:fill="auto"/>
            <w:vAlign w:val="center"/>
          </w:tcPr>
          <w:p>
            <w:pPr>
              <w:jc w:val="right"/>
              <w:rPr>
                <w:rFonts w:ascii="宋体" w:hAnsi="宋体"/>
              </w:rPr>
            </w:pPr>
            <w:r>
              <w:rPr>
                <w:rFonts w:hint="eastAsia" w:ascii="宋体" w:hAnsi="宋体"/>
              </w:rPr>
              <w:t>458,700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vAlign w:val="center"/>
          </w:tcPr>
          <w:p>
            <w:pPr>
              <w:ind w:right="105"/>
              <w:rPr>
                <w:rFonts w:ascii="宋体" w:hAnsi="宋体"/>
              </w:rPr>
            </w:pPr>
            <w:r>
              <w:rPr>
                <w:rFonts w:hint="eastAsia" w:ascii="宋体" w:hAnsi="宋体"/>
              </w:rPr>
              <w:t>往来款</w:t>
            </w:r>
          </w:p>
        </w:tc>
        <w:tc>
          <w:tcPr>
            <w:tcW w:w="1657" w:type="pct"/>
            <w:shd w:val="clear" w:color="auto" w:fill="auto"/>
            <w:vAlign w:val="center"/>
          </w:tcPr>
          <w:p>
            <w:pPr>
              <w:jc w:val="right"/>
              <w:rPr>
                <w:rFonts w:ascii="宋体" w:hAnsi="宋体"/>
              </w:rPr>
            </w:pPr>
            <w:r>
              <w:rPr>
                <w:rFonts w:ascii="宋体" w:hAnsi="宋体"/>
              </w:rPr>
              <w:t>5,499,242</w:t>
            </w:r>
          </w:p>
        </w:tc>
        <w:tc>
          <w:tcPr>
            <w:tcW w:w="1728" w:type="pct"/>
            <w:shd w:val="clear" w:color="auto" w:fill="auto"/>
            <w:vAlign w:val="center"/>
          </w:tcPr>
          <w:p>
            <w:pPr>
              <w:jc w:val="right"/>
              <w:rPr>
                <w:rFonts w:ascii="宋体" w:hAnsi="宋体"/>
              </w:rPr>
            </w:pPr>
            <w:r>
              <w:rPr>
                <w:rFonts w:ascii="宋体" w:hAnsi="宋体"/>
              </w:rPr>
              <w:t>9,096,317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vAlign w:val="center"/>
          </w:tcPr>
          <w:p>
            <w:pPr>
              <w:ind w:right="105"/>
              <w:rPr>
                <w:rFonts w:ascii="宋体" w:hAnsi="宋体"/>
              </w:rPr>
            </w:pPr>
            <w:r>
              <w:rPr>
                <w:rFonts w:hint="eastAsia" w:ascii="宋体" w:hAnsi="宋体"/>
              </w:rPr>
              <w:t>应付探矿权款</w:t>
            </w:r>
          </w:p>
        </w:tc>
        <w:tc>
          <w:tcPr>
            <w:tcW w:w="1657" w:type="pct"/>
            <w:shd w:val="clear" w:color="auto" w:fill="auto"/>
            <w:vAlign w:val="center"/>
          </w:tcPr>
          <w:p>
            <w:pPr>
              <w:jc w:val="right"/>
              <w:rPr>
                <w:rFonts w:ascii="宋体" w:hAnsi="宋体"/>
              </w:rPr>
            </w:pPr>
            <w:r>
              <w:rPr>
                <w:rFonts w:ascii="宋体" w:hAnsi="宋体"/>
              </w:rPr>
              <w:t>3,716,710</w:t>
            </w:r>
          </w:p>
        </w:tc>
        <w:tc>
          <w:tcPr>
            <w:tcW w:w="1728" w:type="pct"/>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vAlign w:val="center"/>
          </w:tcPr>
          <w:p>
            <w:pPr>
              <w:ind w:right="105"/>
              <w:rPr>
                <w:rFonts w:ascii="宋体" w:hAnsi="宋体"/>
              </w:rPr>
            </w:pPr>
            <w:r>
              <w:rPr>
                <w:rFonts w:hint="eastAsia" w:ascii="宋体" w:hAnsi="宋体"/>
              </w:rPr>
              <w:t>矿业权出让收益</w:t>
            </w:r>
          </w:p>
        </w:tc>
        <w:tc>
          <w:tcPr>
            <w:tcW w:w="1657" w:type="pct"/>
            <w:shd w:val="clear" w:color="auto" w:fill="auto"/>
            <w:vAlign w:val="center"/>
          </w:tcPr>
          <w:p>
            <w:pPr>
              <w:jc w:val="right"/>
              <w:rPr>
                <w:rFonts w:ascii="宋体" w:hAnsi="宋体"/>
              </w:rPr>
            </w:pPr>
            <w:r>
              <w:rPr>
                <w:rFonts w:ascii="宋体" w:hAnsi="宋体"/>
              </w:rPr>
              <w:t>1,520,189</w:t>
            </w:r>
          </w:p>
        </w:tc>
        <w:tc>
          <w:tcPr>
            <w:tcW w:w="1728" w:type="pct"/>
            <w:shd w:val="clear" w:color="auto" w:fill="auto"/>
            <w:vAlign w:val="center"/>
          </w:tcPr>
          <w:p>
            <w:pPr>
              <w:jc w:val="right"/>
              <w:rPr>
                <w:rFonts w:ascii="宋体" w:hAnsi="宋体"/>
              </w:rPr>
            </w:pPr>
            <w:r>
              <w:rPr>
                <w:rFonts w:ascii="宋体" w:hAnsi="宋体"/>
              </w:rPr>
              <w:t>1,324,343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vAlign w:val="center"/>
          </w:tcPr>
          <w:p>
            <w:pPr>
              <w:ind w:right="105"/>
              <w:rPr>
                <w:rFonts w:ascii="宋体" w:hAnsi="宋体"/>
              </w:rPr>
            </w:pPr>
            <w:r>
              <w:rPr>
                <w:rFonts w:hint="eastAsia" w:ascii="宋体" w:hAnsi="宋体"/>
              </w:rPr>
              <w:t>押金保证金</w:t>
            </w:r>
          </w:p>
        </w:tc>
        <w:tc>
          <w:tcPr>
            <w:tcW w:w="1657" w:type="pct"/>
            <w:shd w:val="clear" w:color="auto" w:fill="auto"/>
            <w:vAlign w:val="center"/>
          </w:tcPr>
          <w:p>
            <w:pPr>
              <w:jc w:val="right"/>
              <w:rPr>
                <w:rFonts w:ascii="宋体" w:hAnsi="宋体"/>
              </w:rPr>
            </w:pPr>
            <w:r>
              <w:rPr>
                <w:rFonts w:hint="eastAsia" w:ascii="宋体" w:hAnsi="宋体"/>
              </w:rPr>
              <w:t>686,422</w:t>
            </w:r>
          </w:p>
        </w:tc>
        <w:tc>
          <w:tcPr>
            <w:tcW w:w="1728" w:type="pct"/>
            <w:shd w:val="clear" w:color="auto" w:fill="auto"/>
            <w:vAlign w:val="center"/>
          </w:tcPr>
          <w:p>
            <w:pPr>
              <w:jc w:val="right"/>
              <w:rPr>
                <w:rFonts w:ascii="宋体" w:hAnsi="宋体"/>
              </w:rPr>
            </w:pPr>
            <w:r>
              <w:rPr>
                <w:rFonts w:hint="eastAsia" w:ascii="宋体" w:hAnsi="宋体"/>
              </w:rPr>
              <w:t>628,716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vAlign w:val="center"/>
          </w:tcPr>
          <w:p>
            <w:pPr>
              <w:ind w:right="105"/>
              <w:rPr>
                <w:rFonts w:ascii="宋体" w:hAnsi="宋体"/>
              </w:rPr>
            </w:pPr>
            <w:r>
              <w:rPr>
                <w:rFonts w:hint="eastAsia" w:ascii="宋体" w:hAnsi="宋体"/>
              </w:rPr>
              <w:t>应付代扣款</w:t>
            </w:r>
          </w:p>
        </w:tc>
        <w:tc>
          <w:tcPr>
            <w:tcW w:w="1657" w:type="pct"/>
            <w:shd w:val="clear" w:color="auto" w:fill="auto"/>
            <w:vAlign w:val="center"/>
          </w:tcPr>
          <w:p>
            <w:pPr>
              <w:jc w:val="right"/>
              <w:rPr>
                <w:rFonts w:ascii="宋体" w:hAnsi="宋体"/>
              </w:rPr>
            </w:pPr>
            <w:r>
              <w:rPr>
                <w:rFonts w:hint="eastAsia" w:ascii="宋体" w:hAnsi="宋体"/>
              </w:rPr>
              <w:t>571,720</w:t>
            </w:r>
          </w:p>
        </w:tc>
        <w:tc>
          <w:tcPr>
            <w:tcW w:w="1728" w:type="pct"/>
            <w:shd w:val="clear" w:color="auto" w:fill="auto"/>
            <w:vAlign w:val="center"/>
          </w:tcPr>
          <w:p>
            <w:pPr>
              <w:jc w:val="right"/>
              <w:rPr>
                <w:rFonts w:ascii="宋体" w:hAnsi="宋体"/>
              </w:rPr>
            </w:pPr>
            <w:r>
              <w:rPr>
                <w:rFonts w:hint="eastAsia" w:ascii="宋体" w:hAnsi="宋体"/>
              </w:rPr>
              <w:t>706,802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vAlign w:val="center"/>
          </w:tcPr>
          <w:p>
            <w:pPr>
              <w:ind w:right="105"/>
              <w:rPr>
                <w:rFonts w:ascii="宋体" w:hAnsi="宋体"/>
              </w:rPr>
            </w:pPr>
            <w:r>
              <w:rPr>
                <w:rFonts w:hint="eastAsia" w:ascii="宋体" w:hAnsi="宋体"/>
              </w:rPr>
              <w:t>限制性股票回购义务</w:t>
            </w:r>
          </w:p>
        </w:tc>
        <w:tc>
          <w:tcPr>
            <w:tcW w:w="1657" w:type="pct"/>
            <w:shd w:val="clear" w:color="auto" w:fill="auto"/>
            <w:vAlign w:val="center"/>
          </w:tcPr>
          <w:p>
            <w:pPr>
              <w:jc w:val="right"/>
              <w:rPr>
                <w:rFonts w:ascii="宋体" w:hAnsi="宋体"/>
              </w:rPr>
            </w:pPr>
            <w:r>
              <w:rPr>
                <w:rFonts w:hint="eastAsia" w:ascii="宋体" w:hAnsi="宋体"/>
              </w:rPr>
              <w:t>324,980</w:t>
            </w:r>
          </w:p>
        </w:tc>
        <w:tc>
          <w:tcPr>
            <w:tcW w:w="1728" w:type="pct"/>
            <w:shd w:val="clear" w:color="auto" w:fill="auto"/>
            <w:vAlign w:val="center"/>
          </w:tcPr>
          <w:p>
            <w:pPr>
              <w:jc w:val="right"/>
              <w:rPr>
                <w:rFonts w:ascii="宋体" w:hAnsi="宋体"/>
              </w:rPr>
            </w:pPr>
            <w:r>
              <w:rPr>
                <w:rFonts w:hint="eastAsia" w:ascii="宋体" w:hAnsi="宋体"/>
              </w:rPr>
              <w:t>723,593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vAlign w:val="center"/>
          </w:tcPr>
          <w:p>
            <w:pPr>
              <w:ind w:right="105"/>
              <w:rPr>
                <w:rFonts w:ascii="宋体" w:hAnsi="宋体"/>
              </w:rPr>
            </w:pPr>
            <w:r>
              <w:rPr>
                <w:rFonts w:hint="eastAsia" w:ascii="宋体" w:hAnsi="宋体"/>
              </w:rPr>
              <w:t>工程款</w:t>
            </w:r>
          </w:p>
        </w:tc>
        <w:tc>
          <w:tcPr>
            <w:tcW w:w="1657" w:type="pct"/>
            <w:shd w:val="clear" w:color="auto" w:fill="auto"/>
            <w:vAlign w:val="center"/>
          </w:tcPr>
          <w:p>
            <w:pPr>
              <w:jc w:val="right"/>
              <w:rPr>
                <w:rFonts w:ascii="宋体" w:hAnsi="宋体"/>
              </w:rPr>
            </w:pPr>
            <w:r>
              <w:rPr>
                <w:rFonts w:hint="eastAsia" w:ascii="宋体" w:hAnsi="宋体"/>
              </w:rPr>
              <w:t>81,028</w:t>
            </w:r>
          </w:p>
        </w:tc>
        <w:tc>
          <w:tcPr>
            <w:tcW w:w="1728" w:type="pct"/>
            <w:shd w:val="clear" w:color="auto" w:fill="auto"/>
            <w:vAlign w:val="center"/>
          </w:tcPr>
          <w:p>
            <w:pPr>
              <w:jc w:val="right"/>
              <w:rPr>
                <w:rFonts w:ascii="宋体" w:hAnsi="宋体"/>
              </w:rPr>
            </w:pPr>
            <w:r>
              <w:rPr>
                <w:rFonts w:hint="eastAsia" w:ascii="宋体" w:hAnsi="宋体"/>
              </w:rPr>
              <w:t>50,060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vAlign w:val="center"/>
          </w:tcPr>
          <w:p>
            <w:pPr>
              <w:ind w:right="105"/>
              <w:rPr>
                <w:rFonts w:ascii="宋体" w:hAnsi="宋体"/>
              </w:rPr>
            </w:pPr>
            <w:r>
              <w:rPr>
                <w:rFonts w:hint="eastAsia" w:ascii="宋体" w:hAnsi="宋体"/>
              </w:rPr>
              <w:t>其他</w:t>
            </w:r>
          </w:p>
        </w:tc>
        <w:tc>
          <w:tcPr>
            <w:tcW w:w="1657" w:type="pct"/>
            <w:shd w:val="clear" w:color="auto" w:fill="auto"/>
            <w:vAlign w:val="center"/>
          </w:tcPr>
          <w:p>
            <w:pPr>
              <w:jc w:val="right"/>
              <w:rPr>
                <w:rFonts w:ascii="宋体" w:hAnsi="宋体"/>
              </w:rPr>
            </w:pPr>
            <w:r>
              <w:rPr>
                <w:rFonts w:ascii="宋体" w:hAnsi="宋体"/>
              </w:rPr>
              <w:t>185,389</w:t>
            </w:r>
          </w:p>
        </w:tc>
        <w:tc>
          <w:tcPr>
            <w:tcW w:w="1728" w:type="pct"/>
            <w:shd w:val="clear" w:color="auto" w:fill="auto"/>
            <w:vAlign w:val="center"/>
          </w:tcPr>
          <w:p>
            <w:pPr>
              <w:jc w:val="right"/>
              <w:rPr>
                <w:rFonts w:ascii="宋体" w:hAnsi="宋体"/>
              </w:rPr>
            </w:pPr>
            <w:r>
              <w:rPr>
                <w:rFonts w:ascii="宋体" w:hAnsi="宋体"/>
              </w:rPr>
              <w:t>279,010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合计</w:t>
            </w:r>
          </w:p>
        </w:tc>
        <w:tc>
          <w:tcPr>
            <w:tcW w:w="1657" w:type="pct"/>
            <w:shd w:val="clear" w:color="auto" w:fill="auto"/>
            <w:vAlign w:val="center"/>
          </w:tcPr>
          <w:p>
            <w:pPr>
              <w:jc w:val="right"/>
              <w:rPr>
                <w:rFonts w:ascii="宋体" w:hAnsi="宋体"/>
              </w:rPr>
            </w:pPr>
            <w:r>
              <w:rPr>
                <w:rFonts w:ascii="宋体" w:hAnsi="宋体"/>
              </w:rPr>
              <w:t>50,455,352</w:t>
            </w:r>
          </w:p>
        </w:tc>
        <w:tc>
          <w:tcPr>
            <w:tcW w:w="1728" w:type="pct"/>
            <w:shd w:val="clear" w:color="auto" w:fill="auto"/>
            <w:vAlign w:val="center"/>
          </w:tcPr>
          <w:p>
            <w:pPr>
              <w:jc w:val="right"/>
              <w:rPr>
                <w:rFonts w:ascii="宋体" w:hAnsi="宋体"/>
              </w:rPr>
            </w:pPr>
            <w:r>
              <w:rPr>
                <w:rFonts w:ascii="宋体" w:hAnsi="宋体"/>
              </w:rPr>
              <w:t>47,991,348</w:t>
            </w:r>
          </w:p>
        </w:tc>
      </w:tr>
    </w:tbl>
    <w:p>
      <w:pPr>
        <w:pStyle w:val="501"/>
      </w:pPr>
    </w:p>
    <w:p>
      <w:pPr>
        <w:pStyle w:val="531"/>
      </w:pPr>
      <w:r>
        <w:rPr>
          <w:rFonts w:hint="eastAsia"/>
        </w:rPr>
        <w:t>账龄超过</w:t>
      </w:r>
      <w:r>
        <w:t>1年</w:t>
      </w:r>
      <w:r>
        <w:rPr>
          <w:rFonts w:hint="eastAsia"/>
        </w:rPr>
        <w:t>或逾期</w:t>
      </w:r>
      <w:r>
        <w:t>的重要其他应付款</w:t>
      </w:r>
    </w:p>
    <w:p>
      <w:pPr>
        <w:pStyle w:val="531"/>
      </w:pPr>
      <w:sdt>
        <w:sdtPr>
          <w:alias w:val="是否适用：账龄超过1年的重要其他应付款[双击切换]"/>
          <w:tag w:val="_GBC_fcaee62c74504c20ba2aca131c060029"/>
          <w:id w:val="667449110"/>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账龄超过1年的重要其他应付款"/>
          <w:tag w:val="_GBC_e21231b7e5484676830a99cc2a6d76a0"/>
          <w:id w:val="-4904019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账龄超过1年的重要其他应付款"/>
          <w:tag w:val="_GBC_5e3f99162ac34319b05e54b554619653"/>
          <w:id w:val="2224999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28"/>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sdt>
          <w:sdtPr>
            <w:rPr>
              <w:rFonts w:ascii="宋体" w:hAnsi="宋体"/>
            </w:rPr>
            <w:tag w:val="_PLD_14d2af0850664c16b8395770ef822d33"/>
            <w:id w:val="-1220660558"/>
          </w:sdtPr>
          <w:sdtEndPr>
            <w:rPr>
              <w:rFonts w:ascii="宋体" w:hAnsi="宋体"/>
            </w:rPr>
          </w:sdtEndPr>
          <w:sdtContent>
            <w:tc>
              <w:tcPr>
                <w:tcW w:w="1607" w:type="pc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c469b5a44aaf475d9fd5270a942f9c4a"/>
            <w:id w:val="447736816"/>
          </w:sdtPr>
          <w:sdtEndPr>
            <w:rPr>
              <w:rFonts w:ascii="宋体" w:hAnsi="宋体"/>
            </w:rPr>
          </w:sdtEndPr>
          <w:sdtContent>
            <w:tc>
              <w:tcPr>
                <w:tcW w:w="1673" w:type="pct"/>
                <w:shd w:val="clear" w:color="auto" w:fill="auto"/>
                <w:vAlign w:val="center"/>
              </w:tcPr>
              <w:p>
                <w:pPr>
                  <w:jc w:val="center"/>
                  <w:rPr>
                    <w:rFonts w:ascii="宋体" w:hAnsi="宋体"/>
                  </w:rPr>
                </w:pPr>
                <w:r>
                  <w:rPr>
                    <w:rFonts w:hint="eastAsia" w:ascii="宋体" w:hAnsi="宋体"/>
                  </w:rPr>
                  <w:t>期末余额</w:t>
                </w:r>
              </w:p>
            </w:tc>
          </w:sdtContent>
        </w:sdt>
        <w:sdt>
          <w:sdtPr>
            <w:rPr>
              <w:rFonts w:ascii="宋体" w:hAnsi="宋体"/>
            </w:rPr>
            <w:tag w:val="_PLD_94367c3bf4fa488b95d154694ccf77ca"/>
            <w:id w:val="-1270309560"/>
          </w:sdtPr>
          <w:sdtEndPr>
            <w:rPr>
              <w:rFonts w:ascii="宋体" w:hAnsi="宋体"/>
            </w:rPr>
          </w:sdtEndPr>
          <w:sdtContent>
            <w:tc>
              <w:tcPr>
                <w:tcW w:w="1720" w:type="pct"/>
                <w:shd w:val="clear" w:color="auto" w:fill="auto"/>
                <w:vAlign w:val="center"/>
              </w:tcPr>
              <w:p>
                <w:pPr>
                  <w:jc w:val="center"/>
                  <w:rPr>
                    <w:rFonts w:ascii="宋体" w:hAnsi="宋体"/>
                  </w:rPr>
                </w:pPr>
                <w:r>
                  <w:rPr>
                    <w:rFonts w:hint="eastAsia" w:ascii="宋体" w:hAnsi="宋体"/>
                  </w:rPr>
                  <w:t>未偿还或结转的原因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ind w:right="105"/>
              <w:rPr>
                <w:rFonts w:ascii="宋体" w:hAnsi="宋体"/>
              </w:rPr>
            </w:pPr>
            <w:r>
              <w:rPr>
                <w:rFonts w:hint="eastAsia" w:ascii="宋体" w:hAnsi="宋体"/>
              </w:rPr>
              <w:t>公司1</w:t>
            </w:r>
          </w:p>
        </w:tc>
        <w:tc>
          <w:tcPr>
            <w:tcW w:w="1673" w:type="pct"/>
            <w:shd w:val="clear" w:color="auto" w:fill="auto"/>
            <w:vAlign w:val="center"/>
          </w:tcPr>
          <w:p>
            <w:pPr>
              <w:ind w:right="105"/>
              <w:jc w:val="right"/>
              <w:rPr>
                <w:rFonts w:ascii="宋体" w:hAnsi="宋体"/>
              </w:rPr>
            </w:pPr>
            <w:r>
              <w:rPr>
                <w:rFonts w:ascii="宋体" w:hAnsi="宋体"/>
              </w:rPr>
              <w:t>900,000</w:t>
            </w:r>
          </w:p>
        </w:tc>
        <w:tc>
          <w:tcPr>
            <w:tcW w:w="1720" w:type="pct"/>
            <w:shd w:val="clear" w:color="auto" w:fill="auto"/>
            <w:vAlign w:val="center"/>
          </w:tcPr>
          <w:p>
            <w:pPr>
              <w:ind w:right="105"/>
              <w:rPr>
                <w:rFonts w:ascii="宋体" w:hAnsi="宋体"/>
              </w:rPr>
            </w:pPr>
            <w:r>
              <w:rPr>
                <w:rFonts w:hint="eastAsia" w:ascii="宋体" w:hAnsi="宋体"/>
              </w:rPr>
              <w:t>未到结算期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ind w:right="105"/>
              <w:rPr>
                <w:rFonts w:ascii="宋体" w:hAnsi="宋体"/>
              </w:rPr>
            </w:pPr>
            <w:r>
              <w:rPr>
                <w:rFonts w:hint="eastAsia" w:ascii="宋体" w:hAnsi="宋体"/>
              </w:rPr>
              <w:t>公司</w:t>
            </w:r>
            <w:r>
              <w:rPr>
                <w:rFonts w:ascii="宋体" w:hAnsi="宋体"/>
              </w:rPr>
              <w:t>2</w:t>
            </w:r>
          </w:p>
        </w:tc>
        <w:tc>
          <w:tcPr>
            <w:tcW w:w="1673" w:type="pct"/>
            <w:shd w:val="clear" w:color="auto" w:fill="auto"/>
            <w:vAlign w:val="center"/>
          </w:tcPr>
          <w:p>
            <w:pPr>
              <w:ind w:right="105"/>
              <w:jc w:val="right"/>
              <w:rPr>
                <w:rFonts w:ascii="宋体" w:hAnsi="宋体"/>
              </w:rPr>
            </w:pPr>
            <w:r>
              <w:rPr>
                <w:rFonts w:ascii="宋体" w:hAnsi="宋体"/>
              </w:rPr>
              <w:t>468,518</w:t>
            </w:r>
          </w:p>
        </w:tc>
        <w:tc>
          <w:tcPr>
            <w:tcW w:w="1720" w:type="pct"/>
            <w:shd w:val="clear" w:color="auto" w:fill="auto"/>
            <w:vAlign w:val="center"/>
          </w:tcPr>
          <w:p>
            <w:pPr>
              <w:ind w:right="105"/>
              <w:rPr>
                <w:rFonts w:ascii="宋体" w:hAnsi="宋体"/>
              </w:rPr>
            </w:pPr>
            <w:r>
              <w:rPr>
                <w:rFonts w:hint="eastAsia" w:ascii="宋体" w:hAnsi="宋体"/>
              </w:rPr>
              <w:t>未到结算期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vAlign w:val="center"/>
          </w:tcPr>
          <w:p>
            <w:pPr>
              <w:ind w:right="105"/>
              <w:rPr>
                <w:rFonts w:ascii="宋体" w:hAnsi="宋体"/>
              </w:rPr>
            </w:pPr>
            <w:r>
              <w:rPr>
                <w:rFonts w:hint="eastAsia" w:ascii="宋体" w:hAnsi="宋体"/>
              </w:rPr>
              <w:t>应付股权投资款</w:t>
            </w:r>
          </w:p>
        </w:tc>
        <w:tc>
          <w:tcPr>
            <w:tcW w:w="1673" w:type="pct"/>
            <w:shd w:val="clear" w:color="auto" w:fill="auto"/>
            <w:vAlign w:val="center"/>
          </w:tcPr>
          <w:p>
            <w:pPr>
              <w:ind w:right="105"/>
              <w:jc w:val="right"/>
              <w:rPr>
                <w:rFonts w:ascii="宋体" w:hAnsi="宋体"/>
              </w:rPr>
            </w:pPr>
            <w:r>
              <w:rPr>
                <w:rFonts w:ascii="宋体" w:hAnsi="宋体"/>
              </w:rPr>
              <w:t>425,121</w:t>
            </w:r>
          </w:p>
        </w:tc>
        <w:tc>
          <w:tcPr>
            <w:tcW w:w="1720" w:type="pct"/>
            <w:shd w:val="clear" w:color="auto" w:fill="auto"/>
            <w:vAlign w:val="center"/>
          </w:tcPr>
          <w:p>
            <w:pPr>
              <w:ind w:right="105"/>
              <w:rPr>
                <w:rFonts w:ascii="宋体" w:hAnsi="宋体"/>
              </w:rPr>
            </w:pPr>
            <w:r>
              <w:rPr>
                <w:rFonts w:hint="eastAsia" w:ascii="宋体" w:hAnsi="宋体"/>
              </w:rPr>
              <w:t>股权投资款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ind w:right="105"/>
              <w:rPr>
                <w:rFonts w:ascii="宋体" w:hAnsi="宋体"/>
              </w:rPr>
            </w:pPr>
            <w:r>
              <w:rPr>
                <w:rFonts w:hint="eastAsia" w:ascii="宋体" w:hAnsi="宋体"/>
              </w:rPr>
              <w:t>公司3</w:t>
            </w:r>
          </w:p>
        </w:tc>
        <w:tc>
          <w:tcPr>
            <w:tcW w:w="1673" w:type="pct"/>
            <w:shd w:val="clear" w:color="auto" w:fill="auto"/>
            <w:vAlign w:val="center"/>
          </w:tcPr>
          <w:p>
            <w:pPr>
              <w:ind w:right="105"/>
              <w:jc w:val="right"/>
              <w:rPr>
                <w:rFonts w:ascii="宋体" w:hAnsi="宋体"/>
              </w:rPr>
            </w:pPr>
            <w:r>
              <w:rPr>
                <w:rFonts w:ascii="宋体" w:hAnsi="宋体"/>
              </w:rPr>
              <w:t>316,770</w:t>
            </w:r>
          </w:p>
        </w:tc>
        <w:tc>
          <w:tcPr>
            <w:tcW w:w="1720" w:type="pct"/>
            <w:shd w:val="clear" w:color="auto" w:fill="auto"/>
            <w:vAlign w:val="center"/>
          </w:tcPr>
          <w:p>
            <w:pPr>
              <w:ind w:right="105"/>
              <w:rPr>
                <w:rFonts w:ascii="宋体" w:hAnsi="宋体"/>
              </w:rPr>
            </w:pPr>
            <w:r>
              <w:rPr>
                <w:rFonts w:hint="eastAsia" w:ascii="宋体" w:hAnsi="宋体"/>
              </w:rPr>
              <w:t>未到结算期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vAlign w:val="center"/>
          </w:tcPr>
          <w:p>
            <w:pPr>
              <w:jc w:val="center"/>
              <w:rPr>
                <w:rFonts w:ascii="宋体" w:hAnsi="宋体"/>
              </w:rPr>
            </w:pPr>
            <w:r>
              <w:rPr>
                <w:rFonts w:hint="eastAsia" w:ascii="宋体" w:hAnsi="宋体"/>
              </w:rPr>
              <w:t>合计</w:t>
            </w:r>
          </w:p>
        </w:tc>
        <w:tc>
          <w:tcPr>
            <w:tcW w:w="1673" w:type="pct"/>
            <w:shd w:val="clear" w:color="auto" w:fill="auto"/>
          </w:tcPr>
          <w:p>
            <w:pPr>
              <w:jc w:val="right"/>
              <w:rPr>
                <w:rFonts w:ascii="宋体" w:hAnsi="宋体"/>
              </w:rPr>
            </w:pPr>
            <w:r>
              <w:rPr>
                <w:rFonts w:ascii="宋体" w:hAnsi="宋体"/>
              </w:rPr>
              <w:t>2,110,409</w:t>
            </w:r>
          </w:p>
        </w:tc>
        <w:tc>
          <w:tcPr>
            <w:tcW w:w="1720" w:type="pct"/>
            <w:shd w:val="clear" w:color="auto" w:fill="auto"/>
          </w:tcPr>
          <w:p>
            <w:pPr>
              <w:jc w:val="center"/>
              <w:rPr>
                <w:rFonts w:ascii="宋体" w:hAnsi="宋体"/>
              </w:rPr>
            </w:pPr>
            <w:r>
              <w:rPr>
                <w:rFonts w:hint="eastAsia" w:ascii="宋体" w:hAnsi="宋体"/>
              </w:rPr>
              <w:t>/</w:t>
            </w:r>
          </w:p>
        </w:tc>
      </w:tr>
    </w:tbl>
    <w:p>
      <w:pPr>
        <w:pStyle w:val="531"/>
      </w:pPr>
    </w:p>
    <w:p>
      <w:pPr>
        <w:pStyle w:val="531"/>
      </w:pPr>
      <w:r>
        <w:rPr>
          <w:rFonts w:hint="eastAsia"/>
        </w:rPr>
        <w:t>其他说明：</w:t>
      </w:r>
    </w:p>
    <w:sdt>
      <w:sdtPr>
        <w:alias w:val="是否适用：其他应付款的其他说明[双击切换]"/>
        <w:tag w:val="_GBC_b02a256e4ac940019e9d9179cb6dc349"/>
        <w:id w:val="1069550763"/>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其他应付款的其他说明"/>
        <w:tag w:val="_GBC_6015f903b1b841e6ab0dfa28630a0ec1"/>
        <w:id w:val="1022666650"/>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注：本年度本公司向山东能源收购鲁西矿业有限公司及新疆能化有限公司2家公司，交易价格为</w:t>
          </w:r>
          <w:r>
            <w:rPr>
              <w:rFonts w:ascii="宋体" w:hAnsi="宋体"/>
            </w:rPr>
            <w:t>27,528,308</w:t>
          </w:r>
          <w:r>
            <w:rPr>
              <w:rFonts w:hint="eastAsia" w:ascii="宋体" w:hAnsi="宋体"/>
            </w:rPr>
            <w:t>千元，截至2023年12月31日尚有11,071,525千元未支付。</w:t>
          </w:r>
        </w:p>
      </w:sdtContent>
    </w:sdt>
    <w:p>
      <w:pPr>
        <w:pStyle w:val="501"/>
      </w:pPr>
    </w:p>
    <w:p>
      <w:pPr>
        <w:pStyle w:val="504"/>
        <w:numPr>
          <w:ilvl w:val="0"/>
          <w:numId w:val="69"/>
        </w:numPr>
        <w:tabs>
          <w:tab w:val="left" w:pos="504"/>
        </w:tabs>
        <w:rPr>
          <w:szCs w:val="21"/>
        </w:rPr>
      </w:pPr>
      <w:r>
        <w:rPr>
          <w:rFonts w:hint="eastAsia" w:ascii="宋体" w:hAnsi="宋体"/>
          <w:szCs w:val="21"/>
        </w:rPr>
        <w:t>持有</w:t>
      </w:r>
      <w:r>
        <w:rPr>
          <w:rFonts w:hint="eastAsia"/>
          <w:szCs w:val="21"/>
        </w:rPr>
        <w:t>待售负债</w:t>
      </w:r>
    </w:p>
    <w:bookmarkEnd w:id="309"/>
    <w:bookmarkEnd w:id="310"/>
    <w:sdt>
      <w:sdtPr>
        <w:alias w:val="是否适用：划分为持有待售的负债[双击切换]"/>
        <w:tag w:val="_GBC_4ea9b2c6d4024d74b39e491f80a07798"/>
        <w:id w:val="60655222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1年内到期的非流动负债</w:t>
      </w:r>
    </w:p>
    <w:sdt>
      <w:sdtPr>
        <w:alias w:val="是否适用：1年内到期的非流动负债[双击切换]"/>
        <w:tag w:val="_GBC_bf40c7464345405f8470856436e2c6a3"/>
        <w:id w:val="-1876382198"/>
        <w:placeholder>
          <w:docPart w:val="GBC22222222222222222222222222222"/>
        </w:placeholder>
      </w:sdtPr>
      <w:sdtContent>
        <w:p>
          <w:pPr>
            <w:pStyle w:val="531"/>
          </w:pPr>
          <w:bookmarkStart w:id="311" w:name="_Hlk241041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1年内到期的非流动负债情况"/>
          <w:tag w:val="_GBC_fc5bef9f043c4967ab706b443fc31d3c"/>
          <w:id w:val="5140426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1年内到期的非流动负债情况"/>
          <w:tag w:val="_GBC_fbd4d32585d945468e7aeae52abddc6f"/>
          <w:id w:val="-7609124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5"/>
        <w:gridCol w:w="1459"/>
        <w:gridCol w:w="1459"/>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宋体" w:hAnsi="宋体"/>
            </w:rPr>
            <w:tag w:val="_PLD_e20bf58d6f134f4caedbea03f8659c14"/>
            <w:id w:val="1876884442"/>
          </w:sdtPr>
          <w:sdtEndPr>
            <w:rPr>
              <w:rFonts w:ascii="宋体" w:hAnsi="宋体"/>
            </w:rPr>
          </w:sdtEndPr>
          <w:sdtContent>
            <w:tc>
              <w:tcPr>
                <w:tcW w:w="1959" w:type="pct"/>
                <w:shd w:val="clear" w:color="auto" w:fill="auto"/>
              </w:tcPr>
              <w:p>
                <w:pPr>
                  <w:jc w:val="center"/>
                  <w:rPr>
                    <w:rFonts w:ascii="宋体" w:hAnsi="宋体"/>
                  </w:rPr>
                </w:pPr>
                <w:r>
                  <w:rPr>
                    <w:rFonts w:hint="eastAsia" w:ascii="宋体" w:hAnsi="宋体"/>
                  </w:rPr>
                  <w:t>项目</w:t>
                </w:r>
              </w:p>
            </w:tc>
          </w:sdtContent>
        </w:sdt>
        <w:sdt>
          <w:sdtPr>
            <w:rPr>
              <w:rFonts w:ascii="宋体" w:hAnsi="宋体"/>
            </w:rPr>
            <w:tag w:val="_PLD_dad829d6a45646668218857399318d20"/>
            <w:id w:val="1023906466"/>
          </w:sdtPr>
          <w:sdtEndPr>
            <w:rPr>
              <w:rFonts w:ascii="宋体" w:hAnsi="宋体"/>
            </w:rPr>
          </w:sdtEndPr>
          <w:sdtContent>
            <w:tc>
              <w:tcPr>
                <w:tcW w:w="806" w:type="pct"/>
                <w:shd w:val="clear" w:color="auto" w:fill="auto"/>
              </w:tcPr>
              <w:p>
                <w:pPr>
                  <w:jc w:val="center"/>
                  <w:rPr>
                    <w:rFonts w:ascii="宋体" w:hAnsi="宋体"/>
                  </w:rPr>
                </w:pPr>
                <w:r>
                  <w:rPr>
                    <w:rFonts w:hint="eastAsia" w:ascii="宋体" w:hAnsi="宋体"/>
                  </w:rPr>
                  <w:t>期末余额</w:t>
                </w:r>
              </w:p>
            </w:tc>
          </w:sdtContent>
        </w:sdt>
        <w:sdt>
          <w:sdtPr>
            <w:rPr>
              <w:rFonts w:ascii="宋体" w:hAnsi="宋体"/>
            </w:rPr>
            <w:tag w:val="_PLD_9d1d036ddf0544b2b2ddd1dc5633a114"/>
            <w:id w:val="-1161778667"/>
          </w:sdtPr>
          <w:sdtEndPr>
            <w:rPr>
              <w:rFonts w:ascii="宋体" w:hAnsi="宋体"/>
            </w:rPr>
          </w:sdtEndPr>
          <w:sdtContent>
            <w:tc>
              <w:tcPr>
                <w:tcW w:w="806" w:type="pct"/>
                <w:shd w:val="clear" w:color="auto" w:fill="auto"/>
              </w:tcPr>
              <w:p>
                <w:pPr>
                  <w:jc w:val="center"/>
                  <w:rPr>
                    <w:rFonts w:ascii="宋体" w:hAnsi="宋体"/>
                  </w:rPr>
                </w:pPr>
                <w:r>
                  <w:rPr>
                    <w:rFonts w:hint="eastAsia" w:ascii="宋体" w:hAnsi="宋体"/>
                  </w:rPr>
                  <w:t>期初余额</w:t>
                </w:r>
              </w:p>
            </w:tc>
          </w:sdtContent>
        </w:sdt>
        <w:tc>
          <w:tcPr>
            <w:tcW w:w="1430" w:type="pct"/>
          </w:tcPr>
          <w:p>
            <w:pPr>
              <w:jc w:val="center"/>
              <w:rPr>
                <w:rFonts w:ascii="宋体" w:hAnsi="宋体"/>
              </w:rPr>
            </w:pPr>
            <w:r>
              <w:rPr>
                <w:rFonts w:hint="eastAsia" w:ascii="宋体" w:hAnsi="宋体"/>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9" w:type="pct"/>
            <w:shd w:val="clear" w:color="auto" w:fill="auto"/>
          </w:tcPr>
          <w:p>
            <w:pPr>
              <w:rPr>
                <w:rFonts w:ascii="宋体" w:hAnsi="宋体"/>
              </w:rPr>
            </w:pPr>
            <w:r>
              <w:rPr>
                <w:rFonts w:hint="eastAsia" w:ascii="宋体" w:hAnsi="宋体"/>
              </w:rPr>
              <w:t>1年内到期的应付债券</w:t>
            </w:r>
          </w:p>
        </w:tc>
        <w:tc>
          <w:tcPr>
            <w:tcW w:w="806" w:type="pct"/>
            <w:shd w:val="clear" w:color="auto" w:fill="auto"/>
            <w:vAlign w:val="center"/>
          </w:tcPr>
          <w:p>
            <w:pPr>
              <w:ind w:right="105"/>
              <w:jc w:val="right"/>
              <w:rPr>
                <w:rFonts w:ascii="宋体" w:hAnsi="宋体"/>
              </w:rPr>
            </w:pPr>
            <w:r>
              <w:rPr>
                <w:rFonts w:ascii="宋体" w:hAnsi="宋体"/>
              </w:rPr>
              <w:t>10,796,410</w:t>
            </w:r>
          </w:p>
        </w:tc>
        <w:tc>
          <w:tcPr>
            <w:tcW w:w="806" w:type="pct"/>
            <w:shd w:val="clear" w:color="auto" w:fill="auto"/>
            <w:vAlign w:val="center"/>
          </w:tcPr>
          <w:p>
            <w:pPr>
              <w:ind w:right="105"/>
              <w:jc w:val="right"/>
              <w:rPr>
                <w:rFonts w:ascii="宋体" w:hAnsi="宋体"/>
              </w:rPr>
            </w:pPr>
            <w:r>
              <w:rPr>
                <w:rFonts w:ascii="宋体" w:hAnsi="宋体"/>
              </w:rPr>
              <w:t>4,391,357</w:t>
            </w:r>
          </w:p>
        </w:tc>
        <w:tc>
          <w:tcPr>
            <w:tcW w:w="1430" w:type="pct"/>
            <w:vAlign w:val="center"/>
          </w:tcPr>
          <w:p>
            <w:pPr>
              <w:ind w:right="105"/>
              <w:rPr>
                <w:rFonts w:ascii="宋体" w:hAnsi="宋体"/>
              </w:rPr>
            </w:pPr>
            <w:r>
              <w:rPr>
                <w:rFonts w:hint="eastAsia" w:ascii="宋体" w:hAnsi="宋体"/>
              </w:rPr>
              <w:t>附注七、</w:t>
            </w:r>
            <w:r>
              <w:rPr>
                <w:rFonts w:ascii="宋体" w:hAnsi="宋体"/>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9" w:type="pct"/>
            <w:shd w:val="clear" w:color="auto" w:fill="auto"/>
          </w:tcPr>
          <w:p>
            <w:pPr>
              <w:rPr>
                <w:rFonts w:ascii="宋体" w:hAnsi="宋体"/>
              </w:rPr>
            </w:pPr>
            <w:r>
              <w:rPr>
                <w:rFonts w:hint="eastAsia" w:ascii="宋体" w:hAnsi="宋体"/>
              </w:rPr>
              <w:t>1年内到期的长期借款（注）</w:t>
            </w:r>
          </w:p>
        </w:tc>
        <w:tc>
          <w:tcPr>
            <w:tcW w:w="806" w:type="pct"/>
            <w:shd w:val="clear" w:color="auto" w:fill="auto"/>
            <w:vAlign w:val="center"/>
          </w:tcPr>
          <w:p>
            <w:pPr>
              <w:ind w:right="105"/>
              <w:jc w:val="right"/>
              <w:rPr>
                <w:rFonts w:ascii="宋体" w:hAnsi="宋体"/>
              </w:rPr>
            </w:pPr>
            <w:r>
              <w:rPr>
                <w:rFonts w:ascii="宋体" w:hAnsi="宋体"/>
              </w:rPr>
              <w:t>7,972,489</w:t>
            </w:r>
          </w:p>
        </w:tc>
        <w:tc>
          <w:tcPr>
            <w:tcW w:w="806" w:type="pct"/>
            <w:shd w:val="clear" w:color="auto" w:fill="auto"/>
            <w:vAlign w:val="center"/>
          </w:tcPr>
          <w:p>
            <w:pPr>
              <w:ind w:right="105"/>
              <w:jc w:val="right"/>
              <w:rPr>
                <w:rFonts w:ascii="宋体" w:hAnsi="宋体"/>
              </w:rPr>
            </w:pPr>
            <w:r>
              <w:rPr>
                <w:rFonts w:ascii="宋体" w:hAnsi="宋体"/>
              </w:rPr>
              <w:t>10,208,186</w:t>
            </w:r>
          </w:p>
        </w:tc>
        <w:tc>
          <w:tcPr>
            <w:tcW w:w="1430" w:type="pct"/>
          </w:tcPr>
          <w:p>
            <w:pPr>
              <w:ind w:right="105"/>
              <w:rPr>
                <w:rFonts w:ascii="宋体" w:hAnsi="宋体"/>
              </w:rPr>
            </w:pPr>
            <w:r>
              <w:rPr>
                <w:rFonts w:hint="eastAsia" w:ascii="宋体" w:hAnsi="宋体"/>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9" w:type="pct"/>
            <w:shd w:val="clear" w:color="auto" w:fill="auto"/>
          </w:tcPr>
          <w:p>
            <w:pPr>
              <w:rPr>
                <w:rFonts w:ascii="宋体" w:hAnsi="宋体"/>
              </w:rPr>
            </w:pPr>
            <w:r>
              <w:rPr>
                <w:rFonts w:hint="eastAsia" w:ascii="宋体" w:hAnsi="宋体"/>
              </w:rPr>
              <w:t>1年内到期的长期应付款</w:t>
            </w:r>
          </w:p>
        </w:tc>
        <w:tc>
          <w:tcPr>
            <w:tcW w:w="806" w:type="pct"/>
            <w:shd w:val="clear" w:color="auto" w:fill="auto"/>
            <w:vAlign w:val="center"/>
          </w:tcPr>
          <w:p>
            <w:pPr>
              <w:ind w:right="105"/>
              <w:jc w:val="right"/>
              <w:rPr>
                <w:rFonts w:ascii="宋体" w:hAnsi="宋体"/>
              </w:rPr>
            </w:pPr>
            <w:r>
              <w:rPr>
                <w:rFonts w:ascii="宋体" w:hAnsi="宋体"/>
              </w:rPr>
              <w:t>1,267,850</w:t>
            </w:r>
          </w:p>
        </w:tc>
        <w:tc>
          <w:tcPr>
            <w:tcW w:w="806" w:type="pct"/>
            <w:shd w:val="clear" w:color="auto" w:fill="auto"/>
            <w:vAlign w:val="center"/>
          </w:tcPr>
          <w:p>
            <w:pPr>
              <w:ind w:right="105"/>
              <w:jc w:val="right"/>
              <w:rPr>
                <w:rFonts w:ascii="宋体" w:hAnsi="宋体"/>
              </w:rPr>
            </w:pPr>
            <w:r>
              <w:rPr>
                <w:rFonts w:hint="eastAsia" w:ascii="宋体" w:hAnsi="宋体"/>
              </w:rPr>
              <w:t>993,884</w:t>
            </w:r>
          </w:p>
        </w:tc>
        <w:tc>
          <w:tcPr>
            <w:tcW w:w="1430" w:type="pct"/>
          </w:tcPr>
          <w:p>
            <w:pPr>
              <w:ind w:right="10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9" w:type="pct"/>
            <w:shd w:val="clear" w:color="auto" w:fill="auto"/>
          </w:tcPr>
          <w:p>
            <w:pPr>
              <w:rPr>
                <w:rFonts w:ascii="宋体" w:hAnsi="宋体"/>
              </w:rPr>
            </w:pPr>
            <w:r>
              <w:rPr>
                <w:rFonts w:hint="eastAsia" w:ascii="宋体" w:hAnsi="宋体"/>
              </w:rPr>
              <w:t>1年内到期的长期应付职工薪酬</w:t>
            </w:r>
          </w:p>
        </w:tc>
        <w:tc>
          <w:tcPr>
            <w:tcW w:w="806" w:type="pct"/>
            <w:shd w:val="clear" w:color="auto" w:fill="auto"/>
            <w:vAlign w:val="center"/>
          </w:tcPr>
          <w:p>
            <w:pPr>
              <w:ind w:right="105"/>
              <w:jc w:val="right"/>
              <w:rPr>
                <w:rFonts w:ascii="宋体" w:hAnsi="宋体"/>
              </w:rPr>
            </w:pPr>
            <w:r>
              <w:rPr>
                <w:rFonts w:ascii="宋体" w:hAnsi="宋体"/>
              </w:rPr>
              <w:t>409,490</w:t>
            </w:r>
          </w:p>
        </w:tc>
        <w:tc>
          <w:tcPr>
            <w:tcW w:w="806" w:type="pct"/>
            <w:shd w:val="clear" w:color="auto" w:fill="auto"/>
            <w:vAlign w:val="center"/>
          </w:tcPr>
          <w:p>
            <w:pPr>
              <w:ind w:right="105"/>
              <w:jc w:val="right"/>
              <w:rPr>
                <w:rFonts w:ascii="宋体" w:hAnsi="宋体"/>
              </w:rPr>
            </w:pPr>
            <w:r>
              <w:rPr>
                <w:rFonts w:ascii="宋体" w:hAnsi="宋体"/>
              </w:rPr>
              <w:t>419,430</w:t>
            </w:r>
          </w:p>
        </w:tc>
        <w:tc>
          <w:tcPr>
            <w:tcW w:w="1430" w:type="pct"/>
          </w:tcPr>
          <w:p>
            <w:pPr>
              <w:ind w:right="105"/>
              <w:rPr>
                <w:rFonts w:ascii="宋体" w:hAnsi="宋体"/>
              </w:rPr>
            </w:pPr>
            <w:r>
              <w:rPr>
                <w:rFonts w:hint="eastAsia" w:ascii="宋体" w:hAnsi="宋体"/>
              </w:rPr>
              <w:t>附注七、</w:t>
            </w:r>
            <w:r>
              <w:rPr>
                <w:rFonts w:ascii="宋体" w:hAnsi="宋体"/>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9" w:type="pct"/>
            <w:shd w:val="clear" w:color="auto" w:fill="auto"/>
          </w:tcPr>
          <w:p>
            <w:pPr>
              <w:pStyle w:val="531"/>
            </w:pPr>
            <w:r>
              <w:rPr>
                <w:rFonts w:hint="eastAsia"/>
              </w:rPr>
              <w:t>1年内到期的预计负债</w:t>
            </w:r>
          </w:p>
        </w:tc>
        <w:tc>
          <w:tcPr>
            <w:tcW w:w="806" w:type="pct"/>
            <w:shd w:val="clear" w:color="auto" w:fill="auto"/>
            <w:vAlign w:val="center"/>
          </w:tcPr>
          <w:p>
            <w:pPr>
              <w:ind w:right="105"/>
              <w:jc w:val="right"/>
              <w:rPr>
                <w:rFonts w:ascii="宋体" w:hAnsi="宋体"/>
              </w:rPr>
            </w:pPr>
            <w:r>
              <w:rPr>
                <w:rFonts w:hint="eastAsia" w:ascii="宋体" w:hAnsi="宋体"/>
              </w:rPr>
              <w:t>200,964</w:t>
            </w:r>
          </w:p>
        </w:tc>
        <w:tc>
          <w:tcPr>
            <w:tcW w:w="806" w:type="pct"/>
            <w:shd w:val="clear" w:color="auto" w:fill="auto"/>
            <w:vAlign w:val="center"/>
          </w:tcPr>
          <w:p>
            <w:pPr>
              <w:ind w:right="105"/>
              <w:jc w:val="right"/>
              <w:rPr>
                <w:rFonts w:ascii="宋体" w:hAnsi="宋体"/>
              </w:rPr>
            </w:pPr>
            <w:r>
              <w:rPr>
                <w:rFonts w:hint="eastAsia" w:ascii="宋体" w:hAnsi="宋体"/>
              </w:rPr>
              <w:t>66,851</w:t>
            </w:r>
          </w:p>
        </w:tc>
        <w:tc>
          <w:tcPr>
            <w:tcW w:w="1430" w:type="pct"/>
          </w:tcPr>
          <w:p>
            <w:pPr>
              <w:ind w:right="105"/>
              <w:rPr>
                <w:rFonts w:ascii="宋体" w:hAnsi="宋体"/>
              </w:rPr>
            </w:pPr>
            <w:r>
              <w:rPr>
                <w:rFonts w:hint="eastAsia" w:ascii="宋体" w:hAnsi="宋体"/>
              </w:rPr>
              <w:t>附注七、</w:t>
            </w:r>
            <w:r>
              <w:rPr>
                <w:rFonts w:ascii="宋体" w:hAnsi="宋体"/>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9" w:type="pct"/>
            <w:shd w:val="clear" w:color="auto" w:fill="auto"/>
          </w:tcPr>
          <w:p>
            <w:pPr>
              <w:rPr>
                <w:rFonts w:ascii="宋体" w:hAnsi="宋体"/>
              </w:rPr>
            </w:pPr>
            <w:r>
              <w:rPr>
                <w:rFonts w:hint="eastAsia" w:ascii="宋体" w:hAnsi="宋体"/>
              </w:rPr>
              <w:t>1年内到期的租赁负债</w:t>
            </w:r>
          </w:p>
        </w:tc>
        <w:tc>
          <w:tcPr>
            <w:tcW w:w="806" w:type="pct"/>
            <w:shd w:val="clear" w:color="auto" w:fill="auto"/>
            <w:vAlign w:val="center"/>
          </w:tcPr>
          <w:p>
            <w:pPr>
              <w:ind w:right="105"/>
              <w:jc w:val="right"/>
              <w:rPr>
                <w:rFonts w:ascii="宋体" w:hAnsi="宋体"/>
              </w:rPr>
            </w:pPr>
            <w:r>
              <w:rPr>
                <w:rFonts w:ascii="宋体" w:hAnsi="宋体"/>
              </w:rPr>
              <w:t>157,340</w:t>
            </w:r>
          </w:p>
        </w:tc>
        <w:tc>
          <w:tcPr>
            <w:tcW w:w="806" w:type="pct"/>
            <w:shd w:val="clear" w:color="auto" w:fill="auto"/>
            <w:vAlign w:val="center"/>
          </w:tcPr>
          <w:p>
            <w:pPr>
              <w:ind w:right="105"/>
              <w:jc w:val="right"/>
              <w:rPr>
                <w:rFonts w:ascii="宋体" w:hAnsi="宋体"/>
              </w:rPr>
            </w:pPr>
            <w:r>
              <w:rPr>
                <w:rFonts w:ascii="宋体" w:hAnsi="宋体"/>
              </w:rPr>
              <w:t>222,689</w:t>
            </w:r>
          </w:p>
        </w:tc>
        <w:tc>
          <w:tcPr>
            <w:tcW w:w="1430" w:type="pct"/>
          </w:tcPr>
          <w:p>
            <w:pPr>
              <w:ind w:right="10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9" w:type="pct"/>
            <w:shd w:val="clear" w:color="auto" w:fill="auto"/>
          </w:tcPr>
          <w:p>
            <w:pPr>
              <w:rPr>
                <w:rFonts w:ascii="宋体" w:hAnsi="宋体"/>
              </w:rPr>
            </w:pPr>
            <w:r>
              <w:rPr>
                <w:rFonts w:hint="eastAsia" w:ascii="宋体" w:hAnsi="宋体"/>
              </w:rPr>
              <w:t>1年内到期的其他非流动负债</w:t>
            </w:r>
          </w:p>
        </w:tc>
        <w:tc>
          <w:tcPr>
            <w:tcW w:w="806" w:type="pct"/>
            <w:shd w:val="clear" w:color="auto" w:fill="auto"/>
            <w:vAlign w:val="center"/>
          </w:tcPr>
          <w:p>
            <w:pPr>
              <w:ind w:right="105"/>
              <w:jc w:val="right"/>
              <w:rPr>
                <w:rFonts w:ascii="宋体" w:hAnsi="宋体"/>
              </w:rPr>
            </w:pPr>
          </w:p>
        </w:tc>
        <w:tc>
          <w:tcPr>
            <w:tcW w:w="806" w:type="pct"/>
            <w:shd w:val="clear" w:color="auto" w:fill="auto"/>
            <w:vAlign w:val="center"/>
          </w:tcPr>
          <w:p>
            <w:pPr>
              <w:ind w:right="105"/>
              <w:jc w:val="right"/>
              <w:rPr>
                <w:rFonts w:ascii="宋体" w:hAnsi="宋体"/>
              </w:rPr>
            </w:pPr>
            <w:r>
              <w:rPr>
                <w:rFonts w:ascii="宋体" w:hAnsi="宋体"/>
              </w:rPr>
              <w:t>566,117</w:t>
            </w:r>
          </w:p>
        </w:tc>
        <w:tc>
          <w:tcPr>
            <w:tcW w:w="1430" w:type="pct"/>
            <w:vAlign w:val="center"/>
          </w:tcPr>
          <w:p>
            <w:pPr>
              <w:ind w:right="10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9" w:type="pct"/>
            <w:shd w:val="clear" w:color="auto" w:fill="auto"/>
          </w:tcPr>
          <w:p>
            <w:pPr>
              <w:jc w:val="center"/>
              <w:rPr>
                <w:rFonts w:ascii="宋体" w:hAnsi="宋体"/>
              </w:rPr>
            </w:pPr>
            <w:r>
              <w:rPr>
                <w:rFonts w:hint="eastAsia" w:ascii="宋体" w:hAnsi="宋体"/>
              </w:rPr>
              <w:t>合计</w:t>
            </w:r>
          </w:p>
        </w:tc>
        <w:tc>
          <w:tcPr>
            <w:tcW w:w="806" w:type="pct"/>
            <w:shd w:val="clear" w:color="auto" w:fill="auto"/>
          </w:tcPr>
          <w:p>
            <w:pPr>
              <w:jc w:val="right"/>
              <w:rPr>
                <w:rFonts w:ascii="宋体" w:hAnsi="宋体"/>
              </w:rPr>
            </w:pPr>
            <w:r>
              <w:rPr>
                <w:rFonts w:ascii="宋体" w:hAnsi="宋体"/>
              </w:rPr>
              <w:t>20,804,543</w:t>
            </w:r>
          </w:p>
        </w:tc>
        <w:tc>
          <w:tcPr>
            <w:tcW w:w="806" w:type="pct"/>
            <w:shd w:val="clear" w:color="auto" w:fill="auto"/>
          </w:tcPr>
          <w:p>
            <w:pPr>
              <w:jc w:val="right"/>
              <w:rPr>
                <w:rFonts w:ascii="宋体" w:hAnsi="宋体"/>
              </w:rPr>
            </w:pPr>
            <w:r>
              <w:rPr>
                <w:rFonts w:ascii="宋体" w:hAnsi="宋体"/>
              </w:rPr>
              <w:t>16,868,514</w:t>
            </w:r>
          </w:p>
        </w:tc>
        <w:tc>
          <w:tcPr>
            <w:tcW w:w="1430" w:type="pct"/>
          </w:tcPr>
          <w:p>
            <w:pPr>
              <w:jc w:val="right"/>
              <w:rPr>
                <w:rFonts w:ascii="宋体" w:hAnsi="宋体"/>
              </w:rPr>
            </w:pPr>
          </w:p>
        </w:tc>
      </w:tr>
    </w:tbl>
    <w:p>
      <w:pPr>
        <w:spacing w:before="60" w:after="60"/>
      </w:pPr>
      <w:r>
        <w:rPr>
          <w:rFonts w:hint="eastAsia"/>
        </w:rPr>
        <w:t>其他说明：</w:t>
      </w:r>
    </w:p>
    <w:sdt>
      <w:sdtPr>
        <w:alias w:val="1年内到期的非流动负债说明"/>
        <w:tag w:val="_GBC_8d20cbb6880f4895b7051ae6dee973ca"/>
        <w:id w:val="1469084430"/>
        <w:placeholder>
          <w:docPart w:val="GBC22222222222222222222222222222"/>
        </w:placeholder>
      </w:sdtPr>
      <w:sdtEndPr>
        <w:rPr>
          <w:rFonts w:ascii="宋体" w:hAnsi="宋体"/>
        </w:rPr>
      </w:sdtEndPr>
      <w:sdtContent>
        <w:p>
          <w:pPr>
            <w:tabs>
              <w:tab w:val="left" w:pos="426"/>
              <w:tab w:val="left" w:pos="800"/>
              <w:tab w:val="left" w:pos="993"/>
              <w:tab w:val="left" w:pos="1220"/>
            </w:tabs>
            <w:spacing w:before="120" w:beforeLines="50" w:after="120" w:afterLines="50" w:line="360" w:lineRule="exact"/>
            <w:ind w:firstLine="420" w:firstLineChars="200"/>
            <w:rPr>
              <w:rFonts w:asciiTheme="majorEastAsia" w:hAnsiTheme="majorEastAsia" w:eastAsiaTheme="majorEastAsia"/>
              <w:kern w:val="0"/>
              <w:sz w:val="22"/>
              <w:szCs w:val="22"/>
            </w:rPr>
          </w:pPr>
          <w:r>
            <w:rPr>
              <w:rFonts w:hint="eastAsia"/>
            </w:rPr>
            <w:t>注：</w:t>
          </w:r>
          <w:r>
            <w:rPr>
              <w:rFonts w:hint="eastAsia" w:asciiTheme="majorEastAsia" w:hAnsiTheme="majorEastAsia" w:eastAsiaTheme="majorEastAsia"/>
              <w:kern w:val="0"/>
              <w:sz w:val="22"/>
              <w:szCs w:val="22"/>
            </w:rPr>
            <w:t>一年内到期的长期借款明细如下：</w:t>
          </w:r>
        </w:p>
        <w:tbl>
          <w:tblPr>
            <w:tblStyle w:val="9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5"/>
            <w:gridCol w:w="3047"/>
            <w:gridCol w:w="2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3" w:type="pct"/>
                <w:vAlign w:val="center"/>
              </w:tcPr>
              <w:p>
                <w:pPr>
                  <w:widowControl/>
                  <w:rPr>
                    <w:rFonts w:ascii="宋体" w:hAnsi="宋体"/>
                    <w:b/>
                    <w:bCs/>
                    <w:snapToGrid w:val="0"/>
                    <w:kern w:val="0"/>
                    <w:sz w:val="22"/>
                    <w:szCs w:val="22"/>
                    <w:lang w:val="en-GB" w:eastAsia="en-US"/>
                  </w:rPr>
                </w:pPr>
                <w:r>
                  <w:rPr>
                    <w:rFonts w:hint="eastAsia" w:ascii="宋体" w:hAnsi="宋体"/>
                    <w:b/>
                    <w:bCs/>
                    <w:snapToGrid w:val="0"/>
                    <w:kern w:val="0"/>
                    <w:sz w:val="22"/>
                    <w:szCs w:val="22"/>
                    <w:lang w:val="en-GB" w:eastAsia="en-US"/>
                  </w:rPr>
                  <w:t>借款类别</w:t>
                </w:r>
              </w:p>
            </w:tc>
            <w:tc>
              <w:tcPr>
                <w:tcW w:w="1683" w:type="pct"/>
                <w:vAlign w:val="center"/>
              </w:tcPr>
              <w:p>
                <w:pPr>
                  <w:widowControl/>
                  <w:jc w:val="center"/>
                  <w:rPr>
                    <w:rFonts w:ascii="宋体" w:hAnsi="宋体"/>
                    <w:b/>
                    <w:bCs/>
                    <w:snapToGrid w:val="0"/>
                    <w:kern w:val="0"/>
                    <w:sz w:val="22"/>
                    <w:szCs w:val="22"/>
                    <w:lang w:val="en-GB" w:eastAsia="en-US"/>
                  </w:rPr>
                </w:pPr>
                <w:r>
                  <w:rPr>
                    <w:rFonts w:hint="eastAsia" w:ascii="宋体" w:hAnsi="宋体"/>
                    <w:b/>
                    <w:bCs/>
                    <w:snapToGrid w:val="0"/>
                    <w:kern w:val="0"/>
                    <w:sz w:val="22"/>
                    <w:szCs w:val="22"/>
                    <w:lang w:val="en-GB" w:eastAsia="en-US"/>
                  </w:rPr>
                  <w:t>年末余额</w:t>
                </w:r>
              </w:p>
            </w:tc>
            <w:tc>
              <w:tcPr>
                <w:tcW w:w="1363" w:type="pct"/>
                <w:vAlign w:val="center"/>
              </w:tcPr>
              <w:p>
                <w:pPr>
                  <w:widowControl/>
                  <w:jc w:val="center"/>
                  <w:rPr>
                    <w:rFonts w:ascii="宋体" w:hAnsi="宋体"/>
                    <w:b/>
                    <w:bCs/>
                    <w:snapToGrid w:val="0"/>
                    <w:kern w:val="0"/>
                    <w:sz w:val="22"/>
                    <w:szCs w:val="22"/>
                    <w:lang w:val="en-GB" w:eastAsia="en-US"/>
                  </w:rPr>
                </w:pPr>
                <w:r>
                  <w:rPr>
                    <w:rFonts w:ascii="宋体" w:hAnsi="宋体"/>
                    <w:b/>
                    <w:bCs/>
                    <w:snapToGrid w:val="0"/>
                    <w:kern w:val="0"/>
                    <w:sz w:val="22"/>
                    <w:szCs w:val="22"/>
                    <w:lang w:val="en-GB" w:eastAsia="en-US"/>
                  </w:rPr>
                  <w:t>年初</w:t>
                </w:r>
                <w:r>
                  <w:rPr>
                    <w:rFonts w:hint="eastAsia" w:ascii="宋体" w:hAnsi="宋体"/>
                    <w:b/>
                    <w:bCs/>
                    <w:snapToGrid w:val="0"/>
                    <w:kern w:val="0"/>
                    <w:sz w:val="22"/>
                    <w:szCs w:val="22"/>
                    <w:lang w:val="en-GB" w:eastAsia="en-US"/>
                  </w:rPr>
                  <w:t>余</w:t>
                </w:r>
                <w:r>
                  <w:rPr>
                    <w:rFonts w:ascii="宋体" w:hAnsi="宋体"/>
                    <w:b/>
                    <w:bCs/>
                    <w:snapToGrid w:val="0"/>
                    <w:kern w:val="0"/>
                    <w:sz w:val="22"/>
                    <w:szCs w:val="22"/>
                    <w:lang w:val="en-GB" w:eastAsia="en-US"/>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3" w:type="pct"/>
                <w:vAlign w:val="center"/>
              </w:tcPr>
              <w:p>
                <w:pPr>
                  <w:rPr>
                    <w:rFonts w:ascii="宋体" w:hAnsi="宋体"/>
                  </w:rPr>
                </w:pPr>
                <w:r>
                  <w:rPr>
                    <w:rFonts w:ascii="宋体" w:hAnsi="宋体"/>
                  </w:rPr>
                  <w:t>信用借款</w:t>
                </w:r>
              </w:p>
            </w:tc>
            <w:tc>
              <w:tcPr>
                <w:tcW w:w="1683" w:type="pct"/>
                <w:vAlign w:val="center"/>
              </w:tcPr>
              <w:p>
                <w:pPr>
                  <w:ind w:right="105"/>
                  <w:jc w:val="right"/>
                  <w:rPr>
                    <w:rFonts w:ascii="宋体" w:hAnsi="宋体"/>
                  </w:rPr>
                </w:pPr>
                <w:r>
                  <w:rPr>
                    <w:rFonts w:ascii="宋体" w:hAnsi="宋体"/>
                  </w:rPr>
                  <w:t>3,800,610</w:t>
                </w:r>
              </w:p>
            </w:tc>
            <w:tc>
              <w:tcPr>
                <w:tcW w:w="1363" w:type="pct"/>
                <w:vAlign w:val="center"/>
              </w:tcPr>
              <w:p>
                <w:pPr>
                  <w:ind w:right="105"/>
                  <w:jc w:val="right"/>
                  <w:rPr>
                    <w:rFonts w:ascii="宋体" w:hAnsi="宋体"/>
                  </w:rPr>
                </w:pPr>
                <w:r>
                  <w:rPr>
                    <w:rFonts w:ascii="宋体" w:hAnsi="宋体"/>
                  </w:rPr>
                  <w:t>5,151,000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3" w:type="pct"/>
                <w:vAlign w:val="center"/>
              </w:tcPr>
              <w:p>
                <w:pPr>
                  <w:rPr>
                    <w:rFonts w:ascii="宋体" w:hAnsi="宋体"/>
                  </w:rPr>
                </w:pPr>
                <w:r>
                  <w:rPr>
                    <w:rFonts w:hint="eastAsia" w:ascii="宋体" w:hAnsi="宋体"/>
                  </w:rPr>
                  <w:t>质押借款</w:t>
                </w:r>
              </w:p>
            </w:tc>
            <w:tc>
              <w:tcPr>
                <w:tcW w:w="1683" w:type="pct"/>
                <w:vAlign w:val="center"/>
              </w:tcPr>
              <w:p>
                <w:pPr>
                  <w:ind w:right="105"/>
                  <w:jc w:val="right"/>
                  <w:rPr>
                    <w:rFonts w:ascii="宋体" w:hAnsi="宋体"/>
                  </w:rPr>
                </w:pPr>
                <w:r>
                  <w:rPr>
                    <w:rFonts w:ascii="宋体" w:hAnsi="宋体"/>
                  </w:rPr>
                  <w:t>2,663,049</w:t>
                </w:r>
              </w:p>
            </w:tc>
            <w:tc>
              <w:tcPr>
                <w:tcW w:w="1363" w:type="pct"/>
                <w:vAlign w:val="center"/>
              </w:tcPr>
              <w:p>
                <w:pPr>
                  <w:ind w:right="105"/>
                  <w:jc w:val="right"/>
                  <w:rPr>
                    <w:rFonts w:ascii="宋体" w:hAnsi="宋体"/>
                  </w:rPr>
                </w:pPr>
                <w:r>
                  <w:rPr>
                    <w:rFonts w:ascii="宋体" w:hAnsi="宋体"/>
                  </w:rPr>
                  <w:t>2,075,592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3" w:type="pct"/>
                <w:vAlign w:val="center"/>
              </w:tcPr>
              <w:p>
                <w:pPr>
                  <w:rPr>
                    <w:rFonts w:ascii="宋体" w:hAnsi="宋体"/>
                  </w:rPr>
                </w:pPr>
                <w:r>
                  <w:rPr>
                    <w:rFonts w:ascii="宋体" w:hAnsi="宋体"/>
                  </w:rPr>
                  <w:t>保证借款</w:t>
                </w:r>
              </w:p>
            </w:tc>
            <w:tc>
              <w:tcPr>
                <w:tcW w:w="1683" w:type="pct"/>
                <w:vAlign w:val="center"/>
              </w:tcPr>
              <w:p>
                <w:pPr>
                  <w:ind w:right="105"/>
                  <w:jc w:val="right"/>
                  <w:rPr>
                    <w:rFonts w:ascii="宋体" w:hAnsi="宋体"/>
                  </w:rPr>
                </w:pPr>
                <w:r>
                  <w:rPr>
                    <w:rFonts w:ascii="宋体" w:hAnsi="宋体"/>
                  </w:rPr>
                  <w:t>1,499,450</w:t>
                </w:r>
              </w:p>
            </w:tc>
            <w:tc>
              <w:tcPr>
                <w:tcW w:w="1363" w:type="pct"/>
                <w:vAlign w:val="center"/>
              </w:tcPr>
              <w:p>
                <w:pPr>
                  <w:ind w:right="105"/>
                  <w:jc w:val="right"/>
                  <w:rPr>
                    <w:rFonts w:ascii="宋体" w:hAnsi="宋体"/>
                  </w:rPr>
                </w:pPr>
                <w:r>
                  <w:rPr>
                    <w:rFonts w:ascii="宋体" w:hAnsi="宋体"/>
                  </w:rPr>
                  <w:t>787,737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3" w:type="pct"/>
                <w:vAlign w:val="center"/>
              </w:tcPr>
              <w:p>
                <w:pPr>
                  <w:rPr>
                    <w:rFonts w:ascii="宋体" w:hAnsi="宋体"/>
                  </w:rPr>
                </w:pPr>
                <w:r>
                  <w:rPr>
                    <w:rFonts w:hint="eastAsia" w:ascii="宋体" w:hAnsi="宋体"/>
                  </w:rPr>
                  <w:t>应付利息</w:t>
                </w:r>
              </w:p>
            </w:tc>
            <w:tc>
              <w:tcPr>
                <w:tcW w:w="1683" w:type="pct"/>
                <w:vAlign w:val="center"/>
              </w:tcPr>
              <w:p>
                <w:pPr>
                  <w:ind w:right="105"/>
                  <w:jc w:val="right"/>
                  <w:rPr>
                    <w:rFonts w:ascii="宋体" w:hAnsi="宋体"/>
                  </w:rPr>
                </w:pPr>
                <w:r>
                  <w:rPr>
                    <w:rFonts w:ascii="宋体" w:hAnsi="宋体"/>
                  </w:rPr>
                  <w:t>9,380</w:t>
                </w:r>
              </w:p>
            </w:tc>
            <w:tc>
              <w:tcPr>
                <w:tcW w:w="1363" w:type="pct"/>
                <w:vAlign w:val="center"/>
              </w:tcPr>
              <w:p>
                <w:pPr>
                  <w:ind w:right="105"/>
                  <w:jc w:val="right"/>
                  <w:rPr>
                    <w:rFonts w:ascii="宋体" w:hAnsi="宋体"/>
                  </w:rPr>
                </w:pPr>
                <w:r>
                  <w:rPr>
                    <w:rFonts w:ascii="宋体" w:hAnsi="宋体"/>
                  </w:rPr>
                  <w:t>34,830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3" w:type="pct"/>
                <w:vAlign w:val="center"/>
              </w:tcPr>
              <w:p>
                <w:pPr>
                  <w:rPr>
                    <w:rFonts w:ascii="宋体" w:hAnsi="宋体"/>
                  </w:rPr>
                </w:pPr>
                <w:r>
                  <w:rPr>
                    <w:rFonts w:hint="eastAsia" w:ascii="宋体" w:hAnsi="宋体"/>
                  </w:rPr>
                  <w:t>抵押借款</w:t>
                </w:r>
              </w:p>
            </w:tc>
            <w:tc>
              <w:tcPr>
                <w:tcW w:w="1683" w:type="pct"/>
                <w:vAlign w:val="center"/>
              </w:tcPr>
              <w:p>
                <w:pPr>
                  <w:ind w:right="105"/>
                  <w:jc w:val="right"/>
                  <w:rPr>
                    <w:rFonts w:ascii="宋体" w:hAnsi="宋体"/>
                  </w:rPr>
                </w:pPr>
              </w:p>
            </w:tc>
            <w:tc>
              <w:tcPr>
                <w:tcW w:w="1363" w:type="pct"/>
                <w:vAlign w:val="center"/>
              </w:tcPr>
              <w:p>
                <w:pPr>
                  <w:ind w:right="105"/>
                  <w:jc w:val="right"/>
                  <w:rPr>
                    <w:rFonts w:ascii="宋体" w:hAnsi="宋体"/>
                  </w:rPr>
                </w:pPr>
                <w:r>
                  <w:rPr>
                    <w:rFonts w:ascii="宋体" w:hAnsi="宋体"/>
                  </w:rPr>
                  <w:t>2,159,027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3" w:type="pct"/>
                <w:vAlign w:val="center"/>
              </w:tcPr>
              <w:p>
                <w:pPr>
                  <w:rPr>
                    <w:rFonts w:ascii="宋体" w:hAnsi="宋体"/>
                    <w:b/>
                    <w:bCs/>
                    <w:snapToGrid w:val="0"/>
                    <w:kern w:val="0"/>
                    <w:sz w:val="22"/>
                    <w:szCs w:val="22"/>
                    <w:lang w:val="en-GB" w:eastAsia="en-US"/>
                  </w:rPr>
                </w:pPr>
                <w:r>
                  <w:rPr>
                    <w:rFonts w:hint="eastAsia" w:ascii="宋体" w:hAnsi="宋体"/>
                  </w:rPr>
                  <w:t>合计</w:t>
                </w:r>
              </w:p>
            </w:tc>
            <w:tc>
              <w:tcPr>
                <w:tcW w:w="1683" w:type="pct"/>
                <w:vAlign w:val="center"/>
              </w:tcPr>
              <w:p>
                <w:pPr>
                  <w:ind w:right="105"/>
                  <w:jc w:val="right"/>
                  <w:rPr>
                    <w:rFonts w:ascii="宋体" w:hAnsi="宋体"/>
                  </w:rPr>
                </w:pPr>
                <w:r>
                  <w:rPr>
                    <w:rFonts w:ascii="宋体" w:hAnsi="宋体"/>
                  </w:rPr>
                  <w:t>7,972,489</w:t>
                </w:r>
              </w:p>
            </w:tc>
            <w:tc>
              <w:tcPr>
                <w:tcW w:w="1363" w:type="pct"/>
                <w:vAlign w:val="center"/>
              </w:tcPr>
              <w:p>
                <w:pPr>
                  <w:ind w:right="105"/>
                  <w:jc w:val="right"/>
                  <w:rPr>
                    <w:rFonts w:ascii="宋体" w:hAnsi="宋体"/>
                  </w:rPr>
                </w:pPr>
                <w:r>
                  <w:rPr>
                    <w:rFonts w:ascii="宋体" w:hAnsi="宋体"/>
                  </w:rPr>
                  <w:t>10,208,186</w:t>
                </w:r>
              </w:p>
            </w:tc>
          </w:tr>
        </w:tbl>
        <w:p>
          <w:pPr>
            <w:ind w:firstLine="420" w:firstLineChars="200"/>
            <w:rPr>
              <w:rFonts w:ascii="宋体" w:hAnsi="宋体"/>
            </w:rPr>
          </w:pPr>
          <w:r>
            <w:rPr>
              <w:rFonts w:hint="eastAsia" w:ascii="宋体" w:hAnsi="宋体"/>
            </w:rPr>
            <w:t>一年内到期的长期借款中人民币借款利率在2.27%至5.90%之间，外币美元借款利率为4.13%。一年内到期的长期借款中美元借款余额为150,000千元，折合人民币1,062,405千元。</w:t>
          </w:r>
        </w:p>
        <w:p>
          <w:pPr>
            <w:ind w:firstLine="420" w:firstLineChars="200"/>
            <w:rPr>
              <w:rFonts w:ascii="宋体" w:hAnsi="宋体"/>
            </w:rPr>
          </w:pPr>
          <w:r>
            <w:rPr>
              <w:rFonts w:hint="eastAsia" w:ascii="宋体" w:hAnsi="宋体"/>
            </w:rPr>
            <w:t>一年内到期的保证借款由9家公司提供担保，其中：600,000千元由山东能源集团有限公司和陕西延长石油（集团）有限公司共同提供担保；476,950千元由鄂尔多斯市锋威光电有限公司提供担保，16,000千元由山东能源鲁西矿业有限公司提供担保；5</w:t>
          </w:r>
          <w:r>
            <w:rPr>
              <w:rFonts w:ascii="宋体" w:hAnsi="宋体"/>
            </w:rPr>
            <w:t>5</w:t>
          </w:r>
          <w:r>
            <w:rPr>
              <w:rFonts w:hint="eastAsia" w:ascii="宋体" w:hAnsi="宋体"/>
            </w:rPr>
            <w:t>,000千元由山东能源临沂矿业集团与临沂矿业集团菏泽煤电的小股东共同担保；195,000千元由新汶矿业集团有限责任公司提供担保；16,500千元由兖矿新疆能化有限公司提供担保，其余全部由本公司提供担保。</w:t>
          </w:r>
        </w:p>
        <w:p>
          <w:pPr>
            <w:ind w:firstLine="420" w:firstLineChars="200"/>
            <w:rPr>
              <w:rFonts w:ascii="宋体" w:hAnsi="宋体"/>
            </w:rPr>
          </w:pPr>
          <w:r>
            <w:rPr>
              <w:rFonts w:hint="eastAsia" w:ascii="宋体" w:hAnsi="宋体"/>
            </w:rPr>
            <w:t>一年内到期的质押借款具体情况详见本附注“七、</w:t>
          </w:r>
          <w:r>
            <w:rPr>
              <w:rFonts w:ascii="宋体" w:hAnsi="宋体"/>
            </w:rPr>
            <w:t>45</w:t>
          </w:r>
          <w:r>
            <w:rPr>
              <w:rFonts w:hint="eastAsia" w:ascii="宋体" w:hAnsi="宋体"/>
            </w:rPr>
            <w:t>.长期借款”</w:t>
          </w:r>
        </w:p>
      </w:sdtContent>
    </w:sdt>
    <w:bookmarkEnd w:id="311"/>
    <w:p>
      <w:pPr>
        <w:pStyle w:val="504"/>
        <w:numPr>
          <w:ilvl w:val="0"/>
          <w:numId w:val="69"/>
        </w:numPr>
        <w:tabs>
          <w:tab w:val="left" w:pos="504"/>
        </w:tabs>
        <w:rPr>
          <w:rFonts w:ascii="宋体" w:hAnsi="宋体"/>
          <w:szCs w:val="21"/>
        </w:rPr>
      </w:pPr>
      <w:r>
        <w:rPr>
          <w:rFonts w:hint="eastAsia" w:ascii="宋体" w:hAnsi="宋体"/>
          <w:szCs w:val="21"/>
        </w:rPr>
        <w:t>其他流动负债</w:t>
      </w:r>
    </w:p>
    <w:p>
      <w:pPr>
        <w:pStyle w:val="501"/>
      </w:pPr>
      <w:r>
        <w:rPr>
          <w:rFonts w:hint="eastAsia"/>
        </w:rPr>
        <w:t>其他流动负债情况</w:t>
      </w:r>
    </w:p>
    <w:sdt>
      <w:sdtPr>
        <w:rPr>
          <w:rFonts w:hint="eastAsia"/>
        </w:rPr>
        <w:alias w:val="是否适用：其他流动负债情况 [双击切换]"/>
        <w:tag w:val="_GBC_a84ebf5eebf04d4ab9f07c3da85115c2"/>
        <w:id w:val="1016724488"/>
        <w:placeholder>
          <w:docPart w:val="GBC22222222222222222222222222222"/>
        </w:placeholder>
      </w:sdtPr>
      <w:sdtEndPr>
        <w:rPr>
          <w:rFonts w:hint="eastAsia"/>
        </w:rPr>
      </w:sdtEndPr>
      <w:sdtContent>
        <w:p>
          <w:pPr>
            <w:pStyle w:val="501"/>
          </w:pPr>
          <w:bookmarkStart w:id="312" w:name="_Hlk533670262"/>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12"/>
    <w:p>
      <w:pPr>
        <w:jc w:val="right"/>
      </w:pPr>
      <w:bookmarkStart w:id="313" w:name="_Hlk533423091"/>
      <w:r>
        <w:rPr>
          <w:rFonts w:hint="eastAsia"/>
        </w:rPr>
        <w:t>单位：</w:t>
      </w:r>
      <w:sdt>
        <w:sdtPr>
          <w:rPr>
            <w:rFonts w:hint="eastAsia"/>
          </w:rPr>
          <w:alias w:val="单位：财务附注：其他流动负债"/>
          <w:tag w:val="_GBC_1a3ea80bd2b9426ead4537785c82d01e"/>
          <w:id w:val="593135439"/>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其他流动负债"/>
          <w:tag w:val="_GBC_c39ac2b60b0f44cbbd7534c211405631"/>
          <w:id w:val="132570394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3"/>
        <w:gridCol w:w="2764"/>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96b7e8e5e688449c87d23adc1b63439f"/>
            <w:id w:val="365647380"/>
          </w:sdtPr>
          <w:sdtEndPr>
            <w:rPr>
              <w:rFonts w:ascii="宋体" w:hAnsi="宋体"/>
            </w:rPr>
          </w:sdtEndPr>
          <w:sdtContent>
            <w:tc>
              <w:tcPr>
                <w:tcW w:w="1925" w:type="pct"/>
                <w:tcBorders>
                  <w:top w:val="single" w:color="auto" w:sz="4" w:space="0"/>
                  <w:left w:val="single" w:color="auto" w:sz="4" w:space="0"/>
                  <w:bottom w:val="single" w:color="auto" w:sz="4" w:space="0"/>
                  <w:right w:val="single" w:color="auto" w:sz="4" w:space="0"/>
                </w:tcBorders>
                <w:vAlign w:val="bottom"/>
              </w:tcPr>
              <w:p>
                <w:pPr>
                  <w:tabs>
                    <w:tab w:val="right" w:pos="3690"/>
                    <w:tab w:val="right" w:pos="5130"/>
                    <w:tab w:val="right" w:pos="6030"/>
                    <w:tab w:val="right" w:pos="7650"/>
                    <w:tab w:val="right" w:pos="9270"/>
                  </w:tabs>
                  <w:snapToGrid w:val="0"/>
                  <w:ind w:left="-109" w:leftChars="-52"/>
                  <w:jc w:val="center"/>
                  <w:rPr>
                    <w:rFonts w:ascii="宋体" w:hAnsi="宋体"/>
                  </w:rPr>
                </w:pPr>
                <w:r>
                  <w:rPr>
                    <w:rFonts w:hint="eastAsia" w:ascii="宋体" w:hAnsi="宋体"/>
                  </w:rPr>
                  <w:t>项目</w:t>
                </w:r>
              </w:p>
            </w:tc>
          </w:sdtContent>
        </w:sdt>
        <w:sdt>
          <w:sdtPr>
            <w:rPr>
              <w:rFonts w:ascii="宋体" w:hAnsi="宋体"/>
            </w:rPr>
            <w:tag w:val="_PLD_741229e75da644bb809ec002cfe06423"/>
            <w:id w:val="-1604102341"/>
          </w:sdtPr>
          <w:sdtEndPr>
            <w:rPr>
              <w:rFonts w:ascii="宋体" w:hAnsi="宋体"/>
            </w:rPr>
          </w:sdtEndPr>
          <w:sdtContent>
            <w:tc>
              <w:tcPr>
                <w:tcW w:w="1527" w:type="pct"/>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rPr>
                </w:pPr>
                <w:r>
                  <w:rPr>
                    <w:rFonts w:hint="eastAsia" w:ascii="宋体" w:hAnsi="宋体"/>
                  </w:rPr>
                  <w:t>期末余额</w:t>
                </w:r>
              </w:p>
            </w:tc>
          </w:sdtContent>
        </w:sdt>
        <w:sdt>
          <w:sdtPr>
            <w:rPr>
              <w:rFonts w:ascii="宋体" w:hAnsi="宋体"/>
            </w:rPr>
            <w:tag w:val="_PLD_426d25a331b04af9b2ec53d6a7e168d4"/>
            <w:id w:val="-1185745165"/>
          </w:sdtPr>
          <w:sdtEndPr>
            <w:rPr>
              <w:rFonts w:ascii="宋体" w:hAnsi="宋体"/>
            </w:rPr>
          </w:sdtEndPr>
          <w:sdtContent>
            <w:tc>
              <w:tcPr>
                <w:tcW w:w="1548" w:type="pct"/>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待转销项税金</w:t>
            </w:r>
          </w:p>
        </w:tc>
        <w:tc>
          <w:tcPr>
            <w:tcW w:w="1527" w:type="pct"/>
            <w:tcBorders>
              <w:top w:val="single" w:color="auto" w:sz="4" w:space="0"/>
              <w:left w:val="single" w:color="auto" w:sz="4" w:space="0"/>
              <w:bottom w:val="single" w:color="auto" w:sz="4" w:space="0"/>
              <w:right w:val="single" w:color="auto" w:sz="4" w:space="0"/>
            </w:tcBorders>
            <w:vAlign w:val="center"/>
          </w:tcPr>
          <w:p>
            <w:pPr>
              <w:ind w:right="105"/>
              <w:jc w:val="right"/>
              <w:rPr>
                <w:rFonts w:ascii="宋体" w:hAnsi="宋体"/>
              </w:rPr>
            </w:pPr>
            <w:r>
              <w:rPr>
                <w:rFonts w:ascii="宋体" w:hAnsi="宋体"/>
              </w:rPr>
              <w:t>641,817</w:t>
            </w:r>
          </w:p>
        </w:tc>
        <w:tc>
          <w:tcPr>
            <w:tcW w:w="1548" w:type="pct"/>
            <w:tcBorders>
              <w:top w:val="single" w:color="auto" w:sz="4" w:space="0"/>
              <w:left w:val="single" w:color="auto" w:sz="4" w:space="0"/>
              <w:bottom w:val="single" w:color="auto" w:sz="4" w:space="0"/>
              <w:right w:val="single" w:color="auto" w:sz="4" w:space="0"/>
            </w:tcBorders>
            <w:vAlign w:val="center"/>
          </w:tcPr>
          <w:p>
            <w:pPr>
              <w:ind w:right="105"/>
              <w:jc w:val="right"/>
              <w:rPr>
                <w:rFonts w:ascii="宋体" w:hAnsi="宋体"/>
              </w:rPr>
            </w:pPr>
            <w:r>
              <w:rPr>
                <w:rFonts w:ascii="宋体" w:hAnsi="宋体"/>
              </w:rPr>
              <w:t>776,193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未终止确认的应收票据</w:t>
            </w:r>
          </w:p>
        </w:tc>
        <w:tc>
          <w:tcPr>
            <w:tcW w:w="1527" w:type="pct"/>
            <w:tcBorders>
              <w:top w:val="single" w:color="auto" w:sz="4" w:space="0"/>
              <w:left w:val="single" w:color="auto" w:sz="4" w:space="0"/>
              <w:bottom w:val="single" w:color="auto" w:sz="4" w:space="0"/>
              <w:right w:val="single" w:color="auto" w:sz="4" w:space="0"/>
            </w:tcBorders>
            <w:vAlign w:val="center"/>
          </w:tcPr>
          <w:p>
            <w:pPr>
              <w:ind w:right="105"/>
              <w:jc w:val="right"/>
              <w:rPr>
                <w:rFonts w:ascii="宋体" w:hAnsi="宋体"/>
              </w:rPr>
            </w:pPr>
            <w:r>
              <w:rPr>
                <w:rFonts w:ascii="宋体" w:hAnsi="宋体"/>
              </w:rPr>
              <w:t>391,700</w:t>
            </w:r>
          </w:p>
        </w:tc>
        <w:tc>
          <w:tcPr>
            <w:tcW w:w="1548" w:type="pct"/>
            <w:tcBorders>
              <w:top w:val="single" w:color="auto" w:sz="4" w:space="0"/>
              <w:left w:val="single" w:color="auto" w:sz="4" w:space="0"/>
              <w:bottom w:val="single" w:color="auto" w:sz="4" w:space="0"/>
              <w:right w:val="single" w:color="auto" w:sz="4" w:space="0"/>
            </w:tcBorders>
            <w:vAlign w:val="center"/>
          </w:tcPr>
          <w:p>
            <w:pPr>
              <w:ind w:right="105"/>
              <w:jc w:val="right"/>
              <w:rPr>
                <w:rFonts w:ascii="宋体" w:hAnsi="宋体"/>
              </w:rPr>
            </w:pPr>
            <w:r>
              <w:rPr>
                <w:rFonts w:ascii="宋体" w:hAnsi="宋体"/>
              </w:rPr>
              <w:t>589,320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pct"/>
            <w:tcBorders>
              <w:top w:val="single" w:color="auto" w:sz="4" w:space="0"/>
              <w:left w:val="single" w:color="auto" w:sz="4" w:space="0"/>
              <w:bottom w:val="single" w:color="auto" w:sz="4" w:space="0"/>
              <w:right w:val="single" w:color="auto" w:sz="4" w:space="0"/>
            </w:tcBorders>
          </w:tcPr>
          <w:p>
            <w:pPr>
              <w:rPr>
                <w:rFonts w:ascii="宋体" w:hAnsi="宋体"/>
                <w:color w:val="000000" w:themeColor="text1"/>
                <w14:textFill>
                  <w14:solidFill>
                    <w14:schemeClr w14:val="tx1"/>
                  </w14:solidFill>
                </w14:textFill>
              </w:rPr>
            </w:pPr>
            <w:r>
              <w:rPr>
                <w:rFonts w:hint="eastAsia" w:ascii="宋体" w:hAnsi="宋体"/>
              </w:rPr>
              <w:t>土地塌陷、复原、重整及环保费</w:t>
            </w:r>
          </w:p>
        </w:tc>
        <w:tc>
          <w:tcPr>
            <w:tcW w:w="1527" w:type="pct"/>
            <w:tcBorders>
              <w:top w:val="single" w:color="auto" w:sz="4" w:space="0"/>
              <w:left w:val="single" w:color="auto" w:sz="4" w:space="0"/>
              <w:bottom w:val="single" w:color="auto" w:sz="4" w:space="0"/>
              <w:right w:val="single" w:color="auto" w:sz="4" w:space="0"/>
            </w:tcBorders>
            <w:vAlign w:val="center"/>
          </w:tcPr>
          <w:p>
            <w:pPr>
              <w:ind w:right="105"/>
              <w:jc w:val="right"/>
              <w:rPr>
                <w:rFonts w:ascii="宋体" w:hAnsi="宋体"/>
              </w:rPr>
            </w:pPr>
            <w:r>
              <w:rPr>
                <w:rFonts w:ascii="宋体" w:hAnsi="宋体"/>
              </w:rPr>
              <w:t>101,326</w:t>
            </w:r>
          </w:p>
        </w:tc>
        <w:tc>
          <w:tcPr>
            <w:tcW w:w="1548" w:type="pct"/>
            <w:tcBorders>
              <w:top w:val="single" w:color="auto" w:sz="4" w:space="0"/>
              <w:left w:val="single" w:color="auto" w:sz="4" w:space="0"/>
              <w:bottom w:val="single" w:color="auto" w:sz="4" w:space="0"/>
              <w:right w:val="single" w:color="auto" w:sz="4" w:space="0"/>
            </w:tcBorders>
            <w:vAlign w:val="center"/>
          </w:tcPr>
          <w:p>
            <w:pPr>
              <w:ind w:right="105"/>
              <w:jc w:val="right"/>
              <w:rPr>
                <w:rFonts w:ascii="宋体" w:hAnsi="宋体"/>
              </w:rPr>
            </w:pPr>
            <w:r>
              <w:rPr>
                <w:rFonts w:ascii="宋体" w:hAnsi="宋体"/>
              </w:rPr>
              <w:t>1,100,080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5" w:type="pct"/>
            <w:tcBorders>
              <w:top w:val="single" w:color="auto" w:sz="4" w:space="0"/>
              <w:left w:val="single" w:color="auto" w:sz="4" w:space="0"/>
              <w:bottom w:val="single" w:color="auto" w:sz="4" w:space="0"/>
              <w:right w:val="single" w:color="auto" w:sz="4" w:space="0"/>
            </w:tcBorders>
          </w:tcPr>
          <w:p>
            <w:pPr>
              <w:jc w:val="center"/>
              <w:rPr>
                <w:rFonts w:ascii="宋体" w:hAnsi="宋体"/>
              </w:rPr>
            </w:pPr>
            <w:r>
              <w:rPr>
                <w:rFonts w:hint="eastAsia" w:ascii="宋体" w:hAnsi="宋体"/>
              </w:rPr>
              <w:t>合计</w:t>
            </w:r>
          </w:p>
        </w:tc>
        <w:tc>
          <w:tcPr>
            <w:tcW w:w="1527" w:type="pct"/>
            <w:tcBorders>
              <w:top w:val="single" w:color="auto" w:sz="4" w:space="0"/>
              <w:left w:val="single" w:color="auto" w:sz="4" w:space="0"/>
              <w:bottom w:val="single" w:color="auto" w:sz="4" w:space="0"/>
              <w:right w:val="single" w:color="auto" w:sz="4" w:space="0"/>
            </w:tcBorders>
            <w:vAlign w:val="center"/>
          </w:tcPr>
          <w:p>
            <w:pPr>
              <w:ind w:right="105"/>
              <w:jc w:val="right"/>
              <w:rPr>
                <w:rFonts w:ascii="宋体" w:hAnsi="宋体"/>
              </w:rPr>
            </w:pPr>
            <w:r>
              <w:rPr>
                <w:rFonts w:ascii="宋体" w:hAnsi="宋体"/>
              </w:rPr>
              <w:t>1,134,843</w:t>
            </w:r>
          </w:p>
        </w:tc>
        <w:tc>
          <w:tcPr>
            <w:tcW w:w="1548" w:type="pct"/>
            <w:tcBorders>
              <w:top w:val="single" w:color="auto" w:sz="4" w:space="0"/>
              <w:left w:val="single" w:color="auto" w:sz="4" w:space="0"/>
              <w:bottom w:val="single" w:color="auto" w:sz="4" w:space="0"/>
              <w:right w:val="single" w:color="auto" w:sz="4" w:space="0"/>
            </w:tcBorders>
            <w:vAlign w:val="center"/>
          </w:tcPr>
          <w:p>
            <w:pPr>
              <w:ind w:right="105"/>
              <w:jc w:val="right"/>
              <w:rPr>
                <w:rFonts w:ascii="宋体" w:hAnsi="宋体"/>
              </w:rPr>
            </w:pPr>
            <w:r>
              <w:rPr>
                <w:rFonts w:ascii="宋体" w:hAnsi="宋体"/>
              </w:rPr>
              <w:t>2,465,593</w:t>
            </w:r>
          </w:p>
        </w:tc>
      </w:tr>
    </w:tbl>
    <w:p>
      <w:pPr>
        <w:pStyle w:val="501"/>
      </w:pPr>
    </w:p>
    <w:p>
      <w:pPr>
        <w:pStyle w:val="531"/>
      </w:pPr>
      <w:r>
        <w:rPr>
          <w:rFonts w:hint="eastAsia"/>
        </w:rPr>
        <w:t>短期</w:t>
      </w:r>
      <w:r>
        <w:t>应付债券的增减变动</w:t>
      </w:r>
      <w:r>
        <w:rPr>
          <w:rFonts w:hint="eastAsia"/>
        </w:rPr>
        <w:t>：</w:t>
      </w:r>
    </w:p>
    <w:bookmarkEnd w:id="313"/>
    <w:sdt>
      <w:sdtPr>
        <w:alias w:val="是否适用：短期应付债券的增减变动[双击切换]"/>
        <w:tag w:val="_GBC_9702365af41547e6b7eeb62225fd79a4"/>
        <w:id w:val="874962707"/>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spacing w:before="60" w:after="60"/>
      </w:pPr>
      <w:r>
        <w:rPr>
          <w:rFonts w:hint="eastAsia"/>
        </w:rPr>
        <w:t>其他说明：</w:t>
      </w:r>
    </w:p>
    <w:sdt>
      <w:sdtPr>
        <w:alias w:val="是否适用：其他流动负债说明[双击切换]"/>
        <w:tag w:val="_GBC_137d3b80ab3041c1a1b255a500c3d52c"/>
        <w:id w:val="1131591504"/>
        <w:placeholder>
          <w:docPart w:val="GBC22222222222222222222222222222"/>
        </w:placeholder>
      </w:sdtPr>
      <w:sdtContent>
        <w:p>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长期借款</w:t>
      </w:r>
    </w:p>
    <w:p>
      <w:pPr>
        <w:pStyle w:val="505"/>
        <w:numPr>
          <w:ilvl w:val="3"/>
          <w:numId w:val="100"/>
        </w:numPr>
      </w:pPr>
      <w:r>
        <w:rPr>
          <w:rFonts w:hint="eastAsia"/>
        </w:rPr>
        <w:t>长期借款分类</w:t>
      </w:r>
    </w:p>
    <w:sdt>
      <w:sdtPr>
        <w:alias w:val="是否适用：长期借款分类[双击切换]"/>
        <w:tag w:val="_GBC_f97d0882083646ed86769469b3ee8875"/>
        <w:id w:val="-33145345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借款分类"/>
          <w:tag w:val="_GBC_1469e55f5b66428a857f07acaf1e4ae0"/>
          <w:id w:val="20270522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长期借款分类"/>
          <w:tag w:val="_GBC_02e1603886284ce797acd755be7f672a"/>
          <w:id w:val="6305129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1"/>
        <w:gridCol w:w="3051"/>
        <w:gridCol w:w="2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tag w:val="_PLD_4e1b60888e3248369c96087fd1f19eed"/>
            <w:id w:val="-411010809"/>
          </w:sdtPr>
          <w:sdtEndPr>
            <w:rPr>
              <w:rFonts w:ascii="宋体" w:hAnsi="宋体"/>
            </w:rPr>
          </w:sdtEndPr>
          <w:sdtContent>
            <w:tc>
              <w:tcPr>
                <w:tcW w:w="1686" w:type="pct"/>
              </w:tcPr>
              <w:p>
                <w:pPr>
                  <w:autoSpaceDE w:val="0"/>
                  <w:autoSpaceDN w:val="0"/>
                  <w:adjustRightInd w:val="0"/>
                  <w:snapToGrid w:val="0"/>
                  <w:jc w:val="center"/>
                  <w:rPr>
                    <w:rFonts w:ascii="宋体" w:hAnsi="宋体"/>
                  </w:rPr>
                </w:pPr>
                <w:r>
                  <w:rPr>
                    <w:rFonts w:hint="eastAsia" w:ascii="宋体" w:hAnsi="宋体"/>
                  </w:rPr>
                  <w:t>项目</w:t>
                </w:r>
              </w:p>
            </w:tc>
          </w:sdtContent>
        </w:sdt>
        <w:sdt>
          <w:sdtPr>
            <w:rPr>
              <w:rFonts w:ascii="宋体" w:hAnsi="宋体"/>
            </w:rPr>
            <w:tag w:val="_PLD_5eb33a0c1cde49ff9ed499493463ec46"/>
            <w:id w:val="1333412760"/>
          </w:sdtPr>
          <w:sdtEndPr>
            <w:rPr>
              <w:rFonts w:ascii="宋体" w:hAnsi="宋体"/>
            </w:rPr>
          </w:sdtEndPr>
          <w:sdtContent>
            <w:tc>
              <w:tcPr>
                <w:tcW w:w="1686" w:type="pct"/>
              </w:tcPr>
              <w:p>
                <w:pPr>
                  <w:jc w:val="center"/>
                  <w:rPr>
                    <w:rFonts w:ascii="宋体" w:hAnsi="宋体"/>
                  </w:rPr>
                </w:pPr>
                <w:r>
                  <w:rPr>
                    <w:rFonts w:hint="eastAsia" w:ascii="宋体" w:hAnsi="宋体"/>
                  </w:rPr>
                  <w:t>期末余额</w:t>
                </w:r>
              </w:p>
            </w:tc>
          </w:sdtContent>
        </w:sdt>
        <w:sdt>
          <w:sdtPr>
            <w:rPr>
              <w:rFonts w:ascii="宋体" w:hAnsi="宋体"/>
            </w:rPr>
            <w:tag w:val="_PLD_9b129c446a5847edb58141b866ffac5d"/>
            <w:id w:val="1807731501"/>
          </w:sdtPr>
          <w:sdtEndPr>
            <w:rPr>
              <w:rFonts w:ascii="宋体" w:hAnsi="宋体"/>
            </w:rPr>
          </w:sdtEndPr>
          <w:sdtContent>
            <w:tc>
              <w:tcPr>
                <w:tcW w:w="1628" w:type="pct"/>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pPr>
              <w:autoSpaceDE w:val="0"/>
              <w:autoSpaceDN w:val="0"/>
              <w:adjustRightInd w:val="0"/>
              <w:snapToGrid w:val="0"/>
              <w:rPr>
                <w:rFonts w:ascii="宋体" w:hAnsi="宋体"/>
              </w:rPr>
            </w:pPr>
            <w:r>
              <w:rPr>
                <w:rFonts w:hint="eastAsia" w:ascii="宋体" w:hAnsi="宋体"/>
              </w:rPr>
              <w:t>信用借款</w:t>
            </w:r>
          </w:p>
        </w:tc>
        <w:tc>
          <w:tcPr>
            <w:tcW w:w="1686" w:type="pct"/>
            <w:shd w:val="clear" w:color="auto" w:fill="auto"/>
            <w:vAlign w:val="center"/>
          </w:tcPr>
          <w:p>
            <w:pPr>
              <w:ind w:right="105"/>
              <w:jc w:val="right"/>
              <w:rPr>
                <w:rFonts w:ascii="宋体" w:hAnsi="宋体"/>
              </w:rPr>
            </w:pPr>
            <w:r>
              <w:rPr>
                <w:rFonts w:ascii="宋体" w:hAnsi="宋体"/>
              </w:rPr>
              <w:t>40,912,685</w:t>
            </w:r>
          </w:p>
        </w:tc>
        <w:tc>
          <w:tcPr>
            <w:tcW w:w="1628" w:type="pct"/>
            <w:shd w:val="clear" w:color="auto" w:fill="auto"/>
            <w:vAlign w:val="center"/>
          </w:tcPr>
          <w:p>
            <w:pPr>
              <w:ind w:right="105"/>
              <w:jc w:val="right"/>
              <w:rPr>
                <w:rFonts w:ascii="宋体" w:hAnsi="宋体"/>
              </w:rPr>
            </w:pPr>
            <w:r>
              <w:rPr>
                <w:rFonts w:ascii="宋体" w:hAnsi="宋体"/>
              </w:rPr>
              <w:t>21,413,300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pPr>
              <w:autoSpaceDE w:val="0"/>
              <w:autoSpaceDN w:val="0"/>
              <w:adjustRightInd w:val="0"/>
              <w:snapToGrid w:val="0"/>
              <w:rPr>
                <w:rFonts w:ascii="宋体" w:hAnsi="宋体"/>
              </w:rPr>
            </w:pPr>
            <w:r>
              <w:rPr>
                <w:rFonts w:hint="eastAsia" w:ascii="宋体" w:hAnsi="宋体"/>
              </w:rPr>
              <w:t>保证借款（注2）</w:t>
            </w:r>
          </w:p>
        </w:tc>
        <w:tc>
          <w:tcPr>
            <w:tcW w:w="1686" w:type="pct"/>
            <w:shd w:val="clear" w:color="auto" w:fill="auto"/>
            <w:vAlign w:val="center"/>
          </w:tcPr>
          <w:p>
            <w:pPr>
              <w:ind w:right="105"/>
              <w:jc w:val="right"/>
              <w:rPr>
                <w:rFonts w:ascii="宋体" w:hAnsi="宋体"/>
              </w:rPr>
            </w:pPr>
            <w:r>
              <w:rPr>
                <w:rFonts w:ascii="宋体" w:hAnsi="宋体"/>
              </w:rPr>
              <w:t>11,049,770</w:t>
            </w:r>
          </w:p>
        </w:tc>
        <w:tc>
          <w:tcPr>
            <w:tcW w:w="1628" w:type="pct"/>
            <w:shd w:val="clear" w:color="auto" w:fill="auto"/>
            <w:vAlign w:val="center"/>
          </w:tcPr>
          <w:p>
            <w:pPr>
              <w:ind w:right="105"/>
              <w:jc w:val="right"/>
              <w:rPr>
                <w:rFonts w:ascii="宋体" w:hAnsi="宋体"/>
              </w:rPr>
            </w:pPr>
            <w:r>
              <w:rPr>
                <w:rFonts w:ascii="宋体" w:hAnsi="宋体"/>
              </w:rPr>
              <w:t>10,405,660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pPr>
              <w:autoSpaceDE w:val="0"/>
              <w:autoSpaceDN w:val="0"/>
              <w:adjustRightInd w:val="0"/>
              <w:snapToGrid w:val="0"/>
              <w:rPr>
                <w:rFonts w:ascii="宋体" w:hAnsi="宋体"/>
              </w:rPr>
            </w:pPr>
            <w:r>
              <w:rPr>
                <w:rFonts w:hint="eastAsia" w:ascii="宋体" w:hAnsi="宋体"/>
              </w:rPr>
              <w:t>质押借款（注3）</w:t>
            </w:r>
          </w:p>
        </w:tc>
        <w:tc>
          <w:tcPr>
            <w:tcW w:w="1686" w:type="pct"/>
            <w:shd w:val="clear" w:color="auto" w:fill="auto"/>
            <w:vAlign w:val="center"/>
          </w:tcPr>
          <w:p>
            <w:pPr>
              <w:ind w:right="105"/>
              <w:jc w:val="right"/>
              <w:rPr>
                <w:rFonts w:ascii="宋体" w:hAnsi="宋体"/>
              </w:rPr>
            </w:pPr>
            <w:r>
              <w:rPr>
                <w:rFonts w:hint="eastAsia" w:ascii="宋体" w:hAnsi="宋体"/>
              </w:rPr>
              <w:t>6,395,868</w:t>
            </w:r>
          </w:p>
        </w:tc>
        <w:tc>
          <w:tcPr>
            <w:tcW w:w="1628" w:type="pct"/>
            <w:shd w:val="clear" w:color="auto" w:fill="auto"/>
            <w:vAlign w:val="center"/>
          </w:tcPr>
          <w:p>
            <w:pPr>
              <w:ind w:right="105"/>
              <w:jc w:val="right"/>
              <w:rPr>
                <w:rFonts w:ascii="宋体" w:hAnsi="宋体"/>
              </w:rPr>
            </w:pPr>
            <w:r>
              <w:rPr>
                <w:rFonts w:hint="eastAsia" w:ascii="宋体" w:hAnsi="宋体"/>
              </w:rPr>
              <w:t>8,557,834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pPr>
              <w:autoSpaceDE w:val="0"/>
              <w:autoSpaceDN w:val="0"/>
              <w:adjustRightInd w:val="0"/>
              <w:snapToGrid w:val="0"/>
              <w:rPr>
                <w:rFonts w:ascii="宋体" w:hAnsi="宋体"/>
              </w:rPr>
            </w:pPr>
            <w:r>
              <w:rPr>
                <w:rFonts w:hint="eastAsia" w:ascii="宋体" w:hAnsi="宋体"/>
              </w:rPr>
              <w:t>抵押借款（注4）</w:t>
            </w:r>
          </w:p>
        </w:tc>
        <w:tc>
          <w:tcPr>
            <w:tcW w:w="1686" w:type="pct"/>
            <w:shd w:val="clear" w:color="auto" w:fill="auto"/>
            <w:vAlign w:val="center"/>
          </w:tcPr>
          <w:p>
            <w:pPr>
              <w:ind w:right="105"/>
              <w:jc w:val="right"/>
              <w:rPr>
                <w:rFonts w:ascii="宋体" w:hAnsi="宋体"/>
              </w:rPr>
            </w:pPr>
            <w:r>
              <w:rPr>
                <w:rFonts w:ascii="宋体" w:hAnsi="宋体"/>
              </w:rPr>
              <w:t>2,994,526</w:t>
            </w:r>
          </w:p>
        </w:tc>
        <w:tc>
          <w:tcPr>
            <w:tcW w:w="1628" w:type="pct"/>
            <w:shd w:val="clear" w:color="auto" w:fill="auto"/>
            <w:vAlign w:val="center"/>
          </w:tcPr>
          <w:p>
            <w:pPr>
              <w:ind w:right="105"/>
              <w:jc w:val="right"/>
              <w:rPr>
                <w:rFonts w:ascii="宋体" w:hAnsi="宋体"/>
              </w:rPr>
            </w:pPr>
            <w:r>
              <w:rPr>
                <w:rFonts w:hint="eastAsia" w:ascii="宋体" w:hAnsi="宋体"/>
              </w:rPr>
              <w:t>2,452,300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tcPr>
          <w:p>
            <w:pPr>
              <w:autoSpaceDE w:val="0"/>
              <w:autoSpaceDN w:val="0"/>
              <w:adjustRightInd w:val="0"/>
              <w:snapToGrid w:val="0"/>
              <w:rPr>
                <w:rFonts w:ascii="宋体" w:hAnsi="宋体"/>
              </w:rPr>
            </w:pPr>
            <w:r>
              <w:rPr>
                <w:rFonts w:hint="eastAsia" w:ascii="宋体" w:hAnsi="宋体"/>
              </w:rPr>
              <w:t>应付利息</w:t>
            </w:r>
          </w:p>
        </w:tc>
        <w:tc>
          <w:tcPr>
            <w:tcW w:w="1686" w:type="pct"/>
            <w:vAlign w:val="center"/>
          </w:tcPr>
          <w:p>
            <w:pPr>
              <w:ind w:right="105"/>
              <w:jc w:val="right"/>
              <w:rPr>
                <w:rFonts w:ascii="宋体" w:hAnsi="宋体"/>
              </w:rPr>
            </w:pPr>
            <w:r>
              <w:rPr>
                <w:rFonts w:ascii="宋体" w:hAnsi="宋体"/>
              </w:rPr>
              <w:t>2,371</w:t>
            </w:r>
          </w:p>
        </w:tc>
        <w:tc>
          <w:tcPr>
            <w:tcW w:w="1628" w:type="pct"/>
            <w:vAlign w:val="center"/>
          </w:tcPr>
          <w:p>
            <w:pPr>
              <w:ind w:right="105"/>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pPr>
              <w:autoSpaceDE w:val="0"/>
              <w:autoSpaceDN w:val="0"/>
              <w:adjustRightInd w:val="0"/>
              <w:snapToGrid w:val="0"/>
              <w:jc w:val="center"/>
              <w:rPr>
                <w:rFonts w:ascii="宋体" w:hAnsi="宋体"/>
              </w:rPr>
            </w:pPr>
            <w:r>
              <w:rPr>
                <w:rFonts w:hint="eastAsia" w:ascii="宋体" w:hAnsi="宋体"/>
              </w:rPr>
              <w:t>合计</w:t>
            </w:r>
          </w:p>
        </w:tc>
        <w:tc>
          <w:tcPr>
            <w:tcW w:w="1686" w:type="pct"/>
            <w:vAlign w:val="center"/>
          </w:tcPr>
          <w:p>
            <w:pPr>
              <w:ind w:right="105"/>
              <w:jc w:val="right"/>
              <w:rPr>
                <w:rFonts w:ascii="宋体" w:hAnsi="宋体"/>
              </w:rPr>
            </w:pPr>
            <w:r>
              <w:rPr>
                <w:rFonts w:ascii="宋体" w:hAnsi="宋体"/>
              </w:rPr>
              <w:t>61,355,220</w:t>
            </w:r>
          </w:p>
        </w:tc>
        <w:tc>
          <w:tcPr>
            <w:tcW w:w="1628" w:type="pct"/>
            <w:vAlign w:val="center"/>
          </w:tcPr>
          <w:p>
            <w:pPr>
              <w:ind w:right="105"/>
              <w:jc w:val="right"/>
              <w:rPr>
                <w:rFonts w:ascii="宋体" w:hAnsi="宋体"/>
              </w:rPr>
            </w:pPr>
            <w:r>
              <w:rPr>
                <w:rFonts w:ascii="宋体" w:hAnsi="宋体"/>
              </w:rPr>
              <w:t>42,829,094</w:t>
            </w:r>
          </w:p>
        </w:tc>
      </w:tr>
    </w:tbl>
    <w:p>
      <w:pPr>
        <w:snapToGrid w:val="0"/>
        <w:rPr>
          <w:rFonts w:cstheme="minorBidi"/>
          <w:color w:val="000000" w:themeColor="text1"/>
          <w14:textFill>
            <w14:solidFill>
              <w14:schemeClr w14:val="tx1"/>
            </w14:solidFill>
          </w14:textFill>
        </w:rPr>
      </w:pPr>
    </w:p>
    <w:p>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长期借款的说明[双击切换]"/>
        <w:tag w:val="_GBC_81b19a673078421a910ba8721333fbbe"/>
        <w:id w:val="-376245213"/>
        <w:placeholder>
          <w:docPart w:val="GBC22222222222222222222222222222"/>
        </w:placeholder>
      </w:sdtPr>
      <w:sdtEndPr>
        <w:rPr>
          <w:color w:val="000000" w:themeColor="text1"/>
          <w14:textFill>
            <w14:solidFill>
              <w14:schemeClr w14:val="tx1"/>
            </w14:solidFill>
          </w14:textFill>
        </w:rPr>
      </w:sdtEndPr>
      <w:sdtContent>
        <w:p>
          <w:pPr>
            <w:snapToGrid w:val="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alias w:val="长期借款的说明"/>
        <w:tag w:val="_GBC_5848bb69eab4491191dfd1df2d6dde23"/>
        <w:id w:val="1530681874"/>
        <w:placeholder>
          <w:docPart w:val="GBC22222222222222222222222222222"/>
        </w:placeholder>
      </w:sdtPr>
      <w:sdtEndPr>
        <w:rPr>
          <w:rFonts w:ascii="宋体" w:hAnsi="宋体"/>
        </w:rPr>
      </w:sdtEndPr>
      <w:sdtContent>
        <w:p>
          <w:pPr>
            <w:snapToGrid w:val="0"/>
            <w:ind w:firstLine="420" w:firstLineChars="200"/>
            <w:rPr>
              <w:rFonts w:ascii="宋体" w:hAnsi="宋体"/>
            </w:rPr>
          </w:pPr>
          <w:r>
            <w:rPr>
              <w:rFonts w:hint="eastAsia" w:ascii="宋体" w:hAnsi="宋体"/>
            </w:rPr>
            <w:t>注1：长期借款中人民币借款利率在2.27%至4.98%之间，外币澳元借款利率为8.70%；澳元借款余额为33,299千元，折合人民币161,447千元。外币美元借款利率为3个月</w:t>
          </w:r>
          <w:r>
            <w:rPr>
              <w:rFonts w:ascii="宋体" w:hAnsi="宋体"/>
            </w:rPr>
            <w:t>L</w:t>
          </w:r>
          <w:r>
            <w:rPr>
              <w:rFonts w:hint="eastAsia" w:ascii="宋体" w:hAnsi="宋体"/>
            </w:rPr>
            <w:t>ibor+1.8%-6.2%之间；美元借款余额为500,000千元，折合人民币3,541,3</w:t>
          </w:r>
          <w:r>
            <w:rPr>
              <w:rFonts w:ascii="宋体" w:hAnsi="宋体"/>
            </w:rPr>
            <w:t>50</w:t>
          </w:r>
          <w:r>
            <w:rPr>
              <w:rFonts w:hint="eastAsia" w:ascii="宋体" w:hAnsi="宋体"/>
            </w:rPr>
            <w:t>千元。</w:t>
          </w:r>
        </w:p>
        <w:p>
          <w:pPr>
            <w:snapToGrid w:val="0"/>
            <w:ind w:firstLine="420" w:firstLineChars="200"/>
            <w:rPr>
              <w:rFonts w:ascii="宋体" w:hAnsi="宋体"/>
            </w:rPr>
          </w:pPr>
          <w:r>
            <w:rPr>
              <w:rFonts w:hint="eastAsia" w:ascii="宋体" w:hAnsi="宋体"/>
            </w:rPr>
            <w:t>注2： 保证借款由8家公司提供担保，其中：1,990,000千元由山东能源集团有限公司和陕西延长石油（集团）有限公司共同提供担保；138,000千元由山东能源鲁西矿业有限公司提供担保；1,000,000千元由山东能源集团有限公司提供担保；5,185,000元由新汶矿业集团有限责任公司提供担保；148,500千元由兖矿新疆能化有限公司提供担保；170,000千元由山东能源临沂矿业集团与临沂矿业集团菏泽煤电的小股东共同担保，其余全部由本公司提供担保。</w:t>
          </w:r>
        </w:p>
        <w:p>
          <w:pPr>
            <w:snapToGrid w:val="0"/>
            <w:ind w:firstLine="420" w:firstLineChars="200"/>
            <w:rPr>
              <w:rFonts w:ascii="宋体" w:hAnsi="宋体"/>
            </w:rPr>
          </w:pPr>
          <w:r>
            <w:rPr>
              <w:rFonts w:hint="eastAsia" w:ascii="宋体" w:hAnsi="宋体"/>
            </w:rPr>
            <w:t>注3：质押借款共计9,058,917千元，包括一年以内到期的质押借款2,663,049千元，其中：4,543,000千元的质押物为本公司对陕西未来能源化工有限公司的股权146,448万股，账面价值为4,714,110千元；3,453,512千元的质押物为本公司之子公司兖矿融资租赁有限公司质押在借款银行应收租金债权4,110,912千元；1,062,405千元的质押物为本公司认购本公司之子公司兖州煤业澳大利亚有限公司不超过10亿美元的配股而对其持有的全部股权和相关权益，截至2023年12月31日享有的本公司之子公司兖州煤业澳大利亚有限公司净资产账面价值为8,859,636千元，同时由山东能源提供担保。</w:t>
          </w:r>
        </w:p>
        <w:p>
          <w:pPr>
            <w:snapToGrid w:val="0"/>
            <w:ind w:firstLine="420" w:firstLineChars="200"/>
            <w:rPr>
              <w:rFonts w:ascii="宋体" w:hAnsi="宋体"/>
            </w:rPr>
          </w:pPr>
          <w:r>
            <w:rPr>
              <w:rFonts w:hint="eastAsia" w:ascii="宋体" w:hAnsi="宋体"/>
            </w:rPr>
            <w:t>注4：抵押借款161,447千元的抵押物为本公司之子公司普力马煤炭有限公司总资产，截至2023年12月31日总资产账面价值为</w:t>
          </w:r>
          <w:r>
            <w:rPr>
              <w:rFonts w:ascii="宋体" w:hAnsi="宋体"/>
            </w:rPr>
            <w:t>9,435,276</w:t>
          </w:r>
          <w:r>
            <w:rPr>
              <w:rFonts w:hint="eastAsia" w:ascii="宋体" w:hAnsi="宋体"/>
            </w:rPr>
            <w:t>千元；抵押借款2,833,079千元的抵押物为本公司之子公司兖煤国际（控股）有限公司持有的9.34亿股浙江商业银行股票，账面价值共计5,838,70</w:t>
          </w:r>
          <w:r>
            <w:rPr>
              <w:rFonts w:ascii="宋体" w:hAnsi="宋体"/>
            </w:rPr>
            <w:t>6</w:t>
          </w:r>
          <w:r>
            <w:rPr>
              <w:rFonts w:hint="eastAsia" w:ascii="宋体" w:hAnsi="宋体"/>
            </w:rPr>
            <w:t>千元。</w:t>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应付债券</w:t>
      </w:r>
    </w:p>
    <w:p>
      <w:pPr>
        <w:pStyle w:val="505"/>
        <w:numPr>
          <w:ilvl w:val="0"/>
          <w:numId w:val="101"/>
        </w:numPr>
        <w:ind w:left="426" w:hanging="426"/>
      </w:pPr>
      <w:r>
        <w:rPr>
          <w:rFonts w:hint="eastAsia"/>
        </w:rPr>
        <w:t>应付债券</w:t>
      </w:r>
    </w:p>
    <w:sdt>
      <w:sdtPr>
        <w:alias w:val="是否适用：应付债券[双击切换]"/>
        <w:tag w:val="_GBC_645b020b25af4284b8eff88f14f8c5c2"/>
        <w:id w:val="-921092477"/>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债券"/>
          <w:tag w:val="_GBC_57b3a408d4a84bb0a330d1831f7c6f29"/>
          <w:id w:val="18223891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应付债券"/>
          <w:tag w:val="_GBC_058298e5284a4aa58bf3ef0038f20732"/>
          <w:id w:val="16150990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55"/>
        <w:gridCol w:w="3078"/>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52" w:hRule="atLeast"/>
        </w:trPr>
        <w:sdt>
          <w:sdtPr>
            <w:rPr>
              <w:rFonts w:ascii="宋体" w:hAnsi="宋体"/>
            </w:rPr>
            <w:tag w:val="_PLD_b1ab73cce61a4f81a37c70a551b42047"/>
            <w:id w:val="849600553"/>
          </w:sdtPr>
          <w:sdtEndPr>
            <w:rPr>
              <w:rFonts w:ascii="宋体" w:hAnsi="宋体"/>
            </w:rPr>
          </w:sdtEndPr>
          <w:sdtContent>
            <w:tc>
              <w:tcPr>
                <w:tcW w:w="1686" w:type="pct"/>
                <w:shd w:val="clear" w:color="auto" w:fill="auto"/>
              </w:tcPr>
              <w:p>
                <w:pPr>
                  <w:jc w:val="center"/>
                  <w:rPr>
                    <w:rFonts w:ascii="宋体" w:hAnsi="宋体"/>
                  </w:rPr>
                </w:pPr>
                <w:r>
                  <w:rPr>
                    <w:rFonts w:hint="eastAsia" w:ascii="宋体" w:hAnsi="宋体"/>
                  </w:rPr>
                  <w:t>项目</w:t>
                </w:r>
              </w:p>
            </w:tc>
          </w:sdtContent>
        </w:sdt>
        <w:sdt>
          <w:sdtPr>
            <w:rPr>
              <w:rFonts w:ascii="宋体" w:hAnsi="宋体"/>
            </w:rPr>
            <w:tag w:val="_PLD_3d8bcc7ecd3e4fd5ad328c296fbe1164"/>
            <w:id w:val="-581448953"/>
          </w:sdtPr>
          <w:sdtEndPr>
            <w:rPr>
              <w:rFonts w:ascii="宋体" w:hAnsi="宋体"/>
            </w:rPr>
          </w:sdtEndPr>
          <w:sdtContent>
            <w:tc>
              <w:tcPr>
                <w:tcW w:w="1699" w:type="pct"/>
                <w:shd w:val="clear" w:color="auto" w:fill="auto"/>
              </w:tcPr>
              <w:p>
                <w:pPr>
                  <w:adjustRightInd w:val="0"/>
                  <w:snapToGrid w:val="0"/>
                  <w:ind w:left="-2" w:leftChars="-2" w:right="19" w:rightChars="9" w:hanging="2" w:hangingChars="1"/>
                  <w:jc w:val="center"/>
                  <w:rPr>
                    <w:rFonts w:ascii="宋体" w:hAnsi="宋体"/>
                    <w:b/>
                  </w:rPr>
                </w:pPr>
                <w:r>
                  <w:rPr>
                    <w:rFonts w:hint="eastAsia" w:ascii="宋体" w:hAnsi="宋体"/>
                  </w:rPr>
                  <w:t>期末余额</w:t>
                </w:r>
              </w:p>
            </w:tc>
          </w:sdtContent>
        </w:sdt>
        <w:sdt>
          <w:sdtPr>
            <w:rPr>
              <w:rFonts w:ascii="宋体" w:hAnsi="宋体"/>
            </w:rPr>
            <w:tag w:val="_PLD_82ec823678804bd3ba2932976400cc89"/>
            <w:id w:val="1180619919"/>
          </w:sdtPr>
          <w:sdtEndPr>
            <w:rPr>
              <w:rFonts w:ascii="宋体" w:hAnsi="宋体"/>
            </w:rPr>
          </w:sdtEndPr>
          <w:sdtContent>
            <w:tc>
              <w:tcPr>
                <w:tcW w:w="1615" w:type="pct"/>
                <w:shd w:val="clear" w:color="auto" w:fill="auto"/>
              </w:tcPr>
              <w:p>
                <w:pPr>
                  <w:adjustRightInd w:val="0"/>
                  <w:snapToGrid w:val="0"/>
                  <w:ind w:left="-2" w:leftChars="-2" w:right="19" w:rightChars="9" w:hanging="2" w:hangingChars="1"/>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86" w:type="pct"/>
            <w:shd w:val="clear" w:color="auto" w:fill="auto"/>
          </w:tcPr>
          <w:p>
            <w:pPr>
              <w:pStyle w:val="531"/>
              <w:rPr>
                <w:szCs w:val="21"/>
              </w:rPr>
            </w:pPr>
            <w:r>
              <w:rPr>
                <w:rFonts w:hint="eastAsia" w:cs="Times New Roman"/>
                <w:kern w:val="2"/>
                <w:szCs w:val="21"/>
              </w:rPr>
              <w:t>应付债券</w:t>
            </w:r>
          </w:p>
        </w:tc>
        <w:tc>
          <w:tcPr>
            <w:tcW w:w="1699" w:type="pct"/>
            <w:shd w:val="clear" w:color="auto" w:fill="auto"/>
          </w:tcPr>
          <w:p>
            <w:pPr>
              <w:ind w:right="105"/>
              <w:jc w:val="right"/>
              <w:rPr>
                <w:rFonts w:ascii="宋体" w:hAnsi="宋体"/>
              </w:rPr>
            </w:pPr>
            <w:r>
              <w:rPr>
                <w:rFonts w:ascii="宋体" w:hAnsi="宋体"/>
              </w:rPr>
              <w:t>12,172,858</w:t>
            </w:r>
          </w:p>
        </w:tc>
        <w:tc>
          <w:tcPr>
            <w:tcW w:w="1615" w:type="pct"/>
            <w:shd w:val="clear" w:color="auto" w:fill="auto"/>
          </w:tcPr>
          <w:p>
            <w:pPr>
              <w:ind w:right="105"/>
              <w:jc w:val="right"/>
              <w:rPr>
                <w:rFonts w:ascii="宋体" w:hAnsi="宋体"/>
              </w:rPr>
            </w:pPr>
            <w:r>
              <w:rPr>
                <w:rFonts w:ascii="宋体" w:hAnsi="宋体"/>
              </w:rPr>
              <w:t>20,792,407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86" w:type="pct"/>
            <w:shd w:val="clear" w:color="auto" w:fill="auto"/>
          </w:tcPr>
          <w:p>
            <w:pPr>
              <w:jc w:val="center"/>
              <w:rPr>
                <w:rFonts w:ascii="宋体" w:hAnsi="宋体"/>
              </w:rPr>
            </w:pPr>
            <w:r>
              <w:rPr>
                <w:rFonts w:hint="eastAsia" w:ascii="宋体" w:hAnsi="宋体"/>
              </w:rPr>
              <w:t>合计</w:t>
            </w:r>
          </w:p>
        </w:tc>
        <w:tc>
          <w:tcPr>
            <w:tcW w:w="1699" w:type="pct"/>
            <w:shd w:val="clear" w:color="auto" w:fill="auto"/>
          </w:tcPr>
          <w:p>
            <w:pPr>
              <w:ind w:right="105"/>
              <w:jc w:val="right"/>
              <w:rPr>
                <w:rFonts w:ascii="宋体" w:hAnsi="宋体"/>
              </w:rPr>
            </w:pPr>
            <w:r>
              <w:rPr>
                <w:rFonts w:ascii="宋体" w:hAnsi="宋体"/>
              </w:rPr>
              <w:t>12,172,858</w:t>
            </w:r>
          </w:p>
        </w:tc>
        <w:tc>
          <w:tcPr>
            <w:tcW w:w="1615" w:type="pct"/>
            <w:shd w:val="clear" w:color="auto" w:fill="auto"/>
          </w:tcPr>
          <w:p>
            <w:pPr>
              <w:ind w:right="105"/>
              <w:jc w:val="right"/>
              <w:rPr>
                <w:rFonts w:ascii="宋体" w:hAnsi="宋体"/>
              </w:rPr>
            </w:pPr>
            <w:r>
              <w:rPr>
                <w:rFonts w:ascii="宋体" w:hAnsi="宋体"/>
              </w:rPr>
              <w:t>20,792,407</w:t>
            </w:r>
          </w:p>
        </w:tc>
      </w:tr>
    </w:tbl>
    <w:p>
      <w:pPr>
        <w:sectPr>
          <w:pgSz w:w="11906" w:h="16838"/>
          <w:pgMar w:top="1440" w:right="1797" w:bottom="1525" w:left="1276" w:header="856" w:footer="992" w:gutter="0"/>
          <w:cols w:space="425" w:num="1"/>
          <w:docGrid w:linePitch="312" w:charSpace="0"/>
        </w:sectPr>
      </w:pPr>
    </w:p>
    <w:p>
      <w:pPr>
        <w:pStyle w:val="505"/>
        <w:numPr>
          <w:ilvl w:val="0"/>
          <w:numId w:val="101"/>
        </w:numPr>
        <w:ind w:left="426" w:hanging="426"/>
      </w:pPr>
      <w:bookmarkStart w:id="314" w:name="_Hlk162281674"/>
      <w:r>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76353009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债券的增减变动"/>
          <w:tag w:val="_GBC_221366b8136447aca9359e6115acb07a"/>
          <w:id w:val="-4420005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应付债券的增减变动"/>
          <w:tag w:val="_GBC_ab4475cd02fd49449e15ccf7e0fadc42"/>
          <w:id w:val="21091599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314"/>
    <w:tbl>
      <w:tblPr>
        <w:tblStyle w:val="9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794"/>
        <w:gridCol w:w="497"/>
        <w:gridCol w:w="883"/>
        <w:gridCol w:w="675"/>
        <w:gridCol w:w="458"/>
        <w:gridCol w:w="1181"/>
        <w:gridCol w:w="1181"/>
        <w:gridCol w:w="1096"/>
        <w:gridCol w:w="1005"/>
        <w:gridCol w:w="886"/>
        <w:gridCol w:w="458"/>
        <w:gridCol w:w="1096"/>
        <w:gridCol w:w="1026"/>
        <w:gridCol w:w="1181"/>
        <w:gridCol w:w="118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590" w:hRule="atLeast"/>
          <w:tblHeader/>
        </w:trPr>
        <w:sdt>
          <w:sdtPr>
            <w:tag w:val="_PLD_e802e0473fe74b70b94a2bc1ff9e6120"/>
            <w:id w:val="-1847478795"/>
          </w:sdtPr>
          <w:sdtContent>
            <w:tc>
              <w:tcPr>
                <w:tcW w:w="0" w:type="auto"/>
                <w:shd w:val="clear" w:color="auto" w:fill="auto"/>
                <w:vAlign w:val="center"/>
              </w:tcPr>
              <w:p>
                <w:pPr>
                  <w:jc w:val="center"/>
                </w:pPr>
                <w:r>
                  <w:rPr>
                    <w:rFonts w:hint="eastAsia"/>
                  </w:rPr>
                  <w:t>债券</w:t>
                </w:r>
              </w:p>
              <w:p>
                <w:pPr>
                  <w:jc w:val="center"/>
                </w:pPr>
                <w:r>
                  <w:rPr>
                    <w:rFonts w:hint="eastAsia"/>
                  </w:rPr>
                  <w:t>名称</w:t>
                </w:r>
              </w:p>
            </w:tc>
          </w:sdtContent>
        </w:sdt>
        <w:tc>
          <w:tcPr>
            <w:tcW w:w="0" w:type="auto"/>
            <w:shd w:val="clear" w:color="auto" w:fill="auto"/>
            <w:vAlign w:val="bottom"/>
          </w:tcPr>
          <w:p>
            <w:pPr>
              <w:jc w:val="center"/>
            </w:pPr>
            <w:r>
              <w:rPr>
                <w:rFonts w:hint="eastAsia"/>
              </w:rPr>
              <w:t>面额</w:t>
            </w:r>
          </w:p>
          <w:p>
            <w:pPr>
              <w:jc w:val="center"/>
            </w:pPr>
          </w:p>
        </w:tc>
        <w:tc>
          <w:tcPr>
            <w:tcW w:w="0" w:type="auto"/>
            <w:vAlign w:val="center"/>
          </w:tcPr>
          <w:sdt>
            <w:sdtPr>
              <w:rPr>
                <w:rFonts w:hint="eastAsia"/>
              </w:rPr>
              <w:tag w:val="_PLD_cde8062fd35d4697ab79d366fd31de10"/>
              <w:id w:val="-653684272"/>
            </w:sdtPr>
            <w:sdtEndPr>
              <w:rPr>
                <w:rFonts w:hint="eastAsia"/>
              </w:rPr>
            </w:sdtEndPr>
            <w:sdtContent>
              <w:p>
                <w:pPr>
                  <w:jc w:val="center"/>
                </w:pPr>
                <w:r>
                  <w:rPr>
                    <w:rFonts w:hint="eastAsia"/>
                  </w:rPr>
                  <w:t>票面利率（%）</w:t>
                </w:r>
              </w:p>
            </w:sdtContent>
          </w:sdt>
        </w:tc>
        <w:sdt>
          <w:sdtPr>
            <w:tag w:val="_PLD_ee6ba2e107ad4013b8b8d3efeae50c26"/>
            <w:id w:val="1206677011"/>
          </w:sdtPr>
          <w:sdtContent>
            <w:tc>
              <w:tcPr>
                <w:tcW w:w="0" w:type="auto"/>
                <w:shd w:val="clear" w:color="auto" w:fill="auto"/>
                <w:vAlign w:val="center"/>
              </w:tcPr>
              <w:p>
                <w:pPr>
                  <w:jc w:val="center"/>
                </w:pPr>
                <w:r>
                  <w:rPr>
                    <w:rFonts w:hint="eastAsia"/>
                  </w:rPr>
                  <w:t>发行</w:t>
                </w:r>
              </w:p>
              <w:p>
                <w:pPr>
                  <w:jc w:val="center"/>
                </w:pPr>
                <w:r>
                  <w:rPr>
                    <w:rFonts w:hint="eastAsia"/>
                  </w:rPr>
                  <w:t>日期</w:t>
                </w:r>
              </w:p>
            </w:tc>
          </w:sdtContent>
        </w:sdt>
        <w:sdt>
          <w:sdtPr>
            <w:tag w:val="_PLD_124bbea948a54d48a0375b121ca28abc"/>
            <w:id w:val="663668708"/>
          </w:sdtPr>
          <w:sdtContent>
            <w:tc>
              <w:tcPr>
                <w:tcW w:w="0" w:type="auto"/>
                <w:shd w:val="clear" w:color="auto" w:fill="auto"/>
                <w:vAlign w:val="center"/>
              </w:tcPr>
              <w:p>
                <w:pPr>
                  <w:jc w:val="center"/>
                </w:pPr>
                <w:r>
                  <w:rPr>
                    <w:rFonts w:hint="eastAsia"/>
                  </w:rPr>
                  <w:t>债券</w:t>
                </w:r>
              </w:p>
              <w:p>
                <w:pPr>
                  <w:jc w:val="center"/>
                </w:pPr>
                <w:r>
                  <w:rPr>
                    <w:rFonts w:hint="eastAsia"/>
                  </w:rPr>
                  <w:t>期限</w:t>
                </w:r>
              </w:p>
            </w:tc>
          </w:sdtContent>
        </w:sdt>
        <w:sdt>
          <w:sdtPr>
            <w:tag w:val="_PLD_7049ab93920145468e81fe6c529385fb"/>
            <w:id w:val="-835612339"/>
          </w:sdtPr>
          <w:sdtContent>
            <w:tc>
              <w:tcPr>
                <w:tcW w:w="0" w:type="auto"/>
                <w:shd w:val="clear" w:color="auto" w:fill="auto"/>
                <w:vAlign w:val="center"/>
              </w:tcPr>
              <w:p>
                <w:pPr>
                  <w:jc w:val="center"/>
                </w:pPr>
                <w:r>
                  <w:rPr>
                    <w:rFonts w:hint="eastAsia"/>
                  </w:rPr>
                  <w:t>发行</w:t>
                </w:r>
              </w:p>
              <w:p>
                <w:pPr>
                  <w:jc w:val="center"/>
                </w:pPr>
                <w:r>
                  <w:rPr>
                    <w:rFonts w:hint="eastAsia"/>
                  </w:rPr>
                  <w:t>金额</w:t>
                </w:r>
              </w:p>
            </w:tc>
          </w:sdtContent>
        </w:sdt>
        <w:sdt>
          <w:sdtPr>
            <w:tag w:val="_PLD_38d9b1ec51834164a4568a000acee069"/>
            <w:id w:val="-1513748222"/>
          </w:sdtPr>
          <w:sdtContent>
            <w:tc>
              <w:tcPr>
                <w:tcW w:w="0" w:type="auto"/>
                <w:shd w:val="clear" w:color="auto" w:fill="auto"/>
                <w:vAlign w:val="center"/>
              </w:tcPr>
              <w:p>
                <w:pPr>
                  <w:jc w:val="center"/>
                </w:pPr>
                <w:r>
                  <w:rPr>
                    <w:rFonts w:hint="eastAsia"/>
                  </w:rPr>
                  <w:t>期初</w:t>
                </w:r>
              </w:p>
              <w:p>
                <w:pPr>
                  <w:jc w:val="center"/>
                </w:pPr>
                <w:r>
                  <w:rPr>
                    <w:rFonts w:hint="eastAsia"/>
                  </w:rPr>
                  <w:t>余额</w:t>
                </w:r>
              </w:p>
            </w:tc>
          </w:sdtContent>
        </w:sdt>
        <w:sdt>
          <w:sdtPr>
            <w:tag w:val="_PLD_631bbacf370944efab46658f1d2b4f3d"/>
            <w:id w:val="-636570353"/>
          </w:sdtPr>
          <w:sdtContent>
            <w:tc>
              <w:tcPr>
                <w:tcW w:w="0" w:type="auto"/>
                <w:shd w:val="clear" w:color="auto" w:fill="auto"/>
                <w:vAlign w:val="center"/>
              </w:tcPr>
              <w:p>
                <w:pPr>
                  <w:jc w:val="center"/>
                </w:pPr>
                <w:r>
                  <w:rPr>
                    <w:rFonts w:hint="eastAsia"/>
                  </w:rPr>
                  <w:t>本期</w:t>
                </w:r>
              </w:p>
              <w:p>
                <w:pPr>
                  <w:jc w:val="center"/>
                </w:pPr>
                <w:r>
                  <w:rPr>
                    <w:rFonts w:hint="eastAsia"/>
                  </w:rPr>
                  <w:t>发行</w:t>
                </w:r>
              </w:p>
            </w:tc>
          </w:sdtContent>
        </w:sdt>
        <w:sdt>
          <w:sdtPr>
            <w:tag w:val="_PLD_46ecadb6d93742c196106f528dc587fb"/>
            <w:id w:val="1814821297"/>
          </w:sdtPr>
          <w:sdtContent>
            <w:tc>
              <w:tcPr>
                <w:tcW w:w="0" w:type="auto"/>
                <w:shd w:val="clear" w:color="auto" w:fill="auto"/>
                <w:vAlign w:val="center"/>
              </w:tcPr>
              <w:p>
                <w:pPr>
                  <w:jc w:val="center"/>
                </w:pPr>
                <w:r>
                  <w:rPr>
                    <w:rFonts w:hint="eastAsia"/>
                  </w:rPr>
                  <w:t>按面值计提利息</w:t>
                </w:r>
              </w:p>
            </w:tc>
          </w:sdtContent>
        </w:sdt>
        <w:sdt>
          <w:sdtPr>
            <w:tag w:val="_PLD_ae4bf5f0a7024d7494d06729dd783ba4"/>
            <w:id w:val="1617495688"/>
          </w:sdtPr>
          <w:sdtContent>
            <w:tc>
              <w:tcPr>
                <w:tcW w:w="0" w:type="auto"/>
                <w:shd w:val="clear" w:color="auto" w:fill="auto"/>
                <w:vAlign w:val="center"/>
              </w:tcPr>
              <w:p>
                <w:pPr>
                  <w:jc w:val="center"/>
                </w:pPr>
                <w:r>
                  <w:rPr>
                    <w:rFonts w:hint="eastAsia"/>
                  </w:rPr>
                  <w:t>溢折价摊销</w:t>
                </w:r>
              </w:p>
            </w:tc>
          </w:sdtContent>
        </w:sdt>
        <w:sdt>
          <w:sdtPr>
            <w:tag w:val="_PLD_4b5846bfb9664157a5fbfb5219160105"/>
            <w:id w:val="-501051790"/>
          </w:sdtPr>
          <w:sdtContent>
            <w:tc>
              <w:tcPr>
                <w:tcW w:w="0" w:type="auto"/>
                <w:shd w:val="clear" w:color="auto" w:fill="auto"/>
                <w:vAlign w:val="center"/>
              </w:tcPr>
              <w:p>
                <w:pPr>
                  <w:jc w:val="center"/>
                </w:pPr>
                <w:r>
                  <w:rPr>
                    <w:rFonts w:hint="eastAsia"/>
                  </w:rPr>
                  <w:t>本期</w:t>
                </w:r>
              </w:p>
              <w:p>
                <w:pPr>
                  <w:jc w:val="center"/>
                </w:pPr>
                <w:r>
                  <w:rPr>
                    <w:rFonts w:hint="eastAsia"/>
                  </w:rPr>
                  <w:t>偿还</w:t>
                </w:r>
              </w:p>
            </w:tc>
          </w:sdtContent>
        </w:sdt>
        <w:tc>
          <w:tcPr>
            <w:tcW w:w="0" w:type="auto"/>
            <w:shd w:val="clear" w:color="auto" w:fill="auto"/>
            <w:vAlign w:val="center"/>
          </w:tcPr>
          <w:p>
            <w:pPr>
              <w:jc w:val="center"/>
            </w:pPr>
            <w:r>
              <w:rPr>
                <w:rFonts w:hint="eastAsia"/>
              </w:rPr>
              <w:t>本期赎回</w:t>
            </w:r>
          </w:p>
        </w:tc>
        <w:tc>
          <w:tcPr>
            <w:tcW w:w="0" w:type="auto"/>
            <w:shd w:val="clear" w:color="auto" w:fill="auto"/>
            <w:vAlign w:val="center"/>
          </w:tcPr>
          <w:p>
            <w:pPr>
              <w:jc w:val="center"/>
            </w:pPr>
            <w:r>
              <w:rPr>
                <w:rFonts w:hint="eastAsia"/>
              </w:rPr>
              <w:t>外币报表折算差额</w:t>
            </w:r>
          </w:p>
        </w:tc>
        <w:tc>
          <w:tcPr>
            <w:tcW w:w="0" w:type="auto"/>
            <w:shd w:val="clear" w:color="auto" w:fill="auto"/>
            <w:vAlign w:val="center"/>
          </w:tcPr>
          <w:p>
            <w:pPr>
              <w:jc w:val="center"/>
            </w:pPr>
            <w:r>
              <w:rPr>
                <w:rFonts w:hint="eastAsia"/>
              </w:rPr>
              <w:t>其他减少</w:t>
            </w:r>
          </w:p>
        </w:tc>
        <w:sdt>
          <w:sdtPr>
            <w:tag w:val="_PLD_a12b5b0e009f4c31a176550ce24d537b"/>
            <w:id w:val="243304466"/>
          </w:sdtPr>
          <w:sdtContent>
            <w:tc>
              <w:tcPr>
                <w:tcW w:w="0" w:type="auto"/>
                <w:shd w:val="clear" w:color="auto" w:fill="auto"/>
                <w:vAlign w:val="center"/>
              </w:tcPr>
              <w:p>
                <w:pPr>
                  <w:jc w:val="center"/>
                </w:pPr>
                <w:r>
                  <w:rPr>
                    <w:rFonts w:hint="eastAsia"/>
                  </w:rPr>
                  <w:t>期末</w:t>
                </w:r>
              </w:p>
              <w:p>
                <w:pPr>
                  <w:jc w:val="center"/>
                </w:pPr>
                <w:r>
                  <w:rPr>
                    <w:rFonts w:hint="eastAsia"/>
                  </w:rPr>
                  <w:t>余额</w:t>
                </w:r>
              </w:p>
            </w:tc>
          </w:sdtContent>
        </w:sdt>
        <w:tc>
          <w:tcPr>
            <w:tcW w:w="0" w:type="auto"/>
            <w:vAlign w:val="center"/>
          </w:tcPr>
          <w:sdt>
            <w:sdtPr>
              <w:rPr>
                <w:rFonts w:hint="eastAsia"/>
              </w:rPr>
              <w:tag w:val="_PLD_fe946a005a854bd5b7b72ef369d885ff"/>
              <w:id w:val="1711838459"/>
            </w:sdtPr>
            <w:sdtEndPr>
              <w:rPr>
                <w:rFonts w:hint="eastAsia"/>
              </w:rPr>
            </w:sdtEndPr>
            <w:sdtContent>
              <w:p>
                <w:pPr>
                  <w:jc w:val="center"/>
                </w:pPr>
                <w:r>
                  <w:rPr>
                    <w:rFonts w:hint="eastAsia"/>
                  </w:rPr>
                  <w:t>是否违约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12兖煤0</w:t>
            </w:r>
            <w:r>
              <w:rPr>
                <w:rFonts w:ascii="宋体" w:hAnsi="宋体"/>
                <w:spacing w:val="-20"/>
              </w:rPr>
              <w:t>4</w:t>
            </w:r>
            <w:r>
              <w:rPr>
                <w:rFonts w:hint="eastAsia" w:ascii="宋体" w:hAnsi="宋体"/>
                <w:spacing w:val="-20"/>
              </w:rPr>
              <w:t>（注1）</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6.15%</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2014年3月3日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10年</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3,050,000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3,047,342</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190,180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3,050</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3,050,392</w:t>
            </w:r>
          </w:p>
        </w:tc>
        <w:tc>
          <w:tcPr>
            <w:tcW w:w="0" w:type="auto"/>
            <w:shd w:val="clear" w:color="auto" w:fill="auto"/>
            <w:vAlign w:val="center"/>
          </w:tcPr>
          <w:p>
            <w:pPr>
              <w:ind w:right="105"/>
              <w:jc w:val="right"/>
              <w:rPr>
                <w:rFonts w:ascii="宋体" w:hAnsi="宋体"/>
                <w:spacing w:val="-20"/>
              </w:rPr>
            </w:pP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20兖煤02</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3.43%</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2020年3月1</w:t>
            </w:r>
            <w:r>
              <w:rPr>
                <w:rFonts w:ascii="宋体" w:hAnsi="宋体"/>
                <w:spacing w:val="-20"/>
              </w:rPr>
              <w:t>0</w:t>
            </w:r>
            <w:r>
              <w:rPr>
                <w:rFonts w:hint="eastAsia" w:ascii="宋体" w:hAnsi="宋体"/>
                <w:spacing w:val="-20"/>
              </w:rPr>
              <w:t>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5年</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2,700,000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2,693,925</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93,896</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2,700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2,696,625</w:t>
            </w: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20兖煤03</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4.29%</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2020年3月1</w:t>
            </w:r>
            <w:r>
              <w:rPr>
                <w:rFonts w:ascii="宋体" w:hAnsi="宋体"/>
                <w:spacing w:val="-20"/>
              </w:rPr>
              <w:t>0</w:t>
            </w:r>
            <w:r>
              <w:rPr>
                <w:rFonts w:hint="eastAsia" w:ascii="宋体" w:hAnsi="宋体"/>
                <w:spacing w:val="-20"/>
              </w:rPr>
              <w:t>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10年</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2,000,000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1,985,500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86,992</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2,000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1,987,500</w:t>
            </w: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20兖煤04</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3.89%</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2020年10月2</w:t>
            </w:r>
            <w:r>
              <w:rPr>
                <w:rFonts w:ascii="宋体" w:hAnsi="宋体"/>
                <w:spacing w:val="-20"/>
              </w:rPr>
              <w:t>1</w:t>
            </w:r>
            <w:r>
              <w:rPr>
                <w:rFonts w:hint="eastAsia" w:ascii="宋体" w:hAnsi="宋体"/>
                <w:spacing w:val="-20"/>
              </w:rPr>
              <w:t>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15年</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3,500,000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3,497,900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106,273</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2,100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ascii="宋体" w:hAnsi="宋体"/>
                <w:spacing w:val="-20"/>
              </w:rPr>
              <w:t>3,500,000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20兖煤05</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4.27%</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2020年10月2</w:t>
            </w:r>
            <w:r>
              <w:rPr>
                <w:rFonts w:ascii="宋体" w:hAnsi="宋体"/>
                <w:spacing w:val="-20"/>
              </w:rPr>
              <w:t>1</w:t>
            </w:r>
            <w:r>
              <w:rPr>
                <w:rFonts w:hint="eastAsia" w:ascii="宋体" w:hAnsi="宋体"/>
                <w:spacing w:val="-20"/>
              </w:rPr>
              <w:t>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10年</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1,500,000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1,497,200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64,940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1,200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1,498,400</w:t>
            </w: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21兖煤01</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3.74%</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2021年5月28日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3年</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3,000,000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2,995,533</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113,758</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2,400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2,997,933</w:t>
            </w:r>
          </w:p>
        </w:tc>
        <w:tc>
          <w:tcPr>
            <w:tcW w:w="0" w:type="auto"/>
            <w:shd w:val="clear" w:color="auto" w:fill="auto"/>
            <w:vAlign w:val="center"/>
          </w:tcPr>
          <w:p>
            <w:pPr>
              <w:ind w:right="105"/>
              <w:jc w:val="right"/>
              <w:rPr>
                <w:rFonts w:ascii="宋体" w:hAnsi="宋体"/>
                <w:spacing w:val="-20"/>
              </w:rPr>
            </w:pP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21兖煤02</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4.13%</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2021年5月28日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5年</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1,000,000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998,200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41,874</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500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998,700</w:t>
            </w: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23兖煤01</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3.34%</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2023年5月</w:t>
            </w:r>
            <w:r>
              <w:rPr>
                <w:rFonts w:ascii="宋体" w:hAnsi="宋体"/>
                <w:spacing w:val="-20"/>
              </w:rPr>
              <w:t>25</w:t>
            </w:r>
            <w:r>
              <w:rPr>
                <w:rFonts w:hint="eastAsia" w:ascii="宋体" w:hAnsi="宋体"/>
                <w:spacing w:val="-20"/>
              </w:rPr>
              <w:t>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5年</w:t>
            </w:r>
          </w:p>
        </w:tc>
        <w:tc>
          <w:tcPr>
            <w:tcW w:w="0" w:type="auto"/>
            <w:shd w:val="clear" w:color="auto" w:fill="auto"/>
            <w:vAlign w:val="center"/>
          </w:tcPr>
          <w:p>
            <w:pPr>
              <w:ind w:right="105"/>
              <w:jc w:val="right"/>
              <w:rPr>
                <w:rFonts w:ascii="宋体" w:hAnsi="宋体"/>
                <w:spacing w:val="-20"/>
              </w:rPr>
            </w:pPr>
            <w:r>
              <w:rPr>
                <w:rFonts w:ascii="宋体" w:hAnsi="宋体"/>
                <w:spacing w:val="-20"/>
              </w:rPr>
              <w:t>1,000,000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ascii="宋体" w:hAnsi="宋体"/>
                <w:spacing w:val="-20"/>
              </w:rPr>
              <w:t>999,000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20,318</w:t>
            </w:r>
          </w:p>
        </w:tc>
        <w:tc>
          <w:tcPr>
            <w:tcW w:w="0" w:type="auto"/>
            <w:shd w:val="clear" w:color="auto" w:fill="auto"/>
            <w:vAlign w:val="center"/>
          </w:tcPr>
          <w:p>
            <w:pPr>
              <w:ind w:right="105"/>
              <w:jc w:val="right"/>
              <w:rPr>
                <w:rFonts w:ascii="宋体" w:hAnsi="宋体"/>
                <w:spacing w:val="-20"/>
              </w:rPr>
            </w:pPr>
            <w:r>
              <w:rPr>
                <w:rFonts w:ascii="宋体" w:hAnsi="宋体"/>
                <w:spacing w:val="-20"/>
              </w:rPr>
              <w:t>133</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999,13</w:t>
            </w:r>
            <w:r>
              <w:rPr>
                <w:rFonts w:ascii="宋体" w:hAnsi="宋体"/>
                <w:spacing w:val="-20"/>
              </w:rPr>
              <w:t>3</w:t>
            </w: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23兖煤02</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3.80%</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2023年5月</w:t>
            </w:r>
            <w:r>
              <w:rPr>
                <w:rFonts w:ascii="宋体" w:hAnsi="宋体"/>
                <w:spacing w:val="-20"/>
              </w:rPr>
              <w:t>25</w:t>
            </w:r>
            <w:r>
              <w:rPr>
                <w:rFonts w:hint="eastAsia" w:ascii="宋体" w:hAnsi="宋体"/>
                <w:spacing w:val="-20"/>
              </w:rPr>
              <w:t>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10年</w:t>
            </w:r>
          </w:p>
        </w:tc>
        <w:tc>
          <w:tcPr>
            <w:tcW w:w="0" w:type="auto"/>
            <w:shd w:val="clear" w:color="auto" w:fill="auto"/>
            <w:vAlign w:val="center"/>
          </w:tcPr>
          <w:p>
            <w:pPr>
              <w:ind w:right="105"/>
              <w:jc w:val="right"/>
              <w:rPr>
                <w:rFonts w:ascii="宋体" w:hAnsi="宋体"/>
                <w:spacing w:val="-20"/>
              </w:rPr>
            </w:pPr>
            <w:r>
              <w:rPr>
                <w:rFonts w:ascii="宋体" w:hAnsi="宋体"/>
                <w:spacing w:val="-20"/>
              </w:rPr>
              <w:t>2,000,000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ascii="宋体" w:hAnsi="宋体"/>
                <w:spacing w:val="-20"/>
              </w:rPr>
              <w:t>1,996,000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46,233</w:t>
            </w:r>
          </w:p>
        </w:tc>
        <w:tc>
          <w:tcPr>
            <w:tcW w:w="0" w:type="auto"/>
            <w:shd w:val="clear" w:color="auto" w:fill="auto"/>
            <w:vAlign w:val="center"/>
          </w:tcPr>
          <w:p>
            <w:pPr>
              <w:ind w:right="105"/>
              <w:jc w:val="right"/>
              <w:rPr>
                <w:rFonts w:ascii="宋体" w:hAnsi="宋体"/>
                <w:spacing w:val="-20"/>
              </w:rPr>
            </w:pPr>
            <w:r>
              <w:rPr>
                <w:rFonts w:ascii="宋体" w:hAnsi="宋体"/>
                <w:spacing w:val="-20"/>
              </w:rPr>
              <w:t>267</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1,996,267</w:t>
            </w: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23兖煤04</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3.75%</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2023年6月1</w:t>
            </w:r>
            <w:r>
              <w:rPr>
                <w:rFonts w:ascii="宋体" w:hAnsi="宋体"/>
                <w:spacing w:val="-20"/>
              </w:rPr>
              <w:t>5</w:t>
            </w:r>
            <w:r>
              <w:rPr>
                <w:rFonts w:hint="eastAsia" w:ascii="宋体" w:hAnsi="宋体"/>
                <w:spacing w:val="-20"/>
              </w:rPr>
              <w:t>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10年</w:t>
            </w:r>
          </w:p>
        </w:tc>
        <w:tc>
          <w:tcPr>
            <w:tcW w:w="0" w:type="auto"/>
            <w:shd w:val="clear" w:color="auto" w:fill="auto"/>
            <w:vAlign w:val="center"/>
          </w:tcPr>
          <w:p>
            <w:pPr>
              <w:ind w:right="105"/>
              <w:jc w:val="right"/>
              <w:rPr>
                <w:rFonts w:ascii="宋体" w:hAnsi="宋体"/>
                <w:spacing w:val="-20"/>
              </w:rPr>
            </w:pPr>
            <w:r>
              <w:rPr>
                <w:rFonts w:ascii="宋体" w:hAnsi="宋体"/>
                <w:spacing w:val="-20"/>
              </w:rPr>
              <w:t>2,000,000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ascii="宋体" w:hAnsi="宋体"/>
                <w:spacing w:val="-20"/>
              </w:rPr>
              <w:t>1,996,000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41,250</w:t>
            </w:r>
          </w:p>
        </w:tc>
        <w:tc>
          <w:tcPr>
            <w:tcW w:w="0" w:type="auto"/>
            <w:shd w:val="clear" w:color="auto" w:fill="auto"/>
            <w:vAlign w:val="center"/>
          </w:tcPr>
          <w:p>
            <w:pPr>
              <w:ind w:right="105"/>
              <w:jc w:val="right"/>
              <w:rPr>
                <w:rFonts w:ascii="宋体" w:hAnsi="宋体"/>
                <w:spacing w:val="-20"/>
              </w:rPr>
            </w:pPr>
            <w:r>
              <w:rPr>
                <w:rFonts w:ascii="宋体" w:hAnsi="宋体"/>
                <w:spacing w:val="-20"/>
              </w:rPr>
              <w:t>233</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1,996,233</w:t>
            </w: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MTN00招商银行中期票据</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3.80%</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2021年7月22日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3年</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2,000,000</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1,996,500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77,056</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1,000</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1,997,500</w:t>
            </w:r>
          </w:p>
        </w:tc>
        <w:tc>
          <w:tcPr>
            <w:tcW w:w="0" w:type="auto"/>
            <w:shd w:val="clear" w:color="auto" w:fill="auto"/>
            <w:vAlign w:val="center"/>
          </w:tcPr>
          <w:p>
            <w:pPr>
              <w:ind w:right="105"/>
              <w:jc w:val="right"/>
              <w:rPr>
                <w:rFonts w:ascii="宋体" w:hAnsi="宋体"/>
                <w:spacing w:val="-20"/>
              </w:rPr>
            </w:pP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vAlign w:val="center"/>
          </w:tcPr>
          <w:p>
            <w:pPr>
              <w:widowControl/>
              <w:jc w:val="left"/>
              <w:rPr>
                <w:rFonts w:ascii="宋体" w:hAnsi="宋体"/>
                <w:spacing w:val="-20"/>
              </w:rPr>
            </w:pPr>
            <w:r>
              <w:rPr>
                <w:rFonts w:hint="eastAsia" w:ascii="宋体" w:hAnsi="宋体"/>
                <w:spacing w:val="-20"/>
              </w:rPr>
              <w:t>公司债券（注2）</w:t>
            </w:r>
          </w:p>
        </w:tc>
        <w:tc>
          <w:tcPr>
            <w:tcW w:w="0" w:type="auto"/>
            <w:shd w:val="clear" w:color="auto" w:fill="auto"/>
            <w:vAlign w:val="center"/>
          </w:tcPr>
          <w:p>
            <w:pPr>
              <w:widowControl/>
              <w:jc w:val="left"/>
              <w:rPr>
                <w:rFonts w:ascii="宋体" w:hAnsi="宋体"/>
                <w:spacing w:val="-20"/>
              </w:rPr>
            </w:pPr>
            <w:r>
              <w:rPr>
                <w:rFonts w:ascii="宋体" w:hAnsi="宋体"/>
                <w:spacing w:val="-20"/>
              </w:rPr>
              <w:t>0.1</w:t>
            </w:r>
          </w:p>
        </w:tc>
        <w:tc>
          <w:tcPr>
            <w:tcW w:w="0" w:type="auto"/>
            <w:vAlign w:val="center"/>
          </w:tcPr>
          <w:p>
            <w:pPr>
              <w:ind w:right="105"/>
              <w:jc w:val="right"/>
              <w:rPr>
                <w:rFonts w:ascii="宋体" w:hAnsi="宋体"/>
                <w:spacing w:val="-20"/>
              </w:rPr>
            </w:pPr>
            <w:r>
              <w:rPr>
                <w:rFonts w:ascii="宋体" w:hAnsi="宋体"/>
                <w:spacing w:val="-20"/>
              </w:rPr>
              <w:t>2.90%</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2021年11月23日</w:t>
            </w:r>
          </w:p>
        </w:tc>
        <w:tc>
          <w:tcPr>
            <w:tcW w:w="0" w:type="auto"/>
            <w:shd w:val="clear" w:color="auto" w:fill="auto"/>
            <w:vAlign w:val="center"/>
          </w:tcPr>
          <w:p>
            <w:pPr>
              <w:widowControl/>
              <w:jc w:val="left"/>
              <w:rPr>
                <w:rFonts w:ascii="宋体" w:hAnsi="宋体"/>
                <w:spacing w:val="-20"/>
              </w:rPr>
            </w:pPr>
            <w:r>
              <w:rPr>
                <w:rFonts w:hint="eastAsia" w:ascii="宋体" w:hAnsi="宋体"/>
                <w:spacing w:val="-20"/>
              </w:rPr>
              <w:t>3年</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1,912,711</w:t>
            </w:r>
          </w:p>
        </w:tc>
        <w:tc>
          <w:tcPr>
            <w:tcW w:w="0" w:type="auto"/>
            <w:shd w:val="clear" w:color="auto" w:fill="auto"/>
            <w:vAlign w:val="center"/>
          </w:tcPr>
          <w:p>
            <w:pPr>
              <w:ind w:right="105"/>
              <w:jc w:val="right"/>
              <w:rPr>
                <w:rFonts w:ascii="宋体" w:hAnsi="宋体"/>
                <w:spacing w:val="-20"/>
              </w:rPr>
            </w:pPr>
            <w:r>
              <w:rPr>
                <w:rFonts w:hint="eastAsia" w:ascii="宋体" w:hAnsi="宋体"/>
                <w:spacing w:val="-20"/>
              </w:rPr>
              <w:t>2,080,307</w:t>
            </w: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ascii="宋体" w:hAnsi="宋体"/>
                <w:spacing w:val="-20"/>
              </w:rPr>
              <w:t>644</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p>
        </w:tc>
        <w:tc>
          <w:tcPr>
            <w:tcW w:w="0" w:type="auto"/>
            <w:shd w:val="clear" w:color="auto" w:fill="auto"/>
            <w:vAlign w:val="center"/>
          </w:tcPr>
          <w:p>
            <w:pPr>
              <w:ind w:right="105"/>
              <w:jc w:val="right"/>
              <w:rPr>
                <w:rFonts w:ascii="宋体" w:hAnsi="宋体"/>
                <w:spacing w:val="-20"/>
              </w:rPr>
            </w:pPr>
            <w:r>
              <w:rPr>
                <w:rFonts w:ascii="宋体" w:hAnsi="宋体"/>
                <w:spacing w:val="-20"/>
              </w:rPr>
              <w:t>108,767</w:t>
            </w:r>
          </w:p>
        </w:tc>
        <w:tc>
          <w:tcPr>
            <w:tcW w:w="0" w:type="auto"/>
            <w:shd w:val="clear" w:color="auto" w:fill="auto"/>
            <w:vAlign w:val="center"/>
          </w:tcPr>
          <w:p>
            <w:pPr>
              <w:ind w:right="105"/>
              <w:jc w:val="right"/>
              <w:rPr>
                <w:rFonts w:ascii="宋体" w:hAnsi="宋体"/>
                <w:spacing w:val="-20"/>
              </w:rPr>
            </w:pPr>
            <w:r>
              <w:rPr>
                <w:rFonts w:ascii="宋体" w:hAnsi="宋体"/>
                <w:spacing w:val="-20"/>
              </w:rPr>
              <w:t>2,189,718</w:t>
            </w:r>
          </w:p>
        </w:tc>
        <w:tc>
          <w:tcPr>
            <w:tcW w:w="0" w:type="auto"/>
            <w:shd w:val="clear" w:color="auto" w:fill="auto"/>
            <w:vAlign w:val="center"/>
          </w:tcPr>
          <w:p>
            <w:pPr>
              <w:ind w:right="105"/>
              <w:jc w:val="right"/>
              <w:rPr>
                <w:rFonts w:ascii="宋体" w:hAnsi="宋体"/>
                <w:spacing w:val="-20"/>
              </w:rPr>
            </w:pPr>
          </w:p>
        </w:tc>
        <w:tc>
          <w:tcPr>
            <w:tcW w:w="0" w:type="auto"/>
            <w:vAlign w:val="center"/>
          </w:tcPr>
          <w:p>
            <w:pPr>
              <w:widowControl/>
              <w:jc w:val="left"/>
              <w:rPr>
                <w:rFonts w:ascii="宋体" w:hAnsi="宋体"/>
                <w:spacing w:val="-20"/>
              </w:rPr>
            </w:pPr>
            <w:r>
              <w:rPr>
                <w:rFonts w:hint="eastAsia" w:ascii="宋体" w:hAnsi="宋体"/>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66" w:hRule="atLeast"/>
        </w:trPr>
        <w:tc>
          <w:tcPr>
            <w:tcW w:w="0" w:type="auto"/>
            <w:shd w:val="clear" w:color="auto" w:fill="auto"/>
          </w:tcPr>
          <w:p>
            <w:pPr>
              <w:widowControl/>
              <w:jc w:val="left"/>
              <w:rPr>
                <w:rFonts w:ascii="宋体" w:hAnsi="宋体"/>
                <w:spacing w:val="-20"/>
              </w:rPr>
            </w:pPr>
            <w:r>
              <w:rPr>
                <w:rFonts w:hint="eastAsia" w:ascii="宋体" w:hAnsi="宋体"/>
                <w:spacing w:val="-20"/>
              </w:rPr>
              <w:t>合计</w:t>
            </w:r>
          </w:p>
        </w:tc>
        <w:tc>
          <w:tcPr>
            <w:tcW w:w="0" w:type="auto"/>
            <w:shd w:val="clear" w:color="auto" w:fill="auto"/>
          </w:tcPr>
          <w:p>
            <w:pPr>
              <w:jc w:val="center"/>
              <w:rPr>
                <w:rFonts w:ascii="宋体" w:hAnsi="宋体"/>
                <w:spacing w:val="-20"/>
              </w:rPr>
            </w:pPr>
            <w:r>
              <w:rPr>
                <w:rFonts w:ascii="宋体" w:hAnsi="宋体"/>
                <w:spacing w:val="-20"/>
              </w:rPr>
              <w:t>/</w:t>
            </w:r>
          </w:p>
        </w:tc>
        <w:tc>
          <w:tcPr>
            <w:tcW w:w="0" w:type="auto"/>
          </w:tcPr>
          <w:p>
            <w:pPr>
              <w:jc w:val="center"/>
              <w:rPr>
                <w:rFonts w:ascii="宋体" w:hAnsi="宋体"/>
                <w:spacing w:val="-20"/>
              </w:rPr>
            </w:pPr>
            <w:r>
              <w:rPr>
                <w:rFonts w:ascii="宋体" w:hAnsi="宋体"/>
                <w:spacing w:val="-20"/>
              </w:rPr>
              <w:t>/</w:t>
            </w:r>
          </w:p>
        </w:tc>
        <w:tc>
          <w:tcPr>
            <w:tcW w:w="0" w:type="auto"/>
            <w:shd w:val="clear" w:color="auto" w:fill="auto"/>
          </w:tcPr>
          <w:p>
            <w:pPr>
              <w:jc w:val="center"/>
              <w:rPr>
                <w:rFonts w:ascii="宋体" w:hAnsi="宋体"/>
                <w:spacing w:val="-20"/>
              </w:rPr>
            </w:pPr>
            <w:r>
              <w:rPr>
                <w:rFonts w:hint="eastAsia" w:ascii="宋体" w:hAnsi="宋体"/>
                <w:spacing w:val="-20"/>
              </w:rPr>
              <w:t>/</w:t>
            </w:r>
          </w:p>
        </w:tc>
        <w:tc>
          <w:tcPr>
            <w:tcW w:w="0" w:type="auto"/>
            <w:shd w:val="clear" w:color="auto" w:fill="auto"/>
          </w:tcPr>
          <w:p>
            <w:pPr>
              <w:jc w:val="center"/>
              <w:rPr>
                <w:rFonts w:ascii="宋体" w:hAnsi="宋体"/>
                <w:spacing w:val="-20"/>
              </w:rPr>
            </w:pPr>
            <w:r>
              <w:rPr>
                <w:rFonts w:hint="eastAsia" w:ascii="宋体" w:hAnsi="宋体"/>
                <w:spacing w:val="-20"/>
              </w:rPr>
              <w:t>/</w:t>
            </w:r>
          </w:p>
        </w:tc>
        <w:tc>
          <w:tcPr>
            <w:tcW w:w="0" w:type="auto"/>
            <w:shd w:val="clear" w:color="auto" w:fill="auto"/>
            <w:vAlign w:val="center"/>
          </w:tcPr>
          <w:p>
            <w:pPr>
              <w:ind w:right="105"/>
              <w:jc w:val="right"/>
              <w:rPr>
                <w:rFonts w:ascii="宋体" w:hAnsi="宋体"/>
                <w:spacing w:val="-20"/>
              </w:rPr>
            </w:pPr>
            <w:r>
              <w:rPr>
                <w:rFonts w:ascii="宋体" w:hAnsi="宋体"/>
                <w:spacing w:val="-20"/>
              </w:rPr>
              <w:t>25,662,711</w:t>
            </w:r>
          </w:p>
        </w:tc>
        <w:tc>
          <w:tcPr>
            <w:tcW w:w="0" w:type="auto"/>
            <w:shd w:val="clear" w:color="auto" w:fill="auto"/>
            <w:vAlign w:val="center"/>
          </w:tcPr>
          <w:p>
            <w:pPr>
              <w:ind w:right="105"/>
              <w:jc w:val="right"/>
              <w:rPr>
                <w:rFonts w:ascii="宋体" w:hAnsi="宋体"/>
                <w:spacing w:val="-20"/>
              </w:rPr>
            </w:pPr>
            <w:r>
              <w:rPr>
                <w:rFonts w:ascii="宋体" w:hAnsi="宋体"/>
                <w:spacing w:val="-20"/>
              </w:rPr>
              <w:t>20,792,407</w:t>
            </w:r>
          </w:p>
        </w:tc>
        <w:tc>
          <w:tcPr>
            <w:tcW w:w="0" w:type="auto"/>
            <w:shd w:val="clear" w:color="auto" w:fill="auto"/>
            <w:vAlign w:val="center"/>
          </w:tcPr>
          <w:p>
            <w:pPr>
              <w:ind w:right="105"/>
              <w:jc w:val="right"/>
              <w:rPr>
                <w:rFonts w:ascii="宋体" w:hAnsi="宋体"/>
                <w:spacing w:val="-20"/>
              </w:rPr>
            </w:pPr>
            <w:r>
              <w:rPr>
                <w:rFonts w:ascii="宋体" w:hAnsi="宋体"/>
                <w:spacing w:val="-20"/>
              </w:rPr>
              <w:t>4,991,000</w:t>
            </w:r>
          </w:p>
        </w:tc>
        <w:tc>
          <w:tcPr>
            <w:tcW w:w="0" w:type="auto"/>
            <w:shd w:val="clear" w:color="auto" w:fill="auto"/>
            <w:vAlign w:val="center"/>
          </w:tcPr>
          <w:p>
            <w:pPr>
              <w:ind w:right="105"/>
              <w:jc w:val="right"/>
              <w:rPr>
                <w:rFonts w:ascii="宋体" w:hAnsi="宋体"/>
                <w:spacing w:val="-20"/>
              </w:rPr>
            </w:pPr>
            <w:r>
              <w:rPr>
                <w:rFonts w:ascii="宋体" w:hAnsi="宋体"/>
                <w:spacing w:val="-20"/>
              </w:rPr>
              <w:t>882,770</w:t>
            </w:r>
          </w:p>
        </w:tc>
        <w:tc>
          <w:tcPr>
            <w:tcW w:w="0" w:type="auto"/>
            <w:shd w:val="clear" w:color="auto" w:fill="auto"/>
            <w:vAlign w:val="center"/>
          </w:tcPr>
          <w:p>
            <w:pPr>
              <w:ind w:right="105"/>
              <w:jc w:val="right"/>
              <w:rPr>
                <w:rFonts w:ascii="宋体" w:hAnsi="宋体"/>
                <w:spacing w:val="-20"/>
              </w:rPr>
            </w:pPr>
            <w:r>
              <w:rPr>
                <w:rFonts w:ascii="宋体" w:hAnsi="宋体"/>
                <w:spacing w:val="-20"/>
              </w:rPr>
              <w:t>16,227</w:t>
            </w:r>
          </w:p>
        </w:tc>
        <w:tc>
          <w:tcPr>
            <w:tcW w:w="0" w:type="auto"/>
            <w:shd w:val="clear" w:color="auto" w:fill="auto"/>
            <w:vAlign w:val="center"/>
          </w:tcPr>
          <w:p>
            <w:pPr>
              <w:ind w:right="105"/>
              <w:jc w:val="right"/>
              <w:rPr>
                <w:rFonts w:ascii="宋体" w:hAnsi="宋体"/>
                <w:spacing w:val="-20"/>
              </w:rPr>
            </w:pPr>
          </w:p>
        </w:tc>
        <w:tc>
          <w:tcPr>
            <w:tcW w:w="0" w:type="auto"/>
            <w:shd w:val="clear" w:color="auto" w:fill="auto"/>
          </w:tcPr>
          <w:p>
            <w:pPr>
              <w:ind w:right="105"/>
              <w:jc w:val="right"/>
              <w:rPr>
                <w:rFonts w:ascii="宋体" w:hAnsi="宋体"/>
                <w:spacing w:val="-20"/>
              </w:rPr>
            </w:pPr>
            <w:r>
              <w:rPr>
                <w:rFonts w:ascii="宋体" w:hAnsi="宋体"/>
                <w:spacing w:val="-20"/>
              </w:rPr>
              <w:t>3,500,000</w:t>
            </w:r>
          </w:p>
        </w:tc>
        <w:tc>
          <w:tcPr>
            <w:tcW w:w="0" w:type="auto"/>
            <w:shd w:val="clear" w:color="auto" w:fill="auto"/>
            <w:vAlign w:val="center"/>
          </w:tcPr>
          <w:p>
            <w:pPr>
              <w:ind w:right="105"/>
              <w:jc w:val="right"/>
              <w:rPr>
                <w:rFonts w:ascii="宋体" w:hAnsi="宋体"/>
                <w:spacing w:val="-20"/>
              </w:rPr>
            </w:pPr>
            <w:r>
              <w:rPr>
                <w:rFonts w:ascii="宋体" w:hAnsi="宋体"/>
                <w:spacing w:val="-20"/>
              </w:rPr>
              <w:t>108,767</w:t>
            </w:r>
          </w:p>
        </w:tc>
        <w:tc>
          <w:tcPr>
            <w:tcW w:w="0" w:type="auto"/>
            <w:shd w:val="clear" w:color="auto" w:fill="auto"/>
          </w:tcPr>
          <w:p>
            <w:pPr>
              <w:ind w:right="105"/>
              <w:jc w:val="right"/>
              <w:rPr>
                <w:rFonts w:ascii="宋体" w:hAnsi="宋体"/>
                <w:spacing w:val="-20"/>
              </w:rPr>
            </w:pPr>
            <w:r>
              <w:rPr>
                <w:rFonts w:ascii="宋体" w:hAnsi="宋体"/>
                <w:spacing w:val="-20"/>
              </w:rPr>
              <w:t>10,235,543</w:t>
            </w:r>
          </w:p>
        </w:tc>
        <w:tc>
          <w:tcPr>
            <w:tcW w:w="0" w:type="auto"/>
            <w:shd w:val="clear" w:color="auto" w:fill="auto"/>
          </w:tcPr>
          <w:p>
            <w:pPr>
              <w:ind w:right="105"/>
              <w:jc w:val="right"/>
              <w:rPr>
                <w:rFonts w:ascii="宋体" w:hAnsi="宋体"/>
                <w:spacing w:val="-20"/>
              </w:rPr>
            </w:pPr>
            <w:r>
              <w:rPr>
                <w:rFonts w:ascii="宋体" w:hAnsi="宋体"/>
                <w:spacing w:val="-20"/>
              </w:rPr>
              <w:t>12,172,858</w:t>
            </w:r>
          </w:p>
        </w:tc>
        <w:tc>
          <w:tcPr>
            <w:tcW w:w="0" w:type="auto"/>
          </w:tcPr>
          <w:p>
            <w:pPr>
              <w:jc w:val="right"/>
              <w:rPr>
                <w:rFonts w:ascii="宋体" w:hAnsi="宋体"/>
                <w:spacing w:val="-20"/>
              </w:rPr>
            </w:pPr>
            <w:r>
              <w:rPr>
                <w:rFonts w:hint="eastAsia" w:ascii="宋体" w:hAnsi="宋体"/>
                <w:spacing w:val="-20"/>
              </w:rPr>
              <w:t>/</w:t>
            </w:r>
          </w:p>
        </w:tc>
      </w:tr>
    </w:tbl>
    <w:p>
      <w:pPr>
        <w:pStyle w:val="501"/>
      </w:pPr>
    </w:p>
    <w:p>
      <w:pPr>
        <w:pStyle w:val="505"/>
        <w:numPr>
          <w:ilvl w:val="0"/>
          <w:numId w:val="101"/>
        </w:numPr>
        <w:ind w:left="426" w:hanging="426"/>
      </w:pPr>
      <w:r>
        <w:rPr>
          <w:rFonts w:hint="eastAsia"/>
        </w:rPr>
        <w:t>可</w:t>
      </w:r>
      <w:r>
        <w:rPr>
          <w:rFonts w:hint="eastAsia" w:ascii="宋体" w:hAnsi="宋体"/>
        </w:rPr>
        <w:t>转换公司债</w:t>
      </w:r>
      <w:r>
        <w:rPr>
          <w:rFonts w:hint="eastAsia"/>
        </w:rPr>
        <w:t>券的说明</w:t>
      </w:r>
    </w:p>
    <w:sdt>
      <w:sdtPr>
        <w:rPr>
          <w:rFonts w:hint="eastAsia"/>
        </w:rPr>
        <w:alias w:val="是否适用：可转换公司债券的转股条件、转股时间说明[双击切换]"/>
        <w:tag w:val="_GBC_2b6cb515ba4c417781662a31ccbd84e3"/>
        <w:id w:val="-902982466"/>
        <w:placeholder>
          <w:docPart w:val="GBC22222222222222222222222222222"/>
        </w:placeholder>
      </w:sdtPr>
      <w:sdtEndPr>
        <w:rPr>
          <w:rFonts w:hint="eastAsia"/>
        </w:rPr>
      </w:sdtEndPr>
      <w:sdtContent>
        <w:p>
          <w:pPr>
            <w:spacing w:before="60" w:after="6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pacing w:before="60" w:after="60"/>
      </w:pPr>
    </w:p>
    <w:p>
      <w:pPr>
        <w:spacing w:before="60" w:after="60"/>
      </w:pPr>
      <w:r>
        <w:rPr>
          <w:rFonts w:hint="eastAsia"/>
        </w:rPr>
        <w:t>转股权会计处理及判断依据</w:t>
      </w:r>
    </w:p>
    <w:sdt>
      <w:sdtPr>
        <w:alias w:val="是否适用：转股权会计处理及判断依据[双击切换]"/>
        <w:tag w:val="_GBC_8ec57a1730b24863aa91d9cece86f4d1"/>
        <w:id w:val="-1941283190"/>
        <w:placeholder>
          <w:docPart w:val="GBC22222222222222222222222222222"/>
        </w:placeholder>
      </w:sdtPr>
      <w:sdtContent>
        <w:p>
          <w:pPr>
            <w:spacing w:before="60" w:after="6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numPr>
          <w:ilvl w:val="0"/>
          <w:numId w:val="101"/>
        </w:numPr>
        <w:ind w:left="426" w:hanging="426"/>
      </w:pPr>
      <w:r>
        <w:rPr>
          <w:rFonts w:hint="eastAsia"/>
        </w:rPr>
        <w:t>划分为金融负债的其他金融工具说明</w:t>
      </w:r>
    </w:p>
    <w:p>
      <w:pPr>
        <w:pStyle w:val="531"/>
      </w:pPr>
      <w:r>
        <w:rPr>
          <w:rFonts w:hint="eastAsia"/>
        </w:rPr>
        <w:t>期末发行在外的优先股、永续债等其他金融工具基本情况</w:t>
      </w:r>
    </w:p>
    <w:sdt>
      <w:sdtPr>
        <w:alias w:val="是否适用：划分为金融负债的其他金融工具说明[双击切换]"/>
        <w:tag w:val="_GBC_354a73ce52fe4fcaa9d974bff59ad9cc"/>
        <w:id w:val="78593105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501"/>
      </w:pPr>
      <w:r>
        <w:rPr>
          <w:rFonts w:hint="eastAsia"/>
        </w:rPr>
        <w:t>期末发行在外的优先股、永续债等金融工具变动情况表</w:t>
      </w:r>
    </w:p>
    <w:sdt>
      <w:sdtPr>
        <w:alias w:val="是否适用：期末发行在外的优先股、永续债等金融工具变动情况表_应付债券[双击切换]"/>
        <w:tag w:val="_GBC_0ff8720c33d04083ad5271ea8df21c89"/>
        <w:id w:val="26072350"/>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pacing w:before="60" w:after="60"/>
      </w:pPr>
      <w:r>
        <w:rPr>
          <w:rFonts w:hint="eastAsia"/>
        </w:rPr>
        <w:t>其他金融工具划分为金融负债的依据说明：</w:t>
      </w:r>
    </w:p>
    <w:sdt>
      <w:sdtPr>
        <w:alias w:val="是否适用：其他金融工具划分为金融负债的依据说明[双击切换]"/>
        <w:tag w:val="_GBC_b66a33df1ece41d79e36976486595871"/>
        <w:id w:val="1388460384"/>
        <w:placeholder>
          <w:docPart w:val="GBC22222222222222222222222222222"/>
        </w:placeholder>
      </w:sdtPr>
      <w:sdtContent>
        <w:p>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pacing w:before="60" w:after="60"/>
      </w:pPr>
      <w:r>
        <w:rPr>
          <w:rFonts w:hint="eastAsia"/>
        </w:rPr>
        <w:t>其他说明：</w:t>
      </w:r>
    </w:p>
    <w:sdt>
      <w:sdtPr>
        <w:alias w:val="是否适用：应付债券的其他说明[双击切换]"/>
        <w:tag w:val="_GBC_2068e4e6d2994d6f8cfa9ecc26b171d4"/>
        <w:id w:val="1912337470"/>
        <w:placeholder>
          <w:docPart w:val="GBC22222222222222222222222222222"/>
        </w:placeholder>
      </w:sdtPr>
      <w:sdtContent>
        <w:p>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应付债券的其他说明"/>
        <w:tag w:val="_GBC_5f06f53063254e9792ae83ac73255c74"/>
        <w:id w:val="1630656995"/>
        <w:placeholder>
          <w:docPart w:val="GBC22222222222222222222222222222"/>
        </w:placeholder>
      </w:sdtPr>
      <w:sdtEndPr>
        <w:rPr>
          <w:rFonts w:hint="eastAsia" w:ascii="宋体" w:hAnsi="宋体"/>
        </w:rPr>
      </w:sdtEndPr>
      <w:sdtContent>
        <w:p>
          <w:pPr>
            <w:ind w:firstLine="420" w:firstLineChars="200"/>
            <w:rPr>
              <w:rFonts w:ascii="宋体" w:hAnsi="宋体"/>
            </w:rPr>
          </w:pPr>
          <w:r>
            <w:rPr>
              <w:rFonts w:hint="eastAsia" w:ascii="宋体" w:hAnsi="宋体"/>
            </w:rPr>
            <w:t>注1：本公司之控股股东山东能源为本公司发行的30.5亿元公司债券提供担保,本期已重分类至一年内到期的应付债券。</w:t>
          </w:r>
        </w:p>
        <w:p>
          <w:pPr>
            <w:ind w:firstLine="420" w:firstLineChars="200"/>
            <w:rPr>
              <w:rFonts w:ascii="宋体" w:hAnsi="宋体"/>
              <w:bCs/>
              <w:color w:val="FF0000"/>
              <w:sz w:val="22"/>
              <w:szCs w:val="22"/>
            </w:rPr>
          </w:pPr>
          <w:r>
            <w:rPr>
              <w:rFonts w:hint="eastAsia" w:ascii="宋体" w:hAnsi="宋体"/>
            </w:rPr>
            <w:t>注2：本公司为本公司之子公司兖煤国际资源开发有限公司发行的3亿美元公司债券提供担保，本期已重分类至一年内到期的应付债券。</w:t>
          </w:r>
        </w:p>
        <w:p>
          <w:pPr>
            <w:ind w:firstLine="420" w:firstLineChars="200"/>
            <w:rPr>
              <w:rFonts w:ascii="宋体" w:hAnsi="宋体"/>
            </w:rPr>
          </w:pPr>
          <w:r>
            <w:rPr>
              <w:rFonts w:hint="eastAsia" w:ascii="宋体" w:hAnsi="宋体"/>
            </w:rPr>
            <w:t>注</w:t>
          </w:r>
          <w:r>
            <w:rPr>
              <w:rFonts w:ascii="宋体" w:hAnsi="宋体"/>
            </w:rPr>
            <w:t>3</w:t>
          </w:r>
          <w:r>
            <w:rPr>
              <w:rFonts w:hint="eastAsia" w:ascii="宋体" w:hAnsi="宋体"/>
            </w:rPr>
            <w:t>：其他减少系重分类至一年内到期的非流动负债，详见本附注“七、</w:t>
          </w:r>
          <w:r>
            <w:rPr>
              <w:rFonts w:ascii="宋体" w:hAnsi="宋体"/>
            </w:rPr>
            <w:t>43</w:t>
          </w:r>
          <w:r>
            <w:rPr>
              <w:rFonts w:hint="eastAsia" w:ascii="宋体" w:hAnsi="宋体"/>
            </w:rPr>
            <w:t>.一年内到期的非流动负债”。</w:t>
          </w:r>
        </w:p>
      </w:sdtContent>
    </w:sdt>
    <w:p>
      <w:pPr>
        <w:pStyle w:val="501"/>
      </w:pPr>
    </w:p>
    <w:p>
      <w:pPr>
        <w:sectPr>
          <w:pgSz w:w="16838" w:h="11906" w:orient="landscape"/>
          <w:pgMar w:top="1276" w:right="1440" w:bottom="1797" w:left="1525" w:header="856" w:footer="992" w:gutter="0"/>
          <w:cols w:space="425" w:num="1"/>
          <w:docGrid w:linePitch="312" w:charSpace="0"/>
        </w:sectPr>
      </w:pPr>
    </w:p>
    <w:p>
      <w:pPr>
        <w:pStyle w:val="504"/>
        <w:numPr>
          <w:ilvl w:val="0"/>
          <w:numId w:val="69"/>
        </w:numPr>
        <w:tabs>
          <w:tab w:val="left" w:pos="504"/>
        </w:tabs>
        <w:rPr>
          <w:szCs w:val="21"/>
        </w:rPr>
      </w:pPr>
      <w:r>
        <w:rPr>
          <w:rFonts w:hint="eastAsia"/>
          <w:szCs w:val="21"/>
        </w:rPr>
        <w:t>租赁负债</w:t>
      </w:r>
    </w:p>
    <w:sdt>
      <w:sdtPr>
        <w:alias w:val="是否适用：租赁负债[双击切换]"/>
        <w:tag w:val="_GBC_abf9a23b0ddc4b63b6f39d768c084973"/>
        <w:id w:val="1062535788"/>
        <w:placeholder>
          <w:docPart w:val="GBC22222222222222222222222222222"/>
        </w:placeholder>
      </w:sdtPr>
      <w:sdtContent>
        <w:p>
          <w:pPr>
            <w:pStyle w:val="501"/>
          </w:pPr>
          <w:bookmarkStart w:id="315" w:name="_Hlk24026742"/>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租赁负债"/>
          <w:tag w:val="_GBC_33e504b2a4a34d41946083d1a309022f"/>
          <w:id w:val="117360680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租赁负债"/>
          <w:tag w:val="_GBC_90ebb9825c5740c794669c2bf1475590"/>
          <w:id w:val="-6451975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5"/>
        <w:gridCol w:w="2921"/>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sdt>
          <w:sdtPr>
            <w:tag w:val="_PLD_a05982b715d74082b7e01db9e1e265ef"/>
            <w:id w:val="505562401"/>
          </w:sdtPr>
          <w:sdtContent>
            <w:tc>
              <w:tcPr>
                <w:tcW w:w="1771" w:type="pct"/>
                <w:shd w:val="clear" w:color="auto" w:fill="auto"/>
                <w:vAlign w:val="center"/>
              </w:tcPr>
              <w:p>
                <w:pPr>
                  <w:jc w:val="center"/>
                </w:pPr>
                <w:r>
                  <w:rPr>
                    <w:rFonts w:hint="eastAsia"/>
                  </w:rPr>
                  <w:t>项目</w:t>
                </w:r>
              </w:p>
            </w:tc>
          </w:sdtContent>
        </w:sdt>
        <w:sdt>
          <w:sdtPr>
            <w:tag w:val="_PLD_84a0d8719b674f50bfcfc1c6ed86fed6"/>
            <w:id w:val="1265339504"/>
          </w:sdtPr>
          <w:sdtContent>
            <w:tc>
              <w:tcPr>
                <w:tcW w:w="1614" w:type="pct"/>
                <w:shd w:val="clear" w:color="auto" w:fill="auto"/>
                <w:vAlign w:val="center"/>
              </w:tcPr>
              <w:p>
                <w:pPr>
                  <w:jc w:val="center"/>
                </w:pPr>
                <w:r>
                  <w:rPr>
                    <w:rFonts w:hint="eastAsia"/>
                  </w:rPr>
                  <w:t>期末余额</w:t>
                </w:r>
              </w:p>
            </w:tc>
          </w:sdtContent>
        </w:sdt>
        <w:sdt>
          <w:sdtPr>
            <w:tag w:val="_PLD_d601589800f8414abb18e7477e7b41d6"/>
            <w:id w:val="-170718360"/>
          </w:sdtPr>
          <w:sdtContent>
            <w:tc>
              <w:tcPr>
                <w:tcW w:w="1615" w:type="pct"/>
                <w:shd w:val="clear" w:color="auto" w:fill="auto"/>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vAlign w:val="center"/>
          </w:tcPr>
          <w:p>
            <w:pPr>
              <w:tabs>
                <w:tab w:val="right" w:pos="3690"/>
                <w:tab w:val="right" w:pos="5130"/>
                <w:tab w:val="right" w:pos="6030"/>
                <w:tab w:val="right" w:pos="7650"/>
                <w:tab w:val="right" w:pos="9270"/>
              </w:tabs>
              <w:adjustRightInd w:val="0"/>
              <w:snapToGrid w:val="0"/>
            </w:pPr>
            <w:r>
              <w:rPr>
                <w:rFonts w:hint="eastAsia"/>
              </w:rPr>
              <w:t>融资租赁</w:t>
            </w:r>
          </w:p>
        </w:tc>
        <w:tc>
          <w:tcPr>
            <w:tcW w:w="1614" w:type="pct"/>
            <w:vAlign w:val="center"/>
          </w:tcPr>
          <w:p>
            <w:pPr>
              <w:ind w:right="105"/>
              <w:jc w:val="right"/>
              <w:rPr>
                <w:rFonts w:ascii="宋体" w:hAnsi="宋体"/>
              </w:rPr>
            </w:pPr>
            <w:r>
              <w:rPr>
                <w:rFonts w:ascii="宋体" w:hAnsi="宋体"/>
              </w:rPr>
              <w:t>218,045</w:t>
            </w:r>
          </w:p>
        </w:tc>
        <w:tc>
          <w:tcPr>
            <w:tcW w:w="1615" w:type="pct"/>
            <w:vAlign w:val="center"/>
          </w:tcPr>
          <w:p>
            <w:pPr>
              <w:ind w:right="105"/>
              <w:jc w:val="right"/>
              <w:rPr>
                <w:rFonts w:ascii="宋体" w:hAnsi="宋体"/>
              </w:rPr>
            </w:pPr>
            <w:r>
              <w:rPr>
                <w:rFonts w:ascii="宋体" w:hAnsi="宋体"/>
              </w:rPr>
              <w:t>345,441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vAlign w:val="center"/>
          </w:tcPr>
          <w:p>
            <w:pPr>
              <w:tabs>
                <w:tab w:val="right" w:pos="3690"/>
                <w:tab w:val="right" w:pos="5130"/>
                <w:tab w:val="right" w:pos="6030"/>
                <w:tab w:val="right" w:pos="7650"/>
                <w:tab w:val="right" w:pos="9270"/>
              </w:tabs>
              <w:adjustRightInd w:val="0"/>
              <w:snapToGrid w:val="0"/>
            </w:pPr>
            <w:r>
              <w:rPr>
                <w:rFonts w:hint="eastAsia"/>
              </w:rPr>
              <w:t>经营租赁</w:t>
            </w:r>
          </w:p>
        </w:tc>
        <w:tc>
          <w:tcPr>
            <w:tcW w:w="1614" w:type="pct"/>
            <w:vAlign w:val="center"/>
          </w:tcPr>
          <w:p>
            <w:pPr>
              <w:ind w:right="105"/>
              <w:jc w:val="right"/>
              <w:rPr>
                <w:rFonts w:ascii="宋体" w:hAnsi="宋体"/>
              </w:rPr>
            </w:pPr>
            <w:r>
              <w:rPr>
                <w:rFonts w:ascii="宋体" w:hAnsi="宋体"/>
              </w:rPr>
              <w:t>107,072</w:t>
            </w:r>
          </w:p>
        </w:tc>
        <w:tc>
          <w:tcPr>
            <w:tcW w:w="1615" w:type="pct"/>
            <w:vAlign w:val="center"/>
          </w:tcPr>
          <w:p>
            <w:pPr>
              <w:ind w:right="105"/>
              <w:jc w:val="right"/>
              <w:rPr>
                <w:rFonts w:ascii="宋体" w:hAnsi="宋体"/>
              </w:rPr>
            </w:pPr>
            <w:r>
              <w:rPr>
                <w:rFonts w:ascii="宋体" w:hAnsi="宋体"/>
              </w:rPr>
              <w:t>90,145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jc w:val="center"/>
            </w:pPr>
            <w:r>
              <w:rPr>
                <w:rFonts w:hint="eastAsia"/>
              </w:rPr>
              <w:t>合计</w:t>
            </w:r>
          </w:p>
        </w:tc>
        <w:tc>
          <w:tcPr>
            <w:tcW w:w="1614" w:type="pct"/>
            <w:vAlign w:val="center"/>
          </w:tcPr>
          <w:p>
            <w:pPr>
              <w:ind w:right="105"/>
              <w:jc w:val="right"/>
              <w:rPr>
                <w:rFonts w:ascii="宋体" w:hAnsi="宋体"/>
              </w:rPr>
            </w:pPr>
            <w:r>
              <w:rPr>
                <w:rFonts w:ascii="宋体" w:hAnsi="宋体"/>
              </w:rPr>
              <w:t>325,117</w:t>
            </w:r>
          </w:p>
        </w:tc>
        <w:tc>
          <w:tcPr>
            <w:tcW w:w="1615" w:type="pct"/>
            <w:vAlign w:val="center"/>
          </w:tcPr>
          <w:p>
            <w:pPr>
              <w:ind w:right="105"/>
              <w:jc w:val="right"/>
              <w:rPr>
                <w:rFonts w:ascii="宋体" w:hAnsi="宋体"/>
              </w:rPr>
            </w:pPr>
            <w:r>
              <w:rPr>
                <w:rFonts w:ascii="宋体" w:hAnsi="宋体"/>
              </w:rPr>
              <w:t>435,586</w:t>
            </w:r>
          </w:p>
        </w:tc>
      </w:tr>
      <w:bookmarkEnd w:id="315"/>
    </w:tbl>
    <w:p>
      <w:pPr>
        <w:pStyle w:val="501"/>
      </w:pPr>
    </w:p>
    <w:p>
      <w:pPr>
        <w:pStyle w:val="504"/>
        <w:numPr>
          <w:ilvl w:val="0"/>
          <w:numId w:val="69"/>
        </w:numPr>
        <w:tabs>
          <w:tab w:val="left" w:pos="504"/>
        </w:tabs>
        <w:rPr>
          <w:rFonts w:ascii="宋体" w:hAnsi="宋体"/>
          <w:szCs w:val="21"/>
        </w:rPr>
      </w:pPr>
      <w:r>
        <w:rPr>
          <w:rFonts w:hint="eastAsia" w:ascii="宋体" w:hAnsi="宋体"/>
          <w:szCs w:val="21"/>
        </w:rPr>
        <w:t>长期</w:t>
      </w:r>
      <w:r>
        <w:rPr>
          <w:rFonts w:hint="eastAsia"/>
          <w:szCs w:val="21"/>
        </w:rPr>
        <w:t>应付</w:t>
      </w:r>
      <w:r>
        <w:rPr>
          <w:rFonts w:hint="eastAsia" w:ascii="宋体" w:hAnsi="宋体"/>
          <w:szCs w:val="21"/>
        </w:rPr>
        <w:t>款</w:t>
      </w:r>
    </w:p>
    <w:p>
      <w:pPr>
        <w:pStyle w:val="505"/>
      </w:pPr>
      <w:r>
        <w:rPr>
          <w:rFonts w:hint="eastAsia"/>
        </w:rPr>
        <w:t>项目列示</w:t>
      </w:r>
    </w:p>
    <w:sdt>
      <w:sdtPr>
        <w:alias w:val="是否适用：长期应付款分类列示[双击切换]"/>
        <w:tag w:val="_GBC_90d4a9bd673140ef9c99898da48d1614"/>
        <w:id w:val="-763604453"/>
        <w:placeholder>
          <w:docPart w:val="GBC22222222222222222222222222222"/>
        </w:placeholder>
      </w:sdtPr>
      <w:sdtContent>
        <w:p>
          <w:pPr>
            <w:pStyle w:val="531"/>
          </w:pPr>
          <w:bookmarkStart w:id="316" w:name="_Hlk53291103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长期应付款分类列示"/>
          <w:tag w:val="_GBC_6f1c5753ac2941b597e1d984d66c55a3"/>
          <w:id w:val="6479453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长期应付款分类列示"/>
          <w:tag w:val="_GBC_8f45b0164513461a90709633a96141c4"/>
          <w:id w:val="-8793158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2038af4a07e447f88ceb8aedfaa7f12b"/>
            <w:id w:val="1376581366"/>
          </w:sdtPr>
          <w:sdtEndPr>
            <w:rPr>
              <w:rFonts w:ascii="宋体" w:hAnsi="宋体"/>
            </w:rPr>
          </w:sdtEnd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rFonts w:ascii="宋体" w:hAnsi="宋体"/>
                  </w:rPr>
                </w:pPr>
                <w:r>
                  <w:rPr>
                    <w:rFonts w:hint="eastAsia" w:ascii="宋体" w:hAnsi="宋体"/>
                  </w:rPr>
                  <w:t>项目</w:t>
                </w:r>
              </w:p>
            </w:tc>
          </w:sdtContent>
        </w:sdt>
        <w:sdt>
          <w:sdtPr>
            <w:rPr>
              <w:rFonts w:ascii="宋体" w:hAnsi="宋体"/>
            </w:rPr>
            <w:tag w:val="_PLD_8b56081577b84bd3b322c0202b6a7142"/>
            <w:id w:val="-1428800433"/>
          </w:sdtPr>
          <w:sdtEndPr>
            <w:rPr>
              <w:rFonts w:ascii="宋体" w:hAnsi="宋体"/>
            </w:rPr>
          </w:sdtEndPr>
          <w:sdtContent>
            <w:tc>
              <w:tcPr>
                <w:tcW w:w="1582" w:type="pct"/>
                <w:shd w:val="clear" w:color="auto" w:fill="auto"/>
                <w:vAlign w:val="center"/>
              </w:tcPr>
              <w:p>
                <w:pPr>
                  <w:jc w:val="center"/>
                  <w:rPr>
                    <w:rFonts w:ascii="宋体" w:hAnsi="宋体"/>
                  </w:rPr>
                </w:pPr>
                <w:r>
                  <w:rPr>
                    <w:rFonts w:hint="eastAsia" w:ascii="宋体" w:hAnsi="宋体"/>
                  </w:rPr>
                  <w:t>期末余额</w:t>
                </w:r>
              </w:p>
            </w:tc>
          </w:sdtContent>
        </w:sdt>
        <w:sdt>
          <w:sdtPr>
            <w:rPr>
              <w:rFonts w:ascii="宋体" w:hAnsi="宋体"/>
            </w:rPr>
            <w:tag w:val="_PLD_2fa2691f59be4fb398c9e37e50109f5a"/>
            <w:id w:val="-182744916"/>
          </w:sdtPr>
          <w:sdtEndPr>
            <w:rPr>
              <w:rFonts w:ascii="宋体" w:hAnsi="宋体"/>
            </w:rPr>
          </w:sdtEndPr>
          <w:sdtContent>
            <w:tc>
              <w:tcPr>
                <w:tcW w:w="1590" w:type="pct"/>
                <w:shd w:val="clear" w:color="auto" w:fill="auto"/>
                <w:vAlign w:val="center"/>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长期应付款</w:t>
            </w:r>
          </w:p>
        </w:tc>
        <w:tc>
          <w:tcPr>
            <w:tcW w:w="1582" w:type="pct"/>
            <w:shd w:val="clear" w:color="auto" w:fill="auto"/>
            <w:vAlign w:val="center"/>
          </w:tcPr>
          <w:p>
            <w:pPr>
              <w:ind w:right="105"/>
              <w:jc w:val="right"/>
              <w:rPr>
                <w:rFonts w:ascii="宋体" w:hAnsi="宋体"/>
              </w:rPr>
            </w:pPr>
            <w:r>
              <w:rPr>
                <w:rFonts w:ascii="宋体" w:hAnsi="宋体"/>
              </w:rPr>
              <w:t>9,279,757</w:t>
            </w:r>
          </w:p>
        </w:tc>
        <w:tc>
          <w:tcPr>
            <w:tcW w:w="1590" w:type="pct"/>
            <w:shd w:val="clear" w:color="auto" w:fill="auto"/>
            <w:vAlign w:val="center"/>
          </w:tcPr>
          <w:p>
            <w:pPr>
              <w:ind w:right="105"/>
              <w:jc w:val="right"/>
              <w:rPr>
                <w:rFonts w:ascii="宋体" w:hAnsi="宋体"/>
              </w:rPr>
            </w:pPr>
            <w:r>
              <w:rPr>
                <w:rFonts w:hint="eastAsia" w:ascii="宋体" w:hAnsi="宋体"/>
              </w:rPr>
              <w:t>8,293,110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专项应付款</w:t>
            </w:r>
          </w:p>
        </w:tc>
        <w:tc>
          <w:tcPr>
            <w:tcW w:w="1582" w:type="pct"/>
            <w:shd w:val="clear" w:color="auto" w:fill="auto"/>
            <w:vAlign w:val="center"/>
          </w:tcPr>
          <w:p>
            <w:pPr>
              <w:ind w:right="105"/>
              <w:jc w:val="right"/>
              <w:rPr>
                <w:rFonts w:ascii="宋体" w:hAnsi="宋体"/>
              </w:rPr>
            </w:pPr>
            <w:r>
              <w:rPr>
                <w:rFonts w:hint="eastAsia" w:ascii="宋体" w:hAnsi="宋体"/>
              </w:rPr>
              <w:t>16,157</w:t>
            </w:r>
          </w:p>
        </w:tc>
        <w:tc>
          <w:tcPr>
            <w:tcW w:w="1590" w:type="pct"/>
            <w:shd w:val="clear" w:color="auto" w:fill="auto"/>
            <w:vAlign w:val="center"/>
          </w:tcPr>
          <w:p>
            <w:pPr>
              <w:ind w:right="105"/>
              <w:jc w:val="right"/>
              <w:rPr>
                <w:rFonts w:ascii="宋体" w:hAnsi="宋体"/>
              </w:rPr>
            </w:pPr>
            <w:r>
              <w:rPr>
                <w:rFonts w:hint="eastAsia" w:ascii="宋体" w:hAnsi="宋体"/>
              </w:rPr>
              <w:t>19,237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shd w:val="clear" w:color="auto" w:fill="auto"/>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合计</w:t>
            </w:r>
          </w:p>
        </w:tc>
        <w:tc>
          <w:tcPr>
            <w:tcW w:w="1582" w:type="pct"/>
            <w:shd w:val="clear" w:color="auto" w:fill="auto"/>
            <w:vAlign w:val="center"/>
          </w:tcPr>
          <w:p>
            <w:pPr>
              <w:ind w:right="105"/>
              <w:jc w:val="right"/>
              <w:rPr>
                <w:rFonts w:ascii="宋体" w:hAnsi="宋体"/>
              </w:rPr>
            </w:pPr>
            <w:r>
              <w:rPr>
                <w:rFonts w:ascii="宋体" w:hAnsi="宋体"/>
              </w:rPr>
              <w:t>9,295,914</w:t>
            </w:r>
          </w:p>
        </w:tc>
        <w:tc>
          <w:tcPr>
            <w:tcW w:w="1590" w:type="pct"/>
            <w:shd w:val="clear" w:color="auto" w:fill="auto"/>
            <w:vAlign w:val="center"/>
          </w:tcPr>
          <w:p>
            <w:pPr>
              <w:ind w:right="105"/>
              <w:jc w:val="right"/>
              <w:rPr>
                <w:rFonts w:ascii="宋体" w:hAnsi="宋体"/>
              </w:rPr>
            </w:pPr>
            <w:r>
              <w:rPr>
                <w:rFonts w:ascii="宋体" w:hAnsi="宋体"/>
              </w:rPr>
              <w:t>8,312,347</w:t>
            </w:r>
          </w:p>
        </w:tc>
      </w:tr>
    </w:tbl>
    <w:p>
      <w:pPr>
        <w:pStyle w:val="531"/>
      </w:pPr>
    </w:p>
    <w:p>
      <w:pPr>
        <w:pStyle w:val="501"/>
      </w:pPr>
      <w:r>
        <w:rPr>
          <w:rFonts w:hint="eastAsia"/>
        </w:rPr>
        <w:t>其他说明：</w:t>
      </w:r>
    </w:p>
    <w:bookmarkEnd w:id="316"/>
    <w:sdt>
      <w:sdtPr>
        <w:alias w:val="是否适用：长期应付款分类列示其他说明[双击切换]"/>
        <w:tag w:val="_GBC_e7daa7f55cea4e3d835be6ee6457b35d"/>
        <w:id w:val="-2108650157"/>
        <w:placeholder>
          <w:docPart w:val="GBC22222222222222222222222222222"/>
        </w:placeholder>
      </w:sdtPr>
      <w:sdtContent>
        <w:p>
          <w:pPr>
            <w:pStyle w:val="501"/>
          </w:pPr>
          <w:bookmarkStart w:id="317" w:name="_Hlk53291105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17"/>
    <w:p>
      <w:pPr>
        <w:pStyle w:val="501"/>
      </w:pPr>
    </w:p>
    <w:p>
      <w:pPr>
        <w:pStyle w:val="505"/>
        <w:ind w:left="360" w:hanging="360"/>
      </w:pPr>
      <w:r>
        <w:rPr>
          <w:rFonts w:hint="eastAsia"/>
        </w:rPr>
        <w:t>长期应付款</w:t>
      </w:r>
    </w:p>
    <w:p>
      <w:pPr>
        <w:pStyle w:val="506"/>
        <w:numPr>
          <w:ilvl w:val="0"/>
          <w:numId w:val="102"/>
        </w:numPr>
        <w:ind w:leftChars="0"/>
      </w:pPr>
      <w:r>
        <w:rPr>
          <w:rFonts w:hint="eastAsia"/>
        </w:rPr>
        <w:t>按款项性质列示长期应付款</w:t>
      </w:r>
    </w:p>
    <w:sdt>
      <w:sdtPr>
        <w:alias w:val="是否适用：按款项性质列示长期应付款[双击切换]"/>
        <w:tag w:val="_GBC_6a4cca7cce5341018cd4836f32746cd9"/>
        <w:id w:val="38661436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应付款"/>
          <w:tag w:val="_GBC_ddf7b9d28f164198ac6c2f6a82b47d41"/>
          <w:id w:val="-17401587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长期应付款"/>
          <w:tag w:val="_GBC_f93228408d4f48699309d8ab4da673ba"/>
          <w:id w:val="-11707836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09"/>
        <w:gridCol w:w="2924"/>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07" w:hRule="atLeast"/>
        </w:trPr>
        <w:sdt>
          <w:sdtPr>
            <w:rPr>
              <w:rFonts w:ascii="宋体" w:hAnsi="宋体"/>
            </w:rPr>
            <w:tag w:val="_PLD_80697eb0741143188d1783ddd81c2db2"/>
            <w:id w:val="-182288872"/>
          </w:sdtPr>
          <w:sdtEndPr>
            <w:rPr>
              <w:rFonts w:ascii="宋体" w:hAnsi="宋体"/>
            </w:rPr>
          </w:sdtEndPr>
          <w:sdtContent>
            <w:tc>
              <w:tcPr>
                <w:tcW w:w="1771" w:type="pc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b45e38f9b06048e18bf5d20429299b7b"/>
            <w:id w:val="-1255821782"/>
          </w:sdtPr>
          <w:sdtEndPr>
            <w:rPr>
              <w:rFonts w:ascii="宋体" w:hAnsi="宋体"/>
            </w:rPr>
          </w:sdtEndPr>
          <w:sdtContent>
            <w:tc>
              <w:tcPr>
                <w:tcW w:w="1614" w:type="pct"/>
                <w:shd w:val="clear" w:color="auto" w:fill="auto"/>
                <w:vAlign w:val="center"/>
              </w:tcPr>
              <w:p>
                <w:pPr>
                  <w:jc w:val="center"/>
                  <w:rPr>
                    <w:rFonts w:ascii="宋体" w:hAnsi="宋体"/>
                  </w:rPr>
                </w:pPr>
                <w:r>
                  <w:rPr>
                    <w:rFonts w:hint="eastAsia" w:ascii="宋体" w:hAnsi="宋体"/>
                  </w:rPr>
                  <w:t>期末余额</w:t>
                </w:r>
              </w:p>
            </w:tc>
          </w:sdtContent>
        </w:sdt>
        <w:sdt>
          <w:sdtPr>
            <w:rPr>
              <w:rFonts w:ascii="宋体" w:hAnsi="宋体"/>
            </w:rPr>
            <w:tag w:val="_PLD_361897af892e4de98bc2cf056e2b512c"/>
            <w:id w:val="-155689471"/>
          </w:sdtPr>
          <w:sdtEndPr>
            <w:rPr>
              <w:rFonts w:ascii="宋体" w:hAnsi="宋体"/>
            </w:rPr>
          </w:sdtEndPr>
          <w:sdtContent>
            <w:tc>
              <w:tcPr>
                <w:tcW w:w="1615" w:type="pct"/>
                <w:shd w:val="clear" w:color="auto" w:fill="auto"/>
                <w:vAlign w:val="center"/>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vAlign w:val="center"/>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采矿权购置款</w:t>
            </w:r>
          </w:p>
        </w:tc>
        <w:tc>
          <w:tcPr>
            <w:tcW w:w="1614"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hint="eastAsia" w:ascii="宋体" w:hAnsi="宋体"/>
              </w:rPr>
              <w:t>4,733,863</w:t>
            </w:r>
          </w:p>
        </w:tc>
        <w:tc>
          <w:tcPr>
            <w:tcW w:w="1615"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4,661,360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vAlign w:val="center"/>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售后回租款(注)</w:t>
            </w:r>
          </w:p>
        </w:tc>
        <w:tc>
          <w:tcPr>
            <w:tcW w:w="1614"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2,554,212</w:t>
            </w:r>
          </w:p>
        </w:tc>
        <w:tc>
          <w:tcPr>
            <w:tcW w:w="1615"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2,052,582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vAlign w:val="center"/>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政府专项债券</w:t>
            </w:r>
          </w:p>
        </w:tc>
        <w:tc>
          <w:tcPr>
            <w:tcW w:w="1614"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1,749,214</w:t>
            </w:r>
          </w:p>
        </w:tc>
        <w:tc>
          <w:tcPr>
            <w:tcW w:w="1615"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hint="eastAsia" w:ascii="宋体" w:hAnsi="宋体"/>
              </w:rPr>
              <w:t>1,500,000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vAlign w:val="center"/>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关联方借款</w:t>
            </w:r>
          </w:p>
        </w:tc>
        <w:tc>
          <w:tcPr>
            <w:tcW w:w="1614"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185,300</w:t>
            </w:r>
          </w:p>
        </w:tc>
        <w:tc>
          <w:tcPr>
            <w:tcW w:w="1615"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vAlign w:val="center"/>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其他</w:t>
            </w:r>
          </w:p>
        </w:tc>
        <w:tc>
          <w:tcPr>
            <w:tcW w:w="1614"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57,168</w:t>
            </w:r>
          </w:p>
        </w:tc>
        <w:tc>
          <w:tcPr>
            <w:tcW w:w="1615"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57,168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vAlign w:val="center"/>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合计</w:t>
            </w:r>
          </w:p>
        </w:tc>
        <w:tc>
          <w:tcPr>
            <w:tcW w:w="1614"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9,279,757</w:t>
            </w:r>
          </w:p>
        </w:tc>
        <w:tc>
          <w:tcPr>
            <w:tcW w:w="1615"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8,293,110</w:t>
            </w:r>
          </w:p>
        </w:tc>
      </w:tr>
    </w:tbl>
    <w:p>
      <w:pPr>
        <w:pStyle w:val="531"/>
      </w:pPr>
    </w:p>
    <w:p>
      <w:pPr>
        <w:snapToGrid w:val="0"/>
        <w:spacing w:before="60" w:after="60" w:line="240" w:lineRule="atLeast"/>
        <w:rPr>
          <w:rFonts w:ascii="宋体" w:hAnsi="宋体"/>
        </w:rPr>
      </w:pPr>
      <w:r>
        <w:rPr>
          <w:rFonts w:hint="eastAsia" w:ascii="宋体" w:hAnsi="宋体"/>
        </w:rPr>
        <w:t>其他说明：</w:t>
      </w:r>
    </w:p>
    <w:p>
      <w:pPr>
        <w:snapToGrid w:val="0"/>
        <w:spacing w:line="240" w:lineRule="atLeast"/>
        <w:ind w:firstLine="420" w:firstLineChars="200"/>
        <w:rPr>
          <w:rFonts w:ascii="宋体" w:hAnsi="宋体"/>
        </w:rPr>
      </w:pPr>
      <w:sdt>
        <w:sdtPr>
          <w:rPr>
            <w:rFonts w:ascii="宋体" w:hAnsi="宋体"/>
          </w:rPr>
          <w:alias w:val="长期应付款的说明"/>
          <w:tag w:val="_GBC_1e1004e075cc4ec6b1e314219a582067"/>
          <w:id w:val="-1717044937"/>
          <w:placeholder>
            <w:docPart w:val="GBC22222222222222222222222222222"/>
          </w:placeholder>
        </w:sdtPr>
        <w:sdtEndPr>
          <w:rPr>
            <w:rFonts w:ascii="宋体" w:hAnsi="宋体"/>
          </w:rPr>
        </w:sdtEndPr>
        <w:sdtContent>
          <w:r>
            <w:rPr>
              <w:rFonts w:hint="eastAsia" w:ascii="宋体" w:hAnsi="宋体"/>
            </w:rPr>
            <w:t>注:截至2023年12月31日，该售后回租业务抵押的固定资产账面价值3,436,600千元。</w:t>
          </w:r>
        </w:sdtContent>
      </w:sdt>
    </w:p>
    <w:p>
      <w:pPr>
        <w:snapToGrid w:val="0"/>
        <w:spacing w:line="240" w:lineRule="atLeast"/>
        <w:rPr>
          <w:rFonts w:cstheme="minorBidi"/>
        </w:rPr>
      </w:pPr>
    </w:p>
    <w:p>
      <w:pPr>
        <w:pStyle w:val="505"/>
        <w:ind w:left="360" w:hanging="360"/>
      </w:pPr>
      <w:r>
        <w:rPr>
          <w:rFonts w:hint="eastAsia"/>
        </w:rPr>
        <w:t>专项应付款</w:t>
      </w:r>
    </w:p>
    <w:p>
      <w:pPr>
        <w:pStyle w:val="506"/>
        <w:numPr>
          <w:ilvl w:val="0"/>
          <w:numId w:val="102"/>
        </w:numPr>
        <w:ind w:leftChars="0"/>
        <w:rPr>
          <w:rFonts w:asciiTheme="minorHAnsi" w:hAnsiTheme="minorHAnsi" w:cstheme="minorBidi"/>
          <w:kern w:val="0"/>
          <w:szCs w:val="24"/>
        </w:rPr>
      </w:pPr>
      <w:r>
        <w:rPr>
          <w:rFonts w:hint="eastAsia" w:asciiTheme="minorHAnsi" w:hAnsiTheme="minorHAnsi" w:cstheme="minorBidi"/>
          <w:kern w:val="0"/>
          <w:szCs w:val="24"/>
        </w:rPr>
        <w:t>按款项性质列示专项应付款</w:t>
      </w:r>
    </w:p>
    <w:sdt>
      <w:sdtPr>
        <w:alias w:val="是否适用：专项应付款[双击切换]"/>
        <w:tag w:val="_GBC_857ddecb5bce4a0f99e428cd2635aa03"/>
        <w:id w:val="86579411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专项应付款"/>
          <w:tag w:val="_GBC_17da351113a84d468019127602052875"/>
          <w:id w:val="15799408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专项应付款"/>
          <w:tag w:val="_GBC_d724de50ed974f2a952a318759be09a1"/>
          <w:id w:val="-4089952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73"/>
        <w:gridCol w:w="1473"/>
        <w:gridCol w:w="1435"/>
        <w:gridCol w:w="1502"/>
        <w:gridCol w:w="1489"/>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53ee673c4a94254bd1789424c6ff3d7"/>
            <w:id w:val="-270171611"/>
          </w:sdtPr>
          <w:sdtContent>
            <w:tc>
              <w:tcPr>
                <w:tcW w:w="813" w:type="pct"/>
                <w:vAlign w:val="center"/>
              </w:tcPr>
              <w:p>
                <w:pPr>
                  <w:ind w:right="105"/>
                  <w:jc w:val="center"/>
                </w:pPr>
                <w:r>
                  <w:rPr>
                    <w:rFonts w:hint="eastAsia"/>
                  </w:rPr>
                  <w:t>项目</w:t>
                </w:r>
              </w:p>
            </w:tc>
          </w:sdtContent>
        </w:sdt>
        <w:sdt>
          <w:sdtPr>
            <w:tag w:val="_PLD_a2bded2bd4b64db99375c871cadc7bfe"/>
            <w:id w:val="374049539"/>
          </w:sdtPr>
          <w:sdtContent>
            <w:tc>
              <w:tcPr>
                <w:tcW w:w="813" w:type="pct"/>
              </w:tcPr>
              <w:p>
                <w:pPr>
                  <w:jc w:val="center"/>
                </w:pPr>
                <w:r>
                  <w:rPr>
                    <w:rFonts w:hint="eastAsia"/>
                  </w:rPr>
                  <w:t>期初余额</w:t>
                </w:r>
              </w:p>
            </w:tc>
          </w:sdtContent>
        </w:sdt>
        <w:sdt>
          <w:sdtPr>
            <w:tag w:val="_PLD_38d8ecb0074145e2a543b0f0e8520f81"/>
            <w:id w:val="1610705293"/>
          </w:sdtPr>
          <w:sdtContent>
            <w:tc>
              <w:tcPr>
                <w:tcW w:w="792" w:type="pct"/>
                <w:shd w:val="clear" w:color="auto" w:fill="auto"/>
              </w:tcPr>
              <w:p>
                <w:pPr>
                  <w:jc w:val="center"/>
                </w:pPr>
                <w:r>
                  <w:rPr>
                    <w:rFonts w:hint="eastAsia"/>
                  </w:rPr>
                  <w:t>本期增加</w:t>
                </w:r>
              </w:p>
            </w:tc>
          </w:sdtContent>
        </w:sdt>
        <w:sdt>
          <w:sdtPr>
            <w:tag w:val="_PLD_b5e01b5460594423805476f202eecf1c"/>
            <w:id w:val="-1774007126"/>
          </w:sdtPr>
          <w:sdtContent>
            <w:tc>
              <w:tcPr>
                <w:tcW w:w="829" w:type="pct"/>
                <w:shd w:val="clear" w:color="auto" w:fill="auto"/>
              </w:tcPr>
              <w:p>
                <w:pPr>
                  <w:jc w:val="center"/>
                </w:pPr>
                <w:r>
                  <w:rPr>
                    <w:rFonts w:hint="eastAsia"/>
                  </w:rPr>
                  <w:t>本期减少</w:t>
                </w:r>
              </w:p>
            </w:tc>
          </w:sdtContent>
        </w:sdt>
        <w:sdt>
          <w:sdtPr>
            <w:tag w:val="_PLD_f5bb3951cab74130adf727fbe35ac9d4"/>
            <w:id w:val="-246116125"/>
          </w:sdtPr>
          <w:sdtContent>
            <w:tc>
              <w:tcPr>
                <w:tcW w:w="822" w:type="pct"/>
              </w:tcPr>
              <w:p>
                <w:pPr>
                  <w:jc w:val="center"/>
                </w:pPr>
                <w:r>
                  <w:rPr>
                    <w:rFonts w:hint="eastAsia"/>
                  </w:rPr>
                  <w:t>期末余额</w:t>
                </w:r>
              </w:p>
            </w:tc>
          </w:sdtContent>
        </w:sdt>
        <w:sdt>
          <w:sdtPr>
            <w:tag w:val="_PLD_1bb67b7225804d0fb21b0788ddc7b7d2"/>
            <w:id w:val="-1010062732"/>
          </w:sdtPr>
          <w:sdtContent>
            <w:tc>
              <w:tcPr>
                <w:tcW w:w="931" w:type="pct"/>
                <w:shd w:val="clear" w:color="auto" w:fill="auto"/>
              </w:tcPr>
              <w:p>
                <w:pPr>
                  <w:jc w:val="center"/>
                </w:pPr>
                <w:r>
                  <w:rPr>
                    <w:rFonts w:hint="eastAsia"/>
                  </w:rPr>
                  <w:t>形成原因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13" w:type="pct"/>
            <w:vAlign w:val="center"/>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北宿煤矿关闭专项资金</w:t>
            </w:r>
          </w:p>
        </w:tc>
        <w:tc>
          <w:tcPr>
            <w:tcW w:w="813"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19,237</w:t>
            </w:r>
          </w:p>
        </w:tc>
        <w:tc>
          <w:tcPr>
            <w:tcW w:w="79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p>
        </w:tc>
        <w:tc>
          <w:tcPr>
            <w:tcW w:w="829"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4,062</w:t>
            </w:r>
          </w:p>
        </w:tc>
        <w:tc>
          <w:tcPr>
            <w:tcW w:w="822"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15,175</w:t>
            </w:r>
          </w:p>
        </w:tc>
        <w:tc>
          <w:tcPr>
            <w:tcW w:w="931" w:type="pct"/>
            <w:shd w:val="clear" w:color="auto" w:fill="auto"/>
            <w:vAlign w:val="center"/>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煤矿关闭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3" w:type="pct"/>
            <w:vAlign w:val="center"/>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科技计划项目经费</w:t>
            </w:r>
          </w:p>
        </w:tc>
        <w:tc>
          <w:tcPr>
            <w:tcW w:w="813" w:type="pct"/>
            <w:vAlign w:val="center"/>
          </w:tcPr>
          <w:p>
            <w:pPr>
              <w:tabs>
                <w:tab w:val="right" w:pos="3690"/>
                <w:tab w:val="right" w:pos="5130"/>
                <w:tab w:val="right" w:pos="6030"/>
                <w:tab w:val="right" w:pos="7650"/>
                <w:tab w:val="right" w:pos="9270"/>
              </w:tabs>
              <w:adjustRightInd w:val="0"/>
              <w:snapToGrid w:val="0"/>
              <w:jc w:val="right"/>
              <w:rPr>
                <w:rFonts w:ascii="宋体" w:hAnsi="宋体"/>
              </w:rPr>
            </w:pPr>
          </w:p>
        </w:tc>
        <w:tc>
          <w:tcPr>
            <w:tcW w:w="79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982</w:t>
            </w:r>
          </w:p>
        </w:tc>
        <w:tc>
          <w:tcPr>
            <w:tcW w:w="829"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p>
        </w:tc>
        <w:tc>
          <w:tcPr>
            <w:tcW w:w="822"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982</w:t>
            </w:r>
          </w:p>
        </w:tc>
        <w:tc>
          <w:tcPr>
            <w:tcW w:w="931" w:type="pct"/>
            <w:shd w:val="clear" w:color="auto" w:fill="auto"/>
            <w:vAlign w:val="center"/>
          </w:tcPr>
          <w:p>
            <w:pPr>
              <w:tabs>
                <w:tab w:val="right" w:pos="3690"/>
                <w:tab w:val="right" w:pos="5130"/>
                <w:tab w:val="right" w:pos="6030"/>
                <w:tab w:val="right" w:pos="7650"/>
                <w:tab w:val="right" w:pos="9270"/>
              </w:tabs>
              <w:adjustRightInd w:val="0"/>
              <w:snapToGrid w:val="0"/>
              <w:rPr>
                <w:rFonts w:ascii="宋体" w:hAnsi="宋体"/>
              </w:rPr>
            </w:pPr>
            <w:r>
              <w:rPr>
                <w:rFonts w:hint="eastAsia" w:ascii="宋体" w:hAnsi="宋体"/>
              </w:rPr>
              <w:t>专项研发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813" w:type="pct"/>
            <w:vAlign w:val="center"/>
          </w:tcPr>
          <w:p>
            <w:pPr>
              <w:ind w:right="105"/>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合计</w:t>
            </w:r>
          </w:p>
        </w:tc>
        <w:tc>
          <w:tcPr>
            <w:tcW w:w="813"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19,237</w:t>
            </w:r>
          </w:p>
        </w:tc>
        <w:tc>
          <w:tcPr>
            <w:tcW w:w="79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982</w:t>
            </w:r>
          </w:p>
        </w:tc>
        <w:tc>
          <w:tcPr>
            <w:tcW w:w="829"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4,062</w:t>
            </w:r>
          </w:p>
        </w:tc>
        <w:tc>
          <w:tcPr>
            <w:tcW w:w="822" w:type="pct"/>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16,157</w:t>
            </w:r>
          </w:p>
        </w:tc>
        <w:tc>
          <w:tcPr>
            <w:tcW w:w="931" w:type="pct"/>
            <w:shd w:val="clear" w:color="auto" w:fill="auto"/>
          </w:tcPr>
          <w:p>
            <w:pPr>
              <w:jc w:val="cente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p>
        </w:tc>
      </w:tr>
    </w:tbl>
    <w:p>
      <w:pPr>
        <w:pStyle w:val="504"/>
        <w:numPr>
          <w:ilvl w:val="0"/>
          <w:numId w:val="69"/>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2032797710"/>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5"/>
        <w:numPr>
          <w:ilvl w:val="0"/>
          <w:numId w:val="103"/>
        </w:numPr>
        <w:ind w:left="426" w:hanging="426"/>
      </w:pPr>
      <w:r>
        <w:rPr>
          <w:rFonts w:hint="eastAsia"/>
        </w:rPr>
        <w:t>长期应付职工薪酬表</w:t>
      </w:r>
    </w:p>
    <w:sdt>
      <w:sdtPr>
        <w:alias w:val="是否适用：长期应付职工薪酬表[双击切换]"/>
        <w:tag w:val="_GBC_b44de9fd198c4a3499852d2770fe541b"/>
        <w:id w:val="196329740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应付职工薪酬"/>
          <w:tag w:val="_GBC_494e432bb7b842a4b2966c2a30e46b7c"/>
          <w:id w:val="-8063154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长期应付职工薪酬"/>
          <w:tag w:val="_GBC_02ec6d6e408949a7aba93c9538df7dad"/>
          <w:id w:val="-8544208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4"/>
        <w:gridCol w:w="2631"/>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7f8419ee43a44a3851aeb0ae20db3b3"/>
            <w:id w:val="1599061456"/>
          </w:sdtPr>
          <w:sdtContent>
            <w:tc>
              <w:tcPr>
                <w:tcW w:w="201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项目</w:t>
                </w:r>
              </w:p>
            </w:tc>
          </w:sdtContent>
        </w:sdt>
        <w:sdt>
          <w:sdtPr>
            <w:tag w:val="_PLD_dc953e100cbb4806858d7d10436872c1"/>
            <w:id w:val="1038246038"/>
          </w:sdtPr>
          <w:sdtContent>
            <w:tc>
              <w:tcPr>
                <w:tcW w:w="145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期末余额</w:t>
                </w:r>
              </w:p>
            </w:tc>
          </w:sdtContent>
        </w:sdt>
        <w:sdt>
          <w:sdtPr>
            <w:tag w:val="_PLD_28d4785454ea4bd99f4433899ff434f8"/>
            <w:id w:val="-1139806271"/>
          </w:sdtPr>
          <w:sdtContent>
            <w:tc>
              <w:tcPr>
                <w:tcW w:w="15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tcBorders>
              <w:top w:val="single" w:color="auto" w:sz="6" w:space="0"/>
              <w:left w:val="single" w:color="auto" w:sz="6" w:space="0"/>
              <w:bottom w:val="single" w:color="auto" w:sz="6" w:space="0"/>
              <w:right w:val="single" w:color="auto" w:sz="6" w:space="0"/>
            </w:tcBorders>
            <w:shd w:val="clear" w:color="auto" w:fill="auto"/>
          </w:tcPr>
          <w:p>
            <w:pPr>
              <w:pStyle w:val="531"/>
            </w:pPr>
            <w:r>
              <w:rPr>
                <w:rFonts w:hint="eastAsia"/>
              </w:rPr>
              <w:t>一、离职后福利-设定受益计划净负债</w:t>
            </w:r>
          </w:p>
        </w:tc>
        <w:tc>
          <w:tcPr>
            <w:tcW w:w="1454" w:type="pct"/>
            <w:tcBorders>
              <w:top w:val="single" w:color="auto" w:sz="6"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5,253,767</w:t>
            </w:r>
          </w:p>
        </w:tc>
        <w:tc>
          <w:tcPr>
            <w:tcW w:w="1527" w:type="pct"/>
            <w:tcBorders>
              <w:top w:val="single" w:color="auto" w:sz="6" w:space="0"/>
              <w:left w:val="single" w:color="auto" w:sz="4"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5,327,520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tcBorders>
              <w:top w:val="single" w:color="auto" w:sz="6" w:space="0"/>
              <w:left w:val="single" w:color="auto" w:sz="6" w:space="0"/>
              <w:bottom w:val="single" w:color="auto" w:sz="6" w:space="0"/>
              <w:right w:val="single" w:color="auto" w:sz="6" w:space="0"/>
            </w:tcBorders>
            <w:shd w:val="clear" w:color="auto" w:fill="auto"/>
          </w:tcPr>
          <w:p>
            <w:pPr>
              <w:pStyle w:val="531"/>
            </w:pPr>
            <w:r>
              <w:rPr>
                <w:rFonts w:hint="eastAsia"/>
              </w:rPr>
              <w:t>二、长期服务假（注）</w:t>
            </w:r>
          </w:p>
        </w:tc>
        <w:tc>
          <w:tcPr>
            <w:tcW w:w="1454" w:type="pct"/>
            <w:tcBorders>
              <w:top w:val="single" w:color="auto" w:sz="6"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507,872</w:t>
            </w:r>
          </w:p>
        </w:tc>
        <w:tc>
          <w:tcPr>
            <w:tcW w:w="1527" w:type="pct"/>
            <w:tcBorders>
              <w:top w:val="single" w:color="auto" w:sz="6" w:space="0"/>
              <w:left w:val="single" w:color="auto" w:sz="4"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544,841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tcBorders>
              <w:top w:val="single" w:color="auto" w:sz="6" w:space="0"/>
              <w:left w:val="single" w:color="auto" w:sz="6" w:space="0"/>
              <w:bottom w:val="single" w:color="auto" w:sz="6" w:space="0"/>
              <w:right w:val="single" w:color="auto" w:sz="6" w:space="0"/>
            </w:tcBorders>
            <w:shd w:val="clear" w:color="auto" w:fill="auto"/>
          </w:tcPr>
          <w:p>
            <w:pPr>
              <w:pStyle w:val="531"/>
            </w:pPr>
            <w:r>
              <w:rPr>
                <w:rFonts w:hint="eastAsia"/>
              </w:rPr>
              <w:t>三、辞退福利</w:t>
            </w:r>
          </w:p>
        </w:tc>
        <w:tc>
          <w:tcPr>
            <w:tcW w:w="1454"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118,999</w:t>
            </w:r>
          </w:p>
        </w:tc>
        <w:tc>
          <w:tcPr>
            <w:tcW w:w="1527"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180,320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合计</w:t>
            </w:r>
          </w:p>
        </w:tc>
        <w:tc>
          <w:tcPr>
            <w:tcW w:w="1454"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5,880,638</w:t>
            </w:r>
          </w:p>
        </w:tc>
        <w:tc>
          <w:tcPr>
            <w:tcW w:w="1527" w:type="pct"/>
            <w:tcBorders>
              <w:top w:val="single" w:color="auto" w:sz="4" w:space="0"/>
              <w:left w:val="single" w:color="auto" w:sz="4"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6,052,681</w:t>
            </w:r>
          </w:p>
        </w:tc>
      </w:tr>
    </w:tbl>
    <w:p>
      <w:pPr>
        <w:pStyle w:val="531"/>
      </w:pPr>
    </w:p>
    <w:p>
      <w:pPr>
        <w:pStyle w:val="505"/>
        <w:numPr>
          <w:ilvl w:val="0"/>
          <w:numId w:val="103"/>
        </w:numPr>
        <w:ind w:left="426" w:hanging="426"/>
      </w:pPr>
      <w:r>
        <w:rPr>
          <w:rFonts w:hint="eastAsia"/>
        </w:rPr>
        <w:t>设定受益计划变动情况</w:t>
      </w:r>
    </w:p>
    <w:p>
      <w:pPr>
        <w:pStyle w:val="501"/>
      </w:pPr>
      <w:r>
        <w:rPr>
          <w:rFonts w:hint="eastAsia"/>
        </w:rPr>
        <w:t>设定受益计划义务现值：</w:t>
      </w:r>
    </w:p>
    <w:sdt>
      <w:sdtPr>
        <w:alias w:val="是否适用：设定受益计划义务现值[双击切换]"/>
        <w:tag w:val="_GBC_898bbd8ee5bb4ad698965551469ae3fb"/>
        <w:id w:val="621653257"/>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设定受益计划义务现值"/>
          <w:tag w:val="_GBC_d87db3237cee4a5a822494fe218bb633"/>
          <w:id w:val="-15317975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设定受益计划义务现值"/>
          <w:tag w:val="_GBC_99e1a1c974464745933602a4864f5ee3"/>
          <w:id w:val="9075779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3"/>
        <w:gridCol w:w="2619"/>
        <w:gridCol w:w="2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3dee25d75b904d5fa25c2c52ba200ae2"/>
            <w:id w:val="-1977906362"/>
          </w:sdtPr>
          <w:sdtEndPr>
            <w:rPr>
              <w:rFonts w:ascii="宋体" w:hAnsi="宋体"/>
            </w:rPr>
          </w:sdtEndPr>
          <w:sdtContent>
            <w:tc>
              <w:tcPr>
                <w:tcW w:w="2245" w:type="pct"/>
                <w:tcBorders>
                  <w:left w:val="single" w:color="auto" w:sz="6" w:space="0"/>
                  <w:bottom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项目</w:t>
                </w:r>
              </w:p>
            </w:tc>
          </w:sdtContent>
        </w:sdt>
        <w:sdt>
          <w:sdtPr>
            <w:tag w:val="_PLD_a95376567d1a4834b376e3089b85f864"/>
            <w:id w:val="1364629746"/>
          </w:sdtPr>
          <w:sdtContent>
            <w:tc>
              <w:tcPr>
                <w:tcW w:w="1447" w:type="pct"/>
                <w:tcBorders>
                  <w:top w:val="single" w:color="auto" w:sz="6" w:space="0"/>
                  <w:left w:val="single" w:color="auto" w:sz="6" w:space="0"/>
                  <w:bottom w:val="single" w:color="auto" w:sz="4" w:space="0"/>
                  <w:right w:val="single" w:color="auto" w:sz="4" w:space="0"/>
                </w:tcBorders>
                <w:shd w:val="clear" w:color="auto" w:fill="auto"/>
                <w:vAlign w:val="center"/>
              </w:tcPr>
              <w:p>
                <w:pPr>
                  <w:jc w:val="center"/>
                </w:pPr>
                <w:r>
                  <w:rPr>
                    <w:rFonts w:hint="eastAsia"/>
                  </w:rPr>
                  <w:t>本期发生额</w:t>
                </w:r>
              </w:p>
            </w:tc>
          </w:sdtContent>
        </w:sdt>
        <w:sdt>
          <w:sdtPr>
            <w:tag w:val="_PLD_86c4cd0f85c94b3197fb39dcde827282"/>
            <w:id w:val="-703632947"/>
          </w:sdtPr>
          <w:sdtContent>
            <w:tc>
              <w:tcPr>
                <w:tcW w:w="1308" w:type="pct"/>
                <w:tcBorders>
                  <w:top w:val="single" w:color="auto" w:sz="6" w:space="0"/>
                  <w:left w:val="single" w:color="auto" w:sz="6" w:space="0"/>
                  <w:bottom w:val="single" w:color="auto" w:sz="4" w:space="0"/>
                  <w:right w:val="single" w:color="auto" w:sz="4" w:space="0"/>
                </w:tcBorders>
                <w:shd w:val="clear" w:color="auto" w:fill="auto"/>
                <w:vAlign w:val="center"/>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vAlign w:val="center"/>
          </w:tcPr>
          <w:p>
            <w:pPr>
              <w:rPr>
                <w:rFonts w:ascii="宋体" w:hAnsi="宋体"/>
                <w:sz w:val="22"/>
                <w:szCs w:val="22"/>
              </w:rPr>
            </w:pPr>
            <w:r>
              <w:rPr>
                <w:rFonts w:hint="eastAsia" w:ascii="宋体" w:hAnsi="宋体"/>
                <w:sz w:val="22"/>
                <w:szCs w:val="22"/>
              </w:rPr>
              <w:t>一、期初余额</w:t>
            </w:r>
          </w:p>
        </w:tc>
        <w:tc>
          <w:tcPr>
            <w:tcW w:w="1447" w:type="pct"/>
            <w:tcBorders>
              <w:top w:val="single" w:color="auto" w:sz="6"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5,927,270</w:t>
            </w:r>
          </w:p>
        </w:tc>
        <w:tc>
          <w:tcPr>
            <w:tcW w:w="1308" w:type="pct"/>
            <w:tcBorders>
              <w:top w:val="single" w:color="auto" w:sz="6"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6,369,150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tcPr>
          <w:p>
            <w:pPr>
              <w:rPr>
                <w:rFonts w:ascii="宋体" w:hAnsi="宋体"/>
                <w:sz w:val="22"/>
                <w:szCs w:val="22"/>
              </w:rPr>
            </w:pPr>
            <w:r>
              <w:rPr>
                <w:rFonts w:hint="eastAsia" w:ascii="宋体" w:hAnsi="宋体"/>
                <w:sz w:val="22"/>
                <w:szCs w:val="22"/>
              </w:rPr>
              <w:t>二、计入当期损益的设定受益成本</w:t>
            </w:r>
          </w:p>
        </w:tc>
        <w:tc>
          <w:tcPr>
            <w:tcW w:w="1447"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28,292</w:t>
            </w:r>
          </w:p>
        </w:tc>
        <w:tc>
          <w:tcPr>
            <w:tcW w:w="1308"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10,440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vAlign w:val="center"/>
          </w:tcPr>
          <w:p>
            <w:pPr>
              <w:widowControl/>
              <w:jc w:val="left"/>
              <w:rPr>
                <w:rFonts w:ascii="宋体" w:hAnsi="宋体" w:cs="宋体"/>
                <w:sz w:val="22"/>
                <w:szCs w:val="22"/>
              </w:rPr>
            </w:pPr>
            <w:r>
              <w:rPr>
                <w:rFonts w:ascii="宋体" w:hAnsi="宋体" w:cs="宋体"/>
                <w:sz w:val="22"/>
                <w:szCs w:val="22"/>
              </w:rPr>
              <w:t>1.</w:t>
            </w:r>
            <w:r>
              <w:rPr>
                <w:rFonts w:hint="eastAsia" w:ascii="宋体" w:hAnsi="宋体" w:cs="宋体"/>
                <w:sz w:val="22"/>
                <w:szCs w:val="22"/>
              </w:rPr>
              <w:t>利息净额</w:t>
            </w:r>
          </w:p>
        </w:tc>
        <w:tc>
          <w:tcPr>
            <w:tcW w:w="1447"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20,592</w:t>
            </w:r>
          </w:p>
        </w:tc>
        <w:tc>
          <w:tcPr>
            <w:tcW w:w="1308"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19,160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tcPr>
          <w:p>
            <w:pPr>
              <w:widowControl/>
              <w:jc w:val="left"/>
              <w:rPr>
                <w:rFonts w:ascii="宋体" w:hAnsi="宋体"/>
                <w:sz w:val="22"/>
                <w:szCs w:val="22"/>
              </w:rPr>
            </w:pPr>
            <w:r>
              <w:rPr>
                <w:rFonts w:hint="eastAsia" w:ascii="宋体" w:hAnsi="宋体" w:cs="宋体"/>
                <w:sz w:val="22"/>
                <w:szCs w:val="22"/>
              </w:rPr>
              <w:t>2.精算利得（损失以“－”表示）</w:t>
            </w:r>
          </w:p>
        </w:tc>
        <w:tc>
          <w:tcPr>
            <w:tcW w:w="1447" w:type="pct"/>
            <w:tcBorders>
              <w:top w:val="single" w:color="auto" w:sz="4" w:space="0"/>
              <w:left w:val="single" w:color="auto" w:sz="6" w:space="0"/>
              <w:bottom w:val="single" w:color="auto" w:sz="4" w:space="0"/>
              <w:right w:val="single" w:color="auto" w:sz="4" w:space="0"/>
            </w:tcBorders>
            <w:shd w:val="clear" w:color="auto" w:fill="auto"/>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hint="eastAsia" w:ascii="宋体" w:hAnsi="宋体"/>
                <w:sz w:val="22"/>
                <w:szCs w:val="22"/>
              </w:rPr>
              <w:t>7,700</w:t>
            </w:r>
          </w:p>
        </w:tc>
        <w:tc>
          <w:tcPr>
            <w:tcW w:w="1308" w:type="pct"/>
            <w:tcBorders>
              <w:top w:val="single" w:color="auto" w:sz="4" w:space="0"/>
              <w:left w:val="single" w:color="auto" w:sz="6" w:space="0"/>
              <w:bottom w:val="single" w:color="auto" w:sz="4" w:space="0"/>
              <w:right w:val="single" w:color="auto" w:sz="4" w:space="0"/>
            </w:tcBorders>
            <w:shd w:val="clear" w:color="auto" w:fill="auto"/>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hint="eastAsia" w:ascii="宋体" w:hAnsi="宋体"/>
                <w:sz w:val="22"/>
                <w:szCs w:val="22"/>
              </w:rPr>
              <w:t>-8,720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tcPr>
          <w:p>
            <w:pPr>
              <w:rPr>
                <w:rFonts w:ascii="宋体" w:hAnsi="宋体"/>
                <w:sz w:val="22"/>
                <w:szCs w:val="22"/>
              </w:rPr>
            </w:pPr>
            <w:r>
              <w:rPr>
                <w:rFonts w:hint="eastAsia" w:ascii="宋体" w:hAnsi="宋体"/>
                <w:sz w:val="22"/>
                <w:szCs w:val="22"/>
              </w:rPr>
              <w:t>三、计入当期权益的设定受益成本</w:t>
            </w:r>
          </w:p>
        </w:tc>
        <w:tc>
          <w:tcPr>
            <w:tcW w:w="1447"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324,750</w:t>
            </w:r>
          </w:p>
        </w:tc>
        <w:tc>
          <w:tcPr>
            <w:tcW w:w="1308"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56,930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vAlign w:val="center"/>
          </w:tcPr>
          <w:p>
            <w:pPr>
              <w:rPr>
                <w:rFonts w:ascii="宋体" w:hAnsi="宋体"/>
                <w:sz w:val="22"/>
                <w:szCs w:val="22"/>
              </w:rPr>
            </w:pPr>
            <w:r>
              <w:rPr>
                <w:rFonts w:ascii="宋体" w:hAnsi="宋体"/>
                <w:sz w:val="22"/>
                <w:szCs w:val="22"/>
              </w:rPr>
              <w:t>1.</w:t>
            </w:r>
            <w:r>
              <w:rPr>
                <w:rFonts w:hint="eastAsia" w:ascii="宋体" w:hAnsi="宋体"/>
                <w:sz w:val="22"/>
                <w:szCs w:val="22"/>
              </w:rPr>
              <w:t>利息净额</w:t>
            </w:r>
          </w:p>
        </w:tc>
        <w:tc>
          <w:tcPr>
            <w:tcW w:w="1447"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151,030</w:t>
            </w:r>
          </w:p>
        </w:tc>
        <w:tc>
          <w:tcPr>
            <w:tcW w:w="1308"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147,190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vAlign w:val="center"/>
          </w:tcPr>
          <w:p>
            <w:pPr>
              <w:rPr>
                <w:rFonts w:ascii="宋体" w:hAnsi="宋体"/>
                <w:sz w:val="22"/>
                <w:szCs w:val="22"/>
              </w:rPr>
            </w:pPr>
            <w:r>
              <w:rPr>
                <w:rFonts w:ascii="宋体" w:hAnsi="宋体"/>
                <w:sz w:val="22"/>
                <w:szCs w:val="22"/>
              </w:rPr>
              <w:t>2.</w:t>
            </w:r>
            <w:r>
              <w:rPr>
                <w:rFonts w:hint="eastAsia" w:ascii="宋体" w:hAnsi="宋体"/>
                <w:sz w:val="22"/>
                <w:szCs w:val="22"/>
              </w:rPr>
              <w:t>精算利得（损失以“－”表示）</w:t>
            </w:r>
          </w:p>
        </w:tc>
        <w:tc>
          <w:tcPr>
            <w:tcW w:w="1447"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173,720</w:t>
            </w:r>
          </w:p>
        </w:tc>
        <w:tc>
          <w:tcPr>
            <w:tcW w:w="1308"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-90,260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tcPr>
          <w:p>
            <w:pPr>
              <w:rPr>
                <w:rFonts w:ascii="宋体" w:hAnsi="宋体"/>
                <w:sz w:val="22"/>
                <w:szCs w:val="22"/>
              </w:rPr>
            </w:pPr>
            <w:r>
              <w:rPr>
                <w:rFonts w:hint="eastAsia" w:ascii="宋体" w:hAnsi="宋体"/>
                <w:sz w:val="22"/>
                <w:szCs w:val="22"/>
              </w:rPr>
              <w:t>四、其他变动</w:t>
            </w:r>
          </w:p>
        </w:tc>
        <w:tc>
          <w:tcPr>
            <w:tcW w:w="1447"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-498,056</w:t>
            </w:r>
          </w:p>
        </w:tc>
        <w:tc>
          <w:tcPr>
            <w:tcW w:w="1308"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-509,250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tcPr>
          <w:p>
            <w:pPr>
              <w:rPr>
                <w:rFonts w:ascii="宋体" w:hAnsi="宋体"/>
                <w:sz w:val="22"/>
                <w:szCs w:val="22"/>
              </w:rPr>
            </w:pPr>
            <w:r>
              <w:rPr>
                <w:rFonts w:ascii="宋体" w:hAnsi="宋体"/>
                <w:sz w:val="22"/>
                <w:szCs w:val="22"/>
              </w:rPr>
              <w:t>1.</w:t>
            </w:r>
            <w:r>
              <w:rPr>
                <w:rFonts w:hint="eastAsia" w:ascii="宋体" w:hAnsi="宋体"/>
                <w:sz w:val="22"/>
                <w:szCs w:val="22"/>
              </w:rPr>
              <w:t>已支付的福利</w:t>
            </w:r>
          </w:p>
        </w:tc>
        <w:tc>
          <w:tcPr>
            <w:tcW w:w="1447"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-498,056</w:t>
            </w:r>
          </w:p>
        </w:tc>
        <w:tc>
          <w:tcPr>
            <w:tcW w:w="1308"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-509,250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tcPr>
          <w:p>
            <w:pPr>
              <w:rPr>
                <w:rFonts w:ascii="宋体" w:hAnsi="宋体"/>
                <w:sz w:val="22"/>
                <w:szCs w:val="22"/>
              </w:rPr>
            </w:pPr>
            <w:r>
              <w:rPr>
                <w:rFonts w:hint="eastAsia" w:ascii="宋体" w:hAnsi="宋体"/>
                <w:sz w:val="22"/>
                <w:szCs w:val="22"/>
              </w:rPr>
              <w:t>五、期末余额</w:t>
            </w:r>
          </w:p>
        </w:tc>
        <w:tc>
          <w:tcPr>
            <w:tcW w:w="1447"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5,782,256</w:t>
            </w:r>
          </w:p>
        </w:tc>
        <w:tc>
          <w:tcPr>
            <w:tcW w:w="1308"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5,927,270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tcBorders>
              <w:top w:val="single" w:color="auto" w:sz="6" w:space="0"/>
              <w:left w:val="single" w:color="auto" w:sz="6" w:space="0"/>
              <w:bottom w:val="single" w:color="auto" w:sz="6" w:space="0"/>
              <w:right w:val="single" w:color="auto" w:sz="6" w:space="0"/>
            </w:tcBorders>
            <w:shd w:val="clear" w:color="auto" w:fill="auto"/>
          </w:tcPr>
          <w:p>
            <w:pPr>
              <w:rPr>
                <w:rFonts w:ascii="宋体" w:hAnsi="宋体"/>
                <w:sz w:val="22"/>
                <w:szCs w:val="22"/>
              </w:rPr>
            </w:pPr>
            <w:r>
              <w:rPr>
                <w:rFonts w:hint="eastAsia" w:ascii="宋体" w:hAnsi="宋体"/>
                <w:sz w:val="22"/>
                <w:szCs w:val="22"/>
              </w:rPr>
              <w:t>其中：一年内到期的长期应付职工薪酬</w:t>
            </w:r>
          </w:p>
        </w:tc>
        <w:tc>
          <w:tcPr>
            <w:tcW w:w="1447"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409,490</w:t>
            </w:r>
          </w:p>
        </w:tc>
        <w:tc>
          <w:tcPr>
            <w:tcW w:w="1308" w:type="pct"/>
            <w:tcBorders>
              <w:top w:val="single" w:color="auto" w:sz="4" w:space="0"/>
              <w:left w:val="single" w:color="auto" w:sz="6" w:space="0"/>
              <w:bottom w:val="single" w:color="auto" w:sz="4" w:space="0"/>
              <w:right w:val="single" w:color="auto" w:sz="4" w:space="0"/>
            </w:tcBorders>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z w:val="22"/>
                <w:szCs w:val="22"/>
              </w:rPr>
            </w:pPr>
            <w:r>
              <w:rPr>
                <w:rFonts w:ascii="宋体" w:hAnsi="宋体"/>
                <w:sz w:val="22"/>
                <w:szCs w:val="22"/>
              </w:rPr>
              <w:t>419,430</w:t>
            </w:r>
          </w:p>
        </w:tc>
      </w:tr>
    </w:tbl>
    <w:p>
      <w:pPr>
        <w:pStyle w:val="501"/>
      </w:pPr>
    </w:p>
    <w:p>
      <w:pPr>
        <w:pStyle w:val="501"/>
      </w:pPr>
      <w:r>
        <w:rPr>
          <w:rFonts w:hint="eastAsia"/>
        </w:rPr>
        <w:t>计划资产：</w:t>
      </w:r>
    </w:p>
    <w:p>
      <w:pPr>
        <w:pStyle w:val="501"/>
      </w:pPr>
      <w:sdt>
        <w:sdtPr>
          <w:rPr>
            <w:rFonts w:hint="eastAsia"/>
          </w:rPr>
          <w:alias w:val="是否适用：设定受益计划变动情况_计划资产[双击切换]"/>
          <w:tag w:val="_GBC_da74e4a7bfc84e888afc38ffa6096a31"/>
          <w:id w:val="1149641048"/>
          <w:placeholder>
            <w:docPart w:val="GBC22222222222222222222222222222"/>
          </w:placeholder>
        </w:sdtPr>
        <w:sdtEndPr>
          <w:rPr>
            <w:rFonts w:hint="eastAsia"/>
          </w:rPr>
        </w:sdtEndPr>
        <w:sdtContent>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pStyle w:val="501"/>
      </w:pPr>
    </w:p>
    <w:p>
      <w:pPr>
        <w:pStyle w:val="531"/>
      </w:pPr>
      <w:r>
        <w:rPr>
          <w:rFonts w:hint="eastAsia"/>
        </w:rPr>
        <w:t>设定受益计划净负债（净资产）</w:t>
      </w:r>
    </w:p>
    <w:sdt>
      <w:sdtPr>
        <w:alias w:val="是否适用：设定受益计划变动情况_设定受益计划净负债[双击切换]"/>
        <w:tag w:val="_GBC_4ef7ea9e6dc7431c9365dcd01da99b90"/>
        <w:id w:val="212765722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设定受益计划的内容及与之相关风险、对公司未来现金流量、时间和不确定性的影响说明：</w:t>
      </w:r>
    </w:p>
    <w:sdt>
      <w:sdtPr>
        <w:alias w:val="是否适用：设定受益计划的内容及与之相关风险、对公司未来现金流量、时间和不确定性的影响说明[双击切换]"/>
        <w:tag w:val="_GBC_4c44a3ab962f4a27836276afcc8a7570"/>
        <w:id w:val="-1897302"/>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1"/>
      </w:pPr>
      <w:r>
        <w:rPr>
          <w:rFonts w:hint="eastAsia"/>
        </w:rPr>
        <w:t>设定受益计划重大精算假设及敏感性分析结果说明</w:t>
      </w:r>
    </w:p>
    <w:sdt>
      <w:sdtPr>
        <w:alias w:val="是否适用：设定受益计划重大精算假设及敏感性分析结果说明[双击切换]"/>
        <w:tag w:val="_GBC_24dfbea0996e4d8cbbe60d6820df50a2"/>
        <w:id w:val="497542747"/>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1"/>
      </w:pPr>
      <w:r>
        <w:rPr>
          <w:rFonts w:hint="eastAsia"/>
        </w:rPr>
        <w:t>其他说明：</w:t>
      </w:r>
    </w:p>
    <w:sdt>
      <w:sdtPr>
        <w:alias w:val="是否适用：长期应付职工薪酬的其他说明[双击切换]"/>
        <w:tag w:val="_GBC_4c32051ec1ee486180dafb68d556d339"/>
        <w:id w:val="-1373072874"/>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长期应付职工薪酬的其他说明"/>
        <w:tag w:val="_GBC_28b9bb6550fe4ba38d6cea04e7fd30f2"/>
        <w:id w:val="-1309851746"/>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注：长期服务假以截至本报告期末由职工提供的服务预期未来付款的现值计量，并考虑未来的工资和薪金水平，员工离职和服务期限。在资产负债表日，使用市场收益率对估计未来现金流出量进行折现。根据澳大利亚Coal Mining Industry (Long Service Leave Funding) Act 1992煤炭行业（长期服务年假基金）法规1992 规定，若雇员长期被雇佣，雇员将获得除年假以外的长期服务假期（带薪）。每月应根据职工薪酬水平向Coal Mining Industry（Long Service Leave Funding) Corporation（以下简称Coal Mining Industry Corporation）存入长期服务假资金，待向员工支付长期服务假福利后，可以从Coal Mining Industry Corporation 得到部分补偿，因此将此款项确认为其他流动资产、其他非流动资产。在资产负债表日，若长期服务假的支付义务未来发生，则将长期服务假确认为应付职工薪酬、长期应付职工薪酬。</w:t>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预计负债</w:t>
      </w:r>
    </w:p>
    <w:sdt>
      <w:sdtPr>
        <w:alias w:val="是否适用：预计负债[双击切换]"/>
        <w:tag w:val="_GBC_d57ab9083835465c9b1fdeb5ed46b3ce"/>
        <w:id w:val="-210031837"/>
      </w:sdtPr>
      <w:sdtContent>
        <w:p>
          <w:pPr>
            <w:pStyle w:val="501"/>
          </w:pPr>
          <w:r>
            <w:fldChar w:fldCharType="begin"/>
          </w:r>
          <w:r>
            <w:rPr>
              <w:rFonts w:hint="eastAsia"/>
            </w:rPr>
            <w:instrText xml:space="preserve">MACROBUTTON SnrToggleCheckbox √适用 </w:instrText>
          </w:r>
          <w:r>
            <w:fldChar w:fldCharType="end"/>
          </w:r>
          <w:r>
            <w:fldChar w:fldCharType="begin"/>
          </w:r>
          <w:r>
            <w:rPr>
              <w:rFonts w:hint="eastAsia"/>
            </w:rPr>
            <w:instrText xml:space="preserve">MACROBUTTON  SnrToggleCheckbox □不适用 </w:instrText>
          </w:r>
          <w:r>
            <w:fldChar w:fldCharType="end"/>
          </w:r>
        </w:p>
      </w:sdtContent>
    </w:sdt>
    <w:p>
      <w:pPr>
        <w:jc w:val="right"/>
      </w:pPr>
      <w:r>
        <w:rPr>
          <w:rFonts w:hint="eastAsia"/>
        </w:rPr>
        <w:t>单位：</w:t>
      </w:r>
      <w:sdt>
        <w:sdtPr>
          <w:rPr>
            <w:rFonts w:hint="eastAsia"/>
          </w:rPr>
          <w:alias w:val="单位：财务附注：预计负债"/>
          <w:tag w:val="_GBC_579154bdef014b44aba03cac00df126c"/>
          <w:id w:val="840443335"/>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预计负债"/>
          <w:tag w:val="_GBC_1129ab1db6684ceb91f0593c32b5d268"/>
          <w:id w:val="-192788416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615"/>
        <w:gridCol w:w="1914"/>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宋体" w:hAnsi="宋体"/>
            </w:rPr>
            <w:tag w:val="_PLD_afddd1066e934e598ead7a6e38343c21"/>
            <w:id w:val="-11382570"/>
          </w:sdtPr>
          <w:sdtEndPr>
            <w:rPr>
              <w:rFonts w:ascii="宋体" w:hAnsi="宋体"/>
            </w:rPr>
          </w:sdtEndPr>
          <w:sdtContent>
            <w:tc>
              <w:tcPr>
                <w:tcW w:w="1443" w:type="pct"/>
                <w:vAlign w:val="center"/>
              </w:tcPr>
              <w:p>
                <w:pPr>
                  <w:ind w:right="105"/>
                  <w:jc w:val="center"/>
                  <w:rPr>
                    <w:rFonts w:ascii="宋体" w:hAnsi="宋体"/>
                  </w:rPr>
                </w:pPr>
                <w:r>
                  <w:rPr>
                    <w:rFonts w:hint="eastAsia" w:ascii="宋体" w:hAnsi="宋体"/>
                  </w:rPr>
                  <w:t>项目</w:t>
                </w:r>
              </w:p>
            </w:tc>
          </w:sdtContent>
        </w:sdt>
        <w:sdt>
          <w:sdtPr>
            <w:rPr>
              <w:rFonts w:ascii="宋体" w:hAnsi="宋体"/>
            </w:rPr>
            <w:tag w:val="_PLD_d493e26e1fb643299cea253bb9f43ca1"/>
            <w:id w:val="1808668481"/>
          </w:sdtPr>
          <w:sdtEndPr>
            <w:rPr>
              <w:rFonts w:ascii="宋体" w:hAnsi="宋体"/>
            </w:rPr>
          </w:sdtEndPr>
          <w:sdtContent>
            <w:tc>
              <w:tcPr>
                <w:tcW w:w="1056" w:type="pct"/>
              </w:tcPr>
              <w:p>
                <w:pPr>
                  <w:jc w:val="center"/>
                  <w:rPr>
                    <w:rFonts w:ascii="宋体" w:hAnsi="宋体"/>
                  </w:rPr>
                </w:pPr>
                <w:r>
                  <w:rPr>
                    <w:rFonts w:hint="eastAsia" w:ascii="宋体" w:hAnsi="宋体"/>
                  </w:rPr>
                  <w:t>期初余额</w:t>
                </w:r>
              </w:p>
            </w:tc>
          </w:sdtContent>
        </w:sdt>
        <w:sdt>
          <w:sdtPr>
            <w:rPr>
              <w:rFonts w:ascii="宋体" w:hAnsi="宋体"/>
            </w:rPr>
            <w:tag w:val="_PLD_34e5a75912204ec1a95f806f18cf2748"/>
            <w:id w:val="1835882819"/>
          </w:sdtPr>
          <w:sdtEndPr>
            <w:rPr>
              <w:rFonts w:ascii="宋体" w:hAnsi="宋体"/>
            </w:rPr>
          </w:sdtEndPr>
          <w:sdtContent>
            <w:tc>
              <w:tcPr>
                <w:tcW w:w="1250" w:type="pct"/>
              </w:tcPr>
              <w:p>
                <w:pPr>
                  <w:jc w:val="center"/>
                  <w:rPr>
                    <w:rFonts w:ascii="宋体" w:hAnsi="宋体"/>
                  </w:rPr>
                </w:pPr>
                <w:r>
                  <w:rPr>
                    <w:rFonts w:hint="eastAsia" w:ascii="宋体" w:hAnsi="宋体"/>
                  </w:rPr>
                  <w:t>期末余额</w:t>
                </w:r>
              </w:p>
            </w:tc>
          </w:sdtContent>
        </w:sdt>
        <w:sdt>
          <w:sdtPr>
            <w:rPr>
              <w:rFonts w:ascii="宋体" w:hAnsi="宋体"/>
            </w:rPr>
            <w:tag w:val="_PLD_4ab9627b71924167a2397cf4a5d9e546"/>
            <w:id w:val="-1410842965"/>
          </w:sdtPr>
          <w:sdtEndPr>
            <w:rPr>
              <w:rFonts w:ascii="宋体" w:hAnsi="宋体"/>
            </w:rPr>
          </w:sdtEndPr>
          <w:sdtContent>
            <w:tc>
              <w:tcPr>
                <w:tcW w:w="1250" w:type="pct"/>
              </w:tcPr>
              <w:p>
                <w:pPr>
                  <w:jc w:val="center"/>
                  <w:rPr>
                    <w:rFonts w:ascii="宋体" w:hAnsi="宋体"/>
                  </w:rPr>
                </w:pPr>
                <w:r>
                  <w:rPr>
                    <w:rFonts w:hint="eastAsia" w:ascii="宋体" w:hAnsi="宋体"/>
                  </w:rPr>
                  <w:t>形成原因</w:t>
                </w:r>
              </w:p>
            </w:tc>
          </w:sdtContent>
        </w:sdt>
      </w:tr>
      <w:sdt>
        <w:sdtPr>
          <w:rPr>
            <w:rFonts w:hint="eastAsia" w:ascii="宋体" w:hAnsi="宋体"/>
          </w:rPr>
          <w:alias w:val="预计负债明细"/>
          <w:tag w:val="_TUP_36177a7f5b654521af7a2fdb2bcd6860"/>
          <w:id w:val="1771901441"/>
        </w:sdtPr>
        <w:sdtEndPr>
          <w:rPr>
            <w:rFonts w:hint="default" w:ascii="宋体" w:hAnsi="宋体"/>
            <w:color w:val="000000" w:themeColor="text1"/>
            <w14:textFill>
              <w14:solidFill>
                <w14:schemeClr w14:val="tx1"/>
              </w14:solidFill>
            </w14:textFil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443" w:type="pct"/>
                <w:shd w:val="clear" w:color="auto" w:fill="auto"/>
                <w:vAlign w:val="center"/>
              </w:tcPr>
              <w:p>
                <w:pPr>
                  <w:ind w:right="105"/>
                  <w:rPr>
                    <w:rFonts w:ascii="宋体" w:hAnsi="宋体"/>
                  </w:rPr>
                </w:pPr>
                <w:r>
                  <w:rPr>
                    <w:rFonts w:hint="eastAsia" w:ascii="宋体" w:hAnsi="宋体"/>
                  </w:rPr>
                  <w:t>复垦/复原及环境恢复</w:t>
                </w:r>
              </w:p>
            </w:tc>
            <w:tc>
              <w:tcPr>
                <w:tcW w:w="1056" w:type="pct"/>
              </w:tcPr>
              <w:p>
                <w:pPr>
                  <w:jc w:val="right"/>
                  <w:rPr>
                    <w:rFonts w:ascii="宋体" w:hAnsi="宋体"/>
                  </w:rPr>
                </w:pPr>
                <w:r>
                  <w:rPr>
                    <w:rFonts w:ascii="宋体" w:hAnsi="宋体"/>
                  </w:rPr>
                  <w:t>13,155,469</w:t>
                </w:r>
              </w:p>
            </w:tc>
            <w:tc>
              <w:tcPr>
                <w:tcW w:w="1250" w:type="pct"/>
              </w:tcPr>
              <w:p>
                <w:pPr>
                  <w:jc w:val="right"/>
                  <w:rPr>
                    <w:rFonts w:ascii="宋体" w:hAnsi="宋体"/>
                  </w:rPr>
                </w:pPr>
                <w:r>
                  <w:rPr>
                    <w:rFonts w:hint="eastAsia" w:ascii="宋体" w:hAnsi="宋体"/>
                  </w:rPr>
                  <w:t>13,469,622</w:t>
                </w:r>
              </w:p>
            </w:tc>
            <w:tc>
              <w:tcPr>
                <w:tcW w:w="1250" w:type="pct"/>
              </w:tcPr>
              <w:p>
                <w:pPr>
                  <w:ind w:right="73"/>
                  <w:rPr>
                    <w:rFonts w:ascii="宋体" w:hAnsi="宋体"/>
                  </w:rPr>
                </w:pPr>
              </w:p>
            </w:tc>
          </w:tr>
        </w:sdtContent>
      </w:sdt>
      <w:sdt>
        <w:sdtPr>
          <w:rPr>
            <w:rFonts w:hint="eastAsia" w:ascii="宋体" w:hAnsi="宋体"/>
          </w:rPr>
          <w:alias w:val="预计负债明细"/>
          <w:tag w:val="_TUP_36177a7f5b654521af7a2fdb2bcd6860"/>
          <w:id w:val="125203844"/>
        </w:sdtPr>
        <w:sdtEndPr>
          <w:rPr>
            <w:rFonts w:hint="default" w:ascii="宋体" w:hAnsi="宋体"/>
            <w:color w:val="000000" w:themeColor="text1"/>
            <w14:textFill>
              <w14:solidFill>
                <w14:schemeClr w14:val="tx1"/>
              </w14:solidFill>
            </w14:textFil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443" w:type="pct"/>
                <w:shd w:val="clear" w:color="auto" w:fill="auto"/>
                <w:vAlign w:val="center"/>
              </w:tcPr>
              <w:p>
                <w:pPr>
                  <w:ind w:right="105"/>
                  <w:rPr>
                    <w:rFonts w:ascii="宋体" w:hAnsi="宋体"/>
                  </w:rPr>
                </w:pPr>
                <w:r>
                  <w:rPr>
                    <w:rFonts w:hint="eastAsia" w:ascii="宋体" w:hAnsi="宋体"/>
                  </w:rPr>
                  <w:t>亏损合同</w:t>
                </w:r>
              </w:p>
            </w:tc>
            <w:tc>
              <w:tcPr>
                <w:tcW w:w="1056" w:type="pct"/>
              </w:tcPr>
              <w:p>
                <w:pPr>
                  <w:jc w:val="right"/>
                  <w:rPr>
                    <w:rFonts w:ascii="宋体" w:hAnsi="宋体"/>
                  </w:rPr>
                </w:pPr>
                <w:r>
                  <w:rPr>
                    <w:rFonts w:hint="eastAsia" w:ascii="宋体" w:hAnsi="宋体"/>
                  </w:rPr>
                  <w:t>133,596</w:t>
                </w:r>
              </w:p>
            </w:tc>
            <w:tc>
              <w:tcPr>
                <w:tcW w:w="1250" w:type="pct"/>
              </w:tcPr>
              <w:p>
                <w:pPr>
                  <w:jc w:val="right"/>
                  <w:rPr>
                    <w:rFonts w:ascii="宋体" w:hAnsi="宋体"/>
                  </w:rPr>
                </w:pPr>
                <w:r>
                  <w:rPr>
                    <w:rFonts w:hint="eastAsia" w:ascii="宋体" w:hAnsi="宋体"/>
                  </w:rPr>
                  <w:t>109,121</w:t>
                </w:r>
              </w:p>
            </w:tc>
            <w:tc>
              <w:tcPr>
                <w:tcW w:w="1250" w:type="pct"/>
                <w:vAlign w:val="center"/>
              </w:tcPr>
              <w:p>
                <w:pPr>
                  <w:ind w:right="73"/>
                  <w:rPr>
                    <w:rFonts w:ascii="宋体" w:hAnsi="宋体"/>
                  </w:rPr>
                </w:pPr>
                <w:r>
                  <w:rPr>
                    <w:rFonts w:hint="eastAsia" w:ascii="宋体" w:hAnsi="宋体"/>
                  </w:rPr>
                  <w:t>注1</w:t>
                </w:r>
              </w:p>
            </w:tc>
          </w:tr>
        </w:sdtContent>
      </w:sdt>
      <w:sdt>
        <w:sdtPr>
          <w:rPr>
            <w:rFonts w:hint="eastAsia" w:ascii="宋体" w:hAnsi="宋体"/>
          </w:rPr>
          <w:alias w:val="预计负债明细"/>
          <w:tag w:val="_TUP_36177a7f5b654521af7a2fdb2bcd6860"/>
          <w:id w:val="-1845621089"/>
        </w:sdtPr>
        <w:sdtEndPr>
          <w:rPr>
            <w:rFonts w:hint="default" w:ascii="宋体" w:hAnsi="宋体"/>
            <w:color w:val="000000" w:themeColor="text1"/>
            <w14:textFill>
              <w14:solidFill>
                <w14:schemeClr w14:val="tx1"/>
              </w14:solidFill>
            </w14:textFil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443" w:type="pct"/>
                <w:shd w:val="clear" w:color="auto" w:fill="auto"/>
                <w:vAlign w:val="center"/>
              </w:tcPr>
              <w:p>
                <w:pPr>
                  <w:ind w:right="105"/>
                  <w:rPr>
                    <w:rFonts w:ascii="宋体" w:hAnsi="宋体"/>
                  </w:rPr>
                </w:pPr>
                <w:r>
                  <w:rPr>
                    <w:rFonts w:hint="eastAsia" w:ascii="宋体" w:hAnsi="宋体"/>
                  </w:rPr>
                  <w:t>照付不议负债</w:t>
                </w:r>
              </w:p>
            </w:tc>
            <w:tc>
              <w:tcPr>
                <w:tcW w:w="1056" w:type="pct"/>
              </w:tcPr>
              <w:p>
                <w:pPr>
                  <w:jc w:val="right"/>
                  <w:rPr>
                    <w:rFonts w:ascii="宋体" w:hAnsi="宋体"/>
                  </w:rPr>
                </w:pPr>
                <w:r>
                  <w:rPr>
                    <w:rFonts w:hint="eastAsia" w:ascii="宋体" w:hAnsi="宋体"/>
                  </w:rPr>
                  <w:t>27,309</w:t>
                </w:r>
              </w:p>
            </w:tc>
            <w:tc>
              <w:tcPr>
                <w:tcW w:w="1250" w:type="pct"/>
              </w:tcPr>
              <w:p>
                <w:pPr>
                  <w:jc w:val="right"/>
                  <w:rPr>
                    <w:rFonts w:ascii="宋体" w:hAnsi="宋体"/>
                  </w:rPr>
                </w:pPr>
                <w:r>
                  <w:rPr>
                    <w:rFonts w:hint="eastAsia" w:ascii="宋体" w:hAnsi="宋体"/>
                  </w:rPr>
                  <w:t>10,541</w:t>
                </w:r>
              </w:p>
            </w:tc>
            <w:tc>
              <w:tcPr>
                <w:tcW w:w="1250" w:type="pct"/>
                <w:vAlign w:val="center"/>
              </w:tcPr>
              <w:p>
                <w:pPr>
                  <w:ind w:right="73"/>
                  <w:rPr>
                    <w:rFonts w:ascii="宋体" w:hAnsi="宋体"/>
                  </w:rPr>
                </w:pPr>
                <w:r>
                  <w:rPr>
                    <w:rFonts w:hint="eastAsia" w:ascii="宋体" w:hAnsi="宋体"/>
                  </w:rPr>
                  <w:t>注2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443" w:type="pct"/>
            <w:shd w:val="clear" w:color="auto" w:fill="auto"/>
            <w:vAlign w:val="center"/>
          </w:tcPr>
          <w:p>
            <w:pPr>
              <w:ind w:right="105"/>
              <w:rPr>
                <w:rFonts w:ascii="宋体" w:hAnsi="宋体"/>
              </w:rPr>
            </w:pPr>
            <w:r>
              <w:rPr>
                <w:rFonts w:hint="eastAsia" w:ascii="宋体" w:hAnsi="宋体"/>
              </w:rPr>
              <w:t>其他</w:t>
            </w:r>
          </w:p>
        </w:tc>
        <w:tc>
          <w:tcPr>
            <w:tcW w:w="1056" w:type="pct"/>
          </w:tcPr>
          <w:p>
            <w:pPr>
              <w:jc w:val="right"/>
              <w:rPr>
                <w:rFonts w:ascii="宋体" w:hAnsi="宋体"/>
              </w:rPr>
            </w:pPr>
            <w:r>
              <w:rPr>
                <w:rFonts w:hint="eastAsia" w:ascii="宋体" w:hAnsi="宋体"/>
              </w:rPr>
              <w:t>103,827</w:t>
            </w:r>
          </w:p>
        </w:tc>
        <w:tc>
          <w:tcPr>
            <w:tcW w:w="1250" w:type="pct"/>
          </w:tcPr>
          <w:p>
            <w:pPr>
              <w:jc w:val="right"/>
              <w:rPr>
                <w:rFonts w:ascii="宋体" w:hAnsi="宋体"/>
              </w:rPr>
            </w:pPr>
            <w:r>
              <w:rPr>
                <w:rFonts w:hint="eastAsia" w:ascii="宋体" w:hAnsi="宋体"/>
              </w:rPr>
              <w:t>101,274</w:t>
            </w:r>
          </w:p>
        </w:tc>
        <w:tc>
          <w:tcPr>
            <w:tcW w:w="1250" w:type="pct"/>
            <w:vAlign w:val="center"/>
          </w:tcPr>
          <w:p>
            <w:pPr>
              <w:ind w:right="73"/>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宋体" w:hAnsi="宋体"/>
            </w:rPr>
            <w:tag w:val="_PLD_f8dc932639ca40cab9c8c85a9648896f"/>
            <w:id w:val="1097443364"/>
          </w:sdtPr>
          <w:sdtEndPr>
            <w:rPr>
              <w:rFonts w:ascii="宋体" w:hAnsi="宋体"/>
            </w:rPr>
          </w:sdtEndPr>
          <w:sdtContent>
            <w:tc>
              <w:tcPr>
                <w:tcW w:w="1443" w:type="pct"/>
                <w:vAlign w:val="center"/>
              </w:tcPr>
              <w:p>
                <w:pPr>
                  <w:ind w:right="105"/>
                  <w:jc w:val="center"/>
                  <w:rPr>
                    <w:rFonts w:ascii="宋体" w:hAnsi="宋体"/>
                  </w:rPr>
                </w:pPr>
                <w:r>
                  <w:rPr>
                    <w:rFonts w:hint="eastAsia" w:ascii="宋体" w:hAnsi="宋体"/>
                  </w:rPr>
                  <w:t>合计</w:t>
                </w:r>
              </w:p>
            </w:tc>
          </w:sdtContent>
        </w:sdt>
        <w:tc>
          <w:tcPr>
            <w:tcW w:w="1056" w:type="pct"/>
            <w:vAlign w:val="center"/>
          </w:tcPr>
          <w:p>
            <w:pPr>
              <w:jc w:val="right"/>
              <w:rPr>
                <w:rFonts w:ascii="宋体" w:hAnsi="宋体"/>
              </w:rPr>
            </w:pPr>
            <w:r>
              <w:rPr>
                <w:rFonts w:hint="eastAsia" w:ascii="宋体" w:hAnsi="宋体"/>
              </w:rPr>
              <w:t>13,420,201</w:t>
            </w:r>
          </w:p>
        </w:tc>
        <w:tc>
          <w:tcPr>
            <w:tcW w:w="1250" w:type="pct"/>
            <w:vAlign w:val="center"/>
          </w:tcPr>
          <w:p>
            <w:pPr>
              <w:jc w:val="right"/>
              <w:rPr>
                <w:rFonts w:ascii="宋体" w:hAnsi="宋体"/>
              </w:rPr>
            </w:pPr>
            <w:r>
              <w:rPr>
                <w:rFonts w:hint="eastAsia" w:ascii="宋体" w:hAnsi="宋体"/>
              </w:rPr>
              <w:t>13,690,558</w:t>
            </w:r>
          </w:p>
        </w:tc>
        <w:tc>
          <w:tcPr>
            <w:tcW w:w="1250" w:type="pct"/>
          </w:tcPr>
          <w:p>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r>
    </w:tbl>
    <w:p>
      <w:pPr>
        <w:pStyle w:val="501"/>
      </w:pPr>
    </w:p>
    <w:p>
      <w:pPr>
        <w:snapToGrid w:val="0"/>
        <w:spacing w:before="60" w:after="60"/>
      </w:pPr>
      <w:r>
        <w:rPr>
          <w:rFonts w:hint="eastAsia"/>
        </w:rPr>
        <w:t>其他说明，包括重要预计负债的相关重要假设、估计说明：</w:t>
      </w:r>
    </w:p>
    <w:sdt>
      <w:sdtPr>
        <w:alias w:val="预计负债的说明"/>
        <w:tag w:val="_GBC_6e5c9571d9134db08ab20372e7d011c7"/>
        <w:id w:val="-747803226"/>
      </w:sdtPr>
      <w:sdtEndPr>
        <w:rPr>
          <w:rFonts w:ascii="宋体" w:hAnsi="宋体"/>
        </w:rPr>
      </w:sdtEndPr>
      <w:sdtContent>
        <w:p>
          <w:pPr>
            <w:autoSpaceDE w:val="0"/>
            <w:autoSpaceDN w:val="0"/>
            <w:adjustRightInd w:val="0"/>
            <w:ind w:firstLine="420" w:firstLineChars="200"/>
            <w:rPr>
              <w:rFonts w:ascii="宋体" w:hAnsi="宋体"/>
            </w:rPr>
          </w:pPr>
          <w:r>
            <w:rPr>
              <w:rFonts w:ascii="宋体" w:hAnsi="宋体"/>
            </w:rPr>
            <w:t>注1：本公司之子公司联合煤炭工业有限公司与第三方签订的煤炭供应和运输协议，该合同价格低于市场价格，为亏损合同，其中一年内到期的预计负债金额为28,290千元。</w:t>
          </w:r>
        </w:p>
        <w:p>
          <w:pPr>
            <w:autoSpaceDE w:val="0"/>
            <w:autoSpaceDN w:val="0"/>
            <w:adjustRightInd w:val="0"/>
            <w:ind w:firstLine="420" w:firstLineChars="200"/>
            <w:rPr>
              <w:rFonts w:ascii="宋体" w:hAnsi="宋体"/>
            </w:rPr>
          </w:pPr>
          <w:r>
            <w:rPr>
              <w:rFonts w:ascii="宋体" w:hAnsi="宋体"/>
            </w:rPr>
            <w:t>注2：本公司之子公司格罗斯特煤炭有限公司与第三方签订的铁路及港口照付不议合同，因预计未来运量不会达到合同约定，故对按合同约定仍需支付的款项确认预计负债，其中一年内到期的预计负债金额为17,547千元。</w:t>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递延收益</w:t>
      </w:r>
    </w:p>
    <w:p>
      <w:pPr>
        <w:pStyle w:val="543"/>
        <w:ind w:firstLine="0" w:firstLineChars="0"/>
        <w:jc w:val="left"/>
        <w:rPr>
          <w:rFonts w:ascii="宋体" w:hAnsi="宋体" w:cs="宋体"/>
          <w:kern w:val="0"/>
          <w:szCs w:val="21"/>
        </w:rPr>
      </w:pPr>
      <w:r>
        <w:rPr>
          <w:rFonts w:hint="eastAsia" w:ascii="宋体" w:hAnsi="宋体" w:cs="宋体"/>
          <w:kern w:val="0"/>
          <w:szCs w:val="21"/>
        </w:rPr>
        <w:t>递延收益情况</w:t>
      </w:r>
    </w:p>
    <w:sdt>
      <w:sdtPr>
        <w:rPr>
          <w:rFonts w:hint="eastAsia" w:ascii="宋体" w:hAnsi="宋体" w:cs="宋体"/>
          <w:kern w:val="0"/>
          <w:szCs w:val="21"/>
        </w:rPr>
        <w:alias w:val="是否适用：递延收益情况 [双击切换]"/>
        <w:tag w:val="_GBC_1dc89c2a3092474186405d574af5f0a9"/>
        <w:id w:val="-512141483"/>
        <w:placeholder>
          <w:docPart w:val="GBC22222222222222222222222222222"/>
        </w:placeholder>
      </w:sdtPr>
      <w:sdtEndPr>
        <w:rPr>
          <w:rFonts w:hint="eastAsia" w:ascii="宋体" w:hAnsi="宋体" w:cs="宋体"/>
          <w:kern w:val="0"/>
          <w:szCs w:val="21"/>
        </w:rPr>
      </w:sdtEndPr>
      <w:sdtContent>
        <w:p>
          <w:pPr>
            <w:pStyle w:val="543"/>
            <w:ind w:firstLine="0" w:firstLineChars="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pPr>
        <w:pStyle w:val="543"/>
        <w:ind w:firstLine="0" w:firstLineChars="0"/>
        <w:jc w:val="left"/>
      </w:pPr>
    </w:p>
    <w:p>
      <w:pPr>
        <w:spacing w:before="60" w:after="60"/>
      </w:pPr>
      <w:r>
        <w:rPr>
          <w:rFonts w:hint="eastAsia"/>
        </w:rPr>
        <w:t>其他说明：</w:t>
      </w:r>
    </w:p>
    <w:sdt>
      <w:sdtPr>
        <w:alias w:val="是否适用：递延收益的其他说明[双击切换]"/>
        <w:tag w:val="_GBC_0c28db54a76349869056f2b92b5d9400"/>
        <w:id w:val="-1165158221"/>
        <w:placeholder>
          <w:docPart w:val="GBC22222222222222222222222222222"/>
        </w:placeholder>
      </w:sdtPr>
      <w:sdtContent>
        <w:p>
          <w:pPr>
            <w:spacing w:before="60" w:after="60"/>
          </w:pPr>
          <w:bookmarkStart w:id="318" w:name="OLE_LINK84"/>
          <w:bookmarkStart w:id="319" w:name="OLE_LINK85"/>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18"/>
    <w:bookmarkEnd w:id="319"/>
    <w:p>
      <w:pPr>
        <w:snapToGrid w:val="0"/>
        <w:spacing w:line="240" w:lineRule="atLeast"/>
      </w:pPr>
    </w:p>
    <w:p>
      <w:pPr>
        <w:pStyle w:val="504"/>
        <w:numPr>
          <w:ilvl w:val="0"/>
          <w:numId w:val="69"/>
        </w:numPr>
        <w:tabs>
          <w:tab w:val="left" w:pos="504"/>
        </w:tabs>
        <w:rPr>
          <w:rFonts w:ascii="宋体" w:hAnsi="宋体"/>
          <w:szCs w:val="21"/>
        </w:rPr>
      </w:pPr>
      <w:r>
        <w:rPr>
          <w:rFonts w:hint="eastAsia" w:ascii="宋体" w:hAnsi="宋体"/>
          <w:szCs w:val="21"/>
        </w:rPr>
        <w:t>其他非流动负债</w:t>
      </w:r>
    </w:p>
    <w:sdt>
      <w:sdtPr>
        <w:alias w:val="是否适用：其他非流动负债[双击切换]"/>
        <w:tag w:val="_GBC_05e5676f32624ce18727385761bd1a9a"/>
        <w:id w:val="-741012453"/>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sdt>
      <w:sdtPr>
        <w:rPr>
          <w:rFonts w:hint="eastAsia" w:ascii="宋体" w:hAnsi="宋体"/>
          <w:b w:val="0"/>
          <w:bCs w:val="0"/>
          <w:szCs w:val="21"/>
        </w:rPr>
        <w:alias w:val="模块:股本"/>
        <w:tag w:val="_SEC_8a6ae55fcdf4458585bca7ece234d93f"/>
        <w:id w:val="1182091371"/>
      </w:sdtPr>
      <w:sdtEndPr>
        <w:rPr>
          <w:rFonts w:hint="default" w:ascii="Calibri" w:hAnsi="Calibri"/>
          <w:b w:val="0"/>
          <w:bCs w:val="0"/>
          <w:szCs w:val="21"/>
        </w:rPr>
      </w:sdtEndPr>
      <w:sdtContent>
        <w:p>
          <w:pPr>
            <w:pStyle w:val="504"/>
            <w:numPr>
              <w:ilvl w:val="0"/>
              <w:numId w:val="69"/>
            </w:numPr>
            <w:tabs>
              <w:tab w:val="left" w:pos="504"/>
            </w:tabs>
            <w:rPr>
              <w:rFonts w:ascii="宋体" w:hAnsi="宋体"/>
              <w:szCs w:val="21"/>
            </w:rPr>
          </w:pPr>
          <w:r>
            <w:rPr>
              <w:rFonts w:hint="eastAsia" w:ascii="宋体" w:hAnsi="宋体"/>
              <w:szCs w:val="21"/>
            </w:rPr>
            <w:t>股本</w:t>
          </w:r>
        </w:p>
        <w:sdt>
          <w:sdtPr>
            <w:alias w:val="是否适用：股本[双击切换]"/>
            <w:tag w:val="_GBC_a2069fb3657946ee9810a9154eb11422"/>
            <w:id w:val="-1248256661"/>
          </w:sdtPr>
          <w:sdtContent>
            <w:p>
              <w:pPr>
                <w:pStyle w:val="501"/>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股本"/>
              <w:tag w:val="_GBC_e2cacf7f2d9f4ad78dce53a3e345569e"/>
              <w:id w:val="-787117487"/>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股本"/>
              <w:tag w:val="_GBC_a1c9c99744d0466d8ff5672b2b69076a"/>
              <w:id w:val="-173738913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206"/>
            <w:gridCol w:w="835"/>
            <w:gridCol w:w="1229"/>
            <w:gridCol w:w="836"/>
            <w:gridCol w:w="892"/>
            <w:gridCol w:w="1234"/>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881" w:type="pct"/>
                <w:vMerge w:val="restart"/>
                <w:tcBorders>
                  <w:top w:val="single" w:color="auto" w:sz="4" w:space="0"/>
                  <w:left w:val="single" w:color="auto" w:sz="4" w:space="0"/>
                  <w:bottom w:val="single" w:color="auto" w:sz="4" w:space="0"/>
                  <w:right w:val="single" w:color="auto" w:sz="4" w:space="0"/>
                </w:tcBorders>
              </w:tcPr>
              <w:p>
                <w:pPr>
                  <w:jc w:val="center"/>
                </w:pPr>
              </w:p>
            </w:tc>
            <w:sdt>
              <w:sdtPr>
                <w:tag w:val="_PLD_fd63a619db16496bad52eeb145839158"/>
                <w:id w:val="-1808923610"/>
              </w:sdtPr>
              <w:sdtContent>
                <w:tc>
                  <w:tcPr>
                    <w:tcW w:w="642" w:type="pct"/>
                    <w:vMerge w:val="restart"/>
                    <w:tcBorders>
                      <w:top w:val="single" w:color="auto" w:sz="4" w:space="0"/>
                      <w:left w:val="single" w:color="auto" w:sz="4" w:space="0"/>
                      <w:right w:val="single" w:color="auto" w:sz="4" w:space="0"/>
                    </w:tcBorders>
                    <w:vAlign w:val="center"/>
                  </w:tcPr>
                  <w:p>
                    <w:pPr>
                      <w:jc w:val="center"/>
                    </w:pPr>
                    <w:r>
                      <w:rPr>
                        <w:rFonts w:hint="eastAsia"/>
                      </w:rPr>
                      <w:t>期初余额</w:t>
                    </w:r>
                  </w:p>
                </w:tc>
              </w:sdtContent>
            </w:sdt>
            <w:sdt>
              <w:sdtPr>
                <w:tag w:val="_PLD_2cb33d9d8b0d47539581498c039e86aa"/>
                <w:id w:val="1767423292"/>
              </w:sdtPr>
              <w:sdtContent>
                <w:tc>
                  <w:tcPr>
                    <w:tcW w:w="2794" w:type="pct"/>
                    <w:gridSpan w:val="5"/>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本次变动增减（+、一）</w:t>
                    </w:r>
                  </w:p>
                </w:tc>
              </w:sdtContent>
            </w:sdt>
            <w:sdt>
              <w:sdtPr>
                <w:tag w:val="_PLD_e579078cb28f47a09273701ab9e2e37a"/>
                <w:id w:val="405277105"/>
              </w:sdtPr>
              <w:sdtContent>
                <w:tc>
                  <w:tcPr>
                    <w:tcW w:w="683" w:type="pct"/>
                    <w:vMerge w:val="restart"/>
                    <w:tcBorders>
                      <w:top w:val="single" w:color="auto" w:sz="4" w:space="0"/>
                      <w:left w:val="single" w:color="auto" w:sz="4" w:space="0"/>
                      <w:right w:val="single" w:color="auto" w:sz="4" w:space="0"/>
                    </w:tcBorders>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881" w:type="pct"/>
                <w:vMerge w:val="continue"/>
                <w:tcBorders>
                  <w:top w:val="single" w:color="auto" w:sz="4" w:space="0"/>
                  <w:left w:val="single" w:color="auto" w:sz="4" w:space="0"/>
                  <w:bottom w:val="single" w:color="auto" w:sz="4" w:space="0"/>
                  <w:right w:val="single" w:color="auto" w:sz="4" w:space="0"/>
                </w:tcBorders>
              </w:tcPr>
              <w:p>
                <w:pPr>
                  <w:pStyle w:val="501"/>
                </w:pPr>
              </w:p>
            </w:tc>
            <w:tc>
              <w:tcPr>
                <w:tcW w:w="642" w:type="pct"/>
                <w:vMerge w:val="continue"/>
                <w:tcBorders>
                  <w:left w:val="single" w:color="auto" w:sz="4" w:space="0"/>
                  <w:bottom w:val="single" w:color="auto" w:sz="4" w:space="0"/>
                  <w:right w:val="single" w:color="auto" w:sz="4" w:space="0"/>
                </w:tcBorders>
              </w:tcPr>
              <w:p>
                <w:pPr>
                  <w:ind w:left="-250" w:leftChars="-119" w:firstLine="249" w:firstLineChars="119"/>
                </w:pPr>
              </w:p>
            </w:tc>
            <w:sdt>
              <w:sdtPr>
                <w:tag w:val="_PLD_2f067dcfa40a4e2d896a383f16e2e483"/>
                <w:id w:val="229055475"/>
              </w:sdtPr>
              <w:sdtContent>
                <w:tc>
                  <w:tcPr>
                    <w:tcW w:w="465"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发行</w:t>
                    </w:r>
                  </w:p>
                  <w:p>
                    <w:pPr>
                      <w:jc w:val="center"/>
                    </w:pPr>
                    <w:r>
                      <w:rPr>
                        <w:rFonts w:hint="eastAsia"/>
                      </w:rPr>
                      <w:t>新股</w:t>
                    </w:r>
                  </w:p>
                </w:tc>
              </w:sdtContent>
            </w:sdt>
            <w:sdt>
              <w:sdtPr>
                <w:tag w:val="_PLD_afc58df66e0343a29873ec3c2270451e"/>
                <w:id w:val="-1759207736"/>
              </w:sdtPr>
              <w:sdtContent>
                <w:tc>
                  <w:tcPr>
                    <w:tcW w:w="683"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送股</w:t>
                    </w:r>
                  </w:p>
                </w:tc>
              </w:sdtContent>
            </w:sdt>
            <w:sdt>
              <w:sdtPr>
                <w:tag w:val="_PLD_31d618a387e243239ea8ee139a3a39da"/>
                <w:id w:val="-1249800917"/>
              </w:sdtPr>
              <w:sdtContent>
                <w:tc>
                  <w:tcPr>
                    <w:tcW w:w="465"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公积金</w:t>
                    </w:r>
                  </w:p>
                  <w:p>
                    <w:pPr>
                      <w:jc w:val="center"/>
                    </w:pPr>
                    <w:r>
                      <w:rPr>
                        <w:rFonts w:hint="eastAsia"/>
                      </w:rPr>
                      <w:t>转股</w:t>
                    </w:r>
                  </w:p>
                </w:tc>
              </w:sdtContent>
            </w:sdt>
            <w:sdt>
              <w:sdtPr>
                <w:tag w:val="_PLD_12526084dedd4dc68d673c8a71c73862"/>
                <w:id w:val="159128763"/>
              </w:sdtPr>
              <w:sdtContent>
                <w:tc>
                  <w:tcPr>
                    <w:tcW w:w="49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其他</w:t>
                    </w:r>
                  </w:p>
                </w:tc>
              </w:sdtContent>
            </w:sdt>
            <w:sdt>
              <w:sdtPr>
                <w:tag w:val="_PLD_fe70bd23af2d4fd680087e555e574f82"/>
                <w:id w:val="2001918916"/>
              </w:sdtPr>
              <w:sdtContent>
                <w:tc>
                  <w:tcPr>
                    <w:tcW w:w="684"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小计</w:t>
                    </w:r>
                  </w:p>
                </w:tc>
              </w:sdtContent>
            </w:sdt>
            <w:tc>
              <w:tcPr>
                <w:tcW w:w="683" w:type="pct"/>
                <w:vMerge w:val="continue"/>
                <w:tcBorders>
                  <w:left w:val="single" w:color="auto" w:sz="4" w:space="0"/>
                  <w:bottom w:val="single" w:color="auto" w:sz="4" w:space="0"/>
                  <w:right w:val="single" w:color="auto" w:sz="4" w:space="0"/>
                </w:tcBorders>
              </w:tcPr>
              <w:p>
                <w:pPr>
                  <w:pStyle w:val="50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1" w:type="pct"/>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22"/>
                  </w:rPr>
                </w:pPr>
                <w:r>
                  <w:rPr>
                    <w:rFonts w:hint="eastAsia" w:ascii="宋体" w:hAnsi="宋体"/>
                    <w:sz w:val="22"/>
                    <w:szCs w:val="22"/>
                  </w:rPr>
                  <w:t>有限售条件股份</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61,740</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30,870</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9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-2,670</w:t>
                </w:r>
              </w:p>
            </w:tc>
            <w:tc>
              <w:tcPr>
                <w:tcW w:w="68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28,200</w:t>
                </w: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89,940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1" w:type="pct"/>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22"/>
                  </w:rPr>
                </w:pPr>
                <w:r>
                  <w:rPr>
                    <w:rFonts w:hint="eastAsia" w:ascii="宋体" w:hAnsi="宋体"/>
                    <w:sz w:val="22"/>
                    <w:szCs w:val="22"/>
                  </w:rPr>
                  <w:t>境内自然人</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9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1" w:type="pct"/>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22"/>
                  </w:rPr>
                </w:pPr>
                <w:r>
                  <w:rPr>
                    <w:rFonts w:hint="eastAsia" w:ascii="宋体" w:hAnsi="宋体"/>
                    <w:sz w:val="22"/>
                    <w:szCs w:val="22"/>
                  </w:rPr>
                  <w:t>有限售条件股份合计</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61,740</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30,870</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9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-2,670</w:t>
                </w:r>
              </w:p>
            </w:tc>
            <w:tc>
              <w:tcPr>
                <w:tcW w:w="68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28,200</w:t>
                </w: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89,940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1" w:type="pct"/>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22"/>
                  </w:rPr>
                </w:pPr>
                <w:r>
                  <w:rPr>
                    <w:rFonts w:hint="eastAsia" w:ascii="宋体" w:hAnsi="宋体"/>
                    <w:sz w:val="22"/>
                    <w:szCs w:val="22"/>
                  </w:rPr>
                  <w:t>无限售条件股份</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9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1" w:type="pct"/>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22"/>
                  </w:rPr>
                </w:pPr>
                <w:r>
                  <w:rPr>
                    <w:rFonts w:hint="eastAsia" w:ascii="宋体" w:hAnsi="宋体"/>
                    <w:sz w:val="22"/>
                    <w:szCs w:val="22"/>
                  </w:rPr>
                  <w:t>人民币普通股</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2,986,964</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1,499,810</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9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12,657</w:t>
                </w:r>
              </w:p>
            </w:tc>
            <w:tc>
              <w:tcPr>
                <w:tcW w:w="68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1,512,467</w:t>
                </w: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4,499,431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1" w:type="pct"/>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22"/>
                  </w:rPr>
                </w:pPr>
                <w:r>
                  <w:rPr>
                    <w:rFonts w:hint="eastAsia" w:ascii="宋体" w:hAnsi="宋体"/>
                    <w:sz w:val="22"/>
                    <w:szCs w:val="22"/>
                  </w:rPr>
                  <w:t>境外上市外资股</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1,900,000</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950,000</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9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950,000</w:t>
                </w: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2,850,000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1" w:type="pct"/>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22"/>
                  </w:rPr>
                </w:pPr>
                <w:r>
                  <w:rPr>
                    <w:rFonts w:hint="eastAsia" w:ascii="宋体" w:hAnsi="宋体"/>
                    <w:sz w:val="22"/>
                    <w:szCs w:val="22"/>
                  </w:rPr>
                  <w:t>无限售条件股份合计</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4,886,964</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2,449,810</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9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12,657</w:t>
                </w:r>
              </w:p>
            </w:tc>
            <w:tc>
              <w:tcPr>
                <w:tcW w:w="68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2,462,467</w:t>
                </w: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7,349,431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1" w:type="pct"/>
                <w:tcBorders>
                  <w:top w:val="single" w:color="auto" w:sz="4" w:space="0"/>
                  <w:left w:val="single" w:color="auto" w:sz="4" w:space="0"/>
                  <w:bottom w:val="single" w:color="auto" w:sz="4" w:space="0"/>
                  <w:right w:val="single" w:color="auto" w:sz="4" w:space="0"/>
                </w:tcBorders>
                <w:vAlign w:val="center"/>
              </w:tcPr>
              <w:p>
                <w:pPr>
                  <w:rPr>
                    <w:rFonts w:ascii="宋体" w:hAnsi="宋体"/>
                    <w:sz w:val="22"/>
                    <w:szCs w:val="22"/>
                  </w:rPr>
                </w:pPr>
                <w:r>
                  <w:rPr>
                    <w:rFonts w:hint="eastAsia" w:ascii="宋体" w:hAnsi="宋体"/>
                    <w:sz w:val="22"/>
                    <w:szCs w:val="22"/>
                  </w:rPr>
                  <w:t>股份总数</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4,948,704</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2,480,680</w:t>
                </w:r>
              </w:p>
            </w:tc>
            <w:tc>
              <w:tcPr>
                <w:tcW w:w="4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p>
            </w:tc>
            <w:tc>
              <w:tcPr>
                <w:tcW w:w="49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9,987</w:t>
                </w:r>
              </w:p>
            </w:tc>
            <w:tc>
              <w:tcPr>
                <w:tcW w:w="68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2,490,667</w:t>
                </w:r>
              </w:p>
            </w:tc>
            <w:tc>
              <w:tcPr>
                <w:tcW w:w="68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ascii="宋体" w:hAnsi="宋体"/>
                    <w:sz w:val="22"/>
                    <w:szCs w:val="22"/>
                  </w:rPr>
                  <w:t>7,439,371</w:t>
                </w:r>
              </w:p>
            </w:tc>
          </w:tr>
        </w:tbl>
        <w:p>
          <w:pPr>
            <w:spacing w:before="60" w:after="60"/>
          </w:pPr>
          <w:r>
            <w:rPr>
              <w:rFonts w:hint="eastAsia"/>
            </w:rPr>
            <w:t>其他说明：</w:t>
          </w:r>
        </w:p>
        <w:sdt>
          <w:sdtPr>
            <w:alias w:val="股本变动情况说明"/>
            <w:tag w:val="_GBC_6600e13aac194caa9cb58963beb3073e"/>
            <w:id w:val="1205607303"/>
          </w:sdtPr>
          <w:sdtEndPr>
            <w:rPr>
              <w:sz w:val="22"/>
              <w:szCs w:val="22"/>
            </w:rPr>
          </w:sdtEndPr>
          <w:sdtContent>
            <w:p>
              <w:pPr>
                <w:ind w:firstLine="420" w:firstLineChars="200"/>
                <w:rPr>
                  <w:rFonts w:ascii="宋体" w:hAnsi="宋体"/>
                </w:rPr>
              </w:pPr>
              <w:r>
                <w:rPr>
                  <w:rFonts w:hint="eastAsia" w:ascii="宋体" w:hAnsi="宋体"/>
                </w:rPr>
                <w:t>注:1、经2023年4月24日召开的公司第八届董事会第二十八次会议审议批准，确认公司2018年A股股票期权激励计划第三个行权期行权条件已成就，截至2023年12月31日，第三个行权期可行权股票期权已全部行权完毕，共行权12,656,840份。</w:t>
              </w:r>
            </w:p>
            <w:p>
              <w:pPr>
                <w:ind w:firstLine="420" w:firstLineChars="200"/>
                <w:rPr>
                  <w:rFonts w:ascii="宋体" w:hAnsi="宋体"/>
                </w:rPr>
              </w:pPr>
              <w:r>
                <w:rPr>
                  <w:rFonts w:hint="eastAsia" w:ascii="宋体" w:hAnsi="宋体"/>
                </w:rPr>
                <w:t>2、经公司2023年6月30日的2022年年度股东周年大会、2023年度第一次A股类别股东大会及2023年度第一次H股类别股东大会审议通过，公司已2023年7月14日为股权登记日每股派送红股0.5股，共派送红股2,480,680,240股。</w:t>
              </w:r>
            </w:p>
            <w:p>
              <w:pPr>
                <w:ind w:firstLine="420" w:firstLineChars="200"/>
                <w:rPr>
                  <w:rFonts w:ascii="宋体" w:hAnsi="宋体"/>
                </w:rPr>
              </w:pPr>
              <w:r>
                <w:rPr>
                  <w:rFonts w:hint="eastAsia" w:ascii="宋体" w:hAnsi="宋体"/>
                </w:rPr>
                <w:t>3、经2023年8月25日召开的公司第九届董事会第二次会议审议批准，确认公司股限制性股票激励计划26名激励对象因调动、退休等原因，已不符合激励条件，对其已获授但尚未解除限售的限制性股票267万股进行回购注销，至2023年12月31日已回购注销2,670,000份。</w:t>
              </w:r>
            </w:p>
            <w:p>
              <w:pPr>
                <w:ind w:firstLine="420" w:firstLineChars="200"/>
                <w:rPr>
                  <w:sz w:val="22"/>
                  <w:szCs w:val="22"/>
                </w:rPr>
              </w:pPr>
              <w:r>
                <w:rPr>
                  <w:rFonts w:hint="eastAsia" w:ascii="宋体" w:hAnsi="宋体"/>
                </w:rPr>
                <w:t>本公司总股本由4,948,703,640股增加至7,439,370,720股</w:t>
              </w:r>
            </w:p>
          </w:sdtContent>
        </w:sdt>
      </w:sdtContent>
    </w:sdt>
    <w:p>
      <w:pPr>
        <w:pStyle w:val="504"/>
        <w:numPr>
          <w:ilvl w:val="0"/>
          <w:numId w:val="69"/>
        </w:numPr>
        <w:tabs>
          <w:tab w:val="left" w:pos="504"/>
        </w:tabs>
        <w:rPr>
          <w:rFonts w:ascii="宋体" w:hAnsi="宋体"/>
          <w:szCs w:val="21"/>
        </w:rPr>
      </w:pPr>
      <w:r>
        <w:rPr>
          <w:rFonts w:hint="eastAsia" w:ascii="宋体" w:hAnsi="宋体" w:cs="宋体"/>
          <w:bCs w:val="0"/>
          <w:kern w:val="0"/>
          <w:szCs w:val="21"/>
        </w:rPr>
        <w:t>其</w:t>
      </w:r>
      <w:r>
        <w:rPr>
          <w:rFonts w:hint="eastAsia" w:ascii="宋体" w:hAnsi="宋体"/>
          <w:szCs w:val="21"/>
        </w:rPr>
        <w:t>他权益工具</w:t>
      </w:r>
    </w:p>
    <w:p>
      <w:pPr>
        <w:pStyle w:val="505"/>
        <w:numPr>
          <w:ilvl w:val="0"/>
          <w:numId w:val="104"/>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205966152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5"/>
        <w:numPr>
          <w:ilvl w:val="0"/>
          <w:numId w:val="104"/>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364975722"/>
        <w:placeholder>
          <w:docPart w:val="GBC22222222222222222222222222222"/>
        </w:placeholder>
      </w:sdtPr>
      <w:sdtContent>
        <w:p>
          <w:pPr>
            <w:pStyle w:val="531"/>
          </w:pPr>
          <w:bookmarkStart w:id="320" w:name="_Hlk89785156"/>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期末发行在外的优先股、永续债等金融工具变动情况表"/>
          <w:tag w:val="_GBC_d2372fc5ff6d449398ab6e1c411fa976"/>
          <w:id w:val="-2933733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期末发行在外的优先股、永续债等金融工具变动情况表"/>
          <w:tag w:val="_GBC_66ee05b2a4d0475f9a4ec5517301dec9"/>
          <w:id w:val="-12193668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pPr w:leftFromText="180" w:rightFromText="180" w:vertAnchor="text" w:horzAnchor="margin" w:tblpY="7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36"/>
        <w:gridCol w:w="821"/>
        <w:gridCol w:w="1088"/>
        <w:gridCol w:w="816"/>
        <w:gridCol w:w="1088"/>
        <w:gridCol w:w="818"/>
        <w:gridCol w:w="1088"/>
        <w:gridCol w:w="821"/>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sdt>
          <w:sdtPr>
            <w:rPr>
              <w:rFonts w:ascii="宋体" w:hAnsi="宋体"/>
            </w:rPr>
            <w:tag w:val="_PLD_df628908b5094c73bf63d2bbbc0f369b"/>
            <w:id w:val="1312373553"/>
          </w:sdtPr>
          <w:sdtEndPr>
            <w:rPr>
              <w:rFonts w:ascii="宋体" w:hAnsi="宋体"/>
            </w:rPr>
          </w:sdtEndPr>
          <w:sdtContent>
            <w:tc>
              <w:tcPr>
                <w:tcW w:w="793" w:type="pct"/>
                <w:vMerge w:val="restart"/>
                <w:shd w:val="clear" w:color="auto" w:fill="auto"/>
                <w:vAlign w:val="center"/>
              </w:tcPr>
              <w:p>
                <w:pPr>
                  <w:jc w:val="center"/>
                  <w:rPr>
                    <w:rFonts w:ascii="宋体" w:hAnsi="宋体"/>
                  </w:rPr>
                </w:pPr>
                <w:r>
                  <w:rPr>
                    <w:rFonts w:hint="eastAsia" w:ascii="宋体" w:hAnsi="宋体"/>
                  </w:rPr>
                  <w:t>发行在外的金融工具</w:t>
                </w:r>
              </w:p>
            </w:tc>
          </w:sdtContent>
        </w:sdt>
        <w:sdt>
          <w:sdtPr>
            <w:rPr>
              <w:rFonts w:ascii="宋体" w:hAnsi="宋体"/>
            </w:rPr>
            <w:tag w:val="_PLD_fce65120208840efbe468c59d259be05"/>
            <w:id w:val="146489777"/>
          </w:sdtPr>
          <w:sdtEndPr>
            <w:rPr>
              <w:rFonts w:ascii="宋体" w:hAnsi="宋体"/>
            </w:rPr>
          </w:sdtEndPr>
          <w:sdtContent>
            <w:tc>
              <w:tcPr>
                <w:tcW w:w="1052" w:type="pct"/>
                <w:gridSpan w:val="2"/>
                <w:shd w:val="clear" w:color="auto" w:fill="auto"/>
                <w:vAlign w:val="center"/>
              </w:tcPr>
              <w:p>
                <w:pPr>
                  <w:jc w:val="center"/>
                  <w:rPr>
                    <w:rFonts w:ascii="宋体" w:hAnsi="宋体"/>
                  </w:rPr>
                </w:pPr>
                <w:r>
                  <w:rPr>
                    <w:rFonts w:hint="eastAsia" w:ascii="宋体" w:hAnsi="宋体"/>
                  </w:rPr>
                  <w:t>期初</w:t>
                </w:r>
              </w:p>
            </w:tc>
          </w:sdtContent>
        </w:sdt>
        <w:sdt>
          <w:sdtPr>
            <w:rPr>
              <w:rFonts w:ascii="宋体" w:hAnsi="宋体"/>
            </w:rPr>
            <w:tag w:val="_PLD_18ce06e25fcb40258e1160c9b2b3e3ff"/>
            <w:id w:val="2032595367"/>
          </w:sdtPr>
          <w:sdtEndPr>
            <w:rPr>
              <w:rFonts w:ascii="宋体" w:hAnsi="宋体"/>
            </w:rPr>
          </w:sdtEndPr>
          <w:sdtContent>
            <w:tc>
              <w:tcPr>
                <w:tcW w:w="1052" w:type="pct"/>
                <w:gridSpan w:val="2"/>
                <w:shd w:val="clear" w:color="auto" w:fill="auto"/>
                <w:vAlign w:val="center"/>
              </w:tcPr>
              <w:p>
                <w:pPr>
                  <w:jc w:val="center"/>
                  <w:rPr>
                    <w:rFonts w:ascii="宋体" w:hAnsi="宋体"/>
                  </w:rPr>
                </w:pPr>
                <w:r>
                  <w:rPr>
                    <w:rFonts w:hint="eastAsia" w:ascii="宋体" w:hAnsi="宋体"/>
                  </w:rPr>
                  <w:t>本期增加</w:t>
                </w:r>
              </w:p>
            </w:tc>
          </w:sdtContent>
        </w:sdt>
        <w:sdt>
          <w:sdtPr>
            <w:rPr>
              <w:rFonts w:ascii="宋体" w:hAnsi="宋体"/>
            </w:rPr>
            <w:tag w:val="_PLD_845d97dab9324a1b938b3698bf77ae08"/>
            <w:id w:val="299033585"/>
          </w:sdtPr>
          <w:sdtEndPr>
            <w:rPr>
              <w:rFonts w:ascii="宋体" w:hAnsi="宋体"/>
            </w:rPr>
          </w:sdtEndPr>
          <w:sdtContent>
            <w:tc>
              <w:tcPr>
                <w:tcW w:w="1053" w:type="pct"/>
                <w:gridSpan w:val="2"/>
                <w:shd w:val="clear" w:color="auto" w:fill="auto"/>
                <w:vAlign w:val="center"/>
              </w:tcPr>
              <w:p>
                <w:pPr>
                  <w:jc w:val="center"/>
                  <w:rPr>
                    <w:rFonts w:ascii="宋体" w:hAnsi="宋体"/>
                  </w:rPr>
                </w:pPr>
                <w:r>
                  <w:rPr>
                    <w:rFonts w:hint="eastAsia" w:ascii="宋体" w:hAnsi="宋体"/>
                  </w:rPr>
                  <w:t>本期减少</w:t>
                </w:r>
              </w:p>
            </w:tc>
          </w:sdtContent>
        </w:sdt>
        <w:sdt>
          <w:sdtPr>
            <w:rPr>
              <w:rFonts w:ascii="宋体" w:hAnsi="宋体"/>
            </w:rPr>
            <w:tag w:val="_PLD_c9583d25c4ef43689e2163e07818032b"/>
            <w:id w:val="-181601889"/>
          </w:sdtPr>
          <w:sdtEndPr>
            <w:rPr>
              <w:rFonts w:ascii="宋体" w:hAnsi="宋体"/>
            </w:rPr>
          </w:sdtEndPr>
          <w:sdtContent>
            <w:tc>
              <w:tcPr>
                <w:tcW w:w="1050" w:type="pct"/>
                <w:gridSpan w:val="2"/>
                <w:shd w:val="clear" w:color="auto" w:fill="auto"/>
                <w:vAlign w:val="center"/>
              </w:tcPr>
              <w:p>
                <w:pPr>
                  <w:jc w:val="center"/>
                  <w:rPr>
                    <w:rFonts w:ascii="宋体" w:hAnsi="宋体"/>
                  </w:rPr>
                </w:pPr>
                <w:r>
                  <w:rPr>
                    <w:rFonts w:hint="eastAsia" w:ascii="宋体" w:hAnsi="宋体"/>
                  </w:rPr>
                  <w:t>期末</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vMerge w:val="continue"/>
            <w:shd w:val="clear" w:color="auto" w:fill="auto"/>
            <w:vAlign w:val="center"/>
          </w:tcPr>
          <w:p>
            <w:pPr>
              <w:jc w:val="center"/>
              <w:rPr>
                <w:rFonts w:ascii="宋体" w:hAnsi="宋体"/>
              </w:rPr>
            </w:pPr>
          </w:p>
        </w:tc>
        <w:sdt>
          <w:sdtPr>
            <w:rPr>
              <w:rFonts w:ascii="宋体" w:hAnsi="宋体"/>
            </w:rPr>
            <w:tag w:val="_PLD_45e61464bc5d4bc892736d90fbe1c1f7"/>
            <w:id w:val="-1455948334"/>
          </w:sdtPr>
          <w:sdtEndPr>
            <w:rPr>
              <w:rFonts w:ascii="宋体" w:hAnsi="宋体"/>
            </w:rPr>
          </w:sdtEndPr>
          <w:sdtContent>
            <w:tc>
              <w:tcPr>
                <w:tcW w:w="451" w:type="pct"/>
                <w:shd w:val="clear" w:color="auto" w:fill="auto"/>
                <w:vAlign w:val="center"/>
              </w:tcPr>
              <w:p>
                <w:pPr>
                  <w:jc w:val="center"/>
                  <w:rPr>
                    <w:rFonts w:ascii="宋体" w:hAnsi="宋体"/>
                  </w:rPr>
                </w:pPr>
                <w:r>
                  <w:rPr>
                    <w:rFonts w:hint="eastAsia" w:ascii="宋体" w:hAnsi="宋体"/>
                  </w:rPr>
                  <w:t>数量</w:t>
                </w:r>
              </w:p>
            </w:tc>
          </w:sdtContent>
        </w:sdt>
        <w:sdt>
          <w:sdtPr>
            <w:rPr>
              <w:rFonts w:ascii="宋体" w:hAnsi="宋体"/>
            </w:rPr>
            <w:tag w:val="_PLD_c4afaacc073244569b1b7834fc03b329"/>
            <w:id w:val="-897747047"/>
          </w:sdtPr>
          <w:sdtEndPr>
            <w:rPr>
              <w:rFonts w:ascii="宋体" w:hAnsi="宋体"/>
            </w:rPr>
          </w:sdtEndPr>
          <w:sdtContent>
            <w:tc>
              <w:tcPr>
                <w:tcW w:w="601" w:type="pct"/>
                <w:shd w:val="clear" w:color="auto" w:fill="auto"/>
                <w:vAlign w:val="center"/>
              </w:tcPr>
              <w:p>
                <w:pPr>
                  <w:jc w:val="center"/>
                  <w:rPr>
                    <w:rFonts w:ascii="宋体" w:hAnsi="宋体"/>
                  </w:rPr>
                </w:pPr>
                <w:r>
                  <w:rPr>
                    <w:rFonts w:hint="eastAsia" w:ascii="宋体" w:hAnsi="宋体"/>
                  </w:rPr>
                  <w:t>账面价值</w:t>
                </w:r>
              </w:p>
            </w:tc>
          </w:sdtContent>
        </w:sdt>
        <w:sdt>
          <w:sdtPr>
            <w:rPr>
              <w:rFonts w:ascii="宋体" w:hAnsi="宋体"/>
            </w:rPr>
            <w:tag w:val="_PLD_8e1cccc1cb5f4a25bc68efd1b62378b8"/>
            <w:id w:val="-1993014749"/>
          </w:sdtPr>
          <w:sdtEndPr>
            <w:rPr>
              <w:rFonts w:ascii="宋体" w:hAnsi="宋体"/>
            </w:rPr>
          </w:sdtEndPr>
          <w:sdtContent>
            <w:tc>
              <w:tcPr>
                <w:tcW w:w="451" w:type="pct"/>
                <w:shd w:val="clear" w:color="auto" w:fill="auto"/>
                <w:vAlign w:val="center"/>
              </w:tcPr>
              <w:p>
                <w:pPr>
                  <w:jc w:val="center"/>
                  <w:rPr>
                    <w:rFonts w:ascii="宋体" w:hAnsi="宋体"/>
                  </w:rPr>
                </w:pPr>
                <w:r>
                  <w:rPr>
                    <w:rFonts w:hint="eastAsia" w:ascii="宋体" w:hAnsi="宋体"/>
                  </w:rPr>
                  <w:t>数量</w:t>
                </w:r>
              </w:p>
            </w:tc>
          </w:sdtContent>
        </w:sdt>
        <w:sdt>
          <w:sdtPr>
            <w:rPr>
              <w:rFonts w:ascii="宋体" w:hAnsi="宋体"/>
            </w:rPr>
            <w:tag w:val="_PLD_ec5a25aac9f64725962e7a8df3cdbe3c"/>
            <w:id w:val="985439302"/>
          </w:sdtPr>
          <w:sdtEndPr>
            <w:rPr>
              <w:rFonts w:ascii="宋体" w:hAnsi="宋体"/>
            </w:rPr>
          </w:sdtEndPr>
          <w:sdtContent>
            <w:tc>
              <w:tcPr>
                <w:tcW w:w="601" w:type="pct"/>
                <w:shd w:val="clear" w:color="auto" w:fill="auto"/>
                <w:vAlign w:val="center"/>
              </w:tcPr>
              <w:p>
                <w:pPr>
                  <w:jc w:val="center"/>
                  <w:rPr>
                    <w:rFonts w:ascii="宋体" w:hAnsi="宋体"/>
                  </w:rPr>
                </w:pPr>
                <w:r>
                  <w:rPr>
                    <w:rFonts w:hint="eastAsia" w:ascii="宋体" w:hAnsi="宋体"/>
                  </w:rPr>
                  <w:t>账面价值</w:t>
                </w:r>
              </w:p>
            </w:tc>
          </w:sdtContent>
        </w:sdt>
        <w:sdt>
          <w:sdtPr>
            <w:rPr>
              <w:rFonts w:ascii="宋体" w:hAnsi="宋体"/>
            </w:rPr>
            <w:tag w:val="_PLD_c73f641ea2f645108a8b82692fa23869"/>
            <w:id w:val="-1939285212"/>
          </w:sdtPr>
          <w:sdtEndPr>
            <w:rPr>
              <w:rFonts w:ascii="宋体" w:hAnsi="宋体"/>
            </w:rPr>
          </w:sdtEndPr>
          <w:sdtContent>
            <w:tc>
              <w:tcPr>
                <w:tcW w:w="452" w:type="pct"/>
                <w:shd w:val="clear" w:color="auto" w:fill="auto"/>
                <w:vAlign w:val="center"/>
              </w:tcPr>
              <w:p>
                <w:pPr>
                  <w:jc w:val="center"/>
                  <w:rPr>
                    <w:rFonts w:ascii="宋体" w:hAnsi="宋体"/>
                  </w:rPr>
                </w:pPr>
                <w:r>
                  <w:rPr>
                    <w:rFonts w:hint="eastAsia" w:ascii="宋体" w:hAnsi="宋体"/>
                  </w:rPr>
                  <w:t>数量</w:t>
                </w:r>
              </w:p>
            </w:tc>
          </w:sdtContent>
        </w:sdt>
        <w:sdt>
          <w:sdtPr>
            <w:rPr>
              <w:rFonts w:ascii="宋体" w:hAnsi="宋体"/>
            </w:rPr>
            <w:tag w:val="_PLD_78b2601ce135482fad14bd4d88f9655e"/>
            <w:id w:val="1711612305"/>
          </w:sdtPr>
          <w:sdtEndPr>
            <w:rPr>
              <w:rFonts w:ascii="宋体" w:hAnsi="宋体"/>
            </w:rPr>
          </w:sdtEndPr>
          <w:sdtContent>
            <w:tc>
              <w:tcPr>
                <w:tcW w:w="601" w:type="pct"/>
                <w:shd w:val="clear" w:color="auto" w:fill="auto"/>
                <w:vAlign w:val="center"/>
              </w:tcPr>
              <w:p>
                <w:pPr>
                  <w:jc w:val="center"/>
                  <w:rPr>
                    <w:rFonts w:ascii="宋体" w:hAnsi="宋体"/>
                  </w:rPr>
                </w:pPr>
                <w:r>
                  <w:rPr>
                    <w:rFonts w:hint="eastAsia" w:ascii="宋体" w:hAnsi="宋体"/>
                  </w:rPr>
                  <w:t>账面价值</w:t>
                </w:r>
              </w:p>
            </w:tc>
          </w:sdtContent>
        </w:sdt>
        <w:sdt>
          <w:sdtPr>
            <w:rPr>
              <w:rFonts w:ascii="宋体" w:hAnsi="宋体"/>
            </w:rPr>
            <w:tag w:val="_PLD_9d6d43395400480f89a8592b018d121c"/>
            <w:id w:val="-67508543"/>
          </w:sdtPr>
          <w:sdtEndPr>
            <w:rPr>
              <w:rFonts w:ascii="宋体" w:hAnsi="宋体"/>
            </w:rPr>
          </w:sdtEndPr>
          <w:sdtContent>
            <w:tc>
              <w:tcPr>
                <w:tcW w:w="452" w:type="pct"/>
                <w:shd w:val="clear" w:color="auto" w:fill="auto"/>
                <w:vAlign w:val="center"/>
              </w:tcPr>
              <w:p>
                <w:pPr>
                  <w:jc w:val="center"/>
                  <w:rPr>
                    <w:rFonts w:ascii="宋体" w:hAnsi="宋体"/>
                  </w:rPr>
                </w:pPr>
                <w:r>
                  <w:rPr>
                    <w:rFonts w:hint="eastAsia" w:ascii="宋体" w:hAnsi="宋体"/>
                  </w:rPr>
                  <w:t>数量</w:t>
                </w:r>
              </w:p>
            </w:tc>
          </w:sdtContent>
        </w:sdt>
        <w:sdt>
          <w:sdtPr>
            <w:rPr>
              <w:rFonts w:ascii="宋体" w:hAnsi="宋体"/>
            </w:rPr>
            <w:tag w:val="_PLD_a754aae4328d42e5bc9c79faf2a1547c"/>
            <w:id w:val="-698075550"/>
          </w:sdtPr>
          <w:sdtEndPr>
            <w:rPr>
              <w:rFonts w:ascii="宋体" w:hAnsi="宋体"/>
            </w:rPr>
          </w:sdtEndPr>
          <w:sdtContent>
            <w:tc>
              <w:tcPr>
                <w:tcW w:w="598" w:type="pct"/>
                <w:shd w:val="clear" w:color="auto" w:fill="auto"/>
                <w:vAlign w:val="center"/>
              </w:tcPr>
              <w:p>
                <w:pPr>
                  <w:jc w:val="center"/>
                  <w:rPr>
                    <w:rFonts w:ascii="宋体" w:hAnsi="宋体"/>
                  </w:rPr>
                </w:pPr>
                <w:r>
                  <w:rPr>
                    <w:rFonts w:hint="eastAsia" w:ascii="宋体" w:hAnsi="宋体"/>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shd w:val="clear" w:color="auto" w:fill="auto"/>
            <w:vAlign w:val="center"/>
          </w:tcPr>
          <w:p>
            <w:pPr>
              <w:ind w:right="105"/>
              <w:rPr>
                <w:rFonts w:ascii="宋体" w:hAnsi="宋体"/>
              </w:rPr>
            </w:pPr>
            <w:r>
              <w:rPr>
                <w:rFonts w:hint="eastAsia" w:ascii="宋体" w:hAnsi="宋体"/>
              </w:rPr>
              <w:t>招商银行永续债（2021第二期中期票据）（注1）</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20,000</w:t>
            </w: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1,996,400</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20,000</w:t>
            </w:r>
          </w:p>
        </w:tc>
        <w:tc>
          <w:tcPr>
            <w:tcW w:w="598"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1,996,400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shd w:val="clear" w:color="auto" w:fill="auto"/>
            <w:vAlign w:val="center"/>
          </w:tcPr>
          <w:p>
            <w:pPr>
              <w:ind w:right="105"/>
              <w:rPr>
                <w:rFonts w:ascii="宋体" w:hAnsi="宋体"/>
              </w:rPr>
            </w:pPr>
            <w:r>
              <w:rPr>
                <w:rFonts w:hint="eastAsia" w:ascii="宋体" w:hAnsi="宋体"/>
              </w:rPr>
              <w:t>中信银行永续债(21兖煤Y1）（注2）</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17,000</w:t>
            </w: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1,696,600</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17,000</w:t>
            </w: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1,696,600</w:t>
            </w: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598"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shd w:val="clear" w:color="auto" w:fill="auto"/>
            <w:vAlign w:val="center"/>
          </w:tcPr>
          <w:p>
            <w:pPr>
              <w:ind w:right="105"/>
              <w:rPr>
                <w:rFonts w:ascii="宋体" w:hAnsi="宋体"/>
              </w:rPr>
            </w:pPr>
            <w:r>
              <w:rPr>
                <w:rFonts w:hint="eastAsia" w:ascii="宋体" w:hAnsi="宋体"/>
              </w:rPr>
              <w:t>中信银行永续债(21兖煤Y2）（注3）</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33,000</w:t>
            </w: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3,293,070</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33,000</w:t>
            </w:r>
          </w:p>
        </w:tc>
        <w:tc>
          <w:tcPr>
            <w:tcW w:w="598"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3,293,070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shd w:val="clear" w:color="auto" w:fill="auto"/>
            <w:vAlign w:val="center"/>
          </w:tcPr>
          <w:p>
            <w:pPr>
              <w:ind w:right="105"/>
              <w:rPr>
                <w:rFonts w:ascii="宋体" w:hAnsi="宋体"/>
              </w:rPr>
            </w:pPr>
            <w:r>
              <w:rPr>
                <w:rFonts w:hint="eastAsia" w:ascii="宋体" w:hAnsi="宋体"/>
              </w:rPr>
              <w:t>中信银行永续债(21兖煤Y4）（注4）</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10,000</w:t>
            </w: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998,200</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10,000</w:t>
            </w:r>
          </w:p>
        </w:tc>
        <w:tc>
          <w:tcPr>
            <w:tcW w:w="598"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998,200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shd w:val="clear" w:color="auto" w:fill="auto"/>
            <w:vAlign w:val="center"/>
          </w:tcPr>
          <w:p>
            <w:pPr>
              <w:ind w:right="105"/>
              <w:rPr>
                <w:rFonts w:ascii="宋体" w:hAnsi="宋体"/>
              </w:rPr>
            </w:pPr>
            <w:r>
              <w:rPr>
                <w:rFonts w:hint="eastAsia" w:ascii="宋体" w:hAnsi="宋体"/>
              </w:rPr>
              <w:t>招商银行永续债（22兖矿能源MTN001A）</w:t>
            </w:r>
          </w:p>
          <w:p>
            <w:pPr>
              <w:pStyle w:val="531"/>
              <w:ind w:right="105"/>
              <w:rPr>
                <w:rFonts w:cs="Times New Roman"/>
                <w:kern w:val="2"/>
                <w:szCs w:val="21"/>
              </w:rPr>
            </w:pPr>
            <w:r>
              <w:rPr>
                <w:rFonts w:hint="eastAsia"/>
              </w:rPr>
              <w:t>（注5）</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25,000</w:t>
            </w: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2,495,500</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25,000</w:t>
            </w:r>
          </w:p>
        </w:tc>
        <w:tc>
          <w:tcPr>
            <w:tcW w:w="598"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2,495,500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shd w:val="clear" w:color="auto" w:fill="auto"/>
            <w:vAlign w:val="center"/>
          </w:tcPr>
          <w:p>
            <w:pPr>
              <w:spacing w:line="360" w:lineRule="exact"/>
              <w:rPr>
                <w:rFonts w:ascii="宋体" w:hAnsi="宋体"/>
                <w:spacing w:val="-30"/>
                <w:sz w:val="22"/>
                <w:szCs w:val="22"/>
              </w:rPr>
            </w:pPr>
            <w:r>
              <w:rPr>
                <w:rFonts w:hint="eastAsia" w:ascii="宋体" w:hAnsi="宋体"/>
                <w:spacing w:val="-30"/>
                <w:sz w:val="22"/>
                <w:szCs w:val="22"/>
              </w:rPr>
              <w:t>招商银行永续债（22兖矿能源M</w:t>
            </w:r>
            <w:r>
              <w:rPr>
                <w:rFonts w:ascii="宋体" w:hAnsi="宋体"/>
                <w:spacing w:val="-30"/>
                <w:sz w:val="22"/>
                <w:szCs w:val="22"/>
              </w:rPr>
              <w:t>T</w:t>
            </w:r>
            <w:r>
              <w:rPr>
                <w:rFonts w:hint="eastAsia" w:ascii="宋体" w:hAnsi="宋体"/>
                <w:spacing w:val="-30"/>
                <w:sz w:val="22"/>
                <w:szCs w:val="22"/>
              </w:rPr>
              <w:t>N001B）</w:t>
            </w:r>
          </w:p>
          <w:p>
            <w:pPr>
              <w:pStyle w:val="531"/>
              <w:ind w:right="105"/>
              <w:rPr>
                <w:rFonts w:cs="Times New Roman"/>
                <w:kern w:val="2"/>
                <w:szCs w:val="21"/>
              </w:rPr>
            </w:pPr>
            <w:r>
              <w:rPr>
                <w:rFonts w:hint="eastAsia"/>
                <w:spacing w:val="-30"/>
                <w:sz w:val="22"/>
                <w:szCs w:val="22"/>
              </w:rPr>
              <w:t>（注6）</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5,000</w:t>
            </w: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498,500</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5,000</w:t>
            </w:r>
          </w:p>
        </w:tc>
        <w:tc>
          <w:tcPr>
            <w:tcW w:w="598"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498,500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shd w:val="clear" w:color="auto" w:fill="auto"/>
            <w:vAlign w:val="center"/>
          </w:tcPr>
          <w:p>
            <w:pPr>
              <w:ind w:right="105"/>
              <w:rPr>
                <w:rFonts w:ascii="宋体" w:hAnsi="宋体"/>
              </w:rPr>
            </w:pPr>
            <w:r>
              <w:rPr>
                <w:rFonts w:hint="eastAsia" w:ascii="宋体" w:hAnsi="宋体"/>
                <w:spacing w:val="-30"/>
                <w:sz w:val="22"/>
                <w:szCs w:val="22"/>
              </w:rPr>
              <w:t>兴业银行永续债（22兖矿能源M</w:t>
            </w:r>
            <w:r>
              <w:rPr>
                <w:rFonts w:ascii="宋体" w:hAnsi="宋体"/>
                <w:spacing w:val="-30"/>
                <w:sz w:val="22"/>
                <w:szCs w:val="22"/>
              </w:rPr>
              <w:t>T</w:t>
            </w:r>
            <w:r>
              <w:rPr>
                <w:rFonts w:hint="eastAsia" w:ascii="宋体" w:hAnsi="宋体"/>
                <w:spacing w:val="-30"/>
                <w:sz w:val="22"/>
                <w:szCs w:val="22"/>
              </w:rPr>
              <w:t>N002）（注7）</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20,000</w:t>
            </w: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1,996,400</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20,000</w:t>
            </w:r>
          </w:p>
        </w:tc>
        <w:tc>
          <w:tcPr>
            <w:tcW w:w="598"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1,996,400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shd w:val="clear" w:color="auto" w:fill="auto"/>
            <w:vAlign w:val="center"/>
          </w:tcPr>
          <w:p>
            <w:pPr>
              <w:ind w:right="105"/>
              <w:rPr>
                <w:rFonts w:ascii="宋体" w:hAnsi="宋体"/>
              </w:rPr>
            </w:pPr>
            <w:r>
              <w:rPr>
                <w:rFonts w:hint="eastAsia" w:ascii="宋体" w:hAnsi="宋体"/>
                <w:spacing w:val="-30"/>
                <w:sz w:val="22"/>
                <w:szCs w:val="22"/>
              </w:rPr>
              <w:t>招商银行永续债（23兖矿能源M</w:t>
            </w:r>
            <w:r>
              <w:rPr>
                <w:rFonts w:ascii="宋体" w:hAnsi="宋体"/>
                <w:spacing w:val="-30"/>
                <w:sz w:val="22"/>
                <w:szCs w:val="22"/>
              </w:rPr>
              <w:t>T</w:t>
            </w:r>
            <w:r>
              <w:rPr>
                <w:rFonts w:hint="eastAsia" w:ascii="宋体" w:hAnsi="宋体"/>
                <w:spacing w:val="-30"/>
                <w:sz w:val="22"/>
                <w:szCs w:val="22"/>
              </w:rPr>
              <w:t>N001）（注8）</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20,000</w:t>
            </w: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1,999,200</w:t>
            </w: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20,000</w:t>
            </w:r>
          </w:p>
        </w:tc>
        <w:tc>
          <w:tcPr>
            <w:tcW w:w="598"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1,999,200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shd w:val="clear" w:color="auto" w:fill="auto"/>
            <w:vAlign w:val="center"/>
          </w:tcPr>
          <w:p>
            <w:pPr>
              <w:ind w:right="105"/>
              <w:rPr>
                <w:rFonts w:ascii="宋体" w:hAnsi="宋体"/>
              </w:rPr>
            </w:pPr>
            <w:r>
              <w:rPr>
                <w:rFonts w:hint="eastAsia" w:ascii="宋体" w:hAnsi="宋体"/>
                <w:spacing w:val="-30"/>
                <w:sz w:val="22"/>
                <w:szCs w:val="22"/>
              </w:rPr>
              <w:t>招商银行永续债（23兖矿能源MTN002</w:t>
            </w:r>
            <w:r>
              <w:rPr>
                <w:rFonts w:ascii="宋体" w:hAnsi="宋体"/>
                <w:spacing w:val="-30"/>
                <w:sz w:val="22"/>
                <w:szCs w:val="22"/>
              </w:rPr>
              <w:t>）</w:t>
            </w:r>
            <w:r>
              <w:rPr>
                <w:rFonts w:hint="eastAsia" w:ascii="宋体" w:hAnsi="宋体"/>
                <w:spacing w:val="-30"/>
                <w:sz w:val="22"/>
                <w:szCs w:val="22"/>
              </w:rPr>
              <w:t>（注9）</w:t>
            </w: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30,000</w:t>
            </w: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2,998,800</w:t>
            </w: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601"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p>
        </w:tc>
        <w:tc>
          <w:tcPr>
            <w:tcW w:w="452"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30,000</w:t>
            </w:r>
          </w:p>
        </w:tc>
        <w:tc>
          <w:tcPr>
            <w:tcW w:w="598" w:type="pct"/>
            <w:shd w:val="clear" w:color="auto" w:fill="auto"/>
            <w:vAlign w:val="center"/>
          </w:tcPr>
          <w:p>
            <w:pPr>
              <w:tabs>
                <w:tab w:val="right" w:pos="3690"/>
                <w:tab w:val="right" w:pos="5130"/>
                <w:tab w:val="right" w:pos="6030"/>
                <w:tab w:val="right" w:pos="7650"/>
                <w:tab w:val="right" w:pos="9270"/>
              </w:tabs>
              <w:adjustRightInd w:val="0"/>
              <w:snapToGrid w:val="0"/>
              <w:jc w:val="right"/>
              <w:rPr>
                <w:rFonts w:ascii="宋体" w:hAnsi="宋体"/>
                <w:spacing w:val="-20"/>
              </w:rPr>
            </w:pPr>
            <w:r>
              <w:rPr>
                <w:rFonts w:ascii="宋体" w:hAnsi="宋体"/>
                <w:spacing w:val="-20"/>
              </w:rPr>
              <w:t>2,998,800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0" w:hRule="atLeast"/>
        </w:trPr>
        <w:tc>
          <w:tcPr>
            <w:tcW w:w="793" w:type="pct"/>
            <w:shd w:val="clear" w:color="auto" w:fill="auto"/>
          </w:tcPr>
          <w:p>
            <w:pPr>
              <w:jc w:val="center"/>
              <w:rPr>
                <w:rFonts w:ascii="宋体" w:hAnsi="宋体"/>
              </w:rPr>
            </w:pPr>
            <w:r>
              <w:rPr>
                <w:rFonts w:hint="eastAsia" w:ascii="宋体" w:hAnsi="宋体"/>
              </w:rPr>
              <w:t>合计</w:t>
            </w:r>
          </w:p>
        </w:tc>
        <w:tc>
          <w:tcPr>
            <w:tcW w:w="451" w:type="pct"/>
            <w:shd w:val="clear" w:color="auto" w:fill="auto"/>
            <w:vAlign w:val="center"/>
          </w:tcPr>
          <w:p>
            <w:pPr>
              <w:jc w:val="right"/>
              <w:rPr>
                <w:rFonts w:ascii="宋体" w:hAnsi="宋体"/>
                <w:spacing w:val="-20"/>
              </w:rPr>
            </w:pPr>
            <w:r>
              <w:rPr>
                <w:rFonts w:ascii="宋体" w:hAnsi="宋体"/>
                <w:spacing w:val="-20"/>
              </w:rPr>
              <w:t>130,000</w:t>
            </w:r>
          </w:p>
        </w:tc>
        <w:tc>
          <w:tcPr>
            <w:tcW w:w="601" w:type="pct"/>
            <w:shd w:val="clear" w:color="auto" w:fill="auto"/>
            <w:vAlign w:val="center"/>
          </w:tcPr>
          <w:p>
            <w:pPr>
              <w:jc w:val="right"/>
              <w:rPr>
                <w:rFonts w:ascii="宋体" w:hAnsi="宋体"/>
                <w:spacing w:val="-20"/>
              </w:rPr>
            </w:pPr>
            <w:r>
              <w:rPr>
                <w:rFonts w:ascii="宋体" w:hAnsi="宋体"/>
                <w:spacing w:val="-20"/>
              </w:rPr>
              <w:t>12,974,670</w:t>
            </w:r>
          </w:p>
        </w:tc>
        <w:tc>
          <w:tcPr>
            <w:tcW w:w="451" w:type="pct"/>
            <w:shd w:val="clear" w:color="auto" w:fill="auto"/>
            <w:vAlign w:val="center"/>
          </w:tcPr>
          <w:p>
            <w:pPr>
              <w:jc w:val="right"/>
              <w:rPr>
                <w:rFonts w:ascii="宋体" w:hAnsi="宋体"/>
                <w:spacing w:val="-20"/>
              </w:rPr>
            </w:pPr>
            <w:r>
              <w:rPr>
                <w:rFonts w:ascii="宋体" w:hAnsi="宋体"/>
                <w:spacing w:val="-20"/>
              </w:rPr>
              <w:t>50,000</w:t>
            </w:r>
          </w:p>
        </w:tc>
        <w:tc>
          <w:tcPr>
            <w:tcW w:w="601" w:type="pct"/>
            <w:shd w:val="clear" w:color="auto" w:fill="auto"/>
            <w:vAlign w:val="center"/>
          </w:tcPr>
          <w:p>
            <w:pPr>
              <w:jc w:val="right"/>
              <w:rPr>
                <w:rFonts w:ascii="宋体" w:hAnsi="宋体"/>
                <w:spacing w:val="-20"/>
              </w:rPr>
            </w:pPr>
            <w:r>
              <w:rPr>
                <w:rFonts w:ascii="宋体" w:hAnsi="宋体"/>
                <w:spacing w:val="-20"/>
              </w:rPr>
              <w:t>4,998,000</w:t>
            </w:r>
          </w:p>
        </w:tc>
        <w:tc>
          <w:tcPr>
            <w:tcW w:w="452" w:type="pct"/>
            <w:shd w:val="clear" w:color="auto" w:fill="auto"/>
            <w:vAlign w:val="center"/>
          </w:tcPr>
          <w:p>
            <w:pPr>
              <w:jc w:val="right"/>
              <w:rPr>
                <w:rFonts w:ascii="宋体" w:hAnsi="宋体"/>
                <w:spacing w:val="-20"/>
              </w:rPr>
            </w:pPr>
            <w:r>
              <w:rPr>
                <w:rFonts w:ascii="宋体" w:hAnsi="宋体"/>
                <w:spacing w:val="-20"/>
              </w:rPr>
              <w:t>17,000</w:t>
            </w:r>
          </w:p>
        </w:tc>
        <w:tc>
          <w:tcPr>
            <w:tcW w:w="601" w:type="pct"/>
            <w:shd w:val="clear" w:color="auto" w:fill="auto"/>
            <w:vAlign w:val="center"/>
          </w:tcPr>
          <w:p>
            <w:pPr>
              <w:jc w:val="right"/>
              <w:rPr>
                <w:rFonts w:ascii="宋体" w:hAnsi="宋体"/>
                <w:spacing w:val="-20"/>
              </w:rPr>
            </w:pPr>
            <w:r>
              <w:rPr>
                <w:rFonts w:ascii="宋体" w:hAnsi="宋体"/>
                <w:spacing w:val="-20"/>
              </w:rPr>
              <w:t>1,696,600</w:t>
            </w:r>
          </w:p>
        </w:tc>
        <w:tc>
          <w:tcPr>
            <w:tcW w:w="452" w:type="pct"/>
            <w:shd w:val="clear" w:color="auto" w:fill="auto"/>
            <w:vAlign w:val="center"/>
          </w:tcPr>
          <w:p>
            <w:pPr>
              <w:jc w:val="right"/>
              <w:rPr>
                <w:rFonts w:ascii="宋体" w:hAnsi="宋体"/>
                <w:spacing w:val="-20"/>
              </w:rPr>
            </w:pPr>
            <w:r>
              <w:rPr>
                <w:rFonts w:ascii="宋体" w:hAnsi="宋体"/>
                <w:spacing w:val="-20"/>
              </w:rPr>
              <w:t>163,000</w:t>
            </w:r>
          </w:p>
        </w:tc>
        <w:tc>
          <w:tcPr>
            <w:tcW w:w="598" w:type="pct"/>
            <w:shd w:val="clear" w:color="auto" w:fill="auto"/>
            <w:vAlign w:val="center"/>
          </w:tcPr>
          <w:p>
            <w:pPr>
              <w:jc w:val="right"/>
              <w:rPr>
                <w:rFonts w:ascii="宋体" w:hAnsi="宋体"/>
                <w:spacing w:val="-20"/>
              </w:rPr>
            </w:pPr>
            <w:r>
              <w:rPr>
                <w:rFonts w:ascii="宋体" w:hAnsi="宋体"/>
                <w:spacing w:val="-20"/>
              </w:rPr>
              <w:t>16,276,070</w:t>
            </w:r>
          </w:p>
        </w:tc>
      </w:tr>
    </w:tbl>
    <w:p>
      <w:pPr>
        <w:pStyle w:val="501"/>
      </w:pPr>
    </w:p>
    <w:p>
      <w:pPr>
        <w:pStyle w:val="501"/>
      </w:pPr>
      <w:r>
        <w:rPr>
          <w:rFonts w:hint="eastAsia"/>
        </w:rPr>
        <w:t>其他权益工具本期增减变动情况、变动原因说明，以及相关会计处理的依据：</w:t>
      </w:r>
    </w:p>
    <w:bookmarkEnd w:id="320"/>
    <w:sdt>
      <w:sdtPr>
        <w:alias w:val="是否适用：其他权益工具本期增减变动情况、变动原因说明，以及相关会计处理的依据[双击切换]"/>
        <w:tag w:val="_GBC_e803942788b34e5092c70a4cbf71f4b5"/>
        <w:id w:val="-1810631628"/>
        <w:placeholder>
          <w:docPart w:val="GBC22222222222222222222222222222"/>
        </w:placeholder>
      </w:sdtPr>
      <w:sdtContent>
        <w:p>
          <w:pPr>
            <w:pStyle w:val="501"/>
          </w:pPr>
          <w:bookmarkStart w:id="321" w:name="_Hlk89785136"/>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21"/>
    <w:p>
      <w:pPr>
        <w:pStyle w:val="501"/>
      </w:pPr>
    </w:p>
    <w:p>
      <w:pPr>
        <w:pStyle w:val="501"/>
      </w:pPr>
      <w:r>
        <w:rPr>
          <w:rFonts w:hint="eastAsia"/>
        </w:rPr>
        <w:t>其他说明:</w:t>
      </w:r>
    </w:p>
    <w:sdt>
      <w:sdtPr>
        <w:alias w:val="是否适用：其他权益工具的其他说明[双击切换]"/>
        <w:tag w:val="_GBC_af2e32ae9c704175a99ebad592dec5f2"/>
        <w:id w:val="-506444488"/>
        <w:placeholder>
          <w:docPart w:val="GBC22222222222222222222222222222"/>
        </w:placeholder>
      </w:sdtPr>
      <w:sdtContent>
        <w:p>
          <w:pPr>
            <w:pStyle w:val="501"/>
          </w:pPr>
          <w:bookmarkStart w:id="322" w:name="_Hlk89785124"/>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权益工具的其他说明"/>
        <w:tag w:val="_GBC_95c132dcbe164594a72f95ef17c3b3a2"/>
        <w:id w:val="-939443988"/>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注1：本公司于2021年11月24日发行2021年度第二期中期票据，总金额为2,000,000千元人民币，扣除发行费用，实际募集资金1,996,400千元，此工具无固定偿还期限。本公司本年按照3.67％的利率向债券购买人支付利息。</w:t>
          </w:r>
        </w:p>
        <w:p>
          <w:pPr>
            <w:ind w:firstLine="420" w:firstLineChars="200"/>
            <w:rPr>
              <w:rFonts w:ascii="宋体" w:hAnsi="宋体"/>
            </w:rPr>
          </w:pPr>
          <w:r>
            <w:rPr>
              <w:rFonts w:hint="eastAsia" w:ascii="宋体" w:hAnsi="宋体"/>
            </w:rPr>
            <w:t>注2：本公司于2021年6月21日发行2021年可续期公司债券品种一（债券简称：21兖煤Y1)，总金额为1,700,000千元，扣除发行费用，实际募集资金1,696,600千元，此工具无固定偿还期限。本公司于2023年6月19日兑付中信银行永续债（21兖煤Y1）本息。</w:t>
          </w:r>
        </w:p>
        <w:p>
          <w:pPr>
            <w:ind w:firstLine="420" w:firstLineChars="200"/>
            <w:rPr>
              <w:rFonts w:ascii="宋体" w:hAnsi="宋体"/>
            </w:rPr>
          </w:pPr>
          <w:r>
            <w:rPr>
              <w:rFonts w:hint="eastAsia" w:ascii="宋体" w:hAnsi="宋体"/>
            </w:rPr>
            <w:t>注3：本公司于2021年6月21日发行2021年可续期公司债券品种二（债券简称：21兖煤Y2)，总金额为3,300,000千元，扣除发行费用，实际募集资金3,293,070千元，此工具无固定偿还期限。本公司本年按照4.40％的利率向债券购买人支付利息。</w:t>
          </w:r>
        </w:p>
        <w:p>
          <w:pPr>
            <w:ind w:firstLine="420" w:firstLineChars="200"/>
            <w:rPr>
              <w:rFonts w:ascii="宋体" w:hAnsi="宋体"/>
            </w:rPr>
          </w:pPr>
          <w:r>
            <w:rPr>
              <w:rFonts w:hint="eastAsia" w:ascii="宋体" w:hAnsi="宋体"/>
            </w:rPr>
            <w:t>注4：本公司于2021年8月19日发行兖矿能源股份有限公司公开发行2021年可续期公司债券品种四（债券简称：21兖煤Y4)，总金额为1,000,000千元，扣除发行费用，实际募集资金998,200千元，此工具无固定偿还期限。本公司本年按照3.54％的利率向债券购买人支付利息。</w:t>
          </w:r>
        </w:p>
        <w:p>
          <w:pPr>
            <w:ind w:firstLine="420" w:firstLineChars="200"/>
            <w:rPr>
              <w:rFonts w:ascii="宋体" w:hAnsi="宋体"/>
            </w:rPr>
          </w:pPr>
          <w:r>
            <w:rPr>
              <w:rFonts w:hint="eastAsia" w:ascii="宋体" w:hAnsi="宋体"/>
            </w:rPr>
            <w:t>注5：本公司于2022年5月18日发行兖矿能源集团股份有限公司2022年度第一期中期票据（品种一）（债券简称：22兖矿能源MTNO01A)，总金额为2,500,000千元，扣除发行费用，实际募集资2,495,500千元，此工具无固定偿还期限。本公司本年按照3.28％的利率向债券购买人支付利息。</w:t>
          </w:r>
        </w:p>
        <w:p>
          <w:pPr>
            <w:ind w:firstLine="420" w:firstLineChars="200"/>
            <w:rPr>
              <w:rFonts w:ascii="宋体" w:hAnsi="宋体"/>
            </w:rPr>
          </w:pPr>
          <w:r>
            <w:rPr>
              <w:rFonts w:hint="eastAsia" w:ascii="宋体" w:hAnsi="宋体"/>
            </w:rPr>
            <w:t>注6：本公司2022年5月18日发行兖矿能源集团股份有限公司2022年度第一期中期票据（品种二）（债券简称：22兖矿能源MTNO01B)，总金额为500,000千元，扣除发行费用，实际募集资金498,500千元，此工具无固定偿还期限。本公司本年按照3.71％的利率向债券购买人支付利息。</w:t>
          </w:r>
        </w:p>
        <w:p>
          <w:pPr>
            <w:ind w:firstLine="420" w:firstLineChars="200"/>
            <w:rPr>
              <w:rFonts w:ascii="宋体" w:hAnsi="宋体"/>
            </w:rPr>
          </w:pPr>
          <w:r>
            <w:rPr>
              <w:rFonts w:hint="eastAsia" w:ascii="宋体" w:hAnsi="宋体"/>
            </w:rPr>
            <w:t>注7：本公司于2022年6月8日发行兖矿能源集团股份有限公司2022年度第二期中期票据（债券简称：22兖矿能源MTN002），总金额为2,000,000千元，扣除发行费用，实际募集资金1,996,400千元，此工具无固定偿还期限。本公司本年按照3.30%的利率向债券购买人支付利息。</w:t>
          </w:r>
        </w:p>
        <w:p>
          <w:pPr>
            <w:ind w:firstLine="420" w:firstLineChars="200"/>
            <w:rPr>
              <w:rFonts w:ascii="宋体" w:hAnsi="宋体"/>
            </w:rPr>
          </w:pPr>
          <w:r>
            <w:rPr>
              <w:rFonts w:hint="eastAsia" w:ascii="宋体" w:hAnsi="宋体"/>
            </w:rPr>
            <w:t>注8：本公司于2023年10月</w:t>
          </w:r>
          <w:r>
            <w:rPr>
              <w:rFonts w:ascii="宋体" w:hAnsi="宋体"/>
            </w:rPr>
            <w:t>19</w:t>
          </w:r>
          <w:r>
            <w:rPr>
              <w:rFonts w:hint="eastAsia" w:ascii="宋体" w:hAnsi="宋体"/>
            </w:rPr>
            <w:t>日发行2023年度第一期中期票据（债券简称：23兖矿能源MTN001），总金额为2,000,000千元人民币，扣除发行费用，实际募集资金1,999,200千元，此工具无固定偿还期限。本公司本年按照3.40％的利率向债券购买人支付利息。</w:t>
          </w:r>
        </w:p>
        <w:p>
          <w:pPr>
            <w:ind w:firstLine="420" w:firstLineChars="200"/>
            <w:rPr>
              <w:rFonts w:ascii="宋体" w:hAnsi="宋体"/>
            </w:rPr>
          </w:pPr>
          <w:r>
            <w:rPr>
              <w:rFonts w:hint="eastAsia" w:ascii="宋体" w:hAnsi="宋体"/>
            </w:rPr>
            <w:t>注9：本公司于2023年11月21日发行2023年度第二期中期票据（债券简称：23兖矿能源MTN002），总金额为3,000,000千元人民币，扣除发行费用，实际募集资金2,998,800千元，此工具无固定偿还期限。本公司本年按照3.16％的利率向债券购买人支付利息。</w:t>
          </w:r>
        </w:p>
      </w:sdtContent>
    </w:sdt>
    <w:bookmarkEnd w:id="322"/>
    <w:p>
      <w:pPr>
        <w:pStyle w:val="501"/>
      </w:pPr>
    </w:p>
    <w:p>
      <w:pPr>
        <w:pStyle w:val="504"/>
        <w:numPr>
          <w:ilvl w:val="0"/>
          <w:numId w:val="69"/>
        </w:numPr>
        <w:tabs>
          <w:tab w:val="left" w:pos="504"/>
        </w:tabs>
        <w:rPr>
          <w:rFonts w:ascii="宋体" w:hAnsi="宋体"/>
          <w:szCs w:val="21"/>
        </w:rPr>
      </w:pPr>
      <w:r>
        <w:rPr>
          <w:rFonts w:hint="eastAsia" w:ascii="宋体" w:hAnsi="宋体"/>
          <w:szCs w:val="21"/>
        </w:rPr>
        <w:t>资本公积</w:t>
      </w:r>
    </w:p>
    <w:sdt>
      <w:sdtPr>
        <w:alias w:val="是否适用：资本公积[双击切换]"/>
        <w:tag w:val="_GBC_58b0344d8757456787af32396840e233"/>
        <w:id w:val="378588835"/>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资本公积"/>
          <w:tag w:val="_GBC_1b11e7474fd44870ad976b16c25b20f4"/>
          <w:id w:val="-12885124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资本公积"/>
          <w:tag w:val="_GBC_6c523a4f3a0744439ef148664a9f722b"/>
          <w:id w:val="-16224479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707"/>
        <w:gridCol w:w="1821"/>
        <w:gridCol w:w="1855"/>
        <w:gridCol w:w="1839"/>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宋体" w:hAnsi="宋体"/>
            </w:rPr>
            <w:tag w:val="_PLD_b4e0b77813064aeb83afd63c7bafbdab"/>
            <w:id w:val="-2097237763"/>
          </w:sdtPr>
          <w:sdtEndPr>
            <w:rPr>
              <w:rFonts w:ascii="宋体" w:hAnsi="宋体"/>
            </w:rPr>
          </w:sdtEndPr>
          <w:sdtContent>
            <w:tc>
              <w:tcPr>
                <w:tcW w:w="942" w:type="pct"/>
                <w:vAlign w:val="center"/>
              </w:tcPr>
              <w:p>
                <w:pPr>
                  <w:autoSpaceDE w:val="0"/>
                  <w:autoSpaceDN w:val="0"/>
                  <w:adjustRightInd w:val="0"/>
                  <w:snapToGrid w:val="0"/>
                  <w:jc w:val="center"/>
                  <w:rPr>
                    <w:rFonts w:ascii="宋体" w:hAnsi="宋体"/>
                  </w:rPr>
                </w:pPr>
                <w:r>
                  <w:rPr>
                    <w:rFonts w:hint="eastAsia" w:ascii="宋体" w:hAnsi="宋体"/>
                  </w:rPr>
                  <w:t>项目</w:t>
                </w:r>
              </w:p>
            </w:tc>
          </w:sdtContent>
        </w:sdt>
        <w:sdt>
          <w:sdtPr>
            <w:rPr>
              <w:rFonts w:ascii="宋体" w:hAnsi="宋体"/>
            </w:rPr>
            <w:tag w:val="_PLD_2e3387dfd4d8490ca15036edd55f5d7b"/>
            <w:id w:val="813766609"/>
          </w:sdtPr>
          <w:sdtEndPr>
            <w:rPr>
              <w:rFonts w:ascii="宋体" w:hAnsi="宋体"/>
            </w:rPr>
          </w:sdtEndPr>
          <w:sdtContent>
            <w:tc>
              <w:tcPr>
                <w:tcW w:w="1005" w:type="pct"/>
                <w:vAlign w:val="center"/>
              </w:tcPr>
              <w:p>
                <w:pPr>
                  <w:autoSpaceDE w:val="0"/>
                  <w:autoSpaceDN w:val="0"/>
                  <w:adjustRightInd w:val="0"/>
                  <w:snapToGrid w:val="0"/>
                  <w:jc w:val="center"/>
                  <w:rPr>
                    <w:rFonts w:ascii="宋体" w:hAnsi="宋体"/>
                  </w:rPr>
                </w:pPr>
                <w:r>
                  <w:rPr>
                    <w:rFonts w:hint="eastAsia" w:ascii="宋体" w:hAnsi="宋体"/>
                  </w:rPr>
                  <w:t>期初余额</w:t>
                </w:r>
              </w:p>
            </w:tc>
          </w:sdtContent>
        </w:sdt>
        <w:sdt>
          <w:sdtPr>
            <w:rPr>
              <w:rFonts w:ascii="宋体" w:hAnsi="宋体"/>
            </w:rPr>
            <w:tag w:val="_PLD_48beb7e26e4d4ae4b8c76cfd47809420"/>
            <w:id w:val="-261762420"/>
          </w:sdtPr>
          <w:sdtEndPr>
            <w:rPr>
              <w:rFonts w:ascii="宋体" w:hAnsi="宋体"/>
            </w:rPr>
          </w:sdtEndPr>
          <w:sdtContent>
            <w:tc>
              <w:tcPr>
                <w:tcW w:w="1024" w:type="pct"/>
                <w:vAlign w:val="center"/>
              </w:tcPr>
              <w:p>
                <w:pPr>
                  <w:autoSpaceDE w:val="0"/>
                  <w:autoSpaceDN w:val="0"/>
                  <w:adjustRightInd w:val="0"/>
                  <w:snapToGrid w:val="0"/>
                  <w:jc w:val="center"/>
                  <w:rPr>
                    <w:rFonts w:ascii="宋体" w:hAnsi="宋体"/>
                  </w:rPr>
                </w:pPr>
                <w:r>
                  <w:rPr>
                    <w:rFonts w:hint="eastAsia" w:ascii="宋体" w:hAnsi="宋体"/>
                  </w:rPr>
                  <w:t>本期增加</w:t>
                </w:r>
              </w:p>
            </w:tc>
          </w:sdtContent>
        </w:sdt>
        <w:sdt>
          <w:sdtPr>
            <w:rPr>
              <w:rFonts w:ascii="宋体" w:hAnsi="宋体"/>
            </w:rPr>
            <w:tag w:val="_PLD_146cd5e556074222b88edab30b505382"/>
            <w:id w:val="-1394499085"/>
          </w:sdtPr>
          <w:sdtEndPr>
            <w:rPr>
              <w:rFonts w:ascii="宋体" w:hAnsi="宋体"/>
            </w:rPr>
          </w:sdtEndPr>
          <w:sdtContent>
            <w:tc>
              <w:tcPr>
                <w:tcW w:w="1015" w:type="pct"/>
                <w:vAlign w:val="center"/>
              </w:tcPr>
              <w:p>
                <w:pPr>
                  <w:autoSpaceDE w:val="0"/>
                  <w:autoSpaceDN w:val="0"/>
                  <w:adjustRightInd w:val="0"/>
                  <w:snapToGrid w:val="0"/>
                  <w:jc w:val="center"/>
                  <w:rPr>
                    <w:rFonts w:ascii="宋体" w:hAnsi="宋体"/>
                  </w:rPr>
                </w:pPr>
                <w:r>
                  <w:rPr>
                    <w:rFonts w:hint="eastAsia" w:ascii="宋体" w:hAnsi="宋体"/>
                  </w:rPr>
                  <w:t>本期减少</w:t>
                </w:r>
              </w:p>
            </w:tc>
          </w:sdtContent>
        </w:sdt>
        <w:sdt>
          <w:sdtPr>
            <w:rPr>
              <w:rFonts w:ascii="宋体" w:hAnsi="宋体"/>
            </w:rPr>
            <w:tag w:val="_PLD_ce18950b18064dc1ac40e20c98bf9dcb"/>
            <w:id w:val="1269741102"/>
          </w:sdtPr>
          <w:sdtEndPr>
            <w:rPr>
              <w:rFonts w:ascii="宋体" w:hAnsi="宋体"/>
            </w:rPr>
          </w:sdtEndPr>
          <w:sdtContent>
            <w:tc>
              <w:tcPr>
                <w:tcW w:w="1014" w:type="pct"/>
                <w:vAlign w:val="center"/>
              </w:tcPr>
              <w:p>
                <w:pPr>
                  <w:autoSpaceDE w:val="0"/>
                  <w:autoSpaceDN w:val="0"/>
                  <w:adjustRightInd w:val="0"/>
                  <w:snapToGrid w:val="0"/>
                  <w:jc w:val="center"/>
                  <w:rPr>
                    <w:rFonts w:ascii="宋体" w:hAnsi="宋体"/>
                  </w:rPr>
                </w:pPr>
                <w:r>
                  <w:rPr>
                    <w:rFonts w:hint="eastAsia"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2" w:type="pct"/>
            <w:shd w:val="clear" w:color="auto" w:fill="auto"/>
          </w:tcPr>
          <w:p>
            <w:pPr>
              <w:autoSpaceDE w:val="0"/>
              <w:autoSpaceDN w:val="0"/>
              <w:adjustRightInd w:val="0"/>
              <w:snapToGrid w:val="0"/>
              <w:rPr>
                <w:rFonts w:ascii="宋体" w:hAnsi="宋体"/>
              </w:rPr>
            </w:pPr>
            <w:r>
              <w:rPr>
                <w:rFonts w:hint="eastAsia" w:ascii="宋体" w:hAnsi="宋体"/>
              </w:rPr>
              <w:t>股本溢价</w:t>
            </w:r>
          </w:p>
        </w:tc>
        <w:tc>
          <w:tcPr>
            <w:tcW w:w="1005" w:type="pct"/>
            <w:shd w:val="clear" w:color="auto" w:fill="auto"/>
            <w:vAlign w:val="center"/>
          </w:tcPr>
          <w:p>
            <w:pPr>
              <w:jc w:val="right"/>
              <w:rPr>
                <w:rFonts w:ascii="宋体" w:hAnsi="宋体"/>
              </w:rPr>
            </w:pPr>
            <w:r>
              <w:rPr>
                <w:rFonts w:ascii="宋体" w:hAnsi="宋体"/>
              </w:rPr>
              <w:t>6,386,909</w:t>
            </w:r>
          </w:p>
        </w:tc>
        <w:tc>
          <w:tcPr>
            <w:tcW w:w="1024" w:type="pct"/>
            <w:shd w:val="clear" w:color="auto" w:fill="auto"/>
            <w:vAlign w:val="center"/>
          </w:tcPr>
          <w:p>
            <w:pPr>
              <w:jc w:val="right"/>
              <w:rPr>
                <w:rFonts w:ascii="宋体" w:hAnsi="宋体"/>
              </w:rPr>
            </w:pPr>
            <w:r>
              <w:rPr>
                <w:rFonts w:ascii="宋体" w:hAnsi="宋体"/>
              </w:rPr>
              <w:t>441,973</w:t>
            </w:r>
          </w:p>
        </w:tc>
        <w:tc>
          <w:tcPr>
            <w:tcW w:w="1015" w:type="pct"/>
            <w:shd w:val="clear" w:color="auto" w:fill="auto"/>
            <w:vAlign w:val="center"/>
          </w:tcPr>
          <w:p>
            <w:pPr>
              <w:jc w:val="right"/>
              <w:rPr>
                <w:rFonts w:ascii="宋体" w:hAnsi="宋体"/>
              </w:rPr>
            </w:pPr>
            <w:r>
              <w:rPr>
                <w:rFonts w:ascii="宋体" w:hAnsi="宋体"/>
              </w:rPr>
              <w:t>5,916,162</w:t>
            </w:r>
          </w:p>
        </w:tc>
        <w:tc>
          <w:tcPr>
            <w:tcW w:w="1014" w:type="pct"/>
            <w:shd w:val="clear" w:color="auto" w:fill="auto"/>
            <w:vAlign w:val="center"/>
          </w:tcPr>
          <w:p>
            <w:pPr>
              <w:jc w:val="right"/>
              <w:rPr>
                <w:rFonts w:ascii="宋体" w:hAnsi="宋体"/>
              </w:rPr>
            </w:pPr>
            <w:r>
              <w:rPr>
                <w:rFonts w:ascii="宋体" w:hAnsi="宋体"/>
              </w:rPr>
              <w:t>912,720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2" w:type="pct"/>
            <w:shd w:val="clear" w:color="auto" w:fill="auto"/>
          </w:tcPr>
          <w:p>
            <w:pPr>
              <w:autoSpaceDE w:val="0"/>
              <w:autoSpaceDN w:val="0"/>
              <w:adjustRightInd w:val="0"/>
              <w:snapToGrid w:val="0"/>
              <w:rPr>
                <w:rFonts w:ascii="宋体" w:hAnsi="宋体"/>
              </w:rPr>
            </w:pPr>
            <w:r>
              <w:rPr>
                <w:rFonts w:hint="eastAsia" w:ascii="宋体" w:hAnsi="宋体"/>
              </w:rPr>
              <w:t>其他资本公积</w:t>
            </w:r>
          </w:p>
        </w:tc>
        <w:tc>
          <w:tcPr>
            <w:tcW w:w="1005" w:type="pct"/>
            <w:shd w:val="clear" w:color="auto" w:fill="auto"/>
            <w:vAlign w:val="center"/>
          </w:tcPr>
          <w:p>
            <w:pPr>
              <w:jc w:val="right"/>
              <w:rPr>
                <w:rFonts w:ascii="宋体" w:hAnsi="宋体"/>
              </w:rPr>
            </w:pPr>
            <w:r>
              <w:rPr>
                <w:rFonts w:ascii="宋体" w:hAnsi="宋体"/>
              </w:rPr>
              <w:t>192,415</w:t>
            </w:r>
          </w:p>
        </w:tc>
        <w:tc>
          <w:tcPr>
            <w:tcW w:w="1024" w:type="pct"/>
            <w:shd w:val="clear" w:color="auto" w:fill="auto"/>
            <w:vAlign w:val="center"/>
          </w:tcPr>
          <w:p>
            <w:pPr>
              <w:jc w:val="right"/>
              <w:rPr>
                <w:rFonts w:ascii="宋体" w:hAnsi="宋体"/>
              </w:rPr>
            </w:pPr>
            <w:r>
              <w:rPr>
                <w:rFonts w:ascii="宋体" w:hAnsi="宋体"/>
              </w:rPr>
              <w:t>290,800</w:t>
            </w:r>
          </w:p>
        </w:tc>
        <w:tc>
          <w:tcPr>
            <w:tcW w:w="1015" w:type="pct"/>
            <w:shd w:val="clear" w:color="auto" w:fill="auto"/>
            <w:vAlign w:val="center"/>
          </w:tcPr>
          <w:p>
            <w:pPr>
              <w:jc w:val="right"/>
              <w:rPr>
                <w:rFonts w:ascii="宋体" w:hAnsi="宋体"/>
              </w:rPr>
            </w:pPr>
            <w:r>
              <w:rPr>
                <w:rFonts w:ascii="宋体" w:hAnsi="宋体"/>
              </w:rPr>
              <w:t>1,475,039</w:t>
            </w:r>
          </w:p>
        </w:tc>
        <w:tc>
          <w:tcPr>
            <w:tcW w:w="1014" w:type="pct"/>
            <w:shd w:val="clear" w:color="auto" w:fill="auto"/>
            <w:vAlign w:val="center"/>
          </w:tcPr>
          <w:p>
            <w:pPr>
              <w:jc w:val="right"/>
              <w:rPr>
                <w:rFonts w:ascii="宋体" w:hAnsi="宋体"/>
              </w:rPr>
            </w:pPr>
            <w:r>
              <w:rPr>
                <w:rFonts w:ascii="宋体" w:hAnsi="宋体"/>
              </w:rPr>
              <w:t>-991,824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2" w:type="pct"/>
            <w:vAlign w:val="center"/>
          </w:tcPr>
          <w:p>
            <w:pPr>
              <w:autoSpaceDE w:val="0"/>
              <w:autoSpaceDN w:val="0"/>
              <w:adjustRightInd w:val="0"/>
              <w:snapToGrid w:val="0"/>
              <w:jc w:val="center"/>
              <w:rPr>
                <w:rFonts w:ascii="宋体" w:hAnsi="宋体"/>
              </w:rPr>
            </w:pPr>
            <w:r>
              <w:rPr>
                <w:rFonts w:hint="eastAsia" w:ascii="宋体" w:hAnsi="宋体"/>
              </w:rPr>
              <w:t>合计</w:t>
            </w:r>
          </w:p>
        </w:tc>
        <w:tc>
          <w:tcPr>
            <w:tcW w:w="1005" w:type="pct"/>
            <w:vAlign w:val="center"/>
          </w:tcPr>
          <w:p>
            <w:pPr>
              <w:jc w:val="right"/>
              <w:rPr>
                <w:rFonts w:ascii="宋体" w:hAnsi="宋体"/>
              </w:rPr>
            </w:pPr>
            <w:r>
              <w:rPr>
                <w:rFonts w:ascii="宋体" w:hAnsi="宋体"/>
              </w:rPr>
              <w:t>6,579,324</w:t>
            </w:r>
          </w:p>
        </w:tc>
        <w:tc>
          <w:tcPr>
            <w:tcW w:w="1024" w:type="pct"/>
            <w:vAlign w:val="center"/>
          </w:tcPr>
          <w:p>
            <w:pPr>
              <w:jc w:val="right"/>
              <w:rPr>
                <w:rFonts w:ascii="宋体" w:hAnsi="宋体"/>
              </w:rPr>
            </w:pPr>
            <w:r>
              <w:rPr>
                <w:rFonts w:ascii="宋体" w:hAnsi="宋体"/>
              </w:rPr>
              <w:t>732,773</w:t>
            </w:r>
          </w:p>
        </w:tc>
        <w:tc>
          <w:tcPr>
            <w:tcW w:w="1015" w:type="pct"/>
            <w:vAlign w:val="center"/>
          </w:tcPr>
          <w:p>
            <w:pPr>
              <w:jc w:val="right"/>
              <w:rPr>
                <w:rFonts w:ascii="宋体" w:hAnsi="宋体"/>
              </w:rPr>
            </w:pPr>
            <w:r>
              <w:rPr>
                <w:rFonts w:ascii="宋体" w:hAnsi="宋体"/>
              </w:rPr>
              <w:t>7,391,201</w:t>
            </w:r>
          </w:p>
        </w:tc>
        <w:tc>
          <w:tcPr>
            <w:tcW w:w="1014" w:type="pct"/>
            <w:vAlign w:val="center"/>
          </w:tcPr>
          <w:p>
            <w:pPr>
              <w:jc w:val="right"/>
              <w:rPr>
                <w:rFonts w:ascii="宋体" w:hAnsi="宋体"/>
              </w:rPr>
            </w:pPr>
            <w:r>
              <w:rPr>
                <w:rFonts w:ascii="宋体" w:hAnsi="宋体"/>
              </w:rPr>
              <w:t>-79,104</w:t>
            </w:r>
          </w:p>
        </w:tc>
      </w:tr>
    </w:tbl>
    <w:p>
      <w:pPr>
        <w:pStyle w:val="501"/>
      </w:pPr>
      <w:r>
        <w:rPr>
          <w:rFonts w:hint="eastAsia"/>
        </w:rPr>
        <w:t>其他说明，包括本期增减变动情况、变动原因说明：</w:t>
      </w:r>
    </w:p>
    <w:sdt>
      <w:sdtPr>
        <w:alias w:val="资本公积说明"/>
        <w:tag w:val="_GBC_bd957b69783b49af88b2c285825bd0fc"/>
        <w:id w:val="1879587271"/>
        <w:placeholder>
          <w:docPart w:val="GBC22222222222222222222222222222"/>
        </w:placeholder>
      </w:sdtPr>
      <w:sdtEndPr>
        <w:rPr>
          <w:rFonts w:ascii="宋体" w:hAnsi="宋体"/>
        </w:rPr>
      </w:sdtEndPr>
      <w:sdtContent>
        <w:p>
          <w:pPr>
            <w:ind w:firstLine="420" w:firstLineChars="200"/>
            <w:rPr>
              <w:rFonts w:ascii="宋体" w:hAnsi="宋体"/>
            </w:rPr>
          </w:pPr>
          <w:r>
            <w:rPr>
              <w:rFonts w:hint="eastAsia" w:ascii="宋体" w:hAnsi="宋体"/>
            </w:rPr>
            <w:t>注1：股本溢价本年变动系本公司股票期权第三批次行权增加86,664千元，合并层面评估增值对应递延所得税重新计量导致资本公积增加51,241千元,子公司购买少数股东股权增加</w:t>
          </w:r>
          <w:r>
            <w:rPr>
              <w:rFonts w:ascii="宋体" w:hAnsi="宋体"/>
            </w:rPr>
            <w:t>298.106</w:t>
          </w:r>
          <w:r>
            <w:rPr>
              <w:rFonts w:hint="eastAsia" w:ascii="宋体" w:hAnsi="宋体"/>
            </w:rPr>
            <w:t>千元；同一控制下企业合并减少5,906,800千元，偿还永续债减少3,400千元。</w:t>
          </w:r>
        </w:p>
        <w:p>
          <w:pPr>
            <w:ind w:firstLine="420" w:firstLineChars="200"/>
            <w:rPr>
              <w:rFonts w:ascii="宋体" w:hAnsi="宋体"/>
            </w:rPr>
          </w:pPr>
          <w:r>
            <w:rPr>
              <w:rFonts w:hint="eastAsia" w:ascii="宋体" w:hAnsi="宋体"/>
            </w:rPr>
            <w:t>注2：其他资本公积本年变动系计提股权激励费用增加268,480千元，澳洲股份支付增加13,445千元，联营企业股权变动减少</w:t>
          </w:r>
          <w:r>
            <w:rPr>
              <w:rFonts w:ascii="宋体" w:hAnsi="宋体"/>
            </w:rPr>
            <w:t>1,424,052</w:t>
          </w:r>
          <w:r>
            <w:rPr>
              <w:rFonts w:hint="eastAsia" w:ascii="宋体" w:hAnsi="宋体"/>
            </w:rPr>
            <w:t>千元，期权行权减少42,112千元。</w:t>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库存股</w:t>
      </w:r>
    </w:p>
    <w:sdt>
      <w:sdtPr>
        <w:alias w:val="是否适用：库存股[双击切换]"/>
        <w:tag w:val="_GBC_8e4fbb6e216145d28e75f17bb16e2ed0"/>
        <w:id w:val="-42141819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43"/>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库存股"/>
          <w:tag w:val="_GBC_1762a395ee414a4ab9d088576fc67b95"/>
          <w:id w:val="-4127759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千元</w:t>
          </w:r>
        </w:sdtContent>
      </w:sdt>
      <w:r>
        <w:rPr>
          <w:rFonts w:hint="eastAsia" w:ascii="宋体" w:hAnsi="宋体"/>
          <w:szCs w:val="21"/>
        </w:rPr>
        <w:t xml:space="preserve">  币种：</w:t>
      </w:r>
      <w:sdt>
        <w:sdtPr>
          <w:rPr>
            <w:rFonts w:hint="eastAsia" w:ascii="宋体" w:hAnsi="宋体"/>
            <w:szCs w:val="21"/>
          </w:rPr>
          <w:alias w:val="币种：财务附注：库存股"/>
          <w:tag w:val="_GBC_aa9b77277b2f445fb00ee31519c400b8"/>
          <w:id w:val="1067373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712"/>
        <w:gridCol w:w="1808"/>
        <w:gridCol w:w="1837"/>
        <w:gridCol w:w="1850"/>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宋体" w:hAnsi="宋体"/>
            </w:rPr>
            <w:tag w:val="_PLD_3bb42fd3c8c244e1ba361777cd8b061c"/>
            <w:id w:val="-919800834"/>
          </w:sdtPr>
          <w:sdtEndPr>
            <w:rPr>
              <w:rFonts w:ascii="宋体" w:hAnsi="宋体"/>
            </w:rPr>
          </w:sdtEndPr>
          <w:sdtContent>
            <w:tc>
              <w:tcPr>
                <w:tcW w:w="945" w:type="pc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dbccb5fb3e6647159adf418aaf7a819d"/>
            <w:id w:val="-779646645"/>
          </w:sdtPr>
          <w:sdtEndPr>
            <w:rPr>
              <w:rFonts w:ascii="宋体" w:hAnsi="宋体"/>
            </w:rPr>
          </w:sdtEndPr>
          <w:sdtContent>
            <w:tc>
              <w:tcPr>
                <w:tcW w:w="998" w:type="pct"/>
                <w:shd w:val="clear" w:color="auto" w:fill="auto"/>
                <w:vAlign w:val="center"/>
              </w:tcPr>
              <w:p>
                <w:pPr>
                  <w:jc w:val="center"/>
                  <w:rPr>
                    <w:rFonts w:ascii="宋体" w:hAnsi="宋体"/>
                  </w:rPr>
                </w:pPr>
                <w:r>
                  <w:rPr>
                    <w:rFonts w:hint="eastAsia" w:ascii="宋体" w:hAnsi="宋体"/>
                  </w:rPr>
                  <w:t>期初余额</w:t>
                </w:r>
              </w:p>
            </w:tc>
          </w:sdtContent>
        </w:sdt>
        <w:sdt>
          <w:sdtPr>
            <w:rPr>
              <w:rFonts w:ascii="宋体" w:hAnsi="宋体"/>
            </w:rPr>
            <w:tag w:val="_PLD_efd45699d9ff4436b9e070adb8fb59ad"/>
            <w:id w:val="1488978970"/>
          </w:sdtPr>
          <w:sdtEndPr>
            <w:rPr>
              <w:rFonts w:ascii="宋体" w:hAnsi="宋体"/>
            </w:rPr>
          </w:sdtEndPr>
          <w:sdtContent>
            <w:tc>
              <w:tcPr>
                <w:tcW w:w="1014" w:type="pct"/>
                <w:shd w:val="clear" w:color="auto" w:fill="auto"/>
                <w:vAlign w:val="center"/>
              </w:tcPr>
              <w:p>
                <w:pPr>
                  <w:jc w:val="center"/>
                  <w:rPr>
                    <w:rFonts w:ascii="宋体" w:hAnsi="宋体"/>
                  </w:rPr>
                </w:pPr>
                <w:r>
                  <w:rPr>
                    <w:rFonts w:hint="eastAsia" w:ascii="宋体" w:hAnsi="宋体"/>
                  </w:rPr>
                  <w:t>本期增加</w:t>
                </w:r>
              </w:p>
            </w:tc>
          </w:sdtContent>
        </w:sdt>
        <w:sdt>
          <w:sdtPr>
            <w:rPr>
              <w:rFonts w:ascii="宋体" w:hAnsi="宋体"/>
            </w:rPr>
            <w:tag w:val="_PLD_98330c8585594c0b8f1ac93353a4e2bc"/>
            <w:id w:val="-1491864433"/>
          </w:sdtPr>
          <w:sdtEndPr>
            <w:rPr>
              <w:rFonts w:ascii="宋体" w:hAnsi="宋体"/>
            </w:rPr>
          </w:sdtEndPr>
          <w:sdtContent>
            <w:tc>
              <w:tcPr>
                <w:tcW w:w="1021" w:type="pct"/>
                <w:shd w:val="clear" w:color="auto" w:fill="auto"/>
                <w:vAlign w:val="center"/>
              </w:tcPr>
              <w:p>
                <w:pPr>
                  <w:jc w:val="center"/>
                  <w:rPr>
                    <w:rFonts w:ascii="宋体" w:hAnsi="宋体"/>
                  </w:rPr>
                </w:pPr>
                <w:r>
                  <w:rPr>
                    <w:rFonts w:hint="eastAsia" w:ascii="宋体" w:hAnsi="宋体"/>
                  </w:rPr>
                  <w:t>本期减少</w:t>
                </w:r>
              </w:p>
            </w:tc>
          </w:sdtContent>
        </w:sdt>
        <w:sdt>
          <w:sdtPr>
            <w:rPr>
              <w:rFonts w:ascii="宋体" w:hAnsi="宋体"/>
            </w:rPr>
            <w:tag w:val="_PLD_6d3e824a5a6f4f1fbc66e6ffabf43d1e"/>
            <w:id w:val="-2010510846"/>
          </w:sdtPr>
          <w:sdtEndPr>
            <w:rPr>
              <w:rFonts w:ascii="宋体" w:hAnsi="宋体"/>
            </w:rPr>
          </w:sdtEndPr>
          <w:sdtContent>
            <w:tc>
              <w:tcPr>
                <w:tcW w:w="1022" w:type="pct"/>
                <w:shd w:val="clear" w:color="auto" w:fill="auto"/>
                <w:vAlign w:val="center"/>
              </w:tcPr>
              <w:p>
                <w:pPr>
                  <w:jc w:val="center"/>
                  <w:rPr>
                    <w:rFonts w:ascii="宋体" w:hAnsi="宋体"/>
                  </w:rPr>
                </w:pPr>
                <w:r>
                  <w:rPr>
                    <w:rFonts w:hint="eastAsia"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5" w:type="pct"/>
            <w:shd w:val="clear" w:color="auto" w:fill="auto"/>
          </w:tcPr>
          <w:p>
            <w:pPr>
              <w:rPr>
                <w:rFonts w:ascii="宋体" w:hAnsi="宋体"/>
              </w:rPr>
            </w:pPr>
            <w:r>
              <w:rPr>
                <w:rFonts w:hint="eastAsia" w:ascii="宋体" w:hAnsi="宋体"/>
              </w:rPr>
              <w:t>限制性股票</w:t>
            </w:r>
          </w:p>
        </w:tc>
        <w:tc>
          <w:tcPr>
            <w:tcW w:w="998" w:type="pct"/>
            <w:vAlign w:val="center"/>
          </w:tcPr>
          <w:p>
            <w:pPr>
              <w:jc w:val="right"/>
              <w:rPr>
                <w:rFonts w:ascii="宋体" w:hAnsi="宋体"/>
              </w:rPr>
            </w:pPr>
            <w:r>
              <w:rPr>
                <w:rFonts w:ascii="宋体" w:hAnsi="宋体"/>
              </w:rPr>
              <w:t>723,593</w:t>
            </w:r>
          </w:p>
        </w:tc>
        <w:tc>
          <w:tcPr>
            <w:tcW w:w="1014" w:type="pct"/>
            <w:vAlign w:val="center"/>
          </w:tcPr>
          <w:p>
            <w:pPr>
              <w:jc w:val="right"/>
              <w:rPr>
                <w:rFonts w:ascii="宋体" w:hAnsi="宋体"/>
              </w:rPr>
            </w:pPr>
          </w:p>
        </w:tc>
        <w:tc>
          <w:tcPr>
            <w:tcW w:w="1021" w:type="pct"/>
          </w:tcPr>
          <w:p>
            <w:pPr>
              <w:jc w:val="right"/>
              <w:rPr>
                <w:rFonts w:ascii="宋体" w:hAnsi="宋体"/>
              </w:rPr>
            </w:pPr>
            <w:r>
              <w:rPr>
                <w:rFonts w:ascii="宋体" w:hAnsi="宋体"/>
              </w:rPr>
              <w:t>398,613</w:t>
            </w:r>
          </w:p>
        </w:tc>
        <w:tc>
          <w:tcPr>
            <w:tcW w:w="1022" w:type="pct"/>
          </w:tcPr>
          <w:p>
            <w:pPr>
              <w:jc w:val="right"/>
              <w:rPr>
                <w:rFonts w:ascii="宋体" w:hAnsi="宋体"/>
              </w:rPr>
            </w:pPr>
            <w:r>
              <w:rPr>
                <w:rFonts w:ascii="宋体" w:hAnsi="宋体"/>
              </w:rPr>
              <w:t>324,980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5" w:type="pct"/>
            <w:shd w:val="clear" w:color="auto" w:fill="auto"/>
            <w:vAlign w:val="center"/>
          </w:tcPr>
          <w:p>
            <w:pPr>
              <w:jc w:val="center"/>
              <w:rPr>
                <w:rFonts w:ascii="宋体" w:hAnsi="宋体"/>
              </w:rPr>
            </w:pPr>
            <w:r>
              <w:rPr>
                <w:rFonts w:hint="eastAsia" w:ascii="宋体" w:hAnsi="宋体"/>
              </w:rPr>
              <w:t>合计</w:t>
            </w:r>
          </w:p>
        </w:tc>
        <w:tc>
          <w:tcPr>
            <w:tcW w:w="998" w:type="pct"/>
            <w:vAlign w:val="center"/>
          </w:tcPr>
          <w:p>
            <w:pPr>
              <w:jc w:val="right"/>
              <w:rPr>
                <w:rFonts w:ascii="宋体" w:hAnsi="宋体"/>
              </w:rPr>
            </w:pPr>
            <w:r>
              <w:rPr>
                <w:rFonts w:hint="eastAsia" w:ascii="宋体" w:hAnsi="宋体"/>
              </w:rPr>
              <w:t>723,593</w:t>
            </w:r>
          </w:p>
        </w:tc>
        <w:tc>
          <w:tcPr>
            <w:tcW w:w="1014" w:type="pct"/>
            <w:vAlign w:val="center"/>
          </w:tcPr>
          <w:p>
            <w:pPr>
              <w:jc w:val="right"/>
              <w:rPr>
                <w:rFonts w:ascii="宋体" w:hAnsi="宋体"/>
              </w:rPr>
            </w:pPr>
          </w:p>
        </w:tc>
        <w:tc>
          <w:tcPr>
            <w:tcW w:w="1021" w:type="pct"/>
            <w:vAlign w:val="center"/>
          </w:tcPr>
          <w:p>
            <w:pPr>
              <w:jc w:val="right"/>
              <w:rPr>
                <w:rFonts w:ascii="宋体" w:hAnsi="宋体"/>
              </w:rPr>
            </w:pPr>
            <w:r>
              <w:rPr>
                <w:rFonts w:hint="eastAsia" w:ascii="宋体" w:hAnsi="宋体"/>
              </w:rPr>
              <w:t>398,613</w:t>
            </w:r>
          </w:p>
        </w:tc>
        <w:tc>
          <w:tcPr>
            <w:tcW w:w="1022" w:type="pct"/>
            <w:vAlign w:val="center"/>
          </w:tcPr>
          <w:p>
            <w:pPr>
              <w:jc w:val="right"/>
              <w:rPr>
                <w:rFonts w:ascii="宋体" w:hAnsi="宋体"/>
              </w:rPr>
            </w:pPr>
            <w:r>
              <w:rPr>
                <w:rFonts w:hint="eastAsia" w:ascii="宋体" w:hAnsi="宋体"/>
              </w:rPr>
              <w:t>324,980</w:t>
            </w:r>
          </w:p>
        </w:tc>
      </w:tr>
    </w:tbl>
    <w:p>
      <w:pPr>
        <w:sectPr>
          <w:pgSz w:w="11906" w:h="16838"/>
          <w:pgMar w:top="1440" w:right="1797" w:bottom="1525" w:left="1276" w:header="856" w:footer="992" w:gutter="0"/>
          <w:cols w:space="425" w:num="1"/>
          <w:docGrid w:linePitch="312" w:charSpace="0"/>
        </w:sectPr>
      </w:pPr>
      <w:bookmarkStart w:id="323" w:name="_Hlk10537776"/>
      <w:bookmarkEnd w:id="323"/>
    </w:p>
    <w:p>
      <w:pPr>
        <w:pStyle w:val="504"/>
        <w:numPr>
          <w:ilvl w:val="0"/>
          <w:numId w:val="69"/>
        </w:numPr>
        <w:tabs>
          <w:tab w:val="left" w:pos="504"/>
        </w:tabs>
        <w:rPr>
          <w:rFonts w:ascii="宋体" w:hAnsi="宋体"/>
          <w:szCs w:val="21"/>
        </w:rPr>
      </w:pPr>
      <w:r>
        <w:rPr>
          <w:rFonts w:hint="eastAsia" w:ascii="宋体" w:hAnsi="宋体"/>
          <w:szCs w:val="21"/>
        </w:rPr>
        <w:t>其他综合收益</w:t>
      </w:r>
    </w:p>
    <w:sdt>
      <w:sdtPr>
        <w:alias w:val="是否适用：其他综合收益[双击切换]"/>
        <w:tag w:val="_GBC_60105f81909745c788232a2118ec8260"/>
        <w:id w:val="937260483"/>
        <w:placeholder>
          <w:docPart w:val="GBC22222222222222222222222222222"/>
        </w:placeholder>
      </w:sdtPr>
      <w:sdtContent>
        <w:p>
          <w:pPr>
            <w:pStyle w:val="531"/>
          </w:pPr>
          <w:bookmarkStart w:id="324" w:name="_Hlk2402735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综合收益情况"/>
          <w:tag w:val="_GBC_e409bf7299734ac38578b7aeaafe4b22"/>
          <w:id w:val="357018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其他综合收益情况"/>
          <w:tag w:val="_GBC_27d655d96e764a21a47eae18f25945dc"/>
          <w:id w:val="1306013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14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7"/>
        <w:gridCol w:w="1380"/>
        <w:gridCol w:w="1418"/>
        <w:gridCol w:w="1810"/>
        <w:gridCol w:w="2017"/>
        <w:gridCol w:w="1363"/>
        <w:gridCol w:w="1339"/>
        <w:gridCol w:w="126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sdt>
          <w:sdtPr>
            <w:rPr>
              <w:rFonts w:ascii="宋体" w:hAnsi="宋体"/>
            </w:rPr>
            <w:tag w:val="_PLD_b9ff3615ccfb4fb8b5b240bdfb50f58f"/>
            <w:id w:val="-1290745963"/>
          </w:sdtPr>
          <w:sdtEndPr>
            <w:rPr>
              <w:rFonts w:ascii="宋体" w:hAnsi="宋体"/>
            </w:rPr>
          </w:sdtEndPr>
          <w:sdtContent>
            <w:tc>
              <w:tcPr>
                <w:tcW w:w="0" w:type="auto"/>
                <w:vMerge w:val="restar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c452eb3cb7084e41ba725641dbad27ab"/>
            <w:id w:val="141468624"/>
          </w:sdtPr>
          <w:sdtEndPr>
            <w:rPr>
              <w:rFonts w:ascii="宋体" w:hAnsi="宋体"/>
            </w:rPr>
          </w:sdtEndPr>
          <w:sdtContent>
            <w:tc>
              <w:tcPr>
                <w:tcW w:w="1380" w:type="dxa"/>
                <w:vMerge w:val="restart"/>
                <w:shd w:val="clear" w:color="auto" w:fill="auto"/>
                <w:vAlign w:val="center"/>
              </w:tcPr>
              <w:p>
                <w:pPr>
                  <w:jc w:val="center"/>
                  <w:rPr>
                    <w:rFonts w:ascii="宋体" w:hAnsi="宋体"/>
                  </w:rPr>
                </w:pPr>
                <w:r>
                  <w:rPr>
                    <w:rFonts w:hint="eastAsia" w:ascii="宋体" w:hAnsi="宋体"/>
                  </w:rPr>
                  <w:t>期初</w:t>
                </w:r>
              </w:p>
              <w:p>
                <w:pPr>
                  <w:jc w:val="center"/>
                  <w:rPr>
                    <w:rFonts w:ascii="宋体" w:hAnsi="宋体"/>
                  </w:rPr>
                </w:pPr>
                <w:r>
                  <w:rPr>
                    <w:rFonts w:hint="eastAsia" w:ascii="宋体" w:hAnsi="宋体"/>
                  </w:rPr>
                  <w:t>余额</w:t>
                </w:r>
              </w:p>
            </w:tc>
          </w:sdtContent>
        </w:sdt>
        <w:sdt>
          <w:sdtPr>
            <w:rPr>
              <w:rFonts w:ascii="宋体" w:hAnsi="宋体"/>
            </w:rPr>
            <w:tag w:val="_PLD_c4c67158aa744717a253a7b51b99ed00"/>
            <w:id w:val="-1304777317"/>
          </w:sdtPr>
          <w:sdtEndPr>
            <w:rPr>
              <w:rFonts w:ascii="宋体" w:hAnsi="宋体"/>
            </w:rPr>
          </w:sdtEndPr>
          <w:sdtContent>
            <w:tc>
              <w:tcPr>
                <w:tcW w:w="9214" w:type="dxa"/>
                <w:gridSpan w:val="6"/>
                <w:shd w:val="clear" w:color="auto" w:fill="auto"/>
                <w:vAlign w:val="center"/>
              </w:tcPr>
              <w:p>
                <w:pPr>
                  <w:jc w:val="center"/>
                  <w:rPr>
                    <w:rFonts w:ascii="宋体" w:hAnsi="宋体"/>
                  </w:rPr>
                </w:pPr>
                <w:r>
                  <w:rPr>
                    <w:rFonts w:hint="eastAsia" w:ascii="宋体" w:hAnsi="宋体"/>
                  </w:rPr>
                  <w:t>本期发生金额</w:t>
                </w:r>
              </w:p>
            </w:tc>
          </w:sdtContent>
        </w:sdt>
        <w:sdt>
          <w:sdtPr>
            <w:rPr>
              <w:rFonts w:ascii="宋体" w:hAnsi="宋体"/>
            </w:rPr>
            <w:tag w:val="_PLD_2fcdc30e089b48d0af01eff4e6c0c7ad"/>
            <w:id w:val="1896466781"/>
          </w:sdtPr>
          <w:sdtEndPr>
            <w:rPr>
              <w:rFonts w:ascii="宋体" w:hAnsi="宋体"/>
            </w:rPr>
          </w:sdtEndPr>
          <w:sdtContent>
            <w:tc>
              <w:tcPr>
                <w:tcW w:w="1418" w:type="dxa"/>
                <w:vMerge w:val="restart"/>
                <w:shd w:val="clear" w:color="auto" w:fill="auto"/>
                <w:vAlign w:val="center"/>
              </w:tcPr>
              <w:p>
                <w:pPr>
                  <w:jc w:val="center"/>
                  <w:rPr>
                    <w:rFonts w:ascii="宋体" w:hAnsi="宋体"/>
                  </w:rPr>
                </w:pPr>
                <w:r>
                  <w:rPr>
                    <w:rFonts w:hint="eastAsia" w:ascii="宋体" w:hAnsi="宋体"/>
                  </w:rPr>
                  <w:t>期末</w:t>
                </w:r>
              </w:p>
              <w:p>
                <w:pPr>
                  <w:jc w:val="center"/>
                  <w:rPr>
                    <w:rFonts w:ascii="宋体" w:hAnsi="宋体"/>
                  </w:rPr>
                </w:pPr>
                <w:r>
                  <w:rPr>
                    <w:rFonts w:hint="eastAsia" w:ascii="宋体" w:hAnsi="宋体"/>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shd w:val="clear" w:color="auto" w:fill="auto"/>
          </w:tcPr>
          <w:p>
            <w:pPr>
              <w:jc w:val="center"/>
              <w:rPr>
                <w:rFonts w:ascii="宋体" w:hAnsi="宋体"/>
              </w:rPr>
            </w:pPr>
          </w:p>
        </w:tc>
        <w:tc>
          <w:tcPr>
            <w:tcW w:w="1380" w:type="dxa"/>
            <w:vMerge w:val="continue"/>
            <w:shd w:val="clear" w:color="auto" w:fill="auto"/>
          </w:tcPr>
          <w:p>
            <w:pPr>
              <w:jc w:val="center"/>
              <w:rPr>
                <w:rFonts w:ascii="宋体" w:hAnsi="宋体"/>
              </w:rPr>
            </w:pPr>
          </w:p>
        </w:tc>
        <w:sdt>
          <w:sdtPr>
            <w:rPr>
              <w:rFonts w:ascii="宋体" w:hAnsi="宋体"/>
            </w:rPr>
            <w:tag w:val="_PLD_08b0381418824e1685e4223515aed1f1"/>
            <w:id w:val="1494988992"/>
          </w:sdtPr>
          <w:sdtEndPr>
            <w:rPr>
              <w:rFonts w:ascii="宋体" w:hAnsi="宋体"/>
            </w:rPr>
          </w:sdtEndPr>
          <w:sdtContent>
            <w:tc>
              <w:tcPr>
                <w:tcW w:w="1418" w:type="dxa"/>
                <w:shd w:val="clear" w:color="auto" w:fill="auto"/>
                <w:vAlign w:val="center"/>
              </w:tcPr>
              <w:p>
                <w:pPr>
                  <w:jc w:val="center"/>
                  <w:rPr>
                    <w:rFonts w:ascii="宋体" w:hAnsi="宋体"/>
                  </w:rPr>
                </w:pPr>
                <w:r>
                  <w:rPr>
                    <w:rFonts w:hint="eastAsia" w:ascii="宋体" w:hAnsi="宋体"/>
                  </w:rPr>
                  <w:t>本期所得税前发生额</w:t>
                </w:r>
              </w:p>
            </w:tc>
          </w:sdtContent>
        </w:sdt>
        <w:sdt>
          <w:sdtPr>
            <w:rPr>
              <w:rFonts w:ascii="宋体" w:hAnsi="宋体"/>
            </w:rPr>
            <w:tag w:val="_PLD_b9b4a9789ab94b46aa682fa396296a6f"/>
            <w:id w:val="-273095229"/>
          </w:sdtPr>
          <w:sdtEndPr>
            <w:rPr>
              <w:rFonts w:ascii="宋体" w:hAnsi="宋体"/>
            </w:rPr>
          </w:sdtEndPr>
          <w:sdtContent>
            <w:tc>
              <w:tcPr>
                <w:tcW w:w="1810" w:type="dxa"/>
                <w:shd w:val="clear" w:color="auto" w:fill="auto"/>
                <w:vAlign w:val="center"/>
              </w:tcPr>
              <w:p>
                <w:pPr>
                  <w:jc w:val="center"/>
                  <w:rPr>
                    <w:rFonts w:ascii="宋体" w:hAnsi="宋体"/>
                  </w:rPr>
                </w:pPr>
                <w:r>
                  <w:rPr>
                    <w:rFonts w:hint="eastAsia" w:ascii="宋体" w:hAnsi="宋体"/>
                  </w:rPr>
                  <w:t>减：前期计入其他综合收益当期转入损益</w:t>
                </w:r>
              </w:p>
            </w:tc>
          </w:sdtContent>
        </w:sdt>
        <w:tc>
          <w:tcPr>
            <w:tcW w:w="2017" w:type="dxa"/>
          </w:tcPr>
          <w:sdt>
            <w:sdtPr>
              <w:rPr>
                <w:rFonts w:hint="eastAsia" w:ascii="宋体" w:hAnsi="宋体"/>
              </w:rPr>
              <w:tag w:val="_PLD_a38fa46c72bd4d5dbd427d2107ab58cc"/>
              <w:id w:val="-868916228"/>
            </w:sdtPr>
            <w:sdtEndPr>
              <w:rPr>
                <w:rFonts w:hint="eastAsia" w:ascii="宋体" w:hAnsi="宋体"/>
              </w:rPr>
            </w:sdtEndPr>
            <w:sdtContent>
              <w:p>
                <w:pPr>
                  <w:jc w:val="center"/>
                  <w:rPr>
                    <w:rFonts w:ascii="宋体" w:hAnsi="宋体"/>
                  </w:rPr>
                </w:pPr>
                <w:r>
                  <w:rPr>
                    <w:rFonts w:hint="eastAsia" w:ascii="宋体" w:hAnsi="宋体"/>
                  </w:rPr>
                  <w:t>减：前期计入其他综合收益当期转入留存收益</w:t>
                </w:r>
              </w:p>
            </w:sdtContent>
          </w:sdt>
        </w:tc>
        <w:sdt>
          <w:sdtPr>
            <w:rPr>
              <w:rFonts w:ascii="宋体" w:hAnsi="宋体"/>
            </w:rPr>
            <w:tag w:val="_PLD_3aa0b45624ce4714ba49e23b657915b8"/>
            <w:id w:val="244005176"/>
          </w:sdtPr>
          <w:sdtEndPr>
            <w:rPr>
              <w:rFonts w:ascii="宋体" w:hAnsi="宋体"/>
            </w:rPr>
          </w:sdtEndPr>
          <w:sdtContent>
            <w:tc>
              <w:tcPr>
                <w:tcW w:w="1363" w:type="dxa"/>
                <w:shd w:val="clear" w:color="auto" w:fill="auto"/>
                <w:vAlign w:val="center"/>
              </w:tcPr>
              <w:p>
                <w:pPr>
                  <w:jc w:val="center"/>
                  <w:rPr>
                    <w:rFonts w:ascii="宋体" w:hAnsi="宋体"/>
                  </w:rPr>
                </w:pPr>
                <w:r>
                  <w:rPr>
                    <w:rFonts w:hint="eastAsia" w:ascii="宋体" w:hAnsi="宋体"/>
                  </w:rPr>
                  <w:t>减：所得税费用</w:t>
                </w:r>
              </w:p>
            </w:tc>
          </w:sdtContent>
        </w:sdt>
        <w:sdt>
          <w:sdtPr>
            <w:rPr>
              <w:rFonts w:ascii="宋体" w:hAnsi="宋体"/>
            </w:rPr>
            <w:tag w:val="_PLD_8b3cddc1172740f1a089204a9d0cbe76"/>
            <w:id w:val="1542558017"/>
          </w:sdtPr>
          <w:sdtEndPr>
            <w:rPr>
              <w:rFonts w:ascii="宋体" w:hAnsi="宋体"/>
            </w:rPr>
          </w:sdtEndPr>
          <w:sdtContent>
            <w:tc>
              <w:tcPr>
                <w:tcW w:w="0" w:type="auto"/>
                <w:shd w:val="clear" w:color="auto" w:fill="auto"/>
                <w:vAlign w:val="center"/>
              </w:tcPr>
              <w:p>
                <w:pPr>
                  <w:jc w:val="center"/>
                  <w:rPr>
                    <w:rFonts w:ascii="宋体" w:hAnsi="宋体"/>
                  </w:rPr>
                </w:pPr>
                <w:r>
                  <w:rPr>
                    <w:rFonts w:hint="eastAsia" w:ascii="宋体" w:hAnsi="宋体"/>
                  </w:rPr>
                  <w:t>税后归属于母公司</w:t>
                </w:r>
              </w:p>
            </w:tc>
          </w:sdtContent>
        </w:sdt>
        <w:sdt>
          <w:sdtPr>
            <w:rPr>
              <w:rFonts w:ascii="宋体" w:hAnsi="宋体"/>
            </w:rPr>
            <w:tag w:val="_PLD_addbe2b10c3b49449f4532c4ee8679a0"/>
            <w:id w:val="-684821211"/>
          </w:sdtPr>
          <w:sdtEndPr>
            <w:rPr>
              <w:rFonts w:ascii="宋体" w:hAnsi="宋体"/>
            </w:rPr>
          </w:sdtEndPr>
          <w:sdtContent>
            <w:tc>
              <w:tcPr>
                <w:tcW w:w="1267" w:type="dxa"/>
                <w:shd w:val="clear" w:color="auto" w:fill="auto"/>
                <w:vAlign w:val="center"/>
              </w:tcPr>
              <w:p>
                <w:pPr>
                  <w:jc w:val="center"/>
                  <w:rPr>
                    <w:rFonts w:ascii="宋体" w:hAnsi="宋体"/>
                  </w:rPr>
                </w:pPr>
                <w:r>
                  <w:rPr>
                    <w:rFonts w:hint="eastAsia" w:ascii="宋体" w:hAnsi="宋体"/>
                  </w:rPr>
                  <w:t>税后归属于少数股东</w:t>
                </w:r>
              </w:p>
            </w:tc>
          </w:sdtContent>
        </w:sdt>
        <w:tc>
          <w:tcPr>
            <w:tcW w:w="1418" w:type="dxa"/>
            <w:vMerge w:val="continue"/>
            <w:shd w:val="clear" w:color="auto" w:fill="auto"/>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rPr>
                <w:rFonts w:ascii="宋体" w:hAnsi="宋体"/>
              </w:rPr>
            </w:pPr>
            <w:r>
              <w:rPr>
                <w:rFonts w:hint="eastAsia" w:ascii="宋体" w:hAnsi="宋体"/>
              </w:rPr>
              <w:t>一、不能重分类进损益的其他综合收益</w:t>
            </w:r>
          </w:p>
        </w:tc>
        <w:tc>
          <w:tcPr>
            <w:tcW w:w="1380" w:type="dxa"/>
            <w:shd w:val="clear" w:color="auto" w:fill="auto"/>
            <w:vAlign w:val="center"/>
          </w:tcPr>
          <w:p>
            <w:pPr>
              <w:jc w:val="right"/>
              <w:rPr>
                <w:rFonts w:ascii="宋体" w:hAnsi="宋体"/>
              </w:rPr>
            </w:pPr>
            <w:r>
              <w:rPr>
                <w:rFonts w:ascii="宋体" w:hAnsi="宋体"/>
              </w:rPr>
              <w:t>-4,180</w:t>
            </w:r>
          </w:p>
        </w:tc>
        <w:tc>
          <w:tcPr>
            <w:tcW w:w="1418" w:type="dxa"/>
            <w:shd w:val="clear" w:color="auto" w:fill="auto"/>
            <w:vAlign w:val="center"/>
          </w:tcPr>
          <w:p>
            <w:pPr>
              <w:jc w:val="right"/>
              <w:rPr>
                <w:rFonts w:ascii="宋体" w:hAnsi="宋体"/>
              </w:rPr>
            </w:pPr>
            <w:r>
              <w:rPr>
                <w:rFonts w:ascii="宋体" w:hAnsi="宋体"/>
              </w:rPr>
              <w:t>-4,548</w:t>
            </w:r>
          </w:p>
        </w:tc>
        <w:tc>
          <w:tcPr>
            <w:tcW w:w="1810" w:type="dxa"/>
            <w:shd w:val="clear" w:color="auto" w:fill="auto"/>
            <w:vAlign w:val="center"/>
          </w:tcPr>
          <w:p>
            <w:pPr>
              <w:jc w:val="right"/>
              <w:rPr>
                <w:rFonts w:ascii="宋体" w:hAnsi="宋体"/>
              </w:rPr>
            </w:pPr>
          </w:p>
        </w:tc>
        <w:tc>
          <w:tcPr>
            <w:tcW w:w="2017" w:type="dxa"/>
            <w:vAlign w:val="center"/>
          </w:tcPr>
          <w:p>
            <w:pPr>
              <w:jc w:val="right"/>
              <w:rPr>
                <w:rFonts w:ascii="宋体" w:hAnsi="宋体"/>
              </w:rPr>
            </w:pPr>
          </w:p>
        </w:tc>
        <w:tc>
          <w:tcPr>
            <w:tcW w:w="1363" w:type="dxa"/>
            <w:shd w:val="clear" w:color="auto" w:fill="auto"/>
            <w:vAlign w:val="center"/>
          </w:tcPr>
          <w:p>
            <w:pPr>
              <w:jc w:val="right"/>
              <w:rPr>
                <w:rFonts w:ascii="宋体" w:hAnsi="宋体"/>
              </w:rPr>
            </w:pPr>
            <w:r>
              <w:rPr>
                <w:rFonts w:ascii="宋体" w:hAnsi="宋体"/>
              </w:rPr>
              <w:t>-30</w:t>
            </w:r>
          </w:p>
        </w:tc>
        <w:tc>
          <w:tcPr>
            <w:tcW w:w="0" w:type="auto"/>
            <w:shd w:val="clear" w:color="auto" w:fill="auto"/>
            <w:vAlign w:val="center"/>
          </w:tcPr>
          <w:p>
            <w:pPr>
              <w:jc w:val="right"/>
              <w:rPr>
                <w:rFonts w:ascii="宋体" w:hAnsi="宋体"/>
              </w:rPr>
            </w:pPr>
            <w:r>
              <w:rPr>
                <w:rFonts w:ascii="宋体" w:hAnsi="宋体"/>
              </w:rPr>
              <w:t>487</w:t>
            </w:r>
          </w:p>
        </w:tc>
        <w:tc>
          <w:tcPr>
            <w:tcW w:w="1267" w:type="dxa"/>
            <w:shd w:val="clear" w:color="auto" w:fill="auto"/>
            <w:vAlign w:val="center"/>
          </w:tcPr>
          <w:p>
            <w:pPr>
              <w:jc w:val="right"/>
              <w:rPr>
                <w:rFonts w:ascii="宋体" w:hAnsi="宋体"/>
              </w:rPr>
            </w:pPr>
            <w:r>
              <w:rPr>
                <w:rFonts w:ascii="宋体" w:hAnsi="宋体"/>
              </w:rPr>
              <w:t>-5,005</w:t>
            </w:r>
          </w:p>
        </w:tc>
        <w:tc>
          <w:tcPr>
            <w:tcW w:w="1418" w:type="dxa"/>
            <w:shd w:val="clear" w:color="auto" w:fill="auto"/>
            <w:vAlign w:val="center"/>
          </w:tcPr>
          <w:p>
            <w:pPr>
              <w:jc w:val="right"/>
              <w:rPr>
                <w:rFonts w:ascii="宋体" w:hAnsi="宋体"/>
              </w:rPr>
            </w:pPr>
            <w:r>
              <w:rPr>
                <w:rFonts w:ascii="宋体" w:hAnsi="宋体"/>
              </w:rPr>
              <w:t>-3,693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rPr>
                <w:rFonts w:ascii="宋体" w:hAnsi="宋体"/>
              </w:rPr>
            </w:pPr>
            <w:r>
              <w:rPr>
                <w:rFonts w:hint="eastAsia" w:ascii="宋体" w:hAnsi="宋体"/>
              </w:rPr>
              <w:t>其中：重新计量设定受益计划变动额</w:t>
            </w:r>
          </w:p>
        </w:tc>
        <w:tc>
          <w:tcPr>
            <w:tcW w:w="1380" w:type="dxa"/>
            <w:shd w:val="clear" w:color="auto" w:fill="auto"/>
            <w:vAlign w:val="center"/>
          </w:tcPr>
          <w:p>
            <w:pPr>
              <w:jc w:val="right"/>
              <w:rPr>
                <w:rFonts w:ascii="宋体" w:hAnsi="宋体"/>
              </w:rPr>
            </w:pPr>
            <w:r>
              <w:rPr>
                <w:rFonts w:ascii="宋体" w:hAnsi="宋体"/>
              </w:rPr>
              <w:t>-3,648</w:t>
            </w:r>
          </w:p>
        </w:tc>
        <w:tc>
          <w:tcPr>
            <w:tcW w:w="1418" w:type="dxa"/>
            <w:shd w:val="clear" w:color="auto" w:fill="auto"/>
            <w:vAlign w:val="center"/>
          </w:tcPr>
          <w:p>
            <w:pPr>
              <w:jc w:val="right"/>
              <w:rPr>
                <w:rFonts w:ascii="宋体" w:hAnsi="宋体"/>
              </w:rPr>
            </w:pPr>
            <w:r>
              <w:rPr>
                <w:rFonts w:ascii="宋体" w:hAnsi="宋体"/>
              </w:rPr>
              <w:t>-10,213</w:t>
            </w:r>
          </w:p>
        </w:tc>
        <w:tc>
          <w:tcPr>
            <w:tcW w:w="1810" w:type="dxa"/>
            <w:shd w:val="clear" w:color="auto" w:fill="auto"/>
            <w:vAlign w:val="center"/>
          </w:tcPr>
          <w:p>
            <w:pPr>
              <w:jc w:val="right"/>
              <w:rPr>
                <w:rFonts w:ascii="宋体" w:hAnsi="宋体"/>
              </w:rPr>
            </w:pPr>
          </w:p>
        </w:tc>
        <w:tc>
          <w:tcPr>
            <w:tcW w:w="2017" w:type="dxa"/>
            <w:vAlign w:val="center"/>
          </w:tcPr>
          <w:p>
            <w:pPr>
              <w:jc w:val="right"/>
              <w:rPr>
                <w:rFonts w:ascii="宋体" w:hAnsi="宋体"/>
              </w:rPr>
            </w:pPr>
          </w:p>
        </w:tc>
        <w:tc>
          <w:tcPr>
            <w:tcW w:w="1363" w:type="dxa"/>
            <w:shd w:val="clear" w:color="auto" w:fill="auto"/>
            <w:vAlign w:val="center"/>
          </w:tcPr>
          <w:p>
            <w:pPr>
              <w:jc w:val="right"/>
              <w:rPr>
                <w:rFonts w:ascii="宋体" w:hAnsi="宋体"/>
              </w:rPr>
            </w:pPr>
          </w:p>
        </w:tc>
        <w:tc>
          <w:tcPr>
            <w:tcW w:w="0" w:type="auto"/>
            <w:shd w:val="clear" w:color="auto" w:fill="auto"/>
            <w:vAlign w:val="center"/>
          </w:tcPr>
          <w:p>
            <w:pPr>
              <w:jc w:val="right"/>
              <w:rPr>
                <w:rFonts w:ascii="宋体" w:hAnsi="宋体"/>
              </w:rPr>
            </w:pPr>
            <w:r>
              <w:rPr>
                <w:rFonts w:ascii="宋体" w:hAnsi="宋体"/>
              </w:rPr>
              <w:t>-5,208</w:t>
            </w:r>
          </w:p>
        </w:tc>
        <w:tc>
          <w:tcPr>
            <w:tcW w:w="1267" w:type="dxa"/>
            <w:shd w:val="clear" w:color="auto" w:fill="auto"/>
            <w:vAlign w:val="center"/>
          </w:tcPr>
          <w:p>
            <w:pPr>
              <w:jc w:val="right"/>
              <w:rPr>
                <w:rFonts w:ascii="宋体" w:hAnsi="宋体"/>
              </w:rPr>
            </w:pPr>
            <w:r>
              <w:rPr>
                <w:rFonts w:ascii="宋体" w:hAnsi="宋体"/>
              </w:rPr>
              <w:t>-5,005</w:t>
            </w:r>
          </w:p>
        </w:tc>
        <w:tc>
          <w:tcPr>
            <w:tcW w:w="1418" w:type="dxa"/>
            <w:shd w:val="clear" w:color="auto" w:fill="auto"/>
            <w:vAlign w:val="center"/>
          </w:tcPr>
          <w:p>
            <w:pPr>
              <w:jc w:val="right"/>
              <w:rPr>
                <w:rFonts w:ascii="宋体" w:hAnsi="宋体"/>
              </w:rPr>
            </w:pPr>
            <w:r>
              <w:rPr>
                <w:rFonts w:ascii="宋体" w:hAnsi="宋体"/>
              </w:rPr>
              <w:t>-8,856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rPr>
                <w:rFonts w:ascii="宋体" w:hAnsi="宋体"/>
              </w:rPr>
            </w:pPr>
            <w:r>
              <w:rPr>
                <w:rFonts w:hint="eastAsia" w:ascii="宋体" w:hAnsi="宋体"/>
              </w:rPr>
              <w:t>权益法下不能转损益的其他综合收益</w:t>
            </w:r>
          </w:p>
        </w:tc>
        <w:tc>
          <w:tcPr>
            <w:tcW w:w="1380" w:type="dxa"/>
            <w:shd w:val="clear" w:color="auto" w:fill="auto"/>
            <w:vAlign w:val="center"/>
          </w:tcPr>
          <w:p>
            <w:pPr>
              <w:jc w:val="right"/>
              <w:rPr>
                <w:rFonts w:ascii="宋体" w:hAnsi="宋体"/>
              </w:rPr>
            </w:pPr>
          </w:p>
        </w:tc>
        <w:tc>
          <w:tcPr>
            <w:tcW w:w="1418" w:type="dxa"/>
            <w:shd w:val="clear" w:color="auto" w:fill="auto"/>
            <w:vAlign w:val="center"/>
          </w:tcPr>
          <w:p>
            <w:pPr>
              <w:jc w:val="right"/>
              <w:rPr>
                <w:rFonts w:ascii="宋体" w:hAnsi="宋体"/>
              </w:rPr>
            </w:pPr>
            <w:r>
              <w:rPr>
                <w:rFonts w:ascii="宋体" w:hAnsi="宋体"/>
              </w:rPr>
              <w:t>5,884</w:t>
            </w:r>
          </w:p>
        </w:tc>
        <w:tc>
          <w:tcPr>
            <w:tcW w:w="1810" w:type="dxa"/>
            <w:shd w:val="clear" w:color="auto" w:fill="auto"/>
            <w:vAlign w:val="center"/>
          </w:tcPr>
          <w:p>
            <w:pPr>
              <w:jc w:val="right"/>
              <w:rPr>
                <w:rFonts w:ascii="宋体" w:hAnsi="宋体"/>
              </w:rPr>
            </w:pPr>
          </w:p>
        </w:tc>
        <w:tc>
          <w:tcPr>
            <w:tcW w:w="2017" w:type="dxa"/>
            <w:vAlign w:val="center"/>
          </w:tcPr>
          <w:p>
            <w:pPr>
              <w:jc w:val="right"/>
              <w:rPr>
                <w:rFonts w:ascii="宋体" w:hAnsi="宋体"/>
              </w:rPr>
            </w:pPr>
          </w:p>
        </w:tc>
        <w:tc>
          <w:tcPr>
            <w:tcW w:w="1363" w:type="dxa"/>
            <w:shd w:val="clear" w:color="auto" w:fill="auto"/>
            <w:vAlign w:val="center"/>
          </w:tcPr>
          <w:p>
            <w:pPr>
              <w:jc w:val="right"/>
              <w:rPr>
                <w:rFonts w:ascii="宋体" w:hAnsi="宋体"/>
              </w:rPr>
            </w:pPr>
          </w:p>
        </w:tc>
        <w:tc>
          <w:tcPr>
            <w:tcW w:w="0" w:type="auto"/>
            <w:shd w:val="clear" w:color="auto" w:fill="auto"/>
            <w:vAlign w:val="center"/>
          </w:tcPr>
          <w:p>
            <w:pPr>
              <w:jc w:val="right"/>
              <w:rPr>
                <w:rFonts w:ascii="宋体" w:hAnsi="宋体"/>
              </w:rPr>
            </w:pPr>
            <w:r>
              <w:rPr>
                <w:rFonts w:ascii="宋体" w:hAnsi="宋体"/>
              </w:rPr>
              <w:t>5,884</w:t>
            </w:r>
          </w:p>
        </w:tc>
        <w:tc>
          <w:tcPr>
            <w:tcW w:w="1267" w:type="dxa"/>
            <w:shd w:val="clear" w:color="auto" w:fill="auto"/>
            <w:vAlign w:val="center"/>
          </w:tcPr>
          <w:p>
            <w:pPr>
              <w:jc w:val="right"/>
              <w:rPr>
                <w:rFonts w:ascii="宋体" w:hAnsi="宋体"/>
              </w:rPr>
            </w:pPr>
          </w:p>
        </w:tc>
        <w:tc>
          <w:tcPr>
            <w:tcW w:w="1418" w:type="dxa"/>
            <w:shd w:val="clear" w:color="auto" w:fill="auto"/>
            <w:vAlign w:val="center"/>
          </w:tcPr>
          <w:p>
            <w:pPr>
              <w:jc w:val="right"/>
              <w:rPr>
                <w:rFonts w:ascii="宋体" w:hAnsi="宋体"/>
              </w:rPr>
            </w:pPr>
            <w:r>
              <w:rPr>
                <w:rFonts w:ascii="宋体" w:hAnsi="宋体"/>
              </w:rPr>
              <w:t>5,884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rPr>
                <w:rFonts w:ascii="宋体" w:hAnsi="宋体"/>
              </w:rPr>
            </w:pPr>
            <w:r>
              <w:rPr>
                <w:rFonts w:hint="eastAsia" w:ascii="宋体" w:hAnsi="宋体"/>
              </w:rPr>
              <w:t>其他权益工具投资公允价值变动</w:t>
            </w:r>
          </w:p>
        </w:tc>
        <w:tc>
          <w:tcPr>
            <w:tcW w:w="1380" w:type="dxa"/>
            <w:shd w:val="clear" w:color="auto" w:fill="auto"/>
            <w:vAlign w:val="center"/>
          </w:tcPr>
          <w:p>
            <w:pPr>
              <w:jc w:val="right"/>
              <w:rPr>
                <w:rFonts w:ascii="宋体" w:hAnsi="宋体"/>
              </w:rPr>
            </w:pPr>
            <w:r>
              <w:rPr>
                <w:rFonts w:ascii="宋体" w:hAnsi="宋体"/>
              </w:rPr>
              <w:t>-532</w:t>
            </w:r>
          </w:p>
        </w:tc>
        <w:tc>
          <w:tcPr>
            <w:tcW w:w="1418" w:type="dxa"/>
            <w:shd w:val="clear" w:color="auto" w:fill="auto"/>
            <w:vAlign w:val="center"/>
          </w:tcPr>
          <w:p>
            <w:pPr>
              <w:jc w:val="right"/>
              <w:rPr>
                <w:rFonts w:ascii="宋体" w:hAnsi="宋体"/>
              </w:rPr>
            </w:pPr>
            <w:r>
              <w:rPr>
                <w:rFonts w:ascii="宋体" w:hAnsi="宋体"/>
              </w:rPr>
              <w:t>-219</w:t>
            </w:r>
          </w:p>
        </w:tc>
        <w:tc>
          <w:tcPr>
            <w:tcW w:w="1810" w:type="dxa"/>
            <w:shd w:val="clear" w:color="auto" w:fill="auto"/>
            <w:vAlign w:val="center"/>
          </w:tcPr>
          <w:p>
            <w:pPr>
              <w:jc w:val="right"/>
              <w:rPr>
                <w:rFonts w:ascii="宋体" w:hAnsi="宋体"/>
              </w:rPr>
            </w:pPr>
          </w:p>
        </w:tc>
        <w:tc>
          <w:tcPr>
            <w:tcW w:w="2017" w:type="dxa"/>
            <w:vAlign w:val="center"/>
          </w:tcPr>
          <w:p>
            <w:pPr>
              <w:jc w:val="right"/>
              <w:rPr>
                <w:rFonts w:ascii="宋体" w:hAnsi="宋体"/>
              </w:rPr>
            </w:pPr>
          </w:p>
        </w:tc>
        <w:tc>
          <w:tcPr>
            <w:tcW w:w="1363" w:type="dxa"/>
            <w:shd w:val="clear" w:color="auto" w:fill="auto"/>
            <w:vAlign w:val="center"/>
          </w:tcPr>
          <w:p>
            <w:pPr>
              <w:jc w:val="right"/>
              <w:rPr>
                <w:rFonts w:ascii="宋体" w:hAnsi="宋体"/>
              </w:rPr>
            </w:pPr>
            <w:r>
              <w:rPr>
                <w:rFonts w:ascii="宋体" w:hAnsi="宋体"/>
              </w:rPr>
              <w:t>-30</w:t>
            </w:r>
          </w:p>
        </w:tc>
        <w:tc>
          <w:tcPr>
            <w:tcW w:w="0" w:type="auto"/>
            <w:shd w:val="clear" w:color="auto" w:fill="auto"/>
            <w:vAlign w:val="center"/>
          </w:tcPr>
          <w:p>
            <w:pPr>
              <w:jc w:val="right"/>
              <w:rPr>
                <w:rFonts w:ascii="宋体" w:hAnsi="宋体"/>
              </w:rPr>
            </w:pPr>
            <w:r>
              <w:rPr>
                <w:rFonts w:ascii="宋体" w:hAnsi="宋体"/>
              </w:rPr>
              <w:t>-189</w:t>
            </w:r>
          </w:p>
        </w:tc>
        <w:tc>
          <w:tcPr>
            <w:tcW w:w="1267" w:type="dxa"/>
            <w:shd w:val="clear" w:color="auto" w:fill="auto"/>
            <w:vAlign w:val="center"/>
          </w:tcPr>
          <w:p>
            <w:pPr>
              <w:jc w:val="right"/>
              <w:rPr>
                <w:rFonts w:ascii="宋体" w:hAnsi="宋体"/>
              </w:rPr>
            </w:pPr>
          </w:p>
        </w:tc>
        <w:tc>
          <w:tcPr>
            <w:tcW w:w="1418" w:type="dxa"/>
            <w:shd w:val="clear" w:color="auto" w:fill="auto"/>
            <w:vAlign w:val="center"/>
          </w:tcPr>
          <w:p>
            <w:pPr>
              <w:jc w:val="right"/>
              <w:rPr>
                <w:rFonts w:ascii="宋体" w:hAnsi="宋体"/>
              </w:rPr>
            </w:pPr>
            <w:r>
              <w:rPr>
                <w:rFonts w:ascii="宋体" w:hAnsi="宋体"/>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rPr>
                <w:rFonts w:ascii="宋体" w:hAnsi="宋体"/>
              </w:rPr>
            </w:pPr>
            <w:r>
              <w:rPr>
                <w:rFonts w:hint="eastAsia" w:ascii="宋体" w:hAnsi="宋体"/>
              </w:rPr>
              <w:t>二、将重分类进损益的其他综合收益</w:t>
            </w:r>
          </w:p>
        </w:tc>
        <w:tc>
          <w:tcPr>
            <w:tcW w:w="1380" w:type="dxa"/>
            <w:shd w:val="clear" w:color="auto" w:fill="auto"/>
            <w:vAlign w:val="center"/>
          </w:tcPr>
          <w:p>
            <w:pPr>
              <w:jc w:val="right"/>
              <w:rPr>
                <w:rFonts w:ascii="宋体" w:hAnsi="宋体"/>
              </w:rPr>
            </w:pPr>
            <w:r>
              <w:rPr>
                <w:rFonts w:ascii="宋体" w:hAnsi="宋体"/>
              </w:rPr>
              <w:t>-7,151,413</w:t>
            </w:r>
          </w:p>
        </w:tc>
        <w:tc>
          <w:tcPr>
            <w:tcW w:w="1418" w:type="dxa"/>
            <w:shd w:val="clear" w:color="auto" w:fill="auto"/>
            <w:vAlign w:val="center"/>
          </w:tcPr>
          <w:p>
            <w:pPr>
              <w:jc w:val="right"/>
              <w:rPr>
                <w:rFonts w:ascii="宋体" w:hAnsi="宋体"/>
              </w:rPr>
            </w:pPr>
            <w:r>
              <w:rPr>
                <w:rFonts w:ascii="宋体" w:hAnsi="宋体"/>
              </w:rPr>
              <w:t>1,128,967</w:t>
            </w:r>
          </w:p>
        </w:tc>
        <w:tc>
          <w:tcPr>
            <w:tcW w:w="1810" w:type="dxa"/>
            <w:shd w:val="clear" w:color="auto" w:fill="auto"/>
            <w:vAlign w:val="center"/>
          </w:tcPr>
          <w:p>
            <w:pPr>
              <w:jc w:val="right"/>
              <w:rPr>
                <w:rFonts w:ascii="宋体" w:hAnsi="宋体"/>
              </w:rPr>
            </w:pPr>
            <w:r>
              <w:rPr>
                <w:rFonts w:ascii="宋体" w:hAnsi="宋体"/>
              </w:rPr>
              <w:t>-5,786</w:t>
            </w:r>
          </w:p>
        </w:tc>
        <w:tc>
          <w:tcPr>
            <w:tcW w:w="2017" w:type="dxa"/>
            <w:vAlign w:val="center"/>
          </w:tcPr>
          <w:p>
            <w:pPr>
              <w:jc w:val="right"/>
              <w:rPr>
                <w:rFonts w:ascii="宋体" w:hAnsi="宋体"/>
              </w:rPr>
            </w:pPr>
          </w:p>
        </w:tc>
        <w:tc>
          <w:tcPr>
            <w:tcW w:w="1363" w:type="dxa"/>
            <w:shd w:val="clear" w:color="auto" w:fill="auto"/>
            <w:vAlign w:val="center"/>
          </w:tcPr>
          <w:p>
            <w:pPr>
              <w:jc w:val="right"/>
              <w:rPr>
                <w:rFonts w:ascii="宋体" w:hAnsi="宋体"/>
              </w:rPr>
            </w:pPr>
            <w:r>
              <w:rPr>
                <w:rFonts w:ascii="宋体" w:hAnsi="宋体"/>
              </w:rPr>
              <w:t>-12,369</w:t>
            </w:r>
          </w:p>
        </w:tc>
        <w:tc>
          <w:tcPr>
            <w:tcW w:w="0" w:type="auto"/>
            <w:shd w:val="clear" w:color="auto" w:fill="auto"/>
            <w:vAlign w:val="center"/>
          </w:tcPr>
          <w:p>
            <w:pPr>
              <w:jc w:val="right"/>
              <w:rPr>
                <w:rFonts w:ascii="宋体" w:hAnsi="宋体"/>
              </w:rPr>
            </w:pPr>
            <w:r>
              <w:rPr>
                <w:rFonts w:ascii="宋体" w:hAnsi="宋体"/>
              </w:rPr>
              <w:t>820,390</w:t>
            </w:r>
          </w:p>
        </w:tc>
        <w:tc>
          <w:tcPr>
            <w:tcW w:w="1267" w:type="dxa"/>
            <w:shd w:val="clear" w:color="auto" w:fill="auto"/>
            <w:vAlign w:val="center"/>
          </w:tcPr>
          <w:p>
            <w:pPr>
              <w:jc w:val="right"/>
              <w:rPr>
                <w:rFonts w:ascii="宋体" w:hAnsi="宋体"/>
              </w:rPr>
            </w:pPr>
            <w:r>
              <w:rPr>
                <w:rFonts w:ascii="宋体" w:hAnsi="宋体"/>
              </w:rPr>
              <w:t>326,732</w:t>
            </w:r>
          </w:p>
        </w:tc>
        <w:tc>
          <w:tcPr>
            <w:tcW w:w="1418" w:type="dxa"/>
            <w:shd w:val="clear" w:color="auto" w:fill="auto"/>
            <w:vAlign w:val="center"/>
          </w:tcPr>
          <w:p>
            <w:pPr>
              <w:jc w:val="right"/>
              <w:rPr>
                <w:rFonts w:ascii="宋体" w:hAnsi="宋体"/>
              </w:rPr>
            </w:pPr>
            <w:r>
              <w:rPr>
                <w:rFonts w:ascii="宋体" w:hAnsi="宋体"/>
              </w:rPr>
              <w:t>-6,331,023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rPr>
                <w:rFonts w:ascii="宋体" w:hAnsi="宋体"/>
              </w:rPr>
            </w:pPr>
            <w:r>
              <w:rPr>
                <w:rFonts w:hint="eastAsia" w:ascii="宋体" w:hAnsi="宋体"/>
              </w:rPr>
              <w:t>其中：权益法下可转损益的其他综合收益</w:t>
            </w:r>
          </w:p>
        </w:tc>
        <w:tc>
          <w:tcPr>
            <w:tcW w:w="1380" w:type="dxa"/>
            <w:shd w:val="clear" w:color="auto" w:fill="auto"/>
            <w:vAlign w:val="center"/>
          </w:tcPr>
          <w:p>
            <w:pPr>
              <w:jc w:val="right"/>
              <w:rPr>
                <w:rFonts w:ascii="宋体" w:hAnsi="宋体"/>
              </w:rPr>
            </w:pPr>
            <w:r>
              <w:rPr>
                <w:rFonts w:ascii="宋体" w:hAnsi="宋体"/>
              </w:rPr>
              <w:t>-19,014</w:t>
            </w:r>
          </w:p>
        </w:tc>
        <w:tc>
          <w:tcPr>
            <w:tcW w:w="1418" w:type="dxa"/>
            <w:shd w:val="clear" w:color="auto" w:fill="auto"/>
            <w:vAlign w:val="center"/>
          </w:tcPr>
          <w:p>
            <w:pPr>
              <w:jc w:val="right"/>
              <w:rPr>
                <w:rFonts w:ascii="宋体" w:hAnsi="宋体"/>
              </w:rPr>
            </w:pPr>
            <w:r>
              <w:rPr>
                <w:rFonts w:ascii="宋体" w:hAnsi="宋体"/>
              </w:rPr>
              <w:t>49,734</w:t>
            </w:r>
          </w:p>
        </w:tc>
        <w:tc>
          <w:tcPr>
            <w:tcW w:w="1810" w:type="dxa"/>
            <w:shd w:val="clear" w:color="auto" w:fill="auto"/>
            <w:vAlign w:val="center"/>
          </w:tcPr>
          <w:p>
            <w:pPr>
              <w:jc w:val="right"/>
              <w:rPr>
                <w:rFonts w:ascii="宋体" w:hAnsi="宋体"/>
              </w:rPr>
            </w:pPr>
          </w:p>
        </w:tc>
        <w:tc>
          <w:tcPr>
            <w:tcW w:w="2017" w:type="dxa"/>
            <w:vAlign w:val="center"/>
          </w:tcPr>
          <w:p>
            <w:pPr>
              <w:jc w:val="right"/>
              <w:rPr>
                <w:rFonts w:ascii="宋体" w:hAnsi="宋体"/>
              </w:rPr>
            </w:pPr>
          </w:p>
        </w:tc>
        <w:tc>
          <w:tcPr>
            <w:tcW w:w="1363" w:type="dxa"/>
            <w:shd w:val="clear" w:color="auto" w:fill="auto"/>
            <w:vAlign w:val="center"/>
          </w:tcPr>
          <w:p>
            <w:pPr>
              <w:jc w:val="right"/>
              <w:rPr>
                <w:rFonts w:ascii="宋体" w:hAnsi="宋体"/>
              </w:rPr>
            </w:pPr>
          </w:p>
        </w:tc>
        <w:tc>
          <w:tcPr>
            <w:tcW w:w="0" w:type="auto"/>
            <w:shd w:val="clear" w:color="auto" w:fill="auto"/>
            <w:vAlign w:val="center"/>
          </w:tcPr>
          <w:p>
            <w:pPr>
              <w:jc w:val="right"/>
              <w:rPr>
                <w:rFonts w:ascii="宋体" w:hAnsi="宋体"/>
              </w:rPr>
            </w:pPr>
            <w:r>
              <w:rPr>
                <w:rFonts w:ascii="宋体" w:hAnsi="宋体"/>
              </w:rPr>
              <w:t>49,734</w:t>
            </w:r>
          </w:p>
        </w:tc>
        <w:tc>
          <w:tcPr>
            <w:tcW w:w="1267" w:type="dxa"/>
            <w:shd w:val="clear" w:color="auto" w:fill="auto"/>
            <w:vAlign w:val="center"/>
          </w:tcPr>
          <w:p>
            <w:pPr>
              <w:jc w:val="right"/>
              <w:rPr>
                <w:rFonts w:ascii="宋体" w:hAnsi="宋体"/>
              </w:rPr>
            </w:pPr>
          </w:p>
        </w:tc>
        <w:tc>
          <w:tcPr>
            <w:tcW w:w="1418" w:type="dxa"/>
            <w:shd w:val="clear" w:color="auto" w:fill="auto"/>
            <w:vAlign w:val="center"/>
          </w:tcPr>
          <w:p>
            <w:pPr>
              <w:jc w:val="right"/>
              <w:rPr>
                <w:rFonts w:ascii="宋体" w:hAnsi="宋体"/>
              </w:rPr>
            </w:pPr>
            <w:r>
              <w:rPr>
                <w:rFonts w:ascii="宋体" w:hAnsi="宋体"/>
              </w:rPr>
              <w:t>30,720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rPr>
                <w:rFonts w:ascii="宋体" w:hAnsi="宋体"/>
              </w:rPr>
            </w:pPr>
            <w:r>
              <w:rPr>
                <w:rFonts w:hint="eastAsia" w:ascii="宋体" w:hAnsi="宋体"/>
              </w:rPr>
              <w:t>现金流量套期储备</w:t>
            </w:r>
          </w:p>
        </w:tc>
        <w:tc>
          <w:tcPr>
            <w:tcW w:w="1380" w:type="dxa"/>
            <w:shd w:val="clear" w:color="auto" w:fill="auto"/>
            <w:vAlign w:val="center"/>
          </w:tcPr>
          <w:p>
            <w:pPr>
              <w:jc w:val="right"/>
              <w:rPr>
                <w:rFonts w:ascii="宋体" w:hAnsi="宋体"/>
              </w:rPr>
            </w:pPr>
            <w:r>
              <w:rPr>
                <w:rFonts w:ascii="宋体" w:hAnsi="宋体"/>
              </w:rPr>
              <w:t>-497,899</w:t>
            </w:r>
          </w:p>
        </w:tc>
        <w:tc>
          <w:tcPr>
            <w:tcW w:w="1418" w:type="dxa"/>
            <w:shd w:val="clear" w:color="auto" w:fill="auto"/>
            <w:vAlign w:val="center"/>
          </w:tcPr>
          <w:p>
            <w:pPr>
              <w:jc w:val="right"/>
              <w:rPr>
                <w:rFonts w:ascii="宋体" w:hAnsi="宋体"/>
              </w:rPr>
            </w:pPr>
            <w:r>
              <w:rPr>
                <w:rFonts w:ascii="宋体" w:hAnsi="宋体"/>
              </w:rPr>
              <w:t>-53,387</w:t>
            </w:r>
          </w:p>
        </w:tc>
        <w:tc>
          <w:tcPr>
            <w:tcW w:w="1810" w:type="dxa"/>
            <w:shd w:val="clear" w:color="auto" w:fill="auto"/>
            <w:vAlign w:val="center"/>
          </w:tcPr>
          <w:p>
            <w:pPr>
              <w:jc w:val="right"/>
              <w:rPr>
                <w:rFonts w:ascii="宋体" w:hAnsi="宋体"/>
              </w:rPr>
            </w:pPr>
            <w:r>
              <w:rPr>
                <w:rFonts w:ascii="宋体" w:hAnsi="宋体"/>
              </w:rPr>
              <w:t>-5,786</w:t>
            </w:r>
          </w:p>
        </w:tc>
        <w:tc>
          <w:tcPr>
            <w:tcW w:w="2017" w:type="dxa"/>
            <w:vAlign w:val="center"/>
          </w:tcPr>
          <w:p>
            <w:pPr>
              <w:jc w:val="right"/>
              <w:rPr>
                <w:rFonts w:ascii="宋体" w:hAnsi="宋体"/>
              </w:rPr>
            </w:pPr>
          </w:p>
        </w:tc>
        <w:tc>
          <w:tcPr>
            <w:tcW w:w="1363" w:type="dxa"/>
            <w:shd w:val="clear" w:color="auto" w:fill="auto"/>
            <w:vAlign w:val="center"/>
          </w:tcPr>
          <w:p>
            <w:pPr>
              <w:jc w:val="right"/>
              <w:rPr>
                <w:rFonts w:ascii="宋体" w:hAnsi="宋体"/>
              </w:rPr>
            </w:pPr>
            <w:r>
              <w:rPr>
                <w:rFonts w:ascii="宋体" w:hAnsi="宋体"/>
              </w:rPr>
              <w:t>-12,713</w:t>
            </w:r>
          </w:p>
        </w:tc>
        <w:tc>
          <w:tcPr>
            <w:tcW w:w="0" w:type="auto"/>
            <w:shd w:val="clear" w:color="auto" w:fill="auto"/>
            <w:vAlign w:val="center"/>
          </w:tcPr>
          <w:p>
            <w:pPr>
              <w:jc w:val="right"/>
              <w:rPr>
                <w:rFonts w:ascii="宋体" w:hAnsi="宋体"/>
              </w:rPr>
            </w:pPr>
            <w:r>
              <w:rPr>
                <w:rFonts w:ascii="宋体" w:hAnsi="宋体"/>
              </w:rPr>
              <w:t>-30,590</w:t>
            </w:r>
          </w:p>
        </w:tc>
        <w:tc>
          <w:tcPr>
            <w:tcW w:w="1267" w:type="dxa"/>
            <w:shd w:val="clear" w:color="auto" w:fill="auto"/>
            <w:vAlign w:val="center"/>
          </w:tcPr>
          <w:p>
            <w:pPr>
              <w:jc w:val="right"/>
              <w:rPr>
                <w:rFonts w:ascii="宋体" w:hAnsi="宋体"/>
              </w:rPr>
            </w:pPr>
            <w:r>
              <w:rPr>
                <w:rFonts w:ascii="宋体" w:hAnsi="宋体"/>
              </w:rPr>
              <w:t>-4,298</w:t>
            </w:r>
          </w:p>
        </w:tc>
        <w:tc>
          <w:tcPr>
            <w:tcW w:w="1418" w:type="dxa"/>
            <w:shd w:val="clear" w:color="auto" w:fill="auto"/>
            <w:vAlign w:val="center"/>
          </w:tcPr>
          <w:p>
            <w:pPr>
              <w:jc w:val="right"/>
              <w:rPr>
                <w:rFonts w:ascii="宋体" w:hAnsi="宋体"/>
              </w:rPr>
            </w:pPr>
            <w:r>
              <w:rPr>
                <w:rFonts w:ascii="宋体" w:hAnsi="宋体"/>
              </w:rPr>
              <w:t>-528,489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single" w:color="auto" w:sz="4" w:space="0"/>
            </w:tcBorders>
            <w:shd w:val="clear" w:color="auto" w:fill="auto"/>
            <w:vAlign w:val="center"/>
          </w:tcPr>
          <w:p>
            <w:pPr>
              <w:rPr>
                <w:rFonts w:ascii="宋体" w:hAnsi="宋体"/>
              </w:rPr>
            </w:pPr>
            <w:r>
              <w:rPr>
                <w:rFonts w:hint="eastAsia" w:ascii="宋体" w:hAnsi="宋体"/>
              </w:rPr>
              <w:t>外币财务报表折算差额</w:t>
            </w:r>
          </w:p>
        </w:tc>
        <w:tc>
          <w:tcPr>
            <w:tcW w:w="1380" w:type="dxa"/>
            <w:shd w:val="clear" w:color="auto" w:fill="auto"/>
            <w:vAlign w:val="center"/>
          </w:tcPr>
          <w:p>
            <w:pPr>
              <w:jc w:val="right"/>
              <w:rPr>
                <w:rFonts w:ascii="宋体" w:hAnsi="宋体"/>
              </w:rPr>
            </w:pPr>
            <w:r>
              <w:rPr>
                <w:rFonts w:ascii="宋体" w:hAnsi="宋体"/>
              </w:rPr>
              <w:t>-6,901,651</w:t>
            </w:r>
          </w:p>
        </w:tc>
        <w:tc>
          <w:tcPr>
            <w:tcW w:w="1418" w:type="dxa"/>
            <w:shd w:val="clear" w:color="auto" w:fill="auto"/>
            <w:vAlign w:val="center"/>
          </w:tcPr>
          <w:p>
            <w:pPr>
              <w:jc w:val="right"/>
              <w:rPr>
                <w:rFonts w:ascii="宋体" w:hAnsi="宋体"/>
              </w:rPr>
            </w:pPr>
            <w:r>
              <w:rPr>
                <w:rFonts w:ascii="宋体" w:hAnsi="宋体"/>
              </w:rPr>
              <w:t>1,131,244</w:t>
            </w:r>
          </w:p>
        </w:tc>
        <w:tc>
          <w:tcPr>
            <w:tcW w:w="1810" w:type="dxa"/>
            <w:shd w:val="clear" w:color="auto" w:fill="auto"/>
            <w:vAlign w:val="center"/>
          </w:tcPr>
          <w:p>
            <w:pPr>
              <w:jc w:val="right"/>
              <w:rPr>
                <w:rFonts w:ascii="宋体" w:hAnsi="宋体"/>
              </w:rPr>
            </w:pPr>
          </w:p>
        </w:tc>
        <w:tc>
          <w:tcPr>
            <w:tcW w:w="2017" w:type="dxa"/>
            <w:vAlign w:val="center"/>
          </w:tcPr>
          <w:p>
            <w:pPr>
              <w:jc w:val="right"/>
              <w:rPr>
                <w:rFonts w:ascii="宋体" w:hAnsi="宋体"/>
              </w:rPr>
            </w:pPr>
          </w:p>
        </w:tc>
        <w:tc>
          <w:tcPr>
            <w:tcW w:w="1363" w:type="dxa"/>
            <w:shd w:val="clear" w:color="auto" w:fill="auto"/>
            <w:vAlign w:val="center"/>
          </w:tcPr>
          <w:p>
            <w:pPr>
              <w:jc w:val="right"/>
              <w:rPr>
                <w:rFonts w:ascii="宋体" w:hAnsi="宋体"/>
              </w:rPr>
            </w:pPr>
          </w:p>
        </w:tc>
        <w:tc>
          <w:tcPr>
            <w:tcW w:w="0" w:type="auto"/>
            <w:shd w:val="clear" w:color="auto" w:fill="auto"/>
            <w:vAlign w:val="center"/>
          </w:tcPr>
          <w:p>
            <w:pPr>
              <w:jc w:val="right"/>
              <w:rPr>
                <w:rFonts w:ascii="宋体" w:hAnsi="宋体"/>
              </w:rPr>
            </w:pPr>
            <w:r>
              <w:rPr>
                <w:rFonts w:ascii="宋体" w:hAnsi="宋体"/>
              </w:rPr>
              <w:t>800,214</w:t>
            </w:r>
          </w:p>
        </w:tc>
        <w:tc>
          <w:tcPr>
            <w:tcW w:w="1267" w:type="dxa"/>
            <w:shd w:val="clear" w:color="auto" w:fill="auto"/>
            <w:vAlign w:val="center"/>
          </w:tcPr>
          <w:p>
            <w:pPr>
              <w:jc w:val="right"/>
              <w:rPr>
                <w:rFonts w:ascii="宋体" w:hAnsi="宋体"/>
              </w:rPr>
            </w:pPr>
            <w:r>
              <w:rPr>
                <w:rFonts w:ascii="宋体" w:hAnsi="宋体"/>
              </w:rPr>
              <w:t>331,030</w:t>
            </w:r>
          </w:p>
        </w:tc>
        <w:tc>
          <w:tcPr>
            <w:tcW w:w="1418" w:type="dxa"/>
            <w:shd w:val="clear" w:color="auto" w:fill="auto"/>
            <w:vAlign w:val="center"/>
          </w:tcPr>
          <w:p>
            <w:pPr>
              <w:jc w:val="right"/>
              <w:rPr>
                <w:rFonts w:ascii="宋体" w:hAnsi="宋体"/>
              </w:rPr>
            </w:pPr>
            <w:r>
              <w:rPr>
                <w:rFonts w:ascii="宋体" w:hAnsi="宋体"/>
              </w:rPr>
              <w:t>-6,101,437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rPr>
                <w:rFonts w:ascii="宋体" w:hAnsi="宋体"/>
              </w:rPr>
            </w:pPr>
            <w:r>
              <w:rPr>
                <w:rFonts w:hint="eastAsia" w:ascii="宋体" w:hAnsi="宋体"/>
              </w:rPr>
              <w:t>其他</w:t>
            </w:r>
          </w:p>
        </w:tc>
        <w:tc>
          <w:tcPr>
            <w:tcW w:w="1380" w:type="dxa"/>
            <w:shd w:val="clear" w:color="auto" w:fill="auto"/>
            <w:vAlign w:val="center"/>
          </w:tcPr>
          <w:p>
            <w:pPr>
              <w:jc w:val="right"/>
              <w:rPr>
                <w:rFonts w:ascii="宋体" w:hAnsi="宋体"/>
              </w:rPr>
            </w:pPr>
            <w:r>
              <w:rPr>
                <w:rFonts w:ascii="宋体" w:hAnsi="宋体"/>
              </w:rPr>
              <w:t>267,151</w:t>
            </w:r>
          </w:p>
        </w:tc>
        <w:tc>
          <w:tcPr>
            <w:tcW w:w="1418" w:type="dxa"/>
            <w:shd w:val="clear" w:color="auto" w:fill="auto"/>
            <w:vAlign w:val="center"/>
          </w:tcPr>
          <w:p>
            <w:pPr>
              <w:jc w:val="right"/>
              <w:rPr>
                <w:rFonts w:ascii="宋体" w:hAnsi="宋体"/>
              </w:rPr>
            </w:pPr>
            <w:r>
              <w:rPr>
                <w:rFonts w:ascii="宋体" w:hAnsi="宋体"/>
              </w:rPr>
              <w:t>1,376</w:t>
            </w:r>
          </w:p>
        </w:tc>
        <w:tc>
          <w:tcPr>
            <w:tcW w:w="1810" w:type="dxa"/>
            <w:shd w:val="clear" w:color="auto" w:fill="auto"/>
            <w:vAlign w:val="center"/>
          </w:tcPr>
          <w:p>
            <w:pPr>
              <w:jc w:val="right"/>
              <w:rPr>
                <w:rFonts w:ascii="宋体" w:hAnsi="宋体"/>
              </w:rPr>
            </w:pPr>
          </w:p>
        </w:tc>
        <w:tc>
          <w:tcPr>
            <w:tcW w:w="2017" w:type="dxa"/>
            <w:vAlign w:val="center"/>
          </w:tcPr>
          <w:p>
            <w:pPr>
              <w:jc w:val="right"/>
              <w:rPr>
                <w:rFonts w:ascii="宋体" w:hAnsi="宋体"/>
              </w:rPr>
            </w:pPr>
          </w:p>
        </w:tc>
        <w:tc>
          <w:tcPr>
            <w:tcW w:w="1363" w:type="dxa"/>
            <w:shd w:val="clear" w:color="auto" w:fill="auto"/>
            <w:vAlign w:val="center"/>
          </w:tcPr>
          <w:p>
            <w:pPr>
              <w:jc w:val="right"/>
              <w:rPr>
                <w:rFonts w:ascii="宋体" w:hAnsi="宋体"/>
              </w:rPr>
            </w:pPr>
            <w:r>
              <w:rPr>
                <w:rFonts w:ascii="宋体" w:hAnsi="宋体"/>
              </w:rPr>
              <w:t>344</w:t>
            </w:r>
          </w:p>
        </w:tc>
        <w:tc>
          <w:tcPr>
            <w:tcW w:w="0" w:type="auto"/>
            <w:shd w:val="clear" w:color="auto" w:fill="auto"/>
            <w:vAlign w:val="center"/>
          </w:tcPr>
          <w:p>
            <w:pPr>
              <w:jc w:val="right"/>
              <w:rPr>
                <w:rFonts w:ascii="宋体" w:hAnsi="宋体"/>
              </w:rPr>
            </w:pPr>
            <w:r>
              <w:rPr>
                <w:rFonts w:ascii="宋体" w:hAnsi="宋体"/>
              </w:rPr>
              <w:t>1,032</w:t>
            </w:r>
          </w:p>
        </w:tc>
        <w:tc>
          <w:tcPr>
            <w:tcW w:w="1267" w:type="dxa"/>
            <w:shd w:val="clear" w:color="auto" w:fill="auto"/>
            <w:vAlign w:val="center"/>
          </w:tcPr>
          <w:p>
            <w:pPr>
              <w:jc w:val="right"/>
              <w:rPr>
                <w:rFonts w:ascii="宋体" w:hAnsi="宋体"/>
              </w:rPr>
            </w:pPr>
          </w:p>
        </w:tc>
        <w:tc>
          <w:tcPr>
            <w:tcW w:w="1418" w:type="dxa"/>
            <w:shd w:val="clear" w:color="auto" w:fill="auto"/>
            <w:vAlign w:val="center"/>
          </w:tcPr>
          <w:p>
            <w:pPr>
              <w:jc w:val="right"/>
              <w:rPr>
                <w:rFonts w:ascii="宋体" w:hAnsi="宋体"/>
              </w:rPr>
            </w:pPr>
            <w:r>
              <w:rPr>
                <w:rFonts w:ascii="宋体" w:hAnsi="宋体"/>
              </w:rPr>
              <w:t>268,183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rPr>
                <w:rFonts w:ascii="宋体" w:hAnsi="宋体"/>
              </w:rPr>
            </w:pPr>
            <w:r>
              <w:rPr>
                <w:rFonts w:hint="eastAsia" w:ascii="宋体" w:hAnsi="宋体"/>
              </w:rPr>
              <w:t>其他综合收益合计</w:t>
            </w:r>
          </w:p>
        </w:tc>
        <w:tc>
          <w:tcPr>
            <w:tcW w:w="1380" w:type="dxa"/>
            <w:shd w:val="clear" w:color="auto" w:fill="auto"/>
            <w:vAlign w:val="center"/>
          </w:tcPr>
          <w:p>
            <w:pPr>
              <w:jc w:val="right"/>
              <w:rPr>
                <w:rFonts w:ascii="宋体" w:hAnsi="宋体"/>
              </w:rPr>
            </w:pPr>
            <w:r>
              <w:rPr>
                <w:rFonts w:ascii="宋体" w:hAnsi="宋体"/>
              </w:rPr>
              <w:t>-7,155,593</w:t>
            </w:r>
          </w:p>
        </w:tc>
        <w:tc>
          <w:tcPr>
            <w:tcW w:w="1418" w:type="dxa"/>
            <w:shd w:val="clear" w:color="auto" w:fill="auto"/>
            <w:vAlign w:val="center"/>
          </w:tcPr>
          <w:p>
            <w:pPr>
              <w:jc w:val="right"/>
              <w:rPr>
                <w:rFonts w:ascii="宋体" w:hAnsi="宋体"/>
              </w:rPr>
            </w:pPr>
            <w:r>
              <w:rPr>
                <w:rFonts w:ascii="宋体" w:hAnsi="宋体"/>
              </w:rPr>
              <w:t>1,124,419</w:t>
            </w:r>
          </w:p>
        </w:tc>
        <w:tc>
          <w:tcPr>
            <w:tcW w:w="1810" w:type="dxa"/>
            <w:shd w:val="clear" w:color="auto" w:fill="auto"/>
            <w:vAlign w:val="center"/>
          </w:tcPr>
          <w:p>
            <w:pPr>
              <w:jc w:val="right"/>
              <w:rPr>
                <w:rFonts w:ascii="宋体" w:hAnsi="宋体"/>
              </w:rPr>
            </w:pPr>
            <w:r>
              <w:rPr>
                <w:rFonts w:ascii="宋体" w:hAnsi="宋体"/>
              </w:rPr>
              <w:t>-5,786</w:t>
            </w:r>
          </w:p>
        </w:tc>
        <w:tc>
          <w:tcPr>
            <w:tcW w:w="2017" w:type="dxa"/>
            <w:vAlign w:val="center"/>
          </w:tcPr>
          <w:p>
            <w:pPr>
              <w:jc w:val="right"/>
              <w:rPr>
                <w:rFonts w:ascii="宋体" w:hAnsi="宋体"/>
              </w:rPr>
            </w:pPr>
          </w:p>
        </w:tc>
        <w:tc>
          <w:tcPr>
            <w:tcW w:w="1363" w:type="dxa"/>
            <w:shd w:val="clear" w:color="auto" w:fill="auto"/>
            <w:vAlign w:val="center"/>
          </w:tcPr>
          <w:p>
            <w:pPr>
              <w:jc w:val="right"/>
              <w:rPr>
                <w:rFonts w:ascii="宋体" w:hAnsi="宋体"/>
              </w:rPr>
            </w:pPr>
            <w:r>
              <w:rPr>
                <w:rFonts w:ascii="宋体" w:hAnsi="宋体"/>
              </w:rPr>
              <w:t>-12,399</w:t>
            </w:r>
          </w:p>
        </w:tc>
        <w:tc>
          <w:tcPr>
            <w:tcW w:w="0" w:type="auto"/>
            <w:shd w:val="clear" w:color="auto" w:fill="auto"/>
            <w:vAlign w:val="center"/>
          </w:tcPr>
          <w:p>
            <w:pPr>
              <w:jc w:val="right"/>
              <w:rPr>
                <w:rFonts w:ascii="宋体" w:hAnsi="宋体"/>
              </w:rPr>
            </w:pPr>
            <w:r>
              <w:rPr>
                <w:rFonts w:ascii="宋体" w:hAnsi="宋体"/>
              </w:rPr>
              <w:t>820,877</w:t>
            </w:r>
          </w:p>
        </w:tc>
        <w:tc>
          <w:tcPr>
            <w:tcW w:w="1267" w:type="dxa"/>
            <w:shd w:val="clear" w:color="auto" w:fill="auto"/>
            <w:vAlign w:val="center"/>
          </w:tcPr>
          <w:p>
            <w:pPr>
              <w:jc w:val="right"/>
              <w:rPr>
                <w:rFonts w:ascii="宋体" w:hAnsi="宋体"/>
              </w:rPr>
            </w:pPr>
            <w:r>
              <w:rPr>
                <w:rFonts w:ascii="宋体" w:hAnsi="宋体"/>
              </w:rPr>
              <w:t>321,727</w:t>
            </w:r>
          </w:p>
        </w:tc>
        <w:tc>
          <w:tcPr>
            <w:tcW w:w="1418" w:type="dxa"/>
            <w:shd w:val="clear" w:color="auto" w:fill="auto"/>
            <w:vAlign w:val="center"/>
          </w:tcPr>
          <w:p>
            <w:pPr>
              <w:jc w:val="right"/>
              <w:rPr>
                <w:rFonts w:ascii="宋体" w:hAnsi="宋体"/>
              </w:rPr>
            </w:pPr>
            <w:r>
              <w:rPr>
                <w:rFonts w:ascii="宋体" w:hAnsi="宋体"/>
              </w:rPr>
              <w:t>-6,334,716</w:t>
            </w:r>
          </w:p>
        </w:tc>
      </w:tr>
      <w:bookmarkEnd w:id="324"/>
    </w:tbl>
    <w:p>
      <w:pPr>
        <w:sectPr>
          <w:pgSz w:w="16838" w:h="11906" w:orient="landscape"/>
          <w:pgMar w:top="1276" w:right="1440" w:bottom="1797" w:left="1525" w:header="856" w:footer="992" w:gutter="0"/>
          <w:cols w:space="425" w:num="1"/>
          <w:docGrid w:linePitch="312" w:charSpace="0"/>
        </w:sectPr>
      </w:pPr>
    </w:p>
    <w:p>
      <w:pPr>
        <w:pStyle w:val="504"/>
        <w:numPr>
          <w:ilvl w:val="0"/>
          <w:numId w:val="69"/>
        </w:numPr>
        <w:tabs>
          <w:tab w:val="left" w:pos="504"/>
        </w:tabs>
        <w:rPr>
          <w:rFonts w:ascii="宋体" w:hAnsi="宋体"/>
          <w:szCs w:val="21"/>
        </w:rPr>
      </w:pPr>
      <w:r>
        <w:rPr>
          <w:rFonts w:hint="eastAsia" w:ascii="宋体" w:hAnsi="宋体"/>
          <w:szCs w:val="21"/>
        </w:rPr>
        <w:t>专项储备</w:t>
      </w:r>
    </w:p>
    <w:sdt>
      <w:sdtPr>
        <w:alias w:val="是否适用：专项储备[双击切换]"/>
        <w:tag w:val="_GBC_0e2f337ccf9a4bc6919cf02a896e57c1"/>
        <w:id w:val="1807286430"/>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43"/>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专项储备"/>
          <w:tag w:val="_GBC_b47176c62a0d4cb08df78fbfc975ed8c"/>
          <w:id w:val="-4655082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千元</w:t>
          </w:r>
        </w:sdtContent>
      </w:sdt>
      <w:r>
        <w:rPr>
          <w:rFonts w:hint="eastAsia" w:ascii="宋体" w:hAnsi="宋体"/>
          <w:szCs w:val="21"/>
        </w:rPr>
        <w:t xml:space="preserve">  币种：</w:t>
      </w:r>
      <w:sdt>
        <w:sdtPr>
          <w:rPr>
            <w:rFonts w:hint="eastAsia" w:ascii="宋体" w:hAnsi="宋体"/>
            <w:szCs w:val="21"/>
          </w:rPr>
          <w:alias w:val="币种：财务附注：专项储备"/>
          <w:tag w:val="_GBC_0d38a2dae28a4705ad4e665e5fcad88c"/>
          <w:id w:val="1297504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712"/>
        <w:gridCol w:w="1823"/>
        <w:gridCol w:w="1823"/>
        <w:gridCol w:w="1864"/>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宋体" w:hAnsi="宋体"/>
            </w:rPr>
            <w:tag w:val="_PLD_1b8418d949a749fe8d001c0cc33cf61e"/>
            <w:id w:val="-428734993"/>
          </w:sdtPr>
          <w:sdtEndPr>
            <w:rPr>
              <w:rFonts w:ascii="宋体" w:hAnsi="宋体"/>
            </w:rPr>
          </w:sdtEndPr>
          <w:sdtContent>
            <w:tc>
              <w:tcPr>
                <w:tcW w:w="945" w:type="pc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080ff0821e57448ea6f6c5e836583c19"/>
            <w:id w:val="-652226021"/>
          </w:sdtPr>
          <w:sdtEndPr>
            <w:rPr>
              <w:rFonts w:ascii="宋体" w:hAnsi="宋体"/>
            </w:rPr>
          </w:sdtEndPr>
          <w:sdtContent>
            <w:tc>
              <w:tcPr>
                <w:tcW w:w="1006" w:type="pct"/>
                <w:shd w:val="clear" w:color="auto" w:fill="auto"/>
                <w:vAlign w:val="center"/>
              </w:tcPr>
              <w:p>
                <w:pPr>
                  <w:jc w:val="center"/>
                  <w:rPr>
                    <w:rFonts w:ascii="宋体" w:hAnsi="宋体"/>
                  </w:rPr>
                </w:pPr>
                <w:r>
                  <w:rPr>
                    <w:rFonts w:hint="eastAsia" w:ascii="宋体" w:hAnsi="宋体"/>
                  </w:rPr>
                  <w:t>期初余额</w:t>
                </w:r>
              </w:p>
            </w:tc>
          </w:sdtContent>
        </w:sdt>
        <w:sdt>
          <w:sdtPr>
            <w:rPr>
              <w:rFonts w:ascii="宋体" w:hAnsi="宋体"/>
            </w:rPr>
            <w:tag w:val="_PLD_99281caa76a54a77b09eef392dfa3e36"/>
            <w:id w:val="-948236401"/>
          </w:sdtPr>
          <w:sdtEndPr>
            <w:rPr>
              <w:rFonts w:ascii="宋体" w:hAnsi="宋体"/>
            </w:rPr>
          </w:sdtEndPr>
          <w:sdtContent>
            <w:tc>
              <w:tcPr>
                <w:tcW w:w="1006" w:type="pct"/>
                <w:shd w:val="clear" w:color="auto" w:fill="auto"/>
                <w:vAlign w:val="center"/>
              </w:tcPr>
              <w:p>
                <w:pPr>
                  <w:jc w:val="center"/>
                  <w:rPr>
                    <w:rFonts w:ascii="宋体" w:hAnsi="宋体"/>
                  </w:rPr>
                </w:pPr>
                <w:r>
                  <w:rPr>
                    <w:rFonts w:hint="eastAsia" w:ascii="宋体" w:hAnsi="宋体"/>
                  </w:rPr>
                  <w:t>本期增加</w:t>
                </w:r>
              </w:p>
            </w:tc>
          </w:sdtContent>
        </w:sdt>
        <w:sdt>
          <w:sdtPr>
            <w:rPr>
              <w:rFonts w:ascii="宋体" w:hAnsi="宋体"/>
            </w:rPr>
            <w:tag w:val="_PLD_c1f0c2bb01df4af28d10ddd8f2af79a9"/>
            <w:id w:val="945116134"/>
          </w:sdtPr>
          <w:sdtEndPr>
            <w:rPr>
              <w:rFonts w:ascii="宋体" w:hAnsi="宋体"/>
            </w:rPr>
          </w:sdtEndPr>
          <w:sdtContent>
            <w:tc>
              <w:tcPr>
                <w:tcW w:w="1029" w:type="pct"/>
                <w:shd w:val="clear" w:color="auto" w:fill="auto"/>
                <w:vAlign w:val="center"/>
              </w:tcPr>
              <w:p>
                <w:pPr>
                  <w:jc w:val="center"/>
                  <w:rPr>
                    <w:rFonts w:ascii="宋体" w:hAnsi="宋体"/>
                  </w:rPr>
                </w:pPr>
                <w:r>
                  <w:rPr>
                    <w:rFonts w:hint="eastAsia" w:ascii="宋体" w:hAnsi="宋体"/>
                  </w:rPr>
                  <w:t>本期减少</w:t>
                </w:r>
              </w:p>
            </w:tc>
          </w:sdtContent>
        </w:sdt>
        <w:sdt>
          <w:sdtPr>
            <w:rPr>
              <w:rFonts w:ascii="宋体" w:hAnsi="宋体"/>
            </w:rPr>
            <w:tag w:val="_PLD_c07fab254eb14bc88273a7ed58442223"/>
            <w:id w:val="-505591706"/>
          </w:sdtPr>
          <w:sdtEndPr>
            <w:rPr>
              <w:rFonts w:ascii="宋体" w:hAnsi="宋体"/>
            </w:rPr>
          </w:sdtEndPr>
          <w:sdtContent>
            <w:tc>
              <w:tcPr>
                <w:tcW w:w="1014" w:type="pct"/>
                <w:shd w:val="clear" w:color="auto" w:fill="auto"/>
                <w:vAlign w:val="center"/>
              </w:tcPr>
              <w:p>
                <w:pPr>
                  <w:jc w:val="center"/>
                  <w:rPr>
                    <w:rFonts w:ascii="宋体" w:hAnsi="宋体"/>
                  </w:rPr>
                </w:pPr>
                <w:r>
                  <w:rPr>
                    <w:rFonts w:hint="eastAsia"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5" w:type="pct"/>
            <w:shd w:val="clear" w:color="auto" w:fill="auto"/>
          </w:tcPr>
          <w:p>
            <w:pPr>
              <w:rPr>
                <w:rFonts w:ascii="宋体" w:hAnsi="宋体"/>
              </w:rPr>
            </w:pPr>
            <w:r>
              <w:rPr>
                <w:rFonts w:hint="eastAsia" w:ascii="宋体" w:hAnsi="宋体"/>
              </w:rPr>
              <w:t>安全生产费用</w:t>
            </w:r>
          </w:p>
        </w:tc>
        <w:tc>
          <w:tcPr>
            <w:tcW w:w="1006" w:type="pct"/>
            <w:shd w:val="clear" w:color="auto" w:fill="auto"/>
            <w:vAlign w:val="center"/>
          </w:tcPr>
          <w:p>
            <w:pPr>
              <w:jc w:val="right"/>
              <w:rPr>
                <w:rFonts w:ascii="宋体" w:hAnsi="宋体"/>
              </w:rPr>
            </w:pPr>
            <w:r>
              <w:rPr>
                <w:rFonts w:ascii="宋体" w:hAnsi="宋体"/>
              </w:rPr>
              <w:t>1,890,297</w:t>
            </w:r>
          </w:p>
        </w:tc>
        <w:tc>
          <w:tcPr>
            <w:tcW w:w="1006" w:type="pct"/>
            <w:shd w:val="clear" w:color="auto" w:fill="auto"/>
            <w:vAlign w:val="center"/>
          </w:tcPr>
          <w:p>
            <w:pPr>
              <w:jc w:val="right"/>
              <w:rPr>
                <w:rFonts w:ascii="宋体" w:hAnsi="宋体"/>
              </w:rPr>
            </w:pPr>
            <w:r>
              <w:rPr>
                <w:rFonts w:ascii="宋体" w:hAnsi="宋体"/>
              </w:rPr>
              <w:t>2,756,647</w:t>
            </w:r>
          </w:p>
        </w:tc>
        <w:tc>
          <w:tcPr>
            <w:tcW w:w="1029" w:type="pct"/>
            <w:shd w:val="clear" w:color="auto" w:fill="auto"/>
            <w:vAlign w:val="center"/>
          </w:tcPr>
          <w:p>
            <w:pPr>
              <w:jc w:val="right"/>
              <w:rPr>
                <w:rFonts w:ascii="宋体" w:hAnsi="宋体"/>
              </w:rPr>
            </w:pPr>
            <w:r>
              <w:rPr>
                <w:rFonts w:ascii="宋体" w:hAnsi="宋体"/>
              </w:rPr>
              <w:t>2,870,133</w:t>
            </w:r>
          </w:p>
        </w:tc>
        <w:tc>
          <w:tcPr>
            <w:tcW w:w="1014" w:type="pct"/>
            <w:shd w:val="clear" w:color="auto" w:fill="auto"/>
            <w:vAlign w:val="center"/>
          </w:tcPr>
          <w:p>
            <w:pPr>
              <w:jc w:val="right"/>
              <w:rPr>
                <w:rFonts w:ascii="宋体" w:hAnsi="宋体"/>
              </w:rPr>
            </w:pPr>
            <w:r>
              <w:rPr>
                <w:rFonts w:ascii="宋体" w:hAnsi="宋体"/>
              </w:rPr>
              <w:t>1,776,811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5" w:type="pct"/>
            <w:shd w:val="clear" w:color="auto" w:fill="auto"/>
            <w:vAlign w:val="center"/>
          </w:tcPr>
          <w:p>
            <w:pPr>
              <w:rPr>
                <w:rFonts w:ascii="宋体" w:hAnsi="宋体"/>
              </w:rPr>
            </w:pPr>
            <w:r>
              <w:rPr>
                <w:rFonts w:ascii="宋体" w:hAnsi="宋体"/>
              </w:rPr>
              <w:t>维简费</w:t>
            </w:r>
          </w:p>
        </w:tc>
        <w:tc>
          <w:tcPr>
            <w:tcW w:w="1006" w:type="pct"/>
            <w:shd w:val="clear" w:color="auto" w:fill="auto"/>
            <w:vAlign w:val="center"/>
          </w:tcPr>
          <w:p>
            <w:pPr>
              <w:jc w:val="right"/>
              <w:rPr>
                <w:rFonts w:ascii="宋体" w:hAnsi="宋体"/>
              </w:rPr>
            </w:pPr>
            <w:r>
              <w:rPr>
                <w:rFonts w:ascii="宋体" w:hAnsi="宋体"/>
              </w:rPr>
              <w:t>1,839,940</w:t>
            </w:r>
          </w:p>
        </w:tc>
        <w:tc>
          <w:tcPr>
            <w:tcW w:w="1006" w:type="pct"/>
            <w:shd w:val="clear" w:color="auto" w:fill="auto"/>
            <w:vAlign w:val="center"/>
          </w:tcPr>
          <w:p>
            <w:pPr>
              <w:jc w:val="right"/>
              <w:rPr>
                <w:rFonts w:ascii="宋体" w:hAnsi="宋体"/>
              </w:rPr>
            </w:pPr>
            <w:r>
              <w:rPr>
                <w:rFonts w:ascii="宋体" w:hAnsi="宋体"/>
              </w:rPr>
              <w:t>741,186</w:t>
            </w:r>
          </w:p>
        </w:tc>
        <w:tc>
          <w:tcPr>
            <w:tcW w:w="1029" w:type="pct"/>
            <w:shd w:val="clear" w:color="auto" w:fill="auto"/>
            <w:vAlign w:val="center"/>
          </w:tcPr>
          <w:p>
            <w:pPr>
              <w:jc w:val="right"/>
              <w:rPr>
                <w:rFonts w:ascii="宋体" w:hAnsi="宋体"/>
              </w:rPr>
            </w:pPr>
            <w:r>
              <w:rPr>
                <w:rFonts w:ascii="宋体" w:hAnsi="宋体"/>
              </w:rPr>
              <w:t>1,843,827</w:t>
            </w:r>
          </w:p>
        </w:tc>
        <w:tc>
          <w:tcPr>
            <w:tcW w:w="1014" w:type="pct"/>
            <w:shd w:val="clear" w:color="auto" w:fill="auto"/>
            <w:vAlign w:val="center"/>
          </w:tcPr>
          <w:p>
            <w:pPr>
              <w:jc w:val="right"/>
              <w:rPr>
                <w:rFonts w:ascii="宋体" w:hAnsi="宋体"/>
              </w:rPr>
            </w:pPr>
            <w:r>
              <w:rPr>
                <w:rFonts w:ascii="宋体" w:hAnsi="宋体"/>
              </w:rPr>
              <w:t>737,299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5" w:type="pct"/>
            <w:shd w:val="clear" w:color="auto" w:fill="auto"/>
            <w:vAlign w:val="center"/>
          </w:tcPr>
          <w:p>
            <w:pPr>
              <w:rPr>
                <w:rFonts w:ascii="宋体" w:hAnsi="宋体"/>
              </w:rPr>
            </w:pPr>
            <w:r>
              <w:rPr>
                <w:rFonts w:ascii="宋体" w:hAnsi="宋体"/>
              </w:rPr>
              <w:t>改革专项发展基金</w:t>
            </w:r>
          </w:p>
        </w:tc>
        <w:tc>
          <w:tcPr>
            <w:tcW w:w="1006" w:type="pct"/>
            <w:shd w:val="clear" w:color="auto" w:fill="auto"/>
            <w:vAlign w:val="center"/>
          </w:tcPr>
          <w:p>
            <w:pPr>
              <w:jc w:val="right"/>
              <w:rPr>
                <w:rFonts w:ascii="宋体" w:hAnsi="宋体"/>
              </w:rPr>
            </w:pPr>
            <w:r>
              <w:rPr>
                <w:rFonts w:ascii="宋体" w:hAnsi="宋体"/>
              </w:rPr>
              <w:t>611,513</w:t>
            </w:r>
          </w:p>
        </w:tc>
        <w:tc>
          <w:tcPr>
            <w:tcW w:w="1006" w:type="pct"/>
            <w:shd w:val="clear" w:color="auto" w:fill="auto"/>
            <w:vAlign w:val="center"/>
          </w:tcPr>
          <w:p>
            <w:pPr>
              <w:jc w:val="right"/>
              <w:rPr>
                <w:rFonts w:ascii="宋体" w:hAnsi="宋体"/>
              </w:rPr>
            </w:pPr>
          </w:p>
        </w:tc>
        <w:tc>
          <w:tcPr>
            <w:tcW w:w="1029" w:type="pct"/>
            <w:shd w:val="clear" w:color="auto" w:fill="auto"/>
            <w:vAlign w:val="center"/>
          </w:tcPr>
          <w:p>
            <w:pPr>
              <w:jc w:val="right"/>
              <w:rPr>
                <w:rFonts w:ascii="宋体" w:hAnsi="宋体"/>
              </w:rPr>
            </w:pPr>
          </w:p>
        </w:tc>
        <w:tc>
          <w:tcPr>
            <w:tcW w:w="1014" w:type="pct"/>
            <w:shd w:val="clear" w:color="auto" w:fill="auto"/>
            <w:vAlign w:val="center"/>
          </w:tcPr>
          <w:p>
            <w:pPr>
              <w:jc w:val="right"/>
              <w:rPr>
                <w:rFonts w:ascii="宋体" w:hAnsi="宋体"/>
              </w:rPr>
            </w:pPr>
            <w:r>
              <w:rPr>
                <w:rFonts w:ascii="宋体" w:hAnsi="宋体"/>
              </w:rPr>
              <w:t>611,513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5" w:type="pct"/>
            <w:shd w:val="clear" w:color="auto" w:fill="auto"/>
            <w:vAlign w:val="center"/>
          </w:tcPr>
          <w:p>
            <w:pPr>
              <w:rPr>
                <w:rFonts w:ascii="宋体" w:hAnsi="宋体"/>
              </w:rPr>
            </w:pPr>
            <w:r>
              <w:rPr>
                <w:rFonts w:ascii="宋体" w:hAnsi="宋体"/>
              </w:rPr>
              <w:t>环境治理保证金</w:t>
            </w:r>
          </w:p>
        </w:tc>
        <w:tc>
          <w:tcPr>
            <w:tcW w:w="1006" w:type="pct"/>
            <w:shd w:val="clear" w:color="auto" w:fill="auto"/>
            <w:vAlign w:val="center"/>
          </w:tcPr>
          <w:p>
            <w:pPr>
              <w:jc w:val="right"/>
              <w:rPr>
                <w:rFonts w:ascii="宋体" w:hAnsi="宋体"/>
              </w:rPr>
            </w:pPr>
            <w:r>
              <w:rPr>
                <w:rFonts w:ascii="宋体" w:hAnsi="宋体"/>
              </w:rPr>
              <w:t>24,560</w:t>
            </w:r>
          </w:p>
        </w:tc>
        <w:tc>
          <w:tcPr>
            <w:tcW w:w="1006" w:type="pct"/>
            <w:shd w:val="clear" w:color="auto" w:fill="auto"/>
            <w:vAlign w:val="center"/>
          </w:tcPr>
          <w:p>
            <w:pPr>
              <w:jc w:val="right"/>
              <w:rPr>
                <w:rFonts w:ascii="宋体" w:hAnsi="宋体"/>
              </w:rPr>
            </w:pPr>
          </w:p>
        </w:tc>
        <w:tc>
          <w:tcPr>
            <w:tcW w:w="1029" w:type="pct"/>
            <w:shd w:val="clear" w:color="auto" w:fill="auto"/>
            <w:vAlign w:val="center"/>
          </w:tcPr>
          <w:p>
            <w:pPr>
              <w:jc w:val="right"/>
              <w:rPr>
                <w:rFonts w:ascii="宋体" w:hAnsi="宋体"/>
              </w:rPr>
            </w:pPr>
          </w:p>
        </w:tc>
        <w:tc>
          <w:tcPr>
            <w:tcW w:w="1014" w:type="pct"/>
            <w:shd w:val="clear" w:color="auto" w:fill="auto"/>
            <w:vAlign w:val="center"/>
          </w:tcPr>
          <w:p>
            <w:pPr>
              <w:jc w:val="right"/>
              <w:rPr>
                <w:rFonts w:ascii="宋体" w:hAnsi="宋体"/>
              </w:rPr>
            </w:pPr>
            <w:r>
              <w:rPr>
                <w:rFonts w:ascii="宋体" w:hAnsi="宋体"/>
              </w:rPr>
              <w:t>24,560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5" w:type="pct"/>
            <w:shd w:val="clear" w:color="auto" w:fill="auto"/>
            <w:vAlign w:val="center"/>
          </w:tcPr>
          <w:p>
            <w:pPr>
              <w:rPr>
                <w:rFonts w:ascii="宋体" w:hAnsi="宋体"/>
              </w:rPr>
            </w:pPr>
            <w:r>
              <w:rPr>
                <w:rFonts w:ascii="宋体" w:hAnsi="宋体"/>
              </w:rPr>
              <w:t>转产基金</w:t>
            </w:r>
          </w:p>
        </w:tc>
        <w:tc>
          <w:tcPr>
            <w:tcW w:w="1006" w:type="pct"/>
            <w:shd w:val="clear" w:color="auto" w:fill="auto"/>
            <w:vAlign w:val="center"/>
          </w:tcPr>
          <w:p>
            <w:pPr>
              <w:jc w:val="right"/>
              <w:rPr>
                <w:rFonts w:ascii="宋体" w:hAnsi="宋体"/>
              </w:rPr>
            </w:pPr>
            <w:r>
              <w:rPr>
                <w:rFonts w:ascii="宋体" w:hAnsi="宋体"/>
              </w:rPr>
              <w:t>26,875</w:t>
            </w:r>
          </w:p>
        </w:tc>
        <w:tc>
          <w:tcPr>
            <w:tcW w:w="1006" w:type="pct"/>
            <w:shd w:val="clear" w:color="auto" w:fill="auto"/>
            <w:vAlign w:val="center"/>
          </w:tcPr>
          <w:p>
            <w:pPr>
              <w:jc w:val="right"/>
              <w:rPr>
                <w:rFonts w:ascii="宋体" w:hAnsi="宋体"/>
              </w:rPr>
            </w:pPr>
          </w:p>
        </w:tc>
        <w:tc>
          <w:tcPr>
            <w:tcW w:w="1029" w:type="pct"/>
            <w:shd w:val="clear" w:color="auto" w:fill="auto"/>
            <w:vAlign w:val="center"/>
          </w:tcPr>
          <w:p>
            <w:pPr>
              <w:jc w:val="right"/>
              <w:rPr>
                <w:rFonts w:ascii="宋体" w:hAnsi="宋体"/>
              </w:rPr>
            </w:pPr>
          </w:p>
        </w:tc>
        <w:tc>
          <w:tcPr>
            <w:tcW w:w="1014" w:type="pct"/>
            <w:shd w:val="clear" w:color="auto" w:fill="auto"/>
            <w:vAlign w:val="center"/>
          </w:tcPr>
          <w:p>
            <w:pPr>
              <w:jc w:val="right"/>
              <w:rPr>
                <w:rFonts w:ascii="宋体" w:hAnsi="宋体"/>
              </w:rPr>
            </w:pPr>
            <w:r>
              <w:rPr>
                <w:rFonts w:ascii="宋体" w:hAnsi="宋体"/>
              </w:rPr>
              <w:t>26,875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5" w:type="pct"/>
            <w:shd w:val="clear" w:color="auto" w:fill="auto"/>
            <w:vAlign w:val="center"/>
          </w:tcPr>
          <w:p>
            <w:pPr>
              <w:rPr>
                <w:rFonts w:ascii="宋体" w:hAnsi="宋体"/>
              </w:rPr>
            </w:pPr>
            <w:r>
              <w:rPr>
                <w:rFonts w:hint="eastAsia" w:ascii="宋体" w:hAnsi="宋体"/>
              </w:rPr>
              <w:t>一般风险准备</w:t>
            </w:r>
          </w:p>
        </w:tc>
        <w:tc>
          <w:tcPr>
            <w:tcW w:w="1006" w:type="pct"/>
            <w:shd w:val="clear" w:color="auto" w:fill="auto"/>
            <w:vAlign w:val="center"/>
          </w:tcPr>
          <w:p>
            <w:pPr>
              <w:jc w:val="right"/>
              <w:rPr>
                <w:rFonts w:ascii="宋体" w:hAnsi="宋体"/>
              </w:rPr>
            </w:pPr>
            <w:r>
              <w:rPr>
                <w:rFonts w:ascii="宋体" w:hAnsi="宋体"/>
              </w:rPr>
              <w:t>409,448</w:t>
            </w:r>
          </w:p>
        </w:tc>
        <w:tc>
          <w:tcPr>
            <w:tcW w:w="1006" w:type="pct"/>
            <w:shd w:val="clear" w:color="auto" w:fill="auto"/>
            <w:vAlign w:val="center"/>
          </w:tcPr>
          <w:p>
            <w:pPr>
              <w:jc w:val="right"/>
              <w:rPr>
                <w:rFonts w:ascii="宋体" w:hAnsi="宋体"/>
              </w:rPr>
            </w:pPr>
          </w:p>
        </w:tc>
        <w:tc>
          <w:tcPr>
            <w:tcW w:w="1029" w:type="pct"/>
            <w:shd w:val="clear" w:color="auto" w:fill="auto"/>
            <w:vAlign w:val="center"/>
          </w:tcPr>
          <w:p>
            <w:pPr>
              <w:jc w:val="right"/>
              <w:rPr>
                <w:rFonts w:ascii="宋体" w:hAnsi="宋体"/>
              </w:rPr>
            </w:pPr>
          </w:p>
        </w:tc>
        <w:tc>
          <w:tcPr>
            <w:tcW w:w="1014" w:type="pct"/>
            <w:shd w:val="clear" w:color="auto" w:fill="auto"/>
            <w:vAlign w:val="center"/>
          </w:tcPr>
          <w:p>
            <w:pPr>
              <w:jc w:val="right"/>
              <w:rPr>
                <w:rFonts w:ascii="宋体" w:hAnsi="宋体"/>
              </w:rPr>
            </w:pPr>
            <w:r>
              <w:rPr>
                <w:rFonts w:ascii="宋体" w:hAnsi="宋体"/>
              </w:rPr>
              <w:t>409,448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45" w:type="pct"/>
            <w:shd w:val="clear" w:color="auto" w:fill="auto"/>
            <w:vAlign w:val="center"/>
          </w:tcPr>
          <w:p>
            <w:pPr>
              <w:jc w:val="center"/>
              <w:rPr>
                <w:rFonts w:ascii="宋体" w:hAnsi="宋体"/>
              </w:rPr>
            </w:pPr>
            <w:r>
              <w:rPr>
                <w:rFonts w:hint="eastAsia" w:ascii="宋体" w:hAnsi="宋体"/>
              </w:rPr>
              <w:t>合计</w:t>
            </w:r>
          </w:p>
        </w:tc>
        <w:tc>
          <w:tcPr>
            <w:tcW w:w="1006" w:type="pct"/>
            <w:shd w:val="clear" w:color="auto" w:fill="auto"/>
            <w:vAlign w:val="center"/>
          </w:tcPr>
          <w:p>
            <w:pPr>
              <w:jc w:val="right"/>
              <w:rPr>
                <w:rFonts w:ascii="宋体" w:hAnsi="宋体"/>
              </w:rPr>
            </w:pPr>
            <w:r>
              <w:rPr>
                <w:rFonts w:ascii="宋体" w:hAnsi="宋体"/>
              </w:rPr>
              <w:t>4,802,633</w:t>
            </w:r>
          </w:p>
        </w:tc>
        <w:tc>
          <w:tcPr>
            <w:tcW w:w="1006" w:type="pct"/>
            <w:shd w:val="clear" w:color="auto" w:fill="auto"/>
            <w:vAlign w:val="center"/>
          </w:tcPr>
          <w:p>
            <w:pPr>
              <w:jc w:val="right"/>
              <w:rPr>
                <w:rFonts w:ascii="宋体" w:hAnsi="宋体"/>
              </w:rPr>
            </w:pPr>
            <w:r>
              <w:rPr>
                <w:rFonts w:ascii="宋体" w:hAnsi="宋体"/>
              </w:rPr>
              <w:t>3,497,833</w:t>
            </w:r>
          </w:p>
        </w:tc>
        <w:tc>
          <w:tcPr>
            <w:tcW w:w="1029" w:type="pct"/>
            <w:shd w:val="clear" w:color="auto" w:fill="auto"/>
            <w:vAlign w:val="center"/>
          </w:tcPr>
          <w:p>
            <w:pPr>
              <w:jc w:val="right"/>
              <w:rPr>
                <w:rFonts w:ascii="宋体" w:hAnsi="宋体"/>
              </w:rPr>
            </w:pPr>
            <w:r>
              <w:rPr>
                <w:rFonts w:ascii="宋体" w:hAnsi="宋体"/>
              </w:rPr>
              <w:t>4,713,960</w:t>
            </w:r>
          </w:p>
        </w:tc>
        <w:tc>
          <w:tcPr>
            <w:tcW w:w="1014" w:type="pct"/>
            <w:shd w:val="clear" w:color="auto" w:fill="auto"/>
            <w:vAlign w:val="center"/>
          </w:tcPr>
          <w:p>
            <w:pPr>
              <w:jc w:val="right"/>
              <w:rPr>
                <w:rFonts w:ascii="宋体" w:hAnsi="宋体"/>
              </w:rPr>
            </w:pPr>
            <w:r>
              <w:rPr>
                <w:rFonts w:ascii="宋体" w:hAnsi="宋体"/>
              </w:rPr>
              <w:t>3,586,506</w:t>
            </w:r>
          </w:p>
        </w:tc>
      </w:tr>
    </w:tbl>
    <w:p>
      <w:pPr>
        <w:pStyle w:val="501"/>
      </w:pPr>
    </w:p>
    <w:p>
      <w:pPr>
        <w:pStyle w:val="504"/>
        <w:numPr>
          <w:ilvl w:val="0"/>
          <w:numId w:val="69"/>
        </w:numPr>
        <w:tabs>
          <w:tab w:val="left" w:pos="504"/>
        </w:tabs>
        <w:rPr>
          <w:rFonts w:ascii="宋体" w:hAnsi="宋体"/>
          <w:szCs w:val="21"/>
        </w:rPr>
      </w:pPr>
      <w:r>
        <w:rPr>
          <w:rFonts w:hint="eastAsia" w:ascii="宋体" w:hAnsi="宋体"/>
          <w:szCs w:val="21"/>
        </w:rPr>
        <w:t>盈余公积</w:t>
      </w:r>
    </w:p>
    <w:sdt>
      <w:sdtPr>
        <w:alias w:val="是否适用：盈余公积[双击切换]"/>
        <w:tag w:val="_GBC_5a507b0ba3a44a2c828e4df049852353"/>
        <w:id w:val="-106548823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盈余公积"/>
          <w:tag w:val="_GBC_8ca7c8f8d04e47ff92c33109bbf55576"/>
          <w:id w:val="13923938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盈余公积"/>
          <w:tag w:val="_GBC_24d833c69b8448ca876fbf8299519039"/>
          <w:id w:val="20080099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71"/>
        <w:gridCol w:w="1798"/>
        <w:gridCol w:w="1804"/>
        <w:gridCol w:w="1816"/>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宋体" w:hAnsi="宋体"/>
            </w:rPr>
            <w:tag w:val="_PLD_448cc13fae91499a9f41c6e4c1f51937"/>
            <w:id w:val="-954176773"/>
          </w:sdtPr>
          <w:sdtEndPr>
            <w:rPr>
              <w:rFonts w:ascii="宋体" w:hAnsi="宋体"/>
            </w:rPr>
          </w:sdtEndPr>
          <w:sdtContent>
            <w:tc>
              <w:tcPr>
                <w:tcW w:w="940" w:type="pct"/>
              </w:tcPr>
              <w:p>
                <w:pPr>
                  <w:autoSpaceDE w:val="0"/>
                  <w:autoSpaceDN w:val="0"/>
                  <w:adjustRightInd w:val="0"/>
                  <w:snapToGrid w:val="0"/>
                  <w:jc w:val="center"/>
                  <w:rPr>
                    <w:rFonts w:ascii="宋体" w:hAnsi="宋体"/>
                  </w:rPr>
                </w:pPr>
                <w:r>
                  <w:rPr>
                    <w:rFonts w:hint="eastAsia" w:ascii="宋体" w:hAnsi="宋体"/>
                  </w:rPr>
                  <w:t>项目</w:t>
                </w:r>
              </w:p>
            </w:tc>
          </w:sdtContent>
        </w:sdt>
        <w:sdt>
          <w:sdtPr>
            <w:rPr>
              <w:rFonts w:ascii="宋体" w:hAnsi="宋体"/>
            </w:rPr>
            <w:tag w:val="_PLD_112a59f6ca7b4b5f8ced860f9465eb1a"/>
            <w:id w:val="1807508282"/>
          </w:sdtPr>
          <w:sdtEndPr>
            <w:rPr>
              <w:rFonts w:ascii="宋体" w:hAnsi="宋体"/>
            </w:rPr>
          </w:sdtEndPr>
          <w:sdtContent>
            <w:tc>
              <w:tcPr>
                <w:tcW w:w="1011" w:type="pct"/>
              </w:tcPr>
              <w:p>
                <w:pPr>
                  <w:autoSpaceDE w:val="0"/>
                  <w:autoSpaceDN w:val="0"/>
                  <w:adjustRightInd w:val="0"/>
                  <w:snapToGrid w:val="0"/>
                  <w:jc w:val="center"/>
                  <w:rPr>
                    <w:rFonts w:ascii="宋体" w:hAnsi="宋体"/>
                  </w:rPr>
                </w:pPr>
                <w:r>
                  <w:rPr>
                    <w:rFonts w:hint="eastAsia" w:ascii="宋体" w:hAnsi="宋体"/>
                  </w:rPr>
                  <w:t>期初余额</w:t>
                </w:r>
              </w:p>
            </w:tc>
          </w:sdtContent>
        </w:sdt>
        <w:sdt>
          <w:sdtPr>
            <w:rPr>
              <w:rFonts w:ascii="宋体" w:hAnsi="宋体"/>
            </w:rPr>
            <w:tag w:val="_PLD_a2c4f4720dd7427b93c04e32666cfd69"/>
            <w:id w:val="178162071"/>
          </w:sdtPr>
          <w:sdtEndPr>
            <w:rPr>
              <w:rFonts w:ascii="宋体" w:hAnsi="宋体"/>
            </w:rPr>
          </w:sdtEndPr>
          <w:sdtContent>
            <w:tc>
              <w:tcPr>
                <w:tcW w:w="1014" w:type="pct"/>
              </w:tcPr>
              <w:p>
                <w:pPr>
                  <w:autoSpaceDE w:val="0"/>
                  <w:autoSpaceDN w:val="0"/>
                  <w:adjustRightInd w:val="0"/>
                  <w:snapToGrid w:val="0"/>
                  <w:jc w:val="center"/>
                  <w:rPr>
                    <w:rFonts w:ascii="宋体" w:hAnsi="宋体"/>
                  </w:rPr>
                </w:pPr>
                <w:r>
                  <w:rPr>
                    <w:rFonts w:hint="eastAsia" w:ascii="宋体" w:hAnsi="宋体"/>
                  </w:rPr>
                  <w:t>本期增加</w:t>
                </w:r>
              </w:p>
            </w:tc>
          </w:sdtContent>
        </w:sdt>
        <w:sdt>
          <w:sdtPr>
            <w:rPr>
              <w:rFonts w:ascii="宋体" w:hAnsi="宋体"/>
            </w:rPr>
            <w:tag w:val="_PLD_ad1876bb4d7c41eaa003da876ae9e601"/>
            <w:id w:val="-1088310669"/>
          </w:sdtPr>
          <w:sdtEndPr>
            <w:rPr>
              <w:rFonts w:ascii="宋体" w:hAnsi="宋体"/>
            </w:rPr>
          </w:sdtEndPr>
          <w:sdtContent>
            <w:tc>
              <w:tcPr>
                <w:tcW w:w="1021" w:type="pct"/>
              </w:tcPr>
              <w:p>
                <w:pPr>
                  <w:autoSpaceDE w:val="0"/>
                  <w:autoSpaceDN w:val="0"/>
                  <w:adjustRightInd w:val="0"/>
                  <w:snapToGrid w:val="0"/>
                  <w:jc w:val="center"/>
                  <w:rPr>
                    <w:rFonts w:ascii="宋体" w:hAnsi="宋体"/>
                  </w:rPr>
                </w:pPr>
                <w:r>
                  <w:rPr>
                    <w:rFonts w:hint="eastAsia" w:ascii="宋体" w:hAnsi="宋体"/>
                  </w:rPr>
                  <w:t>本期减少</w:t>
                </w:r>
              </w:p>
            </w:tc>
          </w:sdtContent>
        </w:sdt>
        <w:sdt>
          <w:sdtPr>
            <w:rPr>
              <w:rFonts w:ascii="宋体" w:hAnsi="宋体"/>
            </w:rPr>
            <w:tag w:val="_PLD_45d6cc2a2d2140619579c3f035df8d6a"/>
            <w:id w:val="1332029870"/>
          </w:sdtPr>
          <w:sdtEndPr>
            <w:rPr>
              <w:rFonts w:ascii="宋体" w:hAnsi="宋体"/>
            </w:rPr>
          </w:sdtEndPr>
          <w:sdtContent>
            <w:tc>
              <w:tcPr>
                <w:tcW w:w="1014" w:type="pct"/>
              </w:tcPr>
              <w:p>
                <w:pPr>
                  <w:autoSpaceDE w:val="0"/>
                  <w:autoSpaceDN w:val="0"/>
                  <w:adjustRightInd w:val="0"/>
                  <w:snapToGrid w:val="0"/>
                  <w:jc w:val="center"/>
                  <w:rPr>
                    <w:rFonts w:ascii="宋体" w:hAnsi="宋体"/>
                  </w:rPr>
                </w:pPr>
                <w:r>
                  <w:rPr>
                    <w:rFonts w:hint="eastAsia"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shd w:val="clear" w:color="auto" w:fill="auto"/>
            <w:vAlign w:val="center"/>
          </w:tcPr>
          <w:p>
            <w:pPr>
              <w:autoSpaceDE w:val="0"/>
              <w:autoSpaceDN w:val="0"/>
              <w:adjustRightInd w:val="0"/>
              <w:snapToGrid w:val="0"/>
              <w:rPr>
                <w:rFonts w:ascii="宋体" w:hAnsi="宋体"/>
              </w:rPr>
            </w:pPr>
            <w:r>
              <w:rPr>
                <w:rFonts w:hint="eastAsia" w:ascii="宋体" w:hAnsi="宋体"/>
              </w:rPr>
              <w:t>法定盈余公积</w:t>
            </w:r>
          </w:p>
        </w:tc>
        <w:tc>
          <w:tcPr>
            <w:tcW w:w="1011" w:type="pct"/>
            <w:vAlign w:val="center"/>
          </w:tcPr>
          <w:p>
            <w:pPr>
              <w:jc w:val="right"/>
              <w:rPr>
                <w:rFonts w:ascii="宋体" w:hAnsi="宋体"/>
              </w:rPr>
            </w:pPr>
            <w:r>
              <w:rPr>
                <w:rFonts w:ascii="宋体" w:hAnsi="宋体" w:cs="Arial Unicode MS"/>
              </w:rPr>
              <w:t>912,700</w:t>
            </w:r>
          </w:p>
        </w:tc>
        <w:tc>
          <w:tcPr>
            <w:tcW w:w="1014" w:type="pct"/>
            <w:vAlign w:val="center"/>
          </w:tcPr>
          <w:p>
            <w:pPr>
              <w:jc w:val="right"/>
              <w:rPr>
                <w:rFonts w:ascii="宋体" w:hAnsi="宋体"/>
              </w:rPr>
            </w:pPr>
            <w:r>
              <w:rPr>
                <w:rFonts w:hint="eastAsia" w:ascii="宋体" w:hAnsi="宋体"/>
                <w:color w:val="000000"/>
              </w:rPr>
              <w:t>1,663,814</w:t>
            </w:r>
          </w:p>
        </w:tc>
        <w:tc>
          <w:tcPr>
            <w:tcW w:w="1021" w:type="pct"/>
            <w:vAlign w:val="center"/>
          </w:tcPr>
          <w:p>
            <w:pPr>
              <w:jc w:val="right"/>
              <w:rPr>
                <w:rFonts w:ascii="宋体" w:hAnsi="宋体"/>
              </w:rPr>
            </w:pPr>
            <w:r>
              <w:rPr>
                <w:rFonts w:hint="eastAsia" w:ascii="宋体" w:hAnsi="宋体"/>
                <w:color w:val="000000"/>
              </w:rPr>
              <w:t>912,700</w:t>
            </w:r>
          </w:p>
        </w:tc>
        <w:tc>
          <w:tcPr>
            <w:tcW w:w="1014" w:type="pct"/>
            <w:vAlign w:val="center"/>
          </w:tcPr>
          <w:p>
            <w:pPr>
              <w:jc w:val="right"/>
              <w:rPr>
                <w:rFonts w:ascii="宋体" w:hAnsi="宋体"/>
              </w:rPr>
            </w:pPr>
            <w:r>
              <w:rPr>
                <w:rFonts w:hint="eastAsia" w:ascii="宋体" w:hAnsi="宋体"/>
                <w:color w:val="000000"/>
              </w:rPr>
              <w:t>1,663,814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tcPr>
          <w:p>
            <w:pPr>
              <w:autoSpaceDE w:val="0"/>
              <w:autoSpaceDN w:val="0"/>
              <w:adjustRightInd w:val="0"/>
              <w:snapToGrid w:val="0"/>
              <w:jc w:val="center"/>
              <w:rPr>
                <w:rFonts w:ascii="宋体" w:hAnsi="宋体"/>
              </w:rPr>
            </w:pPr>
            <w:r>
              <w:rPr>
                <w:rFonts w:hint="eastAsia" w:ascii="宋体" w:hAnsi="宋体"/>
              </w:rPr>
              <w:t>合计</w:t>
            </w:r>
          </w:p>
        </w:tc>
        <w:tc>
          <w:tcPr>
            <w:tcW w:w="1011" w:type="pct"/>
            <w:vAlign w:val="center"/>
          </w:tcPr>
          <w:p>
            <w:pPr>
              <w:jc w:val="right"/>
              <w:rPr>
                <w:rFonts w:ascii="宋体" w:hAnsi="宋体"/>
              </w:rPr>
            </w:pPr>
            <w:r>
              <w:rPr>
                <w:rFonts w:ascii="宋体" w:hAnsi="宋体" w:cs="Arial Unicode MS"/>
              </w:rPr>
              <w:t>912,700</w:t>
            </w:r>
          </w:p>
        </w:tc>
        <w:tc>
          <w:tcPr>
            <w:tcW w:w="1014" w:type="pct"/>
            <w:vAlign w:val="center"/>
          </w:tcPr>
          <w:p>
            <w:pPr>
              <w:jc w:val="right"/>
              <w:rPr>
                <w:rFonts w:ascii="宋体" w:hAnsi="宋体"/>
              </w:rPr>
            </w:pPr>
            <w:r>
              <w:rPr>
                <w:rFonts w:hint="eastAsia" w:ascii="宋体" w:hAnsi="宋体"/>
                <w:color w:val="000000"/>
              </w:rPr>
              <w:t>1,663,814</w:t>
            </w:r>
          </w:p>
        </w:tc>
        <w:tc>
          <w:tcPr>
            <w:tcW w:w="1021" w:type="pct"/>
            <w:vAlign w:val="center"/>
          </w:tcPr>
          <w:p>
            <w:pPr>
              <w:jc w:val="right"/>
              <w:rPr>
                <w:rFonts w:ascii="宋体" w:hAnsi="宋体"/>
              </w:rPr>
            </w:pPr>
            <w:r>
              <w:rPr>
                <w:rFonts w:hint="eastAsia" w:ascii="宋体" w:hAnsi="宋体"/>
                <w:color w:val="000000"/>
              </w:rPr>
              <w:t>912,700</w:t>
            </w:r>
          </w:p>
        </w:tc>
        <w:tc>
          <w:tcPr>
            <w:tcW w:w="1014" w:type="pct"/>
            <w:vAlign w:val="center"/>
          </w:tcPr>
          <w:p>
            <w:pPr>
              <w:jc w:val="right"/>
              <w:rPr>
                <w:rFonts w:ascii="宋体" w:hAnsi="宋体"/>
              </w:rPr>
            </w:pPr>
            <w:r>
              <w:rPr>
                <w:rFonts w:hint="eastAsia" w:ascii="宋体" w:hAnsi="宋体"/>
                <w:color w:val="000000"/>
              </w:rPr>
              <w:t>1,663,814</w:t>
            </w:r>
          </w:p>
        </w:tc>
      </w:tr>
    </w:tbl>
    <w:p>
      <w:pPr>
        <w:autoSpaceDE w:val="0"/>
        <w:autoSpaceDN w:val="0"/>
        <w:adjustRightInd w:val="0"/>
        <w:rPr>
          <w:color w:val="000000" w:themeColor="text1"/>
          <w14:textFill>
            <w14:solidFill>
              <w14:schemeClr w14:val="tx1"/>
            </w14:solidFill>
          </w14:textFill>
        </w:rPr>
      </w:pPr>
    </w:p>
    <w:p>
      <w:pPr>
        <w:pStyle w:val="504"/>
        <w:numPr>
          <w:ilvl w:val="0"/>
          <w:numId w:val="69"/>
        </w:numPr>
        <w:tabs>
          <w:tab w:val="left" w:pos="504"/>
        </w:tabs>
        <w:rPr>
          <w:rFonts w:ascii="宋体" w:hAnsi="宋体"/>
          <w:szCs w:val="21"/>
        </w:rPr>
      </w:pPr>
      <w:r>
        <w:rPr>
          <w:rFonts w:hint="eastAsia" w:ascii="宋体" w:hAnsi="宋体"/>
          <w:szCs w:val="21"/>
        </w:rPr>
        <w:t>未分配利润</w:t>
      </w:r>
    </w:p>
    <w:p>
      <w:pPr>
        <w:pStyle w:val="531"/>
      </w:pPr>
      <w:sdt>
        <w:sdtPr>
          <w:alias w:val="是否适用：未分配利润[双击切换]"/>
          <w:tag w:val="_GBC_0ccb002da9b649db91afd1ca2a9330f8"/>
          <w:id w:val="1230582961"/>
          <w:lock w:val="conten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分配利润"/>
          <w:tag w:val="_GBC_fc12fabcd66949d39f6f74b747284465"/>
          <w:id w:val="-11045741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未分配利润"/>
          <w:tag w:val="_GBC_7b3accd97aa744c08d773ec06b05684e"/>
          <w:id w:val="5165086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91"/>
        <w:gridCol w:w="2828"/>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宋体" w:hAnsi="宋体"/>
            </w:rPr>
            <w:tag w:val="_PLD_30da0a90f08b46f090b6fee887a691bc"/>
            <w:id w:val="845447276"/>
          </w:sdtPr>
          <w:sdtEndPr>
            <w:rPr>
              <w:rFonts w:ascii="宋体" w:hAnsi="宋体"/>
            </w:rPr>
          </w:sdtEndPr>
          <w:sdtContent>
            <w:tc>
              <w:tcPr>
                <w:tcW w:w="1927" w:type="pct"/>
                <w:vAlign w:val="center"/>
              </w:tcPr>
              <w:p>
                <w:pPr>
                  <w:jc w:val="center"/>
                  <w:rPr>
                    <w:rFonts w:ascii="宋体" w:hAnsi="宋体"/>
                  </w:rPr>
                </w:pPr>
                <w:r>
                  <w:rPr>
                    <w:rFonts w:hint="eastAsia" w:ascii="宋体" w:hAnsi="宋体"/>
                  </w:rPr>
                  <w:t>项目</w:t>
                </w:r>
              </w:p>
            </w:tc>
          </w:sdtContent>
        </w:sdt>
        <w:sdt>
          <w:sdtPr>
            <w:rPr>
              <w:rFonts w:ascii="宋体" w:hAnsi="宋体"/>
            </w:rPr>
            <w:tag w:val="_PLD_27c0ff4064964dc5b9e335151d04b603"/>
            <w:id w:val="445896250"/>
          </w:sdtPr>
          <w:sdtEndPr>
            <w:rPr>
              <w:rFonts w:ascii="宋体" w:hAnsi="宋体"/>
            </w:rPr>
          </w:sdtEndPr>
          <w:sdtContent>
            <w:tc>
              <w:tcPr>
                <w:tcW w:w="1561" w:type="pct"/>
                <w:vAlign w:val="center"/>
              </w:tcPr>
              <w:p>
                <w:pPr>
                  <w:jc w:val="center"/>
                  <w:rPr>
                    <w:rFonts w:ascii="宋体" w:hAnsi="宋体"/>
                  </w:rPr>
                </w:pPr>
                <w:r>
                  <w:rPr>
                    <w:rFonts w:hint="eastAsia" w:ascii="宋体" w:hAnsi="宋体"/>
                  </w:rPr>
                  <w:t>本期</w:t>
                </w:r>
              </w:p>
            </w:tc>
          </w:sdtContent>
        </w:sdt>
        <w:sdt>
          <w:sdtPr>
            <w:rPr>
              <w:rFonts w:ascii="宋体" w:hAnsi="宋体"/>
            </w:rPr>
            <w:tag w:val="_PLD_613460741a0147b7be8212812793694e"/>
            <w:id w:val="-466349492"/>
          </w:sdtPr>
          <w:sdtEndPr>
            <w:rPr>
              <w:rFonts w:ascii="宋体" w:hAnsi="宋体"/>
            </w:rPr>
          </w:sdtEndPr>
          <w:sdtContent>
            <w:tc>
              <w:tcPr>
                <w:tcW w:w="1512" w:type="pct"/>
                <w:vAlign w:val="center"/>
              </w:tcPr>
              <w:p>
                <w:pPr>
                  <w:jc w:val="center"/>
                  <w:rPr>
                    <w:rFonts w:ascii="宋体" w:hAnsi="宋体"/>
                  </w:rPr>
                </w:pPr>
                <w:r>
                  <w:rPr>
                    <w:rFonts w:hint="eastAsia" w:ascii="宋体" w:hAnsi="宋体"/>
                  </w:rPr>
                  <w:t>上期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rPr>
                <w:rFonts w:ascii="宋体" w:hAnsi="宋体"/>
              </w:rPr>
            </w:pPr>
            <w:r>
              <w:rPr>
                <w:rFonts w:hint="eastAsia" w:ascii="宋体" w:hAnsi="宋体"/>
              </w:rPr>
              <w:t>调整前上期末未分配利润</w:t>
            </w:r>
          </w:p>
        </w:tc>
        <w:tc>
          <w:tcPr>
            <w:tcW w:w="1561" w:type="pct"/>
            <w:vAlign w:val="center"/>
          </w:tcPr>
          <w:p>
            <w:pPr>
              <w:jc w:val="right"/>
              <w:rPr>
                <w:rFonts w:ascii="宋体" w:hAnsi="宋体"/>
              </w:rPr>
            </w:pPr>
            <w:r>
              <w:rPr>
                <w:rFonts w:ascii="宋体" w:hAnsi="宋体"/>
              </w:rPr>
              <w:t>77,265,236</w:t>
            </w:r>
          </w:p>
        </w:tc>
        <w:tc>
          <w:tcPr>
            <w:tcW w:w="1512" w:type="pct"/>
            <w:vAlign w:val="center"/>
          </w:tcPr>
          <w:p>
            <w:pPr>
              <w:jc w:val="right"/>
              <w:rPr>
                <w:rFonts w:ascii="宋体" w:hAnsi="宋体"/>
              </w:rPr>
            </w:pPr>
            <w:r>
              <w:rPr>
                <w:rFonts w:ascii="宋体" w:hAnsi="宋体"/>
              </w:rPr>
              <w:t>56,366,083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rPr>
                <w:rFonts w:ascii="宋体" w:hAnsi="宋体"/>
              </w:rPr>
            </w:pPr>
            <w:r>
              <w:rPr>
                <w:rFonts w:hint="eastAsia" w:ascii="宋体" w:hAnsi="宋体"/>
              </w:rPr>
              <w:t>调整期初未分配利润合计数（调增</w:t>
            </w:r>
            <w:r>
              <w:rPr>
                <w:rFonts w:ascii="宋体" w:hAnsi="宋体"/>
              </w:rPr>
              <w:t>+</w:t>
            </w:r>
            <w:r>
              <w:rPr>
                <w:rFonts w:hint="eastAsia" w:ascii="宋体" w:hAnsi="宋体"/>
              </w:rPr>
              <w:t>，调减－）</w:t>
            </w:r>
          </w:p>
        </w:tc>
        <w:tc>
          <w:tcPr>
            <w:tcW w:w="1561" w:type="pct"/>
            <w:vAlign w:val="center"/>
          </w:tcPr>
          <w:p>
            <w:pPr>
              <w:jc w:val="right"/>
              <w:rPr>
                <w:rFonts w:ascii="宋体" w:hAnsi="宋体"/>
              </w:rPr>
            </w:pPr>
            <w:r>
              <w:rPr>
                <w:rFonts w:ascii="宋体" w:hAnsi="宋体"/>
              </w:rPr>
              <w:t>-27,387</w:t>
            </w:r>
          </w:p>
        </w:tc>
        <w:tc>
          <w:tcPr>
            <w:tcW w:w="1512" w:type="pct"/>
            <w:vAlign w:val="center"/>
          </w:tcPr>
          <w:p>
            <w:pPr>
              <w:jc w:val="right"/>
              <w:rPr>
                <w:rFonts w:ascii="宋体" w:hAnsi="宋体"/>
              </w:rPr>
            </w:pPr>
            <w:r>
              <w:rPr>
                <w:rFonts w:ascii="宋体" w:hAnsi="宋体"/>
              </w:rPr>
              <w:t>-2,308,349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rPr>
                <w:rFonts w:ascii="宋体" w:hAnsi="宋体"/>
              </w:rPr>
            </w:pPr>
            <w:r>
              <w:rPr>
                <w:rFonts w:hint="eastAsia" w:ascii="宋体" w:hAnsi="宋体"/>
                <w:sz w:val="22"/>
                <w:szCs w:val="22"/>
              </w:rPr>
              <w:t>其中：《企业会计准则》及相关新规定追溯调整</w:t>
            </w:r>
          </w:p>
        </w:tc>
        <w:tc>
          <w:tcPr>
            <w:tcW w:w="1561" w:type="pct"/>
            <w:vAlign w:val="center"/>
          </w:tcPr>
          <w:p>
            <w:pPr>
              <w:jc w:val="right"/>
              <w:rPr>
                <w:rFonts w:ascii="宋体" w:hAnsi="宋体"/>
              </w:rPr>
            </w:pPr>
          </w:p>
        </w:tc>
        <w:tc>
          <w:tcPr>
            <w:tcW w:w="1512"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rPr>
                <w:rFonts w:ascii="宋体" w:hAnsi="宋体"/>
              </w:rPr>
            </w:pPr>
            <w:r>
              <w:rPr>
                <w:rFonts w:hint="eastAsia" w:ascii="宋体" w:hAnsi="宋体"/>
                <w:sz w:val="22"/>
                <w:szCs w:val="22"/>
              </w:rPr>
              <w:t>会计政策变更</w:t>
            </w:r>
          </w:p>
        </w:tc>
        <w:tc>
          <w:tcPr>
            <w:tcW w:w="1561" w:type="pct"/>
            <w:vAlign w:val="center"/>
          </w:tcPr>
          <w:p>
            <w:pPr>
              <w:jc w:val="right"/>
              <w:rPr>
                <w:rFonts w:ascii="宋体" w:hAnsi="宋体"/>
              </w:rPr>
            </w:pPr>
            <w:r>
              <w:rPr>
                <w:rFonts w:ascii="宋体" w:hAnsi="宋体"/>
              </w:rPr>
              <w:t>-79</w:t>
            </w:r>
          </w:p>
        </w:tc>
        <w:tc>
          <w:tcPr>
            <w:tcW w:w="1512" w:type="pct"/>
            <w:vAlign w:val="center"/>
          </w:tcPr>
          <w:p>
            <w:pPr>
              <w:jc w:val="right"/>
              <w:rPr>
                <w:rFonts w:ascii="宋体" w:hAnsi="宋体"/>
              </w:rPr>
            </w:pPr>
            <w:r>
              <w:rPr>
                <w:rFonts w:ascii="宋体" w:hAnsi="宋体"/>
              </w:rPr>
              <w:t>-10,763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rPr>
                <w:rFonts w:ascii="宋体" w:hAnsi="宋体"/>
              </w:rPr>
            </w:pPr>
            <w:r>
              <w:rPr>
                <w:rFonts w:hint="eastAsia" w:ascii="宋体" w:hAnsi="宋体"/>
                <w:sz w:val="22"/>
                <w:szCs w:val="22"/>
              </w:rPr>
              <w:t>重大前期差错更正</w:t>
            </w:r>
          </w:p>
        </w:tc>
        <w:tc>
          <w:tcPr>
            <w:tcW w:w="1561" w:type="pct"/>
            <w:vAlign w:val="center"/>
          </w:tcPr>
          <w:p>
            <w:pPr>
              <w:jc w:val="right"/>
              <w:rPr>
                <w:rFonts w:ascii="宋体" w:hAnsi="宋体"/>
              </w:rPr>
            </w:pPr>
          </w:p>
        </w:tc>
        <w:tc>
          <w:tcPr>
            <w:tcW w:w="1512"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rPr>
                <w:rFonts w:ascii="宋体" w:hAnsi="宋体"/>
              </w:rPr>
            </w:pPr>
            <w:r>
              <w:rPr>
                <w:rFonts w:hint="eastAsia" w:ascii="宋体" w:hAnsi="宋体"/>
                <w:sz w:val="22"/>
                <w:szCs w:val="22"/>
              </w:rPr>
              <w:t>同一控制合并范围变更</w:t>
            </w:r>
          </w:p>
        </w:tc>
        <w:tc>
          <w:tcPr>
            <w:tcW w:w="1561" w:type="pct"/>
            <w:vAlign w:val="center"/>
          </w:tcPr>
          <w:p>
            <w:pPr>
              <w:jc w:val="right"/>
              <w:rPr>
                <w:rFonts w:ascii="宋体" w:hAnsi="宋体"/>
              </w:rPr>
            </w:pPr>
            <w:r>
              <w:rPr>
                <w:rFonts w:ascii="宋体" w:hAnsi="宋体"/>
              </w:rPr>
              <w:t>-27,308</w:t>
            </w:r>
          </w:p>
        </w:tc>
        <w:tc>
          <w:tcPr>
            <w:tcW w:w="1512" w:type="pct"/>
            <w:vAlign w:val="center"/>
          </w:tcPr>
          <w:p>
            <w:pPr>
              <w:jc w:val="right"/>
              <w:rPr>
                <w:rFonts w:ascii="宋体" w:hAnsi="宋体"/>
              </w:rPr>
            </w:pPr>
            <w:r>
              <w:rPr>
                <w:rFonts w:ascii="宋体" w:hAnsi="宋体"/>
              </w:rPr>
              <w:t>-2,297,586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vAlign w:val="center"/>
          </w:tcPr>
          <w:p>
            <w:pPr>
              <w:rPr>
                <w:rFonts w:ascii="宋体" w:hAnsi="宋体"/>
              </w:rPr>
            </w:pPr>
            <w:r>
              <w:rPr>
                <w:rFonts w:hint="eastAsia" w:ascii="宋体" w:hAnsi="宋体"/>
                <w:sz w:val="22"/>
                <w:szCs w:val="22"/>
              </w:rPr>
              <w:t>其他调整因素</w:t>
            </w:r>
          </w:p>
        </w:tc>
        <w:tc>
          <w:tcPr>
            <w:tcW w:w="1561" w:type="pct"/>
            <w:vAlign w:val="center"/>
          </w:tcPr>
          <w:p>
            <w:pPr>
              <w:jc w:val="right"/>
              <w:rPr>
                <w:rFonts w:ascii="宋体" w:hAnsi="宋体"/>
              </w:rPr>
            </w:pPr>
          </w:p>
        </w:tc>
        <w:tc>
          <w:tcPr>
            <w:tcW w:w="1512"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rPr>
                <w:rFonts w:ascii="宋体" w:hAnsi="宋体"/>
              </w:rPr>
            </w:pPr>
            <w:r>
              <w:rPr>
                <w:rFonts w:hint="eastAsia" w:ascii="宋体" w:hAnsi="宋体"/>
              </w:rPr>
              <w:t>调整后期初未分配利润</w:t>
            </w:r>
          </w:p>
        </w:tc>
        <w:tc>
          <w:tcPr>
            <w:tcW w:w="1561" w:type="pct"/>
            <w:vAlign w:val="center"/>
          </w:tcPr>
          <w:p>
            <w:pPr>
              <w:jc w:val="right"/>
              <w:rPr>
                <w:rFonts w:ascii="宋体" w:hAnsi="宋体"/>
              </w:rPr>
            </w:pPr>
            <w:r>
              <w:rPr>
                <w:rFonts w:ascii="宋体" w:hAnsi="宋体"/>
              </w:rPr>
              <w:t>77,237,849</w:t>
            </w:r>
          </w:p>
        </w:tc>
        <w:tc>
          <w:tcPr>
            <w:tcW w:w="1512" w:type="pct"/>
            <w:vAlign w:val="center"/>
          </w:tcPr>
          <w:p>
            <w:pPr>
              <w:jc w:val="right"/>
              <w:rPr>
                <w:rFonts w:ascii="宋体" w:hAnsi="宋体"/>
              </w:rPr>
            </w:pPr>
            <w:r>
              <w:rPr>
                <w:rFonts w:ascii="宋体" w:hAnsi="宋体"/>
              </w:rPr>
              <w:t>54,057,734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ind w:right="6"/>
              <w:rPr>
                <w:rFonts w:ascii="宋体" w:hAnsi="宋体"/>
              </w:rPr>
            </w:pPr>
            <w:r>
              <w:rPr>
                <w:rFonts w:hint="eastAsia" w:ascii="宋体" w:hAnsi="宋体"/>
              </w:rPr>
              <w:t>加：本期归属于母公司所有者的净利润</w:t>
            </w:r>
          </w:p>
        </w:tc>
        <w:tc>
          <w:tcPr>
            <w:tcW w:w="1561" w:type="pct"/>
            <w:vAlign w:val="center"/>
          </w:tcPr>
          <w:p>
            <w:pPr>
              <w:jc w:val="right"/>
              <w:rPr>
                <w:rFonts w:ascii="宋体" w:hAnsi="宋体"/>
              </w:rPr>
            </w:pPr>
            <w:r>
              <w:rPr>
                <w:rFonts w:ascii="宋体" w:hAnsi="宋体"/>
              </w:rPr>
              <w:t>20,139,502</w:t>
            </w:r>
          </w:p>
        </w:tc>
        <w:tc>
          <w:tcPr>
            <w:tcW w:w="1512" w:type="pct"/>
            <w:vAlign w:val="center"/>
          </w:tcPr>
          <w:p>
            <w:pPr>
              <w:jc w:val="right"/>
              <w:rPr>
                <w:rFonts w:ascii="宋体" w:hAnsi="宋体"/>
              </w:rPr>
            </w:pPr>
            <w:r>
              <w:rPr>
                <w:rFonts w:hint="eastAsia" w:ascii="宋体" w:hAnsi="宋体"/>
              </w:rPr>
              <w:t>33,356,920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rPr>
                <w:rFonts w:ascii="宋体" w:hAnsi="宋体"/>
              </w:rPr>
            </w:pPr>
            <w:r>
              <w:rPr>
                <w:rFonts w:hint="eastAsia" w:ascii="宋体" w:hAnsi="宋体"/>
              </w:rPr>
              <w:t>减：提取法定盈余公积</w:t>
            </w:r>
          </w:p>
        </w:tc>
        <w:tc>
          <w:tcPr>
            <w:tcW w:w="1561" w:type="pct"/>
            <w:vAlign w:val="center"/>
          </w:tcPr>
          <w:p>
            <w:pPr>
              <w:jc w:val="right"/>
              <w:rPr>
                <w:rFonts w:ascii="宋体" w:hAnsi="宋体"/>
              </w:rPr>
            </w:pPr>
            <w:r>
              <w:rPr>
                <w:rFonts w:ascii="宋体" w:hAnsi="宋体"/>
              </w:rPr>
              <w:t>1,663,814</w:t>
            </w:r>
          </w:p>
        </w:tc>
        <w:tc>
          <w:tcPr>
            <w:tcW w:w="1512" w:type="pct"/>
            <w:vAlign w:val="center"/>
          </w:tcPr>
          <w:p>
            <w:pPr>
              <w:ind w:right="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ind w:firstLine="420"/>
              <w:rPr>
                <w:rFonts w:ascii="宋体" w:hAnsi="宋体"/>
              </w:rPr>
            </w:pPr>
            <w:r>
              <w:rPr>
                <w:rFonts w:hint="eastAsia" w:ascii="宋体" w:hAnsi="宋体"/>
              </w:rPr>
              <w:t>提取任意盈余公积</w:t>
            </w:r>
          </w:p>
        </w:tc>
        <w:tc>
          <w:tcPr>
            <w:tcW w:w="1561" w:type="pct"/>
            <w:vAlign w:val="center"/>
          </w:tcPr>
          <w:p>
            <w:pPr>
              <w:jc w:val="right"/>
              <w:rPr>
                <w:rFonts w:ascii="宋体" w:hAnsi="宋体"/>
              </w:rPr>
            </w:pPr>
          </w:p>
        </w:tc>
        <w:tc>
          <w:tcPr>
            <w:tcW w:w="1512" w:type="pct"/>
            <w:vAlign w:val="center"/>
          </w:tcPr>
          <w:p>
            <w:pPr>
              <w:ind w:right="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ind w:firstLine="420"/>
              <w:rPr>
                <w:rFonts w:ascii="宋体" w:hAnsi="宋体"/>
              </w:rPr>
            </w:pPr>
            <w:r>
              <w:rPr>
                <w:rFonts w:hint="eastAsia" w:ascii="宋体" w:hAnsi="宋体"/>
              </w:rPr>
              <w:t>提取一般风险准备</w:t>
            </w:r>
          </w:p>
        </w:tc>
        <w:tc>
          <w:tcPr>
            <w:tcW w:w="1561" w:type="pct"/>
            <w:vAlign w:val="center"/>
          </w:tcPr>
          <w:p>
            <w:pPr>
              <w:jc w:val="right"/>
              <w:rPr>
                <w:rFonts w:ascii="宋体" w:hAnsi="宋体"/>
              </w:rPr>
            </w:pPr>
          </w:p>
        </w:tc>
        <w:tc>
          <w:tcPr>
            <w:tcW w:w="1512" w:type="pct"/>
            <w:vAlign w:val="center"/>
          </w:tcPr>
          <w:p>
            <w:pPr>
              <w:ind w:right="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ind w:firstLine="420"/>
              <w:rPr>
                <w:rFonts w:ascii="宋体" w:hAnsi="宋体"/>
              </w:rPr>
            </w:pPr>
            <w:r>
              <w:rPr>
                <w:rFonts w:hint="eastAsia" w:ascii="宋体" w:hAnsi="宋体"/>
              </w:rPr>
              <w:t>应付普通股股利</w:t>
            </w:r>
          </w:p>
        </w:tc>
        <w:tc>
          <w:tcPr>
            <w:tcW w:w="1561" w:type="pct"/>
          </w:tcPr>
          <w:p>
            <w:pPr>
              <w:jc w:val="right"/>
              <w:rPr>
                <w:rFonts w:ascii="宋体" w:hAnsi="宋体"/>
              </w:rPr>
            </w:pPr>
            <w:r>
              <w:rPr>
                <w:rFonts w:ascii="宋体" w:hAnsi="宋体"/>
              </w:rPr>
              <w:t>24,431,610</w:t>
            </w:r>
          </w:p>
        </w:tc>
        <w:tc>
          <w:tcPr>
            <w:tcW w:w="1512" w:type="pct"/>
          </w:tcPr>
          <w:p>
            <w:pPr>
              <w:ind w:right="6"/>
              <w:jc w:val="right"/>
              <w:rPr>
                <w:rFonts w:ascii="宋体" w:hAnsi="宋体"/>
              </w:rPr>
            </w:pPr>
            <w:r>
              <w:rPr>
                <w:rFonts w:ascii="宋体" w:hAnsi="宋体"/>
              </w:rPr>
              <w:t>10,162,671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ind w:firstLine="420"/>
              <w:rPr>
                <w:rFonts w:ascii="宋体" w:hAnsi="宋体"/>
              </w:rPr>
            </w:pPr>
            <w:r>
              <w:rPr>
                <w:rFonts w:hint="eastAsia" w:ascii="宋体" w:hAnsi="宋体"/>
              </w:rPr>
              <w:t>同一控制下企业合并</w:t>
            </w:r>
          </w:p>
        </w:tc>
        <w:tc>
          <w:tcPr>
            <w:tcW w:w="1561" w:type="pct"/>
          </w:tcPr>
          <w:p>
            <w:pPr>
              <w:jc w:val="right"/>
              <w:rPr>
                <w:rFonts w:ascii="宋体" w:hAnsi="宋体"/>
              </w:rPr>
            </w:pPr>
            <w:r>
              <w:rPr>
                <w:rFonts w:ascii="宋体" w:hAnsi="宋体"/>
              </w:rPr>
              <w:t>20,951,944</w:t>
            </w:r>
          </w:p>
        </w:tc>
        <w:tc>
          <w:tcPr>
            <w:tcW w:w="1512" w:type="pct"/>
          </w:tcPr>
          <w:p>
            <w:pPr>
              <w:ind w:right="6"/>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ind w:firstLine="420"/>
              <w:rPr>
                <w:rFonts w:ascii="宋体" w:hAnsi="宋体"/>
              </w:rPr>
            </w:pPr>
            <w:r>
              <w:rPr>
                <w:rFonts w:hint="eastAsia" w:ascii="宋体" w:hAnsi="宋体"/>
              </w:rPr>
              <w:t>其他调整因素</w:t>
            </w:r>
          </w:p>
        </w:tc>
        <w:tc>
          <w:tcPr>
            <w:tcW w:w="1561" w:type="pct"/>
          </w:tcPr>
          <w:p>
            <w:pPr>
              <w:jc w:val="right"/>
              <w:rPr>
                <w:rFonts w:ascii="宋体" w:hAnsi="宋体"/>
              </w:rPr>
            </w:pPr>
            <w:r>
              <w:rPr>
                <w:rFonts w:ascii="宋体" w:hAnsi="宋体"/>
              </w:rPr>
              <w:t>128,749</w:t>
            </w:r>
          </w:p>
        </w:tc>
        <w:tc>
          <w:tcPr>
            <w:tcW w:w="1512" w:type="pct"/>
          </w:tcPr>
          <w:p>
            <w:pPr>
              <w:jc w:val="right"/>
              <w:rPr>
                <w:rFonts w:ascii="宋体" w:hAnsi="宋体"/>
              </w:rPr>
            </w:pPr>
            <w:r>
              <w:rPr>
                <w:rFonts w:ascii="宋体" w:hAnsi="宋体"/>
              </w:rPr>
              <w:t>14,134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rPr>
                <w:rFonts w:ascii="宋体" w:hAnsi="宋体"/>
              </w:rPr>
            </w:pPr>
            <w:r>
              <w:rPr>
                <w:rFonts w:hint="eastAsia" w:ascii="宋体" w:hAnsi="宋体"/>
              </w:rPr>
              <w:t>期末未分配利润</w:t>
            </w:r>
          </w:p>
        </w:tc>
        <w:tc>
          <w:tcPr>
            <w:tcW w:w="1561" w:type="pct"/>
          </w:tcPr>
          <w:p>
            <w:pPr>
              <w:jc w:val="right"/>
              <w:rPr>
                <w:rFonts w:ascii="宋体" w:hAnsi="宋体"/>
              </w:rPr>
            </w:pPr>
            <w:r>
              <w:rPr>
                <w:rFonts w:ascii="宋体" w:hAnsi="宋体"/>
              </w:rPr>
              <w:t>50,201,234</w:t>
            </w:r>
          </w:p>
        </w:tc>
        <w:tc>
          <w:tcPr>
            <w:tcW w:w="1512" w:type="pct"/>
          </w:tcPr>
          <w:p>
            <w:pPr>
              <w:ind w:right="6"/>
              <w:jc w:val="right"/>
              <w:rPr>
                <w:rFonts w:ascii="宋体" w:hAnsi="宋体"/>
              </w:rPr>
            </w:pPr>
            <w:r>
              <w:rPr>
                <w:rFonts w:ascii="宋体" w:hAnsi="宋体"/>
              </w:rPr>
              <w:t>77,237,849</w:t>
            </w:r>
          </w:p>
        </w:tc>
      </w:tr>
    </w:tbl>
    <w:p>
      <w:pPr>
        <w:pStyle w:val="501"/>
      </w:pPr>
    </w:p>
    <w:p>
      <w:pPr>
        <w:pStyle w:val="504"/>
        <w:numPr>
          <w:ilvl w:val="0"/>
          <w:numId w:val="69"/>
        </w:numPr>
        <w:tabs>
          <w:tab w:val="left" w:pos="504"/>
        </w:tabs>
        <w:rPr>
          <w:szCs w:val="21"/>
        </w:rPr>
      </w:pPr>
      <w:r>
        <w:rPr>
          <w:szCs w:val="21"/>
        </w:rPr>
        <w:t>营业</w:t>
      </w:r>
      <w:r>
        <w:rPr>
          <w:rFonts w:ascii="宋体" w:hAnsi="宋体"/>
          <w:szCs w:val="21"/>
        </w:rPr>
        <w:t>收入</w:t>
      </w:r>
      <w:r>
        <w:rPr>
          <w:szCs w:val="21"/>
        </w:rPr>
        <w:t>和营业成本</w:t>
      </w:r>
    </w:p>
    <w:p>
      <w:pPr>
        <w:pStyle w:val="505"/>
        <w:numPr>
          <w:ilvl w:val="0"/>
          <w:numId w:val="105"/>
        </w:numPr>
        <w:ind w:left="426" w:hanging="426"/>
      </w:pPr>
      <w:r>
        <w:rPr>
          <w:rFonts w:hint="eastAsia"/>
        </w:rPr>
        <w:t>营业收入和营业成本情况</w:t>
      </w:r>
    </w:p>
    <w:sdt>
      <w:sdtPr>
        <w:alias w:val="是否适用：营业收入和营业成本[双击切换]"/>
        <w:tag w:val="_GBC_c0388196e3634afc823f4b5822c5937a"/>
        <w:id w:val="128021979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bCs/>
        </w:rPr>
        <w:t>单位：</w:t>
      </w:r>
      <w:sdt>
        <w:sdtPr>
          <w:rPr>
            <w:rFonts w:hint="eastAsia"/>
            <w:bCs/>
          </w:rPr>
          <w:alias w:val="单位：财务附注：营业收入"/>
          <w:tag w:val="_GBC_65cadde8ae1e4b178e7f2737b89bb434"/>
          <w:id w:val="-18271193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rPr>
        </w:sdtEndPr>
        <w:sdtContent>
          <w:r>
            <w:rPr>
              <w:rFonts w:hint="eastAsia"/>
              <w:bCs/>
            </w:rPr>
            <w:t>千元</w:t>
          </w:r>
        </w:sdtContent>
      </w:sdt>
      <w:r>
        <w:rPr>
          <w:rFonts w:hint="eastAsia"/>
          <w:bCs/>
        </w:rPr>
        <w:t xml:space="preserve">  币种：</w:t>
      </w:r>
      <w:sdt>
        <w:sdtPr>
          <w:rPr>
            <w:rFonts w:hint="eastAsia"/>
            <w:bCs/>
          </w:rPr>
          <w:alias w:val="币种：财务附注：营业收入"/>
          <w:tag w:val="_GBC_1371c944b91f437595273e807317f64f"/>
          <w:id w:val="-18371437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rPr>
        </w:sdtEndPr>
        <w:sdtContent>
          <w:r>
            <w:rPr>
              <w:rFonts w:hint="eastAsia"/>
              <w:bCs/>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889"/>
        <w:gridCol w:w="1902"/>
        <w:gridCol w:w="1900"/>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77e8683f75cd4c9e919404e1278fe9a0"/>
            <w:id w:val="2084021453"/>
          </w:sdtPr>
          <w:sdtEndPr>
            <w:rPr>
              <w:rFonts w:ascii="宋体" w:hAnsi="宋体"/>
            </w:rPr>
          </w:sdtEndPr>
          <w:sdtContent>
            <w:tc>
              <w:tcPr>
                <w:tcW w:w="805"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e956f55a311f45a19dc3ce9396b931c9"/>
            <w:id w:val="-1565559104"/>
          </w:sdtPr>
          <w:sdtEndPr>
            <w:rPr>
              <w:rFonts w:ascii="宋体" w:hAnsi="宋体"/>
            </w:rPr>
          </w:sdtEndPr>
          <w:sdtContent>
            <w:tc>
              <w:tcPr>
                <w:tcW w:w="20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本期发生额</w:t>
                </w:r>
              </w:p>
            </w:tc>
          </w:sdtContent>
        </w:sdt>
        <w:sdt>
          <w:sdtPr>
            <w:rPr>
              <w:rFonts w:ascii="宋体" w:hAnsi="宋体"/>
            </w:rPr>
            <w:tag w:val="_PLD_d175a7df90684e2bbdccc1ba942f2760"/>
            <w:id w:val="-307787626"/>
          </w:sdtPr>
          <w:sdtEndPr>
            <w:rPr>
              <w:rFonts w:ascii="宋体" w:hAnsi="宋体"/>
            </w:rPr>
          </w:sdtEndPr>
          <w:sdtContent>
            <w:tc>
              <w:tcPr>
                <w:tcW w:w="21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Merge w:val="continue"/>
            <w:tcBorders>
              <w:left w:val="single" w:color="auto" w:sz="4" w:space="0"/>
              <w:bottom w:val="single" w:color="auto" w:sz="4" w:space="0"/>
              <w:right w:val="single" w:color="auto" w:sz="4" w:space="0"/>
            </w:tcBorders>
            <w:shd w:val="clear" w:color="auto" w:fill="auto"/>
          </w:tcPr>
          <w:p>
            <w:pPr>
              <w:jc w:val="center"/>
              <w:rPr>
                <w:rFonts w:ascii="宋体" w:hAnsi="宋体"/>
              </w:rPr>
            </w:pPr>
          </w:p>
        </w:tc>
        <w:sdt>
          <w:sdtPr>
            <w:rPr>
              <w:rFonts w:ascii="宋体" w:hAnsi="宋体"/>
            </w:rPr>
            <w:tag w:val="_PLD_fe053e4bca564a1fbda44c85256ce067"/>
            <w:id w:val="1293716735"/>
          </w:sdtPr>
          <w:sdtEndPr>
            <w:rPr>
              <w:rFonts w:ascii="宋体" w:hAnsi="宋体"/>
            </w:rPr>
          </w:sdtEndPr>
          <w:sdtConten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收入</w:t>
                </w:r>
              </w:p>
            </w:tc>
          </w:sdtContent>
        </w:sdt>
        <w:sdt>
          <w:sdtPr>
            <w:rPr>
              <w:rFonts w:ascii="宋体" w:hAnsi="宋体"/>
            </w:rPr>
            <w:tag w:val="_PLD_88be7d92d03d4168a79d4492be4a258c"/>
            <w:id w:val="1849443747"/>
          </w:sdtPr>
          <w:sdtEndPr>
            <w:rPr>
              <w:rFonts w:ascii="宋体" w:hAnsi="宋体"/>
            </w:rPr>
          </w:sdtEndPr>
          <w:sdtContent>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成本</w:t>
                </w:r>
              </w:p>
            </w:tc>
          </w:sdtContent>
        </w:sdt>
        <w:sdt>
          <w:sdtPr>
            <w:rPr>
              <w:rFonts w:ascii="宋体" w:hAnsi="宋体"/>
            </w:rPr>
            <w:tag w:val="_PLD_5ba4682bc5644bc38c4b795c78508b1f"/>
            <w:id w:val="-852334274"/>
          </w:sdtPr>
          <w:sdtEndPr>
            <w:rPr>
              <w:rFonts w:ascii="宋体" w:hAnsi="宋体"/>
            </w:rPr>
          </w:sdtEnd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收入</w:t>
                </w:r>
              </w:p>
            </w:tc>
          </w:sdtContent>
        </w:sdt>
        <w:sdt>
          <w:sdtPr>
            <w:rPr>
              <w:rFonts w:ascii="宋体" w:hAnsi="宋体"/>
            </w:rPr>
            <w:tag w:val="_PLD_94a3ede4ab834e37a20364f2c6897976"/>
            <w:id w:val="-1089532358"/>
          </w:sdtPr>
          <w:sdtEndPr>
            <w:rPr>
              <w:rFonts w:ascii="宋体" w:hAnsi="宋体"/>
            </w:rPr>
          </w:sdtEnd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主营业务</w:t>
            </w:r>
          </w:p>
        </w:tc>
        <w:tc>
          <w:tcPr>
            <w:tcW w:w="1044" w:type="pct"/>
            <w:vAlign w:val="center"/>
          </w:tcPr>
          <w:p>
            <w:pPr>
              <w:jc w:val="right"/>
              <w:rPr>
                <w:rFonts w:ascii="宋体" w:hAnsi="宋体"/>
              </w:rPr>
            </w:pPr>
            <w:r>
              <w:rPr>
                <w:rFonts w:ascii="宋体" w:hAnsi="宋体"/>
              </w:rPr>
              <w:t>132,742,542</w:t>
            </w:r>
          </w:p>
        </w:tc>
        <w:tc>
          <w:tcPr>
            <w:tcW w:w="1051" w:type="pct"/>
            <w:vAlign w:val="center"/>
          </w:tcPr>
          <w:p>
            <w:pPr>
              <w:jc w:val="right"/>
              <w:rPr>
                <w:rFonts w:ascii="宋体" w:hAnsi="宋体"/>
              </w:rPr>
            </w:pPr>
            <w:r>
              <w:rPr>
                <w:rFonts w:ascii="宋体" w:hAnsi="宋体"/>
              </w:rPr>
              <w:t>74,527,468</w:t>
            </w:r>
          </w:p>
        </w:tc>
        <w:tc>
          <w:tcPr>
            <w:tcW w:w="1050" w:type="pct"/>
            <w:vAlign w:val="center"/>
          </w:tcPr>
          <w:p>
            <w:pPr>
              <w:jc w:val="right"/>
              <w:rPr>
                <w:rFonts w:ascii="宋体" w:hAnsi="宋体"/>
              </w:rPr>
            </w:pPr>
            <w:r>
              <w:rPr>
                <w:rFonts w:ascii="宋体" w:hAnsi="宋体"/>
              </w:rPr>
              <w:t>176,811,556</w:t>
            </w:r>
          </w:p>
        </w:tc>
        <w:tc>
          <w:tcPr>
            <w:tcW w:w="1050" w:type="pct"/>
            <w:vAlign w:val="center"/>
          </w:tcPr>
          <w:p>
            <w:pPr>
              <w:jc w:val="right"/>
              <w:rPr>
                <w:rFonts w:ascii="宋体" w:hAnsi="宋体"/>
              </w:rPr>
            </w:pPr>
            <w:r>
              <w:rPr>
                <w:rFonts w:ascii="宋体" w:hAnsi="宋体"/>
              </w:rPr>
              <w:t>83,670,070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其他业务</w:t>
            </w:r>
          </w:p>
        </w:tc>
        <w:tc>
          <w:tcPr>
            <w:tcW w:w="1044" w:type="pct"/>
            <w:vAlign w:val="center"/>
          </w:tcPr>
          <w:p>
            <w:pPr>
              <w:jc w:val="right"/>
              <w:rPr>
                <w:rFonts w:ascii="宋体" w:hAnsi="宋体"/>
              </w:rPr>
            </w:pPr>
            <w:r>
              <w:rPr>
                <w:rFonts w:ascii="宋体" w:hAnsi="宋体"/>
              </w:rPr>
              <w:t>17,282,318</w:t>
            </w:r>
          </w:p>
        </w:tc>
        <w:tc>
          <w:tcPr>
            <w:tcW w:w="1051" w:type="pct"/>
            <w:vAlign w:val="center"/>
          </w:tcPr>
          <w:p>
            <w:pPr>
              <w:jc w:val="right"/>
              <w:rPr>
                <w:rFonts w:ascii="宋体" w:hAnsi="宋体"/>
              </w:rPr>
            </w:pPr>
            <w:r>
              <w:rPr>
                <w:rFonts w:ascii="宋体" w:hAnsi="宋体"/>
              </w:rPr>
              <w:t>14,533,034</w:t>
            </w:r>
          </w:p>
        </w:tc>
        <w:tc>
          <w:tcPr>
            <w:tcW w:w="1050" w:type="pct"/>
            <w:vAlign w:val="center"/>
          </w:tcPr>
          <w:p>
            <w:pPr>
              <w:jc w:val="right"/>
              <w:rPr>
                <w:rFonts w:ascii="宋体" w:hAnsi="宋体"/>
              </w:rPr>
            </w:pPr>
            <w:r>
              <w:rPr>
                <w:rFonts w:ascii="宋体" w:hAnsi="宋体"/>
              </w:rPr>
              <w:t>48,161,547</w:t>
            </w:r>
          </w:p>
        </w:tc>
        <w:tc>
          <w:tcPr>
            <w:tcW w:w="1050" w:type="pct"/>
            <w:vAlign w:val="center"/>
          </w:tcPr>
          <w:p>
            <w:pPr>
              <w:jc w:val="right"/>
              <w:rPr>
                <w:rFonts w:ascii="宋体" w:hAnsi="宋体"/>
              </w:rPr>
            </w:pPr>
            <w:r>
              <w:rPr>
                <w:rFonts w:ascii="宋体" w:hAnsi="宋体"/>
              </w:rPr>
              <w:t>45,816,578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合计</w:t>
            </w:r>
          </w:p>
        </w:tc>
        <w:tc>
          <w:tcPr>
            <w:tcW w:w="1044" w:type="pct"/>
            <w:vAlign w:val="center"/>
          </w:tcPr>
          <w:p>
            <w:pPr>
              <w:jc w:val="right"/>
              <w:rPr>
                <w:rFonts w:ascii="宋体" w:hAnsi="宋体"/>
              </w:rPr>
            </w:pPr>
            <w:r>
              <w:rPr>
                <w:rFonts w:ascii="宋体" w:hAnsi="宋体"/>
              </w:rPr>
              <w:t>150,024,860</w:t>
            </w:r>
          </w:p>
        </w:tc>
        <w:tc>
          <w:tcPr>
            <w:tcW w:w="1051" w:type="pct"/>
            <w:vAlign w:val="center"/>
          </w:tcPr>
          <w:p>
            <w:pPr>
              <w:jc w:val="right"/>
              <w:rPr>
                <w:rFonts w:ascii="宋体" w:hAnsi="宋体"/>
              </w:rPr>
            </w:pPr>
            <w:r>
              <w:rPr>
                <w:rFonts w:ascii="宋体" w:hAnsi="宋体"/>
              </w:rPr>
              <w:t>89,060,502</w:t>
            </w:r>
          </w:p>
        </w:tc>
        <w:tc>
          <w:tcPr>
            <w:tcW w:w="1050" w:type="pct"/>
            <w:vAlign w:val="center"/>
          </w:tcPr>
          <w:p>
            <w:pPr>
              <w:jc w:val="right"/>
              <w:rPr>
                <w:rFonts w:ascii="宋体" w:hAnsi="宋体"/>
              </w:rPr>
            </w:pPr>
            <w:r>
              <w:rPr>
                <w:rFonts w:ascii="宋体" w:hAnsi="宋体"/>
              </w:rPr>
              <w:t>224,973,103</w:t>
            </w:r>
          </w:p>
        </w:tc>
        <w:tc>
          <w:tcPr>
            <w:tcW w:w="1050" w:type="pct"/>
            <w:vAlign w:val="center"/>
          </w:tcPr>
          <w:p>
            <w:pPr>
              <w:jc w:val="right"/>
              <w:rPr>
                <w:rFonts w:ascii="宋体" w:hAnsi="宋体"/>
              </w:rPr>
            </w:pPr>
            <w:r>
              <w:rPr>
                <w:rFonts w:ascii="宋体" w:hAnsi="宋体"/>
              </w:rPr>
              <w:t>129,486,648</w:t>
            </w:r>
          </w:p>
        </w:tc>
      </w:tr>
    </w:tbl>
    <w:p>
      <w:pPr>
        <w:pStyle w:val="531"/>
      </w:pPr>
    </w:p>
    <w:p>
      <w:pPr>
        <w:pStyle w:val="505"/>
        <w:numPr>
          <w:ilvl w:val="0"/>
          <w:numId w:val="105"/>
        </w:numPr>
        <w:ind w:left="426" w:hanging="426"/>
      </w:pPr>
      <w:r>
        <w:rPr>
          <w:rFonts w:hint="eastAsia"/>
        </w:rPr>
        <w:t>合同产生的收入情况</w:t>
      </w:r>
    </w:p>
    <w:tbl>
      <w:tblPr>
        <w:tblStyle w:val="9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2552"/>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97" w:type="dxa"/>
            <w:vAlign w:val="center"/>
          </w:tcPr>
          <w:p>
            <w:pPr>
              <w:rPr>
                <w:rFonts w:ascii="宋体" w:hAnsi="宋体"/>
                <w:bCs/>
              </w:rPr>
            </w:pPr>
            <w:bookmarkStart w:id="325" w:name="_Hlk161340233"/>
            <w:r>
              <w:rPr>
                <w:rFonts w:hint="eastAsia" w:ascii="宋体" w:hAnsi="宋体"/>
                <w:bCs/>
              </w:rPr>
              <w:t>合同分类</w:t>
            </w:r>
          </w:p>
        </w:tc>
        <w:tc>
          <w:tcPr>
            <w:tcW w:w="2552" w:type="dxa"/>
            <w:vAlign w:val="center"/>
          </w:tcPr>
          <w:p>
            <w:pPr>
              <w:rPr>
                <w:rFonts w:ascii="宋体" w:hAnsi="宋体"/>
                <w:bCs/>
              </w:rPr>
            </w:pPr>
            <w:r>
              <w:rPr>
                <w:rFonts w:hint="eastAsia" w:ascii="宋体" w:hAnsi="宋体"/>
                <w:bCs/>
              </w:rPr>
              <w:t>本年发生额</w:t>
            </w:r>
          </w:p>
        </w:tc>
        <w:tc>
          <w:tcPr>
            <w:tcW w:w="2874" w:type="dxa"/>
            <w:vAlign w:val="center"/>
          </w:tcPr>
          <w:p>
            <w:pPr>
              <w:rPr>
                <w:rFonts w:ascii="宋体" w:hAnsi="宋体"/>
                <w:bCs/>
              </w:rPr>
            </w:pPr>
            <w:r>
              <w:rPr>
                <w:rFonts w:hint="eastAsia" w:ascii="宋体" w:hAnsi="宋体"/>
                <w:bCs/>
              </w:rPr>
              <w:t>上年发生额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rPr>
                <w:rFonts w:ascii="宋体" w:hAnsi="宋体"/>
              </w:rPr>
            </w:pPr>
            <w:r>
              <w:rPr>
                <w:rFonts w:hint="eastAsia" w:ascii="宋体" w:hAnsi="宋体"/>
                <w:bCs/>
              </w:rPr>
              <w:t>业务类型</w:t>
            </w:r>
          </w:p>
        </w:tc>
        <w:tc>
          <w:tcPr>
            <w:tcW w:w="2552" w:type="dxa"/>
            <w:vAlign w:val="center"/>
          </w:tcPr>
          <w:p>
            <w:pPr>
              <w:rPr>
                <w:rFonts w:ascii="宋体" w:hAnsi="宋体"/>
              </w:rPr>
            </w:pPr>
          </w:p>
        </w:tc>
        <w:tc>
          <w:tcPr>
            <w:tcW w:w="287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ind w:firstLine="420" w:firstLineChars="200"/>
              <w:rPr>
                <w:rFonts w:ascii="宋体" w:hAnsi="宋体"/>
              </w:rPr>
            </w:pPr>
            <w:r>
              <w:rPr>
                <w:rFonts w:hint="eastAsia" w:ascii="宋体" w:hAnsi="宋体"/>
              </w:rPr>
              <w:t>其中：煤炭业务</w:t>
            </w:r>
          </w:p>
        </w:tc>
        <w:tc>
          <w:tcPr>
            <w:tcW w:w="2552" w:type="dxa"/>
            <w:vAlign w:val="center"/>
          </w:tcPr>
          <w:p>
            <w:pPr>
              <w:jc w:val="right"/>
              <w:rPr>
                <w:rFonts w:ascii="宋体" w:hAnsi="宋体"/>
              </w:rPr>
            </w:pPr>
            <w:r>
              <w:rPr>
                <w:rFonts w:ascii="宋体" w:hAnsi="宋体"/>
              </w:rPr>
              <w:t>102,019,064</w:t>
            </w:r>
          </w:p>
        </w:tc>
        <w:tc>
          <w:tcPr>
            <w:tcW w:w="2874" w:type="dxa"/>
            <w:vAlign w:val="center"/>
          </w:tcPr>
          <w:p>
            <w:pPr>
              <w:jc w:val="right"/>
              <w:rPr>
                <w:rFonts w:ascii="宋体" w:hAnsi="宋体"/>
              </w:rPr>
            </w:pPr>
            <w:r>
              <w:rPr>
                <w:rFonts w:ascii="宋体" w:hAnsi="宋体"/>
              </w:rPr>
              <w:t>145,990,576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ind w:firstLine="1050" w:firstLineChars="500"/>
              <w:rPr>
                <w:rFonts w:ascii="宋体" w:hAnsi="宋体"/>
              </w:rPr>
            </w:pPr>
            <w:r>
              <w:rPr>
                <w:rFonts w:hint="eastAsia" w:ascii="宋体" w:hAnsi="宋体"/>
              </w:rPr>
              <w:t>煤化工、电力及热力</w:t>
            </w:r>
          </w:p>
        </w:tc>
        <w:tc>
          <w:tcPr>
            <w:tcW w:w="2552" w:type="dxa"/>
            <w:vAlign w:val="center"/>
          </w:tcPr>
          <w:p>
            <w:pPr>
              <w:jc w:val="right"/>
              <w:rPr>
                <w:rFonts w:ascii="宋体" w:hAnsi="宋体"/>
              </w:rPr>
            </w:pPr>
            <w:r>
              <w:rPr>
                <w:rFonts w:ascii="宋体" w:hAnsi="宋体"/>
              </w:rPr>
              <w:t>29,855,761</w:t>
            </w:r>
          </w:p>
        </w:tc>
        <w:tc>
          <w:tcPr>
            <w:tcW w:w="2874" w:type="dxa"/>
            <w:vAlign w:val="center"/>
          </w:tcPr>
          <w:p>
            <w:pPr>
              <w:jc w:val="right"/>
              <w:rPr>
                <w:rFonts w:ascii="宋体" w:hAnsi="宋体"/>
              </w:rPr>
            </w:pPr>
            <w:r>
              <w:rPr>
                <w:rFonts w:ascii="宋体" w:hAnsi="宋体"/>
              </w:rPr>
              <w:t>29,867,618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ind w:firstLine="1050" w:firstLineChars="500"/>
              <w:rPr>
                <w:rFonts w:ascii="宋体" w:hAnsi="宋体"/>
              </w:rPr>
            </w:pPr>
            <w:r>
              <w:rPr>
                <w:rFonts w:hint="eastAsia" w:ascii="宋体" w:hAnsi="宋体"/>
              </w:rPr>
              <w:t>非煤炭贸易</w:t>
            </w:r>
          </w:p>
        </w:tc>
        <w:tc>
          <w:tcPr>
            <w:tcW w:w="2552" w:type="dxa"/>
            <w:vAlign w:val="center"/>
          </w:tcPr>
          <w:p>
            <w:pPr>
              <w:jc w:val="right"/>
              <w:rPr>
                <w:rFonts w:ascii="宋体" w:hAnsi="宋体"/>
              </w:rPr>
            </w:pPr>
            <w:r>
              <w:rPr>
                <w:rFonts w:ascii="宋体" w:hAnsi="宋体"/>
              </w:rPr>
              <w:t>10,419,283</w:t>
            </w:r>
          </w:p>
        </w:tc>
        <w:tc>
          <w:tcPr>
            <w:tcW w:w="2874" w:type="dxa"/>
            <w:vAlign w:val="center"/>
          </w:tcPr>
          <w:p>
            <w:pPr>
              <w:jc w:val="right"/>
              <w:rPr>
                <w:rFonts w:ascii="宋体" w:hAnsi="宋体"/>
              </w:rPr>
            </w:pPr>
            <w:r>
              <w:rPr>
                <w:rFonts w:ascii="宋体" w:hAnsi="宋体"/>
              </w:rPr>
              <w:t>41,448,822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ind w:firstLine="1050" w:firstLineChars="500"/>
              <w:rPr>
                <w:rFonts w:ascii="宋体" w:hAnsi="宋体"/>
              </w:rPr>
            </w:pPr>
            <w:r>
              <w:rPr>
                <w:rFonts w:hint="eastAsia" w:ascii="宋体" w:hAnsi="宋体"/>
              </w:rPr>
              <w:t>贷款和融资租赁</w:t>
            </w:r>
          </w:p>
        </w:tc>
        <w:tc>
          <w:tcPr>
            <w:tcW w:w="2552" w:type="dxa"/>
            <w:vAlign w:val="center"/>
          </w:tcPr>
          <w:p>
            <w:pPr>
              <w:jc w:val="right"/>
              <w:rPr>
                <w:rFonts w:ascii="宋体" w:hAnsi="宋体"/>
              </w:rPr>
            </w:pPr>
            <w:r>
              <w:rPr>
                <w:rFonts w:ascii="宋体" w:hAnsi="宋体"/>
              </w:rPr>
              <w:t>1,392,268</w:t>
            </w:r>
          </w:p>
        </w:tc>
        <w:tc>
          <w:tcPr>
            <w:tcW w:w="2874" w:type="dxa"/>
            <w:vAlign w:val="center"/>
          </w:tcPr>
          <w:p>
            <w:pPr>
              <w:jc w:val="right"/>
              <w:rPr>
                <w:rFonts w:ascii="宋体" w:hAnsi="宋体"/>
              </w:rPr>
            </w:pPr>
            <w:r>
              <w:rPr>
                <w:rFonts w:ascii="宋体" w:hAnsi="宋体"/>
              </w:rPr>
              <w:t>1,421,244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ind w:firstLine="1050" w:firstLineChars="500"/>
              <w:rPr>
                <w:rFonts w:ascii="宋体" w:hAnsi="宋体"/>
              </w:rPr>
            </w:pPr>
            <w:r>
              <w:rPr>
                <w:rFonts w:hint="eastAsia" w:ascii="宋体" w:hAnsi="宋体"/>
              </w:rPr>
              <w:t>矿用设备制造</w:t>
            </w:r>
          </w:p>
        </w:tc>
        <w:tc>
          <w:tcPr>
            <w:tcW w:w="2552" w:type="dxa"/>
            <w:vAlign w:val="center"/>
          </w:tcPr>
          <w:p>
            <w:pPr>
              <w:jc w:val="right"/>
              <w:rPr>
                <w:rFonts w:ascii="宋体" w:hAnsi="宋体"/>
              </w:rPr>
            </w:pPr>
            <w:r>
              <w:rPr>
                <w:rFonts w:ascii="宋体" w:hAnsi="宋体"/>
              </w:rPr>
              <w:t>690,972</w:t>
            </w:r>
          </w:p>
        </w:tc>
        <w:tc>
          <w:tcPr>
            <w:tcW w:w="2874" w:type="dxa"/>
            <w:vAlign w:val="center"/>
          </w:tcPr>
          <w:p>
            <w:pPr>
              <w:jc w:val="right"/>
              <w:rPr>
                <w:rFonts w:ascii="宋体" w:hAnsi="宋体"/>
              </w:rPr>
            </w:pPr>
            <w:r>
              <w:rPr>
                <w:rFonts w:ascii="宋体" w:hAnsi="宋体"/>
              </w:rPr>
              <w:t>748,911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ind w:firstLine="1050" w:firstLineChars="500"/>
              <w:rPr>
                <w:rFonts w:ascii="宋体" w:hAnsi="宋体"/>
              </w:rPr>
            </w:pPr>
            <w:r>
              <w:rPr>
                <w:rFonts w:hint="eastAsia" w:ascii="宋体" w:hAnsi="宋体"/>
              </w:rPr>
              <w:t>铁运业务</w:t>
            </w:r>
          </w:p>
        </w:tc>
        <w:tc>
          <w:tcPr>
            <w:tcW w:w="2552" w:type="dxa"/>
            <w:vAlign w:val="center"/>
          </w:tcPr>
          <w:p>
            <w:pPr>
              <w:jc w:val="right"/>
              <w:rPr>
                <w:rFonts w:ascii="宋体" w:hAnsi="宋体"/>
              </w:rPr>
            </w:pPr>
            <w:r>
              <w:rPr>
                <w:rFonts w:ascii="宋体" w:hAnsi="宋体"/>
              </w:rPr>
              <w:t>478,114</w:t>
            </w:r>
          </w:p>
        </w:tc>
        <w:tc>
          <w:tcPr>
            <w:tcW w:w="2874" w:type="dxa"/>
            <w:vAlign w:val="center"/>
          </w:tcPr>
          <w:p>
            <w:pPr>
              <w:jc w:val="right"/>
              <w:rPr>
                <w:rFonts w:ascii="宋体" w:hAnsi="宋体"/>
              </w:rPr>
            </w:pPr>
            <w:r>
              <w:rPr>
                <w:rFonts w:ascii="宋体" w:hAnsi="宋体"/>
              </w:rPr>
              <w:t>393,440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ind w:firstLine="1050" w:firstLineChars="500"/>
              <w:rPr>
                <w:rFonts w:ascii="宋体" w:hAnsi="宋体"/>
              </w:rPr>
            </w:pPr>
            <w:r>
              <w:rPr>
                <w:rFonts w:hint="eastAsia" w:ascii="宋体" w:hAnsi="宋体"/>
              </w:rPr>
              <w:t>未分配项目</w:t>
            </w:r>
          </w:p>
        </w:tc>
        <w:tc>
          <w:tcPr>
            <w:tcW w:w="2552" w:type="dxa"/>
            <w:vAlign w:val="center"/>
          </w:tcPr>
          <w:p>
            <w:pPr>
              <w:jc w:val="right"/>
              <w:rPr>
                <w:rFonts w:ascii="宋体" w:hAnsi="宋体"/>
              </w:rPr>
            </w:pPr>
            <w:r>
              <w:rPr>
                <w:rFonts w:ascii="宋体" w:hAnsi="宋体"/>
              </w:rPr>
              <w:t>5,169,398</w:t>
            </w:r>
          </w:p>
        </w:tc>
        <w:tc>
          <w:tcPr>
            <w:tcW w:w="2874" w:type="dxa"/>
            <w:vAlign w:val="center"/>
          </w:tcPr>
          <w:p>
            <w:pPr>
              <w:jc w:val="right"/>
              <w:rPr>
                <w:rFonts w:ascii="宋体" w:hAnsi="宋体"/>
              </w:rPr>
            </w:pPr>
            <w:r>
              <w:rPr>
                <w:rFonts w:ascii="宋体" w:hAnsi="宋体"/>
              </w:rPr>
              <w:t>5,102,492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rPr>
                <w:rFonts w:ascii="宋体" w:hAnsi="宋体"/>
              </w:rPr>
            </w:pPr>
            <w:r>
              <w:rPr>
                <w:rFonts w:hint="eastAsia" w:ascii="宋体" w:hAnsi="宋体"/>
              </w:rPr>
              <w:t>按经营地区分类</w:t>
            </w:r>
          </w:p>
        </w:tc>
        <w:tc>
          <w:tcPr>
            <w:tcW w:w="2552" w:type="dxa"/>
            <w:vAlign w:val="center"/>
          </w:tcPr>
          <w:p>
            <w:pPr>
              <w:jc w:val="right"/>
              <w:rPr>
                <w:rFonts w:ascii="宋体" w:hAnsi="宋体"/>
              </w:rPr>
            </w:pPr>
          </w:p>
        </w:tc>
        <w:tc>
          <w:tcPr>
            <w:tcW w:w="2874" w:type="dxa"/>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ind w:firstLine="420" w:firstLineChars="200"/>
              <w:rPr>
                <w:rFonts w:ascii="宋体" w:hAnsi="宋体"/>
              </w:rPr>
            </w:pPr>
            <w:r>
              <w:rPr>
                <w:rFonts w:hint="eastAsia" w:ascii="宋体" w:hAnsi="宋体"/>
              </w:rPr>
              <w:t>其中：中国</w:t>
            </w:r>
          </w:p>
        </w:tc>
        <w:tc>
          <w:tcPr>
            <w:tcW w:w="2552" w:type="dxa"/>
            <w:vAlign w:val="center"/>
          </w:tcPr>
          <w:p>
            <w:pPr>
              <w:jc w:val="right"/>
              <w:rPr>
                <w:rFonts w:ascii="宋体" w:hAnsi="宋体"/>
              </w:rPr>
            </w:pPr>
            <w:r>
              <w:rPr>
                <w:rFonts w:ascii="宋体" w:hAnsi="宋体"/>
              </w:rPr>
              <w:t>108,663,349</w:t>
            </w:r>
          </w:p>
        </w:tc>
        <w:tc>
          <w:tcPr>
            <w:tcW w:w="2874" w:type="dxa"/>
            <w:vAlign w:val="center"/>
          </w:tcPr>
          <w:p>
            <w:pPr>
              <w:jc w:val="right"/>
              <w:rPr>
                <w:rFonts w:ascii="宋体" w:hAnsi="宋体"/>
              </w:rPr>
            </w:pPr>
            <w:r>
              <w:rPr>
                <w:rFonts w:ascii="宋体" w:hAnsi="宋体"/>
              </w:rPr>
              <w:t>162,768,167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ind w:firstLine="1050" w:firstLineChars="500"/>
              <w:rPr>
                <w:rFonts w:ascii="宋体" w:hAnsi="宋体"/>
              </w:rPr>
            </w:pPr>
            <w:r>
              <w:rPr>
                <w:rFonts w:hint="eastAsia" w:ascii="宋体" w:hAnsi="宋体"/>
              </w:rPr>
              <w:t>澳洲</w:t>
            </w:r>
          </w:p>
        </w:tc>
        <w:tc>
          <w:tcPr>
            <w:tcW w:w="2552" w:type="dxa"/>
            <w:vAlign w:val="center"/>
          </w:tcPr>
          <w:p>
            <w:pPr>
              <w:jc w:val="right"/>
              <w:rPr>
                <w:rFonts w:ascii="宋体" w:hAnsi="宋体"/>
              </w:rPr>
            </w:pPr>
            <w:r>
              <w:rPr>
                <w:rFonts w:ascii="宋体" w:hAnsi="宋体"/>
              </w:rPr>
              <w:t>41,273,047</w:t>
            </w:r>
          </w:p>
        </w:tc>
        <w:tc>
          <w:tcPr>
            <w:tcW w:w="2874" w:type="dxa"/>
            <w:vAlign w:val="center"/>
          </w:tcPr>
          <w:p>
            <w:pPr>
              <w:jc w:val="right"/>
              <w:rPr>
                <w:rFonts w:ascii="宋体" w:hAnsi="宋体"/>
              </w:rPr>
            </w:pPr>
            <w:r>
              <w:rPr>
                <w:rFonts w:ascii="宋体" w:hAnsi="宋体"/>
              </w:rPr>
              <w:t>55,448,596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ind w:firstLine="1050" w:firstLineChars="500"/>
              <w:rPr>
                <w:rFonts w:ascii="宋体" w:hAnsi="宋体"/>
              </w:rPr>
            </w:pPr>
            <w:r>
              <w:rPr>
                <w:rFonts w:hint="eastAsia" w:ascii="宋体" w:hAnsi="宋体"/>
              </w:rPr>
              <w:t>其他</w:t>
            </w:r>
          </w:p>
        </w:tc>
        <w:tc>
          <w:tcPr>
            <w:tcW w:w="2552" w:type="dxa"/>
            <w:vAlign w:val="center"/>
          </w:tcPr>
          <w:p>
            <w:pPr>
              <w:jc w:val="right"/>
              <w:rPr>
                <w:rFonts w:ascii="宋体" w:hAnsi="宋体"/>
              </w:rPr>
            </w:pPr>
            <w:r>
              <w:rPr>
                <w:rFonts w:ascii="宋体" w:hAnsi="宋体"/>
              </w:rPr>
              <w:t>88,464</w:t>
            </w:r>
          </w:p>
        </w:tc>
        <w:tc>
          <w:tcPr>
            <w:tcW w:w="2874" w:type="dxa"/>
            <w:vAlign w:val="center"/>
          </w:tcPr>
          <w:p>
            <w:pPr>
              <w:jc w:val="right"/>
              <w:rPr>
                <w:rFonts w:ascii="宋体" w:hAnsi="宋体"/>
              </w:rPr>
            </w:pPr>
            <w:r>
              <w:rPr>
                <w:rFonts w:ascii="宋体" w:hAnsi="宋体"/>
              </w:rPr>
              <w:t>6,756,340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vAlign w:val="center"/>
          </w:tcPr>
          <w:p>
            <w:pPr>
              <w:rPr>
                <w:rFonts w:ascii="宋体" w:hAnsi="宋体"/>
                <w:bCs/>
              </w:rPr>
            </w:pPr>
            <w:r>
              <w:rPr>
                <w:rFonts w:hint="eastAsia" w:ascii="宋体" w:hAnsi="宋体"/>
                <w:bCs/>
              </w:rPr>
              <w:t>合计</w:t>
            </w:r>
          </w:p>
        </w:tc>
        <w:tc>
          <w:tcPr>
            <w:tcW w:w="2552" w:type="dxa"/>
            <w:vAlign w:val="center"/>
          </w:tcPr>
          <w:p>
            <w:pPr>
              <w:jc w:val="right"/>
              <w:rPr>
                <w:rFonts w:ascii="宋体" w:hAnsi="宋体"/>
                <w:bCs/>
              </w:rPr>
            </w:pPr>
            <w:r>
              <w:rPr>
                <w:rFonts w:ascii="宋体" w:hAnsi="宋体"/>
                <w:bCs/>
              </w:rPr>
              <w:t>150,024,860</w:t>
            </w:r>
          </w:p>
        </w:tc>
        <w:tc>
          <w:tcPr>
            <w:tcW w:w="2874" w:type="dxa"/>
            <w:vAlign w:val="center"/>
          </w:tcPr>
          <w:p>
            <w:pPr>
              <w:jc w:val="right"/>
              <w:rPr>
                <w:rFonts w:ascii="宋体" w:hAnsi="宋体"/>
                <w:bCs/>
              </w:rPr>
            </w:pPr>
            <w:r>
              <w:rPr>
                <w:rFonts w:ascii="宋体" w:hAnsi="宋体"/>
                <w:bCs/>
              </w:rPr>
              <w:t>224,973,103</w:t>
            </w:r>
          </w:p>
        </w:tc>
      </w:tr>
      <w:bookmarkEnd w:id="325"/>
    </w:tbl>
    <w:p>
      <w:pPr>
        <w:rPr>
          <w:bCs/>
        </w:rPr>
      </w:pPr>
    </w:p>
    <w:p>
      <w:pPr>
        <w:pStyle w:val="501"/>
      </w:pPr>
    </w:p>
    <w:p>
      <w:pPr>
        <w:pStyle w:val="505"/>
        <w:numPr>
          <w:ilvl w:val="0"/>
          <w:numId w:val="105"/>
        </w:numPr>
        <w:ind w:left="426" w:hanging="426"/>
      </w:pPr>
      <w:r>
        <w:rPr>
          <w:rFonts w:hint="eastAsia"/>
        </w:rPr>
        <w:t>履约义务的说明</w:t>
      </w:r>
    </w:p>
    <w:sdt>
      <w:sdtPr>
        <w:alias w:val="是否适用：履约义务的说明[双击切换]"/>
        <w:tag w:val="_GBC_2bcc2970f5df4fc982ad2497089d8292"/>
        <w:id w:val="181248576"/>
        <w:placeholder>
          <w:docPart w:val="GBC22222222222222222222222222222"/>
        </w:placeholder>
      </w:sdtPr>
      <w:sdtContent>
        <w:p>
          <w:pPr>
            <w:pStyle w:val="531"/>
          </w:pPr>
          <w:bookmarkStart w:id="326" w:name="_Hlk53367043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6"/>
    <w:p>
      <w:pPr>
        <w:pStyle w:val="531"/>
      </w:pPr>
    </w:p>
    <w:p>
      <w:pPr>
        <w:pStyle w:val="505"/>
        <w:numPr>
          <w:ilvl w:val="0"/>
          <w:numId w:val="105"/>
        </w:numPr>
        <w:ind w:left="426" w:hanging="426"/>
      </w:pPr>
      <w:r>
        <w:rPr>
          <w:rFonts w:hint="eastAsia"/>
        </w:rPr>
        <w:t>分摊至剩余履约义务的说明</w:t>
      </w:r>
    </w:p>
    <w:sdt>
      <w:sdtPr>
        <w:alias w:val="是否适用：分摊至剩余履约义务的说明[双击切换]"/>
        <w:tag w:val="_GBC_67defaacf38a42549a2ed747c0fdb075"/>
        <w:id w:val="-565193642"/>
        <w:placeholder>
          <w:docPart w:val="GBC22222222222222222222222222222"/>
        </w:placeholder>
      </w:sdtPr>
      <w:sdtContent>
        <w:p>
          <w:pPr>
            <w:pStyle w:val="531"/>
          </w:pPr>
          <w:bookmarkStart w:id="327" w:name="_Hlk53342393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bookmarkEnd w:id="327"/>
    <w:p>
      <w:pPr>
        <w:rPr>
          <w:rFonts w:ascii="Arial" w:hAnsi="Arial"/>
        </w:rPr>
      </w:pPr>
    </w:p>
    <w:p>
      <w:pPr>
        <w:pStyle w:val="505"/>
        <w:numPr>
          <w:ilvl w:val="0"/>
          <w:numId w:val="105"/>
        </w:numPr>
        <w:ind w:left="426" w:hanging="426"/>
      </w:pPr>
      <w:r>
        <w:rPr>
          <w:rFonts w:hint="eastAsia"/>
        </w:rPr>
        <w:t>重大合同变更或重大交易价格调整</w:t>
      </w:r>
    </w:p>
    <w:sdt>
      <w:sdtPr>
        <w:alias w:val="是否适用：重大合同变更或重大交易价格调整[双击切换]"/>
        <w:tag w:val="_GBC_0445697eb8d6440497b15f440010cd1d"/>
        <w:id w:val="1257334213"/>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rPr>
          <w:rFonts w:ascii="Arial" w:hAnsi="Arial"/>
        </w:rPr>
      </w:pPr>
    </w:p>
    <w:p>
      <w:pPr>
        <w:pStyle w:val="501"/>
      </w:pPr>
    </w:p>
    <w:p>
      <w:pPr>
        <w:pStyle w:val="504"/>
        <w:numPr>
          <w:ilvl w:val="0"/>
          <w:numId w:val="69"/>
        </w:numPr>
        <w:tabs>
          <w:tab w:val="left" w:pos="504"/>
        </w:tabs>
        <w:rPr>
          <w:rFonts w:ascii="宋体" w:hAnsi="宋体"/>
          <w:szCs w:val="21"/>
        </w:rPr>
      </w:pPr>
      <w:r>
        <w:rPr>
          <w:rFonts w:hint="eastAsia" w:ascii="宋体" w:hAnsi="宋体"/>
          <w:szCs w:val="21"/>
        </w:rPr>
        <w:t>税金及附加</w:t>
      </w:r>
    </w:p>
    <w:sdt>
      <w:sdtPr>
        <w:alias w:val="是否适用：税金及附加[双击切换]"/>
        <w:tag w:val="_GBC_08eb9cdd2a3940549b0f2b47081f0a3d"/>
        <w:id w:val="-213871768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rPr>
      </w:pPr>
      <w:r>
        <w:rPr>
          <w:rFonts w:hint="eastAsia"/>
        </w:rPr>
        <w:t>单位：</w:t>
      </w:r>
      <w:sdt>
        <w:sdtPr>
          <w:rPr>
            <w:rFonts w:hint="eastAsia"/>
          </w:rPr>
          <w:alias w:val="单位：财务附注：税金及附加"/>
          <w:tag w:val="_GBC_6e5742d697d44a7dabc4411d4cd3c055"/>
          <w:id w:val="13702657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税金及附加"/>
          <w:tag w:val="_GBC_7ad96346369145ef9c54edaefcc18214"/>
          <w:id w:val="-21202838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09"/>
        <w:gridCol w:w="3075"/>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宋体" w:hAnsi="宋体"/>
            </w:rPr>
            <w:tag w:val="_PLD_82dcdcc171754a7b940a70d1c7daa5c1"/>
            <w:id w:val="-892502150"/>
          </w:sdtPr>
          <w:sdtEndPr>
            <w:rPr>
              <w:rFonts w:ascii="宋体" w:hAnsi="宋体"/>
            </w:rPr>
          </w:sdtEndPr>
          <w:sdtContent>
            <w:tc>
              <w:tcPr>
                <w:tcW w:w="1605" w:type="pct"/>
                <w:vAlign w:val="center"/>
              </w:tcPr>
              <w:p>
                <w:pPr>
                  <w:autoSpaceDE w:val="0"/>
                  <w:autoSpaceDN w:val="0"/>
                  <w:adjustRightInd w:val="0"/>
                  <w:snapToGrid w:val="0"/>
                  <w:spacing w:line="240" w:lineRule="atLeast"/>
                  <w:jc w:val="center"/>
                  <w:rPr>
                    <w:rFonts w:ascii="宋体" w:hAnsi="宋体"/>
                  </w:rPr>
                </w:pPr>
                <w:r>
                  <w:rPr>
                    <w:rFonts w:hint="eastAsia" w:ascii="宋体" w:hAnsi="宋体"/>
                  </w:rPr>
                  <w:t>项目</w:t>
                </w:r>
              </w:p>
            </w:tc>
          </w:sdtContent>
        </w:sdt>
        <w:sdt>
          <w:sdtPr>
            <w:rPr>
              <w:rFonts w:ascii="宋体" w:hAnsi="宋体"/>
            </w:rPr>
            <w:tag w:val="_PLD_a015e641f9074bee9ed1ee81511407cc"/>
            <w:id w:val="-1256204202"/>
          </w:sdtPr>
          <w:sdtEndPr>
            <w:rPr>
              <w:rFonts w:ascii="宋体" w:hAnsi="宋体"/>
            </w:rPr>
          </w:sdtEndPr>
          <w:sdtContent>
            <w:tc>
              <w:tcPr>
                <w:tcW w:w="1697" w:type="pct"/>
              </w:tcPr>
              <w:p>
                <w:pPr>
                  <w:jc w:val="center"/>
                  <w:rPr>
                    <w:rFonts w:ascii="宋体" w:hAnsi="宋体"/>
                  </w:rPr>
                </w:pPr>
                <w:r>
                  <w:rPr>
                    <w:rFonts w:hint="eastAsia" w:ascii="宋体" w:hAnsi="宋体"/>
                  </w:rPr>
                  <w:t>本期发生额</w:t>
                </w:r>
              </w:p>
            </w:tc>
          </w:sdtContent>
        </w:sdt>
        <w:sdt>
          <w:sdtPr>
            <w:rPr>
              <w:rFonts w:ascii="宋体" w:hAnsi="宋体"/>
            </w:rPr>
            <w:tag w:val="_PLD_5e944d291c9a4b0aab9f6558226d9112"/>
            <w:id w:val="-676883102"/>
          </w:sdtPr>
          <w:sdtEndPr>
            <w:rPr>
              <w:rFonts w:ascii="宋体" w:hAnsi="宋体"/>
            </w:rPr>
          </w:sdtEndPr>
          <w:sdtContent>
            <w:tc>
              <w:tcPr>
                <w:tcW w:w="1697" w:type="pct"/>
                <w:vAlign w:val="center"/>
              </w:tcPr>
              <w:p>
                <w:pPr>
                  <w:jc w:val="center"/>
                  <w:rPr>
                    <w:rFonts w:ascii="宋体" w:hAnsi="宋体"/>
                  </w:rPr>
                </w:pPr>
                <w:r>
                  <w:rPr>
                    <w:rFonts w:hint="eastAsia" w:ascii="宋体" w:hAnsi="宋体"/>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shd w:val="clear" w:color="auto" w:fill="auto"/>
            <w:vAlign w:val="center"/>
          </w:tcPr>
          <w:p>
            <w:pPr>
              <w:autoSpaceDE w:val="0"/>
              <w:autoSpaceDN w:val="0"/>
              <w:adjustRightInd w:val="0"/>
              <w:snapToGrid w:val="0"/>
              <w:spacing w:line="240" w:lineRule="atLeast"/>
              <w:rPr>
                <w:rFonts w:ascii="宋体" w:hAnsi="宋体"/>
              </w:rPr>
            </w:pPr>
            <w:r>
              <w:rPr>
                <w:rFonts w:hint="eastAsia" w:ascii="宋体" w:hAnsi="宋体"/>
              </w:rPr>
              <w:t>资源税</w:t>
            </w:r>
          </w:p>
        </w:tc>
        <w:tc>
          <w:tcPr>
            <w:tcW w:w="1697"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3,475,096</w:t>
            </w:r>
          </w:p>
        </w:tc>
        <w:tc>
          <w:tcPr>
            <w:tcW w:w="1697" w:type="pct"/>
            <w:shd w:val="clear" w:color="auto" w:fill="auto"/>
            <w:vAlign w:val="center"/>
          </w:tcPr>
          <w:p>
            <w:pPr>
              <w:jc w:val="right"/>
              <w:rPr>
                <w:rFonts w:ascii="宋体" w:hAnsi="宋体"/>
              </w:rPr>
            </w:pPr>
            <w:r>
              <w:rPr>
                <w:rFonts w:ascii="宋体" w:hAnsi="宋体"/>
              </w:rPr>
              <w:t>4,508,518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shd w:val="clear" w:color="auto" w:fill="auto"/>
            <w:vAlign w:val="center"/>
          </w:tcPr>
          <w:p>
            <w:pPr>
              <w:autoSpaceDE w:val="0"/>
              <w:autoSpaceDN w:val="0"/>
              <w:adjustRightInd w:val="0"/>
              <w:snapToGrid w:val="0"/>
              <w:spacing w:line="240" w:lineRule="atLeast"/>
              <w:rPr>
                <w:rFonts w:ascii="宋体" w:hAnsi="宋体"/>
              </w:rPr>
            </w:pPr>
            <w:r>
              <w:rPr>
                <w:rFonts w:hint="eastAsia" w:ascii="宋体" w:hAnsi="宋体"/>
              </w:rPr>
              <w:t>消费税</w:t>
            </w:r>
          </w:p>
        </w:tc>
        <w:tc>
          <w:tcPr>
            <w:tcW w:w="1697"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938,691</w:t>
            </w:r>
          </w:p>
        </w:tc>
        <w:tc>
          <w:tcPr>
            <w:tcW w:w="1697" w:type="pct"/>
            <w:shd w:val="clear" w:color="auto" w:fill="auto"/>
            <w:vAlign w:val="center"/>
          </w:tcPr>
          <w:p>
            <w:pPr>
              <w:jc w:val="right"/>
              <w:rPr>
                <w:rFonts w:ascii="宋体" w:hAnsi="宋体"/>
              </w:rPr>
            </w:pPr>
            <w:r>
              <w:rPr>
                <w:rFonts w:ascii="宋体" w:hAnsi="宋体"/>
              </w:rPr>
              <w:t>1,320,430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shd w:val="clear" w:color="auto" w:fill="auto"/>
            <w:vAlign w:val="center"/>
          </w:tcPr>
          <w:p>
            <w:pPr>
              <w:autoSpaceDE w:val="0"/>
              <w:autoSpaceDN w:val="0"/>
              <w:adjustRightInd w:val="0"/>
              <w:snapToGrid w:val="0"/>
              <w:spacing w:line="240" w:lineRule="atLeast"/>
              <w:rPr>
                <w:rFonts w:ascii="宋体" w:hAnsi="宋体"/>
              </w:rPr>
            </w:pPr>
            <w:r>
              <w:rPr>
                <w:rFonts w:hint="eastAsia" w:ascii="宋体" w:hAnsi="宋体"/>
              </w:rPr>
              <w:t>城市维护建设税</w:t>
            </w:r>
          </w:p>
        </w:tc>
        <w:tc>
          <w:tcPr>
            <w:tcW w:w="1697"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445,504</w:t>
            </w:r>
          </w:p>
        </w:tc>
        <w:tc>
          <w:tcPr>
            <w:tcW w:w="1697" w:type="pct"/>
            <w:shd w:val="clear" w:color="auto" w:fill="auto"/>
            <w:vAlign w:val="center"/>
          </w:tcPr>
          <w:p>
            <w:pPr>
              <w:jc w:val="right"/>
              <w:rPr>
                <w:rFonts w:ascii="宋体" w:hAnsi="宋体"/>
              </w:rPr>
            </w:pPr>
            <w:r>
              <w:rPr>
                <w:rFonts w:ascii="宋体" w:hAnsi="宋体"/>
              </w:rPr>
              <w:t>603,723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shd w:val="clear" w:color="auto" w:fill="auto"/>
            <w:vAlign w:val="center"/>
          </w:tcPr>
          <w:p>
            <w:pPr>
              <w:autoSpaceDE w:val="0"/>
              <w:autoSpaceDN w:val="0"/>
              <w:adjustRightInd w:val="0"/>
              <w:snapToGrid w:val="0"/>
              <w:spacing w:line="240" w:lineRule="atLeast"/>
              <w:rPr>
                <w:rFonts w:ascii="宋体" w:hAnsi="宋体"/>
              </w:rPr>
            </w:pPr>
            <w:r>
              <w:rPr>
                <w:rFonts w:hint="eastAsia" w:ascii="宋体" w:hAnsi="宋体"/>
              </w:rPr>
              <w:t>土地使用税</w:t>
            </w:r>
          </w:p>
        </w:tc>
        <w:tc>
          <w:tcPr>
            <w:tcW w:w="1697"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358,059</w:t>
            </w:r>
          </w:p>
        </w:tc>
        <w:tc>
          <w:tcPr>
            <w:tcW w:w="1697" w:type="pct"/>
            <w:shd w:val="clear" w:color="auto" w:fill="auto"/>
            <w:vAlign w:val="center"/>
          </w:tcPr>
          <w:p>
            <w:pPr>
              <w:jc w:val="right"/>
              <w:rPr>
                <w:rFonts w:ascii="宋体" w:hAnsi="宋体"/>
              </w:rPr>
            </w:pPr>
            <w:r>
              <w:rPr>
                <w:rFonts w:ascii="宋体" w:hAnsi="宋体"/>
              </w:rPr>
              <w:t>388,085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shd w:val="clear" w:color="auto" w:fill="auto"/>
            <w:vAlign w:val="center"/>
          </w:tcPr>
          <w:p>
            <w:pPr>
              <w:autoSpaceDE w:val="0"/>
              <w:autoSpaceDN w:val="0"/>
              <w:adjustRightInd w:val="0"/>
              <w:snapToGrid w:val="0"/>
              <w:spacing w:line="240" w:lineRule="atLeast"/>
              <w:rPr>
                <w:rFonts w:ascii="宋体" w:hAnsi="宋体"/>
              </w:rPr>
            </w:pPr>
            <w:r>
              <w:rPr>
                <w:rFonts w:hint="eastAsia" w:ascii="宋体" w:hAnsi="宋体"/>
              </w:rPr>
              <w:t>水资源税</w:t>
            </w:r>
          </w:p>
        </w:tc>
        <w:tc>
          <w:tcPr>
            <w:tcW w:w="1697" w:type="pct"/>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rPr>
              <w:t>260,157</w:t>
            </w:r>
          </w:p>
        </w:tc>
        <w:tc>
          <w:tcPr>
            <w:tcW w:w="1697" w:type="pct"/>
            <w:shd w:val="clear" w:color="auto" w:fill="auto"/>
            <w:vAlign w:val="center"/>
          </w:tcPr>
          <w:p>
            <w:pPr>
              <w:jc w:val="right"/>
              <w:rPr>
                <w:rFonts w:ascii="宋体" w:hAnsi="宋体"/>
              </w:rPr>
            </w:pPr>
            <w:r>
              <w:rPr>
                <w:rFonts w:ascii="宋体" w:hAnsi="宋体"/>
              </w:rPr>
              <w:t>114,770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ascii="宋体" w:hAnsi="宋体"/>
              </w:rPr>
            </w:pPr>
            <w:r>
              <w:rPr>
                <w:rFonts w:hint="eastAsia" w:ascii="宋体" w:hAnsi="宋体"/>
              </w:rPr>
              <w:t>教育费附加</w:t>
            </w:r>
          </w:p>
        </w:tc>
        <w:tc>
          <w:tcPr>
            <w:tcW w:w="1697" w:type="pct"/>
            <w:vAlign w:val="center"/>
          </w:tcPr>
          <w:p>
            <w:pPr>
              <w:autoSpaceDE w:val="0"/>
              <w:autoSpaceDN w:val="0"/>
              <w:adjustRightInd w:val="0"/>
              <w:snapToGrid w:val="0"/>
              <w:spacing w:line="240" w:lineRule="atLeast"/>
              <w:jc w:val="right"/>
              <w:rPr>
                <w:rFonts w:ascii="宋体" w:hAnsi="宋体"/>
              </w:rPr>
            </w:pPr>
            <w:r>
              <w:rPr>
                <w:rFonts w:ascii="宋体" w:hAnsi="宋体"/>
              </w:rPr>
              <w:t>241,454</w:t>
            </w:r>
          </w:p>
        </w:tc>
        <w:tc>
          <w:tcPr>
            <w:tcW w:w="1697" w:type="pct"/>
            <w:vAlign w:val="center"/>
          </w:tcPr>
          <w:p>
            <w:pPr>
              <w:jc w:val="right"/>
              <w:rPr>
                <w:rFonts w:ascii="宋体" w:hAnsi="宋体"/>
              </w:rPr>
            </w:pPr>
            <w:r>
              <w:rPr>
                <w:rFonts w:ascii="宋体" w:hAnsi="宋体"/>
              </w:rPr>
              <w:t>319,573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ascii="宋体" w:hAnsi="宋体"/>
              </w:rPr>
            </w:pPr>
            <w:r>
              <w:rPr>
                <w:rFonts w:hint="eastAsia" w:ascii="宋体" w:hAnsi="宋体"/>
              </w:rPr>
              <w:t>房产税</w:t>
            </w:r>
          </w:p>
        </w:tc>
        <w:tc>
          <w:tcPr>
            <w:tcW w:w="1697" w:type="pct"/>
            <w:vAlign w:val="center"/>
          </w:tcPr>
          <w:p>
            <w:pPr>
              <w:autoSpaceDE w:val="0"/>
              <w:autoSpaceDN w:val="0"/>
              <w:adjustRightInd w:val="0"/>
              <w:snapToGrid w:val="0"/>
              <w:spacing w:line="240" w:lineRule="atLeast"/>
              <w:jc w:val="right"/>
              <w:rPr>
                <w:rFonts w:ascii="宋体" w:hAnsi="宋体"/>
              </w:rPr>
            </w:pPr>
            <w:r>
              <w:rPr>
                <w:rFonts w:ascii="宋体" w:hAnsi="宋体"/>
              </w:rPr>
              <w:t>230,369</w:t>
            </w:r>
          </w:p>
        </w:tc>
        <w:tc>
          <w:tcPr>
            <w:tcW w:w="1697" w:type="pct"/>
            <w:vAlign w:val="center"/>
          </w:tcPr>
          <w:p>
            <w:pPr>
              <w:jc w:val="right"/>
              <w:rPr>
                <w:rFonts w:ascii="宋体" w:hAnsi="宋体"/>
              </w:rPr>
            </w:pPr>
            <w:r>
              <w:rPr>
                <w:rFonts w:ascii="宋体" w:hAnsi="宋体"/>
              </w:rPr>
              <w:t>158,746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ascii="宋体" w:hAnsi="宋体"/>
              </w:rPr>
            </w:pPr>
            <w:r>
              <w:rPr>
                <w:rFonts w:hint="eastAsia" w:ascii="宋体" w:hAnsi="宋体"/>
              </w:rPr>
              <w:t>地方教育经费</w:t>
            </w:r>
          </w:p>
        </w:tc>
        <w:tc>
          <w:tcPr>
            <w:tcW w:w="1697" w:type="pct"/>
            <w:vAlign w:val="center"/>
          </w:tcPr>
          <w:p>
            <w:pPr>
              <w:autoSpaceDE w:val="0"/>
              <w:autoSpaceDN w:val="0"/>
              <w:adjustRightInd w:val="0"/>
              <w:snapToGrid w:val="0"/>
              <w:spacing w:line="240" w:lineRule="atLeast"/>
              <w:jc w:val="right"/>
              <w:rPr>
                <w:rFonts w:ascii="宋体" w:hAnsi="宋体"/>
              </w:rPr>
            </w:pPr>
            <w:r>
              <w:rPr>
                <w:rFonts w:ascii="宋体" w:hAnsi="宋体"/>
              </w:rPr>
              <w:t>157,815</w:t>
            </w:r>
          </w:p>
        </w:tc>
        <w:tc>
          <w:tcPr>
            <w:tcW w:w="1697" w:type="pct"/>
            <w:vAlign w:val="center"/>
          </w:tcPr>
          <w:p>
            <w:pPr>
              <w:jc w:val="right"/>
              <w:rPr>
                <w:rFonts w:ascii="宋体" w:hAnsi="宋体"/>
              </w:rPr>
            </w:pPr>
            <w:r>
              <w:rPr>
                <w:rFonts w:ascii="宋体" w:hAnsi="宋体"/>
              </w:rPr>
              <w:t>211,114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ascii="宋体" w:hAnsi="宋体"/>
              </w:rPr>
            </w:pPr>
            <w:r>
              <w:rPr>
                <w:rFonts w:hint="eastAsia" w:ascii="宋体" w:hAnsi="宋体"/>
              </w:rPr>
              <w:t>印花税</w:t>
            </w:r>
          </w:p>
        </w:tc>
        <w:tc>
          <w:tcPr>
            <w:tcW w:w="1697" w:type="pct"/>
            <w:vAlign w:val="center"/>
          </w:tcPr>
          <w:p>
            <w:pPr>
              <w:autoSpaceDE w:val="0"/>
              <w:autoSpaceDN w:val="0"/>
              <w:adjustRightInd w:val="0"/>
              <w:snapToGrid w:val="0"/>
              <w:spacing w:line="240" w:lineRule="atLeast"/>
              <w:jc w:val="right"/>
              <w:rPr>
                <w:rFonts w:ascii="宋体" w:hAnsi="宋体"/>
              </w:rPr>
            </w:pPr>
            <w:r>
              <w:rPr>
                <w:rFonts w:ascii="宋体" w:hAnsi="宋体"/>
              </w:rPr>
              <w:t>134,631</w:t>
            </w:r>
          </w:p>
        </w:tc>
        <w:tc>
          <w:tcPr>
            <w:tcW w:w="1697" w:type="pct"/>
            <w:vAlign w:val="center"/>
          </w:tcPr>
          <w:p>
            <w:pPr>
              <w:jc w:val="right"/>
              <w:rPr>
                <w:rFonts w:ascii="宋体" w:hAnsi="宋体"/>
              </w:rPr>
            </w:pPr>
            <w:r>
              <w:rPr>
                <w:rFonts w:ascii="宋体" w:hAnsi="宋体"/>
              </w:rPr>
              <w:t>133,689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ascii="宋体" w:hAnsi="宋体"/>
              </w:rPr>
            </w:pPr>
            <w:r>
              <w:rPr>
                <w:rFonts w:hint="eastAsia" w:ascii="宋体" w:hAnsi="宋体"/>
              </w:rPr>
              <w:t>环境保护税</w:t>
            </w:r>
          </w:p>
        </w:tc>
        <w:tc>
          <w:tcPr>
            <w:tcW w:w="1697" w:type="pct"/>
            <w:vAlign w:val="center"/>
          </w:tcPr>
          <w:p>
            <w:pPr>
              <w:autoSpaceDE w:val="0"/>
              <w:autoSpaceDN w:val="0"/>
              <w:adjustRightInd w:val="0"/>
              <w:snapToGrid w:val="0"/>
              <w:spacing w:line="240" w:lineRule="atLeast"/>
              <w:jc w:val="right"/>
              <w:rPr>
                <w:rFonts w:ascii="宋体" w:hAnsi="宋体"/>
              </w:rPr>
            </w:pPr>
            <w:r>
              <w:rPr>
                <w:rFonts w:ascii="宋体" w:hAnsi="宋体"/>
              </w:rPr>
              <w:t>51,505</w:t>
            </w:r>
          </w:p>
        </w:tc>
        <w:tc>
          <w:tcPr>
            <w:tcW w:w="1697" w:type="pct"/>
            <w:vAlign w:val="center"/>
          </w:tcPr>
          <w:p>
            <w:pPr>
              <w:jc w:val="right"/>
              <w:rPr>
                <w:rFonts w:ascii="宋体" w:hAnsi="宋体"/>
              </w:rPr>
            </w:pPr>
            <w:r>
              <w:rPr>
                <w:rFonts w:ascii="宋体" w:hAnsi="宋体"/>
              </w:rPr>
              <w:t>205,391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ascii="宋体" w:hAnsi="宋体"/>
              </w:rPr>
            </w:pPr>
            <w:r>
              <w:rPr>
                <w:rFonts w:hint="eastAsia" w:ascii="宋体" w:hAnsi="宋体"/>
              </w:rPr>
              <w:t>水利建设基金</w:t>
            </w:r>
          </w:p>
        </w:tc>
        <w:tc>
          <w:tcPr>
            <w:tcW w:w="1697" w:type="pct"/>
            <w:vAlign w:val="center"/>
          </w:tcPr>
          <w:p>
            <w:pPr>
              <w:autoSpaceDE w:val="0"/>
              <w:autoSpaceDN w:val="0"/>
              <w:adjustRightInd w:val="0"/>
              <w:snapToGrid w:val="0"/>
              <w:spacing w:line="240" w:lineRule="atLeast"/>
              <w:jc w:val="right"/>
              <w:rPr>
                <w:rFonts w:ascii="宋体" w:hAnsi="宋体"/>
              </w:rPr>
            </w:pPr>
            <w:r>
              <w:rPr>
                <w:rFonts w:ascii="宋体" w:hAnsi="宋体"/>
              </w:rPr>
              <w:t>15,076</w:t>
            </w:r>
          </w:p>
        </w:tc>
        <w:tc>
          <w:tcPr>
            <w:tcW w:w="1697" w:type="pct"/>
            <w:vAlign w:val="center"/>
          </w:tcPr>
          <w:p>
            <w:pPr>
              <w:jc w:val="right"/>
              <w:rPr>
                <w:rFonts w:ascii="宋体" w:hAnsi="宋体"/>
              </w:rPr>
            </w:pPr>
            <w:r>
              <w:rPr>
                <w:rFonts w:hint="eastAsia" w:ascii="宋体" w:hAnsi="宋体"/>
              </w:rPr>
              <w:t>25,544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rPr>
                <w:rFonts w:ascii="宋体" w:hAnsi="宋体"/>
              </w:rPr>
            </w:pPr>
            <w:r>
              <w:rPr>
                <w:rFonts w:hint="eastAsia" w:ascii="宋体" w:hAnsi="宋体"/>
              </w:rPr>
              <w:t>其他</w:t>
            </w:r>
          </w:p>
        </w:tc>
        <w:tc>
          <w:tcPr>
            <w:tcW w:w="1697" w:type="pct"/>
            <w:vAlign w:val="center"/>
          </w:tcPr>
          <w:p>
            <w:pPr>
              <w:autoSpaceDE w:val="0"/>
              <w:autoSpaceDN w:val="0"/>
              <w:adjustRightInd w:val="0"/>
              <w:snapToGrid w:val="0"/>
              <w:spacing w:line="240" w:lineRule="atLeast"/>
              <w:jc w:val="right"/>
              <w:rPr>
                <w:rFonts w:ascii="宋体" w:hAnsi="宋体"/>
              </w:rPr>
            </w:pPr>
            <w:r>
              <w:rPr>
                <w:rFonts w:ascii="宋体" w:hAnsi="宋体"/>
              </w:rPr>
              <w:t>123,440</w:t>
            </w:r>
          </w:p>
        </w:tc>
        <w:tc>
          <w:tcPr>
            <w:tcW w:w="1697" w:type="pct"/>
            <w:vAlign w:val="center"/>
          </w:tcPr>
          <w:p>
            <w:pPr>
              <w:jc w:val="right"/>
              <w:rPr>
                <w:rFonts w:ascii="宋体" w:hAnsi="宋体"/>
              </w:rPr>
            </w:pPr>
            <w:r>
              <w:rPr>
                <w:rFonts w:ascii="宋体" w:hAnsi="宋体"/>
              </w:rPr>
              <w:t>123,801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05" w:type="pct"/>
            <w:vAlign w:val="center"/>
          </w:tcPr>
          <w:p>
            <w:pPr>
              <w:autoSpaceDE w:val="0"/>
              <w:autoSpaceDN w:val="0"/>
              <w:adjustRightInd w:val="0"/>
              <w:snapToGrid w:val="0"/>
              <w:spacing w:line="240" w:lineRule="atLeast"/>
              <w:jc w:val="center"/>
              <w:rPr>
                <w:rFonts w:ascii="宋体" w:hAnsi="宋体"/>
              </w:rPr>
            </w:pPr>
            <w:r>
              <w:rPr>
                <w:rFonts w:hint="eastAsia" w:ascii="宋体" w:hAnsi="宋体"/>
              </w:rPr>
              <w:t>合计</w:t>
            </w:r>
          </w:p>
        </w:tc>
        <w:tc>
          <w:tcPr>
            <w:tcW w:w="1697" w:type="pct"/>
            <w:vAlign w:val="center"/>
          </w:tcPr>
          <w:p>
            <w:pPr>
              <w:autoSpaceDE w:val="0"/>
              <w:autoSpaceDN w:val="0"/>
              <w:adjustRightInd w:val="0"/>
              <w:snapToGrid w:val="0"/>
              <w:spacing w:line="240" w:lineRule="atLeast"/>
              <w:jc w:val="right"/>
              <w:rPr>
                <w:rFonts w:ascii="宋体" w:hAnsi="宋体"/>
              </w:rPr>
            </w:pPr>
            <w:r>
              <w:rPr>
                <w:rFonts w:ascii="宋体" w:hAnsi="宋体"/>
              </w:rPr>
              <w:t>6,431,797</w:t>
            </w:r>
          </w:p>
        </w:tc>
        <w:tc>
          <w:tcPr>
            <w:tcW w:w="1697" w:type="pct"/>
            <w:vAlign w:val="center"/>
          </w:tcPr>
          <w:p>
            <w:pPr>
              <w:jc w:val="right"/>
              <w:rPr>
                <w:rFonts w:ascii="宋体" w:hAnsi="宋体"/>
              </w:rPr>
            </w:pPr>
            <w:r>
              <w:rPr>
                <w:rFonts w:ascii="宋体" w:hAnsi="宋体"/>
              </w:rPr>
              <w:t>8,113,384</w:t>
            </w:r>
          </w:p>
        </w:tc>
      </w:tr>
    </w:tbl>
    <w:p>
      <w:pPr>
        <w:pStyle w:val="501"/>
      </w:pPr>
    </w:p>
    <w:p>
      <w:pPr>
        <w:pStyle w:val="504"/>
        <w:numPr>
          <w:ilvl w:val="0"/>
          <w:numId w:val="69"/>
        </w:numPr>
        <w:tabs>
          <w:tab w:val="left" w:pos="504"/>
        </w:tabs>
        <w:rPr>
          <w:rFonts w:ascii="宋体" w:hAnsi="宋体" w:cs="宋体"/>
          <w:bCs w:val="0"/>
          <w:kern w:val="0"/>
          <w:szCs w:val="21"/>
        </w:rPr>
      </w:pPr>
      <w:r>
        <w:rPr>
          <w:rFonts w:hint="eastAsia" w:ascii="宋体" w:hAnsi="宋体" w:cs="宋体"/>
          <w:bCs w:val="0"/>
          <w:kern w:val="0"/>
          <w:szCs w:val="21"/>
        </w:rPr>
        <w:t>销售费用</w:t>
      </w:r>
    </w:p>
    <w:sdt>
      <w:sdtPr>
        <w:alias w:val="是否适用：销售费用[双击切换]"/>
        <w:tag w:val="_GBC_1a0ad35d35924f068ce1b2a2dc02a25f"/>
        <w:id w:val="92623811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43"/>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销售费用"/>
          <w:tag w:val="_GBC_c5a59d97d8a94cda9b9fbd8a93ad19dc"/>
          <w:id w:val="-119980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千元</w:t>
          </w:r>
        </w:sdtContent>
      </w:sdt>
      <w:r>
        <w:rPr>
          <w:rFonts w:hint="eastAsia" w:ascii="宋体" w:hAnsi="宋体"/>
          <w:szCs w:val="21"/>
        </w:rPr>
        <w:t xml:space="preserve">  币种：</w:t>
      </w:r>
      <w:sdt>
        <w:sdtPr>
          <w:rPr>
            <w:rFonts w:hint="eastAsia" w:ascii="宋体" w:hAnsi="宋体"/>
            <w:szCs w:val="21"/>
          </w:rPr>
          <w:alias w:val="币种：销售费用"/>
          <w:tag w:val="_GBC_57a629bddf6343a1aebbefc90d9378b0"/>
          <w:id w:val="-8629724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2"/>
        <w:gridCol w:w="2859"/>
        <w:gridCol w:w="2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27c4bc503cfe4eafa415de62f182f2c1"/>
            <w:id w:val="1644462599"/>
          </w:sdtPr>
          <w:sdtEndPr>
            <w:rPr>
              <w:rFonts w:ascii="宋体" w:hAnsi="宋体"/>
            </w:rPr>
          </w:sdtEndPr>
          <w:sdtContent>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105cce5212fb42a182b1fd8e309ba67c"/>
            <w:id w:val="-1669016173"/>
          </w:sdtPr>
          <w:sdtEndPr>
            <w:rPr>
              <w:rFonts w:ascii="宋体" w:hAnsi="宋体"/>
            </w:rPr>
          </w:sdtEndPr>
          <w:sdtContent>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本期发生额</w:t>
                </w:r>
              </w:p>
            </w:tc>
          </w:sdtContent>
        </w:sdt>
        <w:sdt>
          <w:sdtPr>
            <w:rPr>
              <w:rFonts w:ascii="宋体" w:hAnsi="宋体"/>
            </w:rPr>
            <w:tag w:val="_PLD_5f148659054c4187a80f7bdffc9e9cde"/>
            <w:id w:val="-654142847"/>
          </w:sdtPr>
          <w:sdtEndPr>
            <w:rPr>
              <w:rFonts w:ascii="宋体" w:hAnsi="宋体"/>
            </w:rPr>
          </w:sdtEndPr>
          <w:sdtContent>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vAlign w:val="center"/>
          </w:tcPr>
          <w:p>
            <w:pPr>
              <w:rPr>
                <w:rFonts w:ascii="宋体" w:hAnsi="宋体"/>
              </w:rPr>
            </w:pPr>
            <w:r>
              <w:rPr>
                <w:rFonts w:hint="eastAsia" w:ascii="宋体" w:hAnsi="宋体"/>
              </w:rPr>
              <w:t>开采权使用费</w:t>
            </w:r>
          </w:p>
        </w:tc>
        <w:tc>
          <w:tcPr>
            <w:tcW w:w="1580" w:type="pct"/>
            <w:vAlign w:val="center"/>
          </w:tcPr>
          <w:p>
            <w:pPr>
              <w:jc w:val="right"/>
              <w:rPr>
                <w:rFonts w:ascii="宋体" w:hAnsi="宋体"/>
              </w:rPr>
            </w:pPr>
            <w:r>
              <w:rPr>
                <w:rFonts w:ascii="宋体" w:hAnsi="宋体"/>
              </w:rPr>
              <w:t>4,003,970</w:t>
            </w:r>
          </w:p>
        </w:tc>
        <w:tc>
          <w:tcPr>
            <w:tcW w:w="1579" w:type="pct"/>
            <w:vAlign w:val="center"/>
          </w:tcPr>
          <w:p>
            <w:pPr>
              <w:jc w:val="right"/>
              <w:rPr>
                <w:rFonts w:ascii="宋体" w:hAnsi="宋体"/>
              </w:rPr>
            </w:pPr>
            <w:r>
              <w:rPr>
                <w:rFonts w:ascii="宋体" w:hAnsi="宋体"/>
              </w:rPr>
              <w:t>5,646,773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vAlign w:val="center"/>
          </w:tcPr>
          <w:p>
            <w:pPr>
              <w:rPr>
                <w:rFonts w:ascii="宋体" w:hAnsi="宋体"/>
              </w:rPr>
            </w:pPr>
            <w:r>
              <w:rPr>
                <w:rFonts w:hint="eastAsia" w:ascii="宋体" w:hAnsi="宋体"/>
              </w:rPr>
              <w:t>职工薪酬社保及福利费</w:t>
            </w:r>
          </w:p>
        </w:tc>
        <w:tc>
          <w:tcPr>
            <w:tcW w:w="1580" w:type="pct"/>
            <w:vAlign w:val="center"/>
          </w:tcPr>
          <w:p>
            <w:pPr>
              <w:jc w:val="right"/>
              <w:rPr>
                <w:rFonts w:ascii="宋体" w:hAnsi="宋体"/>
              </w:rPr>
            </w:pPr>
            <w:r>
              <w:rPr>
                <w:rFonts w:ascii="宋体" w:hAnsi="宋体"/>
              </w:rPr>
              <w:t>279,164</w:t>
            </w:r>
          </w:p>
        </w:tc>
        <w:tc>
          <w:tcPr>
            <w:tcW w:w="1579" w:type="pct"/>
            <w:vAlign w:val="center"/>
          </w:tcPr>
          <w:p>
            <w:pPr>
              <w:jc w:val="right"/>
              <w:rPr>
                <w:rFonts w:ascii="宋体" w:hAnsi="宋体"/>
              </w:rPr>
            </w:pPr>
            <w:r>
              <w:rPr>
                <w:rFonts w:ascii="宋体" w:hAnsi="宋体"/>
              </w:rPr>
              <w:t>252,240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vAlign w:val="center"/>
          </w:tcPr>
          <w:p>
            <w:pPr>
              <w:rPr>
                <w:rFonts w:ascii="宋体" w:hAnsi="宋体"/>
              </w:rPr>
            </w:pPr>
            <w:r>
              <w:rPr>
                <w:rFonts w:hint="eastAsia" w:ascii="宋体" w:hAnsi="宋体"/>
              </w:rPr>
              <w:t>矿业权出让收益</w:t>
            </w:r>
          </w:p>
        </w:tc>
        <w:tc>
          <w:tcPr>
            <w:tcW w:w="1580" w:type="pct"/>
            <w:vAlign w:val="center"/>
          </w:tcPr>
          <w:p>
            <w:pPr>
              <w:jc w:val="right"/>
              <w:rPr>
                <w:rFonts w:ascii="宋体" w:hAnsi="宋体"/>
              </w:rPr>
            </w:pPr>
            <w:r>
              <w:rPr>
                <w:rFonts w:ascii="宋体" w:hAnsi="宋体"/>
              </w:rPr>
              <w:t>230,640</w:t>
            </w:r>
          </w:p>
        </w:tc>
        <w:tc>
          <w:tcPr>
            <w:tcW w:w="1579" w:type="pct"/>
            <w:vAlign w:val="center"/>
          </w:tcPr>
          <w:p>
            <w:pPr>
              <w:jc w:val="right"/>
              <w:rPr>
                <w:rFonts w:ascii="宋体" w:hAnsi="宋体"/>
              </w:rPr>
            </w:pPr>
            <w:r>
              <w:rPr>
                <w:rFonts w:ascii="宋体" w:hAnsi="宋体"/>
              </w:rPr>
              <w:t>302,809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vAlign w:val="center"/>
          </w:tcPr>
          <w:p>
            <w:pPr>
              <w:rPr>
                <w:rFonts w:ascii="宋体" w:hAnsi="宋体"/>
              </w:rPr>
            </w:pPr>
            <w:r>
              <w:rPr>
                <w:rFonts w:hint="eastAsia" w:ascii="宋体" w:hAnsi="宋体"/>
              </w:rPr>
              <w:t>运费、煤炭港务、装卸费用</w:t>
            </w:r>
          </w:p>
        </w:tc>
        <w:tc>
          <w:tcPr>
            <w:tcW w:w="1580" w:type="pct"/>
            <w:vAlign w:val="center"/>
          </w:tcPr>
          <w:p>
            <w:pPr>
              <w:jc w:val="right"/>
              <w:rPr>
                <w:rFonts w:ascii="宋体" w:hAnsi="宋体"/>
              </w:rPr>
            </w:pPr>
            <w:r>
              <w:rPr>
                <w:rFonts w:ascii="宋体" w:hAnsi="宋体"/>
              </w:rPr>
              <w:t>51,551</w:t>
            </w:r>
          </w:p>
        </w:tc>
        <w:tc>
          <w:tcPr>
            <w:tcW w:w="1579" w:type="pct"/>
            <w:vAlign w:val="center"/>
          </w:tcPr>
          <w:p>
            <w:pPr>
              <w:jc w:val="right"/>
              <w:rPr>
                <w:rFonts w:ascii="宋体" w:hAnsi="宋体"/>
              </w:rPr>
            </w:pPr>
            <w:r>
              <w:rPr>
                <w:rFonts w:ascii="宋体" w:hAnsi="宋体"/>
              </w:rPr>
              <w:t>58,880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vAlign w:val="center"/>
          </w:tcPr>
          <w:p>
            <w:pPr>
              <w:rPr>
                <w:rFonts w:ascii="宋体" w:hAnsi="宋体"/>
              </w:rPr>
            </w:pPr>
            <w:r>
              <w:rPr>
                <w:rFonts w:ascii="宋体" w:hAnsi="宋体"/>
              </w:rPr>
              <w:t>其他</w:t>
            </w:r>
          </w:p>
        </w:tc>
        <w:tc>
          <w:tcPr>
            <w:tcW w:w="1580" w:type="pct"/>
            <w:vAlign w:val="center"/>
          </w:tcPr>
          <w:p>
            <w:pPr>
              <w:jc w:val="right"/>
              <w:rPr>
                <w:rFonts w:ascii="宋体" w:hAnsi="宋体"/>
              </w:rPr>
            </w:pPr>
            <w:r>
              <w:rPr>
                <w:rFonts w:ascii="宋体" w:hAnsi="宋体"/>
              </w:rPr>
              <w:t>436,325</w:t>
            </w:r>
          </w:p>
        </w:tc>
        <w:tc>
          <w:tcPr>
            <w:tcW w:w="1579" w:type="pct"/>
            <w:vAlign w:val="center"/>
          </w:tcPr>
          <w:p>
            <w:pPr>
              <w:jc w:val="right"/>
              <w:rPr>
                <w:rFonts w:ascii="宋体" w:hAnsi="宋体"/>
              </w:rPr>
            </w:pPr>
            <w:r>
              <w:rPr>
                <w:rFonts w:ascii="宋体" w:hAnsi="宋体"/>
              </w:rPr>
              <w:t>574,384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合计</w:t>
            </w:r>
          </w:p>
        </w:tc>
        <w:tc>
          <w:tcPr>
            <w:tcW w:w="1580" w:type="pct"/>
            <w:vAlign w:val="center"/>
          </w:tcPr>
          <w:p>
            <w:pPr>
              <w:jc w:val="right"/>
              <w:rPr>
                <w:rFonts w:ascii="宋体" w:hAnsi="宋体"/>
              </w:rPr>
            </w:pPr>
            <w:r>
              <w:rPr>
                <w:rFonts w:ascii="宋体" w:hAnsi="宋体"/>
              </w:rPr>
              <w:t>5,001,650</w:t>
            </w:r>
          </w:p>
        </w:tc>
        <w:tc>
          <w:tcPr>
            <w:tcW w:w="1579" w:type="pct"/>
            <w:vAlign w:val="center"/>
          </w:tcPr>
          <w:p>
            <w:pPr>
              <w:jc w:val="right"/>
              <w:rPr>
                <w:rFonts w:ascii="宋体" w:hAnsi="宋体"/>
              </w:rPr>
            </w:pPr>
            <w:r>
              <w:rPr>
                <w:rFonts w:ascii="宋体" w:hAnsi="宋体"/>
              </w:rPr>
              <w:t>6,835,086</w:t>
            </w:r>
          </w:p>
        </w:tc>
      </w:tr>
    </w:tbl>
    <w:p>
      <w:pPr>
        <w:pStyle w:val="501"/>
      </w:pPr>
    </w:p>
    <w:p>
      <w:pPr>
        <w:pStyle w:val="501"/>
      </w:pPr>
    </w:p>
    <w:p>
      <w:pPr>
        <w:pStyle w:val="504"/>
        <w:numPr>
          <w:ilvl w:val="0"/>
          <w:numId w:val="69"/>
        </w:numPr>
        <w:tabs>
          <w:tab w:val="left" w:pos="504"/>
        </w:tabs>
        <w:rPr>
          <w:szCs w:val="21"/>
        </w:rPr>
      </w:pPr>
      <w:r>
        <w:rPr>
          <w:rFonts w:hint="eastAsia"/>
          <w:szCs w:val="21"/>
        </w:rPr>
        <w:t>管理费用</w:t>
      </w:r>
    </w:p>
    <w:sdt>
      <w:sdtPr>
        <w:alias w:val="是否适用：管理费用[双击切换]"/>
        <w:tag w:val="_GBC_b376fd9abaac4f3b8e5956b8dcd72faf"/>
        <w:id w:val="-124580009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管理费用"/>
          <w:tag w:val="_GBC_73606f31bd404afb8bfe5aabe1a68278"/>
          <w:id w:val="3652660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管理费用"/>
          <w:tag w:val="_GBC_0549259a290d43c39c63d67cdad7f80d"/>
          <w:id w:val="-11223041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588268d9a550441d943c27cfc1105eb0"/>
            <w:id w:val="255181160"/>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项目</w:t>
                </w:r>
              </w:p>
            </w:tc>
          </w:sdtContent>
        </w:sdt>
        <w:sdt>
          <w:sdtPr>
            <w:tag w:val="_PLD_0e4f4d04bcb2408d8a5744ac90a1f89b"/>
            <w:id w:val="211093151"/>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本期发生额</w:t>
                </w:r>
              </w:p>
            </w:tc>
          </w:sdtContent>
        </w:sdt>
        <w:sdt>
          <w:sdtPr>
            <w:tag w:val="_PLD_6f1ab61237164c0db56540ae1980b62c"/>
            <w:id w:val="1032000660"/>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职工薪酬社保及福利费</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5,250,312</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5,175,381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折旧费</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678,930</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827,480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中介、咨询及服务费</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605,788</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327,270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股份支付</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298,036</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314,086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差旅、办公、会议及招待费</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270,899</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180,969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摊销、租赁费等</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259,500</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280,117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材料及修理费</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217,436</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260,185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停工损失</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175,947</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381,985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物业费</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139,634</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186,902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党建工作经费</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85,231</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73,085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其他</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499,987</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607,847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8,481,700</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8,615,307</w:t>
            </w:r>
          </w:p>
        </w:tc>
      </w:tr>
    </w:tbl>
    <w:p>
      <w:pPr>
        <w:pStyle w:val="501"/>
      </w:pPr>
    </w:p>
    <w:p>
      <w:pPr>
        <w:pStyle w:val="504"/>
        <w:numPr>
          <w:ilvl w:val="0"/>
          <w:numId w:val="69"/>
        </w:numPr>
        <w:tabs>
          <w:tab w:val="left" w:pos="504"/>
        </w:tabs>
        <w:rPr>
          <w:szCs w:val="21"/>
        </w:rPr>
      </w:pPr>
      <w:r>
        <w:rPr>
          <w:rFonts w:hint="eastAsia"/>
          <w:szCs w:val="21"/>
        </w:rPr>
        <w:t>研发费用</w:t>
      </w:r>
    </w:p>
    <w:sdt>
      <w:sdtPr>
        <w:alias w:val="是否适用：研发费用[双击切换]"/>
        <w:tag w:val="_GBC_9898510b9c0a486f9cd9779f4b72b75c"/>
        <w:id w:val="-1290822265"/>
        <w:placeholder>
          <w:docPart w:val="GBC22222222222222222222222222222"/>
        </w:placeholder>
      </w:sdtPr>
      <w:sdtContent>
        <w:p>
          <w:pPr>
            <w:pStyle w:val="501"/>
          </w:pPr>
          <w:bookmarkStart w:id="328" w:name="_Hlk155098459"/>
          <w:bookmarkStart w:id="329" w:name="_Hlk532912714"/>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43"/>
        <w:ind w:left="420" w:firstLine="0" w:firstLineChars="0"/>
        <w:jc w:val="right"/>
        <w:rPr>
          <w:szCs w:val="21"/>
        </w:rPr>
      </w:pPr>
      <w:r>
        <w:rPr>
          <w:rFonts w:hint="eastAsia"/>
          <w:szCs w:val="21"/>
        </w:rPr>
        <w:t>单位：</w:t>
      </w:r>
      <w:sdt>
        <w:sdtPr>
          <w:rPr>
            <w:rFonts w:hint="eastAsia"/>
            <w:szCs w:val="21"/>
          </w:rPr>
          <w:alias w:val="单位：研发费用"/>
          <w:tag w:val="_GBC_f2389528805243908680cac1cbf74aac"/>
          <w:id w:val="-14313498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研发费用"/>
          <w:tag w:val="_GBC_fd53f958c2294dce9fb017f8207a7ff4"/>
          <w:id w:val="18128220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70c22a459f7a4323bcf2b066e0398aee"/>
            <w:id w:val="1679165248"/>
          </w:sdtPr>
          <w:sdtEndPr>
            <w:rPr>
              <w:rFonts w:asciiTheme="minorEastAsia" w:hAnsiTheme="minorEastAsia" w:eastAsiaTheme="minorEastAsia"/>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76c559fcf2df4f56bfb2994739826eb3"/>
            <w:id w:val="1508015022"/>
          </w:sdtPr>
          <w:sdtEndPr>
            <w:rPr>
              <w:rFonts w:asciiTheme="minorEastAsia" w:hAnsiTheme="minorEastAsia" w:eastAsiaTheme="minorEastAsia"/>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ec7e9f373a83410d886ebef444573eb8"/>
            <w:id w:val="710385441"/>
          </w:sdtPr>
          <w:sdtEndPr>
            <w:rPr>
              <w:rFonts w:asciiTheme="minorEastAsia" w:hAnsiTheme="minorEastAsia" w:eastAsiaTheme="minorEastAsia"/>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rPr>
                <w:rFonts w:asciiTheme="minorEastAsia" w:hAnsiTheme="minorEastAsia" w:eastAsiaTheme="minorEastAsia"/>
              </w:rPr>
            </w:pPr>
            <w:r>
              <w:rPr>
                <w:rFonts w:hint="eastAsia" w:asciiTheme="minorEastAsia" w:hAnsiTheme="minorEastAsia" w:eastAsiaTheme="minorEastAsia"/>
              </w:rPr>
              <w:t>设备材料费</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1,397,413</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1,472,949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rPr>
                <w:rFonts w:asciiTheme="minorEastAsia" w:hAnsiTheme="minorEastAsia" w:eastAsiaTheme="minorEastAsia"/>
              </w:rPr>
            </w:pPr>
            <w:r>
              <w:rPr>
                <w:rFonts w:hint="eastAsia" w:asciiTheme="minorEastAsia" w:hAnsiTheme="minorEastAsia" w:eastAsiaTheme="minorEastAsia"/>
              </w:rPr>
              <w:t>职工薪酬</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895,641</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787,728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rPr>
                <w:rFonts w:asciiTheme="minorEastAsia" w:hAnsiTheme="minorEastAsia" w:eastAsiaTheme="minorEastAsia"/>
              </w:rPr>
            </w:pPr>
            <w:r>
              <w:rPr>
                <w:rFonts w:hint="eastAsia" w:asciiTheme="minorEastAsia" w:hAnsiTheme="minorEastAsia" w:eastAsiaTheme="minorEastAsia"/>
              </w:rPr>
              <w:t>折旧及摊销费</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242,167</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283,408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rPr>
                <w:rFonts w:asciiTheme="minorEastAsia" w:hAnsiTheme="minorEastAsia" w:eastAsiaTheme="minorEastAsia"/>
              </w:rPr>
            </w:pPr>
            <w:r>
              <w:rPr>
                <w:rFonts w:hint="eastAsia" w:asciiTheme="minorEastAsia" w:hAnsiTheme="minorEastAsia" w:eastAsiaTheme="minorEastAsia"/>
              </w:rPr>
              <w:t>委外技术服务费</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194,580</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118,571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rPr>
                <w:rFonts w:asciiTheme="minorEastAsia" w:hAnsiTheme="minorEastAsia" w:eastAsiaTheme="minorEastAsia"/>
              </w:rPr>
            </w:pPr>
            <w:r>
              <w:rPr>
                <w:rFonts w:hint="eastAsia" w:asciiTheme="minorEastAsia" w:hAnsiTheme="minorEastAsia" w:eastAsiaTheme="minorEastAsia"/>
              </w:rPr>
              <w:t>其他</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176,837</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263,600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2,906,638</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2,926,256</w:t>
            </w:r>
          </w:p>
        </w:tc>
      </w:tr>
      <w:bookmarkEnd w:id="328"/>
      <w:bookmarkEnd w:id="329"/>
    </w:tbl>
    <w:p>
      <w:pPr>
        <w:pStyle w:val="504"/>
        <w:numPr>
          <w:ilvl w:val="0"/>
          <w:numId w:val="69"/>
        </w:numPr>
        <w:tabs>
          <w:tab w:val="left" w:pos="504"/>
        </w:tabs>
        <w:rPr>
          <w:szCs w:val="21"/>
        </w:rPr>
      </w:pPr>
      <w:r>
        <w:rPr>
          <w:rFonts w:hint="eastAsia"/>
          <w:szCs w:val="21"/>
        </w:rPr>
        <w:t>财务费用</w:t>
      </w:r>
    </w:p>
    <w:sdt>
      <w:sdtPr>
        <w:alias w:val="是否适用：财务费用[双击切换]"/>
        <w:tag w:val="_GBC_7e467c6faebc402ab141f588df31680d"/>
        <w:id w:val="34421605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费用"/>
          <w:tag w:val="_GBC_adcf988d29cd43aba011ce1310eac264"/>
          <w:id w:val="16119354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费用"/>
          <w:tag w:val="_GBC_f6066e571d54449daf358ae3037f9712"/>
          <w:id w:val="-9677368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77e87dd3f474489b24bbaed00293d"/>
            <w:id w:val="-1451538709"/>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项目</w:t>
                </w:r>
              </w:p>
            </w:tc>
          </w:sdtContent>
        </w:sdt>
        <w:sdt>
          <w:sdtPr>
            <w:tag w:val="_PLD_f64aa2e290ce4904a39347c56117acb7"/>
            <w:id w:val="116572826"/>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本期发生额</w:t>
                </w:r>
              </w:p>
            </w:tc>
          </w:sdtContent>
        </w:sdt>
        <w:sdt>
          <w:sdtPr>
            <w:tag w:val="_PLD_178c78585f7e495ebd86923cb8c24338"/>
            <w:id w:val="-408850032"/>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利息费用</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4,493,197</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7,464,414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减：利息收入</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871,599</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1,137,625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加：汇兑损失</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-154,012</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-648,496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加：担保支出</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125,083</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133,694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加：其他支出</w:t>
            </w:r>
          </w:p>
        </w:tc>
        <w:tc>
          <w:tcPr>
            <w:tcW w:w="1439" w:type="pct"/>
            <w:vAlign w:val="center"/>
          </w:tcPr>
          <w:p>
            <w:pPr>
              <w:jc w:val="right"/>
              <w:rPr>
                <w:rFonts w:asciiTheme="minorEastAsia" w:hAnsiTheme="minorEastAsia" w:eastAsiaTheme="minorEastAsia"/>
              </w:rPr>
            </w:pPr>
            <w:r>
              <w:rPr>
                <w:rFonts w:asciiTheme="minorEastAsia" w:hAnsiTheme="minorEastAsia" w:eastAsiaTheme="minorEastAsia"/>
              </w:rPr>
              <w:t>311,331</w:t>
            </w:r>
          </w:p>
        </w:tc>
        <w:tc>
          <w:tcPr>
            <w:tcW w:w="1348" w:type="pct"/>
            <w:vAlign w:val="center"/>
          </w:tcPr>
          <w:p>
            <w:pPr>
              <w:jc w:val="right"/>
              <w:rPr>
                <w:rFonts w:asciiTheme="minorEastAsia" w:hAnsiTheme="minorEastAsia" w:eastAsiaTheme="minorEastAsia"/>
              </w:rPr>
            </w:pPr>
            <w:r>
              <w:rPr>
                <w:rFonts w:asciiTheme="minorEastAsia" w:hAnsiTheme="minorEastAsia" w:eastAsiaTheme="minorEastAsia"/>
              </w:rPr>
              <w:t>300,635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tc>
          <w:tcPr>
            <w:tcW w:w="1439" w:type="pct"/>
            <w:vAlign w:val="center"/>
          </w:tcPr>
          <w:p>
            <w:pPr>
              <w:jc w:val="right"/>
              <w:rPr>
                <w:rFonts w:asciiTheme="minorEastAsia" w:hAnsiTheme="minorEastAsia" w:eastAsiaTheme="minorEastAsia"/>
                <w:bCs/>
              </w:rPr>
            </w:pPr>
            <w:r>
              <w:rPr>
                <w:rFonts w:asciiTheme="minorEastAsia" w:hAnsiTheme="minorEastAsia" w:eastAsiaTheme="minorEastAsia"/>
                <w:bCs/>
              </w:rPr>
              <w:t>3,904,000</w:t>
            </w:r>
          </w:p>
        </w:tc>
        <w:tc>
          <w:tcPr>
            <w:tcW w:w="1348" w:type="pct"/>
            <w:vAlign w:val="center"/>
          </w:tcPr>
          <w:p>
            <w:pPr>
              <w:jc w:val="right"/>
              <w:rPr>
                <w:rFonts w:asciiTheme="minorEastAsia" w:hAnsiTheme="minorEastAsia" w:eastAsiaTheme="minorEastAsia"/>
                <w:bCs/>
              </w:rPr>
            </w:pPr>
            <w:r>
              <w:rPr>
                <w:rFonts w:asciiTheme="minorEastAsia" w:hAnsiTheme="minorEastAsia" w:eastAsiaTheme="minorEastAsia"/>
                <w:bCs/>
              </w:rPr>
              <w:t>6,112,622</w:t>
            </w:r>
          </w:p>
        </w:tc>
      </w:tr>
    </w:tbl>
    <w:p>
      <w:pPr>
        <w:pStyle w:val="501"/>
      </w:pPr>
    </w:p>
    <w:p>
      <w:pPr>
        <w:pStyle w:val="504"/>
        <w:numPr>
          <w:ilvl w:val="0"/>
          <w:numId w:val="69"/>
        </w:numPr>
        <w:tabs>
          <w:tab w:val="left" w:pos="504"/>
        </w:tabs>
      </w:pPr>
      <w:r>
        <w:rPr>
          <w:rFonts w:hint="eastAsia"/>
        </w:rPr>
        <w:t>其他收益</w:t>
      </w:r>
    </w:p>
    <w:sdt>
      <w:sdtPr>
        <w:rPr>
          <w:bCs/>
        </w:rPr>
        <w:alias w:val="是否适用：财务报表其他收益[双击切换]"/>
        <w:tag w:val="_GBC_24722ffac3b6474db1e1d7972d6e4a7b"/>
        <w:id w:val="-52851284"/>
        <w:placeholder>
          <w:docPart w:val="GBC22222222222222222222222222222"/>
        </w:placeholder>
      </w:sdtPr>
      <w:sdtEndPr>
        <w:rPr>
          <w:bCs/>
        </w:rPr>
      </w:sdtEndPr>
      <w:sdtContent>
        <w:p>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pStyle w:val="543"/>
        <w:ind w:left="420" w:firstLine="0" w:firstLineChars="0"/>
        <w:jc w:val="right"/>
        <w:rPr>
          <w:bCs/>
        </w:rPr>
      </w:pPr>
      <w:r>
        <w:rPr>
          <w:bCs/>
        </w:rPr>
        <w:t>单位：</w:t>
      </w:r>
      <w:sdt>
        <w:sdtPr>
          <w:rPr>
            <w:bCs/>
          </w:rPr>
          <w:alias w:val="单位：财务报表其他收益明细"/>
          <w:tag w:val="_GBC_74ea52f952324be7ab2c4c494ff673ce"/>
          <w:id w:val="14331690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rFonts w:hint="eastAsia"/>
              <w:bCs/>
            </w:rPr>
            <w:t>千元</w:t>
          </w:r>
        </w:sdtContent>
      </w:sdt>
      <w:r>
        <w:rPr>
          <w:bCs/>
        </w:rPr>
        <w:t xml:space="preserve">  币种：</w:t>
      </w:r>
      <w:sdt>
        <w:sdtPr>
          <w:rPr>
            <w:bCs/>
          </w:rPr>
          <w:alias w:val="币种：财务报表其他收益明细"/>
          <w:tag w:val="_GBC_8360ed9b182a496c9b5d2220a414a4cb"/>
          <w:id w:val="13898410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bCs/>
            </w:rPr>
            <w:t>人民币</w:t>
          </w:r>
        </w:sdtContent>
      </w:sdt>
    </w:p>
    <w:tbl>
      <w:tblPr>
        <w:tblStyle w:val="9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1"/>
        <w:gridCol w:w="2533"/>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df5d6dc8fe1463b8e0d41784241e311"/>
            <w:id w:val="1872188988"/>
          </w:sdtPr>
          <w:sdtContent>
            <w:tc>
              <w:tcPr>
                <w:tcW w:w="3901" w:type="dxa"/>
                <w:shd w:val="clear" w:color="auto" w:fill="auto"/>
              </w:tcPr>
              <w:p>
                <w:pPr>
                  <w:jc w:val="center"/>
                </w:pPr>
                <w:r>
                  <w:rPr>
                    <w:rFonts w:hint="eastAsia"/>
                  </w:rPr>
                  <w:t>按性质分类</w:t>
                </w:r>
              </w:p>
            </w:tc>
          </w:sdtContent>
        </w:sdt>
        <w:sdt>
          <w:sdtPr>
            <w:tag w:val="_PLD_2c34d48a6a534080943d2d340c325c15"/>
            <w:id w:val="-1912690731"/>
          </w:sdtPr>
          <w:sdtContent>
            <w:tc>
              <w:tcPr>
                <w:tcW w:w="2533" w:type="dxa"/>
                <w:shd w:val="clear" w:color="auto" w:fill="auto"/>
              </w:tcPr>
              <w:p>
                <w:pPr>
                  <w:jc w:val="center"/>
                </w:pPr>
                <w:r>
                  <w:rPr>
                    <w:rFonts w:hint="eastAsia"/>
                  </w:rPr>
                  <w:t>本期发生额</w:t>
                </w:r>
              </w:p>
            </w:tc>
          </w:sdtContent>
        </w:sdt>
        <w:sdt>
          <w:sdtPr>
            <w:tag w:val="_PLD_1a2c9ed0a9704089897421e22b8696dd"/>
            <w:id w:val="131370168"/>
          </w:sdtPr>
          <w:sdtContent>
            <w:tc>
              <w:tcPr>
                <w:tcW w:w="2389" w:type="dxa"/>
                <w:shd w:val="clear" w:color="auto" w:fill="auto"/>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1" w:type="dxa"/>
            <w:vAlign w:val="center"/>
          </w:tcPr>
          <w:p>
            <w:pPr>
              <w:rPr>
                <w:rFonts w:asciiTheme="minorEastAsia" w:hAnsiTheme="minorEastAsia" w:eastAsiaTheme="minorEastAsia"/>
              </w:rPr>
            </w:pPr>
            <w:r>
              <w:rPr>
                <w:rFonts w:hint="eastAsia" w:asciiTheme="minorEastAsia" w:hAnsiTheme="minorEastAsia" w:eastAsiaTheme="minorEastAsia"/>
              </w:rPr>
              <w:t>与日常经营活动相关的政府补助</w:t>
            </w:r>
          </w:p>
        </w:tc>
        <w:tc>
          <w:tcPr>
            <w:tcW w:w="2533" w:type="dxa"/>
            <w:vAlign w:val="center"/>
          </w:tcPr>
          <w:p>
            <w:pPr>
              <w:jc w:val="right"/>
              <w:rPr>
                <w:rFonts w:asciiTheme="minorEastAsia" w:hAnsiTheme="minorEastAsia" w:eastAsiaTheme="minorEastAsia"/>
              </w:rPr>
            </w:pPr>
            <w:r>
              <w:rPr>
                <w:rFonts w:asciiTheme="minorEastAsia" w:hAnsiTheme="minorEastAsia" w:eastAsiaTheme="minorEastAsia"/>
              </w:rPr>
              <w:t>232,083</w:t>
            </w:r>
          </w:p>
        </w:tc>
        <w:tc>
          <w:tcPr>
            <w:tcW w:w="2389" w:type="dxa"/>
            <w:vAlign w:val="center"/>
          </w:tcPr>
          <w:p>
            <w:pPr>
              <w:jc w:val="right"/>
              <w:rPr>
                <w:rFonts w:asciiTheme="minorEastAsia" w:hAnsiTheme="minorEastAsia" w:eastAsiaTheme="minorEastAsia"/>
              </w:rPr>
            </w:pPr>
            <w:r>
              <w:rPr>
                <w:rFonts w:asciiTheme="minorEastAsia" w:hAnsiTheme="minorEastAsia" w:eastAsiaTheme="minorEastAsia"/>
              </w:rPr>
              <w:t>165,823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1" w:type="dxa"/>
            <w:vAlign w:val="center"/>
          </w:tcPr>
          <w:p>
            <w:pPr>
              <w:rPr>
                <w:rFonts w:asciiTheme="minorEastAsia" w:hAnsiTheme="minorEastAsia" w:eastAsiaTheme="minorEastAsia"/>
              </w:rPr>
            </w:pPr>
            <w:r>
              <w:rPr>
                <w:rFonts w:hint="eastAsia" w:asciiTheme="minorEastAsia" w:hAnsiTheme="minorEastAsia" w:eastAsiaTheme="minorEastAsia"/>
              </w:rPr>
              <w:t>增值税即征即退</w:t>
            </w:r>
          </w:p>
        </w:tc>
        <w:tc>
          <w:tcPr>
            <w:tcW w:w="2533" w:type="dxa"/>
            <w:vAlign w:val="center"/>
          </w:tcPr>
          <w:p>
            <w:pPr>
              <w:jc w:val="right"/>
              <w:rPr>
                <w:rFonts w:asciiTheme="minorEastAsia" w:hAnsiTheme="minorEastAsia" w:eastAsiaTheme="minorEastAsia"/>
              </w:rPr>
            </w:pPr>
            <w:r>
              <w:rPr>
                <w:rFonts w:asciiTheme="minorEastAsia" w:hAnsiTheme="minorEastAsia" w:eastAsiaTheme="minorEastAsia"/>
              </w:rPr>
              <w:t>28,360</w:t>
            </w:r>
          </w:p>
        </w:tc>
        <w:tc>
          <w:tcPr>
            <w:tcW w:w="2389" w:type="dxa"/>
            <w:vAlign w:val="center"/>
          </w:tcPr>
          <w:p>
            <w:pPr>
              <w:jc w:val="right"/>
              <w:rPr>
                <w:rFonts w:asciiTheme="minorEastAsia" w:hAnsiTheme="minorEastAsia" w:eastAsiaTheme="minorEastAsia"/>
              </w:rPr>
            </w:pPr>
            <w:r>
              <w:rPr>
                <w:rFonts w:asciiTheme="minorEastAsia" w:hAnsiTheme="minorEastAsia" w:eastAsiaTheme="minorEastAsia"/>
              </w:rPr>
              <w:t>38,908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1" w:type="dxa"/>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合计</w:t>
            </w:r>
          </w:p>
        </w:tc>
        <w:tc>
          <w:tcPr>
            <w:tcW w:w="2533" w:type="dxa"/>
            <w:vAlign w:val="center"/>
          </w:tcPr>
          <w:p>
            <w:pPr>
              <w:jc w:val="right"/>
              <w:rPr>
                <w:rFonts w:asciiTheme="minorEastAsia" w:hAnsiTheme="minorEastAsia" w:eastAsiaTheme="minorEastAsia"/>
                <w:bCs/>
              </w:rPr>
            </w:pPr>
            <w:r>
              <w:rPr>
                <w:rFonts w:asciiTheme="minorEastAsia" w:hAnsiTheme="minorEastAsia" w:eastAsiaTheme="minorEastAsia"/>
                <w:bCs/>
              </w:rPr>
              <w:t>260,443</w:t>
            </w:r>
          </w:p>
        </w:tc>
        <w:tc>
          <w:tcPr>
            <w:tcW w:w="2389" w:type="dxa"/>
            <w:vAlign w:val="center"/>
          </w:tcPr>
          <w:p>
            <w:pPr>
              <w:jc w:val="right"/>
              <w:rPr>
                <w:rFonts w:asciiTheme="minorEastAsia" w:hAnsiTheme="minorEastAsia" w:eastAsiaTheme="minorEastAsia"/>
                <w:bCs/>
              </w:rPr>
            </w:pPr>
            <w:r>
              <w:rPr>
                <w:rFonts w:asciiTheme="minorEastAsia" w:hAnsiTheme="minorEastAsia" w:eastAsiaTheme="minorEastAsia"/>
                <w:bCs/>
              </w:rPr>
              <w:t>204,731</w:t>
            </w:r>
          </w:p>
        </w:tc>
      </w:tr>
    </w:tbl>
    <w:p>
      <w:pPr>
        <w:pStyle w:val="531"/>
      </w:pPr>
    </w:p>
    <w:p>
      <w:pPr>
        <w:pStyle w:val="531"/>
      </w:pPr>
      <w:bookmarkStart w:id="330" w:name="_Hlk11857276"/>
      <w:bookmarkEnd w:id="330"/>
    </w:p>
    <w:p>
      <w:pPr>
        <w:pStyle w:val="504"/>
        <w:numPr>
          <w:ilvl w:val="0"/>
          <w:numId w:val="69"/>
        </w:numPr>
        <w:tabs>
          <w:tab w:val="left" w:pos="504"/>
        </w:tabs>
        <w:rPr>
          <w:rFonts w:ascii="宋体" w:hAnsi="宋体"/>
          <w:szCs w:val="21"/>
        </w:rPr>
      </w:pPr>
      <w:r>
        <w:rPr>
          <w:rFonts w:hint="eastAsia" w:ascii="宋体" w:hAnsi="宋体"/>
          <w:szCs w:val="21"/>
        </w:rPr>
        <w:t>投资收益</w:t>
      </w:r>
    </w:p>
    <w:sdt>
      <w:sdtPr>
        <w:alias w:val="是否适用：投资收益[双击切换]"/>
        <w:tag w:val="_GBC_f581223c46c2426aa46b9e88b6b47f4f"/>
        <w:id w:val="-960114468"/>
        <w:placeholder>
          <w:docPart w:val="GBC22222222222222222222222222222"/>
        </w:placeholder>
      </w:sdtPr>
      <w:sdtContent>
        <w:p>
          <w:pPr>
            <w:pStyle w:val="531"/>
          </w:pPr>
          <w:bookmarkStart w:id="331" w:name="_Hlk2402765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rPr>
      </w:pPr>
      <w:bookmarkStart w:id="332" w:name="_Hlk10538462"/>
      <w:r>
        <w:t>单位</w:t>
      </w:r>
      <w:r>
        <w:rPr>
          <w:rFonts w:hint="eastAsia"/>
        </w:rPr>
        <w:t>：</w:t>
      </w:r>
      <w:sdt>
        <w:sdtPr>
          <w:rPr>
            <w:rFonts w:hint="eastAsia"/>
          </w:rPr>
          <w:alias w:val="单位：财务附注：会计报表中的投资收益项目增加"/>
          <w:tag w:val="_GBC_aeb04d73052c442cb4e2c86d75a8fbb5"/>
          <w:id w:val="-972536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t xml:space="preserve">  币种</w:t>
      </w:r>
      <w:r>
        <w:rPr>
          <w:rFonts w:hint="eastAsia"/>
        </w:rPr>
        <w:t>：</w:t>
      </w:r>
      <w:sdt>
        <w:sdtPr>
          <w:rPr>
            <w:rFonts w:hint="eastAsia"/>
          </w:rPr>
          <w:alias w:val="币种：财务附注：会计报表中的投资收益项目增加"/>
          <w:tag w:val="_GBC_9845e736e0054165b2ee74d48d6dd757"/>
          <w:id w:val="-11494460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269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98e1ec79cfc4df397c6fa0a751f3489"/>
            <w:id w:val="-56564942"/>
          </w:sdtPr>
          <w:sdtContent>
            <w:tc>
              <w:tcPr>
                <w:tcW w:w="2018" w:type="pct"/>
                <w:vAlign w:val="center"/>
              </w:tcPr>
              <w:p>
                <w:pPr>
                  <w:ind w:left="420" w:hanging="420"/>
                  <w:jc w:val="center"/>
                </w:pPr>
                <w:r>
                  <w:rPr>
                    <w:rFonts w:hint="eastAsia"/>
                  </w:rPr>
                  <w:t>项目</w:t>
                </w:r>
              </w:p>
            </w:tc>
          </w:sdtContent>
        </w:sdt>
        <w:sdt>
          <w:sdtPr>
            <w:tag w:val="_PLD_239208f1271348119306f77c15ab0ec0"/>
            <w:id w:val="1759014126"/>
          </w:sdtPr>
          <w:sdtContent>
            <w:tc>
              <w:tcPr>
                <w:tcW w:w="1488" w:type="pct"/>
                <w:vAlign w:val="center"/>
              </w:tcPr>
              <w:p>
                <w:pPr>
                  <w:jc w:val="center"/>
                </w:pPr>
                <w:r>
                  <w:rPr>
                    <w:rFonts w:hint="eastAsia"/>
                  </w:rPr>
                  <w:t>本期发生额</w:t>
                </w:r>
              </w:p>
            </w:tc>
          </w:sdtContent>
        </w:sdt>
        <w:sdt>
          <w:sdtPr>
            <w:tag w:val="_PLD_c548c34a5b7b4e3eb5536d1408d6cc7b"/>
            <w:id w:val="1380208914"/>
          </w:sdtPr>
          <w:sdtContent>
            <w:tc>
              <w:tcPr>
                <w:tcW w:w="1494" w:type="pct"/>
                <w:vAlign w:val="center"/>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asciiTheme="minorEastAsia" w:hAnsiTheme="minorEastAsia" w:eastAsiaTheme="minorEastAsia"/>
              </w:rPr>
            </w:pPr>
            <w:r>
              <w:rPr>
                <w:rFonts w:hint="eastAsia" w:asciiTheme="minorEastAsia" w:hAnsiTheme="minorEastAsia" w:eastAsiaTheme="minorEastAsia"/>
              </w:rPr>
              <w:t>权益法核算的长期股权投资收益</w:t>
            </w:r>
          </w:p>
        </w:tc>
        <w:tc>
          <w:tcPr>
            <w:tcW w:w="1488" w:type="pct"/>
            <w:vAlign w:val="center"/>
          </w:tcPr>
          <w:p>
            <w:pPr>
              <w:jc w:val="right"/>
              <w:rPr>
                <w:rFonts w:asciiTheme="minorEastAsia" w:hAnsiTheme="minorEastAsia" w:eastAsiaTheme="minorEastAsia"/>
              </w:rPr>
            </w:pPr>
            <w:r>
              <w:rPr>
                <w:rFonts w:asciiTheme="minorEastAsia" w:hAnsiTheme="minorEastAsia" w:eastAsiaTheme="minorEastAsia"/>
              </w:rPr>
              <w:t>2,261,043</w:t>
            </w:r>
          </w:p>
        </w:tc>
        <w:tc>
          <w:tcPr>
            <w:tcW w:w="1494" w:type="pct"/>
            <w:vAlign w:val="center"/>
          </w:tcPr>
          <w:p>
            <w:pPr>
              <w:jc w:val="right"/>
              <w:rPr>
                <w:rFonts w:asciiTheme="minorEastAsia" w:hAnsiTheme="minorEastAsia" w:eastAsiaTheme="minorEastAsia"/>
              </w:rPr>
            </w:pPr>
            <w:r>
              <w:rPr>
                <w:rFonts w:asciiTheme="minorEastAsia" w:hAnsiTheme="minorEastAsia" w:eastAsiaTheme="minorEastAsia"/>
              </w:rPr>
              <w:t>3,222,772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rPr>
                <w:rFonts w:asciiTheme="minorEastAsia" w:hAnsiTheme="minorEastAsia" w:eastAsiaTheme="minorEastAsia"/>
              </w:rPr>
            </w:pPr>
            <w:r>
              <w:rPr>
                <w:rFonts w:hint="eastAsia" w:cs="Arial Unicode MS" w:asciiTheme="minorEastAsia" w:hAnsiTheme="minorEastAsia" w:eastAsiaTheme="minorEastAsia"/>
              </w:rPr>
              <w:t>处置其他非流动金融资产取得的投资收益</w:t>
            </w:r>
          </w:p>
        </w:tc>
        <w:tc>
          <w:tcPr>
            <w:tcW w:w="1488" w:type="pct"/>
            <w:vAlign w:val="center"/>
          </w:tcPr>
          <w:p>
            <w:pPr>
              <w:jc w:val="right"/>
              <w:rPr>
                <w:rFonts w:asciiTheme="minorEastAsia" w:hAnsiTheme="minorEastAsia" w:eastAsiaTheme="minorEastAsia"/>
              </w:rPr>
            </w:pPr>
            <w:r>
              <w:rPr>
                <w:rFonts w:cs="Arial Unicode MS" w:asciiTheme="minorEastAsia" w:hAnsiTheme="minorEastAsia" w:eastAsiaTheme="minorEastAsia"/>
              </w:rPr>
              <w:t>15,473</w:t>
            </w:r>
          </w:p>
        </w:tc>
        <w:tc>
          <w:tcPr>
            <w:tcW w:w="1494" w:type="pct"/>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债权投资在持有期间取得的利息收入</w:t>
            </w:r>
          </w:p>
        </w:tc>
        <w:tc>
          <w:tcPr>
            <w:tcW w:w="1488" w:type="pct"/>
            <w:vAlign w:val="center"/>
          </w:tcPr>
          <w:p>
            <w:pPr>
              <w:jc w:val="right"/>
              <w:rPr>
                <w:rFonts w:asciiTheme="minorEastAsia" w:hAnsiTheme="minorEastAsia" w:eastAsiaTheme="minorEastAsia"/>
              </w:rPr>
            </w:pPr>
            <w:r>
              <w:rPr>
                <w:rFonts w:cs="Arial Unicode MS" w:asciiTheme="minorEastAsia" w:hAnsiTheme="minorEastAsia" w:eastAsiaTheme="minorEastAsia"/>
              </w:rPr>
              <w:t>10,470</w:t>
            </w:r>
          </w:p>
        </w:tc>
        <w:tc>
          <w:tcPr>
            <w:tcW w:w="1494" w:type="pct"/>
            <w:vAlign w:val="center"/>
          </w:tcPr>
          <w:p>
            <w:pPr>
              <w:jc w:val="right"/>
              <w:rPr>
                <w:rFonts w:asciiTheme="minorEastAsia" w:hAnsiTheme="minorEastAsia" w:eastAsiaTheme="minorEastAsia"/>
              </w:rPr>
            </w:pPr>
            <w:r>
              <w:rPr>
                <w:rFonts w:cs="Arial Unicode MS" w:asciiTheme="minorEastAsia" w:hAnsiTheme="minorEastAsia" w:eastAsiaTheme="minorEastAsia"/>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pStyle w:val="531"/>
              <w:rPr>
                <w:rFonts w:asciiTheme="minorEastAsia" w:hAnsiTheme="minorEastAsia" w:eastAsiaTheme="minorEastAsia"/>
                <w:szCs w:val="21"/>
              </w:rPr>
            </w:pPr>
            <w:r>
              <w:rPr>
                <w:rFonts w:hint="eastAsia" w:cs="Arial Unicode MS" w:asciiTheme="minorEastAsia" w:hAnsiTheme="minorEastAsia" w:eastAsiaTheme="minorEastAsia"/>
                <w:szCs w:val="21"/>
              </w:rPr>
              <w:t>持有其他非流动金融资产取得的投资收益</w:t>
            </w:r>
          </w:p>
        </w:tc>
        <w:tc>
          <w:tcPr>
            <w:tcW w:w="1488" w:type="pct"/>
            <w:vAlign w:val="center"/>
          </w:tcPr>
          <w:p>
            <w:pPr>
              <w:jc w:val="right"/>
              <w:rPr>
                <w:rFonts w:asciiTheme="minorEastAsia" w:hAnsiTheme="minorEastAsia" w:eastAsiaTheme="minorEastAsia"/>
              </w:rPr>
            </w:pPr>
            <w:r>
              <w:rPr>
                <w:rFonts w:cs="Arial Unicode MS" w:asciiTheme="minorEastAsia" w:hAnsiTheme="minorEastAsia" w:eastAsiaTheme="minorEastAsia"/>
              </w:rPr>
              <w:t>1,110</w:t>
            </w:r>
          </w:p>
        </w:tc>
        <w:tc>
          <w:tcPr>
            <w:tcW w:w="1494" w:type="pct"/>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其他权益工具投资在持有期间取得的股利收入</w:t>
            </w:r>
          </w:p>
        </w:tc>
        <w:tc>
          <w:tcPr>
            <w:tcW w:w="1488" w:type="pct"/>
            <w:vAlign w:val="center"/>
          </w:tcPr>
          <w:p>
            <w:pPr>
              <w:jc w:val="right"/>
              <w:rPr>
                <w:rFonts w:asciiTheme="minorEastAsia" w:hAnsiTheme="minorEastAsia" w:eastAsiaTheme="minorEastAsia"/>
              </w:rPr>
            </w:pPr>
            <w:r>
              <w:rPr>
                <w:rFonts w:asciiTheme="minorEastAsia" w:hAnsiTheme="minorEastAsia" w:eastAsiaTheme="minorEastAsia"/>
              </w:rPr>
              <w:t>75</w:t>
            </w:r>
          </w:p>
        </w:tc>
        <w:tc>
          <w:tcPr>
            <w:tcW w:w="1494" w:type="pct"/>
            <w:vAlign w:val="center"/>
          </w:tcPr>
          <w:p>
            <w:pPr>
              <w:jc w:val="right"/>
              <w:rPr>
                <w:rFonts w:asciiTheme="minorEastAsia" w:hAnsiTheme="minorEastAsia" w:eastAsiaTheme="minorEastAsia"/>
              </w:rPr>
            </w:pPr>
            <w:r>
              <w:rPr>
                <w:rFonts w:asciiTheme="minorEastAsia" w:hAnsiTheme="minorEastAsia" w:eastAsiaTheme="minorEastAsia"/>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持有交易性金融资产/负债期间取得的投资收益</w:t>
            </w:r>
          </w:p>
        </w:tc>
        <w:tc>
          <w:tcPr>
            <w:tcW w:w="1488" w:type="pct"/>
            <w:vAlign w:val="center"/>
          </w:tcPr>
          <w:p>
            <w:pPr>
              <w:jc w:val="right"/>
              <w:rPr>
                <w:rFonts w:asciiTheme="minorEastAsia" w:hAnsiTheme="minorEastAsia" w:eastAsiaTheme="minorEastAsia"/>
              </w:rPr>
            </w:pPr>
            <w:r>
              <w:rPr>
                <w:rFonts w:asciiTheme="minorEastAsia" w:hAnsiTheme="minorEastAsia" w:eastAsiaTheme="minorEastAsia"/>
              </w:rPr>
              <w:t>59</w:t>
            </w:r>
          </w:p>
        </w:tc>
        <w:tc>
          <w:tcPr>
            <w:tcW w:w="1494" w:type="pct"/>
            <w:vAlign w:val="center"/>
          </w:tcPr>
          <w:p>
            <w:pPr>
              <w:jc w:val="right"/>
              <w:rPr>
                <w:rFonts w:asciiTheme="minorEastAsia" w:hAnsiTheme="minorEastAsia" w:eastAsiaTheme="minorEastAsia"/>
              </w:rPr>
            </w:pPr>
            <w:r>
              <w:rPr>
                <w:rFonts w:asciiTheme="minorEastAsia" w:hAnsiTheme="minorEastAsia" w:eastAsiaTheme="minorEastAsia"/>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pStyle w:val="531"/>
              <w:rPr>
                <w:rFonts w:asciiTheme="minorEastAsia" w:hAnsiTheme="minorEastAsia" w:eastAsiaTheme="minorEastAsia"/>
                <w:szCs w:val="21"/>
              </w:rPr>
            </w:pPr>
            <w:r>
              <w:rPr>
                <w:rFonts w:hint="eastAsia" w:cs="Arial Unicode MS" w:asciiTheme="minorEastAsia" w:hAnsiTheme="minorEastAsia" w:eastAsiaTheme="minorEastAsia"/>
                <w:szCs w:val="21"/>
              </w:rPr>
              <w:t>债务重组收益</w:t>
            </w:r>
          </w:p>
        </w:tc>
        <w:tc>
          <w:tcPr>
            <w:tcW w:w="1488" w:type="pct"/>
            <w:vAlign w:val="center"/>
          </w:tcPr>
          <w:p>
            <w:pPr>
              <w:jc w:val="right"/>
              <w:rPr>
                <w:rFonts w:asciiTheme="minorEastAsia" w:hAnsiTheme="minorEastAsia" w:eastAsiaTheme="minorEastAsia"/>
              </w:rPr>
            </w:pPr>
            <w:r>
              <w:rPr>
                <w:rFonts w:cs="Arial Unicode MS" w:asciiTheme="minorEastAsia" w:hAnsiTheme="minorEastAsia" w:eastAsiaTheme="minorEastAsia"/>
              </w:rPr>
              <w:t>-5,205</w:t>
            </w:r>
          </w:p>
        </w:tc>
        <w:tc>
          <w:tcPr>
            <w:tcW w:w="1494" w:type="pct"/>
            <w:vAlign w:val="center"/>
          </w:tcPr>
          <w:p>
            <w:pPr>
              <w:jc w:val="right"/>
              <w:rPr>
                <w:rFonts w:asciiTheme="minorEastAsia" w:hAnsiTheme="minorEastAsia" w:eastAsiaTheme="minorEastAsia"/>
              </w:rPr>
            </w:pPr>
            <w:r>
              <w:rPr>
                <w:rFonts w:cs="Arial Unicode MS" w:asciiTheme="minorEastAsia" w:hAnsiTheme="minorEastAsia" w:eastAsiaTheme="minorEastAsia"/>
              </w:rPr>
              <w:t>15,880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处置交易性金融资产取得的投资收益</w:t>
            </w:r>
          </w:p>
        </w:tc>
        <w:tc>
          <w:tcPr>
            <w:tcW w:w="1488" w:type="pct"/>
            <w:vAlign w:val="center"/>
          </w:tcPr>
          <w:p>
            <w:pPr>
              <w:jc w:val="right"/>
              <w:rPr>
                <w:rFonts w:asciiTheme="minorEastAsia" w:hAnsiTheme="minorEastAsia" w:eastAsiaTheme="minorEastAsia"/>
              </w:rPr>
            </w:pPr>
            <w:r>
              <w:rPr>
                <w:rFonts w:asciiTheme="minorEastAsia" w:hAnsiTheme="minorEastAsia" w:eastAsiaTheme="minorEastAsia"/>
              </w:rPr>
              <w:t>-24,152</w:t>
            </w:r>
          </w:p>
        </w:tc>
        <w:tc>
          <w:tcPr>
            <w:tcW w:w="1494" w:type="pct"/>
            <w:vAlign w:val="center"/>
          </w:tcPr>
          <w:p>
            <w:pPr>
              <w:jc w:val="right"/>
              <w:rPr>
                <w:rFonts w:asciiTheme="minorEastAsia" w:hAnsiTheme="minorEastAsia" w:eastAsiaTheme="minorEastAsia"/>
              </w:rPr>
            </w:pPr>
            <w:r>
              <w:rPr>
                <w:rFonts w:asciiTheme="minorEastAsia" w:hAnsiTheme="minorEastAsia" w:eastAsiaTheme="minorEastAsia"/>
              </w:rPr>
              <w:t>28,918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pStyle w:val="531"/>
              <w:rPr>
                <w:rFonts w:asciiTheme="minorEastAsia" w:hAnsiTheme="minorEastAsia" w:eastAsiaTheme="minorEastAsia"/>
                <w:szCs w:val="21"/>
              </w:rPr>
            </w:pPr>
            <w:r>
              <w:rPr>
                <w:rFonts w:hint="eastAsia" w:asciiTheme="minorEastAsia" w:hAnsiTheme="minorEastAsia" w:eastAsiaTheme="minorEastAsia"/>
                <w:szCs w:val="21"/>
              </w:rPr>
              <w:t>处置长期股权投资产生的投资收益</w:t>
            </w:r>
          </w:p>
        </w:tc>
        <w:tc>
          <w:tcPr>
            <w:tcW w:w="1488" w:type="pct"/>
            <w:vAlign w:val="center"/>
          </w:tcPr>
          <w:p>
            <w:pPr>
              <w:jc w:val="right"/>
              <w:rPr>
                <w:rFonts w:asciiTheme="minorEastAsia" w:hAnsiTheme="minorEastAsia" w:eastAsiaTheme="minorEastAsia"/>
              </w:rPr>
            </w:pPr>
          </w:p>
        </w:tc>
        <w:tc>
          <w:tcPr>
            <w:tcW w:w="1494" w:type="pct"/>
            <w:vAlign w:val="center"/>
          </w:tcPr>
          <w:p>
            <w:pPr>
              <w:jc w:val="right"/>
              <w:rPr>
                <w:rFonts w:asciiTheme="minorEastAsia" w:hAnsiTheme="minorEastAsia" w:eastAsiaTheme="minorEastAsia"/>
              </w:rPr>
            </w:pPr>
            <w:r>
              <w:rPr>
                <w:rFonts w:asciiTheme="minorEastAsia" w:hAnsiTheme="minorEastAsia" w:eastAsiaTheme="minorEastAsia"/>
              </w:rPr>
              <w:t>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tc>
          <w:tcPr>
            <w:tcW w:w="1488" w:type="pct"/>
          </w:tcPr>
          <w:p>
            <w:pPr>
              <w:jc w:val="right"/>
              <w:rPr>
                <w:rFonts w:asciiTheme="minorEastAsia" w:hAnsiTheme="minorEastAsia" w:eastAsiaTheme="minorEastAsia"/>
              </w:rPr>
            </w:pPr>
            <w:r>
              <w:rPr>
                <w:rFonts w:asciiTheme="minorEastAsia" w:hAnsiTheme="minorEastAsia" w:eastAsiaTheme="minorEastAsia"/>
              </w:rPr>
              <w:t>2,258,873</w:t>
            </w:r>
          </w:p>
        </w:tc>
        <w:tc>
          <w:tcPr>
            <w:tcW w:w="1494" w:type="pct"/>
          </w:tcPr>
          <w:p>
            <w:pPr>
              <w:jc w:val="right"/>
              <w:rPr>
                <w:rFonts w:asciiTheme="minorEastAsia" w:hAnsiTheme="minorEastAsia" w:eastAsiaTheme="minorEastAsia"/>
              </w:rPr>
            </w:pPr>
            <w:r>
              <w:rPr>
                <w:rFonts w:asciiTheme="minorEastAsia" w:hAnsiTheme="minorEastAsia" w:eastAsiaTheme="minorEastAsia"/>
              </w:rPr>
              <w:t>3,270,264</w:t>
            </w:r>
          </w:p>
        </w:tc>
      </w:tr>
      <w:bookmarkEnd w:id="332"/>
    </w:tbl>
    <w:p>
      <w:pPr>
        <w:autoSpaceDE w:val="0"/>
        <w:autoSpaceDN w:val="0"/>
        <w:adjustRightInd w:val="0"/>
      </w:pPr>
    </w:p>
    <w:bookmarkEnd w:id="331"/>
    <w:p>
      <w:pPr>
        <w:autoSpaceDE w:val="0"/>
        <w:autoSpaceDN w:val="0"/>
        <w:adjustRightInd w:val="0"/>
      </w:pPr>
    </w:p>
    <w:p>
      <w:pPr>
        <w:pStyle w:val="504"/>
        <w:numPr>
          <w:ilvl w:val="0"/>
          <w:numId w:val="69"/>
        </w:numPr>
        <w:tabs>
          <w:tab w:val="left" w:pos="504"/>
        </w:tabs>
        <w:rPr>
          <w:szCs w:val="21"/>
        </w:rPr>
      </w:pPr>
      <w:r>
        <w:rPr>
          <w:rFonts w:hint="eastAsia"/>
          <w:szCs w:val="21"/>
        </w:rPr>
        <w:t>净敞口套期收益</w:t>
      </w:r>
    </w:p>
    <w:sdt>
      <w:sdtPr>
        <w:alias w:val="是否适用：净敞口套期收益[双击切换]"/>
        <w:tag w:val="_GBC_0b9c0635e78547e1b23b27daf08672cd"/>
        <w:id w:val="1784613515"/>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ind w:left="420" w:firstLine="0" w:firstLineChars="0"/>
        <w:jc w:val="right"/>
      </w:pPr>
      <w:r>
        <w:rPr>
          <w:rFonts w:hint="eastAsia"/>
        </w:rPr>
        <w:t>单位：</w:t>
      </w:r>
      <w:sdt>
        <w:sdtPr>
          <w:rPr>
            <w:rFonts w:hint="eastAsia"/>
          </w:rPr>
          <w:alias w:val="单位：净敞口套期收益"/>
          <w:tag w:val="_GBC_b9a51042dd8f46db802c344cee8d2fac"/>
          <w:id w:val="-9925677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净敞口套期收益"/>
          <w:tag w:val="_GBC_053083c57ca64d679668aaa18021e1f4"/>
          <w:id w:val="1875046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0"/>
        <w:gridCol w:w="2688"/>
        <w:gridCol w:w="2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659ce6ef00043cdb5aed57c64e4d3fc"/>
            <w:id w:val="285003367"/>
          </w:sdtPr>
          <w:sdtContent>
            <w:tc>
              <w:tcPr>
                <w:tcW w:w="2017" w:type="pct"/>
                <w:shd w:val="clear" w:color="auto" w:fill="auto"/>
                <w:vAlign w:val="center"/>
              </w:tcPr>
              <w:p>
                <w:pPr>
                  <w:jc w:val="center"/>
                </w:pPr>
                <w:r>
                  <w:rPr>
                    <w:rFonts w:hint="eastAsia"/>
                  </w:rPr>
                  <w:t>项目</w:t>
                </w:r>
              </w:p>
            </w:tc>
          </w:sdtContent>
        </w:sdt>
        <w:sdt>
          <w:sdtPr>
            <w:tag w:val="_PLD_fb6e213a052848e3b3f01007a9d21c89"/>
            <w:id w:val="-1194379508"/>
          </w:sdtPr>
          <w:sdtContent>
            <w:tc>
              <w:tcPr>
                <w:tcW w:w="1485" w:type="pct"/>
                <w:shd w:val="clear" w:color="auto" w:fill="auto"/>
                <w:vAlign w:val="center"/>
              </w:tcPr>
              <w:p>
                <w:pPr>
                  <w:jc w:val="center"/>
                </w:pPr>
                <w:r>
                  <w:rPr>
                    <w:rFonts w:hint="eastAsia"/>
                  </w:rPr>
                  <w:t>本期发生额</w:t>
                </w:r>
              </w:p>
            </w:tc>
          </w:sdtContent>
        </w:sdt>
        <w:sdt>
          <w:sdtPr>
            <w:tag w:val="_PLD_2aa9339a872f4a1a94e17383d6eed31c"/>
            <w:id w:val="601607829"/>
          </w:sdtPr>
          <w:sdtContent>
            <w:tc>
              <w:tcPr>
                <w:tcW w:w="1498" w:type="pct"/>
                <w:shd w:val="clear" w:color="auto" w:fill="auto"/>
                <w:vAlign w:val="center"/>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tcPr>
          <w:p>
            <w:pPr>
              <w:rPr>
                <w:rFonts w:asciiTheme="majorEastAsia" w:hAnsiTheme="majorEastAsia" w:eastAsiaTheme="majorEastAsia"/>
              </w:rPr>
            </w:pPr>
            <w:r>
              <w:rPr>
                <w:rFonts w:hint="eastAsia" w:asciiTheme="majorEastAsia" w:hAnsiTheme="majorEastAsia" w:eastAsiaTheme="majorEastAsia"/>
              </w:rPr>
              <w:t>套期保值</w:t>
            </w:r>
          </w:p>
        </w:tc>
        <w:tc>
          <w:tcPr>
            <w:tcW w:w="1485" w:type="pct"/>
            <w:shd w:val="clear" w:color="auto" w:fill="auto"/>
          </w:tcPr>
          <w:p>
            <w:pPr>
              <w:jc w:val="right"/>
              <w:rPr>
                <w:rFonts w:asciiTheme="majorEastAsia" w:hAnsiTheme="majorEastAsia" w:eastAsiaTheme="majorEastAsia"/>
              </w:rPr>
            </w:pPr>
            <w:r>
              <w:rPr>
                <w:rFonts w:hint="eastAsia" w:asciiTheme="majorEastAsia" w:hAnsiTheme="majorEastAsia" w:eastAsiaTheme="majorEastAsia"/>
              </w:rPr>
              <w:t>28,412</w:t>
            </w:r>
          </w:p>
        </w:tc>
        <w:tc>
          <w:tcPr>
            <w:tcW w:w="1498" w:type="pct"/>
            <w:shd w:val="clear" w:color="auto" w:fill="auto"/>
          </w:tcPr>
          <w:p>
            <w:pPr>
              <w:jc w:val="right"/>
              <w:rPr>
                <w:rFonts w:asciiTheme="majorEastAsia" w:hAnsiTheme="majorEastAsia" w:eastAsiaTheme="majorEastAsia"/>
              </w:rPr>
            </w:pPr>
            <w:r>
              <w:rPr>
                <w:rFonts w:hint="eastAsia" w:asciiTheme="majorEastAsia" w:hAnsiTheme="majorEastAsia" w:eastAsiaTheme="majorEastAsia"/>
              </w:rPr>
              <w:t>-1,108,442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pPr>
              <w:jc w:val="center"/>
              <w:rPr>
                <w:rFonts w:asciiTheme="majorEastAsia" w:hAnsiTheme="majorEastAsia" w:eastAsiaTheme="majorEastAsia"/>
              </w:rPr>
            </w:pPr>
            <w:r>
              <w:rPr>
                <w:rFonts w:hint="eastAsia" w:asciiTheme="majorEastAsia" w:hAnsiTheme="majorEastAsia" w:eastAsiaTheme="majorEastAsia"/>
              </w:rPr>
              <w:t>合计</w:t>
            </w:r>
          </w:p>
        </w:tc>
        <w:tc>
          <w:tcPr>
            <w:tcW w:w="1485" w:type="pct"/>
            <w:vAlign w:val="center"/>
          </w:tcPr>
          <w:p>
            <w:pPr>
              <w:jc w:val="right"/>
              <w:rPr>
                <w:rFonts w:asciiTheme="majorEastAsia" w:hAnsiTheme="majorEastAsia" w:eastAsiaTheme="majorEastAsia"/>
              </w:rPr>
            </w:pPr>
            <w:r>
              <w:rPr>
                <w:rFonts w:asciiTheme="majorEastAsia" w:hAnsiTheme="majorEastAsia" w:eastAsiaTheme="majorEastAsia"/>
              </w:rPr>
              <w:t>28,412</w:t>
            </w:r>
          </w:p>
        </w:tc>
        <w:tc>
          <w:tcPr>
            <w:tcW w:w="1498" w:type="pct"/>
            <w:vAlign w:val="center"/>
          </w:tcPr>
          <w:p>
            <w:pPr>
              <w:jc w:val="right"/>
              <w:rPr>
                <w:rFonts w:asciiTheme="majorEastAsia" w:hAnsiTheme="majorEastAsia" w:eastAsiaTheme="majorEastAsia"/>
              </w:rPr>
            </w:pPr>
            <w:r>
              <w:rPr>
                <w:rFonts w:asciiTheme="majorEastAsia" w:hAnsiTheme="majorEastAsia" w:eastAsiaTheme="majorEastAsia"/>
              </w:rPr>
              <w:t>-1,108,442</w:t>
            </w:r>
          </w:p>
        </w:tc>
      </w:tr>
    </w:tbl>
    <w:p>
      <w:pPr>
        <w:autoSpaceDE w:val="0"/>
        <w:autoSpaceDN w:val="0"/>
        <w:adjustRightInd w:val="0"/>
      </w:pPr>
    </w:p>
    <w:p>
      <w:pPr>
        <w:autoSpaceDE w:val="0"/>
        <w:autoSpaceDN w:val="0"/>
        <w:adjustRightInd w:val="0"/>
      </w:pPr>
    </w:p>
    <w:p>
      <w:pPr>
        <w:pStyle w:val="504"/>
        <w:numPr>
          <w:ilvl w:val="0"/>
          <w:numId w:val="69"/>
        </w:numPr>
        <w:tabs>
          <w:tab w:val="left" w:pos="504"/>
        </w:tabs>
        <w:rPr>
          <w:rFonts w:ascii="宋体" w:hAnsi="宋体"/>
          <w:szCs w:val="21"/>
        </w:rPr>
      </w:pPr>
      <w:r>
        <w:rPr>
          <w:rFonts w:hint="eastAsia" w:ascii="宋体" w:hAnsi="宋体"/>
          <w:szCs w:val="21"/>
        </w:rPr>
        <w:t>公允价值变动收益</w:t>
      </w:r>
    </w:p>
    <w:sdt>
      <w:sdtPr>
        <w:alias w:val="是否适用：公允价值变动收益[双击切换]"/>
        <w:tag w:val="_GBC_703e46a239ba45afa37afdd4dcae0cb4"/>
        <w:id w:val="-1746484057"/>
        <w:placeholder>
          <w:docPart w:val="GBC22222222222222222222222222222"/>
        </w:placeholder>
      </w:sdtPr>
      <w:sdtContent>
        <w:p>
          <w:pPr>
            <w:pStyle w:val="531"/>
          </w:pPr>
          <w:bookmarkStart w:id="333" w:name="_Hlk534895224"/>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公允价值变动收益"/>
          <w:tag w:val="_GBC_c4e1118ffbdf4d6f90815a9b487cc79b"/>
          <w:id w:val="-13623493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公允价值变动收益"/>
          <w:tag w:val="_GBC_704565e01a4148fe85dcf135bb9be9b6"/>
          <w:id w:val="953004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2826"/>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6e9a92135b46440eb6d0daa39f0ec40f"/>
            <w:id w:val="-676649992"/>
          </w:sdtPr>
          <w:sdtEndPr>
            <w:rPr>
              <w:rFonts w:ascii="宋体" w:hAnsi="宋体"/>
            </w:rPr>
          </w:sdtEndPr>
          <w:sdtContent>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rPr>
                  <w:t>产生公允价值变动收益的来源</w:t>
                </w:r>
              </w:p>
            </w:tc>
          </w:sdtContent>
        </w:sdt>
        <w:sdt>
          <w:sdtPr>
            <w:rPr>
              <w:rFonts w:ascii="宋体" w:hAnsi="宋体"/>
            </w:rPr>
            <w:tag w:val="_PLD_7cd0c8223b6b499990a24553e928cba4"/>
            <w:id w:val="480354898"/>
          </w:sdtPr>
          <w:sdtEndPr>
            <w:rPr>
              <w:rFonts w:ascii="宋体" w:hAnsi="宋体"/>
            </w:rPr>
          </w:sdtEndPr>
          <w:sdtContent>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rPr>
                  <w:t>本期发生额</w:t>
                </w:r>
              </w:p>
            </w:tc>
          </w:sdtContent>
        </w:sdt>
        <w:sdt>
          <w:sdtPr>
            <w:rPr>
              <w:rFonts w:ascii="宋体" w:hAnsi="宋体"/>
            </w:rPr>
            <w:tag w:val="_PLD_1ebddc94af9345a99e7800415f9811c7"/>
            <w:id w:val="2112161575"/>
          </w:sdtPr>
          <w:sdtEndPr>
            <w:rPr>
              <w:rFonts w:ascii="宋体" w:hAnsi="宋体"/>
            </w:rPr>
          </w:sdtEndPr>
          <w:sdtContent>
            <w:tc>
              <w:tcPr>
                <w:tcW w:w="1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vAlign w:val="center"/>
          </w:tcPr>
          <w:p>
            <w:pPr>
              <w:rPr>
                <w:rFonts w:ascii="宋体" w:hAnsi="宋体"/>
              </w:rPr>
            </w:pPr>
            <w:r>
              <w:rPr>
                <w:rFonts w:hint="eastAsia" w:ascii="宋体" w:hAnsi="宋体"/>
              </w:rPr>
              <w:t>交易性金融资产</w:t>
            </w:r>
          </w:p>
        </w:tc>
        <w:tc>
          <w:tcPr>
            <w:tcW w:w="1561" w:type="pct"/>
            <w:vAlign w:val="center"/>
          </w:tcPr>
          <w:p>
            <w:pPr>
              <w:autoSpaceDE w:val="0"/>
              <w:autoSpaceDN w:val="0"/>
              <w:adjustRightInd w:val="0"/>
              <w:jc w:val="right"/>
              <w:rPr>
                <w:rFonts w:ascii="宋体" w:hAnsi="宋体"/>
              </w:rPr>
            </w:pPr>
            <w:r>
              <w:rPr>
                <w:rFonts w:ascii="宋体" w:hAnsi="宋体"/>
              </w:rPr>
              <w:t>9,923</w:t>
            </w:r>
          </w:p>
        </w:tc>
        <w:tc>
          <w:tcPr>
            <w:tcW w:w="1561" w:type="pct"/>
            <w:vAlign w:val="center"/>
          </w:tcPr>
          <w:p>
            <w:pPr>
              <w:autoSpaceDE w:val="0"/>
              <w:autoSpaceDN w:val="0"/>
              <w:adjustRightInd w:val="0"/>
              <w:jc w:val="right"/>
              <w:rPr>
                <w:rFonts w:ascii="宋体" w:hAnsi="宋体"/>
              </w:rPr>
            </w:pPr>
            <w:r>
              <w:rPr>
                <w:rFonts w:ascii="宋体" w:hAnsi="宋体"/>
              </w:rPr>
              <w:t>-14,059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vAlign w:val="center"/>
          </w:tcPr>
          <w:p>
            <w:pPr>
              <w:rPr>
                <w:rFonts w:ascii="宋体" w:hAnsi="宋体"/>
              </w:rPr>
            </w:pPr>
            <w:r>
              <w:rPr>
                <w:rFonts w:hint="eastAsia" w:ascii="宋体" w:hAnsi="宋体"/>
              </w:rPr>
              <w:t>其他非流动金融资产</w:t>
            </w:r>
          </w:p>
        </w:tc>
        <w:tc>
          <w:tcPr>
            <w:tcW w:w="1561" w:type="pct"/>
            <w:vAlign w:val="center"/>
          </w:tcPr>
          <w:p>
            <w:pPr>
              <w:autoSpaceDE w:val="0"/>
              <w:autoSpaceDN w:val="0"/>
              <w:adjustRightInd w:val="0"/>
              <w:jc w:val="right"/>
              <w:rPr>
                <w:rFonts w:ascii="宋体" w:hAnsi="宋体"/>
              </w:rPr>
            </w:pPr>
            <w:r>
              <w:rPr>
                <w:rFonts w:ascii="宋体" w:hAnsi="宋体"/>
              </w:rPr>
              <w:t>-38,954</w:t>
            </w:r>
          </w:p>
        </w:tc>
        <w:tc>
          <w:tcPr>
            <w:tcW w:w="1561" w:type="pct"/>
            <w:vAlign w:val="center"/>
          </w:tcPr>
          <w:p>
            <w:pPr>
              <w:autoSpaceDE w:val="0"/>
              <w:autoSpaceDN w:val="0"/>
              <w:adjustRightInd w:val="0"/>
              <w:jc w:val="right"/>
              <w:rPr>
                <w:rFonts w:ascii="宋体" w:hAnsi="宋体"/>
              </w:rPr>
            </w:pPr>
            <w:r>
              <w:rPr>
                <w:rFonts w:ascii="宋体" w:hAnsi="宋体"/>
              </w:rPr>
              <w:t>129,992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vAlign w:val="center"/>
          </w:tcPr>
          <w:p>
            <w:pPr>
              <w:rPr>
                <w:rFonts w:ascii="宋体" w:hAnsi="宋体"/>
              </w:rPr>
            </w:pPr>
            <w:r>
              <w:rPr>
                <w:rFonts w:hint="eastAsia" w:ascii="宋体" w:hAnsi="宋体"/>
              </w:rPr>
              <w:t>投资性房地产</w:t>
            </w:r>
          </w:p>
        </w:tc>
        <w:tc>
          <w:tcPr>
            <w:tcW w:w="1561" w:type="pct"/>
            <w:vAlign w:val="center"/>
          </w:tcPr>
          <w:p>
            <w:pPr>
              <w:autoSpaceDE w:val="0"/>
              <w:autoSpaceDN w:val="0"/>
              <w:adjustRightInd w:val="0"/>
              <w:jc w:val="right"/>
              <w:rPr>
                <w:rFonts w:ascii="宋体" w:hAnsi="宋体"/>
              </w:rPr>
            </w:pPr>
            <w:r>
              <w:rPr>
                <w:rFonts w:ascii="宋体" w:hAnsi="宋体"/>
              </w:rPr>
              <w:t>18,454</w:t>
            </w:r>
          </w:p>
        </w:tc>
        <w:tc>
          <w:tcPr>
            <w:tcW w:w="1561" w:type="pct"/>
            <w:vAlign w:val="center"/>
          </w:tcPr>
          <w:p>
            <w:pPr>
              <w:autoSpaceDE w:val="0"/>
              <w:autoSpaceDN w:val="0"/>
              <w:adjustRightInd w:val="0"/>
              <w:jc w:val="right"/>
              <w:rPr>
                <w:rFonts w:ascii="宋体" w:hAnsi="宋体"/>
              </w:rPr>
            </w:pPr>
            <w:r>
              <w:rPr>
                <w:rFonts w:ascii="宋体" w:hAnsi="宋体"/>
              </w:rPr>
              <w:t>46,980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vAlign w:val="center"/>
          </w:tcPr>
          <w:p>
            <w:pPr>
              <w:rPr>
                <w:rFonts w:ascii="宋体" w:hAnsi="宋体"/>
              </w:rPr>
            </w:pPr>
            <w:r>
              <w:rPr>
                <w:rFonts w:hint="eastAsia" w:ascii="宋体" w:hAnsi="宋体"/>
              </w:rPr>
              <w:t>交易性金融负债</w:t>
            </w:r>
          </w:p>
        </w:tc>
        <w:tc>
          <w:tcPr>
            <w:tcW w:w="1561" w:type="pct"/>
            <w:vAlign w:val="center"/>
          </w:tcPr>
          <w:p>
            <w:pPr>
              <w:jc w:val="right"/>
              <w:rPr>
                <w:rFonts w:ascii="宋体" w:hAnsi="宋体"/>
              </w:rPr>
            </w:pPr>
            <w:r>
              <w:rPr>
                <w:rFonts w:ascii="宋体" w:hAnsi="宋体"/>
              </w:rPr>
              <w:t>100,480</w:t>
            </w:r>
          </w:p>
        </w:tc>
        <w:tc>
          <w:tcPr>
            <w:tcW w:w="1561" w:type="pct"/>
            <w:vAlign w:val="center"/>
          </w:tcPr>
          <w:p>
            <w:pPr>
              <w:autoSpaceDE w:val="0"/>
              <w:autoSpaceDN w:val="0"/>
              <w:adjustRightInd w:val="0"/>
              <w:jc w:val="right"/>
              <w:rPr>
                <w:rFonts w:ascii="宋体" w:hAnsi="宋体"/>
              </w:rPr>
            </w:pPr>
            <w:r>
              <w:rPr>
                <w:rFonts w:ascii="宋体" w:hAnsi="宋体"/>
              </w:rPr>
              <w:t>-280,042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rPr>
              <w:t>合计</w:t>
            </w:r>
          </w:p>
        </w:tc>
        <w:tc>
          <w:tcPr>
            <w:tcW w:w="1561" w:type="pct"/>
            <w:vAlign w:val="center"/>
          </w:tcPr>
          <w:p>
            <w:pPr>
              <w:jc w:val="right"/>
              <w:rPr>
                <w:rFonts w:ascii="宋体" w:hAnsi="宋体"/>
              </w:rPr>
            </w:pPr>
            <w:r>
              <w:rPr>
                <w:rFonts w:ascii="宋体" w:hAnsi="宋体"/>
              </w:rPr>
              <w:t>89,903</w:t>
            </w:r>
          </w:p>
        </w:tc>
        <w:tc>
          <w:tcPr>
            <w:tcW w:w="1561" w:type="pct"/>
            <w:vAlign w:val="center"/>
          </w:tcPr>
          <w:p>
            <w:pPr>
              <w:autoSpaceDE w:val="0"/>
              <w:autoSpaceDN w:val="0"/>
              <w:adjustRightInd w:val="0"/>
              <w:jc w:val="right"/>
              <w:rPr>
                <w:rFonts w:ascii="宋体" w:hAnsi="宋体"/>
              </w:rPr>
            </w:pPr>
            <w:r>
              <w:rPr>
                <w:rFonts w:ascii="宋体" w:hAnsi="宋体"/>
              </w:rPr>
              <w:t>-117,129</w:t>
            </w:r>
          </w:p>
        </w:tc>
      </w:tr>
      <w:bookmarkEnd w:id="333"/>
    </w:tbl>
    <w:p>
      <w:pPr>
        <w:rPr>
          <w:rFonts w:cstheme="minorBidi"/>
        </w:rPr>
      </w:pPr>
    </w:p>
    <w:p>
      <w:pPr>
        <w:pStyle w:val="504"/>
        <w:numPr>
          <w:ilvl w:val="0"/>
          <w:numId w:val="69"/>
        </w:numPr>
        <w:tabs>
          <w:tab w:val="left" w:pos="360"/>
          <w:tab w:val="left" w:pos="504"/>
        </w:tabs>
        <w:ind w:left="0" w:firstLine="0"/>
      </w:pPr>
      <w:r>
        <w:rPr>
          <w:rFonts w:hint="eastAsia"/>
        </w:rPr>
        <w:t>信用减值损失</w:t>
      </w:r>
    </w:p>
    <w:sdt>
      <w:sdtPr>
        <w:alias w:val="是否适用：信用减值损失[双击切换]"/>
        <w:tag w:val="_GBC_3e1c9d9dad6c4530991d2befd4b098e3"/>
        <w:id w:val="-1595852706"/>
        <w:lock w:val="contentLocked"/>
        <w:placeholder>
          <w:docPart w:val="754F046E5E5F4C328669D31BFC0DFD43"/>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ind w:left="420" w:firstLine="0" w:firstLineChars="0"/>
        <w:jc w:val="right"/>
      </w:pPr>
      <w:r>
        <w:rPr>
          <w:rFonts w:hint="eastAsia"/>
        </w:rPr>
        <w:t>单位：</w:t>
      </w:r>
      <w:sdt>
        <w:sdtPr>
          <w:rPr>
            <w:rFonts w:hint="eastAsia"/>
          </w:rPr>
          <w:alias w:val="单位：信用减值损失"/>
          <w:tag w:val="_GBC_64c0f12c02d44b548838a6936d90e525"/>
          <w:id w:val="-848551932"/>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信用减值损失"/>
          <w:tag w:val="_GBC_4d6a964234bf4666a052d68fb8b9d060"/>
          <w:id w:val="-192133018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0"/>
        <w:gridCol w:w="2688"/>
        <w:gridCol w:w="2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2efbc222fba4f8b87e71fbd7550f57d"/>
            <w:id w:val="646703987"/>
          </w:sdtPr>
          <w:sdtContent>
            <w:tc>
              <w:tcPr>
                <w:tcW w:w="2017" w:type="pct"/>
                <w:shd w:val="clear" w:color="auto" w:fill="auto"/>
                <w:vAlign w:val="center"/>
              </w:tcPr>
              <w:p>
                <w:pPr>
                  <w:jc w:val="center"/>
                </w:pPr>
                <w:r>
                  <w:rPr>
                    <w:rFonts w:hint="eastAsia"/>
                  </w:rPr>
                  <w:t>项目</w:t>
                </w:r>
              </w:p>
            </w:tc>
          </w:sdtContent>
        </w:sdt>
        <w:sdt>
          <w:sdtPr>
            <w:tag w:val="_PLD_57fc93ac35684eca9207e23d2b2d6664"/>
            <w:id w:val="345440047"/>
          </w:sdtPr>
          <w:sdtContent>
            <w:tc>
              <w:tcPr>
                <w:tcW w:w="1485" w:type="pct"/>
                <w:shd w:val="clear" w:color="auto" w:fill="auto"/>
                <w:vAlign w:val="center"/>
              </w:tcPr>
              <w:p>
                <w:pPr>
                  <w:jc w:val="center"/>
                </w:pPr>
                <w:r>
                  <w:rPr>
                    <w:rFonts w:hint="eastAsia"/>
                  </w:rPr>
                  <w:t>本期发生额</w:t>
                </w:r>
              </w:p>
            </w:tc>
          </w:sdtContent>
        </w:sdt>
        <w:sdt>
          <w:sdtPr>
            <w:tag w:val="_PLD_ddb6bc4a58314fb2abbbb04ed4af2419"/>
            <w:id w:val="223795721"/>
          </w:sdtPr>
          <w:sdtContent>
            <w:tc>
              <w:tcPr>
                <w:tcW w:w="1498" w:type="pct"/>
                <w:shd w:val="clear" w:color="auto" w:fill="auto"/>
                <w:vAlign w:val="center"/>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pPr>
              <w:rPr>
                <w:rFonts w:ascii="宋体" w:hAnsi="宋体"/>
              </w:rPr>
            </w:pPr>
            <w:r>
              <w:rPr>
                <w:rFonts w:hint="eastAsia" w:ascii="宋体" w:hAnsi="宋体"/>
              </w:rPr>
              <w:t>其他应收款坏账损失</w:t>
            </w:r>
          </w:p>
        </w:tc>
        <w:tc>
          <w:tcPr>
            <w:tcW w:w="1485" w:type="pct"/>
            <w:vAlign w:val="center"/>
          </w:tcPr>
          <w:p>
            <w:pPr>
              <w:jc w:val="right"/>
              <w:rPr>
                <w:rFonts w:ascii="宋体" w:hAnsi="宋体"/>
              </w:rPr>
            </w:pPr>
            <w:r>
              <w:rPr>
                <w:rFonts w:ascii="宋体" w:hAnsi="宋体"/>
              </w:rPr>
              <w:t>141,139</w:t>
            </w:r>
          </w:p>
        </w:tc>
        <w:tc>
          <w:tcPr>
            <w:tcW w:w="1498" w:type="pct"/>
            <w:vAlign w:val="center"/>
          </w:tcPr>
          <w:p>
            <w:pPr>
              <w:jc w:val="right"/>
              <w:rPr>
                <w:rFonts w:ascii="宋体" w:hAnsi="宋体"/>
              </w:rPr>
            </w:pPr>
            <w:r>
              <w:rPr>
                <w:rFonts w:ascii="宋体" w:hAnsi="宋体"/>
              </w:rPr>
              <w:t>-81,161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pPr>
              <w:rPr>
                <w:rFonts w:ascii="宋体" w:hAnsi="宋体"/>
              </w:rPr>
            </w:pPr>
            <w:r>
              <w:rPr>
                <w:rFonts w:hint="eastAsia" w:ascii="宋体" w:hAnsi="宋体"/>
              </w:rPr>
              <w:t>一年内到期的非流动资产减值损失</w:t>
            </w:r>
          </w:p>
        </w:tc>
        <w:tc>
          <w:tcPr>
            <w:tcW w:w="1485" w:type="pct"/>
            <w:vAlign w:val="center"/>
          </w:tcPr>
          <w:p>
            <w:pPr>
              <w:jc w:val="right"/>
              <w:rPr>
                <w:rFonts w:ascii="宋体" w:hAnsi="宋体"/>
              </w:rPr>
            </w:pPr>
            <w:r>
              <w:rPr>
                <w:rFonts w:ascii="宋体" w:hAnsi="宋体"/>
              </w:rPr>
              <w:t>85,515</w:t>
            </w:r>
          </w:p>
        </w:tc>
        <w:tc>
          <w:tcPr>
            <w:tcW w:w="1498" w:type="pct"/>
            <w:vAlign w:val="center"/>
          </w:tcPr>
          <w:p>
            <w:pPr>
              <w:jc w:val="right"/>
              <w:rPr>
                <w:rFonts w:ascii="宋体" w:hAnsi="宋体"/>
              </w:rPr>
            </w:pPr>
            <w:r>
              <w:rPr>
                <w:rFonts w:hint="eastAsia" w:ascii="宋体" w:hAnsi="宋体"/>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pPr>
              <w:rPr>
                <w:rFonts w:ascii="宋体" w:hAnsi="宋体"/>
              </w:rPr>
            </w:pPr>
            <w:r>
              <w:rPr>
                <w:rFonts w:ascii="宋体" w:hAnsi="宋体"/>
              </w:rPr>
              <w:t>应收账款坏账损失</w:t>
            </w:r>
          </w:p>
        </w:tc>
        <w:tc>
          <w:tcPr>
            <w:tcW w:w="1485" w:type="pct"/>
            <w:vAlign w:val="center"/>
          </w:tcPr>
          <w:p>
            <w:pPr>
              <w:jc w:val="right"/>
              <w:rPr>
                <w:rFonts w:ascii="宋体" w:hAnsi="宋体"/>
              </w:rPr>
            </w:pPr>
            <w:r>
              <w:rPr>
                <w:rFonts w:ascii="宋体" w:hAnsi="宋体"/>
              </w:rPr>
              <w:t>58,309</w:t>
            </w:r>
          </w:p>
        </w:tc>
        <w:tc>
          <w:tcPr>
            <w:tcW w:w="1498" w:type="pct"/>
            <w:vAlign w:val="center"/>
          </w:tcPr>
          <w:p>
            <w:pPr>
              <w:jc w:val="right"/>
              <w:rPr>
                <w:rFonts w:ascii="宋体" w:hAnsi="宋体"/>
              </w:rPr>
            </w:pPr>
            <w:r>
              <w:rPr>
                <w:rFonts w:ascii="宋体" w:hAnsi="宋体"/>
              </w:rPr>
              <w:t>-9,569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pPr>
              <w:rPr>
                <w:rFonts w:ascii="宋体" w:hAnsi="宋体"/>
              </w:rPr>
            </w:pPr>
            <w:r>
              <w:rPr>
                <w:rFonts w:hint="eastAsia" w:ascii="宋体" w:hAnsi="宋体"/>
              </w:rPr>
              <w:t>应收票据和应收</w:t>
            </w:r>
            <w:r>
              <w:rPr>
                <w:rFonts w:ascii="宋体" w:hAnsi="宋体"/>
              </w:rPr>
              <w:t>款项融资坏账损失</w:t>
            </w:r>
          </w:p>
        </w:tc>
        <w:tc>
          <w:tcPr>
            <w:tcW w:w="1485" w:type="pct"/>
            <w:vAlign w:val="center"/>
          </w:tcPr>
          <w:p>
            <w:pPr>
              <w:jc w:val="right"/>
              <w:rPr>
                <w:rFonts w:ascii="宋体" w:hAnsi="宋体"/>
              </w:rPr>
            </w:pPr>
            <w:r>
              <w:rPr>
                <w:rFonts w:ascii="宋体" w:hAnsi="宋体"/>
              </w:rPr>
              <w:t>527</w:t>
            </w:r>
          </w:p>
        </w:tc>
        <w:tc>
          <w:tcPr>
            <w:tcW w:w="1498" w:type="pct"/>
            <w:vAlign w:val="center"/>
          </w:tcPr>
          <w:p>
            <w:pPr>
              <w:jc w:val="right"/>
              <w:rPr>
                <w:rFonts w:ascii="宋体" w:hAnsi="宋体"/>
              </w:rPr>
            </w:pPr>
            <w:r>
              <w:rPr>
                <w:rFonts w:ascii="宋体" w:hAnsi="宋体"/>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pPr>
              <w:rPr>
                <w:rFonts w:ascii="宋体" w:hAnsi="宋体"/>
              </w:rPr>
            </w:pPr>
            <w:r>
              <w:rPr>
                <w:rFonts w:hint="eastAsia" w:ascii="宋体" w:hAnsi="宋体"/>
              </w:rPr>
              <w:t>长期应收款坏账损失</w:t>
            </w:r>
          </w:p>
        </w:tc>
        <w:tc>
          <w:tcPr>
            <w:tcW w:w="1485" w:type="pct"/>
            <w:vAlign w:val="center"/>
          </w:tcPr>
          <w:p>
            <w:pPr>
              <w:jc w:val="right"/>
              <w:rPr>
                <w:rFonts w:ascii="宋体" w:hAnsi="宋体"/>
              </w:rPr>
            </w:pPr>
            <w:r>
              <w:rPr>
                <w:rFonts w:ascii="宋体" w:hAnsi="宋体"/>
              </w:rPr>
              <w:t>-12,486</w:t>
            </w:r>
          </w:p>
        </w:tc>
        <w:tc>
          <w:tcPr>
            <w:tcW w:w="1498" w:type="pct"/>
            <w:vAlign w:val="center"/>
          </w:tcPr>
          <w:p>
            <w:pPr>
              <w:jc w:val="right"/>
              <w:rPr>
                <w:rFonts w:ascii="宋体" w:hAnsi="宋体"/>
              </w:rPr>
            </w:pPr>
            <w:r>
              <w:rPr>
                <w:rFonts w:ascii="宋体" w:hAnsi="宋体"/>
              </w:rPr>
              <w:t>-19,140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pPr>
              <w:rPr>
                <w:rFonts w:ascii="宋体" w:hAnsi="宋体"/>
              </w:rPr>
            </w:pPr>
            <w:r>
              <w:rPr>
                <w:rFonts w:hint="eastAsia" w:ascii="宋体" w:hAnsi="宋体"/>
              </w:rPr>
              <w:t>其他非流动资产减值损失</w:t>
            </w:r>
          </w:p>
        </w:tc>
        <w:tc>
          <w:tcPr>
            <w:tcW w:w="1485" w:type="pct"/>
            <w:vAlign w:val="center"/>
          </w:tcPr>
          <w:p>
            <w:pPr>
              <w:jc w:val="right"/>
              <w:rPr>
                <w:rFonts w:ascii="宋体" w:hAnsi="宋体"/>
              </w:rPr>
            </w:pPr>
            <w:r>
              <w:rPr>
                <w:rFonts w:ascii="宋体" w:hAnsi="宋体"/>
              </w:rPr>
              <w:t>-39,000</w:t>
            </w:r>
          </w:p>
        </w:tc>
        <w:tc>
          <w:tcPr>
            <w:tcW w:w="1498" w:type="pct"/>
            <w:vAlign w:val="center"/>
          </w:tcPr>
          <w:p>
            <w:pPr>
              <w:jc w:val="right"/>
              <w:rPr>
                <w:rFonts w:ascii="宋体" w:hAnsi="宋体"/>
              </w:rPr>
            </w:pPr>
            <w:r>
              <w:rPr>
                <w:rFonts w:ascii="宋体" w:hAnsi="宋体"/>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pPr>
              <w:rPr>
                <w:rFonts w:ascii="宋体" w:hAnsi="宋体"/>
              </w:rPr>
            </w:pPr>
            <w:r>
              <w:rPr>
                <w:rFonts w:hint="eastAsia" w:ascii="宋体" w:hAnsi="宋体"/>
              </w:rPr>
              <w:t>其他流动资产减值损失</w:t>
            </w:r>
          </w:p>
        </w:tc>
        <w:tc>
          <w:tcPr>
            <w:tcW w:w="1485" w:type="pct"/>
            <w:vAlign w:val="center"/>
          </w:tcPr>
          <w:p>
            <w:pPr>
              <w:jc w:val="right"/>
              <w:rPr>
                <w:rFonts w:ascii="宋体" w:hAnsi="宋体"/>
              </w:rPr>
            </w:pPr>
            <w:r>
              <w:rPr>
                <w:rFonts w:ascii="宋体" w:hAnsi="宋体"/>
              </w:rPr>
              <w:t>-106,995</w:t>
            </w:r>
          </w:p>
        </w:tc>
        <w:tc>
          <w:tcPr>
            <w:tcW w:w="1498" w:type="pct"/>
            <w:vAlign w:val="center"/>
          </w:tcPr>
          <w:p>
            <w:pPr>
              <w:jc w:val="right"/>
              <w:rPr>
                <w:rFonts w:ascii="宋体" w:hAnsi="宋体"/>
              </w:rPr>
            </w:pPr>
            <w:r>
              <w:rPr>
                <w:rFonts w:ascii="宋体" w:hAnsi="宋体"/>
              </w:rPr>
              <w:t>-90,786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tcPr>
          <w:p>
            <w:pPr>
              <w:rPr>
                <w:rFonts w:ascii="宋体" w:hAnsi="宋体"/>
              </w:rPr>
            </w:pPr>
            <w:r>
              <w:rPr>
                <w:rFonts w:hint="eastAsia" w:ascii="宋体" w:hAnsi="宋体"/>
              </w:rPr>
              <w:t>其他</w:t>
            </w:r>
          </w:p>
        </w:tc>
        <w:tc>
          <w:tcPr>
            <w:tcW w:w="1485" w:type="pct"/>
            <w:vAlign w:val="center"/>
          </w:tcPr>
          <w:p>
            <w:pPr>
              <w:jc w:val="right"/>
              <w:rPr>
                <w:rFonts w:ascii="宋体" w:hAnsi="宋体"/>
              </w:rPr>
            </w:pPr>
            <w:r>
              <w:rPr>
                <w:rFonts w:hint="eastAsia" w:ascii="宋体" w:hAnsi="宋体"/>
              </w:rPr>
              <w:t>-5,</w:t>
            </w:r>
            <w:r>
              <w:rPr>
                <w:rFonts w:ascii="宋体" w:hAnsi="宋体"/>
              </w:rPr>
              <w:t>8</w:t>
            </w:r>
            <w:r>
              <w:rPr>
                <w:rFonts w:hint="eastAsia" w:ascii="宋体" w:hAnsi="宋体"/>
              </w:rPr>
              <w:t>4</w:t>
            </w:r>
            <w:r>
              <w:rPr>
                <w:rFonts w:ascii="宋体" w:hAnsi="宋体"/>
              </w:rPr>
              <w:t>7</w:t>
            </w:r>
          </w:p>
        </w:tc>
        <w:tc>
          <w:tcPr>
            <w:tcW w:w="1498" w:type="pct"/>
            <w:vAlign w:val="center"/>
          </w:tcPr>
          <w:p>
            <w:pPr>
              <w:jc w:val="right"/>
              <w:rPr>
                <w:rFonts w:ascii="宋体" w:hAnsi="宋体"/>
              </w:rPr>
            </w:pPr>
            <w:r>
              <w:rPr>
                <w:rFonts w:hint="eastAsia" w:ascii="宋体" w:hAnsi="宋体"/>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shd w:val="clear" w:color="auto" w:fill="auto"/>
            <w:vAlign w:val="center"/>
          </w:tcPr>
          <w:p>
            <w:pPr>
              <w:jc w:val="center"/>
              <w:rPr>
                <w:rFonts w:ascii="宋体" w:hAnsi="宋体"/>
              </w:rPr>
            </w:pPr>
            <w:r>
              <w:rPr>
                <w:rFonts w:hint="eastAsia" w:ascii="宋体" w:hAnsi="宋体"/>
              </w:rPr>
              <w:t>合计</w:t>
            </w:r>
          </w:p>
        </w:tc>
        <w:tc>
          <w:tcPr>
            <w:tcW w:w="1485" w:type="pct"/>
            <w:vAlign w:val="center"/>
          </w:tcPr>
          <w:p>
            <w:pPr>
              <w:jc w:val="right"/>
              <w:rPr>
                <w:rFonts w:ascii="宋体" w:hAnsi="宋体"/>
                <w:bCs/>
              </w:rPr>
            </w:pPr>
            <w:r>
              <w:rPr>
                <w:rFonts w:ascii="宋体" w:hAnsi="宋体"/>
                <w:bCs/>
              </w:rPr>
              <w:t>121,162</w:t>
            </w:r>
          </w:p>
        </w:tc>
        <w:tc>
          <w:tcPr>
            <w:tcW w:w="1498" w:type="pct"/>
            <w:vAlign w:val="center"/>
          </w:tcPr>
          <w:p>
            <w:pPr>
              <w:jc w:val="right"/>
              <w:rPr>
                <w:rFonts w:ascii="宋体" w:hAnsi="宋体"/>
                <w:bCs/>
              </w:rPr>
            </w:pPr>
            <w:r>
              <w:rPr>
                <w:rFonts w:ascii="宋体" w:hAnsi="宋体"/>
                <w:bCs/>
              </w:rPr>
              <w:t>-201,301</w:t>
            </w:r>
          </w:p>
        </w:tc>
      </w:tr>
    </w:tbl>
    <w:p>
      <w:pPr>
        <w:pStyle w:val="531"/>
      </w:pPr>
    </w:p>
    <w:p>
      <w:pPr>
        <w:rPr>
          <w:rFonts w:cstheme="minorBidi"/>
        </w:rPr>
      </w:pPr>
    </w:p>
    <w:p>
      <w:pPr>
        <w:pStyle w:val="504"/>
        <w:numPr>
          <w:ilvl w:val="0"/>
          <w:numId w:val="69"/>
        </w:numPr>
        <w:tabs>
          <w:tab w:val="left" w:pos="360"/>
          <w:tab w:val="left" w:pos="504"/>
        </w:tabs>
        <w:ind w:left="0" w:firstLine="0"/>
        <w:rPr>
          <w:rFonts w:ascii="宋体" w:hAnsi="宋体"/>
          <w:szCs w:val="21"/>
        </w:rPr>
      </w:pPr>
      <w:r>
        <w:rPr>
          <w:rFonts w:hint="eastAsia" w:ascii="宋体" w:hAnsi="宋体"/>
          <w:bCs w:val="0"/>
          <w:szCs w:val="21"/>
        </w:rPr>
        <w:t>资</w:t>
      </w:r>
      <w:r>
        <w:rPr>
          <w:rFonts w:hint="eastAsia" w:ascii="宋体" w:hAnsi="宋体"/>
          <w:szCs w:val="21"/>
        </w:rPr>
        <w:t>产减值损失</w:t>
      </w:r>
    </w:p>
    <w:sdt>
      <w:sdtPr>
        <w:alias w:val="是否适用：资产减值损失[双击切换]"/>
        <w:tag w:val="_GBC_8b37643fea7c43289fdaf85f79b2bcae"/>
        <w:id w:val="-202481714"/>
        <w:placeholder>
          <w:docPart w:val="3ECFA30D6BBB48D485DE75A6DA261FEB"/>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资产减值损失"/>
          <w:tag w:val="_GBC_fe85f36c54dd476ea970b9d8ae08135d"/>
          <w:id w:val="-1495417793"/>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资产减值损失"/>
          <w:tag w:val="_GBC_08596d3dbba143a8b694044119494ec6"/>
          <w:id w:val="44727813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8"/>
        <w:gridCol w:w="2574"/>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44de032f71b4e06985c561df3bcf55a"/>
            <w:id w:val="-1425951105"/>
          </w:sdtPr>
          <w:sdtContent>
            <w:tc>
              <w:tcPr>
                <w:tcW w:w="187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项目</w:t>
                </w:r>
              </w:p>
            </w:tc>
          </w:sdtContent>
        </w:sdt>
        <w:sdt>
          <w:sdtPr>
            <w:tag w:val="_PLD_9551307ec5c049a3aa84c3c7d3e61d92"/>
            <w:id w:val="-2136241708"/>
          </w:sdtPr>
          <w:sdtContent>
            <w:tc>
              <w:tcPr>
                <w:tcW w:w="14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本期发生额</w:t>
                </w:r>
              </w:p>
            </w:tc>
          </w:sdtContent>
        </w:sdt>
        <w:sdt>
          <w:sdtPr>
            <w:tag w:val="_PLD_46a2a62cd1b1406f877f135b9d7e38a6"/>
            <w:id w:val="-92627914"/>
          </w:sdtPr>
          <w:sdtContent>
            <w:tc>
              <w:tcPr>
                <w:tcW w:w="17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ajorEastAsia" w:hAnsiTheme="majorEastAsia" w:eastAsiaTheme="majorEastAsia"/>
              </w:rPr>
            </w:pPr>
            <w:r>
              <w:rPr>
                <w:rFonts w:hint="eastAsia" w:asciiTheme="majorEastAsia" w:hAnsiTheme="majorEastAsia" w:eastAsiaTheme="majorEastAsia"/>
              </w:rPr>
              <w:t>存货跌价损失</w:t>
            </w:r>
          </w:p>
        </w:tc>
        <w:tc>
          <w:tcPr>
            <w:tcW w:w="1422"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r>
              <w:rPr>
                <w:rFonts w:hint="eastAsia" w:asciiTheme="majorEastAsia" w:hAnsiTheme="majorEastAsia" w:eastAsiaTheme="majorEastAsia"/>
              </w:rPr>
              <w:t>-35,092</w:t>
            </w:r>
          </w:p>
        </w:tc>
        <w:tc>
          <w:tcPr>
            <w:tcW w:w="1700"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r>
              <w:rPr>
                <w:rFonts w:hint="eastAsia" w:asciiTheme="majorEastAsia" w:hAnsiTheme="majorEastAsia" w:eastAsiaTheme="majorEastAsia"/>
              </w:rPr>
              <w:t>-263,495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ajorEastAsia" w:hAnsiTheme="majorEastAsia" w:eastAsiaTheme="majorEastAsia"/>
              </w:rPr>
            </w:pPr>
            <w:r>
              <w:rPr>
                <w:rFonts w:hint="eastAsia" w:asciiTheme="majorEastAsia" w:hAnsiTheme="majorEastAsia" w:eastAsiaTheme="majorEastAsia"/>
              </w:rPr>
              <w:t>无形资产减值损失</w:t>
            </w:r>
          </w:p>
        </w:tc>
        <w:tc>
          <w:tcPr>
            <w:tcW w:w="1422"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p>
        </w:tc>
        <w:tc>
          <w:tcPr>
            <w:tcW w:w="1700"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r>
              <w:rPr>
                <w:rFonts w:hint="eastAsia" w:asciiTheme="majorEastAsia" w:hAnsiTheme="majorEastAsia" w:eastAsiaTheme="majorEastAsia"/>
              </w:rPr>
              <w:t>-815,965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ajorEastAsia" w:hAnsiTheme="majorEastAsia" w:eastAsiaTheme="majorEastAsia"/>
              </w:rPr>
            </w:pPr>
            <w:r>
              <w:rPr>
                <w:rFonts w:hint="eastAsia" w:asciiTheme="majorEastAsia" w:hAnsiTheme="majorEastAsia" w:eastAsiaTheme="majorEastAsia"/>
              </w:rPr>
              <w:t>固定资产减值损失</w:t>
            </w:r>
          </w:p>
        </w:tc>
        <w:tc>
          <w:tcPr>
            <w:tcW w:w="1422"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ajorEastAsia" w:hAnsiTheme="majorEastAsia" w:eastAsiaTheme="majorEastAsia"/>
              </w:rPr>
            </w:pPr>
          </w:p>
        </w:tc>
        <w:tc>
          <w:tcPr>
            <w:tcW w:w="170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ajorEastAsia" w:hAnsiTheme="majorEastAsia" w:eastAsiaTheme="majorEastAsia"/>
              </w:rPr>
            </w:pPr>
            <w:r>
              <w:rPr>
                <w:rFonts w:hint="eastAsia" w:asciiTheme="majorEastAsia" w:hAnsiTheme="majorEastAsia" w:eastAsiaTheme="majorEastAsia"/>
              </w:rPr>
              <w:t>-777,952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ajorEastAsia" w:hAnsiTheme="majorEastAsia" w:eastAsiaTheme="majorEastAsia"/>
              </w:rPr>
            </w:pPr>
            <w:r>
              <w:rPr>
                <w:rFonts w:hint="eastAsia" w:asciiTheme="majorEastAsia" w:hAnsiTheme="majorEastAsia" w:eastAsiaTheme="majorEastAsia"/>
              </w:rPr>
              <w:t>在建工程减值损失</w:t>
            </w:r>
          </w:p>
        </w:tc>
        <w:tc>
          <w:tcPr>
            <w:tcW w:w="1422"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p>
        </w:tc>
        <w:tc>
          <w:tcPr>
            <w:tcW w:w="1700"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r>
              <w:rPr>
                <w:rFonts w:hint="eastAsia" w:asciiTheme="majorEastAsia" w:hAnsiTheme="majorEastAsia" w:eastAsiaTheme="majorEastAsia"/>
              </w:rPr>
              <w:t>-434,225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ajorEastAsia" w:hAnsiTheme="majorEastAsia" w:eastAsiaTheme="majorEastAsia"/>
              </w:rPr>
            </w:pPr>
            <w:r>
              <w:rPr>
                <w:rFonts w:hint="eastAsia" w:asciiTheme="majorEastAsia" w:hAnsiTheme="majorEastAsia" w:eastAsiaTheme="majorEastAsia"/>
              </w:rPr>
              <w:t>使用权资产减值损失</w:t>
            </w:r>
          </w:p>
        </w:tc>
        <w:tc>
          <w:tcPr>
            <w:tcW w:w="1422"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p>
        </w:tc>
        <w:tc>
          <w:tcPr>
            <w:tcW w:w="1700"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r>
              <w:rPr>
                <w:rFonts w:hint="eastAsia" w:asciiTheme="majorEastAsia" w:hAnsiTheme="majorEastAsia" w:eastAsiaTheme="majorEastAsia"/>
              </w:rPr>
              <w:t>-125,996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ajorEastAsia" w:hAnsiTheme="majorEastAsia" w:eastAsiaTheme="majorEastAsia"/>
              </w:rPr>
            </w:pPr>
            <w:r>
              <w:rPr>
                <w:rFonts w:hint="eastAsia" w:asciiTheme="majorEastAsia" w:hAnsiTheme="majorEastAsia" w:eastAsiaTheme="majorEastAsia"/>
              </w:rPr>
              <w:t>其他非流动资产减值损失</w:t>
            </w:r>
          </w:p>
        </w:tc>
        <w:tc>
          <w:tcPr>
            <w:tcW w:w="1422"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p>
        </w:tc>
        <w:tc>
          <w:tcPr>
            <w:tcW w:w="1700"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r>
              <w:rPr>
                <w:rFonts w:hint="eastAsia" w:asciiTheme="majorEastAsia" w:hAnsiTheme="majorEastAsia" w:eastAsiaTheme="majorEastAsia"/>
              </w:rPr>
              <w:t>-41,870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ajorEastAsia" w:hAnsiTheme="majorEastAsia" w:eastAsiaTheme="majorEastAsia"/>
              </w:rPr>
            </w:pPr>
            <w:r>
              <w:rPr>
                <w:rFonts w:hint="eastAsia" w:asciiTheme="majorEastAsia" w:hAnsiTheme="majorEastAsia" w:eastAsiaTheme="majorEastAsia"/>
              </w:rPr>
              <w:t>商誉减值损失</w:t>
            </w:r>
          </w:p>
        </w:tc>
        <w:tc>
          <w:tcPr>
            <w:tcW w:w="1422"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p>
        </w:tc>
        <w:tc>
          <w:tcPr>
            <w:tcW w:w="1700"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r>
              <w:rPr>
                <w:rFonts w:hint="eastAsia" w:asciiTheme="majorEastAsia" w:hAnsiTheme="majorEastAsia" w:eastAsiaTheme="majorEastAsia"/>
              </w:rPr>
              <w:t>-31,543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asciiTheme="majorEastAsia" w:hAnsiTheme="majorEastAsia" w:eastAsiaTheme="majorEastAsia"/>
              </w:rPr>
            </w:pPr>
            <w:r>
              <w:rPr>
                <w:rFonts w:hint="eastAsia" w:asciiTheme="majorEastAsia" w:hAnsiTheme="majorEastAsia" w:eastAsiaTheme="majorEastAsia"/>
              </w:rPr>
              <w:t>合计</w:t>
            </w:r>
          </w:p>
        </w:tc>
        <w:tc>
          <w:tcPr>
            <w:tcW w:w="1422"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r>
              <w:rPr>
                <w:rFonts w:asciiTheme="majorEastAsia" w:hAnsiTheme="majorEastAsia" w:eastAsiaTheme="majorEastAsia"/>
              </w:rPr>
              <w:t>-35,092</w:t>
            </w:r>
          </w:p>
        </w:tc>
        <w:tc>
          <w:tcPr>
            <w:tcW w:w="1700" w:type="pct"/>
            <w:tcBorders>
              <w:top w:val="single" w:color="auto" w:sz="4" w:space="0"/>
              <w:left w:val="single" w:color="auto" w:sz="4" w:space="0"/>
              <w:bottom w:val="single" w:color="auto" w:sz="4" w:space="0"/>
              <w:right w:val="single" w:color="auto" w:sz="4" w:space="0"/>
            </w:tcBorders>
          </w:tcPr>
          <w:p>
            <w:pPr>
              <w:jc w:val="right"/>
              <w:rPr>
                <w:rFonts w:asciiTheme="majorEastAsia" w:hAnsiTheme="majorEastAsia" w:eastAsiaTheme="majorEastAsia"/>
              </w:rPr>
            </w:pPr>
            <w:r>
              <w:rPr>
                <w:rFonts w:asciiTheme="majorEastAsia" w:hAnsiTheme="majorEastAsia" w:eastAsiaTheme="majorEastAsia"/>
              </w:rPr>
              <w:t>-2,491,046</w:t>
            </w:r>
          </w:p>
        </w:tc>
      </w:tr>
    </w:tbl>
    <w:p>
      <w:pPr>
        <w:rPr>
          <w:rFonts w:asciiTheme="minorHAnsi" w:hAnsiTheme="minorHAnsi" w:eastAsiaTheme="minorEastAsia"/>
          <w:szCs w:val="22"/>
        </w:rPr>
      </w:pPr>
    </w:p>
    <w:p>
      <w:pPr>
        <w:pStyle w:val="504"/>
        <w:numPr>
          <w:ilvl w:val="0"/>
          <w:numId w:val="69"/>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64211803"/>
        <w:lock w:val="contentLocked"/>
        <w:placeholder>
          <w:docPart w:val="GBC22222222222222222222222222222"/>
        </w:placeholder>
      </w:sdtPr>
      <w:sdtEndPr>
        <w:rPr>
          <w:bCs/>
        </w:rPr>
      </w:sdtEndPr>
      <w:sdtContent>
        <w:p>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pStyle w:val="543"/>
        <w:ind w:left="420" w:firstLine="0" w:firstLineChars="0"/>
        <w:jc w:val="right"/>
        <w:rPr>
          <w:bCs/>
        </w:rPr>
      </w:pPr>
      <w:r>
        <w:rPr>
          <w:bCs/>
        </w:rPr>
        <w:t>单位：</w:t>
      </w:r>
      <w:sdt>
        <w:sdtPr>
          <w:rPr>
            <w:bCs/>
          </w:rPr>
          <w:alias w:val="单位：资产处置收益明细"/>
          <w:tag w:val="_GBC_7ec9558ba3654efb8bffe62787e178bb"/>
          <w:id w:val="2127752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rFonts w:hint="eastAsia"/>
              <w:bCs/>
            </w:rPr>
            <w:t>千元</w:t>
          </w:r>
        </w:sdtContent>
      </w:sdt>
      <w:r>
        <w:rPr>
          <w:bCs/>
        </w:rPr>
        <w:t xml:space="preserve">  币种：</w:t>
      </w:r>
      <w:sdt>
        <w:sdtPr>
          <w:rPr>
            <w:bCs/>
          </w:rPr>
          <w:alias w:val="币种：资产处置收益明细"/>
          <w:tag w:val="_GBC_6a67bd424d2842be9fe48ecebd5d6f35"/>
          <w:id w:val="-11505170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bCs/>
            </w:rPr>
            <w:t>人民币</w:t>
          </w:r>
        </w:sdtContent>
      </w:sdt>
    </w:p>
    <w:tbl>
      <w:tblPr>
        <w:tblStyle w:val="9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7"/>
        <w:gridCol w:w="1984"/>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aa248f59d784f95a8d1e935bd71e05e"/>
            <w:id w:val="-1668315345"/>
          </w:sdtPr>
          <w:sdtContent>
            <w:tc>
              <w:tcPr>
                <w:tcW w:w="4957" w:type="dxa"/>
                <w:shd w:val="clear" w:color="auto" w:fill="auto"/>
              </w:tcPr>
              <w:p>
                <w:pPr>
                  <w:jc w:val="center"/>
                </w:pPr>
                <w:r>
                  <w:rPr>
                    <w:rFonts w:hint="eastAsia"/>
                  </w:rPr>
                  <w:t>项目</w:t>
                </w:r>
              </w:p>
            </w:tc>
          </w:sdtContent>
        </w:sdt>
        <w:sdt>
          <w:sdtPr>
            <w:tag w:val="_PLD_130aaf0b75144f7d943c5d780cfc1b6b"/>
            <w:id w:val="-2060322244"/>
          </w:sdtPr>
          <w:sdtContent>
            <w:tc>
              <w:tcPr>
                <w:tcW w:w="1984" w:type="dxa"/>
                <w:shd w:val="clear" w:color="auto" w:fill="auto"/>
              </w:tcPr>
              <w:p>
                <w:pPr>
                  <w:jc w:val="center"/>
                </w:pPr>
                <w:r>
                  <w:rPr>
                    <w:rFonts w:hint="eastAsia"/>
                  </w:rPr>
                  <w:t>本期发生额</w:t>
                </w:r>
              </w:p>
            </w:tc>
          </w:sdtContent>
        </w:sdt>
        <w:sdt>
          <w:sdtPr>
            <w:tag w:val="_PLD_482f220f08ce46dc8e769190f957eec7"/>
            <w:id w:val="979577480"/>
          </w:sdtPr>
          <w:sdtContent>
            <w:tc>
              <w:tcPr>
                <w:tcW w:w="1882" w:type="dxa"/>
                <w:shd w:val="clear" w:color="auto" w:fill="auto"/>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vAlign w:val="center"/>
          </w:tcPr>
          <w:p>
            <w:pPr>
              <w:pStyle w:val="501"/>
            </w:pPr>
            <w:r>
              <w:rPr>
                <w:rFonts w:hint="eastAsia" w:asciiTheme="majorEastAsia" w:hAnsiTheme="majorEastAsia" w:eastAsiaTheme="majorEastAsia"/>
              </w:rPr>
              <w:t>非流动资产处置收益</w:t>
            </w:r>
          </w:p>
        </w:tc>
        <w:tc>
          <w:tcPr>
            <w:tcW w:w="1984" w:type="dxa"/>
            <w:vAlign w:val="center"/>
          </w:tcPr>
          <w:p>
            <w:pPr>
              <w:jc w:val="right"/>
            </w:pPr>
          </w:p>
        </w:tc>
        <w:tc>
          <w:tcPr>
            <w:tcW w:w="1882" w:type="dxa"/>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vAlign w:val="center"/>
          </w:tcPr>
          <w:p>
            <w:pPr>
              <w:pStyle w:val="501"/>
            </w:pPr>
            <w:r>
              <w:rPr>
                <w:rFonts w:hint="eastAsia" w:asciiTheme="majorEastAsia" w:hAnsiTheme="majorEastAsia" w:eastAsiaTheme="majorEastAsia"/>
              </w:rPr>
              <w:t>其中：未划分为持有待售的非流动资产处置收益</w:t>
            </w:r>
          </w:p>
        </w:tc>
        <w:tc>
          <w:tcPr>
            <w:tcW w:w="1984" w:type="dxa"/>
            <w:vAlign w:val="center"/>
          </w:tcPr>
          <w:p>
            <w:pPr>
              <w:jc w:val="right"/>
            </w:pPr>
            <w:r>
              <w:rPr>
                <w:rFonts w:asciiTheme="majorEastAsia" w:hAnsiTheme="majorEastAsia" w:eastAsiaTheme="majorEastAsia"/>
              </w:rPr>
              <w:t>1,154</w:t>
            </w:r>
          </w:p>
        </w:tc>
        <w:tc>
          <w:tcPr>
            <w:tcW w:w="1882" w:type="dxa"/>
            <w:vAlign w:val="center"/>
          </w:tcPr>
          <w:p>
            <w:pPr>
              <w:jc w:val="right"/>
            </w:pPr>
            <w:r>
              <w:rPr>
                <w:rFonts w:asciiTheme="majorEastAsia" w:hAnsiTheme="majorEastAsia" w:eastAsiaTheme="majorEastAsia"/>
              </w:rPr>
              <w:t>47,852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vAlign w:val="center"/>
          </w:tcPr>
          <w:p>
            <w:pPr>
              <w:pStyle w:val="501"/>
            </w:pPr>
            <w:r>
              <w:rPr>
                <w:rFonts w:hint="eastAsia" w:asciiTheme="majorEastAsia" w:hAnsiTheme="majorEastAsia" w:eastAsiaTheme="majorEastAsia"/>
              </w:rPr>
              <w:t>其中：固定资产处置收益</w:t>
            </w:r>
          </w:p>
        </w:tc>
        <w:tc>
          <w:tcPr>
            <w:tcW w:w="1984" w:type="dxa"/>
            <w:vAlign w:val="center"/>
          </w:tcPr>
          <w:p>
            <w:pPr>
              <w:jc w:val="right"/>
            </w:pPr>
            <w:r>
              <w:rPr>
                <w:rFonts w:asciiTheme="majorEastAsia" w:hAnsiTheme="majorEastAsia" w:eastAsiaTheme="majorEastAsia"/>
              </w:rPr>
              <w:t>-12,072</w:t>
            </w:r>
          </w:p>
        </w:tc>
        <w:tc>
          <w:tcPr>
            <w:tcW w:w="1882" w:type="dxa"/>
            <w:vAlign w:val="center"/>
          </w:tcPr>
          <w:p>
            <w:pPr>
              <w:jc w:val="right"/>
            </w:pPr>
            <w:r>
              <w:rPr>
                <w:rFonts w:asciiTheme="majorEastAsia" w:hAnsiTheme="majorEastAsia" w:eastAsiaTheme="majorEastAsia"/>
              </w:rPr>
              <w:t>43,420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vAlign w:val="center"/>
          </w:tcPr>
          <w:p>
            <w:pPr>
              <w:ind w:firstLine="630" w:firstLineChars="300"/>
            </w:pPr>
            <w:r>
              <w:rPr>
                <w:rFonts w:hint="eastAsia" w:asciiTheme="majorEastAsia" w:hAnsiTheme="majorEastAsia" w:eastAsiaTheme="majorEastAsia"/>
              </w:rPr>
              <w:t>无形资产处置收益</w:t>
            </w:r>
          </w:p>
        </w:tc>
        <w:tc>
          <w:tcPr>
            <w:tcW w:w="1984" w:type="dxa"/>
            <w:vAlign w:val="center"/>
          </w:tcPr>
          <w:p>
            <w:pPr>
              <w:jc w:val="right"/>
            </w:pPr>
            <w:r>
              <w:rPr>
                <w:rFonts w:asciiTheme="majorEastAsia" w:hAnsiTheme="majorEastAsia" w:eastAsiaTheme="majorEastAsia"/>
              </w:rPr>
              <w:t>13,226</w:t>
            </w:r>
          </w:p>
        </w:tc>
        <w:tc>
          <w:tcPr>
            <w:tcW w:w="1882" w:type="dxa"/>
            <w:vAlign w:val="center"/>
          </w:tcPr>
          <w:p>
            <w:pPr>
              <w:jc w:val="right"/>
            </w:pPr>
            <w:r>
              <w:rPr>
                <w:rFonts w:asciiTheme="majorEastAsia" w:hAnsiTheme="majorEastAsia" w:eastAsiaTheme="majorEastAsia"/>
              </w:rPr>
              <w:t>-10,082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vAlign w:val="center"/>
          </w:tcPr>
          <w:p>
            <w:pPr>
              <w:ind w:firstLine="630" w:firstLineChars="300"/>
            </w:pPr>
            <w:r>
              <w:rPr>
                <w:rFonts w:hint="eastAsia" w:cs="Arial Unicode MS" w:asciiTheme="majorEastAsia" w:hAnsiTheme="majorEastAsia" w:eastAsiaTheme="majorEastAsia"/>
                <w:iCs/>
              </w:rPr>
              <w:t>使用权资处置收益</w:t>
            </w:r>
          </w:p>
        </w:tc>
        <w:tc>
          <w:tcPr>
            <w:tcW w:w="1984" w:type="dxa"/>
            <w:vAlign w:val="center"/>
          </w:tcPr>
          <w:p>
            <w:pPr>
              <w:jc w:val="right"/>
            </w:pPr>
          </w:p>
        </w:tc>
        <w:tc>
          <w:tcPr>
            <w:tcW w:w="1882" w:type="dxa"/>
            <w:vAlign w:val="center"/>
          </w:tcPr>
          <w:p>
            <w:pPr>
              <w:jc w:val="right"/>
            </w:pPr>
            <w:r>
              <w:rPr>
                <w:rFonts w:cs="宋体" w:asciiTheme="majorEastAsia" w:hAnsiTheme="majorEastAsia" w:eastAsiaTheme="majorEastAsia"/>
              </w:rPr>
              <w:t>14,514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shd w:val="clear" w:color="auto" w:fill="auto"/>
          </w:tcPr>
          <w:p>
            <w:pPr>
              <w:jc w:val="center"/>
            </w:pPr>
            <w:r>
              <w:rPr>
                <w:rFonts w:hint="eastAsia"/>
              </w:rPr>
              <w:t>合计</w:t>
            </w:r>
          </w:p>
        </w:tc>
        <w:tc>
          <w:tcPr>
            <w:tcW w:w="1984" w:type="dxa"/>
            <w:vAlign w:val="center"/>
          </w:tcPr>
          <w:p>
            <w:pPr>
              <w:jc w:val="right"/>
              <w:rPr>
                <w:rFonts w:asciiTheme="minorEastAsia" w:hAnsiTheme="minorEastAsia" w:eastAsiaTheme="minorEastAsia"/>
              </w:rPr>
            </w:pPr>
            <w:r>
              <w:rPr>
                <w:rFonts w:asciiTheme="minorEastAsia" w:hAnsiTheme="minorEastAsia" w:eastAsiaTheme="minorEastAsia"/>
              </w:rPr>
              <w:t>1,154</w:t>
            </w:r>
          </w:p>
        </w:tc>
        <w:tc>
          <w:tcPr>
            <w:tcW w:w="1882" w:type="dxa"/>
            <w:vAlign w:val="center"/>
          </w:tcPr>
          <w:p>
            <w:pPr>
              <w:jc w:val="right"/>
              <w:rPr>
                <w:rFonts w:asciiTheme="minorEastAsia" w:hAnsiTheme="minorEastAsia" w:eastAsiaTheme="minorEastAsia"/>
              </w:rPr>
            </w:pPr>
            <w:r>
              <w:rPr>
                <w:rFonts w:asciiTheme="minorEastAsia" w:hAnsiTheme="minorEastAsia" w:eastAsiaTheme="minorEastAsia"/>
              </w:rPr>
              <w:t>47,852</w:t>
            </w:r>
          </w:p>
        </w:tc>
      </w:tr>
    </w:tbl>
    <w:p>
      <w:pPr>
        <w:autoSpaceDE w:val="0"/>
        <w:autoSpaceDN w:val="0"/>
        <w:adjustRightInd w:val="0"/>
      </w:pPr>
    </w:p>
    <w:p>
      <w:pPr>
        <w:pStyle w:val="504"/>
        <w:numPr>
          <w:ilvl w:val="0"/>
          <w:numId w:val="69"/>
        </w:numPr>
        <w:tabs>
          <w:tab w:val="left" w:pos="504"/>
        </w:tabs>
        <w:rPr>
          <w:rFonts w:ascii="宋体" w:hAnsi="宋体"/>
          <w:szCs w:val="21"/>
        </w:rPr>
      </w:pPr>
      <w:r>
        <w:rPr>
          <w:rFonts w:hint="eastAsia" w:ascii="宋体" w:hAnsi="宋体"/>
          <w:szCs w:val="21"/>
        </w:rPr>
        <w:t>营业外收入</w:t>
      </w:r>
    </w:p>
    <w:p>
      <w:pPr>
        <w:pStyle w:val="505"/>
        <w:numPr>
          <w:ilvl w:val="0"/>
          <w:numId w:val="106"/>
        </w:numPr>
        <w:ind w:left="426" w:hanging="426"/>
      </w:pPr>
      <w:r>
        <w:rPr>
          <w:rFonts w:hint="eastAsia"/>
        </w:rPr>
        <w:t>营业外收入情况</w:t>
      </w:r>
    </w:p>
    <w:p>
      <w:pPr>
        <w:pStyle w:val="531"/>
      </w:pPr>
    </w:p>
    <w:sdt>
      <w:sdtPr>
        <w:rPr>
          <w:rFonts w:hint="eastAsia"/>
        </w:rPr>
        <w:alias w:val="是否适用：营业外收入情况 [双击切换]"/>
        <w:tag w:val="_GBC_4aec8b65d0e744aaaddac8859ae249bc"/>
        <w:id w:val="-23873160"/>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营业外收入"/>
          <w:tag w:val="_GBC_79d3fe1c29e746e7b2a9a9acfcc43449"/>
          <w:id w:val="-15563883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营业外收入"/>
          <w:tag w:val="_GBC_4266913812da4517aa68b2f8bff79fbe"/>
          <w:id w:val="-10602461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2306"/>
        <w:gridCol w:w="2315"/>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b52b1902e1443609ba6891d7076aebe"/>
            <w:id w:val="-1018387830"/>
          </w:sdtPr>
          <w:sdtContent>
            <w:tc>
              <w:tcPr>
                <w:tcW w:w="116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项目</w:t>
                </w:r>
              </w:p>
            </w:tc>
          </w:sdtContent>
        </w:sdt>
        <w:sdt>
          <w:sdtPr>
            <w:tag w:val="_PLD_9dc87bd465124a2289f545f76d28c96c"/>
            <w:id w:val="-70502689"/>
          </w:sdtPr>
          <w:sdtContent>
            <w:tc>
              <w:tcPr>
                <w:tcW w:w="127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本期发生额</w:t>
                </w:r>
              </w:p>
            </w:tc>
          </w:sdtContent>
        </w:sdt>
        <w:sdt>
          <w:sdtPr>
            <w:tag w:val="_PLD_e1b91f5db91a439083c1f9a1b7d17ef9"/>
            <w:id w:val="1654409001"/>
          </w:sdtPr>
          <w:sdtContent>
            <w:tc>
              <w:tcPr>
                <w:tcW w:w="127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上期发生额</w:t>
                </w:r>
              </w:p>
            </w:tc>
          </w:sdtContent>
        </w:sdt>
        <w:sdt>
          <w:sdtPr>
            <w:tag w:val="_PLD_db1c9e08e7ea407889a350e8451d2848"/>
            <w:id w:val="1023050495"/>
          </w:sdt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FF0000"/>
                  </w:rPr>
                </w:pPr>
                <w:r>
                  <w:rPr>
                    <w:rFonts w:hint="eastAsia"/>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vAlign w:val="center"/>
          </w:tcPr>
          <w:p>
            <w:pPr>
              <w:autoSpaceDE w:val="0"/>
              <w:autoSpaceDN w:val="0"/>
              <w:adjustRightInd w:val="0"/>
            </w:pPr>
            <w:r>
              <w:rPr>
                <w:rFonts w:hint="eastAsia" w:asciiTheme="majorEastAsia" w:hAnsiTheme="majorEastAsia" w:eastAsiaTheme="majorEastAsia"/>
                <w:sz w:val="22"/>
                <w:szCs w:val="22"/>
              </w:rPr>
              <w:t>政府补助</w:t>
            </w:r>
          </w:p>
        </w:tc>
        <w:tc>
          <w:tcPr>
            <w:tcW w:w="1274" w:type="pct"/>
            <w:vAlign w:val="center"/>
          </w:tcPr>
          <w:p>
            <w:pPr>
              <w:jc w:val="right"/>
            </w:pPr>
            <w:r>
              <w:rPr>
                <w:rFonts w:asciiTheme="majorEastAsia" w:hAnsiTheme="majorEastAsia" w:eastAsiaTheme="majorEastAsia"/>
              </w:rPr>
              <w:t>30,144</w:t>
            </w:r>
          </w:p>
        </w:tc>
        <w:tc>
          <w:tcPr>
            <w:tcW w:w="1279" w:type="pct"/>
            <w:vAlign w:val="center"/>
          </w:tcPr>
          <w:p>
            <w:pPr>
              <w:jc w:val="right"/>
            </w:pPr>
            <w:r>
              <w:rPr>
                <w:rFonts w:asciiTheme="majorEastAsia" w:hAnsiTheme="majorEastAsia" w:eastAsiaTheme="majorEastAsia"/>
              </w:rPr>
              <w:t>20,096</w:t>
            </w:r>
          </w:p>
        </w:tc>
        <w:tc>
          <w:tcPr>
            <w:tcW w:w="1280" w:type="pct"/>
            <w:vAlign w:val="center"/>
          </w:tcPr>
          <w:p>
            <w:pPr>
              <w:autoSpaceDE w:val="0"/>
              <w:autoSpaceDN w:val="0"/>
              <w:adjustRightInd w:val="0"/>
              <w:jc w:val="right"/>
            </w:pPr>
            <w:r>
              <w:rPr>
                <w:rFonts w:asciiTheme="majorEastAsia" w:hAnsiTheme="majorEastAsia" w:eastAsiaTheme="majorEastAsia"/>
              </w:rPr>
              <w:t>30,144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vAlign w:val="center"/>
          </w:tcPr>
          <w:p>
            <w:pPr>
              <w:autoSpaceDE w:val="0"/>
              <w:autoSpaceDN w:val="0"/>
              <w:adjustRightInd w:val="0"/>
            </w:pPr>
            <w:r>
              <w:rPr>
                <w:rFonts w:asciiTheme="majorEastAsia" w:hAnsiTheme="majorEastAsia" w:eastAsiaTheme="majorEastAsia"/>
                <w:sz w:val="22"/>
                <w:szCs w:val="22"/>
              </w:rPr>
              <w:t>其他</w:t>
            </w:r>
          </w:p>
        </w:tc>
        <w:tc>
          <w:tcPr>
            <w:tcW w:w="1274" w:type="pct"/>
            <w:vAlign w:val="center"/>
          </w:tcPr>
          <w:p>
            <w:pPr>
              <w:jc w:val="right"/>
            </w:pPr>
            <w:r>
              <w:rPr>
                <w:rFonts w:asciiTheme="majorEastAsia" w:hAnsiTheme="majorEastAsia" w:eastAsiaTheme="majorEastAsia"/>
              </w:rPr>
              <w:t>338,325</w:t>
            </w:r>
          </w:p>
        </w:tc>
        <w:tc>
          <w:tcPr>
            <w:tcW w:w="1279" w:type="pct"/>
            <w:vAlign w:val="center"/>
          </w:tcPr>
          <w:p>
            <w:pPr>
              <w:jc w:val="right"/>
            </w:pPr>
            <w:r>
              <w:rPr>
                <w:rFonts w:asciiTheme="majorEastAsia" w:hAnsiTheme="majorEastAsia" w:eastAsiaTheme="majorEastAsia"/>
              </w:rPr>
              <w:t>378,876</w:t>
            </w:r>
          </w:p>
        </w:tc>
        <w:tc>
          <w:tcPr>
            <w:tcW w:w="1280" w:type="pct"/>
            <w:vAlign w:val="center"/>
          </w:tcPr>
          <w:p>
            <w:pPr>
              <w:autoSpaceDE w:val="0"/>
              <w:autoSpaceDN w:val="0"/>
              <w:adjustRightInd w:val="0"/>
              <w:jc w:val="right"/>
            </w:pPr>
            <w:r>
              <w:rPr>
                <w:rFonts w:asciiTheme="majorEastAsia" w:hAnsiTheme="majorEastAsia" w:eastAsiaTheme="majorEastAsia"/>
              </w:rPr>
              <w:t>338,325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合计</w:t>
            </w:r>
          </w:p>
        </w:tc>
        <w:tc>
          <w:tcPr>
            <w:tcW w:w="1274" w:type="pct"/>
            <w:vAlign w:val="center"/>
          </w:tcPr>
          <w:p>
            <w:pPr>
              <w:jc w:val="right"/>
              <w:rPr>
                <w:rFonts w:asciiTheme="minorEastAsia" w:hAnsiTheme="minorEastAsia" w:eastAsiaTheme="minorEastAsia"/>
                <w:bCs/>
              </w:rPr>
            </w:pPr>
            <w:r>
              <w:rPr>
                <w:rFonts w:asciiTheme="minorEastAsia" w:hAnsiTheme="minorEastAsia" w:eastAsiaTheme="minorEastAsia"/>
                <w:bCs/>
              </w:rPr>
              <w:t>368,469</w:t>
            </w:r>
          </w:p>
        </w:tc>
        <w:tc>
          <w:tcPr>
            <w:tcW w:w="1279" w:type="pct"/>
            <w:vAlign w:val="center"/>
          </w:tcPr>
          <w:p>
            <w:pPr>
              <w:jc w:val="right"/>
              <w:rPr>
                <w:rFonts w:asciiTheme="minorEastAsia" w:hAnsiTheme="minorEastAsia" w:eastAsiaTheme="minorEastAsia"/>
                <w:bCs/>
              </w:rPr>
            </w:pPr>
            <w:r>
              <w:rPr>
                <w:rFonts w:asciiTheme="minorEastAsia" w:hAnsiTheme="minorEastAsia" w:eastAsiaTheme="minorEastAsia"/>
                <w:bCs/>
              </w:rPr>
              <w:t>398,972</w:t>
            </w:r>
          </w:p>
        </w:tc>
        <w:tc>
          <w:tcPr>
            <w:tcW w:w="1280" w:type="pct"/>
            <w:vAlign w:val="center"/>
          </w:tcPr>
          <w:p>
            <w:pPr>
              <w:autoSpaceDE w:val="0"/>
              <w:autoSpaceDN w:val="0"/>
              <w:adjustRightInd w:val="0"/>
              <w:jc w:val="right"/>
              <w:rPr>
                <w:rFonts w:asciiTheme="minorEastAsia" w:hAnsiTheme="minorEastAsia" w:eastAsiaTheme="minorEastAsia"/>
                <w:bCs/>
              </w:rPr>
            </w:pPr>
            <w:r>
              <w:rPr>
                <w:rFonts w:asciiTheme="minorEastAsia" w:hAnsiTheme="minorEastAsia" w:eastAsiaTheme="minorEastAsia"/>
                <w:bCs/>
              </w:rPr>
              <w:t>368,469</w:t>
            </w:r>
          </w:p>
        </w:tc>
      </w:tr>
    </w:tbl>
    <w:p>
      <w:pPr>
        <w:pStyle w:val="505"/>
        <w:numPr>
          <w:ilvl w:val="0"/>
          <w:numId w:val="106"/>
        </w:numPr>
        <w:ind w:left="426" w:hanging="426"/>
        <w:sectPr>
          <w:pgSz w:w="11906" w:h="16838"/>
          <w:pgMar w:top="1440" w:right="1797" w:bottom="1525" w:left="1276" w:header="856" w:footer="992" w:gutter="0"/>
          <w:cols w:space="425" w:num="1"/>
          <w:docGrid w:linePitch="312" w:charSpace="0"/>
        </w:sectPr>
      </w:pPr>
    </w:p>
    <w:p>
      <w:pPr>
        <w:pStyle w:val="543"/>
        <w:numPr>
          <w:ilvl w:val="0"/>
          <w:numId w:val="106"/>
        </w:numPr>
        <w:ind w:left="364" w:firstLineChars="0"/>
        <w:rPr>
          <w:rFonts w:asciiTheme="minorEastAsia" w:hAnsiTheme="minorEastAsia" w:eastAsiaTheme="minorEastAsia"/>
          <w:b/>
          <w:bCs/>
          <w:szCs w:val="28"/>
        </w:rPr>
      </w:pPr>
      <w:r>
        <w:rPr>
          <w:rFonts w:hint="eastAsia" w:asciiTheme="minorEastAsia" w:hAnsiTheme="minorEastAsia" w:eastAsiaTheme="minorEastAsia"/>
          <w:b/>
          <w:bCs/>
          <w:szCs w:val="28"/>
        </w:rPr>
        <w:t xml:space="preserve">计入当年损益的政府补助 </w:t>
      </w:r>
    </w:p>
    <w:p>
      <w:pPr>
        <w:pStyle w:val="531"/>
      </w:pPr>
    </w:p>
    <w:tbl>
      <w:tblPr>
        <w:tblStyle w:val="9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126"/>
        <w:gridCol w:w="851"/>
        <w:gridCol w:w="3827"/>
        <w:gridCol w:w="1134"/>
        <w:gridCol w:w="982"/>
        <w:gridCol w:w="861"/>
        <w:gridCol w:w="850"/>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531"/>
              <w:widowControl w:val="0"/>
              <w:jc w:val="both"/>
              <w:rPr>
                <w:bCs/>
                <w:szCs w:val="21"/>
              </w:rPr>
            </w:pPr>
            <w:r>
              <w:rPr>
                <w:rFonts w:hint="eastAsia"/>
                <w:bCs/>
                <w:spacing w:val="-20"/>
                <w:szCs w:val="21"/>
              </w:rPr>
              <w:t>补助项目</w:t>
            </w:r>
          </w:p>
        </w:tc>
        <w:tc>
          <w:tcPr>
            <w:tcW w:w="2126" w:type="dxa"/>
            <w:vAlign w:val="center"/>
          </w:tcPr>
          <w:p>
            <w:pPr>
              <w:spacing w:line="360" w:lineRule="exact"/>
              <w:jc w:val="center"/>
              <w:rPr>
                <w:rFonts w:ascii="宋体" w:hAnsi="宋体"/>
                <w:bCs/>
                <w:spacing w:val="-20"/>
              </w:rPr>
            </w:pPr>
            <w:r>
              <w:rPr>
                <w:rFonts w:hint="eastAsia" w:ascii="宋体" w:hAnsi="宋体"/>
                <w:bCs/>
                <w:spacing w:val="-20"/>
              </w:rPr>
              <w:t>发放</w:t>
            </w:r>
          </w:p>
          <w:p>
            <w:pPr>
              <w:pStyle w:val="531"/>
              <w:widowControl w:val="0"/>
              <w:jc w:val="center"/>
              <w:rPr>
                <w:bCs/>
                <w:szCs w:val="21"/>
              </w:rPr>
            </w:pPr>
            <w:r>
              <w:rPr>
                <w:rFonts w:hint="eastAsia"/>
                <w:bCs/>
                <w:spacing w:val="-20"/>
                <w:szCs w:val="21"/>
              </w:rPr>
              <w:t>主体</w:t>
            </w:r>
          </w:p>
        </w:tc>
        <w:tc>
          <w:tcPr>
            <w:tcW w:w="851" w:type="dxa"/>
            <w:vAlign w:val="center"/>
          </w:tcPr>
          <w:p>
            <w:pPr>
              <w:spacing w:line="360" w:lineRule="exact"/>
              <w:jc w:val="center"/>
              <w:rPr>
                <w:rFonts w:ascii="宋体" w:hAnsi="宋体"/>
                <w:bCs/>
                <w:spacing w:val="-20"/>
              </w:rPr>
            </w:pPr>
            <w:r>
              <w:rPr>
                <w:rFonts w:hint="eastAsia" w:ascii="宋体" w:hAnsi="宋体"/>
                <w:bCs/>
                <w:spacing w:val="-20"/>
              </w:rPr>
              <w:t>发放</w:t>
            </w:r>
          </w:p>
          <w:p>
            <w:pPr>
              <w:pStyle w:val="531"/>
              <w:widowControl w:val="0"/>
              <w:jc w:val="center"/>
              <w:rPr>
                <w:bCs/>
                <w:szCs w:val="21"/>
              </w:rPr>
            </w:pPr>
            <w:r>
              <w:rPr>
                <w:rFonts w:hint="eastAsia"/>
                <w:bCs/>
                <w:spacing w:val="-20"/>
                <w:szCs w:val="21"/>
              </w:rPr>
              <w:t>原因</w:t>
            </w:r>
          </w:p>
        </w:tc>
        <w:tc>
          <w:tcPr>
            <w:tcW w:w="3827" w:type="dxa"/>
            <w:vAlign w:val="center"/>
          </w:tcPr>
          <w:p>
            <w:pPr>
              <w:spacing w:line="360" w:lineRule="exact"/>
              <w:jc w:val="center"/>
              <w:rPr>
                <w:rFonts w:ascii="宋体" w:hAnsi="宋体"/>
                <w:bCs/>
                <w:spacing w:val="-20"/>
              </w:rPr>
            </w:pPr>
            <w:r>
              <w:rPr>
                <w:rFonts w:hint="eastAsia" w:ascii="宋体" w:hAnsi="宋体"/>
                <w:bCs/>
                <w:spacing w:val="-20"/>
              </w:rPr>
              <w:t>性质</w:t>
            </w:r>
          </w:p>
          <w:p>
            <w:pPr>
              <w:pStyle w:val="531"/>
              <w:widowControl w:val="0"/>
              <w:jc w:val="center"/>
              <w:rPr>
                <w:bCs/>
                <w:szCs w:val="21"/>
              </w:rPr>
            </w:pPr>
            <w:r>
              <w:rPr>
                <w:rFonts w:hint="eastAsia"/>
                <w:bCs/>
                <w:spacing w:val="-20"/>
                <w:szCs w:val="21"/>
              </w:rPr>
              <w:t>类型</w:t>
            </w:r>
          </w:p>
        </w:tc>
        <w:tc>
          <w:tcPr>
            <w:tcW w:w="1134" w:type="dxa"/>
            <w:vAlign w:val="center"/>
          </w:tcPr>
          <w:p>
            <w:pPr>
              <w:pStyle w:val="531"/>
              <w:widowControl w:val="0"/>
              <w:jc w:val="center"/>
              <w:rPr>
                <w:bCs/>
                <w:szCs w:val="21"/>
              </w:rPr>
            </w:pPr>
            <w:r>
              <w:rPr>
                <w:rFonts w:hint="eastAsia"/>
                <w:bCs/>
                <w:spacing w:val="-20"/>
                <w:szCs w:val="21"/>
              </w:rPr>
              <w:t>补贴是否影响当年盈亏</w:t>
            </w:r>
          </w:p>
        </w:tc>
        <w:tc>
          <w:tcPr>
            <w:tcW w:w="982" w:type="dxa"/>
            <w:vAlign w:val="center"/>
          </w:tcPr>
          <w:p>
            <w:pPr>
              <w:pStyle w:val="531"/>
              <w:widowControl w:val="0"/>
              <w:jc w:val="center"/>
              <w:rPr>
                <w:bCs/>
                <w:szCs w:val="21"/>
              </w:rPr>
            </w:pPr>
            <w:r>
              <w:rPr>
                <w:rFonts w:hint="eastAsia"/>
                <w:bCs/>
                <w:spacing w:val="-20"/>
                <w:szCs w:val="21"/>
              </w:rPr>
              <w:t>是否特殊补贴</w:t>
            </w:r>
          </w:p>
        </w:tc>
        <w:tc>
          <w:tcPr>
            <w:tcW w:w="861" w:type="dxa"/>
            <w:vAlign w:val="center"/>
          </w:tcPr>
          <w:p>
            <w:pPr>
              <w:pStyle w:val="531"/>
              <w:widowControl w:val="0"/>
              <w:jc w:val="center"/>
              <w:rPr>
                <w:bCs/>
                <w:szCs w:val="21"/>
              </w:rPr>
            </w:pPr>
            <w:r>
              <w:rPr>
                <w:rFonts w:hint="eastAsia"/>
                <w:bCs/>
                <w:spacing w:val="-20"/>
                <w:szCs w:val="21"/>
              </w:rPr>
              <w:t>本年发生金额</w:t>
            </w:r>
          </w:p>
        </w:tc>
        <w:tc>
          <w:tcPr>
            <w:tcW w:w="850" w:type="dxa"/>
            <w:vAlign w:val="center"/>
          </w:tcPr>
          <w:p>
            <w:pPr>
              <w:pStyle w:val="531"/>
              <w:widowControl w:val="0"/>
              <w:jc w:val="center"/>
              <w:rPr>
                <w:bCs/>
                <w:szCs w:val="21"/>
              </w:rPr>
            </w:pPr>
            <w:r>
              <w:rPr>
                <w:rFonts w:hint="eastAsia"/>
                <w:bCs/>
                <w:spacing w:val="-20"/>
                <w:szCs w:val="21"/>
              </w:rPr>
              <w:t>上年发生金额</w:t>
            </w:r>
          </w:p>
        </w:tc>
        <w:tc>
          <w:tcPr>
            <w:tcW w:w="1252" w:type="dxa"/>
            <w:vAlign w:val="center"/>
          </w:tcPr>
          <w:p>
            <w:pPr>
              <w:pStyle w:val="531"/>
              <w:widowControl w:val="0"/>
              <w:jc w:val="center"/>
              <w:rPr>
                <w:bCs/>
                <w:szCs w:val="21"/>
              </w:rPr>
            </w:pPr>
            <w:r>
              <w:rPr>
                <w:rFonts w:hint="eastAsia"/>
                <w:bCs/>
                <w:spacing w:val="-20"/>
                <w:szCs w:val="21"/>
              </w:rPr>
              <w:t>与资产相关</w:t>
            </w:r>
            <w:r>
              <w:rPr>
                <w:bCs/>
                <w:spacing w:val="-20"/>
                <w:szCs w:val="21"/>
              </w:rPr>
              <w:t>/</w:t>
            </w:r>
            <w:r>
              <w:rPr>
                <w:rFonts w:hint="eastAsia"/>
                <w:bCs/>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自贸区开发扶持资金</w:t>
            </w:r>
          </w:p>
        </w:tc>
        <w:tc>
          <w:tcPr>
            <w:tcW w:w="2126" w:type="dxa"/>
            <w:shd w:val="clear" w:color="auto" w:fill="auto"/>
            <w:vAlign w:val="center"/>
          </w:tcPr>
          <w:p>
            <w:pPr>
              <w:pStyle w:val="531"/>
              <w:widowControl w:val="0"/>
              <w:jc w:val="both"/>
              <w:rPr>
                <w:szCs w:val="21"/>
              </w:rPr>
            </w:pPr>
            <w:r>
              <w:rPr>
                <w:rFonts w:hint="eastAsia"/>
                <w:color w:val="000000"/>
                <w:spacing w:val="-20"/>
                <w:szCs w:val="21"/>
              </w:rPr>
              <w:t>上海市浦东新区财政局</w:t>
            </w:r>
          </w:p>
        </w:tc>
        <w:tc>
          <w:tcPr>
            <w:tcW w:w="851" w:type="dxa"/>
            <w:shd w:val="clear" w:color="auto" w:fill="auto"/>
            <w:vAlign w:val="center"/>
          </w:tcPr>
          <w:p>
            <w:pPr>
              <w:pStyle w:val="531"/>
              <w:widowControl w:val="0"/>
              <w:jc w:val="center"/>
              <w:rPr>
                <w:szCs w:val="21"/>
              </w:rPr>
            </w:pPr>
            <w:r>
              <w:rPr>
                <w:rFonts w:hint="eastAsia"/>
                <w:color w:val="000000"/>
                <w:spacing w:val="-20"/>
                <w:szCs w:val="21"/>
              </w:rPr>
              <w:t>奖励</w:t>
            </w:r>
          </w:p>
        </w:tc>
        <w:tc>
          <w:tcPr>
            <w:tcW w:w="3827" w:type="dxa"/>
            <w:shd w:val="clear" w:color="auto" w:fill="auto"/>
            <w:vAlign w:val="center"/>
          </w:tcPr>
          <w:p>
            <w:pPr>
              <w:pStyle w:val="531"/>
              <w:widowControl w:val="0"/>
              <w:jc w:val="both"/>
              <w:rPr>
                <w:szCs w:val="21"/>
              </w:rPr>
            </w:pPr>
            <w:r>
              <w:rPr>
                <w:rFonts w:hint="eastAsia"/>
                <w:color w:val="000000"/>
                <w:spacing w:val="-20"/>
                <w:szCs w:val="21"/>
              </w:rPr>
              <w:t>浦东新区“十四五”期间促进金融业发展的奖励</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color w:val="000000"/>
                <w:spacing w:val="-20"/>
                <w:szCs w:val="21"/>
              </w:rPr>
              <w:t>17,950</w:t>
            </w:r>
          </w:p>
        </w:tc>
        <w:tc>
          <w:tcPr>
            <w:tcW w:w="850" w:type="dxa"/>
            <w:shd w:val="clear" w:color="auto" w:fill="auto"/>
            <w:vAlign w:val="center"/>
          </w:tcPr>
          <w:p>
            <w:pPr>
              <w:pStyle w:val="531"/>
              <w:widowControl w:val="0"/>
              <w:jc w:val="right"/>
              <w:rPr>
                <w:szCs w:val="21"/>
              </w:rPr>
            </w:pPr>
            <w:r>
              <w:rPr>
                <w:rFonts w:hint="eastAsia"/>
                <w:color w:val="000000"/>
                <w:spacing w:val="-20"/>
                <w:szCs w:val="21"/>
              </w:rPr>
              <w:t>　</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工业企业结构调整专项奖补资金</w:t>
            </w:r>
          </w:p>
        </w:tc>
        <w:tc>
          <w:tcPr>
            <w:tcW w:w="2126" w:type="dxa"/>
            <w:shd w:val="clear" w:color="auto" w:fill="auto"/>
            <w:vAlign w:val="center"/>
          </w:tcPr>
          <w:p>
            <w:pPr>
              <w:pStyle w:val="531"/>
              <w:widowControl w:val="0"/>
              <w:jc w:val="both"/>
              <w:rPr>
                <w:szCs w:val="21"/>
              </w:rPr>
            </w:pPr>
            <w:r>
              <w:rPr>
                <w:rFonts w:hint="eastAsia"/>
                <w:color w:val="000000"/>
                <w:spacing w:val="-20"/>
                <w:szCs w:val="21"/>
              </w:rPr>
              <w:t>山东省财政厅</w:t>
            </w:r>
          </w:p>
        </w:tc>
        <w:tc>
          <w:tcPr>
            <w:tcW w:w="851" w:type="dxa"/>
            <w:shd w:val="clear" w:color="auto" w:fill="auto"/>
            <w:vAlign w:val="center"/>
          </w:tcPr>
          <w:p>
            <w:pPr>
              <w:pStyle w:val="531"/>
              <w:widowControl w:val="0"/>
              <w:jc w:val="center"/>
              <w:rPr>
                <w:szCs w:val="21"/>
              </w:rPr>
            </w:pPr>
            <w:r>
              <w:rPr>
                <w:rFonts w:hint="eastAsia"/>
                <w:color w:val="000000"/>
                <w:spacing w:val="-20"/>
                <w:szCs w:val="21"/>
              </w:rPr>
              <w:t>补助</w:t>
            </w:r>
          </w:p>
        </w:tc>
        <w:tc>
          <w:tcPr>
            <w:tcW w:w="3827" w:type="dxa"/>
            <w:shd w:val="clear" w:color="auto" w:fill="auto"/>
            <w:vAlign w:val="center"/>
          </w:tcPr>
          <w:p>
            <w:pPr>
              <w:pStyle w:val="531"/>
              <w:widowControl w:val="0"/>
              <w:jc w:val="both"/>
              <w:rPr>
                <w:szCs w:val="21"/>
              </w:rPr>
            </w:pPr>
            <w:r>
              <w:rPr>
                <w:rFonts w:hint="eastAsia"/>
                <w:color w:val="000000"/>
                <w:spacing w:val="-20"/>
                <w:szCs w:val="21"/>
              </w:rPr>
              <w:t>钢铁煤炭行业工业企业结构调整专项奖补资金</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color w:val="000000"/>
                <w:spacing w:val="-20"/>
                <w:szCs w:val="21"/>
              </w:rPr>
              <w:t xml:space="preserve">4,292 </w:t>
            </w:r>
            <w:r>
              <w:rPr>
                <w:rFonts w:hint="eastAsia"/>
                <w:color w:val="000000"/>
                <w:spacing w:val="-20"/>
                <w:szCs w:val="21"/>
              </w:rPr>
              <w:t xml:space="preserve">         </w:t>
            </w:r>
          </w:p>
        </w:tc>
        <w:tc>
          <w:tcPr>
            <w:tcW w:w="850" w:type="dxa"/>
            <w:shd w:val="clear" w:color="auto" w:fill="auto"/>
            <w:vAlign w:val="center"/>
          </w:tcPr>
          <w:p>
            <w:pPr>
              <w:pStyle w:val="531"/>
              <w:widowControl w:val="0"/>
              <w:jc w:val="right"/>
              <w:rPr>
                <w:szCs w:val="21"/>
              </w:rPr>
            </w:pPr>
            <w:r>
              <w:rPr>
                <w:rFonts w:hint="eastAsia"/>
                <w:color w:val="000000"/>
                <w:spacing w:val="-20"/>
                <w:szCs w:val="21"/>
              </w:rPr>
              <w:t xml:space="preserve">8,364 </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智能工厂项目补贴</w:t>
            </w:r>
          </w:p>
        </w:tc>
        <w:tc>
          <w:tcPr>
            <w:tcW w:w="2126" w:type="dxa"/>
            <w:shd w:val="clear" w:color="auto" w:fill="auto"/>
            <w:vAlign w:val="center"/>
          </w:tcPr>
          <w:p>
            <w:pPr>
              <w:pStyle w:val="531"/>
              <w:widowControl w:val="0"/>
              <w:jc w:val="both"/>
              <w:rPr>
                <w:szCs w:val="21"/>
              </w:rPr>
            </w:pPr>
            <w:r>
              <w:rPr>
                <w:rFonts w:hint="eastAsia"/>
                <w:color w:val="000000"/>
                <w:spacing w:val="-20"/>
                <w:szCs w:val="21"/>
              </w:rPr>
              <w:t>鄂尔多斯市财政局</w:t>
            </w:r>
          </w:p>
        </w:tc>
        <w:tc>
          <w:tcPr>
            <w:tcW w:w="851" w:type="dxa"/>
            <w:shd w:val="clear" w:color="auto" w:fill="auto"/>
            <w:vAlign w:val="center"/>
          </w:tcPr>
          <w:p>
            <w:pPr>
              <w:pStyle w:val="531"/>
              <w:widowControl w:val="0"/>
              <w:jc w:val="center"/>
              <w:rPr>
                <w:szCs w:val="21"/>
              </w:rPr>
            </w:pPr>
            <w:r>
              <w:rPr>
                <w:rFonts w:hint="eastAsia"/>
                <w:color w:val="000000"/>
                <w:spacing w:val="-20"/>
                <w:szCs w:val="21"/>
              </w:rPr>
              <w:t>补助</w:t>
            </w:r>
          </w:p>
        </w:tc>
        <w:tc>
          <w:tcPr>
            <w:tcW w:w="3827" w:type="dxa"/>
            <w:shd w:val="clear" w:color="auto" w:fill="auto"/>
            <w:vAlign w:val="center"/>
          </w:tcPr>
          <w:p>
            <w:pPr>
              <w:pStyle w:val="531"/>
              <w:widowControl w:val="0"/>
              <w:jc w:val="both"/>
              <w:rPr>
                <w:szCs w:val="21"/>
              </w:rPr>
            </w:pPr>
            <w:r>
              <w:rPr>
                <w:rFonts w:hint="eastAsia"/>
                <w:color w:val="000000"/>
                <w:spacing w:val="-20"/>
                <w:szCs w:val="21"/>
              </w:rPr>
              <w:t>2021年自治区重点产业发展专项资金</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color w:val="000000"/>
                <w:spacing w:val="-20"/>
                <w:szCs w:val="21"/>
              </w:rPr>
              <w:t>3,000</w:t>
            </w:r>
          </w:p>
        </w:tc>
        <w:tc>
          <w:tcPr>
            <w:tcW w:w="850" w:type="dxa"/>
            <w:shd w:val="clear" w:color="auto" w:fill="auto"/>
            <w:vAlign w:val="center"/>
          </w:tcPr>
          <w:p>
            <w:pPr>
              <w:pStyle w:val="531"/>
              <w:widowControl w:val="0"/>
              <w:jc w:val="right"/>
              <w:rPr>
                <w:szCs w:val="21"/>
              </w:rPr>
            </w:pPr>
            <w:r>
              <w:rPr>
                <w:rFonts w:hint="eastAsia"/>
                <w:color w:val="000000"/>
                <w:spacing w:val="-20"/>
                <w:szCs w:val="21"/>
              </w:rPr>
              <w:t>　</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金融发展资金</w:t>
            </w:r>
          </w:p>
        </w:tc>
        <w:tc>
          <w:tcPr>
            <w:tcW w:w="2126" w:type="dxa"/>
            <w:shd w:val="clear" w:color="auto" w:fill="auto"/>
            <w:vAlign w:val="center"/>
          </w:tcPr>
          <w:p>
            <w:pPr>
              <w:pStyle w:val="531"/>
              <w:widowControl w:val="0"/>
              <w:jc w:val="both"/>
              <w:rPr>
                <w:szCs w:val="21"/>
              </w:rPr>
            </w:pPr>
            <w:r>
              <w:rPr>
                <w:rFonts w:hint="eastAsia"/>
                <w:color w:val="000000"/>
                <w:spacing w:val="-20"/>
                <w:szCs w:val="21"/>
              </w:rPr>
              <w:t>济宁市财政局</w:t>
            </w:r>
          </w:p>
        </w:tc>
        <w:tc>
          <w:tcPr>
            <w:tcW w:w="851" w:type="dxa"/>
            <w:shd w:val="clear" w:color="auto" w:fill="auto"/>
            <w:vAlign w:val="center"/>
          </w:tcPr>
          <w:p>
            <w:pPr>
              <w:pStyle w:val="531"/>
              <w:widowControl w:val="0"/>
              <w:jc w:val="center"/>
              <w:rPr>
                <w:szCs w:val="21"/>
              </w:rPr>
            </w:pPr>
            <w:r>
              <w:rPr>
                <w:rFonts w:hint="eastAsia"/>
                <w:color w:val="000000"/>
                <w:spacing w:val="-20"/>
                <w:szCs w:val="21"/>
              </w:rPr>
              <w:t>奖励</w:t>
            </w:r>
          </w:p>
        </w:tc>
        <w:tc>
          <w:tcPr>
            <w:tcW w:w="3827" w:type="dxa"/>
            <w:shd w:val="clear" w:color="auto" w:fill="auto"/>
            <w:vAlign w:val="center"/>
          </w:tcPr>
          <w:p>
            <w:pPr>
              <w:pStyle w:val="531"/>
              <w:widowControl w:val="0"/>
              <w:jc w:val="both"/>
              <w:rPr>
                <w:szCs w:val="21"/>
              </w:rPr>
            </w:pPr>
            <w:r>
              <w:rPr>
                <w:rFonts w:hint="eastAsia"/>
                <w:color w:val="000000"/>
                <w:spacing w:val="-20"/>
                <w:szCs w:val="21"/>
              </w:rPr>
              <w:t>2022年第二批企业上市挂牌融资市级奖励资金</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spacing w:val="-20"/>
                <w:szCs w:val="21"/>
              </w:rPr>
              <w:t>2,171</w:t>
            </w:r>
          </w:p>
        </w:tc>
        <w:tc>
          <w:tcPr>
            <w:tcW w:w="850" w:type="dxa"/>
            <w:shd w:val="clear" w:color="auto" w:fill="auto"/>
            <w:vAlign w:val="center"/>
          </w:tcPr>
          <w:p>
            <w:pPr>
              <w:pStyle w:val="531"/>
              <w:widowControl w:val="0"/>
              <w:jc w:val="right"/>
              <w:rPr>
                <w:szCs w:val="21"/>
              </w:rPr>
            </w:pP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外经贸发展专项资金</w:t>
            </w:r>
          </w:p>
        </w:tc>
        <w:tc>
          <w:tcPr>
            <w:tcW w:w="2126" w:type="dxa"/>
            <w:shd w:val="clear" w:color="auto" w:fill="auto"/>
            <w:vAlign w:val="center"/>
          </w:tcPr>
          <w:p>
            <w:pPr>
              <w:pStyle w:val="531"/>
              <w:widowControl w:val="0"/>
              <w:jc w:val="both"/>
              <w:rPr>
                <w:szCs w:val="21"/>
              </w:rPr>
            </w:pPr>
            <w:r>
              <w:rPr>
                <w:rFonts w:hint="eastAsia"/>
                <w:color w:val="000000"/>
                <w:spacing w:val="-20"/>
                <w:szCs w:val="21"/>
              </w:rPr>
              <w:t>济宁市商务局</w:t>
            </w:r>
          </w:p>
        </w:tc>
        <w:tc>
          <w:tcPr>
            <w:tcW w:w="851" w:type="dxa"/>
            <w:shd w:val="clear" w:color="auto" w:fill="auto"/>
            <w:vAlign w:val="center"/>
          </w:tcPr>
          <w:p>
            <w:pPr>
              <w:pStyle w:val="531"/>
              <w:widowControl w:val="0"/>
              <w:jc w:val="center"/>
              <w:rPr>
                <w:szCs w:val="21"/>
              </w:rPr>
            </w:pPr>
            <w:r>
              <w:rPr>
                <w:rFonts w:hint="eastAsia"/>
                <w:color w:val="000000"/>
                <w:spacing w:val="-20"/>
                <w:szCs w:val="21"/>
              </w:rPr>
              <w:t>补助</w:t>
            </w:r>
          </w:p>
        </w:tc>
        <w:tc>
          <w:tcPr>
            <w:tcW w:w="3827" w:type="dxa"/>
            <w:shd w:val="clear" w:color="auto" w:fill="auto"/>
            <w:vAlign w:val="center"/>
          </w:tcPr>
          <w:p>
            <w:pPr>
              <w:pStyle w:val="531"/>
              <w:widowControl w:val="0"/>
              <w:jc w:val="both"/>
              <w:rPr>
                <w:szCs w:val="21"/>
              </w:rPr>
            </w:pPr>
            <w:r>
              <w:rPr>
                <w:rFonts w:hint="eastAsia"/>
                <w:color w:val="000000"/>
                <w:spacing w:val="-20"/>
                <w:szCs w:val="21"/>
              </w:rPr>
              <w:t>2021年度市级外经贸发展政策支持金额</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color w:val="000000"/>
                <w:spacing w:val="-20"/>
                <w:szCs w:val="21"/>
              </w:rPr>
              <w:t>500</w:t>
            </w:r>
          </w:p>
        </w:tc>
        <w:tc>
          <w:tcPr>
            <w:tcW w:w="850" w:type="dxa"/>
            <w:shd w:val="clear" w:color="auto" w:fill="auto"/>
            <w:vAlign w:val="center"/>
          </w:tcPr>
          <w:p>
            <w:pPr>
              <w:pStyle w:val="531"/>
              <w:widowControl w:val="0"/>
              <w:jc w:val="right"/>
              <w:rPr>
                <w:szCs w:val="21"/>
              </w:rPr>
            </w:pPr>
            <w:r>
              <w:rPr>
                <w:rFonts w:hint="eastAsia"/>
                <w:color w:val="000000"/>
                <w:spacing w:val="-20"/>
                <w:szCs w:val="21"/>
              </w:rPr>
              <w:t>　</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重点产业和工业园区发展专项资金</w:t>
            </w:r>
          </w:p>
        </w:tc>
        <w:tc>
          <w:tcPr>
            <w:tcW w:w="2126" w:type="dxa"/>
            <w:shd w:val="clear" w:color="auto" w:fill="auto"/>
            <w:vAlign w:val="center"/>
          </w:tcPr>
          <w:p>
            <w:pPr>
              <w:pStyle w:val="531"/>
              <w:widowControl w:val="0"/>
              <w:jc w:val="both"/>
              <w:rPr>
                <w:szCs w:val="21"/>
              </w:rPr>
            </w:pPr>
            <w:r>
              <w:rPr>
                <w:rFonts w:hint="eastAsia"/>
                <w:color w:val="000000"/>
                <w:spacing w:val="-20"/>
                <w:szCs w:val="21"/>
              </w:rPr>
              <w:t>鄂尔多斯市财政局</w:t>
            </w:r>
          </w:p>
        </w:tc>
        <w:tc>
          <w:tcPr>
            <w:tcW w:w="851" w:type="dxa"/>
            <w:shd w:val="clear" w:color="auto" w:fill="auto"/>
            <w:vAlign w:val="center"/>
          </w:tcPr>
          <w:p>
            <w:pPr>
              <w:pStyle w:val="531"/>
              <w:widowControl w:val="0"/>
              <w:jc w:val="center"/>
              <w:rPr>
                <w:szCs w:val="21"/>
              </w:rPr>
            </w:pPr>
            <w:r>
              <w:rPr>
                <w:rFonts w:hint="eastAsia"/>
                <w:color w:val="000000"/>
                <w:spacing w:val="-20"/>
                <w:szCs w:val="21"/>
              </w:rPr>
              <w:t>补助</w:t>
            </w:r>
          </w:p>
        </w:tc>
        <w:tc>
          <w:tcPr>
            <w:tcW w:w="3827" w:type="dxa"/>
            <w:shd w:val="clear" w:color="auto" w:fill="auto"/>
            <w:vAlign w:val="center"/>
          </w:tcPr>
          <w:p>
            <w:pPr>
              <w:pStyle w:val="531"/>
              <w:widowControl w:val="0"/>
              <w:jc w:val="both"/>
              <w:rPr>
                <w:szCs w:val="21"/>
              </w:rPr>
            </w:pPr>
            <w:r>
              <w:rPr>
                <w:rFonts w:hint="eastAsia"/>
                <w:color w:val="000000"/>
                <w:spacing w:val="-20"/>
                <w:szCs w:val="21"/>
              </w:rPr>
              <w:t>2023年自治区重点产业和工业园区发展资金</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color w:val="000000"/>
                <w:spacing w:val="-20"/>
                <w:szCs w:val="21"/>
              </w:rPr>
              <w:t>500</w:t>
            </w:r>
          </w:p>
        </w:tc>
        <w:tc>
          <w:tcPr>
            <w:tcW w:w="850" w:type="dxa"/>
            <w:shd w:val="clear" w:color="auto" w:fill="auto"/>
            <w:vAlign w:val="center"/>
          </w:tcPr>
          <w:p>
            <w:pPr>
              <w:pStyle w:val="531"/>
              <w:widowControl w:val="0"/>
              <w:jc w:val="right"/>
              <w:rPr>
                <w:szCs w:val="21"/>
              </w:rPr>
            </w:pPr>
            <w:r>
              <w:rPr>
                <w:rFonts w:hint="eastAsia"/>
                <w:color w:val="000000"/>
                <w:spacing w:val="-20"/>
                <w:szCs w:val="21"/>
              </w:rPr>
              <w:t>　</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上海创新金融奖奖金</w:t>
            </w:r>
          </w:p>
        </w:tc>
        <w:tc>
          <w:tcPr>
            <w:tcW w:w="2126" w:type="dxa"/>
            <w:shd w:val="clear" w:color="auto" w:fill="auto"/>
            <w:vAlign w:val="center"/>
          </w:tcPr>
          <w:p>
            <w:pPr>
              <w:pStyle w:val="531"/>
              <w:widowControl w:val="0"/>
              <w:jc w:val="both"/>
              <w:rPr>
                <w:szCs w:val="21"/>
              </w:rPr>
            </w:pPr>
            <w:r>
              <w:rPr>
                <w:rFonts w:hint="eastAsia"/>
                <w:color w:val="000000"/>
                <w:spacing w:val="-20"/>
                <w:szCs w:val="21"/>
              </w:rPr>
              <w:t>上海市人民政府</w:t>
            </w:r>
          </w:p>
        </w:tc>
        <w:tc>
          <w:tcPr>
            <w:tcW w:w="851" w:type="dxa"/>
            <w:shd w:val="clear" w:color="auto" w:fill="auto"/>
            <w:vAlign w:val="center"/>
          </w:tcPr>
          <w:p>
            <w:pPr>
              <w:pStyle w:val="531"/>
              <w:widowControl w:val="0"/>
              <w:jc w:val="center"/>
              <w:rPr>
                <w:szCs w:val="21"/>
              </w:rPr>
            </w:pPr>
            <w:r>
              <w:rPr>
                <w:rFonts w:hint="eastAsia"/>
                <w:color w:val="000000"/>
                <w:spacing w:val="-20"/>
                <w:szCs w:val="21"/>
              </w:rPr>
              <w:t>奖励</w:t>
            </w:r>
          </w:p>
        </w:tc>
        <w:tc>
          <w:tcPr>
            <w:tcW w:w="3827" w:type="dxa"/>
            <w:shd w:val="clear" w:color="auto" w:fill="auto"/>
            <w:vAlign w:val="center"/>
          </w:tcPr>
          <w:p>
            <w:pPr>
              <w:pStyle w:val="531"/>
              <w:widowControl w:val="0"/>
              <w:jc w:val="both"/>
              <w:rPr>
                <w:szCs w:val="21"/>
              </w:rPr>
            </w:pPr>
            <w:r>
              <w:rPr>
                <w:rFonts w:hint="eastAsia"/>
                <w:color w:val="000000"/>
                <w:spacing w:val="-20"/>
                <w:szCs w:val="21"/>
              </w:rPr>
              <w:t>2021-2022年度上海金融创新奖</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color w:val="000000"/>
                <w:spacing w:val="-20"/>
                <w:szCs w:val="21"/>
              </w:rPr>
              <w:t>300</w:t>
            </w:r>
          </w:p>
        </w:tc>
        <w:tc>
          <w:tcPr>
            <w:tcW w:w="850" w:type="dxa"/>
            <w:shd w:val="clear" w:color="auto" w:fill="auto"/>
            <w:vAlign w:val="center"/>
          </w:tcPr>
          <w:p>
            <w:pPr>
              <w:pStyle w:val="531"/>
              <w:widowControl w:val="0"/>
              <w:jc w:val="right"/>
              <w:rPr>
                <w:szCs w:val="21"/>
              </w:rPr>
            </w:pPr>
            <w:r>
              <w:rPr>
                <w:rFonts w:hint="eastAsia"/>
                <w:color w:val="000000"/>
                <w:spacing w:val="-20"/>
                <w:szCs w:val="21"/>
              </w:rPr>
              <w:t>　</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失业保险基金稳定岗位补贴</w:t>
            </w:r>
          </w:p>
        </w:tc>
        <w:tc>
          <w:tcPr>
            <w:tcW w:w="2126" w:type="dxa"/>
            <w:shd w:val="clear" w:color="auto" w:fill="auto"/>
            <w:vAlign w:val="center"/>
          </w:tcPr>
          <w:p>
            <w:pPr>
              <w:pStyle w:val="531"/>
              <w:widowControl w:val="0"/>
              <w:jc w:val="both"/>
              <w:rPr>
                <w:szCs w:val="21"/>
              </w:rPr>
            </w:pPr>
            <w:r>
              <w:rPr>
                <w:rFonts w:hint="eastAsia"/>
                <w:color w:val="000000"/>
                <w:spacing w:val="-20"/>
                <w:szCs w:val="21"/>
              </w:rPr>
              <w:t>人力资源社会保障部</w:t>
            </w:r>
          </w:p>
        </w:tc>
        <w:tc>
          <w:tcPr>
            <w:tcW w:w="851" w:type="dxa"/>
            <w:shd w:val="clear" w:color="auto" w:fill="auto"/>
            <w:vAlign w:val="center"/>
          </w:tcPr>
          <w:p>
            <w:pPr>
              <w:pStyle w:val="531"/>
              <w:widowControl w:val="0"/>
              <w:jc w:val="center"/>
              <w:rPr>
                <w:szCs w:val="21"/>
              </w:rPr>
            </w:pPr>
            <w:r>
              <w:rPr>
                <w:rFonts w:hint="eastAsia"/>
                <w:color w:val="000000"/>
                <w:spacing w:val="-20"/>
                <w:szCs w:val="21"/>
              </w:rPr>
              <w:t>补助</w:t>
            </w:r>
          </w:p>
        </w:tc>
        <w:tc>
          <w:tcPr>
            <w:tcW w:w="3827" w:type="dxa"/>
            <w:shd w:val="clear" w:color="auto" w:fill="auto"/>
            <w:vAlign w:val="center"/>
          </w:tcPr>
          <w:p>
            <w:pPr>
              <w:pStyle w:val="531"/>
              <w:widowControl w:val="0"/>
              <w:jc w:val="both"/>
              <w:rPr>
                <w:szCs w:val="21"/>
              </w:rPr>
            </w:pPr>
            <w:r>
              <w:rPr>
                <w:rFonts w:hint="eastAsia"/>
                <w:color w:val="000000"/>
                <w:spacing w:val="-20"/>
                <w:szCs w:val="21"/>
              </w:rPr>
              <w:t>失业保险基金稳定岗位补贴</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color w:val="000000"/>
                <w:spacing w:val="-20"/>
                <w:szCs w:val="21"/>
              </w:rPr>
              <w:t>3</w:t>
            </w:r>
          </w:p>
        </w:tc>
        <w:tc>
          <w:tcPr>
            <w:tcW w:w="850" w:type="dxa"/>
            <w:shd w:val="clear" w:color="auto" w:fill="auto"/>
            <w:vAlign w:val="center"/>
          </w:tcPr>
          <w:p>
            <w:pPr>
              <w:pStyle w:val="531"/>
              <w:widowControl w:val="0"/>
              <w:jc w:val="right"/>
              <w:rPr>
                <w:szCs w:val="21"/>
              </w:rPr>
            </w:pPr>
            <w:r>
              <w:rPr>
                <w:color w:val="000000"/>
                <w:spacing w:val="-20"/>
                <w:szCs w:val="21"/>
              </w:rPr>
              <w:t>4,734</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上海企业扶持资金</w:t>
            </w:r>
          </w:p>
        </w:tc>
        <w:tc>
          <w:tcPr>
            <w:tcW w:w="2126" w:type="dxa"/>
            <w:shd w:val="clear" w:color="auto" w:fill="auto"/>
            <w:vAlign w:val="center"/>
          </w:tcPr>
          <w:p>
            <w:pPr>
              <w:pStyle w:val="531"/>
              <w:widowControl w:val="0"/>
              <w:jc w:val="both"/>
              <w:rPr>
                <w:szCs w:val="21"/>
              </w:rPr>
            </w:pPr>
            <w:r>
              <w:rPr>
                <w:rFonts w:hint="eastAsia"/>
                <w:color w:val="000000"/>
                <w:spacing w:val="-20"/>
                <w:szCs w:val="21"/>
              </w:rPr>
              <w:t>上海市浦东新区人民政府</w:t>
            </w:r>
          </w:p>
        </w:tc>
        <w:tc>
          <w:tcPr>
            <w:tcW w:w="851" w:type="dxa"/>
            <w:shd w:val="clear" w:color="auto" w:fill="auto"/>
            <w:vAlign w:val="center"/>
          </w:tcPr>
          <w:p>
            <w:pPr>
              <w:pStyle w:val="531"/>
              <w:widowControl w:val="0"/>
              <w:jc w:val="center"/>
              <w:rPr>
                <w:szCs w:val="21"/>
              </w:rPr>
            </w:pPr>
            <w:r>
              <w:rPr>
                <w:rFonts w:hint="eastAsia"/>
                <w:color w:val="000000"/>
                <w:spacing w:val="-20"/>
                <w:szCs w:val="21"/>
              </w:rPr>
              <w:t>奖励</w:t>
            </w:r>
          </w:p>
        </w:tc>
        <w:tc>
          <w:tcPr>
            <w:tcW w:w="3827" w:type="dxa"/>
            <w:shd w:val="clear" w:color="auto" w:fill="auto"/>
            <w:vAlign w:val="center"/>
          </w:tcPr>
          <w:p>
            <w:pPr>
              <w:pStyle w:val="531"/>
              <w:widowControl w:val="0"/>
              <w:jc w:val="both"/>
              <w:rPr>
                <w:szCs w:val="21"/>
              </w:rPr>
            </w:pPr>
            <w:r>
              <w:rPr>
                <w:rFonts w:hint="eastAsia"/>
                <w:color w:val="000000"/>
                <w:spacing w:val="-20"/>
                <w:szCs w:val="21"/>
              </w:rPr>
              <w:t>浦东新区“十三五”期间促进金融业发展的奖励</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rFonts w:hint="eastAsia"/>
                <w:color w:val="000000"/>
                <w:spacing w:val="-20"/>
                <w:szCs w:val="21"/>
              </w:rPr>
              <w:t>　</w:t>
            </w:r>
          </w:p>
        </w:tc>
        <w:tc>
          <w:tcPr>
            <w:tcW w:w="850" w:type="dxa"/>
            <w:shd w:val="clear" w:color="auto" w:fill="auto"/>
            <w:vAlign w:val="center"/>
          </w:tcPr>
          <w:p>
            <w:pPr>
              <w:pStyle w:val="531"/>
              <w:widowControl w:val="0"/>
              <w:jc w:val="right"/>
              <w:rPr>
                <w:szCs w:val="21"/>
              </w:rPr>
            </w:pPr>
            <w:r>
              <w:rPr>
                <w:color w:val="000000"/>
                <w:spacing w:val="-20"/>
                <w:szCs w:val="21"/>
              </w:rPr>
              <w:t>620</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VOCs治理项目专项资金</w:t>
            </w:r>
          </w:p>
        </w:tc>
        <w:tc>
          <w:tcPr>
            <w:tcW w:w="2126" w:type="dxa"/>
            <w:shd w:val="clear" w:color="auto" w:fill="auto"/>
            <w:vAlign w:val="center"/>
          </w:tcPr>
          <w:p>
            <w:pPr>
              <w:pStyle w:val="531"/>
              <w:widowControl w:val="0"/>
              <w:jc w:val="both"/>
              <w:rPr>
                <w:szCs w:val="21"/>
              </w:rPr>
            </w:pPr>
            <w:r>
              <w:rPr>
                <w:rFonts w:hint="eastAsia"/>
                <w:color w:val="000000"/>
                <w:spacing w:val="-20"/>
                <w:szCs w:val="21"/>
              </w:rPr>
              <w:t>鄂尔多斯市财政局</w:t>
            </w:r>
          </w:p>
        </w:tc>
        <w:tc>
          <w:tcPr>
            <w:tcW w:w="851" w:type="dxa"/>
            <w:shd w:val="clear" w:color="auto" w:fill="auto"/>
            <w:vAlign w:val="center"/>
          </w:tcPr>
          <w:p>
            <w:pPr>
              <w:pStyle w:val="531"/>
              <w:widowControl w:val="0"/>
              <w:jc w:val="center"/>
              <w:rPr>
                <w:szCs w:val="21"/>
              </w:rPr>
            </w:pPr>
            <w:r>
              <w:rPr>
                <w:rFonts w:hint="eastAsia"/>
                <w:color w:val="000000"/>
                <w:spacing w:val="-20"/>
                <w:szCs w:val="21"/>
              </w:rPr>
              <w:t>补助</w:t>
            </w:r>
          </w:p>
        </w:tc>
        <w:tc>
          <w:tcPr>
            <w:tcW w:w="3827" w:type="dxa"/>
            <w:shd w:val="clear" w:color="auto" w:fill="auto"/>
            <w:vAlign w:val="center"/>
          </w:tcPr>
          <w:p>
            <w:pPr>
              <w:pStyle w:val="531"/>
              <w:widowControl w:val="0"/>
              <w:jc w:val="both"/>
              <w:rPr>
                <w:szCs w:val="21"/>
              </w:rPr>
            </w:pPr>
            <w:r>
              <w:rPr>
                <w:rFonts w:hint="eastAsia"/>
                <w:color w:val="000000"/>
                <w:spacing w:val="-20"/>
                <w:szCs w:val="21"/>
              </w:rPr>
              <w:t>2022年自治区生态环境保护专项资金</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rFonts w:hint="eastAsia"/>
                <w:color w:val="000000"/>
                <w:spacing w:val="-20"/>
                <w:szCs w:val="21"/>
              </w:rPr>
              <w:t>　</w:t>
            </w:r>
          </w:p>
        </w:tc>
        <w:tc>
          <w:tcPr>
            <w:tcW w:w="850" w:type="dxa"/>
            <w:shd w:val="clear" w:color="auto" w:fill="auto"/>
            <w:vAlign w:val="center"/>
          </w:tcPr>
          <w:p>
            <w:pPr>
              <w:pStyle w:val="531"/>
              <w:widowControl w:val="0"/>
              <w:jc w:val="right"/>
              <w:rPr>
                <w:szCs w:val="21"/>
              </w:rPr>
            </w:pPr>
            <w:r>
              <w:rPr>
                <w:color w:val="000000"/>
                <w:spacing w:val="-20"/>
                <w:szCs w:val="21"/>
              </w:rPr>
              <w:t>2,600</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自治区重点产业发展专项资金</w:t>
            </w:r>
          </w:p>
        </w:tc>
        <w:tc>
          <w:tcPr>
            <w:tcW w:w="2126" w:type="dxa"/>
            <w:shd w:val="clear" w:color="auto" w:fill="auto"/>
            <w:vAlign w:val="center"/>
          </w:tcPr>
          <w:p>
            <w:pPr>
              <w:pStyle w:val="531"/>
              <w:widowControl w:val="0"/>
              <w:jc w:val="both"/>
              <w:rPr>
                <w:szCs w:val="21"/>
              </w:rPr>
            </w:pPr>
            <w:r>
              <w:rPr>
                <w:rFonts w:hint="eastAsia"/>
                <w:color w:val="000000"/>
                <w:spacing w:val="-20"/>
                <w:szCs w:val="21"/>
              </w:rPr>
              <w:t>内蒙古自治区财政厅</w:t>
            </w:r>
          </w:p>
        </w:tc>
        <w:tc>
          <w:tcPr>
            <w:tcW w:w="851" w:type="dxa"/>
            <w:shd w:val="clear" w:color="auto" w:fill="auto"/>
            <w:vAlign w:val="center"/>
          </w:tcPr>
          <w:p>
            <w:pPr>
              <w:pStyle w:val="531"/>
              <w:widowControl w:val="0"/>
              <w:jc w:val="center"/>
              <w:rPr>
                <w:szCs w:val="21"/>
              </w:rPr>
            </w:pPr>
            <w:r>
              <w:rPr>
                <w:rFonts w:hint="eastAsia"/>
                <w:color w:val="000000"/>
                <w:spacing w:val="-20"/>
                <w:szCs w:val="21"/>
              </w:rPr>
              <w:t>补助</w:t>
            </w:r>
          </w:p>
        </w:tc>
        <w:tc>
          <w:tcPr>
            <w:tcW w:w="3827" w:type="dxa"/>
            <w:shd w:val="clear" w:color="auto" w:fill="auto"/>
            <w:vAlign w:val="center"/>
          </w:tcPr>
          <w:p>
            <w:pPr>
              <w:pStyle w:val="531"/>
              <w:widowControl w:val="0"/>
              <w:jc w:val="both"/>
              <w:rPr>
                <w:szCs w:val="21"/>
              </w:rPr>
            </w:pPr>
            <w:r>
              <w:rPr>
                <w:rFonts w:hint="eastAsia"/>
                <w:color w:val="000000"/>
                <w:spacing w:val="-20"/>
                <w:szCs w:val="21"/>
              </w:rPr>
              <w:t>2021年自治区重点产业发展专项资金</w:t>
            </w: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rFonts w:hint="eastAsia"/>
                <w:color w:val="000000"/>
                <w:spacing w:val="-20"/>
                <w:szCs w:val="21"/>
              </w:rPr>
              <w:t>　</w:t>
            </w:r>
          </w:p>
        </w:tc>
        <w:tc>
          <w:tcPr>
            <w:tcW w:w="850" w:type="dxa"/>
            <w:shd w:val="clear" w:color="auto" w:fill="auto"/>
            <w:vAlign w:val="center"/>
          </w:tcPr>
          <w:p>
            <w:pPr>
              <w:pStyle w:val="531"/>
              <w:widowControl w:val="0"/>
              <w:jc w:val="right"/>
              <w:rPr>
                <w:szCs w:val="21"/>
              </w:rPr>
            </w:pPr>
            <w:r>
              <w:rPr>
                <w:color w:val="000000"/>
                <w:spacing w:val="-20"/>
                <w:szCs w:val="21"/>
              </w:rPr>
              <w:t xml:space="preserve">2,000 </w:t>
            </w:r>
            <w:r>
              <w:rPr>
                <w:rFonts w:hint="eastAsia"/>
                <w:color w:val="000000"/>
                <w:spacing w:val="-20"/>
                <w:szCs w:val="21"/>
              </w:rPr>
              <w:t xml:space="preserve">         </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auto"/>
            <w:vAlign w:val="center"/>
          </w:tcPr>
          <w:p>
            <w:pPr>
              <w:pStyle w:val="531"/>
              <w:widowControl w:val="0"/>
              <w:jc w:val="both"/>
              <w:rPr>
                <w:szCs w:val="21"/>
              </w:rPr>
            </w:pPr>
            <w:r>
              <w:rPr>
                <w:rFonts w:hint="eastAsia"/>
                <w:color w:val="000000"/>
                <w:spacing w:val="-20"/>
                <w:szCs w:val="21"/>
              </w:rPr>
              <w:t>其他</w:t>
            </w:r>
          </w:p>
        </w:tc>
        <w:tc>
          <w:tcPr>
            <w:tcW w:w="2126" w:type="dxa"/>
            <w:shd w:val="clear" w:color="auto" w:fill="auto"/>
            <w:vAlign w:val="center"/>
          </w:tcPr>
          <w:p>
            <w:pPr>
              <w:pStyle w:val="531"/>
              <w:widowControl w:val="0"/>
              <w:jc w:val="both"/>
              <w:rPr>
                <w:szCs w:val="21"/>
              </w:rPr>
            </w:pPr>
          </w:p>
        </w:tc>
        <w:tc>
          <w:tcPr>
            <w:tcW w:w="851" w:type="dxa"/>
            <w:shd w:val="clear" w:color="auto" w:fill="auto"/>
            <w:vAlign w:val="center"/>
          </w:tcPr>
          <w:p>
            <w:pPr>
              <w:pStyle w:val="531"/>
              <w:widowControl w:val="0"/>
              <w:jc w:val="both"/>
              <w:rPr>
                <w:szCs w:val="21"/>
              </w:rPr>
            </w:pPr>
          </w:p>
        </w:tc>
        <w:tc>
          <w:tcPr>
            <w:tcW w:w="3827" w:type="dxa"/>
            <w:shd w:val="clear" w:color="auto" w:fill="auto"/>
            <w:vAlign w:val="center"/>
          </w:tcPr>
          <w:p>
            <w:pPr>
              <w:pStyle w:val="531"/>
              <w:widowControl w:val="0"/>
              <w:jc w:val="both"/>
              <w:rPr>
                <w:szCs w:val="21"/>
              </w:rPr>
            </w:pPr>
          </w:p>
        </w:tc>
        <w:tc>
          <w:tcPr>
            <w:tcW w:w="1134" w:type="dxa"/>
            <w:shd w:val="clear" w:color="auto" w:fill="auto"/>
            <w:vAlign w:val="center"/>
          </w:tcPr>
          <w:p>
            <w:pPr>
              <w:pStyle w:val="531"/>
              <w:widowControl w:val="0"/>
              <w:jc w:val="center"/>
              <w:rPr>
                <w:szCs w:val="21"/>
              </w:rPr>
            </w:pPr>
            <w:r>
              <w:rPr>
                <w:rFonts w:hint="eastAsia"/>
                <w:color w:val="000000"/>
                <w:spacing w:val="-20"/>
                <w:szCs w:val="21"/>
              </w:rPr>
              <w:t>否</w:t>
            </w:r>
          </w:p>
        </w:tc>
        <w:tc>
          <w:tcPr>
            <w:tcW w:w="982" w:type="dxa"/>
            <w:shd w:val="clear" w:color="auto" w:fill="auto"/>
            <w:vAlign w:val="center"/>
          </w:tcPr>
          <w:p>
            <w:pPr>
              <w:pStyle w:val="531"/>
              <w:widowControl w:val="0"/>
              <w:jc w:val="center"/>
              <w:rPr>
                <w:szCs w:val="21"/>
              </w:rPr>
            </w:pPr>
            <w:r>
              <w:rPr>
                <w:rFonts w:hint="eastAsia"/>
                <w:color w:val="000000"/>
                <w:spacing w:val="-20"/>
                <w:szCs w:val="21"/>
              </w:rPr>
              <w:t>否</w:t>
            </w:r>
          </w:p>
        </w:tc>
        <w:tc>
          <w:tcPr>
            <w:tcW w:w="861" w:type="dxa"/>
            <w:shd w:val="clear" w:color="auto" w:fill="auto"/>
            <w:vAlign w:val="center"/>
          </w:tcPr>
          <w:p>
            <w:pPr>
              <w:pStyle w:val="531"/>
              <w:widowControl w:val="0"/>
              <w:jc w:val="right"/>
              <w:rPr>
                <w:szCs w:val="21"/>
              </w:rPr>
            </w:pPr>
            <w:r>
              <w:rPr>
                <w:color w:val="000000"/>
                <w:spacing w:val="-20"/>
                <w:szCs w:val="21"/>
              </w:rPr>
              <w:t>1,428</w:t>
            </w:r>
          </w:p>
        </w:tc>
        <w:tc>
          <w:tcPr>
            <w:tcW w:w="850" w:type="dxa"/>
            <w:shd w:val="clear" w:color="auto" w:fill="auto"/>
            <w:vAlign w:val="center"/>
          </w:tcPr>
          <w:p>
            <w:pPr>
              <w:pStyle w:val="531"/>
              <w:widowControl w:val="0"/>
              <w:jc w:val="right"/>
              <w:rPr>
                <w:szCs w:val="21"/>
              </w:rPr>
            </w:pPr>
            <w:r>
              <w:rPr>
                <w:color w:val="000000"/>
                <w:spacing w:val="-20"/>
                <w:szCs w:val="21"/>
              </w:rPr>
              <w:t>1,778</w:t>
            </w:r>
          </w:p>
        </w:tc>
        <w:tc>
          <w:tcPr>
            <w:tcW w:w="1252" w:type="dxa"/>
            <w:shd w:val="clear" w:color="auto" w:fill="auto"/>
            <w:vAlign w:val="center"/>
          </w:tcPr>
          <w:p>
            <w:pPr>
              <w:pStyle w:val="531"/>
              <w:widowControl w:val="0"/>
              <w:jc w:val="center"/>
              <w:rPr>
                <w:szCs w:val="21"/>
              </w:rPr>
            </w:pPr>
            <w:r>
              <w:rPr>
                <w:rFonts w:hint="eastAsia"/>
                <w:color w:val="000000"/>
                <w:spacing w:val="-20"/>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pStyle w:val="531"/>
              <w:widowControl w:val="0"/>
              <w:jc w:val="center"/>
              <w:rPr>
                <w:szCs w:val="21"/>
              </w:rPr>
            </w:pPr>
            <w:r>
              <w:rPr>
                <w:rFonts w:hint="eastAsia"/>
                <w:spacing w:val="-20"/>
                <w:szCs w:val="21"/>
              </w:rPr>
              <w:t>合计</w:t>
            </w:r>
          </w:p>
        </w:tc>
        <w:tc>
          <w:tcPr>
            <w:tcW w:w="2126" w:type="dxa"/>
            <w:vAlign w:val="center"/>
          </w:tcPr>
          <w:p>
            <w:pPr>
              <w:pStyle w:val="531"/>
              <w:widowControl w:val="0"/>
              <w:jc w:val="both"/>
              <w:rPr>
                <w:szCs w:val="21"/>
              </w:rPr>
            </w:pPr>
          </w:p>
        </w:tc>
        <w:tc>
          <w:tcPr>
            <w:tcW w:w="851" w:type="dxa"/>
            <w:vAlign w:val="center"/>
          </w:tcPr>
          <w:p>
            <w:pPr>
              <w:pStyle w:val="531"/>
              <w:widowControl w:val="0"/>
              <w:jc w:val="both"/>
              <w:rPr>
                <w:szCs w:val="21"/>
              </w:rPr>
            </w:pPr>
          </w:p>
        </w:tc>
        <w:tc>
          <w:tcPr>
            <w:tcW w:w="3827" w:type="dxa"/>
            <w:vAlign w:val="center"/>
          </w:tcPr>
          <w:p>
            <w:pPr>
              <w:pStyle w:val="531"/>
              <w:widowControl w:val="0"/>
              <w:jc w:val="both"/>
              <w:rPr>
                <w:szCs w:val="21"/>
              </w:rPr>
            </w:pPr>
          </w:p>
        </w:tc>
        <w:tc>
          <w:tcPr>
            <w:tcW w:w="1134" w:type="dxa"/>
            <w:vAlign w:val="center"/>
          </w:tcPr>
          <w:p>
            <w:pPr>
              <w:pStyle w:val="531"/>
              <w:widowControl w:val="0"/>
              <w:jc w:val="center"/>
              <w:rPr>
                <w:szCs w:val="21"/>
              </w:rPr>
            </w:pPr>
          </w:p>
        </w:tc>
        <w:tc>
          <w:tcPr>
            <w:tcW w:w="982" w:type="dxa"/>
            <w:vAlign w:val="center"/>
          </w:tcPr>
          <w:p>
            <w:pPr>
              <w:pStyle w:val="531"/>
              <w:widowControl w:val="0"/>
              <w:jc w:val="center"/>
              <w:rPr>
                <w:szCs w:val="21"/>
              </w:rPr>
            </w:pPr>
          </w:p>
        </w:tc>
        <w:tc>
          <w:tcPr>
            <w:tcW w:w="861" w:type="dxa"/>
            <w:vAlign w:val="center"/>
          </w:tcPr>
          <w:p>
            <w:pPr>
              <w:pStyle w:val="531"/>
              <w:widowControl w:val="0"/>
              <w:jc w:val="right"/>
              <w:rPr>
                <w:bCs/>
                <w:szCs w:val="21"/>
              </w:rPr>
            </w:pPr>
            <w:r>
              <w:rPr>
                <w:bCs/>
                <w:spacing w:val="-20"/>
                <w:szCs w:val="21"/>
              </w:rPr>
              <w:t>30,144</w:t>
            </w:r>
          </w:p>
        </w:tc>
        <w:tc>
          <w:tcPr>
            <w:tcW w:w="850" w:type="dxa"/>
            <w:vAlign w:val="center"/>
          </w:tcPr>
          <w:p>
            <w:pPr>
              <w:pStyle w:val="531"/>
              <w:widowControl w:val="0"/>
              <w:jc w:val="right"/>
              <w:rPr>
                <w:bCs/>
                <w:szCs w:val="21"/>
              </w:rPr>
            </w:pPr>
            <w:r>
              <w:rPr>
                <w:bCs/>
                <w:spacing w:val="-20"/>
                <w:szCs w:val="21"/>
              </w:rPr>
              <w:t>20,096</w:t>
            </w:r>
          </w:p>
        </w:tc>
        <w:tc>
          <w:tcPr>
            <w:tcW w:w="1252" w:type="dxa"/>
            <w:vAlign w:val="center"/>
          </w:tcPr>
          <w:p>
            <w:pPr>
              <w:pStyle w:val="531"/>
              <w:widowControl w:val="0"/>
              <w:jc w:val="both"/>
              <w:rPr>
                <w:szCs w:val="21"/>
              </w:rPr>
            </w:pPr>
          </w:p>
        </w:tc>
      </w:tr>
    </w:tbl>
    <w:p>
      <w:pPr>
        <w:spacing w:before="60" w:after="60" w:line="360" w:lineRule="exact"/>
      </w:pPr>
      <w:r>
        <w:rPr>
          <w:rFonts w:hint="eastAsia"/>
        </w:rPr>
        <w:t>其他说明：</w:t>
      </w:r>
    </w:p>
    <w:sdt>
      <w:sdtPr>
        <w:alias w:val="是否适用：营业外收入说明[双击切换]"/>
        <w:tag w:val="_GBC_746f9c9c9cab4c2a87c7913a430e2392"/>
        <w:id w:val="-1020013989"/>
        <w:placeholder>
          <w:docPart w:val="GBC22222222222222222222222222222"/>
        </w:placeholder>
      </w:sdtPr>
      <w:sdtContent>
        <w:p>
          <w:pPr>
            <w:spacing w:before="60" w:after="60" w:line="360" w:lineRule="exact"/>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31"/>
      </w:pPr>
    </w:p>
    <w:p>
      <w:pPr>
        <w:pStyle w:val="531"/>
      </w:pPr>
    </w:p>
    <w:p>
      <w:pPr>
        <w:pStyle w:val="531"/>
      </w:pPr>
    </w:p>
    <w:p>
      <w:pPr>
        <w:pStyle w:val="531"/>
      </w:pPr>
    </w:p>
    <w:p>
      <w:pPr>
        <w:pStyle w:val="531"/>
      </w:pPr>
    </w:p>
    <w:p>
      <w:pPr>
        <w:pStyle w:val="504"/>
        <w:numPr>
          <w:ilvl w:val="0"/>
          <w:numId w:val="69"/>
        </w:numPr>
        <w:tabs>
          <w:tab w:val="left" w:pos="504"/>
        </w:tabs>
        <w:rPr>
          <w:rFonts w:ascii="宋体" w:hAnsi="宋体"/>
          <w:szCs w:val="21"/>
        </w:rPr>
        <w:sectPr>
          <w:pgSz w:w="16838" w:h="11906" w:orient="landscape"/>
          <w:pgMar w:top="1276" w:right="1440" w:bottom="1797" w:left="1525" w:header="856" w:footer="992" w:gutter="0"/>
          <w:cols w:space="425" w:num="1"/>
          <w:docGrid w:linePitch="312" w:charSpace="0"/>
        </w:sectPr>
      </w:pPr>
    </w:p>
    <w:p>
      <w:pPr>
        <w:pStyle w:val="504"/>
        <w:numPr>
          <w:ilvl w:val="0"/>
          <w:numId w:val="69"/>
        </w:numPr>
        <w:tabs>
          <w:tab w:val="left" w:pos="504"/>
        </w:tabs>
        <w:rPr>
          <w:rFonts w:ascii="宋体" w:hAnsi="宋体"/>
          <w:szCs w:val="21"/>
        </w:rPr>
      </w:pPr>
      <w:r>
        <w:rPr>
          <w:rFonts w:hint="eastAsia" w:ascii="宋体" w:hAnsi="宋体"/>
          <w:szCs w:val="21"/>
        </w:rPr>
        <w:t>营业外支出</w:t>
      </w:r>
    </w:p>
    <w:sdt>
      <w:sdtPr>
        <w:rPr>
          <w:rFonts w:hint="eastAsia"/>
        </w:rPr>
        <w:alias w:val="是否适用：营业外支出[双击切换]"/>
        <w:tag w:val="_GBC_8e8d3e6e563742f48edf759d6034f4ce"/>
        <w:id w:val="1652638012"/>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财务附注：营业外支出"/>
          <w:tag w:val="_GBC_825ccc5a51fd47a4888bf19121bc88e6"/>
          <w:id w:val="-91465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营业外支出"/>
          <w:tag w:val="_GBC_0236683596bd499a92bd40e4c42dc931"/>
          <w:id w:val="3308024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376"/>
        <w:gridCol w:w="2329"/>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e5b39f95fae41609c103f36a1017c54"/>
            <w:id w:val="-469129432"/>
          </w:sdtPr>
          <w:sdtContent>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项目</w:t>
                </w:r>
              </w:p>
            </w:tc>
          </w:sdtContent>
        </w:sdt>
        <w:sdt>
          <w:sdtPr>
            <w:tag w:val="_PLD_9ea5703e0d9641a1acf20638053e3dd5"/>
            <w:id w:val="66852391"/>
          </w:sdtPr>
          <w:sdtContent>
            <w:tc>
              <w:tcPr>
                <w:tcW w:w="131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本期发生额</w:t>
                </w:r>
              </w:p>
            </w:tc>
          </w:sdtContent>
        </w:sdt>
        <w:sdt>
          <w:sdtPr>
            <w:tag w:val="_PLD_27cbc4bb29594bcfa61154a0d46b4d20"/>
            <w:id w:val="762960257"/>
          </w:sdtPr>
          <w:sdtContent>
            <w:tc>
              <w:tcPr>
                <w:tcW w:w="12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上期发生额</w:t>
                </w:r>
              </w:p>
            </w:tc>
          </w:sdtContent>
        </w:sdt>
        <w:sdt>
          <w:sdtPr>
            <w:tag w:val="_PLD_cab5bf568f924fed9d087fb26b588481"/>
            <w:id w:val="-1960637649"/>
          </w:sdt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vAlign w:val="center"/>
          </w:tcPr>
          <w:p>
            <w:pPr>
              <w:autoSpaceDE w:val="0"/>
              <w:autoSpaceDN w:val="0"/>
              <w:adjustRightInd w:val="0"/>
              <w:rPr>
                <w:rFonts w:asciiTheme="minorEastAsia" w:hAnsiTheme="minorEastAsia" w:eastAsiaTheme="minorEastAsia"/>
              </w:rPr>
            </w:pPr>
            <w:r>
              <w:rPr>
                <w:rFonts w:hint="eastAsia" w:cs="仿宋_GB2312" w:asciiTheme="minorEastAsia" w:hAnsiTheme="minorEastAsia" w:eastAsiaTheme="minorEastAsia"/>
              </w:rPr>
              <w:t>罚款及滞纳金</w:t>
            </w:r>
          </w:p>
        </w:tc>
        <w:tc>
          <w:tcPr>
            <w:tcW w:w="1313" w:type="pct"/>
            <w:vAlign w:val="center"/>
          </w:tcPr>
          <w:p>
            <w:pPr>
              <w:jc w:val="right"/>
              <w:rPr>
                <w:rFonts w:asciiTheme="minorEastAsia" w:hAnsiTheme="minorEastAsia" w:eastAsiaTheme="minorEastAsia"/>
              </w:rPr>
            </w:pPr>
            <w:r>
              <w:rPr>
                <w:rFonts w:asciiTheme="minorEastAsia" w:hAnsiTheme="minorEastAsia" w:eastAsiaTheme="minorEastAsia"/>
              </w:rPr>
              <w:t>134,485</w:t>
            </w:r>
          </w:p>
        </w:tc>
        <w:tc>
          <w:tcPr>
            <w:tcW w:w="1287" w:type="pct"/>
            <w:vAlign w:val="center"/>
          </w:tcPr>
          <w:p>
            <w:pPr>
              <w:jc w:val="right"/>
              <w:rPr>
                <w:rFonts w:asciiTheme="minorEastAsia" w:hAnsiTheme="minorEastAsia" w:eastAsiaTheme="minorEastAsia"/>
              </w:rPr>
            </w:pPr>
            <w:r>
              <w:rPr>
                <w:rFonts w:asciiTheme="minorEastAsia" w:hAnsiTheme="minorEastAsia" w:eastAsiaTheme="minorEastAsia"/>
              </w:rPr>
              <w:t>277,866</w:t>
            </w:r>
          </w:p>
        </w:tc>
        <w:tc>
          <w:tcPr>
            <w:tcW w:w="1280" w:type="pct"/>
            <w:vAlign w:val="center"/>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134,485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vAlign w:val="center"/>
          </w:tcPr>
          <w:p>
            <w:pPr>
              <w:autoSpaceDE w:val="0"/>
              <w:autoSpaceDN w:val="0"/>
              <w:adjustRightInd w:val="0"/>
              <w:rPr>
                <w:rFonts w:asciiTheme="minorEastAsia" w:hAnsiTheme="minorEastAsia" w:eastAsiaTheme="minorEastAsia"/>
              </w:rPr>
            </w:pPr>
            <w:r>
              <w:rPr>
                <w:rFonts w:hint="eastAsia" w:cs="仿宋_GB2312" w:asciiTheme="minorEastAsia" w:hAnsiTheme="minorEastAsia" w:eastAsiaTheme="minorEastAsia"/>
              </w:rPr>
              <w:t>对外捐赠</w:t>
            </w:r>
          </w:p>
        </w:tc>
        <w:tc>
          <w:tcPr>
            <w:tcW w:w="1313" w:type="pct"/>
            <w:vAlign w:val="center"/>
          </w:tcPr>
          <w:p>
            <w:pPr>
              <w:jc w:val="right"/>
              <w:rPr>
                <w:rFonts w:asciiTheme="minorEastAsia" w:hAnsiTheme="minorEastAsia" w:eastAsiaTheme="minorEastAsia"/>
              </w:rPr>
            </w:pPr>
            <w:r>
              <w:rPr>
                <w:rFonts w:asciiTheme="minorEastAsia" w:hAnsiTheme="minorEastAsia" w:eastAsiaTheme="minorEastAsia"/>
              </w:rPr>
              <w:t>50,486</w:t>
            </w:r>
          </w:p>
        </w:tc>
        <w:tc>
          <w:tcPr>
            <w:tcW w:w="1287" w:type="pct"/>
            <w:vAlign w:val="center"/>
          </w:tcPr>
          <w:p>
            <w:pPr>
              <w:jc w:val="right"/>
              <w:rPr>
                <w:rFonts w:asciiTheme="minorEastAsia" w:hAnsiTheme="minorEastAsia" w:eastAsiaTheme="minorEastAsia"/>
              </w:rPr>
            </w:pPr>
            <w:r>
              <w:rPr>
                <w:rFonts w:asciiTheme="minorEastAsia" w:hAnsiTheme="minorEastAsia" w:eastAsiaTheme="minorEastAsia"/>
              </w:rPr>
              <w:t>104,127</w:t>
            </w:r>
          </w:p>
        </w:tc>
        <w:tc>
          <w:tcPr>
            <w:tcW w:w="1280" w:type="pct"/>
            <w:vAlign w:val="center"/>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50,486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vAlign w:val="center"/>
          </w:tcPr>
          <w:p>
            <w:pPr>
              <w:autoSpaceDE w:val="0"/>
              <w:autoSpaceDN w:val="0"/>
              <w:adjustRightInd w:val="0"/>
              <w:rPr>
                <w:rFonts w:asciiTheme="minorEastAsia" w:hAnsiTheme="minorEastAsia" w:eastAsiaTheme="minorEastAsia"/>
              </w:rPr>
            </w:pPr>
            <w:r>
              <w:rPr>
                <w:rFonts w:hint="eastAsia" w:cs="仿宋_GB2312" w:asciiTheme="minorEastAsia" w:hAnsiTheme="minorEastAsia" w:eastAsiaTheme="minorEastAsia"/>
              </w:rPr>
              <w:t>非流动资产毁损报废损失</w:t>
            </w:r>
          </w:p>
        </w:tc>
        <w:tc>
          <w:tcPr>
            <w:tcW w:w="1313" w:type="pct"/>
            <w:vAlign w:val="center"/>
          </w:tcPr>
          <w:p>
            <w:pPr>
              <w:jc w:val="right"/>
              <w:rPr>
                <w:rFonts w:asciiTheme="minorEastAsia" w:hAnsiTheme="minorEastAsia" w:eastAsiaTheme="minorEastAsia"/>
              </w:rPr>
            </w:pPr>
            <w:r>
              <w:rPr>
                <w:rFonts w:asciiTheme="minorEastAsia" w:hAnsiTheme="minorEastAsia" w:eastAsiaTheme="minorEastAsia"/>
              </w:rPr>
              <w:t>6,576</w:t>
            </w:r>
          </w:p>
        </w:tc>
        <w:tc>
          <w:tcPr>
            <w:tcW w:w="1287" w:type="pct"/>
            <w:vAlign w:val="center"/>
          </w:tcPr>
          <w:p>
            <w:pPr>
              <w:jc w:val="right"/>
              <w:rPr>
                <w:rFonts w:asciiTheme="minorEastAsia" w:hAnsiTheme="minorEastAsia" w:eastAsiaTheme="minorEastAsia"/>
              </w:rPr>
            </w:pPr>
            <w:r>
              <w:rPr>
                <w:rFonts w:asciiTheme="minorEastAsia" w:hAnsiTheme="minorEastAsia" w:eastAsiaTheme="minorEastAsia"/>
              </w:rPr>
              <w:t>33,746</w:t>
            </w:r>
          </w:p>
        </w:tc>
        <w:tc>
          <w:tcPr>
            <w:tcW w:w="1280" w:type="pct"/>
            <w:vAlign w:val="center"/>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6,576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vAlign w:val="center"/>
          </w:tcPr>
          <w:p>
            <w:pPr>
              <w:autoSpaceDE w:val="0"/>
              <w:autoSpaceDN w:val="0"/>
              <w:adjustRightInd w:val="0"/>
              <w:rPr>
                <w:rFonts w:asciiTheme="minorEastAsia" w:hAnsiTheme="minorEastAsia" w:eastAsiaTheme="minorEastAsia"/>
              </w:rPr>
            </w:pPr>
            <w:r>
              <w:rPr>
                <w:rFonts w:hint="eastAsia" w:cs="仿宋_GB2312" w:asciiTheme="minorEastAsia" w:hAnsiTheme="minorEastAsia" w:eastAsiaTheme="minorEastAsia"/>
              </w:rPr>
              <w:t>非常损失</w:t>
            </w:r>
          </w:p>
        </w:tc>
        <w:tc>
          <w:tcPr>
            <w:tcW w:w="1313" w:type="pct"/>
            <w:vAlign w:val="center"/>
          </w:tcPr>
          <w:p>
            <w:pPr>
              <w:jc w:val="right"/>
              <w:rPr>
                <w:rFonts w:asciiTheme="minorEastAsia" w:hAnsiTheme="minorEastAsia" w:eastAsiaTheme="minorEastAsia"/>
              </w:rPr>
            </w:pPr>
            <w:r>
              <w:rPr>
                <w:rFonts w:asciiTheme="minorEastAsia" w:hAnsiTheme="minorEastAsia" w:eastAsiaTheme="minorEastAsia"/>
              </w:rPr>
              <w:t>6,309</w:t>
            </w:r>
          </w:p>
        </w:tc>
        <w:tc>
          <w:tcPr>
            <w:tcW w:w="1287" w:type="pct"/>
            <w:vAlign w:val="center"/>
          </w:tcPr>
          <w:p>
            <w:pPr>
              <w:jc w:val="right"/>
              <w:rPr>
                <w:rFonts w:asciiTheme="minorEastAsia" w:hAnsiTheme="minorEastAsia" w:eastAsiaTheme="minorEastAsia"/>
              </w:rPr>
            </w:pPr>
            <w:r>
              <w:rPr>
                <w:rFonts w:asciiTheme="minorEastAsia" w:hAnsiTheme="minorEastAsia" w:eastAsiaTheme="minorEastAsia"/>
              </w:rPr>
              <w:t>6,198</w:t>
            </w:r>
          </w:p>
        </w:tc>
        <w:tc>
          <w:tcPr>
            <w:tcW w:w="1280" w:type="pct"/>
            <w:vAlign w:val="center"/>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6,309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vAlign w:val="center"/>
          </w:tcPr>
          <w:p>
            <w:pPr>
              <w:autoSpaceDE w:val="0"/>
              <w:autoSpaceDN w:val="0"/>
              <w:adjustRightInd w:val="0"/>
              <w:rPr>
                <w:rFonts w:asciiTheme="minorEastAsia" w:hAnsiTheme="minorEastAsia" w:eastAsiaTheme="minorEastAsia"/>
              </w:rPr>
            </w:pPr>
            <w:r>
              <w:rPr>
                <w:rFonts w:hint="eastAsia" w:cs="仿宋_GB2312" w:asciiTheme="minorEastAsia" w:hAnsiTheme="minorEastAsia" w:eastAsiaTheme="minorEastAsia"/>
              </w:rPr>
              <w:t>盘亏损失</w:t>
            </w:r>
          </w:p>
        </w:tc>
        <w:tc>
          <w:tcPr>
            <w:tcW w:w="1313" w:type="pct"/>
            <w:vAlign w:val="center"/>
          </w:tcPr>
          <w:p>
            <w:pPr>
              <w:jc w:val="right"/>
              <w:rPr>
                <w:rFonts w:asciiTheme="minorEastAsia" w:hAnsiTheme="minorEastAsia" w:eastAsiaTheme="minorEastAsia"/>
              </w:rPr>
            </w:pPr>
          </w:p>
        </w:tc>
        <w:tc>
          <w:tcPr>
            <w:tcW w:w="1287" w:type="pct"/>
            <w:vAlign w:val="center"/>
          </w:tcPr>
          <w:p>
            <w:pPr>
              <w:jc w:val="right"/>
              <w:rPr>
                <w:rFonts w:asciiTheme="minorEastAsia" w:hAnsiTheme="minorEastAsia" w:eastAsiaTheme="minorEastAsia"/>
              </w:rPr>
            </w:pPr>
            <w:r>
              <w:rPr>
                <w:rFonts w:asciiTheme="minorEastAsia" w:hAnsiTheme="minorEastAsia" w:eastAsiaTheme="minorEastAsia"/>
              </w:rPr>
              <w:t>269,218</w:t>
            </w:r>
          </w:p>
        </w:tc>
        <w:tc>
          <w:tcPr>
            <w:tcW w:w="1280" w:type="pct"/>
            <w:vAlign w:val="center"/>
          </w:tcPr>
          <w:p>
            <w:pPr>
              <w:autoSpaceDE w:val="0"/>
              <w:autoSpaceDN w:val="0"/>
              <w:adjustRightInd w:val="0"/>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vAlign w:val="center"/>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其他</w:t>
            </w:r>
          </w:p>
        </w:tc>
        <w:tc>
          <w:tcPr>
            <w:tcW w:w="1313" w:type="pct"/>
            <w:vAlign w:val="center"/>
          </w:tcPr>
          <w:p>
            <w:pPr>
              <w:jc w:val="right"/>
              <w:rPr>
                <w:rFonts w:asciiTheme="minorEastAsia" w:hAnsiTheme="minorEastAsia" w:eastAsiaTheme="minorEastAsia"/>
              </w:rPr>
            </w:pPr>
            <w:r>
              <w:rPr>
                <w:rFonts w:asciiTheme="minorEastAsia" w:hAnsiTheme="minorEastAsia" w:eastAsiaTheme="minorEastAsia"/>
              </w:rPr>
              <w:t>125,140</w:t>
            </w:r>
          </w:p>
        </w:tc>
        <w:tc>
          <w:tcPr>
            <w:tcW w:w="1287" w:type="pct"/>
            <w:vAlign w:val="center"/>
          </w:tcPr>
          <w:p>
            <w:pPr>
              <w:jc w:val="right"/>
              <w:rPr>
                <w:rFonts w:asciiTheme="minorEastAsia" w:hAnsiTheme="minorEastAsia" w:eastAsiaTheme="minorEastAsia"/>
              </w:rPr>
            </w:pPr>
            <w:r>
              <w:rPr>
                <w:rFonts w:asciiTheme="minorEastAsia" w:hAnsiTheme="minorEastAsia" w:eastAsiaTheme="minorEastAsia"/>
              </w:rPr>
              <w:t>54,568</w:t>
            </w:r>
          </w:p>
        </w:tc>
        <w:tc>
          <w:tcPr>
            <w:tcW w:w="1280" w:type="pct"/>
            <w:vAlign w:val="center"/>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125,140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ind w:right="6"/>
              <w:jc w:val="center"/>
              <w:rPr>
                <w:rFonts w:asciiTheme="minorEastAsia" w:hAnsiTheme="minorEastAsia" w:eastAsiaTheme="minorEastAsia"/>
              </w:rPr>
            </w:pPr>
            <w:r>
              <w:rPr>
                <w:rFonts w:hint="eastAsia" w:asciiTheme="minorEastAsia" w:hAnsiTheme="minorEastAsia" w:eastAsiaTheme="minorEastAsia"/>
              </w:rPr>
              <w:t>合计</w:t>
            </w:r>
          </w:p>
        </w:tc>
        <w:tc>
          <w:tcPr>
            <w:tcW w:w="1313" w:type="pct"/>
            <w:vAlign w:val="center"/>
          </w:tcPr>
          <w:p>
            <w:pPr>
              <w:jc w:val="right"/>
              <w:rPr>
                <w:rFonts w:asciiTheme="minorEastAsia" w:hAnsiTheme="minorEastAsia" w:eastAsiaTheme="minorEastAsia"/>
              </w:rPr>
            </w:pPr>
            <w:r>
              <w:rPr>
                <w:rFonts w:asciiTheme="minorEastAsia" w:hAnsiTheme="minorEastAsia" w:eastAsiaTheme="minorEastAsia"/>
              </w:rPr>
              <w:t>322,996</w:t>
            </w:r>
          </w:p>
        </w:tc>
        <w:tc>
          <w:tcPr>
            <w:tcW w:w="1287" w:type="pct"/>
            <w:vAlign w:val="center"/>
          </w:tcPr>
          <w:p>
            <w:pPr>
              <w:jc w:val="right"/>
              <w:rPr>
                <w:rFonts w:asciiTheme="minorEastAsia" w:hAnsiTheme="minorEastAsia" w:eastAsiaTheme="minorEastAsia"/>
              </w:rPr>
            </w:pPr>
            <w:r>
              <w:rPr>
                <w:rFonts w:asciiTheme="minorEastAsia" w:hAnsiTheme="minorEastAsia" w:eastAsiaTheme="minorEastAsia"/>
              </w:rPr>
              <w:t>745,723</w:t>
            </w:r>
          </w:p>
        </w:tc>
        <w:tc>
          <w:tcPr>
            <w:tcW w:w="1280" w:type="pct"/>
            <w:vAlign w:val="center"/>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322,996</w:t>
            </w:r>
          </w:p>
        </w:tc>
      </w:tr>
    </w:tbl>
    <w:p>
      <w:pPr>
        <w:pStyle w:val="501"/>
      </w:pPr>
    </w:p>
    <w:p>
      <w:pPr>
        <w:pStyle w:val="531"/>
      </w:pPr>
    </w:p>
    <w:p>
      <w:pPr>
        <w:pStyle w:val="504"/>
        <w:numPr>
          <w:ilvl w:val="0"/>
          <w:numId w:val="69"/>
        </w:numPr>
        <w:tabs>
          <w:tab w:val="left" w:pos="504"/>
        </w:tabs>
        <w:rPr>
          <w:rFonts w:ascii="宋体" w:hAnsi="宋体"/>
          <w:szCs w:val="21"/>
        </w:rPr>
      </w:pPr>
      <w:r>
        <w:rPr>
          <w:rFonts w:hint="eastAsia" w:ascii="宋体" w:hAnsi="宋体"/>
          <w:szCs w:val="21"/>
        </w:rPr>
        <w:t>所得税费用</w:t>
      </w:r>
    </w:p>
    <w:p>
      <w:pPr>
        <w:pStyle w:val="505"/>
        <w:numPr>
          <w:ilvl w:val="0"/>
          <w:numId w:val="107"/>
        </w:numPr>
        <w:ind w:left="210" w:hanging="252"/>
      </w:pPr>
      <w:bookmarkStart w:id="334" w:name="_Hlk162279371"/>
      <w:r>
        <w:rPr>
          <w:rFonts w:hint="eastAsia"/>
        </w:rPr>
        <w:t>所得税费用表</w:t>
      </w:r>
    </w:p>
    <w:bookmarkEnd w:id="334"/>
    <w:sdt>
      <w:sdtPr>
        <w:alias w:val="是否适用：所得税费用表[双击切换]"/>
        <w:tag w:val="_GBC_3ea18046339d457a8712506679035498"/>
        <w:id w:val="1462847247"/>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pPr>
      <w:r>
        <w:rPr>
          <w:rFonts w:hint="eastAsia"/>
        </w:rPr>
        <w:t>单位：</w:t>
      </w:r>
      <w:sdt>
        <w:sdtPr>
          <w:rPr>
            <w:rFonts w:hint="eastAsia"/>
          </w:rPr>
          <w:alias w:val="单位：财务附注：所得税费用"/>
          <w:tag w:val="_GBC_5e89c62734b24d50a562694dcf8d2206"/>
          <w:id w:val="17616380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所得税费用"/>
          <w:tag w:val="_GBC_9c72c96e28344525b1836b3923556f61"/>
          <w:id w:val="-11536723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15"/>
        <w:gridCol w:w="2930"/>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79" w:hRule="atLeast"/>
        </w:trPr>
        <w:sdt>
          <w:sdtPr>
            <w:tag w:val="_PLD_e0d72a7f55e04c898352587240ce636b"/>
            <w:id w:val="-1184813749"/>
          </w:sdtPr>
          <w:sdtContent>
            <w:tc>
              <w:tcPr>
                <w:tcW w:w="1774" w:type="pct"/>
                <w:vAlign w:val="center"/>
              </w:tcPr>
              <w:p>
                <w:pPr>
                  <w:ind w:right="6"/>
                  <w:jc w:val="center"/>
                </w:pPr>
                <w:r>
                  <w:rPr>
                    <w:rFonts w:hint="eastAsia"/>
                  </w:rPr>
                  <w:t>项目</w:t>
                </w:r>
              </w:p>
            </w:tc>
          </w:sdtContent>
        </w:sdt>
        <w:sdt>
          <w:sdtPr>
            <w:tag w:val="_PLD_e2b12491de324856a6b2f7034aa875da"/>
            <w:id w:val="-367760343"/>
          </w:sdtPr>
          <w:sdtContent>
            <w:tc>
              <w:tcPr>
                <w:tcW w:w="1617" w:type="pct"/>
                <w:vAlign w:val="center"/>
              </w:tcPr>
              <w:p>
                <w:pPr>
                  <w:ind w:right="6"/>
                  <w:jc w:val="center"/>
                </w:pPr>
                <w:r>
                  <w:rPr>
                    <w:rFonts w:hint="eastAsia"/>
                  </w:rPr>
                  <w:t>本期发生额</w:t>
                </w:r>
              </w:p>
            </w:tc>
          </w:sdtContent>
        </w:sdt>
        <w:sdt>
          <w:sdtPr>
            <w:tag w:val="_PLD_4b2515977b8d462088eb538637703bf1"/>
            <w:id w:val="-1085910164"/>
          </w:sdtPr>
          <w:sdtContent>
            <w:tc>
              <w:tcPr>
                <w:tcW w:w="1608" w:type="pct"/>
                <w:vAlign w:val="center"/>
              </w:tcPr>
              <w:p>
                <w:pPr>
                  <w:ind w:right="6"/>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pPr>
              <w:ind w:right="6"/>
              <w:rPr>
                <w:b/>
                <w:bCs/>
              </w:rPr>
            </w:pPr>
            <w:r>
              <w:rPr>
                <w:rFonts w:hint="eastAsia"/>
              </w:rPr>
              <w:t>当期所得税费用</w:t>
            </w:r>
          </w:p>
        </w:tc>
        <w:tc>
          <w:tcPr>
            <w:tcW w:w="1617" w:type="pct"/>
          </w:tcPr>
          <w:p>
            <w:pPr>
              <w:jc w:val="right"/>
              <w:rPr>
                <w:rFonts w:ascii="宋体" w:hAnsi="宋体"/>
              </w:rPr>
            </w:pPr>
            <w:r>
              <w:rPr>
                <w:rFonts w:ascii="宋体" w:hAnsi="宋体"/>
              </w:rPr>
              <w:t>9,647,412</w:t>
            </w:r>
          </w:p>
        </w:tc>
        <w:tc>
          <w:tcPr>
            <w:tcW w:w="1608" w:type="pct"/>
          </w:tcPr>
          <w:p>
            <w:pPr>
              <w:ind w:right="6"/>
              <w:jc w:val="right"/>
              <w:rPr>
                <w:rFonts w:ascii="宋体" w:hAnsi="宋体"/>
              </w:rPr>
            </w:pPr>
            <w:r>
              <w:rPr>
                <w:rFonts w:ascii="宋体" w:hAnsi="宋体"/>
              </w:rPr>
              <w:t>16,454,306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pPr>
              <w:ind w:right="6"/>
            </w:pPr>
            <w:r>
              <w:rPr>
                <w:rFonts w:hint="eastAsia"/>
              </w:rPr>
              <w:t>递延所得税费用</w:t>
            </w:r>
          </w:p>
        </w:tc>
        <w:tc>
          <w:tcPr>
            <w:tcW w:w="1617" w:type="pct"/>
          </w:tcPr>
          <w:p>
            <w:pPr>
              <w:jc w:val="right"/>
              <w:rPr>
                <w:rFonts w:ascii="宋体" w:hAnsi="宋体"/>
              </w:rPr>
            </w:pPr>
            <w:r>
              <w:rPr>
                <w:rFonts w:ascii="宋体" w:hAnsi="宋体"/>
              </w:rPr>
              <w:t>209,994</w:t>
            </w:r>
          </w:p>
        </w:tc>
        <w:tc>
          <w:tcPr>
            <w:tcW w:w="1608" w:type="pct"/>
          </w:tcPr>
          <w:p>
            <w:pPr>
              <w:ind w:right="6"/>
              <w:jc w:val="right"/>
              <w:rPr>
                <w:rFonts w:ascii="宋体" w:hAnsi="宋体"/>
              </w:rPr>
            </w:pPr>
            <w:r>
              <w:rPr>
                <w:rFonts w:ascii="宋体" w:hAnsi="宋体"/>
              </w:rPr>
              <w:t>-342,224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774" w:type="pct"/>
          </w:tcPr>
          <w:p>
            <w:pPr>
              <w:ind w:right="6"/>
              <w:jc w:val="center"/>
            </w:pPr>
            <w:r>
              <w:rPr>
                <w:rFonts w:hint="eastAsia"/>
              </w:rPr>
              <w:t>合计</w:t>
            </w:r>
          </w:p>
        </w:tc>
        <w:tc>
          <w:tcPr>
            <w:tcW w:w="1617" w:type="pct"/>
          </w:tcPr>
          <w:p>
            <w:pPr>
              <w:ind w:right="6"/>
              <w:jc w:val="right"/>
              <w:rPr>
                <w:rFonts w:ascii="宋体" w:hAnsi="宋体"/>
              </w:rPr>
            </w:pPr>
            <w:r>
              <w:rPr>
                <w:rFonts w:ascii="宋体" w:hAnsi="宋体"/>
              </w:rPr>
              <w:t>9,857,406</w:t>
            </w:r>
          </w:p>
        </w:tc>
        <w:tc>
          <w:tcPr>
            <w:tcW w:w="1608" w:type="pct"/>
          </w:tcPr>
          <w:p>
            <w:pPr>
              <w:ind w:right="6"/>
              <w:jc w:val="right"/>
              <w:rPr>
                <w:rFonts w:ascii="宋体" w:hAnsi="宋体"/>
              </w:rPr>
            </w:pPr>
            <w:r>
              <w:rPr>
                <w:rFonts w:ascii="宋体" w:hAnsi="宋体"/>
              </w:rPr>
              <w:t>16,112,082</w:t>
            </w:r>
          </w:p>
        </w:tc>
      </w:tr>
    </w:tbl>
    <w:p>
      <w:pPr>
        <w:pStyle w:val="501"/>
      </w:pPr>
    </w:p>
    <w:p>
      <w:pPr>
        <w:pStyle w:val="505"/>
        <w:numPr>
          <w:ilvl w:val="0"/>
          <w:numId w:val="107"/>
        </w:numPr>
        <w:ind w:left="426" w:hanging="426"/>
      </w:pPr>
      <w:r>
        <w:rPr>
          <w:rFonts w:hint="eastAsia"/>
        </w:rPr>
        <w:t>会计利润与所得税费用调整过程</w:t>
      </w:r>
    </w:p>
    <w:sdt>
      <w:sdtPr>
        <w:alias w:val="是否适用：会计利润与所得税费用调整过程[双击切换]"/>
        <w:tag w:val="_GBC_add00d323e2049ad8bc932f632966661"/>
        <w:id w:val="-1458866787"/>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会计利润与所得税费用调整过程"/>
          <w:tag w:val="_GBC_10825cb9bb5e445c9210ee34dc80406a"/>
          <w:id w:val="17010542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会计利润与所得税费用调整过程"/>
          <w:tag w:val="_GBC_017b69d0005b4ea99f76c547a25a6231"/>
          <w:id w:val="-12161209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4381"/>
        <w:gridCol w:w="46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rPr>
              <w:rFonts w:ascii="宋体" w:hAnsi="宋体"/>
            </w:rPr>
            <w:tag w:val="_PLD_1123621c9879400694da9a8842888e14"/>
            <w:id w:val="363800934"/>
          </w:sdtPr>
          <w:sdtEndPr>
            <w:rPr>
              <w:rFonts w:ascii="宋体" w:hAnsi="宋体"/>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宋体" w:hAnsi="宋体"/>
                  </w:rPr>
                </w:pPr>
                <w:r>
                  <w:rPr>
                    <w:rFonts w:hint="eastAsia" w:ascii="宋体" w:hAnsi="宋体"/>
                  </w:rPr>
                  <w:t>项目</w:t>
                </w:r>
              </w:p>
            </w:tc>
          </w:sdtContent>
        </w:sdt>
        <w:sdt>
          <w:sdtPr>
            <w:rPr>
              <w:rFonts w:ascii="宋体" w:hAnsi="宋体"/>
            </w:rPr>
            <w:tag w:val="_PLD_4a270148a32846b69754961e55c75a04"/>
            <w:id w:val="2104523648"/>
          </w:sdtPr>
          <w:sdtEndPr>
            <w:rPr>
              <w:rFonts w:ascii="宋体" w:hAnsi="宋体"/>
            </w:rPr>
          </w:sdtEndPr>
          <w:sdtContent>
            <w:tc>
              <w:tcPr>
                <w:tcW w:w="2581"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宋体" w:hAnsi="宋体"/>
                  </w:rPr>
                </w:pPr>
                <w:r>
                  <w:rPr>
                    <w:rFonts w:hint="eastAsia" w:ascii="宋体" w:hAnsi="宋体"/>
                  </w:rPr>
                  <w:t>本期发生额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宋体" w:hAnsi="宋体"/>
                <w:b/>
                <w:bCs/>
              </w:rPr>
            </w:pPr>
            <w:r>
              <w:rPr>
                <w:rFonts w:hint="eastAsia" w:ascii="宋体" w:hAnsi="宋体"/>
              </w:rPr>
              <w:t>利润总额</w:t>
            </w:r>
          </w:p>
        </w:tc>
        <w:tc>
          <w:tcPr>
            <w:tcW w:w="2581" w:type="pct"/>
            <w:tcBorders>
              <w:top w:val="single" w:color="auto" w:sz="4" w:space="0"/>
              <w:left w:val="single" w:color="auto" w:sz="4" w:space="0"/>
              <w:bottom w:val="single" w:color="auto" w:sz="6" w:space="0"/>
              <w:right w:val="single" w:color="auto" w:sz="6" w:space="0"/>
            </w:tcBorders>
            <w:shd w:val="clear" w:color="auto" w:fill="auto"/>
          </w:tcPr>
          <w:p>
            <w:pPr>
              <w:jc w:val="right"/>
              <w:rPr>
                <w:rFonts w:ascii="宋体" w:hAnsi="宋体"/>
              </w:rPr>
            </w:pPr>
            <w:r>
              <w:rPr>
                <w:rFonts w:ascii="宋体" w:hAnsi="宋体"/>
              </w:rPr>
              <w:t>37,008,901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宋体" w:hAnsi="宋体"/>
              </w:rPr>
            </w:pPr>
            <w:r>
              <w:rPr>
                <w:rFonts w:hint="eastAsia" w:ascii="宋体" w:hAnsi="宋体"/>
              </w:rPr>
              <w:t>按法定</w:t>
            </w:r>
            <w:r>
              <w:rPr>
                <w:rFonts w:ascii="宋体" w:hAnsi="宋体"/>
              </w:rPr>
              <w:t>/</w:t>
            </w:r>
            <w:r>
              <w:rPr>
                <w:rFonts w:hint="eastAsia" w:ascii="宋体" w:hAnsi="宋体"/>
              </w:rPr>
              <w:t>适用税率计算的所得税费用</w:t>
            </w:r>
          </w:p>
        </w:tc>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宋体" w:hAnsi="宋体"/>
              </w:rPr>
            </w:pPr>
            <w:r>
              <w:rPr>
                <w:rFonts w:ascii="宋体" w:hAnsi="宋体"/>
              </w:rPr>
              <w:t>9,252,225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rPr>
          <w:trHeight w:val="139" w:hRule="atLeast"/>
        </w:trPr>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宋体" w:hAnsi="宋体"/>
              </w:rPr>
            </w:pPr>
            <w:r>
              <w:rPr>
                <w:rFonts w:hint="eastAsia" w:ascii="宋体" w:hAnsi="宋体"/>
              </w:rPr>
              <w:t>子公司适用不同税率的影响</w:t>
            </w:r>
          </w:p>
        </w:tc>
        <w:tc>
          <w:tcPr>
            <w:tcW w:w="2581" w:type="pct"/>
            <w:vAlign w:val="center"/>
          </w:tcPr>
          <w:p>
            <w:pPr>
              <w:jc w:val="right"/>
              <w:rPr>
                <w:rFonts w:ascii="宋体" w:hAnsi="宋体"/>
              </w:rPr>
            </w:pPr>
            <w:r>
              <w:rPr>
                <w:rFonts w:ascii="宋体" w:hAnsi="宋体"/>
              </w:rPr>
              <w:t>-131,842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宋体" w:hAnsi="宋体"/>
              </w:rPr>
            </w:pPr>
            <w:r>
              <w:rPr>
                <w:rFonts w:hint="eastAsia" w:ascii="宋体" w:hAnsi="宋体"/>
              </w:rPr>
              <w:t>调整以前期间所得税的影响</w:t>
            </w:r>
          </w:p>
        </w:tc>
        <w:tc>
          <w:tcPr>
            <w:tcW w:w="2581" w:type="pct"/>
            <w:vAlign w:val="center"/>
          </w:tcPr>
          <w:p>
            <w:pPr>
              <w:jc w:val="right"/>
              <w:rPr>
                <w:rFonts w:ascii="宋体" w:hAnsi="宋体"/>
              </w:rPr>
            </w:pPr>
            <w:r>
              <w:rPr>
                <w:rFonts w:ascii="宋体" w:hAnsi="宋体"/>
              </w:rPr>
              <w:t>739,015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宋体" w:hAnsi="宋体"/>
              </w:rPr>
            </w:pPr>
            <w:r>
              <w:rPr>
                <w:rFonts w:hint="eastAsia" w:ascii="宋体" w:hAnsi="宋体"/>
              </w:rPr>
              <w:t>分类为权益工具的金融工具相关股利的影响</w:t>
            </w:r>
          </w:p>
        </w:tc>
        <w:tc>
          <w:tcPr>
            <w:tcW w:w="2581" w:type="pct"/>
            <w:vAlign w:val="center"/>
          </w:tcPr>
          <w:p>
            <w:pPr>
              <w:jc w:val="right"/>
              <w:rPr>
                <w:rFonts w:ascii="宋体" w:hAnsi="宋体"/>
              </w:rPr>
            </w:pPr>
            <w:r>
              <w:rPr>
                <w:rFonts w:ascii="宋体" w:hAnsi="宋体"/>
              </w:rPr>
              <w:t>-111,186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宋体" w:hAnsi="宋体"/>
              </w:rPr>
            </w:pPr>
            <w:r>
              <w:rPr>
                <w:rFonts w:hint="eastAsia" w:ascii="宋体" w:hAnsi="宋体"/>
              </w:rPr>
              <w:t>不可抵扣的成本、费用和损失的影响</w:t>
            </w:r>
          </w:p>
        </w:tc>
        <w:tc>
          <w:tcPr>
            <w:tcW w:w="2581" w:type="pct"/>
            <w:vAlign w:val="center"/>
          </w:tcPr>
          <w:p>
            <w:pPr>
              <w:jc w:val="right"/>
              <w:rPr>
                <w:rFonts w:ascii="宋体" w:hAnsi="宋体"/>
              </w:rPr>
            </w:pPr>
            <w:r>
              <w:rPr>
                <w:rFonts w:ascii="宋体" w:hAnsi="宋体"/>
              </w:rPr>
              <w:t>480,168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宋体" w:hAnsi="宋体"/>
              </w:rPr>
            </w:pPr>
            <w:r>
              <w:rPr>
                <w:rFonts w:hint="eastAsia" w:ascii="宋体" w:hAnsi="宋体"/>
              </w:rPr>
              <w:t>使用前期未确认递延所得税资产的可抵扣亏损的影响</w:t>
            </w:r>
          </w:p>
        </w:tc>
        <w:tc>
          <w:tcPr>
            <w:tcW w:w="2581" w:type="pct"/>
            <w:vAlign w:val="center"/>
          </w:tcPr>
          <w:p>
            <w:pPr>
              <w:jc w:val="right"/>
              <w:rPr>
                <w:rFonts w:ascii="宋体" w:hAnsi="宋体"/>
              </w:rPr>
            </w:pPr>
            <w:r>
              <w:rPr>
                <w:rFonts w:ascii="宋体" w:hAnsi="宋体"/>
              </w:rPr>
              <w:t>-60,460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宋体" w:hAnsi="宋体"/>
              </w:rPr>
            </w:pPr>
            <w:r>
              <w:rPr>
                <w:rFonts w:hint="eastAsia" w:ascii="宋体" w:hAnsi="宋体"/>
              </w:rPr>
              <w:t>本期未确认递延所得税资产的可抵扣暂时性差异或可抵扣亏损的影响</w:t>
            </w:r>
          </w:p>
        </w:tc>
        <w:tc>
          <w:tcPr>
            <w:tcW w:w="2581" w:type="pct"/>
            <w:vAlign w:val="center"/>
          </w:tcPr>
          <w:p>
            <w:pPr>
              <w:jc w:val="right"/>
              <w:rPr>
                <w:rFonts w:ascii="宋体" w:hAnsi="宋体"/>
              </w:rPr>
            </w:pPr>
            <w:r>
              <w:rPr>
                <w:rFonts w:ascii="宋体" w:hAnsi="宋体"/>
              </w:rPr>
              <w:t>634,250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6" w:space="0"/>
              <w:bottom w:val="single" w:color="auto" w:sz="6" w:space="0"/>
              <w:right w:val="single" w:color="auto" w:sz="6" w:space="0"/>
            </w:tcBorders>
            <w:shd w:val="clear" w:color="auto" w:fill="auto"/>
          </w:tcPr>
          <w:p>
            <w:pPr>
              <w:pStyle w:val="531"/>
              <w:rPr>
                <w:szCs w:val="21"/>
              </w:rPr>
            </w:pPr>
            <w:r>
              <w:rPr>
                <w:rFonts w:hint="eastAsia"/>
                <w:szCs w:val="21"/>
              </w:rPr>
              <w:t>免税的投资收益</w:t>
            </w:r>
          </w:p>
        </w:tc>
        <w:tc>
          <w:tcPr>
            <w:tcW w:w="2581"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宋体" w:hAnsi="宋体"/>
              </w:rPr>
            </w:pPr>
            <w:r>
              <w:rPr>
                <w:rFonts w:ascii="宋体" w:hAnsi="宋体"/>
              </w:rPr>
              <w:t>-613,659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6" w:space="0"/>
              <w:bottom w:val="single" w:color="auto" w:sz="6" w:space="0"/>
              <w:right w:val="single" w:color="auto" w:sz="6" w:space="0"/>
            </w:tcBorders>
            <w:shd w:val="clear" w:color="auto" w:fill="auto"/>
          </w:tcPr>
          <w:p>
            <w:pPr>
              <w:pStyle w:val="531"/>
              <w:rPr>
                <w:szCs w:val="21"/>
              </w:rPr>
            </w:pPr>
            <w:r>
              <w:rPr>
                <w:rFonts w:hint="eastAsia"/>
                <w:szCs w:val="21"/>
              </w:rPr>
              <w:t>资产税基变动</w:t>
            </w:r>
          </w:p>
        </w:tc>
        <w:tc>
          <w:tcPr>
            <w:tcW w:w="2581"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宋体" w:hAnsi="宋体"/>
              </w:rPr>
            </w:pPr>
            <w:r>
              <w:rPr>
                <w:rFonts w:hint="eastAsia" w:ascii="宋体" w:hAnsi="宋体"/>
              </w:rPr>
              <w:t>-65,190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6" w:space="0"/>
              <w:bottom w:val="single" w:color="auto" w:sz="6" w:space="0"/>
              <w:right w:val="single" w:color="auto" w:sz="6" w:space="0"/>
            </w:tcBorders>
            <w:shd w:val="clear" w:color="auto" w:fill="auto"/>
          </w:tcPr>
          <w:p>
            <w:pPr>
              <w:pStyle w:val="531"/>
              <w:rPr>
                <w:szCs w:val="21"/>
              </w:rPr>
            </w:pPr>
            <w:r>
              <w:rPr>
                <w:rFonts w:hint="eastAsia"/>
                <w:szCs w:val="21"/>
              </w:rPr>
              <w:t>其他</w:t>
            </w:r>
          </w:p>
        </w:tc>
        <w:tc>
          <w:tcPr>
            <w:tcW w:w="2581"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宋体" w:hAnsi="宋体"/>
              </w:rPr>
            </w:pPr>
            <w:r>
              <w:rPr>
                <w:rFonts w:ascii="宋体" w:hAnsi="宋体"/>
              </w:rPr>
              <w:t>-265,915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531"/>
              <w:rPr>
                <w:szCs w:val="21"/>
              </w:rPr>
            </w:pPr>
            <w:r>
              <w:rPr>
                <w:rFonts w:hint="eastAsia"/>
                <w:szCs w:val="21"/>
              </w:rPr>
              <w:t>所得税费用</w:t>
            </w:r>
          </w:p>
        </w:tc>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宋体" w:hAnsi="宋体"/>
              </w:rPr>
            </w:pPr>
            <w:r>
              <w:rPr>
                <w:rFonts w:ascii="宋体" w:hAnsi="宋体"/>
              </w:rPr>
              <w:t>9,857,406</w:t>
            </w:r>
          </w:p>
        </w:tc>
      </w:tr>
    </w:tbl>
    <w:p>
      <w:pPr>
        <w:pStyle w:val="501"/>
      </w:pPr>
    </w:p>
    <w:p>
      <w:pPr>
        <w:spacing w:before="60" w:after="60"/>
      </w:pPr>
      <w:r>
        <w:rPr>
          <w:rFonts w:hint="eastAsia"/>
        </w:rPr>
        <w:t>其他说明：</w:t>
      </w:r>
    </w:p>
    <w:sdt>
      <w:sdtPr>
        <w:alias w:val="是否适用：所得税费用的说明[双击切换]"/>
        <w:tag w:val="_GBC_6d867e6606c643469619e039bd83c158"/>
        <w:id w:val="1099365475"/>
        <w:placeholder>
          <w:docPart w:val="GBC22222222222222222222222222222"/>
        </w:placeholder>
      </w:sdtPr>
      <w:sdtContent>
        <w:p>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b/>
        </w:rPr>
      </w:pPr>
    </w:p>
    <w:p>
      <w:pPr>
        <w:pStyle w:val="504"/>
        <w:numPr>
          <w:ilvl w:val="0"/>
          <w:numId w:val="69"/>
        </w:numPr>
        <w:tabs>
          <w:tab w:val="left" w:pos="504"/>
        </w:tabs>
        <w:rPr>
          <w:rFonts w:ascii="宋体" w:hAnsi="宋体"/>
          <w:szCs w:val="21"/>
        </w:rPr>
      </w:pPr>
      <w:r>
        <w:rPr>
          <w:rFonts w:hint="eastAsia" w:ascii="宋体" w:hAnsi="宋体"/>
          <w:szCs w:val="21"/>
        </w:rPr>
        <w:t>其他综合收益</w:t>
      </w:r>
    </w:p>
    <w:sdt>
      <w:sdtPr>
        <w:alias w:val="是否适用：其他综合收益说明[双击切换]"/>
        <w:tag w:val="_GBC_055e86e99cd742699e3e89a438a26b74"/>
        <w:id w:val="-779881153"/>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sdt>
        <w:sdtPr>
          <w:rPr>
            <w:rFonts w:hint="eastAsia"/>
            <w:szCs w:val="21"/>
          </w:rPr>
          <w:alias w:val="其他综合收益详见附注"/>
          <w:tag w:val="_GBC_88f79522b3404a9cba25ea8b611e6680"/>
          <w:id w:val="-797912264"/>
          <w:placeholder>
            <w:docPart w:val="GBC22222222222222222222222222222"/>
          </w:placeholder>
        </w:sdtPr>
        <w:sdtEndPr>
          <w:rPr>
            <w:rFonts w:hint="eastAsia"/>
            <w:szCs w:val="21"/>
          </w:rPr>
        </w:sdtEndPr>
        <w:sdtContent>
          <w:r>
            <w:rPr>
              <w:rFonts w:hint="eastAsia"/>
              <w:szCs w:val="21"/>
            </w:rPr>
            <w:t>详见附注“七、 57 其他综合收益”相关内容。</w:t>
          </w:r>
        </w:sdtContent>
      </w:sdt>
    </w:p>
    <w:p>
      <w:pPr>
        <w:pStyle w:val="531"/>
      </w:pPr>
    </w:p>
    <w:p>
      <w:pPr>
        <w:pStyle w:val="504"/>
        <w:numPr>
          <w:ilvl w:val="0"/>
          <w:numId w:val="69"/>
        </w:numPr>
        <w:tabs>
          <w:tab w:val="left" w:pos="504"/>
        </w:tabs>
        <w:rPr>
          <w:rFonts w:ascii="宋体" w:hAnsi="宋体"/>
          <w:szCs w:val="21"/>
        </w:rPr>
      </w:pPr>
      <w:r>
        <w:rPr>
          <w:rFonts w:hint="eastAsia" w:ascii="宋体" w:hAnsi="宋体"/>
          <w:szCs w:val="21"/>
        </w:rPr>
        <w:t>现金流量表项目</w:t>
      </w:r>
    </w:p>
    <w:p>
      <w:pPr>
        <w:pStyle w:val="505"/>
        <w:numPr>
          <w:ilvl w:val="0"/>
          <w:numId w:val="108"/>
        </w:numPr>
        <w:ind w:left="426" w:hanging="426"/>
      </w:pPr>
      <w:r>
        <w:rPr>
          <w:rFonts w:hint="eastAsia"/>
        </w:rPr>
        <w:t>与经营活动有关的现金</w:t>
      </w:r>
    </w:p>
    <w:p>
      <w:pPr>
        <w:pStyle w:val="531"/>
      </w:pPr>
      <w:r>
        <w:rPr>
          <w:rFonts w:hint="eastAsia"/>
        </w:rPr>
        <w:t>收到的其他与经营活动有关的现金</w:t>
      </w:r>
    </w:p>
    <w:sdt>
      <w:sdtPr>
        <w:alias w:val="是否适用：收到的其他与经营活动有关的现金[双击切换]"/>
        <w:tag w:val="_GBC_27345010807c4445aa9d99ce1518a33b"/>
        <w:id w:val="1880202775"/>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收到的其他与经营活动有关的现金"/>
          <w:tag w:val="_GBC_dda6e50e7ee34f71977565af2472b533"/>
          <w:id w:val="7254981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收到的其他与经营活动有关的现金"/>
          <w:tag w:val="_GBC_8a91de0777534f02ab9e5a53784ea05b"/>
          <w:id w:val="13102106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30"/>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f7a5d7090c5c4e2b95d9e6f0ea383580"/>
            <w:id w:val="-1858108404"/>
          </w:sdtPr>
          <w:sdtContent>
            <w:tc>
              <w:tcPr>
                <w:tcW w:w="1882" w:type="pct"/>
              </w:tcPr>
              <w:p>
                <w:pPr>
                  <w:autoSpaceDE w:val="0"/>
                  <w:autoSpaceDN w:val="0"/>
                  <w:adjustRightInd w:val="0"/>
                  <w:snapToGrid w:val="0"/>
                  <w:spacing w:line="240" w:lineRule="atLeast"/>
                  <w:jc w:val="center"/>
                </w:pPr>
                <w:r>
                  <w:rPr>
                    <w:rFonts w:hint="eastAsia"/>
                  </w:rPr>
                  <w:t>项目</w:t>
                </w:r>
              </w:p>
            </w:tc>
          </w:sdtContent>
        </w:sdt>
        <w:sdt>
          <w:sdtPr>
            <w:tag w:val="_PLD_6a2d5fc680f64ea980912395fdf43d18"/>
            <w:id w:val="354469436"/>
          </w:sdtPr>
          <w:sdtContent>
            <w:tc>
              <w:tcPr>
                <w:tcW w:w="1562" w:type="pct"/>
              </w:tcPr>
              <w:p>
                <w:pPr>
                  <w:autoSpaceDE w:val="0"/>
                  <w:autoSpaceDN w:val="0"/>
                  <w:adjustRightInd w:val="0"/>
                  <w:snapToGrid w:val="0"/>
                  <w:spacing w:line="240" w:lineRule="atLeast"/>
                  <w:jc w:val="center"/>
                </w:pPr>
                <w:r>
                  <w:rPr>
                    <w:rFonts w:hint="eastAsia"/>
                  </w:rPr>
                  <w:t>本期发生额</w:t>
                </w:r>
              </w:p>
            </w:tc>
          </w:sdtContent>
        </w:sdt>
        <w:sdt>
          <w:sdtPr>
            <w:tag w:val="_PLD_4c33d44ff7254e8994d6dacbfee10de3"/>
            <w:id w:val="1093204180"/>
          </w:sdtPr>
          <w:sdtContent>
            <w:tc>
              <w:tcPr>
                <w:tcW w:w="1556" w:type="pct"/>
              </w:tcPr>
              <w:p>
                <w:pPr>
                  <w:autoSpaceDE w:val="0"/>
                  <w:autoSpaceDN w:val="0"/>
                  <w:adjustRightInd w:val="0"/>
                  <w:snapToGrid w:val="0"/>
                  <w:spacing w:line="240" w:lineRule="atLeast"/>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往来款</w:t>
            </w:r>
          </w:p>
        </w:tc>
        <w:tc>
          <w:tcPr>
            <w:tcW w:w="1562" w:type="pct"/>
            <w:vAlign w:val="center"/>
          </w:tcPr>
          <w:p>
            <w:pPr>
              <w:jc w:val="right"/>
              <w:rPr>
                <w:rFonts w:ascii="宋体" w:hAnsi="宋体"/>
              </w:rPr>
            </w:pPr>
            <w:r>
              <w:rPr>
                <w:rFonts w:ascii="宋体" w:hAnsi="宋体"/>
              </w:rPr>
              <w:t>2,057,899</w:t>
            </w:r>
          </w:p>
        </w:tc>
        <w:tc>
          <w:tcPr>
            <w:tcW w:w="1556" w:type="pct"/>
            <w:vAlign w:val="center"/>
          </w:tcPr>
          <w:p>
            <w:pPr>
              <w:jc w:val="right"/>
              <w:rPr>
                <w:rFonts w:ascii="宋体" w:hAnsi="宋体"/>
              </w:rPr>
            </w:pPr>
            <w:r>
              <w:rPr>
                <w:rFonts w:ascii="宋体" w:hAnsi="宋体"/>
              </w:rPr>
              <w:t>2,666,535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贷款利息收入</w:t>
            </w:r>
          </w:p>
        </w:tc>
        <w:tc>
          <w:tcPr>
            <w:tcW w:w="1562" w:type="pct"/>
            <w:vAlign w:val="center"/>
          </w:tcPr>
          <w:p>
            <w:pPr>
              <w:jc w:val="right"/>
              <w:rPr>
                <w:rFonts w:ascii="宋体" w:hAnsi="宋体"/>
              </w:rPr>
            </w:pPr>
            <w:r>
              <w:rPr>
                <w:rFonts w:ascii="宋体" w:hAnsi="宋体"/>
              </w:rPr>
              <w:t>1,013,446</w:t>
            </w:r>
          </w:p>
        </w:tc>
        <w:tc>
          <w:tcPr>
            <w:tcW w:w="1556" w:type="pct"/>
            <w:vAlign w:val="center"/>
          </w:tcPr>
          <w:p>
            <w:pPr>
              <w:jc w:val="right"/>
              <w:rPr>
                <w:rFonts w:ascii="宋体" w:hAnsi="宋体"/>
              </w:rPr>
            </w:pPr>
            <w:r>
              <w:rPr>
                <w:rFonts w:ascii="宋体" w:hAnsi="宋体"/>
              </w:rPr>
              <w:t>1,191,712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利息收入</w:t>
            </w:r>
          </w:p>
        </w:tc>
        <w:tc>
          <w:tcPr>
            <w:tcW w:w="1562" w:type="pct"/>
            <w:vAlign w:val="center"/>
          </w:tcPr>
          <w:p>
            <w:pPr>
              <w:jc w:val="right"/>
              <w:rPr>
                <w:rFonts w:ascii="宋体" w:hAnsi="宋体"/>
              </w:rPr>
            </w:pPr>
            <w:r>
              <w:rPr>
                <w:rFonts w:hint="eastAsia" w:ascii="宋体" w:hAnsi="宋体"/>
              </w:rPr>
              <w:t>778,999</w:t>
            </w:r>
          </w:p>
        </w:tc>
        <w:tc>
          <w:tcPr>
            <w:tcW w:w="1556" w:type="pct"/>
            <w:vAlign w:val="center"/>
          </w:tcPr>
          <w:p>
            <w:pPr>
              <w:jc w:val="right"/>
              <w:rPr>
                <w:rFonts w:ascii="宋体" w:hAnsi="宋体"/>
              </w:rPr>
            </w:pPr>
            <w:r>
              <w:rPr>
                <w:rFonts w:hint="eastAsia" w:ascii="宋体" w:hAnsi="宋体"/>
              </w:rPr>
              <w:t>216,965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收回票据保证金</w:t>
            </w:r>
          </w:p>
        </w:tc>
        <w:tc>
          <w:tcPr>
            <w:tcW w:w="1562" w:type="pct"/>
            <w:vAlign w:val="center"/>
          </w:tcPr>
          <w:p>
            <w:pPr>
              <w:jc w:val="right"/>
              <w:rPr>
                <w:rFonts w:ascii="宋体" w:hAnsi="宋体"/>
              </w:rPr>
            </w:pPr>
            <w:r>
              <w:rPr>
                <w:rFonts w:ascii="宋体" w:hAnsi="宋体"/>
              </w:rPr>
              <w:t>478,617</w:t>
            </w:r>
          </w:p>
        </w:tc>
        <w:tc>
          <w:tcPr>
            <w:tcW w:w="1556" w:type="pct"/>
            <w:vAlign w:val="center"/>
          </w:tcPr>
          <w:p>
            <w:pPr>
              <w:jc w:val="right"/>
              <w:rPr>
                <w:rFonts w:ascii="宋体" w:hAnsi="宋体"/>
              </w:rPr>
            </w:pPr>
            <w:r>
              <w:rPr>
                <w:rFonts w:ascii="宋体" w:hAnsi="宋体"/>
              </w:rPr>
              <w:t>261,039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政府补助及扶持基金收入</w:t>
            </w:r>
          </w:p>
        </w:tc>
        <w:tc>
          <w:tcPr>
            <w:tcW w:w="1562" w:type="pct"/>
            <w:vAlign w:val="center"/>
          </w:tcPr>
          <w:p>
            <w:pPr>
              <w:jc w:val="right"/>
              <w:rPr>
                <w:rFonts w:ascii="宋体" w:hAnsi="宋体"/>
              </w:rPr>
            </w:pPr>
            <w:r>
              <w:rPr>
                <w:rFonts w:ascii="宋体" w:hAnsi="宋体"/>
              </w:rPr>
              <w:t>363,141</w:t>
            </w:r>
          </w:p>
        </w:tc>
        <w:tc>
          <w:tcPr>
            <w:tcW w:w="1556" w:type="pct"/>
            <w:vAlign w:val="center"/>
          </w:tcPr>
          <w:p>
            <w:pPr>
              <w:jc w:val="right"/>
              <w:rPr>
                <w:rFonts w:ascii="宋体" w:hAnsi="宋体"/>
              </w:rPr>
            </w:pPr>
            <w:r>
              <w:rPr>
                <w:rFonts w:ascii="宋体" w:hAnsi="宋体"/>
              </w:rPr>
              <w:t>310,274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涉诉资金解冻</w:t>
            </w:r>
          </w:p>
        </w:tc>
        <w:tc>
          <w:tcPr>
            <w:tcW w:w="1562" w:type="pct"/>
            <w:vAlign w:val="center"/>
          </w:tcPr>
          <w:p>
            <w:pPr>
              <w:jc w:val="right"/>
              <w:rPr>
                <w:rFonts w:ascii="宋体" w:hAnsi="宋体"/>
              </w:rPr>
            </w:pPr>
            <w:r>
              <w:rPr>
                <w:rFonts w:ascii="宋体" w:hAnsi="宋体"/>
              </w:rPr>
              <w:t>190,497</w:t>
            </w:r>
          </w:p>
        </w:tc>
        <w:tc>
          <w:tcPr>
            <w:tcW w:w="1556" w:type="pct"/>
            <w:vAlign w:val="center"/>
          </w:tcPr>
          <w:p>
            <w:pPr>
              <w:jc w:val="right"/>
              <w:rPr>
                <w:rFonts w:ascii="宋体" w:hAnsi="宋体"/>
              </w:rPr>
            </w:pPr>
            <w:r>
              <w:rPr>
                <w:rFonts w:ascii="宋体" w:hAnsi="宋体"/>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收回环境治理保证金</w:t>
            </w:r>
          </w:p>
        </w:tc>
        <w:tc>
          <w:tcPr>
            <w:tcW w:w="1562" w:type="pct"/>
            <w:vAlign w:val="center"/>
          </w:tcPr>
          <w:p>
            <w:pPr>
              <w:jc w:val="right"/>
              <w:rPr>
                <w:rFonts w:ascii="宋体" w:hAnsi="宋体"/>
              </w:rPr>
            </w:pPr>
            <w:r>
              <w:rPr>
                <w:rFonts w:ascii="宋体" w:hAnsi="宋体"/>
              </w:rPr>
              <w:t>39,677</w:t>
            </w:r>
          </w:p>
        </w:tc>
        <w:tc>
          <w:tcPr>
            <w:tcW w:w="1556" w:type="pct"/>
            <w:vAlign w:val="center"/>
          </w:tcPr>
          <w:p>
            <w:pPr>
              <w:jc w:val="right"/>
              <w:rPr>
                <w:rFonts w:ascii="宋体" w:hAnsi="宋体"/>
              </w:rPr>
            </w:pPr>
            <w:r>
              <w:rPr>
                <w:rFonts w:ascii="宋体" w:hAnsi="宋体"/>
              </w:rPr>
              <w:t>70,517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其他</w:t>
            </w:r>
          </w:p>
        </w:tc>
        <w:tc>
          <w:tcPr>
            <w:tcW w:w="1562" w:type="pct"/>
            <w:vAlign w:val="center"/>
          </w:tcPr>
          <w:p>
            <w:pPr>
              <w:jc w:val="right"/>
              <w:rPr>
                <w:rFonts w:ascii="宋体" w:hAnsi="宋体"/>
              </w:rPr>
            </w:pPr>
            <w:r>
              <w:rPr>
                <w:rFonts w:ascii="宋体" w:hAnsi="宋体"/>
              </w:rPr>
              <w:t>340,657</w:t>
            </w:r>
          </w:p>
        </w:tc>
        <w:tc>
          <w:tcPr>
            <w:tcW w:w="1556" w:type="pct"/>
            <w:vAlign w:val="center"/>
          </w:tcPr>
          <w:p>
            <w:pPr>
              <w:jc w:val="right"/>
              <w:rPr>
                <w:rFonts w:ascii="宋体" w:hAnsi="宋体"/>
              </w:rPr>
            </w:pPr>
            <w:r>
              <w:rPr>
                <w:rFonts w:ascii="宋体" w:hAnsi="宋体"/>
              </w:rPr>
              <w:t>297,036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pPr>
            <w:r>
              <w:rPr>
                <w:rFonts w:hint="eastAsia"/>
              </w:rPr>
              <w:t>合计</w:t>
            </w:r>
          </w:p>
        </w:tc>
        <w:tc>
          <w:tcPr>
            <w:tcW w:w="1562" w:type="pct"/>
            <w:vAlign w:val="center"/>
          </w:tcPr>
          <w:p>
            <w:pPr>
              <w:jc w:val="right"/>
              <w:rPr>
                <w:rFonts w:ascii="宋体" w:hAnsi="宋体"/>
                <w:bCs/>
              </w:rPr>
            </w:pPr>
            <w:r>
              <w:rPr>
                <w:rFonts w:ascii="宋体" w:hAnsi="宋体"/>
                <w:bCs/>
              </w:rPr>
              <w:t>5,262,933</w:t>
            </w:r>
          </w:p>
        </w:tc>
        <w:tc>
          <w:tcPr>
            <w:tcW w:w="1556" w:type="pct"/>
            <w:vAlign w:val="center"/>
          </w:tcPr>
          <w:p>
            <w:pPr>
              <w:jc w:val="right"/>
              <w:rPr>
                <w:rFonts w:ascii="宋体" w:hAnsi="宋体"/>
                <w:bCs/>
              </w:rPr>
            </w:pPr>
            <w:r>
              <w:rPr>
                <w:rFonts w:ascii="宋体" w:hAnsi="宋体"/>
                <w:bCs/>
              </w:rPr>
              <w:t>5,014,630</w:t>
            </w:r>
          </w:p>
        </w:tc>
      </w:tr>
    </w:tbl>
    <w:p>
      <w:pPr>
        <w:pStyle w:val="501"/>
      </w:pPr>
    </w:p>
    <w:p>
      <w:pPr>
        <w:pStyle w:val="501"/>
      </w:pPr>
    </w:p>
    <w:p>
      <w:pPr>
        <w:pStyle w:val="531"/>
      </w:pPr>
      <w:r>
        <w:rPr>
          <w:rFonts w:hint="eastAsia"/>
        </w:rPr>
        <w:t>支付的其他与经营活动有关的现金</w:t>
      </w:r>
    </w:p>
    <w:sdt>
      <w:sdtPr>
        <w:alias w:val="是否适用：支付的其他与经营活动有关的现金[双击切换]"/>
        <w:tag w:val="_GBC_f4dd9812849049808cd722f0acb16a7a"/>
        <w:id w:val="1477646760"/>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支付的其他与经营活动有关的现金"/>
          <w:tag w:val="_GBC_43b6d286fa3345adb12f59f8ca6d94fd"/>
          <w:id w:val="-18661199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支付的其他与经营活动有关的现金"/>
          <w:tag w:val="_GBC_1cb95a87f7e44f1f81d520deac5b4e18"/>
          <w:id w:val="-2464240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10"/>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31" w:hRule="atLeast"/>
        </w:trPr>
        <w:sdt>
          <w:sdtPr>
            <w:tag w:val="_PLD_313336294a534de9a634e32311d5592e"/>
            <w:id w:val="826639516"/>
          </w:sdtPr>
          <w:sdtContent>
            <w:tc>
              <w:tcPr>
                <w:tcW w:w="1882" w:type="pct"/>
              </w:tcPr>
              <w:p>
                <w:pPr>
                  <w:autoSpaceDE w:val="0"/>
                  <w:autoSpaceDN w:val="0"/>
                  <w:adjustRightInd w:val="0"/>
                  <w:snapToGrid w:val="0"/>
                  <w:jc w:val="center"/>
                </w:pPr>
                <w:r>
                  <w:rPr>
                    <w:rFonts w:hint="eastAsia"/>
                  </w:rPr>
                  <w:t>项目</w:t>
                </w:r>
              </w:p>
            </w:tc>
          </w:sdtContent>
        </w:sdt>
        <w:sdt>
          <w:sdtPr>
            <w:tag w:val="_PLD_254446e36934468da941d479360a4c79"/>
            <w:id w:val="-1008142736"/>
          </w:sdtPr>
          <w:sdtContent>
            <w:tc>
              <w:tcPr>
                <w:tcW w:w="1551" w:type="pct"/>
              </w:tcPr>
              <w:p>
                <w:pPr>
                  <w:autoSpaceDE w:val="0"/>
                  <w:autoSpaceDN w:val="0"/>
                  <w:adjustRightInd w:val="0"/>
                  <w:snapToGrid w:val="0"/>
                  <w:jc w:val="center"/>
                </w:pPr>
                <w:r>
                  <w:rPr>
                    <w:rFonts w:hint="eastAsia"/>
                  </w:rPr>
                  <w:t>本期发生额</w:t>
                </w:r>
              </w:p>
            </w:tc>
          </w:sdtContent>
        </w:sdt>
        <w:sdt>
          <w:sdtPr>
            <w:tag w:val="_PLD_7dc479c1c10240cc94f89ea3fc1d6136"/>
            <w:id w:val="-1675717580"/>
          </w:sdtPr>
          <w:sdtContent>
            <w:tc>
              <w:tcPr>
                <w:tcW w:w="1567" w:type="pct"/>
              </w:tcPr>
              <w:p>
                <w:pPr>
                  <w:autoSpaceDE w:val="0"/>
                  <w:autoSpaceDN w:val="0"/>
                  <w:adjustRightInd w:val="0"/>
                  <w:snapToGrid w:val="0"/>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销售及管理费用支付额</w:t>
            </w:r>
          </w:p>
        </w:tc>
        <w:tc>
          <w:tcPr>
            <w:tcW w:w="1551" w:type="pct"/>
            <w:vAlign w:val="center"/>
          </w:tcPr>
          <w:p>
            <w:pPr>
              <w:jc w:val="right"/>
              <w:rPr>
                <w:rFonts w:ascii="宋体" w:hAnsi="宋体"/>
              </w:rPr>
            </w:pPr>
            <w:r>
              <w:rPr>
                <w:rFonts w:ascii="宋体" w:hAnsi="宋体"/>
              </w:rPr>
              <w:t>8,003,140</w:t>
            </w:r>
          </w:p>
        </w:tc>
        <w:tc>
          <w:tcPr>
            <w:tcW w:w="1567" w:type="pct"/>
            <w:vAlign w:val="center"/>
          </w:tcPr>
          <w:p>
            <w:pPr>
              <w:jc w:val="right"/>
              <w:rPr>
                <w:rFonts w:ascii="宋体" w:hAnsi="宋体"/>
              </w:rPr>
            </w:pPr>
            <w:r>
              <w:rPr>
                <w:rFonts w:ascii="宋体" w:hAnsi="宋体"/>
              </w:rPr>
              <w:t>8,711,597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环境治理支出</w:t>
            </w:r>
          </w:p>
        </w:tc>
        <w:tc>
          <w:tcPr>
            <w:tcW w:w="1551" w:type="pct"/>
            <w:vAlign w:val="center"/>
          </w:tcPr>
          <w:p>
            <w:pPr>
              <w:jc w:val="right"/>
              <w:rPr>
                <w:rFonts w:ascii="宋体" w:hAnsi="宋体"/>
              </w:rPr>
            </w:pPr>
            <w:r>
              <w:rPr>
                <w:rFonts w:ascii="宋体" w:hAnsi="宋体"/>
              </w:rPr>
              <w:t>5,723,370</w:t>
            </w:r>
          </w:p>
        </w:tc>
        <w:tc>
          <w:tcPr>
            <w:tcW w:w="1567" w:type="pct"/>
            <w:vAlign w:val="center"/>
          </w:tcPr>
          <w:p>
            <w:pPr>
              <w:jc w:val="right"/>
              <w:rPr>
                <w:rFonts w:ascii="宋体" w:hAnsi="宋体"/>
              </w:rPr>
            </w:pPr>
            <w:r>
              <w:rPr>
                <w:rFonts w:ascii="宋体" w:hAnsi="宋体"/>
              </w:rPr>
              <w:t>3,903,124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往来款</w:t>
            </w:r>
          </w:p>
        </w:tc>
        <w:tc>
          <w:tcPr>
            <w:tcW w:w="1551" w:type="pct"/>
            <w:vAlign w:val="center"/>
          </w:tcPr>
          <w:p>
            <w:pPr>
              <w:jc w:val="right"/>
              <w:rPr>
                <w:rFonts w:ascii="宋体" w:hAnsi="宋体"/>
              </w:rPr>
            </w:pPr>
            <w:r>
              <w:rPr>
                <w:rFonts w:ascii="宋体" w:hAnsi="宋体"/>
              </w:rPr>
              <w:t>2,679,061</w:t>
            </w:r>
          </w:p>
        </w:tc>
        <w:tc>
          <w:tcPr>
            <w:tcW w:w="1567" w:type="pct"/>
            <w:vAlign w:val="center"/>
          </w:tcPr>
          <w:p>
            <w:pPr>
              <w:jc w:val="right"/>
              <w:rPr>
                <w:rFonts w:ascii="宋体" w:hAnsi="宋体"/>
              </w:rPr>
            </w:pPr>
            <w:r>
              <w:rPr>
                <w:rFonts w:ascii="宋体" w:hAnsi="宋体"/>
              </w:rPr>
              <w:t>2,638,597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支付环境恢复治理基金</w:t>
            </w:r>
          </w:p>
        </w:tc>
        <w:tc>
          <w:tcPr>
            <w:tcW w:w="1551" w:type="pct"/>
            <w:vAlign w:val="center"/>
          </w:tcPr>
          <w:p>
            <w:pPr>
              <w:jc w:val="right"/>
              <w:rPr>
                <w:rFonts w:ascii="宋体" w:hAnsi="宋体"/>
              </w:rPr>
            </w:pPr>
            <w:r>
              <w:rPr>
                <w:rFonts w:ascii="宋体" w:hAnsi="宋体"/>
              </w:rPr>
              <w:t>610,924</w:t>
            </w:r>
          </w:p>
        </w:tc>
        <w:tc>
          <w:tcPr>
            <w:tcW w:w="1567" w:type="pct"/>
            <w:vAlign w:val="center"/>
          </w:tcPr>
          <w:p>
            <w:pPr>
              <w:jc w:val="right"/>
              <w:rPr>
                <w:rFonts w:ascii="宋体" w:hAnsi="宋体"/>
              </w:rPr>
            </w:pPr>
            <w:r>
              <w:rPr>
                <w:rFonts w:ascii="宋体" w:hAnsi="宋体"/>
              </w:rPr>
              <w:t>733,584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支付票据保证金</w:t>
            </w:r>
          </w:p>
        </w:tc>
        <w:tc>
          <w:tcPr>
            <w:tcW w:w="1551" w:type="pct"/>
            <w:vAlign w:val="center"/>
          </w:tcPr>
          <w:p>
            <w:pPr>
              <w:jc w:val="right"/>
              <w:rPr>
                <w:rFonts w:ascii="宋体" w:hAnsi="宋体"/>
              </w:rPr>
            </w:pPr>
            <w:r>
              <w:rPr>
                <w:rFonts w:ascii="宋体" w:hAnsi="宋体"/>
              </w:rPr>
              <w:t>497,162</w:t>
            </w:r>
          </w:p>
        </w:tc>
        <w:tc>
          <w:tcPr>
            <w:tcW w:w="1567" w:type="pct"/>
            <w:vAlign w:val="center"/>
          </w:tcPr>
          <w:p>
            <w:pPr>
              <w:jc w:val="right"/>
              <w:rPr>
                <w:rFonts w:ascii="宋体" w:hAnsi="宋体"/>
              </w:rPr>
            </w:pPr>
            <w:r>
              <w:rPr>
                <w:rFonts w:ascii="宋体" w:hAnsi="宋体"/>
              </w:rPr>
              <w:t>449,009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罚款及滞纳金</w:t>
            </w:r>
          </w:p>
        </w:tc>
        <w:tc>
          <w:tcPr>
            <w:tcW w:w="1551" w:type="pct"/>
            <w:vAlign w:val="center"/>
          </w:tcPr>
          <w:p>
            <w:pPr>
              <w:jc w:val="right"/>
              <w:rPr>
                <w:rFonts w:ascii="宋体" w:hAnsi="宋体"/>
              </w:rPr>
            </w:pPr>
            <w:r>
              <w:rPr>
                <w:rFonts w:ascii="宋体" w:hAnsi="宋体"/>
              </w:rPr>
              <w:t>107,403</w:t>
            </w:r>
          </w:p>
        </w:tc>
        <w:tc>
          <w:tcPr>
            <w:tcW w:w="1567" w:type="pct"/>
            <w:vAlign w:val="center"/>
          </w:tcPr>
          <w:p>
            <w:pPr>
              <w:jc w:val="right"/>
              <w:rPr>
                <w:rFonts w:ascii="宋体" w:hAnsi="宋体"/>
              </w:rPr>
            </w:pPr>
            <w:r>
              <w:rPr>
                <w:rFonts w:ascii="宋体" w:hAnsi="宋体"/>
              </w:rPr>
              <w:t>264,786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捐赠支出</w:t>
            </w:r>
          </w:p>
        </w:tc>
        <w:tc>
          <w:tcPr>
            <w:tcW w:w="1551" w:type="pct"/>
            <w:vAlign w:val="center"/>
          </w:tcPr>
          <w:p>
            <w:pPr>
              <w:jc w:val="right"/>
              <w:rPr>
                <w:rFonts w:ascii="宋体" w:hAnsi="宋体"/>
              </w:rPr>
            </w:pPr>
            <w:r>
              <w:rPr>
                <w:rFonts w:ascii="宋体" w:hAnsi="宋体"/>
              </w:rPr>
              <w:t>50,486</w:t>
            </w:r>
          </w:p>
        </w:tc>
        <w:tc>
          <w:tcPr>
            <w:tcW w:w="1567" w:type="pct"/>
            <w:vAlign w:val="center"/>
          </w:tcPr>
          <w:p>
            <w:pPr>
              <w:jc w:val="right"/>
              <w:rPr>
                <w:rFonts w:ascii="宋体" w:hAnsi="宋体"/>
              </w:rPr>
            </w:pPr>
            <w:r>
              <w:rPr>
                <w:rFonts w:ascii="宋体" w:hAnsi="宋体"/>
              </w:rPr>
              <w:t>104,127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冻结资金</w:t>
            </w:r>
          </w:p>
        </w:tc>
        <w:tc>
          <w:tcPr>
            <w:tcW w:w="1551" w:type="pct"/>
            <w:vAlign w:val="center"/>
          </w:tcPr>
          <w:p>
            <w:pPr>
              <w:jc w:val="right"/>
              <w:rPr>
                <w:rFonts w:ascii="宋体" w:hAnsi="宋体"/>
              </w:rPr>
            </w:pPr>
            <w:r>
              <w:rPr>
                <w:rFonts w:ascii="宋体" w:hAnsi="宋体"/>
              </w:rPr>
              <w:t>3,690</w:t>
            </w:r>
          </w:p>
        </w:tc>
        <w:tc>
          <w:tcPr>
            <w:tcW w:w="1567" w:type="pct"/>
            <w:vAlign w:val="center"/>
          </w:tcPr>
          <w:p>
            <w:pPr>
              <w:jc w:val="right"/>
              <w:rPr>
                <w:rFonts w:ascii="宋体" w:hAnsi="宋体"/>
              </w:rPr>
            </w:pPr>
            <w:r>
              <w:rPr>
                <w:rFonts w:ascii="宋体" w:hAnsi="宋体"/>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其他</w:t>
            </w:r>
          </w:p>
        </w:tc>
        <w:tc>
          <w:tcPr>
            <w:tcW w:w="1551" w:type="pct"/>
            <w:vAlign w:val="center"/>
          </w:tcPr>
          <w:p>
            <w:pPr>
              <w:jc w:val="right"/>
              <w:rPr>
                <w:rFonts w:ascii="宋体" w:hAnsi="宋体"/>
              </w:rPr>
            </w:pPr>
            <w:r>
              <w:rPr>
                <w:rFonts w:ascii="宋体" w:hAnsi="宋体"/>
              </w:rPr>
              <w:t>800,087</w:t>
            </w:r>
          </w:p>
        </w:tc>
        <w:tc>
          <w:tcPr>
            <w:tcW w:w="1567" w:type="pct"/>
            <w:vAlign w:val="center"/>
          </w:tcPr>
          <w:p>
            <w:pPr>
              <w:jc w:val="right"/>
              <w:rPr>
                <w:rFonts w:ascii="宋体" w:hAnsi="宋体"/>
              </w:rPr>
            </w:pPr>
            <w:r>
              <w:rPr>
                <w:rFonts w:ascii="宋体" w:hAnsi="宋体"/>
              </w:rPr>
              <w:t>770,942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43" w:hRule="atLeast"/>
        </w:trPr>
        <w:tc>
          <w:tcPr>
            <w:tcW w:w="1882" w:type="pct"/>
            <w:vAlign w:val="center"/>
          </w:tcPr>
          <w:p>
            <w:pPr>
              <w:autoSpaceDE w:val="0"/>
              <w:autoSpaceDN w:val="0"/>
              <w:adjustRightInd w:val="0"/>
              <w:snapToGrid w:val="0"/>
              <w:jc w:val="center"/>
            </w:pPr>
            <w:r>
              <w:rPr>
                <w:rFonts w:hint="eastAsia"/>
              </w:rPr>
              <w:t>合计</w:t>
            </w:r>
          </w:p>
        </w:tc>
        <w:tc>
          <w:tcPr>
            <w:tcW w:w="1551" w:type="pct"/>
            <w:vAlign w:val="center"/>
          </w:tcPr>
          <w:p>
            <w:pPr>
              <w:jc w:val="right"/>
              <w:rPr>
                <w:rFonts w:ascii="宋体" w:hAnsi="宋体"/>
                <w:bCs/>
              </w:rPr>
            </w:pPr>
            <w:r>
              <w:rPr>
                <w:rFonts w:ascii="宋体" w:hAnsi="宋体"/>
                <w:bCs/>
              </w:rPr>
              <w:t>18,475,323</w:t>
            </w:r>
          </w:p>
        </w:tc>
        <w:tc>
          <w:tcPr>
            <w:tcW w:w="1567" w:type="pct"/>
            <w:vAlign w:val="center"/>
          </w:tcPr>
          <w:p>
            <w:pPr>
              <w:jc w:val="right"/>
              <w:rPr>
                <w:rFonts w:ascii="宋体" w:hAnsi="宋体"/>
                <w:bCs/>
              </w:rPr>
            </w:pPr>
            <w:r>
              <w:rPr>
                <w:rFonts w:ascii="宋体" w:hAnsi="宋体"/>
                <w:bCs/>
              </w:rPr>
              <w:t>17,575,784</w:t>
            </w:r>
          </w:p>
        </w:tc>
      </w:tr>
    </w:tbl>
    <w:p>
      <w:pPr>
        <w:ind w:right="5"/>
      </w:pPr>
    </w:p>
    <w:p>
      <w:pPr>
        <w:pStyle w:val="505"/>
        <w:numPr>
          <w:ilvl w:val="0"/>
          <w:numId w:val="108"/>
        </w:numPr>
        <w:ind w:left="426" w:hanging="426"/>
      </w:pPr>
      <w:r>
        <w:rPr>
          <w:rFonts w:hint="eastAsia"/>
        </w:rPr>
        <w:t>与投资活动有关的现金</w:t>
      </w:r>
    </w:p>
    <w:p>
      <w:pPr>
        <w:pStyle w:val="531"/>
      </w:pPr>
      <w:r>
        <w:rPr>
          <w:rFonts w:hint="eastAsia"/>
        </w:rPr>
        <w:t>重要的收回投资收到的现金</w:t>
      </w:r>
    </w:p>
    <w:sdt>
      <w:sdtPr>
        <w:alias w:val="是否适用：收到的重要的投资活动有关的现金[双击切换]"/>
        <w:tag w:val="_GBC_9196f5edd13f48c58cf11429e2524db4"/>
        <w:id w:val="-290753860"/>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 xml:space="preserve">  单位：</w:t>
      </w:r>
      <w:sdt>
        <w:sdtPr>
          <w:rPr>
            <w:rFonts w:hint="eastAsia"/>
          </w:rPr>
          <w:alias w:val="单位：收到的重要的投资活动有关的现金"/>
          <w:tag w:val="_GBC_30082088374344d4809bf9f5b59559f9"/>
          <w:id w:val="-15847297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收到的重要的投资活动有关的现金"/>
          <w:tag w:val="_GBC_aad9cf5ff1554131b4e4b043d133db0c"/>
          <w:id w:val="4681762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20"/>
        <w:gridCol w:w="3020"/>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hint="eastAsia"/>
            </w:rPr>
            <w:tag w:val="_PLD_86537d51cc694654b45c76bb3b965b60"/>
            <w:id w:val="-2088682597"/>
          </w:sdtPr>
          <w:sdtEndPr>
            <w:rPr>
              <w:rFonts w:hint="eastAsia"/>
            </w:rPr>
          </w:sdtEndPr>
          <w:sdtContent>
            <w:tc>
              <w:tcPr>
                <w:tcW w:w="1667" w:type="pct"/>
              </w:tcPr>
              <w:p>
                <w:pPr>
                  <w:autoSpaceDE w:val="0"/>
                  <w:autoSpaceDN w:val="0"/>
                  <w:adjustRightInd w:val="0"/>
                  <w:snapToGrid w:val="0"/>
                  <w:spacing w:line="240" w:lineRule="atLeast"/>
                  <w:jc w:val="center"/>
                </w:pPr>
                <w:r>
                  <w:rPr>
                    <w:rFonts w:hint="eastAsia"/>
                  </w:rPr>
                  <w:t>项目</w:t>
                </w:r>
              </w:p>
            </w:tc>
          </w:sdtContent>
        </w:sdt>
        <w:sdt>
          <w:sdtPr>
            <w:rPr>
              <w:rFonts w:hint="eastAsia"/>
            </w:rPr>
            <w:tag w:val="_PLD_8df780a4dd194dc4b58890fceac9b4d7"/>
            <w:id w:val="-193309184"/>
          </w:sdtPr>
          <w:sdtEndPr>
            <w:rPr>
              <w:rFonts w:hint="eastAsia"/>
            </w:rPr>
          </w:sdtEndPr>
          <w:sdtContent>
            <w:tc>
              <w:tcPr>
                <w:tcW w:w="1667" w:type="pct"/>
              </w:tcPr>
              <w:p>
                <w:pPr>
                  <w:autoSpaceDE w:val="0"/>
                  <w:autoSpaceDN w:val="0"/>
                  <w:adjustRightInd w:val="0"/>
                  <w:snapToGrid w:val="0"/>
                  <w:spacing w:line="240" w:lineRule="atLeast"/>
                  <w:jc w:val="center"/>
                </w:pPr>
                <w:r>
                  <w:rPr>
                    <w:rFonts w:hint="eastAsia"/>
                  </w:rPr>
                  <w:t>本期发生额</w:t>
                </w:r>
              </w:p>
            </w:tc>
          </w:sdtContent>
        </w:sdt>
        <w:sdt>
          <w:sdtPr>
            <w:rPr>
              <w:rFonts w:hint="eastAsia"/>
            </w:rPr>
            <w:tag w:val="_PLD_e3e736b7d56b47b9a0860a6d7e262f11"/>
            <w:id w:val="-2113819676"/>
          </w:sdtPr>
          <w:sdtEndPr>
            <w:rPr>
              <w:rFonts w:hint="eastAsia"/>
            </w:rPr>
          </w:sdtEndPr>
          <w:sdtContent>
            <w:tc>
              <w:tcPr>
                <w:tcW w:w="1667" w:type="pct"/>
              </w:tcPr>
              <w:p>
                <w:pPr>
                  <w:autoSpaceDE w:val="0"/>
                  <w:autoSpaceDN w:val="0"/>
                  <w:adjustRightInd w:val="0"/>
                  <w:snapToGrid w:val="0"/>
                  <w:spacing w:line="240" w:lineRule="atLeast"/>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41" w:hRule="atLeast"/>
        </w:trPr>
        <w:tc>
          <w:tcPr>
            <w:tcW w:w="1667" w:type="pct"/>
            <w:vAlign w:val="center"/>
          </w:tcPr>
          <w:p>
            <w:pPr>
              <w:autoSpaceDE w:val="0"/>
              <w:autoSpaceDN w:val="0"/>
              <w:adjustRightInd w:val="0"/>
              <w:snapToGrid w:val="0"/>
              <w:spacing w:line="240" w:lineRule="atLeast"/>
            </w:pPr>
            <w:r>
              <w:rPr>
                <w:rFonts w:hint="eastAsia"/>
              </w:rPr>
              <w:t>融资租赁款</w:t>
            </w:r>
          </w:p>
        </w:tc>
        <w:tc>
          <w:tcPr>
            <w:tcW w:w="1667" w:type="pct"/>
            <w:vAlign w:val="center"/>
          </w:tcPr>
          <w:p>
            <w:pPr>
              <w:jc w:val="right"/>
              <w:rPr>
                <w:rFonts w:ascii="宋体" w:hAnsi="宋体"/>
              </w:rPr>
            </w:pPr>
            <w:r>
              <w:rPr>
                <w:rFonts w:hint="eastAsia" w:ascii="宋体" w:hAnsi="宋体"/>
              </w:rPr>
              <w:t>4,441,389</w:t>
            </w:r>
          </w:p>
        </w:tc>
        <w:tc>
          <w:tcPr>
            <w:tcW w:w="1667" w:type="pct"/>
            <w:vAlign w:val="center"/>
          </w:tcPr>
          <w:p>
            <w:pPr>
              <w:jc w:val="right"/>
              <w:rPr>
                <w:rFonts w:ascii="宋体" w:hAnsi="宋体"/>
              </w:rPr>
            </w:pPr>
            <w:r>
              <w:rPr>
                <w:rFonts w:hint="eastAsia" w:ascii="宋体" w:hAnsi="宋体"/>
              </w:rPr>
              <w:t>4,421,667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667" w:type="pct"/>
          </w:tcPr>
          <w:p>
            <w:pPr>
              <w:autoSpaceDE w:val="0"/>
              <w:autoSpaceDN w:val="0"/>
              <w:adjustRightInd w:val="0"/>
              <w:snapToGrid w:val="0"/>
              <w:spacing w:line="240" w:lineRule="atLeast"/>
              <w:jc w:val="center"/>
            </w:pPr>
            <w:r>
              <w:rPr>
                <w:rFonts w:hint="eastAsia"/>
              </w:rPr>
              <w:t>合计</w:t>
            </w:r>
          </w:p>
        </w:tc>
        <w:tc>
          <w:tcPr>
            <w:tcW w:w="1667" w:type="pct"/>
            <w:vAlign w:val="center"/>
          </w:tcPr>
          <w:p>
            <w:pPr>
              <w:jc w:val="right"/>
              <w:rPr>
                <w:rFonts w:ascii="宋体" w:hAnsi="宋体"/>
                <w:bCs/>
              </w:rPr>
            </w:pPr>
            <w:r>
              <w:rPr>
                <w:rFonts w:hint="eastAsia" w:ascii="宋体" w:hAnsi="宋体"/>
              </w:rPr>
              <w:t>4,441,389</w:t>
            </w:r>
          </w:p>
        </w:tc>
        <w:tc>
          <w:tcPr>
            <w:tcW w:w="1667" w:type="pct"/>
            <w:vAlign w:val="center"/>
          </w:tcPr>
          <w:p>
            <w:pPr>
              <w:jc w:val="right"/>
              <w:rPr>
                <w:bCs/>
              </w:rPr>
            </w:pPr>
            <w:r>
              <w:rPr>
                <w:rFonts w:hint="eastAsia" w:ascii="宋体" w:hAnsi="宋体"/>
              </w:rPr>
              <w:t>4,421,667</w:t>
            </w:r>
          </w:p>
        </w:tc>
      </w:tr>
    </w:tbl>
    <w:p>
      <w:pPr>
        <w:pStyle w:val="531"/>
      </w:pPr>
    </w:p>
    <w:p>
      <w:pPr>
        <w:pStyle w:val="531"/>
      </w:pPr>
    </w:p>
    <w:p>
      <w:pPr>
        <w:pStyle w:val="531"/>
      </w:pPr>
      <w:r>
        <w:rPr>
          <w:rFonts w:hint="eastAsia"/>
        </w:rPr>
        <w:t>重要的投资支付的现金</w:t>
      </w:r>
    </w:p>
    <w:sdt>
      <w:sdtPr>
        <w:alias w:val="是否适用：支付的重要的投资活动有关的现金[双击切换]"/>
        <w:tag w:val="_GBC_87278c8d34004ae4ad117e1026d10209"/>
        <w:id w:val="-1219129228"/>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 xml:space="preserve">  单位：</w:t>
      </w:r>
      <w:sdt>
        <w:sdtPr>
          <w:rPr>
            <w:rFonts w:hint="eastAsia"/>
          </w:rPr>
          <w:alias w:val="单位：支付的重要的投资活动有关的现金"/>
          <w:tag w:val="_GBC_a0deec14b3b44f78b9368ad871e8d8c6"/>
          <w:id w:val="49153556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支付的重要的投资活动有关的现金"/>
          <w:tag w:val="_GBC_e41f8522f445479ba58238ec8d2c3147"/>
          <w:id w:val="-14328078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30"/>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hint="eastAsia"/>
            </w:rPr>
            <w:tag w:val="_PLD_328e6bb5fcc74d9c87ca178b8d42f9b8"/>
            <w:id w:val="704827242"/>
          </w:sdtPr>
          <w:sdtEndPr>
            <w:rPr>
              <w:rFonts w:hint="eastAsia"/>
            </w:rPr>
          </w:sdtEndPr>
          <w:sdtContent>
            <w:tc>
              <w:tcPr>
                <w:tcW w:w="1882" w:type="pct"/>
              </w:tcPr>
              <w:p>
                <w:pPr>
                  <w:autoSpaceDE w:val="0"/>
                  <w:autoSpaceDN w:val="0"/>
                  <w:adjustRightInd w:val="0"/>
                  <w:snapToGrid w:val="0"/>
                  <w:spacing w:line="240" w:lineRule="atLeast"/>
                  <w:jc w:val="center"/>
                </w:pPr>
                <w:r>
                  <w:rPr>
                    <w:rFonts w:hint="eastAsia"/>
                  </w:rPr>
                  <w:t>项目</w:t>
                </w:r>
              </w:p>
            </w:tc>
          </w:sdtContent>
        </w:sdt>
        <w:sdt>
          <w:sdtPr>
            <w:rPr>
              <w:rFonts w:hint="eastAsia"/>
            </w:rPr>
            <w:tag w:val="_PLD_fc885c8be4db48b78be0f1dad4d4c6a8"/>
            <w:id w:val="-1868982491"/>
          </w:sdtPr>
          <w:sdtEndPr>
            <w:rPr>
              <w:rFonts w:hint="eastAsia"/>
            </w:rPr>
          </w:sdtEndPr>
          <w:sdtContent>
            <w:tc>
              <w:tcPr>
                <w:tcW w:w="1562" w:type="pct"/>
              </w:tcPr>
              <w:p>
                <w:pPr>
                  <w:autoSpaceDE w:val="0"/>
                  <w:autoSpaceDN w:val="0"/>
                  <w:adjustRightInd w:val="0"/>
                  <w:snapToGrid w:val="0"/>
                  <w:spacing w:line="240" w:lineRule="atLeast"/>
                  <w:jc w:val="center"/>
                </w:pPr>
                <w:r>
                  <w:rPr>
                    <w:rFonts w:hint="eastAsia"/>
                  </w:rPr>
                  <w:t>本期发生额</w:t>
                </w:r>
              </w:p>
            </w:tc>
          </w:sdtContent>
        </w:sdt>
        <w:sdt>
          <w:sdtPr>
            <w:rPr>
              <w:rFonts w:hint="eastAsia"/>
            </w:rPr>
            <w:tag w:val="_PLD_b15712f434d644b0954dad3a0d7e73ef"/>
            <w:id w:val="-814644645"/>
          </w:sdtPr>
          <w:sdtEndPr>
            <w:rPr>
              <w:rFonts w:hint="eastAsia"/>
            </w:rPr>
          </w:sdtEndPr>
          <w:sdtContent>
            <w:tc>
              <w:tcPr>
                <w:tcW w:w="1556" w:type="pct"/>
              </w:tcPr>
              <w:p>
                <w:pPr>
                  <w:autoSpaceDE w:val="0"/>
                  <w:autoSpaceDN w:val="0"/>
                  <w:adjustRightInd w:val="0"/>
                  <w:snapToGrid w:val="0"/>
                  <w:spacing w:line="240" w:lineRule="atLeast"/>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绿城保理款</w:t>
            </w:r>
          </w:p>
        </w:tc>
        <w:tc>
          <w:tcPr>
            <w:tcW w:w="1562" w:type="pct"/>
            <w:vAlign w:val="center"/>
          </w:tcPr>
          <w:p>
            <w:pPr>
              <w:jc w:val="right"/>
              <w:rPr>
                <w:rFonts w:ascii="宋体" w:hAnsi="宋体"/>
              </w:rPr>
            </w:pPr>
            <w:r>
              <w:rPr>
                <w:rFonts w:hint="eastAsia" w:ascii="宋体" w:hAnsi="宋体"/>
              </w:rPr>
              <w:t>993,850</w:t>
            </w:r>
          </w:p>
        </w:tc>
        <w:tc>
          <w:tcPr>
            <w:tcW w:w="1556" w:type="pct"/>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pPr>
            <w:r>
              <w:rPr>
                <w:rFonts w:hint="eastAsia"/>
              </w:rPr>
              <w:t>合计</w:t>
            </w:r>
          </w:p>
        </w:tc>
        <w:tc>
          <w:tcPr>
            <w:tcW w:w="1562" w:type="pct"/>
            <w:vAlign w:val="center"/>
          </w:tcPr>
          <w:p>
            <w:pPr>
              <w:jc w:val="right"/>
              <w:rPr>
                <w:rFonts w:ascii="宋体" w:hAnsi="宋体"/>
                <w:bCs/>
              </w:rPr>
            </w:pPr>
            <w:r>
              <w:rPr>
                <w:rFonts w:ascii="宋体" w:hAnsi="宋体"/>
                <w:bCs/>
              </w:rPr>
              <w:t>993,850</w:t>
            </w:r>
          </w:p>
        </w:tc>
        <w:tc>
          <w:tcPr>
            <w:tcW w:w="1556" w:type="pct"/>
          </w:tcPr>
          <w:p>
            <w:pPr>
              <w:jc w:val="right"/>
            </w:pPr>
          </w:p>
        </w:tc>
      </w:tr>
    </w:tbl>
    <w:p>
      <w:pPr>
        <w:pStyle w:val="531"/>
      </w:pPr>
    </w:p>
    <w:p>
      <w:pPr>
        <w:pStyle w:val="531"/>
      </w:pPr>
    </w:p>
    <w:p>
      <w:pPr>
        <w:pStyle w:val="531"/>
      </w:pPr>
      <w:r>
        <w:rPr>
          <w:rFonts w:hint="eastAsia"/>
        </w:rPr>
        <w:t>收到的其他与投资活动有关的现金</w:t>
      </w:r>
    </w:p>
    <w:sdt>
      <w:sdtPr>
        <w:alias w:val="是否适用：收到的其他与投资活动有关的现金[双击切换]"/>
        <w:tag w:val="_GBC_a9d11a87566b448d9e6aac9a017a8388"/>
        <w:id w:val="712705137"/>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收到的其他与投资活动有关的现金"/>
          <w:tag w:val="_GBC_0c9cf16095dd4d5ab3121520e225b633"/>
          <w:id w:val="-15971655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收到的其他与投资活动有关的现金"/>
          <w:tag w:val="_GBC_791e060c2d294266a3abaf8a745aad01"/>
          <w:id w:val="9705618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5"/>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fe69c5749494bb49faf620c5198417e"/>
            <w:id w:val="-729453989"/>
          </w:sdtPr>
          <w:sdtContent>
            <w:tc>
              <w:tcPr>
                <w:tcW w:w="1882" w:type="pct"/>
              </w:tcPr>
              <w:p>
                <w:pPr>
                  <w:autoSpaceDE w:val="0"/>
                  <w:autoSpaceDN w:val="0"/>
                  <w:adjustRightInd w:val="0"/>
                  <w:snapToGrid w:val="0"/>
                  <w:spacing w:line="240" w:lineRule="atLeast"/>
                  <w:jc w:val="center"/>
                </w:pPr>
                <w:r>
                  <w:rPr>
                    <w:rFonts w:hint="eastAsia"/>
                  </w:rPr>
                  <w:t>项目</w:t>
                </w:r>
              </w:p>
            </w:tc>
          </w:sdtContent>
        </w:sdt>
        <w:sdt>
          <w:sdtPr>
            <w:tag w:val="_PLD_bf91a26c50244250a28701d650837068"/>
            <w:id w:val="-2112417930"/>
          </w:sdtPr>
          <w:sdtContent>
            <w:tc>
              <w:tcPr>
                <w:tcW w:w="1609" w:type="pct"/>
              </w:tcPr>
              <w:p>
                <w:pPr>
                  <w:autoSpaceDE w:val="0"/>
                  <w:autoSpaceDN w:val="0"/>
                  <w:adjustRightInd w:val="0"/>
                  <w:snapToGrid w:val="0"/>
                  <w:spacing w:line="240" w:lineRule="atLeast"/>
                  <w:jc w:val="center"/>
                </w:pPr>
                <w:r>
                  <w:rPr>
                    <w:rFonts w:hint="eastAsia"/>
                  </w:rPr>
                  <w:t>本期发生额</w:t>
                </w:r>
              </w:p>
            </w:tc>
          </w:sdtContent>
        </w:sdt>
        <w:sdt>
          <w:sdtPr>
            <w:tag w:val="_PLD_6ba4cebdd5f34f0ebe4577174e11dd6c"/>
            <w:id w:val="1914509702"/>
          </w:sdtPr>
          <w:sdtContent>
            <w:tc>
              <w:tcPr>
                <w:tcW w:w="1509" w:type="pct"/>
              </w:tcPr>
              <w:p>
                <w:pPr>
                  <w:autoSpaceDE w:val="0"/>
                  <w:autoSpaceDN w:val="0"/>
                  <w:adjustRightInd w:val="0"/>
                  <w:snapToGrid w:val="0"/>
                  <w:spacing w:line="240" w:lineRule="atLeast"/>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关联方借款</w:t>
            </w:r>
          </w:p>
        </w:tc>
        <w:tc>
          <w:tcPr>
            <w:tcW w:w="1609" w:type="pct"/>
            <w:vAlign w:val="center"/>
          </w:tcPr>
          <w:p>
            <w:pPr>
              <w:jc w:val="right"/>
              <w:rPr>
                <w:rFonts w:ascii="宋体" w:hAnsi="宋体"/>
              </w:rPr>
            </w:pPr>
            <w:r>
              <w:rPr>
                <w:rFonts w:hint="eastAsia" w:ascii="宋体" w:hAnsi="宋体"/>
              </w:rPr>
              <w:t>1,074,116</w:t>
            </w:r>
          </w:p>
        </w:tc>
        <w:tc>
          <w:tcPr>
            <w:tcW w:w="1509" w:type="pct"/>
            <w:vAlign w:val="center"/>
          </w:tcPr>
          <w:p>
            <w:pPr>
              <w:jc w:val="right"/>
              <w:rPr>
                <w:rFonts w:ascii="宋体" w:hAnsi="宋体"/>
              </w:rPr>
            </w:pPr>
            <w:r>
              <w:rPr>
                <w:rFonts w:hint="eastAsia" w:ascii="宋体" w:hAnsi="宋体"/>
              </w:rPr>
              <w:t>3,447,63</w:t>
            </w:r>
            <w:r>
              <w:rPr>
                <w:rFonts w:ascii="宋体" w:hAnsi="宋体"/>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收回受限的定期存款</w:t>
            </w:r>
          </w:p>
        </w:tc>
        <w:tc>
          <w:tcPr>
            <w:tcW w:w="1609" w:type="pct"/>
            <w:vAlign w:val="center"/>
          </w:tcPr>
          <w:p>
            <w:pPr>
              <w:jc w:val="right"/>
              <w:rPr>
                <w:rFonts w:ascii="宋体" w:hAnsi="宋体"/>
              </w:rPr>
            </w:pPr>
            <w:r>
              <w:rPr>
                <w:rFonts w:hint="eastAsia" w:ascii="宋体" w:hAnsi="宋体"/>
              </w:rPr>
              <w:t>415,534</w:t>
            </w:r>
          </w:p>
        </w:tc>
        <w:tc>
          <w:tcPr>
            <w:tcW w:w="1509"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收回金融工具投资</w:t>
            </w:r>
          </w:p>
        </w:tc>
        <w:tc>
          <w:tcPr>
            <w:tcW w:w="1609" w:type="pct"/>
            <w:vAlign w:val="center"/>
          </w:tcPr>
          <w:p>
            <w:pPr>
              <w:jc w:val="right"/>
              <w:rPr>
                <w:rFonts w:ascii="宋体" w:hAnsi="宋体"/>
              </w:rPr>
            </w:pPr>
            <w:r>
              <w:rPr>
                <w:rFonts w:hint="eastAsia" w:ascii="宋体" w:hAnsi="宋体"/>
              </w:rPr>
              <w:t>34,199</w:t>
            </w:r>
          </w:p>
        </w:tc>
        <w:tc>
          <w:tcPr>
            <w:tcW w:w="1509" w:type="pct"/>
            <w:vAlign w:val="center"/>
          </w:tcPr>
          <w:p>
            <w:pPr>
              <w:jc w:val="right"/>
              <w:rPr>
                <w:rFonts w:ascii="宋体" w:hAnsi="宋体"/>
              </w:rPr>
            </w:pPr>
            <w:r>
              <w:rPr>
                <w:rFonts w:hint="eastAsia" w:ascii="宋体" w:hAnsi="宋体"/>
              </w:rPr>
              <w:t>149,065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收回保证金</w:t>
            </w:r>
          </w:p>
        </w:tc>
        <w:tc>
          <w:tcPr>
            <w:tcW w:w="1609" w:type="pct"/>
            <w:vAlign w:val="center"/>
          </w:tcPr>
          <w:p>
            <w:pPr>
              <w:jc w:val="right"/>
              <w:rPr>
                <w:rFonts w:ascii="宋体" w:hAnsi="宋体"/>
              </w:rPr>
            </w:pPr>
            <w:r>
              <w:rPr>
                <w:rFonts w:hint="eastAsia" w:ascii="宋体" w:hAnsi="宋体"/>
              </w:rPr>
              <w:t>22,902</w:t>
            </w:r>
          </w:p>
        </w:tc>
        <w:tc>
          <w:tcPr>
            <w:tcW w:w="1509" w:type="pct"/>
            <w:vAlign w:val="center"/>
          </w:tcPr>
          <w:p>
            <w:pPr>
              <w:jc w:val="right"/>
              <w:rPr>
                <w:rFonts w:ascii="宋体" w:hAnsi="宋体"/>
              </w:rPr>
            </w:pPr>
            <w:r>
              <w:rPr>
                <w:rFonts w:hint="eastAsia" w:ascii="宋体" w:hAnsi="宋体"/>
              </w:rPr>
              <w:t>8,65</w:t>
            </w:r>
            <w:r>
              <w:rPr>
                <w:rFonts w:ascii="宋体" w:hAnsi="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担保费收入</w:t>
            </w:r>
          </w:p>
        </w:tc>
        <w:tc>
          <w:tcPr>
            <w:tcW w:w="1609" w:type="pct"/>
            <w:vAlign w:val="center"/>
          </w:tcPr>
          <w:p>
            <w:pPr>
              <w:jc w:val="right"/>
              <w:rPr>
                <w:rFonts w:ascii="宋体" w:hAnsi="宋体"/>
              </w:rPr>
            </w:pPr>
            <w:r>
              <w:rPr>
                <w:rFonts w:hint="eastAsia" w:ascii="宋体" w:hAnsi="宋体"/>
              </w:rPr>
              <w:t>425</w:t>
            </w:r>
          </w:p>
        </w:tc>
        <w:tc>
          <w:tcPr>
            <w:tcW w:w="1509"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spacing w:line="240" w:lineRule="atLeast"/>
            </w:pPr>
            <w:r>
              <w:rPr>
                <w:rFonts w:hint="eastAsia"/>
              </w:rPr>
              <w:t>收回中山矿贷款</w:t>
            </w:r>
          </w:p>
        </w:tc>
        <w:tc>
          <w:tcPr>
            <w:tcW w:w="1609" w:type="pct"/>
            <w:vAlign w:val="center"/>
          </w:tcPr>
          <w:p>
            <w:pPr>
              <w:jc w:val="right"/>
              <w:rPr>
                <w:rFonts w:ascii="宋体" w:hAnsi="宋体"/>
              </w:rPr>
            </w:pPr>
          </w:p>
        </w:tc>
        <w:tc>
          <w:tcPr>
            <w:tcW w:w="1509" w:type="pct"/>
            <w:vAlign w:val="center"/>
          </w:tcPr>
          <w:p>
            <w:pPr>
              <w:jc w:val="right"/>
              <w:rPr>
                <w:rFonts w:ascii="宋体" w:hAnsi="宋体"/>
              </w:rPr>
            </w:pPr>
            <w:r>
              <w:rPr>
                <w:rFonts w:hint="eastAsia" w:ascii="宋体" w:hAnsi="宋体"/>
              </w:rPr>
              <w:t>694,995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pPr>
            <w:r>
              <w:rPr>
                <w:rFonts w:hint="eastAsia"/>
              </w:rPr>
              <w:t>合计</w:t>
            </w:r>
          </w:p>
        </w:tc>
        <w:tc>
          <w:tcPr>
            <w:tcW w:w="1609" w:type="pct"/>
            <w:vAlign w:val="center"/>
          </w:tcPr>
          <w:p>
            <w:pPr>
              <w:jc w:val="right"/>
              <w:rPr>
                <w:rFonts w:ascii="宋体" w:hAnsi="宋体"/>
              </w:rPr>
            </w:pPr>
            <w:r>
              <w:rPr>
                <w:rFonts w:ascii="宋体" w:hAnsi="宋体"/>
              </w:rPr>
              <w:t xml:space="preserve">1,547,176 </w:t>
            </w:r>
          </w:p>
        </w:tc>
        <w:tc>
          <w:tcPr>
            <w:tcW w:w="1509" w:type="pct"/>
            <w:vAlign w:val="center"/>
          </w:tcPr>
          <w:p>
            <w:pPr>
              <w:jc w:val="right"/>
              <w:rPr>
                <w:rFonts w:ascii="宋体" w:hAnsi="宋体"/>
              </w:rPr>
            </w:pPr>
            <w:r>
              <w:rPr>
                <w:rFonts w:ascii="宋体" w:hAnsi="宋体"/>
              </w:rPr>
              <w:t xml:space="preserve">4,300,351 </w:t>
            </w:r>
          </w:p>
        </w:tc>
      </w:tr>
    </w:tbl>
    <w:p>
      <w:pPr>
        <w:snapToGrid w:val="0"/>
        <w:spacing w:line="240" w:lineRule="atLeast"/>
      </w:pPr>
    </w:p>
    <w:p>
      <w:pPr>
        <w:pStyle w:val="501"/>
      </w:pPr>
    </w:p>
    <w:p>
      <w:pPr>
        <w:pStyle w:val="531"/>
      </w:pPr>
      <w:r>
        <w:rPr>
          <w:rFonts w:hint="eastAsia"/>
        </w:rPr>
        <w:t>支付的其他与投资活动有关的现金</w:t>
      </w:r>
    </w:p>
    <w:sdt>
      <w:sdtPr>
        <w:alias w:val="是否适用：支付的其他与投资活动有关的现金[双击切换]"/>
        <w:tag w:val="_GBC_c733aab18a804ecea142a329ce5180ba"/>
        <w:id w:val="-2102783927"/>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支付的其他与投资活动有关的现金"/>
          <w:tag w:val="_GBC_c9261a723e034bd4842ebc9aa57bb713"/>
          <w:id w:val="-873912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支付的其他与投资活动有关的现金"/>
          <w:tag w:val="_GBC_1ac8f59aa2ce48d0af7c6d580cad336c"/>
          <w:id w:val="-12000094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7"/>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587dffb6cb394ed0abe3449c37ec4700"/>
            <w:id w:val="-972755226"/>
          </w:sdtPr>
          <w:sdtContent>
            <w:tc>
              <w:tcPr>
                <w:tcW w:w="1882" w:type="pct"/>
              </w:tcPr>
              <w:p>
                <w:pPr>
                  <w:autoSpaceDE w:val="0"/>
                  <w:autoSpaceDN w:val="0"/>
                  <w:adjustRightInd w:val="0"/>
                  <w:snapToGrid w:val="0"/>
                  <w:jc w:val="center"/>
                </w:pPr>
                <w:r>
                  <w:rPr>
                    <w:rFonts w:hint="eastAsia"/>
                  </w:rPr>
                  <w:t>项目</w:t>
                </w:r>
              </w:p>
            </w:tc>
          </w:sdtContent>
        </w:sdt>
        <w:sdt>
          <w:sdtPr>
            <w:tag w:val="_PLD_df7899e6c0274bae9f145af85a8eb277"/>
            <w:id w:val="1521203025"/>
          </w:sdtPr>
          <w:sdtContent>
            <w:tc>
              <w:tcPr>
                <w:tcW w:w="1610" w:type="pct"/>
              </w:tcPr>
              <w:p>
                <w:pPr>
                  <w:autoSpaceDE w:val="0"/>
                  <w:autoSpaceDN w:val="0"/>
                  <w:adjustRightInd w:val="0"/>
                  <w:snapToGrid w:val="0"/>
                  <w:jc w:val="center"/>
                </w:pPr>
                <w:r>
                  <w:rPr>
                    <w:rFonts w:hint="eastAsia"/>
                  </w:rPr>
                  <w:t>本期发生额</w:t>
                </w:r>
              </w:p>
            </w:tc>
          </w:sdtContent>
        </w:sdt>
        <w:sdt>
          <w:sdtPr>
            <w:tag w:val="_PLD_f161b1c392e440818862ceb1761bb906"/>
            <w:id w:val="181562011"/>
          </w:sdtPr>
          <w:sdtContent>
            <w:tc>
              <w:tcPr>
                <w:tcW w:w="1508" w:type="pct"/>
              </w:tcPr>
              <w:p>
                <w:pPr>
                  <w:autoSpaceDE w:val="0"/>
                  <w:autoSpaceDN w:val="0"/>
                  <w:adjustRightInd w:val="0"/>
                  <w:snapToGrid w:val="0"/>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支付保证金</w:t>
            </w:r>
          </w:p>
        </w:tc>
        <w:tc>
          <w:tcPr>
            <w:tcW w:w="1610" w:type="pct"/>
            <w:vAlign w:val="center"/>
          </w:tcPr>
          <w:p>
            <w:pPr>
              <w:jc w:val="right"/>
              <w:rPr>
                <w:rFonts w:ascii="宋体" w:hAnsi="宋体"/>
              </w:rPr>
            </w:pPr>
            <w:r>
              <w:rPr>
                <w:rFonts w:ascii="宋体" w:hAnsi="宋体"/>
              </w:rPr>
              <w:t>25,200</w:t>
            </w:r>
          </w:p>
        </w:tc>
        <w:tc>
          <w:tcPr>
            <w:tcW w:w="1508" w:type="pct"/>
            <w:vAlign w:val="center"/>
          </w:tcPr>
          <w:p>
            <w:pPr>
              <w:jc w:val="right"/>
              <w:rPr>
                <w:rFonts w:ascii="宋体" w:hAnsi="宋体"/>
              </w:rPr>
            </w:pPr>
            <w:r>
              <w:rPr>
                <w:rFonts w:ascii="宋体" w:hAnsi="宋体"/>
              </w:rPr>
              <w:t>164,328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关联方借款</w:t>
            </w:r>
          </w:p>
        </w:tc>
        <w:tc>
          <w:tcPr>
            <w:tcW w:w="1610" w:type="pct"/>
            <w:vAlign w:val="center"/>
          </w:tcPr>
          <w:p>
            <w:pPr>
              <w:jc w:val="right"/>
              <w:rPr>
                <w:rFonts w:ascii="宋体" w:hAnsi="宋体"/>
              </w:rPr>
            </w:pPr>
          </w:p>
        </w:tc>
        <w:tc>
          <w:tcPr>
            <w:tcW w:w="1508" w:type="pct"/>
            <w:vAlign w:val="center"/>
          </w:tcPr>
          <w:p>
            <w:pPr>
              <w:jc w:val="right"/>
              <w:rPr>
                <w:rFonts w:ascii="宋体" w:hAnsi="宋体"/>
              </w:rPr>
            </w:pPr>
            <w:r>
              <w:rPr>
                <w:rFonts w:ascii="宋体" w:hAnsi="宋体"/>
              </w:rPr>
              <w:t>3,384,469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支付股权保证金</w:t>
            </w:r>
          </w:p>
        </w:tc>
        <w:tc>
          <w:tcPr>
            <w:tcW w:w="1610" w:type="pct"/>
            <w:vAlign w:val="center"/>
          </w:tcPr>
          <w:p>
            <w:pPr>
              <w:jc w:val="right"/>
              <w:rPr>
                <w:rFonts w:ascii="宋体" w:hAnsi="宋体"/>
              </w:rPr>
            </w:pPr>
          </w:p>
        </w:tc>
        <w:tc>
          <w:tcPr>
            <w:tcW w:w="1508" w:type="pct"/>
            <w:vAlign w:val="center"/>
          </w:tcPr>
          <w:p>
            <w:pPr>
              <w:jc w:val="right"/>
              <w:rPr>
                <w:rFonts w:ascii="宋体" w:hAnsi="宋体"/>
              </w:rPr>
            </w:pPr>
            <w:r>
              <w:rPr>
                <w:rFonts w:ascii="宋体" w:hAnsi="宋体"/>
              </w:rPr>
              <w:t>335,754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支付受限的定期存款</w:t>
            </w:r>
          </w:p>
        </w:tc>
        <w:tc>
          <w:tcPr>
            <w:tcW w:w="1610" w:type="pct"/>
            <w:vAlign w:val="center"/>
          </w:tcPr>
          <w:p>
            <w:pPr>
              <w:jc w:val="right"/>
              <w:rPr>
                <w:rFonts w:ascii="宋体" w:hAnsi="宋体"/>
              </w:rPr>
            </w:pPr>
          </w:p>
        </w:tc>
        <w:tc>
          <w:tcPr>
            <w:tcW w:w="1508" w:type="pct"/>
            <w:vAlign w:val="center"/>
          </w:tcPr>
          <w:p>
            <w:pPr>
              <w:jc w:val="right"/>
              <w:rPr>
                <w:rFonts w:ascii="宋体" w:hAnsi="宋体"/>
              </w:rPr>
            </w:pPr>
            <w:r>
              <w:rPr>
                <w:rFonts w:ascii="宋体" w:hAnsi="宋体"/>
              </w:rPr>
              <w:t>312,134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金融工具投资</w:t>
            </w:r>
          </w:p>
        </w:tc>
        <w:tc>
          <w:tcPr>
            <w:tcW w:w="1610" w:type="pct"/>
            <w:vAlign w:val="center"/>
          </w:tcPr>
          <w:p>
            <w:pPr>
              <w:jc w:val="right"/>
              <w:rPr>
                <w:rFonts w:ascii="宋体" w:hAnsi="宋体"/>
              </w:rPr>
            </w:pPr>
          </w:p>
        </w:tc>
        <w:tc>
          <w:tcPr>
            <w:tcW w:w="1508" w:type="pct"/>
            <w:vAlign w:val="center"/>
          </w:tcPr>
          <w:p>
            <w:pPr>
              <w:jc w:val="right"/>
              <w:rPr>
                <w:rFonts w:ascii="宋体" w:hAnsi="宋体"/>
              </w:rPr>
            </w:pPr>
            <w:r>
              <w:rPr>
                <w:rFonts w:ascii="宋体" w:hAnsi="宋体"/>
              </w:rPr>
              <w:t>176,125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jc w:val="center"/>
            </w:pPr>
            <w:r>
              <w:rPr>
                <w:rFonts w:hint="eastAsia"/>
              </w:rPr>
              <w:t>合计</w:t>
            </w:r>
          </w:p>
        </w:tc>
        <w:tc>
          <w:tcPr>
            <w:tcW w:w="1610" w:type="pct"/>
            <w:vAlign w:val="center"/>
          </w:tcPr>
          <w:p>
            <w:pPr>
              <w:jc w:val="right"/>
              <w:rPr>
                <w:rFonts w:ascii="宋体" w:hAnsi="宋体"/>
                <w:bCs/>
              </w:rPr>
            </w:pPr>
            <w:r>
              <w:rPr>
                <w:rFonts w:ascii="宋体" w:hAnsi="宋体"/>
                <w:bCs/>
              </w:rPr>
              <w:t>25,200</w:t>
            </w:r>
          </w:p>
        </w:tc>
        <w:tc>
          <w:tcPr>
            <w:tcW w:w="1508" w:type="pct"/>
            <w:vAlign w:val="center"/>
          </w:tcPr>
          <w:p>
            <w:pPr>
              <w:jc w:val="right"/>
              <w:rPr>
                <w:rFonts w:ascii="宋体" w:hAnsi="宋体"/>
                <w:bCs/>
              </w:rPr>
            </w:pPr>
            <w:r>
              <w:rPr>
                <w:rFonts w:ascii="宋体" w:hAnsi="宋体"/>
                <w:bCs/>
              </w:rPr>
              <w:t>4,372,810</w:t>
            </w:r>
          </w:p>
        </w:tc>
      </w:tr>
    </w:tbl>
    <w:p>
      <w:pPr>
        <w:pStyle w:val="501"/>
      </w:pPr>
    </w:p>
    <w:p>
      <w:pPr>
        <w:pStyle w:val="501"/>
      </w:pPr>
    </w:p>
    <w:p>
      <w:pPr>
        <w:pStyle w:val="505"/>
        <w:numPr>
          <w:ilvl w:val="0"/>
          <w:numId w:val="108"/>
        </w:numPr>
        <w:ind w:left="426" w:hanging="426"/>
      </w:pPr>
      <w:r>
        <w:rPr>
          <w:rFonts w:hint="eastAsia"/>
        </w:rPr>
        <w:t>与筹资活动有关的现金</w:t>
      </w:r>
    </w:p>
    <w:p>
      <w:pPr>
        <w:pStyle w:val="531"/>
      </w:pPr>
      <w:r>
        <w:rPr>
          <w:rFonts w:hint="eastAsia"/>
        </w:rPr>
        <w:t>收到的其他与筹资活动有关的现金</w:t>
      </w:r>
    </w:p>
    <w:sdt>
      <w:sdtPr>
        <w:alias w:val="是否适用：收到的其他与筹资活动有关的现金[双击切换]"/>
        <w:tag w:val="_GBC_031910cf781944cf80900ffa99f7a9d7"/>
        <w:id w:val="53609701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收到的其他与筹资活动有关的现金"/>
          <w:tag w:val="_GBC_666160c9e7144e11b24beaa82a8d20a2"/>
          <w:id w:val="4887505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收到的其他与筹资活动有关的现金"/>
          <w:tag w:val="_GBC_5dbb9457a5854b088449e8b9e69e8c2e"/>
          <w:id w:val="4111332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7"/>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a77349a2c05f473b9ac20b64fc24179e"/>
            <w:id w:val="1959607092"/>
          </w:sdtPr>
          <w:sdtContent>
            <w:tc>
              <w:tcPr>
                <w:tcW w:w="1882" w:type="pct"/>
              </w:tcPr>
              <w:p>
                <w:pPr>
                  <w:autoSpaceDE w:val="0"/>
                  <w:autoSpaceDN w:val="0"/>
                  <w:adjustRightInd w:val="0"/>
                  <w:snapToGrid w:val="0"/>
                  <w:jc w:val="center"/>
                </w:pPr>
                <w:r>
                  <w:rPr>
                    <w:rFonts w:hint="eastAsia"/>
                  </w:rPr>
                  <w:t>项目</w:t>
                </w:r>
              </w:p>
            </w:tc>
          </w:sdtContent>
        </w:sdt>
        <w:sdt>
          <w:sdtPr>
            <w:tag w:val="_PLD_4f0ec6d40c994acb9eb5b3560f97c407"/>
            <w:id w:val="-2063239927"/>
          </w:sdtPr>
          <w:sdtContent>
            <w:tc>
              <w:tcPr>
                <w:tcW w:w="1610" w:type="pct"/>
              </w:tcPr>
              <w:p>
                <w:pPr>
                  <w:autoSpaceDE w:val="0"/>
                  <w:autoSpaceDN w:val="0"/>
                  <w:adjustRightInd w:val="0"/>
                  <w:snapToGrid w:val="0"/>
                  <w:jc w:val="center"/>
                </w:pPr>
                <w:r>
                  <w:rPr>
                    <w:rFonts w:hint="eastAsia"/>
                  </w:rPr>
                  <w:t>本期发生额</w:t>
                </w:r>
              </w:p>
            </w:tc>
          </w:sdtContent>
        </w:sdt>
        <w:sdt>
          <w:sdtPr>
            <w:tag w:val="_PLD_aa071ffac82040379300e6f5150e4ff7"/>
            <w:id w:val="1155037456"/>
          </w:sdtPr>
          <w:sdtContent>
            <w:tc>
              <w:tcPr>
                <w:tcW w:w="1508" w:type="pct"/>
              </w:tcPr>
              <w:p>
                <w:pPr>
                  <w:autoSpaceDE w:val="0"/>
                  <w:autoSpaceDN w:val="0"/>
                  <w:adjustRightInd w:val="0"/>
                  <w:snapToGrid w:val="0"/>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关联方资金往来款</w:t>
            </w:r>
          </w:p>
        </w:tc>
        <w:tc>
          <w:tcPr>
            <w:tcW w:w="1610" w:type="pct"/>
          </w:tcPr>
          <w:p>
            <w:pPr>
              <w:jc w:val="right"/>
              <w:rPr>
                <w:rFonts w:ascii="宋体" w:hAnsi="宋体"/>
              </w:rPr>
            </w:pPr>
            <w:r>
              <w:rPr>
                <w:rFonts w:ascii="宋体" w:hAnsi="宋体"/>
              </w:rPr>
              <w:t>1,959,500</w:t>
            </w:r>
          </w:p>
        </w:tc>
        <w:tc>
          <w:tcPr>
            <w:tcW w:w="1508" w:type="pct"/>
          </w:tcPr>
          <w:p>
            <w:pPr>
              <w:jc w:val="right"/>
              <w:rPr>
                <w:rFonts w:ascii="宋体" w:hAnsi="宋体"/>
              </w:rPr>
            </w:pPr>
            <w:r>
              <w:rPr>
                <w:rFonts w:ascii="宋体" w:hAnsi="宋体"/>
              </w:rPr>
              <w:t>6,722,645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售后回租</w:t>
            </w:r>
          </w:p>
        </w:tc>
        <w:tc>
          <w:tcPr>
            <w:tcW w:w="1610" w:type="pct"/>
          </w:tcPr>
          <w:p>
            <w:pPr>
              <w:jc w:val="right"/>
              <w:rPr>
                <w:rFonts w:ascii="宋体" w:hAnsi="宋体"/>
              </w:rPr>
            </w:pPr>
            <w:r>
              <w:rPr>
                <w:rFonts w:ascii="宋体" w:hAnsi="宋体"/>
              </w:rPr>
              <w:t>1,500,000</w:t>
            </w:r>
          </w:p>
        </w:tc>
        <w:tc>
          <w:tcPr>
            <w:tcW w:w="1508" w:type="pct"/>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收回法定存款保证金</w:t>
            </w:r>
          </w:p>
        </w:tc>
        <w:tc>
          <w:tcPr>
            <w:tcW w:w="1610" w:type="pct"/>
          </w:tcPr>
          <w:p>
            <w:pPr>
              <w:jc w:val="right"/>
              <w:rPr>
                <w:rFonts w:ascii="宋体" w:hAnsi="宋体"/>
              </w:rPr>
            </w:pPr>
            <w:r>
              <w:rPr>
                <w:rFonts w:ascii="宋体" w:hAnsi="宋体"/>
              </w:rPr>
              <w:t>1,000,362</w:t>
            </w:r>
          </w:p>
        </w:tc>
        <w:tc>
          <w:tcPr>
            <w:tcW w:w="1508" w:type="pct"/>
          </w:tcPr>
          <w:p>
            <w:pPr>
              <w:jc w:val="right"/>
              <w:rPr>
                <w:rFonts w:ascii="宋体" w:hAnsi="宋体"/>
              </w:rPr>
            </w:pPr>
            <w:r>
              <w:rPr>
                <w:rFonts w:ascii="宋体" w:hAnsi="宋体"/>
              </w:rPr>
              <w:t>488,389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地方政府专项债券</w:t>
            </w:r>
          </w:p>
        </w:tc>
        <w:tc>
          <w:tcPr>
            <w:tcW w:w="1610" w:type="pct"/>
          </w:tcPr>
          <w:p>
            <w:pPr>
              <w:jc w:val="right"/>
              <w:rPr>
                <w:rFonts w:ascii="宋体" w:hAnsi="宋体"/>
              </w:rPr>
            </w:pPr>
            <w:r>
              <w:rPr>
                <w:rFonts w:ascii="宋体" w:hAnsi="宋体"/>
              </w:rPr>
              <w:t>240,000</w:t>
            </w:r>
          </w:p>
        </w:tc>
        <w:tc>
          <w:tcPr>
            <w:tcW w:w="1508" w:type="pct"/>
          </w:tcPr>
          <w:p>
            <w:pPr>
              <w:jc w:val="right"/>
              <w:rPr>
                <w:rFonts w:ascii="宋体" w:hAnsi="宋体"/>
              </w:rPr>
            </w:pPr>
            <w:r>
              <w:rPr>
                <w:rFonts w:ascii="宋体" w:hAnsi="宋体"/>
              </w:rPr>
              <w:t>1,500,000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收回贷款保证金</w:t>
            </w:r>
          </w:p>
        </w:tc>
        <w:tc>
          <w:tcPr>
            <w:tcW w:w="1610" w:type="pct"/>
          </w:tcPr>
          <w:p>
            <w:pPr>
              <w:jc w:val="right"/>
              <w:rPr>
                <w:rFonts w:ascii="宋体" w:hAnsi="宋体"/>
              </w:rPr>
            </w:pPr>
            <w:r>
              <w:rPr>
                <w:rFonts w:ascii="宋体" w:hAnsi="宋体"/>
              </w:rPr>
              <w:t>27</w:t>
            </w:r>
          </w:p>
        </w:tc>
        <w:tc>
          <w:tcPr>
            <w:tcW w:w="1508" w:type="pct"/>
          </w:tcPr>
          <w:p>
            <w:pPr>
              <w:jc w:val="right"/>
              <w:rPr>
                <w:rFonts w:ascii="宋体" w:hAnsi="宋体"/>
              </w:rPr>
            </w:pPr>
            <w:r>
              <w:rPr>
                <w:rFonts w:ascii="宋体" w:hAnsi="宋体"/>
              </w:rPr>
              <w:t>2,477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jc w:val="center"/>
            </w:pPr>
            <w:r>
              <w:rPr>
                <w:rFonts w:hint="eastAsia"/>
              </w:rPr>
              <w:t>合计</w:t>
            </w:r>
          </w:p>
        </w:tc>
        <w:tc>
          <w:tcPr>
            <w:tcW w:w="1610" w:type="pct"/>
          </w:tcPr>
          <w:p>
            <w:pPr>
              <w:jc w:val="right"/>
              <w:rPr>
                <w:rFonts w:ascii="宋体" w:hAnsi="宋体"/>
              </w:rPr>
            </w:pPr>
            <w:r>
              <w:rPr>
                <w:rFonts w:ascii="宋体" w:hAnsi="宋体"/>
              </w:rPr>
              <w:t>4,699,889</w:t>
            </w:r>
          </w:p>
        </w:tc>
        <w:tc>
          <w:tcPr>
            <w:tcW w:w="1508" w:type="pct"/>
          </w:tcPr>
          <w:p>
            <w:pPr>
              <w:jc w:val="right"/>
              <w:rPr>
                <w:rFonts w:ascii="宋体" w:hAnsi="宋体"/>
              </w:rPr>
            </w:pPr>
            <w:r>
              <w:rPr>
                <w:rFonts w:ascii="宋体" w:hAnsi="宋体"/>
              </w:rPr>
              <w:t>8,713,511</w:t>
            </w:r>
          </w:p>
        </w:tc>
      </w:tr>
    </w:tbl>
    <w:p>
      <w:pPr>
        <w:pStyle w:val="531"/>
      </w:pPr>
    </w:p>
    <w:p>
      <w:pPr>
        <w:pStyle w:val="531"/>
      </w:pPr>
      <w:r>
        <w:rPr>
          <w:rFonts w:hint="eastAsia"/>
        </w:rPr>
        <w:t>支付的其他与筹资活动有关的现金</w:t>
      </w:r>
    </w:p>
    <w:sdt>
      <w:sdtPr>
        <w:alias w:val="是否适用：支付的其他与筹资活动有关的现金[双击切换]"/>
        <w:tag w:val="_GBC_fcc0d0c43a2d4fa88ca685f3e36f2f40"/>
        <w:id w:val="-154259513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支付的其他与筹资活动有关的现金"/>
          <w:tag w:val="_GBC_f301b3c53ede43608ccf55c09ef288e7"/>
          <w:id w:val="2987308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支付的其他与筹资活动有关的现金"/>
          <w:tag w:val="_GBC_462cc25e34014e2cb61c7b4f9232d7e5"/>
          <w:id w:val="-16848145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7"/>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2db8e0335cc47fe9b6461eeb2befa7e"/>
            <w:id w:val="-1962806022"/>
          </w:sdtPr>
          <w:sdtContent>
            <w:tc>
              <w:tcPr>
                <w:tcW w:w="1882" w:type="pct"/>
              </w:tcPr>
              <w:p>
                <w:pPr>
                  <w:autoSpaceDE w:val="0"/>
                  <w:autoSpaceDN w:val="0"/>
                  <w:adjustRightInd w:val="0"/>
                  <w:snapToGrid w:val="0"/>
                  <w:jc w:val="center"/>
                </w:pPr>
                <w:r>
                  <w:rPr>
                    <w:rFonts w:hint="eastAsia"/>
                  </w:rPr>
                  <w:t>项目</w:t>
                </w:r>
              </w:p>
            </w:tc>
          </w:sdtContent>
        </w:sdt>
        <w:sdt>
          <w:sdtPr>
            <w:tag w:val="_PLD_bb4a54a8a5be4a6691e4d59483217c64"/>
            <w:id w:val="2095427814"/>
          </w:sdtPr>
          <w:sdtContent>
            <w:tc>
              <w:tcPr>
                <w:tcW w:w="1610" w:type="pct"/>
              </w:tcPr>
              <w:p>
                <w:pPr>
                  <w:autoSpaceDE w:val="0"/>
                  <w:autoSpaceDN w:val="0"/>
                  <w:adjustRightInd w:val="0"/>
                  <w:snapToGrid w:val="0"/>
                  <w:jc w:val="center"/>
                </w:pPr>
                <w:r>
                  <w:rPr>
                    <w:rFonts w:hint="eastAsia"/>
                  </w:rPr>
                  <w:t>本期发生额</w:t>
                </w:r>
              </w:p>
            </w:tc>
          </w:sdtContent>
        </w:sdt>
        <w:sdt>
          <w:sdtPr>
            <w:tag w:val="_PLD_a4930447bc4d450faf79f923eef8597b"/>
            <w:id w:val="-610211289"/>
          </w:sdtPr>
          <w:sdtContent>
            <w:tc>
              <w:tcPr>
                <w:tcW w:w="1508" w:type="pct"/>
              </w:tcPr>
              <w:p>
                <w:pPr>
                  <w:autoSpaceDE w:val="0"/>
                  <w:autoSpaceDN w:val="0"/>
                  <w:adjustRightInd w:val="0"/>
                  <w:snapToGrid w:val="0"/>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同一控制下企业合并股权转让款</w:t>
            </w:r>
          </w:p>
        </w:tc>
        <w:tc>
          <w:tcPr>
            <w:tcW w:w="1610" w:type="pct"/>
          </w:tcPr>
          <w:p>
            <w:pPr>
              <w:jc w:val="right"/>
              <w:rPr>
                <w:rFonts w:ascii="宋体" w:hAnsi="宋体"/>
              </w:rPr>
            </w:pPr>
            <w:r>
              <w:rPr>
                <w:rFonts w:ascii="宋体" w:hAnsi="宋体"/>
              </w:rPr>
              <w:t>16,679,643</w:t>
            </w:r>
          </w:p>
        </w:tc>
        <w:tc>
          <w:tcPr>
            <w:tcW w:w="1508" w:type="pct"/>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关联方资金往来款</w:t>
            </w:r>
          </w:p>
        </w:tc>
        <w:tc>
          <w:tcPr>
            <w:tcW w:w="1610" w:type="pct"/>
          </w:tcPr>
          <w:p>
            <w:pPr>
              <w:jc w:val="right"/>
              <w:rPr>
                <w:rFonts w:ascii="宋体" w:hAnsi="宋体"/>
              </w:rPr>
            </w:pPr>
            <w:r>
              <w:rPr>
                <w:rFonts w:ascii="宋体" w:hAnsi="宋体"/>
              </w:rPr>
              <w:t>4,011,643</w:t>
            </w:r>
          </w:p>
        </w:tc>
        <w:tc>
          <w:tcPr>
            <w:tcW w:w="1508" w:type="pct"/>
          </w:tcPr>
          <w:p>
            <w:pPr>
              <w:jc w:val="right"/>
              <w:rPr>
                <w:rFonts w:ascii="宋体" w:hAnsi="宋体"/>
              </w:rPr>
            </w:pPr>
            <w:r>
              <w:rPr>
                <w:rFonts w:ascii="宋体" w:hAnsi="宋体"/>
              </w:rPr>
              <w:t>8,584,841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支付融资租赁款</w:t>
            </w:r>
          </w:p>
        </w:tc>
        <w:tc>
          <w:tcPr>
            <w:tcW w:w="1610" w:type="pct"/>
          </w:tcPr>
          <w:p>
            <w:pPr>
              <w:jc w:val="right"/>
              <w:rPr>
                <w:rFonts w:ascii="宋体" w:hAnsi="宋体"/>
              </w:rPr>
            </w:pPr>
            <w:r>
              <w:rPr>
                <w:rFonts w:ascii="宋体" w:hAnsi="宋体"/>
              </w:rPr>
              <w:t>1,128,297</w:t>
            </w:r>
          </w:p>
        </w:tc>
        <w:tc>
          <w:tcPr>
            <w:tcW w:w="1508" w:type="pct"/>
          </w:tcPr>
          <w:p>
            <w:pPr>
              <w:jc w:val="right"/>
              <w:rPr>
                <w:rFonts w:ascii="宋体" w:hAnsi="宋体"/>
              </w:rPr>
            </w:pPr>
            <w:r>
              <w:rPr>
                <w:rFonts w:ascii="宋体" w:hAnsi="宋体"/>
              </w:rPr>
              <w:t>2,013,540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债券、保函等费用</w:t>
            </w:r>
          </w:p>
        </w:tc>
        <w:tc>
          <w:tcPr>
            <w:tcW w:w="1610" w:type="pct"/>
          </w:tcPr>
          <w:p>
            <w:pPr>
              <w:jc w:val="right"/>
              <w:rPr>
                <w:rFonts w:ascii="宋体" w:hAnsi="宋体"/>
              </w:rPr>
            </w:pPr>
            <w:r>
              <w:rPr>
                <w:rFonts w:ascii="宋体" w:hAnsi="宋体"/>
              </w:rPr>
              <w:t>164,424</w:t>
            </w:r>
          </w:p>
        </w:tc>
        <w:tc>
          <w:tcPr>
            <w:tcW w:w="1508" w:type="pct"/>
          </w:tcPr>
          <w:p>
            <w:pPr>
              <w:jc w:val="right"/>
              <w:rPr>
                <w:rFonts w:ascii="宋体" w:hAnsi="宋体"/>
              </w:rPr>
            </w:pPr>
            <w:r>
              <w:rPr>
                <w:rFonts w:ascii="宋体" w:hAnsi="宋体"/>
              </w:rPr>
              <w:t>147,363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vAlign w:val="center"/>
          </w:tcPr>
          <w:p>
            <w:pPr>
              <w:autoSpaceDE w:val="0"/>
              <w:autoSpaceDN w:val="0"/>
              <w:adjustRightInd w:val="0"/>
              <w:snapToGrid w:val="0"/>
            </w:pPr>
            <w:r>
              <w:rPr>
                <w:rFonts w:hint="eastAsia"/>
              </w:rPr>
              <w:t>股票回购</w:t>
            </w:r>
          </w:p>
        </w:tc>
        <w:tc>
          <w:tcPr>
            <w:tcW w:w="1610" w:type="pct"/>
          </w:tcPr>
          <w:p>
            <w:pPr>
              <w:jc w:val="right"/>
              <w:rPr>
                <w:rFonts w:ascii="宋体" w:hAnsi="宋体"/>
              </w:rPr>
            </w:pPr>
            <w:r>
              <w:rPr>
                <w:rFonts w:ascii="宋体" w:hAnsi="宋体"/>
              </w:rPr>
              <w:t>73,946</w:t>
            </w:r>
          </w:p>
        </w:tc>
        <w:tc>
          <w:tcPr>
            <w:tcW w:w="1508" w:type="pct"/>
          </w:tcPr>
          <w:p>
            <w:pPr>
              <w:jc w:val="right"/>
              <w:rPr>
                <w:rFonts w:ascii="宋体" w:hAnsi="宋体"/>
              </w:rPr>
            </w:pPr>
            <w:r>
              <w:rPr>
                <w:rFonts w:ascii="宋体" w:hAnsi="宋体"/>
              </w:rPr>
              <w:t>114,708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jc w:val="center"/>
            </w:pPr>
            <w:r>
              <w:rPr>
                <w:rFonts w:hint="eastAsia"/>
              </w:rPr>
              <w:t>合计</w:t>
            </w:r>
          </w:p>
        </w:tc>
        <w:tc>
          <w:tcPr>
            <w:tcW w:w="1610" w:type="pct"/>
          </w:tcPr>
          <w:p>
            <w:pPr>
              <w:jc w:val="right"/>
              <w:rPr>
                <w:rFonts w:ascii="宋体" w:hAnsi="宋体"/>
                <w:bCs/>
              </w:rPr>
            </w:pPr>
            <w:r>
              <w:rPr>
                <w:rFonts w:ascii="宋体" w:hAnsi="宋体"/>
                <w:bCs/>
              </w:rPr>
              <w:t>22,057,953</w:t>
            </w:r>
          </w:p>
        </w:tc>
        <w:tc>
          <w:tcPr>
            <w:tcW w:w="1508" w:type="pct"/>
          </w:tcPr>
          <w:p>
            <w:pPr>
              <w:jc w:val="right"/>
              <w:rPr>
                <w:rFonts w:ascii="宋体" w:hAnsi="宋体"/>
                <w:bCs/>
              </w:rPr>
            </w:pPr>
            <w:r>
              <w:rPr>
                <w:rFonts w:ascii="宋体" w:hAnsi="宋体"/>
                <w:bCs/>
              </w:rPr>
              <w:t>10,860,452</w:t>
            </w:r>
          </w:p>
        </w:tc>
      </w:tr>
    </w:tbl>
    <w:p>
      <w:pPr>
        <w:ind w:right="5"/>
      </w:pPr>
    </w:p>
    <w:p>
      <w:pPr>
        <w:ind w:right="5"/>
      </w:pPr>
      <w:r>
        <w:rPr>
          <w:rFonts w:hint="eastAsia"/>
        </w:rPr>
        <w:t>筹资活动产生的各项负债变动情况</w:t>
      </w:r>
    </w:p>
    <w:sdt>
      <w:sdtPr>
        <w:alias w:val="是否适用：筹资活动产生的各项负债变动情况[双击切换]"/>
        <w:tag w:val="_GBC_6935418490e145edaf7010b5534b8d6c"/>
        <w:id w:val="1144846395"/>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筹资活动产生的各项负债变动情况"/>
          <w:tag w:val="_GBC_925389d7776444c688d3aa66f662adfd"/>
          <w:id w:val="132208002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筹资活动产生的各项负债变动情况"/>
          <w:tag w:val="_GBC_3a33ea855d774ed4a7e23b58b10b2ecd"/>
          <w:id w:val="16003675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773"/>
        <w:gridCol w:w="1214"/>
        <w:gridCol w:w="1214"/>
        <w:gridCol w:w="1216"/>
        <w:gridCol w:w="1214"/>
        <w:gridCol w:w="1216"/>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sdt>
          <w:sdtPr>
            <w:rPr>
              <w:rFonts w:hint="eastAsia"/>
            </w:rPr>
            <w:tag w:val="_PLD_5f8ab210fee34d74a9ce8c73775994d9"/>
            <w:id w:val="1703824666"/>
          </w:sdtPr>
          <w:sdtEndPr>
            <w:rPr>
              <w:rFonts w:hint="eastAsia"/>
            </w:rPr>
          </w:sdtEndPr>
          <w:sdtContent>
            <w:tc>
              <w:tcPr>
                <w:tcW w:w="979" w:type="pct"/>
                <w:vMerge w:val="restart"/>
                <w:vAlign w:val="center"/>
              </w:tcPr>
              <w:p>
                <w:pPr>
                  <w:autoSpaceDE w:val="0"/>
                  <w:autoSpaceDN w:val="0"/>
                  <w:adjustRightInd w:val="0"/>
                  <w:snapToGrid w:val="0"/>
                  <w:jc w:val="center"/>
                </w:pPr>
                <w:r>
                  <w:rPr>
                    <w:rFonts w:hint="eastAsia"/>
                  </w:rPr>
                  <w:t>项目</w:t>
                </w:r>
              </w:p>
            </w:tc>
          </w:sdtContent>
        </w:sdt>
        <w:sdt>
          <w:sdtPr>
            <w:tag w:val="_PLD_bab049d4c26d47d49041c46652b3d748"/>
            <w:id w:val="684334830"/>
          </w:sdtPr>
          <w:sdtContent>
            <w:tc>
              <w:tcPr>
                <w:tcW w:w="670" w:type="pct"/>
                <w:vMerge w:val="restart"/>
                <w:vAlign w:val="center"/>
              </w:tcPr>
              <w:p>
                <w:pPr>
                  <w:autoSpaceDE w:val="0"/>
                  <w:autoSpaceDN w:val="0"/>
                  <w:adjustRightInd w:val="0"/>
                  <w:snapToGrid w:val="0"/>
                  <w:jc w:val="center"/>
                </w:pPr>
                <w:r>
                  <w:t>期初余额</w:t>
                </w:r>
              </w:p>
            </w:tc>
          </w:sdtContent>
        </w:sdt>
        <w:sdt>
          <w:sdtPr>
            <w:rPr>
              <w:rFonts w:hint="eastAsia"/>
            </w:rPr>
            <w:tag w:val="_PLD_440b2c54c3664dc199a52a962ffbbdd3"/>
            <w:id w:val="-877931361"/>
          </w:sdtPr>
          <w:sdtEndPr>
            <w:rPr>
              <w:rFonts w:hint="eastAsia"/>
            </w:rPr>
          </w:sdtEndPr>
          <w:sdtContent>
            <w:tc>
              <w:tcPr>
                <w:tcW w:w="1341" w:type="pct"/>
                <w:gridSpan w:val="2"/>
                <w:vAlign w:val="center"/>
              </w:tcPr>
              <w:p>
                <w:pPr>
                  <w:autoSpaceDE w:val="0"/>
                  <w:autoSpaceDN w:val="0"/>
                  <w:adjustRightInd w:val="0"/>
                  <w:snapToGrid w:val="0"/>
                  <w:jc w:val="center"/>
                </w:pPr>
                <w:r>
                  <w:rPr>
                    <w:rFonts w:hint="eastAsia"/>
                  </w:rPr>
                  <w:t>本期增加</w:t>
                </w:r>
              </w:p>
            </w:tc>
          </w:sdtContent>
        </w:sdt>
        <w:sdt>
          <w:sdtPr>
            <w:rPr>
              <w:rFonts w:hint="eastAsia"/>
            </w:rPr>
            <w:tag w:val="_PLD_4dc104f2ec524f5a86e41fb0db78ed82"/>
            <w:id w:val="1035391502"/>
          </w:sdtPr>
          <w:sdtEndPr>
            <w:rPr>
              <w:rFonts w:hint="eastAsia"/>
            </w:rPr>
          </w:sdtEndPr>
          <w:sdtContent>
            <w:tc>
              <w:tcPr>
                <w:tcW w:w="1341" w:type="pct"/>
                <w:gridSpan w:val="2"/>
                <w:vAlign w:val="center"/>
              </w:tcPr>
              <w:p>
                <w:pPr>
                  <w:autoSpaceDE w:val="0"/>
                  <w:autoSpaceDN w:val="0"/>
                  <w:adjustRightInd w:val="0"/>
                  <w:snapToGrid w:val="0"/>
                  <w:jc w:val="center"/>
                </w:pPr>
                <w:r>
                  <w:rPr>
                    <w:rFonts w:hint="eastAsia"/>
                  </w:rPr>
                  <w:t>本期减少</w:t>
                </w:r>
              </w:p>
            </w:tc>
          </w:sdtContent>
        </w:sdt>
        <w:sdt>
          <w:sdtPr>
            <w:rPr>
              <w:rFonts w:hint="eastAsia"/>
            </w:rPr>
            <w:tag w:val="_PLD_54378f5247a844d49aa0017541fa519d"/>
            <w:id w:val="-604029261"/>
          </w:sdtPr>
          <w:sdtEndPr>
            <w:rPr>
              <w:rFonts w:hint="eastAsia"/>
            </w:rPr>
          </w:sdtEndPr>
          <w:sdtContent>
            <w:tc>
              <w:tcPr>
                <w:tcW w:w="670" w:type="pct"/>
                <w:vMerge w:val="restart"/>
                <w:vAlign w:val="center"/>
              </w:tcPr>
              <w:p>
                <w:pPr>
                  <w:autoSpaceDE w:val="0"/>
                  <w:autoSpaceDN w:val="0"/>
                  <w:adjustRightInd w:val="0"/>
                  <w:snapToGrid w:val="0"/>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trPr>
        <w:tc>
          <w:tcPr>
            <w:tcW w:w="979" w:type="pct"/>
            <w:vMerge w:val="continue"/>
          </w:tcPr>
          <w:p>
            <w:pPr>
              <w:autoSpaceDE w:val="0"/>
              <w:autoSpaceDN w:val="0"/>
              <w:adjustRightInd w:val="0"/>
              <w:snapToGrid w:val="0"/>
              <w:jc w:val="center"/>
            </w:pPr>
          </w:p>
        </w:tc>
        <w:tc>
          <w:tcPr>
            <w:tcW w:w="670" w:type="pct"/>
            <w:vMerge w:val="continue"/>
          </w:tcPr>
          <w:p>
            <w:pPr>
              <w:autoSpaceDE w:val="0"/>
              <w:autoSpaceDN w:val="0"/>
              <w:adjustRightInd w:val="0"/>
              <w:snapToGrid w:val="0"/>
              <w:jc w:val="center"/>
            </w:pPr>
          </w:p>
        </w:tc>
        <w:sdt>
          <w:sdtPr>
            <w:tag w:val="_PLD_420e321954544771b0b73780f2164d28"/>
            <w:id w:val="-1722977765"/>
          </w:sdtPr>
          <w:sdtContent>
            <w:tc>
              <w:tcPr>
                <w:tcW w:w="670" w:type="pct"/>
              </w:tcPr>
              <w:p>
                <w:pPr>
                  <w:autoSpaceDE w:val="0"/>
                  <w:autoSpaceDN w:val="0"/>
                  <w:adjustRightInd w:val="0"/>
                  <w:snapToGrid w:val="0"/>
                </w:pPr>
                <w:r>
                  <w:t>现金变动</w:t>
                </w:r>
              </w:p>
            </w:tc>
          </w:sdtContent>
        </w:sdt>
        <w:sdt>
          <w:sdtPr>
            <w:tag w:val="_PLD_258fabff104642c7837f9d6f4d653a0f"/>
            <w:id w:val="-492024614"/>
          </w:sdtPr>
          <w:sdtContent>
            <w:tc>
              <w:tcPr>
                <w:tcW w:w="671" w:type="pct"/>
              </w:tcPr>
              <w:p>
                <w:pPr>
                  <w:autoSpaceDE w:val="0"/>
                  <w:autoSpaceDN w:val="0"/>
                  <w:adjustRightInd w:val="0"/>
                  <w:snapToGrid w:val="0"/>
                </w:pPr>
                <w:r>
                  <w:t>非现金变动</w:t>
                </w:r>
              </w:p>
            </w:tc>
          </w:sdtContent>
        </w:sdt>
        <w:sdt>
          <w:sdtPr>
            <w:tag w:val="_PLD_3c34596330aa4ababb3e1ef50efc7668"/>
            <w:id w:val="-1835129181"/>
          </w:sdtPr>
          <w:sdtContent>
            <w:tc>
              <w:tcPr>
                <w:tcW w:w="670" w:type="pct"/>
              </w:tcPr>
              <w:p>
                <w:pPr>
                  <w:autoSpaceDE w:val="0"/>
                  <w:autoSpaceDN w:val="0"/>
                  <w:adjustRightInd w:val="0"/>
                  <w:snapToGrid w:val="0"/>
                </w:pPr>
                <w:r>
                  <w:t>现金变动</w:t>
                </w:r>
              </w:p>
            </w:tc>
          </w:sdtContent>
        </w:sdt>
        <w:sdt>
          <w:sdtPr>
            <w:tag w:val="_PLD_5640b38554e340769223289d39b620da"/>
            <w:id w:val="2012254296"/>
          </w:sdtPr>
          <w:sdtContent>
            <w:tc>
              <w:tcPr>
                <w:tcW w:w="671" w:type="pct"/>
              </w:tcPr>
              <w:p>
                <w:pPr>
                  <w:autoSpaceDE w:val="0"/>
                  <w:autoSpaceDN w:val="0"/>
                  <w:adjustRightInd w:val="0"/>
                  <w:snapToGrid w:val="0"/>
                </w:pPr>
                <w:r>
                  <w:t>非现金变动</w:t>
                </w:r>
              </w:p>
            </w:tc>
          </w:sdtContent>
        </w:sdt>
        <w:tc>
          <w:tcPr>
            <w:tcW w:w="670" w:type="pct"/>
            <w:vMerge w:val="continue"/>
          </w:tcPr>
          <w:p>
            <w:pPr>
              <w:autoSpaceDE w:val="0"/>
              <w:autoSpaceDN w:val="0"/>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79" w:type="pct"/>
            <w:vAlign w:val="center"/>
          </w:tcPr>
          <w:p>
            <w:pPr>
              <w:autoSpaceDE w:val="0"/>
              <w:autoSpaceDN w:val="0"/>
              <w:adjustRightInd w:val="0"/>
              <w:snapToGrid w:val="0"/>
            </w:pPr>
            <w:r>
              <w:rPr>
                <w:rFonts w:hint="eastAsia"/>
              </w:rPr>
              <w:t>短期借款</w:t>
            </w:r>
          </w:p>
        </w:tc>
        <w:tc>
          <w:tcPr>
            <w:tcW w:w="670" w:type="pct"/>
            <w:vAlign w:val="center"/>
          </w:tcPr>
          <w:p>
            <w:pPr>
              <w:jc w:val="right"/>
              <w:rPr>
                <w:rFonts w:ascii="宋体" w:hAnsi="宋体"/>
                <w:spacing w:val="-20"/>
              </w:rPr>
            </w:pPr>
            <w:r>
              <w:rPr>
                <w:rFonts w:ascii="宋体" w:hAnsi="宋体"/>
                <w:spacing w:val="-20"/>
              </w:rPr>
              <w:t>6,486,249</w:t>
            </w:r>
          </w:p>
        </w:tc>
        <w:tc>
          <w:tcPr>
            <w:tcW w:w="670" w:type="pct"/>
            <w:vAlign w:val="center"/>
          </w:tcPr>
          <w:p>
            <w:pPr>
              <w:jc w:val="right"/>
              <w:rPr>
                <w:rFonts w:ascii="宋体" w:hAnsi="宋体"/>
                <w:spacing w:val="-20"/>
              </w:rPr>
            </w:pPr>
            <w:r>
              <w:rPr>
                <w:rFonts w:ascii="宋体" w:hAnsi="宋体"/>
                <w:spacing w:val="-20"/>
              </w:rPr>
              <w:t>6,732,843</w:t>
            </w:r>
          </w:p>
        </w:tc>
        <w:tc>
          <w:tcPr>
            <w:tcW w:w="671" w:type="pct"/>
            <w:vAlign w:val="center"/>
          </w:tcPr>
          <w:p>
            <w:pPr>
              <w:jc w:val="right"/>
              <w:rPr>
                <w:rFonts w:ascii="宋体" w:hAnsi="宋体"/>
                <w:spacing w:val="-20"/>
              </w:rPr>
            </w:pPr>
            <w:r>
              <w:rPr>
                <w:rFonts w:ascii="宋体" w:hAnsi="宋体"/>
                <w:spacing w:val="-20"/>
              </w:rPr>
              <w:t>442,146</w:t>
            </w:r>
          </w:p>
        </w:tc>
        <w:tc>
          <w:tcPr>
            <w:tcW w:w="670" w:type="pct"/>
            <w:vAlign w:val="center"/>
          </w:tcPr>
          <w:p>
            <w:pPr>
              <w:jc w:val="right"/>
              <w:rPr>
                <w:rFonts w:ascii="宋体" w:hAnsi="宋体"/>
                <w:spacing w:val="-20"/>
              </w:rPr>
            </w:pPr>
            <w:r>
              <w:rPr>
                <w:rFonts w:ascii="宋体" w:hAnsi="宋体"/>
                <w:spacing w:val="-20"/>
              </w:rPr>
              <w:t>9,053,127</w:t>
            </w:r>
          </w:p>
        </w:tc>
        <w:tc>
          <w:tcPr>
            <w:tcW w:w="671" w:type="pct"/>
            <w:vAlign w:val="center"/>
          </w:tcPr>
          <w:p>
            <w:pPr>
              <w:jc w:val="right"/>
              <w:rPr>
                <w:rFonts w:ascii="宋体" w:hAnsi="宋体"/>
                <w:spacing w:val="-20"/>
              </w:rPr>
            </w:pPr>
            <w:r>
              <w:rPr>
                <w:rFonts w:ascii="宋体" w:hAnsi="宋体"/>
                <w:spacing w:val="-20"/>
              </w:rPr>
              <w:t>523,812</w:t>
            </w:r>
          </w:p>
        </w:tc>
        <w:tc>
          <w:tcPr>
            <w:tcW w:w="670" w:type="pct"/>
            <w:vAlign w:val="center"/>
          </w:tcPr>
          <w:p>
            <w:pPr>
              <w:jc w:val="right"/>
              <w:rPr>
                <w:rFonts w:ascii="宋体" w:hAnsi="宋体"/>
                <w:spacing w:val="-20"/>
              </w:rPr>
            </w:pPr>
            <w:r>
              <w:rPr>
                <w:rFonts w:ascii="宋体" w:hAnsi="宋体"/>
                <w:spacing w:val="-20"/>
              </w:rPr>
              <w:t>4,084,299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79" w:type="pct"/>
            <w:vAlign w:val="center"/>
          </w:tcPr>
          <w:p>
            <w:pPr>
              <w:autoSpaceDE w:val="0"/>
              <w:autoSpaceDN w:val="0"/>
              <w:adjustRightInd w:val="0"/>
              <w:snapToGrid w:val="0"/>
            </w:pPr>
            <w:r>
              <w:rPr>
                <w:rFonts w:hint="eastAsia"/>
              </w:rPr>
              <w:t>应付股利</w:t>
            </w:r>
          </w:p>
        </w:tc>
        <w:tc>
          <w:tcPr>
            <w:tcW w:w="670" w:type="pct"/>
            <w:vAlign w:val="center"/>
          </w:tcPr>
          <w:p>
            <w:pPr>
              <w:jc w:val="right"/>
              <w:rPr>
                <w:rFonts w:ascii="宋体" w:hAnsi="宋体"/>
                <w:spacing w:val="-20"/>
              </w:rPr>
            </w:pPr>
            <w:r>
              <w:rPr>
                <w:rFonts w:ascii="宋体" w:hAnsi="宋体"/>
                <w:spacing w:val="-20"/>
              </w:rPr>
              <w:t>1,371,449</w:t>
            </w:r>
          </w:p>
        </w:tc>
        <w:tc>
          <w:tcPr>
            <w:tcW w:w="670" w:type="pct"/>
            <w:vAlign w:val="center"/>
          </w:tcPr>
          <w:p>
            <w:pPr>
              <w:jc w:val="right"/>
              <w:rPr>
                <w:rFonts w:ascii="宋体" w:hAnsi="宋体"/>
                <w:spacing w:val="-20"/>
              </w:rPr>
            </w:pPr>
          </w:p>
        </w:tc>
        <w:tc>
          <w:tcPr>
            <w:tcW w:w="671" w:type="pct"/>
            <w:vAlign w:val="center"/>
          </w:tcPr>
          <w:p>
            <w:pPr>
              <w:jc w:val="right"/>
              <w:rPr>
                <w:rFonts w:ascii="宋体" w:hAnsi="宋体"/>
                <w:spacing w:val="-20"/>
              </w:rPr>
            </w:pPr>
            <w:r>
              <w:rPr>
                <w:rFonts w:ascii="宋体" w:hAnsi="宋体"/>
                <w:spacing w:val="-20"/>
              </w:rPr>
              <w:t>27,560,996</w:t>
            </w:r>
          </w:p>
        </w:tc>
        <w:tc>
          <w:tcPr>
            <w:tcW w:w="670" w:type="pct"/>
            <w:vAlign w:val="center"/>
          </w:tcPr>
          <w:p>
            <w:pPr>
              <w:jc w:val="right"/>
              <w:rPr>
                <w:rFonts w:ascii="宋体" w:hAnsi="宋体"/>
                <w:spacing w:val="-20"/>
              </w:rPr>
            </w:pPr>
            <w:r>
              <w:rPr>
                <w:rFonts w:ascii="宋体" w:hAnsi="宋体"/>
                <w:spacing w:val="-20"/>
              </w:rPr>
              <w:t>26,000,974</w:t>
            </w:r>
          </w:p>
        </w:tc>
        <w:tc>
          <w:tcPr>
            <w:tcW w:w="671" w:type="pct"/>
            <w:vAlign w:val="center"/>
          </w:tcPr>
          <w:p>
            <w:pPr>
              <w:jc w:val="right"/>
              <w:rPr>
                <w:rFonts w:ascii="宋体" w:hAnsi="宋体"/>
                <w:spacing w:val="-20"/>
              </w:rPr>
            </w:pPr>
          </w:p>
        </w:tc>
        <w:tc>
          <w:tcPr>
            <w:tcW w:w="670" w:type="pct"/>
            <w:vAlign w:val="center"/>
          </w:tcPr>
          <w:p>
            <w:pPr>
              <w:jc w:val="right"/>
              <w:rPr>
                <w:rFonts w:ascii="宋体" w:hAnsi="宋体"/>
                <w:spacing w:val="-20"/>
              </w:rPr>
            </w:pPr>
            <w:r>
              <w:rPr>
                <w:rFonts w:ascii="宋体" w:hAnsi="宋体"/>
                <w:spacing w:val="-20"/>
              </w:rPr>
              <w:t>2,931,471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79" w:type="pct"/>
            <w:vAlign w:val="center"/>
          </w:tcPr>
          <w:p>
            <w:pPr>
              <w:autoSpaceDE w:val="0"/>
              <w:autoSpaceDN w:val="0"/>
              <w:adjustRightInd w:val="0"/>
              <w:snapToGrid w:val="0"/>
            </w:pPr>
            <w:r>
              <w:rPr>
                <w:rFonts w:hint="eastAsia"/>
              </w:rPr>
              <w:t>其他应付款</w:t>
            </w:r>
          </w:p>
        </w:tc>
        <w:tc>
          <w:tcPr>
            <w:tcW w:w="670" w:type="pct"/>
            <w:vAlign w:val="center"/>
          </w:tcPr>
          <w:p>
            <w:pPr>
              <w:jc w:val="right"/>
              <w:rPr>
                <w:rFonts w:ascii="宋体" w:hAnsi="宋体"/>
                <w:spacing w:val="-20"/>
              </w:rPr>
            </w:pPr>
            <w:r>
              <w:rPr>
                <w:rFonts w:ascii="宋体" w:hAnsi="宋体"/>
                <w:spacing w:val="-20"/>
              </w:rPr>
              <w:t>4,339,366</w:t>
            </w:r>
          </w:p>
        </w:tc>
        <w:tc>
          <w:tcPr>
            <w:tcW w:w="670" w:type="pct"/>
            <w:vAlign w:val="center"/>
          </w:tcPr>
          <w:p>
            <w:pPr>
              <w:jc w:val="right"/>
              <w:rPr>
                <w:rFonts w:ascii="宋体" w:hAnsi="宋体"/>
                <w:spacing w:val="-20"/>
              </w:rPr>
            </w:pPr>
            <w:r>
              <w:rPr>
                <w:rFonts w:ascii="宋体" w:hAnsi="宋体"/>
                <w:spacing w:val="-20"/>
              </w:rPr>
              <w:t>1,959,500</w:t>
            </w:r>
          </w:p>
        </w:tc>
        <w:tc>
          <w:tcPr>
            <w:tcW w:w="671" w:type="pct"/>
            <w:vAlign w:val="center"/>
          </w:tcPr>
          <w:p>
            <w:pPr>
              <w:jc w:val="right"/>
              <w:rPr>
                <w:rFonts w:ascii="宋体" w:hAnsi="宋体"/>
                <w:spacing w:val="-20"/>
              </w:rPr>
            </w:pPr>
            <w:r>
              <w:rPr>
                <w:rFonts w:ascii="宋体" w:hAnsi="宋体"/>
                <w:spacing w:val="-20"/>
              </w:rPr>
              <w:t>16,679,644</w:t>
            </w:r>
          </w:p>
        </w:tc>
        <w:tc>
          <w:tcPr>
            <w:tcW w:w="670" w:type="pct"/>
            <w:vAlign w:val="center"/>
          </w:tcPr>
          <w:p>
            <w:pPr>
              <w:jc w:val="right"/>
              <w:rPr>
                <w:rFonts w:ascii="宋体" w:hAnsi="宋体"/>
                <w:spacing w:val="-20"/>
              </w:rPr>
            </w:pPr>
            <w:r>
              <w:rPr>
                <w:rFonts w:ascii="宋体" w:hAnsi="宋体"/>
                <w:spacing w:val="-20"/>
              </w:rPr>
              <w:t>20,855,710</w:t>
            </w:r>
          </w:p>
        </w:tc>
        <w:tc>
          <w:tcPr>
            <w:tcW w:w="671" w:type="pct"/>
            <w:vAlign w:val="center"/>
          </w:tcPr>
          <w:p>
            <w:pPr>
              <w:jc w:val="right"/>
              <w:rPr>
                <w:rFonts w:ascii="宋体" w:hAnsi="宋体"/>
                <w:spacing w:val="-20"/>
              </w:rPr>
            </w:pPr>
            <w:r>
              <w:rPr>
                <w:rFonts w:ascii="宋体" w:hAnsi="宋体"/>
                <w:spacing w:val="-20"/>
              </w:rPr>
              <w:t>163,300</w:t>
            </w:r>
          </w:p>
        </w:tc>
        <w:tc>
          <w:tcPr>
            <w:tcW w:w="670" w:type="pct"/>
            <w:vAlign w:val="center"/>
          </w:tcPr>
          <w:p>
            <w:pPr>
              <w:jc w:val="right"/>
              <w:rPr>
                <w:rFonts w:ascii="宋体" w:hAnsi="宋体"/>
                <w:spacing w:val="-20"/>
              </w:rPr>
            </w:pPr>
            <w:r>
              <w:rPr>
                <w:rFonts w:ascii="宋体" w:hAnsi="宋体"/>
                <w:spacing w:val="-20"/>
              </w:rPr>
              <w:t>1,959,500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79" w:type="pct"/>
            <w:vAlign w:val="center"/>
          </w:tcPr>
          <w:p>
            <w:pPr>
              <w:autoSpaceDE w:val="0"/>
              <w:autoSpaceDN w:val="0"/>
              <w:adjustRightInd w:val="0"/>
              <w:snapToGrid w:val="0"/>
            </w:pPr>
            <w:r>
              <w:rPr>
                <w:rFonts w:hint="eastAsia"/>
              </w:rPr>
              <w:t>一年内到期的非流动负债</w:t>
            </w:r>
          </w:p>
        </w:tc>
        <w:tc>
          <w:tcPr>
            <w:tcW w:w="670" w:type="pct"/>
            <w:vAlign w:val="center"/>
          </w:tcPr>
          <w:p>
            <w:pPr>
              <w:jc w:val="right"/>
              <w:rPr>
                <w:rFonts w:ascii="宋体" w:hAnsi="宋体"/>
                <w:spacing w:val="-20"/>
              </w:rPr>
            </w:pPr>
            <w:r>
              <w:rPr>
                <w:rFonts w:ascii="宋体" w:hAnsi="宋体"/>
                <w:spacing w:val="-20"/>
              </w:rPr>
              <w:t>16,298,605</w:t>
            </w:r>
          </w:p>
        </w:tc>
        <w:tc>
          <w:tcPr>
            <w:tcW w:w="670" w:type="pct"/>
            <w:vAlign w:val="center"/>
          </w:tcPr>
          <w:p>
            <w:pPr>
              <w:jc w:val="right"/>
              <w:rPr>
                <w:rFonts w:ascii="宋体" w:hAnsi="宋体"/>
                <w:spacing w:val="-20"/>
              </w:rPr>
            </w:pPr>
            <w:r>
              <w:rPr>
                <w:rFonts w:ascii="宋体" w:hAnsi="宋体"/>
                <w:spacing w:val="-20"/>
              </w:rPr>
              <w:t>3,443,000</w:t>
            </w:r>
          </w:p>
        </w:tc>
        <w:tc>
          <w:tcPr>
            <w:tcW w:w="671" w:type="pct"/>
            <w:vAlign w:val="center"/>
          </w:tcPr>
          <w:p>
            <w:pPr>
              <w:jc w:val="right"/>
              <w:rPr>
                <w:rFonts w:ascii="宋体" w:hAnsi="宋体"/>
                <w:spacing w:val="-20"/>
              </w:rPr>
            </w:pPr>
            <w:r>
              <w:rPr>
                <w:rFonts w:ascii="宋体" w:hAnsi="宋体"/>
                <w:spacing w:val="-20"/>
              </w:rPr>
              <w:t>20,746,362</w:t>
            </w:r>
          </w:p>
        </w:tc>
        <w:tc>
          <w:tcPr>
            <w:tcW w:w="670" w:type="pct"/>
            <w:vAlign w:val="center"/>
          </w:tcPr>
          <w:p>
            <w:pPr>
              <w:jc w:val="right"/>
              <w:rPr>
                <w:rFonts w:ascii="宋体" w:hAnsi="宋体"/>
                <w:spacing w:val="-20"/>
              </w:rPr>
            </w:pPr>
            <w:r>
              <w:rPr>
                <w:rFonts w:ascii="宋体" w:hAnsi="宋体"/>
                <w:spacing w:val="-20"/>
              </w:rPr>
              <w:t>18,307,011</w:t>
            </w:r>
          </w:p>
        </w:tc>
        <w:tc>
          <w:tcPr>
            <w:tcW w:w="671" w:type="pct"/>
            <w:vAlign w:val="center"/>
          </w:tcPr>
          <w:p>
            <w:pPr>
              <w:jc w:val="right"/>
              <w:rPr>
                <w:rFonts w:ascii="宋体" w:hAnsi="宋体"/>
                <w:spacing w:val="-20"/>
              </w:rPr>
            </w:pPr>
            <w:r>
              <w:rPr>
                <w:rFonts w:ascii="宋体" w:hAnsi="宋体"/>
                <w:spacing w:val="-20"/>
              </w:rPr>
              <w:t>2,185,838</w:t>
            </w:r>
          </w:p>
        </w:tc>
        <w:tc>
          <w:tcPr>
            <w:tcW w:w="670" w:type="pct"/>
            <w:vAlign w:val="center"/>
          </w:tcPr>
          <w:p>
            <w:pPr>
              <w:jc w:val="right"/>
              <w:rPr>
                <w:rFonts w:ascii="宋体" w:hAnsi="宋体"/>
                <w:spacing w:val="-20"/>
              </w:rPr>
            </w:pPr>
            <w:r>
              <w:rPr>
                <w:rFonts w:ascii="宋体" w:hAnsi="宋体"/>
                <w:spacing w:val="-20"/>
              </w:rPr>
              <w:t>19,995,118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79" w:type="pct"/>
            <w:vAlign w:val="center"/>
          </w:tcPr>
          <w:p>
            <w:pPr>
              <w:autoSpaceDE w:val="0"/>
              <w:autoSpaceDN w:val="0"/>
              <w:adjustRightInd w:val="0"/>
              <w:snapToGrid w:val="0"/>
            </w:pPr>
            <w:r>
              <w:rPr>
                <w:rFonts w:hint="eastAsia"/>
              </w:rPr>
              <w:t>应付债券</w:t>
            </w:r>
          </w:p>
        </w:tc>
        <w:tc>
          <w:tcPr>
            <w:tcW w:w="670" w:type="pct"/>
            <w:vAlign w:val="center"/>
          </w:tcPr>
          <w:p>
            <w:pPr>
              <w:jc w:val="right"/>
              <w:rPr>
                <w:rFonts w:ascii="宋体" w:hAnsi="宋体"/>
                <w:spacing w:val="-20"/>
              </w:rPr>
            </w:pPr>
            <w:r>
              <w:rPr>
                <w:rFonts w:ascii="宋体" w:hAnsi="宋体"/>
                <w:spacing w:val="-20"/>
              </w:rPr>
              <w:t>20,792,407</w:t>
            </w:r>
          </w:p>
        </w:tc>
        <w:tc>
          <w:tcPr>
            <w:tcW w:w="670" w:type="pct"/>
            <w:vAlign w:val="center"/>
          </w:tcPr>
          <w:p>
            <w:pPr>
              <w:jc w:val="right"/>
              <w:rPr>
                <w:rFonts w:ascii="宋体" w:hAnsi="宋体"/>
                <w:spacing w:val="-20"/>
              </w:rPr>
            </w:pPr>
            <w:r>
              <w:rPr>
                <w:rFonts w:ascii="宋体" w:hAnsi="宋体"/>
                <w:spacing w:val="-20"/>
              </w:rPr>
              <w:t>7,998,850</w:t>
            </w:r>
          </w:p>
        </w:tc>
        <w:tc>
          <w:tcPr>
            <w:tcW w:w="671" w:type="pct"/>
            <w:vAlign w:val="center"/>
          </w:tcPr>
          <w:p>
            <w:pPr>
              <w:jc w:val="right"/>
              <w:rPr>
                <w:rFonts w:ascii="宋体" w:hAnsi="宋体"/>
                <w:spacing w:val="-20"/>
              </w:rPr>
            </w:pPr>
            <w:r>
              <w:rPr>
                <w:rFonts w:ascii="宋体" w:hAnsi="宋体"/>
                <w:spacing w:val="-20"/>
              </w:rPr>
              <w:t>42,300</w:t>
            </w:r>
          </w:p>
        </w:tc>
        <w:tc>
          <w:tcPr>
            <w:tcW w:w="670" w:type="pct"/>
            <w:vAlign w:val="center"/>
          </w:tcPr>
          <w:p>
            <w:pPr>
              <w:jc w:val="right"/>
              <w:rPr>
                <w:rFonts w:ascii="宋体" w:hAnsi="宋体"/>
                <w:spacing w:val="-20"/>
              </w:rPr>
            </w:pPr>
            <w:r>
              <w:rPr>
                <w:rFonts w:ascii="宋体" w:hAnsi="宋体"/>
                <w:spacing w:val="-20"/>
              </w:rPr>
              <w:t>6,507,099</w:t>
            </w:r>
          </w:p>
        </w:tc>
        <w:tc>
          <w:tcPr>
            <w:tcW w:w="671" w:type="pct"/>
            <w:vAlign w:val="center"/>
          </w:tcPr>
          <w:p>
            <w:pPr>
              <w:jc w:val="right"/>
              <w:rPr>
                <w:rFonts w:ascii="宋体" w:hAnsi="宋体"/>
                <w:spacing w:val="-20"/>
              </w:rPr>
            </w:pPr>
            <w:r>
              <w:rPr>
                <w:rFonts w:ascii="宋体" w:hAnsi="宋体"/>
                <w:spacing w:val="-20"/>
              </w:rPr>
              <w:t>10,153,600</w:t>
            </w:r>
          </w:p>
        </w:tc>
        <w:tc>
          <w:tcPr>
            <w:tcW w:w="670" w:type="pct"/>
            <w:vAlign w:val="center"/>
          </w:tcPr>
          <w:p>
            <w:pPr>
              <w:jc w:val="right"/>
              <w:rPr>
                <w:rFonts w:ascii="宋体" w:hAnsi="宋体"/>
                <w:spacing w:val="-20"/>
              </w:rPr>
            </w:pPr>
            <w:r>
              <w:rPr>
                <w:rFonts w:ascii="宋体" w:hAnsi="宋体"/>
                <w:spacing w:val="-20"/>
              </w:rPr>
              <w:t>12,172,858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79" w:type="pct"/>
            <w:vAlign w:val="center"/>
          </w:tcPr>
          <w:p>
            <w:pPr>
              <w:autoSpaceDE w:val="0"/>
              <w:autoSpaceDN w:val="0"/>
              <w:adjustRightInd w:val="0"/>
              <w:snapToGrid w:val="0"/>
            </w:pPr>
            <w:r>
              <w:rPr>
                <w:rFonts w:hint="eastAsia"/>
              </w:rPr>
              <w:t>长期借款</w:t>
            </w:r>
          </w:p>
        </w:tc>
        <w:tc>
          <w:tcPr>
            <w:tcW w:w="670" w:type="pct"/>
            <w:vAlign w:val="center"/>
          </w:tcPr>
          <w:p>
            <w:pPr>
              <w:jc w:val="right"/>
              <w:rPr>
                <w:rFonts w:ascii="宋体" w:hAnsi="宋体"/>
                <w:spacing w:val="-20"/>
              </w:rPr>
            </w:pPr>
            <w:r>
              <w:rPr>
                <w:rFonts w:ascii="宋体" w:hAnsi="宋体"/>
                <w:spacing w:val="-20"/>
              </w:rPr>
              <w:t>42,829,094</w:t>
            </w:r>
          </w:p>
        </w:tc>
        <w:tc>
          <w:tcPr>
            <w:tcW w:w="670" w:type="pct"/>
            <w:vAlign w:val="center"/>
          </w:tcPr>
          <w:p>
            <w:pPr>
              <w:jc w:val="right"/>
              <w:rPr>
                <w:rFonts w:ascii="宋体" w:hAnsi="宋体"/>
                <w:spacing w:val="-20"/>
              </w:rPr>
            </w:pPr>
            <w:r>
              <w:rPr>
                <w:rFonts w:ascii="宋体" w:hAnsi="宋体"/>
                <w:spacing w:val="-20"/>
              </w:rPr>
              <w:t>38,910,998</w:t>
            </w:r>
          </w:p>
        </w:tc>
        <w:tc>
          <w:tcPr>
            <w:tcW w:w="671" w:type="pct"/>
            <w:vAlign w:val="center"/>
          </w:tcPr>
          <w:p>
            <w:pPr>
              <w:jc w:val="right"/>
              <w:rPr>
                <w:rFonts w:ascii="宋体" w:hAnsi="宋体"/>
                <w:spacing w:val="-20"/>
              </w:rPr>
            </w:pPr>
            <w:r>
              <w:rPr>
                <w:rFonts w:ascii="宋体" w:hAnsi="宋体"/>
                <w:spacing w:val="-20"/>
              </w:rPr>
              <w:t>4,410,036</w:t>
            </w:r>
          </w:p>
        </w:tc>
        <w:tc>
          <w:tcPr>
            <w:tcW w:w="670" w:type="pct"/>
            <w:vAlign w:val="center"/>
          </w:tcPr>
          <w:p>
            <w:pPr>
              <w:jc w:val="right"/>
              <w:rPr>
                <w:rFonts w:ascii="宋体" w:hAnsi="宋体"/>
                <w:spacing w:val="-20"/>
              </w:rPr>
            </w:pPr>
            <w:r>
              <w:rPr>
                <w:rFonts w:ascii="宋体" w:hAnsi="宋体"/>
                <w:spacing w:val="-20"/>
              </w:rPr>
              <w:t>16,831,799</w:t>
            </w:r>
          </w:p>
        </w:tc>
        <w:tc>
          <w:tcPr>
            <w:tcW w:w="671" w:type="pct"/>
            <w:vAlign w:val="center"/>
          </w:tcPr>
          <w:p>
            <w:pPr>
              <w:jc w:val="right"/>
              <w:rPr>
                <w:rFonts w:ascii="宋体" w:hAnsi="宋体"/>
                <w:spacing w:val="-20"/>
              </w:rPr>
            </w:pPr>
            <w:r>
              <w:rPr>
                <w:rFonts w:ascii="宋体" w:hAnsi="宋体"/>
                <w:spacing w:val="-20"/>
              </w:rPr>
              <w:t>7,963,109</w:t>
            </w:r>
          </w:p>
        </w:tc>
        <w:tc>
          <w:tcPr>
            <w:tcW w:w="670" w:type="pct"/>
            <w:vAlign w:val="center"/>
          </w:tcPr>
          <w:p>
            <w:pPr>
              <w:jc w:val="right"/>
              <w:rPr>
                <w:rFonts w:ascii="宋体" w:hAnsi="宋体"/>
                <w:spacing w:val="-20"/>
              </w:rPr>
            </w:pPr>
            <w:r>
              <w:rPr>
                <w:rFonts w:ascii="宋体" w:hAnsi="宋体"/>
                <w:spacing w:val="-20"/>
              </w:rPr>
              <w:t>61,355,220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79" w:type="pct"/>
            <w:vAlign w:val="center"/>
          </w:tcPr>
          <w:p>
            <w:pPr>
              <w:autoSpaceDE w:val="0"/>
              <w:autoSpaceDN w:val="0"/>
              <w:adjustRightInd w:val="0"/>
              <w:snapToGrid w:val="0"/>
            </w:pPr>
            <w:r>
              <w:rPr>
                <w:rFonts w:hint="eastAsia"/>
              </w:rPr>
              <w:t>租赁负债</w:t>
            </w:r>
          </w:p>
        </w:tc>
        <w:tc>
          <w:tcPr>
            <w:tcW w:w="670" w:type="pct"/>
            <w:vAlign w:val="center"/>
          </w:tcPr>
          <w:p>
            <w:pPr>
              <w:jc w:val="right"/>
              <w:rPr>
                <w:rFonts w:ascii="宋体" w:hAnsi="宋体"/>
                <w:spacing w:val="-20"/>
              </w:rPr>
            </w:pPr>
            <w:r>
              <w:rPr>
                <w:rFonts w:ascii="宋体" w:hAnsi="宋体"/>
                <w:spacing w:val="-20"/>
              </w:rPr>
              <w:t>435,586</w:t>
            </w:r>
          </w:p>
        </w:tc>
        <w:tc>
          <w:tcPr>
            <w:tcW w:w="670" w:type="pct"/>
            <w:vAlign w:val="center"/>
          </w:tcPr>
          <w:p>
            <w:pPr>
              <w:jc w:val="right"/>
              <w:rPr>
                <w:rFonts w:ascii="宋体" w:hAnsi="宋体"/>
                <w:spacing w:val="-20"/>
              </w:rPr>
            </w:pPr>
          </w:p>
        </w:tc>
        <w:tc>
          <w:tcPr>
            <w:tcW w:w="671" w:type="pct"/>
            <w:vAlign w:val="center"/>
          </w:tcPr>
          <w:p>
            <w:pPr>
              <w:jc w:val="right"/>
              <w:rPr>
                <w:rFonts w:ascii="宋体" w:hAnsi="宋体"/>
                <w:spacing w:val="-20"/>
              </w:rPr>
            </w:pPr>
            <w:r>
              <w:rPr>
                <w:rFonts w:ascii="宋体" w:hAnsi="宋体"/>
                <w:spacing w:val="-20"/>
              </w:rPr>
              <w:t>35,147</w:t>
            </w:r>
          </w:p>
        </w:tc>
        <w:tc>
          <w:tcPr>
            <w:tcW w:w="670" w:type="pct"/>
            <w:vAlign w:val="center"/>
          </w:tcPr>
          <w:p>
            <w:pPr>
              <w:jc w:val="right"/>
              <w:rPr>
                <w:rFonts w:ascii="宋体" w:hAnsi="宋体"/>
                <w:spacing w:val="-20"/>
              </w:rPr>
            </w:pPr>
          </w:p>
        </w:tc>
        <w:tc>
          <w:tcPr>
            <w:tcW w:w="671" w:type="pct"/>
            <w:vAlign w:val="center"/>
          </w:tcPr>
          <w:p>
            <w:pPr>
              <w:jc w:val="right"/>
              <w:rPr>
                <w:rFonts w:ascii="宋体" w:hAnsi="宋体"/>
                <w:spacing w:val="-20"/>
              </w:rPr>
            </w:pPr>
            <w:r>
              <w:rPr>
                <w:rFonts w:ascii="宋体" w:hAnsi="宋体"/>
                <w:spacing w:val="-20"/>
              </w:rPr>
              <w:t>145,616</w:t>
            </w:r>
          </w:p>
        </w:tc>
        <w:tc>
          <w:tcPr>
            <w:tcW w:w="670" w:type="pct"/>
            <w:vAlign w:val="center"/>
          </w:tcPr>
          <w:p>
            <w:pPr>
              <w:jc w:val="right"/>
              <w:rPr>
                <w:rFonts w:ascii="宋体" w:hAnsi="宋体"/>
                <w:spacing w:val="-20"/>
              </w:rPr>
            </w:pPr>
            <w:r>
              <w:rPr>
                <w:rFonts w:ascii="宋体" w:hAnsi="宋体"/>
                <w:spacing w:val="-20"/>
              </w:rPr>
              <w:t>325,117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79" w:type="pct"/>
            <w:vAlign w:val="center"/>
          </w:tcPr>
          <w:p>
            <w:pPr>
              <w:autoSpaceDE w:val="0"/>
              <w:autoSpaceDN w:val="0"/>
              <w:adjustRightInd w:val="0"/>
              <w:snapToGrid w:val="0"/>
            </w:pPr>
            <w:r>
              <w:rPr>
                <w:rFonts w:hint="eastAsia"/>
              </w:rPr>
              <w:t>长期应付款</w:t>
            </w:r>
          </w:p>
        </w:tc>
        <w:tc>
          <w:tcPr>
            <w:tcW w:w="670" w:type="pct"/>
            <w:vAlign w:val="center"/>
          </w:tcPr>
          <w:p>
            <w:pPr>
              <w:jc w:val="right"/>
              <w:rPr>
                <w:rFonts w:ascii="宋体" w:hAnsi="宋体"/>
                <w:spacing w:val="-20"/>
              </w:rPr>
            </w:pPr>
            <w:r>
              <w:rPr>
                <w:rFonts w:ascii="宋体" w:hAnsi="宋体"/>
                <w:spacing w:val="-20"/>
              </w:rPr>
              <w:t>3,574,582</w:t>
            </w:r>
          </w:p>
        </w:tc>
        <w:tc>
          <w:tcPr>
            <w:tcW w:w="670" w:type="pct"/>
            <w:vAlign w:val="center"/>
          </w:tcPr>
          <w:p>
            <w:pPr>
              <w:jc w:val="right"/>
              <w:rPr>
                <w:rFonts w:ascii="宋体" w:hAnsi="宋体"/>
                <w:spacing w:val="-20"/>
              </w:rPr>
            </w:pPr>
            <w:r>
              <w:rPr>
                <w:rFonts w:ascii="宋体" w:hAnsi="宋体"/>
                <w:spacing w:val="-20"/>
              </w:rPr>
              <w:t>1,740,000</w:t>
            </w:r>
          </w:p>
        </w:tc>
        <w:tc>
          <w:tcPr>
            <w:tcW w:w="671" w:type="pct"/>
            <w:vAlign w:val="center"/>
          </w:tcPr>
          <w:p>
            <w:pPr>
              <w:jc w:val="right"/>
              <w:rPr>
                <w:rFonts w:ascii="宋体" w:hAnsi="宋体"/>
                <w:spacing w:val="-20"/>
              </w:rPr>
            </w:pPr>
            <w:r>
              <w:rPr>
                <w:rFonts w:ascii="宋体" w:hAnsi="宋体"/>
                <w:spacing w:val="-20"/>
              </w:rPr>
              <w:t>249,030</w:t>
            </w:r>
          </w:p>
        </w:tc>
        <w:tc>
          <w:tcPr>
            <w:tcW w:w="670" w:type="pct"/>
            <w:vAlign w:val="center"/>
          </w:tcPr>
          <w:p>
            <w:pPr>
              <w:jc w:val="right"/>
              <w:rPr>
                <w:rFonts w:ascii="宋体" w:hAnsi="宋体"/>
                <w:spacing w:val="-20"/>
              </w:rPr>
            </w:pPr>
            <w:r>
              <w:rPr>
                <w:rFonts w:ascii="宋体" w:hAnsi="宋体"/>
                <w:spacing w:val="-20"/>
              </w:rPr>
              <w:t>87,991</w:t>
            </w:r>
          </w:p>
        </w:tc>
        <w:tc>
          <w:tcPr>
            <w:tcW w:w="671" w:type="pct"/>
            <w:vAlign w:val="center"/>
          </w:tcPr>
          <w:p>
            <w:pPr>
              <w:jc w:val="right"/>
              <w:rPr>
                <w:rFonts w:ascii="宋体" w:hAnsi="宋体"/>
                <w:spacing w:val="-20"/>
              </w:rPr>
            </w:pPr>
            <w:r>
              <w:rPr>
                <w:rFonts w:ascii="宋体" w:hAnsi="宋体"/>
                <w:spacing w:val="-20"/>
              </w:rPr>
              <w:t>986,895</w:t>
            </w:r>
          </w:p>
        </w:tc>
        <w:tc>
          <w:tcPr>
            <w:tcW w:w="670" w:type="pct"/>
            <w:vAlign w:val="center"/>
          </w:tcPr>
          <w:p>
            <w:pPr>
              <w:jc w:val="right"/>
              <w:rPr>
                <w:rFonts w:ascii="宋体" w:hAnsi="宋体"/>
                <w:spacing w:val="-20"/>
              </w:rPr>
            </w:pPr>
            <w:r>
              <w:rPr>
                <w:rFonts w:ascii="宋体" w:hAnsi="宋体"/>
                <w:spacing w:val="-20"/>
              </w:rPr>
              <w:t>4,488,726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979" w:type="pct"/>
          </w:tcPr>
          <w:p>
            <w:pPr>
              <w:autoSpaceDE w:val="0"/>
              <w:autoSpaceDN w:val="0"/>
              <w:adjustRightInd w:val="0"/>
              <w:snapToGrid w:val="0"/>
              <w:jc w:val="center"/>
            </w:pPr>
            <w:r>
              <w:rPr>
                <w:rFonts w:hint="eastAsia"/>
              </w:rPr>
              <w:t>合计</w:t>
            </w:r>
          </w:p>
        </w:tc>
        <w:tc>
          <w:tcPr>
            <w:tcW w:w="670" w:type="pct"/>
            <w:vAlign w:val="center"/>
          </w:tcPr>
          <w:p>
            <w:pPr>
              <w:jc w:val="right"/>
              <w:rPr>
                <w:rFonts w:ascii="宋体" w:hAnsi="宋体"/>
                <w:spacing w:val="-20"/>
              </w:rPr>
            </w:pPr>
            <w:r>
              <w:rPr>
                <w:rFonts w:ascii="宋体" w:hAnsi="宋体"/>
                <w:spacing w:val="-20"/>
              </w:rPr>
              <w:t>96,127,338</w:t>
            </w:r>
          </w:p>
        </w:tc>
        <w:tc>
          <w:tcPr>
            <w:tcW w:w="670" w:type="pct"/>
            <w:vAlign w:val="center"/>
          </w:tcPr>
          <w:p>
            <w:pPr>
              <w:jc w:val="right"/>
              <w:rPr>
                <w:rFonts w:ascii="宋体" w:hAnsi="宋体"/>
                <w:spacing w:val="-20"/>
              </w:rPr>
            </w:pPr>
            <w:r>
              <w:rPr>
                <w:rFonts w:ascii="宋体" w:hAnsi="宋体"/>
                <w:spacing w:val="-20"/>
              </w:rPr>
              <w:t>60,785,191</w:t>
            </w:r>
          </w:p>
        </w:tc>
        <w:tc>
          <w:tcPr>
            <w:tcW w:w="671" w:type="pct"/>
            <w:vAlign w:val="center"/>
          </w:tcPr>
          <w:p>
            <w:pPr>
              <w:jc w:val="right"/>
              <w:rPr>
                <w:rFonts w:ascii="宋体" w:hAnsi="宋体"/>
                <w:spacing w:val="-20"/>
              </w:rPr>
            </w:pPr>
            <w:r>
              <w:rPr>
                <w:rFonts w:ascii="宋体" w:hAnsi="宋体"/>
                <w:spacing w:val="-20"/>
              </w:rPr>
              <w:t>70,165,661</w:t>
            </w:r>
          </w:p>
        </w:tc>
        <w:tc>
          <w:tcPr>
            <w:tcW w:w="670" w:type="pct"/>
            <w:vAlign w:val="center"/>
          </w:tcPr>
          <w:p>
            <w:pPr>
              <w:jc w:val="right"/>
              <w:rPr>
                <w:rFonts w:ascii="宋体" w:hAnsi="宋体"/>
                <w:spacing w:val="-20"/>
              </w:rPr>
            </w:pPr>
            <w:r>
              <w:rPr>
                <w:rFonts w:ascii="宋体" w:hAnsi="宋体"/>
                <w:spacing w:val="-20"/>
              </w:rPr>
              <w:t>97,643,711</w:t>
            </w:r>
          </w:p>
        </w:tc>
        <w:tc>
          <w:tcPr>
            <w:tcW w:w="671" w:type="pct"/>
            <w:vAlign w:val="center"/>
          </w:tcPr>
          <w:p>
            <w:pPr>
              <w:jc w:val="right"/>
              <w:rPr>
                <w:rFonts w:ascii="宋体" w:hAnsi="宋体"/>
                <w:spacing w:val="-20"/>
              </w:rPr>
            </w:pPr>
            <w:r>
              <w:rPr>
                <w:rFonts w:ascii="宋体" w:hAnsi="宋体"/>
                <w:spacing w:val="-20"/>
              </w:rPr>
              <w:t>22,122,170</w:t>
            </w:r>
          </w:p>
        </w:tc>
        <w:tc>
          <w:tcPr>
            <w:tcW w:w="670" w:type="pct"/>
            <w:vAlign w:val="center"/>
          </w:tcPr>
          <w:p>
            <w:pPr>
              <w:jc w:val="right"/>
              <w:rPr>
                <w:rFonts w:ascii="宋体" w:hAnsi="宋体"/>
                <w:spacing w:val="-20"/>
              </w:rPr>
            </w:pPr>
            <w:r>
              <w:rPr>
                <w:rFonts w:ascii="宋体" w:hAnsi="宋体"/>
                <w:spacing w:val="-20"/>
              </w:rPr>
              <w:t>107,312,309</w:t>
            </w:r>
          </w:p>
        </w:tc>
      </w:tr>
    </w:tbl>
    <w:p>
      <w:pPr>
        <w:pStyle w:val="531"/>
      </w:pPr>
    </w:p>
    <w:p>
      <w:pPr>
        <w:pStyle w:val="505"/>
        <w:numPr>
          <w:ilvl w:val="0"/>
          <w:numId w:val="108"/>
        </w:numPr>
        <w:ind w:left="426" w:hanging="426"/>
      </w:pPr>
      <w:r>
        <w:rPr>
          <w:rFonts w:hint="eastAsia"/>
        </w:rPr>
        <w:t>以净额列报现金流量的说明</w:t>
      </w:r>
    </w:p>
    <w:sdt>
      <w:sdtPr>
        <w:alias w:val="是否适用：以净额列报现金流量的说明[双击切换]"/>
        <w:tag w:val="_GBC_3444590230dd455c82f347bceb8bbf05"/>
        <w:id w:val="-364141039"/>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5"/>
        <w:numPr>
          <w:ilvl w:val="0"/>
          <w:numId w:val="108"/>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1046881124"/>
        <w:placeholder>
          <w:docPart w:val="GBC22222222222222222222222222222"/>
        </w:placeholder>
      </w:sdtPr>
      <w:sdtContent>
        <w:p>
          <w:pPr>
            <w:pStyle w:val="531"/>
            <w:rPr>
              <w:color w:val="0000FF"/>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5"/>
        <w:rPr>
          <w:szCs w:val="22"/>
        </w:rPr>
      </w:pPr>
    </w:p>
    <w:p>
      <w:pPr>
        <w:pStyle w:val="504"/>
        <w:numPr>
          <w:ilvl w:val="0"/>
          <w:numId w:val="69"/>
        </w:numPr>
        <w:tabs>
          <w:tab w:val="left" w:pos="504"/>
        </w:tabs>
      </w:pPr>
      <w:r>
        <w:rPr>
          <w:rFonts w:hint="eastAsia"/>
        </w:rPr>
        <w:t>现金流量表</w:t>
      </w:r>
      <w:r>
        <w:rPr>
          <w:rFonts w:hint="eastAsia" w:ascii="宋体" w:hAnsi="宋体"/>
          <w:szCs w:val="21"/>
        </w:rPr>
        <w:t>补充</w:t>
      </w:r>
      <w:r>
        <w:rPr>
          <w:rFonts w:hint="eastAsia"/>
        </w:rPr>
        <w:t>资料</w:t>
      </w:r>
    </w:p>
    <w:p>
      <w:pPr>
        <w:pStyle w:val="505"/>
        <w:numPr>
          <w:ilvl w:val="0"/>
          <w:numId w:val="109"/>
        </w:numPr>
        <w:ind w:left="426" w:hanging="426"/>
      </w:pPr>
      <w:r>
        <w:rPr>
          <w:rFonts w:hint="eastAsia"/>
        </w:rPr>
        <w:t>现金流量表补充资料</w:t>
      </w:r>
    </w:p>
    <w:sdt>
      <w:sdtPr>
        <w:rPr>
          <w:rFonts w:hint="eastAsia"/>
        </w:rPr>
        <w:alias w:val="是否适用：现金流量表补充资料[双击切换]"/>
        <w:tag w:val="_GBC_f77ea662869c431fa9c3cd98fccb529c"/>
        <w:id w:val="289862378"/>
        <w:lock w:val="contentLocked"/>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现金流量表补充资料"/>
          <w:tag w:val="_GBC_816fc4f2c97b4b12911114202247ee82"/>
          <w:id w:val="19477405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现金流量表补充资料"/>
          <w:tag w:val="_GBC_d5067beb6bda4f61b5520807661734bf"/>
          <w:id w:val="3993386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939"/>
        <w:gridCol w:w="2034"/>
        <w:gridCol w:w="20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9bfd38318b44efe9fa609ad19a8685a"/>
            <w:id w:val="-1210798307"/>
          </w:sdtPr>
          <w:sdtContent>
            <w:tc>
              <w:tcPr>
                <w:tcW w:w="27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rPr>
                </w:pPr>
                <w:r>
                  <w:rPr>
                    <w:rFonts w:hint="eastAsia"/>
                    <w:bCs/>
                  </w:rPr>
                  <w:t>补充资料</w:t>
                </w:r>
              </w:p>
            </w:tc>
          </w:sdtContent>
        </w:sdt>
        <w:sdt>
          <w:sdtPr>
            <w:tag w:val="_PLD_8ef3863737f6403496cc160c411b0b03"/>
            <w:id w:val="1418366005"/>
          </w:sdtPr>
          <w:sdtContent>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本期金额</w:t>
                </w:r>
              </w:p>
            </w:tc>
          </w:sdtContent>
        </w:sdt>
        <w:sdt>
          <w:sdtPr>
            <w:tag w:val="_PLD_73eb01f791e44a84b1edbc96aa42b3f3"/>
            <w:id w:val="965164305"/>
          </w:sdtPr>
          <w:sdtContent>
            <w:tc>
              <w:tcPr>
                <w:tcW w:w="11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上期金额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db035658bd4a67bcf46ade47da315d"/>
            <w:id w:val="193818268"/>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tcPr>
              <w:p>
                <w:pPr>
                  <w:rPr>
                    <w:b/>
                  </w:rPr>
                </w:pPr>
                <w:r>
                  <w:rPr>
                    <w:b/>
                    <w:bCs/>
                  </w:rPr>
                  <w:t>1</w:t>
                </w:r>
                <w:r>
                  <w:rPr>
                    <w:rFonts w:hint="eastAsia"/>
                    <w:b/>
                    <w:bCs/>
                  </w:rPr>
                  <w:t>．将净利润调节为经营活动现金流量：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净利润</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27,151,495</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46,029,896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加：资产减值准备</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35,092</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2,491,046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信用减值损失</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-121,162</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201,301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固定资产折旧、油气资产折耗、生产性生物资产折旧</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11,576,822</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11,346,544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使用权资产摊销</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275,556</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271,068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无形资产摊销</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2,959,510</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2,653,071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长期待摊费用摊销</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302,853</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65,697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股份支付</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298,036</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314,086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专项储备</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-1,322,648</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-57,169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处置固定资产、无形资产和其他长期资产的损失（收益以</w:t>
            </w:r>
            <w:r>
              <w:t>“</w:t>
            </w:r>
            <w:r>
              <w:rPr>
                <w:rFonts w:hint="eastAsia"/>
              </w:rPr>
              <w:t>－</w:t>
            </w:r>
            <w:r>
              <w:t>”</w:t>
            </w:r>
            <w:r>
              <w:rPr>
                <w:rFonts w:hint="eastAsia"/>
              </w:rPr>
              <w:t>号填列）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-1,154</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-47,852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固定资产报废损失（收益以</w:t>
            </w:r>
            <w:r>
              <w:t>“</w:t>
            </w:r>
            <w:r>
              <w:rPr>
                <w:rFonts w:hint="eastAsia"/>
              </w:rPr>
              <w:t>－</w:t>
            </w:r>
            <w:r>
              <w:t>”</w:t>
            </w:r>
            <w:r>
              <w:rPr>
                <w:rFonts w:hint="eastAsia"/>
              </w:rPr>
              <w:t>号填列）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6,576</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33,746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公允价值变动损失（收益以</w:t>
            </w:r>
            <w:r>
              <w:t>“</w:t>
            </w:r>
            <w:r>
              <w:rPr>
                <w:rFonts w:hint="eastAsia"/>
              </w:rPr>
              <w:t>－</w:t>
            </w:r>
            <w:r>
              <w:t>”</w:t>
            </w:r>
            <w:r>
              <w:rPr>
                <w:rFonts w:hint="eastAsia"/>
              </w:rPr>
              <w:t>号填列）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-89,903</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117,129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净敞口套期收益（收益以“-”填列）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-28,412</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1,108,442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财务费用（收益以</w:t>
            </w:r>
            <w:r>
              <w:t>“</w:t>
            </w:r>
            <w:r>
              <w:rPr>
                <w:rFonts w:hint="eastAsia"/>
              </w:rPr>
              <w:t>－</w:t>
            </w:r>
            <w:r>
              <w:t>”</w:t>
            </w:r>
            <w:r>
              <w:rPr>
                <w:rFonts w:hint="eastAsia"/>
              </w:rPr>
              <w:t>号填列）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4,371,668</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5,001,771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投资损失（收益以</w:t>
            </w:r>
            <w:r>
              <w:t>“</w:t>
            </w:r>
            <w:r>
              <w:rPr>
                <w:rFonts w:hint="eastAsia"/>
              </w:rPr>
              <w:t>－</w:t>
            </w:r>
            <w:r>
              <w:t>”</w:t>
            </w:r>
            <w:r>
              <w:rPr>
                <w:rFonts w:hint="eastAsia"/>
              </w:rPr>
              <w:t>号填列）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-2,258,873</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-3,270,264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收购利得（收益以“-”填列）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递延所得税资产减少（增加以</w:t>
            </w:r>
            <w:r>
              <w:t>“</w:t>
            </w:r>
            <w:r>
              <w:rPr>
                <w:rFonts w:hint="eastAsia"/>
              </w:rPr>
              <w:t>－</w:t>
            </w:r>
            <w:r>
              <w:t>”</w:t>
            </w:r>
            <w:r>
              <w:rPr>
                <w:rFonts w:hint="eastAsia"/>
              </w:rPr>
              <w:t>号填列）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641,980</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-142,702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递延所得税负债增加（减少以</w:t>
            </w:r>
            <w:r>
              <w:t>“</w:t>
            </w:r>
            <w:r>
              <w:rPr>
                <w:rFonts w:hint="eastAsia"/>
              </w:rPr>
              <w:t>－</w:t>
            </w:r>
            <w:r>
              <w:t>”</w:t>
            </w:r>
            <w:r>
              <w:rPr>
                <w:rFonts w:hint="eastAsia"/>
              </w:rPr>
              <w:t>号填列）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-431,986</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-199,522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存货的减少（增加以</w:t>
            </w:r>
            <w:r>
              <w:t>“</w:t>
            </w:r>
            <w:r>
              <w:rPr>
                <w:rFonts w:hint="eastAsia"/>
              </w:rPr>
              <w:t>－</w:t>
            </w:r>
            <w:r>
              <w:t>”</w:t>
            </w:r>
            <w:r>
              <w:rPr>
                <w:rFonts w:hint="eastAsia"/>
              </w:rPr>
              <w:t>号填列）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2,198,089</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-972,881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经营性应收项目的减少（增加以</w:t>
            </w:r>
            <w:r>
              <w:t>“</w:t>
            </w:r>
            <w:r>
              <w:rPr>
                <w:rFonts w:hint="eastAsia"/>
              </w:rPr>
              <w:t>－</w:t>
            </w:r>
            <w:r>
              <w:t>”</w:t>
            </w:r>
            <w:r>
              <w:rPr>
                <w:rFonts w:hint="eastAsia"/>
              </w:rPr>
              <w:t>号填列）</w:t>
            </w:r>
          </w:p>
        </w:tc>
        <w:tc>
          <w:tcPr>
            <w:tcW w:w="1124"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-6,651,258</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4,584,958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经营性应付项目的增加（减少以</w:t>
            </w:r>
            <w:r>
              <w:t>“</w:t>
            </w:r>
            <w:r>
              <w:rPr>
                <w:rFonts w:hint="eastAsia"/>
              </w:rPr>
              <w:t>－</w:t>
            </w:r>
            <w:r>
              <w:t>”</w:t>
            </w:r>
            <w:r>
              <w:rPr>
                <w:rFonts w:hint="eastAsia"/>
              </w:rPr>
              <w:t>号填列）</w:t>
            </w:r>
          </w:p>
        </w:tc>
        <w:tc>
          <w:tcPr>
            <w:tcW w:w="1124" w:type="pct"/>
            <w:tcBorders>
              <w:top w:val="outset" w:color="auto" w:sz="4" w:space="0"/>
              <w:left w:val="single" w:color="auto" w:sz="4" w:space="0"/>
              <w:bottom w:val="outset" w:color="auto" w:sz="4" w:space="0"/>
              <w:right w:val="outset" w:color="auto" w:sz="4" w:space="0"/>
            </w:tcBorders>
            <w:shd w:val="clear" w:color="auto" w:fill="auto"/>
          </w:tcPr>
          <w:p>
            <w:pPr>
              <w:jc w:val="right"/>
              <w:rPr>
                <w:rFonts w:ascii="宋体" w:hAnsi="宋体"/>
              </w:rPr>
            </w:pPr>
            <w:r>
              <w:rPr>
                <w:rFonts w:ascii="宋体" w:hAnsi="宋体"/>
              </w:rPr>
              <w:t>-22,744,423</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-10,608,535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经营活动产生的现金流量净额</w:t>
            </w:r>
          </w:p>
        </w:tc>
        <w:tc>
          <w:tcPr>
            <w:tcW w:w="1124" w:type="pct"/>
            <w:tcBorders>
              <w:top w:val="outset" w:color="auto" w:sz="4" w:space="0"/>
              <w:left w:val="single" w:color="auto" w:sz="4" w:space="0"/>
              <w:bottom w:val="outset" w:color="auto" w:sz="4" w:space="0"/>
              <w:right w:val="outset" w:color="auto" w:sz="4" w:space="0"/>
            </w:tcBorders>
            <w:shd w:val="clear" w:color="auto" w:fill="auto"/>
          </w:tcPr>
          <w:p>
            <w:pPr>
              <w:jc w:val="right"/>
              <w:rPr>
                <w:rFonts w:ascii="宋体" w:hAnsi="宋体"/>
              </w:rPr>
            </w:pPr>
            <w:r>
              <w:rPr>
                <w:rFonts w:ascii="宋体" w:hAnsi="宋体"/>
              </w:rPr>
              <w:t>16,167,858</w:t>
            </w:r>
          </w:p>
        </w:tc>
        <w:tc>
          <w:tcPr>
            <w:tcW w:w="1147"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宋体" w:hAnsi="宋体"/>
              </w:rPr>
            </w:pPr>
            <w:r>
              <w:rPr>
                <w:rFonts w:ascii="宋体" w:hAnsi="宋体"/>
              </w:rPr>
              <w:t>58,919,830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9bf22c7a64477db916821f6ee032d7"/>
            <w:id w:val="-1154675045"/>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tcPr>
              <w:p>
                <w:pPr>
                  <w:pStyle w:val="531"/>
                </w:pPr>
                <w:r>
                  <w:rPr>
                    <w:b/>
                    <w:bCs/>
                  </w:rPr>
                  <w:t>2</w:t>
                </w:r>
                <w:r>
                  <w:rPr>
                    <w:rFonts w:hint="eastAsia"/>
                    <w:b/>
                    <w:bCs/>
                  </w:rPr>
                  <w:t>．不涉及现金收支的重大投资和筹资活动：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债务转为资本</w:t>
            </w:r>
          </w:p>
        </w:tc>
        <w:tc>
          <w:tcPr>
            <w:tcW w:w="1124" w:type="pct"/>
            <w:tcBorders>
              <w:top w:val="outset" w:color="auto" w:sz="4" w:space="0"/>
              <w:left w:val="single" w:color="auto" w:sz="4" w:space="0"/>
              <w:bottom w:val="outset" w:color="auto" w:sz="4" w:space="0"/>
              <w:right w:val="outset" w:color="auto" w:sz="4" w:space="0"/>
            </w:tcBorders>
            <w:shd w:val="clear" w:color="auto" w:fill="auto"/>
          </w:tcPr>
          <w:p>
            <w:pPr>
              <w:jc w:val="right"/>
            </w:pPr>
          </w:p>
        </w:tc>
        <w:tc>
          <w:tcPr>
            <w:tcW w:w="1147" w:type="pct"/>
            <w:tcBorders>
              <w:top w:val="outset" w:color="auto" w:sz="4" w:space="0"/>
              <w:left w:val="outset" w:color="auto" w:sz="4" w:space="0"/>
              <w:bottom w:val="outset" w:color="auto" w:sz="4" w:space="0"/>
              <w:right w:val="outset" w:color="auto" w:sz="4" w:space="0"/>
            </w:tcBorders>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一年内到期的可转换公司债券</w:t>
            </w:r>
          </w:p>
        </w:tc>
        <w:tc>
          <w:tcPr>
            <w:tcW w:w="1124" w:type="pct"/>
            <w:tcBorders>
              <w:top w:val="outset" w:color="auto" w:sz="4" w:space="0"/>
              <w:left w:val="single" w:color="auto" w:sz="4" w:space="0"/>
              <w:bottom w:val="outset" w:color="auto" w:sz="4" w:space="0"/>
              <w:right w:val="outset" w:color="auto" w:sz="4" w:space="0"/>
            </w:tcBorders>
            <w:shd w:val="clear" w:color="auto" w:fill="auto"/>
          </w:tcPr>
          <w:p>
            <w:pPr>
              <w:jc w:val="right"/>
            </w:pPr>
          </w:p>
        </w:tc>
        <w:tc>
          <w:tcPr>
            <w:tcW w:w="1147" w:type="pct"/>
            <w:tcBorders>
              <w:top w:val="outset" w:color="auto" w:sz="4" w:space="0"/>
              <w:left w:val="outset" w:color="auto" w:sz="4" w:space="0"/>
              <w:bottom w:val="outset" w:color="auto" w:sz="4" w:space="0"/>
              <w:right w:val="outset" w:color="auto" w:sz="4" w:space="0"/>
            </w:tcBorders>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融资租入固定资产</w:t>
            </w:r>
          </w:p>
        </w:tc>
        <w:tc>
          <w:tcPr>
            <w:tcW w:w="1124" w:type="pct"/>
            <w:tcBorders>
              <w:top w:val="outset" w:color="auto" w:sz="4" w:space="0"/>
              <w:left w:val="single" w:color="auto" w:sz="4" w:space="0"/>
              <w:bottom w:val="outset" w:color="auto" w:sz="4" w:space="0"/>
              <w:right w:val="outset" w:color="auto" w:sz="4" w:space="0"/>
            </w:tcBorders>
            <w:shd w:val="clear" w:color="auto" w:fill="auto"/>
          </w:tcPr>
          <w:p>
            <w:pPr>
              <w:jc w:val="right"/>
            </w:pPr>
          </w:p>
        </w:tc>
        <w:tc>
          <w:tcPr>
            <w:tcW w:w="1147" w:type="pct"/>
            <w:tcBorders>
              <w:top w:val="outset" w:color="auto" w:sz="4" w:space="0"/>
              <w:left w:val="outset" w:color="auto" w:sz="4" w:space="0"/>
              <w:bottom w:val="outset" w:color="auto" w:sz="4" w:space="0"/>
              <w:right w:val="outset" w:color="auto" w:sz="4" w:space="0"/>
            </w:tcBorders>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2f2ba3b4a94101978cc22144b58749"/>
            <w:id w:val="-1437753006"/>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tcPr>
              <w:p>
                <w:pPr>
                  <w:pStyle w:val="531"/>
                </w:pPr>
                <w:r>
                  <w:rPr>
                    <w:b/>
                    <w:bCs/>
                  </w:rPr>
                  <w:t>3</w:t>
                </w:r>
                <w:r>
                  <w:rPr>
                    <w:rFonts w:hint="eastAsia"/>
                    <w:b/>
                    <w:bCs/>
                  </w:rPr>
                  <w:t>．现金及现金等价物净变动情况：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现金的期末余额</w:t>
            </w:r>
          </w:p>
        </w:tc>
        <w:tc>
          <w:tcPr>
            <w:tcW w:w="1124" w:type="pct"/>
            <w:tcBorders>
              <w:top w:val="outset" w:color="auto" w:sz="4" w:space="0"/>
              <w:left w:val="single" w:color="auto" w:sz="4" w:space="0"/>
              <w:bottom w:val="outset" w:color="auto" w:sz="4" w:space="0"/>
              <w:right w:val="outset" w:color="auto" w:sz="4" w:space="0"/>
            </w:tcBorders>
            <w:shd w:val="clear" w:color="auto" w:fill="auto"/>
          </w:tcPr>
          <w:p>
            <w:pPr>
              <w:jc w:val="right"/>
              <w:rPr>
                <w:rFonts w:ascii="宋体" w:hAnsi="宋体"/>
              </w:rPr>
            </w:pPr>
            <w:r>
              <w:rPr>
                <w:rFonts w:ascii="宋体" w:hAnsi="宋体"/>
              </w:rPr>
              <w:t>30,268,200</w:t>
            </w:r>
          </w:p>
        </w:tc>
        <w:tc>
          <w:tcPr>
            <w:tcW w:w="1147" w:type="pct"/>
            <w:tcBorders>
              <w:top w:val="outset" w:color="auto" w:sz="4" w:space="0"/>
              <w:left w:val="outset" w:color="auto" w:sz="4" w:space="0"/>
              <w:bottom w:val="outset" w:color="auto" w:sz="4" w:space="0"/>
              <w:right w:val="outset" w:color="auto" w:sz="4" w:space="0"/>
            </w:tcBorders>
            <w:shd w:val="clear" w:color="auto" w:fill="auto"/>
          </w:tcPr>
          <w:p>
            <w:pPr>
              <w:jc w:val="right"/>
              <w:rPr>
                <w:rFonts w:ascii="宋体" w:hAnsi="宋体"/>
              </w:rPr>
            </w:pPr>
            <w:r>
              <w:rPr>
                <w:rFonts w:ascii="宋体" w:hAnsi="宋体"/>
              </w:rPr>
              <w:t>58,313,130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减：现金的期初余额</w:t>
            </w:r>
          </w:p>
        </w:tc>
        <w:tc>
          <w:tcPr>
            <w:tcW w:w="1124" w:type="pct"/>
            <w:tcBorders>
              <w:top w:val="outset" w:color="auto" w:sz="4" w:space="0"/>
              <w:left w:val="single" w:color="auto" w:sz="4" w:space="0"/>
              <w:bottom w:val="outset" w:color="auto" w:sz="4" w:space="0"/>
              <w:right w:val="outset" w:color="auto" w:sz="4" w:space="0"/>
            </w:tcBorders>
            <w:shd w:val="clear" w:color="auto" w:fill="auto"/>
          </w:tcPr>
          <w:p>
            <w:pPr>
              <w:jc w:val="right"/>
              <w:rPr>
                <w:rFonts w:ascii="宋体" w:hAnsi="宋体"/>
              </w:rPr>
            </w:pPr>
            <w:r>
              <w:rPr>
                <w:rFonts w:ascii="宋体" w:hAnsi="宋体"/>
              </w:rPr>
              <w:t>58,313,130</w:t>
            </w:r>
          </w:p>
        </w:tc>
        <w:tc>
          <w:tcPr>
            <w:tcW w:w="1147" w:type="pct"/>
            <w:tcBorders>
              <w:top w:val="outset" w:color="auto" w:sz="4" w:space="0"/>
              <w:left w:val="outset" w:color="auto" w:sz="4" w:space="0"/>
              <w:bottom w:val="outset" w:color="auto" w:sz="4" w:space="0"/>
              <w:right w:val="outset" w:color="auto" w:sz="4" w:space="0"/>
            </w:tcBorders>
            <w:shd w:val="clear" w:color="auto" w:fill="auto"/>
          </w:tcPr>
          <w:p>
            <w:pPr>
              <w:jc w:val="right"/>
              <w:rPr>
                <w:rFonts w:ascii="宋体" w:hAnsi="宋体"/>
              </w:rPr>
            </w:pPr>
            <w:r>
              <w:rPr>
                <w:rFonts w:ascii="宋体" w:hAnsi="宋体"/>
              </w:rPr>
              <w:t>59,584,728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加：现金等价物的期末余额</w:t>
            </w:r>
          </w:p>
        </w:tc>
        <w:tc>
          <w:tcPr>
            <w:tcW w:w="1124" w:type="pct"/>
            <w:tcBorders>
              <w:top w:val="outset" w:color="auto" w:sz="4" w:space="0"/>
              <w:left w:val="single" w:color="auto" w:sz="4" w:space="0"/>
              <w:bottom w:val="outset" w:color="auto" w:sz="4" w:space="0"/>
              <w:right w:val="outset" w:color="auto" w:sz="4" w:space="0"/>
            </w:tcBorders>
            <w:shd w:val="clear" w:color="auto" w:fill="auto"/>
          </w:tcPr>
          <w:p>
            <w:pPr>
              <w:jc w:val="right"/>
              <w:rPr>
                <w:rFonts w:ascii="宋体" w:hAnsi="宋体"/>
              </w:rPr>
            </w:pPr>
          </w:p>
        </w:tc>
        <w:tc>
          <w:tcPr>
            <w:tcW w:w="1147" w:type="pct"/>
            <w:tcBorders>
              <w:top w:val="outset" w:color="auto" w:sz="4" w:space="0"/>
              <w:left w:val="outset" w:color="auto" w:sz="4" w:space="0"/>
              <w:bottom w:val="outset" w:color="auto" w:sz="4" w:space="0"/>
              <w:right w:val="outset" w:color="auto" w:sz="4" w:space="0"/>
            </w:tcBorders>
            <w:shd w:val="clear" w:color="auto" w:fill="auto"/>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减：现金等价物的期初余额</w:t>
            </w:r>
          </w:p>
        </w:tc>
        <w:tc>
          <w:tcPr>
            <w:tcW w:w="1124" w:type="pct"/>
            <w:tcBorders>
              <w:top w:val="outset" w:color="auto" w:sz="4" w:space="0"/>
              <w:left w:val="single" w:color="auto" w:sz="4" w:space="0"/>
              <w:bottom w:val="outset" w:color="auto" w:sz="4" w:space="0"/>
              <w:right w:val="outset" w:color="auto" w:sz="4" w:space="0"/>
            </w:tcBorders>
            <w:shd w:val="clear" w:color="auto" w:fill="auto"/>
          </w:tcPr>
          <w:p>
            <w:pPr>
              <w:jc w:val="right"/>
              <w:rPr>
                <w:rFonts w:ascii="宋体" w:hAnsi="宋体"/>
              </w:rPr>
            </w:pPr>
          </w:p>
        </w:tc>
        <w:tc>
          <w:tcPr>
            <w:tcW w:w="1147" w:type="pct"/>
            <w:tcBorders>
              <w:top w:val="outset" w:color="auto" w:sz="4" w:space="0"/>
              <w:left w:val="outset" w:color="auto" w:sz="4" w:space="0"/>
              <w:bottom w:val="outset" w:color="auto" w:sz="4" w:space="0"/>
              <w:right w:val="outset" w:color="auto" w:sz="4" w:space="0"/>
            </w:tcBorders>
            <w:shd w:val="clear" w:color="auto" w:fill="auto"/>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729" w:type="pct"/>
            <w:tcBorders>
              <w:top w:val="single" w:color="auto" w:sz="4" w:space="0"/>
              <w:left w:val="single" w:color="auto" w:sz="4" w:space="0"/>
              <w:bottom w:val="single" w:color="auto" w:sz="4" w:space="0"/>
              <w:right w:val="single" w:color="auto" w:sz="4" w:space="0"/>
            </w:tcBorders>
            <w:shd w:val="clear" w:color="auto" w:fill="auto"/>
          </w:tcPr>
          <w:p>
            <w:pPr>
              <w:pStyle w:val="531"/>
            </w:pPr>
            <w:r>
              <w:rPr>
                <w:rFonts w:hint="eastAsia"/>
              </w:rPr>
              <w:t>现金及现金等价物净增加额</w:t>
            </w:r>
          </w:p>
        </w:tc>
        <w:tc>
          <w:tcPr>
            <w:tcW w:w="1124" w:type="pct"/>
            <w:tcBorders>
              <w:top w:val="outset" w:color="auto" w:sz="4" w:space="0"/>
              <w:left w:val="single" w:color="auto" w:sz="4" w:space="0"/>
              <w:bottom w:val="outset" w:color="auto" w:sz="4" w:space="0"/>
              <w:right w:val="outset" w:color="auto" w:sz="4" w:space="0"/>
            </w:tcBorders>
            <w:shd w:val="clear" w:color="auto" w:fill="auto"/>
          </w:tcPr>
          <w:p>
            <w:pPr>
              <w:jc w:val="right"/>
              <w:rPr>
                <w:rFonts w:ascii="宋体" w:hAnsi="宋体"/>
              </w:rPr>
            </w:pPr>
            <w:r>
              <w:rPr>
                <w:rFonts w:ascii="宋体" w:hAnsi="宋体"/>
              </w:rPr>
              <w:t>-28,044,930</w:t>
            </w:r>
          </w:p>
        </w:tc>
        <w:tc>
          <w:tcPr>
            <w:tcW w:w="1147" w:type="pct"/>
            <w:tcBorders>
              <w:top w:val="outset" w:color="auto" w:sz="4" w:space="0"/>
              <w:left w:val="outset" w:color="auto" w:sz="4" w:space="0"/>
              <w:bottom w:val="outset" w:color="auto" w:sz="4" w:space="0"/>
              <w:right w:val="outset" w:color="auto" w:sz="4" w:space="0"/>
            </w:tcBorders>
            <w:shd w:val="clear" w:color="auto" w:fill="auto"/>
          </w:tcPr>
          <w:p>
            <w:pPr>
              <w:jc w:val="right"/>
              <w:rPr>
                <w:rFonts w:ascii="宋体" w:hAnsi="宋体"/>
              </w:rPr>
            </w:pPr>
            <w:r>
              <w:rPr>
                <w:rFonts w:ascii="宋体" w:hAnsi="宋体"/>
              </w:rPr>
              <w:t>-1,271,598</w:t>
            </w:r>
          </w:p>
        </w:tc>
      </w:tr>
    </w:tbl>
    <w:p>
      <w:pPr>
        <w:pStyle w:val="531"/>
      </w:pPr>
    </w:p>
    <w:p>
      <w:pPr>
        <w:pStyle w:val="505"/>
        <w:numPr>
          <w:ilvl w:val="0"/>
          <w:numId w:val="109"/>
        </w:numPr>
        <w:ind w:left="426" w:hanging="426"/>
      </w:pPr>
      <w:r>
        <w:rPr>
          <w:rFonts w:hint="eastAsia"/>
        </w:rPr>
        <w:t>本期</w:t>
      </w:r>
      <w:r>
        <w:rPr>
          <w:rFonts w:hint="eastAsia" w:ascii="宋体" w:hAnsi="宋体" w:cs="宋体"/>
          <w:kern w:val="0"/>
        </w:rPr>
        <w:t>支付的</w:t>
      </w:r>
      <w:r>
        <w:rPr>
          <w:rFonts w:hint="eastAsia"/>
        </w:rPr>
        <w:t>取得子公司的现金净额</w:t>
      </w:r>
    </w:p>
    <w:p>
      <w:pPr>
        <w:pStyle w:val="531"/>
      </w:pPr>
      <w:sdt>
        <w:sdtPr>
          <w:alias w:val="是否适用：本期支付的取得子公司的现金净额[双击切换]"/>
          <w:tag w:val="_GBC_e15d87c710624e119515f4697cba951d"/>
          <w:id w:val="993534904"/>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本期支付的取得子公司的现金净额"/>
          <w:tag w:val="_GBC_ffdd39ac3ba74021a8ea429c83fb3d31"/>
          <w:id w:val="-16256115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本期支付的取得子公司的现金净额"/>
          <w:tag w:val="_GBC_8939e31a9b3a42d6b242f3e24ffe177b"/>
          <w:id w:val="17750565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7"/>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2" w:type="pct"/>
            <w:shd w:val="clear" w:color="auto" w:fill="auto"/>
          </w:tcPr>
          <w:p>
            <w:pPr>
              <w:jc w:val="center"/>
              <w:rPr>
                <w:rFonts w:cs="Arial"/>
                <w:lang w:val="en-GB"/>
              </w:rPr>
            </w:pPr>
          </w:p>
        </w:tc>
        <w:sdt>
          <w:sdtPr>
            <w:tag w:val="_PLD_9261b40344794232960d7225b47eb28c"/>
            <w:id w:val="714848748"/>
          </w:sdtPr>
          <w:sdtContent>
            <w:tc>
              <w:tcPr>
                <w:tcW w:w="1548" w:type="pct"/>
                <w:shd w:val="clear" w:color="auto" w:fill="auto"/>
              </w:tcPr>
              <w:p>
                <w:pPr>
                  <w:jc w:val="center"/>
                  <w:rPr>
                    <w:rFonts w:cs="Arial"/>
                  </w:rPr>
                </w:pPr>
                <w:r>
                  <w:rPr>
                    <w:rFonts w:hint="eastAsia" w:cs="Arial"/>
                  </w:rPr>
                  <w:t>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2" w:type="pct"/>
            <w:shd w:val="clear" w:color="auto" w:fill="auto"/>
          </w:tcPr>
          <w:p>
            <w:pPr>
              <w:rPr>
                <w:rFonts w:cs="Arial"/>
              </w:rPr>
            </w:pPr>
            <w:r>
              <w:rPr>
                <w:rFonts w:hint="eastAsia" w:cs="Arial"/>
                <w:lang w:val="en-GB"/>
              </w:rPr>
              <w:t>本期发生的企业合并于本期支付的现金或现金等价物</w:t>
            </w:r>
          </w:p>
        </w:tc>
        <w:tc>
          <w:tcPr>
            <w:tcW w:w="1548" w:type="pct"/>
            <w:shd w:val="clear" w:color="auto" w:fill="auto"/>
          </w:tcPr>
          <w:p>
            <w:pPr>
              <w:jc w:val="right"/>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2" w:type="pct"/>
            <w:shd w:val="clear" w:color="auto" w:fill="auto"/>
          </w:tcPr>
          <w:p>
            <w:pPr>
              <w:rPr>
                <w:rFonts w:cs="Arial"/>
              </w:rPr>
            </w:pPr>
            <w:r>
              <w:rPr>
                <w:rFonts w:hint="eastAsia" w:cs="Arial"/>
                <w:lang w:val="en-GB"/>
              </w:rPr>
              <w:t>减：购买日子公司持有的现金及现金等价物</w:t>
            </w:r>
          </w:p>
        </w:tc>
        <w:tc>
          <w:tcPr>
            <w:tcW w:w="1548" w:type="pct"/>
            <w:shd w:val="clear" w:color="auto" w:fill="auto"/>
          </w:tcPr>
          <w:p>
            <w:pPr>
              <w:jc w:val="right"/>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2" w:type="pct"/>
            <w:shd w:val="clear" w:color="auto" w:fill="auto"/>
          </w:tcPr>
          <w:p>
            <w:pPr>
              <w:rPr>
                <w:rFonts w:cs="Arial"/>
                <w:lang w:val="en-GB"/>
              </w:rPr>
            </w:pPr>
            <w:r>
              <w:rPr>
                <w:rFonts w:hint="eastAsia" w:cs="Arial"/>
                <w:lang w:val="en-GB"/>
              </w:rPr>
              <w:t>加：以前期间发生的企业合并于本期支付的现金或现金等价物</w:t>
            </w:r>
          </w:p>
        </w:tc>
        <w:tc>
          <w:tcPr>
            <w:tcW w:w="1548" w:type="pct"/>
            <w:shd w:val="clear" w:color="auto" w:fill="auto"/>
          </w:tcPr>
          <w:p>
            <w:pPr>
              <w:jc w:val="right"/>
              <w:rPr>
                <w:rFonts w:ascii="宋体" w:hAnsi="宋体"/>
              </w:rPr>
            </w:pPr>
            <w:r>
              <w:rPr>
                <w:rFonts w:ascii="宋体" w:hAnsi="宋体"/>
              </w:rPr>
              <w:t>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2" w:type="pct"/>
            <w:shd w:val="clear" w:color="auto" w:fill="auto"/>
          </w:tcPr>
          <w:p>
            <w:pPr>
              <w:rPr>
                <w:rFonts w:cs="Arial"/>
                <w:lang w:val="en-GB"/>
              </w:rPr>
            </w:pPr>
            <w:r>
              <w:rPr>
                <w:rFonts w:hint="eastAsia" w:cs="Arial"/>
                <w:lang w:val="en-GB"/>
              </w:rPr>
              <w:t>其中：联合煤炭工业有限公司</w:t>
            </w:r>
          </w:p>
        </w:tc>
        <w:tc>
          <w:tcPr>
            <w:tcW w:w="1548" w:type="pct"/>
            <w:shd w:val="clear" w:color="auto" w:fill="auto"/>
          </w:tcPr>
          <w:p>
            <w:pPr>
              <w:jc w:val="right"/>
              <w:rPr>
                <w:rFonts w:ascii="宋体" w:hAnsi="宋体"/>
              </w:rPr>
            </w:pPr>
            <w:r>
              <w:rPr>
                <w:rFonts w:ascii="宋体" w:hAnsi="宋体"/>
              </w:rPr>
              <w:t>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2" w:type="pct"/>
            <w:shd w:val="clear" w:color="auto" w:fill="auto"/>
          </w:tcPr>
          <w:p>
            <w:pPr>
              <w:rPr>
                <w:rFonts w:cs="Arial"/>
              </w:rPr>
            </w:pPr>
            <w:r>
              <w:rPr>
                <w:rFonts w:hint="eastAsia"/>
              </w:rPr>
              <w:t>取得子公司支付的现金净额</w:t>
            </w:r>
          </w:p>
        </w:tc>
        <w:tc>
          <w:tcPr>
            <w:tcW w:w="1548" w:type="pct"/>
            <w:shd w:val="clear" w:color="auto" w:fill="auto"/>
          </w:tcPr>
          <w:p>
            <w:pPr>
              <w:jc w:val="right"/>
              <w:rPr>
                <w:rFonts w:ascii="宋体" w:hAnsi="宋体"/>
              </w:rPr>
            </w:pPr>
            <w:r>
              <w:rPr>
                <w:rFonts w:ascii="宋体" w:hAnsi="宋体"/>
              </w:rPr>
              <w:t>1,148</w:t>
            </w:r>
          </w:p>
        </w:tc>
      </w:tr>
    </w:tbl>
    <w:p>
      <w:pPr>
        <w:pStyle w:val="531"/>
      </w:pPr>
    </w:p>
    <w:p>
      <w:pPr>
        <w:pStyle w:val="505"/>
        <w:numPr>
          <w:ilvl w:val="0"/>
          <w:numId w:val="109"/>
        </w:numPr>
        <w:ind w:left="426" w:hanging="426"/>
      </w:pPr>
      <w:r>
        <w:rPr>
          <w:rFonts w:hint="eastAsia" w:ascii="宋体" w:hAnsi="宋体" w:cs="宋体"/>
          <w:kern w:val="0"/>
          <w:szCs w:val="24"/>
        </w:rPr>
        <w:t>本期收到的</w:t>
      </w:r>
      <w:r>
        <w:rPr>
          <w:rFonts w:hint="eastAsia"/>
        </w:rPr>
        <w:t>处置子公司的现金净额</w:t>
      </w:r>
    </w:p>
    <w:p>
      <w:pPr>
        <w:pStyle w:val="531"/>
      </w:pPr>
      <w:sdt>
        <w:sdtPr>
          <w:alias w:val="是否适用：本期收到的处置子公司的现金净额[双击切换]"/>
          <w:tag w:val="_GBC_34f955c7fd1f404b9df6ccd09e080d38"/>
          <w:id w:val="-124010121"/>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pStyle w:val="531"/>
      </w:pPr>
    </w:p>
    <w:p>
      <w:pPr>
        <w:pStyle w:val="531"/>
      </w:pPr>
    </w:p>
    <w:p>
      <w:pPr>
        <w:pStyle w:val="505"/>
        <w:numPr>
          <w:ilvl w:val="0"/>
          <w:numId w:val="109"/>
        </w:numPr>
        <w:ind w:left="426" w:hanging="426"/>
        <w:rPr>
          <w:szCs w:val="21"/>
        </w:rPr>
      </w:pPr>
      <w:r>
        <w:rPr>
          <w:rFonts w:hint="eastAsia" w:ascii="宋体" w:hAnsi="宋体"/>
          <w:szCs w:val="21"/>
        </w:rPr>
        <w:t>现金</w:t>
      </w:r>
      <w:r>
        <w:rPr>
          <w:rFonts w:hint="eastAsia"/>
          <w:szCs w:val="21"/>
        </w:rPr>
        <w:t>和现金</w:t>
      </w:r>
      <w:r>
        <w:rPr>
          <w:rFonts w:hint="eastAsia"/>
        </w:rPr>
        <w:t>等价物</w:t>
      </w:r>
      <w:r>
        <w:rPr>
          <w:rFonts w:hint="eastAsia"/>
          <w:szCs w:val="21"/>
        </w:rPr>
        <w:t>的</w:t>
      </w:r>
      <w:r>
        <w:rPr>
          <w:rFonts w:hint="eastAsia" w:ascii="宋体" w:hAnsi="宋体" w:eastAsia="宋体" w:cs="宋体"/>
          <w:kern w:val="0"/>
          <w:szCs w:val="24"/>
        </w:rPr>
        <w:t>构成</w:t>
      </w:r>
    </w:p>
    <w:sdt>
      <w:sdtPr>
        <w:alias w:val="是否适用：现金和现金等价物的构成[双击切换]"/>
        <w:tag w:val="_GBC_e0555d7e87b94189b1eb8131088a70ab"/>
        <w:id w:val="145661036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rPr>
      </w:pPr>
      <w:r>
        <w:rPr>
          <w:rFonts w:hint="eastAsia"/>
        </w:rPr>
        <w:t>单位：</w:t>
      </w:r>
      <w:sdt>
        <w:sdtPr>
          <w:rPr>
            <w:rFonts w:hint="eastAsia"/>
          </w:rPr>
          <w:alias w:val="单位：财务附注：现金和现金等价物的构成"/>
          <w:tag w:val="_GBC_1e304caf56fc443fa3c4a1d772d34293"/>
          <w:id w:val="96725402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现金和现金等价物的构成"/>
          <w:tag w:val="_GBC_d3515d75fc184b1e9585a67f7cb04faa"/>
          <w:id w:val="-12231283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3"/>
        <w:gridCol w:w="2921"/>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7ae145dd51fc48d4a76bb239061b0a6e"/>
            <w:id w:val="-1199160168"/>
          </w:sdtPr>
          <w:sdtContent>
            <w:tc>
              <w:tcPr>
                <w:tcW w:w="1875" w:type="pct"/>
                <w:tcBorders>
                  <w:bottom w:val="single" w:color="auto" w:sz="4" w:space="0"/>
                </w:tcBorders>
                <w:shd w:val="clear" w:color="auto" w:fill="auto"/>
                <w:vAlign w:val="center"/>
              </w:tcPr>
              <w:p>
                <w:pPr>
                  <w:ind w:left="-107" w:leftChars="-51"/>
                  <w:jc w:val="center"/>
                </w:pPr>
                <w:r>
                  <w:rPr>
                    <w:rFonts w:hint="eastAsia"/>
                  </w:rPr>
                  <w:t>项目</w:t>
                </w:r>
              </w:p>
            </w:tc>
          </w:sdtContent>
        </w:sdt>
        <w:sdt>
          <w:sdtPr>
            <w:tag w:val="_PLD_426ac24378064f8ab324e59db3ac5d98"/>
            <w:id w:val="-636875945"/>
          </w:sdtPr>
          <w:sdtContent>
            <w:tc>
              <w:tcPr>
                <w:tcW w:w="1614" w:type="pct"/>
                <w:shd w:val="clear" w:color="auto" w:fill="auto"/>
                <w:vAlign w:val="center"/>
              </w:tcPr>
              <w:p>
                <w:pPr>
                  <w:jc w:val="center"/>
                </w:pPr>
                <w:r>
                  <w:rPr>
                    <w:rFonts w:hint="eastAsia"/>
                  </w:rPr>
                  <w:t>期末余额</w:t>
                </w:r>
              </w:p>
            </w:tc>
          </w:sdtContent>
        </w:sdt>
        <w:sdt>
          <w:sdtPr>
            <w:tag w:val="_PLD_d8d41db246514c0dbfacfe0f48eeceac"/>
            <w:id w:val="1598206656"/>
          </w:sdtPr>
          <w:sdtContent>
            <w:tc>
              <w:tcPr>
                <w:tcW w:w="1511" w:type="pct"/>
                <w:shd w:val="clear" w:color="auto" w:fill="auto"/>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5" w:type="pct"/>
            <w:shd w:val="clear" w:color="auto" w:fill="auto"/>
            <w:vAlign w:val="center"/>
          </w:tcPr>
          <w:p>
            <w:pPr>
              <w:pStyle w:val="501"/>
            </w:pPr>
            <w:r>
              <w:rPr>
                <w:rFonts w:hint="eastAsia"/>
              </w:rPr>
              <w:t>一、现金</w:t>
            </w:r>
          </w:p>
        </w:tc>
        <w:tc>
          <w:tcPr>
            <w:tcW w:w="1614" w:type="pct"/>
            <w:shd w:val="clear" w:color="auto" w:fill="auto"/>
            <w:vAlign w:val="center"/>
          </w:tcPr>
          <w:p>
            <w:pPr>
              <w:jc w:val="right"/>
              <w:rPr>
                <w:rFonts w:ascii="宋体" w:hAnsi="宋体"/>
              </w:rPr>
            </w:pPr>
            <w:r>
              <w:rPr>
                <w:rFonts w:ascii="宋体" w:hAnsi="宋体"/>
              </w:rPr>
              <w:t>30,268,200</w:t>
            </w:r>
          </w:p>
        </w:tc>
        <w:tc>
          <w:tcPr>
            <w:tcW w:w="1511" w:type="pct"/>
            <w:shd w:val="clear" w:color="auto" w:fill="auto"/>
            <w:vAlign w:val="center"/>
          </w:tcPr>
          <w:p>
            <w:pPr>
              <w:jc w:val="right"/>
              <w:rPr>
                <w:rFonts w:ascii="宋体" w:hAnsi="宋体"/>
              </w:rPr>
            </w:pPr>
            <w:r>
              <w:rPr>
                <w:rFonts w:ascii="宋体" w:hAnsi="宋体"/>
              </w:rPr>
              <w:t>58,313,130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5" w:type="pct"/>
            <w:shd w:val="clear" w:color="auto" w:fill="auto"/>
            <w:vAlign w:val="center"/>
          </w:tcPr>
          <w:p>
            <w:pPr>
              <w:pStyle w:val="501"/>
            </w:pPr>
            <w:r>
              <w:rPr>
                <w:rFonts w:hint="eastAsia"/>
              </w:rPr>
              <w:t>其中：库存现金</w:t>
            </w:r>
          </w:p>
        </w:tc>
        <w:tc>
          <w:tcPr>
            <w:tcW w:w="1614" w:type="pct"/>
            <w:shd w:val="clear" w:color="auto" w:fill="auto"/>
            <w:vAlign w:val="center"/>
          </w:tcPr>
          <w:p>
            <w:pPr>
              <w:jc w:val="right"/>
              <w:rPr>
                <w:rFonts w:ascii="宋体" w:hAnsi="宋体"/>
              </w:rPr>
            </w:pPr>
            <w:r>
              <w:rPr>
                <w:rFonts w:ascii="宋体" w:hAnsi="宋体"/>
              </w:rPr>
              <w:t>139</w:t>
            </w:r>
          </w:p>
        </w:tc>
        <w:tc>
          <w:tcPr>
            <w:tcW w:w="1511" w:type="pct"/>
            <w:shd w:val="clear" w:color="auto" w:fill="auto"/>
            <w:vAlign w:val="center"/>
          </w:tcPr>
          <w:p>
            <w:pPr>
              <w:jc w:val="right"/>
              <w:rPr>
                <w:rFonts w:ascii="宋体" w:hAnsi="宋体"/>
              </w:rPr>
            </w:pPr>
            <w:r>
              <w:rPr>
                <w:rFonts w:ascii="宋体" w:hAnsi="宋体"/>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5" w:type="pct"/>
            <w:shd w:val="clear" w:color="auto" w:fill="auto"/>
            <w:vAlign w:val="center"/>
          </w:tcPr>
          <w:p>
            <w:pPr>
              <w:pStyle w:val="501"/>
            </w:pPr>
            <w:r>
              <w:rPr>
                <w:rFonts w:hint="eastAsia"/>
              </w:rPr>
              <w:t>　　可随时用于支付的银行存款</w:t>
            </w:r>
          </w:p>
        </w:tc>
        <w:tc>
          <w:tcPr>
            <w:tcW w:w="1614" w:type="pct"/>
            <w:shd w:val="clear" w:color="auto" w:fill="auto"/>
            <w:vAlign w:val="center"/>
          </w:tcPr>
          <w:p>
            <w:pPr>
              <w:jc w:val="right"/>
              <w:rPr>
                <w:rFonts w:ascii="宋体" w:hAnsi="宋体"/>
              </w:rPr>
            </w:pPr>
            <w:r>
              <w:rPr>
                <w:rFonts w:ascii="宋体" w:hAnsi="宋体"/>
              </w:rPr>
              <w:t>30,268,061</w:t>
            </w:r>
          </w:p>
        </w:tc>
        <w:tc>
          <w:tcPr>
            <w:tcW w:w="1511" w:type="pct"/>
            <w:shd w:val="clear" w:color="auto" w:fill="auto"/>
            <w:vAlign w:val="center"/>
          </w:tcPr>
          <w:p>
            <w:pPr>
              <w:jc w:val="right"/>
              <w:rPr>
                <w:rFonts w:ascii="宋体" w:hAnsi="宋体"/>
              </w:rPr>
            </w:pPr>
            <w:r>
              <w:rPr>
                <w:rFonts w:ascii="宋体" w:hAnsi="宋体"/>
              </w:rPr>
              <w:t>58,312,841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5" w:type="pct"/>
            <w:shd w:val="clear" w:color="auto" w:fill="auto"/>
            <w:vAlign w:val="center"/>
          </w:tcPr>
          <w:p>
            <w:pPr>
              <w:pStyle w:val="501"/>
            </w:pPr>
            <w:r>
              <w:rPr>
                <w:rFonts w:hint="eastAsia"/>
              </w:rPr>
              <w:t>　　可随时用于支付的其他货币资金</w:t>
            </w:r>
          </w:p>
        </w:tc>
        <w:tc>
          <w:tcPr>
            <w:tcW w:w="1614" w:type="pct"/>
            <w:shd w:val="clear" w:color="auto" w:fill="auto"/>
            <w:vAlign w:val="center"/>
          </w:tcPr>
          <w:p>
            <w:pPr>
              <w:jc w:val="right"/>
              <w:rPr>
                <w:rFonts w:ascii="宋体" w:hAnsi="宋体"/>
              </w:rPr>
            </w:pPr>
          </w:p>
        </w:tc>
        <w:tc>
          <w:tcPr>
            <w:tcW w:w="1511" w:type="pct"/>
            <w:shd w:val="clear" w:color="auto" w:fill="auto"/>
            <w:vAlign w:val="center"/>
          </w:tcPr>
          <w:p>
            <w:pPr>
              <w:jc w:val="right"/>
              <w:rPr>
                <w:rFonts w:ascii="宋体" w:hAnsi="宋体"/>
              </w:rPr>
            </w:pPr>
            <w:r>
              <w:rPr>
                <w:rFonts w:ascii="宋体" w:hAnsi="宋体"/>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5" w:type="pct"/>
            <w:shd w:val="clear" w:color="auto" w:fill="auto"/>
            <w:vAlign w:val="center"/>
          </w:tcPr>
          <w:p>
            <w:pPr>
              <w:pStyle w:val="501"/>
            </w:pPr>
            <w:r>
              <w:rPr>
                <w:rFonts w:hint="eastAsia"/>
              </w:rPr>
              <w:t>二、现金等价物</w:t>
            </w:r>
          </w:p>
        </w:tc>
        <w:tc>
          <w:tcPr>
            <w:tcW w:w="1614" w:type="pct"/>
            <w:shd w:val="clear" w:color="auto" w:fill="auto"/>
            <w:vAlign w:val="center"/>
          </w:tcPr>
          <w:p>
            <w:pPr>
              <w:jc w:val="right"/>
              <w:rPr>
                <w:rFonts w:ascii="宋体" w:hAnsi="宋体"/>
              </w:rPr>
            </w:pPr>
          </w:p>
        </w:tc>
        <w:tc>
          <w:tcPr>
            <w:tcW w:w="1511" w:type="pct"/>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5" w:type="pct"/>
            <w:shd w:val="clear" w:color="auto" w:fill="auto"/>
            <w:vAlign w:val="center"/>
          </w:tcPr>
          <w:p>
            <w:pPr>
              <w:pStyle w:val="501"/>
            </w:pPr>
            <w:r>
              <w:rPr>
                <w:rFonts w:hint="eastAsia"/>
              </w:rPr>
              <w:t>三、期末现金及现金等价物余额</w:t>
            </w:r>
          </w:p>
        </w:tc>
        <w:tc>
          <w:tcPr>
            <w:tcW w:w="1614" w:type="pct"/>
            <w:shd w:val="clear" w:color="auto" w:fill="auto"/>
            <w:vAlign w:val="center"/>
          </w:tcPr>
          <w:p>
            <w:pPr>
              <w:jc w:val="right"/>
              <w:rPr>
                <w:rFonts w:ascii="宋体" w:hAnsi="宋体"/>
              </w:rPr>
            </w:pPr>
            <w:r>
              <w:rPr>
                <w:rFonts w:ascii="宋体" w:hAnsi="宋体"/>
              </w:rPr>
              <w:t>30,268,200</w:t>
            </w:r>
          </w:p>
        </w:tc>
        <w:tc>
          <w:tcPr>
            <w:tcW w:w="1511" w:type="pct"/>
            <w:shd w:val="clear" w:color="auto" w:fill="auto"/>
            <w:vAlign w:val="center"/>
          </w:tcPr>
          <w:p>
            <w:pPr>
              <w:jc w:val="right"/>
              <w:rPr>
                <w:rFonts w:ascii="宋体" w:hAnsi="宋体"/>
              </w:rPr>
            </w:pPr>
            <w:r>
              <w:rPr>
                <w:rFonts w:ascii="宋体" w:hAnsi="宋体"/>
              </w:rPr>
              <w:t>58,313,130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75" w:type="pct"/>
            <w:shd w:val="clear" w:color="auto" w:fill="auto"/>
            <w:vAlign w:val="center"/>
          </w:tcPr>
          <w:p>
            <w:pPr>
              <w:pStyle w:val="501"/>
            </w:pPr>
            <w:r>
              <w:rPr>
                <w:rFonts w:hint="eastAsia"/>
              </w:rPr>
              <w:t>其中：母公司或集团内子公司使用受限制的现金和现金等价物</w:t>
            </w:r>
          </w:p>
        </w:tc>
        <w:tc>
          <w:tcPr>
            <w:tcW w:w="1614" w:type="pct"/>
            <w:shd w:val="clear" w:color="auto" w:fill="auto"/>
          </w:tcPr>
          <w:p>
            <w:pPr>
              <w:jc w:val="right"/>
            </w:pPr>
          </w:p>
        </w:tc>
        <w:tc>
          <w:tcPr>
            <w:tcW w:w="1511" w:type="pct"/>
            <w:shd w:val="clear" w:color="auto" w:fill="auto"/>
          </w:tcPr>
          <w:p>
            <w:pPr>
              <w:jc w:val="right"/>
            </w:pPr>
          </w:p>
        </w:tc>
      </w:tr>
    </w:tbl>
    <w:p>
      <w:pPr>
        <w:spacing w:before="60" w:after="60"/>
      </w:pPr>
    </w:p>
    <w:p>
      <w:pPr>
        <w:pStyle w:val="505"/>
        <w:numPr>
          <w:ilvl w:val="0"/>
          <w:numId w:val="109"/>
        </w:numPr>
        <w:ind w:left="426" w:hanging="426"/>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526724914"/>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5"/>
        <w:numPr>
          <w:ilvl w:val="0"/>
          <w:numId w:val="109"/>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87624158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rPr>
      </w:pPr>
      <w:r>
        <w:rPr>
          <w:rFonts w:hint="eastAsia"/>
        </w:rPr>
        <w:t>单位：</w:t>
      </w:r>
      <w:sdt>
        <w:sdtPr>
          <w:rPr>
            <w:rFonts w:hint="eastAsia"/>
          </w:rPr>
          <w:alias w:val="单位：不属于现金及现金等价物的货币资金"/>
          <w:tag w:val="_GBC_311192fb7d0840a69edd7ce6fa2157eb"/>
          <w:id w:val="71832042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不属于现金及现金等价物的货币资金"/>
          <w:tag w:val="_GBC_cde2361bbc3b437fb26c333fda8ecd42"/>
          <w:id w:val="15795632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1817"/>
        <w:gridCol w:w="2069"/>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sdt>
          <w:sdtPr>
            <w:rPr>
              <w:rFonts w:hint="eastAsia"/>
            </w:rPr>
            <w:tag w:val="_PLD_d9c8cb09365d46d38034e5ade953a094"/>
            <w:id w:val="-756220498"/>
          </w:sdtPr>
          <w:sdtEndPr>
            <w:rPr>
              <w:rFonts w:hint="eastAsia"/>
            </w:rPr>
          </w:sdtEndPr>
          <w:sdtContent>
            <w:tc>
              <w:tcPr>
                <w:tcW w:w="1282" w:type="pct"/>
                <w:tcBorders>
                  <w:bottom w:val="single" w:color="auto" w:sz="4" w:space="0"/>
                </w:tcBorders>
                <w:shd w:val="clear" w:color="auto" w:fill="auto"/>
                <w:vAlign w:val="center"/>
              </w:tcPr>
              <w:p>
                <w:pPr>
                  <w:ind w:left="-107" w:leftChars="-51"/>
                  <w:jc w:val="center"/>
                </w:pPr>
                <w:r>
                  <w:rPr>
                    <w:rFonts w:hint="eastAsia"/>
                  </w:rPr>
                  <w:t>项目</w:t>
                </w:r>
              </w:p>
            </w:tc>
          </w:sdtContent>
        </w:sdt>
        <w:sdt>
          <w:sdtPr>
            <w:rPr>
              <w:rFonts w:hint="eastAsia"/>
            </w:rPr>
            <w:tag w:val="_PLD_2af4f290fe0b417d80b3b05f3fc1523f"/>
            <w:id w:val="1949034120"/>
          </w:sdtPr>
          <w:sdtEndPr>
            <w:rPr>
              <w:rFonts w:hint="eastAsia"/>
            </w:rPr>
          </w:sdtEndPr>
          <w:sdtContent>
            <w:tc>
              <w:tcPr>
                <w:tcW w:w="1004" w:type="pct"/>
                <w:vAlign w:val="center"/>
              </w:tcPr>
              <w:p>
                <w:pPr>
                  <w:jc w:val="center"/>
                </w:pPr>
                <w:r>
                  <w:rPr>
                    <w:rFonts w:hint="eastAsia"/>
                  </w:rPr>
                  <w:t>本期金额</w:t>
                </w:r>
              </w:p>
            </w:tc>
          </w:sdtContent>
        </w:sdt>
        <w:sdt>
          <w:sdtPr>
            <w:rPr>
              <w:rFonts w:hint="eastAsia"/>
            </w:rPr>
            <w:tag w:val="_PLD_c91b65edf38b4465a14c3beb5897a106"/>
            <w:id w:val="1572087347"/>
          </w:sdtPr>
          <w:sdtEndPr>
            <w:rPr>
              <w:rFonts w:hint="eastAsia"/>
            </w:rPr>
          </w:sdtEndPr>
          <w:sdtContent>
            <w:tc>
              <w:tcPr>
                <w:tcW w:w="1143" w:type="pct"/>
                <w:shd w:val="clear" w:color="auto" w:fill="auto"/>
                <w:vAlign w:val="center"/>
              </w:tcPr>
              <w:p>
                <w:pPr>
                  <w:jc w:val="center"/>
                </w:pPr>
                <w:r>
                  <w:rPr>
                    <w:rFonts w:hint="eastAsia"/>
                  </w:rPr>
                  <w:t>上期金额</w:t>
                </w:r>
              </w:p>
            </w:tc>
          </w:sdtContent>
        </w:sdt>
        <w:sdt>
          <w:sdtPr>
            <w:rPr>
              <w:rFonts w:hint="eastAsia"/>
            </w:rPr>
            <w:tag w:val="_PLD_69b726c74b0048fda47c0fa56f9e1a5e"/>
            <w:id w:val="-1303766459"/>
          </w:sdtPr>
          <w:sdtEndPr>
            <w:rPr>
              <w:rFonts w:hint="eastAsia"/>
            </w:rPr>
          </w:sdtEndPr>
          <w:sdtContent>
            <w:tc>
              <w:tcPr>
                <w:tcW w:w="1571" w:type="pct"/>
                <w:shd w:val="clear" w:color="auto" w:fill="auto"/>
                <w:vAlign w:val="center"/>
              </w:tcPr>
              <w:p>
                <w:pPr>
                  <w:jc w:val="center"/>
                </w:pPr>
                <w:r>
                  <w:rPr>
                    <w:rFonts w:hint="eastAsia"/>
                  </w:rPr>
                  <w:t>理由</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282" w:type="pct"/>
            <w:shd w:val="clear" w:color="auto" w:fill="auto"/>
            <w:vAlign w:val="center"/>
          </w:tcPr>
          <w:p>
            <w:pPr>
              <w:pStyle w:val="501"/>
            </w:pPr>
            <w:r>
              <w:rPr>
                <w:rFonts w:hint="eastAsia"/>
              </w:rPr>
              <w:t>票据及信用证保证金</w:t>
            </w:r>
          </w:p>
        </w:tc>
        <w:tc>
          <w:tcPr>
            <w:tcW w:w="1004" w:type="pct"/>
            <w:vAlign w:val="center"/>
          </w:tcPr>
          <w:p>
            <w:pPr>
              <w:jc w:val="right"/>
              <w:rPr>
                <w:rFonts w:ascii="宋体" w:hAnsi="宋体"/>
              </w:rPr>
            </w:pPr>
            <w:r>
              <w:rPr>
                <w:rFonts w:hint="eastAsia" w:ascii="宋体" w:hAnsi="宋体"/>
              </w:rPr>
              <w:t>2,875,788</w:t>
            </w:r>
          </w:p>
        </w:tc>
        <w:tc>
          <w:tcPr>
            <w:tcW w:w="1143" w:type="pct"/>
            <w:shd w:val="clear" w:color="auto" w:fill="auto"/>
            <w:vAlign w:val="center"/>
          </w:tcPr>
          <w:p>
            <w:pPr>
              <w:jc w:val="right"/>
              <w:rPr>
                <w:rFonts w:ascii="宋体" w:hAnsi="宋体"/>
              </w:rPr>
            </w:pPr>
            <w:r>
              <w:rPr>
                <w:rFonts w:hint="eastAsia" w:ascii="宋体" w:hAnsi="宋体"/>
              </w:rPr>
              <w:t>2,857,243</w:t>
            </w:r>
          </w:p>
        </w:tc>
        <w:tc>
          <w:tcPr>
            <w:tcW w:w="1571" w:type="pct"/>
            <w:shd w:val="clear" w:color="auto" w:fill="auto"/>
            <w:vAlign w:val="center"/>
          </w:tcPr>
          <w:p>
            <w:pPr>
              <w:pStyle w:val="501"/>
            </w:pPr>
            <w:r>
              <w:rPr>
                <w:rFonts w:hint="eastAsia"/>
              </w:rPr>
              <w:t>票据及信用证保证金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282" w:type="pct"/>
            <w:shd w:val="clear" w:color="auto" w:fill="auto"/>
            <w:vAlign w:val="center"/>
          </w:tcPr>
          <w:p>
            <w:pPr>
              <w:pStyle w:val="501"/>
            </w:pPr>
            <w:r>
              <w:rPr>
                <w:rFonts w:hint="eastAsia"/>
              </w:rPr>
              <w:t>环境恢复治理基金</w:t>
            </w:r>
          </w:p>
        </w:tc>
        <w:tc>
          <w:tcPr>
            <w:tcW w:w="1004" w:type="pct"/>
            <w:vAlign w:val="center"/>
          </w:tcPr>
          <w:p>
            <w:pPr>
              <w:jc w:val="right"/>
              <w:rPr>
                <w:rFonts w:ascii="宋体" w:hAnsi="宋体"/>
              </w:rPr>
            </w:pPr>
            <w:r>
              <w:rPr>
                <w:rFonts w:hint="eastAsia" w:ascii="宋体" w:hAnsi="宋体"/>
              </w:rPr>
              <w:t>2,736,368</w:t>
            </w:r>
          </w:p>
        </w:tc>
        <w:tc>
          <w:tcPr>
            <w:tcW w:w="1143" w:type="pct"/>
            <w:shd w:val="clear" w:color="auto" w:fill="auto"/>
            <w:vAlign w:val="center"/>
          </w:tcPr>
          <w:p>
            <w:pPr>
              <w:jc w:val="right"/>
              <w:rPr>
                <w:rFonts w:ascii="宋体" w:hAnsi="宋体"/>
              </w:rPr>
            </w:pPr>
            <w:r>
              <w:rPr>
                <w:rFonts w:hint="eastAsia" w:ascii="宋体" w:hAnsi="宋体"/>
              </w:rPr>
              <w:t>2,165,121</w:t>
            </w:r>
          </w:p>
        </w:tc>
        <w:tc>
          <w:tcPr>
            <w:tcW w:w="1571" w:type="pct"/>
            <w:shd w:val="clear" w:color="auto" w:fill="auto"/>
            <w:vAlign w:val="center"/>
          </w:tcPr>
          <w:p>
            <w:pPr>
              <w:pStyle w:val="501"/>
            </w:pPr>
            <w:r>
              <w:rPr>
                <w:rFonts w:hint="eastAsia"/>
              </w:rPr>
              <w:t>环境恢复治理基金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282" w:type="pct"/>
            <w:shd w:val="clear" w:color="auto" w:fill="auto"/>
            <w:vAlign w:val="center"/>
          </w:tcPr>
          <w:p>
            <w:pPr>
              <w:pStyle w:val="501"/>
            </w:pPr>
            <w:r>
              <w:rPr>
                <w:rFonts w:hint="eastAsia"/>
              </w:rPr>
              <w:t>法定存款保证金</w:t>
            </w:r>
          </w:p>
        </w:tc>
        <w:tc>
          <w:tcPr>
            <w:tcW w:w="1004" w:type="pct"/>
            <w:vAlign w:val="center"/>
          </w:tcPr>
          <w:p>
            <w:pPr>
              <w:jc w:val="right"/>
              <w:rPr>
                <w:rFonts w:ascii="宋体" w:hAnsi="宋体"/>
              </w:rPr>
            </w:pPr>
            <w:r>
              <w:rPr>
                <w:rFonts w:hint="eastAsia" w:ascii="宋体" w:hAnsi="宋体"/>
              </w:rPr>
              <w:t>1,524,257</w:t>
            </w:r>
          </w:p>
        </w:tc>
        <w:tc>
          <w:tcPr>
            <w:tcW w:w="1143" w:type="pct"/>
            <w:shd w:val="clear" w:color="auto" w:fill="auto"/>
            <w:vAlign w:val="center"/>
          </w:tcPr>
          <w:p>
            <w:pPr>
              <w:jc w:val="right"/>
              <w:rPr>
                <w:rFonts w:ascii="宋体" w:hAnsi="宋体"/>
              </w:rPr>
            </w:pPr>
            <w:r>
              <w:rPr>
                <w:rFonts w:hint="eastAsia" w:ascii="宋体" w:hAnsi="宋体"/>
              </w:rPr>
              <w:t>2,524,619</w:t>
            </w:r>
          </w:p>
        </w:tc>
        <w:tc>
          <w:tcPr>
            <w:tcW w:w="1571" w:type="pct"/>
            <w:shd w:val="clear" w:color="auto" w:fill="auto"/>
            <w:vAlign w:val="center"/>
          </w:tcPr>
          <w:p>
            <w:pPr>
              <w:pStyle w:val="501"/>
            </w:pPr>
            <w:r>
              <w:rPr>
                <w:rFonts w:hint="eastAsia"/>
              </w:rPr>
              <w:t>法定存款保证金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282" w:type="pct"/>
            <w:shd w:val="clear" w:color="auto" w:fill="auto"/>
            <w:vAlign w:val="center"/>
          </w:tcPr>
          <w:p>
            <w:pPr>
              <w:pStyle w:val="501"/>
            </w:pPr>
            <w:r>
              <w:rPr>
                <w:rFonts w:hint="eastAsia"/>
              </w:rPr>
              <w:t>冻结资金</w:t>
            </w:r>
          </w:p>
        </w:tc>
        <w:tc>
          <w:tcPr>
            <w:tcW w:w="1004" w:type="pct"/>
            <w:vAlign w:val="center"/>
          </w:tcPr>
          <w:p>
            <w:pPr>
              <w:jc w:val="right"/>
              <w:rPr>
                <w:rFonts w:ascii="宋体" w:hAnsi="宋体"/>
              </w:rPr>
            </w:pPr>
            <w:r>
              <w:rPr>
                <w:rFonts w:hint="eastAsia" w:ascii="宋体" w:hAnsi="宋体"/>
              </w:rPr>
              <w:t>56,872</w:t>
            </w:r>
          </w:p>
        </w:tc>
        <w:tc>
          <w:tcPr>
            <w:tcW w:w="1143" w:type="pct"/>
            <w:shd w:val="clear" w:color="auto" w:fill="auto"/>
            <w:vAlign w:val="center"/>
          </w:tcPr>
          <w:p>
            <w:pPr>
              <w:jc w:val="right"/>
              <w:rPr>
                <w:rFonts w:ascii="宋体" w:hAnsi="宋体"/>
              </w:rPr>
            </w:pPr>
            <w:r>
              <w:rPr>
                <w:rFonts w:hint="eastAsia" w:ascii="宋体" w:hAnsi="宋体"/>
              </w:rPr>
              <w:t>243,679</w:t>
            </w:r>
          </w:p>
        </w:tc>
        <w:tc>
          <w:tcPr>
            <w:tcW w:w="1571" w:type="pct"/>
            <w:shd w:val="clear" w:color="auto" w:fill="auto"/>
            <w:vAlign w:val="center"/>
          </w:tcPr>
          <w:p>
            <w:pPr>
              <w:pStyle w:val="501"/>
            </w:pPr>
            <w:r>
              <w:rPr>
                <w:rFonts w:hint="eastAsia"/>
              </w:rPr>
              <w:t>冻结资金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282" w:type="pct"/>
            <w:shd w:val="clear" w:color="auto" w:fill="auto"/>
            <w:vAlign w:val="center"/>
          </w:tcPr>
          <w:p>
            <w:pPr>
              <w:pStyle w:val="501"/>
            </w:pPr>
            <w:r>
              <w:rPr>
                <w:rFonts w:hint="eastAsia"/>
              </w:rPr>
              <w:t>质押的定期存款</w:t>
            </w:r>
          </w:p>
        </w:tc>
        <w:tc>
          <w:tcPr>
            <w:tcW w:w="1004" w:type="pct"/>
            <w:vAlign w:val="center"/>
          </w:tcPr>
          <w:p>
            <w:pPr>
              <w:jc w:val="right"/>
              <w:rPr>
                <w:rFonts w:ascii="宋体" w:hAnsi="宋体"/>
              </w:rPr>
            </w:pPr>
            <w:r>
              <w:rPr>
                <w:rFonts w:hint="eastAsia" w:ascii="宋体" w:hAnsi="宋体"/>
              </w:rPr>
              <w:t>56,600</w:t>
            </w:r>
          </w:p>
        </w:tc>
        <w:tc>
          <w:tcPr>
            <w:tcW w:w="1143" w:type="pct"/>
            <w:shd w:val="clear" w:color="auto" w:fill="auto"/>
            <w:vAlign w:val="center"/>
          </w:tcPr>
          <w:p>
            <w:pPr>
              <w:jc w:val="right"/>
              <w:rPr>
                <w:rFonts w:ascii="宋体" w:hAnsi="宋体"/>
              </w:rPr>
            </w:pPr>
            <w:r>
              <w:rPr>
                <w:rFonts w:hint="eastAsia" w:ascii="宋体" w:hAnsi="宋体"/>
              </w:rPr>
              <w:t>472,134</w:t>
            </w:r>
          </w:p>
        </w:tc>
        <w:tc>
          <w:tcPr>
            <w:tcW w:w="1571" w:type="pct"/>
            <w:shd w:val="clear" w:color="auto" w:fill="auto"/>
            <w:vAlign w:val="center"/>
          </w:tcPr>
          <w:p>
            <w:pPr>
              <w:pStyle w:val="501"/>
            </w:pPr>
            <w:r>
              <w:rPr>
                <w:rFonts w:hint="eastAsia"/>
              </w:rPr>
              <w:t>质押的定期存款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282" w:type="pct"/>
            <w:shd w:val="clear" w:color="auto" w:fill="auto"/>
            <w:vAlign w:val="center"/>
          </w:tcPr>
          <w:p>
            <w:pPr>
              <w:pStyle w:val="501"/>
            </w:pPr>
            <w:r>
              <w:rPr>
                <w:rFonts w:hint="eastAsia"/>
              </w:rPr>
              <w:t>贷款保证金</w:t>
            </w:r>
          </w:p>
        </w:tc>
        <w:tc>
          <w:tcPr>
            <w:tcW w:w="1004" w:type="pct"/>
            <w:vAlign w:val="center"/>
          </w:tcPr>
          <w:p>
            <w:pPr>
              <w:jc w:val="right"/>
              <w:rPr>
                <w:rFonts w:ascii="宋体" w:hAnsi="宋体"/>
              </w:rPr>
            </w:pPr>
          </w:p>
        </w:tc>
        <w:tc>
          <w:tcPr>
            <w:tcW w:w="1143" w:type="pct"/>
            <w:shd w:val="clear" w:color="auto" w:fill="auto"/>
            <w:vAlign w:val="center"/>
          </w:tcPr>
          <w:p>
            <w:pPr>
              <w:jc w:val="right"/>
              <w:rPr>
                <w:rFonts w:ascii="宋体" w:hAnsi="宋体"/>
              </w:rPr>
            </w:pPr>
            <w:r>
              <w:rPr>
                <w:rFonts w:hint="eastAsia" w:ascii="宋体" w:hAnsi="宋体"/>
              </w:rPr>
              <w:t>27</w:t>
            </w:r>
          </w:p>
        </w:tc>
        <w:tc>
          <w:tcPr>
            <w:tcW w:w="1571" w:type="pct"/>
            <w:shd w:val="clear" w:color="auto" w:fill="auto"/>
            <w:vAlign w:val="center"/>
          </w:tcPr>
          <w:p>
            <w:pPr>
              <w:pStyle w:val="501"/>
            </w:pPr>
            <w:r>
              <w:rPr>
                <w:rFonts w:hint="eastAsia"/>
              </w:rPr>
              <w:t>贷款保证金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282" w:type="pct"/>
            <w:shd w:val="clear" w:color="auto" w:fill="auto"/>
            <w:vAlign w:val="center"/>
          </w:tcPr>
          <w:p>
            <w:pPr>
              <w:pStyle w:val="501"/>
            </w:pPr>
            <w:r>
              <w:rPr>
                <w:rFonts w:hint="eastAsia"/>
              </w:rPr>
              <w:t>其他保证金</w:t>
            </w:r>
          </w:p>
        </w:tc>
        <w:tc>
          <w:tcPr>
            <w:tcW w:w="1004" w:type="pct"/>
            <w:vAlign w:val="center"/>
          </w:tcPr>
          <w:p>
            <w:pPr>
              <w:jc w:val="right"/>
              <w:rPr>
                <w:rFonts w:ascii="宋体" w:hAnsi="宋体"/>
              </w:rPr>
            </w:pPr>
            <w:r>
              <w:rPr>
                <w:rFonts w:hint="eastAsia" w:ascii="宋体" w:hAnsi="宋体"/>
              </w:rPr>
              <w:t>79,051</w:t>
            </w:r>
          </w:p>
        </w:tc>
        <w:tc>
          <w:tcPr>
            <w:tcW w:w="1143" w:type="pct"/>
            <w:shd w:val="clear" w:color="auto" w:fill="auto"/>
            <w:vAlign w:val="center"/>
          </w:tcPr>
          <w:p>
            <w:pPr>
              <w:jc w:val="right"/>
              <w:rPr>
                <w:rFonts w:ascii="宋体" w:hAnsi="宋体"/>
              </w:rPr>
            </w:pPr>
            <w:r>
              <w:rPr>
                <w:rFonts w:hint="eastAsia" w:ascii="宋体" w:hAnsi="宋体"/>
              </w:rPr>
              <w:t>17,320</w:t>
            </w:r>
          </w:p>
        </w:tc>
        <w:tc>
          <w:tcPr>
            <w:tcW w:w="1571" w:type="pct"/>
            <w:shd w:val="clear" w:color="auto" w:fill="auto"/>
            <w:vAlign w:val="center"/>
          </w:tcPr>
          <w:p>
            <w:pPr>
              <w:pStyle w:val="501"/>
            </w:pPr>
            <w:r>
              <w:rPr>
                <w:rFonts w:hint="eastAsia"/>
              </w:rPr>
              <w:t>其他保证金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282" w:type="pct"/>
            <w:shd w:val="clear" w:color="auto" w:fill="auto"/>
            <w:vAlign w:val="center"/>
          </w:tcPr>
          <w:p>
            <w:pPr>
              <w:jc w:val="center"/>
            </w:pPr>
            <w:r>
              <w:t>合计</w:t>
            </w:r>
          </w:p>
        </w:tc>
        <w:tc>
          <w:tcPr>
            <w:tcW w:w="1004" w:type="pct"/>
            <w:vAlign w:val="center"/>
          </w:tcPr>
          <w:p>
            <w:pPr>
              <w:jc w:val="right"/>
              <w:rPr>
                <w:rFonts w:ascii="宋体" w:hAnsi="宋体"/>
                <w:bCs/>
              </w:rPr>
            </w:pPr>
            <w:r>
              <w:rPr>
                <w:rFonts w:ascii="宋体" w:hAnsi="宋体"/>
                <w:bCs/>
              </w:rPr>
              <w:t>7,328,936</w:t>
            </w:r>
          </w:p>
        </w:tc>
        <w:tc>
          <w:tcPr>
            <w:tcW w:w="1143" w:type="pct"/>
            <w:shd w:val="clear" w:color="auto" w:fill="auto"/>
            <w:vAlign w:val="center"/>
          </w:tcPr>
          <w:p>
            <w:pPr>
              <w:jc w:val="right"/>
              <w:rPr>
                <w:rFonts w:ascii="宋体" w:hAnsi="宋体"/>
                <w:bCs/>
              </w:rPr>
            </w:pPr>
            <w:r>
              <w:rPr>
                <w:rFonts w:ascii="宋体" w:hAnsi="宋体"/>
                <w:bCs/>
              </w:rPr>
              <w:t>8,280,143</w:t>
            </w:r>
          </w:p>
        </w:tc>
        <w:tc>
          <w:tcPr>
            <w:tcW w:w="1571" w:type="pct"/>
            <w:shd w:val="clear" w:color="auto" w:fill="auto"/>
          </w:tcPr>
          <w:p>
            <w:pPr>
              <w:jc w:val="center"/>
              <w:rPr>
                <w:bCs/>
              </w:rPr>
            </w:pPr>
            <w:r>
              <w:rPr>
                <w:rFonts w:hint="eastAsia"/>
                <w:bCs/>
              </w:rPr>
              <w:t>/</w:t>
            </w:r>
          </w:p>
        </w:tc>
      </w:tr>
    </w:tbl>
    <w:p>
      <w:pPr>
        <w:spacing w:before="60" w:after="60"/>
      </w:pPr>
    </w:p>
    <w:p>
      <w:pPr>
        <w:spacing w:before="60" w:after="60"/>
      </w:pPr>
      <w:r>
        <w:rPr>
          <w:rFonts w:hint="eastAsia"/>
        </w:rPr>
        <w:t>其他说明：</w:t>
      </w:r>
    </w:p>
    <w:sdt>
      <w:sdtPr>
        <w:alias w:val="是否适用：现金流量表补充资料的说明[双击切换]"/>
        <w:tag w:val="_GBC_73894bf4981b4beaae2551b205a2e7cc"/>
        <w:id w:val="308987602"/>
        <w:placeholder>
          <w:docPart w:val="GBC22222222222222222222222222222"/>
        </w:placeholder>
      </w:sdtPr>
      <w:sdtContent>
        <w:p>
          <w:pPr>
            <w:spacing w:before="60" w:after="60"/>
            <w:rPr>
              <w:szCs w:val="22"/>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4"/>
        <w:numPr>
          <w:ilvl w:val="0"/>
          <w:numId w:val="69"/>
        </w:numPr>
        <w:tabs>
          <w:tab w:val="left" w:pos="504"/>
        </w:tabs>
        <w:rPr>
          <w:rFonts w:ascii="宋体" w:hAnsi="宋体"/>
          <w:szCs w:val="21"/>
        </w:rPr>
      </w:pPr>
      <w:r>
        <w:rPr>
          <w:rFonts w:hint="eastAsia" w:ascii="宋体" w:hAnsi="宋体"/>
          <w:szCs w:val="21"/>
        </w:rPr>
        <w:t>所有者权益变动表项目注释</w:t>
      </w:r>
    </w:p>
    <w:p>
      <w:pPr>
        <w:pStyle w:val="531"/>
      </w:pPr>
      <w:r>
        <w:rPr>
          <w:rFonts w:hint="eastAsia"/>
        </w:rPr>
        <w:t>说明对上年期末余额进行调整的“其他”项目名称及调整金额等事项：</w:t>
      </w:r>
    </w:p>
    <w:sdt>
      <w:sdtPr>
        <w:alias w:val="是否适用：所有者权益变动表项目注释[双击切换]"/>
        <w:tag w:val="_GBC_fca039532a374a3e9daa81c75d491b1f"/>
        <w:id w:val="-791057143"/>
        <w:placeholder>
          <w:docPart w:val="GBC22222222222222222222222222222"/>
        </w:placeholder>
      </w:sdtPr>
      <w:sdtContent>
        <w:p>
          <w:pPr>
            <w:pStyle w:val="531"/>
            <w:rPr>
              <w:color w:val="FF00FF"/>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504"/>
        <w:numPr>
          <w:ilvl w:val="0"/>
          <w:numId w:val="69"/>
        </w:numPr>
        <w:tabs>
          <w:tab w:val="left" w:pos="504"/>
        </w:tabs>
        <w:rPr>
          <w:rFonts w:ascii="宋体" w:hAnsi="宋体"/>
          <w:szCs w:val="21"/>
        </w:rPr>
      </w:pPr>
      <w:r>
        <w:rPr>
          <w:rFonts w:hint="eastAsia" w:ascii="宋体" w:hAnsi="宋体"/>
          <w:szCs w:val="21"/>
        </w:rPr>
        <w:t>外币货币性项目</w:t>
      </w:r>
    </w:p>
    <w:p>
      <w:pPr>
        <w:pStyle w:val="505"/>
        <w:numPr>
          <w:ilvl w:val="0"/>
          <w:numId w:val="110"/>
        </w:numPr>
        <w:ind w:left="426" w:hanging="426"/>
        <w:rPr>
          <w:rFonts w:ascii="宋体" w:hAnsi="宋体"/>
          <w:b w:val="0"/>
          <w:szCs w:val="21"/>
        </w:rPr>
      </w:pPr>
      <w:r>
        <w:rPr>
          <w:rStyle w:val="535"/>
          <w:rFonts w:hint="eastAsia" w:ascii="宋体" w:hAnsi="宋体"/>
          <w:b/>
          <w:bCs w:val="0"/>
          <w:szCs w:val="21"/>
        </w:rPr>
        <w:t>外币货币性项目</w:t>
      </w:r>
    </w:p>
    <w:sdt>
      <w:sdtPr>
        <w:alias w:val="是否适用：外币货币性项目[双击切换]"/>
        <w:tag w:val="_GBC_6b0f646811a94c228ba6be3453047191"/>
        <w:id w:val="103153200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43"/>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外币货币性项目"/>
          <w:tag w:val="_GBC_43871b6586c8428c8da522abb267c528"/>
          <w:id w:val="15646799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千元</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2049"/>
        <w:gridCol w:w="2058"/>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c3516dfa974dea983fcf6d3a5e4272"/>
            <w:id w:val="-1871141252"/>
          </w:sdtPr>
          <w:sdtContent>
            <w:tc>
              <w:tcPr>
                <w:tcW w:w="16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项目</w:t>
                </w:r>
              </w:p>
            </w:tc>
          </w:sdtContent>
        </w:sdt>
        <w:sdt>
          <w:sdtPr>
            <w:tag w:val="_PLD_c677b8fd217342e7b28e98a1c8e497e9"/>
            <w:id w:val="1325242303"/>
          </w:sdtPr>
          <w:sdtContent>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期末外币余额</w:t>
                </w:r>
              </w:p>
            </w:tc>
          </w:sdtContent>
        </w:sdt>
        <w:sdt>
          <w:sdtPr>
            <w:tag w:val="_PLD_e0e88022a2754ae991eb4bb1a9caae4f"/>
            <w:id w:val="-648974470"/>
          </w:sdtPr>
          <w:sdtContent>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折算汇率</w:t>
                </w:r>
              </w:p>
            </w:tc>
          </w:sdtContent>
        </w:sdt>
        <w:sdt>
          <w:sdtPr>
            <w:tag w:val="_PLD_a1542d7b69a444ef9e91ceaf4a96f49d"/>
            <w:id w:val="-491558624"/>
          </w:sdtPr>
          <w:sdtContent>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期末折算人民币</w:t>
                </w:r>
              </w:p>
              <w:p>
                <w:pPr>
                  <w:jc w:val="center"/>
                </w:pPr>
                <w:r>
                  <w:rPr>
                    <w:rFonts w:hint="eastAsia"/>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t>货币资金</w:t>
            </w:r>
          </w:p>
        </w:tc>
        <w:tc>
          <w:tcPr>
            <w:tcW w:w="1132" w:type="pct"/>
            <w:tcBorders>
              <w:top w:val="single" w:color="auto" w:sz="4" w:space="0"/>
              <w:left w:val="single" w:color="auto" w:sz="4" w:space="0"/>
              <w:bottom w:val="single" w:color="auto" w:sz="4" w:space="0"/>
              <w:right w:val="single" w:color="auto" w:sz="4" w:space="0"/>
            </w:tcBorders>
            <w:shd w:val="clear" w:color="auto" w:fill="auto"/>
          </w:tcPr>
          <w:p>
            <w:pPr>
              <w:jc w:val="right"/>
            </w:pPr>
          </w:p>
        </w:tc>
        <w:tc>
          <w:tcPr>
            <w:tcW w:w="1137" w:type="pct"/>
            <w:tcBorders>
              <w:top w:val="single" w:color="auto" w:sz="4" w:space="0"/>
              <w:left w:val="single" w:color="auto" w:sz="4" w:space="0"/>
              <w:bottom w:val="single" w:color="auto" w:sz="4" w:space="0"/>
              <w:right w:val="single" w:color="auto" w:sz="4" w:space="0"/>
            </w:tcBorders>
            <w:shd w:val="clear" w:color="auto" w:fill="auto"/>
          </w:tcPr>
          <w:p>
            <w:pPr>
              <w:jc w:val="right"/>
            </w:pPr>
          </w:p>
        </w:tc>
        <w:tc>
          <w:tcPr>
            <w:tcW w:w="1130" w:type="pct"/>
            <w:tcBorders>
              <w:top w:val="single" w:color="auto" w:sz="4" w:space="0"/>
              <w:left w:val="single" w:color="auto" w:sz="4" w:space="0"/>
              <w:bottom w:val="single" w:color="auto" w:sz="4" w:space="0"/>
              <w:right w:val="single" w:color="auto" w:sz="4" w:space="0"/>
            </w:tcBorders>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alias w:val="以外币核算的币种明细-币种名称"/>
                <w:tag w:val="_GBC_b9ad493c07994625bf872e807197c998"/>
                <w:id w:val="97102310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1132" w:type="pct"/>
            <w:tcBorders>
              <w:top w:val="single" w:color="auto" w:sz="4"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544,118</w:t>
            </w:r>
          </w:p>
        </w:tc>
        <w:tc>
          <w:tcPr>
            <w:tcW w:w="1137" w:type="pct"/>
            <w:tcBorders>
              <w:top w:val="single" w:color="auto" w:sz="4"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7.0827</w:t>
            </w:r>
          </w:p>
        </w:tc>
        <w:tc>
          <w:tcPr>
            <w:tcW w:w="1130" w:type="pct"/>
            <w:tcBorders>
              <w:top w:val="single" w:color="auto" w:sz="4"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3,853,825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t>　　　</w:t>
            </w:r>
            <w:sdt>
              <w:sdtPr>
                <w:rPr>
                  <w:rFonts w:hint="eastAsia"/>
                </w:rPr>
                <w:alias w:val="以外币核算的币种明细-币种名称"/>
                <w:tag w:val="_GBC_b9ad493c07994625bf872e807197c998"/>
                <w:id w:val="97033518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澳元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960,496</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4.8484</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4,656,869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t>　　　</w:t>
            </w:r>
            <w:sdt>
              <w:sdtPr>
                <w:rPr>
                  <w:rFonts w:hint="eastAsia"/>
                </w:rPr>
                <w:alias w:val="以外币核算的币种明细-币种名称"/>
                <w:tag w:val="_GBC_b9ad493c07994625bf872e807197c998"/>
                <w:id w:val="-70541019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加元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132</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5.3772</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tabs>
                <w:tab w:val="left" w:pos="600"/>
              </w:tabs>
              <w:ind w:firstLine="632" w:firstLineChars="301"/>
            </w:pPr>
            <w:sdt>
              <w:sdtPr>
                <w:rPr>
                  <w:rFonts w:hint="eastAsia"/>
                </w:rPr>
                <w:alias w:val="以外币核算的币种明细-币种名称"/>
                <w:tag w:val="_GBC_b9ad493c07994625bf872e807197c998"/>
                <w:id w:val="-131948567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港币</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135,281</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0.9062</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122,592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ind w:firstLine="617" w:firstLineChars="294"/>
            </w:pPr>
            <w:sdt>
              <w:sdtPr>
                <w:rPr>
                  <w:rFonts w:hint="eastAsia"/>
                </w:rPr>
                <w:alias w:val="以外币核算的币种明细-币种名称"/>
                <w:tag w:val="_GBC_b9ad493c07994625bf872e807197c998"/>
                <w:id w:val="-172250801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欧元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1,499</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7.8592</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11,781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t>应收账款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alias w:val="以外币核算的币种明细-币种名称"/>
                <w:tag w:val="_GBC_b9ad493c07994625bf872e807197c998"/>
                <w:id w:val="150671113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361,286</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7.0827</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2,558,880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t>　　　</w:t>
            </w:r>
            <w:sdt>
              <w:sdtPr>
                <w:rPr>
                  <w:rFonts w:hint="eastAsia"/>
                </w:rPr>
                <w:alias w:val="以外币核算的币种明细-币种名称"/>
                <w:tag w:val="_GBC_b9ad493c07994625bf872e807197c998"/>
                <w:id w:val="-111752350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澳元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48,648</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4.8484</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235,865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其他应收款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alias w:val="以外币核算的币种明细-币种名称"/>
                <w:tag w:val="_GBC_b9ad493c07994625bf872e807197c998"/>
                <w:id w:val="15658791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76,633</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7.0827</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542,769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t>　　　</w:t>
            </w:r>
            <w:sdt>
              <w:sdtPr>
                <w:rPr>
                  <w:rFonts w:hint="eastAsia"/>
                </w:rPr>
                <w:alias w:val="以外币核算的币种明细-币种名称"/>
                <w:tag w:val="_GBC_b9ad493c07994625bf872e807197c998"/>
                <w:id w:val="-187946447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澳元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30,632</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4.8484</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148,516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t>　　　</w:t>
            </w:r>
            <w:sdt>
              <w:sdtPr>
                <w:alias w:val="以外币核算的币种明细-币种名称"/>
                <w:tag w:val="_GBC_b9ad493c07994625bf872e807197c998"/>
                <w:id w:val="196469109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港币</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39</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0.9062</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ind w:firstLine="632" w:firstLineChars="301"/>
            </w:pPr>
            <w:sdt>
              <w:sdtPr>
                <w:rPr>
                  <w:rFonts w:hint="eastAsia"/>
                </w:rPr>
                <w:alias w:val="以外币核算的币种明细-币种名称"/>
                <w:tag w:val="_GBC_b9ad493c07994625bf872e807197c998"/>
                <w:id w:val="-8469903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欧元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206</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7.8592</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1,619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其他流动资产</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rPr>
                  <w:rFonts w:hint="eastAsia"/>
                </w:rPr>
                <w:alias w:val="以外币核算的币种明细-币种名称"/>
                <w:tag w:val="_GBC_b9ad493c07994625bf872e807197c998"/>
                <w:id w:val="-30562900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澳元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45,221</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4.8484</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219,249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一年内到期的非流动资产</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rPr>
                  <w:rFonts w:hint="eastAsia"/>
                </w:rPr>
                <w:alias w:val="以外币核算的币种明细-币种名称"/>
                <w:tag w:val="_GBC_b9ad493c07994625bf872e807197c998"/>
                <w:id w:val="-139998196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1,938</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7.0827</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13,726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长期应收款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rPr>
                  <w:rFonts w:hint="eastAsia"/>
                </w:rPr>
                <w:alias w:val="以外币核算的币种明细-币种名称"/>
                <w:tag w:val="_GBC_b9ad493c07994625bf872e807197c998"/>
                <w:id w:val="150570815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美元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5,729</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7.0827</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40,577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ind w:firstLine="632" w:firstLineChars="301"/>
            </w:pPr>
            <w:sdt>
              <w:sdtPr>
                <w:rPr>
                  <w:rFonts w:hint="eastAsia"/>
                </w:rPr>
                <w:alias w:val="以外币核算的币种明细-币种名称"/>
                <w:tag w:val="_GBC_b9ad493c07994625bf872e807197c998"/>
                <w:id w:val="-144406695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澳元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6,971</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4.8484</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33,798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其他非流动资产</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rPr>
                  <w:rFonts w:hint="eastAsia"/>
                </w:rPr>
                <w:alias w:val="以外币核算的币种明细-币种名称"/>
                <w:tag w:val="_GBC_b9ad493c07994625bf872e807197c998"/>
                <w:id w:val="-67889004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澳元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91,928</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4.8484</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445,704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应付账款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rPr>
                  <w:rFonts w:hint="eastAsia"/>
                </w:rPr>
                <w:alias w:val="以外币核算的币种明细-币种名称"/>
                <w:tag w:val="_GBC_b9ad493c07994625bf872e807197c998"/>
                <w:id w:val="41945135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美元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63,658</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7.0827</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450,871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ind w:firstLine="604" w:firstLineChars="288"/>
            </w:pPr>
            <w:sdt>
              <w:sdtPr>
                <w:rPr>
                  <w:rFonts w:hint="eastAsia"/>
                </w:rPr>
                <w:alias w:val="以外币核算的币种明细-币种名称"/>
                <w:tag w:val="_GBC_b9ad493c07994625bf872e807197c998"/>
                <w:id w:val="81561712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澳元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483,285</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4.8484</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2,343,159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其他应付款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rPr>
                  <w:rFonts w:hint="eastAsia"/>
                </w:rPr>
                <w:alias w:val="以外币核算的币种明细-币种名称"/>
                <w:tag w:val="_GBC_b9ad493c07994625bf872e807197c998"/>
                <w:id w:val="83719949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美元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24,162</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7.0827</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171,132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ind w:firstLine="604" w:firstLineChars="288"/>
            </w:pPr>
            <w:sdt>
              <w:sdtPr>
                <w:rPr>
                  <w:rFonts w:hint="eastAsia"/>
                </w:rPr>
                <w:alias w:val="以外币核算的币种明细-币种名称"/>
                <w:tag w:val="_GBC_b9ad493c07994625bf872e807197c998"/>
                <w:id w:val="-28889692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澳元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15,973</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4.8484</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77,443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短期借款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rPr>
                  <w:rFonts w:hint="eastAsia"/>
                </w:rPr>
                <w:alias w:val="以外币核算的币种明细-币种名称"/>
                <w:tag w:val="_GBC_b9ad493c07994625bf872e807197c998"/>
                <w:id w:val="56646007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美元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9,257</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7.0827</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65,565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一年内到期的非流动负债</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rPr>
                  <w:rFonts w:hint="eastAsia"/>
                </w:rPr>
                <w:alias w:val="以外币核算的币种明细-币种名称"/>
                <w:tag w:val="_GBC_b9ad493c07994625bf872e807197c998"/>
                <w:id w:val="3579451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美元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459,164</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7.0827</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3,252,121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sdt>
              <w:sdtPr>
                <w:rPr>
                  <w:rFonts w:hint="eastAsia"/>
                </w:rPr>
                <w:alias w:val="以外币核算的币种明细-币种名称"/>
                <w:tag w:val="_GBC_b9ad493c07994625bf872e807197c998"/>
                <w:id w:val="-143874595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澳元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71,063</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4.8484</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344,542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长期借款</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其中：</w:t>
            </w:r>
            <w:sdt>
              <w:sdtPr>
                <w:rPr>
                  <w:rFonts w:hint="eastAsia"/>
                </w:rPr>
                <w:alias w:val="以外币核算的币种明细-币种名称"/>
                <w:tag w:val="_GBC_b9ad493c07994625bf872e807197c998"/>
                <w:id w:val="-138385605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美元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500,000</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7.0827</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3,541,350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sdt>
              <w:sdtPr>
                <w:rPr>
                  <w:rFonts w:hint="eastAsia"/>
                </w:rPr>
                <w:alias w:val="以外币核算的币种明细-币种名称"/>
                <w:tag w:val="_GBC_b9ad493c07994625bf872e807197c998"/>
                <w:id w:val="-65144775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澳元</w:t>
                </w:r>
              </w:sdtContent>
            </w:sdt>
          </w:p>
        </w:tc>
        <w:tc>
          <w:tcPr>
            <w:tcW w:w="1132"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33,299</w:t>
            </w:r>
          </w:p>
        </w:tc>
        <w:tc>
          <w:tcPr>
            <w:tcW w:w="113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4.8484</w:t>
            </w:r>
          </w:p>
        </w:tc>
        <w:tc>
          <w:tcPr>
            <w:tcW w:w="1130" w:type="pct"/>
            <w:tcBorders>
              <w:top w:val="single" w:color="auto" w:sz="2" w:space="0"/>
              <w:left w:val="single" w:color="auto" w:sz="2" w:space="0"/>
              <w:bottom w:val="single" w:color="auto" w:sz="2" w:space="0"/>
              <w:right w:val="single" w:color="auto" w:sz="4" w:space="0"/>
            </w:tcBorders>
            <w:vAlign w:val="center"/>
          </w:tcPr>
          <w:p>
            <w:pPr>
              <w:jc w:val="right"/>
              <w:rPr>
                <w:rFonts w:ascii="宋体" w:hAnsi="宋体"/>
              </w:rPr>
            </w:pPr>
            <w:r>
              <w:rPr>
                <w:rFonts w:ascii="宋体" w:hAnsi="宋体"/>
              </w:rPr>
              <w:t>161,447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租赁负债</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501"/>
            </w:pPr>
            <w:r>
              <w:rPr>
                <w:rFonts w:hint="eastAsia"/>
              </w:rPr>
              <w:t>澳元</w:t>
            </w:r>
          </w:p>
        </w:tc>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60,357</w:t>
            </w:r>
          </w:p>
        </w:tc>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4.8484</w:t>
            </w:r>
          </w:p>
        </w:tc>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292,635</w:t>
            </w:r>
          </w:p>
        </w:tc>
      </w:tr>
    </w:tbl>
    <w:p>
      <w:pPr>
        <w:pStyle w:val="501"/>
      </w:pPr>
    </w:p>
    <w:p>
      <w:pPr>
        <w:pStyle w:val="501"/>
      </w:pPr>
    </w:p>
    <w:p>
      <w:pPr>
        <w:pStyle w:val="505"/>
        <w:numPr>
          <w:ilvl w:val="0"/>
          <w:numId w:val="110"/>
        </w:numPr>
        <w:ind w:left="426" w:hanging="426"/>
        <w:rPr>
          <w:szCs w:val="21"/>
        </w:rPr>
      </w:pPr>
      <w:r>
        <w:rPr>
          <w:rStyle w:val="535"/>
          <w:rFonts w:hint="eastAsia" w:ascii="宋体" w:hAnsi="宋体"/>
          <w:b/>
          <w:bCs w:val="0"/>
          <w:szCs w:val="21"/>
        </w:rPr>
        <w:t>境外</w:t>
      </w:r>
      <w:r>
        <w:rPr>
          <w:rFonts w:hint="eastAsia"/>
          <w:szCs w:val="21"/>
        </w:rPr>
        <w:t>经营实体说明，包括对于重要的境外经营实体，应披露其境外主要经营地、记账本位币及选择依据，记账本位币发生变化的还应披露原因</w:t>
      </w:r>
    </w:p>
    <w:p>
      <w:pPr>
        <w:pStyle w:val="501"/>
      </w:pPr>
      <w:sdt>
        <w:sdtPr>
          <w:alias w:val="是否适用：境外经营实体主要报表项目的折算汇率[双击切换]"/>
          <w:tag w:val="_GBC_c433d39e245c4fb79cd5170717bb5b9c"/>
          <w:id w:val="1427615590"/>
          <w:placeholder>
            <w:docPart w:val="GBC22222222222222222222222222222"/>
          </w:placeholder>
        </w:sdt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sdt>
      <w:sdtPr>
        <w:alias w:val="境外经营实体主要报表项目的折算汇率"/>
        <w:tag w:val="_GBC_24ad08f8e8ec4d4db3f0bf80f7306c7e"/>
        <w:id w:val="1193803668"/>
        <w:lock w:val="sdtLocked"/>
      </w:sdtPr>
      <w:sdtContent>
        <w:p>
          <w:pPr>
            <w:pStyle w:val="501"/>
          </w:pPr>
        </w:p>
        <w:tbl>
          <w:tblPr>
            <w:tblStyle w:val="947"/>
            <w:tblW w:w="0" w:type="auto"/>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4411"/>
            <w:gridCol w:w="441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bCs/>
                  </w:rPr>
                </w:pPr>
                <w:bookmarkStart w:id="335" w:name="_Hlk161946521"/>
                <w:r>
                  <w:rPr>
                    <w:rFonts w:hint="eastAsia" w:ascii="宋体" w:hAnsi="宋体"/>
                    <w:bCs/>
                  </w:rPr>
                  <w:t>子公司名称</w:t>
                </w:r>
              </w:p>
            </w:tc>
            <w:tc>
              <w:tcPr>
                <w:tcW w:w="4412" w:type="dxa"/>
                <w:vAlign w:val="center"/>
              </w:tcPr>
              <w:p>
                <w:pPr>
                  <w:rPr>
                    <w:rFonts w:ascii="宋体" w:hAnsi="宋体"/>
                    <w:bCs/>
                  </w:rPr>
                </w:pPr>
                <w:r>
                  <w:rPr>
                    <w:rFonts w:hint="eastAsia" w:ascii="宋体" w:hAnsi="宋体"/>
                    <w:bCs/>
                  </w:rPr>
                  <w:t>记账本位币</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兖州煤业澳大利亚有限公司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格罗斯特煤炭有限公司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兖煤澳大利亚资源有限公司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兖煤澳大利亚配煤销售有限公司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兖煤矿业服务有限公司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联合煤炭工业有限公司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兖煤澳洲莫拉本私有有限公司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沃特岗矿业有限公司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兖煤保险股份有限公司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亚森纳（控股）有限公司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汤佛（控股）有限公司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维尔皮纳（控股）有限公司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普力马（控股）有限公司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兖煤能源有限公司</w:t>
                </w:r>
              </w:p>
            </w:tc>
            <w:tc>
              <w:tcPr>
                <w:tcW w:w="4412" w:type="dxa"/>
                <w:vAlign w:val="center"/>
              </w:tcPr>
              <w:p>
                <w:pPr>
                  <w:rPr>
                    <w:rFonts w:ascii="宋体" w:hAnsi="宋体"/>
                  </w:rPr>
                </w:pPr>
                <w:r>
                  <w:rPr>
                    <w:rFonts w:hint="eastAsia" w:ascii="宋体" w:hAnsi="宋体"/>
                  </w:rPr>
                  <w:t>澳元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兖煤技术发展（控股）有限公司</w:t>
                </w:r>
              </w:p>
            </w:tc>
            <w:tc>
              <w:tcPr>
                <w:tcW w:w="4412" w:type="dxa"/>
                <w:vAlign w:val="center"/>
              </w:tcPr>
              <w:p>
                <w:pPr>
                  <w:rPr>
                    <w:rFonts w:ascii="宋体" w:hAnsi="宋体"/>
                  </w:rPr>
                </w:pPr>
                <w:r>
                  <w:rPr>
                    <w:rFonts w:ascii="宋体" w:hAnsi="宋体"/>
                  </w:rPr>
                  <w:t>澳</w:t>
                </w:r>
                <w:r>
                  <w:rPr>
                    <w:rFonts w:hint="eastAsia" w:ascii="宋体" w:hAnsi="宋体"/>
                  </w:rPr>
                  <w:t>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兖煤国际（控股）有限公司</w:t>
                </w:r>
              </w:p>
            </w:tc>
            <w:tc>
              <w:tcPr>
                <w:tcW w:w="4412" w:type="dxa"/>
                <w:vAlign w:val="center"/>
              </w:tcPr>
              <w:p>
                <w:pPr>
                  <w:rPr>
                    <w:rFonts w:ascii="宋体" w:hAnsi="宋体"/>
                  </w:rPr>
                </w:pPr>
                <w:r>
                  <w:rPr>
                    <w:rFonts w:hint="eastAsia" w:ascii="宋体" w:hAnsi="宋体"/>
                  </w:rPr>
                  <w:t>港币</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兖煤国际技术开发有限公司</w:t>
                </w:r>
              </w:p>
            </w:tc>
            <w:tc>
              <w:tcPr>
                <w:tcW w:w="4412" w:type="dxa"/>
                <w:vAlign w:val="center"/>
              </w:tcPr>
              <w:p>
                <w:pPr>
                  <w:rPr>
                    <w:rFonts w:ascii="宋体" w:hAnsi="宋体"/>
                  </w:rPr>
                </w:pPr>
                <w:r>
                  <w:rPr>
                    <w:rFonts w:hint="eastAsia" w:ascii="宋体" w:hAnsi="宋体"/>
                  </w:rPr>
                  <w:t>港币</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兖煤国际资源开发有限公司</w:t>
                </w:r>
              </w:p>
            </w:tc>
            <w:tc>
              <w:tcPr>
                <w:tcW w:w="4412" w:type="dxa"/>
                <w:vAlign w:val="center"/>
              </w:tcPr>
              <w:p>
                <w:pPr>
                  <w:rPr>
                    <w:rFonts w:ascii="宋体" w:hAnsi="宋体"/>
                  </w:rPr>
                </w:pPr>
                <w:r>
                  <w:rPr>
                    <w:rFonts w:hint="eastAsia" w:ascii="宋体" w:hAnsi="宋体"/>
                  </w:rPr>
                  <w:t>港币</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hint="eastAsia" w:ascii="宋体" w:hAnsi="宋体"/>
                  </w:rPr>
                  <w:t>兖煤卢森堡资源有限公司</w:t>
                </w:r>
              </w:p>
            </w:tc>
            <w:tc>
              <w:tcPr>
                <w:tcW w:w="4412" w:type="dxa"/>
                <w:vAlign w:val="center"/>
              </w:tcPr>
              <w:p>
                <w:pPr>
                  <w:rPr>
                    <w:rFonts w:ascii="宋体" w:hAnsi="宋体"/>
                  </w:rPr>
                </w:pPr>
                <w:r>
                  <w:rPr>
                    <w:rFonts w:hint="eastAsia" w:ascii="宋体" w:hAnsi="宋体"/>
                  </w:rPr>
                  <w:t>美元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rPr>
                    <w:rFonts w:ascii="宋体" w:hAnsi="宋体"/>
                  </w:rPr>
                </w:pPr>
                <w:r>
                  <w:rPr>
                    <w:rFonts w:ascii="宋体" w:hAnsi="宋体"/>
                  </w:rPr>
                  <w:t>兖煤加拿大资源有限公司</w:t>
                </w:r>
              </w:p>
            </w:tc>
            <w:tc>
              <w:tcPr>
                <w:tcW w:w="4412" w:type="dxa"/>
                <w:vAlign w:val="center"/>
              </w:tcPr>
              <w:p>
                <w:pPr>
                  <w:rPr>
                    <w:rFonts w:ascii="宋体" w:hAnsi="宋体"/>
                  </w:rPr>
                </w:pPr>
                <w:r>
                  <w:rPr>
                    <w:rFonts w:hint="eastAsia" w:ascii="宋体" w:hAnsi="宋体"/>
                  </w:rPr>
                  <w:t>加币</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pStyle w:val="501"/>
                  <w:rPr>
                    <w:rFonts w:ascii="Times New Roman" w:hAnsi="Times New Roman"/>
                  </w:rPr>
                </w:pPr>
                <w:r>
                  <w:rPr>
                    <w:rFonts w:hint="eastAsia" w:ascii="Times New Roman" w:hAnsi="Times New Roman"/>
                  </w:rPr>
                  <w:t>兖矿瑞丰（香港）有限公司</w:t>
                </w:r>
              </w:p>
            </w:tc>
            <w:tc>
              <w:tcPr>
                <w:tcW w:w="4412" w:type="dxa"/>
                <w:vAlign w:val="center"/>
              </w:tcPr>
              <w:p>
                <w:pPr>
                  <w:rPr>
                    <w:rFonts w:ascii="宋体" w:hAnsi="宋体"/>
                  </w:rPr>
                </w:pPr>
                <w:r>
                  <w:rPr>
                    <w:rFonts w:hint="eastAsia" w:ascii="宋体" w:hAnsi="宋体"/>
                  </w:rPr>
                  <w:t>美元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411" w:type="dxa"/>
                <w:vAlign w:val="center"/>
              </w:tcPr>
              <w:p>
                <w:pPr>
                  <w:pStyle w:val="501"/>
                  <w:rPr>
                    <w:rFonts w:ascii="Times New Roman" w:hAnsi="Times New Roman"/>
                  </w:rPr>
                </w:pPr>
                <w:r>
                  <w:rPr>
                    <w:rFonts w:hint="eastAsia" w:ascii="Times New Roman" w:hAnsi="Times New Roman"/>
                  </w:rPr>
                  <w:t>中垠（香港）有限公司</w:t>
                </w:r>
              </w:p>
            </w:tc>
            <w:tc>
              <w:tcPr>
                <w:tcW w:w="4412" w:type="dxa"/>
                <w:vAlign w:val="center"/>
              </w:tcPr>
              <w:p>
                <w:pPr>
                  <w:rPr>
                    <w:rFonts w:ascii="宋体" w:hAnsi="宋体"/>
                  </w:rPr>
                </w:pPr>
                <w:r>
                  <w:rPr>
                    <w:rFonts w:hint="eastAsia" w:ascii="宋体" w:hAnsi="宋体"/>
                  </w:rPr>
                  <w:t>美元</w:t>
                </w:r>
              </w:p>
            </w:tc>
          </w:tr>
        </w:tbl>
        <w:p>
          <w:pPr>
            <w:pStyle w:val="501"/>
          </w:pPr>
        </w:p>
      </w:sdtContent>
    </w:sdt>
    <w:bookmarkEnd w:id="335"/>
    <w:p>
      <w:pPr>
        <w:pStyle w:val="504"/>
        <w:numPr>
          <w:ilvl w:val="0"/>
          <w:numId w:val="69"/>
        </w:numPr>
        <w:tabs>
          <w:tab w:val="left" w:pos="504"/>
        </w:tabs>
        <w:ind w:left="450" w:hanging="450"/>
        <w:rPr>
          <w:rFonts w:ascii="宋体" w:hAnsi="宋体"/>
          <w:szCs w:val="21"/>
        </w:rPr>
      </w:pPr>
      <w:r>
        <w:rPr>
          <w:rFonts w:hint="eastAsia" w:ascii="宋体" w:hAnsi="宋体"/>
          <w:szCs w:val="21"/>
        </w:rPr>
        <w:t>租赁</w:t>
      </w:r>
    </w:p>
    <w:p>
      <w:pPr>
        <w:pStyle w:val="505"/>
        <w:numPr>
          <w:ilvl w:val="0"/>
          <w:numId w:val="111"/>
        </w:numPr>
        <w:ind w:left="0" w:firstLine="0"/>
      </w:pPr>
      <w:r>
        <w:t>作为承租人</w:t>
      </w:r>
    </w:p>
    <w:sdt>
      <w:sdtPr>
        <w:alias w:val="是否适用：作为承租人[双击切换]"/>
        <w:tag w:val="_GBC_fe311ebf6010457c8817199183148161"/>
        <w:id w:val="135321994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5"/>
        <w:numPr>
          <w:ilvl w:val="0"/>
          <w:numId w:val="111"/>
        </w:numPr>
        <w:ind w:left="0" w:firstLine="0"/>
      </w:pPr>
      <w:r>
        <w:t>作为出租人</w:t>
      </w:r>
    </w:p>
    <w:p>
      <w:pPr>
        <w:pStyle w:val="531"/>
      </w:pPr>
      <w:r>
        <w:t>作为出租人的经营</w:t>
      </w:r>
      <w:r>
        <w:rPr>
          <w:rFonts w:hint="eastAsia"/>
        </w:rPr>
        <w:t>租赁</w:t>
      </w:r>
    </w:p>
    <w:sdt>
      <w:sdtPr>
        <w:rPr>
          <w:rFonts w:hint="eastAsia"/>
        </w:rPr>
        <w:alias w:val="是否适用：作为出租人的经营租赁[双击切换]"/>
        <w:tag w:val="_GBC_d5cd3a4b291f4a089f0080385207b552"/>
        <w:id w:val="-851800892"/>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rPr>
          <w:b/>
        </w:rPr>
      </w:pPr>
    </w:p>
    <w:p>
      <w:pPr>
        <w:pStyle w:val="531"/>
      </w:pPr>
      <w:r>
        <w:t>作为出租人的融资租赁</w:t>
      </w:r>
    </w:p>
    <w:sdt>
      <w:sdtPr>
        <w:alias w:val="是否适用：作为出租人的融资租赁[双击切换]"/>
        <w:tag w:val="_GBC_a96fee2f2d7c4192a3a8f10ae08d73cc"/>
        <w:id w:val="-1657144530"/>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rPr>
          <w:b/>
        </w:rPr>
      </w:pPr>
    </w:p>
    <w:p>
      <w:pPr>
        <w:pStyle w:val="531"/>
      </w:pPr>
      <w:r>
        <w:t>未折现租赁收款额与租赁投资净额的调节表</w:t>
      </w:r>
    </w:p>
    <w:sdt>
      <w:sdtPr>
        <w:alias w:val="是否适用：未折现租赁收款额与租赁投资净额的调节表?[双击切换]"/>
        <w:tag w:val="_GBC_4a108274280e49bd8dc1cba49cff5159"/>
        <w:id w:val="-1840851723"/>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b/>
        </w:rPr>
      </w:pPr>
    </w:p>
    <w:p>
      <w:pPr>
        <w:pStyle w:val="531"/>
      </w:pPr>
      <w:r>
        <w:t>未来五年</w:t>
      </w:r>
      <w:r>
        <w:rPr>
          <w:rFonts w:hint="eastAsia"/>
        </w:rPr>
        <w:t>未</w:t>
      </w:r>
      <w:r>
        <w:t>折现租赁收款额</w:t>
      </w:r>
    </w:p>
    <w:sdt>
      <w:sdtPr>
        <w:alias w:val="是否适用：未来五年未折现租赁收款额[双击切换]"/>
        <w:tag w:val="_GBC_60c95c043b424e188bd225c67d071e24"/>
        <w:id w:val="849685651"/>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rPr>
          <w:b/>
        </w:rPr>
      </w:pPr>
    </w:p>
    <w:p>
      <w:pPr>
        <w:pStyle w:val="505"/>
        <w:numPr>
          <w:ilvl w:val="0"/>
          <w:numId w:val="111"/>
        </w:numPr>
        <w:ind w:left="0" w:firstLine="0"/>
      </w:pPr>
      <w:r>
        <w:t>作为生产商或经销商确认融资租赁销售损益</w:t>
      </w:r>
    </w:p>
    <w:sdt>
      <w:sdtPr>
        <w:alias w:val="是否适用：作为生产商或经销商确认融资租赁销售损益[双击切换]"/>
        <w:tag w:val="_GBC_595c7ca108a34d50bffdd3e765cca466"/>
        <w:id w:val="1539162255"/>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4"/>
        <w:numPr>
          <w:ilvl w:val="0"/>
          <w:numId w:val="69"/>
        </w:numPr>
        <w:tabs>
          <w:tab w:val="left" w:pos="504"/>
        </w:tabs>
      </w:pPr>
      <w:r>
        <w:rPr>
          <w:rFonts w:hint="eastAsia"/>
        </w:rPr>
        <w:t>其他</w:t>
      </w:r>
    </w:p>
    <w:sdt>
      <w:sdtPr>
        <w:alias w:val="是否适用：合并财务报表项目注释其他需要说明的事项[双击切换]"/>
        <w:tag w:val="_GBC_67815da71293483fad0e823098235edb"/>
        <w:id w:val="-1640022188"/>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503"/>
        <w:numPr>
          <w:ilvl w:val="0"/>
          <w:numId w:val="57"/>
        </w:numPr>
        <w:ind w:hanging="168"/>
      </w:pPr>
      <w:r>
        <w:rPr>
          <w:rFonts w:hint="eastAsia"/>
        </w:rPr>
        <w:t>研发支出</w:t>
      </w:r>
    </w:p>
    <w:p>
      <w:pPr>
        <w:pStyle w:val="504"/>
        <w:numPr>
          <w:ilvl w:val="0"/>
          <w:numId w:val="112"/>
        </w:numPr>
      </w:pPr>
      <w:r>
        <w:rPr>
          <w:rFonts w:hint="eastAsia"/>
        </w:rPr>
        <w:t>按费用性质列示</w:t>
      </w:r>
    </w:p>
    <w:sdt>
      <w:sdtPr>
        <w:alias w:val="是否适用：研发费用[双击切换]"/>
        <w:tag w:val="_GBC_04b52b9f74d642ed996cff71b3380562"/>
        <w:id w:val="-1134553875"/>
        <w:placeholder>
          <w:docPart w:val="GBC22222222222222222222222222222"/>
        </w:placeholder>
      </w:sdtPr>
      <w:sdtContent>
        <w:p>
          <w:pPr>
            <w:pStyle w:val="501"/>
          </w:pPr>
          <w:bookmarkStart w:id="336" w:name="_Hlk40108415"/>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4"/>
        <w:numPr>
          <w:ilvl w:val="0"/>
          <w:numId w:val="112"/>
        </w:numPr>
      </w:pPr>
      <w:r>
        <w:t>符合资本化条件的研发项目</w:t>
      </w:r>
      <w:r>
        <w:rPr>
          <w:rFonts w:hint="eastAsia"/>
        </w:rPr>
        <w:t>开发支出</w:t>
      </w:r>
    </w:p>
    <w:bookmarkEnd w:id="336"/>
    <w:sdt>
      <w:sdtPr>
        <w:alias w:val="是否适用：开发支出[双击切换]"/>
        <w:tag w:val="_GBC_173f2bb3b2db483e82638801b8b2955b"/>
        <w:id w:val="431710251"/>
        <w:placeholder>
          <w:docPart w:val="GBC22222222222222222222222222222"/>
        </w:placeholder>
      </w:sdtPr>
      <w:sdtContent>
        <w:p>
          <w:pPr>
            <w:pStyle w:val="531"/>
          </w:pPr>
          <w:bookmarkStart w:id="337" w:name="_Hlk153266294"/>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t>重要的资本化研发项目</w:t>
      </w:r>
    </w:p>
    <w:bookmarkEnd w:id="337"/>
    <w:sdt>
      <w:sdtPr>
        <w:alias w:val="是否适用：重要的资本化研发项目[双击切换]"/>
        <w:tag w:val="_GBC_d1b90c9364924f2791f75c6b9a12139f"/>
        <w:id w:val="-1387333099"/>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1"/>
      </w:pPr>
      <w:r>
        <w:t>开发支出减值准备</w:t>
      </w:r>
    </w:p>
    <w:sdt>
      <w:sdtPr>
        <w:alias w:val="是否适用：开发支出减值准备[双击切换]"/>
        <w:tag w:val="_GBC_54eb6a513e574cfa85e9b90a1588b10f"/>
        <w:id w:val="1755863405"/>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1"/>
      </w:pPr>
      <w:r>
        <w:rPr>
          <w:rFonts w:hint="eastAsia"/>
        </w:rPr>
        <w:t>其他说明</w:t>
      </w:r>
    </w:p>
    <w:p>
      <w:pPr>
        <w:pStyle w:val="501"/>
      </w:pPr>
    </w:p>
    <w:p>
      <w:pPr>
        <w:pStyle w:val="504"/>
        <w:numPr>
          <w:ilvl w:val="0"/>
          <w:numId w:val="112"/>
        </w:numPr>
      </w:pPr>
      <w:r>
        <w:t>重要的外购在研项目</w:t>
      </w:r>
    </w:p>
    <w:sdt>
      <w:sdtPr>
        <w:alias w:val="是否适用：重要的外购在研项目[双击切换]"/>
        <w:tag w:val="_GBC_8385c2c52dfe44b6b2522468b8800584"/>
        <w:id w:val="-39441505"/>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3"/>
        <w:numPr>
          <w:ilvl w:val="0"/>
          <w:numId w:val="57"/>
        </w:numPr>
        <w:ind w:hanging="154"/>
      </w:pPr>
      <w:r>
        <w:rPr>
          <w:rFonts w:hint="eastAsia"/>
        </w:rPr>
        <w:t>合并范围的变更</w:t>
      </w:r>
    </w:p>
    <w:p>
      <w:pPr>
        <w:pStyle w:val="504"/>
        <w:numPr>
          <w:ilvl w:val="0"/>
          <w:numId w:val="113"/>
        </w:numPr>
        <w:rPr>
          <w:rFonts w:ascii="宋体" w:hAnsi="宋体" w:cs="Arial"/>
          <w:szCs w:val="21"/>
        </w:rPr>
      </w:pPr>
      <w:r>
        <w:rPr>
          <w:rFonts w:hint="eastAsia" w:ascii="宋体" w:hAnsi="宋体" w:cs="Arial"/>
          <w:szCs w:val="21"/>
        </w:rPr>
        <w:t>非同一控制下企业合并</w:t>
      </w:r>
    </w:p>
    <w:sdt>
      <w:sdtPr>
        <w:alias w:val="是否适用：非同一控制下企业合并[双击切换]"/>
        <w:tag w:val="_GBC_f305adddf4654659bd28ceedc072aa05"/>
        <w:id w:val="-731391857"/>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504"/>
        <w:numPr>
          <w:ilvl w:val="0"/>
          <w:numId w:val="113"/>
        </w:numPr>
        <w:rPr>
          <w:rFonts w:ascii="宋体" w:hAnsi="宋体" w:cs="Arial"/>
          <w:szCs w:val="21"/>
        </w:rPr>
      </w:pPr>
      <w:r>
        <w:rPr>
          <w:rFonts w:hint="eastAsia" w:ascii="宋体" w:hAnsi="宋体" w:cs="Arial"/>
          <w:szCs w:val="21"/>
        </w:rPr>
        <w:t>同一控制下企业合并</w:t>
      </w:r>
    </w:p>
    <w:sdt>
      <w:sdtPr>
        <w:alias w:val="是否适用：同一控制下企业合并[双击切换]"/>
        <w:tag w:val="_GBC_698d1a451f094ec0bf9c3a278d26a0d3"/>
        <w:id w:val="1542477268"/>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5"/>
        <w:numPr>
          <w:ilvl w:val="0"/>
          <w:numId w:val="114"/>
        </w:numPr>
        <w:ind w:left="426" w:hanging="426"/>
      </w:pPr>
      <w:r>
        <w:rPr>
          <w:rFonts w:hint="eastAsia"/>
        </w:rPr>
        <w:t>本期发生的同一控制下企业合并</w:t>
      </w:r>
    </w:p>
    <w:sdt>
      <w:sdtPr>
        <w:alias w:val="是否适用：本期发生的同一控制下企业合并[双击切换]"/>
        <w:tag w:val="_GBC_50aeb159f0be4e099170131affd5d1bc"/>
        <w:id w:val="-32922191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rPr>
      </w:pPr>
      <w:r>
        <w:rPr>
          <w:rFonts w:hint="eastAsia"/>
        </w:rPr>
        <w:t>单位:</w:t>
      </w:r>
      <w:sdt>
        <w:sdtPr>
          <w:rPr>
            <w:rFonts w:hint="eastAsia"/>
          </w:rPr>
          <w:alias w:val="单位：发生的同一控制下企业合并"/>
          <w:tag w:val="_GBC_6c807af61b7c4d1dad8dbcd9238f2985"/>
          <w:id w:val="-3804063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发生的同一控制下企业合并"/>
          <w:tag w:val="_GBC_d0e9edec9a044027a7e3968e6e6224ea"/>
          <w:id w:val="16528618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059"/>
        <w:gridCol w:w="1202"/>
        <w:gridCol w:w="820"/>
        <w:gridCol w:w="890"/>
        <w:gridCol w:w="1093"/>
        <w:gridCol w:w="1039"/>
        <w:gridCol w:w="1093"/>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sdt>
          <w:sdtPr>
            <w:tag w:val="_PLD_cf4cad5fd924471dbbecdf354d5ad2e3"/>
            <w:id w:val="629287987"/>
          </w:sdtPr>
          <w:sdtContent>
            <w:tc>
              <w:tcPr>
                <w:tcW w:w="450" w:type="pct"/>
                <w:shd w:val="clear" w:color="auto" w:fill="auto"/>
                <w:vAlign w:val="center"/>
              </w:tcPr>
              <w:p>
                <w:pPr>
                  <w:jc w:val="center"/>
                </w:pPr>
                <w:r>
                  <w:rPr>
                    <w:rFonts w:hint="eastAsia"/>
                  </w:rPr>
                  <w:t>被合并方名称</w:t>
                </w:r>
              </w:p>
            </w:tc>
          </w:sdtContent>
        </w:sdt>
        <w:sdt>
          <w:sdtPr>
            <w:tag w:val="_PLD_ea6ca5b536474fc18ca1201904cdab3b"/>
            <w:id w:val="-344094716"/>
          </w:sdtPr>
          <w:sdtContent>
            <w:tc>
              <w:tcPr>
                <w:tcW w:w="585" w:type="pct"/>
                <w:shd w:val="clear" w:color="auto" w:fill="auto"/>
                <w:vAlign w:val="center"/>
              </w:tcPr>
              <w:p>
                <w:pPr>
                  <w:jc w:val="center"/>
                </w:pPr>
                <w:r>
                  <w:rPr>
                    <w:rFonts w:hint="eastAsia"/>
                  </w:rPr>
                  <w:t>企业合并中取得的权益比例</w:t>
                </w:r>
              </w:p>
            </w:tc>
          </w:sdtContent>
        </w:sdt>
        <w:sdt>
          <w:sdtPr>
            <w:tag w:val="_PLD_3f424227b77145b18d7b5c46cc9dfab8"/>
            <w:id w:val="1519967901"/>
          </w:sdtPr>
          <w:sdtContent>
            <w:tc>
              <w:tcPr>
                <w:tcW w:w="664" w:type="pct"/>
                <w:shd w:val="clear" w:color="auto" w:fill="auto"/>
                <w:vAlign w:val="center"/>
              </w:tcPr>
              <w:p>
                <w:pPr>
                  <w:jc w:val="center"/>
                </w:pPr>
                <w:r>
                  <w:rPr>
                    <w:rFonts w:hint="eastAsia"/>
                  </w:rPr>
                  <w:t>构成同一控制下企业合并的依据</w:t>
                </w:r>
              </w:p>
            </w:tc>
          </w:sdtContent>
        </w:sdt>
        <w:sdt>
          <w:sdtPr>
            <w:tag w:val="_PLD_e8fd59ee75374533bfc1d1ff5c5dd604"/>
            <w:id w:val="-2039725113"/>
          </w:sdtPr>
          <w:sdtContent>
            <w:tc>
              <w:tcPr>
                <w:tcW w:w="453" w:type="pct"/>
                <w:shd w:val="clear" w:color="auto" w:fill="auto"/>
                <w:vAlign w:val="center"/>
              </w:tcPr>
              <w:p>
                <w:pPr>
                  <w:jc w:val="center"/>
                </w:pPr>
                <w:r>
                  <w:rPr>
                    <w:rFonts w:hint="eastAsia"/>
                  </w:rPr>
                  <w:t>合并日</w:t>
                </w:r>
              </w:p>
            </w:tc>
          </w:sdtContent>
        </w:sdt>
        <w:sdt>
          <w:sdtPr>
            <w:tag w:val="_PLD_0e812ed2b27d40c2bc820568242609ea"/>
            <w:id w:val="2006696247"/>
          </w:sdtPr>
          <w:sdtContent>
            <w:tc>
              <w:tcPr>
                <w:tcW w:w="492" w:type="pct"/>
                <w:shd w:val="clear" w:color="auto" w:fill="auto"/>
                <w:vAlign w:val="center"/>
              </w:tcPr>
              <w:p>
                <w:pPr>
                  <w:jc w:val="center"/>
                </w:pPr>
                <w:r>
                  <w:rPr>
                    <w:rFonts w:hint="eastAsia"/>
                  </w:rPr>
                  <w:t>合并日的确定依据</w:t>
                </w:r>
              </w:p>
            </w:tc>
          </w:sdtContent>
        </w:sdt>
        <w:sdt>
          <w:sdtPr>
            <w:tag w:val="_PLD_d625705be55e4fdd9e867728c1965db0"/>
            <w:id w:val="-1039966865"/>
          </w:sdtPr>
          <w:sdtContent>
            <w:tc>
              <w:tcPr>
                <w:tcW w:w="604" w:type="pct"/>
                <w:shd w:val="clear" w:color="auto" w:fill="auto"/>
                <w:vAlign w:val="center"/>
              </w:tcPr>
              <w:p>
                <w:pPr>
                  <w:jc w:val="center"/>
                </w:pPr>
                <w:r>
                  <w:rPr>
                    <w:rFonts w:hint="eastAsia"/>
                  </w:rPr>
                  <w:t>合并当期期初至合并日被合并方的收入</w:t>
                </w:r>
              </w:p>
            </w:tc>
          </w:sdtContent>
        </w:sdt>
        <w:sdt>
          <w:sdtPr>
            <w:tag w:val="_PLD_03b7d7d580ac4e22b699e2e17f8f3009"/>
            <w:id w:val="-918711597"/>
          </w:sdtPr>
          <w:sdtContent>
            <w:tc>
              <w:tcPr>
                <w:tcW w:w="574" w:type="pct"/>
                <w:shd w:val="clear" w:color="auto" w:fill="auto"/>
                <w:vAlign w:val="center"/>
              </w:tcPr>
              <w:p>
                <w:pPr>
                  <w:jc w:val="center"/>
                </w:pPr>
                <w:r>
                  <w:rPr>
                    <w:rFonts w:hint="eastAsia"/>
                  </w:rPr>
                  <w:t>合并当期期初至合并日被合并方的净利润</w:t>
                </w:r>
              </w:p>
            </w:tc>
          </w:sdtContent>
        </w:sdt>
        <w:sdt>
          <w:sdtPr>
            <w:tag w:val="_PLD_a1bf6594ef214561a400037e9b2c868d"/>
            <w:id w:val="286320774"/>
          </w:sdtPr>
          <w:sdtContent>
            <w:tc>
              <w:tcPr>
                <w:tcW w:w="604" w:type="pct"/>
                <w:vAlign w:val="center"/>
              </w:tcPr>
              <w:p>
                <w:pPr>
                  <w:jc w:val="center"/>
                </w:pPr>
                <w:r>
                  <w:rPr>
                    <w:rFonts w:hint="eastAsia"/>
                  </w:rPr>
                  <w:t>比较期间被合并方的收入</w:t>
                </w:r>
              </w:p>
            </w:tc>
          </w:sdtContent>
        </w:sdt>
        <w:sdt>
          <w:sdtPr>
            <w:tag w:val="_PLD_c3156d36b4534057acbc9a11456c7f76"/>
            <w:id w:val="-1214656223"/>
          </w:sdtPr>
          <w:sdtContent>
            <w:tc>
              <w:tcPr>
                <w:tcW w:w="574" w:type="pct"/>
                <w:vAlign w:val="center"/>
              </w:tcPr>
              <w:p>
                <w:pPr>
                  <w:jc w:val="center"/>
                </w:pPr>
                <w:r>
                  <w:rPr>
                    <w:rFonts w:hint="eastAsia"/>
                  </w:rPr>
                  <w:t>比较期间被合并方的净利润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0" w:type="pct"/>
            <w:shd w:val="clear" w:color="auto" w:fill="auto"/>
            <w:vAlign w:val="center"/>
          </w:tcPr>
          <w:p>
            <w:pPr>
              <w:rPr>
                <w:rFonts w:ascii="宋体" w:hAnsi="宋体" w:cs="宋体"/>
                <w:color w:val="000000"/>
                <w:spacing w:val="-20"/>
                <w:lang w:bidi="ar"/>
              </w:rPr>
            </w:pPr>
            <w:r>
              <w:rPr>
                <w:rFonts w:hint="eastAsia" w:ascii="宋体" w:hAnsi="宋体" w:cs="宋体"/>
                <w:color w:val="000000"/>
                <w:spacing w:val="-20"/>
                <w:lang w:bidi="ar"/>
              </w:rPr>
              <w:t>山东能源大厦上海有限公司</w:t>
            </w:r>
          </w:p>
        </w:tc>
        <w:tc>
          <w:tcPr>
            <w:tcW w:w="585" w:type="pct"/>
            <w:shd w:val="clear" w:color="auto" w:fill="auto"/>
            <w:vAlign w:val="center"/>
          </w:tcPr>
          <w:p>
            <w:pPr>
              <w:jc w:val="right"/>
              <w:rPr>
                <w:rFonts w:ascii="宋体" w:hAnsi="宋体" w:cs="宋体"/>
                <w:color w:val="000000"/>
                <w:spacing w:val="-20"/>
                <w:lang w:bidi="ar"/>
              </w:rPr>
            </w:pPr>
            <w:r>
              <w:rPr>
                <w:rFonts w:hint="eastAsia" w:ascii="宋体" w:hAnsi="宋体" w:cs="宋体"/>
                <w:color w:val="000000"/>
                <w:spacing w:val="-20"/>
                <w:lang w:bidi="ar"/>
              </w:rPr>
              <w:t>75%</w:t>
            </w:r>
          </w:p>
        </w:tc>
        <w:tc>
          <w:tcPr>
            <w:tcW w:w="664" w:type="pct"/>
            <w:shd w:val="clear" w:color="auto" w:fill="auto"/>
            <w:vAlign w:val="center"/>
          </w:tcPr>
          <w:p>
            <w:pPr>
              <w:rPr>
                <w:rFonts w:ascii="宋体" w:hAnsi="宋体" w:cs="宋体"/>
                <w:color w:val="000000"/>
                <w:spacing w:val="-20"/>
                <w:lang w:bidi="ar"/>
              </w:rPr>
            </w:pPr>
            <w:r>
              <w:rPr>
                <w:rFonts w:hint="eastAsia" w:ascii="宋体" w:hAnsi="宋体" w:cs="宋体"/>
                <w:color w:val="000000"/>
                <w:spacing w:val="-20"/>
                <w:lang w:bidi="ar"/>
              </w:rPr>
              <w:t>最终控制人为山东能源</w:t>
            </w:r>
          </w:p>
        </w:tc>
        <w:tc>
          <w:tcPr>
            <w:tcW w:w="453" w:type="pct"/>
            <w:shd w:val="clear" w:color="auto" w:fill="auto"/>
            <w:vAlign w:val="center"/>
          </w:tcPr>
          <w:p>
            <w:pPr>
              <w:rPr>
                <w:rFonts w:ascii="宋体" w:hAnsi="宋体" w:cs="宋体"/>
                <w:color w:val="000000"/>
                <w:spacing w:val="-20"/>
                <w:lang w:bidi="ar"/>
              </w:rPr>
            </w:pPr>
            <w:r>
              <w:rPr>
                <w:rFonts w:hint="eastAsia" w:ascii="宋体" w:hAnsi="宋体" w:cs="宋体"/>
                <w:color w:val="000000"/>
                <w:spacing w:val="-20"/>
                <w:lang w:bidi="ar"/>
              </w:rPr>
              <w:t>2023年3月31日</w:t>
            </w:r>
          </w:p>
        </w:tc>
        <w:tc>
          <w:tcPr>
            <w:tcW w:w="492" w:type="pct"/>
            <w:shd w:val="clear" w:color="auto" w:fill="auto"/>
            <w:vAlign w:val="center"/>
          </w:tcPr>
          <w:p>
            <w:pPr>
              <w:rPr>
                <w:rFonts w:ascii="宋体" w:hAnsi="宋体" w:cs="宋体"/>
                <w:color w:val="000000"/>
                <w:spacing w:val="-20"/>
                <w:lang w:bidi="ar"/>
              </w:rPr>
            </w:pPr>
            <w:r>
              <w:rPr>
                <w:rFonts w:hint="eastAsia" w:ascii="宋体" w:hAnsi="宋体" w:cs="宋体"/>
                <w:color w:val="000000"/>
                <w:spacing w:val="-20"/>
                <w:lang w:bidi="ar"/>
              </w:rPr>
              <w:t>控制权的转移</w:t>
            </w:r>
          </w:p>
        </w:tc>
        <w:tc>
          <w:tcPr>
            <w:tcW w:w="604" w:type="pct"/>
            <w:shd w:val="clear" w:color="auto" w:fill="auto"/>
            <w:vAlign w:val="center"/>
          </w:tcPr>
          <w:p>
            <w:pPr>
              <w:jc w:val="right"/>
              <w:rPr>
                <w:rFonts w:ascii="宋体" w:hAnsi="宋体" w:cs="宋体"/>
                <w:color w:val="000000"/>
                <w:spacing w:val="-20"/>
                <w:lang w:bidi="ar"/>
              </w:rPr>
            </w:pPr>
          </w:p>
        </w:tc>
        <w:tc>
          <w:tcPr>
            <w:tcW w:w="574" w:type="pct"/>
            <w:shd w:val="clear" w:color="auto" w:fill="auto"/>
            <w:vAlign w:val="center"/>
          </w:tcPr>
          <w:p>
            <w:pPr>
              <w:jc w:val="right"/>
              <w:rPr>
                <w:rFonts w:ascii="宋体" w:hAnsi="宋体" w:cs="宋体"/>
                <w:color w:val="000000"/>
                <w:spacing w:val="-20"/>
                <w:lang w:bidi="ar"/>
              </w:rPr>
            </w:pPr>
            <w:r>
              <w:rPr>
                <w:rFonts w:hint="eastAsia" w:ascii="宋体" w:hAnsi="宋体" w:cs="宋体"/>
                <w:color w:val="000000"/>
                <w:spacing w:val="-20"/>
                <w:lang w:bidi="ar"/>
              </w:rPr>
              <w:t>2</w:t>
            </w:r>
          </w:p>
        </w:tc>
        <w:tc>
          <w:tcPr>
            <w:tcW w:w="604" w:type="pct"/>
            <w:vAlign w:val="center"/>
          </w:tcPr>
          <w:p>
            <w:pPr>
              <w:jc w:val="right"/>
              <w:rPr>
                <w:rFonts w:ascii="宋体" w:hAnsi="宋体" w:cs="宋体"/>
                <w:color w:val="000000"/>
                <w:spacing w:val="-20"/>
                <w:lang w:bidi="ar"/>
              </w:rPr>
            </w:pPr>
          </w:p>
        </w:tc>
        <w:tc>
          <w:tcPr>
            <w:tcW w:w="574" w:type="pct"/>
            <w:vAlign w:val="center"/>
          </w:tcPr>
          <w:p>
            <w:pPr>
              <w:jc w:val="right"/>
              <w:rPr>
                <w:rFonts w:ascii="宋体" w:hAnsi="宋体" w:cs="宋体"/>
                <w:color w:val="000000"/>
                <w:spacing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0" w:type="pct"/>
            <w:shd w:val="clear" w:color="auto" w:fill="auto"/>
            <w:vAlign w:val="center"/>
          </w:tcPr>
          <w:p>
            <w:pPr>
              <w:pStyle w:val="501"/>
            </w:pPr>
            <w:r>
              <w:rPr>
                <w:rFonts w:hint="eastAsia" w:ascii="宋体" w:hAnsi="宋体" w:cs="宋体"/>
                <w:color w:val="000000"/>
                <w:spacing w:val="-20"/>
                <w:lang w:bidi="ar"/>
              </w:rPr>
              <w:t>山东能源集团鲁西矿业有限公司（注1）</w:t>
            </w:r>
          </w:p>
        </w:tc>
        <w:tc>
          <w:tcPr>
            <w:tcW w:w="585" w:type="pct"/>
            <w:shd w:val="clear" w:color="auto" w:fill="auto"/>
            <w:vAlign w:val="center"/>
          </w:tcPr>
          <w:p>
            <w:pPr>
              <w:jc w:val="right"/>
            </w:pPr>
            <w:r>
              <w:rPr>
                <w:rFonts w:hint="eastAsia" w:ascii="宋体" w:hAnsi="宋体" w:cs="宋体"/>
                <w:color w:val="000000"/>
                <w:spacing w:val="-20"/>
                <w:lang w:bidi="ar"/>
              </w:rPr>
              <w:t>51%</w:t>
            </w:r>
          </w:p>
        </w:tc>
        <w:tc>
          <w:tcPr>
            <w:tcW w:w="664" w:type="pct"/>
            <w:shd w:val="clear" w:color="auto" w:fill="auto"/>
            <w:vAlign w:val="center"/>
          </w:tcPr>
          <w:p>
            <w:pPr>
              <w:pStyle w:val="501"/>
            </w:pPr>
            <w:r>
              <w:rPr>
                <w:rFonts w:hint="eastAsia" w:ascii="宋体" w:hAnsi="宋体" w:cs="宋体"/>
                <w:color w:val="000000"/>
                <w:spacing w:val="-20"/>
                <w:lang w:bidi="ar"/>
              </w:rPr>
              <w:t>最终控制人为山东能源</w:t>
            </w:r>
          </w:p>
        </w:tc>
        <w:tc>
          <w:tcPr>
            <w:tcW w:w="453" w:type="pct"/>
            <w:shd w:val="clear" w:color="auto" w:fill="auto"/>
            <w:vAlign w:val="center"/>
          </w:tcPr>
          <w:p>
            <w:pPr>
              <w:pStyle w:val="501"/>
            </w:pPr>
            <w:r>
              <w:rPr>
                <w:rFonts w:hint="eastAsia" w:ascii="宋体" w:hAnsi="宋体" w:cs="宋体"/>
                <w:color w:val="000000"/>
                <w:spacing w:val="-20"/>
                <w:lang w:bidi="ar"/>
              </w:rPr>
              <w:t>2023年9月30日</w:t>
            </w:r>
          </w:p>
        </w:tc>
        <w:tc>
          <w:tcPr>
            <w:tcW w:w="492" w:type="pct"/>
            <w:shd w:val="clear" w:color="auto" w:fill="auto"/>
            <w:vAlign w:val="center"/>
          </w:tcPr>
          <w:p>
            <w:pPr>
              <w:pStyle w:val="501"/>
            </w:pPr>
            <w:r>
              <w:rPr>
                <w:rFonts w:hint="eastAsia" w:ascii="宋体" w:hAnsi="宋体" w:cs="宋体"/>
                <w:color w:val="000000"/>
                <w:spacing w:val="-20"/>
                <w:lang w:bidi="ar"/>
              </w:rPr>
              <w:t>控制权的转移</w:t>
            </w:r>
          </w:p>
        </w:tc>
        <w:tc>
          <w:tcPr>
            <w:tcW w:w="604" w:type="pct"/>
            <w:shd w:val="clear" w:color="auto" w:fill="auto"/>
            <w:vAlign w:val="center"/>
          </w:tcPr>
          <w:p>
            <w:pPr>
              <w:jc w:val="right"/>
            </w:pPr>
            <w:r>
              <w:rPr>
                <w:rFonts w:hint="eastAsia" w:ascii="宋体" w:hAnsi="宋体" w:cs="宋体"/>
                <w:color w:val="000000"/>
                <w:spacing w:val="-20"/>
                <w:lang w:bidi="ar"/>
              </w:rPr>
              <w:t>12,027,400</w:t>
            </w:r>
          </w:p>
        </w:tc>
        <w:tc>
          <w:tcPr>
            <w:tcW w:w="574" w:type="pct"/>
            <w:shd w:val="clear" w:color="auto" w:fill="auto"/>
            <w:vAlign w:val="center"/>
          </w:tcPr>
          <w:p>
            <w:pPr>
              <w:jc w:val="right"/>
            </w:pPr>
            <w:r>
              <w:rPr>
                <w:rFonts w:hint="eastAsia" w:ascii="宋体" w:hAnsi="宋体" w:cs="宋体"/>
                <w:color w:val="000000"/>
                <w:spacing w:val="-20"/>
                <w:lang w:bidi="ar"/>
              </w:rPr>
              <w:t>2,300,720</w:t>
            </w:r>
          </w:p>
        </w:tc>
        <w:tc>
          <w:tcPr>
            <w:tcW w:w="604" w:type="pct"/>
            <w:vAlign w:val="center"/>
          </w:tcPr>
          <w:p>
            <w:pPr>
              <w:jc w:val="right"/>
            </w:pPr>
            <w:r>
              <w:rPr>
                <w:rFonts w:hint="eastAsia" w:ascii="宋体" w:hAnsi="宋体" w:cs="宋体"/>
                <w:color w:val="000000"/>
                <w:spacing w:val="-20"/>
                <w:lang w:bidi="ar"/>
              </w:rPr>
              <w:t>13,077,050</w:t>
            </w:r>
          </w:p>
        </w:tc>
        <w:tc>
          <w:tcPr>
            <w:tcW w:w="574" w:type="pct"/>
            <w:vAlign w:val="center"/>
          </w:tcPr>
          <w:p>
            <w:pPr>
              <w:jc w:val="right"/>
            </w:pPr>
            <w:r>
              <w:rPr>
                <w:rFonts w:hint="eastAsia" w:ascii="宋体" w:hAnsi="宋体" w:cs="宋体"/>
                <w:color w:val="000000"/>
                <w:spacing w:val="-20"/>
                <w:lang w:bidi="ar"/>
              </w:rPr>
              <w:t>3,022,196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0" w:type="pct"/>
            <w:shd w:val="clear" w:color="auto" w:fill="auto"/>
            <w:vAlign w:val="center"/>
          </w:tcPr>
          <w:p>
            <w:pPr>
              <w:pStyle w:val="501"/>
            </w:pPr>
            <w:r>
              <w:rPr>
                <w:rFonts w:hint="eastAsia" w:ascii="宋体" w:hAnsi="宋体" w:cs="宋体"/>
                <w:color w:val="000000"/>
                <w:spacing w:val="-20"/>
                <w:lang w:bidi="ar"/>
              </w:rPr>
              <w:t>兖矿新疆能化有限公司（注1）</w:t>
            </w:r>
          </w:p>
        </w:tc>
        <w:tc>
          <w:tcPr>
            <w:tcW w:w="585" w:type="pct"/>
            <w:shd w:val="clear" w:color="auto" w:fill="auto"/>
            <w:vAlign w:val="center"/>
          </w:tcPr>
          <w:p>
            <w:pPr>
              <w:jc w:val="right"/>
            </w:pPr>
            <w:r>
              <w:rPr>
                <w:rFonts w:hint="eastAsia" w:ascii="宋体" w:hAnsi="宋体" w:cs="宋体"/>
                <w:color w:val="000000"/>
                <w:spacing w:val="-20"/>
                <w:lang w:bidi="ar"/>
              </w:rPr>
              <w:t>51%</w:t>
            </w:r>
          </w:p>
        </w:tc>
        <w:tc>
          <w:tcPr>
            <w:tcW w:w="664" w:type="pct"/>
            <w:shd w:val="clear" w:color="auto" w:fill="auto"/>
            <w:vAlign w:val="center"/>
          </w:tcPr>
          <w:p>
            <w:pPr>
              <w:pStyle w:val="501"/>
            </w:pPr>
            <w:r>
              <w:rPr>
                <w:rFonts w:hint="eastAsia" w:ascii="宋体" w:hAnsi="宋体" w:cs="宋体"/>
                <w:color w:val="000000"/>
                <w:spacing w:val="-20"/>
                <w:lang w:bidi="ar"/>
              </w:rPr>
              <w:t>最终控制人为山东能源</w:t>
            </w:r>
          </w:p>
        </w:tc>
        <w:tc>
          <w:tcPr>
            <w:tcW w:w="453" w:type="pct"/>
            <w:shd w:val="clear" w:color="auto" w:fill="auto"/>
            <w:vAlign w:val="center"/>
          </w:tcPr>
          <w:p>
            <w:pPr>
              <w:pStyle w:val="501"/>
            </w:pPr>
            <w:r>
              <w:rPr>
                <w:rFonts w:hint="eastAsia" w:ascii="宋体" w:hAnsi="宋体" w:cs="宋体"/>
                <w:color w:val="000000"/>
                <w:spacing w:val="-20"/>
                <w:lang w:bidi="ar"/>
              </w:rPr>
              <w:t>2023年9月30日</w:t>
            </w:r>
          </w:p>
        </w:tc>
        <w:tc>
          <w:tcPr>
            <w:tcW w:w="492" w:type="pct"/>
            <w:shd w:val="clear" w:color="auto" w:fill="auto"/>
            <w:vAlign w:val="center"/>
          </w:tcPr>
          <w:p>
            <w:pPr>
              <w:pStyle w:val="501"/>
            </w:pPr>
            <w:r>
              <w:rPr>
                <w:rFonts w:hint="eastAsia" w:ascii="宋体" w:hAnsi="宋体" w:cs="宋体"/>
                <w:color w:val="000000"/>
                <w:spacing w:val="-20"/>
                <w:lang w:bidi="ar"/>
              </w:rPr>
              <w:t>控制权的转移</w:t>
            </w:r>
          </w:p>
        </w:tc>
        <w:tc>
          <w:tcPr>
            <w:tcW w:w="604" w:type="pct"/>
            <w:shd w:val="clear" w:color="auto" w:fill="auto"/>
            <w:vAlign w:val="center"/>
          </w:tcPr>
          <w:p>
            <w:pPr>
              <w:jc w:val="right"/>
            </w:pPr>
            <w:r>
              <w:rPr>
                <w:rFonts w:hint="eastAsia" w:ascii="宋体" w:hAnsi="宋体" w:cs="宋体"/>
                <w:color w:val="000000"/>
                <w:spacing w:val="-20"/>
                <w:lang w:bidi="ar"/>
              </w:rPr>
              <w:t>3,661,073</w:t>
            </w:r>
          </w:p>
        </w:tc>
        <w:tc>
          <w:tcPr>
            <w:tcW w:w="574" w:type="pct"/>
            <w:shd w:val="clear" w:color="auto" w:fill="auto"/>
            <w:vAlign w:val="center"/>
          </w:tcPr>
          <w:p>
            <w:pPr>
              <w:jc w:val="right"/>
            </w:pPr>
            <w:r>
              <w:rPr>
                <w:rFonts w:hint="eastAsia" w:ascii="宋体" w:hAnsi="宋体" w:cs="宋体"/>
                <w:color w:val="000000"/>
                <w:spacing w:val="-20"/>
                <w:lang w:bidi="ar"/>
              </w:rPr>
              <w:t>447,492</w:t>
            </w:r>
          </w:p>
        </w:tc>
        <w:tc>
          <w:tcPr>
            <w:tcW w:w="604" w:type="pct"/>
            <w:vAlign w:val="center"/>
          </w:tcPr>
          <w:p>
            <w:pPr>
              <w:jc w:val="right"/>
            </w:pPr>
            <w:r>
              <w:rPr>
                <w:rFonts w:ascii="宋体" w:hAnsi="宋体" w:cs="宋体"/>
                <w:color w:val="000000"/>
                <w:spacing w:val="-20"/>
                <w:lang w:bidi="ar"/>
              </w:rPr>
              <w:t>4,842,420</w:t>
            </w:r>
          </w:p>
        </w:tc>
        <w:tc>
          <w:tcPr>
            <w:tcW w:w="574" w:type="pct"/>
            <w:vAlign w:val="center"/>
          </w:tcPr>
          <w:p>
            <w:pPr>
              <w:jc w:val="right"/>
            </w:pPr>
            <w:r>
              <w:rPr>
                <w:rFonts w:ascii="宋体" w:hAnsi="宋体" w:cs="宋体"/>
                <w:color w:val="000000"/>
                <w:spacing w:val="-20"/>
                <w:lang w:bidi="ar"/>
              </w:rPr>
              <w:t>1,898,110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0" w:type="pct"/>
            <w:shd w:val="clear" w:color="auto" w:fill="auto"/>
            <w:vAlign w:val="center"/>
          </w:tcPr>
          <w:p>
            <w:pPr>
              <w:pStyle w:val="501"/>
            </w:pPr>
            <w:r>
              <w:rPr>
                <w:rFonts w:hint="eastAsia" w:ascii="宋体" w:hAnsi="宋体" w:cs="宋体"/>
                <w:color w:val="000000"/>
                <w:spacing w:val="-20"/>
                <w:lang w:bidi="ar"/>
              </w:rPr>
              <w:t>山东能源集团财务有限公司（注2）</w:t>
            </w:r>
          </w:p>
        </w:tc>
        <w:tc>
          <w:tcPr>
            <w:tcW w:w="585" w:type="pct"/>
            <w:shd w:val="clear" w:color="auto" w:fill="auto"/>
            <w:vAlign w:val="center"/>
          </w:tcPr>
          <w:p>
            <w:pPr>
              <w:jc w:val="right"/>
            </w:pPr>
            <w:r>
              <w:rPr>
                <w:rFonts w:hint="eastAsia" w:ascii="宋体" w:hAnsi="宋体" w:cs="宋体"/>
                <w:color w:val="000000"/>
                <w:spacing w:val="-20"/>
                <w:lang w:bidi="ar"/>
              </w:rPr>
              <w:t>53.92%</w:t>
            </w:r>
          </w:p>
        </w:tc>
        <w:tc>
          <w:tcPr>
            <w:tcW w:w="664" w:type="pct"/>
            <w:shd w:val="clear" w:color="auto" w:fill="auto"/>
            <w:vAlign w:val="center"/>
          </w:tcPr>
          <w:p>
            <w:pPr>
              <w:pStyle w:val="501"/>
            </w:pPr>
            <w:r>
              <w:rPr>
                <w:rFonts w:hint="eastAsia" w:ascii="宋体" w:hAnsi="宋体" w:cs="宋体"/>
                <w:color w:val="000000"/>
                <w:spacing w:val="-20"/>
                <w:lang w:bidi="ar"/>
              </w:rPr>
              <w:t>最终控制人为山东能源</w:t>
            </w:r>
          </w:p>
        </w:tc>
        <w:tc>
          <w:tcPr>
            <w:tcW w:w="453" w:type="pct"/>
            <w:shd w:val="clear" w:color="auto" w:fill="auto"/>
            <w:vAlign w:val="center"/>
          </w:tcPr>
          <w:p>
            <w:pPr>
              <w:pStyle w:val="501"/>
            </w:pPr>
            <w:r>
              <w:rPr>
                <w:rFonts w:hint="eastAsia" w:ascii="宋体" w:hAnsi="宋体" w:cs="宋体"/>
                <w:color w:val="000000"/>
                <w:spacing w:val="-20"/>
                <w:lang w:bidi="ar"/>
              </w:rPr>
              <w:t>2023年11月6日</w:t>
            </w:r>
          </w:p>
        </w:tc>
        <w:tc>
          <w:tcPr>
            <w:tcW w:w="492" w:type="pct"/>
            <w:shd w:val="clear" w:color="auto" w:fill="auto"/>
            <w:vAlign w:val="center"/>
          </w:tcPr>
          <w:p>
            <w:pPr>
              <w:pStyle w:val="501"/>
            </w:pPr>
            <w:r>
              <w:rPr>
                <w:rFonts w:hint="eastAsia" w:ascii="宋体" w:hAnsi="宋体" w:cs="宋体"/>
                <w:color w:val="000000"/>
                <w:spacing w:val="-20"/>
                <w:lang w:bidi="ar"/>
              </w:rPr>
              <w:t>控制权的转移</w:t>
            </w:r>
          </w:p>
        </w:tc>
        <w:tc>
          <w:tcPr>
            <w:tcW w:w="604" w:type="pct"/>
            <w:shd w:val="clear" w:color="auto" w:fill="auto"/>
            <w:vAlign w:val="center"/>
          </w:tcPr>
          <w:p>
            <w:pPr>
              <w:jc w:val="right"/>
              <w:rPr>
                <w:rFonts w:ascii="宋体" w:hAnsi="宋体" w:cs="宋体"/>
                <w:color w:val="000000"/>
                <w:spacing w:val="-20"/>
                <w:lang w:bidi="ar"/>
              </w:rPr>
            </w:pPr>
            <w:r>
              <w:rPr>
                <w:rFonts w:ascii="宋体" w:hAnsi="宋体" w:cs="宋体"/>
                <w:color w:val="000000"/>
                <w:spacing w:val="-20"/>
                <w:lang w:bidi="ar"/>
              </w:rPr>
              <w:t>292,089</w:t>
            </w:r>
          </w:p>
        </w:tc>
        <w:tc>
          <w:tcPr>
            <w:tcW w:w="574" w:type="pct"/>
            <w:shd w:val="clear" w:color="auto" w:fill="auto"/>
            <w:vAlign w:val="center"/>
          </w:tcPr>
          <w:p>
            <w:pPr>
              <w:jc w:val="right"/>
              <w:rPr>
                <w:rFonts w:ascii="宋体" w:hAnsi="宋体" w:cs="宋体"/>
                <w:color w:val="000000"/>
                <w:spacing w:val="-20"/>
                <w:lang w:bidi="ar"/>
              </w:rPr>
            </w:pPr>
            <w:r>
              <w:rPr>
                <w:rFonts w:ascii="宋体" w:hAnsi="宋体" w:cs="宋体"/>
                <w:color w:val="000000"/>
                <w:spacing w:val="-20"/>
                <w:lang w:bidi="ar"/>
              </w:rPr>
              <w:t>178,494</w:t>
            </w:r>
          </w:p>
        </w:tc>
        <w:tc>
          <w:tcPr>
            <w:tcW w:w="604" w:type="pct"/>
            <w:vAlign w:val="center"/>
          </w:tcPr>
          <w:p>
            <w:pPr>
              <w:jc w:val="right"/>
              <w:rPr>
                <w:rFonts w:ascii="宋体" w:hAnsi="宋体" w:cs="宋体"/>
                <w:color w:val="000000"/>
                <w:spacing w:val="-20"/>
                <w:lang w:bidi="ar"/>
              </w:rPr>
            </w:pPr>
            <w:r>
              <w:rPr>
                <w:rFonts w:ascii="宋体" w:hAnsi="宋体" w:cs="宋体"/>
                <w:color w:val="000000"/>
                <w:spacing w:val="-20"/>
                <w:lang w:bidi="ar"/>
              </w:rPr>
              <w:t>348,690</w:t>
            </w:r>
          </w:p>
        </w:tc>
        <w:tc>
          <w:tcPr>
            <w:tcW w:w="574" w:type="pct"/>
            <w:vAlign w:val="center"/>
          </w:tcPr>
          <w:p>
            <w:pPr>
              <w:jc w:val="right"/>
              <w:rPr>
                <w:rFonts w:ascii="宋体" w:hAnsi="宋体" w:cs="宋体"/>
                <w:color w:val="000000"/>
                <w:spacing w:val="-20"/>
                <w:lang w:bidi="ar"/>
              </w:rPr>
            </w:pPr>
            <w:r>
              <w:rPr>
                <w:rFonts w:ascii="宋体" w:hAnsi="宋体" w:cs="宋体"/>
                <w:color w:val="000000"/>
                <w:spacing w:val="-20"/>
                <w:lang w:bidi="ar"/>
              </w:rPr>
              <w:t>118,165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50" w:type="pct"/>
            <w:shd w:val="clear" w:color="auto" w:fill="auto"/>
            <w:vAlign w:val="center"/>
          </w:tcPr>
          <w:p>
            <w:pPr>
              <w:pStyle w:val="501"/>
            </w:pPr>
            <w:r>
              <w:rPr>
                <w:rFonts w:hint="eastAsia" w:ascii="宋体" w:hAnsi="宋体" w:cs="宋体"/>
                <w:color w:val="000000"/>
                <w:spacing w:val="-20"/>
                <w:lang w:bidi="ar"/>
              </w:rPr>
              <w:t>兖矿煤化工程有限公司</w:t>
            </w:r>
          </w:p>
        </w:tc>
        <w:tc>
          <w:tcPr>
            <w:tcW w:w="585" w:type="pct"/>
            <w:shd w:val="clear" w:color="auto" w:fill="auto"/>
            <w:vAlign w:val="center"/>
          </w:tcPr>
          <w:p>
            <w:pPr>
              <w:jc w:val="right"/>
            </w:pPr>
            <w:r>
              <w:rPr>
                <w:rFonts w:hint="eastAsia" w:ascii="宋体" w:hAnsi="宋体" w:cs="宋体"/>
                <w:color w:val="000000"/>
                <w:spacing w:val="-20"/>
                <w:lang w:bidi="ar"/>
              </w:rPr>
              <w:t>100%</w:t>
            </w:r>
          </w:p>
        </w:tc>
        <w:tc>
          <w:tcPr>
            <w:tcW w:w="664" w:type="pct"/>
            <w:shd w:val="clear" w:color="auto" w:fill="auto"/>
            <w:vAlign w:val="center"/>
          </w:tcPr>
          <w:p>
            <w:pPr>
              <w:pStyle w:val="501"/>
            </w:pPr>
            <w:r>
              <w:rPr>
                <w:rFonts w:hint="eastAsia" w:ascii="宋体" w:hAnsi="宋体" w:cs="宋体"/>
                <w:color w:val="000000"/>
                <w:spacing w:val="-20"/>
                <w:lang w:bidi="ar"/>
              </w:rPr>
              <w:t>最终控制人为山东能源</w:t>
            </w:r>
          </w:p>
        </w:tc>
        <w:tc>
          <w:tcPr>
            <w:tcW w:w="453" w:type="pct"/>
            <w:shd w:val="clear" w:color="auto" w:fill="auto"/>
            <w:vAlign w:val="center"/>
          </w:tcPr>
          <w:p>
            <w:pPr>
              <w:pStyle w:val="501"/>
            </w:pPr>
            <w:r>
              <w:rPr>
                <w:rFonts w:hint="eastAsia" w:ascii="宋体" w:hAnsi="宋体" w:cs="宋体"/>
                <w:color w:val="000000"/>
                <w:spacing w:val="-20"/>
                <w:lang w:bidi="ar"/>
              </w:rPr>
              <w:t>2023年11月8日</w:t>
            </w:r>
          </w:p>
        </w:tc>
        <w:tc>
          <w:tcPr>
            <w:tcW w:w="492" w:type="pct"/>
            <w:shd w:val="clear" w:color="auto" w:fill="auto"/>
            <w:vAlign w:val="center"/>
          </w:tcPr>
          <w:p>
            <w:pPr>
              <w:pStyle w:val="501"/>
            </w:pPr>
            <w:r>
              <w:rPr>
                <w:rFonts w:hint="eastAsia" w:ascii="宋体" w:hAnsi="宋体" w:cs="宋体"/>
                <w:color w:val="000000"/>
                <w:spacing w:val="-20"/>
                <w:lang w:bidi="ar"/>
              </w:rPr>
              <w:t>控制权的转移</w:t>
            </w:r>
          </w:p>
        </w:tc>
        <w:tc>
          <w:tcPr>
            <w:tcW w:w="604" w:type="pct"/>
            <w:shd w:val="clear" w:color="auto" w:fill="auto"/>
            <w:vAlign w:val="center"/>
          </w:tcPr>
          <w:p>
            <w:pPr>
              <w:jc w:val="right"/>
            </w:pPr>
            <w:r>
              <w:rPr>
                <w:rFonts w:hint="eastAsia" w:ascii="宋体" w:hAnsi="宋体" w:cs="宋体"/>
                <w:color w:val="000000"/>
                <w:spacing w:val="-20"/>
                <w:lang w:bidi="ar"/>
              </w:rPr>
              <w:t>558,983</w:t>
            </w:r>
          </w:p>
        </w:tc>
        <w:tc>
          <w:tcPr>
            <w:tcW w:w="574" w:type="pct"/>
            <w:shd w:val="clear" w:color="auto" w:fill="auto"/>
            <w:vAlign w:val="center"/>
          </w:tcPr>
          <w:p>
            <w:pPr>
              <w:jc w:val="right"/>
            </w:pPr>
            <w:r>
              <w:rPr>
                <w:rFonts w:hint="eastAsia" w:ascii="宋体" w:hAnsi="宋体" w:cs="宋体"/>
                <w:color w:val="000000"/>
                <w:spacing w:val="-20"/>
                <w:lang w:bidi="ar"/>
              </w:rPr>
              <w:t>5,394</w:t>
            </w:r>
          </w:p>
        </w:tc>
        <w:tc>
          <w:tcPr>
            <w:tcW w:w="604" w:type="pct"/>
            <w:vAlign w:val="center"/>
          </w:tcPr>
          <w:p>
            <w:pPr>
              <w:jc w:val="right"/>
            </w:pPr>
            <w:r>
              <w:rPr>
                <w:rFonts w:ascii="宋体" w:hAnsi="宋体" w:cs="宋体"/>
                <w:spacing w:val="-20"/>
              </w:rPr>
              <w:t>369,292</w:t>
            </w:r>
          </w:p>
        </w:tc>
        <w:tc>
          <w:tcPr>
            <w:tcW w:w="574" w:type="pct"/>
            <w:vAlign w:val="center"/>
          </w:tcPr>
          <w:p>
            <w:pPr>
              <w:jc w:val="right"/>
            </w:pPr>
            <w:r>
              <w:rPr>
                <w:rFonts w:ascii="宋体" w:hAnsi="宋体" w:cs="宋体"/>
                <w:spacing w:val="-20"/>
              </w:rPr>
              <w:t>5,549</w:t>
            </w:r>
          </w:p>
        </w:tc>
      </w:tr>
    </w:tbl>
    <w:p>
      <w:pPr>
        <w:widowControl/>
        <w:tabs>
          <w:tab w:val="left" w:pos="800"/>
          <w:tab w:val="left" w:pos="900"/>
        </w:tabs>
        <w:snapToGrid w:val="0"/>
        <w:spacing w:before="120" w:beforeLines="50" w:after="120" w:afterLines="50" w:line="360" w:lineRule="exact"/>
        <w:ind w:firstLine="420" w:firstLineChars="200"/>
        <w:rPr>
          <w:rFonts w:ascii="宋体" w:hAnsi="宋体" w:cs="宋体"/>
          <w:snapToGrid w:val="0"/>
          <w:kern w:val="0"/>
          <w:sz w:val="18"/>
          <w:szCs w:val="20"/>
        </w:rPr>
      </w:pPr>
      <w:r>
        <w:rPr>
          <w:rFonts w:hint="eastAsia" w:ascii="宋体" w:hAnsi="宋体" w:cs="宋体"/>
          <w:snapToGrid w:val="0"/>
          <w:color w:val="000000"/>
          <w:kern w:val="0"/>
          <w:szCs w:val="22"/>
          <w:lang w:bidi="ar"/>
        </w:rPr>
        <w:t>注1：本公司于2023年4月28日召开第八届董事会第二十九次会议，通过了《关于收购鲁西矿业51%股权和新疆能化51%股权的议案》，批准公司以支付现金的方式收购山东能源集团鲁西矿业有限公司（“鲁西矿业”）51%股权及兖矿新疆能化有限公司（“新疆能化”）51%股权。本公司于2023年6月30日召开2022年度股东周年大会，审议通过了《关于收购鲁西矿业51%股权和新疆能化51%股权的议案》。2023年9月30日，公司与本次交易转让方就鲁西矿业51%股权及新疆能化51%股权分别签署了《交割确认书》，完成交割。</w:t>
      </w:r>
    </w:p>
    <w:p>
      <w:pPr>
        <w:widowControl/>
        <w:tabs>
          <w:tab w:val="left" w:pos="800"/>
          <w:tab w:val="left" w:pos="900"/>
        </w:tabs>
        <w:snapToGrid w:val="0"/>
        <w:spacing w:before="120" w:beforeLines="50" w:after="120" w:afterLines="50" w:line="360" w:lineRule="exact"/>
        <w:ind w:firstLine="420" w:firstLineChars="200"/>
        <w:rPr>
          <w:rFonts w:ascii="宋体" w:hAnsi="宋体" w:cs="宋体"/>
          <w:snapToGrid w:val="0"/>
          <w:color w:val="000000"/>
          <w:kern w:val="0"/>
          <w:szCs w:val="22"/>
          <w:lang w:bidi="ar"/>
        </w:rPr>
      </w:pPr>
      <w:r>
        <w:rPr>
          <w:rFonts w:hint="eastAsia" w:ascii="宋体" w:hAnsi="宋体" w:cs="宋体"/>
          <w:snapToGrid w:val="0"/>
          <w:color w:val="000000"/>
          <w:kern w:val="0"/>
          <w:szCs w:val="22"/>
          <w:lang w:bidi="ar"/>
        </w:rPr>
        <w:t>注2：公司于2022年8月26日召开第八届董事会第二十四次会议，审议通过了《关于兖矿集团财务公司与山东能源财务公司合并重组的议案》。2</w:t>
      </w:r>
      <w:r>
        <w:rPr>
          <w:rFonts w:ascii="宋体" w:hAnsi="宋体" w:cs="宋体"/>
          <w:snapToGrid w:val="0"/>
          <w:color w:val="000000"/>
          <w:kern w:val="0"/>
          <w:szCs w:val="22"/>
          <w:lang w:bidi="ar"/>
        </w:rPr>
        <w:t>023</w:t>
      </w:r>
      <w:r>
        <w:rPr>
          <w:rFonts w:hint="eastAsia" w:ascii="宋体" w:hAnsi="宋体" w:cs="宋体"/>
          <w:snapToGrid w:val="0"/>
          <w:color w:val="000000"/>
          <w:kern w:val="0"/>
          <w:szCs w:val="22"/>
          <w:lang w:bidi="ar"/>
        </w:rPr>
        <w:t>年1</w:t>
      </w:r>
      <w:r>
        <w:rPr>
          <w:rFonts w:ascii="宋体" w:hAnsi="宋体" w:cs="宋体"/>
          <w:snapToGrid w:val="0"/>
          <w:color w:val="000000"/>
          <w:kern w:val="0"/>
          <w:szCs w:val="22"/>
          <w:lang w:bidi="ar"/>
        </w:rPr>
        <w:t>1</w:t>
      </w:r>
      <w:r>
        <w:rPr>
          <w:rFonts w:hint="eastAsia" w:ascii="宋体" w:hAnsi="宋体" w:cs="宋体"/>
          <w:snapToGrid w:val="0"/>
          <w:color w:val="000000"/>
          <w:kern w:val="0"/>
          <w:szCs w:val="22"/>
          <w:lang w:bidi="ar"/>
        </w:rPr>
        <w:t>月6日，山能财司与兖矿财司签署了《交割确认书》，完成交割。山能财司吸收合并兖矿财司，交易完成后兖矿财司注销，其资产、负债、业务以及人员全部由新山能财司依法承继；公司将持有的兖矿财司95%股权，按基准日的评估价值，折合为对新山能财司53.92%的股权，不额外支付任何对价。</w:t>
      </w:r>
    </w:p>
    <w:p>
      <w:pPr>
        <w:widowControl/>
        <w:tabs>
          <w:tab w:val="left" w:pos="800"/>
          <w:tab w:val="left" w:pos="900"/>
        </w:tabs>
        <w:snapToGrid w:val="0"/>
        <w:spacing w:before="120" w:beforeLines="50" w:after="120" w:afterLines="50" w:line="360" w:lineRule="exact"/>
        <w:ind w:firstLine="420" w:firstLineChars="200"/>
        <w:rPr>
          <w:rFonts w:ascii="宋体" w:hAnsi="宋体" w:cs="宋体"/>
          <w:snapToGrid w:val="0"/>
          <w:kern w:val="0"/>
          <w:sz w:val="18"/>
          <w:szCs w:val="20"/>
        </w:rPr>
      </w:pPr>
      <w:r>
        <w:rPr>
          <w:rFonts w:hint="eastAsia" w:ascii="宋体" w:hAnsi="宋体" w:cs="宋体"/>
          <w:snapToGrid w:val="0"/>
          <w:color w:val="000000"/>
          <w:kern w:val="0"/>
          <w:szCs w:val="22"/>
          <w:lang w:bidi="ar"/>
        </w:rPr>
        <w:t>注3：本公司视同上述子公司自本报告期初一直存在并纳入合并报表范围，相应比较报表相关项目己进行调整。</w:t>
      </w:r>
    </w:p>
    <w:p>
      <w:pPr>
        <w:pStyle w:val="505"/>
        <w:numPr>
          <w:ilvl w:val="0"/>
          <w:numId w:val="114"/>
        </w:numPr>
        <w:ind w:left="426" w:hanging="426"/>
      </w:pPr>
      <w:r>
        <w:rPr>
          <w:rFonts w:hint="eastAsia"/>
        </w:rPr>
        <w:t>合并成本</w:t>
      </w:r>
    </w:p>
    <w:sdt>
      <w:sdtPr>
        <w:alias w:val="是否适用：合并成本[双击切换]"/>
        <w:tag w:val="_GBC_5a2f1a0aa219473a9ea30bef3c2b1ffb"/>
        <w:id w:val="112627508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合并成本"/>
          <w:tag w:val="_GBC_357520090212412ea44dcf12e5071db1"/>
          <w:id w:val="-15303216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合并成本"/>
          <w:tag w:val="_GBC_bf160fe83cf848c7bc9823481e0c4b39"/>
          <w:id w:val="9451187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602"/>
        <w:gridCol w:w="1598"/>
        <w:gridCol w:w="1455"/>
        <w:gridCol w:w="1308"/>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b/>
            </w:rPr>
            <w:tag w:val="_PLD_3861184c57a746659a54c9c232ed66d0"/>
            <w:id w:val="877674762"/>
          </w:sdtPr>
          <w:sdtEndPr>
            <w:rPr>
              <w:b/>
            </w:rPr>
          </w:sdtEndPr>
          <w:sdtContent>
            <w:tc>
              <w:tcPr>
                <w:tcW w:w="1040" w:type="pct"/>
                <w:shd w:val="clear" w:color="auto" w:fill="auto"/>
                <w:vAlign w:val="center"/>
              </w:tcPr>
              <w:p>
                <w:pPr>
                  <w:jc w:val="center"/>
                  <w:rPr>
                    <w:rFonts w:cs="Arial"/>
                    <w:b/>
                  </w:rPr>
                </w:pPr>
                <w:r>
                  <w:rPr>
                    <w:rFonts w:hint="eastAsia" w:cs="Arial"/>
                    <w:b/>
                    <w:lang w:val="en-GB"/>
                  </w:rPr>
                  <w:t>合并成本</w:t>
                </w:r>
              </w:p>
            </w:tc>
          </w:sdtContent>
        </w:sdt>
        <w:tc>
          <w:tcPr>
            <w:tcW w:w="885" w:type="pct"/>
            <w:shd w:val="clear" w:color="auto" w:fill="auto"/>
            <w:vAlign w:val="center"/>
          </w:tcPr>
          <w:p>
            <w:pPr>
              <w:pStyle w:val="501"/>
            </w:pPr>
            <w:r>
              <w:rPr>
                <w:rFonts w:hint="eastAsia" w:ascii="宋体" w:hAnsi="宋体" w:cs="宋体"/>
                <w:b/>
                <w:color w:val="000000"/>
                <w:szCs w:val="22"/>
                <w:lang w:bidi="ar"/>
              </w:rPr>
              <w:t>山东能源集团鲁西矿业有限公司</w:t>
            </w:r>
          </w:p>
        </w:tc>
        <w:tc>
          <w:tcPr>
            <w:tcW w:w="883" w:type="pct"/>
            <w:shd w:val="clear" w:color="auto" w:fill="auto"/>
            <w:vAlign w:val="center"/>
          </w:tcPr>
          <w:p>
            <w:pPr>
              <w:pStyle w:val="501"/>
            </w:pPr>
            <w:r>
              <w:rPr>
                <w:rFonts w:hint="eastAsia" w:ascii="宋体" w:hAnsi="宋体" w:cs="宋体"/>
                <w:b/>
                <w:color w:val="000000"/>
                <w:szCs w:val="22"/>
                <w:lang w:bidi="ar"/>
              </w:rPr>
              <w:t>兖矿新疆能化有限公司</w:t>
            </w:r>
          </w:p>
        </w:tc>
        <w:tc>
          <w:tcPr>
            <w:tcW w:w="804" w:type="pct"/>
            <w:shd w:val="clear" w:color="auto" w:fill="auto"/>
            <w:vAlign w:val="center"/>
          </w:tcPr>
          <w:p>
            <w:pPr>
              <w:pStyle w:val="501"/>
            </w:pPr>
            <w:r>
              <w:rPr>
                <w:rFonts w:hint="eastAsia" w:ascii="宋体" w:hAnsi="宋体" w:cs="宋体"/>
                <w:b/>
                <w:color w:val="000000"/>
                <w:szCs w:val="22"/>
                <w:lang w:bidi="ar"/>
              </w:rPr>
              <w:t>山东能源集团财务有限公司</w:t>
            </w:r>
          </w:p>
        </w:tc>
        <w:tc>
          <w:tcPr>
            <w:tcW w:w="723" w:type="pct"/>
            <w:shd w:val="clear" w:color="auto" w:fill="auto"/>
            <w:vAlign w:val="center"/>
          </w:tcPr>
          <w:p>
            <w:pPr>
              <w:pStyle w:val="501"/>
            </w:pPr>
            <w:r>
              <w:rPr>
                <w:rFonts w:hint="eastAsia" w:ascii="宋体" w:hAnsi="宋体" w:cs="宋体"/>
                <w:b/>
                <w:color w:val="000000"/>
                <w:szCs w:val="22"/>
                <w:lang w:bidi="ar"/>
              </w:rPr>
              <w:t>山东能源大厦上海有限公司</w:t>
            </w:r>
          </w:p>
        </w:tc>
        <w:tc>
          <w:tcPr>
            <w:tcW w:w="665" w:type="pct"/>
            <w:shd w:val="clear" w:color="auto" w:fill="auto"/>
            <w:vAlign w:val="center"/>
          </w:tcPr>
          <w:p>
            <w:pPr>
              <w:pStyle w:val="501"/>
            </w:pPr>
            <w:r>
              <w:rPr>
                <w:rFonts w:hint="eastAsia" w:ascii="宋体" w:hAnsi="宋体" w:cs="宋体"/>
                <w:b/>
                <w:color w:val="000000"/>
                <w:szCs w:val="22"/>
                <w:lang w:bidi="ar"/>
              </w:rPr>
              <w:t>兖矿煤化工程有限公司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shd w:val="clear" w:color="auto" w:fill="auto"/>
            <w:vAlign w:val="center"/>
          </w:tcPr>
          <w:p>
            <w:pPr>
              <w:rPr>
                <w:rFonts w:cs="Arial"/>
                <w:color w:val="000000"/>
              </w:rPr>
            </w:pPr>
            <w:r>
              <w:rPr>
                <w:rFonts w:cs="Arial"/>
                <w:color w:val="000000"/>
              </w:rPr>
              <w:t>--</w:t>
            </w:r>
            <w:r>
              <w:rPr>
                <w:rFonts w:hint="eastAsia" w:cs="Arial"/>
                <w:color w:val="000000"/>
                <w:lang w:val="en-GB"/>
              </w:rPr>
              <w:t>现金</w:t>
            </w:r>
          </w:p>
        </w:tc>
        <w:tc>
          <w:tcPr>
            <w:tcW w:w="885" w:type="pct"/>
            <w:shd w:val="clear" w:color="auto" w:fill="auto"/>
            <w:vAlign w:val="center"/>
          </w:tcPr>
          <w:p>
            <w:pPr>
              <w:jc w:val="right"/>
            </w:pPr>
            <w:r>
              <w:rPr>
                <w:rFonts w:hint="eastAsia" w:ascii="宋体" w:hAnsi="宋体" w:cs="宋体"/>
                <w:color w:val="000000"/>
                <w:szCs w:val="22"/>
                <w:lang w:bidi="ar"/>
              </w:rPr>
              <w:t>19,151,203</w:t>
            </w:r>
          </w:p>
        </w:tc>
        <w:tc>
          <w:tcPr>
            <w:tcW w:w="883" w:type="pct"/>
            <w:shd w:val="clear" w:color="auto" w:fill="auto"/>
            <w:vAlign w:val="center"/>
          </w:tcPr>
          <w:p>
            <w:pPr>
              <w:jc w:val="right"/>
            </w:pPr>
            <w:r>
              <w:rPr>
                <w:rFonts w:ascii="宋体" w:hAnsi="宋体" w:cs="宋体"/>
                <w:color w:val="000000"/>
                <w:szCs w:val="22"/>
                <w:lang w:bidi="ar"/>
              </w:rPr>
              <w:t>8,377,105</w:t>
            </w:r>
          </w:p>
        </w:tc>
        <w:tc>
          <w:tcPr>
            <w:tcW w:w="804" w:type="pct"/>
            <w:shd w:val="clear" w:color="auto" w:fill="auto"/>
            <w:vAlign w:val="center"/>
          </w:tcPr>
          <w:p>
            <w:pPr>
              <w:jc w:val="right"/>
            </w:pPr>
          </w:p>
        </w:tc>
        <w:tc>
          <w:tcPr>
            <w:tcW w:w="723" w:type="pct"/>
            <w:shd w:val="clear" w:color="auto" w:fill="auto"/>
            <w:vAlign w:val="center"/>
          </w:tcPr>
          <w:p>
            <w:pPr>
              <w:jc w:val="right"/>
            </w:pPr>
            <w:r>
              <w:rPr>
                <w:rFonts w:hint="eastAsia" w:ascii="宋体" w:hAnsi="宋体" w:cs="宋体"/>
                <w:color w:val="000000"/>
                <w:szCs w:val="22"/>
                <w:lang w:bidi="ar"/>
              </w:rPr>
              <w:t>861,000</w:t>
            </w:r>
          </w:p>
        </w:tc>
        <w:tc>
          <w:tcPr>
            <w:tcW w:w="665" w:type="pct"/>
            <w:shd w:val="clear" w:color="auto" w:fill="auto"/>
            <w:vAlign w:val="center"/>
          </w:tcPr>
          <w:p>
            <w:pPr>
              <w:jc w:val="right"/>
            </w:pPr>
            <w:r>
              <w:rPr>
                <w:rFonts w:hint="eastAsia" w:ascii="宋体" w:hAnsi="宋体" w:cs="宋体"/>
                <w:color w:val="000000"/>
                <w:szCs w:val="22"/>
                <w:lang w:bidi="ar"/>
              </w:rPr>
              <w:t>20,904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shd w:val="clear" w:color="auto" w:fill="auto"/>
            <w:vAlign w:val="center"/>
          </w:tcPr>
          <w:p>
            <w:pPr>
              <w:rPr>
                <w:rFonts w:cs="Arial"/>
                <w:color w:val="000000"/>
              </w:rPr>
            </w:pPr>
            <w:r>
              <w:rPr>
                <w:rFonts w:cs="Arial"/>
                <w:color w:val="000000"/>
              </w:rPr>
              <w:t>--</w:t>
            </w:r>
            <w:r>
              <w:rPr>
                <w:rFonts w:hint="eastAsia" w:cs="Arial"/>
                <w:color w:val="000000"/>
                <w:lang w:val="en-GB"/>
              </w:rPr>
              <w:t>非现金资产的账面价值</w:t>
            </w:r>
          </w:p>
        </w:tc>
        <w:tc>
          <w:tcPr>
            <w:tcW w:w="885" w:type="pct"/>
            <w:shd w:val="clear" w:color="auto" w:fill="auto"/>
            <w:vAlign w:val="center"/>
          </w:tcPr>
          <w:p>
            <w:pPr>
              <w:jc w:val="right"/>
            </w:pPr>
          </w:p>
        </w:tc>
        <w:tc>
          <w:tcPr>
            <w:tcW w:w="883" w:type="pct"/>
            <w:shd w:val="clear" w:color="auto" w:fill="auto"/>
            <w:vAlign w:val="center"/>
          </w:tcPr>
          <w:p>
            <w:pPr>
              <w:jc w:val="right"/>
            </w:pPr>
          </w:p>
        </w:tc>
        <w:tc>
          <w:tcPr>
            <w:tcW w:w="804" w:type="pct"/>
            <w:shd w:val="clear" w:color="auto" w:fill="auto"/>
            <w:vAlign w:val="center"/>
          </w:tcPr>
          <w:p>
            <w:pPr>
              <w:jc w:val="right"/>
            </w:pPr>
          </w:p>
        </w:tc>
        <w:tc>
          <w:tcPr>
            <w:tcW w:w="723" w:type="pct"/>
            <w:shd w:val="clear" w:color="auto" w:fill="auto"/>
            <w:vAlign w:val="center"/>
          </w:tcPr>
          <w:p>
            <w:pPr>
              <w:jc w:val="right"/>
            </w:pPr>
          </w:p>
        </w:tc>
        <w:tc>
          <w:tcPr>
            <w:tcW w:w="665" w:type="pct"/>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shd w:val="clear" w:color="auto" w:fill="auto"/>
            <w:vAlign w:val="center"/>
          </w:tcPr>
          <w:p>
            <w:pPr>
              <w:rPr>
                <w:rFonts w:cs="Arial"/>
                <w:color w:val="000000"/>
              </w:rPr>
            </w:pPr>
            <w:r>
              <w:rPr>
                <w:rFonts w:cs="Arial"/>
                <w:color w:val="000000"/>
              </w:rPr>
              <w:t>--</w:t>
            </w:r>
            <w:r>
              <w:rPr>
                <w:rFonts w:hint="eastAsia" w:cs="Arial"/>
                <w:color w:val="000000"/>
                <w:lang w:val="en-GB"/>
              </w:rPr>
              <w:t>发行或承担的债务的账面价值</w:t>
            </w:r>
          </w:p>
        </w:tc>
        <w:tc>
          <w:tcPr>
            <w:tcW w:w="885" w:type="pct"/>
            <w:shd w:val="clear" w:color="auto" w:fill="auto"/>
            <w:vAlign w:val="center"/>
          </w:tcPr>
          <w:p>
            <w:pPr>
              <w:jc w:val="right"/>
            </w:pPr>
          </w:p>
        </w:tc>
        <w:tc>
          <w:tcPr>
            <w:tcW w:w="883" w:type="pct"/>
            <w:shd w:val="clear" w:color="auto" w:fill="auto"/>
            <w:vAlign w:val="center"/>
          </w:tcPr>
          <w:p>
            <w:pPr>
              <w:jc w:val="right"/>
            </w:pPr>
          </w:p>
        </w:tc>
        <w:tc>
          <w:tcPr>
            <w:tcW w:w="804" w:type="pct"/>
            <w:shd w:val="clear" w:color="auto" w:fill="auto"/>
            <w:vAlign w:val="center"/>
          </w:tcPr>
          <w:p>
            <w:pPr>
              <w:jc w:val="right"/>
            </w:pPr>
          </w:p>
        </w:tc>
        <w:tc>
          <w:tcPr>
            <w:tcW w:w="723" w:type="pct"/>
            <w:shd w:val="clear" w:color="auto" w:fill="auto"/>
            <w:vAlign w:val="center"/>
          </w:tcPr>
          <w:p>
            <w:pPr>
              <w:jc w:val="right"/>
            </w:pPr>
          </w:p>
        </w:tc>
        <w:tc>
          <w:tcPr>
            <w:tcW w:w="665" w:type="pct"/>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shd w:val="clear" w:color="auto" w:fill="auto"/>
            <w:vAlign w:val="center"/>
          </w:tcPr>
          <w:p>
            <w:pPr>
              <w:rPr>
                <w:rFonts w:cs="Arial"/>
                <w:color w:val="000000"/>
              </w:rPr>
            </w:pPr>
            <w:r>
              <w:rPr>
                <w:rFonts w:cs="Arial"/>
                <w:color w:val="000000"/>
              </w:rPr>
              <w:t>--</w:t>
            </w:r>
            <w:r>
              <w:rPr>
                <w:rFonts w:hint="eastAsia" w:cs="Arial"/>
                <w:color w:val="000000"/>
                <w:lang w:val="en-GB"/>
              </w:rPr>
              <w:t>发行的权益性证券的面值</w:t>
            </w:r>
          </w:p>
        </w:tc>
        <w:tc>
          <w:tcPr>
            <w:tcW w:w="885" w:type="pct"/>
            <w:shd w:val="clear" w:color="auto" w:fill="auto"/>
            <w:vAlign w:val="center"/>
          </w:tcPr>
          <w:p>
            <w:pPr>
              <w:jc w:val="right"/>
            </w:pPr>
          </w:p>
        </w:tc>
        <w:tc>
          <w:tcPr>
            <w:tcW w:w="883" w:type="pct"/>
            <w:shd w:val="clear" w:color="auto" w:fill="auto"/>
            <w:vAlign w:val="center"/>
          </w:tcPr>
          <w:p>
            <w:pPr>
              <w:jc w:val="right"/>
            </w:pPr>
          </w:p>
        </w:tc>
        <w:tc>
          <w:tcPr>
            <w:tcW w:w="804" w:type="pct"/>
            <w:shd w:val="clear" w:color="auto" w:fill="auto"/>
            <w:vAlign w:val="center"/>
          </w:tcPr>
          <w:p>
            <w:pPr>
              <w:jc w:val="right"/>
            </w:pPr>
          </w:p>
        </w:tc>
        <w:tc>
          <w:tcPr>
            <w:tcW w:w="723" w:type="pct"/>
            <w:shd w:val="clear" w:color="auto" w:fill="auto"/>
            <w:vAlign w:val="center"/>
          </w:tcPr>
          <w:p>
            <w:pPr>
              <w:jc w:val="right"/>
            </w:pPr>
          </w:p>
        </w:tc>
        <w:tc>
          <w:tcPr>
            <w:tcW w:w="665" w:type="pct"/>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0" w:type="pct"/>
            <w:shd w:val="clear" w:color="auto" w:fill="auto"/>
            <w:vAlign w:val="center"/>
          </w:tcPr>
          <w:p>
            <w:pPr>
              <w:rPr>
                <w:rFonts w:cs="Arial"/>
                <w:color w:val="000000"/>
              </w:rPr>
            </w:pPr>
            <w:r>
              <w:rPr>
                <w:rFonts w:cs="Arial"/>
                <w:color w:val="000000"/>
              </w:rPr>
              <w:t>--</w:t>
            </w:r>
            <w:r>
              <w:rPr>
                <w:rFonts w:hint="eastAsia" w:cs="Arial"/>
                <w:color w:val="000000"/>
                <w:lang w:val="en-GB"/>
              </w:rPr>
              <w:t>或有对价</w:t>
            </w:r>
          </w:p>
        </w:tc>
        <w:tc>
          <w:tcPr>
            <w:tcW w:w="885" w:type="pct"/>
            <w:shd w:val="clear" w:color="auto" w:fill="auto"/>
            <w:vAlign w:val="center"/>
          </w:tcPr>
          <w:p>
            <w:pPr>
              <w:jc w:val="right"/>
            </w:pPr>
          </w:p>
        </w:tc>
        <w:tc>
          <w:tcPr>
            <w:tcW w:w="883" w:type="pct"/>
            <w:shd w:val="clear" w:color="auto" w:fill="auto"/>
            <w:vAlign w:val="center"/>
          </w:tcPr>
          <w:p>
            <w:pPr>
              <w:jc w:val="right"/>
            </w:pPr>
          </w:p>
        </w:tc>
        <w:tc>
          <w:tcPr>
            <w:tcW w:w="804" w:type="pct"/>
            <w:shd w:val="clear" w:color="auto" w:fill="auto"/>
            <w:vAlign w:val="center"/>
          </w:tcPr>
          <w:p>
            <w:pPr>
              <w:jc w:val="right"/>
            </w:pPr>
          </w:p>
        </w:tc>
        <w:tc>
          <w:tcPr>
            <w:tcW w:w="723" w:type="pct"/>
            <w:shd w:val="clear" w:color="auto" w:fill="auto"/>
            <w:vAlign w:val="center"/>
          </w:tcPr>
          <w:p>
            <w:pPr>
              <w:jc w:val="right"/>
            </w:pPr>
          </w:p>
        </w:tc>
        <w:tc>
          <w:tcPr>
            <w:tcW w:w="665" w:type="pct"/>
            <w:shd w:val="clear" w:color="auto" w:fill="auto"/>
            <w:vAlign w:val="center"/>
          </w:tcPr>
          <w:p>
            <w:pPr>
              <w:jc w:val="right"/>
            </w:pPr>
          </w:p>
        </w:tc>
      </w:tr>
    </w:tbl>
    <w:p>
      <w:pPr>
        <w:pStyle w:val="501"/>
      </w:pPr>
    </w:p>
    <w:p>
      <w:pPr>
        <w:rPr>
          <w:rFonts w:cs="Arial"/>
        </w:rPr>
      </w:pPr>
    </w:p>
    <w:p>
      <w:pPr>
        <w:rPr>
          <w:rFonts w:cs="Arial"/>
        </w:rPr>
      </w:pPr>
    </w:p>
    <w:p>
      <w:pPr>
        <w:pStyle w:val="505"/>
        <w:numPr>
          <w:ilvl w:val="0"/>
          <w:numId w:val="114"/>
        </w:numPr>
        <w:ind w:left="426" w:hanging="426"/>
        <w:sectPr>
          <w:pgSz w:w="11906" w:h="16838"/>
          <w:pgMar w:top="1440" w:right="1797" w:bottom="1525" w:left="1276" w:header="856" w:footer="992" w:gutter="0"/>
          <w:cols w:space="425" w:num="1"/>
          <w:docGrid w:linePitch="312" w:charSpace="0"/>
        </w:sectPr>
      </w:pPr>
    </w:p>
    <w:p>
      <w:pPr>
        <w:pStyle w:val="505"/>
        <w:numPr>
          <w:ilvl w:val="0"/>
          <w:numId w:val="114"/>
        </w:numPr>
        <w:ind w:left="426" w:hanging="426"/>
      </w:pPr>
      <w:r>
        <w:rPr>
          <w:rFonts w:hint="eastAsia"/>
        </w:rPr>
        <w:t>合并日被合并方资产、负债的账面价值</w:t>
      </w:r>
    </w:p>
    <w:sdt>
      <w:sdtPr>
        <w:alias w:val="是否适用：合并日被合并方资产、负债的账面价值[双击切换]"/>
        <w:tag w:val="_GBC_5dec2961a29c4f7dba84a8d8fd453dab"/>
        <w:id w:val="176965013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合并日被合并方资产、负债的账面价值"/>
          <w:tag w:val="_GBC_40ecb31d91524802888565cf5e740942"/>
          <w:id w:val="-15805174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合并日被合并方资产、负债的账面价值"/>
          <w:tag w:val="_GBC_10e87b9f74f84d0e9a09bd5eed205468"/>
          <w:id w:val="-13978079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283"/>
        <w:gridCol w:w="1285"/>
        <w:gridCol w:w="1283"/>
        <w:gridCol w:w="1285"/>
        <w:gridCol w:w="1285"/>
        <w:gridCol w:w="1283"/>
        <w:gridCol w:w="1285"/>
        <w:gridCol w:w="1283"/>
        <w:gridCol w:w="1285"/>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spacing w:val="-26"/>
            </w:rPr>
            <w:tag w:val="_GBC_e9b1593733f643f9a2c837eefae98a8d"/>
            <w:id w:val="-983386485"/>
          </w:sdtPr>
          <w:sdtEndPr>
            <w:rPr>
              <w:rFonts w:ascii="宋体" w:hAnsi="宋体"/>
              <w:spacing w:val="-26"/>
            </w:rPr>
          </w:sdtEndPr>
          <w:sdtContent>
            <w:tc>
              <w:tcPr>
                <w:tcW w:w="446" w:type="pct"/>
                <w:vMerge w:val="restart"/>
                <w:shd w:val="clear" w:color="auto" w:fill="auto"/>
                <w:vAlign w:val="center"/>
              </w:tcPr>
              <w:p>
                <w:pPr>
                  <w:rPr>
                    <w:rFonts w:ascii="宋体" w:hAnsi="宋体" w:cs="Arial"/>
                    <w:spacing w:val="-26"/>
                  </w:rPr>
                </w:pPr>
                <w:r>
                  <w:rPr>
                    <w:rFonts w:hint="eastAsia" w:ascii="宋体" w:hAnsi="宋体" w:cs="Arial"/>
                    <w:spacing w:val="-26"/>
                  </w:rPr>
                  <w:t>项目</w:t>
                </w:r>
              </w:p>
            </w:tc>
          </w:sdtContent>
        </w:sdt>
        <w:tc>
          <w:tcPr>
            <w:tcW w:w="911" w:type="pct"/>
            <w:gridSpan w:val="2"/>
            <w:shd w:val="clear" w:color="auto" w:fill="auto"/>
            <w:vAlign w:val="center"/>
          </w:tcPr>
          <w:p>
            <w:pPr>
              <w:jc w:val="center"/>
              <w:rPr>
                <w:rFonts w:ascii="宋体" w:hAnsi="宋体" w:cs="Arial"/>
                <w:spacing w:val="-26"/>
                <w:lang w:val="en-GB"/>
              </w:rPr>
            </w:pPr>
            <w:r>
              <w:rPr>
                <w:rFonts w:hint="eastAsia" w:ascii="宋体" w:hAnsi="宋体"/>
                <w:spacing w:val="-26"/>
              </w:rPr>
              <w:t>山东能源集团鲁西矿业有限公司</w:t>
            </w:r>
          </w:p>
        </w:tc>
        <w:tc>
          <w:tcPr>
            <w:tcW w:w="911" w:type="pct"/>
            <w:gridSpan w:val="2"/>
            <w:shd w:val="clear" w:color="auto" w:fill="auto"/>
            <w:vAlign w:val="center"/>
          </w:tcPr>
          <w:p>
            <w:pPr>
              <w:jc w:val="center"/>
              <w:rPr>
                <w:rFonts w:ascii="宋体" w:hAnsi="宋体" w:cs="Arial"/>
                <w:spacing w:val="-26"/>
                <w:lang w:val="en-GB"/>
              </w:rPr>
            </w:pPr>
            <w:r>
              <w:rPr>
                <w:rFonts w:hint="eastAsia" w:ascii="宋体" w:hAnsi="宋体"/>
                <w:spacing w:val="-26"/>
              </w:rPr>
              <w:t>兖矿新疆能化有限公司</w:t>
            </w:r>
          </w:p>
        </w:tc>
        <w:tc>
          <w:tcPr>
            <w:tcW w:w="911" w:type="pct"/>
            <w:gridSpan w:val="2"/>
            <w:shd w:val="clear" w:color="auto" w:fill="auto"/>
            <w:vAlign w:val="center"/>
          </w:tcPr>
          <w:p>
            <w:pPr>
              <w:jc w:val="center"/>
              <w:rPr>
                <w:rFonts w:ascii="宋体" w:hAnsi="宋体" w:cs="Arial"/>
                <w:spacing w:val="-26"/>
                <w:lang w:val="en-GB"/>
              </w:rPr>
            </w:pPr>
            <w:r>
              <w:rPr>
                <w:rFonts w:hint="eastAsia" w:ascii="宋体" w:hAnsi="宋体"/>
                <w:spacing w:val="-26"/>
              </w:rPr>
              <w:t>山东能源集团财务有限公司</w:t>
            </w:r>
          </w:p>
        </w:tc>
        <w:tc>
          <w:tcPr>
            <w:tcW w:w="911" w:type="pct"/>
            <w:gridSpan w:val="2"/>
            <w:shd w:val="clear" w:color="auto" w:fill="auto"/>
            <w:vAlign w:val="center"/>
          </w:tcPr>
          <w:p>
            <w:pPr>
              <w:jc w:val="center"/>
              <w:rPr>
                <w:rFonts w:ascii="宋体" w:hAnsi="宋体" w:cs="Arial"/>
                <w:spacing w:val="-26"/>
                <w:lang w:val="en-GB"/>
              </w:rPr>
            </w:pPr>
            <w:r>
              <w:rPr>
                <w:rFonts w:hint="eastAsia" w:ascii="宋体" w:hAnsi="宋体"/>
                <w:spacing w:val="-26"/>
              </w:rPr>
              <w:t>山东能源大厦上海有限公司</w:t>
            </w:r>
          </w:p>
        </w:tc>
        <w:tc>
          <w:tcPr>
            <w:tcW w:w="910" w:type="pct"/>
            <w:gridSpan w:val="2"/>
            <w:shd w:val="clear" w:color="auto" w:fill="auto"/>
            <w:vAlign w:val="center"/>
          </w:tcPr>
          <w:p>
            <w:pPr>
              <w:jc w:val="center"/>
              <w:rPr>
                <w:rFonts w:ascii="宋体" w:hAnsi="宋体" w:cs="Arial"/>
                <w:spacing w:val="-26"/>
                <w:lang w:val="en-GB"/>
              </w:rPr>
            </w:pPr>
            <w:r>
              <w:rPr>
                <w:rFonts w:hint="eastAsia" w:ascii="宋体" w:hAnsi="宋体"/>
                <w:spacing w:val="-26"/>
              </w:rPr>
              <w:t>兖矿煤化工程有限公司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Merge w:val="continue"/>
            <w:shd w:val="clear" w:color="auto" w:fill="auto"/>
            <w:vAlign w:val="center"/>
          </w:tcPr>
          <w:p>
            <w:pPr>
              <w:rPr>
                <w:rFonts w:ascii="宋体" w:hAnsi="宋体" w:cs="Arial"/>
                <w:spacing w:val="-26"/>
              </w:rPr>
            </w:pPr>
          </w:p>
        </w:tc>
        <w:sdt>
          <w:sdtPr>
            <w:rPr>
              <w:rFonts w:ascii="宋体" w:hAnsi="宋体"/>
              <w:spacing w:val="-26"/>
            </w:rPr>
            <w:tag w:val="_PLD_bee6c3563d97418a99a2ebc03e19e7e6"/>
            <w:id w:val="1615792802"/>
          </w:sdtPr>
          <w:sdtEndPr>
            <w:rPr>
              <w:rFonts w:ascii="宋体" w:hAnsi="宋体"/>
              <w:spacing w:val="-26"/>
            </w:rPr>
          </w:sdtEndPr>
          <w:sdtContent>
            <w:tc>
              <w:tcPr>
                <w:tcW w:w="455" w:type="pct"/>
                <w:shd w:val="clear" w:color="auto" w:fill="auto"/>
                <w:vAlign w:val="center"/>
              </w:tcPr>
              <w:p>
                <w:pPr>
                  <w:jc w:val="center"/>
                  <w:rPr>
                    <w:rFonts w:ascii="宋体" w:hAnsi="宋体" w:cs="Arial"/>
                    <w:spacing w:val="-26"/>
                  </w:rPr>
                </w:pPr>
                <w:r>
                  <w:rPr>
                    <w:rFonts w:hint="eastAsia" w:ascii="宋体" w:hAnsi="宋体" w:cs="Arial"/>
                    <w:spacing w:val="-26"/>
                    <w:lang w:val="en-GB"/>
                  </w:rPr>
                  <w:t>合并日</w:t>
                </w:r>
              </w:p>
            </w:tc>
          </w:sdtContent>
        </w:sdt>
        <w:sdt>
          <w:sdtPr>
            <w:rPr>
              <w:rFonts w:ascii="宋体" w:hAnsi="宋体"/>
              <w:spacing w:val="-26"/>
            </w:rPr>
            <w:tag w:val="_PLD_d6af255a88be4e5e82a7e5c33e295842"/>
            <w:id w:val="1155342123"/>
          </w:sdtPr>
          <w:sdtEndPr>
            <w:rPr>
              <w:rFonts w:ascii="宋体" w:hAnsi="宋体"/>
              <w:spacing w:val="-26"/>
            </w:rPr>
          </w:sdtEndPr>
          <w:sdtContent>
            <w:tc>
              <w:tcPr>
                <w:tcW w:w="456" w:type="pct"/>
                <w:shd w:val="clear" w:color="auto" w:fill="auto"/>
                <w:vAlign w:val="center"/>
              </w:tcPr>
              <w:p>
                <w:pPr>
                  <w:jc w:val="center"/>
                  <w:rPr>
                    <w:rFonts w:ascii="宋体" w:hAnsi="宋体" w:cs="Arial"/>
                    <w:spacing w:val="-26"/>
                    <w:lang w:val="en-GB"/>
                  </w:rPr>
                </w:pPr>
                <w:r>
                  <w:rPr>
                    <w:rFonts w:hint="eastAsia" w:ascii="宋体" w:hAnsi="宋体" w:cs="Arial"/>
                    <w:spacing w:val="-26"/>
                    <w:lang w:val="en-GB"/>
                  </w:rPr>
                  <w:t>上期期末</w:t>
                </w:r>
              </w:p>
            </w:tc>
          </w:sdtContent>
        </w:sdt>
        <w:sdt>
          <w:sdtPr>
            <w:rPr>
              <w:rFonts w:ascii="宋体" w:hAnsi="宋体"/>
              <w:spacing w:val="-26"/>
            </w:rPr>
            <w:tag w:val="_PLD_bee6c3563d97418a99a2ebc03e19e7e6"/>
            <w:id w:val="-250042876"/>
          </w:sdtPr>
          <w:sdtEndPr>
            <w:rPr>
              <w:rFonts w:ascii="宋体" w:hAnsi="宋体"/>
              <w:spacing w:val="-26"/>
            </w:rPr>
          </w:sdtEndPr>
          <w:sdtContent>
            <w:tc>
              <w:tcPr>
                <w:tcW w:w="455" w:type="pct"/>
                <w:shd w:val="clear" w:color="auto" w:fill="auto"/>
                <w:vAlign w:val="center"/>
              </w:tcPr>
              <w:p>
                <w:pPr>
                  <w:jc w:val="center"/>
                  <w:rPr>
                    <w:rFonts w:ascii="宋体" w:hAnsi="宋体" w:cs="Arial"/>
                    <w:spacing w:val="-26"/>
                  </w:rPr>
                </w:pPr>
                <w:r>
                  <w:rPr>
                    <w:rFonts w:hint="eastAsia" w:ascii="宋体" w:hAnsi="宋体" w:cs="Arial"/>
                    <w:spacing w:val="-26"/>
                    <w:lang w:val="en-GB"/>
                  </w:rPr>
                  <w:t>合并日</w:t>
                </w:r>
              </w:p>
            </w:tc>
          </w:sdtContent>
        </w:sdt>
        <w:sdt>
          <w:sdtPr>
            <w:rPr>
              <w:rFonts w:ascii="宋体" w:hAnsi="宋体"/>
              <w:spacing w:val="-26"/>
            </w:rPr>
            <w:tag w:val="_PLD_d6af255a88be4e5e82a7e5c33e295842"/>
            <w:id w:val="1164664438"/>
          </w:sdtPr>
          <w:sdtEndPr>
            <w:rPr>
              <w:rFonts w:ascii="宋体" w:hAnsi="宋体"/>
              <w:spacing w:val="-26"/>
            </w:rPr>
          </w:sdtEndPr>
          <w:sdtContent>
            <w:tc>
              <w:tcPr>
                <w:tcW w:w="456" w:type="pct"/>
                <w:shd w:val="clear" w:color="auto" w:fill="auto"/>
                <w:vAlign w:val="center"/>
              </w:tcPr>
              <w:p>
                <w:pPr>
                  <w:jc w:val="center"/>
                  <w:rPr>
                    <w:rFonts w:ascii="宋体" w:hAnsi="宋体" w:cs="Arial"/>
                    <w:spacing w:val="-26"/>
                    <w:lang w:val="en-GB"/>
                  </w:rPr>
                </w:pPr>
                <w:r>
                  <w:rPr>
                    <w:rFonts w:hint="eastAsia" w:ascii="宋体" w:hAnsi="宋体" w:cs="Arial"/>
                    <w:spacing w:val="-26"/>
                    <w:lang w:val="en-GB"/>
                  </w:rPr>
                  <w:t>上期期末</w:t>
                </w:r>
              </w:p>
            </w:tc>
          </w:sdtContent>
        </w:sdt>
        <w:sdt>
          <w:sdtPr>
            <w:rPr>
              <w:rFonts w:ascii="宋体" w:hAnsi="宋体"/>
              <w:spacing w:val="-26"/>
            </w:rPr>
            <w:tag w:val="_PLD_bee6c3563d97418a99a2ebc03e19e7e6"/>
            <w:id w:val="1015270195"/>
          </w:sdtPr>
          <w:sdtEndPr>
            <w:rPr>
              <w:rFonts w:ascii="宋体" w:hAnsi="宋体"/>
              <w:spacing w:val="-26"/>
            </w:rPr>
          </w:sdtEndPr>
          <w:sdtContent>
            <w:tc>
              <w:tcPr>
                <w:tcW w:w="456" w:type="pct"/>
                <w:shd w:val="clear" w:color="auto" w:fill="auto"/>
                <w:vAlign w:val="center"/>
              </w:tcPr>
              <w:p>
                <w:pPr>
                  <w:jc w:val="center"/>
                  <w:rPr>
                    <w:rFonts w:ascii="宋体" w:hAnsi="宋体" w:cs="Arial"/>
                    <w:spacing w:val="-26"/>
                  </w:rPr>
                </w:pPr>
                <w:r>
                  <w:rPr>
                    <w:rFonts w:hint="eastAsia" w:ascii="宋体" w:hAnsi="宋体" w:cs="Arial"/>
                    <w:spacing w:val="-26"/>
                    <w:lang w:val="en-GB"/>
                  </w:rPr>
                  <w:t>合并日</w:t>
                </w:r>
              </w:p>
            </w:tc>
          </w:sdtContent>
        </w:sdt>
        <w:sdt>
          <w:sdtPr>
            <w:rPr>
              <w:rFonts w:ascii="宋体" w:hAnsi="宋体"/>
              <w:spacing w:val="-26"/>
            </w:rPr>
            <w:tag w:val="_PLD_d6af255a88be4e5e82a7e5c33e295842"/>
            <w:id w:val="-655921404"/>
          </w:sdtPr>
          <w:sdtEndPr>
            <w:rPr>
              <w:rFonts w:ascii="宋体" w:hAnsi="宋体"/>
              <w:spacing w:val="-26"/>
            </w:rPr>
          </w:sdtEndPr>
          <w:sdtContent>
            <w:tc>
              <w:tcPr>
                <w:tcW w:w="455" w:type="pct"/>
                <w:shd w:val="clear" w:color="auto" w:fill="auto"/>
                <w:vAlign w:val="center"/>
              </w:tcPr>
              <w:p>
                <w:pPr>
                  <w:jc w:val="center"/>
                  <w:rPr>
                    <w:rFonts w:ascii="宋体" w:hAnsi="宋体" w:cs="Arial"/>
                    <w:spacing w:val="-26"/>
                    <w:lang w:val="en-GB"/>
                  </w:rPr>
                </w:pPr>
                <w:r>
                  <w:rPr>
                    <w:rFonts w:hint="eastAsia" w:ascii="宋体" w:hAnsi="宋体" w:cs="Arial"/>
                    <w:spacing w:val="-26"/>
                    <w:lang w:val="en-GB"/>
                  </w:rPr>
                  <w:t>上期期末</w:t>
                </w:r>
              </w:p>
            </w:tc>
          </w:sdtContent>
        </w:sdt>
        <w:sdt>
          <w:sdtPr>
            <w:rPr>
              <w:rFonts w:ascii="宋体" w:hAnsi="宋体"/>
              <w:spacing w:val="-26"/>
            </w:rPr>
            <w:tag w:val="_PLD_bee6c3563d97418a99a2ebc03e19e7e6"/>
            <w:id w:val="888072516"/>
          </w:sdtPr>
          <w:sdtEndPr>
            <w:rPr>
              <w:rFonts w:ascii="宋体" w:hAnsi="宋体"/>
              <w:spacing w:val="-26"/>
            </w:rPr>
          </w:sdtEndPr>
          <w:sdtContent>
            <w:tc>
              <w:tcPr>
                <w:tcW w:w="456" w:type="pct"/>
                <w:shd w:val="clear" w:color="auto" w:fill="auto"/>
                <w:vAlign w:val="center"/>
              </w:tcPr>
              <w:p>
                <w:pPr>
                  <w:jc w:val="center"/>
                  <w:rPr>
                    <w:rFonts w:ascii="宋体" w:hAnsi="宋体" w:cs="Arial"/>
                    <w:spacing w:val="-26"/>
                  </w:rPr>
                </w:pPr>
                <w:r>
                  <w:rPr>
                    <w:rFonts w:hint="eastAsia" w:ascii="宋体" w:hAnsi="宋体" w:cs="Arial"/>
                    <w:spacing w:val="-26"/>
                    <w:lang w:val="en-GB"/>
                  </w:rPr>
                  <w:t>合并日</w:t>
                </w:r>
              </w:p>
            </w:tc>
          </w:sdtContent>
        </w:sdt>
        <w:sdt>
          <w:sdtPr>
            <w:rPr>
              <w:rFonts w:ascii="宋体" w:hAnsi="宋体"/>
              <w:spacing w:val="-26"/>
            </w:rPr>
            <w:tag w:val="_PLD_d6af255a88be4e5e82a7e5c33e295842"/>
            <w:id w:val="1158499076"/>
          </w:sdtPr>
          <w:sdtEndPr>
            <w:rPr>
              <w:rFonts w:ascii="宋体" w:hAnsi="宋体"/>
              <w:spacing w:val="-26"/>
            </w:rPr>
          </w:sdtEndPr>
          <w:sdtContent>
            <w:tc>
              <w:tcPr>
                <w:tcW w:w="455" w:type="pct"/>
                <w:shd w:val="clear" w:color="auto" w:fill="auto"/>
                <w:vAlign w:val="center"/>
              </w:tcPr>
              <w:p>
                <w:pPr>
                  <w:jc w:val="center"/>
                  <w:rPr>
                    <w:rFonts w:ascii="宋体" w:hAnsi="宋体" w:cs="Arial"/>
                    <w:spacing w:val="-26"/>
                    <w:lang w:val="en-GB"/>
                  </w:rPr>
                </w:pPr>
                <w:r>
                  <w:rPr>
                    <w:rFonts w:hint="eastAsia" w:ascii="宋体" w:hAnsi="宋体" w:cs="Arial"/>
                    <w:spacing w:val="-26"/>
                    <w:lang w:val="en-GB"/>
                  </w:rPr>
                  <w:t>上期期末</w:t>
                </w:r>
              </w:p>
            </w:tc>
          </w:sdtContent>
        </w:sdt>
        <w:sdt>
          <w:sdtPr>
            <w:rPr>
              <w:rFonts w:ascii="宋体" w:hAnsi="宋体"/>
              <w:spacing w:val="-26"/>
            </w:rPr>
            <w:tag w:val="_PLD_bee6c3563d97418a99a2ebc03e19e7e6"/>
            <w:id w:val="560522880"/>
          </w:sdtPr>
          <w:sdtEndPr>
            <w:rPr>
              <w:rFonts w:ascii="宋体" w:hAnsi="宋体"/>
              <w:spacing w:val="-26"/>
            </w:rPr>
          </w:sdtEndPr>
          <w:sdtContent>
            <w:tc>
              <w:tcPr>
                <w:tcW w:w="456" w:type="pct"/>
                <w:shd w:val="clear" w:color="auto" w:fill="auto"/>
                <w:vAlign w:val="center"/>
              </w:tcPr>
              <w:p>
                <w:pPr>
                  <w:jc w:val="center"/>
                  <w:rPr>
                    <w:rFonts w:ascii="宋体" w:hAnsi="宋体" w:cs="Arial"/>
                    <w:spacing w:val="-26"/>
                  </w:rPr>
                </w:pPr>
                <w:r>
                  <w:rPr>
                    <w:rFonts w:hint="eastAsia" w:ascii="宋体" w:hAnsi="宋体" w:cs="Arial"/>
                    <w:spacing w:val="-26"/>
                    <w:lang w:val="en-GB"/>
                  </w:rPr>
                  <w:t>合并日</w:t>
                </w:r>
              </w:p>
            </w:tc>
          </w:sdtContent>
        </w:sdt>
        <w:sdt>
          <w:sdtPr>
            <w:rPr>
              <w:rFonts w:ascii="宋体" w:hAnsi="宋体"/>
              <w:spacing w:val="-26"/>
            </w:rPr>
            <w:tag w:val="_PLD_d6af255a88be4e5e82a7e5c33e295842"/>
            <w:id w:val="412209137"/>
          </w:sdtPr>
          <w:sdtEndPr>
            <w:rPr>
              <w:rFonts w:ascii="宋体" w:hAnsi="宋体"/>
              <w:spacing w:val="-26"/>
            </w:rPr>
          </w:sdtEndPr>
          <w:sdtContent>
            <w:tc>
              <w:tcPr>
                <w:tcW w:w="454" w:type="pct"/>
                <w:shd w:val="clear" w:color="auto" w:fill="auto"/>
                <w:vAlign w:val="center"/>
              </w:tcPr>
              <w:p>
                <w:pPr>
                  <w:jc w:val="center"/>
                  <w:rPr>
                    <w:rFonts w:ascii="宋体" w:hAnsi="宋体" w:cs="Arial"/>
                    <w:spacing w:val="-26"/>
                    <w:lang w:val="en-GB"/>
                  </w:rPr>
                </w:pPr>
                <w:r>
                  <w:rPr>
                    <w:rFonts w:hint="eastAsia" w:ascii="宋体" w:hAnsi="宋体" w:cs="Arial"/>
                    <w:spacing w:val="-26"/>
                    <w:lang w:val="en-GB"/>
                  </w:rPr>
                  <w:t>上期期末</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rPr>
                <w:rFonts w:ascii="宋体" w:hAnsi="宋体" w:cs="Arial"/>
                <w:b/>
                <w:color w:val="000000"/>
                <w:spacing w:val="-26"/>
              </w:rPr>
            </w:pPr>
            <w:r>
              <w:rPr>
                <w:rFonts w:hint="eastAsia" w:ascii="宋体" w:hAnsi="宋体"/>
                <w:b/>
                <w:spacing w:val="-26"/>
              </w:rPr>
              <w:t>资产：</w:t>
            </w:r>
          </w:p>
        </w:tc>
        <w:tc>
          <w:tcPr>
            <w:tcW w:w="455" w:type="pct"/>
            <w:vAlign w:val="center"/>
          </w:tcPr>
          <w:p>
            <w:pPr>
              <w:jc w:val="right"/>
              <w:rPr>
                <w:rFonts w:ascii="宋体" w:hAnsi="宋体" w:cs="Arial"/>
                <w:b/>
                <w:spacing w:val="-26"/>
              </w:rPr>
            </w:pPr>
            <w:r>
              <w:rPr>
                <w:rFonts w:hint="eastAsia" w:ascii="宋体" w:hAnsi="宋体"/>
                <w:b/>
                <w:spacing w:val="-26"/>
              </w:rPr>
              <w:t>44,291,494</w:t>
            </w:r>
          </w:p>
        </w:tc>
        <w:tc>
          <w:tcPr>
            <w:tcW w:w="456" w:type="pct"/>
            <w:vAlign w:val="center"/>
          </w:tcPr>
          <w:p>
            <w:pPr>
              <w:jc w:val="right"/>
              <w:rPr>
                <w:rFonts w:ascii="宋体" w:hAnsi="宋体" w:cs="Arial"/>
                <w:b/>
                <w:spacing w:val="-26"/>
              </w:rPr>
            </w:pPr>
            <w:r>
              <w:rPr>
                <w:rFonts w:hint="eastAsia" w:ascii="宋体" w:hAnsi="宋体"/>
                <w:b/>
                <w:spacing w:val="-26"/>
              </w:rPr>
              <w:t>44,595,888</w:t>
            </w:r>
          </w:p>
        </w:tc>
        <w:tc>
          <w:tcPr>
            <w:tcW w:w="455" w:type="pct"/>
            <w:vAlign w:val="center"/>
          </w:tcPr>
          <w:p>
            <w:pPr>
              <w:jc w:val="right"/>
              <w:rPr>
                <w:rFonts w:ascii="宋体" w:hAnsi="宋体" w:cs="Arial"/>
                <w:b/>
                <w:spacing w:val="-26"/>
              </w:rPr>
            </w:pPr>
            <w:r>
              <w:rPr>
                <w:rFonts w:hint="eastAsia" w:ascii="宋体" w:hAnsi="宋体"/>
                <w:b/>
                <w:spacing w:val="-26"/>
              </w:rPr>
              <w:t>18,120,190</w:t>
            </w:r>
          </w:p>
        </w:tc>
        <w:tc>
          <w:tcPr>
            <w:tcW w:w="456" w:type="pct"/>
            <w:vAlign w:val="center"/>
          </w:tcPr>
          <w:p>
            <w:pPr>
              <w:jc w:val="right"/>
              <w:rPr>
                <w:rFonts w:ascii="宋体" w:hAnsi="宋体" w:cs="Arial"/>
                <w:b/>
                <w:spacing w:val="-26"/>
              </w:rPr>
            </w:pPr>
            <w:r>
              <w:rPr>
                <w:rFonts w:hint="eastAsia" w:ascii="宋体" w:hAnsi="宋体"/>
                <w:b/>
                <w:spacing w:val="-26"/>
              </w:rPr>
              <w:t>18,110,969</w:t>
            </w:r>
          </w:p>
        </w:tc>
        <w:tc>
          <w:tcPr>
            <w:tcW w:w="456" w:type="pct"/>
            <w:vAlign w:val="center"/>
          </w:tcPr>
          <w:p>
            <w:pPr>
              <w:jc w:val="right"/>
              <w:rPr>
                <w:rFonts w:ascii="宋体" w:hAnsi="宋体" w:cs="Arial"/>
                <w:b/>
                <w:spacing w:val="-26"/>
              </w:rPr>
            </w:pPr>
            <w:r>
              <w:rPr>
                <w:rFonts w:hint="eastAsia" w:ascii="宋体" w:hAnsi="宋体"/>
                <w:b/>
                <w:spacing w:val="-26"/>
              </w:rPr>
              <w:t>23,930,102</w:t>
            </w:r>
          </w:p>
        </w:tc>
        <w:tc>
          <w:tcPr>
            <w:tcW w:w="455" w:type="pct"/>
            <w:vAlign w:val="center"/>
          </w:tcPr>
          <w:p>
            <w:pPr>
              <w:jc w:val="right"/>
              <w:rPr>
                <w:rFonts w:ascii="宋体" w:hAnsi="宋体" w:cs="Arial"/>
                <w:b/>
                <w:spacing w:val="-26"/>
              </w:rPr>
            </w:pPr>
            <w:r>
              <w:rPr>
                <w:rFonts w:hint="eastAsia" w:ascii="宋体" w:hAnsi="宋体"/>
                <w:b/>
                <w:spacing w:val="-26"/>
              </w:rPr>
              <w:t>30,665,715</w:t>
            </w:r>
          </w:p>
        </w:tc>
        <w:tc>
          <w:tcPr>
            <w:tcW w:w="456" w:type="pct"/>
            <w:vAlign w:val="center"/>
          </w:tcPr>
          <w:p>
            <w:pPr>
              <w:jc w:val="right"/>
              <w:rPr>
                <w:rFonts w:ascii="宋体" w:hAnsi="宋体" w:cs="Arial"/>
                <w:b/>
                <w:spacing w:val="-26"/>
              </w:rPr>
            </w:pPr>
            <w:r>
              <w:rPr>
                <w:rFonts w:hint="eastAsia" w:ascii="宋体" w:hAnsi="宋体"/>
                <w:b/>
                <w:spacing w:val="-26"/>
              </w:rPr>
              <w:t>1,313,428</w:t>
            </w:r>
          </w:p>
        </w:tc>
        <w:tc>
          <w:tcPr>
            <w:tcW w:w="455" w:type="pct"/>
            <w:vAlign w:val="center"/>
          </w:tcPr>
          <w:p>
            <w:pPr>
              <w:jc w:val="right"/>
              <w:rPr>
                <w:rFonts w:ascii="宋体" w:hAnsi="宋体" w:cs="Arial"/>
                <w:b/>
                <w:spacing w:val="-26"/>
              </w:rPr>
            </w:pPr>
            <w:r>
              <w:rPr>
                <w:rFonts w:hint="eastAsia" w:ascii="宋体" w:hAnsi="宋体"/>
                <w:b/>
                <w:spacing w:val="-26"/>
              </w:rPr>
              <w:t>453,192</w:t>
            </w:r>
          </w:p>
        </w:tc>
        <w:tc>
          <w:tcPr>
            <w:tcW w:w="456" w:type="pct"/>
            <w:vAlign w:val="center"/>
          </w:tcPr>
          <w:p>
            <w:pPr>
              <w:jc w:val="right"/>
              <w:rPr>
                <w:rFonts w:ascii="宋体" w:hAnsi="宋体" w:cs="Arial"/>
                <w:b/>
                <w:spacing w:val="-26"/>
              </w:rPr>
            </w:pPr>
            <w:r>
              <w:rPr>
                <w:rFonts w:hint="eastAsia" w:ascii="宋体" w:hAnsi="宋体"/>
                <w:b/>
                <w:spacing w:val="-26"/>
              </w:rPr>
              <w:t>575,008</w:t>
            </w:r>
          </w:p>
        </w:tc>
        <w:tc>
          <w:tcPr>
            <w:tcW w:w="454" w:type="pct"/>
            <w:vAlign w:val="center"/>
          </w:tcPr>
          <w:p>
            <w:pPr>
              <w:jc w:val="right"/>
              <w:rPr>
                <w:rFonts w:ascii="宋体" w:hAnsi="宋体" w:cs="Arial"/>
                <w:b/>
                <w:spacing w:val="-26"/>
              </w:rPr>
            </w:pPr>
            <w:r>
              <w:rPr>
                <w:rFonts w:hint="eastAsia" w:ascii="宋体" w:hAnsi="宋体"/>
                <w:b/>
                <w:spacing w:val="-26"/>
              </w:rPr>
              <w:t>487,177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rPr>
                <w:rFonts w:ascii="宋体" w:hAnsi="宋体" w:cs="Arial"/>
                <w:spacing w:val="-26"/>
              </w:rPr>
            </w:pPr>
            <w:r>
              <w:rPr>
                <w:rFonts w:hint="eastAsia" w:ascii="宋体" w:hAnsi="宋体"/>
                <w:spacing w:val="-26"/>
              </w:rPr>
              <w:t>货币资金</w:t>
            </w:r>
          </w:p>
        </w:tc>
        <w:tc>
          <w:tcPr>
            <w:tcW w:w="455" w:type="pct"/>
            <w:vAlign w:val="center"/>
          </w:tcPr>
          <w:p>
            <w:pPr>
              <w:spacing w:line="276" w:lineRule="auto"/>
              <w:jc w:val="right"/>
              <w:rPr>
                <w:rFonts w:ascii="宋体" w:hAnsi="宋体" w:cs="Arial"/>
                <w:spacing w:val="-26"/>
              </w:rPr>
            </w:pPr>
            <w:r>
              <w:rPr>
                <w:rFonts w:hint="eastAsia" w:ascii="宋体" w:hAnsi="宋体"/>
                <w:spacing w:val="-26"/>
              </w:rPr>
              <w:t>900,906</w:t>
            </w:r>
          </w:p>
        </w:tc>
        <w:tc>
          <w:tcPr>
            <w:tcW w:w="456" w:type="pct"/>
            <w:vAlign w:val="center"/>
          </w:tcPr>
          <w:p>
            <w:pPr>
              <w:spacing w:line="276" w:lineRule="auto"/>
              <w:jc w:val="right"/>
              <w:rPr>
                <w:rFonts w:ascii="宋体" w:hAnsi="宋体" w:cs="Arial"/>
                <w:spacing w:val="-26"/>
              </w:rPr>
            </w:pPr>
            <w:r>
              <w:rPr>
                <w:rFonts w:hint="eastAsia" w:ascii="宋体" w:hAnsi="宋体"/>
                <w:spacing w:val="-26"/>
              </w:rPr>
              <w:t>2,020,723</w:t>
            </w:r>
          </w:p>
        </w:tc>
        <w:tc>
          <w:tcPr>
            <w:tcW w:w="455" w:type="pct"/>
            <w:vAlign w:val="center"/>
          </w:tcPr>
          <w:p>
            <w:pPr>
              <w:spacing w:line="276" w:lineRule="auto"/>
              <w:jc w:val="right"/>
              <w:rPr>
                <w:rFonts w:ascii="宋体" w:hAnsi="宋体" w:cs="Arial"/>
                <w:spacing w:val="-26"/>
              </w:rPr>
            </w:pPr>
            <w:r>
              <w:rPr>
                <w:rFonts w:hint="eastAsia" w:ascii="宋体" w:hAnsi="宋体"/>
                <w:spacing w:val="-26"/>
              </w:rPr>
              <w:t>580,502</w:t>
            </w:r>
          </w:p>
        </w:tc>
        <w:tc>
          <w:tcPr>
            <w:tcW w:w="456" w:type="pct"/>
            <w:vAlign w:val="center"/>
          </w:tcPr>
          <w:p>
            <w:pPr>
              <w:spacing w:line="276" w:lineRule="auto"/>
              <w:jc w:val="right"/>
              <w:rPr>
                <w:rFonts w:ascii="宋体" w:hAnsi="宋体" w:cs="Arial"/>
                <w:spacing w:val="-26"/>
              </w:rPr>
            </w:pPr>
            <w:r>
              <w:rPr>
                <w:rFonts w:hint="eastAsia" w:ascii="宋体" w:hAnsi="宋体"/>
                <w:spacing w:val="-26"/>
              </w:rPr>
              <w:t>1,137,929</w:t>
            </w:r>
          </w:p>
        </w:tc>
        <w:tc>
          <w:tcPr>
            <w:tcW w:w="456" w:type="pct"/>
            <w:vAlign w:val="center"/>
          </w:tcPr>
          <w:p>
            <w:pPr>
              <w:spacing w:line="276" w:lineRule="auto"/>
              <w:jc w:val="right"/>
              <w:rPr>
                <w:rFonts w:ascii="宋体" w:hAnsi="宋体" w:cs="Arial"/>
                <w:spacing w:val="-26"/>
              </w:rPr>
            </w:pPr>
            <w:r>
              <w:rPr>
                <w:rFonts w:hint="eastAsia" w:ascii="宋体" w:hAnsi="宋体"/>
                <w:spacing w:val="-26"/>
              </w:rPr>
              <w:t>12,860,595</w:t>
            </w:r>
          </w:p>
        </w:tc>
        <w:tc>
          <w:tcPr>
            <w:tcW w:w="455" w:type="pct"/>
            <w:vAlign w:val="center"/>
          </w:tcPr>
          <w:p>
            <w:pPr>
              <w:spacing w:line="276" w:lineRule="auto"/>
              <w:jc w:val="right"/>
              <w:rPr>
                <w:rFonts w:ascii="宋体" w:hAnsi="宋体" w:cs="Arial"/>
                <w:spacing w:val="-26"/>
              </w:rPr>
            </w:pPr>
            <w:r>
              <w:rPr>
                <w:rFonts w:hint="eastAsia" w:ascii="宋体" w:hAnsi="宋体"/>
                <w:spacing w:val="-26"/>
              </w:rPr>
              <w:t>20,693,447</w:t>
            </w:r>
          </w:p>
        </w:tc>
        <w:tc>
          <w:tcPr>
            <w:tcW w:w="456" w:type="pct"/>
            <w:vAlign w:val="center"/>
          </w:tcPr>
          <w:p>
            <w:pPr>
              <w:spacing w:line="276" w:lineRule="auto"/>
              <w:jc w:val="right"/>
              <w:rPr>
                <w:rFonts w:ascii="宋体" w:hAnsi="宋体" w:cs="Arial"/>
                <w:spacing w:val="-26"/>
              </w:rPr>
            </w:pPr>
            <w:r>
              <w:rPr>
                <w:rFonts w:hint="eastAsia" w:ascii="宋体" w:hAnsi="宋体"/>
                <w:spacing w:val="-26"/>
              </w:rPr>
              <w:t>861,003</w:t>
            </w:r>
          </w:p>
        </w:tc>
        <w:tc>
          <w:tcPr>
            <w:tcW w:w="455" w:type="pct"/>
            <w:vAlign w:val="center"/>
          </w:tcPr>
          <w:p>
            <w:pPr>
              <w:spacing w:line="276" w:lineRule="auto"/>
              <w:jc w:val="right"/>
              <w:rPr>
                <w:rFonts w:ascii="宋体" w:hAnsi="宋体" w:cs="Arial"/>
                <w:spacing w:val="-26"/>
              </w:rPr>
            </w:pPr>
            <w:r>
              <w:rPr>
                <w:rFonts w:hint="eastAsia" w:ascii="宋体" w:hAnsi="宋体"/>
                <w:spacing w:val="-26"/>
              </w:rPr>
              <w:t>2,502</w:t>
            </w:r>
          </w:p>
        </w:tc>
        <w:tc>
          <w:tcPr>
            <w:tcW w:w="456" w:type="pct"/>
            <w:vAlign w:val="center"/>
          </w:tcPr>
          <w:p>
            <w:pPr>
              <w:spacing w:line="276" w:lineRule="auto"/>
              <w:jc w:val="right"/>
              <w:rPr>
                <w:rFonts w:ascii="宋体" w:hAnsi="宋体" w:cs="Arial"/>
                <w:spacing w:val="-26"/>
              </w:rPr>
            </w:pPr>
            <w:r>
              <w:rPr>
                <w:rFonts w:hint="eastAsia" w:ascii="宋体" w:hAnsi="宋体"/>
                <w:spacing w:val="-26"/>
              </w:rPr>
              <w:t>12,715</w:t>
            </w:r>
          </w:p>
        </w:tc>
        <w:tc>
          <w:tcPr>
            <w:tcW w:w="454" w:type="pct"/>
            <w:vAlign w:val="center"/>
          </w:tcPr>
          <w:p>
            <w:pPr>
              <w:spacing w:line="276" w:lineRule="auto"/>
              <w:jc w:val="right"/>
              <w:rPr>
                <w:rFonts w:ascii="宋体" w:hAnsi="宋体" w:cs="Arial"/>
                <w:spacing w:val="-26"/>
              </w:rPr>
            </w:pPr>
            <w:r>
              <w:rPr>
                <w:rFonts w:hint="eastAsia" w:ascii="宋体" w:hAnsi="宋体"/>
                <w:spacing w:val="-26"/>
              </w:rPr>
              <w:t>4,979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6" w:type="pct"/>
            <w:shd w:val="clear" w:color="auto" w:fill="auto"/>
            <w:vAlign w:val="center"/>
          </w:tcPr>
          <w:p>
            <w:pPr>
              <w:rPr>
                <w:rFonts w:ascii="宋体" w:hAnsi="宋体" w:cs="Arial"/>
                <w:spacing w:val="-26"/>
              </w:rPr>
            </w:pPr>
            <w:r>
              <w:rPr>
                <w:rFonts w:hint="eastAsia" w:ascii="宋体" w:hAnsi="宋体"/>
                <w:spacing w:val="-26"/>
              </w:rPr>
              <w:t>应收票据</w:t>
            </w:r>
          </w:p>
        </w:tc>
        <w:tc>
          <w:tcPr>
            <w:tcW w:w="455" w:type="pct"/>
            <w:vAlign w:val="center"/>
          </w:tcPr>
          <w:p>
            <w:pPr>
              <w:spacing w:line="276" w:lineRule="auto"/>
              <w:jc w:val="right"/>
              <w:rPr>
                <w:rFonts w:ascii="宋体" w:hAnsi="宋体" w:cs="Arial"/>
                <w:spacing w:val="-26"/>
              </w:rPr>
            </w:pPr>
            <w:r>
              <w:rPr>
                <w:rFonts w:hint="eastAsia" w:ascii="宋体" w:hAnsi="宋体"/>
                <w:spacing w:val="-26"/>
              </w:rPr>
              <w:t>1,044,107</w:t>
            </w:r>
          </w:p>
        </w:tc>
        <w:tc>
          <w:tcPr>
            <w:tcW w:w="456" w:type="pct"/>
            <w:vAlign w:val="center"/>
          </w:tcPr>
          <w:p>
            <w:pPr>
              <w:spacing w:line="276" w:lineRule="auto"/>
              <w:jc w:val="right"/>
              <w:rPr>
                <w:rFonts w:ascii="宋体" w:hAnsi="宋体" w:cs="Arial"/>
                <w:spacing w:val="-26"/>
              </w:rPr>
            </w:pPr>
            <w:r>
              <w:rPr>
                <w:rFonts w:hint="eastAsia" w:ascii="宋体" w:hAnsi="宋体"/>
                <w:spacing w:val="-26"/>
              </w:rPr>
              <w:t>1,074,269</w:t>
            </w:r>
          </w:p>
        </w:tc>
        <w:tc>
          <w:tcPr>
            <w:tcW w:w="455" w:type="pct"/>
            <w:vAlign w:val="center"/>
          </w:tcPr>
          <w:p>
            <w:pPr>
              <w:spacing w:line="276" w:lineRule="auto"/>
              <w:jc w:val="right"/>
              <w:rPr>
                <w:rFonts w:ascii="宋体" w:hAnsi="宋体" w:cs="Arial"/>
                <w:spacing w:val="-26"/>
              </w:rPr>
            </w:pPr>
            <w:r>
              <w:rPr>
                <w:rFonts w:hint="eastAsia" w:ascii="宋体" w:hAnsi="宋体"/>
                <w:spacing w:val="-26"/>
              </w:rPr>
              <w:t>583</w:t>
            </w:r>
          </w:p>
        </w:tc>
        <w:tc>
          <w:tcPr>
            <w:tcW w:w="456" w:type="pct"/>
            <w:vAlign w:val="center"/>
          </w:tcPr>
          <w:p>
            <w:pPr>
              <w:spacing w:line="276" w:lineRule="auto"/>
              <w:jc w:val="right"/>
              <w:rPr>
                <w:rFonts w:ascii="宋体" w:hAnsi="宋体" w:cs="Arial"/>
                <w:spacing w:val="-26"/>
              </w:rPr>
            </w:pPr>
            <w:r>
              <w:rPr>
                <w:rFonts w:hint="eastAsia" w:ascii="宋体" w:hAnsi="宋体"/>
                <w:spacing w:val="-26"/>
              </w:rPr>
              <w:t>3,220</w:t>
            </w:r>
          </w:p>
        </w:tc>
        <w:tc>
          <w:tcPr>
            <w:tcW w:w="456" w:type="pct"/>
            <w:vAlign w:val="center"/>
          </w:tcPr>
          <w:p>
            <w:pPr>
              <w:spacing w:line="276" w:lineRule="auto"/>
              <w:jc w:val="right"/>
              <w:rPr>
                <w:rFonts w:ascii="宋体" w:hAnsi="宋体" w:cs="Arial"/>
                <w:spacing w:val="-26"/>
              </w:rPr>
            </w:pP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4" w:type="pct"/>
            <w:vAlign w:val="center"/>
          </w:tcPr>
          <w:p>
            <w:pPr>
              <w:spacing w:line="276" w:lineRule="auto"/>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rPr>
                <w:rFonts w:ascii="宋体" w:hAnsi="宋体" w:cs="Arial"/>
                <w:spacing w:val="-26"/>
              </w:rPr>
            </w:pPr>
            <w:r>
              <w:rPr>
                <w:rFonts w:hint="eastAsia" w:ascii="宋体" w:hAnsi="宋体"/>
                <w:spacing w:val="-26"/>
              </w:rPr>
              <w:t>应收账款</w:t>
            </w:r>
          </w:p>
        </w:tc>
        <w:tc>
          <w:tcPr>
            <w:tcW w:w="455" w:type="pct"/>
            <w:vAlign w:val="center"/>
          </w:tcPr>
          <w:p>
            <w:pPr>
              <w:spacing w:line="276" w:lineRule="auto"/>
              <w:jc w:val="right"/>
              <w:rPr>
                <w:rFonts w:ascii="宋体" w:hAnsi="宋体" w:cs="Arial"/>
                <w:spacing w:val="-26"/>
              </w:rPr>
            </w:pPr>
            <w:r>
              <w:rPr>
                <w:rFonts w:hint="eastAsia" w:ascii="宋体" w:hAnsi="宋体"/>
                <w:spacing w:val="-26"/>
              </w:rPr>
              <w:t>1,793,993</w:t>
            </w:r>
          </w:p>
        </w:tc>
        <w:tc>
          <w:tcPr>
            <w:tcW w:w="456" w:type="pct"/>
            <w:vAlign w:val="center"/>
          </w:tcPr>
          <w:p>
            <w:pPr>
              <w:spacing w:line="276" w:lineRule="auto"/>
              <w:jc w:val="right"/>
              <w:rPr>
                <w:rFonts w:ascii="宋体" w:hAnsi="宋体" w:cs="Arial"/>
                <w:spacing w:val="-26"/>
              </w:rPr>
            </w:pPr>
            <w:r>
              <w:rPr>
                <w:rFonts w:hint="eastAsia" w:ascii="宋体" w:hAnsi="宋体"/>
                <w:spacing w:val="-26"/>
              </w:rPr>
              <w:t>1,660,960</w:t>
            </w:r>
          </w:p>
        </w:tc>
        <w:tc>
          <w:tcPr>
            <w:tcW w:w="455" w:type="pct"/>
            <w:vAlign w:val="center"/>
          </w:tcPr>
          <w:p>
            <w:pPr>
              <w:spacing w:line="276" w:lineRule="auto"/>
              <w:jc w:val="right"/>
              <w:rPr>
                <w:rFonts w:ascii="宋体" w:hAnsi="宋体" w:cs="Arial"/>
                <w:spacing w:val="-26"/>
              </w:rPr>
            </w:pPr>
            <w:r>
              <w:rPr>
                <w:rFonts w:hint="eastAsia" w:ascii="宋体" w:hAnsi="宋体"/>
                <w:spacing w:val="-26"/>
              </w:rPr>
              <w:t>84,353</w:t>
            </w:r>
          </w:p>
        </w:tc>
        <w:tc>
          <w:tcPr>
            <w:tcW w:w="456" w:type="pct"/>
            <w:vAlign w:val="center"/>
          </w:tcPr>
          <w:p>
            <w:pPr>
              <w:spacing w:line="276" w:lineRule="auto"/>
              <w:jc w:val="right"/>
              <w:rPr>
                <w:rFonts w:ascii="宋体" w:hAnsi="宋体" w:cs="Arial"/>
                <w:spacing w:val="-26"/>
              </w:rPr>
            </w:pPr>
            <w:r>
              <w:rPr>
                <w:rFonts w:hint="eastAsia" w:ascii="宋体" w:hAnsi="宋体"/>
                <w:spacing w:val="-26"/>
              </w:rPr>
              <w:t>18,462</w:t>
            </w:r>
          </w:p>
        </w:tc>
        <w:tc>
          <w:tcPr>
            <w:tcW w:w="456" w:type="pct"/>
            <w:vAlign w:val="center"/>
          </w:tcPr>
          <w:p>
            <w:pPr>
              <w:spacing w:line="276" w:lineRule="auto"/>
              <w:jc w:val="right"/>
              <w:rPr>
                <w:rFonts w:ascii="宋体" w:hAnsi="宋体" w:cs="Arial"/>
                <w:spacing w:val="-26"/>
              </w:rPr>
            </w:pP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5" w:type="pct"/>
            <w:vAlign w:val="center"/>
          </w:tcPr>
          <w:p>
            <w:pPr>
              <w:spacing w:line="276" w:lineRule="auto"/>
              <w:jc w:val="right"/>
              <w:rPr>
                <w:rFonts w:ascii="宋体" w:hAnsi="宋体" w:cs="Arial"/>
                <w:spacing w:val="-26"/>
              </w:rPr>
            </w:pPr>
            <w:r>
              <w:rPr>
                <w:rFonts w:hint="eastAsia" w:ascii="宋体" w:hAnsi="宋体"/>
                <w:spacing w:val="-26"/>
              </w:rPr>
              <w:t>464</w:t>
            </w:r>
          </w:p>
        </w:tc>
        <w:tc>
          <w:tcPr>
            <w:tcW w:w="456" w:type="pct"/>
            <w:vAlign w:val="center"/>
          </w:tcPr>
          <w:p>
            <w:pPr>
              <w:spacing w:line="276" w:lineRule="auto"/>
              <w:jc w:val="right"/>
              <w:rPr>
                <w:rFonts w:ascii="宋体" w:hAnsi="宋体" w:cs="Arial"/>
                <w:spacing w:val="-26"/>
              </w:rPr>
            </w:pPr>
            <w:r>
              <w:rPr>
                <w:rFonts w:hint="eastAsia" w:ascii="宋体" w:hAnsi="宋体"/>
                <w:spacing w:val="-26"/>
              </w:rPr>
              <w:t>334,074</w:t>
            </w:r>
          </w:p>
        </w:tc>
        <w:tc>
          <w:tcPr>
            <w:tcW w:w="454" w:type="pct"/>
            <w:vAlign w:val="center"/>
          </w:tcPr>
          <w:p>
            <w:pPr>
              <w:spacing w:line="276" w:lineRule="auto"/>
              <w:jc w:val="right"/>
              <w:rPr>
                <w:rFonts w:ascii="宋体" w:hAnsi="宋体" w:cs="Arial"/>
                <w:spacing w:val="-26"/>
              </w:rPr>
            </w:pPr>
            <w:r>
              <w:rPr>
                <w:rFonts w:hint="eastAsia" w:ascii="宋体" w:hAnsi="宋体"/>
                <w:spacing w:val="-26"/>
              </w:rPr>
              <w:t>290,171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6" w:type="pct"/>
            <w:shd w:val="clear" w:color="auto" w:fill="auto"/>
            <w:vAlign w:val="center"/>
          </w:tcPr>
          <w:p>
            <w:pPr>
              <w:rPr>
                <w:rFonts w:ascii="宋体" w:hAnsi="宋体" w:cs="Arial"/>
                <w:spacing w:val="-26"/>
              </w:rPr>
            </w:pPr>
            <w:r>
              <w:rPr>
                <w:rFonts w:hint="eastAsia" w:ascii="宋体" w:hAnsi="宋体"/>
                <w:spacing w:val="-26"/>
              </w:rPr>
              <w:t>应收款项融资</w:t>
            </w:r>
          </w:p>
        </w:tc>
        <w:tc>
          <w:tcPr>
            <w:tcW w:w="455" w:type="pct"/>
            <w:vAlign w:val="center"/>
          </w:tcPr>
          <w:p>
            <w:pPr>
              <w:spacing w:line="276" w:lineRule="auto"/>
              <w:jc w:val="right"/>
              <w:rPr>
                <w:rFonts w:ascii="宋体" w:hAnsi="宋体" w:cs="Arial"/>
                <w:spacing w:val="-26"/>
              </w:rPr>
            </w:pPr>
            <w:r>
              <w:rPr>
                <w:rFonts w:hint="eastAsia" w:ascii="宋体" w:hAnsi="宋体"/>
                <w:spacing w:val="-26"/>
              </w:rPr>
              <w:t>166,190</w:t>
            </w:r>
          </w:p>
        </w:tc>
        <w:tc>
          <w:tcPr>
            <w:tcW w:w="456" w:type="pct"/>
            <w:vAlign w:val="center"/>
          </w:tcPr>
          <w:p>
            <w:pPr>
              <w:spacing w:line="276" w:lineRule="auto"/>
              <w:jc w:val="right"/>
              <w:rPr>
                <w:rFonts w:ascii="宋体" w:hAnsi="宋体" w:cs="Arial"/>
                <w:spacing w:val="-26"/>
              </w:rPr>
            </w:pPr>
            <w:r>
              <w:rPr>
                <w:rFonts w:hint="eastAsia" w:ascii="宋体" w:hAnsi="宋体"/>
                <w:spacing w:val="-26"/>
              </w:rPr>
              <w:t>51,222</w:t>
            </w:r>
          </w:p>
        </w:tc>
        <w:tc>
          <w:tcPr>
            <w:tcW w:w="455" w:type="pct"/>
            <w:vAlign w:val="center"/>
          </w:tcPr>
          <w:p>
            <w:pPr>
              <w:spacing w:line="276" w:lineRule="auto"/>
              <w:jc w:val="right"/>
              <w:rPr>
                <w:rFonts w:ascii="宋体" w:hAnsi="宋体" w:cs="Arial"/>
                <w:spacing w:val="-26"/>
              </w:rPr>
            </w:pPr>
            <w:r>
              <w:rPr>
                <w:rFonts w:hint="eastAsia" w:ascii="宋体" w:hAnsi="宋体"/>
                <w:spacing w:val="-26"/>
              </w:rPr>
              <w:t>162,802</w:t>
            </w:r>
          </w:p>
        </w:tc>
        <w:tc>
          <w:tcPr>
            <w:tcW w:w="456" w:type="pct"/>
            <w:vAlign w:val="center"/>
          </w:tcPr>
          <w:p>
            <w:pPr>
              <w:spacing w:line="276" w:lineRule="auto"/>
              <w:jc w:val="right"/>
              <w:rPr>
                <w:rFonts w:ascii="宋体" w:hAnsi="宋体" w:cs="Arial"/>
                <w:spacing w:val="-26"/>
              </w:rPr>
            </w:pPr>
            <w:r>
              <w:rPr>
                <w:rFonts w:hint="eastAsia" w:ascii="宋体" w:hAnsi="宋体"/>
                <w:spacing w:val="-26"/>
              </w:rPr>
              <w:t>114,841</w:t>
            </w:r>
          </w:p>
        </w:tc>
        <w:tc>
          <w:tcPr>
            <w:tcW w:w="456" w:type="pct"/>
            <w:vAlign w:val="center"/>
          </w:tcPr>
          <w:p>
            <w:pPr>
              <w:spacing w:line="276" w:lineRule="auto"/>
              <w:jc w:val="right"/>
              <w:rPr>
                <w:rFonts w:ascii="宋体" w:hAnsi="宋体" w:cs="Arial"/>
                <w:spacing w:val="-26"/>
              </w:rPr>
            </w:pP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r>
              <w:rPr>
                <w:rFonts w:hint="eastAsia" w:ascii="宋体" w:hAnsi="宋体"/>
                <w:spacing w:val="-26"/>
              </w:rPr>
              <w:t>9,750</w:t>
            </w:r>
          </w:p>
        </w:tc>
        <w:tc>
          <w:tcPr>
            <w:tcW w:w="454" w:type="pct"/>
            <w:vAlign w:val="center"/>
          </w:tcPr>
          <w:p>
            <w:pPr>
              <w:spacing w:line="276" w:lineRule="auto"/>
              <w:jc w:val="right"/>
              <w:rPr>
                <w:rFonts w:ascii="宋体" w:hAnsi="宋体" w:cs="Arial"/>
                <w:spacing w:val="-26"/>
              </w:rPr>
            </w:pPr>
            <w:r>
              <w:rPr>
                <w:rFonts w:hint="eastAsia" w:ascii="宋体" w:hAnsi="宋体"/>
                <w:spacing w:val="-26"/>
              </w:rPr>
              <w:t>15,628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rPr>
                <w:rFonts w:ascii="宋体" w:hAnsi="宋体" w:cs="Arial"/>
                <w:spacing w:val="-26"/>
              </w:rPr>
            </w:pPr>
            <w:r>
              <w:rPr>
                <w:rFonts w:hint="eastAsia" w:ascii="宋体" w:hAnsi="宋体"/>
                <w:spacing w:val="-26"/>
              </w:rPr>
              <w:t>预付款项</w:t>
            </w:r>
          </w:p>
        </w:tc>
        <w:tc>
          <w:tcPr>
            <w:tcW w:w="455" w:type="pct"/>
            <w:vAlign w:val="center"/>
          </w:tcPr>
          <w:p>
            <w:pPr>
              <w:jc w:val="right"/>
              <w:rPr>
                <w:rFonts w:ascii="宋体" w:hAnsi="宋体" w:cs="Arial"/>
                <w:spacing w:val="-26"/>
              </w:rPr>
            </w:pPr>
            <w:r>
              <w:rPr>
                <w:rFonts w:hint="eastAsia" w:ascii="宋体" w:hAnsi="宋体"/>
                <w:spacing w:val="-26"/>
              </w:rPr>
              <w:t>89,990</w:t>
            </w:r>
          </w:p>
        </w:tc>
        <w:tc>
          <w:tcPr>
            <w:tcW w:w="456" w:type="pct"/>
            <w:vAlign w:val="center"/>
          </w:tcPr>
          <w:p>
            <w:pPr>
              <w:jc w:val="right"/>
              <w:rPr>
                <w:rFonts w:ascii="宋体" w:hAnsi="宋体" w:cs="Arial"/>
                <w:spacing w:val="-26"/>
              </w:rPr>
            </w:pPr>
            <w:r>
              <w:rPr>
                <w:rFonts w:hint="eastAsia" w:ascii="宋体" w:hAnsi="宋体"/>
                <w:spacing w:val="-26"/>
              </w:rPr>
              <w:t>52,881</w:t>
            </w:r>
          </w:p>
        </w:tc>
        <w:tc>
          <w:tcPr>
            <w:tcW w:w="455" w:type="pct"/>
            <w:vAlign w:val="center"/>
          </w:tcPr>
          <w:p>
            <w:pPr>
              <w:jc w:val="right"/>
              <w:rPr>
                <w:rFonts w:ascii="宋体" w:hAnsi="宋体" w:cs="Arial"/>
                <w:spacing w:val="-26"/>
              </w:rPr>
            </w:pPr>
            <w:r>
              <w:rPr>
                <w:rFonts w:hint="eastAsia" w:ascii="宋体" w:hAnsi="宋体"/>
                <w:spacing w:val="-26"/>
              </w:rPr>
              <w:t>36,916</w:t>
            </w:r>
          </w:p>
        </w:tc>
        <w:tc>
          <w:tcPr>
            <w:tcW w:w="456" w:type="pct"/>
            <w:vAlign w:val="center"/>
          </w:tcPr>
          <w:p>
            <w:pPr>
              <w:jc w:val="right"/>
              <w:rPr>
                <w:rFonts w:ascii="宋体" w:hAnsi="宋体" w:cs="Arial"/>
                <w:spacing w:val="-26"/>
              </w:rPr>
            </w:pPr>
            <w:r>
              <w:rPr>
                <w:rFonts w:hint="eastAsia" w:ascii="宋体" w:hAnsi="宋体"/>
                <w:spacing w:val="-26"/>
              </w:rPr>
              <w:t>6,733</w:t>
            </w:r>
          </w:p>
        </w:tc>
        <w:tc>
          <w:tcPr>
            <w:tcW w:w="456" w:type="pct"/>
            <w:vAlign w:val="center"/>
          </w:tcPr>
          <w:p>
            <w:pPr>
              <w:jc w:val="right"/>
              <w:rPr>
                <w:rFonts w:ascii="宋体" w:hAnsi="宋体" w:cs="Arial"/>
                <w:spacing w:val="-26"/>
              </w:rPr>
            </w:pPr>
            <w:r>
              <w:rPr>
                <w:rFonts w:hint="eastAsia" w:ascii="宋体" w:hAnsi="宋体"/>
                <w:spacing w:val="-26"/>
              </w:rPr>
              <w:t>816</w:t>
            </w:r>
          </w:p>
        </w:tc>
        <w:tc>
          <w:tcPr>
            <w:tcW w:w="455" w:type="pct"/>
            <w:vAlign w:val="center"/>
          </w:tcPr>
          <w:p>
            <w:pPr>
              <w:jc w:val="right"/>
              <w:rPr>
                <w:rFonts w:ascii="宋体" w:hAnsi="宋体" w:cs="Arial"/>
                <w:spacing w:val="-26"/>
              </w:rPr>
            </w:pPr>
            <w:r>
              <w:rPr>
                <w:rFonts w:hint="eastAsia" w:ascii="宋体" w:hAnsi="宋体"/>
                <w:spacing w:val="-26"/>
              </w:rPr>
              <w:t>881</w:t>
            </w:r>
          </w:p>
        </w:tc>
        <w:tc>
          <w:tcPr>
            <w:tcW w:w="456" w:type="pct"/>
            <w:vAlign w:val="center"/>
          </w:tcPr>
          <w:p>
            <w:pPr>
              <w:jc w:val="right"/>
              <w:rPr>
                <w:rFonts w:ascii="宋体" w:hAnsi="宋体" w:cs="Arial"/>
                <w:spacing w:val="-26"/>
              </w:rPr>
            </w:pPr>
            <w:r>
              <w:rPr>
                <w:rFonts w:hint="eastAsia" w:ascii="宋体" w:hAnsi="宋体"/>
                <w:spacing w:val="-26"/>
              </w:rPr>
              <w:t>749</w:t>
            </w: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2,270</w:t>
            </w:r>
          </w:p>
        </w:tc>
        <w:tc>
          <w:tcPr>
            <w:tcW w:w="454" w:type="pct"/>
            <w:vAlign w:val="center"/>
          </w:tcPr>
          <w:p>
            <w:pPr>
              <w:jc w:val="right"/>
              <w:rPr>
                <w:rFonts w:ascii="宋体" w:hAnsi="宋体" w:cs="Arial"/>
                <w:spacing w:val="-26"/>
              </w:rPr>
            </w:pPr>
            <w:r>
              <w:rPr>
                <w:rFonts w:hint="eastAsia" w:ascii="宋体" w:hAnsi="宋体"/>
                <w:spacing w:val="-26"/>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rPr>
                <w:rFonts w:ascii="宋体" w:hAnsi="宋体" w:cs="Arial"/>
                <w:color w:val="000000"/>
                <w:spacing w:val="-26"/>
              </w:rPr>
            </w:pPr>
            <w:r>
              <w:rPr>
                <w:rFonts w:hint="eastAsia" w:ascii="宋体" w:hAnsi="宋体"/>
                <w:spacing w:val="-26"/>
              </w:rPr>
              <w:t>其他应收款</w:t>
            </w:r>
          </w:p>
        </w:tc>
        <w:tc>
          <w:tcPr>
            <w:tcW w:w="455" w:type="pct"/>
            <w:vAlign w:val="center"/>
          </w:tcPr>
          <w:p>
            <w:pPr>
              <w:jc w:val="right"/>
              <w:rPr>
                <w:rFonts w:ascii="宋体" w:hAnsi="宋体" w:cs="Arial"/>
                <w:spacing w:val="-26"/>
              </w:rPr>
            </w:pPr>
            <w:r>
              <w:rPr>
                <w:rFonts w:hint="eastAsia" w:ascii="宋体" w:hAnsi="宋体"/>
                <w:spacing w:val="-26"/>
              </w:rPr>
              <w:t>6,031,970</w:t>
            </w:r>
          </w:p>
        </w:tc>
        <w:tc>
          <w:tcPr>
            <w:tcW w:w="456" w:type="pct"/>
            <w:vAlign w:val="center"/>
          </w:tcPr>
          <w:p>
            <w:pPr>
              <w:jc w:val="right"/>
              <w:rPr>
                <w:rFonts w:ascii="宋体" w:hAnsi="宋体" w:cs="Arial"/>
                <w:spacing w:val="-26"/>
              </w:rPr>
            </w:pPr>
            <w:r>
              <w:rPr>
                <w:rFonts w:hint="eastAsia" w:ascii="宋体" w:hAnsi="宋体"/>
                <w:spacing w:val="-26"/>
              </w:rPr>
              <w:t>6,759,334</w:t>
            </w:r>
          </w:p>
        </w:tc>
        <w:tc>
          <w:tcPr>
            <w:tcW w:w="455" w:type="pct"/>
            <w:vAlign w:val="center"/>
          </w:tcPr>
          <w:p>
            <w:pPr>
              <w:jc w:val="right"/>
              <w:rPr>
                <w:rFonts w:ascii="宋体" w:hAnsi="宋体" w:cs="Arial"/>
                <w:spacing w:val="-26"/>
              </w:rPr>
            </w:pPr>
            <w:r>
              <w:rPr>
                <w:rFonts w:hint="eastAsia" w:ascii="宋体" w:hAnsi="宋体"/>
                <w:spacing w:val="-26"/>
              </w:rPr>
              <w:t>2,425,721</w:t>
            </w:r>
          </w:p>
        </w:tc>
        <w:tc>
          <w:tcPr>
            <w:tcW w:w="456" w:type="pct"/>
            <w:vAlign w:val="center"/>
          </w:tcPr>
          <w:p>
            <w:pPr>
              <w:jc w:val="right"/>
              <w:rPr>
                <w:rFonts w:ascii="宋体" w:hAnsi="宋体" w:cs="Arial"/>
                <w:spacing w:val="-26"/>
              </w:rPr>
            </w:pPr>
            <w:r>
              <w:rPr>
                <w:rFonts w:hint="eastAsia" w:ascii="宋体" w:hAnsi="宋体"/>
                <w:spacing w:val="-26"/>
              </w:rPr>
              <w:t>2,009,156</w:t>
            </w:r>
          </w:p>
        </w:tc>
        <w:tc>
          <w:tcPr>
            <w:tcW w:w="456" w:type="pct"/>
            <w:vAlign w:val="center"/>
          </w:tcPr>
          <w:p>
            <w:pPr>
              <w:jc w:val="right"/>
              <w:rPr>
                <w:rFonts w:ascii="宋体" w:hAnsi="宋体" w:cs="Arial"/>
                <w:spacing w:val="-26"/>
              </w:rPr>
            </w:pPr>
            <w:r>
              <w:rPr>
                <w:rFonts w:hint="eastAsia" w:ascii="宋体" w:hAnsi="宋体"/>
                <w:spacing w:val="-26"/>
              </w:rPr>
              <w:t>16,014</w:t>
            </w:r>
          </w:p>
        </w:tc>
        <w:tc>
          <w:tcPr>
            <w:tcW w:w="455" w:type="pct"/>
            <w:vAlign w:val="center"/>
          </w:tcPr>
          <w:p>
            <w:pPr>
              <w:jc w:val="right"/>
              <w:rPr>
                <w:rFonts w:ascii="宋体" w:hAnsi="宋体" w:cs="Arial"/>
                <w:spacing w:val="-26"/>
              </w:rPr>
            </w:pPr>
            <w:r>
              <w:rPr>
                <w:rFonts w:hint="eastAsia" w:ascii="宋体" w:hAnsi="宋体"/>
                <w:spacing w:val="-26"/>
              </w:rPr>
              <w:t>2,172</w:t>
            </w:r>
          </w:p>
        </w:tc>
        <w:tc>
          <w:tcPr>
            <w:tcW w:w="456" w:type="pct"/>
            <w:vAlign w:val="center"/>
          </w:tcPr>
          <w:p>
            <w:pPr>
              <w:jc w:val="right"/>
              <w:rPr>
                <w:rFonts w:ascii="宋体" w:hAnsi="宋体" w:cs="Arial"/>
                <w:spacing w:val="-26"/>
              </w:rPr>
            </w:pPr>
            <w:r>
              <w:rPr>
                <w:rFonts w:hint="eastAsia" w:ascii="宋体" w:hAnsi="宋体"/>
                <w:spacing w:val="-26"/>
              </w:rPr>
              <w:t>35,010</w:t>
            </w:r>
          </w:p>
        </w:tc>
        <w:tc>
          <w:tcPr>
            <w:tcW w:w="455" w:type="pct"/>
            <w:vAlign w:val="center"/>
          </w:tcPr>
          <w:p>
            <w:pPr>
              <w:jc w:val="right"/>
              <w:rPr>
                <w:rFonts w:ascii="宋体" w:hAnsi="宋体" w:cs="Arial"/>
                <w:spacing w:val="-26"/>
              </w:rPr>
            </w:pPr>
            <w:r>
              <w:rPr>
                <w:rFonts w:hint="eastAsia" w:ascii="宋体" w:hAnsi="宋体"/>
                <w:spacing w:val="-26"/>
              </w:rPr>
              <w:t>33,947</w:t>
            </w:r>
          </w:p>
        </w:tc>
        <w:tc>
          <w:tcPr>
            <w:tcW w:w="456" w:type="pct"/>
            <w:vAlign w:val="center"/>
          </w:tcPr>
          <w:p>
            <w:pPr>
              <w:jc w:val="right"/>
              <w:rPr>
                <w:rFonts w:ascii="宋体" w:hAnsi="宋体" w:cs="Arial"/>
                <w:spacing w:val="-26"/>
              </w:rPr>
            </w:pPr>
            <w:r>
              <w:rPr>
                <w:rFonts w:hint="eastAsia" w:ascii="宋体" w:hAnsi="宋体"/>
                <w:spacing w:val="-26"/>
              </w:rPr>
              <w:t>5,165</w:t>
            </w:r>
          </w:p>
        </w:tc>
        <w:tc>
          <w:tcPr>
            <w:tcW w:w="454" w:type="pct"/>
            <w:vAlign w:val="center"/>
          </w:tcPr>
          <w:p>
            <w:pPr>
              <w:jc w:val="right"/>
              <w:rPr>
                <w:rFonts w:ascii="宋体" w:hAnsi="宋体" w:cs="Arial"/>
                <w:spacing w:val="-26"/>
              </w:rPr>
            </w:pPr>
            <w:r>
              <w:rPr>
                <w:rFonts w:hint="eastAsia" w:ascii="宋体" w:hAnsi="宋体"/>
                <w:spacing w:val="-26"/>
              </w:rPr>
              <w:t>13,160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rPr>
                <w:rFonts w:ascii="宋体" w:hAnsi="宋体" w:cs="Arial"/>
                <w:color w:val="000000"/>
                <w:spacing w:val="-26"/>
              </w:rPr>
            </w:pPr>
            <w:r>
              <w:rPr>
                <w:rFonts w:hint="eastAsia" w:ascii="宋体" w:hAnsi="宋体"/>
                <w:spacing w:val="-26"/>
              </w:rPr>
              <w:t>存货</w:t>
            </w:r>
          </w:p>
        </w:tc>
        <w:tc>
          <w:tcPr>
            <w:tcW w:w="455" w:type="pct"/>
            <w:vAlign w:val="center"/>
          </w:tcPr>
          <w:p>
            <w:pPr>
              <w:jc w:val="right"/>
              <w:rPr>
                <w:rFonts w:ascii="宋体" w:hAnsi="宋体" w:cs="Arial"/>
                <w:spacing w:val="-26"/>
              </w:rPr>
            </w:pPr>
            <w:r>
              <w:rPr>
                <w:rFonts w:hint="eastAsia" w:ascii="宋体" w:hAnsi="宋体"/>
                <w:spacing w:val="-26"/>
              </w:rPr>
              <w:t>407,812</w:t>
            </w:r>
          </w:p>
        </w:tc>
        <w:tc>
          <w:tcPr>
            <w:tcW w:w="456" w:type="pct"/>
            <w:vAlign w:val="center"/>
          </w:tcPr>
          <w:p>
            <w:pPr>
              <w:jc w:val="right"/>
              <w:rPr>
                <w:rFonts w:ascii="宋体" w:hAnsi="宋体" w:cs="Arial"/>
                <w:spacing w:val="-26"/>
              </w:rPr>
            </w:pPr>
            <w:r>
              <w:rPr>
                <w:rFonts w:hint="eastAsia" w:ascii="宋体" w:hAnsi="宋体"/>
                <w:spacing w:val="-26"/>
              </w:rPr>
              <w:t>614,066</w:t>
            </w:r>
          </w:p>
        </w:tc>
        <w:tc>
          <w:tcPr>
            <w:tcW w:w="455" w:type="pct"/>
            <w:vAlign w:val="center"/>
          </w:tcPr>
          <w:p>
            <w:pPr>
              <w:jc w:val="right"/>
              <w:rPr>
                <w:rFonts w:ascii="宋体" w:hAnsi="宋体" w:cs="Arial"/>
                <w:spacing w:val="-26"/>
              </w:rPr>
            </w:pPr>
            <w:r>
              <w:rPr>
                <w:rFonts w:hint="eastAsia" w:ascii="宋体" w:hAnsi="宋体"/>
                <w:spacing w:val="-26"/>
              </w:rPr>
              <w:t>123,647</w:t>
            </w:r>
          </w:p>
        </w:tc>
        <w:tc>
          <w:tcPr>
            <w:tcW w:w="456" w:type="pct"/>
            <w:vAlign w:val="center"/>
          </w:tcPr>
          <w:p>
            <w:pPr>
              <w:jc w:val="right"/>
              <w:rPr>
                <w:rFonts w:ascii="宋体" w:hAnsi="宋体" w:cs="Arial"/>
                <w:spacing w:val="-26"/>
              </w:rPr>
            </w:pPr>
            <w:r>
              <w:rPr>
                <w:rFonts w:hint="eastAsia" w:ascii="宋体" w:hAnsi="宋体"/>
                <w:spacing w:val="-26"/>
              </w:rPr>
              <w:t>142,216</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5,976</w:t>
            </w:r>
          </w:p>
        </w:tc>
        <w:tc>
          <w:tcPr>
            <w:tcW w:w="454" w:type="pct"/>
            <w:vAlign w:val="center"/>
          </w:tcPr>
          <w:p>
            <w:pPr>
              <w:jc w:val="right"/>
              <w:rPr>
                <w:rFonts w:ascii="宋体" w:hAnsi="宋体" w:cs="Arial"/>
                <w:spacing w:val="-26"/>
              </w:rPr>
            </w:pPr>
            <w:r>
              <w:rPr>
                <w:rFonts w:hint="eastAsia" w:ascii="宋体" w:hAnsi="宋体"/>
                <w:spacing w:val="-26"/>
              </w:rPr>
              <w:t>2,820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rPr>
                <w:rFonts w:ascii="宋体" w:hAnsi="宋体" w:cs="Arial"/>
                <w:color w:val="000000"/>
                <w:spacing w:val="-26"/>
                <w:lang w:val="en-GB"/>
              </w:rPr>
            </w:pPr>
            <w:r>
              <w:rPr>
                <w:rFonts w:hint="eastAsia" w:ascii="宋体" w:hAnsi="宋体"/>
                <w:spacing w:val="-26"/>
              </w:rPr>
              <w:t>合同资产</w:t>
            </w:r>
          </w:p>
        </w:tc>
        <w:tc>
          <w:tcPr>
            <w:tcW w:w="455" w:type="pct"/>
            <w:vAlign w:val="center"/>
          </w:tcPr>
          <w:p>
            <w:pPr>
              <w:spacing w:line="276" w:lineRule="auto"/>
              <w:jc w:val="right"/>
              <w:rPr>
                <w:rFonts w:ascii="宋体" w:hAnsi="宋体" w:cs="Arial"/>
                <w:spacing w:val="-26"/>
              </w:rPr>
            </w:pPr>
            <w:r>
              <w:rPr>
                <w:rFonts w:hint="eastAsia" w:ascii="宋体" w:hAnsi="宋体"/>
                <w:spacing w:val="-26"/>
              </w:rPr>
              <w:t>4,142</w:t>
            </w:r>
          </w:p>
        </w:tc>
        <w:tc>
          <w:tcPr>
            <w:tcW w:w="456" w:type="pct"/>
            <w:vAlign w:val="center"/>
          </w:tcPr>
          <w:p>
            <w:pPr>
              <w:spacing w:line="276" w:lineRule="auto"/>
              <w:jc w:val="right"/>
              <w:rPr>
                <w:rFonts w:ascii="宋体" w:hAnsi="宋体" w:cs="Arial"/>
                <w:spacing w:val="-26"/>
              </w:rPr>
            </w:pPr>
            <w:r>
              <w:rPr>
                <w:rFonts w:hint="eastAsia" w:ascii="宋体" w:hAnsi="宋体"/>
                <w:spacing w:val="-26"/>
              </w:rPr>
              <w:t>4,238</w:t>
            </w: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r>
              <w:rPr>
                <w:rFonts w:hint="eastAsia" w:ascii="宋体" w:hAnsi="宋体"/>
                <w:spacing w:val="-26"/>
              </w:rPr>
              <w:t>129,365</w:t>
            </w:r>
          </w:p>
        </w:tc>
        <w:tc>
          <w:tcPr>
            <w:tcW w:w="454" w:type="pct"/>
            <w:vAlign w:val="center"/>
          </w:tcPr>
          <w:p>
            <w:pPr>
              <w:spacing w:line="276" w:lineRule="auto"/>
              <w:jc w:val="right"/>
              <w:rPr>
                <w:rFonts w:ascii="宋体" w:hAnsi="宋体" w:cs="Arial"/>
                <w:spacing w:val="-26"/>
              </w:rPr>
            </w:pPr>
            <w:r>
              <w:rPr>
                <w:rFonts w:hint="eastAsia" w:ascii="宋体" w:hAnsi="宋体"/>
                <w:spacing w:val="-26"/>
              </w:rPr>
              <w:t>86,375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rPr>
                <w:rFonts w:ascii="宋体" w:hAnsi="宋体" w:cs="Arial"/>
                <w:color w:val="000000"/>
                <w:spacing w:val="-26"/>
                <w:lang w:val="en-GB"/>
              </w:rPr>
            </w:pPr>
            <w:r>
              <w:rPr>
                <w:rFonts w:hint="eastAsia" w:ascii="宋体" w:hAnsi="宋体"/>
                <w:spacing w:val="-26"/>
              </w:rPr>
              <w:t>一年内到期的非流动资产</w:t>
            </w:r>
          </w:p>
        </w:tc>
        <w:tc>
          <w:tcPr>
            <w:tcW w:w="455" w:type="pct"/>
            <w:vAlign w:val="center"/>
          </w:tcPr>
          <w:p>
            <w:pPr>
              <w:spacing w:line="276" w:lineRule="auto"/>
              <w:jc w:val="right"/>
              <w:rPr>
                <w:rFonts w:ascii="宋体" w:hAnsi="宋体" w:cs="Arial"/>
                <w:spacing w:val="-26"/>
              </w:rPr>
            </w:pPr>
            <w:r>
              <w:rPr>
                <w:rFonts w:hint="eastAsia" w:ascii="宋体" w:hAnsi="宋体"/>
                <w:spacing w:val="-26"/>
              </w:rPr>
              <w:t>35,178</w:t>
            </w:r>
          </w:p>
        </w:tc>
        <w:tc>
          <w:tcPr>
            <w:tcW w:w="456" w:type="pct"/>
            <w:vAlign w:val="center"/>
          </w:tcPr>
          <w:p>
            <w:pPr>
              <w:spacing w:line="276" w:lineRule="auto"/>
              <w:jc w:val="right"/>
              <w:rPr>
                <w:rFonts w:ascii="宋体" w:hAnsi="宋体" w:cs="Arial"/>
                <w:spacing w:val="-26"/>
              </w:rPr>
            </w:pPr>
            <w:r>
              <w:rPr>
                <w:rFonts w:hint="eastAsia" w:ascii="宋体" w:hAnsi="宋体"/>
                <w:spacing w:val="-26"/>
              </w:rPr>
              <w:t>30,000</w:t>
            </w: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5" w:type="pct"/>
            <w:vAlign w:val="center"/>
          </w:tcPr>
          <w:p>
            <w:pPr>
              <w:spacing w:line="276" w:lineRule="auto"/>
              <w:jc w:val="right"/>
              <w:rPr>
                <w:rFonts w:ascii="宋体" w:hAnsi="宋体" w:cs="Arial"/>
                <w:spacing w:val="-26"/>
              </w:rPr>
            </w:pPr>
          </w:p>
        </w:tc>
        <w:tc>
          <w:tcPr>
            <w:tcW w:w="456" w:type="pct"/>
            <w:vAlign w:val="center"/>
          </w:tcPr>
          <w:p>
            <w:pPr>
              <w:spacing w:line="276" w:lineRule="auto"/>
              <w:jc w:val="right"/>
              <w:rPr>
                <w:rFonts w:ascii="宋体" w:hAnsi="宋体" w:cs="Arial"/>
                <w:spacing w:val="-26"/>
              </w:rPr>
            </w:pPr>
          </w:p>
        </w:tc>
        <w:tc>
          <w:tcPr>
            <w:tcW w:w="454" w:type="pct"/>
            <w:vAlign w:val="center"/>
          </w:tcPr>
          <w:p>
            <w:pPr>
              <w:spacing w:line="276" w:lineRule="auto"/>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rPr>
                <w:rFonts w:ascii="宋体" w:hAnsi="宋体" w:cs="Arial"/>
                <w:spacing w:val="-26"/>
              </w:rPr>
            </w:pPr>
            <w:r>
              <w:rPr>
                <w:rFonts w:hint="eastAsia" w:ascii="宋体" w:hAnsi="宋体"/>
                <w:spacing w:val="-26"/>
              </w:rPr>
              <w:t>其他流动资产</w:t>
            </w:r>
          </w:p>
        </w:tc>
        <w:tc>
          <w:tcPr>
            <w:tcW w:w="455" w:type="pct"/>
            <w:vAlign w:val="center"/>
          </w:tcPr>
          <w:p>
            <w:pPr>
              <w:jc w:val="right"/>
              <w:rPr>
                <w:rFonts w:ascii="宋体" w:hAnsi="宋体" w:cs="Arial"/>
                <w:spacing w:val="-26"/>
              </w:rPr>
            </w:pPr>
            <w:r>
              <w:rPr>
                <w:rFonts w:hint="eastAsia" w:ascii="宋体" w:hAnsi="宋体"/>
                <w:spacing w:val="-26"/>
              </w:rPr>
              <w:t>4,917,119</w:t>
            </w:r>
          </w:p>
        </w:tc>
        <w:tc>
          <w:tcPr>
            <w:tcW w:w="456" w:type="pct"/>
            <w:vAlign w:val="center"/>
          </w:tcPr>
          <w:p>
            <w:pPr>
              <w:jc w:val="right"/>
              <w:rPr>
                <w:rFonts w:ascii="宋体" w:hAnsi="宋体" w:cs="Arial"/>
                <w:spacing w:val="-26"/>
              </w:rPr>
            </w:pPr>
            <w:r>
              <w:rPr>
                <w:rFonts w:hint="eastAsia" w:ascii="宋体" w:hAnsi="宋体"/>
                <w:spacing w:val="-26"/>
              </w:rPr>
              <w:t>3,863,723</w:t>
            </w:r>
          </w:p>
        </w:tc>
        <w:tc>
          <w:tcPr>
            <w:tcW w:w="455" w:type="pct"/>
            <w:vAlign w:val="center"/>
          </w:tcPr>
          <w:p>
            <w:pPr>
              <w:jc w:val="right"/>
              <w:rPr>
                <w:rFonts w:ascii="宋体" w:hAnsi="宋体" w:cs="Arial"/>
                <w:spacing w:val="-26"/>
              </w:rPr>
            </w:pPr>
            <w:r>
              <w:rPr>
                <w:rFonts w:hint="eastAsia" w:ascii="宋体" w:hAnsi="宋体"/>
                <w:spacing w:val="-26"/>
              </w:rPr>
              <w:t>262,898</w:t>
            </w:r>
          </w:p>
        </w:tc>
        <w:tc>
          <w:tcPr>
            <w:tcW w:w="456" w:type="pct"/>
            <w:vAlign w:val="center"/>
          </w:tcPr>
          <w:p>
            <w:pPr>
              <w:jc w:val="right"/>
              <w:rPr>
                <w:rFonts w:ascii="宋体" w:hAnsi="宋体" w:cs="Arial"/>
                <w:spacing w:val="-26"/>
              </w:rPr>
            </w:pPr>
            <w:r>
              <w:rPr>
                <w:rFonts w:hint="eastAsia" w:ascii="宋体" w:hAnsi="宋体"/>
                <w:spacing w:val="-26"/>
              </w:rPr>
              <w:t>320,045</w:t>
            </w:r>
          </w:p>
        </w:tc>
        <w:tc>
          <w:tcPr>
            <w:tcW w:w="456" w:type="pct"/>
            <w:vAlign w:val="center"/>
          </w:tcPr>
          <w:p>
            <w:pPr>
              <w:jc w:val="right"/>
              <w:rPr>
                <w:rFonts w:ascii="宋体" w:hAnsi="宋体" w:cs="Arial"/>
                <w:spacing w:val="-26"/>
              </w:rPr>
            </w:pPr>
            <w:r>
              <w:rPr>
                <w:rFonts w:hint="eastAsia" w:ascii="宋体" w:hAnsi="宋体"/>
                <w:spacing w:val="-26"/>
              </w:rPr>
              <w:t>11,002,875</w:t>
            </w:r>
          </w:p>
        </w:tc>
        <w:tc>
          <w:tcPr>
            <w:tcW w:w="455" w:type="pct"/>
            <w:vAlign w:val="center"/>
          </w:tcPr>
          <w:p>
            <w:pPr>
              <w:jc w:val="right"/>
              <w:rPr>
                <w:rFonts w:ascii="宋体" w:hAnsi="宋体" w:cs="Arial"/>
                <w:spacing w:val="-26"/>
              </w:rPr>
            </w:pPr>
            <w:r>
              <w:rPr>
                <w:rFonts w:hint="eastAsia" w:ascii="宋体" w:hAnsi="宋体"/>
                <w:spacing w:val="-26"/>
              </w:rPr>
              <w:t>9,901,125</w:t>
            </w:r>
          </w:p>
        </w:tc>
        <w:tc>
          <w:tcPr>
            <w:tcW w:w="456" w:type="pct"/>
            <w:vAlign w:val="center"/>
          </w:tcPr>
          <w:p>
            <w:pPr>
              <w:jc w:val="right"/>
              <w:rPr>
                <w:rFonts w:ascii="宋体" w:hAnsi="宋体" w:cs="Arial"/>
                <w:spacing w:val="-26"/>
              </w:rPr>
            </w:pPr>
            <w:r>
              <w:rPr>
                <w:rFonts w:hint="eastAsia" w:ascii="宋体" w:hAnsi="宋体"/>
                <w:spacing w:val="-26"/>
              </w:rPr>
              <w:t>194</w:t>
            </w:r>
          </w:p>
        </w:tc>
        <w:tc>
          <w:tcPr>
            <w:tcW w:w="455" w:type="pct"/>
            <w:vAlign w:val="center"/>
          </w:tcPr>
          <w:p>
            <w:pPr>
              <w:jc w:val="right"/>
              <w:rPr>
                <w:rFonts w:ascii="宋体" w:hAnsi="宋体" w:cs="Arial"/>
                <w:spacing w:val="-26"/>
              </w:rPr>
            </w:pPr>
            <w:r>
              <w:rPr>
                <w:rFonts w:hint="eastAsia" w:ascii="宋体" w:hAnsi="宋体"/>
                <w:spacing w:val="-26"/>
              </w:rPr>
              <w:t>164</w:t>
            </w: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rPr>
                <w:rFonts w:ascii="宋体" w:hAnsi="宋体" w:cs="Arial"/>
                <w:color w:val="000000"/>
                <w:spacing w:val="-26"/>
              </w:rPr>
            </w:pPr>
            <w:r>
              <w:rPr>
                <w:rFonts w:hint="eastAsia" w:ascii="宋体" w:hAnsi="宋体"/>
                <w:spacing w:val="-26"/>
              </w:rPr>
              <w:t>债权投资</w:t>
            </w: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r>
              <w:rPr>
                <w:rFonts w:hint="eastAsia" w:ascii="宋体" w:hAnsi="宋体"/>
                <w:spacing w:val="-26"/>
              </w:rPr>
              <w:t>19,985</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长期应收款</w:t>
            </w:r>
          </w:p>
        </w:tc>
        <w:tc>
          <w:tcPr>
            <w:tcW w:w="455" w:type="pct"/>
            <w:vAlign w:val="center"/>
          </w:tcPr>
          <w:p>
            <w:pPr>
              <w:jc w:val="right"/>
              <w:rPr>
                <w:rFonts w:ascii="宋体" w:hAnsi="宋体" w:cs="Arial"/>
                <w:spacing w:val="-26"/>
              </w:rPr>
            </w:pPr>
            <w:r>
              <w:rPr>
                <w:rFonts w:hint="eastAsia" w:ascii="宋体" w:hAnsi="宋体"/>
                <w:spacing w:val="-26"/>
              </w:rPr>
              <w:t>133,014</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长期股权投资</w:t>
            </w: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r>
              <w:rPr>
                <w:rFonts w:hint="eastAsia" w:ascii="宋体" w:hAnsi="宋体"/>
                <w:spacing w:val="-26"/>
              </w:rPr>
              <w:t>1,994,991</w:t>
            </w:r>
          </w:p>
        </w:tc>
        <w:tc>
          <w:tcPr>
            <w:tcW w:w="456" w:type="pct"/>
            <w:vAlign w:val="center"/>
          </w:tcPr>
          <w:p>
            <w:pPr>
              <w:jc w:val="right"/>
              <w:rPr>
                <w:rFonts w:ascii="宋体" w:hAnsi="宋体" w:cs="Arial"/>
                <w:spacing w:val="-26"/>
              </w:rPr>
            </w:pPr>
            <w:r>
              <w:rPr>
                <w:rFonts w:hint="eastAsia" w:ascii="宋体" w:hAnsi="宋体"/>
                <w:spacing w:val="-26"/>
              </w:rPr>
              <w:t>1,469,065</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其他权益工具投资</w:t>
            </w:r>
          </w:p>
        </w:tc>
        <w:tc>
          <w:tcPr>
            <w:tcW w:w="455" w:type="pct"/>
            <w:vAlign w:val="center"/>
          </w:tcPr>
          <w:p>
            <w:pPr>
              <w:jc w:val="right"/>
              <w:rPr>
                <w:rFonts w:ascii="宋体" w:hAnsi="宋体" w:cs="Arial"/>
                <w:spacing w:val="-26"/>
              </w:rPr>
            </w:pPr>
            <w:r>
              <w:rPr>
                <w:rFonts w:hint="eastAsia" w:ascii="宋体" w:hAnsi="宋体"/>
                <w:spacing w:val="-26"/>
              </w:rPr>
              <w:t>309,610</w:t>
            </w:r>
          </w:p>
        </w:tc>
        <w:tc>
          <w:tcPr>
            <w:tcW w:w="456" w:type="pct"/>
            <w:vAlign w:val="center"/>
          </w:tcPr>
          <w:p>
            <w:pPr>
              <w:jc w:val="right"/>
              <w:rPr>
                <w:rFonts w:ascii="宋体" w:hAnsi="宋体" w:cs="Arial"/>
                <w:spacing w:val="-26"/>
              </w:rPr>
            </w:pPr>
            <w:r>
              <w:rPr>
                <w:rFonts w:hint="eastAsia" w:ascii="宋体" w:hAnsi="宋体"/>
                <w:spacing w:val="-26"/>
              </w:rPr>
              <w:t>309,610</w:t>
            </w: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投资性房地产</w:t>
            </w: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r>
              <w:rPr>
                <w:rFonts w:hint="eastAsia" w:ascii="宋体" w:hAnsi="宋体"/>
                <w:spacing w:val="-26"/>
              </w:rPr>
              <w:t>32,310</w:t>
            </w:r>
          </w:p>
        </w:tc>
        <w:tc>
          <w:tcPr>
            <w:tcW w:w="456"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固定资产</w:t>
            </w:r>
          </w:p>
        </w:tc>
        <w:tc>
          <w:tcPr>
            <w:tcW w:w="455" w:type="pct"/>
            <w:vAlign w:val="center"/>
          </w:tcPr>
          <w:p>
            <w:pPr>
              <w:jc w:val="right"/>
              <w:rPr>
                <w:rFonts w:ascii="宋体" w:hAnsi="宋体" w:cs="Arial"/>
                <w:spacing w:val="-26"/>
              </w:rPr>
            </w:pPr>
            <w:r>
              <w:rPr>
                <w:rFonts w:hint="eastAsia" w:ascii="宋体" w:hAnsi="宋体"/>
                <w:spacing w:val="-26"/>
              </w:rPr>
              <w:t>18,284,899</w:t>
            </w:r>
          </w:p>
        </w:tc>
        <w:tc>
          <w:tcPr>
            <w:tcW w:w="456" w:type="pct"/>
            <w:vAlign w:val="center"/>
          </w:tcPr>
          <w:p>
            <w:pPr>
              <w:jc w:val="right"/>
              <w:rPr>
                <w:rFonts w:ascii="宋体" w:hAnsi="宋体" w:cs="Arial"/>
                <w:spacing w:val="-26"/>
              </w:rPr>
            </w:pPr>
            <w:r>
              <w:rPr>
                <w:rFonts w:hint="eastAsia" w:ascii="宋体" w:hAnsi="宋体"/>
                <w:spacing w:val="-26"/>
              </w:rPr>
              <w:t>18,729,520</w:t>
            </w:r>
          </w:p>
        </w:tc>
        <w:tc>
          <w:tcPr>
            <w:tcW w:w="455" w:type="pct"/>
            <w:vAlign w:val="center"/>
          </w:tcPr>
          <w:p>
            <w:pPr>
              <w:jc w:val="right"/>
              <w:rPr>
                <w:rFonts w:ascii="宋体" w:hAnsi="宋体" w:cs="Arial"/>
                <w:spacing w:val="-26"/>
              </w:rPr>
            </w:pPr>
            <w:r>
              <w:rPr>
                <w:rFonts w:hint="eastAsia" w:ascii="宋体" w:hAnsi="宋体"/>
                <w:spacing w:val="-26"/>
              </w:rPr>
              <w:t>9,800,114</w:t>
            </w:r>
          </w:p>
        </w:tc>
        <w:tc>
          <w:tcPr>
            <w:tcW w:w="456" w:type="pct"/>
            <w:vAlign w:val="center"/>
          </w:tcPr>
          <w:p>
            <w:pPr>
              <w:jc w:val="right"/>
              <w:rPr>
                <w:rFonts w:ascii="宋体" w:hAnsi="宋体" w:cs="Arial"/>
                <w:spacing w:val="-26"/>
              </w:rPr>
            </w:pPr>
            <w:r>
              <w:rPr>
                <w:rFonts w:hint="eastAsia" w:ascii="宋体" w:hAnsi="宋体"/>
                <w:spacing w:val="-26"/>
              </w:rPr>
              <w:t>10,296,114</w:t>
            </w:r>
          </w:p>
        </w:tc>
        <w:tc>
          <w:tcPr>
            <w:tcW w:w="456" w:type="pct"/>
            <w:vAlign w:val="center"/>
          </w:tcPr>
          <w:p>
            <w:pPr>
              <w:jc w:val="right"/>
              <w:rPr>
                <w:rFonts w:ascii="宋体" w:hAnsi="宋体" w:cs="Arial"/>
                <w:spacing w:val="-26"/>
              </w:rPr>
            </w:pPr>
            <w:r>
              <w:rPr>
                <w:rFonts w:hint="eastAsia" w:ascii="宋体" w:hAnsi="宋体"/>
                <w:spacing w:val="-26"/>
              </w:rPr>
              <w:t>7,348</w:t>
            </w:r>
          </w:p>
        </w:tc>
        <w:tc>
          <w:tcPr>
            <w:tcW w:w="455" w:type="pct"/>
            <w:vAlign w:val="center"/>
          </w:tcPr>
          <w:p>
            <w:pPr>
              <w:jc w:val="right"/>
              <w:rPr>
                <w:rFonts w:ascii="宋体" w:hAnsi="宋体" w:cs="Arial"/>
                <w:spacing w:val="-26"/>
              </w:rPr>
            </w:pPr>
            <w:r>
              <w:rPr>
                <w:rFonts w:hint="eastAsia" w:ascii="宋体" w:hAnsi="宋体"/>
                <w:spacing w:val="-26"/>
              </w:rPr>
              <w:t>9,560</w:t>
            </w:r>
          </w:p>
        </w:tc>
        <w:tc>
          <w:tcPr>
            <w:tcW w:w="456" w:type="pct"/>
            <w:vAlign w:val="center"/>
          </w:tcPr>
          <w:p>
            <w:pPr>
              <w:jc w:val="right"/>
              <w:rPr>
                <w:rFonts w:ascii="宋体" w:hAnsi="宋体" w:cs="Arial"/>
                <w:spacing w:val="-26"/>
              </w:rPr>
            </w:pPr>
            <w:r>
              <w:rPr>
                <w:rFonts w:hint="eastAsia" w:ascii="宋体" w:hAnsi="宋体"/>
                <w:spacing w:val="-26"/>
              </w:rPr>
              <w:t>639</w:t>
            </w:r>
          </w:p>
        </w:tc>
        <w:tc>
          <w:tcPr>
            <w:tcW w:w="455" w:type="pct"/>
            <w:vAlign w:val="center"/>
          </w:tcPr>
          <w:p>
            <w:pPr>
              <w:jc w:val="right"/>
              <w:rPr>
                <w:rFonts w:ascii="宋体" w:hAnsi="宋体" w:cs="Arial"/>
                <w:spacing w:val="-26"/>
              </w:rPr>
            </w:pPr>
            <w:r>
              <w:rPr>
                <w:rFonts w:hint="eastAsia" w:ascii="宋体" w:hAnsi="宋体"/>
                <w:spacing w:val="-26"/>
              </w:rPr>
              <w:t>670</w:t>
            </w:r>
          </w:p>
        </w:tc>
        <w:tc>
          <w:tcPr>
            <w:tcW w:w="456" w:type="pct"/>
            <w:vAlign w:val="center"/>
          </w:tcPr>
          <w:p>
            <w:pPr>
              <w:jc w:val="right"/>
              <w:rPr>
                <w:rFonts w:ascii="宋体" w:hAnsi="宋体" w:cs="Arial"/>
                <w:spacing w:val="-26"/>
              </w:rPr>
            </w:pPr>
            <w:r>
              <w:rPr>
                <w:rFonts w:hint="eastAsia" w:ascii="宋体" w:hAnsi="宋体"/>
                <w:spacing w:val="-26"/>
              </w:rPr>
              <w:t>36,751</w:t>
            </w:r>
          </w:p>
        </w:tc>
        <w:tc>
          <w:tcPr>
            <w:tcW w:w="454" w:type="pct"/>
            <w:vAlign w:val="center"/>
          </w:tcPr>
          <w:p>
            <w:pPr>
              <w:jc w:val="right"/>
              <w:rPr>
                <w:rFonts w:ascii="宋体" w:hAnsi="宋体" w:cs="Arial"/>
                <w:spacing w:val="-26"/>
              </w:rPr>
            </w:pPr>
            <w:r>
              <w:rPr>
                <w:rFonts w:hint="eastAsia" w:ascii="宋体" w:hAnsi="宋体"/>
                <w:spacing w:val="-26"/>
              </w:rPr>
              <w:t>37,806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在建工程</w:t>
            </w:r>
          </w:p>
        </w:tc>
        <w:tc>
          <w:tcPr>
            <w:tcW w:w="455" w:type="pct"/>
            <w:vAlign w:val="center"/>
          </w:tcPr>
          <w:p>
            <w:pPr>
              <w:jc w:val="right"/>
              <w:rPr>
                <w:rFonts w:ascii="宋体" w:hAnsi="宋体" w:cs="Arial"/>
                <w:spacing w:val="-26"/>
              </w:rPr>
            </w:pPr>
            <w:r>
              <w:rPr>
                <w:rFonts w:hint="eastAsia" w:ascii="宋体" w:hAnsi="宋体"/>
                <w:spacing w:val="-26"/>
              </w:rPr>
              <w:t>1,493,601</w:t>
            </w:r>
          </w:p>
        </w:tc>
        <w:tc>
          <w:tcPr>
            <w:tcW w:w="456" w:type="pct"/>
            <w:vAlign w:val="center"/>
          </w:tcPr>
          <w:p>
            <w:pPr>
              <w:jc w:val="right"/>
              <w:rPr>
                <w:rFonts w:ascii="宋体" w:hAnsi="宋体" w:cs="Arial"/>
                <w:spacing w:val="-26"/>
              </w:rPr>
            </w:pPr>
            <w:r>
              <w:rPr>
                <w:rFonts w:hint="eastAsia" w:ascii="宋体" w:hAnsi="宋体"/>
                <w:spacing w:val="-26"/>
              </w:rPr>
              <w:t>808,674</w:t>
            </w:r>
          </w:p>
        </w:tc>
        <w:tc>
          <w:tcPr>
            <w:tcW w:w="455" w:type="pct"/>
            <w:vAlign w:val="center"/>
          </w:tcPr>
          <w:p>
            <w:pPr>
              <w:jc w:val="right"/>
              <w:rPr>
                <w:rFonts w:ascii="宋体" w:hAnsi="宋体" w:cs="Arial"/>
                <w:spacing w:val="-26"/>
              </w:rPr>
            </w:pPr>
            <w:r>
              <w:rPr>
                <w:rFonts w:hint="eastAsia" w:ascii="宋体" w:hAnsi="宋体"/>
                <w:spacing w:val="-26"/>
              </w:rPr>
              <w:t>684,750</w:t>
            </w:r>
          </w:p>
        </w:tc>
        <w:tc>
          <w:tcPr>
            <w:tcW w:w="456" w:type="pct"/>
            <w:vAlign w:val="center"/>
          </w:tcPr>
          <w:p>
            <w:pPr>
              <w:jc w:val="right"/>
              <w:rPr>
                <w:rFonts w:ascii="宋体" w:hAnsi="宋体" w:cs="Arial"/>
                <w:spacing w:val="-26"/>
              </w:rPr>
            </w:pPr>
            <w:r>
              <w:rPr>
                <w:rFonts w:hint="eastAsia" w:ascii="宋体" w:hAnsi="宋体"/>
                <w:spacing w:val="-26"/>
              </w:rPr>
              <w:t>542,909</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415,833</w:t>
            </w:r>
          </w:p>
        </w:tc>
        <w:tc>
          <w:tcPr>
            <w:tcW w:w="455" w:type="pct"/>
            <w:vAlign w:val="center"/>
          </w:tcPr>
          <w:p>
            <w:pPr>
              <w:jc w:val="right"/>
              <w:rPr>
                <w:rFonts w:ascii="宋体" w:hAnsi="宋体" w:cs="Arial"/>
                <w:spacing w:val="-26"/>
              </w:rPr>
            </w:pPr>
            <w:r>
              <w:rPr>
                <w:rFonts w:hint="eastAsia" w:ascii="宋体" w:hAnsi="宋体"/>
                <w:spacing w:val="-26"/>
              </w:rPr>
              <w:t>415,445</w:t>
            </w: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使用权资产</w:t>
            </w:r>
          </w:p>
        </w:tc>
        <w:tc>
          <w:tcPr>
            <w:tcW w:w="455" w:type="pct"/>
            <w:vAlign w:val="center"/>
          </w:tcPr>
          <w:p>
            <w:pPr>
              <w:jc w:val="right"/>
              <w:rPr>
                <w:rFonts w:ascii="宋体" w:hAnsi="宋体" w:cs="Arial"/>
                <w:spacing w:val="-26"/>
              </w:rPr>
            </w:pPr>
            <w:r>
              <w:rPr>
                <w:rFonts w:hint="eastAsia" w:ascii="宋体" w:hAnsi="宋体"/>
                <w:spacing w:val="-26"/>
              </w:rPr>
              <w:t>126,638</w:t>
            </w:r>
          </w:p>
        </w:tc>
        <w:tc>
          <w:tcPr>
            <w:tcW w:w="456" w:type="pct"/>
            <w:vAlign w:val="center"/>
          </w:tcPr>
          <w:p>
            <w:pPr>
              <w:jc w:val="right"/>
              <w:rPr>
                <w:rFonts w:ascii="宋体" w:hAnsi="宋体" w:cs="Arial"/>
                <w:spacing w:val="-26"/>
              </w:rPr>
            </w:pPr>
            <w:r>
              <w:rPr>
                <w:rFonts w:hint="eastAsia" w:ascii="宋体" w:hAnsi="宋体"/>
                <w:spacing w:val="-26"/>
              </w:rPr>
              <w:t>28,419</w:t>
            </w:r>
          </w:p>
        </w:tc>
        <w:tc>
          <w:tcPr>
            <w:tcW w:w="455" w:type="pct"/>
            <w:vAlign w:val="center"/>
          </w:tcPr>
          <w:p>
            <w:pPr>
              <w:jc w:val="right"/>
              <w:rPr>
                <w:rFonts w:ascii="宋体" w:hAnsi="宋体" w:cs="Arial"/>
                <w:spacing w:val="-26"/>
              </w:rPr>
            </w:pPr>
            <w:r>
              <w:rPr>
                <w:rFonts w:hint="eastAsia" w:ascii="宋体" w:hAnsi="宋体"/>
                <w:spacing w:val="-26"/>
              </w:rPr>
              <w:t>6,363</w:t>
            </w:r>
          </w:p>
        </w:tc>
        <w:tc>
          <w:tcPr>
            <w:tcW w:w="456" w:type="pct"/>
            <w:vAlign w:val="center"/>
          </w:tcPr>
          <w:p>
            <w:pPr>
              <w:jc w:val="right"/>
              <w:rPr>
                <w:rFonts w:ascii="宋体" w:hAnsi="宋体" w:cs="Arial"/>
                <w:spacing w:val="-26"/>
              </w:rPr>
            </w:pPr>
            <w:r>
              <w:rPr>
                <w:rFonts w:hint="eastAsia" w:ascii="宋体" w:hAnsi="宋体"/>
                <w:spacing w:val="-26"/>
              </w:rPr>
              <w:t>27,494</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7,899</w:t>
            </w:r>
          </w:p>
        </w:tc>
        <w:tc>
          <w:tcPr>
            <w:tcW w:w="454" w:type="pct"/>
            <w:vAlign w:val="center"/>
          </w:tcPr>
          <w:p>
            <w:pPr>
              <w:jc w:val="right"/>
              <w:rPr>
                <w:rFonts w:ascii="宋体" w:hAnsi="宋体" w:cs="Arial"/>
                <w:spacing w:val="-26"/>
              </w:rPr>
            </w:pPr>
            <w:r>
              <w:rPr>
                <w:rFonts w:hint="eastAsia" w:ascii="宋体" w:hAnsi="宋体"/>
                <w:spacing w:val="-26"/>
              </w:rPr>
              <w:t>4,355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无形资产</w:t>
            </w:r>
          </w:p>
        </w:tc>
        <w:tc>
          <w:tcPr>
            <w:tcW w:w="455" w:type="pct"/>
            <w:vAlign w:val="center"/>
          </w:tcPr>
          <w:p>
            <w:pPr>
              <w:jc w:val="right"/>
              <w:rPr>
                <w:rFonts w:ascii="宋体" w:hAnsi="宋体" w:cs="Arial"/>
                <w:spacing w:val="-26"/>
              </w:rPr>
            </w:pPr>
            <w:r>
              <w:rPr>
                <w:rFonts w:hint="eastAsia" w:ascii="宋体" w:hAnsi="宋体"/>
                <w:spacing w:val="-26"/>
              </w:rPr>
              <w:t>6,336,740</w:t>
            </w:r>
          </w:p>
        </w:tc>
        <w:tc>
          <w:tcPr>
            <w:tcW w:w="456" w:type="pct"/>
            <w:vAlign w:val="center"/>
          </w:tcPr>
          <w:p>
            <w:pPr>
              <w:jc w:val="right"/>
              <w:rPr>
                <w:rFonts w:ascii="宋体" w:hAnsi="宋体" w:cs="Arial"/>
                <w:spacing w:val="-26"/>
              </w:rPr>
            </w:pPr>
            <w:r>
              <w:rPr>
                <w:rFonts w:hint="eastAsia" w:ascii="宋体" w:hAnsi="宋体"/>
                <w:spacing w:val="-26"/>
              </w:rPr>
              <w:t>6,406,994</w:t>
            </w:r>
          </w:p>
        </w:tc>
        <w:tc>
          <w:tcPr>
            <w:tcW w:w="455" w:type="pct"/>
            <w:vAlign w:val="center"/>
          </w:tcPr>
          <w:p>
            <w:pPr>
              <w:jc w:val="right"/>
              <w:rPr>
                <w:rFonts w:ascii="宋体" w:hAnsi="宋体" w:cs="Arial"/>
                <w:spacing w:val="-26"/>
              </w:rPr>
            </w:pPr>
            <w:r>
              <w:rPr>
                <w:rFonts w:hint="eastAsia" w:ascii="宋体" w:hAnsi="宋体"/>
                <w:spacing w:val="-26"/>
              </w:rPr>
              <w:t>1,784,918</w:t>
            </w:r>
          </w:p>
        </w:tc>
        <w:tc>
          <w:tcPr>
            <w:tcW w:w="456" w:type="pct"/>
            <w:vAlign w:val="center"/>
          </w:tcPr>
          <w:p>
            <w:pPr>
              <w:jc w:val="right"/>
              <w:rPr>
                <w:rFonts w:ascii="宋体" w:hAnsi="宋体" w:cs="Arial"/>
                <w:spacing w:val="-26"/>
              </w:rPr>
            </w:pPr>
            <w:r>
              <w:rPr>
                <w:rFonts w:hint="eastAsia" w:ascii="宋体" w:hAnsi="宋体"/>
                <w:spacing w:val="-26"/>
              </w:rPr>
              <w:t>1,824,941</w:t>
            </w:r>
          </w:p>
        </w:tc>
        <w:tc>
          <w:tcPr>
            <w:tcW w:w="456" w:type="pct"/>
            <w:vAlign w:val="center"/>
          </w:tcPr>
          <w:p>
            <w:pPr>
              <w:jc w:val="right"/>
              <w:rPr>
                <w:rFonts w:ascii="宋体" w:hAnsi="宋体" w:cs="Arial"/>
                <w:spacing w:val="-26"/>
              </w:rPr>
            </w:pPr>
            <w:r>
              <w:rPr>
                <w:rFonts w:hint="eastAsia" w:ascii="宋体" w:hAnsi="宋体"/>
                <w:spacing w:val="-26"/>
              </w:rPr>
              <w:t>131</w:t>
            </w:r>
          </w:p>
        </w:tc>
        <w:tc>
          <w:tcPr>
            <w:tcW w:w="455" w:type="pct"/>
            <w:vAlign w:val="center"/>
          </w:tcPr>
          <w:p>
            <w:pPr>
              <w:jc w:val="right"/>
              <w:rPr>
                <w:rFonts w:ascii="宋体" w:hAnsi="宋体" w:cs="Arial"/>
                <w:spacing w:val="-26"/>
              </w:rPr>
            </w:pPr>
            <w:r>
              <w:rPr>
                <w:rFonts w:hint="eastAsia" w:ascii="宋体" w:hAnsi="宋体"/>
                <w:spacing w:val="-26"/>
              </w:rPr>
              <w:t>459</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11,303</w:t>
            </w:r>
          </w:p>
        </w:tc>
        <w:tc>
          <w:tcPr>
            <w:tcW w:w="454" w:type="pct"/>
            <w:vAlign w:val="center"/>
          </w:tcPr>
          <w:p>
            <w:pPr>
              <w:jc w:val="right"/>
              <w:rPr>
                <w:rFonts w:ascii="宋体" w:hAnsi="宋体" w:cs="Arial"/>
                <w:spacing w:val="-26"/>
              </w:rPr>
            </w:pPr>
            <w:r>
              <w:rPr>
                <w:rFonts w:hint="eastAsia" w:ascii="宋体" w:hAnsi="宋体"/>
                <w:spacing w:val="-26"/>
              </w:rPr>
              <w:t>11,508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长期待摊费用</w:t>
            </w:r>
          </w:p>
        </w:tc>
        <w:tc>
          <w:tcPr>
            <w:tcW w:w="455" w:type="pct"/>
            <w:vAlign w:val="center"/>
          </w:tcPr>
          <w:p>
            <w:pPr>
              <w:jc w:val="right"/>
              <w:rPr>
                <w:rFonts w:ascii="宋体" w:hAnsi="宋体" w:cs="Arial"/>
                <w:spacing w:val="-26"/>
              </w:rPr>
            </w:pPr>
            <w:r>
              <w:rPr>
                <w:rFonts w:hint="eastAsia" w:ascii="宋体" w:hAnsi="宋体"/>
                <w:spacing w:val="-26"/>
              </w:rPr>
              <w:t>9,843</w:t>
            </w:r>
          </w:p>
        </w:tc>
        <w:tc>
          <w:tcPr>
            <w:tcW w:w="456" w:type="pct"/>
            <w:vAlign w:val="center"/>
          </w:tcPr>
          <w:p>
            <w:pPr>
              <w:jc w:val="right"/>
              <w:rPr>
                <w:rFonts w:ascii="宋体" w:hAnsi="宋体" w:cs="Arial"/>
                <w:spacing w:val="-26"/>
              </w:rPr>
            </w:pPr>
            <w:r>
              <w:rPr>
                <w:rFonts w:hint="eastAsia" w:ascii="宋体" w:hAnsi="宋体"/>
                <w:spacing w:val="-26"/>
              </w:rPr>
              <w:t>7,938</w:t>
            </w:r>
          </w:p>
        </w:tc>
        <w:tc>
          <w:tcPr>
            <w:tcW w:w="455" w:type="pct"/>
            <w:vAlign w:val="center"/>
          </w:tcPr>
          <w:p>
            <w:pPr>
              <w:jc w:val="right"/>
              <w:rPr>
                <w:rFonts w:ascii="宋体" w:hAnsi="宋体" w:cs="Arial"/>
                <w:spacing w:val="-26"/>
              </w:rPr>
            </w:pPr>
            <w:r>
              <w:rPr>
                <w:rFonts w:hint="eastAsia" w:ascii="宋体" w:hAnsi="宋体"/>
                <w:spacing w:val="-26"/>
              </w:rPr>
              <w:t>55</w:t>
            </w:r>
          </w:p>
        </w:tc>
        <w:tc>
          <w:tcPr>
            <w:tcW w:w="456" w:type="pct"/>
            <w:vAlign w:val="center"/>
          </w:tcPr>
          <w:p>
            <w:pPr>
              <w:jc w:val="right"/>
              <w:rPr>
                <w:rFonts w:ascii="宋体" w:hAnsi="宋体" w:cs="Arial"/>
                <w:spacing w:val="-26"/>
              </w:rPr>
            </w:pPr>
            <w:r>
              <w:rPr>
                <w:rFonts w:hint="eastAsia" w:ascii="宋体" w:hAnsi="宋体"/>
                <w:spacing w:val="-26"/>
              </w:rPr>
              <w:t>100</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递延所得税资产</w:t>
            </w:r>
          </w:p>
        </w:tc>
        <w:tc>
          <w:tcPr>
            <w:tcW w:w="455" w:type="pct"/>
            <w:vAlign w:val="center"/>
          </w:tcPr>
          <w:p>
            <w:pPr>
              <w:jc w:val="right"/>
              <w:rPr>
                <w:rFonts w:ascii="宋体" w:hAnsi="宋体" w:cs="Arial"/>
                <w:spacing w:val="-26"/>
              </w:rPr>
            </w:pPr>
            <w:r>
              <w:rPr>
                <w:rFonts w:hint="eastAsia" w:ascii="宋体" w:hAnsi="宋体"/>
                <w:spacing w:val="-26"/>
              </w:rPr>
              <w:t>2,205,742</w:t>
            </w:r>
          </w:p>
        </w:tc>
        <w:tc>
          <w:tcPr>
            <w:tcW w:w="456" w:type="pct"/>
            <w:vAlign w:val="center"/>
          </w:tcPr>
          <w:p>
            <w:pPr>
              <w:jc w:val="right"/>
              <w:rPr>
                <w:rFonts w:ascii="宋体" w:hAnsi="宋体" w:cs="Arial"/>
                <w:spacing w:val="-26"/>
              </w:rPr>
            </w:pPr>
            <w:r>
              <w:rPr>
                <w:rFonts w:hint="eastAsia" w:ascii="宋体" w:hAnsi="宋体"/>
                <w:spacing w:val="-26"/>
              </w:rPr>
              <w:t>2,173,317</w:t>
            </w:r>
          </w:p>
        </w:tc>
        <w:tc>
          <w:tcPr>
            <w:tcW w:w="455" w:type="pct"/>
            <w:vAlign w:val="center"/>
          </w:tcPr>
          <w:p>
            <w:pPr>
              <w:jc w:val="right"/>
              <w:rPr>
                <w:rFonts w:ascii="宋体" w:hAnsi="宋体" w:cs="Arial"/>
                <w:spacing w:val="-26"/>
              </w:rPr>
            </w:pPr>
            <w:r>
              <w:rPr>
                <w:rFonts w:hint="eastAsia" w:ascii="宋体" w:hAnsi="宋体"/>
                <w:spacing w:val="-26"/>
              </w:rPr>
              <w:t>48,106</w:t>
            </w:r>
          </w:p>
        </w:tc>
        <w:tc>
          <w:tcPr>
            <w:tcW w:w="456" w:type="pct"/>
            <w:vAlign w:val="center"/>
          </w:tcPr>
          <w:p>
            <w:pPr>
              <w:jc w:val="right"/>
              <w:rPr>
                <w:rFonts w:ascii="宋体" w:hAnsi="宋体" w:cs="Arial"/>
                <w:spacing w:val="-26"/>
              </w:rPr>
            </w:pPr>
            <w:r>
              <w:rPr>
                <w:rFonts w:hint="eastAsia" w:ascii="宋体" w:hAnsi="宋体"/>
                <w:spacing w:val="-26"/>
              </w:rPr>
              <w:t>108,155</w:t>
            </w:r>
          </w:p>
        </w:tc>
        <w:tc>
          <w:tcPr>
            <w:tcW w:w="456" w:type="pct"/>
            <w:vAlign w:val="center"/>
          </w:tcPr>
          <w:p>
            <w:pPr>
              <w:jc w:val="right"/>
              <w:rPr>
                <w:rFonts w:ascii="宋体" w:hAnsi="宋体" w:cs="Arial"/>
                <w:spacing w:val="-26"/>
              </w:rPr>
            </w:pPr>
            <w:r>
              <w:rPr>
                <w:rFonts w:hint="eastAsia" w:ascii="宋体" w:hAnsi="宋体"/>
                <w:spacing w:val="-26"/>
              </w:rPr>
              <w:t>42,323</w:t>
            </w:r>
          </w:p>
        </w:tc>
        <w:tc>
          <w:tcPr>
            <w:tcW w:w="455" w:type="pct"/>
            <w:vAlign w:val="center"/>
          </w:tcPr>
          <w:p>
            <w:pPr>
              <w:jc w:val="right"/>
              <w:rPr>
                <w:rFonts w:ascii="宋体" w:hAnsi="宋体" w:cs="Arial"/>
                <w:spacing w:val="-26"/>
              </w:rPr>
            </w:pPr>
            <w:r>
              <w:rPr>
                <w:rFonts w:hint="eastAsia" w:ascii="宋体" w:hAnsi="宋体"/>
                <w:spacing w:val="-26"/>
              </w:rPr>
              <w:t>38,086</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19,740</w:t>
            </w:r>
          </w:p>
        </w:tc>
        <w:tc>
          <w:tcPr>
            <w:tcW w:w="454" w:type="pct"/>
            <w:vAlign w:val="center"/>
          </w:tcPr>
          <w:p>
            <w:pPr>
              <w:jc w:val="right"/>
              <w:rPr>
                <w:rFonts w:ascii="宋体" w:hAnsi="宋体" w:cs="Arial"/>
                <w:spacing w:val="-26"/>
              </w:rPr>
            </w:pPr>
            <w:r>
              <w:rPr>
                <w:rFonts w:hint="eastAsia" w:ascii="宋体" w:hAnsi="宋体"/>
                <w:spacing w:val="-26"/>
              </w:rPr>
              <w:t>19,440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其他非流动资产</w:t>
            </w: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r>
              <w:rPr>
                <w:rFonts w:hint="eastAsia" w:ascii="宋体" w:hAnsi="宋体"/>
                <w:spacing w:val="-26"/>
              </w:rPr>
              <w:t>91,161</w:t>
            </w:r>
          </w:p>
        </w:tc>
        <w:tc>
          <w:tcPr>
            <w:tcW w:w="456" w:type="pct"/>
            <w:vAlign w:val="center"/>
          </w:tcPr>
          <w:p>
            <w:pPr>
              <w:jc w:val="right"/>
              <w:rPr>
                <w:rFonts w:ascii="宋体" w:hAnsi="宋体" w:cs="Arial"/>
                <w:spacing w:val="-26"/>
              </w:rPr>
            </w:pPr>
            <w:r>
              <w:rPr>
                <w:rFonts w:hint="eastAsia" w:ascii="宋体" w:hAnsi="宋体"/>
                <w:spacing w:val="-26"/>
              </w:rPr>
              <w:t>89,589</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b/>
                <w:color w:val="000000"/>
                <w:spacing w:val="-26"/>
              </w:rPr>
            </w:pPr>
            <w:r>
              <w:rPr>
                <w:rFonts w:hint="eastAsia" w:ascii="宋体" w:hAnsi="宋体"/>
                <w:b/>
                <w:spacing w:val="-26"/>
              </w:rPr>
              <w:t>负债：</w:t>
            </w:r>
          </w:p>
        </w:tc>
        <w:tc>
          <w:tcPr>
            <w:tcW w:w="455" w:type="pct"/>
            <w:vAlign w:val="center"/>
          </w:tcPr>
          <w:p>
            <w:pPr>
              <w:jc w:val="right"/>
              <w:rPr>
                <w:rFonts w:ascii="宋体" w:hAnsi="宋体" w:cs="Arial"/>
                <w:b/>
                <w:spacing w:val="-26"/>
              </w:rPr>
            </w:pPr>
            <w:r>
              <w:rPr>
                <w:rFonts w:hint="eastAsia" w:ascii="宋体" w:hAnsi="宋体"/>
                <w:b/>
                <w:spacing w:val="-26"/>
              </w:rPr>
              <w:t>34,220,610</w:t>
            </w:r>
          </w:p>
        </w:tc>
        <w:tc>
          <w:tcPr>
            <w:tcW w:w="456" w:type="pct"/>
            <w:vAlign w:val="center"/>
          </w:tcPr>
          <w:p>
            <w:pPr>
              <w:jc w:val="right"/>
              <w:rPr>
                <w:rFonts w:ascii="宋体" w:hAnsi="宋体" w:cs="Arial"/>
                <w:b/>
                <w:spacing w:val="-26"/>
              </w:rPr>
            </w:pPr>
            <w:r>
              <w:rPr>
                <w:rFonts w:hint="eastAsia" w:ascii="宋体" w:hAnsi="宋体"/>
                <w:b/>
                <w:spacing w:val="-26"/>
              </w:rPr>
              <w:t>34,742,130</w:t>
            </w:r>
          </w:p>
        </w:tc>
        <w:tc>
          <w:tcPr>
            <w:tcW w:w="455" w:type="pct"/>
            <w:vAlign w:val="center"/>
          </w:tcPr>
          <w:p>
            <w:pPr>
              <w:jc w:val="right"/>
              <w:rPr>
                <w:rFonts w:ascii="宋体" w:hAnsi="宋体" w:cs="Arial"/>
                <w:b/>
                <w:spacing w:val="-26"/>
              </w:rPr>
            </w:pPr>
            <w:r>
              <w:rPr>
                <w:rFonts w:hint="eastAsia" w:ascii="宋体" w:hAnsi="宋体"/>
                <w:b/>
                <w:spacing w:val="-26"/>
              </w:rPr>
              <w:t>16,283,817</w:t>
            </w:r>
          </w:p>
        </w:tc>
        <w:tc>
          <w:tcPr>
            <w:tcW w:w="456" w:type="pct"/>
            <w:vAlign w:val="center"/>
          </w:tcPr>
          <w:p>
            <w:pPr>
              <w:jc w:val="right"/>
              <w:rPr>
                <w:rFonts w:ascii="宋体" w:hAnsi="宋体" w:cs="Arial"/>
                <w:b/>
                <w:spacing w:val="-26"/>
              </w:rPr>
            </w:pPr>
            <w:r>
              <w:rPr>
                <w:rFonts w:hint="eastAsia" w:ascii="宋体" w:hAnsi="宋体"/>
                <w:b/>
                <w:spacing w:val="-26"/>
              </w:rPr>
              <w:t>16,694,727</w:t>
            </w:r>
          </w:p>
        </w:tc>
        <w:tc>
          <w:tcPr>
            <w:tcW w:w="456" w:type="pct"/>
            <w:vAlign w:val="center"/>
          </w:tcPr>
          <w:p>
            <w:pPr>
              <w:jc w:val="right"/>
              <w:rPr>
                <w:rFonts w:ascii="宋体" w:hAnsi="宋体" w:cs="Arial"/>
                <w:b/>
                <w:spacing w:val="-26"/>
              </w:rPr>
            </w:pPr>
            <w:r>
              <w:rPr>
                <w:rFonts w:hint="eastAsia" w:ascii="宋体" w:hAnsi="宋体"/>
                <w:b/>
                <w:spacing w:val="-26"/>
              </w:rPr>
              <w:t>19,064,948</w:t>
            </w:r>
          </w:p>
        </w:tc>
        <w:tc>
          <w:tcPr>
            <w:tcW w:w="455" w:type="pct"/>
            <w:vAlign w:val="center"/>
          </w:tcPr>
          <w:p>
            <w:pPr>
              <w:jc w:val="right"/>
              <w:rPr>
                <w:rFonts w:ascii="宋体" w:hAnsi="宋体" w:cs="Arial"/>
                <w:b/>
                <w:spacing w:val="-26"/>
              </w:rPr>
            </w:pPr>
            <w:r>
              <w:rPr>
                <w:rFonts w:hint="eastAsia" w:ascii="宋体" w:hAnsi="宋体"/>
                <w:b/>
                <w:spacing w:val="-26"/>
              </w:rPr>
              <w:t>25,981,181</w:t>
            </w:r>
          </w:p>
        </w:tc>
        <w:tc>
          <w:tcPr>
            <w:tcW w:w="456" w:type="pct"/>
            <w:vAlign w:val="center"/>
          </w:tcPr>
          <w:p>
            <w:pPr>
              <w:jc w:val="right"/>
              <w:rPr>
                <w:rFonts w:ascii="宋体" w:hAnsi="宋体" w:cs="Arial"/>
                <w:b/>
                <w:spacing w:val="-26"/>
              </w:rPr>
            </w:pPr>
            <w:r>
              <w:rPr>
                <w:rFonts w:hint="eastAsia" w:ascii="宋体" w:hAnsi="宋体"/>
                <w:b/>
                <w:spacing w:val="-26"/>
              </w:rPr>
              <w:t>397,521</w:t>
            </w:r>
          </w:p>
        </w:tc>
        <w:tc>
          <w:tcPr>
            <w:tcW w:w="455" w:type="pct"/>
            <w:vAlign w:val="center"/>
          </w:tcPr>
          <w:p>
            <w:pPr>
              <w:jc w:val="right"/>
              <w:rPr>
                <w:rFonts w:ascii="宋体" w:hAnsi="宋体" w:cs="Arial"/>
                <w:b/>
                <w:spacing w:val="-26"/>
              </w:rPr>
            </w:pPr>
            <w:r>
              <w:rPr>
                <w:rFonts w:hint="eastAsia" w:ascii="宋体" w:hAnsi="宋体"/>
                <w:b/>
                <w:spacing w:val="-26"/>
              </w:rPr>
              <w:t>398,286</w:t>
            </w:r>
          </w:p>
        </w:tc>
        <w:tc>
          <w:tcPr>
            <w:tcW w:w="456" w:type="pct"/>
            <w:vAlign w:val="center"/>
          </w:tcPr>
          <w:p>
            <w:pPr>
              <w:jc w:val="right"/>
              <w:rPr>
                <w:rFonts w:ascii="宋体" w:hAnsi="宋体" w:cs="Arial"/>
                <w:b/>
                <w:spacing w:val="-26"/>
              </w:rPr>
            </w:pPr>
            <w:r>
              <w:rPr>
                <w:rFonts w:hint="eastAsia" w:ascii="宋体" w:hAnsi="宋体"/>
                <w:b/>
                <w:spacing w:val="-26"/>
              </w:rPr>
              <w:t>560,542</w:t>
            </w:r>
          </w:p>
        </w:tc>
        <w:tc>
          <w:tcPr>
            <w:tcW w:w="454" w:type="pct"/>
            <w:vAlign w:val="center"/>
          </w:tcPr>
          <w:p>
            <w:pPr>
              <w:jc w:val="right"/>
              <w:rPr>
                <w:rFonts w:ascii="宋体" w:hAnsi="宋体" w:cs="Arial"/>
                <w:b/>
                <w:spacing w:val="-26"/>
              </w:rPr>
            </w:pPr>
            <w:r>
              <w:rPr>
                <w:rFonts w:hint="eastAsia" w:ascii="宋体" w:hAnsi="宋体"/>
                <w:b/>
                <w:spacing w:val="-26"/>
              </w:rPr>
              <w:t>478,107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短期借款</w:t>
            </w:r>
          </w:p>
        </w:tc>
        <w:tc>
          <w:tcPr>
            <w:tcW w:w="455" w:type="pct"/>
            <w:vAlign w:val="center"/>
          </w:tcPr>
          <w:p>
            <w:pPr>
              <w:jc w:val="right"/>
              <w:rPr>
                <w:rFonts w:ascii="宋体" w:hAnsi="宋体" w:cs="Arial"/>
                <w:spacing w:val="-26"/>
              </w:rPr>
            </w:pPr>
            <w:r>
              <w:rPr>
                <w:rFonts w:hint="eastAsia" w:ascii="宋体" w:hAnsi="宋体"/>
                <w:spacing w:val="-26"/>
              </w:rPr>
              <w:t>6,226,385</w:t>
            </w:r>
          </w:p>
        </w:tc>
        <w:tc>
          <w:tcPr>
            <w:tcW w:w="456" w:type="pct"/>
            <w:vAlign w:val="center"/>
          </w:tcPr>
          <w:p>
            <w:pPr>
              <w:jc w:val="right"/>
              <w:rPr>
                <w:rFonts w:ascii="宋体" w:hAnsi="宋体" w:cs="Arial"/>
                <w:spacing w:val="-26"/>
              </w:rPr>
            </w:pPr>
            <w:r>
              <w:rPr>
                <w:rFonts w:hint="eastAsia" w:ascii="宋体" w:hAnsi="宋体"/>
                <w:spacing w:val="-26"/>
              </w:rPr>
              <w:t>6,551,329</w:t>
            </w:r>
          </w:p>
        </w:tc>
        <w:tc>
          <w:tcPr>
            <w:tcW w:w="455" w:type="pct"/>
            <w:vAlign w:val="center"/>
          </w:tcPr>
          <w:p>
            <w:pPr>
              <w:jc w:val="right"/>
              <w:rPr>
                <w:rFonts w:ascii="宋体" w:hAnsi="宋体" w:cs="Arial"/>
                <w:spacing w:val="-26"/>
              </w:rPr>
            </w:pPr>
            <w:r>
              <w:rPr>
                <w:rFonts w:hint="eastAsia" w:ascii="宋体" w:hAnsi="宋体"/>
                <w:spacing w:val="-26"/>
              </w:rPr>
              <w:t>950,708</w:t>
            </w:r>
          </w:p>
        </w:tc>
        <w:tc>
          <w:tcPr>
            <w:tcW w:w="456" w:type="pct"/>
            <w:vAlign w:val="center"/>
          </w:tcPr>
          <w:p>
            <w:pPr>
              <w:jc w:val="right"/>
              <w:rPr>
                <w:rFonts w:ascii="宋体" w:hAnsi="宋体" w:cs="Arial"/>
                <w:spacing w:val="-26"/>
              </w:rPr>
            </w:pPr>
            <w:r>
              <w:rPr>
                <w:rFonts w:hint="eastAsia" w:ascii="宋体" w:hAnsi="宋体"/>
                <w:spacing w:val="-26"/>
              </w:rPr>
              <w:t>1,923,787</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应付票据</w:t>
            </w:r>
          </w:p>
        </w:tc>
        <w:tc>
          <w:tcPr>
            <w:tcW w:w="455" w:type="pct"/>
            <w:vAlign w:val="center"/>
          </w:tcPr>
          <w:p>
            <w:pPr>
              <w:jc w:val="right"/>
              <w:rPr>
                <w:rFonts w:ascii="宋体" w:hAnsi="宋体" w:cs="Arial"/>
                <w:spacing w:val="-26"/>
              </w:rPr>
            </w:pPr>
            <w:r>
              <w:rPr>
                <w:rFonts w:hint="eastAsia" w:ascii="宋体" w:hAnsi="宋体"/>
                <w:spacing w:val="-26"/>
              </w:rPr>
              <w:t>1,616,533</w:t>
            </w:r>
          </w:p>
        </w:tc>
        <w:tc>
          <w:tcPr>
            <w:tcW w:w="456" w:type="pct"/>
            <w:vAlign w:val="center"/>
          </w:tcPr>
          <w:p>
            <w:pPr>
              <w:jc w:val="right"/>
              <w:rPr>
                <w:rFonts w:ascii="宋体" w:hAnsi="宋体" w:cs="Arial"/>
                <w:spacing w:val="-26"/>
              </w:rPr>
            </w:pPr>
            <w:r>
              <w:rPr>
                <w:rFonts w:hint="eastAsia" w:ascii="宋体" w:hAnsi="宋体"/>
                <w:spacing w:val="-26"/>
              </w:rPr>
              <w:t>681,404</w:t>
            </w:r>
          </w:p>
        </w:tc>
        <w:tc>
          <w:tcPr>
            <w:tcW w:w="455" w:type="pct"/>
            <w:vAlign w:val="center"/>
          </w:tcPr>
          <w:p>
            <w:pPr>
              <w:jc w:val="right"/>
              <w:rPr>
                <w:rFonts w:ascii="宋体" w:hAnsi="宋体" w:cs="Arial"/>
                <w:spacing w:val="-26"/>
              </w:rPr>
            </w:pPr>
            <w:r>
              <w:rPr>
                <w:rFonts w:hint="eastAsia" w:ascii="宋体" w:hAnsi="宋体"/>
                <w:spacing w:val="-26"/>
              </w:rPr>
              <w:t>558,965</w:t>
            </w:r>
          </w:p>
        </w:tc>
        <w:tc>
          <w:tcPr>
            <w:tcW w:w="456"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34,328</w:t>
            </w: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应付账款</w:t>
            </w:r>
          </w:p>
        </w:tc>
        <w:tc>
          <w:tcPr>
            <w:tcW w:w="455" w:type="pct"/>
            <w:vAlign w:val="center"/>
          </w:tcPr>
          <w:p>
            <w:pPr>
              <w:jc w:val="right"/>
              <w:rPr>
                <w:rFonts w:ascii="宋体" w:hAnsi="宋体" w:cs="Arial"/>
                <w:spacing w:val="-26"/>
              </w:rPr>
            </w:pPr>
            <w:r>
              <w:rPr>
                <w:rFonts w:hint="eastAsia" w:ascii="宋体" w:hAnsi="宋体"/>
                <w:spacing w:val="-26"/>
              </w:rPr>
              <w:t>2,357,630</w:t>
            </w:r>
          </w:p>
        </w:tc>
        <w:tc>
          <w:tcPr>
            <w:tcW w:w="456" w:type="pct"/>
            <w:vAlign w:val="center"/>
          </w:tcPr>
          <w:p>
            <w:pPr>
              <w:jc w:val="right"/>
              <w:rPr>
                <w:rFonts w:ascii="宋体" w:hAnsi="宋体" w:cs="Arial"/>
                <w:spacing w:val="-26"/>
              </w:rPr>
            </w:pPr>
            <w:r>
              <w:rPr>
                <w:rFonts w:hint="eastAsia" w:ascii="宋体" w:hAnsi="宋体"/>
                <w:spacing w:val="-26"/>
              </w:rPr>
              <w:t>3,294,353</w:t>
            </w:r>
          </w:p>
        </w:tc>
        <w:tc>
          <w:tcPr>
            <w:tcW w:w="455" w:type="pct"/>
            <w:vAlign w:val="center"/>
          </w:tcPr>
          <w:p>
            <w:pPr>
              <w:jc w:val="right"/>
              <w:rPr>
                <w:rFonts w:ascii="宋体" w:hAnsi="宋体" w:cs="Arial"/>
                <w:spacing w:val="-26"/>
              </w:rPr>
            </w:pPr>
            <w:r>
              <w:rPr>
                <w:rFonts w:hint="eastAsia" w:ascii="宋体" w:hAnsi="宋体"/>
                <w:spacing w:val="-26"/>
              </w:rPr>
              <w:t>1,014,583</w:t>
            </w:r>
          </w:p>
        </w:tc>
        <w:tc>
          <w:tcPr>
            <w:tcW w:w="456" w:type="pct"/>
            <w:vAlign w:val="center"/>
          </w:tcPr>
          <w:p>
            <w:pPr>
              <w:jc w:val="right"/>
              <w:rPr>
                <w:rFonts w:ascii="宋体" w:hAnsi="宋体" w:cs="Arial"/>
                <w:spacing w:val="-26"/>
              </w:rPr>
            </w:pPr>
            <w:r>
              <w:rPr>
                <w:rFonts w:hint="eastAsia" w:ascii="宋体" w:hAnsi="宋体"/>
                <w:spacing w:val="-26"/>
              </w:rPr>
              <w:t>1,283,798</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r>
              <w:rPr>
                <w:rFonts w:hint="eastAsia" w:ascii="宋体" w:hAnsi="宋体"/>
                <w:spacing w:val="-26"/>
              </w:rPr>
              <w:t>1,552</w:t>
            </w:r>
          </w:p>
        </w:tc>
        <w:tc>
          <w:tcPr>
            <w:tcW w:w="456" w:type="pct"/>
            <w:vAlign w:val="center"/>
          </w:tcPr>
          <w:p>
            <w:pPr>
              <w:jc w:val="right"/>
              <w:rPr>
                <w:rFonts w:ascii="宋体" w:hAnsi="宋体" w:cs="Arial"/>
                <w:spacing w:val="-26"/>
              </w:rPr>
            </w:pPr>
            <w:r>
              <w:rPr>
                <w:rFonts w:hint="eastAsia" w:ascii="宋体" w:hAnsi="宋体"/>
                <w:spacing w:val="-26"/>
              </w:rPr>
              <w:t>1,774</w:t>
            </w:r>
          </w:p>
        </w:tc>
        <w:tc>
          <w:tcPr>
            <w:tcW w:w="455" w:type="pct"/>
            <w:vAlign w:val="center"/>
          </w:tcPr>
          <w:p>
            <w:pPr>
              <w:jc w:val="right"/>
              <w:rPr>
                <w:rFonts w:ascii="宋体" w:hAnsi="宋体" w:cs="Arial"/>
                <w:spacing w:val="-26"/>
              </w:rPr>
            </w:pPr>
            <w:r>
              <w:rPr>
                <w:rFonts w:hint="eastAsia" w:ascii="宋体" w:hAnsi="宋体"/>
                <w:spacing w:val="-26"/>
              </w:rPr>
              <w:t>1,779</w:t>
            </w:r>
          </w:p>
        </w:tc>
        <w:tc>
          <w:tcPr>
            <w:tcW w:w="456" w:type="pct"/>
            <w:vAlign w:val="center"/>
          </w:tcPr>
          <w:p>
            <w:pPr>
              <w:jc w:val="right"/>
              <w:rPr>
                <w:rFonts w:ascii="宋体" w:hAnsi="宋体" w:cs="Arial"/>
                <w:spacing w:val="-26"/>
              </w:rPr>
            </w:pPr>
            <w:r>
              <w:rPr>
                <w:rFonts w:hint="eastAsia" w:ascii="宋体" w:hAnsi="宋体"/>
                <w:spacing w:val="-26"/>
              </w:rPr>
              <w:t>361,789</w:t>
            </w:r>
          </w:p>
        </w:tc>
        <w:tc>
          <w:tcPr>
            <w:tcW w:w="454" w:type="pct"/>
            <w:vAlign w:val="center"/>
          </w:tcPr>
          <w:p>
            <w:pPr>
              <w:jc w:val="right"/>
              <w:rPr>
                <w:rFonts w:ascii="宋体" w:hAnsi="宋体" w:cs="Arial"/>
                <w:spacing w:val="-26"/>
              </w:rPr>
            </w:pPr>
            <w:r>
              <w:rPr>
                <w:rFonts w:hint="eastAsia" w:ascii="宋体" w:hAnsi="宋体"/>
                <w:spacing w:val="-26"/>
              </w:rPr>
              <w:t>322,770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合同负债</w:t>
            </w:r>
          </w:p>
        </w:tc>
        <w:tc>
          <w:tcPr>
            <w:tcW w:w="455" w:type="pct"/>
            <w:vAlign w:val="center"/>
          </w:tcPr>
          <w:p>
            <w:pPr>
              <w:jc w:val="right"/>
              <w:rPr>
                <w:rFonts w:ascii="宋体" w:hAnsi="宋体" w:cs="Arial"/>
                <w:spacing w:val="-26"/>
              </w:rPr>
            </w:pPr>
            <w:r>
              <w:rPr>
                <w:rFonts w:hint="eastAsia" w:ascii="宋体" w:hAnsi="宋体"/>
                <w:spacing w:val="-26"/>
              </w:rPr>
              <w:t>49,252</w:t>
            </w:r>
          </w:p>
        </w:tc>
        <w:tc>
          <w:tcPr>
            <w:tcW w:w="456" w:type="pct"/>
            <w:vAlign w:val="center"/>
          </w:tcPr>
          <w:p>
            <w:pPr>
              <w:jc w:val="right"/>
              <w:rPr>
                <w:rFonts w:ascii="宋体" w:hAnsi="宋体" w:cs="Arial"/>
                <w:spacing w:val="-26"/>
              </w:rPr>
            </w:pPr>
            <w:r>
              <w:rPr>
                <w:rFonts w:hint="eastAsia" w:ascii="宋体" w:hAnsi="宋体"/>
                <w:spacing w:val="-26"/>
              </w:rPr>
              <w:t>64,338</w:t>
            </w:r>
          </w:p>
        </w:tc>
        <w:tc>
          <w:tcPr>
            <w:tcW w:w="455" w:type="pct"/>
            <w:vAlign w:val="center"/>
          </w:tcPr>
          <w:p>
            <w:pPr>
              <w:jc w:val="right"/>
              <w:rPr>
                <w:rFonts w:ascii="宋体" w:hAnsi="宋体" w:cs="Arial"/>
                <w:spacing w:val="-26"/>
              </w:rPr>
            </w:pPr>
            <w:r>
              <w:rPr>
                <w:rFonts w:hint="eastAsia" w:ascii="宋体" w:hAnsi="宋体"/>
                <w:spacing w:val="-26"/>
              </w:rPr>
              <w:t>196,662</w:t>
            </w:r>
          </w:p>
        </w:tc>
        <w:tc>
          <w:tcPr>
            <w:tcW w:w="456" w:type="pct"/>
            <w:vAlign w:val="center"/>
          </w:tcPr>
          <w:p>
            <w:pPr>
              <w:jc w:val="right"/>
              <w:rPr>
                <w:rFonts w:ascii="宋体" w:hAnsi="宋体" w:cs="Arial"/>
                <w:spacing w:val="-26"/>
              </w:rPr>
            </w:pPr>
            <w:r>
              <w:rPr>
                <w:rFonts w:hint="eastAsia" w:ascii="宋体" w:hAnsi="宋体"/>
                <w:spacing w:val="-26"/>
              </w:rPr>
              <w:t>187,247</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1,193</w:t>
            </w:r>
          </w:p>
        </w:tc>
        <w:tc>
          <w:tcPr>
            <w:tcW w:w="454" w:type="pct"/>
            <w:vAlign w:val="center"/>
          </w:tcPr>
          <w:p>
            <w:pPr>
              <w:jc w:val="right"/>
              <w:rPr>
                <w:rFonts w:ascii="宋体" w:hAnsi="宋体" w:cs="Arial"/>
                <w:spacing w:val="-26"/>
              </w:rPr>
            </w:pPr>
            <w:r>
              <w:rPr>
                <w:rFonts w:hint="eastAsia" w:ascii="宋体" w:hAnsi="宋体"/>
                <w:spacing w:val="-26"/>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应付职工薪酬</w:t>
            </w:r>
          </w:p>
        </w:tc>
        <w:tc>
          <w:tcPr>
            <w:tcW w:w="455" w:type="pct"/>
            <w:vAlign w:val="center"/>
          </w:tcPr>
          <w:p>
            <w:pPr>
              <w:jc w:val="right"/>
              <w:rPr>
                <w:rFonts w:ascii="宋体" w:hAnsi="宋体" w:cs="Arial"/>
                <w:spacing w:val="-26"/>
              </w:rPr>
            </w:pPr>
            <w:r>
              <w:rPr>
                <w:rFonts w:hint="eastAsia" w:ascii="宋体" w:hAnsi="宋体"/>
                <w:spacing w:val="-26"/>
              </w:rPr>
              <w:t>577,650</w:t>
            </w:r>
          </w:p>
        </w:tc>
        <w:tc>
          <w:tcPr>
            <w:tcW w:w="456" w:type="pct"/>
            <w:vAlign w:val="center"/>
          </w:tcPr>
          <w:p>
            <w:pPr>
              <w:jc w:val="right"/>
              <w:rPr>
                <w:rFonts w:ascii="宋体" w:hAnsi="宋体" w:cs="Arial"/>
                <w:spacing w:val="-26"/>
              </w:rPr>
            </w:pPr>
            <w:r>
              <w:rPr>
                <w:rFonts w:hint="eastAsia" w:ascii="宋体" w:hAnsi="宋体"/>
                <w:spacing w:val="-26"/>
              </w:rPr>
              <w:t>619,782</w:t>
            </w:r>
          </w:p>
        </w:tc>
        <w:tc>
          <w:tcPr>
            <w:tcW w:w="455" w:type="pct"/>
            <w:vAlign w:val="center"/>
          </w:tcPr>
          <w:p>
            <w:pPr>
              <w:jc w:val="right"/>
              <w:rPr>
                <w:rFonts w:ascii="宋体" w:hAnsi="宋体" w:cs="Arial"/>
                <w:spacing w:val="-26"/>
              </w:rPr>
            </w:pPr>
            <w:r>
              <w:rPr>
                <w:rFonts w:hint="eastAsia" w:ascii="宋体" w:hAnsi="宋体"/>
                <w:spacing w:val="-26"/>
              </w:rPr>
              <w:t>50,769</w:t>
            </w:r>
          </w:p>
        </w:tc>
        <w:tc>
          <w:tcPr>
            <w:tcW w:w="456" w:type="pct"/>
            <w:vAlign w:val="center"/>
          </w:tcPr>
          <w:p>
            <w:pPr>
              <w:jc w:val="right"/>
              <w:rPr>
                <w:rFonts w:ascii="宋体" w:hAnsi="宋体" w:cs="Arial"/>
                <w:spacing w:val="-26"/>
              </w:rPr>
            </w:pPr>
            <w:r>
              <w:rPr>
                <w:rFonts w:hint="eastAsia" w:ascii="宋体" w:hAnsi="宋体"/>
                <w:spacing w:val="-26"/>
              </w:rPr>
              <w:t>56,769</w:t>
            </w:r>
          </w:p>
        </w:tc>
        <w:tc>
          <w:tcPr>
            <w:tcW w:w="456" w:type="pct"/>
            <w:vAlign w:val="center"/>
          </w:tcPr>
          <w:p>
            <w:pPr>
              <w:jc w:val="right"/>
              <w:rPr>
                <w:rFonts w:ascii="宋体" w:hAnsi="宋体" w:cs="Arial"/>
                <w:spacing w:val="-26"/>
              </w:rPr>
            </w:pPr>
            <w:r>
              <w:rPr>
                <w:rFonts w:hint="eastAsia" w:ascii="宋体" w:hAnsi="宋体"/>
                <w:spacing w:val="-26"/>
              </w:rPr>
              <w:t>914</w:t>
            </w:r>
          </w:p>
        </w:tc>
        <w:tc>
          <w:tcPr>
            <w:tcW w:w="455" w:type="pct"/>
            <w:vAlign w:val="center"/>
          </w:tcPr>
          <w:p>
            <w:pPr>
              <w:jc w:val="right"/>
              <w:rPr>
                <w:rFonts w:ascii="宋体" w:hAnsi="宋体" w:cs="Arial"/>
                <w:spacing w:val="-26"/>
              </w:rPr>
            </w:pPr>
            <w:r>
              <w:rPr>
                <w:rFonts w:hint="eastAsia" w:ascii="宋体" w:hAnsi="宋体"/>
                <w:spacing w:val="-26"/>
              </w:rPr>
              <w:t>697</w:t>
            </w:r>
          </w:p>
        </w:tc>
        <w:tc>
          <w:tcPr>
            <w:tcW w:w="456" w:type="pct"/>
            <w:vAlign w:val="center"/>
          </w:tcPr>
          <w:p>
            <w:pPr>
              <w:jc w:val="right"/>
              <w:rPr>
                <w:rFonts w:ascii="宋体" w:hAnsi="宋体" w:cs="Arial"/>
                <w:spacing w:val="-26"/>
              </w:rPr>
            </w:pPr>
            <w:r>
              <w:rPr>
                <w:rFonts w:hint="eastAsia" w:ascii="宋体" w:hAnsi="宋体"/>
                <w:spacing w:val="-26"/>
              </w:rPr>
              <w:t>380</w:t>
            </w:r>
          </w:p>
        </w:tc>
        <w:tc>
          <w:tcPr>
            <w:tcW w:w="455" w:type="pct"/>
            <w:vAlign w:val="center"/>
          </w:tcPr>
          <w:p>
            <w:pPr>
              <w:jc w:val="right"/>
              <w:rPr>
                <w:rFonts w:ascii="宋体" w:hAnsi="宋体" w:cs="Arial"/>
                <w:spacing w:val="-26"/>
              </w:rPr>
            </w:pPr>
            <w:r>
              <w:rPr>
                <w:rFonts w:hint="eastAsia" w:ascii="宋体" w:hAnsi="宋体"/>
                <w:spacing w:val="-26"/>
              </w:rPr>
              <w:t>370</w:t>
            </w:r>
          </w:p>
        </w:tc>
        <w:tc>
          <w:tcPr>
            <w:tcW w:w="456" w:type="pct"/>
            <w:vAlign w:val="center"/>
          </w:tcPr>
          <w:p>
            <w:pPr>
              <w:jc w:val="right"/>
              <w:rPr>
                <w:rFonts w:ascii="宋体" w:hAnsi="宋体" w:cs="Arial"/>
                <w:spacing w:val="-26"/>
              </w:rPr>
            </w:pPr>
            <w:r>
              <w:rPr>
                <w:rFonts w:hint="eastAsia" w:ascii="宋体" w:hAnsi="宋体"/>
                <w:spacing w:val="-26"/>
              </w:rPr>
              <w:t>37,883</w:t>
            </w:r>
          </w:p>
        </w:tc>
        <w:tc>
          <w:tcPr>
            <w:tcW w:w="454" w:type="pct"/>
            <w:vAlign w:val="center"/>
          </w:tcPr>
          <w:p>
            <w:pPr>
              <w:jc w:val="right"/>
              <w:rPr>
                <w:rFonts w:ascii="宋体" w:hAnsi="宋体" w:cs="Arial"/>
                <w:spacing w:val="-26"/>
              </w:rPr>
            </w:pPr>
            <w:r>
              <w:rPr>
                <w:rFonts w:hint="eastAsia" w:ascii="宋体" w:hAnsi="宋体"/>
                <w:spacing w:val="-26"/>
              </w:rPr>
              <w:t>24,942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应交税费</w:t>
            </w:r>
          </w:p>
        </w:tc>
        <w:tc>
          <w:tcPr>
            <w:tcW w:w="455" w:type="pct"/>
            <w:vAlign w:val="center"/>
          </w:tcPr>
          <w:p>
            <w:pPr>
              <w:jc w:val="right"/>
              <w:rPr>
                <w:rFonts w:ascii="宋体" w:hAnsi="宋体" w:cs="Arial"/>
                <w:spacing w:val="-26"/>
              </w:rPr>
            </w:pPr>
            <w:r>
              <w:rPr>
                <w:rFonts w:hint="eastAsia" w:ascii="宋体" w:hAnsi="宋体"/>
                <w:spacing w:val="-26"/>
              </w:rPr>
              <w:t>577,349</w:t>
            </w:r>
          </w:p>
        </w:tc>
        <w:tc>
          <w:tcPr>
            <w:tcW w:w="456" w:type="pct"/>
            <w:vAlign w:val="center"/>
          </w:tcPr>
          <w:p>
            <w:pPr>
              <w:jc w:val="right"/>
              <w:rPr>
                <w:rFonts w:ascii="宋体" w:hAnsi="宋体" w:cs="Arial"/>
                <w:spacing w:val="-26"/>
              </w:rPr>
            </w:pPr>
            <w:r>
              <w:rPr>
                <w:rFonts w:hint="eastAsia" w:ascii="宋体" w:hAnsi="宋体"/>
                <w:spacing w:val="-26"/>
              </w:rPr>
              <w:t>842,451</w:t>
            </w:r>
          </w:p>
        </w:tc>
        <w:tc>
          <w:tcPr>
            <w:tcW w:w="455" w:type="pct"/>
            <w:vAlign w:val="center"/>
          </w:tcPr>
          <w:p>
            <w:pPr>
              <w:jc w:val="right"/>
              <w:rPr>
                <w:rFonts w:ascii="宋体" w:hAnsi="宋体" w:cs="Arial"/>
                <w:spacing w:val="-26"/>
              </w:rPr>
            </w:pPr>
            <w:r>
              <w:rPr>
                <w:rFonts w:hint="eastAsia" w:ascii="宋体" w:hAnsi="宋体"/>
                <w:spacing w:val="-26"/>
              </w:rPr>
              <w:t>65,674</w:t>
            </w:r>
          </w:p>
        </w:tc>
        <w:tc>
          <w:tcPr>
            <w:tcW w:w="456" w:type="pct"/>
            <w:vAlign w:val="center"/>
          </w:tcPr>
          <w:p>
            <w:pPr>
              <w:jc w:val="right"/>
              <w:rPr>
                <w:rFonts w:ascii="宋体" w:hAnsi="宋体" w:cs="Arial"/>
                <w:spacing w:val="-26"/>
              </w:rPr>
            </w:pPr>
            <w:r>
              <w:rPr>
                <w:rFonts w:hint="eastAsia" w:ascii="宋体" w:hAnsi="宋体"/>
                <w:spacing w:val="-26"/>
              </w:rPr>
              <w:t>92,734</w:t>
            </w:r>
          </w:p>
        </w:tc>
        <w:tc>
          <w:tcPr>
            <w:tcW w:w="456" w:type="pct"/>
            <w:vAlign w:val="center"/>
          </w:tcPr>
          <w:p>
            <w:pPr>
              <w:jc w:val="right"/>
              <w:rPr>
                <w:rFonts w:ascii="宋体" w:hAnsi="宋体" w:cs="Arial"/>
                <w:spacing w:val="-26"/>
              </w:rPr>
            </w:pPr>
            <w:r>
              <w:rPr>
                <w:rFonts w:hint="eastAsia" w:ascii="宋体" w:hAnsi="宋体"/>
                <w:spacing w:val="-26"/>
              </w:rPr>
              <w:t>12,253</w:t>
            </w:r>
          </w:p>
        </w:tc>
        <w:tc>
          <w:tcPr>
            <w:tcW w:w="455" w:type="pct"/>
            <w:vAlign w:val="center"/>
          </w:tcPr>
          <w:p>
            <w:pPr>
              <w:jc w:val="right"/>
              <w:rPr>
                <w:rFonts w:ascii="宋体" w:hAnsi="宋体" w:cs="Arial"/>
                <w:spacing w:val="-26"/>
              </w:rPr>
            </w:pPr>
            <w:r>
              <w:rPr>
                <w:rFonts w:hint="eastAsia" w:ascii="宋体" w:hAnsi="宋体"/>
                <w:spacing w:val="-26"/>
              </w:rPr>
              <w:t>42,664</w:t>
            </w:r>
          </w:p>
        </w:tc>
        <w:tc>
          <w:tcPr>
            <w:tcW w:w="456" w:type="pct"/>
            <w:vAlign w:val="center"/>
          </w:tcPr>
          <w:p>
            <w:pPr>
              <w:jc w:val="right"/>
              <w:rPr>
                <w:rFonts w:ascii="宋体" w:hAnsi="宋体" w:cs="Arial"/>
                <w:spacing w:val="-26"/>
              </w:rPr>
            </w:pPr>
            <w:r>
              <w:rPr>
                <w:rFonts w:hint="eastAsia" w:ascii="宋体" w:hAnsi="宋体"/>
                <w:spacing w:val="-26"/>
              </w:rPr>
              <w:t>11</w:t>
            </w:r>
          </w:p>
        </w:tc>
        <w:tc>
          <w:tcPr>
            <w:tcW w:w="455" w:type="pct"/>
            <w:vAlign w:val="center"/>
          </w:tcPr>
          <w:p>
            <w:pPr>
              <w:jc w:val="right"/>
              <w:rPr>
                <w:rFonts w:ascii="宋体" w:hAnsi="宋体" w:cs="Arial"/>
                <w:spacing w:val="-26"/>
              </w:rPr>
            </w:pPr>
            <w:r>
              <w:rPr>
                <w:rFonts w:hint="eastAsia" w:ascii="宋体" w:hAnsi="宋体"/>
                <w:spacing w:val="-26"/>
              </w:rPr>
              <w:t>26</w:t>
            </w:r>
          </w:p>
        </w:tc>
        <w:tc>
          <w:tcPr>
            <w:tcW w:w="456" w:type="pct"/>
            <w:vAlign w:val="center"/>
          </w:tcPr>
          <w:p>
            <w:pPr>
              <w:jc w:val="right"/>
              <w:rPr>
                <w:rFonts w:ascii="宋体" w:hAnsi="宋体" w:cs="Arial"/>
                <w:spacing w:val="-26"/>
              </w:rPr>
            </w:pPr>
            <w:r>
              <w:rPr>
                <w:rFonts w:hint="eastAsia" w:ascii="宋体" w:hAnsi="宋体"/>
                <w:spacing w:val="-26"/>
              </w:rPr>
              <w:t>15,635</w:t>
            </w:r>
          </w:p>
        </w:tc>
        <w:tc>
          <w:tcPr>
            <w:tcW w:w="454" w:type="pct"/>
            <w:vAlign w:val="center"/>
          </w:tcPr>
          <w:p>
            <w:pPr>
              <w:jc w:val="right"/>
              <w:rPr>
                <w:rFonts w:ascii="宋体" w:hAnsi="宋体" w:cs="Arial"/>
                <w:spacing w:val="-26"/>
              </w:rPr>
            </w:pPr>
            <w:r>
              <w:rPr>
                <w:rFonts w:hint="eastAsia" w:ascii="宋体" w:hAnsi="宋体"/>
                <w:spacing w:val="-26"/>
              </w:rPr>
              <w:t>8,607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其他应付款</w:t>
            </w:r>
          </w:p>
        </w:tc>
        <w:tc>
          <w:tcPr>
            <w:tcW w:w="455" w:type="pct"/>
            <w:vAlign w:val="center"/>
          </w:tcPr>
          <w:p>
            <w:pPr>
              <w:jc w:val="right"/>
              <w:rPr>
                <w:rFonts w:ascii="宋体" w:hAnsi="宋体" w:cs="Arial"/>
                <w:spacing w:val="-26"/>
              </w:rPr>
            </w:pPr>
            <w:r>
              <w:rPr>
                <w:rFonts w:hint="eastAsia" w:ascii="宋体" w:hAnsi="宋体"/>
                <w:spacing w:val="-26"/>
              </w:rPr>
              <w:t>8,305,450</w:t>
            </w:r>
          </w:p>
        </w:tc>
        <w:tc>
          <w:tcPr>
            <w:tcW w:w="456" w:type="pct"/>
            <w:vAlign w:val="center"/>
          </w:tcPr>
          <w:p>
            <w:pPr>
              <w:jc w:val="right"/>
              <w:rPr>
                <w:rFonts w:ascii="宋体" w:hAnsi="宋体" w:cs="Arial"/>
                <w:spacing w:val="-26"/>
              </w:rPr>
            </w:pPr>
            <w:r>
              <w:rPr>
                <w:rFonts w:hint="eastAsia" w:ascii="宋体" w:hAnsi="宋体"/>
                <w:spacing w:val="-26"/>
              </w:rPr>
              <w:t>7,816,608</w:t>
            </w:r>
          </w:p>
        </w:tc>
        <w:tc>
          <w:tcPr>
            <w:tcW w:w="455" w:type="pct"/>
            <w:vAlign w:val="center"/>
          </w:tcPr>
          <w:p>
            <w:pPr>
              <w:jc w:val="right"/>
              <w:rPr>
                <w:rFonts w:ascii="宋体" w:hAnsi="宋体" w:cs="Arial"/>
                <w:spacing w:val="-26"/>
              </w:rPr>
            </w:pPr>
            <w:r>
              <w:rPr>
                <w:rFonts w:hint="eastAsia" w:ascii="宋体" w:hAnsi="宋体"/>
                <w:spacing w:val="-26"/>
              </w:rPr>
              <w:t>6,211,272</w:t>
            </w:r>
          </w:p>
        </w:tc>
        <w:tc>
          <w:tcPr>
            <w:tcW w:w="456" w:type="pct"/>
            <w:vAlign w:val="center"/>
          </w:tcPr>
          <w:p>
            <w:pPr>
              <w:jc w:val="right"/>
              <w:rPr>
                <w:rFonts w:ascii="宋体" w:hAnsi="宋体" w:cs="Arial"/>
                <w:spacing w:val="-26"/>
              </w:rPr>
            </w:pPr>
            <w:r>
              <w:rPr>
                <w:rFonts w:hint="eastAsia" w:ascii="宋体" w:hAnsi="宋体"/>
                <w:spacing w:val="-26"/>
              </w:rPr>
              <w:t>7,455,314</w:t>
            </w:r>
          </w:p>
        </w:tc>
        <w:tc>
          <w:tcPr>
            <w:tcW w:w="456" w:type="pct"/>
            <w:vAlign w:val="center"/>
          </w:tcPr>
          <w:p>
            <w:pPr>
              <w:jc w:val="right"/>
              <w:rPr>
                <w:rFonts w:ascii="宋体" w:hAnsi="宋体" w:cs="Arial"/>
                <w:spacing w:val="-26"/>
              </w:rPr>
            </w:pPr>
            <w:r>
              <w:rPr>
                <w:rFonts w:hint="eastAsia" w:ascii="宋体" w:hAnsi="宋体"/>
                <w:spacing w:val="-26"/>
              </w:rPr>
              <w:t>19,051,781</w:t>
            </w:r>
          </w:p>
        </w:tc>
        <w:tc>
          <w:tcPr>
            <w:tcW w:w="455" w:type="pct"/>
            <w:vAlign w:val="center"/>
          </w:tcPr>
          <w:p>
            <w:pPr>
              <w:jc w:val="right"/>
              <w:rPr>
                <w:rFonts w:ascii="宋体" w:hAnsi="宋体" w:cs="Arial"/>
                <w:spacing w:val="-26"/>
              </w:rPr>
            </w:pPr>
            <w:r>
              <w:rPr>
                <w:rFonts w:hint="eastAsia" w:ascii="宋体" w:hAnsi="宋体"/>
                <w:spacing w:val="-26"/>
              </w:rPr>
              <w:t>25,936,268</w:t>
            </w:r>
          </w:p>
        </w:tc>
        <w:tc>
          <w:tcPr>
            <w:tcW w:w="456" w:type="pct"/>
            <w:vAlign w:val="center"/>
          </w:tcPr>
          <w:p>
            <w:pPr>
              <w:jc w:val="right"/>
              <w:rPr>
                <w:rFonts w:ascii="宋体" w:hAnsi="宋体" w:cs="Arial"/>
                <w:spacing w:val="-26"/>
              </w:rPr>
            </w:pPr>
            <w:r>
              <w:rPr>
                <w:rFonts w:hint="eastAsia" w:ascii="宋体" w:hAnsi="宋体"/>
                <w:spacing w:val="-26"/>
              </w:rPr>
              <w:t>395,356</w:t>
            </w:r>
          </w:p>
        </w:tc>
        <w:tc>
          <w:tcPr>
            <w:tcW w:w="455" w:type="pct"/>
            <w:vAlign w:val="center"/>
          </w:tcPr>
          <w:p>
            <w:pPr>
              <w:jc w:val="right"/>
              <w:rPr>
                <w:rFonts w:ascii="宋体" w:hAnsi="宋体" w:cs="Arial"/>
                <w:spacing w:val="-26"/>
              </w:rPr>
            </w:pPr>
            <w:r>
              <w:rPr>
                <w:rFonts w:hint="eastAsia" w:ascii="宋体" w:hAnsi="宋体"/>
                <w:spacing w:val="-26"/>
              </w:rPr>
              <w:t>396,111</w:t>
            </w:r>
          </w:p>
        </w:tc>
        <w:tc>
          <w:tcPr>
            <w:tcW w:w="456" w:type="pct"/>
            <w:vAlign w:val="center"/>
          </w:tcPr>
          <w:p>
            <w:pPr>
              <w:jc w:val="right"/>
              <w:rPr>
                <w:rFonts w:ascii="宋体" w:hAnsi="宋体" w:cs="Arial"/>
                <w:spacing w:val="-26"/>
              </w:rPr>
            </w:pPr>
            <w:r>
              <w:rPr>
                <w:rFonts w:hint="eastAsia" w:ascii="宋体" w:hAnsi="宋体"/>
                <w:spacing w:val="-26"/>
              </w:rPr>
              <w:t>39,432</w:t>
            </w:r>
          </w:p>
        </w:tc>
        <w:tc>
          <w:tcPr>
            <w:tcW w:w="454" w:type="pct"/>
            <w:vAlign w:val="center"/>
          </w:tcPr>
          <w:p>
            <w:pPr>
              <w:jc w:val="right"/>
              <w:rPr>
                <w:rFonts w:ascii="宋体" w:hAnsi="宋体" w:cs="Arial"/>
                <w:spacing w:val="-26"/>
              </w:rPr>
            </w:pPr>
            <w:r>
              <w:rPr>
                <w:rFonts w:hint="eastAsia" w:ascii="宋体" w:hAnsi="宋体"/>
                <w:spacing w:val="-26"/>
              </w:rPr>
              <w:t>39,745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一年内到期的非流动负债</w:t>
            </w:r>
          </w:p>
        </w:tc>
        <w:tc>
          <w:tcPr>
            <w:tcW w:w="455" w:type="pct"/>
            <w:vAlign w:val="center"/>
          </w:tcPr>
          <w:p>
            <w:pPr>
              <w:jc w:val="right"/>
              <w:rPr>
                <w:rFonts w:ascii="宋体" w:hAnsi="宋体" w:cs="Arial"/>
                <w:spacing w:val="-26"/>
              </w:rPr>
            </w:pPr>
            <w:r>
              <w:rPr>
                <w:rFonts w:hint="eastAsia" w:ascii="宋体" w:hAnsi="宋体"/>
                <w:spacing w:val="-26"/>
              </w:rPr>
              <w:t>1,095,016</w:t>
            </w:r>
          </w:p>
        </w:tc>
        <w:tc>
          <w:tcPr>
            <w:tcW w:w="456" w:type="pct"/>
            <w:vAlign w:val="center"/>
          </w:tcPr>
          <w:p>
            <w:pPr>
              <w:jc w:val="right"/>
              <w:rPr>
                <w:rFonts w:ascii="宋体" w:hAnsi="宋体" w:cs="Arial"/>
                <w:spacing w:val="-26"/>
              </w:rPr>
            </w:pPr>
            <w:r>
              <w:rPr>
                <w:rFonts w:hint="eastAsia" w:ascii="宋体" w:hAnsi="宋体"/>
                <w:spacing w:val="-26"/>
              </w:rPr>
              <w:t>2,391,294</w:t>
            </w:r>
          </w:p>
        </w:tc>
        <w:tc>
          <w:tcPr>
            <w:tcW w:w="455" w:type="pct"/>
            <w:vAlign w:val="center"/>
          </w:tcPr>
          <w:p>
            <w:pPr>
              <w:jc w:val="right"/>
              <w:rPr>
                <w:rFonts w:ascii="宋体" w:hAnsi="宋体" w:cs="Arial"/>
                <w:spacing w:val="-26"/>
              </w:rPr>
            </w:pPr>
            <w:r>
              <w:rPr>
                <w:rFonts w:hint="eastAsia" w:ascii="宋体" w:hAnsi="宋体"/>
                <w:spacing w:val="-26"/>
              </w:rPr>
              <w:t>280,254</w:t>
            </w:r>
          </w:p>
        </w:tc>
        <w:tc>
          <w:tcPr>
            <w:tcW w:w="456" w:type="pct"/>
            <w:vAlign w:val="center"/>
          </w:tcPr>
          <w:p>
            <w:pPr>
              <w:jc w:val="right"/>
              <w:rPr>
                <w:rFonts w:ascii="宋体" w:hAnsi="宋体" w:cs="Arial"/>
                <w:spacing w:val="-26"/>
              </w:rPr>
            </w:pPr>
            <w:r>
              <w:rPr>
                <w:rFonts w:hint="eastAsia" w:ascii="宋体" w:hAnsi="宋体"/>
                <w:spacing w:val="-26"/>
              </w:rPr>
              <w:t>587,784</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4,294</w:t>
            </w: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其他流动负债</w:t>
            </w:r>
          </w:p>
        </w:tc>
        <w:tc>
          <w:tcPr>
            <w:tcW w:w="455" w:type="pct"/>
            <w:vAlign w:val="center"/>
          </w:tcPr>
          <w:p>
            <w:pPr>
              <w:jc w:val="right"/>
              <w:rPr>
                <w:rFonts w:ascii="宋体" w:hAnsi="宋体" w:cs="Arial"/>
                <w:spacing w:val="-26"/>
              </w:rPr>
            </w:pPr>
            <w:r>
              <w:rPr>
                <w:rFonts w:hint="eastAsia" w:ascii="宋体" w:hAnsi="宋体"/>
                <w:spacing w:val="-26"/>
              </w:rPr>
              <w:t>681,806</w:t>
            </w:r>
          </w:p>
        </w:tc>
        <w:tc>
          <w:tcPr>
            <w:tcW w:w="456" w:type="pct"/>
            <w:vAlign w:val="center"/>
          </w:tcPr>
          <w:p>
            <w:pPr>
              <w:jc w:val="right"/>
              <w:rPr>
                <w:rFonts w:ascii="宋体" w:hAnsi="宋体" w:cs="Arial"/>
                <w:spacing w:val="-26"/>
              </w:rPr>
            </w:pPr>
            <w:r>
              <w:rPr>
                <w:rFonts w:hint="eastAsia" w:ascii="宋体" w:hAnsi="宋体"/>
                <w:spacing w:val="-26"/>
              </w:rPr>
              <w:t>609,774</w:t>
            </w:r>
          </w:p>
        </w:tc>
        <w:tc>
          <w:tcPr>
            <w:tcW w:w="455" w:type="pct"/>
            <w:vAlign w:val="center"/>
          </w:tcPr>
          <w:p>
            <w:pPr>
              <w:jc w:val="right"/>
              <w:rPr>
                <w:rFonts w:ascii="宋体" w:hAnsi="宋体" w:cs="Arial"/>
                <w:spacing w:val="-26"/>
              </w:rPr>
            </w:pPr>
            <w:r>
              <w:rPr>
                <w:rFonts w:hint="eastAsia" w:ascii="宋体" w:hAnsi="宋体"/>
                <w:spacing w:val="-26"/>
              </w:rPr>
              <w:t>22,649</w:t>
            </w:r>
          </w:p>
        </w:tc>
        <w:tc>
          <w:tcPr>
            <w:tcW w:w="456" w:type="pct"/>
            <w:vAlign w:val="center"/>
          </w:tcPr>
          <w:p>
            <w:pPr>
              <w:jc w:val="right"/>
              <w:rPr>
                <w:rFonts w:ascii="宋体" w:hAnsi="宋体" w:cs="Arial"/>
                <w:spacing w:val="-26"/>
              </w:rPr>
            </w:pPr>
            <w:r>
              <w:rPr>
                <w:rFonts w:hint="eastAsia" w:ascii="宋体" w:hAnsi="宋体"/>
                <w:spacing w:val="-26"/>
              </w:rPr>
              <w:t>27,885</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107</w:t>
            </w:r>
          </w:p>
        </w:tc>
        <w:tc>
          <w:tcPr>
            <w:tcW w:w="454" w:type="pct"/>
            <w:vAlign w:val="center"/>
          </w:tcPr>
          <w:p>
            <w:pPr>
              <w:jc w:val="right"/>
              <w:rPr>
                <w:rFonts w:ascii="宋体" w:hAnsi="宋体" w:cs="Arial"/>
                <w:spacing w:val="-26"/>
              </w:rPr>
            </w:pPr>
            <w:r>
              <w:rPr>
                <w:rFonts w:hint="eastAsia" w:ascii="宋体" w:hAnsi="宋体"/>
                <w:spacing w:val="-26"/>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长期借款</w:t>
            </w:r>
          </w:p>
        </w:tc>
        <w:tc>
          <w:tcPr>
            <w:tcW w:w="455" w:type="pct"/>
            <w:vAlign w:val="center"/>
          </w:tcPr>
          <w:p>
            <w:pPr>
              <w:jc w:val="right"/>
              <w:rPr>
                <w:rFonts w:ascii="宋体" w:hAnsi="宋体" w:cs="Arial"/>
                <w:spacing w:val="-26"/>
              </w:rPr>
            </w:pPr>
            <w:r>
              <w:rPr>
                <w:rFonts w:hint="eastAsia" w:ascii="宋体" w:hAnsi="宋体"/>
                <w:spacing w:val="-26"/>
              </w:rPr>
              <w:t>2,469,000</w:t>
            </w:r>
          </w:p>
        </w:tc>
        <w:tc>
          <w:tcPr>
            <w:tcW w:w="456" w:type="pct"/>
            <w:vAlign w:val="center"/>
          </w:tcPr>
          <w:p>
            <w:pPr>
              <w:jc w:val="right"/>
              <w:rPr>
                <w:rFonts w:ascii="宋体" w:hAnsi="宋体" w:cs="Arial"/>
                <w:spacing w:val="-26"/>
              </w:rPr>
            </w:pPr>
            <w:r>
              <w:rPr>
                <w:rFonts w:hint="eastAsia" w:ascii="宋体" w:hAnsi="宋体"/>
                <w:spacing w:val="-26"/>
              </w:rPr>
              <w:t>1,525,000</w:t>
            </w:r>
          </w:p>
        </w:tc>
        <w:tc>
          <w:tcPr>
            <w:tcW w:w="455" w:type="pct"/>
            <w:vAlign w:val="center"/>
          </w:tcPr>
          <w:p>
            <w:pPr>
              <w:jc w:val="right"/>
              <w:rPr>
                <w:rFonts w:ascii="宋体" w:hAnsi="宋体" w:cs="Arial"/>
                <w:spacing w:val="-26"/>
              </w:rPr>
            </w:pPr>
            <w:r>
              <w:rPr>
                <w:rFonts w:hint="eastAsia" w:ascii="宋体" w:hAnsi="宋体"/>
                <w:spacing w:val="-26"/>
              </w:rPr>
              <w:t>5,228,228</w:t>
            </w:r>
          </w:p>
        </w:tc>
        <w:tc>
          <w:tcPr>
            <w:tcW w:w="456" w:type="pct"/>
            <w:vAlign w:val="center"/>
          </w:tcPr>
          <w:p>
            <w:pPr>
              <w:jc w:val="right"/>
              <w:rPr>
                <w:rFonts w:ascii="宋体" w:hAnsi="宋体" w:cs="Arial"/>
                <w:spacing w:val="-26"/>
              </w:rPr>
            </w:pPr>
            <w:r>
              <w:rPr>
                <w:rFonts w:hint="eastAsia" w:ascii="宋体" w:hAnsi="宋体"/>
                <w:spacing w:val="-26"/>
              </w:rPr>
              <w:t>3,380,000</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租赁负债</w:t>
            </w:r>
          </w:p>
        </w:tc>
        <w:tc>
          <w:tcPr>
            <w:tcW w:w="455" w:type="pct"/>
            <w:vAlign w:val="center"/>
          </w:tcPr>
          <w:p>
            <w:pPr>
              <w:jc w:val="right"/>
              <w:rPr>
                <w:rFonts w:ascii="宋体" w:hAnsi="宋体" w:cs="Arial"/>
                <w:spacing w:val="-26"/>
              </w:rPr>
            </w:pPr>
            <w:r>
              <w:rPr>
                <w:rFonts w:hint="eastAsia" w:ascii="宋体" w:hAnsi="宋体"/>
                <w:spacing w:val="-26"/>
              </w:rPr>
              <w:t>96,828</w:t>
            </w:r>
          </w:p>
        </w:tc>
        <w:tc>
          <w:tcPr>
            <w:tcW w:w="456" w:type="pct"/>
            <w:vAlign w:val="center"/>
          </w:tcPr>
          <w:p>
            <w:pPr>
              <w:jc w:val="right"/>
              <w:rPr>
                <w:rFonts w:ascii="宋体" w:hAnsi="宋体" w:cs="Arial"/>
                <w:spacing w:val="-26"/>
              </w:rPr>
            </w:pPr>
            <w:r>
              <w:rPr>
                <w:rFonts w:hint="eastAsia" w:ascii="宋体" w:hAnsi="宋体"/>
                <w:spacing w:val="-26"/>
              </w:rPr>
              <w:t>20,179</w:t>
            </w: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4,361</w:t>
            </w:r>
          </w:p>
        </w:tc>
        <w:tc>
          <w:tcPr>
            <w:tcW w:w="454" w:type="pct"/>
            <w:vAlign w:val="center"/>
          </w:tcPr>
          <w:p>
            <w:pPr>
              <w:jc w:val="right"/>
              <w:rPr>
                <w:rFonts w:ascii="宋体" w:hAnsi="宋体" w:cs="Arial"/>
                <w:spacing w:val="-26"/>
              </w:rPr>
            </w:pPr>
            <w:r>
              <w:rPr>
                <w:rFonts w:hint="eastAsia" w:ascii="宋体" w:hAnsi="宋体"/>
                <w:spacing w:val="-26"/>
              </w:rPr>
              <w:t>4,788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长期应付款</w:t>
            </w:r>
          </w:p>
        </w:tc>
        <w:tc>
          <w:tcPr>
            <w:tcW w:w="455" w:type="pct"/>
            <w:vAlign w:val="center"/>
          </w:tcPr>
          <w:p>
            <w:pPr>
              <w:jc w:val="right"/>
              <w:rPr>
                <w:rFonts w:ascii="宋体" w:hAnsi="宋体" w:cs="Arial"/>
                <w:spacing w:val="-26"/>
              </w:rPr>
            </w:pPr>
            <w:r>
              <w:rPr>
                <w:rFonts w:hint="eastAsia" w:ascii="宋体" w:hAnsi="宋体"/>
                <w:spacing w:val="-26"/>
              </w:rPr>
              <w:t>686,923</w:t>
            </w:r>
          </w:p>
        </w:tc>
        <w:tc>
          <w:tcPr>
            <w:tcW w:w="456" w:type="pct"/>
            <w:vAlign w:val="center"/>
          </w:tcPr>
          <w:p>
            <w:pPr>
              <w:jc w:val="right"/>
              <w:rPr>
                <w:rFonts w:ascii="宋体" w:hAnsi="宋体" w:cs="Arial"/>
                <w:spacing w:val="-26"/>
              </w:rPr>
            </w:pPr>
            <w:r>
              <w:rPr>
                <w:rFonts w:hint="eastAsia" w:ascii="宋体" w:hAnsi="宋体"/>
                <w:spacing w:val="-26"/>
              </w:rPr>
              <w:t>740,531</w:t>
            </w:r>
          </w:p>
        </w:tc>
        <w:tc>
          <w:tcPr>
            <w:tcW w:w="455" w:type="pct"/>
            <w:vAlign w:val="center"/>
          </w:tcPr>
          <w:p>
            <w:pPr>
              <w:jc w:val="right"/>
              <w:rPr>
                <w:rFonts w:ascii="宋体" w:hAnsi="宋体" w:cs="Arial"/>
                <w:spacing w:val="-26"/>
              </w:rPr>
            </w:pPr>
            <w:r>
              <w:rPr>
                <w:rFonts w:hint="eastAsia" w:ascii="宋体" w:hAnsi="宋体"/>
                <w:spacing w:val="-26"/>
              </w:rPr>
              <w:t>757,242</w:t>
            </w:r>
          </w:p>
        </w:tc>
        <w:tc>
          <w:tcPr>
            <w:tcW w:w="456" w:type="pct"/>
            <w:vAlign w:val="center"/>
          </w:tcPr>
          <w:p>
            <w:pPr>
              <w:jc w:val="right"/>
              <w:rPr>
                <w:rFonts w:ascii="宋体" w:hAnsi="宋体" w:cs="Arial"/>
                <w:spacing w:val="-26"/>
              </w:rPr>
            </w:pPr>
            <w:r>
              <w:rPr>
                <w:rFonts w:hint="eastAsia" w:ascii="宋体" w:hAnsi="宋体"/>
                <w:spacing w:val="-26"/>
              </w:rPr>
              <w:t>731,588</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长期应付职工薪酬</w:t>
            </w:r>
          </w:p>
        </w:tc>
        <w:tc>
          <w:tcPr>
            <w:tcW w:w="455" w:type="pct"/>
            <w:vAlign w:val="center"/>
          </w:tcPr>
          <w:p>
            <w:pPr>
              <w:jc w:val="right"/>
              <w:rPr>
                <w:rFonts w:ascii="宋体" w:hAnsi="宋体" w:cs="Arial"/>
                <w:spacing w:val="-26"/>
              </w:rPr>
            </w:pPr>
            <w:r>
              <w:rPr>
                <w:rFonts w:hint="eastAsia" w:ascii="宋体" w:hAnsi="宋体"/>
                <w:spacing w:val="-26"/>
              </w:rPr>
              <w:t>4,618,681</w:t>
            </w:r>
          </w:p>
        </w:tc>
        <w:tc>
          <w:tcPr>
            <w:tcW w:w="456" w:type="pct"/>
            <w:vAlign w:val="center"/>
          </w:tcPr>
          <w:p>
            <w:pPr>
              <w:jc w:val="right"/>
              <w:rPr>
                <w:rFonts w:ascii="宋体" w:hAnsi="宋体" w:cs="Arial"/>
                <w:spacing w:val="-26"/>
              </w:rPr>
            </w:pPr>
            <w:r>
              <w:rPr>
                <w:rFonts w:hint="eastAsia" w:ascii="宋体" w:hAnsi="宋体"/>
                <w:spacing w:val="-26"/>
              </w:rPr>
              <w:t>4,804,710</w:t>
            </w:r>
          </w:p>
        </w:tc>
        <w:tc>
          <w:tcPr>
            <w:tcW w:w="455" w:type="pct"/>
            <w:vAlign w:val="center"/>
          </w:tcPr>
          <w:p>
            <w:pPr>
              <w:jc w:val="right"/>
              <w:rPr>
                <w:rFonts w:ascii="宋体" w:hAnsi="宋体" w:cs="Arial"/>
                <w:spacing w:val="-26"/>
              </w:rPr>
            </w:pPr>
            <w:r>
              <w:rPr>
                <w:rFonts w:hint="eastAsia" w:ascii="宋体" w:hAnsi="宋体"/>
                <w:spacing w:val="-26"/>
              </w:rPr>
              <w:t>615,708</w:t>
            </w:r>
          </w:p>
        </w:tc>
        <w:tc>
          <w:tcPr>
            <w:tcW w:w="456" w:type="pct"/>
            <w:vAlign w:val="center"/>
          </w:tcPr>
          <w:p>
            <w:pPr>
              <w:jc w:val="right"/>
              <w:rPr>
                <w:rFonts w:ascii="宋体" w:hAnsi="宋体" w:cs="Arial"/>
                <w:spacing w:val="-26"/>
              </w:rPr>
            </w:pPr>
            <w:r>
              <w:rPr>
                <w:rFonts w:hint="eastAsia" w:ascii="宋体" w:hAnsi="宋体"/>
                <w:spacing w:val="-26"/>
              </w:rPr>
              <w:t>634,830</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57,570</w:t>
            </w:r>
          </w:p>
        </w:tc>
        <w:tc>
          <w:tcPr>
            <w:tcW w:w="454" w:type="pct"/>
            <w:vAlign w:val="center"/>
          </w:tcPr>
          <w:p>
            <w:pPr>
              <w:jc w:val="right"/>
              <w:rPr>
                <w:rFonts w:ascii="宋体" w:hAnsi="宋体" w:cs="Arial"/>
                <w:spacing w:val="-26"/>
              </w:rPr>
            </w:pPr>
            <w:r>
              <w:rPr>
                <w:rFonts w:hint="eastAsia" w:ascii="宋体" w:hAnsi="宋体"/>
                <w:spacing w:val="-26"/>
              </w:rPr>
              <w:t>68,300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预计负债</w:t>
            </w:r>
          </w:p>
        </w:tc>
        <w:tc>
          <w:tcPr>
            <w:tcW w:w="455" w:type="pct"/>
            <w:vAlign w:val="center"/>
          </w:tcPr>
          <w:p>
            <w:pPr>
              <w:jc w:val="right"/>
              <w:rPr>
                <w:rFonts w:ascii="宋体" w:hAnsi="宋体" w:cs="Arial"/>
                <w:spacing w:val="-26"/>
              </w:rPr>
            </w:pPr>
            <w:r>
              <w:rPr>
                <w:rFonts w:hint="eastAsia" w:ascii="宋体" w:hAnsi="宋体"/>
                <w:spacing w:val="-26"/>
              </w:rPr>
              <w:t>3,739,934</w:t>
            </w:r>
          </w:p>
        </w:tc>
        <w:tc>
          <w:tcPr>
            <w:tcW w:w="456" w:type="pct"/>
            <w:vAlign w:val="center"/>
          </w:tcPr>
          <w:p>
            <w:pPr>
              <w:jc w:val="right"/>
              <w:rPr>
                <w:rFonts w:ascii="宋体" w:hAnsi="宋体" w:cs="Arial"/>
                <w:spacing w:val="-26"/>
              </w:rPr>
            </w:pPr>
            <w:r>
              <w:rPr>
                <w:rFonts w:hint="eastAsia" w:ascii="宋体" w:hAnsi="宋体"/>
                <w:spacing w:val="-26"/>
              </w:rPr>
              <w:t>3,670,550</w:t>
            </w:r>
          </w:p>
        </w:tc>
        <w:tc>
          <w:tcPr>
            <w:tcW w:w="455" w:type="pct"/>
            <w:vAlign w:val="center"/>
          </w:tcPr>
          <w:p>
            <w:pPr>
              <w:jc w:val="right"/>
              <w:rPr>
                <w:rFonts w:ascii="宋体" w:hAnsi="宋体" w:cs="Arial"/>
                <w:spacing w:val="-26"/>
              </w:rPr>
            </w:pPr>
            <w:r>
              <w:rPr>
                <w:rFonts w:hint="eastAsia" w:ascii="宋体" w:hAnsi="宋体"/>
                <w:spacing w:val="-26"/>
              </w:rPr>
              <w:t>311,307</w:t>
            </w:r>
          </w:p>
        </w:tc>
        <w:tc>
          <w:tcPr>
            <w:tcW w:w="456" w:type="pct"/>
            <w:vAlign w:val="center"/>
          </w:tcPr>
          <w:p>
            <w:pPr>
              <w:jc w:val="right"/>
              <w:rPr>
                <w:rFonts w:ascii="宋体" w:hAnsi="宋体" w:cs="Arial"/>
                <w:spacing w:val="-26"/>
              </w:rPr>
            </w:pPr>
            <w:r>
              <w:rPr>
                <w:rFonts w:hint="eastAsia" w:ascii="宋体" w:hAnsi="宋体"/>
                <w:spacing w:val="-26"/>
              </w:rPr>
              <w:t>319,937</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r>
              <w:rPr>
                <w:rFonts w:hint="eastAsia" w:ascii="宋体" w:hAnsi="宋体"/>
                <w:spacing w:val="-26"/>
              </w:rPr>
              <w:t>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递延收益</w:t>
            </w:r>
          </w:p>
        </w:tc>
        <w:tc>
          <w:tcPr>
            <w:tcW w:w="455" w:type="pct"/>
            <w:vAlign w:val="center"/>
          </w:tcPr>
          <w:p>
            <w:pPr>
              <w:jc w:val="right"/>
              <w:rPr>
                <w:rFonts w:ascii="宋体" w:hAnsi="宋体" w:cs="Arial"/>
                <w:spacing w:val="-26"/>
              </w:rPr>
            </w:pPr>
            <w:r>
              <w:rPr>
                <w:rFonts w:hint="eastAsia" w:ascii="宋体" w:hAnsi="宋体"/>
                <w:spacing w:val="-26"/>
              </w:rPr>
              <w:t>105,558</w:t>
            </w:r>
          </w:p>
        </w:tc>
        <w:tc>
          <w:tcPr>
            <w:tcW w:w="456" w:type="pct"/>
            <w:vAlign w:val="center"/>
          </w:tcPr>
          <w:p>
            <w:pPr>
              <w:jc w:val="right"/>
              <w:rPr>
                <w:rFonts w:ascii="宋体" w:hAnsi="宋体" w:cs="Arial"/>
                <w:spacing w:val="-26"/>
              </w:rPr>
            </w:pPr>
            <w:r>
              <w:rPr>
                <w:rFonts w:hint="eastAsia" w:ascii="宋体" w:hAnsi="宋体"/>
                <w:spacing w:val="-26"/>
              </w:rPr>
              <w:t>122,995</w:t>
            </w:r>
          </w:p>
        </w:tc>
        <w:tc>
          <w:tcPr>
            <w:tcW w:w="455" w:type="pct"/>
            <w:vAlign w:val="center"/>
          </w:tcPr>
          <w:p>
            <w:pPr>
              <w:jc w:val="right"/>
              <w:rPr>
                <w:rFonts w:ascii="宋体" w:hAnsi="宋体" w:cs="Arial"/>
                <w:spacing w:val="-26"/>
              </w:rPr>
            </w:pPr>
            <w:r>
              <w:rPr>
                <w:rFonts w:hint="eastAsia" w:ascii="宋体" w:hAnsi="宋体"/>
                <w:spacing w:val="-26"/>
              </w:rPr>
              <w:t>19,796</w:t>
            </w:r>
          </w:p>
        </w:tc>
        <w:tc>
          <w:tcPr>
            <w:tcW w:w="456" w:type="pct"/>
            <w:vAlign w:val="center"/>
          </w:tcPr>
          <w:p>
            <w:pPr>
              <w:jc w:val="right"/>
              <w:rPr>
                <w:rFonts w:ascii="宋体" w:hAnsi="宋体" w:cs="Arial"/>
                <w:spacing w:val="-26"/>
              </w:rPr>
            </w:pPr>
            <w:r>
              <w:rPr>
                <w:rFonts w:hint="eastAsia" w:ascii="宋体" w:hAnsi="宋体"/>
                <w:spacing w:val="-26"/>
              </w:rPr>
              <w:t>13,054</w:t>
            </w: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color w:val="000000"/>
                <w:spacing w:val="-26"/>
              </w:rPr>
            </w:pPr>
            <w:r>
              <w:rPr>
                <w:rFonts w:hint="eastAsia" w:ascii="宋体" w:hAnsi="宋体"/>
                <w:spacing w:val="-26"/>
              </w:rPr>
              <w:t>递延所得税负债</w:t>
            </w:r>
          </w:p>
        </w:tc>
        <w:tc>
          <w:tcPr>
            <w:tcW w:w="455" w:type="pct"/>
            <w:vAlign w:val="center"/>
          </w:tcPr>
          <w:p>
            <w:pPr>
              <w:jc w:val="right"/>
              <w:rPr>
                <w:rFonts w:ascii="宋体" w:hAnsi="宋体" w:cs="Arial"/>
                <w:spacing w:val="-26"/>
              </w:rPr>
            </w:pPr>
            <w:r>
              <w:rPr>
                <w:rFonts w:hint="eastAsia" w:ascii="宋体" w:hAnsi="宋体"/>
                <w:spacing w:val="-26"/>
              </w:rPr>
              <w:t>1,016,615</w:t>
            </w:r>
          </w:p>
        </w:tc>
        <w:tc>
          <w:tcPr>
            <w:tcW w:w="456" w:type="pct"/>
            <w:vAlign w:val="center"/>
          </w:tcPr>
          <w:p>
            <w:pPr>
              <w:jc w:val="right"/>
              <w:rPr>
                <w:rFonts w:ascii="宋体" w:hAnsi="宋体" w:cs="Arial"/>
                <w:spacing w:val="-26"/>
              </w:rPr>
            </w:pPr>
            <w:r>
              <w:rPr>
                <w:rFonts w:hint="eastAsia" w:ascii="宋体" w:hAnsi="宋体"/>
                <w:spacing w:val="-26"/>
              </w:rPr>
              <w:t>986,832</w:t>
            </w: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p>
        </w:tc>
        <w:tc>
          <w:tcPr>
            <w:tcW w:w="455" w:type="pct"/>
            <w:vAlign w:val="center"/>
          </w:tcPr>
          <w:p>
            <w:pPr>
              <w:jc w:val="right"/>
              <w:rPr>
                <w:rFonts w:ascii="宋体" w:hAnsi="宋体" w:cs="Arial"/>
                <w:spacing w:val="-26"/>
              </w:rPr>
            </w:pPr>
          </w:p>
        </w:tc>
        <w:tc>
          <w:tcPr>
            <w:tcW w:w="456" w:type="pct"/>
            <w:vAlign w:val="center"/>
          </w:tcPr>
          <w:p>
            <w:pPr>
              <w:jc w:val="right"/>
              <w:rPr>
                <w:rFonts w:ascii="宋体" w:hAnsi="宋体" w:cs="Arial"/>
                <w:spacing w:val="-26"/>
              </w:rPr>
            </w:pPr>
            <w:r>
              <w:rPr>
                <w:rFonts w:hint="eastAsia" w:ascii="宋体" w:hAnsi="宋体"/>
                <w:spacing w:val="-26"/>
              </w:rPr>
              <w:t>3,950</w:t>
            </w:r>
          </w:p>
        </w:tc>
        <w:tc>
          <w:tcPr>
            <w:tcW w:w="454" w:type="pct"/>
            <w:vAlign w:val="center"/>
          </w:tcPr>
          <w:p>
            <w:pPr>
              <w:jc w:val="right"/>
              <w:rPr>
                <w:rFonts w:ascii="宋体" w:hAnsi="宋体" w:cs="Arial"/>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b/>
                <w:color w:val="000000"/>
                <w:spacing w:val="-26"/>
              </w:rPr>
            </w:pPr>
            <w:r>
              <w:rPr>
                <w:rFonts w:hint="eastAsia" w:ascii="宋体" w:hAnsi="宋体"/>
                <w:b/>
                <w:spacing w:val="-26"/>
              </w:rPr>
              <w:t>净资产</w:t>
            </w:r>
          </w:p>
        </w:tc>
        <w:tc>
          <w:tcPr>
            <w:tcW w:w="455" w:type="pct"/>
            <w:vAlign w:val="center"/>
          </w:tcPr>
          <w:p>
            <w:pPr>
              <w:jc w:val="right"/>
              <w:rPr>
                <w:rFonts w:ascii="宋体" w:hAnsi="宋体" w:cs="Arial"/>
                <w:b/>
                <w:spacing w:val="-26"/>
              </w:rPr>
            </w:pPr>
            <w:r>
              <w:rPr>
                <w:rFonts w:hint="eastAsia" w:ascii="宋体" w:hAnsi="宋体"/>
                <w:b/>
                <w:spacing w:val="-26"/>
              </w:rPr>
              <w:t>10,070,884</w:t>
            </w:r>
          </w:p>
        </w:tc>
        <w:tc>
          <w:tcPr>
            <w:tcW w:w="456" w:type="pct"/>
            <w:vAlign w:val="center"/>
          </w:tcPr>
          <w:p>
            <w:pPr>
              <w:jc w:val="right"/>
              <w:rPr>
                <w:rFonts w:ascii="宋体" w:hAnsi="宋体" w:cs="Arial"/>
                <w:b/>
                <w:spacing w:val="-26"/>
              </w:rPr>
            </w:pPr>
            <w:r>
              <w:rPr>
                <w:rFonts w:hint="eastAsia" w:ascii="宋体" w:hAnsi="宋体"/>
                <w:b/>
                <w:spacing w:val="-26"/>
              </w:rPr>
              <w:t>9,853,758</w:t>
            </w:r>
          </w:p>
        </w:tc>
        <w:tc>
          <w:tcPr>
            <w:tcW w:w="455" w:type="pct"/>
            <w:vAlign w:val="center"/>
          </w:tcPr>
          <w:p>
            <w:pPr>
              <w:jc w:val="right"/>
              <w:rPr>
                <w:rFonts w:ascii="宋体" w:hAnsi="宋体" w:cs="Arial"/>
                <w:b/>
                <w:spacing w:val="-26"/>
              </w:rPr>
            </w:pPr>
            <w:r>
              <w:rPr>
                <w:rFonts w:hint="eastAsia" w:ascii="宋体" w:hAnsi="宋体"/>
                <w:b/>
                <w:spacing w:val="-26"/>
              </w:rPr>
              <w:t>1,836,373</w:t>
            </w:r>
          </w:p>
        </w:tc>
        <w:tc>
          <w:tcPr>
            <w:tcW w:w="456" w:type="pct"/>
            <w:vAlign w:val="center"/>
          </w:tcPr>
          <w:p>
            <w:pPr>
              <w:jc w:val="right"/>
              <w:rPr>
                <w:rFonts w:ascii="宋体" w:hAnsi="宋体" w:cs="Arial"/>
                <w:b/>
                <w:spacing w:val="-26"/>
              </w:rPr>
            </w:pPr>
            <w:r>
              <w:rPr>
                <w:rFonts w:hint="eastAsia" w:ascii="宋体" w:hAnsi="宋体"/>
                <w:b/>
                <w:spacing w:val="-26"/>
              </w:rPr>
              <w:t>1,416,242</w:t>
            </w:r>
          </w:p>
        </w:tc>
        <w:tc>
          <w:tcPr>
            <w:tcW w:w="456" w:type="pct"/>
            <w:vAlign w:val="center"/>
          </w:tcPr>
          <w:p>
            <w:pPr>
              <w:jc w:val="right"/>
              <w:rPr>
                <w:rFonts w:ascii="宋体" w:hAnsi="宋体" w:cs="Arial"/>
                <w:b/>
                <w:spacing w:val="-26"/>
              </w:rPr>
            </w:pPr>
            <w:r>
              <w:rPr>
                <w:rFonts w:hint="eastAsia" w:ascii="宋体" w:hAnsi="宋体"/>
                <w:b/>
                <w:spacing w:val="-26"/>
              </w:rPr>
              <w:t>4,865,154</w:t>
            </w:r>
          </w:p>
        </w:tc>
        <w:tc>
          <w:tcPr>
            <w:tcW w:w="455" w:type="pct"/>
            <w:vAlign w:val="center"/>
          </w:tcPr>
          <w:p>
            <w:pPr>
              <w:jc w:val="right"/>
              <w:rPr>
                <w:rFonts w:ascii="宋体" w:hAnsi="宋体" w:cs="Arial"/>
                <w:b/>
                <w:spacing w:val="-26"/>
              </w:rPr>
            </w:pPr>
            <w:r>
              <w:rPr>
                <w:rFonts w:hint="eastAsia" w:ascii="宋体" w:hAnsi="宋体"/>
                <w:b/>
                <w:spacing w:val="-26"/>
              </w:rPr>
              <w:t>4,684,534</w:t>
            </w:r>
          </w:p>
        </w:tc>
        <w:tc>
          <w:tcPr>
            <w:tcW w:w="456" w:type="pct"/>
            <w:vAlign w:val="center"/>
          </w:tcPr>
          <w:p>
            <w:pPr>
              <w:jc w:val="right"/>
              <w:rPr>
                <w:rFonts w:ascii="宋体" w:hAnsi="宋体" w:cs="Arial"/>
                <w:b/>
                <w:spacing w:val="-26"/>
              </w:rPr>
            </w:pPr>
            <w:r>
              <w:rPr>
                <w:rFonts w:hint="eastAsia" w:ascii="宋体" w:hAnsi="宋体"/>
                <w:b/>
                <w:spacing w:val="-26"/>
              </w:rPr>
              <w:t>915,907</w:t>
            </w:r>
          </w:p>
        </w:tc>
        <w:tc>
          <w:tcPr>
            <w:tcW w:w="455" w:type="pct"/>
            <w:vAlign w:val="center"/>
          </w:tcPr>
          <w:p>
            <w:pPr>
              <w:jc w:val="right"/>
              <w:rPr>
                <w:rFonts w:ascii="宋体" w:hAnsi="宋体" w:cs="Arial"/>
                <w:b/>
                <w:spacing w:val="-26"/>
              </w:rPr>
            </w:pPr>
            <w:r>
              <w:rPr>
                <w:rFonts w:hint="eastAsia" w:ascii="宋体" w:hAnsi="宋体"/>
                <w:b/>
                <w:spacing w:val="-26"/>
              </w:rPr>
              <w:t>54,906</w:t>
            </w:r>
          </w:p>
        </w:tc>
        <w:tc>
          <w:tcPr>
            <w:tcW w:w="456" w:type="pct"/>
            <w:vAlign w:val="center"/>
          </w:tcPr>
          <w:p>
            <w:pPr>
              <w:jc w:val="right"/>
              <w:rPr>
                <w:rFonts w:ascii="宋体" w:hAnsi="宋体" w:cs="Arial"/>
                <w:b/>
                <w:spacing w:val="-26"/>
              </w:rPr>
            </w:pPr>
            <w:r>
              <w:rPr>
                <w:rFonts w:hint="eastAsia" w:ascii="宋体" w:hAnsi="宋体"/>
                <w:b/>
                <w:spacing w:val="-26"/>
              </w:rPr>
              <w:t>14,466</w:t>
            </w:r>
          </w:p>
        </w:tc>
        <w:tc>
          <w:tcPr>
            <w:tcW w:w="454" w:type="pct"/>
            <w:vAlign w:val="center"/>
          </w:tcPr>
          <w:p>
            <w:pPr>
              <w:jc w:val="right"/>
              <w:rPr>
                <w:rFonts w:ascii="宋体" w:hAnsi="宋体" w:cs="Arial"/>
                <w:b/>
                <w:spacing w:val="-26"/>
              </w:rPr>
            </w:pPr>
            <w:r>
              <w:rPr>
                <w:rFonts w:hint="eastAsia" w:ascii="宋体" w:hAnsi="宋体"/>
                <w:b/>
                <w:spacing w:val="-26"/>
              </w:rPr>
              <w:t>9,070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b/>
                <w:color w:val="000000"/>
                <w:spacing w:val="-26"/>
              </w:rPr>
            </w:pPr>
            <w:r>
              <w:rPr>
                <w:rFonts w:hint="eastAsia" w:ascii="宋体" w:hAnsi="宋体"/>
                <w:b/>
                <w:spacing w:val="-26"/>
              </w:rPr>
              <w:t>减：少数股东权益</w:t>
            </w:r>
          </w:p>
        </w:tc>
        <w:tc>
          <w:tcPr>
            <w:tcW w:w="455" w:type="pct"/>
            <w:vAlign w:val="center"/>
          </w:tcPr>
          <w:p>
            <w:pPr>
              <w:jc w:val="right"/>
              <w:rPr>
                <w:rFonts w:ascii="宋体" w:hAnsi="宋体" w:cs="Arial"/>
                <w:b/>
                <w:spacing w:val="-26"/>
              </w:rPr>
            </w:pPr>
            <w:r>
              <w:rPr>
                <w:rFonts w:hint="eastAsia" w:ascii="宋体" w:hAnsi="宋体"/>
                <w:b/>
                <w:spacing w:val="-26"/>
              </w:rPr>
              <w:t>118,676</w:t>
            </w:r>
          </w:p>
        </w:tc>
        <w:tc>
          <w:tcPr>
            <w:tcW w:w="456" w:type="pct"/>
            <w:vAlign w:val="center"/>
          </w:tcPr>
          <w:p>
            <w:pPr>
              <w:jc w:val="right"/>
              <w:rPr>
                <w:rFonts w:ascii="宋体" w:hAnsi="宋体" w:cs="Arial"/>
                <w:b/>
                <w:spacing w:val="-26"/>
              </w:rPr>
            </w:pPr>
            <w:r>
              <w:rPr>
                <w:rFonts w:hint="eastAsia" w:ascii="宋体" w:hAnsi="宋体"/>
                <w:b/>
                <w:spacing w:val="-26"/>
              </w:rPr>
              <w:t>446,554</w:t>
            </w:r>
          </w:p>
        </w:tc>
        <w:tc>
          <w:tcPr>
            <w:tcW w:w="455" w:type="pct"/>
            <w:vAlign w:val="center"/>
          </w:tcPr>
          <w:p>
            <w:pPr>
              <w:jc w:val="right"/>
              <w:rPr>
                <w:rFonts w:ascii="宋体" w:hAnsi="宋体" w:cs="Arial"/>
                <w:b/>
                <w:spacing w:val="-26"/>
              </w:rPr>
            </w:pPr>
            <w:r>
              <w:rPr>
                <w:rFonts w:hint="eastAsia" w:ascii="宋体" w:hAnsi="宋体"/>
                <w:b/>
                <w:spacing w:val="-26"/>
              </w:rPr>
              <w:t>-8,590</w:t>
            </w:r>
          </w:p>
        </w:tc>
        <w:tc>
          <w:tcPr>
            <w:tcW w:w="456" w:type="pct"/>
            <w:vAlign w:val="center"/>
          </w:tcPr>
          <w:p>
            <w:pPr>
              <w:jc w:val="right"/>
              <w:rPr>
                <w:rFonts w:ascii="宋体" w:hAnsi="宋体" w:cs="Arial"/>
                <w:b/>
                <w:spacing w:val="-26"/>
              </w:rPr>
            </w:pPr>
            <w:r>
              <w:rPr>
                <w:rFonts w:hint="eastAsia" w:ascii="宋体" w:hAnsi="宋体"/>
                <w:b/>
                <w:spacing w:val="-26"/>
              </w:rPr>
              <w:t>104,102</w:t>
            </w:r>
          </w:p>
        </w:tc>
        <w:tc>
          <w:tcPr>
            <w:tcW w:w="456" w:type="pct"/>
            <w:vAlign w:val="center"/>
          </w:tcPr>
          <w:p>
            <w:pPr>
              <w:jc w:val="right"/>
              <w:rPr>
                <w:rFonts w:ascii="宋体" w:hAnsi="宋体" w:cs="Arial"/>
                <w:b/>
                <w:spacing w:val="-26"/>
              </w:rPr>
            </w:pPr>
          </w:p>
        </w:tc>
        <w:tc>
          <w:tcPr>
            <w:tcW w:w="455" w:type="pct"/>
            <w:vAlign w:val="center"/>
          </w:tcPr>
          <w:p>
            <w:pPr>
              <w:jc w:val="right"/>
              <w:rPr>
                <w:rFonts w:ascii="宋体" w:hAnsi="宋体" w:cs="Arial"/>
                <w:b/>
                <w:spacing w:val="-26"/>
              </w:rPr>
            </w:pPr>
          </w:p>
        </w:tc>
        <w:tc>
          <w:tcPr>
            <w:tcW w:w="456" w:type="pct"/>
            <w:vAlign w:val="center"/>
          </w:tcPr>
          <w:p>
            <w:pPr>
              <w:jc w:val="right"/>
              <w:rPr>
                <w:rFonts w:ascii="宋体" w:hAnsi="宋体" w:cs="Arial"/>
                <w:b/>
                <w:spacing w:val="-26"/>
              </w:rPr>
            </w:pPr>
          </w:p>
        </w:tc>
        <w:tc>
          <w:tcPr>
            <w:tcW w:w="455" w:type="pct"/>
            <w:vAlign w:val="center"/>
          </w:tcPr>
          <w:p>
            <w:pPr>
              <w:jc w:val="right"/>
              <w:rPr>
                <w:rFonts w:ascii="宋体" w:hAnsi="宋体" w:cs="Arial"/>
                <w:b/>
                <w:spacing w:val="-26"/>
              </w:rPr>
            </w:pPr>
          </w:p>
        </w:tc>
        <w:tc>
          <w:tcPr>
            <w:tcW w:w="456" w:type="pct"/>
            <w:vAlign w:val="center"/>
          </w:tcPr>
          <w:p>
            <w:pPr>
              <w:jc w:val="right"/>
              <w:rPr>
                <w:rFonts w:ascii="宋体" w:hAnsi="宋体" w:cs="Arial"/>
                <w:b/>
                <w:spacing w:val="-26"/>
              </w:rPr>
            </w:pPr>
          </w:p>
        </w:tc>
        <w:tc>
          <w:tcPr>
            <w:tcW w:w="454" w:type="pct"/>
            <w:vAlign w:val="center"/>
          </w:tcPr>
          <w:p>
            <w:pPr>
              <w:jc w:val="right"/>
              <w:rPr>
                <w:rFonts w:ascii="宋体" w:hAnsi="宋体" w:cs="Arial"/>
                <w:b/>
                <w:spacing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shd w:val="clear" w:color="auto" w:fill="auto"/>
            <w:vAlign w:val="center"/>
          </w:tcPr>
          <w:p>
            <w:pPr>
              <w:ind w:left="3"/>
              <w:rPr>
                <w:rFonts w:ascii="宋体" w:hAnsi="宋体" w:cs="Arial"/>
                <w:b/>
                <w:color w:val="000000"/>
                <w:spacing w:val="-26"/>
              </w:rPr>
            </w:pPr>
            <w:r>
              <w:rPr>
                <w:rFonts w:hint="eastAsia" w:ascii="宋体" w:hAnsi="宋体"/>
                <w:b/>
                <w:spacing w:val="-26"/>
              </w:rPr>
              <w:t>归母净资产</w:t>
            </w:r>
          </w:p>
        </w:tc>
        <w:tc>
          <w:tcPr>
            <w:tcW w:w="455" w:type="pct"/>
            <w:vAlign w:val="center"/>
          </w:tcPr>
          <w:p>
            <w:pPr>
              <w:jc w:val="right"/>
              <w:rPr>
                <w:rFonts w:ascii="宋体" w:hAnsi="宋体" w:cs="Arial"/>
                <w:b/>
                <w:spacing w:val="-26"/>
              </w:rPr>
            </w:pPr>
            <w:r>
              <w:rPr>
                <w:rFonts w:hint="eastAsia" w:ascii="宋体" w:hAnsi="宋体"/>
                <w:b/>
                <w:spacing w:val="-26"/>
              </w:rPr>
              <w:t>9,952,208</w:t>
            </w:r>
          </w:p>
        </w:tc>
        <w:tc>
          <w:tcPr>
            <w:tcW w:w="456" w:type="pct"/>
            <w:vAlign w:val="center"/>
          </w:tcPr>
          <w:p>
            <w:pPr>
              <w:jc w:val="right"/>
              <w:rPr>
                <w:rFonts w:ascii="宋体" w:hAnsi="宋体" w:cs="Arial"/>
                <w:b/>
                <w:spacing w:val="-26"/>
              </w:rPr>
            </w:pPr>
            <w:r>
              <w:rPr>
                <w:rFonts w:hint="eastAsia" w:ascii="宋体" w:hAnsi="宋体"/>
                <w:b/>
                <w:spacing w:val="-26"/>
              </w:rPr>
              <w:t>9,407,204</w:t>
            </w:r>
          </w:p>
        </w:tc>
        <w:tc>
          <w:tcPr>
            <w:tcW w:w="455" w:type="pct"/>
            <w:vAlign w:val="center"/>
          </w:tcPr>
          <w:p>
            <w:pPr>
              <w:jc w:val="right"/>
              <w:rPr>
                <w:rFonts w:ascii="宋体" w:hAnsi="宋体" w:cs="Arial"/>
                <w:b/>
                <w:spacing w:val="-26"/>
              </w:rPr>
            </w:pPr>
            <w:r>
              <w:rPr>
                <w:rFonts w:hint="eastAsia" w:ascii="宋体" w:hAnsi="宋体"/>
                <w:b/>
                <w:spacing w:val="-26"/>
              </w:rPr>
              <w:t>1,844,963</w:t>
            </w:r>
          </w:p>
        </w:tc>
        <w:tc>
          <w:tcPr>
            <w:tcW w:w="456" w:type="pct"/>
            <w:vAlign w:val="center"/>
          </w:tcPr>
          <w:p>
            <w:pPr>
              <w:jc w:val="right"/>
              <w:rPr>
                <w:rFonts w:ascii="宋体" w:hAnsi="宋体" w:cs="Arial"/>
                <w:b/>
                <w:spacing w:val="-26"/>
              </w:rPr>
            </w:pPr>
            <w:r>
              <w:rPr>
                <w:rFonts w:hint="eastAsia" w:ascii="宋体" w:hAnsi="宋体"/>
                <w:b/>
                <w:spacing w:val="-26"/>
              </w:rPr>
              <w:t>1,312,140</w:t>
            </w:r>
          </w:p>
        </w:tc>
        <w:tc>
          <w:tcPr>
            <w:tcW w:w="456" w:type="pct"/>
            <w:vAlign w:val="center"/>
          </w:tcPr>
          <w:p>
            <w:pPr>
              <w:jc w:val="right"/>
              <w:rPr>
                <w:rFonts w:ascii="宋体" w:hAnsi="宋体" w:cs="Arial"/>
                <w:b/>
                <w:spacing w:val="-26"/>
              </w:rPr>
            </w:pPr>
            <w:r>
              <w:rPr>
                <w:rFonts w:hint="eastAsia" w:ascii="宋体" w:hAnsi="宋体"/>
                <w:b/>
                <w:spacing w:val="-26"/>
              </w:rPr>
              <w:t>4,865,154</w:t>
            </w:r>
          </w:p>
        </w:tc>
        <w:tc>
          <w:tcPr>
            <w:tcW w:w="455" w:type="pct"/>
            <w:vAlign w:val="center"/>
          </w:tcPr>
          <w:p>
            <w:pPr>
              <w:jc w:val="right"/>
              <w:rPr>
                <w:rFonts w:ascii="宋体" w:hAnsi="宋体" w:cs="Arial"/>
                <w:b/>
                <w:spacing w:val="-26"/>
              </w:rPr>
            </w:pPr>
            <w:r>
              <w:rPr>
                <w:rFonts w:hint="eastAsia" w:ascii="宋体" w:hAnsi="宋体"/>
                <w:b/>
                <w:spacing w:val="-26"/>
              </w:rPr>
              <w:t>4,684,534</w:t>
            </w:r>
          </w:p>
        </w:tc>
        <w:tc>
          <w:tcPr>
            <w:tcW w:w="456" w:type="pct"/>
            <w:vAlign w:val="center"/>
          </w:tcPr>
          <w:p>
            <w:pPr>
              <w:jc w:val="right"/>
              <w:rPr>
                <w:rFonts w:ascii="宋体" w:hAnsi="宋体" w:cs="Arial"/>
                <w:b/>
                <w:spacing w:val="-26"/>
              </w:rPr>
            </w:pPr>
            <w:r>
              <w:rPr>
                <w:rFonts w:hint="eastAsia" w:ascii="宋体" w:hAnsi="宋体"/>
                <w:b/>
                <w:spacing w:val="-26"/>
              </w:rPr>
              <w:t>915,907</w:t>
            </w:r>
          </w:p>
        </w:tc>
        <w:tc>
          <w:tcPr>
            <w:tcW w:w="455" w:type="pct"/>
            <w:vAlign w:val="center"/>
          </w:tcPr>
          <w:p>
            <w:pPr>
              <w:jc w:val="right"/>
              <w:rPr>
                <w:rFonts w:ascii="宋体" w:hAnsi="宋体" w:cs="Arial"/>
                <w:b/>
                <w:spacing w:val="-26"/>
              </w:rPr>
            </w:pPr>
            <w:r>
              <w:rPr>
                <w:rFonts w:hint="eastAsia" w:ascii="宋体" w:hAnsi="宋体"/>
                <w:b/>
                <w:spacing w:val="-26"/>
              </w:rPr>
              <w:t>54,906</w:t>
            </w:r>
          </w:p>
        </w:tc>
        <w:tc>
          <w:tcPr>
            <w:tcW w:w="456" w:type="pct"/>
            <w:vAlign w:val="center"/>
          </w:tcPr>
          <w:p>
            <w:pPr>
              <w:jc w:val="right"/>
              <w:rPr>
                <w:rFonts w:ascii="宋体" w:hAnsi="宋体" w:cs="Arial"/>
                <w:b/>
                <w:spacing w:val="-26"/>
              </w:rPr>
            </w:pPr>
            <w:r>
              <w:rPr>
                <w:rFonts w:hint="eastAsia" w:ascii="宋体" w:hAnsi="宋体"/>
                <w:b/>
                <w:spacing w:val="-26"/>
              </w:rPr>
              <w:t>14,466</w:t>
            </w:r>
          </w:p>
        </w:tc>
        <w:tc>
          <w:tcPr>
            <w:tcW w:w="454" w:type="pct"/>
            <w:vAlign w:val="center"/>
          </w:tcPr>
          <w:p>
            <w:pPr>
              <w:jc w:val="right"/>
              <w:rPr>
                <w:rFonts w:ascii="宋体" w:hAnsi="宋体" w:cs="Arial"/>
                <w:b/>
                <w:spacing w:val="-26"/>
              </w:rPr>
            </w:pPr>
            <w:r>
              <w:rPr>
                <w:rFonts w:hint="eastAsia" w:ascii="宋体" w:hAnsi="宋体"/>
                <w:b/>
                <w:spacing w:val="-26"/>
              </w:rPr>
              <w:t>9,070</w:t>
            </w:r>
          </w:p>
        </w:tc>
      </w:tr>
    </w:tbl>
    <w:p>
      <w:pPr>
        <w:pStyle w:val="501"/>
      </w:pPr>
    </w:p>
    <w:p>
      <w:pPr>
        <w:rPr>
          <w:rFonts w:cs="Arial"/>
        </w:rPr>
      </w:pPr>
    </w:p>
    <w:p>
      <w:pPr>
        <w:pStyle w:val="504"/>
        <w:numPr>
          <w:ilvl w:val="0"/>
          <w:numId w:val="113"/>
        </w:numPr>
        <w:rPr>
          <w:rFonts w:ascii="宋体" w:hAnsi="宋体" w:cs="Arial"/>
          <w:szCs w:val="21"/>
        </w:rPr>
      </w:pPr>
      <w:r>
        <w:rPr>
          <w:rFonts w:hint="eastAsia" w:ascii="宋体" w:hAnsi="宋体" w:cs="Arial"/>
          <w:szCs w:val="21"/>
        </w:rPr>
        <w:t>反向购买</w:t>
      </w:r>
    </w:p>
    <w:sdt>
      <w:sdtPr>
        <w:alias w:val="是否适用：反向购买[双击切换]"/>
        <w:tag w:val="_GBC_717fa638fefe45c09c1f2627ba167ee4"/>
        <w:id w:val="-899204289"/>
        <w:placeholder>
          <w:docPart w:val="GBC22222222222222222222222222222"/>
        </w:placeholder>
      </w:sdtPr>
      <w:sdtContent>
        <w:p>
          <w:pPr>
            <w:pStyle w:val="531"/>
            <w:rPr>
              <w:rFonts w:cs="Arial"/>
              <w:lang w:val="en-GB"/>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lang w:val="en-GB"/>
        </w:rPr>
      </w:pPr>
    </w:p>
    <w:p>
      <w:pPr>
        <w:pStyle w:val="504"/>
        <w:numPr>
          <w:ilvl w:val="0"/>
          <w:numId w:val="113"/>
        </w:numPr>
        <w:rPr>
          <w:rFonts w:ascii="宋体" w:hAnsi="宋体" w:cs="Arial"/>
          <w:szCs w:val="21"/>
        </w:rPr>
      </w:pPr>
      <w:r>
        <w:rPr>
          <w:rFonts w:hint="eastAsia" w:ascii="宋体" w:hAnsi="宋体" w:cs="Arial"/>
          <w:szCs w:val="21"/>
        </w:rPr>
        <w:t>处置子公司</w:t>
      </w:r>
    </w:p>
    <w:p>
      <w:pPr>
        <w:pStyle w:val="531"/>
      </w:pPr>
      <w:r>
        <w:rPr>
          <w:rFonts w:hint="eastAsia"/>
        </w:rPr>
        <w:t>本期是否存在</w:t>
      </w:r>
      <w:r>
        <w:t>丧失</w:t>
      </w:r>
      <w:r>
        <w:rPr>
          <w:rFonts w:hint="eastAsia"/>
        </w:rPr>
        <w:t>子公司</w:t>
      </w:r>
      <w:r>
        <w:t>控制权</w:t>
      </w:r>
      <w:r>
        <w:rPr>
          <w:rFonts w:hint="eastAsia"/>
        </w:rPr>
        <w:t>的交易或事项</w:t>
      </w:r>
    </w:p>
    <w:sdt>
      <w:sdtPr>
        <w:rPr>
          <w:rFonts w:hint="eastAsia" w:cs="Arial"/>
        </w:rPr>
        <w:alias w:val="是否存在单次交易处置对子公司投资即丧失控制权的情形[双击切换]"/>
        <w:tag w:val="_GBC_34b271ee01844be4a0580269d95adcf3"/>
        <w:id w:val="681548732"/>
        <w:placeholder>
          <w:docPart w:val="GBC22222222222222222222222222222"/>
        </w:placeholder>
      </w:sdtPr>
      <w:sdtEndPr>
        <w:rPr>
          <w:rFonts w:hint="eastAsia" w:cs="Arial"/>
        </w:rPr>
      </w:sdtEndPr>
      <w:sdtContent>
        <w:p>
          <w:pPr>
            <w:rPr>
              <w:rFonts w:cs="Arial"/>
            </w:rPr>
          </w:pPr>
          <w:r>
            <w:rPr>
              <w:rFonts w:ascii="宋体" w:hAnsi="宋体" w:cs="Arial"/>
            </w:rPr>
            <w:fldChar w:fldCharType="begin"/>
          </w:r>
          <w:r>
            <w:rPr>
              <w:rFonts w:ascii="宋体" w:hAnsi="宋体" w:cs="Arial"/>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pStyle w:val="501"/>
      </w:pPr>
    </w:p>
    <w:p>
      <w:pPr>
        <w:rPr>
          <w:rFonts w:cs="Arial"/>
        </w:rPr>
      </w:pPr>
      <w:r>
        <w:rPr>
          <w:rFonts w:hint="eastAsia" w:cs="Arial"/>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331606576"/>
        <w:placeholder>
          <w:docPart w:val="GBC22222222222222222222222222222"/>
        </w:placeholder>
      </w:sdtPr>
      <w:sdtEndPr>
        <w:rPr>
          <w:rFonts w:hint="eastAsia"/>
        </w:rPr>
      </w:sdtEndPr>
      <w:sdtContent>
        <w:p>
          <w:pPr>
            <w:pStyle w:val="514"/>
          </w:pPr>
          <w:bookmarkStart w:id="338" w:name="_Hlk153549147"/>
          <w:r>
            <w:rPr>
              <w:rFonts w:ascii="宋体" w:hAnsi="宋体"/>
              <w:color w:val="000000"/>
            </w:rPr>
            <w:fldChar w:fldCharType="begin"/>
          </w:r>
          <w:r>
            <w:rPr>
              <w:rFonts w:ascii="宋体" w:hAnsi="宋体"/>
              <w:color w:val="000000"/>
            </w:rPr>
            <w:instrText xml:space="preserve">MACROBUTTON  SnrToggleCheckbox □适用 </w:instrText>
          </w:r>
          <w:r>
            <w:rPr>
              <w:rFonts w:ascii="宋体" w:hAnsi="宋体"/>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bookmarkEnd w:id="338"/>
    <w:p>
      <w:pPr>
        <w:pStyle w:val="501"/>
      </w:pPr>
    </w:p>
    <w:p>
      <w:pPr>
        <w:rPr>
          <w:rFonts w:cs="Arial"/>
          <w:color w:val="000000"/>
        </w:rPr>
      </w:pPr>
      <w:r>
        <w:rPr>
          <w:rFonts w:hint="eastAsia" w:cs="Arial"/>
          <w:color w:val="000000"/>
        </w:rPr>
        <w:t>其他说明：</w:t>
      </w:r>
    </w:p>
    <w:sdt>
      <w:sdtPr>
        <w:rPr>
          <w:rFonts w:cs="Arial"/>
          <w:color w:val="000000"/>
        </w:rPr>
        <w:alias w:val="是否适用：是否存在通过多次交易分步处置对子公司投资且在本期丧失控制权的情形的说明[双击切换]"/>
        <w:tag w:val="_GBC_c934ae55b23744bba8048538d6771d0e"/>
        <w:id w:val="577871181"/>
        <w:placeholder>
          <w:docPart w:val="GBC22222222222222222222222222222"/>
        </w:placeholder>
      </w:sdtPr>
      <w:sdtEndPr>
        <w:rPr>
          <w:rFonts w:cs="Arial"/>
          <w:color w:val="000000"/>
        </w:rPr>
      </w:sdtEndPr>
      <w:sdtContent>
        <w:p>
          <w:pPr>
            <w:rPr>
              <w:rFonts w:cs="Arial"/>
              <w:color w:val="000000"/>
            </w:rPr>
          </w:pPr>
          <w:r>
            <w:rPr>
              <w:rFonts w:ascii="宋体" w:hAnsi="宋体" w:cs="Arial"/>
              <w:color w:val="000000"/>
            </w:rPr>
            <w:fldChar w:fldCharType="begin"/>
          </w:r>
          <w:r>
            <w:rPr>
              <w:rFonts w:ascii="宋体" w:hAnsi="宋体" w:cs="Arial"/>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color w:val="000000"/>
            </w:rPr>
            <w:instrText xml:space="preserve"> MACROBUTTON  SnrToggleCheckbox √不适用 </w:instrText>
          </w:r>
          <w:r>
            <w:rPr>
              <w:rFonts w:ascii="宋体" w:hAnsi="宋体" w:cs="Arial"/>
              <w:color w:val="000000"/>
            </w:rPr>
            <w:fldChar w:fldCharType="end"/>
          </w:r>
        </w:p>
      </w:sdtContent>
    </w:sdt>
    <w:p>
      <w:pPr>
        <w:rPr>
          <w:rFonts w:cs="Arial"/>
          <w:color w:val="000000"/>
        </w:rPr>
      </w:pPr>
    </w:p>
    <w:p>
      <w:pPr>
        <w:pStyle w:val="504"/>
        <w:numPr>
          <w:ilvl w:val="0"/>
          <w:numId w:val="113"/>
        </w:numPr>
        <w:rPr>
          <w:rFonts w:cs="Arial" w:asciiTheme="minorHAnsi" w:hAnsiTheme="minorHAnsi" w:eastAsiaTheme="minorEastAsia"/>
          <w:color w:val="000000"/>
        </w:rPr>
      </w:pPr>
      <w:r>
        <w:rPr>
          <w:rFonts w:hint="eastAsia" w:cs="Arial" w:asciiTheme="minorHAnsi" w:hAnsiTheme="minorHAnsi" w:eastAsiaTheme="minorEastAsia"/>
          <w:color w:val="000000"/>
        </w:rPr>
        <w:t>其他原因的合并范围变动</w:t>
      </w:r>
    </w:p>
    <w:p>
      <w:pPr>
        <w:pStyle w:val="531"/>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2252110"/>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5"/>
        <w:numPr>
          <w:ilvl w:val="0"/>
          <w:numId w:val="115"/>
        </w:numPr>
        <w:ind w:left="364" w:hanging="378"/>
      </w:pPr>
      <w:r>
        <w:rPr>
          <w:rFonts w:hint="eastAsia"/>
        </w:rPr>
        <w:t>新设子公司</w:t>
      </w:r>
    </w:p>
    <w:tbl>
      <w:tblPr>
        <w:tblStyle w:val="9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4"/>
        <w:gridCol w:w="4722"/>
        <w:gridCol w:w="4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5245" w:type="dxa"/>
            <w:shd w:val="clear" w:color="auto" w:fill="auto"/>
            <w:vAlign w:val="center"/>
          </w:tcPr>
          <w:p>
            <w:pPr>
              <w:widowControl/>
              <w:snapToGrid w:val="0"/>
              <w:rPr>
                <w:rFonts w:ascii="宋体" w:hAnsi="宋体" w:cs="宋体"/>
                <w:b/>
                <w:kern w:val="0"/>
                <w:sz w:val="24"/>
                <w:szCs w:val="24"/>
              </w:rPr>
            </w:pPr>
            <w:r>
              <w:rPr>
                <w:rFonts w:hint="eastAsia" w:ascii="宋体" w:hAnsi="宋体" w:cs="宋体"/>
                <w:b/>
                <w:kern w:val="0"/>
                <w:sz w:val="22"/>
                <w:szCs w:val="22"/>
                <w:lang w:bidi="ar"/>
              </w:rPr>
              <w:t>公司名称</w:t>
            </w:r>
          </w:p>
        </w:tc>
        <w:tc>
          <w:tcPr>
            <w:tcW w:w="4678" w:type="dxa"/>
            <w:shd w:val="clear" w:color="auto" w:fill="auto"/>
            <w:vAlign w:val="center"/>
          </w:tcPr>
          <w:p>
            <w:pPr>
              <w:widowControl/>
              <w:snapToGrid w:val="0"/>
              <w:jc w:val="center"/>
              <w:rPr>
                <w:rFonts w:ascii="宋体" w:hAnsi="宋体" w:cs="宋体"/>
                <w:b/>
                <w:kern w:val="0"/>
                <w:sz w:val="24"/>
                <w:szCs w:val="24"/>
              </w:rPr>
            </w:pPr>
            <w:r>
              <w:rPr>
                <w:rFonts w:hint="eastAsia" w:ascii="宋体" w:hAnsi="宋体" w:cs="宋体"/>
                <w:b/>
                <w:color w:val="000000"/>
                <w:kern w:val="0"/>
                <w:sz w:val="22"/>
                <w:szCs w:val="22"/>
                <w:lang w:bidi="ar"/>
              </w:rPr>
              <w:t>新纳入合并范围的原因</w:t>
            </w:r>
          </w:p>
        </w:tc>
        <w:tc>
          <w:tcPr>
            <w:tcW w:w="4036" w:type="dxa"/>
            <w:shd w:val="clear" w:color="auto" w:fill="auto"/>
            <w:vAlign w:val="center"/>
          </w:tcPr>
          <w:p>
            <w:pPr>
              <w:widowControl/>
              <w:snapToGrid w:val="0"/>
              <w:jc w:val="center"/>
              <w:rPr>
                <w:rFonts w:ascii="宋体" w:hAnsi="宋体" w:cs="宋体"/>
                <w:b/>
                <w:kern w:val="0"/>
                <w:sz w:val="24"/>
                <w:szCs w:val="24"/>
              </w:rPr>
            </w:pPr>
            <w:r>
              <w:rPr>
                <w:rFonts w:hint="eastAsia" w:ascii="宋体" w:hAnsi="宋体" w:cs="宋体"/>
                <w:b/>
                <w:color w:val="000000"/>
                <w:kern w:val="0"/>
                <w:sz w:val="22"/>
                <w:szCs w:val="22"/>
                <w:lang w:bidi="ar"/>
              </w:rPr>
              <w:t>持股比例（%）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5245" w:type="dxa"/>
            <w:shd w:val="clear" w:color="auto" w:fill="auto"/>
            <w:vAlign w:val="center"/>
          </w:tcPr>
          <w:p>
            <w:pPr>
              <w:widowControl/>
              <w:snapToGrid w:val="0"/>
              <w:jc w:val="left"/>
              <w:rPr>
                <w:rFonts w:ascii="宋体" w:hAnsi="宋体" w:cs="宋体"/>
                <w:snapToGrid w:val="0"/>
                <w:kern w:val="0"/>
                <w:sz w:val="20"/>
                <w:szCs w:val="20"/>
              </w:rPr>
            </w:pPr>
            <w:r>
              <w:rPr>
                <w:rFonts w:hint="eastAsia" w:ascii="宋体" w:hAnsi="宋体" w:cs="宋体"/>
                <w:snapToGrid w:val="0"/>
                <w:color w:val="000000"/>
                <w:kern w:val="0"/>
                <w:sz w:val="22"/>
                <w:szCs w:val="22"/>
                <w:lang w:bidi="ar"/>
              </w:rPr>
              <w:t>兖矿商业保理（上海）有限公司</w:t>
            </w:r>
          </w:p>
        </w:tc>
        <w:tc>
          <w:tcPr>
            <w:tcW w:w="4678" w:type="dxa"/>
            <w:shd w:val="clear" w:color="auto" w:fill="auto"/>
            <w:vAlign w:val="center"/>
          </w:tcPr>
          <w:p>
            <w:pPr>
              <w:widowControl/>
              <w:snapToGrid w:val="0"/>
              <w:jc w:val="center"/>
              <w:rPr>
                <w:rFonts w:ascii="宋体" w:hAnsi="宋体" w:cs="宋体"/>
                <w:snapToGrid w:val="0"/>
                <w:kern w:val="0"/>
                <w:sz w:val="20"/>
                <w:szCs w:val="20"/>
              </w:rPr>
            </w:pPr>
            <w:r>
              <w:rPr>
                <w:rFonts w:hint="eastAsia" w:ascii="宋体" w:hAnsi="宋体" w:cs="宋体"/>
                <w:snapToGrid w:val="0"/>
                <w:color w:val="000000"/>
                <w:kern w:val="0"/>
                <w:sz w:val="22"/>
                <w:szCs w:val="22"/>
                <w:lang w:bidi="ar"/>
              </w:rPr>
              <w:t>新设</w:t>
            </w:r>
          </w:p>
        </w:tc>
        <w:tc>
          <w:tcPr>
            <w:tcW w:w="4036" w:type="dxa"/>
            <w:shd w:val="clear" w:color="auto" w:fill="auto"/>
            <w:vAlign w:val="center"/>
          </w:tcPr>
          <w:p>
            <w:pPr>
              <w:widowControl/>
              <w:snapToGrid w:val="0"/>
              <w:jc w:val="center"/>
              <w:rPr>
                <w:rFonts w:ascii="宋体" w:hAnsi="宋体" w:cs="宋体"/>
                <w:snapToGrid w:val="0"/>
                <w:kern w:val="0"/>
                <w:sz w:val="20"/>
                <w:szCs w:val="20"/>
              </w:rPr>
            </w:pPr>
            <w:r>
              <w:rPr>
                <w:rFonts w:hint="eastAsia" w:ascii="宋体" w:hAnsi="宋体" w:cs="宋体"/>
                <w:snapToGrid w:val="0"/>
                <w:color w:val="000000"/>
                <w:kern w:val="0"/>
                <w:sz w:val="22"/>
                <w:szCs w:val="22"/>
                <w:lang w:bidi="ar"/>
              </w:rPr>
              <w:t>100</w:t>
            </w:r>
          </w:p>
        </w:tc>
      </w:tr>
    </w:tbl>
    <w:p>
      <w:pPr>
        <w:pStyle w:val="505"/>
        <w:numPr>
          <w:ilvl w:val="0"/>
          <w:numId w:val="115"/>
        </w:numPr>
        <w:ind w:left="426" w:hanging="426"/>
      </w:pPr>
      <w:r>
        <w:rPr>
          <w:rFonts w:hint="eastAsia"/>
        </w:rPr>
        <w:t>减少子公司</w:t>
      </w:r>
    </w:p>
    <w:tbl>
      <w:tblPr>
        <w:tblStyle w:val="9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4"/>
        <w:gridCol w:w="4722"/>
        <w:gridCol w:w="4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245" w:type="dxa"/>
            <w:shd w:val="clear" w:color="auto" w:fill="auto"/>
            <w:vAlign w:val="center"/>
          </w:tcPr>
          <w:p>
            <w:pPr>
              <w:widowControl/>
              <w:snapToGrid w:val="0"/>
              <w:rPr>
                <w:rFonts w:ascii="宋体" w:hAnsi="宋体" w:cs="宋体"/>
                <w:b/>
                <w:kern w:val="0"/>
                <w:sz w:val="24"/>
                <w:szCs w:val="24"/>
              </w:rPr>
            </w:pPr>
            <w:r>
              <w:rPr>
                <w:rFonts w:hint="eastAsia" w:ascii="宋体" w:hAnsi="宋体" w:cs="宋体"/>
                <w:b/>
                <w:spacing w:val="-10"/>
                <w:kern w:val="0"/>
                <w:sz w:val="22"/>
                <w:szCs w:val="22"/>
                <w:lang w:bidi="ar"/>
              </w:rPr>
              <w:t>公司名称</w:t>
            </w:r>
          </w:p>
        </w:tc>
        <w:tc>
          <w:tcPr>
            <w:tcW w:w="4678" w:type="dxa"/>
            <w:shd w:val="clear" w:color="auto" w:fill="auto"/>
            <w:vAlign w:val="center"/>
          </w:tcPr>
          <w:p>
            <w:pPr>
              <w:widowControl/>
              <w:snapToGrid w:val="0"/>
              <w:jc w:val="center"/>
              <w:rPr>
                <w:rFonts w:ascii="宋体" w:hAnsi="宋体" w:cs="宋体"/>
                <w:b/>
                <w:kern w:val="0"/>
                <w:sz w:val="24"/>
                <w:szCs w:val="24"/>
              </w:rPr>
            </w:pPr>
            <w:r>
              <w:rPr>
                <w:rFonts w:hint="eastAsia" w:ascii="宋体" w:hAnsi="宋体" w:cs="宋体"/>
                <w:b/>
                <w:color w:val="000000"/>
                <w:spacing w:val="-10"/>
                <w:kern w:val="0"/>
                <w:sz w:val="22"/>
                <w:szCs w:val="22"/>
                <w:lang w:bidi="ar"/>
              </w:rPr>
              <w:t>原持股比例（%）</w:t>
            </w:r>
          </w:p>
        </w:tc>
        <w:tc>
          <w:tcPr>
            <w:tcW w:w="4036" w:type="dxa"/>
            <w:shd w:val="clear" w:color="auto" w:fill="auto"/>
            <w:vAlign w:val="center"/>
          </w:tcPr>
          <w:p>
            <w:pPr>
              <w:widowControl/>
              <w:snapToGrid w:val="0"/>
              <w:jc w:val="center"/>
              <w:rPr>
                <w:rFonts w:ascii="宋体" w:hAnsi="宋体" w:cs="宋体"/>
                <w:b/>
                <w:kern w:val="0"/>
                <w:sz w:val="24"/>
                <w:szCs w:val="24"/>
              </w:rPr>
            </w:pPr>
            <w:r>
              <w:rPr>
                <w:rFonts w:hint="eastAsia" w:ascii="宋体" w:hAnsi="宋体" w:cs="宋体"/>
                <w:b/>
                <w:color w:val="000000"/>
                <w:spacing w:val="-10"/>
                <w:kern w:val="0"/>
                <w:sz w:val="22"/>
                <w:szCs w:val="22"/>
                <w:lang w:bidi="ar"/>
              </w:rPr>
              <w:t>减少的原因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245" w:type="dxa"/>
            <w:shd w:val="clear" w:color="auto" w:fill="auto"/>
            <w:vAlign w:val="center"/>
          </w:tcPr>
          <w:p>
            <w:pPr>
              <w:widowControl/>
              <w:snapToGrid w:val="0"/>
              <w:jc w:val="left"/>
              <w:rPr>
                <w:rFonts w:ascii="宋体" w:hAnsi="宋体" w:cs="宋体"/>
                <w:snapToGrid w:val="0"/>
                <w:kern w:val="0"/>
                <w:sz w:val="20"/>
                <w:szCs w:val="20"/>
              </w:rPr>
            </w:pPr>
            <w:r>
              <w:rPr>
                <w:rFonts w:hint="eastAsia" w:ascii="宋体" w:hAnsi="宋体" w:cs="宋体"/>
                <w:snapToGrid w:val="0"/>
                <w:color w:val="000000"/>
                <w:spacing w:val="-10"/>
                <w:kern w:val="0"/>
                <w:sz w:val="22"/>
                <w:szCs w:val="22"/>
                <w:lang w:bidi="ar"/>
              </w:rPr>
              <w:t>天津端信云链永泰投资管理合伙企业（有限合伙）</w:t>
            </w:r>
          </w:p>
        </w:tc>
        <w:tc>
          <w:tcPr>
            <w:tcW w:w="4678" w:type="dxa"/>
            <w:shd w:val="clear" w:color="auto" w:fill="auto"/>
            <w:vAlign w:val="center"/>
          </w:tcPr>
          <w:p>
            <w:pPr>
              <w:widowControl/>
              <w:snapToGrid w:val="0"/>
              <w:jc w:val="center"/>
              <w:rPr>
                <w:rFonts w:ascii="宋体" w:hAnsi="宋体" w:cs="宋体"/>
                <w:snapToGrid w:val="0"/>
                <w:kern w:val="0"/>
                <w:sz w:val="20"/>
                <w:szCs w:val="20"/>
              </w:rPr>
            </w:pPr>
            <w:r>
              <w:rPr>
                <w:rFonts w:hint="eastAsia" w:ascii="宋体" w:hAnsi="宋体" w:cs="宋体"/>
                <w:snapToGrid w:val="0"/>
                <w:color w:val="000000"/>
                <w:spacing w:val="-10"/>
                <w:kern w:val="0"/>
                <w:sz w:val="22"/>
                <w:szCs w:val="22"/>
                <w:lang w:bidi="ar"/>
              </w:rPr>
              <w:t>13</w:t>
            </w:r>
          </w:p>
        </w:tc>
        <w:tc>
          <w:tcPr>
            <w:tcW w:w="4036" w:type="dxa"/>
            <w:shd w:val="clear" w:color="auto" w:fill="auto"/>
            <w:vAlign w:val="center"/>
          </w:tcPr>
          <w:p>
            <w:pPr>
              <w:widowControl/>
              <w:snapToGrid w:val="0"/>
              <w:jc w:val="center"/>
              <w:rPr>
                <w:rFonts w:ascii="宋体" w:hAnsi="宋体" w:cs="宋体"/>
                <w:snapToGrid w:val="0"/>
                <w:kern w:val="0"/>
                <w:sz w:val="20"/>
                <w:szCs w:val="20"/>
              </w:rPr>
            </w:pPr>
            <w:r>
              <w:rPr>
                <w:rFonts w:hint="eastAsia" w:ascii="宋体" w:hAnsi="宋体" w:cs="宋体"/>
                <w:snapToGrid w:val="0"/>
                <w:color w:val="000000"/>
                <w:spacing w:val="-10"/>
                <w:kern w:val="0"/>
                <w:sz w:val="22"/>
                <w:szCs w:val="22"/>
                <w:lang w:bidi="ar"/>
              </w:rPr>
              <w:t>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5" w:type="dxa"/>
            <w:shd w:val="clear" w:color="auto" w:fill="auto"/>
            <w:vAlign w:val="center"/>
          </w:tcPr>
          <w:p>
            <w:pPr>
              <w:widowControl/>
              <w:snapToGrid w:val="0"/>
              <w:jc w:val="left"/>
              <w:rPr>
                <w:rFonts w:ascii="宋体" w:hAnsi="宋体" w:cs="宋体"/>
                <w:snapToGrid w:val="0"/>
                <w:kern w:val="0"/>
                <w:sz w:val="20"/>
                <w:szCs w:val="20"/>
              </w:rPr>
            </w:pPr>
            <w:r>
              <w:rPr>
                <w:rFonts w:hint="eastAsia" w:ascii="宋体" w:hAnsi="宋体" w:cs="宋体"/>
                <w:snapToGrid w:val="0"/>
                <w:color w:val="000000"/>
                <w:spacing w:val="-10"/>
                <w:kern w:val="0"/>
                <w:sz w:val="22"/>
                <w:szCs w:val="22"/>
                <w:lang w:bidi="ar"/>
              </w:rPr>
              <w:t>兖矿集团财务有限公司</w:t>
            </w:r>
          </w:p>
        </w:tc>
        <w:tc>
          <w:tcPr>
            <w:tcW w:w="4678" w:type="dxa"/>
            <w:shd w:val="clear" w:color="auto" w:fill="auto"/>
            <w:vAlign w:val="center"/>
          </w:tcPr>
          <w:p>
            <w:pPr>
              <w:widowControl/>
              <w:snapToGrid w:val="0"/>
              <w:jc w:val="center"/>
              <w:rPr>
                <w:rFonts w:ascii="宋体" w:hAnsi="宋体" w:cs="宋体"/>
                <w:snapToGrid w:val="0"/>
                <w:kern w:val="0"/>
                <w:sz w:val="20"/>
                <w:szCs w:val="20"/>
              </w:rPr>
            </w:pPr>
            <w:r>
              <w:rPr>
                <w:rFonts w:hint="eastAsia" w:ascii="宋体" w:hAnsi="宋体" w:cs="宋体"/>
                <w:snapToGrid w:val="0"/>
                <w:color w:val="000000"/>
                <w:spacing w:val="-10"/>
                <w:kern w:val="0"/>
                <w:sz w:val="22"/>
                <w:szCs w:val="22"/>
                <w:lang w:bidi="ar"/>
              </w:rPr>
              <w:t>95</w:t>
            </w:r>
          </w:p>
        </w:tc>
        <w:tc>
          <w:tcPr>
            <w:tcW w:w="4036" w:type="dxa"/>
            <w:shd w:val="clear" w:color="auto" w:fill="auto"/>
            <w:vAlign w:val="center"/>
          </w:tcPr>
          <w:p>
            <w:pPr>
              <w:widowControl/>
              <w:snapToGrid w:val="0"/>
              <w:jc w:val="center"/>
              <w:rPr>
                <w:rFonts w:ascii="宋体" w:hAnsi="宋体" w:cs="宋体"/>
                <w:snapToGrid w:val="0"/>
                <w:kern w:val="0"/>
                <w:sz w:val="20"/>
                <w:szCs w:val="20"/>
              </w:rPr>
            </w:pPr>
            <w:r>
              <w:rPr>
                <w:rFonts w:hint="eastAsia" w:ascii="宋体" w:hAnsi="宋体" w:cs="宋体"/>
                <w:snapToGrid w:val="0"/>
                <w:color w:val="000000"/>
                <w:spacing w:val="-10"/>
                <w:kern w:val="0"/>
                <w:sz w:val="22"/>
                <w:szCs w:val="22"/>
                <w:lang w:bidi="ar"/>
              </w:rPr>
              <w:t>注销</w:t>
            </w:r>
          </w:p>
        </w:tc>
      </w:tr>
    </w:tbl>
    <w:p>
      <w:pPr>
        <w:rPr>
          <w:rFonts w:cs="Arial" w:asciiTheme="minorHAnsi" w:hAnsiTheme="minorHAnsi" w:eastAsiaTheme="minorEastAsia"/>
          <w:color w:val="000000"/>
        </w:rPr>
      </w:pPr>
    </w:p>
    <w:p>
      <w:pPr>
        <w:pStyle w:val="504"/>
        <w:numPr>
          <w:ilvl w:val="0"/>
          <w:numId w:val="113"/>
        </w:numPr>
        <w:rPr>
          <w:rFonts w:ascii="宋体" w:hAnsi="宋体" w:cs="Arial"/>
          <w:color w:val="000000"/>
        </w:rPr>
      </w:pPr>
      <w:r>
        <w:rPr>
          <w:rFonts w:hint="eastAsia" w:ascii="宋体" w:hAnsi="宋体" w:cs="Arial"/>
          <w:color w:val="000000"/>
        </w:rPr>
        <w:t>其他</w:t>
      </w:r>
    </w:p>
    <w:sdt>
      <w:sdtPr>
        <w:rPr>
          <w:rFonts w:hint="eastAsia" w:cs="Arial"/>
          <w:color w:val="000000"/>
        </w:rPr>
        <w:alias w:val="是否适用：合并范围的变更-其他说明[双击切换]"/>
        <w:tag w:val="_GBC_f93907dc64cd43f0a9e4c85b200aec0c"/>
        <w:id w:val="2024270934"/>
        <w:placeholder>
          <w:docPart w:val="GBC22222222222222222222222222222"/>
        </w:placeholder>
      </w:sdtPr>
      <w:sdtEndPr>
        <w:rPr>
          <w:rFonts w:hint="eastAsia" w:cs="Arial"/>
          <w:color w:val="000000"/>
        </w:rPr>
      </w:sdtEndPr>
      <w:sdtContent>
        <w:p>
          <w:pPr>
            <w:rPr>
              <w:rFonts w:cs="Arial" w:asciiTheme="minorHAnsi" w:hAnsiTheme="minorHAnsi" w:eastAsiaTheme="minorEastAsia"/>
              <w:color w:val="000000"/>
            </w:rPr>
          </w:pPr>
          <w:r>
            <w:rPr>
              <w:rFonts w:ascii="宋体" w:hAnsi="宋体" w:cs="Arial"/>
              <w:color w:val="000000"/>
            </w:rPr>
            <w:fldChar w:fldCharType="begin"/>
          </w:r>
          <w:r>
            <w:rPr>
              <w:rFonts w:ascii="宋体" w:hAnsi="宋体" w:cs="Arial"/>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color w:val="000000"/>
            </w:rPr>
            <w:instrText xml:space="preserve"> MACROBUTTON  SnrToggleCheckbox √不适用 </w:instrText>
          </w:r>
          <w:r>
            <w:rPr>
              <w:rFonts w:ascii="宋体" w:hAnsi="宋体" w:cs="Arial"/>
              <w:color w:val="000000"/>
            </w:rPr>
            <w:fldChar w:fldCharType="end"/>
          </w:r>
        </w:p>
      </w:sdtContent>
    </w:sdt>
    <w:p>
      <w:pPr>
        <w:rPr>
          <w:rFonts w:cs="Arial"/>
          <w:color w:val="000000"/>
        </w:rPr>
      </w:pPr>
    </w:p>
    <w:p>
      <w:pPr>
        <w:rPr>
          <w:rFonts w:cs="Arial"/>
          <w:color w:val="000000"/>
        </w:rPr>
        <w:sectPr>
          <w:pgSz w:w="16838" w:h="11906" w:orient="landscape"/>
          <w:pgMar w:top="1797" w:right="1525" w:bottom="1276" w:left="1440" w:header="856" w:footer="992" w:gutter="0"/>
          <w:cols w:space="425" w:num="1"/>
          <w:docGrid w:linePitch="312" w:charSpace="0"/>
        </w:sectPr>
      </w:pPr>
    </w:p>
    <w:p>
      <w:pPr>
        <w:pStyle w:val="503"/>
        <w:numPr>
          <w:ilvl w:val="0"/>
          <w:numId w:val="57"/>
        </w:numPr>
        <w:ind w:hanging="168"/>
      </w:pPr>
      <w:r>
        <w:rPr>
          <w:rFonts w:hint="eastAsia"/>
        </w:rPr>
        <w:t>在其他主体中的权益</w:t>
      </w:r>
    </w:p>
    <w:p>
      <w:pPr>
        <w:pStyle w:val="504"/>
        <w:numPr>
          <w:ilvl w:val="2"/>
          <w:numId w:val="116"/>
        </w:numPr>
      </w:pPr>
      <w:r>
        <w:rPr>
          <w:rFonts w:hint="eastAsia"/>
        </w:rPr>
        <w:t>在子公司中的权益</w:t>
      </w:r>
    </w:p>
    <w:p>
      <w:pPr>
        <w:pStyle w:val="505"/>
        <w:numPr>
          <w:ilvl w:val="3"/>
          <w:numId w:val="117"/>
        </w:numPr>
        <w:ind w:left="426" w:hanging="426" w:hangingChars="202"/>
      </w:pPr>
      <w:r>
        <w:rPr>
          <w:rFonts w:hint="eastAsia"/>
        </w:rPr>
        <w:t>企业集团的构成</w:t>
      </w:r>
    </w:p>
    <w:sdt>
      <w:sdtPr>
        <w:alias w:val="是否适用：企业集团的构成[双击切换]"/>
        <w:tag w:val="_GBC_f4dcd24cd0a6465f817fe278addb6568"/>
        <w:id w:val="10069242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单位:千元  币种:人民币</w:t>
      </w:r>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7"/>
        <w:gridCol w:w="871"/>
        <w:gridCol w:w="1194"/>
        <w:gridCol w:w="1866"/>
        <w:gridCol w:w="595"/>
        <w:gridCol w:w="597"/>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203" w:type="pct"/>
            <w:vMerge w:val="restart"/>
            <w:shd w:val="clear" w:color="auto" w:fill="auto"/>
            <w:vAlign w:val="center"/>
          </w:tcPr>
          <w:p>
            <w:pPr>
              <w:jc w:val="center"/>
              <w:rPr>
                <w:rFonts w:ascii="宋体" w:hAnsi="宋体" w:cs="Arial"/>
                <w:spacing w:val="-32"/>
                <w:sz w:val="22"/>
                <w:szCs w:val="22"/>
                <w:lang w:val="en-GB"/>
              </w:rPr>
            </w:pPr>
            <w:r>
              <w:rPr>
                <w:rFonts w:hint="eastAsia" w:ascii="宋体" w:hAnsi="宋体" w:cs="Arial"/>
                <w:spacing w:val="-32"/>
                <w:sz w:val="22"/>
                <w:szCs w:val="22"/>
                <w:lang w:val="en-GB"/>
              </w:rPr>
              <w:t>子公司</w:t>
            </w:r>
          </w:p>
          <w:p>
            <w:pPr>
              <w:jc w:val="center"/>
              <w:rPr>
                <w:rFonts w:ascii="宋体" w:hAnsi="宋体" w:cs="Arial"/>
                <w:spacing w:val="-32"/>
                <w:sz w:val="22"/>
                <w:szCs w:val="22"/>
              </w:rPr>
            </w:pPr>
            <w:r>
              <w:rPr>
                <w:rFonts w:hint="eastAsia" w:ascii="宋体" w:hAnsi="宋体" w:cs="Arial"/>
                <w:spacing w:val="-32"/>
                <w:sz w:val="22"/>
                <w:szCs w:val="22"/>
                <w:lang w:val="en-GB"/>
              </w:rPr>
              <w:t>名称</w:t>
            </w:r>
          </w:p>
        </w:tc>
        <w:sdt>
          <w:sdtPr>
            <w:rPr>
              <w:rFonts w:ascii="宋体" w:hAnsi="宋体"/>
              <w:spacing w:val="-32"/>
              <w:sz w:val="22"/>
            </w:rPr>
            <w:tag w:val="_PLD_f2f68356b5494ce8941038ba206c0e79"/>
            <w:id w:val="-1288973844"/>
          </w:sdtPr>
          <w:sdtEndPr>
            <w:rPr>
              <w:rFonts w:ascii="宋体" w:hAnsi="宋体"/>
              <w:spacing w:val="-32"/>
              <w:sz w:val="22"/>
            </w:rPr>
          </w:sdtEndPr>
          <w:sdtContent>
            <w:tc>
              <w:tcPr>
                <w:tcW w:w="481" w:type="pct"/>
                <w:vMerge w:val="restart"/>
                <w:shd w:val="clear" w:color="auto" w:fill="auto"/>
                <w:vAlign w:val="center"/>
              </w:tcPr>
              <w:p>
                <w:pPr>
                  <w:jc w:val="center"/>
                  <w:rPr>
                    <w:rFonts w:ascii="宋体" w:hAnsi="宋体" w:cs="Arial"/>
                    <w:spacing w:val="-32"/>
                    <w:sz w:val="22"/>
                    <w:szCs w:val="22"/>
                  </w:rPr>
                </w:pPr>
                <w:r>
                  <w:rPr>
                    <w:rFonts w:hint="eastAsia" w:ascii="宋体" w:hAnsi="宋体" w:cs="Arial"/>
                    <w:spacing w:val="-32"/>
                    <w:sz w:val="22"/>
                    <w:szCs w:val="22"/>
                    <w:lang w:val="en-GB"/>
                  </w:rPr>
                  <w:t>主要经营地</w:t>
                </w:r>
              </w:p>
            </w:tc>
          </w:sdtContent>
        </w:sdt>
        <w:sdt>
          <w:sdtPr>
            <w:rPr>
              <w:rFonts w:ascii="宋体" w:hAnsi="宋体"/>
              <w:spacing w:val="-32"/>
              <w:sz w:val="22"/>
            </w:rPr>
            <w:tag w:val="_PLD_e9cbfd017bcc45b9be4599d5ee950f92"/>
            <w:id w:val="-1090377634"/>
          </w:sdtPr>
          <w:sdtEndPr>
            <w:rPr>
              <w:rFonts w:ascii="宋体" w:hAnsi="宋体"/>
              <w:spacing w:val="-32"/>
              <w:sz w:val="22"/>
            </w:rPr>
          </w:sdtEndPr>
          <w:sdtContent>
            <w:tc>
              <w:tcPr>
                <w:tcW w:w="660" w:type="pct"/>
                <w:vMerge w:val="restart"/>
                <w:shd w:val="clear" w:color="auto" w:fill="auto"/>
                <w:vAlign w:val="center"/>
              </w:tcPr>
              <w:p>
                <w:pPr>
                  <w:jc w:val="center"/>
                  <w:rPr>
                    <w:rFonts w:ascii="宋体" w:hAnsi="宋体" w:cs="Arial"/>
                    <w:spacing w:val="-32"/>
                    <w:sz w:val="22"/>
                    <w:szCs w:val="22"/>
                  </w:rPr>
                </w:pPr>
                <w:r>
                  <w:rPr>
                    <w:rFonts w:hint="eastAsia" w:ascii="宋体" w:hAnsi="宋体" w:cs="Arial"/>
                    <w:spacing w:val="-32"/>
                    <w:sz w:val="22"/>
                    <w:szCs w:val="22"/>
                    <w:lang w:val="en-GB"/>
                  </w:rPr>
                  <w:t>注册地</w:t>
                </w:r>
              </w:p>
            </w:tc>
          </w:sdtContent>
        </w:sdt>
        <w:sdt>
          <w:sdtPr>
            <w:rPr>
              <w:rFonts w:ascii="宋体" w:hAnsi="宋体"/>
              <w:spacing w:val="-32"/>
              <w:sz w:val="22"/>
            </w:rPr>
            <w:tag w:val="_PLD_da5558f3e8f24c30b756f825b0ebca03"/>
            <w:id w:val="-225227229"/>
          </w:sdtPr>
          <w:sdtEndPr>
            <w:rPr>
              <w:rFonts w:ascii="宋体" w:hAnsi="宋体"/>
              <w:spacing w:val="-32"/>
              <w:sz w:val="22"/>
            </w:rPr>
          </w:sdtEndPr>
          <w:sdtContent>
            <w:tc>
              <w:tcPr>
                <w:tcW w:w="1031" w:type="pct"/>
                <w:vMerge w:val="restart"/>
                <w:shd w:val="clear" w:color="auto" w:fill="auto"/>
                <w:vAlign w:val="center"/>
              </w:tcPr>
              <w:p>
                <w:pPr>
                  <w:jc w:val="center"/>
                  <w:rPr>
                    <w:rFonts w:ascii="宋体" w:hAnsi="宋体" w:cs="Arial"/>
                    <w:spacing w:val="-32"/>
                    <w:sz w:val="22"/>
                    <w:szCs w:val="22"/>
                  </w:rPr>
                </w:pPr>
                <w:r>
                  <w:rPr>
                    <w:rFonts w:hint="eastAsia" w:ascii="宋体" w:hAnsi="宋体" w:cs="Arial"/>
                    <w:spacing w:val="-32"/>
                    <w:sz w:val="22"/>
                    <w:szCs w:val="22"/>
                    <w:lang w:val="en-GB"/>
                  </w:rPr>
                  <w:t>业务性质</w:t>
                </w:r>
              </w:p>
            </w:tc>
          </w:sdtContent>
        </w:sdt>
        <w:sdt>
          <w:sdtPr>
            <w:rPr>
              <w:rFonts w:ascii="宋体" w:hAnsi="宋体"/>
              <w:spacing w:val="-32"/>
              <w:sz w:val="22"/>
            </w:rPr>
            <w:tag w:val="_PLD_817e427c8eff4fd1875d12860133e99e"/>
            <w:id w:val="-515228003"/>
          </w:sdtPr>
          <w:sdtEndPr>
            <w:rPr>
              <w:rFonts w:ascii="宋体" w:hAnsi="宋体"/>
              <w:spacing w:val="-32"/>
              <w:sz w:val="22"/>
            </w:rPr>
          </w:sdtEndPr>
          <w:sdtContent>
            <w:tc>
              <w:tcPr>
                <w:tcW w:w="659" w:type="pct"/>
                <w:gridSpan w:val="2"/>
                <w:shd w:val="clear" w:color="auto" w:fill="auto"/>
                <w:vAlign w:val="center"/>
              </w:tcPr>
              <w:p>
                <w:pPr>
                  <w:jc w:val="center"/>
                  <w:rPr>
                    <w:rFonts w:ascii="宋体" w:hAnsi="宋体" w:cs="Arial"/>
                    <w:spacing w:val="-32"/>
                    <w:sz w:val="22"/>
                    <w:szCs w:val="22"/>
                  </w:rPr>
                </w:pPr>
                <w:r>
                  <w:rPr>
                    <w:rFonts w:hint="eastAsia" w:ascii="宋体" w:hAnsi="宋体" w:cs="Arial"/>
                    <w:spacing w:val="-32"/>
                    <w:sz w:val="22"/>
                    <w:szCs w:val="22"/>
                    <w:lang w:val="en-GB"/>
                  </w:rPr>
                  <w:t>持股比例</w:t>
                </w:r>
                <w:r>
                  <w:rPr>
                    <w:rFonts w:ascii="宋体" w:hAnsi="宋体" w:cs="Arial"/>
                    <w:spacing w:val="-32"/>
                    <w:sz w:val="22"/>
                    <w:szCs w:val="22"/>
                  </w:rPr>
                  <w:t>(%)</w:t>
                </w:r>
              </w:p>
            </w:tc>
          </w:sdtContent>
        </w:sdt>
        <w:sdt>
          <w:sdtPr>
            <w:rPr>
              <w:rFonts w:ascii="宋体" w:hAnsi="宋体"/>
              <w:spacing w:val="-32"/>
              <w:sz w:val="22"/>
            </w:rPr>
            <w:tag w:val="_PLD_0bb5e453efe4450ba0d853b98eb2c2b0"/>
            <w:id w:val="1903018325"/>
          </w:sdtPr>
          <w:sdtEndPr>
            <w:rPr>
              <w:rFonts w:ascii="宋体" w:hAnsi="宋体"/>
              <w:spacing w:val="-32"/>
              <w:sz w:val="22"/>
            </w:rPr>
          </w:sdtEndPr>
          <w:sdtContent>
            <w:tc>
              <w:tcPr>
                <w:tcW w:w="966" w:type="pct"/>
                <w:vMerge w:val="restart"/>
                <w:shd w:val="clear" w:color="auto" w:fill="auto"/>
                <w:vAlign w:val="center"/>
              </w:tcPr>
              <w:p>
                <w:pPr>
                  <w:jc w:val="center"/>
                  <w:rPr>
                    <w:rFonts w:ascii="宋体" w:hAnsi="宋体" w:cs="Arial"/>
                    <w:spacing w:val="-32"/>
                    <w:sz w:val="22"/>
                    <w:szCs w:val="22"/>
                    <w:lang w:val="en-GB"/>
                  </w:rPr>
                </w:pPr>
                <w:r>
                  <w:rPr>
                    <w:rFonts w:hint="eastAsia" w:ascii="宋体" w:hAnsi="宋体" w:cs="Arial"/>
                    <w:spacing w:val="-32"/>
                    <w:sz w:val="22"/>
                    <w:szCs w:val="22"/>
                    <w:lang w:val="en-GB"/>
                  </w:rPr>
                  <w:t>取得</w:t>
                </w:r>
              </w:p>
              <w:p>
                <w:pPr>
                  <w:jc w:val="center"/>
                  <w:rPr>
                    <w:rFonts w:ascii="宋体" w:hAnsi="宋体" w:cs="Arial"/>
                    <w:spacing w:val="-32"/>
                    <w:sz w:val="22"/>
                    <w:szCs w:val="22"/>
                    <w:lang w:val="en-GB"/>
                  </w:rPr>
                </w:pPr>
                <w:r>
                  <w:rPr>
                    <w:rFonts w:hint="eastAsia" w:ascii="宋体" w:hAnsi="宋体" w:cs="Arial"/>
                    <w:spacing w:val="-32"/>
                    <w:sz w:val="22"/>
                    <w:szCs w:val="22"/>
                    <w:lang w:val="en-GB"/>
                  </w:rPr>
                  <w:t>方式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03" w:type="pct"/>
            <w:vMerge w:val="continue"/>
            <w:shd w:val="clear" w:color="auto" w:fill="auto"/>
            <w:vAlign w:val="center"/>
          </w:tcPr>
          <w:p>
            <w:pPr>
              <w:rPr>
                <w:rFonts w:ascii="宋体" w:hAnsi="宋体" w:cs="Arial"/>
                <w:spacing w:val="-32"/>
                <w:sz w:val="22"/>
                <w:szCs w:val="22"/>
              </w:rPr>
            </w:pPr>
          </w:p>
        </w:tc>
        <w:tc>
          <w:tcPr>
            <w:tcW w:w="481" w:type="pct"/>
            <w:vMerge w:val="continue"/>
            <w:shd w:val="clear" w:color="auto" w:fill="auto"/>
            <w:vAlign w:val="center"/>
          </w:tcPr>
          <w:p>
            <w:pPr>
              <w:rPr>
                <w:rFonts w:ascii="宋体" w:hAnsi="宋体" w:cs="Arial"/>
                <w:spacing w:val="-32"/>
                <w:sz w:val="22"/>
                <w:szCs w:val="22"/>
              </w:rPr>
            </w:pPr>
          </w:p>
        </w:tc>
        <w:tc>
          <w:tcPr>
            <w:tcW w:w="660" w:type="pct"/>
            <w:vMerge w:val="continue"/>
            <w:shd w:val="clear" w:color="auto" w:fill="auto"/>
            <w:vAlign w:val="center"/>
          </w:tcPr>
          <w:p>
            <w:pPr>
              <w:rPr>
                <w:rFonts w:ascii="宋体" w:hAnsi="宋体" w:cs="Arial"/>
                <w:spacing w:val="-32"/>
                <w:sz w:val="22"/>
                <w:szCs w:val="22"/>
              </w:rPr>
            </w:pPr>
          </w:p>
        </w:tc>
        <w:tc>
          <w:tcPr>
            <w:tcW w:w="1031" w:type="pct"/>
            <w:vMerge w:val="continue"/>
            <w:shd w:val="clear" w:color="auto" w:fill="auto"/>
            <w:vAlign w:val="center"/>
          </w:tcPr>
          <w:p>
            <w:pPr>
              <w:rPr>
                <w:rFonts w:ascii="宋体" w:hAnsi="宋体" w:cs="Arial"/>
                <w:spacing w:val="-32"/>
                <w:sz w:val="22"/>
                <w:szCs w:val="22"/>
              </w:rPr>
            </w:pPr>
          </w:p>
        </w:tc>
        <w:sdt>
          <w:sdtPr>
            <w:rPr>
              <w:rFonts w:ascii="宋体" w:hAnsi="宋体"/>
              <w:spacing w:val="-32"/>
              <w:sz w:val="22"/>
            </w:rPr>
            <w:tag w:val="_PLD_3f641d83162f4ae3a8840b93258d7ced"/>
            <w:id w:val="1138915364"/>
          </w:sdtPr>
          <w:sdtEndPr>
            <w:rPr>
              <w:rFonts w:ascii="宋体" w:hAnsi="宋体"/>
              <w:spacing w:val="-32"/>
              <w:sz w:val="22"/>
            </w:rPr>
          </w:sdtEndPr>
          <w:sdtContent>
            <w:tc>
              <w:tcPr>
                <w:tcW w:w="329" w:type="pct"/>
                <w:shd w:val="clear" w:color="auto" w:fill="auto"/>
                <w:vAlign w:val="center"/>
              </w:tcPr>
              <w:p>
                <w:pPr>
                  <w:jc w:val="center"/>
                  <w:rPr>
                    <w:rFonts w:ascii="宋体" w:hAnsi="宋体" w:cs="Arial"/>
                    <w:spacing w:val="-32"/>
                    <w:sz w:val="22"/>
                    <w:szCs w:val="22"/>
                  </w:rPr>
                </w:pPr>
                <w:r>
                  <w:rPr>
                    <w:rFonts w:hint="eastAsia" w:ascii="宋体" w:hAnsi="宋体" w:cs="Arial"/>
                    <w:spacing w:val="-32"/>
                    <w:sz w:val="22"/>
                    <w:szCs w:val="22"/>
                    <w:lang w:val="en-GB"/>
                  </w:rPr>
                  <w:t>直接</w:t>
                </w:r>
              </w:p>
            </w:tc>
          </w:sdtContent>
        </w:sdt>
        <w:sdt>
          <w:sdtPr>
            <w:rPr>
              <w:rFonts w:ascii="宋体" w:hAnsi="宋体"/>
              <w:spacing w:val="-32"/>
              <w:sz w:val="22"/>
            </w:rPr>
            <w:tag w:val="_PLD_ebc96648c2794ae08bfb57e63f0a34c5"/>
            <w:id w:val="1401716531"/>
          </w:sdtPr>
          <w:sdtEndPr>
            <w:rPr>
              <w:rFonts w:ascii="宋体" w:hAnsi="宋体"/>
              <w:spacing w:val="-32"/>
              <w:sz w:val="22"/>
            </w:rPr>
          </w:sdtEndPr>
          <w:sdtContent>
            <w:tc>
              <w:tcPr>
                <w:tcW w:w="330" w:type="pct"/>
                <w:shd w:val="clear" w:color="auto" w:fill="auto"/>
                <w:vAlign w:val="center"/>
              </w:tcPr>
              <w:p>
                <w:pPr>
                  <w:jc w:val="center"/>
                  <w:rPr>
                    <w:rFonts w:ascii="宋体" w:hAnsi="宋体" w:cs="Arial"/>
                    <w:spacing w:val="-32"/>
                    <w:sz w:val="22"/>
                    <w:szCs w:val="22"/>
                  </w:rPr>
                </w:pPr>
                <w:r>
                  <w:rPr>
                    <w:rFonts w:hint="eastAsia" w:ascii="宋体" w:hAnsi="宋体" w:cs="Arial"/>
                    <w:spacing w:val="-32"/>
                    <w:sz w:val="22"/>
                    <w:szCs w:val="22"/>
                    <w:lang w:val="en-GB"/>
                  </w:rPr>
                  <w:t>间接</w:t>
                </w:r>
              </w:p>
            </w:tc>
          </w:sdtContent>
        </w:sdt>
        <w:tc>
          <w:tcPr>
            <w:tcW w:w="966" w:type="pct"/>
            <w:vMerge w:val="continue"/>
          </w:tcPr>
          <w:p>
            <w:pPr>
              <w:rPr>
                <w:rFonts w:ascii="宋体" w:hAnsi="宋体" w:cs="Arial"/>
                <w:spacing w:val="-3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兖州煤业澳大利亚有限公司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投资控股</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62.26</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格罗斯特煤炭有限公司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煤炭及煤炭相关资源的开发和运营</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兖煤澳大利亚资源有限公司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煤炭开采与勘探</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兖煤澳大利亚配煤销售有限公司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兖煤矿业服务有限公司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矿业服务</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联合煤炭工业有限公司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spacing w:val="-32"/>
                <w:lang w:bidi="ar"/>
              </w:rPr>
              <w:t>煤炭开采和煤矿经营</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s="宋体"/>
                <w:color w:val="000000"/>
                <w:spacing w:val="-32"/>
                <w:lang w:bidi="ar"/>
              </w:rPr>
              <w:t>兖煤澳洲莫拉本私有有限公司</w:t>
            </w:r>
          </w:p>
        </w:tc>
        <w:tc>
          <w:tcPr>
            <w:tcW w:w="481" w:type="pct"/>
            <w:shd w:val="clear" w:color="auto" w:fill="auto"/>
            <w:vAlign w:val="center"/>
          </w:tcPr>
          <w:p>
            <w:pPr>
              <w:rPr>
                <w:rFonts w:ascii="宋体" w:hAnsi="宋体"/>
                <w:spacing w:val="-32"/>
              </w:rPr>
            </w:pPr>
            <w:r>
              <w:rPr>
                <w:rFonts w:hint="eastAsia" w:ascii="宋体" w:hAnsi="宋体" w:cs="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s="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s="宋体"/>
                <w:color w:val="000000"/>
                <w:spacing w:val="-32"/>
                <w:lang w:bidi="ar"/>
              </w:rPr>
              <w:t>煤炭开采和煤矿经营</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s="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沃特岗矿业有限公司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煤炭开采和煤矿经营</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兖煤保险股份有限公司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根西岛</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根西岛</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资产保险服务</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s="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兖煤国际（控股）有限公司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香港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香港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投资控股</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兖煤国际技术开发有限公司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香港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香港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矿山开采技术的开发、转让与咨询服务</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兖煤国际资源开发有限公司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香港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香港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矿产资源勘探开发</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兖煤卢森堡资源有限公司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卢森堡</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卢森堡</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对外投资</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亚森纳（控股）有限公司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控股公司</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汤佛（控股）有限公司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控股公司</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维尔皮纳（控股）有限公司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控股公司</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普力马（控股）有限公司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控股公司</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兖煤能源有限公司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控股公司</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兖矿东平陆港有限公司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山东泰安</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山东泰安</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煤炭贸易，港口、铁路运输</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6.52</w:t>
            </w: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39.78</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兖煤技术发展（控股）有限公司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澳大利亚</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控股公司</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中垠（济宁）融资租赁有限公司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融资租赁业务</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兖矿能源（鄂尔多斯）有限公司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内蒙古荣信化工有限公司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甲醇生产及销售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内蒙古鑫泰煤炭有限公司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鄂尔多斯市转龙湾煤炭有限公司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兖矿东华重工有限公司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矿用设备、机电设备、橡胶制品等的生产销售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兖矿集团唐村实业有限公司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橡胶输送带、电缆制造</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兖州东方机电有限公司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矿用电器、高低压开关设备制造</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94.34</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兖矿集团邹城金通橡胶有限公司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高、中、低压橡胶软管制造</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54.55</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山东兖矿智能制造有限公司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设备制造、机械制造修理</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山东兖矿集团长龙电缆制造有限公司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电缆、电线、电缆附件及原料的制造，销售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9</w:t>
            </w:r>
            <w:r>
              <w:rPr>
                <w:rFonts w:ascii="宋体" w:hAnsi="宋体"/>
                <w:color w:val="000000"/>
                <w:spacing w:val="-32"/>
                <w:lang w:bidi="ar"/>
              </w:rPr>
              <w:t>5</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兖州煤业山西能化有限公司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山西晋中</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山西晋中</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热电投资、煤炭技术服务</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山西和顺天池能源有限责任公司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山西和顺</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山西和顺</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r>
              <w:rPr>
                <w:rFonts w:ascii="宋体" w:hAnsi="宋体"/>
                <w:color w:val="000000"/>
                <w:spacing w:val="-32"/>
                <w:lang w:bidi="ar"/>
              </w:rPr>
              <w:t>81.31</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兖州煤业榆林能化有限公司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甲醇生产及销售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兖煤菏泽能化有限公司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98.33</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s="宋体"/>
                <w:color w:val="000000"/>
                <w:spacing w:val="-32"/>
                <w:lang w:bidi="ar"/>
              </w:rPr>
              <w:t>兖煤万福能源有限公司</w:t>
            </w:r>
          </w:p>
        </w:tc>
        <w:tc>
          <w:tcPr>
            <w:tcW w:w="481" w:type="pct"/>
            <w:shd w:val="clear" w:color="auto" w:fill="auto"/>
            <w:vAlign w:val="center"/>
          </w:tcPr>
          <w:p>
            <w:pPr>
              <w:rPr>
                <w:rFonts w:ascii="宋体" w:hAnsi="宋体"/>
                <w:spacing w:val="-32"/>
              </w:rPr>
            </w:pPr>
            <w:r>
              <w:rPr>
                <w:rFonts w:hint="eastAsia" w:ascii="宋体" w:hAnsi="宋体" w:cs="宋体"/>
                <w:color w:val="000000"/>
                <w:spacing w:val="-32"/>
                <w:lang w:bidi="ar"/>
              </w:rPr>
              <w:t>山东菏泽</w:t>
            </w:r>
          </w:p>
        </w:tc>
        <w:tc>
          <w:tcPr>
            <w:tcW w:w="660" w:type="pct"/>
            <w:shd w:val="clear" w:color="auto" w:fill="auto"/>
            <w:vAlign w:val="center"/>
          </w:tcPr>
          <w:p>
            <w:pPr>
              <w:rPr>
                <w:rFonts w:ascii="宋体" w:hAnsi="宋体"/>
                <w:spacing w:val="-32"/>
              </w:rPr>
            </w:pPr>
            <w:r>
              <w:rPr>
                <w:rFonts w:hint="eastAsia" w:ascii="宋体" w:hAnsi="宋体" w:cs="宋体"/>
                <w:color w:val="000000"/>
                <w:spacing w:val="-32"/>
                <w:lang w:bidi="ar"/>
              </w:rPr>
              <w:t>山东菏泽</w:t>
            </w:r>
          </w:p>
        </w:tc>
        <w:tc>
          <w:tcPr>
            <w:tcW w:w="1031" w:type="pct"/>
            <w:shd w:val="clear" w:color="auto" w:fill="auto"/>
            <w:vAlign w:val="center"/>
          </w:tcPr>
          <w:p>
            <w:pPr>
              <w:rPr>
                <w:rFonts w:ascii="宋体" w:hAnsi="宋体"/>
                <w:spacing w:val="-32"/>
              </w:rPr>
            </w:pPr>
            <w:r>
              <w:rPr>
                <w:rFonts w:hint="eastAsia" w:ascii="宋体" w:hAnsi="宋体" w:cs="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s="宋体"/>
                <w:color w:val="000000"/>
                <w:spacing w:val="-32"/>
                <w:lang w:bidi="ar"/>
              </w:rPr>
              <w:t>90</w:t>
            </w:r>
          </w:p>
        </w:tc>
        <w:tc>
          <w:tcPr>
            <w:tcW w:w="966" w:type="pct"/>
            <w:shd w:val="clear" w:color="auto" w:fill="auto"/>
            <w:vAlign w:val="center"/>
          </w:tcPr>
          <w:p>
            <w:pPr>
              <w:rPr>
                <w:rFonts w:ascii="宋体" w:hAnsi="宋体"/>
                <w:spacing w:val="-32"/>
              </w:rPr>
            </w:pPr>
            <w:r>
              <w:rPr>
                <w:rFonts w:hint="eastAsia" w:ascii="宋体" w:hAnsi="宋体" w:cs="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内蒙古昊盛煤业有限公司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5</w:t>
            </w:r>
            <w:r>
              <w:rPr>
                <w:rFonts w:ascii="宋体" w:hAnsi="宋体"/>
                <w:color w:val="000000"/>
                <w:spacing w:val="-32"/>
                <w:lang w:bidi="ar"/>
              </w:rPr>
              <w:t>9</w:t>
            </w:r>
            <w:r>
              <w:rPr>
                <w:rFonts w:hint="eastAsia" w:ascii="宋体" w:hAnsi="宋体"/>
                <w:color w:val="000000"/>
                <w:spacing w:val="-32"/>
                <w:lang w:bidi="ar"/>
              </w:rPr>
              <w:t>.</w:t>
            </w:r>
            <w:r>
              <w:rPr>
                <w:rFonts w:ascii="宋体" w:hAnsi="宋体"/>
                <w:color w:val="000000"/>
                <w:spacing w:val="-32"/>
                <w:lang w:bidi="ar"/>
              </w:rPr>
              <w:t>38</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兖矿能源集团国际贸易有限公司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山东济南</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山东济南</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煤炭、电解铜贸易</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山东中垠物流贸易有限公司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山东济南</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山东济南</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兖矿瑞丰国际贸易有限公司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山东青岛</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山东青岛</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国际贸易、转口贸易</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51</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兖矿瑞丰（香港）有限公司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香港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香港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国际贸易、转口贸易</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兖矿再生资源有限公司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废弃资源综合利用</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70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端信投资控股（北京）有限公司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北京</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北京</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投资管理</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天津端信云链永盛投资管理合伙企业（有限合伙）</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天津</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天津</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财务管理咨询</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13</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端信投资控股（深圳）有限公司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广东深圳</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广东深圳</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投资管理</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端信商业保理（深圳）有限公司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广东深圳</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广东深圳</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保理业务、投资兴办实业</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端信供应链（深圳）有限公司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广东深圳</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广东深圳</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普通货物运输、建筑材料销售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山东端信供应链管理有限公司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普货运输、货运代理</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菏泽端信供应链管理有限公司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普货运输、货运代理</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达拉特旗端信供应链管理有限公司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普货运输、货运代理</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伊金霍洛旗端信供应链管理有限公司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普货运输、货运代理</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乌审旗端信供应链管理有限公司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普通货物运输</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巨野县端信供应链管理有限公司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普通货物运输</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榆林端信供应链管理有限公司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普通货物运输、货运场服务、煤炭销售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62</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山东华聚能源股份有限公司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火力发电及发电余热综合利用</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95.14</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青岛中兖贸易有限公司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山东青岛</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山东青岛</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保税区内贸易及仓储</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山东兖煤日照港储配煤有限公司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山东日照</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山东日照</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煤炭批发经营</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71</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青岛兖煤东启能源有限公司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山东青岛</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山东青岛</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国际贸易、转口贸易</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兖矿融资租赁有限公司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上海</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上海</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融资租赁业务</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s="宋体"/>
                <w:color w:val="000000"/>
                <w:spacing w:val="-32"/>
                <w:lang w:bidi="ar"/>
              </w:rPr>
              <w:t>上海兖矿能源发展有限公司</w:t>
            </w:r>
          </w:p>
        </w:tc>
        <w:tc>
          <w:tcPr>
            <w:tcW w:w="481" w:type="pct"/>
            <w:shd w:val="clear" w:color="auto" w:fill="auto"/>
            <w:vAlign w:val="center"/>
          </w:tcPr>
          <w:p>
            <w:pPr>
              <w:rPr>
                <w:rFonts w:ascii="宋体" w:hAnsi="宋体"/>
                <w:spacing w:val="-32"/>
              </w:rPr>
            </w:pPr>
            <w:r>
              <w:rPr>
                <w:rFonts w:hint="eastAsia" w:ascii="宋体" w:hAnsi="宋体" w:cs="宋体"/>
                <w:color w:val="000000"/>
                <w:spacing w:val="-32"/>
                <w:lang w:bidi="ar"/>
              </w:rPr>
              <w:t>上海</w:t>
            </w:r>
          </w:p>
        </w:tc>
        <w:tc>
          <w:tcPr>
            <w:tcW w:w="660" w:type="pct"/>
            <w:shd w:val="clear" w:color="auto" w:fill="auto"/>
            <w:vAlign w:val="center"/>
          </w:tcPr>
          <w:p>
            <w:pPr>
              <w:rPr>
                <w:rFonts w:ascii="宋体" w:hAnsi="宋体"/>
                <w:spacing w:val="-32"/>
              </w:rPr>
            </w:pPr>
            <w:r>
              <w:rPr>
                <w:rFonts w:hint="eastAsia" w:ascii="宋体" w:hAnsi="宋体" w:cs="宋体"/>
                <w:color w:val="000000"/>
                <w:spacing w:val="-32"/>
                <w:lang w:bidi="ar"/>
              </w:rPr>
              <w:t>上海</w:t>
            </w:r>
          </w:p>
        </w:tc>
        <w:tc>
          <w:tcPr>
            <w:tcW w:w="1031" w:type="pct"/>
            <w:shd w:val="clear" w:color="auto" w:fill="auto"/>
            <w:vAlign w:val="center"/>
          </w:tcPr>
          <w:p>
            <w:pPr>
              <w:rPr>
                <w:rFonts w:ascii="宋体" w:hAnsi="宋体"/>
                <w:spacing w:val="-32"/>
              </w:rPr>
            </w:pPr>
            <w:r>
              <w:rPr>
                <w:rFonts w:hint="eastAsia" w:ascii="宋体" w:hAnsi="宋体" w:cs="宋体"/>
                <w:color w:val="000000"/>
                <w:spacing w:val="-32"/>
                <w:lang w:bidi="ar"/>
              </w:rPr>
              <w:t>新兴能源技术研发、物业管理</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s="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s="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s="宋体"/>
                <w:color w:val="000000"/>
                <w:spacing w:val="-32"/>
                <w:lang w:bidi="ar"/>
              </w:rPr>
              <w:t>兖矿商业保理（上海）有限公司</w:t>
            </w:r>
          </w:p>
        </w:tc>
        <w:tc>
          <w:tcPr>
            <w:tcW w:w="481" w:type="pct"/>
            <w:shd w:val="clear" w:color="auto" w:fill="auto"/>
            <w:vAlign w:val="center"/>
          </w:tcPr>
          <w:p>
            <w:pPr>
              <w:rPr>
                <w:rFonts w:ascii="宋体" w:hAnsi="宋体"/>
                <w:spacing w:val="-32"/>
              </w:rPr>
            </w:pPr>
            <w:r>
              <w:rPr>
                <w:rFonts w:hint="eastAsia" w:ascii="宋体" w:hAnsi="宋体" w:cs="宋体"/>
                <w:color w:val="000000"/>
                <w:spacing w:val="-32"/>
                <w:lang w:bidi="ar"/>
              </w:rPr>
              <w:t>上海</w:t>
            </w:r>
          </w:p>
        </w:tc>
        <w:tc>
          <w:tcPr>
            <w:tcW w:w="660" w:type="pct"/>
            <w:shd w:val="clear" w:color="auto" w:fill="auto"/>
            <w:vAlign w:val="center"/>
          </w:tcPr>
          <w:p>
            <w:pPr>
              <w:rPr>
                <w:rFonts w:ascii="宋体" w:hAnsi="宋体"/>
                <w:spacing w:val="-32"/>
              </w:rPr>
            </w:pPr>
            <w:r>
              <w:rPr>
                <w:rFonts w:hint="eastAsia" w:ascii="宋体" w:hAnsi="宋体" w:cs="宋体"/>
                <w:color w:val="000000"/>
                <w:spacing w:val="-32"/>
                <w:lang w:bidi="ar"/>
              </w:rPr>
              <w:t>上海</w:t>
            </w:r>
          </w:p>
        </w:tc>
        <w:tc>
          <w:tcPr>
            <w:tcW w:w="1031" w:type="pct"/>
            <w:shd w:val="clear" w:color="auto" w:fill="auto"/>
            <w:vAlign w:val="center"/>
          </w:tcPr>
          <w:p>
            <w:pPr>
              <w:rPr>
                <w:rFonts w:ascii="宋体" w:hAnsi="宋体"/>
                <w:spacing w:val="-32"/>
              </w:rPr>
            </w:pPr>
            <w:r>
              <w:rPr>
                <w:rFonts w:hint="eastAsia" w:ascii="宋体" w:hAnsi="宋体" w:cs="宋体"/>
                <w:color w:val="000000"/>
                <w:spacing w:val="-32"/>
                <w:lang w:bidi="ar"/>
              </w:rPr>
              <w:t>商业保理</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s="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s="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s="宋体"/>
                <w:color w:val="000000"/>
                <w:spacing w:val="-32"/>
                <w:lang w:bidi="ar"/>
              </w:rPr>
              <w:t>中垠（香港）有限公司</w:t>
            </w:r>
          </w:p>
        </w:tc>
        <w:tc>
          <w:tcPr>
            <w:tcW w:w="481" w:type="pct"/>
            <w:shd w:val="clear" w:color="auto" w:fill="auto"/>
            <w:vAlign w:val="center"/>
          </w:tcPr>
          <w:p>
            <w:pPr>
              <w:rPr>
                <w:rFonts w:ascii="宋体" w:hAnsi="宋体"/>
                <w:spacing w:val="-32"/>
              </w:rPr>
            </w:pPr>
            <w:r>
              <w:rPr>
                <w:rFonts w:hint="eastAsia" w:ascii="宋体" w:hAnsi="宋体" w:cs="宋体"/>
                <w:color w:val="000000"/>
                <w:spacing w:val="-32"/>
                <w:lang w:bidi="ar"/>
              </w:rPr>
              <w:t>香港</w:t>
            </w:r>
          </w:p>
        </w:tc>
        <w:tc>
          <w:tcPr>
            <w:tcW w:w="660" w:type="pct"/>
            <w:shd w:val="clear" w:color="auto" w:fill="auto"/>
            <w:vAlign w:val="center"/>
          </w:tcPr>
          <w:p>
            <w:pPr>
              <w:rPr>
                <w:rFonts w:ascii="宋体" w:hAnsi="宋体"/>
                <w:spacing w:val="-32"/>
              </w:rPr>
            </w:pPr>
            <w:r>
              <w:rPr>
                <w:rFonts w:hint="eastAsia" w:ascii="宋体" w:hAnsi="宋体" w:cs="宋体"/>
                <w:color w:val="000000"/>
                <w:spacing w:val="-32"/>
                <w:lang w:bidi="ar"/>
              </w:rPr>
              <w:t>香港</w:t>
            </w:r>
          </w:p>
        </w:tc>
        <w:tc>
          <w:tcPr>
            <w:tcW w:w="1031" w:type="pct"/>
            <w:shd w:val="clear" w:color="auto" w:fill="auto"/>
            <w:vAlign w:val="center"/>
          </w:tcPr>
          <w:p>
            <w:pPr>
              <w:rPr>
                <w:rFonts w:ascii="宋体" w:hAnsi="宋体"/>
                <w:spacing w:val="-32"/>
              </w:rPr>
            </w:pPr>
            <w:r>
              <w:rPr>
                <w:rFonts w:hint="eastAsia" w:ascii="宋体" w:hAnsi="宋体" w:cs="宋体"/>
                <w:color w:val="000000"/>
                <w:spacing w:val="-32"/>
                <w:lang w:bidi="ar"/>
              </w:rPr>
              <w:t>融资租赁业务、租赁、贸易</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s="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s="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兖矿融资租赁（泰安）有限公司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山东泰安</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山东泰安</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融资租赁业务</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70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兖矿商业保理（天津）有限公司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天津</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天津</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商业保理</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ascii="宋体" w:hAnsi="宋体"/>
                <w:spacing w:val="-32"/>
              </w:rPr>
              <w:t>75.99</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山东中鼎云联科技有限公司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房地产开发</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51</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山东兖煤航运有限公司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货物运输煤炭销售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92</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兖煤矿业工程有限公司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矿业工程</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兖煤蓝天清洁能源有限公司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洁净型煤生产、销售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兖矿能源（无锡）有限公司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江苏无锡</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江苏无锡</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煤炭批发、房地产开发经营等</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上海巨匠资产管理有限公司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上海</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上海</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资产投资管理</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青岛端信资产管理有限公司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山东青岛</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山东青岛</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受托管理股权投资基金</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s="宋体"/>
                <w:color w:val="000000"/>
                <w:spacing w:val="-32"/>
                <w:lang w:bidi="ar"/>
              </w:rPr>
              <w:t>青岛东方盛隆实业有限公司</w:t>
            </w:r>
          </w:p>
        </w:tc>
        <w:tc>
          <w:tcPr>
            <w:tcW w:w="481" w:type="pct"/>
            <w:shd w:val="clear" w:color="auto" w:fill="auto"/>
            <w:vAlign w:val="center"/>
          </w:tcPr>
          <w:p>
            <w:pPr>
              <w:rPr>
                <w:rFonts w:ascii="宋体" w:hAnsi="宋体"/>
                <w:spacing w:val="-32"/>
              </w:rPr>
            </w:pPr>
            <w:r>
              <w:rPr>
                <w:rFonts w:hint="eastAsia" w:ascii="宋体" w:hAnsi="宋体" w:cs="宋体"/>
                <w:color w:val="000000"/>
                <w:spacing w:val="-32"/>
                <w:lang w:bidi="ar"/>
              </w:rPr>
              <w:t>山东青岛</w:t>
            </w:r>
          </w:p>
        </w:tc>
        <w:tc>
          <w:tcPr>
            <w:tcW w:w="660" w:type="pct"/>
            <w:shd w:val="clear" w:color="auto" w:fill="auto"/>
            <w:vAlign w:val="center"/>
          </w:tcPr>
          <w:p>
            <w:pPr>
              <w:rPr>
                <w:rFonts w:ascii="宋体" w:hAnsi="宋体"/>
                <w:spacing w:val="-32"/>
              </w:rPr>
            </w:pPr>
            <w:r>
              <w:rPr>
                <w:rFonts w:hint="eastAsia" w:ascii="宋体" w:hAnsi="宋体" w:cs="宋体"/>
                <w:color w:val="000000"/>
                <w:spacing w:val="-32"/>
                <w:lang w:bidi="ar"/>
              </w:rPr>
              <w:t>山东青岛</w:t>
            </w:r>
          </w:p>
        </w:tc>
        <w:tc>
          <w:tcPr>
            <w:tcW w:w="1031" w:type="pct"/>
            <w:shd w:val="clear" w:color="auto" w:fill="auto"/>
            <w:vAlign w:val="center"/>
          </w:tcPr>
          <w:p>
            <w:pPr>
              <w:rPr>
                <w:rFonts w:ascii="宋体" w:hAnsi="宋体"/>
                <w:spacing w:val="-32"/>
              </w:rPr>
            </w:pPr>
            <w:r>
              <w:rPr>
                <w:rFonts w:hint="eastAsia" w:ascii="宋体" w:hAnsi="宋体" w:cs="宋体"/>
                <w:color w:val="000000"/>
                <w:spacing w:val="-32"/>
                <w:lang w:bidi="ar"/>
              </w:rPr>
              <w:t>煤炭批发经营，房屋租赁</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s="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s="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兖矿智慧生态有限责任公司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环境污染治理、生态修复</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内蒙古矿业（集团）有限责任公司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呼和浩特</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呼和浩特</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控股公司</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51</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乌兰察布市宏大实业有限公司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乌兰察布</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乌兰察布</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运营电力</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鄂尔多斯市锋威光电有限公司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太阳能、风能发电项目建设及生产运营</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内蒙古矿业资源投资控股有限公司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呼和浩特</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呼和浩特</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投资与资产管理</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鄂尔多斯市绿能光电有限公司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光能、电能设备材料销售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90.29</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鄂尔多斯文化产业园文化教育有限公司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教育软件研发、活动策划</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63.3</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内蒙古金控融资租赁有限公司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呼伦贝尔</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呼伦贝尔</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租赁业务</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55</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内蒙古伊泰嘎鲁图矿业有限公司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煤炭开采和洗选业</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52.77</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非同一控制下企业合并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鄂尔多斯市营盘壕煤炭有限公司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71.7</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内蒙古博珢泰煤炭有限公司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煤炭开采和洗选业</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陕西未来能源化工有限公司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化工产品、油品的研发、煤炭开采</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73.97</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陕西未来清洁油品与化学品销售有限公司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石油制品、化工产品、煤炭及制品销售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陕西未来清洁化学品有限公司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石油制品、化工产品、煤炭及制品销售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51</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兖矿榆林精细化工有限公司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费托合成催化剂等生产及销售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兖矿鲁南化工有限公司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山东滕州</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山东滕州</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化工产品生产、销售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兖矿济宁化工装备有限公司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化工产品生产、销售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兖矿煤化供销有限公司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化工产品销售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山东兖矿济三电力有限公司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火力发电及发电余热综合利用</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99</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兖矿物流科技有限公司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公共铁路运输；铁路机车车辆维修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兖矿铁路物流(榆林)有限公司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陕西榆林</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公共铁路运输、铁路机车车辆维修；煤炭及制品销售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62</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内蒙古蒙通铁路有限公司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煤炭加工、销售运输</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51</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内蒙古蒙达铁路有限公司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鄂尔多斯</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煤炭加工、销售运输</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67</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山东能源大厦上海有限公司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上海</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上海</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酒店管理</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75</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上海洲海工贸有限公司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上海</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上海</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化工原料及产品销售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山东能源集团鲁西矿业有限公司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51</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山东李楼煤业有限公司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肥城矿业集团梁宝寺能源有限责任公司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85</w:t>
            </w:r>
          </w:p>
        </w:tc>
        <w:tc>
          <w:tcPr>
            <w:tcW w:w="966" w:type="pct"/>
            <w:shd w:val="clear" w:color="auto" w:fill="auto"/>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山东新巨龙能源有限责任公司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1031" w:type="pct"/>
            <w:shd w:val="clear" w:color="auto" w:fill="auto"/>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60</w:t>
            </w:r>
          </w:p>
        </w:tc>
        <w:tc>
          <w:tcPr>
            <w:tcW w:w="966" w:type="pct"/>
            <w:shd w:val="clear" w:color="auto" w:fill="auto"/>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新矿巨野选煤有限公司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1031" w:type="pct"/>
            <w:shd w:val="clear" w:color="auto" w:fill="auto"/>
          </w:tcPr>
          <w:p>
            <w:pPr>
              <w:rPr>
                <w:rFonts w:ascii="宋体" w:hAnsi="宋体"/>
                <w:spacing w:val="-32"/>
              </w:rPr>
            </w:pPr>
            <w:r>
              <w:rPr>
                <w:rFonts w:hint="eastAsia" w:ascii="宋体" w:hAnsi="宋体"/>
                <w:color w:val="000000"/>
                <w:spacing w:val="-32"/>
                <w:lang w:bidi="ar"/>
              </w:rPr>
              <w:t>煤炭产品洗选加工</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临沂矿业集团菏泽煤电有限公司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1031" w:type="pct"/>
            <w:shd w:val="clear" w:color="auto" w:fill="auto"/>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83.59</w:t>
            </w:r>
          </w:p>
        </w:tc>
        <w:tc>
          <w:tcPr>
            <w:tcW w:w="966" w:type="pct"/>
            <w:shd w:val="clear" w:color="auto" w:fill="auto"/>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肥城矿业集团单县能源有限责任公司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山东菏泽</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spacing w:val="-32"/>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山东唐口煤业有限公司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卡松科技股份有限公司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化学原料和化学制品制造</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51</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山东淄矿铁路运输有限公司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物流贸易</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山东盟鲁采矿工程有限公司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建筑安装</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龙口矿业集团工程建设有限公司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山东烟台</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山东烟台</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工程建设</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tcPr>
          <w:p>
            <w:pPr>
              <w:rPr>
                <w:rFonts w:ascii="宋体" w:hAnsi="宋体"/>
                <w:spacing w:val="-32"/>
              </w:rPr>
            </w:pPr>
            <w:r>
              <w:rPr>
                <w:rFonts w:hint="eastAsia" w:ascii="宋体" w:hAnsi="宋体"/>
                <w:color w:val="000000"/>
                <w:spacing w:val="-32"/>
                <w:lang w:bidi="ar"/>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兖矿新疆能化有限公司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新疆乌鲁木齐</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新疆乌鲁木齐</w:t>
            </w:r>
          </w:p>
        </w:tc>
        <w:tc>
          <w:tcPr>
            <w:tcW w:w="1031" w:type="pct"/>
            <w:shd w:val="clear" w:color="auto" w:fill="auto"/>
            <w:vAlign w:val="center"/>
          </w:tcPr>
          <w:p>
            <w:pPr>
              <w:rPr>
                <w:rFonts w:ascii="宋体" w:hAnsi="宋体"/>
                <w:spacing w:val="-32"/>
              </w:rPr>
            </w:pPr>
            <w:r>
              <w:rPr>
                <w:rFonts w:hint="eastAsia" w:ascii="宋体" w:hAnsi="宋体"/>
                <w:spacing w:val="-32"/>
              </w:rPr>
              <w:t>项目投资、煤炭开采洗选等</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51</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spacing w:val="-32"/>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新疆兖矿其能煤业有限公司</w:t>
            </w:r>
          </w:p>
        </w:tc>
        <w:tc>
          <w:tcPr>
            <w:tcW w:w="481" w:type="pct"/>
            <w:shd w:val="clear" w:color="auto" w:fill="auto"/>
          </w:tcPr>
          <w:p>
            <w:pPr>
              <w:rPr>
                <w:rFonts w:ascii="宋体" w:hAnsi="宋体"/>
                <w:spacing w:val="-32"/>
              </w:rPr>
            </w:pPr>
            <w:r>
              <w:rPr>
                <w:rFonts w:hint="eastAsia" w:ascii="宋体" w:hAnsi="宋体"/>
                <w:color w:val="000000"/>
                <w:spacing w:val="-32"/>
                <w:lang w:bidi="ar"/>
              </w:rPr>
              <w:t>新疆昌吉</w:t>
            </w:r>
          </w:p>
        </w:tc>
        <w:tc>
          <w:tcPr>
            <w:tcW w:w="660" w:type="pct"/>
            <w:shd w:val="clear" w:color="auto" w:fill="auto"/>
          </w:tcPr>
          <w:p>
            <w:pPr>
              <w:rPr>
                <w:rFonts w:ascii="宋体" w:hAnsi="宋体"/>
                <w:spacing w:val="-32"/>
              </w:rPr>
            </w:pPr>
            <w:r>
              <w:rPr>
                <w:rFonts w:hint="eastAsia" w:ascii="宋体" w:hAnsi="宋体"/>
                <w:color w:val="000000"/>
                <w:spacing w:val="-32"/>
                <w:lang w:bidi="ar"/>
              </w:rPr>
              <w:t>新疆昌吉</w:t>
            </w:r>
          </w:p>
        </w:tc>
        <w:tc>
          <w:tcPr>
            <w:tcW w:w="1031" w:type="pct"/>
            <w:shd w:val="clear" w:color="auto" w:fill="auto"/>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tcPr>
          <w:p>
            <w:pPr>
              <w:jc w:val="right"/>
              <w:rPr>
                <w:rFonts w:ascii="宋体" w:hAnsi="宋体"/>
                <w:spacing w:val="-32"/>
              </w:rPr>
            </w:pPr>
          </w:p>
        </w:tc>
        <w:tc>
          <w:tcPr>
            <w:tcW w:w="330" w:type="pct"/>
            <w:shd w:val="clear" w:color="auto" w:fill="auto"/>
          </w:tcPr>
          <w:p>
            <w:pPr>
              <w:jc w:val="right"/>
              <w:rPr>
                <w:rFonts w:ascii="宋体" w:hAnsi="宋体"/>
                <w:spacing w:val="-32"/>
              </w:rPr>
            </w:pPr>
            <w:r>
              <w:rPr>
                <w:rFonts w:hint="eastAsia" w:ascii="宋体" w:hAnsi="宋体"/>
                <w:color w:val="000000"/>
                <w:spacing w:val="-32"/>
                <w:lang w:bidi="ar"/>
              </w:rPr>
              <w:t>76</w:t>
            </w:r>
          </w:p>
        </w:tc>
        <w:tc>
          <w:tcPr>
            <w:tcW w:w="966" w:type="pct"/>
            <w:shd w:val="clear" w:color="auto" w:fill="auto"/>
          </w:tcPr>
          <w:p>
            <w:pPr>
              <w:rPr>
                <w:rFonts w:ascii="宋体" w:hAnsi="宋体"/>
                <w:spacing w:val="-32"/>
              </w:rPr>
            </w:pPr>
            <w:r>
              <w:rPr>
                <w:rFonts w:hint="eastAsia" w:ascii="宋体" w:hAnsi="宋体"/>
                <w:spacing w:val="-32"/>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兖矿新疆矿业有限公司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新疆昌吉</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新疆昌吉</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煤炭开采及销售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51</w:t>
            </w:r>
          </w:p>
        </w:tc>
        <w:tc>
          <w:tcPr>
            <w:tcW w:w="966" w:type="pct"/>
            <w:shd w:val="clear" w:color="auto" w:fill="auto"/>
            <w:vAlign w:val="center"/>
          </w:tcPr>
          <w:p>
            <w:pPr>
              <w:rPr>
                <w:rFonts w:ascii="宋体" w:hAnsi="宋体"/>
                <w:spacing w:val="-32"/>
              </w:rPr>
            </w:pPr>
            <w:r>
              <w:rPr>
                <w:rFonts w:hint="eastAsia" w:ascii="宋体" w:hAnsi="宋体"/>
                <w:spacing w:val="-32"/>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兖矿新疆煤化工有限公司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新疆乌鲁木齐</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新疆乌鲁木齐</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化学原料和化学制品制造业</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spacing w:val="-32"/>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中垠新疆房地产开发有限公司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新疆乌鲁木齐</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新疆乌鲁木齐</w:t>
            </w:r>
          </w:p>
        </w:tc>
        <w:tc>
          <w:tcPr>
            <w:tcW w:w="1031" w:type="pct"/>
            <w:shd w:val="clear" w:color="auto" w:fill="auto"/>
            <w:vAlign w:val="center"/>
          </w:tcPr>
          <w:p>
            <w:pPr>
              <w:rPr>
                <w:rFonts w:ascii="宋体" w:hAnsi="宋体"/>
                <w:spacing w:val="-32"/>
              </w:rPr>
            </w:pPr>
            <w:r>
              <w:rPr>
                <w:rFonts w:hint="eastAsia" w:ascii="宋体" w:hAnsi="宋体" w:cs="Arial"/>
                <w:color w:val="000000"/>
                <w:spacing w:val="-32"/>
                <w:lang w:bidi="ar"/>
              </w:rPr>
              <w:t>房地产开发与租赁</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spacing w:val="-32"/>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新疆山能化工有限公司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新疆乌鲁木齐</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新疆乌鲁木齐</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甲醇、尿素等产品的生产与销售</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spacing w:val="-32"/>
              </w:rPr>
              <w:t>同一控制下企业合并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新汶矿业集团（伊犁）能源开发有限责任公司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新疆昌吉</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新疆昌吉</w:t>
            </w:r>
          </w:p>
        </w:tc>
        <w:tc>
          <w:tcPr>
            <w:tcW w:w="1031" w:type="pct"/>
            <w:shd w:val="clear" w:color="auto" w:fill="auto"/>
            <w:vAlign w:val="center"/>
          </w:tcPr>
          <w:p>
            <w:pPr>
              <w:rPr>
                <w:rFonts w:ascii="宋体" w:hAnsi="宋体"/>
                <w:spacing w:val="-32"/>
              </w:rPr>
            </w:pPr>
            <w:r>
              <w:rPr>
                <w:rFonts w:hint="eastAsia" w:ascii="宋体" w:hAnsi="宋体" w:cs="Arial"/>
                <w:color w:val="000000"/>
                <w:spacing w:val="-32"/>
                <w:lang w:bidi="ar"/>
              </w:rPr>
              <w:t>煤炭化工</w:t>
            </w:r>
          </w:p>
        </w:tc>
        <w:tc>
          <w:tcPr>
            <w:tcW w:w="329" w:type="pct"/>
            <w:shd w:val="clear" w:color="auto" w:fill="auto"/>
            <w:vAlign w:val="center"/>
          </w:tcPr>
          <w:p>
            <w:pPr>
              <w:jc w:val="right"/>
              <w:rPr>
                <w:rFonts w:ascii="宋体" w:hAnsi="宋体"/>
                <w:spacing w:val="-32"/>
              </w:rPr>
            </w:pPr>
          </w:p>
        </w:tc>
        <w:tc>
          <w:tcPr>
            <w:tcW w:w="330"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966" w:type="pct"/>
            <w:shd w:val="clear" w:color="auto" w:fill="auto"/>
            <w:vAlign w:val="center"/>
          </w:tcPr>
          <w:p>
            <w:pPr>
              <w:rPr>
                <w:rFonts w:ascii="宋体" w:hAnsi="宋体"/>
                <w:spacing w:val="-32"/>
              </w:rPr>
            </w:pPr>
            <w:r>
              <w:rPr>
                <w:rFonts w:hint="eastAsia" w:ascii="宋体" w:hAnsi="宋体" w:cs="Arial"/>
                <w:color w:val="000000"/>
                <w:spacing w:val="-32"/>
                <w:lang w:bidi="ar"/>
              </w:rPr>
              <w:t>同一控制下合并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兖矿煤化工程有限公司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山东济宁</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煤化机械加工、安装、维修</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邹城诚验材料检测试验有限公司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山东邹城</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ab/>
            </w:r>
            <w:r>
              <w:rPr>
                <w:rFonts w:hint="eastAsia" w:ascii="宋体" w:hAnsi="宋体"/>
                <w:color w:val="000000"/>
                <w:spacing w:val="-32"/>
                <w:lang w:bidi="ar"/>
              </w:rPr>
              <w:t>矿用产品支护材料检测试验等</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1</w:t>
            </w:r>
            <w:r>
              <w:rPr>
                <w:rFonts w:ascii="宋体" w:hAnsi="宋体"/>
                <w:color w:val="000000"/>
                <w:spacing w:val="-32"/>
                <w:lang w:bidi="ar"/>
              </w:rPr>
              <w:t>00</w:t>
            </w:r>
          </w:p>
        </w:tc>
        <w:tc>
          <w:tcPr>
            <w:tcW w:w="330" w:type="pct"/>
            <w:shd w:val="clear" w:color="auto" w:fill="auto"/>
            <w:vAlign w:val="center"/>
          </w:tcPr>
          <w:p>
            <w:pPr>
              <w:jc w:val="right"/>
              <w:rPr>
                <w:rFonts w:ascii="宋体" w:hAnsi="宋体"/>
                <w:spacing w:val="-32"/>
              </w:rPr>
            </w:pP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投资设立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pct"/>
            <w:shd w:val="clear" w:color="auto" w:fill="auto"/>
            <w:vAlign w:val="center"/>
          </w:tcPr>
          <w:p>
            <w:pPr>
              <w:rPr>
                <w:rFonts w:ascii="宋体" w:hAnsi="宋体"/>
                <w:spacing w:val="-32"/>
              </w:rPr>
            </w:pPr>
            <w:r>
              <w:rPr>
                <w:rFonts w:hint="eastAsia" w:ascii="宋体" w:hAnsi="宋体"/>
                <w:color w:val="000000"/>
                <w:spacing w:val="-32"/>
                <w:lang w:bidi="ar"/>
              </w:rPr>
              <w:t>山东能源集团财务有限公司</w:t>
            </w:r>
          </w:p>
        </w:tc>
        <w:tc>
          <w:tcPr>
            <w:tcW w:w="481" w:type="pct"/>
            <w:shd w:val="clear" w:color="auto" w:fill="auto"/>
            <w:vAlign w:val="center"/>
          </w:tcPr>
          <w:p>
            <w:pPr>
              <w:rPr>
                <w:rFonts w:ascii="宋体" w:hAnsi="宋体"/>
                <w:spacing w:val="-32"/>
              </w:rPr>
            </w:pPr>
            <w:r>
              <w:rPr>
                <w:rFonts w:hint="eastAsia" w:ascii="宋体" w:hAnsi="宋体"/>
                <w:color w:val="000000"/>
                <w:spacing w:val="-32"/>
                <w:lang w:bidi="ar"/>
              </w:rPr>
              <w:t>山东济南</w:t>
            </w:r>
          </w:p>
        </w:tc>
        <w:tc>
          <w:tcPr>
            <w:tcW w:w="660" w:type="pct"/>
            <w:shd w:val="clear" w:color="auto" w:fill="auto"/>
            <w:vAlign w:val="center"/>
          </w:tcPr>
          <w:p>
            <w:pPr>
              <w:rPr>
                <w:rFonts w:ascii="宋体" w:hAnsi="宋体"/>
                <w:spacing w:val="-32"/>
              </w:rPr>
            </w:pPr>
            <w:r>
              <w:rPr>
                <w:rFonts w:hint="eastAsia" w:ascii="宋体" w:hAnsi="宋体"/>
                <w:color w:val="000000"/>
                <w:spacing w:val="-32"/>
                <w:lang w:bidi="ar"/>
              </w:rPr>
              <w:t>山东济南</w:t>
            </w:r>
          </w:p>
        </w:tc>
        <w:tc>
          <w:tcPr>
            <w:tcW w:w="1031" w:type="pct"/>
            <w:shd w:val="clear" w:color="auto" w:fill="auto"/>
            <w:vAlign w:val="center"/>
          </w:tcPr>
          <w:p>
            <w:pPr>
              <w:rPr>
                <w:rFonts w:ascii="宋体" w:hAnsi="宋体"/>
                <w:spacing w:val="-32"/>
              </w:rPr>
            </w:pPr>
            <w:r>
              <w:rPr>
                <w:rFonts w:hint="eastAsia" w:ascii="宋体" w:hAnsi="宋体"/>
                <w:color w:val="000000"/>
                <w:spacing w:val="-32"/>
                <w:lang w:bidi="ar"/>
              </w:rPr>
              <w:t>企业集团财务公司服务</w:t>
            </w:r>
          </w:p>
        </w:tc>
        <w:tc>
          <w:tcPr>
            <w:tcW w:w="329" w:type="pct"/>
            <w:shd w:val="clear" w:color="auto" w:fill="auto"/>
            <w:vAlign w:val="center"/>
          </w:tcPr>
          <w:p>
            <w:pPr>
              <w:jc w:val="right"/>
              <w:rPr>
                <w:rFonts w:ascii="宋体" w:hAnsi="宋体"/>
                <w:spacing w:val="-32"/>
              </w:rPr>
            </w:pPr>
            <w:r>
              <w:rPr>
                <w:rFonts w:hint="eastAsia" w:ascii="宋体" w:hAnsi="宋体"/>
                <w:color w:val="000000"/>
                <w:spacing w:val="-32"/>
                <w:lang w:bidi="ar"/>
              </w:rPr>
              <w:t>53.92</w:t>
            </w:r>
          </w:p>
        </w:tc>
        <w:tc>
          <w:tcPr>
            <w:tcW w:w="330" w:type="pct"/>
            <w:shd w:val="clear" w:color="auto" w:fill="auto"/>
            <w:vAlign w:val="center"/>
          </w:tcPr>
          <w:p>
            <w:pPr>
              <w:jc w:val="right"/>
              <w:rPr>
                <w:rFonts w:ascii="宋体" w:hAnsi="宋体"/>
                <w:spacing w:val="-32"/>
              </w:rPr>
            </w:pPr>
            <w:r>
              <w:rPr>
                <w:rFonts w:hint="eastAsia" w:ascii="宋体" w:hAnsi="宋体"/>
                <w:spacing w:val="-32"/>
              </w:rPr>
              <w:t>0</w:t>
            </w:r>
            <w:r>
              <w:rPr>
                <w:rFonts w:ascii="宋体" w:hAnsi="宋体"/>
                <w:spacing w:val="-32"/>
              </w:rPr>
              <w:t>.88</w:t>
            </w:r>
          </w:p>
        </w:tc>
        <w:tc>
          <w:tcPr>
            <w:tcW w:w="966" w:type="pct"/>
            <w:shd w:val="clear" w:color="auto" w:fill="auto"/>
            <w:vAlign w:val="center"/>
          </w:tcPr>
          <w:p>
            <w:pPr>
              <w:rPr>
                <w:rFonts w:ascii="宋体" w:hAnsi="宋体"/>
                <w:spacing w:val="-32"/>
              </w:rPr>
            </w:pPr>
            <w:r>
              <w:rPr>
                <w:rFonts w:hint="eastAsia" w:ascii="宋体" w:hAnsi="宋体"/>
                <w:color w:val="000000"/>
                <w:spacing w:val="-32"/>
                <w:lang w:bidi="ar"/>
              </w:rPr>
              <w:t>同一控制下合并</w:t>
            </w:r>
          </w:p>
        </w:tc>
      </w:tr>
    </w:tbl>
    <w:p>
      <w:pPr>
        <w:pStyle w:val="501"/>
      </w:pPr>
    </w:p>
    <w:p>
      <w:pPr>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主要子公司简介如下：</w:t>
      </w:r>
    </w:p>
    <w:p>
      <w:pPr>
        <w:widowControl/>
        <w:numPr>
          <w:ilvl w:val="0"/>
          <w:numId w:val="118"/>
        </w:numPr>
        <w:tabs>
          <w:tab w:val="left" w:pos="567"/>
          <w:tab w:val="clear" w:pos="420"/>
        </w:tabs>
        <w:snapToGrid w:val="0"/>
        <w:spacing w:before="120" w:beforeLines="50" w:after="120" w:afterLines="50" w:line="360" w:lineRule="exact"/>
        <w:ind w:left="862"/>
        <w:jc w:val="left"/>
        <w:rPr>
          <w:rFonts w:ascii="宋体" w:hAnsi="宋体" w:cs="宋体"/>
          <w:snapToGrid w:val="0"/>
          <w:kern w:val="0"/>
        </w:rPr>
      </w:pPr>
      <w:r>
        <w:rPr>
          <w:rFonts w:hint="eastAsia" w:ascii="宋体" w:hAnsi="宋体" w:cs="宋体"/>
          <w:snapToGrid w:val="0"/>
          <w:color w:val="000000"/>
          <w:kern w:val="0"/>
          <w:lang w:bidi="ar"/>
        </w:rPr>
        <w:t>兖州煤业澳大利亚有限公司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兖州煤业澳大利亚有限公司系本公司控股子公司，成立于2004年11月，实收资本6,400万澳元。2011年9月，本公司对澳洲公司增资90,900万澳元，澳洲公司注册资本增加为97,300万澳元。2012年6月，澳洲公司剥离部分资产至兖煤国际（控股）有限公司，导致注册资本减少65,314万澳元，为子公司收购格罗斯特发行股票增加注册资本33,684万澳元后，澳洲公司注册资本变更为65,670万澳元，2014年，澳洲公司通过发行可转换混合资本票据及实现或有期权（CVR）使注册资本增加至310,556万澳元，本公司持有澳洲公司股权变更为78%。同时澳洲公司取代格罗斯特于2012年6月28日在澳大利亚证券交易所上市交易。澳洲公司注册登记号为111859119，主要负责本公司在澳大利亚的营运、预算、投融资等活动。</w:t>
      </w:r>
    </w:p>
    <w:p>
      <w:pPr>
        <w:widowControl/>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于2017年8月31日，本公司将其持有的1,800,003,100美元，折合人民币11,014,218,969元澳洲公司混合债以每股0.1美元的价格转换为澳洲公司18,000,031,000股股份。同时澳洲公司以每股0.1美元的价格配股发行了23,464,929,520股股份，并向机构投资者以每股0.1美元定向增发了1,500,000,000股股份，本公司以10亿美元，折合人民币6,629,300,000元认购取得澳洲公司100亿股股份。澳洲公司完成混合债转股、配股、定向增发后，本公司持有澳洲公司的股份由77,548,899股增加至28,775,519,994股，持股比例由78%下降至65.46%。</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经本公司于2018年6月29日召开的第七届董事会第十五次会议审议批准，澳洲公司于2018年6月29日向香港联交所有限公司保密递交了上市申请。于2018年12月6日，澳洲公司实现了香港联交所上市，澳洲公司为实现上市而发售澳洲公司股份，并经全球发售、配股及超额配售权部分行使全部完成后，澳洲公司已发行股份总数由1,256,071,756股增加至1,320,439,437股，本公司持有澳洲公司的股份数量仍为822,157,715股，持股比例由约65.45%稀释为约62.26%。</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澳洲公司主要控股子公司如下：</w:t>
      </w:r>
    </w:p>
    <w:tbl>
      <w:tblPr>
        <w:tblStyle w:val="964"/>
        <w:tblW w:w="8720" w:type="dxa"/>
        <w:tblInd w:w="-34" w:type="dxa"/>
        <w:tblBorders>
          <w:top w:val="double" w:color="auto" w:sz="4" w:space="0"/>
          <w:left w:val="none" w:color="auto" w:sz="6" w:space="0"/>
          <w:bottom w:val="double" w:color="auto" w:sz="4" w:space="0"/>
          <w:right w:val="non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2974"/>
        <w:gridCol w:w="1136"/>
        <w:gridCol w:w="1559"/>
        <w:gridCol w:w="1983"/>
        <w:gridCol w:w="1068"/>
      </w:tblGrid>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975" w:type="dxa"/>
            <w:tcBorders>
              <w:top w:val="double" w:color="auto" w:sz="4" w:space="0"/>
              <w:left w:val="nil"/>
              <w:bottom w:val="single" w:color="auto" w:sz="2" w:space="0"/>
              <w:right w:val="single" w:color="auto" w:sz="2" w:space="0"/>
            </w:tcBorders>
            <w:shd w:val="clear" w:color="auto" w:fill="auto"/>
            <w:vAlign w:val="center"/>
          </w:tcPr>
          <w:p>
            <w:pPr>
              <w:widowControl/>
              <w:snapToGrid w:val="0"/>
              <w:rPr>
                <w:rFonts w:ascii="宋体" w:hAnsi="宋体" w:cs="宋体"/>
                <w:b/>
                <w:spacing w:val="-20"/>
                <w:kern w:val="0"/>
              </w:rPr>
            </w:pPr>
            <w:r>
              <w:rPr>
                <w:rFonts w:hint="eastAsia" w:ascii="宋体" w:hAnsi="宋体" w:cs="宋体"/>
                <w:b/>
                <w:spacing w:val="-20"/>
                <w:kern w:val="0"/>
                <w:lang w:bidi="ar"/>
              </w:rPr>
              <w:t>公司名称</w:t>
            </w:r>
          </w:p>
        </w:tc>
        <w:tc>
          <w:tcPr>
            <w:tcW w:w="1136"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lang w:bidi="ar"/>
              </w:rPr>
              <w:t>注册地</w:t>
            </w:r>
          </w:p>
        </w:tc>
        <w:tc>
          <w:tcPr>
            <w:tcW w:w="1560"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lang w:bidi="ar"/>
              </w:rPr>
              <w:t>注册资本</w:t>
            </w:r>
          </w:p>
        </w:tc>
        <w:tc>
          <w:tcPr>
            <w:tcW w:w="1984"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lang w:bidi="ar"/>
              </w:rPr>
              <w:t>经营范围</w:t>
            </w:r>
          </w:p>
        </w:tc>
        <w:tc>
          <w:tcPr>
            <w:tcW w:w="1068" w:type="dxa"/>
            <w:tcBorders>
              <w:top w:val="double" w:color="auto" w:sz="4"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lang w:bidi="ar"/>
              </w:rPr>
              <w:t>持股比例(%)</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5"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格罗斯特煤炭有限公司</w:t>
            </w:r>
          </w:p>
        </w:tc>
        <w:tc>
          <w:tcPr>
            <w:tcW w:w="113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spacing w:val="-20"/>
                <w:kern w:val="0"/>
              </w:rPr>
            </w:pPr>
            <w:r>
              <w:rPr>
                <w:rFonts w:hint="eastAsia" w:ascii="Times New Roman" w:hAnsi="Times New Roman" w:cs="宋体"/>
                <w:snapToGrid w:val="0"/>
                <w:color w:val="000000"/>
                <w:spacing w:val="-20"/>
                <w:kern w:val="0"/>
                <w:lang w:bidi="ar"/>
              </w:rPr>
              <w:t>澳大利亚</w:t>
            </w:r>
          </w:p>
        </w:tc>
        <w:tc>
          <w:tcPr>
            <w:tcW w:w="156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31" w:leftChars="-76" w:hanging="129" w:hangingChars="76"/>
              <w:jc w:val="right"/>
              <w:rPr>
                <w:rFonts w:ascii="宋体" w:hAnsi="宋体" w:cs="宋体"/>
                <w:spacing w:val="-20"/>
                <w:kern w:val="0"/>
              </w:rPr>
            </w:pPr>
            <w:r>
              <w:rPr>
                <w:rFonts w:hint="eastAsia" w:ascii="宋体" w:hAnsi="宋体" w:cs="宋体"/>
                <w:spacing w:val="-20"/>
                <w:kern w:val="0"/>
                <w:lang w:bidi="ar"/>
              </w:rPr>
              <w:t>71,972万</w:t>
            </w:r>
            <w:r>
              <w:rPr>
                <w:rFonts w:hint="eastAsia" w:ascii="宋体" w:hAnsi="宋体" w:cs="宋体"/>
                <w:color w:val="000000"/>
                <w:spacing w:val="-20"/>
                <w:kern w:val="0"/>
                <w:lang w:bidi="ar"/>
              </w:rPr>
              <w:t>澳元</w:t>
            </w:r>
          </w:p>
        </w:tc>
        <w:tc>
          <w:tcPr>
            <w:tcW w:w="1984"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105" w:leftChars="-50"/>
              <w:rPr>
                <w:rFonts w:ascii="宋体" w:hAnsi="宋体" w:cs="宋体"/>
                <w:spacing w:val="-20"/>
                <w:kern w:val="0"/>
              </w:rPr>
            </w:pPr>
            <w:r>
              <w:rPr>
                <w:rFonts w:hint="eastAsia" w:ascii="宋体" w:hAnsi="宋体" w:cs="宋体"/>
                <w:color w:val="000000"/>
                <w:spacing w:val="-20"/>
                <w:kern w:val="0"/>
                <w:lang w:bidi="ar"/>
              </w:rPr>
              <w:t>煤炭及煤炭相关资源的开发和运营</w:t>
            </w:r>
          </w:p>
        </w:tc>
        <w:tc>
          <w:tcPr>
            <w:tcW w:w="1068"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5"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兖煤澳大利亚资源有限公司</w:t>
            </w:r>
          </w:p>
        </w:tc>
        <w:tc>
          <w:tcPr>
            <w:tcW w:w="113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spacing w:val="-20"/>
                <w:kern w:val="0"/>
                <w:lang w:eastAsia="en-US"/>
              </w:rPr>
            </w:pPr>
            <w:r>
              <w:rPr>
                <w:rFonts w:hint="eastAsia" w:ascii="Times New Roman" w:hAnsi="Times New Roman" w:cs="宋体"/>
                <w:snapToGrid w:val="0"/>
                <w:color w:val="000000"/>
                <w:spacing w:val="-20"/>
                <w:kern w:val="0"/>
                <w:lang w:bidi="ar"/>
              </w:rPr>
              <w:t>澳大利亚</w:t>
            </w:r>
          </w:p>
        </w:tc>
        <w:tc>
          <w:tcPr>
            <w:tcW w:w="156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31" w:leftChars="-76" w:hanging="129" w:hangingChars="76"/>
              <w:jc w:val="right"/>
              <w:rPr>
                <w:rFonts w:ascii="宋体" w:hAnsi="宋体" w:cs="宋体"/>
                <w:spacing w:val="-20"/>
                <w:kern w:val="0"/>
              </w:rPr>
            </w:pPr>
            <w:r>
              <w:rPr>
                <w:rFonts w:hint="eastAsia" w:ascii="宋体" w:hAnsi="宋体" w:cs="宋体"/>
                <w:spacing w:val="-20"/>
                <w:kern w:val="0"/>
                <w:lang w:bidi="ar"/>
              </w:rPr>
              <w:t>44,641万澳元</w:t>
            </w:r>
          </w:p>
        </w:tc>
        <w:tc>
          <w:tcPr>
            <w:tcW w:w="1984"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105" w:leftChars="-50"/>
              <w:rPr>
                <w:rFonts w:ascii="宋体" w:hAnsi="宋体" w:cs="宋体"/>
                <w:spacing w:val="-20"/>
                <w:kern w:val="0"/>
              </w:rPr>
            </w:pPr>
            <w:r>
              <w:rPr>
                <w:rFonts w:hint="eastAsia" w:ascii="宋体" w:hAnsi="宋体" w:cs="宋体"/>
                <w:color w:val="000000"/>
                <w:spacing w:val="-20"/>
                <w:kern w:val="0"/>
                <w:lang w:bidi="ar"/>
              </w:rPr>
              <w:t>煤炭开采与勘探</w:t>
            </w:r>
          </w:p>
        </w:tc>
        <w:tc>
          <w:tcPr>
            <w:tcW w:w="1068"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5"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兖煤澳大利亚配煤销售有限公司</w:t>
            </w:r>
          </w:p>
        </w:tc>
        <w:tc>
          <w:tcPr>
            <w:tcW w:w="113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spacing w:val="-20"/>
                <w:kern w:val="0"/>
                <w:lang w:eastAsia="en-US"/>
              </w:rPr>
            </w:pPr>
            <w:r>
              <w:rPr>
                <w:rFonts w:hint="eastAsia" w:ascii="Times New Roman" w:hAnsi="Times New Roman" w:cs="宋体"/>
                <w:snapToGrid w:val="0"/>
                <w:color w:val="000000"/>
                <w:spacing w:val="-20"/>
                <w:kern w:val="0"/>
                <w:lang w:bidi="ar"/>
              </w:rPr>
              <w:t>澳大利亚</w:t>
            </w:r>
          </w:p>
        </w:tc>
        <w:tc>
          <w:tcPr>
            <w:tcW w:w="156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31" w:leftChars="-76" w:hanging="129" w:hangingChars="76"/>
              <w:jc w:val="right"/>
              <w:rPr>
                <w:rFonts w:ascii="宋体" w:hAnsi="宋体" w:cs="宋体"/>
                <w:spacing w:val="-20"/>
                <w:kern w:val="0"/>
              </w:rPr>
            </w:pPr>
            <w:r>
              <w:rPr>
                <w:rFonts w:hint="eastAsia" w:ascii="宋体" w:hAnsi="宋体" w:cs="宋体"/>
                <w:spacing w:val="-20"/>
                <w:kern w:val="0"/>
                <w:lang w:bidi="ar"/>
              </w:rPr>
              <w:t>100澳元</w:t>
            </w:r>
          </w:p>
        </w:tc>
        <w:tc>
          <w:tcPr>
            <w:tcW w:w="1984"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105" w:leftChars="-50"/>
              <w:rPr>
                <w:rFonts w:ascii="宋体" w:hAnsi="宋体" w:cs="宋体"/>
                <w:spacing w:val="-20"/>
                <w:kern w:val="0"/>
              </w:rPr>
            </w:pPr>
            <w:r>
              <w:rPr>
                <w:rFonts w:hint="eastAsia" w:ascii="宋体" w:hAnsi="宋体" w:cs="宋体"/>
                <w:color w:val="000000"/>
                <w:spacing w:val="-20"/>
                <w:kern w:val="0"/>
                <w:lang w:bidi="ar"/>
              </w:rPr>
              <w:t>混煤的销售</w:t>
            </w:r>
          </w:p>
        </w:tc>
        <w:tc>
          <w:tcPr>
            <w:tcW w:w="1068"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5"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兖煤矿业服务有限公司</w:t>
            </w:r>
          </w:p>
        </w:tc>
        <w:tc>
          <w:tcPr>
            <w:tcW w:w="113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spacing w:val="-20"/>
                <w:kern w:val="0"/>
                <w:lang w:eastAsia="en-US"/>
              </w:rPr>
            </w:pPr>
            <w:r>
              <w:rPr>
                <w:rFonts w:hint="eastAsia" w:ascii="Times New Roman" w:hAnsi="Times New Roman" w:cs="宋体"/>
                <w:snapToGrid w:val="0"/>
                <w:color w:val="000000"/>
                <w:spacing w:val="-20"/>
                <w:kern w:val="0"/>
                <w:lang w:bidi="ar"/>
              </w:rPr>
              <w:t>澳大利亚</w:t>
            </w:r>
          </w:p>
        </w:tc>
        <w:tc>
          <w:tcPr>
            <w:tcW w:w="156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31" w:leftChars="-76" w:hanging="129" w:hangingChars="76"/>
              <w:jc w:val="right"/>
              <w:rPr>
                <w:rFonts w:ascii="宋体" w:hAnsi="宋体" w:cs="宋体"/>
                <w:spacing w:val="-20"/>
                <w:kern w:val="0"/>
              </w:rPr>
            </w:pPr>
            <w:r>
              <w:rPr>
                <w:rFonts w:hint="eastAsia" w:ascii="宋体" w:hAnsi="宋体" w:cs="宋体"/>
                <w:spacing w:val="-20"/>
                <w:kern w:val="0"/>
                <w:lang w:bidi="ar"/>
              </w:rPr>
              <w:t>100澳元</w:t>
            </w:r>
          </w:p>
        </w:tc>
        <w:tc>
          <w:tcPr>
            <w:tcW w:w="1984"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矿业服务</w:t>
            </w:r>
          </w:p>
        </w:tc>
        <w:tc>
          <w:tcPr>
            <w:tcW w:w="1068"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5"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联合煤炭工业有限公司</w:t>
            </w:r>
          </w:p>
        </w:tc>
        <w:tc>
          <w:tcPr>
            <w:tcW w:w="113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pacing w:val="-20"/>
                <w:kern w:val="0"/>
              </w:rPr>
            </w:pPr>
            <w:r>
              <w:rPr>
                <w:rFonts w:hint="eastAsia" w:ascii="Times New Roman" w:hAnsi="Times New Roman" w:cs="宋体"/>
                <w:color w:val="000000"/>
                <w:spacing w:val="-20"/>
                <w:kern w:val="0"/>
                <w:lang w:bidi="ar"/>
              </w:rPr>
              <w:t>澳大利亚</w:t>
            </w:r>
          </w:p>
        </w:tc>
        <w:tc>
          <w:tcPr>
            <w:tcW w:w="156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31" w:leftChars="-76" w:hanging="129" w:hangingChars="76"/>
              <w:jc w:val="right"/>
              <w:rPr>
                <w:rFonts w:ascii="宋体" w:hAnsi="宋体" w:cs="宋体"/>
                <w:spacing w:val="-20"/>
                <w:kern w:val="0"/>
              </w:rPr>
            </w:pPr>
            <w:r>
              <w:rPr>
                <w:rFonts w:hint="eastAsia" w:ascii="宋体" w:hAnsi="宋体" w:cs="宋体"/>
                <w:spacing w:val="-20"/>
                <w:kern w:val="0"/>
                <w:lang w:bidi="ar"/>
              </w:rPr>
              <w:t>86,584,735澳元</w:t>
            </w:r>
          </w:p>
        </w:tc>
        <w:tc>
          <w:tcPr>
            <w:tcW w:w="1984"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煤炭开采和煤矿经营</w:t>
            </w:r>
          </w:p>
        </w:tc>
        <w:tc>
          <w:tcPr>
            <w:tcW w:w="1068"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pacing w:val="-20"/>
                <w:kern w:val="0"/>
              </w:rPr>
            </w:pPr>
            <w:r>
              <w:rPr>
                <w:rFonts w:hint="eastAsia" w:ascii="宋体" w:hAnsi="宋体" w:cs="宋体"/>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5"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jc w:val="left"/>
              <w:rPr>
                <w:rFonts w:ascii="宋体" w:hAnsi="宋体" w:cs="宋体"/>
                <w:spacing w:val="-20"/>
                <w:kern w:val="0"/>
              </w:rPr>
            </w:pPr>
            <w:r>
              <w:rPr>
                <w:rFonts w:hint="eastAsia" w:ascii="宋体" w:hAnsi="宋体" w:cs="宋体"/>
                <w:snapToGrid w:val="0"/>
                <w:color w:val="000000"/>
                <w:spacing w:val="-20"/>
                <w:kern w:val="0"/>
                <w:lang w:bidi="ar"/>
              </w:rPr>
              <w:t>兖煤澳洲莫拉本私有有限公司</w:t>
            </w:r>
          </w:p>
        </w:tc>
        <w:tc>
          <w:tcPr>
            <w:tcW w:w="113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spacing w:val="-20"/>
                <w:kern w:val="0"/>
                <w:lang w:eastAsia="en-US"/>
              </w:rPr>
            </w:pPr>
            <w:r>
              <w:rPr>
                <w:rFonts w:hint="eastAsia" w:ascii="Times New Roman" w:hAnsi="Times New Roman" w:cs="宋体"/>
                <w:snapToGrid w:val="0"/>
                <w:color w:val="000000"/>
                <w:spacing w:val="-20"/>
                <w:kern w:val="0"/>
                <w:lang w:bidi="ar"/>
              </w:rPr>
              <w:t>澳大利亚</w:t>
            </w:r>
          </w:p>
        </w:tc>
        <w:tc>
          <w:tcPr>
            <w:tcW w:w="156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31" w:leftChars="-76" w:hanging="129" w:hangingChars="76"/>
              <w:jc w:val="right"/>
              <w:rPr>
                <w:rFonts w:ascii="宋体" w:hAnsi="宋体" w:cs="宋体"/>
                <w:snapToGrid w:val="0"/>
                <w:spacing w:val="-20"/>
                <w:kern w:val="0"/>
                <w:lang w:eastAsia="en-US"/>
              </w:rPr>
            </w:pPr>
            <w:r>
              <w:rPr>
                <w:rFonts w:hint="eastAsia" w:ascii="宋体" w:hAnsi="宋体" w:cs="宋体"/>
                <w:snapToGrid w:val="0"/>
                <w:color w:val="000000"/>
                <w:spacing w:val="-20"/>
                <w:kern w:val="0"/>
                <w:lang w:bidi="ar"/>
              </w:rPr>
              <w:t>100澳元</w:t>
            </w:r>
          </w:p>
        </w:tc>
        <w:tc>
          <w:tcPr>
            <w:tcW w:w="1984"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105" w:leftChars="-50" w:right="-111" w:rightChars="-53"/>
              <w:jc w:val="left"/>
              <w:rPr>
                <w:rFonts w:ascii="宋体" w:hAnsi="宋体" w:cs="宋体"/>
                <w:spacing w:val="-20"/>
                <w:kern w:val="0"/>
                <w:lang w:eastAsia="en-US"/>
              </w:rPr>
            </w:pPr>
            <w:r>
              <w:rPr>
                <w:rFonts w:hint="eastAsia" w:ascii="宋体" w:hAnsi="宋体" w:cs="宋体"/>
                <w:snapToGrid w:val="0"/>
                <w:color w:val="000000"/>
                <w:spacing w:val="-20"/>
                <w:kern w:val="0"/>
                <w:lang w:bidi="ar"/>
              </w:rPr>
              <w:t>煤炭开采和煤矿经营</w:t>
            </w:r>
          </w:p>
        </w:tc>
        <w:tc>
          <w:tcPr>
            <w:tcW w:w="1068"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lang w:eastAsia="en-US"/>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5"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jc w:val="left"/>
              <w:rPr>
                <w:rFonts w:ascii="宋体" w:hAnsi="宋体" w:cs="宋体"/>
                <w:snapToGrid w:val="0"/>
                <w:spacing w:val="-20"/>
                <w:kern w:val="0"/>
              </w:rPr>
            </w:pPr>
            <w:r>
              <w:rPr>
                <w:rFonts w:hint="eastAsia" w:ascii="宋体" w:hAnsi="宋体" w:cs="宋体"/>
                <w:snapToGrid w:val="0"/>
                <w:color w:val="000000"/>
                <w:spacing w:val="-20"/>
                <w:kern w:val="0"/>
                <w:lang w:bidi="ar"/>
              </w:rPr>
              <w:t>沃特岗矿业有限公司</w:t>
            </w:r>
          </w:p>
        </w:tc>
        <w:tc>
          <w:tcPr>
            <w:tcW w:w="113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105" w:leftChars="-50" w:right="-111" w:rightChars="-53"/>
              <w:jc w:val="center"/>
              <w:rPr>
                <w:rFonts w:ascii="宋体" w:hAnsi="宋体" w:cs="宋体"/>
                <w:snapToGrid w:val="0"/>
                <w:spacing w:val="-20"/>
                <w:kern w:val="0"/>
              </w:rPr>
            </w:pPr>
            <w:r>
              <w:rPr>
                <w:rFonts w:hint="eastAsia" w:ascii="宋体" w:hAnsi="宋体" w:cs="宋体"/>
                <w:snapToGrid w:val="0"/>
                <w:color w:val="000000"/>
                <w:spacing w:val="-20"/>
                <w:kern w:val="0"/>
                <w:lang w:bidi="ar"/>
              </w:rPr>
              <w:t>澳大利亚</w:t>
            </w:r>
          </w:p>
        </w:tc>
        <w:tc>
          <w:tcPr>
            <w:tcW w:w="156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31" w:leftChars="-76" w:hanging="129" w:hangingChars="76"/>
              <w:jc w:val="right"/>
              <w:rPr>
                <w:rFonts w:ascii="宋体" w:hAnsi="宋体" w:cs="宋体"/>
                <w:spacing w:val="-20"/>
                <w:kern w:val="0"/>
              </w:rPr>
            </w:pPr>
            <w:r>
              <w:rPr>
                <w:rFonts w:hint="eastAsia" w:ascii="宋体" w:hAnsi="宋体" w:cs="宋体"/>
                <w:spacing w:val="-20"/>
                <w:kern w:val="0"/>
                <w:lang w:bidi="ar"/>
              </w:rPr>
              <w:t>100澳元</w:t>
            </w:r>
          </w:p>
        </w:tc>
        <w:tc>
          <w:tcPr>
            <w:tcW w:w="1984"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105" w:leftChars="-50" w:right="-111" w:rightChars="-53"/>
              <w:jc w:val="left"/>
              <w:rPr>
                <w:rFonts w:ascii="宋体" w:hAnsi="宋体" w:cs="宋体"/>
                <w:snapToGrid w:val="0"/>
                <w:spacing w:val="-20"/>
                <w:kern w:val="0"/>
              </w:rPr>
            </w:pPr>
            <w:r>
              <w:rPr>
                <w:rFonts w:hint="eastAsia" w:ascii="宋体" w:hAnsi="宋体" w:cs="宋体"/>
                <w:snapToGrid w:val="0"/>
                <w:color w:val="000000"/>
                <w:spacing w:val="-20"/>
                <w:kern w:val="0"/>
                <w:lang w:bidi="ar"/>
              </w:rPr>
              <w:t>煤炭开采和煤矿经营</w:t>
            </w:r>
          </w:p>
        </w:tc>
        <w:tc>
          <w:tcPr>
            <w:tcW w:w="1068" w:type="dxa"/>
            <w:tcBorders>
              <w:top w:val="single" w:color="auto" w:sz="2" w:space="0"/>
              <w:left w:val="single" w:color="auto" w:sz="2" w:space="0"/>
              <w:bottom w:val="single" w:color="auto" w:sz="2" w:space="0"/>
              <w:right w:val="nil"/>
            </w:tcBorders>
            <w:shd w:val="clear" w:color="auto" w:fill="auto"/>
            <w:vAlign w:val="center"/>
          </w:tcPr>
          <w:p>
            <w:pPr>
              <w:widowControl/>
              <w:snapToGrid w:val="0"/>
              <w:ind w:left="-105" w:leftChars="-50" w:right="-111" w:rightChars="-53"/>
              <w:jc w:val="center"/>
              <w:rPr>
                <w:rFonts w:ascii="宋体" w:hAnsi="宋体" w:cs="宋体"/>
                <w:snapToGrid w:val="0"/>
                <w:spacing w:val="-20"/>
                <w:kern w:val="0"/>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5" w:type="dxa"/>
            <w:tcBorders>
              <w:top w:val="single" w:color="auto" w:sz="2" w:space="0"/>
              <w:left w:val="nil"/>
              <w:bottom w:val="double" w:color="auto" w:sz="4" w:space="0"/>
              <w:right w:val="single" w:color="auto" w:sz="2" w:space="0"/>
            </w:tcBorders>
            <w:shd w:val="clear" w:color="auto" w:fill="auto"/>
            <w:vAlign w:val="center"/>
          </w:tcPr>
          <w:p>
            <w:pPr>
              <w:widowControl/>
              <w:snapToGrid w:val="0"/>
              <w:ind w:left="-105" w:leftChars="-50" w:right="-111" w:rightChars="-53"/>
              <w:jc w:val="left"/>
              <w:rPr>
                <w:rFonts w:ascii="宋体" w:hAnsi="宋体" w:cs="宋体"/>
                <w:snapToGrid w:val="0"/>
                <w:spacing w:val="-20"/>
                <w:kern w:val="0"/>
              </w:rPr>
            </w:pPr>
            <w:r>
              <w:rPr>
                <w:rFonts w:hint="eastAsia" w:ascii="Times New Roman" w:hAnsi="Times New Roman" w:cs="宋体"/>
                <w:snapToGrid w:val="0"/>
                <w:color w:val="000000"/>
                <w:spacing w:val="-10"/>
                <w:kern w:val="0"/>
                <w:lang w:bidi="ar"/>
              </w:rPr>
              <w:t>兖煤保险股份有限公司</w:t>
            </w:r>
          </w:p>
        </w:tc>
        <w:tc>
          <w:tcPr>
            <w:tcW w:w="1136"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ind w:left="-105" w:leftChars="-50" w:right="-111" w:rightChars="-53"/>
              <w:jc w:val="center"/>
              <w:rPr>
                <w:rFonts w:ascii="宋体" w:hAnsi="宋体" w:cs="宋体"/>
                <w:snapToGrid w:val="0"/>
                <w:spacing w:val="-20"/>
                <w:kern w:val="0"/>
              </w:rPr>
            </w:pPr>
            <w:r>
              <w:rPr>
                <w:rFonts w:hint="eastAsia" w:ascii="Times New Roman" w:hAnsi="Times New Roman" w:cs="宋体"/>
                <w:snapToGrid w:val="0"/>
                <w:color w:val="000000"/>
                <w:spacing w:val="-10"/>
                <w:kern w:val="0"/>
                <w:lang w:bidi="ar"/>
              </w:rPr>
              <w:t>根西岛</w:t>
            </w:r>
          </w:p>
        </w:tc>
        <w:tc>
          <w:tcPr>
            <w:tcW w:w="1560"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ind w:left="-31" w:leftChars="-76" w:hanging="129" w:hangingChars="76"/>
              <w:jc w:val="right"/>
              <w:rPr>
                <w:rFonts w:ascii="宋体" w:hAnsi="宋体" w:cs="宋体"/>
                <w:spacing w:val="-20"/>
                <w:kern w:val="0"/>
              </w:rPr>
            </w:pPr>
            <w:r>
              <w:rPr>
                <w:rFonts w:hint="eastAsia" w:ascii="宋体" w:hAnsi="宋体" w:cs="宋体"/>
                <w:spacing w:val="-20"/>
                <w:kern w:val="0"/>
                <w:lang w:bidi="ar"/>
              </w:rPr>
              <w:t>19,000,000澳元</w:t>
            </w:r>
          </w:p>
        </w:tc>
        <w:tc>
          <w:tcPr>
            <w:tcW w:w="1984"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ind w:left="-105" w:leftChars="-50" w:right="-111" w:rightChars="-53"/>
              <w:jc w:val="left"/>
              <w:rPr>
                <w:rFonts w:ascii="宋体" w:hAnsi="宋体" w:cs="宋体"/>
                <w:snapToGrid w:val="0"/>
                <w:spacing w:val="-20"/>
                <w:kern w:val="0"/>
              </w:rPr>
            </w:pPr>
            <w:r>
              <w:rPr>
                <w:rFonts w:hint="eastAsia" w:ascii="Times New Roman" w:hAnsi="Times New Roman" w:cs="宋体"/>
                <w:snapToGrid w:val="0"/>
                <w:color w:val="000000"/>
                <w:spacing w:val="-10"/>
                <w:kern w:val="0"/>
                <w:lang w:bidi="ar"/>
              </w:rPr>
              <w:t>资产保险服务</w:t>
            </w:r>
          </w:p>
        </w:tc>
        <w:tc>
          <w:tcPr>
            <w:tcW w:w="1068" w:type="dxa"/>
            <w:tcBorders>
              <w:top w:val="single" w:color="auto" w:sz="2" w:space="0"/>
              <w:left w:val="single" w:color="auto" w:sz="2" w:space="0"/>
              <w:bottom w:val="double" w:color="auto" w:sz="4" w:space="0"/>
              <w:right w:val="nil"/>
            </w:tcBorders>
            <w:shd w:val="clear" w:color="auto" w:fill="auto"/>
            <w:vAlign w:val="center"/>
          </w:tcPr>
          <w:p>
            <w:pPr>
              <w:widowControl/>
              <w:snapToGrid w:val="0"/>
              <w:ind w:left="-105" w:leftChars="-50" w:right="-111" w:rightChars="-53"/>
              <w:jc w:val="center"/>
              <w:rPr>
                <w:rFonts w:ascii="宋体" w:hAnsi="宋体" w:cs="宋体"/>
                <w:snapToGrid w:val="0"/>
                <w:spacing w:val="-20"/>
                <w:kern w:val="0"/>
              </w:rPr>
            </w:pPr>
            <w:r>
              <w:rPr>
                <w:rFonts w:ascii="Times New Roman" w:hAnsi="Times New Roman"/>
                <w:snapToGrid w:val="0"/>
                <w:color w:val="000000"/>
                <w:spacing w:val="-10"/>
                <w:kern w:val="0"/>
                <w:lang w:bidi="ar"/>
              </w:rPr>
              <w:t>100</w:t>
            </w:r>
          </w:p>
        </w:tc>
      </w:tr>
    </w:tbl>
    <w:p>
      <w:pPr>
        <w:widowControl/>
        <w:numPr>
          <w:ilvl w:val="0"/>
          <w:numId w:val="118"/>
        </w:numPr>
        <w:tabs>
          <w:tab w:val="left" w:pos="567"/>
          <w:tab w:val="clear" w:pos="420"/>
        </w:tabs>
        <w:snapToGrid w:val="0"/>
        <w:spacing w:before="120" w:beforeLines="50" w:after="120" w:afterLines="50" w:line="360" w:lineRule="exact"/>
        <w:ind w:left="862"/>
        <w:jc w:val="left"/>
        <w:rPr>
          <w:rFonts w:ascii="宋体" w:hAnsi="宋体" w:cs="宋体"/>
          <w:snapToGrid w:val="0"/>
          <w:kern w:val="0"/>
        </w:rPr>
      </w:pPr>
      <w:r>
        <w:rPr>
          <w:rFonts w:hint="eastAsia" w:ascii="宋体" w:hAnsi="宋体" w:cs="宋体"/>
          <w:snapToGrid w:val="0"/>
          <w:color w:val="000000"/>
          <w:kern w:val="0"/>
          <w:lang w:bidi="ar"/>
        </w:rPr>
        <w:t>兖煤国际（控股）有限公司</w:t>
      </w:r>
    </w:p>
    <w:p>
      <w:pPr>
        <w:widowControl/>
        <w:tabs>
          <w:tab w:val="left" w:pos="426"/>
          <w:tab w:val="left" w:pos="800"/>
        </w:tabs>
        <w:snapToGrid w:val="0"/>
        <w:spacing w:before="120" w:beforeLines="50" w:after="120" w:afterLines="50" w:line="34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兖煤国际（控股）有限公司（以下简称“香港公司”）系本公司全资子公司，成立于2011年7月13日，注册资本280万美元。2014年6月，本公司将应收香港公司款项419,460万元人民币作为对其的增资，香港公司的注册资本增加至68,931万美元。香港公司注册登记号为58665579-000-07-20-9，主要从事对外投资、矿山技术开发、转让与咨询服务和进出口贸易等。</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香港公司主要控股子公司如下：</w:t>
      </w:r>
    </w:p>
    <w:tbl>
      <w:tblPr>
        <w:tblStyle w:val="964"/>
        <w:tblW w:w="5000" w:type="pct"/>
        <w:tblInd w:w="0" w:type="dxa"/>
        <w:tblBorders>
          <w:top w:val="double" w:color="auto" w:sz="4" w:space="0"/>
          <w:left w:val="none" w:color="auto" w:sz="6" w:space="0"/>
          <w:bottom w:val="double" w:color="auto" w:sz="4" w:space="0"/>
          <w:right w:val="non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3056"/>
        <w:gridCol w:w="1049"/>
        <w:gridCol w:w="1584"/>
        <w:gridCol w:w="2508"/>
        <w:gridCol w:w="852"/>
      </w:tblGrid>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PrEx>
        <w:trPr>
          <w:trHeight w:val="397" w:hRule="atLeast"/>
          <w:tblHeader/>
        </w:trPr>
        <w:tc>
          <w:tcPr>
            <w:tcW w:w="2873" w:type="dxa"/>
            <w:tcBorders>
              <w:top w:val="double" w:color="auto" w:sz="4" w:space="0"/>
              <w:left w:val="nil"/>
              <w:bottom w:val="single" w:color="auto" w:sz="2" w:space="0"/>
              <w:right w:val="single" w:color="auto" w:sz="2" w:space="0"/>
            </w:tcBorders>
            <w:shd w:val="clear" w:color="auto" w:fill="auto"/>
            <w:vAlign w:val="center"/>
          </w:tcPr>
          <w:p>
            <w:pPr>
              <w:widowControl/>
              <w:snapToGrid w:val="0"/>
              <w:jc w:val="left"/>
              <w:rPr>
                <w:rFonts w:ascii="宋体" w:hAnsi="宋体" w:cs="宋体"/>
                <w:b/>
                <w:spacing w:val="-30"/>
                <w:kern w:val="0"/>
              </w:rPr>
            </w:pPr>
            <w:r>
              <w:rPr>
                <w:rFonts w:hint="eastAsia" w:ascii="宋体" w:hAnsi="宋体" w:cs="宋体"/>
                <w:b/>
                <w:spacing w:val="-30"/>
                <w:kern w:val="0"/>
                <w:lang w:bidi="ar"/>
              </w:rPr>
              <w:t>公司名称</w:t>
            </w:r>
          </w:p>
        </w:tc>
        <w:tc>
          <w:tcPr>
            <w:tcW w:w="986"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30"/>
                <w:kern w:val="0"/>
              </w:rPr>
            </w:pPr>
            <w:r>
              <w:rPr>
                <w:rFonts w:hint="eastAsia" w:ascii="宋体" w:hAnsi="宋体" w:cs="宋体"/>
                <w:b/>
                <w:spacing w:val="-30"/>
                <w:kern w:val="0"/>
                <w:lang w:bidi="ar"/>
              </w:rPr>
              <w:t>注册地</w:t>
            </w:r>
          </w:p>
        </w:tc>
        <w:tc>
          <w:tcPr>
            <w:tcW w:w="1489"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30"/>
                <w:kern w:val="0"/>
              </w:rPr>
            </w:pPr>
            <w:r>
              <w:rPr>
                <w:rFonts w:hint="eastAsia" w:ascii="宋体" w:hAnsi="宋体" w:cs="宋体"/>
                <w:b/>
                <w:spacing w:val="-30"/>
                <w:kern w:val="0"/>
                <w:lang w:bidi="ar"/>
              </w:rPr>
              <w:t>注册资本</w:t>
            </w:r>
          </w:p>
        </w:tc>
        <w:tc>
          <w:tcPr>
            <w:tcW w:w="2358"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30"/>
                <w:kern w:val="0"/>
              </w:rPr>
            </w:pPr>
            <w:r>
              <w:rPr>
                <w:rFonts w:hint="eastAsia" w:ascii="宋体" w:hAnsi="宋体" w:cs="宋体"/>
                <w:b/>
                <w:spacing w:val="-30"/>
                <w:kern w:val="0"/>
                <w:lang w:bidi="ar"/>
              </w:rPr>
              <w:t>经营范围</w:t>
            </w:r>
          </w:p>
        </w:tc>
        <w:tc>
          <w:tcPr>
            <w:tcW w:w="801" w:type="dxa"/>
            <w:tcBorders>
              <w:top w:val="double" w:color="auto" w:sz="4"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b/>
                <w:spacing w:val="-30"/>
                <w:kern w:val="0"/>
              </w:rPr>
            </w:pPr>
            <w:r>
              <w:rPr>
                <w:rFonts w:hint="eastAsia" w:ascii="宋体" w:hAnsi="宋体" w:cs="宋体"/>
                <w:b/>
                <w:spacing w:val="-30"/>
                <w:kern w:val="0"/>
                <w:lang w:bidi="ar"/>
              </w:rPr>
              <w:t>持股比例(%)</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tabs>
                <w:tab w:val="left" w:pos="122"/>
                <w:tab w:val="left" w:pos="288"/>
              </w:tabs>
              <w:rPr>
                <w:rFonts w:ascii="宋体" w:hAnsi="宋体" w:cs="宋体"/>
                <w:spacing w:val="-30"/>
                <w:kern w:val="0"/>
              </w:rPr>
            </w:pPr>
            <w:r>
              <w:rPr>
                <w:rFonts w:hint="eastAsia" w:ascii="宋体" w:hAnsi="宋体" w:cs="宋体"/>
                <w:spacing w:val="-30"/>
                <w:kern w:val="0"/>
              </w:rPr>
              <w:t>兖煤国际技术开发有限公司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position w:val="-6"/>
              </w:rPr>
            </w:pPr>
            <w:r>
              <w:rPr>
                <w:rFonts w:hint="eastAsia" w:ascii="宋体" w:hAnsi="宋体" w:cs="宋体"/>
                <w:snapToGrid w:val="0"/>
                <w:color w:val="000000"/>
                <w:spacing w:val="-30"/>
                <w:kern w:val="0"/>
                <w:position w:val="-6"/>
                <w:lang w:bidi="ar"/>
              </w:rPr>
              <w:t>香港</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snapToGrid w:val="0"/>
                <w:spacing w:val="-30"/>
                <w:kern w:val="0"/>
              </w:rPr>
            </w:pPr>
            <w:r>
              <w:rPr>
                <w:rFonts w:hint="eastAsia" w:ascii="宋体" w:hAnsi="宋体" w:cs="宋体"/>
                <w:snapToGrid w:val="0"/>
                <w:color w:val="000000"/>
                <w:spacing w:val="-30"/>
                <w:kern w:val="0"/>
                <w:lang w:bidi="ar"/>
              </w:rPr>
              <w:t>100万美元</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rPr>
            </w:pPr>
            <w:r>
              <w:rPr>
                <w:rFonts w:hint="eastAsia" w:ascii="宋体" w:hAnsi="宋体" w:cs="宋体"/>
                <w:snapToGrid w:val="0"/>
                <w:color w:val="000000"/>
                <w:spacing w:val="-30"/>
                <w:kern w:val="0"/>
                <w:lang w:bidi="ar"/>
              </w:rPr>
              <w:t>从事矿山开采技术的开发、转让与咨询服务</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30"/>
                <w:kern w:val="0"/>
              </w:rPr>
            </w:pPr>
            <w:r>
              <w:rPr>
                <w:rFonts w:hint="eastAsia" w:ascii="宋体" w:hAnsi="宋体" w:cs="宋体"/>
                <w:snapToGrid w:val="0"/>
                <w:color w:val="000000"/>
                <w:spacing w:val="-3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tabs>
                <w:tab w:val="left" w:pos="122"/>
                <w:tab w:val="left" w:pos="288"/>
              </w:tabs>
              <w:rPr>
                <w:rFonts w:ascii="宋体" w:hAnsi="宋体" w:cs="宋体"/>
                <w:color w:val="000000"/>
                <w:spacing w:val="-30"/>
                <w:kern w:val="0"/>
              </w:rPr>
            </w:pPr>
            <w:r>
              <w:rPr>
                <w:rFonts w:hint="eastAsia" w:ascii="宋体" w:hAnsi="宋体" w:cs="宋体"/>
                <w:spacing w:val="-30"/>
                <w:kern w:val="0"/>
              </w:rPr>
              <w:t>兖煤国际资源开发有限公司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position w:val="-6"/>
              </w:rPr>
            </w:pPr>
            <w:r>
              <w:rPr>
                <w:rFonts w:hint="eastAsia" w:ascii="宋体" w:hAnsi="宋体" w:cs="宋体"/>
                <w:snapToGrid w:val="0"/>
                <w:color w:val="000000"/>
                <w:spacing w:val="-30"/>
                <w:kern w:val="0"/>
                <w:position w:val="-6"/>
                <w:lang w:bidi="ar"/>
              </w:rPr>
              <w:t>香港</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snapToGrid w:val="0"/>
                <w:spacing w:val="-30"/>
                <w:kern w:val="0"/>
              </w:rPr>
            </w:pPr>
            <w:r>
              <w:rPr>
                <w:rFonts w:hint="eastAsia" w:ascii="宋体" w:hAnsi="宋体" w:cs="宋体"/>
                <w:bCs/>
                <w:color w:val="000000"/>
                <w:spacing w:val="-30"/>
                <w:kern w:val="0"/>
                <w:lang w:bidi="ar"/>
              </w:rPr>
              <w:t>60万</w:t>
            </w:r>
            <w:r>
              <w:rPr>
                <w:rFonts w:hint="eastAsia" w:ascii="宋体" w:hAnsi="宋体" w:cs="宋体"/>
                <w:snapToGrid w:val="0"/>
                <w:color w:val="000000"/>
                <w:spacing w:val="-30"/>
                <w:kern w:val="0"/>
                <w:lang w:bidi="ar"/>
              </w:rPr>
              <w:t>美元</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rPr>
            </w:pPr>
            <w:r>
              <w:rPr>
                <w:rFonts w:hint="eastAsia" w:ascii="宋体" w:hAnsi="宋体" w:cs="宋体"/>
                <w:bCs/>
                <w:color w:val="000000"/>
                <w:spacing w:val="-30"/>
                <w:kern w:val="0"/>
                <w:lang w:bidi="ar"/>
              </w:rPr>
              <w:t>从事矿产资源的勘探开发</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30"/>
                <w:kern w:val="0"/>
              </w:rPr>
            </w:pPr>
            <w:r>
              <w:rPr>
                <w:rFonts w:hint="eastAsia" w:ascii="宋体" w:hAnsi="宋体" w:cs="宋体"/>
                <w:snapToGrid w:val="0"/>
                <w:color w:val="000000"/>
                <w:spacing w:val="-3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rPr>
            </w:pPr>
            <w:r>
              <w:rPr>
                <w:rFonts w:hint="eastAsia" w:ascii="宋体" w:hAnsi="宋体" w:cs="宋体"/>
                <w:snapToGrid w:val="0"/>
                <w:color w:val="000000"/>
                <w:spacing w:val="-30"/>
                <w:kern w:val="0"/>
                <w:lang w:bidi="ar"/>
              </w:rPr>
              <w:t>兖煤卢森堡资源有限公司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position w:val="-6"/>
              </w:rPr>
            </w:pPr>
            <w:r>
              <w:rPr>
                <w:rFonts w:hint="eastAsia" w:ascii="宋体" w:hAnsi="宋体" w:cs="宋体"/>
                <w:snapToGrid w:val="0"/>
                <w:color w:val="000000"/>
                <w:spacing w:val="-30"/>
                <w:kern w:val="0"/>
                <w:position w:val="-6"/>
                <w:lang w:bidi="ar"/>
              </w:rPr>
              <w:t>卢森堡</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snapToGrid w:val="0"/>
                <w:spacing w:val="-30"/>
                <w:kern w:val="0"/>
              </w:rPr>
            </w:pPr>
            <w:r>
              <w:rPr>
                <w:rFonts w:hint="eastAsia" w:ascii="宋体" w:hAnsi="宋体" w:cs="宋体"/>
                <w:bCs/>
                <w:color w:val="000000"/>
                <w:spacing w:val="-30"/>
                <w:kern w:val="0"/>
                <w:lang w:bidi="ar"/>
              </w:rPr>
              <w:t>50万</w:t>
            </w:r>
            <w:r>
              <w:rPr>
                <w:rFonts w:hint="eastAsia" w:ascii="宋体" w:hAnsi="宋体" w:cs="宋体"/>
                <w:snapToGrid w:val="0"/>
                <w:color w:val="000000"/>
                <w:spacing w:val="-30"/>
                <w:kern w:val="0"/>
                <w:lang w:bidi="ar"/>
              </w:rPr>
              <w:t>美元</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rPr>
            </w:pPr>
            <w:r>
              <w:rPr>
                <w:rFonts w:hint="eastAsia" w:ascii="宋体" w:hAnsi="宋体" w:cs="宋体"/>
                <w:bCs/>
                <w:color w:val="000000"/>
                <w:spacing w:val="-30"/>
                <w:kern w:val="0"/>
                <w:lang w:bidi="ar"/>
              </w:rPr>
              <w:t>从事对外投资等</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rPr>
            </w:pPr>
            <w:r>
              <w:rPr>
                <w:rFonts w:hint="eastAsia" w:ascii="宋体" w:hAnsi="宋体" w:cs="宋体"/>
                <w:snapToGrid w:val="0"/>
                <w:color w:val="000000"/>
                <w:spacing w:val="-30"/>
                <w:kern w:val="0"/>
                <w:lang w:bidi="ar"/>
              </w:rPr>
              <w:t>兖煤加拿大资源有限公司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position w:val="-6"/>
              </w:rPr>
            </w:pPr>
            <w:r>
              <w:rPr>
                <w:rFonts w:hint="eastAsia" w:ascii="宋体" w:hAnsi="宋体" w:cs="宋体"/>
                <w:snapToGrid w:val="0"/>
                <w:color w:val="000000"/>
                <w:spacing w:val="-30"/>
                <w:kern w:val="0"/>
                <w:position w:val="-6"/>
                <w:lang w:bidi="ar"/>
              </w:rPr>
              <w:t>加拿大</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bCs/>
                <w:spacing w:val="-30"/>
                <w:kern w:val="0"/>
              </w:rPr>
            </w:pPr>
            <w:r>
              <w:rPr>
                <w:rFonts w:hint="eastAsia" w:ascii="宋体" w:hAnsi="宋体" w:cs="宋体"/>
                <w:bCs/>
                <w:color w:val="000000"/>
                <w:spacing w:val="-30"/>
                <w:kern w:val="0"/>
                <w:lang w:bidi="ar"/>
              </w:rPr>
              <w:t>29,000万</w:t>
            </w:r>
            <w:r>
              <w:rPr>
                <w:rFonts w:hint="eastAsia" w:ascii="宋体" w:hAnsi="宋体" w:cs="宋体"/>
                <w:snapToGrid w:val="0"/>
                <w:color w:val="000000"/>
                <w:spacing w:val="-30"/>
                <w:kern w:val="0"/>
                <w:lang w:bidi="ar"/>
              </w:rPr>
              <w:t>美元</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rPr>
            </w:pPr>
            <w:r>
              <w:rPr>
                <w:rFonts w:hint="eastAsia" w:ascii="宋体" w:hAnsi="宋体" w:cs="宋体"/>
                <w:snapToGrid w:val="0"/>
                <w:color w:val="000000"/>
                <w:spacing w:val="-30"/>
                <w:kern w:val="0"/>
                <w:lang w:bidi="ar"/>
              </w:rPr>
              <w:t>从事矿产资源开采与销售</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30"/>
                <w:kern w:val="0"/>
              </w:rPr>
            </w:pPr>
            <w:r>
              <w:rPr>
                <w:rFonts w:hint="eastAsia" w:ascii="宋体" w:hAnsi="宋体" w:cs="宋体"/>
                <w:snapToGrid w:val="0"/>
                <w:color w:val="000000"/>
                <w:spacing w:val="-3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亚森纳（控股）有限公司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position w:val="-6"/>
              </w:rPr>
            </w:pPr>
            <w:r>
              <w:rPr>
                <w:rFonts w:hint="eastAsia" w:ascii="宋体" w:hAnsi="宋体" w:cs="宋体"/>
                <w:snapToGrid w:val="0"/>
                <w:color w:val="000000"/>
                <w:spacing w:val="-30"/>
                <w:kern w:val="0"/>
                <w:position w:val="-6"/>
                <w:lang w:bidi="ar"/>
              </w:rPr>
              <w:t>澳大利亚</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bCs/>
                <w:snapToGrid w:val="0"/>
                <w:spacing w:val="-30"/>
                <w:kern w:val="0"/>
              </w:rPr>
            </w:pPr>
            <w:r>
              <w:rPr>
                <w:rFonts w:hint="eastAsia" w:ascii="宋体" w:hAnsi="宋体" w:cs="宋体"/>
                <w:bCs/>
                <w:color w:val="000000"/>
                <w:spacing w:val="-30"/>
                <w:kern w:val="0"/>
                <w:lang w:bidi="ar"/>
              </w:rPr>
              <w:t>2,445万澳元</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pacing w:val="-30"/>
                <w:kern w:val="0"/>
              </w:rPr>
            </w:pPr>
            <w:r>
              <w:rPr>
                <w:rFonts w:hint="eastAsia" w:ascii="宋体" w:hAnsi="宋体" w:cs="宋体"/>
                <w:color w:val="000000"/>
                <w:spacing w:val="-30"/>
                <w:kern w:val="0"/>
                <w:lang w:bidi="ar"/>
              </w:rPr>
              <w:t>控股公司</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30"/>
                <w:kern w:val="0"/>
              </w:rPr>
            </w:pPr>
            <w:r>
              <w:rPr>
                <w:rFonts w:hint="eastAsia" w:ascii="宋体" w:hAnsi="宋体" w:cs="宋体"/>
                <w:snapToGrid w:val="0"/>
                <w:color w:val="000000"/>
                <w:spacing w:val="-3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汤佛（控股）有限公司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position w:val="-6"/>
              </w:rPr>
            </w:pPr>
            <w:r>
              <w:rPr>
                <w:rFonts w:hint="eastAsia" w:ascii="宋体" w:hAnsi="宋体" w:cs="宋体"/>
                <w:snapToGrid w:val="0"/>
                <w:color w:val="000000"/>
                <w:spacing w:val="-30"/>
                <w:kern w:val="0"/>
                <w:position w:val="-6"/>
                <w:lang w:bidi="ar"/>
              </w:rPr>
              <w:t>澳大利亚</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bCs/>
                <w:snapToGrid w:val="0"/>
                <w:spacing w:val="-30"/>
                <w:kern w:val="0"/>
              </w:rPr>
            </w:pPr>
            <w:r>
              <w:rPr>
                <w:rFonts w:hint="eastAsia" w:ascii="宋体" w:hAnsi="宋体" w:cs="宋体"/>
                <w:bCs/>
                <w:color w:val="000000"/>
                <w:spacing w:val="-30"/>
                <w:kern w:val="0"/>
                <w:lang w:bidi="ar"/>
              </w:rPr>
              <w:t>4,641万澳元</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pacing w:val="-30"/>
                <w:kern w:val="0"/>
              </w:rPr>
            </w:pPr>
            <w:r>
              <w:rPr>
                <w:rFonts w:hint="eastAsia" w:ascii="宋体" w:hAnsi="宋体" w:cs="宋体"/>
                <w:color w:val="000000"/>
                <w:spacing w:val="-30"/>
                <w:kern w:val="0"/>
                <w:lang w:bidi="ar"/>
              </w:rPr>
              <w:t>控股公司</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30"/>
                <w:kern w:val="0"/>
              </w:rPr>
            </w:pPr>
            <w:r>
              <w:rPr>
                <w:rFonts w:hint="eastAsia" w:ascii="宋体" w:hAnsi="宋体" w:cs="宋体"/>
                <w:snapToGrid w:val="0"/>
                <w:color w:val="000000"/>
                <w:spacing w:val="-3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维尔皮纳（控股）有限公司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position w:val="-6"/>
              </w:rPr>
            </w:pPr>
            <w:r>
              <w:rPr>
                <w:rFonts w:hint="eastAsia" w:ascii="宋体" w:hAnsi="宋体" w:cs="宋体"/>
                <w:snapToGrid w:val="0"/>
                <w:color w:val="000000"/>
                <w:spacing w:val="-30"/>
                <w:kern w:val="0"/>
                <w:position w:val="-6"/>
                <w:lang w:bidi="ar"/>
              </w:rPr>
              <w:t>澳大利亚</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bCs/>
                <w:spacing w:val="-30"/>
                <w:kern w:val="0"/>
              </w:rPr>
            </w:pPr>
            <w:r>
              <w:rPr>
                <w:rFonts w:hint="eastAsia" w:ascii="宋体" w:hAnsi="宋体" w:cs="宋体"/>
                <w:bCs/>
                <w:color w:val="000000"/>
                <w:spacing w:val="-30"/>
                <w:kern w:val="0"/>
                <w:lang w:bidi="ar"/>
              </w:rPr>
              <w:t>346万</w:t>
            </w:r>
            <w:r>
              <w:rPr>
                <w:rFonts w:hint="eastAsia" w:ascii="宋体" w:hAnsi="宋体" w:cs="宋体"/>
                <w:snapToGrid w:val="0"/>
                <w:color w:val="000000"/>
                <w:spacing w:val="-30"/>
                <w:kern w:val="0"/>
                <w:lang w:bidi="ar"/>
              </w:rPr>
              <w:t>澳元</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pacing w:val="-30"/>
                <w:kern w:val="0"/>
              </w:rPr>
            </w:pPr>
            <w:r>
              <w:rPr>
                <w:rFonts w:hint="eastAsia" w:ascii="宋体" w:hAnsi="宋体" w:cs="宋体"/>
                <w:color w:val="000000"/>
                <w:spacing w:val="-30"/>
                <w:kern w:val="0"/>
                <w:lang w:bidi="ar"/>
              </w:rPr>
              <w:t>控股公司</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30"/>
                <w:kern w:val="0"/>
              </w:rPr>
            </w:pPr>
            <w:r>
              <w:rPr>
                <w:rFonts w:hint="eastAsia" w:ascii="宋体" w:hAnsi="宋体" w:cs="宋体"/>
                <w:snapToGrid w:val="0"/>
                <w:color w:val="000000"/>
                <w:spacing w:val="-3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普力马（控股）有限公司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position w:val="-6"/>
              </w:rPr>
            </w:pPr>
            <w:r>
              <w:rPr>
                <w:rFonts w:hint="eastAsia" w:ascii="宋体" w:hAnsi="宋体" w:cs="宋体"/>
                <w:snapToGrid w:val="0"/>
                <w:color w:val="000000"/>
                <w:spacing w:val="-30"/>
                <w:kern w:val="0"/>
                <w:position w:val="-6"/>
                <w:lang w:bidi="ar"/>
              </w:rPr>
              <w:t>澳大利亚</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bCs/>
                <w:spacing w:val="-30"/>
                <w:kern w:val="0"/>
              </w:rPr>
            </w:pPr>
            <w:r>
              <w:rPr>
                <w:rFonts w:hint="eastAsia" w:ascii="宋体" w:hAnsi="宋体" w:cs="宋体"/>
                <w:bCs/>
                <w:color w:val="000000"/>
                <w:spacing w:val="-30"/>
                <w:kern w:val="0"/>
                <w:lang w:bidi="ar"/>
              </w:rPr>
              <w:t>32,161万</w:t>
            </w:r>
            <w:r>
              <w:rPr>
                <w:rFonts w:hint="eastAsia" w:ascii="宋体" w:hAnsi="宋体" w:cs="宋体"/>
                <w:snapToGrid w:val="0"/>
                <w:color w:val="000000"/>
                <w:spacing w:val="-30"/>
                <w:kern w:val="0"/>
                <w:lang w:bidi="ar"/>
              </w:rPr>
              <w:t>澳元</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pacing w:val="-30"/>
                <w:kern w:val="0"/>
              </w:rPr>
            </w:pPr>
            <w:r>
              <w:rPr>
                <w:rFonts w:hint="eastAsia" w:ascii="宋体" w:hAnsi="宋体" w:cs="宋体"/>
                <w:color w:val="000000"/>
                <w:spacing w:val="-30"/>
                <w:kern w:val="0"/>
                <w:lang w:bidi="ar"/>
              </w:rPr>
              <w:t>控股公司</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30"/>
                <w:kern w:val="0"/>
              </w:rPr>
            </w:pPr>
            <w:r>
              <w:rPr>
                <w:rFonts w:hint="eastAsia" w:ascii="宋体" w:hAnsi="宋体" w:cs="宋体"/>
                <w:snapToGrid w:val="0"/>
                <w:color w:val="000000"/>
                <w:spacing w:val="-3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兖煤能源有限公司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position w:val="-6"/>
              </w:rPr>
            </w:pPr>
            <w:r>
              <w:rPr>
                <w:rFonts w:hint="eastAsia" w:ascii="宋体" w:hAnsi="宋体" w:cs="宋体"/>
                <w:snapToGrid w:val="0"/>
                <w:color w:val="000000"/>
                <w:spacing w:val="-30"/>
                <w:kern w:val="0"/>
                <w:position w:val="-6"/>
                <w:lang w:bidi="ar"/>
              </w:rPr>
              <w:t>澳大利亚</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bCs/>
                <w:spacing w:val="-30"/>
                <w:kern w:val="0"/>
              </w:rPr>
            </w:pPr>
            <w:r>
              <w:rPr>
                <w:rFonts w:hint="eastAsia" w:ascii="宋体" w:hAnsi="宋体" w:cs="宋体"/>
                <w:bCs/>
                <w:color w:val="000000"/>
                <w:spacing w:val="-30"/>
                <w:kern w:val="0"/>
                <w:lang w:bidi="ar"/>
              </w:rPr>
              <w:t>20,298万</w:t>
            </w:r>
            <w:r>
              <w:rPr>
                <w:rFonts w:hint="eastAsia" w:ascii="宋体" w:hAnsi="宋体" w:cs="宋体"/>
                <w:snapToGrid w:val="0"/>
                <w:color w:val="000000"/>
                <w:spacing w:val="-30"/>
                <w:kern w:val="0"/>
                <w:lang w:bidi="ar"/>
              </w:rPr>
              <w:t>澳元</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pacing w:val="-30"/>
                <w:kern w:val="0"/>
              </w:rPr>
            </w:pPr>
            <w:r>
              <w:rPr>
                <w:rFonts w:hint="eastAsia" w:ascii="宋体" w:hAnsi="宋体" w:cs="宋体"/>
                <w:color w:val="000000"/>
                <w:spacing w:val="-30"/>
                <w:kern w:val="0"/>
                <w:lang w:bidi="ar"/>
              </w:rPr>
              <w:t>控股公司</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30"/>
                <w:kern w:val="0"/>
              </w:rPr>
            </w:pPr>
            <w:r>
              <w:rPr>
                <w:rFonts w:hint="eastAsia" w:ascii="宋体" w:hAnsi="宋体" w:cs="宋体"/>
                <w:snapToGrid w:val="0"/>
                <w:color w:val="000000"/>
                <w:spacing w:val="-3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兖煤技术发展（控股）有限公司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澳大利亚</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bCs/>
                <w:snapToGrid w:val="0"/>
                <w:spacing w:val="-30"/>
                <w:kern w:val="0"/>
              </w:rPr>
            </w:pPr>
            <w:r>
              <w:rPr>
                <w:rFonts w:hint="eastAsia" w:ascii="宋体" w:hAnsi="宋体" w:cs="宋体"/>
                <w:bCs/>
                <w:color w:val="000000"/>
                <w:spacing w:val="-30"/>
                <w:kern w:val="0"/>
                <w:lang w:bidi="ar"/>
              </w:rPr>
              <w:t>7,541万澳元</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控股公司</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ind w:right="-111" w:rightChars="-53"/>
              <w:jc w:val="center"/>
              <w:rPr>
                <w:rFonts w:ascii="宋体" w:hAnsi="宋体" w:cs="宋体"/>
                <w:spacing w:val="-30"/>
                <w:kern w:val="0"/>
              </w:rPr>
            </w:pPr>
            <w:r>
              <w:rPr>
                <w:rFonts w:hint="eastAsia" w:ascii="宋体" w:hAnsi="宋体" w:cs="宋体"/>
                <w:color w:val="000000"/>
                <w:spacing w:val="-3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兖矿东平陆港有限公司</w:t>
            </w:r>
          </w:p>
        </w:tc>
        <w:tc>
          <w:tcPr>
            <w:tcW w:w="98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right="-111" w:rightChars="-53"/>
              <w:jc w:val="left"/>
              <w:rPr>
                <w:rFonts w:ascii="宋体" w:hAnsi="宋体" w:cs="宋体"/>
                <w:spacing w:val="-30"/>
                <w:kern w:val="0"/>
              </w:rPr>
            </w:pPr>
            <w:r>
              <w:rPr>
                <w:rFonts w:hint="eastAsia" w:ascii="宋体" w:hAnsi="宋体" w:cs="宋体"/>
                <w:color w:val="000000"/>
                <w:spacing w:val="-30"/>
                <w:kern w:val="0"/>
                <w:lang w:bidi="ar"/>
              </w:rPr>
              <w:t>山东泰安</w:t>
            </w:r>
          </w:p>
        </w:tc>
        <w:tc>
          <w:tcPr>
            <w:tcW w:w="14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bCs/>
                <w:snapToGrid w:val="0"/>
                <w:spacing w:val="-30"/>
                <w:kern w:val="0"/>
              </w:rPr>
            </w:pPr>
            <w:r>
              <w:rPr>
                <w:rFonts w:hint="eastAsia" w:ascii="宋体" w:hAnsi="宋体" w:cs="宋体"/>
                <w:bCs/>
                <w:color w:val="000000"/>
                <w:spacing w:val="-30"/>
                <w:kern w:val="0"/>
                <w:lang w:bidi="ar"/>
              </w:rPr>
              <w:t>91,997万人民币</w:t>
            </w:r>
          </w:p>
        </w:tc>
        <w:tc>
          <w:tcPr>
            <w:tcW w:w="235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煤炭贸易，港口、铁路运输</w:t>
            </w:r>
          </w:p>
        </w:tc>
        <w:tc>
          <w:tcPr>
            <w:tcW w:w="801" w:type="dxa"/>
            <w:tcBorders>
              <w:top w:val="single" w:color="auto" w:sz="2" w:space="0"/>
              <w:left w:val="single" w:color="auto" w:sz="2" w:space="0"/>
              <w:bottom w:val="single" w:color="auto" w:sz="2" w:space="0"/>
              <w:right w:val="nil"/>
            </w:tcBorders>
            <w:shd w:val="clear" w:color="auto" w:fill="auto"/>
            <w:vAlign w:val="center"/>
          </w:tcPr>
          <w:p>
            <w:pPr>
              <w:widowControl/>
              <w:snapToGrid w:val="0"/>
              <w:ind w:right="-111" w:rightChars="-53"/>
              <w:jc w:val="center"/>
              <w:rPr>
                <w:rFonts w:ascii="宋体" w:hAnsi="宋体" w:cs="宋体"/>
                <w:spacing w:val="-30"/>
                <w:kern w:val="0"/>
              </w:rPr>
            </w:pPr>
            <w:r>
              <w:rPr>
                <w:rFonts w:hint="eastAsia" w:ascii="宋体" w:hAnsi="宋体" w:cs="宋体"/>
                <w:color w:val="000000"/>
                <w:spacing w:val="-30"/>
                <w:kern w:val="0"/>
                <w:lang w:bidi="ar"/>
              </w:rPr>
              <w:t>46.3</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3" w:type="dxa"/>
            <w:tcBorders>
              <w:top w:val="single" w:color="auto" w:sz="2" w:space="0"/>
              <w:left w:val="nil"/>
              <w:bottom w:val="double" w:color="auto" w:sz="4"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中垠（济宁）融资租赁有限公司</w:t>
            </w:r>
          </w:p>
        </w:tc>
        <w:tc>
          <w:tcPr>
            <w:tcW w:w="986"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ind w:right="-111" w:rightChars="-53"/>
              <w:jc w:val="left"/>
              <w:rPr>
                <w:rFonts w:ascii="宋体" w:hAnsi="宋体" w:cs="宋体"/>
                <w:spacing w:val="-30"/>
                <w:kern w:val="0"/>
              </w:rPr>
            </w:pPr>
            <w:r>
              <w:rPr>
                <w:rFonts w:hint="eastAsia" w:ascii="宋体" w:hAnsi="宋体" w:cs="宋体"/>
                <w:color w:val="000000"/>
                <w:spacing w:val="-30"/>
                <w:kern w:val="0"/>
                <w:lang w:bidi="ar"/>
              </w:rPr>
              <w:t>山东济宁</w:t>
            </w:r>
          </w:p>
        </w:tc>
        <w:tc>
          <w:tcPr>
            <w:tcW w:w="1489"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right"/>
              <w:rPr>
                <w:rFonts w:ascii="宋体" w:hAnsi="宋体" w:cs="宋体"/>
                <w:bCs/>
                <w:snapToGrid w:val="0"/>
                <w:spacing w:val="-30"/>
                <w:kern w:val="0"/>
              </w:rPr>
            </w:pPr>
            <w:r>
              <w:rPr>
                <w:rFonts w:hint="eastAsia" w:ascii="宋体" w:hAnsi="宋体" w:cs="宋体"/>
                <w:bCs/>
                <w:color w:val="000000"/>
                <w:spacing w:val="-30"/>
                <w:kern w:val="0"/>
                <w:lang w:bidi="ar"/>
              </w:rPr>
              <w:t>1,400万美元</w:t>
            </w:r>
          </w:p>
        </w:tc>
        <w:tc>
          <w:tcPr>
            <w:tcW w:w="2358"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ind w:right="-111" w:rightChars="-53"/>
              <w:rPr>
                <w:rFonts w:ascii="宋体" w:hAnsi="宋体" w:cs="宋体"/>
                <w:spacing w:val="-30"/>
                <w:kern w:val="0"/>
              </w:rPr>
            </w:pPr>
            <w:r>
              <w:rPr>
                <w:rFonts w:hint="eastAsia" w:ascii="宋体" w:hAnsi="宋体" w:cs="宋体"/>
                <w:color w:val="000000"/>
                <w:spacing w:val="-30"/>
                <w:kern w:val="0"/>
                <w:lang w:bidi="ar"/>
              </w:rPr>
              <w:t>融资租赁业务</w:t>
            </w:r>
          </w:p>
        </w:tc>
        <w:tc>
          <w:tcPr>
            <w:tcW w:w="801" w:type="dxa"/>
            <w:tcBorders>
              <w:top w:val="single" w:color="auto" w:sz="2" w:space="0"/>
              <w:left w:val="single" w:color="auto" w:sz="2" w:space="0"/>
              <w:bottom w:val="double" w:color="auto" w:sz="4" w:space="0"/>
              <w:right w:val="nil"/>
            </w:tcBorders>
            <w:shd w:val="clear" w:color="auto" w:fill="auto"/>
            <w:vAlign w:val="center"/>
          </w:tcPr>
          <w:p>
            <w:pPr>
              <w:widowControl/>
              <w:snapToGrid w:val="0"/>
              <w:ind w:right="-111" w:rightChars="-53"/>
              <w:jc w:val="center"/>
              <w:rPr>
                <w:rFonts w:ascii="宋体" w:hAnsi="宋体" w:cs="宋体"/>
                <w:spacing w:val="-30"/>
                <w:kern w:val="0"/>
              </w:rPr>
            </w:pPr>
            <w:r>
              <w:rPr>
                <w:rFonts w:hint="eastAsia" w:ascii="宋体" w:hAnsi="宋体" w:cs="宋体"/>
                <w:color w:val="000000"/>
                <w:spacing w:val="-30"/>
                <w:kern w:val="0"/>
                <w:lang w:bidi="ar"/>
              </w:rPr>
              <w:t>100</w:t>
            </w:r>
          </w:p>
        </w:tc>
      </w:tr>
    </w:tbl>
    <w:p>
      <w:pPr>
        <w:widowControl/>
        <w:numPr>
          <w:ilvl w:val="0"/>
          <w:numId w:val="118"/>
        </w:numPr>
        <w:tabs>
          <w:tab w:val="left" w:pos="567"/>
          <w:tab w:val="clear" w:pos="420"/>
        </w:tabs>
        <w:snapToGrid w:val="0"/>
        <w:spacing w:before="120" w:beforeLines="50" w:after="120" w:afterLines="50" w:line="360" w:lineRule="exact"/>
        <w:ind w:left="862"/>
        <w:jc w:val="left"/>
        <w:rPr>
          <w:rFonts w:ascii="宋体" w:hAnsi="宋体" w:cs="宋体"/>
          <w:snapToGrid w:val="0"/>
          <w:kern w:val="0"/>
        </w:rPr>
      </w:pPr>
      <w:r>
        <w:rPr>
          <w:rFonts w:hint="eastAsia" w:ascii="宋体" w:hAnsi="宋体" w:cs="宋体"/>
          <w:snapToGrid w:val="0"/>
          <w:color w:val="000000"/>
          <w:kern w:val="0"/>
          <w:lang w:bidi="ar"/>
        </w:rPr>
        <w:t>兖矿能源（鄂尔多斯）有限公司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color w:val="000000"/>
          <w:kern w:val="0"/>
          <w:lang w:bidi="ar"/>
        </w:rPr>
      </w:pPr>
      <w:r>
        <w:rPr>
          <w:rFonts w:hint="eastAsia" w:ascii="宋体" w:hAnsi="宋体" w:cs="宋体"/>
          <w:snapToGrid w:val="0"/>
          <w:color w:val="000000"/>
          <w:kern w:val="0"/>
          <w:lang w:bidi="ar"/>
        </w:rPr>
        <w:t>兖矿能源（鄂尔多斯）有限公司（以下简称“鄂尔多斯公司”）系本公司全资子公司，成立于2009年12月18日，注册资本人民币50,000万元。2011年1月，本公司对鄂尔多斯公司增资260,000万元，注册资本增加至310,000万元。2014年11月，本公司再次对鄂尔多斯公司增资500,000万元，注册资本增加至810,000万元。2019年9月2日，本公司再次对鄂尔多斯公司增资270,000万元，注册资本增加至1,080,000万元。公司法人营业执照统一社会信用代码：91150691695945851D，法定代表人：王九红，主要业务为煤炭、铁矿石销售，对煤炭、化工企业投资，煤矿机械设备、材料销售，煤矿器械设备维修租赁。</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鄂尔多斯公司主要控股子公司如下：</w:t>
      </w:r>
    </w:p>
    <w:tbl>
      <w:tblPr>
        <w:tblStyle w:val="964"/>
        <w:tblW w:w="5000" w:type="pct"/>
        <w:tblInd w:w="0" w:type="dxa"/>
        <w:tblBorders>
          <w:top w:val="double" w:color="auto" w:sz="4" w:space="0"/>
          <w:left w:val="none" w:color="auto" w:sz="6" w:space="0"/>
          <w:bottom w:val="double" w:color="auto" w:sz="4" w:space="0"/>
          <w:right w:val="non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3199"/>
        <w:gridCol w:w="1124"/>
        <w:gridCol w:w="1524"/>
        <w:gridCol w:w="2263"/>
        <w:gridCol w:w="938"/>
      </w:tblGrid>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3083" w:type="dxa"/>
            <w:tcBorders>
              <w:top w:val="double" w:color="auto" w:sz="4" w:space="0"/>
              <w:left w:val="nil"/>
              <w:bottom w:val="single" w:color="auto" w:sz="2" w:space="0"/>
              <w:right w:val="single" w:color="auto" w:sz="2" w:space="0"/>
            </w:tcBorders>
            <w:shd w:val="clear" w:color="auto" w:fill="auto"/>
            <w:vAlign w:val="center"/>
          </w:tcPr>
          <w:p>
            <w:pPr>
              <w:widowControl/>
              <w:snapToGrid w:val="0"/>
              <w:rPr>
                <w:rFonts w:ascii="宋体" w:hAnsi="宋体" w:cs="宋体"/>
                <w:b/>
                <w:spacing w:val="-20"/>
                <w:kern w:val="0"/>
              </w:rPr>
            </w:pPr>
            <w:r>
              <w:rPr>
                <w:rFonts w:hint="eastAsia" w:ascii="宋体" w:hAnsi="宋体" w:cs="宋体"/>
                <w:b/>
                <w:spacing w:val="-20"/>
                <w:kern w:val="0"/>
                <w:lang w:bidi="ar"/>
              </w:rPr>
              <w:t>公司名称</w:t>
            </w:r>
          </w:p>
        </w:tc>
        <w:tc>
          <w:tcPr>
            <w:tcW w:w="1083"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lang w:bidi="ar"/>
              </w:rPr>
              <w:t>注册地</w:t>
            </w:r>
          </w:p>
        </w:tc>
        <w:tc>
          <w:tcPr>
            <w:tcW w:w="1469"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lang w:bidi="ar"/>
              </w:rPr>
              <w:t>注册资本</w:t>
            </w:r>
          </w:p>
          <w:p>
            <w:pPr>
              <w:widowControl/>
              <w:snapToGrid w:val="0"/>
              <w:jc w:val="center"/>
              <w:rPr>
                <w:rFonts w:ascii="宋体" w:hAnsi="宋体" w:cs="宋体"/>
                <w:b/>
                <w:spacing w:val="-20"/>
                <w:kern w:val="0"/>
              </w:rPr>
            </w:pPr>
            <w:r>
              <w:rPr>
                <w:rFonts w:hint="eastAsia" w:ascii="宋体" w:hAnsi="宋体" w:cs="宋体"/>
                <w:b/>
                <w:spacing w:val="-20"/>
                <w:kern w:val="0"/>
                <w:lang w:bidi="ar"/>
              </w:rPr>
              <w:t>（人民币）</w:t>
            </w:r>
          </w:p>
        </w:tc>
        <w:tc>
          <w:tcPr>
            <w:tcW w:w="2181"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lang w:bidi="ar"/>
              </w:rPr>
              <w:t>经营范围</w:t>
            </w:r>
          </w:p>
        </w:tc>
        <w:tc>
          <w:tcPr>
            <w:tcW w:w="904" w:type="dxa"/>
            <w:tcBorders>
              <w:top w:val="double" w:color="auto" w:sz="4"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lang w:bidi="ar"/>
              </w:rPr>
              <w:t>持股比例(%)</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083" w:type="dxa"/>
            <w:tcBorders>
              <w:top w:val="single" w:color="auto" w:sz="2" w:space="0"/>
              <w:left w:val="nil"/>
              <w:bottom w:val="single" w:color="auto" w:sz="2" w:space="0"/>
              <w:right w:val="single" w:color="auto" w:sz="2" w:space="0"/>
            </w:tcBorders>
            <w:shd w:val="clear" w:color="auto" w:fill="auto"/>
            <w:vAlign w:val="center"/>
          </w:tcPr>
          <w:p>
            <w:pPr>
              <w:tabs>
                <w:tab w:val="left" w:pos="122"/>
                <w:tab w:val="left" w:pos="288"/>
              </w:tabs>
              <w:jc w:val="left"/>
              <w:rPr>
                <w:rFonts w:ascii="宋体" w:hAnsi="宋体" w:cs="宋体"/>
                <w:spacing w:val="-20"/>
                <w:kern w:val="0"/>
              </w:rPr>
            </w:pPr>
            <w:r>
              <w:rPr>
                <w:rFonts w:hint="eastAsia" w:ascii="宋体" w:hAnsi="宋体" w:cs="宋体"/>
                <w:spacing w:val="-20"/>
                <w:kern w:val="0"/>
              </w:rPr>
              <w:t>内蒙古荣信化工有限公司</w:t>
            </w:r>
          </w:p>
        </w:tc>
        <w:tc>
          <w:tcPr>
            <w:tcW w:w="108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鄂尔多斯</w:t>
            </w:r>
          </w:p>
        </w:tc>
        <w:tc>
          <w:tcPr>
            <w:tcW w:w="146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snapToGrid w:val="0"/>
                <w:spacing w:val="-20"/>
                <w:kern w:val="0"/>
              </w:rPr>
            </w:pPr>
            <w:r>
              <w:rPr>
                <w:rFonts w:hint="eastAsia" w:ascii="宋体" w:hAnsi="宋体" w:cs="宋体"/>
                <w:snapToGrid w:val="0"/>
                <w:color w:val="000000"/>
                <w:spacing w:val="-20"/>
                <w:kern w:val="0"/>
                <w:lang w:bidi="ar"/>
              </w:rPr>
              <w:t>153,335万元</w:t>
            </w:r>
          </w:p>
        </w:tc>
        <w:tc>
          <w:tcPr>
            <w:tcW w:w="2181"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20"/>
                <w:kern w:val="0"/>
              </w:rPr>
            </w:pPr>
            <w:r>
              <w:rPr>
                <w:rFonts w:hint="eastAsia" w:ascii="宋体" w:hAnsi="宋体" w:cs="宋体"/>
                <w:snapToGrid w:val="0"/>
                <w:color w:val="000000"/>
                <w:spacing w:val="-20"/>
                <w:kern w:val="0"/>
                <w:lang w:bidi="ar"/>
              </w:rPr>
              <w:t>从事煤制甲醇生产、销售</w:t>
            </w:r>
          </w:p>
        </w:tc>
        <w:tc>
          <w:tcPr>
            <w:tcW w:w="904"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083" w:type="dxa"/>
            <w:tcBorders>
              <w:top w:val="single" w:color="auto" w:sz="2" w:space="0"/>
              <w:left w:val="nil"/>
              <w:bottom w:val="single" w:color="auto" w:sz="2" w:space="0"/>
              <w:right w:val="single" w:color="auto" w:sz="2" w:space="0"/>
            </w:tcBorders>
            <w:shd w:val="clear" w:color="auto" w:fill="auto"/>
            <w:vAlign w:val="center"/>
          </w:tcPr>
          <w:p>
            <w:pPr>
              <w:widowControl/>
              <w:snapToGrid w:val="0"/>
              <w:rPr>
                <w:rFonts w:ascii="宋体" w:hAnsi="宋体" w:cs="宋体"/>
                <w:snapToGrid w:val="0"/>
                <w:spacing w:val="-20"/>
                <w:kern w:val="0"/>
              </w:rPr>
            </w:pPr>
            <w:r>
              <w:rPr>
                <w:rFonts w:hint="eastAsia" w:ascii="宋体" w:hAnsi="宋体" w:cs="宋体"/>
                <w:snapToGrid w:val="0"/>
                <w:color w:val="000000"/>
                <w:spacing w:val="-20"/>
                <w:kern w:val="0"/>
                <w:lang w:bidi="ar"/>
              </w:rPr>
              <w:t>内蒙古鑫泰煤炭有限公司</w:t>
            </w:r>
          </w:p>
        </w:tc>
        <w:tc>
          <w:tcPr>
            <w:tcW w:w="108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kern w:val="0"/>
                <w:lang w:eastAsia="en-US"/>
              </w:rPr>
            </w:pPr>
            <w:r>
              <w:rPr>
                <w:rFonts w:hint="eastAsia" w:ascii="宋体" w:hAnsi="宋体" w:cs="宋体"/>
                <w:snapToGrid w:val="0"/>
                <w:color w:val="000000"/>
                <w:spacing w:val="-20"/>
                <w:kern w:val="0"/>
                <w:lang w:bidi="ar"/>
              </w:rPr>
              <w:t>鄂尔多斯</w:t>
            </w:r>
          </w:p>
        </w:tc>
        <w:tc>
          <w:tcPr>
            <w:tcW w:w="146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snapToGrid w:val="0"/>
                <w:spacing w:val="-20"/>
                <w:kern w:val="0"/>
              </w:rPr>
            </w:pPr>
            <w:r>
              <w:rPr>
                <w:rFonts w:hint="eastAsia" w:ascii="宋体" w:hAnsi="宋体" w:cs="宋体"/>
                <w:bCs/>
                <w:color w:val="000000"/>
                <w:spacing w:val="-20"/>
                <w:kern w:val="0"/>
                <w:lang w:bidi="ar"/>
              </w:rPr>
              <w:t>500万元</w:t>
            </w:r>
          </w:p>
        </w:tc>
        <w:tc>
          <w:tcPr>
            <w:tcW w:w="2181"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20"/>
                <w:kern w:val="0"/>
              </w:rPr>
            </w:pPr>
            <w:r>
              <w:rPr>
                <w:rFonts w:hint="eastAsia" w:ascii="宋体" w:hAnsi="宋体" w:cs="宋体"/>
                <w:bCs/>
                <w:color w:val="000000"/>
                <w:spacing w:val="-20"/>
                <w:kern w:val="0"/>
                <w:lang w:bidi="ar"/>
              </w:rPr>
              <w:t>从事煤炭采掘与销售</w:t>
            </w:r>
          </w:p>
        </w:tc>
        <w:tc>
          <w:tcPr>
            <w:tcW w:w="904"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lang w:eastAsia="en-US"/>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083" w:type="dxa"/>
            <w:tcBorders>
              <w:top w:val="single" w:color="auto" w:sz="2" w:space="0"/>
              <w:left w:val="nil"/>
              <w:bottom w:val="double" w:color="auto" w:sz="4" w:space="0"/>
              <w:right w:val="single" w:color="auto" w:sz="2" w:space="0"/>
            </w:tcBorders>
            <w:shd w:val="clear" w:color="auto" w:fill="auto"/>
            <w:vAlign w:val="center"/>
          </w:tcPr>
          <w:p>
            <w:pPr>
              <w:widowControl/>
              <w:snapToGrid w:val="0"/>
              <w:rPr>
                <w:rFonts w:ascii="宋体" w:hAnsi="宋体" w:cs="宋体"/>
                <w:snapToGrid w:val="0"/>
                <w:color w:val="000000"/>
                <w:spacing w:val="-20"/>
                <w:kern w:val="0"/>
                <w:lang w:bidi="ar"/>
              </w:rPr>
            </w:pPr>
            <w:r>
              <w:rPr>
                <w:rFonts w:hint="eastAsia" w:ascii="宋体" w:hAnsi="宋体" w:cs="宋体"/>
                <w:snapToGrid w:val="0"/>
                <w:color w:val="000000"/>
                <w:spacing w:val="-20"/>
                <w:kern w:val="0"/>
                <w:lang w:bidi="ar"/>
              </w:rPr>
              <w:t>鄂尔多斯市转龙湾煤炭有限公司</w:t>
            </w:r>
          </w:p>
        </w:tc>
        <w:tc>
          <w:tcPr>
            <w:tcW w:w="1083"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center"/>
              <w:rPr>
                <w:rFonts w:ascii="宋体" w:hAnsi="宋体" w:cs="宋体"/>
                <w:snapToGrid w:val="0"/>
                <w:color w:val="000000"/>
                <w:spacing w:val="-20"/>
                <w:kern w:val="0"/>
                <w:lang w:bidi="ar"/>
              </w:rPr>
            </w:pPr>
            <w:r>
              <w:rPr>
                <w:rFonts w:hint="eastAsia" w:ascii="宋体" w:hAnsi="宋体" w:cs="宋体"/>
                <w:snapToGrid w:val="0"/>
                <w:color w:val="000000"/>
                <w:spacing w:val="-20"/>
                <w:kern w:val="0"/>
                <w:lang w:bidi="ar"/>
              </w:rPr>
              <w:t>鄂尔多斯</w:t>
            </w:r>
          </w:p>
        </w:tc>
        <w:tc>
          <w:tcPr>
            <w:tcW w:w="1469"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right"/>
              <w:rPr>
                <w:rFonts w:ascii="宋体" w:hAnsi="宋体" w:cs="宋体"/>
                <w:snapToGrid w:val="0"/>
                <w:color w:val="000000"/>
                <w:spacing w:val="-20"/>
                <w:kern w:val="0"/>
                <w:lang w:bidi="ar"/>
              </w:rPr>
            </w:pPr>
            <w:r>
              <w:rPr>
                <w:rFonts w:hint="eastAsia" w:ascii="宋体" w:hAnsi="宋体" w:cs="宋体"/>
                <w:snapToGrid w:val="0"/>
                <w:color w:val="000000"/>
                <w:spacing w:val="-20"/>
                <w:kern w:val="0"/>
                <w:lang w:bidi="ar"/>
              </w:rPr>
              <w:t>505,000万元</w:t>
            </w:r>
          </w:p>
        </w:tc>
        <w:tc>
          <w:tcPr>
            <w:tcW w:w="2181"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rPr>
                <w:rFonts w:ascii="宋体" w:hAnsi="宋体" w:cs="宋体"/>
                <w:snapToGrid w:val="0"/>
                <w:color w:val="000000"/>
                <w:spacing w:val="-20"/>
                <w:kern w:val="0"/>
                <w:lang w:bidi="ar"/>
              </w:rPr>
            </w:pPr>
            <w:r>
              <w:rPr>
                <w:rFonts w:hint="eastAsia" w:ascii="宋体" w:hAnsi="宋体" w:cs="宋体"/>
                <w:snapToGrid w:val="0"/>
                <w:color w:val="000000"/>
                <w:spacing w:val="-20"/>
                <w:kern w:val="0"/>
                <w:lang w:bidi="ar"/>
              </w:rPr>
              <w:t>煤炭销售、煤矿机械设备生产与销售</w:t>
            </w:r>
          </w:p>
        </w:tc>
        <w:tc>
          <w:tcPr>
            <w:tcW w:w="904" w:type="dxa"/>
            <w:tcBorders>
              <w:top w:val="single" w:color="auto" w:sz="2" w:space="0"/>
              <w:left w:val="single" w:color="auto" w:sz="2" w:space="0"/>
              <w:bottom w:val="double" w:color="auto" w:sz="4" w:space="0"/>
              <w:right w:val="nil"/>
            </w:tcBorders>
            <w:shd w:val="clear" w:color="auto" w:fill="auto"/>
            <w:vAlign w:val="center"/>
          </w:tcPr>
          <w:p>
            <w:pPr>
              <w:widowControl/>
              <w:snapToGrid w:val="0"/>
              <w:jc w:val="center"/>
              <w:rPr>
                <w:rFonts w:ascii="宋体" w:hAnsi="宋体" w:cs="宋体"/>
                <w:snapToGrid w:val="0"/>
                <w:color w:val="000000"/>
                <w:spacing w:val="-20"/>
                <w:kern w:val="0"/>
                <w:lang w:bidi="ar"/>
              </w:rPr>
            </w:pPr>
            <w:r>
              <w:rPr>
                <w:rFonts w:hint="eastAsia" w:ascii="宋体" w:hAnsi="宋体" w:cs="宋体"/>
                <w:snapToGrid w:val="0"/>
                <w:color w:val="000000"/>
                <w:spacing w:val="-20"/>
                <w:kern w:val="0"/>
                <w:lang w:bidi="ar"/>
              </w:rPr>
              <w:t>100</w:t>
            </w:r>
          </w:p>
        </w:tc>
      </w:tr>
    </w:tbl>
    <w:p>
      <w:pPr>
        <w:widowControl/>
        <w:numPr>
          <w:ilvl w:val="0"/>
          <w:numId w:val="118"/>
        </w:numPr>
        <w:tabs>
          <w:tab w:val="left" w:pos="567"/>
          <w:tab w:val="clear" w:pos="420"/>
        </w:tabs>
        <w:snapToGrid w:val="0"/>
        <w:spacing w:before="120" w:beforeLines="50" w:after="120" w:afterLines="50" w:line="360" w:lineRule="exact"/>
        <w:ind w:left="862"/>
        <w:jc w:val="left"/>
        <w:rPr>
          <w:rFonts w:ascii="宋体" w:hAnsi="宋体" w:cs="宋体"/>
          <w:snapToGrid w:val="0"/>
          <w:kern w:val="0"/>
        </w:rPr>
      </w:pPr>
      <w:r>
        <w:rPr>
          <w:rFonts w:hint="eastAsia" w:ascii="宋体" w:hAnsi="宋体" w:cs="宋体"/>
          <w:snapToGrid w:val="0"/>
          <w:color w:val="000000"/>
          <w:kern w:val="0"/>
          <w:lang w:bidi="ar"/>
        </w:rPr>
        <w:t>兖矿东华重工有限公司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兖矿东华重工有限公司（以下简称“东华重工”）成立于2013年1月，由兖矿东华集团有限公司出资成立，2015年7月兖矿东华集团有限公司持有的东华重工100%股权全部转让给本公司之控股股东山东能源集团有限公司，本公司之控股股东山东能源集团有限公司持有的东华重工100%股权全部转让给本公司。注册资本为127,789万元，2021年11月，本公司再次对东华重工增资100,000万元，注册资本增加至227,789万元。公司法人营业执照统一社会信用代码：91370883061983346A，公司法定代表人：张立，公司注册地址：邹城市西外环路5289号。主要从事矿用设备、机电设备、橡胶制品等的生产销售。</w:t>
      </w:r>
    </w:p>
    <w:p>
      <w:pPr>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东华重工主要控股子公司如下：</w:t>
      </w:r>
    </w:p>
    <w:tbl>
      <w:tblPr>
        <w:tblStyle w:val="964"/>
        <w:tblW w:w="8650" w:type="dxa"/>
        <w:tblInd w:w="0" w:type="dxa"/>
        <w:tblBorders>
          <w:top w:val="double" w:color="auto" w:sz="4" w:space="0"/>
          <w:left w:val="none" w:color="auto" w:sz="6" w:space="0"/>
          <w:bottom w:val="double" w:color="auto" w:sz="4" w:space="0"/>
          <w:right w:val="non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2824"/>
        <w:gridCol w:w="1163"/>
        <w:gridCol w:w="1510"/>
        <w:gridCol w:w="2018"/>
        <w:gridCol w:w="1135"/>
      </w:tblGrid>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822" w:type="dxa"/>
            <w:tcBorders>
              <w:top w:val="double" w:color="auto" w:sz="4" w:space="0"/>
              <w:left w:val="nil"/>
              <w:bottom w:val="single" w:color="auto" w:sz="2" w:space="0"/>
              <w:right w:val="single" w:color="auto" w:sz="2" w:space="0"/>
            </w:tcBorders>
            <w:shd w:val="clear" w:color="auto" w:fill="auto"/>
            <w:vAlign w:val="center"/>
          </w:tcPr>
          <w:p>
            <w:pPr>
              <w:widowControl/>
              <w:snapToGrid w:val="0"/>
              <w:rPr>
                <w:rFonts w:ascii="宋体" w:hAnsi="宋体" w:cs="宋体"/>
                <w:b/>
                <w:kern w:val="0"/>
              </w:rPr>
            </w:pPr>
            <w:r>
              <w:rPr>
                <w:rFonts w:hint="eastAsia" w:ascii="宋体" w:hAnsi="宋体" w:cs="宋体"/>
                <w:b/>
                <w:kern w:val="0"/>
                <w:lang w:bidi="ar"/>
              </w:rPr>
              <w:t>公司名称</w:t>
            </w:r>
          </w:p>
        </w:tc>
        <w:tc>
          <w:tcPr>
            <w:tcW w:w="1163"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注册地</w:t>
            </w:r>
          </w:p>
        </w:tc>
        <w:tc>
          <w:tcPr>
            <w:tcW w:w="1510"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lang w:bidi="ar"/>
              </w:rPr>
              <w:t>注册资本</w:t>
            </w:r>
          </w:p>
          <w:p>
            <w:pPr>
              <w:widowControl/>
              <w:snapToGrid w:val="0"/>
              <w:jc w:val="center"/>
              <w:rPr>
                <w:rFonts w:ascii="宋体" w:hAnsi="宋体" w:cs="宋体"/>
                <w:b/>
                <w:spacing w:val="-40"/>
                <w:kern w:val="0"/>
              </w:rPr>
            </w:pPr>
            <w:r>
              <w:rPr>
                <w:rFonts w:hint="eastAsia" w:ascii="宋体" w:hAnsi="宋体" w:cs="宋体"/>
                <w:b/>
                <w:spacing w:val="-20"/>
                <w:kern w:val="0"/>
                <w:lang w:bidi="ar"/>
              </w:rPr>
              <w:t>（人民币）</w:t>
            </w:r>
          </w:p>
        </w:tc>
        <w:tc>
          <w:tcPr>
            <w:tcW w:w="2018"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经营范围</w:t>
            </w:r>
          </w:p>
        </w:tc>
        <w:tc>
          <w:tcPr>
            <w:tcW w:w="1135" w:type="dxa"/>
            <w:tcBorders>
              <w:top w:val="double" w:color="auto" w:sz="4"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持股比例(%)</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22"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兖州东方机电有限公司</w:t>
            </w:r>
          </w:p>
        </w:tc>
        <w:tc>
          <w:tcPr>
            <w:tcW w:w="116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Times New Roman" w:hAnsi="Times New Roman"/>
                <w:snapToGrid w:val="0"/>
                <w:kern w:val="0"/>
                <w:lang w:eastAsia="en-US"/>
              </w:rPr>
            </w:pPr>
            <w:r>
              <w:rPr>
                <w:rFonts w:hint="eastAsia" w:ascii="Times New Roman" w:hAnsi="Times New Roman" w:cs="宋体"/>
                <w:snapToGrid w:val="0"/>
                <w:color w:val="000000"/>
                <w:kern w:val="0"/>
                <w:lang w:bidi="ar"/>
              </w:rPr>
              <w:t>山东邹城</w:t>
            </w:r>
          </w:p>
        </w:tc>
        <w:tc>
          <w:tcPr>
            <w:tcW w:w="151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Chars="-76" w:hanging="159" w:hangingChars="76"/>
              <w:jc w:val="right"/>
              <w:rPr>
                <w:rFonts w:ascii="宋体" w:hAnsi="宋体" w:cs="宋体"/>
                <w:kern w:val="0"/>
              </w:rPr>
            </w:pPr>
            <w:r>
              <w:rPr>
                <w:rFonts w:hint="eastAsia" w:ascii="宋体" w:hAnsi="宋体" w:cs="宋体"/>
                <w:color w:val="000000"/>
                <w:kern w:val="0"/>
                <w:lang w:bidi="ar"/>
              </w:rPr>
              <w:t>5,000万元</w:t>
            </w:r>
          </w:p>
        </w:tc>
        <w:tc>
          <w:tcPr>
            <w:tcW w:w="201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40"/>
                <w:kern w:val="0"/>
              </w:rPr>
            </w:pPr>
            <w:r>
              <w:rPr>
                <w:rFonts w:hint="eastAsia" w:ascii="宋体" w:hAnsi="宋体" w:cs="宋体"/>
                <w:snapToGrid w:val="0"/>
                <w:color w:val="000000"/>
                <w:spacing w:val="-40"/>
                <w:kern w:val="0"/>
                <w:lang w:bidi="ar"/>
              </w:rPr>
              <w:t>矿用电器、高低压开关设备制造</w:t>
            </w:r>
          </w:p>
        </w:tc>
        <w:tc>
          <w:tcPr>
            <w:tcW w:w="1135"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kern w:val="0"/>
              </w:rPr>
            </w:pPr>
            <w:r>
              <w:rPr>
                <w:rFonts w:hint="eastAsia" w:ascii="宋体" w:hAnsi="宋体" w:cs="宋体"/>
                <w:color w:val="000000"/>
                <w:kern w:val="0"/>
                <w:lang w:bidi="ar"/>
              </w:rPr>
              <w:t>94.34</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22"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兖矿集团邹城金通橡胶有限公司</w:t>
            </w:r>
          </w:p>
        </w:tc>
        <w:tc>
          <w:tcPr>
            <w:tcW w:w="116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Times New Roman" w:hAnsi="Times New Roman"/>
                <w:snapToGrid w:val="0"/>
                <w:kern w:val="0"/>
                <w:lang w:eastAsia="en-US"/>
              </w:rPr>
            </w:pPr>
            <w:r>
              <w:rPr>
                <w:rFonts w:hint="eastAsia" w:ascii="Times New Roman" w:hAnsi="Times New Roman" w:cs="宋体"/>
                <w:snapToGrid w:val="0"/>
                <w:color w:val="000000"/>
                <w:kern w:val="0"/>
                <w:lang w:bidi="ar"/>
              </w:rPr>
              <w:t>山东邹城</w:t>
            </w:r>
          </w:p>
        </w:tc>
        <w:tc>
          <w:tcPr>
            <w:tcW w:w="151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Chars="-76" w:hanging="159" w:hangingChars="76"/>
              <w:jc w:val="right"/>
              <w:rPr>
                <w:rFonts w:ascii="宋体" w:hAnsi="宋体" w:cs="宋体"/>
                <w:kern w:val="0"/>
              </w:rPr>
            </w:pPr>
            <w:r>
              <w:rPr>
                <w:rFonts w:hint="eastAsia" w:ascii="宋体" w:hAnsi="宋体" w:cs="宋体"/>
                <w:color w:val="000000"/>
                <w:kern w:val="0"/>
                <w:lang w:bidi="ar"/>
              </w:rPr>
              <w:t>660万元</w:t>
            </w:r>
          </w:p>
        </w:tc>
        <w:tc>
          <w:tcPr>
            <w:tcW w:w="201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20"/>
                <w:kern w:val="0"/>
              </w:rPr>
            </w:pPr>
            <w:r>
              <w:rPr>
                <w:rFonts w:hint="eastAsia" w:ascii="宋体" w:hAnsi="宋体" w:cs="宋体"/>
                <w:snapToGrid w:val="0"/>
                <w:color w:val="000000"/>
                <w:spacing w:val="-20"/>
                <w:kern w:val="0"/>
                <w:lang w:bidi="ar"/>
              </w:rPr>
              <w:t>高、中、低压橡胶软管制造</w:t>
            </w:r>
          </w:p>
        </w:tc>
        <w:tc>
          <w:tcPr>
            <w:tcW w:w="1135"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kern w:val="0"/>
              </w:rPr>
            </w:pPr>
            <w:r>
              <w:rPr>
                <w:rFonts w:hint="eastAsia" w:ascii="宋体" w:hAnsi="宋体" w:cs="宋体"/>
                <w:color w:val="000000"/>
                <w:kern w:val="0"/>
                <w:lang w:bidi="ar"/>
              </w:rPr>
              <w:t>54.55</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22"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兖矿集团唐村实业有限公司</w:t>
            </w:r>
          </w:p>
        </w:tc>
        <w:tc>
          <w:tcPr>
            <w:tcW w:w="116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Times New Roman" w:hAnsi="Times New Roman"/>
                <w:snapToGrid w:val="0"/>
                <w:kern w:val="0"/>
                <w:lang w:eastAsia="en-US"/>
              </w:rPr>
            </w:pPr>
            <w:r>
              <w:rPr>
                <w:rFonts w:hint="eastAsia" w:ascii="Times New Roman" w:hAnsi="Times New Roman" w:cs="宋体"/>
                <w:snapToGrid w:val="0"/>
                <w:color w:val="000000"/>
                <w:kern w:val="0"/>
                <w:lang w:bidi="ar"/>
              </w:rPr>
              <w:t>山东邹城</w:t>
            </w:r>
          </w:p>
        </w:tc>
        <w:tc>
          <w:tcPr>
            <w:tcW w:w="151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Chars="-76" w:hanging="159" w:hangingChars="76"/>
              <w:jc w:val="right"/>
              <w:rPr>
                <w:rFonts w:ascii="宋体" w:hAnsi="宋体" w:cs="宋体"/>
                <w:kern w:val="0"/>
              </w:rPr>
            </w:pPr>
            <w:r>
              <w:rPr>
                <w:rFonts w:hint="eastAsia" w:ascii="宋体" w:hAnsi="宋体" w:cs="宋体"/>
                <w:color w:val="000000"/>
                <w:kern w:val="0"/>
                <w:lang w:bidi="ar"/>
              </w:rPr>
              <w:t>5,100万元</w:t>
            </w:r>
          </w:p>
        </w:tc>
        <w:tc>
          <w:tcPr>
            <w:tcW w:w="201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20"/>
                <w:kern w:val="0"/>
              </w:rPr>
            </w:pPr>
            <w:r>
              <w:rPr>
                <w:rFonts w:hint="eastAsia" w:ascii="宋体" w:hAnsi="宋体" w:cs="宋体"/>
                <w:snapToGrid w:val="0"/>
                <w:color w:val="000000"/>
                <w:spacing w:val="-20"/>
                <w:kern w:val="0"/>
                <w:lang w:bidi="ar"/>
              </w:rPr>
              <w:t>橡胶输送带、电缆制造</w:t>
            </w:r>
          </w:p>
        </w:tc>
        <w:tc>
          <w:tcPr>
            <w:tcW w:w="1135"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kern w:val="0"/>
              </w:rPr>
            </w:pPr>
            <w:r>
              <w:rPr>
                <w:rFonts w:hint="eastAsia" w:ascii="宋体" w:hAnsi="宋体" w:cs="宋体"/>
                <w:color w:val="00000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22" w:type="dxa"/>
            <w:tcBorders>
              <w:top w:val="single" w:color="auto" w:sz="2" w:space="0"/>
              <w:left w:val="nil"/>
              <w:bottom w:val="single" w:color="auto" w:sz="2" w:space="0"/>
              <w:right w:val="single" w:color="auto" w:sz="2" w:space="0"/>
            </w:tcBorders>
            <w:shd w:val="clear" w:color="auto" w:fill="auto"/>
            <w:vAlign w:val="center"/>
          </w:tcPr>
          <w:p>
            <w:pPr>
              <w:widowControl/>
              <w:snapToGrid w:val="0"/>
              <w:ind w:left="-105" w:leftChars="-50" w:right="-111" w:rightChars="-53"/>
              <w:rPr>
                <w:rFonts w:ascii="宋体" w:hAnsi="宋体" w:cs="宋体"/>
                <w:spacing w:val="-20"/>
                <w:kern w:val="0"/>
              </w:rPr>
            </w:pPr>
            <w:r>
              <w:rPr>
                <w:rFonts w:hint="eastAsia" w:ascii="宋体" w:hAnsi="宋体" w:cs="宋体"/>
                <w:color w:val="000000"/>
                <w:spacing w:val="-20"/>
                <w:kern w:val="0"/>
                <w:lang w:bidi="ar"/>
              </w:rPr>
              <w:t>山东兖矿智能制造有限公司</w:t>
            </w:r>
          </w:p>
        </w:tc>
        <w:tc>
          <w:tcPr>
            <w:tcW w:w="116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Times New Roman" w:hAnsi="Times New Roman"/>
                <w:snapToGrid w:val="0"/>
                <w:kern w:val="0"/>
                <w:lang w:eastAsia="en-US"/>
              </w:rPr>
            </w:pPr>
            <w:r>
              <w:rPr>
                <w:rFonts w:hint="eastAsia" w:ascii="Times New Roman" w:hAnsi="Times New Roman" w:cs="宋体"/>
                <w:snapToGrid w:val="0"/>
                <w:color w:val="000000"/>
                <w:kern w:val="0"/>
                <w:lang w:bidi="ar"/>
              </w:rPr>
              <w:t>山东邹城</w:t>
            </w:r>
          </w:p>
        </w:tc>
        <w:tc>
          <w:tcPr>
            <w:tcW w:w="151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ind w:leftChars="-76" w:hanging="159" w:hangingChars="76"/>
              <w:jc w:val="right"/>
              <w:rPr>
                <w:rFonts w:ascii="宋体" w:hAnsi="宋体" w:cs="宋体"/>
                <w:kern w:val="0"/>
              </w:rPr>
            </w:pPr>
            <w:r>
              <w:rPr>
                <w:rFonts w:hint="eastAsia" w:ascii="宋体" w:hAnsi="宋体" w:cs="宋体"/>
                <w:color w:val="000000"/>
                <w:kern w:val="0"/>
                <w:lang w:bidi="ar"/>
              </w:rPr>
              <w:t>120,000万元</w:t>
            </w:r>
          </w:p>
        </w:tc>
        <w:tc>
          <w:tcPr>
            <w:tcW w:w="2018"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kern w:val="0"/>
              </w:rPr>
            </w:pPr>
            <w:r>
              <w:rPr>
                <w:rFonts w:hint="eastAsia" w:ascii="宋体" w:hAnsi="宋体" w:cs="宋体"/>
                <w:snapToGrid w:val="0"/>
                <w:color w:val="000000"/>
                <w:spacing w:val="-20"/>
                <w:kern w:val="0"/>
                <w:lang w:bidi="ar"/>
              </w:rPr>
              <w:t>设备制造、修理</w:t>
            </w:r>
          </w:p>
        </w:tc>
        <w:tc>
          <w:tcPr>
            <w:tcW w:w="1135"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kern w:val="0"/>
              </w:rPr>
            </w:pPr>
            <w:r>
              <w:rPr>
                <w:rFonts w:hint="eastAsia" w:ascii="宋体" w:hAnsi="宋体" w:cs="宋体"/>
                <w:color w:val="00000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22" w:type="dxa"/>
            <w:tcBorders>
              <w:top w:val="single" w:color="auto" w:sz="2" w:space="0"/>
              <w:left w:val="nil"/>
              <w:bottom w:val="double" w:color="auto" w:sz="4" w:space="0"/>
              <w:right w:val="single" w:color="auto" w:sz="2" w:space="0"/>
            </w:tcBorders>
            <w:shd w:val="clear" w:color="auto" w:fill="auto"/>
            <w:vAlign w:val="center"/>
          </w:tcPr>
          <w:p>
            <w:pPr>
              <w:widowControl/>
              <w:snapToGrid w:val="0"/>
              <w:ind w:left="-105" w:leftChars="-50" w:right="-111" w:rightChars="-53"/>
              <w:rPr>
                <w:rFonts w:ascii="宋体" w:hAnsi="宋体" w:cs="宋体"/>
                <w:color w:val="000000"/>
                <w:spacing w:val="-20"/>
                <w:kern w:val="0"/>
                <w:lang w:bidi="ar"/>
              </w:rPr>
            </w:pPr>
            <w:r>
              <w:rPr>
                <w:rFonts w:hint="eastAsia" w:ascii="宋体" w:hAnsi="宋体" w:cs="宋体"/>
                <w:color w:val="000000"/>
                <w:spacing w:val="-20"/>
                <w:kern w:val="0"/>
                <w:lang w:bidi="ar"/>
              </w:rPr>
              <w:t>山东兖矿集团长龙电缆制造有限公司</w:t>
            </w:r>
          </w:p>
        </w:tc>
        <w:tc>
          <w:tcPr>
            <w:tcW w:w="1163"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rPr>
                <w:rFonts w:ascii="Times New Roman" w:hAnsi="Times New Roman" w:cs="宋体"/>
                <w:snapToGrid w:val="0"/>
                <w:color w:val="000000"/>
                <w:kern w:val="0"/>
                <w:lang w:bidi="ar"/>
              </w:rPr>
            </w:pPr>
            <w:r>
              <w:rPr>
                <w:rFonts w:hint="eastAsia" w:ascii="Times New Roman" w:hAnsi="Times New Roman" w:cs="宋体"/>
                <w:snapToGrid w:val="0"/>
                <w:color w:val="000000"/>
                <w:kern w:val="0"/>
                <w:lang w:bidi="ar"/>
              </w:rPr>
              <w:t>山东邹城</w:t>
            </w:r>
          </w:p>
        </w:tc>
        <w:tc>
          <w:tcPr>
            <w:tcW w:w="1510"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ind w:leftChars="-76" w:hanging="159" w:hangingChars="76"/>
              <w:jc w:val="right"/>
              <w:rPr>
                <w:rFonts w:ascii="宋体" w:hAnsi="宋体" w:cs="宋体"/>
                <w:color w:val="000000"/>
                <w:kern w:val="0"/>
                <w:lang w:bidi="ar"/>
              </w:rPr>
            </w:pPr>
            <w:r>
              <w:rPr>
                <w:rFonts w:ascii="宋体" w:hAnsi="宋体" w:cs="宋体"/>
                <w:color w:val="000000"/>
                <w:kern w:val="0"/>
                <w:lang w:bidi="ar"/>
              </w:rPr>
              <w:t>2</w:t>
            </w:r>
            <w:r>
              <w:rPr>
                <w:rFonts w:hint="eastAsia" w:ascii="宋体" w:hAnsi="宋体" w:cs="宋体"/>
                <w:color w:val="000000"/>
                <w:kern w:val="0"/>
                <w:lang w:bidi="ar"/>
              </w:rPr>
              <w:t>,000万元</w:t>
            </w:r>
          </w:p>
        </w:tc>
        <w:tc>
          <w:tcPr>
            <w:tcW w:w="2018"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rPr>
                <w:rFonts w:ascii="宋体" w:hAnsi="宋体" w:cs="宋体"/>
                <w:snapToGrid w:val="0"/>
                <w:color w:val="000000"/>
                <w:spacing w:val="-20"/>
                <w:kern w:val="0"/>
                <w:lang w:bidi="ar"/>
              </w:rPr>
            </w:pPr>
            <w:r>
              <w:rPr>
                <w:rFonts w:hint="eastAsia" w:ascii="宋体" w:hAnsi="宋体" w:cs="宋体"/>
                <w:snapToGrid w:val="0"/>
                <w:color w:val="000000"/>
                <w:spacing w:val="-20"/>
                <w:kern w:val="0"/>
                <w:lang w:bidi="ar"/>
              </w:rPr>
              <w:t>电缆、电线、电缆附件及原料的制造，销售</w:t>
            </w:r>
          </w:p>
        </w:tc>
        <w:tc>
          <w:tcPr>
            <w:tcW w:w="1135" w:type="dxa"/>
            <w:tcBorders>
              <w:top w:val="single" w:color="auto" w:sz="2" w:space="0"/>
              <w:left w:val="single" w:color="auto" w:sz="2" w:space="0"/>
              <w:bottom w:val="double" w:color="auto" w:sz="4" w:space="0"/>
              <w:right w:val="nil"/>
            </w:tcBorders>
            <w:shd w:val="clear" w:color="auto" w:fill="auto"/>
            <w:vAlign w:val="center"/>
          </w:tcPr>
          <w:p>
            <w:pPr>
              <w:widowControl/>
              <w:snapToGrid w:val="0"/>
              <w:jc w:val="center"/>
              <w:rPr>
                <w:rFonts w:ascii="宋体" w:hAnsi="宋体" w:cs="宋体"/>
                <w:color w:val="000000"/>
                <w:kern w:val="0"/>
                <w:lang w:bidi="ar"/>
              </w:rPr>
            </w:pPr>
            <w:r>
              <w:rPr>
                <w:rFonts w:hint="eastAsia" w:ascii="宋体" w:hAnsi="宋体" w:cs="宋体"/>
                <w:color w:val="000000"/>
                <w:kern w:val="0"/>
                <w:lang w:bidi="ar"/>
              </w:rPr>
              <w:t>9</w:t>
            </w:r>
            <w:r>
              <w:rPr>
                <w:rFonts w:ascii="宋体" w:hAnsi="宋体" w:cs="宋体"/>
                <w:color w:val="000000"/>
                <w:kern w:val="0"/>
                <w:lang w:bidi="ar"/>
              </w:rPr>
              <w:t>5</w:t>
            </w:r>
          </w:p>
        </w:tc>
      </w:tr>
    </w:tbl>
    <w:p>
      <w:pPr>
        <w:widowControl/>
        <w:numPr>
          <w:ilvl w:val="0"/>
          <w:numId w:val="118"/>
        </w:numPr>
        <w:tabs>
          <w:tab w:val="left" w:pos="567"/>
          <w:tab w:val="clear" w:pos="420"/>
        </w:tabs>
        <w:snapToGrid w:val="0"/>
        <w:spacing w:before="120" w:beforeLines="50" w:after="120" w:afterLines="50" w:line="360" w:lineRule="exact"/>
        <w:ind w:left="862"/>
        <w:jc w:val="left"/>
        <w:rPr>
          <w:rFonts w:ascii="宋体" w:hAnsi="宋体" w:cs="宋体"/>
          <w:snapToGrid w:val="0"/>
          <w:kern w:val="0"/>
        </w:rPr>
      </w:pPr>
      <w:r>
        <w:rPr>
          <w:rFonts w:hint="eastAsia" w:ascii="宋体" w:hAnsi="宋体" w:cs="宋体"/>
          <w:snapToGrid w:val="0"/>
          <w:color w:val="000000"/>
          <w:kern w:val="0"/>
          <w:lang w:bidi="ar"/>
        </w:rPr>
        <w:t>兖煤菏泽能化有限公司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兖煤菏泽能化有限公司（以下简称“菏泽能化”）系由本公司、煤炭工业济南设计研究院有限公司、山东省煤炭地质局于2002年10月共同出资设立之公司，实收资本60,000万元，本公司持有其95.67%股权；2007年7月，菏泽能化增资扩股，注册资本增加至150,000万元，本公司股权占比增加至96.67%。2010年5月，本公司对菏泽能化增资150,000万元，注册资本增加至300,000万元，本公司股权占比增加至98.33%。公司法人营业执照统一社会信用代码：91370000754456581B，法定代表人：姚刚，主要从事巨野煤田煤炭开采及销售。</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菏泽能化主要控股子公司如下：</w:t>
      </w:r>
    </w:p>
    <w:tbl>
      <w:tblPr>
        <w:tblStyle w:val="964"/>
        <w:tblW w:w="0" w:type="auto"/>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623"/>
        <w:gridCol w:w="1119"/>
        <w:gridCol w:w="1675"/>
        <w:gridCol w:w="2291"/>
        <w:gridCol w:w="892"/>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0" w:hRule="atLeast"/>
          <w:tblHeader/>
        </w:trPr>
        <w:tc>
          <w:tcPr>
            <w:tcW w:w="2623" w:type="dxa"/>
            <w:shd w:val="clear" w:color="auto" w:fill="auto"/>
            <w:vAlign w:val="center"/>
          </w:tcPr>
          <w:p>
            <w:pPr>
              <w:widowControl/>
              <w:snapToGrid w:val="0"/>
              <w:rPr>
                <w:rFonts w:ascii="宋体" w:hAnsi="宋体" w:cs="宋体"/>
                <w:b/>
                <w:kern w:val="0"/>
              </w:rPr>
            </w:pPr>
            <w:r>
              <w:rPr>
                <w:rFonts w:hint="eastAsia" w:ascii="宋体" w:hAnsi="宋体" w:cs="宋体"/>
                <w:b/>
                <w:kern w:val="0"/>
                <w:lang w:bidi="ar"/>
              </w:rPr>
              <w:t>公司名称</w:t>
            </w:r>
          </w:p>
        </w:tc>
        <w:tc>
          <w:tcPr>
            <w:tcW w:w="1119" w:type="dxa"/>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注册地</w:t>
            </w:r>
          </w:p>
        </w:tc>
        <w:tc>
          <w:tcPr>
            <w:tcW w:w="1675" w:type="dxa"/>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注册资本</w:t>
            </w:r>
          </w:p>
          <w:p>
            <w:pPr>
              <w:widowControl/>
              <w:snapToGrid w:val="0"/>
              <w:jc w:val="center"/>
              <w:rPr>
                <w:rFonts w:ascii="宋体" w:hAnsi="宋体" w:cs="宋体"/>
                <w:b/>
                <w:kern w:val="0"/>
              </w:rPr>
            </w:pPr>
            <w:r>
              <w:rPr>
                <w:rFonts w:hint="eastAsia" w:ascii="宋体" w:hAnsi="宋体" w:cs="宋体"/>
                <w:b/>
                <w:kern w:val="0"/>
                <w:lang w:bidi="ar"/>
              </w:rPr>
              <w:t>（人民币）</w:t>
            </w:r>
          </w:p>
        </w:tc>
        <w:tc>
          <w:tcPr>
            <w:tcW w:w="2291" w:type="dxa"/>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经营范围</w:t>
            </w:r>
          </w:p>
        </w:tc>
        <w:tc>
          <w:tcPr>
            <w:tcW w:w="892" w:type="dxa"/>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持股比例(%)</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623" w:type="dxa"/>
            <w:shd w:val="clear" w:color="auto" w:fill="auto"/>
            <w:vAlign w:val="center"/>
          </w:tcPr>
          <w:p>
            <w:pPr>
              <w:tabs>
                <w:tab w:val="left" w:pos="122"/>
                <w:tab w:val="left" w:pos="288"/>
              </w:tabs>
              <w:jc w:val="left"/>
              <w:rPr>
                <w:rFonts w:ascii="宋体" w:hAnsi="宋体" w:cs="宋体"/>
                <w:color w:val="000000"/>
                <w:kern w:val="0"/>
              </w:rPr>
            </w:pPr>
            <w:r>
              <w:rPr>
                <w:rFonts w:hint="eastAsia" w:ascii="宋体" w:hAnsi="宋体" w:cs="宋体"/>
                <w:color w:val="000000"/>
                <w:kern w:val="0"/>
              </w:rPr>
              <w:t>兖煤万福能源有限公司</w:t>
            </w:r>
          </w:p>
        </w:tc>
        <w:tc>
          <w:tcPr>
            <w:tcW w:w="1119" w:type="dxa"/>
            <w:shd w:val="clear" w:color="auto" w:fill="auto"/>
            <w:vAlign w:val="center"/>
          </w:tcPr>
          <w:p>
            <w:pPr>
              <w:widowControl/>
              <w:snapToGrid w:val="0"/>
              <w:jc w:val="center"/>
              <w:rPr>
                <w:rFonts w:ascii="宋体" w:hAnsi="宋体" w:cs="宋体"/>
                <w:snapToGrid w:val="0"/>
                <w:kern w:val="0"/>
              </w:rPr>
            </w:pPr>
            <w:r>
              <w:rPr>
                <w:rFonts w:hint="eastAsia" w:ascii="宋体" w:hAnsi="宋体" w:cs="宋体"/>
                <w:snapToGrid w:val="0"/>
                <w:color w:val="000000"/>
                <w:kern w:val="0"/>
                <w:lang w:bidi="ar"/>
              </w:rPr>
              <w:t>山东菏泽</w:t>
            </w:r>
          </w:p>
        </w:tc>
        <w:tc>
          <w:tcPr>
            <w:tcW w:w="1675" w:type="dxa"/>
            <w:shd w:val="clear" w:color="auto" w:fill="auto"/>
            <w:vAlign w:val="center"/>
          </w:tcPr>
          <w:p>
            <w:pPr>
              <w:widowControl/>
              <w:snapToGrid w:val="0"/>
              <w:jc w:val="right"/>
              <w:rPr>
                <w:rFonts w:ascii="宋体" w:hAnsi="宋体" w:cs="宋体"/>
                <w:snapToGrid w:val="0"/>
                <w:kern w:val="0"/>
              </w:rPr>
            </w:pPr>
            <w:r>
              <w:rPr>
                <w:rFonts w:hint="eastAsia" w:ascii="宋体" w:hAnsi="宋体" w:cs="宋体"/>
                <w:snapToGrid w:val="0"/>
                <w:color w:val="000000"/>
                <w:kern w:val="0"/>
                <w:lang w:bidi="ar"/>
              </w:rPr>
              <w:t>60,000万元</w:t>
            </w:r>
          </w:p>
        </w:tc>
        <w:tc>
          <w:tcPr>
            <w:tcW w:w="2291"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煤炭开采及销售</w:t>
            </w:r>
          </w:p>
        </w:tc>
        <w:tc>
          <w:tcPr>
            <w:tcW w:w="892" w:type="dxa"/>
            <w:shd w:val="clear" w:color="auto" w:fill="auto"/>
            <w:vAlign w:val="center"/>
          </w:tcPr>
          <w:p>
            <w:pPr>
              <w:widowControl/>
              <w:snapToGrid w:val="0"/>
              <w:jc w:val="center"/>
              <w:rPr>
                <w:rFonts w:ascii="宋体" w:hAnsi="宋体" w:cs="宋体"/>
                <w:snapToGrid w:val="0"/>
                <w:kern w:val="0"/>
              </w:rPr>
            </w:pPr>
            <w:r>
              <w:rPr>
                <w:rFonts w:hint="eastAsia" w:ascii="宋体" w:hAnsi="宋体" w:cs="宋体"/>
                <w:snapToGrid w:val="0"/>
                <w:color w:val="000000"/>
                <w:kern w:val="0"/>
                <w:lang w:bidi="ar"/>
              </w:rPr>
              <w:t>90</w:t>
            </w:r>
          </w:p>
        </w:tc>
      </w:tr>
    </w:tbl>
    <w:p>
      <w:pPr>
        <w:widowControl/>
        <w:numPr>
          <w:ilvl w:val="0"/>
          <w:numId w:val="118"/>
        </w:numPr>
        <w:tabs>
          <w:tab w:val="left" w:pos="567"/>
          <w:tab w:val="clear" w:pos="420"/>
        </w:tabs>
        <w:snapToGrid w:val="0"/>
        <w:spacing w:before="120" w:beforeLines="50" w:after="120" w:afterLines="50" w:line="360" w:lineRule="exact"/>
        <w:ind w:left="862"/>
        <w:jc w:val="left"/>
        <w:rPr>
          <w:rFonts w:ascii="宋体" w:hAnsi="宋体" w:cs="宋体"/>
          <w:snapToGrid w:val="0"/>
          <w:kern w:val="0"/>
        </w:rPr>
      </w:pPr>
      <w:r>
        <w:rPr>
          <w:rFonts w:hint="eastAsia" w:ascii="宋体" w:hAnsi="宋体" w:cs="宋体"/>
          <w:snapToGrid w:val="0"/>
          <w:color w:val="000000"/>
          <w:kern w:val="0"/>
          <w:lang w:bidi="ar"/>
        </w:rPr>
        <w:t>内蒙古昊盛煤业有限公司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内蒙古昊盛煤业有限公司（以下简称“昊盛公司”），由上海华谊（集团）公司、鄂尔多斯市久泰满来煤业有限公司、鄂尔多斯市金诚泰化工有限责任公司于2010年3月共同出资组建，初期注册资本15,000万元，后经多次股权变动及增资，截至202</w:t>
      </w:r>
      <w:r>
        <w:rPr>
          <w:rFonts w:ascii="宋体" w:hAnsi="宋体" w:cs="宋体"/>
          <w:snapToGrid w:val="0"/>
          <w:color w:val="000000"/>
          <w:kern w:val="0"/>
          <w:lang w:bidi="ar"/>
        </w:rPr>
        <w:t>3</w:t>
      </w:r>
      <w:r>
        <w:rPr>
          <w:rFonts w:hint="eastAsia" w:ascii="宋体" w:hAnsi="宋体" w:cs="宋体"/>
          <w:snapToGrid w:val="0"/>
          <w:color w:val="000000"/>
          <w:kern w:val="0"/>
          <w:lang w:bidi="ar"/>
        </w:rPr>
        <w:t>年12月31日，昊盛公司注册资本为118,462万元，本公司持股比例为5</w:t>
      </w:r>
      <w:r>
        <w:rPr>
          <w:rFonts w:ascii="宋体" w:hAnsi="宋体" w:cs="宋体"/>
          <w:snapToGrid w:val="0"/>
          <w:color w:val="000000"/>
          <w:kern w:val="0"/>
          <w:lang w:bidi="ar"/>
        </w:rPr>
        <w:t>9.38</w:t>
      </w:r>
      <w:r>
        <w:rPr>
          <w:rFonts w:hint="eastAsia" w:ascii="宋体" w:hAnsi="宋体" w:cs="宋体"/>
          <w:snapToGrid w:val="0"/>
          <w:color w:val="000000"/>
          <w:kern w:val="0"/>
          <w:lang w:bidi="ar"/>
        </w:rPr>
        <w:t>%。公司法人营业执照统一社会信用代码：91150627552806504A，法定代表人为陈虎，主要从事煤炭洗选、销售；煤矿机械设备及配件销售。</w:t>
      </w:r>
    </w:p>
    <w:p>
      <w:pPr>
        <w:widowControl/>
        <w:numPr>
          <w:ilvl w:val="0"/>
          <w:numId w:val="118"/>
        </w:numPr>
        <w:tabs>
          <w:tab w:val="left" w:pos="567"/>
          <w:tab w:val="clear" w:pos="420"/>
        </w:tabs>
        <w:snapToGrid w:val="0"/>
        <w:spacing w:before="120" w:beforeLines="50" w:after="120" w:afterLines="50" w:line="360" w:lineRule="exact"/>
        <w:ind w:left="0" w:firstLine="420" w:firstLineChars="200"/>
        <w:jc w:val="left"/>
        <w:rPr>
          <w:rFonts w:ascii="宋体" w:hAnsi="宋体" w:cs="宋体"/>
          <w:snapToGrid w:val="0"/>
          <w:kern w:val="0"/>
        </w:rPr>
      </w:pPr>
      <w:r>
        <w:rPr>
          <w:rFonts w:hint="eastAsia" w:ascii="宋体" w:hAnsi="宋体" w:cs="宋体"/>
          <w:snapToGrid w:val="0"/>
          <w:color w:val="000000"/>
          <w:kern w:val="0"/>
          <w:lang w:bidi="ar"/>
        </w:rPr>
        <w:t>兖矿能源集团国际贸易有限公司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兖矿能源集团国际贸易有限公司（以下简称“兖矿国贸”）系本公司全资子公司，成立于2015年9月17日，注册资本30,000万元。公司法人营业执照统一社会信用代码：91370100353493269U，2022年变更法定代表人为徐长厚，主要从事煤炭、煤矿机械设备及配件、采矿专用设备、金属材料、矿用材料等的销售。</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兖矿国贸主要控股子公司如下：</w:t>
      </w:r>
    </w:p>
    <w:tbl>
      <w:tblPr>
        <w:tblStyle w:val="964"/>
        <w:tblW w:w="0" w:type="auto"/>
        <w:tblInd w:w="0" w:type="dxa"/>
        <w:tblBorders>
          <w:top w:val="double" w:color="auto" w:sz="4" w:space="0"/>
          <w:left w:val="none" w:color="auto" w:sz="6" w:space="0"/>
          <w:bottom w:val="double" w:color="auto" w:sz="4" w:space="0"/>
          <w:right w:val="non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2943"/>
        <w:gridCol w:w="1274"/>
        <w:gridCol w:w="1455"/>
        <w:gridCol w:w="2146"/>
        <w:gridCol w:w="905"/>
      </w:tblGrid>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943" w:type="dxa"/>
            <w:tcBorders>
              <w:top w:val="double" w:color="auto" w:sz="4" w:space="0"/>
              <w:left w:val="nil"/>
              <w:bottom w:val="single" w:color="auto" w:sz="2" w:space="0"/>
              <w:right w:val="single" w:color="auto" w:sz="2" w:space="0"/>
            </w:tcBorders>
            <w:shd w:val="clear" w:color="auto" w:fill="auto"/>
            <w:vAlign w:val="center"/>
          </w:tcPr>
          <w:p>
            <w:pPr>
              <w:widowControl/>
              <w:snapToGrid w:val="0"/>
              <w:rPr>
                <w:rFonts w:ascii="宋体" w:hAnsi="宋体" w:cs="宋体"/>
                <w:b/>
                <w:kern w:val="0"/>
              </w:rPr>
            </w:pPr>
            <w:r>
              <w:rPr>
                <w:rFonts w:hint="eastAsia" w:ascii="宋体" w:hAnsi="宋体" w:cs="宋体"/>
                <w:b/>
                <w:kern w:val="0"/>
                <w:lang w:bidi="ar"/>
              </w:rPr>
              <w:t>公司名称</w:t>
            </w:r>
          </w:p>
        </w:tc>
        <w:tc>
          <w:tcPr>
            <w:tcW w:w="1274"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注册地</w:t>
            </w:r>
          </w:p>
        </w:tc>
        <w:tc>
          <w:tcPr>
            <w:tcW w:w="1455"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注册资本</w:t>
            </w:r>
          </w:p>
          <w:p>
            <w:pPr>
              <w:widowControl/>
              <w:snapToGrid w:val="0"/>
              <w:jc w:val="center"/>
              <w:rPr>
                <w:rFonts w:ascii="宋体" w:hAnsi="宋体" w:cs="宋体"/>
                <w:b/>
                <w:kern w:val="0"/>
              </w:rPr>
            </w:pPr>
            <w:r>
              <w:rPr>
                <w:rFonts w:hint="eastAsia" w:ascii="宋体" w:hAnsi="宋体" w:cs="宋体"/>
                <w:b/>
                <w:kern w:val="0"/>
                <w:lang w:bidi="ar"/>
              </w:rPr>
              <w:t>（人民币）</w:t>
            </w:r>
          </w:p>
        </w:tc>
        <w:tc>
          <w:tcPr>
            <w:tcW w:w="2146"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经营范围</w:t>
            </w:r>
          </w:p>
        </w:tc>
        <w:tc>
          <w:tcPr>
            <w:tcW w:w="905" w:type="dxa"/>
            <w:tcBorders>
              <w:top w:val="double" w:color="auto" w:sz="4"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lang w:bidi="ar"/>
              </w:rPr>
              <w:t>持股比例(%)</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43" w:type="dxa"/>
            <w:tcBorders>
              <w:top w:val="single" w:color="auto" w:sz="2" w:space="0"/>
              <w:left w:val="nil"/>
              <w:bottom w:val="double" w:color="auto" w:sz="4" w:space="0"/>
              <w:right w:val="single" w:color="auto" w:sz="2" w:space="0"/>
            </w:tcBorders>
            <w:shd w:val="clear" w:color="auto" w:fill="auto"/>
            <w:vAlign w:val="center"/>
          </w:tcPr>
          <w:p>
            <w:pPr>
              <w:tabs>
                <w:tab w:val="left" w:pos="122"/>
                <w:tab w:val="left" w:pos="288"/>
              </w:tabs>
              <w:jc w:val="left"/>
              <w:rPr>
                <w:rFonts w:ascii="宋体" w:hAnsi="宋体" w:cs="宋体"/>
                <w:color w:val="000000"/>
                <w:kern w:val="0"/>
              </w:rPr>
            </w:pPr>
            <w:r>
              <w:rPr>
                <w:rFonts w:hint="eastAsia" w:ascii="宋体" w:hAnsi="宋体" w:cs="宋体"/>
                <w:kern w:val="0"/>
              </w:rPr>
              <w:t>山东中垠物流贸易有限公司</w:t>
            </w:r>
          </w:p>
        </w:tc>
        <w:tc>
          <w:tcPr>
            <w:tcW w:w="1274"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center"/>
              <w:rPr>
                <w:rFonts w:ascii="宋体" w:hAnsi="宋体" w:cs="宋体"/>
                <w:snapToGrid w:val="0"/>
                <w:kern w:val="0"/>
              </w:rPr>
            </w:pPr>
            <w:r>
              <w:rPr>
                <w:rFonts w:hint="eastAsia" w:ascii="宋体" w:hAnsi="宋体" w:cs="宋体"/>
                <w:snapToGrid w:val="0"/>
                <w:color w:val="000000"/>
                <w:kern w:val="0"/>
                <w:lang w:bidi="ar"/>
              </w:rPr>
              <w:t>山东济南</w:t>
            </w:r>
          </w:p>
        </w:tc>
        <w:tc>
          <w:tcPr>
            <w:tcW w:w="1455"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right"/>
              <w:rPr>
                <w:rFonts w:ascii="宋体" w:hAnsi="宋体" w:cs="宋体"/>
                <w:snapToGrid w:val="0"/>
                <w:kern w:val="0"/>
              </w:rPr>
            </w:pPr>
            <w:r>
              <w:rPr>
                <w:rFonts w:hint="eastAsia" w:ascii="宋体" w:hAnsi="宋体" w:cs="宋体"/>
                <w:snapToGrid w:val="0"/>
                <w:color w:val="000000"/>
                <w:kern w:val="0"/>
                <w:lang w:bidi="ar"/>
              </w:rPr>
              <w:t>30,000万元</w:t>
            </w:r>
          </w:p>
        </w:tc>
        <w:tc>
          <w:tcPr>
            <w:tcW w:w="2146"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从事煤炭、煤矿机械设备及配件、采矿专用设备的销售</w:t>
            </w:r>
          </w:p>
        </w:tc>
        <w:tc>
          <w:tcPr>
            <w:tcW w:w="905" w:type="dxa"/>
            <w:tcBorders>
              <w:top w:val="single" w:color="auto" w:sz="2" w:space="0"/>
              <w:left w:val="single" w:color="auto" w:sz="2" w:space="0"/>
              <w:bottom w:val="double" w:color="auto" w:sz="4" w:space="0"/>
              <w:right w:val="nil"/>
            </w:tcBorders>
            <w:shd w:val="clear" w:color="auto" w:fill="auto"/>
            <w:vAlign w:val="center"/>
          </w:tcPr>
          <w:p>
            <w:pPr>
              <w:widowControl/>
              <w:snapToGrid w:val="0"/>
              <w:jc w:val="center"/>
              <w:rPr>
                <w:rFonts w:ascii="宋体" w:hAnsi="宋体" w:cs="宋体"/>
                <w:snapToGrid w:val="0"/>
                <w:kern w:val="0"/>
              </w:rPr>
            </w:pPr>
            <w:r>
              <w:rPr>
                <w:rFonts w:hint="eastAsia" w:ascii="宋体" w:hAnsi="宋体" w:cs="宋体"/>
                <w:snapToGrid w:val="0"/>
                <w:color w:val="000000"/>
                <w:kern w:val="0"/>
                <w:lang w:bidi="ar"/>
              </w:rPr>
              <w:t>100</w:t>
            </w:r>
          </w:p>
        </w:tc>
      </w:tr>
    </w:tbl>
    <w:p>
      <w:pPr>
        <w:widowControl/>
        <w:numPr>
          <w:ilvl w:val="0"/>
          <w:numId w:val="118"/>
        </w:numPr>
        <w:tabs>
          <w:tab w:val="left" w:pos="567"/>
          <w:tab w:val="clear" w:pos="420"/>
        </w:tabs>
        <w:snapToGrid w:val="0"/>
        <w:spacing w:before="120" w:beforeLines="50" w:after="120" w:afterLines="50" w:line="360" w:lineRule="exact"/>
        <w:ind w:left="862"/>
        <w:jc w:val="left"/>
        <w:rPr>
          <w:rFonts w:ascii="宋体" w:hAnsi="宋体" w:cs="宋体"/>
          <w:snapToGrid w:val="0"/>
          <w:kern w:val="0"/>
        </w:rPr>
      </w:pPr>
      <w:r>
        <w:rPr>
          <w:rFonts w:hint="eastAsia" w:ascii="宋体" w:hAnsi="宋体" w:cs="宋体"/>
          <w:snapToGrid w:val="0"/>
          <w:color w:val="000000"/>
          <w:kern w:val="0"/>
          <w:lang w:bidi="ar"/>
        </w:rPr>
        <w:t>兖矿瑞丰国际贸易有限公司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兖矿瑞丰国际贸易有限公司（以下简称“兖矿瑞丰”）系本公司和青岛世纪瑞丰集团有限公司共同出资设立，成立于2015年11月，注册资本20,000万元，其中本公司出资10,200万元，持股51%，青岛世纪瑞丰集团有限公司出资9,800万元，持股49%。公司法人营业执照统一社会信用代码：91370220MA3COK0918，法定代表人为任义飞，主要从事国际贸易、转口贸易、区内企业之间贸易及贸易项下加工整理等。</w:t>
      </w:r>
    </w:p>
    <w:p>
      <w:pPr>
        <w:widowControl/>
        <w:tabs>
          <w:tab w:val="left" w:pos="426"/>
          <w:tab w:val="left" w:pos="800"/>
        </w:tabs>
        <w:snapToGrid w:val="0"/>
        <w:spacing w:before="120" w:beforeLines="50" w:after="120" w:afterLines="50" w:line="360" w:lineRule="exact"/>
        <w:ind w:firstLine="420" w:firstLineChars="200"/>
        <w:rPr>
          <w:rFonts w:ascii="Times New Roman" w:hAnsi="Times New Roman"/>
          <w:snapToGrid w:val="0"/>
          <w:kern w:val="0"/>
        </w:rPr>
      </w:pPr>
      <w:r>
        <w:rPr>
          <w:rFonts w:hint="eastAsia" w:ascii="Times New Roman" w:hAnsi="Times New Roman" w:cs="宋体"/>
          <w:snapToGrid w:val="0"/>
          <w:color w:val="000000"/>
          <w:kern w:val="0"/>
          <w:lang w:bidi="ar"/>
        </w:rPr>
        <w:t>兖矿瑞丰主要控股子公司如下：</w:t>
      </w:r>
    </w:p>
    <w:tbl>
      <w:tblPr>
        <w:tblStyle w:val="964"/>
        <w:tblW w:w="8720" w:type="dxa"/>
        <w:tblInd w:w="-34" w:type="dxa"/>
        <w:tblBorders>
          <w:top w:val="double" w:color="auto" w:sz="4" w:space="0"/>
          <w:left w:val="none" w:color="auto" w:sz="6" w:space="0"/>
          <w:bottom w:val="double" w:color="auto" w:sz="4" w:space="0"/>
          <w:right w:val="non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2869"/>
        <w:gridCol w:w="1133"/>
        <w:gridCol w:w="1672"/>
        <w:gridCol w:w="1580"/>
        <w:gridCol w:w="1466"/>
      </w:tblGrid>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870" w:type="dxa"/>
            <w:tcBorders>
              <w:top w:val="double" w:color="auto" w:sz="4" w:space="0"/>
              <w:left w:val="nil"/>
              <w:bottom w:val="single" w:color="auto" w:sz="2" w:space="0"/>
              <w:right w:val="single" w:color="auto" w:sz="2" w:space="0"/>
            </w:tcBorders>
            <w:shd w:val="clear" w:color="auto" w:fill="auto"/>
            <w:vAlign w:val="center"/>
          </w:tcPr>
          <w:p>
            <w:pPr>
              <w:widowControl/>
              <w:snapToGrid w:val="0"/>
              <w:rPr>
                <w:rFonts w:ascii="宋体" w:hAnsi="宋体" w:cs="宋体"/>
                <w:b/>
                <w:kern w:val="0"/>
              </w:rPr>
            </w:pPr>
            <w:r>
              <w:rPr>
                <w:rFonts w:hint="eastAsia" w:ascii="宋体" w:hAnsi="宋体" w:cs="宋体"/>
                <w:b/>
                <w:kern w:val="0"/>
              </w:rPr>
              <w:t>公司名称</w:t>
            </w:r>
          </w:p>
        </w:tc>
        <w:tc>
          <w:tcPr>
            <w:tcW w:w="1133"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rPr>
              <w:t>注册地</w:t>
            </w:r>
          </w:p>
        </w:tc>
        <w:tc>
          <w:tcPr>
            <w:tcW w:w="1673"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rPr>
              <w:t>注册资本</w:t>
            </w:r>
          </w:p>
        </w:tc>
        <w:tc>
          <w:tcPr>
            <w:tcW w:w="1581"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rPr>
              <w:t>经营范围</w:t>
            </w:r>
          </w:p>
        </w:tc>
        <w:tc>
          <w:tcPr>
            <w:tcW w:w="1466" w:type="dxa"/>
            <w:tcBorders>
              <w:top w:val="double" w:color="auto" w:sz="4"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rPr>
              <w:t>持股比例(%)</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0"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kern w:val="0"/>
              </w:rPr>
            </w:pPr>
            <w:r>
              <w:rPr>
                <w:rFonts w:hint="eastAsia" w:ascii="宋体" w:hAnsi="宋体" w:cs="宋体"/>
                <w:color w:val="000000"/>
                <w:kern w:val="0"/>
              </w:rPr>
              <w:t>兖矿瑞丰（香港）有限公司</w:t>
            </w:r>
          </w:p>
        </w:tc>
        <w:tc>
          <w:tcPr>
            <w:tcW w:w="113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kern w:val="0"/>
                <w:lang w:eastAsia="en-US"/>
              </w:rPr>
            </w:pPr>
            <w:r>
              <w:rPr>
                <w:rFonts w:hint="eastAsia" w:ascii="Times New Roman" w:hAnsi="Times New Roman" w:cs="宋体"/>
                <w:snapToGrid w:val="0"/>
                <w:color w:val="000000"/>
                <w:kern w:val="0"/>
                <w:lang w:bidi="ar"/>
              </w:rPr>
              <w:t>香港</w:t>
            </w:r>
          </w:p>
        </w:tc>
        <w:tc>
          <w:tcPr>
            <w:tcW w:w="167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kern w:val="0"/>
                <w:lang w:eastAsia="en-US"/>
              </w:rPr>
            </w:pPr>
            <w:r>
              <w:rPr>
                <w:rFonts w:hint="eastAsia" w:ascii="宋体" w:hAnsi="宋体" w:cs="宋体"/>
                <w:snapToGrid w:val="0"/>
                <w:color w:val="000000"/>
                <w:kern w:val="0"/>
                <w:lang w:bidi="ar"/>
              </w:rPr>
              <w:t>128.52万美元</w:t>
            </w:r>
          </w:p>
        </w:tc>
        <w:tc>
          <w:tcPr>
            <w:tcW w:w="1581"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kern w:val="0"/>
                <w:lang w:eastAsia="en-US"/>
              </w:rPr>
            </w:pPr>
            <w:r>
              <w:rPr>
                <w:rFonts w:hint="eastAsia" w:ascii="宋体" w:hAnsi="宋体" w:cs="宋体"/>
                <w:snapToGrid w:val="0"/>
                <w:color w:val="000000"/>
                <w:kern w:val="0"/>
                <w:lang w:bidi="ar"/>
              </w:rPr>
              <w:t>国际贸易</w:t>
            </w:r>
          </w:p>
        </w:tc>
        <w:tc>
          <w:tcPr>
            <w:tcW w:w="1466"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kern w:val="0"/>
                <w:lang w:eastAsia="en-US"/>
              </w:rPr>
            </w:pPr>
            <w:r>
              <w:rPr>
                <w:rFonts w:hint="eastAsia" w:ascii="宋体" w:hAnsi="宋体" w:cs="宋体"/>
                <w:snapToGrid w:val="0"/>
                <w:color w:val="00000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70" w:type="dxa"/>
            <w:tcBorders>
              <w:top w:val="single" w:color="auto" w:sz="2" w:space="0"/>
              <w:left w:val="nil"/>
              <w:bottom w:val="double" w:color="auto" w:sz="4" w:space="0"/>
              <w:right w:val="single" w:color="auto" w:sz="2" w:space="0"/>
            </w:tcBorders>
            <w:shd w:val="clear" w:color="auto" w:fill="auto"/>
            <w:vAlign w:val="center"/>
          </w:tcPr>
          <w:p>
            <w:pPr>
              <w:widowControl/>
              <w:snapToGrid w:val="0"/>
              <w:ind w:right="-111" w:rightChars="-53"/>
              <w:rPr>
                <w:rFonts w:ascii="宋体" w:hAnsi="宋体" w:cs="宋体"/>
                <w:color w:val="000000"/>
                <w:kern w:val="0"/>
              </w:rPr>
            </w:pPr>
            <w:r>
              <w:rPr>
                <w:rFonts w:hint="eastAsia" w:ascii="宋体" w:hAnsi="宋体" w:cs="宋体"/>
                <w:color w:val="000000"/>
                <w:kern w:val="0"/>
              </w:rPr>
              <w:t>兖矿再生资源有限公司</w:t>
            </w:r>
          </w:p>
        </w:tc>
        <w:tc>
          <w:tcPr>
            <w:tcW w:w="1133"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center"/>
              <w:rPr>
                <w:rFonts w:ascii="Times New Roman" w:hAnsi="Times New Roman"/>
                <w:snapToGrid w:val="0"/>
                <w:kern w:val="0"/>
              </w:rPr>
            </w:pPr>
            <w:r>
              <w:rPr>
                <w:rFonts w:hint="eastAsia" w:ascii="Times New Roman" w:hAnsi="Times New Roman" w:cs="宋体"/>
                <w:snapToGrid w:val="0"/>
                <w:color w:val="000000"/>
                <w:kern w:val="0"/>
                <w:lang w:bidi="ar"/>
              </w:rPr>
              <w:t>山东邹城</w:t>
            </w:r>
          </w:p>
        </w:tc>
        <w:tc>
          <w:tcPr>
            <w:tcW w:w="1673"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center"/>
              <w:rPr>
                <w:rFonts w:ascii="宋体" w:hAnsi="宋体" w:cs="宋体"/>
                <w:snapToGrid w:val="0"/>
                <w:kern w:val="0"/>
              </w:rPr>
            </w:pPr>
            <w:r>
              <w:rPr>
                <w:rFonts w:hint="eastAsia" w:ascii="宋体" w:hAnsi="宋体" w:cs="宋体"/>
                <w:snapToGrid w:val="0"/>
                <w:color w:val="000000"/>
                <w:kern w:val="0"/>
                <w:lang w:bidi="ar"/>
              </w:rPr>
              <w:t>10,000万元</w:t>
            </w:r>
          </w:p>
        </w:tc>
        <w:tc>
          <w:tcPr>
            <w:tcW w:w="1581"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center"/>
              <w:rPr>
                <w:rFonts w:ascii="宋体" w:hAnsi="宋体" w:cs="宋体"/>
                <w:snapToGrid w:val="0"/>
                <w:kern w:val="0"/>
              </w:rPr>
            </w:pPr>
            <w:r>
              <w:rPr>
                <w:rFonts w:hint="eastAsia" w:ascii="宋体" w:hAnsi="宋体" w:cs="宋体"/>
                <w:snapToGrid w:val="0"/>
                <w:color w:val="000000"/>
                <w:kern w:val="0"/>
                <w:lang w:bidi="ar"/>
              </w:rPr>
              <w:t>再生资源回收</w:t>
            </w:r>
          </w:p>
        </w:tc>
        <w:tc>
          <w:tcPr>
            <w:tcW w:w="1466" w:type="dxa"/>
            <w:tcBorders>
              <w:top w:val="single" w:color="auto" w:sz="2" w:space="0"/>
              <w:left w:val="single" w:color="auto" w:sz="2" w:space="0"/>
              <w:bottom w:val="double" w:color="auto" w:sz="4" w:space="0"/>
              <w:right w:val="nil"/>
            </w:tcBorders>
            <w:shd w:val="clear" w:color="auto" w:fill="auto"/>
            <w:vAlign w:val="center"/>
          </w:tcPr>
          <w:p>
            <w:pPr>
              <w:widowControl/>
              <w:snapToGrid w:val="0"/>
              <w:jc w:val="center"/>
              <w:rPr>
                <w:rFonts w:ascii="宋体" w:hAnsi="宋体" w:cs="宋体"/>
                <w:snapToGrid w:val="0"/>
                <w:kern w:val="0"/>
              </w:rPr>
            </w:pPr>
            <w:r>
              <w:rPr>
                <w:rFonts w:hint="eastAsia" w:ascii="宋体" w:hAnsi="宋体" w:cs="宋体"/>
                <w:snapToGrid w:val="0"/>
                <w:color w:val="000000"/>
                <w:kern w:val="0"/>
                <w:lang w:bidi="ar"/>
              </w:rPr>
              <w:t>70</w:t>
            </w:r>
          </w:p>
        </w:tc>
      </w:tr>
    </w:tbl>
    <w:p>
      <w:pPr>
        <w:widowControl/>
        <w:numPr>
          <w:ilvl w:val="0"/>
          <w:numId w:val="118"/>
        </w:numPr>
        <w:tabs>
          <w:tab w:val="left" w:pos="567"/>
          <w:tab w:val="clear" w:pos="420"/>
        </w:tabs>
        <w:snapToGrid w:val="0"/>
        <w:spacing w:before="120" w:beforeLines="50" w:after="120" w:afterLines="50" w:line="360" w:lineRule="exact"/>
        <w:ind w:left="862"/>
        <w:jc w:val="left"/>
        <w:rPr>
          <w:rFonts w:ascii="宋体" w:hAnsi="宋体" w:cs="宋体"/>
          <w:snapToGrid w:val="0"/>
          <w:kern w:val="0"/>
        </w:rPr>
      </w:pPr>
      <w:r>
        <w:rPr>
          <w:rFonts w:hint="eastAsia" w:ascii="宋体" w:hAnsi="宋体" w:cs="宋体"/>
          <w:snapToGrid w:val="0"/>
          <w:color w:val="000000"/>
          <w:kern w:val="0"/>
          <w:lang w:bidi="ar"/>
        </w:rPr>
        <w:t>兖矿融资租赁有限公司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兖矿融资租赁有限公司（以下简称“兖矿融资租赁”）成立于2014年5月，由本公司及本公司之子公司香港公司共同出资设立，注册资本合计50,000万元，其中本公司以现金出资37,500万元，持股75%；香港公司以现金出资12,500万元，持股25%。</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2015年，兖矿融资租赁增加注册资本156,000万元，增资后注册资本合计206,000万元，其中本公司增资112,500万元，增资后为150,000万元，持股72.82%；香港公司增资37,500万元，增资后为50,000万元，持股24.27%；第三方山东永正投资发展有限公司投资6,000万元，持股2.91%。2016年，兖矿融资租赁增加注册资本500,000万元，增资后注册资本合计706,000万元。2017年，兖矿融资租赁召开第一届董事会第四次会议，通过议案同意山东永正投资发展有限公司于2017年12月31日减资6,000万元，减资后为700,000万元，本集团持股100%。公司法人营业执照统一社会信用代码：91310000094402317P，法定代表人：李士鹏，主要从事融资租赁业务等。</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兖矿融资租赁主要控股子公司如下：</w:t>
      </w:r>
    </w:p>
    <w:tbl>
      <w:tblPr>
        <w:tblStyle w:val="964"/>
        <w:tblW w:w="8540" w:type="dxa"/>
        <w:tblInd w:w="-34" w:type="dxa"/>
        <w:tblBorders>
          <w:top w:val="double" w:color="auto" w:sz="4" w:space="0"/>
          <w:left w:val="none" w:color="auto" w:sz="6" w:space="0"/>
          <w:bottom w:val="double" w:color="auto" w:sz="4" w:space="0"/>
          <w:right w:val="non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2978"/>
        <w:gridCol w:w="889"/>
        <w:gridCol w:w="1521"/>
        <w:gridCol w:w="2126"/>
        <w:gridCol w:w="1026"/>
      </w:tblGrid>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977" w:type="dxa"/>
            <w:tcBorders>
              <w:top w:val="double" w:color="auto" w:sz="4" w:space="0"/>
              <w:left w:val="nil"/>
              <w:bottom w:val="single" w:color="auto" w:sz="2" w:space="0"/>
              <w:right w:val="single" w:color="auto" w:sz="2" w:space="0"/>
            </w:tcBorders>
            <w:shd w:val="clear" w:color="auto" w:fill="auto"/>
            <w:vAlign w:val="center"/>
          </w:tcPr>
          <w:p>
            <w:pPr>
              <w:widowControl/>
              <w:snapToGrid w:val="0"/>
              <w:rPr>
                <w:rFonts w:ascii="宋体" w:hAnsi="宋体" w:cs="宋体"/>
                <w:b/>
                <w:kern w:val="0"/>
              </w:rPr>
            </w:pPr>
            <w:r>
              <w:rPr>
                <w:rFonts w:hint="eastAsia" w:ascii="宋体" w:hAnsi="宋体" w:cs="宋体"/>
                <w:b/>
                <w:kern w:val="0"/>
              </w:rPr>
              <w:t>公司名称</w:t>
            </w:r>
          </w:p>
        </w:tc>
        <w:tc>
          <w:tcPr>
            <w:tcW w:w="889"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rPr>
              <w:t>注册地</w:t>
            </w:r>
          </w:p>
        </w:tc>
        <w:tc>
          <w:tcPr>
            <w:tcW w:w="1521"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rPr>
              <w:t>注册资本</w:t>
            </w:r>
          </w:p>
        </w:tc>
        <w:tc>
          <w:tcPr>
            <w:tcW w:w="2126"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rPr>
              <w:t>经营范围</w:t>
            </w:r>
          </w:p>
        </w:tc>
        <w:tc>
          <w:tcPr>
            <w:tcW w:w="1026" w:type="dxa"/>
            <w:tcBorders>
              <w:top w:val="double" w:color="auto" w:sz="4"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b/>
                <w:kern w:val="0"/>
              </w:rPr>
            </w:pPr>
            <w:r>
              <w:rPr>
                <w:rFonts w:hint="eastAsia" w:ascii="宋体" w:hAnsi="宋体" w:cs="宋体"/>
                <w:b/>
                <w:kern w:val="0"/>
              </w:rPr>
              <w:t>持股比例(%)</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7"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kern w:val="0"/>
              </w:rPr>
            </w:pPr>
            <w:r>
              <w:rPr>
                <w:rFonts w:hint="eastAsia" w:ascii="宋体" w:hAnsi="宋体" w:cs="宋体"/>
                <w:color w:val="000000"/>
                <w:kern w:val="0"/>
              </w:rPr>
              <w:t>上海兖矿能源发展有限公司</w:t>
            </w:r>
          </w:p>
        </w:tc>
        <w:tc>
          <w:tcPr>
            <w:tcW w:w="8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kern w:val="0"/>
                <w:lang w:eastAsia="en-US"/>
              </w:rPr>
            </w:pPr>
            <w:r>
              <w:rPr>
                <w:rFonts w:hint="eastAsia" w:ascii="Times New Roman" w:hAnsi="Times New Roman" w:cs="宋体"/>
                <w:snapToGrid w:val="0"/>
                <w:color w:val="000000"/>
                <w:kern w:val="0"/>
                <w:lang w:bidi="ar"/>
              </w:rPr>
              <w:t>上海</w:t>
            </w:r>
          </w:p>
        </w:tc>
        <w:tc>
          <w:tcPr>
            <w:tcW w:w="1521"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kern w:val="0"/>
                <w:lang w:eastAsia="en-US"/>
              </w:rPr>
            </w:pPr>
            <w:r>
              <w:rPr>
                <w:rFonts w:hint="eastAsia" w:ascii="宋体" w:hAnsi="宋体" w:cs="宋体"/>
                <w:snapToGrid w:val="0"/>
                <w:color w:val="000000"/>
                <w:kern w:val="0"/>
                <w:lang w:bidi="ar"/>
              </w:rPr>
              <w:t>8,000万元</w:t>
            </w:r>
          </w:p>
        </w:tc>
        <w:tc>
          <w:tcPr>
            <w:tcW w:w="212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房地产开发经营、物业管理</w:t>
            </w:r>
          </w:p>
        </w:tc>
        <w:tc>
          <w:tcPr>
            <w:tcW w:w="1026"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kern w:val="0"/>
                <w:lang w:eastAsia="en-US"/>
              </w:rPr>
            </w:pPr>
            <w:r>
              <w:rPr>
                <w:rFonts w:hint="eastAsia" w:ascii="宋体" w:hAnsi="宋体" w:cs="宋体"/>
                <w:snapToGrid w:val="0"/>
                <w:color w:val="00000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7"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color w:val="000000"/>
                <w:kern w:val="0"/>
              </w:rPr>
            </w:pPr>
            <w:r>
              <w:rPr>
                <w:rFonts w:hint="eastAsia" w:ascii="宋体" w:hAnsi="宋体" w:cs="宋体"/>
                <w:color w:val="000000"/>
                <w:kern w:val="0"/>
              </w:rPr>
              <w:t>兖矿融资租赁（泰安）有限公司</w:t>
            </w:r>
          </w:p>
        </w:tc>
        <w:tc>
          <w:tcPr>
            <w:tcW w:w="8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kern w:val="0"/>
                <w:lang w:eastAsia="en-US"/>
              </w:rPr>
            </w:pPr>
            <w:r>
              <w:rPr>
                <w:rFonts w:hint="eastAsia" w:ascii="Times New Roman" w:hAnsi="Times New Roman" w:cs="宋体"/>
                <w:snapToGrid w:val="0"/>
                <w:color w:val="000000"/>
                <w:kern w:val="0"/>
                <w:lang w:bidi="ar"/>
              </w:rPr>
              <w:t>山东</w:t>
            </w:r>
          </w:p>
        </w:tc>
        <w:tc>
          <w:tcPr>
            <w:tcW w:w="1521"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kern w:val="0"/>
                <w:lang w:eastAsia="en-US"/>
              </w:rPr>
            </w:pPr>
            <w:r>
              <w:rPr>
                <w:rFonts w:hint="eastAsia" w:ascii="宋体" w:hAnsi="宋体" w:cs="宋体"/>
                <w:snapToGrid w:val="0"/>
                <w:color w:val="000000"/>
                <w:kern w:val="0"/>
                <w:lang w:bidi="ar"/>
              </w:rPr>
              <w:t>159,300万元</w:t>
            </w:r>
          </w:p>
        </w:tc>
        <w:tc>
          <w:tcPr>
            <w:tcW w:w="212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商务服务业</w:t>
            </w:r>
          </w:p>
        </w:tc>
        <w:tc>
          <w:tcPr>
            <w:tcW w:w="1026"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kern w:val="0"/>
                <w:lang w:eastAsia="en-US"/>
              </w:rPr>
            </w:pPr>
            <w:r>
              <w:rPr>
                <w:rFonts w:hint="eastAsia" w:ascii="宋体" w:hAnsi="宋体" w:cs="宋体"/>
                <w:snapToGrid w:val="0"/>
                <w:color w:val="000000"/>
                <w:kern w:val="0"/>
                <w:lang w:bidi="ar"/>
              </w:rPr>
              <w:t>28.25</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7"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color w:val="000000"/>
                <w:kern w:val="0"/>
              </w:rPr>
            </w:pPr>
            <w:r>
              <w:rPr>
                <w:rFonts w:hint="eastAsia" w:ascii="宋体" w:hAnsi="宋体" w:cs="宋体"/>
                <w:color w:val="000000"/>
                <w:kern w:val="0"/>
              </w:rPr>
              <w:t>中垠（香港）有限公司</w:t>
            </w:r>
          </w:p>
        </w:tc>
        <w:tc>
          <w:tcPr>
            <w:tcW w:w="8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kern w:val="0"/>
                <w:lang w:eastAsia="en-US"/>
              </w:rPr>
            </w:pPr>
            <w:r>
              <w:rPr>
                <w:rFonts w:hint="eastAsia" w:ascii="Times New Roman" w:hAnsi="Times New Roman" w:cs="宋体"/>
                <w:snapToGrid w:val="0"/>
                <w:color w:val="000000"/>
                <w:kern w:val="0"/>
                <w:lang w:bidi="ar"/>
              </w:rPr>
              <w:t>香港</w:t>
            </w:r>
          </w:p>
        </w:tc>
        <w:tc>
          <w:tcPr>
            <w:tcW w:w="1521"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kern w:val="0"/>
                <w:lang w:eastAsia="en-US"/>
              </w:rPr>
            </w:pPr>
            <w:r>
              <w:rPr>
                <w:rFonts w:hint="eastAsia" w:ascii="宋体" w:hAnsi="宋体" w:cs="宋体"/>
                <w:snapToGrid w:val="0"/>
                <w:color w:val="000000"/>
                <w:kern w:val="0"/>
                <w:lang w:bidi="ar"/>
              </w:rPr>
              <w:t>9,857万元</w:t>
            </w:r>
          </w:p>
        </w:tc>
        <w:tc>
          <w:tcPr>
            <w:tcW w:w="212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融资租赁、租赁、贸易、商业保理</w:t>
            </w:r>
          </w:p>
        </w:tc>
        <w:tc>
          <w:tcPr>
            <w:tcW w:w="1026"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kern w:val="0"/>
              </w:rPr>
            </w:pPr>
            <w:r>
              <w:rPr>
                <w:rFonts w:hint="eastAsia" w:ascii="宋体" w:hAnsi="宋体" w:cs="宋体"/>
                <w:snapToGrid w:val="0"/>
                <w:color w:val="00000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7" w:type="dxa"/>
            <w:tcBorders>
              <w:top w:val="single" w:color="auto" w:sz="2" w:space="0"/>
              <w:left w:val="nil"/>
              <w:bottom w:val="single" w:color="auto" w:sz="2" w:space="0"/>
              <w:right w:val="single" w:color="auto" w:sz="2" w:space="0"/>
            </w:tcBorders>
            <w:shd w:val="clear" w:color="auto" w:fill="auto"/>
            <w:vAlign w:val="center"/>
          </w:tcPr>
          <w:p>
            <w:pPr>
              <w:widowControl/>
              <w:snapToGrid w:val="0"/>
              <w:ind w:right="-111" w:rightChars="-53"/>
              <w:rPr>
                <w:rFonts w:ascii="宋体" w:hAnsi="宋体" w:cs="宋体"/>
                <w:color w:val="000000"/>
                <w:kern w:val="0"/>
              </w:rPr>
            </w:pPr>
            <w:r>
              <w:rPr>
                <w:rFonts w:hint="eastAsia" w:ascii="宋体" w:hAnsi="宋体" w:cs="宋体"/>
                <w:color w:val="000000"/>
                <w:kern w:val="0"/>
              </w:rPr>
              <w:t>兖矿商业保理（上海）有限公司</w:t>
            </w:r>
          </w:p>
        </w:tc>
        <w:tc>
          <w:tcPr>
            <w:tcW w:w="88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cs="宋体"/>
                <w:snapToGrid w:val="0"/>
                <w:color w:val="000000"/>
                <w:kern w:val="0"/>
                <w:lang w:bidi="ar"/>
              </w:rPr>
            </w:pPr>
            <w:r>
              <w:rPr>
                <w:rFonts w:hint="eastAsia" w:ascii="Times New Roman" w:hAnsi="Times New Roman" w:cs="宋体"/>
                <w:snapToGrid w:val="0"/>
                <w:color w:val="000000"/>
                <w:kern w:val="0"/>
                <w:lang w:bidi="ar"/>
              </w:rPr>
              <w:t>上海</w:t>
            </w:r>
          </w:p>
        </w:tc>
        <w:tc>
          <w:tcPr>
            <w:tcW w:w="1521"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color w:val="000000"/>
                <w:kern w:val="0"/>
                <w:lang w:bidi="ar"/>
              </w:rPr>
            </w:pPr>
            <w:r>
              <w:rPr>
                <w:rFonts w:hint="eastAsia" w:ascii="宋体" w:hAnsi="宋体" w:cs="宋体"/>
                <w:snapToGrid w:val="0"/>
                <w:color w:val="000000"/>
                <w:kern w:val="0"/>
                <w:lang w:bidi="ar"/>
              </w:rPr>
              <w:t>9,8</w:t>
            </w:r>
            <w:r>
              <w:rPr>
                <w:rFonts w:ascii="宋体" w:hAnsi="宋体" w:cs="宋体"/>
                <w:snapToGrid w:val="0"/>
                <w:color w:val="000000"/>
                <w:kern w:val="0"/>
                <w:lang w:bidi="ar"/>
              </w:rPr>
              <w:t>00</w:t>
            </w:r>
            <w:r>
              <w:rPr>
                <w:rFonts w:hint="eastAsia" w:ascii="宋体" w:hAnsi="宋体" w:cs="宋体"/>
                <w:snapToGrid w:val="0"/>
                <w:color w:val="000000"/>
                <w:kern w:val="0"/>
                <w:lang w:bidi="ar"/>
              </w:rPr>
              <w:t>万元</w:t>
            </w:r>
          </w:p>
        </w:tc>
        <w:tc>
          <w:tcPr>
            <w:tcW w:w="212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color w:val="000000"/>
                <w:kern w:val="0"/>
                <w:lang w:bidi="ar"/>
              </w:rPr>
            </w:pPr>
            <w:r>
              <w:rPr>
                <w:rFonts w:hint="eastAsia" w:ascii="宋体" w:hAnsi="宋体" w:cs="宋体"/>
                <w:snapToGrid w:val="0"/>
                <w:color w:val="000000"/>
                <w:kern w:val="0"/>
                <w:lang w:bidi="ar"/>
              </w:rPr>
              <w:t>融资租赁、租赁、贸易、商业保理</w:t>
            </w:r>
          </w:p>
        </w:tc>
        <w:tc>
          <w:tcPr>
            <w:tcW w:w="1026"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color w:val="000000"/>
                <w:kern w:val="0"/>
                <w:lang w:bidi="ar"/>
              </w:rPr>
            </w:pPr>
            <w:r>
              <w:rPr>
                <w:rFonts w:hint="eastAsia" w:ascii="宋体" w:hAnsi="宋体" w:cs="宋体"/>
                <w:snapToGrid w:val="0"/>
                <w:color w:val="00000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77" w:type="dxa"/>
            <w:tcBorders>
              <w:top w:val="single" w:color="auto" w:sz="2" w:space="0"/>
              <w:left w:val="nil"/>
              <w:bottom w:val="double" w:color="auto" w:sz="4" w:space="0"/>
              <w:right w:val="single" w:color="auto" w:sz="2" w:space="0"/>
            </w:tcBorders>
            <w:shd w:val="clear" w:color="auto" w:fill="auto"/>
            <w:vAlign w:val="center"/>
          </w:tcPr>
          <w:p>
            <w:pPr>
              <w:widowControl/>
              <w:snapToGrid w:val="0"/>
              <w:ind w:right="-111" w:rightChars="-53"/>
              <w:rPr>
                <w:rFonts w:ascii="宋体" w:hAnsi="宋体" w:cs="宋体"/>
                <w:color w:val="000000"/>
                <w:kern w:val="0"/>
              </w:rPr>
            </w:pPr>
            <w:r>
              <w:rPr>
                <w:rFonts w:hint="eastAsia" w:ascii="宋体" w:hAnsi="宋体" w:cs="宋体"/>
                <w:color w:val="000000"/>
                <w:kern w:val="0"/>
              </w:rPr>
              <w:t>兖矿商业保理（天津）有限公司</w:t>
            </w:r>
          </w:p>
        </w:tc>
        <w:tc>
          <w:tcPr>
            <w:tcW w:w="889"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center"/>
              <w:rPr>
                <w:rFonts w:ascii="Times New Roman" w:hAnsi="Times New Roman" w:cs="宋体"/>
                <w:snapToGrid w:val="0"/>
                <w:color w:val="000000"/>
                <w:kern w:val="0"/>
                <w:lang w:bidi="ar"/>
              </w:rPr>
            </w:pPr>
            <w:r>
              <w:rPr>
                <w:rFonts w:hint="eastAsia" w:ascii="Times New Roman" w:hAnsi="Times New Roman" w:cs="宋体"/>
                <w:snapToGrid w:val="0"/>
                <w:color w:val="000000"/>
                <w:kern w:val="0"/>
                <w:lang w:bidi="ar"/>
              </w:rPr>
              <w:t>天津</w:t>
            </w:r>
          </w:p>
        </w:tc>
        <w:tc>
          <w:tcPr>
            <w:tcW w:w="1521"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center"/>
              <w:rPr>
                <w:rFonts w:ascii="宋体" w:hAnsi="宋体" w:cs="宋体"/>
                <w:snapToGrid w:val="0"/>
                <w:color w:val="000000"/>
                <w:kern w:val="0"/>
                <w:lang w:bidi="ar"/>
              </w:rPr>
            </w:pPr>
            <w:r>
              <w:rPr>
                <w:rFonts w:ascii="宋体" w:hAnsi="宋体" w:cs="宋体"/>
                <w:snapToGrid w:val="0"/>
                <w:color w:val="000000"/>
                <w:kern w:val="0"/>
                <w:lang w:bidi="ar"/>
              </w:rPr>
              <w:t>9</w:t>
            </w:r>
            <w:r>
              <w:rPr>
                <w:rFonts w:hint="eastAsia" w:ascii="宋体" w:hAnsi="宋体" w:cs="宋体"/>
                <w:snapToGrid w:val="0"/>
                <w:color w:val="000000"/>
                <w:kern w:val="0"/>
                <w:lang w:bidi="ar"/>
              </w:rPr>
              <w:t>,000万元</w:t>
            </w:r>
          </w:p>
        </w:tc>
        <w:tc>
          <w:tcPr>
            <w:tcW w:w="2126"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rPr>
                <w:rFonts w:ascii="宋体" w:hAnsi="宋体" w:cs="宋体"/>
                <w:snapToGrid w:val="0"/>
                <w:color w:val="000000"/>
                <w:kern w:val="0"/>
                <w:lang w:bidi="ar"/>
              </w:rPr>
            </w:pPr>
            <w:r>
              <w:rPr>
                <w:rFonts w:hint="eastAsia" w:ascii="宋体" w:hAnsi="宋体" w:cs="宋体"/>
                <w:snapToGrid w:val="0"/>
                <w:color w:val="000000"/>
                <w:kern w:val="0"/>
                <w:lang w:bidi="ar"/>
              </w:rPr>
              <w:t>融资租赁、租赁、贸易、商业保理</w:t>
            </w:r>
          </w:p>
        </w:tc>
        <w:tc>
          <w:tcPr>
            <w:tcW w:w="1026" w:type="dxa"/>
            <w:tcBorders>
              <w:top w:val="single" w:color="auto" w:sz="2" w:space="0"/>
              <w:left w:val="single" w:color="auto" w:sz="2" w:space="0"/>
              <w:bottom w:val="double" w:color="auto" w:sz="4" w:space="0"/>
              <w:right w:val="nil"/>
            </w:tcBorders>
            <w:shd w:val="clear" w:color="auto" w:fill="auto"/>
            <w:vAlign w:val="center"/>
          </w:tcPr>
          <w:p>
            <w:pPr>
              <w:widowControl/>
              <w:snapToGrid w:val="0"/>
              <w:jc w:val="center"/>
              <w:rPr>
                <w:rFonts w:ascii="宋体" w:hAnsi="宋体" w:cs="宋体"/>
                <w:snapToGrid w:val="0"/>
                <w:color w:val="000000"/>
                <w:kern w:val="0"/>
                <w:lang w:bidi="ar"/>
              </w:rPr>
            </w:pPr>
            <w:r>
              <w:rPr>
                <w:rFonts w:hint="eastAsia" w:ascii="宋体" w:hAnsi="宋体" w:cs="宋体"/>
                <w:snapToGrid w:val="0"/>
                <w:color w:val="000000"/>
                <w:kern w:val="0"/>
                <w:lang w:bidi="ar"/>
              </w:rPr>
              <w:t>5</w:t>
            </w:r>
            <w:r>
              <w:rPr>
                <w:rFonts w:ascii="宋体" w:hAnsi="宋体" w:cs="宋体"/>
                <w:snapToGrid w:val="0"/>
                <w:color w:val="000000"/>
                <w:kern w:val="0"/>
                <w:lang w:bidi="ar"/>
              </w:rPr>
              <w:t>1</w:t>
            </w:r>
          </w:p>
        </w:tc>
      </w:tr>
    </w:tbl>
    <w:p>
      <w:pPr>
        <w:widowControl/>
        <w:numPr>
          <w:ilvl w:val="0"/>
          <w:numId w:val="118"/>
        </w:numPr>
        <w:tabs>
          <w:tab w:val="left" w:pos="567"/>
          <w:tab w:val="clear" w:pos="420"/>
        </w:tabs>
        <w:snapToGrid w:val="0"/>
        <w:spacing w:before="120" w:beforeLines="50" w:after="120" w:afterLines="50" w:line="360" w:lineRule="exact"/>
        <w:ind w:leftChars="200" w:firstLine="0"/>
        <w:jc w:val="left"/>
        <w:rPr>
          <w:rFonts w:ascii="宋体" w:hAnsi="宋体" w:cs="宋体"/>
          <w:snapToGrid w:val="0"/>
          <w:kern w:val="0"/>
        </w:rPr>
      </w:pPr>
      <w:r>
        <w:rPr>
          <w:rFonts w:hint="eastAsia" w:ascii="宋体" w:hAnsi="宋体" w:cs="宋体"/>
          <w:snapToGrid w:val="0"/>
          <w:color w:val="000000"/>
          <w:kern w:val="0"/>
          <w:lang w:bidi="ar"/>
        </w:rPr>
        <w:t>陕西未来能源化工有限公司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color w:val="000000"/>
          <w:kern w:val="0"/>
          <w:lang w:bidi="ar"/>
        </w:rPr>
        <w:t>陕西未来能源化工有限公司（以下简称“未来能源”）系本公司之子公司，成立于</w:t>
      </w:r>
      <w:r>
        <w:rPr>
          <w:rFonts w:hint="eastAsia" w:ascii="宋体" w:hAnsi="宋体" w:cs="宋体"/>
          <w:snapToGrid w:val="0"/>
          <w:color w:val="000000"/>
          <w:kern w:val="0"/>
          <w:lang w:bidi="ar"/>
        </w:rPr>
        <w:t>2011</w:t>
      </w:r>
      <w:r>
        <w:rPr>
          <w:rFonts w:hint="eastAsia" w:ascii="宋体" w:hAnsi="宋体" w:cs="宋体"/>
          <w:color w:val="000000"/>
          <w:kern w:val="0"/>
          <w:lang w:bidi="ar"/>
        </w:rPr>
        <w:t>年，注册资本</w:t>
      </w:r>
      <w:r>
        <w:rPr>
          <w:rFonts w:hint="eastAsia" w:ascii="宋体" w:hAnsi="宋体" w:cs="宋体"/>
          <w:snapToGrid w:val="0"/>
          <w:color w:val="000000"/>
          <w:kern w:val="0"/>
          <w:lang w:bidi="ar"/>
        </w:rPr>
        <w:t>540,000</w:t>
      </w:r>
      <w:r>
        <w:rPr>
          <w:rFonts w:hint="eastAsia" w:ascii="宋体" w:hAnsi="宋体" w:cs="宋体"/>
          <w:color w:val="000000"/>
          <w:kern w:val="0"/>
          <w:lang w:bidi="ar"/>
        </w:rPr>
        <w:t>万元。</w:t>
      </w:r>
      <w:r>
        <w:rPr>
          <w:rFonts w:hint="eastAsia" w:ascii="宋体" w:hAnsi="宋体" w:cs="宋体"/>
          <w:snapToGrid w:val="0"/>
          <w:color w:val="000000"/>
          <w:kern w:val="0"/>
          <w:lang w:bidi="ar"/>
        </w:rPr>
        <w:t>公司法人营业执照统一社会信用代码</w:t>
      </w:r>
      <w:r>
        <w:rPr>
          <w:rFonts w:hint="eastAsia" w:ascii="宋体" w:hAnsi="宋体" w:cs="宋体"/>
          <w:color w:val="000000"/>
          <w:kern w:val="0"/>
          <w:lang w:bidi="ar"/>
        </w:rPr>
        <w:t>：</w:t>
      </w:r>
      <w:r>
        <w:rPr>
          <w:rFonts w:hint="eastAsia" w:ascii="宋体" w:hAnsi="宋体" w:cs="宋体"/>
          <w:snapToGrid w:val="0"/>
          <w:color w:val="000000"/>
          <w:kern w:val="0"/>
          <w:lang w:bidi="ar"/>
        </w:rPr>
        <w:t>9161000056714796XP</w:t>
      </w:r>
      <w:r>
        <w:rPr>
          <w:rFonts w:hint="eastAsia" w:ascii="宋体" w:hAnsi="宋体" w:cs="宋体"/>
          <w:color w:val="000000"/>
          <w:kern w:val="0"/>
          <w:lang w:bidi="ar"/>
        </w:rPr>
        <w:t>。法定代表人：马洪光，主要从事化工产品、油品的研发，电力生产销售，煤炭开采等。</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未来能源主要控股子公司如下：</w:t>
      </w:r>
    </w:p>
    <w:tbl>
      <w:tblPr>
        <w:tblStyle w:val="964"/>
        <w:tblW w:w="0" w:type="auto"/>
        <w:tblInd w:w="-34" w:type="dxa"/>
        <w:tblBorders>
          <w:top w:val="double" w:color="auto" w:sz="4" w:space="0"/>
          <w:left w:val="none" w:color="auto" w:sz="6" w:space="0"/>
          <w:bottom w:val="double" w:color="auto" w:sz="4" w:space="0"/>
          <w:right w:val="non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2269"/>
        <w:gridCol w:w="1275"/>
        <w:gridCol w:w="1560"/>
        <w:gridCol w:w="2270"/>
        <w:gridCol w:w="1026"/>
      </w:tblGrid>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269" w:type="dxa"/>
            <w:tcBorders>
              <w:top w:val="double" w:color="auto" w:sz="4" w:space="0"/>
              <w:left w:val="nil"/>
              <w:bottom w:val="single" w:color="auto" w:sz="2" w:space="0"/>
              <w:right w:val="single" w:color="auto" w:sz="2" w:space="0"/>
            </w:tcBorders>
            <w:shd w:val="clear" w:color="auto" w:fill="auto"/>
            <w:vAlign w:val="center"/>
          </w:tcPr>
          <w:p>
            <w:pPr>
              <w:widowControl/>
              <w:snapToGrid w:val="0"/>
              <w:rPr>
                <w:rFonts w:ascii="宋体" w:hAnsi="宋体" w:cs="宋体"/>
                <w:b/>
                <w:spacing w:val="-20"/>
                <w:kern w:val="0"/>
              </w:rPr>
            </w:pPr>
            <w:r>
              <w:rPr>
                <w:rFonts w:hint="eastAsia" w:ascii="宋体" w:hAnsi="宋体" w:cs="宋体"/>
                <w:b/>
                <w:spacing w:val="-20"/>
                <w:kern w:val="0"/>
              </w:rPr>
              <w:t>公司名称</w:t>
            </w:r>
          </w:p>
        </w:tc>
        <w:tc>
          <w:tcPr>
            <w:tcW w:w="1275"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rPr>
              <w:t>注册地</w:t>
            </w:r>
          </w:p>
        </w:tc>
        <w:tc>
          <w:tcPr>
            <w:tcW w:w="1560"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rPr>
              <w:t>注册资本</w:t>
            </w:r>
          </w:p>
        </w:tc>
        <w:tc>
          <w:tcPr>
            <w:tcW w:w="2270"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rPr>
              <w:t>经营范围</w:t>
            </w:r>
          </w:p>
        </w:tc>
        <w:tc>
          <w:tcPr>
            <w:tcW w:w="1026" w:type="dxa"/>
            <w:tcBorders>
              <w:top w:val="double" w:color="auto" w:sz="4"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b/>
                <w:spacing w:val="-20"/>
                <w:kern w:val="0"/>
              </w:rPr>
            </w:pPr>
            <w:r>
              <w:rPr>
                <w:rFonts w:hint="eastAsia" w:ascii="宋体" w:hAnsi="宋体" w:cs="宋体"/>
                <w:b/>
                <w:spacing w:val="-20"/>
                <w:kern w:val="0"/>
              </w:rPr>
              <w:t>持股比例(%)</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269" w:type="dxa"/>
            <w:tcBorders>
              <w:top w:val="single" w:color="auto" w:sz="2" w:space="0"/>
              <w:left w:val="nil"/>
              <w:bottom w:val="single" w:color="auto" w:sz="2" w:space="0"/>
              <w:right w:val="single" w:color="auto" w:sz="2" w:space="0"/>
            </w:tcBorders>
            <w:shd w:val="clear" w:color="auto" w:fill="auto"/>
            <w:vAlign w:val="center"/>
          </w:tcPr>
          <w:p>
            <w:pPr>
              <w:widowControl/>
              <w:tabs>
                <w:tab w:val="left" w:pos="122"/>
                <w:tab w:val="left" w:pos="288"/>
              </w:tabs>
              <w:snapToGrid w:val="0"/>
              <w:jc w:val="left"/>
              <w:rPr>
                <w:rFonts w:ascii="宋体" w:hAnsi="宋体" w:cs="宋体"/>
                <w:snapToGrid w:val="0"/>
                <w:spacing w:val="-20"/>
                <w:kern w:val="0"/>
              </w:rPr>
            </w:pPr>
            <w:r>
              <w:rPr>
                <w:rFonts w:hint="eastAsia" w:ascii="宋体" w:hAnsi="宋体" w:cs="宋体"/>
                <w:snapToGrid w:val="0"/>
                <w:color w:val="000000"/>
                <w:spacing w:val="-20"/>
                <w:kern w:val="0"/>
                <w:lang w:bidi="ar"/>
              </w:rPr>
              <w:t>陕西未来清洁油品与化学品销售有限公司</w:t>
            </w:r>
          </w:p>
        </w:tc>
        <w:tc>
          <w:tcPr>
            <w:tcW w:w="1275"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20"/>
                <w:kern w:val="0"/>
                <w:lang w:eastAsia="en-US"/>
              </w:rPr>
            </w:pPr>
            <w:r>
              <w:rPr>
                <w:rFonts w:hint="eastAsia" w:ascii="宋体" w:hAnsi="宋体" w:cs="宋体"/>
                <w:snapToGrid w:val="0"/>
                <w:color w:val="000000"/>
                <w:spacing w:val="-20"/>
                <w:kern w:val="0"/>
                <w:lang w:bidi="ar"/>
              </w:rPr>
              <w:t>陕西榆林</w:t>
            </w:r>
          </w:p>
        </w:tc>
        <w:tc>
          <w:tcPr>
            <w:tcW w:w="156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20"/>
                <w:kern w:val="0"/>
                <w:lang w:eastAsia="en-US"/>
              </w:rPr>
            </w:pPr>
            <w:r>
              <w:rPr>
                <w:rFonts w:hint="eastAsia" w:ascii="宋体" w:hAnsi="宋体" w:cs="宋体"/>
                <w:snapToGrid w:val="0"/>
                <w:color w:val="000000"/>
                <w:spacing w:val="-20"/>
                <w:kern w:val="0"/>
                <w:lang w:bidi="ar"/>
              </w:rPr>
              <w:t>5,000万元</w:t>
            </w:r>
          </w:p>
        </w:tc>
        <w:tc>
          <w:tcPr>
            <w:tcW w:w="227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20"/>
                <w:kern w:val="0"/>
              </w:rPr>
            </w:pPr>
            <w:r>
              <w:rPr>
                <w:rFonts w:hint="eastAsia" w:ascii="宋体" w:hAnsi="宋体" w:cs="宋体"/>
                <w:snapToGrid w:val="0"/>
                <w:color w:val="000000"/>
                <w:spacing w:val="-20"/>
                <w:kern w:val="0"/>
                <w:lang w:bidi="ar"/>
              </w:rPr>
              <w:t>石油制品、化工产品、煤炭及制品销售</w:t>
            </w:r>
          </w:p>
        </w:tc>
        <w:tc>
          <w:tcPr>
            <w:tcW w:w="1026"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lang w:eastAsia="en-US"/>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269" w:type="dxa"/>
            <w:tcBorders>
              <w:top w:val="single" w:color="auto" w:sz="2" w:space="0"/>
              <w:left w:val="nil"/>
              <w:bottom w:val="double" w:color="auto" w:sz="4" w:space="0"/>
              <w:right w:val="single" w:color="auto" w:sz="2" w:space="0"/>
            </w:tcBorders>
            <w:shd w:val="clear" w:color="auto" w:fill="auto"/>
            <w:vAlign w:val="center"/>
          </w:tcPr>
          <w:p>
            <w:pPr>
              <w:widowControl/>
              <w:tabs>
                <w:tab w:val="left" w:pos="122"/>
                <w:tab w:val="left" w:pos="288"/>
              </w:tabs>
              <w:snapToGrid w:val="0"/>
              <w:jc w:val="left"/>
              <w:rPr>
                <w:rFonts w:ascii="宋体" w:hAnsi="宋体" w:cs="宋体"/>
                <w:snapToGrid w:val="0"/>
                <w:spacing w:val="-20"/>
                <w:kern w:val="0"/>
              </w:rPr>
            </w:pPr>
            <w:r>
              <w:rPr>
                <w:rFonts w:hint="eastAsia" w:ascii="宋体" w:hAnsi="宋体" w:cs="宋体"/>
                <w:snapToGrid w:val="0"/>
                <w:color w:val="000000"/>
                <w:spacing w:val="-20"/>
                <w:kern w:val="0"/>
                <w:lang w:bidi="ar"/>
              </w:rPr>
              <w:t>陕西未来清洁化学品有限公司</w:t>
            </w:r>
          </w:p>
        </w:tc>
        <w:tc>
          <w:tcPr>
            <w:tcW w:w="1275"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center"/>
              <w:rPr>
                <w:rFonts w:ascii="宋体" w:hAnsi="宋体" w:cs="宋体"/>
                <w:snapToGrid w:val="0"/>
                <w:spacing w:val="-20"/>
                <w:kern w:val="0"/>
                <w:lang w:eastAsia="en-US"/>
              </w:rPr>
            </w:pPr>
            <w:r>
              <w:rPr>
                <w:rFonts w:hint="eastAsia" w:ascii="宋体" w:hAnsi="宋体" w:cs="宋体"/>
                <w:snapToGrid w:val="0"/>
                <w:color w:val="000000"/>
                <w:spacing w:val="-20"/>
                <w:kern w:val="0"/>
                <w:lang w:bidi="ar"/>
              </w:rPr>
              <w:t>陕西榆林</w:t>
            </w:r>
          </w:p>
        </w:tc>
        <w:tc>
          <w:tcPr>
            <w:tcW w:w="1560"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center"/>
              <w:rPr>
                <w:rFonts w:ascii="宋体" w:hAnsi="宋体" w:cs="宋体"/>
                <w:snapToGrid w:val="0"/>
                <w:spacing w:val="-20"/>
                <w:kern w:val="0"/>
                <w:lang w:eastAsia="en-US"/>
              </w:rPr>
            </w:pPr>
            <w:r>
              <w:rPr>
                <w:rFonts w:hint="eastAsia" w:ascii="宋体" w:hAnsi="宋体" w:cs="宋体"/>
                <w:snapToGrid w:val="0"/>
                <w:color w:val="000000"/>
                <w:spacing w:val="-20"/>
                <w:kern w:val="0"/>
                <w:lang w:bidi="ar"/>
              </w:rPr>
              <w:t>3,000万元</w:t>
            </w:r>
          </w:p>
        </w:tc>
        <w:tc>
          <w:tcPr>
            <w:tcW w:w="2270"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rPr>
                <w:rFonts w:ascii="宋体" w:hAnsi="宋体" w:cs="宋体"/>
                <w:snapToGrid w:val="0"/>
                <w:spacing w:val="-20"/>
                <w:kern w:val="0"/>
              </w:rPr>
            </w:pPr>
            <w:r>
              <w:rPr>
                <w:rFonts w:hint="eastAsia" w:ascii="宋体" w:hAnsi="宋体" w:cs="宋体"/>
                <w:snapToGrid w:val="0"/>
                <w:color w:val="000000"/>
                <w:spacing w:val="-20"/>
                <w:kern w:val="0"/>
                <w:lang w:bidi="ar"/>
              </w:rPr>
              <w:t>石油制品、化工产品、煤炭及制品销售</w:t>
            </w:r>
          </w:p>
        </w:tc>
        <w:tc>
          <w:tcPr>
            <w:tcW w:w="1026" w:type="dxa"/>
            <w:tcBorders>
              <w:top w:val="single" w:color="auto" w:sz="2" w:space="0"/>
              <w:left w:val="single" w:color="auto" w:sz="2" w:space="0"/>
              <w:bottom w:val="double" w:color="auto" w:sz="4"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spacing w:val="-20"/>
                <w:kern w:val="0"/>
                <w:lang w:bidi="ar"/>
              </w:rPr>
              <w:t>51</w:t>
            </w:r>
          </w:p>
        </w:tc>
      </w:tr>
    </w:tbl>
    <w:p>
      <w:pPr>
        <w:widowControl/>
        <w:numPr>
          <w:ilvl w:val="0"/>
          <w:numId w:val="118"/>
        </w:numPr>
        <w:tabs>
          <w:tab w:val="left" w:pos="567"/>
          <w:tab w:val="clear" w:pos="420"/>
        </w:tabs>
        <w:snapToGrid w:val="0"/>
        <w:spacing w:before="120" w:beforeLines="50" w:after="120" w:afterLines="50" w:line="360" w:lineRule="exact"/>
        <w:ind w:leftChars="200" w:firstLine="0"/>
        <w:jc w:val="left"/>
        <w:rPr>
          <w:rFonts w:ascii="宋体" w:hAnsi="宋体" w:cs="宋体"/>
          <w:snapToGrid w:val="0"/>
          <w:kern w:val="0"/>
        </w:rPr>
      </w:pPr>
      <w:r>
        <w:rPr>
          <w:rFonts w:hint="eastAsia" w:ascii="宋体" w:hAnsi="宋体" w:cs="宋体"/>
          <w:snapToGrid w:val="0"/>
          <w:color w:val="000000"/>
          <w:kern w:val="0"/>
          <w:lang w:bidi="ar"/>
        </w:rPr>
        <w:t>兖矿鲁南化工有限公司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兖矿鲁南化工有限公司（以下简称“鲁南化工”）系本公司之子公司，成立于2007年，注册资本504,069万元。公司法人营业执照统一社会信用代码：913704006644327461。法定代表人：张岭，主要从事化工产品生产、销售等。</w:t>
      </w:r>
    </w:p>
    <w:p>
      <w:pPr>
        <w:widowControl/>
        <w:numPr>
          <w:ilvl w:val="0"/>
          <w:numId w:val="118"/>
        </w:numPr>
        <w:tabs>
          <w:tab w:val="left" w:pos="567"/>
          <w:tab w:val="clear" w:pos="420"/>
        </w:tabs>
        <w:snapToGrid w:val="0"/>
        <w:spacing w:before="120" w:beforeLines="50" w:after="120" w:afterLines="50" w:line="360" w:lineRule="exact"/>
        <w:ind w:leftChars="200" w:firstLine="0"/>
        <w:jc w:val="left"/>
        <w:rPr>
          <w:rFonts w:ascii="宋体" w:hAnsi="宋体" w:cs="宋体"/>
          <w:snapToGrid w:val="0"/>
          <w:kern w:val="0"/>
        </w:rPr>
      </w:pPr>
      <w:r>
        <w:rPr>
          <w:rFonts w:hint="eastAsia" w:ascii="宋体" w:hAnsi="宋体" w:cs="宋体"/>
          <w:snapToGrid w:val="0"/>
          <w:color w:val="000000"/>
          <w:kern w:val="0"/>
          <w:lang w:bidi="ar"/>
        </w:rPr>
        <w:t>内蒙古矿业（集团）有限责任公司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内蒙古矿业（集团）有限责任公司（以下简称“内蒙矿业”）系本公司之子公司，成立于2013年，注册资本699,730万元。公司法人营业执照统一社会信用代码：91150000065019167L。本公司于2020年10月与内蒙古地质矿产（集团）有限责任公司（以下简称“地矿集团”）签订《增资协议》，以人民币3,962,290千元认缴内蒙矿业新增注册资本3,568,626千元，本次增资后，本公司、地矿集团持股比例分别51%、49%。法定代表人：王九红。内蒙矿业主要从事对矿产资源的投资与管理、煤炭开采和洗选业等。</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内蒙矿业主要控股子公司如下：</w:t>
      </w:r>
    </w:p>
    <w:tbl>
      <w:tblPr>
        <w:tblStyle w:val="964"/>
        <w:tblW w:w="5000" w:type="pct"/>
        <w:tblInd w:w="0" w:type="dxa"/>
        <w:tblBorders>
          <w:top w:val="double" w:color="auto" w:sz="4" w:space="0"/>
          <w:left w:val="none" w:color="auto" w:sz="6" w:space="0"/>
          <w:bottom w:val="double" w:color="auto" w:sz="4" w:space="0"/>
          <w:right w:val="non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3190"/>
        <w:gridCol w:w="1186"/>
        <w:gridCol w:w="1468"/>
        <w:gridCol w:w="2203"/>
        <w:gridCol w:w="1002"/>
      </w:tblGrid>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2931" w:type="dxa"/>
            <w:tcBorders>
              <w:top w:val="double" w:color="auto" w:sz="4" w:space="0"/>
              <w:left w:val="nil"/>
              <w:bottom w:val="single" w:color="auto" w:sz="2" w:space="0"/>
              <w:right w:val="single" w:color="auto" w:sz="2" w:space="0"/>
            </w:tcBorders>
            <w:shd w:val="clear" w:color="auto" w:fill="auto"/>
            <w:vAlign w:val="center"/>
          </w:tcPr>
          <w:p>
            <w:pPr>
              <w:widowControl/>
              <w:snapToGrid w:val="0"/>
              <w:rPr>
                <w:rFonts w:ascii="宋体" w:hAnsi="宋体" w:cs="宋体"/>
                <w:b/>
                <w:spacing w:val="-30"/>
                <w:kern w:val="0"/>
              </w:rPr>
            </w:pPr>
            <w:r>
              <w:rPr>
                <w:rFonts w:hint="eastAsia" w:ascii="宋体" w:hAnsi="宋体" w:cs="宋体"/>
                <w:b/>
                <w:spacing w:val="-30"/>
                <w:kern w:val="0"/>
              </w:rPr>
              <w:t>公司名称</w:t>
            </w:r>
          </w:p>
        </w:tc>
        <w:tc>
          <w:tcPr>
            <w:tcW w:w="1090"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30"/>
                <w:kern w:val="0"/>
              </w:rPr>
            </w:pPr>
            <w:r>
              <w:rPr>
                <w:rFonts w:hint="eastAsia" w:ascii="宋体" w:hAnsi="宋体" w:cs="宋体"/>
                <w:b/>
                <w:spacing w:val="-30"/>
                <w:kern w:val="0"/>
              </w:rPr>
              <w:t>注册地</w:t>
            </w:r>
          </w:p>
        </w:tc>
        <w:tc>
          <w:tcPr>
            <w:tcW w:w="1349"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30"/>
                <w:kern w:val="0"/>
              </w:rPr>
            </w:pPr>
            <w:r>
              <w:rPr>
                <w:rFonts w:hint="eastAsia" w:ascii="宋体" w:hAnsi="宋体" w:cs="宋体"/>
                <w:b/>
                <w:spacing w:val="-30"/>
                <w:kern w:val="0"/>
              </w:rPr>
              <w:t>注册资本</w:t>
            </w:r>
          </w:p>
        </w:tc>
        <w:tc>
          <w:tcPr>
            <w:tcW w:w="2023" w:type="dxa"/>
            <w:tcBorders>
              <w:top w:val="double" w:color="auto" w:sz="4"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b/>
                <w:spacing w:val="-30"/>
                <w:kern w:val="0"/>
              </w:rPr>
            </w:pPr>
            <w:r>
              <w:rPr>
                <w:rFonts w:hint="eastAsia" w:ascii="宋体" w:hAnsi="宋体" w:cs="宋体"/>
                <w:b/>
                <w:spacing w:val="-30"/>
                <w:kern w:val="0"/>
              </w:rPr>
              <w:t>经营范围</w:t>
            </w:r>
          </w:p>
        </w:tc>
        <w:tc>
          <w:tcPr>
            <w:tcW w:w="920" w:type="dxa"/>
            <w:tcBorders>
              <w:top w:val="double" w:color="auto" w:sz="4"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b/>
                <w:spacing w:val="-30"/>
                <w:kern w:val="0"/>
              </w:rPr>
            </w:pPr>
            <w:r>
              <w:rPr>
                <w:rFonts w:hint="eastAsia" w:ascii="宋体" w:hAnsi="宋体" w:cs="宋体"/>
                <w:b/>
                <w:spacing w:val="-30"/>
                <w:kern w:val="0"/>
              </w:rPr>
              <w:t>持股比例(%)</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31" w:type="dxa"/>
            <w:tcBorders>
              <w:top w:val="single" w:color="auto" w:sz="2" w:space="0"/>
              <w:left w:val="nil"/>
              <w:bottom w:val="single" w:color="auto" w:sz="2" w:space="0"/>
              <w:right w:val="single" w:color="auto" w:sz="2" w:space="0"/>
            </w:tcBorders>
            <w:shd w:val="clear" w:color="auto" w:fill="auto"/>
            <w:vAlign w:val="center"/>
          </w:tcPr>
          <w:p>
            <w:pPr>
              <w:widowControl/>
              <w:tabs>
                <w:tab w:val="left" w:pos="122"/>
                <w:tab w:val="left" w:pos="288"/>
              </w:tabs>
              <w:snapToGrid w:val="0"/>
              <w:rPr>
                <w:rFonts w:ascii="宋体" w:hAnsi="宋体" w:cs="宋体"/>
                <w:snapToGrid w:val="0"/>
                <w:spacing w:val="-30"/>
                <w:kern w:val="0"/>
              </w:rPr>
            </w:pPr>
            <w:r>
              <w:rPr>
                <w:rFonts w:hint="eastAsia" w:ascii="宋体" w:hAnsi="宋体" w:cs="宋体"/>
                <w:snapToGrid w:val="0"/>
                <w:color w:val="000000"/>
                <w:spacing w:val="-30"/>
                <w:kern w:val="0"/>
                <w:lang w:bidi="ar"/>
              </w:rPr>
              <w:t>乌兰察布市宏大实业有限公司</w:t>
            </w:r>
          </w:p>
        </w:tc>
        <w:tc>
          <w:tcPr>
            <w:tcW w:w="109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乌兰察布</w:t>
            </w:r>
          </w:p>
        </w:tc>
        <w:tc>
          <w:tcPr>
            <w:tcW w:w="134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55,000万元</w:t>
            </w:r>
          </w:p>
        </w:tc>
        <w:tc>
          <w:tcPr>
            <w:tcW w:w="202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lang w:eastAsia="en-US"/>
              </w:rPr>
            </w:pPr>
            <w:r>
              <w:rPr>
                <w:rFonts w:hint="eastAsia" w:ascii="宋体" w:hAnsi="宋体" w:cs="宋体"/>
                <w:snapToGrid w:val="0"/>
                <w:color w:val="000000"/>
                <w:spacing w:val="-30"/>
                <w:kern w:val="0"/>
                <w:lang w:bidi="ar"/>
              </w:rPr>
              <w:t>运营电力</w:t>
            </w:r>
          </w:p>
        </w:tc>
        <w:tc>
          <w:tcPr>
            <w:tcW w:w="920"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31" w:type="dxa"/>
            <w:tcBorders>
              <w:top w:val="single" w:color="auto" w:sz="2" w:space="0"/>
              <w:left w:val="nil"/>
              <w:bottom w:val="single" w:color="auto" w:sz="2" w:space="0"/>
              <w:right w:val="single" w:color="auto" w:sz="2" w:space="0"/>
            </w:tcBorders>
            <w:shd w:val="clear" w:color="auto" w:fill="auto"/>
            <w:vAlign w:val="center"/>
          </w:tcPr>
          <w:p>
            <w:pPr>
              <w:widowControl/>
              <w:tabs>
                <w:tab w:val="left" w:pos="122"/>
                <w:tab w:val="left" w:pos="288"/>
              </w:tabs>
              <w:snapToGrid w:val="0"/>
              <w:rPr>
                <w:rFonts w:ascii="宋体" w:hAnsi="宋体" w:cs="宋体"/>
                <w:snapToGrid w:val="0"/>
                <w:spacing w:val="-30"/>
                <w:kern w:val="0"/>
              </w:rPr>
            </w:pPr>
            <w:r>
              <w:rPr>
                <w:rFonts w:hint="eastAsia" w:ascii="宋体" w:hAnsi="宋体" w:cs="宋体"/>
                <w:snapToGrid w:val="0"/>
                <w:color w:val="000000"/>
                <w:spacing w:val="-30"/>
                <w:kern w:val="0"/>
                <w:lang w:bidi="ar"/>
              </w:rPr>
              <w:t>鄂尔多斯市锋威光电有限公司</w:t>
            </w:r>
          </w:p>
        </w:tc>
        <w:tc>
          <w:tcPr>
            <w:tcW w:w="109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鄂尔多斯</w:t>
            </w:r>
          </w:p>
        </w:tc>
        <w:tc>
          <w:tcPr>
            <w:tcW w:w="134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18,000万元</w:t>
            </w:r>
          </w:p>
        </w:tc>
        <w:tc>
          <w:tcPr>
            <w:tcW w:w="202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rPr>
            </w:pPr>
            <w:r>
              <w:rPr>
                <w:rFonts w:hint="eastAsia" w:ascii="宋体" w:hAnsi="宋体" w:cs="宋体"/>
                <w:snapToGrid w:val="0"/>
                <w:color w:val="000000"/>
                <w:spacing w:val="-30"/>
                <w:kern w:val="0"/>
                <w:lang w:bidi="ar"/>
              </w:rPr>
              <w:t>太阳能、风能发电项目建设及生产运营</w:t>
            </w:r>
          </w:p>
        </w:tc>
        <w:tc>
          <w:tcPr>
            <w:tcW w:w="920"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31" w:type="dxa"/>
            <w:tcBorders>
              <w:top w:val="single" w:color="auto" w:sz="2" w:space="0"/>
              <w:left w:val="nil"/>
              <w:bottom w:val="single" w:color="auto" w:sz="2" w:space="0"/>
              <w:right w:val="single" w:color="auto" w:sz="2" w:space="0"/>
            </w:tcBorders>
            <w:shd w:val="clear" w:color="auto" w:fill="auto"/>
            <w:vAlign w:val="center"/>
          </w:tcPr>
          <w:p>
            <w:pPr>
              <w:widowControl/>
              <w:tabs>
                <w:tab w:val="left" w:pos="122"/>
                <w:tab w:val="left" w:pos="288"/>
              </w:tabs>
              <w:snapToGrid w:val="0"/>
              <w:rPr>
                <w:rFonts w:ascii="宋体" w:hAnsi="宋体" w:cs="宋体"/>
                <w:snapToGrid w:val="0"/>
                <w:spacing w:val="-30"/>
                <w:kern w:val="0"/>
              </w:rPr>
            </w:pPr>
            <w:r>
              <w:rPr>
                <w:rFonts w:hint="eastAsia" w:ascii="宋体" w:hAnsi="宋体" w:cs="宋体"/>
                <w:snapToGrid w:val="0"/>
                <w:color w:val="000000"/>
                <w:spacing w:val="-30"/>
                <w:kern w:val="0"/>
                <w:lang w:bidi="ar"/>
              </w:rPr>
              <w:t>内蒙古矿业资源投资控股有限公司</w:t>
            </w:r>
          </w:p>
        </w:tc>
        <w:tc>
          <w:tcPr>
            <w:tcW w:w="109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呼和浩特</w:t>
            </w:r>
          </w:p>
        </w:tc>
        <w:tc>
          <w:tcPr>
            <w:tcW w:w="134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40,000万元</w:t>
            </w:r>
          </w:p>
        </w:tc>
        <w:tc>
          <w:tcPr>
            <w:tcW w:w="202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lang w:eastAsia="en-US"/>
              </w:rPr>
            </w:pPr>
            <w:r>
              <w:rPr>
                <w:rFonts w:hint="eastAsia" w:ascii="宋体" w:hAnsi="宋体" w:cs="宋体"/>
                <w:snapToGrid w:val="0"/>
                <w:color w:val="000000"/>
                <w:spacing w:val="-30"/>
                <w:kern w:val="0"/>
                <w:lang w:bidi="ar"/>
              </w:rPr>
              <w:t>投资与资产管理</w:t>
            </w:r>
          </w:p>
        </w:tc>
        <w:tc>
          <w:tcPr>
            <w:tcW w:w="920"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100</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31" w:type="dxa"/>
            <w:tcBorders>
              <w:top w:val="single" w:color="auto" w:sz="2" w:space="0"/>
              <w:left w:val="nil"/>
              <w:bottom w:val="single" w:color="auto" w:sz="2" w:space="0"/>
              <w:right w:val="single" w:color="auto" w:sz="2" w:space="0"/>
            </w:tcBorders>
            <w:shd w:val="clear" w:color="auto" w:fill="auto"/>
            <w:vAlign w:val="center"/>
          </w:tcPr>
          <w:p>
            <w:pPr>
              <w:widowControl/>
              <w:tabs>
                <w:tab w:val="left" w:pos="122"/>
                <w:tab w:val="left" w:pos="288"/>
              </w:tabs>
              <w:snapToGrid w:val="0"/>
              <w:rPr>
                <w:rFonts w:ascii="宋体" w:hAnsi="宋体" w:cs="宋体"/>
                <w:snapToGrid w:val="0"/>
                <w:spacing w:val="-30"/>
                <w:kern w:val="0"/>
              </w:rPr>
            </w:pPr>
            <w:r>
              <w:rPr>
                <w:rFonts w:hint="eastAsia" w:ascii="宋体" w:hAnsi="宋体" w:cs="宋体"/>
                <w:snapToGrid w:val="0"/>
                <w:color w:val="000000"/>
                <w:spacing w:val="-30"/>
                <w:kern w:val="0"/>
                <w:lang w:bidi="ar"/>
              </w:rPr>
              <w:t>鄂尔多斯市绿能光电有限公司</w:t>
            </w:r>
          </w:p>
        </w:tc>
        <w:tc>
          <w:tcPr>
            <w:tcW w:w="109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鄂尔多斯</w:t>
            </w:r>
          </w:p>
        </w:tc>
        <w:tc>
          <w:tcPr>
            <w:tcW w:w="134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120,000万元</w:t>
            </w:r>
          </w:p>
        </w:tc>
        <w:tc>
          <w:tcPr>
            <w:tcW w:w="202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rPr>
            </w:pPr>
            <w:r>
              <w:rPr>
                <w:rFonts w:hint="eastAsia" w:ascii="宋体" w:hAnsi="宋体" w:cs="宋体"/>
                <w:snapToGrid w:val="0"/>
                <w:color w:val="000000"/>
                <w:spacing w:val="-30"/>
                <w:kern w:val="0"/>
                <w:lang w:bidi="ar"/>
              </w:rPr>
              <w:t>光能、电能设备材料销售</w:t>
            </w:r>
          </w:p>
        </w:tc>
        <w:tc>
          <w:tcPr>
            <w:tcW w:w="920"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90.29</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31" w:type="dxa"/>
            <w:tcBorders>
              <w:top w:val="single" w:color="auto" w:sz="2" w:space="0"/>
              <w:left w:val="nil"/>
              <w:bottom w:val="single" w:color="auto" w:sz="2" w:space="0"/>
              <w:right w:val="single" w:color="auto" w:sz="2" w:space="0"/>
            </w:tcBorders>
            <w:shd w:val="clear" w:color="auto" w:fill="auto"/>
            <w:vAlign w:val="center"/>
          </w:tcPr>
          <w:p>
            <w:pPr>
              <w:widowControl/>
              <w:tabs>
                <w:tab w:val="left" w:pos="122"/>
                <w:tab w:val="left" w:pos="288"/>
              </w:tabs>
              <w:snapToGrid w:val="0"/>
              <w:rPr>
                <w:rFonts w:ascii="宋体" w:hAnsi="宋体" w:cs="宋体"/>
                <w:snapToGrid w:val="0"/>
                <w:spacing w:val="-30"/>
                <w:kern w:val="0"/>
              </w:rPr>
            </w:pPr>
            <w:r>
              <w:rPr>
                <w:rFonts w:hint="eastAsia" w:ascii="宋体" w:hAnsi="宋体" w:cs="宋体"/>
                <w:snapToGrid w:val="0"/>
                <w:color w:val="000000"/>
                <w:spacing w:val="-30"/>
                <w:kern w:val="0"/>
                <w:lang w:bidi="ar"/>
              </w:rPr>
              <w:t>鄂尔多斯文化产业园文化教育有限公司</w:t>
            </w:r>
          </w:p>
        </w:tc>
        <w:tc>
          <w:tcPr>
            <w:tcW w:w="109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鄂尔多斯</w:t>
            </w:r>
          </w:p>
        </w:tc>
        <w:tc>
          <w:tcPr>
            <w:tcW w:w="134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20,903万元</w:t>
            </w:r>
          </w:p>
        </w:tc>
        <w:tc>
          <w:tcPr>
            <w:tcW w:w="202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rPr>
            </w:pPr>
            <w:r>
              <w:rPr>
                <w:rFonts w:hint="eastAsia" w:ascii="宋体" w:hAnsi="宋体" w:cs="宋体"/>
                <w:snapToGrid w:val="0"/>
                <w:color w:val="000000"/>
                <w:spacing w:val="-30"/>
                <w:kern w:val="0"/>
                <w:lang w:bidi="ar"/>
              </w:rPr>
              <w:t>教育软件研发、活动策划</w:t>
            </w:r>
          </w:p>
        </w:tc>
        <w:tc>
          <w:tcPr>
            <w:tcW w:w="920"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63.3</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31" w:type="dxa"/>
            <w:tcBorders>
              <w:top w:val="single" w:color="auto" w:sz="2" w:space="0"/>
              <w:left w:val="nil"/>
              <w:bottom w:val="single" w:color="auto" w:sz="2" w:space="0"/>
              <w:right w:val="single" w:color="auto" w:sz="2" w:space="0"/>
            </w:tcBorders>
            <w:shd w:val="clear" w:color="auto" w:fill="auto"/>
            <w:vAlign w:val="center"/>
          </w:tcPr>
          <w:p>
            <w:pPr>
              <w:widowControl/>
              <w:tabs>
                <w:tab w:val="left" w:pos="122"/>
                <w:tab w:val="left" w:pos="288"/>
              </w:tabs>
              <w:snapToGrid w:val="0"/>
              <w:rPr>
                <w:rFonts w:ascii="宋体" w:hAnsi="宋体" w:cs="宋体"/>
                <w:snapToGrid w:val="0"/>
                <w:spacing w:val="-30"/>
                <w:kern w:val="0"/>
              </w:rPr>
            </w:pPr>
            <w:r>
              <w:rPr>
                <w:rFonts w:hint="eastAsia" w:ascii="宋体" w:hAnsi="宋体" w:cs="宋体"/>
                <w:snapToGrid w:val="0"/>
                <w:color w:val="000000"/>
                <w:spacing w:val="-30"/>
                <w:kern w:val="0"/>
                <w:lang w:bidi="ar"/>
              </w:rPr>
              <w:t>内蒙古金控融资租赁有限公司</w:t>
            </w:r>
          </w:p>
        </w:tc>
        <w:tc>
          <w:tcPr>
            <w:tcW w:w="109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呼伦贝尔</w:t>
            </w:r>
          </w:p>
        </w:tc>
        <w:tc>
          <w:tcPr>
            <w:tcW w:w="134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120,000万元</w:t>
            </w:r>
          </w:p>
        </w:tc>
        <w:tc>
          <w:tcPr>
            <w:tcW w:w="202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lang w:eastAsia="en-US"/>
              </w:rPr>
            </w:pPr>
            <w:r>
              <w:rPr>
                <w:rFonts w:hint="eastAsia" w:ascii="宋体" w:hAnsi="宋体" w:cs="宋体"/>
                <w:snapToGrid w:val="0"/>
                <w:color w:val="000000"/>
                <w:spacing w:val="-30"/>
                <w:kern w:val="0"/>
                <w:lang w:bidi="ar"/>
              </w:rPr>
              <w:t>租赁业务</w:t>
            </w:r>
          </w:p>
        </w:tc>
        <w:tc>
          <w:tcPr>
            <w:tcW w:w="920"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55</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31" w:type="dxa"/>
            <w:tcBorders>
              <w:top w:val="single" w:color="auto" w:sz="2" w:space="0"/>
              <w:left w:val="nil"/>
              <w:bottom w:val="single" w:color="auto" w:sz="2" w:space="0"/>
              <w:right w:val="single" w:color="auto" w:sz="2" w:space="0"/>
            </w:tcBorders>
            <w:shd w:val="clear" w:color="auto" w:fill="auto"/>
            <w:vAlign w:val="center"/>
          </w:tcPr>
          <w:p>
            <w:pPr>
              <w:widowControl/>
              <w:tabs>
                <w:tab w:val="left" w:pos="122"/>
                <w:tab w:val="left" w:pos="288"/>
              </w:tabs>
              <w:snapToGrid w:val="0"/>
              <w:rPr>
                <w:rFonts w:ascii="宋体" w:hAnsi="宋体" w:cs="宋体"/>
                <w:snapToGrid w:val="0"/>
                <w:spacing w:val="-30"/>
                <w:kern w:val="0"/>
              </w:rPr>
            </w:pPr>
            <w:r>
              <w:rPr>
                <w:rFonts w:hint="eastAsia" w:ascii="宋体" w:hAnsi="宋体" w:cs="宋体"/>
                <w:snapToGrid w:val="0"/>
                <w:color w:val="000000"/>
                <w:spacing w:val="-30"/>
                <w:kern w:val="0"/>
                <w:lang w:bidi="ar"/>
              </w:rPr>
              <w:t>内蒙古伊泰嘎鲁图矿业有限公司</w:t>
            </w:r>
          </w:p>
        </w:tc>
        <w:tc>
          <w:tcPr>
            <w:tcW w:w="109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鄂尔多斯</w:t>
            </w:r>
          </w:p>
        </w:tc>
        <w:tc>
          <w:tcPr>
            <w:tcW w:w="134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宋体" w:hAnsi="宋体" w:cs="宋体"/>
                <w:snapToGrid w:val="0"/>
                <w:spacing w:val="-30"/>
                <w:kern w:val="0"/>
                <w:lang w:eastAsia="en-US"/>
              </w:rPr>
            </w:pPr>
            <w:r>
              <w:rPr>
                <w:rFonts w:hint="eastAsia" w:ascii="宋体" w:hAnsi="宋体" w:cs="宋体"/>
                <w:snapToGrid w:val="0"/>
                <w:color w:val="000000"/>
                <w:spacing w:val="-30"/>
                <w:kern w:val="0"/>
                <w:lang w:bidi="ar"/>
              </w:rPr>
              <w:t>100,000万元</w:t>
            </w:r>
          </w:p>
        </w:tc>
        <w:tc>
          <w:tcPr>
            <w:tcW w:w="202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snapToGrid w:val="0"/>
                <w:spacing w:val="-30"/>
                <w:kern w:val="0"/>
                <w:lang w:eastAsia="en-US"/>
              </w:rPr>
            </w:pPr>
            <w:r>
              <w:rPr>
                <w:rFonts w:hint="eastAsia" w:ascii="宋体" w:hAnsi="宋体" w:cs="宋体"/>
                <w:snapToGrid w:val="0"/>
                <w:color w:val="000000"/>
                <w:spacing w:val="-30"/>
                <w:kern w:val="0"/>
                <w:lang w:bidi="ar"/>
              </w:rPr>
              <w:t>煤炭开采和洗选业</w:t>
            </w:r>
          </w:p>
        </w:tc>
        <w:tc>
          <w:tcPr>
            <w:tcW w:w="920"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52.77</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31" w:type="dxa"/>
            <w:tcBorders>
              <w:top w:val="single" w:color="auto" w:sz="2" w:space="0"/>
              <w:left w:val="nil"/>
              <w:bottom w:val="single" w:color="auto" w:sz="2" w:space="0"/>
              <w:right w:val="single" w:color="auto" w:sz="2" w:space="0"/>
            </w:tcBorders>
            <w:shd w:val="clear" w:color="auto" w:fill="auto"/>
            <w:vAlign w:val="center"/>
          </w:tcPr>
          <w:p>
            <w:pPr>
              <w:widowControl/>
              <w:snapToGrid w:val="0"/>
              <w:rPr>
                <w:rFonts w:ascii="宋体" w:hAnsi="宋体" w:cs="宋体"/>
                <w:snapToGrid w:val="0"/>
                <w:spacing w:val="-20"/>
                <w:kern w:val="0"/>
              </w:rPr>
            </w:pPr>
            <w:r>
              <w:rPr>
                <w:rFonts w:hint="eastAsia" w:ascii="宋体" w:hAnsi="宋体" w:cs="宋体"/>
                <w:snapToGrid w:val="0"/>
                <w:color w:val="000000"/>
                <w:spacing w:val="-20"/>
                <w:kern w:val="0"/>
                <w:lang w:bidi="ar"/>
              </w:rPr>
              <w:t>鄂尔多斯市营盘壕煤炭有限公司</w:t>
            </w:r>
          </w:p>
        </w:tc>
        <w:tc>
          <w:tcPr>
            <w:tcW w:w="109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center"/>
              <w:rPr>
                <w:rFonts w:ascii="Times New Roman" w:hAnsi="Times New Roman"/>
                <w:snapToGrid w:val="0"/>
                <w:kern w:val="0"/>
                <w:lang w:eastAsia="en-US"/>
              </w:rPr>
            </w:pPr>
            <w:r>
              <w:rPr>
                <w:rFonts w:hint="eastAsia" w:ascii="宋体" w:hAnsi="宋体" w:cs="宋体"/>
                <w:snapToGrid w:val="0"/>
                <w:color w:val="000000"/>
                <w:spacing w:val="-20"/>
                <w:kern w:val="0"/>
                <w:lang w:bidi="ar"/>
              </w:rPr>
              <w:t>鄂尔多斯</w:t>
            </w:r>
          </w:p>
        </w:tc>
        <w:tc>
          <w:tcPr>
            <w:tcW w:w="1349"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jc w:val="right"/>
              <w:rPr>
                <w:rFonts w:ascii="宋体" w:hAnsi="宋体" w:cs="宋体"/>
                <w:bCs/>
                <w:snapToGrid w:val="0"/>
                <w:spacing w:val="-20"/>
                <w:kern w:val="0"/>
              </w:rPr>
            </w:pPr>
            <w:r>
              <w:rPr>
                <w:rFonts w:hint="eastAsia" w:ascii="宋体" w:hAnsi="宋体" w:cs="宋体"/>
                <w:bCs/>
                <w:color w:val="000000"/>
                <w:spacing w:val="-20"/>
                <w:kern w:val="0"/>
                <w:lang w:bidi="ar"/>
              </w:rPr>
              <w:t>300,000万元</w:t>
            </w:r>
          </w:p>
        </w:tc>
        <w:tc>
          <w:tcPr>
            <w:tcW w:w="2023"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snapToGrid w:val="0"/>
              <w:rPr>
                <w:rFonts w:ascii="宋体" w:hAnsi="宋体" w:cs="宋体"/>
                <w:bCs/>
                <w:snapToGrid w:val="0"/>
                <w:spacing w:val="-20"/>
                <w:kern w:val="0"/>
              </w:rPr>
            </w:pPr>
            <w:r>
              <w:rPr>
                <w:rFonts w:hint="eastAsia" w:ascii="宋体" w:hAnsi="宋体" w:cs="宋体"/>
                <w:bCs/>
                <w:color w:val="000000"/>
                <w:spacing w:val="-20"/>
                <w:kern w:val="0"/>
                <w:lang w:bidi="ar"/>
              </w:rPr>
              <w:t>煤炭销售、煤矿机械设备生产与销售</w:t>
            </w:r>
          </w:p>
        </w:tc>
        <w:tc>
          <w:tcPr>
            <w:tcW w:w="920" w:type="dxa"/>
            <w:tcBorders>
              <w:top w:val="single" w:color="auto" w:sz="2" w:space="0"/>
              <w:left w:val="single" w:color="auto" w:sz="2" w:space="0"/>
              <w:bottom w:val="single" w:color="auto" w:sz="2" w:space="0"/>
              <w:right w:val="nil"/>
            </w:tcBorders>
            <w:shd w:val="clear" w:color="auto" w:fill="auto"/>
            <w:vAlign w:val="center"/>
          </w:tcPr>
          <w:p>
            <w:pPr>
              <w:widowControl/>
              <w:snapToGrid w:val="0"/>
              <w:jc w:val="center"/>
              <w:rPr>
                <w:rFonts w:ascii="宋体" w:hAnsi="宋体" w:cs="宋体"/>
                <w:snapToGrid w:val="0"/>
                <w:spacing w:val="-20"/>
                <w:kern w:val="0"/>
                <w:lang w:eastAsia="en-US"/>
              </w:rPr>
            </w:pPr>
            <w:r>
              <w:rPr>
                <w:rFonts w:hint="eastAsia" w:ascii="宋体" w:hAnsi="宋体" w:cs="宋体"/>
                <w:snapToGrid w:val="0"/>
                <w:color w:val="000000"/>
                <w:spacing w:val="-20"/>
                <w:kern w:val="0"/>
                <w:lang w:bidi="ar"/>
              </w:rPr>
              <w:t>57.75</w:t>
            </w:r>
          </w:p>
        </w:tc>
      </w:tr>
      <w:tr>
        <w:tblPrEx>
          <w:tblBorders>
            <w:top w:val="double" w:color="auto" w:sz="4" w:space="0"/>
            <w:left w:val="none" w:color="auto" w:sz="6" w:space="0"/>
            <w:bottom w:val="double" w:color="auto" w:sz="4"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931" w:type="dxa"/>
            <w:tcBorders>
              <w:top w:val="single" w:color="auto" w:sz="2" w:space="0"/>
              <w:left w:val="nil"/>
              <w:bottom w:val="double" w:color="auto" w:sz="4" w:space="0"/>
              <w:right w:val="single" w:color="auto" w:sz="2" w:space="0"/>
            </w:tcBorders>
            <w:shd w:val="clear" w:color="auto" w:fill="auto"/>
            <w:vAlign w:val="center"/>
          </w:tcPr>
          <w:p>
            <w:pPr>
              <w:widowControl/>
              <w:snapToGrid w:val="0"/>
              <w:rPr>
                <w:rFonts w:ascii="宋体" w:hAnsi="宋体" w:cs="宋体"/>
                <w:snapToGrid w:val="0"/>
                <w:spacing w:val="-20"/>
                <w:kern w:val="0"/>
              </w:rPr>
            </w:pPr>
            <w:r>
              <w:rPr>
                <w:rFonts w:hint="eastAsia" w:ascii="宋体" w:hAnsi="宋体" w:cs="宋体"/>
                <w:snapToGrid w:val="0"/>
                <w:color w:val="000000"/>
                <w:spacing w:val="-20"/>
                <w:kern w:val="0"/>
                <w:lang w:bidi="ar"/>
              </w:rPr>
              <w:t>内蒙古博珢泰煤炭有限公司</w:t>
            </w:r>
          </w:p>
        </w:tc>
        <w:tc>
          <w:tcPr>
            <w:tcW w:w="1090"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鄂尔多斯</w:t>
            </w:r>
          </w:p>
        </w:tc>
        <w:tc>
          <w:tcPr>
            <w:tcW w:w="1349"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jc w:val="right"/>
              <w:rPr>
                <w:rFonts w:ascii="宋体" w:hAnsi="宋体" w:cs="宋体"/>
                <w:bCs/>
                <w:snapToGrid w:val="0"/>
                <w:spacing w:val="-20"/>
                <w:kern w:val="0"/>
              </w:rPr>
            </w:pPr>
            <w:r>
              <w:rPr>
                <w:rFonts w:hint="eastAsia" w:ascii="宋体" w:hAnsi="宋体" w:cs="宋体"/>
                <w:bCs/>
                <w:color w:val="000000"/>
                <w:spacing w:val="-20"/>
                <w:kern w:val="0"/>
                <w:lang w:bidi="ar"/>
              </w:rPr>
              <w:t>300,000万元</w:t>
            </w:r>
          </w:p>
        </w:tc>
        <w:tc>
          <w:tcPr>
            <w:tcW w:w="2023" w:type="dxa"/>
            <w:tcBorders>
              <w:top w:val="single" w:color="auto" w:sz="2" w:space="0"/>
              <w:left w:val="single" w:color="auto" w:sz="2" w:space="0"/>
              <w:bottom w:val="double" w:color="auto" w:sz="4" w:space="0"/>
              <w:right w:val="single" w:color="auto" w:sz="2" w:space="0"/>
            </w:tcBorders>
            <w:shd w:val="clear" w:color="auto" w:fill="auto"/>
            <w:vAlign w:val="center"/>
          </w:tcPr>
          <w:p>
            <w:pPr>
              <w:widowControl/>
              <w:snapToGrid w:val="0"/>
              <w:rPr>
                <w:rFonts w:ascii="宋体" w:hAnsi="宋体" w:cs="宋体"/>
                <w:bCs/>
                <w:snapToGrid w:val="0"/>
                <w:spacing w:val="-20"/>
                <w:kern w:val="0"/>
              </w:rPr>
            </w:pPr>
            <w:r>
              <w:rPr>
                <w:rFonts w:hint="eastAsia" w:ascii="宋体" w:hAnsi="宋体" w:cs="宋体"/>
                <w:bCs/>
                <w:color w:val="000000"/>
                <w:spacing w:val="-20"/>
                <w:kern w:val="0"/>
                <w:lang w:bidi="ar"/>
              </w:rPr>
              <w:t>煤炭开采和洗选业</w:t>
            </w:r>
          </w:p>
        </w:tc>
        <w:tc>
          <w:tcPr>
            <w:tcW w:w="920" w:type="dxa"/>
            <w:tcBorders>
              <w:top w:val="single" w:color="auto" w:sz="2" w:space="0"/>
              <w:left w:val="single" w:color="auto" w:sz="2" w:space="0"/>
              <w:bottom w:val="double" w:color="auto" w:sz="4" w:space="0"/>
              <w:right w:val="nil"/>
            </w:tcBorders>
            <w:shd w:val="clear" w:color="auto" w:fill="auto"/>
            <w:vAlign w:val="center"/>
          </w:tcPr>
          <w:p>
            <w:pPr>
              <w:widowControl/>
              <w:snapToGrid w:val="0"/>
              <w:jc w:val="center"/>
              <w:rPr>
                <w:rFonts w:ascii="宋体" w:hAnsi="宋体" w:cs="宋体"/>
                <w:snapToGrid w:val="0"/>
                <w:spacing w:val="-20"/>
                <w:kern w:val="0"/>
              </w:rPr>
            </w:pPr>
            <w:r>
              <w:rPr>
                <w:rFonts w:hint="eastAsia" w:ascii="宋体" w:hAnsi="宋体" w:cs="宋体"/>
                <w:snapToGrid w:val="0"/>
                <w:color w:val="000000"/>
                <w:spacing w:val="-20"/>
                <w:kern w:val="0"/>
                <w:lang w:bidi="ar"/>
              </w:rPr>
              <w:t>100</w:t>
            </w:r>
          </w:p>
        </w:tc>
      </w:tr>
    </w:tbl>
    <w:p>
      <w:pPr>
        <w:widowControl/>
        <w:numPr>
          <w:ilvl w:val="0"/>
          <w:numId w:val="118"/>
        </w:numPr>
        <w:tabs>
          <w:tab w:val="left" w:pos="567"/>
          <w:tab w:val="clear" w:pos="420"/>
        </w:tabs>
        <w:snapToGrid w:val="0"/>
        <w:spacing w:before="120" w:beforeLines="50" w:after="120" w:afterLines="50" w:line="360" w:lineRule="exact"/>
        <w:ind w:leftChars="200" w:firstLine="0"/>
        <w:jc w:val="left"/>
        <w:rPr>
          <w:rFonts w:ascii="宋体" w:hAnsi="宋体" w:cs="宋体"/>
          <w:snapToGrid w:val="0"/>
          <w:color w:val="000000"/>
          <w:kern w:val="0"/>
          <w:lang w:bidi="ar"/>
        </w:rPr>
      </w:pPr>
      <w:r>
        <w:rPr>
          <w:rFonts w:hint="eastAsia" w:ascii="宋体" w:hAnsi="宋体" w:cs="宋体"/>
          <w:snapToGrid w:val="0"/>
          <w:color w:val="000000"/>
          <w:kern w:val="0"/>
          <w:lang w:bidi="ar"/>
        </w:rPr>
        <w:t>青岛中兖贸易有限公司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color w:val="000000"/>
          <w:kern w:val="0"/>
          <w:lang w:bidi="ar"/>
        </w:rPr>
      </w:pPr>
      <w:r>
        <w:rPr>
          <w:rFonts w:hint="eastAsia" w:ascii="宋体" w:hAnsi="宋体" w:cs="宋体"/>
          <w:snapToGrid w:val="0"/>
          <w:color w:val="000000"/>
          <w:kern w:val="0"/>
          <w:lang w:bidi="ar"/>
        </w:rPr>
        <w:t>青岛中兖贸易有限公司（以下简称“青岛中兖”)系本公司之子公司，成立于1997年，注册资本5,000万元人民币，公司法人营业执照统一社会信用代码：91370220163625005T,法定代表人: 岳良。主要从事保税区内贸易及仓储。</w:t>
      </w:r>
    </w:p>
    <w:p>
      <w:pPr>
        <w:widowControl/>
        <w:numPr>
          <w:ilvl w:val="0"/>
          <w:numId w:val="118"/>
        </w:numPr>
        <w:tabs>
          <w:tab w:val="left" w:pos="567"/>
          <w:tab w:val="clear" w:pos="420"/>
        </w:tabs>
        <w:snapToGrid w:val="0"/>
        <w:spacing w:before="120" w:beforeLines="50" w:after="120" w:afterLines="50" w:line="360" w:lineRule="exact"/>
        <w:ind w:leftChars="200" w:firstLine="0"/>
        <w:jc w:val="left"/>
        <w:rPr>
          <w:rFonts w:ascii="宋体" w:hAnsi="宋体" w:cs="宋体"/>
          <w:snapToGrid w:val="0"/>
          <w:color w:val="000000"/>
          <w:kern w:val="0"/>
          <w:lang w:bidi="ar"/>
        </w:rPr>
      </w:pPr>
      <w:r>
        <w:rPr>
          <w:rFonts w:hint="eastAsia" w:ascii="宋体" w:hAnsi="宋体" w:cs="宋体"/>
          <w:snapToGrid w:val="0"/>
          <w:color w:val="000000"/>
          <w:kern w:val="0"/>
          <w:lang w:bidi="ar"/>
        </w:rPr>
        <w:t>兖州煤业榆林能化有限公司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color w:val="000000"/>
          <w:kern w:val="0"/>
          <w:lang w:bidi="ar"/>
        </w:rPr>
      </w:pPr>
      <w:r>
        <w:rPr>
          <w:rFonts w:hint="eastAsia" w:ascii="宋体" w:hAnsi="宋体" w:cs="宋体"/>
          <w:snapToGrid w:val="0"/>
          <w:color w:val="000000"/>
          <w:kern w:val="0"/>
          <w:lang w:bidi="ar"/>
        </w:rPr>
        <w:t>兖州煤业榆林能化有限公司（以下简称“榆林能化”)系本公司之子公司，成立于2004年，注册资本140,000万人民币，公司法人营业执照统一社会信用代码：916108007588160388,法定代表人: 孙清涛。主要从事热力生产和供应；煤炭及制品销售。</w:t>
      </w:r>
    </w:p>
    <w:p>
      <w:pPr>
        <w:widowControl/>
        <w:numPr>
          <w:ilvl w:val="0"/>
          <w:numId w:val="118"/>
        </w:numPr>
        <w:tabs>
          <w:tab w:val="left" w:pos="567"/>
          <w:tab w:val="clear" w:pos="420"/>
        </w:tabs>
        <w:snapToGrid w:val="0"/>
        <w:spacing w:before="120" w:beforeLines="50" w:after="120" w:afterLines="50" w:line="360" w:lineRule="exact"/>
        <w:ind w:leftChars="200" w:firstLine="0"/>
        <w:jc w:val="left"/>
        <w:rPr>
          <w:rFonts w:ascii="宋体" w:hAnsi="宋体" w:cs="宋体"/>
          <w:snapToGrid w:val="0"/>
          <w:color w:val="000000"/>
          <w:kern w:val="0"/>
          <w:lang w:bidi="ar"/>
        </w:rPr>
      </w:pPr>
      <w:r>
        <w:rPr>
          <w:rFonts w:hint="eastAsia" w:ascii="宋体" w:hAnsi="宋体" w:cs="宋体"/>
          <w:snapToGrid w:val="0"/>
          <w:color w:val="000000"/>
          <w:kern w:val="0"/>
          <w:lang w:bidi="ar"/>
        </w:rPr>
        <w:t>山东能源集团鲁西矿业有限公司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山东能源集团鲁西矿业有限公司（以下简称“鲁西矿业”）系本公司之子公司，成立于20</w:t>
      </w:r>
      <w:r>
        <w:rPr>
          <w:rFonts w:ascii="宋体" w:hAnsi="宋体" w:cs="宋体"/>
          <w:snapToGrid w:val="0"/>
          <w:color w:val="000000"/>
          <w:kern w:val="0"/>
          <w:lang w:bidi="ar"/>
        </w:rPr>
        <w:t>21</w:t>
      </w:r>
      <w:r>
        <w:rPr>
          <w:rFonts w:hint="eastAsia" w:ascii="宋体" w:hAnsi="宋体" w:cs="宋体"/>
          <w:snapToGrid w:val="0"/>
          <w:color w:val="000000"/>
          <w:kern w:val="0"/>
          <w:lang w:bidi="ar"/>
        </w:rPr>
        <w:t>年，注册资本</w:t>
      </w:r>
      <w:r>
        <w:rPr>
          <w:rFonts w:ascii="宋体" w:hAnsi="宋体" w:cs="宋体"/>
          <w:snapToGrid w:val="0"/>
          <w:color w:val="000000"/>
          <w:kern w:val="0"/>
          <w:lang w:bidi="ar"/>
        </w:rPr>
        <w:t>500,000</w:t>
      </w:r>
      <w:r>
        <w:rPr>
          <w:rFonts w:hint="eastAsia" w:ascii="宋体" w:hAnsi="宋体" w:cs="宋体"/>
          <w:snapToGrid w:val="0"/>
          <w:color w:val="000000"/>
          <w:kern w:val="0"/>
          <w:lang w:bidi="ar"/>
        </w:rPr>
        <w:t>万元。公司法人营业执照统一社会信用代码：</w:t>
      </w:r>
      <w:r>
        <w:rPr>
          <w:rFonts w:hint="eastAsia" w:ascii="宋体" w:hAnsi="宋体" w:cs="Arial"/>
          <w:snapToGrid w:val="0"/>
          <w:kern w:val="0"/>
          <w:lang w:val="en-GB"/>
        </w:rPr>
        <w:t>91371725MA7EK74Q90</w:t>
      </w:r>
      <w:r>
        <w:rPr>
          <w:rFonts w:hint="eastAsia" w:ascii="宋体" w:hAnsi="宋体" w:cs="宋体"/>
          <w:snapToGrid w:val="0"/>
          <w:color w:val="000000"/>
          <w:kern w:val="0"/>
          <w:lang w:bidi="ar"/>
        </w:rPr>
        <w:t>。本公司于202</w:t>
      </w:r>
      <w:r>
        <w:rPr>
          <w:rFonts w:ascii="宋体" w:hAnsi="宋体" w:cs="宋体"/>
          <w:snapToGrid w:val="0"/>
          <w:color w:val="000000"/>
          <w:kern w:val="0"/>
          <w:lang w:bidi="ar"/>
        </w:rPr>
        <w:t>3</w:t>
      </w:r>
      <w:r>
        <w:rPr>
          <w:rFonts w:hint="eastAsia" w:ascii="宋体" w:hAnsi="宋体" w:cs="宋体"/>
          <w:snapToGrid w:val="0"/>
          <w:color w:val="000000"/>
          <w:kern w:val="0"/>
          <w:lang w:bidi="ar"/>
        </w:rPr>
        <w:t>年以支付现金的方式收购鲁西矿业51%股权，</w:t>
      </w:r>
      <w:r>
        <w:rPr>
          <w:rFonts w:hint="eastAsia" w:ascii="宋体" w:hAnsi="宋体" w:cs="Arial"/>
          <w:snapToGrid w:val="0"/>
          <w:kern w:val="0"/>
          <w:lang w:val="en-GB"/>
        </w:rPr>
        <w:t>本次变更后，本公司持股比例为51.00%，新汶矿业集团有限责任公司持股比例为27.00%、淄博矿业集团有限责任公司持股比例为7.00%、龙口矿业集团有限公司持股比例为5.00%、肥城肥矿煤业有限公司持股比例为10.00%</w:t>
      </w:r>
      <w:r>
        <w:rPr>
          <w:rFonts w:hint="eastAsia" w:ascii="宋体" w:hAnsi="宋体" w:cs="宋体"/>
          <w:snapToGrid w:val="0"/>
          <w:color w:val="000000"/>
          <w:kern w:val="0"/>
          <w:lang w:bidi="ar"/>
        </w:rPr>
        <w:t>。鲁西矿业主要从事煤炭开采和洗选业等。</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鲁西矿业主要控股子公司如下：</w:t>
      </w:r>
    </w:p>
    <w:tbl>
      <w:tblPr>
        <w:tblStyle w:val="964"/>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8"/>
        <w:gridCol w:w="1234"/>
        <w:gridCol w:w="2022"/>
        <w:gridCol w:w="1846"/>
        <w:gridCol w:w="147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pct"/>
            <w:shd w:val="clear" w:color="auto" w:fill="auto"/>
            <w:vAlign w:val="center"/>
          </w:tcPr>
          <w:p>
            <w:pPr>
              <w:jc w:val="left"/>
              <w:rPr>
                <w:rFonts w:ascii="宋体" w:hAnsi="宋体"/>
                <w:b/>
                <w:snapToGrid w:val="0"/>
                <w:kern w:val="0"/>
                <w:lang w:val="en-GB" w:eastAsia="en-US"/>
              </w:rPr>
            </w:pPr>
            <w:r>
              <w:rPr>
                <w:rFonts w:ascii="宋体" w:hAnsi="宋体"/>
                <w:b/>
                <w:snapToGrid w:val="0"/>
                <w:kern w:val="0"/>
                <w:lang w:val="en-GB" w:eastAsia="en-US"/>
              </w:rPr>
              <w:t>子公司名称</w:t>
            </w:r>
          </w:p>
        </w:tc>
        <w:tc>
          <w:tcPr>
            <w:tcW w:w="682" w:type="pct"/>
            <w:shd w:val="clear" w:color="auto" w:fill="auto"/>
            <w:vAlign w:val="center"/>
          </w:tcPr>
          <w:p>
            <w:pPr>
              <w:jc w:val="center"/>
              <w:rPr>
                <w:rFonts w:ascii="宋体" w:hAnsi="宋体"/>
                <w:b/>
                <w:snapToGrid w:val="0"/>
                <w:kern w:val="0"/>
                <w:lang w:val="en-GB" w:eastAsia="en-US"/>
              </w:rPr>
            </w:pPr>
            <w:r>
              <w:rPr>
                <w:rFonts w:ascii="宋体" w:hAnsi="宋体"/>
                <w:b/>
                <w:snapToGrid w:val="0"/>
                <w:kern w:val="0"/>
                <w:lang w:val="en-GB" w:eastAsia="en-US"/>
              </w:rPr>
              <w:t>注册地</w:t>
            </w:r>
          </w:p>
        </w:tc>
        <w:tc>
          <w:tcPr>
            <w:tcW w:w="1117" w:type="pct"/>
            <w:vAlign w:val="center"/>
          </w:tcPr>
          <w:p>
            <w:pPr>
              <w:jc w:val="center"/>
              <w:rPr>
                <w:rFonts w:ascii="宋体" w:hAnsi="宋体"/>
                <w:b/>
                <w:snapToGrid w:val="0"/>
                <w:kern w:val="0"/>
                <w:lang w:val="en-GB"/>
              </w:rPr>
            </w:pPr>
            <w:r>
              <w:rPr>
                <w:rFonts w:hint="eastAsia" w:ascii="宋体" w:hAnsi="宋体"/>
                <w:b/>
                <w:snapToGrid w:val="0"/>
                <w:kern w:val="0"/>
                <w:lang w:val="en-GB"/>
              </w:rPr>
              <w:t>注册资本</w:t>
            </w:r>
          </w:p>
        </w:tc>
        <w:tc>
          <w:tcPr>
            <w:tcW w:w="1020" w:type="pct"/>
            <w:shd w:val="clear" w:color="auto" w:fill="auto"/>
            <w:vAlign w:val="center"/>
          </w:tcPr>
          <w:p>
            <w:pPr>
              <w:jc w:val="center"/>
              <w:rPr>
                <w:rFonts w:ascii="宋体" w:hAnsi="宋体"/>
                <w:b/>
                <w:snapToGrid w:val="0"/>
                <w:kern w:val="0"/>
                <w:lang w:val="en-GB" w:eastAsia="en-US"/>
              </w:rPr>
            </w:pPr>
            <w:r>
              <w:rPr>
                <w:rFonts w:hint="eastAsia" w:ascii="宋体" w:hAnsi="宋体"/>
                <w:b/>
                <w:snapToGrid w:val="0"/>
                <w:kern w:val="0"/>
                <w:lang w:val="en-GB"/>
              </w:rPr>
              <w:t>经营范围</w:t>
            </w:r>
          </w:p>
        </w:tc>
        <w:tc>
          <w:tcPr>
            <w:tcW w:w="817" w:type="pct"/>
            <w:shd w:val="clear" w:color="auto" w:fill="auto"/>
            <w:vAlign w:val="center"/>
          </w:tcPr>
          <w:p>
            <w:pPr>
              <w:jc w:val="center"/>
              <w:rPr>
                <w:rFonts w:ascii="宋体" w:hAnsi="宋体"/>
                <w:b/>
                <w:snapToGrid w:val="0"/>
                <w:kern w:val="0"/>
                <w:lang w:val="en-GB" w:eastAsia="en-US"/>
              </w:rPr>
            </w:pPr>
            <w:r>
              <w:rPr>
                <w:rFonts w:ascii="宋体" w:hAnsi="宋体"/>
                <w:b/>
                <w:snapToGrid w:val="0"/>
                <w:kern w:val="0"/>
                <w:lang w:val="en-GB" w:eastAsia="en-US"/>
              </w:rPr>
              <w:t>持股比例（%）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cs="宋体"/>
                <w:kern w:val="0"/>
              </w:rPr>
            </w:pPr>
            <w:r>
              <w:rPr>
                <w:rFonts w:hint="eastAsia" w:ascii="宋体" w:hAnsi="宋体" w:cs="宋体"/>
                <w:snapToGrid w:val="0"/>
                <w:kern w:val="0"/>
                <w:lang w:val="en-GB"/>
              </w:rPr>
              <w:t>山东李楼煤业有限公司</w:t>
            </w:r>
          </w:p>
        </w:tc>
        <w:tc>
          <w:tcPr>
            <w:tcW w:w="682" w:type="pct"/>
            <w:shd w:val="clear" w:color="auto" w:fill="auto"/>
            <w:vAlign w:val="center"/>
          </w:tcPr>
          <w:p>
            <w:pPr>
              <w:jc w:val="center"/>
              <w:rPr>
                <w:rFonts w:ascii="宋体" w:hAnsi="宋体" w:cs="宋体"/>
                <w:kern w:val="0"/>
              </w:rPr>
            </w:pPr>
            <w:r>
              <w:rPr>
                <w:rFonts w:hint="eastAsia" w:ascii="宋体" w:hAnsi="宋体"/>
                <w:snapToGrid w:val="0"/>
                <w:kern w:val="0"/>
                <w:lang w:val="en-GB"/>
              </w:rPr>
              <w:t>山东菏泽</w:t>
            </w:r>
          </w:p>
        </w:tc>
        <w:tc>
          <w:tcPr>
            <w:tcW w:w="1117" w:type="pct"/>
            <w:vAlign w:val="center"/>
          </w:tcPr>
          <w:p>
            <w:pPr>
              <w:jc w:val="center"/>
              <w:rPr>
                <w:rFonts w:ascii="宋体" w:hAnsi="宋体"/>
                <w:snapToGrid w:val="0"/>
                <w:color w:val="000000"/>
                <w:spacing w:val="-24"/>
                <w:kern w:val="0"/>
                <w:lang w:val="en-GB" w:eastAsia="en-US"/>
              </w:rPr>
            </w:pPr>
            <w:r>
              <w:rPr>
                <w:rFonts w:hint="eastAsia" w:ascii="宋体" w:hAnsi="宋体"/>
                <w:snapToGrid w:val="0"/>
                <w:color w:val="000000"/>
                <w:spacing w:val="-24"/>
                <w:kern w:val="0"/>
                <w:lang w:val="en-GB" w:eastAsia="en-US"/>
              </w:rPr>
              <w:t>64</w:t>
            </w:r>
            <w:r>
              <w:rPr>
                <w:rFonts w:ascii="宋体" w:hAnsi="宋体"/>
                <w:snapToGrid w:val="0"/>
                <w:color w:val="000000"/>
                <w:spacing w:val="-24"/>
                <w:kern w:val="0"/>
                <w:lang w:val="en-GB" w:eastAsia="en-US"/>
              </w:rPr>
              <w:t>,</w:t>
            </w:r>
            <w:r>
              <w:rPr>
                <w:rFonts w:hint="eastAsia" w:ascii="宋体" w:hAnsi="宋体"/>
                <w:snapToGrid w:val="0"/>
                <w:color w:val="000000"/>
                <w:spacing w:val="-24"/>
                <w:kern w:val="0"/>
                <w:lang w:val="en-GB" w:eastAsia="en-US"/>
              </w:rPr>
              <w:t>352.6万</w:t>
            </w:r>
            <w:r>
              <w:rPr>
                <w:rFonts w:hint="eastAsia" w:ascii="宋体" w:hAnsi="宋体"/>
                <w:snapToGrid w:val="0"/>
                <w:color w:val="000000"/>
                <w:spacing w:val="-24"/>
                <w:kern w:val="0"/>
                <w:lang w:val="en-GB"/>
              </w:rPr>
              <w:t>元</w:t>
            </w:r>
          </w:p>
        </w:tc>
        <w:tc>
          <w:tcPr>
            <w:tcW w:w="1020" w:type="pct"/>
            <w:shd w:val="clear" w:color="auto" w:fill="auto"/>
            <w:vAlign w:val="center"/>
          </w:tcPr>
          <w:p>
            <w:pPr>
              <w:rPr>
                <w:rFonts w:ascii="宋体" w:hAnsi="宋体" w:cs="宋体"/>
                <w:spacing w:val="-28"/>
                <w:kern w:val="0"/>
              </w:rPr>
            </w:pPr>
            <w:r>
              <w:rPr>
                <w:rFonts w:ascii="宋体" w:hAnsi="宋体"/>
                <w:snapToGrid w:val="0"/>
                <w:color w:val="000000"/>
                <w:spacing w:val="-28"/>
                <w:kern w:val="0"/>
                <w:lang w:val="en-GB" w:eastAsia="en-US"/>
              </w:rPr>
              <w:t>煤炭开采及销售</w:t>
            </w:r>
          </w:p>
        </w:tc>
        <w:tc>
          <w:tcPr>
            <w:tcW w:w="817" w:type="pct"/>
            <w:shd w:val="clear" w:color="auto" w:fill="auto"/>
            <w:vAlign w:val="center"/>
          </w:tcPr>
          <w:p>
            <w:pPr>
              <w:ind w:left="-105" w:leftChars="-50"/>
              <w:jc w:val="center"/>
              <w:rPr>
                <w:rFonts w:ascii="宋体" w:hAnsi="宋体" w:cs="宋体"/>
                <w:kern w:val="0"/>
              </w:rPr>
            </w:pPr>
            <w:r>
              <w:rPr>
                <w:rFonts w:ascii="宋体" w:hAnsi="宋体"/>
                <w:snapToGrid w:val="0"/>
                <w:color w:val="000000"/>
                <w:kern w:val="0"/>
                <w:lang w:val="en-GB" w:eastAsia="en-US"/>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cs="Arial"/>
                <w:snapToGrid w:val="0"/>
                <w:kern w:val="0"/>
                <w:lang w:val="en-GB"/>
              </w:rPr>
            </w:pPr>
            <w:r>
              <w:rPr>
                <w:rFonts w:hint="eastAsia" w:ascii="宋体" w:hAnsi="宋体" w:cs="宋体"/>
                <w:snapToGrid w:val="0"/>
                <w:kern w:val="0"/>
                <w:lang w:val="en-GB"/>
              </w:rPr>
              <w:t>肥城矿业集团梁宝寺能源有限责任公司</w:t>
            </w:r>
          </w:p>
        </w:tc>
        <w:tc>
          <w:tcPr>
            <w:tcW w:w="682" w:type="pct"/>
            <w:shd w:val="clear" w:color="auto" w:fill="auto"/>
            <w:vAlign w:val="center"/>
          </w:tcPr>
          <w:p>
            <w:pPr>
              <w:jc w:val="center"/>
              <w:rPr>
                <w:rFonts w:ascii="宋体" w:hAnsi="宋体" w:cs="宋体"/>
                <w:kern w:val="0"/>
              </w:rPr>
            </w:pPr>
            <w:r>
              <w:rPr>
                <w:rFonts w:hint="eastAsia" w:ascii="宋体" w:hAnsi="宋体" w:cs="宋体"/>
                <w:kern w:val="0"/>
              </w:rPr>
              <w:t>山东济宁</w:t>
            </w:r>
          </w:p>
        </w:tc>
        <w:tc>
          <w:tcPr>
            <w:tcW w:w="1117" w:type="pct"/>
            <w:vAlign w:val="center"/>
          </w:tcPr>
          <w:p>
            <w:pPr>
              <w:jc w:val="center"/>
              <w:rPr>
                <w:rFonts w:ascii="宋体" w:hAnsi="宋体"/>
                <w:snapToGrid w:val="0"/>
                <w:color w:val="000000"/>
                <w:spacing w:val="-24"/>
                <w:kern w:val="0"/>
                <w:lang w:val="en-GB" w:eastAsia="en-US"/>
              </w:rPr>
            </w:pPr>
            <w:r>
              <w:rPr>
                <w:rFonts w:hint="eastAsia" w:ascii="宋体" w:hAnsi="宋体"/>
                <w:snapToGrid w:val="0"/>
                <w:color w:val="000000"/>
                <w:spacing w:val="-24"/>
                <w:kern w:val="0"/>
                <w:lang w:val="en-GB" w:eastAsia="en-US"/>
              </w:rPr>
              <w:t>50</w:t>
            </w:r>
            <w:r>
              <w:rPr>
                <w:rFonts w:ascii="宋体" w:hAnsi="宋体"/>
                <w:snapToGrid w:val="0"/>
                <w:color w:val="000000"/>
                <w:spacing w:val="-24"/>
                <w:kern w:val="0"/>
                <w:lang w:val="en-GB" w:eastAsia="en-US"/>
              </w:rPr>
              <w:t>,</w:t>
            </w:r>
            <w:r>
              <w:rPr>
                <w:rFonts w:hint="eastAsia" w:ascii="宋体" w:hAnsi="宋体"/>
                <w:snapToGrid w:val="0"/>
                <w:color w:val="000000"/>
                <w:spacing w:val="-24"/>
                <w:kern w:val="0"/>
                <w:lang w:val="en-GB" w:eastAsia="en-US"/>
              </w:rPr>
              <w:t>000万</w:t>
            </w:r>
            <w:r>
              <w:rPr>
                <w:rFonts w:hint="eastAsia" w:ascii="宋体" w:hAnsi="宋体"/>
                <w:snapToGrid w:val="0"/>
                <w:color w:val="000000"/>
                <w:spacing w:val="-24"/>
                <w:kern w:val="0"/>
                <w:lang w:val="en-GB"/>
              </w:rPr>
              <w:t>元</w:t>
            </w:r>
          </w:p>
        </w:tc>
        <w:tc>
          <w:tcPr>
            <w:tcW w:w="1020" w:type="pct"/>
            <w:shd w:val="clear" w:color="auto" w:fill="auto"/>
            <w:vAlign w:val="center"/>
          </w:tcPr>
          <w:p>
            <w:pPr>
              <w:rPr>
                <w:rFonts w:ascii="宋体" w:hAnsi="宋体" w:cs="宋体"/>
                <w:spacing w:val="-28"/>
                <w:kern w:val="0"/>
              </w:rPr>
            </w:pPr>
            <w:r>
              <w:rPr>
                <w:rFonts w:ascii="宋体" w:hAnsi="宋体"/>
                <w:snapToGrid w:val="0"/>
                <w:color w:val="000000"/>
                <w:spacing w:val="-28"/>
                <w:kern w:val="0"/>
                <w:lang w:val="en-GB" w:eastAsia="en-US"/>
              </w:rPr>
              <w:t>煤炭开采及销售</w:t>
            </w:r>
          </w:p>
        </w:tc>
        <w:tc>
          <w:tcPr>
            <w:tcW w:w="817" w:type="pct"/>
            <w:shd w:val="clear" w:color="auto" w:fill="auto"/>
            <w:vAlign w:val="center"/>
          </w:tcPr>
          <w:p>
            <w:pPr>
              <w:ind w:left="-105" w:leftChars="-50"/>
              <w:jc w:val="center"/>
              <w:rPr>
                <w:rFonts w:ascii="宋体" w:hAnsi="宋体" w:cs="宋体"/>
                <w:kern w:val="0"/>
              </w:rPr>
            </w:pPr>
            <w:r>
              <w:rPr>
                <w:rFonts w:ascii="宋体" w:hAnsi="宋体"/>
                <w:snapToGrid w:val="0"/>
                <w:color w:val="000000"/>
                <w:kern w:val="0"/>
                <w:lang w:val="en-GB" w:eastAsia="en-US"/>
              </w:rPr>
              <w:t>85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cs="Arial"/>
                <w:snapToGrid w:val="0"/>
                <w:kern w:val="0"/>
                <w:lang w:val="en-GB"/>
              </w:rPr>
            </w:pPr>
            <w:r>
              <w:rPr>
                <w:rFonts w:ascii="宋体" w:hAnsi="宋体"/>
                <w:snapToGrid w:val="0"/>
                <w:kern w:val="0"/>
                <w:lang w:val="en-GB"/>
              </w:rPr>
              <w:t>山东新巨龙能源有限责任公司</w:t>
            </w:r>
          </w:p>
        </w:tc>
        <w:tc>
          <w:tcPr>
            <w:tcW w:w="682" w:type="pct"/>
            <w:shd w:val="clear" w:color="auto" w:fill="auto"/>
            <w:vAlign w:val="center"/>
          </w:tcPr>
          <w:p>
            <w:pPr>
              <w:jc w:val="center"/>
              <w:rPr>
                <w:rFonts w:ascii="宋体" w:hAnsi="宋体" w:cs="宋体"/>
                <w:kern w:val="0"/>
              </w:rPr>
            </w:pPr>
            <w:r>
              <w:rPr>
                <w:rFonts w:hint="eastAsia" w:ascii="宋体" w:hAnsi="宋体" w:cs="宋体"/>
                <w:kern w:val="0"/>
              </w:rPr>
              <w:t>山东菏泽</w:t>
            </w:r>
          </w:p>
        </w:tc>
        <w:tc>
          <w:tcPr>
            <w:tcW w:w="1117" w:type="pct"/>
            <w:vAlign w:val="center"/>
          </w:tcPr>
          <w:p>
            <w:pPr>
              <w:jc w:val="center"/>
              <w:rPr>
                <w:rFonts w:ascii="宋体" w:hAnsi="宋体"/>
                <w:snapToGrid w:val="0"/>
                <w:color w:val="000000"/>
                <w:spacing w:val="-24"/>
                <w:kern w:val="0"/>
                <w:lang w:val="en-GB" w:eastAsia="en-US"/>
              </w:rPr>
            </w:pPr>
            <w:r>
              <w:rPr>
                <w:rFonts w:hint="eastAsia" w:ascii="宋体" w:hAnsi="宋体"/>
                <w:snapToGrid w:val="0"/>
                <w:color w:val="000000"/>
                <w:spacing w:val="-24"/>
                <w:kern w:val="0"/>
                <w:lang w:val="en-GB" w:eastAsia="en-US"/>
              </w:rPr>
              <w:t>100</w:t>
            </w:r>
            <w:r>
              <w:rPr>
                <w:rFonts w:ascii="宋体" w:hAnsi="宋体"/>
                <w:snapToGrid w:val="0"/>
                <w:color w:val="000000"/>
                <w:spacing w:val="-24"/>
                <w:kern w:val="0"/>
                <w:lang w:val="en-GB" w:eastAsia="en-US"/>
              </w:rPr>
              <w:t>,</w:t>
            </w:r>
            <w:r>
              <w:rPr>
                <w:rFonts w:hint="eastAsia" w:ascii="宋体" w:hAnsi="宋体"/>
                <w:snapToGrid w:val="0"/>
                <w:color w:val="000000"/>
                <w:spacing w:val="-24"/>
                <w:kern w:val="0"/>
                <w:lang w:val="en-GB" w:eastAsia="en-US"/>
              </w:rPr>
              <w:t>000万</w:t>
            </w:r>
            <w:r>
              <w:rPr>
                <w:rFonts w:hint="eastAsia" w:ascii="宋体" w:hAnsi="宋体"/>
                <w:snapToGrid w:val="0"/>
                <w:color w:val="000000"/>
                <w:spacing w:val="-24"/>
                <w:kern w:val="0"/>
                <w:lang w:val="en-GB"/>
              </w:rPr>
              <w:t>元</w:t>
            </w:r>
          </w:p>
        </w:tc>
        <w:tc>
          <w:tcPr>
            <w:tcW w:w="1020" w:type="pct"/>
            <w:shd w:val="clear" w:color="auto" w:fill="auto"/>
            <w:vAlign w:val="center"/>
          </w:tcPr>
          <w:p>
            <w:pPr>
              <w:rPr>
                <w:rFonts w:ascii="宋体" w:hAnsi="宋体" w:cs="宋体"/>
                <w:spacing w:val="-28"/>
                <w:kern w:val="0"/>
              </w:rPr>
            </w:pPr>
            <w:r>
              <w:rPr>
                <w:rFonts w:ascii="宋体" w:hAnsi="宋体"/>
                <w:snapToGrid w:val="0"/>
                <w:color w:val="000000"/>
                <w:spacing w:val="-28"/>
                <w:kern w:val="0"/>
                <w:lang w:val="en-GB" w:eastAsia="en-US"/>
              </w:rPr>
              <w:t>煤炭开采及销售</w:t>
            </w:r>
          </w:p>
        </w:tc>
        <w:tc>
          <w:tcPr>
            <w:tcW w:w="817" w:type="pct"/>
            <w:shd w:val="clear" w:color="auto" w:fill="auto"/>
            <w:vAlign w:val="center"/>
          </w:tcPr>
          <w:p>
            <w:pPr>
              <w:ind w:left="-105" w:leftChars="-50"/>
              <w:jc w:val="center"/>
              <w:rPr>
                <w:rFonts w:ascii="宋体" w:hAnsi="宋体" w:cs="宋体"/>
                <w:kern w:val="0"/>
              </w:rPr>
            </w:pPr>
            <w:r>
              <w:rPr>
                <w:rFonts w:ascii="宋体" w:hAnsi="宋体"/>
                <w:snapToGrid w:val="0"/>
                <w:color w:val="000000"/>
                <w:kern w:val="0"/>
                <w:lang w:val="en-GB" w:eastAsia="en-US"/>
              </w:rPr>
              <w:t>60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cs="Arial"/>
                <w:snapToGrid w:val="0"/>
                <w:kern w:val="0"/>
                <w:lang w:val="en-GB"/>
              </w:rPr>
            </w:pPr>
            <w:r>
              <w:rPr>
                <w:rFonts w:hint="eastAsia" w:ascii="宋体" w:hAnsi="宋体" w:cs="宋体"/>
                <w:snapToGrid w:val="0"/>
                <w:kern w:val="0"/>
                <w:lang w:val="en-GB"/>
              </w:rPr>
              <w:t>新矿巨野选煤有限公司</w:t>
            </w:r>
          </w:p>
        </w:tc>
        <w:tc>
          <w:tcPr>
            <w:tcW w:w="682" w:type="pct"/>
            <w:shd w:val="clear" w:color="auto" w:fill="auto"/>
            <w:vAlign w:val="center"/>
          </w:tcPr>
          <w:p>
            <w:pPr>
              <w:jc w:val="center"/>
              <w:rPr>
                <w:rFonts w:ascii="宋体" w:hAnsi="宋体" w:cs="宋体"/>
                <w:kern w:val="0"/>
              </w:rPr>
            </w:pPr>
            <w:r>
              <w:rPr>
                <w:rFonts w:hint="eastAsia" w:ascii="宋体" w:hAnsi="宋体" w:cs="宋体"/>
                <w:kern w:val="0"/>
              </w:rPr>
              <w:t>山东菏泽</w:t>
            </w:r>
          </w:p>
        </w:tc>
        <w:tc>
          <w:tcPr>
            <w:tcW w:w="1117" w:type="pct"/>
            <w:vAlign w:val="center"/>
          </w:tcPr>
          <w:p>
            <w:pPr>
              <w:jc w:val="center"/>
              <w:rPr>
                <w:rFonts w:ascii="宋体" w:hAnsi="宋体"/>
                <w:snapToGrid w:val="0"/>
                <w:color w:val="000000"/>
                <w:spacing w:val="-24"/>
                <w:kern w:val="0"/>
                <w:lang w:val="en-GB" w:eastAsia="en-US"/>
              </w:rPr>
            </w:pPr>
            <w:r>
              <w:rPr>
                <w:rFonts w:hint="eastAsia" w:ascii="宋体" w:hAnsi="宋体"/>
                <w:snapToGrid w:val="0"/>
                <w:color w:val="000000"/>
                <w:spacing w:val="-24"/>
                <w:kern w:val="0"/>
                <w:lang w:val="en-GB" w:eastAsia="en-US"/>
              </w:rPr>
              <w:t>1</w:t>
            </w:r>
            <w:r>
              <w:rPr>
                <w:rFonts w:ascii="宋体" w:hAnsi="宋体"/>
                <w:snapToGrid w:val="0"/>
                <w:color w:val="000000"/>
                <w:spacing w:val="-24"/>
                <w:kern w:val="0"/>
                <w:lang w:val="en-GB" w:eastAsia="en-US"/>
              </w:rPr>
              <w:t>,</w:t>
            </w:r>
            <w:r>
              <w:rPr>
                <w:rFonts w:hint="eastAsia" w:ascii="宋体" w:hAnsi="宋体"/>
                <w:snapToGrid w:val="0"/>
                <w:color w:val="000000"/>
                <w:spacing w:val="-24"/>
                <w:kern w:val="0"/>
                <w:lang w:val="en-GB" w:eastAsia="en-US"/>
              </w:rPr>
              <w:t>000万</w:t>
            </w:r>
            <w:r>
              <w:rPr>
                <w:rFonts w:hint="eastAsia" w:ascii="宋体" w:hAnsi="宋体"/>
                <w:snapToGrid w:val="0"/>
                <w:color w:val="000000"/>
                <w:spacing w:val="-24"/>
                <w:kern w:val="0"/>
                <w:lang w:val="en-GB"/>
              </w:rPr>
              <w:t>元</w:t>
            </w:r>
          </w:p>
        </w:tc>
        <w:tc>
          <w:tcPr>
            <w:tcW w:w="1020" w:type="pct"/>
            <w:shd w:val="clear" w:color="auto" w:fill="auto"/>
            <w:vAlign w:val="center"/>
          </w:tcPr>
          <w:p>
            <w:pPr>
              <w:rPr>
                <w:rFonts w:ascii="宋体" w:hAnsi="宋体" w:cs="宋体"/>
                <w:spacing w:val="-28"/>
                <w:kern w:val="0"/>
              </w:rPr>
            </w:pPr>
            <w:r>
              <w:rPr>
                <w:rFonts w:hint="eastAsia" w:ascii="宋体" w:hAnsi="宋体"/>
                <w:snapToGrid w:val="0"/>
                <w:color w:val="000000"/>
                <w:spacing w:val="-28"/>
                <w:kern w:val="0"/>
                <w:lang w:val="en-GB" w:eastAsia="en-US"/>
              </w:rPr>
              <w:t>煤炭产品的洗选加工</w:t>
            </w:r>
          </w:p>
        </w:tc>
        <w:tc>
          <w:tcPr>
            <w:tcW w:w="817" w:type="pct"/>
            <w:shd w:val="clear" w:color="auto" w:fill="auto"/>
            <w:vAlign w:val="center"/>
          </w:tcPr>
          <w:p>
            <w:pPr>
              <w:ind w:left="-105" w:leftChars="-50"/>
              <w:jc w:val="center"/>
              <w:rPr>
                <w:rFonts w:ascii="宋体" w:hAnsi="宋体" w:cs="宋体"/>
                <w:kern w:val="0"/>
              </w:rPr>
            </w:pPr>
            <w:r>
              <w:rPr>
                <w:rFonts w:ascii="宋体" w:hAnsi="宋体"/>
                <w:snapToGrid w:val="0"/>
                <w:color w:val="000000"/>
                <w:kern w:val="0"/>
                <w:lang w:val="en-GB" w:eastAsia="en-US"/>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cs="Arial"/>
                <w:snapToGrid w:val="0"/>
                <w:kern w:val="0"/>
                <w:lang w:val="en-GB"/>
              </w:rPr>
            </w:pPr>
            <w:r>
              <w:rPr>
                <w:rFonts w:hint="eastAsia" w:ascii="宋体" w:hAnsi="宋体" w:cs="宋体"/>
                <w:snapToGrid w:val="0"/>
                <w:kern w:val="0"/>
                <w:lang w:val="en-GB"/>
              </w:rPr>
              <w:t>临沂矿业集团菏泽煤电有限公司</w:t>
            </w:r>
          </w:p>
        </w:tc>
        <w:tc>
          <w:tcPr>
            <w:tcW w:w="682" w:type="pct"/>
            <w:shd w:val="clear" w:color="auto" w:fill="auto"/>
            <w:vAlign w:val="center"/>
          </w:tcPr>
          <w:p>
            <w:pPr>
              <w:jc w:val="center"/>
              <w:rPr>
                <w:rFonts w:ascii="宋体" w:hAnsi="宋体" w:cs="宋体"/>
                <w:kern w:val="0"/>
              </w:rPr>
            </w:pPr>
            <w:r>
              <w:rPr>
                <w:rFonts w:hint="eastAsia" w:ascii="宋体" w:hAnsi="宋体" w:cs="宋体"/>
                <w:kern w:val="0"/>
              </w:rPr>
              <w:t>山东菏泽</w:t>
            </w:r>
          </w:p>
        </w:tc>
        <w:tc>
          <w:tcPr>
            <w:tcW w:w="1117" w:type="pct"/>
            <w:vAlign w:val="center"/>
          </w:tcPr>
          <w:p>
            <w:pPr>
              <w:jc w:val="center"/>
              <w:rPr>
                <w:rFonts w:ascii="宋体" w:hAnsi="宋体"/>
                <w:snapToGrid w:val="0"/>
                <w:color w:val="000000"/>
                <w:spacing w:val="-24"/>
                <w:kern w:val="0"/>
                <w:lang w:val="en-GB"/>
              </w:rPr>
            </w:pPr>
            <w:r>
              <w:rPr>
                <w:rFonts w:hint="eastAsia" w:ascii="宋体" w:hAnsi="宋体"/>
                <w:snapToGrid w:val="0"/>
                <w:color w:val="000000"/>
                <w:spacing w:val="-24"/>
                <w:kern w:val="0"/>
                <w:lang w:val="en-GB" w:eastAsia="en-US"/>
              </w:rPr>
              <w:t>85</w:t>
            </w:r>
            <w:r>
              <w:rPr>
                <w:rFonts w:ascii="宋体" w:hAnsi="宋体"/>
                <w:snapToGrid w:val="0"/>
                <w:color w:val="000000"/>
                <w:spacing w:val="-24"/>
                <w:kern w:val="0"/>
                <w:lang w:val="en-GB" w:eastAsia="en-US"/>
              </w:rPr>
              <w:t>,</w:t>
            </w:r>
            <w:r>
              <w:rPr>
                <w:rFonts w:hint="eastAsia" w:ascii="宋体" w:hAnsi="宋体"/>
                <w:snapToGrid w:val="0"/>
                <w:color w:val="000000"/>
                <w:spacing w:val="-24"/>
                <w:kern w:val="0"/>
                <w:lang w:val="en-GB" w:eastAsia="en-US"/>
              </w:rPr>
              <w:t>000万</w:t>
            </w:r>
            <w:r>
              <w:rPr>
                <w:rFonts w:hint="eastAsia" w:ascii="宋体" w:hAnsi="宋体"/>
                <w:snapToGrid w:val="0"/>
                <w:color w:val="000000"/>
                <w:spacing w:val="-24"/>
                <w:kern w:val="0"/>
                <w:lang w:val="en-GB"/>
              </w:rPr>
              <w:t>元</w:t>
            </w:r>
          </w:p>
        </w:tc>
        <w:tc>
          <w:tcPr>
            <w:tcW w:w="1020" w:type="pct"/>
            <w:shd w:val="clear" w:color="auto" w:fill="auto"/>
            <w:vAlign w:val="center"/>
          </w:tcPr>
          <w:p>
            <w:pPr>
              <w:rPr>
                <w:rFonts w:ascii="宋体" w:hAnsi="宋体" w:cs="宋体"/>
                <w:spacing w:val="-28"/>
                <w:kern w:val="0"/>
              </w:rPr>
            </w:pPr>
            <w:r>
              <w:rPr>
                <w:rFonts w:hint="eastAsia" w:ascii="宋体" w:hAnsi="宋体"/>
                <w:snapToGrid w:val="0"/>
                <w:color w:val="000000"/>
                <w:spacing w:val="-28"/>
                <w:kern w:val="0"/>
                <w:lang w:val="en-GB" w:eastAsia="en-US"/>
              </w:rPr>
              <w:t>煤炭开采及销售</w:t>
            </w:r>
          </w:p>
        </w:tc>
        <w:tc>
          <w:tcPr>
            <w:tcW w:w="817" w:type="pct"/>
            <w:shd w:val="clear" w:color="auto" w:fill="auto"/>
            <w:vAlign w:val="center"/>
          </w:tcPr>
          <w:p>
            <w:pPr>
              <w:ind w:left="-105" w:leftChars="-50"/>
              <w:jc w:val="center"/>
              <w:rPr>
                <w:rFonts w:ascii="宋体" w:hAnsi="宋体" w:cs="宋体"/>
                <w:kern w:val="0"/>
              </w:rPr>
            </w:pPr>
            <w:r>
              <w:rPr>
                <w:rFonts w:ascii="宋体" w:hAnsi="宋体"/>
                <w:snapToGrid w:val="0"/>
                <w:color w:val="000000"/>
                <w:kern w:val="0"/>
                <w:lang w:val="en-GB" w:eastAsia="en-US"/>
              </w:rPr>
              <w:t>83.59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cs="Arial"/>
                <w:snapToGrid w:val="0"/>
                <w:kern w:val="0"/>
                <w:lang w:val="en-GB"/>
              </w:rPr>
            </w:pPr>
            <w:r>
              <w:rPr>
                <w:rFonts w:hint="eastAsia" w:ascii="宋体" w:hAnsi="宋体" w:cs="宋体"/>
                <w:snapToGrid w:val="0"/>
                <w:kern w:val="0"/>
                <w:lang w:val="en-GB"/>
              </w:rPr>
              <w:t>肥城矿业集团单县能源有限责任公司</w:t>
            </w:r>
          </w:p>
        </w:tc>
        <w:tc>
          <w:tcPr>
            <w:tcW w:w="682" w:type="pct"/>
            <w:shd w:val="clear" w:color="auto" w:fill="auto"/>
            <w:vAlign w:val="center"/>
          </w:tcPr>
          <w:p>
            <w:pPr>
              <w:jc w:val="center"/>
              <w:rPr>
                <w:rFonts w:ascii="宋体" w:hAnsi="宋体" w:cs="宋体"/>
                <w:kern w:val="0"/>
              </w:rPr>
            </w:pPr>
            <w:r>
              <w:rPr>
                <w:rFonts w:hint="eastAsia" w:ascii="宋体" w:hAnsi="宋体" w:cs="宋体"/>
                <w:kern w:val="0"/>
              </w:rPr>
              <w:t>山东菏泽</w:t>
            </w:r>
          </w:p>
        </w:tc>
        <w:tc>
          <w:tcPr>
            <w:tcW w:w="1117" w:type="pct"/>
            <w:vAlign w:val="center"/>
          </w:tcPr>
          <w:p>
            <w:pPr>
              <w:jc w:val="center"/>
              <w:rPr>
                <w:rFonts w:ascii="宋体" w:hAnsi="宋体"/>
                <w:snapToGrid w:val="0"/>
                <w:color w:val="000000"/>
                <w:spacing w:val="-24"/>
                <w:kern w:val="0"/>
                <w:lang w:val="en-GB" w:eastAsia="en-US"/>
              </w:rPr>
            </w:pPr>
            <w:r>
              <w:rPr>
                <w:rFonts w:hint="eastAsia" w:ascii="宋体" w:hAnsi="宋体"/>
                <w:snapToGrid w:val="0"/>
                <w:color w:val="000000"/>
                <w:spacing w:val="-24"/>
                <w:kern w:val="0"/>
                <w:lang w:val="en-GB" w:eastAsia="en-US"/>
              </w:rPr>
              <w:t>70</w:t>
            </w:r>
            <w:r>
              <w:rPr>
                <w:rFonts w:ascii="宋体" w:hAnsi="宋体"/>
                <w:snapToGrid w:val="0"/>
                <w:color w:val="000000"/>
                <w:spacing w:val="-24"/>
                <w:kern w:val="0"/>
                <w:lang w:val="en-GB" w:eastAsia="en-US"/>
              </w:rPr>
              <w:t>,</w:t>
            </w:r>
            <w:r>
              <w:rPr>
                <w:rFonts w:hint="eastAsia" w:ascii="宋体" w:hAnsi="宋体"/>
                <w:snapToGrid w:val="0"/>
                <w:color w:val="000000"/>
                <w:spacing w:val="-24"/>
                <w:kern w:val="0"/>
                <w:lang w:val="en-GB" w:eastAsia="en-US"/>
              </w:rPr>
              <w:t>000万</w:t>
            </w:r>
            <w:r>
              <w:rPr>
                <w:rFonts w:hint="eastAsia" w:ascii="宋体" w:hAnsi="宋体"/>
                <w:snapToGrid w:val="0"/>
                <w:color w:val="000000"/>
                <w:spacing w:val="-24"/>
                <w:kern w:val="0"/>
                <w:lang w:val="en-GB"/>
              </w:rPr>
              <w:t>元</w:t>
            </w:r>
          </w:p>
        </w:tc>
        <w:tc>
          <w:tcPr>
            <w:tcW w:w="1020" w:type="pct"/>
            <w:shd w:val="clear" w:color="auto" w:fill="auto"/>
            <w:vAlign w:val="center"/>
          </w:tcPr>
          <w:p>
            <w:pPr>
              <w:rPr>
                <w:rFonts w:ascii="宋体" w:hAnsi="宋体" w:cs="宋体"/>
                <w:spacing w:val="-28"/>
                <w:kern w:val="0"/>
              </w:rPr>
            </w:pPr>
            <w:r>
              <w:rPr>
                <w:rFonts w:ascii="宋体" w:hAnsi="宋体"/>
                <w:snapToGrid w:val="0"/>
                <w:color w:val="000000"/>
                <w:spacing w:val="-28"/>
                <w:kern w:val="0"/>
                <w:lang w:val="en-GB" w:eastAsia="en-US"/>
              </w:rPr>
              <w:t>煤炭开采及销售</w:t>
            </w:r>
          </w:p>
        </w:tc>
        <w:tc>
          <w:tcPr>
            <w:tcW w:w="817" w:type="pct"/>
            <w:shd w:val="clear" w:color="auto" w:fill="auto"/>
            <w:vAlign w:val="center"/>
          </w:tcPr>
          <w:p>
            <w:pPr>
              <w:ind w:left="-105" w:leftChars="-50"/>
              <w:jc w:val="center"/>
              <w:rPr>
                <w:rFonts w:ascii="宋体" w:hAnsi="宋体" w:cs="宋体"/>
                <w:kern w:val="0"/>
              </w:rPr>
            </w:pPr>
            <w:r>
              <w:rPr>
                <w:rFonts w:ascii="宋体" w:hAnsi="宋体"/>
                <w:snapToGrid w:val="0"/>
                <w:color w:val="000000"/>
                <w:kern w:val="0"/>
                <w:lang w:val="en-GB" w:eastAsia="en-US"/>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cs="Arial"/>
                <w:snapToGrid w:val="0"/>
                <w:kern w:val="0"/>
                <w:lang w:val="en-GB"/>
              </w:rPr>
            </w:pPr>
            <w:r>
              <w:rPr>
                <w:rFonts w:hint="eastAsia" w:ascii="宋体" w:hAnsi="宋体" w:cs="宋体"/>
                <w:snapToGrid w:val="0"/>
                <w:kern w:val="0"/>
                <w:lang w:val="en-GB"/>
              </w:rPr>
              <w:t>山东唐口煤业有限公司</w:t>
            </w:r>
          </w:p>
        </w:tc>
        <w:tc>
          <w:tcPr>
            <w:tcW w:w="682" w:type="pct"/>
            <w:shd w:val="clear" w:color="auto" w:fill="auto"/>
            <w:vAlign w:val="center"/>
          </w:tcPr>
          <w:p>
            <w:pPr>
              <w:jc w:val="center"/>
              <w:rPr>
                <w:rFonts w:ascii="宋体" w:hAnsi="宋体" w:cs="宋体"/>
                <w:kern w:val="0"/>
              </w:rPr>
            </w:pPr>
            <w:r>
              <w:rPr>
                <w:rFonts w:hint="eastAsia" w:ascii="宋体" w:hAnsi="宋体"/>
                <w:snapToGrid w:val="0"/>
                <w:kern w:val="0"/>
                <w:lang w:val="en-GB" w:eastAsia="en-US"/>
              </w:rPr>
              <w:t>山东济宁</w:t>
            </w:r>
          </w:p>
        </w:tc>
        <w:tc>
          <w:tcPr>
            <w:tcW w:w="1117" w:type="pct"/>
            <w:vAlign w:val="center"/>
          </w:tcPr>
          <w:p>
            <w:pPr>
              <w:jc w:val="center"/>
              <w:rPr>
                <w:rFonts w:ascii="宋体" w:hAnsi="宋体"/>
                <w:snapToGrid w:val="0"/>
                <w:color w:val="000000"/>
                <w:spacing w:val="-24"/>
                <w:kern w:val="0"/>
                <w:lang w:val="en-GB" w:eastAsia="en-US"/>
              </w:rPr>
            </w:pPr>
            <w:r>
              <w:rPr>
                <w:rFonts w:hint="eastAsia" w:ascii="宋体" w:hAnsi="宋体"/>
                <w:snapToGrid w:val="0"/>
                <w:color w:val="000000"/>
                <w:spacing w:val="-24"/>
                <w:kern w:val="0"/>
                <w:lang w:val="en-GB" w:eastAsia="en-US"/>
              </w:rPr>
              <w:t>51</w:t>
            </w:r>
            <w:r>
              <w:rPr>
                <w:rFonts w:ascii="宋体" w:hAnsi="宋体"/>
                <w:snapToGrid w:val="0"/>
                <w:color w:val="000000"/>
                <w:spacing w:val="-24"/>
                <w:kern w:val="0"/>
                <w:lang w:val="en-GB" w:eastAsia="en-US"/>
              </w:rPr>
              <w:t>,</w:t>
            </w:r>
            <w:r>
              <w:rPr>
                <w:rFonts w:hint="eastAsia" w:ascii="宋体" w:hAnsi="宋体"/>
                <w:snapToGrid w:val="0"/>
                <w:color w:val="000000"/>
                <w:spacing w:val="-24"/>
                <w:kern w:val="0"/>
                <w:lang w:val="en-GB" w:eastAsia="en-US"/>
              </w:rPr>
              <w:t>382.85万</w:t>
            </w:r>
            <w:r>
              <w:rPr>
                <w:rFonts w:hint="eastAsia" w:ascii="宋体" w:hAnsi="宋体"/>
                <w:snapToGrid w:val="0"/>
                <w:color w:val="000000"/>
                <w:spacing w:val="-24"/>
                <w:kern w:val="0"/>
                <w:lang w:val="en-GB"/>
              </w:rPr>
              <w:t>元</w:t>
            </w:r>
          </w:p>
        </w:tc>
        <w:tc>
          <w:tcPr>
            <w:tcW w:w="1020" w:type="pct"/>
            <w:shd w:val="clear" w:color="auto" w:fill="auto"/>
            <w:vAlign w:val="center"/>
          </w:tcPr>
          <w:p>
            <w:pPr>
              <w:rPr>
                <w:rFonts w:ascii="宋体" w:hAnsi="宋体" w:cs="宋体"/>
                <w:spacing w:val="-28"/>
                <w:kern w:val="0"/>
              </w:rPr>
            </w:pPr>
            <w:r>
              <w:rPr>
                <w:rFonts w:ascii="宋体" w:hAnsi="宋体"/>
                <w:snapToGrid w:val="0"/>
                <w:color w:val="000000"/>
                <w:spacing w:val="-28"/>
                <w:kern w:val="0"/>
                <w:lang w:val="en-GB" w:eastAsia="en-US"/>
              </w:rPr>
              <w:t>煤炭开采及销售</w:t>
            </w:r>
          </w:p>
        </w:tc>
        <w:tc>
          <w:tcPr>
            <w:tcW w:w="817" w:type="pct"/>
            <w:shd w:val="clear" w:color="auto" w:fill="auto"/>
            <w:vAlign w:val="center"/>
          </w:tcPr>
          <w:p>
            <w:pPr>
              <w:ind w:left="-105" w:leftChars="-50"/>
              <w:jc w:val="center"/>
              <w:rPr>
                <w:rFonts w:ascii="宋体" w:hAnsi="宋体" w:cs="宋体"/>
                <w:kern w:val="0"/>
              </w:rPr>
            </w:pPr>
            <w:r>
              <w:rPr>
                <w:rFonts w:ascii="宋体" w:hAnsi="宋体"/>
                <w:snapToGrid w:val="0"/>
                <w:color w:val="000000"/>
                <w:kern w:val="0"/>
                <w:lang w:val="en-GB" w:eastAsia="en-US"/>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cs="Arial"/>
                <w:snapToGrid w:val="0"/>
                <w:kern w:val="0"/>
                <w:lang w:val="en-GB"/>
              </w:rPr>
            </w:pPr>
            <w:r>
              <w:rPr>
                <w:rFonts w:hint="eastAsia" w:ascii="宋体" w:hAnsi="宋体" w:cs="宋体"/>
                <w:snapToGrid w:val="0"/>
                <w:kern w:val="0"/>
                <w:lang w:val="en-GB" w:eastAsia="en-US"/>
              </w:rPr>
              <w:t>卡松科技股份有限公司</w:t>
            </w:r>
          </w:p>
        </w:tc>
        <w:tc>
          <w:tcPr>
            <w:tcW w:w="682" w:type="pct"/>
            <w:shd w:val="clear" w:color="auto" w:fill="auto"/>
            <w:vAlign w:val="center"/>
          </w:tcPr>
          <w:p>
            <w:pPr>
              <w:jc w:val="center"/>
              <w:rPr>
                <w:rFonts w:ascii="宋体" w:hAnsi="宋体" w:cs="宋体"/>
                <w:kern w:val="0"/>
              </w:rPr>
            </w:pPr>
            <w:r>
              <w:rPr>
                <w:rFonts w:hint="eastAsia" w:ascii="宋体" w:hAnsi="宋体"/>
                <w:snapToGrid w:val="0"/>
                <w:kern w:val="0"/>
                <w:lang w:val="en-GB" w:eastAsia="en-US"/>
              </w:rPr>
              <w:t>山东济宁</w:t>
            </w:r>
          </w:p>
        </w:tc>
        <w:tc>
          <w:tcPr>
            <w:tcW w:w="1117" w:type="pct"/>
            <w:vAlign w:val="center"/>
          </w:tcPr>
          <w:p>
            <w:pPr>
              <w:jc w:val="center"/>
              <w:rPr>
                <w:rFonts w:ascii="宋体" w:hAnsi="宋体"/>
                <w:snapToGrid w:val="0"/>
                <w:color w:val="000000"/>
                <w:spacing w:val="-24"/>
                <w:kern w:val="0"/>
                <w:lang w:val="en-GB"/>
              </w:rPr>
            </w:pPr>
            <w:r>
              <w:rPr>
                <w:rFonts w:hint="eastAsia" w:ascii="宋体" w:hAnsi="宋体"/>
                <w:snapToGrid w:val="0"/>
                <w:color w:val="000000"/>
                <w:spacing w:val="-24"/>
                <w:kern w:val="0"/>
                <w:lang w:val="en-GB"/>
              </w:rPr>
              <w:t>7</w:t>
            </w:r>
            <w:r>
              <w:rPr>
                <w:rFonts w:ascii="宋体" w:hAnsi="宋体"/>
                <w:snapToGrid w:val="0"/>
                <w:color w:val="000000"/>
                <w:spacing w:val="-24"/>
                <w:kern w:val="0"/>
                <w:lang w:val="en-GB"/>
              </w:rPr>
              <w:t>,</w:t>
            </w:r>
            <w:r>
              <w:rPr>
                <w:rFonts w:hint="eastAsia" w:ascii="宋体" w:hAnsi="宋体"/>
                <w:snapToGrid w:val="0"/>
                <w:color w:val="000000"/>
                <w:spacing w:val="-24"/>
                <w:kern w:val="0"/>
                <w:lang w:val="en-GB"/>
              </w:rPr>
              <w:t>639.3</w:t>
            </w:r>
            <w:r>
              <w:rPr>
                <w:rFonts w:ascii="宋体" w:hAnsi="宋体"/>
                <w:snapToGrid w:val="0"/>
                <w:color w:val="000000"/>
                <w:spacing w:val="-24"/>
                <w:kern w:val="0"/>
                <w:lang w:val="en-GB"/>
              </w:rPr>
              <w:t>1</w:t>
            </w:r>
            <w:r>
              <w:rPr>
                <w:rFonts w:hint="eastAsia" w:ascii="宋体" w:hAnsi="宋体"/>
                <w:snapToGrid w:val="0"/>
                <w:color w:val="000000"/>
                <w:spacing w:val="-24"/>
                <w:kern w:val="0"/>
                <w:lang w:val="en-GB"/>
              </w:rPr>
              <w:t>万元</w:t>
            </w:r>
          </w:p>
        </w:tc>
        <w:tc>
          <w:tcPr>
            <w:tcW w:w="1020" w:type="pct"/>
            <w:shd w:val="clear" w:color="auto" w:fill="auto"/>
            <w:vAlign w:val="center"/>
          </w:tcPr>
          <w:p>
            <w:pPr>
              <w:rPr>
                <w:rFonts w:ascii="宋体" w:hAnsi="宋体" w:cs="宋体"/>
                <w:spacing w:val="-28"/>
                <w:kern w:val="0"/>
              </w:rPr>
            </w:pPr>
            <w:r>
              <w:rPr>
                <w:rFonts w:hint="eastAsia" w:ascii="宋体" w:hAnsi="宋体"/>
                <w:snapToGrid w:val="0"/>
                <w:color w:val="000000"/>
                <w:spacing w:val="-28"/>
                <w:kern w:val="0"/>
                <w:lang w:val="en-GB"/>
              </w:rPr>
              <w:t>化学原料和化学制品制造业</w:t>
            </w:r>
          </w:p>
        </w:tc>
        <w:tc>
          <w:tcPr>
            <w:tcW w:w="817" w:type="pct"/>
            <w:shd w:val="clear" w:color="auto" w:fill="auto"/>
            <w:vAlign w:val="center"/>
          </w:tcPr>
          <w:p>
            <w:pPr>
              <w:ind w:left="-105" w:leftChars="-50"/>
              <w:jc w:val="center"/>
              <w:rPr>
                <w:rFonts w:ascii="宋体" w:hAnsi="宋体" w:cs="宋体"/>
                <w:kern w:val="0"/>
              </w:rPr>
            </w:pPr>
            <w:r>
              <w:rPr>
                <w:rFonts w:ascii="宋体" w:hAnsi="宋体"/>
                <w:snapToGrid w:val="0"/>
                <w:color w:val="000000"/>
                <w:kern w:val="0"/>
                <w:lang w:val="en-GB" w:eastAsia="en-US"/>
              </w:rPr>
              <w:t>51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cs="Arial"/>
                <w:snapToGrid w:val="0"/>
                <w:kern w:val="0"/>
                <w:lang w:val="en-GB"/>
              </w:rPr>
            </w:pPr>
            <w:r>
              <w:rPr>
                <w:rFonts w:hint="eastAsia" w:ascii="宋体" w:hAnsi="宋体" w:cs="宋体"/>
                <w:snapToGrid w:val="0"/>
                <w:kern w:val="0"/>
                <w:lang w:val="en-GB"/>
              </w:rPr>
              <w:t>山东淄矿铁路运输有限公司</w:t>
            </w:r>
          </w:p>
        </w:tc>
        <w:tc>
          <w:tcPr>
            <w:tcW w:w="682" w:type="pct"/>
            <w:shd w:val="clear" w:color="auto" w:fill="auto"/>
            <w:vAlign w:val="center"/>
          </w:tcPr>
          <w:p>
            <w:pPr>
              <w:jc w:val="center"/>
              <w:rPr>
                <w:rFonts w:ascii="宋体" w:hAnsi="宋体" w:cs="宋体"/>
                <w:kern w:val="0"/>
              </w:rPr>
            </w:pPr>
            <w:r>
              <w:rPr>
                <w:rFonts w:hint="eastAsia" w:ascii="宋体" w:hAnsi="宋体"/>
                <w:snapToGrid w:val="0"/>
                <w:kern w:val="0"/>
                <w:lang w:val="en-GB" w:eastAsia="en-US"/>
              </w:rPr>
              <w:t>山东济宁</w:t>
            </w:r>
          </w:p>
        </w:tc>
        <w:tc>
          <w:tcPr>
            <w:tcW w:w="1117" w:type="pct"/>
            <w:vAlign w:val="center"/>
          </w:tcPr>
          <w:p>
            <w:pPr>
              <w:jc w:val="center"/>
              <w:rPr>
                <w:rFonts w:ascii="宋体" w:hAnsi="宋体"/>
                <w:snapToGrid w:val="0"/>
                <w:color w:val="000000"/>
                <w:spacing w:val="-24"/>
                <w:kern w:val="0"/>
                <w:lang w:val="en-GB" w:eastAsia="en-US"/>
              </w:rPr>
            </w:pPr>
            <w:r>
              <w:rPr>
                <w:rFonts w:hint="eastAsia" w:ascii="宋体" w:hAnsi="宋体"/>
                <w:snapToGrid w:val="0"/>
                <w:color w:val="000000"/>
                <w:spacing w:val="-24"/>
                <w:kern w:val="0"/>
                <w:lang w:val="en-GB" w:eastAsia="en-US"/>
              </w:rPr>
              <w:t>10</w:t>
            </w:r>
            <w:r>
              <w:rPr>
                <w:rFonts w:ascii="宋体" w:hAnsi="宋体"/>
                <w:snapToGrid w:val="0"/>
                <w:color w:val="000000"/>
                <w:spacing w:val="-24"/>
                <w:kern w:val="0"/>
                <w:lang w:val="en-GB" w:eastAsia="en-US"/>
              </w:rPr>
              <w:t>,</w:t>
            </w:r>
            <w:r>
              <w:rPr>
                <w:rFonts w:hint="eastAsia" w:ascii="宋体" w:hAnsi="宋体"/>
                <w:snapToGrid w:val="0"/>
                <w:color w:val="000000"/>
                <w:spacing w:val="-24"/>
                <w:kern w:val="0"/>
                <w:lang w:val="en-GB" w:eastAsia="en-US"/>
              </w:rPr>
              <w:t>656万</w:t>
            </w:r>
            <w:r>
              <w:rPr>
                <w:rFonts w:hint="eastAsia" w:ascii="宋体" w:hAnsi="宋体"/>
                <w:snapToGrid w:val="0"/>
                <w:color w:val="000000"/>
                <w:spacing w:val="-24"/>
                <w:kern w:val="0"/>
                <w:lang w:val="en-GB"/>
              </w:rPr>
              <w:t>元</w:t>
            </w:r>
          </w:p>
        </w:tc>
        <w:tc>
          <w:tcPr>
            <w:tcW w:w="1020" w:type="pct"/>
            <w:shd w:val="clear" w:color="auto" w:fill="auto"/>
            <w:vAlign w:val="center"/>
          </w:tcPr>
          <w:p>
            <w:pPr>
              <w:rPr>
                <w:rFonts w:ascii="宋体" w:hAnsi="宋体" w:cs="宋体"/>
                <w:spacing w:val="-28"/>
                <w:kern w:val="0"/>
              </w:rPr>
            </w:pPr>
            <w:r>
              <w:rPr>
                <w:rFonts w:hint="eastAsia" w:ascii="宋体" w:hAnsi="宋体"/>
                <w:snapToGrid w:val="0"/>
                <w:color w:val="000000"/>
                <w:spacing w:val="-28"/>
                <w:kern w:val="0"/>
                <w:lang w:val="en-GB" w:eastAsia="en-US"/>
              </w:rPr>
              <w:t>物流贸易</w:t>
            </w:r>
          </w:p>
        </w:tc>
        <w:tc>
          <w:tcPr>
            <w:tcW w:w="817" w:type="pct"/>
            <w:shd w:val="clear" w:color="auto" w:fill="auto"/>
            <w:vAlign w:val="center"/>
          </w:tcPr>
          <w:p>
            <w:pPr>
              <w:ind w:left="-105" w:leftChars="-50"/>
              <w:jc w:val="center"/>
              <w:rPr>
                <w:rFonts w:ascii="宋体" w:hAnsi="宋体" w:cs="宋体"/>
                <w:kern w:val="0"/>
              </w:rPr>
            </w:pPr>
            <w:r>
              <w:rPr>
                <w:rFonts w:ascii="宋体" w:hAnsi="宋体"/>
                <w:snapToGrid w:val="0"/>
                <w:color w:val="000000"/>
                <w:kern w:val="0"/>
                <w:lang w:val="en-GB" w:eastAsia="en-US"/>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cs="Arial"/>
                <w:snapToGrid w:val="0"/>
                <w:kern w:val="0"/>
                <w:lang w:val="en-GB"/>
              </w:rPr>
            </w:pPr>
            <w:r>
              <w:rPr>
                <w:rFonts w:ascii="宋体" w:hAnsi="宋体"/>
                <w:snapToGrid w:val="0"/>
                <w:kern w:val="0"/>
                <w:lang w:val="en-GB"/>
              </w:rPr>
              <w:t>山东盟鲁采矿工程有限公司</w:t>
            </w:r>
          </w:p>
        </w:tc>
        <w:tc>
          <w:tcPr>
            <w:tcW w:w="682" w:type="pct"/>
            <w:shd w:val="clear" w:color="auto" w:fill="auto"/>
            <w:vAlign w:val="center"/>
          </w:tcPr>
          <w:p>
            <w:pPr>
              <w:jc w:val="center"/>
              <w:rPr>
                <w:rFonts w:ascii="宋体" w:hAnsi="宋体" w:cs="宋体"/>
                <w:kern w:val="0"/>
              </w:rPr>
            </w:pPr>
            <w:r>
              <w:rPr>
                <w:rFonts w:hint="eastAsia" w:ascii="宋体" w:hAnsi="宋体"/>
                <w:snapToGrid w:val="0"/>
                <w:kern w:val="0"/>
                <w:lang w:val="en-GB" w:eastAsia="en-US"/>
              </w:rPr>
              <w:t>山东济宁</w:t>
            </w:r>
          </w:p>
        </w:tc>
        <w:tc>
          <w:tcPr>
            <w:tcW w:w="1117" w:type="pct"/>
            <w:vAlign w:val="center"/>
          </w:tcPr>
          <w:p>
            <w:pPr>
              <w:jc w:val="center"/>
              <w:rPr>
                <w:rFonts w:ascii="宋体" w:hAnsi="宋体"/>
                <w:snapToGrid w:val="0"/>
                <w:color w:val="000000"/>
                <w:spacing w:val="-24"/>
                <w:kern w:val="0"/>
                <w:lang w:val="en-GB" w:eastAsia="en-US"/>
              </w:rPr>
            </w:pPr>
            <w:r>
              <w:rPr>
                <w:rFonts w:hint="eastAsia" w:ascii="宋体" w:hAnsi="宋体"/>
                <w:snapToGrid w:val="0"/>
                <w:color w:val="000000"/>
                <w:spacing w:val="-24"/>
                <w:kern w:val="0"/>
                <w:lang w:val="en-GB" w:eastAsia="en-US"/>
              </w:rPr>
              <w:t>5</w:t>
            </w:r>
            <w:r>
              <w:rPr>
                <w:rFonts w:ascii="宋体" w:hAnsi="宋体"/>
                <w:snapToGrid w:val="0"/>
                <w:color w:val="000000"/>
                <w:spacing w:val="-24"/>
                <w:kern w:val="0"/>
                <w:lang w:val="en-GB" w:eastAsia="en-US"/>
              </w:rPr>
              <w:t>,</w:t>
            </w:r>
            <w:r>
              <w:rPr>
                <w:rFonts w:hint="eastAsia" w:ascii="宋体" w:hAnsi="宋体"/>
                <w:snapToGrid w:val="0"/>
                <w:color w:val="000000"/>
                <w:spacing w:val="-24"/>
                <w:kern w:val="0"/>
                <w:lang w:val="en-GB" w:eastAsia="en-US"/>
              </w:rPr>
              <w:t>000万</w:t>
            </w:r>
            <w:r>
              <w:rPr>
                <w:rFonts w:hint="eastAsia" w:ascii="宋体" w:hAnsi="宋体"/>
                <w:snapToGrid w:val="0"/>
                <w:color w:val="000000"/>
                <w:spacing w:val="-24"/>
                <w:kern w:val="0"/>
                <w:lang w:val="en-GB"/>
              </w:rPr>
              <w:t>元</w:t>
            </w:r>
          </w:p>
        </w:tc>
        <w:tc>
          <w:tcPr>
            <w:tcW w:w="1020" w:type="pct"/>
            <w:shd w:val="clear" w:color="auto" w:fill="auto"/>
            <w:vAlign w:val="center"/>
          </w:tcPr>
          <w:p>
            <w:pPr>
              <w:rPr>
                <w:rFonts w:ascii="宋体" w:hAnsi="宋体" w:cs="宋体"/>
                <w:spacing w:val="-28"/>
                <w:kern w:val="0"/>
              </w:rPr>
            </w:pPr>
            <w:r>
              <w:rPr>
                <w:rFonts w:hint="eastAsia" w:ascii="宋体" w:hAnsi="宋体"/>
                <w:snapToGrid w:val="0"/>
                <w:color w:val="000000"/>
                <w:spacing w:val="-28"/>
                <w:kern w:val="0"/>
                <w:lang w:val="en-GB" w:eastAsia="en-US"/>
              </w:rPr>
              <w:t>建筑安装</w:t>
            </w:r>
          </w:p>
        </w:tc>
        <w:tc>
          <w:tcPr>
            <w:tcW w:w="817" w:type="pct"/>
            <w:shd w:val="clear" w:color="auto" w:fill="auto"/>
            <w:vAlign w:val="center"/>
          </w:tcPr>
          <w:p>
            <w:pPr>
              <w:ind w:left="-105" w:leftChars="-50"/>
              <w:jc w:val="center"/>
              <w:rPr>
                <w:rFonts w:ascii="宋体" w:hAnsi="宋体" w:cs="宋体"/>
                <w:kern w:val="0"/>
              </w:rPr>
            </w:pPr>
            <w:r>
              <w:rPr>
                <w:rFonts w:ascii="宋体" w:hAnsi="宋体"/>
                <w:snapToGrid w:val="0"/>
                <w:color w:val="000000"/>
                <w:kern w:val="0"/>
                <w:lang w:val="en-GB" w:eastAsia="en-US"/>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shd w:val="clear" w:color="auto" w:fill="auto"/>
            <w:vAlign w:val="center"/>
          </w:tcPr>
          <w:p>
            <w:pPr>
              <w:rPr>
                <w:rFonts w:ascii="宋体" w:hAnsi="宋体"/>
                <w:snapToGrid w:val="0"/>
                <w:kern w:val="0"/>
                <w:lang w:val="en-GB"/>
              </w:rPr>
            </w:pPr>
            <w:r>
              <w:rPr>
                <w:rFonts w:hint="eastAsia" w:ascii="宋体" w:hAnsi="宋体"/>
                <w:snapToGrid w:val="0"/>
                <w:kern w:val="0"/>
                <w:lang w:val="en-GB"/>
              </w:rPr>
              <w:t>龙口矿业集团工程建设有限公司</w:t>
            </w:r>
          </w:p>
        </w:tc>
        <w:tc>
          <w:tcPr>
            <w:tcW w:w="682" w:type="pct"/>
            <w:shd w:val="clear" w:color="auto" w:fill="auto"/>
            <w:vAlign w:val="center"/>
          </w:tcPr>
          <w:p>
            <w:pPr>
              <w:jc w:val="center"/>
              <w:rPr>
                <w:rFonts w:ascii="宋体" w:hAnsi="宋体"/>
                <w:snapToGrid w:val="0"/>
                <w:kern w:val="0"/>
                <w:lang w:val="en-GB" w:eastAsia="en-US"/>
              </w:rPr>
            </w:pPr>
            <w:r>
              <w:rPr>
                <w:rFonts w:hint="eastAsia" w:ascii="宋体" w:hAnsi="宋体"/>
                <w:snapToGrid w:val="0"/>
                <w:kern w:val="0"/>
                <w:lang w:val="en-GB"/>
              </w:rPr>
              <w:t>山东烟台</w:t>
            </w:r>
          </w:p>
        </w:tc>
        <w:tc>
          <w:tcPr>
            <w:tcW w:w="1117" w:type="pct"/>
            <w:vAlign w:val="center"/>
          </w:tcPr>
          <w:p>
            <w:pPr>
              <w:jc w:val="center"/>
              <w:rPr>
                <w:rFonts w:ascii="宋体" w:hAnsi="宋体"/>
                <w:snapToGrid w:val="0"/>
                <w:color w:val="000000"/>
                <w:spacing w:val="-24"/>
                <w:kern w:val="0"/>
                <w:lang w:val="en-GB"/>
              </w:rPr>
            </w:pPr>
            <w:r>
              <w:rPr>
                <w:rFonts w:hint="eastAsia" w:ascii="宋体" w:hAnsi="宋体"/>
                <w:snapToGrid w:val="0"/>
                <w:color w:val="000000"/>
                <w:spacing w:val="-24"/>
                <w:kern w:val="0"/>
                <w:lang w:val="en-GB"/>
              </w:rPr>
              <w:t>15</w:t>
            </w:r>
            <w:r>
              <w:rPr>
                <w:rFonts w:ascii="宋体" w:hAnsi="宋体"/>
                <w:snapToGrid w:val="0"/>
                <w:color w:val="000000"/>
                <w:spacing w:val="-24"/>
                <w:kern w:val="0"/>
                <w:lang w:val="en-GB"/>
              </w:rPr>
              <w:t>,</w:t>
            </w:r>
            <w:r>
              <w:rPr>
                <w:rFonts w:hint="eastAsia" w:ascii="宋体" w:hAnsi="宋体"/>
                <w:snapToGrid w:val="0"/>
                <w:color w:val="000000"/>
                <w:spacing w:val="-24"/>
                <w:kern w:val="0"/>
                <w:lang w:val="en-GB"/>
              </w:rPr>
              <w:t>000万元</w:t>
            </w:r>
          </w:p>
        </w:tc>
        <w:tc>
          <w:tcPr>
            <w:tcW w:w="1020" w:type="pct"/>
            <w:shd w:val="clear" w:color="auto" w:fill="auto"/>
            <w:vAlign w:val="center"/>
          </w:tcPr>
          <w:p>
            <w:pPr>
              <w:rPr>
                <w:rFonts w:ascii="宋体" w:hAnsi="宋体"/>
                <w:snapToGrid w:val="0"/>
                <w:color w:val="000000"/>
                <w:spacing w:val="-28"/>
                <w:kern w:val="0"/>
                <w:lang w:val="en-GB" w:eastAsia="en-US"/>
              </w:rPr>
            </w:pPr>
            <w:r>
              <w:rPr>
                <w:rFonts w:hint="eastAsia" w:ascii="宋体" w:hAnsi="宋体"/>
                <w:snapToGrid w:val="0"/>
                <w:color w:val="000000"/>
                <w:spacing w:val="-28"/>
                <w:kern w:val="0"/>
                <w:lang w:val="en-GB"/>
              </w:rPr>
              <w:t>工程建设</w:t>
            </w:r>
          </w:p>
        </w:tc>
        <w:tc>
          <w:tcPr>
            <w:tcW w:w="817" w:type="pct"/>
            <w:shd w:val="clear" w:color="auto" w:fill="auto"/>
            <w:vAlign w:val="center"/>
          </w:tcPr>
          <w:p>
            <w:pPr>
              <w:ind w:left="-105" w:leftChars="-50"/>
              <w:jc w:val="center"/>
              <w:rPr>
                <w:rFonts w:ascii="宋体" w:hAnsi="宋体"/>
                <w:snapToGrid w:val="0"/>
                <w:color w:val="000000"/>
                <w:kern w:val="0"/>
                <w:lang w:val="en-GB" w:eastAsia="en-US"/>
              </w:rPr>
            </w:pPr>
            <w:r>
              <w:rPr>
                <w:rFonts w:ascii="宋体" w:hAnsi="宋体"/>
                <w:snapToGrid w:val="0"/>
                <w:color w:val="000000"/>
                <w:kern w:val="0"/>
                <w:lang w:val="en-GB" w:eastAsia="en-US"/>
              </w:rPr>
              <w:t>100</w:t>
            </w:r>
          </w:p>
        </w:tc>
      </w:tr>
    </w:tbl>
    <w:p>
      <w:pPr>
        <w:widowControl/>
        <w:numPr>
          <w:ilvl w:val="0"/>
          <w:numId w:val="118"/>
        </w:numPr>
        <w:tabs>
          <w:tab w:val="left" w:pos="567"/>
          <w:tab w:val="clear" w:pos="420"/>
        </w:tabs>
        <w:snapToGrid w:val="0"/>
        <w:spacing w:before="120" w:beforeLines="50" w:after="120" w:afterLines="50" w:line="360" w:lineRule="exact"/>
        <w:ind w:leftChars="200" w:firstLine="0"/>
        <w:jc w:val="left"/>
        <w:rPr>
          <w:rFonts w:ascii="宋体" w:hAnsi="宋体" w:cs="宋体"/>
          <w:snapToGrid w:val="0"/>
          <w:color w:val="000000"/>
          <w:kern w:val="0"/>
          <w:lang w:bidi="ar"/>
        </w:rPr>
      </w:pPr>
      <w:r>
        <w:rPr>
          <w:rFonts w:hint="eastAsia" w:ascii="宋体" w:hAnsi="宋体" w:cs="Arial"/>
          <w:snapToGrid w:val="0"/>
          <w:kern w:val="0"/>
          <w:lang w:val="en-GB"/>
        </w:rPr>
        <w:t>兖矿新疆能化有限公司</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color w:val="000000"/>
          <w:kern w:val="0"/>
          <w:lang w:bidi="ar"/>
        </w:rPr>
      </w:pPr>
      <w:r>
        <w:rPr>
          <w:rFonts w:hint="eastAsia" w:ascii="宋体" w:hAnsi="宋体" w:cs="Arial"/>
          <w:snapToGrid w:val="0"/>
          <w:kern w:val="0"/>
          <w:lang w:val="en-GB"/>
        </w:rPr>
        <w:t>兖矿新疆能化有限公司(以下简称新疆能化)由兖矿集团有限公司与兖矿鲁南化肥厂，根据山东省人民政府国有资产监督管理委员会《关于同意设立兖矿新疆能化有限公司的批复》（鲁国资企改函【2007】43号）于2007年8月3日共同出资设立</w:t>
      </w:r>
      <w:r>
        <w:rPr>
          <w:rFonts w:hint="eastAsia" w:ascii="宋体" w:hAnsi="宋体" w:cs="宋体"/>
          <w:snapToGrid w:val="0"/>
          <w:color w:val="000000"/>
          <w:kern w:val="0"/>
          <w:lang w:bidi="ar"/>
        </w:rPr>
        <w:t>。2023年4月28日，本公司与新矿集团、山东能源签署关于股权转让协议，以支付现金方式收购新矿集团持有的新疆能化7.84%股权以及山东能源持有的新疆能化43.16%股权。</w:t>
      </w:r>
    </w:p>
    <w:p>
      <w:pPr>
        <w:widowControl/>
        <w:tabs>
          <w:tab w:val="left" w:pos="426"/>
          <w:tab w:val="left" w:pos="800"/>
        </w:tabs>
        <w:snapToGrid w:val="0"/>
        <w:spacing w:before="120" w:beforeLines="50" w:after="120"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新疆能化主要控股子公司如下：</w:t>
      </w:r>
    </w:p>
    <w:tbl>
      <w:tblPr>
        <w:tblStyle w:val="964"/>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69"/>
        <w:gridCol w:w="1651"/>
        <w:gridCol w:w="1506"/>
        <w:gridCol w:w="2130"/>
        <w:gridCol w:w="109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397" w:hRule="atLeast"/>
          <w:tblHeader/>
          <w:jc w:val="center"/>
        </w:trPr>
        <w:tc>
          <w:tcPr>
            <w:tcW w:w="1475" w:type="pct"/>
            <w:shd w:val="clear" w:color="auto" w:fill="auto"/>
            <w:vAlign w:val="center"/>
          </w:tcPr>
          <w:p>
            <w:pPr>
              <w:spacing w:before="50" w:after="120" w:afterLines="50" w:line="320" w:lineRule="exact"/>
              <w:jc w:val="left"/>
              <w:rPr>
                <w:rFonts w:ascii="宋体" w:hAnsi="宋体"/>
                <w:b/>
                <w:snapToGrid w:val="0"/>
                <w:kern w:val="0"/>
                <w:lang w:val="en-GB" w:eastAsia="en-US"/>
              </w:rPr>
            </w:pPr>
            <w:r>
              <w:rPr>
                <w:rFonts w:ascii="宋体" w:hAnsi="宋体"/>
                <w:b/>
                <w:snapToGrid w:val="0"/>
                <w:kern w:val="0"/>
                <w:lang w:val="en-GB" w:eastAsia="en-US"/>
              </w:rPr>
              <w:t>子公司名称</w:t>
            </w:r>
          </w:p>
        </w:tc>
        <w:tc>
          <w:tcPr>
            <w:tcW w:w="912" w:type="pct"/>
            <w:shd w:val="clear" w:color="auto" w:fill="auto"/>
            <w:vAlign w:val="center"/>
          </w:tcPr>
          <w:p>
            <w:pPr>
              <w:spacing w:before="50" w:after="120" w:afterLines="50" w:line="320" w:lineRule="exact"/>
              <w:jc w:val="center"/>
              <w:rPr>
                <w:rFonts w:ascii="宋体" w:hAnsi="宋体"/>
                <w:b/>
                <w:snapToGrid w:val="0"/>
                <w:kern w:val="0"/>
                <w:lang w:val="en-GB" w:eastAsia="en-US"/>
              </w:rPr>
            </w:pPr>
            <w:r>
              <w:rPr>
                <w:rFonts w:ascii="宋体" w:hAnsi="宋体"/>
                <w:b/>
                <w:snapToGrid w:val="0"/>
                <w:kern w:val="0"/>
                <w:lang w:val="en-GB" w:eastAsia="en-US"/>
              </w:rPr>
              <w:t>注册地</w:t>
            </w:r>
          </w:p>
        </w:tc>
        <w:tc>
          <w:tcPr>
            <w:tcW w:w="832" w:type="pct"/>
            <w:vAlign w:val="center"/>
          </w:tcPr>
          <w:p>
            <w:pPr>
              <w:spacing w:before="50" w:after="120" w:afterLines="50" w:line="320" w:lineRule="exact"/>
              <w:jc w:val="center"/>
              <w:rPr>
                <w:rFonts w:ascii="宋体" w:hAnsi="宋体"/>
                <w:b/>
                <w:snapToGrid w:val="0"/>
                <w:kern w:val="0"/>
                <w:lang w:val="en-GB" w:eastAsia="en-US"/>
              </w:rPr>
            </w:pPr>
            <w:r>
              <w:rPr>
                <w:rFonts w:hint="eastAsia" w:ascii="宋体" w:hAnsi="宋体"/>
                <w:b/>
                <w:snapToGrid w:val="0"/>
                <w:kern w:val="0"/>
                <w:lang w:val="en-GB"/>
              </w:rPr>
              <w:t>注册资本</w:t>
            </w:r>
          </w:p>
        </w:tc>
        <w:tc>
          <w:tcPr>
            <w:tcW w:w="1177" w:type="pct"/>
            <w:shd w:val="clear" w:color="auto" w:fill="auto"/>
            <w:vAlign w:val="center"/>
          </w:tcPr>
          <w:p>
            <w:pPr>
              <w:spacing w:before="50" w:after="120" w:afterLines="50" w:line="320" w:lineRule="exact"/>
              <w:jc w:val="center"/>
              <w:rPr>
                <w:rFonts w:ascii="宋体" w:hAnsi="宋体"/>
                <w:b/>
                <w:snapToGrid w:val="0"/>
                <w:kern w:val="0"/>
                <w:lang w:val="en-GB" w:eastAsia="en-US"/>
              </w:rPr>
            </w:pPr>
            <w:r>
              <w:rPr>
                <w:rFonts w:ascii="宋体" w:hAnsi="宋体"/>
                <w:b/>
                <w:snapToGrid w:val="0"/>
                <w:kern w:val="0"/>
                <w:lang w:val="en-GB" w:eastAsia="en-US"/>
              </w:rPr>
              <w:t>业务性质</w:t>
            </w:r>
          </w:p>
        </w:tc>
        <w:tc>
          <w:tcPr>
            <w:tcW w:w="604" w:type="pct"/>
            <w:shd w:val="clear" w:color="auto" w:fill="auto"/>
            <w:vAlign w:val="center"/>
          </w:tcPr>
          <w:p>
            <w:pPr>
              <w:spacing w:before="50" w:after="120" w:afterLines="50" w:line="320" w:lineRule="exact"/>
              <w:jc w:val="center"/>
              <w:rPr>
                <w:rFonts w:ascii="宋体" w:hAnsi="宋体"/>
                <w:b/>
                <w:snapToGrid w:val="0"/>
                <w:kern w:val="0"/>
                <w:lang w:val="en-GB" w:eastAsia="en-US"/>
              </w:rPr>
            </w:pPr>
            <w:r>
              <w:rPr>
                <w:rFonts w:ascii="宋体" w:hAnsi="宋体"/>
                <w:b/>
                <w:snapToGrid w:val="0"/>
                <w:kern w:val="0"/>
                <w:lang w:val="en-GB" w:eastAsia="en-US"/>
              </w:rPr>
              <w:t>持股比例（%）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pct"/>
            <w:shd w:val="clear" w:color="auto" w:fill="auto"/>
            <w:vAlign w:val="center"/>
          </w:tcPr>
          <w:p>
            <w:pPr>
              <w:spacing w:before="50" w:after="120" w:afterLines="50" w:line="320" w:lineRule="exact"/>
              <w:rPr>
                <w:rFonts w:ascii="宋体" w:hAnsi="宋体" w:cs="宋体"/>
                <w:spacing w:val="-26"/>
                <w:kern w:val="0"/>
              </w:rPr>
            </w:pPr>
            <w:r>
              <w:rPr>
                <w:rFonts w:hint="eastAsia" w:ascii="宋体" w:hAnsi="宋体" w:cs="宋体"/>
                <w:spacing w:val="-26"/>
                <w:kern w:val="0"/>
              </w:rPr>
              <w:t>新疆兖矿其能煤业有限公司</w:t>
            </w:r>
          </w:p>
        </w:tc>
        <w:tc>
          <w:tcPr>
            <w:tcW w:w="912" w:type="pct"/>
            <w:shd w:val="clear" w:color="auto" w:fill="auto"/>
            <w:vAlign w:val="center"/>
          </w:tcPr>
          <w:p>
            <w:pPr>
              <w:spacing w:before="50" w:after="120" w:afterLines="50" w:line="320" w:lineRule="exact"/>
              <w:jc w:val="center"/>
              <w:rPr>
                <w:rFonts w:ascii="宋体" w:hAnsi="宋体" w:cs="宋体"/>
                <w:spacing w:val="-26"/>
                <w:kern w:val="0"/>
              </w:rPr>
            </w:pPr>
            <w:r>
              <w:rPr>
                <w:rFonts w:hint="eastAsia" w:ascii="宋体" w:hAnsi="宋体" w:cs="宋体"/>
                <w:snapToGrid w:val="0"/>
                <w:spacing w:val="-26"/>
                <w:kern w:val="0"/>
              </w:rPr>
              <w:t>新疆昌吉</w:t>
            </w:r>
          </w:p>
        </w:tc>
        <w:tc>
          <w:tcPr>
            <w:tcW w:w="832" w:type="pct"/>
            <w:vAlign w:val="center"/>
          </w:tcPr>
          <w:p>
            <w:pPr>
              <w:spacing w:before="50" w:after="120" w:afterLines="50" w:line="320" w:lineRule="exact"/>
              <w:jc w:val="center"/>
              <w:rPr>
                <w:rFonts w:ascii="宋体" w:hAnsi="宋体" w:cs="宋体"/>
                <w:snapToGrid w:val="0"/>
                <w:spacing w:val="-26"/>
                <w:kern w:val="0"/>
              </w:rPr>
            </w:pPr>
            <w:r>
              <w:rPr>
                <w:rFonts w:hint="eastAsia" w:ascii="宋体" w:hAnsi="宋体" w:cs="宋体"/>
                <w:snapToGrid w:val="0"/>
                <w:spacing w:val="-26"/>
                <w:kern w:val="0"/>
              </w:rPr>
              <w:t>10</w:t>
            </w:r>
            <w:r>
              <w:rPr>
                <w:rFonts w:ascii="宋体" w:hAnsi="宋体" w:cs="宋体"/>
                <w:snapToGrid w:val="0"/>
                <w:spacing w:val="-26"/>
                <w:kern w:val="0"/>
              </w:rPr>
              <w:t>,</w:t>
            </w:r>
            <w:r>
              <w:rPr>
                <w:rFonts w:hint="eastAsia" w:ascii="宋体" w:hAnsi="宋体" w:cs="宋体"/>
                <w:snapToGrid w:val="0"/>
                <w:spacing w:val="-26"/>
                <w:kern w:val="0"/>
              </w:rPr>
              <w:t>000万元</w:t>
            </w:r>
          </w:p>
        </w:tc>
        <w:tc>
          <w:tcPr>
            <w:tcW w:w="1177" w:type="pct"/>
            <w:shd w:val="clear" w:color="auto" w:fill="auto"/>
            <w:vAlign w:val="center"/>
          </w:tcPr>
          <w:p>
            <w:pPr>
              <w:spacing w:before="50" w:after="120" w:afterLines="50" w:line="320" w:lineRule="exact"/>
              <w:rPr>
                <w:rFonts w:ascii="宋体" w:hAnsi="宋体" w:cs="宋体"/>
                <w:spacing w:val="-26"/>
                <w:kern w:val="0"/>
              </w:rPr>
            </w:pPr>
            <w:r>
              <w:rPr>
                <w:rFonts w:hint="eastAsia" w:ascii="宋体" w:hAnsi="宋体" w:cs="宋体"/>
                <w:snapToGrid w:val="0"/>
                <w:spacing w:val="-26"/>
                <w:kern w:val="0"/>
              </w:rPr>
              <w:t>煤炭开采及销售</w:t>
            </w:r>
          </w:p>
        </w:tc>
        <w:tc>
          <w:tcPr>
            <w:tcW w:w="604" w:type="pct"/>
            <w:shd w:val="clear" w:color="auto" w:fill="auto"/>
            <w:vAlign w:val="center"/>
          </w:tcPr>
          <w:p>
            <w:pPr>
              <w:spacing w:before="50" w:after="120" w:afterLines="50" w:line="320" w:lineRule="exact"/>
              <w:ind w:left="-105" w:leftChars="-50"/>
              <w:jc w:val="center"/>
              <w:rPr>
                <w:rFonts w:ascii="宋体" w:hAnsi="宋体" w:cs="宋体"/>
                <w:spacing w:val="-26"/>
                <w:kern w:val="0"/>
              </w:rPr>
            </w:pPr>
            <w:r>
              <w:rPr>
                <w:rFonts w:hint="eastAsia" w:ascii="宋体" w:hAnsi="宋体" w:cs="宋体"/>
                <w:snapToGrid w:val="0"/>
                <w:spacing w:val="-26"/>
                <w:kern w:val="0"/>
              </w:rPr>
              <w:t>7</w:t>
            </w:r>
            <w:r>
              <w:rPr>
                <w:rFonts w:ascii="宋体" w:hAnsi="宋体" w:cs="宋体"/>
                <w:snapToGrid w:val="0"/>
                <w:spacing w:val="-26"/>
                <w:kern w:val="0"/>
              </w:rPr>
              <w:t>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pct"/>
            <w:shd w:val="clear" w:color="auto" w:fill="auto"/>
            <w:vAlign w:val="center"/>
          </w:tcPr>
          <w:p>
            <w:pPr>
              <w:spacing w:before="50" w:after="120" w:afterLines="50" w:line="320" w:lineRule="exact"/>
              <w:rPr>
                <w:rFonts w:ascii="宋体" w:hAnsi="宋体" w:cs="Arial"/>
                <w:snapToGrid w:val="0"/>
                <w:spacing w:val="-26"/>
                <w:kern w:val="0"/>
                <w:lang w:val="en-GB"/>
              </w:rPr>
            </w:pPr>
            <w:r>
              <w:rPr>
                <w:rFonts w:hint="eastAsia" w:ascii="宋体" w:hAnsi="宋体" w:cs="Arial"/>
                <w:snapToGrid w:val="0"/>
                <w:spacing w:val="-26"/>
                <w:kern w:val="0"/>
                <w:lang w:val="en-GB"/>
              </w:rPr>
              <w:t>兖矿新疆矿业有限公司</w:t>
            </w:r>
          </w:p>
        </w:tc>
        <w:tc>
          <w:tcPr>
            <w:tcW w:w="912" w:type="pct"/>
            <w:shd w:val="clear" w:color="auto" w:fill="auto"/>
            <w:vAlign w:val="center"/>
          </w:tcPr>
          <w:p>
            <w:pPr>
              <w:spacing w:before="50" w:after="120" w:afterLines="50" w:line="320" w:lineRule="exact"/>
              <w:jc w:val="center"/>
              <w:rPr>
                <w:rFonts w:ascii="宋体" w:hAnsi="宋体" w:cs="宋体"/>
                <w:spacing w:val="-26"/>
                <w:kern w:val="0"/>
              </w:rPr>
            </w:pPr>
            <w:r>
              <w:rPr>
                <w:rFonts w:hint="eastAsia" w:ascii="宋体" w:hAnsi="宋体" w:cs="宋体"/>
                <w:snapToGrid w:val="0"/>
                <w:spacing w:val="-26"/>
                <w:kern w:val="0"/>
              </w:rPr>
              <w:t>新疆昌吉</w:t>
            </w:r>
          </w:p>
        </w:tc>
        <w:tc>
          <w:tcPr>
            <w:tcW w:w="832" w:type="pct"/>
            <w:vAlign w:val="center"/>
          </w:tcPr>
          <w:p>
            <w:pPr>
              <w:spacing w:before="50" w:after="120" w:afterLines="50" w:line="320" w:lineRule="exact"/>
              <w:jc w:val="center"/>
              <w:rPr>
                <w:rFonts w:ascii="宋体" w:hAnsi="宋体" w:cs="宋体"/>
                <w:snapToGrid w:val="0"/>
                <w:spacing w:val="-26"/>
                <w:kern w:val="0"/>
              </w:rPr>
            </w:pPr>
            <w:r>
              <w:rPr>
                <w:rFonts w:hint="eastAsia" w:ascii="宋体" w:hAnsi="宋体" w:cs="宋体"/>
                <w:snapToGrid w:val="0"/>
                <w:spacing w:val="-26"/>
                <w:kern w:val="0"/>
              </w:rPr>
              <w:t>38</w:t>
            </w:r>
            <w:r>
              <w:rPr>
                <w:rFonts w:ascii="宋体" w:hAnsi="宋体" w:cs="宋体"/>
                <w:snapToGrid w:val="0"/>
                <w:spacing w:val="-26"/>
                <w:kern w:val="0"/>
              </w:rPr>
              <w:t>,</w:t>
            </w:r>
            <w:r>
              <w:rPr>
                <w:rFonts w:hint="eastAsia" w:ascii="宋体" w:hAnsi="宋体" w:cs="宋体"/>
                <w:snapToGrid w:val="0"/>
                <w:spacing w:val="-26"/>
                <w:kern w:val="0"/>
              </w:rPr>
              <w:t>333万元</w:t>
            </w:r>
          </w:p>
        </w:tc>
        <w:tc>
          <w:tcPr>
            <w:tcW w:w="1177" w:type="pct"/>
            <w:shd w:val="clear" w:color="auto" w:fill="auto"/>
            <w:vAlign w:val="center"/>
          </w:tcPr>
          <w:p>
            <w:pPr>
              <w:spacing w:before="50" w:after="120" w:afterLines="50" w:line="320" w:lineRule="exact"/>
              <w:rPr>
                <w:rFonts w:ascii="宋体" w:hAnsi="宋体" w:cs="宋体"/>
                <w:spacing w:val="-26"/>
                <w:kern w:val="0"/>
              </w:rPr>
            </w:pPr>
            <w:r>
              <w:rPr>
                <w:rFonts w:hint="eastAsia" w:ascii="宋体" w:hAnsi="宋体" w:cs="宋体"/>
                <w:snapToGrid w:val="0"/>
                <w:spacing w:val="-26"/>
                <w:kern w:val="0"/>
              </w:rPr>
              <w:t>煤炭开采及销售</w:t>
            </w:r>
          </w:p>
        </w:tc>
        <w:tc>
          <w:tcPr>
            <w:tcW w:w="604" w:type="pct"/>
            <w:shd w:val="clear" w:color="auto" w:fill="auto"/>
            <w:vAlign w:val="center"/>
          </w:tcPr>
          <w:p>
            <w:pPr>
              <w:spacing w:before="50" w:after="120" w:afterLines="50" w:line="320" w:lineRule="exact"/>
              <w:ind w:left="-105" w:leftChars="-50"/>
              <w:jc w:val="center"/>
              <w:rPr>
                <w:rFonts w:ascii="宋体" w:hAnsi="宋体" w:cs="宋体"/>
                <w:spacing w:val="-26"/>
                <w:kern w:val="0"/>
              </w:rPr>
            </w:pPr>
            <w:r>
              <w:rPr>
                <w:rFonts w:hint="eastAsia" w:ascii="宋体" w:hAnsi="宋体" w:cs="宋体"/>
                <w:snapToGrid w:val="0"/>
                <w:spacing w:val="-26"/>
                <w:kern w:val="0"/>
              </w:rPr>
              <w:t>5</w:t>
            </w:r>
            <w:r>
              <w:rPr>
                <w:rFonts w:ascii="宋体" w:hAnsi="宋体" w:cs="宋体"/>
                <w:snapToGrid w:val="0"/>
                <w:spacing w:val="-26"/>
                <w:kern w:val="0"/>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pct"/>
            <w:shd w:val="clear" w:color="auto" w:fill="auto"/>
            <w:vAlign w:val="center"/>
          </w:tcPr>
          <w:p>
            <w:pPr>
              <w:spacing w:before="50" w:after="120" w:afterLines="50" w:line="320" w:lineRule="exact"/>
              <w:rPr>
                <w:rFonts w:ascii="宋体" w:hAnsi="宋体" w:cs="Arial"/>
                <w:snapToGrid w:val="0"/>
                <w:spacing w:val="-26"/>
                <w:kern w:val="0"/>
                <w:lang w:val="en-GB"/>
              </w:rPr>
            </w:pPr>
            <w:r>
              <w:rPr>
                <w:rFonts w:hint="eastAsia" w:ascii="宋体" w:hAnsi="宋体" w:cs="Arial"/>
                <w:snapToGrid w:val="0"/>
                <w:spacing w:val="-26"/>
                <w:kern w:val="0"/>
                <w:lang w:val="en-GB"/>
              </w:rPr>
              <w:t>中垠新疆房地产开发有限公司</w:t>
            </w:r>
          </w:p>
        </w:tc>
        <w:tc>
          <w:tcPr>
            <w:tcW w:w="912" w:type="pct"/>
            <w:shd w:val="clear" w:color="auto" w:fill="auto"/>
            <w:vAlign w:val="center"/>
          </w:tcPr>
          <w:p>
            <w:pPr>
              <w:spacing w:before="50" w:after="120" w:afterLines="50" w:line="320" w:lineRule="exact"/>
              <w:jc w:val="center"/>
              <w:rPr>
                <w:rFonts w:ascii="宋体" w:hAnsi="宋体" w:cs="宋体"/>
                <w:spacing w:val="-26"/>
                <w:kern w:val="0"/>
              </w:rPr>
            </w:pPr>
            <w:r>
              <w:rPr>
                <w:rFonts w:hint="eastAsia" w:ascii="宋体" w:hAnsi="宋体" w:cs="宋体"/>
                <w:snapToGrid w:val="0"/>
                <w:spacing w:val="-26"/>
                <w:kern w:val="0"/>
              </w:rPr>
              <w:t>新疆乌鲁木齐</w:t>
            </w:r>
          </w:p>
        </w:tc>
        <w:tc>
          <w:tcPr>
            <w:tcW w:w="832" w:type="pct"/>
            <w:vAlign w:val="center"/>
          </w:tcPr>
          <w:p>
            <w:pPr>
              <w:spacing w:before="50" w:after="120" w:afterLines="50" w:line="320" w:lineRule="exact"/>
              <w:jc w:val="center"/>
              <w:rPr>
                <w:rFonts w:ascii="宋体" w:hAnsi="宋体" w:cs="Arial"/>
                <w:snapToGrid w:val="0"/>
                <w:spacing w:val="-26"/>
                <w:kern w:val="0"/>
                <w:lang w:val="en-GB"/>
              </w:rPr>
            </w:pPr>
            <w:r>
              <w:rPr>
                <w:rFonts w:hint="eastAsia" w:ascii="宋体" w:hAnsi="宋体" w:cs="Arial"/>
                <w:snapToGrid w:val="0"/>
                <w:spacing w:val="-26"/>
                <w:kern w:val="0"/>
                <w:lang w:val="en-GB"/>
              </w:rPr>
              <w:t>15</w:t>
            </w:r>
            <w:r>
              <w:rPr>
                <w:rFonts w:ascii="宋体" w:hAnsi="宋体" w:cs="Arial"/>
                <w:snapToGrid w:val="0"/>
                <w:spacing w:val="-26"/>
                <w:kern w:val="0"/>
                <w:lang w:val="en-GB"/>
              </w:rPr>
              <w:t>,</w:t>
            </w:r>
            <w:r>
              <w:rPr>
                <w:rFonts w:hint="eastAsia" w:ascii="宋体" w:hAnsi="宋体" w:cs="Arial"/>
                <w:snapToGrid w:val="0"/>
                <w:spacing w:val="-26"/>
                <w:kern w:val="0"/>
                <w:lang w:val="en-GB"/>
              </w:rPr>
              <w:t>000万元</w:t>
            </w:r>
          </w:p>
        </w:tc>
        <w:tc>
          <w:tcPr>
            <w:tcW w:w="1177" w:type="pct"/>
            <w:shd w:val="clear" w:color="auto" w:fill="auto"/>
            <w:vAlign w:val="center"/>
          </w:tcPr>
          <w:p>
            <w:pPr>
              <w:spacing w:before="50" w:after="120" w:afterLines="50" w:line="320" w:lineRule="exact"/>
              <w:rPr>
                <w:rFonts w:ascii="宋体" w:hAnsi="宋体" w:cs="宋体"/>
                <w:spacing w:val="-26"/>
                <w:kern w:val="0"/>
              </w:rPr>
            </w:pPr>
            <w:r>
              <w:rPr>
                <w:rFonts w:hint="eastAsia" w:ascii="宋体" w:hAnsi="宋体" w:cs="Arial"/>
                <w:snapToGrid w:val="0"/>
                <w:spacing w:val="-26"/>
                <w:kern w:val="0"/>
                <w:lang w:val="en-GB"/>
              </w:rPr>
              <w:t>房地产开发与租赁</w:t>
            </w:r>
          </w:p>
        </w:tc>
        <w:tc>
          <w:tcPr>
            <w:tcW w:w="604" w:type="pct"/>
            <w:shd w:val="clear" w:color="auto" w:fill="auto"/>
            <w:vAlign w:val="center"/>
          </w:tcPr>
          <w:p>
            <w:pPr>
              <w:spacing w:before="50" w:after="120" w:afterLines="50" w:line="320" w:lineRule="exact"/>
              <w:ind w:left="-105" w:leftChars="-50"/>
              <w:jc w:val="center"/>
              <w:rPr>
                <w:rFonts w:ascii="宋体" w:hAnsi="宋体" w:cs="宋体"/>
                <w:spacing w:val="-26"/>
                <w:kern w:val="0"/>
              </w:rPr>
            </w:pPr>
            <w:r>
              <w:rPr>
                <w:rFonts w:hint="eastAsia" w:ascii="宋体" w:hAnsi="宋体" w:cs="宋体"/>
                <w:snapToGrid w:val="0"/>
                <w:spacing w:val="-26"/>
                <w:kern w:val="0"/>
              </w:rPr>
              <w:t>1</w:t>
            </w:r>
            <w:r>
              <w:rPr>
                <w:rFonts w:ascii="宋体" w:hAnsi="宋体" w:cs="宋体"/>
                <w:snapToGrid w:val="0"/>
                <w:spacing w:val="-26"/>
                <w:kern w:val="0"/>
              </w:rPr>
              <w:t>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pct"/>
            <w:shd w:val="clear" w:color="auto" w:fill="auto"/>
            <w:vAlign w:val="center"/>
          </w:tcPr>
          <w:p>
            <w:pPr>
              <w:spacing w:before="50" w:after="120" w:afterLines="50" w:line="320" w:lineRule="exact"/>
              <w:rPr>
                <w:rFonts w:ascii="宋体" w:hAnsi="宋体" w:cs="Arial"/>
                <w:snapToGrid w:val="0"/>
                <w:spacing w:val="-26"/>
                <w:kern w:val="0"/>
                <w:lang w:val="en-GB"/>
              </w:rPr>
            </w:pPr>
            <w:r>
              <w:rPr>
                <w:rFonts w:hint="eastAsia" w:ascii="宋体" w:hAnsi="宋体" w:cs="Arial"/>
                <w:snapToGrid w:val="0"/>
                <w:spacing w:val="-26"/>
                <w:kern w:val="0"/>
                <w:lang w:val="en-GB"/>
              </w:rPr>
              <w:t>新疆山能化工有限公司</w:t>
            </w:r>
          </w:p>
        </w:tc>
        <w:tc>
          <w:tcPr>
            <w:tcW w:w="912" w:type="pct"/>
            <w:shd w:val="clear" w:color="auto" w:fill="auto"/>
            <w:vAlign w:val="center"/>
          </w:tcPr>
          <w:p>
            <w:pPr>
              <w:spacing w:before="50" w:after="120" w:afterLines="50" w:line="320" w:lineRule="exact"/>
              <w:jc w:val="center"/>
              <w:rPr>
                <w:rFonts w:ascii="宋体" w:hAnsi="宋体" w:cs="宋体"/>
                <w:spacing w:val="-26"/>
                <w:kern w:val="0"/>
              </w:rPr>
            </w:pPr>
            <w:r>
              <w:rPr>
                <w:rFonts w:hint="eastAsia" w:ascii="宋体" w:hAnsi="宋体" w:cs="宋体"/>
                <w:snapToGrid w:val="0"/>
                <w:spacing w:val="-26"/>
                <w:kern w:val="0"/>
              </w:rPr>
              <w:t>新疆乌鲁木齐</w:t>
            </w:r>
          </w:p>
        </w:tc>
        <w:tc>
          <w:tcPr>
            <w:tcW w:w="832" w:type="pct"/>
            <w:vAlign w:val="center"/>
          </w:tcPr>
          <w:p>
            <w:pPr>
              <w:spacing w:before="50" w:after="120" w:afterLines="50" w:line="320" w:lineRule="exact"/>
              <w:jc w:val="center"/>
              <w:rPr>
                <w:rFonts w:ascii="宋体" w:hAnsi="宋体" w:cs="宋体"/>
                <w:snapToGrid w:val="0"/>
                <w:spacing w:val="-26"/>
                <w:kern w:val="0"/>
              </w:rPr>
            </w:pPr>
            <w:r>
              <w:rPr>
                <w:rFonts w:hint="eastAsia" w:ascii="宋体" w:hAnsi="宋体" w:cs="宋体"/>
                <w:snapToGrid w:val="0"/>
                <w:spacing w:val="-26"/>
                <w:kern w:val="0"/>
              </w:rPr>
              <w:t>500</w:t>
            </w:r>
            <w:r>
              <w:rPr>
                <w:rFonts w:ascii="宋体" w:hAnsi="宋体" w:cs="宋体"/>
                <w:snapToGrid w:val="0"/>
                <w:spacing w:val="-26"/>
                <w:kern w:val="0"/>
              </w:rPr>
              <w:t>,</w:t>
            </w:r>
            <w:r>
              <w:rPr>
                <w:rFonts w:hint="eastAsia" w:ascii="宋体" w:hAnsi="宋体" w:cs="宋体"/>
                <w:snapToGrid w:val="0"/>
                <w:spacing w:val="-26"/>
                <w:kern w:val="0"/>
              </w:rPr>
              <w:t>000万元</w:t>
            </w:r>
          </w:p>
        </w:tc>
        <w:tc>
          <w:tcPr>
            <w:tcW w:w="1177" w:type="pct"/>
            <w:shd w:val="clear" w:color="auto" w:fill="auto"/>
            <w:vAlign w:val="center"/>
          </w:tcPr>
          <w:p>
            <w:pPr>
              <w:spacing w:before="50" w:after="120" w:afterLines="50" w:line="320" w:lineRule="exact"/>
              <w:rPr>
                <w:rFonts w:ascii="宋体" w:hAnsi="宋体" w:cs="宋体"/>
                <w:spacing w:val="-26"/>
                <w:kern w:val="0"/>
              </w:rPr>
            </w:pPr>
            <w:r>
              <w:rPr>
                <w:rFonts w:hint="eastAsia" w:ascii="宋体" w:hAnsi="宋体" w:cs="宋体"/>
                <w:snapToGrid w:val="0"/>
                <w:spacing w:val="-26"/>
                <w:kern w:val="0"/>
              </w:rPr>
              <w:t>甲醇、尿素等产品的生产与销售</w:t>
            </w:r>
          </w:p>
        </w:tc>
        <w:tc>
          <w:tcPr>
            <w:tcW w:w="604" w:type="pct"/>
            <w:shd w:val="clear" w:color="auto" w:fill="auto"/>
            <w:vAlign w:val="center"/>
          </w:tcPr>
          <w:p>
            <w:pPr>
              <w:spacing w:before="50" w:after="120" w:afterLines="50" w:line="320" w:lineRule="exact"/>
              <w:ind w:left="-105" w:leftChars="-50"/>
              <w:jc w:val="center"/>
              <w:rPr>
                <w:rFonts w:ascii="宋体" w:hAnsi="宋体" w:cs="宋体"/>
                <w:spacing w:val="-26"/>
                <w:kern w:val="0"/>
              </w:rPr>
            </w:pPr>
            <w:r>
              <w:rPr>
                <w:rFonts w:ascii="宋体" w:hAnsi="宋体" w:cs="宋体"/>
                <w:snapToGrid w:val="0"/>
                <w:spacing w:val="-26"/>
                <w:kern w:val="0"/>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pct"/>
            <w:shd w:val="clear" w:color="auto" w:fill="auto"/>
            <w:vAlign w:val="center"/>
          </w:tcPr>
          <w:p>
            <w:pPr>
              <w:spacing w:before="50" w:after="120" w:afterLines="50" w:line="320" w:lineRule="exact"/>
              <w:rPr>
                <w:rFonts w:ascii="宋体" w:hAnsi="宋体" w:cs="Arial"/>
                <w:snapToGrid w:val="0"/>
                <w:spacing w:val="-26"/>
                <w:kern w:val="0"/>
                <w:lang w:val="en-GB"/>
              </w:rPr>
            </w:pPr>
            <w:r>
              <w:rPr>
                <w:rFonts w:hint="eastAsia" w:ascii="宋体" w:hAnsi="宋体" w:cs="Arial"/>
                <w:snapToGrid w:val="0"/>
                <w:spacing w:val="-26"/>
                <w:kern w:val="0"/>
                <w:lang w:val="en-GB"/>
              </w:rPr>
              <w:t>新汶矿业集团（伊犁）能源开发有限责任公司</w:t>
            </w:r>
          </w:p>
        </w:tc>
        <w:tc>
          <w:tcPr>
            <w:tcW w:w="912" w:type="pct"/>
            <w:shd w:val="clear" w:color="auto" w:fill="auto"/>
            <w:vAlign w:val="center"/>
          </w:tcPr>
          <w:p>
            <w:pPr>
              <w:spacing w:before="50" w:after="120" w:afterLines="50" w:line="320" w:lineRule="exact"/>
              <w:jc w:val="center"/>
              <w:rPr>
                <w:rFonts w:ascii="宋体" w:hAnsi="宋体" w:cs="宋体"/>
                <w:spacing w:val="-26"/>
                <w:kern w:val="0"/>
              </w:rPr>
            </w:pPr>
            <w:r>
              <w:rPr>
                <w:rFonts w:hint="eastAsia" w:ascii="宋体" w:hAnsi="宋体" w:cs="宋体"/>
                <w:snapToGrid w:val="0"/>
                <w:spacing w:val="-26"/>
                <w:kern w:val="0"/>
              </w:rPr>
              <w:t>新疆昌吉</w:t>
            </w:r>
          </w:p>
        </w:tc>
        <w:tc>
          <w:tcPr>
            <w:tcW w:w="832" w:type="pct"/>
            <w:vAlign w:val="center"/>
          </w:tcPr>
          <w:p>
            <w:pPr>
              <w:spacing w:before="50" w:after="120" w:afterLines="50" w:line="320" w:lineRule="exact"/>
              <w:jc w:val="center"/>
              <w:rPr>
                <w:rFonts w:ascii="宋体" w:hAnsi="宋体" w:cs="Arial"/>
                <w:snapToGrid w:val="0"/>
                <w:spacing w:val="-26"/>
                <w:kern w:val="0"/>
                <w:lang w:val="en-GB"/>
              </w:rPr>
            </w:pPr>
            <w:r>
              <w:rPr>
                <w:rFonts w:hint="eastAsia" w:ascii="宋体" w:hAnsi="宋体" w:cs="Arial"/>
                <w:snapToGrid w:val="0"/>
                <w:spacing w:val="-26"/>
                <w:kern w:val="0"/>
                <w:lang w:val="en-GB"/>
              </w:rPr>
              <w:t>100</w:t>
            </w:r>
            <w:r>
              <w:rPr>
                <w:rFonts w:ascii="宋体" w:hAnsi="宋体" w:cs="Arial"/>
                <w:snapToGrid w:val="0"/>
                <w:spacing w:val="-26"/>
                <w:kern w:val="0"/>
                <w:lang w:val="en-GB"/>
              </w:rPr>
              <w:t>,</w:t>
            </w:r>
            <w:r>
              <w:rPr>
                <w:rFonts w:hint="eastAsia" w:ascii="宋体" w:hAnsi="宋体" w:cs="Arial"/>
                <w:snapToGrid w:val="0"/>
                <w:spacing w:val="-26"/>
                <w:kern w:val="0"/>
                <w:lang w:val="en-GB"/>
              </w:rPr>
              <w:t>000万元</w:t>
            </w:r>
          </w:p>
        </w:tc>
        <w:tc>
          <w:tcPr>
            <w:tcW w:w="1177" w:type="pct"/>
            <w:shd w:val="clear" w:color="auto" w:fill="auto"/>
            <w:vAlign w:val="center"/>
          </w:tcPr>
          <w:p>
            <w:pPr>
              <w:spacing w:before="50" w:after="120" w:afterLines="50" w:line="320" w:lineRule="exact"/>
              <w:rPr>
                <w:rFonts w:ascii="宋体" w:hAnsi="宋体" w:cs="宋体"/>
                <w:spacing w:val="-26"/>
                <w:kern w:val="0"/>
              </w:rPr>
            </w:pPr>
            <w:r>
              <w:rPr>
                <w:rFonts w:hint="eastAsia" w:ascii="宋体" w:hAnsi="宋体" w:cs="Arial"/>
                <w:snapToGrid w:val="0"/>
                <w:spacing w:val="-26"/>
                <w:kern w:val="0"/>
                <w:lang w:val="en-GB"/>
              </w:rPr>
              <w:t>煤炭化工</w:t>
            </w:r>
          </w:p>
        </w:tc>
        <w:tc>
          <w:tcPr>
            <w:tcW w:w="604" w:type="pct"/>
            <w:shd w:val="clear" w:color="auto" w:fill="auto"/>
            <w:vAlign w:val="center"/>
          </w:tcPr>
          <w:p>
            <w:pPr>
              <w:spacing w:before="50" w:after="120" w:afterLines="50" w:line="320" w:lineRule="exact"/>
              <w:ind w:left="-105" w:leftChars="-50"/>
              <w:jc w:val="center"/>
              <w:rPr>
                <w:rFonts w:ascii="宋体" w:hAnsi="宋体" w:cs="宋体"/>
                <w:spacing w:val="-26"/>
                <w:kern w:val="0"/>
              </w:rPr>
            </w:pPr>
            <w:r>
              <w:rPr>
                <w:rFonts w:hint="eastAsia" w:ascii="宋体" w:hAnsi="宋体" w:cs="宋体"/>
                <w:snapToGrid w:val="0"/>
                <w:spacing w:val="-26"/>
                <w:kern w:val="0"/>
              </w:rPr>
              <w:t>1</w:t>
            </w:r>
            <w:r>
              <w:rPr>
                <w:rFonts w:ascii="宋体" w:hAnsi="宋体" w:cs="宋体"/>
                <w:snapToGrid w:val="0"/>
                <w:spacing w:val="-26"/>
                <w:kern w:val="0"/>
              </w:rPr>
              <w:t>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5" w:type="pct"/>
            <w:shd w:val="clear" w:color="auto" w:fill="auto"/>
            <w:vAlign w:val="center"/>
          </w:tcPr>
          <w:p>
            <w:pPr>
              <w:spacing w:before="50" w:after="120" w:afterLines="50" w:line="320" w:lineRule="exact"/>
              <w:rPr>
                <w:rFonts w:ascii="宋体" w:hAnsi="宋体" w:cs="Arial"/>
                <w:snapToGrid w:val="0"/>
                <w:spacing w:val="-26"/>
                <w:kern w:val="0"/>
                <w:lang w:val="en-GB"/>
              </w:rPr>
            </w:pPr>
            <w:r>
              <w:rPr>
                <w:rFonts w:hint="eastAsia" w:ascii="宋体" w:hAnsi="宋体" w:cs="Arial"/>
                <w:snapToGrid w:val="0"/>
                <w:spacing w:val="-26"/>
                <w:kern w:val="0"/>
                <w:lang w:val="en-GB"/>
              </w:rPr>
              <w:t>兖矿新疆煤化工有限公司</w:t>
            </w:r>
          </w:p>
        </w:tc>
        <w:tc>
          <w:tcPr>
            <w:tcW w:w="912" w:type="pct"/>
            <w:shd w:val="clear" w:color="auto" w:fill="auto"/>
            <w:vAlign w:val="center"/>
          </w:tcPr>
          <w:p>
            <w:pPr>
              <w:spacing w:before="50" w:after="120" w:afterLines="50" w:line="320" w:lineRule="exact"/>
              <w:jc w:val="center"/>
              <w:rPr>
                <w:rFonts w:ascii="宋体" w:hAnsi="宋体" w:cs="宋体"/>
                <w:snapToGrid w:val="0"/>
                <w:spacing w:val="-26"/>
                <w:kern w:val="0"/>
              </w:rPr>
            </w:pPr>
            <w:r>
              <w:rPr>
                <w:rFonts w:hint="eastAsia" w:ascii="宋体" w:hAnsi="宋体" w:cs="宋体"/>
                <w:snapToGrid w:val="0"/>
                <w:spacing w:val="-26"/>
                <w:kern w:val="0"/>
              </w:rPr>
              <w:t>新疆乌鲁木齐</w:t>
            </w:r>
          </w:p>
        </w:tc>
        <w:tc>
          <w:tcPr>
            <w:tcW w:w="832" w:type="pct"/>
            <w:vAlign w:val="center"/>
          </w:tcPr>
          <w:p>
            <w:pPr>
              <w:spacing w:before="50" w:after="120" w:afterLines="50" w:line="320" w:lineRule="exact"/>
              <w:jc w:val="center"/>
              <w:rPr>
                <w:rFonts w:ascii="宋体" w:hAnsi="宋体" w:cs="Arial"/>
                <w:snapToGrid w:val="0"/>
                <w:spacing w:val="-26"/>
                <w:kern w:val="0"/>
                <w:lang w:val="en-GB"/>
              </w:rPr>
            </w:pPr>
            <w:r>
              <w:rPr>
                <w:rFonts w:hint="eastAsia" w:ascii="宋体" w:hAnsi="宋体" w:cs="Arial"/>
                <w:snapToGrid w:val="0"/>
                <w:spacing w:val="-26"/>
                <w:kern w:val="0"/>
                <w:lang w:val="en-GB"/>
              </w:rPr>
              <w:t>313</w:t>
            </w:r>
            <w:r>
              <w:rPr>
                <w:rFonts w:ascii="宋体" w:hAnsi="宋体" w:cs="Arial"/>
                <w:snapToGrid w:val="0"/>
                <w:spacing w:val="-26"/>
                <w:kern w:val="0"/>
                <w:lang w:val="en-GB"/>
              </w:rPr>
              <w:t>,</w:t>
            </w:r>
            <w:r>
              <w:rPr>
                <w:rFonts w:hint="eastAsia" w:ascii="宋体" w:hAnsi="宋体" w:cs="Arial"/>
                <w:snapToGrid w:val="0"/>
                <w:spacing w:val="-26"/>
                <w:kern w:val="0"/>
                <w:lang w:val="en-GB"/>
              </w:rPr>
              <w:t>000万元</w:t>
            </w:r>
          </w:p>
        </w:tc>
        <w:tc>
          <w:tcPr>
            <w:tcW w:w="1177" w:type="pct"/>
            <w:shd w:val="clear" w:color="auto" w:fill="auto"/>
            <w:vAlign w:val="center"/>
          </w:tcPr>
          <w:p>
            <w:pPr>
              <w:spacing w:before="50" w:after="120" w:afterLines="50" w:line="320" w:lineRule="exact"/>
              <w:rPr>
                <w:rFonts w:ascii="宋体" w:hAnsi="宋体" w:cs="Arial"/>
                <w:snapToGrid w:val="0"/>
                <w:spacing w:val="-26"/>
                <w:kern w:val="0"/>
                <w:lang w:val="en-GB"/>
              </w:rPr>
            </w:pPr>
            <w:r>
              <w:rPr>
                <w:rFonts w:hint="eastAsia" w:ascii="宋体" w:hAnsi="宋体" w:cs="Arial"/>
                <w:snapToGrid w:val="0"/>
                <w:spacing w:val="-26"/>
                <w:kern w:val="0"/>
                <w:lang w:val="en-GB"/>
              </w:rPr>
              <w:t>化学原料和化学制品制造业</w:t>
            </w:r>
          </w:p>
        </w:tc>
        <w:tc>
          <w:tcPr>
            <w:tcW w:w="604" w:type="pct"/>
            <w:shd w:val="clear" w:color="auto" w:fill="auto"/>
            <w:vAlign w:val="center"/>
          </w:tcPr>
          <w:p>
            <w:pPr>
              <w:spacing w:before="50" w:after="120" w:afterLines="50" w:line="320" w:lineRule="exact"/>
              <w:ind w:left="-105" w:leftChars="-50"/>
              <w:jc w:val="center"/>
              <w:rPr>
                <w:rFonts w:ascii="宋体" w:hAnsi="宋体" w:cs="宋体"/>
                <w:snapToGrid w:val="0"/>
                <w:spacing w:val="-26"/>
                <w:kern w:val="0"/>
              </w:rPr>
            </w:pPr>
            <w:r>
              <w:rPr>
                <w:rFonts w:hint="eastAsia" w:ascii="宋体" w:hAnsi="宋体" w:cs="宋体"/>
                <w:snapToGrid w:val="0"/>
                <w:spacing w:val="-26"/>
                <w:kern w:val="0"/>
              </w:rPr>
              <w:t>1</w:t>
            </w:r>
            <w:r>
              <w:rPr>
                <w:rFonts w:ascii="宋体" w:hAnsi="宋体" w:cs="宋体"/>
                <w:snapToGrid w:val="0"/>
                <w:spacing w:val="-26"/>
                <w:kern w:val="0"/>
              </w:rPr>
              <w:t>00</w:t>
            </w:r>
          </w:p>
        </w:tc>
      </w:tr>
    </w:tbl>
    <w:p>
      <w:pPr>
        <w:widowControl/>
        <w:numPr>
          <w:ilvl w:val="0"/>
          <w:numId w:val="118"/>
        </w:numPr>
        <w:tabs>
          <w:tab w:val="left" w:pos="567"/>
          <w:tab w:val="clear" w:pos="420"/>
        </w:tabs>
        <w:snapToGrid w:val="0"/>
        <w:spacing w:before="120" w:beforeLines="50" w:after="120" w:afterLines="50" w:line="360" w:lineRule="exact"/>
        <w:ind w:leftChars="200" w:firstLine="0"/>
        <w:jc w:val="left"/>
        <w:rPr>
          <w:rFonts w:ascii="宋体" w:hAnsi="宋体" w:cs="Arial"/>
          <w:snapToGrid w:val="0"/>
          <w:kern w:val="0"/>
          <w:lang w:val="en-GB"/>
        </w:rPr>
      </w:pPr>
      <w:r>
        <w:rPr>
          <w:rFonts w:hint="eastAsia" w:ascii="宋体" w:hAnsi="宋体" w:cs="Arial"/>
          <w:snapToGrid w:val="0"/>
          <w:kern w:val="0"/>
          <w:lang w:val="en-GB"/>
        </w:rPr>
        <w:t>山东能源集团财务有限公司</w:t>
      </w:r>
    </w:p>
    <w:p>
      <w:pPr>
        <w:tabs>
          <w:tab w:val="left" w:pos="426"/>
          <w:tab w:val="left" w:pos="800"/>
        </w:tabs>
        <w:snapToGrid w:val="0"/>
        <w:spacing w:before="120" w:beforeLines="50" w:after="120" w:afterLines="50" w:line="360" w:lineRule="exact"/>
        <w:ind w:firstLine="420" w:firstLineChars="200"/>
        <w:rPr>
          <w:rFonts w:ascii="宋体" w:hAnsi="宋体" w:cs="宋体"/>
          <w:snapToGrid w:val="0"/>
          <w:color w:val="000000"/>
          <w:kern w:val="0"/>
          <w:lang w:bidi="ar"/>
        </w:rPr>
      </w:pPr>
      <w:r>
        <w:rPr>
          <w:rFonts w:hint="eastAsia" w:ascii="宋体" w:hAnsi="宋体" w:cs="宋体"/>
          <w:snapToGrid w:val="0"/>
          <w:color w:val="000000"/>
          <w:kern w:val="0"/>
          <w:lang w:bidi="ar"/>
        </w:rPr>
        <w:t>山东能源集团财务有限公司</w:t>
      </w:r>
      <w:r>
        <w:rPr>
          <w:rFonts w:hint="eastAsia" w:ascii="宋体" w:hAnsi="宋体" w:cs="Arial"/>
          <w:snapToGrid w:val="0"/>
          <w:kern w:val="0"/>
          <w:lang w:val="en-GB"/>
        </w:rPr>
        <w:t>(以下简称山能财司)系由山东能源集团有限公司投资设立。2023年11月6日，山能财司吸收合并本公司之子公司兖矿财司。交易完成后兖矿财司注销，其资产、负债、业务以及人员全部由新山能财司依法承继</w:t>
      </w:r>
      <w:r>
        <w:rPr>
          <w:rFonts w:hint="eastAsia" w:ascii="宋体" w:hAnsi="宋体" w:cs="宋体"/>
          <w:snapToGrid w:val="0"/>
          <w:color w:val="000000"/>
          <w:kern w:val="0"/>
          <w:lang w:bidi="ar"/>
        </w:rPr>
        <w:t>，本公司完成对山能财司控股。山能财司注册资本700</w:t>
      </w:r>
      <w:r>
        <w:rPr>
          <w:rFonts w:ascii="宋体" w:hAnsi="宋体" w:cs="宋体"/>
          <w:snapToGrid w:val="0"/>
          <w:color w:val="000000"/>
          <w:kern w:val="0"/>
          <w:lang w:bidi="ar"/>
        </w:rPr>
        <w:t>,</w:t>
      </w:r>
      <w:r>
        <w:rPr>
          <w:rFonts w:hint="eastAsia" w:ascii="宋体" w:hAnsi="宋体" w:cs="宋体"/>
          <w:snapToGrid w:val="0"/>
          <w:color w:val="000000"/>
          <w:kern w:val="0"/>
          <w:lang w:bidi="ar"/>
        </w:rPr>
        <w:t>000万元。公司法人营业执照统一社会信用代码：</w:t>
      </w:r>
      <w:r>
        <w:rPr>
          <w:rFonts w:ascii="宋体" w:hAnsi="宋体" w:cs="宋体"/>
          <w:snapToGrid w:val="0"/>
          <w:color w:val="000000"/>
          <w:kern w:val="0"/>
          <w:lang w:bidi="ar"/>
        </w:rPr>
        <w:t>9137000008978789X0</w:t>
      </w:r>
      <w:r>
        <w:rPr>
          <w:rFonts w:hint="eastAsia" w:ascii="宋体" w:hAnsi="宋体" w:cs="宋体"/>
          <w:snapToGrid w:val="0"/>
          <w:color w:val="000000"/>
          <w:kern w:val="0"/>
          <w:lang w:bidi="ar"/>
        </w:rPr>
        <w:t>。主要提供企业集团财务公司服务。</w:t>
      </w:r>
    </w:p>
    <w:p>
      <w:pPr>
        <w:rPr>
          <w:rFonts w:cstheme="minorBidi"/>
        </w:rPr>
      </w:pPr>
    </w:p>
    <w:p>
      <w:pPr>
        <w:rPr>
          <w:rFonts w:cs="Arial"/>
        </w:rPr>
      </w:pPr>
    </w:p>
    <w:p>
      <w:pPr>
        <w:pStyle w:val="505"/>
        <w:numPr>
          <w:ilvl w:val="3"/>
          <w:numId w:val="117"/>
        </w:numPr>
        <w:ind w:left="426" w:hanging="426" w:hangingChars="202"/>
      </w:pPr>
      <w:r>
        <w:rPr>
          <w:rFonts w:hint="eastAsia"/>
        </w:rPr>
        <w:t>重要的非全资子公司</w:t>
      </w:r>
    </w:p>
    <w:sdt>
      <w:sdtPr>
        <w:alias w:val="是否适用：重要的非全资子公司[双击切换]"/>
        <w:tag w:val="_GBC_51a84bfe201248b8bd5edb53b6cd6283"/>
        <w:id w:val="515734705"/>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非全资子公司"/>
          <w:tag w:val="_GBC_e5936e9952394755bacf71d437afcd44"/>
          <w:id w:val="-5706595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重要的非全资子公司"/>
          <w:tag w:val="_GBC_5ffac6aa0e464031b94de604fccc76c7"/>
          <w:id w:val="-9183991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814"/>
        <w:gridCol w:w="1937"/>
        <w:gridCol w:w="1943"/>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5428bb469efb45b09d2152fb27b33f8a"/>
            <w:id w:val="-949701635"/>
          </w:sdtPr>
          <w:sdtContent>
            <w:tc>
              <w:tcPr>
                <w:tcW w:w="890" w:type="pct"/>
                <w:shd w:val="clear" w:color="auto" w:fill="auto"/>
                <w:vAlign w:val="center"/>
              </w:tcPr>
              <w:p>
                <w:pPr>
                  <w:jc w:val="center"/>
                  <w:rPr>
                    <w:rFonts w:cs="Arial"/>
                  </w:rPr>
                </w:pPr>
                <w:r>
                  <w:rPr>
                    <w:rFonts w:hint="eastAsia" w:cs="Arial"/>
                    <w:lang w:val="en-GB"/>
                  </w:rPr>
                  <w:t>子公司名称</w:t>
                </w:r>
              </w:p>
            </w:tc>
          </w:sdtContent>
        </w:sdt>
        <w:sdt>
          <w:sdtPr>
            <w:tag w:val="_PLD_6f42810edcef4f808238b34484325c1a"/>
            <w:id w:val="1596122020"/>
          </w:sdtPr>
          <w:sdtContent>
            <w:tc>
              <w:tcPr>
                <w:tcW w:w="1002" w:type="pct"/>
                <w:shd w:val="clear" w:color="auto" w:fill="auto"/>
                <w:vAlign w:val="center"/>
              </w:tcPr>
              <w:p>
                <w:pPr>
                  <w:jc w:val="center"/>
                  <w:rPr>
                    <w:rFonts w:cs="Arial"/>
                    <w:bCs/>
                    <w:lang w:val="en-GB"/>
                  </w:rPr>
                </w:pPr>
                <w:r>
                  <w:rPr>
                    <w:rFonts w:hint="eastAsia" w:cs="Arial"/>
                    <w:bCs/>
                    <w:lang w:val="en-GB"/>
                  </w:rPr>
                  <w:t>少数股东持股</w:t>
                </w:r>
              </w:p>
              <w:p>
                <w:pPr>
                  <w:jc w:val="center"/>
                  <w:rPr>
                    <w:rFonts w:cs="Arial"/>
                  </w:rPr>
                </w:pPr>
                <w:r>
                  <w:rPr>
                    <w:rFonts w:hint="eastAsia" w:cs="Arial"/>
                    <w:bCs/>
                    <w:lang w:val="en-GB"/>
                  </w:rPr>
                  <w:t>比例</w:t>
                </w:r>
              </w:p>
            </w:tc>
          </w:sdtContent>
        </w:sdt>
        <w:sdt>
          <w:sdtPr>
            <w:tag w:val="_PLD_5fe25832d2ec4782a2b0dd4183a7a18d"/>
            <w:id w:val="1749765367"/>
          </w:sdtPr>
          <w:sdtContent>
            <w:tc>
              <w:tcPr>
                <w:tcW w:w="1070" w:type="pct"/>
                <w:shd w:val="clear" w:color="auto" w:fill="auto"/>
                <w:vAlign w:val="center"/>
              </w:tcPr>
              <w:p>
                <w:pPr>
                  <w:jc w:val="center"/>
                  <w:rPr>
                    <w:rFonts w:cs="Arial"/>
                  </w:rPr>
                </w:pPr>
                <w:r>
                  <w:rPr>
                    <w:rFonts w:hint="eastAsia" w:cs="Arial"/>
                    <w:bCs/>
                    <w:lang w:val="en-GB"/>
                  </w:rPr>
                  <w:t>本期归属于少数股东的损益</w:t>
                </w:r>
              </w:p>
            </w:tc>
          </w:sdtContent>
        </w:sdt>
        <w:sdt>
          <w:sdtPr>
            <w:tag w:val="_PLD_2a49e43dba264aa2a5a6a65baca97c74"/>
            <w:id w:val="-311567522"/>
          </w:sdtPr>
          <w:sdtContent>
            <w:tc>
              <w:tcPr>
                <w:tcW w:w="1073" w:type="pct"/>
                <w:shd w:val="clear" w:color="auto" w:fill="auto"/>
                <w:vAlign w:val="center"/>
              </w:tcPr>
              <w:p>
                <w:pPr>
                  <w:jc w:val="center"/>
                  <w:rPr>
                    <w:rFonts w:cs="Arial"/>
                  </w:rPr>
                </w:pPr>
                <w:r>
                  <w:rPr>
                    <w:rFonts w:hint="eastAsia" w:cs="Arial"/>
                    <w:bCs/>
                    <w:lang w:val="en-GB"/>
                  </w:rPr>
                  <w:t>本期向少数股东宣告分派的股利</w:t>
                </w:r>
              </w:p>
            </w:tc>
          </w:sdtContent>
        </w:sdt>
        <w:sdt>
          <w:sdtPr>
            <w:tag w:val="_PLD_fb758b5ac95741fa930b476448e32371"/>
            <w:id w:val="351616408"/>
          </w:sdtPr>
          <w:sdtContent>
            <w:tc>
              <w:tcPr>
                <w:tcW w:w="963" w:type="pct"/>
                <w:shd w:val="clear" w:color="auto" w:fill="auto"/>
                <w:vAlign w:val="center"/>
              </w:tcPr>
              <w:p>
                <w:pPr>
                  <w:ind w:right="-16"/>
                  <w:jc w:val="center"/>
                  <w:rPr>
                    <w:rFonts w:cs="Arial"/>
                    <w:bCs/>
                  </w:rPr>
                </w:pPr>
                <w:r>
                  <w:rPr>
                    <w:rFonts w:hint="eastAsia" w:cs="Arial"/>
                    <w:bCs/>
                    <w:lang w:val="en-GB"/>
                  </w:rPr>
                  <w:t>期末少数股东权益余额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vAlign w:val="center"/>
          </w:tcPr>
          <w:p>
            <w:pPr>
              <w:rPr>
                <w:sz w:val="20"/>
              </w:rPr>
            </w:pPr>
            <w:r>
              <w:rPr>
                <w:rFonts w:hint="eastAsia" w:ascii="宋体" w:hAnsi="宋体" w:cs="宋体"/>
                <w:color w:val="000000"/>
                <w:sz w:val="20"/>
                <w:szCs w:val="22"/>
                <w:lang w:bidi="ar"/>
              </w:rPr>
              <w:t>澳洲公司</w:t>
            </w:r>
          </w:p>
        </w:tc>
        <w:tc>
          <w:tcPr>
            <w:tcW w:w="1002" w:type="pct"/>
            <w:vAlign w:val="center"/>
          </w:tcPr>
          <w:p>
            <w:pPr>
              <w:jc w:val="right"/>
            </w:pPr>
            <w:r>
              <w:rPr>
                <w:rFonts w:hint="eastAsia" w:ascii="宋体" w:hAnsi="宋体" w:cs="宋体"/>
                <w:color w:val="000000"/>
                <w:lang w:bidi="ar"/>
              </w:rPr>
              <w:t>37.74</w:t>
            </w:r>
          </w:p>
        </w:tc>
        <w:tc>
          <w:tcPr>
            <w:tcW w:w="1070" w:type="pct"/>
            <w:vAlign w:val="center"/>
          </w:tcPr>
          <w:p>
            <w:pPr>
              <w:jc w:val="right"/>
            </w:pPr>
            <w:r>
              <w:rPr>
                <w:rFonts w:ascii="宋体" w:hAnsi="宋体" w:cs="宋体"/>
              </w:rPr>
              <w:t>3,282,324</w:t>
            </w:r>
          </w:p>
        </w:tc>
        <w:tc>
          <w:tcPr>
            <w:tcW w:w="1073" w:type="pct"/>
            <w:vAlign w:val="center"/>
          </w:tcPr>
          <w:p>
            <w:pPr>
              <w:jc w:val="right"/>
            </w:pPr>
            <w:r>
              <w:rPr>
                <w:rFonts w:ascii="宋体" w:hAnsi="宋体" w:cs="宋体"/>
              </w:rPr>
              <w:t>2,461,593</w:t>
            </w:r>
          </w:p>
        </w:tc>
        <w:tc>
          <w:tcPr>
            <w:tcW w:w="963" w:type="pct"/>
            <w:vAlign w:val="center"/>
          </w:tcPr>
          <w:p>
            <w:pPr>
              <w:jc w:val="right"/>
            </w:pPr>
            <w:r>
              <w:rPr>
                <w:rFonts w:ascii="宋体" w:hAnsi="宋体" w:cs="宋体"/>
              </w:rPr>
              <w:t>14,888,874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vAlign w:val="center"/>
          </w:tcPr>
          <w:p>
            <w:pPr>
              <w:rPr>
                <w:sz w:val="20"/>
              </w:rPr>
            </w:pPr>
            <w:r>
              <w:rPr>
                <w:rFonts w:hint="eastAsia" w:ascii="宋体" w:hAnsi="宋体" w:cs="宋体"/>
                <w:color w:val="000000"/>
                <w:sz w:val="20"/>
                <w:szCs w:val="22"/>
                <w:lang w:bidi="ar"/>
              </w:rPr>
              <w:t>未来能源</w:t>
            </w:r>
          </w:p>
        </w:tc>
        <w:tc>
          <w:tcPr>
            <w:tcW w:w="1002" w:type="pct"/>
            <w:vAlign w:val="center"/>
          </w:tcPr>
          <w:p>
            <w:pPr>
              <w:jc w:val="right"/>
            </w:pPr>
            <w:r>
              <w:rPr>
                <w:rFonts w:hint="eastAsia" w:ascii="宋体" w:hAnsi="宋体" w:cs="宋体"/>
                <w:color w:val="000000"/>
                <w:lang w:bidi="ar"/>
              </w:rPr>
              <w:t>26.03</w:t>
            </w:r>
          </w:p>
        </w:tc>
        <w:tc>
          <w:tcPr>
            <w:tcW w:w="1070" w:type="pct"/>
            <w:vAlign w:val="center"/>
          </w:tcPr>
          <w:p>
            <w:pPr>
              <w:jc w:val="right"/>
            </w:pPr>
            <w:r>
              <w:rPr>
                <w:rFonts w:ascii="宋体" w:hAnsi="宋体" w:cs="宋体"/>
              </w:rPr>
              <w:t>1,492,957</w:t>
            </w:r>
          </w:p>
        </w:tc>
        <w:tc>
          <w:tcPr>
            <w:tcW w:w="1073" w:type="pct"/>
            <w:vAlign w:val="center"/>
          </w:tcPr>
          <w:p>
            <w:pPr>
              <w:jc w:val="right"/>
            </w:pPr>
            <w:r>
              <w:rPr>
                <w:rFonts w:ascii="宋体" w:hAnsi="宋体" w:cs="宋体"/>
              </w:rPr>
              <w:t>780,825</w:t>
            </w:r>
          </w:p>
        </w:tc>
        <w:tc>
          <w:tcPr>
            <w:tcW w:w="963" w:type="pct"/>
            <w:vAlign w:val="center"/>
          </w:tcPr>
          <w:p>
            <w:pPr>
              <w:jc w:val="right"/>
            </w:pPr>
            <w:r>
              <w:rPr>
                <w:rFonts w:ascii="宋体" w:hAnsi="宋体" w:cs="宋体"/>
              </w:rPr>
              <w:t>6,495,257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vAlign w:val="center"/>
          </w:tcPr>
          <w:p>
            <w:pPr>
              <w:rPr>
                <w:sz w:val="20"/>
              </w:rPr>
            </w:pPr>
            <w:r>
              <w:rPr>
                <w:rFonts w:hint="eastAsia" w:ascii="宋体" w:hAnsi="宋体" w:cs="宋体"/>
                <w:color w:val="000000"/>
                <w:sz w:val="20"/>
                <w:szCs w:val="22"/>
                <w:lang w:bidi="ar"/>
              </w:rPr>
              <w:t>鲁西矿业</w:t>
            </w:r>
          </w:p>
        </w:tc>
        <w:tc>
          <w:tcPr>
            <w:tcW w:w="1002" w:type="pct"/>
            <w:vAlign w:val="center"/>
          </w:tcPr>
          <w:p>
            <w:pPr>
              <w:jc w:val="right"/>
            </w:pPr>
            <w:r>
              <w:rPr>
                <w:rFonts w:ascii="宋体" w:hAnsi="宋体" w:cs="宋体"/>
                <w:color w:val="000000"/>
                <w:lang w:bidi="ar"/>
              </w:rPr>
              <w:t>49</w:t>
            </w:r>
            <w:r>
              <w:rPr>
                <w:rFonts w:hint="eastAsia" w:ascii="宋体" w:hAnsi="宋体" w:cs="宋体"/>
                <w:color w:val="000000"/>
                <w:lang w:bidi="ar"/>
              </w:rPr>
              <w:t>.00</w:t>
            </w:r>
          </w:p>
        </w:tc>
        <w:tc>
          <w:tcPr>
            <w:tcW w:w="1070" w:type="pct"/>
            <w:vAlign w:val="center"/>
          </w:tcPr>
          <w:p>
            <w:pPr>
              <w:jc w:val="right"/>
            </w:pPr>
            <w:r>
              <w:rPr>
                <w:rFonts w:ascii="宋体" w:hAnsi="宋体" w:cs="宋体"/>
              </w:rPr>
              <w:t>1,603,724</w:t>
            </w:r>
          </w:p>
        </w:tc>
        <w:tc>
          <w:tcPr>
            <w:tcW w:w="1073" w:type="pct"/>
            <w:vAlign w:val="center"/>
          </w:tcPr>
          <w:p>
            <w:pPr>
              <w:jc w:val="right"/>
            </w:pPr>
            <w:r>
              <w:rPr>
                <w:rFonts w:ascii="宋体" w:hAnsi="宋体" w:cs="宋体"/>
              </w:rPr>
              <w:t>1,619,563</w:t>
            </w:r>
          </w:p>
        </w:tc>
        <w:tc>
          <w:tcPr>
            <w:tcW w:w="963" w:type="pct"/>
            <w:vAlign w:val="center"/>
          </w:tcPr>
          <w:p>
            <w:pPr>
              <w:jc w:val="right"/>
            </w:pPr>
            <w:r>
              <w:rPr>
                <w:rFonts w:ascii="宋体" w:hAnsi="宋体" w:cs="宋体"/>
              </w:rPr>
              <w:t>4,900,427</w:t>
            </w:r>
          </w:p>
        </w:tc>
      </w:tr>
    </w:tbl>
    <w:p>
      <w:pPr>
        <w:rPr>
          <w:rFonts w:cs="Arial"/>
        </w:rPr>
      </w:pPr>
      <w:r>
        <w:rPr>
          <w:rFonts w:hint="eastAsia" w:cs="Arial"/>
        </w:rPr>
        <w:t>子公司少数股东的持股比例不同于表决权比例的说明：</w:t>
      </w:r>
    </w:p>
    <w:sdt>
      <w:sdtPr>
        <w:rPr>
          <w:rFonts w:cs="Arial"/>
        </w:rPr>
        <w:alias w:val="是否适用：子公司少数股东的持股比例不同于表决权比例的说明[双击切换]"/>
        <w:tag w:val="_GBC_eb13eae90d024e1384cf2a06768aea73"/>
        <w:id w:val="987666441"/>
        <w:placeholder>
          <w:docPart w:val="GBC22222222222222222222222222222"/>
        </w:placeholder>
      </w:sdtPr>
      <w:sdtEndPr>
        <w:rPr>
          <w:rFonts w:cs="Arial"/>
        </w:rPr>
      </w:sdtEndPr>
      <w:sdtContent>
        <w:p>
          <w:pPr>
            <w:rPr>
              <w:rFonts w:cs="Arial"/>
            </w:rPr>
          </w:pPr>
          <w:r>
            <w:rPr>
              <w:rFonts w:ascii="宋体" w:hAnsi="宋体" w:cs="Arial"/>
            </w:rPr>
            <w:fldChar w:fldCharType="begin"/>
          </w:r>
          <w:r>
            <w:rPr>
              <w:rFonts w:ascii="宋体" w:hAnsi="宋体" w:cs="Arial"/>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rPr>
      </w:pPr>
    </w:p>
    <w:p>
      <w:pPr>
        <w:rPr>
          <w:rFonts w:cs="Arial"/>
        </w:rPr>
      </w:pPr>
      <w:r>
        <w:rPr>
          <w:rFonts w:hint="eastAsia" w:cs="Arial"/>
        </w:rPr>
        <w:t>其他说明：</w:t>
      </w:r>
    </w:p>
    <w:sdt>
      <w:sdtPr>
        <w:rPr>
          <w:rFonts w:cs="Arial"/>
        </w:rPr>
        <w:alias w:val="是否适用：重要的非全资子公司其他说明[双击切换]"/>
        <w:tag w:val="_GBC_eb65403cb5164cc9a0cf4afea08b150d"/>
        <w:id w:val="-156851619"/>
        <w:placeholder>
          <w:docPart w:val="GBC22222222222222222222222222222"/>
        </w:placeholder>
      </w:sdtPr>
      <w:sdtEndPr>
        <w:rPr>
          <w:rFonts w:cs="Arial"/>
        </w:rPr>
      </w:sdtEndPr>
      <w:sdtContent>
        <w:p>
          <w:pPr>
            <w:rPr>
              <w:rFonts w:cs="Arial"/>
            </w:rPr>
          </w:pPr>
          <w:r>
            <w:rPr>
              <w:rFonts w:ascii="宋体" w:hAnsi="宋体" w:cs="Arial"/>
            </w:rPr>
            <w:fldChar w:fldCharType="begin"/>
          </w:r>
          <w:r>
            <w:rPr>
              <w:rFonts w:ascii="宋体" w:hAnsi="宋体" w:cs="Arial"/>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rPr>
        <w:sectPr>
          <w:pgSz w:w="11906" w:h="16838"/>
          <w:pgMar w:top="1525" w:right="1276" w:bottom="1440" w:left="1797" w:header="856" w:footer="992" w:gutter="0"/>
          <w:cols w:space="425" w:num="1"/>
          <w:docGrid w:linePitch="312" w:charSpace="0"/>
        </w:sectPr>
      </w:pPr>
    </w:p>
    <w:p>
      <w:pPr>
        <w:pStyle w:val="505"/>
        <w:numPr>
          <w:ilvl w:val="3"/>
          <w:numId w:val="117"/>
        </w:numPr>
        <w:ind w:left="426" w:hanging="426" w:hangingChars="202"/>
      </w:pPr>
      <w:r>
        <w:rPr>
          <w:rFonts w:hint="eastAsia"/>
        </w:rPr>
        <w:t>重要非全资子公司的主要财务信息</w:t>
      </w:r>
    </w:p>
    <w:sdt>
      <w:sdtPr>
        <w:alias w:val="是否适用：重要非全资子公司的主要财务信息[双击切换]"/>
        <w:tag w:val="_GBC_04ab753eff3c46fda94161ee757bd1fa"/>
        <w:id w:val="761808188"/>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非全资子公司的主要财务信息"/>
          <w:tag w:val="_GBC_ba918360b15748859fb63cacad1f617d"/>
          <w:id w:val="16365226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重要非全资子公司的主要财务信息"/>
          <w:tag w:val="_GBC_af5cc4f1e7a74e3d8f9c9fea25fdf05f"/>
          <w:id w:val="-16780270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119"/>
        <w:gridCol w:w="1121"/>
        <w:gridCol w:w="1119"/>
        <w:gridCol w:w="1121"/>
        <w:gridCol w:w="1119"/>
        <w:gridCol w:w="1124"/>
        <w:gridCol w:w="1119"/>
        <w:gridCol w:w="1121"/>
        <w:gridCol w:w="1119"/>
        <w:gridCol w:w="1121"/>
        <w:gridCol w:w="1119"/>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d5dae06c1d0c4fdea02e2f6e645a1e09"/>
            <w:id w:val="-2070258280"/>
          </w:sdtPr>
          <w:sdtContent>
            <w:tc>
              <w:tcPr>
                <w:tcW w:w="228" w:type="pct"/>
                <w:vMerge w:val="restart"/>
                <w:shd w:val="clear" w:color="auto" w:fill="auto"/>
                <w:vAlign w:val="center"/>
              </w:tcPr>
              <w:p>
                <w:pPr>
                  <w:ind w:right="-16"/>
                  <w:jc w:val="center"/>
                  <w:rPr>
                    <w:rFonts w:cs="Arial"/>
                    <w:bCs/>
                  </w:rPr>
                </w:pPr>
                <w:r>
                  <w:rPr>
                    <w:rFonts w:hint="eastAsia" w:cs="Arial"/>
                    <w:bCs/>
                    <w:lang w:val="en-GB"/>
                  </w:rPr>
                  <w:t>子公司名称</w:t>
                </w:r>
              </w:p>
            </w:tc>
          </w:sdtContent>
        </w:sdt>
        <w:sdt>
          <w:sdtPr>
            <w:tag w:val="_PLD_6cc7af9079654f428ee1cf0edd2c70b1"/>
            <w:id w:val="-229537076"/>
          </w:sdtPr>
          <w:sdtContent>
            <w:tc>
              <w:tcPr>
                <w:tcW w:w="2386" w:type="pct"/>
                <w:gridSpan w:val="6"/>
                <w:shd w:val="clear" w:color="auto" w:fill="auto"/>
                <w:vAlign w:val="center"/>
              </w:tcPr>
              <w:p>
                <w:pPr>
                  <w:ind w:right="-16"/>
                  <w:jc w:val="center"/>
                </w:pPr>
                <w:r>
                  <w:rPr>
                    <w:rFonts w:hint="eastAsia" w:cs="Arial"/>
                    <w:bCs/>
                    <w:lang w:val="en-GB"/>
                  </w:rPr>
                  <w:t>期末余额</w:t>
                </w:r>
              </w:p>
            </w:tc>
          </w:sdtContent>
        </w:sdt>
        <w:sdt>
          <w:sdtPr>
            <w:tag w:val="_PLD_64749f66f68948bd92fb0a885f835f78"/>
            <w:id w:val="364188432"/>
          </w:sdtPr>
          <w:sdtContent>
            <w:tc>
              <w:tcPr>
                <w:tcW w:w="2386" w:type="pct"/>
                <w:gridSpan w:val="6"/>
                <w:shd w:val="clear" w:color="auto" w:fill="auto"/>
                <w:vAlign w:val="center"/>
              </w:tcPr>
              <w:p>
                <w:pPr>
                  <w:ind w:right="-16"/>
                  <w:jc w:val="center"/>
                  <w:rPr>
                    <w:rFonts w:cs="Arial"/>
                    <w:bCs/>
                  </w:rPr>
                </w:pPr>
                <w:r>
                  <w:rPr>
                    <w:rFonts w:hint="eastAsia" w:cs="Arial"/>
                    <w:bCs/>
                    <w:lang w:val="en-GB"/>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28" w:type="pct"/>
            <w:vMerge w:val="continue"/>
            <w:shd w:val="clear" w:color="auto" w:fill="auto"/>
            <w:vAlign w:val="center"/>
          </w:tcPr>
          <w:p>
            <w:pPr>
              <w:rPr>
                <w:rFonts w:cs="Arial"/>
                <w:bCs/>
              </w:rPr>
            </w:pPr>
          </w:p>
        </w:tc>
        <w:sdt>
          <w:sdtPr>
            <w:tag w:val="_PLD_bfcbeed8b46d4b8da13c03613130a3c9"/>
            <w:id w:val="-1455859403"/>
          </w:sdtPr>
          <w:sdtContent>
            <w:tc>
              <w:tcPr>
                <w:tcW w:w="397" w:type="pct"/>
                <w:shd w:val="clear" w:color="auto" w:fill="auto"/>
                <w:vAlign w:val="center"/>
              </w:tcPr>
              <w:p>
                <w:pPr>
                  <w:jc w:val="center"/>
                  <w:rPr>
                    <w:rFonts w:cs="Arial"/>
                  </w:rPr>
                </w:pPr>
                <w:r>
                  <w:rPr>
                    <w:rFonts w:hint="eastAsia" w:cs="Arial"/>
                    <w:lang w:val="en-GB"/>
                  </w:rPr>
                  <w:t>流动资产</w:t>
                </w:r>
              </w:p>
            </w:tc>
          </w:sdtContent>
        </w:sdt>
        <w:sdt>
          <w:sdtPr>
            <w:tag w:val="_PLD_22bcaa48c51f400d9b2d6a387002778f"/>
            <w:id w:val="-1837214459"/>
          </w:sdtPr>
          <w:sdtContent>
            <w:tc>
              <w:tcPr>
                <w:tcW w:w="398" w:type="pct"/>
                <w:shd w:val="clear" w:color="auto" w:fill="auto"/>
                <w:vAlign w:val="center"/>
              </w:tcPr>
              <w:p>
                <w:pPr>
                  <w:ind w:left="-40" w:right="-97"/>
                  <w:jc w:val="center"/>
                  <w:rPr>
                    <w:rFonts w:cs="Arial"/>
                  </w:rPr>
                </w:pPr>
                <w:r>
                  <w:rPr>
                    <w:rFonts w:hint="eastAsia" w:cs="Arial"/>
                    <w:lang w:val="en-GB"/>
                  </w:rPr>
                  <w:t>非流动资产</w:t>
                </w:r>
              </w:p>
            </w:tc>
          </w:sdtContent>
        </w:sdt>
        <w:sdt>
          <w:sdtPr>
            <w:tag w:val="_PLD_a7790df686914e0f8cc8668009824e9e"/>
            <w:id w:val="-232856612"/>
          </w:sdtPr>
          <w:sdtContent>
            <w:tc>
              <w:tcPr>
                <w:tcW w:w="397" w:type="pct"/>
                <w:shd w:val="clear" w:color="auto" w:fill="auto"/>
                <w:vAlign w:val="center"/>
              </w:tcPr>
              <w:p>
                <w:pPr>
                  <w:jc w:val="center"/>
                  <w:rPr>
                    <w:rFonts w:cs="Arial"/>
                  </w:rPr>
                </w:pPr>
                <w:r>
                  <w:rPr>
                    <w:rFonts w:hint="eastAsia" w:cs="Arial"/>
                    <w:lang w:val="en-GB"/>
                  </w:rPr>
                  <w:t>资产合计</w:t>
                </w:r>
              </w:p>
            </w:tc>
          </w:sdtContent>
        </w:sdt>
        <w:sdt>
          <w:sdtPr>
            <w:tag w:val="_PLD_a6a87cbf1eb046db9bbca57bcceaf08a"/>
            <w:id w:val="-546754839"/>
          </w:sdtPr>
          <w:sdtContent>
            <w:tc>
              <w:tcPr>
                <w:tcW w:w="398" w:type="pct"/>
                <w:shd w:val="clear" w:color="auto" w:fill="auto"/>
                <w:vAlign w:val="center"/>
              </w:tcPr>
              <w:p>
                <w:pPr>
                  <w:jc w:val="center"/>
                  <w:rPr>
                    <w:rFonts w:cs="Arial"/>
                  </w:rPr>
                </w:pPr>
                <w:r>
                  <w:rPr>
                    <w:rFonts w:hint="eastAsia" w:cs="Arial"/>
                    <w:lang w:val="en-GB"/>
                  </w:rPr>
                  <w:t>流动负债</w:t>
                </w:r>
              </w:p>
            </w:tc>
          </w:sdtContent>
        </w:sdt>
        <w:sdt>
          <w:sdtPr>
            <w:tag w:val="_PLD_bed2f2ec1880450a93ab1b045e836c87"/>
            <w:id w:val="67303586"/>
          </w:sdtPr>
          <w:sdtContent>
            <w:tc>
              <w:tcPr>
                <w:tcW w:w="397" w:type="pct"/>
                <w:shd w:val="clear" w:color="auto" w:fill="auto"/>
                <w:vAlign w:val="center"/>
              </w:tcPr>
              <w:p>
                <w:pPr>
                  <w:ind w:left="-40" w:right="-97"/>
                  <w:jc w:val="center"/>
                  <w:rPr>
                    <w:rFonts w:cs="Arial"/>
                  </w:rPr>
                </w:pPr>
                <w:r>
                  <w:rPr>
                    <w:rFonts w:hint="eastAsia" w:cs="Arial"/>
                    <w:lang w:val="en-GB"/>
                  </w:rPr>
                  <w:t>非流动负债</w:t>
                </w:r>
              </w:p>
            </w:tc>
          </w:sdtContent>
        </w:sdt>
        <w:sdt>
          <w:sdtPr>
            <w:tag w:val="_PLD_3609f15b31554b67a5a1ff617bd5582d"/>
            <w:id w:val="-1128774165"/>
          </w:sdtPr>
          <w:sdtContent>
            <w:tc>
              <w:tcPr>
                <w:tcW w:w="399" w:type="pct"/>
                <w:shd w:val="clear" w:color="auto" w:fill="auto"/>
                <w:vAlign w:val="center"/>
              </w:tcPr>
              <w:p>
                <w:pPr>
                  <w:jc w:val="center"/>
                  <w:rPr>
                    <w:rFonts w:cs="Arial"/>
                  </w:rPr>
                </w:pPr>
                <w:r>
                  <w:rPr>
                    <w:rFonts w:hint="eastAsia" w:cs="Arial"/>
                    <w:lang w:val="en-GB"/>
                  </w:rPr>
                  <w:t>负债合计</w:t>
                </w:r>
              </w:p>
            </w:tc>
          </w:sdtContent>
        </w:sdt>
        <w:sdt>
          <w:sdtPr>
            <w:tag w:val="_PLD_35c03e5c5e124d339d35180c4515f97a"/>
            <w:id w:val="-1484688786"/>
          </w:sdtPr>
          <w:sdtContent>
            <w:tc>
              <w:tcPr>
                <w:tcW w:w="397" w:type="pct"/>
                <w:shd w:val="clear" w:color="auto" w:fill="auto"/>
                <w:vAlign w:val="center"/>
              </w:tcPr>
              <w:p>
                <w:pPr>
                  <w:jc w:val="center"/>
                  <w:rPr>
                    <w:rFonts w:cs="Arial"/>
                  </w:rPr>
                </w:pPr>
                <w:r>
                  <w:rPr>
                    <w:rFonts w:hint="eastAsia" w:cs="Arial"/>
                    <w:lang w:val="en-GB"/>
                  </w:rPr>
                  <w:t>流动资产</w:t>
                </w:r>
              </w:p>
            </w:tc>
          </w:sdtContent>
        </w:sdt>
        <w:sdt>
          <w:sdtPr>
            <w:tag w:val="_PLD_c9852fe654ce474bb582d7b8dab46c0a"/>
            <w:id w:val="1050347830"/>
          </w:sdtPr>
          <w:sdtContent>
            <w:tc>
              <w:tcPr>
                <w:tcW w:w="398" w:type="pct"/>
                <w:shd w:val="clear" w:color="auto" w:fill="auto"/>
                <w:vAlign w:val="center"/>
              </w:tcPr>
              <w:p>
                <w:pPr>
                  <w:ind w:left="-40" w:right="-97"/>
                  <w:jc w:val="center"/>
                  <w:rPr>
                    <w:rFonts w:cs="Arial"/>
                  </w:rPr>
                </w:pPr>
                <w:r>
                  <w:rPr>
                    <w:rFonts w:hint="eastAsia" w:cs="Arial"/>
                    <w:lang w:val="en-GB"/>
                  </w:rPr>
                  <w:t>非流动资产</w:t>
                </w:r>
              </w:p>
            </w:tc>
          </w:sdtContent>
        </w:sdt>
        <w:sdt>
          <w:sdtPr>
            <w:tag w:val="_PLD_e7455f798f7740fdafaf89940e8195c3"/>
            <w:id w:val="-1734772662"/>
          </w:sdtPr>
          <w:sdtContent>
            <w:tc>
              <w:tcPr>
                <w:tcW w:w="397" w:type="pct"/>
                <w:shd w:val="clear" w:color="auto" w:fill="auto"/>
                <w:vAlign w:val="center"/>
              </w:tcPr>
              <w:p>
                <w:pPr>
                  <w:jc w:val="center"/>
                  <w:rPr>
                    <w:rFonts w:cs="Arial"/>
                  </w:rPr>
                </w:pPr>
                <w:r>
                  <w:rPr>
                    <w:rFonts w:hint="eastAsia" w:cs="Arial"/>
                    <w:lang w:val="en-GB"/>
                  </w:rPr>
                  <w:t>资产合计</w:t>
                </w:r>
              </w:p>
            </w:tc>
          </w:sdtContent>
        </w:sdt>
        <w:sdt>
          <w:sdtPr>
            <w:tag w:val="_PLD_b590bdfc5abd4f30a4b1c3cf13a2772b"/>
            <w:id w:val="-89165058"/>
          </w:sdtPr>
          <w:sdtContent>
            <w:tc>
              <w:tcPr>
                <w:tcW w:w="398" w:type="pct"/>
                <w:shd w:val="clear" w:color="auto" w:fill="auto"/>
                <w:vAlign w:val="center"/>
              </w:tcPr>
              <w:p>
                <w:pPr>
                  <w:jc w:val="center"/>
                  <w:rPr>
                    <w:rFonts w:cs="Arial"/>
                  </w:rPr>
                </w:pPr>
                <w:r>
                  <w:rPr>
                    <w:rFonts w:hint="eastAsia" w:cs="Arial"/>
                    <w:lang w:val="en-GB"/>
                  </w:rPr>
                  <w:t>流动负债</w:t>
                </w:r>
              </w:p>
            </w:tc>
          </w:sdtContent>
        </w:sdt>
        <w:sdt>
          <w:sdtPr>
            <w:tag w:val="_PLD_acc4c516f1954954b9ffdd4ee0900cfe"/>
            <w:id w:val="2084632513"/>
          </w:sdtPr>
          <w:sdtContent>
            <w:tc>
              <w:tcPr>
                <w:tcW w:w="397" w:type="pct"/>
                <w:shd w:val="clear" w:color="auto" w:fill="auto"/>
                <w:vAlign w:val="center"/>
              </w:tcPr>
              <w:p>
                <w:pPr>
                  <w:ind w:left="-40" w:right="-97"/>
                  <w:jc w:val="center"/>
                  <w:rPr>
                    <w:rFonts w:cs="Arial"/>
                  </w:rPr>
                </w:pPr>
                <w:r>
                  <w:rPr>
                    <w:rFonts w:hint="eastAsia" w:cs="Arial"/>
                    <w:lang w:val="en-GB"/>
                  </w:rPr>
                  <w:t>非流动负债</w:t>
                </w:r>
              </w:p>
            </w:tc>
          </w:sdtContent>
        </w:sdt>
        <w:sdt>
          <w:sdtPr>
            <w:tag w:val="_PLD_397eebedf0c14a0e8060aa378e6e579d"/>
            <w:id w:val="407495741"/>
          </w:sdtPr>
          <w:sdtContent>
            <w:tc>
              <w:tcPr>
                <w:tcW w:w="399" w:type="pct"/>
                <w:shd w:val="clear" w:color="auto" w:fill="auto"/>
                <w:vAlign w:val="center"/>
              </w:tcPr>
              <w:p>
                <w:pPr>
                  <w:jc w:val="center"/>
                  <w:rPr>
                    <w:rFonts w:cs="Arial"/>
                  </w:rPr>
                </w:pPr>
                <w:r>
                  <w:rPr>
                    <w:rFonts w:hint="eastAsia" w:cs="Arial"/>
                    <w:lang w:val="en-GB"/>
                  </w:rPr>
                  <w:t>负债合计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501"/>
            </w:pPr>
            <w:r>
              <w:rPr>
                <w:rFonts w:hint="eastAsia" w:ascii="宋体" w:hAnsi="宋体" w:cs="宋体"/>
                <w:color w:val="000000"/>
                <w:spacing w:val="-20"/>
                <w:sz w:val="22"/>
                <w:szCs w:val="22"/>
                <w:lang w:bidi="ar"/>
              </w:rPr>
              <w:t>澳洲公司</w:t>
            </w:r>
          </w:p>
        </w:tc>
        <w:tc>
          <w:tcPr>
            <w:tcW w:w="397" w:type="pct"/>
            <w:vAlign w:val="center"/>
          </w:tcPr>
          <w:p>
            <w:pPr>
              <w:jc w:val="right"/>
              <w:rPr>
                <w:spacing w:val="-26"/>
              </w:rPr>
            </w:pPr>
            <w:r>
              <w:rPr>
                <w:rFonts w:hint="eastAsia" w:ascii="宋体" w:hAnsi="宋体" w:cs="宋体"/>
                <w:color w:val="000000"/>
                <w:spacing w:val="-26"/>
                <w:lang w:bidi="ar"/>
              </w:rPr>
              <w:t>11,992,635</w:t>
            </w:r>
          </w:p>
        </w:tc>
        <w:tc>
          <w:tcPr>
            <w:tcW w:w="398" w:type="pct"/>
            <w:vAlign w:val="center"/>
          </w:tcPr>
          <w:p>
            <w:pPr>
              <w:jc w:val="right"/>
              <w:rPr>
                <w:spacing w:val="-26"/>
              </w:rPr>
            </w:pPr>
            <w:r>
              <w:rPr>
                <w:rFonts w:hint="eastAsia" w:ascii="宋体" w:hAnsi="宋体" w:cs="宋体"/>
                <w:color w:val="000000"/>
                <w:spacing w:val="-26"/>
                <w:lang w:bidi="ar"/>
              </w:rPr>
              <w:t>42,286,495</w:t>
            </w:r>
          </w:p>
        </w:tc>
        <w:tc>
          <w:tcPr>
            <w:tcW w:w="397" w:type="pct"/>
            <w:vAlign w:val="center"/>
          </w:tcPr>
          <w:p>
            <w:pPr>
              <w:jc w:val="right"/>
              <w:rPr>
                <w:spacing w:val="-26"/>
              </w:rPr>
            </w:pPr>
            <w:r>
              <w:rPr>
                <w:rFonts w:hint="eastAsia" w:ascii="宋体" w:hAnsi="宋体" w:cs="宋体"/>
                <w:color w:val="000000"/>
                <w:spacing w:val="-26"/>
                <w:lang w:bidi="ar"/>
              </w:rPr>
              <w:t>54,279,130</w:t>
            </w:r>
          </w:p>
        </w:tc>
        <w:tc>
          <w:tcPr>
            <w:tcW w:w="398" w:type="pct"/>
            <w:vAlign w:val="center"/>
          </w:tcPr>
          <w:p>
            <w:pPr>
              <w:jc w:val="right"/>
              <w:rPr>
                <w:spacing w:val="-26"/>
              </w:rPr>
            </w:pPr>
            <w:r>
              <w:rPr>
                <w:rFonts w:hint="eastAsia" w:ascii="宋体" w:hAnsi="宋体" w:cs="宋体"/>
                <w:color w:val="000000"/>
                <w:spacing w:val="-26"/>
                <w:lang w:bidi="ar"/>
              </w:rPr>
              <w:t>5,334,239</w:t>
            </w:r>
          </w:p>
        </w:tc>
        <w:tc>
          <w:tcPr>
            <w:tcW w:w="397" w:type="pct"/>
            <w:vAlign w:val="center"/>
          </w:tcPr>
          <w:p>
            <w:pPr>
              <w:jc w:val="right"/>
              <w:rPr>
                <w:spacing w:val="-26"/>
              </w:rPr>
            </w:pPr>
            <w:r>
              <w:rPr>
                <w:rFonts w:ascii="宋体" w:hAnsi="宋体" w:cs="宋体"/>
                <w:color w:val="000000"/>
                <w:spacing w:val="-26"/>
                <w:lang w:bidi="ar"/>
              </w:rPr>
              <w:t>8,003,875</w:t>
            </w:r>
          </w:p>
        </w:tc>
        <w:tc>
          <w:tcPr>
            <w:tcW w:w="399" w:type="pct"/>
            <w:vAlign w:val="center"/>
          </w:tcPr>
          <w:p>
            <w:pPr>
              <w:jc w:val="right"/>
              <w:rPr>
                <w:spacing w:val="-26"/>
              </w:rPr>
            </w:pPr>
            <w:r>
              <w:rPr>
                <w:rFonts w:hint="eastAsia" w:ascii="宋体" w:hAnsi="宋体" w:cs="宋体"/>
                <w:color w:val="000000"/>
                <w:spacing w:val="-26"/>
                <w:lang w:bidi="ar"/>
              </w:rPr>
              <w:t>13,338,11</w:t>
            </w:r>
            <w:r>
              <w:rPr>
                <w:rFonts w:ascii="宋体" w:hAnsi="宋体" w:cs="宋体"/>
                <w:color w:val="000000"/>
                <w:spacing w:val="-26"/>
                <w:lang w:bidi="ar"/>
              </w:rPr>
              <w:t>4</w:t>
            </w:r>
          </w:p>
        </w:tc>
        <w:tc>
          <w:tcPr>
            <w:tcW w:w="397" w:type="pct"/>
            <w:shd w:val="clear" w:color="auto" w:fill="auto"/>
            <w:vAlign w:val="center"/>
          </w:tcPr>
          <w:p>
            <w:pPr>
              <w:jc w:val="right"/>
              <w:rPr>
                <w:spacing w:val="-26"/>
              </w:rPr>
            </w:pPr>
            <w:r>
              <w:rPr>
                <w:rFonts w:hint="eastAsia" w:ascii="宋体" w:hAnsi="宋体" w:cs="宋体"/>
                <w:color w:val="000000"/>
                <w:spacing w:val="-26"/>
                <w:lang w:bidi="ar"/>
              </w:rPr>
              <w:t>17,637,836</w:t>
            </w:r>
          </w:p>
        </w:tc>
        <w:tc>
          <w:tcPr>
            <w:tcW w:w="398" w:type="pct"/>
            <w:shd w:val="clear" w:color="auto" w:fill="auto"/>
            <w:vAlign w:val="center"/>
          </w:tcPr>
          <w:p>
            <w:pPr>
              <w:jc w:val="right"/>
              <w:rPr>
                <w:spacing w:val="-26"/>
              </w:rPr>
            </w:pPr>
            <w:r>
              <w:rPr>
                <w:rFonts w:hint="eastAsia" w:ascii="宋体" w:hAnsi="宋体" w:cs="宋体"/>
                <w:color w:val="000000"/>
                <w:spacing w:val="-26"/>
                <w:lang w:bidi="ar"/>
              </w:rPr>
              <w:t>42,378,058</w:t>
            </w:r>
          </w:p>
        </w:tc>
        <w:tc>
          <w:tcPr>
            <w:tcW w:w="397" w:type="pct"/>
            <w:shd w:val="clear" w:color="auto" w:fill="auto"/>
            <w:vAlign w:val="center"/>
          </w:tcPr>
          <w:p>
            <w:pPr>
              <w:jc w:val="right"/>
              <w:rPr>
                <w:spacing w:val="-26"/>
              </w:rPr>
            </w:pPr>
            <w:r>
              <w:rPr>
                <w:rFonts w:hint="eastAsia" w:ascii="宋体" w:hAnsi="宋体" w:cs="宋体"/>
                <w:color w:val="000000"/>
                <w:spacing w:val="-26"/>
                <w:lang w:bidi="ar"/>
              </w:rPr>
              <w:t>60,015,894</w:t>
            </w:r>
          </w:p>
        </w:tc>
        <w:tc>
          <w:tcPr>
            <w:tcW w:w="398" w:type="pct"/>
            <w:shd w:val="clear" w:color="auto" w:fill="auto"/>
            <w:vAlign w:val="center"/>
          </w:tcPr>
          <w:p>
            <w:pPr>
              <w:jc w:val="right"/>
              <w:rPr>
                <w:spacing w:val="-26"/>
              </w:rPr>
            </w:pPr>
            <w:r>
              <w:rPr>
                <w:rFonts w:hint="eastAsia" w:ascii="宋体" w:hAnsi="宋体" w:cs="宋体"/>
                <w:color w:val="000000"/>
                <w:spacing w:val="-26"/>
                <w:lang w:bidi="ar"/>
              </w:rPr>
              <w:t>11,947,107</w:t>
            </w:r>
          </w:p>
        </w:tc>
        <w:tc>
          <w:tcPr>
            <w:tcW w:w="397" w:type="pct"/>
            <w:shd w:val="clear" w:color="auto" w:fill="auto"/>
            <w:vAlign w:val="center"/>
          </w:tcPr>
          <w:p>
            <w:pPr>
              <w:jc w:val="right"/>
              <w:rPr>
                <w:spacing w:val="-26"/>
              </w:rPr>
            </w:pPr>
            <w:r>
              <w:rPr>
                <w:rFonts w:hint="eastAsia" w:ascii="宋体" w:hAnsi="宋体" w:cs="宋体"/>
                <w:color w:val="000000"/>
                <w:spacing w:val="-26"/>
                <w:lang w:bidi="ar"/>
              </w:rPr>
              <w:t>10,210,293</w:t>
            </w:r>
          </w:p>
        </w:tc>
        <w:tc>
          <w:tcPr>
            <w:tcW w:w="399" w:type="pct"/>
            <w:shd w:val="clear" w:color="auto" w:fill="auto"/>
            <w:vAlign w:val="center"/>
          </w:tcPr>
          <w:p>
            <w:pPr>
              <w:jc w:val="right"/>
              <w:rPr>
                <w:spacing w:val="-26"/>
              </w:rPr>
            </w:pPr>
            <w:r>
              <w:rPr>
                <w:rFonts w:hint="eastAsia" w:ascii="宋体" w:hAnsi="宋体" w:cs="宋体"/>
                <w:color w:val="000000"/>
                <w:spacing w:val="-26"/>
                <w:lang w:bidi="ar"/>
              </w:rPr>
              <w:t>22,157,400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501"/>
            </w:pPr>
            <w:r>
              <w:rPr>
                <w:rFonts w:hint="eastAsia" w:ascii="宋体" w:hAnsi="宋体" w:cs="宋体"/>
                <w:color w:val="000000"/>
                <w:spacing w:val="-20"/>
                <w:sz w:val="22"/>
                <w:szCs w:val="22"/>
                <w:lang w:bidi="ar"/>
              </w:rPr>
              <w:t>未来能源</w:t>
            </w:r>
          </w:p>
        </w:tc>
        <w:tc>
          <w:tcPr>
            <w:tcW w:w="397" w:type="pct"/>
            <w:vAlign w:val="center"/>
          </w:tcPr>
          <w:p>
            <w:pPr>
              <w:jc w:val="right"/>
              <w:rPr>
                <w:spacing w:val="-26"/>
              </w:rPr>
            </w:pPr>
            <w:r>
              <w:rPr>
                <w:rFonts w:hint="eastAsia" w:ascii="宋体" w:hAnsi="宋体" w:cs="宋体"/>
                <w:color w:val="000000"/>
                <w:spacing w:val="-26"/>
                <w:lang w:bidi="ar"/>
              </w:rPr>
              <w:t>15,621,380</w:t>
            </w:r>
          </w:p>
        </w:tc>
        <w:tc>
          <w:tcPr>
            <w:tcW w:w="398" w:type="pct"/>
            <w:vAlign w:val="center"/>
          </w:tcPr>
          <w:p>
            <w:pPr>
              <w:jc w:val="right"/>
              <w:rPr>
                <w:spacing w:val="-26"/>
              </w:rPr>
            </w:pPr>
            <w:r>
              <w:rPr>
                <w:rFonts w:hint="eastAsia" w:ascii="宋体" w:hAnsi="宋体" w:cs="宋体"/>
                <w:color w:val="000000"/>
                <w:spacing w:val="-26"/>
                <w:lang w:bidi="ar"/>
              </w:rPr>
              <w:t>15,772,565</w:t>
            </w:r>
          </w:p>
        </w:tc>
        <w:tc>
          <w:tcPr>
            <w:tcW w:w="397" w:type="pct"/>
            <w:vAlign w:val="center"/>
          </w:tcPr>
          <w:p>
            <w:pPr>
              <w:jc w:val="right"/>
              <w:rPr>
                <w:spacing w:val="-26"/>
              </w:rPr>
            </w:pPr>
            <w:r>
              <w:rPr>
                <w:rFonts w:hint="eastAsia" w:ascii="宋体" w:hAnsi="宋体" w:cs="宋体"/>
                <w:color w:val="000000"/>
                <w:spacing w:val="-26"/>
                <w:lang w:bidi="ar"/>
              </w:rPr>
              <w:t>31,393,945</w:t>
            </w:r>
          </w:p>
        </w:tc>
        <w:tc>
          <w:tcPr>
            <w:tcW w:w="398" w:type="pct"/>
            <w:vAlign w:val="center"/>
          </w:tcPr>
          <w:p>
            <w:pPr>
              <w:jc w:val="right"/>
              <w:rPr>
                <w:spacing w:val="-26"/>
              </w:rPr>
            </w:pPr>
            <w:r>
              <w:rPr>
                <w:rFonts w:hint="eastAsia" w:ascii="宋体" w:hAnsi="宋体" w:cs="宋体"/>
                <w:color w:val="000000"/>
                <w:spacing w:val="-26"/>
                <w:lang w:bidi="ar"/>
              </w:rPr>
              <w:t>3,083,314</w:t>
            </w:r>
          </w:p>
        </w:tc>
        <w:tc>
          <w:tcPr>
            <w:tcW w:w="397" w:type="pct"/>
            <w:vAlign w:val="center"/>
          </w:tcPr>
          <w:p>
            <w:pPr>
              <w:jc w:val="right"/>
              <w:rPr>
                <w:spacing w:val="-26"/>
              </w:rPr>
            </w:pPr>
            <w:r>
              <w:rPr>
                <w:rFonts w:hint="eastAsia" w:ascii="宋体" w:hAnsi="宋体" w:cs="宋体"/>
                <w:color w:val="000000"/>
                <w:spacing w:val="-26"/>
                <w:lang w:bidi="ar"/>
              </w:rPr>
              <w:t>3,469,646</w:t>
            </w:r>
          </w:p>
        </w:tc>
        <w:tc>
          <w:tcPr>
            <w:tcW w:w="399" w:type="pct"/>
            <w:vAlign w:val="center"/>
          </w:tcPr>
          <w:p>
            <w:pPr>
              <w:jc w:val="right"/>
              <w:rPr>
                <w:spacing w:val="-26"/>
              </w:rPr>
            </w:pPr>
            <w:r>
              <w:rPr>
                <w:rFonts w:hint="eastAsia" w:ascii="宋体" w:hAnsi="宋体" w:cs="宋体"/>
                <w:color w:val="000000"/>
                <w:spacing w:val="-26"/>
                <w:lang w:bidi="ar"/>
              </w:rPr>
              <w:t>6,552,960</w:t>
            </w:r>
          </w:p>
        </w:tc>
        <w:tc>
          <w:tcPr>
            <w:tcW w:w="397" w:type="pct"/>
            <w:shd w:val="clear" w:color="auto" w:fill="auto"/>
            <w:vAlign w:val="center"/>
          </w:tcPr>
          <w:p>
            <w:pPr>
              <w:jc w:val="right"/>
              <w:rPr>
                <w:spacing w:val="-26"/>
              </w:rPr>
            </w:pPr>
            <w:r>
              <w:rPr>
                <w:rFonts w:hint="eastAsia" w:ascii="宋体" w:hAnsi="宋体" w:cs="宋体"/>
                <w:color w:val="000000"/>
                <w:spacing w:val="-26"/>
                <w:lang w:bidi="ar"/>
              </w:rPr>
              <w:t>14,270,307</w:t>
            </w:r>
          </w:p>
        </w:tc>
        <w:tc>
          <w:tcPr>
            <w:tcW w:w="398" w:type="pct"/>
            <w:shd w:val="clear" w:color="auto" w:fill="auto"/>
            <w:vAlign w:val="center"/>
          </w:tcPr>
          <w:p>
            <w:pPr>
              <w:jc w:val="right"/>
              <w:rPr>
                <w:spacing w:val="-26"/>
              </w:rPr>
            </w:pPr>
            <w:r>
              <w:rPr>
                <w:rFonts w:hint="eastAsia" w:ascii="宋体" w:hAnsi="宋体" w:cs="宋体"/>
                <w:color w:val="000000"/>
                <w:spacing w:val="-26"/>
                <w:lang w:bidi="ar"/>
              </w:rPr>
              <w:t>16,703,677</w:t>
            </w:r>
          </w:p>
        </w:tc>
        <w:tc>
          <w:tcPr>
            <w:tcW w:w="397" w:type="pct"/>
            <w:shd w:val="clear" w:color="auto" w:fill="auto"/>
            <w:vAlign w:val="center"/>
          </w:tcPr>
          <w:p>
            <w:pPr>
              <w:jc w:val="right"/>
              <w:rPr>
                <w:spacing w:val="-26"/>
              </w:rPr>
            </w:pPr>
            <w:r>
              <w:rPr>
                <w:rFonts w:hint="eastAsia" w:ascii="宋体" w:hAnsi="宋体" w:cs="宋体"/>
                <w:color w:val="000000"/>
                <w:spacing w:val="-26"/>
                <w:lang w:bidi="ar"/>
              </w:rPr>
              <w:t>30,973,984</w:t>
            </w:r>
          </w:p>
        </w:tc>
        <w:tc>
          <w:tcPr>
            <w:tcW w:w="398" w:type="pct"/>
            <w:shd w:val="clear" w:color="auto" w:fill="auto"/>
            <w:vAlign w:val="center"/>
          </w:tcPr>
          <w:p>
            <w:pPr>
              <w:jc w:val="right"/>
              <w:rPr>
                <w:spacing w:val="-26"/>
              </w:rPr>
            </w:pPr>
            <w:r>
              <w:rPr>
                <w:rFonts w:hint="eastAsia" w:ascii="宋体" w:hAnsi="宋体" w:cs="宋体"/>
                <w:color w:val="000000"/>
                <w:spacing w:val="-26"/>
                <w:lang w:bidi="ar"/>
              </w:rPr>
              <w:t>4,445,938</w:t>
            </w:r>
          </w:p>
        </w:tc>
        <w:tc>
          <w:tcPr>
            <w:tcW w:w="397" w:type="pct"/>
            <w:shd w:val="clear" w:color="auto" w:fill="auto"/>
            <w:vAlign w:val="center"/>
          </w:tcPr>
          <w:p>
            <w:pPr>
              <w:jc w:val="right"/>
              <w:rPr>
                <w:spacing w:val="-26"/>
              </w:rPr>
            </w:pPr>
            <w:r>
              <w:rPr>
                <w:rFonts w:hint="eastAsia" w:ascii="宋体" w:hAnsi="宋体" w:cs="宋体"/>
                <w:color w:val="000000"/>
                <w:spacing w:val="-26"/>
                <w:lang w:bidi="ar"/>
              </w:rPr>
              <w:t>4,235,331</w:t>
            </w:r>
          </w:p>
        </w:tc>
        <w:tc>
          <w:tcPr>
            <w:tcW w:w="399" w:type="pct"/>
            <w:shd w:val="clear" w:color="auto" w:fill="auto"/>
            <w:vAlign w:val="center"/>
          </w:tcPr>
          <w:p>
            <w:pPr>
              <w:jc w:val="right"/>
              <w:rPr>
                <w:spacing w:val="-26"/>
              </w:rPr>
            </w:pPr>
            <w:r>
              <w:rPr>
                <w:rFonts w:hint="eastAsia" w:ascii="宋体" w:hAnsi="宋体" w:cs="宋体"/>
                <w:color w:val="000000"/>
                <w:spacing w:val="-26"/>
                <w:lang w:bidi="ar"/>
              </w:rPr>
              <w:t>8,681,269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pPr>
              <w:pStyle w:val="501"/>
            </w:pPr>
            <w:r>
              <w:rPr>
                <w:rFonts w:hint="eastAsia" w:ascii="宋体" w:hAnsi="宋体" w:cs="宋体"/>
                <w:color w:val="000000"/>
                <w:spacing w:val="-20"/>
                <w:sz w:val="22"/>
                <w:szCs w:val="22"/>
                <w:lang w:bidi="ar"/>
              </w:rPr>
              <w:t>鲁西矿业</w:t>
            </w:r>
          </w:p>
        </w:tc>
        <w:tc>
          <w:tcPr>
            <w:tcW w:w="397" w:type="pct"/>
            <w:vAlign w:val="center"/>
          </w:tcPr>
          <w:p>
            <w:pPr>
              <w:jc w:val="right"/>
              <w:rPr>
                <w:spacing w:val="-26"/>
              </w:rPr>
            </w:pPr>
            <w:r>
              <w:rPr>
                <w:rFonts w:hint="eastAsia" w:ascii="宋体" w:hAnsi="宋体" w:cs="宋体"/>
                <w:color w:val="000000"/>
                <w:spacing w:val="-26"/>
                <w:lang w:bidi="ar"/>
              </w:rPr>
              <w:t>14,473,701</w:t>
            </w:r>
          </w:p>
        </w:tc>
        <w:tc>
          <w:tcPr>
            <w:tcW w:w="398" w:type="pct"/>
            <w:vAlign w:val="center"/>
          </w:tcPr>
          <w:p>
            <w:pPr>
              <w:jc w:val="right"/>
              <w:rPr>
                <w:spacing w:val="-26"/>
              </w:rPr>
            </w:pPr>
            <w:r>
              <w:rPr>
                <w:rFonts w:hint="eastAsia" w:ascii="宋体" w:hAnsi="宋体" w:cs="宋体"/>
                <w:color w:val="000000"/>
                <w:spacing w:val="-26"/>
                <w:lang w:bidi="ar"/>
              </w:rPr>
              <w:t>30,033,369</w:t>
            </w:r>
          </w:p>
        </w:tc>
        <w:tc>
          <w:tcPr>
            <w:tcW w:w="397" w:type="pct"/>
            <w:vAlign w:val="center"/>
          </w:tcPr>
          <w:p>
            <w:pPr>
              <w:jc w:val="right"/>
              <w:rPr>
                <w:spacing w:val="-26"/>
              </w:rPr>
            </w:pPr>
            <w:r>
              <w:rPr>
                <w:rFonts w:hint="eastAsia" w:ascii="宋体" w:hAnsi="宋体" w:cs="宋体"/>
                <w:color w:val="000000"/>
                <w:spacing w:val="-26"/>
                <w:lang w:bidi="ar"/>
              </w:rPr>
              <w:t>44,507,070</w:t>
            </w:r>
          </w:p>
        </w:tc>
        <w:tc>
          <w:tcPr>
            <w:tcW w:w="398" w:type="pct"/>
            <w:vAlign w:val="center"/>
          </w:tcPr>
          <w:p>
            <w:pPr>
              <w:jc w:val="right"/>
              <w:rPr>
                <w:spacing w:val="-26"/>
              </w:rPr>
            </w:pPr>
            <w:r>
              <w:rPr>
                <w:rFonts w:ascii="宋体" w:hAnsi="宋体" w:cs="宋体"/>
                <w:color w:val="000000"/>
                <w:spacing w:val="-26"/>
                <w:lang w:bidi="ar"/>
              </w:rPr>
              <w:t>21,425,263</w:t>
            </w:r>
          </w:p>
        </w:tc>
        <w:tc>
          <w:tcPr>
            <w:tcW w:w="397" w:type="pct"/>
            <w:vAlign w:val="center"/>
          </w:tcPr>
          <w:p>
            <w:pPr>
              <w:jc w:val="right"/>
              <w:rPr>
                <w:spacing w:val="-26"/>
              </w:rPr>
            </w:pPr>
            <w:r>
              <w:rPr>
                <w:rFonts w:ascii="宋体" w:hAnsi="宋体" w:cs="宋体"/>
                <w:color w:val="000000"/>
                <w:spacing w:val="-26"/>
                <w:lang w:bidi="ar"/>
              </w:rPr>
              <w:t>13,265,079</w:t>
            </w:r>
          </w:p>
        </w:tc>
        <w:tc>
          <w:tcPr>
            <w:tcW w:w="399" w:type="pct"/>
            <w:vAlign w:val="center"/>
          </w:tcPr>
          <w:p>
            <w:pPr>
              <w:jc w:val="right"/>
              <w:rPr>
                <w:spacing w:val="-26"/>
              </w:rPr>
            </w:pPr>
            <w:r>
              <w:rPr>
                <w:rFonts w:hint="eastAsia" w:ascii="宋体" w:hAnsi="宋体" w:cs="宋体"/>
                <w:color w:val="000000"/>
                <w:spacing w:val="-26"/>
                <w:lang w:bidi="ar"/>
              </w:rPr>
              <w:t>34,690,342</w:t>
            </w:r>
          </w:p>
        </w:tc>
        <w:tc>
          <w:tcPr>
            <w:tcW w:w="397" w:type="pct"/>
            <w:shd w:val="clear" w:color="auto" w:fill="auto"/>
            <w:vAlign w:val="center"/>
          </w:tcPr>
          <w:p>
            <w:pPr>
              <w:jc w:val="right"/>
              <w:rPr>
                <w:spacing w:val="-26"/>
              </w:rPr>
            </w:pPr>
            <w:r>
              <w:rPr>
                <w:rFonts w:hint="eastAsia" w:ascii="宋体" w:hAnsi="宋体" w:cs="宋体"/>
                <w:color w:val="000000"/>
                <w:spacing w:val="-26"/>
                <w:lang w:bidi="ar"/>
              </w:rPr>
              <w:t>16,131,415</w:t>
            </w:r>
          </w:p>
        </w:tc>
        <w:tc>
          <w:tcPr>
            <w:tcW w:w="398" w:type="pct"/>
            <w:shd w:val="clear" w:color="auto" w:fill="auto"/>
            <w:vAlign w:val="center"/>
          </w:tcPr>
          <w:p>
            <w:pPr>
              <w:jc w:val="right"/>
              <w:rPr>
                <w:spacing w:val="-26"/>
              </w:rPr>
            </w:pPr>
            <w:r>
              <w:rPr>
                <w:rFonts w:hint="eastAsia" w:ascii="宋体" w:hAnsi="宋体" w:cs="宋体"/>
                <w:color w:val="000000"/>
                <w:spacing w:val="-26"/>
                <w:lang w:bidi="ar"/>
              </w:rPr>
              <w:t>28,464,473</w:t>
            </w:r>
          </w:p>
        </w:tc>
        <w:tc>
          <w:tcPr>
            <w:tcW w:w="397" w:type="pct"/>
            <w:shd w:val="clear" w:color="auto" w:fill="auto"/>
            <w:vAlign w:val="center"/>
          </w:tcPr>
          <w:p>
            <w:pPr>
              <w:jc w:val="right"/>
              <w:rPr>
                <w:spacing w:val="-26"/>
              </w:rPr>
            </w:pPr>
            <w:r>
              <w:rPr>
                <w:rFonts w:hint="eastAsia" w:ascii="宋体" w:hAnsi="宋体" w:cs="宋体"/>
                <w:color w:val="000000"/>
                <w:spacing w:val="-26"/>
                <w:lang w:bidi="ar"/>
              </w:rPr>
              <w:t>44,595,888</w:t>
            </w:r>
          </w:p>
        </w:tc>
        <w:tc>
          <w:tcPr>
            <w:tcW w:w="398" w:type="pct"/>
            <w:shd w:val="clear" w:color="auto" w:fill="auto"/>
            <w:vAlign w:val="center"/>
          </w:tcPr>
          <w:p>
            <w:pPr>
              <w:jc w:val="right"/>
              <w:rPr>
                <w:spacing w:val="-26"/>
              </w:rPr>
            </w:pPr>
            <w:r>
              <w:rPr>
                <w:rFonts w:hint="eastAsia" w:ascii="宋体" w:hAnsi="宋体" w:cs="宋体"/>
                <w:color w:val="000000"/>
                <w:spacing w:val="-26"/>
                <w:lang w:bidi="ar"/>
              </w:rPr>
              <w:t>22,871,333</w:t>
            </w:r>
          </w:p>
        </w:tc>
        <w:tc>
          <w:tcPr>
            <w:tcW w:w="397" w:type="pct"/>
            <w:shd w:val="clear" w:color="auto" w:fill="auto"/>
            <w:vAlign w:val="center"/>
          </w:tcPr>
          <w:p>
            <w:pPr>
              <w:jc w:val="right"/>
              <w:rPr>
                <w:spacing w:val="-26"/>
              </w:rPr>
            </w:pPr>
            <w:r>
              <w:rPr>
                <w:rFonts w:hint="eastAsia" w:ascii="宋体" w:hAnsi="宋体" w:cs="宋体"/>
                <w:color w:val="000000"/>
                <w:spacing w:val="-26"/>
                <w:lang w:bidi="ar"/>
              </w:rPr>
              <w:t>11,870,797</w:t>
            </w:r>
          </w:p>
        </w:tc>
        <w:tc>
          <w:tcPr>
            <w:tcW w:w="399" w:type="pct"/>
            <w:shd w:val="clear" w:color="auto" w:fill="auto"/>
            <w:vAlign w:val="center"/>
          </w:tcPr>
          <w:p>
            <w:pPr>
              <w:jc w:val="right"/>
              <w:rPr>
                <w:spacing w:val="-26"/>
              </w:rPr>
            </w:pPr>
            <w:r>
              <w:rPr>
                <w:rFonts w:hint="eastAsia" w:ascii="宋体" w:hAnsi="宋体" w:cs="宋体"/>
                <w:color w:val="000000"/>
                <w:spacing w:val="-26"/>
                <w:lang w:bidi="ar"/>
              </w:rPr>
              <w:t>34,742,1</w:t>
            </w:r>
            <w:r>
              <w:rPr>
                <w:rFonts w:ascii="宋体" w:hAnsi="宋体" w:cs="宋体"/>
                <w:color w:val="000000"/>
                <w:spacing w:val="-26"/>
                <w:lang w:bidi="ar"/>
              </w:rPr>
              <w:t>30</w:t>
            </w:r>
          </w:p>
        </w:tc>
      </w:tr>
    </w:tbl>
    <w:p>
      <w:pPr>
        <w:rPr>
          <w:rFonts w:cs="Arial"/>
        </w:rPr>
      </w:pPr>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7"/>
        <w:gridCol w:w="1404"/>
        <w:gridCol w:w="1342"/>
        <w:gridCol w:w="1485"/>
        <w:gridCol w:w="1642"/>
        <w:gridCol w:w="1404"/>
        <w:gridCol w:w="1342"/>
        <w:gridCol w:w="1485"/>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f862f5520ccd48d7b0fd3b875414eb44"/>
            <w:id w:val="1884908849"/>
          </w:sdtPr>
          <w:sdtContent>
            <w:tc>
              <w:tcPr>
                <w:tcW w:w="833" w:type="pct"/>
                <w:vMerge w:val="restart"/>
                <w:shd w:val="clear" w:color="auto" w:fill="auto"/>
                <w:vAlign w:val="center"/>
              </w:tcPr>
              <w:p>
                <w:pPr>
                  <w:spacing w:line="276" w:lineRule="auto"/>
                  <w:ind w:right="-16"/>
                  <w:jc w:val="center"/>
                  <w:rPr>
                    <w:rFonts w:cs="Arial"/>
                    <w:bCs/>
                  </w:rPr>
                </w:pPr>
                <w:r>
                  <w:rPr>
                    <w:rFonts w:hint="eastAsia" w:cs="Arial"/>
                    <w:bCs/>
                    <w:lang w:val="en-GB"/>
                  </w:rPr>
                  <w:t>子公司名称</w:t>
                </w:r>
              </w:p>
            </w:tc>
          </w:sdtContent>
        </w:sdt>
        <w:sdt>
          <w:sdtPr>
            <w:tag w:val="_PLD_5506f9b7657a4249a69db52c93f94b62"/>
            <w:id w:val="1228337595"/>
          </w:sdtPr>
          <w:sdtContent>
            <w:tc>
              <w:tcPr>
                <w:tcW w:w="2084" w:type="pct"/>
                <w:gridSpan w:val="4"/>
                <w:shd w:val="clear" w:color="auto" w:fill="auto"/>
                <w:vAlign w:val="center"/>
              </w:tcPr>
              <w:p>
                <w:pPr>
                  <w:spacing w:line="276" w:lineRule="auto"/>
                  <w:ind w:right="-16"/>
                  <w:jc w:val="center"/>
                  <w:rPr>
                    <w:rFonts w:cs="Arial"/>
                    <w:bCs/>
                  </w:rPr>
                </w:pPr>
                <w:r>
                  <w:rPr>
                    <w:rFonts w:hint="eastAsia" w:cs="Arial"/>
                    <w:bCs/>
                    <w:lang w:val="en-GB"/>
                  </w:rPr>
                  <w:t>本期发生额</w:t>
                </w:r>
              </w:p>
            </w:tc>
          </w:sdtContent>
        </w:sdt>
        <w:sdt>
          <w:sdtPr>
            <w:tag w:val="_PLD_063dddde33114bd0989718130d614207"/>
            <w:id w:val="148482498"/>
          </w:sdtPr>
          <w:sdtContent>
            <w:tc>
              <w:tcPr>
                <w:tcW w:w="2083" w:type="pct"/>
                <w:gridSpan w:val="4"/>
                <w:shd w:val="clear" w:color="auto" w:fill="auto"/>
                <w:vAlign w:val="center"/>
              </w:tcPr>
              <w:p>
                <w:pPr>
                  <w:spacing w:line="276" w:lineRule="auto"/>
                  <w:ind w:right="-16"/>
                  <w:jc w:val="center"/>
                  <w:rPr>
                    <w:rFonts w:cs="Arial"/>
                    <w:bCs/>
                  </w:rPr>
                </w:pPr>
                <w:r>
                  <w:rPr>
                    <w:rFonts w:hint="eastAsia" w:cs="Arial"/>
                    <w:bCs/>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33" w:type="pct"/>
            <w:vMerge w:val="continue"/>
            <w:shd w:val="clear" w:color="auto" w:fill="auto"/>
            <w:vAlign w:val="center"/>
          </w:tcPr>
          <w:p>
            <w:pPr>
              <w:jc w:val="center"/>
              <w:rPr>
                <w:rFonts w:cs="Arial"/>
                <w:bCs/>
              </w:rPr>
            </w:pPr>
          </w:p>
        </w:tc>
        <w:sdt>
          <w:sdtPr>
            <w:tag w:val="_PLD_0ff6644b89fa49828839f84e0b320d2e"/>
            <w:id w:val="-862121147"/>
          </w:sdtPr>
          <w:sdtContent>
            <w:tc>
              <w:tcPr>
                <w:tcW w:w="498" w:type="pct"/>
                <w:shd w:val="clear" w:color="auto" w:fill="auto"/>
                <w:vAlign w:val="center"/>
              </w:tcPr>
              <w:p>
                <w:pPr>
                  <w:spacing w:line="276" w:lineRule="auto"/>
                  <w:jc w:val="center"/>
                  <w:rPr>
                    <w:rFonts w:cs="Arial"/>
                  </w:rPr>
                </w:pPr>
                <w:r>
                  <w:rPr>
                    <w:rFonts w:hint="eastAsia" w:cs="Arial"/>
                    <w:lang w:val="en-GB"/>
                  </w:rPr>
                  <w:t>营业收入</w:t>
                </w:r>
              </w:p>
            </w:tc>
          </w:sdtContent>
        </w:sdt>
        <w:sdt>
          <w:sdtPr>
            <w:tag w:val="_PLD_3ed6f54533ae4b35b5749cded650328b"/>
            <w:id w:val="-1813477095"/>
          </w:sdtPr>
          <w:sdtContent>
            <w:tc>
              <w:tcPr>
                <w:tcW w:w="476" w:type="pct"/>
                <w:shd w:val="clear" w:color="auto" w:fill="auto"/>
                <w:vAlign w:val="center"/>
              </w:tcPr>
              <w:p>
                <w:pPr>
                  <w:spacing w:line="276" w:lineRule="auto"/>
                  <w:jc w:val="center"/>
                  <w:rPr>
                    <w:rFonts w:cs="Arial"/>
                  </w:rPr>
                </w:pPr>
                <w:r>
                  <w:rPr>
                    <w:rFonts w:hint="eastAsia" w:cs="Arial"/>
                    <w:lang w:val="en-GB"/>
                  </w:rPr>
                  <w:t>净利润</w:t>
                </w:r>
              </w:p>
            </w:tc>
          </w:sdtContent>
        </w:sdt>
        <w:sdt>
          <w:sdtPr>
            <w:tag w:val="_PLD_f277e496f88240b8a09027ca500f53c9"/>
            <w:id w:val="-220904358"/>
          </w:sdtPr>
          <w:sdtContent>
            <w:tc>
              <w:tcPr>
                <w:tcW w:w="527" w:type="pct"/>
                <w:shd w:val="clear" w:color="auto" w:fill="auto"/>
                <w:vAlign w:val="center"/>
              </w:tcPr>
              <w:p>
                <w:pPr>
                  <w:spacing w:line="276" w:lineRule="auto"/>
                  <w:jc w:val="center"/>
                  <w:rPr>
                    <w:rFonts w:cs="Arial"/>
                  </w:rPr>
                </w:pPr>
                <w:r>
                  <w:rPr>
                    <w:rFonts w:hint="eastAsia" w:cs="Arial"/>
                    <w:lang w:val="en-GB"/>
                  </w:rPr>
                  <w:t>综合收益总额</w:t>
                </w:r>
              </w:p>
            </w:tc>
          </w:sdtContent>
        </w:sdt>
        <w:sdt>
          <w:sdtPr>
            <w:tag w:val="_PLD_b06ad8ebb20b4c158ab41b3105f22658"/>
            <w:id w:val="2067607855"/>
          </w:sdtPr>
          <w:sdtContent>
            <w:tc>
              <w:tcPr>
                <w:tcW w:w="583" w:type="pct"/>
                <w:shd w:val="clear" w:color="auto" w:fill="auto"/>
                <w:vAlign w:val="center"/>
              </w:tcPr>
              <w:p>
                <w:pPr>
                  <w:spacing w:line="276" w:lineRule="auto"/>
                  <w:jc w:val="center"/>
                  <w:rPr>
                    <w:rFonts w:cs="Arial"/>
                  </w:rPr>
                </w:pPr>
                <w:r>
                  <w:rPr>
                    <w:rFonts w:hint="eastAsia" w:cs="Arial"/>
                    <w:lang w:val="en-GB"/>
                  </w:rPr>
                  <w:t>经营活动现金流量</w:t>
                </w:r>
              </w:p>
            </w:tc>
          </w:sdtContent>
        </w:sdt>
        <w:sdt>
          <w:sdtPr>
            <w:tag w:val="_PLD_4fc4163d4ea74839b6634e2ab30a43dd"/>
            <w:id w:val="750164961"/>
          </w:sdtPr>
          <w:sdtContent>
            <w:tc>
              <w:tcPr>
                <w:tcW w:w="498" w:type="pct"/>
                <w:shd w:val="clear" w:color="auto" w:fill="auto"/>
                <w:vAlign w:val="center"/>
              </w:tcPr>
              <w:p>
                <w:pPr>
                  <w:spacing w:line="276" w:lineRule="auto"/>
                  <w:jc w:val="center"/>
                  <w:rPr>
                    <w:rFonts w:cs="Arial"/>
                  </w:rPr>
                </w:pPr>
                <w:r>
                  <w:rPr>
                    <w:rFonts w:hint="eastAsia" w:cs="Arial"/>
                    <w:lang w:val="en-GB"/>
                  </w:rPr>
                  <w:t>营业收入</w:t>
                </w:r>
              </w:p>
            </w:tc>
          </w:sdtContent>
        </w:sdt>
        <w:sdt>
          <w:sdtPr>
            <w:tag w:val="_PLD_afe353d057d34119880797ab0530197f"/>
            <w:id w:val="1996228490"/>
          </w:sdtPr>
          <w:sdtContent>
            <w:tc>
              <w:tcPr>
                <w:tcW w:w="476" w:type="pct"/>
                <w:shd w:val="clear" w:color="auto" w:fill="auto"/>
                <w:vAlign w:val="center"/>
              </w:tcPr>
              <w:p>
                <w:pPr>
                  <w:spacing w:line="276" w:lineRule="auto"/>
                  <w:jc w:val="center"/>
                  <w:rPr>
                    <w:rFonts w:cs="Arial"/>
                  </w:rPr>
                </w:pPr>
                <w:r>
                  <w:rPr>
                    <w:rFonts w:hint="eastAsia" w:cs="Arial"/>
                    <w:lang w:val="en-GB"/>
                  </w:rPr>
                  <w:t>净利润</w:t>
                </w:r>
              </w:p>
            </w:tc>
          </w:sdtContent>
        </w:sdt>
        <w:sdt>
          <w:sdtPr>
            <w:tag w:val="_PLD_06c5ed8a09a8478bb7daf6526e9a9894"/>
            <w:id w:val="1950357896"/>
          </w:sdtPr>
          <w:sdtContent>
            <w:tc>
              <w:tcPr>
                <w:tcW w:w="527" w:type="pct"/>
                <w:shd w:val="clear" w:color="auto" w:fill="auto"/>
                <w:vAlign w:val="center"/>
              </w:tcPr>
              <w:p>
                <w:pPr>
                  <w:spacing w:line="276" w:lineRule="auto"/>
                  <w:jc w:val="center"/>
                  <w:rPr>
                    <w:rFonts w:cs="Arial"/>
                  </w:rPr>
                </w:pPr>
                <w:r>
                  <w:rPr>
                    <w:rFonts w:hint="eastAsia" w:cs="Arial"/>
                    <w:lang w:val="en-GB"/>
                  </w:rPr>
                  <w:t>综合收益总额</w:t>
                </w:r>
              </w:p>
            </w:tc>
          </w:sdtContent>
        </w:sdt>
        <w:sdt>
          <w:sdtPr>
            <w:tag w:val="_PLD_4bb5318561af41709725de1d7e458dde"/>
            <w:id w:val="-1246333504"/>
          </w:sdtPr>
          <w:sdtContent>
            <w:tc>
              <w:tcPr>
                <w:tcW w:w="582" w:type="pct"/>
                <w:shd w:val="clear" w:color="auto" w:fill="auto"/>
                <w:vAlign w:val="center"/>
              </w:tcPr>
              <w:p>
                <w:pPr>
                  <w:spacing w:line="276" w:lineRule="auto"/>
                  <w:jc w:val="center"/>
                  <w:rPr>
                    <w:rFonts w:cs="Arial"/>
                  </w:rPr>
                </w:pPr>
                <w:r>
                  <w:rPr>
                    <w:rFonts w:hint="eastAsia" w:cs="Arial"/>
                    <w:lang w:val="en-GB"/>
                  </w:rPr>
                  <w:t>经营活动现金流量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276" w:lineRule="auto"/>
            </w:pPr>
            <w:r>
              <w:rPr>
                <w:rFonts w:hint="eastAsia" w:ascii="宋体" w:hAnsi="宋体" w:cs="宋体"/>
                <w:color w:val="000000"/>
                <w:spacing w:val="-20"/>
                <w:sz w:val="22"/>
                <w:szCs w:val="22"/>
                <w:lang w:bidi="ar"/>
              </w:rPr>
              <w:t>澳洲公司</w:t>
            </w:r>
          </w:p>
        </w:tc>
        <w:tc>
          <w:tcPr>
            <w:tcW w:w="498" w:type="pct"/>
          </w:tcPr>
          <w:p>
            <w:pPr>
              <w:spacing w:line="276" w:lineRule="auto"/>
              <w:jc w:val="right"/>
              <w:rPr>
                <w:rFonts w:ascii="宋体" w:hAnsi="宋体"/>
              </w:rPr>
            </w:pPr>
            <w:r>
              <w:rPr>
                <w:rFonts w:ascii="宋体" w:hAnsi="宋体"/>
              </w:rPr>
              <w:t>36,752,056</w:t>
            </w:r>
          </w:p>
        </w:tc>
        <w:tc>
          <w:tcPr>
            <w:tcW w:w="476" w:type="pct"/>
          </w:tcPr>
          <w:p>
            <w:pPr>
              <w:spacing w:line="276" w:lineRule="auto"/>
              <w:jc w:val="right"/>
              <w:rPr>
                <w:rFonts w:ascii="宋体" w:hAnsi="宋体"/>
              </w:rPr>
            </w:pPr>
            <w:r>
              <w:rPr>
                <w:rFonts w:ascii="宋体" w:hAnsi="宋体"/>
              </w:rPr>
              <w:t>8,697,201</w:t>
            </w:r>
          </w:p>
        </w:tc>
        <w:tc>
          <w:tcPr>
            <w:tcW w:w="527" w:type="pct"/>
          </w:tcPr>
          <w:p>
            <w:pPr>
              <w:spacing w:line="276" w:lineRule="auto"/>
              <w:jc w:val="right"/>
              <w:rPr>
                <w:rFonts w:ascii="宋体" w:hAnsi="宋体"/>
              </w:rPr>
            </w:pPr>
            <w:r>
              <w:rPr>
                <w:rFonts w:ascii="宋体" w:hAnsi="宋体"/>
              </w:rPr>
              <w:t>9,562,053</w:t>
            </w:r>
          </w:p>
        </w:tc>
        <w:tc>
          <w:tcPr>
            <w:tcW w:w="583" w:type="pct"/>
          </w:tcPr>
          <w:p>
            <w:pPr>
              <w:spacing w:line="276" w:lineRule="auto"/>
              <w:jc w:val="right"/>
              <w:rPr>
                <w:rFonts w:ascii="宋体" w:hAnsi="宋体"/>
              </w:rPr>
            </w:pPr>
            <w:r>
              <w:rPr>
                <w:rFonts w:ascii="宋体" w:hAnsi="宋体"/>
              </w:rPr>
              <w:t>6,359,064</w:t>
            </w:r>
          </w:p>
        </w:tc>
        <w:tc>
          <w:tcPr>
            <w:tcW w:w="498" w:type="pct"/>
          </w:tcPr>
          <w:p>
            <w:pPr>
              <w:spacing w:line="276" w:lineRule="auto"/>
              <w:jc w:val="right"/>
              <w:rPr>
                <w:rFonts w:ascii="宋体" w:hAnsi="宋体"/>
              </w:rPr>
            </w:pPr>
            <w:r>
              <w:rPr>
                <w:rFonts w:ascii="宋体" w:hAnsi="宋体"/>
              </w:rPr>
              <w:t>49,821,116</w:t>
            </w:r>
          </w:p>
        </w:tc>
        <w:tc>
          <w:tcPr>
            <w:tcW w:w="476" w:type="pct"/>
          </w:tcPr>
          <w:p>
            <w:pPr>
              <w:spacing w:line="276" w:lineRule="auto"/>
              <w:jc w:val="right"/>
              <w:rPr>
                <w:rFonts w:ascii="宋体" w:hAnsi="宋体"/>
              </w:rPr>
            </w:pPr>
            <w:r>
              <w:rPr>
                <w:rFonts w:ascii="宋体" w:hAnsi="宋体"/>
              </w:rPr>
              <w:t>16,738,824</w:t>
            </w:r>
          </w:p>
        </w:tc>
        <w:tc>
          <w:tcPr>
            <w:tcW w:w="527" w:type="pct"/>
          </w:tcPr>
          <w:p>
            <w:pPr>
              <w:spacing w:line="276" w:lineRule="auto"/>
              <w:jc w:val="right"/>
              <w:rPr>
                <w:rFonts w:ascii="宋体" w:hAnsi="宋体"/>
              </w:rPr>
            </w:pPr>
            <w:r>
              <w:rPr>
                <w:rFonts w:ascii="宋体" w:hAnsi="宋体"/>
              </w:rPr>
              <w:t>17,162,132</w:t>
            </w:r>
          </w:p>
        </w:tc>
        <w:tc>
          <w:tcPr>
            <w:tcW w:w="582" w:type="pct"/>
          </w:tcPr>
          <w:p>
            <w:pPr>
              <w:spacing w:line="276" w:lineRule="auto"/>
              <w:jc w:val="right"/>
              <w:rPr>
                <w:rFonts w:ascii="宋体" w:hAnsi="宋体"/>
              </w:rPr>
            </w:pPr>
            <w:r>
              <w:rPr>
                <w:rFonts w:ascii="宋体" w:hAnsi="宋体"/>
              </w:rPr>
              <w:t>31,881,319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276" w:lineRule="auto"/>
            </w:pPr>
            <w:r>
              <w:rPr>
                <w:rFonts w:hint="eastAsia" w:ascii="宋体" w:hAnsi="宋体" w:cs="宋体"/>
                <w:color w:val="000000"/>
                <w:spacing w:val="-20"/>
                <w:sz w:val="22"/>
                <w:szCs w:val="22"/>
                <w:lang w:bidi="ar"/>
              </w:rPr>
              <w:t>未来能源</w:t>
            </w:r>
          </w:p>
        </w:tc>
        <w:tc>
          <w:tcPr>
            <w:tcW w:w="498" w:type="pct"/>
          </w:tcPr>
          <w:p>
            <w:pPr>
              <w:spacing w:line="276" w:lineRule="auto"/>
              <w:jc w:val="right"/>
              <w:rPr>
                <w:rFonts w:ascii="宋体" w:hAnsi="宋体"/>
              </w:rPr>
            </w:pPr>
            <w:r>
              <w:rPr>
                <w:rFonts w:ascii="宋体" w:hAnsi="宋体"/>
              </w:rPr>
              <w:t>15,277,230</w:t>
            </w:r>
          </w:p>
        </w:tc>
        <w:tc>
          <w:tcPr>
            <w:tcW w:w="476" w:type="pct"/>
          </w:tcPr>
          <w:p>
            <w:pPr>
              <w:spacing w:line="276" w:lineRule="auto"/>
              <w:jc w:val="right"/>
              <w:rPr>
                <w:rFonts w:ascii="宋体" w:hAnsi="宋体"/>
              </w:rPr>
            </w:pPr>
            <w:r>
              <w:rPr>
                <w:rFonts w:ascii="宋体" w:hAnsi="宋体"/>
              </w:rPr>
              <w:t>5,649,578</w:t>
            </w:r>
          </w:p>
        </w:tc>
        <w:tc>
          <w:tcPr>
            <w:tcW w:w="527" w:type="pct"/>
          </w:tcPr>
          <w:p>
            <w:pPr>
              <w:spacing w:line="276" w:lineRule="auto"/>
              <w:jc w:val="right"/>
              <w:rPr>
                <w:rFonts w:ascii="宋体" w:hAnsi="宋体"/>
              </w:rPr>
            </w:pPr>
            <w:r>
              <w:rPr>
                <w:rFonts w:ascii="宋体" w:hAnsi="宋体"/>
              </w:rPr>
              <w:t>5,649,578</w:t>
            </w:r>
          </w:p>
        </w:tc>
        <w:tc>
          <w:tcPr>
            <w:tcW w:w="583" w:type="pct"/>
          </w:tcPr>
          <w:p>
            <w:pPr>
              <w:spacing w:line="276" w:lineRule="auto"/>
              <w:jc w:val="right"/>
              <w:rPr>
                <w:rFonts w:ascii="宋体" w:hAnsi="宋体"/>
              </w:rPr>
            </w:pPr>
            <w:r>
              <w:rPr>
                <w:rFonts w:ascii="宋体" w:hAnsi="宋体"/>
              </w:rPr>
              <w:t>5,602,343</w:t>
            </w:r>
          </w:p>
        </w:tc>
        <w:tc>
          <w:tcPr>
            <w:tcW w:w="498" w:type="pct"/>
          </w:tcPr>
          <w:p>
            <w:pPr>
              <w:spacing w:line="276" w:lineRule="auto"/>
              <w:jc w:val="right"/>
              <w:rPr>
                <w:rFonts w:ascii="宋体" w:hAnsi="宋体"/>
              </w:rPr>
            </w:pPr>
            <w:r>
              <w:rPr>
                <w:rFonts w:ascii="宋体" w:hAnsi="宋体"/>
              </w:rPr>
              <w:t>17,815,816</w:t>
            </w:r>
          </w:p>
        </w:tc>
        <w:tc>
          <w:tcPr>
            <w:tcW w:w="476" w:type="pct"/>
          </w:tcPr>
          <w:p>
            <w:pPr>
              <w:spacing w:line="276" w:lineRule="auto"/>
              <w:jc w:val="right"/>
              <w:rPr>
                <w:rFonts w:ascii="宋体" w:hAnsi="宋体"/>
              </w:rPr>
            </w:pPr>
            <w:r>
              <w:rPr>
                <w:rFonts w:ascii="宋体" w:hAnsi="宋体"/>
              </w:rPr>
              <w:t>6,858,251</w:t>
            </w:r>
          </w:p>
        </w:tc>
        <w:tc>
          <w:tcPr>
            <w:tcW w:w="527" w:type="pct"/>
          </w:tcPr>
          <w:p>
            <w:pPr>
              <w:spacing w:line="276" w:lineRule="auto"/>
              <w:jc w:val="right"/>
              <w:rPr>
                <w:rFonts w:ascii="宋体" w:hAnsi="宋体"/>
              </w:rPr>
            </w:pPr>
            <w:r>
              <w:rPr>
                <w:rFonts w:ascii="宋体" w:hAnsi="宋体"/>
              </w:rPr>
              <w:t>6,858,251</w:t>
            </w:r>
          </w:p>
        </w:tc>
        <w:tc>
          <w:tcPr>
            <w:tcW w:w="582" w:type="pct"/>
          </w:tcPr>
          <w:p>
            <w:pPr>
              <w:spacing w:line="276" w:lineRule="auto"/>
              <w:jc w:val="right"/>
              <w:rPr>
                <w:rFonts w:ascii="宋体" w:hAnsi="宋体"/>
              </w:rPr>
            </w:pPr>
            <w:r>
              <w:rPr>
                <w:rFonts w:ascii="宋体" w:hAnsi="宋体"/>
              </w:rPr>
              <w:t>7,132,447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spacing w:line="276" w:lineRule="auto"/>
            </w:pPr>
            <w:r>
              <w:rPr>
                <w:rFonts w:hint="eastAsia" w:ascii="宋体" w:hAnsi="宋体" w:cs="宋体"/>
                <w:color w:val="000000"/>
                <w:spacing w:val="-20"/>
                <w:sz w:val="22"/>
                <w:szCs w:val="22"/>
                <w:lang w:bidi="ar"/>
              </w:rPr>
              <w:t>鲁西矿业</w:t>
            </w:r>
          </w:p>
        </w:tc>
        <w:tc>
          <w:tcPr>
            <w:tcW w:w="498" w:type="pct"/>
          </w:tcPr>
          <w:p>
            <w:pPr>
              <w:spacing w:line="276" w:lineRule="auto"/>
              <w:jc w:val="right"/>
              <w:rPr>
                <w:rFonts w:ascii="宋体" w:hAnsi="宋体"/>
              </w:rPr>
            </w:pPr>
            <w:r>
              <w:rPr>
                <w:rFonts w:ascii="宋体" w:hAnsi="宋体"/>
              </w:rPr>
              <w:t>15,628,117</w:t>
            </w:r>
          </w:p>
        </w:tc>
        <w:tc>
          <w:tcPr>
            <w:tcW w:w="476" w:type="pct"/>
          </w:tcPr>
          <w:p>
            <w:pPr>
              <w:spacing w:line="276" w:lineRule="auto"/>
              <w:jc w:val="right"/>
              <w:rPr>
                <w:rFonts w:ascii="宋体" w:hAnsi="宋体"/>
              </w:rPr>
            </w:pPr>
            <w:r>
              <w:rPr>
                <w:rFonts w:ascii="宋体" w:hAnsi="宋体"/>
              </w:rPr>
              <w:t>2,433,298</w:t>
            </w:r>
          </w:p>
        </w:tc>
        <w:tc>
          <w:tcPr>
            <w:tcW w:w="527" w:type="pct"/>
          </w:tcPr>
          <w:p>
            <w:pPr>
              <w:spacing w:line="276" w:lineRule="auto"/>
              <w:jc w:val="right"/>
              <w:rPr>
                <w:rFonts w:ascii="宋体" w:hAnsi="宋体"/>
              </w:rPr>
            </w:pPr>
            <w:r>
              <w:rPr>
                <w:rFonts w:ascii="宋体" w:hAnsi="宋体"/>
              </w:rPr>
              <w:t>2,456,932</w:t>
            </w:r>
          </w:p>
        </w:tc>
        <w:tc>
          <w:tcPr>
            <w:tcW w:w="583" w:type="pct"/>
          </w:tcPr>
          <w:p>
            <w:pPr>
              <w:spacing w:line="276" w:lineRule="auto"/>
              <w:jc w:val="right"/>
              <w:rPr>
                <w:rFonts w:ascii="宋体" w:hAnsi="宋体"/>
              </w:rPr>
            </w:pPr>
            <w:r>
              <w:rPr>
                <w:rFonts w:ascii="宋体" w:hAnsi="宋体"/>
              </w:rPr>
              <w:t>1,677,148</w:t>
            </w:r>
          </w:p>
        </w:tc>
        <w:tc>
          <w:tcPr>
            <w:tcW w:w="498" w:type="pct"/>
          </w:tcPr>
          <w:p>
            <w:pPr>
              <w:spacing w:line="276" w:lineRule="auto"/>
              <w:jc w:val="right"/>
              <w:rPr>
                <w:rFonts w:ascii="宋体" w:hAnsi="宋体"/>
              </w:rPr>
            </w:pPr>
            <w:r>
              <w:rPr>
                <w:rFonts w:ascii="宋体" w:hAnsi="宋体"/>
              </w:rPr>
              <w:t>17,713,152</w:t>
            </w:r>
          </w:p>
        </w:tc>
        <w:tc>
          <w:tcPr>
            <w:tcW w:w="476" w:type="pct"/>
          </w:tcPr>
          <w:p>
            <w:pPr>
              <w:spacing w:line="276" w:lineRule="auto"/>
              <w:jc w:val="right"/>
              <w:rPr>
                <w:rFonts w:ascii="宋体" w:hAnsi="宋体"/>
              </w:rPr>
            </w:pPr>
            <w:r>
              <w:rPr>
                <w:rFonts w:ascii="宋体" w:hAnsi="宋体"/>
              </w:rPr>
              <w:t>4,207,316</w:t>
            </w:r>
          </w:p>
        </w:tc>
        <w:tc>
          <w:tcPr>
            <w:tcW w:w="527" w:type="pct"/>
          </w:tcPr>
          <w:p>
            <w:pPr>
              <w:spacing w:line="276" w:lineRule="auto"/>
              <w:jc w:val="right"/>
              <w:rPr>
                <w:rFonts w:ascii="宋体" w:hAnsi="宋体"/>
              </w:rPr>
            </w:pPr>
            <w:r>
              <w:rPr>
                <w:rFonts w:ascii="宋体" w:hAnsi="宋体"/>
              </w:rPr>
              <w:t>4,198,274</w:t>
            </w:r>
          </w:p>
        </w:tc>
        <w:tc>
          <w:tcPr>
            <w:tcW w:w="582" w:type="pct"/>
          </w:tcPr>
          <w:p>
            <w:pPr>
              <w:spacing w:line="276" w:lineRule="auto"/>
              <w:jc w:val="right"/>
              <w:rPr>
                <w:rFonts w:ascii="宋体" w:hAnsi="宋体"/>
              </w:rPr>
            </w:pPr>
            <w:r>
              <w:rPr>
                <w:rFonts w:ascii="宋体" w:hAnsi="宋体"/>
              </w:rPr>
              <w:t>4,199,558</w:t>
            </w:r>
          </w:p>
        </w:tc>
      </w:tr>
    </w:tbl>
    <w:p>
      <w:pPr>
        <w:rPr>
          <w:rFonts w:cs="Arial"/>
        </w:rPr>
        <w:sectPr>
          <w:pgSz w:w="16838" w:h="11906" w:orient="landscape"/>
          <w:pgMar w:top="1797" w:right="1525" w:bottom="1276" w:left="1440" w:header="856" w:footer="992" w:gutter="0"/>
          <w:cols w:space="425" w:num="1"/>
          <w:docGrid w:linePitch="312" w:charSpace="0"/>
        </w:sectPr>
      </w:pPr>
    </w:p>
    <w:p>
      <w:pPr>
        <w:rPr>
          <w:rFonts w:cs="Arial"/>
        </w:rPr>
      </w:pPr>
    </w:p>
    <w:p>
      <w:pPr>
        <w:pStyle w:val="505"/>
        <w:numPr>
          <w:ilvl w:val="3"/>
          <w:numId w:val="117"/>
        </w:numPr>
        <w:ind w:left="426" w:hanging="426" w:hangingChars="202"/>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725821539"/>
        <w:placeholder>
          <w:docPart w:val="GBC22222222222222222222222222222"/>
        </w:placeholder>
      </w:sdtPr>
      <w:sdtContent>
        <w:p>
          <w:pPr>
            <w:pStyle w:val="531"/>
            <w:rPr>
              <w:rFonts w:cs="Arial"/>
              <w:b/>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rPr>
      </w:pPr>
    </w:p>
    <w:p>
      <w:pPr>
        <w:pStyle w:val="505"/>
        <w:numPr>
          <w:ilvl w:val="3"/>
          <w:numId w:val="117"/>
        </w:numPr>
        <w:ind w:left="426" w:hanging="426" w:hangingChars="202"/>
      </w:pPr>
      <w:r>
        <w:rPr>
          <w:rFonts w:hint="eastAsia"/>
        </w:rPr>
        <w:t>向纳入合并财务报表范围的结构化主体提供的财务支持或其他支持</w:t>
      </w:r>
    </w:p>
    <w:sdt>
      <w:sdtPr>
        <w:rPr>
          <w:rFonts w:hint="eastAsia" w:cs="Arial"/>
        </w:rPr>
        <w:alias w:val="是否适用：向纳入合并财务报表范围的结构化主体提供的财务支持或其他支持[双击切换]"/>
        <w:tag w:val="_GBC_395393741a9c49d1bd1b845f818ade1e"/>
        <w:id w:val="2061050831"/>
        <w:placeholder>
          <w:docPart w:val="GBC22222222222222222222222222222"/>
        </w:placeholder>
      </w:sdtPr>
      <w:sdtEndPr>
        <w:rPr>
          <w:rFonts w:hint="eastAsia" w:cs="Arial"/>
        </w:rPr>
      </w:sdtEndPr>
      <w:sdtContent>
        <w:p>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b/>
        </w:rPr>
      </w:pPr>
    </w:p>
    <w:p>
      <w:pPr>
        <w:pStyle w:val="501"/>
      </w:pPr>
      <w:r>
        <w:rPr>
          <w:rFonts w:hint="eastAsia"/>
        </w:rPr>
        <w:t>其他说明：</w:t>
      </w:r>
    </w:p>
    <w:sdt>
      <w:sdtPr>
        <w:alias w:val="是否适用：在子公司中的权益其他说明[双击切换]"/>
        <w:tag w:val="_GBC_b26ad9d381c8467f9c05b435b2cb6493"/>
        <w:id w:val="-135731443"/>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2"/>
          <w:numId w:val="116"/>
        </w:numPr>
        <w:rPr>
          <w:rFonts w:ascii="宋体" w:hAnsi="宋体" w:cs="Arial"/>
          <w:szCs w:val="21"/>
        </w:rPr>
      </w:pPr>
      <w:r>
        <w:rPr>
          <w:rFonts w:hint="eastAsia" w:ascii="宋体" w:hAnsi="宋体" w:cs="Arial"/>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097054278"/>
        <w:placeholder>
          <w:docPart w:val="GBC22222222222222222222222222222"/>
        </w:placeholder>
      </w:sdtPr>
      <w:sdtContent>
        <w:p>
          <w:pPr>
            <w:pStyle w:val="531"/>
            <w:rPr>
              <w:rFonts w:cs="Arial"/>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rPr>
      </w:pPr>
    </w:p>
    <w:p>
      <w:pPr>
        <w:pStyle w:val="501"/>
      </w:pPr>
    </w:p>
    <w:p>
      <w:pPr>
        <w:pStyle w:val="504"/>
        <w:numPr>
          <w:ilvl w:val="2"/>
          <w:numId w:val="116"/>
        </w:numPr>
        <w:rPr>
          <w:rFonts w:ascii="宋体" w:hAnsi="宋体" w:cs="Arial"/>
          <w:szCs w:val="21"/>
        </w:rPr>
      </w:pPr>
      <w:r>
        <w:rPr>
          <w:rFonts w:hint="eastAsia" w:ascii="宋体" w:hAnsi="宋体" w:cs="Arial"/>
          <w:szCs w:val="21"/>
        </w:rPr>
        <w:t>在合营企业或联营企业中的权益</w:t>
      </w:r>
    </w:p>
    <w:sdt>
      <w:sdtPr>
        <w:alias w:val="是否适用：在合营企业或联营企业中的权益[双击切换]"/>
        <w:tag w:val="_GBC_2bff91875b7a49f3929c4613048756c1"/>
        <w:id w:val="-96766386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5"/>
        <w:numPr>
          <w:ilvl w:val="3"/>
          <w:numId w:val="119"/>
        </w:numPr>
        <w:ind w:left="426" w:hanging="426" w:hangingChars="202"/>
      </w:pPr>
      <w:r>
        <w:rPr>
          <w:rFonts w:hint="eastAsia"/>
        </w:rPr>
        <w:t>重要的合营企业或联营企业</w:t>
      </w:r>
    </w:p>
    <w:sdt>
      <w:sdtPr>
        <w:rPr>
          <w:rFonts w:hint="eastAsia"/>
        </w:rPr>
        <w:alias w:val="是否适用：重要的合营企业或联营企业[双击切换]"/>
        <w:tag w:val="_GBC_99df64ed4bb84c2da5fb54cda5ae039b"/>
        <w:id w:val="117578750"/>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rPr>
      </w:pPr>
    </w:p>
    <w:tbl>
      <w:tblPr>
        <w:tblStyle w:val="9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134"/>
        <w:gridCol w:w="1134"/>
        <w:gridCol w:w="2246"/>
        <w:gridCol w:w="731"/>
        <w:gridCol w:w="741"/>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vAlign w:val="center"/>
          </w:tcPr>
          <w:p>
            <w:pPr>
              <w:jc w:val="center"/>
              <w:rPr>
                <w:rFonts w:ascii="Times New Roman" w:hAnsi="Times New Roman" w:cstheme="minorBidi"/>
              </w:rPr>
            </w:pPr>
            <w:r>
              <w:rPr>
                <w:rFonts w:hint="eastAsia" w:ascii="Times New Roman" w:hAnsi="Times New Roman" w:cstheme="minorBidi"/>
              </w:rPr>
              <w:t>合营企业或联营企业名称</w:t>
            </w:r>
          </w:p>
        </w:tc>
        <w:sdt>
          <w:sdtPr>
            <w:tag w:val="_PLD_2e148655e91e4b998bd7a7d0b10c96fd"/>
            <w:id w:val="980348476"/>
          </w:sdtPr>
          <w:sdtContent>
            <w:tc>
              <w:tcPr>
                <w:tcW w:w="1134" w:type="dxa"/>
                <w:vMerge w:val="restart"/>
                <w:vAlign w:val="center"/>
              </w:tcPr>
              <w:p>
                <w:pPr>
                  <w:jc w:val="center"/>
                  <w:rPr>
                    <w:rFonts w:ascii="Times New Roman" w:hAnsi="Times New Roman" w:cstheme="minorBidi"/>
                  </w:rPr>
                </w:pPr>
                <w:r>
                  <w:rPr>
                    <w:rFonts w:hint="eastAsia" w:ascii="Times New Roman" w:hAnsi="Times New Roman" w:cs="Arial"/>
                    <w:lang w:val="en-GB"/>
                  </w:rPr>
                  <w:t>主要经营地</w:t>
                </w:r>
              </w:p>
            </w:tc>
          </w:sdtContent>
        </w:sdt>
        <w:tc>
          <w:tcPr>
            <w:tcW w:w="1134" w:type="dxa"/>
            <w:vMerge w:val="restart"/>
            <w:vAlign w:val="center"/>
          </w:tcPr>
          <w:p>
            <w:pPr>
              <w:jc w:val="center"/>
              <w:rPr>
                <w:rFonts w:ascii="Times New Roman" w:hAnsi="Times New Roman" w:cstheme="minorBidi"/>
              </w:rPr>
            </w:pPr>
            <w:r>
              <w:rPr>
                <w:rFonts w:hint="eastAsia" w:ascii="Times New Roman" w:hAnsi="Times New Roman" w:cstheme="minorBidi"/>
              </w:rPr>
              <w:t>注册地</w:t>
            </w:r>
          </w:p>
        </w:tc>
        <w:tc>
          <w:tcPr>
            <w:tcW w:w="2246" w:type="dxa"/>
            <w:vMerge w:val="restart"/>
            <w:vAlign w:val="center"/>
          </w:tcPr>
          <w:p>
            <w:pPr>
              <w:jc w:val="center"/>
              <w:rPr>
                <w:rFonts w:ascii="Times New Roman" w:hAnsi="Times New Roman" w:cstheme="minorBidi"/>
              </w:rPr>
            </w:pPr>
            <w:r>
              <w:rPr>
                <w:rFonts w:hint="eastAsia" w:ascii="Times New Roman" w:hAnsi="Times New Roman" w:cstheme="minorBidi"/>
              </w:rPr>
              <w:t>业务性质</w:t>
            </w:r>
          </w:p>
          <w:p>
            <w:pPr>
              <w:jc w:val="center"/>
              <w:rPr>
                <w:rFonts w:ascii="Times New Roman" w:hAnsi="Times New Roman" w:cstheme="minorBidi"/>
              </w:rPr>
            </w:pPr>
          </w:p>
        </w:tc>
        <w:tc>
          <w:tcPr>
            <w:tcW w:w="1456" w:type="dxa"/>
            <w:gridSpan w:val="2"/>
            <w:vAlign w:val="center"/>
          </w:tcPr>
          <w:p>
            <w:pPr>
              <w:jc w:val="center"/>
              <w:rPr>
                <w:rFonts w:ascii="宋体" w:hAnsi="宋体" w:cstheme="minorBidi"/>
              </w:rPr>
            </w:pPr>
            <w:r>
              <w:rPr>
                <w:rFonts w:hint="eastAsia" w:ascii="宋体" w:hAnsi="宋体" w:cstheme="minorBidi"/>
              </w:rPr>
              <w:t>持股比例(%)</w:t>
            </w:r>
          </w:p>
        </w:tc>
        <w:tc>
          <w:tcPr>
            <w:tcW w:w="1157" w:type="dxa"/>
            <w:vMerge w:val="restart"/>
          </w:tcPr>
          <w:p>
            <w:pPr>
              <w:rPr>
                <w:rFonts w:ascii="Times New Roman" w:hAnsi="Times New Roman" w:cstheme="minorBidi"/>
              </w:rPr>
            </w:pPr>
            <w:r>
              <w:rPr>
                <w:rFonts w:hint="eastAsia" w:ascii="Times New Roman" w:hAnsi="Times New Roman" w:cstheme="minorBidi"/>
              </w:rPr>
              <w:t>对合营企业或联营企业投资的会计处理方法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tcPr>
          <w:p>
            <w:pPr>
              <w:rPr>
                <w:rFonts w:ascii="Times New Roman" w:hAnsi="Times New Roman" w:cstheme="minorBidi"/>
              </w:rPr>
            </w:pPr>
          </w:p>
        </w:tc>
        <w:tc>
          <w:tcPr>
            <w:tcW w:w="1134" w:type="dxa"/>
            <w:vMerge w:val="continue"/>
          </w:tcPr>
          <w:p>
            <w:pPr>
              <w:rPr>
                <w:rFonts w:ascii="Times New Roman" w:hAnsi="Times New Roman" w:cstheme="minorBidi"/>
              </w:rPr>
            </w:pPr>
          </w:p>
        </w:tc>
        <w:tc>
          <w:tcPr>
            <w:tcW w:w="1134" w:type="dxa"/>
            <w:vMerge w:val="continue"/>
          </w:tcPr>
          <w:p>
            <w:pPr>
              <w:rPr>
                <w:rFonts w:ascii="Times New Roman" w:hAnsi="Times New Roman" w:cstheme="minorBidi"/>
              </w:rPr>
            </w:pPr>
          </w:p>
        </w:tc>
        <w:tc>
          <w:tcPr>
            <w:tcW w:w="2246" w:type="dxa"/>
            <w:vMerge w:val="continue"/>
          </w:tcPr>
          <w:p>
            <w:pPr>
              <w:rPr>
                <w:rFonts w:ascii="Times New Roman" w:hAnsi="Times New Roman" w:cstheme="minorBidi"/>
              </w:rPr>
            </w:pPr>
          </w:p>
        </w:tc>
        <w:tc>
          <w:tcPr>
            <w:tcW w:w="731" w:type="dxa"/>
            <w:vAlign w:val="center"/>
          </w:tcPr>
          <w:p>
            <w:pPr>
              <w:jc w:val="center"/>
              <w:rPr>
                <w:rFonts w:ascii="Times New Roman" w:hAnsi="Times New Roman" w:cstheme="minorBidi"/>
              </w:rPr>
            </w:pPr>
            <w:r>
              <w:rPr>
                <w:rFonts w:hint="eastAsia" w:ascii="Times New Roman" w:hAnsi="Times New Roman"/>
              </w:rPr>
              <w:t>直接</w:t>
            </w:r>
          </w:p>
        </w:tc>
        <w:tc>
          <w:tcPr>
            <w:tcW w:w="725" w:type="dxa"/>
            <w:vAlign w:val="center"/>
          </w:tcPr>
          <w:p>
            <w:pPr>
              <w:jc w:val="center"/>
              <w:rPr>
                <w:rFonts w:ascii="Times New Roman" w:hAnsi="Times New Roman" w:cstheme="minorBidi"/>
              </w:rPr>
            </w:pPr>
            <w:r>
              <w:rPr>
                <w:rFonts w:hint="eastAsia" w:ascii="Times New Roman" w:hAnsi="Times New Roman"/>
              </w:rPr>
              <w:t>间接</w:t>
            </w:r>
          </w:p>
        </w:tc>
        <w:tc>
          <w:tcPr>
            <w:tcW w:w="1157" w:type="dxa"/>
            <w:vMerge w:val="continue"/>
          </w:tcPr>
          <w:p>
            <w:pPr>
              <w:rPr>
                <w:rFonts w:ascii="Times New Roman" w:hAnsi="Times New Roman"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rPr>
                <w:rFonts w:ascii="Times New Roman" w:hAnsi="Times New Roman" w:cstheme="minorBidi"/>
              </w:rPr>
            </w:pPr>
            <w:r>
              <w:rPr>
                <w:rFonts w:hint="eastAsia" w:ascii="Times New Roman" w:hAnsi="Times New Roman"/>
              </w:rPr>
              <w:t>中山矿合营企业</w:t>
            </w:r>
          </w:p>
        </w:tc>
        <w:tc>
          <w:tcPr>
            <w:tcW w:w="1134" w:type="dxa"/>
            <w:vAlign w:val="center"/>
          </w:tcPr>
          <w:p>
            <w:pPr>
              <w:rPr>
                <w:rFonts w:ascii="Times New Roman" w:hAnsi="Times New Roman" w:cstheme="minorBidi"/>
              </w:rPr>
            </w:pPr>
            <w:r>
              <w:rPr>
                <w:rFonts w:hint="eastAsia" w:ascii="Times New Roman" w:hAnsi="Times New Roman"/>
              </w:rPr>
              <w:t>澳大利亚</w:t>
            </w:r>
          </w:p>
        </w:tc>
        <w:tc>
          <w:tcPr>
            <w:tcW w:w="1134" w:type="dxa"/>
            <w:vAlign w:val="center"/>
          </w:tcPr>
          <w:p>
            <w:pPr>
              <w:rPr>
                <w:rFonts w:ascii="Times New Roman" w:hAnsi="Times New Roman" w:cstheme="minorBidi"/>
              </w:rPr>
            </w:pPr>
            <w:r>
              <w:rPr>
                <w:rFonts w:hint="eastAsia" w:ascii="Times New Roman" w:hAnsi="Times New Roman"/>
              </w:rPr>
              <w:t>澳大利亚</w:t>
            </w:r>
          </w:p>
        </w:tc>
        <w:tc>
          <w:tcPr>
            <w:tcW w:w="2246" w:type="dxa"/>
            <w:vAlign w:val="center"/>
          </w:tcPr>
          <w:p>
            <w:pPr>
              <w:rPr>
                <w:rFonts w:ascii="Times New Roman" w:hAnsi="Times New Roman" w:cstheme="minorBidi"/>
              </w:rPr>
            </w:pPr>
            <w:r>
              <w:rPr>
                <w:rFonts w:hint="eastAsia" w:ascii="Times New Roman" w:hAnsi="Times New Roman"/>
              </w:rPr>
              <w:t>煤炭采掘及销售</w:t>
            </w:r>
          </w:p>
        </w:tc>
        <w:tc>
          <w:tcPr>
            <w:tcW w:w="731" w:type="dxa"/>
            <w:vAlign w:val="center"/>
          </w:tcPr>
          <w:p>
            <w:pPr>
              <w:jc w:val="right"/>
              <w:rPr>
                <w:rFonts w:ascii="Times New Roman" w:hAnsi="Times New Roman" w:cstheme="minorBidi"/>
              </w:rPr>
            </w:pPr>
          </w:p>
        </w:tc>
        <w:tc>
          <w:tcPr>
            <w:tcW w:w="725" w:type="dxa"/>
            <w:vAlign w:val="center"/>
          </w:tcPr>
          <w:p>
            <w:pPr>
              <w:jc w:val="right"/>
              <w:rPr>
                <w:rFonts w:ascii="Times New Roman" w:hAnsi="Times New Roman" w:cstheme="minorBidi"/>
              </w:rPr>
            </w:pPr>
            <w:r>
              <w:rPr>
                <w:rFonts w:hint="eastAsia" w:ascii="宋体" w:hAnsi="宋体"/>
              </w:rPr>
              <w:t>约50</w:t>
            </w:r>
          </w:p>
        </w:tc>
        <w:tc>
          <w:tcPr>
            <w:tcW w:w="1157" w:type="dxa"/>
            <w:vAlign w:val="center"/>
          </w:tcPr>
          <w:p>
            <w:pPr>
              <w:jc w:val="center"/>
              <w:rPr>
                <w:rFonts w:ascii="Times New Roman" w:hAnsi="Times New Roman" w:cstheme="minorBidi"/>
              </w:rPr>
            </w:pPr>
            <w:r>
              <w:rPr>
                <w:rFonts w:hint="eastAsia" w:ascii="Times New Roman" w:hAnsi="Times New Roman"/>
              </w:rPr>
              <w:t>权益法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rPr>
                <w:rFonts w:ascii="Times New Roman" w:hAnsi="Times New Roman" w:cstheme="minorBidi"/>
              </w:rPr>
            </w:pPr>
            <w:r>
              <w:rPr>
                <w:rFonts w:hint="eastAsia" w:ascii="Times New Roman" w:hAnsi="Times New Roman"/>
              </w:rPr>
              <w:t>华电邹县发电有限公司</w:t>
            </w:r>
          </w:p>
        </w:tc>
        <w:tc>
          <w:tcPr>
            <w:tcW w:w="1134" w:type="dxa"/>
            <w:vAlign w:val="center"/>
          </w:tcPr>
          <w:p>
            <w:pPr>
              <w:rPr>
                <w:rFonts w:ascii="Times New Roman" w:hAnsi="Times New Roman" w:cstheme="minorBidi"/>
              </w:rPr>
            </w:pPr>
            <w:r>
              <w:rPr>
                <w:rFonts w:hint="eastAsia" w:ascii="Times New Roman" w:hAnsi="Times New Roman"/>
              </w:rPr>
              <w:t>山东</w:t>
            </w:r>
          </w:p>
        </w:tc>
        <w:tc>
          <w:tcPr>
            <w:tcW w:w="1134" w:type="dxa"/>
            <w:vAlign w:val="center"/>
          </w:tcPr>
          <w:p>
            <w:pPr>
              <w:rPr>
                <w:rFonts w:ascii="Times New Roman" w:hAnsi="Times New Roman" w:cstheme="minorBidi"/>
              </w:rPr>
            </w:pPr>
            <w:r>
              <w:rPr>
                <w:rFonts w:hint="eastAsia" w:ascii="Times New Roman" w:hAnsi="Times New Roman"/>
              </w:rPr>
              <w:t>山东</w:t>
            </w:r>
          </w:p>
        </w:tc>
        <w:tc>
          <w:tcPr>
            <w:tcW w:w="2246" w:type="dxa"/>
            <w:vAlign w:val="center"/>
          </w:tcPr>
          <w:p>
            <w:pPr>
              <w:rPr>
                <w:rFonts w:ascii="Times New Roman" w:hAnsi="Times New Roman" w:cstheme="minorBidi"/>
              </w:rPr>
            </w:pPr>
            <w:r>
              <w:rPr>
                <w:rFonts w:hint="eastAsia" w:ascii="Times New Roman" w:hAnsi="Times New Roman"/>
              </w:rPr>
              <w:t>火力发电及发电余热综合利用</w:t>
            </w:r>
          </w:p>
        </w:tc>
        <w:tc>
          <w:tcPr>
            <w:tcW w:w="731" w:type="dxa"/>
            <w:vAlign w:val="center"/>
          </w:tcPr>
          <w:p>
            <w:pPr>
              <w:jc w:val="right"/>
              <w:rPr>
                <w:rFonts w:ascii="Times New Roman" w:hAnsi="Times New Roman" w:cstheme="minorBidi"/>
              </w:rPr>
            </w:pPr>
            <w:r>
              <w:rPr>
                <w:rFonts w:hint="eastAsia" w:ascii="宋体" w:hAnsi="宋体"/>
              </w:rPr>
              <w:t>30</w:t>
            </w:r>
          </w:p>
        </w:tc>
        <w:tc>
          <w:tcPr>
            <w:tcW w:w="725" w:type="dxa"/>
            <w:vAlign w:val="center"/>
          </w:tcPr>
          <w:p>
            <w:pPr>
              <w:jc w:val="right"/>
              <w:rPr>
                <w:rFonts w:ascii="Times New Roman" w:hAnsi="Times New Roman" w:cstheme="minorBidi"/>
              </w:rPr>
            </w:pPr>
          </w:p>
        </w:tc>
        <w:tc>
          <w:tcPr>
            <w:tcW w:w="1157" w:type="dxa"/>
            <w:vAlign w:val="center"/>
          </w:tcPr>
          <w:p>
            <w:pPr>
              <w:jc w:val="center"/>
              <w:rPr>
                <w:rFonts w:ascii="Times New Roman" w:hAnsi="Times New Roman" w:cstheme="minorBidi"/>
              </w:rPr>
            </w:pPr>
            <w:r>
              <w:rPr>
                <w:rFonts w:hint="eastAsia" w:ascii="Times New Roman" w:hAnsi="Times New Roman"/>
              </w:rPr>
              <w:t>权益法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rPr>
                <w:rFonts w:ascii="Times New Roman" w:hAnsi="Times New Roman" w:cstheme="minorBidi"/>
              </w:rPr>
            </w:pPr>
            <w:r>
              <w:rPr>
                <w:rFonts w:hint="eastAsia" w:ascii="Times New Roman" w:hAnsi="Times New Roman"/>
              </w:rPr>
              <w:t>内蒙古伊泰呼准铁路有限公司</w:t>
            </w:r>
          </w:p>
        </w:tc>
        <w:tc>
          <w:tcPr>
            <w:tcW w:w="1134" w:type="dxa"/>
            <w:vAlign w:val="center"/>
          </w:tcPr>
          <w:p>
            <w:pPr>
              <w:rPr>
                <w:rFonts w:ascii="Times New Roman" w:hAnsi="Times New Roman" w:cstheme="minorBidi"/>
              </w:rPr>
            </w:pPr>
            <w:r>
              <w:rPr>
                <w:rFonts w:hint="eastAsia" w:ascii="Times New Roman" w:hAnsi="Times New Roman"/>
              </w:rPr>
              <w:t>内蒙古</w:t>
            </w:r>
          </w:p>
        </w:tc>
        <w:tc>
          <w:tcPr>
            <w:tcW w:w="1134" w:type="dxa"/>
            <w:vAlign w:val="center"/>
          </w:tcPr>
          <w:p>
            <w:pPr>
              <w:rPr>
                <w:rFonts w:ascii="Times New Roman" w:hAnsi="Times New Roman" w:cstheme="minorBidi"/>
              </w:rPr>
            </w:pPr>
            <w:r>
              <w:rPr>
                <w:rFonts w:hint="eastAsia" w:ascii="Times New Roman" w:hAnsi="Times New Roman"/>
              </w:rPr>
              <w:t>内蒙古</w:t>
            </w:r>
          </w:p>
        </w:tc>
        <w:tc>
          <w:tcPr>
            <w:tcW w:w="2246" w:type="dxa"/>
            <w:vAlign w:val="center"/>
          </w:tcPr>
          <w:p>
            <w:pPr>
              <w:rPr>
                <w:rFonts w:ascii="Times New Roman" w:hAnsi="Times New Roman" w:cstheme="minorBidi"/>
              </w:rPr>
            </w:pPr>
            <w:r>
              <w:rPr>
                <w:rFonts w:hint="eastAsia" w:ascii="Times New Roman" w:hAnsi="Times New Roman"/>
              </w:rPr>
              <w:t>铁路建设及客货运输</w:t>
            </w:r>
          </w:p>
        </w:tc>
        <w:tc>
          <w:tcPr>
            <w:tcW w:w="731" w:type="dxa"/>
            <w:vAlign w:val="center"/>
          </w:tcPr>
          <w:p>
            <w:pPr>
              <w:jc w:val="right"/>
              <w:rPr>
                <w:rFonts w:ascii="Times New Roman" w:hAnsi="Times New Roman" w:cstheme="minorBidi"/>
              </w:rPr>
            </w:pPr>
          </w:p>
        </w:tc>
        <w:tc>
          <w:tcPr>
            <w:tcW w:w="725" w:type="dxa"/>
            <w:vAlign w:val="center"/>
          </w:tcPr>
          <w:p>
            <w:pPr>
              <w:jc w:val="right"/>
              <w:rPr>
                <w:rFonts w:ascii="Times New Roman" w:hAnsi="Times New Roman" w:cstheme="minorBidi"/>
              </w:rPr>
            </w:pPr>
            <w:r>
              <w:rPr>
                <w:rFonts w:hint="eastAsia" w:ascii="宋体" w:hAnsi="宋体"/>
              </w:rPr>
              <w:t>18.94</w:t>
            </w:r>
          </w:p>
        </w:tc>
        <w:tc>
          <w:tcPr>
            <w:tcW w:w="1157" w:type="dxa"/>
            <w:vAlign w:val="center"/>
          </w:tcPr>
          <w:p>
            <w:pPr>
              <w:jc w:val="center"/>
              <w:rPr>
                <w:rFonts w:ascii="Times New Roman" w:hAnsi="Times New Roman" w:cstheme="minorBidi"/>
              </w:rPr>
            </w:pPr>
            <w:r>
              <w:rPr>
                <w:rFonts w:hint="eastAsia" w:ascii="Times New Roman" w:hAnsi="Times New Roman"/>
              </w:rPr>
              <w:t>权益法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rPr>
                <w:rFonts w:ascii="Times New Roman" w:hAnsi="Times New Roman" w:cstheme="minorBidi"/>
              </w:rPr>
            </w:pPr>
            <w:r>
              <w:rPr>
                <w:rFonts w:hint="eastAsia" w:ascii="Times New Roman" w:hAnsi="Times New Roman"/>
              </w:rPr>
              <w:t>临商银行股份有限公司</w:t>
            </w:r>
          </w:p>
        </w:tc>
        <w:tc>
          <w:tcPr>
            <w:tcW w:w="1134" w:type="dxa"/>
            <w:vAlign w:val="center"/>
          </w:tcPr>
          <w:p>
            <w:pPr>
              <w:rPr>
                <w:rFonts w:ascii="Times New Roman" w:hAnsi="Times New Roman" w:cstheme="minorBidi"/>
              </w:rPr>
            </w:pPr>
            <w:r>
              <w:rPr>
                <w:rFonts w:hint="eastAsia" w:ascii="Times New Roman" w:hAnsi="Times New Roman"/>
              </w:rPr>
              <w:t>山东</w:t>
            </w:r>
          </w:p>
        </w:tc>
        <w:tc>
          <w:tcPr>
            <w:tcW w:w="1134" w:type="dxa"/>
            <w:vAlign w:val="center"/>
          </w:tcPr>
          <w:p>
            <w:pPr>
              <w:rPr>
                <w:rFonts w:ascii="Times New Roman" w:hAnsi="Times New Roman" w:cstheme="minorBidi"/>
              </w:rPr>
            </w:pPr>
            <w:r>
              <w:rPr>
                <w:rFonts w:hint="eastAsia" w:ascii="Times New Roman" w:hAnsi="Times New Roman"/>
              </w:rPr>
              <w:t>山东</w:t>
            </w:r>
          </w:p>
        </w:tc>
        <w:tc>
          <w:tcPr>
            <w:tcW w:w="2246" w:type="dxa"/>
            <w:vAlign w:val="center"/>
          </w:tcPr>
          <w:p>
            <w:pPr>
              <w:rPr>
                <w:rFonts w:ascii="Times New Roman" w:hAnsi="Times New Roman" w:cstheme="minorBidi"/>
              </w:rPr>
            </w:pPr>
            <w:r>
              <w:rPr>
                <w:rFonts w:hint="eastAsia" w:ascii="Times New Roman" w:hAnsi="Times New Roman"/>
              </w:rPr>
              <w:t>金融服务</w:t>
            </w:r>
          </w:p>
        </w:tc>
        <w:tc>
          <w:tcPr>
            <w:tcW w:w="731" w:type="dxa"/>
            <w:vAlign w:val="center"/>
          </w:tcPr>
          <w:p>
            <w:pPr>
              <w:jc w:val="right"/>
              <w:rPr>
                <w:rFonts w:ascii="Times New Roman" w:hAnsi="Times New Roman" w:cstheme="minorBidi"/>
              </w:rPr>
            </w:pPr>
            <w:r>
              <w:rPr>
                <w:rFonts w:hint="eastAsia" w:ascii="宋体" w:hAnsi="宋体"/>
              </w:rPr>
              <w:t>17</w:t>
            </w:r>
          </w:p>
        </w:tc>
        <w:tc>
          <w:tcPr>
            <w:tcW w:w="725" w:type="dxa"/>
            <w:vAlign w:val="center"/>
          </w:tcPr>
          <w:p>
            <w:pPr>
              <w:jc w:val="right"/>
              <w:rPr>
                <w:rFonts w:ascii="Times New Roman" w:hAnsi="Times New Roman" w:cstheme="minorBidi"/>
              </w:rPr>
            </w:pPr>
          </w:p>
        </w:tc>
        <w:tc>
          <w:tcPr>
            <w:tcW w:w="1157" w:type="dxa"/>
            <w:vAlign w:val="center"/>
          </w:tcPr>
          <w:p>
            <w:pPr>
              <w:jc w:val="center"/>
              <w:rPr>
                <w:rFonts w:ascii="Times New Roman" w:hAnsi="Times New Roman" w:cstheme="minorBidi"/>
              </w:rPr>
            </w:pPr>
            <w:r>
              <w:rPr>
                <w:rFonts w:hint="eastAsia" w:ascii="Times New Roman" w:hAnsi="Times New Roman"/>
              </w:rPr>
              <w:t>权益法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rPr>
                <w:rFonts w:ascii="Times New Roman" w:hAnsi="Times New Roman" w:cstheme="minorBidi"/>
              </w:rPr>
            </w:pPr>
            <w:r>
              <w:rPr>
                <w:rFonts w:hint="eastAsia" w:ascii="Times New Roman" w:hAnsi="Times New Roman"/>
              </w:rPr>
              <w:t>内蒙古锦联铝材有限公司</w:t>
            </w:r>
          </w:p>
        </w:tc>
        <w:tc>
          <w:tcPr>
            <w:tcW w:w="1134" w:type="dxa"/>
            <w:vAlign w:val="center"/>
          </w:tcPr>
          <w:p>
            <w:pPr>
              <w:rPr>
                <w:rFonts w:ascii="Times New Roman" w:hAnsi="Times New Roman" w:cstheme="minorBidi"/>
              </w:rPr>
            </w:pPr>
            <w:r>
              <w:rPr>
                <w:rFonts w:hint="eastAsia" w:ascii="Times New Roman" w:hAnsi="Times New Roman"/>
              </w:rPr>
              <w:t>内蒙古</w:t>
            </w:r>
          </w:p>
        </w:tc>
        <w:tc>
          <w:tcPr>
            <w:tcW w:w="1134" w:type="dxa"/>
            <w:vAlign w:val="center"/>
          </w:tcPr>
          <w:p>
            <w:pPr>
              <w:rPr>
                <w:rFonts w:ascii="Times New Roman" w:hAnsi="Times New Roman" w:cstheme="minorBidi"/>
              </w:rPr>
            </w:pPr>
            <w:r>
              <w:rPr>
                <w:rFonts w:hint="eastAsia" w:ascii="Times New Roman" w:hAnsi="Times New Roman"/>
              </w:rPr>
              <w:t>内蒙古</w:t>
            </w:r>
          </w:p>
        </w:tc>
        <w:tc>
          <w:tcPr>
            <w:tcW w:w="2246" w:type="dxa"/>
            <w:vAlign w:val="center"/>
          </w:tcPr>
          <w:p>
            <w:pPr>
              <w:rPr>
                <w:rFonts w:ascii="Times New Roman" w:hAnsi="Times New Roman" w:cstheme="minorBidi"/>
              </w:rPr>
            </w:pPr>
            <w:r>
              <w:rPr>
                <w:rFonts w:hint="eastAsia" w:ascii="Times New Roman" w:hAnsi="Times New Roman"/>
              </w:rPr>
              <w:t>铝后加工；铝锭、铝制品及衍生产品的生产销售</w:t>
            </w:r>
          </w:p>
        </w:tc>
        <w:tc>
          <w:tcPr>
            <w:tcW w:w="731" w:type="dxa"/>
            <w:vAlign w:val="center"/>
          </w:tcPr>
          <w:p>
            <w:pPr>
              <w:jc w:val="right"/>
              <w:rPr>
                <w:rFonts w:ascii="Times New Roman" w:hAnsi="Times New Roman" w:cstheme="minorBidi"/>
              </w:rPr>
            </w:pPr>
          </w:p>
        </w:tc>
        <w:tc>
          <w:tcPr>
            <w:tcW w:w="725" w:type="dxa"/>
            <w:vAlign w:val="center"/>
          </w:tcPr>
          <w:p>
            <w:pPr>
              <w:jc w:val="right"/>
              <w:rPr>
                <w:rFonts w:ascii="Times New Roman" w:hAnsi="Times New Roman" w:cstheme="minorBidi"/>
              </w:rPr>
            </w:pPr>
            <w:r>
              <w:rPr>
                <w:rFonts w:hint="eastAsia" w:ascii="宋体" w:hAnsi="宋体"/>
              </w:rPr>
              <w:t>44.24</w:t>
            </w:r>
          </w:p>
        </w:tc>
        <w:tc>
          <w:tcPr>
            <w:tcW w:w="1157" w:type="dxa"/>
            <w:vAlign w:val="center"/>
          </w:tcPr>
          <w:p>
            <w:pPr>
              <w:jc w:val="center"/>
              <w:rPr>
                <w:rFonts w:ascii="Times New Roman" w:hAnsi="Times New Roman" w:cstheme="minorBidi"/>
              </w:rPr>
            </w:pPr>
            <w:r>
              <w:rPr>
                <w:rFonts w:hint="eastAsia" w:ascii="Times New Roman" w:hAnsi="Times New Roman"/>
              </w:rPr>
              <w:t>权益法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rPr>
                <w:rFonts w:ascii="Times New Roman" w:hAnsi="Times New Roman" w:cstheme="minorBidi"/>
              </w:rPr>
            </w:pPr>
            <w:r>
              <w:rPr>
                <w:rFonts w:hint="eastAsia" w:ascii="Times New Roman" w:hAnsi="Times New Roman"/>
              </w:rPr>
              <w:t>伊犁新天煤化工有限责任公司</w:t>
            </w:r>
          </w:p>
        </w:tc>
        <w:tc>
          <w:tcPr>
            <w:tcW w:w="1134" w:type="dxa"/>
            <w:vAlign w:val="center"/>
          </w:tcPr>
          <w:p>
            <w:pPr>
              <w:rPr>
                <w:rFonts w:ascii="Times New Roman" w:hAnsi="Times New Roman" w:cstheme="minorBidi"/>
              </w:rPr>
            </w:pPr>
            <w:r>
              <w:rPr>
                <w:rFonts w:hint="eastAsia" w:ascii="Times New Roman" w:hAnsi="Times New Roman"/>
              </w:rPr>
              <w:t>新疆</w:t>
            </w:r>
          </w:p>
        </w:tc>
        <w:tc>
          <w:tcPr>
            <w:tcW w:w="1134" w:type="dxa"/>
            <w:vAlign w:val="center"/>
          </w:tcPr>
          <w:p>
            <w:pPr>
              <w:rPr>
                <w:rFonts w:ascii="Times New Roman" w:hAnsi="Times New Roman" w:cstheme="minorBidi"/>
              </w:rPr>
            </w:pPr>
            <w:r>
              <w:rPr>
                <w:rFonts w:hint="eastAsia" w:ascii="Times New Roman" w:hAnsi="Times New Roman"/>
              </w:rPr>
              <w:t>新疆</w:t>
            </w:r>
          </w:p>
        </w:tc>
        <w:tc>
          <w:tcPr>
            <w:tcW w:w="2246" w:type="dxa"/>
            <w:vAlign w:val="center"/>
          </w:tcPr>
          <w:p>
            <w:pPr>
              <w:rPr>
                <w:rFonts w:ascii="Times New Roman" w:hAnsi="Times New Roman" w:cstheme="minorBidi"/>
              </w:rPr>
            </w:pPr>
            <w:r>
              <w:rPr>
                <w:rFonts w:hint="eastAsia" w:ascii="Times New Roman" w:hAnsi="Times New Roman"/>
              </w:rPr>
              <w:t>煤制合成天然气等产品的生产与销售</w:t>
            </w:r>
          </w:p>
        </w:tc>
        <w:tc>
          <w:tcPr>
            <w:tcW w:w="731" w:type="dxa"/>
            <w:vAlign w:val="center"/>
          </w:tcPr>
          <w:p>
            <w:pPr>
              <w:jc w:val="right"/>
              <w:rPr>
                <w:rFonts w:ascii="Times New Roman" w:hAnsi="Times New Roman" w:cstheme="minorBidi"/>
              </w:rPr>
            </w:pPr>
          </w:p>
        </w:tc>
        <w:tc>
          <w:tcPr>
            <w:tcW w:w="725" w:type="dxa"/>
            <w:vAlign w:val="center"/>
          </w:tcPr>
          <w:p>
            <w:pPr>
              <w:jc w:val="right"/>
              <w:rPr>
                <w:rFonts w:ascii="Times New Roman" w:hAnsi="Times New Roman" w:cstheme="minorBidi"/>
              </w:rPr>
            </w:pPr>
            <w:r>
              <w:rPr>
                <w:rFonts w:hint="eastAsia" w:ascii="宋体" w:hAnsi="宋体"/>
              </w:rPr>
              <w:t>45.00</w:t>
            </w:r>
          </w:p>
        </w:tc>
        <w:tc>
          <w:tcPr>
            <w:tcW w:w="1157" w:type="dxa"/>
            <w:vAlign w:val="center"/>
          </w:tcPr>
          <w:p>
            <w:pPr>
              <w:jc w:val="center"/>
              <w:rPr>
                <w:rFonts w:ascii="Times New Roman" w:hAnsi="Times New Roman" w:cstheme="minorBidi"/>
              </w:rPr>
            </w:pPr>
            <w:r>
              <w:rPr>
                <w:rFonts w:hint="eastAsia" w:ascii="Times New Roman" w:hAnsi="Times New Roman"/>
              </w:rPr>
              <w:t>权益法</w:t>
            </w:r>
          </w:p>
        </w:tc>
      </w:tr>
    </w:tbl>
    <w:p>
      <w:pPr>
        <w:rPr>
          <w:rFonts w:cstheme="minorBidi"/>
        </w:rPr>
      </w:pPr>
    </w:p>
    <w:p>
      <w:pPr>
        <w:pStyle w:val="505"/>
        <w:numPr>
          <w:ilvl w:val="3"/>
          <w:numId w:val="119"/>
        </w:numPr>
        <w:ind w:left="424" w:hanging="424" w:hangingChars="201"/>
      </w:pPr>
      <w:r>
        <w:rPr>
          <w:rFonts w:hint="eastAsia"/>
        </w:rPr>
        <w:t>重要合营企业的主要财务信息</w:t>
      </w:r>
    </w:p>
    <w:sdt>
      <w:sdtPr>
        <w:rPr>
          <w:rFonts w:hint="eastAsia"/>
        </w:rPr>
        <w:alias w:val="是否适用：重要合营企业的主要财务信息[双击切换]"/>
        <w:tag w:val="_GBC_8218a872fcd045d290940ccf3b3bdfa5"/>
        <w:id w:val="-294753027"/>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合营企业的主要财务信息"/>
          <w:tag w:val="_GBC_c3e62c0d62494c0bb865a164a263a4c4"/>
          <w:id w:val="-20994719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重要合营企业的主要财务信息"/>
          <w:tag w:val="_GBC_dbf325e8ec10449ba127b878292f7bb1"/>
          <w:id w:val="-3468647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969"/>
        <w:gridCol w:w="2561"/>
        <w:gridCol w:w="251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2193" w:type="pct"/>
            <w:vMerge w:val="restart"/>
            <w:tcBorders>
              <w:top w:val="single" w:color="auto" w:sz="4" w:space="0"/>
              <w:left w:val="single" w:color="auto" w:sz="4" w:space="0"/>
              <w:bottom w:val="single" w:color="auto" w:sz="6" w:space="0"/>
              <w:right w:val="single" w:color="auto" w:sz="6" w:space="0"/>
            </w:tcBorders>
            <w:shd w:val="clear" w:color="auto" w:fill="auto"/>
          </w:tcPr>
          <w:p>
            <w:pPr>
              <w:jc w:val="center"/>
              <w:rPr>
                <w:rFonts w:cs="Arial"/>
              </w:rPr>
            </w:pPr>
          </w:p>
        </w:tc>
        <w:tc>
          <w:tcPr>
            <w:tcW w:w="1415" w:type="pct"/>
            <w:tcBorders>
              <w:top w:val="single" w:color="auto" w:sz="4" w:space="0"/>
              <w:left w:val="single" w:color="auto" w:sz="6" w:space="0"/>
              <w:bottom w:val="single" w:color="auto" w:sz="6" w:space="0"/>
              <w:right w:val="single" w:color="auto" w:sz="6" w:space="0"/>
            </w:tcBorders>
            <w:shd w:val="clear" w:color="auto" w:fill="auto"/>
            <w:vAlign w:val="center"/>
          </w:tcPr>
          <w:sdt>
            <w:sdtPr>
              <w:rPr>
                <w:rFonts w:hint="eastAsia" w:cs="Arial"/>
                <w:lang w:val="en-GB"/>
              </w:rPr>
              <w:tag w:val="_PLD_76a2785402e4473fa8d78414b853974b"/>
              <w:id w:val="-1527869864"/>
            </w:sdtPr>
            <w:sdtEndPr>
              <w:rPr>
                <w:rFonts w:hint="eastAsia" w:cs="Arial"/>
                <w:lang w:val="en-GB"/>
              </w:rPr>
            </w:sdtEndPr>
            <w:sdtContent>
              <w:p>
                <w:pPr>
                  <w:jc w:val="center"/>
                  <w:rPr>
                    <w:rFonts w:cs="Arial"/>
                    <w:lang w:val="en-GB"/>
                  </w:rPr>
                </w:pPr>
                <w:r>
                  <w:rPr>
                    <w:rFonts w:hint="eastAsia" w:cs="Arial"/>
                    <w:lang w:val="en-GB"/>
                  </w:rPr>
                  <w:t>期末余额</w:t>
                </w:r>
                <w:r>
                  <w:rPr>
                    <w:rFonts w:cs="Arial"/>
                  </w:rPr>
                  <w:t xml:space="preserve">/ </w:t>
                </w:r>
                <w:r>
                  <w:rPr>
                    <w:rFonts w:hint="eastAsia" w:cs="Arial"/>
                    <w:lang w:val="en-GB"/>
                  </w:rPr>
                  <w:t>本期发生额</w:t>
                </w:r>
              </w:p>
            </w:sdtContent>
          </w:sdt>
        </w:tc>
        <w:tc>
          <w:tcPr>
            <w:tcW w:w="1392" w:type="pct"/>
            <w:tcBorders>
              <w:top w:val="single" w:color="auto" w:sz="4" w:space="0"/>
              <w:left w:val="single" w:color="auto" w:sz="6" w:space="0"/>
              <w:bottom w:val="single" w:color="auto" w:sz="6" w:space="0"/>
              <w:right w:val="single" w:color="auto" w:sz="6" w:space="0"/>
            </w:tcBorders>
            <w:shd w:val="clear" w:color="auto" w:fill="auto"/>
            <w:vAlign w:val="center"/>
          </w:tcPr>
          <w:sdt>
            <w:sdtPr>
              <w:rPr>
                <w:rFonts w:hint="eastAsia" w:cs="Arial"/>
                <w:lang w:val="en-GB"/>
              </w:rPr>
              <w:tag w:val="_PLD_1e01bab448ec49c797c7281133f63f1e"/>
              <w:id w:val="318547260"/>
              <w:lock w:val="sdtLocked"/>
            </w:sdtPr>
            <w:sdtEndPr>
              <w:rPr>
                <w:rFonts w:hint="eastAsia" w:cs="Arial"/>
                <w:lang w:val="en-GB"/>
              </w:rPr>
            </w:sdtEndPr>
            <w:sdtContent>
              <w:p>
                <w:pPr>
                  <w:jc w:val="center"/>
                  <w:rPr>
                    <w:rFonts w:cs="Arial"/>
                    <w:lang w:val="en-GB"/>
                  </w:rPr>
                </w:pPr>
                <w:r>
                  <w:rPr>
                    <w:rFonts w:hint="eastAsia" w:cs="Arial"/>
                    <w:lang w:val="en-GB"/>
                  </w:rPr>
                  <w:t>期初余额</w:t>
                </w:r>
                <w:r>
                  <w:rPr>
                    <w:rFonts w:cs="Arial"/>
                  </w:rPr>
                  <w:t xml:space="preserve">/ </w:t>
                </w:r>
                <w:r>
                  <w:rPr>
                    <w:rFonts w:hint="eastAsia" w:cs="Arial"/>
                    <w:lang w:val="en-GB"/>
                  </w:rPr>
                  <w:t>上期发生额</w:t>
                </w:r>
              </w:p>
            </w:sdtContent>
          </w:sdt>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2193" w:type="pct"/>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rPr>
                <w:rFonts w:cs="Arial"/>
              </w:rPr>
            </w:pPr>
          </w:p>
        </w:tc>
        <w:tc>
          <w:tcPr>
            <w:tcW w:w="1415" w:type="pct"/>
            <w:tcBorders>
              <w:top w:val="single" w:color="auto" w:sz="6" w:space="0"/>
              <w:left w:val="single" w:color="auto" w:sz="6" w:space="0"/>
              <w:bottom w:val="single" w:color="auto" w:sz="4" w:space="0"/>
              <w:right w:val="single" w:color="auto" w:sz="6" w:space="0"/>
            </w:tcBorders>
          </w:tcPr>
          <w:p>
            <w:pPr>
              <w:jc w:val="center"/>
            </w:pPr>
            <w:r>
              <w:rPr>
                <w:rFonts w:hint="eastAsia"/>
              </w:rPr>
              <w:t>中山矿合营企业</w:t>
            </w:r>
          </w:p>
        </w:tc>
        <w:tc>
          <w:tcPr>
            <w:tcW w:w="1392" w:type="pct"/>
            <w:tcBorders>
              <w:top w:val="single" w:color="auto" w:sz="6" w:space="0"/>
              <w:left w:val="single" w:color="auto" w:sz="6" w:space="0"/>
              <w:bottom w:val="single" w:color="auto" w:sz="6" w:space="0"/>
              <w:right w:val="single" w:color="auto" w:sz="6" w:space="0"/>
            </w:tcBorders>
          </w:tcPr>
          <w:p>
            <w:pPr>
              <w:jc w:val="center"/>
            </w:pPr>
            <w:r>
              <w:rPr>
                <w:rFonts w:hint="eastAsia"/>
              </w:rPr>
              <w:t>中山矿合营企业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流动资产</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683,506</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1,046,614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ind w:firstLine="420" w:firstLineChars="200"/>
            </w:pPr>
            <w:r>
              <w:rPr>
                <w:rFonts w:hint="eastAsia" w:ascii="宋体" w:hAnsi="宋体" w:cs="Arial"/>
                <w:color w:val="000000"/>
                <w:lang w:bidi="ar"/>
              </w:rPr>
              <w:t>其中：现金和现金等价物</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167,786</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687,236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非流动资产</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4,025,180</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4,825,749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资产合计</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4,708,686</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5,872,363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流动负债</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1,086,345</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1,888,155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非流动负债</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1,184,806</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1,737,753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负债合计</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2,271,151</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3,625,908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归属于母公司股东权益</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2,437,535</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2,246,455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按持股比例计算的净资产份额</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1,218,760</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1,123,221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对合营企业权益投资的账面价值</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1,219,482</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1,123,923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营业收入</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3,165,312</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5,910,092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财务费用</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-42,558</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-650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所得税费用</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-2,478,245</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-556,108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净利润</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124,267</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1,221,699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综合收益总额</w:t>
            </w:r>
          </w:p>
        </w:tc>
        <w:tc>
          <w:tcPr>
            <w:tcW w:w="1415" w:type="pct"/>
            <w:tcBorders>
              <w:top w:val="single" w:color="auto" w:sz="6" w:space="0"/>
              <w:left w:val="single" w:color="auto" w:sz="6" w:space="0"/>
              <w:bottom w:val="single" w:color="auto" w:sz="4" w:space="0"/>
              <w:right w:val="single" w:color="auto" w:sz="6" w:space="0"/>
            </w:tcBorders>
          </w:tcPr>
          <w:p>
            <w:pPr>
              <w:jc w:val="right"/>
              <w:rPr>
                <w:rFonts w:ascii="宋体" w:hAnsi="宋体" w:cs="宋体"/>
                <w:color w:val="000000"/>
                <w:lang w:bidi="ar"/>
              </w:rPr>
            </w:pPr>
            <w:r>
              <w:rPr>
                <w:rFonts w:ascii="宋体" w:hAnsi="宋体" w:cs="宋体"/>
                <w:color w:val="000000"/>
                <w:lang w:bidi="ar"/>
              </w:rPr>
              <w:t>124,267</w:t>
            </w: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1,221,699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193"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color w:val="000000"/>
              </w:rPr>
            </w:pPr>
            <w:r>
              <w:rPr>
                <w:rFonts w:hint="eastAsia" w:ascii="宋体" w:hAnsi="宋体" w:cs="Arial"/>
                <w:color w:val="000000"/>
                <w:lang w:bidi="ar"/>
              </w:rPr>
              <w:t>本年度收到的来自合营企业的股利</w:t>
            </w:r>
          </w:p>
        </w:tc>
        <w:tc>
          <w:tcPr>
            <w:tcW w:w="1415" w:type="pct"/>
            <w:tcBorders>
              <w:top w:val="single" w:color="auto" w:sz="6" w:space="0"/>
              <w:left w:val="single" w:color="auto" w:sz="6" w:space="0"/>
              <w:bottom w:val="single" w:color="auto" w:sz="4" w:space="0"/>
              <w:right w:val="single" w:color="auto" w:sz="6" w:space="0"/>
            </w:tcBorders>
            <w:vAlign w:val="center"/>
          </w:tcPr>
          <w:p>
            <w:pPr>
              <w:jc w:val="right"/>
            </w:pPr>
          </w:p>
        </w:tc>
        <w:tc>
          <w:tcPr>
            <w:tcW w:w="1392"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ascii="宋体" w:hAnsi="宋体" w:cs="宋体"/>
                <w:color w:val="000000"/>
                <w:lang w:bidi="ar"/>
              </w:rPr>
              <w:t>116,697</w:t>
            </w:r>
          </w:p>
        </w:tc>
      </w:tr>
    </w:tbl>
    <w:p>
      <w:pPr>
        <w:pStyle w:val="501"/>
      </w:pPr>
    </w:p>
    <w:p>
      <w:pPr>
        <w:rPr>
          <w:rFonts w:cstheme="minorBidi"/>
        </w:rPr>
        <w:sectPr>
          <w:pgSz w:w="11906" w:h="16838"/>
          <w:pgMar w:top="1525" w:right="1276" w:bottom="1440" w:left="1797" w:header="856" w:footer="992" w:gutter="0"/>
          <w:cols w:space="425" w:num="1"/>
          <w:docGrid w:linePitch="312" w:charSpace="0"/>
        </w:sectPr>
      </w:pPr>
    </w:p>
    <w:p>
      <w:pPr>
        <w:pStyle w:val="505"/>
        <w:numPr>
          <w:ilvl w:val="3"/>
          <w:numId w:val="119"/>
        </w:numPr>
        <w:ind w:left="424" w:hanging="424" w:hangingChars="201"/>
      </w:pPr>
      <w:r>
        <w:rPr>
          <w:rFonts w:hint="eastAsia"/>
        </w:rPr>
        <w:t>重要联营企业的主要财务信息</w:t>
      </w:r>
    </w:p>
    <w:sdt>
      <w:sdtPr>
        <w:rPr>
          <w:rFonts w:hint="eastAsia"/>
        </w:rPr>
        <w:alias w:val="是否适用：重要联营企业的主要财务信息[双击切换]"/>
        <w:tag w:val="_GBC_e570958be6b64b7d8be73c12ea5135f1"/>
        <w:id w:val="1601145542"/>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联营企业的主要财务信息"/>
          <w:tag w:val="_GBC_0306b30be35040cd86d2b964142011d4"/>
          <w:id w:val="7470059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重要联营企业的主要财务信息"/>
          <w:tag w:val="_GBC_a2e655bae21746219bfd958c6f5b8be9"/>
          <w:id w:val="5552034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312"/>
        <w:gridCol w:w="1153"/>
        <w:gridCol w:w="1153"/>
        <w:gridCol w:w="1150"/>
        <w:gridCol w:w="1008"/>
        <w:gridCol w:w="1008"/>
        <w:gridCol w:w="1008"/>
        <w:gridCol w:w="1011"/>
        <w:gridCol w:w="1153"/>
        <w:gridCol w:w="1008"/>
        <w:gridCol w:w="11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1175" w:type="pct"/>
            <w:vMerge w:val="restart"/>
            <w:tcBorders>
              <w:top w:val="single" w:color="auto" w:sz="4" w:space="0"/>
              <w:left w:val="single" w:color="auto" w:sz="4" w:space="0"/>
              <w:bottom w:val="single" w:color="auto" w:sz="6" w:space="0"/>
              <w:right w:val="single" w:color="auto" w:sz="6" w:space="0"/>
            </w:tcBorders>
            <w:shd w:val="clear" w:color="auto" w:fill="auto"/>
            <w:vAlign w:val="center"/>
          </w:tcPr>
          <w:p>
            <w:pPr>
              <w:jc w:val="center"/>
              <w:rPr>
                <w:rFonts w:ascii="宋体" w:hAnsi="宋体" w:cs="Arial"/>
              </w:rPr>
            </w:pPr>
          </w:p>
        </w:tc>
        <w:tc>
          <w:tcPr>
            <w:tcW w:w="1942" w:type="pct"/>
            <w:gridSpan w:val="5"/>
            <w:tcBorders>
              <w:top w:val="single" w:color="auto" w:sz="4" w:space="0"/>
              <w:left w:val="single" w:color="auto" w:sz="6" w:space="0"/>
              <w:bottom w:val="single" w:color="auto" w:sz="6" w:space="0"/>
              <w:right w:val="single" w:color="auto" w:sz="6" w:space="0"/>
            </w:tcBorders>
            <w:shd w:val="clear" w:color="auto" w:fill="auto"/>
            <w:vAlign w:val="center"/>
          </w:tcPr>
          <w:sdt>
            <w:sdtPr>
              <w:rPr>
                <w:rFonts w:hint="eastAsia" w:ascii="宋体" w:hAnsi="宋体" w:cs="Arial"/>
                <w:lang w:val="en-GB"/>
              </w:rPr>
              <w:tag w:val="_PLD_3f5fa209abb242d7b7cbb1f0a249e5ed"/>
              <w:id w:val="-2136469108"/>
            </w:sdtPr>
            <w:sdtEndPr>
              <w:rPr>
                <w:rFonts w:hint="eastAsia" w:ascii="宋体" w:hAnsi="宋体" w:cs="Arial"/>
                <w:lang w:val="en-GB"/>
              </w:rPr>
            </w:sdtEndPr>
            <w:sdtContent>
              <w:p>
                <w:pPr>
                  <w:jc w:val="center"/>
                  <w:rPr>
                    <w:rFonts w:ascii="宋体" w:hAnsi="宋体" w:cs="Arial"/>
                  </w:rPr>
                </w:pPr>
                <w:r>
                  <w:rPr>
                    <w:rFonts w:hint="eastAsia" w:ascii="宋体" w:hAnsi="宋体" w:cs="Arial"/>
                    <w:lang w:val="en-GB"/>
                  </w:rPr>
                  <w:t>期末余额</w:t>
                </w:r>
                <w:r>
                  <w:rPr>
                    <w:rFonts w:ascii="宋体" w:hAnsi="宋体" w:cs="Arial"/>
                  </w:rPr>
                  <w:t>/</w:t>
                </w:r>
                <w:r>
                  <w:rPr>
                    <w:rFonts w:hint="eastAsia" w:ascii="宋体" w:hAnsi="宋体" w:cs="Arial"/>
                    <w:lang w:val="en-GB"/>
                  </w:rPr>
                  <w:t>本期发生额</w:t>
                </w:r>
              </w:p>
            </w:sdtContent>
          </w:sdt>
        </w:tc>
        <w:tc>
          <w:tcPr>
            <w:tcW w:w="1883" w:type="pct"/>
            <w:gridSpan w:val="5"/>
            <w:tcBorders>
              <w:top w:val="single" w:color="auto" w:sz="4" w:space="0"/>
              <w:left w:val="single" w:color="auto" w:sz="6" w:space="0"/>
              <w:bottom w:val="single" w:color="auto" w:sz="6" w:space="0"/>
              <w:right w:val="single" w:color="auto" w:sz="6" w:space="0"/>
            </w:tcBorders>
            <w:shd w:val="clear" w:color="auto" w:fill="auto"/>
            <w:vAlign w:val="center"/>
          </w:tcPr>
          <w:sdt>
            <w:sdtPr>
              <w:rPr>
                <w:rFonts w:hint="eastAsia" w:ascii="宋体" w:hAnsi="宋体" w:cs="Arial"/>
                <w:lang w:val="en-GB"/>
              </w:rPr>
              <w:tag w:val="_PLD_84be18983356408eb53d1d34932bd41a"/>
              <w:id w:val="1894766429"/>
            </w:sdtPr>
            <w:sdtEndPr>
              <w:rPr>
                <w:rFonts w:hint="eastAsia" w:ascii="宋体" w:hAnsi="宋体" w:cs="Arial"/>
                <w:lang w:val="en-GB"/>
              </w:rPr>
            </w:sdtEndPr>
            <w:sdtContent>
              <w:p>
                <w:pPr>
                  <w:jc w:val="center"/>
                  <w:rPr>
                    <w:rFonts w:ascii="宋体" w:hAnsi="宋体" w:cs="Arial"/>
                    <w:lang w:val="en-GB"/>
                  </w:rPr>
                </w:pPr>
                <w:r>
                  <w:rPr>
                    <w:rFonts w:hint="eastAsia" w:ascii="宋体" w:hAnsi="宋体" w:cs="Arial"/>
                    <w:lang w:val="en-GB"/>
                  </w:rPr>
                  <w:t>期初余额</w:t>
                </w:r>
                <w:r>
                  <w:rPr>
                    <w:rFonts w:ascii="宋体" w:hAnsi="宋体" w:cs="Arial"/>
                  </w:rPr>
                  <w:t>/</w:t>
                </w:r>
                <w:r>
                  <w:rPr>
                    <w:rFonts w:hint="eastAsia" w:ascii="宋体" w:hAnsi="宋体" w:cs="Arial"/>
                    <w:lang w:val="en-GB"/>
                  </w:rPr>
                  <w:t>上期发生额</w:t>
                </w:r>
              </w:p>
            </w:sdtContent>
          </w:sdt>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1175" w:type="pct"/>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rPr>
                <w:rFonts w:ascii="宋体" w:hAnsi="宋体" w:cs="Arial"/>
              </w:rPr>
            </w:pPr>
          </w:p>
        </w:tc>
        <w:tc>
          <w:tcPr>
            <w:tcW w:w="409" w:type="pct"/>
            <w:tcBorders>
              <w:top w:val="single" w:color="auto" w:sz="6" w:space="0"/>
              <w:left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华电邹县发电有限公司</w:t>
            </w:r>
          </w:p>
        </w:tc>
        <w:tc>
          <w:tcPr>
            <w:tcW w:w="409" w:type="pct"/>
            <w:tcBorders>
              <w:top w:val="single" w:color="auto" w:sz="6" w:space="0"/>
              <w:left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内蒙古伊泰呼准铁路有限公司</w:t>
            </w:r>
          </w:p>
        </w:tc>
        <w:tc>
          <w:tcPr>
            <w:tcW w:w="408" w:type="pct"/>
            <w:tcBorders>
              <w:top w:val="single" w:color="auto" w:sz="6" w:space="0"/>
              <w:left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临商银行股份有限公司</w:t>
            </w:r>
          </w:p>
        </w:tc>
        <w:tc>
          <w:tcPr>
            <w:tcW w:w="358" w:type="pct"/>
            <w:tcBorders>
              <w:top w:val="single" w:color="auto" w:sz="6" w:space="0"/>
              <w:left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伊犁新天煤化工有限责任公司</w:t>
            </w:r>
          </w:p>
        </w:tc>
        <w:tc>
          <w:tcPr>
            <w:tcW w:w="358" w:type="pct"/>
            <w:tcBorders>
              <w:top w:val="single" w:color="auto" w:sz="6" w:space="0"/>
              <w:left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内蒙古锦联铝材有限公司</w:t>
            </w:r>
          </w:p>
        </w:tc>
        <w:tc>
          <w:tcPr>
            <w:tcW w:w="358" w:type="pct"/>
            <w:tcBorders>
              <w:top w:val="single" w:color="auto" w:sz="6" w:space="0"/>
              <w:left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华电邹县发电有限公司</w:t>
            </w:r>
          </w:p>
        </w:tc>
        <w:tc>
          <w:tcPr>
            <w:tcW w:w="359" w:type="pct"/>
            <w:tcBorders>
              <w:top w:val="single" w:color="auto" w:sz="6" w:space="0"/>
              <w:left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内蒙古伊泰呼准铁路有限公司</w:t>
            </w:r>
          </w:p>
        </w:tc>
        <w:tc>
          <w:tcPr>
            <w:tcW w:w="409" w:type="pct"/>
            <w:tcBorders>
              <w:top w:val="single" w:color="auto" w:sz="6" w:space="0"/>
              <w:left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临商银行股份有限公司</w:t>
            </w:r>
          </w:p>
        </w:tc>
        <w:tc>
          <w:tcPr>
            <w:tcW w:w="358" w:type="pct"/>
            <w:tcBorders>
              <w:top w:val="single" w:color="auto" w:sz="6" w:space="0"/>
              <w:left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伊犁新天煤化工有限责任公司</w:t>
            </w:r>
          </w:p>
        </w:tc>
        <w:tc>
          <w:tcPr>
            <w:tcW w:w="399" w:type="pct"/>
            <w:tcBorders>
              <w:top w:val="single" w:color="auto" w:sz="6" w:space="0"/>
              <w:left w:val="single" w:color="auto" w:sz="6" w:space="0"/>
              <w:right w:val="single" w:color="auto" w:sz="6" w:space="0"/>
            </w:tcBorders>
            <w:shd w:val="clear" w:color="auto" w:fill="auto"/>
            <w:vAlign w:val="center"/>
          </w:tcPr>
          <w:p>
            <w:pPr>
              <w:jc w:val="center"/>
              <w:rPr>
                <w:rFonts w:ascii="宋体" w:hAnsi="宋体"/>
              </w:rPr>
            </w:pPr>
            <w:r>
              <w:rPr>
                <w:rFonts w:hint="eastAsia" w:ascii="宋体" w:hAnsi="宋体"/>
              </w:rPr>
              <w:t>内蒙古锦联铝材有限公司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流动资产</w:t>
            </w:r>
          </w:p>
        </w:tc>
        <w:tc>
          <w:tcPr>
            <w:tcW w:w="409" w:type="pct"/>
            <w:tcBorders>
              <w:left w:val="single" w:color="auto" w:sz="6" w:space="0"/>
              <w:right w:val="single" w:color="auto" w:sz="6" w:space="0"/>
            </w:tcBorders>
            <w:shd w:val="clear" w:color="auto" w:fill="auto"/>
            <w:vAlign w:val="center"/>
          </w:tcPr>
          <w:p>
            <w:pPr>
              <w:jc w:val="right"/>
              <w:rPr>
                <w:rFonts w:ascii="宋体" w:hAnsi="宋体" w:cs="宋体"/>
                <w:color w:val="000000"/>
                <w:spacing w:val="-28"/>
                <w:lang w:bidi="ar"/>
              </w:rPr>
            </w:pPr>
            <w:r>
              <w:rPr>
                <w:rFonts w:hint="eastAsia" w:ascii="宋体" w:hAnsi="宋体" w:cs="宋体"/>
                <w:color w:val="000000"/>
                <w:spacing w:val="-28"/>
                <w:lang w:bidi="ar"/>
              </w:rPr>
              <w:t>1,076,76</w:t>
            </w:r>
            <w:r>
              <w:rPr>
                <w:rFonts w:ascii="宋体" w:hAnsi="宋体" w:cs="宋体"/>
                <w:color w:val="000000"/>
                <w:spacing w:val="-28"/>
                <w:lang w:bidi="ar"/>
              </w:rPr>
              <w:t>8</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489,066</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151,703,658</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2,330,11</w:t>
            </w:r>
            <w:r>
              <w:rPr>
                <w:rFonts w:ascii="宋体" w:hAnsi="宋体" w:cs="宋体"/>
                <w:color w:val="000000"/>
                <w:spacing w:val="-28"/>
                <w:lang w:bidi="ar"/>
              </w:rPr>
              <w:t>9</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2,981,713</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1,104,962</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494,462</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112,375,732</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2,990,198</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2,401,449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其中：现金和现金等价物</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260,969</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259,273</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12,046,721</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1,783,708</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17,467</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327,182</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13,232,783</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751,543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非流动资产</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3,679,603</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10,639,073</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5,851,327</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12,275,742</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12,759,339</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3,940,352</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11,430,673</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29,806,934</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13,279,948</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13,097,148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资产合计</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4,756,371</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11,128,13</w:t>
            </w:r>
            <w:r>
              <w:rPr>
                <w:rFonts w:ascii="宋体" w:hAnsi="宋体" w:cs="宋体"/>
                <w:color w:val="000000"/>
                <w:spacing w:val="-28"/>
                <w:lang w:bidi="ar"/>
              </w:rPr>
              <w:t>9</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157,554,985</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14,605,861</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15,741,052</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5,045,314</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11,925,135</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142,182,666</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16,270,146</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15,498,597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流动负债</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624,678</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664,486</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141,035,054</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3,821,485</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5,079,154</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1,504,739</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940,450</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129,643,563</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5,807,901</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4,668,165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lang w:val="en-GB"/>
              </w:rPr>
            </w:pPr>
            <w:r>
              <w:rPr>
                <w:rFonts w:hint="eastAsia" w:ascii="宋体" w:hAnsi="宋体" w:cs="Arial"/>
                <w:color w:val="000000"/>
                <w:spacing w:val="-20"/>
                <w:lang w:bidi="ar"/>
              </w:rPr>
              <w:t>非流动负债</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478,518</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1,462,457</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5,377,923</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6,556,860</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2,548,843</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255,960</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1,714,060</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1,841,474</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7,197,657</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1,607,476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lang w:val="en-GB"/>
              </w:rPr>
            </w:pPr>
            <w:r>
              <w:rPr>
                <w:rFonts w:hint="eastAsia" w:ascii="宋体" w:hAnsi="宋体" w:cs="Arial"/>
                <w:color w:val="000000"/>
                <w:spacing w:val="-20"/>
                <w:lang w:bidi="ar"/>
              </w:rPr>
              <w:t>负债合计</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1,103,196</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2,126,943</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146,412,977</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10,378,345</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7,627,997</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1,760,699</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2,654,510</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131,485,037</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13,005,558</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6,275,641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lang w:val="en-GB"/>
              </w:rPr>
            </w:pPr>
            <w:r>
              <w:rPr>
                <w:rFonts w:hint="eastAsia" w:ascii="宋体" w:hAnsi="宋体" w:cs="Arial"/>
                <w:color w:val="000000"/>
                <w:spacing w:val="-20"/>
                <w:lang w:bidi="ar"/>
              </w:rPr>
              <w:t>其他权益工具</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1,998,493</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1,998,493</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lang w:val="en-GB"/>
              </w:rPr>
            </w:pPr>
            <w:r>
              <w:rPr>
                <w:rFonts w:hint="eastAsia" w:ascii="宋体" w:hAnsi="宋体" w:cs="Arial"/>
                <w:color w:val="000000"/>
                <w:spacing w:val="-20"/>
                <w:lang w:bidi="ar"/>
              </w:rPr>
              <w:t>少数股东权益</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387,939</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10,938</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383,634</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10,862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lang w:val="en-GB"/>
              </w:rPr>
            </w:pPr>
            <w:r>
              <w:rPr>
                <w:rFonts w:hint="eastAsia" w:ascii="宋体" w:hAnsi="宋体" w:cs="Arial"/>
                <w:color w:val="000000"/>
                <w:spacing w:val="-20"/>
                <w:lang w:bidi="ar"/>
              </w:rPr>
              <w:t>归属于母公司股东权益</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3,653,175</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8,613,257</w:t>
            </w:r>
          </w:p>
        </w:tc>
        <w:tc>
          <w:tcPr>
            <w:tcW w:w="408" w:type="pct"/>
            <w:tcBorders>
              <w:left w:val="single" w:color="auto" w:sz="6" w:space="0"/>
              <w:right w:val="single" w:color="auto" w:sz="6" w:space="0"/>
            </w:tcBorders>
            <w:shd w:val="clear" w:color="auto" w:fill="auto"/>
            <w:vAlign w:val="center"/>
          </w:tcPr>
          <w:p>
            <w:pPr>
              <w:snapToGrid w:val="0"/>
              <w:jc w:val="right"/>
              <w:rPr>
                <w:rFonts w:ascii="宋体" w:hAnsi="宋体" w:cs="宋体"/>
                <w:color w:val="000000"/>
                <w:spacing w:val="-28"/>
                <w:lang w:bidi="ar"/>
              </w:rPr>
            </w:pPr>
            <w:r>
              <w:rPr>
                <w:rFonts w:hint="eastAsia" w:ascii="宋体" w:hAnsi="宋体" w:cs="宋体"/>
                <w:color w:val="000000"/>
                <w:spacing w:val="-28"/>
                <w:lang w:bidi="ar"/>
              </w:rPr>
              <w:t>9,143,51</w:t>
            </w:r>
            <w:r>
              <w:rPr>
                <w:rFonts w:ascii="宋体" w:hAnsi="宋体" w:cs="宋体"/>
                <w:color w:val="000000"/>
                <w:spacing w:val="-28"/>
                <w:lang w:bidi="ar"/>
              </w:rPr>
              <w:t>5</w:t>
            </w:r>
          </w:p>
          <w:p>
            <w:pPr>
              <w:jc w:val="right"/>
              <w:rPr>
                <w:rFonts w:ascii="宋体" w:hAnsi="宋体"/>
                <w:spacing w:val="-28"/>
              </w:rPr>
            </w:pP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4,227,516</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8,102,117</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3,284,615</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8,886,991</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8,699,136</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3,264,588</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9,212,094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lang w:val="en-GB"/>
              </w:rPr>
            </w:pPr>
            <w:r>
              <w:rPr>
                <w:rFonts w:hint="eastAsia" w:ascii="宋体" w:hAnsi="宋体" w:cs="Arial"/>
                <w:color w:val="000000"/>
                <w:spacing w:val="-20"/>
                <w:lang w:bidi="ar"/>
              </w:rPr>
              <w:t>按持股比例计算的净资产份额</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1,095,952</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1,631,359</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1,554,397</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1,902,382</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3,585,187</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985,384</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1,683,196</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1,478,853</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1,469,065</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4,072,666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lang w:val="en-GB"/>
              </w:rPr>
            </w:pPr>
            <w:r>
              <w:rPr>
                <w:rFonts w:hint="eastAsia" w:ascii="宋体" w:hAnsi="宋体" w:cs="Arial"/>
                <w:color w:val="000000"/>
                <w:spacing w:val="-20"/>
                <w:lang w:bidi="ar"/>
              </w:rPr>
              <w:t>--其他</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-574,66</w:t>
            </w:r>
            <w:r>
              <w:rPr>
                <w:rFonts w:ascii="宋体" w:hAnsi="宋体" w:cs="宋体"/>
                <w:color w:val="000000"/>
                <w:spacing w:val="-28"/>
                <w:lang w:bidi="ar"/>
              </w:rPr>
              <w:t>3</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-602,36</w:t>
            </w:r>
            <w:r>
              <w:rPr>
                <w:rFonts w:ascii="宋体" w:hAnsi="宋体" w:cs="宋体"/>
                <w:color w:val="000000"/>
                <w:spacing w:val="-28"/>
                <w:lang w:bidi="ar"/>
              </w:rPr>
              <w:t>2</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-842,673</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841</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-476,201</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-599,802</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-618,490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lang w:val="en-GB"/>
              </w:rPr>
            </w:pPr>
            <w:r>
              <w:rPr>
                <w:rFonts w:hint="eastAsia" w:ascii="宋体" w:hAnsi="宋体" w:cs="Arial"/>
                <w:color w:val="000000"/>
                <w:spacing w:val="-20"/>
                <w:lang w:bidi="ar"/>
              </w:rPr>
              <w:t>对联营企业权益投资的账面价值</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1,095,952</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color w:val="000000"/>
                <w:spacing w:val="-28"/>
                <w:lang w:bidi="ar"/>
              </w:rPr>
              <w:t>2,206,022</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2,156,75</w:t>
            </w:r>
            <w:r>
              <w:rPr>
                <w:rFonts w:ascii="宋体" w:hAnsi="宋体" w:cs="宋体"/>
                <w:color w:val="000000"/>
                <w:spacing w:val="-28"/>
                <w:lang w:bidi="ar"/>
              </w:rPr>
              <w:t>9</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1,902,382</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4,427,860</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984,543</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2,159,397</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2,078,655</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1,469,065</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4,691,156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营业收入</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4,091,131</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2,093,359</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3,533,638</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7,152,624</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17,318,850</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4,236,587</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1,869,483</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3,868,376</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8,028,458</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18,131,912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财务费用</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27,212</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69,642</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387,324</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176,109</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44,783</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107,937</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537,004</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296,994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所得税费用</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126,176</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90,892</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186,496</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182,896</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381,052</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60,731</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-44,522</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125,765</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-356,157</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324,411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净利润</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356,954</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407,370</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color w:val="000000"/>
                <w:spacing w:val="-28"/>
                <w:lang w:bidi="ar"/>
              </w:rPr>
              <w:t>390,331</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965,996</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949,150</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172,936</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149,992</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450,578</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2,444,524</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703,189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综合收益总额</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356,954</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406,849</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color w:val="000000"/>
                <w:spacing w:val="-28"/>
                <w:lang w:bidi="ar"/>
              </w:rPr>
              <w:t>435,022</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965,996</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ascii="宋体" w:hAnsi="宋体" w:cs="宋体"/>
                <w:spacing w:val="-28"/>
              </w:rPr>
              <w:t>949,150</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172,936</w:t>
            </w: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146,214</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r>
              <w:rPr>
                <w:rFonts w:ascii="宋体" w:hAnsi="宋体"/>
                <w:spacing w:val="-30"/>
              </w:rPr>
              <w:t>383,568</w:t>
            </w: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2,444,524</w:t>
            </w: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703,189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5"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ascii="宋体" w:hAnsi="宋体" w:cs="Arial"/>
                <w:color w:val="000000"/>
              </w:rPr>
            </w:pPr>
            <w:r>
              <w:rPr>
                <w:rFonts w:hint="eastAsia" w:ascii="宋体" w:hAnsi="宋体" w:cs="Arial"/>
                <w:color w:val="000000"/>
                <w:spacing w:val="-20"/>
                <w:lang w:bidi="ar"/>
              </w:rPr>
              <w:t>本年度收到的来自联营企业的股利</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409"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34,282</w:t>
            </w:r>
          </w:p>
        </w:tc>
        <w:tc>
          <w:tcPr>
            <w:tcW w:w="408"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p>
        </w:tc>
        <w:tc>
          <w:tcPr>
            <w:tcW w:w="358" w:type="pct"/>
            <w:tcBorders>
              <w:left w:val="single" w:color="auto" w:sz="6" w:space="0"/>
              <w:right w:val="single" w:color="auto" w:sz="6" w:space="0"/>
            </w:tcBorders>
            <w:shd w:val="clear" w:color="auto" w:fill="auto"/>
            <w:vAlign w:val="center"/>
          </w:tcPr>
          <w:p>
            <w:pPr>
              <w:jc w:val="right"/>
              <w:rPr>
                <w:rFonts w:ascii="宋体" w:hAnsi="宋体"/>
                <w:spacing w:val="-28"/>
              </w:rPr>
            </w:pPr>
            <w:r>
              <w:rPr>
                <w:rFonts w:hint="eastAsia" w:ascii="宋体" w:hAnsi="宋体" w:cs="宋体"/>
                <w:color w:val="000000"/>
                <w:spacing w:val="-28"/>
                <w:lang w:bidi="ar"/>
              </w:rPr>
              <w:t>908,239</w:t>
            </w:r>
          </w:p>
        </w:tc>
        <w:tc>
          <w:tcPr>
            <w:tcW w:w="358" w:type="pct"/>
            <w:tcBorders>
              <w:left w:val="single" w:color="auto" w:sz="6" w:space="0"/>
              <w:right w:val="single" w:color="auto" w:sz="6" w:space="0"/>
            </w:tcBorders>
            <w:shd w:val="clear" w:color="auto" w:fill="auto"/>
            <w:vAlign w:val="center"/>
          </w:tcPr>
          <w:p>
            <w:pPr>
              <w:jc w:val="right"/>
              <w:rPr>
                <w:rFonts w:ascii="宋体" w:hAnsi="宋体"/>
                <w:spacing w:val="-30"/>
              </w:rPr>
            </w:pPr>
          </w:p>
        </w:tc>
        <w:tc>
          <w:tcPr>
            <w:tcW w:w="35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34,281</w:t>
            </w:r>
          </w:p>
        </w:tc>
        <w:tc>
          <w:tcPr>
            <w:tcW w:w="409" w:type="pct"/>
            <w:tcBorders>
              <w:left w:val="single" w:color="auto" w:sz="6" w:space="0"/>
              <w:right w:val="single" w:color="auto" w:sz="6" w:space="0"/>
            </w:tcBorders>
            <w:shd w:val="clear" w:color="auto" w:fill="auto"/>
            <w:vAlign w:val="center"/>
          </w:tcPr>
          <w:p>
            <w:pPr>
              <w:jc w:val="right"/>
              <w:rPr>
                <w:rFonts w:ascii="宋体" w:hAnsi="宋体"/>
                <w:spacing w:val="-30"/>
              </w:rPr>
            </w:pPr>
          </w:p>
        </w:tc>
        <w:tc>
          <w:tcPr>
            <w:tcW w:w="358"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p>
        </w:tc>
        <w:tc>
          <w:tcPr>
            <w:tcW w:w="399" w:type="pct"/>
            <w:tcBorders>
              <w:top w:val="single" w:color="auto" w:sz="6" w:space="0"/>
              <w:left w:val="single" w:color="auto" w:sz="6" w:space="0"/>
              <w:bottom w:val="single" w:color="auto" w:sz="6" w:space="0"/>
              <w:right w:val="single" w:color="auto" w:sz="6" w:space="0"/>
            </w:tcBorders>
            <w:vAlign w:val="center"/>
          </w:tcPr>
          <w:p>
            <w:pPr>
              <w:jc w:val="right"/>
              <w:rPr>
                <w:rFonts w:ascii="宋体" w:hAnsi="宋体"/>
                <w:spacing w:val="-30"/>
              </w:rPr>
            </w:pPr>
            <w:r>
              <w:rPr>
                <w:rFonts w:ascii="宋体" w:hAnsi="宋体"/>
                <w:spacing w:val="-30"/>
              </w:rPr>
              <w:t>80,016</w:t>
            </w:r>
          </w:p>
        </w:tc>
      </w:tr>
    </w:tbl>
    <w:p>
      <w:pPr>
        <w:pStyle w:val="501"/>
      </w:pPr>
    </w:p>
    <w:p>
      <w:pPr>
        <w:rPr>
          <w:rFonts w:cs="Arial"/>
        </w:rPr>
      </w:pPr>
    </w:p>
    <w:p>
      <w:pPr>
        <w:rPr>
          <w:rFonts w:cs="Arial"/>
        </w:rPr>
      </w:pPr>
    </w:p>
    <w:p>
      <w:pPr>
        <w:pStyle w:val="505"/>
        <w:numPr>
          <w:ilvl w:val="3"/>
          <w:numId w:val="119"/>
        </w:numPr>
        <w:ind w:left="426" w:hanging="426" w:hangingChars="202"/>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2122800879"/>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不重要的合营企业和联营企业的汇总财务信息"/>
          <w:tag w:val="_GBC_d02efd9c85904b029b5a51b02d9519e8"/>
          <w:id w:val="12235640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9240634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9"/>
        <w:gridCol w:w="4782"/>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604" w:type="pct"/>
            <w:shd w:val="clear" w:color="auto" w:fill="auto"/>
          </w:tcPr>
          <w:p>
            <w:pPr>
              <w:jc w:val="center"/>
              <w:rPr>
                <w:rFonts w:cs="Arial"/>
              </w:rPr>
            </w:pPr>
          </w:p>
        </w:tc>
        <w:sdt>
          <w:sdtPr>
            <w:tag w:val="_PLD_0f94e995a1b3419692bd4d8e5c6d3e83"/>
            <w:id w:val="-1719429026"/>
          </w:sdtPr>
          <w:sdtContent>
            <w:tc>
              <w:tcPr>
                <w:tcW w:w="1697" w:type="pct"/>
                <w:shd w:val="clear" w:color="auto" w:fill="auto"/>
              </w:tcPr>
              <w:p>
                <w:pPr>
                  <w:jc w:val="center"/>
                  <w:rPr>
                    <w:rFonts w:cs="Arial"/>
                  </w:rPr>
                </w:pPr>
                <w:r>
                  <w:rPr>
                    <w:rFonts w:hint="eastAsia" w:cs="Arial"/>
                    <w:lang w:val="en-GB"/>
                  </w:rPr>
                  <w:t>期末余额</w:t>
                </w:r>
                <w:r>
                  <w:rPr>
                    <w:rFonts w:cs="Arial"/>
                  </w:rPr>
                  <w:t xml:space="preserve">/ </w:t>
                </w:r>
                <w:r>
                  <w:rPr>
                    <w:rFonts w:hint="eastAsia" w:cs="Arial"/>
                    <w:lang w:val="en-GB"/>
                  </w:rPr>
                  <w:t>本期发生额</w:t>
                </w:r>
              </w:p>
            </w:tc>
          </w:sdtContent>
        </w:sdt>
        <w:sdt>
          <w:sdtPr>
            <w:tag w:val="_PLD_41f132b6b30d40258178a800b0285b01"/>
            <w:id w:val="-1100253923"/>
          </w:sdtPr>
          <w:sdtContent>
            <w:tc>
              <w:tcPr>
                <w:tcW w:w="1699" w:type="pct"/>
                <w:shd w:val="clear" w:color="auto" w:fill="auto"/>
              </w:tcPr>
              <w:p>
                <w:pPr>
                  <w:jc w:val="center"/>
                  <w:rPr>
                    <w:rFonts w:cs="Arial"/>
                  </w:rPr>
                </w:pPr>
                <w:r>
                  <w:rPr>
                    <w:rFonts w:hint="eastAsia" w:cs="Arial"/>
                    <w:lang w:val="en-GB"/>
                  </w:rPr>
                  <w:t>期初余额</w:t>
                </w:r>
                <w:r>
                  <w:rPr>
                    <w:rFonts w:cs="Arial"/>
                  </w:rPr>
                  <w:t xml:space="preserve">/ </w:t>
                </w:r>
                <w:r>
                  <w:rPr>
                    <w:rFonts w:hint="eastAsia" w:cs="Arial"/>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b70e5ea8d7ec4c33925b6219dd7a8fb0"/>
            <w:id w:val="592898601"/>
          </w:sdtPr>
          <w:sdtContent>
            <w:tc>
              <w:tcPr>
                <w:tcW w:w="5000" w:type="pct"/>
                <w:gridSpan w:val="3"/>
                <w:shd w:val="clear" w:color="auto" w:fill="auto"/>
              </w:tcPr>
              <w:p>
                <w:pPr>
                  <w:pStyle w:val="501"/>
                </w:pPr>
                <w:r>
                  <w:rPr>
                    <w:rFonts w:hint="eastAsia" w:cs="Arial"/>
                    <w:lang w:val="en-GB"/>
                  </w:rPr>
                  <w:t>合营企业：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pPr>
              <w:rPr>
                <w:rFonts w:cs="Arial"/>
                <w:color w:val="000000"/>
              </w:rPr>
            </w:pPr>
            <w:r>
              <w:rPr>
                <w:rFonts w:hint="eastAsia" w:cs="Arial"/>
                <w:color w:val="000000"/>
                <w:lang w:val="en-GB"/>
              </w:rPr>
              <w:t>投资账面价值合计</w:t>
            </w:r>
          </w:p>
        </w:tc>
        <w:tc>
          <w:tcPr>
            <w:tcW w:w="1697" w:type="pct"/>
          </w:tcPr>
          <w:p>
            <w:pPr>
              <w:jc w:val="right"/>
              <w:rPr>
                <w:rFonts w:ascii="宋体" w:hAnsi="宋体"/>
              </w:rPr>
            </w:pPr>
            <w:r>
              <w:rPr>
                <w:rFonts w:ascii="宋体" w:hAnsi="宋体"/>
              </w:rPr>
              <w:t>136,512</w:t>
            </w:r>
          </w:p>
        </w:tc>
        <w:tc>
          <w:tcPr>
            <w:tcW w:w="1699" w:type="pct"/>
          </w:tcPr>
          <w:p>
            <w:pPr>
              <w:jc w:val="right"/>
              <w:rPr>
                <w:rFonts w:ascii="宋体" w:hAnsi="宋体"/>
              </w:rPr>
            </w:pPr>
            <w:r>
              <w:rPr>
                <w:rFonts w:ascii="宋体" w:hAnsi="宋体"/>
              </w:rPr>
              <w:t>50,994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5535ac23a5e6449eacc8d9ee99f53e96"/>
            <w:id w:val="-1692367964"/>
          </w:sdtPr>
          <w:sdtEndPr>
            <w:rPr>
              <w:rFonts w:ascii="宋体" w:hAnsi="宋体"/>
            </w:rPr>
          </w:sdtEndPr>
          <w:sdtContent>
            <w:tc>
              <w:tcPr>
                <w:tcW w:w="5000" w:type="pct"/>
                <w:gridSpan w:val="3"/>
                <w:shd w:val="clear" w:color="auto" w:fill="auto"/>
                <w:vAlign w:val="center"/>
              </w:tcPr>
              <w:p>
                <w:pPr>
                  <w:rPr>
                    <w:rFonts w:ascii="宋体" w:hAnsi="宋体"/>
                  </w:rPr>
                </w:pPr>
                <w:r>
                  <w:rPr>
                    <w:rFonts w:hint="eastAsia" w:ascii="宋体" w:hAnsi="宋体" w:cs="Arial"/>
                    <w:color w:val="000000"/>
                    <w:lang w:val="en-GB"/>
                  </w:rPr>
                  <w:t>下列各项按持股比例计算的合计数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pPr>
              <w:rPr>
                <w:rFonts w:cs="Arial"/>
                <w:color w:val="000000"/>
              </w:rPr>
            </w:pPr>
            <w:r>
              <w:rPr>
                <w:rFonts w:cs="Arial"/>
                <w:color w:val="000000"/>
              </w:rPr>
              <w:t>--</w:t>
            </w:r>
            <w:r>
              <w:rPr>
                <w:rFonts w:hint="eastAsia" w:cs="Arial"/>
                <w:color w:val="000000"/>
                <w:lang w:val="en-GB"/>
              </w:rPr>
              <w:t>净利润</w:t>
            </w:r>
          </w:p>
        </w:tc>
        <w:tc>
          <w:tcPr>
            <w:tcW w:w="1697" w:type="pct"/>
          </w:tcPr>
          <w:p>
            <w:pPr>
              <w:jc w:val="right"/>
              <w:rPr>
                <w:rFonts w:ascii="宋体" w:hAnsi="宋体"/>
              </w:rPr>
            </w:pPr>
          </w:p>
        </w:tc>
        <w:tc>
          <w:tcPr>
            <w:tcW w:w="1699" w:type="pct"/>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pPr>
              <w:rPr>
                <w:rFonts w:cs="Arial"/>
                <w:color w:val="000000"/>
              </w:rPr>
            </w:pPr>
            <w:r>
              <w:rPr>
                <w:rFonts w:cs="Arial"/>
                <w:color w:val="000000"/>
              </w:rPr>
              <w:t>--</w:t>
            </w:r>
            <w:r>
              <w:rPr>
                <w:rFonts w:hint="eastAsia" w:cs="Arial"/>
                <w:color w:val="000000"/>
                <w:lang w:val="en-GB"/>
              </w:rPr>
              <w:t>其他综合收益</w:t>
            </w:r>
          </w:p>
        </w:tc>
        <w:tc>
          <w:tcPr>
            <w:tcW w:w="1697" w:type="pct"/>
          </w:tcPr>
          <w:p>
            <w:pPr>
              <w:jc w:val="right"/>
              <w:rPr>
                <w:rFonts w:ascii="宋体" w:hAnsi="宋体"/>
              </w:rPr>
            </w:pPr>
            <w:r>
              <w:rPr>
                <w:rFonts w:ascii="宋体" w:hAnsi="宋体"/>
              </w:rPr>
              <w:t>778</w:t>
            </w:r>
          </w:p>
        </w:tc>
        <w:tc>
          <w:tcPr>
            <w:tcW w:w="1699" w:type="pct"/>
          </w:tcPr>
          <w:p>
            <w:pPr>
              <w:jc w:val="right"/>
              <w:rPr>
                <w:rFonts w:ascii="宋体" w:hAnsi="宋体"/>
              </w:rPr>
            </w:pPr>
            <w:r>
              <w:rPr>
                <w:rFonts w:ascii="宋体" w:hAnsi="宋体"/>
              </w:rPr>
              <w:t>2,662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pPr>
              <w:rPr>
                <w:rFonts w:cs="Arial"/>
                <w:color w:val="000000"/>
              </w:rPr>
            </w:pPr>
            <w:r>
              <w:rPr>
                <w:rFonts w:cs="Arial"/>
                <w:color w:val="000000"/>
              </w:rPr>
              <w:t>--</w:t>
            </w:r>
            <w:r>
              <w:rPr>
                <w:rFonts w:hint="eastAsia" w:cs="Arial"/>
                <w:color w:val="000000"/>
                <w:lang w:val="en-GB"/>
              </w:rPr>
              <w:t>综合收益总额</w:t>
            </w:r>
          </w:p>
        </w:tc>
        <w:tc>
          <w:tcPr>
            <w:tcW w:w="1697" w:type="pct"/>
          </w:tcPr>
          <w:p>
            <w:pPr>
              <w:jc w:val="right"/>
              <w:rPr>
                <w:rFonts w:ascii="宋体" w:hAnsi="宋体"/>
              </w:rPr>
            </w:pPr>
            <w:r>
              <w:rPr>
                <w:rFonts w:ascii="宋体" w:hAnsi="宋体"/>
              </w:rPr>
              <w:t>778</w:t>
            </w:r>
          </w:p>
        </w:tc>
        <w:tc>
          <w:tcPr>
            <w:tcW w:w="1699" w:type="pct"/>
          </w:tcPr>
          <w:p>
            <w:pPr>
              <w:jc w:val="right"/>
              <w:rPr>
                <w:rFonts w:ascii="宋体" w:hAnsi="宋体"/>
              </w:rPr>
            </w:pPr>
            <w:r>
              <w:rPr>
                <w:rFonts w:ascii="宋体" w:hAnsi="宋体"/>
              </w:rPr>
              <w:t>2,662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shd w:val="clear" w:color="auto" w:fill="auto"/>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cbda7c3468d14ed7a076bd7c6a1d9c6f"/>
            <w:id w:val="-1880997905"/>
          </w:sdtPr>
          <w:sdtEndPr>
            <w:rPr>
              <w:rFonts w:ascii="宋体" w:hAnsi="宋体"/>
            </w:rPr>
          </w:sdtEndPr>
          <w:sdtContent>
            <w:tc>
              <w:tcPr>
                <w:tcW w:w="5000" w:type="pct"/>
                <w:gridSpan w:val="3"/>
                <w:shd w:val="clear" w:color="auto" w:fill="auto"/>
              </w:tcPr>
              <w:p>
                <w:pPr>
                  <w:rPr>
                    <w:rFonts w:ascii="宋体" w:hAnsi="宋体"/>
                  </w:rPr>
                </w:pPr>
                <w:r>
                  <w:rPr>
                    <w:rFonts w:hint="eastAsia" w:ascii="宋体" w:hAnsi="宋体" w:cs="Arial"/>
                    <w:lang w:val="en-GB"/>
                  </w:rPr>
                  <w:t>联营企业：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pPr>
              <w:rPr>
                <w:rFonts w:cs="Arial"/>
                <w:color w:val="000000"/>
              </w:rPr>
            </w:pPr>
            <w:r>
              <w:rPr>
                <w:rFonts w:hint="eastAsia" w:cs="Arial"/>
                <w:color w:val="000000"/>
                <w:lang w:val="en-GB"/>
              </w:rPr>
              <w:t>投资账面价值合计</w:t>
            </w:r>
          </w:p>
        </w:tc>
        <w:tc>
          <w:tcPr>
            <w:tcW w:w="1697" w:type="pct"/>
          </w:tcPr>
          <w:p>
            <w:pPr>
              <w:jc w:val="right"/>
              <w:rPr>
                <w:rFonts w:ascii="宋体" w:hAnsi="宋体"/>
              </w:rPr>
            </w:pPr>
            <w:r>
              <w:rPr>
                <w:rFonts w:ascii="宋体" w:hAnsi="宋体"/>
              </w:rPr>
              <w:t>1,707,325</w:t>
            </w:r>
          </w:p>
        </w:tc>
        <w:tc>
          <w:tcPr>
            <w:tcW w:w="1699" w:type="pct"/>
          </w:tcPr>
          <w:p>
            <w:pPr>
              <w:jc w:val="right"/>
              <w:rPr>
                <w:rFonts w:ascii="宋体" w:hAnsi="宋体"/>
              </w:rPr>
            </w:pPr>
            <w:r>
              <w:rPr>
                <w:rFonts w:ascii="宋体" w:hAnsi="宋体"/>
              </w:rPr>
              <w:t>1,586,201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宋体" w:hAnsi="宋体"/>
            </w:rPr>
            <w:tag w:val="_PLD_83ce74083a4545808d6b87b66cb814b0"/>
            <w:id w:val="270599821"/>
          </w:sdtPr>
          <w:sdtEndPr>
            <w:rPr>
              <w:rFonts w:ascii="宋体" w:hAnsi="宋体"/>
            </w:rPr>
          </w:sdtEndPr>
          <w:sdtContent>
            <w:tc>
              <w:tcPr>
                <w:tcW w:w="5000" w:type="pct"/>
                <w:gridSpan w:val="3"/>
                <w:shd w:val="clear" w:color="auto" w:fill="auto"/>
                <w:vAlign w:val="center"/>
              </w:tcPr>
              <w:p>
                <w:pPr>
                  <w:rPr>
                    <w:rFonts w:ascii="宋体" w:hAnsi="宋体"/>
                  </w:rPr>
                </w:pPr>
                <w:r>
                  <w:rPr>
                    <w:rFonts w:hint="eastAsia" w:ascii="宋体" w:hAnsi="宋体" w:cs="Arial"/>
                    <w:color w:val="000000"/>
                    <w:lang w:val="en-GB"/>
                  </w:rPr>
                  <w:t>下列各项按持股比例计算的合计数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pPr>
              <w:rPr>
                <w:rFonts w:cs="Arial"/>
                <w:color w:val="000000"/>
              </w:rPr>
            </w:pPr>
            <w:r>
              <w:rPr>
                <w:rFonts w:cs="Arial"/>
                <w:color w:val="000000"/>
              </w:rPr>
              <w:t>--</w:t>
            </w:r>
            <w:r>
              <w:rPr>
                <w:rFonts w:hint="eastAsia" w:cs="Arial"/>
                <w:color w:val="000000"/>
                <w:lang w:val="en-GB"/>
              </w:rPr>
              <w:t>净利润</w:t>
            </w:r>
          </w:p>
        </w:tc>
        <w:tc>
          <w:tcPr>
            <w:tcW w:w="1697" w:type="pct"/>
          </w:tcPr>
          <w:p>
            <w:pPr>
              <w:jc w:val="right"/>
              <w:rPr>
                <w:rFonts w:ascii="宋体" w:hAnsi="宋体"/>
              </w:rPr>
            </w:pPr>
            <w:r>
              <w:rPr>
                <w:rFonts w:ascii="宋体" w:hAnsi="宋体"/>
              </w:rPr>
              <w:t>104,933</w:t>
            </w:r>
          </w:p>
        </w:tc>
        <w:tc>
          <w:tcPr>
            <w:tcW w:w="1699" w:type="pct"/>
          </w:tcPr>
          <w:p>
            <w:pPr>
              <w:jc w:val="right"/>
              <w:rPr>
                <w:rFonts w:ascii="宋体" w:hAnsi="宋体"/>
              </w:rPr>
            </w:pPr>
            <w:r>
              <w:rPr>
                <w:rFonts w:ascii="宋体" w:hAnsi="宋体"/>
              </w:rPr>
              <w:t>94,041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pPr>
              <w:rPr>
                <w:rFonts w:cs="Arial"/>
                <w:color w:val="000000"/>
              </w:rPr>
            </w:pPr>
            <w:r>
              <w:rPr>
                <w:rFonts w:cs="Arial"/>
                <w:color w:val="000000"/>
              </w:rPr>
              <w:t>--</w:t>
            </w:r>
            <w:r>
              <w:rPr>
                <w:rFonts w:hint="eastAsia" w:cs="Arial"/>
                <w:color w:val="000000"/>
                <w:lang w:val="en-GB"/>
              </w:rPr>
              <w:t>其他综合收益</w:t>
            </w:r>
          </w:p>
        </w:tc>
        <w:tc>
          <w:tcPr>
            <w:tcW w:w="1697" w:type="pct"/>
          </w:tcPr>
          <w:p>
            <w:pPr>
              <w:jc w:val="right"/>
              <w:rPr>
                <w:rFonts w:ascii="宋体" w:hAnsi="宋体"/>
              </w:rPr>
            </w:pPr>
            <w:r>
              <w:rPr>
                <w:rFonts w:ascii="宋体" w:hAnsi="宋体"/>
              </w:rPr>
              <w:t>5,056</w:t>
            </w:r>
          </w:p>
        </w:tc>
        <w:tc>
          <w:tcPr>
            <w:tcW w:w="1699" w:type="pct"/>
          </w:tcPr>
          <w:p>
            <w:pPr>
              <w:jc w:val="right"/>
              <w:rPr>
                <w:rFonts w:ascii="宋体" w:hAnsi="宋体"/>
              </w:rPr>
            </w:pPr>
            <w:r>
              <w:rPr>
                <w:rFonts w:ascii="宋体" w:hAnsi="宋体"/>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shd w:val="clear" w:color="auto" w:fill="auto"/>
            <w:vAlign w:val="center"/>
          </w:tcPr>
          <w:p>
            <w:pPr>
              <w:rPr>
                <w:rFonts w:cs="Arial"/>
                <w:color w:val="000000"/>
              </w:rPr>
            </w:pPr>
            <w:r>
              <w:rPr>
                <w:rFonts w:cs="Arial"/>
                <w:color w:val="000000"/>
              </w:rPr>
              <w:t>--</w:t>
            </w:r>
            <w:r>
              <w:rPr>
                <w:rFonts w:hint="eastAsia" w:cs="Arial"/>
                <w:color w:val="000000"/>
                <w:lang w:val="en-GB"/>
              </w:rPr>
              <w:t>综合收益总额</w:t>
            </w:r>
          </w:p>
        </w:tc>
        <w:tc>
          <w:tcPr>
            <w:tcW w:w="1697" w:type="pct"/>
          </w:tcPr>
          <w:p>
            <w:pPr>
              <w:jc w:val="right"/>
              <w:rPr>
                <w:rFonts w:ascii="宋体" w:hAnsi="宋体"/>
              </w:rPr>
            </w:pPr>
            <w:r>
              <w:rPr>
                <w:rFonts w:ascii="宋体" w:hAnsi="宋体"/>
              </w:rPr>
              <w:t>109,989</w:t>
            </w:r>
          </w:p>
        </w:tc>
        <w:tc>
          <w:tcPr>
            <w:tcW w:w="1699" w:type="pct"/>
          </w:tcPr>
          <w:p>
            <w:pPr>
              <w:jc w:val="right"/>
              <w:rPr>
                <w:rFonts w:ascii="宋体" w:hAnsi="宋体"/>
              </w:rPr>
            </w:pPr>
            <w:r>
              <w:rPr>
                <w:rFonts w:ascii="宋体" w:hAnsi="宋体"/>
              </w:rPr>
              <w:t>94,256</w:t>
            </w:r>
          </w:p>
        </w:tc>
      </w:tr>
    </w:tbl>
    <w:p>
      <w:pPr>
        <w:rPr>
          <w:rFonts w:cs="Arial"/>
        </w:rPr>
        <w:sectPr>
          <w:pgSz w:w="16838" w:h="11906" w:orient="landscape"/>
          <w:pgMar w:top="1797" w:right="1525" w:bottom="1276" w:left="1440" w:header="856" w:footer="992" w:gutter="0"/>
          <w:cols w:space="425" w:num="1"/>
          <w:docGrid w:linePitch="312" w:charSpace="0"/>
        </w:sectPr>
      </w:pPr>
    </w:p>
    <w:p>
      <w:pPr>
        <w:rPr>
          <w:rFonts w:cs="Arial"/>
        </w:rPr>
      </w:pPr>
    </w:p>
    <w:p>
      <w:pPr>
        <w:pStyle w:val="505"/>
        <w:numPr>
          <w:ilvl w:val="3"/>
          <w:numId w:val="119"/>
        </w:numPr>
        <w:ind w:left="426" w:hanging="426" w:hangingChars="202"/>
      </w:pPr>
      <w:r>
        <w:rPr>
          <w:rFonts w:hint="eastAsia"/>
        </w:rPr>
        <w:t>合营企业或联营企业向本公司转移资金的能力存在重大限制的说明</w:t>
      </w:r>
    </w:p>
    <w:sdt>
      <w:sdtPr>
        <w:rPr>
          <w:rFonts w:hint="eastAsia" w:cs="Arial"/>
        </w:rPr>
        <w:alias w:val="是否适用：合营企业或联营企业向本公司转移资金的能力存在重大限制的说明[双击切换]"/>
        <w:tag w:val="_GBC_6adf336cbf6141a59d29de2be4c5a55b"/>
        <w:id w:val="-1999644080"/>
        <w:placeholder>
          <w:docPart w:val="GBC22222222222222222222222222222"/>
        </w:placeholder>
      </w:sdtPr>
      <w:sdtEndPr>
        <w:rPr>
          <w:rFonts w:hint="eastAsia" w:cs="Arial"/>
        </w:rPr>
      </w:sdtEndPr>
      <w:sdtContent>
        <w:p>
          <w:pPr>
            <w:pStyle w:val="501"/>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rPr>
      </w:pPr>
    </w:p>
    <w:p>
      <w:pPr>
        <w:pStyle w:val="505"/>
        <w:numPr>
          <w:ilvl w:val="3"/>
          <w:numId w:val="119"/>
        </w:numPr>
        <w:ind w:left="426" w:hanging="426" w:hangingChars="202"/>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688512237"/>
        <w:placeholder>
          <w:docPart w:val="GBC22222222222222222222222222222"/>
        </w:placeholder>
      </w:sdtPr>
      <w:sdtEndPr>
        <w:rPr>
          <w:rFonts w:hint="eastAsia"/>
        </w:rPr>
      </w:sdtEndPr>
      <w:sdtContent>
        <w:p>
          <w:pPr>
            <w:pStyle w:val="531"/>
            <w:rPr>
              <w:rFonts w:cs="Arial"/>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rPr>
      </w:pPr>
    </w:p>
    <w:p>
      <w:pPr>
        <w:pStyle w:val="505"/>
        <w:numPr>
          <w:ilvl w:val="3"/>
          <w:numId w:val="119"/>
        </w:numPr>
        <w:ind w:left="426" w:hanging="426" w:hangingChars="202"/>
      </w:pPr>
      <w:r>
        <w:rPr>
          <w:rFonts w:hint="eastAsia"/>
        </w:rPr>
        <w:t>与合营企业</w:t>
      </w:r>
      <w:r>
        <w:rPr>
          <w:rFonts w:hint="eastAsia" w:ascii="宋体" w:hAnsi="宋体"/>
        </w:rPr>
        <w:t>投资</w:t>
      </w:r>
      <w:r>
        <w:rPr>
          <w:rFonts w:hint="eastAsia"/>
        </w:rPr>
        <w:t>相关的未确认承诺</w:t>
      </w:r>
    </w:p>
    <w:sdt>
      <w:sdtPr>
        <w:rPr>
          <w:rFonts w:hint="eastAsia" w:cs="Arial"/>
        </w:rPr>
        <w:alias w:val="是否适用：与合营企业投资相关的未确认承诺[双击切换]"/>
        <w:tag w:val="_GBC_31e45f9d52434cea9a9a27d328e562ec"/>
        <w:id w:val="-1785342791"/>
        <w:placeholder>
          <w:docPart w:val="GBC22222222222222222222222222222"/>
        </w:placeholder>
      </w:sdtPr>
      <w:sdtEndPr>
        <w:rPr>
          <w:rFonts w:hint="eastAsia" w:cs="Arial"/>
        </w:rPr>
      </w:sdtEndPr>
      <w:sdtContent>
        <w:p>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rPr>
      </w:pPr>
    </w:p>
    <w:p>
      <w:pPr>
        <w:pStyle w:val="505"/>
        <w:numPr>
          <w:ilvl w:val="3"/>
          <w:numId w:val="119"/>
        </w:numPr>
        <w:ind w:left="426" w:hanging="426" w:hangingChars="202"/>
      </w:pPr>
      <w:r>
        <w:rPr>
          <w:rFonts w:hint="eastAsia"/>
        </w:rPr>
        <w:t>与合营企业或联营企业投资相关的或有负债</w:t>
      </w:r>
    </w:p>
    <w:sdt>
      <w:sdtPr>
        <w:rPr>
          <w:rFonts w:hint="eastAsia" w:cs="Arial"/>
        </w:rPr>
        <w:alias w:val="是否适用：与合营企业或联营企业投资相关的或有负债[双击切换]"/>
        <w:tag w:val="_GBC_d3c6dfcab3ab42afb854d4ea2e7c9b9f"/>
        <w:id w:val="608477489"/>
        <w:placeholder>
          <w:docPart w:val="GBC22222222222222222222222222222"/>
        </w:placeholder>
      </w:sdtPr>
      <w:sdtEndPr>
        <w:rPr>
          <w:rFonts w:hint="eastAsia" w:cs="Arial"/>
        </w:rPr>
      </w:sdtEndPr>
      <w:sdtContent>
        <w:p>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rPr>
      </w:pPr>
    </w:p>
    <w:p>
      <w:pPr>
        <w:pStyle w:val="504"/>
        <w:numPr>
          <w:ilvl w:val="2"/>
          <w:numId w:val="116"/>
        </w:numPr>
        <w:rPr>
          <w:rFonts w:ascii="宋体" w:hAnsi="宋体" w:cs="Arial"/>
          <w:szCs w:val="21"/>
        </w:rPr>
      </w:pPr>
      <w:r>
        <w:rPr>
          <w:rFonts w:hint="eastAsia" w:ascii="宋体" w:hAnsi="宋体" w:cs="Arial"/>
          <w:szCs w:val="21"/>
        </w:rPr>
        <w:t>重要的共同经营</w:t>
      </w:r>
    </w:p>
    <w:sdt>
      <w:sdtPr>
        <w:alias w:val="是否适用：重要的共同经营[双击切换]"/>
        <w:tag w:val="_GBC_8a0341a844454c89848e95b9c64a8efb"/>
        <w:id w:val="1051272256"/>
        <w:placeholder>
          <w:docPart w:val="GBC22222222222222222222222222222"/>
        </w:placeholder>
      </w:sdtPr>
      <w:sdtContent>
        <w:p>
          <w:pPr>
            <w:pStyle w:val="531"/>
            <w:rPr>
              <w:rFonts w:cs="Arial"/>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rPr>
      </w:pPr>
    </w:p>
    <w:p>
      <w:pPr>
        <w:pStyle w:val="504"/>
        <w:numPr>
          <w:ilvl w:val="2"/>
          <w:numId w:val="116"/>
        </w:numPr>
        <w:rPr>
          <w:rFonts w:ascii="宋体" w:hAnsi="宋体" w:cs="Arial"/>
          <w:szCs w:val="21"/>
        </w:rPr>
      </w:pPr>
      <w:r>
        <w:rPr>
          <w:rFonts w:hint="eastAsia" w:ascii="宋体" w:hAnsi="宋体" w:cs="Arial"/>
          <w:szCs w:val="21"/>
        </w:rPr>
        <w:t>在未纳入合并财务报表范围的结构化主体中的权益</w:t>
      </w:r>
    </w:p>
    <w:p>
      <w:pPr>
        <w:rPr>
          <w:rFonts w:cs="Arial"/>
        </w:rPr>
      </w:pPr>
      <w:r>
        <w:rPr>
          <w:rFonts w:hint="eastAsia" w:cs="Arial"/>
        </w:rPr>
        <w:t>未纳入合并财务报表范围的结构化主体的相关说明：</w:t>
      </w:r>
    </w:p>
    <w:sdt>
      <w:sdtPr>
        <w:rPr>
          <w:rFonts w:cs="Arial"/>
        </w:rPr>
        <w:alias w:val="是否适用：未纳入合并财务报表范围的结构化主体的相关说明[双击切换]"/>
        <w:tag w:val="_GBC_fec7f9a28e8b48edbad9948b50cb3cae"/>
        <w:id w:val="196288365"/>
        <w:placeholder>
          <w:docPart w:val="GBC22222222222222222222222222222"/>
        </w:placeholder>
      </w:sdtPr>
      <w:sdtEndPr>
        <w:rPr>
          <w:rFonts w:cs="Arial"/>
        </w:rPr>
      </w:sdtEndPr>
      <w:sdtContent>
        <w:p>
          <w:pPr>
            <w:rPr>
              <w:rFonts w:cs="Arial"/>
            </w:rPr>
          </w:pPr>
          <w:r>
            <w:rPr>
              <w:rFonts w:ascii="宋体" w:hAnsi="宋体" w:cs="Arial"/>
            </w:rPr>
            <w:fldChar w:fldCharType="begin"/>
          </w:r>
          <w:r>
            <w:rPr>
              <w:rFonts w:ascii="宋体" w:hAnsi="宋体" w:cs="Arial"/>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rPr>
      </w:pPr>
    </w:p>
    <w:p>
      <w:pPr>
        <w:pStyle w:val="504"/>
        <w:numPr>
          <w:ilvl w:val="2"/>
          <w:numId w:val="116"/>
        </w:numPr>
        <w:rPr>
          <w:rFonts w:ascii="宋体" w:hAnsi="宋体" w:cs="Arial"/>
          <w:szCs w:val="21"/>
        </w:rPr>
      </w:pPr>
      <w:r>
        <w:rPr>
          <w:rFonts w:hint="eastAsia" w:ascii="宋体" w:hAnsi="宋体" w:cs="Arial"/>
          <w:szCs w:val="21"/>
        </w:rPr>
        <w:t>其他</w:t>
      </w:r>
    </w:p>
    <w:sdt>
      <w:sdtPr>
        <w:rPr>
          <w:rFonts w:hint="eastAsia"/>
        </w:rPr>
        <w:alias w:val="是否适用：在其他主体中的权益其他需要说明的事项[双击切换]"/>
        <w:tag w:val="_GBC_f97a284e61d54ed588c46ec336af6ef8"/>
        <w:id w:val="-561791472"/>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3"/>
        <w:numPr>
          <w:ilvl w:val="0"/>
          <w:numId w:val="57"/>
        </w:numPr>
        <w:ind w:left="426" w:firstLine="76" w:firstLineChars="36"/>
        <w:rPr>
          <w:rFonts w:ascii="宋体" w:hAnsi="宋体"/>
        </w:rPr>
      </w:pPr>
      <w:r>
        <w:rPr>
          <w:rFonts w:hint="eastAsia" w:ascii="宋体" w:hAnsi="宋体"/>
        </w:rPr>
        <w:t>政府补助</w:t>
      </w:r>
    </w:p>
    <w:p>
      <w:pPr>
        <w:pStyle w:val="504"/>
        <w:numPr>
          <w:ilvl w:val="0"/>
          <w:numId w:val="120"/>
        </w:numPr>
        <w:ind w:left="0" w:firstLine="0"/>
      </w:pPr>
      <w:r>
        <w:t>报告期末按应收金额确认的政府补助</w:t>
      </w:r>
    </w:p>
    <w:sdt>
      <w:sdtPr>
        <w:alias w:val="是否适用：按应收金额确认的政府补助[双击切换]"/>
        <w:tag w:val="_GBC_e1e20d7c43844cb8b0392ce8a915912f"/>
        <w:id w:val="-109547867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33387799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4"/>
        <w:numPr>
          <w:ilvl w:val="0"/>
          <w:numId w:val="120"/>
        </w:numPr>
        <w:ind w:left="0" w:firstLine="0"/>
      </w:pPr>
      <w:r>
        <w:t>涉及政府补助的负债项目</w:t>
      </w:r>
    </w:p>
    <w:sdt>
      <w:sdtPr>
        <w:alias w:val="是否适用：涉及政府补助的负债项目[双击切换]"/>
        <w:tag w:val="_GBC_ed9e8fabcc8e4318b2ec33d01e83aec4"/>
        <w:id w:val="80906213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涉及政府补助的负债项目"/>
          <w:tag w:val="_GBC_7f1d795aca2d46699971ecb934072fbd"/>
          <w:id w:val="78184121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千元</w:t>
          </w:r>
        </w:sdtContent>
      </w:sdt>
      <w:r>
        <w:rPr>
          <w:rFonts w:hint="eastAsia"/>
        </w:rPr>
        <w:t xml:space="preserve">  币种：</w:t>
      </w:r>
      <w:sdt>
        <w:sdtPr>
          <w:rPr>
            <w:rFonts w:hint="eastAsia"/>
          </w:rPr>
          <w:alias w:val="币种：涉及政府补助的负债项目"/>
          <w:tag w:val="_GBC_ba4177cbae6044fa854e8e3dea407bcc"/>
          <w:id w:val="6959707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131"/>
        <w:gridCol w:w="1131"/>
        <w:gridCol w:w="1131"/>
        <w:gridCol w:w="1131"/>
        <w:gridCol w:w="1042"/>
        <w:gridCol w:w="1001"/>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51e96a8ef830445cb15689886ccd8ab5"/>
            <w:id w:val="-1727599725"/>
          </w:sdtPr>
          <w:sdtEndPr>
            <w:rPr>
              <w:rFonts w:hint="eastAsia"/>
            </w:rPr>
          </w:sdtEndPr>
          <w:sdtContent>
            <w:tc>
              <w:tcPr>
                <w:tcW w:w="626" w:type="pct"/>
                <w:shd w:val="clear" w:color="auto" w:fill="auto"/>
                <w:vAlign w:val="center"/>
              </w:tcPr>
              <w:p>
                <w:pPr>
                  <w:jc w:val="center"/>
                </w:pPr>
                <w:r>
                  <w:rPr>
                    <w:rFonts w:hint="eastAsia"/>
                  </w:rPr>
                  <w:t>财务报表项目</w:t>
                </w:r>
              </w:p>
            </w:tc>
          </w:sdtContent>
        </w:sdt>
        <w:sdt>
          <w:sdtPr>
            <w:rPr>
              <w:rFonts w:hint="eastAsia"/>
            </w:rPr>
            <w:tag w:val="_PLD_13c2708d76d140e9a2c8b42ee30372fa"/>
            <w:id w:val="-572505940"/>
          </w:sdtPr>
          <w:sdtEndPr>
            <w:rPr>
              <w:rFonts w:hint="eastAsia"/>
            </w:rPr>
          </w:sdtEndPr>
          <w:sdtContent>
            <w:tc>
              <w:tcPr>
                <w:tcW w:w="625" w:type="pct"/>
                <w:shd w:val="clear" w:color="auto" w:fill="auto"/>
                <w:vAlign w:val="center"/>
              </w:tcPr>
              <w:p>
                <w:pPr>
                  <w:jc w:val="center"/>
                </w:pPr>
                <w:r>
                  <w:rPr>
                    <w:rFonts w:hint="eastAsia"/>
                  </w:rPr>
                  <w:t>期初余额</w:t>
                </w:r>
              </w:p>
            </w:tc>
          </w:sdtContent>
        </w:sdt>
        <w:sdt>
          <w:sdtPr>
            <w:tag w:val="_PLD_baee6e4484a048eca37a455836f6d23a"/>
            <w:id w:val="1516491613"/>
          </w:sdtPr>
          <w:sdtContent>
            <w:tc>
              <w:tcPr>
                <w:tcW w:w="625" w:type="pct"/>
                <w:shd w:val="clear" w:color="auto" w:fill="auto"/>
                <w:vAlign w:val="center"/>
              </w:tcPr>
              <w:p>
                <w:pPr>
                  <w:jc w:val="center"/>
                </w:pPr>
                <w:r>
                  <w:t>本期新增补助金额</w:t>
                </w:r>
              </w:p>
            </w:tc>
          </w:sdtContent>
        </w:sdt>
        <w:sdt>
          <w:sdtPr>
            <w:tag w:val="_PLD_d4b5cb214b114ec4bb3ec943b3f45a12"/>
            <w:id w:val="203839284"/>
          </w:sdtPr>
          <w:sdtContent>
            <w:tc>
              <w:tcPr>
                <w:tcW w:w="625" w:type="pct"/>
                <w:shd w:val="clear" w:color="auto" w:fill="auto"/>
                <w:vAlign w:val="center"/>
              </w:tcPr>
              <w:p>
                <w:pPr>
                  <w:jc w:val="center"/>
                </w:pPr>
                <w:r>
                  <w:t>本期计入营业外收入金额</w:t>
                </w:r>
              </w:p>
            </w:tc>
          </w:sdtContent>
        </w:sdt>
        <w:sdt>
          <w:sdtPr>
            <w:tag w:val="_PLD_fe390be730354706a1af1589fdc9ce78"/>
            <w:id w:val="-1443993267"/>
          </w:sdtPr>
          <w:sdtContent>
            <w:tc>
              <w:tcPr>
                <w:tcW w:w="625" w:type="pct"/>
                <w:vAlign w:val="center"/>
              </w:tcPr>
              <w:p>
                <w:pPr>
                  <w:jc w:val="center"/>
                </w:pPr>
                <w:r>
                  <w:t>本期转入其他收益</w:t>
                </w:r>
              </w:p>
            </w:tc>
          </w:sdtContent>
        </w:sdt>
        <w:sdt>
          <w:sdtPr>
            <w:rPr>
              <w:rFonts w:hint="eastAsia"/>
            </w:rPr>
            <w:tag w:val="_PLD_0574cd35fdf24bda85fc60dbc5d663ad"/>
            <w:id w:val="363334202"/>
          </w:sdtPr>
          <w:sdtEndPr>
            <w:rPr>
              <w:rFonts w:hint="eastAsia"/>
            </w:rPr>
          </w:sdtEndPr>
          <w:sdtContent>
            <w:tc>
              <w:tcPr>
                <w:tcW w:w="576" w:type="pct"/>
                <w:vAlign w:val="center"/>
              </w:tcPr>
              <w:p>
                <w:pPr>
                  <w:jc w:val="center"/>
                </w:pPr>
                <w:r>
                  <w:rPr>
                    <w:rFonts w:hint="eastAsia"/>
                  </w:rPr>
                  <w:t>本期其他变动</w:t>
                </w:r>
              </w:p>
            </w:tc>
          </w:sdtContent>
        </w:sdt>
        <w:sdt>
          <w:sdtPr>
            <w:rPr>
              <w:rFonts w:hint="eastAsia"/>
            </w:rPr>
            <w:tag w:val="_PLD_b4cd227caa134d8da03257df3775b63f"/>
            <w:id w:val="-1834134751"/>
          </w:sdtPr>
          <w:sdtEndPr>
            <w:rPr>
              <w:rFonts w:hint="eastAsia"/>
            </w:rPr>
          </w:sdtEndPr>
          <w:sdtContent>
            <w:tc>
              <w:tcPr>
                <w:tcW w:w="553" w:type="pct"/>
                <w:vAlign w:val="center"/>
              </w:tcPr>
              <w:p>
                <w:pPr>
                  <w:jc w:val="center"/>
                </w:pPr>
                <w:r>
                  <w:rPr>
                    <w:rFonts w:hint="eastAsia"/>
                  </w:rPr>
                  <w:t>期末余额</w:t>
                </w:r>
              </w:p>
            </w:tc>
          </w:sdtContent>
        </w:sdt>
        <w:sdt>
          <w:sdtPr>
            <w:rPr>
              <w:rFonts w:hint="eastAsia"/>
            </w:rPr>
            <w:tag w:val="_PLD_9149efa168c746cfa58bdc4f4b4275bd"/>
            <w:id w:val="2074306835"/>
          </w:sdtPr>
          <w:sdtEndPr>
            <w:rPr>
              <w:rFonts w:hint="default"/>
            </w:rPr>
          </w:sdtEndPr>
          <w:sdtContent>
            <w:tc>
              <w:tcPr>
                <w:tcW w:w="745" w:type="pct"/>
                <w:vAlign w:val="center"/>
              </w:tcPr>
              <w:p>
                <w:pPr>
                  <w:jc w:val="center"/>
                </w:pPr>
                <w:r>
                  <w:rPr>
                    <w:rFonts w:hint="eastAsia"/>
                  </w:rPr>
                  <w:t>与资产</w:t>
                </w:r>
                <w:r>
                  <w:t>/收益相关</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shd w:val="clear" w:color="auto" w:fill="auto"/>
          </w:tcPr>
          <w:p>
            <w:pPr>
              <w:pStyle w:val="531"/>
            </w:pPr>
            <w:r>
              <w:rPr>
                <w:rFonts w:hint="eastAsia"/>
              </w:rPr>
              <w:t>递延收益</w:t>
            </w:r>
          </w:p>
        </w:tc>
        <w:tc>
          <w:tcPr>
            <w:tcW w:w="625" w:type="pct"/>
            <w:shd w:val="clear" w:color="auto" w:fill="auto"/>
          </w:tcPr>
          <w:p>
            <w:pPr>
              <w:jc w:val="right"/>
              <w:rPr>
                <w:rFonts w:ascii="宋体" w:hAnsi="宋体"/>
              </w:rPr>
            </w:pPr>
            <w:r>
              <w:rPr>
                <w:rFonts w:ascii="宋体" w:hAnsi="宋体"/>
              </w:rPr>
              <w:t>325,556</w:t>
            </w:r>
          </w:p>
        </w:tc>
        <w:tc>
          <w:tcPr>
            <w:tcW w:w="625" w:type="pct"/>
            <w:shd w:val="clear" w:color="auto" w:fill="auto"/>
          </w:tcPr>
          <w:p>
            <w:pPr>
              <w:jc w:val="right"/>
              <w:rPr>
                <w:rFonts w:ascii="宋体" w:hAnsi="宋体"/>
              </w:rPr>
            </w:pPr>
            <w:r>
              <w:rPr>
                <w:rFonts w:ascii="宋体" w:hAnsi="宋体"/>
              </w:rPr>
              <w:t>59,080</w:t>
            </w:r>
          </w:p>
        </w:tc>
        <w:tc>
          <w:tcPr>
            <w:tcW w:w="625" w:type="pct"/>
            <w:shd w:val="clear" w:color="auto" w:fill="auto"/>
          </w:tcPr>
          <w:p>
            <w:pPr>
              <w:jc w:val="right"/>
              <w:rPr>
                <w:rFonts w:ascii="宋体" w:hAnsi="宋体"/>
              </w:rPr>
            </w:pPr>
          </w:p>
        </w:tc>
        <w:tc>
          <w:tcPr>
            <w:tcW w:w="625" w:type="pct"/>
            <w:vAlign w:val="center"/>
          </w:tcPr>
          <w:p>
            <w:pPr>
              <w:jc w:val="right"/>
              <w:rPr>
                <w:rFonts w:ascii="宋体" w:hAnsi="宋体"/>
              </w:rPr>
            </w:pPr>
            <w:r>
              <w:rPr>
                <w:rFonts w:ascii="宋体" w:hAnsi="宋体"/>
              </w:rPr>
              <w:t>55,318</w:t>
            </w:r>
          </w:p>
        </w:tc>
        <w:tc>
          <w:tcPr>
            <w:tcW w:w="576" w:type="pct"/>
            <w:vAlign w:val="center"/>
          </w:tcPr>
          <w:p>
            <w:pPr>
              <w:jc w:val="right"/>
              <w:rPr>
                <w:rFonts w:ascii="宋体" w:hAnsi="宋体"/>
              </w:rPr>
            </w:pPr>
          </w:p>
        </w:tc>
        <w:tc>
          <w:tcPr>
            <w:tcW w:w="553" w:type="pct"/>
            <w:vAlign w:val="center"/>
          </w:tcPr>
          <w:p>
            <w:pPr>
              <w:jc w:val="right"/>
              <w:rPr>
                <w:rFonts w:ascii="宋体" w:hAnsi="宋体"/>
              </w:rPr>
            </w:pPr>
            <w:r>
              <w:rPr>
                <w:rFonts w:ascii="宋体" w:hAnsi="宋体"/>
              </w:rPr>
              <w:t>329,318</w:t>
            </w:r>
          </w:p>
        </w:tc>
        <w:tc>
          <w:tcPr>
            <w:tcW w:w="745" w:type="pct"/>
          </w:tcPr>
          <w:p>
            <w:pPr>
              <w:pStyle w:val="531"/>
            </w:pPr>
            <w:r>
              <w:rPr>
                <w:rFonts w:hint="eastAsia"/>
              </w:rPr>
              <w:t>与资产相关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tcBorders>
              <w:top w:val="single" w:color="auto" w:sz="4" w:space="0"/>
              <w:left w:val="single" w:color="auto" w:sz="4" w:space="0"/>
              <w:bottom w:val="single" w:color="auto" w:sz="4" w:space="0"/>
              <w:right w:val="single" w:color="auto" w:sz="4" w:space="0"/>
            </w:tcBorders>
            <w:shd w:val="clear" w:color="auto" w:fill="auto"/>
          </w:tcPr>
          <w:p>
            <w:pPr>
              <w:jc w:val="center"/>
            </w:pPr>
            <w:r>
              <w:t>合计</w:t>
            </w:r>
          </w:p>
        </w:tc>
        <w:tc>
          <w:tcPr>
            <w:tcW w:w="625" w:type="pct"/>
            <w:shd w:val="clear" w:color="auto" w:fill="auto"/>
          </w:tcPr>
          <w:p>
            <w:pPr>
              <w:jc w:val="right"/>
            </w:pPr>
            <w:r>
              <w:rPr>
                <w:rFonts w:ascii="宋体" w:hAnsi="宋体"/>
              </w:rPr>
              <w:t>325,556</w:t>
            </w:r>
          </w:p>
        </w:tc>
        <w:tc>
          <w:tcPr>
            <w:tcW w:w="625" w:type="pct"/>
            <w:shd w:val="clear" w:color="auto" w:fill="auto"/>
          </w:tcPr>
          <w:p>
            <w:pPr>
              <w:jc w:val="right"/>
            </w:pPr>
            <w:r>
              <w:rPr>
                <w:rFonts w:ascii="宋体" w:hAnsi="宋体"/>
              </w:rPr>
              <w:t>59,080</w:t>
            </w:r>
          </w:p>
        </w:tc>
        <w:tc>
          <w:tcPr>
            <w:tcW w:w="625" w:type="pct"/>
            <w:shd w:val="clear" w:color="auto" w:fill="auto"/>
          </w:tcPr>
          <w:p>
            <w:pPr>
              <w:jc w:val="right"/>
            </w:pPr>
          </w:p>
        </w:tc>
        <w:tc>
          <w:tcPr>
            <w:tcW w:w="625" w:type="pct"/>
            <w:vAlign w:val="center"/>
          </w:tcPr>
          <w:p>
            <w:pPr>
              <w:jc w:val="right"/>
            </w:pPr>
            <w:r>
              <w:rPr>
                <w:rFonts w:ascii="宋体" w:hAnsi="宋体"/>
              </w:rPr>
              <w:t>55,318</w:t>
            </w:r>
          </w:p>
        </w:tc>
        <w:tc>
          <w:tcPr>
            <w:tcW w:w="576" w:type="pct"/>
            <w:vAlign w:val="center"/>
          </w:tcPr>
          <w:p>
            <w:pPr>
              <w:jc w:val="right"/>
            </w:pPr>
          </w:p>
        </w:tc>
        <w:tc>
          <w:tcPr>
            <w:tcW w:w="553" w:type="pct"/>
            <w:vAlign w:val="center"/>
          </w:tcPr>
          <w:p>
            <w:pPr>
              <w:jc w:val="right"/>
            </w:pPr>
            <w:r>
              <w:rPr>
                <w:rFonts w:ascii="宋体" w:hAnsi="宋体"/>
              </w:rPr>
              <w:t>329,318</w:t>
            </w:r>
          </w:p>
        </w:tc>
        <w:tc>
          <w:tcPr>
            <w:tcW w:w="745" w:type="pct"/>
            <w:tcBorders>
              <w:top w:val="single" w:color="auto" w:sz="4" w:space="0"/>
              <w:left w:val="single" w:color="auto" w:sz="4" w:space="0"/>
              <w:bottom w:val="single" w:color="auto" w:sz="4" w:space="0"/>
              <w:right w:val="single" w:color="auto" w:sz="4" w:space="0"/>
            </w:tcBorders>
          </w:tcPr>
          <w:p>
            <w:pPr>
              <w:pStyle w:val="531"/>
              <w:jc w:val="center"/>
            </w:pPr>
            <w:r>
              <w:rPr>
                <w:rFonts w:hint="eastAsia"/>
              </w:rPr>
              <w:t>/</w:t>
            </w:r>
          </w:p>
        </w:tc>
      </w:tr>
    </w:tbl>
    <w:p>
      <w:pPr>
        <w:pStyle w:val="531"/>
      </w:pPr>
    </w:p>
    <w:p>
      <w:pPr>
        <w:pStyle w:val="504"/>
        <w:numPr>
          <w:ilvl w:val="0"/>
          <w:numId w:val="120"/>
        </w:numPr>
        <w:ind w:left="0" w:firstLine="0"/>
        <w:rPr>
          <w:rFonts w:cs="宋体"/>
          <w:kern w:val="0"/>
          <w:szCs w:val="24"/>
        </w:rPr>
      </w:pPr>
      <w:r>
        <w:rPr>
          <w:rFonts w:hint="eastAsia" w:cs="宋体"/>
          <w:kern w:val="0"/>
          <w:szCs w:val="24"/>
        </w:rPr>
        <w:t>计入当期</w:t>
      </w:r>
      <w:r>
        <w:rPr>
          <w:rFonts w:hint="eastAsia" w:ascii="宋体" w:hAnsi="宋体" w:cs="宋体"/>
          <w:kern w:val="0"/>
          <w:szCs w:val="24"/>
        </w:rPr>
        <w:t>损益</w:t>
      </w:r>
      <w:r>
        <w:rPr>
          <w:rFonts w:hint="eastAsia" w:cs="宋体"/>
          <w:kern w:val="0"/>
          <w:szCs w:val="24"/>
        </w:rPr>
        <w:t>的政府补助</w:t>
      </w:r>
    </w:p>
    <w:sdt>
      <w:sdtPr>
        <w:rPr>
          <w:rStyle w:val="535"/>
          <w:rFonts w:ascii="宋体" w:hAnsi="宋体"/>
          <w:b w:val="0"/>
          <w:szCs w:val="21"/>
        </w:rPr>
        <w:alias w:val="是否适用：计入当期损益的政府补助[双击切换]"/>
        <w:tag w:val="_GBC_8ddf92f66bfa4f87b73074ebf5a7bd32"/>
        <w:id w:val="1162893618"/>
        <w:placeholder>
          <w:docPart w:val="GBC22222222222222222222222222222"/>
        </w:placeholder>
      </w:sdtPr>
      <w:sdtEndPr>
        <w:rPr>
          <w:rStyle w:val="535"/>
          <w:rFonts w:ascii="宋体" w:hAnsi="宋体"/>
          <w:b w:val="0"/>
          <w:szCs w:val="21"/>
        </w:rPr>
      </w:sdtEndPr>
      <w:sdtContent>
        <w:p>
          <w:pPr>
            <w:rPr>
              <w:rStyle w:val="535"/>
              <w:rFonts w:ascii="宋体" w:hAnsi="宋体"/>
              <w:b w:val="0"/>
              <w:szCs w:val="21"/>
            </w:rPr>
          </w:pPr>
          <w:r>
            <w:rPr>
              <w:rStyle w:val="535"/>
              <w:rFonts w:ascii="宋体" w:hAnsi="宋体" w:eastAsia="宋体"/>
              <w:b w:val="0"/>
              <w:szCs w:val="21"/>
            </w:rPr>
            <w:fldChar w:fldCharType="begin"/>
          </w:r>
          <w:r>
            <w:rPr>
              <w:rStyle w:val="535"/>
              <w:rFonts w:ascii="宋体" w:hAnsi="宋体" w:eastAsia="宋体"/>
              <w:b w:val="0"/>
              <w:szCs w:val="21"/>
            </w:rPr>
            <w:instrText xml:space="preserve">MACROBUTTON  SnrToggleCheckbox √适用 </w:instrText>
          </w:r>
          <w:r>
            <w:rPr>
              <w:rStyle w:val="535"/>
              <w:rFonts w:ascii="宋体" w:hAnsi="宋体" w:eastAsia="宋体"/>
              <w:b w:val="0"/>
              <w:szCs w:val="21"/>
            </w:rPr>
            <w:fldChar w:fldCharType="end"/>
          </w:r>
          <w:r>
            <w:rPr>
              <w:rStyle w:val="535"/>
              <w:rFonts w:ascii="宋体" w:hAnsi="宋体" w:eastAsia="宋体"/>
              <w:b w:val="0"/>
              <w:szCs w:val="21"/>
            </w:rPr>
            <w:fldChar w:fldCharType="begin"/>
          </w:r>
          <w:r>
            <w:rPr>
              <w:rStyle w:val="535"/>
              <w:rFonts w:ascii="宋体" w:hAnsi="宋体" w:eastAsia="宋体"/>
              <w:b w:val="0"/>
              <w:szCs w:val="21"/>
            </w:rPr>
            <w:instrText xml:space="preserve"> MACROBUTTON  SnrToggleCheckbox □不适用 </w:instrText>
          </w:r>
          <w:r>
            <w:rPr>
              <w:rStyle w:val="535"/>
              <w:rFonts w:ascii="宋体" w:hAnsi="宋体" w:eastAsia="宋体"/>
              <w:b w:val="0"/>
              <w:szCs w:val="21"/>
            </w:rPr>
            <w:fldChar w:fldCharType="end"/>
          </w:r>
        </w:p>
      </w:sdtContent>
    </w:sdt>
    <w:p>
      <w:pPr>
        <w:jc w:val="right"/>
      </w:pPr>
      <w:r>
        <w:rPr>
          <w:rFonts w:hint="eastAsia"/>
        </w:rPr>
        <w:t>单位：千元  币种：人民币</w:t>
      </w:r>
    </w:p>
    <w:tbl>
      <w:tblPr>
        <w:tblStyle w:val="9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1"/>
        <w:gridCol w:w="2941"/>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pPr>
              <w:rPr>
                <w:rFonts w:ascii="Times New Roman" w:hAnsi="Times New Roman"/>
              </w:rPr>
            </w:pPr>
            <w:r>
              <w:rPr>
                <w:rFonts w:hint="eastAsia" w:ascii="Times New Roman" w:hAnsi="Times New Roman"/>
              </w:rPr>
              <w:t>会计科目</w:t>
            </w:r>
          </w:p>
        </w:tc>
        <w:tc>
          <w:tcPr>
            <w:tcW w:w="2941" w:type="dxa"/>
          </w:tcPr>
          <w:p>
            <w:pPr>
              <w:jc w:val="right"/>
              <w:rPr>
                <w:rFonts w:ascii="宋体" w:hAnsi="宋体"/>
              </w:rPr>
            </w:pPr>
            <w:r>
              <w:rPr>
                <w:rFonts w:hint="eastAsia" w:ascii="宋体" w:hAnsi="宋体"/>
              </w:rPr>
              <w:t>本期发生额</w:t>
            </w:r>
          </w:p>
        </w:tc>
        <w:tc>
          <w:tcPr>
            <w:tcW w:w="2941" w:type="dxa"/>
          </w:tcPr>
          <w:p>
            <w:pPr>
              <w:jc w:val="right"/>
              <w:rPr>
                <w:rFonts w:ascii="宋体" w:hAnsi="宋体"/>
              </w:rPr>
            </w:pPr>
            <w:r>
              <w:rPr>
                <w:rFonts w:hint="eastAsia" w:ascii="宋体" w:hAnsi="宋体"/>
              </w:rPr>
              <w:t>上期发生额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pPr>
              <w:rPr>
                <w:rFonts w:ascii="Times New Roman" w:hAnsi="Times New Roman"/>
              </w:rPr>
            </w:pPr>
            <w:r>
              <w:rPr>
                <w:rFonts w:hint="eastAsia" w:ascii="Times New Roman" w:hAnsi="Times New Roman"/>
              </w:rPr>
              <w:t>其他收益</w:t>
            </w:r>
          </w:p>
        </w:tc>
        <w:tc>
          <w:tcPr>
            <w:tcW w:w="2941" w:type="dxa"/>
          </w:tcPr>
          <w:p>
            <w:pPr>
              <w:jc w:val="right"/>
              <w:rPr>
                <w:rFonts w:ascii="宋体" w:hAnsi="宋体"/>
              </w:rPr>
            </w:pPr>
            <w:r>
              <w:rPr>
                <w:rFonts w:ascii="宋体" w:hAnsi="宋体"/>
              </w:rPr>
              <w:t>260,443</w:t>
            </w:r>
          </w:p>
        </w:tc>
        <w:tc>
          <w:tcPr>
            <w:tcW w:w="2941" w:type="dxa"/>
          </w:tcPr>
          <w:p>
            <w:pPr>
              <w:jc w:val="right"/>
              <w:rPr>
                <w:rFonts w:ascii="宋体" w:hAnsi="宋体"/>
              </w:rPr>
            </w:pPr>
            <w:r>
              <w:rPr>
                <w:rFonts w:ascii="宋体" w:hAnsi="宋体"/>
              </w:rPr>
              <w:t>204,731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pPr>
              <w:rPr>
                <w:rFonts w:ascii="Times New Roman" w:hAnsi="Times New Roman"/>
              </w:rPr>
            </w:pPr>
            <w:r>
              <w:rPr>
                <w:rFonts w:hint="eastAsia" w:ascii="Times New Roman" w:hAnsi="Times New Roman"/>
              </w:rPr>
              <w:t>营业外收入</w:t>
            </w:r>
          </w:p>
        </w:tc>
        <w:tc>
          <w:tcPr>
            <w:tcW w:w="2941" w:type="dxa"/>
          </w:tcPr>
          <w:p>
            <w:pPr>
              <w:jc w:val="right"/>
              <w:rPr>
                <w:rFonts w:ascii="宋体" w:hAnsi="宋体"/>
              </w:rPr>
            </w:pPr>
            <w:r>
              <w:rPr>
                <w:rFonts w:ascii="宋体" w:hAnsi="宋体"/>
              </w:rPr>
              <w:t>30,144</w:t>
            </w:r>
          </w:p>
        </w:tc>
        <w:tc>
          <w:tcPr>
            <w:tcW w:w="2941" w:type="dxa"/>
          </w:tcPr>
          <w:p>
            <w:pPr>
              <w:jc w:val="right"/>
              <w:rPr>
                <w:rFonts w:ascii="宋体" w:hAnsi="宋体"/>
              </w:rPr>
            </w:pPr>
            <w:r>
              <w:rPr>
                <w:rFonts w:ascii="宋体" w:hAnsi="宋体"/>
              </w:rPr>
              <w:t>20,096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1" w:type="dxa"/>
            <w:vAlign w:val="center"/>
          </w:tcPr>
          <w:p>
            <w:pPr>
              <w:rPr>
                <w:rFonts w:ascii="Times New Roman" w:hAnsi="Times New Roman"/>
              </w:rPr>
            </w:pPr>
            <w:r>
              <w:rPr>
                <w:rFonts w:hint="eastAsia" w:ascii="Times New Roman" w:hAnsi="Times New Roman"/>
              </w:rPr>
              <w:t>合计</w:t>
            </w:r>
          </w:p>
        </w:tc>
        <w:tc>
          <w:tcPr>
            <w:tcW w:w="2941" w:type="dxa"/>
          </w:tcPr>
          <w:p>
            <w:pPr>
              <w:jc w:val="right"/>
              <w:rPr>
                <w:rFonts w:ascii="宋体" w:hAnsi="宋体"/>
              </w:rPr>
            </w:pPr>
            <w:r>
              <w:rPr>
                <w:rFonts w:ascii="宋体" w:hAnsi="宋体"/>
              </w:rPr>
              <w:t>290,587</w:t>
            </w:r>
          </w:p>
        </w:tc>
        <w:tc>
          <w:tcPr>
            <w:tcW w:w="2941" w:type="dxa"/>
          </w:tcPr>
          <w:p>
            <w:pPr>
              <w:jc w:val="right"/>
              <w:rPr>
                <w:rFonts w:ascii="宋体" w:hAnsi="宋体"/>
              </w:rPr>
            </w:pPr>
            <w:r>
              <w:rPr>
                <w:rFonts w:ascii="宋体" w:hAnsi="宋体"/>
              </w:rPr>
              <w:t>224,827</w:t>
            </w:r>
          </w:p>
        </w:tc>
      </w:tr>
    </w:tbl>
    <w:p>
      <w:pPr>
        <w:pStyle w:val="501"/>
      </w:pPr>
    </w:p>
    <w:p>
      <w:pPr>
        <w:pStyle w:val="503"/>
        <w:numPr>
          <w:ilvl w:val="0"/>
          <w:numId w:val="57"/>
        </w:numPr>
        <w:ind w:left="518" w:firstLine="6"/>
        <w:rPr>
          <w:rFonts w:ascii="宋体" w:hAnsi="宋体"/>
        </w:rPr>
      </w:pPr>
      <w:r>
        <w:rPr>
          <w:rFonts w:hint="eastAsia" w:ascii="宋体" w:hAnsi="宋体"/>
        </w:rPr>
        <w:t>与金融工具相关的风险</w:t>
      </w:r>
    </w:p>
    <w:p>
      <w:pPr>
        <w:numPr>
          <w:ilvl w:val="0"/>
          <w:numId w:val="121"/>
        </w:numPr>
      </w:pPr>
      <w:r>
        <w:rPr>
          <w:rFonts w:hint="eastAsia"/>
        </w:rPr>
        <w:t>金融工具的风险</w:t>
      </w:r>
    </w:p>
    <w:sdt>
      <w:sdtPr>
        <w:alias w:val="是否适用：与金融工具相关的风险[双击切换]"/>
        <w:tag w:val="_GBC_2be38aac6aaa4945a48be2cdc11eaaf6"/>
        <w:id w:val="40920161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本集团的金融工具包括货币资金、应收账款、应收款项融资、其他应收款、长期应收款、债权投资、发放贷款及垫款、应收保理款、其他权益工具投资、交易性金融资产和其他非流动金融资产、交易性金融负债、借款、应付款项及应付债券等，各项金融工具的详细情况说明见本附注“七、合并财务报表项目注释”。与这些金融工具有关的风险，以及本集团为降低这些风险所采取的风险管理政策如下所述。本集团管理层对这些风险敞口进行管理和监控以确保将上述风险控制在限定的范围之内。本集团所面临的风险敞口及管理和监控这些风险的措施均未发生重大变化。</w:t>
      </w:r>
    </w:p>
    <w:p>
      <w:pPr>
        <w:pStyle w:val="505"/>
        <w:numPr>
          <w:ilvl w:val="3"/>
          <w:numId w:val="122"/>
        </w:numPr>
        <w:ind w:leftChars="-13" w:hanging="27" w:hangingChars="13"/>
        <w:rPr>
          <w:b w:val="0"/>
          <w:bCs w:val="0"/>
        </w:rPr>
      </w:pPr>
      <w:r>
        <w:rPr>
          <w:rFonts w:hint="eastAsia"/>
          <w:b w:val="0"/>
          <w:bCs w:val="0"/>
        </w:rPr>
        <w:t>各类风险管理目标和政策</w:t>
      </w:r>
    </w:p>
    <w:p>
      <w:pPr>
        <w:widowControl/>
        <w:autoSpaceDE w:val="0"/>
        <w:autoSpaceDN w:val="0"/>
        <w:adjustRightInd w:val="0"/>
        <w:spacing w:before="156" w:beforeLines="50" w:after="156" w:afterLines="50" w:line="360" w:lineRule="exact"/>
        <w:ind w:firstLine="420" w:firstLineChars="200"/>
        <w:rPr>
          <w:rFonts w:ascii="宋体" w:hAnsi="宋体" w:cs="MHei-Light-Identity-H"/>
          <w:snapToGrid w:val="0"/>
          <w:kern w:val="0"/>
          <w:lang w:val="en-GB"/>
        </w:rPr>
      </w:pPr>
      <w:r>
        <w:rPr>
          <w:rFonts w:hint="eastAsia" w:ascii="宋体" w:hAnsi="宋体" w:cs="MHei-Light-Identity-H"/>
          <w:snapToGrid w:val="0"/>
          <w:kern w:val="0"/>
          <w:lang w:val="en-GB"/>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pPr>
        <w:pStyle w:val="543"/>
        <w:widowControl/>
        <w:numPr>
          <w:ilvl w:val="0"/>
          <w:numId w:val="123"/>
        </w:numPr>
        <w:autoSpaceDE w:val="0"/>
        <w:autoSpaceDN w:val="0"/>
        <w:adjustRightInd w:val="0"/>
        <w:snapToGrid w:val="0"/>
        <w:spacing w:before="156" w:beforeLines="50" w:after="156" w:afterLines="50" w:line="360" w:lineRule="exact"/>
        <w:ind w:firstLineChars="0"/>
        <w:jc w:val="left"/>
        <w:outlineLvl w:val="2"/>
        <w:rPr>
          <w:rFonts w:ascii="宋体" w:hAnsi="宋体" w:cs="MHei-Bold-Identity-H"/>
          <w:bCs/>
          <w:snapToGrid w:val="0"/>
          <w:kern w:val="0"/>
          <w:lang w:val="en-GB"/>
        </w:rPr>
      </w:pPr>
      <w:r>
        <w:rPr>
          <w:rFonts w:hint="eastAsia" w:ascii="宋体" w:hAnsi="宋体" w:cs="MHei-Bold-Identity-H"/>
          <w:bCs/>
          <w:snapToGrid w:val="0"/>
          <w:kern w:val="0"/>
          <w:lang w:val="en-GB"/>
        </w:rPr>
        <w:t>市场风险</w:t>
      </w:r>
    </w:p>
    <w:p>
      <w:pPr>
        <w:widowControl/>
        <w:autoSpaceDE w:val="0"/>
        <w:autoSpaceDN w:val="0"/>
        <w:adjustRightInd w:val="0"/>
        <w:snapToGrid w:val="0"/>
        <w:spacing w:before="156" w:beforeLines="50" w:after="156" w:afterLines="50" w:line="360" w:lineRule="exact"/>
        <w:ind w:left="420"/>
        <w:jc w:val="left"/>
        <w:outlineLvl w:val="3"/>
        <w:rPr>
          <w:rFonts w:ascii="宋体" w:hAnsi="宋体" w:cs="MHei-Light-Identity-H"/>
          <w:snapToGrid w:val="0"/>
          <w:kern w:val="0"/>
          <w:lang w:val="en-GB"/>
        </w:rPr>
      </w:pPr>
      <w:r>
        <w:rPr>
          <w:rFonts w:hint="eastAsia" w:ascii="宋体" w:hAnsi="宋体" w:cs="MHei-Light-Identity-H"/>
          <w:snapToGrid w:val="0"/>
          <w:kern w:val="0"/>
          <w:lang w:val="en-GB"/>
        </w:rPr>
        <w:t>①汇率风险</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color w:val="000000"/>
          <w:kern w:val="0"/>
          <w:lang w:bidi="ar"/>
        </w:rPr>
      </w:pPr>
      <w:r>
        <w:rPr>
          <w:rFonts w:hint="eastAsia" w:ascii="宋体" w:hAnsi="宋体" w:cs="MHei-Light-Identity-H"/>
          <w:snapToGrid w:val="0"/>
          <w:color w:val="000000"/>
          <w:kern w:val="0"/>
          <w:lang w:bidi="ar"/>
        </w:rPr>
        <w:t>于2023年12月31日，除下表所述货币性资产及负债的美元、澳元、港币、欧元、加元余额外，本集团的货币性资产及负债均为人民币余额。该等余额的资产和负债产生的汇率风险可能对本集团的经营业绩产生影响。</w:t>
      </w:r>
    </w:p>
    <w:tbl>
      <w:tblPr>
        <w:tblStyle w:val="9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2908"/>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907" w:type="dxa"/>
            <w:shd w:val="clear" w:color="auto" w:fill="auto"/>
            <w:vAlign w:val="center"/>
          </w:tcPr>
          <w:p>
            <w:pPr>
              <w:widowControl/>
              <w:snapToGrid w:val="0"/>
              <w:rPr>
                <w:rFonts w:ascii="宋体" w:hAnsi="宋体" w:cs="宋体"/>
                <w:i/>
                <w:snapToGrid w:val="0"/>
                <w:color w:val="FF0000"/>
                <w:kern w:val="0"/>
              </w:rPr>
            </w:pPr>
            <w:r>
              <w:rPr>
                <w:rFonts w:hint="eastAsia" w:ascii="宋体" w:hAnsi="宋体" w:cs="宋体"/>
                <w:b/>
                <w:snapToGrid w:val="0"/>
                <w:color w:val="000000"/>
                <w:kern w:val="0"/>
                <w:lang w:bidi="ar"/>
              </w:rPr>
              <w:t>项目</w:t>
            </w:r>
          </w:p>
        </w:tc>
        <w:tc>
          <w:tcPr>
            <w:tcW w:w="2908" w:type="dxa"/>
            <w:shd w:val="clear" w:color="auto" w:fill="auto"/>
            <w:vAlign w:val="center"/>
          </w:tcPr>
          <w:p>
            <w:pPr>
              <w:widowControl/>
              <w:snapToGrid w:val="0"/>
              <w:jc w:val="center"/>
              <w:rPr>
                <w:rFonts w:ascii="宋体" w:hAnsi="宋体" w:cs="宋体"/>
                <w:b/>
                <w:snapToGrid w:val="0"/>
                <w:kern w:val="0"/>
                <w:lang w:eastAsia="en-US"/>
              </w:rPr>
            </w:pPr>
            <w:r>
              <w:rPr>
                <w:rFonts w:hint="eastAsia" w:ascii="宋体" w:hAnsi="宋体" w:cs="宋体"/>
                <w:b/>
                <w:snapToGrid w:val="0"/>
                <w:color w:val="000000"/>
                <w:kern w:val="0"/>
                <w:lang w:bidi="ar"/>
              </w:rPr>
              <w:t>负债年末余额</w:t>
            </w:r>
          </w:p>
        </w:tc>
        <w:tc>
          <w:tcPr>
            <w:tcW w:w="2690" w:type="dxa"/>
            <w:shd w:val="clear" w:color="auto" w:fill="auto"/>
            <w:vAlign w:val="center"/>
          </w:tcPr>
          <w:p>
            <w:pPr>
              <w:widowControl/>
              <w:snapToGrid w:val="0"/>
              <w:jc w:val="center"/>
              <w:rPr>
                <w:rFonts w:ascii="宋体" w:hAnsi="宋体" w:cs="宋体"/>
                <w:b/>
                <w:snapToGrid w:val="0"/>
                <w:kern w:val="0"/>
                <w:lang w:eastAsia="en-US"/>
              </w:rPr>
            </w:pPr>
            <w:r>
              <w:rPr>
                <w:rFonts w:hint="eastAsia" w:ascii="宋体" w:hAnsi="宋体" w:cs="宋体"/>
                <w:b/>
                <w:snapToGrid w:val="0"/>
                <w:color w:val="000000"/>
                <w:kern w:val="0"/>
                <w:lang w:bidi="ar"/>
              </w:rPr>
              <w:t>资产年末余额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7"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美元</w:t>
            </w:r>
          </w:p>
        </w:tc>
        <w:tc>
          <w:tcPr>
            <w:tcW w:w="2908" w:type="dxa"/>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kern w:val="0"/>
                <w:lang w:eastAsia="en-US"/>
              </w:rPr>
              <w:t>7,481,039</w:t>
            </w:r>
          </w:p>
        </w:tc>
        <w:tc>
          <w:tcPr>
            <w:tcW w:w="2690" w:type="dxa"/>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kern w:val="0"/>
                <w:lang w:eastAsia="en-US"/>
              </w:rPr>
              <w:t>7,009,777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7"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澳元</w:t>
            </w:r>
          </w:p>
        </w:tc>
        <w:tc>
          <w:tcPr>
            <w:tcW w:w="2908" w:type="dxa"/>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kern w:val="0"/>
                <w:lang w:eastAsia="en-US"/>
              </w:rPr>
              <w:t>3,219,226</w:t>
            </w:r>
          </w:p>
        </w:tc>
        <w:tc>
          <w:tcPr>
            <w:tcW w:w="2690" w:type="dxa"/>
            <w:shd w:val="clear" w:color="auto" w:fill="auto"/>
            <w:vAlign w:val="center"/>
          </w:tcPr>
          <w:p>
            <w:pPr>
              <w:widowControl/>
              <w:snapToGrid w:val="0"/>
              <w:jc w:val="right"/>
              <w:textAlignment w:val="center"/>
              <w:rPr>
                <w:rFonts w:ascii="宋体" w:hAnsi="宋体" w:cs="宋体"/>
                <w:snapToGrid w:val="0"/>
                <w:kern w:val="0"/>
                <w:lang w:eastAsia="en-US"/>
              </w:rPr>
            </w:pPr>
            <w:r>
              <w:rPr>
                <w:rFonts w:ascii="宋体" w:hAnsi="宋体" w:cs="宋体"/>
                <w:snapToGrid w:val="0"/>
                <w:kern w:val="0"/>
                <w:lang w:eastAsia="en-US"/>
              </w:rPr>
              <w:t>5,740,001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7"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港币</w:t>
            </w:r>
          </w:p>
        </w:tc>
        <w:tc>
          <w:tcPr>
            <w:tcW w:w="2908" w:type="dxa"/>
            <w:shd w:val="clear" w:color="auto" w:fill="auto"/>
            <w:vAlign w:val="center"/>
          </w:tcPr>
          <w:p>
            <w:pPr>
              <w:widowControl/>
              <w:snapToGrid w:val="0"/>
              <w:jc w:val="right"/>
              <w:rPr>
                <w:rFonts w:ascii="宋体" w:hAnsi="宋体" w:cs="宋体"/>
                <w:snapToGrid w:val="0"/>
                <w:kern w:val="0"/>
                <w:lang w:eastAsia="en-US"/>
              </w:rPr>
            </w:pPr>
          </w:p>
        </w:tc>
        <w:tc>
          <w:tcPr>
            <w:tcW w:w="2690" w:type="dxa"/>
            <w:shd w:val="clear" w:color="auto" w:fill="auto"/>
            <w:vAlign w:val="center"/>
          </w:tcPr>
          <w:p>
            <w:pPr>
              <w:widowControl/>
              <w:snapToGrid w:val="0"/>
              <w:jc w:val="right"/>
              <w:textAlignment w:val="center"/>
              <w:rPr>
                <w:rFonts w:ascii="宋体" w:hAnsi="宋体" w:cs="宋体"/>
                <w:snapToGrid w:val="0"/>
                <w:kern w:val="0"/>
                <w:lang w:eastAsia="en-US"/>
              </w:rPr>
            </w:pPr>
            <w:r>
              <w:rPr>
                <w:rFonts w:ascii="宋体" w:hAnsi="宋体" w:cs="宋体"/>
                <w:snapToGrid w:val="0"/>
                <w:kern w:val="0"/>
                <w:lang w:eastAsia="en-US"/>
              </w:rPr>
              <w:t>122,627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7"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加元</w:t>
            </w:r>
          </w:p>
        </w:tc>
        <w:tc>
          <w:tcPr>
            <w:tcW w:w="2908" w:type="dxa"/>
            <w:shd w:val="clear" w:color="auto" w:fill="auto"/>
            <w:vAlign w:val="center"/>
          </w:tcPr>
          <w:p>
            <w:pPr>
              <w:widowControl/>
              <w:snapToGrid w:val="0"/>
              <w:jc w:val="right"/>
              <w:rPr>
                <w:rFonts w:ascii="宋体" w:hAnsi="宋体" w:cs="宋体"/>
                <w:snapToGrid w:val="0"/>
                <w:kern w:val="0"/>
                <w:lang w:eastAsia="en-US"/>
              </w:rPr>
            </w:pPr>
          </w:p>
        </w:tc>
        <w:tc>
          <w:tcPr>
            <w:tcW w:w="2690" w:type="dxa"/>
            <w:shd w:val="clear" w:color="auto" w:fill="auto"/>
            <w:vAlign w:val="center"/>
          </w:tcPr>
          <w:p>
            <w:pPr>
              <w:widowControl/>
              <w:snapToGrid w:val="0"/>
              <w:jc w:val="right"/>
              <w:textAlignment w:val="center"/>
              <w:rPr>
                <w:rFonts w:ascii="宋体" w:hAnsi="宋体" w:cs="宋体"/>
                <w:snapToGrid w:val="0"/>
                <w:kern w:val="0"/>
                <w:lang w:eastAsia="en-US"/>
              </w:rPr>
            </w:pPr>
            <w:r>
              <w:rPr>
                <w:rFonts w:ascii="宋体" w:hAnsi="宋体" w:cs="宋体"/>
                <w:snapToGrid w:val="0"/>
                <w:kern w:val="0"/>
                <w:lang w:eastAsia="en-US"/>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7"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欧元</w:t>
            </w:r>
          </w:p>
        </w:tc>
        <w:tc>
          <w:tcPr>
            <w:tcW w:w="2908" w:type="dxa"/>
            <w:shd w:val="clear" w:color="auto" w:fill="auto"/>
            <w:vAlign w:val="center"/>
          </w:tcPr>
          <w:p>
            <w:pPr>
              <w:widowControl/>
              <w:snapToGrid w:val="0"/>
              <w:jc w:val="right"/>
              <w:rPr>
                <w:rFonts w:ascii="宋体" w:hAnsi="宋体" w:cs="宋体"/>
                <w:snapToGrid w:val="0"/>
                <w:kern w:val="0"/>
                <w:lang w:eastAsia="en-US"/>
              </w:rPr>
            </w:pPr>
          </w:p>
        </w:tc>
        <w:tc>
          <w:tcPr>
            <w:tcW w:w="2690" w:type="dxa"/>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kern w:val="0"/>
                <w:lang w:eastAsia="en-US"/>
              </w:rPr>
              <w:t>13,400</w:t>
            </w:r>
          </w:p>
        </w:tc>
      </w:tr>
    </w:tbl>
    <w:p>
      <w:pPr>
        <w:widowControl/>
        <w:autoSpaceDE w:val="0"/>
        <w:autoSpaceDN w:val="0"/>
        <w:adjustRightInd w:val="0"/>
        <w:spacing w:before="156" w:beforeLines="50" w:after="156" w:afterLines="50" w:line="360" w:lineRule="exact"/>
        <w:ind w:firstLine="420" w:firstLineChars="200"/>
        <w:rPr>
          <w:rFonts w:ascii="宋体" w:hAnsi="宋体" w:cs="MHei-Light-Identity-H"/>
          <w:snapToGrid w:val="0"/>
          <w:kern w:val="0"/>
          <w:lang w:val="en-GB"/>
        </w:rPr>
      </w:pPr>
      <w:r>
        <w:rPr>
          <w:rFonts w:hint="eastAsia" w:ascii="宋体" w:hAnsi="宋体" w:cs="MHei-Light-Identity-H"/>
          <w:snapToGrid w:val="0"/>
          <w:kern w:val="0"/>
          <w:lang w:val="en-GB"/>
        </w:rPr>
        <w:t>本集团密切关注汇率变动对本集团的影响。</w:t>
      </w:r>
    </w:p>
    <w:p>
      <w:pPr>
        <w:widowControl/>
        <w:autoSpaceDE w:val="0"/>
        <w:autoSpaceDN w:val="0"/>
        <w:adjustRightInd w:val="0"/>
        <w:snapToGrid w:val="0"/>
        <w:spacing w:before="156" w:beforeLines="50" w:after="156" w:afterLines="50" w:line="360" w:lineRule="exact"/>
        <w:ind w:left="420"/>
        <w:jc w:val="left"/>
        <w:outlineLvl w:val="3"/>
        <w:rPr>
          <w:rFonts w:ascii="宋体" w:hAnsi="宋体" w:cs="MHei-Light-Identity-H"/>
          <w:snapToGrid w:val="0"/>
          <w:kern w:val="0"/>
          <w:lang w:val="en-GB"/>
        </w:rPr>
      </w:pPr>
      <w:r>
        <w:rPr>
          <w:rFonts w:hint="eastAsia" w:ascii="宋体" w:hAnsi="宋体" w:cs="MHei-Light-Identity-H"/>
          <w:snapToGrid w:val="0"/>
          <w:kern w:val="0"/>
          <w:lang w:val="en-GB"/>
        </w:rPr>
        <w:t>②利率风险</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本集团的利率风险产生于银行借款及应付债券等带息债务。浮动利率的金融负债使本集团面临现金流量利率风险，固定利率的金融负债使本集团面临公允价值利率风险。本集团根据当时的市场环境来决定固定利率及浮动利率合同的相对比例。</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本集团因利率变动引起金融工具公允价值变动的风险主要与固定利率银行借款以及债券等有关。对于固定利率借款，本集团的目标是保持其浮动利率。</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本集团因利率变动引起金融工具现金流量变动的风险主要与浮动利率银行借款以及债券等有关。本集团的政策是保持这些借款的浮动利率，以消除利率变动的公允价值风险。</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kern w:val="0"/>
          <w:lang w:val="en-GB"/>
        </w:rPr>
        <w:t>于</w:t>
      </w:r>
      <w:r>
        <w:rPr>
          <w:rFonts w:hint="eastAsia" w:ascii="宋体" w:hAnsi="宋体" w:cs="MHei-Light-Identity-H"/>
          <w:snapToGrid w:val="0"/>
          <w:kern w:val="0"/>
        </w:rPr>
        <w:t>2023</w:t>
      </w:r>
      <w:r>
        <w:rPr>
          <w:rFonts w:hint="eastAsia" w:ascii="宋体" w:hAnsi="宋体" w:cs="MHei-Light-Identity-H"/>
          <w:snapToGrid w:val="0"/>
          <w:kern w:val="0"/>
          <w:lang w:val="en-GB"/>
        </w:rPr>
        <w:t>年</w:t>
      </w:r>
      <w:r>
        <w:rPr>
          <w:rFonts w:hint="eastAsia" w:ascii="宋体" w:hAnsi="宋体" w:cs="MHei-Light-Identity-H"/>
          <w:snapToGrid w:val="0"/>
          <w:kern w:val="0"/>
        </w:rPr>
        <w:t>12</w:t>
      </w:r>
      <w:r>
        <w:rPr>
          <w:rFonts w:hint="eastAsia" w:ascii="宋体" w:hAnsi="宋体" w:cs="MHei-Light-Identity-H"/>
          <w:snapToGrid w:val="0"/>
          <w:kern w:val="0"/>
          <w:lang w:val="en-GB"/>
        </w:rPr>
        <w:t>月</w:t>
      </w:r>
      <w:r>
        <w:rPr>
          <w:rFonts w:hint="eastAsia" w:ascii="宋体" w:hAnsi="宋体" w:cs="MHei-Light-Identity-H"/>
          <w:snapToGrid w:val="0"/>
          <w:kern w:val="0"/>
        </w:rPr>
        <w:t>31</w:t>
      </w:r>
      <w:r>
        <w:rPr>
          <w:rFonts w:hint="eastAsia" w:ascii="宋体" w:hAnsi="宋体" w:cs="MHei-Light-Identity-H"/>
          <w:snapToGrid w:val="0"/>
          <w:kern w:val="0"/>
          <w:lang w:val="en-GB"/>
        </w:rPr>
        <w:t>日，本集团的带息债务利率如下：</w:t>
      </w:r>
    </w:p>
    <w:tbl>
      <w:tblPr>
        <w:tblStyle w:val="9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1767"/>
        <w:gridCol w:w="4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2489" w:type="dxa"/>
            <w:shd w:val="clear" w:color="auto" w:fill="auto"/>
            <w:vAlign w:val="center"/>
          </w:tcPr>
          <w:p>
            <w:pPr>
              <w:widowControl/>
              <w:snapToGrid w:val="0"/>
              <w:jc w:val="left"/>
              <w:rPr>
                <w:rFonts w:ascii="宋体" w:hAnsi="宋体" w:cs="宋体"/>
                <w:b/>
                <w:bCs/>
                <w:snapToGrid w:val="0"/>
                <w:kern w:val="0"/>
              </w:rPr>
            </w:pPr>
            <w:r>
              <w:rPr>
                <w:rFonts w:hint="eastAsia" w:ascii="宋体" w:hAnsi="宋体" w:cs="宋体"/>
                <w:b/>
                <w:bCs/>
                <w:snapToGrid w:val="0"/>
                <w:color w:val="000000"/>
                <w:kern w:val="0"/>
                <w:lang w:bidi="ar"/>
              </w:rPr>
              <w:t>项目</w:t>
            </w:r>
          </w:p>
        </w:tc>
        <w:tc>
          <w:tcPr>
            <w:tcW w:w="1723" w:type="dxa"/>
            <w:shd w:val="clear" w:color="auto" w:fill="auto"/>
            <w:noWrap/>
            <w:vAlign w:val="center"/>
          </w:tcPr>
          <w:p>
            <w:pPr>
              <w:widowControl/>
              <w:snapToGrid w:val="0"/>
              <w:jc w:val="center"/>
              <w:rPr>
                <w:rFonts w:ascii="宋体" w:hAnsi="宋体" w:cs="宋体"/>
                <w:b/>
                <w:bCs/>
                <w:snapToGrid w:val="0"/>
                <w:kern w:val="0"/>
              </w:rPr>
            </w:pPr>
            <w:r>
              <w:rPr>
                <w:rFonts w:hint="eastAsia" w:ascii="宋体" w:hAnsi="宋体" w:cs="宋体"/>
                <w:b/>
                <w:bCs/>
                <w:snapToGrid w:val="0"/>
                <w:color w:val="000000"/>
                <w:kern w:val="0"/>
                <w:lang w:bidi="ar"/>
              </w:rPr>
              <w:t>年末余额</w:t>
            </w:r>
          </w:p>
        </w:tc>
        <w:tc>
          <w:tcPr>
            <w:tcW w:w="4611" w:type="dxa"/>
            <w:shd w:val="clear" w:color="auto" w:fill="auto"/>
            <w:vAlign w:val="center"/>
          </w:tcPr>
          <w:p>
            <w:pPr>
              <w:widowControl/>
              <w:snapToGrid w:val="0"/>
              <w:jc w:val="center"/>
              <w:rPr>
                <w:rFonts w:ascii="宋体" w:hAnsi="宋体" w:cs="宋体"/>
                <w:b/>
                <w:bCs/>
                <w:snapToGrid w:val="0"/>
                <w:kern w:val="0"/>
                <w:lang w:eastAsia="en-US"/>
              </w:rPr>
            </w:pPr>
            <w:r>
              <w:rPr>
                <w:rFonts w:hint="eastAsia" w:ascii="宋体" w:hAnsi="宋体" w:cs="宋体"/>
                <w:b/>
                <w:bCs/>
                <w:snapToGrid w:val="0"/>
                <w:color w:val="000000"/>
                <w:kern w:val="0"/>
                <w:lang w:bidi="ar"/>
              </w:rPr>
              <w:t>利率区间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9" w:type="dxa"/>
            <w:shd w:val="clear" w:color="auto" w:fill="auto"/>
            <w:vAlign w:val="center"/>
          </w:tcPr>
          <w:p>
            <w:pPr>
              <w:widowControl/>
              <w:snapToGrid w:val="0"/>
              <w:jc w:val="left"/>
              <w:textAlignment w:val="center"/>
              <w:rPr>
                <w:rFonts w:ascii="宋体" w:hAnsi="宋体" w:cs="宋体"/>
                <w:kern w:val="0"/>
              </w:rPr>
            </w:pPr>
            <w:r>
              <w:rPr>
                <w:rFonts w:hint="eastAsia" w:ascii="宋体" w:hAnsi="宋体" w:cs="宋体"/>
                <w:snapToGrid w:val="0"/>
                <w:color w:val="000000"/>
                <w:spacing w:val="-10"/>
                <w:kern w:val="0"/>
                <w:lang w:bidi="ar"/>
              </w:rPr>
              <w:t>短期借款</w:t>
            </w:r>
          </w:p>
        </w:tc>
        <w:tc>
          <w:tcPr>
            <w:tcW w:w="1723" w:type="dxa"/>
            <w:shd w:val="clear" w:color="auto" w:fill="auto"/>
            <w:noWrap/>
            <w:vAlign w:val="center"/>
          </w:tcPr>
          <w:p>
            <w:pPr>
              <w:widowControl/>
              <w:snapToGrid w:val="0"/>
              <w:jc w:val="right"/>
              <w:textAlignment w:val="center"/>
              <w:rPr>
                <w:rFonts w:ascii="宋体" w:hAnsi="宋体" w:cs="宋体"/>
                <w:snapToGrid w:val="0"/>
                <w:kern w:val="0"/>
                <w:lang w:eastAsia="en-US"/>
              </w:rPr>
            </w:pPr>
            <w:r>
              <w:rPr>
                <w:rFonts w:ascii="宋体" w:hAnsi="宋体" w:cs="宋体"/>
                <w:snapToGrid w:val="0"/>
                <w:color w:val="000000"/>
                <w:kern w:val="0"/>
                <w:lang w:bidi="ar"/>
              </w:rPr>
              <w:t>4,084,299</w:t>
            </w:r>
          </w:p>
        </w:tc>
        <w:tc>
          <w:tcPr>
            <w:tcW w:w="4611" w:type="dxa"/>
            <w:shd w:val="clear" w:color="auto" w:fill="auto"/>
          </w:tcPr>
          <w:p>
            <w:pPr>
              <w:widowControl/>
              <w:snapToGrid w:val="0"/>
              <w:textAlignment w:val="center"/>
              <w:rPr>
                <w:rFonts w:ascii="宋体" w:hAnsi="宋体" w:cs="宋体"/>
                <w:snapToGrid w:val="0"/>
                <w:kern w:val="0"/>
              </w:rPr>
            </w:pPr>
            <w:r>
              <w:rPr>
                <w:rFonts w:hint="eastAsia" w:ascii="宋体" w:hAnsi="宋体"/>
              </w:rPr>
              <w:t>人民币借款利率在2.4</w:t>
            </w:r>
            <w:r>
              <w:rPr>
                <w:rFonts w:ascii="宋体" w:hAnsi="宋体"/>
              </w:rPr>
              <w:t>0</w:t>
            </w:r>
            <w:r>
              <w:rPr>
                <w:rFonts w:hint="eastAsia" w:ascii="宋体" w:hAnsi="宋体"/>
              </w:rPr>
              <w:t>%至4.50%之间，外币美元借款利率在6个月Libor+25BPs至7.03%之间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9" w:type="dxa"/>
            <w:shd w:val="clear" w:color="auto" w:fill="auto"/>
            <w:vAlign w:val="center"/>
          </w:tcPr>
          <w:p>
            <w:pPr>
              <w:widowControl/>
              <w:snapToGrid w:val="0"/>
              <w:jc w:val="left"/>
              <w:textAlignment w:val="center"/>
              <w:rPr>
                <w:rFonts w:ascii="宋体" w:hAnsi="宋体" w:cs="宋体"/>
                <w:snapToGrid w:val="0"/>
                <w:kern w:val="0"/>
              </w:rPr>
            </w:pPr>
            <w:r>
              <w:rPr>
                <w:rFonts w:hint="eastAsia" w:ascii="宋体" w:hAnsi="宋体" w:cs="宋体"/>
                <w:snapToGrid w:val="0"/>
                <w:color w:val="000000"/>
                <w:spacing w:val="-10"/>
                <w:kern w:val="0"/>
                <w:lang w:bidi="ar"/>
              </w:rPr>
              <w:t>一年内到期的长期借款</w:t>
            </w:r>
          </w:p>
        </w:tc>
        <w:tc>
          <w:tcPr>
            <w:tcW w:w="1723" w:type="dxa"/>
            <w:shd w:val="clear" w:color="auto" w:fill="auto"/>
            <w:noWrap/>
            <w:vAlign w:val="center"/>
          </w:tcPr>
          <w:p>
            <w:pPr>
              <w:widowControl/>
              <w:snapToGrid w:val="0"/>
              <w:jc w:val="right"/>
              <w:textAlignment w:val="center"/>
              <w:rPr>
                <w:rFonts w:ascii="宋体" w:hAnsi="宋体" w:cs="宋体"/>
                <w:snapToGrid w:val="0"/>
                <w:kern w:val="0"/>
                <w:lang w:eastAsia="en-US"/>
              </w:rPr>
            </w:pPr>
            <w:r>
              <w:rPr>
                <w:rFonts w:ascii="宋体" w:hAnsi="宋体" w:cs="宋体"/>
                <w:snapToGrid w:val="0"/>
                <w:color w:val="000000"/>
                <w:kern w:val="0"/>
                <w:lang w:bidi="ar"/>
              </w:rPr>
              <w:t>7,972,489</w:t>
            </w:r>
          </w:p>
        </w:tc>
        <w:tc>
          <w:tcPr>
            <w:tcW w:w="4611" w:type="dxa"/>
            <w:shd w:val="clear" w:color="auto" w:fill="auto"/>
          </w:tcPr>
          <w:p>
            <w:pPr>
              <w:widowControl/>
              <w:snapToGrid w:val="0"/>
              <w:jc w:val="left"/>
              <w:textAlignment w:val="center"/>
              <w:rPr>
                <w:rFonts w:ascii="宋体" w:hAnsi="宋体" w:cs="宋体"/>
                <w:snapToGrid w:val="0"/>
                <w:kern w:val="0"/>
              </w:rPr>
            </w:pPr>
            <w:r>
              <w:rPr>
                <w:rFonts w:hint="eastAsia" w:ascii="宋体" w:hAnsi="宋体"/>
              </w:rPr>
              <w:t>人民币借款利率在2.27%至5.90%之间，外币美元借款利率为4.13%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9" w:type="dxa"/>
            <w:shd w:val="clear" w:color="auto" w:fill="auto"/>
            <w:vAlign w:val="center"/>
          </w:tcPr>
          <w:p>
            <w:pPr>
              <w:widowControl/>
              <w:snapToGrid w:val="0"/>
              <w:jc w:val="left"/>
              <w:textAlignment w:val="center"/>
              <w:rPr>
                <w:rFonts w:ascii="宋体" w:hAnsi="宋体" w:cs="宋体"/>
                <w:snapToGrid w:val="0"/>
                <w:kern w:val="0"/>
              </w:rPr>
            </w:pPr>
            <w:r>
              <w:rPr>
                <w:rFonts w:hint="eastAsia" w:ascii="宋体" w:hAnsi="宋体" w:cs="宋体"/>
                <w:snapToGrid w:val="0"/>
                <w:color w:val="000000"/>
                <w:spacing w:val="-10"/>
                <w:kern w:val="0"/>
                <w:lang w:bidi="ar"/>
              </w:rPr>
              <w:t>一年内到期的租赁负债</w:t>
            </w:r>
          </w:p>
        </w:tc>
        <w:tc>
          <w:tcPr>
            <w:tcW w:w="1723" w:type="dxa"/>
            <w:shd w:val="clear" w:color="auto" w:fill="auto"/>
            <w:noWrap/>
            <w:vAlign w:val="center"/>
          </w:tcPr>
          <w:p>
            <w:pPr>
              <w:widowControl/>
              <w:snapToGrid w:val="0"/>
              <w:jc w:val="right"/>
              <w:textAlignment w:val="center"/>
              <w:rPr>
                <w:rFonts w:ascii="宋体" w:hAnsi="宋体" w:cs="宋体"/>
                <w:snapToGrid w:val="0"/>
                <w:kern w:val="0"/>
                <w:lang w:eastAsia="en-US"/>
              </w:rPr>
            </w:pPr>
            <w:r>
              <w:rPr>
                <w:rFonts w:ascii="宋体" w:hAnsi="宋体" w:cs="宋体"/>
                <w:snapToGrid w:val="0"/>
                <w:color w:val="000000"/>
                <w:kern w:val="0"/>
                <w:lang w:bidi="ar"/>
              </w:rPr>
              <w:t>157,340</w:t>
            </w:r>
          </w:p>
        </w:tc>
        <w:tc>
          <w:tcPr>
            <w:tcW w:w="4611" w:type="dxa"/>
            <w:shd w:val="clear" w:color="auto" w:fill="auto"/>
          </w:tcPr>
          <w:p>
            <w:pPr>
              <w:widowControl/>
              <w:snapToGrid w:val="0"/>
              <w:jc w:val="left"/>
              <w:textAlignment w:val="center"/>
              <w:rPr>
                <w:rFonts w:ascii="宋体" w:hAnsi="宋体" w:cs="宋体"/>
                <w:snapToGrid w:val="0"/>
                <w:kern w:val="0"/>
                <w:lang w:eastAsia="en-US"/>
              </w:rPr>
            </w:pPr>
            <w:r>
              <w:rPr>
                <w:rFonts w:ascii="宋体" w:hAnsi="宋体"/>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9" w:type="dxa"/>
            <w:shd w:val="clear" w:color="auto" w:fill="auto"/>
            <w:vAlign w:val="center"/>
          </w:tcPr>
          <w:p>
            <w:pPr>
              <w:widowControl/>
              <w:snapToGrid w:val="0"/>
              <w:jc w:val="left"/>
              <w:textAlignment w:val="center"/>
              <w:rPr>
                <w:rFonts w:ascii="宋体" w:hAnsi="宋体" w:cs="宋体"/>
                <w:snapToGrid w:val="0"/>
                <w:kern w:val="0"/>
              </w:rPr>
            </w:pPr>
            <w:r>
              <w:rPr>
                <w:rFonts w:hint="eastAsia" w:ascii="宋体" w:hAnsi="宋体" w:cs="宋体"/>
                <w:snapToGrid w:val="0"/>
                <w:color w:val="000000"/>
                <w:spacing w:val="-10"/>
                <w:kern w:val="0"/>
                <w:lang w:bidi="ar"/>
              </w:rPr>
              <w:t>一年内到期的应付债券</w:t>
            </w:r>
          </w:p>
        </w:tc>
        <w:tc>
          <w:tcPr>
            <w:tcW w:w="1723" w:type="dxa"/>
            <w:shd w:val="clear" w:color="auto" w:fill="auto"/>
            <w:noWrap/>
          </w:tcPr>
          <w:p>
            <w:pPr>
              <w:widowControl/>
              <w:snapToGrid w:val="0"/>
              <w:jc w:val="right"/>
              <w:textAlignment w:val="center"/>
              <w:rPr>
                <w:rFonts w:ascii="宋体" w:hAnsi="宋体" w:cs="宋体"/>
                <w:snapToGrid w:val="0"/>
                <w:kern w:val="0"/>
                <w:lang w:eastAsia="en-US"/>
              </w:rPr>
            </w:pPr>
            <w:r>
              <w:rPr>
                <w:rFonts w:ascii="宋体" w:hAnsi="宋体" w:cs="宋体"/>
                <w:snapToGrid w:val="0"/>
                <w:color w:val="000000"/>
                <w:kern w:val="0"/>
                <w:lang w:bidi="ar"/>
              </w:rPr>
              <w:t>10,796,410</w:t>
            </w:r>
          </w:p>
        </w:tc>
        <w:tc>
          <w:tcPr>
            <w:tcW w:w="4611" w:type="dxa"/>
            <w:shd w:val="clear" w:color="auto" w:fill="auto"/>
          </w:tcPr>
          <w:p>
            <w:pPr>
              <w:widowControl/>
              <w:snapToGrid w:val="0"/>
              <w:jc w:val="left"/>
              <w:textAlignment w:val="center"/>
              <w:rPr>
                <w:rFonts w:ascii="宋体" w:hAnsi="宋体" w:cs="宋体"/>
                <w:snapToGrid w:val="0"/>
                <w:kern w:val="0"/>
                <w:lang w:eastAsia="en-US"/>
              </w:rPr>
            </w:pPr>
            <w:r>
              <w:rPr>
                <w:rFonts w:ascii="宋体" w:hAnsi="宋体"/>
              </w:rPr>
              <w:t>2.90%-6.15%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9" w:type="dxa"/>
            <w:shd w:val="clear" w:color="auto" w:fill="auto"/>
            <w:vAlign w:val="center"/>
          </w:tcPr>
          <w:p>
            <w:pPr>
              <w:widowControl/>
              <w:snapToGrid w:val="0"/>
              <w:jc w:val="left"/>
              <w:textAlignment w:val="center"/>
              <w:rPr>
                <w:rFonts w:ascii="宋体" w:hAnsi="宋体" w:cs="宋体"/>
                <w:snapToGrid w:val="0"/>
                <w:kern w:val="0"/>
                <w:lang w:eastAsia="en-US"/>
              </w:rPr>
            </w:pPr>
            <w:r>
              <w:rPr>
                <w:rFonts w:hint="eastAsia" w:ascii="宋体" w:hAnsi="宋体" w:cs="宋体"/>
                <w:snapToGrid w:val="0"/>
                <w:color w:val="000000"/>
                <w:spacing w:val="-10"/>
                <w:kern w:val="0"/>
                <w:lang w:bidi="ar"/>
              </w:rPr>
              <w:t>长期借款</w:t>
            </w:r>
          </w:p>
        </w:tc>
        <w:tc>
          <w:tcPr>
            <w:tcW w:w="1723" w:type="dxa"/>
            <w:shd w:val="clear" w:color="auto" w:fill="auto"/>
            <w:noWrap/>
            <w:vAlign w:val="center"/>
          </w:tcPr>
          <w:p>
            <w:pPr>
              <w:widowControl/>
              <w:snapToGrid w:val="0"/>
              <w:jc w:val="right"/>
              <w:textAlignment w:val="center"/>
              <w:rPr>
                <w:rFonts w:ascii="宋体" w:hAnsi="宋体" w:cs="宋体"/>
                <w:snapToGrid w:val="0"/>
                <w:kern w:val="0"/>
                <w:lang w:eastAsia="en-US"/>
              </w:rPr>
            </w:pPr>
            <w:r>
              <w:rPr>
                <w:rFonts w:ascii="宋体" w:hAnsi="宋体" w:cs="宋体"/>
                <w:snapToGrid w:val="0"/>
                <w:color w:val="000000"/>
                <w:kern w:val="0"/>
                <w:lang w:bidi="ar"/>
              </w:rPr>
              <w:t>61,355,220</w:t>
            </w:r>
          </w:p>
        </w:tc>
        <w:tc>
          <w:tcPr>
            <w:tcW w:w="4611" w:type="dxa"/>
            <w:shd w:val="clear" w:color="auto" w:fill="auto"/>
          </w:tcPr>
          <w:p>
            <w:pPr>
              <w:widowControl/>
              <w:snapToGrid w:val="0"/>
              <w:textAlignment w:val="center"/>
              <w:rPr>
                <w:rFonts w:ascii="宋体" w:hAnsi="宋体" w:cs="宋体"/>
                <w:snapToGrid w:val="0"/>
                <w:kern w:val="0"/>
              </w:rPr>
            </w:pPr>
            <w:r>
              <w:rPr>
                <w:rFonts w:hint="eastAsia" w:ascii="宋体" w:hAnsi="宋体"/>
              </w:rPr>
              <w:t>人民币借款利率在2.27%至4.98%之间，外币澳元借款利率为8.70%，外币美元借款利率为3个月libor+1.8%-6.2%之间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9" w:type="dxa"/>
            <w:shd w:val="clear" w:color="auto" w:fill="auto"/>
            <w:vAlign w:val="center"/>
          </w:tcPr>
          <w:p>
            <w:pPr>
              <w:widowControl/>
              <w:snapToGrid w:val="0"/>
              <w:jc w:val="left"/>
              <w:textAlignment w:val="center"/>
              <w:rPr>
                <w:rFonts w:ascii="宋体" w:hAnsi="宋体" w:cs="宋体"/>
                <w:snapToGrid w:val="0"/>
                <w:kern w:val="0"/>
                <w:lang w:eastAsia="en-US"/>
              </w:rPr>
            </w:pPr>
            <w:r>
              <w:rPr>
                <w:rFonts w:hint="eastAsia" w:ascii="宋体" w:hAnsi="宋体" w:cs="宋体"/>
                <w:snapToGrid w:val="0"/>
                <w:color w:val="000000"/>
                <w:spacing w:val="-10"/>
                <w:kern w:val="0"/>
                <w:lang w:bidi="ar"/>
              </w:rPr>
              <w:t>应付债券</w:t>
            </w:r>
          </w:p>
        </w:tc>
        <w:tc>
          <w:tcPr>
            <w:tcW w:w="1723" w:type="dxa"/>
            <w:shd w:val="clear" w:color="auto" w:fill="auto"/>
            <w:noWrap/>
            <w:vAlign w:val="center"/>
          </w:tcPr>
          <w:p>
            <w:pPr>
              <w:widowControl/>
              <w:snapToGrid w:val="0"/>
              <w:jc w:val="right"/>
              <w:textAlignment w:val="center"/>
              <w:rPr>
                <w:rFonts w:ascii="宋体" w:hAnsi="宋体" w:cs="宋体"/>
                <w:snapToGrid w:val="0"/>
                <w:kern w:val="0"/>
                <w:lang w:eastAsia="en-US"/>
              </w:rPr>
            </w:pPr>
            <w:r>
              <w:rPr>
                <w:rFonts w:ascii="宋体" w:hAnsi="宋体" w:cs="宋体"/>
                <w:snapToGrid w:val="0"/>
                <w:color w:val="000000"/>
                <w:kern w:val="0"/>
                <w:lang w:bidi="ar"/>
              </w:rPr>
              <w:t>12,172,858</w:t>
            </w:r>
          </w:p>
        </w:tc>
        <w:tc>
          <w:tcPr>
            <w:tcW w:w="4611" w:type="dxa"/>
            <w:shd w:val="clear" w:color="auto" w:fill="auto"/>
          </w:tcPr>
          <w:p>
            <w:pPr>
              <w:widowControl/>
              <w:snapToGrid w:val="0"/>
              <w:jc w:val="left"/>
              <w:textAlignment w:val="center"/>
              <w:rPr>
                <w:rFonts w:ascii="宋体" w:hAnsi="宋体" w:cs="宋体"/>
                <w:snapToGrid w:val="0"/>
                <w:kern w:val="0"/>
                <w:lang w:eastAsia="en-US"/>
              </w:rPr>
            </w:pPr>
            <w:r>
              <w:rPr>
                <w:rFonts w:ascii="宋体" w:hAnsi="宋体"/>
              </w:rPr>
              <w:t>2.90%-6.15%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9" w:type="dxa"/>
            <w:shd w:val="clear" w:color="auto" w:fill="auto"/>
            <w:vAlign w:val="center"/>
          </w:tcPr>
          <w:p>
            <w:pPr>
              <w:widowControl/>
              <w:snapToGrid w:val="0"/>
              <w:jc w:val="left"/>
              <w:textAlignment w:val="center"/>
              <w:rPr>
                <w:rFonts w:ascii="宋体" w:hAnsi="宋体" w:cs="宋体"/>
                <w:snapToGrid w:val="0"/>
                <w:kern w:val="0"/>
                <w:lang w:eastAsia="en-US"/>
              </w:rPr>
            </w:pPr>
            <w:r>
              <w:rPr>
                <w:rFonts w:hint="eastAsia" w:ascii="宋体" w:hAnsi="宋体" w:cs="宋体"/>
                <w:snapToGrid w:val="0"/>
                <w:color w:val="000000"/>
                <w:spacing w:val="-10"/>
                <w:kern w:val="0"/>
                <w:lang w:bidi="ar"/>
              </w:rPr>
              <w:t>租赁负债</w:t>
            </w:r>
          </w:p>
        </w:tc>
        <w:tc>
          <w:tcPr>
            <w:tcW w:w="1723" w:type="dxa"/>
            <w:shd w:val="clear" w:color="auto" w:fill="auto"/>
            <w:noWrap/>
            <w:vAlign w:val="center"/>
          </w:tcPr>
          <w:p>
            <w:pPr>
              <w:widowControl/>
              <w:snapToGrid w:val="0"/>
              <w:jc w:val="right"/>
              <w:textAlignment w:val="center"/>
              <w:rPr>
                <w:rFonts w:ascii="宋体" w:hAnsi="宋体" w:cs="宋体"/>
                <w:snapToGrid w:val="0"/>
                <w:kern w:val="0"/>
                <w:lang w:eastAsia="en-US"/>
              </w:rPr>
            </w:pPr>
            <w:r>
              <w:rPr>
                <w:rFonts w:ascii="宋体" w:hAnsi="宋体" w:cs="宋体"/>
                <w:snapToGrid w:val="0"/>
                <w:color w:val="000000"/>
                <w:kern w:val="0"/>
                <w:lang w:bidi="ar"/>
              </w:rPr>
              <w:t>325,117</w:t>
            </w:r>
          </w:p>
        </w:tc>
        <w:tc>
          <w:tcPr>
            <w:tcW w:w="4611" w:type="dxa"/>
            <w:shd w:val="clear" w:color="auto" w:fill="auto"/>
          </w:tcPr>
          <w:p>
            <w:pPr>
              <w:widowControl/>
              <w:snapToGrid w:val="0"/>
              <w:jc w:val="left"/>
              <w:textAlignment w:val="center"/>
              <w:rPr>
                <w:rFonts w:ascii="宋体" w:hAnsi="宋体" w:cs="宋体"/>
                <w:snapToGrid w:val="0"/>
                <w:kern w:val="0"/>
                <w:lang w:eastAsia="en-US"/>
              </w:rPr>
            </w:pPr>
            <w:r>
              <w:rPr>
                <w:rFonts w:ascii="宋体" w:hAnsi="宋体"/>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9" w:type="dxa"/>
            <w:shd w:val="clear" w:color="auto" w:fill="auto"/>
            <w:vAlign w:val="center"/>
          </w:tcPr>
          <w:p>
            <w:pPr>
              <w:widowControl/>
              <w:snapToGrid w:val="0"/>
              <w:jc w:val="left"/>
              <w:textAlignment w:val="center"/>
              <w:rPr>
                <w:rFonts w:ascii="宋体" w:hAnsi="宋体" w:cs="宋体"/>
                <w:snapToGrid w:val="0"/>
                <w:kern w:val="0"/>
                <w:lang w:eastAsia="en-US"/>
              </w:rPr>
            </w:pPr>
            <w:r>
              <w:rPr>
                <w:rFonts w:hint="eastAsia" w:ascii="宋体" w:hAnsi="宋体" w:cs="宋体"/>
                <w:snapToGrid w:val="0"/>
                <w:color w:val="000000"/>
                <w:spacing w:val="-10"/>
                <w:kern w:val="0"/>
                <w:lang w:bidi="ar"/>
              </w:rPr>
              <w:t>长期应付款</w:t>
            </w:r>
          </w:p>
        </w:tc>
        <w:tc>
          <w:tcPr>
            <w:tcW w:w="1723" w:type="dxa"/>
            <w:shd w:val="clear" w:color="auto" w:fill="auto"/>
            <w:noWrap/>
            <w:vAlign w:val="center"/>
          </w:tcPr>
          <w:p>
            <w:pPr>
              <w:widowControl/>
              <w:snapToGrid w:val="0"/>
              <w:jc w:val="right"/>
              <w:textAlignment w:val="center"/>
              <w:rPr>
                <w:rFonts w:ascii="宋体" w:hAnsi="宋体" w:cs="宋体"/>
                <w:snapToGrid w:val="0"/>
                <w:kern w:val="0"/>
                <w:lang w:eastAsia="en-US"/>
              </w:rPr>
            </w:pPr>
            <w:r>
              <w:rPr>
                <w:rFonts w:ascii="宋体" w:hAnsi="宋体" w:cs="宋体"/>
                <w:snapToGrid w:val="0"/>
                <w:color w:val="000000"/>
                <w:kern w:val="0"/>
                <w:lang w:bidi="ar"/>
              </w:rPr>
              <w:t>9,279,757</w:t>
            </w:r>
          </w:p>
        </w:tc>
        <w:tc>
          <w:tcPr>
            <w:tcW w:w="4611" w:type="dxa"/>
            <w:shd w:val="clear" w:color="auto" w:fill="auto"/>
          </w:tcPr>
          <w:p>
            <w:pPr>
              <w:widowControl/>
              <w:snapToGrid w:val="0"/>
              <w:jc w:val="left"/>
              <w:textAlignment w:val="center"/>
              <w:rPr>
                <w:rFonts w:ascii="宋体" w:hAnsi="宋体" w:cs="宋体"/>
                <w:snapToGrid w:val="0"/>
                <w:kern w:val="0"/>
              </w:rPr>
            </w:pPr>
            <w:r>
              <w:rPr>
                <w:rFonts w:ascii="宋体" w:hAnsi="宋体"/>
              </w:rPr>
              <w:t>3.27%-9.00%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9" w:type="dxa"/>
            <w:shd w:val="clear" w:color="auto" w:fill="auto"/>
            <w:vAlign w:val="center"/>
          </w:tcPr>
          <w:p>
            <w:pPr>
              <w:widowControl/>
              <w:snapToGrid w:val="0"/>
              <w:jc w:val="left"/>
              <w:rPr>
                <w:rFonts w:ascii="宋体" w:hAnsi="宋体" w:cs="宋体"/>
                <w:snapToGrid w:val="0"/>
                <w:kern w:val="0"/>
                <w:lang w:eastAsia="en-US"/>
              </w:rPr>
            </w:pPr>
            <w:r>
              <w:rPr>
                <w:rFonts w:hint="eastAsia" w:ascii="宋体" w:hAnsi="宋体" w:cs="宋体"/>
                <w:snapToGrid w:val="0"/>
                <w:color w:val="000000"/>
                <w:kern w:val="0"/>
                <w:lang w:bidi="ar"/>
              </w:rPr>
              <w:t>合计</w:t>
            </w:r>
          </w:p>
        </w:tc>
        <w:tc>
          <w:tcPr>
            <w:tcW w:w="1723" w:type="dxa"/>
            <w:shd w:val="clear" w:color="auto" w:fill="auto"/>
            <w:noWrap/>
            <w:vAlign w:val="center"/>
          </w:tcPr>
          <w:p>
            <w:pPr>
              <w:widowControl/>
              <w:snapToGrid w:val="0"/>
              <w:jc w:val="right"/>
              <w:rPr>
                <w:rFonts w:ascii="宋体" w:hAnsi="宋体" w:cs="宋体"/>
                <w:snapToGrid w:val="0"/>
                <w:kern w:val="0"/>
                <w:lang w:eastAsia="en-US"/>
              </w:rPr>
            </w:pPr>
            <w:r>
              <w:rPr>
                <w:rFonts w:ascii="宋体" w:hAnsi="宋体" w:cs="宋体"/>
                <w:snapToGrid w:val="0"/>
                <w:color w:val="000000"/>
                <w:kern w:val="0"/>
                <w:lang w:bidi="ar"/>
              </w:rPr>
              <w:t>106,143,490</w:t>
            </w:r>
          </w:p>
        </w:tc>
        <w:tc>
          <w:tcPr>
            <w:tcW w:w="4611" w:type="dxa"/>
            <w:shd w:val="clear" w:color="auto" w:fill="auto"/>
            <w:vAlign w:val="center"/>
          </w:tcPr>
          <w:p>
            <w:pPr>
              <w:widowControl/>
              <w:snapToGrid w:val="0"/>
              <w:jc w:val="left"/>
              <w:rPr>
                <w:rFonts w:ascii="宋体" w:hAnsi="宋体" w:cs="宋体"/>
                <w:snapToGrid w:val="0"/>
                <w:kern w:val="0"/>
                <w:lang w:eastAsia="en-US"/>
              </w:rPr>
            </w:pPr>
            <w:r>
              <w:rPr>
                <w:rFonts w:hint="eastAsia" w:ascii="宋体" w:hAnsi="宋体" w:cs="宋体"/>
                <w:snapToGrid w:val="0"/>
                <w:color w:val="000000"/>
                <w:kern w:val="0"/>
                <w:lang w:bidi="ar"/>
              </w:rPr>
              <w:t>—</w:t>
            </w:r>
          </w:p>
        </w:tc>
      </w:tr>
    </w:tbl>
    <w:p>
      <w:pPr>
        <w:widowControl/>
        <w:autoSpaceDE w:val="0"/>
        <w:autoSpaceDN w:val="0"/>
        <w:adjustRightInd w:val="0"/>
        <w:snapToGrid w:val="0"/>
        <w:spacing w:before="156" w:beforeLines="50" w:after="156" w:afterLines="50" w:line="360" w:lineRule="exact"/>
        <w:ind w:left="420"/>
        <w:jc w:val="left"/>
        <w:outlineLvl w:val="3"/>
        <w:rPr>
          <w:rFonts w:ascii="宋体" w:hAnsi="宋体" w:cs="MHei-Light-Identity-H"/>
          <w:snapToGrid w:val="0"/>
          <w:kern w:val="0"/>
          <w:lang w:val="en-GB"/>
        </w:rPr>
      </w:pPr>
      <w:r>
        <w:rPr>
          <w:rFonts w:hint="eastAsia" w:ascii="宋体" w:hAnsi="宋体" w:cs="MHei-Light-Identity-H"/>
          <w:snapToGrid w:val="0"/>
          <w:kern w:val="0"/>
          <w:lang w:val="en-GB"/>
        </w:rPr>
        <w:t>③价格风险</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除上述金融工具的风险外，本集团还面临由于投资上市公司权益性证券的权益价格风险，及非金融工具商品如原材料的价格风险。本集团目前尚未采用任何安排套期权益性证券投资和原材料购买的价格风险。本集团面临的投资上市权益性证券的权益价格风险与敏感性分析结果显示，这些风险都是非重大的。</w:t>
      </w:r>
    </w:p>
    <w:p>
      <w:pPr>
        <w:pStyle w:val="543"/>
        <w:widowControl/>
        <w:numPr>
          <w:ilvl w:val="0"/>
          <w:numId w:val="123"/>
        </w:numPr>
        <w:autoSpaceDE w:val="0"/>
        <w:autoSpaceDN w:val="0"/>
        <w:adjustRightInd w:val="0"/>
        <w:snapToGrid w:val="0"/>
        <w:spacing w:before="156" w:beforeLines="50" w:after="156" w:afterLines="50" w:line="360" w:lineRule="exact"/>
        <w:ind w:firstLineChars="0"/>
        <w:jc w:val="left"/>
        <w:outlineLvl w:val="2"/>
        <w:rPr>
          <w:rFonts w:ascii="宋体" w:hAnsi="宋体" w:cs="MHei-Bold-Identity-H"/>
          <w:bCs/>
          <w:snapToGrid w:val="0"/>
          <w:kern w:val="0"/>
          <w:lang w:val="en-GB"/>
        </w:rPr>
      </w:pPr>
      <w:r>
        <w:rPr>
          <w:rFonts w:hint="eastAsia" w:ascii="宋体" w:hAnsi="宋体" w:cs="MHei-Bold-Identity-H"/>
          <w:bCs/>
          <w:snapToGrid w:val="0"/>
          <w:kern w:val="0"/>
          <w:lang w:val="en-GB"/>
        </w:rPr>
        <w:t>信用风险</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于2023年12月31日，可能引起本集团财务损失的最大信用风险敞口主要来自于合同另一方未能履行义务而导致本集团金融资产产生的损失，具体包括合并资产负债表中已确认的金融资产的账面金额。</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为降低信用风险，本集团成立专门部门确定信用额度、进行信用审批，并执行其他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本集团的流动资金存放在信用评级较高的银行，故流动资金的信用风险较低。</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本集团一般根据客户的不同状况给予长期客户不超过180天的信用期。对中小客户及新客户，本集团一般要求发货前支付货款。</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color w:val="000000"/>
          <w:kern w:val="0"/>
          <w:lang w:bidi="ar"/>
        </w:rPr>
      </w:pPr>
      <w:r>
        <w:rPr>
          <w:rFonts w:hint="eastAsia" w:ascii="宋体" w:hAnsi="宋体" w:cs="MHei-Light-Identity-H"/>
          <w:snapToGrid w:val="0"/>
          <w:color w:val="000000"/>
          <w:kern w:val="0"/>
          <w:lang w:bidi="ar"/>
        </w:rPr>
        <w:t>本集团的国内销售多数是电力行业、钢铁行业、冶金焦化、建材水泥、和化工行业。集团一般与这些公司建立长期和稳定的合作关系。</w:t>
      </w:r>
    </w:p>
    <w:p>
      <w:pPr>
        <w:pStyle w:val="543"/>
        <w:widowControl/>
        <w:numPr>
          <w:ilvl w:val="0"/>
          <w:numId w:val="123"/>
        </w:numPr>
        <w:autoSpaceDE w:val="0"/>
        <w:autoSpaceDN w:val="0"/>
        <w:adjustRightInd w:val="0"/>
        <w:snapToGrid w:val="0"/>
        <w:spacing w:before="156" w:beforeLines="50" w:after="156" w:afterLines="50" w:line="360" w:lineRule="exact"/>
        <w:ind w:firstLineChars="0"/>
        <w:jc w:val="left"/>
        <w:outlineLvl w:val="2"/>
        <w:rPr>
          <w:rFonts w:ascii="宋体" w:hAnsi="宋体" w:cs="MHei-Bold-Identity-H"/>
          <w:bCs/>
          <w:snapToGrid w:val="0"/>
          <w:kern w:val="0"/>
          <w:lang w:val="en-GB"/>
        </w:rPr>
      </w:pPr>
      <w:r>
        <w:rPr>
          <w:rFonts w:hint="eastAsia" w:ascii="宋体" w:hAnsi="宋体" w:cs="MHei-Bold-Identity-H"/>
          <w:bCs/>
          <w:snapToGrid w:val="0"/>
          <w:kern w:val="0"/>
          <w:lang w:val="en-GB"/>
        </w:rPr>
        <w:t>流动风险</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kern w:val="0"/>
          <w:lang w:val="en-GB"/>
        </w:rPr>
        <w:t>本集团将银行借款作为主要资金来源。于</w:t>
      </w:r>
      <w:r>
        <w:rPr>
          <w:rFonts w:hint="eastAsia" w:ascii="宋体" w:hAnsi="宋体" w:cs="MHei-Light-Identity-H"/>
          <w:snapToGrid w:val="0"/>
          <w:kern w:val="0"/>
        </w:rPr>
        <w:t>2023</w:t>
      </w:r>
      <w:r>
        <w:rPr>
          <w:rFonts w:hint="eastAsia" w:ascii="宋体" w:hAnsi="宋体" w:cs="MHei-Light-Identity-H"/>
          <w:snapToGrid w:val="0"/>
          <w:kern w:val="0"/>
          <w:lang w:val="en-GB"/>
        </w:rPr>
        <w:t>年</w:t>
      </w:r>
      <w:r>
        <w:rPr>
          <w:rFonts w:hint="eastAsia" w:ascii="宋体" w:hAnsi="宋体" w:cs="MHei-Light-Identity-H"/>
          <w:snapToGrid w:val="0"/>
          <w:kern w:val="0"/>
        </w:rPr>
        <w:t>12</w:t>
      </w:r>
      <w:r>
        <w:rPr>
          <w:rFonts w:hint="eastAsia" w:ascii="宋体" w:hAnsi="宋体" w:cs="MHei-Light-Identity-H"/>
          <w:snapToGrid w:val="0"/>
          <w:kern w:val="0"/>
          <w:lang w:val="en-GB"/>
        </w:rPr>
        <w:t>月</w:t>
      </w:r>
      <w:r>
        <w:rPr>
          <w:rFonts w:hint="eastAsia" w:ascii="宋体" w:hAnsi="宋体" w:cs="MHei-Light-Identity-H"/>
          <w:snapToGrid w:val="0"/>
          <w:kern w:val="0"/>
        </w:rPr>
        <w:t>31</w:t>
      </w:r>
      <w:r>
        <w:rPr>
          <w:rFonts w:hint="eastAsia" w:ascii="宋体" w:hAnsi="宋体" w:cs="MHei-Light-Identity-H"/>
          <w:snapToGrid w:val="0"/>
          <w:kern w:val="0"/>
          <w:lang w:val="en-GB"/>
        </w:rPr>
        <w:t>日，本集团尚未使用的银行综合授信额度为人民币</w:t>
      </w:r>
      <w:r>
        <w:rPr>
          <w:rFonts w:ascii="宋体" w:hAnsi="宋体" w:cs="MHei-Light-Identity-H"/>
          <w:snapToGrid w:val="0"/>
          <w:kern w:val="0"/>
        </w:rPr>
        <w:t>1,613.81</w:t>
      </w:r>
      <w:r>
        <w:rPr>
          <w:rFonts w:hint="eastAsia" w:ascii="宋体" w:hAnsi="宋体" w:cs="MHei-Light-Identity-H"/>
          <w:snapToGrid w:val="0"/>
          <w:kern w:val="0"/>
        </w:rPr>
        <w:t>亿元</w:t>
      </w:r>
      <w:r>
        <w:rPr>
          <w:rFonts w:hint="eastAsia" w:ascii="宋体" w:hAnsi="宋体" w:cs="MHei-Light-Identity-H"/>
          <w:snapToGrid w:val="0"/>
          <w:kern w:val="0"/>
          <w:lang w:val="en-GB"/>
        </w:rPr>
        <w:t>（</w:t>
      </w:r>
      <w:r>
        <w:rPr>
          <w:rFonts w:hint="eastAsia" w:ascii="宋体" w:hAnsi="宋体" w:cs="MHei-Light-Identity-H"/>
          <w:snapToGrid w:val="0"/>
          <w:kern w:val="0"/>
        </w:rPr>
        <w:t>202</w:t>
      </w:r>
      <w:r>
        <w:rPr>
          <w:rFonts w:ascii="宋体" w:hAnsi="宋体" w:cs="MHei-Light-Identity-H"/>
          <w:snapToGrid w:val="0"/>
          <w:kern w:val="0"/>
        </w:rPr>
        <w:t>2</w:t>
      </w:r>
      <w:r>
        <w:rPr>
          <w:rFonts w:hint="eastAsia" w:ascii="宋体" w:hAnsi="宋体" w:cs="MHei-Light-Identity-H"/>
          <w:snapToGrid w:val="0"/>
          <w:kern w:val="0"/>
          <w:lang w:val="en-GB"/>
        </w:rPr>
        <w:t>年</w:t>
      </w:r>
      <w:r>
        <w:rPr>
          <w:rFonts w:hint="eastAsia" w:ascii="宋体" w:hAnsi="宋体" w:cs="MHei-Light-Identity-H"/>
          <w:snapToGrid w:val="0"/>
          <w:kern w:val="0"/>
        </w:rPr>
        <w:t>12</w:t>
      </w:r>
      <w:r>
        <w:rPr>
          <w:rFonts w:hint="eastAsia" w:ascii="宋体" w:hAnsi="宋体" w:cs="MHei-Light-Identity-H"/>
          <w:snapToGrid w:val="0"/>
          <w:kern w:val="0"/>
          <w:lang w:val="en-GB"/>
        </w:rPr>
        <w:t>月</w:t>
      </w:r>
      <w:r>
        <w:rPr>
          <w:rFonts w:hint="eastAsia" w:ascii="宋体" w:hAnsi="宋体" w:cs="MHei-Light-Identity-H"/>
          <w:snapToGrid w:val="0"/>
          <w:kern w:val="0"/>
        </w:rPr>
        <w:t>31</w:t>
      </w:r>
      <w:r>
        <w:rPr>
          <w:rFonts w:hint="eastAsia" w:ascii="宋体" w:hAnsi="宋体" w:cs="MHei-Light-Identity-H"/>
          <w:snapToGrid w:val="0"/>
          <w:kern w:val="0"/>
          <w:lang w:val="en-GB"/>
        </w:rPr>
        <w:t>日为人民币</w:t>
      </w:r>
      <w:r>
        <w:rPr>
          <w:rFonts w:ascii="宋体" w:hAnsi="宋体" w:cs="MHei-Light-Identity-H"/>
          <w:snapToGrid w:val="0"/>
          <w:kern w:val="0"/>
        </w:rPr>
        <w:t>1,138</w:t>
      </w:r>
      <w:r>
        <w:rPr>
          <w:rFonts w:hint="eastAsia" w:ascii="宋体" w:hAnsi="宋体" w:cs="MHei-Light-Identity-H"/>
          <w:snapToGrid w:val="0"/>
          <w:kern w:val="0"/>
          <w:lang w:val="en-GB"/>
        </w:rPr>
        <w:t>亿元）。</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color w:val="000000"/>
          <w:kern w:val="0"/>
          <w:lang w:bidi="ar"/>
        </w:rPr>
      </w:pPr>
      <w:r>
        <w:rPr>
          <w:rFonts w:hint="eastAsia" w:ascii="宋体" w:hAnsi="宋体" w:cs="MHei-Light-Identity-H"/>
          <w:snapToGrid w:val="0"/>
          <w:color w:val="000000"/>
          <w:kern w:val="0"/>
          <w:lang w:bidi="ar"/>
        </w:rPr>
        <w:t>于202</w:t>
      </w:r>
      <w:r>
        <w:rPr>
          <w:rFonts w:ascii="宋体" w:hAnsi="宋体" w:cs="MHei-Light-Identity-H"/>
          <w:snapToGrid w:val="0"/>
          <w:color w:val="000000"/>
          <w:kern w:val="0"/>
          <w:lang w:bidi="ar"/>
        </w:rPr>
        <w:t>3</w:t>
      </w:r>
      <w:r>
        <w:rPr>
          <w:rFonts w:hint="eastAsia" w:ascii="宋体" w:hAnsi="宋体" w:cs="MHei-Light-Identity-H"/>
          <w:snapToGrid w:val="0"/>
          <w:color w:val="000000"/>
          <w:kern w:val="0"/>
          <w:lang w:bidi="ar"/>
        </w:rPr>
        <w:t>年12月31日，本集团持有的金融负债按未折现剩余合同义务的到期期限分析如下：</w:t>
      </w:r>
    </w:p>
    <w:p>
      <w:pPr>
        <w:widowControl/>
        <w:autoSpaceDE w:val="0"/>
        <w:autoSpaceDN w:val="0"/>
        <w:adjustRightInd w:val="0"/>
        <w:spacing w:before="156" w:beforeLines="50" w:after="156" w:afterLines="50" w:line="360" w:lineRule="exact"/>
        <w:ind w:firstLine="420" w:firstLineChars="200"/>
        <w:rPr>
          <w:rFonts w:ascii="宋体" w:hAnsi="宋体" w:cs="MHei-Light-Identity-H"/>
          <w:snapToGrid w:val="0"/>
          <w:color w:val="000000" w:themeColor="text1"/>
          <w:kern w:val="0"/>
          <w:lang w:val="en-GB"/>
          <w14:textFill>
            <w14:solidFill>
              <w14:schemeClr w14:val="tx1"/>
            </w14:solidFill>
          </w14:textFill>
        </w:rPr>
      </w:pPr>
      <w:r>
        <w:rPr>
          <w:rFonts w:hint="eastAsia" w:ascii="宋体" w:hAnsi="宋体" w:cs="MHei-Light-Identity-H"/>
          <w:snapToGrid w:val="0"/>
          <w:color w:val="000000" w:themeColor="text1"/>
          <w:kern w:val="0"/>
          <w:lang w:val="en-GB"/>
          <w14:textFill>
            <w14:solidFill>
              <w14:schemeClr w14:val="tx1"/>
            </w14:solidFill>
          </w14:textFill>
        </w:rPr>
        <w:t>20</w:t>
      </w:r>
      <w:r>
        <w:rPr>
          <w:rFonts w:hint="eastAsia" w:ascii="宋体" w:hAnsi="宋体" w:cs="MHei-Light-Identity-H"/>
          <w:snapToGrid w:val="0"/>
          <w:color w:val="000000" w:themeColor="text1"/>
          <w:kern w:val="0"/>
          <w14:textFill>
            <w14:solidFill>
              <w14:schemeClr w14:val="tx1"/>
            </w14:solidFill>
          </w14:textFill>
        </w:rPr>
        <w:t>23</w:t>
      </w:r>
      <w:r>
        <w:rPr>
          <w:rFonts w:hint="eastAsia" w:ascii="宋体" w:hAnsi="宋体" w:cs="MHei-Light-Identity-H"/>
          <w:snapToGrid w:val="0"/>
          <w:color w:val="000000" w:themeColor="text1"/>
          <w:kern w:val="0"/>
          <w:lang w:val="en-GB"/>
          <w14:textFill>
            <w14:solidFill>
              <w14:schemeClr w14:val="tx1"/>
            </w14:solidFill>
          </w14:textFill>
        </w:rPr>
        <w:t>年12月31日金额：</w:t>
      </w:r>
    </w:p>
    <w:tbl>
      <w:tblPr>
        <w:tblStyle w:val="9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236"/>
        <w:gridCol w:w="1236"/>
        <w:gridCol w:w="1236"/>
        <w:gridCol w:w="1236"/>
        <w:gridCol w:w="1236"/>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60" w:type="dxa"/>
            <w:shd w:val="clear" w:color="auto" w:fill="auto"/>
            <w:vAlign w:val="center"/>
          </w:tcPr>
          <w:p>
            <w:pPr>
              <w:widowControl/>
              <w:snapToGrid w:val="0"/>
              <w:jc w:val="left"/>
              <w:rPr>
                <w:rFonts w:ascii="宋体" w:hAnsi="宋体" w:cs="宋体"/>
                <w:b/>
                <w:snapToGrid w:val="0"/>
                <w:spacing w:val="-20"/>
                <w:kern w:val="0"/>
              </w:rPr>
            </w:pPr>
            <w:r>
              <w:rPr>
                <w:rFonts w:hint="eastAsia" w:ascii="宋体" w:hAnsi="宋体" w:cs="宋体"/>
                <w:b/>
                <w:snapToGrid w:val="0"/>
                <w:color w:val="000000"/>
                <w:spacing w:val="-20"/>
                <w:kern w:val="0"/>
                <w:lang w:bidi="ar"/>
              </w:rPr>
              <w:t>项目</w:t>
            </w:r>
          </w:p>
        </w:tc>
        <w:tc>
          <w:tcPr>
            <w:tcW w:w="1181" w:type="dxa"/>
            <w:shd w:val="clear" w:color="auto" w:fill="auto"/>
            <w:vAlign w:val="center"/>
          </w:tcPr>
          <w:p>
            <w:pPr>
              <w:widowControl/>
              <w:snapToGrid w:val="0"/>
              <w:jc w:val="center"/>
              <w:rPr>
                <w:rFonts w:ascii="宋体" w:hAnsi="宋体" w:cs="宋体"/>
                <w:b/>
                <w:snapToGrid w:val="0"/>
                <w:spacing w:val="-20"/>
                <w:kern w:val="0"/>
              </w:rPr>
            </w:pPr>
            <w:r>
              <w:rPr>
                <w:rFonts w:hint="eastAsia" w:ascii="宋体" w:hAnsi="宋体" w:cs="宋体"/>
                <w:b/>
                <w:snapToGrid w:val="0"/>
                <w:color w:val="000000"/>
                <w:spacing w:val="-20"/>
                <w:kern w:val="0"/>
                <w:lang w:bidi="ar"/>
              </w:rPr>
              <w:t>一年以内</w:t>
            </w:r>
          </w:p>
        </w:tc>
        <w:tc>
          <w:tcPr>
            <w:tcW w:w="1181" w:type="dxa"/>
            <w:shd w:val="clear" w:color="auto" w:fill="auto"/>
            <w:vAlign w:val="center"/>
          </w:tcPr>
          <w:p>
            <w:pPr>
              <w:widowControl/>
              <w:snapToGrid w:val="0"/>
              <w:jc w:val="center"/>
              <w:rPr>
                <w:rFonts w:ascii="宋体" w:hAnsi="宋体" w:cs="宋体"/>
                <w:b/>
                <w:snapToGrid w:val="0"/>
                <w:spacing w:val="-20"/>
                <w:kern w:val="0"/>
              </w:rPr>
            </w:pPr>
            <w:r>
              <w:rPr>
                <w:rFonts w:hint="eastAsia" w:ascii="宋体" w:hAnsi="宋体" w:cs="宋体"/>
                <w:b/>
                <w:snapToGrid w:val="0"/>
                <w:color w:val="000000"/>
                <w:spacing w:val="-20"/>
                <w:kern w:val="0"/>
                <w:lang w:bidi="ar"/>
              </w:rPr>
              <w:t>一到二年</w:t>
            </w:r>
          </w:p>
        </w:tc>
        <w:tc>
          <w:tcPr>
            <w:tcW w:w="1181" w:type="dxa"/>
            <w:shd w:val="clear" w:color="auto" w:fill="auto"/>
            <w:vAlign w:val="center"/>
          </w:tcPr>
          <w:p>
            <w:pPr>
              <w:widowControl/>
              <w:snapToGrid w:val="0"/>
              <w:jc w:val="center"/>
              <w:rPr>
                <w:rFonts w:ascii="宋体" w:hAnsi="宋体" w:cs="宋体"/>
                <w:b/>
                <w:snapToGrid w:val="0"/>
                <w:spacing w:val="-20"/>
                <w:kern w:val="0"/>
              </w:rPr>
            </w:pPr>
            <w:r>
              <w:rPr>
                <w:rFonts w:hint="eastAsia" w:ascii="宋体" w:hAnsi="宋体" w:cs="宋体"/>
                <w:b/>
                <w:snapToGrid w:val="0"/>
                <w:color w:val="000000"/>
                <w:spacing w:val="-20"/>
                <w:kern w:val="0"/>
                <w:lang w:bidi="ar"/>
              </w:rPr>
              <w:t>二到五年</w:t>
            </w:r>
          </w:p>
        </w:tc>
        <w:tc>
          <w:tcPr>
            <w:tcW w:w="1181" w:type="dxa"/>
            <w:shd w:val="clear" w:color="auto" w:fill="auto"/>
            <w:vAlign w:val="center"/>
          </w:tcPr>
          <w:p>
            <w:pPr>
              <w:widowControl/>
              <w:snapToGrid w:val="0"/>
              <w:jc w:val="center"/>
              <w:rPr>
                <w:rFonts w:ascii="宋体" w:hAnsi="宋体" w:cs="宋体"/>
                <w:b/>
                <w:snapToGrid w:val="0"/>
                <w:spacing w:val="-20"/>
                <w:kern w:val="0"/>
              </w:rPr>
            </w:pPr>
            <w:r>
              <w:rPr>
                <w:rFonts w:hint="eastAsia" w:ascii="宋体" w:hAnsi="宋体" w:cs="宋体"/>
                <w:b/>
                <w:snapToGrid w:val="0"/>
                <w:color w:val="000000"/>
                <w:spacing w:val="-20"/>
                <w:kern w:val="0"/>
                <w:lang w:bidi="ar"/>
              </w:rPr>
              <w:t>五年以上</w:t>
            </w:r>
          </w:p>
        </w:tc>
        <w:tc>
          <w:tcPr>
            <w:tcW w:w="1181" w:type="dxa"/>
            <w:shd w:val="clear" w:color="auto" w:fill="auto"/>
            <w:vAlign w:val="center"/>
          </w:tcPr>
          <w:p>
            <w:pPr>
              <w:widowControl/>
              <w:snapToGrid w:val="0"/>
              <w:jc w:val="center"/>
              <w:rPr>
                <w:rFonts w:ascii="宋体" w:hAnsi="宋体" w:cs="宋体"/>
                <w:b/>
                <w:snapToGrid w:val="0"/>
                <w:spacing w:val="-20"/>
                <w:kern w:val="0"/>
              </w:rPr>
            </w:pPr>
            <w:r>
              <w:rPr>
                <w:rFonts w:hint="eastAsia" w:ascii="宋体" w:hAnsi="宋体" w:cs="宋体"/>
                <w:b/>
                <w:snapToGrid w:val="0"/>
                <w:color w:val="000000"/>
                <w:spacing w:val="-20"/>
                <w:kern w:val="0"/>
                <w:lang w:bidi="ar"/>
              </w:rPr>
              <w:t>未贴现现金流总计</w:t>
            </w:r>
          </w:p>
        </w:tc>
        <w:tc>
          <w:tcPr>
            <w:tcW w:w="1182" w:type="dxa"/>
            <w:shd w:val="clear" w:color="auto" w:fill="auto"/>
          </w:tcPr>
          <w:p>
            <w:pPr>
              <w:widowControl/>
              <w:snapToGrid w:val="0"/>
              <w:jc w:val="center"/>
              <w:rPr>
                <w:rFonts w:ascii="宋体" w:hAnsi="宋体" w:cs="宋体"/>
                <w:b/>
                <w:snapToGrid w:val="0"/>
                <w:spacing w:val="-20"/>
                <w:kern w:val="0"/>
              </w:rPr>
            </w:pPr>
            <w:r>
              <w:rPr>
                <w:rFonts w:hint="eastAsia" w:ascii="宋体" w:hAnsi="宋体" w:cs="宋体"/>
                <w:b/>
                <w:snapToGrid w:val="0"/>
                <w:color w:val="000000"/>
                <w:spacing w:val="-20"/>
                <w:kern w:val="0"/>
                <w:lang w:bidi="ar"/>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shd w:val="clear" w:color="auto" w:fill="auto"/>
            <w:vAlign w:val="center"/>
          </w:tcPr>
          <w:p>
            <w:pPr>
              <w:widowControl/>
              <w:snapToGrid w:val="0"/>
              <w:rPr>
                <w:rFonts w:ascii="宋体" w:hAnsi="宋体" w:cs="宋体"/>
                <w:spacing w:val="-20"/>
                <w:kern w:val="0"/>
              </w:rPr>
            </w:pPr>
            <w:r>
              <w:rPr>
                <w:rFonts w:hint="eastAsia" w:ascii="宋体" w:hAnsi="宋体" w:cs="宋体"/>
                <w:snapToGrid w:val="0"/>
                <w:color w:val="000000"/>
                <w:spacing w:val="-20"/>
                <w:kern w:val="0"/>
                <w:lang w:bidi="ar"/>
              </w:rPr>
              <w:t>短期借款</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4,128,157</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4,128,157</w:t>
            </w:r>
          </w:p>
        </w:tc>
        <w:tc>
          <w:tcPr>
            <w:tcW w:w="1182"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4,084,299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shd w:val="clear" w:color="auto" w:fill="auto"/>
            <w:vAlign w:val="center"/>
          </w:tcPr>
          <w:p>
            <w:pPr>
              <w:widowControl/>
              <w:snapToGrid w:val="0"/>
              <w:rPr>
                <w:rFonts w:ascii="宋体" w:hAnsi="宋体" w:cs="宋体"/>
                <w:snapToGrid w:val="0"/>
                <w:spacing w:val="-20"/>
                <w:kern w:val="0"/>
                <w:lang w:eastAsia="en-US"/>
              </w:rPr>
            </w:pPr>
            <w:r>
              <w:rPr>
                <w:rFonts w:hint="eastAsia" w:ascii="宋体" w:hAnsi="宋体" w:cs="宋体"/>
                <w:snapToGrid w:val="0"/>
                <w:color w:val="000000"/>
                <w:spacing w:val="-20"/>
                <w:kern w:val="0"/>
                <w:lang w:bidi="ar"/>
              </w:rPr>
              <w:t>应付票据</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11,876,855</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11,876,855</w:t>
            </w:r>
          </w:p>
        </w:tc>
        <w:tc>
          <w:tcPr>
            <w:tcW w:w="1182"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11,876,855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shd w:val="clear" w:color="auto" w:fill="auto"/>
            <w:vAlign w:val="center"/>
          </w:tcPr>
          <w:p>
            <w:pPr>
              <w:widowControl/>
              <w:snapToGrid w:val="0"/>
              <w:rPr>
                <w:rFonts w:ascii="宋体" w:hAnsi="宋体" w:cs="宋体"/>
                <w:snapToGrid w:val="0"/>
                <w:spacing w:val="-20"/>
                <w:kern w:val="0"/>
                <w:lang w:eastAsia="en-US"/>
              </w:rPr>
            </w:pPr>
            <w:r>
              <w:rPr>
                <w:rFonts w:hint="eastAsia" w:ascii="宋体" w:hAnsi="宋体" w:cs="宋体"/>
                <w:snapToGrid w:val="0"/>
                <w:color w:val="000000"/>
                <w:spacing w:val="-20"/>
                <w:kern w:val="0"/>
                <w:lang w:bidi="ar"/>
              </w:rPr>
              <w:t>应付账款</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19,553,007</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19,553,007</w:t>
            </w:r>
          </w:p>
        </w:tc>
        <w:tc>
          <w:tcPr>
            <w:tcW w:w="1182"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19,553,007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shd w:val="clear" w:color="auto" w:fill="auto"/>
            <w:vAlign w:val="center"/>
          </w:tcPr>
          <w:p>
            <w:pPr>
              <w:widowControl/>
              <w:snapToGrid w:val="0"/>
              <w:rPr>
                <w:rFonts w:ascii="宋体" w:hAnsi="宋体" w:cs="宋体"/>
                <w:snapToGrid w:val="0"/>
                <w:spacing w:val="-20"/>
                <w:kern w:val="0"/>
                <w:lang w:eastAsia="en-US"/>
              </w:rPr>
            </w:pPr>
            <w:r>
              <w:rPr>
                <w:rFonts w:hint="eastAsia" w:ascii="宋体" w:hAnsi="宋体" w:cs="宋体"/>
                <w:snapToGrid w:val="0"/>
                <w:color w:val="000000"/>
                <w:spacing w:val="-20"/>
                <w:kern w:val="0"/>
                <w:lang w:bidi="ar"/>
              </w:rPr>
              <w:t>其他应付款</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50,455,352</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50,455,352</w:t>
            </w:r>
          </w:p>
        </w:tc>
        <w:tc>
          <w:tcPr>
            <w:tcW w:w="1182"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50,455,352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shd w:val="clear" w:color="auto" w:fill="auto"/>
            <w:vAlign w:val="center"/>
          </w:tcPr>
          <w:p>
            <w:pPr>
              <w:widowControl/>
              <w:snapToGrid w:val="0"/>
              <w:rPr>
                <w:rFonts w:ascii="宋体" w:hAnsi="宋体" w:cs="宋体"/>
                <w:snapToGrid w:val="0"/>
                <w:spacing w:val="-20"/>
                <w:kern w:val="0"/>
              </w:rPr>
            </w:pPr>
            <w:r>
              <w:rPr>
                <w:rFonts w:hint="eastAsia" w:ascii="宋体" w:hAnsi="宋体" w:cs="宋体"/>
                <w:snapToGrid w:val="0"/>
                <w:color w:val="000000"/>
                <w:spacing w:val="-20"/>
                <w:kern w:val="0"/>
                <w:lang w:bidi="ar"/>
              </w:rPr>
              <w:t>一年内到期的非流动负债</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22,740,347</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22,740,347</w:t>
            </w:r>
          </w:p>
        </w:tc>
        <w:tc>
          <w:tcPr>
            <w:tcW w:w="1182"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20,194,089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shd w:val="clear" w:color="auto" w:fill="auto"/>
            <w:vAlign w:val="center"/>
          </w:tcPr>
          <w:p>
            <w:pPr>
              <w:widowControl/>
              <w:snapToGrid w:val="0"/>
              <w:rPr>
                <w:rFonts w:ascii="宋体" w:hAnsi="宋体" w:cs="宋体"/>
                <w:snapToGrid w:val="0"/>
                <w:spacing w:val="-20"/>
                <w:kern w:val="0"/>
                <w:lang w:eastAsia="en-US"/>
              </w:rPr>
            </w:pPr>
            <w:r>
              <w:rPr>
                <w:rFonts w:hint="eastAsia" w:ascii="宋体" w:hAnsi="宋体" w:cs="宋体"/>
                <w:snapToGrid w:val="0"/>
                <w:color w:val="000000"/>
                <w:spacing w:val="-20"/>
                <w:kern w:val="0"/>
                <w:lang w:bidi="ar"/>
              </w:rPr>
              <w:t>长期借款</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highlight w:val="yellow"/>
                <w:lang w:eastAsia="en-US"/>
              </w:rPr>
            </w:pPr>
            <w:r>
              <w:rPr>
                <w:rFonts w:ascii="宋体" w:hAnsi="宋体" w:cs="宋体"/>
                <w:snapToGrid w:val="0"/>
                <w:spacing w:val="-20"/>
                <w:kern w:val="0"/>
                <w:lang w:eastAsia="en-US"/>
              </w:rPr>
              <w:t>19,692,062</w:t>
            </w:r>
          </w:p>
        </w:tc>
        <w:tc>
          <w:tcPr>
            <w:tcW w:w="1181" w:type="dxa"/>
            <w:shd w:val="clear" w:color="auto" w:fill="auto"/>
            <w:vAlign w:val="center"/>
          </w:tcPr>
          <w:p>
            <w:pPr>
              <w:widowControl/>
              <w:snapToGrid w:val="0"/>
              <w:jc w:val="right"/>
              <w:rPr>
                <w:rFonts w:ascii="宋体" w:hAnsi="宋体" w:cs="宋体"/>
                <w:snapToGrid w:val="0"/>
                <w:spacing w:val="-20"/>
                <w:kern w:val="0"/>
                <w:highlight w:val="yellow"/>
                <w:lang w:eastAsia="en-US"/>
              </w:rPr>
            </w:pPr>
            <w:r>
              <w:rPr>
                <w:rFonts w:ascii="宋体" w:hAnsi="宋体" w:cs="宋体"/>
                <w:snapToGrid w:val="0"/>
                <w:spacing w:val="-20"/>
                <w:kern w:val="0"/>
                <w:lang w:eastAsia="en-US"/>
              </w:rPr>
              <w:t>39,654,288</w:t>
            </w:r>
          </w:p>
        </w:tc>
        <w:tc>
          <w:tcPr>
            <w:tcW w:w="1181" w:type="dxa"/>
            <w:shd w:val="clear" w:color="auto" w:fill="auto"/>
            <w:vAlign w:val="center"/>
          </w:tcPr>
          <w:p>
            <w:pPr>
              <w:widowControl/>
              <w:snapToGrid w:val="0"/>
              <w:jc w:val="right"/>
              <w:rPr>
                <w:rFonts w:ascii="宋体" w:hAnsi="宋体" w:cs="宋体"/>
                <w:snapToGrid w:val="0"/>
                <w:spacing w:val="-20"/>
                <w:kern w:val="0"/>
                <w:highlight w:val="yellow"/>
                <w:lang w:eastAsia="en-US"/>
              </w:rPr>
            </w:pPr>
            <w:r>
              <w:rPr>
                <w:rFonts w:ascii="宋体" w:hAnsi="宋体" w:cs="宋体"/>
                <w:snapToGrid w:val="0"/>
                <w:spacing w:val="-20"/>
                <w:kern w:val="0"/>
                <w:lang w:eastAsia="en-US"/>
              </w:rPr>
              <w:t>6,510,098</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65,856,447</w:t>
            </w:r>
          </w:p>
        </w:tc>
        <w:tc>
          <w:tcPr>
            <w:tcW w:w="1182"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61,355,220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shd w:val="clear" w:color="auto" w:fill="auto"/>
            <w:vAlign w:val="center"/>
          </w:tcPr>
          <w:p>
            <w:pPr>
              <w:widowControl/>
              <w:snapToGrid w:val="0"/>
              <w:rPr>
                <w:rFonts w:ascii="宋体" w:hAnsi="宋体" w:cs="宋体"/>
                <w:snapToGrid w:val="0"/>
                <w:spacing w:val="-20"/>
                <w:kern w:val="0"/>
                <w:lang w:eastAsia="en-US"/>
              </w:rPr>
            </w:pPr>
            <w:r>
              <w:rPr>
                <w:rFonts w:hint="eastAsia" w:ascii="宋体" w:hAnsi="宋体" w:cs="宋体"/>
                <w:snapToGrid w:val="0"/>
                <w:color w:val="000000"/>
                <w:spacing w:val="-20"/>
                <w:kern w:val="0"/>
                <w:lang w:bidi="ar"/>
              </w:rPr>
              <w:t>应付债券</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highlight w:val="yellow"/>
                <w:lang w:eastAsia="en-US"/>
              </w:rPr>
            </w:pPr>
            <w:r>
              <w:rPr>
                <w:rFonts w:ascii="宋体" w:hAnsi="宋体" w:cs="宋体"/>
                <w:snapToGrid w:val="0"/>
                <w:spacing w:val="-20"/>
                <w:kern w:val="0"/>
                <w:lang w:eastAsia="en-US"/>
              </w:rPr>
              <w:t>3,089,704</w:t>
            </w:r>
          </w:p>
        </w:tc>
        <w:tc>
          <w:tcPr>
            <w:tcW w:w="1181" w:type="dxa"/>
            <w:shd w:val="clear" w:color="auto" w:fill="auto"/>
            <w:vAlign w:val="center"/>
          </w:tcPr>
          <w:p>
            <w:pPr>
              <w:widowControl/>
              <w:snapToGrid w:val="0"/>
              <w:jc w:val="right"/>
              <w:rPr>
                <w:rFonts w:ascii="宋体" w:hAnsi="宋体" w:cs="宋体"/>
                <w:snapToGrid w:val="0"/>
                <w:spacing w:val="-20"/>
                <w:kern w:val="0"/>
                <w:highlight w:val="yellow"/>
                <w:lang w:eastAsia="en-US"/>
              </w:rPr>
            </w:pPr>
            <w:r>
              <w:rPr>
                <w:rFonts w:ascii="宋体" w:hAnsi="宋体" w:cs="宋体"/>
                <w:snapToGrid w:val="0"/>
                <w:spacing w:val="-20"/>
                <w:kern w:val="0"/>
                <w:lang w:eastAsia="en-US"/>
              </w:rPr>
              <w:t>2,995,204</w:t>
            </w:r>
          </w:p>
        </w:tc>
        <w:tc>
          <w:tcPr>
            <w:tcW w:w="1181" w:type="dxa"/>
            <w:shd w:val="clear" w:color="auto" w:fill="auto"/>
            <w:vAlign w:val="center"/>
          </w:tcPr>
          <w:p>
            <w:pPr>
              <w:widowControl/>
              <w:snapToGrid w:val="0"/>
              <w:jc w:val="right"/>
              <w:rPr>
                <w:rFonts w:ascii="宋体" w:hAnsi="宋体" w:cs="宋体"/>
                <w:snapToGrid w:val="0"/>
                <w:spacing w:val="-20"/>
                <w:kern w:val="0"/>
                <w:highlight w:val="yellow"/>
                <w:lang w:eastAsia="en-US"/>
              </w:rPr>
            </w:pPr>
            <w:r>
              <w:rPr>
                <w:rFonts w:ascii="宋体" w:hAnsi="宋体" w:cs="宋体"/>
                <w:snapToGrid w:val="0"/>
                <w:spacing w:val="-20"/>
                <w:kern w:val="0"/>
                <w:lang w:eastAsia="en-US"/>
              </w:rPr>
              <w:t>8,364,975</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14,449,883</w:t>
            </w:r>
          </w:p>
        </w:tc>
        <w:tc>
          <w:tcPr>
            <w:tcW w:w="1182"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12,172,858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shd w:val="clear" w:color="auto" w:fill="auto"/>
            <w:vAlign w:val="center"/>
          </w:tcPr>
          <w:p>
            <w:pPr>
              <w:widowControl/>
              <w:snapToGrid w:val="0"/>
              <w:rPr>
                <w:rFonts w:ascii="宋体" w:hAnsi="宋体" w:cs="宋体"/>
                <w:snapToGrid w:val="0"/>
                <w:spacing w:val="-20"/>
                <w:kern w:val="0"/>
                <w:lang w:eastAsia="en-US"/>
              </w:rPr>
            </w:pPr>
            <w:r>
              <w:rPr>
                <w:rFonts w:hint="eastAsia" w:ascii="宋体" w:hAnsi="宋体" w:cs="宋体"/>
                <w:snapToGrid w:val="0"/>
                <w:color w:val="000000"/>
                <w:spacing w:val="-20"/>
                <w:kern w:val="0"/>
                <w:lang w:bidi="ar"/>
              </w:rPr>
              <w:t>租赁负债</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highlight w:val="yellow"/>
                <w:lang w:eastAsia="en-US"/>
              </w:rPr>
            </w:pPr>
            <w:r>
              <w:rPr>
                <w:rFonts w:ascii="宋体" w:hAnsi="宋体" w:cs="宋体"/>
                <w:snapToGrid w:val="0"/>
                <w:spacing w:val="-20"/>
                <w:kern w:val="0"/>
                <w:lang w:eastAsia="en-US"/>
              </w:rPr>
              <w:t>120,354</w:t>
            </w:r>
          </w:p>
        </w:tc>
        <w:tc>
          <w:tcPr>
            <w:tcW w:w="1181" w:type="dxa"/>
            <w:shd w:val="clear" w:color="auto" w:fill="auto"/>
            <w:vAlign w:val="center"/>
          </w:tcPr>
          <w:p>
            <w:pPr>
              <w:widowControl/>
              <w:snapToGrid w:val="0"/>
              <w:jc w:val="right"/>
              <w:rPr>
                <w:rFonts w:ascii="宋体" w:hAnsi="宋体" w:cs="宋体"/>
                <w:snapToGrid w:val="0"/>
                <w:spacing w:val="-20"/>
                <w:kern w:val="0"/>
                <w:highlight w:val="yellow"/>
                <w:lang w:eastAsia="en-US"/>
              </w:rPr>
            </w:pPr>
            <w:r>
              <w:rPr>
                <w:rFonts w:ascii="宋体" w:hAnsi="宋体" w:cs="宋体"/>
                <w:snapToGrid w:val="0"/>
                <w:spacing w:val="-20"/>
                <w:kern w:val="0"/>
                <w:lang w:eastAsia="en-US"/>
              </w:rPr>
              <w:t>205,961</w:t>
            </w:r>
          </w:p>
        </w:tc>
        <w:tc>
          <w:tcPr>
            <w:tcW w:w="1181" w:type="dxa"/>
            <w:shd w:val="clear" w:color="auto" w:fill="auto"/>
            <w:vAlign w:val="center"/>
          </w:tcPr>
          <w:p>
            <w:pPr>
              <w:widowControl/>
              <w:snapToGrid w:val="0"/>
              <w:jc w:val="right"/>
              <w:rPr>
                <w:rFonts w:ascii="宋体" w:hAnsi="宋体" w:cs="宋体"/>
                <w:snapToGrid w:val="0"/>
                <w:spacing w:val="-20"/>
                <w:kern w:val="0"/>
                <w:highlight w:val="yellow"/>
                <w:lang w:eastAsia="en-US"/>
              </w:rPr>
            </w:pPr>
            <w:r>
              <w:rPr>
                <w:rFonts w:ascii="宋体" w:hAnsi="宋体" w:cs="宋体"/>
                <w:snapToGrid w:val="0"/>
                <w:spacing w:val="-20"/>
                <w:kern w:val="0"/>
                <w:lang w:eastAsia="en-US"/>
              </w:rPr>
              <w:t>18,898</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345,213</w:t>
            </w:r>
          </w:p>
        </w:tc>
        <w:tc>
          <w:tcPr>
            <w:tcW w:w="1182"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325,117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shd w:val="clear" w:color="auto" w:fill="auto"/>
            <w:vAlign w:val="center"/>
          </w:tcPr>
          <w:p>
            <w:pPr>
              <w:widowControl/>
              <w:snapToGrid w:val="0"/>
              <w:rPr>
                <w:rFonts w:ascii="宋体" w:hAnsi="宋体" w:cs="宋体"/>
                <w:snapToGrid w:val="0"/>
                <w:spacing w:val="-20"/>
                <w:kern w:val="0"/>
                <w:lang w:eastAsia="en-US"/>
              </w:rPr>
            </w:pPr>
            <w:r>
              <w:rPr>
                <w:rFonts w:hint="eastAsia" w:ascii="宋体" w:hAnsi="宋体" w:cs="宋体"/>
                <w:snapToGrid w:val="0"/>
                <w:color w:val="000000"/>
                <w:spacing w:val="-20"/>
                <w:kern w:val="0"/>
                <w:lang w:bidi="ar"/>
              </w:rPr>
              <w:t>长期应付款</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2,346,732</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2,663,089</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10,379,244</w:t>
            </w:r>
          </w:p>
        </w:tc>
        <w:tc>
          <w:tcPr>
            <w:tcW w:w="1181"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15,389,066</w:t>
            </w:r>
          </w:p>
        </w:tc>
        <w:tc>
          <w:tcPr>
            <w:tcW w:w="1182" w:type="dxa"/>
            <w:shd w:val="clear" w:color="auto" w:fill="auto"/>
            <w:vAlign w:val="center"/>
          </w:tcPr>
          <w:p>
            <w:pPr>
              <w:widowControl/>
              <w:snapToGrid w:val="0"/>
              <w:jc w:val="right"/>
              <w:rPr>
                <w:rFonts w:ascii="宋体" w:hAnsi="宋体" w:cs="宋体"/>
                <w:snapToGrid w:val="0"/>
                <w:spacing w:val="-20"/>
                <w:kern w:val="0"/>
                <w:lang w:eastAsia="en-US"/>
              </w:rPr>
            </w:pPr>
            <w:r>
              <w:rPr>
                <w:rFonts w:ascii="宋体" w:hAnsi="宋体" w:cs="宋体"/>
                <w:snapToGrid w:val="0"/>
                <w:spacing w:val="-20"/>
                <w:kern w:val="0"/>
                <w:lang w:eastAsia="en-US"/>
              </w:rPr>
              <w:t>9,279,757</w:t>
            </w:r>
          </w:p>
        </w:tc>
      </w:tr>
    </w:tbl>
    <w:p>
      <w:pPr>
        <w:pStyle w:val="505"/>
        <w:numPr>
          <w:ilvl w:val="3"/>
          <w:numId w:val="122"/>
        </w:numPr>
        <w:ind w:leftChars="-13" w:hanging="27" w:hangingChars="13"/>
        <w:rPr>
          <w:b w:val="0"/>
          <w:bCs w:val="0"/>
        </w:rPr>
      </w:pPr>
      <w:r>
        <w:rPr>
          <w:rFonts w:hint="eastAsia"/>
          <w:b w:val="0"/>
          <w:bCs w:val="0"/>
        </w:rPr>
        <w:t>敏感性分析</w:t>
      </w:r>
    </w:p>
    <w:p>
      <w:pPr>
        <w:widowControl/>
        <w:autoSpaceDE w:val="0"/>
        <w:autoSpaceDN w:val="0"/>
        <w:adjustRightInd w:val="0"/>
        <w:spacing w:before="156" w:beforeLines="50" w:after="156" w:afterLines="50" w:line="360" w:lineRule="exact"/>
        <w:ind w:firstLine="420" w:firstLineChars="200"/>
        <w:rPr>
          <w:rFonts w:ascii="宋体" w:hAnsi="宋体" w:cs="MHei-Light-Identity-H"/>
          <w:snapToGrid w:val="0"/>
          <w:kern w:val="0"/>
          <w:lang w:val="en-GB"/>
        </w:rPr>
      </w:pPr>
      <w:r>
        <w:rPr>
          <w:rFonts w:hint="eastAsia" w:ascii="宋体" w:hAnsi="宋体" w:cs="MHei-Light-Identity-H"/>
          <w:snapToGrid w:val="0"/>
          <w:kern w:val="0"/>
          <w:lang w:val="en-GB"/>
        </w:rPr>
        <w:t>本集团采用敏感性分析技术分析风险变量的合理、可能变化对当期损益或所有者权益可能产生的影响。由于任何风险变量很少孤立的发生变化，而变量之间存在的相关性对某一风险变量变化的最终影响金额将产生重大作用，因此下述内容是在假设每一变量的变化是独立的情况下进行的。</w:t>
      </w:r>
    </w:p>
    <w:p>
      <w:pPr>
        <w:pStyle w:val="543"/>
        <w:widowControl/>
        <w:numPr>
          <w:ilvl w:val="0"/>
          <w:numId w:val="124"/>
        </w:numPr>
        <w:autoSpaceDE w:val="0"/>
        <w:autoSpaceDN w:val="0"/>
        <w:adjustRightInd w:val="0"/>
        <w:snapToGrid w:val="0"/>
        <w:spacing w:before="156" w:beforeLines="50" w:after="156" w:afterLines="50" w:line="360" w:lineRule="exact"/>
        <w:ind w:left="910" w:hanging="406" w:firstLineChars="0"/>
        <w:jc w:val="left"/>
        <w:outlineLvl w:val="2"/>
        <w:rPr>
          <w:rFonts w:ascii="宋体" w:hAnsi="宋体" w:cs="MHei-Bold-Identity-H"/>
          <w:bCs/>
          <w:snapToGrid w:val="0"/>
          <w:kern w:val="0"/>
          <w:lang w:val="en-GB"/>
        </w:rPr>
      </w:pPr>
      <w:r>
        <w:rPr>
          <w:rFonts w:hint="eastAsia" w:ascii="宋体" w:hAnsi="宋体" w:cs="MHei-Bold-Identity-H"/>
          <w:bCs/>
          <w:snapToGrid w:val="0"/>
          <w:kern w:val="0"/>
          <w:lang w:val="en-GB"/>
        </w:rPr>
        <w:t>外汇风险敏感性分析</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本集团主要面临美元汇率变动的影响。</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下述表格详细列示当人民币升值或贬值5%时，本集团的敏感性。5%变动代表本集团就汇率在下一年度合理变动作出的评估。敏感性分析包括外币货币性项目的余额，并将年末汇率调整5%，并假设其他因素保持不变的情况下计算。敏感性分析还包括了借款，这些借款币种也非借入方日常经营所用货币。</w:t>
      </w:r>
    </w:p>
    <w:p>
      <w:pPr>
        <w:widowControl/>
        <w:autoSpaceDE w:val="0"/>
        <w:autoSpaceDN w:val="0"/>
        <w:adjustRightInd w:val="0"/>
        <w:snapToGrid w:val="0"/>
        <w:spacing w:before="156" w:beforeLines="50" w:after="156" w:afterLines="50" w:line="360" w:lineRule="exact"/>
        <w:ind w:firstLine="420" w:firstLineChars="200"/>
        <w:rPr>
          <w:rFonts w:ascii="宋体" w:hAnsi="宋体" w:cs="MHei-Light-Identity-H"/>
          <w:snapToGrid w:val="0"/>
          <w:kern w:val="0"/>
        </w:rPr>
      </w:pPr>
      <w:r>
        <w:rPr>
          <w:rFonts w:hint="eastAsia" w:ascii="宋体" w:hAnsi="宋体" w:cs="MHei-Light-Identity-H"/>
          <w:snapToGrid w:val="0"/>
          <w:color w:val="000000"/>
          <w:kern w:val="0"/>
          <w:lang w:bidi="ar"/>
        </w:rPr>
        <w:t>从境内公司角度考虑敏感性：</w:t>
      </w:r>
    </w:p>
    <w:tbl>
      <w:tblPr>
        <w:tblStyle w:val="9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4"/>
        <w:gridCol w:w="2794"/>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69" w:type="dxa"/>
            <w:vMerge w:val="restart"/>
            <w:shd w:val="clear" w:color="auto" w:fill="auto"/>
            <w:vAlign w:val="center"/>
          </w:tcPr>
          <w:p>
            <w:pPr>
              <w:widowControl/>
              <w:snapToGrid w:val="0"/>
              <w:rPr>
                <w:rFonts w:ascii="宋体" w:hAnsi="宋体" w:cs="宋体"/>
                <w:b/>
                <w:snapToGrid w:val="0"/>
                <w:kern w:val="0"/>
              </w:rPr>
            </w:pPr>
            <w:r>
              <w:rPr>
                <w:rFonts w:hint="eastAsia" w:ascii="宋体" w:hAnsi="宋体" w:cs="宋体"/>
                <w:b/>
                <w:snapToGrid w:val="0"/>
                <w:color w:val="000000"/>
                <w:kern w:val="0"/>
                <w:lang w:bidi="ar"/>
              </w:rPr>
              <w:t>项目</w:t>
            </w:r>
          </w:p>
        </w:tc>
        <w:tc>
          <w:tcPr>
            <w:tcW w:w="5354" w:type="dxa"/>
            <w:gridSpan w:val="2"/>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美元影响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69" w:type="dxa"/>
            <w:vMerge w:val="continue"/>
            <w:shd w:val="clear" w:color="auto" w:fill="auto"/>
            <w:vAlign w:val="center"/>
          </w:tcPr>
          <w:p>
            <w:pPr>
              <w:widowControl/>
              <w:jc w:val="left"/>
              <w:rPr>
                <w:rFonts w:ascii="宋体" w:hAnsi="宋体"/>
                <w:snapToGrid w:val="0"/>
                <w:kern w:val="0"/>
                <w:lang w:val="en-GB" w:eastAsia="en-US"/>
              </w:rPr>
            </w:pPr>
          </w:p>
        </w:tc>
        <w:tc>
          <w:tcPr>
            <w:tcW w:w="2693" w:type="dxa"/>
            <w:shd w:val="clear" w:color="auto" w:fill="auto"/>
            <w:vAlign w:val="center"/>
          </w:tcPr>
          <w:p>
            <w:pPr>
              <w:widowControl/>
              <w:snapToGrid w:val="0"/>
              <w:jc w:val="center"/>
              <w:rPr>
                <w:rFonts w:ascii="宋体" w:hAnsi="宋体" w:cs="宋体"/>
                <w:b/>
                <w:snapToGrid w:val="0"/>
                <w:kern w:val="0"/>
                <w:lang w:eastAsia="en-US"/>
              </w:rPr>
            </w:pPr>
            <w:r>
              <w:rPr>
                <w:rFonts w:hint="eastAsia" w:ascii="宋体" w:hAnsi="宋体" w:cs="宋体"/>
                <w:b/>
                <w:snapToGrid w:val="0"/>
                <w:color w:val="000000"/>
                <w:kern w:val="0"/>
                <w:lang w:bidi="ar"/>
              </w:rPr>
              <w:t>年末余额</w:t>
            </w:r>
          </w:p>
        </w:tc>
        <w:tc>
          <w:tcPr>
            <w:tcW w:w="2661" w:type="dxa"/>
            <w:shd w:val="clear" w:color="auto" w:fill="auto"/>
            <w:vAlign w:val="center"/>
          </w:tcPr>
          <w:p>
            <w:pPr>
              <w:widowControl/>
              <w:snapToGrid w:val="0"/>
              <w:jc w:val="center"/>
              <w:rPr>
                <w:rFonts w:ascii="宋体" w:hAnsi="宋体" w:cs="宋体"/>
                <w:b/>
                <w:snapToGrid w:val="0"/>
                <w:kern w:val="0"/>
                <w:lang w:eastAsia="en-US"/>
              </w:rPr>
            </w:pPr>
            <w:r>
              <w:rPr>
                <w:rFonts w:hint="eastAsia" w:ascii="宋体" w:hAnsi="宋体" w:cs="宋体"/>
                <w:b/>
                <w:snapToGrid w:val="0"/>
                <w:color w:val="000000"/>
                <w:kern w:val="0"/>
                <w:lang w:bidi="ar"/>
              </w:rPr>
              <w:t>年初余额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3" w:type="dxa"/>
            <w:gridSpan w:val="3"/>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增加（或减少）当期损益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9"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—如人民币贬值对应外币</w:t>
            </w:r>
          </w:p>
        </w:tc>
        <w:tc>
          <w:tcPr>
            <w:tcW w:w="2693" w:type="dxa"/>
            <w:shd w:val="clear" w:color="auto" w:fill="auto"/>
            <w:vAlign w:val="center"/>
          </w:tcPr>
          <w:p>
            <w:pPr>
              <w:widowControl/>
              <w:snapToGrid w:val="0"/>
              <w:jc w:val="right"/>
              <w:rPr>
                <w:rFonts w:ascii="宋体" w:hAnsi="宋体" w:cs="宋体"/>
                <w:snapToGrid w:val="0"/>
                <w:kern w:val="0"/>
              </w:rPr>
            </w:pPr>
            <w:r>
              <w:rPr>
                <w:rFonts w:ascii="宋体" w:hAnsi="宋体" w:cs="宋体"/>
                <w:snapToGrid w:val="0"/>
                <w:color w:val="000000"/>
                <w:kern w:val="0"/>
                <w:lang w:bidi="ar"/>
              </w:rPr>
              <w:t>-38,610</w:t>
            </w:r>
          </w:p>
        </w:tc>
        <w:tc>
          <w:tcPr>
            <w:tcW w:w="2661" w:type="dxa"/>
            <w:shd w:val="clear" w:color="auto" w:fill="auto"/>
            <w:vAlign w:val="center"/>
          </w:tcPr>
          <w:p>
            <w:pPr>
              <w:widowControl/>
              <w:snapToGrid w:val="0"/>
              <w:jc w:val="right"/>
              <w:rPr>
                <w:rFonts w:ascii="宋体" w:hAnsi="宋体" w:cs="宋体"/>
                <w:snapToGrid w:val="0"/>
                <w:kern w:val="0"/>
                <w:lang w:eastAsia="en-US"/>
              </w:rPr>
            </w:pPr>
            <w:r>
              <w:rPr>
                <w:rFonts w:hint="eastAsia" w:ascii="宋体" w:hAnsi="宋体" w:cs="宋体"/>
                <w:snapToGrid w:val="0"/>
                <w:color w:val="000000"/>
                <w:kern w:val="0"/>
                <w:lang w:bidi="ar"/>
              </w:rPr>
              <w:t>-101,450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9"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—如人民币升值对应外币</w:t>
            </w:r>
          </w:p>
        </w:tc>
        <w:tc>
          <w:tcPr>
            <w:tcW w:w="2693" w:type="dxa"/>
            <w:shd w:val="clear" w:color="auto" w:fill="auto"/>
            <w:vAlign w:val="center"/>
          </w:tcPr>
          <w:p>
            <w:pPr>
              <w:widowControl/>
              <w:snapToGrid w:val="0"/>
              <w:jc w:val="right"/>
              <w:rPr>
                <w:rFonts w:ascii="宋体" w:hAnsi="宋体" w:cs="宋体"/>
                <w:snapToGrid w:val="0"/>
                <w:kern w:val="0"/>
              </w:rPr>
            </w:pPr>
            <w:r>
              <w:rPr>
                <w:rFonts w:ascii="宋体" w:hAnsi="宋体" w:cs="宋体"/>
                <w:snapToGrid w:val="0"/>
                <w:color w:val="000000"/>
                <w:kern w:val="0"/>
                <w:lang w:bidi="ar"/>
              </w:rPr>
              <w:t>-38,610</w:t>
            </w:r>
          </w:p>
        </w:tc>
        <w:tc>
          <w:tcPr>
            <w:tcW w:w="2661" w:type="dxa"/>
            <w:shd w:val="clear" w:color="auto" w:fill="auto"/>
            <w:vAlign w:val="center"/>
          </w:tcPr>
          <w:p>
            <w:pPr>
              <w:widowControl/>
              <w:snapToGrid w:val="0"/>
              <w:jc w:val="right"/>
              <w:rPr>
                <w:rFonts w:ascii="宋体" w:hAnsi="宋体" w:cs="宋体"/>
                <w:snapToGrid w:val="0"/>
                <w:kern w:val="0"/>
                <w:lang w:eastAsia="en-US"/>
              </w:rPr>
            </w:pPr>
            <w:r>
              <w:rPr>
                <w:rFonts w:hint="eastAsia" w:ascii="宋体" w:hAnsi="宋体" w:cs="宋体"/>
                <w:snapToGrid w:val="0"/>
                <w:color w:val="000000"/>
                <w:kern w:val="0"/>
                <w:lang w:bidi="ar"/>
              </w:rPr>
              <w:t>101,450</w:t>
            </w:r>
          </w:p>
        </w:tc>
      </w:tr>
    </w:tbl>
    <w:p>
      <w:pPr>
        <w:widowControl/>
        <w:autoSpaceDE w:val="0"/>
        <w:autoSpaceDN w:val="0"/>
        <w:adjustRightInd w:val="0"/>
        <w:snapToGrid w:val="0"/>
        <w:spacing w:before="156" w:beforeLines="50" w:after="156" w:afterLines="50" w:line="360" w:lineRule="exact"/>
        <w:ind w:firstLine="420" w:firstLineChars="200"/>
        <w:rPr>
          <w:rFonts w:ascii="宋体" w:hAnsi="宋体" w:cs="Univers-Light"/>
          <w:snapToGrid w:val="0"/>
          <w:kern w:val="0"/>
        </w:rPr>
      </w:pPr>
      <w:r>
        <w:rPr>
          <w:rFonts w:hint="eastAsia" w:ascii="宋体" w:hAnsi="宋体" w:cs="Univers-Light"/>
          <w:snapToGrid w:val="0"/>
          <w:color w:val="000000"/>
          <w:kern w:val="0"/>
          <w:lang w:bidi="ar"/>
        </w:rPr>
        <w:t>从澳洲公司和香港公司角度考虑敏感性：</w:t>
      </w:r>
    </w:p>
    <w:tbl>
      <w:tblPr>
        <w:tblStyle w:val="9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4"/>
        <w:gridCol w:w="2794"/>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69" w:type="dxa"/>
            <w:vMerge w:val="restart"/>
            <w:shd w:val="clear" w:color="auto" w:fill="auto"/>
            <w:vAlign w:val="center"/>
          </w:tcPr>
          <w:p>
            <w:pPr>
              <w:widowControl/>
              <w:snapToGrid w:val="0"/>
              <w:rPr>
                <w:rFonts w:ascii="宋体" w:hAnsi="宋体" w:cs="宋体"/>
                <w:b/>
                <w:snapToGrid w:val="0"/>
                <w:kern w:val="0"/>
              </w:rPr>
            </w:pPr>
            <w:r>
              <w:rPr>
                <w:rFonts w:hint="eastAsia" w:ascii="宋体" w:hAnsi="宋体" w:cs="宋体"/>
                <w:b/>
                <w:snapToGrid w:val="0"/>
                <w:color w:val="000000"/>
                <w:kern w:val="0"/>
                <w:lang w:bidi="ar"/>
              </w:rPr>
              <w:t>项目</w:t>
            </w:r>
          </w:p>
        </w:tc>
        <w:tc>
          <w:tcPr>
            <w:tcW w:w="5354" w:type="dxa"/>
            <w:gridSpan w:val="2"/>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美元影响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69" w:type="dxa"/>
            <w:vMerge w:val="continue"/>
            <w:shd w:val="clear" w:color="auto" w:fill="auto"/>
            <w:vAlign w:val="center"/>
          </w:tcPr>
          <w:p>
            <w:pPr>
              <w:widowControl/>
              <w:jc w:val="left"/>
              <w:rPr>
                <w:rFonts w:ascii="宋体" w:hAnsi="宋体"/>
                <w:snapToGrid w:val="0"/>
                <w:kern w:val="0"/>
                <w:lang w:val="en-GB" w:eastAsia="en-US"/>
              </w:rPr>
            </w:pPr>
          </w:p>
        </w:tc>
        <w:tc>
          <w:tcPr>
            <w:tcW w:w="2693" w:type="dxa"/>
            <w:shd w:val="clear" w:color="auto" w:fill="auto"/>
            <w:vAlign w:val="center"/>
          </w:tcPr>
          <w:p>
            <w:pPr>
              <w:widowControl/>
              <w:snapToGrid w:val="0"/>
              <w:jc w:val="center"/>
              <w:rPr>
                <w:rFonts w:ascii="宋体" w:hAnsi="宋体" w:cs="宋体"/>
                <w:b/>
                <w:snapToGrid w:val="0"/>
                <w:kern w:val="0"/>
                <w:lang w:eastAsia="en-US"/>
              </w:rPr>
            </w:pPr>
            <w:r>
              <w:rPr>
                <w:rFonts w:hint="eastAsia" w:ascii="宋体" w:hAnsi="宋体" w:cs="宋体"/>
                <w:b/>
                <w:snapToGrid w:val="0"/>
                <w:color w:val="000000"/>
                <w:kern w:val="0"/>
                <w:lang w:bidi="ar"/>
              </w:rPr>
              <w:t>年末余额</w:t>
            </w:r>
          </w:p>
        </w:tc>
        <w:tc>
          <w:tcPr>
            <w:tcW w:w="2661" w:type="dxa"/>
            <w:shd w:val="clear" w:color="auto" w:fill="auto"/>
            <w:vAlign w:val="center"/>
          </w:tcPr>
          <w:p>
            <w:pPr>
              <w:widowControl/>
              <w:snapToGrid w:val="0"/>
              <w:jc w:val="center"/>
              <w:rPr>
                <w:rFonts w:ascii="宋体" w:hAnsi="宋体" w:cs="宋体"/>
                <w:b/>
                <w:snapToGrid w:val="0"/>
                <w:kern w:val="0"/>
                <w:lang w:eastAsia="en-US"/>
              </w:rPr>
            </w:pPr>
            <w:r>
              <w:rPr>
                <w:rFonts w:hint="eastAsia" w:ascii="宋体" w:hAnsi="宋体" w:cs="宋体"/>
                <w:b/>
                <w:snapToGrid w:val="0"/>
                <w:color w:val="000000"/>
                <w:kern w:val="0"/>
                <w:lang w:bidi="ar"/>
              </w:rPr>
              <w:t>年初余额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3" w:type="dxa"/>
            <w:gridSpan w:val="3"/>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增加（或减少）当期损益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9"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—如记账本位币贬值对应外币</w:t>
            </w:r>
          </w:p>
        </w:tc>
        <w:tc>
          <w:tcPr>
            <w:tcW w:w="2693" w:type="dxa"/>
            <w:shd w:val="clear" w:color="auto" w:fill="auto"/>
            <w:vAlign w:val="center"/>
          </w:tcPr>
          <w:p>
            <w:pPr>
              <w:widowControl/>
              <w:snapToGrid w:val="0"/>
              <w:jc w:val="right"/>
              <w:rPr>
                <w:rFonts w:ascii="宋体" w:hAnsi="宋体" w:cs="宋体"/>
                <w:snapToGrid w:val="0"/>
                <w:kern w:val="0"/>
              </w:rPr>
            </w:pPr>
            <w:r>
              <w:rPr>
                <w:rFonts w:ascii="宋体" w:hAnsi="宋体" w:cs="宋体"/>
                <w:snapToGrid w:val="0"/>
                <w:color w:val="000000"/>
                <w:kern w:val="0"/>
                <w:lang w:bidi="ar"/>
              </w:rPr>
              <w:t>-7,635</w:t>
            </w:r>
          </w:p>
        </w:tc>
        <w:tc>
          <w:tcPr>
            <w:tcW w:w="2661" w:type="dxa"/>
            <w:shd w:val="clear" w:color="auto" w:fill="auto"/>
            <w:vAlign w:val="center"/>
          </w:tcPr>
          <w:p>
            <w:pPr>
              <w:widowControl/>
              <w:snapToGrid w:val="0"/>
              <w:jc w:val="right"/>
              <w:rPr>
                <w:rFonts w:ascii="宋体" w:hAnsi="宋体" w:cs="宋体"/>
                <w:snapToGrid w:val="0"/>
                <w:kern w:val="0"/>
                <w:lang w:eastAsia="en-US"/>
              </w:rPr>
            </w:pPr>
            <w:r>
              <w:rPr>
                <w:rFonts w:hint="eastAsia" w:ascii="宋体" w:hAnsi="宋体" w:cs="宋体"/>
                <w:snapToGrid w:val="0"/>
                <w:color w:val="000000"/>
                <w:kern w:val="0"/>
                <w:lang w:bidi="ar"/>
              </w:rPr>
              <w:t>-115,065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9"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—如记账本位币升值对应外币</w:t>
            </w:r>
          </w:p>
        </w:tc>
        <w:tc>
          <w:tcPr>
            <w:tcW w:w="2693" w:type="dxa"/>
            <w:shd w:val="clear" w:color="auto" w:fill="auto"/>
            <w:vAlign w:val="center"/>
          </w:tcPr>
          <w:p>
            <w:pPr>
              <w:widowControl/>
              <w:snapToGrid w:val="0"/>
              <w:jc w:val="right"/>
              <w:rPr>
                <w:rFonts w:ascii="宋体" w:hAnsi="宋体" w:cs="宋体"/>
                <w:snapToGrid w:val="0"/>
                <w:kern w:val="0"/>
              </w:rPr>
            </w:pPr>
            <w:r>
              <w:rPr>
                <w:rFonts w:ascii="宋体" w:hAnsi="宋体" w:cs="宋体"/>
                <w:snapToGrid w:val="0"/>
                <w:color w:val="000000"/>
                <w:kern w:val="0"/>
                <w:lang w:bidi="ar"/>
              </w:rPr>
              <w:t>7,635</w:t>
            </w:r>
          </w:p>
        </w:tc>
        <w:tc>
          <w:tcPr>
            <w:tcW w:w="2661" w:type="dxa"/>
            <w:shd w:val="clear" w:color="auto" w:fill="auto"/>
            <w:vAlign w:val="center"/>
          </w:tcPr>
          <w:p>
            <w:pPr>
              <w:widowControl/>
              <w:snapToGrid w:val="0"/>
              <w:jc w:val="right"/>
              <w:rPr>
                <w:rFonts w:ascii="宋体" w:hAnsi="宋体" w:cs="宋体"/>
                <w:snapToGrid w:val="0"/>
                <w:kern w:val="0"/>
                <w:lang w:eastAsia="en-US"/>
              </w:rPr>
            </w:pPr>
            <w:r>
              <w:rPr>
                <w:rFonts w:hint="eastAsia" w:ascii="宋体" w:hAnsi="宋体" w:cs="宋体"/>
                <w:snapToGrid w:val="0"/>
                <w:color w:val="000000"/>
                <w:kern w:val="0"/>
                <w:lang w:bidi="ar"/>
              </w:rPr>
              <w:t>115,065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23" w:type="dxa"/>
            <w:gridSpan w:val="3"/>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增加（或减少）当期股东权益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9"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—如记账本位币贬值对应外币</w:t>
            </w:r>
          </w:p>
        </w:tc>
        <w:tc>
          <w:tcPr>
            <w:tcW w:w="2693" w:type="dxa"/>
            <w:shd w:val="clear" w:color="auto" w:fill="auto"/>
            <w:vAlign w:val="center"/>
          </w:tcPr>
          <w:p>
            <w:pPr>
              <w:widowControl/>
              <w:snapToGrid w:val="0"/>
              <w:jc w:val="right"/>
              <w:rPr>
                <w:rFonts w:ascii="宋体" w:hAnsi="宋体" w:cs="宋体"/>
                <w:snapToGrid w:val="0"/>
                <w:kern w:val="0"/>
              </w:rPr>
            </w:pPr>
            <w:r>
              <w:rPr>
                <w:rFonts w:ascii="宋体" w:hAnsi="宋体" w:cs="宋体"/>
                <w:snapToGrid w:val="0"/>
                <w:color w:val="000000"/>
                <w:kern w:val="0"/>
                <w:lang w:bidi="ar"/>
              </w:rPr>
              <w:t>-5,178</w:t>
            </w:r>
          </w:p>
        </w:tc>
        <w:tc>
          <w:tcPr>
            <w:tcW w:w="2661" w:type="dxa"/>
            <w:shd w:val="clear" w:color="auto" w:fill="auto"/>
            <w:vAlign w:val="center"/>
          </w:tcPr>
          <w:p>
            <w:pPr>
              <w:widowControl/>
              <w:snapToGrid w:val="0"/>
              <w:jc w:val="right"/>
              <w:rPr>
                <w:rFonts w:ascii="宋体" w:hAnsi="宋体" w:cs="宋体"/>
                <w:snapToGrid w:val="0"/>
                <w:kern w:val="0"/>
                <w:lang w:eastAsia="en-US"/>
              </w:rPr>
            </w:pPr>
            <w:r>
              <w:rPr>
                <w:rFonts w:hint="eastAsia" w:ascii="宋体" w:hAnsi="宋体" w:cs="宋体"/>
                <w:snapToGrid w:val="0"/>
                <w:color w:val="000000"/>
                <w:kern w:val="0"/>
                <w:lang w:bidi="ar"/>
              </w:rPr>
              <w:t>-33,892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9"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—如记账本位币升值对应外币</w:t>
            </w:r>
          </w:p>
        </w:tc>
        <w:tc>
          <w:tcPr>
            <w:tcW w:w="2693" w:type="dxa"/>
            <w:shd w:val="clear" w:color="auto" w:fill="auto"/>
            <w:vAlign w:val="center"/>
          </w:tcPr>
          <w:p>
            <w:pPr>
              <w:widowControl/>
              <w:snapToGrid w:val="0"/>
              <w:jc w:val="right"/>
              <w:rPr>
                <w:rFonts w:ascii="宋体" w:hAnsi="宋体" w:cs="宋体"/>
                <w:snapToGrid w:val="0"/>
                <w:kern w:val="0"/>
              </w:rPr>
            </w:pPr>
            <w:r>
              <w:rPr>
                <w:rFonts w:ascii="宋体" w:hAnsi="宋体" w:cs="宋体"/>
                <w:snapToGrid w:val="0"/>
                <w:color w:val="000000"/>
                <w:kern w:val="0"/>
                <w:lang w:bidi="ar"/>
              </w:rPr>
              <w:t>5,178</w:t>
            </w:r>
          </w:p>
        </w:tc>
        <w:tc>
          <w:tcPr>
            <w:tcW w:w="2661" w:type="dxa"/>
            <w:shd w:val="clear" w:color="auto" w:fill="auto"/>
            <w:vAlign w:val="center"/>
          </w:tcPr>
          <w:p>
            <w:pPr>
              <w:widowControl/>
              <w:snapToGrid w:val="0"/>
              <w:jc w:val="right"/>
              <w:rPr>
                <w:rFonts w:ascii="宋体" w:hAnsi="宋体" w:cs="宋体"/>
                <w:snapToGrid w:val="0"/>
                <w:kern w:val="0"/>
                <w:lang w:eastAsia="en-US"/>
              </w:rPr>
            </w:pPr>
            <w:r>
              <w:rPr>
                <w:rFonts w:hint="eastAsia" w:ascii="宋体" w:hAnsi="宋体" w:cs="宋体"/>
                <w:snapToGrid w:val="0"/>
                <w:color w:val="000000"/>
                <w:kern w:val="0"/>
                <w:lang w:bidi="ar"/>
              </w:rPr>
              <w:t>33,892</w:t>
            </w:r>
          </w:p>
        </w:tc>
      </w:tr>
    </w:tbl>
    <w:p>
      <w:pPr>
        <w:pStyle w:val="543"/>
        <w:widowControl/>
        <w:numPr>
          <w:ilvl w:val="0"/>
          <w:numId w:val="124"/>
        </w:numPr>
        <w:autoSpaceDE w:val="0"/>
        <w:autoSpaceDN w:val="0"/>
        <w:adjustRightInd w:val="0"/>
        <w:snapToGrid w:val="0"/>
        <w:spacing w:before="156" w:beforeLines="50" w:after="156" w:afterLines="50" w:line="360" w:lineRule="exact"/>
        <w:ind w:left="851" w:hanging="333" w:firstLineChars="0"/>
        <w:jc w:val="left"/>
        <w:outlineLvl w:val="2"/>
        <w:rPr>
          <w:rFonts w:ascii="宋体" w:hAnsi="宋体" w:cs="MHei-Bold-Identity-H"/>
          <w:bCs/>
          <w:snapToGrid w:val="0"/>
          <w:kern w:val="0"/>
          <w:lang w:val="en-GB"/>
        </w:rPr>
      </w:pPr>
      <w:r>
        <w:rPr>
          <w:rFonts w:hint="eastAsia" w:ascii="宋体" w:hAnsi="宋体" w:cs="MHei-Bold-Identity-H"/>
          <w:bCs/>
          <w:snapToGrid w:val="0"/>
          <w:kern w:val="0"/>
          <w:lang w:val="en-GB"/>
        </w:rPr>
        <w:t>利率风险敏感性分析</w:t>
      </w:r>
    </w:p>
    <w:p>
      <w:pPr>
        <w:widowControl/>
        <w:autoSpaceDE w:val="0"/>
        <w:autoSpaceDN w:val="0"/>
        <w:adjustRightInd w:val="0"/>
        <w:spacing w:before="156" w:beforeLines="50" w:after="156" w:afterLines="50" w:line="360" w:lineRule="exact"/>
        <w:ind w:firstLine="420" w:firstLineChars="200"/>
        <w:jc w:val="left"/>
        <w:rPr>
          <w:rFonts w:ascii="宋体" w:hAnsi="宋体" w:cs="MHei-Light-Identity-H"/>
          <w:snapToGrid w:val="0"/>
          <w:kern w:val="0"/>
          <w:lang w:val="en-GB"/>
        </w:rPr>
      </w:pPr>
      <w:r>
        <w:rPr>
          <w:rFonts w:hint="eastAsia" w:ascii="宋体" w:hAnsi="宋体" w:cs="MHei-Light-Identity-H"/>
          <w:snapToGrid w:val="0"/>
          <w:kern w:val="0"/>
          <w:lang w:val="en-GB"/>
        </w:rPr>
        <w:t>利率风险敏感性分析基于下述假设：</w:t>
      </w:r>
    </w:p>
    <w:p>
      <w:pPr>
        <w:widowControl/>
        <w:autoSpaceDE w:val="0"/>
        <w:autoSpaceDN w:val="0"/>
        <w:adjustRightInd w:val="0"/>
        <w:spacing w:before="156" w:beforeLines="50" w:after="156" w:afterLines="50" w:line="360" w:lineRule="exact"/>
        <w:ind w:firstLine="420" w:firstLineChars="200"/>
        <w:jc w:val="left"/>
        <w:rPr>
          <w:rFonts w:ascii="宋体" w:hAnsi="宋体" w:cs="MHei-Light-Identity-H"/>
          <w:snapToGrid w:val="0"/>
          <w:kern w:val="0"/>
          <w:lang w:val="en-GB"/>
        </w:rPr>
      </w:pPr>
      <w:r>
        <w:rPr>
          <w:rFonts w:hint="eastAsia" w:ascii="宋体" w:hAnsi="宋体" w:cs="MHei-Light-Identity-H"/>
          <w:snapToGrid w:val="0"/>
          <w:kern w:val="0"/>
          <w:lang w:val="en-GB"/>
        </w:rPr>
        <w:t>市场利率变化影响可变利率金融工具的利息收入或费用；</w:t>
      </w:r>
    </w:p>
    <w:p>
      <w:pPr>
        <w:widowControl/>
        <w:autoSpaceDE w:val="0"/>
        <w:autoSpaceDN w:val="0"/>
        <w:adjustRightInd w:val="0"/>
        <w:spacing w:before="156" w:beforeLines="50" w:after="156" w:afterLines="50" w:line="360" w:lineRule="exact"/>
        <w:ind w:firstLine="420" w:firstLineChars="200"/>
        <w:jc w:val="left"/>
        <w:rPr>
          <w:rFonts w:ascii="宋体" w:hAnsi="宋体" w:cs="MHei-Light-Identity-H"/>
          <w:snapToGrid w:val="0"/>
          <w:kern w:val="0"/>
          <w:lang w:val="en-GB"/>
        </w:rPr>
      </w:pPr>
      <w:r>
        <w:rPr>
          <w:rFonts w:hint="eastAsia" w:ascii="宋体" w:hAnsi="宋体" w:cs="MHei-Light-Identity-H"/>
          <w:snapToGrid w:val="0"/>
          <w:kern w:val="0"/>
          <w:lang w:val="en-GB"/>
        </w:rPr>
        <w:t>对于以公允价值计量的固定利率金融工具，市场利率变化仅仅影响其利息收入或费用；</w:t>
      </w:r>
    </w:p>
    <w:p>
      <w:pPr>
        <w:widowControl/>
        <w:autoSpaceDE w:val="0"/>
        <w:autoSpaceDN w:val="0"/>
        <w:adjustRightInd w:val="0"/>
        <w:spacing w:before="156" w:beforeLines="50" w:after="156" w:afterLines="50" w:line="360" w:lineRule="exact"/>
        <w:ind w:firstLine="420" w:firstLineChars="200"/>
        <w:jc w:val="left"/>
        <w:rPr>
          <w:rFonts w:ascii="宋体" w:hAnsi="宋体" w:cs="MHei-Light-Identity-H"/>
          <w:snapToGrid w:val="0"/>
          <w:kern w:val="0"/>
          <w:lang w:val="en-GB"/>
        </w:rPr>
      </w:pPr>
      <w:r>
        <w:rPr>
          <w:rFonts w:hint="eastAsia" w:ascii="宋体" w:hAnsi="宋体" w:cs="MHei-Light-Identity-H"/>
          <w:snapToGrid w:val="0"/>
          <w:kern w:val="0"/>
          <w:lang w:val="en-GB"/>
        </w:rPr>
        <w:t>以资产负债表日市场利率采用现金流量折现法计算衍生金融工具及其它金融资产和负债的公允价值变化。</w:t>
      </w:r>
    </w:p>
    <w:p>
      <w:pPr>
        <w:widowControl/>
        <w:autoSpaceDE w:val="0"/>
        <w:autoSpaceDN w:val="0"/>
        <w:adjustRightInd w:val="0"/>
        <w:spacing w:before="156" w:beforeLines="50" w:after="156" w:afterLines="50" w:line="360" w:lineRule="exact"/>
        <w:ind w:firstLine="420" w:firstLineChars="200"/>
        <w:jc w:val="left"/>
        <w:rPr>
          <w:rFonts w:ascii="宋体" w:hAnsi="宋体" w:cs="MHei-Light-Identity-H"/>
          <w:snapToGrid w:val="0"/>
          <w:kern w:val="0"/>
          <w:lang w:val="en-GB"/>
        </w:rPr>
      </w:pPr>
      <w:r>
        <w:rPr>
          <w:rFonts w:hint="eastAsia" w:ascii="宋体" w:hAnsi="宋体" w:cs="MHei-Light-Identity-H"/>
          <w:snapToGrid w:val="0"/>
          <w:kern w:val="0"/>
          <w:lang w:val="en-GB"/>
        </w:rPr>
        <w:t>在上述假设的基础上，在其它变量不变的情况下，利率可能发生的合理变动对当期损益和权益的税后影响如下：</w:t>
      </w:r>
    </w:p>
    <w:tbl>
      <w:tblPr>
        <w:tblStyle w:val="9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151"/>
        <w:gridCol w:w="1572"/>
        <w:gridCol w:w="1423"/>
        <w:gridCol w:w="1496"/>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800" w:type="dxa"/>
            <w:vMerge w:val="restart"/>
            <w:shd w:val="clear" w:color="auto" w:fill="auto"/>
            <w:vAlign w:val="center"/>
          </w:tcPr>
          <w:p>
            <w:pPr>
              <w:widowControl/>
              <w:snapToGrid w:val="0"/>
              <w:jc w:val="left"/>
              <w:rPr>
                <w:rFonts w:ascii="宋体" w:hAnsi="宋体" w:cs="宋体"/>
                <w:b/>
                <w:snapToGrid w:val="0"/>
                <w:kern w:val="0"/>
              </w:rPr>
            </w:pPr>
            <w:r>
              <w:rPr>
                <w:rFonts w:hint="eastAsia" w:ascii="宋体" w:hAnsi="宋体" w:cs="宋体"/>
                <w:b/>
                <w:snapToGrid w:val="0"/>
                <w:color w:val="000000"/>
                <w:kern w:val="0"/>
                <w:lang w:bidi="ar"/>
              </w:rPr>
              <w:t>项目</w:t>
            </w:r>
          </w:p>
        </w:tc>
        <w:tc>
          <w:tcPr>
            <w:tcW w:w="1105" w:type="dxa"/>
            <w:vMerge w:val="restart"/>
            <w:shd w:val="clear" w:color="auto" w:fill="auto"/>
            <w:vAlign w:val="center"/>
          </w:tcPr>
          <w:p>
            <w:pPr>
              <w:widowControl/>
              <w:snapToGrid w:val="0"/>
              <w:jc w:val="center"/>
              <w:rPr>
                <w:rFonts w:ascii="宋体" w:hAnsi="宋体" w:cs="宋体"/>
                <w:snapToGrid w:val="0"/>
                <w:kern w:val="0"/>
              </w:rPr>
            </w:pPr>
            <w:r>
              <w:rPr>
                <w:rFonts w:hint="eastAsia" w:ascii="宋体" w:hAnsi="宋体" w:cs="宋体"/>
                <w:b/>
                <w:snapToGrid w:val="0"/>
                <w:color w:val="000000"/>
                <w:kern w:val="0"/>
                <w:lang w:bidi="ar"/>
              </w:rPr>
              <w:t>利率变动</w:t>
            </w:r>
          </w:p>
        </w:tc>
        <w:tc>
          <w:tcPr>
            <w:tcW w:w="2876" w:type="dxa"/>
            <w:gridSpan w:val="2"/>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2023年度</w:t>
            </w:r>
          </w:p>
        </w:tc>
        <w:tc>
          <w:tcPr>
            <w:tcW w:w="2907" w:type="dxa"/>
            <w:gridSpan w:val="2"/>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2022年度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800" w:type="dxa"/>
            <w:vMerge w:val="continue"/>
            <w:shd w:val="clear" w:color="auto" w:fill="auto"/>
            <w:vAlign w:val="center"/>
          </w:tcPr>
          <w:p>
            <w:pPr>
              <w:widowControl/>
              <w:jc w:val="left"/>
              <w:rPr>
                <w:rFonts w:ascii="宋体" w:hAnsi="宋体"/>
                <w:snapToGrid w:val="0"/>
                <w:kern w:val="0"/>
                <w:lang w:val="en-GB" w:eastAsia="en-US"/>
              </w:rPr>
            </w:pPr>
          </w:p>
        </w:tc>
        <w:tc>
          <w:tcPr>
            <w:tcW w:w="1105" w:type="dxa"/>
            <w:vMerge w:val="continue"/>
            <w:shd w:val="clear" w:color="auto" w:fill="auto"/>
            <w:vAlign w:val="center"/>
          </w:tcPr>
          <w:p>
            <w:pPr>
              <w:widowControl/>
              <w:jc w:val="left"/>
              <w:rPr>
                <w:rFonts w:ascii="宋体" w:hAnsi="宋体"/>
                <w:snapToGrid w:val="0"/>
                <w:kern w:val="0"/>
                <w:lang w:val="en-GB" w:eastAsia="en-US"/>
              </w:rPr>
            </w:pPr>
          </w:p>
        </w:tc>
        <w:tc>
          <w:tcPr>
            <w:tcW w:w="1510" w:type="dxa"/>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对净利润的影响</w:t>
            </w:r>
          </w:p>
        </w:tc>
        <w:tc>
          <w:tcPr>
            <w:tcW w:w="1366" w:type="dxa"/>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对股东权益的影响</w:t>
            </w:r>
          </w:p>
        </w:tc>
        <w:tc>
          <w:tcPr>
            <w:tcW w:w="1437" w:type="dxa"/>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对净利润的影响</w:t>
            </w:r>
          </w:p>
        </w:tc>
        <w:tc>
          <w:tcPr>
            <w:tcW w:w="1470" w:type="dxa"/>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对股东权益的影响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800"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浮动利率借款</w:t>
            </w:r>
          </w:p>
        </w:tc>
        <w:tc>
          <w:tcPr>
            <w:tcW w:w="1105" w:type="dxa"/>
            <w:shd w:val="clear" w:color="auto" w:fill="auto"/>
            <w:vAlign w:val="center"/>
          </w:tcPr>
          <w:p>
            <w:pPr>
              <w:widowControl/>
              <w:snapToGrid w:val="0"/>
              <w:jc w:val="center"/>
              <w:rPr>
                <w:rFonts w:ascii="宋体" w:hAnsi="宋体" w:cs="宋体"/>
                <w:snapToGrid w:val="0"/>
                <w:kern w:val="0"/>
              </w:rPr>
            </w:pPr>
            <w:r>
              <w:rPr>
                <w:rFonts w:hint="eastAsia" w:ascii="宋体" w:hAnsi="宋体" w:cs="宋体"/>
                <w:snapToGrid w:val="0"/>
                <w:color w:val="000000"/>
                <w:kern w:val="0"/>
                <w:lang w:bidi="ar"/>
              </w:rPr>
              <w:t>增加1%</w:t>
            </w:r>
          </w:p>
        </w:tc>
        <w:tc>
          <w:tcPr>
            <w:tcW w:w="1510" w:type="dxa"/>
            <w:shd w:val="clear" w:color="auto" w:fill="auto"/>
            <w:vAlign w:val="center"/>
          </w:tcPr>
          <w:p>
            <w:pPr>
              <w:widowControl/>
              <w:snapToGrid w:val="0"/>
              <w:jc w:val="right"/>
              <w:rPr>
                <w:rFonts w:ascii="宋体" w:hAnsi="宋体" w:cs="宋体"/>
                <w:snapToGrid w:val="0"/>
                <w:kern w:val="0"/>
              </w:rPr>
            </w:pPr>
            <w:r>
              <w:rPr>
                <w:rFonts w:ascii="宋体" w:hAnsi="宋体" w:cs="宋体"/>
                <w:snapToGrid w:val="0"/>
                <w:kern w:val="0"/>
              </w:rPr>
              <w:t>-101,337</w:t>
            </w:r>
          </w:p>
        </w:tc>
        <w:tc>
          <w:tcPr>
            <w:tcW w:w="1366" w:type="dxa"/>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kern w:val="0"/>
                <w:lang w:eastAsia="en-US"/>
              </w:rPr>
              <w:t>-101,337</w:t>
            </w:r>
          </w:p>
        </w:tc>
        <w:tc>
          <w:tcPr>
            <w:tcW w:w="1437" w:type="dxa"/>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kern w:val="0"/>
                <w:lang w:eastAsia="en-US"/>
              </w:rPr>
              <w:t>-147,283</w:t>
            </w:r>
          </w:p>
        </w:tc>
        <w:tc>
          <w:tcPr>
            <w:tcW w:w="1470" w:type="dxa"/>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kern w:val="0"/>
                <w:lang w:eastAsia="en-US"/>
              </w:rPr>
              <w:t>-147,283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800" w:type="dxa"/>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浮动利率借款</w:t>
            </w:r>
          </w:p>
        </w:tc>
        <w:tc>
          <w:tcPr>
            <w:tcW w:w="1105" w:type="dxa"/>
            <w:shd w:val="clear" w:color="auto" w:fill="auto"/>
            <w:vAlign w:val="center"/>
          </w:tcPr>
          <w:p>
            <w:pPr>
              <w:widowControl/>
              <w:snapToGrid w:val="0"/>
              <w:jc w:val="center"/>
              <w:rPr>
                <w:rFonts w:ascii="宋体" w:hAnsi="宋体" w:cs="宋体"/>
                <w:snapToGrid w:val="0"/>
                <w:kern w:val="0"/>
              </w:rPr>
            </w:pPr>
            <w:r>
              <w:rPr>
                <w:rFonts w:hint="eastAsia" w:ascii="宋体" w:hAnsi="宋体" w:cs="宋体"/>
                <w:snapToGrid w:val="0"/>
                <w:color w:val="000000"/>
                <w:kern w:val="0"/>
                <w:lang w:bidi="ar"/>
              </w:rPr>
              <w:t>减少1%</w:t>
            </w:r>
          </w:p>
        </w:tc>
        <w:tc>
          <w:tcPr>
            <w:tcW w:w="1510" w:type="dxa"/>
            <w:shd w:val="clear" w:color="auto" w:fill="auto"/>
            <w:vAlign w:val="center"/>
          </w:tcPr>
          <w:p>
            <w:pPr>
              <w:widowControl/>
              <w:snapToGrid w:val="0"/>
              <w:jc w:val="right"/>
              <w:rPr>
                <w:rFonts w:ascii="宋体" w:hAnsi="宋体" w:cs="宋体"/>
                <w:snapToGrid w:val="0"/>
                <w:kern w:val="0"/>
              </w:rPr>
            </w:pPr>
            <w:r>
              <w:rPr>
                <w:rFonts w:ascii="宋体" w:hAnsi="宋体" w:cs="宋体"/>
                <w:snapToGrid w:val="0"/>
                <w:kern w:val="0"/>
              </w:rPr>
              <w:t>101,337</w:t>
            </w:r>
          </w:p>
        </w:tc>
        <w:tc>
          <w:tcPr>
            <w:tcW w:w="1366" w:type="dxa"/>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kern w:val="0"/>
                <w:lang w:eastAsia="en-US"/>
              </w:rPr>
              <w:t>101,337</w:t>
            </w:r>
          </w:p>
        </w:tc>
        <w:tc>
          <w:tcPr>
            <w:tcW w:w="1437" w:type="dxa"/>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kern w:val="0"/>
                <w:lang w:eastAsia="en-US"/>
              </w:rPr>
              <w:t>147,283</w:t>
            </w:r>
          </w:p>
        </w:tc>
        <w:tc>
          <w:tcPr>
            <w:tcW w:w="1470" w:type="dxa"/>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kern w:val="0"/>
                <w:lang w:eastAsia="en-US"/>
              </w:rPr>
              <w:t>147,283</w:t>
            </w:r>
          </w:p>
        </w:tc>
      </w:tr>
    </w:tbl>
    <w:p>
      <w:pPr>
        <w:pStyle w:val="531"/>
      </w:pPr>
    </w:p>
    <w:p>
      <w:pPr>
        <w:numPr>
          <w:ilvl w:val="0"/>
          <w:numId w:val="121"/>
        </w:numPr>
      </w:pPr>
      <w:r>
        <w:rPr>
          <w:rFonts w:hint="eastAsia"/>
        </w:rPr>
        <w:t>套期</w:t>
      </w:r>
    </w:p>
    <w:p>
      <w:pPr>
        <w:pStyle w:val="505"/>
        <w:numPr>
          <w:ilvl w:val="0"/>
          <w:numId w:val="125"/>
        </w:numPr>
        <w:ind w:left="0" w:firstLine="0"/>
      </w:pPr>
      <w:r>
        <w:rPr>
          <w:rFonts w:hint="eastAsia"/>
        </w:rPr>
        <w:t>公司开展套期业务进行风险管理</w:t>
      </w:r>
    </w:p>
    <w:sdt>
      <w:sdtPr>
        <w:alias w:val="是否适用：公司开展套期业务进行风险管理情况[双击切换]"/>
        <w:tag w:val="_GBC_71d11701ff3e412981460bc27e88a1b5"/>
        <w:id w:val="1903791137"/>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其他说明</w:t>
      </w:r>
    </w:p>
    <w:sdt>
      <w:sdtPr>
        <w:alias w:val="是否适用：公司开展套期业务进行风险管理的其他说明[双击切换]"/>
        <w:tag w:val="_GBC_bc39ee99cbfc4e469ac321509f461420"/>
        <w:id w:val="54649134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rPr>
      </w:pPr>
    </w:p>
    <w:p>
      <w:pPr>
        <w:pStyle w:val="505"/>
        <w:numPr>
          <w:ilvl w:val="0"/>
          <w:numId w:val="125"/>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161443672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rPr>
          <w:color w:val="808080"/>
        </w:rPr>
      </w:pPr>
    </w:p>
    <w:p>
      <w:pPr>
        <w:pStyle w:val="531"/>
      </w:pPr>
      <w:r>
        <w:rPr>
          <w:rFonts w:hint="eastAsia"/>
        </w:rPr>
        <w:t>其他说明</w:t>
      </w:r>
    </w:p>
    <w:sdt>
      <w:sdtPr>
        <w:alias w:val="是否适用：公司开展符合条件套期业务并应用套期会计情况的其他说明[双击切换]"/>
        <w:tag w:val="_GBC_7f3675a931be4fe0b3ba0ed19f75108a"/>
        <w:id w:val="-221528374"/>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rPr>
      </w:pPr>
    </w:p>
    <w:p>
      <w:pPr>
        <w:pStyle w:val="505"/>
        <w:numPr>
          <w:ilvl w:val="0"/>
          <w:numId w:val="125"/>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1321577044"/>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其他说明</w:t>
      </w:r>
    </w:p>
    <w:sdt>
      <w:sdtPr>
        <w:alias w:val="是否适用：公司开展套期业务进行风险管理、预期能实现风险管理目标但未应用套期会计的其他说明[双击切换]"/>
        <w:tag w:val="_GBC_7e60464ee1bf40b8b1d2fa0c0e7df1e4"/>
        <w:id w:val="132924085"/>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rPr>
      </w:pPr>
    </w:p>
    <w:p>
      <w:pPr>
        <w:numPr>
          <w:ilvl w:val="0"/>
          <w:numId w:val="121"/>
        </w:numPr>
      </w:pPr>
      <w:r>
        <w:rPr>
          <w:rFonts w:hint="eastAsia"/>
        </w:rPr>
        <w:t>金融资产转移</w:t>
      </w:r>
    </w:p>
    <w:p>
      <w:pPr>
        <w:pStyle w:val="505"/>
        <w:numPr>
          <w:ilvl w:val="0"/>
          <w:numId w:val="126"/>
        </w:numPr>
        <w:ind w:left="425" w:hanging="425"/>
      </w:pPr>
      <w:r>
        <w:rPr>
          <w:rFonts w:hint="eastAsia"/>
        </w:rPr>
        <w:t>转移方式分类</w:t>
      </w:r>
    </w:p>
    <w:sdt>
      <w:sdtPr>
        <w:alias w:val="是否适用：转移方式分类[双击切换]"/>
        <w:tag w:val="_GBC_ff6f967e629c4a6b934da2a3f33a107d"/>
        <w:id w:val="1516497815"/>
        <w:placeholder>
          <w:docPart w:val="GBC22222222222222222222222222222"/>
        </w:placeholder>
      </w:sdtPr>
      <w:sdtContent>
        <w:p>
          <w:pPr>
            <w:pStyle w:val="531"/>
          </w:pPr>
          <w:bookmarkStart w:id="339" w:name="_Hlk15355067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39"/>
    <w:p>
      <w:pPr>
        <w:pStyle w:val="531"/>
        <w:rPr>
          <w:color w:val="808080"/>
        </w:rPr>
      </w:pPr>
    </w:p>
    <w:p>
      <w:pPr>
        <w:pStyle w:val="505"/>
        <w:numPr>
          <w:ilvl w:val="0"/>
          <w:numId w:val="126"/>
        </w:numPr>
        <w:ind w:left="425" w:hanging="425"/>
      </w:pPr>
      <w:r>
        <w:rPr>
          <w:rFonts w:hint="eastAsia"/>
        </w:rPr>
        <w:t>因转移而终止确认的金融资产</w:t>
      </w:r>
    </w:p>
    <w:sdt>
      <w:sdtPr>
        <w:rPr>
          <w:rFonts w:hint="eastAsia"/>
        </w:rPr>
        <w:alias w:val="是否适用：因转移而终止确认的金融资产[双击切换]"/>
        <w:tag w:val="_GBC_9fb1347e32aa4376959cf58d1383255a"/>
        <w:id w:val="1802491620"/>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rPr>
          <w:color w:val="808080"/>
        </w:rPr>
      </w:pPr>
    </w:p>
    <w:p>
      <w:pPr>
        <w:pStyle w:val="505"/>
        <w:numPr>
          <w:ilvl w:val="0"/>
          <w:numId w:val="126"/>
        </w:numPr>
        <w:ind w:left="425" w:hanging="425"/>
      </w:pPr>
      <w:r>
        <w:rPr>
          <w:rFonts w:hint="eastAsia"/>
        </w:rPr>
        <w:t>继续涉入的转移金融资产</w:t>
      </w:r>
    </w:p>
    <w:sdt>
      <w:sdtPr>
        <w:alias w:val="是否适用：继续涉入的转移金融资产[双击切换]"/>
        <w:tag w:val="_GBC_b604f7fddde64fe6935f4995b9a88a21"/>
        <w:id w:val="1120496319"/>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rPr>
          <w:color w:val="808080"/>
        </w:rPr>
      </w:pPr>
    </w:p>
    <w:p>
      <w:pPr>
        <w:pStyle w:val="531"/>
      </w:pPr>
      <w:r>
        <w:rPr>
          <w:rFonts w:hint="eastAsia"/>
        </w:rPr>
        <w:t>其他说明</w:t>
      </w:r>
    </w:p>
    <w:sdt>
      <w:sdtPr>
        <w:alias w:val="是否适用：金融资产转移其他说明[双击切换]"/>
        <w:tag w:val="_GBC_205480d73c8a413b9678dd4798b26763"/>
        <w:id w:val="-1975750428"/>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rPr>
      </w:pPr>
    </w:p>
    <w:p>
      <w:pPr>
        <w:pStyle w:val="503"/>
        <w:numPr>
          <w:ilvl w:val="0"/>
          <w:numId w:val="57"/>
        </w:numPr>
        <w:ind w:left="518" w:hanging="28"/>
        <w:rPr>
          <w:rFonts w:ascii="宋体" w:hAnsi="宋体"/>
        </w:rPr>
      </w:pPr>
      <w:r>
        <w:rPr>
          <w:rFonts w:hint="eastAsia" w:ascii="宋体" w:hAnsi="宋体"/>
        </w:rPr>
        <w:t>公允价值的披露</w:t>
      </w:r>
      <w:bookmarkStart w:id="340" w:name="_Hlk10539195"/>
    </w:p>
    <w:p>
      <w:pPr>
        <w:pStyle w:val="504"/>
        <w:numPr>
          <w:ilvl w:val="0"/>
          <w:numId w:val="127"/>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835035256"/>
        <w:placeholder>
          <w:docPart w:val="GBC22222222222222222222222222222"/>
        </w:placeholder>
      </w:sdtPr>
      <w:sdtContent>
        <w:p>
          <w:pPr>
            <w:pStyle w:val="531"/>
          </w:pPr>
          <w:bookmarkStart w:id="341" w:name="_Hlk2403020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以公允价值计量的资产和负债的期末公允价值"/>
          <w:tag w:val="_GBC_2c45ed0b719e4292b6389023b9ce1031"/>
          <w:id w:val="-19833727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18629402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3"/>
        <w:gridCol w:w="1708"/>
        <w:gridCol w:w="1669"/>
        <w:gridCol w:w="1736"/>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sdt>
          <w:sdtPr>
            <w:tag w:val="_PLD_163e93b7c897498dae37bc5c38a11afe"/>
            <w:id w:val="1564830648"/>
          </w:sdtPr>
          <w:sdtContent>
            <w:tc>
              <w:tcPr>
                <w:tcW w:w="1339" w:type="pct"/>
                <w:vMerge w:val="restart"/>
                <w:tcBorders>
                  <w:top w:val="single" w:color="auto" w:sz="4" w:space="0"/>
                  <w:left w:val="single" w:color="auto" w:sz="4" w:space="0"/>
                  <w:right w:val="single" w:color="auto" w:sz="4" w:space="0"/>
                </w:tcBorders>
                <w:shd w:val="clear" w:color="auto" w:fill="auto"/>
                <w:vAlign w:val="center"/>
              </w:tcPr>
              <w:p>
                <w:pPr>
                  <w:jc w:val="center"/>
                  <w:outlineLvl w:val="2"/>
                  <w:rPr>
                    <w:rFonts w:cs="Cambria"/>
                  </w:rPr>
                </w:pPr>
                <w:r>
                  <w:rPr>
                    <w:rFonts w:hint="eastAsia" w:cs="Cambria"/>
                  </w:rPr>
                  <w:t>项目</w:t>
                </w:r>
              </w:p>
            </w:tc>
          </w:sdtContent>
        </w:sdt>
        <w:sdt>
          <w:sdtPr>
            <w:tag w:val="_PLD_b8bd62f651414617bea8612c55db30ce"/>
            <w:id w:val="-1014457517"/>
          </w:sdtPr>
          <w:sdtContent>
            <w:tc>
              <w:tcPr>
                <w:tcW w:w="3661"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rPr>
                </w:pPr>
                <w:r>
                  <w:rPr>
                    <w:rFonts w:hint="eastAsia" w:cs="Cambria"/>
                  </w:rPr>
                  <w:t>期末公允价值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339" w:type="pct"/>
            <w:vMerge w:val="continue"/>
            <w:tcBorders>
              <w:left w:val="single" w:color="auto" w:sz="4" w:space="0"/>
              <w:bottom w:val="single" w:color="auto" w:sz="4" w:space="0"/>
              <w:right w:val="single" w:color="auto" w:sz="4" w:space="0"/>
            </w:tcBorders>
            <w:shd w:val="clear" w:color="auto" w:fill="auto"/>
            <w:vAlign w:val="center"/>
          </w:tcPr>
          <w:p>
            <w:pPr>
              <w:jc w:val="center"/>
              <w:outlineLvl w:val="2"/>
              <w:rPr>
                <w:rFonts w:cs="Cambria"/>
              </w:rPr>
            </w:pPr>
          </w:p>
        </w:tc>
        <w:sdt>
          <w:sdtPr>
            <w:tag w:val="_PLD_8b204b4b1832494b8312fec08990548b"/>
            <w:id w:val="450743718"/>
          </w:sdtPr>
          <w:sdtContent>
            <w:tc>
              <w:tcPr>
                <w:tcW w:w="9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rPr>
                </w:pPr>
                <w:r>
                  <w:rPr>
                    <w:rFonts w:hint="eastAsia" w:cs="Cambria"/>
                  </w:rPr>
                  <w:t>第一层次公允价值计量</w:t>
                </w:r>
              </w:p>
            </w:tc>
          </w:sdtContent>
        </w:sdt>
        <w:sdt>
          <w:sdtPr>
            <w:tag w:val="_PLD_de23a118a4e8435d9b0e1e2e2e494f30"/>
            <w:id w:val="-1074207153"/>
          </w:sdtPr>
          <w:sdtContent>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rPr>
                </w:pPr>
                <w:r>
                  <w:rPr>
                    <w:rFonts w:hint="eastAsia" w:cs="Cambria"/>
                  </w:rPr>
                  <w:t>第二层次公允价值计量</w:t>
                </w:r>
              </w:p>
            </w:tc>
          </w:sdtContent>
        </w:sdt>
        <w:sdt>
          <w:sdtPr>
            <w:tag w:val="_PLD_4cb787262d4b4096b0d321ac48721dd2"/>
            <w:id w:val="-525252876"/>
          </w:sdtPr>
          <w:sdtContent>
            <w:tc>
              <w:tcPr>
                <w:tcW w:w="95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rPr>
                </w:pPr>
                <w:r>
                  <w:rPr>
                    <w:rFonts w:hint="eastAsia" w:cs="Cambria"/>
                  </w:rPr>
                  <w:t>第三层次公允价值计量</w:t>
                </w:r>
              </w:p>
            </w:tc>
          </w:sdtContent>
        </w:sdt>
        <w:sdt>
          <w:sdtPr>
            <w:tag w:val="_PLD_fb89c54d0c8e4fe2990587a96b78b5ca"/>
            <w:id w:val="1563299722"/>
          </w:sdtPr>
          <w:sdtContent>
            <w:tc>
              <w:tcPr>
                <w:tcW w:w="8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rPr>
                </w:pPr>
                <w:r>
                  <w:rPr>
                    <w:rFonts w:hint="eastAsia" w:cs="Cambria"/>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pPr>
            <w:r>
              <w:rPr>
                <w:rFonts w:hint="eastAsia" w:ascii="宋体" w:hAnsi="宋体" w:cs="宋体"/>
                <w:color w:val="000000"/>
                <w:lang w:bidi="ar"/>
              </w:rPr>
              <w:t>1.交易性金融资产</w:t>
            </w:r>
          </w:p>
        </w:tc>
        <w:tc>
          <w:tcPr>
            <w:tcW w:w="944"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225</w:t>
            </w: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107,247</w:t>
            </w:r>
          </w:p>
        </w:tc>
        <w:tc>
          <w:tcPr>
            <w:tcW w:w="836"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107,472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pPr>
            <w:r>
              <w:rPr>
                <w:rFonts w:hint="eastAsia" w:ascii="宋体" w:hAnsi="宋体" w:cs="宋体"/>
                <w:color w:val="000000"/>
                <w:lang w:bidi="ar"/>
              </w:rPr>
              <w:t>2.应收款项融资</w:t>
            </w:r>
          </w:p>
        </w:tc>
        <w:tc>
          <w:tcPr>
            <w:tcW w:w="944"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4,670,738</w:t>
            </w:r>
          </w:p>
        </w:tc>
        <w:tc>
          <w:tcPr>
            <w:tcW w:w="836"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4,670,738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cs="Cambria"/>
              </w:rPr>
            </w:pPr>
            <w:r>
              <w:rPr>
                <w:rFonts w:hint="eastAsia" w:ascii="宋体" w:hAnsi="宋体" w:cs="宋体"/>
                <w:color w:val="000000"/>
                <w:lang w:bidi="ar"/>
              </w:rPr>
              <w:t>3.其他权益工具投资</w:t>
            </w:r>
          </w:p>
        </w:tc>
        <w:tc>
          <w:tcPr>
            <w:tcW w:w="944"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366</w:t>
            </w: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116,280</w:t>
            </w:r>
          </w:p>
        </w:tc>
        <w:tc>
          <w:tcPr>
            <w:tcW w:w="836"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116,646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cs="Cambria"/>
              </w:rPr>
            </w:pPr>
            <w:r>
              <w:rPr>
                <w:rFonts w:hint="eastAsia" w:ascii="宋体" w:hAnsi="宋体" w:cs="宋体"/>
                <w:color w:val="000000"/>
                <w:lang w:bidi="ar"/>
              </w:rPr>
              <w:t>4.其他非流动金融资产</w:t>
            </w:r>
          </w:p>
        </w:tc>
        <w:tc>
          <w:tcPr>
            <w:tcW w:w="944"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1,503,449</w:t>
            </w:r>
          </w:p>
        </w:tc>
        <w:tc>
          <w:tcPr>
            <w:tcW w:w="836"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1,503,449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cs="Cambria"/>
              </w:rPr>
            </w:pPr>
            <w:r>
              <w:rPr>
                <w:rFonts w:hint="eastAsia" w:ascii="宋体" w:hAnsi="宋体" w:cs="宋体"/>
                <w:color w:val="000000"/>
                <w:lang w:bidi="ar"/>
              </w:rPr>
              <w:t>5.交易性金融负债</w:t>
            </w:r>
          </w:p>
        </w:tc>
        <w:tc>
          <w:tcPr>
            <w:tcW w:w="944"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550,761</w:t>
            </w:r>
          </w:p>
        </w:tc>
        <w:tc>
          <w:tcPr>
            <w:tcW w:w="836"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550,761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9" w:type="pct"/>
            <w:tcBorders>
              <w:top w:val="single" w:color="auto" w:sz="4" w:space="0"/>
              <w:left w:val="single" w:color="auto" w:sz="4" w:space="0"/>
              <w:bottom w:val="single" w:color="auto" w:sz="4" w:space="0"/>
              <w:right w:val="single" w:color="auto" w:sz="4" w:space="0"/>
            </w:tcBorders>
            <w:shd w:val="clear" w:color="auto" w:fill="auto"/>
            <w:vAlign w:val="center"/>
          </w:tcPr>
          <w:p>
            <w:pPr>
              <w:outlineLvl w:val="2"/>
              <w:rPr>
                <w:rFonts w:cs="Cambria"/>
              </w:rPr>
            </w:pPr>
            <w:r>
              <w:rPr>
                <w:rFonts w:ascii="宋体" w:hAnsi="宋体" w:cs="宋体"/>
                <w:color w:val="000000"/>
                <w:lang w:bidi="ar"/>
              </w:rPr>
              <w:t>6</w:t>
            </w:r>
            <w:r>
              <w:rPr>
                <w:rFonts w:hint="eastAsia" w:ascii="宋体" w:hAnsi="宋体" w:cs="宋体"/>
                <w:color w:val="000000"/>
                <w:lang w:bidi="ar"/>
              </w:rPr>
              <w:t>.投资性房地产</w:t>
            </w:r>
          </w:p>
        </w:tc>
        <w:tc>
          <w:tcPr>
            <w:tcW w:w="944"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p>
        </w:tc>
        <w:tc>
          <w:tcPr>
            <w:tcW w:w="922"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p>
        </w:tc>
        <w:tc>
          <w:tcPr>
            <w:tcW w:w="959"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1,109,569</w:t>
            </w:r>
          </w:p>
        </w:tc>
        <w:tc>
          <w:tcPr>
            <w:tcW w:w="836" w:type="pct"/>
            <w:tcBorders>
              <w:top w:val="single" w:color="auto" w:sz="4" w:space="0"/>
              <w:left w:val="single" w:color="auto" w:sz="4" w:space="0"/>
              <w:bottom w:val="single" w:color="auto" w:sz="4" w:space="0"/>
              <w:right w:val="single" w:color="auto" w:sz="4" w:space="0"/>
            </w:tcBorders>
            <w:vAlign w:val="center"/>
          </w:tcPr>
          <w:p>
            <w:pPr>
              <w:jc w:val="right"/>
              <w:outlineLvl w:val="2"/>
              <w:rPr>
                <w:rFonts w:cs="Cambria"/>
              </w:rPr>
            </w:pPr>
            <w:r>
              <w:rPr>
                <w:rFonts w:ascii="宋体" w:hAnsi="宋体" w:cs="宋体"/>
              </w:rPr>
              <w:t>1,109,569</w:t>
            </w:r>
          </w:p>
        </w:tc>
      </w:tr>
      <w:bookmarkEnd w:id="341"/>
    </w:tbl>
    <w:p>
      <w:pPr>
        <w:pStyle w:val="531"/>
      </w:pPr>
    </w:p>
    <w:p>
      <w:pPr>
        <w:pStyle w:val="504"/>
        <w:numPr>
          <w:ilvl w:val="0"/>
          <w:numId w:val="127"/>
        </w:numPr>
        <w:rPr>
          <w:rFonts w:ascii="宋体" w:hAnsi="宋体" w:cs="Arial"/>
          <w:szCs w:val="21"/>
        </w:rPr>
      </w:pPr>
      <w:r>
        <w:rPr>
          <w:rFonts w:hint="eastAsia" w:ascii="宋体" w:hAnsi="宋体" w:cs="Arial"/>
          <w:szCs w:val="21"/>
        </w:rPr>
        <w:t>持续和非持续第一层次公允价值计量项目市价的确定依据</w:t>
      </w:r>
    </w:p>
    <w:bookmarkEnd w:id="340"/>
    <w:sdt>
      <w:sdtPr>
        <w:rPr>
          <w:rFonts w:hint="eastAsia" w:cs="Arial"/>
        </w:rPr>
        <w:alias w:val="是否适用：持续和非持续第一层次公允价值计量项目市价的确定依据[双击切换]"/>
        <w:tag w:val="_GBC_fc42dd94906341819da0f825b0c88571"/>
        <w:id w:val="1949352071"/>
        <w:placeholder>
          <w:docPart w:val="GBC22222222222222222222222222222"/>
        </w:placeholder>
      </w:sdtPr>
      <w:sdtEndPr>
        <w:rPr>
          <w:rFonts w:hint="eastAsia" w:cs="Arial"/>
        </w:rPr>
      </w:sdtEndPr>
      <w:sdtContent>
        <w:p>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rPr>
      </w:pPr>
    </w:p>
    <w:tbl>
      <w:tblPr>
        <w:tblStyle w:val="9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8"/>
        <w:gridCol w:w="2669"/>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3" w:type="pct"/>
            <w:shd w:val="clear" w:color="auto" w:fill="auto"/>
            <w:vAlign w:val="center"/>
          </w:tcPr>
          <w:p>
            <w:pPr>
              <w:widowControl/>
              <w:snapToGrid w:val="0"/>
              <w:jc w:val="left"/>
              <w:rPr>
                <w:rFonts w:ascii="宋体" w:hAnsi="宋体" w:cs="宋体"/>
                <w:b/>
                <w:snapToGrid w:val="0"/>
                <w:kern w:val="0"/>
                <w:szCs w:val="22"/>
              </w:rPr>
            </w:pPr>
            <w:r>
              <w:rPr>
                <w:rFonts w:hint="eastAsia" w:ascii="宋体" w:hAnsi="宋体" w:cs="宋体"/>
                <w:b/>
                <w:snapToGrid w:val="0"/>
                <w:color w:val="000000"/>
                <w:kern w:val="0"/>
                <w:szCs w:val="22"/>
                <w:lang w:bidi="ar"/>
              </w:rPr>
              <w:t>项目</w:t>
            </w:r>
          </w:p>
        </w:tc>
        <w:tc>
          <w:tcPr>
            <w:tcW w:w="1475" w:type="pct"/>
            <w:shd w:val="clear" w:color="auto" w:fill="auto"/>
            <w:vAlign w:val="center"/>
          </w:tcPr>
          <w:p>
            <w:pPr>
              <w:widowControl/>
              <w:snapToGrid w:val="0"/>
              <w:jc w:val="center"/>
              <w:rPr>
                <w:rFonts w:ascii="宋体" w:hAnsi="宋体" w:cs="宋体"/>
                <w:b/>
                <w:snapToGrid w:val="0"/>
                <w:kern w:val="0"/>
                <w:szCs w:val="22"/>
              </w:rPr>
            </w:pPr>
            <w:r>
              <w:rPr>
                <w:rFonts w:hint="eastAsia" w:ascii="宋体" w:hAnsi="宋体" w:cs="宋体"/>
                <w:b/>
                <w:snapToGrid w:val="0"/>
                <w:color w:val="000000"/>
                <w:kern w:val="0"/>
                <w:szCs w:val="22"/>
                <w:lang w:bidi="ar"/>
              </w:rPr>
              <w:t>公允价值计量依据</w:t>
            </w:r>
          </w:p>
        </w:tc>
        <w:tc>
          <w:tcPr>
            <w:tcW w:w="1432" w:type="pct"/>
            <w:shd w:val="clear" w:color="auto" w:fill="auto"/>
            <w:vAlign w:val="center"/>
          </w:tcPr>
          <w:p>
            <w:pPr>
              <w:widowControl/>
              <w:snapToGrid w:val="0"/>
              <w:jc w:val="center"/>
              <w:rPr>
                <w:rFonts w:ascii="宋体" w:hAnsi="宋体" w:cs="宋体"/>
                <w:b/>
                <w:snapToGrid w:val="0"/>
                <w:kern w:val="0"/>
                <w:szCs w:val="22"/>
              </w:rPr>
            </w:pPr>
            <w:r>
              <w:rPr>
                <w:rFonts w:hint="eastAsia" w:ascii="宋体" w:hAnsi="宋体" w:cs="宋体"/>
                <w:b/>
                <w:snapToGrid w:val="0"/>
                <w:color w:val="000000"/>
                <w:kern w:val="0"/>
                <w:szCs w:val="22"/>
                <w:lang w:bidi="ar"/>
              </w:rPr>
              <w:t>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2"/>
              </w:rPr>
            </w:pPr>
            <w:r>
              <w:rPr>
                <w:rFonts w:hint="eastAsia" w:ascii="宋体" w:hAnsi="宋体" w:cs="宋体"/>
                <w:snapToGrid w:val="0"/>
                <w:color w:val="000000"/>
                <w:kern w:val="0"/>
                <w:szCs w:val="22"/>
                <w:lang w:bidi="ar"/>
              </w:rPr>
              <w:t>江苏连云港港口股份有限公司</w:t>
            </w:r>
          </w:p>
        </w:tc>
        <w:tc>
          <w:tcPr>
            <w:tcW w:w="1475" w:type="pct"/>
            <w:shd w:val="clear" w:color="auto" w:fill="auto"/>
            <w:vAlign w:val="center"/>
          </w:tcPr>
          <w:p>
            <w:pPr>
              <w:widowControl/>
              <w:snapToGrid w:val="0"/>
              <w:jc w:val="left"/>
              <w:rPr>
                <w:rFonts w:ascii="宋体" w:hAnsi="宋体" w:cs="宋体"/>
                <w:snapToGrid w:val="0"/>
                <w:kern w:val="0"/>
                <w:szCs w:val="22"/>
              </w:rPr>
            </w:pPr>
            <w:r>
              <w:rPr>
                <w:rFonts w:hint="eastAsia" w:ascii="宋体" w:hAnsi="宋体" w:cs="宋体"/>
                <w:snapToGrid w:val="0"/>
                <w:color w:val="000000"/>
                <w:kern w:val="0"/>
                <w:szCs w:val="22"/>
                <w:lang w:bidi="ar"/>
              </w:rPr>
              <w:t>股票收盘价</w:t>
            </w:r>
          </w:p>
        </w:tc>
        <w:tc>
          <w:tcPr>
            <w:tcW w:w="1432" w:type="pct"/>
            <w:shd w:val="clear" w:color="auto" w:fill="auto"/>
            <w:vAlign w:val="center"/>
          </w:tcPr>
          <w:p>
            <w:pPr>
              <w:widowControl/>
              <w:snapToGrid w:val="0"/>
              <w:rPr>
                <w:rFonts w:ascii="宋体" w:hAnsi="宋体" w:cs="宋体"/>
                <w:snapToGrid w:val="0"/>
                <w:kern w:val="0"/>
                <w:szCs w:val="22"/>
              </w:rPr>
            </w:pPr>
            <w:r>
              <w:rPr>
                <w:rFonts w:hint="eastAsia" w:ascii="宋体" w:hAnsi="宋体" w:cs="宋体"/>
                <w:snapToGrid w:val="0"/>
                <w:color w:val="000000"/>
                <w:kern w:val="0"/>
                <w:szCs w:val="22"/>
                <w:lang w:bidi="ar"/>
              </w:rPr>
              <w:t>其他权益工具投资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2"/>
              </w:rPr>
            </w:pPr>
            <w:r>
              <w:rPr>
                <w:rFonts w:hint="eastAsia" w:ascii="Times New Roman" w:hAnsi="Times New Roman"/>
                <w:snapToGrid w:val="0"/>
                <w:kern w:val="0"/>
                <w:szCs w:val="22"/>
                <w:lang w:val="en-GB"/>
              </w:rPr>
              <w:t>力帆科技（集团）股份有限公司</w:t>
            </w:r>
          </w:p>
        </w:tc>
        <w:tc>
          <w:tcPr>
            <w:tcW w:w="1475" w:type="pct"/>
            <w:shd w:val="clear" w:color="auto" w:fill="auto"/>
            <w:vAlign w:val="center"/>
          </w:tcPr>
          <w:p>
            <w:pPr>
              <w:widowControl/>
              <w:snapToGrid w:val="0"/>
              <w:rPr>
                <w:rFonts w:ascii="宋体" w:hAnsi="宋体" w:cs="宋体"/>
                <w:snapToGrid w:val="0"/>
                <w:kern w:val="0"/>
                <w:szCs w:val="22"/>
              </w:rPr>
            </w:pPr>
            <w:r>
              <w:rPr>
                <w:rFonts w:hint="eastAsia" w:ascii="Times New Roman" w:hAnsi="Times New Roman"/>
                <w:snapToGrid w:val="0"/>
                <w:kern w:val="0"/>
                <w:szCs w:val="22"/>
                <w:lang w:val="en-GB" w:eastAsia="en-US"/>
              </w:rPr>
              <w:t>股票收盘价</w:t>
            </w:r>
          </w:p>
        </w:tc>
        <w:tc>
          <w:tcPr>
            <w:tcW w:w="1432" w:type="pct"/>
            <w:shd w:val="clear" w:color="auto" w:fill="auto"/>
            <w:vAlign w:val="center"/>
          </w:tcPr>
          <w:p>
            <w:pPr>
              <w:widowControl/>
              <w:snapToGrid w:val="0"/>
              <w:rPr>
                <w:rFonts w:ascii="宋体" w:hAnsi="宋体" w:cs="宋体"/>
                <w:snapToGrid w:val="0"/>
                <w:kern w:val="0"/>
                <w:szCs w:val="22"/>
              </w:rPr>
            </w:pPr>
            <w:r>
              <w:rPr>
                <w:rFonts w:hint="eastAsia" w:ascii="Times New Roman" w:hAnsi="Times New Roman"/>
                <w:snapToGrid w:val="0"/>
                <w:kern w:val="0"/>
                <w:szCs w:val="22"/>
                <w:lang w:val="en-GB" w:eastAsia="en-US"/>
              </w:rPr>
              <w:t>交易性金融资产</w:t>
            </w:r>
          </w:p>
        </w:tc>
      </w:tr>
    </w:tbl>
    <w:p>
      <w:pPr>
        <w:tabs>
          <w:tab w:val="left" w:pos="1134"/>
        </w:tabs>
        <w:rPr>
          <w:rFonts w:cs="Cambria"/>
          <w:b/>
        </w:rPr>
      </w:pPr>
    </w:p>
    <w:p>
      <w:pPr>
        <w:pStyle w:val="504"/>
        <w:numPr>
          <w:ilvl w:val="0"/>
          <w:numId w:val="127"/>
        </w:numPr>
      </w:pPr>
      <w:r>
        <w:rPr>
          <w:rFonts w:hint="eastAsia" w:ascii="宋体" w:hAnsi="宋体" w:cs="Arial"/>
          <w:szCs w:val="21"/>
        </w:rPr>
        <w:t>持续和非持续第二层次公允价值计量项目，采用的估值技术和重要参数的定性及定量信息</w:t>
      </w:r>
    </w:p>
    <w:sdt>
      <w:sdtPr>
        <w:rPr>
          <w:rFonts w:hint="eastAsia" w:cs="Cambria"/>
        </w:rPr>
        <w:alias w:val="是否适用：持续和非持续第二层次公允价值计量项目，采用的估值技术和重要参数的定性及定量信息[双击切换]"/>
        <w:tag w:val="_GBC_524db4de656b4bccac2fc473643fe7a6"/>
        <w:id w:val="1638221474"/>
        <w:placeholder>
          <w:docPart w:val="GBC22222222222222222222222222222"/>
        </w:placeholder>
      </w:sdtPr>
      <w:sdtEndPr>
        <w:rPr>
          <w:rFonts w:hint="eastAsia" w:cs="Cambria"/>
        </w:rPr>
      </w:sdtEndPr>
      <w:sdtContent>
        <w:p>
          <w:pPr>
            <w:tabs>
              <w:tab w:val="left" w:pos="1134"/>
            </w:tabs>
            <w:rPr>
              <w:rFonts w:cs="Cambria"/>
            </w:rPr>
          </w:pPr>
          <w:r>
            <w:rPr>
              <w:rFonts w:ascii="宋体" w:hAnsi="宋体" w:cs="Cambria"/>
            </w:rPr>
            <w:fldChar w:fldCharType="begin"/>
          </w:r>
          <w:r>
            <w:rPr>
              <w:rFonts w:ascii="宋体" w:hAnsi="宋体" w:cs="Cambria"/>
            </w:rPr>
            <w:instrText xml:space="preserve"> 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pPr>
        <w:pStyle w:val="501"/>
      </w:pPr>
    </w:p>
    <w:p>
      <w:pPr>
        <w:pStyle w:val="504"/>
        <w:numPr>
          <w:ilvl w:val="0"/>
          <w:numId w:val="127"/>
        </w:numPr>
      </w:pPr>
      <w:r>
        <w:rPr>
          <w:rFonts w:hint="eastAsia" w:ascii="宋体" w:hAnsi="宋体" w:cs="Arial"/>
          <w:szCs w:val="21"/>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365487357"/>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tbl>
      <w:tblPr>
        <w:tblStyle w:val="9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8"/>
        <w:gridCol w:w="2669"/>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3" w:type="pct"/>
            <w:shd w:val="clear" w:color="auto" w:fill="auto"/>
            <w:vAlign w:val="center"/>
          </w:tcPr>
          <w:p>
            <w:pPr>
              <w:widowControl/>
              <w:snapToGrid w:val="0"/>
              <w:jc w:val="left"/>
              <w:rPr>
                <w:rFonts w:ascii="宋体" w:hAnsi="宋体" w:cs="宋体"/>
                <w:b/>
                <w:snapToGrid w:val="0"/>
                <w:kern w:val="0"/>
                <w:szCs w:val="20"/>
              </w:rPr>
            </w:pPr>
            <w:r>
              <w:rPr>
                <w:rFonts w:hint="eastAsia" w:ascii="宋体" w:hAnsi="宋体" w:cs="宋体"/>
                <w:b/>
                <w:snapToGrid w:val="0"/>
                <w:color w:val="000000"/>
                <w:kern w:val="0"/>
                <w:szCs w:val="22"/>
                <w:lang w:bidi="ar"/>
              </w:rPr>
              <w:t>项目</w:t>
            </w:r>
          </w:p>
        </w:tc>
        <w:tc>
          <w:tcPr>
            <w:tcW w:w="1475" w:type="pct"/>
            <w:shd w:val="clear" w:color="auto" w:fill="auto"/>
            <w:vAlign w:val="center"/>
          </w:tcPr>
          <w:p>
            <w:pPr>
              <w:widowControl/>
              <w:snapToGrid w:val="0"/>
              <w:jc w:val="center"/>
              <w:rPr>
                <w:rFonts w:ascii="宋体" w:hAnsi="宋体" w:cs="宋体"/>
                <w:b/>
                <w:snapToGrid w:val="0"/>
                <w:kern w:val="0"/>
                <w:szCs w:val="20"/>
              </w:rPr>
            </w:pPr>
            <w:r>
              <w:rPr>
                <w:rFonts w:hint="eastAsia" w:ascii="宋体" w:hAnsi="宋体" w:cs="宋体"/>
                <w:b/>
                <w:snapToGrid w:val="0"/>
                <w:color w:val="000000"/>
                <w:kern w:val="0"/>
                <w:szCs w:val="22"/>
                <w:lang w:bidi="ar"/>
              </w:rPr>
              <w:t>公允价值计量依据</w:t>
            </w:r>
          </w:p>
        </w:tc>
        <w:tc>
          <w:tcPr>
            <w:tcW w:w="1432" w:type="pct"/>
            <w:shd w:val="clear" w:color="auto" w:fill="auto"/>
            <w:vAlign w:val="center"/>
          </w:tcPr>
          <w:p>
            <w:pPr>
              <w:widowControl/>
              <w:snapToGrid w:val="0"/>
              <w:jc w:val="center"/>
              <w:rPr>
                <w:rFonts w:ascii="宋体" w:hAnsi="宋体" w:cs="宋体"/>
                <w:b/>
                <w:snapToGrid w:val="0"/>
                <w:kern w:val="0"/>
                <w:szCs w:val="20"/>
              </w:rPr>
            </w:pPr>
            <w:r>
              <w:rPr>
                <w:rFonts w:hint="eastAsia" w:ascii="宋体" w:hAnsi="宋体" w:cs="宋体"/>
                <w:b/>
                <w:snapToGrid w:val="0"/>
                <w:color w:val="000000"/>
                <w:kern w:val="0"/>
                <w:szCs w:val="22"/>
                <w:lang w:bidi="ar"/>
              </w:rPr>
              <w:t>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b/>
                <w:snapToGrid w:val="0"/>
                <w:kern w:val="0"/>
                <w:szCs w:val="20"/>
              </w:rPr>
            </w:pPr>
            <w:r>
              <w:rPr>
                <w:rFonts w:hint="eastAsia" w:ascii="宋体" w:hAnsi="宋体" w:cs="宋体"/>
                <w:snapToGrid w:val="0"/>
                <w:color w:val="000000"/>
                <w:kern w:val="0"/>
                <w:szCs w:val="22"/>
                <w:lang w:bidi="ar"/>
              </w:rPr>
              <w:t>特别收益权</w:t>
            </w:r>
          </w:p>
        </w:tc>
        <w:tc>
          <w:tcPr>
            <w:tcW w:w="1475"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按照未来现金流量折现后的现值进行估值</w:t>
            </w:r>
          </w:p>
        </w:tc>
        <w:tc>
          <w:tcPr>
            <w:tcW w:w="1432" w:type="pct"/>
            <w:shd w:val="clear" w:color="auto" w:fill="auto"/>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交易性金融资产、其他非流动金融资产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非或然特许权使用费</w:t>
            </w:r>
          </w:p>
        </w:tc>
        <w:tc>
          <w:tcPr>
            <w:tcW w:w="1475"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按照未来现金流量折现后的现值进行估值</w:t>
            </w:r>
          </w:p>
        </w:tc>
        <w:tc>
          <w:tcPr>
            <w:tcW w:w="1432"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交易性金融负债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银行承兑汇票及信用证</w:t>
            </w:r>
          </w:p>
        </w:tc>
        <w:tc>
          <w:tcPr>
            <w:tcW w:w="1475"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相当于整个存续期内预期信用损失的金额</w:t>
            </w:r>
          </w:p>
        </w:tc>
        <w:tc>
          <w:tcPr>
            <w:tcW w:w="1432"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应收款项融资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鄂尔多斯南部铁路有限责任公司</w:t>
            </w:r>
          </w:p>
        </w:tc>
        <w:tc>
          <w:tcPr>
            <w:tcW w:w="1475"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按照市场法进行估值</w:t>
            </w:r>
          </w:p>
        </w:tc>
        <w:tc>
          <w:tcPr>
            <w:tcW w:w="1432"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其他非流动金融资产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杭州时代鼎丰创业投资合伙企业(有限合伙)</w:t>
            </w:r>
          </w:p>
        </w:tc>
        <w:tc>
          <w:tcPr>
            <w:tcW w:w="1475"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按照基金净值进行估值</w:t>
            </w:r>
          </w:p>
        </w:tc>
        <w:tc>
          <w:tcPr>
            <w:tcW w:w="1432"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其他非流动金融资产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上海骥琛企业管理合伙企业（有限合伙）</w:t>
            </w:r>
          </w:p>
        </w:tc>
        <w:tc>
          <w:tcPr>
            <w:tcW w:w="1475"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按照合伙企业净资产进行估值</w:t>
            </w:r>
          </w:p>
        </w:tc>
        <w:tc>
          <w:tcPr>
            <w:tcW w:w="1432"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其他非流动金融资产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陕西靖神铁路有限责任公司</w:t>
            </w:r>
          </w:p>
        </w:tc>
        <w:tc>
          <w:tcPr>
            <w:tcW w:w="1475" w:type="pct"/>
            <w:shd w:val="clear" w:color="auto" w:fill="auto"/>
            <w:vAlign w:val="center"/>
          </w:tcPr>
          <w:p>
            <w:pPr>
              <w:widowControl/>
              <w:snapToGrid w:val="0"/>
              <w:rPr>
                <w:rFonts w:ascii="宋体" w:hAnsi="宋体" w:cs="宋体"/>
                <w:snapToGrid w:val="0"/>
                <w:kern w:val="0"/>
                <w:szCs w:val="20"/>
                <w:lang w:eastAsia="en-US"/>
              </w:rPr>
            </w:pPr>
            <w:r>
              <w:rPr>
                <w:rFonts w:hint="eastAsia" w:ascii="宋体" w:hAnsi="宋体" w:cs="宋体"/>
                <w:snapToGrid w:val="0"/>
                <w:color w:val="000000"/>
                <w:kern w:val="0"/>
                <w:szCs w:val="22"/>
                <w:lang w:bidi="ar"/>
              </w:rPr>
              <w:t>按照市场法进行估值</w:t>
            </w:r>
          </w:p>
        </w:tc>
        <w:tc>
          <w:tcPr>
            <w:tcW w:w="1432" w:type="pct"/>
            <w:shd w:val="clear" w:color="auto" w:fill="auto"/>
            <w:vAlign w:val="center"/>
          </w:tcPr>
          <w:p>
            <w:pPr>
              <w:widowControl/>
              <w:snapToGrid w:val="0"/>
              <w:jc w:val="left"/>
              <w:rPr>
                <w:rFonts w:ascii="宋体" w:hAnsi="宋体" w:cs="宋体"/>
                <w:snapToGrid w:val="0"/>
                <w:kern w:val="0"/>
                <w:szCs w:val="20"/>
                <w:lang w:eastAsia="en-US"/>
              </w:rPr>
            </w:pPr>
            <w:r>
              <w:rPr>
                <w:rFonts w:hint="eastAsia" w:ascii="宋体" w:hAnsi="宋体" w:cs="宋体"/>
                <w:snapToGrid w:val="0"/>
                <w:color w:val="000000"/>
                <w:kern w:val="0"/>
                <w:szCs w:val="22"/>
                <w:lang w:bidi="ar"/>
              </w:rPr>
              <w:t>其他非流动金融资产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榆林市榆阳区煤矿疏干水环境治理有限公司</w:t>
            </w:r>
          </w:p>
        </w:tc>
        <w:tc>
          <w:tcPr>
            <w:tcW w:w="1475" w:type="pct"/>
            <w:shd w:val="clear" w:color="auto" w:fill="auto"/>
            <w:vAlign w:val="center"/>
          </w:tcPr>
          <w:p>
            <w:pPr>
              <w:widowControl/>
              <w:snapToGrid w:val="0"/>
              <w:rPr>
                <w:rFonts w:ascii="宋体" w:hAnsi="宋体" w:cs="宋体"/>
                <w:snapToGrid w:val="0"/>
                <w:kern w:val="0"/>
                <w:szCs w:val="20"/>
                <w:lang w:eastAsia="en-US"/>
              </w:rPr>
            </w:pPr>
            <w:r>
              <w:rPr>
                <w:rFonts w:hint="eastAsia" w:ascii="宋体" w:hAnsi="宋体" w:cs="宋体"/>
                <w:snapToGrid w:val="0"/>
                <w:color w:val="000000"/>
                <w:kern w:val="0"/>
                <w:szCs w:val="22"/>
                <w:lang w:bidi="ar"/>
              </w:rPr>
              <w:t>按照市场法进行估值</w:t>
            </w:r>
          </w:p>
        </w:tc>
        <w:tc>
          <w:tcPr>
            <w:tcW w:w="1432" w:type="pct"/>
            <w:shd w:val="clear" w:color="auto" w:fill="auto"/>
            <w:vAlign w:val="center"/>
          </w:tcPr>
          <w:p>
            <w:pPr>
              <w:widowControl/>
              <w:snapToGrid w:val="0"/>
              <w:jc w:val="left"/>
              <w:rPr>
                <w:rFonts w:ascii="宋体" w:hAnsi="宋体" w:cs="宋体"/>
                <w:snapToGrid w:val="0"/>
                <w:kern w:val="0"/>
                <w:szCs w:val="20"/>
                <w:lang w:eastAsia="en-US"/>
              </w:rPr>
            </w:pPr>
            <w:r>
              <w:rPr>
                <w:rFonts w:hint="eastAsia" w:ascii="宋体" w:hAnsi="宋体" w:cs="宋体"/>
                <w:snapToGrid w:val="0"/>
                <w:color w:val="000000"/>
                <w:kern w:val="0"/>
                <w:szCs w:val="22"/>
                <w:lang w:bidi="ar"/>
              </w:rPr>
              <w:t>其他非流动金融资产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山东邹城建信村镇银行有限公司</w:t>
            </w:r>
          </w:p>
        </w:tc>
        <w:tc>
          <w:tcPr>
            <w:tcW w:w="1475"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按照市场法进行估值</w:t>
            </w:r>
          </w:p>
        </w:tc>
        <w:tc>
          <w:tcPr>
            <w:tcW w:w="1432"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其他权益工具投资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tcPr>
          <w:p>
            <w:pPr>
              <w:widowControl/>
              <w:snapToGrid w:val="0"/>
              <w:jc w:val="left"/>
              <w:rPr>
                <w:rFonts w:ascii="Times New Roman" w:hAnsi="Times New Roman"/>
                <w:snapToGrid w:val="0"/>
                <w:kern w:val="0"/>
                <w:szCs w:val="20"/>
              </w:rPr>
            </w:pPr>
            <w:r>
              <w:rPr>
                <w:rFonts w:hint="eastAsia" w:ascii="Times New Roman" w:hAnsi="Times New Roman" w:cs="宋体"/>
                <w:snapToGrid w:val="0"/>
                <w:color w:val="000000"/>
                <w:spacing w:val="-10"/>
                <w:kern w:val="0"/>
                <w:szCs w:val="22"/>
                <w:lang w:bidi="ar"/>
              </w:rPr>
              <w:t>天津物产二号企业管理合伙企业（有限合伙）</w:t>
            </w:r>
          </w:p>
        </w:tc>
        <w:tc>
          <w:tcPr>
            <w:tcW w:w="1475" w:type="pct"/>
            <w:shd w:val="clear" w:color="auto" w:fill="auto"/>
            <w:vAlign w:val="center"/>
          </w:tcPr>
          <w:p>
            <w:pPr>
              <w:widowControl/>
              <w:snapToGrid w:val="0"/>
              <w:rPr>
                <w:rFonts w:ascii="Times New Roman" w:hAnsi="Times New Roman"/>
                <w:snapToGrid w:val="0"/>
                <w:kern w:val="0"/>
                <w:szCs w:val="20"/>
              </w:rPr>
            </w:pPr>
            <w:r>
              <w:rPr>
                <w:rFonts w:hint="eastAsia" w:ascii="Times New Roman" w:hAnsi="Times New Roman" w:cs="宋体"/>
                <w:snapToGrid w:val="0"/>
                <w:color w:val="000000"/>
                <w:spacing w:val="-10"/>
                <w:kern w:val="0"/>
                <w:szCs w:val="22"/>
                <w:lang w:bidi="ar"/>
              </w:rPr>
              <w:t>按照收益法、市场法和资产基础法进行估值</w:t>
            </w:r>
          </w:p>
        </w:tc>
        <w:tc>
          <w:tcPr>
            <w:tcW w:w="1432" w:type="pct"/>
            <w:shd w:val="clear" w:color="auto" w:fill="auto"/>
            <w:vAlign w:val="center"/>
          </w:tcPr>
          <w:p>
            <w:pPr>
              <w:widowControl/>
              <w:snapToGrid w:val="0"/>
              <w:rPr>
                <w:rFonts w:ascii="Times New Roman" w:hAnsi="Times New Roman"/>
                <w:snapToGrid w:val="0"/>
                <w:kern w:val="0"/>
                <w:szCs w:val="20"/>
                <w:lang w:eastAsia="en-US"/>
              </w:rPr>
            </w:pPr>
            <w:r>
              <w:rPr>
                <w:rFonts w:hint="eastAsia" w:ascii="Times New Roman" w:hAnsi="Times New Roman" w:cs="宋体"/>
                <w:snapToGrid w:val="0"/>
                <w:color w:val="000000"/>
                <w:spacing w:val="-10"/>
                <w:kern w:val="0"/>
                <w:szCs w:val="22"/>
                <w:lang w:bidi="ar"/>
              </w:rPr>
              <w:t>其他权益工具投资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Times New Roman" w:hAnsi="Times New Roman"/>
                <w:snapToGrid w:val="0"/>
                <w:kern w:val="0"/>
                <w:szCs w:val="20"/>
              </w:rPr>
            </w:pPr>
            <w:r>
              <w:rPr>
                <w:rFonts w:hint="eastAsia" w:ascii="Times New Roman" w:hAnsi="Times New Roman" w:cs="宋体"/>
                <w:snapToGrid w:val="0"/>
                <w:color w:val="000000"/>
                <w:spacing w:val="-10"/>
                <w:kern w:val="0"/>
                <w:szCs w:val="22"/>
                <w:lang w:bidi="ar"/>
              </w:rPr>
              <w:t>建信</w:t>
            </w:r>
            <w:r>
              <w:rPr>
                <w:rFonts w:hint="eastAsia" w:ascii="宋体" w:hAnsi="宋体" w:cs="宋体"/>
                <w:snapToGrid w:val="0"/>
                <w:color w:val="000000"/>
                <w:spacing w:val="-10"/>
                <w:kern w:val="0"/>
                <w:szCs w:val="22"/>
                <w:lang w:bidi="ar"/>
              </w:rPr>
              <w:t>信托</w:t>
            </w:r>
            <w:r>
              <w:rPr>
                <w:rFonts w:ascii="宋体" w:hAnsi="宋体"/>
                <w:snapToGrid w:val="0"/>
                <w:color w:val="000000"/>
                <w:spacing w:val="-10"/>
                <w:kern w:val="0"/>
                <w:szCs w:val="22"/>
                <w:lang w:bidi="ar"/>
              </w:rPr>
              <w:t>-</w:t>
            </w:r>
            <w:r>
              <w:rPr>
                <w:rFonts w:hint="eastAsia" w:ascii="宋体" w:hAnsi="宋体" w:cs="宋体"/>
                <w:snapToGrid w:val="0"/>
                <w:color w:val="000000"/>
                <w:spacing w:val="-10"/>
                <w:kern w:val="0"/>
                <w:szCs w:val="22"/>
                <w:lang w:bidi="ar"/>
              </w:rPr>
              <w:t>彩蝶</w:t>
            </w:r>
            <w:r>
              <w:rPr>
                <w:rFonts w:ascii="宋体" w:hAnsi="宋体"/>
                <w:snapToGrid w:val="0"/>
                <w:color w:val="000000"/>
                <w:spacing w:val="-10"/>
                <w:kern w:val="0"/>
                <w:szCs w:val="22"/>
                <w:lang w:bidi="ar"/>
              </w:rPr>
              <w:t>6</w:t>
            </w:r>
            <w:r>
              <w:rPr>
                <w:rFonts w:hint="eastAsia" w:ascii="宋体" w:hAnsi="宋体" w:cs="宋体"/>
                <w:snapToGrid w:val="0"/>
                <w:color w:val="000000"/>
                <w:spacing w:val="-10"/>
                <w:kern w:val="0"/>
                <w:szCs w:val="22"/>
                <w:lang w:bidi="ar"/>
              </w:rPr>
              <w:t>号财</w:t>
            </w:r>
            <w:r>
              <w:rPr>
                <w:rFonts w:hint="eastAsia" w:ascii="Times New Roman" w:hAnsi="Times New Roman" w:cs="宋体"/>
                <w:snapToGrid w:val="0"/>
                <w:color w:val="000000"/>
                <w:spacing w:val="-10"/>
                <w:kern w:val="0"/>
                <w:szCs w:val="22"/>
                <w:lang w:bidi="ar"/>
              </w:rPr>
              <w:t>产权信托计划</w:t>
            </w:r>
          </w:p>
        </w:tc>
        <w:tc>
          <w:tcPr>
            <w:tcW w:w="1475" w:type="pct"/>
            <w:shd w:val="clear" w:color="auto" w:fill="auto"/>
            <w:vAlign w:val="center"/>
          </w:tcPr>
          <w:p>
            <w:pPr>
              <w:widowControl/>
              <w:snapToGrid w:val="0"/>
              <w:rPr>
                <w:rFonts w:ascii="Times New Roman" w:hAnsi="Times New Roman"/>
                <w:snapToGrid w:val="0"/>
                <w:kern w:val="0"/>
                <w:szCs w:val="20"/>
                <w:lang w:eastAsia="en-US"/>
              </w:rPr>
            </w:pPr>
            <w:r>
              <w:rPr>
                <w:rFonts w:hint="eastAsia" w:ascii="Times New Roman" w:hAnsi="Times New Roman" w:cs="宋体"/>
                <w:snapToGrid w:val="0"/>
                <w:color w:val="000000"/>
                <w:spacing w:val="-10"/>
                <w:kern w:val="0"/>
                <w:szCs w:val="22"/>
                <w:lang w:bidi="ar"/>
              </w:rPr>
              <w:t>按照市场法进行估值</w:t>
            </w:r>
          </w:p>
        </w:tc>
        <w:tc>
          <w:tcPr>
            <w:tcW w:w="1432" w:type="pct"/>
            <w:shd w:val="clear" w:color="auto" w:fill="auto"/>
            <w:vAlign w:val="center"/>
          </w:tcPr>
          <w:p>
            <w:pPr>
              <w:widowControl/>
              <w:snapToGrid w:val="0"/>
              <w:rPr>
                <w:rFonts w:ascii="Times New Roman" w:hAnsi="Times New Roman"/>
                <w:snapToGrid w:val="0"/>
                <w:kern w:val="0"/>
                <w:szCs w:val="20"/>
                <w:lang w:eastAsia="en-US"/>
              </w:rPr>
            </w:pPr>
            <w:r>
              <w:rPr>
                <w:rFonts w:hint="eastAsia" w:ascii="Times New Roman" w:hAnsi="Times New Roman" w:cs="宋体"/>
                <w:snapToGrid w:val="0"/>
                <w:color w:val="000000"/>
                <w:spacing w:val="-10"/>
                <w:kern w:val="0"/>
                <w:szCs w:val="22"/>
                <w:lang w:bidi="ar"/>
              </w:rPr>
              <w:t>其他权益工具投资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tcPr>
          <w:p>
            <w:pPr>
              <w:widowControl/>
              <w:snapToGrid w:val="0"/>
              <w:jc w:val="left"/>
              <w:rPr>
                <w:rFonts w:ascii="Times New Roman" w:hAnsi="Times New Roman"/>
                <w:snapToGrid w:val="0"/>
                <w:kern w:val="0"/>
                <w:szCs w:val="20"/>
              </w:rPr>
            </w:pPr>
            <w:r>
              <w:rPr>
                <w:rFonts w:hint="eastAsia" w:ascii="Times New Roman" w:hAnsi="Times New Roman" w:cs="宋体"/>
                <w:snapToGrid w:val="0"/>
                <w:color w:val="000000"/>
                <w:spacing w:val="-10"/>
                <w:kern w:val="0"/>
                <w:szCs w:val="22"/>
                <w:lang w:bidi="ar"/>
              </w:rPr>
              <w:t>天津物产三号企业管理合伙企业（有限合伙）</w:t>
            </w:r>
          </w:p>
        </w:tc>
        <w:tc>
          <w:tcPr>
            <w:tcW w:w="1475" w:type="pct"/>
            <w:shd w:val="clear" w:color="auto" w:fill="auto"/>
            <w:vAlign w:val="center"/>
          </w:tcPr>
          <w:p>
            <w:pPr>
              <w:widowControl/>
              <w:snapToGrid w:val="0"/>
              <w:rPr>
                <w:rFonts w:ascii="Times New Roman" w:hAnsi="Times New Roman"/>
                <w:snapToGrid w:val="0"/>
                <w:kern w:val="0"/>
                <w:szCs w:val="20"/>
              </w:rPr>
            </w:pPr>
            <w:r>
              <w:rPr>
                <w:rFonts w:hint="eastAsia" w:ascii="Times New Roman" w:hAnsi="Times New Roman" w:cs="宋体"/>
                <w:snapToGrid w:val="0"/>
                <w:color w:val="000000"/>
                <w:spacing w:val="-10"/>
                <w:kern w:val="0"/>
                <w:szCs w:val="22"/>
                <w:lang w:bidi="ar"/>
              </w:rPr>
              <w:t>按照收益法、市场法和资产基础法进行估值</w:t>
            </w:r>
          </w:p>
        </w:tc>
        <w:tc>
          <w:tcPr>
            <w:tcW w:w="1432" w:type="pct"/>
            <w:shd w:val="clear" w:color="auto" w:fill="auto"/>
            <w:vAlign w:val="center"/>
          </w:tcPr>
          <w:p>
            <w:pPr>
              <w:widowControl/>
              <w:snapToGrid w:val="0"/>
              <w:rPr>
                <w:rFonts w:ascii="Times New Roman" w:hAnsi="Times New Roman"/>
                <w:snapToGrid w:val="0"/>
                <w:kern w:val="0"/>
                <w:szCs w:val="20"/>
                <w:lang w:eastAsia="en-US"/>
              </w:rPr>
            </w:pPr>
            <w:r>
              <w:rPr>
                <w:rFonts w:hint="eastAsia" w:ascii="Times New Roman" w:hAnsi="Times New Roman" w:cs="宋体"/>
                <w:snapToGrid w:val="0"/>
                <w:color w:val="000000"/>
                <w:spacing w:val="-10"/>
                <w:kern w:val="0"/>
                <w:szCs w:val="22"/>
                <w:lang w:bidi="ar"/>
              </w:rPr>
              <w:t>其他权益工具投资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3"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对外出租房屋</w:t>
            </w:r>
          </w:p>
        </w:tc>
        <w:tc>
          <w:tcPr>
            <w:tcW w:w="1475"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参照活跃市场上同类或类似房地产的现行市场价格</w:t>
            </w:r>
          </w:p>
        </w:tc>
        <w:tc>
          <w:tcPr>
            <w:tcW w:w="1432" w:type="pct"/>
            <w:shd w:val="clear" w:color="auto" w:fill="auto"/>
            <w:vAlign w:val="center"/>
          </w:tcPr>
          <w:p>
            <w:pPr>
              <w:widowControl/>
              <w:snapToGrid w:val="0"/>
              <w:rPr>
                <w:rFonts w:ascii="宋体" w:hAnsi="宋体" w:cs="宋体"/>
                <w:snapToGrid w:val="0"/>
                <w:kern w:val="0"/>
                <w:szCs w:val="20"/>
              </w:rPr>
            </w:pPr>
            <w:r>
              <w:rPr>
                <w:rFonts w:hint="eastAsia" w:ascii="宋体" w:hAnsi="宋体" w:cs="宋体"/>
                <w:snapToGrid w:val="0"/>
                <w:color w:val="000000"/>
                <w:kern w:val="0"/>
                <w:szCs w:val="22"/>
                <w:lang w:bidi="ar"/>
              </w:rPr>
              <w:t>投资性房地产</w:t>
            </w:r>
          </w:p>
        </w:tc>
      </w:tr>
    </w:tbl>
    <w:p>
      <w:pPr>
        <w:tabs>
          <w:tab w:val="left" w:pos="1134"/>
        </w:tabs>
        <w:rPr>
          <w:rFonts w:cs="Cambria"/>
          <w:b/>
        </w:rPr>
      </w:pPr>
    </w:p>
    <w:p>
      <w:pPr>
        <w:pStyle w:val="504"/>
        <w:numPr>
          <w:ilvl w:val="0"/>
          <w:numId w:val="127"/>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415362778"/>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tabs>
          <w:tab w:val="left" w:pos="1134"/>
        </w:tabs>
        <w:rPr>
          <w:rFonts w:cs="Cambria"/>
          <w:b/>
        </w:rPr>
      </w:pPr>
    </w:p>
    <w:p>
      <w:pPr>
        <w:pStyle w:val="504"/>
        <w:numPr>
          <w:ilvl w:val="0"/>
          <w:numId w:val="127"/>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1809781192"/>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tabs>
          <w:tab w:val="left" w:pos="1134"/>
        </w:tabs>
        <w:rPr>
          <w:rFonts w:cs="Cambria"/>
          <w:b/>
        </w:rPr>
      </w:pPr>
    </w:p>
    <w:p>
      <w:pPr>
        <w:pStyle w:val="504"/>
        <w:numPr>
          <w:ilvl w:val="0"/>
          <w:numId w:val="127"/>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1212924788"/>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cstheme="minorBidi"/>
        </w:rPr>
      </w:pPr>
    </w:p>
    <w:p>
      <w:pPr>
        <w:pStyle w:val="504"/>
        <w:numPr>
          <w:ilvl w:val="0"/>
          <w:numId w:val="127"/>
        </w:numPr>
        <w:rPr>
          <w:rFonts w:cstheme="minorBidi"/>
          <w:szCs w:val="21"/>
        </w:rPr>
      </w:pPr>
      <w:r>
        <w:rPr>
          <w:rFonts w:hint="eastAsia" w:cstheme="minorBidi"/>
          <w:szCs w:val="21"/>
        </w:rPr>
        <w:t>不以公允价值计量的</w:t>
      </w:r>
      <w:r>
        <w:rPr>
          <w:rFonts w:hint="eastAsia"/>
        </w:rPr>
        <w:t>金融资产</w:t>
      </w:r>
      <w:r>
        <w:rPr>
          <w:rFonts w:hint="eastAsia" w:cstheme="minorBidi"/>
          <w:szCs w:val="21"/>
        </w:rPr>
        <w:t>和金融负债的公允价值情况</w:t>
      </w:r>
    </w:p>
    <w:sdt>
      <w:sdtPr>
        <w:rPr>
          <w:rFonts w:hint="eastAsia" w:cstheme="minorBidi"/>
        </w:rPr>
        <w:alias w:val="是否适用：不以公允价值计量的金融资产和金融负债的公允价值情况[双击切换]"/>
        <w:tag w:val="_GBC_734377ec924449c3ae79732fec24b52d"/>
        <w:id w:val="-1709553865"/>
        <w:placeholder>
          <w:docPart w:val="GBC22222222222222222222222222222"/>
        </w:placeholder>
      </w:sdtPr>
      <w:sdtEndPr>
        <w:rPr>
          <w:rFonts w:hint="eastAsia" w:cstheme="minorBidi"/>
        </w:rPr>
      </w:sdtEndPr>
      <w:sdtContent>
        <w:p>
          <w:pPr>
            <w:rPr>
              <w:rFonts w:cstheme="minorBidi"/>
            </w:rPr>
          </w:pPr>
          <w:r>
            <w:rPr>
              <w:rFonts w:ascii="宋体" w:hAnsi="宋体" w:cstheme="minorBidi"/>
            </w:rPr>
            <w:fldChar w:fldCharType="begin"/>
          </w:r>
          <w:r>
            <w:rPr>
              <w:rFonts w:ascii="宋体" w:hAnsi="宋体" w:cstheme="minorBidi"/>
            </w:rPr>
            <w:instrText xml:space="preserve"> MACROBUTTON  SnrToggleCheckbox □适用  </w:instrText>
          </w:r>
          <w:r>
            <w:rPr>
              <w:rFonts w:ascii="宋体" w:hAnsi="宋体" w:cstheme="minorBidi"/>
            </w:rPr>
            <w:fldChar w:fldCharType="end"/>
          </w:r>
          <w:r>
            <w:rPr>
              <w:rFonts w:ascii="宋体" w:hAnsi="宋体" w:cstheme="minorBidi"/>
            </w:rPr>
            <w:fldChar w:fldCharType="begin"/>
          </w:r>
          <w:r>
            <w:rPr>
              <w:rFonts w:ascii="宋体" w:hAnsi="宋体" w:cstheme="minorBidi"/>
            </w:rPr>
            <w:instrText xml:space="preserve"> MACROBUTTON  SnrToggleCheckbox √不适用 </w:instrText>
          </w:r>
          <w:r>
            <w:rPr>
              <w:rFonts w:ascii="宋体" w:hAnsi="宋体" w:cstheme="minorBidi"/>
            </w:rPr>
            <w:fldChar w:fldCharType="end"/>
          </w:r>
        </w:p>
      </w:sdtContent>
    </w:sdt>
    <w:p>
      <w:pPr>
        <w:rPr>
          <w:rFonts w:cstheme="minorBidi"/>
        </w:rPr>
      </w:pPr>
    </w:p>
    <w:p>
      <w:pPr>
        <w:pStyle w:val="504"/>
        <w:numPr>
          <w:ilvl w:val="0"/>
          <w:numId w:val="127"/>
        </w:numPr>
        <w:rPr>
          <w:szCs w:val="21"/>
        </w:rPr>
      </w:pPr>
      <w:r>
        <w:rPr>
          <w:rFonts w:hint="eastAsia"/>
          <w:szCs w:val="21"/>
        </w:rPr>
        <w:t>其他</w:t>
      </w:r>
    </w:p>
    <w:sdt>
      <w:sdtPr>
        <w:rPr>
          <w:rFonts w:hint="eastAsia"/>
        </w:rPr>
        <w:alias w:val="是否适用：公允价值其他需要披露的事项[双击切换]"/>
        <w:tag w:val="_GBC_face0919374341aba02b14f2247ac908"/>
        <w:id w:val="1869563281"/>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3"/>
        <w:numPr>
          <w:ilvl w:val="0"/>
          <w:numId w:val="57"/>
        </w:numPr>
        <w:tabs>
          <w:tab w:val="left" w:pos="851"/>
        </w:tabs>
        <w:ind w:firstLine="42"/>
        <w:rPr>
          <w:rFonts w:ascii="宋体" w:hAnsi="宋体"/>
        </w:rPr>
      </w:pPr>
      <w:r>
        <w:rPr>
          <w:rFonts w:hint="eastAsia" w:ascii="宋体" w:hAnsi="宋体"/>
        </w:rPr>
        <w:t>关联方及关联交易</w:t>
      </w:r>
    </w:p>
    <w:p>
      <w:pPr>
        <w:pStyle w:val="504"/>
        <w:numPr>
          <w:ilvl w:val="0"/>
          <w:numId w:val="128"/>
        </w:numPr>
      </w:pPr>
      <w:r>
        <w:rPr>
          <w:rFonts w:hint="eastAsia"/>
        </w:rPr>
        <w:t>本企业的母公司情况</w:t>
      </w:r>
    </w:p>
    <w:sdt>
      <w:sdtPr>
        <w:rPr>
          <w:rFonts w:hint="eastAsia"/>
        </w:rPr>
        <w:alias w:val="是否适用：本企业的母公司情况[双击切换]"/>
        <w:tag w:val="_GBC_fe5dd4a2c9ad405db72189e05b735e0c"/>
        <w:id w:val="306358481"/>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本企业的母公司情况"/>
          <w:tag w:val="_GBC_4bdd8b08e4ce41af93512866e6012a92"/>
          <w:id w:val="-10495335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本企业的母公司情况"/>
          <w:tag w:val="_GBC_8b4816800b024cd884a92208e149b0bf"/>
          <w:id w:val="-14966350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234"/>
        <w:gridCol w:w="1464"/>
        <w:gridCol w:w="1464"/>
        <w:gridCol w:w="1683"/>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blHeader/>
        </w:trPr>
        <w:sdt>
          <w:sdtPr>
            <w:tag w:val="_PLD_78501cc34b694302b18c1ea75399510e"/>
            <w:id w:val="2115789802"/>
          </w:sdtPr>
          <w:sdtContent>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母公司名称</w:t>
                </w:r>
              </w:p>
            </w:tc>
          </w:sdtContent>
        </w:sdt>
        <w:sdt>
          <w:sdtPr>
            <w:tag w:val="_PLD_9cf29fdb6dc54a2ca1191c007bb19ceb"/>
            <w:id w:val="1513956093"/>
          </w:sdtPr>
          <w:sdtContent>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注册地</w:t>
                </w:r>
              </w:p>
            </w:tc>
          </w:sdtContent>
        </w:sdt>
        <w:sdt>
          <w:sdtPr>
            <w:tag w:val="_PLD_738e924675434f8ea1a19e9f01f12c6a"/>
            <w:id w:val="-1886943407"/>
          </w:sdtPr>
          <w:sdtContent>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业务性质</w:t>
                </w:r>
              </w:p>
            </w:tc>
          </w:sdtContent>
        </w:sdt>
        <w:sdt>
          <w:sdtPr>
            <w:tag w:val="_PLD_8f8ae05947724183906b020ada85e914"/>
            <w:id w:val="2079791887"/>
          </w:sdtPr>
          <w:sdtContent>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注册资本</w:t>
                </w:r>
              </w:p>
            </w:tc>
          </w:sdtContent>
        </w:sdt>
        <w:sdt>
          <w:sdtPr>
            <w:tag w:val="_PLD_41f7f469dbcc4ee39514954cb008b0a4"/>
            <w:id w:val="1307201952"/>
          </w:sdtPr>
          <w:sdtContent>
            <w:tc>
              <w:tcPr>
                <w:tcW w:w="9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母公司对本企业的持股比例</w:t>
                </w:r>
                <w:r>
                  <w:rPr>
                    <w:rFonts w:cs="Cambria"/>
                  </w:rPr>
                  <w:t>(%)</w:t>
                </w:r>
              </w:p>
            </w:tc>
          </w:sdtContent>
        </w:sdt>
        <w:sdt>
          <w:sdtPr>
            <w:tag w:val="_PLD_dab7bc4321ca44eb9d8565239cbf42f7"/>
            <w:id w:val="-1028486679"/>
          </w:sdtPr>
          <w:sdtContent>
            <w:tc>
              <w:tcPr>
                <w:tcW w:w="10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母公司对本企业的表决权比例</w:t>
                </w:r>
                <w:r>
                  <w:rPr>
                    <w:rFonts w:cs="Cambria"/>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Cambria"/>
              </w:rPr>
            </w:pPr>
            <w:r>
              <w:rPr>
                <w:rFonts w:hint="eastAsia" w:ascii="宋体" w:hAnsi="宋体" w:cs="Cambria"/>
              </w:rPr>
              <w:t>山东能源集团有限公司</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Cambria"/>
              </w:rPr>
            </w:pPr>
            <w:r>
              <w:rPr>
                <w:rFonts w:hint="eastAsia" w:ascii="宋体" w:hAnsi="宋体" w:cs="Cambria"/>
              </w:rPr>
              <w:t>山东</w:t>
            </w:r>
          </w:p>
          <w:p>
            <w:pPr>
              <w:jc w:val="center"/>
              <w:rPr>
                <w:rFonts w:ascii="宋体" w:hAnsi="宋体" w:cs="Cambria"/>
              </w:rPr>
            </w:pPr>
            <w:r>
              <w:rPr>
                <w:rFonts w:hint="eastAsia" w:ascii="宋体" w:hAnsi="宋体" w:cs="Cambria"/>
              </w:rPr>
              <w:t>济南</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Cambria"/>
              </w:rPr>
            </w:pPr>
            <w:r>
              <w:rPr>
                <w:rFonts w:hint="eastAsia" w:ascii="宋体" w:hAnsi="宋体" w:cs="Cambria"/>
              </w:rPr>
              <w:t>煤炭等资源性产品、煤电、煤化工、高端装备制造等</w:t>
            </w:r>
          </w:p>
        </w:tc>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Cambria"/>
              </w:rPr>
            </w:pPr>
            <w:r>
              <w:rPr>
                <w:rFonts w:ascii="宋体" w:hAnsi="宋体" w:cs="Cambria"/>
              </w:rPr>
              <w:t>30,200,000</w:t>
            </w:r>
          </w:p>
        </w:tc>
        <w:tc>
          <w:tcPr>
            <w:tcW w:w="9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Cambria"/>
              </w:rPr>
            </w:pPr>
            <w:r>
              <w:rPr>
                <w:rFonts w:ascii="宋体" w:hAnsi="宋体"/>
              </w:rPr>
              <w:t>54.69</w:t>
            </w:r>
          </w:p>
        </w:tc>
        <w:tc>
          <w:tcPr>
            <w:tcW w:w="10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Cambria"/>
              </w:rPr>
            </w:pPr>
            <w:r>
              <w:rPr>
                <w:rFonts w:ascii="宋体" w:hAnsi="宋体"/>
              </w:rPr>
              <w:t>54.69</w:t>
            </w:r>
          </w:p>
        </w:tc>
      </w:tr>
    </w:tbl>
    <w:p>
      <w:pPr>
        <w:pStyle w:val="501"/>
      </w:pPr>
    </w:p>
    <w:p>
      <w:pPr>
        <w:pStyle w:val="504"/>
        <w:numPr>
          <w:ilvl w:val="0"/>
          <w:numId w:val="128"/>
        </w:numPr>
        <w:rPr>
          <w:rFonts w:ascii="宋体" w:hAnsi="宋体" w:cs="Arial"/>
          <w:szCs w:val="21"/>
        </w:rPr>
      </w:pPr>
      <w:r>
        <w:rPr>
          <w:rFonts w:hint="eastAsia" w:ascii="宋体" w:hAnsi="宋体" w:cs="Arial"/>
          <w:szCs w:val="21"/>
        </w:rPr>
        <w:t>本企业的子公司情况</w:t>
      </w:r>
    </w:p>
    <w:p>
      <w:pPr>
        <w:pStyle w:val="501"/>
      </w:pPr>
      <w:r>
        <w:rPr>
          <w:rFonts w:hint="eastAsia"/>
        </w:rPr>
        <w:t>本企业子公司的情况详见附注</w:t>
      </w:r>
    </w:p>
    <w:sdt>
      <w:sdtPr>
        <w:rPr>
          <w:rFonts w:hint="eastAsia"/>
        </w:rPr>
        <w:alias w:val="是否适用：本公司的子公司情况详见附注[双击切换]"/>
        <w:tag w:val="_GBC_b3fd954877e04ee589f6c4ce95e1384a"/>
        <w:id w:val="8491624"/>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本公司的子公司情况详见附注"/>
        <w:tag w:val="_GBC_bb3e2669c3cc45d0a6637b1809087708"/>
        <w:id w:val="-337855575"/>
        <w:placeholder>
          <w:docPart w:val="GBC22222222222222222222222222222"/>
        </w:placeholder>
      </w:sdtPr>
      <w:sdtEndPr>
        <w:rPr>
          <w:rFonts w:hint="eastAsia" w:ascii="宋体" w:hAnsi="宋体"/>
          <w:sz w:val="22"/>
          <w:szCs w:val="22"/>
        </w:rPr>
      </w:sdtEndPr>
      <w:sdtContent>
        <w:p>
          <w:pPr>
            <w:spacing w:before="156" w:beforeLines="50" w:after="156" w:afterLines="50" w:line="360" w:lineRule="exact"/>
            <w:ind w:firstLine="420" w:firstLineChars="200"/>
            <w:rPr>
              <w:rFonts w:ascii="宋体" w:hAnsi="宋体"/>
              <w:sz w:val="22"/>
              <w:szCs w:val="22"/>
            </w:rPr>
          </w:pPr>
          <w:r>
            <w:rPr>
              <w:rFonts w:hint="eastAsia" w:ascii="宋体" w:hAnsi="宋体"/>
              <w:sz w:val="22"/>
              <w:szCs w:val="22"/>
            </w:rPr>
            <w:t>子公司情况详见本附注“十、1.（1）企业集团的构成”相关内容。</w:t>
          </w:r>
        </w:p>
      </w:sdtContent>
    </w:sdt>
    <w:p>
      <w:pPr>
        <w:pStyle w:val="504"/>
        <w:numPr>
          <w:ilvl w:val="0"/>
          <w:numId w:val="128"/>
        </w:numPr>
      </w:pPr>
      <w:r>
        <w:rPr>
          <w:rFonts w:hint="eastAsia"/>
        </w:rPr>
        <w:t>本企业合营和联营企业情况</w:t>
      </w:r>
    </w:p>
    <w:p>
      <w:pPr>
        <w:pStyle w:val="531"/>
      </w:pPr>
      <w:r>
        <w:rPr>
          <w:rFonts w:hint="eastAsia"/>
        </w:rPr>
        <w:t>本企业重要的合营或联营企业详见附注</w:t>
      </w:r>
    </w:p>
    <w:sdt>
      <w:sdtPr>
        <w:alias w:val="是否适用：本企业重要的合营或联营企业详见附注[双击切换]"/>
        <w:tag w:val="_GBC_a44d5ddc347344bcaadf8652bc7a927c"/>
        <w:id w:val="-160395017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spacing w:before="156" w:beforeLines="50" w:after="156" w:afterLines="50" w:line="240" w:lineRule="exact"/>
        <w:ind w:firstLine="420" w:firstLineChars="200"/>
        <w:rPr>
          <w:szCs w:val="21"/>
        </w:rPr>
      </w:pPr>
      <w:sdt>
        <w:sdtPr>
          <w:rPr>
            <w:rFonts w:hint="eastAsia"/>
          </w:rPr>
          <w:alias w:val="本企业重要的合营或联营企业详见附注"/>
          <w:tag w:val="_GBC_3c58c586b3d3412d9989e9dff0b9f4cf"/>
          <w:id w:val="-1087221198"/>
          <w:placeholder>
            <w:docPart w:val="GBC22222222222222222222222222222"/>
          </w:placeholder>
        </w:sdtPr>
        <w:sdtEndPr>
          <w:rPr>
            <w:rFonts w:hint="eastAsia"/>
            <w:szCs w:val="21"/>
          </w:rPr>
        </w:sdtEndPr>
        <w:sdtContent>
          <w:r>
            <w:rPr>
              <w:rFonts w:hint="eastAsia" w:asciiTheme="majorEastAsia" w:hAnsiTheme="majorEastAsia" w:eastAsiaTheme="majorEastAsia"/>
              <w:szCs w:val="21"/>
            </w:rPr>
            <w:t>本公司重要的合营或联营企业详见本附注“十、</w:t>
          </w:r>
          <w:r>
            <w:rPr>
              <w:rFonts w:asciiTheme="majorEastAsia" w:hAnsiTheme="majorEastAsia" w:eastAsiaTheme="majorEastAsia"/>
              <w:szCs w:val="21"/>
            </w:rPr>
            <w:t>3</w:t>
          </w:r>
          <w:r>
            <w:rPr>
              <w:rFonts w:hint="eastAsia" w:asciiTheme="majorEastAsia" w:hAnsiTheme="majorEastAsia" w:eastAsiaTheme="majorEastAsia"/>
              <w:szCs w:val="21"/>
            </w:rPr>
            <w:t>.（1）重要的合营企业或联营企业”相关内容。</w:t>
          </w:r>
        </w:sdtContent>
      </w:sdt>
    </w:p>
    <w:p>
      <w:pPr>
        <w:pStyle w:val="531"/>
        <w:ind w:firstLine="420" w:firstLineChars="200"/>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693844053"/>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95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5"/>
        <w:gridCol w:w="5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e6d2a60380d424fbe39edbe16e876ad"/>
            <w:id w:val="-210264792"/>
          </w:sdtPr>
          <w:sdtContent>
            <w:tc>
              <w:tcPr>
                <w:tcW w:w="2202"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hint="eastAsia" w:cs="Cambria"/>
                  </w:rPr>
                  <w:t>合营或联营企业名称</w:t>
                </w:r>
              </w:p>
            </w:tc>
          </w:sdtContent>
        </w:sdt>
        <w:sdt>
          <w:sdtPr>
            <w:tag w:val="_PLD_7a4c0374bc514021b6a270655cb81e9e"/>
            <w:id w:val="1934012206"/>
          </w:sdtPr>
          <w:sdtContent>
            <w:tc>
              <w:tcPr>
                <w:tcW w:w="279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hint="eastAsia" w:cs="Cambria"/>
                  </w:rPr>
                  <w:t>与本企业关系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pStyle w:val="501"/>
            </w:pPr>
            <w:r>
              <w:rPr>
                <w:rFonts w:hint="eastAsia"/>
              </w:rPr>
              <w:t>中山矿合营企业</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本公司之合营企业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纽卡斯尔煤炭基础建设集团</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本公司之合营企业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WICET Holdings Pty Ltd</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本公司之联营企业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pStyle w:val="501"/>
            </w:pPr>
            <w:r>
              <w:rPr>
                <w:rFonts w:hint="eastAsia"/>
              </w:rPr>
              <w:t>沃拉塔港煤炭服务公司</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本公司之联营企业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pStyle w:val="501"/>
            </w:pPr>
            <w:r>
              <w:rPr>
                <w:rFonts w:hint="eastAsia"/>
              </w:rPr>
              <w:t>内蒙古东能能源有限责任公司</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本公司之联营企业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pStyle w:val="501"/>
            </w:pPr>
            <w:r>
              <w:rPr>
                <w:rFonts w:hint="eastAsia"/>
              </w:rPr>
              <w:t>内蒙古锦联铝材有限公司</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本公司之联营企业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pStyle w:val="501"/>
            </w:pPr>
            <w:r>
              <w:rPr>
                <w:rFonts w:hint="eastAsia"/>
              </w:rPr>
              <w:t>内蒙古霍煤锦联矿业有限责任公司</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本公司之联营企业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pStyle w:val="501"/>
            </w:pPr>
            <w:r>
              <w:rPr>
                <w:rFonts w:hint="eastAsia"/>
              </w:rPr>
              <w:t>山东新宝龙工业科技有限公司</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本公司之联营企业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pStyle w:val="501"/>
            </w:pPr>
            <w:r>
              <w:rPr>
                <w:rFonts w:hint="eastAsia"/>
              </w:rPr>
              <w:t>德伯特机械（山东）有限公司</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本公司之联营企业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pStyle w:val="501"/>
            </w:pPr>
            <w:r>
              <w:rPr>
                <w:rFonts w:hint="eastAsia"/>
              </w:rPr>
              <w:t>伊犁新天煤化工有限责任公司</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本公司之联营企业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pStyle w:val="501"/>
            </w:pPr>
            <w:r>
              <w:rPr>
                <w:rFonts w:hint="eastAsia"/>
              </w:rPr>
              <w:t>兖矿清湖生态科技（山东）有限责任公司</w:t>
            </w:r>
          </w:p>
        </w:tc>
        <w:tc>
          <w:tcPr>
            <w:tcW w:w="279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本公司之联营企业</w:t>
            </w:r>
          </w:p>
        </w:tc>
      </w:tr>
    </w:tbl>
    <w:p>
      <w:pPr>
        <w:tabs>
          <w:tab w:val="left" w:pos="1134"/>
        </w:tabs>
        <w:rPr>
          <w:rFonts w:cs="Cambria"/>
        </w:rPr>
      </w:pPr>
    </w:p>
    <w:p>
      <w:pPr>
        <w:tabs>
          <w:tab w:val="left" w:pos="1134"/>
        </w:tabs>
        <w:rPr>
          <w:rFonts w:cs="Cambria"/>
        </w:rPr>
      </w:pPr>
      <w:r>
        <w:rPr>
          <w:rFonts w:hint="eastAsia" w:cs="Cambria"/>
        </w:rPr>
        <w:t>其他说明</w:t>
      </w:r>
    </w:p>
    <w:sdt>
      <w:sdtPr>
        <w:rPr>
          <w:rFonts w:cs="Cambria"/>
        </w:rPr>
        <w:alias w:val="是否适用：存在关联方交易或余额的合营和联营企业情况说明[双击切换]"/>
        <w:tag w:val="_GBC_491f62bb76ba49c482a64272865cc4a1"/>
        <w:id w:val="-420421793"/>
        <w:placeholder>
          <w:docPart w:val="GBC22222222222222222222222222222"/>
        </w:placeholder>
      </w:sdtPr>
      <w:sdtEndPr>
        <w:rPr>
          <w:rFonts w:cs="Cambria"/>
        </w:rPr>
      </w:sdtEndPr>
      <w:sdtContent>
        <w:p>
          <w:pPr>
            <w:tabs>
              <w:tab w:val="left" w:pos="1134"/>
            </w:tabs>
            <w:rPr>
              <w:rFonts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pPr>
        <w:tabs>
          <w:tab w:val="left" w:pos="1134"/>
        </w:tabs>
        <w:rPr>
          <w:rFonts w:cs="Cambria"/>
        </w:rPr>
      </w:pPr>
    </w:p>
    <w:p>
      <w:pPr>
        <w:pStyle w:val="504"/>
        <w:numPr>
          <w:ilvl w:val="0"/>
          <w:numId w:val="128"/>
        </w:numPr>
      </w:pPr>
      <w:r>
        <w:rPr>
          <w:rFonts w:hint="eastAsia"/>
        </w:rPr>
        <w:t>其他关联方情况</w:t>
      </w:r>
    </w:p>
    <w:sdt>
      <w:sdtPr>
        <w:alias w:val="是否适用：其他关联方情况[双击切换]"/>
        <w:tag w:val="_GBC_42246b4c04fc4462b5fb05a5db67f4d0"/>
        <w:id w:val="-1583682418"/>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95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8"/>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trPr>
        <w:sdt>
          <w:sdtPr>
            <w:tag w:val="_PLD_36db3e8c12e04d279b0c2956ad69d8a6"/>
            <w:id w:val="1679240894"/>
          </w:sdtPr>
          <w:sdtContent>
            <w:tc>
              <w:tcPr>
                <w:tcW w:w="219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hint="eastAsia" w:cs="Cambria"/>
                  </w:rPr>
                  <w:t>其他关联方名称</w:t>
                </w:r>
              </w:p>
            </w:tc>
          </w:sdtContent>
        </w:sdt>
        <w:sdt>
          <w:sdtPr>
            <w:tag w:val="_PLD_b851a2cc9280416290b9ebf815c49236"/>
            <w:id w:val="2041156642"/>
          </w:sdtPr>
          <w:sdtContent>
            <w:tc>
              <w:tcPr>
                <w:tcW w:w="2802"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hint="eastAsia" w:cs="Cambria"/>
                  </w:rPr>
                  <w:t>其他关联方与本企业关系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山东能源集团建工集团有限公司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济宁福兴机械制造有限责任公司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山东能源（海南）智慧国际科技有限公司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山东兖矿国际焦化有限公司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兖矿国宏化工有限责任公司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兖矿售电有限公司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山东能源集团易佳供应链管理有限公司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北京探创资源科技股份有限公司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山东兖矿轻合金有限公司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山东兖矿设计咨询有限公司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山东鲁西发电有限公司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山东方大工程有限责任公司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新风光电子科技股份有限公司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兖矿东华集团有限公司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山东能源集团煤炭营销有限公司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北斗天地股份有限公司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兖矿科技有限公司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山东惠济工贸有限公司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山东兖矿工程监理有限公司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山东能源集团有限公司信达酒店</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山东颐养健康集团怡欣医疗发展有限公司</w:t>
            </w:r>
          </w:p>
        </w:tc>
        <w:tc>
          <w:tcPr>
            <w:tcW w:w="2802" w:type="pct"/>
            <w:tcBorders>
              <w:top w:val="single" w:color="auto" w:sz="4" w:space="0"/>
              <w:left w:val="single" w:color="auto" w:sz="4" w:space="0"/>
              <w:bottom w:val="single" w:color="auto" w:sz="4" w:space="0"/>
              <w:right w:val="single" w:color="auto" w:sz="4" w:space="0"/>
            </w:tcBorders>
            <w:vAlign w:val="center"/>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山东能源数字科技有限公司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山东能源集团安保服务有限公司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青岛北斗天地科技有限公司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新汶矿业集团物资供销有限责任公司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盛隆化工有限公司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山东淄矿物产有限公司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兖矿集团博洋对外经济贸易有限公司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济宁亿金物资有限责任公司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同受控股股东控制的其他企业</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受同一控股股东及最终控制方控制的其他企业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嘉能可有限公司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其他关联方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内蒙古矿业资产管理有限责任公司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其他关联方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陕西延长石油（集团）有限责任公司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其他关联方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青岛世纪瑞丰集团有限公司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其他关联方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中峰化学有限公司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其他关联方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贵州开磷集团股份有限公司</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其他关联方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控股股东及其子公司的联营合营企业</w:t>
            </w:r>
          </w:p>
        </w:tc>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rPr>
              <w:t>其他关联方</w:t>
            </w:r>
          </w:p>
        </w:tc>
      </w:tr>
    </w:tbl>
    <w:p>
      <w:pPr>
        <w:tabs>
          <w:tab w:val="left" w:pos="1134"/>
        </w:tabs>
        <w:rPr>
          <w:rFonts w:cs="Cambria"/>
          <w:b/>
        </w:rPr>
      </w:pPr>
    </w:p>
    <w:p>
      <w:pPr>
        <w:pStyle w:val="504"/>
        <w:numPr>
          <w:ilvl w:val="0"/>
          <w:numId w:val="128"/>
        </w:numPr>
      </w:pPr>
      <w:r>
        <w:rPr>
          <w:rFonts w:hint="eastAsia"/>
        </w:rPr>
        <w:t>关联交易情况</w:t>
      </w:r>
    </w:p>
    <w:p>
      <w:pPr>
        <w:pStyle w:val="505"/>
        <w:numPr>
          <w:ilvl w:val="3"/>
          <w:numId w:val="129"/>
        </w:numPr>
        <w:ind w:left="424" w:hanging="424" w:hangingChars="201"/>
      </w:pPr>
      <w:r>
        <w:rPr>
          <w:rFonts w:hint="eastAsia"/>
        </w:rPr>
        <w:t>购销商品、提供和接受劳务的关联交易</w:t>
      </w:r>
    </w:p>
    <w:p>
      <w:pPr>
        <w:pStyle w:val="531"/>
      </w:pPr>
      <w:r>
        <w:rPr>
          <w:rFonts w:hint="eastAsia"/>
        </w:rPr>
        <w:t>采购商品/接受劳务情况表</w:t>
      </w:r>
    </w:p>
    <w:sdt>
      <w:sdtPr>
        <w:alias w:val="是否适用：采购商品或接受劳务情况表[双击切换]"/>
        <w:tag w:val="_GBC_c080653feddc4cf2a468adfbb755dff3"/>
        <w:id w:val="91767596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cs="Cambria"/>
          <w:b/>
          <w:bCs/>
        </w:rPr>
      </w:pPr>
      <w:r>
        <w:rPr>
          <w:rFonts w:hint="eastAsia" w:cs="Cambria"/>
        </w:rPr>
        <w:t>单位：</w:t>
      </w:r>
      <w:sdt>
        <w:sdtPr>
          <w:rPr>
            <w:rFonts w:hint="eastAsia" w:cs="Cambria"/>
          </w:rPr>
          <w:alias w:val="单位：采购商品接受劳务情况表"/>
          <w:tag w:val="_GBC_60c7e55aaf24447a8a860810d4064a69"/>
          <w:id w:val="-7896668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rPr>
        </w:sdtEndPr>
        <w:sdtContent>
          <w:r>
            <w:rPr>
              <w:rFonts w:hint="eastAsia" w:cs="Cambria"/>
            </w:rPr>
            <w:t>千元</w:t>
          </w:r>
        </w:sdtContent>
      </w:sdt>
      <w:r>
        <w:rPr>
          <w:rFonts w:hint="eastAsia" w:cs="Cambria"/>
        </w:rPr>
        <w:t xml:space="preserve">  币种：</w:t>
      </w:r>
      <w:sdt>
        <w:sdtPr>
          <w:rPr>
            <w:rFonts w:hint="eastAsia" w:cs="Cambria"/>
          </w:rPr>
          <w:alias w:val="币种：采购商品接受劳务情况表"/>
          <w:tag w:val="_GBC_18feeecfa5c34459a62da7de5d6b5a90"/>
          <w:id w:val="11242049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rPr>
        </w:sdtEndPr>
        <w:sdtContent>
          <w:r>
            <w:rPr>
              <w:rFonts w:hint="eastAsia" w:cs="Cambria"/>
            </w:rPr>
            <w:t>人民币</w:t>
          </w:r>
        </w:sdtContent>
      </w:sdt>
    </w:p>
    <w:tbl>
      <w:tblPr>
        <w:tblStyle w:val="95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49"/>
        <w:gridCol w:w="1318"/>
        <w:gridCol w:w="1310"/>
        <w:gridCol w:w="1162"/>
        <w:gridCol w:w="1164"/>
        <w:gridCol w:w="1028"/>
        <w:gridCol w:w="1442"/>
        <w:gridCol w:w="4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5" w:hRule="atLeast"/>
        </w:trPr>
        <w:sdt>
          <w:sdtPr>
            <w:rPr>
              <w:spacing w:val="-20"/>
            </w:rPr>
            <w:tag w:val="_PLD_ed4fd195f176464f83eb8db1dbcbc443"/>
            <w:id w:val="626206604"/>
          </w:sdtPr>
          <w:sdtEndPr>
            <w:rPr>
              <w:spacing w:val="-20"/>
            </w:rPr>
          </w:sdtEndPr>
          <w:sdtContent>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pacing w:val="-20"/>
                  </w:rPr>
                </w:pPr>
                <w:bookmarkStart w:id="342" w:name="_Hlk40536931"/>
                <w:r>
                  <w:rPr>
                    <w:rFonts w:hint="eastAsia" w:cs="Cambria"/>
                    <w:spacing w:val="-20"/>
                  </w:rPr>
                  <w:t>关联方</w:t>
                </w:r>
              </w:p>
            </w:tc>
          </w:sdtContent>
        </w:sdt>
        <w:sdt>
          <w:sdtPr>
            <w:rPr>
              <w:spacing w:val="-20"/>
            </w:rPr>
            <w:tag w:val="_PLD_013e7578c973447da6bccdb1a3924d96"/>
            <w:id w:val="2079555410"/>
          </w:sdtPr>
          <w:sdtEndPr>
            <w:rPr>
              <w:spacing w:val="-20"/>
            </w:rPr>
          </w:sdtEndPr>
          <w:sdtContent>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pacing w:val="-20"/>
                  </w:rPr>
                </w:pPr>
                <w:r>
                  <w:rPr>
                    <w:rFonts w:hint="eastAsia" w:cs="Cambria"/>
                    <w:spacing w:val="-20"/>
                  </w:rPr>
                  <w:t>关联交易内容</w:t>
                </w:r>
              </w:p>
            </w:tc>
          </w:sdtContent>
        </w:sdt>
        <w:sdt>
          <w:sdtPr>
            <w:rPr>
              <w:spacing w:val="-20"/>
            </w:rPr>
            <w:tag w:val="_PLD_6b54e09a146a4c34bba286909831c05b"/>
            <w:id w:val="-746035786"/>
          </w:sdtPr>
          <w:sdtEndPr>
            <w:rPr>
              <w:spacing w:val="-20"/>
            </w:rPr>
          </w:sdtEndPr>
          <w:sdtContent>
            <w:tc>
              <w:tcPr>
                <w:tcW w:w="724" w:type="pct"/>
                <w:tcBorders>
                  <w:top w:val="single" w:color="auto" w:sz="4" w:space="0"/>
                  <w:left w:val="single" w:color="auto" w:sz="4" w:space="0"/>
                  <w:right w:val="single" w:color="auto" w:sz="4" w:space="0"/>
                </w:tcBorders>
                <w:shd w:val="clear" w:color="auto" w:fill="auto"/>
                <w:vAlign w:val="center"/>
              </w:tcPr>
              <w:p>
                <w:pPr>
                  <w:jc w:val="center"/>
                  <w:rPr>
                    <w:rFonts w:cs="Cambria"/>
                    <w:spacing w:val="-20"/>
                  </w:rPr>
                </w:pPr>
                <w:r>
                  <w:rPr>
                    <w:rFonts w:hint="eastAsia" w:cs="Cambria"/>
                    <w:spacing w:val="-20"/>
                  </w:rPr>
                  <w:t>本期发生额</w:t>
                </w:r>
              </w:p>
            </w:tc>
          </w:sdtContent>
        </w:sdt>
        <w:tc>
          <w:tcPr>
            <w:tcW w:w="642" w:type="pct"/>
            <w:tcBorders>
              <w:top w:val="single" w:color="auto" w:sz="4" w:space="0"/>
              <w:left w:val="single" w:color="auto" w:sz="4" w:space="0"/>
              <w:right w:val="single" w:color="auto" w:sz="4" w:space="0"/>
            </w:tcBorders>
            <w:vAlign w:val="center"/>
          </w:tcPr>
          <w:p>
            <w:pPr>
              <w:jc w:val="center"/>
              <w:rPr>
                <w:spacing w:val="-20"/>
              </w:rPr>
            </w:pPr>
            <w:r>
              <w:rPr>
                <w:rFonts w:hint="eastAsia"/>
                <w:spacing w:val="-20"/>
              </w:rPr>
              <w:t>其中：</w:t>
            </w:r>
          </w:p>
        </w:tc>
        <w:sdt>
          <w:sdtPr>
            <w:rPr>
              <w:rFonts w:hint="eastAsia"/>
              <w:spacing w:val="-20"/>
            </w:rPr>
            <w:tag w:val="_PLD_1309066cefbd4c94a1a0060831f53cca"/>
            <w:id w:val="1478266514"/>
          </w:sdtPr>
          <w:sdtEndPr>
            <w:rPr>
              <w:rFonts w:hint="eastAsia"/>
              <w:spacing w:val="-20"/>
            </w:rPr>
          </w:sdtEndPr>
          <w:sdtContent>
            <w:tc>
              <w:tcPr>
                <w:tcW w:w="643" w:type="pct"/>
                <w:tcBorders>
                  <w:top w:val="single" w:color="auto" w:sz="4" w:space="0"/>
                  <w:left w:val="single" w:color="auto" w:sz="4" w:space="0"/>
                  <w:right w:val="single" w:color="auto" w:sz="4" w:space="0"/>
                </w:tcBorders>
                <w:vAlign w:val="center"/>
              </w:tcPr>
              <w:p>
                <w:pPr>
                  <w:jc w:val="center"/>
                  <w:rPr>
                    <w:spacing w:val="-20"/>
                  </w:rPr>
                </w:pPr>
                <w:r>
                  <w:rPr>
                    <w:rFonts w:hint="eastAsia"/>
                    <w:spacing w:val="-20"/>
                  </w:rPr>
                  <w:t>获批的交易额度</w:t>
                </w:r>
              </w:p>
            </w:tc>
          </w:sdtContent>
        </w:sdt>
        <w:sdt>
          <w:sdtPr>
            <w:rPr>
              <w:spacing w:val="-20"/>
            </w:rPr>
            <w:tag w:val="_PLD_a7f960b39a0c45d1b50eca9b6cfe12b8"/>
            <w:id w:val="-769695384"/>
          </w:sdtPr>
          <w:sdtEndPr>
            <w:rPr>
              <w:rFonts w:hint="eastAsia"/>
              <w:spacing w:val="-20"/>
            </w:rPr>
          </w:sdtEndPr>
          <w:sdtContent>
            <w:tc>
              <w:tcPr>
                <w:tcW w:w="568" w:type="pct"/>
                <w:tcBorders>
                  <w:top w:val="single" w:color="auto" w:sz="4" w:space="0"/>
                  <w:left w:val="single" w:color="auto" w:sz="4" w:space="0"/>
                  <w:right w:val="single" w:color="auto" w:sz="4" w:space="0"/>
                </w:tcBorders>
                <w:vAlign w:val="center"/>
              </w:tcPr>
              <w:p>
                <w:pPr>
                  <w:jc w:val="center"/>
                  <w:rPr>
                    <w:spacing w:val="-20"/>
                  </w:rPr>
                </w:pPr>
                <w:r>
                  <w:rPr>
                    <w:spacing w:val="-20"/>
                  </w:rPr>
                  <w:t>是否超过交易额度</w:t>
                </w:r>
              </w:p>
            </w:tc>
          </w:sdtContent>
        </w:sdt>
        <w:sdt>
          <w:sdtPr>
            <w:rPr>
              <w:spacing w:val="-20"/>
            </w:rPr>
            <w:tag w:val="_PLD_9f856a67de3d45acbef7ccb12b35985d"/>
            <w:id w:val="970633986"/>
          </w:sdtPr>
          <w:sdtEndPr>
            <w:rPr>
              <w:spacing w:val="-20"/>
            </w:rPr>
          </w:sdtEndPr>
          <w:sdtContent>
            <w:tc>
              <w:tcPr>
                <w:tcW w:w="797" w:type="pct"/>
                <w:tcBorders>
                  <w:top w:val="single" w:color="auto" w:sz="4" w:space="0"/>
                  <w:left w:val="single" w:color="auto" w:sz="4" w:space="0"/>
                  <w:right w:val="single" w:color="auto" w:sz="4" w:space="0"/>
                </w:tcBorders>
                <w:shd w:val="clear" w:color="auto" w:fill="auto"/>
                <w:vAlign w:val="center"/>
              </w:tcPr>
              <w:p>
                <w:pPr>
                  <w:jc w:val="center"/>
                  <w:rPr>
                    <w:rFonts w:cs="Cambria"/>
                    <w:spacing w:val="-20"/>
                  </w:rPr>
                </w:pPr>
                <w:r>
                  <w:rPr>
                    <w:rFonts w:hint="eastAsia" w:cs="Cambria"/>
                    <w:spacing w:val="-20"/>
                  </w:rPr>
                  <w:t>上期发生额</w:t>
                </w:r>
              </w:p>
            </w:tc>
          </w:sdtContent>
        </w:sdt>
        <w:tc>
          <w:tcPr>
            <w:tcW w:w="263" w:type="pct"/>
            <w:tcBorders>
              <w:top w:val="single" w:color="auto" w:sz="4" w:space="0"/>
              <w:left w:val="single" w:color="auto" w:sz="4" w:space="0"/>
              <w:right w:val="single" w:color="auto" w:sz="4" w:space="0"/>
            </w:tcBorders>
            <w:shd w:val="clear" w:color="auto" w:fill="auto"/>
            <w:vAlign w:val="center"/>
          </w:tcPr>
          <w:p>
            <w:pPr>
              <w:jc w:val="center"/>
              <w:rPr>
                <w:rFonts w:cs="Cambria"/>
                <w:spacing w:val="-20"/>
              </w:rPr>
            </w:pPr>
            <w:r>
              <w:rPr>
                <w:rFonts w:hint="eastAsia" w:cs="Cambria"/>
                <w:spacing w:val="-20"/>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控股股东及其控制的公司</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采购商品-采购物资</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5,735,465</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3,503,867</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3,850,000</w:t>
            </w:r>
          </w:p>
        </w:tc>
        <w:tc>
          <w:tcPr>
            <w:tcW w:w="56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否</w:t>
            </w: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6,628,561</w:t>
            </w:r>
          </w:p>
        </w:tc>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控股股东及其控制的公司</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采购商品-大宗贸易</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214,213</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214,213</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2,000,000</w:t>
            </w:r>
          </w:p>
        </w:tc>
        <w:tc>
          <w:tcPr>
            <w:tcW w:w="56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否</w:t>
            </w: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321,071</w:t>
            </w:r>
          </w:p>
        </w:tc>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控股股东及其控制的公司</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采购商品-化工原料煤</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908,660</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706,714</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1,500,000</w:t>
            </w:r>
          </w:p>
        </w:tc>
        <w:tc>
          <w:tcPr>
            <w:tcW w:w="56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否</w:t>
            </w: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716,936</w:t>
            </w:r>
          </w:p>
        </w:tc>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联营企业</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采购商品</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260,803</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56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290,116</w:t>
            </w:r>
          </w:p>
        </w:tc>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其他关联方</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采购商品</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8,916,591</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56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11,991,909</w:t>
            </w:r>
          </w:p>
        </w:tc>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联营企业</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接受劳务-港口费</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1,660,057</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56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1,219,642</w:t>
            </w:r>
          </w:p>
        </w:tc>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其他关联方</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接受劳务-行政管理费</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82,655</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56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65,968</w:t>
            </w:r>
          </w:p>
        </w:tc>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联营企业</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融资服务-利息支出</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56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421</w:t>
            </w:r>
          </w:p>
        </w:tc>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合计</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hint="eastAsia" w:ascii="宋体" w:hAnsi="宋体"/>
                <w:spacing w:val="-20"/>
              </w:rPr>
              <w:t>17,778,444</w:t>
            </w:r>
          </w:p>
        </w:tc>
        <w:tc>
          <w:tcPr>
            <w:tcW w:w="64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4,424,794</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hint="eastAsia" w:ascii="宋体" w:hAnsi="宋体"/>
                <w:spacing w:val="-20"/>
              </w:rPr>
              <w:t>7,350,000</w:t>
            </w:r>
          </w:p>
        </w:tc>
        <w:tc>
          <w:tcPr>
            <w:tcW w:w="568"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21,234,624</w:t>
            </w:r>
          </w:p>
        </w:tc>
        <w:tc>
          <w:tcPr>
            <w:tcW w:w="2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p>
        </w:tc>
      </w:tr>
    </w:tbl>
    <w:p>
      <w:pPr>
        <w:spacing w:before="156" w:beforeLines="50" w:after="156" w:afterLines="50" w:line="360" w:lineRule="exact"/>
        <w:ind w:firstLine="420" w:firstLineChars="200"/>
        <w:rPr>
          <w:rFonts w:ascii="宋体" w:hAnsi="宋体"/>
        </w:rPr>
      </w:pPr>
      <w:r>
        <w:rPr>
          <w:rFonts w:hint="eastAsia" w:ascii="宋体" w:hAnsi="宋体"/>
        </w:rPr>
        <w:t>注：根据本公司与山东能源签订的协议，由山东能源及其附属公司向本公司供应产品、材料物资及大宗商品，交易价格以市场价格确定，其中项为本期持续性关联交易发生总额扣除本期同一控制下企业合并的公司交割日前持续性关联交易后的金额，未超过2023年度获批的交易上限金额。</w:t>
      </w:r>
    </w:p>
    <w:p>
      <w:pPr>
        <w:ind w:right="-775" w:rightChars="-369"/>
      </w:pPr>
      <w:r>
        <w:rPr>
          <w:rFonts w:hint="eastAsia"/>
        </w:rPr>
        <w:t>出售商品/提供劳务情况表</w:t>
      </w:r>
    </w:p>
    <w:bookmarkEnd w:id="342"/>
    <w:sdt>
      <w:sdtPr>
        <w:alias w:val="是否适用：出售商品或提供劳务情况表[双击切换]"/>
        <w:tag w:val="_GBC_38804595ac014174a1f7bfa274a356d2"/>
        <w:id w:val="-1270392148"/>
        <w:placeholder>
          <w:docPart w:val="GBC22222222222222222222222222222"/>
        </w:placeholder>
      </w:sdtPr>
      <w:sdtContent>
        <w:p>
          <w:pPr>
            <w:ind w:right="-775" w:rightChars="-36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tabs>
          <w:tab w:val="left" w:pos="3870"/>
        </w:tabs>
        <w:jc w:val="right"/>
        <w:rPr>
          <w:rFonts w:cs="Cambria"/>
        </w:rPr>
      </w:pPr>
      <w:r>
        <w:t>单位</w:t>
      </w:r>
      <w:r>
        <w:rPr>
          <w:rFonts w:hint="eastAsia"/>
        </w:rPr>
        <w:t>：</w:t>
      </w:r>
      <w:sdt>
        <w:sdtPr>
          <w:alias w:val="单位：出售商品提供劳务情况表"/>
          <w:tag w:val="_GBC_74429e932533428390da29c9e567c1c8"/>
          <w:id w:val="-5358831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sdt>
        <w:sdtPr>
          <w:alias w:val="币种：出售商品提供劳务情况表"/>
          <w:tag w:val="_GBC_4fc61a58f8e34c3c8024ea0b63c2bd2f"/>
          <w:id w:val="1147215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95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03"/>
        <w:gridCol w:w="2908"/>
        <w:gridCol w:w="1743"/>
        <w:gridCol w:w="14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3" w:hRule="atLeast"/>
          <w:tblHeader/>
        </w:trPr>
        <w:sdt>
          <w:sdtPr>
            <w:tag w:val="_PLD_8f46d61b556c4e7e9874d48274581d06"/>
            <w:id w:val="-1552995787"/>
          </w:sdtPr>
          <w:sdtContent>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关联方</w:t>
                </w:r>
              </w:p>
            </w:tc>
          </w:sdtContent>
        </w:sdt>
        <w:sdt>
          <w:sdtPr>
            <w:tag w:val="_PLD_86c6996d2c00443589b89411b2b4bde3"/>
            <w:id w:val="1904561068"/>
          </w:sdtPr>
          <w:sdtContent>
            <w:tc>
              <w:tcPr>
                <w:tcW w:w="16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关联交易内容</w:t>
                </w:r>
              </w:p>
            </w:tc>
          </w:sdtContent>
        </w:sdt>
        <w:sdt>
          <w:sdtPr>
            <w:tag w:val="_PLD_52688fb5000a4ccb8c43276d58764eb4"/>
            <w:id w:val="1781142840"/>
          </w:sdtPr>
          <w:sdtContent>
            <w:tc>
              <w:tcPr>
                <w:tcW w:w="963" w:type="pct"/>
                <w:tcBorders>
                  <w:top w:val="single" w:color="auto" w:sz="4" w:space="0"/>
                  <w:left w:val="single" w:color="auto" w:sz="4" w:space="0"/>
                  <w:right w:val="single" w:color="auto" w:sz="4" w:space="0"/>
                </w:tcBorders>
                <w:shd w:val="clear" w:color="auto" w:fill="auto"/>
                <w:vAlign w:val="center"/>
              </w:tcPr>
              <w:p>
                <w:pPr>
                  <w:jc w:val="center"/>
                  <w:rPr>
                    <w:rFonts w:cs="Cambria"/>
                  </w:rPr>
                </w:pPr>
                <w:r>
                  <w:rPr>
                    <w:rFonts w:hint="eastAsia" w:cs="Cambria"/>
                  </w:rPr>
                  <w:t>本期发生额</w:t>
                </w:r>
              </w:p>
            </w:tc>
          </w:sdtContent>
        </w:sdt>
        <w:sdt>
          <w:sdtPr>
            <w:tag w:val="_PLD_e0158fcec29a443ca9e08a44a2489407"/>
            <w:id w:val="1418216849"/>
          </w:sdtPr>
          <w:sdtContent>
            <w:tc>
              <w:tcPr>
                <w:tcW w:w="826" w:type="pct"/>
                <w:tcBorders>
                  <w:top w:val="single" w:color="auto" w:sz="4" w:space="0"/>
                  <w:left w:val="single" w:color="auto" w:sz="4" w:space="0"/>
                  <w:right w:val="single" w:color="auto" w:sz="4" w:space="0"/>
                </w:tcBorders>
                <w:shd w:val="clear" w:color="auto" w:fill="auto"/>
                <w:vAlign w:val="center"/>
              </w:tcPr>
              <w:p>
                <w:pPr>
                  <w:jc w:val="center"/>
                  <w:rPr>
                    <w:rFonts w:cs="Cambria"/>
                  </w:rPr>
                </w:pPr>
                <w:r>
                  <w:rPr>
                    <w:rFonts w:hint="eastAsia" w:cs="Cambria"/>
                  </w:rPr>
                  <w:t>上期发生额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销售商品-煤炭</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21,120,476</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21,471,956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联营企业</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销售商品-煤炭</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1,495,210</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1,469,801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其他关联方</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销售商品-煤炭</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470,189</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1,665,207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销售商品-煤化</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286,296</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97,148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其他关联方</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销售商品-煤化</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149,654</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133,553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销售商品-材料</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1,463,153</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1,087,419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联营企业</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销售商品-材料</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101</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其他关联方</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销售商品-材料</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92</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销售商品-大宗商品</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196,280</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281,348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其他关联方</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销售商品-大宗商品</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4,033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销售商品-电、热</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9,012</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4,445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联营企业</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销售商品-电、热</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3,950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提供劳务-设备租赁</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17,317</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1,790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联营企业</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提供劳务-设备租赁</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28,138</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其他关联方</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提供劳务-设备租赁</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44,474</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28,499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提供劳务-维修服务</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16,635</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18,593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其他关联方</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提供劳务-维修服务</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66,895</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51,729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提供劳务-运输服务</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23,276</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25,000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提供劳务-培训</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7,997</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1,418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联营企业</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提供劳务-培训</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2</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提供劳务-信息及技术服务</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9,827</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13,775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提供劳务-利息收入</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3,736</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323,968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联营企业</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提供劳务-利息收入</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49,669</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84,531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其他关联方</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提供劳务-利息收入</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7,952</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其他关联方</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提供劳务-担保服务</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425</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合营企业</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提供劳务-特许权使用服务</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130,909</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132,722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rPr>
            </w:pPr>
            <w:r>
              <w:rPr>
                <w:rFonts w:hint="eastAsia" w:ascii="宋体" w:hAnsi="宋体"/>
              </w:rPr>
              <w:t>控股股东及其控制的公司</w:t>
            </w:r>
          </w:p>
        </w:tc>
        <w:tc>
          <w:tcPr>
            <w:tcW w:w="160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提供劳务-项目委托管理</w:t>
            </w: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ascii="宋体" w:hAnsi="宋体"/>
              </w:rPr>
              <w:t>16,472</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rPr>
            </w:pPr>
            <w:r>
              <w:rPr>
                <w:rFonts w:hint="eastAsia" w:ascii="宋体" w:hAnsi="宋体"/>
              </w:rPr>
              <w:t>4,302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b/>
              </w:rPr>
            </w:pPr>
            <w:r>
              <w:rPr>
                <w:rFonts w:hint="eastAsia" w:ascii="宋体" w:hAnsi="宋体"/>
                <w:b/>
              </w:rPr>
              <w:t>合计</w:t>
            </w:r>
          </w:p>
        </w:tc>
        <w:tc>
          <w:tcPr>
            <w:tcW w:w="16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b/>
              </w:rPr>
            </w:pPr>
          </w:p>
        </w:tc>
        <w:tc>
          <w:tcPr>
            <w:tcW w:w="9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b/>
              </w:rPr>
            </w:pPr>
            <w:r>
              <w:rPr>
                <w:rFonts w:ascii="宋体" w:hAnsi="宋体"/>
                <w:b/>
              </w:rPr>
              <w:t>25,614,187</w:t>
            </w:r>
          </w:p>
        </w:tc>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b/>
              </w:rPr>
            </w:pPr>
            <w:r>
              <w:rPr>
                <w:rFonts w:hint="eastAsia" w:ascii="宋体" w:hAnsi="宋体"/>
                <w:b/>
              </w:rPr>
              <w:t>26,905,342</w:t>
            </w:r>
          </w:p>
        </w:tc>
      </w:tr>
    </w:tbl>
    <w:p>
      <w:pPr>
        <w:pStyle w:val="531"/>
      </w:pPr>
    </w:p>
    <w:p>
      <w:pPr>
        <w:rPr>
          <w:rFonts w:cs="Cambria"/>
        </w:rPr>
      </w:pPr>
      <w:r>
        <w:rPr>
          <w:rFonts w:hint="eastAsia" w:cs="Cambria"/>
        </w:rPr>
        <w:t>购销商品、提供和接受劳务的关联交易说明</w:t>
      </w:r>
    </w:p>
    <w:sdt>
      <w:sdtPr>
        <w:rPr>
          <w:rFonts w:cs="Cambria"/>
        </w:rPr>
        <w:alias w:val="是否适用：购销商品、提供和接受劳务的关联交易说明[双击切换]"/>
        <w:tag w:val="_GBC_bfac708300bd4f9886d4b6bc97c99022"/>
        <w:id w:val="346213845"/>
        <w:placeholder>
          <w:docPart w:val="GBC22222222222222222222222222222"/>
        </w:placeholder>
      </w:sdtPr>
      <w:sdtEndPr>
        <w:rPr>
          <w:rFonts w:cs="Cambria"/>
        </w:rPr>
      </w:sdtEndPr>
      <w:sdtContent>
        <w:p>
          <w:pPr>
            <w:rPr>
              <w:rFonts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sdt>
      <w:sdtPr>
        <w:rPr>
          <w:rFonts w:cs="Cambria"/>
        </w:rPr>
        <w:alias w:val="购销商品、提供和接受劳务的关联交易说明"/>
        <w:tag w:val="_GBC_2e3d658b1c454acb945f621162cfd0e7"/>
        <w:id w:val="-887953358"/>
        <w:placeholder>
          <w:docPart w:val="GBC22222222222222222222222222222"/>
        </w:placeholder>
      </w:sdtPr>
      <w:sdtEndPr>
        <w:rPr>
          <w:rFonts w:cs="Cambria"/>
        </w:rPr>
      </w:sdtEndPr>
      <w:sdtContent>
        <w:p>
          <w:pPr>
            <w:spacing w:before="156" w:beforeLines="50" w:after="156" w:afterLines="50" w:line="360" w:lineRule="exact"/>
            <w:ind w:firstLine="420" w:firstLineChars="200"/>
            <w:rPr>
              <w:rFonts w:cs="Cambria"/>
            </w:rPr>
          </w:pPr>
          <w:r>
            <w:rPr>
              <w:rFonts w:hint="eastAsia" w:cs="Cambria"/>
            </w:rPr>
            <w:t>注：根据本公司与山东能源签订的协议，向山东能源及其附属公司供应产品、材料物资及设备租赁、提供劳务及服务，交易价格以市场价格确定。</w:t>
          </w:r>
        </w:p>
      </w:sdtContent>
    </w:sdt>
    <w:p>
      <w:pPr>
        <w:rPr>
          <w:rFonts w:cs="Cambria"/>
        </w:rPr>
      </w:pPr>
    </w:p>
    <w:p>
      <w:pPr>
        <w:pStyle w:val="505"/>
        <w:numPr>
          <w:ilvl w:val="3"/>
          <w:numId w:val="129"/>
        </w:numPr>
        <w:ind w:left="426" w:hanging="426" w:hangingChars="202"/>
      </w:pPr>
      <w:r>
        <w:rPr>
          <w:rFonts w:hint="eastAsia"/>
        </w:rPr>
        <w:t>关联受托管理/承包及委托管理/出包情况</w:t>
      </w:r>
    </w:p>
    <w:p>
      <w:pPr>
        <w:pStyle w:val="501"/>
      </w:pPr>
      <w:r>
        <w:rPr>
          <w:rFonts w:hint="eastAsia"/>
        </w:rPr>
        <w:t>本公司受托管理/承包情况表：</w:t>
      </w:r>
    </w:p>
    <w:sdt>
      <w:sdtPr>
        <w:rPr>
          <w:rFonts w:cs="Cambria"/>
        </w:rPr>
        <w:alias w:val="是否适用：本公司受托管理或承包情况表[双击切换]"/>
        <w:tag w:val="_GBC_30440fae2d7246f59be82c31d907217a"/>
        <w:id w:val="687487813"/>
      </w:sdtPr>
      <w:sdtEndPr>
        <w:rPr>
          <w:rFonts w:cs="Cambria"/>
        </w:rPr>
      </w:sdtEndPr>
      <w:sdtContent>
        <w:p>
          <w:pPr>
            <w:rPr>
              <w:rFonts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MACROBUTTON  SnrToggleCheckbox □不适用 </w:instrText>
          </w:r>
          <w:r>
            <w:rPr>
              <w:rFonts w:cs="Cambria"/>
            </w:rPr>
            <w:fldChar w:fldCharType="end"/>
          </w:r>
        </w:p>
      </w:sdtContent>
    </w:sdt>
    <w:p>
      <w:pPr>
        <w:jc w:val="right"/>
        <w:rPr>
          <w:rFonts w:cs="Cambria"/>
          <w:bCs/>
        </w:rPr>
      </w:pPr>
      <w:r>
        <w:rPr>
          <w:rFonts w:hint="eastAsia" w:cs="Cambria"/>
          <w:bCs/>
        </w:rPr>
        <w:t>单位：</w:t>
      </w:r>
      <w:sdt>
        <w:sdtPr>
          <w:rPr>
            <w:rFonts w:hint="eastAsia" w:cs="Cambria"/>
            <w:bCs/>
          </w:rPr>
          <w:alias w:val="单位：公司受托管理承包情况表"/>
          <w:tag w:val="_GBC_57a2d4cca7a74e81b133cb02cf32eb74"/>
          <w:id w:val="706912354"/>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bCs/>
          </w:rPr>
        </w:sdtEndPr>
        <w:sdtContent>
          <w:r>
            <w:rPr>
              <w:rFonts w:hint="eastAsia" w:cs="Cambria"/>
              <w:bCs/>
            </w:rPr>
            <w:t>千元</w:t>
          </w:r>
        </w:sdtContent>
      </w:sdt>
      <w:r>
        <w:rPr>
          <w:rFonts w:hint="eastAsia" w:cs="Cambria"/>
          <w:bCs/>
        </w:rPr>
        <w:t xml:space="preserve">  币种：</w:t>
      </w:r>
      <w:sdt>
        <w:sdtPr>
          <w:rPr>
            <w:rFonts w:hint="eastAsia" w:cs="Cambria"/>
            <w:bCs/>
          </w:rPr>
          <w:alias w:val="币种：公司受托管理承包情况表"/>
          <w:tag w:val="_GBC_526f89d9ea2e4435892696a794e71c93"/>
          <w:id w:val="72132844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bCs/>
          </w:rPr>
        </w:sdtEndPr>
        <w:sdtContent>
          <w:r>
            <w:rPr>
              <w:rFonts w:hint="eastAsia" w:cs="Cambria"/>
              <w:bCs/>
            </w:rPr>
            <w:t>人民币</w:t>
          </w:r>
        </w:sdtContent>
      </w:sdt>
    </w:p>
    <w:tbl>
      <w:tblPr>
        <w:tblStyle w:val="9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25"/>
        <w:gridCol w:w="1428"/>
        <w:gridCol w:w="1428"/>
        <w:gridCol w:w="1144"/>
        <w:gridCol w:w="1286"/>
        <w:gridCol w:w="1003"/>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817" w:hRule="atLeast"/>
          <w:tblHeader/>
        </w:trPr>
        <w:sdt>
          <w:sdtPr>
            <w:tag w:val="_PLD_9ca7f49277334c8e8f9644ca1df39ecf"/>
            <w:id w:val="1353690926"/>
          </w:sdtPr>
          <w:sdtContent>
            <w:tc>
              <w:tcPr>
                <w:tcW w:w="801" w:type="pct"/>
                <w:tcBorders>
                  <w:top w:val="single" w:color="auto" w:sz="4" w:space="0"/>
                  <w:left w:val="single" w:color="auto" w:sz="4" w:space="0"/>
                  <w:right w:val="single" w:color="auto" w:sz="4" w:space="0"/>
                </w:tcBorders>
                <w:shd w:val="clear" w:color="auto" w:fill="auto"/>
                <w:vAlign w:val="center"/>
              </w:tcPr>
              <w:p>
                <w:pPr>
                  <w:jc w:val="center"/>
                </w:pPr>
                <w:r>
                  <w:rPr>
                    <w:rFonts w:hint="eastAsia"/>
                  </w:rPr>
                  <w:t>委托方名称</w:t>
                </w:r>
              </w:p>
            </w:tc>
          </w:sdtContent>
        </w:sdt>
        <w:sdt>
          <w:sdtPr>
            <w:tag w:val="_PLD_67bc3e1c8ad0439ab3b3fafb2b1b4ae8"/>
            <w:id w:val="-835534467"/>
          </w:sdtPr>
          <w:sdtContent>
            <w:tc>
              <w:tcPr>
                <w:tcW w:w="803" w:type="pct"/>
                <w:tcBorders>
                  <w:top w:val="single" w:color="auto" w:sz="4" w:space="0"/>
                  <w:left w:val="single" w:color="auto" w:sz="4" w:space="0"/>
                  <w:right w:val="single" w:color="auto" w:sz="4" w:space="0"/>
                </w:tcBorders>
                <w:shd w:val="clear" w:color="auto" w:fill="auto"/>
                <w:vAlign w:val="center"/>
              </w:tcPr>
              <w:p>
                <w:pPr>
                  <w:jc w:val="center"/>
                </w:pPr>
                <w:r>
                  <w:rPr>
                    <w:rFonts w:hint="eastAsia"/>
                  </w:rPr>
                  <w:t>受托方名称</w:t>
                </w:r>
              </w:p>
            </w:tc>
          </w:sdtContent>
        </w:sdt>
        <w:sdt>
          <w:sdtPr>
            <w:tag w:val="_PLD_6242613dc1b4492f85dd7434d2997745"/>
            <w:id w:val="880597546"/>
          </w:sdtPr>
          <w:sdtContent>
            <w:tc>
              <w:tcPr>
                <w:tcW w:w="803" w:type="pct"/>
                <w:tcBorders>
                  <w:top w:val="single" w:color="auto" w:sz="4" w:space="0"/>
                  <w:left w:val="single" w:color="auto" w:sz="4" w:space="0"/>
                  <w:right w:val="single" w:color="auto" w:sz="4" w:space="0"/>
                </w:tcBorders>
                <w:shd w:val="clear" w:color="auto" w:fill="auto"/>
                <w:vAlign w:val="center"/>
              </w:tcPr>
              <w:p>
                <w:pPr>
                  <w:jc w:val="center"/>
                </w:pPr>
                <w:r>
                  <w:rPr>
                    <w:rFonts w:hint="eastAsia"/>
                  </w:rPr>
                  <w:t>受托资产类型</w:t>
                </w:r>
              </w:p>
            </w:tc>
          </w:sdtContent>
        </w:sdt>
        <w:sdt>
          <w:sdtPr>
            <w:tag w:val="_PLD_11d99e0f2f6c49fdbd52b04c387e8132"/>
            <w:id w:val="-552236838"/>
          </w:sdtPr>
          <w:sdtContent>
            <w:tc>
              <w:tcPr>
                <w:tcW w:w="643" w:type="pct"/>
                <w:tcBorders>
                  <w:top w:val="single" w:color="auto" w:sz="4" w:space="0"/>
                  <w:left w:val="single" w:color="auto" w:sz="4" w:space="0"/>
                  <w:right w:val="single" w:color="auto" w:sz="4" w:space="0"/>
                </w:tcBorders>
                <w:shd w:val="clear" w:color="auto" w:fill="auto"/>
                <w:vAlign w:val="center"/>
              </w:tcPr>
              <w:p>
                <w:pPr>
                  <w:jc w:val="center"/>
                </w:pPr>
                <w:r>
                  <w:rPr>
                    <w:rFonts w:hint="eastAsia"/>
                  </w:rPr>
                  <w:t>受托起始日</w:t>
                </w:r>
              </w:p>
            </w:tc>
          </w:sdtContent>
        </w:sdt>
        <w:sdt>
          <w:sdtPr>
            <w:tag w:val="_PLD_a4a13ba30a6a40c59f80853e84442bb6"/>
            <w:id w:val="1882973815"/>
          </w:sdtPr>
          <w:sdtContent>
            <w:tc>
              <w:tcPr>
                <w:tcW w:w="723" w:type="pct"/>
                <w:tcBorders>
                  <w:top w:val="single" w:color="auto" w:sz="4" w:space="0"/>
                  <w:left w:val="single" w:color="auto" w:sz="4" w:space="0"/>
                  <w:right w:val="single" w:color="auto" w:sz="4" w:space="0"/>
                </w:tcBorders>
                <w:shd w:val="clear" w:color="auto" w:fill="auto"/>
                <w:vAlign w:val="center"/>
              </w:tcPr>
              <w:p>
                <w:pPr>
                  <w:jc w:val="center"/>
                </w:pPr>
                <w:r>
                  <w:rPr>
                    <w:rFonts w:hint="eastAsia"/>
                  </w:rPr>
                  <w:t>受托终止日</w:t>
                </w:r>
              </w:p>
            </w:tc>
          </w:sdtContent>
        </w:sdt>
        <w:sdt>
          <w:sdtPr>
            <w:tag w:val="_PLD_ae8f67dcf4064d99855a132401142cb8"/>
            <w:id w:val="-828673894"/>
          </w:sdtPr>
          <w:sdtContent>
            <w:tc>
              <w:tcPr>
                <w:tcW w:w="564" w:type="pct"/>
                <w:tcBorders>
                  <w:top w:val="single" w:color="auto" w:sz="4" w:space="0"/>
                  <w:left w:val="single" w:color="auto" w:sz="4" w:space="0"/>
                  <w:right w:val="single" w:color="auto" w:sz="4" w:space="0"/>
                </w:tcBorders>
                <w:shd w:val="clear" w:color="auto" w:fill="auto"/>
                <w:vAlign w:val="center"/>
              </w:tcPr>
              <w:p>
                <w:pPr>
                  <w:jc w:val="center"/>
                </w:pPr>
                <w:r>
                  <w:rPr>
                    <w:rFonts w:hint="eastAsia"/>
                  </w:rPr>
                  <w:t>托管收益定价依据</w:t>
                </w:r>
              </w:p>
            </w:tc>
          </w:sdtContent>
        </w:sdt>
        <w:sdt>
          <w:sdtPr>
            <w:tag w:val="_PLD_4dcb48cb90564f39b6b2463f0acfd5fa"/>
            <w:id w:val="353159982"/>
          </w:sdtPr>
          <w:sdtContent>
            <w:tc>
              <w:tcPr>
                <w:tcW w:w="663" w:type="pct"/>
                <w:tcBorders>
                  <w:top w:val="single" w:color="auto" w:sz="4" w:space="0"/>
                  <w:left w:val="single" w:color="auto" w:sz="4" w:space="0"/>
                  <w:right w:val="single" w:color="auto" w:sz="4" w:space="0"/>
                </w:tcBorders>
                <w:shd w:val="clear" w:color="auto" w:fill="auto"/>
                <w:vAlign w:val="center"/>
              </w:tcPr>
              <w:p>
                <w:pPr>
                  <w:jc w:val="center"/>
                </w:pPr>
                <w:r>
                  <w:rPr>
                    <w:rFonts w:hint="eastAsia"/>
                  </w:rPr>
                  <w:t>本期确认的托管收益</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rPr>
              <w:t>山东能源集团有限公司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rPr>
              <w:t>兖矿东华重工有限公司</w:t>
            </w:r>
          </w:p>
        </w:tc>
        <w:tc>
          <w:tcPr>
            <w:tcW w:w="803" w:type="pct"/>
            <w:tcBorders>
              <w:top w:val="single" w:color="auto" w:sz="4" w:space="0"/>
              <w:left w:val="single" w:color="auto" w:sz="4" w:space="0"/>
              <w:bottom w:val="single" w:color="auto" w:sz="4" w:space="0"/>
              <w:right w:val="single" w:color="auto" w:sz="4" w:space="0"/>
            </w:tcBorders>
          </w:tcPr>
          <w:p>
            <w:pPr>
              <w:pStyle w:val="501"/>
            </w:pPr>
            <w:r>
              <w:t>其他资产托管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rPr>
            </w:pPr>
            <w:r>
              <w:rPr>
                <w:rFonts w:ascii="宋体" w:hAnsi="宋体"/>
                <w:sz w:val="22"/>
                <w:szCs w:val="22"/>
              </w:rPr>
              <w:t>2022-1-1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rPr>
            </w:pPr>
            <w:r>
              <w:rPr>
                <w:rFonts w:hint="eastAsia" w:ascii="宋体" w:hAnsi="宋体"/>
                <w:sz w:val="22"/>
                <w:szCs w:val="22"/>
              </w:rPr>
              <w:t>2024-12-31</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u w:val="single"/>
              </w:rPr>
            </w:pPr>
            <w:r>
              <w:rPr>
                <w:rFonts w:hint="eastAsia" w:ascii="宋体" w:hAnsi="宋体"/>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22"/>
                <w:szCs w:val="22"/>
              </w:rPr>
            </w:pPr>
            <w:r>
              <w:rPr>
                <w:rFonts w:hint="eastAsia" w:ascii="宋体" w:hAnsi="宋体"/>
                <w:sz w:val="22"/>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兖矿售电有限公司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山东华聚能源股份有限公司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其他资产托管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ajorEastAsia" w:hAnsiTheme="majorEastAsia" w:eastAsiaTheme="majorEastAsia"/>
                <w:spacing w:val="-20"/>
                <w:sz w:val="22"/>
                <w:szCs w:val="22"/>
              </w:rPr>
              <w:t>2022-1-1</w:t>
            </w:r>
          </w:p>
        </w:tc>
        <w:tc>
          <w:tcPr>
            <w:tcW w:w="72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ajorEastAsia" w:hAnsiTheme="majorEastAsia" w:eastAsiaTheme="majorEastAsia"/>
                <w:spacing w:val="-20"/>
                <w:sz w:val="22"/>
                <w:szCs w:val="22"/>
              </w:rPr>
            </w:pPr>
            <w:r>
              <w:rPr>
                <w:rFonts w:hint="eastAsia" w:asciiTheme="majorEastAsia" w:hAnsiTheme="majorEastAsia" w:eastAsiaTheme="majorEastAsia"/>
                <w:spacing w:val="-20"/>
                <w:sz w:val="22"/>
                <w:szCs w:val="22"/>
              </w:rPr>
              <w:t>无固定终止日</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4,302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枣庄矿业（集团）有限责任公司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兖矿新疆能化有限公司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其他资产托管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hint="eastAsia" w:asciiTheme="majorEastAsia" w:hAnsiTheme="majorEastAsia" w:eastAsiaTheme="majorEastAsia"/>
                <w:color w:val="000000"/>
                <w:spacing w:val="-2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临沂矿业集团有限责任公司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其他资产托管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2023-1-1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2026-1-1</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spacing w:val="-20"/>
                <w:sz w:val="22"/>
                <w:szCs w:val="22"/>
              </w:rPr>
            </w:pPr>
            <w:r>
              <w:rPr>
                <w:rFonts w:hint="eastAsia" w:asciiTheme="majorEastAsia" w:hAnsiTheme="majorEastAsia" w:eastAsiaTheme="majorEastAsia"/>
                <w:spacing w:val="-20"/>
                <w:sz w:val="22"/>
                <w:szCs w:val="22"/>
              </w:rPr>
              <w:t>山东能源澳大利亚有限公司</w:t>
            </w:r>
          </w:p>
        </w:tc>
        <w:tc>
          <w:tcPr>
            <w:tcW w:w="803" w:type="pct"/>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spacing w:val="-20"/>
                <w:sz w:val="22"/>
                <w:szCs w:val="22"/>
              </w:rPr>
            </w:pPr>
            <w:r>
              <w:rPr>
                <w:rFonts w:hint="eastAsia" w:asciiTheme="majorEastAsia" w:hAnsiTheme="majorEastAsia" w:eastAsiaTheme="majorEastAsia"/>
                <w:spacing w:val="-20"/>
                <w:sz w:val="22"/>
                <w:szCs w:val="22"/>
              </w:rPr>
              <w:t>兖州煤业澳大利亚有限公司</w:t>
            </w:r>
          </w:p>
        </w:tc>
        <w:tc>
          <w:tcPr>
            <w:tcW w:w="803" w:type="pct"/>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color w:val="000000"/>
                <w:spacing w:val="-20"/>
                <w:sz w:val="22"/>
                <w:szCs w:val="22"/>
              </w:rPr>
            </w:pPr>
            <w:r>
              <w:rPr>
                <w:rFonts w:hint="eastAsia" w:asciiTheme="majorEastAsia" w:hAnsiTheme="majorEastAsia" w:eastAsiaTheme="majorEastAsia"/>
                <w:spacing w:val="-20"/>
                <w:sz w:val="22"/>
                <w:szCs w:val="22"/>
              </w:rPr>
              <w:t>其他资产托管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spacing w:val="-20"/>
                <w:sz w:val="22"/>
                <w:szCs w:val="22"/>
              </w:rPr>
            </w:pPr>
            <w:r>
              <w:rPr>
                <w:rFonts w:asciiTheme="majorEastAsia" w:hAnsiTheme="majorEastAsia" w:eastAsiaTheme="majorEastAsia"/>
                <w:spacing w:val="-20"/>
                <w:sz w:val="22"/>
                <w:szCs w:val="22"/>
              </w:rPr>
              <w:t>2022-1-1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spacing w:val="-20"/>
                <w:sz w:val="22"/>
                <w:szCs w:val="22"/>
              </w:rPr>
            </w:pPr>
            <w:r>
              <w:rPr>
                <w:rFonts w:asciiTheme="majorEastAsia" w:hAnsiTheme="majorEastAsia" w:eastAsiaTheme="majorEastAsia"/>
                <w:spacing w:val="-20"/>
                <w:sz w:val="22"/>
                <w:szCs w:val="22"/>
              </w:rPr>
              <w:t>2024-12-31</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spacing w:val="-20"/>
                <w:sz w:val="22"/>
                <w:szCs w:val="22"/>
              </w:rPr>
            </w:pPr>
            <w:r>
              <w:rPr>
                <w:rFonts w:hint="eastAsia" w:asciiTheme="majorEastAsia" w:hAnsiTheme="majorEastAsia" w:eastAsiaTheme="majorEastAsia"/>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rPr>
                <w:rFonts w:asciiTheme="majorEastAsia" w:hAnsiTheme="majorEastAsia" w:eastAsiaTheme="majorEastAsia"/>
                <w:color w:val="000000"/>
                <w:spacing w:val="-20"/>
                <w:sz w:val="22"/>
                <w:szCs w:val="22"/>
              </w:rPr>
            </w:pPr>
            <w:r>
              <w:rPr>
                <w:rFonts w:asciiTheme="majorEastAsia" w:hAnsiTheme="majorEastAsia" w:eastAsiaTheme="majorEastAsia"/>
                <w:spacing w:val="-20"/>
                <w:sz w:val="22"/>
                <w:szCs w:val="22"/>
              </w:rPr>
              <w:t>4,284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spacing w:val="-20"/>
                <w:sz w:val="22"/>
                <w:szCs w:val="22"/>
              </w:rPr>
            </w:pPr>
            <w:r>
              <w:rPr>
                <w:rFonts w:hint="eastAsia" w:asciiTheme="majorEastAsia" w:hAnsiTheme="majorEastAsia" w:eastAsiaTheme="majorEastAsia"/>
                <w:spacing w:val="-20"/>
                <w:sz w:val="22"/>
                <w:szCs w:val="22"/>
              </w:rPr>
              <w:t>兖矿资源有限公司</w:t>
            </w:r>
          </w:p>
        </w:tc>
        <w:tc>
          <w:tcPr>
            <w:tcW w:w="803" w:type="pct"/>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spacing w:val="-20"/>
                <w:sz w:val="22"/>
                <w:szCs w:val="22"/>
              </w:rPr>
            </w:pPr>
            <w:r>
              <w:rPr>
                <w:rFonts w:hint="eastAsia" w:asciiTheme="majorEastAsia" w:hAnsiTheme="majorEastAsia" w:eastAsiaTheme="majorEastAsia"/>
                <w:spacing w:val="-20"/>
                <w:sz w:val="22"/>
                <w:szCs w:val="22"/>
              </w:rPr>
              <w:t>兖州煤业澳大利亚有限公司</w:t>
            </w:r>
          </w:p>
        </w:tc>
        <w:tc>
          <w:tcPr>
            <w:tcW w:w="803" w:type="pct"/>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color w:val="000000"/>
                <w:spacing w:val="-20"/>
                <w:sz w:val="22"/>
                <w:szCs w:val="22"/>
              </w:rPr>
            </w:pPr>
            <w:r>
              <w:rPr>
                <w:rFonts w:hint="eastAsia" w:asciiTheme="majorEastAsia" w:hAnsiTheme="majorEastAsia" w:eastAsiaTheme="majorEastAsia"/>
                <w:color w:val="000000"/>
                <w:spacing w:val="-20"/>
                <w:sz w:val="22"/>
                <w:szCs w:val="22"/>
              </w:rPr>
              <w:t>其他资产托管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spacing w:val="-20"/>
                <w:sz w:val="22"/>
                <w:szCs w:val="22"/>
              </w:rPr>
            </w:pPr>
            <w:r>
              <w:rPr>
                <w:rFonts w:asciiTheme="majorEastAsia" w:hAnsiTheme="majorEastAsia" w:eastAsiaTheme="majorEastAsia"/>
                <w:spacing w:val="-20"/>
                <w:sz w:val="22"/>
                <w:szCs w:val="22"/>
              </w:rPr>
              <w:t>2016-12-7</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spacing w:val="-20"/>
                <w:sz w:val="22"/>
                <w:szCs w:val="22"/>
              </w:rPr>
            </w:pPr>
            <w:r>
              <w:rPr>
                <w:rFonts w:hint="eastAsia" w:asciiTheme="majorEastAsia" w:hAnsiTheme="majorEastAsia" w:eastAsiaTheme="majorEastAsia"/>
                <w:spacing w:val="-20"/>
                <w:sz w:val="22"/>
                <w:szCs w:val="22"/>
              </w:rPr>
              <w:t>无固定终止日</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spacing w:val="-20"/>
                <w:sz w:val="22"/>
                <w:szCs w:val="22"/>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rPr>
                <w:rFonts w:asciiTheme="majorEastAsia" w:hAnsiTheme="majorEastAsia" w:eastAsiaTheme="majorEastAsia"/>
                <w:color w:val="000000"/>
                <w:spacing w:val="-20"/>
                <w:sz w:val="22"/>
                <w:szCs w:val="22"/>
              </w:rPr>
            </w:pPr>
            <w:r>
              <w:rPr>
                <w:rFonts w:asciiTheme="majorEastAsia" w:hAnsiTheme="majorEastAsia" w:eastAsiaTheme="majorEastAsia"/>
                <w:color w:val="000000"/>
                <w:spacing w:val="-20"/>
                <w:sz w:val="22"/>
                <w:szCs w:val="22"/>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山东东山矿业有限公司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山东东山矿业有限公司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山东东山矿业有限公司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山东东山矿业有限公司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肥城肥矿煤业有限公司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临沂矿业集团有限责任公司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临沂矿业集团有限责任公司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临沂矿业集团有限责任公司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龙口煤电有限公司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color w:val="000000"/>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color w:val="000000"/>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color w:val="000000"/>
                <w:spacing w:val="-20"/>
                <w:sz w:val="22"/>
                <w:szCs w:val="22"/>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淄博矿业集团有限责任公司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山东能源集团鲁西矿业有限公司</w:t>
            </w:r>
          </w:p>
        </w:tc>
        <w:tc>
          <w:tcPr>
            <w:tcW w:w="803" w:type="pct"/>
            <w:tcBorders>
              <w:top w:val="single" w:color="auto" w:sz="4" w:space="0"/>
              <w:left w:val="single" w:color="auto" w:sz="4" w:space="0"/>
              <w:bottom w:val="single" w:color="auto" w:sz="4" w:space="0"/>
              <w:right w:val="single" w:color="auto" w:sz="4" w:space="0"/>
            </w:tcBorders>
            <w:vAlign w:val="center"/>
          </w:tcPr>
          <w:p>
            <w:pPr>
              <w:pStyle w:val="501"/>
            </w:pPr>
            <w:r>
              <w:rPr>
                <w:rFonts w:hint="eastAsia" w:asciiTheme="majorEastAsia" w:hAnsiTheme="majorEastAsia" w:eastAsiaTheme="majorEastAsia"/>
                <w:spacing w:val="-20"/>
                <w:sz w:val="22"/>
                <w:szCs w:val="22"/>
              </w:rPr>
              <w:t>股权托管</w:t>
            </w:r>
          </w:p>
        </w:tc>
        <w:tc>
          <w:tcPr>
            <w:tcW w:w="643"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ajorEastAsia" w:hAnsiTheme="majorEastAsia" w:eastAsiaTheme="majorEastAsia"/>
                <w:spacing w:val="-20"/>
                <w:sz w:val="22"/>
                <w:szCs w:val="22"/>
              </w:rPr>
              <w:t>2022-3-1</w:t>
            </w:r>
          </w:p>
        </w:tc>
        <w:tc>
          <w:tcPr>
            <w:tcW w:w="723"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ajorEastAsia" w:hAnsiTheme="majorEastAsia" w:eastAsiaTheme="majorEastAsia"/>
                <w:spacing w:val="-20"/>
                <w:sz w:val="22"/>
                <w:szCs w:val="22"/>
              </w:rPr>
              <w:t>2025-2-28</w:t>
            </w:r>
          </w:p>
        </w:tc>
        <w:tc>
          <w:tcPr>
            <w:tcW w:w="564" w:type="pct"/>
            <w:tcBorders>
              <w:top w:val="single" w:color="auto" w:sz="4" w:space="0"/>
              <w:left w:val="single" w:color="auto" w:sz="4" w:space="0"/>
              <w:bottom w:val="single" w:color="auto" w:sz="4" w:space="0"/>
              <w:right w:val="single" w:color="auto" w:sz="4" w:space="0"/>
            </w:tcBorders>
            <w:vAlign w:val="center"/>
          </w:tcPr>
          <w:p>
            <w:pPr>
              <w:jc w:val="center"/>
              <w:rPr>
                <w:u w:val="single"/>
              </w:rPr>
            </w:pPr>
            <w:r>
              <w:rPr>
                <w:rFonts w:hint="eastAsia" w:asciiTheme="majorEastAsia" w:hAnsiTheme="majorEastAsia" w:eastAsiaTheme="majorEastAsia"/>
                <w:spacing w:val="-20"/>
                <w:sz w:val="22"/>
                <w:szCs w:val="22"/>
              </w:rPr>
              <w:t>协议定价</w:t>
            </w:r>
          </w:p>
        </w:tc>
        <w:tc>
          <w:tcPr>
            <w:tcW w:w="663" w:type="pct"/>
            <w:tcBorders>
              <w:top w:val="single" w:color="auto" w:sz="4" w:space="0"/>
              <w:left w:val="single" w:color="auto" w:sz="4" w:space="0"/>
              <w:bottom w:val="single" w:color="auto" w:sz="4" w:space="0"/>
              <w:right w:val="single" w:color="auto" w:sz="4" w:space="0"/>
            </w:tcBorders>
            <w:vAlign w:val="center"/>
          </w:tcPr>
          <w:p>
            <w:pPr>
              <w:jc w:val="right"/>
            </w:pPr>
            <w:r>
              <w:rPr>
                <w:rFonts w:asciiTheme="majorEastAsia" w:hAnsiTheme="majorEastAsia" w:eastAsiaTheme="majorEastAsia"/>
                <w:spacing w:val="-20"/>
                <w:sz w:val="22"/>
                <w:szCs w:val="22"/>
              </w:rPr>
              <w:t>100</w:t>
            </w:r>
          </w:p>
        </w:tc>
      </w:tr>
    </w:tbl>
    <w:p>
      <w:pPr>
        <w:spacing w:before="156" w:beforeLines="50" w:after="156" w:afterLines="50" w:line="360" w:lineRule="exact"/>
        <w:ind w:firstLine="420" w:firstLineChars="200"/>
        <w:rPr>
          <w:rFonts w:cs="Cambria"/>
        </w:rPr>
      </w:pPr>
      <w:r>
        <w:rPr>
          <w:rFonts w:hint="eastAsia" w:cs="Cambria"/>
        </w:rPr>
        <w:t>注：鲁西矿业与山东能源集团有限公司、山东东山矿业有限公司、肥城肥矿煤业有限公司、临沂矿业集团有限责任公司、龙口煤电有限公司、淄博矿业集团有限责任公司（以下简称各委托方）分别签订《股权委托管理服务协议》，约定鲁西矿业受托代为管理各委托方其持有的肥城肥矿煤业有限公司、山东东山古城煤矿有限公司、山东东山王楼煤矿有限公司、山东东山新驿煤矿有限公司、山东东山矿业有限责任公司株柏煤矿、肥城白庄煤矿有限公司、临沂会宝岭铁矿有限公司、山东里能里彦矿业有限公司、山东里能鲁西矿业有限公司、龙口煤电有限公司梁家煤矿、山东新河矿业有限公司（以下简称目标公司）股权，委托期限为自协议生效之日（含当日）起三年在委托期限内，鲁西矿业有权按照协议约定代委托方其在目标公司的股东权利（不包括财产性股东权利），对目标公司进行管理，负责目标公司的经营管理事项，目标公司的产权隶属关系保持不变，产权权属及资产收益权由各委托方享有。</w:t>
      </w:r>
    </w:p>
    <w:p>
      <w:pPr>
        <w:rPr>
          <w:rFonts w:cs="Cambria"/>
        </w:rPr>
      </w:pPr>
      <w:r>
        <w:rPr>
          <w:rFonts w:hint="eastAsia" w:cs="Cambria"/>
        </w:rPr>
        <w:t>关联托管/承包情况说明</w:t>
      </w:r>
    </w:p>
    <w:sdt>
      <w:sdtPr>
        <w:rPr>
          <w:rFonts w:cs="Cambria"/>
        </w:rPr>
        <w:alias w:val="是否适用：关联托管或承包情况说明[双击切换]"/>
        <w:tag w:val="_GBC_60aca51a92e545e9bbad9ba5228083c8"/>
        <w:id w:val="73096235"/>
      </w:sdtPr>
      <w:sdtEndPr>
        <w:rPr>
          <w:rFonts w:cs="Cambria"/>
        </w:rPr>
      </w:sdtEndPr>
      <w:sdtContent>
        <w:p>
          <w:pPr>
            <w:rPr>
              <w:rFonts w:cs="Cambria"/>
            </w:rPr>
          </w:pPr>
          <w:r>
            <w:rPr>
              <w:rFonts w:cs="Cambria"/>
            </w:rPr>
            <w:fldChar w:fldCharType="begin"/>
          </w:r>
          <w:r>
            <w:rPr>
              <w:rFonts w:hint="eastAsia" w:cs="Cambria"/>
            </w:rPr>
            <w:instrText xml:space="preserve">MACROBUTTON  SnrToggleCheckbox □适用 </w:instrText>
          </w:r>
          <w:r>
            <w:rPr>
              <w:rFonts w:cs="Cambria"/>
            </w:rPr>
            <w:fldChar w:fldCharType="end"/>
          </w:r>
          <w:r>
            <w:rPr>
              <w:rFonts w:cs="Cambria"/>
            </w:rPr>
            <w:fldChar w:fldCharType="begin"/>
          </w:r>
          <w:r>
            <w:rPr>
              <w:rFonts w:hint="eastAsia" w:cs="Cambria"/>
            </w:rPr>
            <w:instrText xml:space="preserve"> MACROBUTTON  SnrToggleCheckbox √不适用 </w:instrText>
          </w:r>
          <w:r>
            <w:rPr>
              <w:rFonts w:cs="Cambria"/>
            </w:rPr>
            <w:fldChar w:fldCharType="end"/>
          </w:r>
        </w:p>
      </w:sdtContent>
    </w:sdt>
    <w:p>
      <w:pPr>
        <w:rPr>
          <w:rFonts w:cs="Cambria"/>
        </w:rPr>
      </w:pPr>
    </w:p>
    <w:p>
      <w:pPr>
        <w:rPr>
          <w:rFonts w:cs="Cambria"/>
          <w:bCs/>
        </w:rPr>
      </w:pPr>
      <w:r>
        <w:rPr>
          <w:rFonts w:hint="eastAsia"/>
        </w:rPr>
        <w:t>本公司</w:t>
      </w:r>
      <w:r>
        <w:rPr>
          <w:rFonts w:hint="eastAsia" w:cs="Cambria"/>
          <w:bCs/>
        </w:rPr>
        <w:t>委托管理/出包情况表</w:t>
      </w:r>
    </w:p>
    <w:sdt>
      <w:sdtPr>
        <w:rPr>
          <w:rFonts w:cs="Cambria"/>
          <w:bCs/>
        </w:rPr>
        <w:alias w:val="是否适用：本公司委托管理或出包情况表[双击切换]"/>
        <w:tag w:val="_GBC_4655dfffa9a7464b8715035e819d5968"/>
        <w:id w:val="965090455"/>
      </w:sdtPr>
      <w:sdtEndPr>
        <w:rPr>
          <w:rFonts w:cs="Cambria"/>
          <w:bCs/>
        </w:rPr>
      </w:sdtEndPr>
      <w:sdtContent>
        <w:p>
          <w:pPr>
            <w:rPr>
              <w:rFonts w:cs="Cambria"/>
              <w:bCs/>
            </w:rPr>
          </w:pPr>
          <w:r>
            <w:rPr>
              <w:rFonts w:cs="Cambria"/>
              <w:bCs/>
            </w:rPr>
            <w:fldChar w:fldCharType="begin"/>
          </w:r>
          <w:r>
            <w:rPr>
              <w:rFonts w:hint="eastAsia" w:cs="Cambria"/>
              <w:bCs/>
            </w:rPr>
            <w:instrText xml:space="preserve">MACROBUTTON  SnrToggleCheckbox □适用 </w:instrText>
          </w:r>
          <w:r>
            <w:rPr>
              <w:rFonts w:cs="Cambria"/>
              <w:bCs/>
            </w:rPr>
            <w:fldChar w:fldCharType="end"/>
          </w:r>
          <w:r>
            <w:rPr>
              <w:rFonts w:cs="Cambria"/>
              <w:bCs/>
            </w:rPr>
            <w:fldChar w:fldCharType="begin"/>
          </w:r>
          <w:r>
            <w:rPr>
              <w:rFonts w:hint="eastAsia" w:cs="Cambria"/>
              <w:bCs/>
            </w:rPr>
            <w:instrText xml:space="preserve"> MACROBUTTON  SnrToggleCheckbox √不适用 </w:instrText>
          </w:r>
          <w:r>
            <w:rPr>
              <w:rFonts w:cs="Cambria"/>
              <w:bCs/>
            </w:rPr>
            <w:fldChar w:fldCharType="end"/>
          </w:r>
        </w:p>
      </w:sdtContent>
    </w:sdt>
    <w:p>
      <w:pPr>
        <w:rPr>
          <w:rFonts w:cs="Cambria"/>
          <w:bCs/>
        </w:rPr>
      </w:pPr>
    </w:p>
    <w:p>
      <w:pPr>
        <w:rPr>
          <w:rFonts w:cs="Cambria"/>
          <w:bCs/>
        </w:rPr>
      </w:pPr>
      <w:r>
        <w:rPr>
          <w:rFonts w:hint="eastAsia" w:cs="Cambria"/>
          <w:bCs/>
        </w:rPr>
        <w:t>关联管理/出包情况说明</w:t>
      </w:r>
    </w:p>
    <w:sdt>
      <w:sdtPr>
        <w:rPr>
          <w:rFonts w:cs="Cambria"/>
          <w:bCs/>
        </w:rPr>
        <w:alias w:val="是否适用：关联管理或出包情况说明[双击切换]"/>
        <w:tag w:val="_GBC_a21df8e7013c4b70bab4125cabda8c46"/>
        <w:id w:val="308757812"/>
      </w:sdtPr>
      <w:sdtEndPr>
        <w:rPr>
          <w:rFonts w:cs="Cambria"/>
          <w:bCs/>
        </w:rPr>
      </w:sdtEndPr>
      <w:sdtContent>
        <w:p>
          <w:pPr>
            <w:rPr>
              <w:rFonts w:cs="Cambria"/>
              <w:bCs/>
            </w:rPr>
          </w:pPr>
          <w:r>
            <w:rPr>
              <w:rFonts w:cs="Cambria"/>
              <w:bCs/>
            </w:rPr>
            <w:fldChar w:fldCharType="begin"/>
          </w:r>
          <w:r>
            <w:rPr>
              <w:rFonts w:hint="eastAsia" w:cs="Cambria"/>
              <w:bCs/>
            </w:rPr>
            <w:instrText xml:space="preserve">MACROBUTTON  SnrToggleCheckbox □适用 </w:instrText>
          </w:r>
          <w:r>
            <w:rPr>
              <w:rFonts w:cs="Cambria"/>
              <w:bCs/>
            </w:rPr>
            <w:fldChar w:fldCharType="end"/>
          </w:r>
          <w:r>
            <w:rPr>
              <w:rFonts w:cs="Cambria"/>
              <w:bCs/>
            </w:rPr>
            <w:fldChar w:fldCharType="begin"/>
          </w:r>
          <w:r>
            <w:rPr>
              <w:rFonts w:hint="eastAsia" w:cs="Cambria"/>
              <w:bCs/>
            </w:rPr>
            <w:instrText xml:space="preserve"> MACROBUTTON  SnrToggleCheckbox √不适用 </w:instrText>
          </w:r>
          <w:r>
            <w:rPr>
              <w:rFonts w:cs="Cambria"/>
              <w:bCs/>
            </w:rPr>
            <w:fldChar w:fldCharType="end"/>
          </w:r>
        </w:p>
      </w:sdtContent>
    </w:sdt>
    <w:p>
      <w:pPr>
        <w:rPr>
          <w:rFonts w:cs="Cambria"/>
        </w:rPr>
      </w:pPr>
    </w:p>
    <w:p>
      <w:pPr>
        <w:pStyle w:val="505"/>
        <w:numPr>
          <w:ilvl w:val="3"/>
          <w:numId w:val="129"/>
        </w:numPr>
        <w:ind w:left="426" w:hanging="426" w:hangingChars="202"/>
      </w:pPr>
      <w:r>
        <w:rPr>
          <w:rFonts w:hint="eastAsia"/>
        </w:rPr>
        <w:t>关联租赁情况</w:t>
      </w:r>
    </w:p>
    <w:p>
      <w:pPr>
        <w:pStyle w:val="501"/>
      </w:pPr>
      <w:r>
        <w:rPr>
          <w:rFonts w:hint="eastAsia"/>
        </w:rPr>
        <w:t>本公司作为出租方：</w:t>
      </w:r>
    </w:p>
    <w:sdt>
      <w:sdtPr>
        <w:alias w:val="是否适用：本公司作为出租方的租赁情况表[双击切换]"/>
        <w:tag w:val="_GBC_b67e8ccf7ec147d698f9f192968e98bf"/>
        <w:id w:val="1051351784"/>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1"/>
      </w:pPr>
      <w:r>
        <w:rPr>
          <w:rFonts w:hint="eastAsia"/>
        </w:rPr>
        <w:t>本公司作为承租方：</w:t>
      </w:r>
    </w:p>
    <w:sdt>
      <w:sdtPr>
        <w:alias w:val="是否适用：本公司作为承租方的租赁情况表[双击切换]"/>
        <w:tag w:val="_GBC_f8542afd84e2430aad299d7024543330"/>
        <w:id w:val="-710111584"/>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1"/>
      </w:pPr>
      <w:r>
        <w:rPr>
          <w:rFonts w:hint="eastAsia"/>
        </w:rPr>
        <w:t>关联租赁情况说明</w:t>
      </w:r>
    </w:p>
    <w:sdt>
      <w:sdtPr>
        <w:alias w:val="是否适用：关联租赁情况说明[双击切换]"/>
        <w:tag w:val="_GBC_f11304240a9e46d8b340976a035205d3"/>
        <w:id w:val="-487328415"/>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5"/>
        <w:numPr>
          <w:ilvl w:val="3"/>
          <w:numId w:val="129"/>
        </w:numPr>
        <w:ind w:left="426" w:hanging="426" w:hangingChars="202"/>
      </w:pPr>
      <w:r>
        <w:rPr>
          <w:rFonts w:hint="eastAsia"/>
        </w:rPr>
        <w:t>关联担保情况</w:t>
      </w:r>
    </w:p>
    <w:p>
      <w:pPr>
        <w:pStyle w:val="501"/>
      </w:pPr>
      <w:r>
        <w:rPr>
          <w:rFonts w:hint="eastAsia"/>
        </w:rPr>
        <w:t>本公司作为担保方</w:t>
      </w:r>
    </w:p>
    <w:sdt>
      <w:sdtPr>
        <w:alias w:val="是否适用：本公司作为担保方的担保情况表[双击切换]"/>
        <w:tag w:val="_GBC_4ba390d56c0645788c7893af84ca2773"/>
        <w:id w:val="-213661014"/>
      </w:sdtPr>
      <w:sdtContent>
        <w:p>
          <w:pPr>
            <w:pStyle w:val="501"/>
          </w:pPr>
          <w:r>
            <w:fldChar w:fldCharType="begin"/>
          </w:r>
          <w:r>
            <w:rPr>
              <w:rFonts w:hint="eastAsia"/>
            </w:rPr>
            <w:instrText xml:space="preserve">MACROBUTTON SnrToggleCheckbox √适用 </w:instrText>
          </w:r>
          <w:r>
            <w:fldChar w:fldCharType="end"/>
          </w:r>
          <w:r>
            <w:fldChar w:fldCharType="begin"/>
          </w:r>
          <w:r>
            <w:rPr>
              <w:rFonts w:hint="eastAsia"/>
            </w:rPr>
            <w:instrText xml:space="preserve">MACROBUTTON  SnrToggleCheckbox □不适用 </w:instrText>
          </w:r>
          <w:r>
            <w:fldChar w:fldCharType="end"/>
          </w:r>
        </w:p>
      </w:sdtContent>
    </w:sdt>
    <w:p>
      <w:pPr>
        <w:jc w:val="right"/>
        <w:rPr>
          <w:rFonts w:ascii="Cambria" w:hAnsi="Cambria" w:cs="Cambria"/>
          <w:b/>
          <w:bCs/>
        </w:rPr>
      </w:pPr>
      <w:r>
        <w:rPr>
          <w:rFonts w:hint="eastAsia" w:ascii="Cambria" w:hAnsi="Cambria" w:cs="Cambria"/>
        </w:rPr>
        <w:t>单位：</w:t>
      </w:r>
      <w:sdt>
        <w:sdtPr>
          <w:rPr>
            <w:rFonts w:hint="eastAsia" w:ascii="Cambria" w:hAnsi="Cambria" w:cs="Cambria"/>
          </w:rPr>
          <w:alias w:val="单位：关联担保情况"/>
          <w:tag w:val="_GBC_336765f306884ed7ac31323ffdc7164d"/>
          <w:id w:val="1024901935"/>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千元</w:t>
          </w:r>
        </w:sdtContent>
      </w:sdt>
      <w:r>
        <w:rPr>
          <w:rFonts w:hint="eastAsia" w:ascii="Cambria" w:hAnsi="Cambria" w:cs="Cambria"/>
        </w:rPr>
        <w:t xml:space="preserve">  币种：</w:t>
      </w:r>
      <w:sdt>
        <w:sdtPr>
          <w:rPr>
            <w:rFonts w:hint="eastAsia" w:ascii="Cambria" w:hAnsi="Cambria" w:cs="Cambria"/>
          </w:rPr>
          <w:alias w:val="币种：关联担保情况"/>
          <w:tag w:val="_GBC_65f9c6a02cb346e48ef0bee93406b7c3"/>
          <w:id w:val="122787807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9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281"/>
        <w:gridCol w:w="1716"/>
        <w:gridCol w:w="1857"/>
        <w:gridCol w:w="1286"/>
        <w:gridCol w:w="1428"/>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blHeader/>
        </w:trPr>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担保方</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被担保方</w:t>
            </w:r>
          </w:p>
        </w:tc>
        <w:sdt>
          <w:sdtPr>
            <w:tag w:val="_PLD_e261ef4f94b54fc2b7ef782e98e6a6f9"/>
            <w:id w:val="1628898503"/>
          </w:sdtPr>
          <w:sdtConten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担保金额</w:t>
                </w:r>
              </w:p>
            </w:tc>
          </w:sdtContent>
        </w:sdt>
        <w:sdt>
          <w:sdtPr>
            <w:tag w:val="_PLD_6591ac1a04e6441cbf6e117b8ca9b235"/>
            <w:id w:val="2127581526"/>
          </w:sdtPr>
          <w:sdtContent>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担保起始日</w:t>
                </w:r>
              </w:p>
            </w:tc>
          </w:sdtContent>
        </w:sdt>
        <w:sdt>
          <w:sdtPr>
            <w:tag w:val="_PLD_a4bd05821174469b92860eea66b1f7f5"/>
            <w:id w:val="-1262527488"/>
          </w:sdtPr>
          <w:sdtContent>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担保到期日</w:t>
                </w:r>
              </w:p>
            </w:tc>
          </w:sdtContent>
        </w:sdt>
        <w:sdt>
          <w:sdtPr>
            <w:tag w:val="_PLD_ed3011fa0ff64ab0b41763ff62b9ba30"/>
            <w:id w:val="-1205557853"/>
          </w:sdtPr>
          <w:sdtContent>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担保是否已经履行完毕</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兖煤国际资源</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30,000万美元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2021-11-18</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2024-11-18</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兖煤国际控股</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10,000万美元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2022-6-20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2025-7-20</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兖矿瑞丰</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50,000万人民币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2023-1-6</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2024-1-5</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兖矿瑞丰</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57,000万人民币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2023-3-15</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2024-3-14</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兖矿瑞丰</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30,000万人民币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2023-1-28</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2024-1-28</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兖矿瑞丰</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40,000万人民币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2023-2-14</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2024-2-13</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兖矿瑞丰</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20,000万人民币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2023-9-25</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2024-9-24</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兖矿瑞丰</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20,000万人民币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2023-8-10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2024-8-10</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兖矿瑞丰</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60,000万人民币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2022-8-19</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2024-8-19</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兖矿国贸</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15,000万人民币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2023-8-31</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2024-8-31</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青岛中兖贸易</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30,000万人民币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2023-2-28</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2024-2-27</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青岛中兖贸易</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30,000万人民币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2023-6-24</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2024-6-24</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青岛中兖贸易</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15,000万人民币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2023-6-26</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2024-6-25</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内蒙古荣信化工</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91,710万人民币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2021-2-7</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2025-1-20</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榆林能化</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86,350万人民币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2021-2-7</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2025-1-20</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asciiTheme="majorEastAsia" w:hAnsiTheme="majorEastAsia" w:eastAsiaTheme="majorEastAsia"/>
                <w:spacing w:val="-20"/>
              </w:rPr>
              <w:t>鲁南化工</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85,000万人民币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2021-3-17</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2029-3-12</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烟台金正环保科技有限公司</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137,00万人民币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2023-3-10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2026-5-9</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本公司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万福能源</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100,000万人民币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2023-12-20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2026-12-19</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内蒙古矿业</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乌兰察布市宏大实业有限公司</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105,767.61万人民币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2021-8-20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2026-9-3</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内蒙古矿业</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锋威光电</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53,381.2万人民币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2021-10-22</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2029-10-22</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内蒙古矿业</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内蒙古锦联铝材有限责任公司</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9,000万人民币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2015-12-16</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2025-12-16</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锋威光电</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内蒙古矿业</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47,695万人民币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2022-6-29</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2024-6-29</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未来能源</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陕西靖神铁路有限责任公司</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31,420万人民币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2018-7-26</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2043-7-25</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新疆能化</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伊新煤业</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16,500万人民币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2023-11-21</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2033-11-21</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鲁西矿业</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新巨龙公司</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5,940万人民币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2023-1-13</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2024-1-12</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鲁西矿业</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新巨龙公司</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6,000万人民币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2023-3-30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2024-3-29</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鲁西矿业</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菏泽煤电</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25,000万人民币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2023-3-30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2024-3-29</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鲁西矿业</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李楼煤业</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15,400万人民币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2023-4-27</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2026-4-26</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鲁西矿业</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李楼煤业</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700万人民币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2023-7-24</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2024-1-24</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鲁西矿业</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Theme="majorEastAsia" w:hAnsiTheme="majorEastAsia" w:eastAsiaTheme="majorEastAsia"/>
                <w:spacing w:val="-20"/>
              </w:rPr>
              <w:t>李楼煤业</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127.68万人民币</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2023-8-1</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2024-1-31</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asciiTheme="majorEastAsia" w:hAnsiTheme="majorEastAsia" w:eastAsiaTheme="majorEastAsia"/>
                <w:spacing w:val="-20"/>
              </w:rPr>
              <w:t>Syntech Resources Pty Ltd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1,400万澳元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2017-9-1</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2027-4-1</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asciiTheme="majorEastAsia" w:hAnsiTheme="majorEastAsia" w:eastAsiaTheme="majorEastAsia"/>
                <w:spacing w:val="-20"/>
              </w:rPr>
              <w:t>Syntech Resources Pty Ltd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3,466.9万澳元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2023-2-20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2031-4-30</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asciiTheme="majorEastAsia" w:hAnsiTheme="majorEastAsia" w:eastAsiaTheme="majorEastAsia"/>
                <w:spacing w:val="-20"/>
              </w:rPr>
              <w:t>Syntech Resources Pty Ltd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272.79万澳元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2023-2-21</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2031-4-30</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asciiTheme="majorEastAsia" w:hAnsiTheme="majorEastAsia" w:eastAsiaTheme="majorEastAsia"/>
                <w:spacing w:val="-20"/>
              </w:rPr>
              <w:t>Syntech Resources Pty Ltd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52.53万澳元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2023-5-5</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2031-4-30</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asciiTheme="majorEastAsia" w:hAnsiTheme="majorEastAsia" w:eastAsiaTheme="majorEastAsia"/>
                <w:spacing w:val="-20"/>
              </w:rPr>
              <w:t>Syntech Resources Pty Ltd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30万澳元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2016-9-30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N/A</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asciiTheme="majorEastAsia" w:hAnsiTheme="majorEastAsia" w:eastAsiaTheme="majorEastAsia"/>
                <w:spacing w:val="-20"/>
              </w:rPr>
              <w:t>Syntech Resources Pty Ltd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1.01万澳元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2020-12-7</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N/A</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asciiTheme="majorEastAsia" w:hAnsiTheme="majorEastAsia" w:eastAsiaTheme="majorEastAsia"/>
                <w:spacing w:val="-20"/>
              </w:rPr>
              <w:t>AMH (Chinchilla Coal) Pty Ltd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2万澳元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2020-12-7</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N/A</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宋体" w:hAnsi="宋体"/>
                <w:spacing w:val="-20"/>
                <w:sz w:val="22"/>
                <w:szCs w:val="22"/>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ascii="宋体" w:hAnsi="宋体"/>
                <w:spacing w:val="-20"/>
                <w:sz w:val="22"/>
                <w:szCs w:val="22"/>
              </w:rPr>
              <w:t>AMH (Chinchilla Coal) Pty Ltd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宋体" w:hAnsi="宋体"/>
                <w:spacing w:val="-20"/>
                <w:sz w:val="22"/>
                <w:szCs w:val="22"/>
              </w:rPr>
              <w:t>2.9万澳元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宋体" w:hAnsi="宋体"/>
                <w:spacing w:val="-20"/>
                <w:sz w:val="22"/>
                <w:szCs w:val="22"/>
              </w:rPr>
              <w:t>2020-12-7</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宋体" w:hAnsi="宋体"/>
                <w:spacing w:val="-20"/>
                <w:sz w:val="22"/>
                <w:szCs w:val="22"/>
              </w:rPr>
              <w:t>N/A</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宋体" w:hAnsi="宋体"/>
                <w:spacing w:val="-2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spacing w:val="-20"/>
                <w:sz w:val="22"/>
                <w:szCs w:val="22"/>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ajorEastAsia" w:hAnsiTheme="majorEastAsia" w:eastAsiaTheme="majorEastAsia"/>
                <w:spacing w:val="-20"/>
              </w:rPr>
            </w:pPr>
            <w:r>
              <w:rPr>
                <w:rFonts w:hint="eastAsia" w:ascii="宋体" w:hAnsi="宋体"/>
                <w:spacing w:val="-20"/>
                <w:sz w:val="22"/>
                <w:szCs w:val="22"/>
              </w:rPr>
              <w:t>Athena Coal Mines Pty Ltd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宋体" w:hAnsi="宋体"/>
                <w:spacing w:val="-20"/>
                <w:sz w:val="22"/>
                <w:szCs w:val="22"/>
              </w:rPr>
              <w:t>0.25万澳元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2020-12-7</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N/A</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spacing w:val="-20"/>
                <w:sz w:val="22"/>
                <w:szCs w:val="22"/>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ajorEastAsia" w:hAnsiTheme="majorEastAsia" w:eastAsiaTheme="majorEastAsia"/>
                <w:spacing w:val="-20"/>
              </w:rPr>
            </w:pPr>
            <w:r>
              <w:rPr>
                <w:rFonts w:hint="eastAsia" w:ascii="宋体" w:hAnsi="宋体"/>
                <w:spacing w:val="-20"/>
                <w:sz w:val="22"/>
                <w:szCs w:val="22"/>
              </w:rPr>
              <w:t>Premier Coal Limited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宋体" w:hAnsi="宋体"/>
                <w:spacing w:val="-20"/>
                <w:sz w:val="22"/>
                <w:szCs w:val="22"/>
              </w:rPr>
              <w:t>400万澳元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2017-9-1</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N/A</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spacing w:val="-20"/>
                <w:sz w:val="22"/>
                <w:szCs w:val="22"/>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ajorEastAsia" w:hAnsiTheme="majorEastAsia" w:eastAsiaTheme="majorEastAsia"/>
                <w:spacing w:val="-20"/>
              </w:rPr>
            </w:pPr>
            <w:r>
              <w:rPr>
                <w:rFonts w:hint="eastAsia" w:ascii="宋体" w:hAnsi="宋体"/>
                <w:spacing w:val="-20"/>
                <w:sz w:val="22"/>
                <w:szCs w:val="22"/>
              </w:rPr>
              <w:t>Premier Coal Limited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宋体" w:hAnsi="宋体"/>
                <w:spacing w:val="-20"/>
                <w:sz w:val="22"/>
                <w:szCs w:val="22"/>
              </w:rPr>
              <w:t>2,500万澳元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2023-2-21</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2026-12-31</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spacing w:val="-20"/>
                <w:sz w:val="22"/>
                <w:szCs w:val="22"/>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ajorEastAsia" w:hAnsiTheme="majorEastAsia" w:eastAsiaTheme="majorEastAsia"/>
                <w:spacing w:val="-20"/>
              </w:rPr>
            </w:pPr>
            <w:r>
              <w:rPr>
                <w:rFonts w:hint="eastAsia" w:ascii="宋体" w:hAnsi="宋体"/>
                <w:spacing w:val="-20"/>
                <w:sz w:val="22"/>
                <w:szCs w:val="22"/>
              </w:rPr>
              <w:t>Premier Coal Limited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宋体" w:hAnsi="宋体"/>
                <w:spacing w:val="-20"/>
                <w:sz w:val="22"/>
                <w:szCs w:val="22"/>
              </w:rPr>
              <w:t>6.25万澳元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2020-12-4</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N/A</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宋体" w:hAnsi="宋体"/>
                <w:spacing w:val="-20"/>
                <w:sz w:val="22"/>
                <w:szCs w:val="22"/>
              </w:rPr>
              <w:t>澳洲公司</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ajorEastAsia" w:hAnsiTheme="majorEastAsia" w:eastAsiaTheme="majorEastAsia"/>
                <w:spacing w:val="-20"/>
              </w:rPr>
            </w:pPr>
            <w:r>
              <w:rPr>
                <w:rFonts w:hint="eastAsia" w:ascii="宋体" w:hAnsi="宋体"/>
                <w:spacing w:val="-20"/>
                <w:sz w:val="22"/>
                <w:szCs w:val="22"/>
              </w:rPr>
              <w:t>Tonford Holdings Pty Ltd</w:t>
            </w:r>
          </w:p>
        </w:tc>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宋体" w:hAnsi="宋体"/>
                <w:spacing w:val="-20"/>
                <w:sz w:val="22"/>
                <w:szCs w:val="22"/>
              </w:rPr>
              <w:t>1万澳元</w:t>
            </w:r>
          </w:p>
        </w:tc>
        <w:tc>
          <w:tcPr>
            <w:tcW w:w="7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2020-12-7</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N/A</w:t>
            </w:r>
          </w:p>
        </w:tc>
        <w:tc>
          <w:tcPr>
            <w:tcW w:w="7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ajorEastAsia" w:hAnsiTheme="majorEastAsia" w:eastAsiaTheme="majorEastAsia"/>
                <w:spacing w:val="-20"/>
              </w:rPr>
            </w:pPr>
            <w:r>
              <w:rPr>
                <w:rFonts w:hint="eastAsia" w:ascii="宋体" w:hAnsi="宋体"/>
                <w:spacing w:val="-20"/>
                <w:sz w:val="22"/>
                <w:szCs w:val="22"/>
              </w:rPr>
              <w:t>否</w:t>
            </w:r>
          </w:p>
        </w:tc>
      </w:tr>
    </w:tbl>
    <w:p/>
    <w:p>
      <w:pPr>
        <w:rPr>
          <w:rFonts w:ascii="Cambria" w:hAnsi="Cambria" w:cs="Cambria"/>
        </w:rPr>
      </w:pPr>
      <w:r>
        <w:rPr>
          <w:rFonts w:hint="eastAsia" w:ascii="Cambria" w:hAnsi="Cambria" w:cs="Cambria"/>
        </w:rPr>
        <w:t>本公司作为被担保方</w:t>
      </w:r>
    </w:p>
    <w:sdt>
      <w:sdtPr>
        <w:rPr>
          <w:rFonts w:ascii="Cambria" w:hAnsi="Cambria" w:cs="Cambria"/>
        </w:rPr>
        <w:alias w:val="是否适用：本公司作为被担保方的担保情况表[双击切换]"/>
        <w:tag w:val="_GBC_24ee28d66e214f089c669dca4a51a3a4"/>
        <w:id w:val="-912087988"/>
      </w:sdtPr>
      <w:sdtEndPr>
        <w:rPr>
          <w:rFonts w:ascii="Cambria" w:hAnsi="Cambria" w:cs="Cambria"/>
        </w:rPr>
      </w:sdtEndPr>
      <w:sdtContent>
        <w:p>
          <w:pPr>
            <w:rPr>
              <w:rFonts w:ascii="Cambria" w:hAnsi="Cambria" w:cs="Cambria"/>
            </w:rPr>
          </w:pPr>
          <w:r>
            <w:rPr>
              <w:rFonts w:ascii="Cambria" w:hAnsi="Cambria" w:cs="Cambria"/>
            </w:rPr>
            <w:fldChar w:fldCharType="begin"/>
          </w:r>
          <w:r>
            <w:rPr>
              <w:rFonts w:hint="eastAsia" w:ascii="Cambria" w:hAnsi="Cambria" w:cs="Cambria"/>
            </w:rPr>
            <w:instrText xml:space="preserve">MACROBUTTON SnrToggleCheckbox √适用 </w:instrText>
          </w:r>
          <w:r>
            <w:rPr>
              <w:rFonts w:ascii="Cambria" w:hAnsi="Cambria" w:cs="Cambria"/>
            </w:rPr>
            <w:fldChar w:fldCharType="end"/>
          </w:r>
          <w:r>
            <w:rPr>
              <w:rFonts w:ascii="Cambria" w:hAnsi="Cambria" w:cs="Cambria"/>
            </w:rPr>
            <w:fldChar w:fldCharType="begin"/>
          </w:r>
          <w:r>
            <w:rPr>
              <w:rFonts w:hint="eastAsia" w:ascii="Cambria" w:hAnsi="Cambria" w:cs="Cambria"/>
            </w:rPr>
            <w:instrText xml:space="preserve">MACROBUTTON  SnrToggleCheckbox □不适用 </w:instrText>
          </w:r>
          <w:r>
            <w:rPr>
              <w:rFonts w:ascii="Cambria" w:hAnsi="Cambria" w:cs="Cambria"/>
            </w:rPr>
            <w:fldChar w:fldCharType="end"/>
          </w:r>
        </w:p>
      </w:sdtContent>
    </w:sdt>
    <w:p>
      <w:pPr>
        <w:jc w:val="right"/>
        <w:rPr>
          <w:rFonts w:ascii="Cambria" w:hAnsi="Cambria" w:cs="Cambria"/>
        </w:rPr>
      </w:pPr>
      <w:r>
        <w:rPr>
          <w:rFonts w:hint="eastAsia" w:ascii="Cambria" w:hAnsi="Cambria" w:cs="Cambria"/>
        </w:rPr>
        <w:t>单位：</w:t>
      </w:r>
      <w:sdt>
        <w:sdtPr>
          <w:rPr>
            <w:rFonts w:hint="eastAsia" w:ascii="Cambria" w:hAnsi="Cambria" w:cs="Cambria"/>
          </w:rPr>
          <w:alias w:val="单位：财务附注：本公司作为被担保方"/>
          <w:tag w:val="_GBC_08de61ddd16b467c884ca0edae6aa2be"/>
          <w:id w:val="1777591456"/>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千元</w:t>
          </w:r>
        </w:sdtContent>
      </w:sdt>
      <w:r>
        <w:rPr>
          <w:rFonts w:hint="eastAsia" w:ascii="Cambria" w:hAnsi="Cambria" w:cs="Cambria"/>
        </w:rPr>
        <w:t xml:space="preserve">  币种：</w:t>
      </w:r>
      <w:sdt>
        <w:sdtPr>
          <w:rPr>
            <w:rFonts w:hint="eastAsia" w:ascii="Cambria" w:hAnsi="Cambria" w:cs="Cambria"/>
          </w:rPr>
          <w:alias w:val="币种：财务附注：本公司作为被担保方"/>
          <w:tag w:val="_GBC_42fee4856c844a5db5f4478afdb3c96d"/>
          <w:id w:val="11946495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9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24"/>
        <w:gridCol w:w="1570"/>
        <w:gridCol w:w="1715"/>
        <w:gridCol w:w="1430"/>
        <w:gridCol w:w="1571"/>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blHeader/>
        </w:trPr>
        <w:sdt>
          <w:sdtPr>
            <w:tag w:val="_PLD_e05323f7a96841bb935f95dcfec68e48"/>
            <w:id w:val="890309668"/>
          </w:sdtPr>
          <w:sdtContent>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担保方</w:t>
                </w:r>
              </w:p>
            </w:tc>
          </w:sdtContent>
        </w:sd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被担保方</w:t>
            </w:r>
          </w:p>
        </w:tc>
        <w:sdt>
          <w:sdtPr>
            <w:tag w:val="_PLD_7721a8a4c1844b24b36caad78c1dee85"/>
            <w:id w:val="487127856"/>
          </w:sdtPr>
          <w:sdtConten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担保金额</w:t>
                </w:r>
              </w:p>
            </w:tc>
          </w:sdtContent>
        </w:sdt>
        <w:sdt>
          <w:sdtPr>
            <w:tag w:val="_PLD_cac4c4f152c846eb9313593bf39d4ef9"/>
            <w:id w:val="-1017686813"/>
          </w:sdtPr>
          <w:sdtContent>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担保起始日</w:t>
                </w:r>
              </w:p>
            </w:tc>
          </w:sdtContent>
        </w:sdt>
        <w:sdt>
          <w:sdtPr>
            <w:tag w:val="_PLD_c0918f2db0154eb396818afe3e3f0e9d"/>
            <w:id w:val="-622925684"/>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担保到期日</w:t>
                </w:r>
              </w:p>
            </w:tc>
          </w:sdtContent>
        </w:sdt>
        <w:sdt>
          <w:sdtPr>
            <w:tag w:val="_PLD_f7d47a75b517407d8d11153f5529706f"/>
            <w:id w:val="-1654671581"/>
          </w:sdtPr>
          <w:sdtContent>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担保是否已经履行完毕</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山东能源</w:t>
            </w:r>
          </w:p>
        </w:tc>
        <w:sdt>
          <w:sdtPr>
            <w:alias w:val="被担保方"/>
            <w:tag w:val="_GBC_f00c5d8263b641628f1edbefbf3df046"/>
            <w:id w:val="401641501"/>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本公司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305,000万人民币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2012-7-23</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2024-3-4</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山东能源</w:t>
            </w:r>
          </w:p>
        </w:tc>
        <w:sdt>
          <w:sdtPr>
            <w:alias w:val="被担保方"/>
            <w:tag w:val="_GBC_f00c5d8263b641628f1edbefbf3df046"/>
            <w:id w:val="36090758"/>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本公司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15,000万美元</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2017-8-29</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2024-8-29</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山东能源</w:t>
            </w:r>
          </w:p>
        </w:tc>
        <w:sdt>
          <w:sdtPr>
            <w:alias w:val="被担保方"/>
            <w:tag w:val="_GBC_f00c5d8263b641628f1edbefbf3df046"/>
            <w:id w:val="-1854805495"/>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陕西未来能源化工有限公司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194,250万人民币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2016-5-30</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2029-05-20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山东能源</w:t>
            </w:r>
          </w:p>
        </w:tc>
        <w:sdt>
          <w:sdtPr>
            <w:alias w:val="被担保方"/>
            <w:tag w:val="_GBC_f00c5d8263b641628f1edbefbf3df046"/>
            <w:id w:val="-926108875"/>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梁宝寺能源</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100,000万人民币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2022-10-17</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2025-10-17</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山东能源</w:t>
            </w:r>
          </w:p>
        </w:tc>
        <w:sdt>
          <w:sdtPr>
            <w:alias w:val="被担保方"/>
            <w:tag w:val="_GBC_f00c5d8263b641628f1edbefbf3df046"/>
            <w:id w:val="1462772448"/>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李楼煤业</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2,326.74万人民币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2019-6-21</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2024-6-21</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陕西延长石油（集团）有限责任公司</w:t>
            </w:r>
          </w:p>
        </w:tc>
        <w:sdt>
          <w:sdtPr>
            <w:alias w:val="被担保方"/>
            <w:tag w:val="_GBC_f00c5d8263b641628f1edbefbf3df046"/>
            <w:id w:val="685172496"/>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陕西未来能源化工有限公司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64,750万人民币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2016-5-30</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2032-5-29</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新矿集团</w:t>
            </w:r>
          </w:p>
        </w:tc>
        <w:sdt>
          <w:sdtPr>
            <w:alias w:val="被担保方"/>
            <w:tag w:val="_GBC_f00c5d8263b641628f1edbefbf3df046"/>
            <w:id w:val="-1287587984"/>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伊犁能源</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148,000万人民币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2022-8-17</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2037-9-6</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新矿集团</w:t>
            </w:r>
          </w:p>
        </w:tc>
        <w:sdt>
          <w:sdtPr>
            <w:alias w:val="被担保方"/>
            <w:tag w:val="_GBC_f00c5d8263b641628f1edbefbf3df046"/>
            <w:id w:val="13582513"/>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伊犁能源</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114,000万人民币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2022-9-27</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2032-9-26</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新矿集团</w:t>
            </w:r>
          </w:p>
        </w:tc>
        <w:sdt>
          <w:sdtPr>
            <w:alias w:val="被担保方"/>
            <w:tag w:val="_GBC_f00c5d8263b641628f1edbefbf3df046"/>
            <w:id w:val="527533544"/>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伊犁能源</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76,000万人民币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2022-9-27</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2032-9-26</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新矿集团</w:t>
            </w:r>
          </w:p>
        </w:tc>
        <w:sdt>
          <w:sdtPr>
            <w:alias w:val="被担保方"/>
            <w:tag w:val="_GBC_f00c5d8263b641628f1edbefbf3df046"/>
            <w:id w:val="1954278913"/>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伊新煤业</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200,000万人民币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2023-1-17</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2038-1-17</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临矿集团</w:t>
            </w:r>
          </w:p>
        </w:tc>
        <w:sdt>
          <w:sdtPr>
            <w:alias w:val="被担保方"/>
            <w:tag w:val="_GBC_f00c5d8263b641628f1edbefbf3df046"/>
            <w:id w:val="-53170466"/>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菏泽煤电</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18</w:t>
            </w:r>
            <w:r>
              <w:rPr>
                <w:rFonts w:asciiTheme="majorEastAsia" w:hAnsiTheme="majorEastAsia" w:eastAsiaTheme="majorEastAsia"/>
                <w:spacing w:val="-20"/>
              </w:rPr>
              <w:t>,</w:t>
            </w:r>
            <w:r>
              <w:rPr>
                <w:rFonts w:hint="eastAsia" w:asciiTheme="majorEastAsia" w:hAnsiTheme="majorEastAsia" w:eastAsiaTheme="majorEastAsia"/>
                <w:spacing w:val="-20"/>
              </w:rPr>
              <w:t>807.75万人民币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2022-4-29</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2025-4-28</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临矿集团</w:t>
            </w:r>
          </w:p>
        </w:tc>
        <w:sdt>
          <w:sdtPr>
            <w:alias w:val="被担保方"/>
            <w:tag w:val="_GBC_f00c5d8263b641628f1edbefbf3df046"/>
            <w:id w:val="-512768107"/>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菏泽煤电</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2</w:t>
            </w:r>
            <w:r>
              <w:rPr>
                <w:rFonts w:asciiTheme="majorEastAsia" w:hAnsiTheme="majorEastAsia" w:eastAsiaTheme="majorEastAsia"/>
                <w:spacing w:val="-20"/>
              </w:rPr>
              <w:t>,</w:t>
            </w:r>
            <w:r>
              <w:rPr>
                <w:rFonts w:hint="eastAsia" w:asciiTheme="majorEastAsia" w:hAnsiTheme="majorEastAsia" w:eastAsiaTheme="majorEastAsia"/>
                <w:spacing w:val="-20"/>
              </w:rPr>
              <w:t>412.6万人民币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2021-9-29</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2024-9-28</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青岛世纪瑞丰集团有限公司</w:t>
            </w:r>
          </w:p>
        </w:tc>
        <w:sdt>
          <w:sdtPr>
            <w:alias w:val="被担保方"/>
            <w:tag w:val="_GBC_f00c5d8263b641628f1edbefbf3df046"/>
            <w:id w:val="-145132543"/>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本公司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50,000万人民币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2023-1-6</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2024-1-5</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青岛世纪瑞丰集团有限公司</w:t>
            </w:r>
          </w:p>
        </w:tc>
        <w:sdt>
          <w:sdtPr>
            <w:alias w:val="被担保方"/>
            <w:tag w:val="_GBC_f00c5d8263b641628f1edbefbf3df046"/>
            <w:id w:val="-1253347934"/>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本公司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57,000万人民币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2023-3-15</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2024-3-14</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青岛世纪瑞丰集团有限公司</w:t>
            </w:r>
          </w:p>
        </w:tc>
        <w:sdt>
          <w:sdtPr>
            <w:alias w:val="被担保方"/>
            <w:tag w:val="_GBC_f00c5d8263b641628f1edbefbf3df046"/>
            <w:id w:val="1197042648"/>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本公司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30,000万人民币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2023-1-28</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2024-1-28</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青岛世纪瑞丰集团有限公司</w:t>
            </w:r>
          </w:p>
        </w:tc>
        <w:sdt>
          <w:sdtPr>
            <w:alias w:val="被担保方"/>
            <w:tag w:val="_GBC_f00c5d8263b641628f1edbefbf3df046"/>
            <w:id w:val="-1971980185"/>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本公司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40,000万人民币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2023-2-14</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2024-2-13</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青岛世纪瑞丰集团有限公司</w:t>
            </w:r>
          </w:p>
        </w:tc>
        <w:sdt>
          <w:sdtPr>
            <w:alias w:val="被担保方"/>
            <w:tag w:val="_GBC_f00c5d8263b641628f1edbefbf3df046"/>
            <w:id w:val="-118847744"/>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本公司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20,000万人民币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2023-9-25</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2024-9-24</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青岛世纪瑞丰集团有限公司</w:t>
            </w:r>
          </w:p>
        </w:tc>
        <w:sdt>
          <w:sdtPr>
            <w:alias w:val="被担保方"/>
            <w:tag w:val="_GBC_f00c5d8263b641628f1edbefbf3df046"/>
            <w:id w:val="1846974527"/>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本公司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20,000万人民币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2023-8-10</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2024-8-10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青岛世纪瑞丰集团有限公司</w:t>
            </w:r>
          </w:p>
        </w:tc>
        <w:sdt>
          <w:sdtPr>
            <w:alias w:val="被担保方"/>
            <w:tag w:val="_GBC_f00c5d8263b641628f1edbefbf3df046"/>
            <w:id w:val="-92400909"/>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本公司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60,000万人民币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2022-8-19</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2024-8-19</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烟台金正环保科技有限公司</w:t>
            </w:r>
          </w:p>
        </w:tc>
        <w:sdt>
          <w:sdtPr>
            <w:alias w:val="被担保方"/>
            <w:tag w:val="_GBC_f00c5d8263b641628f1edbefbf3df046"/>
            <w:id w:val="1125962586"/>
            <w:lock w:val="sdtLocked"/>
          </w:sdtPr>
          <w:sdtContent>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本公司</w:t>
                </w:r>
              </w:p>
            </w:tc>
          </w:sdtContent>
        </w:sd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spacing w:val="-20"/>
              </w:rPr>
              <w:t>7,535万人民币</w:t>
            </w:r>
          </w:p>
        </w:tc>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2023-3-10</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2026-5-9</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spacing w:val="-20"/>
              </w:rPr>
              <w:t>否</w:t>
            </w:r>
          </w:p>
        </w:tc>
      </w:tr>
    </w:tbl>
    <w:p>
      <w:pPr>
        <w:pStyle w:val="501"/>
      </w:pPr>
    </w:p>
    <w:p>
      <w:pPr>
        <w:rPr>
          <w:rFonts w:ascii="Cambria" w:hAnsi="Cambria" w:cs="Cambria"/>
        </w:rPr>
      </w:pPr>
      <w:r>
        <w:rPr>
          <w:rFonts w:hint="eastAsia" w:ascii="Cambria" w:hAnsi="Cambria" w:cs="Cambria"/>
        </w:rPr>
        <w:t>关联担保情况说明</w:t>
      </w:r>
    </w:p>
    <w:sdt>
      <w:sdtPr>
        <w:rPr>
          <w:rFonts w:ascii="Cambria" w:hAnsi="Cambria" w:cs="Cambria"/>
        </w:rPr>
        <w:alias w:val="是否适用：关联担保情况说明[双击切换]"/>
        <w:tag w:val="_GBC_455c21d6a2674726afee6a2386be7898"/>
        <w:id w:val="-2115276051"/>
      </w:sdtPr>
      <w:sdtEndPr>
        <w:rPr>
          <w:rFonts w:ascii="Cambria" w:hAnsi="Cambria" w:cs="Cambria"/>
        </w:rPr>
      </w:sdtEndPr>
      <w:sdtContent>
        <w:p>
          <w:pPr>
            <w:rPr>
              <w:rFonts w:ascii="Cambria" w:hAnsi="Cambria" w:cs="Cambria"/>
            </w:rPr>
          </w:pPr>
          <w:r>
            <w:rPr>
              <w:rFonts w:ascii="Cambria" w:hAnsi="Cambria" w:cs="Cambria"/>
            </w:rPr>
            <w:fldChar w:fldCharType="begin"/>
          </w:r>
          <w:r>
            <w:rPr>
              <w:rFonts w:hint="eastAsia" w:ascii="Cambria" w:hAnsi="Cambria" w:cs="Cambria"/>
            </w:rPr>
            <w:instrText xml:space="preserve">MACROBUTTON SnrToggleCheckbox □适用 </w:instrText>
          </w:r>
          <w:r>
            <w:rPr>
              <w:rFonts w:ascii="Cambria" w:hAnsi="Cambria" w:cs="Cambria"/>
            </w:rPr>
            <w:fldChar w:fldCharType="end"/>
          </w:r>
          <w:r>
            <w:rPr>
              <w:rFonts w:ascii="Cambria" w:hAnsi="Cambria" w:cs="Cambria"/>
            </w:rPr>
            <w:fldChar w:fldCharType="begin"/>
          </w:r>
          <w:r>
            <w:rPr>
              <w:rFonts w:hint="eastAsia" w:ascii="Cambria" w:hAnsi="Cambria" w:cs="Cambria"/>
            </w:rPr>
            <w:instrText xml:space="preserve">MACROBUTTON  SnrToggleCheckbox √不适用 </w:instrText>
          </w:r>
          <w:r>
            <w:rPr>
              <w:rFonts w:ascii="Cambria" w:hAnsi="Cambria" w:cs="Cambria"/>
            </w:rPr>
            <w:fldChar w:fldCharType="end"/>
          </w:r>
        </w:p>
      </w:sdtContent>
    </w:sdt>
    <w:p>
      <w:pPr>
        <w:rPr>
          <w:rFonts w:ascii="Cambria" w:hAnsi="Cambria" w:cs="Cambria"/>
          <w:sz w:val="20"/>
          <w:szCs w:val="20"/>
        </w:rPr>
      </w:pPr>
    </w:p>
    <w:p>
      <w:pPr>
        <w:pStyle w:val="505"/>
        <w:numPr>
          <w:ilvl w:val="3"/>
          <w:numId w:val="129"/>
        </w:numPr>
        <w:ind w:left="426" w:hanging="426" w:hangingChars="202"/>
      </w:pPr>
      <w:r>
        <w:rPr>
          <w:rFonts w:hint="eastAsia"/>
        </w:rPr>
        <w:t>关联方资金拆借</w:t>
      </w:r>
    </w:p>
    <w:sdt>
      <w:sdtPr>
        <w:alias w:val="是否适用：关联方资金拆借[双击切换]"/>
        <w:tag w:val="_GBC_9b5630a86e1e452494249106e2600b15"/>
        <w:id w:val="1384598964"/>
      </w:sdtPr>
      <w:sdtContent>
        <w:p>
          <w:pPr>
            <w:pStyle w:val="501"/>
          </w:pPr>
          <w:r>
            <w:fldChar w:fldCharType="begin"/>
          </w:r>
          <w:r>
            <w:rPr>
              <w:rFonts w:hint="eastAsia"/>
            </w:rPr>
            <w:instrText xml:space="preserve">MACROBUTTON SnrToggleCheckbox √适用 </w:instrText>
          </w:r>
          <w:r>
            <w:fldChar w:fldCharType="end"/>
          </w:r>
          <w:r>
            <w:fldChar w:fldCharType="begin"/>
          </w:r>
          <w:r>
            <w:rPr>
              <w:rFonts w:hint="eastAsia"/>
            </w:rPr>
            <w:instrText xml:space="preserve">MACROBUTTON  SnrToggleCheckbox □不适用 </w:instrText>
          </w:r>
          <w:r>
            <w:fldChar w:fldCharType="end"/>
          </w:r>
        </w:p>
      </w:sdtContent>
    </w:sdt>
    <w:p>
      <w:pPr>
        <w:jc w:val="right"/>
        <w:rPr>
          <w:rFonts w:ascii="Cambria" w:hAnsi="Cambria" w:cs="Cambria"/>
        </w:rPr>
      </w:pPr>
      <w:r>
        <w:rPr>
          <w:rFonts w:hint="eastAsia" w:ascii="Cambria" w:hAnsi="Cambria" w:cs="Cambria"/>
        </w:rPr>
        <w:t>单位：</w:t>
      </w:r>
      <w:sdt>
        <w:sdtPr>
          <w:rPr>
            <w:rFonts w:hint="eastAsia" w:ascii="Cambria" w:hAnsi="Cambria" w:cs="Cambria"/>
          </w:rPr>
          <w:alias w:val="单位：关联方资金拆借"/>
          <w:tag w:val="_GBC_638fcfec5a6e4e3da37731c50c9e14c8"/>
          <w:id w:val="1378432060"/>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千元</w:t>
          </w:r>
        </w:sdtContent>
      </w:sdt>
      <w:r>
        <w:rPr>
          <w:rFonts w:hint="eastAsia" w:ascii="Cambria" w:hAnsi="Cambria" w:cs="Cambria"/>
        </w:rPr>
        <w:t xml:space="preserve">  币种：</w:t>
      </w:r>
      <w:sdt>
        <w:sdtPr>
          <w:rPr>
            <w:rFonts w:hint="eastAsia" w:ascii="Cambria" w:hAnsi="Cambria" w:cs="Cambria"/>
          </w:rPr>
          <w:alias w:val="币种：关联方资金拆借"/>
          <w:tag w:val="_GBC_9ffab5562b4d42a7ad87881f0bdc32c6"/>
          <w:id w:val="94673960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95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2034"/>
        <w:gridCol w:w="1745"/>
        <w:gridCol w:w="1745"/>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ba0b1157f84a43a686cdfdb96fc9f605"/>
            <w:id w:val="1666592431"/>
          </w:sdtPr>
          <w:sdtContent>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关联方</w:t>
                </w:r>
              </w:p>
            </w:tc>
          </w:sdtContent>
        </w:sdt>
        <w:sdt>
          <w:sdtPr>
            <w:tag w:val="_PLD_d89f0030cf1644d88e79247fb06b91f6"/>
            <w:id w:val="1305815148"/>
          </w:sdtPr>
          <w:sdtContent>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拆借金额</w:t>
                </w:r>
              </w:p>
            </w:tc>
          </w:sdtContent>
        </w:sdt>
        <w:sdt>
          <w:sdtPr>
            <w:tag w:val="_PLD_1a3f019482694e2a9a19e9e491c88664"/>
            <w:id w:val="-77214841"/>
          </w:sdtPr>
          <w:sdtConten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起始日</w:t>
                </w:r>
              </w:p>
            </w:tc>
          </w:sdtContent>
        </w:sdt>
        <w:sdt>
          <w:sdtPr>
            <w:tag w:val="_PLD_18f4f70188ee44fa8cca86fccfa00f81"/>
            <w:id w:val="1336187740"/>
          </w:sdtPr>
          <w:sdtContent>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到期日</w:t>
                </w:r>
              </w:p>
            </w:tc>
          </w:sdtContent>
        </w:sdt>
        <w:sdt>
          <w:sdtPr>
            <w:tag w:val="_PLD_7cdd1d0389de4d0ab081d9f3c4c26d70"/>
            <w:id w:val="2054412363"/>
          </w:sdtPr>
          <w:sdtContent>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b3c9aea6344d1392ee30f16141055a"/>
            <w:id w:val="290633002"/>
          </w:sdt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cs="Cambria"/>
                  </w:rPr>
                  <w:t>拆入</w:t>
                </w:r>
              </w:p>
            </w:tc>
          </w:sdtContent>
        </w:sdt>
      </w:tr>
      <w:sdt>
        <w:sdtPr>
          <w:rPr>
            <w:rFonts w:cs="Cambria"/>
          </w:rPr>
          <w:alias w:val="关联方资金拆入明细"/>
          <w:tag w:val="_TUP_214d4391c9e1470ba8d3b2d5c7347dc0"/>
          <w:id w:val="2048723268"/>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临沂矿业集团有限责任公司</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asciiTheme="majorEastAsia" w:hAnsiTheme="majorEastAsia" w:eastAsiaTheme="majorEastAsia"/>
                  </w:rPr>
                  <w:t>90</w:t>
                </w:r>
                <w:r>
                  <w:rPr>
                    <w:rFonts w:hint="eastAsia" w:asciiTheme="majorEastAsia" w:hAnsiTheme="majorEastAsia" w:eastAsiaTheme="majorEastAsia"/>
                  </w:rPr>
                  <w:t>,</w:t>
                </w:r>
                <w:r>
                  <w:rPr>
                    <w:rFonts w:asciiTheme="majorEastAsia" w:hAnsiTheme="majorEastAsia" w:eastAsiaTheme="majorEastAsia"/>
                  </w:rPr>
                  <w:t>000</w:t>
                </w:r>
                <w:r>
                  <w:rPr>
                    <w:rFonts w:hint="eastAsia" w:asciiTheme="majorEastAsia" w:hAnsiTheme="majorEastAsia" w:eastAsiaTheme="majorEastAsia"/>
                  </w:rPr>
                  <w:t>万人民币</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asciiTheme="majorEastAsia" w:hAnsiTheme="majorEastAsia" w:eastAsiaTheme="majorEastAsia"/>
                  </w:rPr>
                  <w:t>2023-6-27</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asciiTheme="majorEastAsia" w:hAnsiTheme="majorEastAsia" w:eastAsiaTheme="majorEastAsia"/>
                  </w:rPr>
                  <w:t>2024-6-30</w:t>
                </w:r>
              </w:p>
            </w:tc>
            <w:tc>
              <w:tcPr>
                <w:tcW w:w="424"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p>
            </w:tc>
          </w:tr>
        </w:sdtContent>
      </w:sdt>
      <w:sdt>
        <w:sdtPr>
          <w:rPr>
            <w:rFonts w:cs="Cambria"/>
          </w:rPr>
          <w:alias w:val="关联方资金拆入明细"/>
          <w:tag w:val="_TUP_214d4391c9e1470ba8d3b2d5c7347dc0"/>
          <w:id w:val="-1080063515"/>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肥城肥矿煤业有限公司</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asciiTheme="majorEastAsia" w:hAnsiTheme="majorEastAsia" w:eastAsiaTheme="majorEastAsia"/>
                  </w:rPr>
                  <w:t>654</w:t>
                </w:r>
                <w:r>
                  <w:rPr>
                    <w:rFonts w:hint="eastAsia" w:asciiTheme="majorEastAsia" w:hAnsiTheme="majorEastAsia" w:eastAsiaTheme="majorEastAsia"/>
                  </w:rPr>
                  <w:t>万人民币</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asciiTheme="majorEastAsia" w:hAnsiTheme="majorEastAsia" w:eastAsiaTheme="majorEastAsia"/>
                  </w:rPr>
                  <w:t>2022-1-1</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asciiTheme="majorEastAsia" w:hAnsiTheme="majorEastAsia" w:eastAsiaTheme="majorEastAsia"/>
                  </w:rPr>
                  <w:t>2025-3-25</w:t>
                </w:r>
              </w:p>
            </w:tc>
            <w:tc>
              <w:tcPr>
                <w:tcW w:w="424"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p>
            </w:tc>
          </w:tr>
        </w:sdtContent>
      </w:sdt>
      <w:sdt>
        <w:sdtPr>
          <w:rPr>
            <w:rFonts w:cs="Cambria"/>
          </w:rPr>
          <w:alias w:val="关联方资金拆入明细"/>
          <w:tag w:val="_TUP_214d4391c9e1470ba8d3b2d5c7347dc0"/>
          <w:id w:val="1727486021"/>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肥城肥矿煤业有限公司</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asciiTheme="majorEastAsia" w:hAnsiTheme="majorEastAsia" w:eastAsiaTheme="majorEastAsia"/>
                  </w:rPr>
                  <w:t>90,777</w:t>
                </w:r>
                <w:r>
                  <w:rPr>
                    <w:rFonts w:hint="eastAsia" w:asciiTheme="majorEastAsia" w:hAnsiTheme="majorEastAsia" w:eastAsiaTheme="majorEastAsia"/>
                  </w:rPr>
                  <w:t>万人民币</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asciiTheme="majorEastAsia" w:hAnsiTheme="majorEastAsia" w:eastAsiaTheme="majorEastAsia"/>
                  </w:rPr>
                  <w:t>2022-12-14</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asciiTheme="majorEastAsia" w:hAnsiTheme="majorEastAsia" w:eastAsiaTheme="majorEastAsia"/>
                  </w:rPr>
                  <w:t>2024-12-24</w:t>
                </w:r>
              </w:p>
            </w:tc>
            <w:tc>
              <w:tcPr>
                <w:tcW w:w="424"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p>
            </w:tc>
          </w:tr>
        </w:sdtContent>
      </w:sdt>
      <w:sdt>
        <w:sdtPr>
          <w:rPr>
            <w:rFonts w:cs="Cambria"/>
          </w:rPr>
          <w:alias w:val="关联方资金拆入明细"/>
          <w:tag w:val="_TUP_214d4391c9e1470ba8d3b2d5c7347dc0"/>
          <w:id w:val="-1648815980"/>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山东能源集团有限公司</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asciiTheme="majorEastAsia" w:hAnsiTheme="majorEastAsia" w:eastAsiaTheme="majorEastAsia"/>
                  </w:rPr>
                  <w:t>2,200</w:t>
                </w:r>
                <w:r>
                  <w:rPr>
                    <w:rFonts w:hint="eastAsia" w:asciiTheme="majorEastAsia" w:hAnsiTheme="majorEastAsia" w:eastAsiaTheme="majorEastAsia"/>
                  </w:rPr>
                  <w:t>万人民币</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asciiTheme="majorEastAsia" w:hAnsiTheme="majorEastAsia" w:eastAsiaTheme="majorEastAsia"/>
                  </w:rPr>
                  <w:t>2022-10-27</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asciiTheme="majorEastAsia" w:hAnsiTheme="majorEastAsia" w:eastAsiaTheme="majorEastAsia"/>
                  </w:rPr>
                  <w:t>2032-8-21</w:t>
                </w:r>
              </w:p>
            </w:tc>
            <w:tc>
              <w:tcPr>
                <w:tcW w:w="424"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p>
            </w:tc>
          </w:tr>
        </w:sdtContent>
      </w:sdt>
      <w:sdt>
        <w:sdtPr>
          <w:rPr>
            <w:rFonts w:cs="Cambria"/>
          </w:rPr>
          <w:alias w:val="关联方资金拆入明细"/>
          <w:tag w:val="_TUP_214d4391c9e1470ba8d3b2d5c7347dc0"/>
          <w:id w:val="1048581701"/>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山东能源重型装备制造集团有限责任公司</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rPr>
                  <w:t>27</w:t>
                </w:r>
                <w:r>
                  <w:rPr>
                    <w:rFonts w:asciiTheme="majorEastAsia" w:hAnsiTheme="majorEastAsia" w:eastAsiaTheme="majorEastAsia"/>
                  </w:rPr>
                  <w:t>,</w:t>
                </w:r>
                <w:r>
                  <w:rPr>
                    <w:rFonts w:hint="eastAsia" w:asciiTheme="majorEastAsia" w:hAnsiTheme="majorEastAsia" w:eastAsiaTheme="majorEastAsia"/>
                  </w:rPr>
                  <w:t>8</w:t>
                </w:r>
                <w:r>
                  <w:rPr>
                    <w:rFonts w:asciiTheme="majorEastAsia" w:hAnsiTheme="majorEastAsia" w:eastAsiaTheme="majorEastAsia"/>
                  </w:rPr>
                  <w:t>20</w:t>
                </w:r>
                <w:r>
                  <w:rPr>
                    <w:rFonts w:hint="eastAsia" w:asciiTheme="majorEastAsia" w:hAnsiTheme="majorEastAsia" w:eastAsiaTheme="majorEastAsia"/>
                  </w:rPr>
                  <w:t>万人民币</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rPr>
                  <w:t>2022-5-30</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rPr>
                  <w:t>无固定到期日</w:t>
                </w:r>
              </w:p>
            </w:tc>
            <w:tc>
              <w:tcPr>
                <w:tcW w:w="424"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p>
            </w:tc>
          </w:tr>
        </w:sdtContent>
      </w:sdt>
      <w:sdt>
        <w:sdtPr>
          <w:rPr>
            <w:rFonts w:cs="Cambria"/>
          </w:rPr>
          <w:alias w:val="关联方资金拆入明细"/>
          <w:tag w:val="_TUP_214d4391c9e1470ba8d3b2d5c7347dc0"/>
          <w:id w:val="-1733693395"/>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枣庄矿业（集团）济宁岱庄煤业有限公司</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hint="eastAsia" w:asciiTheme="majorEastAsia" w:hAnsiTheme="majorEastAsia" w:eastAsiaTheme="majorEastAsia"/>
                  </w:rPr>
                  <w:t>30,7</w:t>
                </w:r>
                <w:r>
                  <w:rPr>
                    <w:rFonts w:asciiTheme="majorEastAsia" w:hAnsiTheme="majorEastAsia" w:eastAsiaTheme="majorEastAsia"/>
                  </w:rPr>
                  <w:t>70</w:t>
                </w:r>
                <w:r>
                  <w:rPr>
                    <w:rFonts w:hint="eastAsia" w:asciiTheme="majorEastAsia" w:hAnsiTheme="majorEastAsia" w:eastAsiaTheme="majorEastAsia"/>
                  </w:rPr>
                  <w:t>万人民币</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rPr>
                  <w:t>2016-4-13</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asciiTheme="majorEastAsia" w:hAnsiTheme="majorEastAsia" w:eastAsiaTheme="majorEastAsia"/>
                  </w:rPr>
                  <w:t>无固定到期日</w:t>
                </w:r>
              </w:p>
            </w:tc>
            <w:tc>
              <w:tcPr>
                <w:tcW w:w="424"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p>
            </w:tc>
          </w:tr>
        </w:sdtContent>
      </w:sdt>
      <w:sdt>
        <w:sdtPr>
          <w:rPr>
            <w:rFonts w:cs="Cambria"/>
          </w:rPr>
          <w:alias w:val="关联方资金拆入明细"/>
          <w:tag w:val="_TUP_214d4391c9e1470ba8d3b2d5c7347dc0"/>
          <w:id w:val="1440252763"/>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rPr>
                </w:pPr>
                <w:r>
                  <w:rPr>
                    <w:rFonts w:hint="eastAsia"/>
                  </w:rPr>
                  <w:t>枣庄矿业（集团）济宁岱庄煤业有限公司</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asciiTheme="majorEastAsia" w:hAnsiTheme="majorEastAsia" w:eastAsiaTheme="majorEastAsia"/>
                  </w:rPr>
                  <w:t>20,590</w:t>
                </w:r>
                <w:r>
                  <w:rPr>
                    <w:rFonts w:hint="eastAsia" w:asciiTheme="majorEastAsia" w:hAnsiTheme="majorEastAsia" w:eastAsiaTheme="majorEastAsia"/>
                  </w:rPr>
                  <w:t>万人民币</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asciiTheme="majorEastAsia" w:hAnsiTheme="majorEastAsia" w:eastAsiaTheme="majorEastAsia"/>
                  </w:rPr>
                  <w:t>2023-8-31</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asciiTheme="majorEastAsia" w:hAnsiTheme="majorEastAsia" w:eastAsiaTheme="majorEastAsia"/>
                  </w:rPr>
                  <w:t>2028-7-31</w:t>
                </w:r>
              </w:p>
            </w:tc>
            <w:tc>
              <w:tcPr>
                <w:tcW w:w="424"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sdt>
            <w:sdtPr>
              <w:rPr>
                <w:rFonts w:hint="eastAsia"/>
              </w:rPr>
              <w:tag w:val="_PLD_ee454b6a404f46ba83896a7148d74aa7"/>
              <w:id w:val="-1997563877"/>
            </w:sdtPr>
            <w:sdtEndPr>
              <w:rPr>
                <w:rFonts w:hint="eastAsia"/>
              </w:rPr>
            </w:sdtEndPr>
            <w:sdtContent>
              <w:p>
                <w:pPr>
                  <w:pStyle w:val="501"/>
                </w:pPr>
                <w:r>
                  <w:rPr>
                    <w:rFonts w:hint="eastAsia"/>
                  </w:rPr>
                  <w:t>拆出</w:t>
                </w:r>
              </w:p>
            </w:sdtContent>
          </w:sdt>
        </w:tc>
      </w:tr>
      <w:sdt>
        <w:sdtPr>
          <w:alias w:val="关联方资金拆出明细"/>
          <w:tag w:val="_TUP_c4fb69e79ac441b79e2b387e93f72863"/>
          <w:id w:val="-1373997720"/>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pStyle w:val="501"/>
                </w:pPr>
                <w:r>
                  <w:rPr>
                    <w:rFonts w:hint="eastAsia"/>
                  </w:rPr>
                  <w:t>伊犁新天煤化工有限责任公司</w:t>
                </w:r>
              </w:p>
            </w:tc>
            <w:tc>
              <w:tcPr>
                <w:tcW w:w="1124" w:type="pct"/>
                <w:vAlign w:val="center"/>
              </w:tcPr>
              <w:p>
                <w:pPr>
                  <w:jc w:val="right"/>
                </w:pPr>
                <w:r>
                  <w:rPr>
                    <w:rFonts w:asciiTheme="majorEastAsia" w:hAnsiTheme="majorEastAsia" w:eastAsiaTheme="majorEastAsia"/>
                  </w:rPr>
                  <w:t>97,227</w:t>
                </w:r>
                <w:r>
                  <w:rPr>
                    <w:rFonts w:hint="eastAsia" w:asciiTheme="majorEastAsia" w:hAnsiTheme="majorEastAsia" w:eastAsiaTheme="majorEastAsia"/>
                  </w:rPr>
                  <w:t>万人民币</w:t>
                </w:r>
              </w:p>
            </w:tc>
            <w:tc>
              <w:tcPr>
                <w:tcW w:w="964" w:type="pct"/>
                <w:vAlign w:val="center"/>
              </w:tcPr>
              <w:p>
                <w:pPr>
                  <w:jc w:val="center"/>
                </w:pPr>
                <w:r>
                  <w:rPr>
                    <w:rFonts w:asciiTheme="majorEastAsia" w:hAnsiTheme="majorEastAsia" w:eastAsiaTheme="majorEastAsia"/>
                  </w:rPr>
                  <w:t>2023-2-21</w:t>
                </w:r>
              </w:p>
            </w:tc>
            <w:tc>
              <w:tcPr>
                <w:tcW w:w="964" w:type="pct"/>
                <w:vAlign w:val="center"/>
              </w:tcPr>
              <w:p>
                <w:pPr>
                  <w:jc w:val="center"/>
                </w:pPr>
                <w:r>
                  <w:rPr>
                    <w:rFonts w:asciiTheme="majorEastAsia" w:hAnsiTheme="majorEastAsia" w:eastAsiaTheme="majorEastAsia"/>
                  </w:rPr>
                  <w:t>2024-2-20</w:t>
                </w:r>
              </w:p>
            </w:tc>
            <w:tc>
              <w:tcPr>
                <w:tcW w:w="424" w:type="pct"/>
              </w:tcPr>
              <w:p>
                <w:pPr>
                  <w:pStyle w:val="501"/>
                </w:pPr>
              </w:p>
            </w:tc>
          </w:tr>
        </w:sdtContent>
      </w:sdt>
      <w:sdt>
        <w:sdtPr>
          <w:alias w:val="关联方资金拆出明细"/>
          <w:tag w:val="_TUP_c4fb69e79ac441b79e2b387e93f72863"/>
          <w:id w:val="-2143483062"/>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pStyle w:val="501"/>
                </w:pPr>
                <w:r>
                  <w:rPr>
                    <w:rFonts w:hint="eastAsia"/>
                  </w:rPr>
                  <w:t>内蒙古地质矿产（集团）有限责任公司</w:t>
                </w:r>
              </w:p>
            </w:tc>
            <w:tc>
              <w:tcPr>
                <w:tcW w:w="1124" w:type="pct"/>
                <w:vAlign w:val="center"/>
              </w:tcPr>
              <w:p>
                <w:pPr>
                  <w:jc w:val="right"/>
                </w:pPr>
                <w:r>
                  <w:rPr>
                    <w:rFonts w:asciiTheme="majorEastAsia" w:hAnsiTheme="majorEastAsia" w:eastAsiaTheme="majorEastAsia"/>
                  </w:rPr>
                  <w:t>14,384</w:t>
                </w:r>
                <w:r>
                  <w:rPr>
                    <w:rFonts w:hint="eastAsia" w:asciiTheme="majorEastAsia" w:hAnsiTheme="majorEastAsia" w:eastAsiaTheme="majorEastAsia"/>
                  </w:rPr>
                  <w:t>万人民币</w:t>
                </w:r>
              </w:p>
            </w:tc>
            <w:tc>
              <w:tcPr>
                <w:tcW w:w="964" w:type="pct"/>
                <w:vAlign w:val="center"/>
              </w:tcPr>
              <w:p>
                <w:pPr>
                  <w:jc w:val="center"/>
                </w:pPr>
                <w:r>
                  <w:rPr>
                    <w:rFonts w:hint="eastAsia" w:asciiTheme="majorEastAsia" w:hAnsiTheme="majorEastAsia" w:eastAsiaTheme="majorEastAsia"/>
                  </w:rPr>
                  <w:t>2022-7-4</w:t>
                </w:r>
              </w:p>
            </w:tc>
            <w:tc>
              <w:tcPr>
                <w:tcW w:w="964" w:type="pct"/>
                <w:vAlign w:val="center"/>
              </w:tcPr>
              <w:p>
                <w:pPr>
                  <w:jc w:val="center"/>
                </w:pPr>
                <w:r>
                  <w:rPr>
                    <w:rFonts w:asciiTheme="majorEastAsia" w:hAnsiTheme="majorEastAsia" w:eastAsiaTheme="majorEastAsia"/>
                  </w:rPr>
                  <w:t>2024-7-3</w:t>
                </w:r>
              </w:p>
            </w:tc>
            <w:tc>
              <w:tcPr>
                <w:tcW w:w="424" w:type="pct"/>
              </w:tcPr>
              <w:p>
                <w:pPr>
                  <w:pStyle w:val="501"/>
                </w:pPr>
              </w:p>
            </w:tc>
          </w:tr>
        </w:sdtContent>
      </w:sdt>
    </w:tbl>
    <w:p>
      <w:pPr>
        <w:pStyle w:val="501"/>
      </w:pPr>
    </w:p>
    <w:p>
      <w:pPr>
        <w:pStyle w:val="501"/>
      </w:pPr>
    </w:p>
    <w:p>
      <w:pPr>
        <w:pStyle w:val="505"/>
        <w:numPr>
          <w:ilvl w:val="3"/>
          <w:numId w:val="129"/>
        </w:numPr>
        <w:ind w:left="426" w:hanging="426" w:hangingChars="202"/>
      </w:pPr>
      <w:r>
        <w:rPr>
          <w:rFonts w:hint="eastAsia"/>
        </w:rPr>
        <w:t>关联方资产转让、债务重组情况</w:t>
      </w:r>
    </w:p>
    <w:sdt>
      <w:sdtPr>
        <w:alias w:val="是否适用：关联方资产转让、债务重组情况[双击切换]"/>
        <w:tag w:val="_GBC_6f8fce72ce784c23aba8af28c51de336"/>
        <w:id w:val="166705356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5"/>
        <w:numPr>
          <w:ilvl w:val="3"/>
          <w:numId w:val="129"/>
        </w:numPr>
        <w:ind w:left="426" w:hanging="426" w:hangingChars="202"/>
      </w:pPr>
      <w:r>
        <w:rPr>
          <w:rFonts w:hint="eastAsia"/>
        </w:rPr>
        <w:t>关键管理人员报酬</w:t>
      </w:r>
    </w:p>
    <w:sdt>
      <w:sdtPr>
        <w:alias w:val="是否适用：关键管理人员报酬[双击切换]"/>
        <w:tag w:val="_GBC_4768ccd806f845f4b6f5f0ec038ec747"/>
        <w:id w:val="153075503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Cambria" w:hAnsi="Cambria" w:cs="Cambria"/>
        </w:rPr>
      </w:pPr>
      <w:r>
        <w:rPr>
          <w:rFonts w:hint="eastAsia" w:ascii="Cambria" w:hAnsi="Cambria" w:cs="Cambria"/>
        </w:rPr>
        <w:t>单位：</w:t>
      </w:r>
      <w:sdt>
        <w:sdtPr>
          <w:rPr>
            <w:rFonts w:hint="eastAsia" w:ascii="Cambria" w:hAnsi="Cambria" w:cs="Cambria"/>
          </w:rPr>
          <w:alias w:val="单位：财务附注：关键管理人员报酬"/>
          <w:tag w:val="_GBC_3dcac03c36954e5ab3dab539e6a2f735"/>
          <w:id w:val="-18868677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千元</w:t>
          </w:r>
        </w:sdtContent>
      </w:sdt>
      <w:r>
        <w:rPr>
          <w:rFonts w:hint="eastAsia" w:ascii="Cambria" w:hAnsi="Cambria" w:cs="Cambria"/>
        </w:rPr>
        <w:t xml:space="preserve">  币种：</w:t>
      </w:r>
      <w:sdt>
        <w:sdtPr>
          <w:rPr>
            <w:rFonts w:hint="eastAsia" w:ascii="Cambria" w:hAnsi="Cambria" w:cs="Cambria"/>
          </w:rPr>
          <w:alias w:val="币种：财务附注：关键管理人员报酬"/>
          <w:tag w:val="_GBC_9bf846a4da0046829fd7baa3fd1fe348"/>
          <w:id w:val="20042438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95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3274"/>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38745be5c64397b1dab92289838da1"/>
            <w:id w:val="-496578342"/>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项目</w:t>
                </w:r>
              </w:p>
            </w:tc>
          </w:sdtContent>
        </w:sdt>
        <w:sdt>
          <w:sdtPr>
            <w:tag w:val="_PLD_31133ff59dcf4a7b93a7991d1f435b05"/>
            <w:id w:val="-1696530184"/>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本期发生额</w:t>
                </w:r>
              </w:p>
            </w:tc>
          </w:sdtContent>
        </w:sdt>
        <w:sdt>
          <w:sdtPr>
            <w:tag w:val="_PLD_e08658a238f7419ca0d4ce3386ff565e"/>
            <w:id w:val="1945345503"/>
          </w:sdtPr>
          <w:sdtContent>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cs="Cambria"/>
              </w:rPr>
              <w:t>关键管理人员报酬</w:t>
            </w:r>
          </w:p>
        </w:tc>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asciiTheme="majorEastAsia" w:hAnsiTheme="majorEastAsia" w:eastAsiaTheme="majorEastAsia"/>
              </w:rPr>
              <w:t>21,364</w:t>
            </w:r>
          </w:p>
        </w:tc>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rPr>
                <w:rFonts w:asciiTheme="majorEastAsia" w:hAnsiTheme="majorEastAsia" w:eastAsiaTheme="majorEastAsia"/>
              </w:rPr>
              <w:t>21,151</w:t>
            </w:r>
          </w:p>
        </w:tc>
      </w:tr>
    </w:tbl>
    <w:p>
      <w:pPr>
        <w:pStyle w:val="531"/>
      </w:pPr>
    </w:p>
    <w:p>
      <w:pPr>
        <w:pStyle w:val="505"/>
        <w:numPr>
          <w:ilvl w:val="3"/>
          <w:numId w:val="129"/>
        </w:numPr>
        <w:ind w:left="426" w:hanging="426" w:hangingChars="202"/>
      </w:pPr>
      <w:r>
        <w:rPr>
          <w:rFonts w:hint="eastAsia"/>
        </w:rPr>
        <w:t>其他关联交易</w:t>
      </w:r>
    </w:p>
    <w:sdt>
      <w:sdtPr>
        <w:rPr>
          <w:rFonts w:hint="eastAsia"/>
        </w:rPr>
        <w:alias w:val="是否适用：其他关联交易[双击切换]"/>
        <w:tag w:val="_GBC_a1203a07d7684e08bdc2f1959f1cb9ae"/>
        <w:id w:val="-851577888"/>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关联交易的情况"/>
        <w:tag w:val="_GBC_568a4950b7f046d3a08a3d8b97923495"/>
        <w:id w:val="1117175693"/>
        <w:lock w:val="sdtLocked"/>
      </w:sdtPr>
      <w:sdtEndPr>
        <w:rPr>
          <w:rFonts w:ascii="宋体" w:hAnsi="宋体"/>
        </w:rPr>
      </w:sdtEndPr>
      <w:sdtContent>
        <w:p>
          <w:pPr>
            <w:pStyle w:val="501"/>
          </w:pPr>
        </w:p>
        <w:tbl>
          <w:tblPr>
            <w:tblStyle w:val="9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2472"/>
            <w:gridCol w:w="1659"/>
            <w:gridCol w:w="1580"/>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405" w:type="dxa"/>
                <w:vAlign w:val="center"/>
              </w:tcPr>
              <w:p>
                <w:pPr>
                  <w:jc w:val="center"/>
                  <w:rPr>
                    <w:rFonts w:asciiTheme="majorEastAsia" w:hAnsiTheme="majorEastAsia" w:eastAsiaTheme="majorEastAsia"/>
                    <w:b/>
                    <w:bCs/>
                    <w:spacing w:val="-20"/>
                  </w:rPr>
                </w:pPr>
                <w:r>
                  <w:rPr>
                    <w:rFonts w:hint="eastAsia" w:asciiTheme="majorEastAsia" w:hAnsiTheme="majorEastAsia" w:eastAsiaTheme="majorEastAsia"/>
                    <w:b/>
                    <w:bCs/>
                    <w:spacing w:val="-20"/>
                  </w:rPr>
                  <w:t>关联方</w:t>
                </w:r>
              </w:p>
            </w:tc>
            <w:tc>
              <w:tcPr>
                <w:tcW w:w="2410" w:type="dxa"/>
                <w:vAlign w:val="center"/>
              </w:tcPr>
              <w:p>
                <w:pPr>
                  <w:jc w:val="center"/>
                  <w:rPr>
                    <w:rFonts w:asciiTheme="majorEastAsia" w:hAnsiTheme="majorEastAsia" w:eastAsiaTheme="majorEastAsia"/>
                    <w:b/>
                    <w:bCs/>
                    <w:spacing w:val="-20"/>
                  </w:rPr>
                </w:pPr>
                <w:r>
                  <w:rPr>
                    <w:rFonts w:hint="eastAsia" w:asciiTheme="majorEastAsia" w:hAnsiTheme="majorEastAsia" w:eastAsiaTheme="majorEastAsia"/>
                    <w:b/>
                    <w:bCs/>
                    <w:spacing w:val="-20"/>
                  </w:rPr>
                  <w:t>项目名称</w:t>
                </w:r>
              </w:p>
            </w:tc>
            <w:tc>
              <w:tcPr>
                <w:tcW w:w="1618" w:type="dxa"/>
                <w:vAlign w:val="center"/>
              </w:tcPr>
              <w:p>
                <w:pPr>
                  <w:autoSpaceDE w:val="0"/>
                  <w:autoSpaceDN w:val="0"/>
                  <w:jc w:val="center"/>
                  <w:rPr>
                    <w:rFonts w:asciiTheme="majorEastAsia" w:hAnsiTheme="majorEastAsia" w:eastAsiaTheme="majorEastAsia"/>
                    <w:b/>
                    <w:spacing w:val="-20"/>
                  </w:rPr>
                </w:pPr>
                <w:r>
                  <w:rPr>
                    <w:rFonts w:hint="eastAsia" w:asciiTheme="majorEastAsia" w:hAnsiTheme="majorEastAsia" w:eastAsiaTheme="majorEastAsia"/>
                    <w:b/>
                    <w:spacing w:val="-20"/>
                  </w:rPr>
                  <w:t>本年发生额</w:t>
                </w:r>
              </w:p>
            </w:tc>
            <w:tc>
              <w:tcPr>
                <w:tcW w:w="1541" w:type="dxa"/>
                <w:vAlign w:val="center"/>
              </w:tcPr>
              <w:p>
                <w:pPr>
                  <w:autoSpaceDE w:val="0"/>
                  <w:autoSpaceDN w:val="0"/>
                  <w:jc w:val="center"/>
                  <w:rPr>
                    <w:rFonts w:asciiTheme="majorEastAsia" w:hAnsiTheme="majorEastAsia" w:eastAsiaTheme="majorEastAsia"/>
                    <w:b/>
                    <w:spacing w:val="-20"/>
                  </w:rPr>
                </w:pPr>
                <w:r>
                  <w:rPr>
                    <w:rFonts w:hint="eastAsia" w:asciiTheme="majorEastAsia" w:hAnsiTheme="majorEastAsia" w:eastAsiaTheme="majorEastAsia"/>
                    <w:b/>
                    <w:spacing w:val="-20"/>
                  </w:rPr>
                  <w:t>上年发生额</w:t>
                </w:r>
              </w:p>
            </w:tc>
            <w:tc>
              <w:tcPr>
                <w:tcW w:w="849" w:type="dxa"/>
                <w:vAlign w:val="center"/>
              </w:tcPr>
              <w:p>
                <w:pPr>
                  <w:autoSpaceDE w:val="0"/>
                  <w:autoSpaceDN w:val="0"/>
                  <w:jc w:val="center"/>
                  <w:rPr>
                    <w:rFonts w:asciiTheme="majorEastAsia" w:hAnsiTheme="majorEastAsia" w:eastAsiaTheme="majorEastAsia"/>
                    <w:b/>
                    <w:spacing w:val="-20"/>
                  </w:rPr>
                </w:pPr>
                <w:r>
                  <w:rPr>
                    <w:rFonts w:hint="eastAsia" w:cs="Cambria" w:asciiTheme="majorEastAsia" w:hAnsiTheme="majorEastAsia" w:eastAsiaTheme="majorEastAsia"/>
                    <w:b/>
                    <w:spacing w:val="-20"/>
                  </w:rPr>
                  <w:t>关联交易内容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adjustRightInd w:val="0"/>
                  <w:snapToGrid w:val="0"/>
                  <w:textAlignment w:val="center"/>
                  <w:rPr>
                    <w:rFonts w:asciiTheme="majorEastAsia" w:hAnsiTheme="majorEastAsia" w:eastAsiaTheme="majorEastAsia"/>
                    <w:spacing w:val="-20"/>
                  </w:rPr>
                </w:pPr>
                <w:r>
                  <w:rPr>
                    <w:rFonts w:hint="eastAsia" w:asciiTheme="majorEastAsia" w:hAnsiTheme="majorEastAsia" w:eastAsiaTheme="majorEastAsia"/>
                  </w:rPr>
                  <w:t>职工社会保险</w:t>
                </w:r>
              </w:p>
            </w:tc>
            <w:tc>
              <w:tcPr>
                <w:tcW w:w="1618" w:type="dxa"/>
                <w:vAlign w:val="center"/>
              </w:tcPr>
              <w:p>
                <w:pPr>
                  <w:jc w:val="right"/>
                  <w:textAlignment w:val="center"/>
                  <w:rPr>
                    <w:rFonts w:asciiTheme="majorEastAsia" w:hAnsiTheme="majorEastAsia" w:eastAsiaTheme="majorEastAsia"/>
                    <w:spacing w:val="-20"/>
                  </w:rPr>
                </w:pPr>
              </w:p>
            </w:tc>
            <w:tc>
              <w:tcPr>
                <w:tcW w:w="1541" w:type="dxa"/>
                <w:vAlign w:val="center"/>
              </w:tcPr>
              <w:p>
                <w:pPr>
                  <w:jc w:val="right"/>
                  <w:textAlignment w:val="center"/>
                  <w:rPr>
                    <w:rFonts w:asciiTheme="majorEastAsia" w:hAnsiTheme="majorEastAsia" w:eastAsiaTheme="majorEastAsia"/>
                    <w:spacing w:val="-20"/>
                  </w:rPr>
                </w:pPr>
                <w:r>
                  <w:rPr>
                    <w:rFonts w:hint="eastAsia" w:asciiTheme="majorEastAsia" w:hAnsiTheme="majorEastAsia" w:eastAsiaTheme="majorEastAsia"/>
                  </w:rPr>
                  <w:t>380,766</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adjustRightInd w:val="0"/>
                  <w:snapToGrid w:val="0"/>
                  <w:textAlignment w:val="center"/>
                  <w:rPr>
                    <w:rFonts w:asciiTheme="majorEastAsia" w:hAnsiTheme="majorEastAsia" w:eastAsiaTheme="majorEastAsia"/>
                    <w:spacing w:val="-20"/>
                  </w:rPr>
                </w:pPr>
                <w:r>
                  <w:rPr>
                    <w:rFonts w:hint="eastAsia" w:asciiTheme="majorEastAsia" w:hAnsiTheme="majorEastAsia" w:eastAsiaTheme="majorEastAsia"/>
                  </w:rPr>
                  <w:t>离退休职工福利费</w:t>
                </w:r>
              </w:p>
            </w:tc>
            <w:tc>
              <w:tcPr>
                <w:tcW w:w="1618" w:type="dxa"/>
                <w:vAlign w:val="center"/>
              </w:tcPr>
              <w:p>
                <w:pPr>
                  <w:jc w:val="right"/>
                  <w:textAlignment w:val="center"/>
                  <w:rPr>
                    <w:rFonts w:asciiTheme="majorEastAsia" w:hAnsiTheme="majorEastAsia" w:eastAsiaTheme="majorEastAsia"/>
                    <w:spacing w:val="-20"/>
                  </w:rPr>
                </w:pPr>
              </w:p>
            </w:tc>
            <w:tc>
              <w:tcPr>
                <w:tcW w:w="1541" w:type="dxa"/>
                <w:vAlign w:val="center"/>
              </w:tcPr>
              <w:p>
                <w:pPr>
                  <w:jc w:val="right"/>
                  <w:textAlignment w:val="center"/>
                  <w:rPr>
                    <w:rFonts w:asciiTheme="majorEastAsia" w:hAnsiTheme="majorEastAsia" w:eastAsiaTheme="majorEastAsia"/>
                    <w:spacing w:val="-20"/>
                  </w:rPr>
                </w:pPr>
                <w:r>
                  <w:rPr>
                    <w:rFonts w:hint="eastAsia" w:asciiTheme="majorEastAsia" w:hAnsiTheme="majorEastAsia" w:eastAsiaTheme="majorEastAsia"/>
                  </w:rPr>
                  <w:t>381,869</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adjustRightInd w:val="0"/>
                  <w:snapToGrid w:val="0"/>
                  <w:textAlignment w:val="center"/>
                  <w:rPr>
                    <w:rFonts w:asciiTheme="majorEastAsia" w:hAnsiTheme="majorEastAsia" w:eastAsiaTheme="majorEastAsia"/>
                    <w:spacing w:val="-20"/>
                  </w:rPr>
                </w:pPr>
                <w:r>
                  <w:rPr>
                    <w:rFonts w:hint="eastAsia" w:asciiTheme="majorEastAsia" w:hAnsiTheme="majorEastAsia" w:eastAsiaTheme="majorEastAsia"/>
                  </w:rPr>
                  <w:t>工程施工</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2,603,290</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2,487,653</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adjustRightInd w:val="0"/>
                  <w:snapToGrid w:val="0"/>
                  <w:textAlignment w:val="center"/>
                  <w:rPr>
                    <w:rFonts w:asciiTheme="majorEastAsia" w:hAnsiTheme="majorEastAsia" w:eastAsiaTheme="majorEastAsia"/>
                    <w:spacing w:val="-20"/>
                  </w:rPr>
                </w:pPr>
                <w:r>
                  <w:rPr>
                    <w:rFonts w:hint="eastAsia" w:asciiTheme="majorEastAsia" w:hAnsiTheme="majorEastAsia" w:eastAsiaTheme="majorEastAsia"/>
                  </w:rPr>
                  <w:t>担保服务</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109,373</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119,112</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保安服务</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121,538</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76,792</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bCs/>
                    <w:spacing w:val="-20"/>
                  </w:rPr>
                </w:pPr>
                <w:r>
                  <w:rPr>
                    <w:rFonts w:hint="eastAsia" w:asciiTheme="majorEastAsia" w:hAnsiTheme="majorEastAsia" w:eastAsiaTheme="majorEastAsia"/>
                  </w:rPr>
                  <w:t>食宿运营服务</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106,072</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106,496</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员工个人福利</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21,451</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9,143</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利息支出</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209,352</w:t>
                </w:r>
              </w:p>
            </w:tc>
            <w:tc>
              <w:tcPr>
                <w:tcW w:w="1541" w:type="dxa"/>
                <w:vAlign w:val="center"/>
              </w:tcPr>
              <w:p>
                <w:pPr>
                  <w:jc w:val="right"/>
                  <w:rPr>
                    <w:rFonts w:asciiTheme="majorEastAsia" w:hAnsiTheme="majorEastAsia" w:eastAsiaTheme="majorEastAsia"/>
                    <w:spacing w:val="-20"/>
                  </w:rPr>
                </w:pPr>
                <w:r>
                  <w:rPr>
                    <w:rFonts w:asciiTheme="majorEastAsia" w:hAnsiTheme="majorEastAsia" w:eastAsiaTheme="majorEastAsia"/>
                  </w:rPr>
                  <w:t>313,628</w:t>
                </w:r>
              </w:p>
            </w:tc>
            <w:tc>
              <w:tcPr>
                <w:tcW w:w="849" w:type="dxa"/>
                <w:vAlign w:val="center"/>
              </w:tcPr>
              <w:p>
                <w:pPr>
                  <w:jc w:val="center"/>
                  <w:rPr>
                    <w:rFonts w:asciiTheme="majorEastAsia" w:hAnsiTheme="majorEastAsia" w:eastAsiaTheme="majorEastAsia"/>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信息及技术服务</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146,713</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134,971</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资产租赁</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43,209</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42,317</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维修服务</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234,979</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204,284</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医疗救护服务</w:t>
                </w:r>
              </w:p>
            </w:tc>
            <w:tc>
              <w:tcPr>
                <w:tcW w:w="1618"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44,667</w:t>
                </w:r>
              </w:p>
            </w:tc>
            <w:tc>
              <w:tcPr>
                <w:tcW w:w="1541"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40,260</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ERP运维服务</w:t>
                </w:r>
              </w:p>
            </w:tc>
            <w:tc>
              <w:tcPr>
                <w:tcW w:w="1618"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47,170</w:t>
                </w:r>
              </w:p>
            </w:tc>
            <w:tc>
              <w:tcPr>
                <w:tcW w:w="1541"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47,170</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山能财司利息收入</w:t>
                </w:r>
              </w:p>
            </w:tc>
            <w:tc>
              <w:tcPr>
                <w:tcW w:w="1618"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449,098</w:t>
                </w:r>
              </w:p>
            </w:tc>
            <w:tc>
              <w:tcPr>
                <w:tcW w:w="1541"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517,674</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联营企业</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山能财司利息收入</w:t>
                </w:r>
              </w:p>
            </w:tc>
            <w:tc>
              <w:tcPr>
                <w:tcW w:w="1618" w:type="dxa"/>
                <w:vAlign w:val="center"/>
              </w:tcPr>
              <w:p>
                <w:pPr>
                  <w:jc w:val="right"/>
                  <w:textAlignment w:val="center"/>
                  <w:rPr>
                    <w:rFonts w:asciiTheme="majorEastAsia" w:hAnsiTheme="majorEastAsia" w:eastAsiaTheme="majorEastAsia"/>
                    <w:spacing w:val="-20"/>
                  </w:rPr>
                </w:pPr>
                <w:r>
                  <w:rPr>
                    <w:rFonts w:hint="eastAsia" w:asciiTheme="majorEastAsia" w:hAnsiTheme="majorEastAsia" w:eastAsiaTheme="majorEastAsia"/>
                  </w:rPr>
                  <w:t>2,813</w:t>
                </w:r>
              </w:p>
            </w:tc>
            <w:tc>
              <w:tcPr>
                <w:tcW w:w="1541" w:type="dxa"/>
                <w:vAlign w:val="center"/>
              </w:tcPr>
              <w:p>
                <w:pPr>
                  <w:jc w:val="right"/>
                  <w:textAlignment w:val="center"/>
                  <w:rPr>
                    <w:rFonts w:asciiTheme="majorEastAsia" w:hAnsiTheme="majorEastAsia" w:eastAsiaTheme="majorEastAsia"/>
                    <w:spacing w:val="-20"/>
                  </w:rPr>
                </w:pPr>
              </w:p>
            </w:tc>
            <w:tc>
              <w:tcPr>
                <w:tcW w:w="849" w:type="dxa"/>
                <w:vAlign w:val="center"/>
              </w:tcPr>
              <w:p>
                <w:pPr>
                  <w:jc w:val="center"/>
                  <w:rPr>
                    <w:rFonts w:asciiTheme="majorEastAsia" w:hAnsiTheme="majorEastAsia" w:eastAsiaTheme="majorEastAsia"/>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其他关联方</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山能财司利息收入</w:t>
                </w:r>
              </w:p>
            </w:tc>
            <w:tc>
              <w:tcPr>
                <w:tcW w:w="1618" w:type="dxa"/>
                <w:vAlign w:val="center"/>
              </w:tcPr>
              <w:p>
                <w:pPr>
                  <w:jc w:val="right"/>
                  <w:textAlignment w:val="center"/>
                  <w:rPr>
                    <w:rFonts w:asciiTheme="majorEastAsia" w:hAnsiTheme="majorEastAsia" w:eastAsiaTheme="majorEastAsia"/>
                    <w:spacing w:val="-20"/>
                  </w:rPr>
                </w:pPr>
                <w:r>
                  <w:rPr>
                    <w:rFonts w:hint="eastAsia" w:asciiTheme="majorEastAsia" w:hAnsiTheme="majorEastAsia" w:eastAsiaTheme="majorEastAsia"/>
                  </w:rPr>
                  <w:t>2,176</w:t>
                </w:r>
              </w:p>
            </w:tc>
            <w:tc>
              <w:tcPr>
                <w:tcW w:w="1541" w:type="dxa"/>
                <w:vAlign w:val="center"/>
              </w:tcPr>
              <w:p>
                <w:pPr>
                  <w:jc w:val="right"/>
                  <w:textAlignment w:val="center"/>
                  <w:rPr>
                    <w:rFonts w:asciiTheme="majorEastAsia" w:hAnsiTheme="majorEastAsia" w:eastAsiaTheme="majorEastAsia"/>
                    <w:spacing w:val="-20"/>
                  </w:rPr>
                </w:pPr>
              </w:p>
            </w:tc>
            <w:tc>
              <w:tcPr>
                <w:tcW w:w="849" w:type="dxa"/>
                <w:vAlign w:val="center"/>
              </w:tcPr>
              <w:p>
                <w:pPr>
                  <w:jc w:val="center"/>
                  <w:rPr>
                    <w:rFonts w:asciiTheme="majorEastAsia" w:hAnsiTheme="majorEastAsia" w:eastAsiaTheme="majorEastAsia"/>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山能财司手续费收入</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796</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1,243</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山能财司利息支出</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339,968</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423,385</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其他关联方</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山能财司利息支出</w:t>
                </w:r>
              </w:p>
            </w:tc>
            <w:tc>
              <w:tcPr>
                <w:tcW w:w="1618" w:type="dxa"/>
                <w:vAlign w:val="center"/>
              </w:tcPr>
              <w:p>
                <w:pPr>
                  <w:jc w:val="right"/>
                  <w:textAlignment w:val="center"/>
                  <w:rPr>
                    <w:rFonts w:asciiTheme="majorEastAsia" w:hAnsiTheme="majorEastAsia" w:eastAsiaTheme="majorEastAsia"/>
                    <w:spacing w:val="-20"/>
                  </w:rPr>
                </w:pPr>
                <w:r>
                  <w:rPr>
                    <w:rFonts w:hint="eastAsia" w:asciiTheme="majorEastAsia" w:hAnsiTheme="majorEastAsia" w:eastAsiaTheme="majorEastAsia"/>
                  </w:rPr>
                  <w:t>3</w:t>
                </w:r>
              </w:p>
            </w:tc>
            <w:tc>
              <w:tcPr>
                <w:tcW w:w="1541" w:type="dxa"/>
                <w:vAlign w:val="center"/>
              </w:tcPr>
              <w:p>
                <w:pPr>
                  <w:jc w:val="right"/>
                  <w:textAlignment w:val="center"/>
                  <w:rPr>
                    <w:rFonts w:asciiTheme="majorEastAsia" w:hAnsiTheme="majorEastAsia" w:eastAsiaTheme="majorEastAsia"/>
                    <w:spacing w:val="-20"/>
                  </w:rPr>
                </w:pPr>
              </w:p>
            </w:tc>
            <w:tc>
              <w:tcPr>
                <w:tcW w:w="849" w:type="dxa"/>
                <w:vAlign w:val="center"/>
              </w:tcPr>
              <w:p>
                <w:pPr>
                  <w:jc w:val="center"/>
                  <w:rPr>
                    <w:rFonts w:asciiTheme="majorEastAsia" w:hAnsiTheme="majorEastAsia" w:eastAsiaTheme="majorEastAsia"/>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山能财司发放贷款（含贴现）</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17,314,000</w:t>
                </w:r>
              </w:p>
            </w:tc>
            <w:tc>
              <w:tcPr>
                <w:tcW w:w="1541" w:type="dxa"/>
                <w:vAlign w:val="center"/>
              </w:tcPr>
              <w:p>
                <w:pPr>
                  <w:jc w:val="right"/>
                  <w:textAlignment w:val="center"/>
                  <w:rPr>
                    <w:rFonts w:asciiTheme="majorEastAsia" w:hAnsiTheme="majorEastAsia" w:eastAsiaTheme="majorEastAsia"/>
                    <w:spacing w:val="-20"/>
                  </w:rPr>
                </w:pPr>
                <w:r>
                  <w:rPr>
                    <w:rFonts w:hint="eastAsia" w:asciiTheme="majorEastAsia" w:hAnsiTheme="majorEastAsia" w:eastAsiaTheme="majorEastAsia"/>
                  </w:rPr>
                  <w:t>7,304,610</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rPr>
                </w:pPr>
                <w:r>
                  <w:rPr>
                    <w:rFonts w:hint="eastAsia" w:asciiTheme="majorEastAsia" w:hAnsiTheme="majorEastAsia" w:eastAsiaTheme="majorEastAsia"/>
                  </w:rPr>
                  <w:t>联营企业</w:t>
                </w:r>
              </w:p>
            </w:tc>
            <w:tc>
              <w:tcPr>
                <w:tcW w:w="2410" w:type="dxa"/>
              </w:tcPr>
              <w:p>
                <w:pPr>
                  <w:textAlignment w:val="center"/>
                  <w:rPr>
                    <w:rFonts w:asciiTheme="majorEastAsia" w:hAnsiTheme="majorEastAsia" w:eastAsiaTheme="majorEastAsia"/>
                  </w:rPr>
                </w:pPr>
                <w:r>
                  <w:rPr>
                    <w:rFonts w:hint="eastAsia" w:asciiTheme="majorEastAsia" w:hAnsiTheme="majorEastAsia" w:eastAsiaTheme="majorEastAsia"/>
                  </w:rPr>
                  <w:t>山能财司发放贷款（含贴现）</w:t>
                </w:r>
              </w:p>
            </w:tc>
            <w:tc>
              <w:tcPr>
                <w:tcW w:w="1618"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1,000,000</w:t>
                </w:r>
              </w:p>
            </w:tc>
            <w:tc>
              <w:tcPr>
                <w:tcW w:w="1541" w:type="dxa"/>
                <w:vAlign w:val="center"/>
              </w:tcPr>
              <w:p>
                <w:pPr>
                  <w:jc w:val="right"/>
                  <w:textAlignment w:val="center"/>
                  <w:rPr>
                    <w:rFonts w:asciiTheme="majorEastAsia" w:hAnsiTheme="majorEastAsia" w:eastAsiaTheme="majorEastAsia"/>
                  </w:rPr>
                </w:pPr>
              </w:p>
            </w:tc>
            <w:tc>
              <w:tcPr>
                <w:tcW w:w="849" w:type="dxa"/>
                <w:vAlign w:val="center"/>
              </w:tcPr>
              <w:p>
                <w:pPr>
                  <w:jc w:val="center"/>
                  <w:rPr>
                    <w:rFonts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rPr>
                </w:pPr>
                <w:r>
                  <w:rPr>
                    <w:rFonts w:hint="eastAsia" w:asciiTheme="majorEastAsia" w:hAnsiTheme="majorEastAsia" w:eastAsiaTheme="majorEastAsia"/>
                  </w:rPr>
                  <w:t>其他关联方</w:t>
                </w:r>
              </w:p>
            </w:tc>
            <w:tc>
              <w:tcPr>
                <w:tcW w:w="2410" w:type="dxa"/>
              </w:tcPr>
              <w:p>
                <w:pPr>
                  <w:textAlignment w:val="center"/>
                  <w:rPr>
                    <w:rFonts w:asciiTheme="majorEastAsia" w:hAnsiTheme="majorEastAsia" w:eastAsiaTheme="majorEastAsia"/>
                  </w:rPr>
                </w:pPr>
                <w:r>
                  <w:rPr>
                    <w:rFonts w:hint="eastAsia" w:asciiTheme="majorEastAsia" w:hAnsiTheme="majorEastAsia" w:eastAsiaTheme="majorEastAsia"/>
                  </w:rPr>
                  <w:t>山能财司发放贷款（含贴现）</w:t>
                </w:r>
              </w:p>
            </w:tc>
            <w:tc>
              <w:tcPr>
                <w:tcW w:w="1618"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150,000</w:t>
                </w:r>
              </w:p>
            </w:tc>
            <w:tc>
              <w:tcPr>
                <w:tcW w:w="1541" w:type="dxa"/>
                <w:vAlign w:val="center"/>
              </w:tcPr>
              <w:p>
                <w:pPr>
                  <w:jc w:val="right"/>
                  <w:textAlignment w:val="center"/>
                  <w:rPr>
                    <w:rFonts w:asciiTheme="majorEastAsia" w:hAnsiTheme="majorEastAsia" w:eastAsiaTheme="majorEastAsia"/>
                  </w:rPr>
                </w:pPr>
              </w:p>
            </w:tc>
            <w:tc>
              <w:tcPr>
                <w:tcW w:w="849" w:type="dxa"/>
                <w:vAlign w:val="center"/>
              </w:tcPr>
              <w:p>
                <w:pPr>
                  <w:jc w:val="center"/>
                  <w:rPr>
                    <w:rFonts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山能财司收回贷款（含贴现）</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16,020,000</w:t>
                </w:r>
              </w:p>
            </w:tc>
            <w:tc>
              <w:tcPr>
                <w:tcW w:w="1541" w:type="dxa"/>
                <w:vAlign w:val="center"/>
              </w:tcPr>
              <w:p>
                <w:pPr>
                  <w:jc w:val="right"/>
                  <w:textAlignment w:val="center"/>
                  <w:rPr>
                    <w:rFonts w:asciiTheme="majorEastAsia" w:hAnsiTheme="majorEastAsia" w:eastAsiaTheme="majorEastAsia"/>
                    <w:spacing w:val="-20"/>
                  </w:rPr>
                </w:pPr>
                <w:r>
                  <w:rPr>
                    <w:rFonts w:hint="eastAsia" w:asciiTheme="majorEastAsia" w:hAnsiTheme="majorEastAsia" w:eastAsiaTheme="majorEastAsia"/>
                  </w:rPr>
                  <w:t>8,979,902</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rPr>
                </w:pPr>
                <w:r>
                  <w:rPr>
                    <w:rFonts w:hint="eastAsia" w:asciiTheme="majorEastAsia" w:hAnsiTheme="majorEastAsia" w:eastAsiaTheme="majorEastAsia"/>
                  </w:rPr>
                  <w:t>联营企业</w:t>
                </w:r>
              </w:p>
            </w:tc>
            <w:tc>
              <w:tcPr>
                <w:tcW w:w="2410" w:type="dxa"/>
              </w:tcPr>
              <w:p>
                <w:pPr>
                  <w:textAlignment w:val="center"/>
                  <w:rPr>
                    <w:rFonts w:asciiTheme="majorEastAsia" w:hAnsiTheme="majorEastAsia" w:eastAsiaTheme="majorEastAsia"/>
                  </w:rPr>
                </w:pPr>
                <w:r>
                  <w:rPr>
                    <w:rFonts w:hint="eastAsia" w:asciiTheme="majorEastAsia" w:hAnsiTheme="majorEastAsia" w:eastAsiaTheme="majorEastAsia"/>
                  </w:rPr>
                  <w:t>山能财司收回贷款（含贴现）</w:t>
                </w:r>
              </w:p>
            </w:tc>
            <w:tc>
              <w:tcPr>
                <w:tcW w:w="1618"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500,000</w:t>
                </w:r>
              </w:p>
            </w:tc>
            <w:tc>
              <w:tcPr>
                <w:tcW w:w="1541" w:type="dxa"/>
                <w:vAlign w:val="center"/>
              </w:tcPr>
              <w:p>
                <w:pPr>
                  <w:jc w:val="right"/>
                  <w:textAlignment w:val="center"/>
                  <w:rPr>
                    <w:rFonts w:asciiTheme="majorEastAsia" w:hAnsiTheme="majorEastAsia" w:eastAsiaTheme="majorEastAsia"/>
                  </w:rPr>
                </w:pPr>
              </w:p>
            </w:tc>
            <w:tc>
              <w:tcPr>
                <w:tcW w:w="849" w:type="dxa"/>
                <w:vAlign w:val="center"/>
              </w:tcPr>
              <w:p>
                <w:pPr>
                  <w:jc w:val="center"/>
                  <w:rPr>
                    <w:rFonts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spacing w:val="-20"/>
                  </w:rPr>
                </w:pPr>
                <w:r>
                  <w:rPr>
                    <w:rFonts w:hint="eastAsia" w:asciiTheme="majorEastAsia" w:hAnsiTheme="majorEastAsia" w:eastAsiaTheme="majorEastAsia"/>
                  </w:rPr>
                  <w:t>控股股东及其控制的公司</w:t>
                </w:r>
              </w:p>
            </w:tc>
            <w:tc>
              <w:tcPr>
                <w:tcW w:w="2410" w:type="dxa"/>
              </w:tcPr>
              <w:p>
                <w:pPr>
                  <w:textAlignment w:val="center"/>
                  <w:rPr>
                    <w:rFonts w:asciiTheme="majorEastAsia" w:hAnsiTheme="majorEastAsia" w:eastAsiaTheme="majorEastAsia"/>
                    <w:spacing w:val="-20"/>
                  </w:rPr>
                </w:pPr>
                <w:r>
                  <w:rPr>
                    <w:rFonts w:hint="eastAsia" w:asciiTheme="majorEastAsia" w:hAnsiTheme="majorEastAsia" w:eastAsiaTheme="majorEastAsia"/>
                  </w:rPr>
                  <w:t>山能财司收到存款净额</w:t>
                </w:r>
              </w:p>
            </w:tc>
            <w:tc>
              <w:tcPr>
                <w:tcW w:w="1618"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-9,446,168</w:t>
                </w:r>
              </w:p>
            </w:tc>
            <w:tc>
              <w:tcPr>
                <w:tcW w:w="1541" w:type="dxa"/>
                <w:vAlign w:val="center"/>
              </w:tcPr>
              <w:p>
                <w:pPr>
                  <w:jc w:val="right"/>
                  <w:textAlignment w:val="center"/>
                  <w:rPr>
                    <w:rFonts w:asciiTheme="majorEastAsia" w:hAnsiTheme="majorEastAsia" w:eastAsiaTheme="majorEastAsia"/>
                    <w:spacing w:val="-20"/>
                  </w:rPr>
                </w:pPr>
                <w:r>
                  <w:rPr>
                    <w:rFonts w:asciiTheme="majorEastAsia" w:hAnsiTheme="majorEastAsia" w:eastAsiaTheme="majorEastAsia"/>
                  </w:rPr>
                  <w:t>-14,879,118</w:t>
                </w: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rPr>
                  <w:t>注</w:t>
                </w:r>
                <w:r>
                  <w:rPr>
                    <w:rFonts w:asciiTheme="majorEastAsia" w:hAnsiTheme="majorEastAsia" w:eastAsiaTheme="major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rPr>
                </w:pPr>
                <w:r>
                  <w:rPr>
                    <w:rFonts w:hint="eastAsia" w:asciiTheme="majorEastAsia" w:hAnsiTheme="majorEastAsia" w:eastAsiaTheme="majorEastAsia"/>
                  </w:rPr>
                  <w:t>其他关联方</w:t>
                </w:r>
              </w:p>
            </w:tc>
            <w:tc>
              <w:tcPr>
                <w:tcW w:w="2410" w:type="dxa"/>
              </w:tcPr>
              <w:p>
                <w:pPr>
                  <w:textAlignment w:val="center"/>
                  <w:rPr>
                    <w:rFonts w:asciiTheme="majorEastAsia" w:hAnsiTheme="majorEastAsia" w:eastAsiaTheme="majorEastAsia"/>
                  </w:rPr>
                </w:pPr>
                <w:r>
                  <w:rPr>
                    <w:rFonts w:hint="eastAsia" w:asciiTheme="majorEastAsia" w:hAnsiTheme="majorEastAsia" w:eastAsiaTheme="majorEastAsia"/>
                  </w:rPr>
                  <w:t>山能财司收到存款净额</w:t>
                </w:r>
              </w:p>
            </w:tc>
            <w:tc>
              <w:tcPr>
                <w:tcW w:w="1618"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71</w:t>
                </w:r>
              </w:p>
            </w:tc>
            <w:tc>
              <w:tcPr>
                <w:tcW w:w="1541" w:type="dxa"/>
                <w:vAlign w:val="center"/>
              </w:tcPr>
              <w:p>
                <w:pPr>
                  <w:jc w:val="right"/>
                  <w:textAlignment w:val="center"/>
                  <w:rPr>
                    <w:rFonts w:asciiTheme="majorEastAsia" w:hAnsiTheme="majorEastAsia" w:eastAsiaTheme="majorEastAsia"/>
                  </w:rPr>
                </w:pPr>
                <w:r>
                  <w:rPr>
                    <w:rFonts w:asciiTheme="majorEastAsia" w:hAnsiTheme="majorEastAsia" w:eastAsiaTheme="majorEastAsia"/>
                  </w:rPr>
                  <w:t>-1,994</w:t>
                </w:r>
              </w:p>
            </w:tc>
            <w:tc>
              <w:tcPr>
                <w:tcW w:w="849" w:type="dxa"/>
                <w:vAlign w:val="center"/>
              </w:tcPr>
              <w:p>
                <w:pPr>
                  <w:jc w:val="center"/>
                  <w:rPr>
                    <w:rFonts w:asciiTheme="majorEastAsia" w:hAnsiTheme="majorEastAsia"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rPr>
                    <w:rFonts w:asciiTheme="majorEastAsia" w:hAnsiTheme="majorEastAsia" w:eastAsiaTheme="majorEastAsia"/>
                  </w:rPr>
                </w:pPr>
                <w:r>
                  <w:rPr>
                    <w:rFonts w:hint="eastAsia" w:asciiTheme="majorEastAsia" w:hAnsiTheme="majorEastAsia" w:eastAsiaTheme="majorEastAsia"/>
                  </w:rPr>
                  <w:t>控股股东及其控制的公司</w:t>
                </w:r>
              </w:p>
            </w:tc>
            <w:tc>
              <w:tcPr>
                <w:tcW w:w="2410" w:type="dxa"/>
                <w:vAlign w:val="center"/>
              </w:tcPr>
              <w:p>
                <w:pPr>
                  <w:rPr>
                    <w:rFonts w:asciiTheme="majorEastAsia" w:hAnsiTheme="majorEastAsia" w:eastAsiaTheme="majorEastAsia"/>
                  </w:rPr>
                </w:pPr>
                <w:r>
                  <w:rPr>
                    <w:rFonts w:hint="eastAsia" w:asciiTheme="majorEastAsia" w:hAnsiTheme="majorEastAsia" w:eastAsiaTheme="majorEastAsia"/>
                  </w:rPr>
                  <w:t>股权（资产）收购</w:t>
                </w:r>
              </w:p>
            </w:tc>
            <w:tc>
              <w:tcPr>
                <w:tcW w:w="1618" w:type="dxa"/>
                <w:vAlign w:val="center"/>
              </w:tcPr>
              <w:p>
                <w:pPr>
                  <w:jc w:val="right"/>
                  <w:rPr>
                    <w:rFonts w:asciiTheme="majorEastAsia" w:hAnsiTheme="majorEastAsia" w:eastAsiaTheme="majorEastAsia"/>
                  </w:rPr>
                </w:pPr>
                <w:r>
                  <w:rPr>
                    <w:rFonts w:asciiTheme="majorEastAsia" w:hAnsiTheme="majorEastAsia" w:eastAsiaTheme="majorEastAsia"/>
                  </w:rPr>
                  <w:t>28,410,212</w:t>
                </w:r>
              </w:p>
            </w:tc>
            <w:tc>
              <w:tcPr>
                <w:tcW w:w="1541" w:type="dxa"/>
                <w:vAlign w:val="center"/>
              </w:tcPr>
              <w:p>
                <w:pPr>
                  <w:jc w:val="right"/>
                  <w:rPr>
                    <w:rFonts w:asciiTheme="majorEastAsia" w:hAnsiTheme="majorEastAsia" w:eastAsiaTheme="majorEastAsia"/>
                    <w:spacing w:val="-20"/>
                  </w:rPr>
                </w:pPr>
              </w:p>
            </w:tc>
            <w:tc>
              <w:tcPr>
                <w:tcW w:w="849" w:type="dxa"/>
                <w:vAlign w:val="center"/>
              </w:tcPr>
              <w:p>
                <w:pPr>
                  <w:jc w:val="center"/>
                  <w:rPr>
                    <w:rFonts w:asciiTheme="majorEastAsia" w:hAnsiTheme="majorEastAsia" w:eastAsiaTheme="majorEastAsia"/>
                    <w:spacing w:val="-20"/>
                  </w:rPr>
                </w:pPr>
                <w:r>
                  <w:rPr>
                    <w:rFonts w:hint="eastAsia" w:asciiTheme="majorEastAsia" w:hAnsiTheme="majorEastAsia" w:eastAsiaTheme="majorEastAsia"/>
                    <w:spacing w:val="-20"/>
                  </w:rPr>
                  <w:t>注9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05" w:type="dxa"/>
                <w:vAlign w:val="center"/>
              </w:tcPr>
              <w:p>
                <w:pPr>
                  <w:jc w:val="center"/>
                  <w:rPr>
                    <w:rFonts w:asciiTheme="majorEastAsia" w:hAnsiTheme="majorEastAsia" w:eastAsiaTheme="majorEastAsia"/>
                    <w:b/>
                    <w:spacing w:val="-20"/>
                  </w:rPr>
                </w:pPr>
                <w:r>
                  <w:rPr>
                    <w:rFonts w:hint="eastAsia" w:asciiTheme="majorEastAsia" w:hAnsiTheme="majorEastAsia" w:eastAsiaTheme="majorEastAsia"/>
                    <w:b/>
                    <w:spacing w:val="-20"/>
                  </w:rPr>
                  <w:t>合计</w:t>
                </w:r>
              </w:p>
            </w:tc>
            <w:tc>
              <w:tcPr>
                <w:tcW w:w="2410" w:type="dxa"/>
                <w:vAlign w:val="center"/>
              </w:tcPr>
              <w:p>
                <w:pPr>
                  <w:jc w:val="center"/>
                  <w:rPr>
                    <w:rFonts w:asciiTheme="majorEastAsia" w:hAnsiTheme="majorEastAsia" w:eastAsiaTheme="majorEastAsia"/>
                    <w:b/>
                    <w:spacing w:val="-20"/>
                  </w:rPr>
                </w:pPr>
                <w:r>
                  <w:rPr>
                    <w:rFonts w:hint="eastAsia" w:asciiTheme="majorEastAsia" w:hAnsiTheme="majorEastAsia" w:eastAsiaTheme="majorEastAsia"/>
                    <w:b/>
                    <w:bCs/>
                    <w:spacing w:val="-20"/>
                  </w:rPr>
                  <w:t>—</w:t>
                </w:r>
              </w:p>
            </w:tc>
            <w:tc>
              <w:tcPr>
                <w:tcW w:w="1618" w:type="dxa"/>
                <w:vAlign w:val="center"/>
              </w:tcPr>
              <w:p>
                <w:pPr>
                  <w:jc w:val="right"/>
                  <w:rPr>
                    <w:rFonts w:asciiTheme="majorEastAsia" w:hAnsiTheme="majorEastAsia" w:eastAsiaTheme="majorEastAsia"/>
                    <w:b/>
                    <w:spacing w:val="-20"/>
                  </w:rPr>
                </w:pPr>
                <w:r>
                  <w:rPr>
                    <w:rFonts w:asciiTheme="majorEastAsia" w:hAnsiTheme="majorEastAsia" w:eastAsiaTheme="majorEastAsia"/>
                    <w:b/>
                  </w:rPr>
                  <w:t>58,430,783</w:t>
                </w:r>
              </w:p>
            </w:tc>
            <w:tc>
              <w:tcPr>
                <w:tcW w:w="1541" w:type="dxa"/>
                <w:vAlign w:val="center"/>
              </w:tcPr>
              <w:p>
                <w:pPr>
                  <w:jc w:val="right"/>
                  <w:rPr>
                    <w:rFonts w:asciiTheme="majorEastAsia" w:hAnsiTheme="majorEastAsia" w:eastAsiaTheme="majorEastAsia"/>
                    <w:b/>
                  </w:rPr>
                </w:pPr>
                <w:r>
                  <w:rPr>
                    <w:rFonts w:asciiTheme="majorEastAsia" w:hAnsiTheme="majorEastAsia" w:eastAsiaTheme="majorEastAsia"/>
                    <w:b/>
                  </w:rPr>
                  <w:t>6,690,163</w:t>
                </w:r>
              </w:p>
            </w:tc>
            <w:tc>
              <w:tcPr>
                <w:tcW w:w="849" w:type="dxa"/>
                <w:vAlign w:val="center"/>
              </w:tcPr>
              <w:p>
                <w:pPr>
                  <w:jc w:val="right"/>
                  <w:rPr>
                    <w:rFonts w:asciiTheme="majorEastAsia" w:hAnsiTheme="majorEastAsia" w:eastAsiaTheme="majorEastAsia"/>
                    <w:b/>
                    <w:spacing w:val="-20"/>
                  </w:rPr>
                </w:pPr>
              </w:p>
            </w:tc>
          </w:tr>
        </w:tbl>
        <w:p>
          <w:pPr>
            <w:tabs>
              <w:tab w:val="left" w:pos="800"/>
              <w:tab w:val="left" w:pos="1065"/>
              <w:tab w:val="left" w:pos="2940"/>
            </w:tabs>
            <w:snapToGrid w:val="0"/>
            <w:spacing w:before="156" w:beforeLines="50" w:after="156" w:afterLines="50" w:line="360" w:lineRule="exact"/>
            <w:ind w:firstLine="420" w:firstLineChars="200"/>
            <w:rPr>
              <w:rFonts w:ascii="宋体" w:hAnsi="宋体"/>
              <w:bCs/>
            </w:rPr>
          </w:pPr>
          <w:r>
            <w:rPr>
              <w:rFonts w:hint="eastAsia" w:ascii="宋体" w:hAnsi="宋体"/>
              <w:bCs/>
            </w:rPr>
            <w:t>注1：根据本公司与山东能源签订的协议，由山东能源统一管理本公司在职职工社会保险，202</w:t>
          </w:r>
          <w:r>
            <w:rPr>
              <w:rFonts w:ascii="宋体" w:hAnsi="宋体"/>
              <w:bCs/>
            </w:rPr>
            <w:t>3</w:t>
          </w:r>
          <w:r>
            <w:rPr>
              <w:rFonts w:hint="eastAsia" w:ascii="宋体" w:hAnsi="宋体"/>
              <w:bCs/>
            </w:rPr>
            <w:t>年获批准的交易上限金额为</w:t>
          </w:r>
          <w:r>
            <w:rPr>
              <w:rFonts w:ascii="宋体" w:hAnsi="宋体"/>
              <w:bCs/>
            </w:rPr>
            <w:t>230</w:t>
          </w:r>
          <w:r>
            <w:rPr>
              <w:rFonts w:hint="eastAsia" w:ascii="宋体" w:hAnsi="宋体"/>
              <w:bCs/>
            </w:rPr>
            <w:t>,000千元。</w:t>
          </w:r>
        </w:p>
        <w:p>
          <w:pPr>
            <w:tabs>
              <w:tab w:val="left" w:pos="800"/>
              <w:tab w:val="left" w:pos="1065"/>
              <w:tab w:val="left" w:pos="2940"/>
            </w:tabs>
            <w:snapToGrid w:val="0"/>
            <w:spacing w:before="156" w:beforeLines="50" w:after="156" w:afterLines="50" w:line="360" w:lineRule="exact"/>
            <w:ind w:firstLine="420" w:firstLineChars="200"/>
            <w:rPr>
              <w:rFonts w:ascii="宋体" w:hAnsi="宋体"/>
              <w:bCs/>
            </w:rPr>
          </w:pPr>
          <w:r>
            <w:rPr>
              <w:rFonts w:hint="eastAsia" w:ascii="宋体" w:hAnsi="宋体"/>
              <w:bCs/>
            </w:rPr>
            <w:t>注</w:t>
          </w:r>
          <w:r>
            <w:rPr>
              <w:rFonts w:ascii="宋体" w:hAnsi="宋体"/>
              <w:bCs/>
            </w:rPr>
            <w:t>2</w:t>
          </w:r>
          <w:r>
            <w:rPr>
              <w:rFonts w:hint="eastAsia" w:ascii="宋体" w:hAnsi="宋体"/>
              <w:bCs/>
            </w:rPr>
            <w:t>：根据本公司与山东能源签订的协议，由山东能源下属各部门、单位向本公司提供约定服务并收取相应的费用，交易价格以市场价格、政府定价或双方协议价格确定，2023年获批准的交易上限金额为4,</w:t>
          </w:r>
          <w:r>
            <w:rPr>
              <w:rFonts w:ascii="宋体" w:hAnsi="宋体"/>
              <w:bCs/>
            </w:rPr>
            <w:t>830</w:t>
          </w:r>
          <w:r>
            <w:rPr>
              <w:rFonts w:hint="eastAsia" w:ascii="宋体" w:hAnsi="宋体"/>
              <w:bCs/>
            </w:rPr>
            <w:t>,000千元。</w:t>
          </w:r>
        </w:p>
        <w:p>
          <w:pPr>
            <w:tabs>
              <w:tab w:val="left" w:pos="800"/>
              <w:tab w:val="left" w:pos="1065"/>
              <w:tab w:val="left" w:pos="2940"/>
            </w:tabs>
            <w:snapToGrid w:val="0"/>
            <w:spacing w:before="156" w:beforeLines="50" w:after="156" w:afterLines="50" w:line="360" w:lineRule="exact"/>
            <w:ind w:firstLine="420" w:firstLineChars="200"/>
            <w:rPr>
              <w:rFonts w:ascii="宋体" w:hAnsi="宋体"/>
              <w:bCs/>
            </w:rPr>
          </w:pPr>
          <w:r>
            <w:rPr>
              <w:rFonts w:hint="eastAsia" w:ascii="宋体" w:hAnsi="宋体"/>
              <w:bCs/>
            </w:rPr>
            <w:t>注</w:t>
          </w:r>
          <w:r>
            <w:rPr>
              <w:rFonts w:ascii="宋体" w:hAnsi="宋体"/>
              <w:bCs/>
            </w:rPr>
            <w:t>3</w:t>
          </w:r>
          <w:r>
            <w:rPr>
              <w:rFonts w:hint="eastAsia" w:ascii="宋体" w:hAnsi="宋体"/>
              <w:bCs/>
            </w:rPr>
            <w:t>：山能财司利息收入是指给予关联方贷款所收到的利息收入，适用利率为现行借款利率。</w:t>
          </w:r>
        </w:p>
        <w:p>
          <w:pPr>
            <w:tabs>
              <w:tab w:val="left" w:pos="800"/>
              <w:tab w:val="left" w:pos="1065"/>
              <w:tab w:val="left" w:pos="2940"/>
            </w:tabs>
            <w:snapToGrid w:val="0"/>
            <w:spacing w:before="156" w:beforeLines="50" w:after="156" w:afterLines="50" w:line="360" w:lineRule="exact"/>
            <w:ind w:firstLine="420" w:firstLineChars="200"/>
            <w:rPr>
              <w:rFonts w:ascii="宋体" w:hAnsi="宋体"/>
              <w:bCs/>
            </w:rPr>
          </w:pPr>
          <w:r>
            <w:rPr>
              <w:rFonts w:hint="eastAsia" w:ascii="宋体" w:hAnsi="宋体"/>
              <w:bCs/>
            </w:rPr>
            <w:t>注</w:t>
          </w:r>
          <w:r>
            <w:rPr>
              <w:rFonts w:ascii="宋体" w:hAnsi="宋体"/>
              <w:bCs/>
            </w:rPr>
            <w:t>4</w:t>
          </w:r>
          <w:r>
            <w:rPr>
              <w:rFonts w:hint="eastAsia" w:ascii="宋体" w:hAnsi="宋体"/>
              <w:bCs/>
            </w:rPr>
            <w:t>：山能财司手续费收入是指给予关联方提供的担保手续费、保函手续费、承兑手续费和委托贷款手续费等。</w:t>
          </w:r>
        </w:p>
        <w:p>
          <w:pPr>
            <w:tabs>
              <w:tab w:val="left" w:pos="800"/>
              <w:tab w:val="left" w:pos="1065"/>
              <w:tab w:val="left" w:pos="2940"/>
            </w:tabs>
            <w:snapToGrid w:val="0"/>
            <w:spacing w:before="156" w:beforeLines="50" w:after="156" w:afterLines="50" w:line="360" w:lineRule="exact"/>
            <w:ind w:firstLine="420" w:firstLineChars="200"/>
            <w:rPr>
              <w:rFonts w:ascii="宋体" w:hAnsi="宋体"/>
              <w:bCs/>
            </w:rPr>
          </w:pPr>
          <w:r>
            <w:rPr>
              <w:rFonts w:hint="eastAsia" w:ascii="宋体" w:hAnsi="宋体"/>
              <w:bCs/>
            </w:rPr>
            <w:t>注</w:t>
          </w:r>
          <w:r>
            <w:rPr>
              <w:rFonts w:ascii="宋体" w:hAnsi="宋体"/>
              <w:bCs/>
            </w:rPr>
            <w:t>5</w:t>
          </w:r>
          <w:r>
            <w:rPr>
              <w:rFonts w:hint="eastAsia" w:ascii="宋体" w:hAnsi="宋体"/>
              <w:bCs/>
            </w:rPr>
            <w:t>：山能财司利息支出是指吸收关联方存款及关联方借款所发生的利息费用。适用利率为现行银行利率。</w:t>
          </w:r>
        </w:p>
        <w:p>
          <w:pPr>
            <w:tabs>
              <w:tab w:val="left" w:pos="800"/>
              <w:tab w:val="left" w:pos="1065"/>
              <w:tab w:val="left" w:pos="2940"/>
            </w:tabs>
            <w:snapToGrid w:val="0"/>
            <w:spacing w:before="156" w:beforeLines="50" w:after="156" w:afterLines="50" w:line="360" w:lineRule="exact"/>
            <w:ind w:firstLine="420" w:firstLineChars="200"/>
            <w:rPr>
              <w:rFonts w:ascii="宋体" w:hAnsi="宋体"/>
              <w:bCs/>
            </w:rPr>
          </w:pPr>
          <w:r>
            <w:rPr>
              <w:rFonts w:hint="eastAsia" w:ascii="宋体" w:hAnsi="宋体"/>
              <w:bCs/>
            </w:rPr>
            <w:t>注</w:t>
          </w:r>
          <w:r>
            <w:rPr>
              <w:rFonts w:ascii="宋体" w:hAnsi="宋体"/>
              <w:bCs/>
            </w:rPr>
            <w:t>6</w:t>
          </w:r>
          <w:r>
            <w:rPr>
              <w:rFonts w:hint="eastAsia" w:ascii="宋体" w:hAnsi="宋体"/>
              <w:bCs/>
            </w:rPr>
            <w:t>：山能财司发放贷款是指山能财司发放予关联方的贷款及贴现。</w:t>
          </w:r>
        </w:p>
        <w:p>
          <w:pPr>
            <w:tabs>
              <w:tab w:val="left" w:pos="800"/>
              <w:tab w:val="left" w:pos="1065"/>
              <w:tab w:val="left" w:pos="2940"/>
            </w:tabs>
            <w:snapToGrid w:val="0"/>
            <w:spacing w:before="156" w:beforeLines="50" w:after="156" w:afterLines="50" w:line="360" w:lineRule="exact"/>
            <w:ind w:firstLine="420" w:firstLineChars="200"/>
            <w:rPr>
              <w:rFonts w:ascii="宋体" w:hAnsi="宋体"/>
              <w:bCs/>
            </w:rPr>
          </w:pPr>
          <w:r>
            <w:rPr>
              <w:rFonts w:hint="eastAsia" w:ascii="宋体" w:hAnsi="宋体"/>
              <w:bCs/>
            </w:rPr>
            <w:t>注</w:t>
          </w:r>
          <w:r>
            <w:rPr>
              <w:rFonts w:ascii="宋体" w:hAnsi="宋体"/>
              <w:bCs/>
            </w:rPr>
            <w:t>7</w:t>
          </w:r>
          <w:r>
            <w:rPr>
              <w:rFonts w:hint="eastAsia" w:ascii="宋体" w:hAnsi="宋体"/>
              <w:bCs/>
            </w:rPr>
            <w:t>：山能财司收回贷款是指关联方向山能财司偿还贷款及贴现。</w:t>
          </w:r>
        </w:p>
        <w:p>
          <w:pPr>
            <w:tabs>
              <w:tab w:val="left" w:pos="800"/>
              <w:tab w:val="left" w:pos="1065"/>
              <w:tab w:val="left" w:pos="2940"/>
            </w:tabs>
            <w:snapToGrid w:val="0"/>
            <w:spacing w:before="156" w:beforeLines="50" w:after="156" w:afterLines="50" w:line="360" w:lineRule="exact"/>
            <w:ind w:firstLine="420" w:firstLineChars="200"/>
            <w:rPr>
              <w:rFonts w:ascii="宋体" w:hAnsi="宋体"/>
              <w:bCs/>
            </w:rPr>
          </w:pPr>
          <w:r>
            <w:rPr>
              <w:rFonts w:hint="eastAsia" w:ascii="宋体" w:hAnsi="宋体"/>
              <w:bCs/>
            </w:rPr>
            <w:t>注</w:t>
          </w:r>
          <w:r>
            <w:rPr>
              <w:rFonts w:ascii="宋体" w:hAnsi="宋体"/>
              <w:bCs/>
            </w:rPr>
            <w:t>8</w:t>
          </w:r>
          <w:r>
            <w:rPr>
              <w:rFonts w:hint="eastAsia" w:ascii="宋体" w:hAnsi="宋体"/>
              <w:bCs/>
            </w:rPr>
            <w:t>：山能财司收到存款净额是指山能财司收到（返还）山东能源及其关联方的净存款。</w:t>
          </w:r>
        </w:p>
        <w:p>
          <w:pPr>
            <w:tabs>
              <w:tab w:val="left" w:pos="800"/>
              <w:tab w:val="left" w:pos="1065"/>
              <w:tab w:val="left" w:pos="2940"/>
            </w:tabs>
            <w:snapToGrid w:val="0"/>
            <w:spacing w:before="156" w:beforeLines="50" w:after="156" w:afterLines="50" w:line="360" w:lineRule="exact"/>
            <w:ind w:firstLine="420" w:firstLineChars="200"/>
            <w:rPr>
              <w:rFonts w:ascii="宋体" w:hAnsi="宋体"/>
              <w:bCs/>
            </w:rPr>
          </w:pPr>
          <w:r>
            <w:rPr>
              <w:rFonts w:hint="eastAsia" w:ascii="宋体" w:hAnsi="宋体"/>
              <w:bCs/>
            </w:rPr>
            <w:t>注9：本公司本年收购鲁西矿业、新疆能化、山能财司、山东能源大厦上海有限公司和兖矿煤化工程有限公司股权，交易价格28,410,212千元，详见本附注“九、</w:t>
          </w:r>
          <w:r>
            <w:rPr>
              <w:rFonts w:ascii="宋体" w:hAnsi="宋体"/>
              <w:bCs/>
            </w:rPr>
            <w:t>2</w:t>
          </w:r>
          <w:r>
            <w:rPr>
              <w:rFonts w:hint="eastAsia" w:ascii="宋体" w:hAnsi="宋体"/>
              <w:bCs/>
            </w:rPr>
            <w:t>.同一控制下企业合并”。</w:t>
          </w:r>
        </w:p>
      </w:sdtContent>
    </w:sdt>
    <w:p>
      <w:pPr>
        <w:pStyle w:val="501"/>
      </w:pPr>
    </w:p>
    <w:p>
      <w:pPr>
        <w:pStyle w:val="504"/>
        <w:numPr>
          <w:ilvl w:val="0"/>
          <w:numId w:val="128"/>
        </w:numPr>
        <w:ind w:left="450" w:hanging="450"/>
        <w:rPr>
          <w:rFonts w:ascii="宋体" w:hAnsi="宋体" w:cs="Arial"/>
          <w:szCs w:val="21"/>
        </w:rPr>
      </w:pPr>
      <w:r>
        <w:rPr>
          <w:rFonts w:hint="eastAsia" w:ascii="宋体" w:hAnsi="宋体" w:cs="Arial"/>
          <w:szCs w:val="21"/>
        </w:rPr>
        <w:t>应收、应付关联方等未结算项目情况</w:t>
      </w:r>
    </w:p>
    <w:p>
      <w:pPr>
        <w:pStyle w:val="505"/>
        <w:numPr>
          <w:ilvl w:val="3"/>
          <w:numId w:val="130"/>
        </w:numPr>
        <w:ind w:left="426" w:hanging="426" w:hangingChars="202"/>
        <w:rPr>
          <w:rFonts w:ascii="宋体" w:hAnsi="宋体" w:cs="Arial"/>
          <w:szCs w:val="21"/>
        </w:rPr>
      </w:pPr>
      <w:r>
        <w:rPr>
          <w:rFonts w:hint="eastAsia"/>
        </w:rPr>
        <w:t>应收项目</w:t>
      </w:r>
    </w:p>
    <w:sdt>
      <w:sdtPr>
        <w:rPr>
          <w:rFonts w:hint="eastAsia"/>
        </w:rPr>
        <w:alias w:val="是否适用：应收项目[双击切换]"/>
        <w:tag w:val="_GBC_4ae94d538d2e44ae839d59a1751a6d01"/>
        <w:id w:val="-682131622"/>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上市公司应收关联方款项"/>
          <w:tag w:val="_GBC_83968b233566404db428b085bcb695b8"/>
          <w:id w:val="216724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上市公司应收关联方款项"/>
          <w:tag w:val="_GBC_546206ef37784e9ca5284158e64b95dc"/>
          <w:id w:val="-8686870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1598"/>
        <w:gridCol w:w="1455"/>
        <w:gridCol w:w="1453"/>
        <w:gridCol w:w="1455"/>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宋体" w:hAnsi="宋体"/>
            </w:rPr>
            <w:tag w:val="_PLD_c0c6dc2d23f94f929199b42c584f57ca"/>
            <w:id w:val="498934241"/>
          </w:sdtPr>
          <w:sdtEndPr>
            <w:rPr>
              <w:rFonts w:ascii="宋体" w:hAnsi="宋体"/>
            </w:rPr>
          </w:sdtEndPr>
          <w:sdtContent>
            <w:tc>
              <w:tcPr>
                <w:tcW w:w="801" w:type="pct"/>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项目名称</w:t>
                </w:r>
              </w:p>
            </w:tc>
          </w:sdtContent>
        </w:sdt>
        <w:sdt>
          <w:sdtPr>
            <w:rPr>
              <w:rFonts w:ascii="宋体" w:hAnsi="宋体"/>
            </w:rPr>
            <w:tag w:val="_PLD_56aedf077d5c4d3b814d04d193f71af7"/>
            <w:id w:val="300587747"/>
          </w:sdtPr>
          <w:sdtEndPr>
            <w:rPr>
              <w:rFonts w:ascii="宋体" w:hAnsi="宋体"/>
            </w:rPr>
          </w:sdtEndPr>
          <w:sdtContent>
            <w:tc>
              <w:tcPr>
                <w:tcW w:w="883" w:type="pct"/>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关联方</w:t>
                </w:r>
              </w:p>
            </w:tc>
          </w:sdtContent>
        </w:sdt>
        <w:sdt>
          <w:sdtPr>
            <w:rPr>
              <w:rFonts w:ascii="宋体" w:hAnsi="宋体"/>
            </w:rPr>
            <w:tag w:val="_PLD_e8867e7b52fb42f4b447e445a20beebc"/>
            <w:id w:val="1777291939"/>
          </w:sdtPr>
          <w:sdtEndPr>
            <w:rPr>
              <w:rFonts w:ascii="宋体" w:hAnsi="宋体"/>
            </w:rPr>
          </w:sdtEndPr>
          <w:sdtContent>
            <w:tc>
              <w:tcPr>
                <w:tcW w:w="1607"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期末余额</w:t>
                </w:r>
              </w:p>
            </w:tc>
          </w:sdtContent>
        </w:sdt>
        <w:sdt>
          <w:sdtPr>
            <w:rPr>
              <w:rFonts w:ascii="宋体" w:hAnsi="宋体"/>
            </w:rPr>
            <w:tag w:val="_PLD_6a4888e558004037a5faac678bea523c"/>
            <w:id w:val="-1915461580"/>
          </w:sdtPr>
          <w:sdtEndPr>
            <w:rPr>
              <w:rFonts w:ascii="宋体" w:hAnsi="宋体"/>
            </w:rPr>
          </w:sdtEndPr>
          <w:sdtContent>
            <w:tc>
              <w:tcPr>
                <w:tcW w:w="170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01" w:type="pct"/>
            <w:vMerge w:val="continue"/>
            <w:tcBorders>
              <w:left w:val="single" w:color="auto" w:sz="4" w:space="0"/>
              <w:bottom w:val="single" w:color="auto" w:sz="4" w:space="0"/>
              <w:right w:val="single" w:color="auto" w:sz="4" w:space="0"/>
            </w:tcBorders>
            <w:vAlign w:val="center"/>
          </w:tcPr>
          <w:p>
            <w:pPr>
              <w:jc w:val="center"/>
              <w:rPr>
                <w:rFonts w:ascii="宋体" w:hAnsi="宋体"/>
              </w:rPr>
            </w:pPr>
          </w:p>
        </w:tc>
        <w:tc>
          <w:tcPr>
            <w:tcW w:w="883" w:type="pct"/>
            <w:vMerge w:val="continue"/>
            <w:tcBorders>
              <w:left w:val="single" w:color="auto" w:sz="4" w:space="0"/>
              <w:bottom w:val="single" w:color="auto" w:sz="4" w:space="0"/>
              <w:right w:val="single" w:color="auto" w:sz="4" w:space="0"/>
            </w:tcBorders>
            <w:vAlign w:val="center"/>
          </w:tcPr>
          <w:p>
            <w:pPr>
              <w:jc w:val="center"/>
              <w:rPr>
                <w:rFonts w:ascii="宋体" w:hAnsi="宋体"/>
              </w:rPr>
            </w:pPr>
          </w:p>
        </w:tc>
        <w:sdt>
          <w:sdtPr>
            <w:rPr>
              <w:rFonts w:ascii="宋体" w:hAnsi="宋体"/>
            </w:rPr>
            <w:tag w:val="_PLD_0545f54235344f978e1e8356e1b05042"/>
            <w:id w:val="144713220"/>
          </w:sdtPr>
          <w:sdtEndPr>
            <w:rPr>
              <w:rFonts w:ascii="宋体" w:hAnsi="宋体"/>
            </w:rPr>
          </w:sdtEndPr>
          <w:sdtContent>
            <w:tc>
              <w:tcPr>
                <w:tcW w:w="80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9e6982f3b5cd46e9b3be23eda364cd7a"/>
            <w:id w:val="-1389801177"/>
          </w:sdtPr>
          <w:sdtEndPr>
            <w:rPr>
              <w:rFonts w:ascii="宋体" w:hAnsi="宋体"/>
            </w:rPr>
          </w:sdtEndPr>
          <w:sdtContent>
            <w:tc>
              <w:tcPr>
                <w:tcW w:w="80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5c8e0a4ac99e4539bea932f77317d8de"/>
            <w:id w:val="-1703925220"/>
          </w:sdtPr>
          <w:sdtEndPr>
            <w:rPr>
              <w:rFonts w:ascii="宋体" w:hAnsi="宋体"/>
            </w:rPr>
          </w:sdtEndPr>
          <w:sdtContent>
            <w:tc>
              <w:tcPr>
                <w:tcW w:w="80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c5afa9908d794831a4bc715802a1061d"/>
            <w:id w:val="-1000507279"/>
          </w:sdtPr>
          <w:sdtEndPr>
            <w:rPr>
              <w:rFonts w:ascii="宋体" w:hAnsi="宋体"/>
            </w:rPr>
          </w:sdtEndPr>
          <w:sdtContent>
            <w:tc>
              <w:tcPr>
                <w:tcW w:w="90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应收款项融资</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控股股东及其控制的公司</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119,113</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144,777</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应收款项融资</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其他关联方</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8,458</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290</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应收票据</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控股股东及其控制的公司</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765,427</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701,699</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应收账款</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控股股东及其控制的公司</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1,215,742</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10,300</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2,051,383</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11,348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应收账款</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合营企业</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31,357</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33,564</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应收账款</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联营企业</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582</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3,928</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应收账款</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其他关联方</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213,471</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27,374</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184,788</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59,991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合同资产</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控股股东及其控制的公司</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20,400</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20,732</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预付款项</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控股股东及其控制的公司</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179,305</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396,998</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预付款项</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其他关联方</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6,455</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62</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其他应收款</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控股股东及其控制的公司</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129,398</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969,639</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其他应收款</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联营企业</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1,003,197</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2,011,090</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其他应收款</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其他关联方</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spacing w:val="-20"/>
              </w:rPr>
              <w:t>387,109</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69,169</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268,086</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69,169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其他流动资产</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控股股东及其控制的公司</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12,424,000</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310,600</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10,890,000</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272,250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其他流动资产</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其他关联方</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150,000</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3,750</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其他流动资产</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联营企业</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500,000</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12,500</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一年内到期的非流动资产</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控股股东及其控制的公司</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2,000,000</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长期应收款</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控股股东及其控制的公司</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177,650</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长期应收款</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联营企业</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535,079</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其他非流动资产</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控股股东及其控制的公司</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2,025,826</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color w:val="000000"/>
                <w:spacing w:val="-20"/>
              </w:rPr>
              <w:t>44,000</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93,033</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其他非流动资产</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spacing w:val="-20"/>
              </w:rPr>
              <w:t>其他关联方</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spacing w:val="-20"/>
              </w:rPr>
              <w:t>300,929</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b/>
                <w:spacing w:val="-20"/>
              </w:rPr>
              <w:t>合计</w:t>
            </w:r>
          </w:p>
        </w:tc>
        <w:tc>
          <w:tcPr>
            <w:tcW w:w="88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b/>
                <w:bCs/>
                <w:spacing w:val="-20"/>
              </w:rPr>
              <w:t>—</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b/>
                <w:color w:val="000000"/>
                <w:spacing w:val="-20"/>
              </w:rPr>
              <w:t>20,193,498</w:t>
            </w:r>
          </w:p>
        </w:tc>
        <w:tc>
          <w:tcPr>
            <w:tcW w:w="80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b/>
                <w:color w:val="000000"/>
                <w:spacing w:val="-20"/>
              </w:rPr>
              <w:t>477,693</w:t>
            </w:r>
          </w:p>
        </w:tc>
        <w:tc>
          <w:tcPr>
            <w:tcW w:w="80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b/>
                <w:color w:val="000000"/>
                <w:spacing w:val="-20"/>
              </w:rPr>
              <w:t>19,770,069</w:t>
            </w:r>
          </w:p>
        </w:tc>
        <w:tc>
          <w:tcPr>
            <w:tcW w:w="9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b/>
                <w:color w:val="000000"/>
                <w:spacing w:val="-20"/>
              </w:rPr>
              <w:t>462,758</w:t>
            </w:r>
          </w:p>
        </w:tc>
      </w:tr>
    </w:tbl>
    <w:p>
      <w:pPr>
        <w:rPr>
          <w:rFonts w:ascii="宋体" w:hAnsi="宋体"/>
        </w:rPr>
      </w:pPr>
    </w:p>
    <w:p>
      <w:pPr>
        <w:pStyle w:val="505"/>
        <w:numPr>
          <w:ilvl w:val="3"/>
          <w:numId w:val="130"/>
        </w:numPr>
        <w:ind w:left="426" w:hanging="426" w:hangingChars="202"/>
      </w:pPr>
      <w:r>
        <w:rPr>
          <w:rFonts w:hint="eastAsia"/>
        </w:rPr>
        <w:t>应付项目</w:t>
      </w:r>
    </w:p>
    <w:sdt>
      <w:sdtPr>
        <w:rPr>
          <w:rFonts w:hint="eastAsia"/>
        </w:rPr>
        <w:alias w:val="是否适用：应付项目[双击切换]"/>
        <w:tag w:val="_GBC_41bc31a1fefb4e25918c1ece7c27be62"/>
        <w:id w:val="-363220189"/>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上市公司应付关联方款项"/>
          <w:tag w:val="_GBC_dda5edeadff34e4f829b49a813d869a1"/>
          <w:id w:val="-12146584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上市公司应付关联方款项"/>
          <w:tag w:val="_GBC_5830ef25ff41407f8d8b3fde33e4bdf1"/>
          <w:id w:val="2795403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2762"/>
        <w:gridCol w:w="2181"/>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e606617d378f48ec942565c9488249ee"/>
            <w:id w:val="-1326128491"/>
          </w:sdtPr>
          <w:sdtEndPr>
            <w:rPr>
              <w:rFonts w:ascii="宋体" w:hAnsi="宋体"/>
            </w:rPr>
          </w:sdtEndPr>
          <w:sdtContent>
            <w:tc>
              <w:tcPr>
                <w:tcW w:w="1042" w:type="pct"/>
                <w:tcBorders>
                  <w:top w:val="single" w:color="auto" w:sz="4" w:space="0"/>
                  <w:left w:val="single" w:color="auto" w:sz="4" w:space="0"/>
                  <w:right w:val="single" w:color="auto" w:sz="4" w:space="0"/>
                </w:tcBorders>
              </w:tcPr>
              <w:p>
                <w:pPr>
                  <w:jc w:val="center"/>
                  <w:rPr>
                    <w:rFonts w:ascii="宋体" w:hAnsi="宋体"/>
                  </w:rPr>
                </w:pPr>
                <w:r>
                  <w:rPr>
                    <w:rFonts w:hint="eastAsia" w:ascii="宋体" w:hAnsi="宋体"/>
                  </w:rPr>
                  <w:t>项目名称</w:t>
                </w:r>
              </w:p>
            </w:tc>
          </w:sdtContent>
        </w:sdt>
        <w:sdt>
          <w:sdtPr>
            <w:rPr>
              <w:rFonts w:ascii="宋体" w:hAnsi="宋体"/>
            </w:rPr>
            <w:tag w:val="_PLD_8c0f65fb9987497db9d8cb750665f14a"/>
            <w:id w:val="-740638372"/>
          </w:sdtPr>
          <w:sdtEndPr>
            <w:rPr>
              <w:rFonts w:ascii="宋体" w:hAnsi="宋体"/>
            </w:rPr>
          </w:sdtEndPr>
          <w:sdtContent>
            <w:tc>
              <w:tcPr>
                <w:tcW w:w="1526" w:type="pct"/>
                <w:tcBorders>
                  <w:top w:val="single" w:color="auto" w:sz="4" w:space="0"/>
                  <w:left w:val="single" w:color="auto" w:sz="4" w:space="0"/>
                  <w:right w:val="single" w:color="auto" w:sz="4" w:space="0"/>
                </w:tcBorders>
              </w:tcPr>
              <w:p>
                <w:pPr>
                  <w:jc w:val="center"/>
                  <w:rPr>
                    <w:rFonts w:ascii="宋体" w:hAnsi="宋体"/>
                  </w:rPr>
                </w:pPr>
                <w:r>
                  <w:rPr>
                    <w:rFonts w:hint="eastAsia" w:ascii="宋体" w:hAnsi="宋体"/>
                  </w:rPr>
                  <w:t>关联方</w:t>
                </w:r>
              </w:p>
            </w:tc>
          </w:sdtContent>
        </w:sdt>
        <w:sdt>
          <w:sdtPr>
            <w:rPr>
              <w:rFonts w:ascii="宋体" w:hAnsi="宋体"/>
            </w:rPr>
            <w:tag w:val="_PLD_6abb3a201708442494b9fede0eddf518"/>
            <w:id w:val="1476102543"/>
          </w:sdtPr>
          <w:sdtEndPr>
            <w:rPr>
              <w:rFonts w:ascii="宋体" w:hAnsi="宋体"/>
            </w:rPr>
          </w:sdtEndPr>
          <w:sdtContent>
            <w:tc>
              <w:tcPr>
                <w:tcW w:w="1205" w:type="pct"/>
                <w:tcBorders>
                  <w:top w:val="single" w:color="auto" w:sz="4" w:space="0"/>
                  <w:left w:val="single" w:color="auto" w:sz="4" w:space="0"/>
                  <w:bottom w:val="single" w:color="auto" w:sz="4" w:space="0"/>
                  <w:right w:val="single" w:color="auto" w:sz="4" w:space="0"/>
                </w:tcBorders>
              </w:tcPr>
              <w:p>
                <w:pPr>
                  <w:jc w:val="center"/>
                  <w:rPr>
                    <w:rFonts w:ascii="宋体" w:hAnsi="宋体"/>
                  </w:rPr>
                </w:pPr>
                <w:r>
                  <w:rPr>
                    <w:rFonts w:hint="eastAsia" w:ascii="宋体" w:hAnsi="宋体"/>
                  </w:rPr>
                  <w:t>期末账面余额</w:t>
                </w:r>
              </w:p>
            </w:tc>
          </w:sdtContent>
        </w:sdt>
        <w:sdt>
          <w:sdtPr>
            <w:rPr>
              <w:rFonts w:ascii="宋体" w:hAnsi="宋体"/>
            </w:rPr>
            <w:tag w:val="_PLD_55efe2bab54445818fecaf16ed9366f9"/>
            <w:id w:val="-1648350848"/>
          </w:sdtPr>
          <w:sdtEndPr>
            <w:rPr>
              <w:rFonts w:ascii="宋体" w:hAnsi="宋体"/>
            </w:rPr>
          </w:sdtEndPr>
          <w:sdtContent>
            <w:tc>
              <w:tcPr>
                <w:tcW w:w="1227" w:type="pct"/>
                <w:tcBorders>
                  <w:top w:val="single" w:color="auto" w:sz="4" w:space="0"/>
                  <w:left w:val="single" w:color="auto" w:sz="4" w:space="0"/>
                  <w:bottom w:val="single" w:color="auto" w:sz="4" w:space="0"/>
                  <w:right w:val="single" w:color="auto" w:sz="4" w:space="0"/>
                </w:tcBorders>
              </w:tcPr>
              <w:p>
                <w:pPr>
                  <w:jc w:val="center"/>
                  <w:rPr>
                    <w:rFonts w:ascii="宋体" w:hAnsi="宋体"/>
                  </w:rPr>
                </w:pPr>
                <w:r>
                  <w:rPr>
                    <w:rFonts w:hint="eastAsia" w:ascii="宋体" w:hAnsi="宋体"/>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应付票据</w:t>
            </w:r>
          </w:p>
        </w:tc>
        <w:tc>
          <w:tcPr>
            <w:tcW w:w="1526"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宋体" w:hAnsi="宋体"/>
              </w:rPr>
            </w:pPr>
            <w:r>
              <w:rPr>
                <w:rFonts w:hint="eastAsia" w:ascii="宋体" w:hAnsi="宋体"/>
              </w:rPr>
              <w:t>控股股东及其控制的公司</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1,182,644</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874,331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应付票据</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联营企业</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82,893</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应付账款</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控股股东及其控制的公司</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rPr>
              <w:t>4,216,453</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rPr>
              <w:t>5,385,796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应付账款</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联营企业</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2,428</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3,290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应付账款</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其他关联方</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42,373</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23,308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合同负债</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控股股东及其控制的公司</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rPr>
              <w:t>329,573</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282,406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合同负债</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联营企业</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14,396</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1,836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合同负债</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其他关联方</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3,226</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3,429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其他应付款</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控股股东及其控制的公司</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rPr>
              <w:t>39,605,881</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rPr>
              <w:t>42,221,445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其他应付款</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联营企业</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98</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其他应付款</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其他关联方</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23,426</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21,491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一年内到期的非流动负债</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控股股东及其控制的公司</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42,600</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长期应付款</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rPr>
            </w:pPr>
            <w:r>
              <w:rPr>
                <w:rFonts w:hint="eastAsia" w:ascii="宋体" w:hAnsi="宋体"/>
              </w:rPr>
              <w:t>控股股东及其控制的公司</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1,093,073</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hint="eastAsia" w:ascii="宋体" w:hAnsi="宋体"/>
              </w:rPr>
              <w:t>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b/>
              </w:rPr>
              <w:t>合计</w:t>
            </w:r>
          </w:p>
        </w:tc>
        <w:tc>
          <w:tcPr>
            <w:tcW w:w="15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b/>
                <w:bCs/>
              </w:rPr>
              <w:t>—</w:t>
            </w:r>
          </w:p>
        </w:tc>
        <w:tc>
          <w:tcPr>
            <w:tcW w:w="120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b/>
                <w:color w:val="000000"/>
              </w:rPr>
              <w:t>46,639,064</w:t>
            </w:r>
          </w:p>
        </w:tc>
        <w:tc>
          <w:tcPr>
            <w:tcW w:w="122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rFonts w:ascii="宋体" w:hAnsi="宋体"/>
              </w:rPr>
            </w:pPr>
            <w:r>
              <w:rPr>
                <w:rFonts w:ascii="宋体" w:hAnsi="宋体"/>
                <w:b/>
                <w:color w:val="000000"/>
              </w:rPr>
              <w:t>48,839,332</w:t>
            </w:r>
          </w:p>
        </w:tc>
      </w:tr>
    </w:tbl>
    <w:p>
      <w:pPr>
        <w:rPr>
          <w:rFonts w:ascii="仿宋_GB2312" w:eastAsia="仿宋_GB2312" w:hAnsiTheme="minorHAnsi" w:cstheme="minorBidi"/>
        </w:rPr>
      </w:pPr>
    </w:p>
    <w:p>
      <w:pPr>
        <w:pStyle w:val="505"/>
        <w:numPr>
          <w:ilvl w:val="3"/>
          <w:numId w:val="130"/>
        </w:numPr>
        <w:ind w:left="426" w:hanging="426" w:hangingChars="202"/>
      </w:pPr>
      <w:r>
        <w:rPr>
          <w:rFonts w:hint="eastAsia"/>
        </w:rPr>
        <w:t>其他项目</w:t>
      </w:r>
    </w:p>
    <w:sdt>
      <w:sdtPr>
        <w:alias w:val="是否适用：关联方其他未结算项目情况[双击切换]"/>
        <w:tag w:val="_GBC_61142f5ee3c54a58901e03781b59f5db"/>
        <w:id w:val="1507781330"/>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仿宋_GB2312" w:eastAsia="仿宋_GB2312"/>
        </w:rPr>
      </w:pPr>
    </w:p>
    <w:p>
      <w:pPr>
        <w:pStyle w:val="504"/>
        <w:numPr>
          <w:ilvl w:val="0"/>
          <w:numId w:val="128"/>
        </w:numPr>
      </w:pPr>
      <w:r>
        <w:rPr>
          <w:rFonts w:hint="eastAsia"/>
        </w:rPr>
        <w:t>关联方</w:t>
      </w:r>
      <w:r>
        <w:rPr>
          <w:rFonts w:hint="eastAsia" w:ascii="宋体" w:hAnsi="宋体" w:cs="Arial"/>
          <w:szCs w:val="21"/>
        </w:rPr>
        <w:t>承诺</w:t>
      </w:r>
    </w:p>
    <w:sdt>
      <w:sdtPr>
        <w:rPr>
          <w:rFonts w:hint="eastAsia"/>
        </w:rPr>
        <w:alias w:val="是否适用：关联方承诺[双击切换]"/>
        <w:tag w:val="_GBC_cf52a7b0760b4670b5fc5ea8d7363a6c"/>
        <w:id w:val="-233089298"/>
      </w:sdtPr>
      <w:sdtEndPr>
        <w:rPr>
          <w:rFonts w:hint="eastAsia"/>
        </w:rPr>
      </w:sdtEndPr>
      <w:sdtContent>
        <w:p>
          <w:pPr>
            <w:pStyle w:val="501"/>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tabs>
          <w:tab w:val="left" w:pos="1134"/>
        </w:tabs>
        <w:rPr>
          <w:rFonts w:ascii="Cambria" w:hAnsi="Cambria" w:cs="Cambria" w:eastAsiaTheme="minorEastAsia"/>
          <w:sz w:val="20"/>
          <w:szCs w:val="20"/>
        </w:rPr>
      </w:pPr>
    </w:p>
    <w:p>
      <w:pPr>
        <w:pStyle w:val="504"/>
        <w:numPr>
          <w:ilvl w:val="0"/>
          <w:numId w:val="128"/>
        </w:numPr>
        <w:rPr>
          <w:rFonts w:ascii="Cambria" w:hAnsi="Cambria" w:cs="Cambria" w:eastAsiaTheme="minorEastAsia"/>
          <w:sz w:val="20"/>
          <w:szCs w:val="20"/>
        </w:rPr>
      </w:pPr>
      <w:r>
        <w:rPr>
          <w:rFonts w:hint="eastAsia" w:ascii="宋体" w:hAnsi="宋体" w:cs="Arial"/>
          <w:szCs w:val="21"/>
        </w:rPr>
        <w:t>其他</w:t>
      </w:r>
    </w:p>
    <w:sdt>
      <w:sdtPr>
        <w:rPr>
          <w:rFonts w:hint="eastAsia"/>
        </w:rPr>
        <w:alias w:val="是否适用：关联方及关联情况的其他说明[双击切换]"/>
        <w:tag w:val="_GBC_0fbd096440c645128adaffccb05f4e2f"/>
        <w:id w:val="1234901007"/>
        <w:placeholder>
          <w:docPart w:val="GBC22222222222222222222222222222"/>
        </w:placeholder>
      </w:sdtPr>
      <w:sdtEndPr>
        <w:rPr>
          <w:rFonts w:hint="eastAsia"/>
        </w:rPr>
      </w:sdtEndPr>
      <w:sdtContent>
        <w:p>
          <w:pPr>
            <w:tabs>
              <w:tab w:val="left" w:pos="1134"/>
            </w:tabs>
            <w:rPr>
              <w:rFonts w:ascii="Cambria" w:hAnsi="Cambria" w:cs="Cambria"/>
              <w:b/>
              <w:sz w:val="20"/>
              <w:szCs w:val="20"/>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tabs>
          <w:tab w:val="left" w:pos="1134"/>
        </w:tabs>
        <w:rPr>
          <w:rFonts w:cs="Cambria"/>
        </w:rPr>
      </w:pPr>
    </w:p>
    <w:p>
      <w:pPr>
        <w:pStyle w:val="503"/>
        <w:numPr>
          <w:ilvl w:val="0"/>
          <w:numId w:val="57"/>
        </w:numPr>
        <w:ind w:firstLine="42"/>
      </w:pPr>
      <w:r>
        <w:rPr>
          <w:rFonts w:hint="eastAsia"/>
        </w:rPr>
        <w:t>股份支付</w:t>
      </w:r>
    </w:p>
    <w:p>
      <w:pPr>
        <w:pStyle w:val="504"/>
        <w:numPr>
          <w:ilvl w:val="0"/>
          <w:numId w:val="131"/>
        </w:numPr>
        <w:ind w:left="450" w:hanging="450"/>
      </w:pPr>
      <w:r>
        <w:rPr>
          <w:rFonts w:hint="eastAsia"/>
        </w:rPr>
        <w:t>各项权益工具</w:t>
      </w:r>
    </w:p>
    <w:sdt>
      <w:sdtPr>
        <w:alias w:val="是否适用：各项权益工具[双击切换]"/>
        <w:tag w:val="_GBC_0398e620ff9243c39df09ccd571d2387"/>
        <w:id w:val="1359094213"/>
        <w:placeholder>
          <w:docPart w:val="GBC22222222222222222222222222222"/>
        </w:placeholder>
      </w:sdtPr>
      <w:sdtContent>
        <w:p>
          <w:pPr>
            <w:pStyle w:val="531"/>
          </w:pPr>
          <w:bookmarkStart w:id="343" w:name="_Hlk40787153"/>
          <w:bookmarkStart w:id="344" w:name="_Hlk15113550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4"/>
        <w:numPr>
          <w:ilvl w:val="0"/>
          <w:numId w:val="131"/>
        </w:numPr>
        <w:tabs>
          <w:tab w:val="left" w:pos="360"/>
        </w:tabs>
        <w:ind w:left="420" w:hanging="420"/>
        <w:rPr>
          <w:rFonts w:ascii="宋体" w:hAnsi="宋体"/>
        </w:rPr>
      </w:pPr>
      <w:r>
        <w:rPr>
          <w:rFonts w:hint="eastAsia" w:ascii="宋体" w:hAnsi="宋体"/>
        </w:rPr>
        <w:t>股份支付总体情况</w:t>
      </w:r>
    </w:p>
    <w:p>
      <w:pPr>
        <w:tabs>
          <w:tab w:val="left" w:pos="800"/>
          <w:tab w:val="left" w:pos="1065"/>
          <w:tab w:val="left" w:pos="2940"/>
        </w:tabs>
        <w:snapToGrid w:val="0"/>
        <w:spacing w:before="156" w:beforeLines="50" w:after="156" w:afterLines="50" w:line="360" w:lineRule="exact"/>
        <w:ind w:firstLine="440" w:firstLineChars="200"/>
        <w:rPr>
          <w:rFonts w:asciiTheme="majorEastAsia" w:hAnsiTheme="majorEastAsia" w:eastAsiaTheme="majorEastAsia"/>
          <w:bCs/>
          <w:sz w:val="22"/>
          <w:szCs w:val="22"/>
        </w:rPr>
      </w:pPr>
      <w:r>
        <w:rPr>
          <w:rFonts w:hint="eastAsia" w:asciiTheme="majorEastAsia" w:hAnsiTheme="majorEastAsia" w:eastAsiaTheme="majorEastAsia"/>
          <w:bCs/>
          <w:sz w:val="22"/>
          <w:szCs w:val="22"/>
        </w:rPr>
        <w:t>（1）本公司</w:t>
      </w:r>
      <w:r>
        <w:rPr>
          <w:rFonts w:asciiTheme="majorEastAsia" w:hAnsiTheme="majorEastAsia" w:eastAsiaTheme="majorEastAsia"/>
          <w:bCs/>
          <w:sz w:val="22"/>
          <w:szCs w:val="22"/>
        </w:rPr>
        <w:t xml:space="preserve"> </w:t>
      </w:r>
    </w:p>
    <w:p>
      <w:pPr>
        <w:tabs>
          <w:tab w:val="left" w:pos="800"/>
          <w:tab w:val="left" w:pos="1065"/>
          <w:tab w:val="left" w:pos="2940"/>
        </w:tabs>
        <w:snapToGrid w:val="0"/>
        <w:spacing w:before="156" w:beforeLines="50" w:after="156" w:afterLines="50" w:line="360" w:lineRule="exact"/>
        <w:ind w:firstLine="440" w:firstLineChars="200"/>
        <w:jc w:val="right"/>
        <w:rPr>
          <w:rFonts w:asciiTheme="majorEastAsia" w:hAnsiTheme="majorEastAsia" w:eastAsiaTheme="majorEastAsia"/>
          <w:bCs/>
          <w:sz w:val="22"/>
          <w:szCs w:val="22"/>
        </w:rPr>
      </w:pPr>
      <w:r>
        <w:rPr>
          <w:rFonts w:asciiTheme="majorEastAsia" w:hAnsiTheme="majorEastAsia" w:eastAsiaTheme="majorEastAsia"/>
          <w:bCs/>
          <w:sz w:val="22"/>
          <w:szCs w:val="22"/>
        </w:rPr>
        <w:t xml:space="preserve"> </w:t>
      </w:r>
      <w:r>
        <w:rPr>
          <w:rFonts w:hint="eastAsia" w:asciiTheme="majorEastAsia" w:hAnsiTheme="majorEastAsia" w:eastAsiaTheme="majorEastAsia"/>
          <w:bCs/>
          <w:sz w:val="22"/>
          <w:szCs w:val="22"/>
        </w:rPr>
        <w:t>单位：股 币种：人民币</w:t>
      </w:r>
    </w:p>
    <w:tbl>
      <w:tblPr>
        <w:tblStyle w:val="9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5"/>
        <w:gridCol w:w="3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09" w:type="pct"/>
            <w:shd w:val="clear" w:color="auto" w:fill="auto"/>
            <w:vAlign w:val="center"/>
          </w:tcPr>
          <w:p>
            <w:pPr>
              <w:widowControl/>
              <w:snapToGrid w:val="0"/>
              <w:rPr>
                <w:rFonts w:ascii="宋体" w:hAnsi="宋体" w:cs="宋体"/>
                <w:b/>
                <w:snapToGrid w:val="0"/>
                <w:kern w:val="0"/>
              </w:rPr>
            </w:pPr>
            <w:r>
              <w:rPr>
                <w:rFonts w:hint="eastAsia" w:ascii="宋体" w:hAnsi="宋体" w:cs="宋体"/>
                <w:b/>
                <w:snapToGrid w:val="0"/>
                <w:color w:val="000000"/>
                <w:kern w:val="0"/>
                <w:lang w:bidi="ar"/>
              </w:rPr>
              <w:t>项目</w:t>
            </w:r>
          </w:p>
        </w:tc>
        <w:tc>
          <w:tcPr>
            <w:tcW w:w="2091" w:type="pct"/>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本年授予的各项权益工具总额</w:t>
            </w:r>
          </w:p>
        </w:tc>
        <w:tc>
          <w:tcPr>
            <w:tcW w:w="2091" w:type="pct"/>
            <w:shd w:val="clear" w:color="auto" w:fill="auto"/>
            <w:vAlign w:val="center"/>
          </w:tcPr>
          <w:p>
            <w:pPr>
              <w:widowControl/>
              <w:snapToGrid w:val="0"/>
              <w:jc w:val="right"/>
              <w:rPr>
                <w:rFonts w:ascii="宋体" w:hAnsi="宋体" w:cs="宋体"/>
                <w:snapToGrid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本年行权的各项权益工具总额</w:t>
            </w:r>
          </w:p>
        </w:tc>
        <w:tc>
          <w:tcPr>
            <w:tcW w:w="2091" w:type="pct"/>
            <w:shd w:val="clear" w:color="auto" w:fill="auto"/>
            <w:vAlign w:val="center"/>
          </w:tcPr>
          <w:p>
            <w:pPr>
              <w:widowControl/>
              <w:snapToGrid w:val="0"/>
              <w:jc w:val="right"/>
              <w:rPr>
                <w:rFonts w:ascii="宋体" w:hAnsi="宋体" w:cs="宋体"/>
                <w:snapToGrid w:val="0"/>
                <w:kern w:val="0"/>
              </w:rPr>
            </w:pPr>
            <w:r>
              <w:rPr>
                <w:rFonts w:hint="eastAsia" w:ascii="宋体" w:hAnsi="宋体" w:cs="宋体"/>
                <w:snapToGrid w:val="0"/>
                <w:color w:val="000000"/>
                <w:kern w:val="0"/>
                <w:lang w:bidi="ar"/>
              </w:rPr>
              <w:t>12,656,840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本年失效的各项权益工具总额</w:t>
            </w:r>
          </w:p>
        </w:tc>
        <w:tc>
          <w:tcPr>
            <w:tcW w:w="2091" w:type="pct"/>
            <w:shd w:val="clear" w:color="auto" w:fill="auto"/>
            <w:vAlign w:val="center"/>
          </w:tcPr>
          <w:p>
            <w:pPr>
              <w:widowControl/>
              <w:snapToGrid w:val="0"/>
              <w:jc w:val="right"/>
              <w:rPr>
                <w:rFonts w:ascii="宋体" w:hAnsi="宋体" w:cs="宋体"/>
                <w:snapToGrid w:val="0"/>
                <w:kern w:val="0"/>
              </w:rPr>
            </w:pPr>
            <w:r>
              <w:rPr>
                <w:rFonts w:hint="eastAsia" w:ascii="宋体" w:hAnsi="宋体" w:cs="宋体"/>
                <w:snapToGrid w:val="0"/>
                <w:color w:val="000000"/>
                <w:kern w:val="0"/>
                <w:lang w:bidi="ar"/>
              </w:rPr>
              <w:t>3,028,360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年末发行在外的股份期权行权价格</w:t>
            </w:r>
          </w:p>
        </w:tc>
        <w:tc>
          <w:tcPr>
            <w:tcW w:w="2091" w:type="pct"/>
            <w:shd w:val="clear" w:color="auto" w:fill="auto"/>
            <w:vAlign w:val="center"/>
          </w:tcPr>
          <w:p>
            <w:pPr>
              <w:widowControl/>
              <w:snapToGrid w:val="0"/>
              <w:jc w:val="right"/>
              <w:rPr>
                <w:rFonts w:ascii="宋体" w:hAnsi="宋体" w:cs="宋体"/>
                <w:snapToGrid w:val="0"/>
                <w:kern w:val="0"/>
                <w:lang w:eastAsia="en-US"/>
              </w:rPr>
            </w:pPr>
            <w:r>
              <w:rPr>
                <w:rFonts w:hint="eastAsia" w:ascii="宋体" w:hAnsi="宋体" w:cs="宋体"/>
                <w:snapToGrid w:val="0"/>
                <w:color w:val="000000"/>
                <w:kern w:val="0"/>
                <w:lang w:bidi="ar"/>
              </w:rPr>
              <w:t>3.61</w:t>
            </w:r>
            <w:r>
              <w:rPr>
                <w:rFonts w:ascii="宋体" w:hAnsi="宋体" w:cs="宋体"/>
                <w:snapToGrid w:val="0"/>
                <w:color w:val="000000"/>
                <w:kern w:val="0"/>
                <w:lang w:bidi="ar"/>
              </w:rPr>
              <w:t>33</w:t>
            </w:r>
            <w:r>
              <w:rPr>
                <w:rFonts w:hint="eastAsia" w:ascii="宋体" w:hAnsi="宋体" w:cs="宋体"/>
                <w:snapToGrid w:val="0"/>
                <w:color w:val="000000"/>
                <w:kern w:val="0"/>
                <w:lang w:bidi="ar"/>
              </w:rPr>
              <w:t>元/股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年末发行在外的股份期权合同剩余期限</w:t>
            </w:r>
          </w:p>
        </w:tc>
        <w:tc>
          <w:tcPr>
            <w:tcW w:w="2091" w:type="pct"/>
            <w:shd w:val="clear" w:color="auto" w:fill="auto"/>
            <w:vAlign w:val="center"/>
          </w:tcPr>
          <w:p>
            <w:pPr>
              <w:widowControl/>
              <w:snapToGrid w:val="0"/>
              <w:jc w:val="right"/>
              <w:rPr>
                <w:rFonts w:ascii="宋体" w:hAnsi="宋体" w:cs="宋体"/>
                <w:snapToGrid w:val="0"/>
                <w:kern w:val="0"/>
                <w:lang w:eastAsia="en-US"/>
              </w:rPr>
            </w:pPr>
            <w:r>
              <w:rPr>
                <w:rFonts w:hint="eastAsia" w:ascii="宋体" w:hAnsi="宋体" w:cs="宋体"/>
                <w:snapToGrid w:val="0"/>
                <w:color w:val="000000"/>
                <w:kern w:val="0"/>
                <w:lang w:bidi="ar"/>
              </w:rPr>
              <w:t>1-3年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年末</w:t>
            </w:r>
            <w:r>
              <w:rPr>
                <w:rFonts w:hint="eastAsia" w:ascii="宋体" w:hAnsi="宋体" w:cs="宋体"/>
                <w:snapToGrid w:val="0"/>
                <w:color w:val="000000"/>
                <w:spacing w:val="-10"/>
                <w:kern w:val="0"/>
                <w:lang w:bidi="ar"/>
              </w:rPr>
              <w:t>发行在外的</w:t>
            </w:r>
            <w:r>
              <w:rPr>
                <w:rFonts w:hint="eastAsia" w:ascii="宋体" w:hAnsi="宋体" w:cs="宋体"/>
                <w:snapToGrid w:val="0"/>
                <w:color w:val="000000"/>
                <w:kern w:val="0"/>
                <w:lang w:bidi="ar"/>
              </w:rPr>
              <w:t>其他权益工具行权价格的范围和合同剩余期限</w:t>
            </w:r>
          </w:p>
        </w:tc>
        <w:tc>
          <w:tcPr>
            <w:tcW w:w="2091" w:type="pct"/>
            <w:shd w:val="clear" w:color="auto" w:fill="auto"/>
            <w:vAlign w:val="center"/>
          </w:tcPr>
          <w:p>
            <w:pPr>
              <w:widowControl/>
              <w:snapToGrid w:val="0"/>
              <w:jc w:val="right"/>
              <w:rPr>
                <w:rFonts w:ascii="宋体" w:hAnsi="宋体" w:cs="宋体"/>
                <w:snapToGrid w:val="0"/>
                <w:kern w:val="0"/>
              </w:rPr>
            </w:pPr>
          </w:p>
        </w:tc>
      </w:tr>
    </w:tbl>
    <w:p>
      <w:pPr>
        <w:widowControl/>
        <w:tabs>
          <w:tab w:val="left" w:pos="1000"/>
        </w:tabs>
        <w:snapToGrid w:val="0"/>
        <w:spacing w:before="156" w:beforeLines="50" w:after="156"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2019年2月12日，本公司根据激励计划向管理层人员及核心骨干人员授予A股期权46,320,000份。本计划授予的期权等待期为24月，36月，48月。</w:t>
      </w:r>
    </w:p>
    <w:p>
      <w:pPr>
        <w:widowControl/>
        <w:tabs>
          <w:tab w:val="left" w:pos="1000"/>
        </w:tabs>
        <w:snapToGrid w:val="0"/>
        <w:spacing w:before="156" w:beforeLines="50" w:after="156"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2021年1月13日，根据公司股东大会的授权，董事会同意将本次股票期权激励计划的激励对象人数由499名调整至469名，所涉及已获授但尚未行权的股票期权数量由46,320,000份调整至43,020,860份。本次股权激励计划第一个行权期行权条件已成就，符合条件的469名激励对象在第一个行权期可行权的股票期权数量为14,184,060份，第一个行权期可行权股票期权均已行权完毕，剩余已获授但尚未行权的股票期权数量为28,836,800份。</w:t>
      </w:r>
    </w:p>
    <w:p>
      <w:pPr>
        <w:widowControl/>
        <w:tabs>
          <w:tab w:val="left" w:pos="1000"/>
        </w:tabs>
        <w:snapToGrid w:val="0"/>
        <w:spacing w:before="156" w:beforeLines="50" w:after="156"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2022年1月27日，根据公司股东大会的授权，董事会同意将本次股票期权激励计划的激励对象人数由469名调整至436名，所涉及已获授但尚未行权的期权数量由28,836,800份调整至26,005,080份；本次股权激励计划第二个行权期行权条件已成就，符合条件的436名激励对象在第二个行权期可行权的期权数量为12,796,080份。截至2022年3月31日，符合行权条件的435名激励对象以人民币6.52元/份的价格行权12,779,580份。剩余已获授但尚未行权的股票期权数量为13,225,500份，其中：第二个行权期已获授但尚未行权的股票期权数量为16,500份。2022年4月29日，根据股东大会授权，董事会同意将本次股票期权激励计划的激励对象人数由436名调整至430名，同时相应将已获授但尚未行权的股票期权数量由13,225,500份调整至13,015,200份（其中：调减第二个行权期已获授但尚未行权的股票期权数量16,500份）。</w:t>
      </w:r>
    </w:p>
    <w:p>
      <w:pPr>
        <w:widowControl/>
        <w:tabs>
          <w:tab w:val="left" w:pos="1000"/>
        </w:tabs>
        <w:snapToGrid w:val="0"/>
        <w:spacing w:before="156" w:beforeLines="50" w:after="156"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2023年4月24日，公司召开第八届董事会第二十八次会议和第八届监事会第十九次会议，审议批准了《关于调整2018年A股股票期权激励计划相关事项的议案》《关于2018年A股股票期权激励计划第三个行权期行权条件成就的议案》。根据公司股东大会授权，董事会同意将本次股权激励计划的激励对象人数由430名调整至419名，所涉及已获授但尚未行权的期权数量由13,015,200份调整至12,656,840份；行权价格由人民币6.52元/份调整为人民币4.52元/份；本次股权激励计划第三个行权期行权条件已成就，符合条件的419名激励对象在第三个行权期可行权的期权数量为12,656,840份。</w:t>
      </w:r>
    </w:p>
    <w:p>
      <w:pPr>
        <w:widowControl/>
        <w:tabs>
          <w:tab w:val="left" w:pos="1000"/>
        </w:tabs>
        <w:snapToGrid w:val="0"/>
        <w:spacing w:before="156" w:beforeLines="50" w:after="156"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截止2023年12月31日，本年已行权12,656,840份，第三个行权期可行权股票期权已全部行权。</w:t>
      </w:r>
    </w:p>
    <w:p>
      <w:pPr>
        <w:widowControl/>
        <w:tabs>
          <w:tab w:val="left" w:pos="1000"/>
        </w:tabs>
        <w:snapToGrid w:val="0"/>
        <w:spacing w:before="156" w:beforeLines="50" w:after="156" w:afterLines="50" w:line="360" w:lineRule="exact"/>
        <w:ind w:firstLine="420" w:firstLineChars="200"/>
        <w:rPr>
          <w:rFonts w:ascii="宋体" w:hAnsi="宋体" w:cs="宋体"/>
          <w:snapToGrid w:val="0"/>
          <w:color w:val="000000"/>
          <w:kern w:val="0"/>
          <w:lang w:bidi="ar"/>
        </w:rPr>
      </w:pPr>
      <w:r>
        <w:rPr>
          <w:rFonts w:hint="eastAsia" w:ascii="宋体" w:hAnsi="宋体" w:cs="宋体"/>
          <w:snapToGrid w:val="0"/>
          <w:color w:val="000000"/>
          <w:kern w:val="0"/>
          <w:lang w:bidi="ar"/>
        </w:rPr>
        <w:t>2022年1月27日，本公司根据激励计划以2022年1月27日为授予日，以11.72元每股为授予价格，向符合条件的1,256名激励对象授予6,234万股限制性股票。本公司董事会审议授予相关事项后，在资金缴纳过程中，11名激励对象因个人原因自愿放弃公司向其授予的全部限制性股票，合计放弃60万股限制性股票，激励对象由1,256人调整为1,245人，授予的限制性股票数量由6,234万股调整为6,174万股。本激励计划限售期分别为自限制性股票授予登记完成之日起24月，36月，48月。截止2022年2月12日止，公司已收到1,245位股权激励对象缴纳的6,174万股限制性股票购股款人民币72,359.28万元。其中，计入股本6,174.00万元，计入资本公积66,185.28万元。</w:t>
      </w:r>
    </w:p>
    <w:p>
      <w:pPr>
        <w:widowControl/>
        <w:tabs>
          <w:tab w:val="left" w:pos="1000"/>
        </w:tabs>
        <w:snapToGrid w:val="0"/>
        <w:spacing w:before="156" w:beforeLines="50" w:after="156" w:afterLines="50" w:line="360" w:lineRule="exact"/>
        <w:ind w:firstLine="420" w:firstLineChars="200"/>
        <w:rPr>
          <w:rFonts w:ascii="宋体" w:hAnsi="宋体" w:cs="宋体"/>
          <w:snapToGrid w:val="0"/>
          <w:color w:val="000000"/>
          <w:kern w:val="0"/>
          <w:lang w:bidi="ar"/>
        </w:rPr>
      </w:pPr>
      <w:r>
        <w:rPr>
          <w:rFonts w:hint="eastAsia" w:ascii="宋体" w:hAnsi="宋体" w:cs="宋体"/>
          <w:snapToGrid w:val="0"/>
          <w:color w:val="000000"/>
          <w:kern w:val="0"/>
          <w:lang w:bidi="ar"/>
        </w:rPr>
        <w:t>2022年6月30日，公司2021年度股东周年大会审议批准2021年度利润分配方案，以分红派息股权登记日公司总股本为基数，派发现金股利人民币1.60元/股(含税)，另派发特别现金股利人民币0.40元/股(含税)，合计派发现金股利人民币 2.00 元/股(含税)。2023年6月30日，公司2022年度股东周年大会审议批准2022年度利润分配方案，以分红派息股权登记日公司总股本为基数，派发现金股利人民币3.07元/股(含税)，另派发特别现金股利人民币1.23元/股(含税)，合计派发现金股利人民币 4.30元/股(含税)；每股派送红股0.5股。因此，根据相关规定限制性股票数量由6,174万股调整为9,261万股，限制性股票的回购价格调整为3.6133元/股。</w:t>
      </w:r>
    </w:p>
    <w:p>
      <w:pPr>
        <w:widowControl/>
        <w:tabs>
          <w:tab w:val="left" w:pos="1000"/>
        </w:tabs>
        <w:snapToGrid w:val="0"/>
        <w:spacing w:before="156" w:beforeLines="50" w:after="156"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2023年8月25日，公司第九届董事会第二次会议和第九届监事会第二次会议审议批准了《关于调整2021年A股限制性股票激励计划相关事项的议案》。鉴于本激励计划26名激励对象因调动、退休等原因，已不符合激励条件，应对其已获授但尚未解除限售的限制性股票267万股进行回购注销；本次限制性股票于2023年11月16日完成注销。</w:t>
      </w:r>
    </w:p>
    <w:p>
      <w:pPr>
        <w:widowControl/>
        <w:tabs>
          <w:tab w:val="left" w:pos="1000"/>
        </w:tabs>
        <w:snapToGrid w:val="0"/>
        <w:spacing w:before="156" w:beforeLines="50" w:after="156"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截止2023年12月31日，公司总股本为7,439,370,720份，其中：无限售条件股7,349,430,720份，有限售条件股89,940,000份。</w:t>
      </w:r>
    </w:p>
    <w:p>
      <w:pPr>
        <w:tabs>
          <w:tab w:val="left" w:pos="800"/>
          <w:tab w:val="left" w:pos="1065"/>
          <w:tab w:val="left" w:pos="2940"/>
        </w:tabs>
        <w:snapToGrid w:val="0"/>
        <w:spacing w:before="156" w:beforeLines="50" w:after="156" w:afterLines="50" w:line="360" w:lineRule="exact"/>
        <w:ind w:firstLine="420" w:firstLineChars="200"/>
        <w:rPr>
          <w:rFonts w:ascii="宋体" w:hAnsi="宋体"/>
          <w:bCs/>
        </w:rPr>
      </w:pPr>
      <w:r>
        <w:rPr>
          <w:rFonts w:hint="eastAsia" w:ascii="宋体" w:hAnsi="宋体"/>
          <w:bCs/>
        </w:rPr>
        <w:t>（2）澳洲公司</w:t>
      </w:r>
    </w:p>
    <w:p>
      <w:pPr>
        <w:ind w:left="440"/>
        <w:jc w:val="right"/>
        <w:rPr>
          <w:rFonts w:ascii="宋体" w:hAnsi="宋体"/>
        </w:rPr>
      </w:pPr>
      <w:r>
        <w:rPr>
          <w:rFonts w:hint="eastAsia" w:ascii="宋体" w:hAnsi="宋体"/>
        </w:rPr>
        <w:t xml:space="preserve">单位：股 </w:t>
      </w:r>
      <w:r>
        <w:rPr>
          <w:rFonts w:ascii="宋体" w:hAnsi="宋体"/>
        </w:rPr>
        <w:t xml:space="preserve"> </w:t>
      </w:r>
      <w:r>
        <w:rPr>
          <w:rFonts w:hint="eastAsia" w:ascii="宋体" w:hAnsi="宋体"/>
        </w:rPr>
        <w:t>币种：人民币</w:t>
      </w:r>
    </w:p>
    <w:tbl>
      <w:tblPr>
        <w:tblStyle w:val="9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4"/>
        <w:gridCol w:w="3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09" w:type="pct"/>
            <w:shd w:val="clear" w:color="auto" w:fill="auto"/>
            <w:vAlign w:val="center"/>
          </w:tcPr>
          <w:p>
            <w:pPr>
              <w:widowControl/>
              <w:snapToGrid w:val="0"/>
              <w:rPr>
                <w:rFonts w:ascii="宋体" w:hAnsi="宋体" w:cs="宋体"/>
                <w:b/>
                <w:snapToGrid w:val="0"/>
                <w:kern w:val="0"/>
              </w:rPr>
            </w:pPr>
            <w:r>
              <w:rPr>
                <w:rFonts w:hint="eastAsia" w:ascii="宋体" w:hAnsi="宋体" w:cs="宋体"/>
                <w:b/>
                <w:snapToGrid w:val="0"/>
                <w:color w:val="000000"/>
                <w:kern w:val="0"/>
                <w:lang w:bidi="ar"/>
              </w:rPr>
              <w:t>项目</w:t>
            </w:r>
          </w:p>
        </w:tc>
        <w:tc>
          <w:tcPr>
            <w:tcW w:w="2091" w:type="pct"/>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本年授予的各项权益工具总额</w:t>
            </w:r>
          </w:p>
        </w:tc>
        <w:tc>
          <w:tcPr>
            <w:tcW w:w="2091" w:type="pct"/>
            <w:shd w:val="clear" w:color="auto" w:fill="auto"/>
            <w:vAlign w:val="center"/>
          </w:tcPr>
          <w:p>
            <w:pPr>
              <w:widowControl/>
              <w:snapToGrid w:val="0"/>
              <w:jc w:val="right"/>
              <w:rPr>
                <w:rFonts w:ascii="宋体" w:hAnsi="宋体" w:cs="宋体"/>
                <w:snapToGrid w:val="0"/>
                <w:kern w:val="0"/>
              </w:rPr>
            </w:pPr>
            <w:r>
              <w:rPr>
                <w:rFonts w:ascii="宋体" w:hAnsi="宋体"/>
              </w:rPr>
              <w:t>1,216,705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本年行权的各项权益工具总额</w:t>
            </w:r>
          </w:p>
        </w:tc>
        <w:tc>
          <w:tcPr>
            <w:tcW w:w="2091" w:type="pct"/>
            <w:shd w:val="clear" w:color="auto" w:fill="auto"/>
            <w:vAlign w:val="center"/>
          </w:tcPr>
          <w:p>
            <w:pPr>
              <w:widowControl/>
              <w:snapToGrid w:val="0"/>
              <w:jc w:val="right"/>
              <w:rPr>
                <w:rFonts w:ascii="宋体" w:hAnsi="宋体" w:cs="宋体"/>
                <w:snapToGrid w:val="0"/>
                <w:kern w:val="0"/>
              </w:rPr>
            </w:pPr>
            <w:r>
              <w:rPr>
                <w:rFonts w:ascii="宋体" w:hAnsi="宋体"/>
              </w:rPr>
              <w:t>2,007,635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本年失效的各项权益工具总额</w:t>
            </w:r>
          </w:p>
        </w:tc>
        <w:tc>
          <w:tcPr>
            <w:tcW w:w="2091" w:type="pct"/>
            <w:shd w:val="clear" w:color="auto" w:fill="auto"/>
            <w:vAlign w:val="center"/>
          </w:tcPr>
          <w:p>
            <w:pPr>
              <w:widowControl/>
              <w:snapToGrid w:val="0"/>
              <w:jc w:val="right"/>
              <w:rPr>
                <w:rFonts w:ascii="宋体" w:hAnsi="宋体" w:cs="宋体"/>
                <w:snapToGrid w:val="0"/>
                <w:kern w:val="0"/>
              </w:rPr>
            </w:pPr>
            <w:r>
              <w:rPr>
                <w:rFonts w:ascii="宋体" w:hAnsi="宋体"/>
              </w:rPr>
              <w:t>175,016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年末发行在外的股份期权行权价格</w:t>
            </w:r>
          </w:p>
        </w:tc>
        <w:tc>
          <w:tcPr>
            <w:tcW w:w="2091" w:type="pct"/>
            <w:shd w:val="clear" w:color="auto" w:fill="auto"/>
            <w:vAlign w:val="center"/>
          </w:tcPr>
          <w:p>
            <w:pPr>
              <w:widowControl/>
              <w:snapToGrid w:val="0"/>
              <w:jc w:val="right"/>
              <w:rPr>
                <w:rFonts w:ascii="宋体" w:hAnsi="宋体" w:cs="宋体"/>
                <w:snapToGrid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年末发行在外的股份期权合同剩余期限</w:t>
            </w:r>
          </w:p>
        </w:tc>
        <w:tc>
          <w:tcPr>
            <w:tcW w:w="2091" w:type="pct"/>
            <w:shd w:val="clear" w:color="auto" w:fill="auto"/>
            <w:vAlign w:val="center"/>
          </w:tcPr>
          <w:p>
            <w:pPr>
              <w:widowControl/>
              <w:snapToGrid w:val="0"/>
              <w:jc w:val="right"/>
              <w:rPr>
                <w:rFonts w:ascii="宋体" w:hAnsi="宋体" w:cs="宋体"/>
                <w:snapToGrid w:val="0"/>
                <w:kern w:val="0"/>
                <w:lang w:eastAsia="en-US"/>
              </w:rPr>
            </w:pPr>
            <w:r>
              <w:rPr>
                <w:rFonts w:hint="eastAsia" w:ascii="宋体" w:hAnsi="宋体"/>
              </w:rPr>
              <w:t>1-3年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年末</w:t>
            </w:r>
            <w:r>
              <w:rPr>
                <w:rFonts w:hint="eastAsia" w:ascii="宋体" w:hAnsi="宋体" w:cs="宋体"/>
                <w:snapToGrid w:val="0"/>
                <w:color w:val="000000"/>
                <w:spacing w:val="-10"/>
                <w:kern w:val="0"/>
                <w:lang w:bidi="ar"/>
              </w:rPr>
              <w:t>发行在外的</w:t>
            </w:r>
            <w:r>
              <w:rPr>
                <w:rFonts w:hint="eastAsia" w:ascii="宋体" w:hAnsi="宋体" w:cs="宋体"/>
                <w:snapToGrid w:val="0"/>
                <w:color w:val="000000"/>
                <w:kern w:val="0"/>
                <w:lang w:bidi="ar"/>
              </w:rPr>
              <w:t>其他权益工具行权价格的范围和合同剩余期限</w:t>
            </w:r>
          </w:p>
        </w:tc>
        <w:tc>
          <w:tcPr>
            <w:tcW w:w="2091" w:type="pct"/>
            <w:shd w:val="clear" w:color="auto" w:fill="auto"/>
            <w:vAlign w:val="center"/>
          </w:tcPr>
          <w:p>
            <w:pPr>
              <w:widowControl/>
              <w:snapToGrid w:val="0"/>
              <w:jc w:val="right"/>
              <w:rPr>
                <w:rFonts w:ascii="宋体" w:hAnsi="宋体" w:cs="宋体"/>
                <w:snapToGrid w:val="0"/>
                <w:kern w:val="0"/>
              </w:rPr>
            </w:pPr>
          </w:p>
        </w:tc>
      </w:tr>
    </w:tbl>
    <w:p>
      <w:pPr>
        <w:widowControl/>
        <w:tabs>
          <w:tab w:val="left" w:pos="1000"/>
        </w:tabs>
        <w:snapToGrid w:val="0"/>
        <w:spacing w:before="156" w:beforeLines="50" w:after="156" w:afterLines="50" w:line="360" w:lineRule="exact"/>
        <w:ind w:firstLine="420" w:firstLineChars="200"/>
        <w:rPr>
          <w:rFonts w:ascii="宋体" w:hAnsi="宋体" w:cs="宋体"/>
          <w:snapToGrid w:val="0"/>
          <w:kern w:val="0"/>
        </w:rPr>
      </w:pPr>
      <w:r>
        <w:rPr>
          <w:rFonts w:hint="eastAsia" w:ascii="宋体" w:hAnsi="宋体" w:cs="宋体"/>
          <w:snapToGrid w:val="0"/>
          <w:color w:val="000000"/>
          <w:kern w:val="0"/>
          <w:lang w:bidi="ar"/>
        </w:rPr>
        <w:t>截至2023年12月31日，本公司之子公司澳洲公司根据激励计划向核心管理层人员授予6,437,335份期权，占截止2023年12月31日公司总股本的0.5%。此激励计划为长期激励计划，2023年长期激励计划授予激励对象1,216,705份期权，若满足相关可行权条件，将于2025年12月31日行权。若无法满足相关可行权条件，此期权将于2026年1月1日到期失效。</w:t>
      </w:r>
    </w:p>
    <w:p>
      <w:pPr>
        <w:pStyle w:val="531"/>
        <w:rPr>
          <w:szCs w:val="21"/>
        </w:rPr>
      </w:pPr>
    </w:p>
    <w:p>
      <w:pPr>
        <w:pStyle w:val="504"/>
        <w:numPr>
          <w:ilvl w:val="0"/>
          <w:numId w:val="131"/>
        </w:numPr>
        <w:tabs>
          <w:tab w:val="left" w:pos="360"/>
        </w:tabs>
        <w:ind w:left="420" w:hanging="420"/>
        <w:rPr>
          <w:rFonts w:ascii="宋体" w:hAnsi="宋体"/>
        </w:rPr>
      </w:pPr>
      <w:r>
        <w:rPr>
          <w:rFonts w:hint="eastAsia" w:ascii="宋体" w:hAnsi="宋体"/>
        </w:rPr>
        <w:t>以权益结算的股份支付情况</w:t>
      </w:r>
    </w:p>
    <w:bookmarkEnd w:id="343"/>
    <w:sdt>
      <w:sdtPr>
        <w:alias w:val="是否适用：以权益结算的股份支付情况[双击切换]"/>
        <w:tag w:val="_GBC_8723814961d6478ca2db4f04f2667fcd"/>
        <w:id w:val="-79822083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left"/>
      </w:pPr>
      <w:r>
        <w:rPr>
          <w:rFonts w:hint="eastAsia"/>
        </w:rPr>
        <w:t>本公司</w:t>
      </w:r>
    </w:p>
    <w:p>
      <w:pPr>
        <w:jc w:val="right"/>
      </w:pPr>
      <w:r>
        <w:rPr>
          <w:rFonts w:hint="eastAsia"/>
        </w:rPr>
        <w:t>单位：千元  币种：人民币</w:t>
      </w:r>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6" w:type="pct"/>
            <w:tcBorders>
              <w:top w:val="single" w:color="auto" w:sz="4" w:space="0"/>
              <w:left w:val="single" w:color="auto" w:sz="4" w:space="0"/>
              <w:bottom w:val="single" w:color="auto" w:sz="4" w:space="0"/>
              <w:right w:val="single" w:color="auto" w:sz="4" w:space="0"/>
            </w:tcBorders>
            <w:vAlign w:val="center"/>
          </w:tcPr>
          <w:p>
            <w:pPr>
              <w:pStyle w:val="531"/>
              <w:jc w:val="both"/>
              <w:rPr>
                <w:szCs w:val="21"/>
              </w:rPr>
            </w:pPr>
            <w:r>
              <w:rPr>
                <w:rFonts w:hint="eastAsia"/>
                <w:szCs w:val="21"/>
              </w:rPr>
              <w:t>授予日权益工具公允价值的确定方法</w:t>
            </w:r>
          </w:p>
        </w:tc>
        <w:tc>
          <w:tcPr>
            <w:tcW w:w="2434" w:type="pct"/>
            <w:tcBorders>
              <w:top w:val="single" w:color="auto" w:sz="4" w:space="0"/>
              <w:left w:val="single" w:color="auto" w:sz="4" w:space="0"/>
              <w:bottom w:val="single" w:color="auto" w:sz="4" w:space="0"/>
              <w:right w:val="single" w:color="auto" w:sz="4" w:space="0"/>
            </w:tcBorders>
          </w:tcPr>
          <w:p>
            <w:pPr>
              <w:pStyle w:val="531"/>
              <w:rPr>
                <w:szCs w:val="21"/>
              </w:rPr>
            </w:pPr>
            <w:r>
              <w:rPr>
                <w:rFonts w:hint="eastAsia"/>
                <w:szCs w:val="21"/>
              </w:rPr>
              <w:t>Black-Scholes期权定价模型来计算期权的公允价值（公司股票的市场价格-授予价格）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6" w:type="pct"/>
            <w:tcBorders>
              <w:top w:val="single" w:color="auto" w:sz="4" w:space="0"/>
              <w:left w:val="single" w:color="auto" w:sz="4" w:space="0"/>
              <w:bottom w:val="single" w:color="auto" w:sz="4" w:space="0"/>
              <w:right w:val="single" w:color="auto" w:sz="4" w:space="0"/>
            </w:tcBorders>
          </w:tcPr>
          <w:p>
            <w:pPr>
              <w:pStyle w:val="531"/>
              <w:rPr>
                <w:szCs w:val="21"/>
              </w:rPr>
            </w:pPr>
            <w:r>
              <w:rPr>
                <w:rFonts w:hint="eastAsia"/>
                <w:szCs w:val="21"/>
              </w:rPr>
              <w:t>对可行权权益工具数量的确定依据</w:t>
            </w:r>
          </w:p>
        </w:tc>
        <w:tc>
          <w:tcPr>
            <w:tcW w:w="2434" w:type="pct"/>
            <w:tcBorders>
              <w:top w:val="single" w:color="auto" w:sz="4" w:space="0"/>
              <w:left w:val="single" w:color="auto" w:sz="4" w:space="0"/>
              <w:bottom w:val="single" w:color="auto" w:sz="4" w:space="0"/>
              <w:right w:val="single" w:color="auto" w:sz="4" w:space="0"/>
            </w:tcBorders>
          </w:tcPr>
          <w:p>
            <w:pPr>
              <w:pStyle w:val="531"/>
              <w:rPr>
                <w:szCs w:val="21"/>
              </w:rPr>
            </w:pPr>
            <w:r>
              <w:rPr>
                <w:rFonts w:hint="eastAsia"/>
                <w:szCs w:val="21"/>
              </w:rPr>
              <w:t>对可行权权益工具数量的最佳估计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6" w:type="pct"/>
            <w:tcBorders>
              <w:top w:val="single" w:color="auto" w:sz="4" w:space="0"/>
              <w:left w:val="single" w:color="auto" w:sz="4" w:space="0"/>
              <w:bottom w:val="single" w:color="auto" w:sz="4" w:space="0"/>
              <w:right w:val="single" w:color="auto" w:sz="4" w:space="0"/>
            </w:tcBorders>
          </w:tcPr>
          <w:p>
            <w:pPr>
              <w:pStyle w:val="531"/>
              <w:rPr>
                <w:szCs w:val="21"/>
              </w:rPr>
            </w:pPr>
            <w:r>
              <w:rPr>
                <w:rFonts w:hint="eastAsia"/>
                <w:szCs w:val="21"/>
              </w:rPr>
              <w:t>本年估计与上年估计有重大差异的原因</w:t>
            </w:r>
          </w:p>
        </w:tc>
        <w:tc>
          <w:tcPr>
            <w:tcW w:w="2434" w:type="pct"/>
            <w:tcBorders>
              <w:top w:val="single" w:color="auto" w:sz="4" w:space="0"/>
              <w:left w:val="single" w:color="auto" w:sz="4" w:space="0"/>
              <w:bottom w:val="single" w:color="auto" w:sz="4" w:space="0"/>
              <w:right w:val="single" w:color="auto" w:sz="4" w:space="0"/>
            </w:tcBorders>
          </w:tcPr>
          <w:p>
            <w:pPr>
              <w:pStyle w:val="531"/>
              <w:rPr>
                <w:szCs w:val="21"/>
              </w:rPr>
            </w:pPr>
            <w:r>
              <w:rPr>
                <w:rFonts w:hint="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6" w:type="pct"/>
            <w:tcBorders>
              <w:top w:val="single" w:color="auto" w:sz="4" w:space="0"/>
              <w:left w:val="single" w:color="auto" w:sz="4" w:space="0"/>
              <w:bottom w:val="single" w:color="auto" w:sz="4" w:space="0"/>
              <w:right w:val="single" w:color="auto" w:sz="4" w:space="0"/>
            </w:tcBorders>
          </w:tcPr>
          <w:p>
            <w:pPr>
              <w:pStyle w:val="531"/>
              <w:rPr>
                <w:szCs w:val="21"/>
              </w:rPr>
            </w:pPr>
            <w:r>
              <w:rPr>
                <w:rFonts w:hint="eastAsia"/>
                <w:szCs w:val="21"/>
              </w:rPr>
              <w:t>以权益结算的股份支付计入资本公积的累计金额</w:t>
            </w:r>
          </w:p>
        </w:tc>
        <w:tc>
          <w:tcPr>
            <w:tcW w:w="243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617,128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6" w:type="pct"/>
            <w:tcBorders>
              <w:top w:val="single" w:color="auto" w:sz="4" w:space="0"/>
              <w:left w:val="single" w:color="auto" w:sz="4" w:space="0"/>
              <w:bottom w:val="single" w:color="auto" w:sz="4" w:space="0"/>
              <w:right w:val="single" w:color="auto" w:sz="4" w:space="0"/>
            </w:tcBorders>
          </w:tcPr>
          <w:p>
            <w:pPr>
              <w:pStyle w:val="531"/>
              <w:rPr>
                <w:szCs w:val="21"/>
              </w:rPr>
            </w:pPr>
            <w:r>
              <w:rPr>
                <w:rFonts w:hint="eastAsia"/>
                <w:szCs w:val="21"/>
              </w:rPr>
              <w:t>本年以权益结算的股份支付确认的费用总额</w:t>
            </w:r>
          </w:p>
        </w:tc>
        <w:tc>
          <w:tcPr>
            <w:tcW w:w="243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hint="eastAsia" w:ascii="宋体" w:hAnsi="宋体"/>
              </w:rPr>
              <w:t>268,480</w:t>
            </w:r>
          </w:p>
        </w:tc>
      </w:tr>
    </w:tbl>
    <w:p>
      <w:pPr>
        <w:pStyle w:val="531"/>
        <w:rPr>
          <w:szCs w:val="21"/>
        </w:rPr>
      </w:pPr>
    </w:p>
    <w:p>
      <w:pPr>
        <w:pStyle w:val="531"/>
        <w:rPr>
          <w:szCs w:val="21"/>
        </w:rPr>
      </w:pPr>
      <w:r>
        <w:rPr>
          <w:rFonts w:hint="eastAsia"/>
          <w:szCs w:val="21"/>
        </w:rPr>
        <w:t>澳洲公司</w:t>
      </w:r>
    </w:p>
    <w:tbl>
      <w:tblPr>
        <w:tblStyle w:val="9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6"/>
        <w:gridCol w:w="3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5" w:type="pct"/>
            <w:shd w:val="clear" w:color="auto" w:fill="auto"/>
            <w:vAlign w:val="center"/>
          </w:tcPr>
          <w:p>
            <w:pPr>
              <w:widowControl/>
              <w:snapToGrid w:val="0"/>
              <w:jc w:val="left"/>
              <w:rPr>
                <w:rFonts w:ascii="宋体" w:hAnsi="宋体" w:cs="宋体"/>
                <w:b/>
                <w:snapToGrid w:val="0"/>
                <w:kern w:val="0"/>
              </w:rPr>
            </w:pPr>
            <w:r>
              <w:rPr>
                <w:rFonts w:hint="eastAsia" w:ascii="宋体" w:hAnsi="宋体" w:cs="宋体"/>
                <w:b/>
                <w:snapToGrid w:val="0"/>
                <w:color w:val="000000"/>
                <w:kern w:val="0"/>
                <w:lang w:bidi="ar"/>
              </w:rPr>
              <w:t>项目</w:t>
            </w:r>
          </w:p>
        </w:tc>
        <w:tc>
          <w:tcPr>
            <w:tcW w:w="2085" w:type="pct"/>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5"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授予日权益工具公允价值的确定方法</w:t>
            </w:r>
          </w:p>
        </w:tc>
        <w:tc>
          <w:tcPr>
            <w:tcW w:w="2085" w:type="pct"/>
            <w:shd w:val="clear" w:color="auto" w:fill="auto"/>
            <w:vAlign w:val="center"/>
          </w:tcPr>
          <w:p>
            <w:pPr>
              <w:widowControl/>
              <w:snapToGrid w:val="0"/>
              <w:rPr>
                <w:rFonts w:ascii="宋体" w:hAnsi="宋体" w:cs="宋体"/>
                <w:snapToGrid w:val="0"/>
                <w:kern w:val="0"/>
                <w:lang w:eastAsia="en-US"/>
              </w:rPr>
            </w:pPr>
            <w:r>
              <w:rPr>
                <w:rFonts w:hint="eastAsia" w:ascii="宋体" w:hAnsi="宋体" w:cs="宋体"/>
                <w:snapToGrid w:val="0"/>
                <w:color w:val="000000"/>
                <w:kern w:val="0"/>
                <w:lang w:bidi="ar"/>
              </w:rPr>
              <w:t>Black-Scholes期权定价模型来计算期权的公允价值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5"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对可行权权益工具数量的确定依据</w:t>
            </w:r>
          </w:p>
        </w:tc>
        <w:tc>
          <w:tcPr>
            <w:tcW w:w="2085"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对可行权权益工具数量的最佳估计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5"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本年估计与上年估计有重大差异的原因</w:t>
            </w:r>
          </w:p>
        </w:tc>
        <w:tc>
          <w:tcPr>
            <w:tcW w:w="2085" w:type="pct"/>
            <w:shd w:val="clear" w:color="auto" w:fill="auto"/>
            <w:vAlign w:val="center"/>
          </w:tcPr>
          <w:p>
            <w:pPr>
              <w:widowControl/>
              <w:snapToGrid w:val="0"/>
              <w:jc w:val="left"/>
              <w:rPr>
                <w:rFonts w:ascii="宋体" w:hAnsi="宋体" w:cs="宋体"/>
                <w:snapToGrid w:val="0"/>
                <w:kern w:val="0"/>
                <w:lang w:eastAsia="en-US"/>
              </w:rPr>
            </w:pPr>
            <w:r>
              <w:rPr>
                <w:rFonts w:hint="eastAsia" w:ascii="宋体" w:hAnsi="宋体" w:cs="宋体"/>
                <w:snapToGrid w:val="0"/>
                <w:color w:val="000000"/>
                <w:kern w:val="0"/>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5"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以权益结算的股份支付计入资本公积的累计金额</w:t>
            </w:r>
          </w:p>
        </w:tc>
        <w:tc>
          <w:tcPr>
            <w:tcW w:w="2085" w:type="pct"/>
            <w:shd w:val="clear" w:color="auto" w:fill="auto"/>
            <w:vAlign w:val="center"/>
          </w:tcPr>
          <w:p>
            <w:pPr>
              <w:widowControl/>
              <w:snapToGrid w:val="0"/>
              <w:jc w:val="right"/>
              <w:rPr>
                <w:rFonts w:ascii="宋体" w:hAnsi="宋体" w:cs="宋体"/>
                <w:snapToGrid w:val="0"/>
                <w:kern w:val="0"/>
                <w:lang w:eastAsia="en-US"/>
              </w:rPr>
            </w:pPr>
            <w:r>
              <w:rPr>
                <w:rFonts w:hint="eastAsia" w:ascii="宋体" w:hAnsi="宋体" w:cs="宋体"/>
                <w:snapToGrid w:val="0"/>
                <w:color w:val="000000"/>
                <w:kern w:val="0"/>
                <w:lang w:bidi="ar"/>
              </w:rPr>
              <w:t>85,667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5" w:type="pct"/>
            <w:shd w:val="clear" w:color="auto" w:fill="auto"/>
            <w:vAlign w:val="center"/>
          </w:tcPr>
          <w:p>
            <w:pPr>
              <w:widowControl/>
              <w:snapToGrid w:val="0"/>
              <w:rPr>
                <w:rFonts w:ascii="宋体" w:hAnsi="宋体" w:cs="宋体"/>
                <w:snapToGrid w:val="0"/>
                <w:kern w:val="0"/>
              </w:rPr>
            </w:pPr>
            <w:r>
              <w:rPr>
                <w:rFonts w:hint="eastAsia" w:ascii="宋体" w:hAnsi="宋体" w:cs="宋体"/>
                <w:snapToGrid w:val="0"/>
                <w:color w:val="000000"/>
                <w:kern w:val="0"/>
                <w:lang w:bidi="ar"/>
              </w:rPr>
              <w:t>本年以权益结算的股份支付确认的费用总额</w:t>
            </w:r>
          </w:p>
        </w:tc>
        <w:tc>
          <w:tcPr>
            <w:tcW w:w="2085" w:type="pct"/>
            <w:shd w:val="clear" w:color="auto" w:fill="auto"/>
            <w:vAlign w:val="center"/>
          </w:tcPr>
          <w:p>
            <w:pPr>
              <w:widowControl/>
              <w:snapToGrid w:val="0"/>
              <w:jc w:val="right"/>
              <w:rPr>
                <w:rFonts w:ascii="宋体" w:hAnsi="宋体" w:cs="宋体"/>
                <w:snapToGrid w:val="0"/>
                <w:kern w:val="0"/>
                <w:lang w:eastAsia="en-US"/>
              </w:rPr>
            </w:pPr>
            <w:r>
              <w:rPr>
                <w:rFonts w:ascii="宋体" w:hAnsi="宋体" w:cs="宋体"/>
                <w:snapToGrid w:val="0"/>
                <w:color w:val="000000"/>
                <w:kern w:val="0"/>
                <w:lang w:bidi="ar"/>
              </w:rPr>
              <w:t>69,301</w:t>
            </w:r>
          </w:p>
        </w:tc>
      </w:tr>
      <w:bookmarkEnd w:id="344"/>
    </w:tbl>
    <w:p>
      <w:pPr>
        <w:pStyle w:val="531"/>
      </w:pPr>
    </w:p>
    <w:p>
      <w:pPr>
        <w:pStyle w:val="504"/>
        <w:numPr>
          <w:ilvl w:val="0"/>
          <w:numId w:val="131"/>
        </w:numPr>
      </w:pPr>
      <w:r>
        <w:rPr>
          <w:rFonts w:hint="eastAsia"/>
        </w:rPr>
        <w:t>以现金结算的股份支付情况</w:t>
      </w:r>
    </w:p>
    <w:sdt>
      <w:sdtPr>
        <w:alias w:val="是否适用：以现金结算的股份支付情况[双击切换]"/>
        <w:tag w:val="_GBC_aa134f611909486bb3a2d6258058f88d"/>
        <w:id w:val="175192996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4"/>
        <w:numPr>
          <w:ilvl w:val="0"/>
          <w:numId w:val="131"/>
        </w:numPr>
      </w:pPr>
      <w:r>
        <w:t>本期</w:t>
      </w:r>
      <w:r>
        <w:rPr>
          <w:rFonts w:hint="eastAsia"/>
        </w:rPr>
        <w:t>股份支付费用</w:t>
      </w:r>
    </w:p>
    <w:sdt>
      <w:sdtPr>
        <w:alias w:val="是否适用：股份支付费用[双击切换]"/>
        <w:tag w:val="_GBC_13f52df697614645a77ebd37316f419c"/>
        <w:id w:val="16132768"/>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4"/>
        <w:numPr>
          <w:ilvl w:val="0"/>
          <w:numId w:val="131"/>
        </w:numPr>
      </w:pPr>
      <w:r>
        <w:rPr>
          <w:rFonts w:hint="eastAsia"/>
        </w:rPr>
        <w:t>股份支付的修改、终止情况</w:t>
      </w:r>
    </w:p>
    <w:sdt>
      <w:sdtPr>
        <w:rPr>
          <w:rFonts w:hint="eastAsia"/>
        </w:rPr>
        <w:alias w:val="是否适用：股份支付的修改、终止情况[双击切换]"/>
        <w:tag w:val="_GBC_6da986e9834d42b9bb7548673f325962"/>
        <w:id w:val="-2144182205"/>
        <w:placeholder>
          <w:docPart w:val="GBC22222222222222222222222222222"/>
        </w:placeholder>
      </w:sdtPr>
      <w:sdtEndPr>
        <w:rPr>
          <w:rFonts w:hint="eastAsia"/>
        </w:rPr>
      </w:sdtEndPr>
      <w:sdtContent>
        <w:p>
          <w:pPr>
            <w:rPr>
              <w:rFonts w:asciiTheme="minorHAnsi" w:hAnsiTheme="minorHAnsi" w:eastAsiaTheme="minorEastAsia" w:cstheme="minorBidi"/>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firstLine="210" w:firstLineChars="100"/>
      </w:pPr>
    </w:p>
    <w:p>
      <w:pPr>
        <w:pStyle w:val="504"/>
        <w:numPr>
          <w:ilvl w:val="0"/>
          <w:numId w:val="131"/>
        </w:numPr>
        <w:rPr>
          <w:szCs w:val="21"/>
        </w:rPr>
      </w:pPr>
      <w:r>
        <w:rPr>
          <w:rFonts w:hint="eastAsia"/>
          <w:szCs w:val="21"/>
        </w:rPr>
        <w:t>其他</w:t>
      </w:r>
    </w:p>
    <w:sdt>
      <w:sdtPr>
        <w:rPr>
          <w:rFonts w:hint="eastAsia"/>
        </w:rPr>
        <w:alias w:val="是否适用：股份支付的其他情况说明[双击切换]"/>
        <w:tag w:val="_GBC_d03d26e0d4844b798c3d4b87d2578ece"/>
        <w:id w:val="979956444"/>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3"/>
        <w:numPr>
          <w:ilvl w:val="0"/>
          <w:numId w:val="57"/>
        </w:numPr>
        <w:ind w:firstLine="56"/>
      </w:pPr>
      <w:r>
        <w:rPr>
          <w:rFonts w:hint="eastAsia"/>
        </w:rPr>
        <w:t>承诺及或有事项</w:t>
      </w:r>
    </w:p>
    <w:p>
      <w:pPr>
        <w:pStyle w:val="504"/>
        <w:numPr>
          <w:ilvl w:val="0"/>
          <w:numId w:val="132"/>
        </w:numPr>
        <w:rPr>
          <w:rFonts w:ascii="宋体" w:hAnsi="宋体"/>
        </w:rPr>
      </w:pPr>
      <w:r>
        <w:rPr>
          <w:rFonts w:hint="eastAsia" w:ascii="宋体" w:hAnsi="宋体"/>
        </w:rPr>
        <w:t>重要承诺事项</w:t>
      </w:r>
    </w:p>
    <w:sdt>
      <w:sdtPr>
        <w:alias w:val="是否适用：重要承诺事项[双击切换]"/>
        <w:tag w:val="_GBC_568be9a6805040a8b9fbd5c5d07b45dd"/>
        <w:id w:val="1587811395"/>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r>
        <w:rPr>
          <w:rFonts w:hint="eastAsia"/>
        </w:rPr>
        <w:t>资产负债表日存在的对外重要承诺、性质、金额</w:t>
      </w:r>
    </w:p>
    <w:tbl>
      <w:tblPr>
        <w:tblStyle w:val="946"/>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8"/>
        <w:gridCol w:w="2347"/>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38" w:type="dxa"/>
            <w:shd w:val="clear" w:color="auto" w:fill="auto"/>
            <w:vAlign w:val="center"/>
          </w:tcPr>
          <w:p>
            <w:pPr>
              <w:widowControl/>
              <w:snapToGrid w:val="0"/>
              <w:ind w:left="17" w:leftChars="8"/>
              <w:rPr>
                <w:rFonts w:ascii="宋体" w:hAnsi="宋体" w:cs="宋体"/>
                <w:b/>
                <w:snapToGrid w:val="0"/>
                <w:kern w:val="0"/>
              </w:rPr>
            </w:pPr>
            <w:r>
              <w:rPr>
                <w:rFonts w:hint="eastAsia" w:ascii="宋体" w:hAnsi="宋体" w:cs="宋体"/>
                <w:b/>
                <w:snapToGrid w:val="0"/>
                <w:color w:val="000000"/>
                <w:kern w:val="0"/>
                <w:lang w:bidi="ar"/>
              </w:rPr>
              <w:t>承诺事项</w:t>
            </w:r>
          </w:p>
        </w:tc>
        <w:tc>
          <w:tcPr>
            <w:tcW w:w="2291" w:type="dxa"/>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年末余额</w:t>
            </w:r>
          </w:p>
        </w:tc>
        <w:tc>
          <w:tcPr>
            <w:tcW w:w="2291" w:type="dxa"/>
            <w:shd w:val="clear" w:color="auto" w:fill="auto"/>
            <w:vAlign w:val="center"/>
          </w:tcPr>
          <w:p>
            <w:pPr>
              <w:widowControl/>
              <w:snapToGrid w:val="0"/>
              <w:jc w:val="center"/>
              <w:rPr>
                <w:rFonts w:ascii="宋体" w:hAnsi="宋体" w:cs="宋体"/>
                <w:b/>
                <w:snapToGrid w:val="0"/>
                <w:kern w:val="0"/>
              </w:rPr>
            </w:pPr>
            <w:r>
              <w:rPr>
                <w:rFonts w:hint="eastAsia" w:ascii="宋体" w:hAnsi="宋体" w:cs="宋体"/>
                <w:b/>
                <w:snapToGrid w:val="0"/>
                <w:color w:val="000000"/>
                <w:kern w:val="0"/>
                <w:lang w:bidi="ar"/>
              </w:rPr>
              <w:t>年初余额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color w:val="000000"/>
                <w:kern w:val="0"/>
                <w:lang w:bidi="ar"/>
              </w:rPr>
            </w:pPr>
            <w:r>
              <w:rPr>
                <w:rFonts w:hint="eastAsia" w:ascii="宋体" w:hAnsi="宋体" w:cs="宋体"/>
                <w:snapToGrid w:val="0"/>
                <w:color w:val="000000"/>
                <w:kern w:val="0"/>
                <w:lang w:bidi="ar"/>
              </w:rPr>
              <w:t>石拉乌素矿井及选煤厂项目</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628,693</w:t>
            </w:r>
          </w:p>
        </w:tc>
        <w:tc>
          <w:tcPr>
            <w:tcW w:w="2291" w:type="dxa"/>
            <w:shd w:val="clear" w:color="auto" w:fill="auto"/>
            <w:vAlign w:val="center"/>
          </w:tcPr>
          <w:p>
            <w:pPr>
              <w:widowControl/>
              <w:snapToGrid w:val="0"/>
              <w:jc w:val="right"/>
              <w:rPr>
                <w:rFonts w:ascii="宋体" w:hAnsi="宋体" w:cs="Arial"/>
                <w:snapToGrid w:val="0"/>
                <w:color w:val="000000"/>
                <w:kern w:val="0"/>
                <w:lang w:bidi="ar"/>
              </w:rPr>
            </w:pPr>
            <w:r>
              <w:rPr>
                <w:rFonts w:hint="eastAsia" w:ascii="宋体" w:hAnsi="宋体" w:cs="Arial"/>
                <w:snapToGrid w:val="0"/>
                <w:color w:val="000000"/>
                <w:kern w:val="0"/>
                <w:lang w:bidi="ar"/>
              </w:rPr>
              <w:t>222,567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color w:val="000000"/>
                <w:kern w:val="0"/>
                <w:lang w:bidi="ar"/>
              </w:rPr>
            </w:pPr>
            <w:r>
              <w:rPr>
                <w:rFonts w:hint="eastAsia" w:ascii="宋体" w:hAnsi="宋体" w:cs="宋体"/>
                <w:snapToGrid w:val="0"/>
                <w:color w:val="000000"/>
                <w:kern w:val="0"/>
                <w:lang w:bidi="ar"/>
              </w:rPr>
              <w:t>兖矿泰安港公铁水联运物流园</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403,530</w:t>
            </w:r>
          </w:p>
        </w:tc>
        <w:tc>
          <w:tcPr>
            <w:tcW w:w="2291" w:type="dxa"/>
            <w:shd w:val="clear" w:color="auto" w:fill="auto"/>
            <w:vAlign w:val="center"/>
          </w:tcPr>
          <w:p>
            <w:pPr>
              <w:widowControl/>
              <w:snapToGrid w:val="0"/>
              <w:jc w:val="right"/>
              <w:rPr>
                <w:rFonts w:ascii="宋体" w:hAnsi="宋体" w:cs="Arial"/>
                <w:snapToGrid w:val="0"/>
                <w:color w:val="000000"/>
                <w:kern w:val="0"/>
                <w:lang w:bidi="ar"/>
              </w:rPr>
            </w:pPr>
            <w:r>
              <w:rPr>
                <w:rFonts w:hint="eastAsia" w:ascii="宋体" w:hAnsi="宋体" w:cs="Arial"/>
                <w:snapToGrid w:val="0"/>
                <w:color w:val="000000"/>
                <w:kern w:val="0"/>
                <w:lang w:bidi="ar"/>
              </w:rPr>
              <w:t>448,637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color w:val="000000"/>
                <w:kern w:val="0"/>
                <w:lang w:bidi="ar"/>
              </w:rPr>
            </w:pPr>
            <w:r>
              <w:rPr>
                <w:rFonts w:hint="eastAsia" w:ascii="宋体" w:hAnsi="宋体" w:cs="宋体"/>
                <w:snapToGrid w:val="0"/>
                <w:color w:val="000000"/>
                <w:kern w:val="0"/>
                <w:lang w:bidi="ar"/>
              </w:rPr>
              <w:t>万福煤矿项目</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342,112</w:t>
            </w:r>
          </w:p>
        </w:tc>
        <w:tc>
          <w:tcPr>
            <w:tcW w:w="2291" w:type="dxa"/>
            <w:shd w:val="clear" w:color="auto" w:fill="auto"/>
            <w:vAlign w:val="center"/>
          </w:tcPr>
          <w:p>
            <w:pPr>
              <w:widowControl/>
              <w:snapToGrid w:val="0"/>
              <w:jc w:val="right"/>
              <w:rPr>
                <w:rFonts w:ascii="宋体" w:hAnsi="宋体" w:cs="Arial"/>
                <w:snapToGrid w:val="0"/>
                <w:color w:val="000000"/>
                <w:kern w:val="0"/>
                <w:lang w:bidi="ar"/>
              </w:rPr>
            </w:pPr>
            <w:r>
              <w:rPr>
                <w:rFonts w:hint="eastAsia" w:ascii="宋体" w:hAnsi="宋体" w:cs="Arial"/>
                <w:snapToGrid w:val="0"/>
                <w:color w:val="000000"/>
                <w:kern w:val="0"/>
                <w:lang w:bidi="ar"/>
              </w:rPr>
              <w:t>376,493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color w:val="000000"/>
                <w:kern w:val="0"/>
                <w:lang w:bidi="ar"/>
              </w:rPr>
            </w:pPr>
            <w:r>
              <w:rPr>
                <w:rFonts w:hint="eastAsia" w:ascii="宋体" w:hAnsi="宋体" w:cs="宋体"/>
                <w:snapToGrid w:val="0"/>
                <w:color w:val="000000"/>
                <w:kern w:val="0"/>
                <w:lang w:bidi="ar"/>
              </w:rPr>
              <w:t>年产6万吨三聚氰胺项目</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193,821</w:t>
            </w:r>
          </w:p>
        </w:tc>
        <w:tc>
          <w:tcPr>
            <w:tcW w:w="2291" w:type="dxa"/>
            <w:shd w:val="clear" w:color="auto" w:fill="auto"/>
            <w:vAlign w:val="center"/>
          </w:tcPr>
          <w:p>
            <w:pPr>
              <w:widowControl/>
              <w:snapToGrid w:val="0"/>
              <w:jc w:val="right"/>
              <w:rPr>
                <w:rFonts w:ascii="宋体" w:hAnsi="宋体" w:cs="Arial"/>
                <w:snapToGrid w:val="0"/>
                <w:color w:val="000000"/>
                <w:kern w:val="0"/>
                <w:lang w:bidi="ar"/>
              </w:rPr>
            </w:pPr>
            <w:r>
              <w:rPr>
                <w:rFonts w:ascii="宋体" w:hAnsi="宋体" w:cs="Arial"/>
                <w:snapToGrid w:val="0"/>
                <w:color w:val="000000"/>
                <w:kern w:val="0"/>
                <w:lang w:bidi="ar"/>
              </w:rPr>
              <w:t>566,493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kern w:val="0"/>
              </w:rPr>
            </w:pPr>
            <w:r>
              <w:rPr>
                <w:rFonts w:hint="eastAsia" w:ascii="宋体" w:hAnsi="宋体" w:cs="宋体"/>
                <w:snapToGrid w:val="0"/>
                <w:color w:val="000000"/>
                <w:kern w:val="0"/>
                <w:lang w:bidi="ar"/>
              </w:rPr>
              <w:t>鲁南化工煤化工项目</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153,954</w:t>
            </w:r>
          </w:p>
        </w:tc>
        <w:tc>
          <w:tcPr>
            <w:tcW w:w="2291" w:type="dxa"/>
            <w:shd w:val="clear" w:color="auto" w:fill="auto"/>
            <w:vAlign w:val="center"/>
          </w:tcPr>
          <w:p>
            <w:pPr>
              <w:widowControl/>
              <w:snapToGrid w:val="0"/>
              <w:jc w:val="right"/>
              <w:rPr>
                <w:rFonts w:ascii="宋体" w:hAnsi="宋体" w:cs="Arial"/>
                <w:snapToGrid w:val="0"/>
                <w:kern w:val="0"/>
              </w:rPr>
            </w:pPr>
            <w:r>
              <w:rPr>
                <w:rFonts w:hint="eastAsia" w:ascii="宋体" w:hAnsi="宋体" w:cs="Arial"/>
                <w:snapToGrid w:val="0"/>
                <w:color w:val="000000"/>
                <w:kern w:val="0"/>
                <w:lang w:bidi="ar"/>
              </w:rPr>
              <w:t>1,326,546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color w:val="000000"/>
                <w:kern w:val="0"/>
                <w:lang w:bidi="ar"/>
              </w:rPr>
            </w:pPr>
            <w:r>
              <w:rPr>
                <w:rFonts w:hint="eastAsia" w:ascii="宋体" w:hAnsi="宋体" w:cs="宋体"/>
                <w:snapToGrid w:val="0"/>
                <w:color w:val="000000"/>
                <w:kern w:val="0"/>
                <w:lang w:bidi="ar"/>
              </w:rPr>
              <w:t>荣信甲醇厂二期项目</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135,752</w:t>
            </w:r>
          </w:p>
        </w:tc>
        <w:tc>
          <w:tcPr>
            <w:tcW w:w="2291" w:type="dxa"/>
            <w:shd w:val="clear" w:color="auto" w:fill="auto"/>
            <w:vAlign w:val="center"/>
          </w:tcPr>
          <w:p>
            <w:pPr>
              <w:widowControl/>
              <w:snapToGrid w:val="0"/>
              <w:jc w:val="right"/>
              <w:rPr>
                <w:rFonts w:ascii="宋体" w:hAnsi="宋体" w:cs="Arial"/>
                <w:snapToGrid w:val="0"/>
                <w:color w:val="000000"/>
                <w:kern w:val="0"/>
                <w:lang w:bidi="ar"/>
              </w:rPr>
            </w:pPr>
            <w:r>
              <w:rPr>
                <w:rFonts w:hint="eastAsia" w:ascii="宋体" w:hAnsi="宋体" w:cs="Arial"/>
                <w:snapToGrid w:val="0"/>
                <w:color w:val="000000"/>
                <w:kern w:val="0"/>
                <w:lang w:bidi="ar"/>
              </w:rPr>
              <w:t>39,589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color w:val="000000"/>
                <w:kern w:val="0"/>
                <w:lang w:bidi="ar"/>
              </w:rPr>
            </w:pPr>
            <w:r>
              <w:rPr>
                <w:rFonts w:hint="eastAsia" w:ascii="宋体" w:hAnsi="宋体" w:cs="宋体"/>
                <w:snapToGrid w:val="0"/>
                <w:color w:val="000000"/>
                <w:kern w:val="0"/>
                <w:lang w:bidi="ar"/>
              </w:rPr>
              <w:t>融资租赁设备采购款</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105,402</w:t>
            </w:r>
          </w:p>
        </w:tc>
        <w:tc>
          <w:tcPr>
            <w:tcW w:w="2291" w:type="dxa"/>
            <w:shd w:val="clear" w:color="auto" w:fill="auto"/>
            <w:vAlign w:val="center"/>
          </w:tcPr>
          <w:p>
            <w:pPr>
              <w:widowControl/>
              <w:snapToGrid w:val="0"/>
              <w:jc w:val="right"/>
              <w:rPr>
                <w:rFonts w:ascii="宋体" w:hAnsi="宋体" w:cs="Arial"/>
                <w:snapToGrid w:val="0"/>
                <w:color w:val="000000"/>
                <w:kern w:val="0"/>
                <w:lang w:bidi="ar"/>
              </w:rPr>
            </w:pPr>
            <w:r>
              <w:rPr>
                <w:rFonts w:hint="eastAsia" w:ascii="宋体" w:hAnsi="宋体" w:cs="Arial"/>
                <w:snapToGrid w:val="0"/>
                <w:color w:val="000000"/>
                <w:kern w:val="0"/>
                <w:lang w:bidi="ar"/>
              </w:rPr>
              <w:t>123,441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color w:val="000000"/>
                <w:kern w:val="0"/>
                <w:lang w:bidi="ar"/>
              </w:rPr>
            </w:pPr>
            <w:r>
              <w:rPr>
                <w:rFonts w:hint="eastAsia" w:ascii="宋体" w:hAnsi="宋体" w:cs="宋体"/>
                <w:snapToGrid w:val="0"/>
                <w:color w:val="000000"/>
                <w:kern w:val="0"/>
                <w:lang w:bidi="ar"/>
              </w:rPr>
              <w:t>营盘壕煤矿项目</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96,255</w:t>
            </w:r>
          </w:p>
        </w:tc>
        <w:tc>
          <w:tcPr>
            <w:tcW w:w="2291" w:type="dxa"/>
            <w:shd w:val="clear" w:color="auto" w:fill="auto"/>
            <w:vAlign w:val="center"/>
          </w:tcPr>
          <w:p>
            <w:pPr>
              <w:widowControl/>
              <w:snapToGrid w:val="0"/>
              <w:jc w:val="right"/>
              <w:rPr>
                <w:rFonts w:ascii="宋体" w:hAnsi="宋体" w:cs="Arial"/>
                <w:snapToGrid w:val="0"/>
                <w:color w:val="000000"/>
                <w:kern w:val="0"/>
                <w:lang w:bidi="ar"/>
              </w:rPr>
            </w:pPr>
            <w:r>
              <w:rPr>
                <w:rFonts w:hint="eastAsia" w:ascii="宋体" w:hAnsi="宋体" w:cs="Arial"/>
                <w:snapToGrid w:val="0"/>
                <w:color w:val="000000"/>
                <w:kern w:val="0"/>
                <w:lang w:bidi="ar"/>
              </w:rPr>
              <w:t>6,261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kern w:val="0"/>
              </w:rPr>
            </w:pPr>
            <w:r>
              <w:rPr>
                <w:rFonts w:hint="eastAsia" w:ascii="宋体" w:hAnsi="宋体" w:cs="宋体"/>
                <w:snapToGrid w:val="0"/>
                <w:color w:val="000000"/>
                <w:kern w:val="0"/>
                <w:lang w:bidi="ar"/>
              </w:rPr>
              <w:t>金鸡滩矿井和选煤厂项目</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76,590</w:t>
            </w:r>
          </w:p>
        </w:tc>
        <w:tc>
          <w:tcPr>
            <w:tcW w:w="2291" w:type="dxa"/>
            <w:shd w:val="clear" w:color="auto" w:fill="auto"/>
            <w:vAlign w:val="center"/>
          </w:tcPr>
          <w:p>
            <w:pPr>
              <w:widowControl/>
              <w:snapToGrid w:val="0"/>
              <w:jc w:val="right"/>
              <w:rPr>
                <w:rFonts w:ascii="宋体" w:hAnsi="宋体" w:cs="Arial"/>
                <w:snapToGrid w:val="0"/>
                <w:kern w:val="0"/>
              </w:rPr>
            </w:pPr>
            <w:r>
              <w:rPr>
                <w:rFonts w:hint="eastAsia" w:ascii="宋体" w:hAnsi="宋体" w:cs="Arial"/>
                <w:snapToGrid w:val="0"/>
                <w:color w:val="000000"/>
                <w:kern w:val="0"/>
                <w:lang w:bidi="ar"/>
              </w:rPr>
              <w:t>126,925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color w:val="000000"/>
                <w:kern w:val="0"/>
                <w:lang w:bidi="ar"/>
              </w:rPr>
            </w:pPr>
            <w:r>
              <w:rPr>
                <w:rFonts w:hint="eastAsia" w:ascii="宋体" w:hAnsi="宋体" w:cs="宋体"/>
                <w:snapToGrid w:val="0"/>
                <w:color w:val="000000"/>
                <w:kern w:val="0"/>
                <w:lang w:bidi="ar"/>
              </w:rPr>
              <w:t>矿井水脱盐处理BOT项目</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66,192</w:t>
            </w:r>
          </w:p>
        </w:tc>
        <w:tc>
          <w:tcPr>
            <w:tcW w:w="2291" w:type="dxa"/>
            <w:shd w:val="clear" w:color="auto" w:fill="auto"/>
            <w:vAlign w:val="center"/>
          </w:tcPr>
          <w:p>
            <w:pPr>
              <w:widowControl/>
              <w:snapToGrid w:val="0"/>
              <w:jc w:val="right"/>
              <w:rPr>
                <w:rFonts w:ascii="宋体" w:hAnsi="宋体" w:cs="Arial"/>
                <w:snapToGrid w:val="0"/>
                <w:color w:val="000000"/>
                <w:kern w:val="0"/>
                <w:lang w:bidi="ar"/>
              </w:rPr>
            </w:pPr>
            <w:r>
              <w:rPr>
                <w:rFonts w:ascii="宋体" w:hAnsi="宋体" w:cs="Arial"/>
                <w:snapToGrid w:val="0"/>
                <w:color w:val="000000"/>
                <w:kern w:val="0"/>
                <w:lang w:bidi="ar"/>
              </w:rPr>
              <w:t>593,227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kern w:val="0"/>
                <w:lang w:eastAsia="en-US"/>
              </w:rPr>
            </w:pPr>
            <w:r>
              <w:rPr>
                <w:rFonts w:hint="eastAsia" w:ascii="宋体" w:hAnsi="宋体" w:cs="宋体"/>
                <w:snapToGrid w:val="0"/>
                <w:color w:val="000000"/>
                <w:kern w:val="0"/>
                <w:lang w:bidi="ar"/>
              </w:rPr>
              <w:t>榆林甲醇厂二期项目</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452</w:t>
            </w:r>
          </w:p>
        </w:tc>
        <w:tc>
          <w:tcPr>
            <w:tcW w:w="2291" w:type="dxa"/>
            <w:shd w:val="clear" w:color="auto" w:fill="auto"/>
            <w:vAlign w:val="center"/>
          </w:tcPr>
          <w:p>
            <w:pPr>
              <w:widowControl/>
              <w:snapToGrid w:val="0"/>
              <w:jc w:val="right"/>
              <w:rPr>
                <w:rFonts w:ascii="宋体" w:hAnsi="宋体" w:cs="Arial"/>
                <w:snapToGrid w:val="0"/>
                <w:kern w:val="0"/>
              </w:rPr>
            </w:pPr>
            <w:r>
              <w:rPr>
                <w:rFonts w:hint="eastAsia" w:ascii="宋体" w:hAnsi="宋体" w:cs="Arial"/>
                <w:snapToGrid w:val="0"/>
                <w:color w:val="000000"/>
                <w:kern w:val="0"/>
                <w:lang w:bidi="ar"/>
              </w:rPr>
              <w:t>7,230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jc w:val="left"/>
              <w:rPr>
                <w:rFonts w:ascii="宋体" w:hAnsi="宋体" w:cs="宋体"/>
                <w:snapToGrid w:val="0"/>
                <w:kern w:val="0"/>
                <w:lang w:eastAsia="en-US"/>
              </w:rPr>
            </w:pPr>
            <w:r>
              <w:rPr>
                <w:rFonts w:hint="eastAsia" w:ascii="宋体" w:hAnsi="宋体" w:cs="宋体"/>
                <w:snapToGrid w:val="0"/>
                <w:color w:val="000000"/>
                <w:kern w:val="0"/>
                <w:lang w:bidi="ar"/>
              </w:rPr>
              <w:t>其他</w:t>
            </w:r>
          </w:p>
        </w:tc>
        <w:tc>
          <w:tcPr>
            <w:tcW w:w="2291" w:type="dxa"/>
            <w:shd w:val="clear" w:color="auto" w:fill="auto"/>
            <w:vAlign w:val="center"/>
          </w:tcPr>
          <w:p>
            <w:pPr>
              <w:widowControl/>
              <w:snapToGrid w:val="0"/>
              <w:jc w:val="right"/>
              <w:rPr>
                <w:rFonts w:ascii="宋体" w:hAnsi="宋体" w:cs="Arial"/>
                <w:snapToGrid w:val="0"/>
                <w:kern w:val="0"/>
              </w:rPr>
            </w:pPr>
            <w:r>
              <w:rPr>
                <w:rFonts w:ascii="宋体" w:hAnsi="宋体" w:cs="Arial"/>
                <w:snapToGrid w:val="0"/>
                <w:kern w:val="0"/>
              </w:rPr>
              <w:t>1,165,569</w:t>
            </w:r>
          </w:p>
        </w:tc>
        <w:tc>
          <w:tcPr>
            <w:tcW w:w="2291" w:type="dxa"/>
            <w:shd w:val="clear" w:color="auto" w:fill="auto"/>
            <w:vAlign w:val="center"/>
          </w:tcPr>
          <w:p>
            <w:pPr>
              <w:widowControl/>
              <w:snapToGrid w:val="0"/>
              <w:jc w:val="right"/>
              <w:rPr>
                <w:rFonts w:ascii="宋体" w:hAnsi="宋体" w:cs="Arial"/>
                <w:snapToGrid w:val="0"/>
                <w:kern w:val="0"/>
              </w:rPr>
            </w:pPr>
            <w:r>
              <w:rPr>
                <w:rFonts w:hint="eastAsia" w:ascii="宋体" w:hAnsi="宋体" w:cs="Arial"/>
                <w:snapToGrid w:val="0"/>
                <w:color w:val="000000"/>
                <w:kern w:val="0"/>
                <w:lang w:bidi="ar"/>
              </w:rPr>
              <w:t>1,575,018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8" w:type="dxa"/>
            <w:shd w:val="clear" w:color="auto" w:fill="auto"/>
            <w:vAlign w:val="center"/>
          </w:tcPr>
          <w:p>
            <w:pPr>
              <w:widowControl/>
              <w:snapToGrid w:val="0"/>
              <w:ind w:left="17" w:leftChars="8"/>
              <w:rPr>
                <w:rFonts w:ascii="宋体" w:hAnsi="宋体" w:cs="宋体"/>
                <w:b/>
                <w:snapToGrid w:val="0"/>
                <w:kern w:val="0"/>
                <w:lang w:eastAsia="en-US"/>
              </w:rPr>
            </w:pPr>
            <w:r>
              <w:rPr>
                <w:rFonts w:hint="eastAsia" w:ascii="宋体" w:hAnsi="宋体" w:cs="宋体"/>
                <w:b/>
                <w:snapToGrid w:val="0"/>
                <w:color w:val="000000"/>
                <w:kern w:val="0"/>
                <w:lang w:bidi="ar"/>
              </w:rPr>
              <w:t>合计</w:t>
            </w:r>
          </w:p>
        </w:tc>
        <w:tc>
          <w:tcPr>
            <w:tcW w:w="2291" w:type="dxa"/>
            <w:shd w:val="clear" w:color="auto" w:fill="auto"/>
            <w:vAlign w:val="center"/>
          </w:tcPr>
          <w:p>
            <w:pPr>
              <w:widowControl/>
              <w:snapToGrid w:val="0"/>
              <w:jc w:val="right"/>
              <w:rPr>
                <w:rFonts w:ascii="宋体" w:hAnsi="宋体" w:cs="Arial"/>
                <w:b/>
                <w:snapToGrid w:val="0"/>
                <w:kern w:val="0"/>
              </w:rPr>
            </w:pPr>
            <w:r>
              <w:rPr>
                <w:rFonts w:ascii="宋体" w:hAnsi="宋体" w:cs="Arial"/>
                <w:b/>
                <w:snapToGrid w:val="0"/>
                <w:kern w:val="0"/>
              </w:rPr>
              <w:t>3,368,322</w:t>
            </w:r>
          </w:p>
        </w:tc>
        <w:tc>
          <w:tcPr>
            <w:tcW w:w="2291" w:type="dxa"/>
            <w:shd w:val="clear" w:color="auto" w:fill="auto"/>
            <w:vAlign w:val="center"/>
          </w:tcPr>
          <w:p>
            <w:pPr>
              <w:widowControl/>
              <w:snapToGrid w:val="0"/>
              <w:jc w:val="right"/>
              <w:rPr>
                <w:rFonts w:ascii="宋体" w:hAnsi="宋体" w:cs="Arial"/>
                <w:b/>
                <w:snapToGrid w:val="0"/>
                <w:kern w:val="0"/>
              </w:rPr>
            </w:pPr>
            <w:r>
              <w:rPr>
                <w:rFonts w:ascii="宋体" w:hAnsi="宋体" w:cs="Arial"/>
                <w:b/>
                <w:snapToGrid w:val="0"/>
                <w:kern w:val="0"/>
              </w:rPr>
              <w:t>5,412,427</w:t>
            </w:r>
          </w:p>
        </w:tc>
      </w:tr>
    </w:tbl>
    <w:p>
      <w:pPr>
        <w:pStyle w:val="531"/>
      </w:pPr>
    </w:p>
    <w:p>
      <w:pPr>
        <w:pStyle w:val="504"/>
        <w:numPr>
          <w:ilvl w:val="0"/>
          <w:numId w:val="132"/>
        </w:numPr>
      </w:pPr>
      <w:r>
        <w:rPr>
          <w:rFonts w:hint="eastAsia"/>
        </w:rPr>
        <w:t>或有事项</w:t>
      </w:r>
    </w:p>
    <w:p>
      <w:pPr>
        <w:pStyle w:val="505"/>
        <w:numPr>
          <w:ilvl w:val="3"/>
          <w:numId w:val="133"/>
        </w:numPr>
        <w:ind w:left="426" w:hanging="426" w:hangingChars="202"/>
      </w:pPr>
      <w:r>
        <w:rPr>
          <w:rFonts w:hint="eastAsia"/>
        </w:rPr>
        <w:t>资产负债表日存在的重要或有事项</w:t>
      </w:r>
    </w:p>
    <w:sdt>
      <w:sdtPr>
        <w:rPr>
          <w:rFonts w:hint="eastAsia"/>
        </w:rPr>
        <w:alias w:val="是否适用：资产负债表日存在的重要或有事项[双击切换]"/>
        <w:tag w:val="_GBC_d987504ad98e408986b4fc6f62089ffe"/>
        <w:id w:val="-1566796762"/>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存在的重要或有事项"/>
        <w:tag w:val="_GBC_44fe1af4de6e4875a4861efb466efdca"/>
        <w:id w:val="-752971852"/>
        <w:lock w:val="sdtLocked"/>
      </w:sdtPr>
      <w:sdtEndPr>
        <w:rPr>
          <w:rFonts w:ascii="宋体" w:hAnsi="宋体"/>
        </w:rPr>
      </w:sdtEndPr>
      <w:sdtContent>
        <w:p>
          <w:pPr>
            <w:spacing w:before="156" w:beforeLines="50" w:after="156" w:afterLines="50" w:line="360" w:lineRule="exact"/>
            <w:ind w:firstLine="420" w:firstLineChars="200"/>
            <w:rPr>
              <w:rFonts w:ascii="宋体" w:hAnsi="宋体"/>
            </w:rPr>
          </w:pPr>
          <w:r>
            <w:rPr>
              <w:rFonts w:hint="eastAsia" w:ascii="宋体" w:hAnsi="宋体"/>
            </w:rPr>
            <w:t>1）澳洲公司及其合营公司</w:t>
          </w:r>
        </w:p>
        <w:tbl>
          <w:tblPr>
            <w:tblStyle w:val="9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6"/>
            <w:gridCol w:w="1302"/>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6" w:type="dxa"/>
              </w:tcPr>
              <w:p>
                <w:pPr>
                  <w:rPr>
                    <w:rFonts w:ascii="宋体" w:hAnsi="宋体"/>
                  </w:rPr>
                </w:pPr>
                <w:bookmarkStart w:id="345" w:name="_Hlk162016452"/>
                <w:r>
                  <w:rPr>
                    <w:rFonts w:hint="eastAsia" w:ascii="宋体" w:hAnsi="宋体"/>
                  </w:rPr>
                  <w:t>项目</w:t>
                </w:r>
              </w:p>
            </w:tc>
            <w:tc>
              <w:tcPr>
                <w:tcW w:w="1302" w:type="dxa"/>
              </w:tcPr>
              <w:p>
                <w:pPr>
                  <w:rPr>
                    <w:rFonts w:ascii="宋体" w:hAnsi="宋体"/>
                  </w:rPr>
                </w:pPr>
                <w:r>
                  <w:rPr>
                    <w:rFonts w:hint="eastAsia" w:ascii="宋体" w:hAnsi="宋体"/>
                  </w:rPr>
                  <w:t>年末余额</w:t>
                </w:r>
              </w:p>
            </w:tc>
            <w:tc>
              <w:tcPr>
                <w:tcW w:w="1315" w:type="dxa"/>
              </w:tcPr>
              <w:p>
                <w:pPr>
                  <w:rPr>
                    <w:rFonts w:ascii="宋体" w:hAnsi="宋体"/>
                  </w:rPr>
                </w:pPr>
                <w:r>
                  <w:rPr>
                    <w:rFonts w:hint="eastAsia" w:ascii="宋体" w:hAnsi="宋体"/>
                  </w:rPr>
                  <w:t>年初余额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6" w:type="dxa"/>
              </w:tcPr>
              <w:p>
                <w:pPr>
                  <w:rPr>
                    <w:rFonts w:ascii="宋体" w:hAnsi="宋体"/>
                  </w:rPr>
                </w:pPr>
                <w:r>
                  <w:rPr>
                    <w:rFonts w:hint="eastAsia" w:ascii="宋体" w:hAnsi="宋体"/>
                  </w:rPr>
                  <w:t>对日常经营提供履约保函</w:t>
                </w:r>
              </w:p>
            </w:tc>
            <w:tc>
              <w:tcPr>
                <w:tcW w:w="1302" w:type="dxa"/>
                <w:vAlign w:val="center"/>
              </w:tcPr>
              <w:p>
                <w:pPr>
                  <w:jc w:val="right"/>
                  <w:rPr>
                    <w:rFonts w:ascii="宋体" w:hAnsi="宋体"/>
                  </w:rPr>
                </w:pPr>
                <w:r>
                  <w:rPr>
                    <w:rFonts w:hint="eastAsia" w:ascii="宋体" w:hAnsi="宋体"/>
                  </w:rPr>
                  <w:t>1,733,957</w:t>
                </w:r>
              </w:p>
            </w:tc>
            <w:tc>
              <w:tcPr>
                <w:tcW w:w="1315" w:type="dxa"/>
                <w:vAlign w:val="center"/>
              </w:tcPr>
              <w:p>
                <w:pPr>
                  <w:jc w:val="right"/>
                  <w:rPr>
                    <w:rFonts w:ascii="宋体" w:hAnsi="宋体"/>
                  </w:rPr>
                </w:pPr>
                <w:r>
                  <w:rPr>
                    <w:rFonts w:hint="eastAsia" w:ascii="宋体" w:hAnsi="宋体"/>
                  </w:rPr>
                  <w:t>1,858,982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6" w:type="dxa"/>
              </w:tcPr>
              <w:p>
                <w:pPr>
                  <w:rPr>
                    <w:rFonts w:ascii="宋体" w:hAnsi="宋体"/>
                  </w:rPr>
                </w:pPr>
                <w:r>
                  <w:rPr>
                    <w:rFonts w:hint="eastAsia" w:ascii="宋体" w:hAnsi="宋体"/>
                  </w:rPr>
                  <w:t>按照法律要求对某些采矿权的复原成本向政府部门提供履约保函</w:t>
                </w:r>
              </w:p>
            </w:tc>
            <w:tc>
              <w:tcPr>
                <w:tcW w:w="1302" w:type="dxa"/>
                <w:vAlign w:val="center"/>
              </w:tcPr>
              <w:p>
                <w:pPr>
                  <w:jc w:val="right"/>
                  <w:rPr>
                    <w:rFonts w:ascii="宋体" w:hAnsi="宋体"/>
                  </w:rPr>
                </w:pPr>
                <w:r>
                  <w:rPr>
                    <w:rFonts w:hint="eastAsia" w:ascii="宋体" w:hAnsi="宋体"/>
                  </w:rPr>
                  <w:t>2,698,761</w:t>
                </w:r>
              </w:p>
            </w:tc>
            <w:tc>
              <w:tcPr>
                <w:tcW w:w="1315" w:type="dxa"/>
                <w:vAlign w:val="center"/>
              </w:tcPr>
              <w:p>
                <w:pPr>
                  <w:jc w:val="right"/>
                  <w:rPr>
                    <w:rFonts w:ascii="宋体" w:hAnsi="宋体"/>
                  </w:rPr>
                </w:pPr>
                <w:r>
                  <w:rPr>
                    <w:rFonts w:hint="eastAsia" w:ascii="宋体" w:hAnsi="宋体"/>
                  </w:rPr>
                  <w:t>2,574,854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6" w:type="dxa"/>
              </w:tcPr>
              <w:p>
                <w:pPr>
                  <w:rPr>
                    <w:rFonts w:ascii="宋体" w:hAnsi="宋体"/>
                  </w:rPr>
                </w:pPr>
                <w:r>
                  <w:rPr>
                    <w:rFonts w:hint="eastAsia" w:ascii="宋体" w:hAnsi="宋体"/>
                  </w:rPr>
                  <w:t>合计</w:t>
                </w:r>
              </w:p>
            </w:tc>
            <w:tc>
              <w:tcPr>
                <w:tcW w:w="1302" w:type="dxa"/>
                <w:vAlign w:val="center"/>
              </w:tcPr>
              <w:p>
                <w:pPr>
                  <w:jc w:val="right"/>
                  <w:rPr>
                    <w:rFonts w:ascii="宋体" w:hAnsi="宋体"/>
                  </w:rPr>
                </w:pPr>
                <w:r>
                  <w:rPr>
                    <w:rFonts w:hint="eastAsia" w:ascii="宋体" w:hAnsi="宋体"/>
                  </w:rPr>
                  <w:t>4,432,718</w:t>
                </w:r>
              </w:p>
            </w:tc>
            <w:tc>
              <w:tcPr>
                <w:tcW w:w="1315" w:type="dxa"/>
                <w:vAlign w:val="center"/>
              </w:tcPr>
              <w:p>
                <w:pPr>
                  <w:jc w:val="right"/>
                  <w:rPr>
                    <w:rFonts w:ascii="宋体" w:hAnsi="宋体"/>
                  </w:rPr>
                </w:pPr>
                <w:r>
                  <w:rPr>
                    <w:rFonts w:hint="eastAsia" w:ascii="宋体" w:hAnsi="宋体"/>
                  </w:rPr>
                  <w:t>4,433,836</w:t>
                </w:r>
              </w:p>
            </w:tc>
          </w:tr>
          <w:bookmarkEnd w:id="345"/>
        </w:tbl>
        <w:p>
          <w:pPr>
            <w:spacing w:before="156" w:beforeLines="50" w:after="156" w:afterLines="50" w:line="360" w:lineRule="exact"/>
            <w:ind w:firstLine="420" w:firstLineChars="200"/>
            <w:rPr>
              <w:rFonts w:ascii="宋体" w:hAnsi="宋体"/>
            </w:rPr>
          </w:pPr>
          <w:r>
            <w:rPr>
              <w:rFonts w:hint="eastAsia" w:ascii="宋体" w:hAnsi="宋体"/>
            </w:rPr>
            <w:t>2）厦门信达合同诉讼案</w:t>
          </w:r>
        </w:p>
        <w:p>
          <w:pPr>
            <w:spacing w:before="156" w:beforeLines="50" w:after="156" w:afterLines="50" w:line="360" w:lineRule="exact"/>
            <w:ind w:firstLine="420" w:firstLineChars="200"/>
            <w:rPr>
              <w:rFonts w:ascii="宋体" w:hAnsi="宋体"/>
            </w:rPr>
          </w:pPr>
          <w:r>
            <w:rPr>
              <w:rFonts w:hint="eastAsia" w:ascii="宋体" w:hAnsi="宋体"/>
            </w:rPr>
            <w:t>2017年3月，厦门信达股份有限公司（“厦门信达”）以买卖合同纠纷为由，将本公司、本公司之子公司山东中垠物流贸易有限公司（“中垠物流”）诉至厦门市中级人民法院（“厦门中院”）、厦门市湖里区人民法院，要求中垠物流返还货款本金合计196,161千元及相应利息，要求本公司承担连带责任。2017年6月本公司向福建省高级人民法院（“福建高院”）就管辖权异议提起上诉，福建高院裁定将厦门中院审理的2起案件合并为1起（人民币102,500千元）由福建高院审理，剩余的案件由厦门中院审理。</w:t>
          </w:r>
        </w:p>
        <w:p>
          <w:pPr>
            <w:spacing w:before="156" w:beforeLines="50" w:after="156" w:afterLines="50" w:line="360" w:lineRule="exact"/>
            <w:ind w:firstLine="420" w:firstLineChars="200"/>
            <w:rPr>
              <w:rFonts w:ascii="宋体" w:hAnsi="宋体"/>
            </w:rPr>
          </w:pPr>
          <w:r>
            <w:rPr>
              <w:rFonts w:hint="eastAsia" w:ascii="宋体" w:hAnsi="宋体"/>
            </w:rPr>
            <w:t>2018年7月3日，福建高院审理的案件一审开庭，双方在法庭上共同向法庭申请延缓审理，为双方的和谈争取时间。法庭同意暂缓审理，开庭时间另行通知。</w:t>
          </w:r>
        </w:p>
        <w:p>
          <w:pPr>
            <w:spacing w:before="156" w:beforeLines="50" w:after="156" w:afterLines="50" w:line="360" w:lineRule="exact"/>
            <w:ind w:firstLine="420" w:firstLineChars="200"/>
            <w:rPr>
              <w:rFonts w:ascii="宋体" w:hAnsi="宋体"/>
            </w:rPr>
          </w:pPr>
          <w:r>
            <w:rPr>
              <w:rFonts w:hint="eastAsia" w:ascii="宋体" w:hAnsi="宋体"/>
            </w:rPr>
            <w:t>2018年7月17日，就厦门中院审理的案件，法院组织诉讼各方参加了庭前质证，质证后厦门中院中止了本案审理。</w:t>
          </w:r>
        </w:p>
        <w:p>
          <w:pPr>
            <w:spacing w:before="156" w:beforeLines="50" w:after="156" w:afterLines="50" w:line="360" w:lineRule="exact"/>
            <w:ind w:firstLine="420" w:firstLineChars="200"/>
            <w:rPr>
              <w:rFonts w:ascii="宋体" w:hAnsi="宋体"/>
            </w:rPr>
          </w:pPr>
          <w:r>
            <w:rPr>
              <w:rFonts w:hint="eastAsia" w:ascii="宋体" w:hAnsi="宋体"/>
            </w:rPr>
            <w:t>经本公司调查核实，原告提交的相关证据中使用的本公司及中垠物流印章均涉嫌伪造，本案涉及第三方上海鲁啸矿业有限公司及相关责任人涉嫌伪造公司印章实施合同诈骗，本公司已依法向公安机关报案并获得立案。</w:t>
          </w:r>
        </w:p>
        <w:p>
          <w:pPr>
            <w:spacing w:before="156" w:beforeLines="50" w:after="156" w:afterLines="50" w:line="360" w:lineRule="exact"/>
            <w:ind w:firstLine="420" w:firstLineChars="200"/>
            <w:rPr>
              <w:rFonts w:ascii="宋体" w:hAnsi="宋体"/>
            </w:rPr>
          </w:pPr>
          <w:r>
            <w:rPr>
              <w:rFonts w:hint="eastAsia" w:ascii="宋体" w:hAnsi="宋体"/>
            </w:rPr>
            <w:t>2019年9月，厦门信达向厦门中院提出撤诉申请并获得准许。2019年10月，厦门信达向福建高院提出撤诉申请并获得准许。</w:t>
          </w:r>
        </w:p>
        <w:p>
          <w:pPr>
            <w:spacing w:before="156" w:beforeLines="50" w:after="156" w:afterLines="50" w:line="360" w:lineRule="exact"/>
            <w:ind w:firstLine="420" w:firstLineChars="200"/>
            <w:rPr>
              <w:rFonts w:ascii="宋体" w:hAnsi="宋体"/>
            </w:rPr>
          </w:pPr>
          <w:r>
            <w:rPr>
              <w:rFonts w:hint="eastAsia" w:ascii="宋体" w:hAnsi="宋体"/>
            </w:rPr>
            <w:t>2020年3月，厦门信达以买卖合同纠纷为由，将中垠物流、本公司诉至厦门中院，要求中垠物流返还货款本金及相应利息人民币232,661千元，要求本公司承担连带责任。2022年5月，厦门中院裁定驳回厦门信达诉讼请求，厦门信达不服一审判决，提起二审诉讼。2022年10月，福建高院判决案件发回厦门中院重审。</w:t>
          </w:r>
        </w:p>
        <w:p>
          <w:pPr>
            <w:spacing w:before="156" w:beforeLines="50" w:after="156" w:afterLines="50" w:line="360" w:lineRule="exact"/>
            <w:ind w:firstLine="420" w:firstLineChars="200"/>
            <w:rPr>
              <w:rFonts w:ascii="宋体" w:hAnsi="宋体"/>
            </w:rPr>
          </w:pPr>
          <w:r>
            <w:rPr>
              <w:rFonts w:hint="eastAsia" w:ascii="宋体" w:hAnsi="宋体"/>
            </w:rPr>
            <w:t>2023年11月9日，厦门中院做出调解书，中垠物流向厦门信达支付22,000千元，中垠物流支付上述款项后，享有对第三方22,000千元的追偿权。调解书履行完毕后，中垠物流、兖矿能源与厦门信达互不追究其他责任。</w:t>
          </w:r>
        </w:p>
        <w:p>
          <w:pPr>
            <w:spacing w:before="156" w:beforeLines="50" w:after="156" w:afterLines="50" w:line="360" w:lineRule="exact"/>
            <w:ind w:firstLine="420" w:firstLineChars="200"/>
            <w:rPr>
              <w:rFonts w:ascii="宋体" w:hAnsi="宋体"/>
            </w:rPr>
          </w:pPr>
          <w:r>
            <w:rPr>
              <w:rFonts w:hint="eastAsia" w:ascii="宋体" w:hAnsi="宋体"/>
            </w:rPr>
            <w:t>3）内蒙古新长江矿业投资有限公司仲裁案</w:t>
          </w:r>
        </w:p>
        <w:p>
          <w:pPr>
            <w:spacing w:before="156" w:beforeLines="50" w:after="156" w:afterLines="50" w:line="360" w:lineRule="exact"/>
            <w:ind w:firstLine="420" w:firstLineChars="200"/>
            <w:rPr>
              <w:rFonts w:ascii="宋体" w:hAnsi="宋体"/>
            </w:rPr>
          </w:pPr>
          <w:r>
            <w:rPr>
              <w:rFonts w:hint="eastAsia" w:ascii="宋体" w:hAnsi="宋体"/>
            </w:rPr>
            <w:t>2018年4月，内蒙古新长江矿业投资有限公司（“新长江”）以本公司违反双方有关股权转让协议为由，向中国国际经济贸易仲裁委员会（“中国贸仲”）提出仲裁申请，要求本公司支付股权转让价款748,500千元，相应违约金人民币656,000千元及本案涉及的律师费、仲裁费、保全费等共合计约人民币1,435,000千元。中国贸仲于2018年10月12日第一次开庭及2018年12月17日第二次开庭审理本案，未做出裁决。</w:t>
          </w:r>
        </w:p>
        <w:p>
          <w:pPr>
            <w:spacing w:before="156" w:beforeLines="50" w:after="156" w:afterLines="50" w:line="360" w:lineRule="exact"/>
            <w:ind w:firstLine="420" w:firstLineChars="200"/>
            <w:rPr>
              <w:rFonts w:ascii="宋体" w:hAnsi="宋体"/>
            </w:rPr>
          </w:pPr>
          <w:r>
            <w:rPr>
              <w:rFonts w:hint="eastAsia" w:ascii="宋体" w:hAnsi="宋体"/>
            </w:rPr>
            <w:t>2019年4月，新长江将仲裁请求变更为解除股权转让协议，并获得中国贸仲的许可。中国贸仲于2019年8月、2019年12月第三次、第四次开庭审理本案，尚未做出裁决。</w:t>
          </w:r>
        </w:p>
        <w:p>
          <w:pPr>
            <w:spacing w:before="156" w:beforeLines="50" w:after="156" w:afterLines="50" w:line="360" w:lineRule="exact"/>
            <w:ind w:firstLine="420" w:firstLineChars="200"/>
            <w:rPr>
              <w:rFonts w:ascii="宋体" w:hAnsi="宋体"/>
            </w:rPr>
          </w:pPr>
          <w:r>
            <w:rPr>
              <w:rFonts w:hint="eastAsia" w:ascii="宋体" w:hAnsi="宋体"/>
            </w:rPr>
            <w:t>中国贸仲于2020年12月30日做出中止审理裁定。2023年2月26日，中国贸仲开庭审理本案。</w:t>
          </w:r>
        </w:p>
        <w:p>
          <w:pPr>
            <w:spacing w:before="156" w:beforeLines="50" w:after="156" w:afterLines="50" w:line="360" w:lineRule="exact"/>
            <w:ind w:firstLine="420" w:firstLineChars="200"/>
            <w:rPr>
              <w:rFonts w:ascii="宋体" w:hAnsi="宋体"/>
            </w:rPr>
          </w:pPr>
          <w:r>
            <w:rPr>
              <w:rFonts w:hint="eastAsia" w:ascii="宋体" w:hAnsi="宋体"/>
            </w:rPr>
            <w:t>2023年5月29日，公司收到中国贸仲裁决书，裁决公司完全免责。</w:t>
          </w:r>
        </w:p>
        <w:p>
          <w:pPr>
            <w:spacing w:before="156" w:beforeLines="50" w:after="156" w:afterLines="50" w:line="360" w:lineRule="exact"/>
            <w:ind w:firstLine="420" w:firstLineChars="200"/>
            <w:rPr>
              <w:rFonts w:ascii="宋体" w:hAnsi="宋体"/>
            </w:rPr>
          </w:pPr>
          <w:r>
            <w:rPr>
              <w:rFonts w:hint="eastAsia" w:ascii="宋体" w:hAnsi="宋体"/>
            </w:rPr>
            <w:t>4）澳洲公司对中山矿或有事项</w:t>
          </w:r>
        </w:p>
        <w:p>
          <w:pPr>
            <w:spacing w:before="156" w:beforeLines="50" w:after="156" w:afterLines="50" w:line="360" w:lineRule="exact"/>
            <w:ind w:firstLine="420" w:firstLineChars="200"/>
            <w:rPr>
              <w:rFonts w:ascii="宋体" w:hAnsi="宋体"/>
            </w:rPr>
          </w:pPr>
          <w:r>
            <w:rPr>
              <w:rFonts w:hint="eastAsia" w:ascii="宋体" w:hAnsi="宋体"/>
            </w:rPr>
            <w:t>澳洲公司于2015年3月4日向中山矿发出支持函，确认：</w:t>
          </w:r>
        </w:p>
        <w:p>
          <w:pPr>
            <w:spacing w:before="156" w:beforeLines="50" w:after="156" w:afterLines="50" w:line="360" w:lineRule="exact"/>
            <w:ind w:firstLine="420" w:firstLineChars="200"/>
            <w:rPr>
              <w:rFonts w:ascii="宋体" w:hAnsi="宋体"/>
            </w:rPr>
          </w:pPr>
          <w:r>
            <w:rPr>
              <w:rFonts w:ascii="宋体" w:hAnsi="宋体"/>
            </w:rPr>
            <w:t>1.</w:t>
          </w:r>
          <w:r>
            <w:rPr>
              <w:rFonts w:hint="eastAsia" w:ascii="宋体" w:hAnsi="宋体"/>
            </w:rPr>
            <w:t>除非中山矿同意偿还贷款或者贷款协议中另有约定外，澳洲公司不会要求中山矿偿还贷款；</w:t>
          </w:r>
        </w:p>
        <w:p>
          <w:pPr>
            <w:spacing w:before="156" w:beforeLines="50" w:after="156" w:afterLines="50" w:line="360" w:lineRule="exact"/>
            <w:ind w:firstLine="420" w:firstLineChars="200"/>
            <w:rPr>
              <w:rFonts w:ascii="宋体" w:hAnsi="宋体"/>
            </w:rPr>
          </w:pPr>
          <w:r>
            <w:rPr>
              <w:rFonts w:ascii="宋体" w:hAnsi="宋体"/>
            </w:rPr>
            <w:t>2.</w:t>
          </w:r>
          <w:r>
            <w:rPr>
              <w:rFonts w:hint="eastAsia" w:ascii="宋体" w:hAnsi="宋体"/>
            </w:rPr>
            <w:t>澳洲公司将向中山矿提供财务支持，使其能够偿还到期债务，财务支持将以新股东贷款的形式提供，贷款将按照股东所享有中山矿净资产的份额计算。</w:t>
          </w:r>
        </w:p>
        <w:p>
          <w:pPr>
            <w:spacing w:before="156" w:beforeLines="50" w:after="156" w:afterLines="50" w:line="360" w:lineRule="exact"/>
            <w:ind w:firstLine="420" w:firstLineChars="200"/>
            <w:rPr>
              <w:rFonts w:ascii="宋体" w:hAnsi="宋体"/>
            </w:rPr>
          </w:pPr>
          <w:r>
            <w:rPr>
              <w:rFonts w:hint="eastAsia" w:ascii="宋体" w:hAnsi="宋体"/>
            </w:rPr>
            <w:t>在澳洲公司作为中山矿股东期间，该支持函件持续有效，直至发出不少于12个月或中山矿同意的更短的通知期的通知。</w:t>
          </w:r>
        </w:p>
        <w:p>
          <w:pPr>
            <w:spacing w:before="156" w:beforeLines="50" w:after="156" w:afterLines="50" w:line="360" w:lineRule="exact"/>
            <w:ind w:firstLine="420" w:firstLineChars="200"/>
            <w:rPr>
              <w:rFonts w:ascii="宋体" w:hAnsi="宋体"/>
            </w:rPr>
          </w:pPr>
          <w:r>
            <w:rPr>
              <w:rFonts w:hint="eastAsia" w:ascii="宋体" w:hAnsi="宋体"/>
            </w:rPr>
            <w:t>5）鄂尔多斯市金诚泰化工有限责任公司仲裁案</w:t>
          </w:r>
        </w:p>
        <w:p>
          <w:pPr>
            <w:spacing w:before="156" w:beforeLines="50" w:after="156" w:afterLines="50" w:line="360" w:lineRule="exact"/>
            <w:ind w:firstLine="420" w:firstLineChars="200"/>
            <w:rPr>
              <w:rFonts w:ascii="宋体" w:hAnsi="宋体"/>
            </w:rPr>
          </w:pPr>
          <w:r>
            <w:rPr>
              <w:rFonts w:hint="eastAsia" w:ascii="宋体" w:hAnsi="宋体"/>
            </w:rPr>
            <w:t>2021年5月，本公司以鄂尔多斯市金诚泰化工有限责任公司（“金诚泰”）违反双方有关股权转让协议为由，向中国国际经济贸易仲裁委员会（“中国贸仲”）提出仲裁申请，要求金诚泰返还股权转让价款14,884千元，中国贸仲尚未进行开庭。</w:t>
          </w:r>
        </w:p>
        <w:p>
          <w:pPr>
            <w:spacing w:before="156" w:beforeLines="50" w:after="156" w:afterLines="50" w:line="360" w:lineRule="exact"/>
            <w:ind w:firstLine="420" w:firstLineChars="200"/>
            <w:rPr>
              <w:rFonts w:ascii="宋体" w:hAnsi="宋体"/>
            </w:rPr>
          </w:pPr>
          <w:r>
            <w:rPr>
              <w:rFonts w:hint="eastAsia" w:ascii="宋体" w:hAnsi="宋体"/>
            </w:rPr>
            <w:t>2022年7月，金诚泰以股权转让合同纠纷为由，向中国贸仲提出仲裁反请求申请，要求本公司给付金诚泰第三期煤矿股权转让费及滞纳金1,015,901千元。</w:t>
          </w:r>
        </w:p>
        <w:p>
          <w:pPr>
            <w:spacing w:before="156" w:beforeLines="50" w:after="156" w:afterLines="50" w:line="360" w:lineRule="exact"/>
            <w:ind w:firstLine="420" w:firstLineChars="200"/>
            <w:rPr>
              <w:rFonts w:ascii="宋体" w:hAnsi="宋体"/>
            </w:rPr>
          </w:pPr>
          <w:r>
            <w:rPr>
              <w:rFonts w:hint="eastAsia" w:ascii="宋体" w:hAnsi="宋体"/>
            </w:rPr>
            <w:t>公司以金诚泰应承担矿业权出让收益价款为由，要求金诚泰退还煤矿股权转让费615,153千元。</w:t>
          </w:r>
        </w:p>
        <w:p>
          <w:pPr>
            <w:spacing w:before="156" w:beforeLines="50" w:after="156" w:afterLines="50" w:line="360" w:lineRule="exact"/>
            <w:ind w:firstLine="420" w:firstLineChars="200"/>
            <w:rPr>
              <w:rFonts w:ascii="宋体" w:hAnsi="宋体"/>
            </w:rPr>
          </w:pPr>
          <w:r>
            <w:rPr>
              <w:rFonts w:hint="eastAsia" w:ascii="宋体" w:hAnsi="宋体"/>
            </w:rPr>
            <w:t>2024年3月14日，公司收到中国贸仲裁决书，裁决金诚泰向公司退还煤矿股权转让费115,211千元。</w:t>
          </w:r>
        </w:p>
        <w:p>
          <w:pPr>
            <w:spacing w:before="156" w:beforeLines="50" w:after="156" w:afterLines="50" w:line="360" w:lineRule="exact"/>
            <w:ind w:firstLine="420" w:firstLineChars="200"/>
            <w:rPr>
              <w:rFonts w:ascii="宋体" w:hAnsi="宋体"/>
            </w:rPr>
          </w:pPr>
          <w:r>
            <w:rPr>
              <w:rFonts w:hint="eastAsia" w:ascii="宋体" w:hAnsi="宋体"/>
            </w:rPr>
            <w:t>6）除上述及本附注“十四、</w:t>
          </w:r>
          <w:r>
            <w:rPr>
              <w:rFonts w:ascii="宋体" w:hAnsi="宋体"/>
            </w:rPr>
            <w:t>5</w:t>
          </w:r>
          <w:r>
            <w:rPr>
              <w:rFonts w:hint="eastAsia" w:ascii="宋体" w:hAnsi="宋体"/>
            </w:rPr>
            <w:t>、（4）关联担保情况”外，截至2023年12月31日，本集团无其他重大或有事项。</w:t>
          </w:r>
        </w:p>
      </w:sdtContent>
    </w:sdt>
    <w:p>
      <w:pPr>
        <w:pStyle w:val="531"/>
      </w:pPr>
    </w:p>
    <w:p>
      <w:pPr>
        <w:pStyle w:val="505"/>
        <w:numPr>
          <w:ilvl w:val="3"/>
          <w:numId w:val="133"/>
        </w:numPr>
        <w:ind w:left="426" w:hanging="426" w:hangingChars="202"/>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292093960"/>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Theme="minorHAnsi" w:hAnsiTheme="minorHAnsi" w:cstheme="minorBidi"/>
        </w:rPr>
      </w:pPr>
    </w:p>
    <w:p>
      <w:pPr>
        <w:pStyle w:val="504"/>
        <w:numPr>
          <w:ilvl w:val="0"/>
          <w:numId w:val="132"/>
        </w:numPr>
      </w:pPr>
      <w:r>
        <w:rPr>
          <w:rFonts w:hint="eastAsia"/>
        </w:rPr>
        <w:t>其他</w:t>
      </w:r>
    </w:p>
    <w:sdt>
      <w:sdtPr>
        <w:rPr>
          <w:rFonts w:hint="eastAsia"/>
        </w:rPr>
        <w:alias w:val="是否适用：承诺及或有事项的其他情况说明[双击切换]"/>
        <w:tag w:val="_GBC_cf5b3c02da904b4ea27843983d9a6248"/>
        <w:id w:val="-101196710"/>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503"/>
        <w:numPr>
          <w:ilvl w:val="0"/>
          <w:numId w:val="57"/>
        </w:numPr>
        <w:ind w:firstLine="14"/>
      </w:pPr>
      <w:r>
        <w:rPr>
          <w:rFonts w:hint="eastAsia"/>
        </w:rPr>
        <w:t>资产负债表日后事项</w:t>
      </w:r>
    </w:p>
    <w:p>
      <w:pPr>
        <w:pStyle w:val="504"/>
        <w:numPr>
          <w:ilvl w:val="0"/>
          <w:numId w:val="134"/>
        </w:numPr>
      </w:pPr>
      <w:r>
        <w:rPr>
          <w:rFonts w:hint="eastAsia"/>
        </w:rPr>
        <w:t>重要的非调整事项</w:t>
      </w:r>
    </w:p>
    <w:sdt>
      <w:sdtPr>
        <w:alias w:val="是否适用：重要的非调整事项[双击切换]"/>
        <w:tag w:val="_GBC_5d94a9ce52454687be716014c1894fef"/>
        <w:id w:val="-51230716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4"/>
        <w:numPr>
          <w:ilvl w:val="0"/>
          <w:numId w:val="134"/>
        </w:numPr>
      </w:pPr>
      <w:r>
        <w:rPr>
          <w:rFonts w:hint="eastAsia"/>
        </w:rPr>
        <w:t>利润分配情况</w:t>
      </w:r>
    </w:p>
    <w:sdt>
      <w:sdtPr>
        <w:alias w:val="是否适用：利润分配情况[双击切换]"/>
        <w:tag w:val="_GBC_9a91fb54a6c146e5b9ee1ecff3141237"/>
        <w:id w:val="28238253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ind w:firstLine="420" w:firstLineChars="200"/>
      </w:pPr>
      <w:r>
        <w:rPr>
          <w:rFonts w:hint="eastAsia"/>
        </w:rPr>
        <w:t>2024年3月28日，经本公司第九届董事会第六次会议审议通过，以权益分派股权登记日总股本为基数，每10股送红股</w:t>
      </w:r>
      <w:r>
        <w:t>3</w:t>
      </w:r>
      <w:r>
        <w:rPr>
          <w:rFonts w:hint="eastAsia"/>
        </w:rPr>
        <w:t>股，并每10股派发2023年度现金股利14.9元(含税)。</w:t>
      </w:r>
    </w:p>
    <w:p>
      <w:pPr>
        <w:pStyle w:val="531"/>
        <w:ind w:firstLine="420" w:firstLineChars="200"/>
      </w:pPr>
    </w:p>
    <w:p>
      <w:pPr>
        <w:pStyle w:val="504"/>
        <w:numPr>
          <w:ilvl w:val="0"/>
          <w:numId w:val="134"/>
        </w:numPr>
      </w:pPr>
      <w:r>
        <w:rPr>
          <w:rFonts w:hint="eastAsia"/>
          <w:szCs w:val="21"/>
        </w:rPr>
        <w:t>销售</w:t>
      </w:r>
      <w:r>
        <w:rPr>
          <w:rFonts w:hint="eastAsia"/>
        </w:rPr>
        <w:t>退回</w:t>
      </w:r>
    </w:p>
    <w:sdt>
      <w:sdtPr>
        <w:alias w:val="是否适用：销售退回[双击切换]"/>
        <w:tag w:val="_GBC_7fb2ecaa1ffb494486f4a8b2e94240d2"/>
        <w:id w:val="970794649"/>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504"/>
        <w:numPr>
          <w:ilvl w:val="0"/>
          <w:numId w:val="134"/>
        </w:numPr>
      </w:pPr>
      <w:r>
        <w:rPr>
          <w:rFonts w:hint="eastAsia"/>
        </w:rPr>
        <w:t>其他资产负债表日后事项说明</w:t>
      </w:r>
    </w:p>
    <w:sdt>
      <w:sdtPr>
        <w:rPr>
          <w:rFonts w:hint="eastAsia"/>
        </w:rPr>
        <w:alias w:val="是否适用：其他资产负债表日后事项说明[双击切换]"/>
        <w:tag w:val="_GBC_4fc0f824aaea4ed096cae3b9f97ff314"/>
        <w:id w:val="80419473"/>
        <w:placeholder>
          <w:docPart w:val="GBC22222222222222222222222222222"/>
        </w:placeholder>
      </w:sdtPr>
      <w:sdtEndPr>
        <w:rPr>
          <w:rFonts w:hint="eastAsia"/>
        </w:rPr>
      </w:sdtEnd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503"/>
        <w:numPr>
          <w:ilvl w:val="0"/>
          <w:numId w:val="57"/>
        </w:numPr>
        <w:ind w:firstLine="70"/>
      </w:pPr>
      <w:r>
        <w:rPr>
          <w:rFonts w:hint="eastAsia"/>
        </w:rPr>
        <w:t>其他重要事项</w:t>
      </w:r>
    </w:p>
    <w:p>
      <w:pPr>
        <w:pStyle w:val="504"/>
        <w:numPr>
          <w:ilvl w:val="0"/>
          <w:numId w:val="135"/>
        </w:numPr>
      </w:pPr>
      <w:r>
        <w:rPr>
          <w:rFonts w:hint="eastAsia"/>
        </w:rPr>
        <w:t>前期会计差错更正</w:t>
      </w:r>
    </w:p>
    <w:p>
      <w:pPr>
        <w:pStyle w:val="505"/>
        <w:numPr>
          <w:ilvl w:val="3"/>
          <w:numId w:val="136"/>
        </w:numPr>
        <w:ind w:left="426" w:hanging="426" w:hangingChars="202"/>
      </w:pPr>
      <w:r>
        <w:rPr>
          <w:rFonts w:hint="eastAsia"/>
        </w:rPr>
        <w:t>追溯重述法</w:t>
      </w:r>
    </w:p>
    <w:sdt>
      <w:sdtPr>
        <w:rPr>
          <w:rFonts w:hint="eastAsia"/>
        </w:rPr>
        <w:alias w:val="是否适用：追溯重述法[双击切换]"/>
        <w:tag w:val="_GBC_19d462bfe01047cd87b083dddf885193"/>
        <w:id w:val="1943179390"/>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numPr>
          <w:ilvl w:val="3"/>
          <w:numId w:val="136"/>
        </w:numPr>
        <w:ind w:left="426" w:hanging="426" w:hangingChars="202"/>
      </w:pPr>
      <w:r>
        <w:rPr>
          <w:rFonts w:hint="eastAsia"/>
        </w:rPr>
        <w:t>未来适用法</w:t>
      </w:r>
    </w:p>
    <w:sdt>
      <w:sdtPr>
        <w:alias w:val="是否适用：未来适用法[双击切换]"/>
        <w:tag w:val="_GBC_6fd6421ddf524335aa8fac02bc322e70"/>
        <w:id w:val="-180029151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4"/>
        <w:numPr>
          <w:ilvl w:val="0"/>
          <w:numId w:val="135"/>
        </w:numPr>
      </w:pPr>
      <w:r>
        <w:rPr>
          <w:rFonts w:hint="eastAsia" w:ascii="宋体" w:hAnsi="宋体" w:cs="宋体"/>
          <w:kern w:val="0"/>
          <w:szCs w:val="24"/>
        </w:rPr>
        <w:t>重要</w:t>
      </w:r>
      <w:r>
        <w:rPr>
          <w:rFonts w:hint="eastAsia"/>
        </w:rPr>
        <w:t>债务重组</w:t>
      </w:r>
    </w:p>
    <w:sdt>
      <w:sdtPr>
        <w:alias w:val="是否适用：重要债务重组[双击切换]"/>
        <w:tag w:val="_GBC_6b3631222f074ee0b23297cdcd94685f"/>
        <w:id w:val="-613976729"/>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p>
      <w:pPr>
        <w:pStyle w:val="504"/>
        <w:numPr>
          <w:ilvl w:val="0"/>
          <w:numId w:val="135"/>
        </w:numPr>
      </w:pPr>
      <w:r>
        <w:rPr>
          <w:rFonts w:hint="eastAsia"/>
        </w:rPr>
        <w:t>资产置换</w:t>
      </w:r>
    </w:p>
    <w:p>
      <w:pPr>
        <w:pStyle w:val="505"/>
        <w:numPr>
          <w:ilvl w:val="3"/>
          <w:numId w:val="137"/>
        </w:numPr>
        <w:ind w:left="426" w:hanging="426" w:hangingChars="202"/>
      </w:pPr>
      <w:r>
        <w:rPr>
          <w:rFonts w:hint="eastAsia"/>
        </w:rPr>
        <w:t>非货币性资产交换</w:t>
      </w:r>
    </w:p>
    <w:sdt>
      <w:sdtPr>
        <w:rPr>
          <w:rFonts w:hint="eastAsia"/>
        </w:rPr>
        <w:alias w:val="是否适用：非货币性资产交换[双击切换]"/>
        <w:tag w:val="_GBC_480975ada702478dae8a1468d6e0c3cd"/>
        <w:id w:val="1476880720"/>
        <w:placeholder>
          <w:docPart w:val="GBC22222222222222222222222222222"/>
        </w:placeholder>
      </w:sdtPr>
      <w:sdtEndPr>
        <w:rPr>
          <w:rFonts w:hint="eastAsia"/>
        </w:rPr>
      </w:sdtEndPr>
      <w:sdtContent>
        <w:p>
          <w:pPr>
            <w:spacing w:line="360" w:lineRule="exact"/>
            <w:ind w:right="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numPr>
          <w:ilvl w:val="3"/>
          <w:numId w:val="137"/>
        </w:numPr>
        <w:ind w:left="426" w:hanging="426" w:hangingChars="202"/>
      </w:pPr>
      <w:r>
        <w:rPr>
          <w:rFonts w:hint="eastAsia"/>
        </w:rPr>
        <w:t>其他资产置换</w:t>
      </w:r>
    </w:p>
    <w:sdt>
      <w:sdtPr>
        <w:rPr>
          <w:rFonts w:hint="eastAsia"/>
        </w:rPr>
        <w:alias w:val="是否适用：其他资产置换[双击切换]"/>
        <w:tag w:val="_GBC_d4d75cf02549483681739e6eb10910ff"/>
        <w:id w:val="2033528939"/>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4"/>
        <w:numPr>
          <w:ilvl w:val="0"/>
          <w:numId w:val="135"/>
        </w:numPr>
      </w:pPr>
      <w:r>
        <w:rPr>
          <w:rFonts w:hint="eastAsia"/>
        </w:rPr>
        <w:t>年金计划</w:t>
      </w:r>
    </w:p>
    <w:sdt>
      <w:sdtPr>
        <w:alias w:val="是否适用：年金计划[双击切换]"/>
        <w:tag w:val="_GBC_7abcd6901bc848d8b58391e0ddd63034"/>
        <w:id w:val="-95479544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年金计划的说明"/>
        <w:tag w:val="_GBC_c6d896234c45444f94531f5e749f3198"/>
        <w:id w:val="487128256"/>
        <w:placeholder>
          <w:docPart w:val="GBC22222222222222222222222222222"/>
        </w:placeholder>
      </w:sdtPr>
      <w:sdtEndPr>
        <w:rPr>
          <w:rFonts w:hint="eastAsia" w:ascii="宋体" w:hAnsi="宋体"/>
        </w:rPr>
      </w:sdtEndPr>
      <w:sdtContent>
        <w:p>
          <w:pPr>
            <w:snapToGrid w:val="0"/>
            <w:spacing w:before="156" w:beforeLines="50" w:after="156" w:afterLines="50" w:line="360" w:lineRule="exact"/>
            <w:ind w:firstLine="420" w:firstLineChars="200"/>
            <w:rPr>
              <w:rFonts w:ascii="宋体" w:hAnsi="宋体"/>
            </w:rPr>
          </w:pPr>
          <w:r>
            <w:rPr>
              <w:rFonts w:hint="eastAsia" w:ascii="宋体" w:hAnsi="宋体"/>
            </w:rPr>
            <w:t>为保障和提高职工退休后的待遇水平，根据《企业年金办法》(人力资源和社会保障部令第36号)、《山东省国资委关于省管企业建立企业年金制度的指导意见》(鲁国资考核〔2017〕1号)等有关规定，本集团制定了企业年金的相关管理办法。</w:t>
          </w:r>
        </w:p>
        <w:p>
          <w:pPr>
            <w:snapToGrid w:val="0"/>
            <w:spacing w:before="156" w:beforeLines="50" w:after="156" w:afterLines="50" w:line="360" w:lineRule="exact"/>
            <w:ind w:firstLine="420" w:firstLineChars="200"/>
            <w:rPr>
              <w:rFonts w:ascii="宋体" w:hAnsi="宋体"/>
            </w:rPr>
          </w:pPr>
          <w:r>
            <w:rPr>
              <w:rFonts w:hint="eastAsia" w:ascii="宋体" w:hAnsi="宋体"/>
            </w:rPr>
            <w:t>集团年金缴费由单位和职工共同承担，单位缴费的列支渠道按照国家有关规定执行；职工个人缴费由单位从职工工资代扣代缴。企业缴费每年不超过本企业上年度职工工资总额的8%，企业和职工个人缴费合计不超过本企业上年度职工工资总额的12%。年金制度实施的初期，职工个人缴费部分最低不得低于企业为其缴费部分的四分之一,以后年度逐步提高,最终与企业缴费相匹配。新参加工作的职工在与企业签订劳动合同后、试用期满的次月起开始企业年金缴费，单位新调入的职工从调入单位发放工资的当月开始企业年金缴费。</w:t>
          </w:r>
        </w:p>
        <w:p>
          <w:pPr>
            <w:snapToGrid w:val="0"/>
            <w:spacing w:before="156" w:beforeLines="50" w:after="156" w:afterLines="50" w:line="360" w:lineRule="exact"/>
            <w:ind w:firstLine="420" w:firstLineChars="200"/>
            <w:rPr>
              <w:rFonts w:ascii="宋体" w:hAnsi="宋体" w:cstheme="minorBidi"/>
            </w:rPr>
          </w:pPr>
          <w:r>
            <w:rPr>
              <w:rFonts w:hint="eastAsia" w:ascii="宋体" w:hAnsi="宋体"/>
            </w:rPr>
            <w:t>本集团企业年金采用法人受托管理模式，本集团所归集的企业年金基金由本集团公司人力资源服务中心委托受托人进行管理。个人账户下设单位缴费子账户和个人缴费子账户，分别记录单位缴费分配给职工个人的部分及其投资收益、职工个人缴费及其投资收益。职工企业年金个人账户中单位缴费及其投资收益，按一定规则归属于职工个人。未归属于职工个人的部分，记入企业账户。职工企业年金个人账户中个人缴费及其投资收益自始归属于职工个人。</w:t>
          </w:r>
        </w:p>
      </w:sdtContent>
    </w:sdt>
    <w:p>
      <w:pPr>
        <w:rPr>
          <w:rFonts w:ascii="宋体" w:hAnsi="宋体"/>
        </w:rPr>
      </w:pPr>
    </w:p>
    <w:p>
      <w:pPr>
        <w:pStyle w:val="504"/>
        <w:numPr>
          <w:ilvl w:val="0"/>
          <w:numId w:val="135"/>
        </w:numPr>
        <w:rPr>
          <w:rFonts w:ascii="宋体" w:hAnsi="宋体"/>
          <w:szCs w:val="21"/>
        </w:rPr>
      </w:pPr>
      <w:r>
        <w:rPr>
          <w:rFonts w:hint="eastAsia" w:ascii="宋体" w:hAnsi="宋体"/>
          <w:szCs w:val="21"/>
        </w:rPr>
        <w:t>终止经营</w:t>
      </w:r>
    </w:p>
    <w:p>
      <w:pPr>
        <w:pStyle w:val="531"/>
        <w:rPr>
          <w:rFonts w:cstheme="minorBidi"/>
        </w:rPr>
      </w:pPr>
      <w:sdt>
        <w:sdtPr>
          <w:alias w:val="是否适用：终止经营[双击切换]"/>
          <w:tag w:val="_GBC_667e81a5639a48488e957a55e45c7763"/>
          <w:id w:val="-1107348346"/>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rPr>
          <w:rFonts w:cstheme="minorBidi"/>
        </w:rPr>
      </w:pPr>
    </w:p>
    <w:p>
      <w:pPr>
        <w:sectPr>
          <w:pgSz w:w="11906" w:h="16838"/>
          <w:pgMar w:top="1525" w:right="1276" w:bottom="1440" w:left="1797" w:header="856" w:footer="992" w:gutter="0"/>
          <w:cols w:space="425" w:num="1"/>
          <w:docGrid w:type="lines" w:linePitch="312" w:charSpace="0"/>
        </w:sectPr>
      </w:pPr>
    </w:p>
    <w:p>
      <w:pPr>
        <w:pStyle w:val="501"/>
      </w:pPr>
    </w:p>
    <w:p>
      <w:pPr>
        <w:pStyle w:val="504"/>
        <w:numPr>
          <w:ilvl w:val="0"/>
          <w:numId w:val="135"/>
        </w:numPr>
        <w:rPr>
          <w:rFonts w:ascii="宋体" w:hAnsi="宋体"/>
          <w:szCs w:val="21"/>
        </w:rPr>
      </w:pPr>
      <w:r>
        <w:rPr>
          <w:rFonts w:hint="eastAsia" w:ascii="宋体" w:hAnsi="宋体"/>
          <w:szCs w:val="21"/>
        </w:rPr>
        <w:t>分部信息</w:t>
      </w:r>
    </w:p>
    <w:p>
      <w:pPr>
        <w:pStyle w:val="505"/>
        <w:numPr>
          <w:ilvl w:val="3"/>
          <w:numId w:val="138"/>
        </w:numPr>
        <w:ind w:left="426" w:hanging="426" w:hangingChars="202"/>
      </w:pPr>
      <w:r>
        <w:rPr>
          <w:rFonts w:hint="eastAsia"/>
        </w:rPr>
        <w:t>报告分部的确定依据与会计政策</w:t>
      </w:r>
    </w:p>
    <w:sdt>
      <w:sdtPr>
        <w:rPr>
          <w:rFonts w:hint="eastAsia"/>
        </w:rPr>
        <w:alias w:val="是否适用：报告分部的确定依据与会计政策[双击切换]"/>
        <w:tag w:val="_GBC_b3cac5485321452cadb6e7ec2be5d907"/>
        <w:id w:val="1151411310"/>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numPr>
          <w:ilvl w:val="3"/>
          <w:numId w:val="138"/>
        </w:numPr>
        <w:ind w:left="426" w:hanging="426" w:hangingChars="202"/>
      </w:pPr>
      <w:r>
        <w:rPr>
          <w:rFonts w:hint="eastAsia"/>
        </w:rPr>
        <w:t>报告分部的财务信息</w:t>
      </w:r>
    </w:p>
    <w:sdt>
      <w:sdtPr>
        <w:rPr>
          <w:rFonts w:hint="eastAsia" w:ascii="宋体" w:hAnsi="宋体"/>
          <w:szCs w:val="21"/>
        </w:rPr>
        <w:alias w:val="是否适用：报告分部的财务信息[双击切换]"/>
        <w:tag w:val="_GBC_560c7b592f324714b8c87339e43684af"/>
        <w:id w:val="-443530661"/>
        <w:placeholder>
          <w:docPart w:val="GBC22222222222222222222222222222"/>
        </w:placeholder>
      </w:sdtPr>
      <w:sdtEndPr>
        <w:rPr>
          <w:rFonts w:hint="eastAsia" w:ascii="宋体" w:hAnsi="宋体"/>
          <w:szCs w:val="21"/>
        </w:rPr>
      </w:sdtEndPr>
      <w:sdtContent>
        <w:p>
          <w:pPr>
            <w:pStyle w:val="543"/>
            <w:ind w:firstLine="0" w:firstLineChars="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Pr>
        <w:pStyle w:val="543"/>
        <w:ind w:firstLine="0" w:firstLineChars="0"/>
        <w:jc w:val="left"/>
        <w:rPr>
          <w:rFonts w:ascii="宋体" w:hAnsi="宋体"/>
          <w:szCs w:val="21"/>
        </w:rPr>
      </w:pPr>
      <w:r>
        <w:rPr>
          <w:rFonts w:hint="eastAsia" w:ascii="宋体" w:hAnsi="宋体"/>
          <w:szCs w:val="21"/>
        </w:rPr>
        <w:t>1)202</w:t>
      </w:r>
      <w:r>
        <w:rPr>
          <w:rFonts w:ascii="宋体" w:hAnsi="宋体"/>
          <w:szCs w:val="21"/>
        </w:rPr>
        <w:t>3</w:t>
      </w:r>
      <w:r>
        <w:rPr>
          <w:rFonts w:hint="eastAsia" w:ascii="宋体" w:hAnsi="宋体"/>
          <w:szCs w:val="21"/>
        </w:rPr>
        <w:t xml:space="preserve"> 年报告分部</w:t>
      </w:r>
    </w:p>
    <w:p>
      <w:pPr>
        <w:pStyle w:val="543"/>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报告分部的财务信息"/>
          <w:tag w:val="_GBC_7605447fe81f42cb8fddf03d31f4d9f1"/>
          <w:id w:val="-5220876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千元</w:t>
          </w:r>
        </w:sdtContent>
      </w:sdt>
      <w:r>
        <w:rPr>
          <w:rFonts w:hint="eastAsia" w:ascii="宋体" w:hAnsi="宋体"/>
          <w:szCs w:val="21"/>
        </w:rPr>
        <w:t xml:space="preserve">  币种：</w:t>
      </w:r>
      <w:sdt>
        <w:sdtPr>
          <w:rPr>
            <w:rFonts w:hint="eastAsia" w:ascii="宋体" w:hAnsi="宋体"/>
            <w:szCs w:val="21"/>
          </w:rPr>
          <w:alias w:val="币种：财务附注：报告分部的财务信息"/>
          <w:tag w:val="_GBC_91822203e5c047ed9e288f2f546dc41a"/>
          <w:id w:val="7211805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1392"/>
        <w:gridCol w:w="1330"/>
        <w:gridCol w:w="1330"/>
        <w:gridCol w:w="1330"/>
        <w:gridCol w:w="1330"/>
        <w:gridCol w:w="1330"/>
        <w:gridCol w:w="1330"/>
        <w:gridCol w:w="1392"/>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项目</w:t>
            </w:r>
          </w:p>
        </w:tc>
        <w:tc>
          <w:tcPr>
            <w:tcW w:w="49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煤炭业务</w:t>
            </w:r>
          </w:p>
        </w:tc>
        <w:tc>
          <w:tcPr>
            <w:tcW w:w="47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铁运业务</w:t>
            </w:r>
          </w:p>
        </w:tc>
        <w:tc>
          <w:tcPr>
            <w:tcW w:w="47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煤化工、电力及热力</w:t>
            </w:r>
          </w:p>
        </w:tc>
        <w:tc>
          <w:tcPr>
            <w:tcW w:w="47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矿用设备制造</w:t>
            </w:r>
          </w:p>
        </w:tc>
        <w:tc>
          <w:tcPr>
            <w:tcW w:w="47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非煤炭贸易</w:t>
            </w:r>
          </w:p>
        </w:tc>
        <w:tc>
          <w:tcPr>
            <w:tcW w:w="47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贷款和融资租赁</w:t>
            </w:r>
          </w:p>
        </w:tc>
        <w:tc>
          <w:tcPr>
            <w:tcW w:w="47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未分配项目</w:t>
            </w:r>
          </w:p>
        </w:tc>
        <w:tc>
          <w:tcPr>
            <w:tcW w:w="49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抵消</w:t>
            </w:r>
          </w:p>
        </w:tc>
        <w:tc>
          <w:tcPr>
            <w:tcW w:w="49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营业收入</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115,069,266</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573,573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40,969,148</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3,249,651</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10,465,531</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2,356,477</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17,896,234</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40,555,020</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150,024,860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对外交易收入</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102,019,064</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478,114</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29,855,761</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690,972</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10,419,283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1,392,268</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5,169,398</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150,024,860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分部间交易收入</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13,050,202</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95,459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11,113,387</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2,558,679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46,248</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964,209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12,726,836</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40,555,020</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营业成本及费用</w:t>
            </w:r>
          </w:p>
        </w:tc>
        <w:tc>
          <w:tcPr>
            <w:tcW w:w="494" w:type="pct"/>
            <w:vAlign w:val="center"/>
          </w:tcPr>
          <w:p>
            <w:pPr>
              <w:jc w:val="right"/>
              <w:rPr>
                <w:rFonts w:ascii="宋体" w:hAnsi="宋体"/>
              </w:rPr>
            </w:pPr>
            <w:r>
              <w:rPr>
                <w:rFonts w:ascii="宋体" w:hAnsi="宋体"/>
              </w:rPr>
              <w:t>70,950,133</w:t>
            </w:r>
          </w:p>
        </w:tc>
        <w:tc>
          <w:tcPr>
            <w:tcW w:w="472" w:type="pct"/>
            <w:vAlign w:val="center"/>
          </w:tcPr>
          <w:p>
            <w:pPr>
              <w:jc w:val="right"/>
              <w:rPr>
                <w:rFonts w:ascii="宋体" w:hAnsi="宋体"/>
              </w:rPr>
            </w:pPr>
            <w:r>
              <w:rPr>
                <w:rFonts w:ascii="宋体" w:hAnsi="宋体"/>
              </w:rPr>
              <w:t>358,500</w:t>
            </w:r>
          </w:p>
        </w:tc>
        <w:tc>
          <w:tcPr>
            <w:tcW w:w="472" w:type="pct"/>
            <w:vAlign w:val="center"/>
          </w:tcPr>
          <w:p>
            <w:pPr>
              <w:jc w:val="right"/>
              <w:rPr>
                <w:rFonts w:ascii="宋体" w:hAnsi="宋体"/>
              </w:rPr>
            </w:pPr>
            <w:r>
              <w:rPr>
                <w:rFonts w:ascii="宋体" w:hAnsi="宋体"/>
              </w:rPr>
              <w:t>39,621,471</w:t>
            </w:r>
          </w:p>
        </w:tc>
        <w:tc>
          <w:tcPr>
            <w:tcW w:w="472" w:type="pct"/>
            <w:vAlign w:val="center"/>
          </w:tcPr>
          <w:p>
            <w:pPr>
              <w:jc w:val="right"/>
              <w:rPr>
                <w:rFonts w:ascii="宋体" w:hAnsi="宋体"/>
              </w:rPr>
            </w:pPr>
            <w:r>
              <w:rPr>
                <w:rFonts w:ascii="宋体" w:hAnsi="宋体"/>
              </w:rPr>
              <w:t>3,208,248</w:t>
            </w:r>
          </w:p>
        </w:tc>
        <w:tc>
          <w:tcPr>
            <w:tcW w:w="472" w:type="pct"/>
            <w:vAlign w:val="center"/>
          </w:tcPr>
          <w:p>
            <w:pPr>
              <w:jc w:val="right"/>
              <w:rPr>
                <w:rFonts w:ascii="宋体" w:hAnsi="宋体"/>
              </w:rPr>
            </w:pPr>
            <w:r>
              <w:rPr>
                <w:rFonts w:ascii="宋体" w:hAnsi="宋体"/>
              </w:rPr>
              <w:t>10,535,674</w:t>
            </w:r>
          </w:p>
        </w:tc>
        <w:tc>
          <w:tcPr>
            <w:tcW w:w="472" w:type="pct"/>
            <w:vAlign w:val="center"/>
          </w:tcPr>
          <w:p>
            <w:pPr>
              <w:jc w:val="right"/>
              <w:rPr>
                <w:rFonts w:ascii="宋体" w:hAnsi="宋体"/>
              </w:rPr>
            </w:pPr>
            <w:r>
              <w:rPr>
                <w:rFonts w:ascii="宋体" w:hAnsi="宋体"/>
              </w:rPr>
              <w:t>1,179,353</w:t>
            </w:r>
          </w:p>
        </w:tc>
        <w:tc>
          <w:tcPr>
            <w:tcW w:w="472" w:type="pct"/>
            <w:vAlign w:val="center"/>
          </w:tcPr>
          <w:p>
            <w:pPr>
              <w:jc w:val="right"/>
              <w:rPr>
                <w:rFonts w:ascii="宋体" w:hAnsi="宋体"/>
              </w:rPr>
            </w:pPr>
            <w:r>
              <w:rPr>
                <w:rFonts w:ascii="宋体" w:hAnsi="宋体"/>
              </w:rPr>
              <w:t>16,276,390</w:t>
            </w:r>
          </w:p>
        </w:tc>
        <w:tc>
          <w:tcPr>
            <w:tcW w:w="494" w:type="pct"/>
            <w:vAlign w:val="center"/>
          </w:tcPr>
          <w:p>
            <w:pPr>
              <w:jc w:val="right"/>
              <w:rPr>
                <w:rFonts w:ascii="宋体" w:hAnsi="宋体"/>
              </w:rPr>
            </w:pPr>
            <w:r>
              <w:rPr>
                <w:rFonts w:ascii="宋体" w:hAnsi="宋体"/>
              </w:rPr>
              <w:t>29,068,337</w:t>
            </w:r>
          </w:p>
        </w:tc>
        <w:tc>
          <w:tcPr>
            <w:tcW w:w="494" w:type="pct"/>
            <w:vAlign w:val="center"/>
          </w:tcPr>
          <w:p>
            <w:pPr>
              <w:jc w:val="right"/>
              <w:rPr>
                <w:rFonts w:ascii="宋体" w:hAnsi="宋体"/>
              </w:rPr>
            </w:pPr>
            <w:r>
              <w:rPr>
                <w:rFonts w:ascii="宋体" w:hAnsi="宋体"/>
              </w:rPr>
              <w:t>113,061,432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对外销售成本</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49,408,895</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266,656</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24,506,109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178,869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10,364,669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568,645</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3,766,659</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89,060,502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分部间销售成本</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12,763,595</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91,485</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11,079,882</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2,558,679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46,248</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226,463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12,581,685</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39,348,037</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期间费用及减值损失</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8,777,643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359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4,035,480</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470,700</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124,757</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384,245</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-71,954</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-10,279,700</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24,000,930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营业利润(亏损)</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44,119,133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215,073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1,347,677</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41,403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-70,143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1,177,124</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1,619,844</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11,486,683</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36,963,428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资产总额</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366,330,799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7,191</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67,476,261</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4,101,455</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4,640,728</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69,358,545</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46,102,739</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203,739,579</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354,278,139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负债总额</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231,303,883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3,747</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33,383,876</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2,367,688</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3,672,518</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43,037,519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32,257,017</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110,081,793</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235,944,455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补充信息</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折旧和摊销费用</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11,958,265</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351</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3,671,929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246,198</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2,860</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31,042</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931,429</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16,842,074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折旧和摊销以外的非现金费用</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77,304</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45,243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5,037</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15,509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-234,133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4,967</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资本性支出</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9,228,715</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178</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1,907,773</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80,461</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16,191</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5,869,359</w:t>
            </w:r>
          </w:p>
        </w:tc>
        <w:tc>
          <w:tcPr>
            <w:tcW w:w="47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1,088,373</w:t>
            </w: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4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18,191,050</w:t>
            </w:r>
          </w:p>
        </w:tc>
      </w:tr>
    </w:tbl>
    <w:p>
      <w:pPr>
        <w:pStyle w:val="543"/>
        <w:ind w:firstLine="0" w:firstLineChars="0"/>
        <w:jc w:val="left"/>
        <w:rPr>
          <w:rFonts w:ascii="宋体" w:hAnsi="宋体"/>
          <w:szCs w:val="21"/>
        </w:rPr>
      </w:pPr>
    </w:p>
    <w:p>
      <w:pPr>
        <w:pStyle w:val="543"/>
        <w:ind w:firstLine="0" w:firstLineChars="0"/>
        <w:jc w:val="left"/>
        <w:rPr>
          <w:rFonts w:ascii="宋体" w:hAnsi="宋体"/>
          <w:szCs w:val="21"/>
        </w:rPr>
      </w:pPr>
      <w:r>
        <w:rPr>
          <w:rFonts w:ascii="宋体" w:hAnsi="宋体"/>
          <w:szCs w:val="21"/>
        </w:rPr>
        <w:t>2</w:t>
      </w:r>
      <w:r>
        <w:rPr>
          <w:rFonts w:hint="eastAsia" w:ascii="宋体" w:hAnsi="宋体"/>
          <w:szCs w:val="21"/>
        </w:rPr>
        <w:t>)202</w:t>
      </w:r>
      <w:r>
        <w:rPr>
          <w:rFonts w:ascii="宋体" w:hAnsi="宋体"/>
          <w:szCs w:val="21"/>
        </w:rPr>
        <w:t>2</w:t>
      </w:r>
      <w:r>
        <w:rPr>
          <w:rFonts w:hint="eastAsia" w:ascii="宋体" w:hAnsi="宋体"/>
          <w:szCs w:val="21"/>
        </w:rPr>
        <w:t>年报告分部</w:t>
      </w:r>
    </w:p>
    <w:p>
      <w:pPr>
        <w:pStyle w:val="543"/>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报告分部的财务信息"/>
          <w:tag w:val="_GBC_7605447fe81f42cb8fddf03d31f4d9f1"/>
          <w:id w:val="1240901307"/>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千元</w:t>
          </w:r>
        </w:sdtContent>
      </w:sdt>
      <w:r>
        <w:rPr>
          <w:rFonts w:hint="eastAsia" w:ascii="宋体" w:hAnsi="宋体"/>
          <w:szCs w:val="21"/>
        </w:rPr>
        <w:t xml:space="preserve">  币种：</w:t>
      </w:r>
      <w:sdt>
        <w:sdtPr>
          <w:rPr>
            <w:rFonts w:hint="eastAsia" w:ascii="宋体" w:hAnsi="宋体"/>
            <w:szCs w:val="21"/>
          </w:rPr>
          <w:alias w:val="币种：财务附注：报告分部的财务信息"/>
          <w:tag w:val="_GBC_91822203e5c047ed9e288f2f546dc41a"/>
          <w:id w:val="-121820110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1245"/>
        <w:gridCol w:w="1097"/>
        <w:gridCol w:w="1243"/>
        <w:gridCol w:w="1052"/>
        <w:gridCol w:w="1260"/>
        <w:gridCol w:w="1257"/>
        <w:gridCol w:w="1152"/>
        <w:gridCol w:w="1245"/>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00" w:type="dxa"/>
            <w:noWrap/>
            <w:vAlign w:val="center"/>
          </w:tcPr>
          <w:p>
            <w:pPr>
              <w:widowControl/>
              <w:rPr>
                <w:rFonts w:ascii="宋体" w:hAnsi="宋体"/>
                <w:b/>
                <w:bCs/>
                <w:snapToGrid w:val="0"/>
                <w:spacing w:val="-20"/>
                <w:kern w:val="0"/>
                <w:lang w:val="en-GB"/>
              </w:rPr>
            </w:pPr>
            <w:r>
              <w:rPr>
                <w:rFonts w:ascii="宋体" w:hAnsi="宋体"/>
                <w:b/>
                <w:bCs/>
                <w:snapToGrid w:val="0"/>
                <w:spacing w:val="-20"/>
                <w:kern w:val="0"/>
                <w:lang w:val="en-GB"/>
              </w:rPr>
              <w:t>项目</w:t>
            </w:r>
          </w:p>
        </w:tc>
        <w:tc>
          <w:tcPr>
            <w:tcW w:w="1245" w:type="dxa"/>
            <w:vAlign w:val="center"/>
          </w:tcPr>
          <w:p>
            <w:pPr>
              <w:widowControl/>
              <w:jc w:val="center"/>
              <w:rPr>
                <w:rFonts w:ascii="宋体" w:hAnsi="宋体"/>
                <w:b/>
                <w:bCs/>
                <w:snapToGrid w:val="0"/>
                <w:spacing w:val="-20"/>
                <w:kern w:val="0"/>
                <w:lang w:val="en-GB"/>
              </w:rPr>
            </w:pPr>
            <w:r>
              <w:rPr>
                <w:rFonts w:ascii="宋体" w:hAnsi="宋体"/>
                <w:b/>
                <w:bCs/>
                <w:snapToGrid w:val="0"/>
                <w:spacing w:val="-20"/>
                <w:kern w:val="0"/>
                <w:lang w:val="en-GB"/>
              </w:rPr>
              <w:t>煤炭业务</w:t>
            </w:r>
          </w:p>
        </w:tc>
        <w:tc>
          <w:tcPr>
            <w:tcW w:w="1097" w:type="dxa"/>
            <w:vAlign w:val="center"/>
          </w:tcPr>
          <w:p>
            <w:pPr>
              <w:widowControl/>
              <w:jc w:val="center"/>
              <w:rPr>
                <w:rFonts w:ascii="宋体" w:hAnsi="宋体"/>
                <w:b/>
                <w:bCs/>
                <w:snapToGrid w:val="0"/>
                <w:spacing w:val="-20"/>
                <w:kern w:val="0"/>
                <w:lang w:val="en-GB"/>
              </w:rPr>
            </w:pPr>
            <w:r>
              <w:rPr>
                <w:rFonts w:ascii="宋体" w:hAnsi="宋体"/>
                <w:b/>
                <w:bCs/>
                <w:snapToGrid w:val="0"/>
                <w:spacing w:val="-20"/>
                <w:kern w:val="0"/>
                <w:lang w:val="en-GB"/>
              </w:rPr>
              <w:t>铁运业务</w:t>
            </w:r>
          </w:p>
        </w:tc>
        <w:tc>
          <w:tcPr>
            <w:tcW w:w="1243" w:type="dxa"/>
            <w:vAlign w:val="center"/>
          </w:tcPr>
          <w:p>
            <w:pPr>
              <w:widowControl/>
              <w:jc w:val="center"/>
              <w:rPr>
                <w:rFonts w:ascii="宋体" w:hAnsi="宋体"/>
                <w:b/>
                <w:bCs/>
                <w:snapToGrid w:val="0"/>
                <w:spacing w:val="-20"/>
                <w:kern w:val="0"/>
                <w:lang w:val="en-GB"/>
              </w:rPr>
            </w:pPr>
            <w:r>
              <w:rPr>
                <w:rFonts w:hint="eastAsia" w:ascii="宋体" w:hAnsi="宋体"/>
                <w:b/>
                <w:bCs/>
                <w:snapToGrid w:val="0"/>
                <w:spacing w:val="-20"/>
                <w:kern w:val="0"/>
                <w:lang w:val="en-GB"/>
              </w:rPr>
              <w:t>煤化工、</w:t>
            </w:r>
            <w:r>
              <w:rPr>
                <w:rFonts w:ascii="宋体" w:hAnsi="宋体"/>
                <w:b/>
                <w:bCs/>
                <w:snapToGrid w:val="0"/>
                <w:spacing w:val="-20"/>
                <w:kern w:val="0"/>
                <w:lang w:val="en-GB"/>
              </w:rPr>
              <w:t>电力及</w:t>
            </w:r>
            <w:r>
              <w:rPr>
                <w:rFonts w:hint="eastAsia" w:ascii="宋体" w:hAnsi="宋体"/>
                <w:b/>
                <w:bCs/>
                <w:snapToGrid w:val="0"/>
                <w:spacing w:val="-20"/>
                <w:kern w:val="0"/>
                <w:lang w:val="en-GB"/>
              </w:rPr>
              <w:t>热力</w:t>
            </w:r>
          </w:p>
        </w:tc>
        <w:tc>
          <w:tcPr>
            <w:tcW w:w="1052" w:type="dxa"/>
            <w:vAlign w:val="center"/>
          </w:tcPr>
          <w:p>
            <w:pPr>
              <w:widowControl/>
              <w:jc w:val="center"/>
              <w:rPr>
                <w:rFonts w:ascii="宋体" w:hAnsi="宋体"/>
                <w:b/>
                <w:bCs/>
                <w:snapToGrid w:val="0"/>
                <w:spacing w:val="-20"/>
                <w:kern w:val="0"/>
                <w:lang w:val="en-GB"/>
              </w:rPr>
            </w:pPr>
            <w:r>
              <w:rPr>
                <w:rFonts w:hint="eastAsia" w:ascii="宋体" w:hAnsi="宋体"/>
                <w:b/>
                <w:bCs/>
                <w:snapToGrid w:val="0"/>
                <w:spacing w:val="-20"/>
                <w:kern w:val="0"/>
                <w:lang w:val="en-GB"/>
              </w:rPr>
              <w:t>矿用设备制造</w:t>
            </w:r>
          </w:p>
        </w:tc>
        <w:tc>
          <w:tcPr>
            <w:tcW w:w="1260" w:type="dxa"/>
            <w:vAlign w:val="center"/>
          </w:tcPr>
          <w:p>
            <w:pPr>
              <w:widowControl/>
              <w:jc w:val="center"/>
              <w:rPr>
                <w:rFonts w:ascii="宋体" w:hAnsi="宋体"/>
                <w:b/>
                <w:bCs/>
                <w:snapToGrid w:val="0"/>
                <w:spacing w:val="-20"/>
                <w:kern w:val="0"/>
                <w:lang w:val="en-GB"/>
              </w:rPr>
            </w:pPr>
            <w:r>
              <w:rPr>
                <w:rFonts w:hint="eastAsia" w:ascii="宋体" w:hAnsi="宋体"/>
                <w:b/>
                <w:bCs/>
                <w:snapToGrid w:val="0"/>
                <w:spacing w:val="-20"/>
                <w:kern w:val="0"/>
                <w:lang w:val="en-GB"/>
              </w:rPr>
              <w:t>非煤炭贸易</w:t>
            </w:r>
          </w:p>
        </w:tc>
        <w:tc>
          <w:tcPr>
            <w:tcW w:w="1257" w:type="dxa"/>
            <w:vAlign w:val="center"/>
          </w:tcPr>
          <w:p>
            <w:pPr>
              <w:widowControl/>
              <w:jc w:val="center"/>
              <w:rPr>
                <w:rFonts w:ascii="宋体" w:hAnsi="宋体"/>
                <w:b/>
                <w:bCs/>
                <w:snapToGrid w:val="0"/>
                <w:spacing w:val="-20"/>
                <w:kern w:val="0"/>
                <w:lang w:val="en-GB"/>
              </w:rPr>
            </w:pPr>
            <w:r>
              <w:rPr>
                <w:rFonts w:hint="eastAsia" w:ascii="宋体" w:hAnsi="宋体"/>
                <w:b/>
                <w:bCs/>
                <w:snapToGrid w:val="0"/>
                <w:spacing w:val="-20"/>
                <w:kern w:val="0"/>
                <w:lang w:val="en-GB"/>
              </w:rPr>
              <w:t>贷款和融资租赁</w:t>
            </w:r>
          </w:p>
        </w:tc>
        <w:tc>
          <w:tcPr>
            <w:tcW w:w="1152" w:type="dxa"/>
            <w:vAlign w:val="center"/>
          </w:tcPr>
          <w:p>
            <w:pPr>
              <w:widowControl/>
              <w:jc w:val="center"/>
              <w:rPr>
                <w:rFonts w:ascii="宋体" w:hAnsi="宋体"/>
                <w:b/>
                <w:bCs/>
                <w:snapToGrid w:val="0"/>
                <w:spacing w:val="-20"/>
                <w:kern w:val="0"/>
                <w:lang w:val="en-GB"/>
              </w:rPr>
            </w:pPr>
            <w:r>
              <w:rPr>
                <w:rFonts w:ascii="宋体" w:hAnsi="宋体"/>
                <w:b/>
                <w:bCs/>
                <w:snapToGrid w:val="0"/>
                <w:spacing w:val="-20"/>
                <w:kern w:val="0"/>
                <w:lang w:val="en-GB"/>
              </w:rPr>
              <w:t>未分配项目</w:t>
            </w:r>
          </w:p>
        </w:tc>
        <w:tc>
          <w:tcPr>
            <w:tcW w:w="1245" w:type="dxa"/>
            <w:vAlign w:val="center"/>
          </w:tcPr>
          <w:p>
            <w:pPr>
              <w:widowControl/>
              <w:jc w:val="center"/>
              <w:rPr>
                <w:rFonts w:ascii="宋体" w:hAnsi="宋体"/>
                <w:b/>
                <w:bCs/>
                <w:snapToGrid w:val="0"/>
                <w:spacing w:val="-20"/>
                <w:kern w:val="0"/>
                <w:lang w:val="en-GB"/>
              </w:rPr>
            </w:pPr>
            <w:r>
              <w:rPr>
                <w:rFonts w:ascii="宋体" w:hAnsi="宋体"/>
                <w:b/>
                <w:bCs/>
                <w:snapToGrid w:val="0"/>
                <w:spacing w:val="-20"/>
                <w:kern w:val="0"/>
                <w:lang w:val="en-GB"/>
              </w:rPr>
              <w:t>抵消</w:t>
            </w:r>
          </w:p>
        </w:tc>
        <w:tc>
          <w:tcPr>
            <w:tcW w:w="1312" w:type="dxa"/>
            <w:vAlign w:val="center"/>
          </w:tcPr>
          <w:p>
            <w:pPr>
              <w:widowControl/>
              <w:jc w:val="center"/>
              <w:rPr>
                <w:rFonts w:ascii="宋体" w:hAnsi="宋体"/>
                <w:b/>
                <w:bCs/>
                <w:snapToGrid w:val="0"/>
                <w:spacing w:val="-20"/>
                <w:kern w:val="0"/>
                <w:lang w:val="en-GB"/>
              </w:rPr>
            </w:pPr>
            <w:r>
              <w:rPr>
                <w:rFonts w:ascii="宋体" w:hAnsi="宋体"/>
                <w:b/>
                <w:bCs/>
                <w:snapToGrid w:val="0"/>
                <w:spacing w:val="-20"/>
                <w:kern w:val="0"/>
                <w:lang w:val="en-GB"/>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b/>
                <w:snapToGrid w:val="0"/>
                <w:spacing w:val="-20"/>
                <w:kern w:val="0"/>
                <w:lang w:val="en-GB" w:eastAsia="en-US"/>
              </w:rPr>
            </w:pPr>
            <w:r>
              <w:rPr>
                <w:rFonts w:ascii="宋体" w:hAnsi="宋体"/>
                <w:b/>
                <w:snapToGrid w:val="0"/>
                <w:spacing w:val="-20"/>
                <w:kern w:val="0"/>
                <w:lang w:val="en-GB" w:eastAsia="en-US"/>
              </w:rPr>
              <w:t>营业收入</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160,571,763</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442,594</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36,322,843</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3,417,149</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41,448,822</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2,432,419</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17,640,348</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37,302,835</w:t>
            </w: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224,973,103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snapToGrid w:val="0"/>
                <w:spacing w:val="-20"/>
                <w:kern w:val="0"/>
                <w:lang w:val="en-GB" w:eastAsia="en-US"/>
              </w:rPr>
            </w:pPr>
            <w:r>
              <w:rPr>
                <w:rFonts w:ascii="宋体" w:hAnsi="宋体"/>
                <w:snapToGrid w:val="0"/>
                <w:spacing w:val="-20"/>
                <w:kern w:val="0"/>
                <w:lang w:val="en-GB" w:eastAsia="en-US"/>
              </w:rPr>
              <w:t>对外交易收入</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145,990,576</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393,440</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29,867,618</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748,910</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41,448,822</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1,421,244</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5,102,493</w:t>
            </w:r>
          </w:p>
        </w:tc>
        <w:tc>
          <w:tcPr>
            <w:tcW w:w="1245" w:type="dxa"/>
            <w:vAlign w:val="center"/>
          </w:tcPr>
          <w:p>
            <w:pPr>
              <w:widowControl/>
              <w:jc w:val="right"/>
              <w:rPr>
                <w:rFonts w:ascii="宋体" w:hAnsi="宋体" w:cs="Arial"/>
                <w:snapToGrid w:val="0"/>
                <w:spacing w:val="-20"/>
                <w:kern w:val="0"/>
                <w:lang w:val="en-GB" w:eastAsia="en-US"/>
              </w:rPr>
            </w:pP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224,973,103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snapToGrid w:val="0"/>
                <w:spacing w:val="-20"/>
                <w:kern w:val="0"/>
                <w:lang w:val="en-GB" w:eastAsia="en-US"/>
              </w:rPr>
            </w:pPr>
            <w:r>
              <w:rPr>
                <w:rFonts w:ascii="宋体" w:hAnsi="宋体"/>
                <w:snapToGrid w:val="0"/>
                <w:spacing w:val="-20"/>
                <w:kern w:val="0"/>
                <w:lang w:val="en-GB" w:eastAsia="en-US"/>
              </w:rPr>
              <w:t>分部间交易收入</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14,581,187</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49,154</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6,455,225</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2,668,239</w:t>
            </w:r>
          </w:p>
        </w:tc>
        <w:tc>
          <w:tcPr>
            <w:tcW w:w="1260" w:type="dxa"/>
            <w:vAlign w:val="center"/>
          </w:tcPr>
          <w:p>
            <w:pPr>
              <w:widowControl/>
              <w:jc w:val="right"/>
              <w:rPr>
                <w:rFonts w:ascii="宋体" w:hAnsi="宋体" w:cs="Arial"/>
                <w:snapToGrid w:val="0"/>
                <w:spacing w:val="-20"/>
                <w:kern w:val="0"/>
                <w:lang w:val="en-GB" w:eastAsia="en-US"/>
              </w:rPr>
            </w:pP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1,011,175</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12,537,855</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37,302,835</w:t>
            </w:r>
          </w:p>
        </w:tc>
        <w:tc>
          <w:tcPr>
            <w:tcW w:w="1312" w:type="dxa"/>
            <w:vAlign w:val="center"/>
          </w:tcPr>
          <w:p>
            <w:pPr>
              <w:widowControl/>
              <w:jc w:val="right"/>
              <w:rPr>
                <w:rFonts w:ascii="宋体" w:hAnsi="宋体" w:cs="Arial"/>
                <w:snapToGrid w:val="0"/>
                <w:spacing w:val="-20"/>
                <w:kern w:val="0"/>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b/>
                <w:snapToGrid w:val="0"/>
                <w:spacing w:val="-20"/>
                <w:kern w:val="0"/>
                <w:lang w:val="en-GB" w:eastAsia="en-US"/>
              </w:rPr>
            </w:pPr>
            <w:r>
              <w:rPr>
                <w:rFonts w:ascii="宋体" w:hAnsi="宋体"/>
                <w:b/>
                <w:snapToGrid w:val="0"/>
                <w:spacing w:val="-20"/>
                <w:kern w:val="0"/>
                <w:lang w:val="en-GB" w:eastAsia="en-US"/>
              </w:rPr>
              <w:t>营业成本及费用</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95,111,390</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292,274</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34,606,553</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3,538,453</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41,590,769</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845,144</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16,943,629</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30,443,838</w:t>
            </w: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162,484,374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snapToGrid w:val="0"/>
                <w:spacing w:val="-20"/>
                <w:kern w:val="0"/>
                <w:lang w:val="en-GB" w:eastAsia="en-US"/>
              </w:rPr>
            </w:pPr>
            <w:r>
              <w:rPr>
                <w:rFonts w:ascii="宋体" w:hAnsi="宋体"/>
                <w:snapToGrid w:val="0"/>
                <w:spacing w:val="-20"/>
                <w:kern w:val="0"/>
                <w:lang w:val="en-GB" w:eastAsia="en-US"/>
              </w:rPr>
              <w:t>对外销售成本</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59,256,919</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239,336</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23,729,206</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234,879</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41,339,825</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561,788</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4,124,695</w:t>
            </w:r>
          </w:p>
        </w:tc>
        <w:tc>
          <w:tcPr>
            <w:tcW w:w="1245" w:type="dxa"/>
            <w:vAlign w:val="center"/>
          </w:tcPr>
          <w:p>
            <w:pPr>
              <w:widowControl/>
              <w:jc w:val="right"/>
              <w:rPr>
                <w:rFonts w:ascii="宋体" w:hAnsi="宋体" w:cs="Arial"/>
                <w:snapToGrid w:val="0"/>
                <w:spacing w:val="-20"/>
                <w:kern w:val="0"/>
                <w:lang w:val="en-GB" w:eastAsia="en-US"/>
              </w:rPr>
            </w:pP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129,486,648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snapToGrid w:val="0"/>
                <w:spacing w:val="-20"/>
                <w:kern w:val="0"/>
                <w:lang w:val="en-GB" w:eastAsia="en-US"/>
              </w:rPr>
            </w:pPr>
            <w:r>
              <w:rPr>
                <w:rFonts w:ascii="宋体" w:hAnsi="宋体"/>
                <w:snapToGrid w:val="0"/>
                <w:spacing w:val="-20"/>
                <w:kern w:val="0"/>
                <w:lang w:val="en-GB" w:eastAsia="en-US"/>
              </w:rPr>
              <w:t>分部间销售成本</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14,556,292</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49,154</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6,455,225</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2,663,500</w:t>
            </w:r>
          </w:p>
        </w:tc>
        <w:tc>
          <w:tcPr>
            <w:tcW w:w="1260" w:type="dxa"/>
            <w:vAlign w:val="center"/>
          </w:tcPr>
          <w:p>
            <w:pPr>
              <w:widowControl/>
              <w:jc w:val="right"/>
              <w:rPr>
                <w:rFonts w:ascii="宋体" w:hAnsi="宋体" w:cs="Arial"/>
                <w:snapToGrid w:val="0"/>
                <w:spacing w:val="-20"/>
                <w:kern w:val="0"/>
                <w:lang w:val="en-GB" w:eastAsia="en-US"/>
              </w:rPr>
            </w:pP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303,085</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12,463,207</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36,490,463</w:t>
            </w:r>
          </w:p>
        </w:tc>
        <w:tc>
          <w:tcPr>
            <w:tcW w:w="1312" w:type="dxa"/>
            <w:vAlign w:val="center"/>
          </w:tcPr>
          <w:p>
            <w:pPr>
              <w:widowControl/>
              <w:jc w:val="right"/>
              <w:rPr>
                <w:rFonts w:ascii="宋体" w:hAnsi="宋体" w:cs="Arial"/>
                <w:snapToGrid w:val="0"/>
                <w:spacing w:val="-20"/>
                <w:kern w:val="0"/>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snapToGrid w:val="0"/>
                <w:spacing w:val="-20"/>
                <w:kern w:val="0"/>
                <w:lang w:val="en-GB" w:eastAsia="en-US"/>
              </w:rPr>
            </w:pPr>
            <w:r>
              <w:rPr>
                <w:rFonts w:ascii="宋体" w:hAnsi="宋体"/>
                <w:snapToGrid w:val="0"/>
                <w:spacing w:val="-20"/>
                <w:kern w:val="0"/>
                <w:lang w:val="en-GB" w:eastAsia="en-US"/>
              </w:rPr>
              <w:t>期间费用</w:t>
            </w:r>
            <w:r>
              <w:rPr>
                <w:rFonts w:hint="eastAsia" w:ascii="宋体" w:hAnsi="宋体"/>
                <w:snapToGrid w:val="0"/>
                <w:spacing w:val="-20"/>
                <w:kern w:val="0"/>
                <w:lang w:val="en-GB" w:eastAsia="en-US"/>
              </w:rPr>
              <w:t>及减值损失</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21,298,179</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3,784</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4,422,122</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640,074</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250,944</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-19,729</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355,727</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-6,046,625</w:t>
            </w: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32,997,726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b/>
                <w:snapToGrid w:val="0"/>
                <w:spacing w:val="-20"/>
                <w:kern w:val="0"/>
                <w:lang w:val="en-GB" w:eastAsia="en-US"/>
              </w:rPr>
            </w:pPr>
            <w:r>
              <w:rPr>
                <w:rFonts w:ascii="宋体" w:hAnsi="宋体"/>
                <w:b/>
                <w:snapToGrid w:val="0"/>
                <w:spacing w:val="-20"/>
                <w:kern w:val="0"/>
                <w:lang w:val="en-GB" w:eastAsia="en-US"/>
              </w:rPr>
              <w:t>营业利润(亏损)</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65,460,373</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150,320</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1,716,290</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-121,304</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-141,947</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1,587,275</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696,719</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6,858,997</w:t>
            </w: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62,488,729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snapToGrid w:val="0"/>
                <w:spacing w:val="-20"/>
                <w:kern w:val="0"/>
                <w:lang w:val="en-GB" w:eastAsia="en-US"/>
              </w:rPr>
            </w:pPr>
            <w:r>
              <w:rPr>
                <w:rFonts w:ascii="宋体" w:hAnsi="宋体"/>
                <w:snapToGrid w:val="0"/>
                <w:spacing w:val="-20"/>
                <w:kern w:val="0"/>
                <w:lang w:val="en-GB" w:eastAsia="en-US"/>
              </w:rPr>
              <w:t>资产总额</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378,901,724</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766,504</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60,631,402</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4,174,842</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9,997,951</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85,655,097</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42,361,564</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205,013,657</w:t>
            </w: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377,475,427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snapToGrid w:val="0"/>
                <w:spacing w:val="-20"/>
                <w:kern w:val="0"/>
                <w:lang w:val="en-GB" w:eastAsia="en-US"/>
              </w:rPr>
            </w:pPr>
            <w:r>
              <w:rPr>
                <w:rFonts w:ascii="宋体" w:hAnsi="宋体"/>
                <w:snapToGrid w:val="0"/>
                <w:spacing w:val="-20"/>
                <w:kern w:val="0"/>
                <w:lang w:val="en-GB" w:eastAsia="en-US"/>
              </w:rPr>
              <w:t>负债总额</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222,436,107</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479,391</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30,499,193</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2,531,372</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8,681,975</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60,221,164</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23,097,705</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114,382,233</w:t>
            </w: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233,564,674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rPr>
                <w:rFonts w:ascii="宋体" w:hAnsi="宋体"/>
                <w:b/>
                <w:snapToGrid w:val="0"/>
                <w:spacing w:val="-20"/>
                <w:kern w:val="0"/>
                <w:lang w:val="en-GB" w:eastAsia="en-US"/>
              </w:rPr>
            </w:pPr>
            <w:r>
              <w:rPr>
                <w:rFonts w:ascii="宋体" w:hAnsi="宋体"/>
                <w:b/>
                <w:snapToGrid w:val="0"/>
                <w:spacing w:val="-20"/>
                <w:kern w:val="0"/>
                <w:lang w:val="en-GB" w:eastAsia="en-US"/>
              </w:rPr>
              <w:t>补充信息</w:t>
            </w:r>
          </w:p>
        </w:tc>
        <w:tc>
          <w:tcPr>
            <w:tcW w:w="1245" w:type="dxa"/>
            <w:vAlign w:val="center"/>
          </w:tcPr>
          <w:p>
            <w:pPr>
              <w:widowControl/>
              <w:jc w:val="right"/>
              <w:rPr>
                <w:rFonts w:ascii="宋体" w:hAnsi="宋体" w:cs="Arial"/>
                <w:snapToGrid w:val="0"/>
                <w:spacing w:val="-20"/>
                <w:kern w:val="0"/>
                <w:lang w:val="en-GB" w:eastAsia="en-US"/>
              </w:rPr>
            </w:pPr>
          </w:p>
        </w:tc>
        <w:tc>
          <w:tcPr>
            <w:tcW w:w="1097" w:type="dxa"/>
            <w:vAlign w:val="center"/>
          </w:tcPr>
          <w:p>
            <w:pPr>
              <w:widowControl/>
              <w:jc w:val="right"/>
              <w:rPr>
                <w:rFonts w:ascii="宋体" w:hAnsi="宋体" w:cs="Arial"/>
                <w:snapToGrid w:val="0"/>
                <w:spacing w:val="-20"/>
                <w:kern w:val="0"/>
                <w:lang w:val="en-GB" w:eastAsia="en-US"/>
              </w:rPr>
            </w:pPr>
          </w:p>
        </w:tc>
        <w:tc>
          <w:tcPr>
            <w:tcW w:w="1243" w:type="dxa"/>
            <w:vAlign w:val="center"/>
          </w:tcPr>
          <w:p>
            <w:pPr>
              <w:widowControl/>
              <w:jc w:val="right"/>
              <w:rPr>
                <w:rFonts w:ascii="宋体" w:hAnsi="宋体" w:cs="Arial"/>
                <w:snapToGrid w:val="0"/>
                <w:spacing w:val="-20"/>
                <w:kern w:val="0"/>
                <w:lang w:val="en-GB" w:eastAsia="en-US"/>
              </w:rPr>
            </w:pPr>
          </w:p>
        </w:tc>
        <w:tc>
          <w:tcPr>
            <w:tcW w:w="1052" w:type="dxa"/>
            <w:vAlign w:val="center"/>
          </w:tcPr>
          <w:p>
            <w:pPr>
              <w:widowControl/>
              <w:jc w:val="right"/>
              <w:rPr>
                <w:rFonts w:ascii="宋体" w:hAnsi="宋体" w:cs="Arial"/>
                <w:snapToGrid w:val="0"/>
                <w:spacing w:val="-20"/>
                <w:kern w:val="0"/>
                <w:lang w:val="en-GB" w:eastAsia="en-US"/>
              </w:rPr>
            </w:pPr>
          </w:p>
        </w:tc>
        <w:tc>
          <w:tcPr>
            <w:tcW w:w="1260" w:type="dxa"/>
            <w:vAlign w:val="center"/>
          </w:tcPr>
          <w:p>
            <w:pPr>
              <w:widowControl/>
              <w:jc w:val="right"/>
              <w:rPr>
                <w:rFonts w:ascii="宋体" w:hAnsi="宋体" w:cs="Arial"/>
                <w:snapToGrid w:val="0"/>
                <w:spacing w:val="-20"/>
                <w:kern w:val="0"/>
                <w:lang w:val="en-GB" w:eastAsia="en-US"/>
              </w:rPr>
            </w:pPr>
          </w:p>
        </w:tc>
        <w:tc>
          <w:tcPr>
            <w:tcW w:w="1257" w:type="dxa"/>
            <w:vAlign w:val="center"/>
          </w:tcPr>
          <w:p>
            <w:pPr>
              <w:widowControl/>
              <w:jc w:val="right"/>
              <w:rPr>
                <w:rFonts w:ascii="宋体" w:hAnsi="宋体" w:cs="Arial"/>
                <w:snapToGrid w:val="0"/>
                <w:spacing w:val="-20"/>
                <w:kern w:val="0"/>
                <w:lang w:val="en-GB" w:eastAsia="en-US"/>
              </w:rPr>
            </w:pPr>
          </w:p>
        </w:tc>
        <w:tc>
          <w:tcPr>
            <w:tcW w:w="1152" w:type="dxa"/>
            <w:vAlign w:val="center"/>
          </w:tcPr>
          <w:p>
            <w:pPr>
              <w:widowControl/>
              <w:jc w:val="right"/>
              <w:rPr>
                <w:rFonts w:ascii="宋体" w:hAnsi="宋体" w:cs="Arial"/>
                <w:snapToGrid w:val="0"/>
                <w:spacing w:val="-20"/>
                <w:kern w:val="0"/>
                <w:lang w:val="en-GB" w:eastAsia="en-US"/>
              </w:rPr>
            </w:pPr>
          </w:p>
        </w:tc>
        <w:tc>
          <w:tcPr>
            <w:tcW w:w="1245" w:type="dxa"/>
            <w:vAlign w:val="center"/>
          </w:tcPr>
          <w:p>
            <w:pPr>
              <w:widowControl/>
              <w:jc w:val="right"/>
              <w:rPr>
                <w:rFonts w:ascii="宋体" w:hAnsi="宋体" w:cs="Arial"/>
                <w:snapToGrid w:val="0"/>
                <w:spacing w:val="-20"/>
                <w:kern w:val="0"/>
                <w:lang w:val="en-GB" w:eastAsia="en-US"/>
              </w:rPr>
            </w:pPr>
          </w:p>
        </w:tc>
        <w:tc>
          <w:tcPr>
            <w:tcW w:w="1312" w:type="dxa"/>
            <w:vAlign w:val="center"/>
          </w:tcPr>
          <w:p>
            <w:pPr>
              <w:widowControl/>
              <w:jc w:val="right"/>
              <w:rPr>
                <w:rFonts w:ascii="宋体" w:hAnsi="宋体" w:cs="Arial"/>
                <w:snapToGrid w:val="0"/>
                <w:spacing w:val="-20"/>
                <w:kern w:val="0"/>
                <w:lang w:val="en-GB"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ind w:right="-105" w:rightChars="-50"/>
              <w:rPr>
                <w:rFonts w:ascii="宋体" w:hAnsi="宋体"/>
                <w:snapToGrid w:val="0"/>
                <w:spacing w:val="-20"/>
                <w:kern w:val="0"/>
                <w:lang w:val="en-GB" w:eastAsia="en-US"/>
              </w:rPr>
            </w:pPr>
            <w:r>
              <w:rPr>
                <w:rFonts w:ascii="宋体" w:hAnsi="宋体"/>
                <w:snapToGrid w:val="0"/>
                <w:spacing w:val="-20"/>
                <w:kern w:val="0"/>
                <w:lang w:val="en-GB" w:eastAsia="en-US"/>
              </w:rPr>
              <w:t>折旧和摊销费用</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10,864,380</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8,709</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2,453,549</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252,710</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3,557</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17,626</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657,647</w:t>
            </w:r>
          </w:p>
        </w:tc>
        <w:tc>
          <w:tcPr>
            <w:tcW w:w="1245" w:type="dxa"/>
            <w:vAlign w:val="center"/>
          </w:tcPr>
          <w:p>
            <w:pPr>
              <w:widowControl/>
              <w:jc w:val="right"/>
              <w:rPr>
                <w:rFonts w:ascii="宋体" w:hAnsi="宋体" w:cs="Arial"/>
                <w:snapToGrid w:val="0"/>
                <w:spacing w:val="-20"/>
                <w:kern w:val="0"/>
                <w:lang w:val="en-GB" w:eastAsia="en-US"/>
              </w:rPr>
            </w:pP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14,258,178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rPr>
                <w:rFonts w:ascii="宋体" w:hAnsi="宋体"/>
                <w:snapToGrid w:val="0"/>
                <w:spacing w:val="-20"/>
                <w:kern w:val="0"/>
                <w:lang w:val="en-GB"/>
              </w:rPr>
            </w:pPr>
            <w:r>
              <w:rPr>
                <w:rFonts w:ascii="宋体" w:hAnsi="宋体"/>
                <w:snapToGrid w:val="0"/>
                <w:spacing w:val="-20"/>
                <w:kern w:val="0"/>
                <w:lang w:val="en-GB"/>
              </w:rPr>
              <w:t>折旧和摊销以外的非现金费用</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2,334,204</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-193</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-47,117</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-2,088</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140,171</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69,338</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198,032</w:t>
            </w:r>
          </w:p>
        </w:tc>
        <w:tc>
          <w:tcPr>
            <w:tcW w:w="1245" w:type="dxa"/>
            <w:vAlign w:val="center"/>
          </w:tcPr>
          <w:p>
            <w:pPr>
              <w:widowControl/>
              <w:jc w:val="right"/>
              <w:rPr>
                <w:rFonts w:ascii="宋体" w:hAnsi="宋体" w:cs="Arial"/>
                <w:snapToGrid w:val="0"/>
                <w:spacing w:val="-20"/>
                <w:kern w:val="0"/>
                <w:lang w:val="en-GB" w:eastAsia="en-US"/>
              </w:rPr>
            </w:pP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2,692,347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0" w:type="dxa"/>
            <w:vAlign w:val="center"/>
          </w:tcPr>
          <w:p>
            <w:pPr>
              <w:widowControl/>
              <w:rPr>
                <w:rFonts w:ascii="宋体" w:hAnsi="宋体"/>
                <w:snapToGrid w:val="0"/>
                <w:spacing w:val="-20"/>
                <w:kern w:val="0"/>
                <w:lang w:val="en-GB"/>
              </w:rPr>
            </w:pPr>
            <w:r>
              <w:rPr>
                <w:rFonts w:ascii="宋体" w:hAnsi="宋体"/>
                <w:snapToGrid w:val="0"/>
                <w:spacing w:val="-20"/>
                <w:kern w:val="0"/>
                <w:lang w:val="en-GB" w:eastAsia="en-US"/>
              </w:rPr>
              <w:t>资本性支出</w:t>
            </w:r>
          </w:p>
        </w:tc>
        <w:tc>
          <w:tcPr>
            <w:tcW w:w="1245"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11,789,509</w:t>
            </w:r>
          </w:p>
        </w:tc>
        <w:tc>
          <w:tcPr>
            <w:tcW w:w="109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21,221</w:t>
            </w:r>
          </w:p>
        </w:tc>
        <w:tc>
          <w:tcPr>
            <w:tcW w:w="1243"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794,874</w:t>
            </w:r>
          </w:p>
        </w:tc>
        <w:tc>
          <w:tcPr>
            <w:tcW w:w="10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10,153</w:t>
            </w:r>
          </w:p>
        </w:tc>
        <w:tc>
          <w:tcPr>
            <w:tcW w:w="1260"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30,665</w:t>
            </w:r>
          </w:p>
        </w:tc>
        <w:tc>
          <w:tcPr>
            <w:tcW w:w="1257"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6,988,848</w:t>
            </w:r>
          </w:p>
        </w:tc>
        <w:tc>
          <w:tcPr>
            <w:tcW w:w="115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955,859</w:t>
            </w:r>
          </w:p>
        </w:tc>
        <w:tc>
          <w:tcPr>
            <w:tcW w:w="1245" w:type="dxa"/>
            <w:vAlign w:val="center"/>
          </w:tcPr>
          <w:p>
            <w:pPr>
              <w:widowControl/>
              <w:jc w:val="right"/>
              <w:rPr>
                <w:rFonts w:ascii="宋体" w:hAnsi="宋体" w:cs="Arial"/>
                <w:snapToGrid w:val="0"/>
                <w:spacing w:val="-20"/>
                <w:kern w:val="0"/>
                <w:lang w:val="en-GB" w:eastAsia="en-US"/>
              </w:rPr>
            </w:pPr>
          </w:p>
        </w:tc>
        <w:tc>
          <w:tcPr>
            <w:tcW w:w="1312" w:type="dxa"/>
            <w:vAlign w:val="center"/>
          </w:tcPr>
          <w:p>
            <w:pPr>
              <w:widowControl/>
              <w:jc w:val="right"/>
              <w:rPr>
                <w:rFonts w:ascii="宋体" w:hAnsi="宋体" w:cs="Arial"/>
                <w:snapToGrid w:val="0"/>
                <w:spacing w:val="-20"/>
                <w:kern w:val="0"/>
                <w:lang w:val="en-GB" w:eastAsia="en-US"/>
              </w:rPr>
            </w:pPr>
            <w:r>
              <w:rPr>
                <w:rFonts w:ascii="宋体" w:hAnsi="宋体" w:cs="Arial"/>
                <w:snapToGrid w:val="0"/>
                <w:spacing w:val="-20"/>
                <w:kern w:val="0"/>
                <w:lang w:val="en-GB" w:eastAsia="en-US"/>
              </w:rPr>
              <w:t>20,591,129</w:t>
            </w:r>
          </w:p>
        </w:tc>
      </w:tr>
    </w:tbl>
    <w:p>
      <w:pPr>
        <w:pStyle w:val="501"/>
      </w:pPr>
    </w:p>
    <w:p>
      <w:pPr>
        <w:ind w:firstLine="420" w:firstLineChars="200"/>
      </w:pPr>
      <w:r>
        <w:rPr>
          <w:rFonts w:hint="eastAsia"/>
        </w:rPr>
        <w:t>注：非煤炭贸易主要是本集团从事电解铜、石油、钢材等金属和铁矿石等大宗商品的贸易</w:t>
      </w:r>
    </w:p>
    <w:p>
      <w:pPr>
        <w:pStyle w:val="501"/>
      </w:pPr>
    </w:p>
    <w:p>
      <w:pPr>
        <w:pStyle w:val="531"/>
        <w:sectPr>
          <w:pgSz w:w="16838" w:h="11906" w:orient="landscape"/>
          <w:pgMar w:top="1797" w:right="1525" w:bottom="1276" w:left="1440" w:header="856" w:footer="992" w:gutter="0"/>
          <w:cols w:space="425" w:num="1"/>
          <w:docGrid w:type="lines" w:linePitch="312" w:charSpace="0"/>
        </w:sectPr>
      </w:pPr>
    </w:p>
    <w:p>
      <w:pPr>
        <w:pStyle w:val="531"/>
      </w:pPr>
    </w:p>
    <w:p>
      <w:pPr>
        <w:pStyle w:val="505"/>
        <w:numPr>
          <w:ilvl w:val="3"/>
          <w:numId w:val="138"/>
        </w:numPr>
        <w:ind w:left="426" w:hanging="426" w:hangingChars="202"/>
      </w:pPr>
      <w: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1274395071"/>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numPr>
          <w:ilvl w:val="3"/>
          <w:numId w:val="138"/>
        </w:numPr>
        <w:ind w:left="426" w:hanging="426" w:hangingChars="202"/>
      </w:pPr>
      <w:r>
        <w:rPr>
          <w:rFonts w:hint="eastAsia"/>
        </w:rPr>
        <w:t>其他说明</w:t>
      </w:r>
    </w:p>
    <w:sdt>
      <w:sdtPr>
        <w:rPr>
          <w:rFonts w:hint="eastAsia"/>
        </w:rPr>
        <w:alias w:val="是否适用：分部信息的其他说明[双击切换]"/>
        <w:tag w:val="_GBC_a7173613038248df8d31b8ffe91e1e27"/>
        <w:id w:val="-1952319251"/>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135"/>
        </w:numPr>
      </w:pPr>
      <w:r>
        <w:rPr>
          <w:rFonts w:hint="eastAsia" w:ascii="宋体" w:hAnsi="宋体" w:cs="宋体"/>
          <w:bCs w:val="0"/>
          <w:kern w:val="0"/>
          <w:szCs w:val="21"/>
        </w:rPr>
        <w:t>其他对投资者决策有影响的重要交易和事项</w:t>
      </w:r>
    </w:p>
    <w:sdt>
      <w:sdtPr>
        <w:rPr>
          <w:rFonts w:hint="eastAsia"/>
        </w:rPr>
        <w:alias w:val="是否适用：其他对投资者决策有影响的重要交易和事项[双击切换]"/>
        <w:tag w:val="_GBC_fb50fde0c1774b5b8ae2688488649ea7"/>
        <w:id w:val="329637339"/>
        <w:placeholder>
          <w:docPart w:val="GBC22222222222222222222222222222"/>
        </w:placeholder>
      </w:sdtPr>
      <w:sdtEndPr>
        <w:rPr>
          <w:rFonts w:hint="eastAsia"/>
        </w:rPr>
      </w:sdtEndPr>
      <w:sdtContent>
        <w:p>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对投资者决策有影响的重要交易和事项"/>
        <w:tag w:val="_GBC_69eeed05491b4fe9ac2195bc1f33422c"/>
        <w:id w:val="2057497052"/>
        <w:placeholder>
          <w:docPart w:val="GBC22222222222222222222222222222"/>
        </w:placeholder>
      </w:sdtPr>
      <w:sdtContent>
        <w:p>
          <w:pPr>
            <w:widowControl/>
            <w:spacing w:before="156" w:beforeLines="50" w:after="156" w:afterLines="50" w:line="360" w:lineRule="exact"/>
            <w:ind w:firstLine="420" w:firstLineChars="200"/>
            <w:rPr>
              <w:rFonts w:ascii="宋体" w:hAnsi="宋体"/>
              <w:b/>
              <w:bCs/>
              <w:snapToGrid w:val="0"/>
              <w:kern w:val="0"/>
              <w:lang w:val="en-GB"/>
            </w:rPr>
          </w:pPr>
          <w:r>
            <w:t>1</w:t>
          </w:r>
          <w:r>
            <w:rPr>
              <w:rFonts w:hint="eastAsia"/>
            </w:rPr>
            <w:t>、</w:t>
          </w:r>
          <w:r>
            <w:rPr>
              <w:rFonts w:hint="eastAsia" w:ascii="宋体" w:hAnsi="宋体"/>
              <w:b/>
              <w:bCs/>
              <w:snapToGrid w:val="0"/>
              <w:kern w:val="0"/>
              <w:lang w:val="en-GB"/>
            </w:rPr>
            <w:t>本年度重大收购事项——复兴项目</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（1）交易情况</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1）基本情况</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2023年4月28日，本公司与新汶矿业集团有限责任公司、龙口矿业集团有限公司、淄博矿业集团有限责任公司、肥城肥矿煤业有限公司、临沂矿业集团有限责任公司签订《关于山东能源集团鲁西矿业有限公司之股权转让协议》，本公司以现金约人民币183.19亿元收购山东能源集团鲁西矿业有限公司51%股权。</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2023年4月28日，本公司与新汶矿业集团有限责任公司、山东能源集团有限公司签订《关于兖矿新疆能化有限公司之股权转让协议》，本公司以现金约人民币81.12亿元收购兖矿新疆能化有限公司51%股权。</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2）交易作价</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标的股权及资产交易价款构成具体如下：</w:t>
          </w:r>
        </w:p>
        <w:tbl>
          <w:tblPr>
            <w:tblStyle w:val="964"/>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4598"/>
            <w:gridCol w:w="295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6" w:type="pct"/>
                <w:shd w:val="clear" w:color="auto" w:fill="auto"/>
                <w:noWrap/>
                <w:vAlign w:val="center"/>
              </w:tcPr>
              <w:p>
                <w:pPr>
                  <w:widowControl/>
                  <w:jc w:val="center"/>
                  <w:rPr>
                    <w:rFonts w:ascii="宋体" w:hAnsi="宋体"/>
                    <w:b/>
                    <w:snapToGrid w:val="0"/>
                    <w:kern w:val="0"/>
                    <w:lang w:val="en-GB" w:eastAsia="en-US"/>
                  </w:rPr>
                </w:pPr>
                <w:r>
                  <w:rPr>
                    <w:rFonts w:hint="eastAsia" w:ascii="宋体" w:hAnsi="宋体"/>
                    <w:b/>
                    <w:snapToGrid w:val="0"/>
                    <w:kern w:val="0"/>
                    <w:lang w:val="en-GB" w:eastAsia="en-US"/>
                  </w:rPr>
                  <w:t>序号</w:t>
                </w:r>
              </w:p>
            </w:tc>
            <w:tc>
              <w:tcPr>
                <w:tcW w:w="2603" w:type="pct"/>
                <w:shd w:val="clear" w:color="auto" w:fill="auto"/>
                <w:noWrap/>
                <w:vAlign w:val="center"/>
              </w:tcPr>
              <w:p>
                <w:pPr>
                  <w:widowControl/>
                  <w:jc w:val="center"/>
                  <w:rPr>
                    <w:rFonts w:ascii="宋体" w:hAnsi="宋体"/>
                    <w:b/>
                    <w:snapToGrid w:val="0"/>
                    <w:kern w:val="0"/>
                    <w:lang w:val="en-GB" w:eastAsia="en-US"/>
                  </w:rPr>
                </w:pPr>
                <w:r>
                  <w:rPr>
                    <w:rFonts w:hint="eastAsia" w:ascii="宋体" w:hAnsi="宋体"/>
                    <w:b/>
                    <w:snapToGrid w:val="0"/>
                    <w:kern w:val="0"/>
                    <w:lang w:val="en-GB" w:eastAsia="en-US"/>
                  </w:rPr>
                  <w:t>标的股权及资产</w:t>
                </w:r>
              </w:p>
            </w:tc>
            <w:tc>
              <w:tcPr>
                <w:tcW w:w="1671" w:type="pct"/>
                <w:shd w:val="clear" w:color="auto" w:fill="auto"/>
                <w:noWrap/>
                <w:vAlign w:val="center"/>
              </w:tcPr>
              <w:p>
                <w:pPr>
                  <w:widowControl/>
                  <w:jc w:val="center"/>
                  <w:rPr>
                    <w:rFonts w:ascii="宋体" w:hAnsi="宋体"/>
                    <w:b/>
                    <w:snapToGrid w:val="0"/>
                    <w:kern w:val="0"/>
                    <w:lang w:val="en-GB" w:eastAsia="en-US"/>
                  </w:rPr>
                </w:pPr>
                <w:r>
                  <w:rPr>
                    <w:rFonts w:hint="eastAsia" w:ascii="宋体" w:hAnsi="宋体"/>
                    <w:b/>
                    <w:snapToGrid w:val="0"/>
                    <w:kern w:val="0"/>
                    <w:lang w:val="en-GB" w:eastAsia="en-US"/>
                  </w:rPr>
                  <w:t>交易价款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6" w:type="pct"/>
                <w:shd w:val="clear" w:color="auto" w:fill="auto"/>
                <w:noWrap/>
                <w:vAlign w:val="center"/>
              </w:tcPr>
              <w:p>
                <w:pPr>
                  <w:widowControl/>
                  <w:jc w:val="center"/>
                  <w:rPr>
                    <w:rFonts w:ascii="宋体" w:hAnsi="宋体"/>
                    <w:snapToGrid w:val="0"/>
                    <w:kern w:val="0"/>
                    <w:lang w:val="en-GB" w:eastAsia="en-US"/>
                  </w:rPr>
                </w:pPr>
                <w:r>
                  <w:rPr>
                    <w:rFonts w:ascii="宋体" w:hAnsi="宋体"/>
                    <w:snapToGrid w:val="0"/>
                    <w:kern w:val="0"/>
                    <w:lang w:val="en-GB" w:eastAsia="en-US"/>
                  </w:rPr>
                  <w:t>1</w:t>
                </w:r>
              </w:p>
            </w:tc>
            <w:tc>
              <w:tcPr>
                <w:tcW w:w="2603" w:type="pct"/>
                <w:shd w:val="clear" w:color="auto" w:fill="auto"/>
                <w:noWrap/>
                <w:vAlign w:val="center"/>
              </w:tcPr>
              <w:p>
                <w:pPr>
                  <w:widowControl/>
                  <w:jc w:val="left"/>
                  <w:rPr>
                    <w:rFonts w:ascii="宋体" w:hAnsi="宋体"/>
                    <w:snapToGrid w:val="0"/>
                    <w:kern w:val="0"/>
                    <w:lang w:val="en-GB" w:eastAsia="en-US"/>
                  </w:rPr>
                </w:pPr>
                <w:r>
                  <w:rPr>
                    <w:rFonts w:hint="eastAsia" w:ascii="宋体" w:hAnsi="宋体"/>
                    <w:snapToGrid w:val="0"/>
                    <w:kern w:val="0"/>
                    <w:lang w:val="en-GB"/>
                  </w:rPr>
                  <w:t>鲁西矿业</w:t>
                </w:r>
                <w:r>
                  <w:rPr>
                    <w:rFonts w:ascii="宋体" w:hAnsi="宋体"/>
                    <w:snapToGrid w:val="0"/>
                    <w:kern w:val="0"/>
                    <w:lang w:val="en-GB" w:eastAsia="en-US"/>
                  </w:rPr>
                  <w:t>51%股权</w:t>
                </w:r>
              </w:p>
            </w:tc>
            <w:tc>
              <w:tcPr>
                <w:tcW w:w="1671" w:type="pct"/>
                <w:shd w:val="clear" w:color="auto" w:fill="auto"/>
                <w:noWrap/>
                <w:vAlign w:val="center"/>
              </w:tcPr>
              <w:p>
                <w:pPr>
                  <w:widowControl/>
                  <w:jc w:val="right"/>
                  <w:rPr>
                    <w:rFonts w:ascii="宋体" w:hAnsi="宋体"/>
                    <w:snapToGrid w:val="0"/>
                    <w:kern w:val="0"/>
                    <w:lang w:val="en-GB" w:eastAsia="en-US"/>
                  </w:rPr>
                </w:pPr>
                <w:r>
                  <w:rPr>
                    <w:rFonts w:ascii="宋体" w:hAnsi="宋体"/>
                    <w:snapToGrid w:val="0"/>
                    <w:kern w:val="0"/>
                    <w:lang w:val="en-GB" w:eastAsia="en-US"/>
                  </w:rPr>
                  <w:t>18,319,379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6" w:type="pct"/>
                <w:shd w:val="clear" w:color="auto" w:fill="auto"/>
                <w:noWrap/>
                <w:vAlign w:val="center"/>
              </w:tcPr>
              <w:p>
                <w:pPr>
                  <w:widowControl/>
                  <w:jc w:val="center"/>
                  <w:rPr>
                    <w:rFonts w:ascii="宋体" w:hAnsi="宋体"/>
                    <w:snapToGrid w:val="0"/>
                    <w:kern w:val="0"/>
                    <w:lang w:val="en-GB" w:eastAsia="en-US"/>
                  </w:rPr>
                </w:pPr>
                <w:r>
                  <w:rPr>
                    <w:rFonts w:ascii="宋体" w:hAnsi="宋体"/>
                    <w:snapToGrid w:val="0"/>
                    <w:kern w:val="0"/>
                    <w:lang w:val="en-GB" w:eastAsia="en-US"/>
                  </w:rPr>
                  <w:t>2</w:t>
                </w:r>
              </w:p>
            </w:tc>
            <w:tc>
              <w:tcPr>
                <w:tcW w:w="2603" w:type="pct"/>
                <w:shd w:val="clear" w:color="auto" w:fill="auto"/>
                <w:noWrap/>
                <w:vAlign w:val="center"/>
              </w:tcPr>
              <w:p>
                <w:pPr>
                  <w:widowControl/>
                  <w:jc w:val="left"/>
                  <w:rPr>
                    <w:rFonts w:ascii="宋体" w:hAnsi="宋体"/>
                    <w:snapToGrid w:val="0"/>
                    <w:kern w:val="0"/>
                    <w:lang w:val="en-GB" w:eastAsia="en-US"/>
                  </w:rPr>
                </w:pPr>
                <w:r>
                  <w:rPr>
                    <w:rFonts w:hint="eastAsia" w:ascii="宋体" w:hAnsi="宋体"/>
                    <w:snapToGrid w:val="0"/>
                    <w:kern w:val="0"/>
                    <w:lang w:val="en-GB"/>
                  </w:rPr>
                  <w:t>新疆能化</w:t>
                </w:r>
                <w:r>
                  <w:rPr>
                    <w:rFonts w:ascii="宋体" w:hAnsi="宋体"/>
                    <w:snapToGrid w:val="0"/>
                    <w:kern w:val="0"/>
                    <w:lang w:val="en-GB" w:eastAsia="en-US"/>
                  </w:rPr>
                  <w:t>51%股权</w:t>
                </w:r>
              </w:p>
            </w:tc>
            <w:tc>
              <w:tcPr>
                <w:tcW w:w="1671" w:type="pct"/>
                <w:shd w:val="clear" w:color="auto" w:fill="auto"/>
                <w:noWrap/>
                <w:vAlign w:val="center"/>
              </w:tcPr>
              <w:p>
                <w:pPr>
                  <w:widowControl/>
                  <w:jc w:val="right"/>
                  <w:rPr>
                    <w:rFonts w:ascii="宋体" w:hAnsi="宋体"/>
                    <w:snapToGrid w:val="0"/>
                    <w:kern w:val="0"/>
                    <w:lang w:val="en-GB" w:eastAsia="en-US"/>
                  </w:rPr>
                </w:pPr>
                <w:r>
                  <w:rPr>
                    <w:rFonts w:ascii="宋体" w:hAnsi="宋体"/>
                    <w:snapToGrid w:val="0"/>
                    <w:kern w:val="0"/>
                    <w:lang w:val="en-GB" w:eastAsia="en-US"/>
                  </w:rPr>
                  <w:t>8,111,852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6" w:type="pct"/>
                <w:shd w:val="clear" w:color="auto" w:fill="auto"/>
                <w:noWrap/>
                <w:vAlign w:val="center"/>
              </w:tcPr>
              <w:p>
                <w:pPr>
                  <w:widowControl/>
                  <w:jc w:val="center"/>
                  <w:rPr>
                    <w:rFonts w:ascii="宋体" w:hAnsi="宋体"/>
                    <w:b/>
                    <w:snapToGrid w:val="0"/>
                    <w:kern w:val="0"/>
                    <w:lang w:val="en-GB" w:eastAsia="en-US"/>
                  </w:rPr>
                </w:pPr>
                <w:r>
                  <w:rPr>
                    <w:rFonts w:hint="eastAsia" w:ascii="宋体" w:hAnsi="宋体"/>
                    <w:b/>
                    <w:snapToGrid w:val="0"/>
                    <w:kern w:val="0"/>
                    <w:lang w:val="en-GB" w:eastAsia="en-US"/>
                  </w:rPr>
                  <w:t>合计</w:t>
                </w:r>
              </w:p>
            </w:tc>
            <w:tc>
              <w:tcPr>
                <w:tcW w:w="2603" w:type="pct"/>
                <w:shd w:val="clear" w:color="auto" w:fill="auto"/>
                <w:noWrap/>
                <w:vAlign w:val="center"/>
              </w:tcPr>
              <w:p>
                <w:pPr>
                  <w:widowControl/>
                  <w:jc w:val="center"/>
                  <w:rPr>
                    <w:rFonts w:ascii="宋体" w:hAnsi="宋体"/>
                    <w:b/>
                    <w:snapToGrid w:val="0"/>
                    <w:kern w:val="0"/>
                    <w:lang w:val="en-GB" w:eastAsia="en-US"/>
                  </w:rPr>
                </w:pPr>
                <w:r>
                  <w:rPr>
                    <w:rFonts w:hint="eastAsia" w:ascii="宋体" w:hAnsi="宋体"/>
                    <w:b/>
                    <w:snapToGrid w:val="0"/>
                    <w:kern w:val="0"/>
                    <w:lang w:val="en-GB"/>
                  </w:rPr>
                  <w:t>—</w:t>
                </w:r>
              </w:p>
            </w:tc>
            <w:tc>
              <w:tcPr>
                <w:tcW w:w="1671" w:type="pct"/>
                <w:shd w:val="clear" w:color="auto" w:fill="auto"/>
                <w:noWrap/>
                <w:vAlign w:val="center"/>
              </w:tcPr>
              <w:p>
                <w:pPr>
                  <w:widowControl/>
                  <w:jc w:val="right"/>
                  <w:rPr>
                    <w:rFonts w:ascii="宋体" w:hAnsi="宋体"/>
                    <w:b/>
                    <w:snapToGrid w:val="0"/>
                    <w:kern w:val="0"/>
                    <w:lang w:val="en-GB" w:eastAsia="en-US"/>
                  </w:rPr>
                </w:pPr>
                <w:r>
                  <w:rPr>
                    <w:rFonts w:ascii="宋体" w:hAnsi="宋体"/>
                    <w:b/>
                    <w:snapToGrid w:val="0"/>
                    <w:kern w:val="0"/>
                    <w:lang w:val="en-GB" w:eastAsia="en-US"/>
                  </w:rPr>
                  <w:t>26,431,231</w:t>
                </w:r>
              </w:p>
            </w:tc>
          </w:tr>
        </w:tbl>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交易作价评估基准日为20</w:t>
          </w:r>
          <w:r>
            <w:rPr>
              <w:rFonts w:ascii="宋体" w:hAnsi="宋体"/>
              <w:snapToGrid w:val="0"/>
              <w:kern w:val="0"/>
              <w:lang w:val="en-GB"/>
            </w:rPr>
            <w:t>22</w:t>
          </w:r>
          <w:r>
            <w:rPr>
              <w:rFonts w:hint="eastAsia" w:ascii="宋体" w:hAnsi="宋体"/>
              <w:snapToGrid w:val="0"/>
              <w:kern w:val="0"/>
              <w:lang w:val="en-GB"/>
            </w:rPr>
            <w:t>年</w:t>
          </w:r>
          <w:r>
            <w:rPr>
              <w:rFonts w:ascii="宋体" w:hAnsi="宋体"/>
              <w:snapToGrid w:val="0"/>
              <w:kern w:val="0"/>
              <w:lang w:val="en-GB"/>
            </w:rPr>
            <w:t>12</w:t>
          </w:r>
          <w:r>
            <w:rPr>
              <w:rFonts w:hint="eastAsia" w:ascii="宋体" w:hAnsi="宋体"/>
              <w:snapToGrid w:val="0"/>
              <w:kern w:val="0"/>
              <w:lang w:val="en-GB"/>
            </w:rPr>
            <w:t>月3</w:t>
          </w:r>
          <w:r>
            <w:rPr>
              <w:rFonts w:ascii="宋体" w:hAnsi="宋体"/>
              <w:snapToGrid w:val="0"/>
              <w:kern w:val="0"/>
              <w:lang w:val="en-GB"/>
            </w:rPr>
            <w:t>1</w:t>
          </w:r>
          <w:r>
            <w:rPr>
              <w:rFonts w:hint="eastAsia" w:ascii="宋体" w:hAnsi="宋体"/>
              <w:snapToGrid w:val="0"/>
              <w:kern w:val="0"/>
              <w:lang w:val="en-GB"/>
            </w:rPr>
            <w:t>日，</w:t>
          </w:r>
          <w:r>
            <w:rPr>
              <w:rFonts w:hint="eastAsia" w:ascii="宋体" w:hAnsi="宋体"/>
              <w:snapToGrid w:val="0"/>
              <w:kern w:val="0"/>
            </w:rPr>
            <w:t>鲁西矿业</w:t>
          </w:r>
          <w:r>
            <w:rPr>
              <w:rFonts w:hint="eastAsia" w:ascii="宋体" w:hAnsi="宋体"/>
              <w:snapToGrid w:val="0"/>
              <w:kern w:val="0"/>
              <w:lang w:val="en-GB"/>
            </w:rPr>
            <w:t>作价依据为山东中评恒信资产评估有限公司出具的《兖矿能源集团股份有限公司拟收购山东能源集团鲁西矿业有限公司股权项目涉及之山东能源集团鲁西矿业有限公司股东全部权益价值资产评估报告》（中恒鲁评报字(2023)第028号）；</w:t>
          </w:r>
          <w:r>
            <w:rPr>
              <w:rFonts w:hint="eastAsia" w:ascii="宋体" w:hAnsi="宋体"/>
              <w:snapToGrid w:val="0"/>
              <w:kern w:val="0"/>
            </w:rPr>
            <w:t>新疆能化</w:t>
          </w:r>
          <w:r>
            <w:rPr>
              <w:rFonts w:hint="eastAsia" w:ascii="宋体" w:hAnsi="宋体"/>
              <w:snapToGrid w:val="0"/>
              <w:kern w:val="0"/>
              <w:lang w:val="en-GB"/>
            </w:rPr>
            <w:t>作价依据为山东中评恒信资产评估有限公司出具的《兖矿能源集团股份有限公司拟收购兖矿新疆能化有限公司股权项目涉及之兖矿新疆能化有限公司股东全部权益价值资产评估报告》（中恒鲁评报字(2023)第02</w:t>
          </w:r>
          <w:r>
            <w:rPr>
              <w:rFonts w:ascii="宋体" w:hAnsi="宋体"/>
              <w:snapToGrid w:val="0"/>
              <w:kern w:val="0"/>
              <w:lang w:val="en-GB"/>
            </w:rPr>
            <w:t>7</w:t>
          </w:r>
          <w:r>
            <w:rPr>
              <w:rFonts w:hint="eastAsia" w:ascii="宋体" w:hAnsi="宋体"/>
              <w:snapToGrid w:val="0"/>
              <w:kern w:val="0"/>
              <w:lang w:val="en-GB"/>
            </w:rPr>
            <w:t>号）。</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3）交易价款支付</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rPr>
            <w:t>①</w:t>
          </w:r>
          <w:r>
            <w:rPr>
              <w:rFonts w:hint="eastAsia" w:ascii="宋体" w:hAnsi="宋体"/>
              <w:snapToGrid w:val="0"/>
              <w:kern w:val="0"/>
              <w:lang w:val="en-GB"/>
            </w:rPr>
            <w:t>根据《关于山东能源集团鲁西矿业有限公司之股权转让协议》，公司按照如下方式支付鲁西矿业股权及资产的交易价款：</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1.本公司</w:t>
          </w:r>
          <w:r>
            <w:rPr>
              <w:rFonts w:hint="eastAsia" w:ascii="宋体" w:hAnsi="宋体"/>
              <w:snapToGrid w:val="0"/>
              <w:kern w:val="0"/>
            </w:rPr>
            <w:t>应</w:t>
          </w:r>
          <w:r>
            <w:rPr>
              <w:rFonts w:hint="eastAsia" w:ascii="宋体" w:hAnsi="宋体"/>
              <w:snapToGrid w:val="0"/>
              <w:kern w:val="0"/>
              <w:lang w:val="en-GB"/>
            </w:rPr>
            <w:t>于协议生效后五个工作日内一次性向转让方支付交易价款的</w:t>
          </w:r>
          <w:r>
            <w:rPr>
              <w:rFonts w:ascii="宋体" w:hAnsi="宋体"/>
              <w:snapToGrid w:val="0"/>
              <w:kern w:val="0"/>
              <w:lang w:val="en-GB"/>
            </w:rPr>
            <w:t>3</w:t>
          </w:r>
          <w:r>
            <w:rPr>
              <w:rFonts w:hint="eastAsia" w:ascii="宋体" w:hAnsi="宋体"/>
              <w:snapToGrid w:val="0"/>
              <w:kern w:val="0"/>
              <w:lang w:val="en-GB"/>
            </w:rPr>
            <w:t>0%</w:t>
          </w:r>
          <w:r>
            <w:rPr>
              <w:rFonts w:hint="eastAsia" w:ascii="宋体" w:hAnsi="宋体"/>
              <w:snapToGrid w:val="0"/>
              <w:kern w:val="0"/>
            </w:rPr>
            <w:t>共计</w:t>
          </w:r>
          <w:r>
            <w:rPr>
              <w:rFonts w:ascii="宋体" w:hAnsi="宋体"/>
              <w:snapToGrid w:val="0"/>
              <w:kern w:val="0"/>
              <w:lang w:val="en-GB"/>
            </w:rPr>
            <w:t>549,581.37</w:t>
          </w:r>
          <w:r>
            <w:rPr>
              <w:rFonts w:hint="eastAsia" w:ascii="宋体" w:hAnsi="宋体"/>
              <w:snapToGrid w:val="0"/>
              <w:kern w:val="0"/>
              <w:lang w:val="en-GB"/>
            </w:rPr>
            <w:t>万元，</w:t>
          </w:r>
          <w:r>
            <w:rPr>
              <w:rFonts w:hint="eastAsia" w:ascii="宋体" w:hAnsi="宋体"/>
              <w:snapToGrid w:val="0"/>
              <w:kern w:val="0"/>
            </w:rPr>
            <w:t>其中</w:t>
          </w:r>
          <w:r>
            <w:rPr>
              <w:rFonts w:hint="eastAsia" w:ascii="宋体" w:hAnsi="宋体"/>
              <w:snapToGrid w:val="0"/>
              <w:kern w:val="0"/>
              <w:lang w:val="en-GB"/>
            </w:rPr>
            <w:t>新矿集团</w:t>
          </w:r>
          <w:r>
            <w:rPr>
              <w:rFonts w:ascii="宋体" w:hAnsi="宋体"/>
              <w:snapToGrid w:val="0"/>
              <w:kern w:val="0"/>
              <w:lang w:val="en-GB"/>
            </w:rPr>
            <w:t>140,197.13</w:t>
          </w:r>
          <w:r>
            <w:rPr>
              <w:rFonts w:hint="eastAsia" w:ascii="宋体" w:hAnsi="宋体"/>
              <w:snapToGrid w:val="0"/>
              <w:kern w:val="0"/>
              <w:lang w:val="en-GB"/>
            </w:rPr>
            <w:t>万元、龙矿集团</w:t>
          </w:r>
          <w:r>
            <w:rPr>
              <w:rFonts w:ascii="宋体" w:hAnsi="宋体"/>
              <w:snapToGrid w:val="0"/>
              <w:kern w:val="0"/>
              <w:lang w:val="en-GB"/>
            </w:rPr>
            <w:t>171,663.36</w:t>
          </w:r>
          <w:r>
            <w:rPr>
              <w:rFonts w:hint="eastAsia" w:ascii="宋体" w:hAnsi="宋体"/>
              <w:snapToGrid w:val="0"/>
              <w:kern w:val="0"/>
              <w:lang w:val="en-GB"/>
            </w:rPr>
            <w:t>万元、淄矿集团</w:t>
          </w:r>
          <w:r>
            <w:rPr>
              <w:rFonts w:ascii="宋体" w:hAnsi="宋体"/>
              <w:snapToGrid w:val="0"/>
              <w:kern w:val="0"/>
              <w:lang w:val="en-GB"/>
            </w:rPr>
            <w:t>107,761.05</w:t>
          </w:r>
          <w:r>
            <w:rPr>
              <w:rFonts w:hint="eastAsia" w:ascii="宋体" w:hAnsi="宋体"/>
              <w:snapToGrid w:val="0"/>
              <w:kern w:val="0"/>
              <w:lang w:val="en-GB"/>
            </w:rPr>
            <w:t>万元、肥城煤业</w:t>
          </w:r>
          <w:r>
            <w:rPr>
              <w:rFonts w:ascii="宋体" w:hAnsi="宋体"/>
              <w:snapToGrid w:val="0"/>
              <w:kern w:val="0"/>
              <w:lang w:val="en-GB"/>
            </w:rPr>
            <w:t>29,095.48</w:t>
          </w:r>
          <w:r>
            <w:rPr>
              <w:rFonts w:hint="eastAsia" w:ascii="宋体" w:hAnsi="宋体"/>
              <w:snapToGrid w:val="0"/>
              <w:kern w:val="0"/>
              <w:lang w:val="en-GB"/>
            </w:rPr>
            <w:t>万元、临矿集团</w:t>
          </w:r>
          <w:r>
            <w:rPr>
              <w:rFonts w:ascii="宋体" w:hAnsi="宋体"/>
              <w:snapToGrid w:val="0"/>
              <w:kern w:val="0"/>
              <w:lang w:val="en-GB"/>
            </w:rPr>
            <w:t>100,864.35</w:t>
          </w:r>
          <w:r>
            <w:rPr>
              <w:rFonts w:hint="eastAsia" w:ascii="宋体" w:hAnsi="宋体"/>
              <w:snapToGrid w:val="0"/>
              <w:kern w:val="0"/>
              <w:lang w:val="en-GB"/>
            </w:rPr>
            <w:t>万元；</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2.本公司</w:t>
          </w:r>
          <w:r>
            <w:rPr>
              <w:rFonts w:hint="eastAsia" w:ascii="宋体" w:hAnsi="宋体"/>
              <w:snapToGrid w:val="0"/>
              <w:kern w:val="0"/>
            </w:rPr>
            <w:t>应</w:t>
          </w:r>
          <w:r>
            <w:rPr>
              <w:rFonts w:hint="eastAsia" w:ascii="宋体" w:hAnsi="宋体"/>
              <w:snapToGrid w:val="0"/>
              <w:kern w:val="0"/>
              <w:lang w:val="en-GB"/>
            </w:rPr>
            <w:t>于交割日和2023年7月31日两者孰晚之日起5个工作日内一次性向转让方支付转让价款的30%</w:t>
          </w:r>
          <w:r>
            <w:rPr>
              <w:rFonts w:hint="eastAsia" w:ascii="宋体" w:hAnsi="宋体"/>
              <w:snapToGrid w:val="0"/>
              <w:kern w:val="0"/>
            </w:rPr>
            <w:t>共计</w:t>
          </w:r>
          <w:r>
            <w:rPr>
              <w:rFonts w:ascii="宋体" w:hAnsi="宋体"/>
              <w:snapToGrid w:val="0"/>
              <w:kern w:val="0"/>
              <w:lang w:val="en-GB"/>
            </w:rPr>
            <w:t>549,581.37</w:t>
          </w:r>
          <w:r>
            <w:rPr>
              <w:rFonts w:hint="eastAsia" w:ascii="宋体" w:hAnsi="宋体"/>
              <w:snapToGrid w:val="0"/>
              <w:kern w:val="0"/>
              <w:lang w:val="en-GB"/>
            </w:rPr>
            <w:t>万元，</w:t>
          </w:r>
          <w:r>
            <w:rPr>
              <w:rFonts w:hint="eastAsia" w:ascii="宋体" w:hAnsi="宋体"/>
              <w:snapToGrid w:val="0"/>
              <w:kern w:val="0"/>
            </w:rPr>
            <w:t>其中</w:t>
          </w:r>
          <w:r>
            <w:rPr>
              <w:rFonts w:hint="eastAsia" w:ascii="宋体" w:hAnsi="宋体"/>
              <w:snapToGrid w:val="0"/>
              <w:kern w:val="0"/>
              <w:lang w:val="en-GB"/>
            </w:rPr>
            <w:t>新矿集团</w:t>
          </w:r>
          <w:r>
            <w:rPr>
              <w:rFonts w:ascii="宋体" w:hAnsi="宋体"/>
              <w:snapToGrid w:val="0"/>
              <w:kern w:val="0"/>
              <w:lang w:val="en-GB"/>
            </w:rPr>
            <w:t>140,197.13</w:t>
          </w:r>
          <w:r>
            <w:rPr>
              <w:rFonts w:hint="eastAsia" w:ascii="宋体" w:hAnsi="宋体"/>
              <w:snapToGrid w:val="0"/>
              <w:kern w:val="0"/>
              <w:lang w:val="en-GB"/>
            </w:rPr>
            <w:t>万元、龙矿集团</w:t>
          </w:r>
          <w:r>
            <w:rPr>
              <w:rFonts w:ascii="宋体" w:hAnsi="宋体"/>
              <w:snapToGrid w:val="0"/>
              <w:kern w:val="0"/>
              <w:lang w:val="en-GB"/>
            </w:rPr>
            <w:t>171,663.36</w:t>
          </w:r>
          <w:r>
            <w:rPr>
              <w:rFonts w:hint="eastAsia" w:ascii="宋体" w:hAnsi="宋体"/>
              <w:snapToGrid w:val="0"/>
              <w:kern w:val="0"/>
              <w:lang w:val="en-GB"/>
            </w:rPr>
            <w:t>万元、淄矿集团</w:t>
          </w:r>
          <w:r>
            <w:rPr>
              <w:rFonts w:ascii="宋体" w:hAnsi="宋体"/>
              <w:snapToGrid w:val="0"/>
              <w:kern w:val="0"/>
              <w:lang w:val="en-GB"/>
            </w:rPr>
            <w:t>107,761.05</w:t>
          </w:r>
          <w:r>
            <w:rPr>
              <w:rFonts w:hint="eastAsia" w:ascii="宋体" w:hAnsi="宋体"/>
              <w:snapToGrid w:val="0"/>
              <w:kern w:val="0"/>
              <w:lang w:val="en-GB"/>
            </w:rPr>
            <w:t>万元、肥城煤业</w:t>
          </w:r>
          <w:r>
            <w:rPr>
              <w:rFonts w:ascii="宋体" w:hAnsi="宋体"/>
              <w:snapToGrid w:val="0"/>
              <w:kern w:val="0"/>
              <w:lang w:val="en-GB"/>
            </w:rPr>
            <w:t>29,095.48</w:t>
          </w:r>
          <w:r>
            <w:rPr>
              <w:rFonts w:hint="eastAsia" w:ascii="宋体" w:hAnsi="宋体"/>
              <w:snapToGrid w:val="0"/>
              <w:kern w:val="0"/>
              <w:lang w:val="en-GB"/>
            </w:rPr>
            <w:t>万元、临矿集团</w:t>
          </w:r>
          <w:r>
            <w:rPr>
              <w:rFonts w:ascii="宋体" w:hAnsi="宋体"/>
              <w:snapToGrid w:val="0"/>
              <w:kern w:val="0"/>
              <w:lang w:val="en-GB"/>
            </w:rPr>
            <w:t>100,864.35</w:t>
          </w:r>
          <w:r>
            <w:rPr>
              <w:rFonts w:hint="eastAsia" w:ascii="宋体" w:hAnsi="宋体"/>
              <w:snapToGrid w:val="0"/>
              <w:kern w:val="0"/>
              <w:lang w:val="en-GB"/>
            </w:rPr>
            <w:t>万元，</w:t>
          </w:r>
          <w:r>
            <w:rPr>
              <w:rFonts w:hint="eastAsia" w:ascii="宋体" w:hAnsi="宋体"/>
              <w:snapToGrid w:val="0"/>
              <w:kern w:val="0"/>
            </w:rPr>
            <w:t>并支付</w:t>
          </w:r>
          <w:r>
            <w:rPr>
              <w:rFonts w:hint="eastAsia" w:ascii="宋体" w:hAnsi="宋体"/>
              <w:snapToGrid w:val="0"/>
              <w:kern w:val="0"/>
              <w:lang w:val="en-GB"/>
            </w:rPr>
            <w:t>对应利息；</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3.本公司</w:t>
          </w:r>
          <w:r>
            <w:rPr>
              <w:rFonts w:hint="eastAsia" w:ascii="宋体" w:hAnsi="宋体"/>
              <w:snapToGrid w:val="0"/>
              <w:kern w:val="0"/>
            </w:rPr>
            <w:t>应</w:t>
          </w:r>
          <w:r>
            <w:rPr>
              <w:rFonts w:hint="eastAsia" w:ascii="宋体" w:hAnsi="宋体"/>
              <w:snapToGrid w:val="0"/>
              <w:kern w:val="0"/>
              <w:lang w:val="en-GB"/>
            </w:rPr>
            <w:t>于协议生效后的十二个月内向转让方支付转让价款的40%共计</w:t>
          </w:r>
          <w:r>
            <w:rPr>
              <w:rFonts w:ascii="宋体" w:hAnsi="宋体"/>
              <w:snapToGrid w:val="0"/>
              <w:kern w:val="0"/>
              <w:lang w:val="en-GB"/>
            </w:rPr>
            <w:t>732,775.16</w:t>
          </w:r>
          <w:r>
            <w:rPr>
              <w:rFonts w:hint="eastAsia" w:ascii="宋体" w:hAnsi="宋体"/>
              <w:snapToGrid w:val="0"/>
              <w:kern w:val="0"/>
              <w:lang w:val="en-GB"/>
            </w:rPr>
            <w:t>万元，</w:t>
          </w:r>
          <w:r>
            <w:rPr>
              <w:rFonts w:hint="eastAsia" w:ascii="宋体" w:hAnsi="宋体"/>
              <w:snapToGrid w:val="0"/>
              <w:kern w:val="0"/>
            </w:rPr>
            <w:t>其中</w:t>
          </w:r>
          <w:r>
            <w:rPr>
              <w:rFonts w:hint="eastAsia" w:ascii="宋体" w:hAnsi="宋体"/>
              <w:snapToGrid w:val="0"/>
              <w:kern w:val="0"/>
              <w:lang w:val="en-GB"/>
            </w:rPr>
            <w:t>新矿集团</w:t>
          </w:r>
          <w:r>
            <w:rPr>
              <w:rFonts w:ascii="宋体" w:hAnsi="宋体"/>
              <w:snapToGrid w:val="0"/>
              <w:kern w:val="0"/>
              <w:lang w:val="en-GB"/>
            </w:rPr>
            <w:t>186,929.51</w:t>
          </w:r>
          <w:r>
            <w:rPr>
              <w:rFonts w:hint="eastAsia" w:ascii="宋体" w:hAnsi="宋体"/>
              <w:snapToGrid w:val="0"/>
              <w:kern w:val="0"/>
              <w:lang w:val="en-GB"/>
            </w:rPr>
            <w:t>万元、龙矿集团</w:t>
          </w:r>
          <w:r>
            <w:rPr>
              <w:rFonts w:ascii="宋体" w:hAnsi="宋体"/>
              <w:snapToGrid w:val="0"/>
              <w:kern w:val="0"/>
              <w:lang w:val="en-GB"/>
            </w:rPr>
            <w:t>228,884.48</w:t>
          </w:r>
          <w:r>
            <w:rPr>
              <w:rFonts w:hint="eastAsia" w:ascii="宋体" w:hAnsi="宋体"/>
              <w:snapToGrid w:val="0"/>
              <w:kern w:val="0"/>
              <w:lang w:val="en-GB"/>
            </w:rPr>
            <w:t>万元、淄矿集团</w:t>
          </w:r>
          <w:r>
            <w:rPr>
              <w:rFonts w:ascii="宋体" w:hAnsi="宋体"/>
              <w:snapToGrid w:val="0"/>
              <w:kern w:val="0"/>
              <w:lang w:val="en-GB"/>
            </w:rPr>
            <w:t>143,681.40</w:t>
          </w:r>
          <w:r>
            <w:rPr>
              <w:rFonts w:hint="eastAsia" w:ascii="宋体" w:hAnsi="宋体"/>
              <w:snapToGrid w:val="0"/>
              <w:kern w:val="0"/>
              <w:lang w:val="en-GB"/>
            </w:rPr>
            <w:t>万元、肥城煤业</w:t>
          </w:r>
          <w:r>
            <w:rPr>
              <w:rFonts w:ascii="宋体" w:hAnsi="宋体"/>
              <w:snapToGrid w:val="0"/>
              <w:kern w:val="0"/>
              <w:lang w:val="en-GB"/>
            </w:rPr>
            <w:t>38,793.98</w:t>
          </w:r>
          <w:r>
            <w:rPr>
              <w:rFonts w:hint="eastAsia" w:ascii="宋体" w:hAnsi="宋体"/>
              <w:snapToGrid w:val="0"/>
              <w:kern w:val="0"/>
              <w:lang w:val="en-GB"/>
            </w:rPr>
            <w:t>万元、临矿集团</w:t>
          </w:r>
          <w:r>
            <w:rPr>
              <w:rFonts w:ascii="宋体" w:hAnsi="宋体"/>
              <w:snapToGrid w:val="0"/>
              <w:kern w:val="0"/>
              <w:lang w:val="en-GB"/>
            </w:rPr>
            <w:t>134,485.79</w:t>
          </w:r>
          <w:r>
            <w:rPr>
              <w:rFonts w:hint="eastAsia" w:ascii="宋体" w:hAnsi="宋体"/>
              <w:snapToGrid w:val="0"/>
              <w:kern w:val="0"/>
              <w:lang w:val="en-GB"/>
            </w:rPr>
            <w:t>万元，</w:t>
          </w:r>
          <w:r>
            <w:rPr>
              <w:rFonts w:hint="eastAsia" w:ascii="宋体" w:hAnsi="宋体"/>
              <w:snapToGrid w:val="0"/>
              <w:kern w:val="0"/>
            </w:rPr>
            <w:t>并支付</w:t>
          </w:r>
          <w:r>
            <w:rPr>
              <w:rFonts w:hint="eastAsia" w:ascii="宋体" w:hAnsi="宋体"/>
              <w:snapToGrid w:val="0"/>
              <w:kern w:val="0"/>
              <w:lang w:val="en-GB"/>
            </w:rPr>
            <w:t>及对应利息。</w:t>
          </w:r>
        </w:p>
        <w:p>
          <w:pPr>
            <w:widowControl/>
            <w:spacing w:before="156" w:beforeLines="50" w:after="156" w:afterLines="50" w:line="360" w:lineRule="exact"/>
            <w:ind w:firstLine="420" w:firstLineChars="200"/>
            <w:rPr>
              <w:rFonts w:ascii="宋体" w:hAnsi="宋体"/>
              <w:snapToGrid w:val="0"/>
              <w:kern w:val="0"/>
            </w:rPr>
          </w:pPr>
          <w:r>
            <w:rPr>
              <w:rFonts w:hint="eastAsia" w:ascii="宋体" w:hAnsi="宋体"/>
              <w:snapToGrid w:val="0"/>
              <w:kern w:val="0"/>
            </w:rPr>
            <w:t>截至2023年12月31日，本公司已累计支付收购鲁西矿业股权价款</w:t>
          </w:r>
          <w:r>
            <w:rPr>
              <w:rFonts w:ascii="宋体" w:hAnsi="宋体"/>
              <w:snapToGrid w:val="0"/>
              <w:kern w:val="0"/>
            </w:rPr>
            <w:t>1,099,162.74</w:t>
          </w:r>
          <w:r>
            <w:rPr>
              <w:rFonts w:hint="eastAsia" w:ascii="宋体" w:hAnsi="宋体"/>
              <w:snapToGrid w:val="0"/>
              <w:kern w:val="0"/>
            </w:rPr>
            <w:t>万元。</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rPr>
            <w:t>②</w:t>
          </w:r>
          <w:r>
            <w:rPr>
              <w:rFonts w:hint="eastAsia" w:ascii="宋体" w:hAnsi="宋体"/>
              <w:snapToGrid w:val="0"/>
              <w:kern w:val="0"/>
              <w:lang w:val="en-GB"/>
            </w:rPr>
            <w:t>根据《关于兖矿新疆能化有限公司之股权转让协议》，公司按照如下方式支付新疆能化股权及资产的交易价款：</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1.本公司</w:t>
          </w:r>
          <w:r>
            <w:rPr>
              <w:rFonts w:hint="eastAsia" w:ascii="宋体" w:hAnsi="宋体"/>
              <w:snapToGrid w:val="0"/>
              <w:kern w:val="0"/>
            </w:rPr>
            <w:t>应</w:t>
          </w:r>
          <w:r>
            <w:rPr>
              <w:rFonts w:hint="eastAsia" w:ascii="宋体" w:hAnsi="宋体"/>
              <w:snapToGrid w:val="0"/>
              <w:kern w:val="0"/>
              <w:lang w:val="en-GB"/>
            </w:rPr>
            <w:t>于协议生效后五个工作日内一次性向转让方支付交易价款的</w:t>
          </w:r>
          <w:r>
            <w:rPr>
              <w:rFonts w:ascii="宋体" w:hAnsi="宋体"/>
              <w:snapToGrid w:val="0"/>
              <w:kern w:val="0"/>
              <w:lang w:val="en-GB"/>
            </w:rPr>
            <w:t>3</w:t>
          </w:r>
          <w:r>
            <w:rPr>
              <w:rFonts w:hint="eastAsia" w:ascii="宋体" w:hAnsi="宋体"/>
              <w:snapToGrid w:val="0"/>
              <w:kern w:val="0"/>
              <w:lang w:val="en-GB"/>
            </w:rPr>
            <w:t>0%共计</w:t>
          </w:r>
          <w:r>
            <w:rPr>
              <w:rFonts w:ascii="宋体" w:hAnsi="宋体"/>
              <w:snapToGrid w:val="0"/>
              <w:kern w:val="0"/>
              <w:lang w:val="en-GB"/>
            </w:rPr>
            <w:t>243,355.57</w:t>
          </w:r>
          <w:r>
            <w:rPr>
              <w:rFonts w:hint="eastAsia" w:ascii="宋体" w:hAnsi="宋体"/>
              <w:snapToGrid w:val="0"/>
              <w:kern w:val="0"/>
              <w:lang w:val="en-GB"/>
            </w:rPr>
            <w:t>万元，</w:t>
          </w:r>
          <w:r>
            <w:rPr>
              <w:rFonts w:hint="eastAsia" w:ascii="宋体" w:hAnsi="宋体"/>
              <w:snapToGrid w:val="0"/>
              <w:kern w:val="0"/>
            </w:rPr>
            <w:t>其中</w:t>
          </w:r>
          <w:r>
            <w:rPr>
              <w:rFonts w:hint="eastAsia" w:ascii="宋体" w:hAnsi="宋体"/>
              <w:snapToGrid w:val="0"/>
              <w:kern w:val="0"/>
              <w:lang w:val="en-GB"/>
            </w:rPr>
            <w:t>新矿集团</w:t>
          </w:r>
          <w:r>
            <w:rPr>
              <w:rFonts w:ascii="宋体" w:hAnsi="宋体"/>
              <w:snapToGrid w:val="0"/>
              <w:kern w:val="0"/>
              <w:lang w:val="en-GB"/>
            </w:rPr>
            <w:t>37,409.96</w:t>
          </w:r>
          <w:r>
            <w:rPr>
              <w:rFonts w:hint="eastAsia" w:ascii="宋体" w:hAnsi="宋体"/>
              <w:snapToGrid w:val="0"/>
              <w:kern w:val="0"/>
              <w:lang w:val="en-GB"/>
            </w:rPr>
            <w:t>万元、山东能源</w:t>
          </w:r>
          <w:r>
            <w:rPr>
              <w:rFonts w:ascii="宋体" w:hAnsi="宋体"/>
              <w:snapToGrid w:val="0"/>
              <w:kern w:val="0"/>
              <w:lang w:val="en-GB"/>
            </w:rPr>
            <w:t>205,945.61</w:t>
          </w:r>
          <w:r>
            <w:rPr>
              <w:rFonts w:hint="eastAsia" w:ascii="宋体" w:hAnsi="宋体"/>
              <w:snapToGrid w:val="0"/>
              <w:kern w:val="0"/>
              <w:lang w:val="en-GB"/>
            </w:rPr>
            <w:t>万元；</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2.本公司</w:t>
          </w:r>
          <w:r>
            <w:rPr>
              <w:rFonts w:hint="eastAsia" w:ascii="宋体" w:hAnsi="宋体"/>
              <w:snapToGrid w:val="0"/>
              <w:kern w:val="0"/>
            </w:rPr>
            <w:t>应</w:t>
          </w:r>
          <w:r>
            <w:rPr>
              <w:rFonts w:hint="eastAsia" w:ascii="宋体" w:hAnsi="宋体"/>
              <w:snapToGrid w:val="0"/>
              <w:kern w:val="0"/>
              <w:lang w:val="en-GB"/>
            </w:rPr>
            <w:t>于交割日和2023年7月31日两者孰晚之日起5个工作日内一次性向转让方支付转让价款的30%共计</w:t>
          </w:r>
          <w:r>
            <w:rPr>
              <w:rFonts w:ascii="宋体" w:hAnsi="宋体"/>
              <w:snapToGrid w:val="0"/>
              <w:kern w:val="0"/>
              <w:lang w:val="en-GB"/>
            </w:rPr>
            <w:t>243,355.57</w:t>
          </w:r>
          <w:r>
            <w:rPr>
              <w:rFonts w:hint="eastAsia" w:ascii="宋体" w:hAnsi="宋体"/>
              <w:snapToGrid w:val="0"/>
              <w:kern w:val="0"/>
              <w:lang w:val="en-GB"/>
            </w:rPr>
            <w:t>万元，</w:t>
          </w:r>
          <w:r>
            <w:rPr>
              <w:rFonts w:hint="eastAsia" w:ascii="宋体" w:hAnsi="宋体"/>
              <w:snapToGrid w:val="0"/>
              <w:kern w:val="0"/>
            </w:rPr>
            <w:t>其中</w:t>
          </w:r>
          <w:r>
            <w:rPr>
              <w:rFonts w:hint="eastAsia" w:ascii="宋体" w:hAnsi="宋体"/>
              <w:snapToGrid w:val="0"/>
              <w:kern w:val="0"/>
              <w:lang w:val="en-GB"/>
            </w:rPr>
            <w:t>新矿集团</w:t>
          </w:r>
          <w:r>
            <w:rPr>
              <w:rFonts w:ascii="宋体" w:hAnsi="宋体"/>
              <w:snapToGrid w:val="0"/>
              <w:kern w:val="0"/>
              <w:lang w:val="en-GB"/>
            </w:rPr>
            <w:t>37,409.96</w:t>
          </w:r>
          <w:r>
            <w:rPr>
              <w:rFonts w:hint="eastAsia" w:ascii="宋体" w:hAnsi="宋体"/>
              <w:snapToGrid w:val="0"/>
              <w:kern w:val="0"/>
              <w:lang w:val="en-GB"/>
            </w:rPr>
            <w:t>万元、山东能源</w:t>
          </w:r>
          <w:r>
            <w:rPr>
              <w:rFonts w:ascii="宋体" w:hAnsi="宋体"/>
              <w:snapToGrid w:val="0"/>
              <w:kern w:val="0"/>
              <w:lang w:val="en-GB"/>
            </w:rPr>
            <w:t>205,945.61</w:t>
          </w:r>
          <w:r>
            <w:rPr>
              <w:rFonts w:hint="eastAsia" w:ascii="宋体" w:hAnsi="宋体"/>
              <w:snapToGrid w:val="0"/>
              <w:kern w:val="0"/>
              <w:lang w:val="en-GB"/>
            </w:rPr>
            <w:t>万元，</w:t>
          </w:r>
          <w:r>
            <w:rPr>
              <w:rFonts w:hint="eastAsia" w:ascii="宋体" w:hAnsi="宋体"/>
              <w:snapToGrid w:val="0"/>
              <w:kern w:val="0"/>
            </w:rPr>
            <w:t>并支付</w:t>
          </w:r>
          <w:r>
            <w:rPr>
              <w:rFonts w:hint="eastAsia" w:ascii="宋体" w:hAnsi="宋体"/>
              <w:snapToGrid w:val="0"/>
              <w:kern w:val="0"/>
              <w:lang w:val="en-GB"/>
            </w:rPr>
            <w:t>对应利息；</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3.本公司</w:t>
          </w:r>
          <w:r>
            <w:rPr>
              <w:rFonts w:hint="eastAsia" w:ascii="宋体" w:hAnsi="宋体"/>
              <w:snapToGrid w:val="0"/>
              <w:kern w:val="0"/>
            </w:rPr>
            <w:t>应于</w:t>
          </w:r>
          <w:r>
            <w:rPr>
              <w:rFonts w:hint="eastAsia" w:ascii="宋体" w:hAnsi="宋体"/>
              <w:snapToGrid w:val="0"/>
              <w:kern w:val="0"/>
              <w:lang w:val="en-GB"/>
            </w:rPr>
            <w:t>于协议生效后的十二个月内向转让方支付转让价款的40%共计</w:t>
          </w:r>
          <w:r>
            <w:rPr>
              <w:rFonts w:ascii="宋体" w:hAnsi="宋体"/>
              <w:snapToGrid w:val="0"/>
              <w:kern w:val="0"/>
              <w:lang w:val="en-GB"/>
            </w:rPr>
            <w:t>324,276.03</w:t>
          </w:r>
          <w:r>
            <w:rPr>
              <w:rFonts w:hint="eastAsia" w:ascii="宋体" w:hAnsi="宋体"/>
              <w:snapToGrid w:val="0"/>
              <w:kern w:val="0"/>
              <w:lang w:val="en-GB"/>
            </w:rPr>
            <w:t>万元，</w:t>
          </w:r>
          <w:r>
            <w:rPr>
              <w:rFonts w:hint="eastAsia" w:ascii="宋体" w:hAnsi="宋体"/>
              <w:snapToGrid w:val="0"/>
              <w:kern w:val="0"/>
            </w:rPr>
            <w:t>其中</w:t>
          </w:r>
          <w:r>
            <w:rPr>
              <w:rFonts w:hint="eastAsia" w:ascii="宋体" w:hAnsi="宋体"/>
              <w:snapToGrid w:val="0"/>
              <w:kern w:val="0"/>
              <w:lang w:val="en-GB"/>
            </w:rPr>
            <w:t>新矿集团</w:t>
          </w:r>
          <w:r>
            <w:rPr>
              <w:rFonts w:ascii="宋体" w:hAnsi="宋体"/>
              <w:snapToGrid w:val="0"/>
              <w:kern w:val="0"/>
              <w:lang w:val="en-GB"/>
            </w:rPr>
            <w:t>49,849.49</w:t>
          </w:r>
          <w:r>
            <w:rPr>
              <w:rFonts w:hint="eastAsia" w:ascii="宋体" w:hAnsi="宋体"/>
              <w:snapToGrid w:val="0"/>
              <w:kern w:val="0"/>
              <w:lang w:val="en-GB"/>
            </w:rPr>
            <w:t>万元、山东能源</w:t>
          </w:r>
          <w:r>
            <w:rPr>
              <w:rFonts w:ascii="宋体" w:hAnsi="宋体"/>
              <w:snapToGrid w:val="0"/>
              <w:kern w:val="0"/>
              <w:lang w:val="en-GB"/>
            </w:rPr>
            <w:t>274,426.54</w:t>
          </w:r>
          <w:r>
            <w:rPr>
              <w:rFonts w:hint="eastAsia" w:ascii="宋体" w:hAnsi="宋体"/>
              <w:snapToGrid w:val="0"/>
              <w:kern w:val="0"/>
              <w:lang w:val="en-GB"/>
            </w:rPr>
            <w:t>万元价款本金</w:t>
          </w:r>
          <w:r>
            <w:rPr>
              <w:rFonts w:hint="eastAsia" w:ascii="宋体" w:hAnsi="宋体"/>
              <w:snapToGrid w:val="0"/>
              <w:kern w:val="0"/>
            </w:rPr>
            <w:t>并支付</w:t>
          </w:r>
          <w:r>
            <w:rPr>
              <w:rFonts w:hint="eastAsia" w:ascii="宋体" w:hAnsi="宋体"/>
              <w:snapToGrid w:val="0"/>
              <w:kern w:val="0"/>
              <w:lang w:val="en-GB"/>
            </w:rPr>
            <w:t>对应利息。</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rPr>
            <w:t>截至2023年12月31日，本公司已累计支付收购新疆能化股权价款</w:t>
          </w:r>
          <w:r>
            <w:rPr>
              <w:rFonts w:ascii="宋体" w:hAnsi="宋体"/>
              <w:snapToGrid w:val="0"/>
              <w:kern w:val="0"/>
            </w:rPr>
            <w:t>486,711.14</w:t>
          </w:r>
          <w:r>
            <w:rPr>
              <w:rFonts w:hint="eastAsia" w:ascii="宋体" w:hAnsi="宋体"/>
              <w:snapToGrid w:val="0"/>
              <w:kern w:val="0"/>
            </w:rPr>
            <w:t>万元。</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4）过渡期损益安排</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标的股权对应的过渡期间损益由转让方按照各自向本公司转让的目标公司股权比例享有或承担。</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5）业绩承诺</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各转让方同意就鲁西矿业未来三年的业绩作出如下承诺：</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承诺202</w:t>
          </w:r>
          <w:r>
            <w:rPr>
              <w:rFonts w:ascii="宋体" w:hAnsi="宋体"/>
              <w:snapToGrid w:val="0"/>
              <w:kern w:val="0"/>
              <w:lang w:val="en-GB"/>
            </w:rPr>
            <w:t>3</w:t>
          </w:r>
          <w:r>
            <w:rPr>
              <w:rFonts w:hint="eastAsia" w:ascii="宋体" w:hAnsi="宋体"/>
              <w:snapToGrid w:val="0"/>
              <w:kern w:val="0"/>
              <w:lang w:val="en-GB"/>
            </w:rPr>
            <w:t>-202</w:t>
          </w:r>
          <w:r>
            <w:rPr>
              <w:rFonts w:ascii="宋体" w:hAnsi="宋体"/>
              <w:snapToGrid w:val="0"/>
              <w:kern w:val="0"/>
              <w:lang w:val="en-GB"/>
            </w:rPr>
            <w:t>5</w:t>
          </w:r>
          <w:r>
            <w:rPr>
              <w:rFonts w:hint="eastAsia" w:ascii="宋体" w:hAnsi="宋体"/>
              <w:snapToGrid w:val="0"/>
              <w:kern w:val="0"/>
              <w:lang w:val="en-GB"/>
            </w:rPr>
            <w:t>年度（以下简称承诺期），按中国会计准则计算，标的股权对应的经审计的扣除非经常性损益后归属于母公司股东的净利润合计不低于人民币1,142,480.14万元，承诺期累计承诺净利润参考经有权国资监管部门备案的资产评估报告确定。若目标公司在承诺期内累计实现净利润未达到承诺期累计承诺净利润，转让方将以现金方式向本公司进行补偿，具体补偿金额按照承诺净利润与标的股权对应的实际净利润之间的差额进行计算（详见本公司上海交易所临</w:t>
          </w:r>
          <w:r>
            <w:rPr>
              <w:rFonts w:ascii="宋体" w:hAnsi="宋体"/>
              <w:snapToGrid w:val="0"/>
              <w:kern w:val="0"/>
              <w:lang w:val="en-GB"/>
            </w:rPr>
            <w:t>2023</w:t>
          </w:r>
          <w:r>
            <w:rPr>
              <w:rFonts w:hint="eastAsia" w:ascii="宋体" w:hAnsi="宋体"/>
              <w:snapToGrid w:val="0"/>
              <w:kern w:val="0"/>
              <w:lang w:val="en-GB"/>
            </w:rPr>
            <w:t>-</w:t>
          </w:r>
          <w:r>
            <w:rPr>
              <w:rFonts w:ascii="宋体" w:hAnsi="宋体"/>
              <w:snapToGrid w:val="0"/>
              <w:kern w:val="0"/>
              <w:lang w:val="en-GB"/>
            </w:rPr>
            <w:t>029</w:t>
          </w:r>
          <w:r>
            <w:rPr>
              <w:rFonts w:hint="eastAsia" w:ascii="宋体" w:hAnsi="宋体"/>
              <w:snapToGrid w:val="0"/>
              <w:kern w:val="0"/>
              <w:lang w:val="en-GB"/>
            </w:rPr>
            <w:t>公告）。根据北京中企华资产评估有限责任公司出具的《兖矿能源集团股份有限公司因收购山东能源集团鲁西矿业有限公司51%股权而取得新汶矿业集团有限责任公司等公司业绩补偿承诺所涉及的金融资产公允价值项目估值报告》（中企华估字(2023)第6626-01号），公司拟收购鲁西矿业51%股权项目业绩对赌期望补偿额现值为161,868万元。</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各转让方同意就新疆能化未来三年的业绩作出如下承诺：</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承诺202</w:t>
          </w:r>
          <w:r>
            <w:rPr>
              <w:rFonts w:ascii="宋体" w:hAnsi="宋体"/>
              <w:snapToGrid w:val="0"/>
              <w:kern w:val="0"/>
              <w:lang w:val="en-GB"/>
            </w:rPr>
            <w:t>3</w:t>
          </w:r>
          <w:r>
            <w:rPr>
              <w:rFonts w:hint="eastAsia" w:ascii="宋体" w:hAnsi="宋体"/>
              <w:snapToGrid w:val="0"/>
              <w:kern w:val="0"/>
              <w:lang w:val="en-GB"/>
            </w:rPr>
            <w:t>-202</w:t>
          </w:r>
          <w:r>
            <w:rPr>
              <w:rFonts w:ascii="宋体" w:hAnsi="宋体"/>
              <w:snapToGrid w:val="0"/>
              <w:kern w:val="0"/>
              <w:lang w:val="en-GB"/>
            </w:rPr>
            <w:t>5</w:t>
          </w:r>
          <w:r>
            <w:rPr>
              <w:rFonts w:hint="eastAsia" w:ascii="宋体" w:hAnsi="宋体"/>
              <w:snapToGrid w:val="0"/>
              <w:kern w:val="0"/>
              <w:lang w:val="en-GB"/>
            </w:rPr>
            <w:t>年度（以下简称承诺期），按中国会计准则计算，标的股权对应的经审计的扣除非经常性损益后归属于母公司股东的净利润合计不低于人民币</w:t>
          </w:r>
          <w:r>
            <w:rPr>
              <w:rFonts w:ascii="宋体" w:hAnsi="宋体"/>
              <w:snapToGrid w:val="0"/>
              <w:kern w:val="0"/>
              <w:lang w:val="en-GB"/>
            </w:rPr>
            <w:t>401</w:t>
          </w:r>
          <w:r>
            <w:rPr>
              <w:rFonts w:hint="eastAsia" w:ascii="宋体" w:hAnsi="宋体"/>
              <w:snapToGrid w:val="0"/>
              <w:kern w:val="0"/>
              <w:lang w:val="en-GB"/>
            </w:rPr>
            <w:t>,</w:t>
          </w:r>
          <w:r>
            <w:rPr>
              <w:rFonts w:ascii="宋体" w:hAnsi="宋体"/>
              <w:snapToGrid w:val="0"/>
              <w:kern w:val="0"/>
              <w:lang w:val="en-GB"/>
            </w:rPr>
            <w:t>345</w:t>
          </w:r>
          <w:r>
            <w:rPr>
              <w:rFonts w:hint="eastAsia" w:ascii="宋体" w:hAnsi="宋体"/>
              <w:snapToGrid w:val="0"/>
              <w:kern w:val="0"/>
              <w:lang w:val="en-GB"/>
            </w:rPr>
            <w:t>.</w:t>
          </w:r>
          <w:r>
            <w:rPr>
              <w:rFonts w:ascii="宋体" w:hAnsi="宋体"/>
              <w:snapToGrid w:val="0"/>
              <w:kern w:val="0"/>
              <w:lang w:val="en-GB"/>
            </w:rPr>
            <w:t>61</w:t>
          </w:r>
          <w:r>
            <w:rPr>
              <w:rFonts w:hint="eastAsia" w:ascii="宋体" w:hAnsi="宋体"/>
              <w:snapToGrid w:val="0"/>
              <w:kern w:val="0"/>
              <w:lang w:val="en-GB"/>
            </w:rPr>
            <w:t>万元，承诺期累计承诺净利润参考经有权国资监管部门备案的资产评估报告确定。若目标公司在承诺期内累计实现净利润未达到承诺期累计承诺净利润，转让方将以现金方式向本公司进行补偿，具体补偿金额按照承诺净利润与标的股权对应的实际净利润之间的差额进行计算（详见本公司上海交易所临</w:t>
          </w:r>
          <w:r>
            <w:rPr>
              <w:rFonts w:ascii="宋体" w:hAnsi="宋体"/>
              <w:snapToGrid w:val="0"/>
              <w:kern w:val="0"/>
              <w:lang w:val="en-GB"/>
            </w:rPr>
            <w:t>2023</w:t>
          </w:r>
          <w:r>
            <w:rPr>
              <w:rFonts w:hint="eastAsia" w:ascii="宋体" w:hAnsi="宋体"/>
              <w:snapToGrid w:val="0"/>
              <w:kern w:val="0"/>
              <w:lang w:val="en-GB"/>
            </w:rPr>
            <w:t>-</w:t>
          </w:r>
          <w:r>
            <w:rPr>
              <w:rFonts w:ascii="宋体" w:hAnsi="宋体"/>
              <w:snapToGrid w:val="0"/>
              <w:kern w:val="0"/>
              <w:lang w:val="en-GB"/>
            </w:rPr>
            <w:t>029</w:t>
          </w:r>
          <w:r>
            <w:rPr>
              <w:rFonts w:hint="eastAsia" w:ascii="宋体" w:hAnsi="宋体"/>
              <w:snapToGrid w:val="0"/>
              <w:kern w:val="0"/>
              <w:lang w:val="en-GB"/>
            </w:rPr>
            <w:t>公告）。根据北京中企华资产评估有限责任公司出具的《兖矿能源集团股份有限公司因收购兖矿新疆能化有限公司51%股权而取得山东能源集团有限公司及新汶矿业集团有限责任公司业绩补偿承诺所涉及的金融资产公允价值项目估值报告》（中企华估字(2023)第6626-02号），公司拟收购新疆能化51%股权项目业绩对赌期望补偿额现值为135,074万元。</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6）其他重要约定</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就鲁西矿业下属子公司矿业权相关事项，转让方同意向本公司做出如下承诺:</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1、截至本承诺函出具日，鲁西矿业下属煤矿为正常、合法生产煤矿。如本次交易交割日后相关政府主管部门依据《全省落实“三个坚决”行动方案(2021-2022)年》(鲁动能〔2021〕3号)和《山东省能源发展“十四五”规划》(鲁政字〔2021〕143号)文件或依据前述文件出台的具体实施细则对鲁西矿业下属子公司煤矿采取限产、停产关闭退出等处置措施的，转让方承诺:</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由转让方对本公司给予相应补偿，具体补偿金额应由转让方及本公司基于届时适用的相关法律法规、政策文件或具体实施细则，以各方认可的、由本公司聘请的中介机构出具的专项报告为基础予以测算，并在前述处置措施采取之日起3个月(或各方协商确定的合理期限)内友好协商以书面方式确定。但该等补偿金额应以鲁西矿业或其下属子公司在本次交易中的评估价值的51%为限，如该等下属子公司为控股子公司，则前述补偿金额上限应再乘以鲁西矿业持有该等下属子公司的股权比例。</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如本公司及转让方在前述处置措施采取之日3个月内(或各方协商确定的合理期限内)，仍无法就前述具体赔偿金额协商一致的，则本公司可以向转让方书面通知解除《股权转让协议》，自本公司发出书面解除通知之日起30日内，转让方向本公司返还本次转让标的股权全部转让价款、资金占用费，本公司向转让方返还标的股权及自交割日起本公司从鲁西矿业取得的分红(如涉及)。前述资金占用费按照本次转让标的股权全部转让价款返还日上月LPR一年期利率计算，计算期间为《股权转让协议》项下交割审计基准日至本次转让标的股权全部转让价款返还日，计算期间内按照一年365天计算。</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如承诺期内鲁西矿业或其控股子公司下属煤矿因采深超千米冲击地压矿井被采取限产、停产、关闭退出等措施造成的损失，由转让方根据《承诺函》的相关约定计算相关补偿金额(“超千米冲击地压矿井补偿”)并进行补偿。</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除已根据北京矿通资源开发咨询有限责任公司就本次交易出具的《山东能源集团鲁西矿业有限公司及兖矿新疆能化有限公司部分矿业权出让收益测算报告》(“《矿业权出让收益测算报告》”)扣减矿业权出让收益的矿业权外，就郭屯煤矿、彭庄煤矿、梁宝寺煤矿以及陈蛮庄煤矿四宗以现金、转增国家资本金等方式有偿处置过的矿业权，在本次交易交割日后，如被相关主管部门基于《矿业权出让收益征收办法》(“《10号文》”)对本次交易评估基准日前已动用的资源储量及本次交易对应资源储量(即在本次交易中相关采矿权评估范围内的资源储量，下同)征收矿业权出让收益(“被征收出让收益金额”)，且前述出让收益亦未在本次交易相关审计报告中体现，则:</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(1)转让方将按照该等下属子公司被征收出让收益金额，在明确缴纳义务后的30日内向本公司现金补偿(补偿金额为被征收出让收益金额</w:t>
          </w:r>
          <w:r>
            <w:rPr>
              <w:rFonts w:hint="eastAsia" w:ascii="宋体" w:hAnsi="宋体"/>
              <w:sz w:val="22"/>
              <w:szCs w:val="22"/>
            </w:rPr>
            <w:t>×</w:t>
          </w:r>
          <w:r>
            <w:rPr>
              <w:rFonts w:hint="eastAsia" w:ascii="宋体" w:hAnsi="宋体"/>
              <w:snapToGrid w:val="0"/>
              <w:kern w:val="0"/>
              <w:lang w:val="en-GB"/>
            </w:rPr>
            <w:t>51%</w:t>
          </w:r>
          <w:r>
            <w:rPr>
              <w:rFonts w:hint="eastAsia" w:ascii="宋体" w:hAnsi="宋体"/>
              <w:sz w:val="22"/>
              <w:szCs w:val="22"/>
            </w:rPr>
            <w:t>×</w:t>
          </w:r>
          <w:r>
            <w:rPr>
              <w:rFonts w:hint="eastAsia" w:ascii="宋体" w:hAnsi="宋体"/>
              <w:snapToGrid w:val="0"/>
              <w:kern w:val="0"/>
              <w:lang w:val="en-GB"/>
            </w:rPr>
            <w:t>鲁西矿业持有该等下属子公司的股权比例);</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除前述被征收出让收益金额，就届时本次交易对应资源储量中剩余的尚未按矿产品销售时的矿业权出让收益率计算征收的部分(如涉及)，应当基于《矿业权出让收益测算报告》中载明的测算方法及相关参数，按照《10号文》及后续颁布实施的配套政策折现至前述明确缴纳义务之日计算剩余需缴纳金额，由转让方一并向本公司现金补偿。</w:t>
          </w:r>
        </w:p>
        <w:p>
          <w:pPr>
            <w:widowControl/>
            <w:spacing w:before="156" w:beforeLines="50" w:after="156" w:afterLines="50" w:line="360" w:lineRule="exact"/>
            <w:ind w:firstLine="420" w:firstLineChars="200"/>
            <w:rPr>
              <w:rFonts w:ascii="宋体" w:hAnsi="宋体"/>
              <w:snapToGrid w:val="0"/>
              <w:kern w:val="0"/>
              <w:lang w:val="en-GB"/>
            </w:rPr>
          </w:pP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就新疆能化及其下属子公司矿业权相关事项，转让方同意向本公司做出如下承诺：</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1.截至承诺函出具日，新疆能化所持有的新疆准东煤田奇台县黄草湖一至十一勘查区勘探探矿权有效期已经届满。新疆能化已根据相关政府主管部门的要求提交了探矿权变更申请登记，申请将十一个勘查区合并为一个勘查区，申请续期期限为2023年3月28日至2025年3月28日。转让方承诺将积极敦促并协助新疆能化尽快完成探矿权变更登记手续，如新疆能化在本次交易交割日后因无法完成或无法按时完成上述探矿权变更登记手续受到损失，则届时由转让方向本公司予以补偿。</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除已根据北京矿通资源开发咨询有限责任公司就本次交易出具的《山东能源集团鲁西矿业有限公司及兖矿新疆能化有限公司部分矿业权出让收益测算报告》(“《矿业权出让收益测算报告》”)扣减矿业权出让收益的矿业权外，就保盛煤矿、红山洼煤矿两宗有偿处置过的矿业权，在本次交易交割日后，如被相关主管部门基于《矿业权出让收益征收办法》(“《10号文》”)对本次交易评估基准日前已动用的资源储量及本次交易对应资源储量(即在本次交易中相关采矿权评估范围内的资源储量，下同)向兖矿新疆矿业有限公司(“新疆矿业”)征收矿业权出让收益(“被征收出让收益金额”)，且前述出让收益亦未在本次交易相关审计报告中体现，则:</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(1)转让方将按照该等下属子公司被征收出让收益金额，在明确缴纳义务后的30日内向本公司现金补偿(补偿金额为被征收出让收益金额</w:t>
          </w:r>
          <w:r>
            <w:rPr>
              <w:rFonts w:hint="eastAsia" w:ascii="宋体" w:hAnsi="宋体"/>
              <w:sz w:val="22"/>
              <w:szCs w:val="22"/>
            </w:rPr>
            <w:t>×</w:t>
          </w:r>
          <w:r>
            <w:rPr>
              <w:rFonts w:hint="eastAsia" w:ascii="宋体" w:hAnsi="宋体"/>
              <w:snapToGrid w:val="0"/>
              <w:kern w:val="0"/>
              <w:lang w:val="en-GB"/>
            </w:rPr>
            <w:t>51%</w:t>
          </w:r>
          <w:r>
            <w:rPr>
              <w:rFonts w:hint="eastAsia" w:ascii="宋体" w:hAnsi="宋体"/>
              <w:sz w:val="22"/>
              <w:szCs w:val="22"/>
            </w:rPr>
            <w:t>×</w:t>
          </w:r>
          <w:r>
            <w:rPr>
              <w:rFonts w:hint="eastAsia" w:ascii="宋体" w:hAnsi="宋体"/>
              <w:snapToGrid w:val="0"/>
              <w:kern w:val="0"/>
              <w:lang w:val="en-GB"/>
            </w:rPr>
            <w:t>新疆能化持有新疆矿业的股权比例);</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除前述被征收出让收益金额，就届时本次交易对应资源储量中剩余的尚未按矿产品销售时的矿业权出让收益率计算征收的部分(如涉及)，应当基于《矿业权出让收益测算报告》中载明的测算方法及相关参数，按照《10号文》及后续颁布实施的配套政策折现至前述明确缴纳义务之日计算剩余需缴纳金额，由转让方一并向本公司现金补偿。</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(3)转让方向本公司补偿的金额应以(《股权转让协议》依据的评估报告引用的矿业权评估报告所载金额</w:t>
          </w:r>
          <w:r>
            <w:rPr>
              <w:rFonts w:hint="eastAsia" w:ascii="宋体" w:hAnsi="宋体"/>
              <w:sz w:val="22"/>
              <w:szCs w:val="22"/>
            </w:rPr>
            <w:t>×</w:t>
          </w:r>
          <w:r>
            <w:rPr>
              <w:rFonts w:hint="eastAsia" w:ascii="宋体" w:hAnsi="宋体"/>
              <w:snapToGrid w:val="0"/>
              <w:kern w:val="0"/>
              <w:lang w:val="en-GB"/>
            </w:rPr>
            <w:t>51%</w:t>
          </w:r>
          <w:r>
            <w:rPr>
              <w:rFonts w:hint="eastAsia" w:ascii="宋体" w:hAnsi="宋体"/>
              <w:sz w:val="22"/>
              <w:szCs w:val="22"/>
            </w:rPr>
            <w:t>×</w:t>
          </w:r>
          <w:r>
            <w:rPr>
              <w:rFonts w:hint="eastAsia" w:ascii="宋体" w:hAnsi="宋体"/>
              <w:snapToGrid w:val="0"/>
              <w:kern w:val="0"/>
              <w:lang w:val="en-GB"/>
            </w:rPr>
            <w:t>新疆能化持有新疆矿业的股权比例)为限。</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（2）企业合并判断</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202</w:t>
          </w:r>
          <w:r>
            <w:rPr>
              <w:rFonts w:hint="eastAsia" w:ascii="宋体" w:hAnsi="宋体"/>
              <w:snapToGrid w:val="0"/>
              <w:kern w:val="0"/>
            </w:rPr>
            <w:t>3</w:t>
          </w:r>
          <w:r>
            <w:rPr>
              <w:rFonts w:hint="eastAsia" w:ascii="宋体" w:hAnsi="宋体"/>
              <w:snapToGrid w:val="0"/>
              <w:kern w:val="0"/>
              <w:lang w:val="en-GB"/>
            </w:rPr>
            <w:t>年</w:t>
          </w:r>
          <w:r>
            <w:rPr>
              <w:rFonts w:hint="eastAsia" w:ascii="宋体" w:hAnsi="宋体"/>
              <w:snapToGrid w:val="0"/>
              <w:kern w:val="0"/>
            </w:rPr>
            <w:t>9</w:t>
          </w:r>
          <w:r>
            <w:rPr>
              <w:rFonts w:hint="eastAsia" w:ascii="宋体" w:hAnsi="宋体"/>
              <w:snapToGrid w:val="0"/>
              <w:kern w:val="0"/>
              <w:lang w:val="en-GB"/>
            </w:rPr>
            <w:t>月</w:t>
          </w:r>
          <w:r>
            <w:rPr>
              <w:rFonts w:hint="eastAsia" w:ascii="宋体" w:hAnsi="宋体"/>
              <w:snapToGrid w:val="0"/>
              <w:kern w:val="0"/>
            </w:rPr>
            <w:t>30</w:t>
          </w:r>
          <w:r>
            <w:rPr>
              <w:rFonts w:hint="eastAsia" w:ascii="宋体" w:hAnsi="宋体"/>
              <w:snapToGrid w:val="0"/>
              <w:kern w:val="0"/>
              <w:lang w:val="en-GB"/>
            </w:rPr>
            <w:t>日，本公司与转让方就鲁西矿业51%股权及新疆能化51%股权分别签署了《交割确认书》，双方一致同意并确认,标的股权及资产的交割日为202</w:t>
          </w:r>
          <w:r>
            <w:rPr>
              <w:rFonts w:hint="eastAsia" w:ascii="宋体" w:hAnsi="宋体"/>
              <w:snapToGrid w:val="0"/>
              <w:kern w:val="0"/>
            </w:rPr>
            <w:t>3</w:t>
          </w:r>
          <w:r>
            <w:rPr>
              <w:rFonts w:hint="eastAsia" w:ascii="宋体" w:hAnsi="宋体"/>
              <w:snapToGrid w:val="0"/>
              <w:kern w:val="0"/>
              <w:lang w:val="en-GB"/>
            </w:rPr>
            <w:t>年</w:t>
          </w:r>
          <w:r>
            <w:rPr>
              <w:rFonts w:hint="eastAsia" w:ascii="宋体" w:hAnsi="宋体"/>
              <w:snapToGrid w:val="0"/>
              <w:kern w:val="0"/>
            </w:rPr>
            <w:t>9</w:t>
          </w:r>
          <w:r>
            <w:rPr>
              <w:rFonts w:hint="eastAsia" w:ascii="宋体" w:hAnsi="宋体"/>
              <w:snapToGrid w:val="0"/>
              <w:kern w:val="0"/>
              <w:lang w:val="en-GB"/>
            </w:rPr>
            <w:t>月</w:t>
          </w:r>
          <w:r>
            <w:rPr>
              <w:rFonts w:hint="eastAsia" w:ascii="宋体" w:hAnsi="宋体"/>
              <w:snapToGrid w:val="0"/>
              <w:kern w:val="0"/>
            </w:rPr>
            <w:t>30</w:t>
          </w:r>
          <w:r>
            <w:rPr>
              <w:rFonts w:hint="eastAsia" w:ascii="宋体" w:hAnsi="宋体"/>
              <w:snapToGrid w:val="0"/>
              <w:kern w:val="0"/>
              <w:lang w:val="en-GB"/>
            </w:rPr>
            <w:t>日。本公司自202</w:t>
          </w:r>
          <w:r>
            <w:rPr>
              <w:rFonts w:ascii="宋体" w:hAnsi="宋体"/>
              <w:snapToGrid w:val="0"/>
              <w:kern w:val="0"/>
              <w:lang w:val="en-GB"/>
            </w:rPr>
            <w:t>3</w:t>
          </w:r>
          <w:r>
            <w:rPr>
              <w:rFonts w:hint="eastAsia" w:ascii="宋体" w:hAnsi="宋体"/>
              <w:snapToGrid w:val="0"/>
              <w:kern w:val="0"/>
              <w:lang w:val="en-GB"/>
            </w:rPr>
            <w:t>年</w:t>
          </w:r>
          <w:r>
            <w:rPr>
              <w:rFonts w:ascii="宋体" w:hAnsi="宋体"/>
              <w:snapToGrid w:val="0"/>
              <w:kern w:val="0"/>
              <w:lang w:val="en-GB"/>
            </w:rPr>
            <w:t>9</w:t>
          </w:r>
          <w:r>
            <w:rPr>
              <w:rFonts w:hint="eastAsia" w:ascii="宋体" w:hAnsi="宋体"/>
              <w:snapToGrid w:val="0"/>
              <w:kern w:val="0"/>
              <w:lang w:val="en-GB"/>
            </w:rPr>
            <w:t>月</w:t>
          </w:r>
          <w:r>
            <w:rPr>
              <w:rFonts w:ascii="宋体" w:hAnsi="宋体"/>
              <w:snapToGrid w:val="0"/>
              <w:kern w:val="0"/>
              <w:lang w:val="en-GB"/>
            </w:rPr>
            <w:t>30</w:t>
          </w:r>
          <w:r>
            <w:rPr>
              <w:rFonts w:hint="eastAsia" w:ascii="宋体" w:hAnsi="宋体"/>
              <w:snapToGrid w:val="0"/>
              <w:kern w:val="0"/>
              <w:lang w:val="en-GB"/>
            </w:rPr>
            <w:t>日起,成为持有标的股权及资产的所有权人,依法享有法律和公司章程规定的标的公司各项股东权利并承担相应股东义务,依法享有法律、法规规定的标的资产相关的全部权利和权益。</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（3）过渡期损益</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根据信永中和会计师事务所（特殊普通合伙）出具的《山东能源集团鲁西矿业有限公司2</w:t>
          </w:r>
          <w:r>
            <w:rPr>
              <w:rFonts w:ascii="宋体" w:hAnsi="宋体"/>
              <w:snapToGrid w:val="0"/>
              <w:kern w:val="0"/>
              <w:lang w:val="en-GB"/>
            </w:rPr>
            <w:t>023</w:t>
          </w:r>
          <w:r>
            <w:rPr>
              <w:rFonts w:hint="eastAsia" w:ascii="宋体" w:hAnsi="宋体"/>
              <w:snapToGrid w:val="0"/>
              <w:kern w:val="0"/>
              <w:lang w:val="en-GB"/>
            </w:rPr>
            <w:t>年1-</w:t>
          </w:r>
          <w:r>
            <w:rPr>
              <w:rFonts w:ascii="宋体" w:hAnsi="宋体"/>
              <w:snapToGrid w:val="0"/>
              <w:kern w:val="0"/>
              <w:lang w:val="en-GB"/>
            </w:rPr>
            <w:t>9</w:t>
          </w:r>
          <w:r>
            <w:rPr>
              <w:rFonts w:hint="eastAsia" w:ascii="宋体" w:hAnsi="宋体"/>
              <w:snapToGrid w:val="0"/>
              <w:kern w:val="0"/>
              <w:lang w:val="en-GB"/>
            </w:rPr>
            <w:t>月审计报告》（</w:t>
          </w:r>
          <w:r>
            <w:rPr>
              <w:rFonts w:ascii="宋体" w:hAnsi="宋体"/>
              <w:snapToGrid w:val="0"/>
              <w:kern w:val="0"/>
              <w:lang w:val="en-GB"/>
            </w:rPr>
            <w:t>XYZH/2023BJAA7F0058</w:t>
          </w:r>
          <w:r>
            <w:rPr>
              <w:rFonts w:hint="eastAsia" w:ascii="宋体" w:hAnsi="宋体"/>
              <w:snapToGrid w:val="0"/>
              <w:kern w:val="0"/>
              <w:lang w:val="en-GB"/>
            </w:rPr>
            <w:t>），鲁西矿业过渡期实现净利润</w:t>
          </w:r>
          <w:r>
            <w:rPr>
              <w:rFonts w:ascii="宋体" w:hAnsi="宋体"/>
              <w:snapToGrid w:val="0"/>
              <w:kern w:val="0"/>
              <w:lang w:val="en-GB"/>
            </w:rPr>
            <w:t>2,300,720</w:t>
          </w:r>
          <w:r>
            <w:rPr>
              <w:rFonts w:hint="eastAsia" w:ascii="宋体" w:hAnsi="宋体"/>
              <w:snapToGrid w:val="0"/>
              <w:kern w:val="0"/>
              <w:lang w:val="en-GB"/>
            </w:rPr>
            <w:t>千元。</w:t>
          </w:r>
        </w:p>
        <w:p>
          <w:pPr>
            <w:widowControl/>
            <w:spacing w:before="156" w:beforeLines="50" w:after="156" w:afterLines="50" w:line="360" w:lineRule="exact"/>
            <w:ind w:firstLine="420" w:firstLineChars="200"/>
            <w:rPr>
              <w:rFonts w:ascii="宋体" w:hAnsi="宋体"/>
              <w:snapToGrid w:val="0"/>
              <w:kern w:val="0"/>
              <w:lang w:val="en-GB"/>
            </w:rPr>
          </w:pPr>
          <w:r>
            <w:rPr>
              <w:rFonts w:hint="eastAsia" w:ascii="宋体" w:hAnsi="宋体"/>
              <w:snapToGrid w:val="0"/>
              <w:kern w:val="0"/>
              <w:lang w:val="en-GB"/>
            </w:rPr>
            <w:t>根据信永中和会计师事务所（特殊普通合伙）出具的《兖矿新疆能化有限公司2023年1-9月审计报告》（</w:t>
          </w:r>
          <w:r>
            <w:rPr>
              <w:rFonts w:ascii="宋体" w:hAnsi="宋体"/>
              <w:snapToGrid w:val="0"/>
              <w:kern w:val="0"/>
              <w:lang w:val="en-GB"/>
            </w:rPr>
            <w:t>XYZH/2023XAAA3B0100</w:t>
          </w:r>
          <w:r>
            <w:rPr>
              <w:rFonts w:hint="eastAsia" w:ascii="宋体" w:hAnsi="宋体"/>
              <w:snapToGrid w:val="0"/>
              <w:kern w:val="0"/>
              <w:lang w:val="en-GB"/>
            </w:rPr>
            <w:t>），新疆能化过渡期实现净利润</w:t>
          </w:r>
          <w:r>
            <w:rPr>
              <w:rFonts w:ascii="宋体" w:hAnsi="宋体"/>
              <w:snapToGrid w:val="0"/>
              <w:kern w:val="0"/>
              <w:lang w:val="en-GB"/>
            </w:rPr>
            <w:t>447,492</w:t>
          </w:r>
          <w:r>
            <w:rPr>
              <w:rFonts w:hint="eastAsia" w:ascii="宋体" w:hAnsi="宋体"/>
              <w:snapToGrid w:val="0"/>
              <w:kern w:val="0"/>
              <w:lang w:val="en-GB"/>
            </w:rPr>
            <w:t>千元。</w:t>
          </w:r>
        </w:p>
        <w:p>
          <w:pPr>
            <w:spacing w:line="360" w:lineRule="exact"/>
          </w:pPr>
        </w:p>
      </w:sdtContent>
    </w:sdt>
    <w:p>
      <w:pPr>
        <w:pStyle w:val="504"/>
        <w:numPr>
          <w:ilvl w:val="0"/>
          <w:numId w:val="135"/>
        </w:numPr>
        <w:rPr>
          <w:szCs w:val="21"/>
        </w:rPr>
      </w:pPr>
      <w:r>
        <w:rPr>
          <w:rFonts w:hint="eastAsia" w:ascii="宋体" w:hAnsi="宋体"/>
          <w:szCs w:val="21"/>
        </w:rPr>
        <w:t>其他</w:t>
      </w:r>
    </w:p>
    <w:sdt>
      <w:sdtPr>
        <w:rPr>
          <w:rFonts w:hint="eastAsia"/>
        </w:rPr>
        <w:alias w:val="是否适用：其他重要事项的说明[双击切换]"/>
        <w:tag w:val="_GBC_fb43f52ac5bc49a4b33e34d6b1758f09"/>
        <w:id w:val="-146199558"/>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3"/>
        <w:numPr>
          <w:ilvl w:val="0"/>
          <w:numId w:val="57"/>
        </w:numPr>
        <w:ind w:firstLine="42"/>
        <w:rPr>
          <w:rFonts w:ascii="宋体" w:hAnsi="宋体"/>
        </w:rPr>
      </w:pPr>
      <w:r>
        <w:rPr>
          <w:rFonts w:hint="eastAsia" w:ascii="宋体" w:hAnsi="宋体"/>
        </w:rPr>
        <w:t>母公司财务报表主要项目注释</w:t>
      </w:r>
    </w:p>
    <w:p>
      <w:pPr>
        <w:pStyle w:val="504"/>
        <w:numPr>
          <w:ilvl w:val="0"/>
          <w:numId w:val="139"/>
        </w:numPr>
      </w:pPr>
      <w:r>
        <w:rPr>
          <w:rFonts w:hint="eastAsia" w:ascii="宋体" w:hAnsi="宋体"/>
          <w:szCs w:val="21"/>
        </w:rPr>
        <w:t>应收账款</w:t>
      </w:r>
    </w:p>
    <w:p>
      <w:pPr>
        <w:pStyle w:val="505"/>
        <w:numPr>
          <w:ilvl w:val="3"/>
          <w:numId w:val="140"/>
        </w:numPr>
        <w:ind w:left="426" w:hanging="426" w:hangingChars="202"/>
      </w:pPr>
      <w:r>
        <w:rPr>
          <w:rFonts w:hint="eastAsia"/>
        </w:rPr>
        <w:t>按账龄披露</w:t>
      </w:r>
    </w:p>
    <w:sdt>
      <w:sdtPr>
        <w:alias w:val="是否适用：母公司应收账款按账龄披露[双击切换]"/>
        <w:tag w:val="_GBC_dafcd7d733014c4a8aaa9a9a4b6c92f1"/>
        <w:id w:val="1735200851"/>
        <w:placeholder>
          <w:docPart w:val="GBC22222222222222222222222222222"/>
        </w:placeholder>
      </w:sdtPr>
      <w:sdtContent>
        <w:p>
          <w:pPr>
            <w:pStyle w:val="531"/>
          </w:pPr>
          <w:bookmarkStart w:id="346" w:name="_Hlk53379666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应收账款按账龄披露"/>
          <w:tag w:val="_GBC_6f3238355b1f4a02b89a4d1aa10b0026"/>
          <w:id w:val="-20923059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母公司应收账款按账龄披露"/>
          <w:tag w:val="_GBC_c255ef872ced4f4ba9701062491ddd60"/>
          <w:id w:val="10807944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3"/>
        <w:gridCol w:w="2975"/>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tag w:val="_PLD_91f1d8bffa9649c89e109fe838d32207"/>
            <w:id w:val="2077705474"/>
          </w:sdtPr>
          <w:sdtEndPr>
            <w:rPr>
              <w:rFonts w:ascii="宋体" w:hAnsi="宋体"/>
            </w:rPr>
          </w:sdtEndPr>
          <w:sdtContent>
            <w:tc>
              <w:tcPr>
                <w:tcW w:w="162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账龄</w:t>
                </w:r>
              </w:p>
            </w:tc>
          </w:sdtContent>
        </w:sdt>
        <w:sdt>
          <w:sdtPr>
            <w:rPr>
              <w:rFonts w:ascii="宋体" w:hAnsi="宋体"/>
            </w:rPr>
            <w:tag w:val="_PLD_6b7aa27e99b34e1eb61af3bd12c578d2"/>
            <w:id w:val="-1553305465"/>
          </w:sdtPr>
          <w:sdtEndPr>
            <w:rPr>
              <w:rFonts w:ascii="宋体" w:hAnsi="宋体"/>
            </w:rPr>
          </w:sdtEndPr>
          <w:sdtContent>
            <w:tc>
              <w:tcPr>
                <w:tcW w:w="168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期末账面余额</w:t>
                </w:r>
              </w:p>
            </w:tc>
          </w:sdtContent>
        </w:sdt>
        <w:sdt>
          <w:sdtPr>
            <w:rPr>
              <w:rFonts w:hint="eastAsia" w:ascii="宋体" w:hAnsi="宋体"/>
            </w:rPr>
            <w:tag w:val="_PLD_0e2d3c046f184578857e4606189d40ef"/>
            <w:id w:val="1053811946"/>
          </w:sdtPr>
          <w:sdtEndPr>
            <w:rPr>
              <w:rFonts w:hint="eastAsia" w:ascii="宋体" w:hAnsi="宋体"/>
            </w:rPr>
          </w:sdtEndPr>
          <w:sdtContent>
            <w:tc>
              <w:tcPr>
                <w:tcW w:w="1686" w:type="pct"/>
                <w:tcBorders>
                  <w:top w:val="single" w:color="auto" w:sz="4" w:space="0"/>
                  <w:left w:val="single" w:color="auto" w:sz="4" w:space="0"/>
                  <w:bottom w:val="single" w:color="auto" w:sz="4" w:space="0"/>
                  <w:right w:val="single" w:color="auto" w:sz="4" w:space="0"/>
                </w:tcBorders>
              </w:tcPr>
              <w:p>
                <w:pPr>
                  <w:jc w:val="center"/>
                  <w:rPr>
                    <w:rFonts w:ascii="宋体" w:hAnsi="宋体"/>
                  </w:rPr>
                </w:pPr>
                <w:r>
                  <w:rPr>
                    <w:rFonts w:hint="eastAsia" w:ascii="宋体" w:hAnsi="宋体"/>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1年以内（含1年）</w:t>
            </w:r>
          </w:p>
        </w:tc>
        <w:tc>
          <w:tcPr>
            <w:tcW w:w="1686"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2,047,3</w:t>
            </w:r>
            <w:r>
              <w:rPr>
                <w:rFonts w:ascii="宋体" w:hAnsi="宋体"/>
              </w:rPr>
              <w:t>80</w:t>
            </w:r>
          </w:p>
        </w:tc>
        <w:tc>
          <w:tcPr>
            <w:tcW w:w="1686"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1,286,522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1至2年</w:t>
            </w:r>
          </w:p>
        </w:tc>
        <w:tc>
          <w:tcPr>
            <w:tcW w:w="1686"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38,841</w:t>
            </w:r>
          </w:p>
        </w:tc>
        <w:tc>
          <w:tcPr>
            <w:tcW w:w="1686"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70,808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2至3年</w:t>
            </w:r>
          </w:p>
        </w:tc>
        <w:tc>
          <w:tcPr>
            <w:tcW w:w="1686"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15,501</w:t>
            </w:r>
          </w:p>
        </w:tc>
        <w:tc>
          <w:tcPr>
            <w:tcW w:w="1686"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46,726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3年以上</w:t>
            </w:r>
          </w:p>
        </w:tc>
        <w:tc>
          <w:tcPr>
            <w:tcW w:w="168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272,176</w:t>
            </w:r>
          </w:p>
        </w:tc>
        <w:tc>
          <w:tcPr>
            <w:tcW w:w="1686"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247,660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合计</w:t>
            </w:r>
          </w:p>
        </w:tc>
        <w:tc>
          <w:tcPr>
            <w:tcW w:w="1686"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2,373,898</w:t>
            </w:r>
          </w:p>
        </w:tc>
        <w:tc>
          <w:tcPr>
            <w:tcW w:w="1686"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1,651,716</w:t>
            </w:r>
          </w:p>
        </w:tc>
      </w:tr>
      <w:bookmarkEnd w:id="346"/>
    </w:tbl>
    <w:p>
      <w:pPr>
        <w:pStyle w:val="531"/>
      </w:pPr>
    </w:p>
    <w:p>
      <w:pPr>
        <w:pStyle w:val="505"/>
        <w:numPr>
          <w:ilvl w:val="3"/>
          <w:numId w:val="140"/>
        </w:numPr>
        <w:ind w:left="426" w:hanging="426" w:hangingChars="202"/>
      </w:pPr>
      <w:r>
        <w:rPr>
          <w:rFonts w:hint="eastAsia"/>
        </w:rPr>
        <w:t>按坏账计提方法分类披露</w:t>
      </w:r>
    </w:p>
    <w:sdt>
      <w:sdtPr>
        <w:alias w:val="是否适用：母公司应收账款按坏账计提方法分类披露[双击切换]"/>
        <w:tag w:val="_GBC_7881b37ba62844928bb3a0f84fa1312c"/>
        <w:id w:val="152629174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159225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母公司应收账款按坏账计提方法分类披露"/>
          <w:tag w:val="_GBC_b8d2fec8e15e43c8b9a141c04cb5fea0"/>
          <w:id w:val="-8709957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790"/>
        <w:gridCol w:w="710"/>
        <w:gridCol w:w="662"/>
        <w:gridCol w:w="889"/>
        <w:gridCol w:w="790"/>
        <w:gridCol w:w="790"/>
        <w:gridCol w:w="710"/>
        <w:gridCol w:w="662"/>
        <w:gridCol w:w="889"/>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rPr>
              <w:rFonts w:ascii="宋体" w:hAnsi="宋体"/>
            </w:rPr>
            <w:tag w:val="_PLD_0b6f94bf734a49f28ff9eb2211eccc4e"/>
            <w:id w:val="361719487"/>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类别</w:t>
                </w:r>
              </w:p>
            </w:tc>
          </w:sdtContent>
        </w:sdt>
        <w:sdt>
          <w:sdtPr>
            <w:rPr>
              <w:rFonts w:ascii="宋体" w:hAnsi="宋体"/>
            </w:rPr>
            <w:tag w:val="_PLD_cadda055920649559b4578dc73b6f05e"/>
            <w:id w:val="400026895"/>
          </w:sdtPr>
          <w:sdtEndPr>
            <w:rPr>
              <w:rFonts w:ascii="宋体" w:hAnsi="宋体"/>
            </w:rPr>
          </w:sdtEndPr>
          <w:sdtContent>
            <w:tc>
              <w:tcPr>
                <w:tcW w:w="0" w:type="auto"/>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期末余额</w:t>
                </w:r>
              </w:p>
            </w:tc>
          </w:sdtContent>
        </w:sdt>
        <w:sdt>
          <w:sdtPr>
            <w:rPr>
              <w:rFonts w:ascii="宋体" w:hAnsi="宋体"/>
            </w:rPr>
            <w:tag w:val="_PLD_28a8aaa48276458aa987282704951cc5"/>
            <w:id w:val="-890804004"/>
          </w:sdtPr>
          <w:sdtEndPr>
            <w:rPr>
              <w:rFonts w:ascii="宋体" w:hAnsi="宋体"/>
            </w:rPr>
          </w:sdtEndPr>
          <w:sdtContent>
            <w:tc>
              <w:tcPr>
                <w:tcW w:w="0" w:type="auto"/>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0" w:type="auto"/>
            <w:vMerge w:val="continue"/>
            <w:tcBorders>
              <w:left w:val="single" w:color="auto" w:sz="4" w:space="0"/>
              <w:right w:val="single" w:color="auto" w:sz="4" w:space="0"/>
            </w:tcBorders>
            <w:vAlign w:val="center"/>
          </w:tcPr>
          <w:p>
            <w:pPr>
              <w:rPr>
                <w:rFonts w:ascii="宋体" w:hAnsi="宋体"/>
              </w:rPr>
            </w:pPr>
          </w:p>
        </w:tc>
        <w:sdt>
          <w:sdtPr>
            <w:rPr>
              <w:rFonts w:ascii="宋体" w:hAnsi="宋体"/>
            </w:rPr>
            <w:tag w:val="_PLD_b6e4cad360f948d68bd5af2c3f52e83a"/>
            <w:id w:val="194278206"/>
          </w:sdtPr>
          <w:sdtEndPr>
            <w:rPr>
              <w:rFonts w:ascii="宋体" w:hAnsi="宋体"/>
            </w:rPr>
          </w:sdtEndPr>
          <w:sdtContent>
            <w:tc>
              <w:tcPr>
                <w:tcW w:w="0" w:type="auto"/>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1812a70770914fa4b8145f493ad4c468"/>
            <w:id w:val="1650096369"/>
          </w:sdtPr>
          <w:sdtEndPr>
            <w:rPr>
              <w:rFonts w:ascii="宋体" w:hAnsi="宋体"/>
            </w:rPr>
          </w:sdtEndPr>
          <w:sdtContent>
            <w:tc>
              <w:tcPr>
                <w:tcW w:w="0" w:type="auto"/>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970be2ae3a84456bb0feb4eb360d2b2f"/>
            <w:id w:val="128214939"/>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sdt>
          <w:sdtPr>
            <w:rPr>
              <w:rFonts w:ascii="宋体" w:hAnsi="宋体"/>
            </w:rPr>
            <w:tag w:val="_PLD_be04f05fbfa341e1a7546ee304164c92"/>
            <w:id w:val="-55472969"/>
          </w:sdtPr>
          <w:sdtEndPr>
            <w:rPr>
              <w:rFonts w:ascii="宋体" w:hAnsi="宋体"/>
            </w:rPr>
          </w:sdtEndPr>
          <w:sdtContent>
            <w:tc>
              <w:tcPr>
                <w:tcW w:w="0" w:type="auto"/>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708baf88b6ab4f6ca208582ef2033d3e"/>
            <w:id w:val="-1256118999"/>
          </w:sdtPr>
          <w:sdtEndPr>
            <w:rPr>
              <w:rFonts w:ascii="宋体" w:hAnsi="宋体"/>
            </w:rPr>
          </w:sdtEndPr>
          <w:sdtContent>
            <w:tc>
              <w:tcPr>
                <w:tcW w:w="0" w:type="auto"/>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7c2453d3d43547428eaaafae8df8b7d0"/>
            <w:id w:val="-406298247"/>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0" w:type="auto"/>
            <w:vMerge w:val="continue"/>
            <w:tcBorders>
              <w:left w:val="single" w:color="auto" w:sz="4" w:space="0"/>
              <w:bottom w:val="single" w:color="auto" w:sz="4" w:space="0"/>
              <w:right w:val="single" w:color="auto" w:sz="4" w:space="0"/>
            </w:tcBorders>
            <w:vAlign w:val="center"/>
          </w:tcPr>
          <w:p>
            <w:pPr>
              <w:rPr>
                <w:rFonts w:ascii="宋体" w:hAnsi="宋体"/>
              </w:rPr>
            </w:pPr>
          </w:p>
        </w:tc>
        <w:sdt>
          <w:sdtPr>
            <w:rPr>
              <w:rFonts w:ascii="宋体" w:hAnsi="宋体"/>
            </w:rPr>
            <w:tag w:val="_PLD_c5c981ae53b144af90139d228c5285af"/>
            <w:id w:val="-1475977044"/>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c62cdb22fba648808acfebda9f29289b"/>
            <w:id w:val="-78445701"/>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ascii="宋体" w:hAnsi="宋体"/>
            </w:rPr>
            <w:tag w:val="_PLD_d259a31756a946a6a441328cc78413fc"/>
            <w:id w:val="-636873414"/>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f74078100e7348efb6fa93b2ac934809"/>
            <w:id w:val="-1788189562"/>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0" w:type="auto"/>
            <w:vMerge w:val="continue"/>
            <w:tcBorders>
              <w:left w:val="single" w:color="auto" w:sz="4" w:space="0"/>
              <w:bottom w:val="single" w:color="auto" w:sz="4" w:space="0"/>
              <w:right w:val="single" w:color="auto" w:sz="4" w:space="0"/>
            </w:tcBorders>
            <w:vAlign w:val="center"/>
          </w:tcPr>
          <w:p>
            <w:pPr>
              <w:jc w:val="center"/>
              <w:rPr>
                <w:rFonts w:ascii="宋体" w:hAnsi="宋体"/>
              </w:rPr>
            </w:pPr>
          </w:p>
        </w:tc>
        <w:sdt>
          <w:sdtPr>
            <w:rPr>
              <w:rFonts w:ascii="宋体" w:hAnsi="宋体"/>
            </w:rPr>
            <w:tag w:val="_PLD_4b188b463cd04b5f935c04bb97091ad7"/>
            <w:id w:val="-1199319211"/>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0eb49b8077f24050b883fe1c83156c6a"/>
            <w:id w:val="1078324310"/>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ascii="宋体" w:hAnsi="宋体"/>
            </w:rPr>
            <w:tag w:val="_PLD_97b959dafb2649fe9097ba91d4d77a2f"/>
            <w:id w:val="481514436"/>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99dda048c2a04725a5d8bfac8b356378"/>
            <w:id w:val="-594628998"/>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0" w:type="auto"/>
            <w:vMerge w:val="continue"/>
            <w:tcBorders>
              <w:left w:val="single" w:color="auto" w:sz="4" w:space="0"/>
              <w:bottom w:val="single" w:color="auto" w:sz="4" w:space="0"/>
              <w:right w:val="single" w:color="auto" w:sz="4" w:space="0"/>
            </w:tcBorders>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按单项计提坏账准备</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267,655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191,070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76,585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270,360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190,775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79,585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按组合计提坏账准备</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2,106,243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89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3,703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2,102,540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1,381,356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84</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2,651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1,378,705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spacing w:val="-20"/>
              <w:w w:val="80"/>
            </w:rPr>
            <w:tag w:val="_PLD_3e90aa50b20c494dafda2d9726e46570"/>
            <w:id w:val="-261844377"/>
          </w:sdtPr>
          <w:sdtEndPr>
            <w:rPr>
              <w:rFonts w:ascii="宋体" w:hAnsi="宋体"/>
              <w:spacing w:val="-20"/>
              <w:w w:val="80"/>
            </w:rPr>
          </w:sdtEndPr>
          <w:sdtContent>
            <w:tc>
              <w:tcPr>
                <w:tcW w:w="0" w:type="auto"/>
                <w:gridSpan w:val="11"/>
                <w:tcBorders>
                  <w:top w:val="single" w:color="auto" w:sz="4" w:space="0"/>
                  <w:left w:val="single" w:color="auto" w:sz="4" w:space="0"/>
                  <w:bottom w:val="single" w:color="auto" w:sz="4" w:space="0"/>
                  <w:right w:val="single" w:color="auto" w:sz="4" w:space="0"/>
                </w:tcBorders>
                <w:vAlign w:val="center"/>
              </w:tcPr>
              <w:p>
                <w:pPr>
                  <w:rPr>
                    <w:rFonts w:ascii="宋体" w:hAnsi="宋体"/>
                    <w:spacing w:val="-20"/>
                    <w:w w:val="80"/>
                  </w:rPr>
                </w:pPr>
                <w:r>
                  <w:rPr>
                    <w:rFonts w:hint="eastAsia" w:ascii="宋体" w:hAnsi="宋体"/>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color w:val="808080"/>
              </w:rPr>
            </w:pPr>
            <w:r>
              <w:rPr>
                <w:rFonts w:hint="eastAsia" w:ascii="宋体" w:hAnsi="宋体"/>
              </w:rPr>
              <w:t>账龄组合</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148,532</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3,703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144,829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100,116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2,651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97,465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color w:val="808080"/>
              </w:rPr>
            </w:pPr>
            <w:r>
              <w:rPr>
                <w:rFonts w:hint="eastAsia" w:ascii="宋体" w:hAnsi="宋体"/>
              </w:rPr>
              <w:t>关联方组合</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1,957,711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83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1,957,711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1,281,240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78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1,281,240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rPr>
              <w:t>合计</w:t>
            </w:r>
          </w:p>
        </w:tc>
        <w:tc>
          <w:tcPr>
            <w:tcW w:w="0" w:type="auto"/>
            <w:tcBorders>
              <w:top w:val="single" w:color="auto" w:sz="4" w:space="0"/>
              <w:left w:val="single" w:color="auto" w:sz="4" w:space="0"/>
              <w:bottom w:val="single" w:color="auto" w:sz="4" w:space="0"/>
              <w:right w:val="single" w:color="auto" w:sz="4" w:space="0"/>
            </w:tcBorders>
          </w:tcPr>
          <w:p>
            <w:pPr>
              <w:jc w:val="right"/>
              <w:rPr>
                <w:rFonts w:ascii="宋体" w:hAnsi="宋体"/>
                <w:spacing w:val="-20"/>
                <w:w w:val="80"/>
              </w:rPr>
            </w:pPr>
            <w:r>
              <w:rPr>
                <w:rFonts w:ascii="宋体" w:hAnsi="宋体"/>
                <w:spacing w:val="-20"/>
                <w:w w:val="80"/>
              </w:rPr>
              <w:t>2,373,898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w:t>
            </w:r>
            <w:r>
              <w:rPr>
                <w:rFonts w:ascii="宋体" w:hAnsi="宋体"/>
                <w:spacing w:val="-20"/>
                <w:w w:val="80"/>
              </w:rPr>
              <w:t>00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194,773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2,179,125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1,651,716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w:t>
            </w:r>
            <w:r>
              <w:rPr>
                <w:rFonts w:ascii="宋体" w:hAnsi="宋体"/>
                <w:spacing w:val="-20"/>
                <w:w w:val="80"/>
              </w:rPr>
              <w:t>00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193,426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hint="eastAsia" w:ascii="宋体" w:hAnsi="宋体"/>
                <w:spacing w:val="-20"/>
                <w:w w:val="80"/>
              </w:rPr>
              <w:t>1</w:t>
            </w:r>
            <w:r>
              <w:rPr>
                <w:rFonts w:ascii="宋体" w:hAnsi="宋体"/>
                <w:spacing w:val="-20"/>
                <w:w w:val="80"/>
              </w:rPr>
              <w:t>2</w:t>
            </w:r>
          </w:p>
        </w:tc>
        <w:tc>
          <w:tcPr>
            <w:tcW w:w="0" w:type="auto"/>
            <w:tcBorders>
              <w:top w:val="single" w:color="auto" w:sz="4" w:space="0"/>
              <w:left w:val="single" w:color="auto" w:sz="4" w:space="0"/>
              <w:bottom w:val="single" w:color="auto" w:sz="4" w:space="0"/>
              <w:right w:val="single" w:color="auto" w:sz="4" w:space="0"/>
            </w:tcBorders>
          </w:tcPr>
          <w:p>
            <w:pPr>
              <w:jc w:val="right"/>
              <w:rPr>
                <w:rFonts w:ascii="宋体" w:hAnsi="宋体"/>
                <w:spacing w:val="-20"/>
                <w:w w:val="80"/>
              </w:rPr>
            </w:pPr>
            <w:r>
              <w:rPr>
                <w:rFonts w:ascii="宋体" w:hAnsi="宋体"/>
                <w:spacing w:val="-20"/>
                <w:w w:val="80"/>
              </w:rPr>
              <w:t>1,458,290</w:t>
            </w:r>
          </w:p>
        </w:tc>
      </w:tr>
    </w:tbl>
    <w:p>
      <w:pPr>
        <w:pStyle w:val="531"/>
      </w:pPr>
    </w:p>
    <w:p>
      <w:pPr>
        <w:pStyle w:val="501"/>
      </w:pPr>
      <w:r>
        <w:rPr>
          <w:rFonts w:hint="eastAsia"/>
        </w:rPr>
        <w:t>按单项计提坏账准备：</w:t>
      </w:r>
    </w:p>
    <w:sdt>
      <w:sdtPr>
        <w:alias w:val="是否适用：母公司应收账款按单项计提坏账准备[双击切换]"/>
        <w:tag w:val="_GBC_1cd34dae0bf14ebba3d99534844e7d95"/>
        <w:id w:val="-650526220"/>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pPr>
      <w:r>
        <w:rPr>
          <w:rFonts w:hint="eastAsia"/>
        </w:rPr>
        <w:t>位：</w:t>
      </w:r>
      <w:sdt>
        <w:sdtPr>
          <w:rPr>
            <w:rFonts w:hint="eastAsia"/>
          </w:rPr>
          <w:alias w:val="单位：母公司应收账款按单项计提坏账准备"/>
          <w:tag w:val="_GBC_92bc20ad98a2451daf91a5a49b199fd6"/>
          <w:id w:val="500008601"/>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母公司应收账款按单项计提坏账准备"/>
          <w:tag w:val="_GBC_0a6db35d2d144335a2ac2dfe3b629ff1"/>
          <w:id w:val="-8114972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1278"/>
        <w:gridCol w:w="1285"/>
        <w:gridCol w:w="1230"/>
        <w:gridCol w:w="1232"/>
        <w:gridCol w:w="1230"/>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bf06f48741cf4f8683629bc86fe4253a"/>
            <w:id w:val="-114597095"/>
          </w:sdtPr>
          <w:sdtEndPr>
            <w:rPr>
              <w:rFonts w:ascii="宋体" w:hAnsi="宋体"/>
            </w:rPr>
          </w:sdtEndPr>
          <w:sdtContent>
            <w:tc>
              <w:tcPr>
                <w:tcW w:w="917" w:type="pct"/>
                <w:vMerge w:val="restart"/>
                <w:vAlign w:val="center"/>
              </w:tcPr>
              <w:p>
                <w:pPr>
                  <w:jc w:val="center"/>
                  <w:rPr>
                    <w:rFonts w:ascii="宋体" w:hAnsi="宋体"/>
                  </w:rPr>
                </w:pPr>
                <w:r>
                  <w:rPr>
                    <w:rFonts w:hint="eastAsia" w:ascii="宋体" w:hAnsi="宋体"/>
                  </w:rPr>
                  <w:t>名称</w:t>
                </w:r>
              </w:p>
            </w:tc>
          </w:sdtContent>
        </w:sdt>
        <w:tc>
          <w:tcPr>
            <w:tcW w:w="1452" w:type="pct"/>
            <w:gridSpan w:val="2"/>
            <w:vAlign w:val="center"/>
          </w:tcPr>
          <w:p>
            <w:pPr>
              <w:jc w:val="center"/>
              <w:rPr>
                <w:rFonts w:ascii="宋体" w:hAnsi="宋体"/>
              </w:rPr>
            </w:pPr>
            <w:r>
              <w:rPr>
                <w:rFonts w:hint="eastAsia" w:ascii="宋体" w:hAnsi="宋体"/>
              </w:rPr>
              <w:t>期初余额</w:t>
            </w:r>
          </w:p>
        </w:tc>
        <w:sdt>
          <w:sdtPr>
            <w:rPr>
              <w:rFonts w:ascii="宋体" w:hAnsi="宋体"/>
            </w:rPr>
            <w:tag w:val="_PLD_e8eabae632cb4a738dba30bece28c3a8"/>
            <w:id w:val="399103449"/>
          </w:sdtPr>
          <w:sdtEndPr>
            <w:rPr>
              <w:rFonts w:ascii="宋体" w:hAnsi="宋体"/>
            </w:rPr>
          </w:sdtEndPr>
          <w:sdtContent>
            <w:tc>
              <w:tcPr>
                <w:tcW w:w="2630" w:type="pct"/>
                <w:gridSpan w:val="4"/>
                <w:vAlign w:val="center"/>
              </w:tcPr>
              <w:p>
                <w:pPr>
                  <w:jc w:val="center"/>
                  <w:rPr>
                    <w:rFonts w:ascii="宋体" w:hAnsi="宋体"/>
                  </w:rPr>
                </w:pPr>
                <w:r>
                  <w:rPr>
                    <w:rFonts w:hint="eastAsia"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Merge w:val="continue"/>
          </w:tcPr>
          <w:p>
            <w:pPr>
              <w:jc w:val="center"/>
              <w:rPr>
                <w:rFonts w:ascii="宋体" w:hAnsi="宋体"/>
              </w:rPr>
            </w:pPr>
          </w:p>
        </w:tc>
        <w:tc>
          <w:tcPr>
            <w:tcW w:w="724" w:type="pct"/>
            <w:vAlign w:val="center"/>
          </w:tcPr>
          <w:p>
            <w:pPr>
              <w:jc w:val="center"/>
              <w:rPr>
                <w:rFonts w:ascii="宋体" w:hAnsi="宋体"/>
              </w:rPr>
            </w:pPr>
            <w:r>
              <w:rPr>
                <w:rFonts w:hint="eastAsia" w:ascii="宋体" w:hAnsi="宋体"/>
              </w:rPr>
              <w:t>账面余额</w:t>
            </w:r>
          </w:p>
        </w:tc>
        <w:tc>
          <w:tcPr>
            <w:tcW w:w="728" w:type="pct"/>
            <w:vAlign w:val="center"/>
          </w:tcPr>
          <w:p>
            <w:pPr>
              <w:jc w:val="center"/>
              <w:rPr>
                <w:rFonts w:ascii="宋体" w:hAnsi="宋体"/>
              </w:rPr>
            </w:pPr>
            <w:r>
              <w:rPr>
                <w:rFonts w:hint="eastAsia" w:ascii="宋体" w:hAnsi="宋体"/>
              </w:rPr>
              <w:t>坏账准备</w:t>
            </w:r>
          </w:p>
        </w:tc>
        <w:sdt>
          <w:sdtPr>
            <w:rPr>
              <w:rFonts w:ascii="宋体" w:hAnsi="宋体"/>
            </w:rPr>
            <w:tag w:val="_PLD_0ea49c9284ac4750b9c5ffe19ec4732c"/>
            <w:id w:val="1091980000"/>
          </w:sdtPr>
          <w:sdtEndPr>
            <w:rPr>
              <w:rFonts w:ascii="宋体" w:hAnsi="宋体"/>
            </w:rPr>
          </w:sdtEndPr>
          <w:sdtContent>
            <w:tc>
              <w:tcPr>
                <w:tcW w:w="697" w:type="pct"/>
                <w:vAlign w:val="center"/>
              </w:tcPr>
              <w:p>
                <w:pPr>
                  <w:jc w:val="center"/>
                  <w:rPr>
                    <w:rFonts w:ascii="宋体" w:hAnsi="宋体"/>
                  </w:rPr>
                </w:pPr>
                <w:r>
                  <w:rPr>
                    <w:rFonts w:hint="eastAsia" w:ascii="宋体" w:hAnsi="宋体"/>
                  </w:rPr>
                  <w:t>账面余额</w:t>
                </w:r>
              </w:p>
            </w:tc>
          </w:sdtContent>
        </w:sdt>
        <w:sdt>
          <w:sdtPr>
            <w:rPr>
              <w:rFonts w:ascii="宋体" w:hAnsi="宋体"/>
            </w:rPr>
            <w:tag w:val="_PLD_4e5b035254d34ab286177f908a392849"/>
            <w:id w:val="-927111918"/>
          </w:sdtPr>
          <w:sdtEndPr>
            <w:rPr>
              <w:rFonts w:ascii="宋体" w:hAnsi="宋体"/>
            </w:rPr>
          </w:sdtEndPr>
          <w:sdtContent>
            <w:tc>
              <w:tcPr>
                <w:tcW w:w="698" w:type="pct"/>
                <w:vAlign w:val="center"/>
              </w:tcPr>
              <w:p>
                <w:pPr>
                  <w:jc w:val="center"/>
                  <w:rPr>
                    <w:rFonts w:ascii="宋体" w:hAnsi="宋体"/>
                  </w:rPr>
                </w:pPr>
                <w:r>
                  <w:rPr>
                    <w:rFonts w:hint="eastAsia" w:ascii="宋体" w:hAnsi="宋体"/>
                  </w:rPr>
                  <w:t>坏账准备</w:t>
                </w:r>
              </w:p>
            </w:tc>
          </w:sdtContent>
        </w:sdt>
        <w:sdt>
          <w:sdtPr>
            <w:rPr>
              <w:rFonts w:ascii="宋体" w:hAnsi="宋体"/>
            </w:rPr>
            <w:tag w:val="_PLD_9316156bac3c45f593fc5f35e8e28833"/>
            <w:id w:val="-1407291896"/>
          </w:sdtPr>
          <w:sdtEndPr>
            <w:rPr>
              <w:rFonts w:ascii="宋体" w:hAnsi="宋体"/>
            </w:rPr>
          </w:sdtEndPr>
          <w:sdtContent>
            <w:tc>
              <w:tcPr>
                <w:tcW w:w="697" w:type="pct"/>
                <w:vAlign w:val="center"/>
              </w:tcPr>
              <w:p>
                <w:pPr>
                  <w:jc w:val="center"/>
                  <w:rPr>
                    <w:rFonts w:ascii="宋体" w:hAnsi="宋体"/>
                  </w:rPr>
                </w:pPr>
                <w:r>
                  <w:rPr>
                    <w:rFonts w:ascii="宋体" w:hAnsi="宋体"/>
                  </w:rPr>
                  <w:t>计提比例</w:t>
                </w:r>
                <w:r>
                  <w:rPr>
                    <w:rFonts w:hint="eastAsia" w:ascii="宋体" w:hAnsi="宋体"/>
                  </w:rPr>
                  <w:t>（%）</w:t>
                </w:r>
              </w:p>
            </w:tc>
          </w:sdtContent>
        </w:sdt>
        <w:sdt>
          <w:sdtPr>
            <w:rPr>
              <w:rFonts w:ascii="宋体" w:hAnsi="宋体"/>
            </w:rPr>
            <w:tag w:val="_PLD_20dce80930bd4c9eb9bd96af960a880b"/>
            <w:id w:val="2090739415"/>
          </w:sdtPr>
          <w:sdtEndPr>
            <w:rPr>
              <w:rFonts w:ascii="宋体" w:hAnsi="宋体"/>
            </w:rPr>
          </w:sdtEndPr>
          <w:sdtContent>
            <w:tc>
              <w:tcPr>
                <w:tcW w:w="538" w:type="pct"/>
                <w:vAlign w:val="center"/>
              </w:tcPr>
              <w:p>
                <w:pPr>
                  <w:jc w:val="center"/>
                  <w:rPr>
                    <w:rFonts w:ascii="宋体" w:hAnsi="宋体"/>
                  </w:rPr>
                </w:pPr>
                <w:r>
                  <w:rPr>
                    <w:rFonts w:hint="eastAsia" w:ascii="宋体" w:hAnsi="宋体"/>
                  </w:rPr>
                  <w:t>计提理由</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Align w:val="center"/>
          </w:tcPr>
          <w:p>
            <w:pPr>
              <w:rPr>
                <w:rFonts w:ascii="宋体" w:hAnsi="宋体"/>
              </w:rPr>
            </w:pPr>
            <w:r>
              <w:rPr>
                <w:rFonts w:hint="eastAsia" w:ascii="宋体" w:hAnsi="宋体"/>
              </w:rPr>
              <w:t>公司1</w:t>
            </w:r>
          </w:p>
        </w:tc>
        <w:tc>
          <w:tcPr>
            <w:tcW w:w="724" w:type="pct"/>
            <w:vAlign w:val="center"/>
          </w:tcPr>
          <w:p>
            <w:pPr>
              <w:jc w:val="right"/>
              <w:rPr>
                <w:rFonts w:ascii="宋体" w:hAnsi="宋体"/>
              </w:rPr>
            </w:pPr>
            <w:r>
              <w:rPr>
                <w:rFonts w:hint="eastAsia" w:ascii="宋体" w:hAnsi="宋体"/>
              </w:rPr>
              <w:t>265,282</w:t>
            </w:r>
          </w:p>
        </w:tc>
        <w:tc>
          <w:tcPr>
            <w:tcW w:w="728" w:type="pct"/>
            <w:vAlign w:val="center"/>
          </w:tcPr>
          <w:p>
            <w:pPr>
              <w:jc w:val="right"/>
              <w:rPr>
                <w:rFonts w:ascii="宋体" w:hAnsi="宋体"/>
              </w:rPr>
            </w:pPr>
            <w:r>
              <w:rPr>
                <w:rFonts w:hint="eastAsia" w:ascii="宋体" w:hAnsi="宋体"/>
              </w:rPr>
              <w:t>185,697</w:t>
            </w:r>
          </w:p>
        </w:tc>
        <w:tc>
          <w:tcPr>
            <w:tcW w:w="697" w:type="pct"/>
            <w:vAlign w:val="center"/>
          </w:tcPr>
          <w:p>
            <w:pPr>
              <w:jc w:val="right"/>
              <w:rPr>
                <w:rFonts w:ascii="宋体" w:hAnsi="宋体"/>
              </w:rPr>
            </w:pPr>
            <w:r>
              <w:rPr>
                <w:rFonts w:hint="eastAsia" w:ascii="宋体" w:hAnsi="宋体"/>
              </w:rPr>
              <w:t>262,282</w:t>
            </w:r>
          </w:p>
        </w:tc>
        <w:tc>
          <w:tcPr>
            <w:tcW w:w="698" w:type="pct"/>
            <w:vAlign w:val="center"/>
          </w:tcPr>
          <w:p>
            <w:pPr>
              <w:jc w:val="right"/>
              <w:rPr>
                <w:rFonts w:ascii="宋体" w:hAnsi="宋体"/>
              </w:rPr>
            </w:pPr>
            <w:r>
              <w:rPr>
                <w:rFonts w:hint="eastAsia" w:ascii="宋体" w:hAnsi="宋体"/>
              </w:rPr>
              <w:t>185,697</w:t>
            </w:r>
          </w:p>
        </w:tc>
        <w:tc>
          <w:tcPr>
            <w:tcW w:w="697" w:type="pct"/>
            <w:vAlign w:val="center"/>
          </w:tcPr>
          <w:p>
            <w:pPr>
              <w:jc w:val="right"/>
              <w:rPr>
                <w:rFonts w:ascii="宋体" w:hAnsi="宋体"/>
              </w:rPr>
            </w:pPr>
            <w:r>
              <w:rPr>
                <w:rFonts w:hint="eastAsia" w:ascii="宋体" w:hAnsi="宋体"/>
              </w:rPr>
              <w:t>71</w:t>
            </w:r>
          </w:p>
        </w:tc>
        <w:tc>
          <w:tcPr>
            <w:tcW w:w="538" w:type="pct"/>
          </w:tcPr>
          <w:p>
            <w:pPr>
              <w:rPr>
                <w:rFonts w:ascii="宋体" w:hAnsi="宋体"/>
                <w:highlight w:val="yellow"/>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vAlign w:val="center"/>
          </w:tcPr>
          <w:p>
            <w:pPr>
              <w:rPr>
                <w:rFonts w:ascii="宋体" w:hAnsi="宋体"/>
              </w:rPr>
            </w:pPr>
            <w:r>
              <w:rPr>
                <w:rFonts w:hint="eastAsia" w:ascii="宋体" w:hAnsi="宋体"/>
              </w:rPr>
              <w:t>公司</w:t>
            </w:r>
            <w:r>
              <w:rPr>
                <w:rFonts w:ascii="宋体" w:hAnsi="宋体"/>
              </w:rPr>
              <w:t>2</w:t>
            </w:r>
          </w:p>
        </w:tc>
        <w:tc>
          <w:tcPr>
            <w:tcW w:w="724" w:type="pct"/>
            <w:vAlign w:val="center"/>
          </w:tcPr>
          <w:p>
            <w:pPr>
              <w:jc w:val="right"/>
              <w:rPr>
                <w:rFonts w:ascii="宋体" w:hAnsi="宋体"/>
              </w:rPr>
            </w:pPr>
            <w:r>
              <w:rPr>
                <w:rFonts w:hint="eastAsia" w:ascii="宋体" w:hAnsi="宋体"/>
              </w:rPr>
              <w:t>5,078</w:t>
            </w:r>
          </w:p>
        </w:tc>
        <w:tc>
          <w:tcPr>
            <w:tcW w:w="728" w:type="pct"/>
            <w:vAlign w:val="center"/>
          </w:tcPr>
          <w:p>
            <w:pPr>
              <w:jc w:val="right"/>
              <w:rPr>
                <w:rFonts w:ascii="宋体" w:hAnsi="宋体"/>
              </w:rPr>
            </w:pPr>
            <w:r>
              <w:rPr>
                <w:rFonts w:hint="eastAsia" w:ascii="宋体" w:hAnsi="宋体"/>
              </w:rPr>
              <w:t>5,078</w:t>
            </w:r>
          </w:p>
        </w:tc>
        <w:tc>
          <w:tcPr>
            <w:tcW w:w="697" w:type="pct"/>
            <w:vAlign w:val="center"/>
          </w:tcPr>
          <w:p>
            <w:pPr>
              <w:jc w:val="right"/>
              <w:rPr>
                <w:rFonts w:ascii="宋体" w:hAnsi="宋体"/>
              </w:rPr>
            </w:pPr>
            <w:r>
              <w:rPr>
                <w:rFonts w:asciiTheme="majorEastAsia" w:hAnsiTheme="majorEastAsia" w:eastAsiaTheme="majorEastAsia"/>
                <w:sz w:val="22"/>
                <w:szCs w:val="22"/>
              </w:rPr>
              <w:t>4,769</w:t>
            </w:r>
          </w:p>
        </w:tc>
        <w:tc>
          <w:tcPr>
            <w:tcW w:w="698" w:type="pct"/>
            <w:vAlign w:val="center"/>
          </w:tcPr>
          <w:p>
            <w:pPr>
              <w:jc w:val="right"/>
              <w:rPr>
                <w:rFonts w:ascii="宋体" w:hAnsi="宋体"/>
              </w:rPr>
            </w:pPr>
            <w:r>
              <w:rPr>
                <w:rFonts w:asciiTheme="majorEastAsia" w:hAnsiTheme="majorEastAsia" w:eastAsiaTheme="majorEastAsia"/>
                <w:sz w:val="22"/>
                <w:szCs w:val="22"/>
              </w:rPr>
              <w:t>4,769</w:t>
            </w:r>
          </w:p>
        </w:tc>
        <w:tc>
          <w:tcPr>
            <w:tcW w:w="697" w:type="pct"/>
            <w:vAlign w:val="center"/>
          </w:tcPr>
          <w:p>
            <w:pPr>
              <w:jc w:val="right"/>
              <w:rPr>
                <w:rFonts w:ascii="宋体" w:hAnsi="宋体"/>
              </w:rPr>
            </w:pPr>
            <w:r>
              <w:rPr>
                <w:rFonts w:hint="eastAsia" w:ascii="宋体" w:hAnsi="宋体"/>
              </w:rPr>
              <w:t>1</w:t>
            </w:r>
            <w:r>
              <w:rPr>
                <w:rFonts w:ascii="宋体" w:hAnsi="宋体"/>
              </w:rPr>
              <w:t>00</w:t>
            </w:r>
          </w:p>
        </w:tc>
        <w:tc>
          <w:tcPr>
            <w:tcW w:w="538" w:type="pct"/>
          </w:tcPr>
          <w:p>
            <w:pPr>
              <w:rPr>
                <w:rFonts w:ascii="宋体" w:hAnsi="宋体"/>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Pr>
          <w:p>
            <w:pPr>
              <w:rPr>
                <w:rFonts w:ascii="宋体" w:hAnsi="宋体"/>
              </w:rPr>
            </w:pPr>
            <w:r>
              <w:rPr>
                <w:rFonts w:hint="eastAsia" w:ascii="宋体" w:hAnsi="宋体"/>
              </w:rPr>
              <w:t>其他不重大客户</w:t>
            </w:r>
          </w:p>
        </w:tc>
        <w:tc>
          <w:tcPr>
            <w:tcW w:w="724" w:type="pct"/>
            <w:vAlign w:val="center"/>
          </w:tcPr>
          <w:p>
            <w:pPr>
              <w:jc w:val="right"/>
              <w:rPr>
                <w:rFonts w:ascii="宋体" w:hAnsi="宋体"/>
              </w:rPr>
            </w:pPr>
          </w:p>
        </w:tc>
        <w:tc>
          <w:tcPr>
            <w:tcW w:w="728" w:type="pct"/>
            <w:vAlign w:val="center"/>
          </w:tcPr>
          <w:p>
            <w:pPr>
              <w:jc w:val="right"/>
              <w:rPr>
                <w:rFonts w:ascii="宋体" w:hAnsi="宋体"/>
              </w:rPr>
            </w:pPr>
          </w:p>
        </w:tc>
        <w:tc>
          <w:tcPr>
            <w:tcW w:w="697" w:type="pct"/>
            <w:vAlign w:val="center"/>
          </w:tcPr>
          <w:p>
            <w:pPr>
              <w:jc w:val="right"/>
              <w:rPr>
                <w:rFonts w:ascii="宋体" w:hAnsi="宋体"/>
              </w:rPr>
            </w:pPr>
            <w:r>
              <w:rPr>
                <w:rFonts w:ascii="宋体" w:hAnsi="宋体"/>
              </w:rPr>
              <w:t>604</w:t>
            </w:r>
          </w:p>
        </w:tc>
        <w:tc>
          <w:tcPr>
            <w:tcW w:w="698" w:type="pct"/>
            <w:vAlign w:val="center"/>
          </w:tcPr>
          <w:p>
            <w:pPr>
              <w:jc w:val="right"/>
              <w:rPr>
                <w:rFonts w:ascii="宋体" w:hAnsi="宋体"/>
              </w:rPr>
            </w:pPr>
            <w:r>
              <w:rPr>
                <w:rFonts w:hint="eastAsia" w:ascii="宋体" w:hAnsi="宋体"/>
              </w:rPr>
              <w:t>6</w:t>
            </w:r>
            <w:r>
              <w:rPr>
                <w:rFonts w:ascii="宋体" w:hAnsi="宋体"/>
              </w:rPr>
              <w:t>04</w:t>
            </w:r>
          </w:p>
        </w:tc>
        <w:tc>
          <w:tcPr>
            <w:tcW w:w="697" w:type="pct"/>
            <w:vAlign w:val="center"/>
          </w:tcPr>
          <w:p>
            <w:pPr>
              <w:jc w:val="right"/>
              <w:rPr>
                <w:rFonts w:ascii="宋体" w:hAnsi="宋体"/>
              </w:rPr>
            </w:pPr>
            <w:r>
              <w:rPr>
                <w:rFonts w:hint="eastAsia" w:ascii="宋体" w:hAnsi="宋体"/>
              </w:rPr>
              <w:t>100</w:t>
            </w:r>
          </w:p>
        </w:tc>
        <w:tc>
          <w:tcPr>
            <w:tcW w:w="538" w:type="pct"/>
          </w:tcPr>
          <w:p>
            <w:pPr>
              <w:rPr>
                <w:rFonts w:ascii="宋体" w:hAnsi="宋体"/>
                <w:highlight w:val="yellow"/>
              </w:rPr>
            </w:pPr>
            <w:r>
              <w:rPr>
                <w:rFonts w:hint="eastAsia" w:ascii="宋体" w:hAnsi="宋体"/>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917" w:type="pct"/>
          </w:tcPr>
          <w:p>
            <w:pPr>
              <w:jc w:val="center"/>
              <w:rPr>
                <w:rFonts w:ascii="宋体" w:hAnsi="宋体"/>
              </w:rPr>
            </w:pPr>
            <w:r>
              <w:rPr>
                <w:rFonts w:hint="eastAsia" w:ascii="宋体" w:hAnsi="宋体"/>
              </w:rPr>
              <w:t>合计</w:t>
            </w:r>
          </w:p>
        </w:tc>
        <w:tc>
          <w:tcPr>
            <w:tcW w:w="724" w:type="pct"/>
            <w:vAlign w:val="center"/>
          </w:tcPr>
          <w:p>
            <w:pPr>
              <w:jc w:val="right"/>
              <w:rPr>
                <w:rFonts w:ascii="宋体" w:hAnsi="宋体"/>
              </w:rPr>
            </w:pPr>
            <w:r>
              <w:rPr>
                <w:rFonts w:hint="eastAsia" w:ascii="宋体" w:hAnsi="宋体"/>
              </w:rPr>
              <w:t>270,360</w:t>
            </w:r>
          </w:p>
        </w:tc>
        <w:tc>
          <w:tcPr>
            <w:tcW w:w="728" w:type="pct"/>
            <w:vAlign w:val="center"/>
          </w:tcPr>
          <w:p>
            <w:pPr>
              <w:jc w:val="right"/>
              <w:rPr>
                <w:rFonts w:ascii="宋体" w:hAnsi="宋体"/>
              </w:rPr>
            </w:pPr>
            <w:r>
              <w:rPr>
                <w:rFonts w:hint="eastAsia" w:ascii="宋体" w:hAnsi="宋体"/>
              </w:rPr>
              <w:t>190,775</w:t>
            </w:r>
          </w:p>
        </w:tc>
        <w:tc>
          <w:tcPr>
            <w:tcW w:w="697" w:type="pct"/>
            <w:vAlign w:val="center"/>
          </w:tcPr>
          <w:p>
            <w:pPr>
              <w:jc w:val="right"/>
              <w:rPr>
                <w:rFonts w:ascii="宋体" w:hAnsi="宋体"/>
              </w:rPr>
            </w:pPr>
            <w:r>
              <w:rPr>
                <w:rFonts w:ascii="宋体" w:hAnsi="宋体"/>
              </w:rPr>
              <w:t>267,655</w:t>
            </w:r>
          </w:p>
        </w:tc>
        <w:tc>
          <w:tcPr>
            <w:tcW w:w="698" w:type="pct"/>
            <w:vAlign w:val="center"/>
          </w:tcPr>
          <w:p>
            <w:pPr>
              <w:jc w:val="right"/>
              <w:rPr>
                <w:rFonts w:ascii="宋体" w:hAnsi="宋体"/>
              </w:rPr>
            </w:pPr>
            <w:r>
              <w:rPr>
                <w:rFonts w:ascii="宋体" w:hAnsi="宋体"/>
              </w:rPr>
              <w:t>191,070</w:t>
            </w:r>
          </w:p>
        </w:tc>
        <w:tc>
          <w:tcPr>
            <w:tcW w:w="697" w:type="pct"/>
            <w:vAlign w:val="center"/>
          </w:tcPr>
          <w:p>
            <w:pPr>
              <w:jc w:val="right"/>
              <w:rPr>
                <w:rFonts w:ascii="宋体" w:hAnsi="宋体"/>
              </w:rPr>
            </w:pPr>
            <w:r>
              <w:rPr>
                <w:rFonts w:ascii="宋体" w:hAnsi="宋体"/>
              </w:rPr>
              <w:t>71</w:t>
            </w:r>
          </w:p>
        </w:tc>
        <w:tc>
          <w:tcPr>
            <w:tcW w:w="538" w:type="pct"/>
          </w:tcPr>
          <w:p>
            <w:pPr>
              <w:jc w:val="center"/>
              <w:rPr>
                <w:rFonts w:ascii="宋体" w:hAnsi="宋体"/>
              </w:rPr>
            </w:pPr>
            <w:r>
              <w:rPr>
                <w:rFonts w:hint="eastAsia" w:ascii="宋体" w:hAnsi="宋体"/>
              </w:rPr>
              <w:t>/</w:t>
            </w:r>
          </w:p>
        </w:tc>
      </w:tr>
    </w:tbl>
    <w:p>
      <w:pPr>
        <w:pStyle w:val="501"/>
      </w:pPr>
    </w:p>
    <w:p>
      <w:pPr>
        <w:pStyle w:val="501"/>
      </w:pPr>
      <w:r>
        <w:rPr>
          <w:rFonts w:hint="eastAsia"/>
        </w:rPr>
        <w:t>按单项计提坏账准备的说明：</w:t>
      </w:r>
    </w:p>
    <w:sdt>
      <w:sdtPr>
        <w:alias w:val="是否适用：母公司应收账款按单项计提坏账准备的说明[双击切换]"/>
        <w:tag w:val="_GBC_30d6fcd4135245dd83d85379087b4e62"/>
        <w:id w:val="1294180156"/>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sdt>
      <w:sdtPr>
        <w:rPr>
          <w:rFonts w:hint="eastAsia"/>
        </w:rPr>
        <w:tag w:val="_PLD_23aec57fe4b34ac2aa7d42cb52467101"/>
        <w:id w:val="354854787"/>
        <w:placeholder>
          <w:docPart w:val="GBC22222222222222222222222222222"/>
        </w:placeholder>
      </w:sdtPr>
      <w:sdtEndPr>
        <w:rPr>
          <w:rFonts w:hint="eastAsia"/>
        </w:rPr>
      </w:sdtEndPr>
      <w:sdtContent>
        <w:p>
          <w:pPr>
            <w:pStyle w:val="501"/>
          </w:pPr>
          <w:r>
            <w:rPr>
              <w:rFonts w:hint="eastAsia"/>
            </w:rPr>
            <w:t>按组合计提坏账准备：</w:t>
          </w:r>
        </w:p>
      </w:sdtContent>
    </w:sdt>
    <w:sdt>
      <w:sdtPr>
        <w:alias w:val="是否适用：母公司应收账款按组合计提坏账准备[双击切换]"/>
        <w:tag w:val="_GBC_70ac43d24876403083fb1d281c12cd7e"/>
        <w:id w:val="-1142876777"/>
        <w:lock w:val="contentLocked"/>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1988218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母公司应收账款按组合计提坏账准备"/>
          <w:tag w:val="_GBC_f64b56aa027540f0b7ab78abc6fef514"/>
          <w:id w:val="5901309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3"/>
        <w:gridCol w:w="2252"/>
        <w:gridCol w:w="2292"/>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rPr>
              <w:rFonts w:ascii="宋体" w:hAnsi="宋体"/>
            </w:rPr>
            <w:tag w:val="_PLD_685d7e84e47740668b70cce04f42de5b"/>
            <w:id w:val="1074165147"/>
          </w:sdtPr>
          <w:sdtEndPr>
            <w:rPr>
              <w:rFonts w:ascii="宋体" w:hAnsi="宋体"/>
            </w:rPr>
          </w:sdtEndPr>
          <w:sdtContent>
            <w:tc>
              <w:tcPr>
                <w:tcW w:w="1158" w:type="pct"/>
                <w:vMerge w:val="restart"/>
                <w:vAlign w:val="center"/>
              </w:tcPr>
              <w:p>
                <w:pPr>
                  <w:jc w:val="center"/>
                  <w:rPr>
                    <w:rFonts w:ascii="宋体" w:hAnsi="宋体"/>
                  </w:rPr>
                </w:pPr>
                <w:r>
                  <w:rPr>
                    <w:rFonts w:hint="eastAsia" w:ascii="宋体" w:hAnsi="宋体"/>
                  </w:rPr>
                  <w:t>名称</w:t>
                </w:r>
              </w:p>
            </w:tc>
          </w:sdtContent>
        </w:sdt>
        <w:sdt>
          <w:sdtPr>
            <w:rPr>
              <w:rFonts w:ascii="宋体" w:hAnsi="宋体"/>
            </w:rPr>
            <w:tag w:val="_PLD_80bd7906b1fa41658076794e93d74585"/>
            <w:id w:val="544796090"/>
          </w:sdtPr>
          <w:sdtEndPr>
            <w:rPr>
              <w:rFonts w:ascii="宋体" w:hAnsi="宋体"/>
            </w:rPr>
          </w:sdtEndPr>
          <w:sdtContent>
            <w:tc>
              <w:tcPr>
                <w:tcW w:w="3842" w:type="pct"/>
                <w:gridSpan w:val="3"/>
                <w:vAlign w:val="center"/>
              </w:tcPr>
              <w:p>
                <w:pPr>
                  <w:jc w:val="center"/>
                  <w:rPr>
                    <w:rFonts w:ascii="宋体" w:hAnsi="宋体"/>
                  </w:rPr>
                </w:pPr>
                <w:r>
                  <w:rPr>
                    <w:rFonts w:hint="eastAsia"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58" w:type="pct"/>
            <w:vMerge w:val="continue"/>
          </w:tcPr>
          <w:p>
            <w:pPr>
              <w:jc w:val="center"/>
              <w:rPr>
                <w:rFonts w:ascii="宋体" w:hAnsi="宋体"/>
              </w:rPr>
            </w:pPr>
          </w:p>
        </w:tc>
        <w:sdt>
          <w:sdtPr>
            <w:rPr>
              <w:rFonts w:ascii="宋体" w:hAnsi="宋体"/>
            </w:rPr>
            <w:tag w:val="_PLD_696cb3bb4809472f88c41396728262f5"/>
            <w:id w:val="1683318374"/>
          </w:sdtPr>
          <w:sdtEndPr>
            <w:rPr>
              <w:rFonts w:ascii="宋体" w:hAnsi="宋体"/>
            </w:rPr>
          </w:sdtEndPr>
          <w:sdtContent>
            <w:tc>
              <w:tcPr>
                <w:tcW w:w="1276" w:type="pct"/>
                <w:vAlign w:val="center"/>
              </w:tcPr>
              <w:p>
                <w:pPr>
                  <w:jc w:val="center"/>
                  <w:rPr>
                    <w:rFonts w:ascii="宋体" w:hAnsi="宋体"/>
                  </w:rPr>
                </w:pPr>
                <w:r>
                  <w:rPr>
                    <w:rFonts w:hint="eastAsia" w:ascii="宋体" w:hAnsi="宋体"/>
                  </w:rPr>
                  <w:t>应收账款</w:t>
                </w:r>
              </w:p>
            </w:tc>
          </w:sdtContent>
        </w:sdt>
        <w:sdt>
          <w:sdtPr>
            <w:rPr>
              <w:rFonts w:ascii="宋体" w:hAnsi="宋体"/>
            </w:rPr>
            <w:tag w:val="_PLD_70e2c6a60e9b4f08bbbb1a23cd403ade"/>
            <w:id w:val="-1402209835"/>
          </w:sdtPr>
          <w:sdtEndPr>
            <w:rPr>
              <w:rFonts w:ascii="宋体" w:hAnsi="宋体"/>
            </w:rPr>
          </w:sdtEndPr>
          <w:sdtContent>
            <w:tc>
              <w:tcPr>
                <w:tcW w:w="1299" w:type="pct"/>
                <w:vAlign w:val="center"/>
              </w:tcPr>
              <w:p>
                <w:pPr>
                  <w:jc w:val="center"/>
                  <w:rPr>
                    <w:rFonts w:ascii="宋体" w:hAnsi="宋体"/>
                  </w:rPr>
                </w:pPr>
                <w:r>
                  <w:rPr>
                    <w:rFonts w:hint="eastAsia" w:ascii="宋体" w:hAnsi="宋体"/>
                  </w:rPr>
                  <w:t>坏账准备</w:t>
                </w:r>
              </w:p>
            </w:tc>
          </w:sdtContent>
        </w:sdt>
        <w:sdt>
          <w:sdtPr>
            <w:rPr>
              <w:rFonts w:ascii="宋体" w:hAnsi="宋体"/>
            </w:rPr>
            <w:tag w:val="_PLD_1fd76d95bed54fc5b0c669cf7b1d5e18"/>
            <w:id w:val="-800461660"/>
          </w:sdtPr>
          <w:sdtEndPr>
            <w:rPr>
              <w:rFonts w:ascii="宋体" w:hAnsi="宋体"/>
            </w:rPr>
          </w:sdtEndPr>
          <w:sdtContent>
            <w:tc>
              <w:tcPr>
                <w:tcW w:w="1267" w:type="pct"/>
                <w:vAlign w:val="center"/>
              </w:tcPr>
              <w:p>
                <w:pPr>
                  <w:jc w:val="center"/>
                  <w:rPr>
                    <w:rFonts w:ascii="宋体" w:hAnsi="宋体"/>
                  </w:rPr>
                </w:pPr>
                <w:r>
                  <w:rPr>
                    <w:rFonts w:ascii="宋体" w:hAnsi="宋体"/>
                  </w:rPr>
                  <w:t>计提比例</w:t>
                </w:r>
                <w:r>
                  <w:rPr>
                    <w:rFonts w:hint="eastAsia" w:ascii="宋体" w:hAnsi="宋体"/>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rFonts w:ascii="宋体" w:hAnsi="宋体"/>
              </w:rPr>
            </w:pPr>
            <w:r>
              <w:rPr>
                <w:rFonts w:hint="eastAsia" w:ascii="宋体" w:hAnsi="宋体"/>
              </w:rPr>
              <w:t>1年以内</w:t>
            </w:r>
          </w:p>
        </w:tc>
        <w:tc>
          <w:tcPr>
            <w:tcW w:w="1276" w:type="pct"/>
            <w:vAlign w:val="center"/>
          </w:tcPr>
          <w:p>
            <w:pPr>
              <w:jc w:val="right"/>
              <w:rPr>
                <w:rFonts w:ascii="宋体" w:hAnsi="宋体"/>
              </w:rPr>
            </w:pPr>
            <w:r>
              <w:rPr>
                <w:rFonts w:hint="eastAsia" w:ascii="宋体" w:hAnsi="宋体"/>
              </w:rPr>
              <w:t>144,310</w:t>
            </w:r>
          </w:p>
        </w:tc>
        <w:tc>
          <w:tcPr>
            <w:tcW w:w="1299" w:type="pct"/>
            <w:vAlign w:val="center"/>
          </w:tcPr>
          <w:p>
            <w:pPr>
              <w:jc w:val="right"/>
              <w:rPr>
                <w:rFonts w:ascii="宋体" w:hAnsi="宋体"/>
              </w:rPr>
            </w:pPr>
            <w:r>
              <w:rPr>
                <w:rFonts w:hint="eastAsia" w:ascii="宋体" w:hAnsi="宋体"/>
              </w:rPr>
              <w:t>43</w:t>
            </w:r>
            <w:r>
              <w:rPr>
                <w:rFonts w:ascii="宋体" w:hAnsi="宋体"/>
              </w:rPr>
              <w:t>4</w:t>
            </w:r>
          </w:p>
        </w:tc>
        <w:tc>
          <w:tcPr>
            <w:tcW w:w="1267" w:type="pct"/>
            <w:vAlign w:val="center"/>
          </w:tcPr>
          <w:p>
            <w:pPr>
              <w:jc w:val="right"/>
              <w:rPr>
                <w:rFonts w:ascii="宋体" w:hAnsi="宋体"/>
              </w:rPr>
            </w:pPr>
            <w:r>
              <w:rPr>
                <w:rFonts w:hint="eastAsia" w:ascii="宋体" w:hAnsi="宋体"/>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rFonts w:ascii="宋体" w:hAnsi="宋体"/>
              </w:rPr>
            </w:pPr>
            <w:r>
              <w:rPr>
                <w:rFonts w:hint="eastAsia" w:ascii="宋体" w:hAnsi="宋体"/>
              </w:rPr>
              <w:t>1-2年</w:t>
            </w:r>
          </w:p>
        </w:tc>
        <w:tc>
          <w:tcPr>
            <w:tcW w:w="1276" w:type="pct"/>
            <w:vAlign w:val="center"/>
          </w:tcPr>
          <w:p>
            <w:pPr>
              <w:jc w:val="right"/>
              <w:rPr>
                <w:rFonts w:ascii="宋体" w:hAnsi="宋体"/>
              </w:rPr>
            </w:pPr>
            <w:r>
              <w:rPr>
                <w:rFonts w:hint="eastAsia" w:ascii="宋体" w:hAnsi="宋体"/>
              </w:rPr>
              <w:t>1,117</w:t>
            </w:r>
          </w:p>
        </w:tc>
        <w:tc>
          <w:tcPr>
            <w:tcW w:w="1299" w:type="pct"/>
            <w:vAlign w:val="center"/>
          </w:tcPr>
          <w:p>
            <w:pPr>
              <w:jc w:val="right"/>
              <w:rPr>
                <w:rFonts w:ascii="宋体" w:hAnsi="宋体"/>
              </w:rPr>
            </w:pPr>
            <w:r>
              <w:rPr>
                <w:rFonts w:hint="eastAsia" w:ascii="宋体" w:hAnsi="宋体"/>
              </w:rPr>
              <w:t>164</w:t>
            </w:r>
          </w:p>
        </w:tc>
        <w:tc>
          <w:tcPr>
            <w:tcW w:w="1267" w:type="pct"/>
            <w:vAlign w:val="center"/>
          </w:tcPr>
          <w:p>
            <w:pPr>
              <w:jc w:val="right"/>
              <w:rPr>
                <w:rFonts w:ascii="宋体" w:hAnsi="宋体"/>
              </w:rPr>
            </w:pPr>
            <w:r>
              <w:rPr>
                <w:rFonts w:hint="eastAsia" w:ascii="宋体" w:hAnsi="宋体"/>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rFonts w:ascii="宋体" w:hAnsi="宋体"/>
              </w:rPr>
            </w:pPr>
            <w:r>
              <w:rPr>
                <w:rFonts w:hint="eastAsia" w:ascii="宋体" w:hAnsi="宋体"/>
              </w:rPr>
              <w:t>2-3年</w:t>
            </w:r>
          </w:p>
        </w:tc>
        <w:tc>
          <w:tcPr>
            <w:tcW w:w="1276" w:type="pct"/>
            <w:vAlign w:val="center"/>
          </w:tcPr>
          <w:p>
            <w:pPr>
              <w:jc w:val="right"/>
              <w:rPr>
                <w:rFonts w:ascii="宋体" w:hAnsi="宋体"/>
              </w:rPr>
            </w:pPr>
          </w:p>
        </w:tc>
        <w:tc>
          <w:tcPr>
            <w:tcW w:w="1299" w:type="pct"/>
            <w:vAlign w:val="center"/>
          </w:tcPr>
          <w:p>
            <w:pPr>
              <w:jc w:val="right"/>
              <w:rPr>
                <w:rFonts w:ascii="宋体" w:hAnsi="宋体"/>
              </w:rPr>
            </w:pPr>
          </w:p>
        </w:tc>
        <w:tc>
          <w:tcPr>
            <w:tcW w:w="1267"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rPr>
                <w:rFonts w:ascii="宋体" w:hAnsi="宋体"/>
              </w:rPr>
            </w:pPr>
            <w:r>
              <w:rPr>
                <w:rFonts w:hint="eastAsia" w:ascii="宋体" w:hAnsi="宋体"/>
              </w:rPr>
              <w:t>3年以上</w:t>
            </w:r>
          </w:p>
        </w:tc>
        <w:tc>
          <w:tcPr>
            <w:tcW w:w="1276" w:type="pct"/>
            <w:vAlign w:val="center"/>
          </w:tcPr>
          <w:p>
            <w:pPr>
              <w:jc w:val="right"/>
              <w:rPr>
                <w:rFonts w:ascii="宋体" w:hAnsi="宋体"/>
              </w:rPr>
            </w:pPr>
            <w:r>
              <w:rPr>
                <w:rFonts w:hint="eastAsia" w:ascii="宋体" w:hAnsi="宋体"/>
              </w:rPr>
              <w:t>3,105</w:t>
            </w:r>
          </w:p>
        </w:tc>
        <w:tc>
          <w:tcPr>
            <w:tcW w:w="1299" w:type="pct"/>
            <w:vAlign w:val="center"/>
          </w:tcPr>
          <w:p>
            <w:pPr>
              <w:jc w:val="right"/>
              <w:rPr>
                <w:rFonts w:ascii="宋体" w:hAnsi="宋体"/>
              </w:rPr>
            </w:pPr>
            <w:r>
              <w:rPr>
                <w:rFonts w:hint="eastAsia" w:ascii="宋体" w:hAnsi="宋体"/>
              </w:rPr>
              <w:t>3,105</w:t>
            </w:r>
          </w:p>
        </w:tc>
        <w:tc>
          <w:tcPr>
            <w:tcW w:w="1267" w:type="pct"/>
            <w:vAlign w:val="center"/>
          </w:tcPr>
          <w:p>
            <w:pPr>
              <w:jc w:val="right"/>
              <w:rPr>
                <w:rFonts w:ascii="宋体" w:hAnsi="宋体"/>
              </w:rPr>
            </w:pPr>
            <w:r>
              <w:rPr>
                <w:rFonts w:hint="eastAsia" w:ascii="宋体" w:hAnsi="宋体"/>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jc w:val="center"/>
              <w:rPr>
                <w:rFonts w:ascii="宋体" w:hAnsi="宋体"/>
              </w:rPr>
            </w:pPr>
            <w:r>
              <w:rPr>
                <w:rFonts w:hint="eastAsia" w:ascii="宋体" w:hAnsi="宋体"/>
              </w:rPr>
              <w:t>合计</w:t>
            </w:r>
          </w:p>
        </w:tc>
        <w:tc>
          <w:tcPr>
            <w:tcW w:w="1276" w:type="pct"/>
            <w:vAlign w:val="center"/>
          </w:tcPr>
          <w:p>
            <w:pPr>
              <w:jc w:val="right"/>
              <w:rPr>
                <w:rFonts w:ascii="宋体" w:hAnsi="宋体"/>
              </w:rPr>
            </w:pPr>
            <w:r>
              <w:rPr>
                <w:rFonts w:hint="eastAsia" w:ascii="宋体" w:hAnsi="宋体"/>
              </w:rPr>
              <w:t>148,532</w:t>
            </w:r>
          </w:p>
        </w:tc>
        <w:tc>
          <w:tcPr>
            <w:tcW w:w="1299" w:type="pct"/>
            <w:vAlign w:val="center"/>
          </w:tcPr>
          <w:p>
            <w:pPr>
              <w:jc w:val="right"/>
              <w:rPr>
                <w:rFonts w:ascii="宋体" w:hAnsi="宋体"/>
              </w:rPr>
            </w:pPr>
            <w:r>
              <w:rPr>
                <w:rFonts w:hint="eastAsia" w:ascii="宋体" w:hAnsi="宋体"/>
              </w:rPr>
              <w:t>3,70</w:t>
            </w:r>
            <w:r>
              <w:rPr>
                <w:rFonts w:ascii="宋体" w:hAnsi="宋体"/>
              </w:rPr>
              <w:t>3</w:t>
            </w:r>
          </w:p>
        </w:tc>
        <w:tc>
          <w:tcPr>
            <w:tcW w:w="1267" w:type="pct"/>
            <w:vAlign w:val="center"/>
          </w:tcPr>
          <w:p>
            <w:pPr>
              <w:jc w:val="right"/>
              <w:rPr>
                <w:rFonts w:ascii="宋体" w:hAnsi="宋体"/>
              </w:rPr>
            </w:pPr>
            <w:r>
              <w:rPr>
                <w:rFonts w:hint="eastAsia" w:ascii="宋体" w:hAnsi="宋体"/>
              </w:rPr>
              <w:t>2</w:t>
            </w:r>
          </w:p>
        </w:tc>
      </w:tr>
    </w:tbl>
    <w:p>
      <w:pPr>
        <w:pStyle w:val="501"/>
      </w:pPr>
      <w:r>
        <w:rPr>
          <w:rFonts w:hint="eastAsia"/>
        </w:rPr>
        <w:t>按组合计提坏账准备的说明：</w:t>
      </w:r>
    </w:p>
    <w:sdt>
      <w:sdtPr>
        <w:alias w:val="是否适用：母公司应收账款按组合计提坏账的确认标准及说明[双击切换]"/>
        <w:tag w:val="_GBC_63044b38e77844689beec86348cdea93"/>
        <w:id w:val="-1237086614"/>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31"/>
      </w:pPr>
      <w:r>
        <w:rPr>
          <w:rFonts w:hint="eastAsia"/>
        </w:rPr>
        <w:t>按预期信用损失一般模型计提坏账准备</w:t>
      </w:r>
    </w:p>
    <w:sdt>
      <w:sdtPr>
        <w:alias w:val="是否适用：母公司应收账款按一般预计信用损失模型计提坏账[双击切换]"/>
        <w:tag w:val="_GBC_681a6428f5004327ac9c72b5eb632f13"/>
        <w:id w:val="-648129237"/>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60"/>
      </w:pPr>
      <w:r>
        <w:rPr>
          <w:rFonts w:hint="eastAsia"/>
        </w:rPr>
        <w:t>对本期发生损失准备变动的应收账款账面余额显著变动的情况说明：</w:t>
      </w:r>
    </w:p>
    <w:sdt>
      <w:sdtPr>
        <w:alias w:val="是否适用：母公司对本期发生损失准备变动的账面余额显著变动的情况说明[双击切换]"/>
        <w:tag w:val="_GBC_2624b4d5ae5d4288ad7c6f9bcbcff810"/>
        <w:id w:val="-1746802411"/>
        <w:placeholder>
          <w:docPart w:val="GBC22222222222222222222222222222"/>
        </w:placeholder>
      </w:sdt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5"/>
        <w:numPr>
          <w:ilvl w:val="3"/>
          <w:numId w:val="140"/>
        </w:numPr>
        <w:ind w:left="426" w:hanging="426" w:hangingChars="202"/>
      </w:pPr>
      <w:r>
        <w:rPr>
          <w:rFonts w:hint="eastAsia"/>
        </w:rPr>
        <w:t>坏账准备的情况</w:t>
      </w:r>
    </w:p>
    <w:sdt>
      <w:sdtPr>
        <w:alias w:val="是否适用：母公司应收账款坏账准备情况[双击切换]"/>
        <w:tag w:val="_GBC_c4b273c4d86b423ea0abe5794b3a9a07"/>
        <w:id w:val="921761849"/>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应收账款坏账准备情况"/>
          <w:tag w:val="_GBC_297876b5a195460cabc3796e317c400c"/>
          <w:id w:val="3513812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母公司应收账款坏账准备情况"/>
          <w:tag w:val="_GBC_e88786d88c2b4853820fef447c6f542a"/>
          <w:id w:val="6784699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6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44"/>
        <w:gridCol w:w="1213"/>
        <w:gridCol w:w="1317"/>
        <w:gridCol w:w="1212"/>
        <w:gridCol w:w="1216"/>
        <w:gridCol w:w="1212"/>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rFonts w:ascii="宋体" w:hAnsi="宋体"/>
            </w:rPr>
            <w:tag w:val="_PLD_98300d230c0347eb87a2635ad51c1d00"/>
            <w:id w:val="-2079592504"/>
          </w:sdtPr>
          <w:sdtEndPr>
            <w:rPr>
              <w:rFonts w:ascii="宋体" w:hAnsi="宋体"/>
            </w:rPr>
          </w:sdtEndPr>
          <w:sdtContent>
            <w:tc>
              <w:tcPr>
                <w:tcW w:w="818" w:type="pct"/>
                <w:vMerge w:val="restart"/>
                <w:shd w:val="clear" w:color="auto" w:fill="FFFFFF"/>
                <w:vAlign w:val="center"/>
              </w:tcPr>
              <w:p>
                <w:pPr>
                  <w:jc w:val="center"/>
                  <w:rPr>
                    <w:rFonts w:ascii="宋体" w:hAnsi="宋体"/>
                  </w:rPr>
                </w:pPr>
                <w:r>
                  <w:rPr>
                    <w:rFonts w:ascii="宋体" w:hAnsi="宋体"/>
                  </w:rPr>
                  <w:t>类别</w:t>
                </w:r>
              </w:p>
            </w:tc>
          </w:sdtContent>
        </w:sdt>
        <w:sdt>
          <w:sdtPr>
            <w:rPr>
              <w:rFonts w:ascii="宋体" w:hAnsi="宋体"/>
            </w:rPr>
            <w:tag w:val="_PLD_7769f2b383ef45cea01b90026bb353c2"/>
            <w:id w:val="975879957"/>
          </w:sdtPr>
          <w:sdtEndPr>
            <w:rPr>
              <w:rFonts w:ascii="宋体" w:hAnsi="宋体"/>
            </w:rPr>
          </w:sdtEndPr>
          <w:sdtContent>
            <w:tc>
              <w:tcPr>
                <w:tcW w:w="687" w:type="pct"/>
                <w:vMerge w:val="restart"/>
                <w:shd w:val="clear" w:color="auto" w:fill="FFFFFF"/>
                <w:vAlign w:val="center"/>
              </w:tcPr>
              <w:p>
                <w:pPr>
                  <w:jc w:val="center"/>
                  <w:rPr>
                    <w:rFonts w:ascii="宋体" w:hAnsi="宋体"/>
                  </w:rPr>
                </w:pPr>
                <w:r>
                  <w:rPr>
                    <w:rFonts w:ascii="宋体" w:hAnsi="宋体"/>
                  </w:rPr>
                  <w:t>期初余额</w:t>
                </w:r>
              </w:p>
            </w:tc>
          </w:sdtContent>
        </w:sdt>
        <w:sdt>
          <w:sdtPr>
            <w:rPr>
              <w:rFonts w:ascii="宋体" w:hAnsi="宋体"/>
            </w:rPr>
            <w:tag w:val="_PLD_cd024d723ca84c77aded9d7b7313563b"/>
            <w:id w:val="-363132649"/>
          </w:sdtPr>
          <w:sdtEndPr>
            <w:rPr>
              <w:rFonts w:ascii="宋体" w:hAnsi="宋体"/>
            </w:rPr>
          </w:sdtEndPr>
          <w:sdtContent>
            <w:tc>
              <w:tcPr>
                <w:tcW w:w="2809" w:type="pct"/>
                <w:gridSpan w:val="4"/>
                <w:shd w:val="clear" w:color="auto" w:fill="FFFFFF"/>
                <w:vAlign w:val="center"/>
              </w:tcPr>
              <w:p>
                <w:pPr>
                  <w:jc w:val="center"/>
                  <w:rPr>
                    <w:rFonts w:ascii="宋体" w:hAnsi="宋体"/>
                  </w:rPr>
                </w:pPr>
                <w:r>
                  <w:rPr>
                    <w:rFonts w:hint="eastAsia" w:ascii="宋体" w:hAnsi="宋体"/>
                  </w:rPr>
                  <w:t>本期变动</w:t>
                </w:r>
                <w:r>
                  <w:rPr>
                    <w:rFonts w:ascii="宋体" w:hAnsi="宋体"/>
                  </w:rPr>
                  <w:t>金额</w:t>
                </w:r>
              </w:p>
            </w:tc>
          </w:sdtContent>
        </w:sdt>
        <w:sdt>
          <w:sdtPr>
            <w:rPr>
              <w:rFonts w:ascii="宋体" w:hAnsi="宋体"/>
            </w:rPr>
            <w:tag w:val="_PLD_1225558b3fd34599bc2c3f9eb23fba1e"/>
            <w:id w:val="6572613"/>
          </w:sdtPr>
          <w:sdtEndPr>
            <w:rPr>
              <w:rFonts w:ascii="宋体" w:hAnsi="宋体"/>
            </w:rPr>
          </w:sdtEndPr>
          <w:sdtContent>
            <w:tc>
              <w:tcPr>
                <w:tcW w:w="685" w:type="pct"/>
                <w:vMerge w:val="restart"/>
                <w:shd w:val="clear" w:color="auto" w:fill="FFFFFF"/>
                <w:vAlign w:val="center"/>
              </w:tcPr>
              <w:p>
                <w:pPr>
                  <w:jc w:val="center"/>
                  <w:rPr>
                    <w:rFonts w:ascii="宋体" w:hAnsi="宋体"/>
                  </w:rPr>
                </w:pPr>
                <w:r>
                  <w:rPr>
                    <w:rFonts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818" w:type="pct"/>
            <w:vMerge w:val="continue"/>
            <w:shd w:val="clear" w:color="auto" w:fill="FFFFFF"/>
          </w:tcPr>
          <w:p>
            <w:pPr>
              <w:jc w:val="center"/>
              <w:rPr>
                <w:rFonts w:ascii="宋体" w:hAnsi="宋体"/>
              </w:rPr>
            </w:pPr>
          </w:p>
        </w:tc>
        <w:tc>
          <w:tcPr>
            <w:tcW w:w="687" w:type="pct"/>
            <w:vMerge w:val="continue"/>
            <w:shd w:val="clear" w:color="auto" w:fill="FFFFFF"/>
          </w:tcPr>
          <w:p>
            <w:pPr>
              <w:jc w:val="center"/>
              <w:rPr>
                <w:rFonts w:ascii="宋体" w:hAnsi="宋体"/>
              </w:rPr>
            </w:pPr>
          </w:p>
        </w:tc>
        <w:sdt>
          <w:sdtPr>
            <w:rPr>
              <w:rFonts w:ascii="宋体" w:hAnsi="宋体"/>
            </w:rPr>
            <w:tag w:val="_PLD_3e1ba6e4785f430c89e70b3081ee1f0a"/>
            <w:id w:val="-1944757446"/>
          </w:sdtPr>
          <w:sdtEndPr>
            <w:rPr>
              <w:rFonts w:ascii="宋体" w:hAnsi="宋体"/>
            </w:rPr>
          </w:sdtEndPr>
          <w:sdtContent>
            <w:tc>
              <w:tcPr>
                <w:tcW w:w="746" w:type="pct"/>
                <w:shd w:val="clear" w:color="auto" w:fill="FFFFFF"/>
                <w:vAlign w:val="center"/>
              </w:tcPr>
              <w:p>
                <w:pPr>
                  <w:jc w:val="center"/>
                  <w:rPr>
                    <w:rFonts w:ascii="宋体" w:hAnsi="宋体"/>
                  </w:rPr>
                </w:pPr>
                <w:r>
                  <w:rPr>
                    <w:rFonts w:ascii="宋体" w:hAnsi="宋体"/>
                  </w:rPr>
                  <w:t>计提</w:t>
                </w:r>
              </w:p>
            </w:tc>
          </w:sdtContent>
        </w:sdt>
        <w:sdt>
          <w:sdtPr>
            <w:rPr>
              <w:rFonts w:ascii="宋体" w:hAnsi="宋体"/>
            </w:rPr>
            <w:tag w:val="_PLD_e1238ab8ec634edb975aa51e169f4488"/>
            <w:id w:val="429630116"/>
          </w:sdtPr>
          <w:sdtEndPr>
            <w:rPr>
              <w:rFonts w:ascii="宋体" w:hAnsi="宋体"/>
            </w:rPr>
          </w:sdtEndPr>
          <w:sdtContent>
            <w:tc>
              <w:tcPr>
                <w:tcW w:w="687" w:type="pct"/>
                <w:shd w:val="clear" w:color="auto" w:fill="FFFFFF"/>
                <w:vAlign w:val="center"/>
              </w:tcPr>
              <w:p>
                <w:pPr>
                  <w:jc w:val="center"/>
                  <w:rPr>
                    <w:rFonts w:ascii="宋体" w:hAnsi="宋体"/>
                  </w:rPr>
                </w:pPr>
                <w:r>
                  <w:rPr>
                    <w:rFonts w:hint="eastAsia" w:ascii="宋体" w:hAnsi="宋体"/>
                  </w:rPr>
                  <w:t>收回或转回</w:t>
                </w:r>
              </w:p>
            </w:tc>
          </w:sdtContent>
        </w:sdt>
        <w:tc>
          <w:tcPr>
            <w:tcW w:w="689" w:type="pct"/>
            <w:shd w:val="clear" w:color="auto" w:fill="FFFFFF"/>
            <w:vAlign w:val="center"/>
          </w:tcPr>
          <w:sdt>
            <w:sdtPr>
              <w:rPr>
                <w:rFonts w:hint="eastAsia" w:ascii="宋体" w:hAnsi="宋体"/>
              </w:rPr>
              <w:tag w:val="_PLD_4909ee6a3062412caf5e93a150ca2e23"/>
              <w:id w:val="-965123005"/>
            </w:sdtPr>
            <w:sdtEndPr>
              <w:rPr>
                <w:rFonts w:hint="eastAsia" w:ascii="宋体" w:hAnsi="宋体"/>
              </w:rPr>
            </w:sdtEndPr>
            <w:sdtContent>
              <w:p>
                <w:pPr>
                  <w:jc w:val="center"/>
                  <w:rPr>
                    <w:rFonts w:ascii="宋体" w:hAnsi="宋体"/>
                  </w:rPr>
                </w:pPr>
                <w:r>
                  <w:rPr>
                    <w:rFonts w:hint="eastAsia" w:ascii="宋体" w:hAnsi="宋体"/>
                  </w:rPr>
                  <w:t>转销或核销</w:t>
                </w:r>
              </w:p>
            </w:sdtContent>
          </w:sdt>
        </w:tc>
        <w:tc>
          <w:tcPr>
            <w:tcW w:w="687" w:type="pct"/>
            <w:shd w:val="clear" w:color="auto" w:fill="FFFFFF"/>
            <w:vAlign w:val="center"/>
          </w:tcPr>
          <w:sdt>
            <w:sdtPr>
              <w:rPr>
                <w:rFonts w:hint="eastAsia" w:ascii="宋体" w:hAnsi="宋体"/>
              </w:rPr>
              <w:tag w:val="_PLD_b95e9591908443ef8eef29a18814ebfa"/>
              <w:id w:val="-1530022369"/>
            </w:sdtPr>
            <w:sdtEndPr>
              <w:rPr>
                <w:rFonts w:hint="eastAsia" w:ascii="宋体" w:hAnsi="宋体"/>
              </w:rPr>
            </w:sdtEndPr>
            <w:sdtContent>
              <w:p>
                <w:pPr>
                  <w:jc w:val="right"/>
                  <w:rPr>
                    <w:rFonts w:ascii="宋体" w:hAnsi="宋体"/>
                  </w:rPr>
                </w:pPr>
                <w:r>
                  <w:rPr>
                    <w:rFonts w:hint="eastAsia" w:ascii="宋体" w:hAnsi="宋体"/>
                  </w:rPr>
                  <w:t>其他变动</w:t>
                </w:r>
              </w:p>
            </w:sdtContent>
          </w:sdt>
        </w:tc>
        <w:tc>
          <w:tcPr>
            <w:tcW w:w="685" w:type="pct"/>
            <w:vMerge w:val="continue"/>
            <w:shd w:val="clear" w:color="auto" w:fill="FFFFFF"/>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818" w:type="pct"/>
            <w:shd w:val="clear" w:color="auto" w:fill="auto"/>
          </w:tcPr>
          <w:p>
            <w:pPr>
              <w:rPr>
                <w:rFonts w:ascii="宋体" w:hAnsi="宋体"/>
              </w:rPr>
            </w:pPr>
            <w:r>
              <w:rPr>
                <w:rFonts w:hint="eastAsia" w:ascii="宋体" w:hAnsi="宋体"/>
              </w:rPr>
              <w:t>应收账款坏账准备</w:t>
            </w:r>
          </w:p>
        </w:tc>
        <w:tc>
          <w:tcPr>
            <w:tcW w:w="687" w:type="pct"/>
            <w:shd w:val="clear" w:color="auto" w:fill="auto"/>
            <w:vAlign w:val="center"/>
          </w:tcPr>
          <w:p>
            <w:pPr>
              <w:jc w:val="right"/>
              <w:rPr>
                <w:rFonts w:ascii="宋体" w:hAnsi="宋体"/>
              </w:rPr>
            </w:pPr>
            <w:r>
              <w:rPr>
                <w:rFonts w:hint="eastAsia" w:ascii="宋体" w:hAnsi="宋体"/>
              </w:rPr>
              <w:t>193,426</w:t>
            </w:r>
          </w:p>
        </w:tc>
        <w:tc>
          <w:tcPr>
            <w:tcW w:w="746" w:type="pct"/>
            <w:shd w:val="clear" w:color="auto" w:fill="auto"/>
            <w:vAlign w:val="center"/>
          </w:tcPr>
          <w:p>
            <w:pPr>
              <w:jc w:val="right"/>
              <w:rPr>
                <w:rFonts w:ascii="宋体" w:hAnsi="宋体"/>
              </w:rPr>
            </w:pPr>
            <w:r>
              <w:rPr>
                <w:rFonts w:hint="eastAsia" w:ascii="宋体" w:hAnsi="宋体"/>
              </w:rPr>
              <w:t>1,65</w:t>
            </w:r>
            <w:r>
              <w:rPr>
                <w:rFonts w:ascii="宋体" w:hAnsi="宋体"/>
              </w:rPr>
              <w:t>6</w:t>
            </w:r>
          </w:p>
        </w:tc>
        <w:tc>
          <w:tcPr>
            <w:tcW w:w="687" w:type="pct"/>
            <w:shd w:val="clear" w:color="auto" w:fill="auto"/>
            <w:vAlign w:val="center"/>
          </w:tcPr>
          <w:p>
            <w:pPr>
              <w:jc w:val="right"/>
              <w:rPr>
                <w:rFonts w:ascii="宋体" w:hAnsi="宋体"/>
              </w:rPr>
            </w:pPr>
            <w:r>
              <w:rPr>
                <w:rFonts w:hint="eastAsia" w:ascii="宋体" w:hAnsi="宋体"/>
              </w:rPr>
              <w:t>-309</w:t>
            </w:r>
          </w:p>
        </w:tc>
        <w:tc>
          <w:tcPr>
            <w:tcW w:w="689" w:type="pct"/>
            <w:vAlign w:val="center"/>
          </w:tcPr>
          <w:p>
            <w:pPr>
              <w:jc w:val="right"/>
              <w:rPr>
                <w:rFonts w:ascii="宋体" w:hAnsi="宋体"/>
              </w:rPr>
            </w:pPr>
          </w:p>
        </w:tc>
        <w:tc>
          <w:tcPr>
            <w:tcW w:w="687" w:type="pct"/>
            <w:vAlign w:val="center"/>
          </w:tcPr>
          <w:p>
            <w:pPr>
              <w:jc w:val="right"/>
              <w:rPr>
                <w:rFonts w:ascii="宋体" w:hAnsi="宋体"/>
              </w:rPr>
            </w:pPr>
          </w:p>
        </w:tc>
        <w:tc>
          <w:tcPr>
            <w:tcW w:w="685" w:type="pct"/>
            <w:shd w:val="clear" w:color="auto" w:fill="auto"/>
            <w:vAlign w:val="center"/>
          </w:tcPr>
          <w:p>
            <w:pPr>
              <w:jc w:val="right"/>
              <w:rPr>
                <w:rFonts w:ascii="宋体" w:hAnsi="宋体"/>
              </w:rPr>
            </w:pPr>
            <w:r>
              <w:rPr>
                <w:rFonts w:hint="eastAsia" w:ascii="宋体" w:hAnsi="宋体"/>
              </w:rPr>
              <w:t>1</w:t>
            </w:r>
            <w:r>
              <w:rPr>
                <w:rFonts w:ascii="宋体" w:hAnsi="宋体"/>
              </w:rPr>
              <w:t>94</w:t>
            </w:r>
            <w:r>
              <w:rPr>
                <w:rFonts w:hint="eastAsia" w:ascii="宋体" w:hAnsi="宋体"/>
              </w:rPr>
              <w:t>,</w:t>
            </w:r>
            <w:r>
              <w:rPr>
                <w:rFonts w:ascii="宋体" w:hAnsi="宋体"/>
              </w:rPr>
              <w:t>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818" w:type="pct"/>
            <w:shd w:val="clear" w:color="auto" w:fill="auto"/>
          </w:tcPr>
          <w:p>
            <w:pPr>
              <w:jc w:val="center"/>
              <w:rPr>
                <w:rFonts w:ascii="宋体" w:hAnsi="宋体"/>
              </w:rPr>
            </w:pPr>
            <w:r>
              <w:rPr>
                <w:rFonts w:hint="eastAsia" w:ascii="宋体" w:hAnsi="宋体"/>
              </w:rPr>
              <w:t>合计</w:t>
            </w:r>
          </w:p>
        </w:tc>
        <w:tc>
          <w:tcPr>
            <w:tcW w:w="687" w:type="pct"/>
            <w:shd w:val="clear" w:color="auto" w:fill="auto"/>
            <w:vAlign w:val="center"/>
          </w:tcPr>
          <w:p>
            <w:pPr>
              <w:jc w:val="right"/>
              <w:rPr>
                <w:rFonts w:ascii="宋体" w:hAnsi="宋体"/>
              </w:rPr>
            </w:pPr>
            <w:r>
              <w:rPr>
                <w:rFonts w:hint="eastAsia" w:ascii="宋体" w:hAnsi="宋体"/>
              </w:rPr>
              <w:t>193,426</w:t>
            </w:r>
          </w:p>
        </w:tc>
        <w:tc>
          <w:tcPr>
            <w:tcW w:w="746" w:type="pct"/>
            <w:shd w:val="clear" w:color="auto" w:fill="auto"/>
            <w:vAlign w:val="center"/>
          </w:tcPr>
          <w:p>
            <w:pPr>
              <w:jc w:val="right"/>
              <w:rPr>
                <w:rFonts w:ascii="宋体" w:hAnsi="宋体"/>
              </w:rPr>
            </w:pPr>
            <w:r>
              <w:rPr>
                <w:rFonts w:hint="eastAsia" w:ascii="宋体" w:hAnsi="宋体"/>
              </w:rPr>
              <w:t>1,65</w:t>
            </w:r>
            <w:r>
              <w:rPr>
                <w:rFonts w:ascii="宋体" w:hAnsi="宋体"/>
              </w:rPr>
              <w:t>6</w:t>
            </w:r>
          </w:p>
        </w:tc>
        <w:tc>
          <w:tcPr>
            <w:tcW w:w="687" w:type="pct"/>
            <w:shd w:val="clear" w:color="auto" w:fill="auto"/>
            <w:vAlign w:val="center"/>
          </w:tcPr>
          <w:p>
            <w:pPr>
              <w:jc w:val="right"/>
              <w:rPr>
                <w:rFonts w:ascii="宋体" w:hAnsi="宋体"/>
              </w:rPr>
            </w:pPr>
            <w:r>
              <w:rPr>
                <w:rFonts w:hint="eastAsia" w:ascii="宋体" w:hAnsi="宋体"/>
              </w:rPr>
              <w:t>-309</w:t>
            </w:r>
          </w:p>
        </w:tc>
        <w:tc>
          <w:tcPr>
            <w:tcW w:w="689" w:type="pct"/>
            <w:vAlign w:val="center"/>
          </w:tcPr>
          <w:p>
            <w:pPr>
              <w:jc w:val="right"/>
              <w:rPr>
                <w:rFonts w:ascii="宋体" w:hAnsi="宋体"/>
              </w:rPr>
            </w:pPr>
          </w:p>
        </w:tc>
        <w:tc>
          <w:tcPr>
            <w:tcW w:w="687" w:type="pct"/>
            <w:vAlign w:val="center"/>
          </w:tcPr>
          <w:p>
            <w:pPr>
              <w:jc w:val="right"/>
              <w:rPr>
                <w:rFonts w:ascii="宋体" w:hAnsi="宋体"/>
              </w:rPr>
            </w:pPr>
          </w:p>
        </w:tc>
        <w:tc>
          <w:tcPr>
            <w:tcW w:w="685" w:type="pct"/>
            <w:shd w:val="clear" w:color="auto" w:fill="auto"/>
            <w:vAlign w:val="center"/>
          </w:tcPr>
          <w:p>
            <w:pPr>
              <w:jc w:val="right"/>
              <w:rPr>
                <w:rFonts w:ascii="宋体" w:hAnsi="宋体"/>
              </w:rPr>
            </w:pPr>
            <w:r>
              <w:rPr>
                <w:rFonts w:hint="eastAsia" w:ascii="宋体" w:hAnsi="宋体"/>
              </w:rPr>
              <w:t>1</w:t>
            </w:r>
            <w:r>
              <w:rPr>
                <w:rFonts w:ascii="宋体" w:hAnsi="宋体"/>
              </w:rPr>
              <w:t>94</w:t>
            </w:r>
            <w:r>
              <w:rPr>
                <w:rFonts w:hint="eastAsia" w:ascii="宋体" w:hAnsi="宋体"/>
              </w:rPr>
              <w:t>,</w:t>
            </w:r>
            <w:r>
              <w:rPr>
                <w:rFonts w:ascii="宋体" w:hAnsi="宋体"/>
              </w:rPr>
              <w:t>773</w:t>
            </w:r>
          </w:p>
        </w:tc>
      </w:tr>
    </w:tbl>
    <w:p>
      <w:pPr>
        <w:pStyle w:val="560"/>
      </w:pPr>
    </w:p>
    <w:p>
      <w:pPr>
        <w:pStyle w:val="531"/>
      </w:pPr>
      <w:r>
        <w:rPr>
          <w:rFonts w:hint="eastAsia"/>
        </w:rPr>
        <w:t>其中本期坏账准备收回或转回金额重要的：</w:t>
      </w:r>
    </w:p>
    <w:sdt>
      <w:sdtPr>
        <w:alias w:val="是否适用：母公司其中本期坏账准备收回或转回金额重要的[双击切换]"/>
        <w:tag w:val="_GBC_5f9ff028d97f4757bc779516f257bedd"/>
        <w:id w:val="492454014"/>
        <w:placeholder>
          <w:docPart w:val="GBC22222222222222222222222222222"/>
        </w:placeholder>
      </w:sdtPr>
      <w:sdtContent>
        <w:p>
          <w:pPr>
            <w:pStyle w:val="531"/>
          </w:pPr>
          <w:bookmarkStart w:id="347" w:name="_Hlk153789356"/>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bookmarkEnd w:id="347"/>
    <w:p>
      <w:pPr>
        <w:pStyle w:val="505"/>
        <w:numPr>
          <w:ilvl w:val="3"/>
          <w:numId w:val="140"/>
        </w:numPr>
        <w:ind w:left="426" w:hanging="426" w:hangingChars="202"/>
      </w:pPr>
      <w:r>
        <w:t>本期实际核销的应收</w:t>
      </w:r>
      <w:r>
        <w:rPr>
          <w:rFonts w:hint="eastAsia"/>
        </w:rPr>
        <w:t>账款</w:t>
      </w:r>
      <w:r>
        <w:t>情况</w:t>
      </w:r>
    </w:p>
    <w:sdt>
      <w:sdtPr>
        <w:alias w:val="是否适用：母公司本期实际核销的应收账款情况[双击切换]"/>
        <w:tag w:val="_GBC_a30d476ac6184bc98f9b334fa55067ac"/>
        <w:id w:val="174436904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其中重要的应收账款核销情况</w:t>
      </w:r>
    </w:p>
    <w:sdt>
      <w:sdtPr>
        <w:alias w:val="是否适用：母公司其中重要的应收账款核销情况[双击切换]"/>
        <w:tag w:val="_GBC_7110dba4b9b14a6ea7177cba57fd2d03"/>
        <w:id w:val="-210033225"/>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应收账款核销说明：</w:t>
      </w:r>
    </w:p>
    <w:sdt>
      <w:sdtPr>
        <w:rPr>
          <w:rFonts w:hint="eastAsia"/>
        </w:rPr>
        <w:alias w:val="是否适用：母公司应收账款核销说明[双击切换]"/>
        <w:tag w:val="_GBC_2ba809c9e31c411795d7353d4b11a774"/>
        <w:id w:val="493992087"/>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5"/>
        <w:numPr>
          <w:ilvl w:val="3"/>
          <w:numId w:val="140"/>
        </w:numPr>
        <w:ind w:left="426" w:hanging="426" w:hangingChars="202"/>
      </w:pPr>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7fffc10e897f45d19e0dc3f8ffc2224f"/>
        <w:id w:val="-494807369"/>
        <w:placeholder>
          <w:docPart w:val="GBC22222222222222222222222222222"/>
        </w:placeholder>
      </w:sdtPr>
      <w:sdtEndPr>
        <w:rPr>
          <w:rFonts w:hint="eastAsia"/>
        </w:rPr>
      </w:sdtEndPr>
      <w:sdtContent>
        <w:p>
          <w:pPr>
            <w:snapToGrid w:val="0"/>
            <w:spacing w:line="240" w:lineRule="atLeast"/>
          </w:pPr>
          <w:bookmarkStart w:id="348" w:name="_Hlk90023019"/>
          <w:bookmarkStart w:id="349" w:name="_Hlk153789714"/>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napToGrid w:val="0"/>
        <w:spacing w:line="240" w:lineRule="atLeast"/>
        <w:jc w:val="right"/>
      </w:pPr>
      <w:r>
        <w:rPr>
          <w:rFonts w:hint="eastAsia"/>
        </w:rPr>
        <w:t>单位：</w:t>
      </w:r>
      <w:sdt>
        <w:sdtPr>
          <w:alias w:val="单位：财务附注：应收账款前五名欠款情况"/>
          <w:tag w:val="_GBC_e41caaf031c645a09f9ff82e1bde3008"/>
          <w:id w:val="-186812791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币种：</w:t>
      </w:r>
      <w:sdt>
        <w:sdtPr>
          <w:rPr>
            <w:rFonts w:hint="eastAsia"/>
          </w:rPr>
          <w:alias w:val="币种：财务附注：应收账款前五名欠款情况"/>
          <w:tag w:val="_GBC_03b6faf9055245869ad37558d10f0525"/>
          <w:id w:val="15753934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1419"/>
        <w:gridCol w:w="1301"/>
        <w:gridCol w:w="1470"/>
        <w:gridCol w:w="1470"/>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sdt>
          <w:sdtPr>
            <w:rPr>
              <w:rFonts w:hint="eastAsia"/>
            </w:rPr>
            <w:tag w:val="_PLD_68ef52d85e9b4f23a72393cc4b01b204"/>
            <w:id w:val="-1824422456"/>
          </w:sdtPr>
          <w:sdtEndPr>
            <w:rPr>
              <w:rFonts w:hint="eastAsia"/>
            </w:rPr>
          </w:sdtEndPr>
          <w:sdtContent>
            <w:tc>
              <w:tcPr>
                <w:tcW w:w="961" w:type="pct"/>
                <w:vAlign w:val="center"/>
              </w:tcPr>
              <w:p>
                <w:pPr>
                  <w:ind w:right="105"/>
                  <w:jc w:val="center"/>
                </w:pPr>
                <w:r>
                  <w:rPr>
                    <w:rFonts w:hint="eastAsia"/>
                  </w:rPr>
                  <w:t>单位名称</w:t>
                </w:r>
              </w:p>
            </w:tc>
          </w:sdtContent>
        </w:sdt>
        <w:sdt>
          <w:sdtPr>
            <w:rPr>
              <w:rFonts w:hint="eastAsia"/>
            </w:rPr>
            <w:tag w:val="_PLD_a62fd4b0ddfb407795d57ea0471df65a"/>
            <w:id w:val="-1286042623"/>
          </w:sdtPr>
          <w:sdtEndPr>
            <w:rPr>
              <w:rFonts w:hint="eastAsia"/>
            </w:rPr>
          </w:sdtEndPr>
          <w:sdtContent>
            <w:tc>
              <w:tcPr>
                <w:tcW w:w="804" w:type="pct"/>
                <w:vAlign w:val="center"/>
              </w:tcPr>
              <w:p>
                <w:pPr>
                  <w:ind w:right="73"/>
                  <w:jc w:val="center"/>
                </w:pPr>
                <w:r>
                  <w:rPr>
                    <w:rFonts w:hint="eastAsia"/>
                  </w:rPr>
                  <w:t>应收账款期末余额</w:t>
                </w:r>
              </w:p>
            </w:tc>
          </w:sdtContent>
        </w:sdt>
        <w:sdt>
          <w:sdtPr>
            <w:rPr>
              <w:rFonts w:hint="eastAsia"/>
            </w:rPr>
            <w:tag w:val="_PLD_7e753de74ef54c5da4e5c10a41366274"/>
            <w:id w:val="1326936214"/>
          </w:sdtPr>
          <w:sdtEndPr>
            <w:rPr>
              <w:rFonts w:hint="eastAsia"/>
            </w:rPr>
          </w:sdtEndPr>
          <w:sdtContent>
            <w:tc>
              <w:tcPr>
                <w:tcW w:w="737" w:type="pct"/>
                <w:vAlign w:val="center"/>
              </w:tcPr>
              <w:p>
                <w:pPr>
                  <w:jc w:val="center"/>
                </w:pPr>
                <w:r>
                  <w:rPr>
                    <w:rFonts w:hint="eastAsia"/>
                  </w:rPr>
                  <w:t>合同资产期末余额</w:t>
                </w:r>
              </w:p>
            </w:tc>
          </w:sdtContent>
        </w:sdt>
        <w:sdt>
          <w:sdtPr>
            <w:rPr>
              <w:rFonts w:hint="eastAsia"/>
            </w:rPr>
            <w:tag w:val="_PLD_1589be2aa7134b3f9de4e223e83a7a61"/>
            <w:id w:val="-1992157149"/>
          </w:sdtPr>
          <w:sdtEndPr>
            <w:rPr>
              <w:rFonts w:hint="eastAsia"/>
            </w:rPr>
          </w:sdtEndPr>
          <w:sdtContent>
            <w:tc>
              <w:tcPr>
                <w:tcW w:w="833" w:type="pct"/>
                <w:vAlign w:val="center"/>
              </w:tcPr>
              <w:p>
                <w:pPr>
                  <w:jc w:val="center"/>
                </w:pPr>
                <w:r>
                  <w:rPr>
                    <w:rFonts w:hint="eastAsia"/>
                  </w:rPr>
                  <w:t>应收账款和合同资产期末余额</w:t>
                </w:r>
              </w:p>
            </w:tc>
          </w:sdtContent>
        </w:sdt>
        <w:sdt>
          <w:sdtPr>
            <w:rPr>
              <w:rFonts w:hint="eastAsia"/>
            </w:rPr>
            <w:tag w:val="_PLD_e84ecb8c9e5146e8b4ede4a709c5ef5f"/>
            <w:id w:val="943271880"/>
          </w:sdtPr>
          <w:sdtEndPr>
            <w:rPr>
              <w:rFonts w:hint="eastAsia"/>
            </w:rPr>
          </w:sdtEndPr>
          <w:sdtContent>
            <w:tc>
              <w:tcPr>
                <w:tcW w:w="833" w:type="pct"/>
                <w:vAlign w:val="center"/>
              </w:tcPr>
              <w:p>
                <w:pPr>
                  <w:jc w:val="center"/>
                </w:pPr>
                <w:r>
                  <w:rPr>
                    <w:rFonts w:hint="eastAsia"/>
                  </w:rPr>
                  <w:t>占应收账款和合同资产期末余额合计数的比例（%）</w:t>
                </w:r>
              </w:p>
            </w:tc>
          </w:sdtContent>
        </w:sdt>
        <w:sdt>
          <w:sdtPr>
            <w:rPr>
              <w:rFonts w:hint="eastAsia"/>
            </w:rPr>
            <w:tag w:val="_PLD_da58e99405a342aa95b8ffb814c33752"/>
            <w:id w:val="1769813885"/>
          </w:sdtPr>
          <w:sdtEndPr>
            <w:rPr>
              <w:rFonts w:hint="eastAsia"/>
            </w:rPr>
          </w:sdtEndPr>
          <w:sdtContent>
            <w:tc>
              <w:tcPr>
                <w:tcW w:w="832" w:type="pct"/>
                <w:vAlign w:val="center"/>
              </w:tcPr>
              <w:p>
                <w:pPr>
                  <w:jc w:val="center"/>
                </w:pPr>
                <w:r>
                  <w:rPr>
                    <w:rFonts w:hint="eastAsia"/>
                  </w:rPr>
                  <w:t>坏账准备期末余额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1" w:type="pct"/>
            <w:vAlign w:val="center"/>
          </w:tcPr>
          <w:p>
            <w:pPr>
              <w:ind w:right="105"/>
              <w:jc w:val="center"/>
            </w:pPr>
            <w:r>
              <w:rPr>
                <w:rFonts w:hint="eastAsia"/>
              </w:rPr>
              <w:t>公司1</w:t>
            </w:r>
          </w:p>
        </w:tc>
        <w:tc>
          <w:tcPr>
            <w:tcW w:w="804" w:type="pct"/>
            <w:vAlign w:val="center"/>
          </w:tcPr>
          <w:p>
            <w:pPr>
              <w:ind w:right="73"/>
              <w:jc w:val="right"/>
              <w:rPr>
                <w:rFonts w:ascii="宋体" w:hAnsi="宋体"/>
              </w:rPr>
            </w:pPr>
            <w:r>
              <w:rPr>
                <w:rFonts w:hint="eastAsia" w:ascii="宋体" w:hAnsi="宋体"/>
              </w:rPr>
              <w:t>455,685</w:t>
            </w:r>
          </w:p>
        </w:tc>
        <w:tc>
          <w:tcPr>
            <w:tcW w:w="737"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455,685</w:t>
            </w:r>
          </w:p>
        </w:tc>
        <w:tc>
          <w:tcPr>
            <w:tcW w:w="833" w:type="pct"/>
            <w:vAlign w:val="center"/>
          </w:tcPr>
          <w:p>
            <w:pPr>
              <w:jc w:val="right"/>
              <w:rPr>
                <w:rFonts w:ascii="宋体" w:hAnsi="宋体"/>
              </w:rPr>
            </w:pPr>
            <w:r>
              <w:rPr>
                <w:rFonts w:hint="eastAsia" w:ascii="宋体" w:hAnsi="宋体"/>
              </w:rPr>
              <w:t>19</w:t>
            </w:r>
          </w:p>
        </w:tc>
        <w:tc>
          <w:tcPr>
            <w:tcW w:w="832"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1" w:type="pct"/>
            <w:vAlign w:val="center"/>
          </w:tcPr>
          <w:p>
            <w:pPr>
              <w:ind w:right="105"/>
              <w:jc w:val="center"/>
            </w:pPr>
            <w:r>
              <w:rPr>
                <w:rFonts w:hint="eastAsia"/>
              </w:rPr>
              <w:t>公司</w:t>
            </w:r>
            <w:r>
              <w:t>2</w:t>
            </w:r>
          </w:p>
        </w:tc>
        <w:tc>
          <w:tcPr>
            <w:tcW w:w="804" w:type="pct"/>
            <w:vAlign w:val="center"/>
          </w:tcPr>
          <w:p>
            <w:pPr>
              <w:ind w:right="73"/>
              <w:jc w:val="right"/>
              <w:rPr>
                <w:rFonts w:ascii="宋体" w:hAnsi="宋体"/>
              </w:rPr>
            </w:pPr>
            <w:r>
              <w:rPr>
                <w:rFonts w:hint="eastAsia" w:ascii="宋体" w:hAnsi="宋体"/>
              </w:rPr>
              <w:t>409,230</w:t>
            </w:r>
          </w:p>
        </w:tc>
        <w:tc>
          <w:tcPr>
            <w:tcW w:w="737"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409,230</w:t>
            </w:r>
          </w:p>
        </w:tc>
        <w:tc>
          <w:tcPr>
            <w:tcW w:w="833" w:type="pct"/>
            <w:vAlign w:val="center"/>
          </w:tcPr>
          <w:p>
            <w:pPr>
              <w:jc w:val="right"/>
              <w:rPr>
                <w:rFonts w:ascii="宋体" w:hAnsi="宋体"/>
              </w:rPr>
            </w:pPr>
            <w:r>
              <w:rPr>
                <w:rFonts w:hint="eastAsia" w:ascii="宋体" w:hAnsi="宋体"/>
              </w:rPr>
              <w:t>17</w:t>
            </w:r>
          </w:p>
        </w:tc>
        <w:tc>
          <w:tcPr>
            <w:tcW w:w="832"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1" w:type="pct"/>
            <w:vAlign w:val="center"/>
          </w:tcPr>
          <w:p>
            <w:pPr>
              <w:ind w:right="105"/>
              <w:jc w:val="center"/>
            </w:pPr>
            <w:r>
              <w:rPr>
                <w:rFonts w:hint="eastAsia"/>
              </w:rPr>
              <w:t>公司</w:t>
            </w:r>
            <w:r>
              <w:t>3</w:t>
            </w:r>
          </w:p>
        </w:tc>
        <w:tc>
          <w:tcPr>
            <w:tcW w:w="804" w:type="pct"/>
            <w:vAlign w:val="center"/>
          </w:tcPr>
          <w:p>
            <w:pPr>
              <w:ind w:right="73"/>
              <w:jc w:val="right"/>
              <w:rPr>
                <w:rFonts w:ascii="宋体" w:hAnsi="宋体"/>
              </w:rPr>
            </w:pPr>
            <w:r>
              <w:rPr>
                <w:rFonts w:hint="eastAsia" w:ascii="宋体" w:hAnsi="宋体"/>
              </w:rPr>
              <w:t>262,282</w:t>
            </w:r>
          </w:p>
        </w:tc>
        <w:tc>
          <w:tcPr>
            <w:tcW w:w="737"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262,282</w:t>
            </w:r>
          </w:p>
        </w:tc>
        <w:tc>
          <w:tcPr>
            <w:tcW w:w="833" w:type="pct"/>
            <w:vAlign w:val="center"/>
          </w:tcPr>
          <w:p>
            <w:pPr>
              <w:jc w:val="right"/>
              <w:rPr>
                <w:rFonts w:ascii="宋体" w:hAnsi="宋体"/>
              </w:rPr>
            </w:pPr>
            <w:r>
              <w:rPr>
                <w:rFonts w:hint="eastAsia" w:ascii="宋体" w:hAnsi="宋体"/>
              </w:rPr>
              <w:t>11</w:t>
            </w:r>
          </w:p>
        </w:tc>
        <w:tc>
          <w:tcPr>
            <w:tcW w:w="832" w:type="pct"/>
            <w:vAlign w:val="center"/>
          </w:tcPr>
          <w:p>
            <w:pPr>
              <w:jc w:val="right"/>
              <w:rPr>
                <w:rFonts w:ascii="宋体" w:hAnsi="宋体"/>
              </w:rPr>
            </w:pPr>
            <w:r>
              <w:rPr>
                <w:rFonts w:hint="eastAsia" w:ascii="宋体" w:hAnsi="宋体"/>
              </w:rPr>
              <w:t>185,697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1" w:type="pct"/>
            <w:vAlign w:val="center"/>
          </w:tcPr>
          <w:p>
            <w:pPr>
              <w:ind w:right="105"/>
              <w:jc w:val="center"/>
            </w:pPr>
            <w:r>
              <w:rPr>
                <w:rFonts w:hint="eastAsia"/>
              </w:rPr>
              <w:t>公司</w:t>
            </w:r>
            <w:r>
              <w:t>4</w:t>
            </w:r>
          </w:p>
        </w:tc>
        <w:tc>
          <w:tcPr>
            <w:tcW w:w="804" w:type="pct"/>
            <w:vAlign w:val="center"/>
          </w:tcPr>
          <w:p>
            <w:pPr>
              <w:ind w:right="73"/>
              <w:jc w:val="right"/>
              <w:rPr>
                <w:rFonts w:ascii="宋体" w:hAnsi="宋体"/>
              </w:rPr>
            </w:pPr>
            <w:r>
              <w:rPr>
                <w:rFonts w:hint="eastAsia" w:ascii="宋体" w:hAnsi="宋体"/>
              </w:rPr>
              <w:t>160,919</w:t>
            </w:r>
          </w:p>
        </w:tc>
        <w:tc>
          <w:tcPr>
            <w:tcW w:w="737"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160,919</w:t>
            </w:r>
          </w:p>
        </w:tc>
        <w:tc>
          <w:tcPr>
            <w:tcW w:w="833" w:type="pct"/>
            <w:vAlign w:val="center"/>
          </w:tcPr>
          <w:p>
            <w:pPr>
              <w:jc w:val="right"/>
              <w:rPr>
                <w:rFonts w:ascii="宋体" w:hAnsi="宋体"/>
              </w:rPr>
            </w:pPr>
            <w:r>
              <w:rPr>
                <w:rFonts w:hint="eastAsia" w:ascii="宋体" w:hAnsi="宋体"/>
              </w:rPr>
              <w:t>7</w:t>
            </w:r>
          </w:p>
        </w:tc>
        <w:tc>
          <w:tcPr>
            <w:tcW w:w="832"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1" w:type="pct"/>
            <w:vAlign w:val="center"/>
          </w:tcPr>
          <w:p>
            <w:pPr>
              <w:ind w:right="105"/>
              <w:jc w:val="center"/>
            </w:pPr>
            <w:r>
              <w:rPr>
                <w:rFonts w:hint="eastAsia"/>
              </w:rPr>
              <w:t>公司</w:t>
            </w:r>
            <w:r>
              <w:t>5</w:t>
            </w:r>
          </w:p>
        </w:tc>
        <w:tc>
          <w:tcPr>
            <w:tcW w:w="804" w:type="pct"/>
            <w:vAlign w:val="center"/>
          </w:tcPr>
          <w:p>
            <w:pPr>
              <w:ind w:right="73"/>
              <w:jc w:val="right"/>
              <w:rPr>
                <w:rFonts w:ascii="宋体" w:hAnsi="宋体"/>
              </w:rPr>
            </w:pPr>
            <w:r>
              <w:rPr>
                <w:rFonts w:hint="eastAsia" w:ascii="宋体" w:hAnsi="宋体"/>
              </w:rPr>
              <w:t>122,012</w:t>
            </w:r>
          </w:p>
        </w:tc>
        <w:tc>
          <w:tcPr>
            <w:tcW w:w="737"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122,012</w:t>
            </w:r>
          </w:p>
        </w:tc>
        <w:tc>
          <w:tcPr>
            <w:tcW w:w="833" w:type="pct"/>
            <w:vAlign w:val="center"/>
          </w:tcPr>
          <w:p>
            <w:pPr>
              <w:jc w:val="right"/>
              <w:rPr>
                <w:rFonts w:ascii="宋体" w:hAnsi="宋体"/>
              </w:rPr>
            </w:pPr>
            <w:r>
              <w:rPr>
                <w:rFonts w:hint="eastAsia" w:ascii="宋体" w:hAnsi="宋体"/>
              </w:rPr>
              <w:t>5</w:t>
            </w:r>
          </w:p>
        </w:tc>
        <w:tc>
          <w:tcPr>
            <w:tcW w:w="832"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1" w:type="pct"/>
          </w:tcPr>
          <w:p>
            <w:pPr>
              <w:ind w:right="105"/>
              <w:jc w:val="center"/>
            </w:pPr>
            <w:r>
              <w:rPr>
                <w:rFonts w:hint="eastAsia"/>
              </w:rPr>
              <w:t>合计</w:t>
            </w:r>
          </w:p>
        </w:tc>
        <w:tc>
          <w:tcPr>
            <w:tcW w:w="804" w:type="pct"/>
            <w:vAlign w:val="center"/>
          </w:tcPr>
          <w:p>
            <w:pPr>
              <w:ind w:right="73"/>
              <w:jc w:val="right"/>
              <w:rPr>
                <w:rFonts w:ascii="宋体" w:hAnsi="宋体"/>
              </w:rPr>
            </w:pPr>
            <w:r>
              <w:rPr>
                <w:rFonts w:hint="eastAsia" w:ascii="宋体" w:hAnsi="宋体"/>
              </w:rPr>
              <w:t>1,410,128</w:t>
            </w:r>
          </w:p>
        </w:tc>
        <w:tc>
          <w:tcPr>
            <w:tcW w:w="737" w:type="pct"/>
            <w:vAlign w:val="center"/>
          </w:tcPr>
          <w:p>
            <w:pPr>
              <w:jc w:val="right"/>
              <w:rPr>
                <w:rFonts w:ascii="宋体" w:hAnsi="宋体"/>
              </w:rPr>
            </w:pPr>
          </w:p>
        </w:tc>
        <w:tc>
          <w:tcPr>
            <w:tcW w:w="833" w:type="pct"/>
            <w:vAlign w:val="center"/>
          </w:tcPr>
          <w:p>
            <w:pPr>
              <w:jc w:val="right"/>
              <w:rPr>
                <w:rFonts w:ascii="宋体" w:hAnsi="宋体"/>
              </w:rPr>
            </w:pPr>
            <w:r>
              <w:rPr>
                <w:rFonts w:hint="eastAsia" w:ascii="宋体" w:hAnsi="宋体"/>
              </w:rPr>
              <w:t>1,410,128</w:t>
            </w:r>
          </w:p>
        </w:tc>
        <w:tc>
          <w:tcPr>
            <w:tcW w:w="833" w:type="pct"/>
            <w:vAlign w:val="center"/>
          </w:tcPr>
          <w:p>
            <w:pPr>
              <w:jc w:val="right"/>
              <w:rPr>
                <w:rFonts w:ascii="宋体" w:hAnsi="宋体"/>
              </w:rPr>
            </w:pPr>
            <w:r>
              <w:rPr>
                <w:rFonts w:hint="eastAsia" w:ascii="宋体" w:hAnsi="宋体"/>
              </w:rPr>
              <w:t>59</w:t>
            </w:r>
          </w:p>
        </w:tc>
        <w:tc>
          <w:tcPr>
            <w:tcW w:w="832" w:type="pct"/>
            <w:vAlign w:val="center"/>
          </w:tcPr>
          <w:p>
            <w:pPr>
              <w:jc w:val="right"/>
              <w:rPr>
                <w:rFonts w:ascii="宋体" w:hAnsi="宋体"/>
              </w:rPr>
            </w:pPr>
            <w:r>
              <w:rPr>
                <w:rFonts w:hint="eastAsia" w:ascii="宋体" w:hAnsi="宋体"/>
              </w:rPr>
              <w:t>185,697</w:t>
            </w:r>
          </w:p>
        </w:tc>
      </w:tr>
      <w:bookmarkEnd w:id="348"/>
      <w:bookmarkEnd w:id="349"/>
    </w:tbl>
    <w:p>
      <w:pPr>
        <w:snapToGrid w:val="0"/>
        <w:spacing w:line="240" w:lineRule="atLeast"/>
        <w:rPr>
          <w:rFonts w:ascii="Times New Roman" w:hAnsi="Times New Roman"/>
        </w:rPr>
      </w:pPr>
    </w:p>
    <w:p>
      <w:pPr>
        <w:pStyle w:val="531"/>
      </w:pPr>
      <w:r>
        <w:rPr>
          <w:rFonts w:hint="eastAsia"/>
        </w:rPr>
        <w:t>其他</w:t>
      </w:r>
      <w:r>
        <w:t>说明：</w:t>
      </w:r>
    </w:p>
    <w:sdt>
      <w:sdtPr>
        <w:alias w:val="是否适用：母公司应收账款其他说明[双击切换]"/>
        <w:tag w:val="_GBC_4765684a53b9474f898fa6c2bd313427"/>
        <w:id w:val="248235146"/>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p>
      <w:pPr>
        <w:pStyle w:val="504"/>
        <w:numPr>
          <w:ilvl w:val="0"/>
          <w:numId w:val="139"/>
        </w:numPr>
        <w:rPr>
          <w:rFonts w:ascii="宋体" w:hAnsi="宋体"/>
          <w:szCs w:val="21"/>
        </w:rPr>
      </w:pPr>
      <w:r>
        <w:rPr>
          <w:rFonts w:hint="eastAsia" w:ascii="宋体" w:hAnsi="宋体"/>
          <w:szCs w:val="21"/>
        </w:rPr>
        <w:t>其他应收款</w:t>
      </w:r>
    </w:p>
    <w:p>
      <w:pPr>
        <w:pStyle w:val="505"/>
      </w:pPr>
      <w:r>
        <w:rPr>
          <w:rFonts w:hint="eastAsia"/>
        </w:rPr>
        <w:t>项目列示</w:t>
      </w:r>
    </w:p>
    <w:sdt>
      <w:sdtPr>
        <w:alias w:val="是否适用：母公司其他应收款分类列示[双击切换]"/>
        <w:tag w:val="_GBC_eca97260629e4985b01404cfe0f9630b"/>
        <w:id w:val="1095057914"/>
        <w:placeholder>
          <w:docPart w:val="GBC22222222222222222222222222222"/>
        </w:placeholder>
      </w:sdtPr>
      <w:sdtContent>
        <w:p>
          <w:pPr>
            <w:pStyle w:val="531"/>
          </w:pPr>
          <w:bookmarkStart w:id="350" w:name="_Hlk153789873"/>
          <w:bookmarkStart w:id="351" w:name="_Hlk53379695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其他应收款分类列示"/>
          <w:tag w:val="_GBC_3e648241a63447daac5dd00971efb146"/>
          <w:id w:val="17702807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母公司其他应收款分类列示"/>
          <w:tag w:val="_GBC_c7b8206dd7dd44fcb02f4cced206c1b8"/>
          <w:id w:val="-20586161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13"/>
        <w:gridCol w:w="2862"/>
        <w:gridCol w:w="2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fbe550dc0704e7ebed42463d474129d"/>
            <w:id w:val="-2096312757"/>
          </w:sdtPr>
          <w:sdtContent>
            <w:tc>
              <w:tcPr>
                <w:tcW w:w="1764" w:type="pct"/>
                <w:vAlign w:val="center"/>
              </w:tcPr>
              <w:p>
                <w:pPr>
                  <w:jc w:val="center"/>
                </w:pPr>
                <w:r>
                  <w:rPr>
                    <w:rFonts w:hint="eastAsia"/>
                  </w:rPr>
                  <w:t>项目</w:t>
                </w:r>
              </w:p>
            </w:tc>
          </w:sdtContent>
        </w:sdt>
        <w:sdt>
          <w:sdtPr>
            <w:tag w:val="_PLD_5161bba6c7a3460784316b0695f47487"/>
            <w:id w:val="-2082215838"/>
          </w:sdtPr>
          <w:sdtContent>
            <w:tc>
              <w:tcPr>
                <w:tcW w:w="1622" w:type="pct"/>
                <w:vAlign w:val="center"/>
              </w:tcPr>
              <w:p>
                <w:pPr>
                  <w:jc w:val="center"/>
                </w:pPr>
                <w:r>
                  <w:rPr>
                    <w:rFonts w:hint="eastAsia"/>
                  </w:rPr>
                  <w:t>期末余额</w:t>
                </w:r>
              </w:p>
            </w:tc>
          </w:sdtContent>
        </w:sdt>
        <w:sdt>
          <w:sdtPr>
            <w:tag w:val="_PLD_54007dfc9bc24ec0b86bc4694efe4938"/>
            <w:id w:val="1689245043"/>
          </w:sdtPr>
          <w:sdtContent>
            <w:tc>
              <w:tcPr>
                <w:tcW w:w="1614" w:type="pct"/>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pPr>
            <w:r>
              <w:rPr>
                <w:rFonts w:hint="eastAsia"/>
              </w:rPr>
              <w:t>应收股利</w:t>
            </w:r>
          </w:p>
        </w:tc>
        <w:tc>
          <w:tcPr>
            <w:tcW w:w="1622" w:type="pct"/>
            <w:vAlign w:val="center"/>
          </w:tcPr>
          <w:p>
            <w:pPr>
              <w:ind w:right="5"/>
              <w:jc w:val="right"/>
              <w:rPr>
                <w:rFonts w:ascii="宋体" w:hAnsi="宋体"/>
              </w:rPr>
            </w:pPr>
            <w:r>
              <w:rPr>
                <w:rFonts w:ascii="宋体" w:hAnsi="宋体"/>
              </w:rPr>
              <w:t>4,949,900</w:t>
            </w:r>
          </w:p>
        </w:tc>
        <w:tc>
          <w:tcPr>
            <w:tcW w:w="1614" w:type="pct"/>
            <w:vAlign w:val="center"/>
          </w:tcPr>
          <w:p>
            <w:pPr>
              <w:ind w:right="5"/>
              <w:jc w:val="right"/>
              <w:rPr>
                <w:rFonts w:ascii="宋体" w:hAnsi="宋体"/>
              </w:rPr>
            </w:pPr>
            <w:r>
              <w:rPr>
                <w:rFonts w:ascii="宋体" w:hAnsi="宋体"/>
              </w:rPr>
              <w:t>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ind w:right="5"/>
            </w:pPr>
            <w:r>
              <w:rPr>
                <w:rFonts w:hint="eastAsia"/>
              </w:rPr>
              <w:t>其他应收款</w:t>
            </w:r>
          </w:p>
        </w:tc>
        <w:tc>
          <w:tcPr>
            <w:tcW w:w="1622" w:type="pct"/>
            <w:vAlign w:val="center"/>
          </w:tcPr>
          <w:p>
            <w:pPr>
              <w:ind w:right="5"/>
              <w:jc w:val="right"/>
              <w:rPr>
                <w:rFonts w:ascii="宋体" w:hAnsi="宋体"/>
              </w:rPr>
            </w:pPr>
            <w:r>
              <w:rPr>
                <w:rFonts w:ascii="宋体" w:hAnsi="宋体"/>
              </w:rPr>
              <w:t>32,017,465</w:t>
            </w:r>
          </w:p>
        </w:tc>
        <w:tc>
          <w:tcPr>
            <w:tcW w:w="1614" w:type="pct"/>
            <w:vAlign w:val="center"/>
          </w:tcPr>
          <w:p>
            <w:pPr>
              <w:ind w:right="5"/>
              <w:jc w:val="right"/>
              <w:rPr>
                <w:rFonts w:ascii="宋体" w:hAnsi="宋体"/>
              </w:rPr>
            </w:pPr>
            <w:r>
              <w:rPr>
                <w:rFonts w:ascii="宋体" w:hAnsi="宋体"/>
              </w:rPr>
              <w:t>35,830,083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pPr>
              <w:autoSpaceDE w:val="0"/>
              <w:autoSpaceDN w:val="0"/>
              <w:adjustRightInd w:val="0"/>
            </w:pPr>
            <w:r>
              <w:rPr>
                <w:rFonts w:hint="eastAsia"/>
              </w:rPr>
              <w:t>合计</w:t>
            </w:r>
          </w:p>
        </w:tc>
        <w:tc>
          <w:tcPr>
            <w:tcW w:w="1622" w:type="pct"/>
            <w:vAlign w:val="center"/>
          </w:tcPr>
          <w:p>
            <w:pPr>
              <w:ind w:right="5"/>
              <w:jc w:val="right"/>
              <w:rPr>
                <w:rFonts w:ascii="宋体" w:hAnsi="宋体"/>
              </w:rPr>
            </w:pPr>
            <w:r>
              <w:rPr>
                <w:rFonts w:ascii="宋体" w:hAnsi="宋体"/>
              </w:rPr>
              <w:t>36,967,365</w:t>
            </w:r>
          </w:p>
        </w:tc>
        <w:tc>
          <w:tcPr>
            <w:tcW w:w="1614" w:type="pct"/>
            <w:vAlign w:val="center"/>
          </w:tcPr>
          <w:p>
            <w:pPr>
              <w:jc w:val="right"/>
              <w:rPr>
                <w:rFonts w:ascii="宋体" w:hAnsi="宋体"/>
              </w:rPr>
            </w:pPr>
            <w:r>
              <w:rPr>
                <w:rFonts w:ascii="宋体" w:hAnsi="宋体"/>
              </w:rPr>
              <w:t>35,840,082</w:t>
            </w:r>
          </w:p>
        </w:tc>
      </w:tr>
      <w:bookmarkEnd w:id="350"/>
    </w:tbl>
    <w:p>
      <w:pPr>
        <w:pStyle w:val="531"/>
      </w:pPr>
    </w:p>
    <w:p>
      <w:pPr>
        <w:pStyle w:val="501"/>
      </w:pPr>
      <w:r>
        <w:rPr>
          <w:rFonts w:hint="eastAsia"/>
        </w:rPr>
        <w:t>其他说明：</w:t>
      </w:r>
    </w:p>
    <w:bookmarkEnd w:id="351"/>
    <w:sdt>
      <w:sdtPr>
        <w:alias w:val="是否适用：母公司其他应收款分类列示其他说明[双击切换]"/>
        <w:tag w:val="_GBC_17d0b67d20cb486dbc08e07c11e1224a"/>
        <w:id w:val="235681426"/>
        <w:placeholder>
          <w:docPart w:val="GBC22222222222222222222222222222"/>
        </w:placeholder>
      </w:sdtPr>
      <w:sdtContent>
        <w:p>
          <w:pPr>
            <w:pStyle w:val="501"/>
          </w:pPr>
          <w:bookmarkStart w:id="352" w:name="_Hlk533797002"/>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52"/>
    <w:p>
      <w:pPr>
        <w:pStyle w:val="531"/>
      </w:pPr>
    </w:p>
    <w:p>
      <w:pPr>
        <w:pStyle w:val="505"/>
        <w:ind w:left="360" w:hanging="360"/>
      </w:pPr>
      <w:r>
        <w:rPr>
          <w:rFonts w:hint="eastAsia"/>
        </w:rPr>
        <w:t>应收利息</w:t>
      </w:r>
    </w:p>
    <w:p>
      <w:pPr>
        <w:pStyle w:val="506"/>
        <w:numPr>
          <w:ilvl w:val="0"/>
          <w:numId w:val="141"/>
        </w:numPr>
        <w:ind w:leftChars="0"/>
      </w:pPr>
      <w:r>
        <w:rPr>
          <w:rFonts w:hint="eastAsia"/>
        </w:rPr>
        <w:t>应收利息分类</w:t>
      </w:r>
    </w:p>
    <w:sdt>
      <w:sdtPr>
        <w:alias w:val="是否适用：母公司应收利息分类[双击切换]"/>
        <w:tag w:val="_GBC_5e0cba78d09b4764ada25ce89de1c4fd"/>
        <w:id w:val="-631712596"/>
        <w:placeholder>
          <w:docPart w:val="GBC22222222222222222222222222222"/>
        </w:placeholder>
      </w:sdtPr>
      <w:sdtContent>
        <w:p>
          <w:pPr>
            <w:pStyle w:val="531"/>
          </w:pPr>
          <w:bookmarkStart w:id="353" w:name="_Hlk53379704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6"/>
        <w:numPr>
          <w:ilvl w:val="0"/>
          <w:numId w:val="141"/>
        </w:numPr>
        <w:ind w:leftChars="0"/>
        <w:rPr>
          <w:rFonts w:cs="宋体" w:asciiTheme="minorHAnsi" w:hAnsiTheme="minorHAnsi"/>
          <w:kern w:val="0"/>
          <w:szCs w:val="22"/>
        </w:rPr>
      </w:pPr>
      <w:r>
        <w:rPr>
          <w:rFonts w:hint="eastAsia" w:cs="宋体" w:asciiTheme="minorHAnsi" w:hAnsiTheme="minorHAnsi"/>
          <w:kern w:val="0"/>
          <w:szCs w:val="22"/>
        </w:rPr>
        <w:t>重要逾期利息</w:t>
      </w:r>
    </w:p>
    <w:bookmarkEnd w:id="353"/>
    <w:sdt>
      <w:sdtPr>
        <w:alias w:val="是否适用：母公司重要逾期利息[双击切换]"/>
        <w:tag w:val="_GBC_2d954f5af6a64a34941652eeb166dce8"/>
        <w:id w:val="891384700"/>
        <w:placeholder>
          <w:docPart w:val="GBC22222222222222222222222222222"/>
        </w:placeholder>
      </w:sdtPr>
      <w:sdtContent>
        <w:p>
          <w:pPr>
            <w:pStyle w:val="531"/>
          </w:pPr>
          <w:bookmarkStart w:id="354" w:name="_Hlk53379711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6"/>
        <w:numPr>
          <w:ilvl w:val="0"/>
          <w:numId w:val="141"/>
        </w:numPr>
        <w:ind w:leftChars="0"/>
        <w:rPr>
          <w:rFonts w:cs="宋体" w:asciiTheme="minorHAnsi" w:hAnsiTheme="minorHAnsi"/>
          <w:kern w:val="0"/>
          <w:szCs w:val="22"/>
        </w:rPr>
      </w:pPr>
      <w:r>
        <w:rPr>
          <w:rFonts w:hint="eastAsia" w:cs="宋体" w:asciiTheme="minorHAnsi" w:hAnsiTheme="minorHAnsi"/>
          <w:kern w:val="0"/>
          <w:szCs w:val="22"/>
        </w:rPr>
        <w:t>按</w:t>
      </w:r>
      <w:r>
        <w:rPr>
          <w:rFonts w:cs="宋体" w:asciiTheme="minorHAnsi" w:hAnsiTheme="minorHAnsi"/>
          <w:kern w:val="0"/>
          <w:szCs w:val="22"/>
        </w:rPr>
        <w:t>坏账计提方法分类披露</w:t>
      </w:r>
    </w:p>
    <w:sdt>
      <w:sdtPr>
        <w:alias w:val="是否适用：按坏账计提方法分类披露[双击切换]"/>
        <w:tag w:val="_GBC_fe4d472a766545fe91e93448a26e5403"/>
        <w:id w:val="-1267065300"/>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按单项计提坏账准备：</w:t>
      </w:r>
    </w:p>
    <w:sdt>
      <w:sdtPr>
        <w:alias w:val="是否适用：母公司按单项计提坏账准备的详细情况[双击切换]"/>
        <w:tag w:val="_GBC_d06b9654dbc04fa7af49f1a5ad28f657"/>
        <w:id w:val="-957872321"/>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按单项计提坏账准备的说明：</w:t>
      </w:r>
    </w:p>
    <w:sdt>
      <w:sdtPr>
        <w:alias w:val="是否适用：母公司按单项计提坏账准备的说明[双击切换]"/>
        <w:tag w:val="_GBC_7a6fa6b7c7de4c12942ac6477ec9ffb8"/>
        <w:id w:val="1155110593"/>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rPr>
          <w:bCs/>
          <w:szCs w:val="22"/>
        </w:rPr>
      </w:pPr>
      <w:r>
        <w:rPr>
          <w:rFonts w:hint="eastAsia"/>
          <w:bCs/>
          <w:szCs w:val="22"/>
        </w:rPr>
        <w:t>按组合计提坏账准备：</w:t>
      </w:r>
    </w:p>
    <w:sdt>
      <w:sdtPr>
        <w:rPr>
          <w:bCs/>
          <w:szCs w:val="22"/>
        </w:rPr>
        <w:alias w:val="是否适用：母公司按组合计提坏账准备的详细情况[双击切换]"/>
        <w:tag w:val="_GBC_ce999ec0925c4191a03a5c3b162652e0"/>
        <w:id w:val="-751896834"/>
        <w:placeholder>
          <w:docPart w:val="GBC22222222222222222222222222222"/>
        </w:placeholder>
      </w:sdtPr>
      <w:sdtEndPr>
        <w:rPr>
          <w:bCs/>
          <w:szCs w:val="22"/>
        </w:rPr>
      </w:sdtEndPr>
      <w:sdtContent>
        <w:p>
          <w:pPr>
            <w:pStyle w:val="501"/>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pPr>
        <w:rPr>
          <w:b/>
          <w:bCs/>
          <w:szCs w:val="22"/>
        </w:rPr>
      </w:pPr>
    </w:p>
    <w:p>
      <w:pPr>
        <w:pStyle w:val="506"/>
        <w:numPr>
          <w:ilvl w:val="0"/>
          <w:numId w:val="141"/>
        </w:numPr>
        <w:ind w:leftChars="0"/>
        <w:rPr>
          <w:rFonts w:cs="宋体" w:asciiTheme="minorHAnsi" w:hAnsiTheme="minorHAnsi"/>
          <w:kern w:val="0"/>
          <w:szCs w:val="22"/>
        </w:rPr>
      </w:pPr>
      <w:r>
        <w:rPr>
          <w:rFonts w:hint="eastAsia" w:cs="宋体" w:asciiTheme="minorHAnsi" w:hAnsiTheme="minorHAnsi"/>
          <w:kern w:val="0"/>
          <w:szCs w:val="22"/>
        </w:rPr>
        <w:t>按</w:t>
      </w:r>
      <w:r>
        <w:rPr>
          <w:rFonts w:hint="eastAsia"/>
          <w:szCs w:val="22"/>
        </w:rPr>
        <w:t>预期信用损失一般模型计提坏账准备</w:t>
      </w:r>
    </w:p>
    <w:bookmarkEnd w:id="354"/>
    <w:sdt>
      <w:sdtPr>
        <w:alias w:val="是否适用：母公司应收利息坏账准备调节表[双击切换]"/>
        <w:tag w:val="_GBC_f31c9323c5434941917fd7e42ea1fd1b"/>
        <w:id w:val="-718514045"/>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60"/>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9625231"/>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6"/>
        <w:numPr>
          <w:ilvl w:val="0"/>
          <w:numId w:val="141"/>
        </w:numPr>
        <w:ind w:leftChars="0"/>
        <w:rPr>
          <w:rFonts w:cs="宋体" w:asciiTheme="minorHAnsi" w:hAnsiTheme="minorHAnsi"/>
          <w:kern w:val="0"/>
          <w:szCs w:val="22"/>
        </w:rPr>
      </w:pPr>
      <w:r>
        <w:rPr>
          <w:rFonts w:hint="eastAsia" w:cs="宋体" w:asciiTheme="minorHAnsi" w:hAnsiTheme="minorHAnsi"/>
          <w:kern w:val="0"/>
          <w:szCs w:val="22"/>
        </w:rPr>
        <w:t>坏账准备的情况</w:t>
      </w:r>
    </w:p>
    <w:sdt>
      <w:sdtPr>
        <w:alias w:val="是否适用：母公司坏账准备情况[双击切换]"/>
        <w:tag w:val="_GBC_44a257b47fa748eca2cab9dd0877e841"/>
        <w:id w:val="-1955013335"/>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其中本期坏账准备收回或转回金额重要的：</w:t>
      </w:r>
    </w:p>
    <w:sdt>
      <w:sdtPr>
        <w:alias w:val="是否适用：本期坏账准备收回或转回金额重要的[双击切换]"/>
        <w:tag w:val="_GBC_dda1c249e9da4520abee515b8b42f5f4"/>
        <w:id w:val="-87345732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6"/>
        <w:numPr>
          <w:ilvl w:val="0"/>
          <w:numId w:val="141"/>
        </w:numPr>
        <w:ind w:leftChars="0"/>
        <w:rPr>
          <w:rFonts w:cs="宋体" w:asciiTheme="minorHAnsi" w:hAnsiTheme="minorHAnsi"/>
          <w:kern w:val="0"/>
          <w:szCs w:val="22"/>
        </w:rPr>
      </w:pPr>
      <w:r>
        <w:rPr>
          <w:rFonts w:cs="宋体" w:asciiTheme="minorHAnsi" w:hAnsiTheme="minorHAnsi"/>
          <w:kern w:val="0"/>
          <w:szCs w:val="22"/>
        </w:rPr>
        <w:t>本期实际核销的应收</w:t>
      </w:r>
      <w:r>
        <w:rPr>
          <w:rFonts w:hint="eastAsia" w:cs="宋体" w:asciiTheme="minorHAnsi" w:hAnsiTheme="minorHAnsi"/>
          <w:kern w:val="0"/>
          <w:szCs w:val="22"/>
        </w:rPr>
        <w:t>利息</w:t>
      </w:r>
      <w:r>
        <w:rPr>
          <w:rFonts w:cs="宋体" w:asciiTheme="minorHAnsi" w:hAnsiTheme="minorHAnsi"/>
          <w:kern w:val="0"/>
          <w:szCs w:val="22"/>
        </w:rPr>
        <w:t>情况</w:t>
      </w:r>
    </w:p>
    <w:sdt>
      <w:sdtPr>
        <w:alias w:val="是否适用：实际核销的情况[双击切换]"/>
        <w:tag w:val="_GBC_078b310c81244c1d880a4059768019f1"/>
        <w:id w:val="-1218973575"/>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其中重要的应收利息核销情况</w:t>
      </w:r>
    </w:p>
    <w:sdt>
      <w:sdtPr>
        <w:rPr>
          <w:rFonts w:hint="eastAsia"/>
        </w:rPr>
        <w:alias w:val="是否适用：母公司重要的核销情况[双击切换]"/>
        <w:tag w:val="_GBC_d68df6b80a1a45bcb388baf56df1b958"/>
        <w:id w:val="-1044435660"/>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核销说明：</w:t>
      </w:r>
    </w:p>
    <w:sdt>
      <w:sdtPr>
        <w:alias w:val="是否适用：母公司核销说明[双击切换]"/>
        <w:tag w:val="_GBC_dd0453ff96014cb191f4b96cd3787f15"/>
        <w:id w:val="2047330401"/>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31"/>
      </w:pPr>
      <w:r>
        <w:rPr>
          <w:rFonts w:hint="eastAsia"/>
        </w:rPr>
        <w:t>其他说明：</w:t>
      </w:r>
    </w:p>
    <w:sdt>
      <w:sdtPr>
        <w:rPr>
          <w:rFonts w:hint="eastAsia"/>
        </w:rPr>
        <w:alias w:val="是否适用：应收利息的说明[双击切换]"/>
        <w:tag w:val="_GBC_9a3e6e5b075544d3b90be42ae9d883ef"/>
        <w:id w:val="-1750029986"/>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5"/>
        <w:ind w:left="360" w:hanging="360"/>
      </w:pPr>
      <w:r>
        <w:rPr>
          <w:rFonts w:hint="eastAsia"/>
        </w:rPr>
        <w:t>应收股利</w:t>
      </w:r>
    </w:p>
    <w:p>
      <w:pPr>
        <w:pStyle w:val="506"/>
        <w:numPr>
          <w:ilvl w:val="0"/>
          <w:numId w:val="142"/>
        </w:numPr>
        <w:ind w:leftChars="0"/>
        <w:rPr>
          <w:rFonts w:cs="宋体" w:asciiTheme="minorHAnsi" w:hAnsiTheme="minorHAnsi"/>
          <w:kern w:val="0"/>
          <w:szCs w:val="22"/>
        </w:rPr>
      </w:pPr>
      <w:r>
        <w:rPr>
          <w:rFonts w:hint="eastAsia" w:cs="宋体" w:asciiTheme="minorHAnsi" w:hAnsiTheme="minorHAnsi"/>
          <w:kern w:val="0"/>
          <w:szCs w:val="22"/>
        </w:rPr>
        <w:t>应收股利</w:t>
      </w:r>
    </w:p>
    <w:sdt>
      <w:sdtPr>
        <w:alias w:val="是否适用：母公司应收股利[双击切换]"/>
        <w:tag w:val="_GBC_a52dcf5153694fbe9527781c61a5006e"/>
        <w:id w:val="-808017641"/>
        <w:placeholder>
          <w:docPart w:val="GBC22222222222222222222222222222"/>
        </w:placeholder>
      </w:sdtPr>
      <w:sdtContent>
        <w:p>
          <w:pPr>
            <w:pStyle w:val="531"/>
          </w:pPr>
          <w:bookmarkStart w:id="355" w:name="_Hlk53379725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6"/>
        <w:numPr>
          <w:ilvl w:val="0"/>
          <w:numId w:val="142"/>
        </w:numPr>
        <w:ind w:leftChars="0"/>
        <w:rPr>
          <w:rFonts w:ascii="宋体" w:hAnsi="宋体" w:cs="宋体"/>
          <w:kern w:val="0"/>
          <w:szCs w:val="22"/>
        </w:rPr>
      </w:pPr>
      <w:r>
        <w:rPr>
          <w:rFonts w:hint="eastAsia" w:ascii="宋体" w:hAnsi="宋体" w:cs="宋体"/>
          <w:kern w:val="0"/>
          <w:szCs w:val="22"/>
        </w:rPr>
        <w:t>重要的账龄超过1年的应收股利</w:t>
      </w:r>
    </w:p>
    <w:bookmarkEnd w:id="355"/>
    <w:sdt>
      <w:sdtPr>
        <w:alias w:val="是否适用：母公司重要的账龄超过1年的应收股利[双击切换]"/>
        <w:tag w:val="_GBC_70eb463d08894908bb104ae0b258e76e"/>
        <w:id w:val="1408187860"/>
        <w:placeholder>
          <w:docPart w:val="GBC22222222222222222222222222222"/>
        </w:placeholder>
      </w:sdtPr>
      <w:sdtContent>
        <w:p>
          <w:pPr>
            <w:pStyle w:val="501"/>
          </w:pPr>
          <w:bookmarkStart w:id="356" w:name="_Hlk533797316"/>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6"/>
        <w:numPr>
          <w:ilvl w:val="0"/>
          <w:numId w:val="142"/>
        </w:numPr>
        <w:ind w:leftChars="0"/>
        <w:rPr>
          <w:rFonts w:cs="宋体" w:asciiTheme="minorHAnsi" w:hAnsiTheme="minorHAnsi"/>
          <w:kern w:val="0"/>
          <w:szCs w:val="22"/>
        </w:rPr>
      </w:pPr>
      <w:r>
        <w:rPr>
          <w:rFonts w:hint="eastAsia" w:cs="宋体" w:asciiTheme="minorHAnsi" w:hAnsiTheme="minorHAnsi"/>
          <w:kern w:val="0"/>
          <w:szCs w:val="22"/>
        </w:rPr>
        <w:t>按</w:t>
      </w:r>
      <w:r>
        <w:rPr>
          <w:rFonts w:cs="宋体" w:asciiTheme="minorHAnsi" w:hAnsiTheme="minorHAnsi"/>
          <w:kern w:val="0"/>
          <w:szCs w:val="22"/>
        </w:rPr>
        <w:t>坏账计提方法分类披露</w:t>
      </w:r>
    </w:p>
    <w:sdt>
      <w:sdtPr>
        <w:alias w:val="是否适用：母公司按坏账计提方法分类披露[双击切换]"/>
        <w:tag w:val="_GBC_3e6131bf64764260959e58957d1a923e"/>
        <w:id w:val="842752087"/>
        <w:placeholder>
          <w:docPart w:val="GBC22222222222222222222222222222"/>
        </w:placeholder>
      </w:sdtPr>
      <w:sdtContent>
        <w:p>
          <w:pPr>
            <w:pStyle w:val="531"/>
          </w:pPr>
          <w:bookmarkStart w:id="357" w:name="_Hlk153790907"/>
          <w:bookmarkStart w:id="358" w:name="_Hlk15415004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按单项计提坏账准备：</w:t>
      </w:r>
    </w:p>
    <w:sdt>
      <w:sdtPr>
        <w:alias w:val="是否适用：母公司按单项计提坏账准备的详细情况[双击切换]"/>
        <w:tag w:val="_GBC_0bffd65beafa48e6aca929c5c2140787"/>
        <w:id w:val="93016962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按单项计提坏账准备的说明：</w:t>
      </w:r>
    </w:p>
    <w:sdt>
      <w:sdtPr>
        <w:alias w:val="是否适用：母公司按单项计提坏账准备的说明[双击切换]"/>
        <w:tag w:val="_GBC_3ff3367dda784192860c78e5be49cae0"/>
        <w:id w:val="155886705"/>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rPr>
          <w:bCs/>
          <w:szCs w:val="22"/>
        </w:rPr>
      </w:pPr>
      <w:r>
        <w:rPr>
          <w:rFonts w:hint="eastAsia"/>
          <w:bCs/>
          <w:szCs w:val="22"/>
        </w:rPr>
        <w:t>按组合计提坏账准备：</w:t>
      </w:r>
    </w:p>
    <w:sdt>
      <w:sdtPr>
        <w:rPr>
          <w:bCs/>
          <w:szCs w:val="22"/>
        </w:rPr>
        <w:alias w:val="是否适用：母公司按组合计提坏账准备的详细情况[双击切换]"/>
        <w:tag w:val="_GBC_5b769fae73d0491bae227d3968699870"/>
        <w:id w:val="-342325350"/>
        <w:placeholder>
          <w:docPart w:val="GBC22222222222222222222222222222"/>
        </w:placeholder>
      </w:sdtPr>
      <w:sdtEndPr>
        <w:rPr>
          <w:bCs/>
          <w:szCs w:val="22"/>
        </w:rPr>
      </w:sdtEndPr>
      <w:sdtContent>
        <w:p>
          <w:pPr>
            <w:pStyle w:val="501"/>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pPr>
        <w:pStyle w:val="501"/>
      </w:pPr>
    </w:p>
    <w:bookmarkEnd w:id="357"/>
    <w:p>
      <w:pPr>
        <w:pStyle w:val="506"/>
        <w:numPr>
          <w:ilvl w:val="0"/>
          <w:numId w:val="142"/>
        </w:numPr>
        <w:ind w:leftChars="0"/>
        <w:rPr>
          <w:rFonts w:cs="宋体" w:asciiTheme="minorHAnsi" w:hAnsiTheme="minorHAnsi"/>
          <w:kern w:val="0"/>
          <w:szCs w:val="22"/>
        </w:rPr>
      </w:pPr>
      <w:r>
        <w:rPr>
          <w:rFonts w:hint="eastAsia" w:cs="宋体" w:asciiTheme="minorHAnsi" w:hAnsiTheme="minorHAnsi"/>
          <w:kern w:val="0"/>
          <w:szCs w:val="22"/>
        </w:rPr>
        <w:t>按</w:t>
      </w:r>
      <w:r>
        <w:rPr>
          <w:rFonts w:hint="eastAsia"/>
          <w:szCs w:val="22"/>
        </w:rPr>
        <w:t>预期信用损失一般模型计提坏账准备</w:t>
      </w:r>
    </w:p>
    <w:bookmarkEnd w:id="356"/>
    <w:bookmarkEnd w:id="358"/>
    <w:sdt>
      <w:sdtPr>
        <w:alias w:val="是否适用：母公司应收股利坏账准备调节表[双击切换]"/>
        <w:tag w:val="_GBC_5cbd8c1c52fa42d19db26aadad6a74b8"/>
        <w:id w:val="-2063090812"/>
        <w:placeholder>
          <w:docPart w:val="GBC22222222222222222222222222222"/>
        </w:placeholder>
      </w:sdtPr>
      <w:sdtContent>
        <w:p>
          <w:pPr>
            <w:pStyle w:val="531"/>
          </w:pPr>
          <w:bookmarkStart w:id="359" w:name="_Hlk53386887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60"/>
      </w:pPr>
      <w:r>
        <w:rPr>
          <w:rFonts w:hint="eastAsia"/>
        </w:rPr>
        <w:t>对本期发生损失准备变动的应收股利账面余额显著变动的情况说明：</w:t>
      </w:r>
    </w:p>
    <w:sdt>
      <w:sdtPr>
        <w:rPr>
          <w:rFonts w:hint="eastAsia"/>
        </w:rPr>
        <w:alias w:val="是否适用：母公司应收股利本期发生损失准备变动且账面余额显著变动的情况说明[双击切换]"/>
        <w:tag w:val="_GBC_97e9fe7a49b947f79ce9d174eeaf0f5f"/>
        <w:id w:val="345913652"/>
        <w:placeholder>
          <w:docPart w:val="GBC22222222222222222222222222222"/>
        </w:placeholder>
      </w:sdtPr>
      <w:sdtEndPr>
        <w:rPr>
          <w:rFonts w:hint="eastAsia"/>
        </w:rPr>
      </w:sdtEnd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59"/>
    <w:p>
      <w:pPr>
        <w:pStyle w:val="531"/>
      </w:pPr>
    </w:p>
    <w:p>
      <w:pPr>
        <w:pStyle w:val="506"/>
        <w:numPr>
          <w:ilvl w:val="0"/>
          <w:numId w:val="142"/>
        </w:numPr>
        <w:ind w:leftChars="0"/>
        <w:rPr>
          <w:rFonts w:cs="宋体" w:asciiTheme="minorHAnsi" w:hAnsiTheme="minorHAnsi"/>
          <w:kern w:val="0"/>
          <w:szCs w:val="22"/>
        </w:rPr>
      </w:pPr>
      <w:r>
        <w:rPr>
          <w:rFonts w:hint="eastAsia" w:cs="宋体" w:asciiTheme="minorHAnsi" w:hAnsiTheme="minorHAnsi"/>
          <w:kern w:val="0"/>
          <w:szCs w:val="22"/>
        </w:rPr>
        <w:t>坏账准备的情况</w:t>
      </w:r>
    </w:p>
    <w:sdt>
      <w:sdtPr>
        <w:alias w:val="是否适用：母公司坏账准备情况[双击切换]"/>
        <w:tag w:val="_GBC_821565a30d3745e0bc44de118b7dee6f"/>
        <w:id w:val="-566804807"/>
        <w:placeholder>
          <w:docPart w:val="GBC22222222222222222222222222222"/>
        </w:placeholder>
      </w:sdtPr>
      <w:sdtContent>
        <w:p>
          <w:pPr>
            <w:pStyle w:val="531"/>
          </w:pPr>
          <w:bookmarkStart w:id="360" w:name="_Hlk153792018"/>
          <w:bookmarkStart w:id="361" w:name="_Hlk15415025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31"/>
      </w:pPr>
      <w:r>
        <w:rPr>
          <w:rFonts w:hint="eastAsia"/>
        </w:rPr>
        <w:t>其中本期坏账准备收回或转回金额重要的：</w:t>
      </w:r>
    </w:p>
    <w:sdt>
      <w:sdtPr>
        <w:alias w:val="是否适用：母公司本期坏账准备收回或转回金额重要的[双击切换]"/>
        <w:tag w:val="_GBC_0d1ed1559d1344db8b219f59e8d21024"/>
        <w:id w:val="-168111460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1594" w:rightChars="-759"/>
      </w:pPr>
    </w:p>
    <w:p>
      <w:pPr>
        <w:pStyle w:val="506"/>
        <w:numPr>
          <w:ilvl w:val="0"/>
          <w:numId w:val="142"/>
        </w:numPr>
        <w:ind w:leftChars="0"/>
        <w:rPr>
          <w:rFonts w:cs="宋体" w:asciiTheme="minorHAnsi" w:hAnsiTheme="minorHAnsi"/>
          <w:kern w:val="0"/>
          <w:szCs w:val="22"/>
        </w:rPr>
      </w:pPr>
      <w:r>
        <w:rPr>
          <w:rFonts w:cs="宋体" w:asciiTheme="minorHAnsi" w:hAnsiTheme="minorHAnsi"/>
          <w:kern w:val="0"/>
          <w:szCs w:val="22"/>
        </w:rPr>
        <w:t>本期实际核销的应收</w:t>
      </w:r>
      <w:r>
        <w:rPr>
          <w:rFonts w:hint="eastAsia" w:cs="宋体" w:asciiTheme="minorHAnsi" w:hAnsiTheme="minorHAnsi"/>
          <w:kern w:val="0"/>
          <w:szCs w:val="22"/>
        </w:rPr>
        <w:t>股利</w:t>
      </w:r>
      <w:r>
        <w:rPr>
          <w:rFonts w:cs="宋体" w:asciiTheme="minorHAnsi" w:hAnsiTheme="minorHAnsi"/>
          <w:kern w:val="0"/>
          <w:szCs w:val="22"/>
        </w:rPr>
        <w:t>情况</w:t>
      </w:r>
    </w:p>
    <w:sdt>
      <w:sdtPr>
        <w:alias w:val="是否适用：母公司实际核销的情况[双击切换]"/>
        <w:tag w:val="_GBC_1b5ee2d7fd5a4b549b2a2bd673f1698a"/>
        <w:id w:val="-1536964458"/>
        <w:placeholder>
          <w:docPart w:val="GBC22222222222222222222222222222"/>
        </w:placeholder>
      </w:sdtPr>
      <w:sdtContent>
        <w:p>
          <w:pPr>
            <w:pStyle w:val="531"/>
          </w:pPr>
          <w:bookmarkStart w:id="362" w:name="_Hlk15588315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其中重要的应收股利核销情况</w:t>
      </w:r>
    </w:p>
    <w:bookmarkEnd w:id="362"/>
    <w:sdt>
      <w:sdtPr>
        <w:rPr>
          <w:rFonts w:hint="eastAsia"/>
        </w:rPr>
        <w:alias w:val="是否适用：母公司重要的核销情况[双击切换]"/>
        <w:tag w:val="_GBC_2151c3ad65384379897352f370874db1"/>
        <w:id w:val="-1665546280"/>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核销说明：</w:t>
      </w:r>
    </w:p>
    <w:sdt>
      <w:sdtPr>
        <w:alias w:val="是否适用：母公司核销说明[双击切换]"/>
        <w:tag w:val="_GBC_f8d1d851a8a641b3b3733ca0037885d1"/>
        <w:id w:val="188112277"/>
        <w:placeholder>
          <w:docPart w:val="GBC22222222222222222222222222222"/>
        </w:placeholder>
      </w:sdt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60"/>
    <w:p>
      <w:pPr>
        <w:pStyle w:val="531"/>
      </w:pPr>
    </w:p>
    <w:p>
      <w:pPr>
        <w:pStyle w:val="501"/>
      </w:pPr>
      <w:r>
        <w:rPr>
          <w:rFonts w:hint="eastAsia"/>
        </w:rPr>
        <w:t>其他说明：</w:t>
      </w:r>
    </w:p>
    <w:bookmarkEnd w:id="361"/>
    <w:sdt>
      <w:sdtPr>
        <w:alias w:val="是否适用：母公司应收股利其他说明[双击切换]"/>
        <w:tag w:val="_GBC_75450c3c0332439986937f5dec59f65c"/>
        <w:id w:val="2134744777"/>
        <w:placeholder>
          <w:docPart w:val="GBC22222222222222222222222222222"/>
        </w:placeholder>
      </w:sdtPr>
      <w:sdtContent>
        <w:p>
          <w:pPr>
            <w:pStyle w:val="501"/>
          </w:pPr>
          <w:bookmarkStart w:id="363" w:name="_Hlk533797406"/>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63"/>
    <w:p>
      <w:pPr>
        <w:pStyle w:val="531"/>
      </w:pPr>
    </w:p>
    <w:p>
      <w:pPr>
        <w:pStyle w:val="505"/>
        <w:ind w:left="360" w:hanging="360"/>
      </w:pPr>
      <w:r>
        <w:rPr>
          <w:rFonts w:hint="eastAsia"/>
        </w:rPr>
        <w:t>其他应收款</w:t>
      </w:r>
    </w:p>
    <w:p>
      <w:pPr>
        <w:pStyle w:val="506"/>
        <w:numPr>
          <w:ilvl w:val="0"/>
          <w:numId w:val="143"/>
        </w:numPr>
        <w:ind w:leftChars="0"/>
        <w:rPr>
          <w:rFonts w:cs="宋体" w:asciiTheme="minorHAnsi" w:hAnsiTheme="minorHAnsi"/>
          <w:kern w:val="0"/>
          <w:szCs w:val="22"/>
        </w:rPr>
      </w:pPr>
      <w:r>
        <w:rPr>
          <w:rFonts w:hint="eastAsia" w:cs="宋体" w:asciiTheme="minorHAnsi" w:hAnsiTheme="minorHAnsi"/>
          <w:kern w:val="0"/>
          <w:szCs w:val="22"/>
        </w:rPr>
        <w:t>按账龄披露</w:t>
      </w:r>
    </w:p>
    <w:sdt>
      <w:sdtPr>
        <w:alias w:val="是否适用：母公司其他应收款按账龄披露[双击切换]"/>
        <w:tag w:val="_GBC_5c11b96990fa439da812b87b47ed4c80"/>
        <w:id w:val="-734553889"/>
        <w:placeholder>
          <w:docPart w:val="GBC22222222222222222222222222222"/>
        </w:placeholder>
      </w:sdtPr>
      <w:sdtContent>
        <w:p>
          <w:pPr>
            <w:pStyle w:val="501"/>
          </w:pPr>
          <w:bookmarkStart w:id="364" w:name="_Hlk153797719"/>
          <w:bookmarkStart w:id="365" w:name="_Hlk533797447"/>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母公司其他应收款按账龄披露"/>
          <w:tag w:val="_GBC_41616ef98f834aa2b100f687773d3969"/>
          <w:id w:val="2850066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母公司其他应收款按账龄披露"/>
          <w:tag w:val="_GBC_5e3917487f6647c3bad62a8fb87ea91e"/>
          <w:id w:val="8230193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93"/>
        <w:gridCol w:w="2915"/>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6b4d3ce2efb49849027845f309f652a"/>
            <w:id w:val="-1075737627"/>
          </w:sdtPr>
          <w:sdtContent>
            <w:tc>
              <w:tcPr>
                <w:tcW w:w="169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账龄</w:t>
                </w:r>
              </w:p>
            </w:tc>
          </w:sdtContent>
        </w:sdt>
        <w:sdt>
          <w:sdtPr>
            <w:tag w:val="_PLD_2a2524c4aa88497fa0bf73f43366d799"/>
            <w:id w:val="951283447"/>
          </w:sdtPr>
          <w:sdtContent>
            <w:tc>
              <w:tcPr>
                <w:tcW w:w="1652"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期末账面余额</w:t>
                </w:r>
              </w:p>
            </w:tc>
          </w:sdtContent>
        </w:sdt>
        <w:tc>
          <w:tcPr>
            <w:tcW w:w="1652" w:type="pct"/>
            <w:tcBorders>
              <w:top w:val="single" w:color="auto" w:sz="4" w:space="0"/>
              <w:left w:val="single" w:color="auto" w:sz="4" w:space="0"/>
              <w:bottom w:val="single" w:color="auto" w:sz="4" w:space="0"/>
              <w:right w:val="single" w:color="auto" w:sz="4" w:space="0"/>
            </w:tcBorders>
          </w:tcPr>
          <w:sdt>
            <w:sdtPr>
              <w:rPr>
                <w:rFonts w:hint="eastAsia"/>
              </w:rPr>
              <w:tag w:val="_PLD_63769de747ae44d5b345aed18107390b"/>
              <w:id w:val="1194814731"/>
            </w:sdtPr>
            <w:sdtEndPr>
              <w:rPr>
                <w:rFonts w:hint="eastAsia"/>
              </w:rPr>
            </w:sdtEndPr>
            <w:sdtContent>
              <w:p>
                <w:pPr>
                  <w:jc w:val="center"/>
                </w:pPr>
                <w:r>
                  <w:rPr>
                    <w:rFonts w:hint="eastAsia"/>
                  </w:rPr>
                  <w:t>期初账面余额</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1年以内（含1年）</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31,983,317</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35,798,241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1至2年</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19,756</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27,650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2至3年</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11,489</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3年以上</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ascii="宋体" w:hAnsi="宋体"/>
              </w:rPr>
              <w:t>224,666</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269,367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合计</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ascii="宋体" w:hAnsi="宋体"/>
              </w:rPr>
              <w:t>32,239,228</w:t>
            </w:r>
          </w:p>
        </w:tc>
        <w:tc>
          <w:tcPr>
            <w:tcW w:w="1652" w:type="pct"/>
            <w:tcBorders>
              <w:top w:val="single" w:color="auto" w:sz="4" w:space="0"/>
              <w:left w:val="single" w:color="auto" w:sz="4" w:space="0"/>
              <w:bottom w:val="single" w:color="auto" w:sz="4" w:space="0"/>
              <w:right w:val="single" w:color="auto" w:sz="4" w:space="0"/>
            </w:tcBorders>
          </w:tcPr>
          <w:p>
            <w:pPr>
              <w:jc w:val="right"/>
              <w:rPr>
                <w:rFonts w:ascii="宋体" w:hAnsi="宋体"/>
              </w:rPr>
            </w:pPr>
            <w:r>
              <w:rPr>
                <w:rFonts w:hint="eastAsia" w:ascii="宋体" w:hAnsi="宋体"/>
              </w:rPr>
              <w:t>36,101,258</w:t>
            </w:r>
          </w:p>
        </w:tc>
      </w:tr>
      <w:bookmarkEnd w:id="364"/>
    </w:tbl>
    <w:p>
      <w:pPr>
        <w:pStyle w:val="531"/>
      </w:pPr>
    </w:p>
    <w:p>
      <w:pPr>
        <w:pStyle w:val="506"/>
        <w:numPr>
          <w:ilvl w:val="0"/>
          <w:numId w:val="143"/>
        </w:numPr>
        <w:ind w:leftChars="0"/>
        <w:rPr>
          <w:rFonts w:cs="宋体" w:asciiTheme="minorHAnsi" w:hAnsiTheme="minorHAnsi"/>
          <w:kern w:val="0"/>
          <w:szCs w:val="22"/>
        </w:rPr>
      </w:pPr>
      <w:r>
        <w:rPr>
          <w:rFonts w:hint="eastAsia" w:cs="宋体" w:asciiTheme="minorHAnsi" w:hAnsiTheme="minorHAnsi"/>
          <w:kern w:val="0"/>
          <w:szCs w:val="22"/>
        </w:rPr>
        <w:t>按款项性质分类情况</w:t>
      </w:r>
    </w:p>
    <w:p>
      <w:pPr>
        <w:pStyle w:val="531"/>
      </w:pPr>
      <w:sdt>
        <w:sdtPr>
          <w:alias w:val="是否适用：母公司其他应收款按款项性质分类情况[双击切换]"/>
          <w:tag w:val="_GBC_a5e5418d19394a1c8f8093184d9b360a"/>
          <w:id w:val="-1622599114"/>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母公司其他应收款按款项性质分类情况"/>
          <w:tag w:val="_GBC_451485fc33dc4b2c9be5a44730242ca7"/>
          <w:id w:val="-7308455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财务附注：母公司其他应收款按款项性质分类情况"/>
          <w:tag w:val="_GBC_f3e8ad411fc545a19718a43203281efd"/>
          <w:id w:val="-16912103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906"/>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a2a2127303b4deebb2bcaea193eb6d9"/>
            <w:id w:val="1621959287"/>
          </w:sdtPr>
          <w:sdtContent>
            <w:tc>
              <w:tcPr>
                <w:tcW w:w="1700" w:type="pct"/>
              </w:tcPr>
              <w:p>
                <w:pPr>
                  <w:jc w:val="center"/>
                  <w:rPr>
                    <w:rFonts w:ascii="Times New Roman" w:hAnsi="Times New Roman"/>
                  </w:rPr>
                </w:pPr>
                <w:r>
                  <w:rPr>
                    <w:rFonts w:hint="eastAsia" w:ascii="Times New Roman" w:hAnsi="Times New Roman"/>
                  </w:rPr>
                  <w:t>款项性质</w:t>
                </w:r>
              </w:p>
            </w:tc>
          </w:sdtContent>
        </w:sdt>
        <w:sdt>
          <w:sdtPr>
            <w:tag w:val="_PLD_aa55d719329144e5a0eafd36222d0851"/>
            <w:id w:val="1994218710"/>
          </w:sdtPr>
          <w:sdtContent>
            <w:tc>
              <w:tcPr>
                <w:tcW w:w="1647" w:type="pct"/>
              </w:tcPr>
              <w:p>
                <w:pPr>
                  <w:jc w:val="center"/>
                  <w:rPr>
                    <w:rFonts w:ascii="Times New Roman" w:hAnsi="Times New Roman"/>
                  </w:rPr>
                </w:pPr>
                <w:r>
                  <w:rPr>
                    <w:rFonts w:hint="eastAsia" w:ascii="Times New Roman" w:hAnsi="Times New Roman"/>
                  </w:rPr>
                  <w:t>期末账面余额</w:t>
                </w:r>
              </w:p>
            </w:tc>
          </w:sdtContent>
        </w:sdt>
        <w:sdt>
          <w:sdtPr>
            <w:tag w:val="_PLD_146282129b6a4b52a6963dad9647679a"/>
            <w:id w:val="-441840950"/>
          </w:sdtPr>
          <w:sdtContent>
            <w:tc>
              <w:tcPr>
                <w:tcW w:w="1653" w:type="pct"/>
              </w:tcPr>
              <w:p>
                <w:pPr>
                  <w:jc w:val="center"/>
                  <w:rPr>
                    <w:rFonts w:ascii="Times New Roman" w:hAnsi="Times New Roman"/>
                  </w:rPr>
                </w:pPr>
                <w:r>
                  <w:rPr>
                    <w:rFonts w:hint="eastAsia" w:ascii="Times New Roman" w:hAnsi="Times New Roman"/>
                  </w:rPr>
                  <w:t>期初账面余额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rPr>
                <w:rFonts w:ascii="宋体" w:hAnsi="宋体"/>
                <w:highlight w:val="yellow"/>
              </w:rPr>
            </w:pPr>
            <w:r>
              <w:rPr>
                <w:rFonts w:hint="eastAsia" w:ascii="宋体" w:hAnsi="宋体"/>
              </w:rPr>
              <w:t>往来款</w:t>
            </w:r>
          </w:p>
        </w:tc>
        <w:tc>
          <w:tcPr>
            <w:tcW w:w="1647" w:type="pct"/>
          </w:tcPr>
          <w:p>
            <w:pPr>
              <w:jc w:val="right"/>
              <w:rPr>
                <w:rFonts w:ascii="宋体" w:hAnsi="宋体"/>
              </w:rPr>
            </w:pPr>
            <w:r>
              <w:rPr>
                <w:rFonts w:hint="eastAsia" w:ascii="宋体" w:hAnsi="宋体"/>
              </w:rPr>
              <w:t>31,980,1</w:t>
            </w:r>
            <w:r>
              <w:rPr>
                <w:rFonts w:ascii="宋体" w:hAnsi="宋体"/>
              </w:rPr>
              <w:t>29</w:t>
            </w:r>
          </w:p>
        </w:tc>
        <w:tc>
          <w:tcPr>
            <w:tcW w:w="1653" w:type="pct"/>
          </w:tcPr>
          <w:p>
            <w:pPr>
              <w:jc w:val="right"/>
              <w:rPr>
                <w:rFonts w:ascii="宋体" w:hAnsi="宋体"/>
              </w:rPr>
            </w:pPr>
            <w:r>
              <w:rPr>
                <w:rFonts w:hint="eastAsia" w:ascii="宋体" w:hAnsi="宋体"/>
              </w:rPr>
              <w:t>35,791,354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rPr>
                <w:rFonts w:ascii="宋体" w:hAnsi="宋体"/>
                <w:highlight w:val="yellow"/>
              </w:rPr>
            </w:pPr>
            <w:r>
              <w:rPr>
                <w:rFonts w:hint="eastAsia" w:ascii="宋体" w:hAnsi="宋体"/>
              </w:rPr>
              <w:t>预计无法收回的款项</w:t>
            </w:r>
          </w:p>
        </w:tc>
        <w:tc>
          <w:tcPr>
            <w:tcW w:w="1647" w:type="pct"/>
          </w:tcPr>
          <w:p>
            <w:pPr>
              <w:jc w:val="right"/>
              <w:rPr>
                <w:rFonts w:ascii="宋体" w:hAnsi="宋体"/>
              </w:rPr>
            </w:pPr>
            <w:r>
              <w:rPr>
                <w:rFonts w:ascii="宋体" w:hAnsi="宋体"/>
              </w:rPr>
              <w:t>212,536</w:t>
            </w:r>
          </w:p>
        </w:tc>
        <w:tc>
          <w:tcPr>
            <w:tcW w:w="1653" w:type="pct"/>
          </w:tcPr>
          <w:p>
            <w:pPr>
              <w:jc w:val="right"/>
              <w:rPr>
                <w:rFonts w:ascii="宋体" w:hAnsi="宋体"/>
              </w:rPr>
            </w:pPr>
            <w:r>
              <w:rPr>
                <w:rFonts w:hint="eastAsia" w:ascii="宋体" w:hAnsi="宋体"/>
              </w:rPr>
              <w:t>261,948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rPr>
                <w:rFonts w:ascii="宋体" w:hAnsi="宋体"/>
                <w:highlight w:val="yellow"/>
              </w:rPr>
            </w:pPr>
            <w:r>
              <w:rPr>
                <w:rFonts w:hint="eastAsia" w:ascii="宋体" w:hAnsi="宋体"/>
              </w:rPr>
              <w:t>应收代垫款</w:t>
            </w:r>
          </w:p>
        </w:tc>
        <w:tc>
          <w:tcPr>
            <w:tcW w:w="1647" w:type="pct"/>
          </w:tcPr>
          <w:p>
            <w:pPr>
              <w:jc w:val="right"/>
              <w:rPr>
                <w:rFonts w:ascii="宋体" w:hAnsi="宋体"/>
              </w:rPr>
            </w:pPr>
            <w:r>
              <w:rPr>
                <w:rFonts w:hint="eastAsia" w:ascii="宋体" w:hAnsi="宋体"/>
              </w:rPr>
              <w:t>26,959</w:t>
            </w:r>
          </w:p>
        </w:tc>
        <w:tc>
          <w:tcPr>
            <w:tcW w:w="1653" w:type="pct"/>
          </w:tcPr>
          <w:p>
            <w:pPr>
              <w:jc w:val="right"/>
              <w:rPr>
                <w:rFonts w:ascii="宋体" w:hAnsi="宋体"/>
              </w:rPr>
            </w:pPr>
            <w:r>
              <w:rPr>
                <w:rFonts w:hint="eastAsia" w:ascii="宋体" w:hAnsi="宋体"/>
              </w:rPr>
              <w:t>23,321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rPr>
                <w:rFonts w:ascii="宋体" w:hAnsi="宋体"/>
                <w:highlight w:val="yellow"/>
              </w:rPr>
            </w:pPr>
            <w:r>
              <w:rPr>
                <w:rFonts w:hint="eastAsia" w:ascii="宋体" w:hAnsi="宋体"/>
              </w:rPr>
              <w:t>押金保证金</w:t>
            </w:r>
          </w:p>
        </w:tc>
        <w:tc>
          <w:tcPr>
            <w:tcW w:w="1647" w:type="pct"/>
          </w:tcPr>
          <w:p>
            <w:pPr>
              <w:jc w:val="right"/>
              <w:rPr>
                <w:rFonts w:ascii="宋体" w:hAnsi="宋体"/>
              </w:rPr>
            </w:pPr>
            <w:r>
              <w:rPr>
                <w:rFonts w:hint="eastAsia" w:ascii="宋体" w:hAnsi="宋体"/>
              </w:rPr>
              <w:t>11,870</w:t>
            </w:r>
          </w:p>
        </w:tc>
        <w:tc>
          <w:tcPr>
            <w:tcW w:w="1653" w:type="pct"/>
          </w:tcPr>
          <w:p>
            <w:pPr>
              <w:jc w:val="right"/>
              <w:rPr>
                <w:rFonts w:ascii="宋体" w:hAnsi="宋体"/>
              </w:rPr>
            </w:pPr>
            <w:r>
              <w:rPr>
                <w:rFonts w:hint="eastAsia" w:ascii="宋体" w:hAnsi="宋体"/>
              </w:rPr>
              <w:t>13,212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rPr>
                <w:rFonts w:ascii="宋体" w:hAnsi="宋体"/>
                <w:highlight w:val="yellow"/>
              </w:rPr>
            </w:pPr>
            <w:r>
              <w:rPr>
                <w:rFonts w:hint="eastAsia" w:ascii="宋体" w:hAnsi="宋体"/>
              </w:rPr>
              <w:t>备用金</w:t>
            </w:r>
          </w:p>
        </w:tc>
        <w:tc>
          <w:tcPr>
            <w:tcW w:w="1647" w:type="pct"/>
          </w:tcPr>
          <w:p>
            <w:pPr>
              <w:jc w:val="right"/>
              <w:rPr>
                <w:rFonts w:ascii="宋体" w:hAnsi="宋体"/>
              </w:rPr>
            </w:pPr>
            <w:r>
              <w:rPr>
                <w:rFonts w:hint="eastAsia" w:ascii="宋体" w:hAnsi="宋体"/>
              </w:rPr>
              <w:t>7,734</w:t>
            </w:r>
          </w:p>
        </w:tc>
        <w:tc>
          <w:tcPr>
            <w:tcW w:w="1653" w:type="pct"/>
          </w:tcPr>
          <w:p>
            <w:pPr>
              <w:jc w:val="right"/>
              <w:rPr>
                <w:rFonts w:ascii="宋体" w:hAnsi="宋体"/>
              </w:rPr>
            </w:pPr>
            <w:r>
              <w:rPr>
                <w:rFonts w:hint="eastAsia" w:ascii="宋体" w:hAnsi="宋体"/>
              </w:rPr>
              <w:t>11,423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vAlign w:val="center"/>
          </w:tcPr>
          <w:p>
            <w:pPr>
              <w:jc w:val="center"/>
              <w:rPr>
                <w:rFonts w:ascii="宋体" w:hAnsi="宋体"/>
              </w:rPr>
            </w:pPr>
            <w:r>
              <w:rPr>
                <w:rFonts w:hint="eastAsia" w:ascii="宋体" w:hAnsi="宋体"/>
              </w:rPr>
              <w:t>合计</w:t>
            </w:r>
          </w:p>
        </w:tc>
        <w:tc>
          <w:tcPr>
            <w:tcW w:w="1647" w:type="pct"/>
          </w:tcPr>
          <w:p>
            <w:pPr>
              <w:jc w:val="right"/>
              <w:rPr>
                <w:rFonts w:ascii="宋体" w:hAnsi="宋体"/>
              </w:rPr>
            </w:pPr>
            <w:r>
              <w:rPr>
                <w:rFonts w:ascii="宋体" w:hAnsi="宋体"/>
              </w:rPr>
              <w:t>32,239,228</w:t>
            </w:r>
          </w:p>
        </w:tc>
        <w:tc>
          <w:tcPr>
            <w:tcW w:w="1653" w:type="pct"/>
          </w:tcPr>
          <w:p>
            <w:pPr>
              <w:jc w:val="right"/>
              <w:rPr>
                <w:rFonts w:ascii="宋体" w:hAnsi="宋体"/>
              </w:rPr>
            </w:pPr>
            <w:r>
              <w:rPr>
                <w:rFonts w:hint="eastAsia" w:ascii="宋体" w:hAnsi="宋体"/>
              </w:rPr>
              <w:t>36,101,258</w:t>
            </w:r>
          </w:p>
        </w:tc>
      </w:tr>
    </w:tbl>
    <w:p>
      <w:pPr>
        <w:pStyle w:val="531"/>
      </w:pPr>
    </w:p>
    <w:p>
      <w:pPr>
        <w:pStyle w:val="506"/>
        <w:numPr>
          <w:ilvl w:val="0"/>
          <w:numId w:val="143"/>
        </w:numPr>
        <w:ind w:leftChars="0"/>
        <w:rPr>
          <w:rFonts w:cs="宋体" w:asciiTheme="minorHAnsi" w:hAnsiTheme="minorHAnsi"/>
          <w:kern w:val="0"/>
          <w:szCs w:val="22"/>
        </w:rPr>
      </w:pPr>
      <w:r>
        <w:rPr>
          <w:rFonts w:hint="eastAsia" w:cs="宋体" w:asciiTheme="minorHAnsi" w:hAnsiTheme="minorHAnsi"/>
          <w:kern w:val="0"/>
          <w:szCs w:val="22"/>
        </w:rPr>
        <w:t>坏账准备计提情况</w:t>
      </w:r>
    </w:p>
    <w:bookmarkEnd w:id="365"/>
    <w:sdt>
      <w:sdtPr>
        <w:alias w:val="是否适用：母公司其他应收款坏账准备调节表[双击切换]"/>
        <w:tag w:val="_GBC_34d55fda2adc4508bb77a03583cd3d2d"/>
        <w:id w:val="974107138"/>
        <w:placeholder>
          <w:docPart w:val="GBC22222222222222222222222222222"/>
        </w:placeholder>
      </w:sdtPr>
      <w:sdtContent>
        <w:p>
          <w:pPr>
            <w:pStyle w:val="531"/>
          </w:pPr>
          <w:bookmarkStart w:id="366" w:name="_Hlk53387092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105" w:rightChars="50"/>
        <w:jc w:val="right"/>
      </w:pPr>
      <w:r>
        <w:rPr>
          <w:rFonts w:hint="eastAsia"/>
        </w:rPr>
        <w:t>单位：</w:t>
      </w:r>
      <w:sdt>
        <w:sdtPr>
          <w:rPr>
            <w:rFonts w:hint="eastAsia"/>
          </w:rPr>
          <w:alias w:val="单位：母公司其他应收款坏账准备调节表"/>
          <w:tag w:val="_GBC_b494dbb0c2794f39b9fb29a12fc478f8"/>
          <w:id w:val="18202258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母公司其他应收款坏账准备调节表"/>
          <w:tag w:val="_GBC_a5fe64b13e1448e3b1446e3cf0428cfc"/>
          <w:id w:val="-16383367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521"/>
        <w:gridCol w:w="1936"/>
        <w:gridCol w:w="1936"/>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sdt>
          <w:sdtPr>
            <w:tag w:val="_PLD_21b2d66f9e3e44f9a3867e2f9fa483ea"/>
            <w:id w:val="1708908455"/>
          </w:sdtPr>
          <w:sdtContent>
            <w:tc>
              <w:tcPr>
                <w:tcW w:w="1001" w:type="pct"/>
                <w:vMerge w:val="restart"/>
                <w:vAlign w:val="center"/>
              </w:tcPr>
              <w:p>
                <w:pPr>
                  <w:pStyle w:val="57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34b0b4bcbee6472f945ee1ca26e45970"/>
            <w:id w:val="-2022317773"/>
          </w:sdtPr>
          <w:sdtContent>
            <w:tc>
              <w:tcPr>
                <w:tcW w:w="862" w:type="pct"/>
                <w:vAlign w:val="center"/>
              </w:tcPr>
              <w:p>
                <w:pPr>
                  <w:pStyle w:val="57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aa89fd65169d424f824fd7e383c25916"/>
            <w:id w:val="-819182881"/>
          </w:sdtPr>
          <w:sdtContent>
            <w:tc>
              <w:tcPr>
                <w:tcW w:w="1097" w:type="pct"/>
              </w:tcPr>
              <w:p>
                <w:pPr>
                  <w:pStyle w:val="57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12639a93161546c79f54a930c0ece668"/>
            <w:id w:val="-1313027316"/>
          </w:sdtPr>
          <w:sdtContent>
            <w:tc>
              <w:tcPr>
                <w:tcW w:w="1097" w:type="pct"/>
              </w:tcPr>
              <w:p>
                <w:pPr>
                  <w:pStyle w:val="57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5a93d463a9c749a7a3988972a030308e"/>
            <w:id w:val="-410309640"/>
          </w:sdtPr>
          <w:sdtContent>
            <w:tc>
              <w:tcPr>
                <w:tcW w:w="943" w:type="pct"/>
                <w:vMerge w:val="restart"/>
                <w:vAlign w:val="center"/>
              </w:tcPr>
              <w:p>
                <w:pPr>
                  <w:pStyle w:val="57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01" w:type="pct"/>
            <w:vMerge w:val="continue"/>
            <w:vAlign w:val="center"/>
          </w:tcPr>
          <w:p>
            <w:pPr>
              <w:jc w:val="center"/>
              <w:rPr>
                <w:color w:val="008000"/>
              </w:rPr>
            </w:pPr>
          </w:p>
        </w:tc>
        <w:sdt>
          <w:sdtPr>
            <w:tag w:val="_PLD_6c31319b241149a587899b0690e3641d"/>
            <w:id w:val="502095519"/>
          </w:sdtPr>
          <w:sdtContent>
            <w:tc>
              <w:tcPr>
                <w:tcW w:w="862" w:type="pct"/>
                <w:vAlign w:val="center"/>
              </w:tcPr>
              <w:p>
                <w:pPr>
                  <w:pStyle w:val="57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4c23d250a4214769af939ed6c6506e15"/>
            <w:id w:val="1180632588"/>
          </w:sdtPr>
          <w:sdtContent>
            <w:tc>
              <w:tcPr>
                <w:tcW w:w="1097" w:type="pct"/>
                <w:vAlign w:val="center"/>
              </w:tcPr>
              <w:p>
                <w:pPr>
                  <w:pStyle w:val="57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96f4d1ff5d1541a5bcedcc9d7d297735"/>
            <w:id w:val="1364250991"/>
          </w:sdtPr>
          <w:sdtContent>
            <w:tc>
              <w:tcPr>
                <w:tcW w:w="1097" w:type="pct"/>
                <w:vAlign w:val="center"/>
              </w:tcPr>
              <w:p>
                <w:pPr>
                  <w:pStyle w:val="57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943" w:type="pct"/>
            <w:vMerge w:val="continue"/>
          </w:tcPr>
          <w:p>
            <w:pPr>
              <w:jc w:val="center"/>
              <w:rPr>
                <w:color w:val="008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ascii="宋体" w:hAnsi="宋体" w:eastAsia="宋体" w:cs="宋体"/>
                <w:sz w:val="21"/>
                <w:szCs w:val="21"/>
                <w:lang w:eastAsia="zh-CN"/>
              </w:rPr>
              <w:t>2023年</w:t>
            </w:r>
            <w:r>
              <w:rPr>
                <w:rFonts w:hint="eastAsia" w:ascii="宋体" w:hAnsi="宋体" w:eastAsia="宋体" w:cs="宋体"/>
                <w:sz w:val="21"/>
                <w:szCs w:val="21"/>
                <w:lang w:eastAsia="zh-CN"/>
              </w:rPr>
              <w:t>1月1日余额</w:t>
            </w:r>
          </w:p>
        </w:tc>
        <w:tc>
          <w:tcPr>
            <w:tcW w:w="862" w:type="pct"/>
            <w:vAlign w:val="center"/>
          </w:tcPr>
          <w:p>
            <w:pPr>
              <w:jc w:val="right"/>
              <w:rPr>
                <w:rFonts w:ascii="宋体" w:hAnsi="宋体"/>
              </w:rPr>
            </w:pPr>
          </w:p>
        </w:tc>
        <w:tc>
          <w:tcPr>
            <w:tcW w:w="1097" w:type="pct"/>
            <w:vAlign w:val="center"/>
          </w:tcPr>
          <w:p>
            <w:pPr>
              <w:jc w:val="right"/>
              <w:rPr>
                <w:rFonts w:ascii="宋体" w:hAnsi="宋体"/>
              </w:rPr>
            </w:pPr>
            <w:r>
              <w:rPr>
                <w:rFonts w:ascii="宋体" w:hAnsi="宋体"/>
              </w:rPr>
              <w:t>9,227</w:t>
            </w:r>
          </w:p>
        </w:tc>
        <w:tc>
          <w:tcPr>
            <w:tcW w:w="1097" w:type="pct"/>
            <w:vAlign w:val="center"/>
          </w:tcPr>
          <w:p>
            <w:pPr>
              <w:jc w:val="right"/>
              <w:rPr>
                <w:rFonts w:ascii="宋体" w:hAnsi="宋体"/>
              </w:rPr>
            </w:pPr>
            <w:r>
              <w:rPr>
                <w:rFonts w:ascii="宋体" w:hAnsi="宋体"/>
              </w:rPr>
              <w:t>261,948</w:t>
            </w:r>
          </w:p>
        </w:tc>
        <w:tc>
          <w:tcPr>
            <w:tcW w:w="943" w:type="pct"/>
            <w:vAlign w:val="center"/>
          </w:tcPr>
          <w:p>
            <w:pPr>
              <w:jc w:val="right"/>
              <w:rPr>
                <w:rFonts w:ascii="宋体" w:hAnsi="宋体"/>
              </w:rPr>
            </w:pPr>
            <w:r>
              <w:rPr>
                <w:rFonts w:ascii="宋体" w:hAnsi="宋体"/>
              </w:rPr>
              <w:t>271,175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2023年1月1日余额在本期</w:t>
            </w:r>
          </w:p>
        </w:tc>
        <w:tc>
          <w:tcPr>
            <w:tcW w:w="862" w:type="pct"/>
            <w:vAlign w:val="center"/>
          </w:tcPr>
          <w:p>
            <w:pPr>
              <w:jc w:val="center"/>
              <w:rPr>
                <w:rFonts w:ascii="宋体" w:hAnsi="宋体"/>
              </w:rPr>
            </w:pPr>
            <w:r>
              <w:rPr>
                <w:rFonts w:hint="eastAsia" w:ascii="宋体" w:hAnsi="宋体"/>
              </w:rPr>
              <w:t>—</w:t>
            </w:r>
          </w:p>
        </w:tc>
        <w:tc>
          <w:tcPr>
            <w:tcW w:w="1097" w:type="pct"/>
            <w:vAlign w:val="center"/>
          </w:tcPr>
          <w:p>
            <w:pPr>
              <w:jc w:val="center"/>
              <w:rPr>
                <w:rFonts w:ascii="宋体" w:hAnsi="宋体"/>
              </w:rPr>
            </w:pPr>
            <w:r>
              <w:rPr>
                <w:rFonts w:ascii="宋体" w:hAnsi="宋体"/>
              </w:rPr>
              <w:t>—</w:t>
            </w:r>
          </w:p>
        </w:tc>
        <w:tc>
          <w:tcPr>
            <w:tcW w:w="1097" w:type="pct"/>
            <w:vAlign w:val="center"/>
          </w:tcPr>
          <w:p>
            <w:pPr>
              <w:jc w:val="center"/>
              <w:rPr>
                <w:rFonts w:ascii="宋体" w:hAnsi="宋体"/>
              </w:rPr>
            </w:pPr>
            <w:r>
              <w:rPr>
                <w:rFonts w:hint="eastAsia" w:ascii="宋体" w:hAnsi="宋体"/>
              </w:rPr>
              <w:t>—</w:t>
            </w:r>
          </w:p>
        </w:tc>
        <w:tc>
          <w:tcPr>
            <w:tcW w:w="943" w:type="pct"/>
            <w:vAlign w:val="center"/>
          </w:tcPr>
          <w:p>
            <w:pPr>
              <w:jc w:val="center"/>
              <w:rPr>
                <w:rFonts w:ascii="宋体" w:hAnsi="宋体"/>
              </w:rPr>
            </w:pPr>
            <w:r>
              <w:rPr>
                <w:rFonts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本期计提</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本期转回</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r>
              <w:rPr>
                <w:rFonts w:ascii="宋体" w:hAnsi="宋体"/>
              </w:rPr>
              <w:t>-49,632</w:t>
            </w:r>
          </w:p>
        </w:tc>
        <w:tc>
          <w:tcPr>
            <w:tcW w:w="943" w:type="pct"/>
            <w:vAlign w:val="center"/>
          </w:tcPr>
          <w:p>
            <w:pPr>
              <w:jc w:val="right"/>
              <w:rPr>
                <w:rFonts w:ascii="宋体" w:hAnsi="宋体"/>
              </w:rPr>
            </w:pPr>
            <w:r>
              <w:rPr>
                <w:rFonts w:ascii="宋体" w:hAnsi="宋体"/>
              </w:rPr>
              <w:t>-49,632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本期转销</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本期核销</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p>
        </w:tc>
        <w:tc>
          <w:tcPr>
            <w:tcW w:w="94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其他变动</w:t>
            </w:r>
          </w:p>
        </w:tc>
        <w:tc>
          <w:tcPr>
            <w:tcW w:w="862" w:type="pct"/>
            <w:vAlign w:val="center"/>
          </w:tcPr>
          <w:p>
            <w:pPr>
              <w:jc w:val="right"/>
              <w:rPr>
                <w:rFonts w:ascii="宋体" w:hAnsi="宋体"/>
              </w:rPr>
            </w:pPr>
          </w:p>
        </w:tc>
        <w:tc>
          <w:tcPr>
            <w:tcW w:w="1097" w:type="pct"/>
            <w:vAlign w:val="center"/>
          </w:tcPr>
          <w:p>
            <w:pPr>
              <w:jc w:val="right"/>
              <w:rPr>
                <w:rFonts w:ascii="宋体" w:hAnsi="宋体"/>
              </w:rPr>
            </w:pPr>
          </w:p>
        </w:tc>
        <w:tc>
          <w:tcPr>
            <w:tcW w:w="1097" w:type="pct"/>
            <w:vAlign w:val="center"/>
          </w:tcPr>
          <w:p>
            <w:pPr>
              <w:jc w:val="right"/>
              <w:rPr>
                <w:rFonts w:ascii="宋体" w:hAnsi="宋体"/>
              </w:rPr>
            </w:pPr>
            <w:r>
              <w:rPr>
                <w:rFonts w:hint="eastAsia" w:ascii="宋体" w:hAnsi="宋体"/>
              </w:rPr>
              <w:t>2</w:t>
            </w:r>
            <w:r>
              <w:rPr>
                <w:rFonts w:ascii="宋体" w:hAnsi="宋体"/>
              </w:rPr>
              <w:t>20</w:t>
            </w:r>
          </w:p>
        </w:tc>
        <w:tc>
          <w:tcPr>
            <w:tcW w:w="943" w:type="pct"/>
            <w:vAlign w:val="center"/>
          </w:tcPr>
          <w:p>
            <w:pPr>
              <w:jc w:val="right"/>
              <w:rPr>
                <w:rFonts w:ascii="宋体" w:hAnsi="宋体"/>
              </w:rPr>
            </w:pPr>
            <w:r>
              <w:rPr>
                <w:rFonts w:hint="eastAsia" w:ascii="宋体" w:hAnsi="宋体"/>
              </w:rPr>
              <w:t>2</w:t>
            </w:r>
            <w:r>
              <w:rPr>
                <w:rFonts w:ascii="宋体" w:hAnsi="宋体"/>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pPr>
              <w:pStyle w:val="57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2023年12月31日</w:t>
            </w:r>
            <w:r>
              <w:rPr>
                <w:rFonts w:hint="eastAsia" w:ascii="宋体" w:hAnsi="宋体" w:eastAsia="宋体" w:cs="宋体"/>
                <w:sz w:val="21"/>
                <w:szCs w:val="21"/>
                <w:lang w:eastAsia="zh-CN"/>
              </w:rPr>
              <w:t>余额</w:t>
            </w:r>
          </w:p>
        </w:tc>
        <w:tc>
          <w:tcPr>
            <w:tcW w:w="862" w:type="pct"/>
            <w:vAlign w:val="center"/>
          </w:tcPr>
          <w:p>
            <w:pPr>
              <w:jc w:val="right"/>
              <w:rPr>
                <w:rFonts w:ascii="宋体" w:hAnsi="宋体"/>
              </w:rPr>
            </w:pPr>
          </w:p>
        </w:tc>
        <w:tc>
          <w:tcPr>
            <w:tcW w:w="1097" w:type="pct"/>
            <w:vAlign w:val="center"/>
          </w:tcPr>
          <w:p>
            <w:pPr>
              <w:jc w:val="right"/>
              <w:rPr>
                <w:rFonts w:ascii="宋体" w:hAnsi="宋体"/>
              </w:rPr>
            </w:pPr>
            <w:r>
              <w:rPr>
                <w:rFonts w:ascii="宋体" w:hAnsi="宋体"/>
              </w:rPr>
              <w:t>9,227</w:t>
            </w:r>
          </w:p>
        </w:tc>
        <w:tc>
          <w:tcPr>
            <w:tcW w:w="1097" w:type="pct"/>
            <w:vAlign w:val="center"/>
          </w:tcPr>
          <w:p>
            <w:pPr>
              <w:jc w:val="right"/>
              <w:rPr>
                <w:rFonts w:ascii="宋体" w:hAnsi="宋体"/>
              </w:rPr>
            </w:pPr>
            <w:r>
              <w:rPr>
                <w:rFonts w:ascii="宋体" w:hAnsi="宋体"/>
              </w:rPr>
              <w:t>212,536</w:t>
            </w:r>
          </w:p>
        </w:tc>
        <w:tc>
          <w:tcPr>
            <w:tcW w:w="943" w:type="pct"/>
            <w:vAlign w:val="center"/>
          </w:tcPr>
          <w:p>
            <w:pPr>
              <w:jc w:val="right"/>
              <w:rPr>
                <w:rFonts w:ascii="宋体" w:hAnsi="宋体"/>
              </w:rPr>
            </w:pPr>
            <w:r>
              <w:rPr>
                <w:rFonts w:ascii="宋体" w:hAnsi="宋体"/>
              </w:rPr>
              <w:t>221,763</w:t>
            </w:r>
          </w:p>
        </w:tc>
      </w:tr>
    </w:tbl>
    <w:p>
      <w:pPr>
        <w:pStyle w:val="531"/>
      </w:pPr>
    </w:p>
    <w:p>
      <w:pPr>
        <w:autoSpaceDE w:val="0"/>
        <w:autoSpaceDN w:val="0"/>
        <w:adjustRightInd w:val="0"/>
        <w:ind w:right="105" w:rightChars="50"/>
      </w:pPr>
      <w:r>
        <w:rPr>
          <w:rFonts w:hint="eastAsia"/>
        </w:rPr>
        <w:t>各阶段划分依据和坏账准备计提比例</w:t>
      </w:r>
    </w:p>
    <w:sdt>
      <w:sdtPr>
        <w:rPr>
          <w:bCs/>
          <w:szCs w:val="22"/>
        </w:rPr>
        <w:alias w:val="其他应收款各阶段划分依据和坏账准备计提比例"/>
        <w:tag w:val="_GBC_3c3eb8d29e064b68909ad636fcd177ff"/>
        <w:id w:val="-676183062"/>
        <w:placeholder>
          <w:docPart w:val="GBC22222222222222222222222222222"/>
        </w:placeholder>
      </w:sdtPr>
      <w:sdtEndPr>
        <w:rPr>
          <w:bCs/>
          <w:szCs w:val="22"/>
        </w:rPr>
      </w:sdtEndPr>
      <w:sdtContent>
        <w:p>
          <w:pPr>
            <w:rPr>
              <w:bCs/>
              <w:szCs w:val="22"/>
            </w:rPr>
          </w:pPr>
        </w:p>
        <w:p>
          <w:pPr>
            <w:rPr>
              <w:rFonts w:ascii="宋体" w:hAnsi="宋体"/>
            </w:rPr>
          </w:pPr>
          <w:r>
            <w:rPr>
              <w:rFonts w:hint="eastAsia" w:ascii="宋体" w:hAnsi="宋体"/>
            </w:rPr>
            <w:t>1）其他应收款按坏账计提方法分类列示</w:t>
          </w:r>
        </w:p>
        <w:tbl>
          <w:tblPr>
            <w:tblStyle w:val="9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853"/>
            <w:gridCol w:w="685"/>
            <w:gridCol w:w="662"/>
            <w:gridCol w:w="838"/>
            <w:gridCol w:w="853"/>
            <w:gridCol w:w="853"/>
            <w:gridCol w:w="685"/>
            <w:gridCol w:w="662"/>
            <w:gridCol w:w="838"/>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blHeader/>
            </w:trPr>
            <w:sdt>
              <w:sdtPr>
                <w:rPr>
                  <w:rFonts w:ascii="宋体" w:hAnsi="宋体"/>
                </w:rPr>
                <w:tag w:val="_PLD_f8d5a19b9b724da98e30475a6df20be9"/>
                <w:id w:val="-89240466"/>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类别</w:t>
                    </w:r>
                  </w:p>
                </w:tc>
              </w:sdtContent>
            </w:sdt>
            <w:sdt>
              <w:sdtPr>
                <w:rPr>
                  <w:rFonts w:ascii="宋体" w:hAnsi="宋体"/>
                </w:rPr>
                <w:tag w:val="_PLD_8e6cd64a5cc84d259bab748be3f49169"/>
                <w:id w:val="2128046240"/>
              </w:sdtPr>
              <w:sdtEndPr>
                <w:rPr>
                  <w:rFonts w:ascii="宋体" w:hAnsi="宋体"/>
                </w:rPr>
              </w:sdtEndPr>
              <w:sdtContent>
                <w:tc>
                  <w:tcPr>
                    <w:tcW w:w="0" w:type="auto"/>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期末余额</w:t>
                    </w:r>
                  </w:p>
                </w:tc>
              </w:sdtContent>
            </w:sdt>
            <w:sdt>
              <w:sdtPr>
                <w:rPr>
                  <w:rFonts w:ascii="宋体" w:hAnsi="宋体"/>
                </w:rPr>
                <w:tag w:val="_PLD_f3718624b866493ab3b8d8edadf10560"/>
                <w:id w:val="747243071"/>
              </w:sdtPr>
              <w:sdtEndPr>
                <w:rPr>
                  <w:rFonts w:ascii="宋体" w:hAnsi="宋体"/>
                </w:rPr>
              </w:sdtEndPr>
              <w:sdtContent>
                <w:tc>
                  <w:tcPr>
                    <w:tcW w:w="0" w:type="auto"/>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blHeader/>
            </w:trPr>
            <w:tc>
              <w:tcPr>
                <w:tcW w:w="0" w:type="auto"/>
                <w:vMerge w:val="continue"/>
                <w:tcBorders>
                  <w:left w:val="single" w:color="auto" w:sz="4" w:space="0"/>
                  <w:right w:val="single" w:color="auto" w:sz="4" w:space="0"/>
                </w:tcBorders>
                <w:vAlign w:val="center"/>
              </w:tcPr>
              <w:p>
                <w:pPr>
                  <w:rPr>
                    <w:rFonts w:ascii="宋体" w:hAnsi="宋体"/>
                  </w:rPr>
                </w:pPr>
              </w:p>
            </w:tc>
            <w:sdt>
              <w:sdtPr>
                <w:rPr>
                  <w:rFonts w:ascii="宋体" w:hAnsi="宋体"/>
                </w:rPr>
                <w:tag w:val="_PLD_696c52ce758e49deb616a7fb8df8ee20"/>
                <w:id w:val="-408697104"/>
              </w:sdtPr>
              <w:sdtEndPr>
                <w:rPr>
                  <w:rFonts w:ascii="宋体" w:hAnsi="宋体"/>
                </w:rPr>
              </w:sdtEndPr>
              <w:sdtContent>
                <w:tc>
                  <w:tcPr>
                    <w:tcW w:w="0" w:type="auto"/>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1ca261fa1763424688ba2be8550f43e1"/>
                <w:id w:val="1601146068"/>
              </w:sdtPr>
              <w:sdtEndPr>
                <w:rPr>
                  <w:rFonts w:ascii="宋体" w:hAnsi="宋体"/>
                </w:rPr>
              </w:sdtEndPr>
              <w:sdtContent>
                <w:tc>
                  <w:tcPr>
                    <w:tcW w:w="0" w:type="auto"/>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caaf7fb85a4a432890635f2eb9c38cd5"/>
                <w:id w:val="288940608"/>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sdt>
              <w:sdtPr>
                <w:rPr>
                  <w:rFonts w:ascii="宋体" w:hAnsi="宋体"/>
                </w:rPr>
                <w:tag w:val="_PLD_f01498a5d6634d7ab63dd393e266902a"/>
                <w:id w:val="593835504"/>
              </w:sdtPr>
              <w:sdtEndPr>
                <w:rPr>
                  <w:rFonts w:ascii="宋体" w:hAnsi="宋体"/>
                </w:rPr>
              </w:sdtEndPr>
              <w:sdtContent>
                <w:tc>
                  <w:tcPr>
                    <w:tcW w:w="0" w:type="auto"/>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账面余额</w:t>
                    </w:r>
                  </w:p>
                </w:tc>
              </w:sdtContent>
            </w:sdt>
            <w:sdt>
              <w:sdtPr>
                <w:rPr>
                  <w:rFonts w:ascii="宋体" w:hAnsi="宋体"/>
                </w:rPr>
                <w:tag w:val="_PLD_e9336373677a4e1781b6e81f705c1bec"/>
                <w:id w:val="1080567079"/>
              </w:sdtPr>
              <w:sdtEndPr>
                <w:rPr>
                  <w:rFonts w:ascii="宋体" w:hAnsi="宋体"/>
                </w:rPr>
              </w:sdtEndPr>
              <w:sdtContent>
                <w:tc>
                  <w:tcPr>
                    <w:tcW w:w="0" w:type="auto"/>
                    <w:gridSpan w:val="2"/>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坏账准备</w:t>
                    </w:r>
                  </w:p>
                </w:tc>
              </w:sdtContent>
            </w:sdt>
            <w:sdt>
              <w:sdtPr>
                <w:rPr>
                  <w:rFonts w:ascii="宋体" w:hAnsi="宋体"/>
                </w:rPr>
                <w:tag w:val="_PLD_09bacc527e7b4910a0c82606fe4a5754"/>
                <w:id w:val="-1710720512"/>
              </w:sdtPr>
              <w:sdtEndPr>
                <w:rPr>
                  <w:rFonts w:ascii="宋体" w:hAnsi="宋体"/>
                </w:rPr>
              </w:sdtEndPr>
              <w:sdtContent>
                <w:tc>
                  <w:tcPr>
                    <w:tcW w:w="0" w:type="auto"/>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hint="eastAsia" w:ascii="宋体" w:hAnsi="宋体"/>
                      </w:rPr>
                      <w:t>账面</w:t>
                    </w:r>
                  </w:p>
                  <w:p>
                    <w:pPr>
                      <w:jc w:val="center"/>
                      <w:rPr>
                        <w:rFonts w:ascii="宋体" w:hAnsi="宋体"/>
                      </w:rPr>
                    </w:pPr>
                    <w:r>
                      <w:rPr>
                        <w:rFonts w:hint="eastAsia" w:ascii="宋体" w:hAnsi="宋体"/>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blHeader/>
            </w:trPr>
            <w:tc>
              <w:tcPr>
                <w:tcW w:w="0" w:type="auto"/>
                <w:vMerge w:val="continue"/>
                <w:tcBorders>
                  <w:left w:val="single" w:color="auto" w:sz="4" w:space="0"/>
                  <w:bottom w:val="single" w:color="auto" w:sz="4" w:space="0"/>
                  <w:right w:val="single" w:color="auto" w:sz="4" w:space="0"/>
                </w:tcBorders>
                <w:vAlign w:val="center"/>
              </w:tcPr>
              <w:p>
                <w:pPr>
                  <w:rPr>
                    <w:rFonts w:ascii="宋体" w:hAnsi="宋体"/>
                  </w:rPr>
                </w:pPr>
              </w:p>
            </w:tc>
            <w:sdt>
              <w:sdtPr>
                <w:rPr>
                  <w:rFonts w:ascii="宋体" w:hAnsi="宋体"/>
                </w:rPr>
                <w:tag w:val="_PLD_9a908e63a38c4885ae2f80c1b860b93a"/>
                <w:id w:val="-1665698562"/>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df211ff0344e48aa8266bff852c13d4a"/>
                <w:id w:val="-1596312665"/>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ascii="宋体" w:hAnsi="宋体"/>
                </w:rPr>
                <w:tag w:val="_PLD_bc7278fbd5c542a3abfb9a55090a49e0"/>
                <w:id w:val="-541056562"/>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98f107e07b5b44938d61d6b0984d9e2b"/>
                <w:id w:val="525373395"/>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0" w:type="auto"/>
                <w:vMerge w:val="continue"/>
                <w:tcBorders>
                  <w:left w:val="single" w:color="auto" w:sz="4" w:space="0"/>
                  <w:bottom w:val="single" w:color="auto" w:sz="4" w:space="0"/>
                  <w:right w:val="single" w:color="auto" w:sz="4" w:space="0"/>
                </w:tcBorders>
                <w:vAlign w:val="center"/>
              </w:tcPr>
              <w:p>
                <w:pPr>
                  <w:jc w:val="center"/>
                  <w:rPr>
                    <w:rFonts w:ascii="宋体" w:hAnsi="宋体"/>
                  </w:rPr>
                </w:pPr>
              </w:p>
            </w:tc>
            <w:sdt>
              <w:sdtPr>
                <w:rPr>
                  <w:rFonts w:ascii="宋体" w:hAnsi="宋体"/>
                </w:rPr>
                <w:tag w:val="_PLD_27c35a851bfc461b93652bdd1c4da46e"/>
                <w:id w:val="-130715999"/>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8cdcb4d0cfc74ea299eeda00998b7eed"/>
                <w:id w:val="-2139331607"/>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比例</w:t>
                    </w:r>
                    <w:r>
                      <w:rPr>
                        <w:rFonts w:ascii="宋体" w:hAnsi="宋体"/>
                      </w:rPr>
                      <w:t>(%)</w:t>
                    </w:r>
                  </w:p>
                </w:tc>
              </w:sdtContent>
            </w:sdt>
            <w:sdt>
              <w:sdtPr>
                <w:rPr>
                  <w:rFonts w:ascii="宋体" w:hAnsi="宋体"/>
                </w:rPr>
                <w:tag w:val="_PLD_205ec069d7004eaba20d3af25a7dfeda"/>
                <w:id w:val="1211701052"/>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金额</w:t>
                    </w:r>
                  </w:p>
                </w:tc>
              </w:sdtContent>
            </w:sdt>
            <w:sdt>
              <w:sdtPr>
                <w:rPr>
                  <w:rFonts w:ascii="宋体" w:hAnsi="宋体"/>
                </w:rPr>
                <w:tag w:val="_PLD_cee6517bce154e26a5f2a917cc143a54"/>
                <w:id w:val="-1231387586"/>
              </w:sdtPr>
              <w:sdtEndPr>
                <w:rPr>
                  <w:rFonts w:ascii="宋体" w:hAnsi="宋体"/>
                </w:rPr>
              </w:sdtEndPr>
              <w:sdtContent>
                <w:tc>
                  <w:tcPr>
                    <w:tcW w:w="0" w:type="auto"/>
                    <w:tcBorders>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计提比例</w:t>
                    </w:r>
                    <w:r>
                      <w:rPr>
                        <w:rFonts w:ascii="宋体" w:hAnsi="宋体"/>
                      </w:rPr>
                      <w:t>(%)</w:t>
                    </w:r>
                  </w:p>
                </w:tc>
              </w:sdtContent>
            </w:sdt>
            <w:tc>
              <w:tcPr>
                <w:tcW w:w="0" w:type="auto"/>
                <w:vMerge w:val="continue"/>
                <w:tcBorders>
                  <w:left w:val="single" w:color="auto" w:sz="4" w:space="0"/>
                  <w:bottom w:val="single" w:color="auto" w:sz="4" w:space="0"/>
                  <w:right w:val="single" w:color="auto" w:sz="4" w:space="0"/>
                </w:tcBorders>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按单项计提坏账准备</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212,536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212,536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100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261,948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261,948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100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tcPr>
              <w:p>
                <w:pPr>
                  <w:rPr>
                    <w:rFonts w:ascii="宋体" w:hAnsi="宋体"/>
                  </w:rPr>
                </w:pPr>
                <w:r>
                  <w:rPr>
                    <w:rFonts w:hint="eastAsia" w:ascii="宋体" w:hAnsi="宋体"/>
                  </w:rPr>
                  <w:t>按组合计提坏账准备</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32,026,692</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9,227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32,017,465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35,839,310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9,227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35,830,083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tag w:val="_PLD_ce0cfa8fc80147608db7db4b7ce1db69"/>
                <w:id w:val="-1732850708"/>
              </w:sdtPr>
              <w:sdtEndPr>
                <w:rPr>
                  <w:rFonts w:ascii="宋体" w:hAnsi="宋体"/>
                </w:rPr>
              </w:sdtEndPr>
              <w:sdtContent>
                <w:tc>
                  <w:tcPr>
                    <w:tcW w:w="0" w:type="auto"/>
                    <w:gridSpan w:val="11"/>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其中：</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alias w:val="按组合计提坏账准备的应收账款明细-组合名称"/>
                <w:tag w:val="_GBC_a216a551f9d54c89b88dad6bcecd942d"/>
                <w:id w:val="1978331312"/>
              </w:sdtPr>
              <w:sdtEndPr>
                <w:rPr>
                  <w:rFonts w:ascii="宋体" w:hAnsi="宋体"/>
                </w:rPr>
              </w:sdtEndPr>
              <w:sdtContent>
                <w:tc>
                  <w:tcPr>
                    <w:tcW w:w="0" w:type="auto"/>
                    <w:tcBorders>
                      <w:top w:val="single" w:color="auto" w:sz="4" w:space="0"/>
                      <w:left w:val="single" w:color="auto" w:sz="4" w:space="0"/>
                      <w:bottom w:val="single" w:color="auto" w:sz="4" w:space="0"/>
                      <w:right w:val="single" w:color="auto" w:sz="4" w:space="0"/>
                    </w:tcBorders>
                  </w:tcPr>
                  <w:p>
                    <w:pPr>
                      <w:rPr>
                        <w:rFonts w:ascii="宋体" w:hAnsi="宋体"/>
                        <w:color w:val="808080"/>
                      </w:rPr>
                    </w:pPr>
                    <w:r>
                      <w:rPr>
                        <w:rFonts w:hint="eastAsia" w:ascii="宋体" w:hAnsi="宋体"/>
                      </w:rPr>
                      <w:t>账龄组合</w:t>
                    </w:r>
                  </w:p>
                </w:tc>
              </w:sdtContent>
            </w:sdt>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153,376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9,227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144,149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170,423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9,227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161,196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alias w:val="按组合计提坏账准备的应收账款明细-组合名称"/>
                <w:tag w:val="_GBC_a216a551f9d54c89b88dad6bcecd942d"/>
                <w:id w:val="-353271101"/>
              </w:sdtPr>
              <w:sdtEndPr>
                <w:rPr>
                  <w:rFonts w:ascii="宋体" w:hAnsi="宋体"/>
                </w:rPr>
              </w:sdtEndPr>
              <w:sdtContent>
                <w:tc>
                  <w:tcPr>
                    <w:tcW w:w="0" w:type="auto"/>
                    <w:tcBorders>
                      <w:top w:val="single" w:color="auto" w:sz="4" w:space="0"/>
                      <w:left w:val="single" w:color="auto" w:sz="4" w:space="0"/>
                      <w:bottom w:val="single" w:color="auto" w:sz="4" w:space="0"/>
                      <w:right w:val="single" w:color="auto" w:sz="4" w:space="0"/>
                    </w:tcBorders>
                  </w:tcPr>
                  <w:p>
                    <w:pPr>
                      <w:rPr>
                        <w:rFonts w:ascii="宋体" w:hAnsi="宋体"/>
                        <w:color w:val="808080"/>
                      </w:rPr>
                    </w:pPr>
                    <w:r>
                      <w:rPr>
                        <w:rFonts w:hint="eastAsia" w:ascii="宋体" w:hAnsi="宋体"/>
                      </w:rPr>
                      <w:t>关联方组合</w:t>
                    </w:r>
                  </w:p>
                </w:tc>
              </w:sdtContent>
            </w:sdt>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31,873,316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31,873,316</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35,668,887</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99</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35,668,887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hint="eastAsia" w:ascii="宋体" w:hAnsi="宋体"/>
                  </w:rPr>
                  <w:t>合计</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32,239,228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100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221,763</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32,017,465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36,101,258</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100</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271,175</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1</w:t>
                </w:r>
              </w:p>
            </w:tc>
            <w:tc>
              <w:tcPr>
                <w:tcW w:w="0" w:type="auto"/>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w w:val="80"/>
                  </w:rPr>
                </w:pPr>
                <w:r>
                  <w:rPr>
                    <w:rFonts w:ascii="宋体" w:hAnsi="宋体"/>
                    <w:spacing w:val="-20"/>
                    <w:w w:val="80"/>
                  </w:rPr>
                  <w:t>35,830,083</w:t>
                </w:r>
              </w:p>
            </w:tc>
          </w:tr>
        </w:tbl>
        <w:p>
          <w:pPr>
            <w:rPr>
              <w:bCs/>
              <w:szCs w:val="22"/>
            </w:rPr>
          </w:pPr>
        </w:p>
        <w:p>
          <w:pPr>
            <w:rPr>
              <w:rFonts w:ascii="宋体" w:hAnsi="宋体"/>
              <w:bCs/>
              <w:szCs w:val="22"/>
            </w:rPr>
          </w:pPr>
          <w:r>
            <w:rPr>
              <w:rFonts w:hint="eastAsia" w:ascii="宋体" w:hAnsi="宋体"/>
              <w:bCs/>
              <w:szCs w:val="22"/>
            </w:rPr>
            <w:t>2）其他应收款按单项计提坏账准备</w:t>
          </w:r>
        </w:p>
        <w:tbl>
          <w:tblPr>
            <w:tblStyle w:val="9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986"/>
            <w:gridCol w:w="986"/>
            <w:gridCol w:w="951"/>
            <w:gridCol w:w="951"/>
            <w:gridCol w:w="164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vAlign w:val="center"/>
              </w:tcPr>
              <w:p>
                <w:pPr>
                  <w:spacing w:line="360" w:lineRule="exact"/>
                  <w:rPr>
                    <w:rFonts w:asciiTheme="majorEastAsia" w:hAnsiTheme="majorEastAsia" w:eastAsiaTheme="majorEastAsia"/>
                    <w:kern w:val="0"/>
                    <w:sz w:val="22"/>
                    <w:szCs w:val="22"/>
                  </w:rPr>
                </w:pPr>
                <w:bookmarkStart w:id="367" w:name="_Hlk161428553"/>
                <w:r>
                  <w:rPr>
                    <w:rFonts w:hint="eastAsia" w:asciiTheme="majorEastAsia" w:hAnsiTheme="majorEastAsia" w:eastAsiaTheme="majorEastAsia"/>
                    <w:sz w:val="22"/>
                    <w:szCs w:val="22"/>
                  </w:rPr>
                  <w:t>名称</w:t>
                </w:r>
              </w:p>
            </w:tc>
            <w:tc>
              <w:tcPr>
                <w:tcW w:w="0" w:type="auto"/>
                <w:gridSpan w:val="2"/>
                <w:vAlign w:val="center"/>
              </w:tcPr>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年初余额</w:t>
                </w:r>
              </w:p>
            </w:tc>
            <w:tc>
              <w:tcPr>
                <w:tcW w:w="0" w:type="auto"/>
                <w:gridSpan w:val="4"/>
                <w:vAlign w:val="center"/>
              </w:tcPr>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年末余额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rPr>
                    <w:rFonts w:asciiTheme="majorEastAsia" w:hAnsiTheme="majorEastAsia" w:eastAsiaTheme="majorEastAsia"/>
                    <w:sz w:val="22"/>
                    <w:szCs w:val="22"/>
                    <w:lang w:val="en-GB"/>
                  </w:rPr>
                </w:pPr>
              </w:p>
            </w:tc>
            <w:tc>
              <w:tcPr>
                <w:tcW w:w="0" w:type="auto"/>
                <w:vAlign w:val="center"/>
              </w:tcPr>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账面</w:t>
                </w:r>
              </w:p>
              <w:p>
                <w:pPr>
                  <w:spacing w:line="360" w:lineRule="exact"/>
                  <w:jc w:val="center"/>
                  <w:rPr>
                    <w:rFonts w:asciiTheme="majorEastAsia" w:hAnsiTheme="majorEastAsia" w:eastAsiaTheme="majorEastAsia"/>
                    <w:sz w:val="22"/>
                    <w:szCs w:val="22"/>
                    <w:highlight w:val="yellow"/>
                  </w:rPr>
                </w:pPr>
                <w:r>
                  <w:rPr>
                    <w:rFonts w:hint="eastAsia" w:asciiTheme="majorEastAsia" w:hAnsiTheme="majorEastAsia" w:eastAsiaTheme="majorEastAsia"/>
                    <w:sz w:val="22"/>
                    <w:szCs w:val="22"/>
                  </w:rPr>
                  <w:t>余额</w:t>
                </w:r>
              </w:p>
            </w:tc>
            <w:tc>
              <w:tcPr>
                <w:tcW w:w="0" w:type="auto"/>
                <w:vAlign w:val="center"/>
              </w:tcPr>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坏账</w:t>
                </w:r>
              </w:p>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准备</w:t>
                </w:r>
              </w:p>
            </w:tc>
            <w:tc>
              <w:tcPr>
                <w:tcW w:w="0" w:type="auto"/>
                <w:vAlign w:val="center"/>
              </w:tcPr>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账面</w:t>
                </w:r>
              </w:p>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余额</w:t>
                </w:r>
              </w:p>
            </w:tc>
            <w:tc>
              <w:tcPr>
                <w:tcW w:w="0" w:type="auto"/>
                <w:vAlign w:val="center"/>
              </w:tcPr>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坏账</w:t>
                </w:r>
              </w:p>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准备</w:t>
                </w:r>
              </w:p>
            </w:tc>
            <w:tc>
              <w:tcPr>
                <w:tcW w:w="0" w:type="auto"/>
                <w:vAlign w:val="center"/>
              </w:tcPr>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计提比例（%）</w:t>
                </w:r>
              </w:p>
            </w:tc>
            <w:tc>
              <w:tcPr>
                <w:tcW w:w="0" w:type="auto"/>
                <w:vAlign w:val="center"/>
              </w:tcPr>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计提</w:t>
                </w:r>
              </w:p>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spacing w:line="360" w:lineRule="exact"/>
                  <w:rPr>
                    <w:rFonts w:asciiTheme="majorEastAsia" w:hAnsiTheme="majorEastAsia" w:eastAsiaTheme="majorEastAsia"/>
                    <w:sz w:val="22"/>
                    <w:szCs w:val="22"/>
                    <w:lang w:val="en-GB"/>
                  </w:rPr>
                </w:pPr>
                <w:r>
                  <w:rPr>
                    <w:rFonts w:hint="eastAsia" w:asciiTheme="majorEastAsia" w:hAnsiTheme="majorEastAsia" w:eastAsiaTheme="majorEastAsia"/>
                    <w:sz w:val="22"/>
                    <w:szCs w:val="22"/>
                    <w:lang w:val="en-GB"/>
                  </w:rPr>
                  <w:t>公司1</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115,788</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115,788</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90,602</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90,602</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100</w:t>
                </w:r>
              </w:p>
            </w:tc>
            <w:tc>
              <w:tcPr>
                <w:tcW w:w="0" w:type="auto"/>
                <w:vAlign w:val="center"/>
              </w:tcPr>
              <w:p>
                <w:pPr>
                  <w:spacing w:line="3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spacing w:line="3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公司</w:t>
                </w:r>
                <w:r>
                  <w:rPr>
                    <w:rFonts w:asciiTheme="majorEastAsia" w:hAnsiTheme="majorEastAsia" w:eastAsiaTheme="majorEastAsia"/>
                    <w:sz w:val="22"/>
                    <w:szCs w:val="22"/>
                  </w:rPr>
                  <w:t>2</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69,169</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69,169</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69,169</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69,169</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100</w:t>
                </w:r>
              </w:p>
            </w:tc>
            <w:tc>
              <w:tcPr>
                <w:tcW w:w="0" w:type="auto"/>
                <w:vAlign w:val="center"/>
              </w:tcPr>
              <w:p>
                <w:pPr>
                  <w:spacing w:line="3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spacing w:line="3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公司</w:t>
                </w:r>
                <w:r>
                  <w:rPr>
                    <w:rFonts w:asciiTheme="majorEastAsia" w:hAnsiTheme="majorEastAsia" w:eastAsiaTheme="majorEastAsia"/>
                    <w:sz w:val="22"/>
                    <w:szCs w:val="22"/>
                  </w:rPr>
                  <w:t>3</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47,780</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47,780</w:t>
                </w:r>
              </w:p>
            </w:tc>
            <w:tc>
              <w:tcPr>
                <w:tcW w:w="0" w:type="auto"/>
                <w:vAlign w:val="center"/>
              </w:tcPr>
              <w:p>
                <w:pPr>
                  <w:spacing w:line="360" w:lineRule="exact"/>
                  <w:jc w:val="right"/>
                  <w:rPr>
                    <w:rFonts w:asciiTheme="majorEastAsia" w:hAnsiTheme="majorEastAsia" w:eastAsiaTheme="majorEastAsia"/>
                    <w:sz w:val="22"/>
                    <w:szCs w:val="22"/>
                  </w:rPr>
                </w:pPr>
                <w:r>
                  <w:rPr>
                    <w:rFonts w:asciiTheme="majorEastAsia" w:hAnsiTheme="majorEastAsia" w:eastAsiaTheme="majorEastAsia"/>
                    <w:sz w:val="22"/>
                    <w:szCs w:val="22"/>
                  </w:rPr>
                  <w:t>28,240</w:t>
                </w:r>
              </w:p>
            </w:tc>
            <w:tc>
              <w:tcPr>
                <w:tcW w:w="0" w:type="auto"/>
                <w:vAlign w:val="center"/>
              </w:tcPr>
              <w:p>
                <w:pPr>
                  <w:spacing w:line="360" w:lineRule="exact"/>
                  <w:jc w:val="right"/>
                  <w:rPr>
                    <w:rFonts w:asciiTheme="majorEastAsia" w:hAnsiTheme="majorEastAsia" w:eastAsiaTheme="majorEastAsia"/>
                    <w:sz w:val="22"/>
                    <w:szCs w:val="22"/>
                  </w:rPr>
                </w:pPr>
                <w:r>
                  <w:rPr>
                    <w:rFonts w:asciiTheme="majorEastAsia" w:hAnsiTheme="majorEastAsia" w:eastAsiaTheme="majorEastAsia"/>
                    <w:sz w:val="22"/>
                    <w:szCs w:val="22"/>
                  </w:rPr>
                  <w:t>28,240</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1</w:t>
                </w:r>
                <w:r>
                  <w:rPr>
                    <w:rFonts w:asciiTheme="majorEastAsia" w:hAnsiTheme="majorEastAsia" w:eastAsiaTheme="majorEastAsia"/>
                    <w:sz w:val="22"/>
                    <w:szCs w:val="22"/>
                  </w:rPr>
                  <w:t>00</w:t>
                </w:r>
              </w:p>
            </w:tc>
            <w:tc>
              <w:tcPr>
                <w:tcW w:w="0" w:type="auto"/>
                <w:vAlign w:val="center"/>
              </w:tcPr>
              <w:p>
                <w:pPr>
                  <w:spacing w:line="3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spacing w:line="3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公司</w:t>
                </w:r>
                <w:r>
                  <w:rPr>
                    <w:rFonts w:asciiTheme="majorEastAsia" w:hAnsiTheme="majorEastAsia" w:eastAsiaTheme="majorEastAsia"/>
                    <w:sz w:val="22"/>
                    <w:szCs w:val="22"/>
                  </w:rPr>
                  <w:t>4</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26,048</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26,048</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21,362</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21,362</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100</w:t>
                </w:r>
              </w:p>
            </w:tc>
            <w:tc>
              <w:tcPr>
                <w:tcW w:w="0" w:type="auto"/>
                <w:vAlign w:val="center"/>
              </w:tcPr>
              <w:p>
                <w:pPr>
                  <w:spacing w:line="3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spacing w:line="3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其他不重大客户</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3,163</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3,163</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3,163</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3,163</w:t>
                </w:r>
              </w:p>
            </w:tc>
            <w:tc>
              <w:tcPr>
                <w:tcW w:w="0" w:type="auto"/>
                <w:vAlign w:val="center"/>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100</w:t>
                </w:r>
              </w:p>
            </w:tc>
            <w:tc>
              <w:tcPr>
                <w:tcW w:w="0" w:type="auto"/>
                <w:vAlign w:val="center"/>
              </w:tcPr>
              <w:p>
                <w:pPr>
                  <w:spacing w:line="3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预计无法收回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Align w:val="center"/>
              </w:tcPr>
              <w:p>
                <w:pPr>
                  <w:spacing w:line="360" w:lineRule="exact"/>
                  <w:rPr>
                    <w:rFonts w:asciiTheme="majorEastAsia" w:hAnsiTheme="majorEastAsia" w:eastAsiaTheme="majorEastAsia"/>
                    <w:sz w:val="22"/>
                    <w:szCs w:val="22"/>
                  </w:rPr>
                </w:pPr>
                <w:r>
                  <w:rPr>
                    <w:rFonts w:hint="eastAsia" w:asciiTheme="majorEastAsia" w:hAnsiTheme="majorEastAsia" w:eastAsiaTheme="majorEastAsia"/>
                    <w:sz w:val="22"/>
                    <w:szCs w:val="22"/>
                  </w:rPr>
                  <w:t>合计</w:t>
                </w:r>
              </w:p>
            </w:tc>
            <w:tc>
              <w:tcPr>
                <w:tcW w:w="0" w:type="auto"/>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261,948</w:t>
                </w:r>
              </w:p>
            </w:tc>
            <w:tc>
              <w:tcPr>
                <w:tcW w:w="0" w:type="auto"/>
              </w:tcPr>
              <w:p>
                <w:pPr>
                  <w:spacing w:line="360" w:lineRule="exact"/>
                  <w:jc w:val="right"/>
                  <w:rPr>
                    <w:rFonts w:asciiTheme="majorEastAsia" w:hAnsiTheme="majorEastAsia" w:eastAsiaTheme="majorEastAsia"/>
                    <w:sz w:val="22"/>
                    <w:szCs w:val="22"/>
                  </w:rPr>
                </w:pPr>
                <w:r>
                  <w:rPr>
                    <w:rFonts w:hint="eastAsia" w:asciiTheme="majorEastAsia" w:hAnsiTheme="majorEastAsia" w:eastAsiaTheme="majorEastAsia"/>
                    <w:sz w:val="22"/>
                    <w:szCs w:val="22"/>
                  </w:rPr>
                  <w:t>261,948</w:t>
                </w:r>
              </w:p>
            </w:tc>
            <w:tc>
              <w:tcPr>
                <w:tcW w:w="0" w:type="auto"/>
              </w:tcPr>
              <w:p>
                <w:pPr>
                  <w:spacing w:line="360" w:lineRule="exact"/>
                  <w:jc w:val="right"/>
                  <w:rPr>
                    <w:rFonts w:ascii="宋体" w:hAnsi="宋体"/>
                  </w:rPr>
                </w:pPr>
                <w:r>
                  <w:rPr>
                    <w:rFonts w:ascii="宋体" w:hAnsi="宋体"/>
                  </w:rPr>
                  <w:t>212,536</w:t>
                </w:r>
              </w:p>
            </w:tc>
            <w:tc>
              <w:tcPr>
                <w:tcW w:w="0" w:type="auto"/>
              </w:tcPr>
              <w:p>
                <w:pPr>
                  <w:spacing w:line="360" w:lineRule="exact"/>
                  <w:jc w:val="right"/>
                  <w:rPr>
                    <w:rFonts w:ascii="宋体" w:hAnsi="宋体"/>
                  </w:rPr>
                </w:pPr>
                <w:r>
                  <w:rPr>
                    <w:rFonts w:ascii="宋体" w:hAnsi="宋体"/>
                  </w:rPr>
                  <w:t>212,536</w:t>
                </w:r>
              </w:p>
            </w:tc>
            <w:tc>
              <w:tcPr>
                <w:tcW w:w="0" w:type="auto"/>
              </w:tcPr>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w:t>
                </w:r>
              </w:p>
            </w:tc>
            <w:tc>
              <w:tcPr>
                <w:tcW w:w="0" w:type="auto"/>
              </w:tcPr>
              <w:p>
                <w:pPr>
                  <w:spacing w:line="360" w:lineRule="exact"/>
                  <w:jc w:val="center"/>
                  <w:rPr>
                    <w:rFonts w:asciiTheme="majorEastAsia" w:hAnsiTheme="majorEastAsia" w:eastAsiaTheme="majorEastAsia"/>
                    <w:sz w:val="22"/>
                    <w:szCs w:val="22"/>
                  </w:rPr>
                </w:pPr>
                <w:r>
                  <w:rPr>
                    <w:rFonts w:hint="eastAsia" w:asciiTheme="majorEastAsia" w:hAnsiTheme="majorEastAsia" w:eastAsiaTheme="majorEastAsia"/>
                    <w:sz w:val="22"/>
                    <w:szCs w:val="22"/>
                  </w:rPr>
                  <w:t>—</w:t>
                </w:r>
              </w:p>
            </w:tc>
          </w:tr>
        </w:tbl>
        <w:p>
          <w:pPr>
            <w:rPr>
              <w:bCs/>
              <w:szCs w:val="22"/>
            </w:rPr>
          </w:pPr>
        </w:p>
      </w:sdtContent>
    </w:sdt>
    <w:bookmarkEnd w:id="367"/>
    <w:p>
      <w:pPr>
        <w:pStyle w:val="560"/>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91407964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66"/>
    <w:p>
      <w:pPr>
        <w:pStyle w:val="531"/>
      </w:pPr>
    </w:p>
    <w:p>
      <w:pPr>
        <w:pStyle w:val="531"/>
      </w:pPr>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408969444"/>
        <w:placeholder>
          <w:docPart w:val="GBC22222222222222222222222222222"/>
        </w:placeholder>
      </w:sdtPr>
      <w:sdtContent>
        <w:p>
          <w:pPr>
            <w:pStyle w:val="531"/>
          </w:pPr>
          <w:bookmarkStart w:id="368" w:name="_Hlk53480689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68"/>
    <w:p>
      <w:pPr>
        <w:pStyle w:val="531"/>
      </w:pPr>
    </w:p>
    <w:p>
      <w:pPr>
        <w:pStyle w:val="506"/>
        <w:numPr>
          <w:ilvl w:val="0"/>
          <w:numId w:val="143"/>
        </w:numPr>
        <w:ind w:leftChars="0"/>
        <w:rPr>
          <w:rFonts w:cs="宋体" w:asciiTheme="minorHAnsi" w:hAnsiTheme="minorHAnsi"/>
          <w:kern w:val="0"/>
          <w:szCs w:val="22"/>
        </w:rPr>
      </w:pPr>
      <w:r>
        <w:rPr>
          <w:rFonts w:hint="eastAsia" w:cs="宋体" w:asciiTheme="minorHAnsi" w:hAnsiTheme="minorHAnsi"/>
          <w:kern w:val="0"/>
          <w:szCs w:val="22"/>
        </w:rPr>
        <w:t>坏账准备的情况</w:t>
      </w:r>
    </w:p>
    <w:sdt>
      <w:sdtPr>
        <w:alias w:val="是否适用：母公司其他应收款坏账准备情况[双击切换]"/>
        <w:tag w:val="_GBC_fe964b2b8e824335995eaad4df852022"/>
        <w:id w:val="-1128774372"/>
        <w:placeholder>
          <w:docPart w:val="GBC22222222222222222222222222222"/>
        </w:placeholder>
      </w:sdtPr>
      <w:sdtContent>
        <w:p>
          <w:pPr>
            <w:pStyle w:val="531"/>
          </w:pPr>
          <w:bookmarkStart w:id="369" w:name="_Hlk533797618"/>
          <w:bookmarkStart w:id="370" w:name="_Hlk15379790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43"/>
        <w:snapToGrid w:val="0"/>
        <w:spacing w:line="240" w:lineRule="atLeast"/>
        <w:ind w:left="425" w:firstLine="0" w:firstLineChars="0"/>
        <w:jc w:val="right"/>
        <w:rPr>
          <w:szCs w:val="21"/>
        </w:rPr>
      </w:pPr>
      <w:r>
        <w:rPr>
          <w:rFonts w:hint="eastAsia"/>
          <w:szCs w:val="21"/>
        </w:rPr>
        <w:t>单位：</w:t>
      </w:r>
      <w:sdt>
        <w:sdtPr>
          <w:rPr>
            <w:rFonts w:hint="eastAsia"/>
            <w:szCs w:val="21"/>
          </w:rPr>
          <w:alias w:val="单位：母公司其他应收款坏账准备情况"/>
          <w:tag w:val="_GBC_80ca06374aba4f0bbde29d70a0ac7a15"/>
          <w:id w:val="-15925430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千元</w:t>
          </w:r>
        </w:sdtContent>
      </w:sdt>
      <w:r>
        <w:rPr>
          <w:rFonts w:hint="eastAsia"/>
          <w:szCs w:val="21"/>
        </w:rPr>
        <w:t xml:space="preserve">  币种：</w:t>
      </w:r>
      <w:sdt>
        <w:sdtPr>
          <w:rPr>
            <w:rFonts w:hint="eastAsia"/>
            <w:szCs w:val="21"/>
          </w:rPr>
          <w:alias w:val="币种：母公司其他应收款坏账准备情况"/>
          <w:tag w:val="_GBC_e2ca206ffc72482a9cbe8c86c5688b1f"/>
          <w:id w:val="15706105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02"/>
        <w:gridCol w:w="1184"/>
        <w:gridCol w:w="1283"/>
        <w:gridCol w:w="1184"/>
        <w:gridCol w:w="1262"/>
        <w:gridCol w:w="1255"/>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宋体" w:hAnsi="宋体"/>
            </w:rPr>
            <w:tag w:val="_PLD_599b4552113b431d9950cc345fc3c771"/>
            <w:id w:val="-850797847"/>
          </w:sdtPr>
          <w:sdtEndPr>
            <w:rPr>
              <w:rFonts w:ascii="宋体" w:hAnsi="宋体"/>
            </w:rPr>
          </w:sdtEndPr>
          <w:sdtContent>
            <w:tc>
              <w:tcPr>
                <w:tcW w:w="795" w:type="pct"/>
                <w:vMerge w:val="restart"/>
                <w:shd w:val="clear" w:color="auto" w:fill="FFFFFF"/>
                <w:vAlign w:val="center"/>
              </w:tcPr>
              <w:p>
                <w:pPr>
                  <w:jc w:val="center"/>
                  <w:rPr>
                    <w:rFonts w:ascii="宋体" w:hAnsi="宋体"/>
                  </w:rPr>
                </w:pPr>
                <w:r>
                  <w:rPr>
                    <w:rFonts w:ascii="宋体" w:hAnsi="宋体"/>
                  </w:rPr>
                  <w:t>类别</w:t>
                </w:r>
              </w:p>
            </w:tc>
          </w:sdtContent>
        </w:sdt>
        <w:sdt>
          <w:sdtPr>
            <w:rPr>
              <w:rFonts w:ascii="宋体" w:hAnsi="宋体"/>
            </w:rPr>
            <w:tag w:val="_PLD_b04fb91e27324be18dbb1170501ea7c2"/>
            <w:id w:val="-2076501949"/>
          </w:sdtPr>
          <w:sdtEndPr>
            <w:rPr>
              <w:rFonts w:ascii="宋体" w:hAnsi="宋体"/>
            </w:rPr>
          </w:sdtEndPr>
          <w:sdtContent>
            <w:tc>
              <w:tcPr>
                <w:tcW w:w="671" w:type="pct"/>
                <w:vMerge w:val="restart"/>
                <w:shd w:val="clear" w:color="auto" w:fill="FFFFFF"/>
                <w:vAlign w:val="center"/>
              </w:tcPr>
              <w:p>
                <w:pPr>
                  <w:jc w:val="center"/>
                  <w:rPr>
                    <w:rFonts w:ascii="宋体" w:hAnsi="宋体"/>
                  </w:rPr>
                </w:pPr>
                <w:r>
                  <w:rPr>
                    <w:rFonts w:ascii="宋体" w:hAnsi="宋体"/>
                  </w:rPr>
                  <w:t>期初余额</w:t>
                </w:r>
              </w:p>
            </w:tc>
          </w:sdtContent>
        </w:sdt>
        <w:sdt>
          <w:sdtPr>
            <w:rPr>
              <w:rFonts w:ascii="宋体" w:hAnsi="宋体"/>
            </w:rPr>
            <w:tag w:val="_PLD_3162774660ba4bd791229ed0557bee42"/>
            <w:id w:val="63154055"/>
          </w:sdtPr>
          <w:sdtEndPr>
            <w:rPr>
              <w:rFonts w:ascii="宋体" w:hAnsi="宋体"/>
            </w:rPr>
          </w:sdtEndPr>
          <w:sdtContent>
            <w:tc>
              <w:tcPr>
                <w:tcW w:w="2824" w:type="pct"/>
                <w:gridSpan w:val="4"/>
                <w:shd w:val="clear" w:color="auto" w:fill="FFFFFF"/>
                <w:vAlign w:val="center"/>
              </w:tcPr>
              <w:p>
                <w:pPr>
                  <w:jc w:val="center"/>
                  <w:rPr>
                    <w:rFonts w:ascii="宋体" w:hAnsi="宋体"/>
                  </w:rPr>
                </w:pPr>
                <w:r>
                  <w:rPr>
                    <w:rFonts w:hint="eastAsia" w:ascii="宋体" w:hAnsi="宋体"/>
                  </w:rPr>
                  <w:t>本期变动</w:t>
                </w:r>
                <w:r>
                  <w:rPr>
                    <w:rFonts w:ascii="宋体" w:hAnsi="宋体"/>
                  </w:rPr>
                  <w:t>金额</w:t>
                </w:r>
              </w:p>
            </w:tc>
          </w:sdtContent>
        </w:sdt>
        <w:sdt>
          <w:sdtPr>
            <w:rPr>
              <w:rFonts w:ascii="宋体" w:hAnsi="宋体"/>
            </w:rPr>
            <w:tag w:val="_PLD_d14d39f809c34e24be6fc317d43acf45"/>
            <w:id w:val="1135149241"/>
          </w:sdtPr>
          <w:sdtEndPr>
            <w:rPr>
              <w:rFonts w:ascii="宋体" w:hAnsi="宋体"/>
            </w:rPr>
          </w:sdtEndPr>
          <w:sdtContent>
            <w:tc>
              <w:tcPr>
                <w:tcW w:w="710" w:type="pct"/>
                <w:vMerge w:val="restart"/>
                <w:shd w:val="clear" w:color="auto" w:fill="FFFFFF"/>
                <w:vAlign w:val="center"/>
              </w:tcPr>
              <w:p>
                <w:pPr>
                  <w:jc w:val="center"/>
                  <w:rPr>
                    <w:rFonts w:ascii="宋体" w:hAnsi="宋体"/>
                  </w:rPr>
                </w:pPr>
                <w:r>
                  <w:rPr>
                    <w:rFonts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5" w:type="pct"/>
            <w:vMerge w:val="continue"/>
            <w:shd w:val="clear" w:color="auto" w:fill="FFFFFF"/>
          </w:tcPr>
          <w:p>
            <w:pPr>
              <w:jc w:val="center"/>
              <w:rPr>
                <w:rFonts w:ascii="宋体" w:hAnsi="宋体"/>
              </w:rPr>
            </w:pPr>
          </w:p>
        </w:tc>
        <w:tc>
          <w:tcPr>
            <w:tcW w:w="671" w:type="pct"/>
            <w:vMerge w:val="continue"/>
            <w:shd w:val="clear" w:color="auto" w:fill="FFFFFF"/>
          </w:tcPr>
          <w:p>
            <w:pPr>
              <w:jc w:val="center"/>
              <w:rPr>
                <w:rFonts w:ascii="宋体" w:hAnsi="宋体"/>
              </w:rPr>
            </w:pPr>
          </w:p>
        </w:tc>
        <w:sdt>
          <w:sdtPr>
            <w:rPr>
              <w:rFonts w:ascii="宋体" w:hAnsi="宋体"/>
            </w:rPr>
            <w:tag w:val="_PLD_f408f7d036804cc28ba43a0439189aa1"/>
            <w:id w:val="65541311"/>
          </w:sdtPr>
          <w:sdtEndPr>
            <w:rPr>
              <w:rFonts w:ascii="宋体" w:hAnsi="宋体"/>
            </w:rPr>
          </w:sdtEndPr>
          <w:sdtContent>
            <w:tc>
              <w:tcPr>
                <w:tcW w:w="727" w:type="pct"/>
                <w:shd w:val="clear" w:color="auto" w:fill="FFFFFF"/>
                <w:vAlign w:val="center"/>
              </w:tcPr>
              <w:p>
                <w:pPr>
                  <w:jc w:val="center"/>
                  <w:rPr>
                    <w:rFonts w:ascii="宋体" w:hAnsi="宋体"/>
                  </w:rPr>
                </w:pPr>
                <w:r>
                  <w:rPr>
                    <w:rFonts w:ascii="宋体" w:hAnsi="宋体"/>
                  </w:rPr>
                  <w:t>计提</w:t>
                </w:r>
              </w:p>
            </w:tc>
          </w:sdtContent>
        </w:sdt>
        <w:sdt>
          <w:sdtPr>
            <w:rPr>
              <w:rFonts w:ascii="宋体" w:hAnsi="宋体"/>
            </w:rPr>
            <w:tag w:val="_PLD_694fce967684431e964389b1fbfd7773"/>
            <w:id w:val="685792131"/>
          </w:sdtPr>
          <w:sdtEndPr>
            <w:rPr>
              <w:rFonts w:ascii="宋体" w:hAnsi="宋体"/>
            </w:rPr>
          </w:sdtEndPr>
          <w:sdtContent>
            <w:tc>
              <w:tcPr>
                <w:tcW w:w="671" w:type="pct"/>
                <w:shd w:val="clear" w:color="auto" w:fill="FFFFFF"/>
                <w:vAlign w:val="center"/>
              </w:tcPr>
              <w:p>
                <w:pPr>
                  <w:jc w:val="center"/>
                  <w:rPr>
                    <w:rFonts w:ascii="宋体" w:hAnsi="宋体"/>
                  </w:rPr>
                </w:pPr>
                <w:r>
                  <w:rPr>
                    <w:rFonts w:hint="eastAsia" w:ascii="宋体" w:hAnsi="宋体"/>
                  </w:rPr>
                  <w:t>收回或转回</w:t>
                </w:r>
              </w:p>
            </w:tc>
          </w:sdtContent>
        </w:sdt>
        <w:sdt>
          <w:sdtPr>
            <w:rPr>
              <w:rFonts w:ascii="宋体" w:hAnsi="宋体"/>
            </w:rPr>
            <w:tag w:val="_PLD_59153f559aba461288ad06bff0782b2d"/>
            <w:id w:val="277067799"/>
          </w:sdtPr>
          <w:sdtEndPr>
            <w:rPr>
              <w:rFonts w:ascii="宋体" w:hAnsi="宋体"/>
            </w:rPr>
          </w:sdtEndPr>
          <w:sdtContent>
            <w:tc>
              <w:tcPr>
                <w:tcW w:w="715" w:type="pct"/>
                <w:shd w:val="clear" w:color="auto" w:fill="FFFFFF"/>
                <w:vAlign w:val="center"/>
              </w:tcPr>
              <w:p>
                <w:pPr>
                  <w:jc w:val="center"/>
                  <w:rPr>
                    <w:rFonts w:ascii="宋体" w:hAnsi="宋体"/>
                  </w:rPr>
                </w:pPr>
                <w:r>
                  <w:rPr>
                    <w:rFonts w:hint="eastAsia" w:ascii="宋体" w:hAnsi="宋体"/>
                  </w:rPr>
                  <w:t>转销或核销</w:t>
                </w:r>
              </w:p>
            </w:tc>
          </w:sdtContent>
        </w:sdt>
        <w:tc>
          <w:tcPr>
            <w:tcW w:w="711" w:type="pct"/>
            <w:shd w:val="clear" w:color="auto" w:fill="FFFFFF"/>
            <w:vAlign w:val="center"/>
          </w:tcPr>
          <w:sdt>
            <w:sdtPr>
              <w:rPr>
                <w:rFonts w:hint="eastAsia" w:ascii="宋体" w:hAnsi="宋体"/>
              </w:rPr>
              <w:tag w:val="_PLD_51a0476d1e2f444f8723da1988f813f5"/>
              <w:id w:val="-1105648296"/>
            </w:sdtPr>
            <w:sdtEndPr>
              <w:rPr>
                <w:rFonts w:hint="eastAsia" w:ascii="宋体" w:hAnsi="宋体"/>
              </w:rPr>
            </w:sdtEndPr>
            <w:sdtContent>
              <w:p>
                <w:pPr>
                  <w:jc w:val="right"/>
                  <w:rPr>
                    <w:rFonts w:ascii="宋体" w:hAnsi="宋体"/>
                  </w:rPr>
                </w:pPr>
                <w:r>
                  <w:rPr>
                    <w:rFonts w:hint="eastAsia" w:ascii="宋体" w:hAnsi="宋体"/>
                  </w:rPr>
                  <w:t>其他变动</w:t>
                </w:r>
              </w:p>
            </w:sdtContent>
          </w:sdt>
        </w:tc>
        <w:tc>
          <w:tcPr>
            <w:tcW w:w="710" w:type="pct"/>
            <w:vMerge w:val="continue"/>
            <w:shd w:val="clear" w:color="auto" w:fill="FFFFFF"/>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5" w:type="pct"/>
            <w:shd w:val="clear" w:color="auto" w:fill="auto"/>
          </w:tcPr>
          <w:p>
            <w:pPr>
              <w:rPr>
                <w:rFonts w:ascii="宋体" w:hAnsi="宋体"/>
              </w:rPr>
            </w:pPr>
            <w:r>
              <w:rPr>
                <w:rFonts w:hint="eastAsia" w:ascii="宋体" w:hAnsi="宋体"/>
              </w:rPr>
              <w:t>其他应收款坏账准备</w:t>
            </w:r>
          </w:p>
        </w:tc>
        <w:tc>
          <w:tcPr>
            <w:tcW w:w="671" w:type="pct"/>
            <w:shd w:val="clear" w:color="auto" w:fill="auto"/>
            <w:vAlign w:val="center"/>
          </w:tcPr>
          <w:p>
            <w:pPr>
              <w:jc w:val="right"/>
              <w:rPr>
                <w:rFonts w:ascii="宋体" w:hAnsi="宋体"/>
              </w:rPr>
            </w:pPr>
            <w:r>
              <w:rPr>
                <w:rFonts w:hint="eastAsia" w:ascii="宋体" w:hAnsi="宋体"/>
              </w:rPr>
              <w:t>271,175</w:t>
            </w:r>
          </w:p>
        </w:tc>
        <w:tc>
          <w:tcPr>
            <w:tcW w:w="727" w:type="pct"/>
            <w:shd w:val="clear" w:color="auto" w:fill="auto"/>
            <w:vAlign w:val="center"/>
          </w:tcPr>
          <w:p>
            <w:pPr>
              <w:jc w:val="right"/>
              <w:rPr>
                <w:rFonts w:ascii="宋体" w:hAnsi="宋体"/>
              </w:rPr>
            </w:pPr>
          </w:p>
        </w:tc>
        <w:tc>
          <w:tcPr>
            <w:tcW w:w="671" w:type="pct"/>
            <w:shd w:val="clear" w:color="auto" w:fill="auto"/>
            <w:vAlign w:val="center"/>
          </w:tcPr>
          <w:p>
            <w:pPr>
              <w:jc w:val="right"/>
              <w:rPr>
                <w:rFonts w:ascii="宋体" w:hAnsi="宋体"/>
              </w:rPr>
            </w:pPr>
            <w:r>
              <w:rPr>
                <w:rFonts w:hint="eastAsia" w:ascii="宋体" w:hAnsi="宋体"/>
              </w:rPr>
              <w:t>-49,</w:t>
            </w:r>
            <w:r>
              <w:rPr>
                <w:rFonts w:ascii="宋体" w:hAnsi="宋体"/>
              </w:rPr>
              <w:t>632</w:t>
            </w:r>
          </w:p>
        </w:tc>
        <w:tc>
          <w:tcPr>
            <w:tcW w:w="715" w:type="pct"/>
            <w:vAlign w:val="center"/>
          </w:tcPr>
          <w:p>
            <w:pPr>
              <w:jc w:val="right"/>
              <w:rPr>
                <w:rFonts w:ascii="宋体" w:hAnsi="宋体"/>
              </w:rPr>
            </w:pPr>
          </w:p>
        </w:tc>
        <w:tc>
          <w:tcPr>
            <w:tcW w:w="711" w:type="pct"/>
            <w:vAlign w:val="center"/>
          </w:tcPr>
          <w:p>
            <w:pPr>
              <w:jc w:val="right"/>
              <w:rPr>
                <w:rFonts w:ascii="宋体" w:hAnsi="宋体"/>
              </w:rPr>
            </w:pPr>
            <w:r>
              <w:rPr>
                <w:rFonts w:hint="eastAsia" w:ascii="宋体" w:hAnsi="宋体"/>
              </w:rPr>
              <w:t>2</w:t>
            </w:r>
            <w:r>
              <w:rPr>
                <w:rFonts w:ascii="宋体" w:hAnsi="宋体"/>
              </w:rPr>
              <w:t>20</w:t>
            </w:r>
          </w:p>
        </w:tc>
        <w:tc>
          <w:tcPr>
            <w:tcW w:w="710" w:type="pct"/>
            <w:shd w:val="clear" w:color="auto" w:fill="auto"/>
            <w:vAlign w:val="center"/>
          </w:tcPr>
          <w:p>
            <w:pPr>
              <w:jc w:val="right"/>
              <w:rPr>
                <w:rFonts w:ascii="宋体" w:hAnsi="宋体"/>
              </w:rPr>
            </w:pPr>
            <w:r>
              <w:rPr>
                <w:rFonts w:ascii="宋体" w:hAnsi="宋体"/>
              </w:rPr>
              <w:t>221</w:t>
            </w:r>
            <w:r>
              <w:rPr>
                <w:rFonts w:hint="eastAsia" w:ascii="宋体" w:hAnsi="宋体"/>
              </w:rPr>
              <w:t>,</w:t>
            </w:r>
            <w:r>
              <w:rPr>
                <w:rFonts w:ascii="宋体" w:hAnsi="宋体"/>
              </w:rPr>
              <w:t>76</w:t>
            </w:r>
            <w:r>
              <w:rPr>
                <w:rFonts w:hint="eastAsia" w:ascii="宋体" w:hAnsi="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5" w:type="pct"/>
            <w:shd w:val="clear" w:color="auto" w:fill="auto"/>
          </w:tcPr>
          <w:p>
            <w:pPr>
              <w:jc w:val="center"/>
              <w:rPr>
                <w:rFonts w:ascii="宋体" w:hAnsi="宋体"/>
              </w:rPr>
            </w:pPr>
            <w:r>
              <w:rPr>
                <w:rFonts w:hint="eastAsia" w:ascii="宋体" w:hAnsi="宋体"/>
              </w:rPr>
              <w:t>合计</w:t>
            </w:r>
          </w:p>
        </w:tc>
        <w:tc>
          <w:tcPr>
            <w:tcW w:w="671" w:type="pct"/>
            <w:shd w:val="clear" w:color="auto" w:fill="auto"/>
            <w:vAlign w:val="center"/>
          </w:tcPr>
          <w:p>
            <w:pPr>
              <w:jc w:val="right"/>
              <w:rPr>
                <w:rFonts w:ascii="宋体" w:hAnsi="宋体"/>
              </w:rPr>
            </w:pPr>
            <w:r>
              <w:rPr>
                <w:rFonts w:ascii="宋体" w:hAnsi="宋体"/>
              </w:rPr>
              <w:t>271,175</w:t>
            </w:r>
          </w:p>
        </w:tc>
        <w:tc>
          <w:tcPr>
            <w:tcW w:w="727" w:type="pct"/>
            <w:shd w:val="clear" w:color="auto" w:fill="auto"/>
            <w:vAlign w:val="center"/>
          </w:tcPr>
          <w:p>
            <w:pPr>
              <w:jc w:val="right"/>
              <w:rPr>
                <w:rFonts w:ascii="宋体" w:hAnsi="宋体"/>
              </w:rPr>
            </w:pPr>
          </w:p>
        </w:tc>
        <w:tc>
          <w:tcPr>
            <w:tcW w:w="671" w:type="pct"/>
            <w:shd w:val="clear" w:color="auto" w:fill="auto"/>
            <w:vAlign w:val="center"/>
          </w:tcPr>
          <w:p>
            <w:pPr>
              <w:jc w:val="right"/>
              <w:rPr>
                <w:rFonts w:ascii="宋体" w:hAnsi="宋体"/>
              </w:rPr>
            </w:pPr>
            <w:r>
              <w:rPr>
                <w:rFonts w:ascii="宋体" w:hAnsi="宋体"/>
              </w:rPr>
              <w:t>-49,632</w:t>
            </w:r>
          </w:p>
        </w:tc>
        <w:tc>
          <w:tcPr>
            <w:tcW w:w="715" w:type="pct"/>
            <w:vAlign w:val="center"/>
          </w:tcPr>
          <w:p>
            <w:pPr>
              <w:jc w:val="right"/>
              <w:rPr>
                <w:rFonts w:ascii="宋体" w:hAnsi="宋体"/>
              </w:rPr>
            </w:pPr>
          </w:p>
        </w:tc>
        <w:tc>
          <w:tcPr>
            <w:tcW w:w="711" w:type="pct"/>
            <w:vAlign w:val="center"/>
          </w:tcPr>
          <w:p>
            <w:pPr>
              <w:jc w:val="right"/>
              <w:rPr>
                <w:rFonts w:ascii="宋体" w:hAnsi="宋体"/>
              </w:rPr>
            </w:pPr>
            <w:r>
              <w:rPr>
                <w:rFonts w:hint="eastAsia" w:ascii="宋体" w:hAnsi="宋体"/>
              </w:rPr>
              <w:t>2</w:t>
            </w:r>
            <w:r>
              <w:rPr>
                <w:rFonts w:ascii="宋体" w:hAnsi="宋体"/>
              </w:rPr>
              <w:t>20</w:t>
            </w:r>
          </w:p>
        </w:tc>
        <w:tc>
          <w:tcPr>
            <w:tcW w:w="710" w:type="pct"/>
            <w:shd w:val="clear" w:color="auto" w:fill="auto"/>
            <w:vAlign w:val="center"/>
          </w:tcPr>
          <w:p>
            <w:pPr>
              <w:jc w:val="right"/>
              <w:rPr>
                <w:rFonts w:ascii="宋体" w:hAnsi="宋体"/>
              </w:rPr>
            </w:pPr>
            <w:r>
              <w:rPr>
                <w:rFonts w:ascii="宋体" w:hAnsi="宋体"/>
              </w:rPr>
              <w:t>221,763</w:t>
            </w:r>
          </w:p>
        </w:tc>
      </w:tr>
    </w:tbl>
    <w:p>
      <w:pPr>
        <w:pStyle w:val="531"/>
      </w:pPr>
    </w:p>
    <w:p>
      <w:pPr>
        <w:pStyle w:val="531"/>
      </w:pPr>
      <w:r>
        <w:rPr>
          <w:rFonts w:hint="eastAsia"/>
        </w:rPr>
        <w:t>其中本期坏账准备转回或收回金额重要的：</w:t>
      </w:r>
    </w:p>
    <w:sdt>
      <w:sdtPr>
        <w:alias w:val="是否适用：母公司其他应收款坏账准备转回或收回金额重要的[双击切换]"/>
        <w:tag w:val="_GBC_f8ce6c07169e42188641fc1bc1ab86d4"/>
        <w:id w:val="-527027622"/>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69"/>
    <w:p>
      <w:pPr>
        <w:pStyle w:val="531"/>
      </w:pPr>
    </w:p>
    <w:bookmarkEnd w:id="370"/>
    <w:p>
      <w:pPr>
        <w:pStyle w:val="506"/>
        <w:numPr>
          <w:ilvl w:val="0"/>
          <w:numId w:val="143"/>
        </w:numPr>
        <w:ind w:leftChars="0"/>
        <w:rPr>
          <w:rFonts w:cs="宋体" w:asciiTheme="minorHAnsi" w:hAnsiTheme="minorHAnsi"/>
          <w:kern w:val="0"/>
          <w:szCs w:val="22"/>
        </w:rPr>
      </w:pPr>
      <w:r>
        <w:rPr>
          <w:rFonts w:hint="eastAsia" w:cs="宋体" w:asciiTheme="minorHAnsi" w:hAnsiTheme="minorHAnsi"/>
          <w:kern w:val="0"/>
          <w:szCs w:val="22"/>
        </w:rPr>
        <w:t>本期实际核销的其他应收款情况</w:t>
      </w:r>
    </w:p>
    <w:sdt>
      <w:sdtPr>
        <w:alias w:val="是否适用：母公司本期实际核销的其他应收款情况[双击切换]"/>
        <w:tag w:val="_GBC_1513ed448adb4dda8e855e090428591f"/>
        <w:id w:val="170301612"/>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1"/>
      </w:pPr>
      <w:r>
        <w:rPr>
          <w:rFonts w:hint="eastAsia"/>
        </w:rPr>
        <w:t>其中重要的其他应收款核销情况：</w:t>
      </w:r>
    </w:p>
    <w:sdt>
      <w:sdtPr>
        <w:alias w:val="是否适用：母公司其中重要的其他应收款核销情况[双击切换]"/>
        <w:tag w:val="_GBC_9c869030965c44c2962f562c051ed47e"/>
        <w:id w:val="1368640864"/>
        <w:placeholder>
          <w:docPart w:val="GBC22222222222222222222222222222"/>
        </w:placeholder>
      </w:sdtPr>
      <w:sdtContent>
        <w:p>
          <w:pPr>
            <w:pStyle w:val="501"/>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napToGrid w:val="0"/>
        <w:spacing w:line="240" w:lineRule="atLeast"/>
      </w:pPr>
      <w:r>
        <w:rPr>
          <w:rFonts w:hint="eastAsia"/>
        </w:rPr>
        <w:t>其他应收款核销说明：</w:t>
      </w:r>
    </w:p>
    <w:sdt>
      <w:sdtPr>
        <w:rPr>
          <w:rFonts w:hint="eastAsia"/>
        </w:rPr>
        <w:alias w:val="是否适用：母公司其他应收款核销说明[双击切换]"/>
        <w:tag w:val="_GBC_a3327d4637ec4274aa83caff4b6e71fd"/>
        <w:id w:val="1296254668"/>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6"/>
        <w:numPr>
          <w:ilvl w:val="0"/>
          <w:numId w:val="143"/>
        </w:numPr>
        <w:ind w:leftChars="0"/>
        <w:rPr>
          <w:rFonts w:cs="宋体" w:asciiTheme="minorHAnsi" w:hAnsiTheme="minorHAnsi"/>
          <w:kern w:val="0"/>
          <w:szCs w:val="22"/>
        </w:rPr>
      </w:pPr>
      <w:r>
        <w:rPr>
          <w:rFonts w:hint="eastAsia" w:cs="宋体" w:asciiTheme="minorHAnsi" w:hAnsiTheme="minorHAnsi"/>
          <w:kern w:val="0"/>
          <w:szCs w:val="22"/>
        </w:rPr>
        <w:t>按欠款方归集的期末余额前五名的其他应收款情况</w:t>
      </w:r>
    </w:p>
    <w:sdt>
      <w:sdtPr>
        <w:alias w:val="是否适用：母公司按欠款方归集的期末余额前五名的其他应收款情况[双击切换]"/>
        <w:tag w:val="_GBC_40b667221c1442478b0cdaa57feca3d8"/>
        <w:id w:val="1677844461"/>
        <w:placeholder>
          <w:docPart w:val="GBC22222222222222222222222222222"/>
        </w:placeholder>
      </w:sdtPr>
      <w:sdtContent>
        <w:p>
          <w:pPr>
            <w:pStyle w:val="531"/>
          </w:pPr>
          <w:bookmarkStart w:id="371" w:name="_Hlk153798048"/>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其他应收账款前五名欠款情况"/>
          <w:tag w:val="_GBC_a5049697dafb47839070e9dec68636fd"/>
          <w:id w:val="37860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母公司财务附注：其他应收账款前五名欠款情况"/>
          <w:tag w:val="_GBC_6c4661b2d22f41aeb2f5a016fbe1a3ac"/>
          <w:id w:val="-20360327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1558"/>
        <w:gridCol w:w="1560"/>
        <w:gridCol w:w="1417"/>
        <w:gridCol w:w="127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tag w:val="_PLD_97ae589741524eeaa277e2e3a81b13c6"/>
            <w:id w:val="142393638"/>
          </w:sdtPr>
          <w:sdtEndPr>
            <w:rPr>
              <w:rFonts w:ascii="宋体" w:hAnsi="宋体"/>
            </w:rPr>
          </w:sdtEndPr>
          <w:sdtContent>
            <w:tc>
              <w:tcPr>
                <w:tcW w:w="1042" w:type="pct"/>
                <w:vAlign w:val="center"/>
              </w:tcPr>
              <w:p>
                <w:pPr>
                  <w:ind w:right="105"/>
                  <w:jc w:val="center"/>
                  <w:rPr>
                    <w:rFonts w:ascii="宋体" w:hAnsi="宋体"/>
                  </w:rPr>
                </w:pPr>
                <w:r>
                  <w:rPr>
                    <w:rFonts w:hint="eastAsia" w:ascii="宋体" w:hAnsi="宋体"/>
                  </w:rPr>
                  <w:t>单位名称</w:t>
                </w:r>
              </w:p>
            </w:tc>
          </w:sdtContent>
        </w:sdt>
        <w:sdt>
          <w:sdtPr>
            <w:rPr>
              <w:rFonts w:ascii="宋体" w:hAnsi="宋体"/>
            </w:rPr>
            <w:tag w:val="_PLD_c22b4ec5955348c988f93a834a184c51"/>
            <w:id w:val="867030585"/>
          </w:sdtPr>
          <w:sdtEndPr>
            <w:rPr>
              <w:rFonts w:ascii="宋体" w:hAnsi="宋体"/>
            </w:rPr>
          </w:sdtEndPr>
          <w:sdtContent>
            <w:tc>
              <w:tcPr>
                <w:tcW w:w="883" w:type="pct"/>
                <w:vAlign w:val="center"/>
              </w:tcPr>
              <w:p>
                <w:pPr>
                  <w:ind w:right="73"/>
                  <w:jc w:val="center"/>
                  <w:rPr>
                    <w:rFonts w:ascii="宋体" w:hAnsi="宋体"/>
                  </w:rPr>
                </w:pPr>
                <w:r>
                  <w:rPr>
                    <w:rFonts w:hint="eastAsia" w:ascii="宋体" w:hAnsi="宋体"/>
                  </w:rPr>
                  <w:t>期末余额</w:t>
                </w:r>
              </w:p>
            </w:tc>
          </w:sdtContent>
        </w:sdt>
        <w:sdt>
          <w:sdtPr>
            <w:rPr>
              <w:rFonts w:ascii="宋体" w:hAnsi="宋体"/>
            </w:rPr>
            <w:tag w:val="_PLD_a49ad92f72864a62b0f46c5d7fa4a110"/>
            <w:id w:val="-1432656587"/>
          </w:sdtPr>
          <w:sdtEndPr>
            <w:rPr>
              <w:rFonts w:ascii="宋体" w:hAnsi="宋体"/>
            </w:rPr>
          </w:sdtEndPr>
          <w:sdtContent>
            <w:tc>
              <w:tcPr>
                <w:tcW w:w="884" w:type="pct"/>
                <w:vAlign w:val="center"/>
              </w:tcPr>
              <w:p>
                <w:pPr>
                  <w:jc w:val="center"/>
                  <w:rPr>
                    <w:rFonts w:ascii="宋体" w:hAnsi="宋体"/>
                  </w:rPr>
                </w:pPr>
                <w:r>
                  <w:rPr>
                    <w:rFonts w:hint="eastAsia" w:ascii="宋体" w:hAnsi="宋体"/>
                  </w:rPr>
                  <w:t>占其他应收款期末余额合计数的比例(</w:t>
                </w:r>
                <w:r>
                  <w:rPr>
                    <w:rFonts w:ascii="宋体" w:hAnsi="宋体"/>
                  </w:rPr>
                  <w:t>%)</w:t>
                </w:r>
              </w:p>
            </w:tc>
          </w:sdtContent>
        </w:sdt>
        <w:sdt>
          <w:sdtPr>
            <w:rPr>
              <w:rFonts w:ascii="宋体" w:hAnsi="宋体"/>
            </w:rPr>
            <w:tag w:val="_PLD_c8433b11194a41288fcd24feb3e7d527"/>
            <w:id w:val="-130482892"/>
          </w:sdtPr>
          <w:sdtEndPr>
            <w:rPr>
              <w:rFonts w:ascii="宋体" w:hAnsi="宋体"/>
            </w:rPr>
          </w:sdtEndPr>
          <w:sdtContent>
            <w:tc>
              <w:tcPr>
                <w:tcW w:w="803" w:type="pct"/>
                <w:vAlign w:val="center"/>
              </w:tcPr>
              <w:p>
                <w:pPr>
                  <w:ind w:right="73"/>
                  <w:jc w:val="center"/>
                  <w:rPr>
                    <w:rFonts w:ascii="宋体" w:hAnsi="宋体"/>
                  </w:rPr>
                </w:pPr>
                <w:r>
                  <w:rPr>
                    <w:rFonts w:hint="eastAsia" w:ascii="宋体" w:hAnsi="宋体"/>
                  </w:rPr>
                  <w:t>款项的性质</w:t>
                </w:r>
              </w:p>
            </w:tc>
          </w:sdtContent>
        </w:sdt>
        <w:sdt>
          <w:sdtPr>
            <w:rPr>
              <w:rFonts w:ascii="宋体" w:hAnsi="宋体"/>
            </w:rPr>
            <w:tag w:val="_PLD_003c0f3b03b34c10880da6ddba3d0f8c"/>
            <w:id w:val="382760734"/>
          </w:sdtPr>
          <w:sdtEndPr>
            <w:rPr>
              <w:rFonts w:ascii="宋体" w:hAnsi="宋体"/>
            </w:rPr>
          </w:sdtEndPr>
          <w:sdtContent>
            <w:tc>
              <w:tcPr>
                <w:tcW w:w="725" w:type="pct"/>
                <w:vAlign w:val="center"/>
              </w:tcPr>
              <w:p>
                <w:pPr>
                  <w:ind w:right="73"/>
                  <w:jc w:val="center"/>
                  <w:rPr>
                    <w:rFonts w:ascii="宋体" w:hAnsi="宋体"/>
                  </w:rPr>
                </w:pPr>
                <w:r>
                  <w:rPr>
                    <w:rFonts w:hint="eastAsia" w:ascii="宋体" w:hAnsi="宋体"/>
                  </w:rPr>
                  <w:t>账龄</w:t>
                </w:r>
              </w:p>
            </w:tc>
          </w:sdtContent>
        </w:sdt>
        <w:sdt>
          <w:sdtPr>
            <w:rPr>
              <w:rFonts w:ascii="宋体" w:hAnsi="宋体"/>
            </w:rPr>
            <w:tag w:val="_PLD_de96d0c3523e4231935073b8b7dd47be"/>
            <w:id w:val="118271140"/>
          </w:sdtPr>
          <w:sdtEndPr>
            <w:rPr>
              <w:rFonts w:ascii="宋体" w:hAnsi="宋体"/>
            </w:rPr>
          </w:sdtEndPr>
          <w:sdtContent>
            <w:tc>
              <w:tcPr>
                <w:tcW w:w="663" w:type="pct"/>
                <w:vAlign w:val="center"/>
              </w:tcPr>
              <w:p>
                <w:pPr>
                  <w:jc w:val="center"/>
                  <w:rPr>
                    <w:rFonts w:ascii="宋体" w:hAnsi="宋体"/>
                  </w:rPr>
                </w:pPr>
                <w:r>
                  <w:rPr>
                    <w:rFonts w:hint="eastAsia" w:ascii="宋体" w:hAnsi="宋体"/>
                  </w:rPr>
                  <w:t>坏账准备</w:t>
                </w:r>
              </w:p>
              <w:p>
                <w:pPr>
                  <w:jc w:val="center"/>
                  <w:rPr>
                    <w:rFonts w:ascii="宋体" w:hAnsi="宋体"/>
                  </w:rPr>
                </w:pPr>
                <w:r>
                  <w:rPr>
                    <w:rFonts w:hint="eastAsia" w:ascii="宋体" w:hAnsi="宋体"/>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tcPr>
          <w:p>
            <w:pPr>
              <w:ind w:right="105"/>
              <w:rPr>
                <w:rFonts w:ascii="宋体" w:hAnsi="宋体"/>
              </w:rPr>
            </w:pPr>
            <w:r>
              <w:rPr>
                <w:rFonts w:hint="eastAsia" w:ascii="宋体" w:hAnsi="宋体"/>
              </w:rPr>
              <w:t>公司1</w:t>
            </w:r>
          </w:p>
        </w:tc>
        <w:tc>
          <w:tcPr>
            <w:tcW w:w="883" w:type="pct"/>
            <w:vAlign w:val="center"/>
          </w:tcPr>
          <w:p>
            <w:pPr>
              <w:ind w:right="73"/>
              <w:jc w:val="right"/>
              <w:rPr>
                <w:rFonts w:ascii="宋体" w:hAnsi="宋体"/>
              </w:rPr>
            </w:pPr>
            <w:r>
              <w:rPr>
                <w:rFonts w:ascii="宋体" w:hAnsi="宋体"/>
              </w:rPr>
              <w:t>7,205,000</w:t>
            </w:r>
          </w:p>
        </w:tc>
        <w:tc>
          <w:tcPr>
            <w:tcW w:w="884" w:type="pct"/>
            <w:vAlign w:val="center"/>
          </w:tcPr>
          <w:p>
            <w:pPr>
              <w:jc w:val="right"/>
              <w:rPr>
                <w:rFonts w:ascii="宋体" w:hAnsi="宋体"/>
              </w:rPr>
            </w:pPr>
            <w:r>
              <w:rPr>
                <w:rFonts w:ascii="宋体" w:hAnsi="宋体"/>
              </w:rPr>
              <w:t>22</w:t>
            </w:r>
          </w:p>
        </w:tc>
        <w:tc>
          <w:tcPr>
            <w:tcW w:w="803" w:type="pct"/>
            <w:vAlign w:val="center"/>
          </w:tcPr>
          <w:p>
            <w:pPr>
              <w:ind w:right="73"/>
              <w:jc w:val="center"/>
              <w:rPr>
                <w:rFonts w:ascii="宋体" w:hAnsi="宋体"/>
              </w:rPr>
            </w:pPr>
            <w:r>
              <w:rPr>
                <w:rFonts w:hint="eastAsia" w:ascii="宋体" w:hAnsi="宋体"/>
              </w:rPr>
              <w:t>往来款</w:t>
            </w:r>
          </w:p>
        </w:tc>
        <w:tc>
          <w:tcPr>
            <w:tcW w:w="725" w:type="pct"/>
            <w:vAlign w:val="center"/>
          </w:tcPr>
          <w:p>
            <w:pPr>
              <w:ind w:right="73"/>
              <w:jc w:val="right"/>
              <w:rPr>
                <w:rFonts w:ascii="宋体" w:hAnsi="宋体"/>
              </w:rPr>
            </w:pPr>
            <w:r>
              <w:rPr>
                <w:rFonts w:ascii="宋体" w:hAnsi="宋体"/>
              </w:rPr>
              <w:t>1</w:t>
            </w:r>
            <w:r>
              <w:rPr>
                <w:rFonts w:hint="eastAsia" w:ascii="宋体" w:hAnsi="宋体"/>
              </w:rPr>
              <w:t>年以内</w:t>
            </w:r>
          </w:p>
        </w:tc>
        <w:tc>
          <w:tcPr>
            <w:tcW w:w="66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tcPr>
          <w:p>
            <w:pPr>
              <w:ind w:right="105"/>
              <w:rPr>
                <w:rFonts w:ascii="宋体" w:hAnsi="宋体"/>
              </w:rPr>
            </w:pPr>
            <w:r>
              <w:rPr>
                <w:rFonts w:hint="eastAsia" w:ascii="宋体" w:hAnsi="宋体"/>
              </w:rPr>
              <w:t>公司</w:t>
            </w:r>
            <w:r>
              <w:rPr>
                <w:rFonts w:ascii="宋体" w:hAnsi="宋体"/>
              </w:rPr>
              <w:t>2</w:t>
            </w:r>
          </w:p>
        </w:tc>
        <w:tc>
          <w:tcPr>
            <w:tcW w:w="883" w:type="pct"/>
            <w:vAlign w:val="center"/>
          </w:tcPr>
          <w:p>
            <w:pPr>
              <w:ind w:right="73"/>
              <w:jc w:val="right"/>
              <w:rPr>
                <w:rFonts w:ascii="宋体" w:hAnsi="宋体"/>
              </w:rPr>
            </w:pPr>
            <w:r>
              <w:rPr>
                <w:rFonts w:ascii="宋体" w:hAnsi="宋体"/>
              </w:rPr>
              <w:t>4,000,000</w:t>
            </w:r>
          </w:p>
        </w:tc>
        <w:tc>
          <w:tcPr>
            <w:tcW w:w="884" w:type="pct"/>
            <w:vAlign w:val="center"/>
          </w:tcPr>
          <w:p>
            <w:pPr>
              <w:jc w:val="right"/>
              <w:rPr>
                <w:rFonts w:ascii="宋体" w:hAnsi="宋体"/>
              </w:rPr>
            </w:pPr>
            <w:r>
              <w:rPr>
                <w:rFonts w:ascii="宋体" w:hAnsi="宋体"/>
              </w:rPr>
              <w:t>12</w:t>
            </w:r>
          </w:p>
        </w:tc>
        <w:tc>
          <w:tcPr>
            <w:tcW w:w="803" w:type="pct"/>
            <w:vAlign w:val="center"/>
          </w:tcPr>
          <w:p>
            <w:pPr>
              <w:ind w:right="73"/>
              <w:jc w:val="center"/>
              <w:rPr>
                <w:rFonts w:ascii="宋体" w:hAnsi="宋体"/>
              </w:rPr>
            </w:pPr>
            <w:r>
              <w:rPr>
                <w:rFonts w:hint="eastAsia" w:ascii="宋体" w:hAnsi="宋体"/>
              </w:rPr>
              <w:t>往来款</w:t>
            </w:r>
          </w:p>
        </w:tc>
        <w:tc>
          <w:tcPr>
            <w:tcW w:w="725" w:type="pct"/>
            <w:vAlign w:val="center"/>
          </w:tcPr>
          <w:p>
            <w:pPr>
              <w:ind w:right="73"/>
              <w:jc w:val="right"/>
              <w:rPr>
                <w:rFonts w:ascii="宋体" w:hAnsi="宋体"/>
              </w:rPr>
            </w:pPr>
            <w:r>
              <w:rPr>
                <w:rFonts w:hint="eastAsia" w:ascii="宋体" w:hAnsi="宋体"/>
              </w:rPr>
              <w:t>1年以内</w:t>
            </w:r>
          </w:p>
        </w:tc>
        <w:tc>
          <w:tcPr>
            <w:tcW w:w="66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tcPr>
          <w:p>
            <w:pPr>
              <w:ind w:right="105"/>
              <w:rPr>
                <w:rFonts w:ascii="宋体" w:hAnsi="宋体"/>
              </w:rPr>
            </w:pPr>
            <w:r>
              <w:rPr>
                <w:rFonts w:hint="eastAsia" w:ascii="宋体" w:hAnsi="宋体"/>
              </w:rPr>
              <w:t>公司</w:t>
            </w:r>
            <w:r>
              <w:rPr>
                <w:rFonts w:ascii="宋体" w:hAnsi="宋体"/>
              </w:rPr>
              <w:t>3</w:t>
            </w:r>
          </w:p>
        </w:tc>
        <w:tc>
          <w:tcPr>
            <w:tcW w:w="883" w:type="pct"/>
            <w:vAlign w:val="center"/>
          </w:tcPr>
          <w:p>
            <w:pPr>
              <w:ind w:right="73"/>
              <w:jc w:val="right"/>
              <w:rPr>
                <w:rFonts w:ascii="宋体" w:hAnsi="宋体"/>
              </w:rPr>
            </w:pPr>
            <w:r>
              <w:rPr>
                <w:rFonts w:ascii="宋体" w:hAnsi="宋体"/>
              </w:rPr>
              <w:t>3,770,000</w:t>
            </w:r>
          </w:p>
        </w:tc>
        <w:tc>
          <w:tcPr>
            <w:tcW w:w="884" w:type="pct"/>
            <w:vAlign w:val="center"/>
          </w:tcPr>
          <w:p>
            <w:pPr>
              <w:jc w:val="right"/>
              <w:rPr>
                <w:rFonts w:ascii="宋体" w:hAnsi="宋体"/>
              </w:rPr>
            </w:pPr>
            <w:r>
              <w:rPr>
                <w:rFonts w:ascii="宋体" w:hAnsi="宋体"/>
              </w:rPr>
              <w:t>12</w:t>
            </w:r>
          </w:p>
        </w:tc>
        <w:tc>
          <w:tcPr>
            <w:tcW w:w="803" w:type="pct"/>
            <w:vAlign w:val="center"/>
          </w:tcPr>
          <w:p>
            <w:pPr>
              <w:ind w:right="73"/>
              <w:jc w:val="center"/>
              <w:rPr>
                <w:rFonts w:ascii="宋体" w:hAnsi="宋体"/>
              </w:rPr>
            </w:pPr>
            <w:r>
              <w:rPr>
                <w:rFonts w:hint="eastAsia" w:ascii="宋体" w:hAnsi="宋体"/>
              </w:rPr>
              <w:t>往来款</w:t>
            </w:r>
          </w:p>
        </w:tc>
        <w:tc>
          <w:tcPr>
            <w:tcW w:w="725" w:type="pct"/>
            <w:vAlign w:val="center"/>
          </w:tcPr>
          <w:p>
            <w:pPr>
              <w:ind w:right="73"/>
              <w:jc w:val="right"/>
              <w:rPr>
                <w:rFonts w:ascii="宋体" w:hAnsi="宋体"/>
              </w:rPr>
            </w:pPr>
            <w:r>
              <w:rPr>
                <w:rFonts w:hint="eastAsia" w:ascii="宋体" w:hAnsi="宋体"/>
              </w:rPr>
              <w:t>1年以内</w:t>
            </w:r>
          </w:p>
        </w:tc>
        <w:tc>
          <w:tcPr>
            <w:tcW w:w="66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tcPr>
          <w:p>
            <w:pPr>
              <w:ind w:right="105"/>
              <w:rPr>
                <w:rFonts w:ascii="宋体" w:hAnsi="宋体"/>
              </w:rPr>
            </w:pPr>
            <w:r>
              <w:rPr>
                <w:rFonts w:hint="eastAsia" w:ascii="宋体" w:hAnsi="宋体"/>
              </w:rPr>
              <w:t>公司</w:t>
            </w:r>
            <w:r>
              <w:rPr>
                <w:rFonts w:ascii="宋体" w:hAnsi="宋体"/>
              </w:rPr>
              <w:t>4</w:t>
            </w:r>
          </w:p>
        </w:tc>
        <w:tc>
          <w:tcPr>
            <w:tcW w:w="883" w:type="pct"/>
            <w:vAlign w:val="center"/>
          </w:tcPr>
          <w:p>
            <w:pPr>
              <w:ind w:right="73"/>
              <w:jc w:val="right"/>
              <w:rPr>
                <w:rFonts w:ascii="宋体" w:hAnsi="宋体"/>
              </w:rPr>
            </w:pPr>
            <w:r>
              <w:rPr>
                <w:rFonts w:ascii="宋体" w:hAnsi="宋体"/>
              </w:rPr>
              <w:t>3,358,170</w:t>
            </w:r>
          </w:p>
        </w:tc>
        <w:tc>
          <w:tcPr>
            <w:tcW w:w="884" w:type="pct"/>
            <w:vAlign w:val="center"/>
          </w:tcPr>
          <w:p>
            <w:pPr>
              <w:jc w:val="right"/>
              <w:rPr>
                <w:rFonts w:ascii="宋体" w:hAnsi="宋体"/>
              </w:rPr>
            </w:pPr>
            <w:r>
              <w:rPr>
                <w:rFonts w:ascii="宋体" w:hAnsi="宋体"/>
              </w:rPr>
              <w:t>10</w:t>
            </w:r>
          </w:p>
        </w:tc>
        <w:tc>
          <w:tcPr>
            <w:tcW w:w="803" w:type="pct"/>
            <w:vAlign w:val="center"/>
          </w:tcPr>
          <w:p>
            <w:pPr>
              <w:ind w:right="73"/>
              <w:jc w:val="center"/>
              <w:rPr>
                <w:rFonts w:ascii="宋体" w:hAnsi="宋体"/>
              </w:rPr>
            </w:pPr>
            <w:r>
              <w:rPr>
                <w:rFonts w:hint="eastAsia" w:ascii="宋体" w:hAnsi="宋体"/>
              </w:rPr>
              <w:t>往来款</w:t>
            </w:r>
          </w:p>
        </w:tc>
        <w:tc>
          <w:tcPr>
            <w:tcW w:w="725" w:type="pct"/>
            <w:vAlign w:val="center"/>
          </w:tcPr>
          <w:p>
            <w:pPr>
              <w:ind w:right="73"/>
              <w:jc w:val="right"/>
              <w:rPr>
                <w:rFonts w:ascii="宋体" w:hAnsi="宋体"/>
              </w:rPr>
            </w:pPr>
            <w:r>
              <w:rPr>
                <w:rFonts w:hint="eastAsia" w:ascii="宋体" w:hAnsi="宋体"/>
              </w:rPr>
              <w:t>1年以内</w:t>
            </w:r>
          </w:p>
        </w:tc>
        <w:tc>
          <w:tcPr>
            <w:tcW w:w="66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tcPr>
          <w:p>
            <w:pPr>
              <w:ind w:right="105"/>
              <w:rPr>
                <w:rFonts w:ascii="宋体" w:hAnsi="宋体"/>
              </w:rPr>
            </w:pPr>
            <w:r>
              <w:rPr>
                <w:rFonts w:hint="eastAsia" w:ascii="宋体" w:hAnsi="宋体"/>
              </w:rPr>
              <w:t>公司</w:t>
            </w:r>
            <w:r>
              <w:rPr>
                <w:rFonts w:ascii="宋体" w:hAnsi="宋体"/>
              </w:rPr>
              <w:t>5</w:t>
            </w:r>
          </w:p>
        </w:tc>
        <w:tc>
          <w:tcPr>
            <w:tcW w:w="883" w:type="pct"/>
            <w:vAlign w:val="center"/>
          </w:tcPr>
          <w:p>
            <w:pPr>
              <w:ind w:right="73"/>
              <w:jc w:val="right"/>
              <w:rPr>
                <w:rFonts w:ascii="宋体" w:hAnsi="宋体"/>
              </w:rPr>
            </w:pPr>
            <w:r>
              <w:rPr>
                <w:rFonts w:ascii="宋体" w:hAnsi="宋体"/>
              </w:rPr>
              <w:t>3,002,000</w:t>
            </w:r>
          </w:p>
        </w:tc>
        <w:tc>
          <w:tcPr>
            <w:tcW w:w="884" w:type="pct"/>
            <w:vAlign w:val="center"/>
          </w:tcPr>
          <w:p>
            <w:pPr>
              <w:jc w:val="right"/>
              <w:rPr>
                <w:rFonts w:ascii="宋体" w:hAnsi="宋体"/>
              </w:rPr>
            </w:pPr>
            <w:r>
              <w:rPr>
                <w:rFonts w:ascii="宋体" w:hAnsi="宋体"/>
              </w:rPr>
              <w:t>9</w:t>
            </w:r>
          </w:p>
        </w:tc>
        <w:tc>
          <w:tcPr>
            <w:tcW w:w="803" w:type="pct"/>
            <w:vAlign w:val="center"/>
          </w:tcPr>
          <w:p>
            <w:pPr>
              <w:ind w:right="73"/>
              <w:jc w:val="center"/>
              <w:rPr>
                <w:rFonts w:ascii="宋体" w:hAnsi="宋体"/>
              </w:rPr>
            </w:pPr>
            <w:r>
              <w:rPr>
                <w:rFonts w:hint="eastAsia" w:ascii="宋体" w:hAnsi="宋体"/>
              </w:rPr>
              <w:t>往来款</w:t>
            </w:r>
          </w:p>
        </w:tc>
        <w:tc>
          <w:tcPr>
            <w:tcW w:w="725" w:type="pct"/>
            <w:vAlign w:val="center"/>
          </w:tcPr>
          <w:p>
            <w:pPr>
              <w:ind w:right="73"/>
              <w:jc w:val="right"/>
              <w:rPr>
                <w:rFonts w:ascii="宋体" w:hAnsi="宋体"/>
              </w:rPr>
            </w:pPr>
            <w:r>
              <w:rPr>
                <w:rFonts w:hint="eastAsia" w:ascii="宋体" w:hAnsi="宋体"/>
              </w:rPr>
              <w:t>1年以内</w:t>
            </w:r>
          </w:p>
        </w:tc>
        <w:tc>
          <w:tcPr>
            <w:tcW w:w="663"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42" w:type="pct"/>
          </w:tcPr>
          <w:p>
            <w:pPr>
              <w:ind w:right="105"/>
              <w:jc w:val="center"/>
              <w:rPr>
                <w:rFonts w:ascii="宋体" w:hAnsi="宋体"/>
              </w:rPr>
            </w:pPr>
            <w:r>
              <w:rPr>
                <w:rFonts w:hint="eastAsia" w:ascii="宋体" w:hAnsi="宋体"/>
              </w:rPr>
              <w:t>合计</w:t>
            </w:r>
          </w:p>
        </w:tc>
        <w:tc>
          <w:tcPr>
            <w:tcW w:w="883" w:type="pct"/>
            <w:vAlign w:val="center"/>
          </w:tcPr>
          <w:p>
            <w:pPr>
              <w:ind w:right="73"/>
              <w:jc w:val="right"/>
              <w:rPr>
                <w:rFonts w:ascii="宋体" w:hAnsi="宋体"/>
              </w:rPr>
            </w:pPr>
            <w:r>
              <w:rPr>
                <w:rFonts w:ascii="宋体" w:hAnsi="宋体"/>
              </w:rPr>
              <w:t>21,335,170</w:t>
            </w:r>
          </w:p>
        </w:tc>
        <w:tc>
          <w:tcPr>
            <w:tcW w:w="884" w:type="pct"/>
            <w:vAlign w:val="center"/>
          </w:tcPr>
          <w:p>
            <w:pPr>
              <w:jc w:val="right"/>
              <w:rPr>
                <w:rFonts w:ascii="宋体" w:hAnsi="宋体"/>
              </w:rPr>
            </w:pPr>
            <w:r>
              <w:rPr>
                <w:rFonts w:hint="eastAsia" w:ascii="宋体" w:hAnsi="宋体"/>
              </w:rPr>
              <w:t>6</w:t>
            </w:r>
            <w:r>
              <w:rPr>
                <w:rFonts w:ascii="宋体" w:hAnsi="宋体"/>
              </w:rPr>
              <w:t>5</w:t>
            </w:r>
          </w:p>
        </w:tc>
        <w:tc>
          <w:tcPr>
            <w:tcW w:w="803" w:type="pct"/>
            <w:vAlign w:val="center"/>
          </w:tcPr>
          <w:p>
            <w:pPr>
              <w:ind w:right="73"/>
              <w:jc w:val="right"/>
              <w:rPr>
                <w:rFonts w:ascii="宋体" w:hAnsi="宋体"/>
              </w:rPr>
            </w:pPr>
            <w:r>
              <w:rPr>
                <w:rFonts w:ascii="宋体" w:hAnsi="宋体"/>
              </w:rPr>
              <w:t>/</w:t>
            </w:r>
          </w:p>
        </w:tc>
        <w:tc>
          <w:tcPr>
            <w:tcW w:w="725" w:type="pct"/>
            <w:vAlign w:val="center"/>
          </w:tcPr>
          <w:p>
            <w:pPr>
              <w:ind w:right="73"/>
              <w:jc w:val="right"/>
              <w:rPr>
                <w:rFonts w:ascii="宋体" w:hAnsi="宋体"/>
              </w:rPr>
            </w:pPr>
            <w:r>
              <w:rPr>
                <w:rFonts w:ascii="宋体" w:hAnsi="宋体"/>
              </w:rPr>
              <w:t>/</w:t>
            </w:r>
          </w:p>
        </w:tc>
        <w:tc>
          <w:tcPr>
            <w:tcW w:w="663" w:type="pct"/>
            <w:vAlign w:val="center"/>
          </w:tcPr>
          <w:p>
            <w:pPr>
              <w:jc w:val="right"/>
              <w:rPr>
                <w:rFonts w:ascii="宋体" w:hAnsi="宋体"/>
              </w:rPr>
            </w:pPr>
          </w:p>
        </w:tc>
      </w:tr>
      <w:bookmarkEnd w:id="371"/>
    </w:tbl>
    <w:p>
      <w:pPr>
        <w:pStyle w:val="531"/>
      </w:pPr>
    </w:p>
    <w:p>
      <w:pPr>
        <w:pStyle w:val="506"/>
        <w:numPr>
          <w:ilvl w:val="0"/>
          <w:numId w:val="143"/>
        </w:numPr>
        <w:ind w:leftChars="0"/>
        <w:rPr>
          <w:rFonts w:cs="宋体" w:asciiTheme="minorHAnsi" w:hAnsiTheme="minorHAnsi"/>
          <w:kern w:val="0"/>
          <w:szCs w:val="22"/>
        </w:rPr>
      </w:pPr>
      <w:r>
        <w:rPr>
          <w:rFonts w:cs="宋体" w:asciiTheme="minorHAnsi" w:hAnsiTheme="minorHAnsi"/>
          <w:kern w:val="0"/>
          <w:szCs w:val="22"/>
        </w:rPr>
        <w:t>因资金集中管理而列报于其他应收款</w:t>
      </w:r>
    </w:p>
    <w:sdt>
      <w:sdtPr>
        <w:alias w:val="是否适用：母公司因资金集中管理而列报于其他应收款[双击切换]"/>
        <w:tag w:val="_GBC_618dc514c72c4f30836fe51ef5fc4589"/>
        <w:id w:val="1941572859"/>
        <w:placeholder>
          <w:docPart w:val="GBC22222222222222222222222222222"/>
        </w:placeholder>
      </w:sdtPr>
      <w:sdtContent>
        <w:p>
          <w:pPr>
            <w:snapToGrid w:val="0"/>
            <w:spacing w:line="240" w:lineRule="atLeast"/>
          </w:pPr>
          <w:bookmarkStart w:id="372" w:name="_Hlk153798113"/>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72"/>
    <w:p>
      <w:pPr>
        <w:snapToGrid w:val="0"/>
        <w:spacing w:line="240" w:lineRule="atLeast"/>
      </w:pPr>
    </w:p>
    <w:p>
      <w:pPr>
        <w:pStyle w:val="531"/>
      </w:pPr>
      <w:r>
        <w:rPr>
          <w:rFonts w:hint="eastAsia"/>
        </w:rPr>
        <w:t>其他</w:t>
      </w:r>
      <w:r>
        <w:t>说明：</w:t>
      </w:r>
    </w:p>
    <w:sdt>
      <w:sdtPr>
        <w:rPr>
          <w:rFonts w:hint="eastAsia"/>
        </w:rPr>
        <w:alias w:val="是否适用：母公司其他应收款的其他说明[双击切换]"/>
        <w:tag w:val="_GBC_479bc9ed241548c695a3905f38eb23fd"/>
        <w:id w:val="966779004"/>
        <w:placeholder>
          <w:docPart w:val="GBC22222222222222222222222222222"/>
        </w:placeholder>
      </w:sdtPr>
      <w:sdtEndPr>
        <w:rPr>
          <w:rFonts w:hint="eastAsia"/>
        </w:rPr>
      </w:sdtEnd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pStyle w:val="504"/>
        <w:numPr>
          <w:ilvl w:val="0"/>
          <w:numId w:val="139"/>
        </w:numPr>
        <w:rPr>
          <w:rFonts w:ascii="宋体" w:hAnsi="宋体"/>
          <w:szCs w:val="21"/>
        </w:rPr>
      </w:pPr>
      <w:r>
        <w:rPr>
          <w:rFonts w:hint="eastAsia" w:ascii="宋体" w:hAnsi="宋体"/>
          <w:szCs w:val="21"/>
        </w:rPr>
        <w:t>长期股权投资</w:t>
      </w:r>
    </w:p>
    <w:sdt>
      <w:sdtPr>
        <w:alias w:val="是否适用：母公司长期股权投资[双击切换]"/>
        <w:tag w:val="_GBC_57a2f87498c64eab83308bdf3afc6268"/>
        <w:id w:val="1675994582"/>
        <w:lock w:val="contentLocked"/>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长期股权投资"/>
          <w:tag w:val="_GBC_9d11e81055cb4017a0055a75ae95ae64"/>
          <w:id w:val="17026665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母公司财务附注：长期股权投资"/>
          <w:tag w:val="_GBC_fbeeb4a7e8254b6dbbd1030f26dad505"/>
          <w:id w:val="-18851738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371"/>
        <w:gridCol w:w="787"/>
        <w:gridCol w:w="1371"/>
        <w:gridCol w:w="1266"/>
        <w:gridCol w:w="800"/>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tag w:val="_PLD_0747ffd7336145fcb6d5e622fab54966"/>
            <w:id w:val="-1310863360"/>
          </w:sdtPr>
          <w:sdtEndPr>
            <w:rPr>
              <w:rFonts w:ascii="宋体" w:hAnsi="宋体"/>
            </w:rPr>
          </w:sdtEndPr>
          <w:sdtContent>
            <w:tc>
              <w:tcPr>
                <w:tcW w:w="1280" w:type="pct"/>
                <w:vMerge w:val="restart"/>
                <w:shd w:val="clear" w:color="auto" w:fill="auto"/>
                <w:vAlign w:val="center"/>
              </w:tcPr>
              <w:p>
                <w:pPr>
                  <w:jc w:val="center"/>
                  <w:rPr>
                    <w:rFonts w:ascii="宋体" w:hAnsi="宋体"/>
                  </w:rPr>
                </w:pPr>
                <w:r>
                  <w:rPr>
                    <w:rFonts w:hint="eastAsia" w:ascii="宋体" w:hAnsi="宋体"/>
                  </w:rPr>
                  <w:t>项目</w:t>
                </w:r>
              </w:p>
            </w:tc>
          </w:sdtContent>
        </w:sdt>
        <w:sdt>
          <w:sdtPr>
            <w:rPr>
              <w:rFonts w:ascii="宋体" w:hAnsi="宋体"/>
            </w:rPr>
            <w:tag w:val="_PLD_0b9f6f6d89c44029bf1de3ed5f6a4aa0"/>
            <w:id w:val="21291269"/>
          </w:sdtPr>
          <w:sdtEndPr>
            <w:rPr>
              <w:rFonts w:ascii="宋体" w:hAnsi="宋体"/>
            </w:rPr>
          </w:sdtEndPr>
          <w:sdtContent>
            <w:tc>
              <w:tcPr>
                <w:tcW w:w="1855" w:type="pct"/>
                <w:gridSpan w:val="3"/>
                <w:shd w:val="clear" w:color="auto" w:fill="auto"/>
                <w:vAlign w:val="center"/>
              </w:tcPr>
              <w:p>
                <w:pPr>
                  <w:jc w:val="center"/>
                  <w:rPr>
                    <w:rFonts w:ascii="宋体" w:hAnsi="宋体"/>
                  </w:rPr>
                </w:pPr>
                <w:r>
                  <w:rPr>
                    <w:rFonts w:hint="eastAsia" w:ascii="宋体" w:hAnsi="宋体"/>
                  </w:rPr>
                  <w:t>期末余额</w:t>
                </w:r>
              </w:p>
            </w:tc>
          </w:sdtContent>
        </w:sdt>
        <w:sdt>
          <w:sdtPr>
            <w:rPr>
              <w:rFonts w:ascii="宋体" w:hAnsi="宋体"/>
            </w:rPr>
            <w:tag w:val="_PLD_d1ebeae29ff34029a10a8e0c447a171b"/>
            <w:id w:val="-175959389"/>
          </w:sdtPr>
          <w:sdtEndPr>
            <w:rPr>
              <w:rFonts w:ascii="宋体" w:hAnsi="宋体"/>
            </w:rPr>
          </w:sdtEndPr>
          <w:sdtContent>
            <w:tc>
              <w:tcPr>
                <w:tcW w:w="1865" w:type="pct"/>
                <w:gridSpan w:val="3"/>
                <w:shd w:val="clear" w:color="auto" w:fill="auto"/>
                <w:vAlign w:val="center"/>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0" w:type="pct"/>
            <w:vMerge w:val="continue"/>
            <w:shd w:val="clear" w:color="auto" w:fill="auto"/>
            <w:vAlign w:val="center"/>
          </w:tcPr>
          <w:p>
            <w:pPr>
              <w:jc w:val="center"/>
              <w:rPr>
                <w:rFonts w:ascii="宋体" w:hAnsi="宋体"/>
              </w:rPr>
            </w:pPr>
          </w:p>
        </w:tc>
        <w:sdt>
          <w:sdtPr>
            <w:rPr>
              <w:rFonts w:ascii="宋体" w:hAnsi="宋体"/>
            </w:rPr>
            <w:tag w:val="_PLD_dd00c7deeb1e4ede9c3e40d64760a230"/>
            <w:id w:val="883061623"/>
          </w:sdtPr>
          <w:sdtEndPr>
            <w:rPr>
              <w:rFonts w:ascii="宋体" w:hAnsi="宋体"/>
            </w:rPr>
          </w:sdtEndPr>
          <w:sdtContent>
            <w:tc>
              <w:tcPr>
                <w:tcW w:w="628" w:type="pct"/>
                <w:tcBorders>
                  <w:bottom w:val="single" w:color="auto" w:sz="4" w:space="0"/>
                </w:tcBorders>
                <w:shd w:val="clear" w:color="auto" w:fill="auto"/>
                <w:vAlign w:val="center"/>
              </w:tcPr>
              <w:p>
                <w:pPr>
                  <w:jc w:val="center"/>
                  <w:rPr>
                    <w:rFonts w:ascii="宋体" w:hAnsi="宋体"/>
                  </w:rPr>
                </w:pPr>
                <w:r>
                  <w:rPr>
                    <w:rFonts w:hint="eastAsia" w:ascii="宋体" w:hAnsi="宋体"/>
                  </w:rPr>
                  <w:t>账面余额</w:t>
                </w:r>
              </w:p>
            </w:tc>
          </w:sdtContent>
        </w:sdt>
        <w:sdt>
          <w:sdtPr>
            <w:rPr>
              <w:rFonts w:ascii="宋体" w:hAnsi="宋体"/>
            </w:rPr>
            <w:tag w:val="_PLD_dc4e6ed6511949b7a546924cafae2546"/>
            <w:id w:val="-377711542"/>
          </w:sdtPr>
          <w:sdtEndPr>
            <w:rPr>
              <w:rFonts w:ascii="宋体" w:hAnsi="宋体"/>
            </w:rPr>
          </w:sdtEndPr>
          <w:sdtContent>
            <w:tc>
              <w:tcPr>
                <w:tcW w:w="614" w:type="pct"/>
                <w:tcBorders>
                  <w:bottom w:val="single" w:color="auto" w:sz="4" w:space="0"/>
                </w:tcBorders>
                <w:shd w:val="clear" w:color="auto" w:fill="auto"/>
                <w:vAlign w:val="center"/>
              </w:tcPr>
              <w:p>
                <w:pPr>
                  <w:jc w:val="center"/>
                  <w:rPr>
                    <w:rFonts w:ascii="宋体" w:hAnsi="宋体"/>
                  </w:rPr>
                </w:pPr>
                <w:r>
                  <w:rPr>
                    <w:rFonts w:hint="eastAsia" w:ascii="宋体" w:hAnsi="宋体"/>
                  </w:rPr>
                  <w:t>减值准备</w:t>
                </w:r>
              </w:p>
            </w:tc>
          </w:sdtContent>
        </w:sdt>
        <w:sdt>
          <w:sdtPr>
            <w:rPr>
              <w:rFonts w:ascii="宋体" w:hAnsi="宋体"/>
            </w:rPr>
            <w:tag w:val="_PLD_1d7bbdc4e6144c95a3fcb7369904bea6"/>
            <w:id w:val="1009190251"/>
          </w:sdtPr>
          <w:sdtEndPr>
            <w:rPr>
              <w:rFonts w:ascii="宋体" w:hAnsi="宋体"/>
            </w:rPr>
          </w:sdtEndPr>
          <w:sdtContent>
            <w:tc>
              <w:tcPr>
                <w:tcW w:w="614" w:type="pct"/>
                <w:tcBorders>
                  <w:bottom w:val="single" w:color="auto" w:sz="4" w:space="0"/>
                </w:tcBorders>
                <w:shd w:val="clear" w:color="auto" w:fill="auto"/>
                <w:vAlign w:val="center"/>
              </w:tcPr>
              <w:p>
                <w:pPr>
                  <w:jc w:val="center"/>
                  <w:rPr>
                    <w:rFonts w:ascii="宋体" w:hAnsi="宋体"/>
                  </w:rPr>
                </w:pPr>
                <w:r>
                  <w:rPr>
                    <w:rFonts w:hint="eastAsia" w:ascii="宋体" w:hAnsi="宋体"/>
                  </w:rPr>
                  <w:t>账面价值</w:t>
                </w:r>
              </w:p>
            </w:tc>
          </w:sdtContent>
        </w:sdt>
        <w:sdt>
          <w:sdtPr>
            <w:rPr>
              <w:rFonts w:ascii="宋体" w:hAnsi="宋体"/>
            </w:rPr>
            <w:tag w:val="_PLD_bd8a9c944702423e9ff20ddba1c4b3aa"/>
            <w:id w:val="467633914"/>
          </w:sdtPr>
          <w:sdtEndPr>
            <w:rPr>
              <w:rFonts w:ascii="宋体" w:hAnsi="宋体"/>
            </w:rPr>
          </w:sdtEndPr>
          <w:sdtContent>
            <w:tc>
              <w:tcPr>
                <w:tcW w:w="629" w:type="pct"/>
                <w:tcBorders>
                  <w:bottom w:val="single" w:color="auto" w:sz="4" w:space="0"/>
                </w:tcBorders>
                <w:shd w:val="clear" w:color="auto" w:fill="auto"/>
                <w:vAlign w:val="center"/>
              </w:tcPr>
              <w:p>
                <w:pPr>
                  <w:jc w:val="center"/>
                  <w:rPr>
                    <w:rFonts w:ascii="宋体" w:hAnsi="宋体"/>
                  </w:rPr>
                </w:pPr>
                <w:r>
                  <w:rPr>
                    <w:rFonts w:hint="eastAsia" w:ascii="宋体" w:hAnsi="宋体"/>
                  </w:rPr>
                  <w:t>账面余额</w:t>
                </w:r>
              </w:p>
            </w:tc>
          </w:sdtContent>
        </w:sdt>
        <w:sdt>
          <w:sdtPr>
            <w:rPr>
              <w:rFonts w:ascii="宋体" w:hAnsi="宋体"/>
            </w:rPr>
            <w:tag w:val="_PLD_708c7153bc9a48c792e109da0ba5f2f8"/>
            <w:id w:val="-1923028396"/>
          </w:sdtPr>
          <w:sdtEndPr>
            <w:rPr>
              <w:rFonts w:ascii="宋体" w:hAnsi="宋体"/>
            </w:rPr>
          </w:sdtEndPr>
          <w:sdtContent>
            <w:tc>
              <w:tcPr>
                <w:tcW w:w="621" w:type="pct"/>
                <w:tcBorders>
                  <w:bottom w:val="single" w:color="auto" w:sz="4" w:space="0"/>
                </w:tcBorders>
                <w:shd w:val="clear" w:color="auto" w:fill="auto"/>
                <w:vAlign w:val="center"/>
              </w:tcPr>
              <w:p>
                <w:pPr>
                  <w:jc w:val="center"/>
                  <w:rPr>
                    <w:rFonts w:ascii="宋体" w:hAnsi="宋体"/>
                  </w:rPr>
                </w:pPr>
                <w:r>
                  <w:rPr>
                    <w:rFonts w:hint="eastAsia" w:ascii="宋体" w:hAnsi="宋体"/>
                  </w:rPr>
                  <w:t>减值准备</w:t>
                </w:r>
              </w:p>
            </w:tc>
          </w:sdtContent>
        </w:sdt>
        <w:sdt>
          <w:sdtPr>
            <w:rPr>
              <w:rFonts w:ascii="宋体" w:hAnsi="宋体"/>
            </w:rPr>
            <w:tag w:val="_PLD_1516e7000a9747a28074e3f321fa96a7"/>
            <w:id w:val="88285507"/>
          </w:sdtPr>
          <w:sdtEndPr>
            <w:rPr>
              <w:rFonts w:ascii="宋体" w:hAnsi="宋体"/>
            </w:rPr>
          </w:sdtEndPr>
          <w:sdtContent>
            <w:tc>
              <w:tcPr>
                <w:tcW w:w="615" w:type="pct"/>
                <w:tcBorders>
                  <w:bottom w:val="single" w:color="auto" w:sz="4" w:space="0"/>
                </w:tcBorders>
                <w:shd w:val="clear" w:color="auto" w:fill="auto"/>
                <w:vAlign w:val="center"/>
              </w:tcPr>
              <w:p>
                <w:pPr>
                  <w:jc w:val="center"/>
                  <w:rPr>
                    <w:rFonts w:ascii="宋体" w:hAnsi="宋体"/>
                  </w:rPr>
                </w:pPr>
                <w:r>
                  <w:rPr>
                    <w:rFonts w:hint="eastAsia" w:ascii="宋体" w:hAnsi="宋体"/>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0" w:type="pct"/>
            <w:shd w:val="clear" w:color="auto" w:fill="auto"/>
          </w:tcPr>
          <w:p>
            <w:pPr>
              <w:pStyle w:val="531"/>
            </w:pPr>
            <w:r>
              <w:rPr>
                <w:rFonts w:hint="eastAsia"/>
              </w:rPr>
              <w:t>对子公司投资</w:t>
            </w:r>
          </w:p>
        </w:tc>
        <w:tc>
          <w:tcPr>
            <w:tcW w:w="628" w:type="pct"/>
            <w:tcBorders>
              <w:top w:val="single" w:color="auto" w:sz="4" w:space="0"/>
              <w:left w:val="single" w:color="auto" w:sz="2" w:space="0"/>
              <w:bottom w:val="single" w:color="auto" w:sz="4" w:space="0"/>
              <w:right w:val="single" w:color="auto" w:sz="4" w:space="0"/>
            </w:tcBorders>
            <w:vAlign w:val="center"/>
          </w:tcPr>
          <w:p>
            <w:pPr>
              <w:jc w:val="right"/>
              <w:rPr>
                <w:rFonts w:ascii="宋体" w:hAnsi="宋体"/>
              </w:rPr>
            </w:pPr>
            <w:r>
              <w:rPr>
                <w:rFonts w:ascii="宋体" w:hAnsi="宋体"/>
              </w:rPr>
              <w:t>96,480,662</w:t>
            </w:r>
          </w:p>
        </w:tc>
        <w:tc>
          <w:tcPr>
            <w:tcW w:w="61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1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96,480,662</w:t>
            </w:r>
          </w:p>
        </w:tc>
        <w:tc>
          <w:tcPr>
            <w:tcW w:w="62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88,501,752</w:t>
            </w:r>
          </w:p>
        </w:tc>
        <w:tc>
          <w:tcPr>
            <w:tcW w:w="62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88,501,752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0" w:type="pct"/>
            <w:shd w:val="clear" w:color="auto" w:fill="auto"/>
          </w:tcPr>
          <w:p>
            <w:pPr>
              <w:pStyle w:val="531"/>
            </w:pPr>
            <w:r>
              <w:rPr>
                <w:rFonts w:hint="eastAsia"/>
              </w:rPr>
              <w:t>对联营、合营企业投资</w:t>
            </w:r>
          </w:p>
        </w:tc>
        <w:tc>
          <w:tcPr>
            <w:tcW w:w="628" w:type="pct"/>
            <w:tcBorders>
              <w:top w:val="single" w:color="auto" w:sz="4" w:space="0"/>
              <w:left w:val="single" w:color="auto" w:sz="2" w:space="0"/>
              <w:bottom w:val="single" w:color="auto" w:sz="4" w:space="0"/>
              <w:right w:val="single" w:color="auto" w:sz="4" w:space="0"/>
            </w:tcBorders>
            <w:vAlign w:val="center"/>
          </w:tcPr>
          <w:p>
            <w:pPr>
              <w:jc w:val="right"/>
              <w:rPr>
                <w:rFonts w:ascii="宋体" w:hAnsi="宋体"/>
              </w:rPr>
            </w:pPr>
            <w:r>
              <w:rPr>
                <w:rFonts w:ascii="宋体" w:hAnsi="宋体"/>
              </w:rPr>
              <w:t>6,992,977</w:t>
            </w:r>
          </w:p>
        </w:tc>
        <w:tc>
          <w:tcPr>
            <w:tcW w:w="61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1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6,992,977</w:t>
            </w:r>
          </w:p>
        </w:tc>
        <w:tc>
          <w:tcPr>
            <w:tcW w:w="62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6,503,049</w:t>
            </w:r>
          </w:p>
        </w:tc>
        <w:tc>
          <w:tcPr>
            <w:tcW w:w="62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6,503,049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80" w:type="pct"/>
            <w:shd w:val="clear" w:color="auto" w:fill="auto"/>
            <w:vAlign w:val="center"/>
          </w:tcPr>
          <w:p>
            <w:pPr>
              <w:jc w:val="center"/>
              <w:rPr>
                <w:rFonts w:ascii="宋体" w:hAnsi="宋体"/>
              </w:rPr>
            </w:pPr>
            <w:r>
              <w:rPr>
                <w:rFonts w:hint="eastAsia" w:ascii="宋体" w:hAnsi="宋体"/>
              </w:rPr>
              <w:t>合计</w:t>
            </w:r>
          </w:p>
        </w:tc>
        <w:tc>
          <w:tcPr>
            <w:tcW w:w="628" w:type="pct"/>
            <w:tcBorders>
              <w:top w:val="single" w:color="auto" w:sz="4" w:space="0"/>
              <w:left w:val="single" w:color="auto" w:sz="2" w:space="0"/>
              <w:bottom w:val="single" w:color="auto" w:sz="4" w:space="0"/>
              <w:right w:val="single" w:color="auto" w:sz="4" w:space="0"/>
            </w:tcBorders>
            <w:vAlign w:val="center"/>
          </w:tcPr>
          <w:p>
            <w:pPr>
              <w:jc w:val="right"/>
              <w:rPr>
                <w:rFonts w:ascii="宋体" w:hAnsi="宋体"/>
              </w:rPr>
            </w:pPr>
            <w:r>
              <w:rPr>
                <w:rFonts w:ascii="宋体" w:hAnsi="宋体"/>
              </w:rPr>
              <w:t>103,473,639</w:t>
            </w:r>
          </w:p>
        </w:tc>
        <w:tc>
          <w:tcPr>
            <w:tcW w:w="61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1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103,473,639</w:t>
            </w:r>
          </w:p>
        </w:tc>
        <w:tc>
          <w:tcPr>
            <w:tcW w:w="62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95,004,801</w:t>
            </w:r>
          </w:p>
        </w:tc>
        <w:tc>
          <w:tcPr>
            <w:tcW w:w="62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95,004,801</w:t>
            </w:r>
          </w:p>
        </w:tc>
      </w:tr>
    </w:tbl>
    <w:p>
      <w:pPr>
        <w:pStyle w:val="501"/>
      </w:pPr>
    </w:p>
    <w:p>
      <w:pPr>
        <w:pStyle w:val="505"/>
        <w:numPr>
          <w:ilvl w:val="0"/>
          <w:numId w:val="144"/>
        </w:numPr>
      </w:pPr>
      <w:r>
        <w:rPr>
          <w:rFonts w:hint="eastAsia"/>
        </w:rPr>
        <w:t>对子公司投资</w:t>
      </w:r>
    </w:p>
    <w:sdt>
      <w:sdtPr>
        <w:alias w:val="是否适用：母公司对子公司投资[双击切换]"/>
        <w:tag w:val="_GBC_db6ca6099b0a42bca0cbba7ead69557f"/>
        <w:id w:val="1233886963"/>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对子公司投资"/>
          <w:tag w:val="_GBC_744810ff600d4176af7d45c0bf0b7978"/>
          <w:id w:val="6420079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母公司财务附注：对子公司投资"/>
          <w:tag w:val="_GBC_d2f8249dd813484db8850cd3e6e60609"/>
          <w:id w:val="-20253850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309"/>
        <w:gridCol w:w="1184"/>
        <w:gridCol w:w="1120"/>
        <w:gridCol w:w="1266"/>
        <w:gridCol w:w="1120"/>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cs="宋体"/>
              <w:kern w:val="0"/>
              <w:szCs w:val="24"/>
            </w:rPr>
            <w:tag w:val="_PLD_43f5c326f4e64acb83b7062be90601f4"/>
            <w:id w:val="442498061"/>
          </w:sdtPr>
          <w:sdtEndPr>
            <w:rPr>
              <w:rFonts w:ascii="宋体" w:hAnsi="宋体" w:cs="宋体"/>
              <w:kern w:val="0"/>
              <w:szCs w:val="24"/>
            </w:rPr>
          </w:sdtEndPr>
          <w:sdtContent>
            <w:tc>
              <w:tcPr>
                <w:tcW w:w="9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4"/>
                  </w:rPr>
                </w:pPr>
                <w:r>
                  <w:rPr>
                    <w:rFonts w:hint="eastAsia" w:ascii="宋体" w:hAnsi="宋体" w:cs="宋体"/>
                    <w:kern w:val="0"/>
                    <w:szCs w:val="24"/>
                  </w:rPr>
                  <w:t>被投资单位</w:t>
                </w:r>
              </w:p>
            </w:tc>
          </w:sdtContent>
        </w:sdt>
        <w:sdt>
          <w:sdtPr>
            <w:rPr>
              <w:rFonts w:ascii="宋体" w:hAnsi="宋体" w:cs="宋体"/>
              <w:kern w:val="0"/>
              <w:szCs w:val="24"/>
            </w:rPr>
            <w:tag w:val="_PLD_bfc01ff1dea540d68a163c0b4f2658e7"/>
            <w:id w:val="-545217447"/>
          </w:sdtPr>
          <w:sdtEndPr>
            <w:rPr>
              <w:rFonts w:ascii="宋体" w:hAnsi="宋体" w:cs="宋体"/>
              <w:kern w:val="0"/>
              <w:szCs w:val="24"/>
            </w:rPr>
          </w:sdtEndPr>
          <w:sdtContent>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Cs w:val="24"/>
                  </w:rPr>
                </w:pPr>
                <w:r>
                  <w:rPr>
                    <w:rFonts w:hint="eastAsia" w:ascii="宋体" w:hAnsi="宋体" w:cs="宋体"/>
                    <w:kern w:val="0"/>
                    <w:szCs w:val="24"/>
                  </w:rPr>
                  <w:t>期初余额</w:t>
                </w:r>
              </w:p>
            </w:tc>
          </w:sdtContent>
        </w:sdt>
        <w:sdt>
          <w:sdtPr>
            <w:rPr>
              <w:rFonts w:ascii="宋体" w:hAnsi="宋体"/>
            </w:rPr>
            <w:tag w:val="_PLD_2868730cdc514c8c888f9e5fbbf1861b"/>
            <w:id w:val="1505862917"/>
          </w:sdtPr>
          <w:sdtEndPr>
            <w:rPr>
              <w:rFonts w:ascii="宋体" w:hAnsi="宋体"/>
            </w:rPr>
          </w:sdtEndPr>
          <w:sdtContent>
            <w:tc>
              <w:tcPr>
                <w:tcW w:w="6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本期增加</w:t>
                </w:r>
              </w:p>
            </w:tc>
          </w:sdtContent>
        </w:sdt>
        <w:sdt>
          <w:sdtPr>
            <w:rPr>
              <w:rFonts w:ascii="宋体" w:hAnsi="宋体"/>
            </w:rPr>
            <w:tag w:val="_PLD_53aab3e541434694890e1daaef86892e"/>
            <w:id w:val="486367240"/>
          </w:sdtPr>
          <w:sdtEndPr>
            <w:rPr>
              <w:rFonts w:ascii="宋体" w:hAnsi="宋体"/>
            </w:rPr>
          </w:sdtEndPr>
          <w:sdtContent>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本期减少</w:t>
                </w:r>
              </w:p>
            </w:tc>
          </w:sdtContent>
        </w:sdt>
        <w:sdt>
          <w:sdtPr>
            <w:rPr>
              <w:rFonts w:ascii="宋体" w:hAnsi="宋体"/>
            </w:rPr>
            <w:tag w:val="_PLD_eeaa6cf867964b44953ca6fa9f1417b3"/>
            <w:id w:val="1931386061"/>
          </w:sdtPr>
          <w:sdtEndPr>
            <w:rPr>
              <w:rFonts w:ascii="宋体" w:hAnsi="宋体"/>
            </w:rPr>
          </w:sdtEndPr>
          <w:sdtContent>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期末余额</w:t>
                </w:r>
              </w:p>
            </w:tc>
          </w:sdtContent>
        </w:sdt>
        <w:sdt>
          <w:sdtPr>
            <w:rPr>
              <w:rFonts w:ascii="宋体" w:hAnsi="宋体"/>
            </w:rPr>
            <w:tag w:val="_PLD_4365562ff41a4c1fbb543509a4ea61f6"/>
            <w:id w:val="-1044912341"/>
          </w:sdtPr>
          <w:sdtEndPr>
            <w:rPr>
              <w:rFonts w:ascii="宋体" w:hAnsi="宋体"/>
            </w:rPr>
          </w:sdtEndPr>
          <w:sdtContent>
            <w:tc>
              <w:tcPr>
                <w:tcW w:w="6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本期计提减值准备</w:t>
                </w:r>
              </w:p>
            </w:tc>
          </w:sdtContent>
        </w:sdt>
        <w:sdt>
          <w:sdtPr>
            <w:rPr>
              <w:rFonts w:ascii="宋体" w:hAnsi="宋体"/>
            </w:rPr>
            <w:tag w:val="_PLD_1d05d35b40794516842b0264b05f0a95"/>
            <w:id w:val="-1208101134"/>
          </w:sdtPr>
          <w:sdtEndPr>
            <w:rPr>
              <w:rFonts w:ascii="宋体" w:hAnsi="宋体"/>
            </w:rPr>
          </w:sdtEndPr>
          <w:sdtContent>
            <w:tc>
              <w:tcPr>
                <w:tcW w:w="6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4"/>
              </w:rPr>
            </w:pPr>
            <w:r>
              <w:rPr>
                <w:rFonts w:hint="eastAsia" w:ascii="宋体" w:hAnsi="宋体" w:cs="宋体"/>
                <w:kern w:val="0"/>
                <w:szCs w:val="24"/>
              </w:rPr>
              <w:t>兖矿集团(鄂尔多斯)有限公司</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8,562,335</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122,190</w:t>
            </w:r>
          </w:p>
        </w:tc>
        <w:tc>
          <w:tcPr>
            <w:tcW w:w="6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8,440,145</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4"/>
              </w:rPr>
            </w:pPr>
            <w:r>
              <w:rPr>
                <w:rFonts w:hint="eastAsia" w:ascii="宋体" w:hAnsi="宋体" w:cs="宋体"/>
                <w:kern w:val="0"/>
                <w:szCs w:val="24"/>
              </w:rPr>
              <w:t>内蒙古昊盛煤业有限公司</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7,498,416</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416,916</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7,915,332</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4"/>
              </w:rPr>
            </w:pPr>
            <w:r>
              <w:rPr>
                <w:rFonts w:hint="eastAsia" w:ascii="宋体" w:hAnsi="宋体" w:cs="宋体"/>
                <w:kern w:val="0"/>
                <w:szCs w:val="24"/>
              </w:rPr>
              <w:t>兖煤菏泽能化有限公司</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2,924,344</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2,924,344</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4"/>
              </w:rPr>
            </w:pPr>
            <w:r>
              <w:rPr>
                <w:rFonts w:hint="eastAsia" w:ascii="宋体" w:hAnsi="宋体" w:cs="宋体"/>
                <w:kern w:val="0"/>
                <w:szCs w:val="24"/>
              </w:rPr>
              <w:t>兖州煤业榆林能化有限公司</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1,400,000</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1,400,000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4"/>
              </w:rPr>
            </w:pPr>
            <w:r>
              <w:rPr>
                <w:rFonts w:hint="eastAsia" w:ascii="宋体" w:hAnsi="宋体" w:cs="宋体"/>
                <w:kern w:val="0"/>
                <w:szCs w:val="24"/>
              </w:rPr>
              <w:t>兖州煤业山西能化有限公司</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508,206</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73,180</w:t>
            </w:r>
          </w:p>
        </w:tc>
        <w:tc>
          <w:tcPr>
            <w:tcW w:w="6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435,026</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4"/>
              </w:rPr>
            </w:pPr>
            <w:r>
              <w:rPr>
                <w:rFonts w:hint="eastAsia" w:ascii="宋体" w:hAnsi="宋体" w:cs="宋体"/>
                <w:kern w:val="0"/>
                <w:szCs w:val="24"/>
              </w:rPr>
              <w:t>山东华聚能源股份有限公司</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599,523</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599,523</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4"/>
              </w:rPr>
            </w:pPr>
            <w:r>
              <w:rPr>
                <w:rFonts w:hint="eastAsia" w:ascii="宋体" w:hAnsi="宋体" w:cs="宋体"/>
                <w:kern w:val="0"/>
                <w:szCs w:val="24"/>
              </w:rPr>
              <w:t>山东兖煤日照港储配煤有限公司</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209,240</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209,240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4"/>
              </w:rPr>
            </w:pPr>
            <w:r>
              <w:rPr>
                <w:rFonts w:hint="eastAsia" w:ascii="宋体" w:hAnsi="宋体" w:cs="宋体"/>
                <w:kern w:val="0"/>
                <w:szCs w:val="24"/>
              </w:rPr>
              <w:t>兖煤国际（控股）有限公司</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4,212,512</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4,212,512</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4"/>
              </w:rPr>
            </w:pPr>
            <w:r>
              <w:rPr>
                <w:rFonts w:hint="eastAsia" w:ascii="宋体" w:hAnsi="宋体" w:cs="宋体"/>
                <w:kern w:val="0"/>
                <w:szCs w:val="24"/>
              </w:rPr>
              <w:t>兖州煤业澳大利亚有限公司</w:t>
            </w:r>
          </w:p>
        </w:tc>
        <w:tc>
          <w:tcPr>
            <w:tcW w:w="75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21,425,119</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21,425,119</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山东兖煤航运有限公司</w:t>
            </w:r>
          </w:p>
        </w:tc>
        <w:tc>
          <w:tcPr>
            <w:tcW w:w="751" w:type="pct"/>
            <w:tcBorders>
              <w:top w:val="single" w:color="auto" w:sz="4"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10,576</w:t>
            </w:r>
          </w:p>
        </w:tc>
        <w:tc>
          <w:tcPr>
            <w:tcW w:w="680" w:type="pct"/>
            <w:tcBorders>
              <w:top w:val="single" w:color="auto" w:sz="4"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4"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4"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10,576</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山东中鼎云联科技有限公司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51,000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51,000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青岛中兖贸易有限公司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53,012</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53,012</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兖矿能源（无锡）有限公司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131,933</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131,933</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兖矿融资租赁有限公司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5,235,000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5,235,000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兖矿东华重工有限公司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2,154,477</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300</w:t>
            </w: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2,154,177</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山东端信供应链管理有限公司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200,000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200,000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兖煤矿业工程有限公司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85,200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85,200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兖煤蓝天清洁能源有限公司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306,790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306,790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端信投资控股（深圳）有限公司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1,100,000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1,100,000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端信投资控股(北京)有限公司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4,060,000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4,060,000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兖矿瑞丰国际贸易有限公司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102,000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102,000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兖矿能源集团国际贸易有限公司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300,000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300,000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上海巨匠资产管理有限公司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500,000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500,000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兖矿东平陆港有限公司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60,000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60,000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山东能源集团财务有限公司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4,948,236</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4,948,236</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兖矿鲁南化工有限公司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5,777,879</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5,777,879</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兖矿煤化供销有限公司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91,198</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91,198</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兖矿榆林精细化工有限公司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168,218</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168,218</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陕西未来能源化工有限公司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8,137,346</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8,137,346</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兖矿济宁化工装备有限公司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55,724</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55,724</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山东兖矿济三电力有限公司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616,352</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616,352</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内蒙古矿业（集团）有限责任公司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3,962,290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3,962,290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兖矿智慧生态有限责任公司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80,000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80,000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青岛端信资产管理有限公司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404,230</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95,770</w:t>
            </w: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500,000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兖矿铁路物流有限公司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2,570,596</w:t>
            </w: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872,190</w:t>
            </w: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 xml:space="preserve">3,442,786 </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山东能源集团鲁西矿业有限公司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5,073,898</w:t>
            </w: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5,073,898</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兖矿新疆能化有限公司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940,931</w:t>
            </w: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940,931</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山西和顺天池能源有限责任公司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73,180</w:t>
            </w: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73,180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兖矿煤化工程有限公司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14,465</w:t>
            </w: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14,465</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2" w:space="0"/>
            </w:tcBorders>
            <w:vAlign w:val="center"/>
          </w:tcPr>
          <w:p>
            <w:pPr>
              <w:widowControl/>
              <w:jc w:val="left"/>
              <w:rPr>
                <w:rFonts w:ascii="宋体" w:hAnsi="宋体" w:cs="宋体"/>
                <w:kern w:val="0"/>
                <w:szCs w:val="24"/>
              </w:rPr>
            </w:pPr>
            <w:r>
              <w:rPr>
                <w:rFonts w:hint="eastAsia" w:ascii="宋体" w:hAnsi="宋体" w:cs="宋体"/>
                <w:kern w:val="0"/>
                <w:szCs w:val="24"/>
              </w:rPr>
              <w:t>邹城诚验材料检测试验有限公司</w:t>
            </w:r>
          </w:p>
        </w:tc>
        <w:tc>
          <w:tcPr>
            <w:tcW w:w="751"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8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300</w:t>
            </w:r>
          </w:p>
        </w:tc>
        <w:tc>
          <w:tcPr>
            <w:tcW w:w="643"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rPr>
            </w:pPr>
            <w:r>
              <w:rPr>
                <w:rFonts w:ascii="宋体" w:hAnsi="宋体"/>
              </w:rPr>
              <w:t>300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pStyle w:val="531"/>
            </w:pPr>
            <w:r>
              <w:rPr>
                <w:rFonts w:hint="eastAsia"/>
              </w:rPr>
              <w:t>山东能源大厦上海有限公司</w:t>
            </w:r>
          </w:p>
        </w:tc>
        <w:tc>
          <w:tcPr>
            <w:tcW w:w="751"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rPr>
            </w:pPr>
          </w:p>
        </w:tc>
        <w:tc>
          <w:tcPr>
            <w:tcW w:w="680"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rPr>
            </w:pPr>
            <w:r>
              <w:rPr>
                <w:rFonts w:ascii="宋体" w:hAnsi="宋体"/>
              </w:rPr>
              <w:t>686,930</w:t>
            </w:r>
          </w:p>
        </w:tc>
        <w:tc>
          <w:tcPr>
            <w:tcW w:w="643"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rPr>
            </w:pPr>
          </w:p>
        </w:tc>
        <w:tc>
          <w:tcPr>
            <w:tcW w:w="665"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rPr>
            </w:pPr>
            <w:r>
              <w:rPr>
                <w:rFonts w:ascii="宋体" w:hAnsi="宋体"/>
              </w:rPr>
              <w:t>686,930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合计</w:t>
            </w:r>
          </w:p>
        </w:tc>
        <w:tc>
          <w:tcPr>
            <w:tcW w:w="751" w:type="pct"/>
            <w:tcBorders>
              <w:top w:val="single" w:color="auto" w:sz="4" w:space="0"/>
              <w:left w:val="single" w:color="auto" w:sz="2" w:space="0"/>
              <w:bottom w:val="single" w:color="auto" w:sz="4" w:space="0"/>
              <w:right w:val="single" w:color="auto" w:sz="4" w:space="0"/>
            </w:tcBorders>
            <w:vAlign w:val="center"/>
          </w:tcPr>
          <w:p>
            <w:pPr>
              <w:jc w:val="right"/>
              <w:rPr>
                <w:rFonts w:ascii="宋体" w:hAnsi="宋体"/>
              </w:rPr>
            </w:pPr>
            <w:r>
              <w:rPr>
                <w:rFonts w:ascii="宋体" w:hAnsi="宋体"/>
              </w:rPr>
              <w:t>88,501,752</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8,174,580</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195,670</w:t>
            </w:r>
          </w:p>
        </w:tc>
        <w:tc>
          <w:tcPr>
            <w:tcW w:w="6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r>
              <w:rPr>
                <w:rFonts w:ascii="宋体" w:hAnsi="宋体"/>
              </w:rPr>
              <w:t>96,480,662</w:t>
            </w:r>
          </w:p>
        </w:tc>
        <w:tc>
          <w:tcPr>
            <w:tcW w:w="6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641"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bl>
    <w:p>
      <w:pPr>
        <w:sectPr>
          <w:pgSz w:w="11906" w:h="16838"/>
          <w:pgMar w:top="1525" w:right="1276" w:bottom="1440" w:left="1797" w:header="856" w:footer="992" w:gutter="0"/>
          <w:cols w:space="425" w:num="1"/>
          <w:docGrid w:type="lines" w:linePitch="312" w:charSpace="0"/>
        </w:sectPr>
      </w:pPr>
    </w:p>
    <w:p>
      <w:pPr>
        <w:pStyle w:val="505"/>
        <w:numPr>
          <w:ilvl w:val="0"/>
          <w:numId w:val="144"/>
        </w:numPr>
      </w:pPr>
      <w:r>
        <w:rPr>
          <w:rFonts w:hint="eastAsia"/>
        </w:rPr>
        <w:t>对联营、合营企业投资</w:t>
      </w:r>
    </w:p>
    <w:sdt>
      <w:sdtPr>
        <w:alias w:val="是否适用：母公司对联营、合营企业投资[双击切换]"/>
        <w:tag w:val="_GBC_2e4760cb979247e69579530b3868e897"/>
        <w:id w:val="1605536744"/>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对联营、合营企业投资"/>
          <w:tag w:val="_GBC_ccad125c53784121bdbf82967e585280"/>
          <w:id w:val="-18727668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母公司财务附注：对联营、合营企业投资"/>
          <w:tag w:val="_GBC_f572fc517d504bef8d5942b395a68d39"/>
          <w:id w:val="-10368126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994"/>
        <w:gridCol w:w="850"/>
        <w:gridCol w:w="568"/>
        <w:gridCol w:w="1133"/>
        <w:gridCol w:w="1135"/>
        <w:gridCol w:w="1036"/>
        <w:gridCol w:w="1091"/>
        <w:gridCol w:w="850"/>
        <w:gridCol w:w="850"/>
        <w:gridCol w:w="1133"/>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宋体" w:hAnsi="宋体"/>
              <w:spacing w:val="-20"/>
            </w:rPr>
            <w:tag w:val="_PLD_cddf860d624b41069bef0850b92b7db2"/>
            <w:id w:val="-1358583498"/>
          </w:sdtPr>
          <w:sdtEndPr>
            <w:rPr>
              <w:rFonts w:ascii="宋体" w:hAnsi="宋体"/>
              <w:spacing w:val="-20"/>
            </w:rPr>
          </w:sdtEndPr>
          <w:sdtContent>
            <w:tc>
              <w:tcPr>
                <w:tcW w:w="1176"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投资</w:t>
                </w:r>
              </w:p>
              <w:p>
                <w:pPr>
                  <w:jc w:val="center"/>
                  <w:rPr>
                    <w:rFonts w:ascii="宋体" w:hAnsi="宋体"/>
                    <w:spacing w:val="-20"/>
                  </w:rPr>
                </w:pPr>
                <w:r>
                  <w:rPr>
                    <w:rFonts w:hint="eastAsia" w:ascii="宋体" w:hAnsi="宋体"/>
                    <w:spacing w:val="-20"/>
                  </w:rPr>
                  <w:t>单位</w:t>
                </w:r>
              </w:p>
            </w:tc>
          </w:sdtContent>
        </w:sdt>
        <w:sdt>
          <w:sdtPr>
            <w:rPr>
              <w:rFonts w:ascii="宋体" w:hAnsi="宋体"/>
              <w:spacing w:val="-20"/>
            </w:rPr>
            <w:tag w:val="_PLD_1e9893e3e3854470a87271f1c7db6cdb"/>
            <w:id w:val="-436442975"/>
          </w:sdtPr>
          <w:sdtEndPr>
            <w:rPr>
              <w:rFonts w:ascii="宋体" w:hAnsi="宋体"/>
              <w:spacing w:val="-20"/>
            </w:rPr>
          </w:sdtEndPr>
          <w:sdtContent>
            <w:tc>
              <w:tcPr>
                <w:tcW w:w="359"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期初</w:t>
                </w:r>
              </w:p>
              <w:p>
                <w:pPr>
                  <w:jc w:val="center"/>
                  <w:rPr>
                    <w:rFonts w:ascii="宋体" w:hAnsi="宋体"/>
                    <w:spacing w:val="-20"/>
                  </w:rPr>
                </w:pPr>
                <w:r>
                  <w:rPr>
                    <w:rFonts w:hint="eastAsia" w:ascii="宋体" w:hAnsi="宋体"/>
                    <w:spacing w:val="-20"/>
                  </w:rPr>
                  <w:t>余额</w:t>
                </w:r>
              </w:p>
            </w:tc>
          </w:sdtContent>
        </w:sdt>
        <w:sdt>
          <w:sdtPr>
            <w:rPr>
              <w:rFonts w:ascii="宋体" w:hAnsi="宋体"/>
              <w:spacing w:val="-20"/>
            </w:rPr>
            <w:tag w:val="_PLD_51e202fa7d4541e8b1073ad1aab00e23"/>
            <w:id w:val="1301340159"/>
          </w:sdtPr>
          <w:sdtEndPr>
            <w:rPr>
              <w:rFonts w:ascii="宋体" w:hAnsi="宋体"/>
              <w:spacing w:val="-20"/>
            </w:rPr>
          </w:sdtEndPr>
          <w:sdtContent>
            <w:tc>
              <w:tcPr>
                <w:tcW w:w="2713"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本期增减变动</w:t>
                </w:r>
              </w:p>
            </w:tc>
          </w:sdtContent>
        </w:sdt>
        <w:sdt>
          <w:sdtPr>
            <w:rPr>
              <w:rFonts w:ascii="宋体" w:hAnsi="宋体"/>
              <w:spacing w:val="-20"/>
            </w:rPr>
            <w:tag w:val="_PLD_fb68ab3bfe254cb4ac4728b9c324a1ea"/>
            <w:id w:val="-1232307121"/>
          </w:sdtPr>
          <w:sdtEndPr>
            <w:rPr>
              <w:rFonts w:ascii="宋体" w:hAnsi="宋体"/>
              <w:spacing w:val="-20"/>
            </w:rPr>
          </w:sdtEndPr>
          <w:sdtContent>
            <w:tc>
              <w:tcPr>
                <w:tcW w:w="409"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期末</w:t>
                </w:r>
              </w:p>
              <w:p>
                <w:pPr>
                  <w:jc w:val="center"/>
                  <w:rPr>
                    <w:rFonts w:ascii="宋体" w:hAnsi="宋体"/>
                    <w:spacing w:val="-20"/>
                  </w:rPr>
                </w:pPr>
                <w:r>
                  <w:rPr>
                    <w:rFonts w:hint="eastAsia" w:ascii="宋体" w:hAnsi="宋体"/>
                    <w:spacing w:val="-20"/>
                  </w:rPr>
                  <w:t>余额</w:t>
                </w:r>
              </w:p>
            </w:tc>
          </w:sdtContent>
        </w:sdt>
        <w:sdt>
          <w:sdtPr>
            <w:rPr>
              <w:rFonts w:ascii="宋体" w:hAnsi="宋体"/>
              <w:spacing w:val="-20"/>
            </w:rPr>
            <w:tag w:val="_PLD_79ea6426597c4707b961bbd96c8cf19f"/>
            <w:id w:val="782303155"/>
          </w:sdtPr>
          <w:sdtEndPr>
            <w:rPr>
              <w:rFonts w:ascii="宋体" w:hAnsi="宋体"/>
              <w:spacing w:val="-20"/>
            </w:rPr>
          </w:sdtEndPr>
          <w:sdtContent>
            <w:tc>
              <w:tcPr>
                <w:tcW w:w="343" w:type="pct"/>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vMerge w:val="continue"/>
            <w:tcBorders>
              <w:left w:val="single" w:color="auto" w:sz="4" w:space="0"/>
              <w:bottom w:val="single" w:color="auto" w:sz="4" w:space="0"/>
              <w:right w:val="single" w:color="auto" w:sz="4" w:space="0"/>
            </w:tcBorders>
            <w:shd w:val="clear" w:color="auto" w:fill="auto"/>
          </w:tcPr>
          <w:p>
            <w:pPr>
              <w:jc w:val="center"/>
              <w:rPr>
                <w:rFonts w:ascii="宋体" w:hAnsi="宋体"/>
                <w:spacing w:val="-20"/>
              </w:rPr>
            </w:pPr>
          </w:p>
        </w:tc>
        <w:tc>
          <w:tcPr>
            <w:tcW w:w="359" w:type="pct"/>
            <w:vMerge w:val="continue"/>
            <w:tcBorders>
              <w:left w:val="single" w:color="auto" w:sz="4" w:space="0"/>
              <w:bottom w:val="single" w:color="auto" w:sz="4" w:space="0"/>
              <w:right w:val="single" w:color="auto" w:sz="4" w:space="0"/>
            </w:tcBorders>
            <w:shd w:val="clear" w:color="auto" w:fill="auto"/>
          </w:tcPr>
          <w:p>
            <w:pPr>
              <w:jc w:val="center"/>
              <w:rPr>
                <w:rFonts w:ascii="宋体" w:hAnsi="宋体"/>
                <w:spacing w:val="-20"/>
              </w:rPr>
            </w:pPr>
          </w:p>
        </w:tc>
        <w:sdt>
          <w:sdtPr>
            <w:rPr>
              <w:rFonts w:ascii="宋体" w:hAnsi="宋体"/>
              <w:spacing w:val="-20"/>
            </w:rPr>
            <w:tag w:val="_PLD_759fe0f59b6046308988b932a5f90e06"/>
            <w:id w:val="-317114397"/>
          </w:sdtPr>
          <w:sdtEndPr>
            <w:rPr>
              <w:rFonts w:ascii="宋体" w:hAnsi="宋体"/>
              <w:spacing w:val="-20"/>
            </w:rPr>
          </w:sdtEndPr>
          <w:sdtContent>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追加投资</w:t>
                </w:r>
              </w:p>
            </w:tc>
          </w:sdtContent>
        </w:sdt>
        <w:sdt>
          <w:sdtPr>
            <w:rPr>
              <w:rFonts w:ascii="宋体" w:hAnsi="宋体"/>
              <w:spacing w:val="-20"/>
            </w:rPr>
            <w:tag w:val="_PLD_6f033bedb79a4bd7bc36dc52845a5ea0"/>
            <w:id w:val="1443493182"/>
          </w:sdtPr>
          <w:sdtEndPr>
            <w:rPr>
              <w:rFonts w:ascii="宋体" w:hAnsi="宋体"/>
              <w:spacing w:val="-20"/>
            </w:rPr>
          </w:sdtEndPr>
          <w:sdtContent>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减少投资</w:t>
                </w:r>
              </w:p>
            </w:tc>
          </w:sdtContent>
        </w:sdt>
        <w:sdt>
          <w:sdtPr>
            <w:rPr>
              <w:rFonts w:ascii="宋体" w:hAnsi="宋体"/>
              <w:spacing w:val="-20"/>
            </w:rPr>
            <w:tag w:val="_PLD_67e4baac3d05451d940d328c18f19014"/>
            <w:id w:val="-1503262200"/>
          </w:sdtPr>
          <w:sdtEndPr>
            <w:rPr>
              <w:rFonts w:ascii="宋体" w:hAnsi="宋体"/>
              <w:spacing w:val="-20"/>
            </w:rPr>
          </w:sdtEndPr>
          <w:sdtContent>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权益法下确认的投资损益</w:t>
                </w:r>
              </w:p>
            </w:tc>
          </w:sdtContent>
        </w:sdt>
        <w:sdt>
          <w:sdtPr>
            <w:rPr>
              <w:rFonts w:ascii="宋体" w:hAnsi="宋体"/>
              <w:spacing w:val="-20"/>
            </w:rPr>
            <w:tag w:val="_PLD_700419003e5b4596b973710043374374"/>
            <w:id w:val="485598799"/>
          </w:sdtPr>
          <w:sdtEndPr>
            <w:rPr>
              <w:rFonts w:ascii="宋体" w:hAnsi="宋体"/>
              <w:spacing w:val="-20"/>
            </w:rPr>
          </w:sdtEndPr>
          <w:sdtContent>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其他综合收益调整</w:t>
                </w:r>
              </w:p>
            </w:tc>
          </w:sdtContent>
        </w:sdt>
        <w:sdt>
          <w:sdtPr>
            <w:rPr>
              <w:rFonts w:ascii="宋体" w:hAnsi="宋体"/>
              <w:spacing w:val="-20"/>
            </w:rPr>
            <w:tag w:val="_PLD_9318c7f257d249e0a0b9bf70263601d5"/>
            <w:id w:val="-2004431269"/>
          </w:sdtPr>
          <w:sdtEndPr>
            <w:rPr>
              <w:rFonts w:ascii="宋体" w:hAnsi="宋体"/>
              <w:spacing w:val="-20"/>
            </w:rPr>
          </w:sdtEndPr>
          <w:sdtContent>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其他权益变动</w:t>
                </w:r>
              </w:p>
            </w:tc>
          </w:sdtContent>
        </w:sdt>
        <w:sdt>
          <w:sdtPr>
            <w:rPr>
              <w:rFonts w:ascii="宋体" w:hAnsi="宋体"/>
              <w:spacing w:val="-20"/>
            </w:rPr>
            <w:tag w:val="_PLD_efb3a8c8f6b64ad1a5fbb4cf67eb4c96"/>
            <w:id w:val="-416787061"/>
          </w:sdtPr>
          <w:sdtEndPr>
            <w:rPr>
              <w:rFonts w:ascii="宋体" w:hAnsi="宋体"/>
              <w:spacing w:val="-20"/>
            </w:rPr>
          </w:sdtEndPr>
          <w:sdtContent>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宣告发放现金股利或利润</w:t>
                </w:r>
              </w:p>
            </w:tc>
          </w:sdtContent>
        </w:sdt>
        <w:sdt>
          <w:sdtPr>
            <w:rPr>
              <w:rFonts w:ascii="宋体" w:hAnsi="宋体"/>
              <w:spacing w:val="-20"/>
            </w:rPr>
            <w:tag w:val="_PLD_2cc45ca82119420bb4d261a3eb788ba0"/>
            <w:id w:val="-80144245"/>
          </w:sdtPr>
          <w:sdtEndPr>
            <w:rPr>
              <w:rFonts w:ascii="宋体" w:hAnsi="宋体"/>
              <w:spacing w:val="-20"/>
            </w:rPr>
          </w:sdtEndPr>
          <w:sdtContent>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计提减值准备</w:t>
                </w:r>
              </w:p>
            </w:tc>
          </w:sdtContent>
        </w:sdt>
        <w:sdt>
          <w:sdtPr>
            <w:rPr>
              <w:rFonts w:ascii="宋体" w:hAnsi="宋体"/>
              <w:spacing w:val="-20"/>
            </w:rPr>
            <w:tag w:val="_PLD_85d3aa0f514447b38d92097f7a30e385"/>
            <w:id w:val="-765155807"/>
          </w:sdtPr>
          <w:sdtEndPr>
            <w:rPr>
              <w:rFonts w:ascii="宋体" w:hAnsi="宋体"/>
              <w:spacing w:val="-20"/>
            </w:rPr>
          </w:sdtEndPr>
          <w:sdtContent>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rPr>
                </w:pPr>
                <w:r>
                  <w:rPr>
                    <w:rFonts w:hint="eastAsia" w:ascii="宋体" w:hAnsi="宋体"/>
                    <w:spacing w:val="-20"/>
                  </w:rPr>
                  <w:t>其他</w:t>
                </w:r>
              </w:p>
            </w:tc>
          </w:sdtContent>
        </w:sdt>
        <w:tc>
          <w:tcPr>
            <w:tcW w:w="409" w:type="pct"/>
            <w:vMerge w:val="continue"/>
            <w:tcBorders>
              <w:left w:val="single" w:color="auto" w:sz="4" w:space="0"/>
              <w:bottom w:val="single" w:color="auto" w:sz="4" w:space="0"/>
              <w:right w:val="single" w:color="auto" w:sz="4" w:space="0"/>
            </w:tcBorders>
            <w:shd w:val="clear" w:color="auto" w:fill="auto"/>
          </w:tcPr>
          <w:p>
            <w:pPr>
              <w:jc w:val="center"/>
              <w:rPr>
                <w:rFonts w:ascii="宋体" w:hAnsi="宋体"/>
                <w:spacing w:val="-20"/>
              </w:rPr>
            </w:pPr>
          </w:p>
        </w:tc>
        <w:tc>
          <w:tcPr>
            <w:tcW w:w="343" w:type="pct"/>
            <w:vMerge w:val="continue"/>
            <w:tcBorders>
              <w:left w:val="single" w:color="auto" w:sz="4" w:space="0"/>
              <w:bottom w:val="single" w:color="auto" w:sz="4" w:space="0"/>
              <w:right w:val="single" w:color="auto" w:sz="4" w:space="0"/>
            </w:tcBorders>
            <w:shd w:val="clear" w:color="auto" w:fill="auto"/>
          </w:tcPr>
          <w:p>
            <w:pPr>
              <w:jc w:val="center"/>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spacing w:val="-20"/>
            </w:rPr>
            <w:tag w:val="_PLD_b5de7a3b12554dad8d8701df843651f7"/>
            <w:id w:val="-1573343845"/>
          </w:sdtPr>
          <w:sdtEndPr>
            <w:rPr>
              <w:rFonts w:ascii="宋体" w:hAnsi="宋体"/>
              <w:spacing w:val="-20"/>
            </w:rPr>
          </w:sdtEnd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rPr>
                    <w:rFonts w:ascii="宋体" w:hAnsi="宋体"/>
                    <w:spacing w:val="-20"/>
                  </w:rPr>
                </w:pPr>
                <w:r>
                  <w:rPr>
                    <w:rFonts w:hint="eastAsia" w:ascii="宋体" w:hAnsi="宋体"/>
                    <w:spacing w:val="-20"/>
                  </w:rPr>
                  <w:t>一、合营企业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圣地芬雷选煤工程技术（天津）有限公司</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35,735</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1,679</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37,414</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小计</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35,735</w:t>
            </w: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20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1,679</w:t>
            </w:r>
          </w:p>
        </w:tc>
        <w:tc>
          <w:tcPr>
            <w:tcW w:w="41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r>
              <w:rPr>
                <w:rFonts w:ascii="宋体" w:hAnsi="宋体"/>
                <w:spacing w:val="-20"/>
              </w:rPr>
              <w:t>37,414</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spacing w:val="-20"/>
            </w:rPr>
            <w:tag w:val="_PLD_473021cffa734643a0c35649ee4b5043"/>
            <w:id w:val="-2043360307"/>
          </w:sdtPr>
          <w:sdtEndPr>
            <w:rPr>
              <w:rFonts w:ascii="宋体" w:hAnsi="宋体"/>
              <w:spacing w:val="-20"/>
            </w:rPr>
          </w:sdtEnd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spacing w:val="-20"/>
                  </w:rPr>
                </w:pPr>
                <w:r>
                  <w:rPr>
                    <w:rFonts w:hint="eastAsia" w:ascii="宋体" w:hAnsi="宋体"/>
                    <w:spacing w:val="-20"/>
                  </w:rPr>
                  <w:t>二、联营企业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2" w:space="0"/>
            </w:tcBorders>
            <w:vAlign w:val="center"/>
          </w:tcPr>
          <w:p>
            <w:pPr>
              <w:rPr>
                <w:rFonts w:ascii="宋体" w:hAnsi="宋体"/>
                <w:spacing w:val="-20"/>
              </w:rPr>
            </w:pPr>
            <w:r>
              <w:rPr>
                <w:rFonts w:hint="eastAsia" w:ascii="宋体" w:hAnsi="宋体"/>
                <w:spacing w:val="-20"/>
              </w:rPr>
              <w:t>华电邹县发电有限公司</w:t>
            </w:r>
          </w:p>
        </w:tc>
        <w:tc>
          <w:tcPr>
            <w:tcW w:w="35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984,543</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107,087</w:t>
            </w:r>
          </w:p>
        </w:tc>
        <w:tc>
          <w:tcPr>
            <w:tcW w:w="41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7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4,322</w:t>
            </w:r>
          </w:p>
        </w:tc>
        <w:tc>
          <w:tcPr>
            <w:tcW w:w="39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1,095,952</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2" w:space="0"/>
            </w:tcBorders>
            <w:vAlign w:val="center"/>
          </w:tcPr>
          <w:p>
            <w:pPr>
              <w:rPr>
                <w:rFonts w:ascii="宋体" w:hAnsi="宋体"/>
                <w:spacing w:val="-20"/>
              </w:rPr>
            </w:pPr>
            <w:r>
              <w:rPr>
                <w:rFonts w:hint="eastAsia" w:ascii="宋体" w:hAnsi="宋体"/>
                <w:spacing w:val="-20"/>
              </w:rPr>
              <w:t>上海中期期货股份有限公司（注）</w:t>
            </w:r>
          </w:p>
        </w:tc>
        <w:tc>
          <w:tcPr>
            <w:tcW w:w="35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725,696</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1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7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9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2" w:space="0"/>
            </w:tcBorders>
            <w:vAlign w:val="center"/>
          </w:tcPr>
          <w:p>
            <w:pPr>
              <w:rPr>
                <w:rFonts w:ascii="宋体" w:hAnsi="宋体"/>
                <w:spacing w:val="-20"/>
              </w:rPr>
            </w:pPr>
            <w:r>
              <w:rPr>
                <w:rFonts w:hint="eastAsia" w:ascii="宋体" w:hAnsi="宋体"/>
                <w:spacing w:val="-20"/>
              </w:rPr>
              <w:t>齐鲁银行股份有限公司（注）</w:t>
            </w:r>
          </w:p>
        </w:tc>
        <w:tc>
          <w:tcPr>
            <w:tcW w:w="35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2,269,764</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1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7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9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2" w:space="0"/>
            </w:tcBorders>
            <w:vAlign w:val="center"/>
          </w:tcPr>
          <w:p>
            <w:pPr>
              <w:rPr>
                <w:rFonts w:ascii="宋体" w:hAnsi="宋体"/>
                <w:spacing w:val="-20"/>
              </w:rPr>
            </w:pPr>
            <w:r>
              <w:rPr>
                <w:rFonts w:hint="eastAsia" w:ascii="宋体" w:hAnsi="宋体"/>
                <w:spacing w:val="-20"/>
              </w:rPr>
              <w:t>临商银行股份有限公司</w:t>
            </w:r>
          </w:p>
        </w:tc>
        <w:tc>
          <w:tcPr>
            <w:tcW w:w="35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2,078,655</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68,417</w:t>
            </w:r>
          </w:p>
        </w:tc>
        <w:tc>
          <w:tcPr>
            <w:tcW w:w="41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9,687</w:t>
            </w:r>
          </w:p>
        </w:tc>
        <w:tc>
          <w:tcPr>
            <w:tcW w:w="37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9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2,156,759</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2" w:space="0"/>
            </w:tcBorders>
            <w:vAlign w:val="center"/>
          </w:tcPr>
          <w:p>
            <w:pPr>
              <w:rPr>
                <w:rFonts w:ascii="宋体" w:hAnsi="宋体"/>
                <w:spacing w:val="-20"/>
              </w:rPr>
            </w:pPr>
            <w:r>
              <w:rPr>
                <w:rFonts w:hint="eastAsia" w:ascii="宋体" w:hAnsi="宋体"/>
                <w:spacing w:val="-20"/>
              </w:rPr>
              <w:t>山东省东岳泰恒发展有限公司</w:t>
            </w:r>
          </w:p>
        </w:tc>
        <w:tc>
          <w:tcPr>
            <w:tcW w:w="35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242,069</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2,661</w:t>
            </w:r>
          </w:p>
        </w:tc>
        <w:tc>
          <w:tcPr>
            <w:tcW w:w="41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7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9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244,730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2" w:space="0"/>
            </w:tcBorders>
            <w:vAlign w:val="center"/>
          </w:tcPr>
          <w:p>
            <w:pPr>
              <w:rPr>
                <w:rFonts w:ascii="宋体" w:hAnsi="宋体"/>
                <w:spacing w:val="-20"/>
              </w:rPr>
            </w:pPr>
            <w:r>
              <w:rPr>
                <w:rFonts w:hint="eastAsia" w:ascii="宋体" w:hAnsi="宋体"/>
                <w:spacing w:val="-20"/>
              </w:rPr>
              <w:t>山东能源（海南）智慧国际科技有限公司</w:t>
            </w:r>
          </w:p>
        </w:tc>
        <w:tc>
          <w:tcPr>
            <w:tcW w:w="35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96,391</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-4,186</w:t>
            </w:r>
          </w:p>
        </w:tc>
        <w:tc>
          <w:tcPr>
            <w:tcW w:w="41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5,056</w:t>
            </w:r>
          </w:p>
        </w:tc>
        <w:tc>
          <w:tcPr>
            <w:tcW w:w="37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-15,498</w:t>
            </w:r>
          </w:p>
        </w:tc>
        <w:tc>
          <w:tcPr>
            <w:tcW w:w="39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81,763</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2" w:space="0"/>
            </w:tcBorders>
            <w:vAlign w:val="center"/>
          </w:tcPr>
          <w:p>
            <w:pPr>
              <w:rPr>
                <w:rFonts w:ascii="宋体" w:hAnsi="宋体"/>
                <w:spacing w:val="-20"/>
              </w:rPr>
            </w:pPr>
            <w:r>
              <w:rPr>
                <w:rFonts w:hint="eastAsia" w:ascii="宋体" w:hAnsi="宋体"/>
                <w:spacing w:val="-20"/>
              </w:rPr>
              <w:t>德伯特机械(山东)有限公司</w:t>
            </w:r>
          </w:p>
        </w:tc>
        <w:tc>
          <w:tcPr>
            <w:tcW w:w="35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17,451</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2,864</w:t>
            </w:r>
          </w:p>
        </w:tc>
        <w:tc>
          <w:tcPr>
            <w:tcW w:w="41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7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9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20,315</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2" w:space="0"/>
            </w:tcBorders>
            <w:vAlign w:val="center"/>
          </w:tcPr>
          <w:p>
            <w:pPr>
              <w:rPr>
                <w:rFonts w:ascii="宋体" w:hAnsi="宋体"/>
                <w:spacing w:val="-20"/>
              </w:rPr>
            </w:pPr>
            <w:r>
              <w:rPr>
                <w:rFonts w:hint="eastAsia" w:ascii="宋体" w:hAnsi="宋体"/>
                <w:spacing w:val="-20"/>
              </w:rPr>
              <w:t>山东新宝龙工业科技有限公司（注）</w:t>
            </w:r>
          </w:p>
        </w:tc>
        <w:tc>
          <w:tcPr>
            <w:tcW w:w="35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49,923</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6,961</w:t>
            </w:r>
          </w:p>
        </w:tc>
        <w:tc>
          <w:tcPr>
            <w:tcW w:w="41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7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-4,468</w:t>
            </w:r>
          </w:p>
        </w:tc>
        <w:tc>
          <w:tcPr>
            <w:tcW w:w="39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52,416</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2" w:space="0"/>
            </w:tcBorders>
            <w:vAlign w:val="center"/>
          </w:tcPr>
          <w:p>
            <w:pPr>
              <w:rPr>
                <w:rFonts w:ascii="宋体" w:hAnsi="宋体"/>
                <w:spacing w:val="-20"/>
              </w:rPr>
            </w:pPr>
            <w:r>
              <w:rPr>
                <w:rFonts w:hint="eastAsia" w:ascii="宋体" w:hAnsi="宋体"/>
                <w:spacing w:val="-20"/>
              </w:rPr>
              <w:t>山东宝能智维工业科技有限公司</w:t>
            </w:r>
          </w:p>
        </w:tc>
        <w:tc>
          <w:tcPr>
            <w:tcW w:w="35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2,822</w:t>
            </w: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205"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-798</w:t>
            </w:r>
          </w:p>
        </w:tc>
        <w:tc>
          <w:tcPr>
            <w:tcW w:w="410"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7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94"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2" w:space="0"/>
              <w:right w:val="single" w:color="auto" w:sz="2" w:space="0"/>
            </w:tcBorders>
            <w:vAlign w:val="center"/>
          </w:tcPr>
          <w:p>
            <w:pPr>
              <w:jc w:val="right"/>
              <w:rPr>
                <w:rFonts w:ascii="宋体" w:hAnsi="宋体"/>
                <w:spacing w:val="-20"/>
              </w:rPr>
            </w:pPr>
            <w:r>
              <w:rPr>
                <w:rFonts w:ascii="宋体" w:hAnsi="宋体"/>
                <w:spacing w:val="-20"/>
              </w:rPr>
              <w:t>2,024</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小计</w:t>
            </w:r>
          </w:p>
        </w:tc>
        <w:tc>
          <w:tcPr>
            <w:tcW w:w="359"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spacing w:val="-20"/>
              </w:rPr>
            </w:pPr>
            <w:r>
              <w:rPr>
                <w:rFonts w:ascii="宋体" w:hAnsi="宋体"/>
                <w:spacing w:val="-20"/>
              </w:rPr>
              <w:t>6,467,314</w:t>
            </w:r>
          </w:p>
        </w:tc>
        <w:tc>
          <w:tcPr>
            <w:tcW w:w="307"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spacing w:val="-20"/>
              </w:rPr>
            </w:pPr>
            <w:r>
              <w:rPr>
                <w:rFonts w:ascii="宋体" w:hAnsi="宋体"/>
                <w:spacing w:val="-20"/>
              </w:rPr>
              <w:t>10,032</w:t>
            </w:r>
          </w:p>
        </w:tc>
        <w:tc>
          <w:tcPr>
            <w:tcW w:w="205"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spacing w:val="-20"/>
              </w:rPr>
            </w:pPr>
          </w:p>
        </w:tc>
        <w:tc>
          <w:tcPr>
            <w:tcW w:w="409"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spacing w:val="-20"/>
              </w:rPr>
            </w:pPr>
            <w:r>
              <w:rPr>
                <w:rFonts w:ascii="宋体" w:hAnsi="宋体"/>
                <w:spacing w:val="-20"/>
              </w:rPr>
              <w:t>491,603</w:t>
            </w:r>
          </w:p>
        </w:tc>
        <w:tc>
          <w:tcPr>
            <w:tcW w:w="410"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spacing w:val="-20"/>
              </w:rPr>
            </w:pPr>
            <w:r>
              <w:rPr>
                <w:rFonts w:ascii="宋体" w:hAnsi="宋体"/>
                <w:spacing w:val="-20"/>
              </w:rPr>
              <w:t>51,700</w:t>
            </w:r>
          </w:p>
        </w:tc>
        <w:tc>
          <w:tcPr>
            <w:tcW w:w="374"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spacing w:val="-20"/>
              </w:rPr>
            </w:pPr>
            <w:r>
              <w:rPr>
                <w:rFonts w:ascii="宋体" w:hAnsi="宋体"/>
                <w:spacing w:val="-20"/>
              </w:rPr>
              <w:t>-14,033</w:t>
            </w:r>
          </w:p>
        </w:tc>
        <w:tc>
          <w:tcPr>
            <w:tcW w:w="394"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spacing w:val="-20"/>
              </w:rPr>
            </w:pPr>
            <w:r>
              <w:rPr>
                <w:rFonts w:ascii="宋体" w:hAnsi="宋体"/>
                <w:spacing w:val="-20"/>
              </w:rPr>
              <w:t>-68,381</w:t>
            </w:r>
          </w:p>
        </w:tc>
        <w:tc>
          <w:tcPr>
            <w:tcW w:w="307"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spacing w:val="-20"/>
              </w:rPr>
            </w:pPr>
          </w:p>
        </w:tc>
        <w:tc>
          <w:tcPr>
            <w:tcW w:w="307"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spacing w:val="-20"/>
              </w:rPr>
            </w:pPr>
            <w:r>
              <w:rPr>
                <w:rFonts w:ascii="宋体" w:hAnsi="宋体"/>
                <w:spacing w:val="-20"/>
              </w:rPr>
              <w:t>17,328</w:t>
            </w:r>
          </w:p>
        </w:tc>
        <w:tc>
          <w:tcPr>
            <w:tcW w:w="409" w:type="pct"/>
            <w:tcBorders>
              <w:top w:val="single" w:color="auto" w:sz="2" w:space="0"/>
              <w:left w:val="single" w:color="auto" w:sz="2" w:space="0"/>
              <w:bottom w:val="single" w:color="auto" w:sz="4" w:space="0"/>
              <w:right w:val="single" w:color="auto" w:sz="2" w:space="0"/>
            </w:tcBorders>
            <w:vAlign w:val="center"/>
          </w:tcPr>
          <w:p>
            <w:pPr>
              <w:jc w:val="right"/>
              <w:rPr>
                <w:rFonts w:ascii="宋体" w:hAnsi="宋体"/>
                <w:spacing w:val="-20"/>
              </w:rPr>
            </w:pPr>
            <w:r>
              <w:rPr>
                <w:rFonts w:ascii="宋体" w:hAnsi="宋体"/>
                <w:spacing w:val="-20"/>
              </w:rPr>
              <w:t>6,955,563</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pacing w:val="-20"/>
              </w:rPr>
            </w:pPr>
            <w:r>
              <w:rPr>
                <w:rFonts w:hint="eastAsia" w:ascii="宋体" w:hAnsi="宋体"/>
                <w:spacing w:val="-20"/>
              </w:rPr>
              <w:t>合计</w:t>
            </w:r>
          </w:p>
        </w:tc>
        <w:tc>
          <w:tcPr>
            <w:tcW w:w="359" w:type="pct"/>
            <w:tcBorders>
              <w:top w:val="single" w:color="auto" w:sz="4" w:space="0"/>
              <w:left w:val="single" w:color="auto" w:sz="2"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6,503,049</w:t>
            </w:r>
          </w:p>
        </w:tc>
        <w:tc>
          <w:tcPr>
            <w:tcW w:w="307"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10,032</w:t>
            </w:r>
          </w:p>
        </w:tc>
        <w:tc>
          <w:tcPr>
            <w:tcW w:w="20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40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493,282</w:t>
            </w:r>
          </w:p>
        </w:tc>
        <w:tc>
          <w:tcPr>
            <w:tcW w:w="410"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51,700</w:t>
            </w:r>
          </w:p>
        </w:tc>
        <w:tc>
          <w:tcPr>
            <w:tcW w:w="37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-14,033</w:t>
            </w:r>
          </w:p>
        </w:tc>
        <w:tc>
          <w:tcPr>
            <w:tcW w:w="39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-68,381</w:t>
            </w:r>
          </w:p>
        </w:tc>
        <w:tc>
          <w:tcPr>
            <w:tcW w:w="307"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c>
          <w:tcPr>
            <w:tcW w:w="307"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17,328</w:t>
            </w:r>
          </w:p>
        </w:tc>
        <w:tc>
          <w:tcPr>
            <w:tcW w:w="409"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r>
              <w:rPr>
                <w:rFonts w:ascii="宋体" w:hAnsi="宋体"/>
                <w:spacing w:val="-20"/>
              </w:rPr>
              <w:t>6,992,977</w:t>
            </w:r>
          </w:p>
        </w:tc>
        <w:tc>
          <w:tcPr>
            <w:tcW w:w="343"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pacing w:val="-20"/>
              </w:rPr>
            </w:pPr>
          </w:p>
        </w:tc>
      </w:tr>
    </w:tbl>
    <w:p>
      <w:pPr>
        <w:ind w:firstLine="420" w:firstLineChars="200"/>
        <w:sectPr>
          <w:pgSz w:w="16838" w:h="11906" w:orient="landscape"/>
          <w:pgMar w:top="1797" w:right="1525" w:bottom="1276" w:left="1440" w:header="856" w:footer="992" w:gutter="0"/>
          <w:cols w:space="425" w:num="1"/>
          <w:docGrid w:type="lines" w:linePitch="312" w:charSpace="0"/>
        </w:sectPr>
      </w:pPr>
      <w:bookmarkStart w:id="373" w:name="_Hlk155165896"/>
      <w:r>
        <w:rPr>
          <w:rFonts w:hint="eastAsia"/>
        </w:rPr>
        <w:t>注：详见本附注“七、</w:t>
      </w:r>
      <w:r>
        <w:rPr>
          <w:rFonts w:hint="eastAsia" w:asciiTheme="minorEastAsia" w:hAnsiTheme="minorEastAsia" w:eastAsiaTheme="minorEastAsia"/>
        </w:rPr>
        <w:t>17.</w:t>
      </w:r>
      <w:r>
        <w:rPr>
          <w:rFonts w:hint="eastAsia"/>
        </w:rPr>
        <w:t>长期股权投资”。</w:t>
      </w:r>
    </w:p>
    <w:p>
      <w:pPr>
        <w:pStyle w:val="505"/>
        <w:numPr>
          <w:ilvl w:val="0"/>
          <w:numId w:val="82"/>
        </w:numPr>
      </w:pPr>
      <w:r>
        <w:rPr>
          <w:rFonts w:hint="eastAsia"/>
        </w:rPr>
        <w:t>长期股权投资的减值测试情况</w:t>
      </w:r>
    </w:p>
    <w:sdt>
      <w:sdtPr>
        <w:alias w:val="是否适用：减值测试情况[双击切换]"/>
        <w:tag w:val="_GBC_99f575f7d43c4e27846e49ee35c9e10f"/>
        <w:id w:val="-569123236"/>
        <w:placeholder>
          <w:docPart w:val="GBC22222222222222222222222222222"/>
        </w:placeholder>
      </w:sdtPr>
      <w:sdtContent>
        <w:p>
          <w:pPr>
            <w:pStyle w:val="531"/>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73"/>
    <w:p>
      <w:pPr>
        <w:pStyle w:val="501"/>
      </w:pPr>
    </w:p>
    <w:p>
      <w:pPr>
        <w:pStyle w:val="504"/>
        <w:numPr>
          <w:ilvl w:val="0"/>
          <w:numId w:val="139"/>
        </w:numPr>
      </w:pPr>
      <w:r>
        <w:rPr>
          <w:rFonts w:hint="eastAsia"/>
        </w:rPr>
        <w:t>营业收入和营业成本</w:t>
      </w:r>
    </w:p>
    <w:p>
      <w:pPr>
        <w:pStyle w:val="505"/>
        <w:numPr>
          <w:ilvl w:val="0"/>
          <w:numId w:val="145"/>
        </w:numPr>
      </w:pPr>
      <w:r>
        <w:rPr>
          <w:rFonts w:hint="eastAsia"/>
        </w:rPr>
        <w:t>营业收入和营业成本情况</w:t>
      </w:r>
    </w:p>
    <w:sdt>
      <w:sdtPr>
        <w:rPr>
          <w:rFonts w:hint="eastAsia" w:ascii="宋体" w:hAnsi="宋体"/>
          <w:bCs/>
          <w:szCs w:val="21"/>
        </w:rPr>
        <w:alias w:val="是否适用：母公司营业收入和营业成本[双击切换]"/>
        <w:tag w:val="_GBC_3cf10265cb614c79a538bd06daf8da74"/>
        <w:id w:val="-934127189"/>
        <w:placeholder>
          <w:docPart w:val="GBC22222222222222222222222222222"/>
        </w:placeholder>
      </w:sdtPr>
      <w:sdtEndPr>
        <w:rPr>
          <w:rFonts w:hint="eastAsia" w:ascii="宋体" w:hAnsi="宋体"/>
          <w:bCs/>
          <w:szCs w:val="21"/>
        </w:rPr>
      </w:sdtEndPr>
      <w:sdtContent>
        <w:p>
          <w:pPr>
            <w:pStyle w:val="543"/>
            <w:ind w:firstLine="0" w:firstLineChars="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pPr>
        <w:pStyle w:val="543"/>
        <w:ind w:firstLine="0" w:firstLineChars="0"/>
        <w:jc w:val="right"/>
        <w:rPr>
          <w:rFonts w:ascii="宋体" w:hAnsi="宋体"/>
          <w:kern w:val="0"/>
          <w:szCs w:val="21"/>
        </w:rPr>
      </w:pPr>
      <w:r>
        <w:rPr>
          <w:rFonts w:hint="eastAsia" w:ascii="宋体" w:hAnsi="宋体"/>
          <w:bCs/>
          <w:szCs w:val="21"/>
        </w:rPr>
        <w:t>单位：</w:t>
      </w:r>
      <w:sdt>
        <w:sdtPr>
          <w:rPr>
            <w:rFonts w:hint="eastAsia" w:ascii="宋体" w:hAnsi="宋体"/>
            <w:bCs/>
            <w:szCs w:val="21"/>
          </w:rPr>
          <w:alias w:val="单位：母公司财务附注：营业收入"/>
          <w:tag w:val="_GBC_5e6e6011a00b4111b618be40fba11dc1"/>
          <w:id w:val="12532341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bCs/>
            <w:szCs w:val="21"/>
          </w:rPr>
        </w:sdtEndPr>
        <w:sdtContent>
          <w:r>
            <w:rPr>
              <w:rFonts w:hint="eastAsia" w:ascii="宋体" w:hAnsi="宋体"/>
              <w:bCs/>
              <w:szCs w:val="21"/>
            </w:rPr>
            <w:t>千元</w:t>
          </w:r>
        </w:sdtContent>
      </w:sdt>
      <w:r>
        <w:rPr>
          <w:rFonts w:hint="eastAsia" w:ascii="宋体" w:hAnsi="宋体"/>
          <w:bCs/>
          <w:szCs w:val="21"/>
        </w:rPr>
        <w:t xml:space="preserve">  币种：</w:t>
      </w:r>
      <w:sdt>
        <w:sdtPr>
          <w:rPr>
            <w:rFonts w:hint="eastAsia" w:ascii="宋体" w:hAnsi="宋体"/>
            <w:bCs/>
            <w:szCs w:val="21"/>
          </w:rPr>
          <w:alias w:val="币种：母公司财务附注：营业收入"/>
          <w:tag w:val="_GBC_5940d445dfb6426f97376a89f3df08e7"/>
          <w:id w:val="6585016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bCs/>
            <w:szCs w:val="21"/>
          </w:rPr>
        </w:sdtEndPr>
        <w:sdtContent>
          <w:r>
            <w:rPr>
              <w:rFonts w:hint="eastAsia" w:ascii="宋体" w:hAnsi="宋体"/>
              <w:bCs/>
              <w:szCs w:val="21"/>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1"/>
        <w:gridCol w:w="1623"/>
        <w:gridCol w:w="1623"/>
        <w:gridCol w:w="1477"/>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d52d676cf8435a8f7a530f92cd7617"/>
            <w:id w:val="-2128695698"/>
          </w:sdtPr>
          <w:sdtContent>
            <w:tc>
              <w:tcPr>
                <w:tcW w:w="1570" w:type="pct"/>
                <w:vMerge w:val="restart"/>
                <w:tcBorders>
                  <w:top w:val="single" w:color="auto" w:sz="4" w:space="0"/>
                  <w:left w:val="single" w:color="auto" w:sz="4" w:space="0"/>
                  <w:right w:val="single" w:color="auto" w:sz="4" w:space="0"/>
                </w:tcBorders>
                <w:shd w:val="clear" w:color="auto" w:fill="auto"/>
                <w:vAlign w:val="center"/>
              </w:tcPr>
              <w:p>
                <w:pPr>
                  <w:jc w:val="center"/>
                </w:pPr>
                <w:r>
                  <w:rPr>
                    <w:rFonts w:hint="eastAsia"/>
                  </w:rPr>
                  <w:t>项目</w:t>
                </w:r>
              </w:p>
            </w:tc>
          </w:sdtContent>
        </w:sdt>
        <w:sdt>
          <w:sdtPr>
            <w:tag w:val="_PLD_32b5faadfe0b45d19044be5526af3c2d"/>
            <w:id w:val="49806419"/>
          </w:sdtPr>
          <w:sdtContent>
            <w:tc>
              <w:tcPr>
                <w:tcW w:w="18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本期发生额</w:t>
                </w:r>
              </w:p>
            </w:tc>
          </w:sdtContent>
        </w:sdt>
        <w:sdt>
          <w:sdtPr>
            <w:tag w:val="_PLD_5e3b95dc7e564cbabd77bf88c8a43781"/>
            <w:id w:val="1592189728"/>
          </w:sdtPr>
          <w:sdtContent>
            <w:tc>
              <w:tcPr>
                <w:tcW w:w="159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vMerge w:val="continue"/>
            <w:tcBorders>
              <w:left w:val="single" w:color="auto" w:sz="4" w:space="0"/>
              <w:bottom w:val="single" w:color="auto" w:sz="4" w:space="0"/>
              <w:right w:val="single" w:color="auto" w:sz="4" w:space="0"/>
            </w:tcBorders>
            <w:shd w:val="clear" w:color="auto" w:fill="auto"/>
            <w:vAlign w:val="center"/>
          </w:tcPr>
          <w:p>
            <w:pPr>
              <w:jc w:val="center"/>
            </w:pPr>
          </w:p>
        </w:tc>
        <w:sdt>
          <w:sdtPr>
            <w:tag w:val="_PLD_35d68e9def174e9fb111f9c26dc6e586"/>
            <w:id w:val="-1645652897"/>
          </w:sdt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收入</w:t>
                </w:r>
              </w:p>
            </w:tc>
          </w:sdtContent>
        </w:sdt>
        <w:sdt>
          <w:sdtPr>
            <w:tag w:val="_PLD_bca4c40811a6455bb6f684093a6c0c7d"/>
            <w:id w:val="684638134"/>
          </w:sdt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成本</w:t>
                </w:r>
              </w:p>
            </w:tc>
          </w:sdtContent>
        </w:sdt>
        <w:sdt>
          <w:sdtPr>
            <w:tag w:val="_PLD_913bf231029842ff9aedaf2297b238c1"/>
            <w:id w:val="478038518"/>
          </w:sdtPr>
          <w:sdtContent>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收入</w:t>
                </w:r>
              </w:p>
            </w:tc>
          </w:sdtContent>
        </w:sdt>
        <w:sdt>
          <w:sdtPr>
            <w:tag w:val="_PLD_f626f406150145439510a3b7f1a71e39"/>
            <w:id w:val="-1261142097"/>
          </w:sdtPr>
          <w:sdtContent>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主营业务</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21,704,956</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7,805,296</w:t>
            </w:r>
          </w:p>
        </w:tc>
        <w:tc>
          <w:tcPr>
            <w:tcW w:w="83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29,946,894</w:t>
            </w:r>
          </w:p>
        </w:tc>
        <w:tc>
          <w:tcPr>
            <w:tcW w:w="75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9,206,721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rPr>
            </w:pPr>
            <w:r>
              <w:rPr>
                <w:rFonts w:hint="eastAsia" w:ascii="宋体" w:hAnsi="宋体"/>
              </w:rPr>
              <w:t>其他业务</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4,556,066</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5,331,354</w:t>
            </w:r>
          </w:p>
        </w:tc>
        <w:tc>
          <w:tcPr>
            <w:tcW w:w="83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4,940,319</w:t>
            </w:r>
          </w:p>
        </w:tc>
        <w:tc>
          <w:tcPr>
            <w:tcW w:w="75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6,046,250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rPr>
              <w:t>合计</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26,261,022</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13,136,650</w:t>
            </w:r>
          </w:p>
        </w:tc>
        <w:tc>
          <w:tcPr>
            <w:tcW w:w="83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34,887,213</w:t>
            </w:r>
          </w:p>
        </w:tc>
        <w:tc>
          <w:tcPr>
            <w:tcW w:w="75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rPr>
            </w:pPr>
            <w:r>
              <w:rPr>
                <w:rFonts w:ascii="宋体" w:hAnsi="宋体"/>
              </w:rPr>
              <w:t>15,252,971</w:t>
            </w:r>
          </w:p>
        </w:tc>
      </w:tr>
    </w:tbl>
    <w:p>
      <w:pPr>
        <w:pStyle w:val="531"/>
      </w:pPr>
    </w:p>
    <w:p>
      <w:pPr>
        <w:pStyle w:val="505"/>
        <w:numPr>
          <w:ilvl w:val="0"/>
          <w:numId w:val="145"/>
        </w:numPr>
        <w:rPr>
          <w:rFonts w:ascii="宋体" w:hAnsi="宋体" w:eastAsia="宋体" w:cs="宋体"/>
          <w:kern w:val="0"/>
          <w:szCs w:val="24"/>
        </w:rPr>
      </w:pPr>
      <w:r>
        <w:rPr>
          <w:rFonts w:hint="eastAsia" w:ascii="宋体" w:hAnsi="宋体" w:eastAsia="宋体" w:cs="宋体"/>
          <w:kern w:val="0"/>
          <w:szCs w:val="24"/>
        </w:rPr>
        <w:t>履约义务的说明</w:t>
      </w:r>
    </w:p>
    <w:sdt>
      <w:sdtPr>
        <w:alias w:val="是否适用：履约义务的说明[双击切换]"/>
        <w:tag w:val="_GBC_0b818a1fe50c41248e0bae7b16db682e"/>
        <w:id w:val="-1007521023"/>
        <w:placeholder>
          <w:docPart w:val="GBC22222222222222222222222222222"/>
        </w:placeholder>
      </w:sdtPr>
      <w:sdtContent>
        <w:p>
          <w:pPr>
            <w:pStyle w:val="531"/>
          </w:pPr>
          <w:bookmarkStart w:id="374" w:name="_Hlk155961563"/>
          <w:bookmarkStart w:id="375" w:name="_Hlk53379881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31"/>
      </w:pPr>
    </w:p>
    <w:p>
      <w:pPr>
        <w:pStyle w:val="505"/>
        <w:numPr>
          <w:ilvl w:val="0"/>
          <w:numId w:val="145"/>
        </w:numPr>
      </w:pPr>
      <w:r>
        <w:rPr>
          <w:rFonts w:hint="eastAsia"/>
        </w:rPr>
        <w:t>分摊至剩余履约义务的说明</w:t>
      </w:r>
    </w:p>
    <w:bookmarkEnd w:id="374"/>
    <w:bookmarkEnd w:id="375"/>
    <w:sdt>
      <w:sdtPr>
        <w:alias w:val="是否适用：母公司分摊至剩余履约义务的说明[双击切换]"/>
        <w:tag w:val="_GBC_7f0a9adae5ea4624a849a396f1ce90b1"/>
        <w:id w:val="896006906"/>
        <w:placeholder>
          <w:docPart w:val="GBC22222222222222222222222222222"/>
        </w:placeholder>
      </w:sdtPr>
      <w:sdtContent>
        <w:p>
          <w:pPr>
            <w:pStyle w:val="531"/>
          </w:pPr>
          <w:bookmarkStart w:id="376" w:name="_Hlk53379895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501"/>
      </w:pPr>
    </w:p>
    <w:bookmarkEnd w:id="376"/>
    <w:p>
      <w:pPr>
        <w:pStyle w:val="505"/>
        <w:numPr>
          <w:ilvl w:val="0"/>
          <w:numId w:val="145"/>
        </w:numPr>
        <w:rPr>
          <w:rFonts w:ascii="宋体" w:hAnsi="宋体" w:eastAsia="宋体" w:cs="宋体"/>
          <w:kern w:val="0"/>
          <w:szCs w:val="24"/>
        </w:rPr>
      </w:pPr>
      <w:r>
        <w:rPr>
          <w:rFonts w:hint="eastAsia" w:ascii="宋体" w:hAnsi="宋体" w:eastAsia="宋体" w:cs="宋体"/>
          <w:kern w:val="0"/>
          <w:szCs w:val="24"/>
        </w:rPr>
        <w:t>重大合同变更或重大交易价格调整</w:t>
      </w:r>
    </w:p>
    <w:sdt>
      <w:sdtPr>
        <w:alias w:val="是否适用：母公司重大合同变更或重大交易价格调整[双击切换]"/>
        <w:tag w:val="_GBC_df0026b6a6ff4f0a99c85462586d2446"/>
        <w:id w:val="-1016998905"/>
        <w:placeholder>
          <w:docPart w:val="GBC22222222222222222222222222222"/>
        </w:placeholder>
      </w:sdtPr>
      <w:sdtContent>
        <w:p>
          <w:pPr>
            <w:pStyle w:val="531"/>
          </w:pPr>
          <w:bookmarkStart w:id="377" w:name="_Hlk15379857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77"/>
    <w:p>
      <w:pPr>
        <w:pStyle w:val="531"/>
        <w:rPr>
          <w:rFonts w:ascii="Arial" w:hAnsi="Arial"/>
        </w:rPr>
      </w:pPr>
    </w:p>
    <w:p>
      <w:pPr>
        <w:pStyle w:val="504"/>
        <w:numPr>
          <w:ilvl w:val="0"/>
          <w:numId w:val="139"/>
        </w:numPr>
        <w:rPr>
          <w:rFonts w:ascii="宋体" w:hAnsi="宋体"/>
          <w:szCs w:val="21"/>
        </w:rPr>
      </w:pPr>
      <w:r>
        <w:rPr>
          <w:rFonts w:hint="eastAsia" w:ascii="宋体" w:hAnsi="宋体"/>
          <w:szCs w:val="21"/>
        </w:rPr>
        <w:t>投资收益</w:t>
      </w:r>
    </w:p>
    <w:sdt>
      <w:sdtPr>
        <w:alias w:val="是否适用：母公司投资收益[双击切换]"/>
        <w:tag w:val="_GBC_c2bb46ec06e343088b38ac6340f45fb2"/>
        <w:id w:val="1913967432"/>
        <w:placeholder>
          <w:docPart w:val="GBC22222222222222222222222222222"/>
        </w:placeholder>
      </w:sdtPr>
      <w:sdtContent>
        <w:p>
          <w:pPr>
            <w:pStyle w:val="531"/>
          </w:pPr>
          <w:bookmarkStart w:id="378" w:name="_Hlk2403106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3316902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t xml:space="preserve">  币种</w:t>
      </w:r>
      <w:r>
        <w:rPr>
          <w:rFonts w:hint="eastAsia"/>
        </w:rPr>
        <w:t>：</w:t>
      </w:r>
      <w:sdt>
        <w:sdtPr>
          <w:rPr>
            <w:rFonts w:hint="eastAsia"/>
          </w:rPr>
          <w:alias w:val="币种：财务附注：会计报表中的投资收益项目增加"/>
          <w:tag w:val="_GBC_4090bf40cd1647838a8c5908dbc544c5"/>
          <w:id w:val="-812250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gridCol w:w="2269"/>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07ed5c985ab48c59a18c2d57dd68c9c"/>
            <w:id w:val="-744259430"/>
          </w:sdtPr>
          <w:sdtContent>
            <w:tc>
              <w:tcPr>
                <w:tcW w:w="2407" w:type="pct"/>
                <w:vAlign w:val="center"/>
              </w:tcPr>
              <w:p>
                <w:pPr>
                  <w:ind w:left="420" w:hanging="420"/>
                  <w:jc w:val="center"/>
                </w:pPr>
                <w:bookmarkStart w:id="379" w:name="_Hlk24031106"/>
                <w:r>
                  <w:rPr>
                    <w:rFonts w:hint="eastAsia"/>
                  </w:rPr>
                  <w:t>项目</w:t>
                </w:r>
              </w:p>
            </w:tc>
          </w:sdtContent>
        </w:sdt>
        <w:sdt>
          <w:sdtPr>
            <w:tag w:val="_PLD_47187d04b5814de2ac4d8e7ab7f3dcf5"/>
            <w:id w:val="806201723"/>
          </w:sdtPr>
          <w:sdtContent>
            <w:tc>
              <w:tcPr>
                <w:tcW w:w="1285" w:type="pct"/>
                <w:vAlign w:val="center"/>
              </w:tcPr>
              <w:p>
                <w:pPr>
                  <w:jc w:val="center"/>
                </w:pPr>
                <w:r>
                  <w:rPr>
                    <w:rFonts w:hint="eastAsia"/>
                  </w:rPr>
                  <w:t>本期发生额</w:t>
                </w:r>
              </w:p>
            </w:tc>
          </w:sdtContent>
        </w:sdt>
        <w:sdt>
          <w:sdtPr>
            <w:tag w:val="_PLD_9b38c11702ff453c93beb78507ab4be2"/>
            <w:id w:val="716398459"/>
          </w:sdtPr>
          <w:sdtContent>
            <w:tc>
              <w:tcPr>
                <w:tcW w:w="1307" w:type="pct"/>
                <w:vAlign w:val="center"/>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pct"/>
          </w:tcPr>
          <w:p>
            <w:pPr>
              <w:pStyle w:val="531"/>
            </w:pPr>
            <w:r>
              <w:t>成本法核算的长期股权投资收益</w:t>
            </w:r>
          </w:p>
        </w:tc>
        <w:tc>
          <w:tcPr>
            <w:tcW w:w="1285" w:type="pct"/>
            <w:vAlign w:val="center"/>
          </w:tcPr>
          <w:p>
            <w:pPr>
              <w:jc w:val="right"/>
              <w:rPr>
                <w:rFonts w:ascii="宋体" w:hAnsi="宋体"/>
              </w:rPr>
            </w:pPr>
            <w:r>
              <w:rPr>
                <w:rFonts w:ascii="宋体" w:hAnsi="宋体"/>
              </w:rPr>
              <w:t>11,229,985</w:t>
            </w:r>
          </w:p>
        </w:tc>
        <w:tc>
          <w:tcPr>
            <w:tcW w:w="1307" w:type="pct"/>
            <w:vAlign w:val="center"/>
          </w:tcPr>
          <w:p>
            <w:pPr>
              <w:jc w:val="right"/>
              <w:rPr>
                <w:rFonts w:ascii="宋体" w:hAnsi="宋体"/>
              </w:rPr>
            </w:pPr>
            <w:r>
              <w:rPr>
                <w:rFonts w:ascii="宋体" w:hAnsi="宋体"/>
              </w:rPr>
              <w:t>6,028,376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pct"/>
          </w:tcPr>
          <w:p>
            <w:pPr>
              <w:pStyle w:val="501"/>
            </w:pPr>
            <w:r>
              <w:rPr>
                <w:rFonts w:hint="eastAsia"/>
              </w:rPr>
              <w:t>权益法核算的长期股权投资收益</w:t>
            </w:r>
          </w:p>
        </w:tc>
        <w:tc>
          <w:tcPr>
            <w:tcW w:w="1285" w:type="pct"/>
            <w:vAlign w:val="center"/>
          </w:tcPr>
          <w:p>
            <w:pPr>
              <w:jc w:val="right"/>
              <w:rPr>
                <w:rFonts w:ascii="宋体" w:hAnsi="宋体"/>
              </w:rPr>
            </w:pPr>
            <w:r>
              <w:rPr>
                <w:rFonts w:ascii="宋体" w:hAnsi="宋体"/>
              </w:rPr>
              <w:t>493,282</w:t>
            </w:r>
          </w:p>
        </w:tc>
        <w:tc>
          <w:tcPr>
            <w:tcW w:w="1307" w:type="pct"/>
            <w:vAlign w:val="center"/>
          </w:tcPr>
          <w:p>
            <w:pPr>
              <w:jc w:val="right"/>
              <w:rPr>
                <w:rFonts w:ascii="宋体" w:hAnsi="宋体"/>
              </w:rPr>
            </w:pPr>
            <w:r>
              <w:rPr>
                <w:rFonts w:ascii="宋体" w:hAnsi="宋体"/>
              </w:rPr>
              <w:t>412,327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pct"/>
          </w:tcPr>
          <w:p>
            <w:pPr>
              <w:pStyle w:val="531"/>
            </w:pPr>
            <w:r>
              <w:rPr>
                <w:rFonts w:hint="eastAsia"/>
              </w:rPr>
              <w:t>持有交易性金融资产期间取得的投资收益</w:t>
            </w:r>
          </w:p>
        </w:tc>
        <w:tc>
          <w:tcPr>
            <w:tcW w:w="1285" w:type="pct"/>
            <w:vAlign w:val="center"/>
          </w:tcPr>
          <w:p>
            <w:pPr>
              <w:jc w:val="right"/>
              <w:rPr>
                <w:rFonts w:ascii="宋体" w:hAnsi="宋体"/>
              </w:rPr>
            </w:pPr>
            <w:r>
              <w:rPr>
                <w:rFonts w:hint="eastAsia" w:ascii="宋体" w:hAnsi="宋体"/>
              </w:rPr>
              <w:t>5</w:t>
            </w:r>
            <w:r>
              <w:rPr>
                <w:rFonts w:ascii="宋体" w:hAnsi="宋体"/>
              </w:rPr>
              <w:t>8</w:t>
            </w:r>
          </w:p>
        </w:tc>
        <w:tc>
          <w:tcPr>
            <w:tcW w:w="1307" w:type="pct"/>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pct"/>
          </w:tcPr>
          <w:p>
            <w:pPr>
              <w:pStyle w:val="531"/>
            </w:pPr>
            <w:r>
              <w:rPr>
                <w:rFonts w:hint="eastAsia"/>
              </w:rPr>
              <w:t>债务重组收益</w:t>
            </w:r>
          </w:p>
        </w:tc>
        <w:tc>
          <w:tcPr>
            <w:tcW w:w="1285" w:type="pct"/>
            <w:vAlign w:val="center"/>
          </w:tcPr>
          <w:p>
            <w:pPr>
              <w:jc w:val="right"/>
              <w:rPr>
                <w:rFonts w:ascii="宋体" w:hAnsi="宋体"/>
              </w:rPr>
            </w:pPr>
          </w:p>
        </w:tc>
        <w:tc>
          <w:tcPr>
            <w:tcW w:w="1307" w:type="pct"/>
            <w:vAlign w:val="center"/>
          </w:tcPr>
          <w:p>
            <w:pPr>
              <w:jc w:val="right"/>
              <w:rPr>
                <w:rFonts w:ascii="宋体" w:hAnsi="宋体"/>
              </w:rPr>
            </w:pPr>
            <w:r>
              <w:rPr>
                <w:rFonts w:ascii="宋体" w:hAnsi="宋体"/>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pct"/>
            <w:vAlign w:val="center"/>
          </w:tcPr>
          <w:p>
            <w:pPr>
              <w:jc w:val="center"/>
            </w:pPr>
            <w:r>
              <w:rPr>
                <w:rFonts w:hint="eastAsia"/>
              </w:rPr>
              <w:t>合计</w:t>
            </w:r>
          </w:p>
        </w:tc>
        <w:tc>
          <w:tcPr>
            <w:tcW w:w="1285" w:type="pct"/>
            <w:vAlign w:val="center"/>
          </w:tcPr>
          <w:p>
            <w:pPr>
              <w:jc w:val="right"/>
              <w:rPr>
                <w:rFonts w:ascii="宋体" w:hAnsi="宋体"/>
              </w:rPr>
            </w:pPr>
            <w:r>
              <w:rPr>
                <w:rFonts w:ascii="宋体" w:hAnsi="宋体"/>
                <w:b/>
              </w:rPr>
              <w:t>11,723,325</w:t>
            </w:r>
          </w:p>
        </w:tc>
        <w:tc>
          <w:tcPr>
            <w:tcW w:w="1307" w:type="pct"/>
            <w:vAlign w:val="center"/>
          </w:tcPr>
          <w:p>
            <w:pPr>
              <w:jc w:val="right"/>
              <w:rPr>
                <w:rFonts w:ascii="宋体" w:hAnsi="宋体"/>
              </w:rPr>
            </w:pPr>
            <w:r>
              <w:rPr>
                <w:rFonts w:ascii="宋体" w:hAnsi="宋体"/>
                <w:b/>
              </w:rPr>
              <w:t>6,440,116</w:t>
            </w:r>
          </w:p>
        </w:tc>
      </w:tr>
      <w:bookmarkEnd w:id="379"/>
    </w:tbl>
    <w:p>
      <w:pPr>
        <w:pStyle w:val="501"/>
      </w:pPr>
    </w:p>
    <w:bookmarkEnd w:id="378"/>
    <w:p>
      <w:pPr>
        <w:pStyle w:val="504"/>
        <w:numPr>
          <w:ilvl w:val="0"/>
          <w:numId w:val="139"/>
        </w:numPr>
        <w:rPr>
          <w:szCs w:val="21"/>
        </w:rPr>
      </w:pPr>
      <w:r>
        <w:rPr>
          <w:rFonts w:hint="eastAsia"/>
          <w:szCs w:val="21"/>
        </w:rPr>
        <w:t>其他</w:t>
      </w:r>
    </w:p>
    <w:p>
      <w:pPr>
        <w:tabs>
          <w:tab w:val="left" w:pos="2484"/>
        </w:tabs>
      </w:pPr>
      <w:sdt>
        <w:sdtPr>
          <w:rPr>
            <w:rFonts w:hint="eastAsia"/>
          </w:rPr>
          <w:alias w:val="是否适用：母公司会计报表附注的其他说明事项[双击切换]"/>
          <w:tag w:val="_GBC_da1bbbf487cd4e98b945920735517f12"/>
          <w:id w:val="1197503008"/>
          <w:placeholder>
            <w:docPart w:val="GBC22222222222222222222222222222"/>
          </w:placeholder>
        </w:sdtPr>
        <w:sdtEndPr>
          <w:rPr>
            <w:rFonts w:hint="eastAsia"/>
          </w:rPr>
        </w:sdtEndPr>
        <w:sdtContent>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ind w:right="-1594" w:rightChars="-759"/>
      </w:pPr>
    </w:p>
    <w:p>
      <w:pPr>
        <w:pStyle w:val="503"/>
        <w:numPr>
          <w:ilvl w:val="0"/>
          <w:numId w:val="57"/>
        </w:numPr>
        <w:ind w:left="448" w:firstLine="6"/>
        <w:rPr>
          <w:rFonts w:ascii="宋体" w:hAnsi="宋体"/>
        </w:rPr>
      </w:pPr>
      <w:r>
        <w:rPr>
          <w:rFonts w:hint="eastAsia" w:ascii="宋体" w:hAnsi="宋体"/>
        </w:rPr>
        <w:t>补充资料</w:t>
      </w:r>
    </w:p>
    <w:p>
      <w:pPr>
        <w:pStyle w:val="504"/>
        <w:numPr>
          <w:ilvl w:val="0"/>
          <w:numId w:val="146"/>
        </w:numPr>
        <w:rPr>
          <w:rFonts w:ascii="宋体" w:hAnsi="宋体"/>
          <w:szCs w:val="21"/>
        </w:rPr>
      </w:pPr>
      <w:r>
        <w:rPr>
          <w:rFonts w:hint="eastAsia" w:ascii="宋体" w:hAnsi="宋体"/>
          <w:szCs w:val="21"/>
        </w:rPr>
        <w:t>当期非经常性损益明细表</w:t>
      </w:r>
    </w:p>
    <w:sdt>
      <w:sdtPr>
        <w:alias w:val="是否适用：当期非经常性损益明细表[双击切换]"/>
        <w:tag w:val="_GBC_b3c7aec730db408a9d46da725d5662b4"/>
        <w:id w:val="-2027471565"/>
        <w:placeholder>
          <w:docPart w:val="GBC22222222222222222222222222222"/>
        </w:placeholder>
      </w:sdtPr>
      <w:sdtContent>
        <w:p>
          <w:pPr>
            <w:pStyle w:val="531"/>
          </w:pPr>
          <w:bookmarkStart w:id="380" w:name="_Hlk535584690"/>
          <w:bookmarkStart w:id="381" w:name="_Hlk15257982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扣除非经常性损益项目和金额"/>
          <w:tag w:val="_GBC_63d386bc1f1d45a9803caa6346ef271f"/>
          <w:id w:val="798490312"/>
          <w:placeholder>
            <w:docPart w:val="GBC22222222222222222222222222222"/>
          </w:placeholder>
          <w: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千元</w:t>
          </w:r>
        </w:sdtContent>
      </w:sdt>
      <w:r>
        <w:rPr>
          <w:rFonts w:hint="eastAsia"/>
        </w:rPr>
        <w:t xml:space="preserve">  币种：</w:t>
      </w:r>
      <w:sdt>
        <w:sdtPr>
          <w:rPr>
            <w:rFonts w:hint="eastAsia"/>
          </w:rPr>
          <w:alias w:val="币种：扣除非经常性损益项目和金额"/>
          <w:tag w:val="_GBC_fb530451edb743d2bcc0dacb892d672d"/>
          <w:id w:val="-1571883530"/>
          <w:placeholder>
            <w:docPart w:val="GBC22222222222222222222222222222"/>
          </w:placeholder>
          <w: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lang w:eastAsia="zh-CN"/>
            </w:rPr>
            <w:t>人民币</w:t>
          </w:r>
        </w:sdtContent>
      </w:sdt>
    </w:p>
    <w:tbl>
      <w:tblPr>
        <w:tblStyle w:val="9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9"/>
        <w:gridCol w:w="2135"/>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2882777d10a4346880b6d11ab006214"/>
            <w:id w:val="1284392048"/>
          </w:sdtPr>
          <w:sdtContent>
            <w:tc>
              <w:tcPr>
                <w:tcW w:w="2474" w:type="pct"/>
                <w:vAlign w:val="center"/>
              </w:tcPr>
              <w:p>
                <w:pPr>
                  <w:pStyle w:val="543"/>
                  <w:ind w:firstLine="0" w:firstLineChars="0"/>
                  <w:jc w:val="center"/>
                  <w:rPr>
                    <w:rFonts w:ascii="宋体" w:hAnsi="宋体"/>
                    <w:szCs w:val="21"/>
                  </w:rPr>
                </w:pPr>
                <w:r>
                  <w:rPr>
                    <w:rFonts w:hint="eastAsia" w:ascii="宋体" w:hAnsi="宋体"/>
                    <w:szCs w:val="21"/>
                  </w:rPr>
                  <w:t>项目</w:t>
                </w:r>
              </w:p>
            </w:tc>
          </w:sdtContent>
        </w:sdt>
        <w:sdt>
          <w:sdtPr>
            <w:tag w:val="_PLD_1f5c769dc7ea434a90d739329712e1ed"/>
            <w:id w:val="-836757235"/>
          </w:sdtPr>
          <w:sdtContent>
            <w:tc>
              <w:tcPr>
                <w:tcW w:w="1209" w:type="pct"/>
                <w:vAlign w:val="center"/>
              </w:tcPr>
              <w:p>
                <w:pPr>
                  <w:pStyle w:val="543"/>
                  <w:ind w:firstLine="0" w:firstLineChars="0"/>
                  <w:jc w:val="center"/>
                  <w:rPr>
                    <w:rFonts w:ascii="宋体" w:hAnsi="宋体"/>
                    <w:szCs w:val="21"/>
                  </w:rPr>
                </w:pPr>
                <w:r>
                  <w:rPr>
                    <w:rFonts w:hint="eastAsia" w:ascii="宋体" w:hAnsi="宋体"/>
                    <w:szCs w:val="21"/>
                  </w:rPr>
                  <w:t>金额</w:t>
                </w:r>
              </w:p>
            </w:tc>
          </w:sdtContent>
        </w:sdt>
        <w:sdt>
          <w:sdtPr>
            <w:tag w:val="_PLD_e78492b22a7c4b8aa4989eb26eb4c98c"/>
            <w:id w:val="1694579026"/>
          </w:sdtPr>
          <w:sdtContent>
            <w:tc>
              <w:tcPr>
                <w:tcW w:w="1313" w:type="pct"/>
                <w:vAlign w:val="center"/>
              </w:tcPr>
              <w:p>
                <w:pPr>
                  <w:pStyle w:val="543"/>
                  <w:ind w:firstLine="0" w:firstLineChars="0"/>
                  <w:jc w:val="center"/>
                  <w:rPr>
                    <w:rFonts w:ascii="宋体" w:hAnsi="宋体"/>
                    <w:szCs w:val="21"/>
                  </w:rPr>
                </w:pPr>
                <w:r>
                  <w:rPr>
                    <w:rFonts w:hint="eastAsia" w:ascii="宋体" w:hAnsi="宋体"/>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非流动</w:t>
            </w:r>
            <w:r>
              <w:rPr>
                <w:rFonts w:hint="eastAsia" w:ascii="Times New Roman" w:hAnsi="Times New Roman"/>
                <w:szCs w:val="21"/>
              </w:rPr>
              <w:t>性</w:t>
            </w:r>
            <w:r>
              <w:rPr>
                <w:rFonts w:ascii="Times New Roman" w:hAnsi="Times New Roman"/>
                <w:szCs w:val="21"/>
              </w:rPr>
              <w:t>资产处置损益</w:t>
            </w:r>
            <w:r>
              <w:rPr>
                <w:rFonts w:hint="eastAsia" w:ascii="Times New Roman" w:hAnsi="Times New Roman"/>
                <w:szCs w:val="21"/>
              </w:rPr>
              <w:t>，包括已计提资产减值准备的冲销部分</w:t>
            </w:r>
          </w:p>
        </w:tc>
        <w:tc>
          <w:tcPr>
            <w:tcW w:w="1209" w:type="pct"/>
            <w:vAlign w:val="center"/>
          </w:tcPr>
          <w:p>
            <w:pPr>
              <w:jc w:val="right"/>
              <w:rPr>
                <w:rFonts w:ascii="宋体" w:hAnsi="宋体"/>
                <w:sz w:val="22"/>
              </w:rPr>
            </w:pPr>
            <w:r>
              <w:rPr>
                <w:rFonts w:ascii="宋体" w:hAnsi="宋体"/>
                <w:sz w:val="22"/>
              </w:rPr>
              <w:t>-21,668</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计入当期损益的政府补助</w:t>
            </w:r>
            <w:r>
              <w:rPr>
                <w:rFonts w:hint="eastAsia" w:ascii="Times New Roman" w:hAnsi="Times New Roman"/>
                <w:szCs w:val="21"/>
              </w:rPr>
              <w:t>，但与公司正常经营业务密切相关、符合国家政策规定、按照确定的标准享有、对公司损益产生持续影响的政府补助除外</w:t>
            </w:r>
          </w:p>
        </w:tc>
        <w:tc>
          <w:tcPr>
            <w:tcW w:w="1209" w:type="pct"/>
            <w:vAlign w:val="center"/>
          </w:tcPr>
          <w:p>
            <w:pPr>
              <w:jc w:val="right"/>
              <w:rPr>
                <w:rFonts w:ascii="宋体" w:hAnsi="宋体"/>
                <w:sz w:val="22"/>
              </w:rPr>
            </w:pPr>
            <w:r>
              <w:rPr>
                <w:rFonts w:ascii="宋体" w:hAnsi="宋体"/>
                <w:sz w:val="22"/>
              </w:rPr>
              <w:t>264,378</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rPr>
            </w:pPr>
            <w:r>
              <w:rPr>
                <w:rFonts w:hint="eastAsia" w:ascii="Times New Roman" w:hAnsi="Times New Roman"/>
              </w:rPr>
              <w:t>除同公司正常经营业务相关的有效套期保值业务外，</w:t>
            </w:r>
            <w:r>
              <w:rPr>
                <w:rFonts w:ascii="Times New Roman" w:hAnsi="Times New Roman"/>
              </w:rPr>
              <w:t>非金融企业持有金融资产和金融负债产生的公允价值变动损益以及处置金融资产和金融负债产生的损益</w:t>
            </w:r>
          </w:p>
        </w:tc>
        <w:tc>
          <w:tcPr>
            <w:tcW w:w="1209" w:type="pct"/>
            <w:vAlign w:val="center"/>
          </w:tcPr>
          <w:p>
            <w:pPr>
              <w:jc w:val="right"/>
              <w:rPr>
                <w:rFonts w:ascii="宋体" w:hAnsi="宋体"/>
                <w:sz w:val="22"/>
              </w:rPr>
            </w:pPr>
            <w:r>
              <w:rPr>
                <w:rFonts w:ascii="宋体" w:hAnsi="宋体"/>
                <w:sz w:val="22"/>
              </w:rPr>
              <w:t>62,770</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计入当期损益的对非金融企业收取的资金占用费</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委托他人投资或管理资产的损益</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对外委托贷款取得的损益</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因不可抗力因</w:t>
            </w:r>
            <w:r>
              <w:rPr>
                <w:rFonts w:hint="eastAsia" w:ascii="Times New Roman" w:hAnsi="Times New Roman"/>
                <w:szCs w:val="21"/>
              </w:rPr>
              <w:t>素，如遭受自然灾害而产生的各项资产损失</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rPr>
            </w:pPr>
            <w:r>
              <w:rPr>
                <w:rFonts w:hint="eastAsia" w:ascii="Times New Roman" w:hAnsi="Times New Roman"/>
              </w:rPr>
              <w:t>单独进行减值测试的应收款项减值准备转回</w:t>
            </w:r>
          </w:p>
        </w:tc>
        <w:tc>
          <w:tcPr>
            <w:tcW w:w="1209" w:type="pct"/>
            <w:vAlign w:val="center"/>
          </w:tcPr>
          <w:p>
            <w:pPr>
              <w:jc w:val="right"/>
              <w:rPr>
                <w:rFonts w:ascii="宋体" w:hAnsi="宋体"/>
                <w:sz w:val="22"/>
              </w:rPr>
            </w:pPr>
            <w:r>
              <w:rPr>
                <w:rFonts w:ascii="宋体" w:hAnsi="宋体"/>
                <w:sz w:val="22"/>
              </w:rPr>
              <w:t>128,398</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企业取得子公司、联营企业及合营企业的投资成本小于取得投资时应享有被投资单位可辨认净资产公允价值产生的收益</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同一控制下企业合并产生的子公司期初至合并日的当期净损益</w:t>
            </w:r>
          </w:p>
        </w:tc>
        <w:tc>
          <w:tcPr>
            <w:tcW w:w="1209" w:type="pct"/>
            <w:vAlign w:val="center"/>
          </w:tcPr>
          <w:p>
            <w:pPr>
              <w:jc w:val="right"/>
              <w:rPr>
                <w:rFonts w:ascii="宋体" w:hAnsi="宋体"/>
                <w:sz w:val="22"/>
              </w:rPr>
            </w:pPr>
            <w:r>
              <w:rPr>
                <w:rFonts w:ascii="宋体" w:hAnsi="宋体"/>
                <w:sz w:val="22"/>
              </w:rPr>
              <w:t>2,932,102</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非货币性资产交换损益</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债务重组损益</w:t>
            </w:r>
          </w:p>
        </w:tc>
        <w:tc>
          <w:tcPr>
            <w:tcW w:w="1209" w:type="pct"/>
            <w:vAlign w:val="center"/>
          </w:tcPr>
          <w:p>
            <w:pPr>
              <w:jc w:val="right"/>
              <w:rPr>
                <w:rFonts w:ascii="宋体" w:hAnsi="宋体"/>
                <w:sz w:val="22"/>
              </w:rPr>
            </w:pPr>
            <w:r>
              <w:rPr>
                <w:rFonts w:ascii="宋体" w:hAnsi="宋体"/>
                <w:sz w:val="22"/>
              </w:rPr>
              <w:t>2,566</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企业</w:t>
            </w:r>
            <w:r>
              <w:rPr>
                <w:rFonts w:hint="eastAsia" w:ascii="Times New Roman" w:hAnsi="Times New Roman"/>
                <w:szCs w:val="21"/>
              </w:rPr>
              <w:t>因相关经营活动不再持续而发生的一次性费用，如安置职工的支出等</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因税收、会计等法律、法规</w:t>
            </w:r>
            <w:r>
              <w:rPr>
                <w:rFonts w:hint="eastAsia" w:ascii="Times New Roman" w:hAnsi="Times New Roman"/>
                <w:szCs w:val="21"/>
              </w:rPr>
              <w:t>的调整对当期损益产生的一次性影响</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rPr>
            </w:pPr>
            <w:r>
              <w:rPr>
                <w:rFonts w:ascii="Times New Roman" w:hAnsi="Times New Roman"/>
              </w:rPr>
              <w:t>因取消、修改股权激励计划一次性确认的股份支付费用</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rPr>
            </w:pPr>
            <w:r>
              <w:rPr>
                <w:rFonts w:ascii="Times New Roman" w:hAnsi="Times New Roman"/>
              </w:rPr>
              <w:t>对于现金结算的股份支付，在可行权日之后，应付职工薪酬的公允价值变动产生的损益</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采用公允价值模式进行后续计量的投资性房地产公允价值变动产生的损益</w:t>
            </w:r>
          </w:p>
        </w:tc>
        <w:tc>
          <w:tcPr>
            <w:tcW w:w="1209" w:type="pct"/>
            <w:vAlign w:val="center"/>
          </w:tcPr>
          <w:p>
            <w:pPr>
              <w:jc w:val="right"/>
              <w:rPr>
                <w:rFonts w:ascii="宋体" w:hAnsi="宋体"/>
                <w:sz w:val="22"/>
              </w:rPr>
            </w:pPr>
            <w:r>
              <w:rPr>
                <w:rFonts w:ascii="宋体" w:hAnsi="宋体"/>
                <w:sz w:val="22"/>
              </w:rPr>
              <w:t>18,454</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hint="eastAsia" w:ascii="Times New Roman" w:hAnsi="Times New Roman"/>
                <w:szCs w:val="21"/>
              </w:rPr>
              <w:t>交易价格显失公允的交易产生的收益</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与公司正常经营业务无关的或有事项产生的损益</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受托经营取得的托管费收入</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除上述各项之外的其他营业外收入和支出</w:t>
            </w:r>
          </w:p>
        </w:tc>
        <w:tc>
          <w:tcPr>
            <w:tcW w:w="1209" w:type="pct"/>
            <w:vAlign w:val="center"/>
          </w:tcPr>
          <w:p>
            <w:pPr>
              <w:jc w:val="right"/>
              <w:rPr>
                <w:rFonts w:ascii="宋体" w:hAnsi="宋体"/>
                <w:sz w:val="22"/>
              </w:rPr>
            </w:pPr>
            <w:r>
              <w:rPr>
                <w:rFonts w:ascii="宋体" w:hAnsi="宋体"/>
                <w:sz w:val="22"/>
              </w:rPr>
              <w:t>58,890</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ascii="Times New Roman" w:hAnsi="Times New Roman"/>
                <w:szCs w:val="21"/>
              </w:rPr>
              <w:t>其他符合非经常性损益定义的损益项目</w:t>
            </w:r>
          </w:p>
        </w:tc>
        <w:tc>
          <w:tcPr>
            <w:tcW w:w="1209" w:type="pct"/>
            <w:vAlign w:val="center"/>
          </w:tcPr>
          <w:p>
            <w:pPr>
              <w:jc w:val="right"/>
              <w:rPr>
                <w:rFonts w:ascii="宋体" w:hAnsi="宋体"/>
                <w:sz w:val="22"/>
              </w:rPr>
            </w:pP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ind w:firstLine="0" w:firstLineChars="0"/>
              <w:jc w:val="left"/>
              <w:rPr>
                <w:rFonts w:ascii="Times New Roman" w:hAnsi="Times New Roman"/>
                <w:szCs w:val="21"/>
              </w:rPr>
            </w:pPr>
            <w:r>
              <w:rPr>
                <w:rFonts w:hint="eastAsia" w:ascii="Times New Roman" w:hAnsi="Times New Roman"/>
              </w:rPr>
              <w:t>减：</w:t>
            </w:r>
            <w:r>
              <w:rPr>
                <w:rFonts w:ascii="Times New Roman" w:hAnsi="Times New Roman"/>
                <w:szCs w:val="21"/>
              </w:rPr>
              <w:t>所得税影响额</w:t>
            </w:r>
          </w:p>
        </w:tc>
        <w:tc>
          <w:tcPr>
            <w:tcW w:w="1209" w:type="pct"/>
            <w:vAlign w:val="center"/>
          </w:tcPr>
          <w:p>
            <w:pPr>
              <w:jc w:val="right"/>
              <w:rPr>
                <w:rFonts w:ascii="宋体" w:hAnsi="宋体"/>
                <w:sz w:val="22"/>
              </w:rPr>
            </w:pPr>
            <w:r>
              <w:rPr>
                <w:rFonts w:ascii="宋体" w:hAnsi="宋体"/>
                <w:sz w:val="22"/>
              </w:rPr>
              <w:t>136,864</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tcPr>
          <w:p>
            <w:pPr>
              <w:pStyle w:val="543"/>
              <w:jc w:val="left"/>
              <w:rPr>
                <w:rFonts w:ascii="Times New Roman" w:hAnsi="Times New Roman"/>
                <w:szCs w:val="21"/>
              </w:rPr>
            </w:pPr>
            <w:r>
              <w:rPr>
                <w:rFonts w:ascii="Times New Roman" w:hAnsi="Times New Roman"/>
                <w:szCs w:val="21"/>
              </w:rPr>
              <w:t>少数股东权益影响额</w:t>
            </w:r>
            <w:r>
              <w:rPr>
                <w:rFonts w:hint="eastAsia" w:ascii="Times New Roman" w:hAnsi="Times New Roman"/>
                <w:szCs w:val="21"/>
              </w:rPr>
              <w:t>（税后）</w:t>
            </w:r>
          </w:p>
        </w:tc>
        <w:tc>
          <w:tcPr>
            <w:tcW w:w="1209" w:type="pct"/>
            <w:vAlign w:val="center"/>
          </w:tcPr>
          <w:p>
            <w:pPr>
              <w:jc w:val="right"/>
              <w:rPr>
                <w:rFonts w:ascii="宋体" w:hAnsi="宋体"/>
                <w:sz w:val="22"/>
              </w:rPr>
            </w:pPr>
            <w:r>
              <w:rPr>
                <w:rFonts w:ascii="宋体" w:hAnsi="宋体"/>
                <w:sz w:val="22"/>
              </w:rPr>
              <w:t>1,760,471</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pct"/>
            <w:vAlign w:val="center"/>
          </w:tcPr>
          <w:p>
            <w:pPr>
              <w:pStyle w:val="543"/>
              <w:ind w:firstLine="0" w:firstLineChars="0"/>
              <w:jc w:val="center"/>
              <w:rPr>
                <w:rFonts w:ascii="Times New Roman" w:hAnsi="Times New Roman"/>
                <w:szCs w:val="21"/>
              </w:rPr>
            </w:pPr>
            <w:r>
              <w:rPr>
                <w:rFonts w:ascii="Times New Roman" w:hAnsi="Times New Roman"/>
                <w:szCs w:val="21"/>
              </w:rPr>
              <w:t>合计</w:t>
            </w:r>
          </w:p>
        </w:tc>
        <w:tc>
          <w:tcPr>
            <w:tcW w:w="1209" w:type="pct"/>
            <w:vAlign w:val="center"/>
          </w:tcPr>
          <w:p>
            <w:pPr>
              <w:jc w:val="right"/>
              <w:rPr>
                <w:rFonts w:ascii="宋体" w:hAnsi="宋体"/>
                <w:sz w:val="22"/>
              </w:rPr>
            </w:pPr>
            <w:r>
              <w:rPr>
                <w:rFonts w:ascii="宋体" w:hAnsi="宋体"/>
                <w:sz w:val="22"/>
              </w:rPr>
              <w:t>1,548,555</w:t>
            </w:r>
            <w:r>
              <w:rPr>
                <w:rFonts w:hint="eastAsia" w:ascii="宋体" w:hAnsi="宋体"/>
                <w:sz w:val="22"/>
              </w:rPr>
              <w:t>　</w:t>
            </w:r>
          </w:p>
        </w:tc>
        <w:tc>
          <w:tcPr>
            <w:tcW w:w="1313" w:type="pct"/>
            <w:vAlign w:val="center"/>
          </w:tcPr>
          <w:p>
            <w:pPr>
              <w:rPr>
                <w:rFonts w:ascii="Times New Roman" w:hAnsi="Times New Roman"/>
              </w:rPr>
            </w:pPr>
            <w:r>
              <w:rPr>
                <w:rFonts w:hint="eastAsia" w:ascii="Times New Roman" w:hAnsi="Times New Roman"/>
              </w:rPr>
              <w:t>　</w:t>
            </w:r>
          </w:p>
        </w:tc>
      </w:tr>
      <w:bookmarkEnd w:id="380"/>
      <w:bookmarkEnd w:id="381"/>
    </w:tbl>
    <w:p>
      <w:pPr>
        <w:pStyle w:val="531"/>
      </w:pPr>
    </w:p>
    <w:p>
      <w:pPr>
        <w:pStyle w:val="501"/>
      </w:pPr>
      <w:r>
        <w:rPr>
          <w:rFonts w:hint="eastAsia"/>
        </w:rPr>
        <w:t>对公司将《公开发行证券的公司信息披露解释性公告第</w:t>
      </w:r>
      <w:r>
        <w:t>1号——非经常性损益》未列举的项目认定为的非经常性损益项目且金额重大的，以及将《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a967cba183d54f83a4f652d6d31302c3"/>
        <w:id w:val="1060837201"/>
        <w:placeholder>
          <w:docPart w:val="GBC22222222222222222222222222222"/>
        </w:placeholder>
      </w:sdtPr>
      <w:sdtContent>
        <w:p>
          <w:pPr>
            <w:pStyle w:val="501"/>
          </w:pPr>
          <w:bookmarkStart w:id="382" w:name="_Hlk154752626"/>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01"/>
      </w:pPr>
    </w:p>
    <w:p>
      <w:pPr>
        <w:spacing w:line="360" w:lineRule="exact"/>
      </w:pPr>
      <w:r>
        <w:rPr>
          <w:rFonts w:hint="eastAsia"/>
        </w:rPr>
        <w:t>其他说明</w:t>
      </w:r>
    </w:p>
    <w:sdt>
      <w:sdtPr>
        <w:alias w:val="是否适用：非经常性损益的其他说明[双击切换]"/>
        <w:tag w:val="_GBC_02aa469151f448ef8b478dba20a7d811"/>
        <w:id w:val="-608974517"/>
        <w:placeholder>
          <w:docPart w:val="GBC22222222222222222222222222222"/>
        </w:placeholder>
      </w:sdtPr>
      <w:sdtContent>
        <w:p>
          <w:pPr>
            <w:pStyle w:val="501"/>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31"/>
      </w:pPr>
    </w:p>
    <w:p>
      <w:pPr>
        <w:pStyle w:val="504"/>
        <w:numPr>
          <w:ilvl w:val="0"/>
          <w:numId w:val="146"/>
        </w:numPr>
        <w:rPr>
          <w:szCs w:val="21"/>
        </w:rPr>
      </w:pPr>
      <w:r>
        <w:rPr>
          <w:rFonts w:hint="eastAsia"/>
          <w:szCs w:val="21"/>
        </w:rPr>
        <w:t>净资产</w:t>
      </w:r>
      <w:r>
        <w:rPr>
          <w:rFonts w:hint="eastAsia" w:ascii="宋体" w:hAnsi="宋体"/>
          <w:szCs w:val="21"/>
        </w:rPr>
        <w:t>收益率</w:t>
      </w:r>
      <w:r>
        <w:rPr>
          <w:rFonts w:hint="eastAsia"/>
          <w:szCs w:val="21"/>
        </w:rPr>
        <w:t>及每股收益</w:t>
      </w:r>
    </w:p>
    <w:bookmarkEnd w:id="382"/>
    <w:sdt>
      <w:sdtPr>
        <w:alias w:val="是否适用：净资产收益率及每股收益[双击切换]"/>
        <w:tag w:val="_GBC_c0f530bdf9ee48239f470eda08b303d7"/>
        <w:id w:val="-1321723661"/>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953"/>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840"/>
        <w:gridCol w:w="1795"/>
        <w:gridCol w:w="2093"/>
        <w:gridCol w:w="2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sdt>
          <w:sdtPr>
            <w:tag w:val="_PLD_85d9a7abc9cd45768b2b5f99afa4a4ef"/>
            <w:id w:val="1632516090"/>
          </w:sdtPr>
          <w:sdtContent>
            <w:tc>
              <w:tcPr>
                <w:tcW w:w="1610" w:type="pct"/>
                <w:vMerge w:val="restart"/>
                <w:tcBorders>
                  <w:top w:val="single" w:color="auto" w:sz="4" w:space="0"/>
                  <w:left w:val="single" w:color="auto" w:sz="4" w:space="0"/>
                  <w:bottom w:val="single" w:color="auto" w:sz="4" w:space="0"/>
                  <w:right w:val="single" w:color="auto" w:sz="4" w:space="0"/>
                </w:tcBorders>
                <w:vAlign w:val="center"/>
              </w:tcPr>
              <w:p>
                <w:pPr>
                  <w:jc w:val="center"/>
                </w:pPr>
                <w:r>
                  <w:t>报告期利润</w:t>
                </w:r>
              </w:p>
            </w:tc>
          </w:sdtContent>
        </w:sdt>
        <w:sdt>
          <w:sdtPr>
            <w:tag w:val="_PLD_7f5ad103cbb04f7d904001b07266bf41"/>
            <w:id w:val="-897047283"/>
          </w:sdtPr>
          <w:sdtContent>
            <w:tc>
              <w:tcPr>
                <w:tcW w:w="1017" w:type="pct"/>
                <w:vMerge w:val="restart"/>
                <w:tcBorders>
                  <w:top w:val="single" w:color="auto" w:sz="4" w:space="0"/>
                  <w:left w:val="single" w:color="auto" w:sz="4" w:space="0"/>
                  <w:right w:val="single" w:color="auto" w:sz="4" w:space="0"/>
                </w:tcBorders>
                <w:vAlign w:val="center"/>
              </w:tcPr>
              <w:p>
                <w:pPr>
                  <w:jc w:val="center"/>
                </w:pPr>
                <w:r>
                  <w:t>加权平均净资产收益率（%）</w:t>
                </w:r>
              </w:p>
            </w:tc>
          </w:sdtContent>
        </w:sdt>
        <w:sdt>
          <w:sdtPr>
            <w:tag w:val="_PLD_adaa515ff68f455d8bcd75e516da3040"/>
            <w:id w:val="-1104035644"/>
          </w:sdtPr>
          <w:sdtContent>
            <w:tc>
              <w:tcPr>
                <w:tcW w:w="2373" w:type="pct"/>
                <w:gridSpan w:val="2"/>
                <w:tcBorders>
                  <w:top w:val="single" w:color="auto" w:sz="4" w:space="0"/>
                  <w:left w:val="single" w:color="auto" w:sz="4" w:space="0"/>
                  <w:bottom w:val="single" w:color="auto" w:sz="4" w:space="0"/>
                  <w:right w:val="single" w:color="auto" w:sz="4" w:space="0"/>
                </w:tcBorders>
                <w:vAlign w:val="center"/>
              </w:tcPr>
              <w:p>
                <w:pPr>
                  <w:jc w:val="center"/>
                </w:pPr>
                <w: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1017" w:type="pct"/>
            <w:vMerge w:val="continue"/>
            <w:tcBorders>
              <w:left w:val="single" w:color="auto" w:sz="4" w:space="0"/>
              <w:bottom w:val="single" w:color="auto" w:sz="4" w:space="0"/>
              <w:right w:val="single" w:color="auto" w:sz="4" w:space="0"/>
            </w:tcBorders>
            <w:vAlign w:val="center"/>
          </w:tcPr>
          <w:p>
            <w:pPr>
              <w:jc w:val="center"/>
            </w:pPr>
          </w:p>
        </w:tc>
        <w:sdt>
          <w:sdtPr>
            <w:tag w:val="_PLD_503a9e353572491fb64751c75881b5ac"/>
            <w:id w:val="-1775632535"/>
          </w:sdtPr>
          <w:sdtContent>
            <w:tc>
              <w:tcPr>
                <w:tcW w:w="1186" w:type="pct"/>
                <w:tcBorders>
                  <w:top w:val="single" w:color="auto" w:sz="4" w:space="0"/>
                  <w:left w:val="single" w:color="auto" w:sz="4" w:space="0"/>
                  <w:bottom w:val="single" w:color="auto" w:sz="4" w:space="0"/>
                  <w:right w:val="single" w:color="auto" w:sz="4" w:space="0"/>
                </w:tcBorders>
                <w:vAlign w:val="center"/>
              </w:tcPr>
              <w:p>
                <w:pPr>
                  <w:jc w:val="center"/>
                </w:pPr>
                <w:r>
                  <w:t>基本每股收益</w:t>
                </w:r>
              </w:p>
            </w:tc>
          </w:sdtContent>
        </w:sdt>
        <w:sdt>
          <w:sdtPr>
            <w:tag w:val="_PLD_b57959d0e3714f2590eb4529892e5c18"/>
            <w:id w:val="-634490693"/>
          </w:sdtPr>
          <w:sdtContent>
            <w:tc>
              <w:tcPr>
                <w:tcW w:w="1187" w:type="pct"/>
                <w:tcBorders>
                  <w:top w:val="single" w:color="auto" w:sz="4" w:space="0"/>
                  <w:left w:val="single" w:color="auto" w:sz="4" w:space="0"/>
                  <w:bottom w:val="single" w:color="auto" w:sz="4" w:space="0"/>
                  <w:right w:val="single" w:color="auto" w:sz="4" w:space="0"/>
                </w:tcBorders>
                <w:vAlign w:val="center"/>
              </w:tcPr>
              <w:p>
                <w:pPr>
                  <w:jc w:val="center"/>
                </w:pPr>
                <w:r>
                  <w:t>稀释每股收益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tcBorders>
              <w:top w:val="single" w:color="auto" w:sz="4" w:space="0"/>
              <w:left w:val="single" w:color="auto" w:sz="4" w:space="0"/>
              <w:bottom w:val="single" w:color="auto" w:sz="4" w:space="0"/>
              <w:right w:val="single" w:color="auto" w:sz="4" w:space="0"/>
            </w:tcBorders>
          </w:tcPr>
          <w:p>
            <w:pPr>
              <w:pStyle w:val="501"/>
            </w:pPr>
            <w:r>
              <w:t>归属于公司普通股股东的净利润</w:t>
            </w:r>
          </w:p>
        </w:tc>
        <w:tc>
          <w:tcPr>
            <w:tcW w:w="10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rPr>
            </w:pPr>
            <w:r>
              <w:rPr>
                <w:rFonts w:ascii="宋体" w:hAnsi="宋体"/>
                <w:sz w:val="22"/>
                <w:szCs w:val="22"/>
              </w:rPr>
              <w:t>21.91</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rPr>
            </w:pPr>
            <w:r>
              <w:rPr>
                <w:rFonts w:ascii="宋体" w:hAnsi="宋体"/>
                <w:sz w:val="22"/>
                <w:szCs w:val="22"/>
              </w:rPr>
              <w:t>2.7421</w:t>
            </w:r>
          </w:p>
        </w:tc>
        <w:tc>
          <w:tcPr>
            <w:tcW w:w="118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rPr>
            </w:pPr>
            <w:r>
              <w:rPr>
                <w:rFonts w:ascii="宋体" w:hAnsi="宋体"/>
                <w:sz w:val="22"/>
                <w:szCs w:val="22"/>
              </w:rPr>
              <w:t>2.7228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tcBorders>
              <w:top w:val="single" w:color="auto" w:sz="4" w:space="0"/>
              <w:left w:val="single" w:color="auto" w:sz="4" w:space="0"/>
              <w:bottom w:val="single" w:color="auto" w:sz="4" w:space="0"/>
              <w:right w:val="single" w:color="auto" w:sz="4" w:space="0"/>
            </w:tcBorders>
          </w:tcPr>
          <w:p>
            <w:pPr>
              <w:rPr>
                <w:rFonts w:ascii="宋体" w:hAnsi="宋体"/>
              </w:rPr>
            </w:pPr>
            <w:r>
              <w:rPr>
                <w:rFonts w:ascii="宋体" w:hAnsi="宋体"/>
              </w:rPr>
              <w:t>扣除非经常性损益后归属于公司普通股股东的净利润</w:t>
            </w:r>
          </w:p>
        </w:tc>
        <w:tc>
          <w:tcPr>
            <w:tcW w:w="101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rPr>
            </w:pPr>
            <w:r>
              <w:rPr>
                <w:rFonts w:ascii="宋体" w:hAnsi="宋体"/>
                <w:sz w:val="22"/>
                <w:szCs w:val="22"/>
              </w:rPr>
              <w:t>20.22</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rPr>
            </w:pPr>
            <w:r>
              <w:rPr>
                <w:rFonts w:ascii="宋体" w:hAnsi="宋体"/>
                <w:sz w:val="22"/>
                <w:szCs w:val="22"/>
              </w:rPr>
              <w:t>2.5312</w:t>
            </w:r>
          </w:p>
        </w:tc>
        <w:tc>
          <w:tcPr>
            <w:tcW w:w="118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2"/>
                <w:szCs w:val="22"/>
              </w:rPr>
            </w:pPr>
            <w:r>
              <w:rPr>
                <w:rFonts w:ascii="宋体" w:hAnsi="宋体"/>
                <w:sz w:val="22"/>
                <w:szCs w:val="22"/>
              </w:rPr>
              <w:t>2.5134</w:t>
            </w:r>
          </w:p>
        </w:tc>
      </w:tr>
    </w:tbl>
    <w:p>
      <w:pPr>
        <w:rPr>
          <w:rFonts w:ascii="宋体" w:hAnsi="宋体"/>
        </w:rPr>
      </w:pPr>
    </w:p>
    <w:p>
      <w:pPr>
        <w:pStyle w:val="504"/>
        <w:numPr>
          <w:ilvl w:val="0"/>
          <w:numId w:val="146"/>
        </w:numPr>
        <w:rPr>
          <w:rFonts w:ascii="宋体" w:hAnsi="宋体"/>
          <w:szCs w:val="21"/>
        </w:rPr>
      </w:pPr>
      <w:r>
        <w:rPr>
          <w:rFonts w:hint="eastAsia" w:ascii="宋体" w:hAnsi="宋体"/>
          <w:szCs w:val="21"/>
        </w:rPr>
        <w:t>境内外会计准则下会计数据差异</w:t>
      </w:r>
    </w:p>
    <w:sdt>
      <w:sdtPr>
        <w:alias w:val="是否适用：境内外会计准则下会计数据差异[双击切换]"/>
        <w:tag w:val="_GBC_256af937a96e4869ba07cb19341957bb"/>
        <w:id w:val="-31887265"/>
        <w:lock w:val="contentLocked"/>
        <w:placeholder>
          <w:docPart w:val="GBC22222222222222222222222222222"/>
        </w:placeholder>
      </w:sdtPr>
      <w:sdtContent>
        <w:p>
          <w:pPr>
            <w:pStyle w:val="531"/>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05"/>
        <w:numPr>
          <w:ilvl w:val="0"/>
          <w:numId w:val="147"/>
        </w:numPr>
        <w:rPr>
          <w:rFonts w:ascii="宋体" w:hAnsi="宋体" w:eastAsia="宋体"/>
        </w:rPr>
      </w:pPr>
      <w:r>
        <w:rPr>
          <w:rFonts w:hint="eastAsia" w:ascii="宋体" w:hAnsi="宋体" w:eastAsia="宋体"/>
        </w:rPr>
        <w:t>同时按照国际会计准则与按中国会计准则披露的财务报告中净利润和净资产差异情况</w:t>
      </w:r>
    </w:p>
    <w:sdt>
      <w:sdtPr>
        <w:rPr>
          <w:rFonts w:hint="eastAsia" w:ascii="宋体" w:hAnsi="宋体"/>
        </w:rPr>
        <w:alias w:val="是否适用：同时按照国际会计准则与按中国会计准则披露的财务报告中净利润和净资产差异情况[双击切换]"/>
        <w:tag w:val="_GBC_d4b99094c68c4643b25e25a564d131d1"/>
        <w:id w:val="1436935495"/>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rPr>
          <w:rFonts w:ascii="宋体" w:hAnsi="宋体"/>
        </w:rPr>
      </w:pPr>
      <w:r>
        <w:rPr>
          <w:rFonts w:hint="eastAsia" w:ascii="宋体" w:hAnsi="宋体"/>
        </w:rPr>
        <w:t>单位：</w:t>
      </w:r>
      <w:sdt>
        <w:sdtPr>
          <w:rPr>
            <w:rFonts w:hint="eastAsia" w:ascii="宋体" w:hAnsi="宋体"/>
          </w:rPr>
          <w:alias w:val="单位：同时按照国际会计准则与按中国会计准则披露的财务报告中净利润和净资产差异情况"/>
          <w:tag w:val="_GBC_4a9c4891050f46febb181a926ba461ae"/>
          <w:id w:val="770052111"/>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千元</w:t>
          </w:r>
        </w:sdtContent>
      </w:sdt>
      <w:r>
        <w:rPr>
          <w:rFonts w:hint="eastAsia" w:ascii="宋体" w:hAnsi="宋体"/>
        </w:rPr>
        <w:t xml:space="preserve">  币种：</w:t>
      </w:r>
      <w:sdt>
        <w:sdtPr>
          <w:rPr>
            <w:rFonts w:hint="eastAsia" w:ascii="宋体" w:hAnsi="宋体"/>
          </w:rPr>
          <w:alias w:val="币种：同时按照国际会计准则与按中国会计准则披露的财务报告中净利润和净资产差异情况"/>
          <w:tag w:val="_GBC_aa48a8ffe5904da68453612258b0bfaa"/>
          <w:id w:val="1591122100"/>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lang w:eastAsia="zh-CN"/>
            </w:rPr>
            <w:t>人民币</w:t>
          </w:r>
        </w:sdtContent>
      </w:sdt>
    </w:p>
    <w:tbl>
      <w:tblPr>
        <w:tblStyle w:val="9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9"/>
        <w:gridCol w:w="1475"/>
        <w:gridCol w:w="1477"/>
        <w:gridCol w:w="1475"/>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654" w:type="pct"/>
            <w:vMerge w:val="restart"/>
            <w:shd w:val="clear" w:color="auto" w:fill="auto"/>
            <w:vAlign w:val="center"/>
          </w:tcPr>
          <w:p>
            <w:pPr>
              <w:jc w:val="center"/>
              <w:rPr>
                <w:rFonts w:ascii="宋体" w:hAnsi="宋体"/>
              </w:rPr>
            </w:pPr>
          </w:p>
        </w:tc>
        <w:sdt>
          <w:sdtPr>
            <w:rPr>
              <w:rFonts w:ascii="宋体" w:hAnsi="宋体"/>
            </w:rPr>
            <w:tag w:val="_PLD_024e18d5f232482baf41a0f3085e0920"/>
            <w:id w:val="-2121212328"/>
          </w:sdtPr>
          <w:sdtEndPr>
            <w:rPr>
              <w:rFonts w:ascii="宋体" w:hAnsi="宋体"/>
            </w:rPr>
          </w:sdtEndPr>
          <w:sdtContent>
            <w:tc>
              <w:tcPr>
                <w:tcW w:w="1673" w:type="pct"/>
                <w:gridSpan w:val="2"/>
                <w:shd w:val="clear" w:color="auto" w:fill="auto"/>
                <w:vAlign w:val="center"/>
              </w:tcPr>
              <w:p>
                <w:pPr>
                  <w:jc w:val="center"/>
                  <w:rPr>
                    <w:rFonts w:ascii="宋体" w:hAnsi="宋体"/>
                  </w:rPr>
                </w:pPr>
                <w:r>
                  <w:rPr>
                    <w:rFonts w:hint="eastAsia" w:ascii="宋体" w:hAnsi="宋体"/>
                  </w:rPr>
                  <w:t>归属于上市公司股东的净利润</w:t>
                </w:r>
              </w:p>
            </w:tc>
          </w:sdtContent>
        </w:sdt>
        <w:sdt>
          <w:sdtPr>
            <w:rPr>
              <w:rFonts w:ascii="宋体" w:hAnsi="宋体"/>
            </w:rPr>
            <w:tag w:val="_PLD_74ae34b8caa548c69fb90a429721e871"/>
            <w:id w:val="1303971836"/>
          </w:sdtPr>
          <w:sdtEndPr>
            <w:rPr>
              <w:rFonts w:ascii="宋体" w:hAnsi="宋体"/>
            </w:rPr>
          </w:sdtEndPr>
          <w:sdtContent>
            <w:tc>
              <w:tcPr>
                <w:tcW w:w="1673" w:type="pct"/>
                <w:gridSpan w:val="2"/>
                <w:shd w:val="clear" w:color="auto" w:fill="auto"/>
                <w:vAlign w:val="center"/>
              </w:tcPr>
              <w:p>
                <w:pPr>
                  <w:jc w:val="center"/>
                  <w:rPr>
                    <w:rFonts w:ascii="宋体" w:hAnsi="宋体"/>
                  </w:rPr>
                </w:pPr>
                <w:r>
                  <w:rPr>
                    <w:rFonts w:hint="eastAsia" w:ascii="宋体" w:hAnsi="宋体"/>
                  </w:rPr>
                  <w:t>归属于上市公司股东的净资产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pct"/>
            <w:vMerge w:val="continue"/>
            <w:shd w:val="clear" w:color="auto" w:fill="auto"/>
            <w:vAlign w:val="center"/>
          </w:tcPr>
          <w:p>
            <w:pPr>
              <w:jc w:val="center"/>
              <w:rPr>
                <w:rFonts w:ascii="宋体" w:hAnsi="宋体"/>
              </w:rPr>
            </w:pPr>
          </w:p>
        </w:tc>
        <w:sdt>
          <w:sdtPr>
            <w:rPr>
              <w:rFonts w:ascii="宋体" w:hAnsi="宋体"/>
            </w:rPr>
            <w:tag w:val="_PLD_c7129e730cf84191aa1826818da93240"/>
            <w:id w:val="-1588539294"/>
          </w:sdtPr>
          <w:sdtEndPr>
            <w:rPr>
              <w:rFonts w:ascii="宋体" w:hAnsi="宋体"/>
            </w:rPr>
          </w:sdtEndPr>
          <w:sdtContent>
            <w:tc>
              <w:tcPr>
                <w:tcW w:w="836" w:type="pct"/>
                <w:shd w:val="clear" w:color="auto" w:fill="auto"/>
                <w:vAlign w:val="center"/>
              </w:tcPr>
              <w:p>
                <w:pPr>
                  <w:jc w:val="center"/>
                  <w:rPr>
                    <w:rFonts w:ascii="宋体" w:hAnsi="宋体"/>
                  </w:rPr>
                </w:pPr>
                <w:r>
                  <w:rPr>
                    <w:rFonts w:hint="eastAsia" w:ascii="宋体" w:hAnsi="宋体"/>
                  </w:rPr>
                  <w:t>本期发生额</w:t>
                </w:r>
              </w:p>
            </w:tc>
          </w:sdtContent>
        </w:sdt>
        <w:sdt>
          <w:sdtPr>
            <w:rPr>
              <w:rFonts w:ascii="宋体" w:hAnsi="宋体"/>
            </w:rPr>
            <w:tag w:val="_PLD_c4db839c354947fd8745e666a8067fce"/>
            <w:id w:val="-1243879297"/>
          </w:sdtPr>
          <w:sdtEndPr>
            <w:rPr>
              <w:rFonts w:ascii="宋体" w:hAnsi="宋体"/>
            </w:rPr>
          </w:sdtEndPr>
          <w:sdtContent>
            <w:tc>
              <w:tcPr>
                <w:tcW w:w="837" w:type="pct"/>
                <w:shd w:val="clear" w:color="auto" w:fill="auto"/>
                <w:vAlign w:val="center"/>
              </w:tcPr>
              <w:p>
                <w:pPr>
                  <w:jc w:val="center"/>
                  <w:rPr>
                    <w:rFonts w:ascii="宋体" w:hAnsi="宋体"/>
                  </w:rPr>
                </w:pPr>
                <w:r>
                  <w:rPr>
                    <w:rFonts w:hint="eastAsia" w:ascii="宋体" w:hAnsi="宋体"/>
                  </w:rPr>
                  <w:t>上期发生额</w:t>
                </w:r>
              </w:p>
            </w:tc>
          </w:sdtContent>
        </w:sdt>
        <w:sdt>
          <w:sdtPr>
            <w:rPr>
              <w:rFonts w:ascii="宋体" w:hAnsi="宋体"/>
            </w:rPr>
            <w:tag w:val="_PLD_1d5d7e03d0eb417f92247cc25d1bba89"/>
            <w:id w:val="-1063243046"/>
          </w:sdtPr>
          <w:sdtEndPr>
            <w:rPr>
              <w:rFonts w:ascii="宋体" w:hAnsi="宋体"/>
            </w:rPr>
          </w:sdtEndPr>
          <w:sdtContent>
            <w:tc>
              <w:tcPr>
                <w:tcW w:w="836" w:type="pct"/>
                <w:shd w:val="clear" w:color="auto" w:fill="auto"/>
                <w:vAlign w:val="center"/>
              </w:tcPr>
              <w:p>
                <w:pPr>
                  <w:jc w:val="center"/>
                  <w:rPr>
                    <w:rFonts w:ascii="宋体" w:hAnsi="宋体"/>
                  </w:rPr>
                </w:pPr>
                <w:r>
                  <w:rPr>
                    <w:rFonts w:hint="eastAsia" w:ascii="宋体" w:hAnsi="宋体"/>
                  </w:rPr>
                  <w:t>期末余额</w:t>
                </w:r>
              </w:p>
            </w:tc>
          </w:sdtContent>
        </w:sdt>
        <w:sdt>
          <w:sdtPr>
            <w:rPr>
              <w:rFonts w:ascii="宋体" w:hAnsi="宋体"/>
            </w:rPr>
            <w:tag w:val="_PLD_06249b5a9b9b4d189488049bace5a89c"/>
            <w:id w:val="850688798"/>
          </w:sdtPr>
          <w:sdtEndPr>
            <w:rPr>
              <w:rFonts w:ascii="宋体" w:hAnsi="宋体"/>
            </w:rPr>
          </w:sdtEndPr>
          <w:sdtContent>
            <w:tc>
              <w:tcPr>
                <w:tcW w:w="837" w:type="pct"/>
                <w:shd w:val="clear" w:color="auto" w:fill="auto"/>
                <w:vAlign w:val="center"/>
              </w:tcPr>
              <w:p>
                <w:pPr>
                  <w:jc w:val="center"/>
                  <w:rPr>
                    <w:rFonts w:ascii="宋体" w:hAnsi="宋体"/>
                  </w:rPr>
                </w:pPr>
                <w:r>
                  <w:rPr>
                    <w:rFonts w:hint="eastAsia" w:ascii="宋体" w:hAnsi="宋体"/>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pct"/>
            <w:shd w:val="clear" w:color="auto" w:fill="auto"/>
            <w:vAlign w:val="center"/>
          </w:tcPr>
          <w:p>
            <w:pPr>
              <w:rPr>
                <w:rFonts w:ascii="宋体" w:hAnsi="宋体"/>
              </w:rPr>
            </w:pPr>
            <w:r>
              <w:rPr>
                <w:rFonts w:hint="eastAsia" w:ascii="宋体" w:hAnsi="宋体"/>
              </w:rPr>
              <w:t>按中国会计准则</w:t>
            </w:r>
          </w:p>
        </w:tc>
        <w:tc>
          <w:tcPr>
            <w:tcW w:w="836" w:type="pct"/>
            <w:shd w:val="clear" w:color="auto" w:fill="auto"/>
            <w:vAlign w:val="center"/>
          </w:tcPr>
          <w:p>
            <w:pPr>
              <w:autoSpaceDE w:val="0"/>
              <w:autoSpaceDN w:val="0"/>
              <w:adjustRightInd w:val="0"/>
              <w:snapToGrid w:val="0"/>
              <w:jc w:val="right"/>
              <w:rPr>
                <w:rFonts w:ascii="宋体" w:hAnsi="宋体"/>
              </w:rPr>
            </w:pPr>
            <w:r>
              <w:rPr>
                <w:rFonts w:hint="eastAsia" w:ascii="宋体" w:hAnsi="宋体"/>
                <w:bCs/>
                <w:sz w:val="22"/>
                <w:szCs w:val="22"/>
              </w:rPr>
              <w:t>20,139,502</w:t>
            </w:r>
          </w:p>
        </w:tc>
        <w:tc>
          <w:tcPr>
            <w:tcW w:w="837" w:type="pct"/>
            <w:shd w:val="clear" w:color="auto" w:fill="auto"/>
            <w:vAlign w:val="center"/>
          </w:tcPr>
          <w:p>
            <w:pPr>
              <w:autoSpaceDE w:val="0"/>
              <w:autoSpaceDN w:val="0"/>
              <w:adjustRightInd w:val="0"/>
              <w:snapToGrid w:val="0"/>
              <w:jc w:val="right"/>
              <w:rPr>
                <w:rFonts w:ascii="宋体" w:hAnsi="宋体"/>
                <w:bCs/>
              </w:rPr>
            </w:pPr>
            <w:r>
              <w:rPr>
                <w:rFonts w:hint="eastAsia" w:ascii="宋体" w:hAnsi="宋体"/>
                <w:bCs/>
                <w:sz w:val="22"/>
                <w:szCs w:val="22"/>
              </w:rPr>
              <w:t>33,356,920</w:t>
            </w:r>
          </w:p>
        </w:tc>
        <w:tc>
          <w:tcPr>
            <w:tcW w:w="836" w:type="pct"/>
            <w:shd w:val="clear" w:color="auto" w:fill="auto"/>
            <w:vAlign w:val="center"/>
          </w:tcPr>
          <w:p>
            <w:pPr>
              <w:jc w:val="right"/>
              <w:rPr>
                <w:rFonts w:ascii="宋体" w:hAnsi="宋体"/>
                <w:bCs/>
              </w:rPr>
            </w:pPr>
            <w:r>
              <w:rPr>
                <w:rFonts w:hint="eastAsia" w:ascii="宋体" w:hAnsi="宋体"/>
                <w:sz w:val="22"/>
                <w:szCs w:val="22"/>
              </w:rPr>
              <w:t>72,693,902</w:t>
            </w:r>
          </w:p>
        </w:tc>
        <w:tc>
          <w:tcPr>
            <w:tcW w:w="837" w:type="pct"/>
            <w:shd w:val="clear" w:color="auto" w:fill="auto"/>
            <w:vAlign w:val="center"/>
          </w:tcPr>
          <w:p>
            <w:pPr>
              <w:autoSpaceDE w:val="0"/>
              <w:autoSpaceDN w:val="0"/>
              <w:adjustRightInd w:val="0"/>
              <w:snapToGrid w:val="0"/>
              <w:jc w:val="right"/>
              <w:rPr>
                <w:rFonts w:ascii="宋体" w:hAnsi="宋体"/>
              </w:rPr>
            </w:pPr>
            <w:r>
              <w:rPr>
                <w:rFonts w:hint="eastAsia" w:ascii="宋体" w:hAnsi="宋体"/>
                <w:sz w:val="22"/>
                <w:szCs w:val="22"/>
              </w:rPr>
              <w:t>99,850,638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cc0171220fa04c20ae903b3935aef8ee"/>
            <w:id w:val="-1895112893"/>
          </w:sdtPr>
          <w:sdtEndPr>
            <w:rPr>
              <w:rFonts w:ascii="宋体" w:hAnsi="宋体"/>
            </w:rPr>
          </w:sdtEndPr>
          <w:sdtContent>
            <w:tc>
              <w:tcPr>
                <w:tcW w:w="5000" w:type="pct"/>
                <w:gridSpan w:val="5"/>
                <w:shd w:val="clear" w:color="auto" w:fill="auto"/>
                <w:vAlign w:val="center"/>
              </w:tcPr>
              <w:p>
                <w:pPr>
                  <w:rPr>
                    <w:rFonts w:ascii="宋体" w:hAnsi="宋体"/>
                  </w:rPr>
                </w:pPr>
                <w:r>
                  <w:rPr>
                    <w:rFonts w:hint="eastAsia" w:ascii="宋体" w:hAnsi="宋体"/>
                  </w:rPr>
                  <w:t>按国际会计准则调整的项目及金额：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pct"/>
            <w:shd w:val="clear" w:color="auto" w:fill="auto"/>
            <w:vAlign w:val="center"/>
          </w:tcPr>
          <w:p>
            <w:pPr>
              <w:rPr>
                <w:rFonts w:ascii="宋体" w:hAnsi="宋体"/>
              </w:rPr>
            </w:pPr>
            <w:r>
              <w:rPr>
                <w:rFonts w:hint="eastAsia" w:ascii="宋体" w:hAnsi="宋体"/>
                <w:sz w:val="22"/>
                <w:szCs w:val="22"/>
              </w:rPr>
              <w:t>1.</w:t>
            </w:r>
            <w:r>
              <w:rPr>
                <w:sz w:val="20"/>
                <w:szCs w:val="20"/>
              </w:rPr>
              <w:t xml:space="preserve"> </w:t>
            </w:r>
            <w:r>
              <w:rPr>
                <w:rFonts w:hint="eastAsia" w:ascii="宋体" w:hAnsi="宋体"/>
                <w:sz w:val="22"/>
                <w:szCs w:val="22"/>
              </w:rPr>
              <w:t>同一控制下合并（注1）</w:t>
            </w:r>
          </w:p>
        </w:tc>
        <w:tc>
          <w:tcPr>
            <w:tcW w:w="836" w:type="pct"/>
            <w:shd w:val="clear" w:color="auto" w:fill="auto"/>
            <w:vAlign w:val="center"/>
          </w:tcPr>
          <w:p>
            <w:pPr>
              <w:jc w:val="right"/>
              <w:rPr>
                <w:rFonts w:ascii="宋体" w:hAnsi="宋体"/>
              </w:rPr>
            </w:pPr>
            <w:r>
              <w:rPr>
                <w:rFonts w:hint="eastAsia" w:ascii="宋体" w:hAnsi="宋体"/>
                <w:sz w:val="22"/>
                <w:szCs w:val="22"/>
              </w:rPr>
              <w:t>1,554,521</w:t>
            </w:r>
          </w:p>
        </w:tc>
        <w:tc>
          <w:tcPr>
            <w:tcW w:w="837" w:type="pct"/>
            <w:shd w:val="clear" w:color="auto" w:fill="auto"/>
            <w:vAlign w:val="center"/>
          </w:tcPr>
          <w:p>
            <w:pPr>
              <w:jc w:val="right"/>
              <w:rPr>
                <w:rFonts w:ascii="宋体" w:hAnsi="宋体"/>
              </w:rPr>
            </w:pPr>
            <w:r>
              <w:rPr>
                <w:rFonts w:ascii="宋体" w:hAnsi="宋体"/>
                <w:sz w:val="22"/>
                <w:szCs w:val="22"/>
              </w:rPr>
              <w:t>2,905,560</w:t>
            </w:r>
          </w:p>
        </w:tc>
        <w:tc>
          <w:tcPr>
            <w:tcW w:w="836" w:type="pct"/>
            <w:shd w:val="clear" w:color="auto" w:fill="auto"/>
            <w:vAlign w:val="center"/>
          </w:tcPr>
          <w:p>
            <w:pPr>
              <w:jc w:val="right"/>
              <w:rPr>
                <w:rFonts w:ascii="宋体" w:hAnsi="宋体"/>
              </w:rPr>
            </w:pPr>
            <w:r>
              <w:rPr>
                <w:rFonts w:ascii="宋体" w:hAnsi="宋体"/>
                <w:sz w:val="22"/>
                <w:szCs w:val="22"/>
              </w:rPr>
              <w:t>-31,134,227</w:t>
            </w:r>
          </w:p>
        </w:tc>
        <w:tc>
          <w:tcPr>
            <w:tcW w:w="837" w:type="pct"/>
            <w:shd w:val="clear" w:color="auto" w:fill="auto"/>
            <w:vAlign w:val="center"/>
          </w:tcPr>
          <w:p>
            <w:pPr>
              <w:jc w:val="right"/>
              <w:rPr>
                <w:rFonts w:ascii="宋体" w:hAnsi="宋体"/>
              </w:rPr>
            </w:pPr>
            <w:r>
              <w:rPr>
                <w:rFonts w:ascii="宋体" w:hAnsi="宋体"/>
                <w:sz w:val="22"/>
                <w:szCs w:val="22"/>
              </w:rPr>
              <w:t>-4,043,076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pct"/>
            <w:shd w:val="clear" w:color="auto" w:fill="auto"/>
            <w:vAlign w:val="center"/>
          </w:tcPr>
          <w:p>
            <w:pPr>
              <w:rPr>
                <w:rFonts w:ascii="宋体" w:hAnsi="宋体"/>
              </w:rPr>
            </w:pPr>
            <w:r>
              <w:rPr>
                <w:rFonts w:hint="eastAsia" w:ascii="宋体" w:hAnsi="宋体"/>
                <w:sz w:val="22"/>
                <w:szCs w:val="22"/>
              </w:rPr>
              <w:t>2.</w:t>
            </w:r>
            <w:r>
              <w:rPr>
                <w:sz w:val="20"/>
                <w:szCs w:val="20"/>
              </w:rPr>
              <w:t xml:space="preserve"> </w:t>
            </w:r>
            <w:r>
              <w:rPr>
                <w:rFonts w:hint="eastAsia" w:ascii="宋体" w:hAnsi="宋体"/>
                <w:sz w:val="22"/>
                <w:szCs w:val="22"/>
              </w:rPr>
              <w:t>专项储备（注2）</w:t>
            </w:r>
          </w:p>
        </w:tc>
        <w:tc>
          <w:tcPr>
            <w:tcW w:w="836" w:type="pct"/>
            <w:shd w:val="clear" w:color="auto" w:fill="auto"/>
            <w:vAlign w:val="center"/>
          </w:tcPr>
          <w:p>
            <w:pPr>
              <w:jc w:val="right"/>
              <w:rPr>
                <w:rFonts w:ascii="宋体" w:hAnsi="宋体"/>
              </w:rPr>
            </w:pPr>
            <w:r>
              <w:rPr>
                <w:rFonts w:hint="eastAsia" w:ascii="宋体" w:hAnsi="宋体"/>
                <w:sz w:val="22"/>
                <w:szCs w:val="22"/>
              </w:rPr>
              <w:t>1,217,481</w:t>
            </w:r>
          </w:p>
        </w:tc>
        <w:tc>
          <w:tcPr>
            <w:tcW w:w="837" w:type="pct"/>
            <w:shd w:val="clear" w:color="auto" w:fill="auto"/>
            <w:vAlign w:val="center"/>
          </w:tcPr>
          <w:p>
            <w:pPr>
              <w:jc w:val="right"/>
              <w:rPr>
                <w:rFonts w:ascii="宋体" w:hAnsi="宋体"/>
              </w:rPr>
            </w:pPr>
            <w:r>
              <w:rPr>
                <w:rFonts w:hint="eastAsia" w:ascii="宋体" w:hAnsi="宋体"/>
                <w:sz w:val="22"/>
                <w:szCs w:val="22"/>
              </w:rPr>
              <w:t>145,643</w:t>
            </w:r>
          </w:p>
        </w:tc>
        <w:tc>
          <w:tcPr>
            <w:tcW w:w="836" w:type="pct"/>
            <w:shd w:val="clear" w:color="auto" w:fill="auto"/>
            <w:vAlign w:val="center"/>
          </w:tcPr>
          <w:p>
            <w:pPr>
              <w:jc w:val="right"/>
              <w:rPr>
                <w:rFonts w:ascii="宋体" w:hAnsi="宋体"/>
              </w:rPr>
            </w:pPr>
            <w:r>
              <w:rPr>
                <w:rFonts w:hint="eastAsia" w:ascii="宋体" w:hAnsi="宋体"/>
                <w:sz w:val="22"/>
                <w:szCs w:val="22"/>
              </w:rPr>
              <w:t>-28,157</w:t>
            </w:r>
          </w:p>
        </w:tc>
        <w:tc>
          <w:tcPr>
            <w:tcW w:w="837" w:type="pct"/>
            <w:shd w:val="clear" w:color="auto" w:fill="auto"/>
            <w:vAlign w:val="center"/>
          </w:tcPr>
          <w:p>
            <w:pPr>
              <w:jc w:val="right"/>
              <w:rPr>
                <w:rFonts w:ascii="宋体" w:hAnsi="宋体"/>
              </w:rPr>
            </w:pPr>
            <w:r>
              <w:rPr>
                <w:rFonts w:hint="eastAsia" w:ascii="宋体" w:hAnsi="宋体"/>
                <w:sz w:val="22"/>
                <w:szCs w:val="22"/>
              </w:rPr>
              <w:t>-31,613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pct"/>
            <w:shd w:val="clear" w:color="auto" w:fill="auto"/>
            <w:vAlign w:val="center"/>
          </w:tcPr>
          <w:p>
            <w:pPr>
              <w:rPr>
                <w:rFonts w:ascii="宋体" w:hAnsi="宋体"/>
              </w:rPr>
            </w:pPr>
            <w:r>
              <w:rPr>
                <w:rFonts w:hint="eastAsia" w:ascii="宋体" w:hAnsi="宋体"/>
                <w:sz w:val="22"/>
                <w:szCs w:val="22"/>
              </w:rPr>
              <w:t>3.</w:t>
            </w:r>
            <w:r>
              <w:rPr>
                <w:sz w:val="20"/>
                <w:szCs w:val="20"/>
              </w:rPr>
              <w:t xml:space="preserve"> </w:t>
            </w:r>
            <w:r>
              <w:rPr>
                <w:rFonts w:hint="eastAsia" w:ascii="宋体" w:hAnsi="宋体"/>
                <w:sz w:val="22"/>
                <w:szCs w:val="22"/>
              </w:rPr>
              <w:t>永续资本债券（注3）</w:t>
            </w:r>
          </w:p>
        </w:tc>
        <w:tc>
          <w:tcPr>
            <w:tcW w:w="836" w:type="pct"/>
            <w:shd w:val="clear" w:color="auto" w:fill="auto"/>
            <w:vAlign w:val="center"/>
          </w:tcPr>
          <w:p>
            <w:pPr>
              <w:jc w:val="right"/>
              <w:rPr>
                <w:rFonts w:ascii="宋体" w:hAnsi="宋体"/>
              </w:rPr>
            </w:pPr>
          </w:p>
        </w:tc>
        <w:tc>
          <w:tcPr>
            <w:tcW w:w="837" w:type="pct"/>
            <w:shd w:val="clear" w:color="auto" w:fill="auto"/>
            <w:vAlign w:val="center"/>
          </w:tcPr>
          <w:p>
            <w:pPr>
              <w:jc w:val="right"/>
              <w:rPr>
                <w:rFonts w:ascii="宋体" w:hAnsi="宋体"/>
              </w:rPr>
            </w:pPr>
          </w:p>
        </w:tc>
        <w:tc>
          <w:tcPr>
            <w:tcW w:w="836" w:type="pct"/>
            <w:shd w:val="clear" w:color="auto" w:fill="auto"/>
            <w:vAlign w:val="center"/>
          </w:tcPr>
          <w:p>
            <w:pPr>
              <w:jc w:val="right"/>
              <w:rPr>
                <w:rFonts w:ascii="宋体" w:hAnsi="宋体"/>
              </w:rPr>
            </w:pPr>
            <w:r>
              <w:rPr>
                <w:rFonts w:hint="eastAsia" w:ascii="宋体" w:hAnsi="宋体"/>
                <w:sz w:val="22"/>
                <w:szCs w:val="22"/>
              </w:rPr>
              <w:t>16,541,777</w:t>
            </w:r>
          </w:p>
        </w:tc>
        <w:tc>
          <w:tcPr>
            <w:tcW w:w="837" w:type="pct"/>
            <w:shd w:val="clear" w:color="auto" w:fill="auto"/>
            <w:vAlign w:val="center"/>
          </w:tcPr>
          <w:p>
            <w:pPr>
              <w:jc w:val="right"/>
              <w:rPr>
                <w:rFonts w:ascii="宋体" w:hAnsi="宋体"/>
              </w:rPr>
            </w:pPr>
            <w:r>
              <w:rPr>
                <w:rFonts w:hint="eastAsia" w:ascii="宋体" w:hAnsi="宋体"/>
                <w:sz w:val="22"/>
                <w:szCs w:val="22"/>
              </w:rPr>
              <w:t>13,248,614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pct"/>
            <w:shd w:val="clear" w:color="auto" w:fill="auto"/>
            <w:vAlign w:val="center"/>
          </w:tcPr>
          <w:p>
            <w:pPr>
              <w:spacing w:line="360" w:lineRule="exact"/>
              <w:rPr>
                <w:rFonts w:ascii="宋体" w:hAnsi="宋体"/>
                <w:sz w:val="22"/>
                <w:szCs w:val="22"/>
              </w:rPr>
            </w:pPr>
            <w:r>
              <w:rPr>
                <w:rFonts w:hint="eastAsia" w:ascii="宋体" w:hAnsi="宋体"/>
                <w:sz w:val="22"/>
                <w:szCs w:val="22"/>
              </w:rPr>
              <w:t>4.</w:t>
            </w:r>
            <w:r>
              <w:rPr>
                <w:sz w:val="20"/>
                <w:szCs w:val="20"/>
              </w:rPr>
              <w:t xml:space="preserve"> </w:t>
            </w:r>
            <w:r>
              <w:rPr>
                <w:rFonts w:hint="eastAsia" w:ascii="宋体" w:hAnsi="宋体"/>
                <w:sz w:val="22"/>
                <w:szCs w:val="22"/>
              </w:rPr>
              <w:t>无形资产减值损失</w:t>
            </w:r>
          </w:p>
          <w:p>
            <w:pPr>
              <w:rPr>
                <w:rFonts w:ascii="宋体" w:hAnsi="宋体"/>
              </w:rPr>
            </w:pPr>
            <w:r>
              <w:rPr>
                <w:rFonts w:hint="eastAsia" w:ascii="宋体" w:hAnsi="宋体"/>
                <w:sz w:val="22"/>
                <w:szCs w:val="22"/>
              </w:rPr>
              <w:t>（注4）</w:t>
            </w:r>
          </w:p>
        </w:tc>
        <w:tc>
          <w:tcPr>
            <w:tcW w:w="836" w:type="pct"/>
            <w:shd w:val="clear" w:color="auto" w:fill="auto"/>
            <w:vAlign w:val="center"/>
          </w:tcPr>
          <w:p>
            <w:pPr>
              <w:jc w:val="right"/>
              <w:rPr>
                <w:rFonts w:ascii="宋体" w:hAnsi="宋体"/>
              </w:rPr>
            </w:pPr>
            <w:r>
              <w:rPr>
                <w:rFonts w:hint="eastAsia" w:ascii="宋体" w:hAnsi="宋体"/>
                <w:sz w:val="22"/>
                <w:szCs w:val="22"/>
              </w:rPr>
              <w:t>10,199</w:t>
            </w:r>
          </w:p>
        </w:tc>
        <w:tc>
          <w:tcPr>
            <w:tcW w:w="837" w:type="pct"/>
            <w:shd w:val="clear" w:color="auto" w:fill="auto"/>
            <w:vAlign w:val="center"/>
          </w:tcPr>
          <w:p>
            <w:pPr>
              <w:jc w:val="right"/>
              <w:rPr>
                <w:rFonts w:ascii="宋体" w:hAnsi="宋体"/>
              </w:rPr>
            </w:pPr>
            <w:r>
              <w:rPr>
                <w:rFonts w:hint="eastAsia" w:ascii="宋体" w:hAnsi="宋体"/>
                <w:sz w:val="22"/>
                <w:szCs w:val="22"/>
              </w:rPr>
              <w:t>10,199</w:t>
            </w:r>
          </w:p>
        </w:tc>
        <w:tc>
          <w:tcPr>
            <w:tcW w:w="836" w:type="pct"/>
            <w:shd w:val="clear" w:color="auto" w:fill="auto"/>
            <w:vAlign w:val="center"/>
          </w:tcPr>
          <w:p>
            <w:pPr>
              <w:jc w:val="right"/>
              <w:rPr>
                <w:rFonts w:ascii="宋体" w:hAnsi="宋体"/>
              </w:rPr>
            </w:pPr>
            <w:r>
              <w:rPr>
                <w:rFonts w:hint="eastAsia" w:ascii="宋体" w:hAnsi="宋体"/>
                <w:sz w:val="22"/>
                <w:szCs w:val="22"/>
              </w:rPr>
              <w:t>-69,042</w:t>
            </w:r>
          </w:p>
        </w:tc>
        <w:tc>
          <w:tcPr>
            <w:tcW w:w="837" w:type="pct"/>
            <w:shd w:val="clear" w:color="auto" w:fill="auto"/>
            <w:vAlign w:val="center"/>
          </w:tcPr>
          <w:p>
            <w:pPr>
              <w:jc w:val="right"/>
              <w:rPr>
                <w:rFonts w:ascii="宋体" w:hAnsi="宋体"/>
              </w:rPr>
            </w:pPr>
            <w:r>
              <w:rPr>
                <w:rFonts w:hint="eastAsia" w:ascii="宋体" w:hAnsi="宋体"/>
                <w:sz w:val="22"/>
                <w:szCs w:val="22"/>
              </w:rPr>
              <w:t>-79,241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pct"/>
            <w:shd w:val="clear" w:color="auto" w:fill="auto"/>
            <w:vAlign w:val="center"/>
          </w:tcPr>
          <w:p>
            <w:pPr>
              <w:rPr>
                <w:rFonts w:ascii="宋体" w:hAnsi="宋体"/>
              </w:rPr>
            </w:pPr>
            <w:r>
              <w:rPr>
                <w:rFonts w:hint="eastAsia" w:ascii="宋体" w:hAnsi="宋体"/>
                <w:sz w:val="22"/>
                <w:szCs w:val="22"/>
              </w:rPr>
              <w:t>5.</w:t>
            </w:r>
            <w:r>
              <w:rPr>
                <w:sz w:val="20"/>
                <w:szCs w:val="20"/>
              </w:rPr>
              <w:t xml:space="preserve"> </w:t>
            </w:r>
            <w:r>
              <w:rPr>
                <w:rFonts w:hint="eastAsia" w:ascii="宋体" w:hAnsi="宋体"/>
                <w:sz w:val="22"/>
                <w:szCs w:val="22"/>
              </w:rPr>
              <w:t>递延税项（注5）</w:t>
            </w:r>
          </w:p>
        </w:tc>
        <w:tc>
          <w:tcPr>
            <w:tcW w:w="836" w:type="pct"/>
            <w:shd w:val="clear" w:color="auto" w:fill="auto"/>
            <w:vAlign w:val="center"/>
          </w:tcPr>
          <w:p>
            <w:pPr>
              <w:jc w:val="right"/>
              <w:rPr>
                <w:rFonts w:ascii="宋体" w:hAnsi="宋体"/>
              </w:rPr>
            </w:pPr>
            <w:r>
              <w:rPr>
                <w:rFonts w:hint="eastAsia" w:ascii="宋体" w:hAnsi="宋体"/>
                <w:sz w:val="22"/>
                <w:szCs w:val="22"/>
              </w:rPr>
              <w:t>-421,671</w:t>
            </w:r>
          </w:p>
        </w:tc>
        <w:tc>
          <w:tcPr>
            <w:tcW w:w="837" w:type="pct"/>
            <w:shd w:val="clear" w:color="auto" w:fill="auto"/>
            <w:vAlign w:val="center"/>
          </w:tcPr>
          <w:p>
            <w:pPr>
              <w:jc w:val="right"/>
              <w:rPr>
                <w:rFonts w:ascii="宋体" w:hAnsi="宋体"/>
              </w:rPr>
            </w:pPr>
            <w:r>
              <w:rPr>
                <w:rFonts w:hint="eastAsia" w:ascii="宋体" w:hAnsi="宋体"/>
                <w:sz w:val="22"/>
                <w:szCs w:val="22"/>
              </w:rPr>
              <w:t>-122,704</w:t>
            </w:r>
          </w:p>
        </w:tc>
        <w:tc>
          <w:tcPr>
            <w:tcW w:w="836" w:type="pct"/>
            <w:shd w:val="clear" w:color="auto" w:fill="auto"/>
            <w:vAlign w:val="center"/>
          </w:tcPr>
          <w:p>
            <w:pPr>
              <w:jc w:val="right"/>
              <w:rPr>
                <w:rFonts w:ascii="宋体" w:hAnsi="宋体"/>
              </w:rPr>
            </w:pPr>
            <w:r>
              <w:rPr>
                <w:rFonts w:ascii="宋体" w:hAnsi="宋体"/>
                <w:sz w:val="22"/>
                <w:szCs w:val="22"/>
              </w:rPr>
              <w:t>-165,665</w:t>
            </w:r>
          </w:p>
        </w:tc>
        <w:tc>
          <w:tcPr>
            <w:tcW w:w="837" w:type="pct"/>
            <w:shd w:val="clear" w:color="auto" w:fill="auto"/>
            <w:vAlign w:val="center"/>
          </w:tcPr>
          <w:p>
            <w:pPr>
              <w:jc w:val="right"/>
              <w:rPr>
                <w:rFonts w:ascii="宋体" w:hAnsi="宋体"/>
              </w:rPr>
            </w:pPr>
            <w:r>
              <w:rPr>
                <w:rFonts w:hint="eastAsia" w:ascii="宋体" w:hAnsi="宋体"/>
                <w:sz w:val="22"/>
                <w:szCs w:val="22"/>
              </w:rPr>
              <w:t>256,006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pct"/>
            <w:shd w:val="clear" w:color="auto" w:fill="auto"/>
            <w:vAlign w:val="center"/>
          </w:tcPr>
          <w:p>
            <w:pPr>
              <w:rPr>
                <w:rFonts w:ascii="宋体" w:hAnsi="宋体"/>
              </w:rPr>
            </w:pPr>
            <w:r>
              <w:rPr>
                <w:rFonts w:hint="eastAsia" w:ascii="宋体" w:hAnsi="宋体"/>
                <w:sz w:val="22"/>
                <w:szCs w:val="22"/>
              </w:rPr>
              <w:t>6.其他</w:t>
            </w:r>
          </w:p>
        </w:tc>
        <w:tc>
          <w:tcPr>
            <w:tcW w:w="836" w:type="pct"/>
            <w:shd w:val="clear" w:color="auto" w:fill="auto"/>
            <w:vAlign w:val="center"/>
          </w:tcPr>
          <w:p>
            <w:pPr>
              <w:jc w:val="right"/>
              <w:rPr>
                <w:rFonts w:ascii="宋体" w:hAnsi="宋体"/>
              </w:rPr>
            </w:pPr>
          </w:p>
        </w:tc>
        <w:tc>
          <w:tcPr>
            <w:tcW w:w="837" w:type="pct"/>
            <w:shd w:val="clear" w:color="auto" w:fill="auto"/>
            <w:vAlign w:val="center"/>
          </w:tcPr>
          <w:p>
            <w:pPr>
              <w:jc w:val="right"/>
              <w:rPr>
                <w:rFonts w:ascii="宋体" w:hAnsi="宋体"/>
              </w:rPr>
            </w:pPr>
          </w:p>
        </w:tc>
        <w:tc>
          <w:tcPr>
            <w:tcW w:w="836" w:type="pct"/>
            <w:shd w:val="clear" w:color="auto" w:fill="auto"/>
            <w:vAlign w:val="center"/>
          </w:tcPr>
          <w:p>
            <w:pPr>
              <w:jc w:val="right"/>
              <w:rPr>
                <w:rFonts w:ascii="宋体" w:hAnsi="宋体"/>
              </w:rPr>
            </w:pPr>
            <w:r>
              <w:rPr>
                <w:rFonts w:hint="eastAsia" w:ascii="宋体" w:hAnsi="宋体"/>
                <w:sz w:val="22"/>
                <w:szCs w:val="22"/>
              </w:rPr>
              <w:t>647,648</w:t>
            </w:r>
          </w:p>
        </w:tc>
        <w:tc>
          <w:tcPr>
            <w:tcW w:w="837" w:type="pct"/>
            <w:shd w:val="clear" w:color="auto" w:fill="auto"/>
            <w:vAlign w:val="center"/>
          </w:tcPr>
          <w:p>
            <w:pPr>
              <w:jc w:val="right"/>
              <w:rPr>
                <w:rFonts w:ascii="宋体" w:hAnsi="宋体"/>
              </w:rPr>
            </w:pPr>
            <w:r>
              <w:rPr>
                <w:rFonts w:hint="eastAsia" w:ascii="宋体" w:hAnsi="宋体"/>
                <w:sz w:val="22"/>
                <w:szCs w:val="22"/>
              </w:rPr>
              <w:t>647,648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pct"/>
            <w:shd w:val="clear" w:color="auto" w:fill="auto"/>
          </w:tcPr>
          <w:p>
            <w:pPr>
              <w:autoSpaceDE w:val="0"/>
              <w:autoSpaceDN w:val="0"/>
              <w:adjustRightInd w:val="0"/>
              <w:snapToGrid w:val="0"/>
              <w:rPr>
                <w:rFonts w:ascii="宋体" w:hAnsi="宋体"/>
              </w:rPr>
            </w:pPr>
            <w:r>
              <w:rPr>
                <w:rFonts w:ascii="宋体" w:hAnsi="宋体"/>
              </w:rPr>
              <w:t>按国际会计准则</w:t>
            </w:r>
          </w:p>
        </w:tc>
        <w:tc>
          <w:tcPr>
            <w:tcW w:w="836" w:type="pct"/>
            <w:shd w:val="clear" w:color="auto" w:fill="auto"/>
            <w:vAlign w:val="center"/>
          </w:tcPr>
          <w:p>
            <w:pPr>
              <w:autoSpaceDE w:val="0"/>
              <w:autoSpaceDN w:val="0"/>
              <w:adjustRightInd w:val="0"/>
              <w:snapToGrid w:val="0"/>
              <w:jc w:val="right"/>
              <w:rPr>
                <w:rFonts w:ascii="宋体" w:hAnsi="宋体"/>
              </w:rPr>
            </w:pPr>
            <w:r>
              <w:rPr>
                <w:rFonts w:hint="eastAsia" w:ascii="宋体" w:hAnsi="宋体"/>
                <w:sz w:val="22"/>
                <w:szCs w:val="22"/>
              </w:rPr>
              <w:t>17,778,972</w:t>
            </w:r>
          </w:p>
        </w:tc>
        <w:tc>
          <w:tcPr>
            <w:tcW w:w="837" w:type="pct"/>
            <w:shd w:val="clear" w:color="auto" w:fill="auto"/>
            <w:vAlign w:val="center"/>
          </w:tcPr>
          <w:p>
            <w:pPr>
              <w:autoSpaceDE w:val="0"/>
              <w:autoSpaceDN w:val="0"/>
              <w:adjustRightInd w:val="0"/>
              <w:snapToGrid w:val="0"/>
              <w:jc w:val="right"/>
              <w:rPr>
                <w:rFonts w:ascii="宋体" w:hAnsi="宋体"/>
                <w:bCs/>
              </w:rPr>
            </w:pPr>
            <w:r>
              <w:rPr>
                <w:rFonts w:ascii="宋体" w:hAnsi="宋体"/>
                <w:sz w:val="22"/>
                <w:szCs w:val="22"/>
              </w:rPr>
              <w:t>30,418,222</w:t>
            </w:r>
          </w:p>
        </w:tc>
        <w:tc>
          <w:tcPr>
            <w:tcW w:w="836" w:type="pct"/>
            <w:shd w:val="clear" w:color="auto" w:fill="auto"/>
            <w:vAlign w:val="center"/>
          </w:tcPr>
          <w:p>
            <w:pPr>
              <w:autoSpaceDE w:val="0"/>
              <w:autoSpaceDN w:val="0"/>
              <w:adjustRightInd w:val="0"/>
              <w:snapToGrid w:val="0"/>
              <w:jc w:val="right"/>
              <w:rPr>
                <w:rFonts w:ascii="宋体" w:hAnsi="宋体"/>
                <w:bCs/>
              </w:rPr>
            </w:pPr>
            <w:r>
              <w:rPr>
                <w:rFonts w:hint="eastAsia" w:ascii="宋体" w:hAnsi="宋体"/>
                <w:sz w:val="22"/>
                <w:szCs w:val="22"/>
              </w:rPr>
              <w:t>86,901,568</w:t>
            </w:r>
          </w:p>
        </w:tc>
        <w:tc>
          <w:tcPr>
            <w:tcW w:w="837" w:type="pct"/>
            <w:shd w:val="clear" w:color="auto" w:fill="auto"/>
            <w:vAlign w:val="center"/>
          </w:tcPr>
          <w:p>
            <w:pPr>
              <w:autoSpaceDE w:val="0"/>
              <w:autoSpaceDN w:val="0"/>
              <w:adjustRightInd w:val="0"/>
              <w:snapToGrid w:val="0"/>
              <w:jc w:val="right"/>
              <w:rPr>
                <w:rFonts w:ascii="宋体" w:hAnsi="宋体"/>
              </w:rPr>
            </w:pPr>
            <w:r>
              <w:rPr>
                <w:rFonts w:ascii="宋体" w:hAnsi="宋体"/>
                <w:sz w:val="22"/>
                <w:szCs w:val="22"/>
              </w:rPr>
              <w:t>89,852,300</w:t>
            </w:r>
          </w:p>
        </w:tc>
      </w:tr>
    </w:tbl>
    <w:p>
      <w:pPr>
        <w:spacing w:before="156" w:beforeLines="50" w:after="156" w:afterLines="50" w:line="360" w:lineRule="exact"/>
        <w:ind w:firstLine="440" w:firstLineChars="200"/>
        <w:rPr>
          <w:rFonts w:ascii="宋体" w:hAnsi="宋体"/>
          <w:kern w:val="0"/>
          <w:sz w:val="22"/>
          <w:szCs w:val="22"/>
        </w:rPr>
      </w:pPr>
      <w:r>
        <w:rPr>
          <w:rFonts w:hint="eastAsia" w:ascii="宋体" w:hAnsi="宋体"/>
          <w:sz w:val="22"/>
          <w:szCs w:val="22"/>
        </w:rPr>
        <w:t>注1：根据中国会计准则，从山东能源收购的有关资产和子公司为同一控制下的企业合并，被合并方的资产和负债以在合并日被合并方的账面价值计量；本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pPr>
        <w:spacing w:before="156" w:beforeLines="50" w:after="156" w:afterLines="50" w:line="360" w:lineRule="exact"/>
        <w:ind w:firstLine="440" w:firstLineChars="200"/>
        <w:rPr>
          <w:rFonts w:ascii="宋体" w:hAnsi="宋体"/>
          <w:sz w:val="22"/>
          <w:szCs w:val="22"/>
        </w:rPr>
      </w:pPr>
      <w:r>
        <w:rPr>
          <w:rFonts w:hint="eastAsia" w:ascii="宋体" w:hAnsi="宋体"/>
          <w:sz w:val="22"/>
          <w:szCs w:val="22"/>
        </w:rPr>
        <w:t>注2：如本附注“五、3</w:t>
      </w:r>
      <w:r>
        <w:rPr>
          <w:rFonts w:ascii="宋体" w:hAnsi="宋体"/>
          <w:sz w:val="22"/>
          <w:szCs w:val="22"/>
        </w:rPr>
        <w:t>8</w:t>
      </w:r>
      <w:r>
        <w:rPr>
          <w:rFonts w:hint="eastAsia" w:ascii="宋体" w:hAnsi="宋体"/>
          <w:sz w:val="22"/>
          <w:szCs w:val="22"/>
        </w:rPr>
        <w:t>各专项储备”所述，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pPr>
        <w:spacing w:before="156" w:beforeLines="50" w:after="156" w:afterLines="50" w:line="360" w:lineRule="exact"/>
        <w:ind w:firstLine="440" w:firstLineChars="200"/>
        <w:rPr>
          <w:rFonts w:ascii="宋体" w:hAnsi="宋体"/>
          <w:sz w:val="22"/>
          <w:szCs w:val="22"/>
        </w:rPr>
      </w:pPr>
      <w:r>
        <w:rPr>
          <w:rFonts w:hint="eastAsia" w:ascii="宋体" w:hAnsi="宋体"/>
          <w:sz w:val="22"/>
          <w:szCs w:val="22"/>
        </w:rPr>
        <w:t>注3：根据中国会计准则，母公司发行的永续资本债券在报表中列示于归属于母公司的所有者权益中，子公司发行的永续资本债券在报表中列示于少数股东权益，而在国际准则中需要在权益变动表单独列示。</w:t>
      </w:r>
    </w:p>
    <w:p>
      <w:pPr>
        <w:spacing w:before="156" w:beforeLines="50" w:after="156" w:afterLines="50" w:line="360" w:lineRule="exact"/>
        <w:ind w:firstLine="440" w:firstLineChars="200"/>
        <w:rPr>
          <w:rFonts w:ascii="宋体" w:hAnsi="宋体"/>
          <w:sz w:val="22"/>
          <w:szCs w:val="22"/>
        </w:rPr>
      </w:pPr>
      <w:r>
        <w:rPr>
          <w:rFonts w:hint="eastAsia" w:ascii="宋体" w:hAnsi="宋体"/>
          <w:sz w:val="22"/>
          <w:szCs w:val="22"/>
        </w:rPr>
        <w:t>注4：根据中国会计准则，长期资产减值准备一经确认，不得转回，在国际准则下，长期资产减值准备可以转回。</w:t>
      </w:r>
    </w:p>
    <w:p>
      <w:pPr>
        <w:spacing w:before="156" w:beforeLines="50" w:after="156" w:afterLines="50" w:line="360" w:lineRule="exact"/>
        <w:ind w:firstLine="440" w:firstLineChars="200"/>
        <w:rPr>
          <w:rFonts w:ascii="宋体" w:hAnsi="宋体"/>
          <w:sz w:val="22"/>
          <w:szCs w:val="22"/>
        </w:rPr>
      </w:pPr>
      <w:r>
        <w:rPr>
          <w:rFonts w:hint="eastAsia" w:ascii="宋体" w:hAnsi="宋体"/>
          <w:sz w:val="22"/>
          <w:szCs w:val="22"/>
        </w:rPr>
        <w:t>注5：上述准则差异同时带来税务及少数股东权益的影响差异。</w:t>
      </w:r>
    </w:p>
    <w:p>
      <w:pPr>
        <w:pStyle w:val="531"/>
      </w:pPr>
    </w:p>
    <w:p>
      <w:pPr>
        <w:pStyle w:val="505"/>
        <w:numPr>
          <w:ilvl w:val="0"/>
          <w:numId w:val="147"/>
        </w:numPr>
        <w:rPr>
          <w:rFonts w:ascii="宋体" w:hAnsi="宋体" w:eastAsia="宋体"/>
        </w:rPr>
      </w:pPr>
      <w:r>
        <w:rPr>
          <w:rFonts w:hint="eastAsia" w:ascii="宋体" w:hAnsi="宋体" w:eastAsia="宋体"/>
        </w:rPr>
        <w:t>同时按照境外会计准则与按中国会计准则披露的财务报告中净利润和净资产差异情况</w:t>
      </w:r>
    </w:p>
    <w:sdt>
      <w:sdtPr>
        <w:rPr>
          <w:rFonts w:ascii="宋体" w:hAnsi="宋体"/>
        </w:rPr>
        <w:alias w:val="是否适用：同时按照境外会计准则与按中国会计准则披露的财务报告中净利润和净资产差异情况[双击切换]"/>
        <w:tag w:val="_GBC_843a3e6ff7b04c838cebdbe1b6b920a2"/>
        <w:id w:val="2100676681"/>
        <w:placeholder>
          <w:docPart w:val="GBC22222222222222222222222222222"/>
        </w:placeholder>
      </w:sdtPr>
      <w:sdtEndPr>
        <w:rPr>
          <w:rFonts w:ascii="宋体" w:hAnsi="宋体"/>
        </w:rPr>
      </w:sdtEndPr>
      <w:sdtContent>
        <w:p>
          <w:pPr>
            <w:tabs>
              <w:tab w:val="left" w:pos="9720"/>
            </w:tabs>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tabs>
          <w:tab w:val="left" w:pos="9720"/>
        </w:tabs>
        <w:rPr>
          <w:rFonts w:ascii="宋体" w:hAnsi="宋体"/>
        </w:rPr>
      </w:pPr>
    </w:p>
    <w:p>
      <w:pPr>
        <w:pStyle w:val="505"/>
        <w:numPr>
          <w:ilvl w:val="0"/>
          <w:numId w:val="147"/>
        </w:numPr>
        <w:rPr>
          <w:rFonts w:ascii="宋体" w:hAnsi="宋体" w:eastAsia="宋体"/>
        </w:rPr>
      </w:pPr>
      <w:r>
        <w:rPr>
          <w:rFonts w:hint="eastAsia" w:ascii="宋体" w:hAnsi="宋体" w:eastAsia="宋体"/>
        </w:rPr>
        <w:t>境内外会计准则下会计数据差异说明，对已经境外审计机构审计的数据进行差异调节的，应注明该境外机构的名称</w:t>
      </w:r>
    </w:p>
    <w:sdt>
      <w:sdtPr>
        <w:rPr>
          <w:rFonts w:hint="eastAsia" w:ascii="宋体" w:hAnsi="宋体"/>
        </w:rPr>
        <w:alias w:val="是否适用：境内外会计准则下会计数据差异说明[双击切换]"/>
        <w:tag w:val="_GBC_a497ab3028c94c17bbc010bcee842739"/>
        <w:id w:val="-222372313"/>
        <w:placeholder>
          <w:docPart w:val="GBC22222222222222222222222222222"/>
        </w:placeholder>
      </w:sdtPr>
      <w:sdtEndPr>
        <w:rPr>
          <w:rFonts w:hint="eastAsia" w:ascii="宋体" w:hAnsi="宋体"/>
        </w:rPr>
      </w:sdtEndPr>
      <w:sdtContent>
        <w:p>
          <w:pPr>
            <w:rPr>
              <w:rFonts w:ascii="宋体" w:hAnsi="宋体" w:cstheme="minorBidi"/>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pStyle w:val="504"/>
        <w:numPr>
          <w:ilvl w:val="0"/>
          <w:numId w:val="146"/>
        </w:numPr>
        <w:rPr>
          <w:rFonts w:ascii="宋体" w:hAnsi="宋体"/>
          <w:szCs w:val="21"/>
        </w:rPr>
      </w:pPr>
      <w:r>
        <w:rPr>
          <w:rFonts w:hint="eastAsia" w:ascii="宋体" w:hAnsi="宋体"/>
          <w:szCs w:val="21"/>
        </w:rPr>
        <w:t>其他</w:t>
      </w:r>
    </w:p>
    <w:sdt>
      <w:sdtPr>
        <w:rPr>
          <w:rFonts w:hint="eastAsia" w:ascii="宋体" w:hAnsi="宋体"/>
        </w:rPr>
        <w:alias w:val="是否适用：补充资料其他说明事项[双击切换]"/>
        <w:tag w:val="_GBC_96c49cb17ab64891ac1d396be649be3c"/>
        <w:id w:val="-568257957"/>
        <w:placeholder>
          <w:docPart w:val="GBC22222222222222222222222222222"/>
        </w:placeholder>
      </w:sdtPr>
      <w:sdtEndPr>
        <w:rPr>
          <w:rFonts w:hint="eastAsia" w:ascii="宋体" w:hAnsi="宋体"/>
        </w:rPr>
      </w:sdtEnd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rPr>
          <w:rFonts w:ascii="宋体" w:hAnsi="宋体"/>
        </w:rPr>
      </w:pPr>
    </w:p>
    <w:p>
      <w:pPr>
        <w:pStyle w:val="501"/>
      </w:pPr>
      <w:r>
        <w:rPr>
          <w:rFonts w:ascii="宋体" w:hAnsi="宋体"/>
          <w:b/>
          <w:bCs/>
          <w:sz w:val="24"/>
        </w:rPr>
        <w:br w:type="page"/>
      </w:r>
    </w:p>
    <w:p>
      <w:pPr>
        <w:rPr>
          <w:b/>
          <w:bCs/>
          <w:sz w:val="24"/>
        </w:rPr>
      </w:pPr>
    </w:p>
    <w:p>
      <w:pPr>
        <w:rPr>
          <w:b/>
          <w:bCs/>
          <w:sz w:val="24"/>
        </w:rPr>
      </w:pPr>
    </w:p>
    <w:p>
      <w:pPr>
        <w:rPr>
          <w:rFonts w:ascii="宋体" w:hAnsi="宋体"/>
          <w:b/>
          <w:bCs/>
          <w:sz w:val="24"/>
        </w:rPr>
      </w:pPr>
    </w:p>
    <w:p>
      <w:pPr>
        <w:wordWrap w:val="0"/>
        <w:spacing w:line="360" w:lineRule="exact"/>
        <w:jc w:val="right"/>
        <w:rPr>
          <w:rFonts w:ascii="宋体" w:hAnsi="宋体"/>
          <w:u w:val="single"/>
        </w:rPr>
      </w:pPr>
      <w:r>
        <w:rPr>
          <w:rFonts w:ascii="宋体" w:hAnsi="宋体"/>
        </w:rPr>
        <w:t>董事长：</w:t>
      </w:r>
      <w:bookmarkStart w:id="383" w:name="_Hlk90043452"/>
      <w:bookmarkStart w:id="384" w:name="_Hlk89951888"/>
      <w:sdt>
        <w:sdtPr>
          <w:rPr>
            <w:rFonts w:ascii="宋体" w:hAnsi="宋体"/>
          </w:rPr>
          <w:alias w:val="报告发布人"/>
          <w:tag w:val="_GBC_728ad6dff57942a69e22fcccc1f10a3c"/>
          <w:id w:val="1184397846"/>
          <w:placeholder>
            <w:docPart w:val="GBC22222222222222222222222222222"/>
          </w:placeholder>
        </w:sdtPr>
        <w:sdtEndPr>
          <w:rPr>
            <w:rFonts w:ascii="宋体" w:hAnsi="宋体"/>
          </w:rPr>
        </w:sdtEndPr>
        <w:sdtContent>
          <w:r>
            <w:rPr>
              <w:rFonts w:hint="eastAsia" w:ascii="宋体" w:hAnsi="宋体"/>
            </w:rPr>
            <w:t>李伟</w:t>
          </w:r>
        </w:sdtContent>
      </w:sdt>
      <w:r>
        <w:rPr>
          <w:rFonts w:hint="eastAsia" w:ascii="宋体" w:hAnsi="宋体"/>
        </w:rPr>
        <w:t xml:space="preserve"> </w:t>
      </w:r>
    </w:p>
    <w:p>
      <w:pPr>
        <w:spacing w:line="360" w:lineRule="exact"/>
        <w:jc w:val="right"/>
        <w:rPr>
          <w:rFonts w:ascii="宋体" w:hAnsi="宋体"/>
        </w:rPr>
      </w:pPr>
      <w:r>
        <w:rPr>
          <w:rFonts w:ascii="宋体" w:hAnsi="宋体"/>
        </w:rPr>
        <w:t>董事会批准报送日期：</w:t>
      </w:r>
      <w:sdt>
        <w:sdtPr>
          <w:rPr>
            <w:rFonts w:ascii="宋体" w:hAnsi="宋体"/>
          </w:rPr>
          <w:alias w:val="报告董事会批准报送日期"/>
          <w:tag w:val="_GBC_7b8c4a7926dc47299591537f5943936d"/>
          <w:id w:val="-2037656734"/>
          <w:placeholder>
            <w:docPart w:val="GBC22222222222222222222222222222"/>
          </w:placeholder>
          <w:date w:fullDate="2024-03-28T00:00:00Z">
            <w:dateFormat w:val="yyyy'年'M'月'd'日'"/>
            <w:lid w:val="zh-CN"/>
            <w:storeMappedDataAs w:val="datetime"/>
            <w:calendar w:val="gregorian"/>
          </w:date>
        </w:sdtPr>
        <w:sdtEndPr>
          <w:rPr>
            <w:rFonts w:ascii="宋体" w:hAnsi="宋体"/>
          </w:rPr>
        </w:sdtEndPr>
        <w:sdtContent>
          <w:r>
            <w:rPr>
              <w:rFonts w:hint="eastAsia" w:ascii="宋体" w:hAnsi="宋体"/>
            </w:rPr>
            <w:t>2024年3月28日</w:t>
          </w:r>
        </w:sdtContent>
      </w:sdt>
      <w:r>
        <w:rPr>
          <w:rFonts w:hint="eastAsia" w:ascii="宋体" w:hAnsi="宋体"/>
        </w:rPr>
        <w:t xml:space="preserve"> </w:t>
      </w:r>
      <w:bookmarkEnd w:id="383"/>
    </w:p>
    <w:bookmarkEnd w:id="384"/>
    <w:p>
      <w:pPr>
        <w:spacing w:line="360" w:lineRule="exact"/>
        <w:ind w:right="5"/>
        <w:rPr>
          <w:u w:val="single"/>
        </w:rPr>
      </w:pPr>
    </w:p>
    <w:p>
      <w:pPr>
        <w:spacing w:line="360" w:lineRule="exact"/>
        <w:ind w:right="5"/>
      </w:pPr>
    </w:p>
    <w:p>
      <w:pPr>
        <w:spacing w:line="360" w:lineRule="exact"/>
        <w:ind w:right="5"/>
        <w:rPr>
          <w:b/>
          <w:sz w:val="24"/>
        </w:rPr>
      </w:pPr>
      <w:r>
        <w:rPr>
          <w:b/>
          <w:sz w:val="24"/>
        </w:rPr>
        <w:t>修订信息</w:t>
      </w:r>
    </w:p>
    <w:sdt>
      <w:sdtPr>
        <w:alias w:val="是否适用：修订信息表[双击切换]"/>
        <w:tag w:val="_GBC_888e757d42a24d3a87b71f50b0589b0a"/>
        <w:id w:val="1190255295"/>
        <w:placeholder>
          <w:docPart w:val="GBC22222222222222222222222222222"/>
        </w:placeholder>
      </w:sdtPr>
      <w:sdtContent>
        <w:p>
          <w:pPr>
            <w:pStyle w:val="43"/>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ectPr>
      <w:pgSz w:w="11906" w:h="16838"/>
      <w:pgMar w:top="1525" w:right="1276" w:bottom="1440" w:left="1797" w:header="856"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Courier New">
    <w:panose1 w:val="02070309020205020404"/>
    <w:charset w:val="00"/>
    <w:family w:val="modern"/>
    <w:pitch w:val="default"/>
    <w:sig w:usb0="E0002EFF" w:usb1="C0007843" w:usb2="00000009" w:usb3="00000000" w:csb0="400001FF" w:csb1="FFFF0000"/>
  </w:font>
  <w:font w:name="Helvetica-Narrow">
    <w:altName w:val="Arial Narrow"/>
    <w:panose1 w:val="00000000000000000000"/>
    <w:charset w:val="00"/>
    <w:family w:val="swiss"/>
    <w:pitch w:val="default"/>
    <w:sig w:usb0="00000000" w:usb1="00000000" w:usb2="00000000" w:usb3="00000000" w:csb0="00000001" w:csb1="00000000"/>
  </w:font>
  <w:font w:name="Noto Sans CJK JP Regular">
    <w:altName w:val="黑体"/>
    <w:panose1 w:val="00000000000000000000"/>
    <w:charset w:val="86"/>
    <w:family w:val="swiss"/>
    <w:pitch w:val="default"/>
    <w:sig w:usb0="00000000" w:usb1="00000000" w:usb2="00000016" w:usb3="00000000" w:csb0="002E0107" w:csb1="00000000"/>
  </w:font>
  <w:font w:name="FZLTSK--GBK1-0">
    <w:altName w:val="Times New Roman"/>
    <w:panose1 w:val="00000000000000000000"/>
    <w:charset w:val="00"/>
    <w:family w:val="roman"/>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MHei-Light-Identity-H">
    <w:altName w:val="MingLiU-ExtB"/>
    <w:panose1 w:val="00000000000000000000"/>
    <w:charset w:val="88"/>
    <w:family w:val="auto"/>
    <w:pitch w:val="default"/>
    <w:sig w:usb0="00000000" w:usb1="00000000" w:usb2="00000010" w:usb3="00000000" w:csb0="00100000" w:csb1="00000000"/>
  </w:font>
  <w:font w:name="宋体-方正超大字符集">
    <w:altName w:val="宋体"/>
    <w:panose1 w:val="00000000000000000000"/>
    <w:charset w:val="86"/>
    <w:family w:val="script"/>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仿宋_GB2312">
    <w:panose1 w:val="02010609030101010101"/>
    <w:charset w:val="86"/>
    <w:family w:val="modern"/>
    <w:pitch w:val="default"/>
    <w:sig w:usb0="00000001" w:usb1="080E0000" w:usb2="00000000" w:usb3="00000000" w:csb0="00040000" w:csb1="00000000"/>
  </w:font>
  <w:font w:name="MHei-Bold-Identity-H">
    <w:altName w:val="MingLiU-ExtB"/>
    <w:panose1 w:val="00000000000000000000"/>
    <w:charset w:val="88"/>
    <w:family w:val="auto"/>
    <w:pitch w:val="default"/>
    <w:sig w:usb0="00000000" w:usb1="00000000" w:usb2="00000010" w:usb3="00000000" w:csb0="00100000" w:csb1="00000000"/>
  </w:font>
  <w:font w:name="Univers-Light">
    <w:altName w:val="Segoe Print"/>
    <w:panose1 w:val="00000000000000000000"/>
    <w:charset w:val="00"/>
    <w:family w:val="roman"/>
    <w:pitch w:val="default"/>
    <w:sig w:usb0="00000000" w:usb1="00000000" w:usb2="00000000" w:usb3="00000000" w:csb0="00000000" w:csb1="00000000"/>
  </w:font>
  <w:font w:name="Arial Narrow">
    <w:panose1 w:val="020B0606020202030204"/>
    <w:charset w:val="00"/>
    <w:family w:val="auto"/>
    <w:pitch w:val="default"/>
    <w:sig w:usb0="00000287" w:usb1="00000800" w:usb2="00000000" w:usb3="00000000" w:csb0="2000009F" w:csb1="DFD70000"/>
  </w:font>
  <w:font w:name="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7835307"/>
      <w:docPartObj>
        <w:docPartGallery w:val="AutoText"/>
      </w:docPartObj>
    </w:sdtPr>
    <w:sdtContent>
      <w:sdt>
        <w:sdtPr>
          <w:id w:val="1080646581"/>
          <w:docPartObj>
            <w:docPartGallery w:val="AutoText"/>
          </w:docPartObj>
        </w:sdtPr>
        <w:sdtContent>
          <w:p>
            <w:pPr>
              <w:pStyle w:val="25"/>
              <w:jc w:val="center"/>
            </w:pP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82</w:t>
            </w:r>
            <w:r>
              <w:rPr>
                <w:b/>
                <w:bCs/>
                <w:sz w:val="24"/>
                <w:szCs w:val="24"/>
              </w:rPr>
              <w:fldChar w:fldCharType="end"/>
            </w:r>
          </w:p>
        </w:sdtContent>
      </w:sdt>
    </w:sdtContent>
  </w:sdt>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8364"/>
        <w:tab w:val="left" w:pos="8505"/>
        <w:tab w:val="clear" w:pos="8306"/>
      </w:tabs>
      <w:ind w:right="21" w:rightChars="10"/>
      <w:rPr>
        <w:b/>
      </w:rPr>
    </w:pPr>
    <w:r>
      <w:rPr>
        <w:rFonts w:hint="eastAsia"/>
      </w:rPr>
      <w:t>2023年年度报告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1331D3"/>
    <w:multiLevelType w:val="multilevel"/>
    <w:tmpl w:val="DE1331D3"/>
    <w:lvl w:ilvl="0" w:tentative="0">
      <w:start w:val="1"/>
      <w:numFmt w:val="chineseCountingThousand"/>
      <w:lvlText w:val="%1."/>
      <w:lvlJc w:val="righ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856A059"/>
    <w:multiLevelType w:val="multilevel"/>
    <w:tmpl w:val="F856A059"/>
    <w:lvl w:ilvl="0" w:tentative="0">
      <w:start w:val="1"/>
      <w:numFmt w:val="decimal"/>
      <w:lvlText w:val="%1)"/>
      <w:lvlJc w:val="left"/>
      <w:pPr>
        <w:tabs>
          <w:tab w:val="left" w:pos="420"/>
        </w:tabs>
        <w:ind w:left="420" w:hanging="420"/>
      </w:pPr>
      <w:rPr>
        <w:b w:val="0"/>
        <w:i w:val="0"/>
      </w:rPr>
    </w:lvl>
    <w:lvl w:ilvl="1" w:tentative="0">
      <w:start w:val="1"/>
      <w:numFmt w:val="decimal"/>
      <w:lvlText w:val="（%2）"/>
      <w:lvlJc w:val="left"/>
      <w:pPr>
        <w:tabs>
          <w:tab w:val="left" w:pos="1580"/>
        </w:tabs>
        <w:ind w:left="1580" w:hanging="720"/>
      </w:pPr>
    </w:lvl>
    <w:lvl w:ilvl="2" w:tentative="0">
      <w:start w:val="1"/>
      <w:numFmt w:val="lowerRoman"/>
      <w:lvlText w:val="%3."/>
      <w:lvlJc w:val="right"/>
      <w:pPr>
        <w:tabs>
          <w:tab w:val="left" w:pos="1700"/>
        </w:tabs>
        <w:ind w:left="1700" w:hanging="420"/>
      </w:pPr>
    </w:lvl>
    <w:lvl w:ilvl="3" w:tentative="0">
      <w:start w:val="1"/>
      <w:numFmt w:val="decimal"/>
      <w:lvlText w:val="%4."/>
      <w:lvlJc w:val="left"/>
      <w:pPr>
        <w:tabs>
          <w:tab w:val="left" w:pos="2120"/>
        </w:tabs>
        <w:ind w:left="2120" w:hanging="420"/>
      </w:pPr>
    </w:lvl>
    <w:lvl w:ilvl="4" w:tentative="0">
      <w:start w:val="1"/>
      <w:numFmt w:val="lowerLetter"/>
      <w:lvlText w:val="%5)"/>
      <w:lvlJc w:val="left"/>
      <w:pPr>
        <w:tabs>
          <w:tab w:val="left" w:pos="2540"/>
        </w:tabs>
        <w:ind w:left="2540" w:hanging="420"/>
      </w:pPr>
    </w:lvl>
    <w:lvl w:ilvl="5" w:tentative="0">
      <w:start w:val="1"/>
      <w:numFmt w:val="lowerRoman"/>
      <w:lvlText w:val="%6."/>
      <w:lvlJc w:val="right"/>
      <w:pPr>
        <w:tabs>
          <w:tab w:val="left" w:pos="2960"/>
        </w:tabs>
        <w:ind w:left="2960" w:hanging="420"/>
      </w:pPr>
    </w:lvl>
    <w:lvl w:ilvl="6" w:tentative="0">
      <w:start w:val="1"/>
      <w:numFmt w:val="decimal"/>
      <w:lvlText w:val="%7."/>
      <w:lvlJc w:val="left"/>
      <w:pPr>
        <w:tabs>
          <w:tab w:val="left" w:pos="3380"/>
        </w:tabs>
        <w:ind w:left="3380" w:hanging="420"/>
      </w:pPr>
    </w:lvl>
    <w:lvl w:ilvl="7" w:tentative="0">
      <w:start w:val="1"/>
      <w:numFmt w:val="lowerLetter"/>
      <w:lvlText w:val="%8)"/>
      <w:lvlJc w:val="left"/>
      <w:pPr>
        <w:tabs>
          <w:tab w:val="left" w:pos="3800"/>
        </w:tabs>
        <w:ind w:left="3800" w:hanging="420"/>
      </w:pPr>
    </w:lvl>
    <w:lvl w:ilvl="8" w:tentative="0">
      <w:start w:val="1"/>
      <w:numFmt w:val="lowerRoman"/>
      <w:lvlText w:val="%9."/>
      <w:lvlJc w:val="right"/>
      <w:pPr>
        <w:tabs>
          <w:tab w:val="left" w:pos="4220"/>
        </w:tabs>
        <w:ind w:left="4220" w:hanging="420"/>
      </w:pPr>
    </w:lvl>
  </w:abstractNum>
  <w:abstractNum w:abstractNumId="2">
    <w:nsid w:val="00533058"/>
    <w:multiLevelType w:val="multilevel"/>
    <w:tmpl w:val="00533058"/>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2E66CBA"/>
    <w:multiLevelType w:val="multilevel"/>
    <w:tmpl w:val="02E66CBA"/>
    <w:lvl w:ilvl="0" w:tentative="0">
      <w:start w:val="1"/>
      <w:numFmt w:val="chineseCountingThousand"/>
      <w:suff w:val="nothing"/>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37142FD"/>
    <w:multiLevelType w:val="multilevel"/>
    <w:tmpl w:val="037142FD"/>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3B7239C"/>
    <w:multiLevelType w:val="multilevel"/>
    <w:tmpl w:val="03B7239C"/>
    <w:lvl w:ilvl="0" w:tentative="0">
      <w:start w:val="1"/>
      <w:numFmt w:val="chineseCountingThousand"/>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4364DD5"/>
    <w:multiLevelType w:val="multilevel"/>
    <w:tmpl w:val="04364DD5"/>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5BF2AD3"/>
    <w:multiLevelType w:val="multilevel"/>
    <w:tmpl w:val="05BF2A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76A22C6"/>
    <w:multiLevelType w:val="multilevel"/>
    <w:tmpl w:val="076A22C6"/>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80D0CFB"/>
    <w:multiLevelType w:val="multilevel"/>
    <w:tmpl w:val="080D0CFB"/>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DC97DB7"/>
    <w:multiLevelType w:val="multilevel"/>
    <w:tmpl w:val="0DC97DB7"/>
    <w:lvl w:ilvl="0" w:tentative="0">
      <w:start w:val="1"/>
      <w:numFmt w:val="japaneseCounting"/>
      <w:lvlText w:val="(%1)"/>
      <w:lvlJc w:val="left"/>
      <w:pPr>
        <w:ind w:left="465" w:hanging="4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DD8578C"/>
    <w:multiLevelType w:val="multilevel"/>
    <w:tmpl w:val="0DD8578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E1F5ED2"/>
    <w:multiLevelType w:val="multilevel"/>
    <w:tmpl w:val="0E1F5ED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0EC24C1F"/>
    <w:multiLevelType w:val="multilevel"/>
    <w:tmpl w:val="0EC24C1F"/>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EE939DD"/>
    <w:multiLevelType w:val="multilevel"/>
    <w:tmpl w:val="0EE939DD"/>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FB258AF"/>
    <w:multiLevelType w:val="multilevel"/>
    <w:tmpl w:val="0FB258A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6">
    <w:nsid w:val="10A00340"/>
    <w:multiLevelType w:val="multilevel"/>
    <w:tmpl w:val="10A00340"/>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51215BB"/>
    <w:multiLevelType w:val="multilevel"/>
    <w:tmpl w:val="151215BB"/>
    <w:lvl w:ilvl="0" w:tentative="0">
      <w:start w:val="1"/>
      <w:numFmt w:val="decimal"/>
      <w:lvlText w:val="(%1)"/>
      <w:lvlJc w:val="left"/>
      <w:pPr>
        <w:ind w:left="435" w:hanging="43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52A0E65"/>
    <w:multiLevelType w:val="multilevel"/>
    <w:tmpl w:val="152A0E65"/>
    <w:lvl w:ilvl="0" w:tentative="0">
      <w:start w:val="1"/>
      <w:numFmt w:val="decimal"/>
      <w:lvlText w:val="%1."/>
      <w:lvlJc w:val="center"/>
      <w:pPr>
        <w:ind w:left="880" w:hanging="440"/>
      </w:pPr>
      <w:rPr>
        <w:rFonts w:hint="eastAsia" w:ascii="宋体" w:hAnsi="宋体" w:eastAsia="宋体"/>
        <w:b/>
        <w:i w:val="0"/>
        <w:color w:val="000000"/>
      </w:rPr>
    </w:lvl>
    <w:lvl w:ilvl="1" w:tentative="0">
      <w:start w:val="1"/>
      <w:numFmt w:val="lowerLetter"/>
      <w:lvlText w:val="%2)"/>
      <w:lvlJc w:val="left"/>
      <w:pPr>
        <w:ind w:left="1320" w:hanging="440"/>
      </w:pPr>
      <w:rPr>
        <w:rFonts w:hint="eastAsia"/>
      </w:rPr>
    </w:lvl>
    <w:lvl w:ilvl="2" w:tentative="0">
      <w:start w:val="1"/>
      <w:numFmt w:val="lowerRoman"/>
      <w:lvlText w:val="%3."/>
      <w:lvlJc w:val="right"/>
      <w:pPr>
        <w:ind w:left="1760" w:hanging="440"/>
      </w:pPr>
      <w:rPr>
        <w:rFonts w:hint="eastAsia"/>
      </w:rPr>
    </w:lvl>
    <w:lvl w:ilvl="3" w:tentative="0">
      <w:start w:val="1"/>
      <w:numFmt w:val="decimal"/>
      <w:lvlText w:val="%4."/>
      <w:lvlJc w:val="left"/>
      <w:pPr>
        <w:ind w:left="2200" w:hanging="440"/>
      </w:pPr>
      <w:rPr>
        <w:rFonts w:hint="eastAsia"/>
      </w:rPr>
    </w:lvl>
    <w:lvl w:ilvl="4" w:tentative="0">
      <w:start w:val="1"/>
      <w:numFmt w:val="lowerLetter"/>
      <w:lvlText w:val="%5)"/>
      <w:lvlJc w:val="left"/>
      <w:pPr>
        <w:ind w:left="2640" w:hanging="440"/>
      </w:pPr>
      <w:rPr>
        <w:rFonts w:hint="eastAsia"/>
      </w:rPr>
    </w:lvl>
    <w:lvl w:ilvl="5" w:tentative="0">
      <w:start w:val="1"/>
      <w:numFmt w:val="lowerRoman"/>
      <w:lvlText w:val="%6."/>
      <w:lvlJc w:val="right"/>
      <w:pPr>
        <w:ind w:left="3080" w:hanging="440"/>
      </w:pPr>
      <w:rPr>
        <w:rFonts w:hint="eastAsia"/>
      </w:rPr>
    </w:lvl>
    <w:lvl w:ilvl="6" w:tentative="0">
      <w:start w:val="1"/>
      <w:numFmt w:val="decimal"/>
      <w:lvlText w:val="%7."/>
      <w:lvlJc w:val="left"/>
      <w:pPr>
        <w:ind w:left="3520" w:hanging="440"/>
      </w:pPr>
      <w:rPr>
        <w:rFonts w:hint="eastAsia"/>
      </w:rPr>
    </w:lvl>
    <w:lvl w:ilvl="7" w:tentative="0">
      <w:start w:val="1"/>
      <w:numFmt w:val="lowerLetter"/>
      <w:lvlText w:val="%8)"/>
      <w:lvlJc w:val="left"/>
      <w:pPr>
        <w:ind w:left="3960" w:hanging="440"/>
      </w:pPr>
      <w:rPr>
        <w:rFonts w:hint="eastAsia"/>
      </w:rPr>
    </w:lvl>
    <w:lvl w:ilvl="8" w:tentative="0">
      <w:start w:val="1"/>
      <w:numFmt w:val="lowerRoman"/>
      <w:lvlText w:val="%9."/>
      <w:lvlJc w:val="right"/>
      <w:pPr>
        <w:ind w:left="4400" w:hanging="440"/>
      </w:pPr>
      <w:rPr>
        <w:rFonts w:hint="eastAsia"/>
      </w:rPr>
    </w:lvl>
  </w:abstractNum>
  <w:abstractNum w:abstractNumId="19">
    <w:nsid w:val="15621257"/>
    <w:multiLevelType w:val="multilevel"/>
    <w:tmpl w:val="1562125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0">
    <w:nsid w:val="15906331"/>
    <w:multiLevelType w:val="multilevel"/>
    <w:tmpl w:val="1590633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85F3408"/>
    <w:multiLevelType w:val="multilevel"/>
    <w:tmpl w:val="185F340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18982D2E"/>
    <w:multiLevelType w:val="multilevel"/>
    <w:tmpl w:val="18982D2E"/>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3">
    <w:nsid w:val="18A52FB9"/>
    <w:multiLevelType w:val="multilevel"/>
    <w:tmpl w:val="18A52FB9"/>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9B61093"/>
    <w:multiLevelType w:val="multilevel"/>
    <w:tmpl w:val="19B61093"/>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A876789"/>
    <w:multiLevelType w:val="multilevel"/>
    <w:tmpl w:val="1A876789"/>
    <w:lvl w:ilvl="0" w:tentative="0">
      <w:start w:val="1"/>
      <w:numFmt w:val="decimal"/>
      <w:lvlText w:val="%1."/>
      <w:lvlJc w:val="left"/>
      <w:pPr>
        <w:ind w:left="420" w:hanging="420"/>
      </w:pPr>
      <w:rPr>
        <w:rFonts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B0970AA"/>
    <w:multiLevelType w:val="multilevel"/>
    <w:tmpl w:val="1B0970AA"/>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7">
    <w:nsid w:val="1BCF0D86"/>
    <w:multiLevelType w:val="multilevel"/>
    <w:tmpl w:val="1BCF0D86"/>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C0A5E4B"/>
    <w:multiLevelType w:val="multilevel"/>
    <w:tmpl w:val="1C0A5E4B"/>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1CEC30BF"/>
    <w:multiLevelType w:val="multilevel"/>
    <w:tmpl w:val="1CEC30BF"/>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1D11584D"/>
    <w:multiLevelType w:val="multilevel"/>
    <w:tmpl w:val="1D11584D"/>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1E235F8B"/>
    <w:multiLevelType w:val="multilevel"/>
    <w:tmpl w:val="1E235F8B"/>
    <w:lvl w:ilvl="0" w:tentative="0">
      <w:start w:val="1"/>
      <w:numFmt w:val="chineseCountingThousand"/>
      <w:lvlText w:val="第%1节"/>
      <w:lvlJc w:val="left"/>
      <w:pPr>
        <w:ind w:left="425" w:hanging="425"/>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2">
    <w:nsid w:val="1F4131F6"/>
    <w:multiLevelType w:val="multilevel"/>
    <w:tmpl w:val="1F4131F6"/>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1F6D425C"/>
    <w:multiLevelType w:val="multilevel"/>
    <w:tmpl w:val="1F6D425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1F9677B9"/>
    <w:multiLevelType w:val="multilevel"/>
    <w:tmpl w:val="1F9677B9"/>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5">
    <w:nsid w:val="1FD019D7"/>
    <w:multiLevelType w:val="multilevel"/>
    <w:tmpl w:val="1FD019D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6">
    <w:nsid w:val="204F3B0A"/>
    <w:multiLevelType w:val="multilevel"/>
    <w:tmpl w:val="204F3B0A"/>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ascii="宋体" w:hAnsi="宋体" w:eastAsia="宋体"/>
      </w:rPr>
    </w:lvl>
    <w:lvl w:ilvl="2" w:tentative="0">
      <w:start w:val="1"/>
      <w:numFmt w:val="chineseCountingThousand"/>
      <w:suff w:val="nothing"/>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7">
    <w:nsid w:val="2052160B"/>
    <w:multiLevelType w:val="multilevel"/>
    <w:tmpl w:val="205216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217F3B1B"/>
    <w:multiLevelType w:val="multilevel"/>
    <w:tmpl w:val="217F3B1B"/>
    <w:lvl w:ilvl="0" w:tentative="0">
      <w:start w:val="1"/>
      <w:numFmt w:val="decimal"/>
      <w:lvlText w:val="(%1)."/>
      <w:lvlJc w:val="left"/>
      <w:pPr>
        <w:ind w:left="1842" w:hanging="425"/>
      </w:pPr>
      <w:rPr>
        <w:rFonts w:hint="default" w:ascii="宋体" w:hAnsi="宋体" w:eastAsia="宋体"/>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9">
    <w:nsid w:val="21A7388C"/>
    <w:multiLevelType w:val="multilevel"/>
    <w:tmpl w:val="21A7388C"/>
    <w:lvl w:ilvl="0" w:tentative="0">
      <w:start w:val="1"/>
      <w:numFmt w:val="chineseCountingThousand"/>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0">
    <w:nsid w:val="228F0FB9"/>
    <w:multiLevelType w:val="multilevel"/>
    <w:tmpl w:val="228F0FB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246C0E3A"/>
    <w:multiLevelType w:val="multilevel"/>
    <w:tmpl w:val="246C0E3A"/>
    <w:lvl w:ilvl="0" w:tentative="0">
      <w:start w:val="1"/>
      <w:numFmt w:val="decimal"/>
      <w:lvlText w:val="(%1). "/>
      <w:lvlJc w:val="left"/>
      <w:pPr>
        <w:ind w:left="425" w:hanging="425"/>
      </w:pPr>
      <w:rPr>
        <w:rFonts w:hint="eastAsia"/>
        <w:color w:val="auto"/>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2">
    <w:nsid w:val="24CB2D1C"/>
    <w:multiLevelType w:val="multilevel"/>
    <w:tmpl w:val="24CB2D1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val="0"/>
        <w:bCs/>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3">
    <w:nsid w:val="273131BF"/>
    <w:multiLevelType w:val="multilevel"/>
    <w:tmpl w:val="273131B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4">
    <w:nsid w:val="2AB9492A"/>
    <w:multiLevelType w:val="multilevel"/>
    <w:tmpl w:val="2AB9492A"/>
    <w:lvl w:ilvl="0" w:tentative="0">
      <w:start w:val="1"/>
      <w:numFmt w:val="decimal"/>
      <w:lvlText w:val="%1."/>
      <w:lvlJc w:val="left"/>
      <w:pPr>
        <w:ind w:left="425" w:hanging="425"/>
      </w:pPr>
    </w:lvl>
    <w:lvl w:ilvl="1" w:tentative="0">
      <w:start w:val="1"/>
      <w:numFmt w:val="chineseCountingThousand"/>
      <w:lvlText w:val="(%2)"/>
      <w:lvlJc w:val="left"/>
      <w:pPr>
        <w:ind w:left="567" w:hanging="567"/>
      </w:pPr>
      <w:rPr>
        <w:rFonts w:ascii="宋体" w:hAnsi="宋体" w:eastAsia="宋体"/>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5">
    <w:nsid w:val="2ABA5091"/>
    <w:multiLevelType w:val="multilevel"/>
    <w:tmpl w:val="2ABA509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2AF651E5"/>
    <w:multiLevelType w:val="multilevel"/>
    <w:tmpl w:val="2AF651E5"/>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B081EE9"/>
    <w:multiLevelType w:val="multilevel"/>
    <w:tmpl w:val="2B081EE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8">
    <w:nsid w:val="2C6C7566"/>
    <w:multiLevelType w:val="multilevel"/>
    <w:tmpl w:val="2C6C7566"/>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9">
    <w:nsid w:val="2C7D045A"/>
    <w:multiLevelType w:val="multilevel"/>
    <w:tmpl w:val="2C7D045A"/>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2CA14C24"/>
    <w:multiLevelType w:val="multilevel"/>
    <w:tmpl w:val="2CA14C24"/>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51">
    <w:nsid w:val="2D223BC3"/>
    <w:multiLevelType w:val="multilevel"/>
    <w:tmpl w:val="2D223BC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2">
    <w:nsid w:val="2DE55932"/>
    <w:multiLevelType w:val="multilevel"/>
    <w:tmpl w:val="2DE55932"/>
    <w:lvl w:ilvl="0" w:tentative="0">
      <w:start w:val="1"/>
      <w:numFmt w:val="chineseCountingThousand"/>
      <w:suff w:val="nothing"/>
      <w:lvlText w:val="%1、"/>
      <w:lvlJc w:val="left"/>
      <w:pPr>
        <w:ind w:left="420" w:hanging="420"/>
      </w:pPr>
      <w:rPr>
        <w:rFonts w:hint="eastAsia"/>
        <w:b/>
        <w:color w:val="auto"/>
      </w:rPr>
    </w:lvl>
    <w:lvl w:ilvl="1" w:tentative="0">
      <w:start w:val="2"/>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2EE12A98"/>
    <w:multiLevelType w:val="multilevel"/>
    <w:tmpl w:val="2EE12A98"/>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4">
    <w:nsid w:val="304B6811"/>
    <w:multiLevelType w:val="multilevel"/>
    <w:tmpl w:val="304B6811"/>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55">
    <w:nsid w:val="31042AC8"/>
    <w:multiLevelType w:val="multilevel"/>
    <w:tmpl w:val="31042AC8"/>
    <w:lvl w:ilvl="0" w:tentative="0">
      <w:start w:val="1"/>
      <w:numFmt w:val="chineseCountingThousand"/>
      <w:suff w:val="nothing"/>
      <w:lvlText w:val="%1、"/>
      <w:lvlJc w:val="left"/>
      <w:pPr>
        <w:ind w:left="420" w:hanging="420"/>
      </w:pPr>
      <w:rPr>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6">
    <w:nsid w:val="322A2C22"/>
    <w:multiLevelType w:val="multilevel"/>
    <w:tmpl w:val="322A2C22"/>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326F7C0F"/>
    <w:multiLevelType w:val="multilevel"/>
    <w:tmpl w:val="326F7C0F"/>
    <w:lvl w:ilvl="0" w:tentative="0">
      <w:start w:val="1"/>
      <w:numFmt w:val="decimal"/>
      <w:suff w:val="nothing"/>
      <w:lvlText w:val="(%1)."/>
      <w:lvlJc w:val="left"/>
      <w:pPr>
        <w:ind w:left="420" w:hanging="42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3438131C"/>
    <w:multiLevelType w:val="multilevel"/>
    <w:tmpl w:val="3438131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9">
    <w:nsid w:val="346B3069"/>
    <w:multiLevelType w:val="multilevel"/>
    <w:tmpl w:val="346B3069"/>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60">
    <w:nsid w:val="352D39A8"/>
    <w:multiLevelType w:val="multilevel"/>
    <w:tmpl w:val="352D39A8"/>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35E84CCB"/>
    <w:multiLevelType w:val="multilevel"/>
    <w:tmpl w:val="35E84CCB"/>
    <w:lvl w:ilvl="0" w:tentative="0">
      <w:start w:val="1"/>
      <w:numFmt w:val="decimal"/>
      <w:lvlText w:val="%1."/>
      <w:lvlJc w:val="left"/>
      <w:pPr>
        <w:ind w:left="880" w:hanging="440"/>
      </w:pPr>
      <w:rPr>
        <w:rFonts w:hint="eastAsia"/>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62">
    <w:nsid w:val="37C3610E"/>
    <w:multiLevelType w:val="multilevel"/>
    <w:tmpl w:val="37C3610E"/>
    <w:lvl w:ilvl="0" w:tentative="0">
      <w:start w:val="1"/>
      <w:numFmt w:val="chineseCountingThousand"/>
      <w:lvlText w:val="%1、"/>
      <w:lvlJc w:val="left"/>
      <w:pPr>
        <w:ind w:left="704" w:hanging="42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391941CF"/>
    <w:multiLevelType w:val="multilevel"/>
    <w:tmpl w:val="391941CF"/>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64">
    <w:nsid w:val="3D2B6D0A"/>
    <w:multiLevelType w:val="multilevel"/>
    <w:tmpl w:val="3D2B6D0A"/>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3D620F38"/>
    <w:multiLevelType w:val="multilevel"/>
    <w:tmpl w:val="3D620F38"/>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3EA740FE"/>
    <w:multiLevelType w:val="multilevel"/>
    <w:tmpl w:val="3EA740F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7">
    <w:nsid w:val="3F1C5616"/>
    <w:multiLevelType w:val="multilevel"/>
    <w:tmpl w:val="3F1C5616"/>
    <w:lvl w:ilvl="0" w:tentative="0">
      <w:start w:val="1"/>
      <w:numFmt w:val="japaneseCounting"/>
      <w:lvlText w:val="(%1)"/>
      <w:lvlJc w:val="left"/>
      <w:pPr>
        <w:ind w:left="360" w:hanging="360"/>
      </w:pPr>
      <w:rPr>
        <w:rFonts w:hint="default"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3F765F7B"/>
    <w:multiLevelType w:val="multilevel"/>
    <w:tmpl w:val="3F765F7B"/>
    <w:lvl w:ilvl="0" w:tentative="0">
      <w:start w:val="1"/>
      <w:numFmt w:val="decimal"/>
      <w:lvlText w:val="%1）"/>
      <w:lvlJc w:val="left"/>
      <w:pPr>
        <w:ind w:left="1240" w:hanging="360"/>
      </w:pPr>
      <w:rPr>
        <w:rFonts w:hint="default"/>
      </w:rPr>
    </w:lvl>
    <w:lvl w:ilvl="1" w:tentative="0">
      <w:start w:val="1"/>
      <w:numFmt w:val="lowerLetter"/>
      <w:lvlText w:val="%2)"/>
      <w:lvlJc w:val="left"/>
      <w:pPr>
        <w:ind w:left="1720" w:hanging="420"/>
      </w:pPr>
    </w:lvl>
    <w:lvl w:ilvl="2" w:tentative="0">
      <w:start w:val="1"/>
      <w:numFmt w:val="lowerRoman"/>
      <w:lvlText w:val="%3."/>
      <w:lvlJc w:val="right"/>
      <w:pPr>
        <w:ind w:left="2140" w:hanging="420"/>
      </w:pPr>
    </w:lvl>
    <w:lvl w:ilvl="3" w:tentative="0">
      <w:start w:val="1"/>
      <w:numFmt w:val="decimal"/>
      <w:lvlText w:val="%4."/>
      <w:lvlJc w:val="left"/>
      <w:pPr>
        <w:ind w:left="2560" w:hanging="420"/>
      </w:pPr>
    </w:lvl>
    <w:lvl w:ilvl="4" w:tentative="0">
      <w:start w:val="1"/>
      <w:numFmt w:val="lowerLetter"/>
      <w:lvlText w:val="%5)"/>
      <w:lvlJc w:val="left"/>
      <w:pPr>
        <w:ind w:left="2980" w:hanging="420"/>
      </w:pPr>
    </w:lvl>
    <w:lvl w:ilvl="5" w:tentative="0">
      <w:start w:val="1"/>
      <w:numFmt w:val="lowerRoman"/>
      <w:lvlText w:val="%6."/>
      <w:lvlJc w:val="right"/>
      <w:pPr>
        <w:ind w:left="3400" w:hanging="420"/>
      </w:pPr>
    </w:lvl>
    <w:lvl w:ilvl="6" w:tentative="0">
      <w:start w:val="1"/>
      <w:numFmt w:val="decimal"/>
      <w:lvlText w:val="%7."/>
      <w:lvlJc w:val="left"/>
      <w:pPr>
        <w:ind w:left="3820" w:hanging="420"/>
      </w:pPr>
    </w:lvl>
    <w:lvl w:ilvl="7" w:tentative="0">
      <w:start w:val="1"/>
      <w:numFmt w:val="lowerLetter"/>
      <w:lvlText w:val="%8)"/>
      <w:lvlJc w:val="left"/>
      <w:pPr>
        <w:ind w:left="4240" w:hanging="420"/>
      </w:pPr>
    </w:lvl>
    <w:lvl w:ilvl="8" w:tentative="0">
      <w:start w:val="1"/>
      <w:numFmt w:val="lowerRoman"/>
      <w:lvlText w:val="%9."/>
      <w:lvlJc w:val="right"/>
      <w:pPr>
        <w:ind w:left="4660" w:hanging="420"/>
      </w:pPr>
    </w:lvl>
  </w:abstractNum>
  <w:abstractNum w:abstractNumId="69">
    <w:nsid w:val="3FAB46A5"/>
    <w:multiLevelType w:val="multilevel"/>
    <w:tmpl w:val="3FAB46A5"/>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0">
    <w:nsid w:val="3FE73FD6"/>
    <w:multiLevelType w:val="multilevel"/>
    <w:tmpl w:val="3FE73FD6"/>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1">
    <w:nsid w:val="401A73B0"/>
    <w:multiLevelType w:val="multilevel"/>
    <w:tmpl w:val="401A73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2">
    <w:nsid w:val="40973487"/>
    <w:multiLevelType w:val="multilevel"/>
    <w:tmpl w:val="4097348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3">
    <w:nsid w:val="44360F32"/>
    <w:multiLevelType w:val="multilevel"/>
    <w:tmpl w:val="44360F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4">
    <w:nsid w:val="452D24C2"/>
    <w:multiLevelType w:val="multilevel"/>
    <w:tmpl w:val="452D24C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5">
    <w:nsid w:val="45D95701"/>
    <w:multiLevelType w:val="multilevel"/>
    <w:tmpl w:val="45D9570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6">
    <w:nsid w:val="45EE0604"/>
    <w:multiLevelType w:val="multilevel"/>
    <w:tmpl w:val="45EE0604"/>
    <w:lvl w:ilvl="0" w:tentative="0">
      <w:start w:val="1"/>
      <w:numFmt w:val="japaneseCounting"/>
      <w:lvlText w:val="(%1)"/>
      <w:lvlJc w:val="left"/>
      <w:pPr>
        <w:ind w:left="440" w:hanging="440"/>
      </w:pPr>
      <w:rPr>
        <w:rFonts w:hint="default" w:asciiTheme="minorEastAsia" w:hAnsiTheme="minorEastAsia" w:eastAsiaTheme="minorEastAsia"/>
      </w:rPr>
    </w:lvl>
    <w:lvl w:ilvl="1" w:tentative="0">
      <w:start w:val="2"/>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7">
    <w:nsid w:val="463E0B3C"/>
    <w:multiLevelType w:val="multilevel"/>
    <w:tmpl w:val="463E0B3C"/>
    <w:lvl w:ilvl="0" w:tentative="0">
      <w:start w:val="1"/>
      <w:numFmt w:val="chineseCountingThousand"/>
      <w:lvlText w:val="(%1)"/>
      <w:lvlJc w:val="left"/>
      <w:pPr>
        <w:ind w:left="425" w:hanging="425"/>
      </w:pPr>
      <w:rPr>
        <w:rFonts w:hint="eastAsia" w:asciiTheme="minorEastAsia" w:hAnsiTheme="minorEastAsia" w:eastAsiaTheme="minor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8">
    <w:nsid w:val="46E20981"/>
    <w:multiLevelType w:val="multilevel"/>
    <w:tmpl w:val="46E2098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9">
    <w:nsid w:val="47B412BD"/>
    <w:multiLevelType w:val="multilevel"/>
    <w:tmpl w:val="47B412B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0">
    <w:nsid w:val="4804739B"/>
    <w:multiLevelType w:val="multilevel"/>
    <w:tmpl w:val="4804739B"/>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81">
    <w:nsid w:val="49C71EB0"/>
    <w:multiLevelType w:val="multilevel"/>
    <w:tmpl w:val="49C71E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2">
    <w:nsid w:val="4A125FEF"/>
    <w:multiLevelType w:val="multilevel"/>
    <w:tmpl w:val="4A125FE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4AC23DB8"/>
    <w:multiLevelType w:val="multilevel"/>
    <w:tmpl w:val="4AC23DB8"/>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4ACD5C44"/>
    <w:multiLevelType w:val="multilevel"/>
    <w:tmpl w:val="4ACD5C44"/>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4B036792"/>
    <w:multiLevelType w:val="multilevel"/>
    <w:tmpl w:val="4B036792"/>
    <w:lvl w:ilvl="0" w:tentative="0">
      <w:start w:val="1"/>
      <w:numFmt w:val="decimal"/>
      <w:lvlText w:val="%1）"/>
      <w:lvlJc w:val="left"/>
      <w:pPr>
        <w:ind w:left="880" w:hanging="440"/>
      </w:pPr>
      <w:rPr>
        <w:rFonts w:hint="eastAsia"/>
        <w:b w:val="0"/>
        <w:bCs w:val="0"/>
        <w:i w:val="0"/>
        <w:color w:val="000000"/>
      </w:rPr>
    </w:lvl>
    <w:lvl w:ilvl="1" w:tentative="0">
      <w:start w:val="1"/>
      <w:numFmt w:val="lowerLetter"/>
      <w:lvlText w:val="%2)"/>
      <w:lvlJc w:val="left"/>
      <w:pPr>
        <w:ind w:left="1320" w:hanging="440"/>
      </w:pPr>
      <w:rPr>
        <w:rFonts w:hint="eastAsia"/>
      </w:rPr>
    </w:lvl>
    <w:lvl w:ilvl="2" w:tentative="0">
      <w:start w:val="1"/>
      <w:numFmt w:val="lowerRoman"/>
      <w:lvlText w:val="%3."/>
      <w:lvlJc w:val="right"/>
      <w:pPr>
        <w:ind w:left="1760" w:hanging="440"/>
      </w:pPr>
      <w:rPr>
        <w:rFonts w:hint="eastAsia"/>
      </w:rPr>
    </w:lvl>
    <w:lvl w:ilvl="3" w:tentative="0">
      <w:start w:val="1"/>
      <w:numFmt w:val="decimal"/>
      <w:lvlText w:val="%4."/>
      <w:lvlJc w:val="left"/>
      <w:pPr>
        <w:ind w:left="2200" w:hanging="440"/>
      </w:pPr>
      <w:rPr>
        <w:rFonts w:hint="eastAsia"/>
      </w:rPr>
    </w:lvl>
    <w:lvl w:ilvl="4" w:tentative="0">
      <w:start w:val="1"/>
      <w:numFmt w:val="lowerLetter"/>
      <w:lvlText w:val="%5)"/>
      <w:lvlJc w:val="left"/>
      <w:pPr>
        <w:ind w:left="2640" w:hanging="440"/>
      </w:pPr>
      <w:rPr>
        <w:rFonts w:hint="eastAsia"/>
      </w:rPr>
    </w:lvl>
    <w:lvl w:ilvl="5" w:tentative="0">
      <w:start w:val="1"/>
      <w:numFmt w:val="lowerRoman"/>
      <w:lvlText w:val="%6."/>
      <w:lvlJc w:val="right"/>
      <w:pPr>
        <w:ind w:left="3080" w:hanging="440"/>
      </w:pPr>
      <w:rPr>
        <w:rFonts w:hint="eastAsia"/>
      </w:rPr>
    </w:lvl>
    <w:lvl w:ilvl="6" w:tentative="0">
      <w:start w:val="1"/>
      <w:numFmt w:val="decimal"/>
      <w:lvlText w:val="%7."/>
      <w:lvlJc w:val="left"/>
      <w:pPr>
        <w:ind w:left="3520" w:hanging="440"/>
      </w:pPr>
      <w:rPr>
        <w:rFonts w:hint="eastAsia"/>
      </w:rPr>
    </w:lvl>
    <w:lvl w:ilvl="7" w:tentative="0">
      <w:start w:val="1"/>
      <w:numFmt w:val="lowerLetter"/>
      <w:lvlText w:val="%8)"/>
      <w:lvlJc w:val="left"/>
      <w:pPr>
        <w:ind w:left="3960" w:hanging="440"/>
      </w:pPr>
      <w:rPr>
        <w:rFonts w:hint="eastAsia"/>
      </w:rPr>
    </w:lvl>
    <w:lvl w:ilvl="8" w:tentative="0">
      <w:start w:val="1"/>
      <w:numFmt w:val="lowerRoman"/>
      <w:lvlText w:val="%9."/>
      <w:lvlJc w:val="right"/>
      <w:pPr>
        <w:ind w:left="4400" w:hanging="440"/>
      </w:pPr>
      <w:rPr>
        <w:rFonts w:hint="eastAsia"/>
      </w:rPr>
    </w:lvl>
  </w:abstractNum>
  <w:abstractNum w:abstractNumId="86">
    <w:nsid w:val="4B8A1F74"/>
    <w:multiLevelType w:val="multilevel"/>
    <w:tmpl w:val="4B8A1F74"/>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7">
    <w:nsid w:val="4FF23454"/>
    <w:multiLevelType w:val="multilevel"/>
    <w:tmpl w:val="4FF23454"/>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50AC1563"/>
    <w:multiLevelType w:val="multilevel"/>
    <w:tmpl w:val="50AC1563"/>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50F33864"/>
    <w:multiLevelType w:val="multilevel"/>
    <w:tmpl w:val="50F33864"/>
    <w:lvl w:ilvl="0" w:tentative="0">
      <w:start w:val="1"/>
      <w:numFmt w:val="chineseCountingThousand"/>
      <w:lvlText w:val="(%1)"/>
      <w:lvlJc w:val="right"/>
      <w:pPr>
        <w:ind w:left="1260" w:hanging="420"/>
      </w:pPr>
      <w:rPr>
        <w:rFonts w:hint="eastAsia"/>
      </w:rPr>
    </w:lvl>
    <w:lvl w:ilvl="1" w:tentative="0">
      <w:start w:val="1"/>
      <w:numFmt w:val="lowerLetter"/>
      <w:lvlText w:val="%2)"/>
      <w:lvlJc w:val="left"/>
      <w:pPr>
        <w:ind w:left="840" w:hanging="420"/>
      </w:pPr>
    </w:lvl>
    <w:lvl w:ilvl="2" w:tentative="0">
      <w:start w:val="1"/>
      <w:numFmt w:val="chineseCountingThousand"/>
      <w:lvlText w:val="(%3)"/>
      <w:lvlJc w:val="right"/>
      <w:pPr>
        <w:ind w:left="420" w:hanging="420"/>
      </w:pPr>
      <w:rPr>
        <w:rFonts w:hint="eastAsia"/>
      </w:rPr>
    </w:lvl>
    <w:lvl w:ilvl="3" w:tentative="0">
      <w:start w:val="1"/>
      <w:numFmt w:val="chineseCountingThousand"/>
      <w:suff w:val="nothing"/>
      <w:lvlText w:val="(%4)"/>
      <w:lvlJc w:val="left"/>
      <w:pPr>
        <w:ind w:left="1680" w:hanging="420"/>
      </w:pPr>
      <w:rPr>
        <w:rFonts w:hint="eastAsia" w:ascii="宋体" w:hAnsi="宋体" w:eastAsia="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511727FE"/>
    <w:multiLevelType w:val="multilevel"/>
    <w:tmpl w:val="511727FE"/>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1">
    <w:nsid w:val="51265863"/>
    <w:multiLevelType w:val="multilevel"/>
    <w:tmpl w:val="51265863"/>
    <w:lvl w:ilvl="0" w:tentative="0">
      <w:start w:val="1"/>
      <w:numFmt w:val="chineseCountingThousand"/>
      <w:lvlText w:val="(%1)"/>
      <w:lvlJc w:val="left"/>
      <w:pPr>
        <w:ind w:left="420" w:hanging="420"/>
      </w:p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520C604D"/>
    <w:multiLevelType w:val="multilevel"/>
    <w:tmpl w:val="520C604D"/>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531A49E7"/>
    <w:multiLevelType w:val="multilevel"/>
    <w:tmpl w:val="531A49E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4">
    <w:nsid w:val="53325E5D"/>
    <w:multiLevelType w:val="multilevel"/>
    <w:tmpl w:val="53325E5D"/>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95">
    <w:nsid w:val="542027AB"/>
    <w:multiLevelType w:val="multilevel"/>
    <w:tmpl w:val="542027AB"/>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57D70C03"/>
    <w:multiLevelType w:val="multilevel"/>
    <w:tmpl w:val="57D70C0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7">
    <w:nsid w:val="59862246"/>
    <w:multiLevelType w:val="multilevel"/>
    <w:tmpl w:val="59862246"/>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8">
    <w:nsid w:val="59EF7C0F"/>
    <w:multiLevelType w:val="multilevel"/>
    <w:tmpl w:val="59EF7C0F"/>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9">
    <w:nsid w:val="5BDC5A30"/>
    <w:multiLevelType w:val="multilevel"/>
    <w:tmpl w:val="5BDC5A3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0">
    <w:nsid w:val="5C673432"/>
    <w:multiLevelType w:val="multilevel"/>
    <w:tmpl w:val="5C6734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1">
    <w:nsid w:val="5CA85E2E"/>
    <w:multiLevelType w:val="multilevel"/>
    <w:tmpl w:val="5CA85E2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2">
    <w:nsid w:val="5CED316C"/>
    <w:multiLevelType w:val="multilevel"/>
    <w:tmpl w:val="5CED316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3">
    <w:nsid w:val="5D107713"/>
    <w:multiLevelType w:val="multilevel"/>
    <w:tmpl w:val="5D10771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4">
    <w:nsid w:val="5D9A1F7E"/>
    <w:multiLevelType w:val="multilevel"/>
    <w:tmpl w:val="5D9A1F7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5">
    <w:nsid w:val="5DB24638"/>
    <w:multiLevelType w:val="multilevel"/>
    <w:tmpl w:val="5DB24638"/>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6">
    <w:nsid w:val="5DD2799E"/>
    <w:multiLevelType w:val="multilevel"/>
    <w:tmpl w:val="5DD2799E"/>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7">
    <w:nsid w:val="5DED1C0B"/>
    <w:multiLevelType w:val="multilevel"/>
    <w:tmpl w:val="5DED1C0B"/>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08">
    <w:nsid w:val="5F405219"/>
    <w:multiLevelType w:val="multilevel"/>
    <w:tmpl w:val="5F405219"/>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9">
    <w:nsid w:val="5F755A71"/>
    <w:multiLevelType w:val="multilevel"/>
    <w:tmpl w:val="5F755A71"/>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0">
    <w:nsid w:val="5FBD184C"/>
    <w:multiLevelType w:val="multilevel"/>
    <w:tmpl w:val="5FBD184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1">
    <w:nsid w:val="60421A59"/>
    <w:multiLevelType w:val="multilevel"/>
    <w:tmpl w:val="60421A5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2">
    <w:nsid w:val="63C5513C"/>
    <w:multiLevelType w:val="multilevel"/>
    <w:tmpl w:val="63C5513C"/>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3">
    <w:nsid w:val="642E7BA5"/>
    <w:multiLevelType w:val="multilevel"/>
    <w:tmpl w:val="642E7BA5"/>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4">
    <w:nsid w:val="650F40B7"/>
    <w:multiLevelType w:val="multilevel"/>
    <w:tmpl w:val="650F40B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5">
    <w:nsid w:val="672E1A48"/>
    <w:multiLevelType w:val="multilevel"/>
    <w:tmpl w:val="672E1A48"/>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6">
    <w:nsid w:val="694D0F71"/>
    <w:multiLevelType w:val="multilevel"/>
    <w:tmpl w:val="694D0F7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7">
    <w:nsid w:val="69535DE9"/>
    <w:multiLevelType w:val="multilevel"/>
    <w:tmpl w:val="69535DE9"/>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8">
    <w:nsid w:val="69BA4BB7"/>
    <w:multiLevelType w:val="multilevel"/>
    <w:tmpl w:val="69BA4BB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69DA0AFD"/>
    <w:multiLevelType w:val="multilevel"/>
    <w:tmpl w:val="69DA0AFD"/>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20">
    <w:nsid w:val="6B96254F"/>
    <w:multiLevelType w:val="multilevel"/>
    <w:tmpl w:val="6B96254F"/>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1">
    <w:nsid w:val="6E97785F"/>
    <w:multiLevelType w:val="multilevel"/>
    <w:tmpl w:val="6E97785F"/>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2">
    <w:nsid w:val="6F111C3A"/>
    <w:multiLevelType w:val="multilevel"/>
    <w:tmpl w:val="6F111C3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3">
    <w:nsid w:val="700C4404"/>
    <w:multiLevelType w:val="multilevel"/>
    <w:tmpl w:val="700C4404"/>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124">
    <w:nsid w:val="701D5786"/>
    <w:multiLevelType w:val="multilevel"/>
    <w:tmpl w:val="701D578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5">
    <w:nsid w:val="70A4034A"/>
    <w:multiLevelType w:val="multilevel"/>
    <w:tmpl w:val="70A4034A"/>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6">
    <w:nsid w:val="70E42A22"/>
    <w:multiLevelType w:val="multilevel"/>
    <w:tmpl w:val="70E42A22"/>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7">
    <w:nsid w:val="728231A6"/>
    <w:multiLevelType w:val="multilevel"/>
    <w:tmpl w:val="728231A6"/>
    <w:lvl w:ilvl="0" w:tentative="0">
      <w:start w:val="1"/>
      <w:numFmt w:val="decimal"/>
      <w:lvlText w:val="(%1)"/>
      <w:lvlJc w:val="left"/>
      <w:pPr>
        <w:ind w:left="420" w:hanging="420"/>
      </w:pPr>
      <w:rPr>
        <w:rFonts w:hint="default" w:ascii="宋体" w:hAnsi="宋体" w:eastAsia="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8">
    <w:nsid w:val="72AA382A"/>
    <w:multiLevelType w:val="multilevel"/>
    <w:tmpl w:val="72AA382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9">
    <w:nsid w:val="7375326C"/>
    <w:multiLevelType w:val="multilevel"/>
    <w:tmpl w:val="7375326C"/>
    <w:lvl w:ilvl="0" w:tentative="0">
      <w:start w:val="1"/>
      <w:numFmt w:val="decimal"/>
      <w:suff w:val="space"/>
      <w:lvlText w:val="（%1）"/>
      <w:lvlJc w:val="left"/>
      <w:pPr>
        <w:ind w:left="860" w:hanging="420"/>
      </w:pPr>
      <w:rPr>
        <w:rFonts w:hint="default"/>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130">
    <w:nsid w:val="73FB28AC"/>
    <w:multiLevelType w:val="multilevel"/>
    <w:tmpl w:val="73FB28A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1">
    <w:nsid w:val="7405377B"/>
    <w:multiLevelType w:val="multilevel"/>
    <w:tmpl w:val="7405377B"/>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2">
    <w:nsid w:val="742A5159"/>
    <w:multiLevelType w:val="multilevel"/>
    <w:tmpl w:val="742A5159"/>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3">
    <w:nsid w:val="74CF6D07"/>
    <w:multiLevelType w:val="multilevel"/>
    <w:tmpl w:val="74CF6D07"/>
    <w:lvl w:ilvl="0" w:tentative="0">
      <w:start w:val="1"/>
      <w:numFmt w:val="decimal"/>
      <w:lvlText w:val="%1."/>
      <w:lvlJc w:val="left"/>
      <w:pPr>
        <w:tabs>
          <w:tab w:val="left" w:pos="1065"/>
        </w:tabs>
        <w:ind w:left="1065" w:hanging="465"/>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chineseCountingThousand"/>
      <w:lvlText w:val="（%6）"/>
      <w:lvlJc w:val="left"/>
      <w:pPr>
        <w:tabs>
          <w:tab w:val="left" w:pos="2565"/>
        </w:tabs>
        <w:ind w:left="2565" w:hanging="465"/>
      </w:pPr>
      <w:rPr>
        <w:rFonts w:hint="eastAsia"/>
      </w:rPr>
    </w:lvl>
    <w:lvl w:ilvl="6" w:tentative="0">
      <w:start w:val="1"/>
      <w:numFmt w:val="decimal"/>
      <w:suff w:val="space"/>
      <w:lvlText w:val="%7."/>
      <w:lvlJc w:val="left"/>
      <w:pPr>
        <w:ind w:left="2940" w:hanging="420"/>
      </w:pPr>
      <w:rPr>
        <w:rFonts w:hint="eastAsia"/>
        <w:b/>
        <w:bCs/>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34">
    <w:nsid w:val="75482B44"/>
    <w:multiLevelType w:val="multilevel"/>
    <w:tmpl w:val="75482B44"/>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5">
    <w:nsid w:val="76B4167B"/>
    <w:multiLevelType w:val="multilevel"/>
    <w:tmpl w:val="76B4167B"/>
    <w:lvl w:ilvl="0" w:tentative="0">
      <w:start w:val="1"/>
      <w:numFmt w:val="decimal"/>
      <w:lvlText w:val="%1、"/>
      <w:lvlJc w:val="left"/>
      <w:pPr>
        <w:ind w:left="420" w:hanging="420"/>
      </w:pPr>
      <w:rPr>
        <w:rFonts w:ascii="宋体" w:hAnsi="宋体" w:eastAsia="宋体"/>
        <w:b/>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6">
    <w:nsid w:val="76DD5C82"/>
    <w:multiLevelType w:val="multilevel"/>
    <w:tmpl w:val="76DD5C82"/>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7">
    <w:nsid w:val="77194021"/>
    <w:multiLevelType w:val="multilevel"/>
    <w:tmpl w:val="7719402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8">
    <w:nsid w:val="787035DE"/>
    <w:multiLevelType w:val="multilevel"/>
    <w:tmpl w:val="787035D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9">
    <w:nsid w:val="7A1266A0"/>
    <w:multiLevelType w:val="multilevel"/>
    <w:tmpl w:val="7A1266A0"/>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40">
    <w:nsid w:val="7A6140D4"/>
    <w:multiLevelType w:val="multilevel"/>
    <w:tmpl w:val="7A6140D4"/>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1">
    <w:nsid w:val="7B1E025F"/>
    <w:multiLevelType w:val="multilevel"/>
    <w:tmpl w:val="7B1E025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2">
    <w:nsid w:val="7D07444B"/>
    <w:multiLevelType w:val="multilevel"/>
    <w:tmpl w:val="7D07444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3">
    <w:nsid w:val="7D1B5BAE"/>
    <w:multiLevelType w:val="multilevel"/>
    <w:tmpl w:val="7D1B5BA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4">
    <w:nsid w:val="7DDF1B1D"/>
    <w:multiLevelType w:val="multilevel"/>
    <w:tmpl w:val="7DDF1B1D"/>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45">
    <w:nsid w:val="7E7E7E18"/>
    <w:multiLevelType w:val="multilevel"/>
    <w:tmpl w:val="7E7E7E1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6">
    <w:nsid w:val="7FCC199E"/>
    <w:multiLevelType w:val="multilevel"/>
    <w:tmpl w:val="7FCC199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62"/>
  </w:num>
  <w:num w:numId="2">
    <w:abstractNumId w:val="31"/>
  </w:num>
  <w:num w:numId="3">
    <w:abstractNumId w:val="5"/>
  </w:num>
  <w:num w:numId="4">
    <w:abstractNumId w:val="41"/>
  </w:num>
  <w:num w:numId="5">
    <w:abstractNumId w:val="36"/>
  </w:num>
  <w:num w:numId="6">
    <w:abstractNumId w:val="91"/>
  </w:num>
  <w:num w:numId="7">
    <w:abstractNumId w:val="52"/>
  </w:num>
  <w:num w:numId="8">
    <w:abstractNumId w:val="64"/>
  </w:num>
  <w:num w:numId="9">
    <w:abstractNumId w:val="56"/>
  </w:num>
  <w:num w:numId="10">
    <w:abstractNumId w:val="38"/>
  </w:num>
  <w:num w:numId="11">
    <w:abstractNumId w:val="57"/>
  </w:num>
  <w:num w:numId="12">
    <w:abstractNumId w:val="30"/>
  </w:num>
  <w:num w:numId="13">
    <w:abstractNumId w:val="127"/>
  </w:num>
  <w:num w:numId="14">
    <w:abstractNumId w:val="110"/>
  </w:num>
  <w:num w:numId="15">
    <w:abstractNumId w:val="104"/>
  </w:num>
  <w:num w:numId="16">
    <w:abstractNumId w:val="89"/>
  </w:num>
  <w:num w:numId="17">
    <w:abstractNumId w:val="98"/>
  </w:num>
  <w:num w:numId="18">
    <w:abstractNumId w:val="67"/>
  </w:num>
  <w:num w:numId="19">
    <w:abstractNumId w:val="25"/>
  </w:num>
  <w:num w:numId="20">
    <w:abstractNumId w:val="77"/>
  </w:num>
  <w:num w:numId="21">
    <w:abstractNumId w:val="76"/>
  </w:num>
  <w:num w:numId="22">
    <w:abstractNumId w:val="29"/>
  </w:num>
  <w:num w:numId="23">
    <w:abstractNumId w:val="23"/>
  </w:num>
  <w:num w:numId="24">
    <w:abstractNumId w:val="44"/>
  </w:num>
  <w:num w:numId="25">
    <w:abstractNumId w:val="118"/>
  </w:num>
  <w:num w:numId="26">
    <w:abstractNumId w:val="6"/>
  </w:num>
  <w:num w:numId="27">
    <w:abstractNumId w:val="51"/>
  </w:num>
  <w:num w:numId="28">
    <w:abstractNumId w:val="140"/>
  </w:num>
  <w:num w:numId="29">
    <w:abstractNumId w:val="10"/>
  </w:num>
  <w:num w:numId="30">
    <w:abstractNumId w:val="55"/>
  </w:num>
  <w:num w:numId="31">
    <w:abstractNumId w:val="35"/>
  </w:num>
  <w:num w:numId="32">
    <w:abstractNumId w:val="125"/>
  </w:num>
  <w:num w:numId="33">
    <w:abstractNumId w:val="3"/>
  </w:num>
  <w:num w:numId="34">
    <w:abstractNumId w:val="116"/>
  </w:num>
  <w:num w:numId="35">
    <w:abstractNumId w:val="75"/>
  </w:num>
  <w:num w:numId="36">
    <w:abstractNumId w:val="141"/>
  </w:num>
  <w:num w:numId="37">
    <w:abstractNumId w:val="95"/>
  </w:num>
  <w:num w:numId="38">
    <w:abstractNumId w:val="65"/>
  </w:num>
  <w:num w:numId="39">
    <w:abstractNumId w:val="40"/>
  </w:num>
  <w:num w:numId="40">
    <w:abstractNumId w:val="83"/>
  </w:num>
  <w:num w:numId="41">
    <w:abstractNumId w:val="82"/>
  </w:num>
  <w:num w:numId="42">
    <w:abstractNumId w:val="120"/>
  </w:num>
  <w:num w:numId="43">
    <w:abstractNumId w:val="92"/>
  </w:num>
  <w:num w:numId="44">
    <w:abstractNumId w:val="27"/>
  </w:num>
  <w:num w:numId="45">
    <w:abstractNumId w:val="45"/>
  </w:num>
  <w:num w:numId="46">
    <w:abstractNumId w:val="126"/>
  </w:num>
  <w:num w:numId="47">
    <w:abstractNumId w:val="100"/>
  </w:num>
  <w:num w:numId="48">
    <w:abstractNumId w:val="39"/>
  </w:num>
  <w:num w:numId="49">
    <w:abstractNumId w:val="19"/>
  </w:num>
  <w:num w:numId="50">
    <w:abstractNumId w:val="131"/>
  </w:num>
  <w:num w:numId="51">
    <w:abstractNumId w:val="32"/>
  </w:num>
  <w:num w:numId="52">
    <w:abstractNumId w:val="74"/>
  </w:num>
  <w:num w:numId="53">
    <w:abstractNumId w:val="24"/>
  </w:num>
  <w:num w:numId="54">
    <w:abstractNumId w:val="13"/>
  </w:num>
  <w:num w:numId="55">
    <w:abstractNumId w:val="11"/>
  </w:num>
  <w:num w:numId="56">
    <w:abstractNumId w:val="20"/>
  </w:num>
  <w:num w:numId="57">
    <w:abstractNumId w:val="0"/>
  </w:num>
  <w:num w:numId="58">
    <w:abstractNumId w:val="129"/>
  </w:num>
  <w:num w:numId="59">
    <w:abstractNumId w:val="133"/>
  </w:num>
  <w:num w:numId="60">
    <w:abstractNumId w:val="61"/>
  </w:num>
  <w:num w:numId="61">
    <w:abstractNumId w:val="18"/>
  </w:num>
  <w:num w:numId="62">
    <w:abstractNumId w:val="101"/>
  </w:num>
  <w:num w:numId="63">
    <w:abstractNumId w:val="128"/>
  </w:num>
  <w:num w:numId="64">
    <w:abstractNumId w:val="122"/>
  </w:num>
  <w:num w:numId="65">
    <w:abstractNumId w:val="22"/>
  </w:num>
  <w:num w:numId="66">
    <w:abstractNumId w:val="34"/>
  </w:num>
  <w:num w:numId="67">
    <w:abstractNumId w:val="53"/>
  </w:num>
  <w:num w:numId="68">
    <w:abstractNumId w:val="124"/>
  </w:num>
  <w:num w:numId="69">
    <w:abstractNumId w:val="135"/>
  </w:num>
  <w:num w:numId="70">
    <w:abstractNumId w:val="70"/>
  </w:num>
  <w:num w:numId="71">
    <w:abstractNumId w:val="21"/>
  </w:num>
  <w:num w:numId="72">
    <w:abstractNumId w:val="137"/>
  </w:num>
  <w:num w:numId="73">
    <w:abstractNumId w:val="112"/>
  </w:num>
  <w:num w:numId="74">
    <w:abstractNumId w:val="78"/>
  </w:num>
  <w:num w:numId="75">
    <w:abstractNumId w:val="54"/>
  </w:num>
  <w:num w:numId="76">
    <w:abstractNumId w:val="119"/>
  </w:num>
  <w:num w:numId="77">
    <w:abstractNumId w:val="50"/>
  </w:num>
  <w:num w:numId="78">
    <w:abstractNumId w:val="71"/>
  </w:num>
  <w:num w:numId="79">
    <w:abstractNumId w:val="145"/>
  </w:num>
  <w:num w:numId="80">
    <w:abstractNumId w:val="146"/>
  </w:num>
  <w:num w:numId="81">
    <w:abstractNumId w:val="43"/>
  </w:num>
  <w:num w:numId="82">
    <w:abstractNumId w:val="108"/>
  </w:num>
  <w:num w:numId="83">
    <w:abstractNumId w:val="15"/>
  </w:num>
  <w:num w:numId="84">
    <w:abstractNumId w:val="79"/>
  </w:num>
  <w:num w:numId="85">
    <w:abstractNumId w:val="59"/>
  </w:num>
  <w:num w:numId="86">
    <w:abstractNumId w:val="107"/>
  </w:num>
  <w:num w:numId="87">
    <w:abstractNumId w:val="99"/>
  </w:num>
  <w:num w:numId="88">
    <w:abstractNumId w:val="114"/>
  </w:num>
  <w:num w:numId="89">
    <w:abstractNumId w:val="37"/>
  </w:num>
  <w:num w:numId="90">
    <w:abstractNumId w:val="81"/>
  </w:num>
  <w:num w:numId="91">
    <w:abstractNumId w:val="73"/>
  </w:num>
  <w:num w:numId="92">
    <w:abstractNumId w:val="138"/>
  </w:num>
  <w:num w:numId="93">
    <w:abstractNumId w:val="33"/>
  </w:num>
  <w:num w:numId="94">
    <w:abstractNumId w:val="84"/>
  </w:num>
  <w:num w:numId="95">
    <w:abstractNumId w:val="143"/>
  </w:num>
  <w:num w:numId="96">
    <w:abstractNumId w:val="46"/>
  </w:num>
  <w:num w:numId="97">
    <w:abstractNumId w:val="142"/>
  </w:num>
  <w:num w:numId="98">
    <w:abstractNumId w:val="103"/>
  </w:num>
  <w:num w:numId="99">
    <w:abstractNumId w:val="28"/>
  </w:num>
  <w:num w:numId="100">
    <w:abstractNumId w:val="144"/>
  </w:num>
  <w:num w:numId="101">
    <w:abstractNumId w:val="16"/>
  </w:num>
  <w:num w:numId="102">
    <w:abstractNumId w:val="123"/>
  </w:num>
  <w:num w:numId="103">
    <w:abstractNumId w:val="121"/>
  </w:num>
  <w:num w:numId="104">
    <w:abstractNumId w:val="87"/>
  </w:num>
  <w:num w:numId="105">
    <w:abstractNumId w:val="60"/>
  </w:num>
  <w:num w:numId="106">
    <w:abstractNumId w:val="4"/>
  </w:num>
  <w:num w:numId="107">
    <w:abstractNumId w:val="132"/>
  </w:num>
  <w:num w:numId="108">
    <w:abstractNumId w:val="8"/>
  </w:num>
  <w:num w:numId="109">
    <w:abstractNumId w:val="9"/>
  </w:num>
  <w:num w:numId="110">
    <w:abstractNumId w:val="136"/>
  </w:num>
  <w:num w:numId="111">
    <w:abstractNumId w:val="17"/>
  </w:num>
  <w:num w:numId="112">
    <w:abstractNumId w:val="106"/>
  </w:num>
  <w:num w:numId="113">
    <w:abstractNumId w:val="111"/>
  </w:num>
  <w:num w:numId="114">
    <w:abstractNumId w:val="115"/>
  </w:num>
  <w:num w:numId="115">
    <w:abstractNumId w:val="113"/>
  </w:num>
  <w:num w:numId="116">
    <w:abstractNumId w:val="86"/>
  </w:num>
  <w:num w:numId="117">
    <w:abstractNumId w:val="90"/>
  </w:num>
  <w:num w:numId="118">
    <w:abstractNumId w:val="1"/>
  </w:num>
  <w:num w:numId="119">
    <w:abstractNumId w:val="130"/>
  </w:num>
  <w:num w:numId="120">
    <w:abstractNumId w:val="14"/>
  </w:num>
  <w:num w:numId="121">
    <w:abstractNumId w:val="48"/>
  </w:num>
  <w:num w:numId="122">
    <w:abstractNumId w:val="42"/>
  </w:num>
  <w:num w:numId="123">
    <w:abstractNumId w:val="85"/>
  </w:num>
  <w:num w:numId="124">
    <w:abstractNumId w:val="68"/>
  </w:num>
  <w:num w:numId="125">
    <w:abstractNumId w:val="102"/>
  </w:num>
  <w:num w:numId="126">
    <w:abstractNumId w:val="7"/>
  </w:num>
  <w:num w:numId="127">
    <w:abstractNumId w:val="58"/>
  </w:num>
  <w:num w:numId="128">
    <w:abstractNumId w:val="12"/>
  </w:num>
  <w:num w:numId="129">
    <w:abstractNumId w:val="72"/>
  </w:num>
  <w:num w:numId="130">
    <w:abstractNumId w:val="93"/>
  </w:num>
  <w:num w:numId="131">
    <w:abstractNumId w:val="66"/>
  </w:num>
  <w:num w:numId="132">
    <w:abstractNumId w:val="96"/>
  </w:num>
  <w:num w:numId="133">
    <w:abstractNumId w:val="105"/>
  </w:num>
  <w:num w:numId="134">
    <w:abstractNumId w:val="47"/>
  </w:num>
  <w:num w:numId="135">
    <w:abstractNumId w:val="97"/>
  </w:num>
  <w:num w:numId="136">
    <w:abstractNumId w:val="109"/>
  </w:num>
  <w:num w:numId="137">
    <w:abstractNumId w:val="26"/>
  </w:num>
  <w:num w:numId="138">
    <w:abstractNumId w:val="69"/>
  </w:num>
  <w:num w:numId="139">
    <w:abstractNumId w:val="2"/>
  </w:num>
  <w:num w:numId="140">
    <w:abstractNumId w:val="139"/>
  </w:num>
  <w:num w:numId="141">
    <w:abstractNumId w:val="63"/>
  </w:num>
  <w:num w:numId="142">
    <w:abstractNumId w:val="94"/>
  </w:num>
  <w:num w:numId="143">
    <w:abstractNumId w:val="80"/>
  </w:num>
  <w:num w:numId="144">
    <w:abstractNumId w:val="117"/>
  </w:num>
  <w:num w:numId="145">
    <w:abstractNumId w:val="134"/>
  </w:num>
  <w:num w:numId="146">
    <w:abstractNumId w:val="49"/>
  </w:num>
  <w:num w:numId="147">
    <w:abstractNumId w:val="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mY2NjOWZkMzhlYWI0MWRhODhiNmQxNGI1NDMzYzEifQ=="/>
    <w:docVar w:name="Disclosure_Version" w:val="true"/>
  </w:docVars>
  <w:rsids>
    <w:rsidRoot w:val="00DD256F"/>
    <w:rsid w:val="000005A6"/>
    <w:rsid w:val="00000ADC"/>
    <w:rsid w:val="0000102D"/>
    <w:rsid w:val="00001263"/>
    <w:rsid w:val="00001469"/>
    <w:rsid w:val="000014FF"/>
    <w:rsid w:val="000018A3"/>
    <w:rsid w:val="000018FD"/>
    <w:rsid w:val="00001B33"/>
    <w:rsid w:val="00001E8C"/>
    <w:rsid w:val="0000230E"/>
    <w:rsid w:val="00002475"/>
    <w:rsid w:val="000028BC"/>
    <w:rsid w:val="0000290C"/>
    <w:rsid w:val="00002973"/>
    <w:rsid w:val="00002A70"/>
    <w:rsid w:val="00002D77"/>
    <w:rsid w:val="0000309B"/>
    <w:rsid w:val="000033A6"/>
    <w:rsid w:val="00003442"/>
    <w:rsid w:val="0000372D"/>
    <w:rsid w:val="00003C39"/>
    <w:rsid w:val="000048B5"/>
    <w:rsid w:val="00004A92"/>
    <w:rsid w:val="00004ADF"/>
    <w:rsid w:val="00004BD6"/>
    <w:rsid w:val="00004D9D"/>
    <w:rsid w:val="00004DB4"/>
    <w:rsid w:val="00004E58"/>
    <w:rsid w:val="0000506D"/>
    <w:rsid w:val="00005071"/>
    <w:rsid w:val="00005409"/>
    <w:rsid w:val="0000568D"/>
    <w:rsid w:val="000060F8"/>
    <w:rsid w:val="000061CF"/>
    <w:rsid w:val="000064FC"/>
    <w:rsid w:val="000069AE"/>
    <w:rsid w:val="00007207"/>
    <w:rsid w:val="000072B9"/>
    <w:rsid w:val="000076BF"/>
    <w:rsid w:val="00007A0E"/>
    <w:rsid w:val="00007BBD"/>
    <w:rsid w:val="00007D39"/>
    <w:rsid w:val="00007D93"/>
    <w:rsid w:val="00010147"/>
    <w:rsid w:val="0001033D"/>
    <w:rsid w:val="0001046B"/>
    <w:rsid w:val="000109C4"/>
    <w:rsid w:val="00010A47"/>
    <w:rsid w:val="00010B7F"/>
    <w:rsid w:val="00010E18"/>
    <w:rsid w:val="000110DC"/>
    <w:rsid w:val="0001196B"/>
    <w:rsid w:val="00011A25"/>
    <w:rsid w:val="000121BF"/>
    <w:rsid w:val="000122EE"/>
    <w:rsid w:val="00012AFC"/>
    <w:rsid w:val="000130AF"/>
    <w:rsid w:val="000131B0"/>
    <w:rsid w:val="000136FC"/>
    <w:rsid w:val="000139E7"/>
    <w:rsid w:val="00013AF8"/>
    <w:rsid w:val="00013FF0"/>
    <w:rsid w:val="0001405F"/>
    <w:rsid w:val="000140AF"/>
    <w:rsid w:val="00014263"/>
    <w:rsid w:val="00014691"/>
    <w:rsid w:val="000147C5"/>
    <w:rsid w:val="00014850"/>
    <w:rsid w:val="0001497A"/>
    <w:rsid w:val="00014DF5"/>
    <w:rsid w:val="000155A0"/>
    <w:rsid w:val="000157AA"/>
    <w:rsid w:val="000158A1"/>
    <w:rsid w:val="00015C3C"/>
    <w:rsid w:val="00015DD2"/>
    <w:rsid w:val="00015DF7"/>
    <w:rsid w:val="00016321"/>
    <w:rsid w:val="0001644E"/>
    <w:rsid w:val="0001646C"/>
    <w:rsid w:val="00016B1C"/>
    <w:rsid w:val="00016D21"/>
    <w:rsid w:val="00016F6C"/>
    <w:rsid w:val="00016FD1"/>
    <w:rsid w:val="00017658"/>
    <w:rsid w:val="000176B6"/>
    <w:rsid w:val="00017D54"/>
    <w:rsid w:val="00020074"/>
    <w:rsid w:val="00020300"/>
    <w:rsid w:val="000203A5"/>
    <w:rsid w:val="00020728"/>
    <w:rsid w:val="00020766"/>
    <w:rsid w:val="00020ACE"/>
    <w:rsid w:val="00020B25"/>
    <w:rsid w:val="00020C59"/>
    <w:rsid w:val="00020D46"/>
    <w:rsid w:val="00020DB9"/>
    <w:rsid w:val="00020F79"/>
    <w:rsid w:val="0002110B"/>
    <w:rsid w:val="00021213"/>
    <w:rsid w:val="00021700"/>
    <w:rsid w:val="00021782"/>
    <w:rsid w:val="000217BF"/>
    <w:rsid w:val="00021A0E"/>
    <w:rsid w:val="00021C4F"/>
    <w:rsid w:val="00022465"/>
    <w:rsid w:val="000224B7"/>
    <w:rsid w:val="000225C5"/>
    <w:rsid w:val="00022805"/>
    <w:rsid w:val="00022923"/>
    <w:rsid w:val="0002292A"/>
    <w:rsid w:val="00022A86"/>
    <w:rsid w:val="00022EDA"/>
    <w:rsid w:val="0002301E"/>
    <w:rsid w:val="000231BD"/>
    <w:rsid w:val="000231DC"/>
    <w:rsid w:val="00023BEB"/>
    <w:rsid w:val="00023C73"/>
    <w:rsid w:val="00024562"/>
    <w:rsid w:val="0002476D"/>
    <w:rsid w:val="00024820"/>
    <w:rsid w:val="00024BEF"/>
    <w:rsid w:val="00025255"/>
    <w:rsid w:val="000254F8"/>
    <w:rsid w:val="00025A7B"/>
    <w:rsid w:val="00025DD8"/>
    <w:rsid w:val="00025E29"/>
    <w:rsid w:val="00025EAF"/>
    <w:rsid w:val="0002612F"/>
    <w:rsid w:val="000264F8"/>
    <w:rsid w:val="00026A17"/>
    <w:rsid w:val="00026C42"/>
    <w:rsid w:val="00027208"/>
    <w:rsid w:val="00027348"/>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2FA7"/>
    <w:rsid w:val="00033135"/>
    <w:rsid w:val="00033956"/>
    <w:rsid w:val="00033EBB"/>
    <w:rsid w:val="0003408C"/>
    <w:rsid w:val="000342EE"/>
    <w:rsid w:val="000343F2"/>
    <w:rsid w:val="0003468B"/>
    <w:rsid w:val="000348E9"/>
    <w:rsid w:val="00034C0D"/>
    <w:rsid w:val="00035177"/>
    <w:rsid w:val="00035352"/>
    <w:rsid w:val="00035464"/>
    <w:rsid w:val="000358DA"/>
    <w:rsid w:val="00035EB9"/>
    <w:rsid w:val="0003626E"/>
    <w:rsid w:val="00036357"/>
    <w:rsid w:val="00036813"/>
    <w:rsid w:val="000369A7"/>
    <w:rsid w:val="000369DC"/>
    <w:rsid w:val="00036C1D"/>
    <w:rsid w:val="00036CE0"/>
    <w:rsid w:val="00036D8A"/>
    <w:rsid w:val="0003717B"/>
    <w:rsid w:val="000379B9"/>
    <w:rsid w:val="00037DB8"/>
    <w:rsid w:val="000407A5"/>
    <w:rsid w:val="000408DA"/>
    <w:rsid w:val="00040E55"/>
    <w:rsid w:val="0004102B"/>
    <w:rsid w:val="000411AF"/>
    <w:rsid w:val="0004146D"/>
    <w:rsid w:val="00041525"/>
    <w:rsid w:val="00041800"/>
    <w:rsid w:val="00041AC3"/>
    <w:rsid w:val="00041C2C"/>
    <w:rsid w:val="00041D4C"/>
    <w:rsid w:val="000422A1"/>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806"/>
    <w:rsid w:val="0004493D"/>
    <w:rsid w:val="00044D1E"/>
    <w:rsid w:val="00044DDC"/>
    <w:rsid w:val="00044E3B"/>
    <w:rsid w:val="00044FE0"/>
    <w:rsid w:val="00045123"/>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3F1"/>
    <w:rsid w:val="00050420"/>
    <w:rsid w:val="0005074F"/>
    <w:rsid w:val="00050C12"/>
    <w:rsid w:val="00050DB9"/>
    <w:rsid w:val="000510E3"/>
    <w:rsid w:val="0005154F"/>
    <w:rsid w:val="000515B0"/>
    <w:rsid w:val="000517E2"/>
    <w:rsid w:val="00051AD5"/>
    <w:rsid w:val="00051BE5"/>
    <w:rsid w:val="00051C67"/>
    <w:rsid w:val="00052B89"/>
    <w:rsid w:val="00052D38"/>
    <w:rsid w:val="000539E4"/>
    <w:rsid w:val="00053E2E"/>
    <w:rsid w:val="00053F3F"/>
    <w:rsid w:val="000543F4"/>
    <w:rsid w:val="00054612"/>
    <w:rsid w:val="00054860"/>
    <w:rsid w:val="0005486C"/>
    <w:rsid w:val="00054C31"/>
    <w:rsid w:val="00054D34"/>
    <w:rsid w:val="00055089"/>
    <w:rsid w:val="00055307"/>
    <w:rsid w:val="00055534"/>
    <w:rsid w:val="00055816"/>
    <w:rsid w:val="00055C3F"/>
    <w:rsid w:val="000561D7"/>
    <w:rsid w:val="000562C7"/>
    <w:rsid w:val="000569CC"/>
    <w:rsid w:val="00056AA5"/>
    <w:rsid w:val="00057032"/>
    <w:rsid w:val="000578C2"/>
    <w:rsid w:val="00057A35"/>
    <w:rsid w:val="00057AD2"/>
    <w:rsid w:val="00057C64"/>
    <w:rsid w:val="0006013C"/>
    <w:rsid w:val="00060342"/>
    <w:rsid w:val="000604A6"/>
    <w:rsid w:val="0006066E"/>
    <w:rsid w:val="00060C85"/>
    <w:rsid w:val="00060C94"/>
    <w:rsid w:val="000611CA"/>
    <w:rsid w:val="00061838"/>
    <w:rsid w:val="00061B4A"/>
    <w:rsid w:val="00061B54"/>
    <w:rsid w:val="00061DCB"/>
    <w:rsid w:val="00062017"/>
    <w:rsid w:val="0006271B"/>
    <w:rsid w:val="00062874"/>
    <w:rsid w:val="0006295C"/>
    <w:rsid w:val="00062AA3"/>
    <w:rsid w:val="00062D8E"/>
    <w:rsid w:val="0006325D"/>
    <w:rsid w:val="00063342"/>
    <w:rsid w:val="00063613"/>
    <w:rsid w:val="000636DD"/>
    <w:rsid w:val="000636DE"/>
    <w:rsid w:val="00063893"/>
    <w:rsid w:val="000639D3"/>
    <w:rsid w:val="00063A04"/>
    <w:rsid w:val="00063BD0"/>
    <w:rsid w:val="00063EBA"/>
    <w:rsid w:val="00063EE6"/>
    <w:rsid w:val="0006463F"/>
    <w:rsid w:val="00064ADF"/>
    <w:rsid w:val="0006504C"/>
    <w:rsid w:val="0006528F"/>
    <w:rsid w:val="00065914"/>
    <w:rsid w:val="00065B7B"/>
    <w:rsid w:val="00065CA1"/>
    <w:rsid w:val="00065D51"/>
    <w:rsid w:val="000665B9"/>
    <w:rsid w:val="00066688"/>
    <w:rsid w:val="00066B5B"/>
    <w:rsid w:val="00066C7F"/>
    <w:rsid w:val="00066F8C"/>
    <w:rsid w:val="0006720A"/>
    <w:rsid w:val="0006751E"/>
    <w:rsid w:val="0006798E"/>
    <w:rsid w:val="00067AEB"/>
    <w:rsid w:val="00067BBB"/>
    <w:rsid w:val="000700F7"/>
    <w:rsid w:val="00070247"/>
    <w:rsid w:val="000704EE"/>
    <w:rsid w:val="00070D92"/>
    <w:rsid w:val="00070E4B"/>
    <w:rsid w:val="00070E8D"/>
    <w:rsid w:val="00071243"/>
    <w:rsid w:val="000713CD"/>
    <w:rsid w:val="0007147E"/>
    <w:rsid w:val="000715AC"/>
    <w:rsid w:val="0007188A"/>
    <w:rsid w:val="00072075"/>
    <w:rsid w:val="00072361"/>
    <w:rsid w:val="0007246C"/>
    <w:rsid w:val="000725CF"/>
    <w:rsid w:val="000729B8"/>
    <w:rsid w:val="00072A5C"/>
    <w:rsid w:val="00072D7F"/>
    <w:rsid w:val="0007305C"/>
    <w:rsid w:val="000730ED"/>
    <w:rsid w:val="000732D5"/>
    <w:rsid w:val="00073321"/>
    <w:rsid w:val="000735AF"/>
    <w:rsid w:val="00073BBF"/>
    <w:rsid w:val="00073BC2"/>
    <w:rsid w:val="000745DB"/>
    <w:rsid w:val="00074C4E"/>
    <w:rsid w:val="00075175"/>
    <w:rsid w:val="000751AF"/>
    <w:rsid w:val="00075C45"/>
    <w:rsid w:val="00075C48"/>
    <w:rsid w:val="00075E3A"/>
    <w:rsid w:val="00075E54"/>
    <w:rsid w:val="00075F13"/>
    <w:rsid w:val="00075F70"/>
    <w:rsid w:val="00076117"/>
    <w:rsid w:val="0007624C"/>
    <w:rsid w:val="000764FD"/>
    <w:rsid w:val="00076669"/>
    <w:rsid w:val="00076703"/>
    <w:rsid w:val="0007679D"/>
    <w:rsid w:val="0007681F"/>
    <w:rsid w:val="00076ECB"/>
    <w:rsid w:val="00077397"/>
    <w:rsid w:val="000778E2"/>
    <w:rsid w:val="00077CD3"/>
    <w:rsid w:val="00077EF6"/>
    <w:rsid w:val="00080509"/>
    <w:rsid w:val="00080674"/>
    <w:rsid w:val="000808F7"/>
    <w:rsid w:val="0008095D"/>
    <w:rsid w:val="000809EA"/>
    <w:rsid w:val="00080A0F"/>
    <w:rsid w:val="00080E49"/>
    <w:rsid w:val="000810FB"/>
    <w:rsid w:val="0008140D"/>
    <w:rsid w:val="000816EB"/>
    <w:rsid w:val="00081B15"/>
    <w:rsid w:val="00081D4A"/>
    <w:rsid w:val="0008209F"/>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5B2"/>
    <w:rsid w:val="00084634"/>
    <w:rsid w:val="00084663"/>
    <w:rsid w:val="00084A03"/>
    <w:rsid w:val="00084E9F"/>
    <w:rsid w:val="0008516E"/>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5ED"/>
    <w:rsid w:val="00090ADC"/>
    <w:rsid w:val="00090B0F"/>
    <w:rsid w:val="00090C35"/>
    <w:rsid w:val="00090D7E"/>
    <w:rsid w:val="00090EE0"/>
    <w:rsid w:val="0009139D"/>
    <w:rsid w:val="000913B6"/>
    <w:rsid w:val="0009141B"/>
    <w:rsid w:val="000914B8"/>
    <w:rsid w:val="00091702"/>
    <w:rsid w:val="00091724"/>
    <w:rsid w:val="00091743"/>
    <w:rsid w:val="000917A1"/>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5CDC"/>
    <w:rsid w:val="00095FBE"/>
    <w:rsid w:val="000960F5"/>
    <w:rsid w:val="00096746"/>
    <w:rsid w:val="00096791"/>
    <w:rsid w:val="000969CD"/>
    <w:rsid w:val="00096E12"/>
    <w:rsid w:val="00097067"/>
    <w:rsid w:val="00097097"/>
    <w:rsid w:val="000974B2"/>
    <w:rsid w:val="000975B1"/>
    <w:rsid w:val="00097610"/>
    <w:rsid w:val="000976C1"/>
    <w:rsid w:val="00097B67"/>
    <w:rsid w:val="00097C70"/>
    <w:rsid w:val="00097E3C"/>
    <w:rsid w:val="000A029B"/>
    <w:rsid w:val="000A044E"/>
    <w:rsid w:val="000A04A2"/>
    <w:rsid w:val="000A0989"/>
    <w:rsid w:val="000A0F9B"/>
    <w:rsid w:val="000A1026"/>
    <w:rsid w:val="000A1547"/>
    <w:rsid w:val="000A1589"/>
    <w:rsid w:val="000A1701"/>
    <w:rsid w:val="000A199C"/>
    <w:rsid w:val="000A1BF5"/>
    <w:rsid w:val="000A1CBE"/>
    <w:rsid w:val="000A1DCF"/>
    <w:rsid w:val="000A2165"/>
    <w:rsid w:val="000A245A"/>
    <w:rsid w:val="000A3645"/>
    <w:rsid w:val="000A36BE"/>
    <w:rsid w:val="000A36FE"/>
    <w:rsid w:val="000A42F0"/>
    <w:rsid w:val="000A4309"/>
    <w:rsid w:val="000A4893"/>
    <w:rsid w:val="000A4AE5"/>
    <w:rsid w:val="000A4C9E"/>
    <w:rsid w:val="000A4F63"/>
    <w:rsid w:val="000A5126"/>
    <w:rsid w:val="000A5188"/>
    <w:rsid w:val="000A5A58"/>
    <w:rsid w:val="000A6410"/>
    <w:rsid w:val="000A67B6"/>
    <w:rsid w:val="000A6A70"/>
    <w:rsid w:val="000A6A95"/>
    <w:rsid w:val="000A6D3A"/>
    <w:rsid w:val="000A6E99"/>
    <w:rsid w:val="000A6F48"/>
    <w:rsid w:val="000A700E"/>
    <w:rsid w:val="000A7216"/>
    <w:rsid w:val="000A74D2"/>
    <w:rsid w:val="000A750C"/>
    <w:rsid w:val="000A78D8"/>
    <w:rsid w:val="000A79CF"/>
    <w:rsid w:val="000B024A"/>
    <w:rsid w:val="000B0362"/>
    <w:rsid w:val="000B0629"/>
    <w:rsid w:val="000B06FC"/>
    <w:rsid w:val="000B072D"/>
    <w:rsid w:val="000B0ACA"/>
    <w:rsid w:val="000B0EE6"/>
    <w:rsid w:val="000B1285"/>
    <w:rsid w:val="000B1683"/>
    <w:rsid w:val="000B19AD"/>
    <w:rsid w:val="000B1B10"/>
    <w:rsid w:val="000B1CD7"/>
    <w:rsid w:val="000B1DB7"/>
    <w:rsid w:val="000B2333"/>
    <w:rsid w:val="000B23C8"/>
    <w:rsid w:val="000B28AE"/>
    <w:rsid w:val="000B28F3"/>
    <w:rsid w:val="000B31E0"/>
    <w:rsid w:val="000B3351"/>
    <w:rsid w:val="000B3557"/>
    <w:rsid w:val="000B38F7"/>
    <w:rsid w:val="000B40B2"/>
    <w:rsid w:val="000B48F7"/>
    <w:rsid w:val="000B4A82"/>
    <w:rsid w:val="000B4BDA"/>
    <w:rsid w:val="000B4FF4"/>
    <w:rsid w:val="000B5098"/>
    <w:rsid w:val="000B5590"/>
    <w:rsid w:val="000B568F"/>
    <w:rsid w:val="000B5992"/>
    <w:rsid w:val="000B59FF"/>
    <w:rsid w:val="000B5B47"/>
    <w:rsid w:val="000B5D5E"/>
    <w:rsid w:val="000B63D8"/>
    <w:rsid w:val="000B6AEA"/>
    <w:rsid w:val="000B6B2E"/>
    <w:rsid w:val="000B6BC7"/>
    <w:rsid w:val="000B6C66"/>
    <w:rsid w:val="000B6D94"/>
    <w:rsid w:val="000B717E"/>
    <w:rsid w:val="000B7274"/>
    <w:rsid w:val="000C0519"/>
    <w:rsid w:val="000C0671"/>
    <w:rsid w:val="000C072A"/>
    <w:rsid w:val="000C08D1"/>
    <w:rsid w:val="000C0D45"/>
    <w:rsid w:val="000C0D7B"/>
    <w:rsid w:val="000C0FC6"/>
    <w:rsid w:val="000C131F"/>
    <w:rsid w:val="000C1C30"/>
    <w:rsid w:val="000C1CEC"/>
    <w:rsid w:val="000C1E2D"/>
    <w:rsid w:val="000C203B"/>
    <w:rsid w:val="000C2197"/>
    <w:rsid w:val="000C2337"/>
    <w:rsid w:val="000C24B0"/>
    <w:rsid w:val="000C25F5"/>
    <w:rsid w:val="000C26F5"/>
    <w:rsid w:val="000C28F2"/>
    <w:rsid w:val="000C29A8"/>
    <w:rsid w:val="000C2C2E"/>
    <w:rsid w:val="000C2C7F"/>
    <w:rsid w:val="000C2FEF"/>
    <w:rsid w:val="000C3232"/>
    <w:rsid w:val="000C34C1"/>
    <w:rsid w:val="000C37A8"/>
    <w:rsid w:val="000C3957"/>
    <w:rsid w:val="000C3A06"/>
    <w:rsid w:val="000C3D52"/>
    <w:rsid w:val="000C40B3"/>
    <w:rsid w:val="000C4660"/>
    <w:rsid w:val="000C4768"/>
    <w:rsid w:val="000C47D1"/>
    <w:rsid w:val="000C4B1F"/>
    <w:rsid w:val="000C4C03"/>
    <w:rsid w:val="000C5029"/>
    <w:rsid w:val="000C51AC"/>
    <w:rsid w:val="000C52A2"/>
    <w:rsid w:val="000C55D3"/>
    <w:rsid w:val="000C5A4D"/>
    <w:rsid w:val="000C5B58"/>
    <w:rsid w:val="000C5B78"/>
    <w:rsid w:val="000C5BCB"/>
    <w:rsid w:val="000C60FC"/>
    <w:rsid w:val="000C63C4"/>
    <w:rsid w:val="000C6560"/>
    <w:rsid w:val="000C6584"/>
    <w:rsid w:val="000C698C"/>
    <w:rsid w:val="000C6A05"/>
    <w:rsid w:val="000C6B26"/>
    <w:rsid w:val="000C6DAE"/>
    <w:rsid w:val="000C7371"/>
    <w:rsid w:val="000C73B9"/>
    <w:rsid w:val="000C74D4"/>
    <w:rsid w:val="000C7889"/>
    <w:rsid w:val="000C7AA9"/>
    <w:rsid w:val="000C7C71"/>
    <w:rsid w:val="000C7D9C"/>
    <w:rsid w:val="000C7DF8"/>
    <w:rsid w:val="000D0271"/>
    <w:rsid w:val="000D04D1"/>
    <w:rsid w:val="000D057C"/>
    <w:rsid w:val="000D0614"/>
    <w:rsid w:val="000D072A"/>
    <w:rsid w:val="000D0BE9"/>
    <w:rsid w:val="000D0E23"/>
    <w:rsid w:val="000D1028"/>
    <w:rsid w:val="000D136D"/>
    <w:rsid w:val="000D1494"/>
    <w:rsid w:val="000D14E3"/>
    <w:rsid w:val="000D15CB"/>
    <w:rsid w:val="000D1BE4"/>
    <w:rsid w:val="000D1F3F"/>
    <w:rsid w:val="000D26CD"/>
    <w:rsid w:val="000D28CF"/>
    <w:rsid w:val="000D2B20"/>
    <w:rsid w:val="000D2C5E"/>
    <w:rsid w:val="000D2D01"/>
    <w:rsid w:val="000D2D1C"/>
    <w:rsid w:val="000D2E18"/>
    <w:rsid w:val="000D2F52"/>
    <w:rsid w:val="000D32D4"/>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B90"/>
    <w:rsid w:val="000D5C69"/>
    <w:rsid w:val="000D5D3B"/>
    <w:rsid w:val="000D5D86"/>
    <w:rsid w:val="000D5DC0"/>
    <w:rsid w:val="000D61FD"/>
    <w:rsid w:val="000D642E"/>
    <w:rsid w:val="000D6A9B"/>
    <w:rsid w:val="000D6BCB"/>
    <w:rsid w:val="000D6D8F"/>
    <w:rsid w:val="000D7213"/>
    <w:rsid w:val="000D7307"/>
    <w:rsid w:val="000D73A9"/>
    <w:rsid w:val="000D7617"/>
    <w:rsid w:val="000D76FA"/>
    <w:rsid w:val="000D77D1"/>
    <w:rsid w:val="000D7ABF"/>
    <w:rsid w:val="000D7B5F"/>
    <w:rsid w:val="000D7CF9"/>
    <w:rsid w:val="000E0052"/>
    <w:rsid w:val="000E00EF"/>
    <w:rsid w:val="000E01A1"/>
    <w:rsid w:val="000E0350"/>
    <w:rsid w:val="000E0C83"/>
    <w:rsid w:val="000E0F10"/>
    <w:rsid w:val="000E1521"/>
    <w:rsid w:val="000E15A7"/>
    <w:rsid w:val="000E165C"/>
    <w:rsid w:val="000E17B3"/>
    <w:rsid w:val="000E17C3"/>
    <w:rsid w:val="000E18FC"/>
    <w:rsid w:val="000E1B29"/>
    <w:rsid w:val="000E1B4F"/>
    <w:rsid w:val="000E1E69"/>
    <w:rsid w:val="000E2265"/>
    <w:rsid w:val="000E22E0"/>
    <w:rsid w:val="000E2820"/>
    <w:rsid w:val="000E2BE4"/>
    <w:rsid w:val="000E2FD1"/>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74D"/>
    <w:rsid w:val="000F192B"/>
    <w:rsid w:val="000F1A17"/>
    <w:rsid w:val="000F2055"/>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7A1"/>
    <w:rsid w:val="000F59FB"/>
    <w:rsid w:val="000F5E14"/>
    <w:rsid w:val="000F6058"/>
    <w:rsid w:val="000F64F1"/>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3F3"/>
    <w:rsid w:val="0010345C"/>
    <w:rsid w:val="00103564"/>
    <w:rsid w:val="0010369A"/>
    <w:rsid w:val="001036AD"/>
    <w:rsid w:val="001038D1"/>
    <w:rsid w:val="00103BDD"/>
    <w:rsid w:val="00103EE7"/>
    <w:rsid w:val="00103FA1"/>
    <w:rsid w:val="00104087"/>
    <w:rsid w:val="0010420D"/>
    <w:rsid w:val="001042DD"/>
    <w:rsid w:val="001044B7"/>
    <w:rsid w:val="001044EA"/>
    <w:rsid w:val="001048FE"/>
    <w:rsid w:val="00104DD4"/>
    <w:rsid w:val="001054A2"/>
    <w:rsid w:val="00105558"/>
    <w:rsid w:val="001056C5"/>
    <w:rsid w:val="001057CF"/>
    <w:rsid w:val="00105902"/>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C81"/>
    <w:rsid w:val="00110D00"/>
    <w:rsid w:val="00110DBF"/>
    <w:rsid w:val="00110FBE"/>
    <w:rsid w:val="00111363"/>
    <w:rsid w:val="001116D4"/>
    <w:rsid w:val="00111BAC"/>
    <w:rsid w:val="00111D4E"/>
    <w:rsid w:val="00111E23"/>
    <w:rsid w:val="00111FA8"/>
    <w:rsid w:val="00112245"/>
    <w:rsid w:val="0011232C"/>
    <w:rsid w:val="001126AB"/>
    <w:rsid w:val="001127CC"/>
    <w:rsid w:val="0011287C"/>
    <w:rsid w:val="00112F8F"/>
    <w:rsid w:val="00112FB1"/>
    <w:rsid w:val="001133FC"/>
    <w:rsid w:val="001134A1"/>
    <w:rsid w:val="00113552"/>
    <w:rsid w:val="00113582"/>
    <w:rsid w:val="00113781"/>
    <w:rsid w:val="001137A6"/>
    <w:rsid w:val="001139E6"/>
    <w:rsid w:val="00113CD5"/>
    <w:rsid w:val="0011403A"/>
    <w:rsid w:val="00114189"/>
    <w:rsid w:val="001146AD"/>
    <w:rsid w:val="00114B0A"/>
    <w:rsid w:val="00114C57"/>
    <w:rsid w:val="00114F3A"/>
    <w:rsid w:val="00115730"/>
    <w:rsid w:val="0011587B"/>
    <w:rsid w:val="00115DB7"/>
    <w:rsid w:val="00116051"/>
    <w:rsid w:val="00116177"/>
    <w:rsid w:val="0011652E"/>
    <w:rsid w:val="001165AE"/>
    <w:rsid w:val="001165D8"/>
    <w:rsid w:val="001166ED"/>
    <w:rsid w:val="001167C6"/>
    <w:rsid w:val="001167C8"/>
    <w:rsid w:val="001169CC"/>
    <w:rsid w:val="00116AAC"/>
    <w:rsid w:val="00116B75"/>
    <w:rsid w:val="00116D81"/>
    <w:rsid w:val="00117168"/>
    <w:rsid w:val="001173A8"/>
    <w:rsid w:val="00117404"/>
    <w:rsid w:val="00117A0C"/>
    <w:rsid w:val="0012016D"/>
    <w:rsid w:val="001203D4"/>
    <w:rsid w:val="0012063F"/>
    <w:rsid w:val="0012081A"/>
    <w:rsid w:val="00120A6A"/>
    <w:rsid w:val="00120A86"/>
    <w:rsid w:val="00120AB1"/>
    <w:rsid w:val="0012158F"/>
    <w:rsid w:val="00121936"/>
    <w:rsid w:val="00121C16"/>
    <w:rsid w:val="00121CFD"/>
    <w:rsid w:val="00121D25"/>
    <w:rsid w:val="0012227A"/>
    <w:rsid w:val="00122BA4"/>
    <w:rsid w:val="001230A0"/>
    <w:rsid w:val="001230F3"/>
    <w:rsid w:val="001231A5"/>
    <w:rsid w:val="001234DF"/>
    <w:rsid w:val="001235D7"/>
    <w:rsid w:val="00123F0A"/>
    <w:rsid w:val="00124417"/>
    <w:rsid w:val="00124505"/>
    <w:rsid w:val="001245FB"/>
    <w:rsid w:val="00124A3D"/>
    <w:rsid w:val="00125135"/>
    <w:rsid w:val="001251B1"/>
    <w:rsid w:val="001252F2"/>
    <w:rsid w:val="00125470"/>
    <w:rsid w:val="00125491"/>
    <w:rsid w:val="00125A67"/>
    <w:rsid w:val="00125AD3"/>
    <w:rsid w:val="00125EEF"/>
    <w:rsid w:val="0012608D"/>
    <w:rsid w:val="001260BC"/>
    <w:rsid w:val="00126125"/>
    <w:rsid w:val="00126CBD"/>
    <w:rsid w:val="00126E90"/>
    <w:rsid w:val="00127157"/>
    <w:rsid w:val="001271AE"/>
    <w:rsid w:val="001272F9"/>
    <w:rsid w:val="001273FD"/>
    <w:rsid w:val="00127CD1"/>
    <w:rsid w:val="00127E76"/>
    <w:rsid w:val="001303F8"/>
    <w:rsid w:val="001304AD"/>
    <w:rsid w:val="00130697"/>
    <w:rsid w:val="00130D68"/>
    <w:rsid w:val="00130D6C"/>
    <w:rsid w:val="00130DE5"/>
    <w:rsid w:val="0013119E"/>
    <w:rsid w:val="001316FC"/>
    <w:rsid w:val="00131E94"/>
    <w:rsid w:val="00131F16"/>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470"/>
    <w:rsid w:val="001346BE"/>
    <w:rsid w:val="00134BA4"/>
    <w:rsid w:val="00134E3C"/>
    <w:rsid w:val="00135556"/>
    <w:rsid w:val="0013555C"/>
    <w:rsid w:val="0013565E"/>
    <w:rsid w:val="00135774"/>
    <w:rsid w:val="001357E8"/>
    <w:rsid w:val="00135861"/>
    <w:rsid w:val="00135870"/>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98D"/>
    <w:rsid w:val="00142C4B"/>
    <w:rsid w:val="00142E7D"/>
    <w:rsid w:val="00142E8B"/>
    <w:rsid w:val="00142F94"/>
    <w:rsid w:val="00143309"/>
    <w:rsid w:val="0014344C"/>
    <w:rsid w:val="00143797"/>
    <w:rsid w:val="00143975"/>
    <w:rsid w:val="001439FD"/>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3DD"/>
    <w:rsid w:val="00145561"/>
    <w:rsid w:val="0014558A"/>
    <w:rsid w:val="001455E9"/>
    <w:rsid w:val="0014596A"/>
    <w:rsid w:val="00145BD5"/>
    <w:rsid w:val="00145CC9"/>
    <w:rsid w:val="00145CD4"/>
    <w:rsid w:val="001464BB"/>
    <w:rsid w:val="00146D46"/>
    <w:rsid w:val="00146FA2"/>
    <w:rsid w:val="00147584"/>
    <w:rsid w:val="00147900"/>
    <w:rsid w:val="001479ED"/>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1AD"/>
    <w:rsid w:val="001535B3"/>
    <w:rsid w:val="001536D8"/>
    <w:rsid w:val="001538B4"/>
    <w:rsid w:val="00153F4B"/>
    <w:rsid w:val="001541EB"/>
    <w:rsid w:val="001543D4"/>
    <w:rsid w:val="0015445C"/>
    <w:rsid w:val="0015450F"/>
    <w:rsid w:val="00154B6D"/>
    <w:rsid w:val="00154E72"/>
    <w:rsid w:val="00154E9A"/>
    <w:rsid w:val="0015523D"/>
    <w:rsid w:val="00155633"/>
    <w:rsid w:val="00155FB6"/>
    <w:rsid w:val="001563D1"/>
    <w:rsid w:val="001564A6"/>
    <w:rsid w:val="00156664"/>
    <w:rsid w:val="001569C6"/>
    <w:rsid w:val="00156AC5"/>
    <w:rsid w:val="00156F07"/>
    <w:rsid w:val="00156F5B"/>
    <w:rsid w:val="00157106"/>
    <w:rsid w:val="0015713F"/>
    <w:rsid w:val="00157457"/>
    <w:rsid w:val="0015748D"/>
    <w:rsid w:val="001575B8"/>
    <w:rsid w:val="001575F4"/>
    <w:rsid w:val="001578DC"/>
    <w:rsid w:val="00157CE3"/>
    <w:rsid w:val="00157DE4"/>
    <w:rsid w:val="001603D4"/>
    <w:rsid w:val="00160787"/>
    <w:rsid w:val="00160818"/>
    <w:rsid w:val="001608C9"/>
    <w:rsid w:val="00160D8E"/>
    <w:rsid w:val="00160E8C"/>
    <w:rsid w:val="00160FCE"/>
    <w:rsid w:val="001614D4"/>
    <w:rsid w:val="001615D8"/>
    <w:rsid w:val="00161603"/>
    <w:rsid w:val="00161A39"/>
    <w:rsid w:val="00161B38"/>
    <w:rsid w:val="00161BBB"/>
    <w:rsid w:val="00161CAF"/>
    <w:rsid w:val="0016204C"/>
    <w:rsid w:val="001622B1"/>
    <w:rsid w:val="0016248D"/>
    <w:rsid w:val="00162573"/>
    <w:rsid w:val="00162669"/>
    <w:rsid w:val="001626DD"/>
    <w:rsid w:val="0016283C"/>
    <w:rsid w:val="001629B7"/>
    <w:rsid w:val="00162AF4"/>
    <w:rsid w:val="00162C8A"/>
    <w:rsid w:val="0016329B"/>
    <w:rsid w:val="00163357"/>
    <w:rsid w:val="0016353C"/>
    <w:rsid w:val="0016390B"/>
    <w:rsid w:val="00163C11"/>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327"/>
    <w:rsid w:val="00170450"/>
    <w:rsid w:val="00170650"/>
    <w:rsid w:val="00170C2A"/>
    <w:rsid w:val="001712F3"/>
    <w:rsid w:val="0017134C"/>
    <w:rsid w:val="0017157D"/>
    <w:rsid w:val="001715BD"/>
    <w:rsid w:val="00171B16"/>
    <w:rsid w:val="001721E1"/>
    <w:rsid w:val="00172229"/>
    <w:rsid w:val="001729CE"/>
    <w:rsid w:val="00172A2E"/>
    <w:rsid w:val="00172A51"/>
    <w:rsid w:val="00172B99"/>
    <w:rsid w:val="00172C47"/>
    <w:rsid w:val="00172D67"/>
    <w:rsid w:val="00172E95"/>
    <w:rsid w:val="00173084"/>
    <w:rsid w:val="00173329"/>
    <w:rsid w:val="00173821"/>
    <w:rsid w:val="00174BD5"/>
    <w:rsid w:val="00174DAD"/>
    <w:rsid w:val="00174E30"/>
    <w:rsid w:val="00175145"/>
    <w:rsid w:val="0017520D"/>
    <w:rsid w:val="001754A4"/>
    <w:rsid w:val="001754A6"/>
    <w:rsid w:val="00175943"/>
    <w:rsid w:val="00175D8D"/>
    <w:rsid w:val="00175EDA"/>
    <w:rsid w:val="00176294"/>
    <w:rsid w:val="0017629E"/>
    <w:rsid w:val="00176395"/>
    <w:rsid w:val="001767C6"/>
    <w:rsid w:val="00176886"/>
    <w:rsid w:val="0017692B"/>
    <w:rsid w:val="00176C58"/>
    <w:rsid w:val="00176E6E"/>
    <w:rsid w:val="00176E78"/>
    <w:rsid w:val="0017711F"/>
    <w:rsid w:val="00177D11"/>
    <w:rsid w:val="00177EC6"/>
    <w:rsid w:val="0018015B"/>
    <w:rsid w:val="00180C95"/>
    <w:rsid w:val="00180D07"/>
    <w:rsid w:val="00180DC3"/>
    <w:rsid w:val="00180E29"/>
    <w:rsid w:val="0018108B"/>
    <w:rsid w:val="001810B9"/>
    <w:rsid w:val="001811A0"/>
    <w:rsid w:val="00181200"/>
    <w:rsid w:val="00181559"/>
    <w:rsid w:val="001815B8"/>
    <w:rsid w:val="001815FB"/>
    <w:rsid w:val="001816A6"/>
    <w:rsid w:val="001819BE"/>
    <w:rsid w:val="00181DBE"/>
    <w:rsid w:val="00181DD2"/>
    <w:rsid w:val="0018228D"/>
    <w:rsid w:val="00182367"/>
    <w:rsid w:val="001826DB"/>
    <w:rsid w:val="0018280C"/>
    <w:rsid w:val="00182BAC"/>
    <w:rsid w:val="00182E37"/>
    <w:rsid w:val="0018313C"/>
    <w:rsid w:val="00183957"/>
    <w:rsid w:val="00183BDB"/>
    <w:rsid w:val="001840A2"/>
    <w:rsid w:val="0018413C"/>
    <w:rsid w:val="0018414D"/>
    <w:rsid w:val="001844E5"/>
    <w:rsid w:val="00184530"/>
    <w:rsid w:val="001847E6"/>
    <w:rsid w:val="00184951"/>
    <w:rsid w:val="001849F6"/>
    <w:rsid w:val="0018505C"/>
    <w:rsid w:val="00185085"/>
    <w:rsid w:val="001851BD"/>
    <w:rsid w:val="0018565E"/>
    <w:rsid w:val="00185767"/>
    <w:rsid w:val="00185805"/>
    <w:rsid w:val="00185AF8"/>
    <w:rsid w:val="00185CE4"/>
    <w:rsid w:val="00185D0E"/>
    <w:rsid w:val="00186113"/>
    <w:rsid w:val="00186249"/>
    <w:rsid w:val="0018696A"/>
    <w:rsid w:val="00186A2D"/>
    <w:rsid w:val="00186C23"/>
    <w:rsid w:val="00186F1C"/>
    <w:rsid w:val="00186FCC"/>
    <w:rsid w:val="001870E6"/>
    <w:rsid w:val="00187858"/>
    <w:rsid w:val="00187892"/>
    <w:rsid w:val="001878D9"/>
    <w:rsid w:val="00187B32"/>
    <w:rsid w:val="00187B4D"/>
    <w:rsid w:val="00187C3D"/>
    <w:rsid w:val="00187F67"/>
    <w:rsid w:val="0019008D"/>
    <w:rsid w:val="0019022B"/>
    <w:rsid w:val="0019037D"/>
    <w:rsid w:val="0019044D"/>
    <w:rsid w:val="00190EAF"/>
    <w:rsid w:val="00190F4A"/>
    <w:rsid w:val="0019126B"/>
    <w:rsid w:val="00191483"/>
    <w:rsid w:val="0019155A"/>
    <w:rsid w:val="00191BC0"/>
    <w:rsid w:val="00191C4F"/>
    <w:rsid w:val="00191C9E"/>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B4A"/>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E46"/>
    <w:rsid w:val="00197F36"/>
    <w:rsid w:val="00197F8E"/>
    <w:rsid w:val="001A0002"/>
    <w:rsid w:val="001A02FE"/>
    <w:rsid w:val="001A0769"/>
    <w:rsid w:val="001A0BFC"/>
    <w:rsid w:val="001A0C72"/>
    <w:rsid w:val="001A0F7A"/>
    <w:rsid w:val="001A105E"/>
    <w:rsid w:val="001A116E"/>
    <w:rsid w:val="001A13CA"/>
    <w:rsid w:val="001A1A11"/>
    <w:rsid w:val="001A1D86"/>
    <w:rsid w:val="001A2056"/>
    <w:rsid w:val="001A2326"/>
    <w:rsid w:val="001A25C7"/>
    <w:rsid w:val="001A26F2"/>
    <w:rsid w:val="001A27A6"/>
    <w:rsid w:val="001A2A9D"/>
    <w:rsid w:val="001A2AD1"/>
    <w:rsid w:val="001A3215"/>
    <w:rsid w:val="001A3222"/>
    <w:rsid w:val="001A3375"/>
    <w:rsid w:val="001A33B9"/>
    <w:rsid w:val="001A35C2"/>
    <w:rsid w:val="001A3637"/>
    <w:rsid w:val="001A37C6"/>
    <w:rsid w:val="001A3B7D"/>
    <w:rsid w:val="001A3C77"/>
    <w:rsid w:val="001A409E"/>
    <w:rsid w:val="001A4780"/>
    <w:rsid w:val="001A48CD"/>
    <w:rsid w:val="001A4ACD"/>
    <w:rsid w:val="001A4B57"/>
    <w:rsid w:val="001A5053"/>
    <w:rsid w:val="001A592A"/>
    <w:rsid w:val="001A5C8D"/>
    <w:rsid w:val="001A6136"/>
    <w:rsid w:val="001A6342"/>
    <w:rsid w:val="001A652B"/>
    <w:rsid w:val="001A657D"/>
    <w:rsid w:val="001A713F"/>
    <w:rsid w:val="001A71CB"/>
    <w:rsid w:val="001A7384"/>
    <w:rsid w:val="001A788E"/>
    <w:rsid w:val="001A78A4"/>
    <w:rsid w:val="001A7B13"/>
    <w:rsid w:val="001A7E12"/>
    <w:rsid w:val="001A7F1C"/>
    <w:rsid w:val="001B00A5"/>
    <w:rsid w:val="001B0143"/>
    <w:rsid w:val="001B03DD"/>
    <w:rsid w:val="001B0472"/>
    <w:rsid w:val="001B0873"/>
    <w:rsid w:val="001B0B8E"/>
    <w:rsid w:val="001B102B"/>
    <w:rsid w:val="001B1100"/>
    <w:rsid w:val="001B11CD"/>
    <w:rsid w:val="001B15A9"/>
    <w:rsid w:val="001B17C7"/>
    <w:rsid w:val="001B1B4D"/>
    <w:rsid w:val="001B1BE8"/>
    <w:rsid w:val="001B1D8E"/>
    <w:rsid w:val="001B1F4A"/>
    <w:rsid w:val="001B20B4"/>
    <w:rsid w:val="001B21B7"/>
    <w:rsid w:val="001B25DC"/>
    <w:rsid w:val="001B2678"/>
    <w:rsid w:val="001B2A6E"/>
    <w:rsid w:val="001B40F8"/>
    <w:rsid w:val="001B4608"/>
    <w:rsid w:val="001B4C87"/>
    <w:rsid w:val="001B55DF"/>
    <w:rsid w:val="001B5903"/>
    <w:rsid w:val="001B592F"/>
    <w:rsid w:val="001B5AA9"/>
    <w:rsid w:val="001B5EAC"/>
    <w:rsid w:val="001B608C"/>
    <w:rsid w:val="001B616C"/>
    <w:rsid w:val="001B627A"/>
    <w:rsid w:val="001B6454"/>
    <w:rsid w:val="001B6C5E"/>
    <w:rsid w:val="001B75FB"/>
    <w:rsid w:val="001B76F4"/>
    <w:rsid w:val="001B7701"/>
    <w:rsid w:val="001B77C3"/>
    <w:rsid w:val="001B7BF7"/>
    <w:rsid w:val="001B7E08"/>
    <w:rsid w:val="001C00B3"/>
    <w:rsid w:val="001C0611"/>
    <w:rsid w:val="001C0AEC"/>
    <w:rsid w:val="001C0F26"/>
    <w:rsid w:val="001C114E"/>
    <w:rsid w:val="001C18F7"/>
    <w:rsid w:val="001C1B16"/>
    <w:rsid w:val="001C1E10"/>
    <w:rsid w:val="001C1E86"/>
    <w:rsid w:val="001C1FEF"/>
    <w:rsid w:val="001C2900"/>
    <w:rsid w:val="001C2B53"/>
    <w:rsid w:val="001C2C05"/>
    <w:rsid w:val="001C3400"/>
    <w:rsid w:val="001C36D2"/>
    <w:rsid w:val="001C3A5E"/>
    <w:rsid w:val="001C3C8B"/>
    <w:rsid w:val="001C3F9F"/>
    <w:rsid w:val="001C40C5"/>
    <w:rsid w:val="001C4117"/>
    <w:rsid w:val="001C41F9"/>
    <w:rsid w:val="001C43AD"/>
    <w:rsid w:val="001C4555"/>
    <w:rsid w:val="001C46D0"/>
    <w:rsid w:val="001C46EF"/>
    <w:rsid w:val="001C4719"/>
    <w:rsid w:val="001C495E"/>
    <w:rsid w:val="001C499B"/>
    <w:rsid w:val="001C4AC0"/>
    <w:rsid w:val="001C4AE8"/>
    <w:rsid w:val="001C4B0F"/>
    <w:rsid w:val="001C4B98"/>
    <w:rsid w:val="001C4E94"/>
    <w:rsid w:val="001C5048"/>
    <w:rsid w:val="001C5199"/>
    <w:rsid w:val="001C51C3"/>
    <w:rsid w:val="001C51E6"/>
    <w:rsid w:val="001C54A9"/>
    <w:rsid w:val="001C5504"/>
    <w:rsid w:val="001C567D"/>
    <w:rsid w:val="001C57B1"/>
    <w:rsid w:val="001C6263"/>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C"/>
    <w:rsid w:val="001D2C03"/>
    <w:rsid w:val="001D2C3C"/>
    <w:rsid w:val="001D2CD5"/>
    <w:rsid w:val="001D2FB6"/>
    <w:rsid w:val="001D3540"/>
    <w:rsid w:val="001D371D"/>
    <w:rsid w:val="001D38C2"/>
    <w:rsid w:val="001D39FD"/>
    <w:rsid w:val="001D46DF"/>
    <w:rsid w:val="001D48A4"/>
    <w:rsid w:val="001D48C9"/>
    <w:rsid w:val="001D4BFF"/>
    <w:rsid w:val="001D51FC"/>
    <w:rsid w:val="001D5589"/>
    <w:rsid w:val="001D599D"/>
    <w:rsid w:val="001D5DD4"/>
    <w:rsid w:val="001D61BD"/>
    <w:rsid w:val="001D65CF"/>
    <w:rsid w:val="001D70BF"/>
    <w:rsid w:val="001D75E3"/>
    <w:rsid w:val="001D7BCD"/>
    <w:rsid w:val="001D7BE3"/>
    <w:rsid w:val="001D7F7E"/>
    <w:rsid w:val="001E00D9"/>
    <w:rsid w:val="001E0269"/>
    <w:rsid w:val="001E041B"/>
    <w:rsid w:val="001E04DE"/>
    <w:rsid w:val="001E05B5"/>
    <w:rsid w:val="001E0A77"/>
    <w:rsid w:val="001E0AE6"/>
    <w:rsid w:val="001E0E65"/>
    <w:rsid w:val="001E0F47"/>
    <w:rsid w:val="001E13C5"/>
    <w:rsid w:val="001E17C4"/>
    <w:rsid w:val="001E18AC"/>
    <w:rsid w:val="001E1926"/>
    <w:rsid w:val="001E1ADF"/>
    <w:rsid w:val="001E1F9C"/>
    <w:rsid w:val="001E21EB"/>
    <w:rsid w:val="001E233C"/>
    <w:rsid w:val="001E27EC"/>
    <w:rsid w:val="001E2B27"/>
    <w:rsid w:val="001E2DC3"/>
    <w:rsid w:val="001E2E26"/>
    <w:rsid w:val="001E2E8E"/>
    <w:rsid w:val="001E2EF4"/>
    <w:rsid w:val="001E35BF"/>
    <w:rsid w:val="001E35D2"/>
    <w:rsid w:val="001E37CF"/>
    <w:rsid w:val="001E39C5"/>
    <w:rsid w:val="001E4B1D"/>
    <w:rsid w:val="001E5479"/>
    <w:rsid w:val="001E55CD"/>
    <w:rsid w:val="001E5737"/>
    <w:rsid w:val="001E5A53"/>
    <w:rsid w:val="001E5B59"/>
    <w:rsid w:val="001E5BBC"/>
    <w:rsid w:val="001E5F29"/>
    <w:rsid w:val="001E60B4"/>
    <w:rsid w:val="001E6435"/>
    <w:rsid w:val="001E6802"/>
    <w:rsid w:val="001E691E"/>
    <w:rsid w:val="001E6AFD"/>
    <w:rsid w:val="001E6B0E"/>
    <w:rsid w:val="001E6D5D"/>
    <w:rsid w:val="001E6EE8"/>
    <w:rsid w:val="001E6FAD"/>
    <w:rsid w:val="001E740B"/>
    <w:rsid w:val="001E75E4"/>
    <w:rsid w:val="001E7D8A"/>
    <w:rsid w:val="001E7E60"/>
    <w:rsid w:val="001F0158"/>
    <w:rsid w:val="001F018E"/>
    <w:rsid w:val="001F019F"/>
    <w:rsid w:val="001F04D5"/>
    <w:rsid w:val="001F051D"/>
    <w:rsid w:val="001F07B9"/>
    <w:rsid w:val="001F0904"/>
    <w:rsid w:val="001F0B04"/>
    <w:rsid w:val="001F0C13"/>
    <w:rsid w:val="001F0F6E"/>
    <w:rsid w:val="001F126D"/>
    <w:rsid w:val="001F157A"/>
    <w:rsid w:val="001F166E"/>
    <w:rsid w:val="001F1868"/>
    <w:rsid w:val="001F1A82"/>
    <w:rsid w:val="001F1B25"/>
    <w:rsid w:val="001F2257"/>
    <w:rsid w:val="001F24E0"/>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25F"/>
    <w:rsid w:val="001F4427"/>
    <w:rsid w:val="001F4483"/>
    <w:rsid w:val="001F47C1"/>
    <w:rsid w:val="001F4B16"/>
    <w:rsid w:val="001F4B25"/>
    <w:rsid w:val="001F4C39"/>
    <w:rsid w:val="001F5ADD"/>
    <w:rsid w:val="001F5EEA"/>
    <w:rsid w:val="001F60F1"/>
    <w:rsid w:val="001F62EA"/>
    <w:rsid w:val="001F65A3"/>
    <w:rsid w:val="001F6856"/>
    <w:rsid w:val="001F6F1E"/>
    <w:rsid w:val="001F6FC0"/>
    <w:rsid w:val="001F720B"/>
    <w:rsid w:val="001F7258"/>
    <w:rsid w:val="001F73D9"/>
    <w:rsid w:val="001F7478"/>
    <w:rsid w:val="001F7EDD"/>
    <w:rsid w:val="001F7FCA"/>
    <w:rsid w:val="00200212"/>
    <w:rsid w:val="002008BE"/>
    <w:rsid w:val="002009FD"/>
    <w:rsid w:val="00200ED7"/>
    <w:rsid w:val="0020111B"/>
    <w:rsid w:val="002019BD"/>
    <w:rsid w:val="002019C7"/>
    <w:rsid w:val="00201C08"/>
    <w:rsid w:val="00201F1D"/>
    <w:rsid w:val="00201FE8"/>
    <w:rsid w:val="00201FEF"/>
    <w:rsid w:val="002020AF"/>
    <w:rsid w:val="002024FC"/>
    <w:rsid w:val="0020264D"/>
    <w:rsid w:val="002027BD"/>
    <w:rsid w:val="0020291A"/>
    <w:rsid w:val="00202936"/>
    <w:rsid w:val="00202AE4"/>
    <w:rsid w:val="002031BD"/>
    <w:rsid w:val="002031C1"/>
    <w:rsid w:val="00203461"/>
    <w:rsid w:val="00203830"/>
    <w:rsid w:val="00203AFC"/>
    <w:rsid w:val="00203D79"/>
    <w:rsid w:val="0020406F"/>
    <w:rsid w:val="00204411"/>
    <w:rsid w:val="002044BA"/>
    <w:rsid w:val="00204A35"/>
    <w:rsid w:val="00204F84"/>
    <w:rsid w:val="00205192"/>
    <w:rsid w:val="002051D4"/>
    <w:rsid w:val="002053A2"/>
    <w:rsid w:val="002053E5"/>
    <w:rsid w:val="00205678"/>
    <w:rsid w:val="00205758"/>
    <w:rsid w:val="00205786"/>
    <w:rsid w:val="00205B56"/>
    <w:rsid w:val="00205C40"/>
    <w:rsid w:val="00205EF7"/>
    <w:rsid w:val="00205F12"/>
    <w:rsid w:val="0020627A"/>
    <w:rsid w:val="0020640C"/>
    <w:rsid w:val="002069B7"/>
    <w:rsid w:val="00206B72"/>
    <w:rsid w:val="00206CE5"/>
    <w:rsid w:val="00206F81"/>
    <w:rsid w:val="00207016"/>
    <w:rsid w:val="002102F6"/>
    <w:rsid w:val="002104A6"/>
    <w:rsid w:val="00210673"/>
    <w:rsid w:val="00210D2D"/>
    <w:rsid w:val="00211245"/>
    <w:rsid w:val="00211381"/>
    <w:rsid w:val="00211389"/>
    <w:rsid w:val="00211634"/>
    <w:rsid w:val="0021164B"/>
    <w:rsid w:val="002116B8"/>
    <w:rsid w:val="00211DA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DF2"/>
    <w:rsid w:val="00213EEE"/>
    <w:rsid w:val="00214143"/>
    <w:rsid w:val="002142CF"/>
    <w:rsid w:val="0021448A"/>
    <w:rsid w:val="0021473C"/>
    <w:rsid w:val="00214773"/>
    <w:rsid w:val="00214CC7"/>
    <w:rsid w:val="00214FEB"/>
    <w:rsid w:val="0021514C"/>
    <w:rsid w:val="00215238"/>
    <w:rsid w:val="00215773"/>
    <w:rsid w:val="00215B62"/>
    <w:rsid w:val="00215C8E"/>
    <w:rsid w:val="00216014"/>
    <w:rsid w:val="002160DA"/>
    <w:rsid w:val="00216207"/>
    <w:rsid w:val="0021646B"/>
    <w:rsid w:val="00216526"/>
    <w:rsid w:val="002168AE"/>
    <w:rsid w:val="0021698E"/>
    <w:rsid w:val="00216C14"/>
    <w:rsid w:val="00216CCB"/>
    <w:rsid w:val="00216E8F"/>
    <w:rsid w:val="00216FD9"/>
    <w:rsid w:val="0021707D"/>
    <w:rsid w:val="002175B5"/>
    <w:rsid w:val="00217811"/>
    <w:rsid w:val="00220005"/>
    <w:rsid w:val="0022005D"/>
    <w:rsid w:val="00220E16"/>
    <w:rsid w:val="00221055"/>
    <w:rsid w:val="00221421"/>
    <w:rsid w:val="00221450"/>
    <w:rsid w:val="002214C9"/>
    <w:rsid w:val="00221CE9"/>
    <w:rsid w:val="00221D4E"/>
    <w:rsid w:val="00221EF8"/>
    <w:rsid w:val="00221F4F"/>
    <w:rsid w:val="00222216"/>
    <w:rsid w:val="00222241"/>
    <w:rsid w:val="00222296"/>
    <w:rsid w:val="002222E1"/>
    <w:rsid w:val="002224A3"/>
    <w:rsid w:val="00222779"/>
    <w:rsid w:val="00222811"/>
    <w:rsid w:val="00223627"/>
    <w:rsid w:val="00223985"/>
    <w:rsid w:val="00223C32"/>
    <w:rsid w:val="00223D80"/>
    <w:rsid w:val="00224131"/>
    <w:rsid w:val="00224459"/>
    <w:rsid w:val="00224B81"/>
    <w:rsid w:val="00224BA4"/>
    <w:rsid w:val="00224C31"/>
    <w:rsid w:val="00224DB1"/>
    <w:rsid w:val="00225079"/>
    <w:rsid w:val="002252F7"/>
    <w:rsid w:val="0022588B"/>
    <w:rsid w:val="00225B2A"/>
    <w:rsid w:val="00225BD5"/>
    <w:rsid w:val="00225D59"/>
    <w:rsid w:val="0022618F"/>
    <w:rsid w:val="0022649C"/>
    <w:rsid w:val="00226614"/>
    <w:rsid w:val="00226B61"/>
    <w:rsid w:val="00226C0B"/>
    <w:rsid w:val="00226CB0"/>
    <w:rsid w:val="00227508"/>
    <w:rsid w:val="00227B03"/>
    <w:rsid w:val="00227F84"/>
    <w:rsid w:val="002307F3"/>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A8E"/>
    <w:rsid w:val="00233C59"/>
    <w:rsid w:val="00233C8B"/>
    <w:rsid w:val="00233DBB"/>
    <w:rsid w:val="00233F8F"/>
    <w:rsid w:val="00234111"/>
    <w:rsid w:val="00234207"/>
    <w:rsid w:val="002344EC"/>
    <w:rsid w:val="0023451F"/>
    <w:rsid w:val="0023459F"/>
    <w:rsid w:val="0023468B"/>
    <w:rsid w:val="002346E7"/>
    <w:rsid w:val="00234717"/>
    <w:rsid w:val="00234B4B"/>
    <w:rsid w:val="00234B5F"/>
    <w:rsid w:val="00234DBF"/>
    <w:rsid w:val="00234EC8"/>
    <w:rsid w:val="00235054"/>
    <w:rsid w:val="00235292"/>
    <w:rsid w:val="002352AF"/>
    <w:rsid w:val="00235448"/>
    <w:rsid w:val="002354BB"/>
    <w:rsid w:val="0023599E"/>
    <w:rsid w:val="00235F58"/>
    <w:rsid w:val="002362FD"/>
    <w:rsid w:val="002366AC"/>
    <w:rsid w:val="002366DD"/>
    <w:rsid w:val="00236E9F"/>
    <w:rsid w:val="00237A44"/>
    <w:rsid w:val="00237BC1"/>
    <w:rsid w:val="00237D72"/>
    <w:rsid w:val="0024010C"/>
    <w:rsid w:val="002405B2"/>
    <w:rsid w:val="0024061C"/>
    <w:rsid w:val="0024082D"/>
    <w:rsid w:val="0024082E"/>
    <w:rsid w:val="00240998"/>
    <w:rsid w:val="00241021"/>
    <w:rsid w:val="0024107A"/>
    <w:rsid w:val="00241114"/>
    <w:rsid w:val="002411E8"/>
    <w:rsid w:val="002417AE"/>
    <w:rsid w:val="00241BC8"/>
    <w:rsid w:val="00241D41"/>
    <w:rsid w:val="00242259"/>
    <w:rsid w:val="0024280E"/>
    <w:rsid w:val="00242895"/>
    <w:rsid w:val="002429EB"/>
    <w:rsid w:val="00242AB5"/>
    <w:rsid w:val="00242BC0"/>
    <w:rsid w:val="00242D9E"/>
    <w:rsid w:val="00242F37"/>
    <w:rsid w:val="00243224"/>
    <w:rsid w:val="002434A7"/>
    <w:rsid w:val="00243CBD"/>
    <w:rsid w:val="00244291"/>
    <w:rsid w:val="00244512"/>
    <w:rsid w:val="002447CC"/>
    <w:rsid w:val="00244882"/>
    <w:rsid w:val="00244CD1"/>
    <w:rsid w:val="00245225"/>
    <w:rsid w:val="0024556F"/>
    <w:rsid w:val="00245601"/>
    <w:rsid w:val="002459B6"/>
    <w:rsid w:val="00245F15"/>
    <w:rsid w:val="00246013"/>
    <w:rsid w:val="002463C3"/>
    <w:rsid w:val="00246834"/>
    <w:rsid w:val="00246851"/>
    <w:rsid w:val="002468AE"/>
    <w:rsid w:val="00246D02"/>
    <w:rsid w:val="00246D9D"/>
    <w:rsid w:val="0024707B"/>
    <w:rsid w:val="00247828"/>
    <w:rsid w:val="00247C1D"/>
    <w:rsid w:val="00250259"/>
    <w:rsid w:val="002504BA"/>
    <w:rsid w:val="002507BB"/>
    <w:rsid w:val="00250D47"/>
    <w:rsid w:val="00251203"/>
    <w:rsid w:val="00251555"/>
    <w:rsid w:val="00251605"/>
    <w:rsid w:val="00251744"/>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EBD"/>
    <w:rsid w:val="00253FBF"/>
    <w:rsid w:val="00254193"/>
    <w:rsid w:val="002541D0"/>
    <w:rsid w:val="00254571"/>
    <w:rsid w:val="002548B1"/>
    <w:rsid w:val="00255490"/>
    <w:rsid w:val="0025561E"/>
    <w:rsid w:val="002557C7"/>
    <w:rsid w:val="00256013"/>
    <w:rsid w:val="002565B3"/>
    <w:rsid w:val="002567F1"/>
    <w:rsid w:val="002569ED"/>
    <w:rsid w:val="00256D3D"/>
    <w:rsid w:val="00256E13"/>
    <w:rsid w:val="00256F99"/>
    <w:rsid w:val="00257066"/>
    <w:rsid w:val="002578DF"/>
    <w:rsid w:val="00257936"/>
    <w:rsid w:val="00257DD7"/>
    <w:rsid w:val="00257E08"/>
    <w:rsid w:val="00257E14"/>
    <w:rsid w:val="00260461"/>
    <w:rsid w:val="00260656"/>
    <w:rsid w:val="002606F8"/>
    <w:rsid w:val="00260B69"/>
    <w:rsid w:val="00260EA3"/>
    <w:rsid w:val="00261101"/>
    <w:rsid w:val="0026126F"/>
    <w:rsid w:val="002612E1"/>
    <w:rsid w:val="00261580"/>
    <w:rsid w:val="00261743"/>
    <w:rsid w:val="00261879"/>
    <w:rsid w:val="00261BE2"/>
    <w:rsid w:val="00261C6D"/>
    <w:rsid w:val="00261D4C"/>
    <w:rsid w:val="002624FC"/>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673"/>
    <w:rsid w:val="002656C7"/>
    <w:rsid w:val="0026576F"/>
    <w:rsid w:val="00265B1A"/>
    <w:rsid w:val="00265F5B"/>
    <w:rsid w:val="002663A5"/>
    <w:rsid w:val="00266603"/>
    <w:rsid w:val="00266B0F"/>
    <w:rsid w:val="002674BC"/>
    <w:rsid w:val="00267523"/>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47B"/>
    <w:rsid w:val="002758BA"/>
    <w:rsid w:val="00275A0E"/>
    <w:rsid w:val="00275B34"/>
    <w:rsid w:val="00275E59"/>
    <w:rsid w:val="00276368"/>
    <w:rsid w:val="002765F4"/>
    <w:rsid w:val="00276959"/>
    <w:rsid w:val="00276974"/>
    <w:rsid w:val="002769EA"/>
    <w:rsid w:val="00276BA1"/>
    <w:rsid w:val="00277032"/>
    <w:rsid w:val="00277476"/>
    <w:rsid w:val="002775F0"/>
    <w:rsid w:val="0027776D"/>
    <w:rsid w:val="00277B3D"/>
    <w:rsid w:val="00277DD9"/>
    <w:rsid w:val="002802DC"/>
    <w:rsid w:val="00280706"/>
    <w:rsid w:val="00280BBC"/>
    <w:rsid w:val="00280F8D"/>
    <w:rsid w:val="00281606"/>
    <w:rsid w:val="002817E2"/>
    <w:rsid w:val="00281B29"/>
    <w:rsid w:val="00281CBB"/>
    <w:rsid w:val="00281EC3"/>
    <w:rsid w:val="00282592"/>
    <w:rsid w:val="00282602"/>
    <w:rsid w:val="002828BF"/>
    <w:rsid w:val="00282A44"/>
    <w:rsid w:val="00283084"/>
    <w:rsid w:val="00283178"/>
    <w:rsid w:val="00283251"/>
    <w:rsid w:val="00283421"/>
    <w:rsid w:val="00283A58"/>
    <w:rsid w:val="00283CD8"/>
    <w:rsid w:val="00283D22"/>
    <w:rsid w:val="0028412B"/>
    <w:rsid w:val="002843BA"/>
    <w:rsid w:val="002846C5"/>
    <w:rsid w:val="0028491E"/>
    <w:rsid w:val="002849EE"/>
    <w:rsid w:val="00284A38"/>
    <w:rsid w:val="00284ADB"/>
    <w:rsid w:val="00284EBB"/>
    <w:rsid w:val="002851FB"/>
    <w:rsid w:val="0028552E"/>
    <w:rsid w:val="00285600"/>
    <w:rsid w:val="00285712"/>
    <w:rsid w:val="00286580"/>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2EFE"/>
    <w:rsid w:val="002933CF"/>
    <w:rsid w:val="002934D8"/>
    <w:rsid w:val="002935F9"/>
    <w:rsid w:val="00293AB8"/>
    <w:rsid w:val="00293C3E"/>
    <w:rsid w:val="00293F49"/>
    <w:rsid w:val="0029425A"/>
    <w:rsid w:val="0029439C"/>
    <w:rsid w:val="002943E6"/>
    <w:rsid w:val="0029440E"/>
    <w:rsid w:val="002947D4"/>
    <w:rsid w:val="0029493A"/>
    <w:rsid w:val="00294A4E"/>
    <w:rsid w:val="00294B52"/>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0DA"/>
    <w:rsid w:val="00297269"/>
    <w:rsid w:val="002972DF"/>
    <w:rsid w:val="0029740A"/>
    <w:rsid w:val="0029749B"/>
    <w:rsid w:val="0029765E"/>
    <w:rsid w:val="00297A98"/>
    <w:rsid w:val="00297CD8"/>
    <w:rsid w:val="00297EC5"/>
    <w:rsid w:val="002A0232"/>
    <w:rsid w:val="002A0363"/>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521"/>
    <w:rsid w:val="002A393F"/>
    <w:rsid w:val="002A395B"/>
    <w:rsid w:val="002A3D16"/>
    <w:rsid w:val="002A3DA2"/>
    <w:rsid w:val="002A41A6"/>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4D2"/>
    <w:rsid w:val="002B0C3A"/>
    <w:rsid w:val="002B0E2D"/>
    <w:rsid w:val="002B0F56"/>
    <w:rsid w:val="002B16E0"/>
    <w:rsid w:val="002B1958"/>
    <w:rsid w:val="002B1A2F"/>
    <w:rsid w:val="002B1AA9"/>
    <w:rsid w:val="002B1B05"/>
    <w:rsid w:val="002B1D72"/>
    <w:rsid w:val="002B1EB2"/>
    <w:rsid w:val="002B2350"/>
    <w:rsid w:val="002B27C0"/>
    <w:rsid w:val="002B2A81"/>
    <w:rsid w:val="002B2B0D"/>
    <w:rsid w:val="002B3111"/>
    <w:rsid w:val="002B32FC"/>
    <w:rsid w:val="002B35A3"/>
    <w:rsid w:val="002B361B"/>
    <w:rsid w:val="002B3BCE"/>
    <w:rsid w:val="002B3E02"/>
    <w:rsid w:val="002B407B"/>
    <w:rsid w:val="002B417F"/>
    <w:rsid w:val="002B468E"/>
    <w:rsid w:val="002B49C5"/>
    <w:rsid w:val="002B4BEB"/>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69A"/>
    <w:rsid w:val="002C39AF"/>
    <w:rsid w:val="002C3DB9"/>
    <w:rsid w:val="002C431F"/>
    <w:rsid w:val="002C437A"/>
    <w:rsid w:val="002C4C80"/>
    <w:rsid w:val="002C522F"/>
    <w:rsid w:val="002C52BF"/>
    <w:rsid w:val="002C54C1"/>
    <w:rsid w:val="002C556D"/>
    <w:rsid w:val="002C5D05"/>
    <w:rsid w:val="002C5DB9"/>
    <w:rsid w:val="002C5DE6"/>
    <w:rsid w:val="002C5E42"/>
    <w:rsid w:val="002C6236"/>
    <w:rsid w:val="002C62A6"/>
    <w:rsid w:val="002C6444"/>
    <w:rsid w:val="002C6677"/>
    <w:rsid w:val="002C69BD"/>
    <w:rsid w:val="002C6C31"/>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C8F"/>
    <w:rsid w:val="002D0E5F"/>
    <w:rsid w:val="002D11A3"/>
    <w:rsid w:val="002D1530"/>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7F0"/>
    <w:rsid w:val="002D3F35"/>
    <w:rsid w:val="002D4489"/>
    <w:rsid w:val="002D44CD"/>
    <w:rsid w:val="002D4703"/>
    <w:rsid w:val="002D4769"/>
    <w:rsid w:val="002D47FC"/>
    <w:rsid w:val="002D4A5F"/>
    <w:rsid w:val="002D4B4A"/>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6FFE"/>
    <w:rsid w:val="002D7100"/>
    <w:rsid w:val="002D7A8B"/>
    <w:rsid w:val="002D7B8B"/>
    <w:rsid w:val="002D7D47"/>
    <w:rsid w:val="002E01CA"/>
    <w:rsid w:val="002E025C"/>
    <w:rsid w:val="002E0263"/>
    <w:rsid w:val="002E04BC"/>
    <w:rsid w:val="002E077B"/>
    <w:rsid w:val="002E07A4"/>
    <w:rsid w:val="002E0949"/>
    <w:rsid w:val="002E0B8F"/>
    <w:rsid w:val="002E0C25"/>
    <w:rsid w:val="002E0C56"/>
    <w:rsid w:val="002E0D3A"/>
    <w:rsid w:val="002E116E"/>
    <w:rsid w:val="002E12C5"/>
    <w:rsid w:val="002E149C"/>
    <w:rsid w:val="002E1AA5"/>
    <w:rsid w:val="002E1E43"/>
    <w:rsid w:val="002E2185"/>
    <w:rsid w:val="002E21D9"/>
    <w:rsid w:val="002E231E"/>
    <w:rsid w:val="002E26B3"/>
    <w:rsid w:val="002E2CBA"/>
    <w:rsid w:val="002E2D95"/>
    <w:rsid w:val="002E2D99"/>
    <w:rsid w:val="002E31A4"/>
    <w:rsid w:val="002E346E"/>
    <w:rsid w:val="002E374F"/>
    <w:rsid w:val="002E3AD5"/>
    <w:rsid w:val="002E3B74"/>
    <w:rsid w:val="002E3C2E"/>
    <w:rsid w:val="002E45C4"/>
    <w:rsid w:val="002E4724"/>
    <w:rsid w:val="002E475C"/>
    <w:rsid w:val="002E52B7"/>
    <w:rsid w:val="002E5308"/>
    <w:rsid w:val="002E537C"/>
    <w:rsid w:val="002E5AF6"/>
    <w:rsid w:val="002E604B"/>
    <w:rsid w:val="002E6106"/>
    <w:rsid w:val="002E631F"/>
    <w:rsid w:val="002E6559"/>
    <w:rsid w:val="002E66AB"/>
    <w:rsid w:val="002E679B"/>
    <w:rsid w:val="002E685A"/>
    <w:rsid w:val="002E6ABC"/>
    <w:rsid w:val="002E6AC8"/>
    <w:rsid w:val="002E703D"/>
    <w:rsid w:val="002E75A6"/>
    <w:rsid w:val="002E75F5"/>
    <w:rsid w:val="002E7A37"/>
    <w:rsid w:val="002E7FD0"/>
    <w:rsid w:val="002F00FF"/>
    <w:rsid w:val="002F07EF"/>
    <w:rsid w:val="002F0ED2"/>
    <w:rsid w:val="002F11F3"/>
    <w:rsid w:val="002F148F"/>
    <w:rsid w:val="002F1777"/>
    <w:rsid w:val="002F17C2"/>
    <w:rsid w:val="002F1911"/>
    <w:rsid w:val="002F1D8C"/>
    <w:rsid w:val="002F1EE5"/>
    <w:rsid w:val="002F20F7"/>
    <w:rsid w:val="002F226B"/>
    <w:rsid w:val="002F2BC7"/>
    <w:rsid w:val="002F2CDC"/>
    <w:rsid w:val="002F2D17"/>
    <w:rsid w:val="002F2D68"/>
    <w:rsid w:val="002F3582"/>
    <w:rsid w:val="002F36A6"/>
    <w:rsid w:val="002F36D2"/>
    <w:rsid w:val="002F3E72"/>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44D"/>
    <w:rsid w:val="002F7773"/>
    <w:rsid w:val="002F797E"/>
    <w:rsid w:val="002F79F4"/>
    <w:rsid w:val="002F7FCB"/>
    <w:rsid w:val="00300327"/>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9AD"/>
    <w:rsid w:val="00302A21"/>
    <w:rsid w:val="00302CD5"/>
    <w:rsid w:val="00302DEE"/>
    <w:rsid w:val="00302EA9"/>
    <w:rsid w:val="00303552"/>
    <w:rsid w:val="003035A7"/>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6B9"/>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9F7"/>
    <w:rsid w:val="00311EFA"/>
    <w:rsid w:val="00311F9B"/>
    <w:rsid w:val="003121A6"/>
    <w:rsid w:val="00312777"/>
    <w:rsid w:val="003127D5"/>
    <w:rsid w:val="00312878"/>
    <w:rsid w:val="00312888"/>
    <w:rsid w:val="00312B67"/>
    <w:rsid w:val="00312DF5"/>
    <w:rsid w:val="003131DA"/>
    <w:rsid w:val="00313290"/>
    <w:rsid w:val="003132D1"/>
    <w:rsid w:val="00313783"/>
    <w:rsid w:val="00313C71"/>
    <w:rsid w:val="00313C7C"/>
    <w:rsid w:val="00314003"/>
    <w:rsid w:val="00314513"/>
    <w:rsid w:val="00314563"/>
    <w:rsid w:val="003148D6"/>
    <w:rsid w:val="00314BF3"/>
    <w:rsid w:val="003152E9"/>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8CF"/>
    <w:rsid w:val="00317969"/>
    <w:rsid w:val="00317C18"/>
    <w:rsid w:val="00317DE3"/>
    <w:rsid w:val="00317E88"/>
    <w:rsid w:val="003203AA"/>
    <w:rsid w:val="003203F1"/>
    <w:rsid w:val="00320566"/>
    <w:rsid w:val="00320678"/>
    <w:rsid w:val="00320996"/>
    <w:rsid w:val="00320C3C"/>
    <w:rsid w:val="00320C76"/>
    <w:rsid w:val="00320DBB"/>
    <w:rsid w:val="00321505"/>
    <w:rsid w:val="003216E4"/>
    <w:rsid w:val="00321874"/>
    <w:rsid w:val="00321887"/>
    <w:rsid w:val="003218FA"/>
    <w:rsid w:val="00321AA9"/>
    <w:rsid w:val="003223DE"/>
    <w:rsid w:val="0032244B"/>
    <w:rsid w:val="003226F3"/>
    <w:rsid w:val="003228AC"/>
    <w:rsid w:val="00322B57"/>
    <w:rsid w:val="00322C1B"/>
    <w:rsid w:val="00322FCD"/>
    <w:rsid w:val="0032310A"/>
    <w:rsid w:val="0032342A"/>
    <w:rsid w:val="0032348D"/>
    <w:rsid w:val="00323783"/>
    <w:rsid w:val="003239FE"/>
    <w:rsid w:val="00323DC0"/>
    <w:rsid w:val="00323F7B"/>
    <w:rsid w:val="00324208"/>
    <w:rsid w:val="003245AA"/>
    <w:rsid w:val="00324674"/>
    <w:rsid w:val="00324AF7"/>
    <w:rsid w:val="00325827"/>
    <w:rsid w:val="00325881"/>
    <w:rsid w:val="003258A7"/>
    <w:rsid w:val="003259A3"/>
    <w:rsid w:val="00325A7A"/>
    <w:rsid w:val="00325ABC"/>
    <w:rsid w:val="00325E22"/>
    <w:rsid w:val="00325E50"/>
    <w:rsid w:val="0032670D"/>
    <w:rsid w:val="00326BB2"/>
    <w:rsid w:val="00326BD8"/>
    <w:rsid w:val="00326ED8"/>
    <w:rsid w:val="00326F1D"/>
    <w:rsid w:val="00327CD1"/>
    <w:rsid w:val="00327D35"/>
    <w:rsid w:val="00330248"/>
    <w:rsid w:val="00330636"/>
    <w:rsid w:val="003308AC"/>
    <w:rsid w:val="00330B40"/>
    <w:rsid w:val="00330B78"/>
    <w:rsid w:val="00330CE4"/>
    <w:rsid w:val="00331054"/>
    <w:rsid w:val="003311C4"/>
    <w:rsid w:val="0033180A"/>
    <w:rsid w:val="00331E9C"/>
    <w:rsid w:val="00331FBE"/>
    <w:rsid w:val="0033253F"/>
    <w:rsid w:val="0033295D"/>
    <w:rsid w:val="0033296A"/>
    <w:rsid w:val="00332DFF"/>
    <w:rsid w:val="00332E1E"/>
    <w:rsid w:val="00333128"/>
    <w:rsid w:val="00333223"/>
    <w:rsid w:val="0033335A"/>
    <w:rsid w:val="0033335F"/>
    <w:rsid w:val="003334F6"/>
    <w:rsid w:val="00333646"/>
    <w:rsid w:val="003337D5"/>
    <w:rsid w:val="00333CC1"/>
    <w:rsid w:val="00333D1F"/>
    <w:rsid w:val="00333DBC"/>
    <w:rsid w:val="003346CE"/>
    <w:rsid w:val="00334BD6"/>
    <w:rsid w:val="00334DB0"/>
    <w:rsid w:val="00334DF1"/>
    <w:rsid w:val="0033515F"/>
    <w:rsid w:val="00335467"/>
    <w:rsid w:val="00335474"/>
    <w:rsid w:val="00335589"/>
    <w:rsid w:val="003355AC"/>
    <w:rsid w:val="003356C8"/>
    <w:rsid w:val="003357EF"/>
    <w:rsid w:val="00335AFA"/>
    <w:rsid w:val="0033610B"/>
    <w:rsid w:val="00336681"/>
    <w:rsid w:val="003367A4"/>
    <w:rsid w:val="003367B9"/>
    <w:rsid w:val="00336B0D"/>
    <w:rsid w:val="00336D5F"/>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10"/>
    <w:rsid w:val="00341A8C"/>
    <w:rsid w:val="003422F0"/>
    <w:rsid w:val="0034257E"/>
    <w:rsid w:val="003425B1"/>
    <w:rsid w:val="00342877"/>
    <w:rsid w:val="00342895"/>
    <w:rsid w:val="00342D97"/>
    <w:rsid w:val="00343161"/>
    <w:rsid w:val="0034333F"/>
    <w:rsid w:val="00343BF3"/>
    <w:rsid w:val="00343DB9"/>
    <w:rsid w:val="00343DE7"/>
    <w:rsid w:val="00344502"/>
    <w:rsid w:val="00344F56"/>
    <w:rsid w:val="003451F5"/>
    <w:rsid w:val="0034538F"/>
    <w:rsid w:val="00345754"/>
    <w:rsid w:val="003459BC"/>
    <w:rsid w:val="00345B71"/>
    <w:rsid w:val="00345C1B"/>
    <w:rsid w:val="003460E4"/>
    <w:rsid w:val="003461BF"/>
    <w:rsid w:val="0034641E"/>
    <w:rsid w:val="003469F1"/>
    <w:rsid w:val="00346A3C"/>
    <w:rsid w:val="00346A8C"/>
    <w:rsid w:val="00346C96"/>
    <w:rsid w:val="00346DBB"/>
    <w:rsid w:val="00346F98"/>
    <w:rsid w:val="00347009"/>
    <w:rsid w:val="00347056"/>
    <w:rsid w:val="003477D4"/>
    <w:rsid w:val="00347992"/>
    <w:rsid w:val="00347A22"/>
    <w:rsid w:val="00347A62"/>
    <w:rsid w:val="00347B3D"/>
    <w:rsid w:val="00347C30"/>
    <w:rsid w:val="00347D0F"/>
    <w:rsid w:val="00347E52"/>
    <w:rsid w:val="003501F6"/>
    <w:rsid w:val="00350555"/>
    <w:rsid w:val="0035085E"/>
    <w:rsid w:val="00350DD2"/>
    <w:rsid w:val="00350E74"/>
    <w:rsid w:val="00351203"/>
    <w:rsid w:val="0035121C"/>
    <w:rsid w:val="00351338"/>
    <w:rsid w:val="00351892"/>
    <w:rsid w:val="00351D3A"/>
    <w:rsid w:val="00351FF2"/>
    <w:rsid w:val="0035204D"/>
    <w:rsid w:val="00352335"/>
    <w:rsid w:val="00352505"/>
    <w:rsid w:val="003528A0"/>
    <w:rsid w:val="003528AE"/>
    <w:rsid w:val="00352904"/>
    <w:rsid w:val="00352A62"/>
    <w:rsid w:val="00352B17"/>
    <w:rsid w:val="00352B55"/>
    <w:rsid w:val="0035304A"/>
    <w:rsid w:val="0035309B"/>
    <w:rsid w:val="00353211"/>
    <w:rsid w:val="0035339F"/>
    <w:rsid w:val="003535A7"/>
    <w:rsid w:val="00353C5E"/>
    <w:rsid w:val="00354018"/>
    <w:rsid w:val="0035403B"/>
    <w:rsid w:val="003540FA"/>
    <w:rsid w:val="00354733"/>
    <w:rsid w:val="003547B7"/>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5D"/>
    <w:rsid w:val="00360CF1"/>
    <w:rsid w:val="00360D2C"/>
    <w:rsid w:val="00360DA1"/>
    <w:rsid w:val="00360DAA"/>
    <w:rsid w:val="0036101D"/>
    <w:rsid w:val="00361138"/>
    <w:rsid w:val="003611C4"/>
    <w:rsid w:val="003614B0"/>
    <w:rsid w:val="003614B8"/>
    <w:rsid w:val="003617B8"/>
    <w:rsid w:val="003619AF"/>
    <w:rsid w:val="00361C84"/>
    <w:rsid w:val="00361CD2"/>
    <w:rsid w:val="00361EB6"/>
    <w:rsid w:val="00361EC8"/>
    <w:rsid w:val="00361F52"/>
    <w:rsid w:val="00362919"/>
    <w:rsid w:val="00362B31"/>
    <w:rsid w:val="00362C4B"/>
    <w:rsid w:val="003634EA"/>
    <w:rsid w:val="003636FB"/>
    <w:rsid w:val="00363A15"/>
    <w:rsid w:val="00363B12"/>
    <w:rsid w:val="00363B7D"/>
    <w:rsid w:val="00363CDC"/>
    <w:rsid w:val="00363ECF"/>
    <w:rsid w:val="003640B0"/>
    <w:rsid w:val="003643CD"/>
    <w:rsid w:val="003646FB"/>
    <w:rsid w:val="00364A55"/>
    <w:rsid w:val="00364AAC"/>
    <w:rsid w:val="00364B2A"/>
    <w:rsid w:val="00364C5E"/>
    <w:rsid w:val="00365560"/>
    <w:rsid w:val="00365701"/>
    <w:rsid w:val="0036573A"/>
    <w:rsid w:val="0036577F"/>
    <w:rsid w:val="00365A64"/>
    <w:rsid w:val="00365C66"/>
    <w:rsid w:val="00365D62"/>
    <w:rsid w:val="00365E23"/>
    <w:rsid w:val="0036635B"/>
    <w:rsid w:val="0036668C"/>
    <w:rsid w:val="003669A6"/>
    <w:rsid w:val="00366BFF"/>
    <w:rsid w:val="00366F70"/>
    <w:rsid w:val="003670F3"/>
    <w:rsid w:val="0036747E"/>
    <w:rsid w:val="00367EF1"/>
    <w:rsid w:val="003700C5"/>
    <w:rsid w:val="003701AC"/>
    <w:rsid w:val="00370640"/>
    <w:rsid w:val="00370645"/>
    <w:rsid w:val="003707F8"/>
    <w:rsid w:val="003708D0"/>
    <w:rsid w:val="00371090"/>
    <w:rsid w:val="003710E4"/>
    <w:rsid w:val="00371DBB"/>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21A"/>
    <w:rsid w:val="00375406"/>
    <w:rsid w:val="003756A8"/>
    <w:rsid w:val="00375DF8"/>
    <w:rsid w:val="0037647F"/>
    <w:rsid w:val="00376778"/>
    <w:rsid w:val="003768BA"/>
    <w:rsid w:val="00376B6A"/>
    <w:rsid w:val="00376F70"/>
    <w:rsid w:val="0037705C"/>
    <w:rsid w:val="0037727F"/>
    <w:rsid w:val="003772B2"/>
    <w:rsid w:val="003777E2"/>
    <w:rsid w:val="00377A00"/>
    <w:rsid w:val="00377A90"/>
    <w:rsid w:val="00377E05"/>
    <w:rsid w:val="00377E1A"/>
    <w:rsid w:val="0038054D"/>
    <w:rsid w:val="0038083C"/>
    <w:rsid w:val="00380FD2"/>
    <w:rsid w:val="003810BC"/>
    <w:rsid w:val="003810E3"/>
    <w:rsid w:val="00381260"/>
    <w:rsid w:val="00381992"/>
    <w:rsid w:val="00381E70"/>
    <w:rsid w:val="00381F15"/>
    <w:rsid w:val="00381FA2"/>
    <w:rsid w:val="00381FB9"/>
    <w:rsid w:val="003821E7"/>
    <w:rsid w:val="00382324"/>
    <w:rsid w:val="00382326"/>
    <w:rsid w:val="0038258C"/>
    <w:rsid w:val="00382636"/>
    <w:rsid w:val="0038295E"/>
    <w:rsid w:val="00382B36"/>
    <w:rsid w:val="00382F70"/>
    <w:rsid w:val="00382F73"/>
    <w:rsid w:val="003831BC"/>
    <w:rsid w:val="003832AD"/>
    <w:rsid w:val="003833C5"/>
    <w:rsid w:val="00383718"/>
    <w:rsid w:val="003837CD"/>
    <w:rsid w:val="00383846"/>
    <w:rsid w:val="00383BA8"/>
    <w:rsid w:val="00383E45"/>
    <w:rsid w:val="0038417A"/>
    <w:rsid w:val="00384400"/>
    <w:rsid w:val="0038461D"/>
    <w:rsid w:val="0038480A"/>
    <w:rsid w:val="00384985"/>
    <w:rsid w:val="00384AB5"/>
    <w:rsid w:val="00384B49"/>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0AE"/>
    <w:rsid w:val="003861D5"/>
    <w:rsid w:val="00386A3F"/>
    <w:rsid w:val="00386D50"/>
    <w:rsid w:val="003876EA"/>
    <w:rsid w:val="003879E4"/>
    <w:rsid w:val="00387EAE"/>
    <w:rsid w:val="00387EC3"/>
    <w:rsid w:val="003900E9"/>
    <w:rsid w:val="0039048C"/>
    <w:rsid w:val="003904FB"/>
    <w:rsid w:val="00390685"/>
    <w:rsid w:val="00390736"/>
    <w:rsid w:val="00390B42"/>
    <w:rsid w:val="00390D13"/>
    <w:rsid w:val="00390D22"/>
    <w:rsid w:val="00390E8D"/>
    <w:rsid w:val="0039114E"/>
    <w:rsid w:val="00391591"/>
    <w:rsid w:val="00391716"/>
    <w:rsid w:val="0039191D"/>
    <w:rsid w:val="00391ABB"/>
    <w:rsid w:val="00391ABF"/>
    <w:rsid w:val="00391E30"/>
    <w:rsid w:val="00391E36"/>
    <w:rsid w:val="00392145"/>
    <w:rsid w:val="003922C1"/>
    <w:rsid w:val="003924E4"/>
    <w:rsid w:val="0039291E"/>
    <w:rsid w:val="00392970"/>
    <w:rsid w:val="003936DF"/>
    <w:rsid w:val="00393895"/>
    <w:rsid w:val="003939C4"/>
    <w:rsid w:val="003939CA"/>
    <w:rsid w:val="00393CE6"/>
    <w:rsid w:val="00393DE6"/>
    <w:rsid w:val="00393EDF"/>
    <w:rsid w:val="00393F72"/>
    <w:rsid w:val="00394211"/>
    <w:rsid w:val="0039438A"/>
    <w:rsid w:val="00394791"/>
    <w:rsid w:val="003947BF"/>
    <w:rsid w:val="00394BB3"/>
    <w:rsid w:val="00394D2B"/>
    <w:rsid w:val="00395206"/>
    <w:rsid w:val="00395229"/>
    <w:rsid w:val="00395286"/>
    <w:rsid w:val="00395389"/>
    <w:rsid w:val="0039554C"/>
    <w:rsid w:val="0039571E"/>
    <w:rsid w:val="00395CF6"/>
    <w:rsid w:val="00395EDC"/>
    <w:rsid w:val="00395F99"/>
    <w:rsid w:val="003961F4"/>
    <w:rsid w:val="00396437"/>
    <w:rsid w:val="00396547"/>
    <w:rsid w:val="0039687E"/>
    <w:rsid w:val="00396A34"/>
    <w:rsid w:val="00396DC3"/>
    <w:rsid w:val="00396F82"/>
    <w:rsid w:val="0039741B"/>
    <w:rsid w:val="0039769A"/>
    <w:rsid w:val="00397AE9"/>
    <w:rsid w:val="00397D36"/>
    <w:rsid w:val="003A0277"/>
    <w:rsid w:val="003A0316"/>
    <w:rsid w:val="003A063D"/>
    <w:rsid w:val="003A090B"/>
    <w:rsid w:val="003A094A"/>
    <w:rsid w:val="003A0CB0"/>
    <w:rsid w:val="003A12D7"/>
    <w:rsid w:val="003A13DE"/>
    <w:rsid w:val="003A1697"/>
    <w:rsid w:val="003A17C3"/>
    <w:rsid w:val="003A21F8"/>
    <w:rsid w:val="003A2805"/>
    <w:rsid w:val="003A284B"/>
    <w:rsid w:val="003A2A56"/>
    <w:rsid w:val="003A2D67"/>
    <w:rsid w:val="003A36CE"/>
    <w:rsid w:val="003A3E68"/>
    <w:rsid w:val="003A4098"/>
    <w:rsid w:val="003A4284"/>
    <w:rsid w:val="003A4362"/>
    <w:rsid w:val="003A43B4"/>
    <w:rsid w:val="003A46E9"/>
    <w:rsid w:val="003A46EA"/>
    <w:rsid w:val="003A472D"/>
    <w:rsid w:val="003A4883"/>
    <w:rsid w:val="003A4A86"/>
    <w:rsid w:val="003A4C36"/>
    <w:rsid w:val="003A4C84"/>
    <w:rsid w:val="003A4FFA"/>
    <w:rsid w:val="003A510B"/>
    <w:rsid w:val="003A5162"/>
    <w:rsid w:val="003A5438"/>
    <w:rsid w:val="003A54F3"/>
    <w:rsid w:val="003A550E"/>
    <w:rsid w:val="003A58D3"/>
    <w:rsid w:val="003A5C62"/>
    <w:rsid w:val="003A5D4F"/>
    <w:rsid w:val="003A611C"/>
    <w:rsid w:val="003A6191"/>
    <w:rsid w:val="003A684C"/>
    <w:rsid w:val="003A69CA"/>
    <w:rsid w:val="003A6A5D"/>
    <w:rsid w:val="003A6B82"/>
    <w:rsid w:val="003A6D5D"/>
    <w:rsid w:val="003A6EBC"/>
    <w:rsid w:val="003A77A6"/>
    <w:rsid w:val="003A7CFA"/>
    <w:rsid w:val="003A7D3E"/>
    <w:rsid w:val="003A7DBA"/>
    <w:rsid w:val="003B01FF"/>
    <w:rsid w:val="003B0355"/>
    <w:rsid w:val="003B053E"/>
    <w:rsid w:val="003B054B"/>
    <w:rsid w:val="003B0B3A"/>
    <w:rsid w:val="003B0DB6"/>
    <w:rsid w:val="003B0E84"/>
    <w:rsid w:val="003B10A8"/>
    <w:rsid w:val="003B12C9"/>
    <w:rsid w:val="003B1371"/>
    <w:rsid w:val="003B1636"/>
    <w:rsid w:val="003B197A"/>
    <w:rsid w:val="003B1EE3"/>
    <w:rsid w:val="003B1F5E"/>
    <w:rsid w:val="003B1F77"/>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956"/>
    <w:rsid w:val="003B4B2A"/>
    <w:rsid w:val="003B4BEA"/>
    <w:rsid w:val="003B4DB9"/>
    <w:rsid w:val="003B4F05"/>
    <w:rsid w:val="003B5035"/>
    <w:rsid w:val="003B528B"/>
    <w:rsid w:val="003B5F89"/>
    <w:rsid w:val="003B6183"/>
    <w:rsid w:val="003B61EE"/>
    <w:rsid w:val="003B631E"/>
    <w:rsid w:val="003B6F04"/>
    <w:rsid w:val="003B6FEC"/>
    <w:rsid w:val="003B70FD"/>
    <w:rsid w:val="003B730A"/>
    <w:rsid w:val="003B769E"/>
    <w:rsid w:val="003B7B96"/>
    <w:rsid w:val="003B7C0A"/>
    <w:rsid w:val="003C0190"/>
    <w:rsid w:val="003C01C2"/>
    <w:rsid w:val="003C021F"/>
    <w:rsid w:val="003C048B"/>
    <w:rsid w:val="003C0504"/>
    <w:rsid w:val="003C0C33"/>
    <w:rsid w:val="003C0E43"/>
    <w:rsid w:val="003C0EB4"/>
    <w:rsid w:val="003C0FB8"/>
    <w:rsid w:val="003C105F"/>
    <w:rsid w:val="003C11A8"/>
    <w:rsid w:val="003C1E6D"/>
    <w:rsid w:val="003C2F67"/>
    <w:rsid w:val="003C30BF"/>
    <w:rsid w:val="003C3307"/>
    <w:rsid w:val="003C33A6"/>
    <w:rsid w:val="003C346F"/>
    <w:rsid w:val="003C34EA"/>
    <w:rsid w:val="003C37A3"/>
    <w:rsid w:val="003C411E"/>
    <w:rsid w:val="003C4281"/>
    <w:rsid w:val="003C43C3"/>
    <w:rsid w:val="003C45A0"/>
    <w:rsid w:val="003C4AFF"/>
    <w:rsid w:val="003C4BBF"/>
    <w:rsid w:val="003C4C26"/>
    <w:rsid w:val="003C4C2D"/>
    <w:rsid w:val="003C521E"/>
    <w:rsid w:val="003C54A5"/>
    <w:rsid w:val="003C5606"/>
    <w:rsid w:val="003C5713"/>
    <w:rsid w:val="003C590E"/>
    <w:rsid w:val="003C594E"/>
    <w:rsid w:val="003C5E63"/>
    <w:rsid w:val="003C60DE"/>
    <w:rsid w:val="003C649E"/>
    <w:rsid w:val="003C6565"/>
    <w:rsid w:val="003C67CB"/>
    <w:rsid w:val="003C6AE3"/>
    <w:rsid w:val="003C7091"/>
    <w:rsid w:val="003C739A"/>
    <w:rsid w:val="003C75E7"/>
    <w:rsid w:val="003C78AC"/>
    <w:rsid w:val="003C7E88"/>
    <w:rsid w:val="003D000A"/>
    <w:rsid w:val="003D04CC"/>
    <w:rsid w:val="003D04D6"/>
    <w:rsid w:val="003D0A93"/>
    <w:rsid w:val="003D0AB5"/>
    <w:rsid w:val="003D0BAF"/>
    <w:rsid w:val="003D0C96"/>
    <w:rsid w:val="003D0D3C"/>
    <w:rsid w:val="003D0F30"/>
    <w:rsid w:val="003D1175"/>
    <w:rsid w:val="003D1A87"/>
    <w:rsid w:val="003D1C3F"/>
    <w:rsid w:val="003D1E1C"/>
    <w:rsid w:val="003D1E97"/>
    <w:rsid w:val="003D1FF9"/>
    <w:rsid w:val="003D248C"/>
    <w:rsid w:val="003D2743"/>
    <w:rsid w:val="003D28ED"/>
    <w:rsid w:val="003D2999"/>
    <w:rsid w:val="003D2A68"/>
    <w:rsid w:val="003D2D4C"/>
    <w:rsid w:val="003D2DC7"/>
    <w:rsid w:val="003D3EC6"/>
    <w:rsid w:val="003D4285"/>
    <w:rsid w:val="003D44F6"/>
    <w:rsid w:val="003D4660"/>
    <w:rsid w:val="003D4A83"/>
    <w:rsid w:val="003D4A8D"/>
    <w:rsid w:val="003D583D"/>
    <w:rsid w:val="003D58FC"/>
    <w:rsid w:val="003D5A4A"/>
    <w:rsid w:val="003D5A9B"/>
    <w:rsid w:val="003D5AB0"/>
    <w:rsid w:val="003D5D51"/>
    <w:rsid w:val="003D5ECA"/>
    <w:rsid w:val="003D5F07"/>
    <w:rsid w:val="003D6678"/>
    <w:rsid w:val="003D66E5"/>
    <w:rsid w:val="003D675F"/>
    <w:rsid w:val="003D6860"/>
    <w:rsid w:val="003D68D2"/>
    <w:rsid w:val="003D6A24"/>
    <w:rsid w:val="003D6A9A"/>
    <w:rsid w:val="003D6AE2"/>
    <w:rsid w:val="003D72CD"/>
    <w:rsid w:val="003D72D7"/>
    <w:rsid w:val="003D7508"/>
    <w:rsid w:val="003D771E"/>
    <w:rsid w:val="003D7742"/>
    <w:rsid w:val="003D77AF"/>
    <w:rsid w:val="003D7AFE"/>
    <w:rsid w:val="003D7E2F"/>
    <w:rsid w:val="003D7F36"/>
    <w:rsid w:val="003E020B"/>
    <w:rsid w:val="003E039A"/>
    <w:rsid w:val="003E0406"/>
    <w:rsid w:val="003E0471"/>
    <w:rsid w:val="003E05BD"/>
    <w:rsid w:val="003E0BDA"/>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5DF"/>
    <w:rsid w:val="003E5BF0"/>
    <w:rsid w:val="003E6423"/>
    <w:rsid w:val="003E6513"/>
    <w:rsid w:val="003E6654"/>
    <w:rsid w:val="003E6CFA"/>
    <w:rsid w:val="003E6E21"/>
    <w:rsid w:val="003E6F40"/>
    <w:rsid w:val="003E710B"/>
    <w:rsid w:val="003E7163"/>
    <w:rsid w:val="003E7A91"/>
    <w:rsid w:val="003E7B17"/>
    <w:rsid w:val="003E7B8C"/>
    <w:rsid w:val="003E7EB1"/>
    <w:rsid w:val="003E7FB2"/>
    <w:rsid w:val="003F01E8"/>
    <w:rsid w:val="003F050F"/>
    <w:rsid w:val="003F05D2"/>
    <w:rsid w:val="003F165A"/>
    <w:rsid w:val="003F1776"/>
    <w:rsid w:val="003F1843"/>
    <w:rsid w:val="003F1A2F"/>
    <w:rsid w:val="003F1B52"/>
    <w:rsid w:val="003F1C97"/>
    <w:rsid w:val="003F1FE6"/>
    <w:rsid w:val="003F20A4"/>
    <w:rsid w:val="003F20BE"/>
    <w:rsid w:val="003F20DE"/>
    <w:rsid w:val="003F2154"/>
    <w:rsid w:val="003F2201"/>
    <w:rsid w:val="003F2366"/>
    <w:rsid w:val="003F2488"/>
    <w:rsid w:val="003F25C4"/>
    <w:rsid w:val="003F274D"/>
    <w:rsid w:val="003F2764"/>
    <w:rsid w:val="003F3028"/>
    <w:rsid w:val="003F3325"/>
    <w:rsid w:val="003F340D"/>
    <w:rsid w:val="003F35B8"/>
    <w:rsid w:val="003F3BAE"/>
    <w:rsid w:val="003F3F36"/>
    <w:rsid w:val="003F3FAB"/>
    <w:rsid w:val="003F40D1"/>
    <w:rsid w:val="003F46E9"/>
    <w:rsid w:val="003F4A29"/>
    <w:rsid w:val="003F4D16"/>
    <w:rsid w:val="003F4F84"/>
    <w:rsid w:val="003F516E"/>
    <w:rsid w:val="003F5716"/>
    <w:rsid w:val="003F5A64"/>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1F2B"/>
    <w:rsid w:val="0040218F"/>
    <w:rsid w:val="00402274"/>
    <w:rsid w:val="004028B6"/>
    <w:rsid w:val="00402962"/>
    <w:rsid w:val="00402AD4"/>
    <w:rsid w:val="00402E78"/>
    <w:rsid w:val="004030AA"/>
    <w:rsid w:val="00403B05"/>
    <w:rsid w:val="00403E79"/>
    <w:rsid w:val="00403F09"/>
    <w:rsid w:val="004040FE"/>
    <w:rsid w:val="00404212"/>
    <w:rsid w:val="004044C1"/>
    <w:rsid w:val="00404785"/>
    <w:rsid w:val="00404B18"/>
    <w:rsid w:val="00404B8A"/>
    <w:rsid w:val="00404C60"/>
    <w:rsid w:val="00404F2A"/>
    <w:rsid w:val="004052AB"/>
    <w:rsid w:val="00405369"/>
    <w:rsid w:val="0040546D"/>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6EB"/>
    <w:rsid w:val="0041372F"/>
    <w:rsid w:val="0041385B"/>
    <w:rsid w:val="0041390D"/>
    <w:rsid w:val="00414424"/>
    <w:rsid w:val="00414470"/>
    <w:rsid w:val="00414636"/>
    <w:rsid w:val="00414936"/>
    <w:rsid w:val="00414D29"/>
    <w:rsid w:val="00414FAD"/>
    <w:rsid w:val="00415552"/>
    <w:rsid w:val="0041562D"/>
    <w:rsid w:val="00415807"/>
    <w:rsid w:val="004159C9"/>
    <w:rsid w:val="004161FE"/>
    <w:rsid w:val="004166F7"/>
    <w:rsid w:val="004168DB"/>
    <w:rsid w:val="00416D3B"/>
    <w:rsid w:val="00416F71"/>
    <w:rsid w:val="00417094"/>
    <w:rsid w:val="004171B0"/>
    <w:rsid w:val="00417431"/>
    <w:rsid w:val="004174A9"/>
    <w:rsid w:val="00417B83"/>
    <w:rsid w:val="0042007F"/>
    <w:rsid w:val="004204F9"/>
    <w:rsid w:val="00420510"/>
    <w:rsid w:val="00420766"/>
    <w:rsid w:val="004207BD"/>
    <w:rsid w:val="00420984"/>
    <w:rsid w:val="004209EC"/>
    <w:rsid w:val="00420A6E"/>
    <w:rsid w:val="00420BA9"/>
    <w:rsid w:val="00420BB0"/>
    <w:rsid w:val="00420C6D"/>
    <w:rsid w:val="004214FD"/>
    <w:rsid w:val="004216A1"/>
    <w:rsid w:val="004216E4"/>
    <w:rsid w:val="00421760"/>
    <w:rsid w:val="0042195B"/>
    <w:rsid w:val="00421A02"/>
    <w:rsid w:val="00421E11"/>
    <w:rsid w:val="00421FC1"/>
    <w:rsid w:val="0042213B"/>
    <w:rsid w:val="00422195"/>
    <w:rsid w:val="004226E7"/>
    <w:rsid w:val="00422C3B"/>
    <w:rsid w:val="00422DF0"/>
    <w:rsid w:val="00423437"/>
    <w:rsid w:val="00423689"/>
    <w:rsid w:val="0042379C"/>
    <w:rsid w:val="004237D9"/>
    <w:rsid w:val="004237DE"/>
    <w:rsid w:val="00423847"/>
    <w:rsid w:val="00423B1B"/>
    <w:rsid w:val="00423C21"/>
    <w:rsid w:val="00423D4D"/>
    <w:rsid w:val="00423FDE"/>
    <w:rsid w:val="0042443E"/>
    <w:rsid w:val="00424DF5"/>
    <w:rsid w:val="0042500C"/>
    <w:rsid w:val="00425082"/>
    <w:rsid w:val="0042520E"/>
    <w:rsid w:val="00425406"/>
    <w:rsid w:val="004254EA"/>
    <w:rsid w:val="004255F9"/>
    <w:rsid w:val="004256F0"/>
    <w:rsid w:val="004257F8"/>
    <w:rsid w:val="00425A7E"/>
    <w:rsid w:val="00425B7D"/>
    <w:rsid w:val="00425DA7"/>
    <w:rsid w:val="0042695B"/>
    <w:rsid w:val="004271DB"/>
    <w:rsid w:val="00427337"/>
    <w:rsid w:val="004273AC"/>
    <w:rsid w:val="004276C1"/>
    <w:rsid w:val="0042785D"/>
    <w:rsid w:val="00427ACF"/>
    <w:rsid w:val="00427B55"/>
    <w:rsid w:val="00427F77"/>
    <w:rsid w:val="00430244"/>
    <w:rsid w:val="0043038F"/>
    <w:rsid w:val="00430559"/>
    <w:rsid w:val="00430D25"/>
    <w:rsid w:val="0043120E"/>
    <w:rsid w:val="0043169B"/>
    <w:rsid w:val="00431DA4"/>
    <w:rsid w:val="00431ED7"/>
    <w:rsid w:val="0043269D"/>
    <w:rsid w:val="00432950"/>
    <w:rsid w:val="00432AD4"/>
    <w:rsid w:val="00432C13"/>
    <w:rsid w:val="00432EBC"/>
    <w:rsid w:val="00433141"/>
    <w:rsid w:val="00433A5F"/>
    <w:rsid w:val="00433D7E"/>
    <w:rsid w:val="00433F9B"/>
    <w:rsid w:val="0043421A"/>
    <w:rsid w:val="0043448C"/>
    <w:rsid w:val="00434642"/>
    <w:rsid w:val="00434BB5"/>
    <w:rsid w:val="00434D5D"/>
    <w:rsid w:val="00434FF6"/>
    <w:rsid w:val="00435236"/>
    <w:rsid w:val="00435BF1"/>
    <w:rsid w:val="00435BFA"/>
    <w:rsid w:val="00435FB3"/>
    <w:rsid w:val="004364F0"/>
    <w:rsid w:val="00436A99"/>
    <w:rsid w:val="00436B43"/>
    <w:rsid w:val="00436BF9"/>
    <w:rsid w:val="00436C0F"/>
    <w:rsid w:val="00436C11"/>
    <w:rsid w:val="00436FF7"/>
    <w:rsid w:val="0043720F"/>
    <w:rsid w:val="00437592"/>
    <w:rsid w:val="00437674"/>
    <w:rsid w:val="00437994"/>
    <w:rsid w:val="00437B42"/>
    <w:rsid w:val="00437C9C"/>
    <w:rsid w:val="0044008A"/>
    <w:rsid w:val="004401DD"/>
    <w:rsid w:val="0044058B"/>
    <w:rsid w:val="00440E26"/>
    <w:rsid w:val="00440F02"/>
    <w:rsid w:val="004416EF"/>
    <w:rsid w:val="00441C5C"/>
    <w:rsid w:val="00441E22"/>
    <w:rsid w:val="00442016"/>
    <w:rsid w:val="00442327"/>
    <w:rsid w:val="004425B1"/>
    <w:rsid w:val="0044288D"/>
    <w:rsid w:val="00442947"/>
    <w:rsid w:val="00442EB8"/>
    <w:rsid w:val="00442EC8"/>
    <w:rsid w:val="0044308C"/>
    <w:rsid w:val="00443493"/>
    <w:rsid w:val="004434E4"/>
    <w:rsid w:val="00443790"/>
    <w:rsid w:val="00443C0F"/>
    <w:rsid w:val="00443F4D"/>
    <w:rsid w:val="004443BB"/>
    <w:rsid w:val="0044443D"/>
    <w:rsid w:val="004449C4"/>
    <w:rsid w:val="00444B47"/>
    <w:rsid w:val="00444B5E"/>
    <w:rsid w:val="00445260"/>
    <w:rsid w:val="004453B8"/>
    <w:rsid w:val="004456B2"/>
    <w:rsid w:val="004458D6"/>
    <w:rsid w:val="00445BC5"/>
    <w:rsid w:val="00446087"/>
    <w:rsid w:val="0044611D"/>
    <w:rsid w:val="00446595"/>
    <w:rsid w:val="00446632"/>
    <w:rsid w:val="0044680D"/>
    <w:rsid w:val="00446D39"/>
    <w:rsid w:val="00446EE6"/>
    <w:rsid w:val="00446FAD"/>
    <w:rsid w:val="00447028"/>
    <w:rsid w:val="00447064"/>
    <w:rsid w:val="004470CE"/>
    <w:rsid w:val="004476C3"/>
    <w:rsid w:val="004500A5"/>
    <w:rsid w:val="004505CC"/>
    <w:rsid w:val="0045093D"/>
    <w:rsid w:val="00450AF0"/>
    <w:rsid w:val="00450C2E"/>
    <w:rsid w:val="00450C3E"/>
    <w:rsid w:val="00450C9D"/>
    <w:rsid w:val="00450D05"/>
    <w:rsid w:val="00450E4B"/>
    <w:rsid w:val="00450F38"/>
    <w:rsid w:val="00450FB6"/>
    <w:rsid w:val="004510C4"/>
    <w:rsid w:val="00451906"/>
    <w:rsid w:val="004519EA"/>
    <w:rsid w:val="00451A26"/>
    <w:rsid w:val="00451DF0"/>
    <w:rsid w:val="00451E2F"/>
    <w:rsid w:val="00451EF1"/>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2C"/>
    <w:rsid w:val="004568C0"/>
    <w:rsid w:val="004568EE"/>
    <w:rsid w:val="00456A16"/>
    <w:rsid w:val="00456A88"/>
    <w:rsid w:val="00456BBD"/>
    <w:rsid w:val="00456CA0"/>
    <w:rsid w:val="00456E1F"/>
    <w:rsid w:val="0045710F"/>
    <w:rsid w:val="004572B1"/>
    <w:rsid w:val="0045732D"/>
    <w:rsid w:val="00457795"/>
    <w:rsid w:val="00460271"/>
    <w:rsid w:val="00460604"/>
    <w:rsid w:val="00460850"/>
    <w:rsid w:val="00460B03"/>
    <w:rsid w:val="00460B37"/>
    <w:rsid w:val="00460D60"/>
    <w:rsid w:val="00460DF0"/>
    <w:rsid w:val="0046107F"/>
    <w:rsid w:val="004611EC"/>
    <w:rsid w:val="00461347"/>
    <w:rsid w:val="00461576"/>
    <w:rsid w:val="0046177A"/>
    <w:rsid w:val="0046178B"/>
    <w:rsid w:val="0046197F"/>
    <w:rsid w:val="00461C30"/>
    <w:rsid w:val="00461D21"/>
    <w:rsid w:val="00462113"/>
    <w:rsid w:val="00462917"/>
    <w:rsid w:val="0046305C"/>
    <w:rsid w:val="00463435"/>
    <w:rsid w:val="0046349F"/>
    <w:rsid w:val="00463536"/>
    <w:rsid w:val="00463731"/>
    <w:rsid w:val="00463EF6"/>
    <w:rsid w:val="0046403B"/>
    <w:rsid w:val="00464220"/>
    <w:rsid w:val="0046433D"/>
    <w:rsid w:val="00464D6A"/>
    <w:rsid w:val="00464E85"/>
    <w:rsid w:val="0046517B"/>
    <w:rsid w:val="00465293"/>
    <w:rsid w:val="004653C3"/>
    <w:rsid w:val="00465C2D"/>
    <w:rsid w:val="00465F0F"/>
    <w:rsid w:val="00465F95"/>
    <w:rsid w:val="00465FDB"/>
    <w:rsid w:val="00466038"/>
    <w:rsid w:val="00466490"/>
    <w:rsid w:val="0046669C"/>
    <w:rsid w:val="00466B30"/>
    <w:rsid w:val="00466DA6"/>
    <w:rsid w:val="00466E88"/>
    <w:rsid w:val="0046703B"/>
    <w:rsid w:val="004676FF"/>
    <w:rsid w:val="00467B5D"/>
    <w:rsid w:val="00467D56"/>
    <w:rsid w:val="0047041E"/>
    <w:rsid w:val="00471044"/>
    <w:rsid w:val="0047110B"/>
    <w:rsid w:val="00471134"/>
    <w:rsid w:val="004716B5"/>
    <w:rsid w:val="0047192C"/>
    <w:rsid w:val="00471CC3"/>
    <w:rsid w:val="00471EAF"/>
    <w:rsid w:val="004720B0"/>
    <w:rsid w:val="0047217E"/>
    <w:rsid w:val="00472192"/>
    <w:rsid w:val="00472294"/>
    <w:rsid w:val="00472301"/>
    <w:rsid w:val="00472374"/>
    <w:rsid w:val="00472561"/>
    <w:rsid w:val="004727A6"/>
    <w:rsid w:val="004729EC"/>
    <w:rsid w:val="00472C8E"/>
    <w:rsid w:val="0047302A"/>
    <w:rsid w:val="004730B6"/>
    <w:rsid w:val="0047333D"/>
    <w:rsid w:val="00473624"/>
    <w:rsid w:val="004738EA"/>
    <w:rsid w:val="00473B36"/>
    <w:rsid w:val="00473CFC"/>
    <w:rsid w:val="00474031"/>
    <w:rsid w:val="0047429B"/>
    <w:rsid w:val="0047450B"/>
    <w:rsid w:val="00474624"/>
    <w:rsid w:val="004747D0"/>
    <w:rsid w:val="00474914"/>
    <w:rsid w:val="00474B33"/>
    <w:rsid w:val="00474C30"/>
    <w:rsid w:val="00474D75"/>
    <w:rsid w:val="00474E89"/>
    <w:rsid w:val="00475139"/>
    <w:rsid w:val="004751CA"/>
    <w:rsid w:val="004753A2"/>
    <w:rsid w:val="004756BB"/>
    <w:rsid w:val="00475935"/>
    <w:rsid w:val="00475B14"/>
    <w:rsid w:val="00475C66"/>
    <w:rsid w:val="00475C87"/>
    <w:rsid w:val="00475CCB"/>
    <w:rsid w:val="0047667D"/>
    <w:rsid w:val="00476E4D"/>
    <w:rsid w:val="004772AB"/>
    <w:rsid w:val="0047739F"/>
    <w:rsid w:val="00477E57"/>
    <w:rsid w:val="00480208"/>
    <w:rsid w:val="00480223"/>
    <w:rsid w:val="00480867"/>
    <w:rsid w:val="00480AA8"/>
    <w:rsid w:val="00481794"/>
    <w:rsid w:val="00481BA3"/>
    <w:rsid w:val="00481D8B"/>
    <w:rsid w:val="004822A7"/>
    <w:rsid w:val="004822EB"/>
    <w:rsid w:val="0048239B"/>
    <w:rsid w:val="0048249D"/>
    <w:rsid w:val="00482834"/>
    <w:rsid w:val="00482F54"/>
    <w:rsid w:val="00483000"/>
    <w:rsid w:val="00483530"/>
    <w:rsid w:val="0048374D"/>
    <w:rsid w:val="00483758"/>
    <w:rsid w:val="004838CA"/>
    <w:rsid w:val="004838E4"/>
    <w:rsid w:val="00483AD5"/>
    <w:rsid w:val="0048432C"/>
    <w:rsid w:val="004843F9"/>
    <w:rsid w:val="00484611"/>
    <w:rsid w:val="00484722"/>
    <w:rsid w:val="00484BD3"/>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469"/>
    <w:rsid w:val="004908D4"/>
    <w:rsid w:val="00490A07"/>
    <w:rsid w:val="00490F8C"/>
    <w:rsid w:val="004910DF"/>
    <w:rsid w:val="004912BC"/>
    <w:rsid w:val="00491939"/>
    <w:rsid w:val="004919EB"/>
    <w:rsid w:val="00491B2C"/>
    <w:rsid w:val="00491C77"/>
    <w:rsid w:val="00491E7A"/>
    <w:rsid w:val="00492045"/>
    <w:rsid w:val="0049239F"/>
    <w:rsid w:val="00492F01"/>
    <w:rsid w:val="00493172"/>
    <w:rsid w:val="004931F9"/>
    <w:rsid w:val="00493283"/>
    <w:rsid w:val="004936CE"/>
    <w:rsid w:val="0049389E"/>
    <w:rsid w:val="00494024"/>
    <w:rsid w:val="00494449"/>
    <w:rsid w:val="00495181"/>
    <w:rsid w:val="0049558A"/>
    <w:rsid w:val="00495834"/>
    <w:rsid w:val="00495B68"/>
    <w:rsid w:val="00495E00"/>
    <w:rsid w:val="004960C7"/>
    <w:rsid w:val="004960DF"/>
    <w:rsid w:val="00496263"/>
    <w:rsid w:val="0049685F"/>
    <w:rsid w:val="004970D0"/>
    <w:rsid w:val="0049730C"/>
    <w:rsid w:val="004974A2"/>
    <w:rsid w:val="004979C9"/>
    <w:rsid w:val="00497CC5"/>
    <w:rsid w:val="00497DC0"/>
    <w:rsid w:val="00497E65"/>
    <w:rsid w:val="004A045D"/>
    <w:rsid w:val="004A0847"/>
    <w:rsid w:val="004A0900"/>
    <w:rsid w:val="004A0AEE"/>
    <w:rsid w:val="004A0B68"/>
    <w:rsid w:val="004A0D0A"/>
    <w:rsid w:val="004A0D9B"/>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B32"/>
    <w:rsid w:val="004A2C1E"/>
    <w:rsid w:val="004A2C55"/>
    <w:rsid w:val="004A2CA7"/>
    <w:rsid w:val="004A3249"/>
    <w:rsid w:val="004A37A5"/>
    <w:rsid w:val="004A3C0E"/>
    <w:rsid w:val="004A3E7A"/>
    <w:rsid w:val="004A3ECD"/>
    <w:rsid w:val="004A4151"/>
    <w:rsid w:val="004A4490"/>
    <w:rsid w:val="004A48E2"/>
    <w:rsid w:val="004A4A91"/>
    <w:rsid w:val="004A4AD2"/>
    <w:rsid w:val="004A4DB6"/>
    <w:rsid w:val="004A4F19"/>
    <w:rsid w:val="004A4F80"/>
    <w:rsid w:val="004A506E"/>
    <w:rsid w:val="004A522D"/>
    <w:rsid w:val="004A5564"/>
    <w:rsid w:val="004A55B8"/>
    <w:rsid w:val="004A580A"/>
    <w:rsid w:val="004A5E7D"/>
    <w:rsid w:val="004A63A3"/>
    <w:rsid w:val="004A65C5"/>
    <w:rsid w:val="004A66BC"/>
    <w:rsid w:val="004A67C0"/>
    <w:rsid w:val="004A6827"/>
    <w:rsid w:val="004A69A8"/>
    <w:rsid w:val="004A6BFE"/>
    <w:rsid w:val="004A6E93"/>
    <w:rsid w:val="004A704B"/>
    <w:rsid w:val="004A731D"/>
    <w:rsid w:val="004A7556"/>
    <w:rsid w:val="004A7573"/>
    <w:rsid w:val="004A79E8"/>
    <w:rsid w:val="004A7B15"/>
    <w:rsid w:val="004B059F"/>
    <w:rsid w:val="004B09CA"/>
    <w:rsid w:val="004B0B58"/>
    <w:rsid w:val="004B0BD8"/>
    <w:rsid w:val="004B0E6E"/>
    <w:rsid w:val="004B0EAB"/>
    <w:rsid w:val="004B1019"/>
    <w:rsid w:val="004B1282"/>
    <w:rsid w:val="004B1566"/>
    <w:rsid w:val="004B1638"/>
    <w:rsid w:val="004B167E"/>
    <w:rsid w:val="004B18A2"/>
    <w:rsid w:val="004B19D0"/>
    <w:rsid w:val="004B1B5B"/>
    <w:rsid w:val="004B1CFF"/>
    <w:rsid w:val="004B1ECA"/>
    <w:rsid w:val="004B1F23"/>
    <w:rsid w:val="004B2182"/>
    <w:rsid w:val="004B2396"/>
    <w:rsid w:val="004B24CB"/>
    <w:rsid w:val="004B2621"/>
    <w:rsid w:val="004B2623"/>
    <w:rsid w:val="004B27E0"/>
    <w:rsid w:val="004B2C8E"/>
    <w:rsid w:val="004B30CF"/>
    <w:rsid w:val="004B35F0"/>
    <w:rsid w:val="004B3729"/>
    <w:rsid w:val="004B3783"/>
    <w:rsid w:val="004B3A82"/>
    <w:rsid w:val="004B3C43"/>
    <w:rsid w:val="004B3D3A"/>
    <w:rsid w:val="004B3DF8"/>
    <w:rsid w:val="004B3F31"/>
    <w:rsid w:val="004B42EB"/>
    <w:rsid w:val="004B4468"/>
    <w:rsid w:val="004B449B"/>
    <w:rsid w:val="004B44CB"/>
    <w:rsid w:val="004B45D5"/>
    <w:rsid w:val="004B4664"/>
    <w:rsid w:val="004B47DB"/>
    <w:rsid w:val="004B484B"/>
    <w:rsid w:val="004B4ABF"/>
    <w:rsid w:val="004B4BD8"/>
    <w:rsid w:val="004B4C91"/>
    <w:rsid w:val="004B4CF8"/>
    <w:rsid w:val="004B4E46"/>
    <w:rsid w:val="004B4EC8"/>
    <w:rsid w:val="004B591D"/>
    <w:rsid w:val="004B63B6"/>
    <w:rsid w:val="004B6A3A"/>
    <w:rsid w:val="004B6B1F"/>
    <w:rsid w:val="004B6D92"/>
    <w:rsid w:val="004B7280"/>
    <w:rsid w:val="004B7FBD"/>
    <w:rsid w:val="004C0185"/>
    <w:rsid w:val="004C04D9"/>
    <w:rsid w:val="004C05AD"/>
    <w:rsid w:val="004C0720"/>
    <w:rsid w:val="004C0850"/>
    <w:rsid w:val="004C0857"/>
    <w:rsid w:val="004C09F5"/>
    <w:rsid w:val="004C0B50"/>
    <w:rsid w:val="004C0B84"/>
    <w:rsid w:val="004C0F00"/>
    <w:rsid w:val="004C11C8"/>
    <w:rsid w:val="004C147B"/>
    <w:rsid w:val="004C19DB"/>
    <w:rsid w:val="004C1AB2"/>
    <w:rsid w:val="004C1F0F"/>
    <w:rsid w:val="004C1F63"/>
    <w:rsid w:val="004C20B5"/>
    <w:rsid w:val="004C217B"/>
    <w:rsid w:val="004C23FD"/>
    <w:rsid w:val="004C2630"/>
    <w:rsid w:val="004C2820"/>
    <w:rsid w:val="004C2A93"/>
    <w:rsid w:val="004C2CDB"/>
    <w:rsid w:val="004C3385"/>
    <w:rsid w:val="004C360B"/>
    <w:rsid w:val="004C3B42"/>
    <w:rsid w:val="004C3C22"/>
    <w:rsid w:val="004C3C92"/>
    <w:rsid w:val="004C3D6A"/>
    <w:rsid w:val="004C43DB"/>
    <w:rsid w:val="004C4494"/>
    <w:rsid w:val="004C469A"/>
    <w:rsid w:val="004C46AF"/>
    <w:rsid w:val="004C46B6"/>
    <w:rsid w:val="004C47F9"/>
    <w:rsid w:val="004C4A06"/>
    <w:rsid w:val="004C4CF6"/>
    <w:rsid w:val="004C52A2"/>
    <w:rsid w:val="004C54DC"/>
    <w:rsid w:val="004C54E9"/>
    <w:rsid w:val="004C5C3B"/>
    <w:rsid w:val="004C5C6B"/>
    <w:rsid w:val="004C5D0F"/>
    <w:rsid w:val="004C5DDD"/>
    <w:rsid w:val="004C6114"/>
    <w:rsid w:val="004C6307"/>
    <w:rsid w:val="004C6435"/>
    <w:rsid w:val="004C6949"/>
    <w:rsid w:val="004C69CF"/>
    <w:rsid w:val="004C69D4"/>
    <w:rsid w:val="004C726D"/>
    <w:rsid w:val="004C7495"/>
    <w:rsid w:val="004C75F6"/>
    <w:rsid w:val="004D0024"/>
    <w:rsid w:val="004D0614"/>
    <w:rsid w:val="004D09FD"/>
    <w:rsid w:val="004D0C1C"/>
    <w:rsid w:val="004D104F"/>
    <w:rsid w:val="004D13B9"/>
    <w:rsid w:val="004D162C"/>
    <w:rsid w:val="004D162D"/>
    <w:rsid w:val="004D16CD"/>
    <w:rsid w:val="004D16F6"/>
    <w:rsid w:val="004D1B47"/>
    <w:rsid w:val="004D1BE3"/>
    <w:rsid w:val="004D1F83"/>
    <w:rsid w:val="004D2158"/>
    <w:rsid w:val="004D21A7"/>
    <w:rsid w:val="004D2237"/>
    <w:rsid w:val="004D255A"/>
    <w:rsid w:val="004D261C"/>
    <w:rsid w:val="004D26DB"/>
    <w:rsid w:val="004D3381"/>
    <w:rsid w:val="004D33EC"/>
    <w:rsid w:val="004D36FF"/>
    <w:rsid w:val="004D3A32"/>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3E3"/>
    <w:rsid w:val="004D645E"/>
    <w:rsid w:val="004D6533"/>
    <w:rsid w:val="004D655E"/>
    <w:rsid w:val="004D673E"/>
    <w:rsid w:val="004D67E4"/>
    <w:rsid w:val="004D6920"/>
    <w:rsid w:val="004D6A84"/>
    <w:rsid w:val="004D6B09"/>
    <w:rsid w:val="004D6B48"/>
    <w:rsid w:val="004D6C5B"/>
    <w:rsid w:val="004D6D47"/>
    <w:rsid w:val="004D6E2E"/>
    <w:rsid w:val="004D6EDD"/>
    <w:rsid w:val="004D75A0"/>
    <w:rsid w:val="004D771D"/>
    <w:rsid w:val="004D7871"/>
    <w:rsid w:val="004D7ABB"/>
    <w:rsid w:val="004D7FF8"/>
    <w:rsid w:val="004E000C"/>
    <w:rsid w:val="004E05EF"/>
    <w:rsid w:val="004E0CB4"/>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1CE"/>
    <w:rsid w:val="004E32ED"/>
    <w:rsid w:val="004E32FD"/>
    <w:rsid w:val="004E3677"/>
    <w:rsid w:val="004E3823"/>
    <w:rsid w:val="004E3838"/>
    <w:rsid w:val="004E3970"/>
    <w:rsid w:val="004E3D02"/>
    <w:rsid w:val="004E3D10"/>
    <w:rsid w:val="004E4013"/>
    <w:rsid w:val="004E41AF"/>
    <w:rsid w:val="004E47B0"/>
    <w:rsid w:val="004E49A5"/>
    <w:rsid w:val="004E4B1E"/>
    <w:rsid w:val="004E4C1B"/>
    <w:rsid w:val="004E4E17"/>
    <w:rsid w:val="004E502E"/>
    <w:rsid w:val="004E553D"/>
    <w:rsid w:val="004E56B0"/>
    <w:rsid w:val="004E5C32"/>
    <w:rsid w:val="004E5ECA"/>
    <w:rsid w:val="004E62B3"/>
    <w:rsid w:val="004E67C1"/>
    <w:rsid w:val="004E6D38"/>
    <w:rsid w:val="004E6DA5"/>
    <w:rsid w:val="004E6DFA"/>
    <w:rsid w:val="004E7060"/>
    <w:rsid w:val="004E71FB"/>
    <w:rsid w:val="004E742A"/>
    <w:rsid w:val="004E75AC"/>
    <w:rsid w:val="004E789C"/>
    <w:rsid w:val="004E7A65"/>
    <w:rsid w:val="004E7AEF"/>
    <w:rsid w:val="004E7BBE"/>
    <w:rsid w:val="004E7F14"/>
    <w:rsid w:val="004F0057"/>
    <w:rsid w:val="004F02C9"/>
    <w:rsid w:val="004F0486"/>
    <w:rsid w:val="004F0563"/>
    <w:rsid w:val="004F0A14"/>
    <w:rsid w:val="004F0C1C"/>
    <w:rsid w:val="004F10AF"/>
    <w:rsid w:val="004F1142"/>
    <w:rsid w:val="004F1413"/>
    <w:rsid w:val="004F165B"/>
    <w:rsid w:val="004F2136"/>
    <w:rsid w:val="004F2188"/>
    <w:rsid w:val="004F250D"/>
    <w:rsid w:val="004F260D"/>
    <w:rsid w:val="004F2989"/>
    <w:rsid w:val="004F2D76"/>
    <w:rsid w:val="004F2EB5"/>
    <w:rsid w:val="004F2EE2"/>
    <w:rsid w:val="004F3004"/>
    <w:rsid w:val="004F30C8"/>
    <w:rsid w:val="004F3164"/>
    <w:rsid w:val="004F32DA"/>
    <w:rsid w:val="004F3359"/>
    <w:rsid w:val="004F38F7"/>
    <w:rsid w:val="004F3B37"/>
    <w:rsid w:val="004F3D0C"/>
    <w:rsid w:val="004F3DC4"/>
    <w:rsid w:val="004F405D"/>
    <w:rsid w:val="004F40B5"/>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6E26"/>
    <w:rsid w:val="004F7034"/>
    <w:rsid w:val="004F75C3"/>
    <w:rsid w:val="004F77D4"/>
    <w:rsid w:val="004F784C"/>
    <w:rsid w:val="004F78D8"/>
    <w:rsid w:val="004F7901"/>
    <w:rsid w:val="0050002D"/>
    <w:rsid w:val="00500220"/>
    <w:rsid w:val="0050036A"/>
    <w:rsid w:val="00500789"/>
    <w:rsid w:val="0050091C"/>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660"/>
    <w:rsid w:val="00504710"/>
    <w:rsid w:val="005047DA"/>
    <w:rsid w:val="00504A6D"/>
    <w:rsid w:val="00504CFC"/>
    <w:rsid w:val="0050524F"/>
    <w:rsid w:val="005052E6"/>
    <w:rsid w:val="005055C6"/>
    <w:rsid w:val="00505735"/>
    <w:rsid w:val="0050579E"/>
    <w:rsid w:val="00505979"/>
    <w:rsid w:val="00505E15"/>
    <w:rsid w:val="00506131"/>
    <w:rsid w:val="005067BD"/>
    <w:rsid w:val="00506B18"/>
    <w:rsid w:val="00507450"/>
    <w:rsid w:val="00507559"/>
    <w:rsid w:val="00507644"/>
    <w:rsid w:val="005077DA"/>
    <w:rsid w:val="00507BE6"/>
    <w:rsid w:val="00507DFB"/>
    <w:rsid w:val="0051006C"/>
    <w:rsid w:val="0051023B"/>
    <w:rsid w:val="00510368"/>
    <w:rsid w:val="00510900"/>
    <w:rsid w:val="00511241"/>
    <w:rsid w:val="00511400"/>
    <w:rsid w:val="005115FE"/>
    <w:rsid w:val="00511826"/>
    <w:rsid w:val="00512072"/>
    <w:rsid w:val="0051209F"/>
    <w:rsid w:val="005122D4"/>
    <w:rsid w:val="00512685"/>
    <w:rsid w:val="0051268B"/>
    <w:rsid w:val="00512744"/>
    <w:rsid w:val="005129E1"/>
    <w:rsid w:val="00512EFF"/>
    <w:rsid w:val="00513274"/>
    <w:rsid w:val="00513872"/>
    <w:rsid w:val="00513A15"/>
    <w:rsid w:val="00513BC9"/>
    <w:rsid w:val="005141D3"/>
    <w:rsid w:val="005142BD"/>
    <w:rsid w:val="00514BC5"/>
    <w:rsid w:val="00515377"/>
    <w:rsid w:val="005153DF"/>
    <w:rsid w:val="00515426"/>
    <w:rsid w:val="00515452"/>
    <w:rsid w:val="0051573E"/>
    <w:rsid w:val="0051589A"/>
    <w:rsid w:val="005159F4"/>
    <w:rsid w:val="00515AEA"/>
    <w:rsid w:val="00515CE6"/>
    <w:rsid w:val="00515D01"/>
    <w:rsid w:val="00515E02"/>
    <w:rsid w:val="00515E0D"/>
    <w:rsid w:val="0051607A"/>
    <w:rsid w:val="0051612F"/>
    <w:rsid w:val="0051617A"/>
    <w:rsid w:val="0051684D"/>
    <w:rsid w:val="00516AC0"/>
    <w:rsid w:val="00517010"/>
    <w:rsid w:val="0051724E"/>
    <w:rsid w:val="00517BBC"/>
    <w:rsid w:val="00517DC4"/>
    <w:rsid w:val="00517E80"/>
    <w:rsid w:val="005201CD"/>
    <w:rsid w:val="005202C6"/>
    <w:rsid w:val="0052094C"/>
    <w:rsid w:val="00520E13"/>
    <w:rsid w:val="00520F38"/>
    <w:rsid w:val="00521302"/>
    <w:rsid w:val="005213BD"/>
    <w:rsid w:val="00521461"/>
    <w:rsid w:val="005215E0"/>
    <w:rsid w:val="00521711"/>
    <w:rsid w:val="00521C49"/>
    <w:rsid w:val="00521DDA"/>
    <w:rsid w:val="00522095"/>
    <w:rsid w:val="0052254F"/>
    <w:rsid w:val="005225C4"/>
    <w:rsid w:val="00522771"/>
    <w:rsid w:val="00522CFE"/>
    <w:rsid w:val="00522F30"/>
    <w:rsid w:val="005230E3"/>
    <w:rsid w:val="00523956"/>
    <w:rsid w:val="00523993"/>
    <w:rsid w:val="00523CB7"/>
    <w:rsid w:val="00523F45"/>
    <w:rsid w:val="0052419D"/>
    <w:rsid w:val="005242F4"/>
    <w:rsid w:val="005246E2"/>
    <w:rsid w:val="0052473B"/>
    <w:rsid w:val="00524BC1"/>
    <w:rsid w:val="00524C31"/>
    <w:rsid w:val="00524C4E"/>
    <w:rsid w:val="00524C5F"/>
    <w:rsid w:val="00524EE7"/>
    <w:rsid w:val="005254F1"/>
    <w:rsid w:val="00525612"/>
    <w:rsid w:val="005256FB"/>
    <w:rsid w:val="00525A58"/>
    <w:rsid w:val="00525ABA"/>
    <w:rsid w:val="00525AEC"/>
    <w:rsid w:val="00526B53"/>
    <w:rsid w:val="00526D0E"/>
    <w:rsid w:val="00526E3D"/>
    <w:rsid w:val="00526E94"/>
    <w:rsid w:val="0052711D"/>
    <w:rsid w:val="005278A1"/>
    <w:rsid w:val="0052795F"/>
    <w:rsid w:val="00527DBD"/>
    <w:rsid w:val="00527F62"/>
    <w:rsid w:val="00530219"/>
    <w:rsid w:val="005302EB"/>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CEB"/>
    <w:rsid w:val="00532E48"/>
    <w:rsid w:val="0053300F"/>
    <w:rsid w:val="005330CC"/>
    <w:rsid w:val="005331DB"/>
    <w:rsid w:val="005331DF"/>
    <w:rsid w:val="005336A8"/>
    <w:rsid w:val="005337E2"/>
    <w:rsid w:val="0053393A"/>
    <w:rsid w:val="00533BF8"/>
    <w:rsid w:val="00533EA7"/>
    <w:rsid w:val="00534261"/>
    <w:rsid w:val="00534404"/>
    <w:rsid w:val="0053504F"/>
    <w:rsid w:val="005350DB"/>
    <w:rsid w:val="0053528F"/>
    <w:rsid w:val="005355F7"/>
    <w:rsid w:val="00535667"/>
    <w:rsid w:val="00535F02"/>
    <w:rsid w:val="00535FF6"/>
    <w:rsid w:val="00536315"/>
    <w:rsid w:val="00536362"/>
    <w:rsid w:val="005363C4"/>
    <w:rsid w:val="00536B42"/>
    <w:rsid w:val="0053770E"/>
    <w:rsid w:val="00537775"/>
    <w:rsid w:val="005377EA"/>
    <w:rsid w:val="005379D4"/>
    <w:rsid w:val="00537BA9"/>
    <w:rsid w:val="00540476"/>
    <w:rsid w:val="005404FE"/>
    <w:rsid w:val="00540B33"/>
    <w:rsid w:val="00540BCA"/>
    <w:rsid w:val="00540FDE"/>
    <w:rsid w:val="00541319"/>
    <w:rsid w:val="0054147B"/>
    <w:rsid w:val="0054148A"/>
    <w:rsid w:val="005414DA"/>
    <w:rsid w:val="005415CB"/>
    <w:rsid w:val="00541825"/>
    <w:rsid w:val="00541D70"/>
    <w:rsid w:val="00541FC4"/>
    <w:rsid w:val="00542063"/>
    <w:rsid w:val="0054213F"/>
    <w:rsid w:val="005421E8"/>
    <w:rsid w:val="00542449"/>
    <w:rsid w:val="005428A2"/>
    <w:rsid w:val="005428D1"/>
    <w:rsid w:val="00542B03"/>
    <w:rsid w:val="00542B7D"/>
    <w:rsid w:val="00542CF6"/>
    <w:rsid w:val="00542F75"/>
    <w:rsid w:val="00543298"/>
    <w:rsid w:val="005432B2"/>
    <w:rsid w:val="0054344F"/>
    <w:rsid w:val="0054354F"/>
    <w:rsid w:val="00543607"/>
    <w:rsid w:val="00543700"/>
    <w:rsid w:val="00543936"/>
    <w:rsid w:val="005439BD"/>
    <w:rsid w:val="005443A8"/>
    <w:rsid w:val="00544A5D"/>
    <w:rsid w:val="00544D3B"/>
    <w:rsid w:val="0054505B"/>
    <w:rsid w:val="00545488"/>
    <w:rsid w:val="005455C1"/>
    <w:rsid w:val="00545710"/>
    <w:rsid w:val="0054583D"/>
    <w:rsid w:val="0054585F"/>
    <w:rsid w:val="005459A5"/>
    <w:rsid w:val="00545F29"/>
    <w:rsid w:val="0054615F"/>
    <w:rsid w:val="00546427"/>
    <w:rsid w:val="0054674E"/>
    <w:rsid w:val="005467B3"/>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2D5C"/>
    <w:rsid w:val="0055339A"/>
    <w:rsid w:val="0055341C"/>
    <w:rsid w:val="0055354A"/>
    <w:rsid w:val="00553780"/>
    <w:rsid w:val="005537A5"/>
    <w:rsid w:val="005538DB"/>
    <w:rsid w:val="00553949"/>
    <w:rsid w:val="00553A69"/>
    <w:rsid w:val="00553B1D"/>
    <w:rsid w:val="00553E68"/>
    <w:rsid w:val="00554002"/>
    <w:rsid w:val="0055406E"/>
    <w:rsid w:val="0055418D"/>
    <w:rsid w:val="00554240"/>
    <w:rsid w:val="00554333"/>
    <w:rsid w:val="00554A8C"/>
    <w:rsid w:val="005556DB"/>
    <w:rsid w:val="0055619C"/>
    <w:rsid w:val="00556469"/>
    <w:rsid w:val="00556565"/>
    <w:rsid w:val="00556C06"/>
    <w:rsid w:val="00556C7A"/>
    <w:rsid w:val="005570A8"/>
    <w:rsid w:val="0055734A"/>
    <w:rsid w:val="00557CAA"/>
    <w:rsid w:val="00557DC6"/>
    <w:rsid w:val="00557EEF"/>
    <w:rsid w:val="005602B5"/>
    <w:rsid w:val="005602EE"/>
    <w:rsid w:val="005604B2"/>
    <w:rsid w:val="00560763"/>
    <w:rsid w:val="005607B6"/>
    <w:rsid w:val="005607C5"/>
    <w:rsid w:val="00560CD6"/>
    <w:rsid w:val="005610B6"/>
    <w:rsid w:val="0056124D"/>
    <w:rsid w:val="0056153E"/>
    <w:rsid w:val="00561803"/>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10"/>
    <w:rsid w:val="00563752"/>
    <w:rsid w:val="00563B99"/>
    <w:rsid w:val="00563D2A"/>
    <w:rsid w:val="00563EE6"/>
    <w:rsid w:val="00564199"/>
    <w:rsid w:val="005641EF"/>
    <w:rsid w:val="005642A8"/>
    <w:rsid w:val="005642B4"/>
    <w:rsid w:val="0056478A"/>
    <w:rsid w:val="00564918"/>
    <w:rsid w:val="00564F4B"/>
    <w:rsid w:val="00564FFD"/>
    <w:rsid w:val="005653EE"/>
    <w:rsid w:val="0056555C"/>
    <w:rsid w:val="00565A76"/>
    <w:rsid w:val="0056637D"/>
    <w:rsid w:val="00566503"/>
    <w:rsid w:val="00566518"/>
    <w:rsid w:val="00566A26"/>
    <w:rsid w:val="00566AF5"/>
    <w:rsid w:val="00566B1D"/>
    <w:rsid w:val="00566D38"/>
    <w:rsid w:val="005670E7"/>
    <w:rsid w:val="005671F2"/>
    <w:rsid w:val="005676FD"/>
    <w:rsid w:val="0056780E"/>
    <w:rsid w:val="00567A76"/>
    <w:rsid w:val="00567B0D"/>
    <w:rsid w:val="00567FA2"/>
    <w:rsid w:val="0057037C"/>
    <w:rsid w:val="00570BD8"/>
    <w:rsid w:val="00570CA0"/>
    <w:rsid w:val="00570F43"/>
    <w:rsid w:val="00571100"/>
    <w:rsid w:val="00571AE6"/>
    <w:rsid w:val="00571E22"/>
    <w:rsid w:val="00571FBA"/>
    <w:rsid w:val="005720BF"/>
    <w:rsid w:val="0057240D"/>
    <w:rsid w:val="00572729"/>
    <w:rsid w:val="00572A93"/>
    <w:rsid w:val="00572C30"/>
    <w:rsid w:val="0057323E"/>
    <w:rsid w:val="00573521"/>
    <w:rsid w:val="0057385B"/>
    <w:rsid w:val="005739B2"/>
    <w:rsid w:val="00573B47"/>
    <w:rsid w:val="00573C5F"/>
    <w:rsid w:val="00573E58"/>
    <w:rsid w:val="0057428B"/>
    <w:rsid w:val="005745E0"/>
    <w:rsid w:val="00574629"/>
    <w:rsid w:val="005748E7"/>
    <w:rsid w:val="0057514C"/>
    <w:rsid w:val="005752E1"/>
    <w:rsid w:val="00575646"/>
    <w:rsid w:val="005757AF"/>
    <w:rsid w:val="00575876"/>
    <w:rsid w:val="0057594B"/>
    <w:rsid w:val="00575994"/>
    <w:rsid w:val="00575A0C"/>
    <w:rsid w:val="0057630C"/>
    <w:rsid w:val="00576807"/>
    <w:rsid w:val="005769A0"/>
    <w:rsid w:val="00576E6C"/>
    <w:rsid w:val="00576F19"/>
    <w:rsid w:val="0057704B"/>
    <w:rsid w:val="0057724F"/>
    <w:rsid w:val="0057726E"/>
    <w:rsid w:val="005772EE"/>
    <w:rsid w:val="0057734E"/>
    <w:rsid w:val="0057744D"/>
    <w:rsid w:val="005778ED"/>
    <w:rsid w:val="00577A6C"/>
    <w:rsid w:val="00577FF2"/>
    <w:rsid w:val="0058038D"/>
    <w:rsid w:val="005804F5"/>
    <w:rsid w:val="00580982"/>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29F"/>
    <w:rsid w:val="00583300"/>
    <w:rsid w:val="005834C8"/>
    <w:rsid w:val="00583522"/>
    <w:rsid w:val="005841A7"/>
    <w:rsid w:val="0058454D"/>
    <w:rsid w:val="00584742"/>
    <w:rsid w:val="00584AEF"/>
    <w:rsid w:val="00584D64"/>
    <w:rsid w:val="00584F19"/>
    <w:rsid w:val="00585364"/>
    <w:rsid w:val="00585A6A"/>
    <w:rsid w:val="00585B64"/>
    <w:rsid w:val="00585C46"/>
    <w:rsid w:val="00585EF3"/>
    <w:rsid w:val="00586078"/>
    <w:rsid w:val="005860CC"/>
    <w:rsid w:val="005860FF"/>
    <w:rsid w:val="00586155"/>
    <w:rsid w:val="00586212"/>
    <w:rsid w:val="0058636A"/>
    <w:rsid w:val="005863F9"/>
    <w:rsid w:val="00586460"/>
    <w:rsid w:val="00586796"/>
    <w:rsid w:val="00586811"/>
    <w:rsid w:val="00586A11"/>
    <w:rsid w:val="00586A14"/>
    <w:rsid w:val="00586E40"/>
    <w:rsid w:val="00587207"/>
    <w:rsid w:val="00587269"/>
    <w:rsid w:val="0058732A"/>
    <w:rsid w:val="005874FE"/>
    <w:rsid w:val="00587575"/>
    <w:rsid w:val="0058770B"/>
    <w:rsid w:val="0058771A"/>
    <w:rsid w:val="00587782"/>
    <w:rsid w:val="00587864"/>
    <w:rsid w:val="00587BC4"/>
    <w:rsid w:val="00587BDA"/>
    <w:rsid w:val="0059026E"/>
    <w:rsid w:val="005907E5"/>
    <w:rsid w:val="0059089C"/>
    <w:rsid w:val="00590DAD"/>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C2"/>
    <w:rsid w:val="005932EE"/>
    <w:rsid w:val="005933A4"/>
    <w:rsid w:val="005936E5"/>
    <w:rsid w:val="00593B83"/>
    <w:rsid w:val="00593E59"/>
    <w:rsid w:val="00593E9C"/>
    <w:rsid w:val="00593F7B"/>
    <w:rsid w:val="0059421A"/>
    <w:rsid w:val="005945AF"/>
    <w:rsid w:val="00594D8D"/>
    <w:rsid w:val="00595004"/>
    <w:rsid w:val="0059519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601"/>
    <w:rsid w:val="00597973"/>
    <w:rsid w:val="00597D48"/>
    <w:rsid w:val="005A007B"/>
    <w:rsid w:val="005A0465"/>
    <w:rsid w:val="005A0617"/>
    <w:rsid w:val="005A06DD"/>
    <w:rsid w:val="005A08EF"/>
    <w:rsid w:val="005A12E4"/>
    <w:rsid w:val="005A19C2"/>
    <w:rsid w:val="005A22E4"/>
    <w:rsid w:val="005A2B01"/>
    <w:rsid w:val="005A2D39"/>
    <w:rsid w:val="005A2DF6"/>
    <w:rsid w:val="005A2EC3"/>
    <w:rsid w:val="005A30B5"/>
    <w:rsid w:val="005A3306"/>
    <w:rsid w:val="005A3406"/>
    <w:rsid w:val="005A3631"/>
    <w:rsid w:val="005A3754"/>
    <w:rsid w:val="005A3B79"/>
    <w:rsid w:val="005A3CB0"/>
    <w:rsid w:val="005A3CDA"/>
    <w:rsid w:val="005A4184"/>
    <w:rsid w:val="005A46B2"/>
    <w:rsid w:val="005A4780"/>
    <w:rsid w:val="005A4BCE"/>
    <w:rsid w:val="005A4D7F"/>
    <w:rsid w:val="005A531E"/>
    <w:rsid w:val="005A5389"/>
    <w:rsid w:val="005A57C4"/>
    <w:rsid w:val="005A5856"/>
    <w:rsid w:val="005A585A"/>
    <w:rsid w:val="005A5A14"/>
    <w:rsid w:val="005A5AB2"/>
    <w:rsid w:val="005A5CA2"/>
    <w:rsid w:val="005A60EB"/>
    <w:rsid w:val="005A665B"/>
    <w:rsid w:val="005A6946"/>
    <w:rsid w:val="005A6B7E"/>
    <w:rsid w:val="005A75B1"/>
    <w:rsid w:val="005B03CC"/>
    <w:rsid w:val="005B10D2"/>
    <w:rsid w:val="005B121D"/>
    <w:rsid w:val="005B150C"/>
    <w:rsid w:val="005B176B"/>
    <w:rsid w:val="005B1AD7"/>
    <w:rsid w:val="005B1F03"/>
    <w:rsid w:val="005B2635"/>
    <w:rsid w:val="005B27C8"/>
    <w:rsid w:val="005B2E29"/>
    <w:rsid w:val="005B2E57"/>
    <w:rsid w:val="005B338D"/>
    <w:rsid w:val="005B39DF"/>
    <w:rsid w:val="005B3A75"/>
    <w:rsid w:val="005B3E93"/>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8AD"/>
    <w:rsid w:val="005B6979"/>
    <w:rsid w:val="005B6B2F"/>
    <w:rsid w:val="005B6DD9"/>
    <w:rsid w:val="005B6DEC"/>
    <w:rsid w:val="005B6E88"/>
    <w:rsid w:val="005B7166"/>
    <w:rsid w:val="005B7363"/>
    <w:rsid w:val="005B7442"/>
    <w:rsid w:val="005B74FD"/>
    <w:rsid w:val="005B76CF"/>
    <w:rsid w:val="005B7F43"/>
    <w:rsid w:val="005B7FD1"/>
    <w:rsid w:val="005C033A"/>
    <w:rsid w:val="005C0682"/>
    <w:rsid w:val="005C09EA"/>
    <w:rsid w:val="005C0A6C"/>
    <w:rsid w:val="005C0E12"/>
    <w:rsid w:val="005C0F88"/>
    <w:rsid w:val="005C1159"/>
    <w:rsid w:val="005C1430"/>
    <w:rsid w:val="005C14CC"/>
    <w:rsid w:val="005C1968"/>
    <w:rsid w:val="005C1DAD"/>
    <w:rsid w:val="005C1DCB"/>
    <w:rsid w:val="005C254C"/>
    <w:rsid w:val="005C25AC"/>
    <w:rsid w:val="005C2B04"/>
    <w:rsid w:val="005C2B5F"/>
    <w:rsid w:val="005C3076"/>
    <w:rsid w:val="005C3215"/>
    <w:rsid w:val="005C3326"/>
    <w:rsid w:val="005C338A"/>
    <w:rsid w:val="005C3478"/>
    <w:rsid w:val="005C38AA"/>
    <w:rsid w:val="005C39EE"/>
    <w:rsid w:val="005C3B3D"/>
    <w:rsid w:val="005C3C88"/>
    <w:rsid w:val="005C3FA8"/>
    <w:rsid w:val="005C4201"/>
    <w:rsid w:val="005C44B9"/>
    <w:rsid w:val="005C4632"/>
    <w:rsid w:val="005C46FB"/>
    <w:rsid w:val="005C4D49"/>
    <w:rsid w:val="005C5107"/>
    <w:rsid w:val="005C5151"/>
    <w:rsid w:val="005C51EE"/>
    <w:rsid w:val="005C5338"/>
    <w:rsid w:val="005C54E0"/>
    <w:rsid w:val="005C55F3"/>
    <w:rsid w:val="005C5E9F"/>
    <w:rsid w:val="005C6566"/>
    <w:rsid w:val="005C65CE"/>
    <w:rsid w:val="005C6ED4"/>
    <w:rsid w:val="005C6F0E"/>
    <w:rsid w:val="005C70E7"/>
    <w:rsid w:val="005C7548"/>
    <w:rsid w:val="005C7718"/>
    <w:rsid w:val="005C77AD"/>
    <w:rsid w:val="005C78B7"/>
    <w:rsid w:val="005C7927"/>
    <w:rsid w:val="005C79A0"/>
    <w:rsid w:val="005C7ED3"/>
    <w:rsid w:val="005D0233"/>
    <w:rsid w:val="005D02DD"/>
    <w:rsid w:val="005D0DFF"/>
    <w:rsid w:val="005D1436"/>
    <w:rsid w:val="005D149D"/>
    <w:rsid w:val="005D174B"/>
    <w:rsid w:val="005D1862"/>
    <w:rsid w:val="005D19FA"/>
    <w:rsid w:val="005D1BB0"/>
    <w:rsid w:val="005D200F"/>
    <w:rsid w:val="005D2131"/>
    <w:rsid w:val="005D23CC"/>
    <w:rsid w:val="005D24D7"/>
    <w:rsid w:val="005D27D1"/>
    <w:rsid w:val="005D285F"/>
    <w:rsid w:val="005D2B6F"/>
    <w:rsid w:val="005D2BB5"/>
    <w:rsid w:val="005D3184"/>
    <w:rsid w:val="005D3893"/>
    <w:rsid w:val="005D3CDD"/>
    <w:rsid w:val="005D4126"/>
    <w:rsid w:val="005D44EE"/>
    <w:rsid w:val="005D4A61"/>
    <w:rsid w:val="005D5048"/>
    <w:rsid w:val="005D5790"/>
    <w:rsid w:val="005D5C1C"/>
    <w:rsid w:val="005D5CF2"/>
    <w:rsid w:val="005D61E7"/>
    <w:rsid w:val="005D62F4"/>
    <w:rsid w:val="005D6590"/>
    <w:rsid w:val="005D6614"/>
    <w:rsid w:val="005D68D2"/>
    <w:rsid w:val="005D68F3"/>
    <w:rsid w:val="005D696F"/>
    <w:rsid w:val="005D6DC6"/>
    <w:rsid w:val="005D6DD6"/>
    <w:rsid w:val="005D70A9"/>
    <w:rsid w:val="005D7372"/>
    <w:rsid w:val="005D737F"/>
    <w:rsid w:val="005D7598"/>
    <w:rsid w:val="005D75C9"/>
    <w:rsid w:val="005D771B"/>
    <w:rsid w:val="005D78F6"/>
    <w:rsid w:val="005D79E2"/>
    <w:rsid w:val="005D7A3A"/>
    <w:rsid w:val="005D7B99"/>
    <w:rsid w:val="005D7BD2"/>
    <w:rsid w:val="005D7D23"/>
    <w:rsid w:val="005D7FBF"/>
    <w:rsid w:val="005E0938"/>
    <w:rsid w:val="005E0962"/>
    <w:rsid w:val="005E1786"/>
    <w:rsid w:val="005E1A91"/>
    <w:rsid w:val="005E2150"/>
    <w:rsid w:val="005E262D"/>
    <w:rsid w:val="005E274B"/>
    <w:rsid w:val="005E282A"/>
    <w:rsid w:val="005E2B8A"/>
    <w:rsid w:val="005E2DB4"/>
    <w:rsid w:val="005E2F8E"/>
    <w:rsid w:val="005E33F6"/>
    <w:rsid w:val="005E35B3"/>
    <w:rsid w:val="005E368E"/>
    <w:rsid w:val="005E373E"/>
    <w:rsid w:val="005E3825"/>
    <w:rsid w:val="005E3BA1"/>
    <w:rsid w:val="005E3C66"/>
    <w:rsid w:val="005E4827"/>
    <w:rsid w:val="005E48AA"/>
    <w:rsid w:val="005E51EC"/>
    <w:rsid w:val="005E5652"/>
    <w:rsid w:val="005E5AA7"/>
    <w:rsid w:val="005E5B2C"/>
    <w:rsid w:val="005E5C7E"/>
    <w:rsid w:val="005E61DE"/>
    <w:rsid w:val="005E6263"/>
    <w:rsid w:val="005E6304"/>
    <w:rsid w:val="005E65BF"/>
    <w:rsid w:val="005E6DD6"/>
    <w:rsid w:val="005E6E01"/>
    <w:rsid w:val="005E72D8"/>
    <w:rsid w:val="005E7452"/>
    <w:rsid w:val="005E7460"/>
    <w:rsid w:val="005E793C"/>
    <w:rsid w:val="005E7AE0"/>
    <w:rsid w:val="005E7CB2"/>
    <w:rsid w:val="005F04F9"/>
    <w:rsid w:val="005F0558"/>
    <w:rsid w:val="005F07BC"/>
    <w:rsid w:val="005F0B7D"/>
    <w:rsid w:val="005F0C3E"/>
    <w:rsid w:val="005F0FB1"/>
    <w:rsid w:val="005F114E"/>
    <w:rsid w:val="005F13AB"/>
    <w:rsid w:val="005F1B50"/>
    <w:rsid w:val="005F1CC8"/>
    <w:rsid w:val="005F2354"/>
    <w:rsid w:val="005F2429"/>
    <w:rsid w:val="005F274F"/>
    <w:rsid w:val="005F2A72"/>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0D6"/>
    <w:rsid w:val="005F6183"/>
    <w:rsid w:val="005F7039"/>
    <w:rsid w:val="005F721B"/>
    <w:rsid w:val="005F783A"/>
    <w:rsid w:val="005F7F36"/>
    <w:rsid w:val="00600371"/>
    <w:rsid w:val="00600462"/>
    <w:rsid w:val="00600513"/>
    <w:rsid w:val="006005CA"/>
    <w:rsid w:val="0060090C"/>
    <w:rsid w:val="00600E2D"/>
    <w:rsid w:val="00600E75"/>
    <w:rsid w:val="00600E7D"/>
    <w:rsid w:val="00600F2E"/>
    <w:rsid w:val="00601044"/>
    <w:rsid w:val="006011CA"/>
    <w:rsid w:val="0060179E"/>
    <w:rsid w:val="006017BC"/>
    <w:rsid w:val="006017FE"/>
    <w:rsid w:val="00601A7A"/>
    <w:rsid w:val="00601A8A"/>
    <w:rsid w:val="00601B01"/>
    <w:rsid w:val="00601CEB"/>
    <w:rsid w:val="00601FB8"/>
    <w:rsid w:val="006021B3"/>
    <w:rsid w:val="006024B7"/>
    <w:rsid w:val="006029D5"/>
    <w:rsid w:val="006029E9"/>
    <w:rsid w:val="00602D22"/>
    <w:rsid w:val="00602D7D"/>
    <w:rsid w:val="0060354D"/>
    <w:rsid w:val="006038F5"/>
    <w:rsid w:val="00603A0F"/>
    <w:rsid w:val="00603C76"/>
    <w:rsid w:val="00603DBA"/>
    <w:rsid w:val="00603DCC"/>
    <w:rsid w:val="00603E5F"/>
    <w:rsid w:val="006043F4"/>
    <w:rsid w:val="006044C2"/>
    <w:rsid w:val="006046D0"/>
    <w:rsid w:val="006047EC"/>
    <w:rsid w:val="0060492D"/>
    <w:rsid w:val="00605510"/>
    <w:rsid w:val="006055BD"/>
    <w:rsid w:val="006055D6"/>
    <w:rsid w:val="00605C47"/>
    <w:rsid w:val="00605CBD"/>
    <w:rsid w:val="00606157"/>
    <w:rsid w:val="006061F9"/>
    <w:rsid w:val="00606223"/>
    <w:rsid w:val="0060672E"/>
    <w:rsid w:val="00606888"/>
    <w:rsid w:val="006069D1"/>
    <w:rsid w:val="00606E67"/>
    <w:rsid w:val="00607334"/>
    <w:rsid w:val="0060772A"/>
    <w:rsid w:val="006078FA"/>
    <w:rsid w:val="00607B15"/>
    <w:rsid w:val="00607C8B"/>
    <w:rsid w:val="0061069E"/>
    <w:rsid w:val="00610A53"/>
    <w:rsid w:val="00610B83"/>
    <w:rsid w:val="0061104F"/>
    <w:rsid w:val="006110BB"/>
    <w:rsid w:val="006111F9"/>
    <w:rsid w:val="00611445"/>
    <w:rsid w:val="00611606"/>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9B2"/>
    <w:rsid w:val="00613CB4"/>
    <w:rsid w:val="00613E94"/>
    <w:rsid w:val="00614245"/>
    <w:rsid w:val="00615141"/>
    <w:rsid w:val="00615609"/>
    <w:rsid w:val="00615882"/>
    <w:rsid w:val="006159EC"/>
    <w:rsid w:val="00615C61"/>
    <w:rsid w:val="00616150"/>
    <w:rsid w:val="0061679B"/>
    <w:rsid w:val="00616875"/>
    <w:rsid w:val="00616886"/>
    <w:rsid w:val="0061747B"/>
    <w:rsid w:val="006176E8"/>
    <w:rsid w:val="00620068"/>
    <w:rsid w:val="006200D2"/>
    <w:rsid w:val="00620121"/>
    <w:rsid w:val="0062015C"/>
    <w:rsid w:val="006201C8"/>
    <w:rsid w:val="00620541"/>
    <w:rsid w:val="00620573"/>
    <w:rsid w:val="006207D7"/>
    <w:rsid w:val="006208F8"/>
    <w:rsid w:val="00620CBA"/>
    <w:rsid w:val="00620EF6"/>
    <w:rsid w:val="006214E8"/>
    <w:rsid w:val="006216E9"/>
    <w:rsid w:val="006218AB"/>
    <w:rsid w:val="006218C5"/>
    <w:rsid w:val="0062248D"/>
    <w:rsid w:val="00622978"/>
    <w:rsid w:val="00622CE0"/>
    <w:rsid w:val="00622E40"/>
    <w:rsid w:val="00623146"/>
    <w:rsid w:val="0062350A"/>
    <w:rsid w:val="006239B2"/>
    <w:rsid w:val="006239C6"/>
    <w:rsid w:val="00623C25"/>
    <w:rsid w:val="00623D67"/>
    <w:rsid w:val="006240C0"/>
    <w:rsid w:val="00624480"/>
    <w:rsid w:val="00624981"/>
    <w:rsid w:val="00624B0A"/>
    <w:rsid w:val="00624B65"/>
    <w:rsid w:val="00624D26"/>
    <w:rsid w:val="00624D4F"/>
    <w:rsid w:val="00624F98"/>
    <w:rsid w:val="006251CC"/>
    <w:rsid w:val="00625367"/>
    <w:rsid w:val="0062554B"/>
    <w:rsid w:val="0062589D"/>
    <w:rsid w:val="00625D70"/>
    <w:rsid w:val="00625E39"/>
    <w:rsid w:val="00625F92"/>
    <w:rsid w:val="00626082"/>
    <w:rsid w:val="00626598"/>
    <w:rsid w:val="00626D42"/>
    <w:rsid w:val="00626E22"/>
    <w:rsid w:val="00626E78"/>
    <w:rsid w:val="006277F0"/>
    <w:rsid w:val="006278F3"/>
    <w:rsid w:val="00627A8A"/>
    <w:rsid w:val="00627E1A"/>
    <w:rsid w:val="00630263"/>
    <w:rsid w:val="006304D5"/>
    <w:rsid w:val="00630D87"/>
    <w:rsid w:val="00631301"/>
    <w:rsid w:val="006313F5"/>
    <w:rsid w:val="00631A22"/>
    <w:rsid w:val="00632098"/>
    <w:rsid w:val="0063234C"/>
    <w:rsid w:val="00632508"/>
    <w:rsid w:val="006326B6"/>
    <w:rsid w:val="00632A7C"/>
    <w:rsid w:val="00632D91"/>
    <w:rsid w:val="00632F2C"/>
    <w:rsid w:val="00632F52"/>
    <w:rsid w:val="006334D3"/>
    <w:rsid w:val="006335D5"/>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5BED"/>
    <w:rsid w:val="00636860"/>
    <w:rsid w:val="0063686C"/>
    <w:rsid w:val="00636E39"/>
    <w:rsid w:val="006374D2"/>
    <w:rsid w:val="00637509"/>
    <w:rsid w:val="006377DF"/>
    <w:rsid w:val="00637B7D"/>
    <w:rsid w:val="00637FDB"/>
    <w:rsid w:val="006401DE"/>
    <w:rsid w:val="006402C7"/>
    <w:rsid w:val="00640336"/>
    <w:rsid w:val="006404D3"/>
    <w:rsid w:val="006406C5"/>
    <w:rsid w:val="006407D9"/>
    <w:rsid w:val="006409BE"/>
    <w:rsid w:val="00640C41"/>
    <w:rsid w:val="00640DF6"/>
    <w:rsid w:val="006410E4"/>
    <w:rsid w:val="0064117F"/>
    <w:rsid w:val="00641630"/>
    <w:rsid w:val="0064187B"/>
    <w:rsid w:val="00641AF0"/>
    <w:rsid w:val="00641B27"/>
    <w:rsid w:val="00641DB7"/>
    <w:rsid w:val="006425B5"/>
    <w:rsid w:val="0064262F"/>
    <w:rsid w:val="00642693"/>
    <w:rsid w:val="00642D37"/>
    <w:rsid w:val="00642F62"/>
    <w:rsid w:val="00643006"/>
    <w:rsid w:val="006431A7"/>
    <w:rsid w:val="006431DA"/>
    <w:rsid w:val="006431DB"/>
    <w:rsid w:val="00643A18"/>
    <w:rsid w:val="00643BE2"/>
    <w:rsid w:val="00643C26"/>
    <w:rsid w:val="00643D49"/>
    <w:rsid w:val="00644088"/>
    <w:rsid w:val="00644198"/>
    <w:rsid w:val="00644868"/>
    <w:rsid w:val="00644C14"/>
    <w:rsid w:val="00644C9F"/>
    <w:rsid w:val="00644D20"/>
    <w:rsid w:val="00645006"/>
    <w:rsid w:val="006450CC"/>
    <w:rsid w:val="006452DD"/>
    <w:rsid w:val="00645472"/>
    <w:rsid w:val="0064556B"/>
    <w:rsid w:val="0064565A"/>
    <w:rsid w:val="00645804"/>
    <w:rsid w:val="006459E2"/>
    <w:rsid w:val="00645CD9"/>
    <w:rsid w:val="00645D7E"/>
    <w:rsid w:val="00646434"/>
    <w:rsid w:val="00646643"/>
    <w:rsid w:val="00646702"/>
    <w:rsid w:val="006467E4"/>
    <w:rsid w:val="0064691B"/>
    <w:rsid w:val="00646D13"/>
    <w:rsid w:val="00646FE1"/>
    <w:rsid w:val="006478C2"/>
    <w:rsid w:val="0064799B"/>
    <w:rsid w:val="006479BB"/>
    <w:rsid w:val="00647B7B"/>
    <w:rsid w:val="00647BC9"/>
    <w:rsid w:val="00647D67"/>
    <w:rsid w:val="00647F66"/>
    <w:rsid w:val="00650C4A"/>
    <w:rsid w:val="00650E53"/>
    <w:rsid w:val="00650ED6"/>
    <w:rsid w:val="0065101E"/>
    <w:rsid w:val="006512C1"/>
    <w:rsid w:val="0065142A"/>
    <w:rsid w:val="00651688"/>
    <w:rsid w:val="006516D3"/>
    <w:rsid w:val="0065178C"/>
    <w:rsid w:val="00651AEA"/>
    <w:rsid w:val="00651B15"/>
    <w:rsid w:val="00651C3A"/>
    <w:rsid w:val="00652356"/>
    <w:rsid w:val="00652394"/>
    <w:rsid w:val="006527C9"/>
    <w:rsid w:val="006527DC"/>
    <w:rsid w:val="00652B49"/>
    <w:rsid w:val="00652C6D"/>
    <w:rsid w:val="00652FAF"/>
    <w:rsid w:val="006531D2"/>
    <w:rsid w:val="006536FA"/>
    <w:rsid w:val="00653738"/>
    <w:rsid w:val="00653E19"/>
    <w:rsid w:val="0065453B"/>
    <w:rsid w:val="00654578"/>
    <w:rsid w:val="006546F8"/>
    <w:rsid w:val="00654BAE"/>
    <w:rsid w:val="00654BDE"/>
    <w:rsid w:val="00654EF6"/>
    <w:rsid w:val="00655631"/>
    <w:rsid w:val="00655BC0"/>
    <w:rsid w:val="00655CCC"/>
    <w:rsid w:val="0065622D"/>
    <w:rsid w:val="006562D0"/>
    <w:rsid w:val="006563F3"/>
    <w:rsid w:val="006566AA"/>
    <w:rsid w:val="0065674B"/>
    <w:rsid w:val="00656F28"/>
    <w:rsid w:val="00657032"/>
    <w:rsid w:val="006574FB"/>
    <w:rsid w:val="0065763A"/>
    <w:rsid w:val="00657BFA"/>
    <w:rsid w:val="00657D71"/>
    <w:rsid w:val="00657E5C"/>
    <w:rsid w:val="0066038B"/>
    <w:rsid w:val="00660A03"/>
    <w:rsid w:val="00660BFA"/>
    <w:rsid w:val="00660BFE"/>
    <w:rsid w:val="00661066"/>
    <w:rsid w:val="00661281"/>
    <w:rsid w:val="00661608"/>
    <w:rsid w:val="006618D7"/>
    <w:rsid w:val="00661913"/>
    <w:rsid w:val="006619ED"/>
    <w:rsid w:val="00662113"/>
    <w:rsid w:val="006622BB"/>
    <w:rsid w:val="006623CC"/>
    <w:rsid w:val="00662419"/>
    <w:rsid w:val="00662949"/>
    <w:rsid w:val="00663132"/>
    <w:rsid w:val="0066355E"/>
    <w:rsid w:val="00663580"/>
    <w:rsid w:val="00663607"/>
    <w:rsid w:val="006637BD"/>
    <w:rsid w:val="00663DFF"/>
    <w:rsid w:val="00663E55"/>
    <w:rsid w:val="00663E99"/>
    <w:rsid w:val="00663EFD"/>
    <w:rsid w:val="00664202"/>
    <w:rsid w:val="0066425A"/>
    <w:rsid w:val="00664277"/>
    <w:rsid w:val="00664371"/>
    <w:rsid w:val="006644BB"/>
    <w:rsid w:val="0066452B"/>
    <w:rsid w:val="00664A3B"/>
    <w:rsid w:val="00664AA1"/>
    <w:rsid w:val="00664C71"/>
    <w:rsid w:val="00664FE6"/>
    <w:rsid w:val="0066509F"/>
    <w:rsid w:val="00665106"/>
    <w:rsid w:val="0066580F"/>
    <w:rsid w:val="0066581A"/>
    <w:rsid w:val="006659AB"/>
    <w:rsid w:val="006659D5"/>
    <w:rsid w:val="00665AF6"/>
    <w:rsid w:val="00665B52"/>
    <w:rsid w:val="00665CD1"/>
    <w:rsid w:val="00665D69"/>
    <w:rsid w:val="00665E22"/>
    <w:rsid w:val="00665F6B"/>
    <w:rsid w:val="00665FBA"/>
    <w:rsid w:val="006663F2"/>
    <w:rsid w:val="006664F7"/>
    <w:rsid w:val="00666551"/>
    <w:rsid w:val="00666676"/>
    <w:rsid w:val="0066673C"/>
    <w:rsid w:val="00666CA7"/>
    <w:rsid w:val="00666D8E"/>
    <w:rsid w:val="00666DC7"/>
    <w:rsid w:val="006672F9"/>
    <w:rsid w:val="00667310"/>
    <w:rsid w:val="006676A1"/>
    <w:rsid w:val="006676B0"/>
    <w:rsid w:val="0066775D"/>
    <w:rsid w:val="00667E0B"/>
    <w:rsid w:val="00667EC1"/>
    <w:rsid w:val="0067002B"/>
    <w:rsid w:val="0067033F"/>
    <w:rsid w:val="0067038F"/>
    <w:rsid w:val="006703CD"/>
    <w:rsid w:val="00670C2F"/>
    <w:rsid w:val="00670DEC"/>
    <w:rsid w:val="00670E00"/>
    <w:rsid w:val="00670F32"/>
    <w:rsid w:val="006712F9"/>
    <w:rsid w:val="006717F3"/>
    <w:rsid w:val="00671994"/>
    <w:rsid w:val="00671CAA"/>
    <w:rsid w:val="00671EA0"/>
    <w:rsid w:val="00671EF1"/>
    <w:rsid w:val="00671FEC"/>
    <w:rsid w:val="00672634"/>
    <w:rsid w:val="006730F1"/>
    <w:rsid w:val="006732EB"/>
    <w:rsid w:val="00673763"/>
    <w:rsid w:val="006738EC"/>
    <w:rsid w:val="00673905"/>
    <w:rsid w:val="00673B25"/>
    <w:rsid w:val="00673C8D"/>
    <w:rsid w:val="00674223"/>
    <w:rsid w:val="006742BA"/>
    <w:rsid w:val="00674513"/>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2D0A"/>
    <w:rsid w:val="00683447"/>
    <w:rsid w:val="006834D6"/>
    <w:rsid w:val="0068360F"/>
    <w:rsid w:val="006838B9"/>
    <w:rsid w:val="00684486"/>
    <w:rsid w:val="0068463C"/>
    <w:rsid w:val="00684686"/>
    <w:rsid w:val="006849EA"/>
    <w:rsid w:val="00684D8B"/>
    <w:rsid w:val="0068547B"/>
    <w:rsid w:val="006854AB"/>
    <w:rsid w:val="006856C9"/>
    <w:rsid w:val="00685A70"/>
    <w:rsid w:val="00685D68"/>
    <w:rsid w:val="00685E1C"/>
    <w:rsid w:val="006861AD"/>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4A6"/>
    <w:rsid w:val="00691BDB"/>
    <w:rsid w:val="00691CD3"/>
    <w:rsid w:val="00691E79"/>
    <w:rsid w:val="00691E7A"/>
    <w:rsid w:val="00692111"/>
    <w:rsid w:val="00692578"/>
    <w:rsid w:val="006925CD"/>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5D0B"/>
    <w:rsid w:val="00696061"/>
    <w:rsid w:val="006966BF"/>
    <w:rsid w:val="0069699C"/>
    <w:rsid w:val="006969DB"/>
    <w:rsid w:val="00696A4A"/>
    <w:rsid w:val="00696B88"/>
    <w:rsid w:val="00696C64"/>
    <w:rsid w:val="006974B3"/>
    <w:rsid w:val="00697554"/>
    <w:rsid w:val="006975AC"/>
    <w:rsid w:val="00697873"/>
    <w:rsid w:val="00697CCF"/>
    <w:rsid w:val="00697DE5"/>
    <w:rsid w:val="00697FA5"/>
    <w:rsid w:val="006A0095"/>
    <w:rsid w:val="006A055D"/>
    <w:rsid w:val="006A065C"/>
    <w:rsid w:val="006A092C"/>
    <w:rsid w:val="006A12E7"/>
    <w:rsid w:val="006A13D3"/>
    <w:rsid w:val="006A157B"/>
    <w:rsid w:val="006A15AB"/>
    <w:rsid w:val="006A1646"/>
    <w:rsid w:val="006A175A"/>
    <w:rsid w:val="006A1DB7"/>
    <w:rsid w:val="006A2007"/>
    <w:rsid w:val="006A204E"/>
    <w:rsid w:val="006A239C"/>
    <w:rsid w:val="006A24A8"/>
    <w:rsid w:val="006A270E"/>
    <w:rsid w:val="006A29AB"/>
    <w:rsid w:val="006A331B"/>
    <w:rsid w:val="006A39F2"/>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A7E8D"/>
    <w:rsid w:val="006B00AC"/>
    <w:rsid w:val="006B00D5"/>
    <w:rsid w:val="006B0358"/>
    <w:rsid w:val="006B069F"/>
    <w:rsid w:val="006B0F30"/>
    <w:rsid w:val="006B11B6"/>
    <w:rsid w:val="006B1392"/>
    <w:rsid w:val="006B167C"/>
    <w:rsid w:val="006B1708"/>
    <w:rsid w:val="006B1855"/>
    <w:rsid w:val="006B1FB1"/>
    <w:rsid w:val="006B231E"/>
    <w:rsid w:val="006B2877"/>
    <w:rsid w:val="006B2893"/>
    <w:rsid w:val="006B289A"/>
    <w:rsid w:val="006B29F8"/>
    <w:rsid w:val="006B32F9"/>
    <w:rsid w:val="006B344B"/>
    <w:rsid w:val="006B38FD"/>
    <w:rsid w:val="006B3CDF"/>
    <w:rsid w:val="006B3E5B"/>
    <w:rsid w:val="006B456F"/>
    <w:rsid w:val="006B4605"/>
    <w:rsid w:val="006B499A"/>
    <w:rsid w:val="006B49F1"/>
    <w:rsid w:val="006B4B02"/>
    <w:rsid w:val="006B4C00"/>
    <w:rsid w:val="006B5413"/>
    <w:rsid w:val="006B5538"/>
    <w:rsid w:val="006B5769"/>
    <w:rsid w:val="006B58B6"/>
    <w:rsid w:val="006B591A"/>
    <w:rsid w:val="006B59A6"/>
    <w:rsid w:val="006B5F06"/>
    <w:rsid w:val="006B5F44"/>
    <w:rsid w:val="006B637A"/>
    <w:rsid w:val="006B639C"/>
    <w:rsid w:val="006B6C73"/>
    <w:rsid w:val="006B7228"/>
    <w:rsid w:val="006B7331"/>
    <w:rsid w:val="006B7472"/>
    <w:rsid w:val="006B7491"/>
    <w:rsid w:val="006B7561"/>
    <w:rsid w:val="006B767B"/>
    <w:rsid w:val="006B7829"/>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571"/>
    <w:rsid w:val="006C58E0"/>
    <w:rsid w:val="006C5904"/>
    <w:rsid w:val="006C5A3B"/>
    <w:rsid w:val="006C5CC4"/>
    <w:rsid w:val="006C628A"/>
    <w:rsid w:val="006C674A"/>
    <w:rsid w:val="006C67A7"/>
    <w:rsid w:val="006C6904"/>
    <w:rsid w:val="006C6EC7"/>
    <w:rsid w:val="006C7120"/>
    <w:rsid w:val="006C72DD"/>
    <w:rsid w:val="006C73D3"/>
    <w:rsid w:val="006C7507"/>
    <w:rsid w:val="006C7771"/>
    <w:rsid w:val="006C77F5"/>
    <w:rsid w:val="006C7BE5"/>
    <w:rsid w:val="006C7D05"/>
    <w:rsid w:val="006C7F94"/>
    <w:rsid w:val="006D0A5A"/>
    <w:rsid w:val="006D0BDE"/>
    <w:rsid w:val="006D0BE5"/>
    <w:rsid w:val="006D0CF1"/>
    <w:rsid w:val="006D0F26"/>
    <w:rsid w:val="006D0F7A"/>
    <w:rsid w:val="006D1100"/>
    <w:rsid w:val="006D11EA"/>
    <w:rsid w:val="006D141A"/>
    <w:rsid w:val="006D15FC"/>
    <w:rsid w:val="006D1B21"/>
    <w:rsid w:val="006D1BB0"/>
    <w:rsid w:val="006D20D6"/>
    <w:rsid w:val="006D2543"/>
    <w:rsid w:val="006D2624"/>
    <w:rsid w:val="006D276D"/>
    <w:rsid w:val="006D2795"/>
    <w:rsid w:val="006D2984"/>
    <w:rsid w:val="006D29BE"/>
    <w:rsid w:val="006D29C4"/>
    <w:rsid w:val="006D2D35"/>
    <w:rsid w:val="006D2EA0"/>
    <w:rsid w:val="006D3C67"/>
    <w:rsid w:val="006D3E32"/>
    <w:rsid w:val="006D4615"/>
    <w:rsid w:val="006D4803"/>
    <w:rsid w:val="006D493D"/>
    <w:rsid w:val="006D4AB0"/>
    <w:rsid w:val="006D4CF0"/>
    <w:rsid w:val="006D4DFF"/>
    <w:rsid w:val="006D550F"/>
    <w:rsid w:val="006D5568"/>
    <w:rsid w:val="006D5571"/>
    <w:rsid w:val="006D5A64"/>
    <w:rsid w:val="006D5D9A"/>
    <w:rsid w:val="006D62B8"/>
    <w:rsid w:val="006D6525"/>
    <w:rsid w:val="006D67FE"/>
    <w:rsid w:val="006D70DC"/>
    <w:rsid w:val="006D75DB"/>
    <w:rsid w:val="006D76E6"/>
    <w:rsid w:val="006D770C"/>
    <w:rsid w:val="006D7767"/>
    <w:rsid w:val="006D7819"/>
    <w:rsid w:val="006E00CA"/>
    <w:rsid w:val="006E0405"/>
    <w:rsid w:val="006E08F5"/>
    <w:rsid w:val="006E097F"/>
    <w:rsid w:val="006E0BC6"/>
    <w:rsid w:val="006E0F8D"/>
    <w:rsid w:val="006E0FA1"/>
    <w:rsid w:val="006E159C"/>
    <w:rsid w:val="006E1782"/>
    <w:rsid w:val="006E1CC2"/>
    <w:rsid w:val="006E1FF5"/>
    <w:rsid w:val="006E2092"/>
    <w:rsid w:val="006E22DB"/>
    <w:rsid w:val="006E24C9"/>
    <w:rsid w:val="006E24E3"/>
    <w:rsid w:val="006E2992"/>
    <w:rsid w:val="006E2E17"/>
    <w:rsid w:val="006E2E38"/>
    <w:rsid w:val="006E2ED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35B"/>
    <w:rsid w:val="006E6CDD"/>
    <w:rsid w:val="006E70A6"/>
    <w:rsid w:val="006E7383"/>
    <w:rsid w:val="006E758C"/>
    <w:rsid w:val="006E769B"/>
    <w:rsid w:val="006E7729"/>
    <w:rsid w:val="006E77B9"/>
    <w:rsid w:val="006E7903"/>
    <w:rsid w:val="006E7FD6"/>
    <w:rsid w:val="006F0279"/>
    <w:rsid w:val="006F02F4"/>
    <w:rsid w:val="006F08D2"/>
    <w:rsid w:val="006F0AB0"/>
    <w:rsid w:val="006F0AF2"/>
    <w:rsid w:val="006F0EF3"/>
    <w:rsid w:val="006F0F5C"/>
    <w:rsid w:val="006F0F97"/>
    <w:rsid w:val="006F0F9E"/>
    <w:rsid w:val="006F111A"/>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9C5"/>
    <w:rsid w:val="006F4B59"/>
    <w:rsid w:val="006F4C42"/>
    <w:rsid w:val="006F529E"/>
    <w:rsid w:val="006F5356"/>
    <w:rsid w:val="006F577D"/>
    <w:rsid w:val="006F585E"/>
    <w:rsid w:val="006F6897"/>
    <w:rsid w:val="006F6C3B"/>
    <w:rsid w:val="006F7945"/>
    <w:rsid w:val="006F7B86"/>
    <w:rsid w:val="006F7CD7"/>
    <w:rsid w:val="0070074B"/>
    <w:rsid w:val="0070088A"/>
    <w:rsid w:val="00700D8E"/>
    <w:rsid w:val="00700DC3"/>
    <w:rsid w:val="007011C5"/>
    <w:rsid w:val="0070139E"/>
    <w:rsid w:val="00701A32"/>
    <w:rsid w:val="00701C0D"/>
    <w:rsid w:val="00701C2C"/>
    <w:rsid w:val="00701EFE"/>
    <w:rsid w:val="00701FD4"/>
    <w:rsid w:val="0070227C"/>
    <w:rsid w:val="007022DA"/>
    <w:rsid w:val="00702439"/>
    <w:rsid w:val="007026EC"/>
    <w:rsid w:val="007027E3"/>
    <w:rsid w:val="007027E9"/>
    <w:rsid w:val="00702853"/>
    <w:rsid w:val="00702EAE"/>
    <w:rsid w:val="00702FD5"/>
    <w:rsid w:val="007032CA"/>
    <w:rsid w:val="007038F8"/>
    <w:rsid w:val="00703BAB"/>
    <w:rsid w:val="00703D6E"/>
    <w:rsid w:val="0070469E"/>
    <w:rsid w:val="00704CDE"/>
    <w:rsid w:val="00704D3E"/>
    <w:rsid w:val="00704F30"/>
    <w:rsid w:val="007051DB"/>
    <w:rsid w:val="007053FC"/>
    <w:rsid w:val="007057DF"/>
    <w:rsid w:val="007058AA"/>
    <w:rsid w:val="00705C66"/>
    <w:rsid w:val="00706228"/>
    <w:rsid w:val="0070643D"/>
    <w:rsid w:val="00706638"/>
    <w:rsid w:val="0070681D"/>
    <w:rsid w:val="0070741C"/>
    <w:rsid w:val="0070760A"/>
    <w:rsid w:val="00707792"/>
    <w:rsid w:val="0070794B"/>
    <w:rsid w:val="00707A30"/>
    <w:rsid w:val="00707C80"/>
    <w:rsid w:val="007100C5"/>
    <w:rsid w:val="00710166"/>
    <w:rsid w:val="007104B1"/>
    <w:rsid w:val="007105EE"/>
    <w:rsid w:val="0071079F"/>
    <w:rsid w:val="007108F4"/>
    <w:rsid w:val="00710995"/>
    <w:rsid w:val="007109A3"/>
    <w:rsid w:val="00710F38"/>
    <w:rsid w:val="007113A9"/>
    <w:rsid w:val="00711410"/>
    <w:rsid w:val="0071162F"/>
    <w:rsid w:val="007116C1"/>
    <w:rsid w:val="00711708"/>
    <w:rsid w:val="007117A0"/>
    <w:rsid w:val="00711C6F"/>
    <w:rsid w:val="00711D39"/>
    <w:rsid w:val="007121C2"/>
    <w:rsid w:val="007125A4"/>
    <w:rsid w:val="007125E4"/>
    <w:rsid w:val="00712889"/>
    <w:rsid w:val="007128DE"/>
    <w:rsid w:val="0071290D"/>
    <w:rsid w:val="00712B29"/>
    <w:rsid w:val="00712B40"/>
    <w:rsid w:val="00712B9E"/>
    <w:rsid w:val="00712BC5"/>
    <w:rsid w:val="00712D26"/>
    <w:rsid w:val="007134A5"/>
    <w:rsid w:val="007137DA"/>
    <w:rsid w:val="00713D67"/>
    <w:rsid w:val="00713E18"/>
    <w:rsid w:val="00713F20"/>
    <w:rsid w:val="00714034"/>
    <w:rsid w:val="00714081"/>
    <w:rsid w:val="00714093"/>
    <w:rsid w:val="007141B4"/>
    <w:rsid w:val="00714593"/>
    <w:rsid w:val="00714AA2"/>
    <w:rsid w:val="00714BAB"/>
    <w:rsid w:val="00715076"/>
    <w:rsid w:val="00715326"/>
    <w:rsid w:val="00715339"/>
    <w:rsid w:val="007153BB"/>
    <w:rsid w:val="00715799"/>
    <w:rsid w:val="00715A90"/>
    <w:rsid w:val="00715B99"/>
    <w:rsid w:val="00715EC3"/>
    <w:rsid w:val="007160E4"/>
    <w:rsid w:val="0071630E"/>
    <w:rsid w:val="00716EE3"/>
    <w:rsid w:val="0071711A"/>
    <w:rsid w:val="0071734A"/>
    <w:rsid w:val="00717669"/>
    <w:rsid w:val="0071791A"/>
    <w:rsid w:val="00720008"/>
    <w:rsid w:val="0072024F"/>
    <w:rsid w:val="0072034F"/>
    <w:rsid w:val="0072054F"/>
    <w:rsid w:val="00720638"/>
    <w:rsid w:val="00720715"/>
    <w:rsid w:val="00720AD8"/>
    <w:rsid w:val="00720D17"/>
    <w:rsid w:val="00721099"/>
    <w:rsid w:val="00721626"/>
    <w:rsid w:val="00721773"/>
    <w:rsid w:val="00721777"/>
    <w:rsid w:val="00721925"/>
    <w:rsid w:val="00721C88"/>
    <w:rsid w:val="00721FED"/>
    <w:rsid w:val="00722062"/>
    <w:rsid w:val="00722237"/>
    <w:rsid w:val="00722543"/>
    <w:rsid w:val="00722915"/>
    <w:rsid w:val="00722D52"/>
    <w:rsid w:val="00722EB4"/>
    <w:rsid w:val="00722EBA"/>
    <w:rsid w:val="00723170"/>
    <w:rsid w:val="007238CF"/>
    <w:rsid w:val="00723B70"/>
    <w:rsid w:val="00723E27"/>
    <w:rsid w:val="00723FB6"/>
    <w:rsid w:val="007240C9"/>
    <w:rsid w:val="007244BA"/>
    <w:rsid w:val="007244EA"/>
    <w:rsid w:val="00724E53"/>
    <w:rsid w:val="007252FA"/>
    <w:rsid w:val="0072535D"/>
    <w:rsid w:val="007254F9"/>
    <w:rsid w:val="00725689"/>
    <w:rsid w:val="00725731"/>
    <w:rsid w:val="007259EF"/>
    <w:rsid w:val="00725B1B"/>
    <w:rsid w:val="0072652D"/>
    <w:rsid w:val="00726F58"/>
    <w:rsid w:val="00727533"/>
    <w:rsid w:val="00727B60"/>
    <w:rsid w:val="00727DE0"/>
    <w:rsid w:val="0073012E"/>
    <w:rsid w:val="007307E8"/>
    <w:rsid w:val="00730806"/>
    <w:rsid w:val="00730817"/>
    <w:rsid w:val="007309E1"/>
    <w:rsid w:val="00730BA6"/>
    <w:rsid w:val="00730BB9"/>
    <w:rsid w:val="00730DCF"/>
    <w:rsid w:val="00730E23"/>
    <w:rsid w:val="00730F0A"/>
    <w:rsid w:val="007312E9"/>
    <w:rsid w:val="007314B9"/>
    <w:rsid w:val="00731650"/>
    <w:rsid w:val="00731B86"/>
    <w:rsid w:val="00731B91"/>
    <w:rsid w:val="00732055"/>
    <w:rsid w:val="0073232E"/>
    <w:rsid w:val="0073247C"/>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6FE"/>
    <w:rsid w:val="00735786"/>
    <w:rsid w:val="007357AB"/>
    <w:rsid w:val="00735CA2"/>
    <w:rsid w:val="00735EAA"/>
    <w:rsid w:val="0073610B"/>
    <w:rsid w:val="007364B2"/>
    <w:rsid w:val="00736944"/>
    <w:rsid w:val="00736A63"/>
    <w:rsid w:val="00736D49"/>
    <w:rsid w:val="00736D76"/>
    <w:rsid w:val="00737085"/>
    <w:rsid w:val="007372BC"/>
    <w:rsid w:val="007373A2"/>
    <w:rsid w:val="00737AB0"/>
    <w:rsid w:val="007405CB"/>
    <w:rsid w:val="007406E8"/>
    <w:rsid w:val="007408D7"/>
    <w:rsid w:val="00740C55"/>
    <w:rsid w:val="00740D08"/>
    <w:rsid w:val="0074132B"/>
    <w:rsid w:val="0074155B"/>
    <w:rsid w:val="00741AC1"/>
    <w:rsid w:val="00741B84"/>
    <w:rsid w:val="00741CA7"/>
    <w:rsid w:val="00741CDB"/>
    <w:rsid w:val="00742419"/>
    <w:rsid w:val="007425F8"/>
    <w:rsid w:val="00742712"/>
    <w:rsid w:val="007427B4"/>
    <w:rsid w:val="007427BF"/>
    <w:rsid w:val="00742857"/>
    <w:rsid w:val="00742BA7"/>
    <w:rsid w:val="00742CE6"/>
    <w:rsid w:val="00742D99"/>
    <w:rsid w:val="00743248"/>
    <w:rsid w:val="007432F0"/>
    <w:rsid w:val="00743AE4"/>
    <w:rsid w:val="00743D6F"/>
    <w:rsid w:val="00743E0C"/>
    <w:rsid w:val="007440C7"/>
    <w:rsid w:val="007444F1"/>
    <w:rsid w:val="007445B5"/>
    <w:rsid w:val="007445BD"/>
    <w:rsid w:val="0074495E"/>
    <w:rsid w:val="00744A17"/>
    <w:rsid w:val="00744C0B"/>
    <w:rsid w:val="00744E0A"/>
    <w:rsid w:val="00744E23"/>
    <w:rsid w:val="00744F08"/>
    <w:rsid w:val="00745192"/>
    <w:rsid w:val="00745421"/>
    <w:rsid w:val="00745559"/>
    <w:rsid w:val="0074557A"/>
    <w:rsid w:val="007456C2"/>
    <w:rsid w:val="0074598C"/>
    <w:rsid w:val="00745BE3"/>
    <w:rsid w:val="00745D81"/>
    <w:rsid w:val="00745E32"/>
    <w:rsid w:val="00745F15"/>
    <w:rsid w:val="00745F4C"/>
    <w:rsid w:val="00745FC7"/>
    <w:rsid w:val="00746482"/>
    <w:rsid w:val="007464C4"/>
    <w:rsid w:val="0074655C"/>
    <w:rsid w:val="007468D8"/>
    <w:rsid w:val="00746A18"/>
    <w:rsid w:val="00746A80"/>
    <w:rsid w:val="00746DCD"/>
    <w:rsid w:val="00746E9A"/>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0F00"/>
    <w:rsid w:val="00751024"/>
    <w:rsid w:val="00751974"/>
    <w:rsid w:val="00751F0E"/>
    <w:rsid w:val="00751FE8"/>
    <w:rsid w:val="0075213D"/>
    <w:rsid w:val="007524F7"/>
    <w:rsid w:val="00752594"/>
    <w:rsid w:val="007527D2"/>
    <w:rsid w:val="00752AC2"/>
    <w:rsid w:val="00752B9E"/>
    <w:rsid w:val="00752F6B"/>
    <w:rsid w:val="0075321D"/>
    <w:rsid w:val="00753279"/>
    <w:rsid w:val="00753319"/>
    <w:rsid w:val="00754018"/>
    <w:rsid w:val="007541E6"/>
    <w:rsid w:val="00754472"/>
    <w:rsid w:val="007547DE"/>
    <w:rsid w:val="0075485B"/>
    <w:rsid w:val="007554E8"/>
    <w:rsid w:val="0075592D"/>
    <w:rsid w:val="00755B76"/>
    <w:rsid w:val="00755D90"/>
    <w:rsid w:val="00755EA3"/>
    <w:rsid w:val="00755F50"/>
    <w:rsid w:val="00755F72"/>
    <w:rsid w:val="00755FB2"/>
    <w:rsid w:val="0075601B"/>
    <w:rsid w:val="00756029"/>
    <w:rsid w:val="0075654C"/>
    <w:rsid w:val="00756AF7"/>
    <w:rsid w:val="00756F26"/>
    <w:rsid w:val="007578FE"/>
    <w:rsid w:val="00757B85"/>
    <w:rsid w:val="00757E63"/>
    <w:rsid w:val="00757EFE"/>
    <w:rsid w:val="0076064D"/>
    <w:rsid w:val="007608C3"/>
    <w:rsid w:val="00760EB1"/>
    <w:rsid w:val="00760F67"/>
    <w:rsid w:val="00761161"/>
    <w:rsid w:val="00761EFD"/>
    <w:rsid w:val="00762198"/>
    <w:rsid w:val="007623EB"/>
    <w:rsid w:val="0076242C"/>
    <w:rsid w:val="0076258B"/>
    <w:rsid w:val="00762B7B"/>
    <w:rsid w:val="00762CE9"/>
    <w:rsid w:val="00762E16"/>
    <w:rsid w:val="00762F17"/>
    <w:rsid w:val="00762FAD"/>
    <w:rsid w:val="00763558"/>
    <w:rsid w:val="0076376C"/>
    <w:rsid w:val="00763A71"/>
    <w:rsid w:val="00763F7E"/>
    <w:rsid w:val="00764312"/>
    <w:rsid w:val="00764CB1"/>
    <w:rsid w:val="007652AF"/>
    <w:rsid w:val="007656A8"/>
    <w:rsid w:val="00765759"/>
    <w:rsid w:val="00765F75"/>
    <w:rsid w:val="007661FB"/>
    <w:rsid w:val="007667A1"/>
    <w:rsid w:val="007667BF"/>
    <w:rsid w:val="007667D3"/>
    <w:rsid w:val="007669E0"/>
    <w:rsid w:val="00766C36"/>
    <w:rsid w:val="00766DB0"/>
    <w:rsid w:val="00767CEB"/>
    <w:rsid w:val="00767D43"/>
    <w:rsid w:val="00767E82"/>
    <w:rsid w:val="0077061A"/>
    <w:rsid w:val="007709DA"/>
    <w:rsid w:val="00770C53"/>
    <w:rsid w:val="00770E20"/>
    <w:rsid w:val="00771135"/>
    <w:rsid w:val="0077134B"/>
    <w:rsid w:val="007713EE"/>
    <w:rsid w:val="00771551"/>
    <w:rsid w:val="00771A06"/>
    <w:rsid w:val="00771A18"/>
    <w:rsid w:val="00771F69"/>
    <w:rsid w:val="00772070"/>
    <w:rsid w:val="007722A8"/>
    <w:rsid w:val="00772654"/>
    <w:rsid w:val="00772AA0"/>
    <w:rsid w:val="00772BF0"/>
    <w:rsid w:val="00772D23"/>
    <w:rsid w:val="00772FEB"/>
    <w:rsid w:val="0077344F"/>
    <w:rsid w:val="00773788"/>
    <w:rsid w:val="00773C2C"/>
    <w:rsid w:val="00774441"/>
    <w:rsid w:val="00774598"/>
    <w:rsid w:val="0077487D"/>
    <w:rsid w:val="00774C9A"/>
    <w:rsid w:val="00775137"/>
    <w:rsid w:val="007752A9"/>
    <w:rsid w:val="00775484"/>
    <w:rsid w:val="007754A4"/>
    <w:rsid w:val="007754D7"/>
    <w:rsid w:val="0077573C"/>
    <w:rsid w:val="00775746"/>
    <w:rsid w:val="00775AAC"/>
    <w:rsid w:val="00775B76"/>
    <w:rsid w:val="00775D93"/>
    <w:rsid w:val="00775F9F"/>
    <w:rsid w:val="00776590"/>
    <w:rsid w:val="0077677F"/>
    <w:rsid w:val="00776849"/>
    <w:rsid w:val="007768F5"/>
    <w:rsid w:val="007768FC"/>
    <w:rsid w:val="00776EE9"/>
    <w:rsid w:val="007773E0"/>
    <w:rsid w:val="0077744F"/>
    <w:rsid w:val="00777608"/>
    <w:rsid w:val="0077784D"/>
    <w:rsid w:val="007778C5"/>
    <w:rsid w:val="007800A3"/>
    <w:rsid w:val="007800A6"/>
    <w:rsid w:val="007807FC"/>
    <w:rsid w:val="0078103E"/>
    <w:rsid w:val="007811CE"/>
    <w:rsid w:val="007813F1"/>
    <w:rsid w:val="007817A4"/>
    <w:rsid w:val="007817E1"/>
    <w:rsid w:val="007819E1"/>
    <w:rsid w:val="00781BDB"/>
    <w:rsid w:val="00781C30"/>
    <w:rsid w:val="007826A0"/>
    <w:rsid w:val="00782DCC"/>
    <w:rsid w:val="0078343E"/>
    <w:rsid w:val="0078358C"/>
    <w:rsid w:val="007835AF"/>
    <w:rsid w:val="007836AB"/>
    <w:rsid w:val="007836FD"/>
    <w:rsid w:val="007837C5"/>
    <w:rsid w:val="0078384C"/>
    <w:rsid w:val="007838A5"/>
    <w:rsid w:val="00783927"/>
    <w:rsid w:val="00783D36"/>
    <w:rsid w:val="00784621"/>
    <w:rsid w:val="007846A1"/>
    <w:rsid w:val="00784C66"/>
    <w:rsid w:val="00784C97"/>
    <w:rsid w:val="00784CE0"/>
    <w:rsid w:val="00784E13"/>
    <w:rsid w:val="00784EF8"/>
    <w:rsid w:val="00785013"/>
    <w:rsid w:val="007850CC"/>
    <w:rsid w:val="0078594D"/>
    <w:rsid w:val="00785956"/>
    <w:rsid w:val="00785B98"/>
    <w:rsid w:val="00785C64"/>
    <w:rsid w:val="00785EFC"/>
    <w:rsid w:val="0078602F"/>
    <w:rsid w:val="00786226"/>
    <w:rsid w:val="007863E4"/>
    <w:rsid w:val="007867C4"/>
    <w:rsid w:val="00786A17"/>
    <w:rsid w:val="00786B8E"/>
    <w:rsid w:val="00786CB1"/>
    <w:rsid w:val="00786D08"/>
    <w:rsid w:val="00786F74"/>
    <w:rsid w:val="00786FC1"/>
    <w:rsid w:val="007875DB"/>
    <w:rsid w:val="0078797B"/>
    <w:rsid w:val="00787E46"/>
    <w:rsid w:val="0079047D"/>
    <w:rsid w:val="007905AE"/>
    <w:rsid w:val="007907AE"/>
    <w:rsid w:val="00790966"/>
    <w:rsid w:val="007909A2"/>
    <w:rsid w:val="00790B8E"/>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7EE"/>
    <w:rsid w:val="00792C19"/>
    <w:rsid w:val="00792D43"/>
    <w:rsid w:val="00792F69"/>
    <w:rsid w:val="0079334B"/>
    <w:rsid w:val="00793574"/>
    <w:rsid w:val="007937FD"/>
    <w:rsid w:val="00793942"/>
    <w:rsid w:val="007939AE"/>
    <w:rsid w:val="00793A5A"/>
    <w:rsid w:val="00793CBE"/>
    <w:rsid w:val="007942DB"/>
    <w:rsid w:val="00794927"/>
    <w:rsid w:val="00794998"/>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06D"/>
    <w:rsid w:val="0079616A"/>
    <w:rsid w:val="0079658D"/>
    <w:rsid w:val="00796898"/>
    <w:rsid w:val="00796942"/>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5F7"/>
    <w:rsid w:val="007A3980"/>
    <w:rsid w:val="007A3ED4"/>
    <w:rsid w:val="007A4012"/>
    <w:rsid w:val="007A45EF"/>
    <w:rsid w:val="007A4896"/>
    <w:rsid w:val="007A498E"/>
    <w:rsid w:val="007A4DF4"/>
    <w:rsid w:val="007A54E2"/>
    <w:rsid w:val="007A5CA4"/>
    <w:rsid w:val="007A6005"/>
    <w:rsid w:val="007A6050"/>
    <w:rsid w:val="007A62C2"/>
    <w:rsid w:val="007A63BE"/>
    <w:rsid w:val="007A6558"/>
    <w:rsid w:val="007A688B"/>
    <w:rsid w:val="007A688C"/>
    <w:rsid w:val="007A6A1B"/>
    <w:rsid w:val="007A6C32"/>
    <w:rsid w:val="007A6D83"/>
    <w:rsid w:val="007A715D"/>
    <w:rsid w:val="007A721A"/>
    <w:rsid w:val="007A7227"/>
    <w:rsid w:val="007A7446"/>
    <w:rsid w:val="007A7525"/>
    <w:rsid w:val="007A787A"/>
    <w:rsid w:val="007A7B7E"/>
    <w:rsid w:val="007A7D62"/>
    <w:rsid w:val="007A7E9B"/>
    <w:rsid w:val="007A7EAC"/>
    <w:rsid w:val="007B021E"/>
    <w:rsid w:val="007B057A"/>
    <w:rsid w:val="007B0968"/>
    <w:rsid w:val="007B0C89"/>
    <w:rsid w:val="007B0CCE"/>
    <w:rsid w:val="007B1199"/>
    <w:rsid w:val="007B11D4"/>
    <w:rsid w:val="007B1478"/>
    <w:rsid w:val="007B15A9"/>
    <w:rsid w:val="007B169A"/>
    <w:rsid w:val="007B2322"/>
    <w:rsid w:val="007B28B1"/>
    <w:rsid w:val="007B2D49"/>
    <w:rsid w:val="007B2D9F"/>
    <w:rsid w:val="007B2F75"/>
    <w:rsid w:val="007B3489"/>
    <w:rsid w:val="007B3663"/>
    <w:rsid w:val="007B382A"/>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5EC8"/>
    <w:rsid w:val="007B5F3F"/>
    <w:rsid w:val="007B6092"/>
    <w:rsid w:val="007B66DA"/>
    <w:rsid w:val="007B681F"/>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2DE"/>
    <w:rsid w:val="007C182F"/>
    <w:rsid w:val="007C1901"/>
    <w:rsid w:val="007C1FF6"/>
    <w:rsid w:val="007C2157"/>
    <w:rsid w:val="007C2224"/>
    <w:rsid w:val="007C236A"/>
    <w:rsid w:val="007C2429"/>
    <w:rsid w:val="007C2609"/>
    <w:rsid w:val="007C282B"/>
    <w:rsid w:val="007C28A6"/>
    <w:rsid w:val="007C28B1"/>
    <w:rsid w:val="007C2929"/>
    <w:rsid w:val="007C2C4A"/>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45B"/>
    <w:rsid w:val="007C7869"/>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37"/>
    <w:rsid w:val="007D32E7"/>
    <w:rsid w:val="007D34E0"/>
    <w:rsid w:val="007D399F"/>
    <w:rsid w:val="007D3A2E"/>
    <w:rsid w:val="007D3AAB"/>
    <w:rsid w:val="007D3CA9"/>
    <w:rsid w:val="007D3D98"/>
    <w:rsid w:val="007D3DF0"/>
    <w:rsid w:val="007D40B5"/>
    <w:rsid w:val="007D57CD"/>
    <w:rsid w:val="007D5844"/>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370"/>
    <w:rsid w:val="007E040C"/>
    <w:rsid w:val="007E078A"/>
    <w:rsid w:val="007E08DF"/>
    <w:rsid w:val="007E0E82"/>
    <w:rsid w:val="007E124E"/>
    <w:rsid w:val="007E1703"/>
    <w:rsid w:val="007E18DB"/>
    <w:rsid w:val="007E1A61"/>
    <w:rsid w:val="007E1D52"/>
    <w:rsid w:val="007E1F52"/>
    <w:rsid w:val="007E2500"/>
    <w:rsid w:val="007E2961"/>
    <w:rsid w:val="007E31A2"/>
    <w:rsid w:val="007E393B"/>
    <w:rsid w:val="007E3B6C"/>
    <w:rsid w:val="007E3F5C"/>
    <w:rsid w:val="007E4121"/>
    <w:rsid w:val="007E43C7"/>
    <w:rsid w:val="007E4433"/>
    <w:rsid w:val="007E4530"/>
    <w:rsid w:val="007E460E"/>
    <w:rsid w:val="007E4718"/>
    <w:rsid w:val="007E4D70"/>
    <w:rsid w:val="007E5190"/>
    <w:rsid w:val="007E521B"/>
    <w:rsid w:val="007E5332"/>
    <w:rsid w:val="007E53F0"/>
    <w:rsid w:val="007E54B4"/>
    <w:rsid w:val="007E562A"/>
    <w:rsid w:val="007E5958"/>
    <w:rsid w:val="007E5DA7"/>
    <w:rsid w:val="007E5F51"/>
    <w:rsid w:val="007E6515"/>
    <w:rsid w:val="007E6AD8"/>
    <w:rsid w:val="007E6D7F"/>
    <w:rsid w:val="007E6F7B"/>
    <w:rsid w:val="007E74AD"/>
    <w:rsid w:val="007E7AE0"/>
    <w:rsid w:val="007E7C28"/>
    <w:rsid w:val="007E7C34"/>
    <w:rsid w:val="007E7D4F"/>
    <w:rsid w:val="007E7DE9"/>
    <w:rsid w:val="007E7F5A"/>
    <w:rsid w:val="007F0108"/>
    <w:rsid w:val="007F02E5"/>
    <w:rsid w:val="007F0439"/>
    <w:rsid w:val="007F04ED"/>
    <w:rsid w:val="007F06EF"/>
    <w:rsid w:val="007F0996"/>
    <w:rsid w:val="007F0B5C"/>
    <w:rsid w:val="007F1042"/>
    <w:rsid w:val="007F1194"/>
    <w:rsid w:val="007F11E4"/>
    <w:rsid w:val="007F178E"/>
    <w:rsid w:val="007F1D4C"/>
    <w:rsid w:val="007F1D93"/>
    <w:rsid w:val="007F1F96"/>
    <w:rsid w:val="007F27A9"/>
    <w:rsid w:val="007F2E28"/>
    <w:rsid w:val="007F2EAE"/>
    <w:rsid w:val="007F3205"/>
    <w:rsid w:val="007F3353"/>
    <w:rsid w:val="007F3412"/>
    <w:rsid w:val="007F3479"/>
    <w:rsid w:val="007F3DD7"/>
    <w:rsid w:val="007F3E20"/>
    <w:rsid w:val="007F3E3F"/>
    <w:rsid w:val="007F4991"/>
    <w:rsid w:val="007F4ABA"/>
    <w:rsid w:val="007F549C"/>
    <w:rsid w:val="007F5575"/>
    <w:rsid w:val="007F590E"/>
    <w:rsid w:val="007F59E8"/>
    <w:rsid w:val="007F5AEA"/>
    <w:rsid w:val="007F607E"/>
    <w:rsid w:val="007F62C7"/>
    <w:rsid w:val="007F630C"/>
    <w:rsid w:val="007F6397"/>
    <w:rsid w:val="007F6926"/>
    <w:rsid w:val="007F6A16"/>
    <w:rsid w:val="007F72E5"/>
    <w:rsid w:val="007F7330"/>
    <w:rsid w:val="007F7378"/>
    <w:rsid w:val="007F73ED"/>
    <w:rsid w:val="007F7532"/>
    <w:rsid w:val="007F763A"/>
    <w:rsid w:val="007F773A"/>
    <w:rsid w:val="007F7853"/>
    <w:rsid w:val="007F785F"/>
    <w:rsid w:val="007F7B39"/>
    <w:rsid w:val="007F7BB0"/>
    <w:rsid w:val="007F7C9E"/>
    <w:rsid w:val="00800457"/>
    <w:rsid w:val="008008B5"/>
    <w:rsid w:val="00800AAC"/>
    <w:rsid w:val="00800D74"/>
    <w:rsid w:val="00801096"/>
    <w:rsid w:val="008014F8"/>
    <w:rsid w:val="00801609"/>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4AC"/>
    <w:rsid w:val="008066CB"/>
    <w:rsid w:val="008069A6"/>
    <w:rsid w:val="00806D49"/>
    <w:rsid w:val="00806F22"/>
    <w:rsid w:val="00806F6F"/>
    <w:rsid w:val="00807166"/>
    <w:rsid w:val="008072EF"/>
    <w:rsid w:val="008077F3"/>
    <w:rsid w:val="0080792E"/>
    <w:rsid w:val="00807BC9"/>
    <w:rsid w:val="00807D01"/>
    <w:rsid w:val="00807DCC"/>
    <w:rsid w:val="0081023E"/>
    <w:rsid w:val="0081062E"/>
    <w:rsid w:val="00810654"/>
    <w:rsid w:val="00810ACB"/>
    <w:rsid w:val="00810EDB"/>
    <w:rsid w:val="00811103"/>
    <w:rsid w:val="00811868"/>
    <w:rsid w:val="00811882"/>
    <w:rsid w:val="00811C9D"/>
    <w:rsid w:val="00811D74"/>
    <w:rsid w:val="0081206B"/>
    <w:rsid w:val="0081209B"/>
    <w:rsid w:val="008121D3"/>
    <w:rsid w:val="008121E3"/>
    <w:rsid w:val="0081264B"/>
    <w:rsid w:val="00812A0D"/>
    <w:rsid w:val="00812D9E"/>
    <w:rsid w:val="00812E80"/>
    <w:rsid w:val="00812E9C"/>
    <w:rsid w:val="008130A0"/>
    <w:rsid w:val="00813126"/>
    <w:rsid w:val="0081340F"/>
    <w:rsid w:val="0081372B"/>
    <w:rsid w:val="008137A8"/>
    <w:rsid w:val="00813F5C"/>
    <w:rsid w:val="0081440D"/>
    <w:rsid w:val="00814A5C"/>
    <w:rsid w:val="00815058"/>
    <w:rsid w:val="0081509A"/>
    <w:rsid w:val="00815271"/>
    <w:rsid w:val="008152E0"/>
    <w:rsid w:val="008156C3"/>
    <w:rsid w:val="008156E5"/>
    <w:rsid w:val="00815DB4"/>
    <w:rsid w:val="00815E1C"/>
    <w:rsid w:val="00815F07"/>
    <w:rsid w:val="00816091"/>
    <w:rsid w:val="00816276"/>
    <w:rsid w:val="008162FC"/>
    <w:rsid w:val="0081675F"/>
    <w:rsid w:val="00816984"/>
    <w:rsid w:val="00816DA3"/>
    <w:rsid w:val="008175AF"/>
    <w:rsid w:val="00817976"/>
    <w:rsid w:val="00817FAF"/>
    <w:rsid w:val="00820151"/>
    <w:rsid w:val="008206FE"/>
    <w:rsid w:val="0082085A"/>
    <w:rsid w:val="00820985"/>
    <w:rsid w:val="00820D72"/>
    <w:rsid w:val="00820D8E"/>
    <w:rsid w:val="00821F8C"/>
    <w:rsid w:val="0082233D"/>
    <w:rsid w:val="0082287F"/>
    <w:rsid w:val="00822A75"/>
    <w:rsid w:val="00822D19"/>
    <w:rsid w:val="00822FAF"/>
    <w:rsid w:val="008234E4"/>
    <w:rsid w:val="0082388B"/>
    <w:rsid w:val="00823BCC"/>
    <w:rsid w:val="00823C1F"/>
    <w:rsid w:val="00823C25"/>
    <w:rsid w:val="00823DCC"/>
    <w:rsid w:val="00824203"/>
    <w:rsid w:val="0082444F"/>
    <w:rsid w:val="00824A1D"/>
    <w:rsid w:val="00824B6D"/>
    <w:rsid w:val="00824F86"/>
    <w:rsid w:val="00824FD2"/>
    <w:rsid w:val="008254AB"/>
    <w:rsid w:val="008254FB"/>
    <w:rsid w:val="00825680"/>
    <w:rsid w:val="0082585E"/>
    <w:rsid w:val="00825FD4"/>
    <w:rsid w:val="00826286"/>
    <w:rsid w:val="0082664F"/>
    <w:rsid w:val="008266FD"/>
    <w:rsid w:val="00826701"/>
    <w:rsid w:val="00826D9D"/>
    <w:rsid w:val="0082700D"/>
    <w:rsid w:val="00827083"/>
    <w:rsid w:val="00827136"/>
    <w:rsid w:val="008272D4"/>
    <w:rsid w:val="0082745E"/>
    <w:rsid w:val="0082755E"/>
    <w:rsid w:val="008275D5"/>
    <w:rsid w:val="00827773"/>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C74"/>
    <w:rsid w:val="00833FF9"/>
    <w:rsid w:val="008347EA"/>
    <w:rsid w:val="00834809"/>
    <w:rsid w:val="0083492A"/>
    <w:rsid w:val="00834EA9"/>
    <w:rsid w:val="0083543B"/>
    <w:rsid w:val="0083583A"/>
    <w:rsid w:val="00835903"/>
    <w:rsid w:val="00835BD3"/>
    <w:rsid w:val="008364DF"/>
    <w:rsid w:val="00836EFA"/>
    <w:rsid w:val="008374B3"/>
    <w:rsid w:val="0083752B"/>
    <w:rsid w:val="00837595"/>
    <w:rsid w:val="008376EB"/>
    <w:rsid w:val="008378FA"/>
    <w:rsid w:val="008379D1"/>
    <w:rsid w:val="00840241"/>
    <w:rsid w:val="008402CC"/>
    <w:rsid w:val="00840718"/>
    <w:rsid w:val="0084076B"/>
    <w:rsid w:val="008410EC"/>
    <w:rsid w:val="008411C9"/>
    <w:rsid w:val="0084121E"/>
    <w:rsid w:val="008412EE"/>
    <w:rsid w:val="0084186B"/>
    <w:rsid w:val="00841B2E"/>
    <w:rsid w:val="00842869"/>
    <w:rsid w:val="00842BE1"/>
    <w:rsid w:val="00842C3C"/>
    <w:rsid w:val="00842CD6"/>
    <w:rsid w:val="00842F01"/>
    <w:rsid w:val="00842F09"/>
    <w:rsid w:val="00842F34"/>
    <w:rsid w:val="00843099"/>
    <w:rsid w:val="008431DE"/>
    <w:rsid w:val="008434FC"/>
    <w:rsid w:val="0084354D"/>
    <w:rsid w:val="0084373D"/>
    <w:rsid w:val="008439A1"/>
    <w:rsid w:val="008441E9"/>
    <w:rsid w:val="00844297"/>
    <w:rsid w:val="0084459A"/>
    <w:rsid w:val="008445B5"/>
    <w:rsid w:val="008447BB"/>
    <w:rsid w:val="00844D29"/>
    <w:rsid w:val="00844EDC"/>
    <w:rsid w:val="00844F8A"/>
    <w:rsid w:val="008453AD"/>
    <w:rsid w:val="00845673"/>
    <w:rsid w:val="0084593F"/>
    <w:rsid w:val="00845BE2"/>
    <w:rsid w:val="00845D47"/>
    <w:rsid w:val="00845F9B"/>
    <w:rsid w:val="00845FFF"/>
    <w:rsid w:val="00846312"/>
    <w:rsid w:val="008463AC"/>
    <w:rsid w:val="00846654"/>
    <w:rsid w:val="00846814"/>
    <w:rsid w:val="00846B66"/>
    <w:rsid w:val="00846BB2"/>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1BE3"/>
    <w:rsid w:val="00852284"/>
    <w:rsid w:val="00852369"/>
    <w:rsid w:val="008526FA"/>
    <w:rsid w:val="008527DB"/>
    <w:rsid w:val="00852887"/>
    <w:rsid w:val="008528AF"/>
    <w:rsid w:val="00852BA9"/>
    <w:rsid w:val="00852C45"/>
    <w:rsid w:val="00852CC6"/>
    <w:rsid w:val="00852D09"/>
    <w:rsid w:val="00852D4E"/>
    <w:rsid w:val="00852E8E"/>
    <w:rsid w:val="008533C3"/>
    <w:rsid w:val="00853497"/>
    <w:rsid w:val="008537DE"/>
    <w:rsid w:val="008539A9"/>
    <w:rsid w:val="00853A9F"/>
    <w:rsid w:val="00853DE9"/>
    <w:rsid w:val="00853E14"/>
    <w:rsid w:val="00853EED"/>
    <w:rsid w:val="0085455C"/>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63B"/>
    <w:rsid w:val="008567AB"/>
    <w:rsid w:val="00856A54"/>
    <w:rsid w:val="00856CA4"/>
    <w:rsid w:val="00856D7B"/>
    <w:rsid w:val="00856E55"/>
    <w:rsid w:val="0085712D"/>
    <w:rsid w:val="00857272"/>
    <w:rsid w:val="00857331"/>
    <w:rsid w:val="0085739F"/>
    <w:rsid w:val="00857947"/>
    <w:rsid w:val="00860077"/>
    <w:rsid w:val="0086013C"/>
    <w:rsid w:val="00860211"/>
    <w:rsid w:val="00860283"/>
    <w:rsid w:val="0086058E"/>
    <w:rsid w:val="00860C34"/>
    <w:rsid w:val="00861196"/>
    <w:rsid w:val="0086185C"/>
    <w:rsid w:val="00861A34"/>
    <w:rsid w:val="00861F60"/>
    <w:rsid w:val="00862090"/>
    <w:rsid w:val="008621BA"/>
    <w:rsid w:val="00862420"/>
    <w:rsid w:val="00862F65"/>
    <w:rsid w:val="00862FC7"/>
    <w:rsid w:val="0086342F"/>
    <w:rsid w:val="0086360A"/>
    <w:rsid w:val="008638F0"/>
    <w:rsid w:val="00863A21"/>
    <w:rsid w:val="00863B9C"/>
    <w:rsid w:val="00863C18"/>
    <w:rsid w:val="008641C2"/>
    <w:rsid w:val="0086471E"/>
    <w:rsid w:val="0086475E"/>
    <w:rsid w:val="00864760"/>
    <w:rsid w:val="00864A63"/>
    <w:rsid w:val="00864A7D"/>
    <w:rsid w:val="00864B08"/>
    <w:rsid w:val="00864EE7"/>
    <w:rsid w:val="00865358"/>
    <w:rsid w:val="00865D57"/>
    <w:rsid w:val="00865D9B"/>
    <w:rsid w:val="0086603F"/>
    <w:rsid w:val="00866092"/>
    <w:rsid w:val="0086614C"/>
    <w:rsid w:val="008664EE"/>
    <w:rsid w:val="0086653D"/>
    <w:rsid w:val="0086659C"/>
    <w:rsid w:val="008666EC"/>
    <w:rsid w:val="00867060"/>
    <w:rsid w:val="00867137"/>
    <w:rsid w:val="0086782F"/>
    <w:rsid w:val="0086785E"/>
    <w:rsid w:val="00867997"/>
    <w:rsid w:val="00867C38"/>
    <w:rsid w:val="00870002"/>
    <w:rsid w:val="0087073A"/>
    <w:rsid w:val="00870BF9"/>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7EF"/>
    <w:rsid w:val="00872E78"/>
    <w:rsid w:val="00872F22"/>
    <w:rsid w:val="00872F59"/>
    <w:rsid w:val="00872FFA"/>
    <w:rsid w:val="00873133"/>
    <w:rsid w:val="0087331E"/>
    <w:rsid w:val="00873403"/>
    <w:rsid w:val="008735CE"/>
    <w:rsid w:val="008738B9"/>
    <w:rsid w:val="0087404B"/>
    <w:rsid w:val="008742E5"/>
    <w:rsid w:val="00874A5E"/>
    <w:rsid w:val="00874B4C"/>
    <w:rsid w:val="00874C17"/>
    <w:rsid w:val="00874F29"/>
    <w:rsid w:val="00874FEC"/>
    <w:rsid w:val="008752DA"/>
    <w:rsid w:val="00875351"/>
    <w:rsid w:val="00875B37"/>
    <w:rsid w:val="00875E27"/>
    <w:rsid w:val="0087606E"/>
    <w:rsid w:val="0087622B"/>
    <w:rsid w:val="008764A6"/>
    <w:rsid w:val="00876747"/>
    <w:rsid w:val="00876903"/>
    <w:rsid w:val="00876C6A"/>
    <w:rsid w:val="00876D2A"/>
    <w:rsid w:val="00877605"/>
    <w:rsid w:val="0087760E"/>
    <w:rsid w:val="008779C5"/>
    <w:rsid w:val="00877C13"/>
    <w:rsid w:val="00877DB5"/>
    <w:rsid w:val="00877DBE"/>
    <w:rsid w:val="008800EB"/>
    <w:rsid w:val="008807AC"/>
    <w:rsid w:val="00880CCA"/>
    <w:rsid w:val="00880D70"/>
    <w:rsid w:val="00880F48"/>
    <w:rsid w:val="008814B5"/>
    <w:rsid w:val="0088175C"/>
    <w:rsid w:val="008818A5"/>
    <w:rsid w:val="008818EB"/>
    <w:rsid w:val="00881E57"/>
    <w:rsid w:val="00882710"/>
    <w:rsid w:val="00882A3B"/>
    <w:rsid w:val="00882F95"/>
    <w:rsid w:val="00883440"/>
    <w:rsid w:val="008835E1"/>
    <w:rsid w:val="00883E78"/>
    <w:rsid w:val="00883F3D"/>
    <w:rsid w:val="00883FED"/>
    <w:rsid w:val="00884193"/>
    <w:rsid w:val="00884337"/>
    <w:rsid w:val="008844BB"/>
    <w:rsid w:val="00884539"/>
    <w:rsid w:val="008845DF"/>
    <w:rsid w:val="008849F4"/>
    <w:rsid w:val="00884BB6"/>
    <w:rsid w:val="00884FAA"/>
    <w:rsid w:val="008850AF"/>
    <w:rsid w:val="00885467"/>
    <w:rsid w:val="00885BA7"/>
    <w:rsid w:val="008861A9"/>
    <w:rsid w:val="00886795"/>
    <w:rsid w:val="008868C7"/>
    <w:rsid w:val="008869E0"/>
    <w:rsid w:val="00886B62"/>
    <w:rsid w:val="00886DC6"/>
    <w:rsid w:val="00886F07"/>
    <w:rsid w:val="00886F21"/>
    <w:rsid w:val="0088704B"/>
    <w:rsid w:val="008870B3"/>
    <w:rsid w:val="008874B6"/>
    <w:rsid w:val="0088768C"/>
    <w:rsid w:val="008878AA"/>
    <w:rsid w:val="008879AE"/>
    <w:rsid w:val="00887DBF"/>
    <w:rsid w:val="00887DFA"/>
    <w:rsid w:val="0089027F"/>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17"/>
    <w:rsid w:val="00896AA1"/>
    <w:rsid w:val="00896AD4"/>
    <w:rsid w:val="00897459"/>
    <w:rsid w:val="00897630"/>
    <w:rsid w:val="008977AF"/>
    <w:rsid w:val="00897EA6"/>
    <w:rsid w:val="008A004D"/>
    <w:rsid w:val="008A08DA"/>
    <w:rsid w:val="008A0A74"/>
    <w:rsid w:val="008A0B6B"/>
    <w:rsid w:val="008A0C6F"/>
    <w:rsid w:val="008A0E94"/>
    <w:rsid w:val="008A10DB"/>
    <w:rsid w:val="008A1319"/>
    <w:rsid w:val="008A1855"/>
    <w:rsid w:val="008A1E33"/>
    <w:rsid w:val="008A1FAD"/>
    <w:rsid w:val="008A2106"/>
    <w:rsid w:val="008A23E6"/>
    <w:rsid w:val="008A2B9F"/>
    <w:rsid w:val="008A2CA7"/>
    <w:rsid w:val="008A3048"/>
    <w:rsid w:val="008A304D"/>
    <w:rsid w:val="008A31C9"/>
    <w:rsid w:val="008A3C2C"/>
    <w:rsid w:val="008A3C47"/>
    <w:rsid w:val="008A3C6A"/>
    <w:rsid w:val="008A3CFB"/>
    <w:rsid w:val="008A3D5E"/>
    <w:rsid w:val="008A409C"/>
    <w:rsid w:val="008A48C5"/>
    <w:rsid w:val="008A4D70"/>
    <w:rsid w:val="008A50A5"/>
    <w:rsid w:val="008A5DB5"/>
    <w:rsid w:val="008A5DEE"/>
    <w:rsid w:val="008A6A7A"/>
    <w:rsid w:val="008A6DF4"/>
    <w:rsid w:val="008A717A"/>
    <w:rsid w:val="008A721A"/>
    <w:rsid w:val="008A739B"/>
    <w:rsid w:val="008A77CA"/>
    <w:rsid w:val="008A7866"/>
    <w:rsid w:val="008A7870"/>
    <w:rsid w:val="008A7DB3"/>
    <w:rsid w:val="008A7E22"/>
    <w:rsid w:val="008A7EC8"/>
    <w:rsid w:val="008B0368"/>
    <w:rsid w:val="008B0376"/>
    <w:rsid w:val="008B049B"/>
    <w:rsid w:val="008B0A51"/>
    <w:rsid w:val="008B0CDC"/>
    <w:rsid w:val="008B0DCD"/>
    <w:rsid w:val="008B0F2C"/>
    <w:rsid w:val="008B11FA"/>
    <w:rsid w:val="008B13D9"/>
    <w:rsid w:val="008B14AF"/>
    <w:rsid w:val="008B14E6"/>
    <w:rsid w:val="008B158E"/>
    <w:rsid w:val="008B171F"/>
    <w:rsid w:val="008B177A"/>
    <w:rsid w:val="008B18AE"/>
    <w:rsid w:val="008B1F0B"/>
    <w:rsid w:val="008B2174"/>
    <w:rsid w:val="008B219F"/>
    <w:rsid w:val="008B299C"/>
    <w:rsid w:val="008B2AC7"/>
    <w:rsid w:val="008B2E7E"/>
    <w:rsid w:val="008B2ECE"/>
    <w:rsid w:val="008B3041"/>
    <w:rsid w:val="008B3407"/>
    <w:rsid w:val="008B35B3"/>
    <w:rsid w:val="008B3ACF"/>
    <w:rsid w:val="008B3D35"/>
    <w:rsid w:val="008B3FBB"/>
    <w:rsid w:val="008B41B4"/>
    <w:rsid w:val="008B42B9"/>
    <w:rsid w:val="008B4418"/>
    <w:rsid w:val="008B47F0"/>
    <w:rsid w:val="008B48DB"/>
    <w:rsid w:val="008B5078"/>
    <w:rsid w:val="008B5235"/>
    <w:rsid w:val="008B598F"/>
    <w:rsid w:val="008B5C19"/>
    <w:rsid w:val="008B5D7A"/>
    <w:rsid w:val="008B6130"/>
    <w:rsid w:val="008B6212"/>
    <w:rsid w:val="008B621E"/>
    <w:rsid w:val="008B6536"/>
    <w:rsid w:val="008B6735"/>
    <w:rsid w:val="008B693D"/>
    <w:rsid w:val="008B6977"/>
    <w:rsid w:val="008B6979"/>
    <w:rsid w:val="008B6B7F"/>
    <w:rsid w:val="008B6DC5"/>
    <w:rsid w:val="008B706D"/>
    <w:rsid w:val="008B710F"/>
    <w:rsid w:val="008B7129"/>
    <w:rsid w:val="008B72F8"/>
    <w:rsid w:val="008B7683"/>
    <w:rsid w:val="008B7EA0"/>
    <w:rsid w:val="008C0445"/>
    <w:rsid w:val="008C077F"/>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EF8"/>
    <w:rsid w:val="008C4FF9"/>
    <w:rsid w:val="008C540A"/>
    <w:rsid w:val="008C551E"/>
    <w:rsid w:val="008C5B54"/>
    <w:rsid w:val="008C6239"/>
    <w:rsid w:val="008C6391"/>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BEF"/>
    <w:rsid w:val="008D1CF5"/>
    <w:rsid w:val="008D21B8"/>
    <w:rsid w:val="008D2274"/>
    <w:rsid w:val="008D258E"/>
    <w:rsid w:val="008D2725"/>
    <w:rsid w:val="008D2A15"/>
    <w:rsid w:val="008D2AD7"/>
    <w:rsid w:val="008D2C43"/>
    <w:rsid w:val="008D3242"/>
    <w:rsid w:val="008D353E"/>
    <w:rsid w:val="008D3C38"/>
    <w:rsid w:val="008D3F63"/>
    <w:rsid w:val="008D4029"/>
    <w:rsid w:val="008D43F5"/>
    <w:rsid w:val="008D4656"/>
    <w:rsid w:val="008D4903"/>
    <w:rsid w:val="008D4AD1"/>
    <w:rsid w:val="008D4B00"/>
    <w:rsid w:val="008D4DB5"/>
    <w:rsid w:val="008D4F97"/>
    <w:rsid w:val="008D50AC"/>
    <w:rsid w:val="008D514B"/>
    <w:rsid w:val="008D56A3"/>
    <w:rsid w:val="008D57D6"/>
    <w:rsid w:val="008D5BD2"/>
    <w:rsid w:val="008D5DEB"/>
    <w:rsid w:val="008D6553"/>
    <w:rsid w:val="008D663D"/>
    <w:rsid w:val="008D668C"/>
    <w:rsid w:val="008D671C"/>
    <w:rsid w:val="008D6B9B"/>
    <w:rsid w:val="008D6E8E"/>
    <w:rsid w:val="008D6F1B"/>
    <w:rsid w:val="008D7151"/>
    <w:rsid w:val="008D75AC"/>
    <w:rsid w:val="008D75D3"/>
    <w:rsid w:val="008D77E3"/>
    <w:rsid w:val="008D780C"/>
    <w:rsid w:val="008D7B53"/>
    <w:rsid w:val="008D7CA1"/>
    <w:rsid w:val="008D7F9F"/>
    <w:rsid w:val="008E018E"/>
    <w:rsid w:val="008E06E8"/>
    <w:rsid w:val="008E0743"/>
    <w:rsid w:val="008E0789"/>
    <w:rsid w:val="008E08C4"/>
    <w:rsid w:val="008E0A8C"/>
    <w:rsid w:val="008E0B26"/>
    <w:rsid w:val="008E0B9E"/>
    <w:rsid w:val="008E0F9B"/>
    <w:rsid w:val="008E1600"/>
    <w:rsid w:val="008E16A3"/>
    <w:rsid w:val="008E1B88"/>
    <w:rsid w:val="008E1C1C"/>
    <w:rsid w:val="008E1C2A"/>
    <w:rsid w:val="008E1E30"/>
    <w:rsid w:val="008E20F1"/>
    <w:rsid w:val="008E2160"/>
    <w:rsid w:val="008E21B8"/>
    <w:rsid w:val="008E2463"/>
    <w:rsid w:val="008E2493"/>
    <w:rsid w:val="008E2576"/>
    <w:rsid w:val="008E261B"/>
    <w:rsid w:val="008E2754"/>
    <w:rsid w:val="008E290F"/>
    <w:rsid w:val="008E3267"/>
    <w:rsid w:val="008E3357"/>
    <w:rsid w:val="008E3594"/>
    <w:rsid w:val="008E403B"/>
    <w:rsid w:val="008E41C3"/>
    <w:rsid w:val="008E429A"/>
    <w:rsid w:val="008E4379"/>
    <w:rsid w:val="008E45D0"/>
    <w:rsid w:val="008E4761"/>
    <w:rsid w:val="008E4A8A"/>
    <w:rsid w:val="008E4D07"/>
    <w:rsid w:val="008E50AE"/>
    <w:rsid w:val="008E5381"/>
    <w:rsid w:val="008E5886"/>
    <w:rsid w:val="008E58B9"/>
    <w:rsid w:val="008E5B41"/>
    <w:rsid w:val="008E5F5E"/>
    <w:rsid w:val="008E6483"/>
    <w:rsid w:val="008E66C1"/>
    <w:rsid w:val="008E6749"/>
    <w:rsid w:val="008E6E04"/>
    <w:rsid w:val="008E6E17"/>
    <w:rsid w:val="008E6FA3"/>
    <w:rsid w:val="008E732D"/>
    <w:rsid w:val="008E74EE"/>
    <w:rsid w:val="008E78F4"/>
    <w:rsid w:val="008E7A6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19FE"/>
    <w:rsid w:val="008F1DA7"/>
    <w:rsid w:val="008F26A5"/>
    <w:rsid w:val="008F2771"/>
    <w:rsid w:val="008F2B79"/>
    <w:rsid w:val="008F2DEC"/>
    <w:rsid w:val="008F3649"/>
    <w:rsid w:val="008F3B8B"/>
    <w:rsid w:val="008F3F56"/>
    <w:rsid w:val="008F3FAC"/>
    <w:rsid w:val="008F45B8"/>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8F7B34"/>
    <w:rsid w:val="009003AC"/>
    <w:rsid w:val="0090088A"/>
    <w:rsid w:val="009008A3"/>
    <w:rsid w:val="00900B9A"/>
    <w:rsid w:val="00900D31"/>
    <w:rsid w:val="00900DA2"/>
    <w:rsid w:val="009011AE"/>
    <w:rsid w:val="009011B7"/>
    <w:rsid w:val="0090128C"/>
    <w:rsid w:val="009017C1"/>
    <w:rsid w:val="0090182A"/>
    <w:rsid w:val="00901A61"/>
    <w:rsid w:val="00901D44"/>
    <w:rsid w:val="0090201C"/>
    <w:rsid w:val="0090258F"/>
    <w:rsid w:val="0090269C"/>
    <w:rsid w:val="009029FF"/>
    <w:rsid w:val="00902B00"/>
    <w:rsid w:val="00902BCF"/>
    <w:rsid w:val="00903B2C"/>
    <w:rsid w:val="00903B7E"/>
    <w:rsid w:val="00903C74"/>
    <w:rsid w:val="00903D2A"/>
    <w:rsid w:val="00904B95"/>
    <w:rsid w:val="00904BA5"/>
    <w:rsid w:val="00905146"/>
    <w:rsid w:val="009051D6"/>
    <w:rsid w:val="0090527B"/>
    <w:rsid w:val="0090532F"/>
    <w:rsid w:val="00905460"/>
    <w:rsid w:val="0090587F"/>
    <w:rsid w:val="009059B7"/>
    <w:rsid w:val="00905A4C"/>
    <w:rsid w:val="00905B8C"/>
    <w:rsid w:val="0090624B"/>
    <w:rsid w:val="00906775"/>
    <w:rsid w:val="00906F46"/>
    <w:rsid w:val="00907024"/>
    <w:rsid w:val="0090729C"/>
    <w:rsid w:val="009072AF"/>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A2"/>
    <w:rsid w:val="009125BC"/>
    <w:rsid w:val="00912B40"/>
    <w:rsid w:val="00912B49"/>
    <w:rsid w:val="00912D09"/>
    <w:rsid w:val="00912D86"/>
    <w:rsid w:val="009131C5"/>
    <w:rsid w:val="0091333A"/>
    <w:rsid w:val="00913783"/>
    <w:rsid w:val="0091381D"/>
    <w:rsid w:val="009138BF"/>
    <w:rsid w:val="00913A49"/>
    <w:rsid w:val="00913F55"/>
    <w:rsid w:val="009141B1"/>
    <w:rsid w:val="00914201"/>
    <w:rsid w:val="00914494"/>
    <w:rsid w:val="009146B1"/>
    <w:rsid w:val="00914CDA"/>
    <w:rsid w:val="009157F2"/>
    <w:rsid w:val="00915AAF"/>
    <w:rsid w:val="00915DDA"/>
    <w:rsid w:val="00916406"/>
    <w:rsid w:val="009164F1"/>
    <w:rsid w:val="009165C1"/>
    <w:rsid w:val="00916814"/>
    <w:rsid w:val="0091691D"/>
    <w:rsid w:val="00916A39"/>
    <w:rsid w:val="00916BAF"/>
    <w:rsid w:val="00916D81"/>
    <w:rsid w:val="00917388"/>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1BE"/>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4FC4"/>
    <w:rsid w:val="00925F10"/>
    <w:rsid w:val="0092621F"/>
    <w:rsid w:val="0092657D"/>
    <w:rsid w:val="0092690F"/>
    <w:rsid w:val="0092692E"/>
    <w:rsid w:val="00926F3D"/>
    <w:rsid w:val="00927516"/>
    <w:rsid w:val="0092797D"/>
    <w:rsid w:val="00927A37"/>
    <w:rsid w:val="00927B66"/>
    <w:rsid w:val="0093008A"/>
    <w:rsid w:val="009302D5"/>
    <w:rsid w:val="00930394"/>
    <w:rsid w:val="009303D1"/>
    <w:rsid w:val="0093055A"/>
    <w:rsid w:val="00930674"/>
    <w:rsid w:val="00930989"/>
    <w:rsid w:val="00930C15"/>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591"/>
    <w:rsid w:val="00933656"/>
    <w:rsid w:val="00933989"/>
    <w:rsid w:val="00933B80"/>
    <w:rsid w:val="0093415B"/>
    <w:rsid w:val="009341A0"/>
    <w:rsid w:val="009341D8"/>
    <w:rsid w:val="009347D4"/>
    <w:rsid w:val="0093508E"/>
    <w:rsid w:val="0093552B"/>
    <w:rsid w:val="009358A9"/>
    <w:rsid w:val="00936053"/>
    <w:rsid w:val="009364C8"/>
    <w:rsid w:val="0093651D"/>
    <w:rsid w:val="00936A05"/>
    <w:rsid w:val="00936B2E"/>
    <w:rsid w:val="00936F4A"/>
    <w:rsid w:val="0093786B"/>
    <w:rsid w:val="009378CD"/>
    <w:rsid w:val="009379CF"/>
    <w:rsid w:val="009401A4"/>
    <w:rsid w:val="00940676"/>
    <w:rsid w:val="0094067B"/>
    <w:rsid w:val="00940846"/>
    <w:rsid w:val="0094089B"/>
    <w:rsid w:val="00940937"/>
    <w:rsid w:val="00940A29"/>
    <w:rsid w:val="00940C04"/>
    <w:rsid w:val="00940E9B"/>
    <w:rsid w:val="00941297"/>
    <w:rsid w:val="00941417"/>
    <w:rsid w:val="00941605"/>
    <w:rsid w:val="00941640"/>
    <w:rsid w:val="00941BA3"/>
    <w:rsid w:val="009427B9"/>
    <w:rsid w:val="00942C45"/>
    <w:rsid w:val="00942DB0"/>
    <w:rsid w:val="0094305F"/>
    <w:rsid w:val="009433FC"/>
    <w:rsid w:val="009436EA"/>
    <w:rsid w:val="009438A2"/>
    <w:rsid w:val="009438A4"/>
    <w:rsid w:val="009438E3"/>
    <w:rsid w:val="00943BA9"/>
    <w:rsid w:val="0094411A"/>
    <w:rsid w:val="009444C2"/>
    <w:rsid w:val="009445D8"/>
    <w:rsid w:val="00944AE7"/>
    <w:rsid w:val="00944B5A"/>
    <w:rsid w:val="00944FD6"/>
    <w:rsid w:val="0094562B"/>
    <w:rsid w:val="0094565C"/>
    <w:rsid w:val="00945971"/>
    <w:rsid w:val="00945D9A"/>
    <w:rsid w:val="009462BB"/>
    <w:rsid w:val="0094634A"/>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D36"/>
    <w:rsid w:val="00951FB0"/>
    <w:rsid w:val="009527F5"/>
    <w:rsid w:val="009528C9"/>
    <w:rsid w:val="00952CC5"/>
    <w:rsid w:val="00952CCE"/>
    <w:rsid w:val="00952D22"/>
    <w:rsid w:val="00952D24"/>
    <w:rsid w:val="00953111"/>
    <w:rsid w:val="009532B7"/>
    <w:rsid w:val="009536E6"/>
    <w:rsid w:val="00953886"/>
    <w:rsid w:val="0095388C"/>
    <w:rsid w:val="00953B99"/>
    <w:rsid w:val="00953F3A"/>
    <w:rsid w:val="00953F9D"/>
    <w:rsid w:val="009544CB"/>
    <w:rsid w:val="00954506"/>
    <w:rsid w:val="009554C1"/>
    <w:rsid w:val="009559B4"/>
    <w:rsid w:val="00955A11"/>
    <w:rsid w:val="00955A6B"/>
    <w:rsid w:val="00955B29"/>
    <w:rsid w:val="00955B9C"/>
    <w:rsid w:val="00955C28"/>
    <w:rsid w:val="00955CA0"/>
    <w:rsid w:val="00955DBB"/>
    <w:rsid w:val="00955E00"/>
    <w:rsid w:val="00955E61"/>
    <w:rsid w:val="009560B3"/>
    <w:rsid w:val="00956235"/>
    <w:rsid w:val="0095683B"/>
    <w:rsid w:val="00956969"/>
    <w:rsid w:val="00956B8F"/>
    <w:rsid w:val="00956C16"/>
    <w:rsid w:val="0095710B"/>
    <w:rsid w:val="009575C4"/>
    <w:rsid w:val="0095762D"/>
    <w:rsid w:val="009578AA"/>
    <w:rsid w:val="00957C13"/>
    <w:rsid w:val="00957F5A"/>
    <w:rsid w:val="0096006A"/>
    <w:rsid w:val="00960180"/>
    <w:rsid w:val="00960A50"/>
    <w:rsid w:val="00960B83"/>
    <w:rsid w:val="00960DD4"/>
    <w:rsid w:val="0096103A"/>
    <w:rsid w:val="0096118E"/>
    <w:rsid w:val="00961291"/>
    <w:rsid w:val="009619A4"/>
    <w:rsid w:val="00961A4B"/>
    <w:rsid w:val="00962651"/>
    <w:rsid w:val="00963ACA"/>
    <w:rsid w:val="00963D17"/>
    <w:rsid w:val="00963FCF"/>
    <w:rsid w:val="00964188"/>
    <w:rsid w:val="0096447C"/>
    <w:rsid w:val="00964499"/>
    <w:rsid w:val="00964CCB"/>
    <w:rsid w:val="00964F44"/>
    <w:rsid w:val="00965050"/>
    <w:rsid w:val="0096527C"/>
    <w:rsid w:val="009654AF"/>
    <w:rsid w:val="00965D4F"/>
    <w:rsid w:val="00965FFD"/>
    <w:rsid w:val="009661AB"/>
    <w:rsid w:val="00966285"/>
    <w:rsid w:val="009663CC"/>
    <w:rsid w:val="00966511"/>
    <w:rsid w:val="00966598"/>
    <w:rsid w:val="00966B9F"/>
    <w:rsid w:val="00966BE7"/>
    <w:rsid w:val="00966CFF"/>
    <w:rsid w:val="00967793"/>
    <w:rsid w:val="00967C5E"/>
    <w:rsid w:val="00967DFA"/>
    <w:rsid w:val="0097038D"/>
    <w:rsid w:val="0097047C"/>
    <w:rsid w:val="00970627"/>
    <w:rsid w:val="00970678"/>
    <w:rsid w:val="00970774"/>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D0"/>
    <w:rsid w:val="00974A0D"/>
    <w:rsid w:val="00974A7F"/>
    <w:rsid w:val="00974BEC"/>
    <w:rsid w:val="00975374"/>
    <w:rsid w:val="00975423"/>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E4D"/>
    <w:rsid w:val="00977EC1"/>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2906"/>
    <w:rsid w:val="00983300"/>
    <w:rsid w:val="009834C6"/>
    <w:rsid w:val="0098358B"/>
    <w:rsid w:val="00983722"/>
    <w:rsid w:val="009837CE"/>
    <w:rsid w:val="0098382E"/>
    <w:rsid w:val="009838B0"/>
    <w:rsid w:val="009838E0"/>
    <w:rsid w:val="00983BB5"/>
    <w:rsid w:val="00983BC3"/>
    <w:rsid w:val="009844E3"/>
    <w:rsid w:val="009846CB"/>
    <w:rsid w:val="00984774"/>
    <w:rsid w:val="009849B1"/>
    <w:rsid w:val="00984D06"/>
    <w:rsid w:val="00984DAA"/>
    <w:rsid w:val="00985131"/>
    <w:rsid w:val="0098523E"/>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5A"/>
    <w:rsid w:val="009924F0"/>
    <w:rsid w:val="009937D3"/>
    <w:rsid w:val="00993984"/>
    <w:rsid w:val="00993C96"/>
    <w:rsid w:val="00994057"/>
    <w:rsid w:val="00994286"/>
    <w:rsid w:val="009943CB"/>
    <w:rsid w:val="00994411"/>
    <w:rsid w:val="009945AF"/>
    <w:rsid w:val="0099470F"/>
    <w:rsid w:val="00994BAE"/>
    <w:rsid w:val="00994F46"/>
    <w:rsid w:val="00995077"/>
    <w:rsid w:val="0099534F"/>
    <w:rsid w:val="0099537E"/>
    <w:rsid w:val="00995EA4"/>
    <w:rsid w:val="00995FF5"/>
    <w:rsid w:val="00996319"/>
    <w:rsid w:val="009964E2"/>
    <w:rsid w:val="00996625"/>
    <w:rsid w:val="0099673D"/>
    <w:rsid w:val="00996B27"/>
    <w:rsid w:val="00996D56"/>
    <w:rsid w:val="00997B01"/>
    <w:rsid w:val="00997CBE"/>
    <w:rsid w:val="009A0037"/>
    <w:rsid w:val="009A02D6"/>
    <w:rsid w:val="009A08FE"/>
    <w:rsid w:val="009A0CB4"/>
    <w:rsid w:val="009A17FB"/>
    <w:rsid w:val="009A18C3"/>
    <w:rsid w:val="009A191D"/>
    <w:rsid w:val="009A19FA"/>
    <w:rsid w:val="009A1E12"/>
    <w:rsid w:val="009A2E6D"/>
    <w:rsid w:val="009A311B"/>
    <w:rsid w:val="009A32C9"/>
    <w:rsid w:val="009A348C"/>
    <w:rsid w:val="009A3BEB"/>
    <w:rsid w:val="009A3C4D"/>
    <w:rsid w:val="009A3C7B"/>
    <w:rsid w:val="009A4150"/>
    <w:rsid w:val="009A43FD"/>
    <w:rsid w:val="009A49D3"/>
    <w:rsid w:val="009A4A1D"/>
    <w:rsid w:val="009A4E04"/>
    <w:rsid w:val="009A4FE4"/>
    <w:rsid w:val="009A5678"/>
    <w:rsid w:val="009A5751"/>
    <w:rsid w:val="009A583C"/>
    <w:rsid w:val="009A58B2"/>
    <w:rsid w:val="009A5D84"/>
    <w:rsid w:val="009A5DA7"/>
    <w:rsid w:val="009A60D8"/>
    <w:rsid w:val="009A6100"/>
    <w:rsid w:val="009A65CC"/>
    <w:rsid w:val="009A6671"/>
    <w:rsid w:val="009A676E"/>
    <w:rsid w:val="009A6C95"/>
    <w:rsid w:val="009A6CE5"/>
    <w:rsid w:val="009A7166"/>
    <w:rsid w:val="009A72FC"/>
    <w:rsid w:val="009A7810"/>
    <w:rsid w:val="009A79ED"/>
    <w:rsid w:val="009A7A4C"/>
    <w:rsid w:val="009B01E3"/>
    <w:rsid w:val="009B02F4"/>
    <w:rsid w:val="009B03E6"/>
    <w:rsid w:val="009B065D"/>
    <w:rsid w:val="009B088B"/>
    <w:rsid w:val="009B08A9"/>
    <w:rsid w:val="009B097D"/>
    <w:rsid w:val="009B0E7C"/>
    <w:rsid w:val="009B1151"/>
    <w:rsid w:val="009B159B"/>
    <w:rsid w:val="009B1639"/>
    <w:rsid w:val="009B163D"/>
    <w:rsid w:val="009B18A7"/>
    <w:rsid w:val="009B22E6"/>
    <w:rsid w:val="009B253F"/>
    <w:rsid w:val="009B27B7"/>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621E"/>
    <w:rsid w:val="009B638C"/>
    <w:rsid w:val="009B6B1C"/>
    <w:rsid w:val="009B6CA0"/>
    <w:rsid w:val="009B6FF9"/>
    <w:rsid w:val="009B70CF"/>
    <w:rsid w:val="009B71F5"/>
    <w:rsid w:val="009B722F"/>
    <w:rsid w:val="009B72B0"/>
    <w:rsid w:val="009B72CE"/>
    <w:rsid w:val="009C0245"/>
    <w:rsid w:val="009C0AC2"/>
    <w:rsid w:val="009C0B73"/>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943"/>
    <w:rsid w:val="009C4C72"/>
    <w:rsid w:val="009C4C78"/>
    <w:rsid w:val="009C4FC1"/>
    <w:rsid w:val="009C55B3"/>
    <w:rsid w:val="009C5963"/>
    <w:rsid w:val="009C6232"/>
    <w:rsid w:val="009C648D"/>
    <w:rsid w:val="009C67AE"/>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7F"/>
    <w:rsid w:val="009D0A99"/>
    <w:rsid w:val="009D0E73"/>
    <w:rsid w:val="009D141E"/>
    <w:rsid w:val="009D19F9"/>
    <w:rsid w:val="009D1A6C"/>
    <w:rsid w:val="009D21F3"/>
    <w:rsid w:val="009D2282"/>
    <w:rsid w:val="009D2551"/>
    <w:rsid w:val="009D26A5"/>
    <w:rsid w:val="009D2977"/>
    <w:rsid w:val="009D2C07"/>
    <w:rsid w:val="009D2C6F"/>
    <w:rsid w:val="009D3B21"/>
    <w:rsid w:val="009D3BDB"/>
    <w:rsid w:val="009D3E49"/>
    <w:rsid w:val="009D457B"/>
    <w:rsid w:val="009D483E"/>
    <w:rsid w:val="009D4A70"/>
    <w:rsid w:val="009D4BF2"/>
    <w:rsid w:val="009D4CFD"/>
    <w:rsid w:val="009D5227"/>
    <w:rsid w:val="009D5367"/>
    <w:rsid w:val="009D5387"/>
    <w:rsid w:val="009D5985"/>
    <w:rsid w:val="009D5BA1"/>
    <w:rsid w:val="009D5CD6"/>
    <w:rsid w:val="009D601F"/>
    <w:rsid w:val="009D6266"/>
    <w:rsid w:val="009D65F2"/>
    <w:rsid w:val="009D6820"/>
    <w:rsid w:val="009D6823"/>
    <w:rsid w:val="009D6A9D"/>
    <w:rsid w:val="009D6C31"/>
    <w:rsid w:val="009D6EEA"/>
    <w:rsid w:val="009D7261"/>
    <w:rsid w:val="009D72F9"/>
    <w:rsid w:val="009D73F4"/>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65C"/>
    <w:rsid w:val="009E48E5"/>
    <w:rsid w:val="009E48EB"/>
    <w:rsid w:val="009E4AA8"/>
    <w:rsid w:val="009E4ACE"/>
    <w:rsid w:val="009E4D0E"/>
    <w:rsid w:val="009E5180"/>
    <w:rsid w:val="009E5380"/>
    <w:rsid w:val="009E53C6"/>
    <w:rsid w:val="009E58BD"/>
    <w:rsid w:val="009E5AB0"/>
    <w:rsid w:val="009E5C2A"/>
    <w:rsid w:val="009E6017"/>
    <w:rsid w:val="009E65B9"/>
    <w:rsid w:val="009E66BC"/>
    <w:rsid w:val="009E677C"/>
    <w:rsid w:val="009E6ABC"/>
    <w:rsid w:val="009E708B"/>
    <w:rsid w:val="009E71AD"/>
    <w:rsid w:val="009E720E"/>
    <w:rsid w:val="009E72CC"/>
    <w:rsid w:val="009E7333"/>
    <w:rsid w:val="009E7AF4"/>
    <w:rsid w:val="009E7BD4"/>
    <w:rsid w:val="009E7CFF"/>
    <w:rsid w:val="009E7EAF"/>
    <w:rsid w:val="009E7EC6"/>
    <w:rsid w:val="009E7F33"/>
    <w:rsid w:val="009F047A"/>
    <w:rsid w:val="009F0B76"/>
    <w:rsid w:val="009F0CDA"/>
    <w:rsid w:val="009F0FF8"/>
    <w:rsid w:val="009F1267"/>
    <w:rsid w:val="009F1418"/>
    <w:rsid w:val="009F179B"/>
    <w:rsid w:val="009F1A40"/>
    <w:rsid w:val="009F1CA4"/>
    <w:rsid w:val="009F20BC"/>
    <w:rsid w:val="009F229D"/>
    <w:rsid w:val="009F2300"/>
    <w:rsid w:val="009F23EB"/>
    <w:rsid w:val="009F2510"/>
    <w:rsid w:val="009F2A71"/>
    <w:rsid w:val="009F2CEC"/>
    <w:rsid w:val="009F3178"/>
    <w:rsid w:val="009F3412"/>
    <w:rsid w:val="009F37B5"/>
    <w:rsid w:val="009F3D4E"/>
    <w:rsid w:val="009F4407"/>
    <w:rsid w:val="009F47AD"/>
    <w:rsid w:val="009F4DC0"/>
    <w:rsid w:val="009F4E16"/>
    <w:rsid w:val="009F502C"/>
    <w:rsid w:val="009F50A5"/>
    <w:rsid w:val="009F5151"/>
    <w:rsid w:val="009F5204"/>
    <w:rsid w:val="009F5AC0"/>
    <w:rsid w:val="009F5C5F"/>
    <w:rsid w:val="009F5C61"/>
    <w:rsid w:val="009F5F03"/>
    <w:rsid w:val="009F60FB"/>
    <w:rsid w:val="009F6722"/>
    <w:rsid w:val="009F69B9"/>
    <w:rsid w:val="009F6E67"/>
    <w:rsid w:val="009F6EB3"/>
    <w:rsid w:val="009F70FC"/>
    <w:rsid w:val="009F7493"/>
    <w:rsid w:val="009F7915"/>
    <w:rsid w:val="009F7B27"/>
    <w:rsid w:val="009F7C43"/>
    <w:rsid w:val="009F7F03"/>
    <w:rsid w:val="009F7F65"/>
    <w:rsid w:val="00A00529"/>
    <w:rsid w:val="00A00D88"/>
    <w:rsid w:val="00A01304"/>
    <w:rsid w:val="00A01714"/>
    <w:rsid w:val="00A0171B"/>
    <w:rsid w:val="00A01AC8"/>
    <w:rsid w:val="00A01CAF"/>
    <w:rsid w:val="00A01CF8"/>
    <w:rsid w:val="00A01E34"/>
    <w:rsid w:val="00A02115"/>
    <w:rsid w:val="00A0215C"/>
    <w:rsid w:val="00A024B8"/>
    <w:rsid w:val="00A02667"/>
    <w:rsid w:val="00A030FC"/>
    <w:rsid w:val="00A031C0"/>
    <w:rsid w:val="00A03205"/>
    <w:rsid w:val="00A032D2"/>
    <w:rsid w:val="00A034B4"/>
    <w:rsid w:val="00A036A8"/>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6CE0"/>
    <w:rsid w:val="00A07161"/>
    <w:rsid w:val="00A07259"/>
    <w:rsid w:val="00A07717"/>
    <w:rsid w:val="00A07B83"/>
    <w:rsid w:val="00A07C26"/>
    <w:rsid w:val="00A10286"/>
    <w:rsid w:val="00A105E8"/>
    <w:rsid w:val="00A10905"/>
    <w:rsid w:val="00A10985"/>
    <w:rsid w:val="00A10AE5"/>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3E"/>
    <w:rsid w:val="00A1495C"/>
    <w:rsid w:val="00A149E6"/>
    <w:rsid w:val="00A14C95"/>
    <w:rsid w:val="00A14D95"/>
    <w:rsid w:val="00A14F77"/>
    <w:rsid w:val="00A14F8D"/>
    <w:rsid w:val="00A15090"/>
    <w:rsid w:val="00A1513E"/>
    <w:rsid w:val="00A1524F"/>
    <w:rsid w:val="00A155BB"/>
    <w:rsid w:val="00A15638"/>
    <w:rsid w:val="00A1585D"/>
    <w:rsid w:val="00A15F5E"/>
    <w:rsid w:val="00A15F91"/>
    <w:rsid w:val="00A15FBC"/>
    <w:rsid w:val="00A15FD9"/>
    <w:rsid w:val="00A160B8"/>
    <w:rsid w:val="00A167F5"/>
    <w:rsid w:val="00A16AE5"/>
    <w:rsid w:val="00A16D21"/>
    <w:rsid w:val="00A16DD1"/>
    <w:rsid w:val="00A170C6"/>
    <w:rsid w:val="00A17134"/>
    <w:rsid w:val="00A17500"/>
    <w:rsid w:val="00A1785F"/>
    <w:rsid w:val="00A2001B"/>
    <w:rsid w:val="00A202ED"/>
    <w:rsid w:val="00A20355"/>
    <w:rsid w:val="00A20AD6"/>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A2A"/>
    <w:rsid w:val="00A23DDA"/>
    <w:rsid w:val="00A23F14"/>
    <w:rsid w:val="00A24311"/>
    <w:rsid w:val="00A24828"/>
    <w:rsid w:val="00A24BE8"/>
    <w:rsid w:val="00A24D10"/>
    <w:rsid w:val="00A24E85"/>
    <w:rsid w:val="00A24EA1"/>
    <w:rsid w:val="00A24ECF"/>
    <w:rsid w:val="00A25012"/>
    <w:rsid w:val="00A2530D"/>
    <w:rsid w:val="00A2574B"/>
    <w:rsid w:val="00A2583C"/>
    <w:rsid w:val="00A25BFB"/>
    <w:rsid w:val="00A25D37"/>
    <w:rsid w:val="00A25E0F"/>
    <w:rsid w:val="00A25E24"/>
    <w:rsid w:val="00A25FA6"/>
    <w:rsid w:val="00A2609C"/>
    <w:rsid w:val="00A2630F"/>
    <w:rsid w:val="00A265DF"/>
    <w:rsid w:val="00A26770"/>
    <w:rsid w:val="00A26A89"/>
    <w:rsid w:val="00A26D6D"/>
    <w:rsid w:val="00A27466"/>
    <w:rsid w:val="00A275A6"/>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50F"/>
    <w:rsid w:val="00A348CD"/>
    <w:rsid w:val="00A3507F"/>
    <w:rsid w:val="00A354C9"/>
    <w:rsid w:val="00A356FA"/>
    <w:rsid w:val="00A357E2"/>
    <w:rsid w:val="00A35807"/>
    <w:rsid w:val="00A35873"/>
    <w:rsid w:val="00A359E5"/>
    <w:rsid w:val="00A35EE4"/>
    <w:rsid w:val="00A363E2"/>
    <w:rsid w:val="00A3678C"/>
    <w:rsid w:val="00A368E7"/>
    <w:rsid w:val="00A3690E"/>
    <w:rsid w:val="00A36E74"/>
    <w:rsid w:val="00A3706A"/>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0F79"/>
    <w:rsid w:val="00A41056"/>
    <w:rsid w:val="00A411B6"/>
    <w:rsid w:val="00A4149C"/>
    <w:rsid w:val="00A41761"/>
    <w:rsid w:val="00A41F8C"/>
    <w:rsid w:val="00A42132"/>
    <w:rsid w:val="00A42594"/>
    <w:rsid w:val="00A42691"/>
    <w:rsid w:val="00A42C1E"/>
    <w:rsid w:val="00A43091"/>
    <w:rsid w:val="00A434DE"/>
    <w:rsid w:val="00A435B0"/>
    <w:rsid w:val="00A43945"/>
    <w:rsid w:val="00A439D0"/>
    <w:rsid w:val="00A43C8C"/>
    <w:rsid w:val="00A43CE7"/>
    <w:rsid w:val="00A43EE5"/>
    <w:rsid w:val="00A441EA"/>
    <w:rsid w:val="00A445EF"/>
    <w:rsid w:val="00A4466A"/>
    <w:rsid w:val="00A44B23"/>
    <w:rsid w:val="00A44F4F"/>
    <w:rsid w:val="00A4513F"/>
    <w:rsid w:val="00A45397"/>
    <w:rsid w:val="00A453F3"/>
    <w:rsid w:val="00A455C5"/>
    <w:rsid w:val="00A45625"/>
    <w:rsid w:val="00A457CD"/>
    <w:rsid w:val="00A45B28"/>
    <w:rsid w:val="00A46091"/>
    <w:rsid w:val="00A46341"/>
    <w:rsid w:val="00A46391"/>
    <w:rsid w:val="00A46CF9"/>
    <w:rsid w:val="00A46D4D"/>
    <w:rsid w:val="00A4768D"/>
    <w:rsid w:val="00A4781D"/>
    <w:rsid w:val="00A47D5B"/>
    <w:rsid w:val="00A50494"/>
    <w:rsid w:val="00A50A0A"/>
    <w:rsid w:val="00A50DA3"/>
    <w:rsid w:val="00A50F89"/>
    <w:rsid w:val="00A51372"/>
    <w:rsid w:val="00A513B8"/>
    <w:rsid w:val="00A51441"/>
    <w:rsid w:val="00A51CB7"/>
    <w:rsid w:val="00A51F99"/>
    <w:rsid w:val="00A520F2"/>
    <w:rsid w:val="00A52611"/>
    <w:rsid w:val="00A52C7A"/>
    <w:rsid w:val="00A52DCC"/>
    <w:rsid w:val="00A52DD0"/>
    <w:rsid w:val="00A52DD9"/>
    <w:rsid w:val="00A530EB"/>
    <w:rsid w:val="00A53144"/>
    <w:rsid w:val="00A53819"/>
    <w:rsid w:val="00A53902"/>
    <w:rsid w:val="00A53984"/>
    <w:rsid w:val="00A539D6"/>
    <w:rsid w:val="00A53CB5"/>
    <w:rsid w:val="00A53D29"/>
    <w:rsid w:val="00A53D76"/>
    <w:rsid w:val="00A53E58"/>
    <w:rsid w:val="00A544FE"/>
    <w:rsid w:val="00A54B3A"/>
    <w:rsid w:val="00A54B42"/>
    <w:rsid w:val="00A54D20"/>
    <w:rsid w:val="00A552D2"/>
    <w:rsid w:val="00A554CE"/>
    <w:rsid w:val="00A55981"/>
    <w:rsid w:val="00A559B7"/>
    <w:rsid w:val="00A55D6D"/>
    <w:rsid w:val="00A55FAF"/>
    <w:rsid w:val="00A55FD3"/>
    <w:rsid w:val="00A562B5"/>
    <w:rsid w:val="00A56340"/>
    <w:rsid w:val="00A564E8"/>
    <w:rsid w:val="00A568E9"/>
    <w:rsid w:val="00A56EBD"/>
    <w:rsid w:val="00A5723E"/>
    <w:rsid w:val="00A574EB"/>
    <w:rsid w:val="00A5756B"/>
    <w:rsid w:val="00A57588"/>
    <w:rsid w:val="00A5765C"/>
    <w:rsid w:val="00A57EE8"/>
    <w:rsid w:val="00A57F01"/>
    <w:rsid w:val="00A6003F"/>
    <w:rsid w:val="00A601D3"/>
    <w:rsid w:val="00A6056F"/>
    <w:rsid w:val="00A60644"/>
    <w:rsid w:val="00A609E3"/>
    <w:rsid w:val="00A60C96"/>
    <w:rsid w:val="00A60D11"/>
    <w:rsid w:val="00A60F2C"/>
    <w:rsid w:val="00A613B1"/>
    <w:rsid w:val="00A62188"/>
    <w:rsid w:val="00A625ED"/>
    <w:rsid w:val="00A62731"/>
    <w:rsid w:val="00A628F9"/>
    <w:rsid w:val="00A62C5D"/>
    <w:rsid w:val="00A62CCC"/>
    <w:rsid w:val="00A63858"/>
    <w:rsid w:val="00A6386C"/>
    <w:rsid w:val="00A638B5"/>
    <w:rsid w:val="00A63D0B"/>
    <w:rsid w:val="00A63DF9"/>
    <w:rsid w:val="00A640FC"/>
    <w:rsid w:val="00A6425E"/>
    <w:rsid w:val="00A64BC2"/>
    <w:rsid w:val="00A64F1C"/>
    <w:rsid w:val="00A64FFD"/>
    <w:rsid w:val="00A6520F"/>
    <w:rsid w:val="00A65CBE"/>
    <w:rsid w:val="00A65D72"/>
    <w:rsid w:val="00A66663"/>
    <w:rsid w:val="00A669B8"/>
    <w:rsid w:val="00A66D78"/>
    <w:rsid w:val="00A6706E"/>
    <w:rsid w:val="00A671B2"/>
    <w:rsid w:val="00A671F3"/>
    <w:rsid w:val="00A6733E"/>
    <w:rsid w:val="00A673E5"/>
    <w:rsid w:val="00A678D3"/>
    <w:rsid w:val="00A67D06"/>
    <w:rsid w:val="00A67D4D"/>
    <w:rsid w:val="00A70B34"/>
    <w:rsid w:val="00A70BF9"/>
    <w:rsid w:val="00A711BE"/>
    <w:rsid w:val="00A71583"/>
    <w:rsid w:val="00A71946"/>
    <w:rsid w:val="00A71BD7"/>
    <w:rsid w:val="00A71E6A"/>
    <w:rsid w:val="00A71F92"/>
    <w:rsid w:val="00A71FEF"/>
    <w:rsid w:val="00A720D5"/>
    <w:rsid w:val="00A722C7"/>
    <w:rsid w:val="00A724D9"/>
    <w:rsid w:val="00A72F92"/>
    <w:rsid w:val="00A73031"/>
    <w:rsid w:val="00A73232"/>
    <w:rsid w:val="00A733D7"/>
    <w:rsid w:val="00A73689"/>
    <w:rsid w:val="00A73B3F"/>
    <w:rsid w:val="00A73E36"/>
    <w:rsid w:val="00A73ECE"/>
    <w:rsid w:val="00A740A3"/>
    <w:rsid w:val="00A740B0"/>
    <w:rsid w:val="00A74B08"/>
    <w:rsid w:val="00A74C31"/>
    <w:rsid w:val="00A74E6C"/>
    <w:rsid w:val="00A74F2B"/>
    <w:rsid w:val="00A752D4"/>
    <w:rsid w:val="00A7535E"/>
    <w:rsid w:val="00A7544B"/>
    <w:rsid w:val="00A7561F"/>
    <w:rsid w:val="00A75996"/>
    <w:rsid w:val="00A75BB8"/>
    <w:rsid w:val="00A76542"/>
    <w:rsid w:val="00A76812"/>
    <w:rsid w:val="00A768A3"/>
    <w:rsid w:val="00A76A57"/>
    <w:rsid w:val="00A76CA6"/>
    <w:rsid w:val="00A76D6A"/>
    <w:rsid w:val="00A76DEE"/>
    <w:rsid w:val="00A771DC"/>
    <w:rsid w:val="00A771E7"/>
    <w:rsid w:val="00A7744B"/>
    <w:rsid w:val="00A77522"/>
    <w:rsid w:val="00A775A2"/>
    <w:rsid w:val="00A77999"/>
    <w:rsid w:val="00A77D13"/>
    <w:rsid w:val="00A77F41"/>
    <w:rsid w:val="00A8014B"/>
    <w:rsid w:val="00A8030D"/>
    <w:rsid w:val="00A8040C"/>
    <w:rsid w:val="00A804C7"/>
    <w:rsid w:val="00A80650"/>
    <w:rsid w:val="00A80679"/>
    <w:rsid w:val="00A80739"/>
    <w:rsid w:val="00A80819"/>
    <w:rsid w:val="00A80B2F"/>
    <w:rsid w:val="00A8103B"/>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456"/>
    <w:rsid w:val="00A846F4"/>
    <w:rsid w:val="00A84A27"/>
    <w:rsid w:val="00A84B39"/>
    <w:rsid w:val="00A84DFE"/>
    <w:rsid w:val="00A851BD"/>
    <w:rsid w:val="00A851F0"/>
    <w:rsid w:val="00A85343"/>
    <w:rsid w:val="00A853A3"/>
    <w:rsid w:val="00A8570F"/>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32"/>
    <w:rsid w:val="00A90A42"/>
    <w:rsid w:val="00A90D00"/>
    <w:rsid w:val="00A90F00"/>
    <w:rsid w:val="00A910A6"/>
    <w:rsid w:val="00A9113C"/>
    <w:rsid w:val="00A9146B"/>
    <w:rsid w:val="00A91552"/>
    <w:rsid w:val="00A9196A"/>
    <w:rsid w:val="00A91E44"/>
    <w:rsid w:val="00A92012"/>
    <w:rsid w:val="00A9230D"/>
    <w:rsid w:val="00A92E54"/>
    <w:rsid w:val="00A9316B"/>
    <w:rsid w:val="00A93550"/>
    <w:rsid w:val="00A93A1E"/>
    <w:rsid w:val="00A93C10"/>
    <w:rsid w:val="00A93C32"/>
    <w:rsid w:val="00A93C62"/>
    <w:rsid w:val="00A93ED0"/>
    <w:rsid w:val="00A93FDF"/>
    <w:rsid w:val="00A941C5"/>
    <w:rsid w:val="00A943ED"/>
    <w:rsid w:val="00A9478B"/>
    <w:rsid w:val="00A948F0"/>
    <w:rsid w:val="00A949DB"/>
    <w:rsid w:val="00A94A34"/>
    <w:rsid w:val="00A95004"/>
    <w:rsid w:val="00A953CC"/>
    <w:rsid w:val="00A95929"/>
    <w:rsid w:val="00A95939"/>
    <w:rsid w:val="00A95A2A"/>
    <w:rsid w:val="00A95A5A"/>
    <w:rsid w:val="00A95A83"/>
    <w:rsid w:val="00A95B32"/>
    <w:rsid w:val="00A95D7E"/>
    <w:rsid w:val="00A95DF0"/>
    <w:rsid w:val="00A962A4"/>
    <w:rsid w:val="00A96424"/>
    <w:rsid w:val="00A96456"/>
    <w:rsid w:val="00A969BF"/>
    <w:rsid w:val="00A96A9D"/>
    <w:rsid w:val="00A974BB"/>
    <w:rsid w:val="00A97508"/>
    <w:rsid w:val="00A977B5"/>
    <w:rsid w:val="00A97961"/>
    <w:rsid w:val="00A97C68"/>
    <w:rsid w:val="00AA0121"/>
    <w:rsid w:val="00AA0268"/>
    <w:rsid w:val="00AA08E3"/>
    <w:rsid w:val="00AA094A"/>
    <w:rsid w:val="00AA0E2B"/>
    <w:rsid w:val="00AA0EB9"/>
    <w:rsid w:val="00AA1075"/>
    <w:rsid w:val="00AA1427"/>
    <w:rsid w:val="00AA1809"/>
    <w:rsid w:val="00AA194B"/>
    <w:rsid w:val="00AA1AAB"/>
    <w:rsid w:val="00AA217C"/>
    <w:rsid w:val="00AA225E"/>
    <w:rsid w:val="00AA2271"/>
    <w:rsid w:val="00AA2382"/>
    <w:rsid w:val="00AA26AE"/>
    <w:rsid w:val="00AA26CC"/>
    <w:rsid w:val="00AA282E"/>
    <w:rsid w:val="00AA2E6A"/>
    <w:rsid w:val="00AA2F5A"/>
    <w:rsid w:val="00AA3704"/>
    <w:rsid w:val="00AA390E"/>
    <w:rsid w:val="00AA3B94"/>
    <w:rsid w:val="00AA3E01"/>
    <w:rsid w:val="00AA4242"/>
    <w:rsid w:val="00AA42F2"/>
    <w:rsid w:val="00AA4344"/>
    <w:rsid w:val="00AA4702"/>
    <w:rsid w:val="00AA4899"/>
    <w:rsid w:val="00AA4D13"/>
    <w:rsid w:val="00AA4D6F"/>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80F"/>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275"/>
    <w:rsid w:val="00AB33B6"/>
    <w:rsid w:val="00AB3598"/>
    <w:rsid w:val="00AB37BB"/>
    <w:rsid w:val="00AB3B26"/>
    <w:rsid w:val="00AB3E57"/>
    <w:rsid w:val="00AB403C"/>
    <w:rsid w:val="00AB40DD"/>
    <w:rsid w:val="00AB4278"/>
    <w:rsid w:val="00AB474B"/>
    <w:rsid w:val="00AB482D"/>
    <w:rsid w:val="00AB48E1"/>
    <w:rsid w:val="00AB4B3A"/>
    <w:rsid w:val="00AB4BE9"/>
    <w:rsid w:val="00AB4DB4"/>
    <w:rsid w:val="00AB4DF7"/>
    <w:rsid w:val="00AB5066"/>
    <w:rsid w:val="00AB5809"/>
    <w:rsid w:val="00AB5895"/>
    <w:rsid w:val="00AB5FC2"/>
    <w:rsid w:val="00AB620A"/>
    <w:rsid w:val="00AB641A"/>
    <w:rsid w:val="00AB71E1"/>
    <w:rsid w:val="00AB7378"/>
    <w:rsid w:val="00AB743B"/>
    <w:rsid w:val="00AB78CD"/>
    <w:rsid w:val="00AB792A"/>
    <w:rsid w:val="00AB797A"/>
    <w:rsid w:val="00AB7E72"/>
    <w:rsid w:val="00AC0202"/>
    <w:rsid w:val="00AC0218"/>
    <w:rsid w:val="00AC021D"/>
    <w:rsid w:val="00AC0DF3"/>
    <w:rsid w:val="00AC133C"/>
    <w:rsid w:val="00AC15C7"/>
    <w:rsid w:val="00AC15D5"/>
    <w:rsid w:val="00AC1AF7"/>
    <w:rsid w:val="00AC1E98"/>
    <w:rsid w:val="00AC2804"/>
    <w:rsid w:val="00AC2901"/>
    <w:rsid w:val="00AC29F8"/>
    <w:rsid w:val="00AC2C64"/>
    <w:rsid w:val="00AC34BD"/>
    <w:rsid w:val="00AC34F4"/>
    <w:rsid w:val="00AC3C7A"/>
    <w:rsid w:val="00AC3E8A"/>
    <w:rsid w:val="00AC403A"/>
    <w:rsid w:val="00AC45AF"/>
    <w:rsid w:val="00AC4921"/>
    <w:rsid w:val="00AC4C0B"/>
    <w:rsid w:val="00AC4CB3"/>
    <w:rsid w:val="00AC4E36"/>
    <w:rsid w:val="00AC50EE"/>
    <w:rsid w:val="00AC57C5"/>
    <w:rsid w:val="00AC59C2"/>
    <w:rsid w:val="00AC5A23"/>
    <w:rsid w:val="00AC5BB8"/>
    <w:rsid w:val="00AC60E9"/>
    <w:rsid w:val="00AC6671"/>
    <w:rsid w:val="00AC74A7"/>
    <w:rsid w:val="00AC75A7"/>
    <w:rsid w:val="00AC7B02"/>
    <w:rsid w:val="00AC7E3A"/>
    <w:rsid w:val="00AD0007"/>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238"/>
    <w:rsid w:val="00AD23B5"/>
    <w:rsid w:val="00AD283C"/>
    <w:rsid w:val="00AD29D9"/>
    <w:rsid w:val="00AD2AB0"/>
    <w:rsid w:val="00AD2AFB"/>
    <w:rsid w:val="00AD2C41"/>
    <w:rsid w:val="00AD2FF3"/>
    <w:rsid w:val="00AD3371"/>
    <w:rsid w:val="00AD3E4B"/>
    <w:rsid w:val="00AD448A"/>
    <w:rsid w:val="00AD4DD7"/>
    <w:rsid w:val="00AD507F"/>
    <w:rsid w:val="00AD51FD"/>
    <w:rsid w:val="00AD550E"/>
    <w:rsid w:val="00AD59B0"/>
    <w:rsid w:val="00AD5F2F"/>
    <w:rsid w:val="00AD615A"/>
    <w:rsid w:val="00AD62AB"/>
    <w:rsid w:val="00AD658E"/>
    <w:rsid w:val="00AD6E7C"/>
    <w:rsid w:val="00AD752B"/>
    <w:rsid w:val="00AE05E2"/>
    <w:rsid w:val="00AE0A60"/>
    <w:rsid w:val="00AE0FC2"/>
    <w:rsid w:val="00AE1710"/>
    <w:rsid w:val="00AE1A9F"/>
    <w:rsid w:val="00AE1B44"/>
    <w:rsid w:val="00AE1D35"/>
    <w:rsid w:val="00AE1FB1"/>
    <w:rsid w:val="00AE27DE"/>
    <w:rsid w:val="00AE2A19"/>
    <w:rsid w:val="00AE2AEE"/>
    <w:rsid w:val="00AE2DAF"/>
    <w:rsid w:val="00AE30C8"/>
    <w:rsid w:val="00AE3622"/>
    <w:rsid w:val="00AE3E97"/>
    <w:rsid w:val="00AE4020"/>
    <w:rsid w:val="00AE428C"/>
    <w:rsid w:val="00AE44C3"/>
    <w:rsid w:val="00AE4B21"/>
    <w:rsid w:val="00AE4F58"/>
    <w:rsid w:val="00AE561D"/>
    <w:rsid w:val="00AE59C6"/>
    <w:rsid w:val="00AE5C10"/>
    <w:rsid w:val="00AE5D9C"/>
    <w:rsid w:val="00AE5EBB"/>
    <w:rsid w:val="00AE6012"/>
    <w:rsid w:val="00AE6095"/>
    <w:rsid w:val="00AE68E2"/>
    <w:rsid w:val="00AE6ADF"/>
    <w:rsid w:val="00AE703D"/>
    <w:rsid w:val="00AE7075"/>
    <w:rsid w:val="00AE7203"/>
    <w:rsid w:val="00AE7480"/>
    <w:rsid w:val="00AE7A2D"/>
    <w:rsid w:val="00AE7BC0"/>
    <w:rsid w:val="00AF005D"/>
    <w:rsid w:val="00AF041E"/>
    <w:rsid w:val="00AF047A"/>
    <w:rsid w:val="00AF04ED"/>
    <w:rsid w:val="00AF0690"/>
    <w:rsid w:val="00AF0787"/>
    <w:rsid w:val="00AF0AAE"/>
    <w:rsid w:val="00AF0B3E"/>
    <w:rsid w:val="00AF0B46"/>
    <w:rsid w:val="00AF0BF9"/>
    <w:rsid w:val="00AF1C33"/>
    <w:rsid w:val="00AF1E90"/>
    <w:rsid w:val="00AF1F2C"/>
    <w:rsid w:val="00AF215B"/>
    <w:rsid w:val="00AF21E9"/>
    <w:rsid w:val="00AF2397"/>
    <w:rsid w:val="00AF264F"/>
    <w:rsid w:val="00AF26FB"/>
    <w:rsid w:val="00AF2759"/>
    <w:rsid w:val="00AF2D3C"/>
    <w:rsid w:val="00AF3309"/>
    <w:rsid w:val="00AF3761"/>
    <w:rsid w:val="00AF379D"/>
    <w:rsid w:val="00AF37E8"/>
    <w:rsid w:val="00AF3810"/>
    <w:rsid w:val="00AF39CE"/>
    <w:rsid w:val="00AF3E81"/>
    <w:rsid w:val="00AF43D5"/>
    <w:rsid w:val="00AF4587"/>
    <w:rsid w:val="00AF4654"/>
    <w:rsid w:val="00AF4661"/>
    <w:rsid w:val="00AF47E7"/>
    <w:rsid w:val="00AF4A5F"/>
    <w:rsid w:val="00AF4C40"/>
    <w:rsid w:val="00AF4E7A"/>
    <w:rsid w:val="00AF4F56"/>
    <w:rsid w:val="00AF50DA"/>
    <w:rsid w:val="00AF554E"/>
    <w:rsid w:val="00AF5A12"/>
    <w:rsid w:val="00AF5CAA"/>
    <w:rsid w:val="00AF5DB7"/>
    <w:rsid w:val="00AF5F65"/>
    <w:rsid w:val="00AF6710"/>
    <w:rsid w:val="00AF6BEE"/>
    <w:rsid w:val="00AF6D72"/>
    <w:rsid w:val="00AF6F55"/>
    <w:rsid w:val="00AF6F57"/>
    <w:rsid w:val="00AF7A9D"/>
    <w:rsid w:val="00AF7CB1"/>
    <w:rsid w:val="00B0065B"/>
    <w:rsid w:val="00B00F85"/>
    <w:rsid w:val="00B00FBC"/>
    <w:rsid w:val="00B012F4"/>
    <w:rsid w:val="00B014A4"/>
    <w:rsid w:val="00B014D4"/>
    <w:rsid w:val="00B016B8"/>
    <w:rsid w:val="00B0192D"/>
    <w:rsid w:val="00B01E79"/>
    <w:rsid w:val="00B01F39"/>
    <w:rsid w:val="00B0200D"/>
    <w:rsid w:val="00B02010"/>
    <w:rsid w:val="00B02B79"/>
    <w:rsid w:val="00B030C6"/>
    <w:rsid w:val="00B0323B"/>
    <w:rsid w:val="00B036B1"/>
    <w:rsid w:val="00B03A5D"/>
    <w:rsid w:val="00B03C90"/>
    <w:rsid w:val="00B03CB1"/>
    <w:rsid w:val="00B03F6E"/>
    <w:rsid w:val="00B0409E"/>
    <w:rsid w:val="00B04BAD"/>
    <w:rsid w:val="00B04F20"/>
    <w:rsid w:val="00B054EA"/>
    <w:rsid w:val="00B05722"/>
    <w:rsid w:val="00B05852"/>
    <w:rsid w:val="00B05C41"/>
    <w:rsid w:val="00B05ED5"/>
    <w:rsid w:val="00B065A6"/>
    <w:rsid w:val="00B06713"/>
    <w:rsid w:val="00B06C72"/>
    <w:rsid w:val="00B0735F"/>
    <w:rsid w:val="00B0746F"/>
    <w:rsid w:val="00B07826"/>
    <w:rsid w:val="00B07AD9"/>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783"/>
    <w:rsid w:val="00B13B7E"/>
    <w:rsid w:val="00B13DA7"/>
    <w:rsid w:val="00B13E4A"/>
    <w:rsid w:val="00B13E87"/>
    <w:rsid w:val="00B141B3"/>
    <w:rsid w:val="00B1424B"/>
    <w:rsid w:val="00B143DF"/>
    <w:rsid w:val="00B148AD"/>
    <w:rsid w:val="00B14BBB"/>
    <w:rsid w:val="00B14BD2"/>
    <w:rsid w:val="00B14DFA"/>
    <w:rsid w:val="00B15036"/>
    <w:rsid w:val="00B15321"/>
    <w:rsid w:val="00B15452"/>
    <w:rsid w:val="00B15639"/>
    <w:rsid w:val="00B1593E"/>
    <w:rsid w:val="00B15ABC"/>
    <w:rsid w:val="00B15C2F"/>
    <w:rsid w:val="00B15EAF"/>
    <w:rsid w:val="00B15F5A"/>
    <w:rsid w:val="00B15F9E"/>
    <w:rsid w:val="00B167F5"/>
    <w:rsid w:val="00B16912"/>
    <w:rsid w:val="00B16A40"/>
    <w:rsid w:val="00B16C0C"/>
    <w:rsid w:val="00B17440"/>
    <w:rsid w:val="00B175B5"/>
    <w:rsid w:val="00B17851"/>
    <w:rsid w:val="00B17A20"/>
    <w:rsid w:val="00B17A42"/>
    <w:rsid w:val="00B17AA5"/>
    <w:rsid w:val="00B17C02"/>
    <w:rsid w:val="00B17D52"/>
    <w:rsid w:val="00B17E72"/>
    <w:rsid w:val="00B2009B"/>
    <w:rsid w:val="00B2040C"/>
    <w:rsid w:val="00B2063E"/>
    <w:rsid w:val="00B20D2F"/>
    <w:rsid w:val="00B20F73"/>
    <w:rsid w:val="00B20FAA"/>
    <w:rsid w:val="00B2143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CA0"/>
    <w:rsid w:val="00B24E89"/>
    <w:rsid w:val="00B24F0F"/>
    <w:rsid w:val="00B24FC9"/>
    <w:rsid w:val="00B25124"/>
    <w:rsid w:val="00B25556"/>
    <w:rsid w:val="00B257BB"/>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2321"/>
    <w:rsid w:val="00B33299"/>
    <w:rsid w:val="00B33315"/>
    <w:rsid w:val="00B339AB"/>
    <w:rsid w:val="00B33D3B"/>
    <w:rsid w:val="00B33EFA"/>
    <w:rsid w:val="00B3418B"/>
    <w:rsid w:val="00B344F8"/>
    <w:rsid w:val="00B34709"/>
    <w:rsid w:val="00B34B33"/>
    <w:rsid w:val="00B35299"/>
    <w:rsid w:val="00B3557C"/>
    <w:rsid w:val="00B35C88"/>
    <w:rsid w:val="00B3642C"/>
    <w:rsid w:val="00B3655A"/>
    <w:rsid w:val="00B36703"/>
    <w:rsid w:val="00B3677B"/>
    <w:rsid w:val="00B367D3"/>
    <w:rsid w:val="00B368FE"/>
    <w:rsid w:val="00B36A22"/>
    <w:rsid w:val="00B36AE3"/>
    <w:rsid w:val="00B370F4"/>
    <w:rsid w:val="00B3745E"/>
    <w:rsid w:val="00B375CF"/>
    <w:rsid w:val="00B37873"/>
    <w:rsid w:val="00B379CF"/>
    <w:rsid w:val="00B37A2E"/>
    <w:rsid w:val="00B37D47"/>
    <w:rsid w:val="00B40176"/>
    <w:rsid w:val="00B406C9"/>
    <w:rsid w:val="00B411AC"/>
    <w:rsid w:val="00B414E5"/>
    <w:rsid w:val="00B41B43"/>
    <w:rsid w:val="00B42BC5"/>
    <w:rsid w:val="00B42BFD"/>
    <w:rsid w:val="00B42D26"/>
    <w:rsid w:val="00B42F6B"/>
    <w:rsid w:val="00B431BD"/>
    <w:rsid w:val="00B4325E"/>
    <w:rsid w:val="00B4350F"/>
    <w:rsid w:val="00B4381F"/>
    <w:rsid w:val="00B43975"/>
    <w:rsid w:val="00B43A28"/>
    <w:rsid w:val="00B43FEC"/>
    <w:rsid w:val="00B441F3"/>
    <w:rsid w:val="00B44886"/>
    <w:rsid w:val="00B44D78"/>
    <w:rsid w:val="00B4553B"/>
    <w:rsid w:val="00B4554E"/>
    <w:rsid w:val="00B45904"/>
    <w:rsid w:val="00B45A02"/>
    <w:rsid w:val="00B45C67"/>
    <w:rsid w:val="00B45CF8"/>
    <w:rsid w:val="00B45F54"/>
    <w:rsid w:val="00B46006"/>
    <w:rsid w:val="00B4615D"/>
    <w:rsid w:val="00B46169"/>
    <w:rsid w:val="00B4680C"/>
    <w:rsid w:val="00B46B13"/>
    <w:rsid w:val="00B46C25"/>
    <w:rsid w:val="00B47047"/>
    <w:rsid w:val="00B473CA"/>
    <w:rsid w:val="00B47827"/>
    <w:rsid w:val="00B479CB"/>
    <w:rsid w:val="00B47AAB"/>
    <w:rsid w:val="00B5007C"/>
    <w:rsid w:val="00B504DA"/>
    <w:rsid w:val="00B505F4"/>
    <w:rsid w:val="00B50D15"/>
    <w:rsid w:val="00B50D54"/>
    <w:rsid w:val="00B5160F"/>
    <w:rsid w:val="00B51628"/>
    <w:rsid w:val="00B5173B"/>
    <w:rsid w:val="00B51CED"/>
    <w:rsid w:val="00B5227A"/>
    <w:rsid w:val="00B52317"/>
    <w:rsid w:val="00B52440"/>
    <w:rsid w:val="00B524F2"/>
    <w:rsid w:val="00B525B4"/>
    <w:rsid w:val="00B52637"/>
    <w:rsid w:val="00B52661"/>
    <w:rsid w:val="00B5274C"/>
    <w:rsid w:val="00B527E8"/>
    <w:rsid w:val="00B5285C"/>
    <w:rsid w:val="00B5286E"/>
    <w:rsid w:val="00B52A21"/>
    <w:rsid w:val="00B52E76"/>
    <w:rsid w:val="00B52EA0"/>
    <w:rsid w:val="00B5317B"/>
    <w:rsid w:val="00B5324C"/>
    <w:rsid w:val="00B5359A"/>
    <w:rsid w:val="00B53813"/>
    <w:rsid w:val="00B538CA"/>
    <w:rsid w:val="00B5390D"/>
    <w:rsid w:val="00B53D00"/>
    <w:rsid w:val="00B53D9A"/>
    <w:rsid w:val="00B53E2E"/>
    <w:rsid w:val="00B53FFD"/>
    <w:rsid w:val="00B54479"/>
    <w:rsid w:val="00B54719"/>
    <w:rsid w:val="00B54A6B"/>
    <w:rsid w:val="00B54BE9"/>
    <w:rsid w:val="00B54D64"/>
    <w:rsid w:val="00B55334"/>
    <w:rsid w:val="00B553DE"/>
    <w:rsid w:val="00B5588A"/>
    <w:rsid w:val="00B55B94"/>
    <w:rsid w:val="00B5602E"/>
    <w:rsid w:val="00B56177"/>
    <w:rsid w:val="00B5677E"/>
    <w:rsid w:val="00B56A4D"/>
    <w:rsid w:val="00B56F6D"/>
    <w:rsid w:val="00B570EE"/>
    <w:rsid w:val="00B57391"/>
    <w:rsid w:val="00B57791"/>
    <w:rsid w:val="00B57840"/>
    <w:rsid w:val="00B57E69"/>
    <w:rsid w:val="00B6055E"/>
    <w:rsid w:val="00B60677"/>
    <w:rsid w:val="00B609A0"/>
    <w:rsid w:val="00B60AAF"/>
    <w:rsid w:val="00B611B7"/>
    <w:rsid w:val="00B61319"/>
    <w:rsid w:val="00B617B7"/>
    <w:rsid w:val="00B61E74"/>
    <w:rsid w:val="00B621A9"/>
    <w:rsid w:val="00B622BB"/>
    <w:rsid w:val="00B622D7"/>
    <w:rsid w:val="00B6240B"/>
    <w:rsid w:val="00B62687"/>
    <w:rsid w:val="00B626B4"/>
    <w:rsid w:val="00B627F2"/>
    <w:rsid w:val="00B62A7D"/>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B3F"/>
    <w:rsid w:val="00B663A6"/>
    <w:rsid w:val="00B6681A"/>
    <w:rsid w:val="00B668FD"/>
    <w:rsid w:val="00B66927"/>
    <w:rsid w:val="00B66DB3"/>
    <w:rsid w:val="00B66EE3"/>
    <w:rsid w:val="00B67146"/>
    <w:rsid w:val="00B6722E"/>
    <w:rsid w:val="00B67369"/>
    <w:rsid w:val="00B67607"/>
    <w:rsid w:val="00B67809"/>
    <w:rsid w:val="00B70151"/>
    <w:rsid w:val="00B7049B"/>
    <w:rsid w:val="00B70D04"/>
    <w:rsid w:val="00B70E00"/>
    <w:rsid w:val="00B70F0C"/>
    <w:rsid w:val="00B70F0F"/>
    <w:rsid w:val="00B711A4"/>
    <w:rsid w:val="00B71840"/>
    <w:rsid w:val="00B71B2C"/>
    <w:rsid w:val="00B71CD0"/>
    <w:rsid w:val="00B71E6D"/>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3CF"/>
    <w:rsid w:val="00B738B5"/>
    <w:rsid w:val="00B73E3F"/>
    <w:rsid w:val="00B7405B"/>
    <w:rsid w:val="00B742B7"/>
    <w:rsid w:val="00B74755"/>
    <w:rsid w:val="00B7492E"/>
    <w:rsid w:val="00B74A4E"/>
    <w:rsid w:val="00B74B99"/>
    <w:rsid w:val="00B74ECD"/>
    <w:rsid w:val="00B74FFD"/>
    <w:rsid w:val="00B75151"/>
    <w:rsid w:val="00B75217"/>
    <w:rsid w:val="00B75323"/>
    <w:rsid w:val="00B75370"/>
    <w:rsid w:val="00B75CA3"/>
    <w:rsid w:val="00B75D76"/>
    <w:rsid w:val="00B75DD0"/>
    <w:rsid w:val="00B7600D"/>
    <w:rsid w:val="00B76283"/>
    <w:rsid w:val="00B762AE"/>
    <w:rsid w:val="00B76A77"/>
    <w:rsid w:val="00B76B5B"/>
    <w:rsid w:val="00B775A2"/>
    <w:rsid w:val="00B77823"/>
    <w:rsid w:val="00B77E22"/>
    <w:rsid w:val="00B800A3"/>
    <w:rsid w:val="00B805BC"/>
    <w:rsid w:val="00B80AB7"/>
    <w:rsid w:val="00B80FE9"/>
    <w:rsid w:val="00B81017"/>
    <w:rsid w:val="00B81114"/>
    <w:rsid w:val="00B81147"/>
    <w:rsid w:val="00B81293"/>
    <w:rsid w:val="00B815ED"/>
    <w:rsid w:val="00B817A2"/>
    <w:rsid w:val="00B81CB9"/>
    <w:rsid w:val="00B81D5A"/>
    <w:rsid w:val="00B820CA"/>
    <w:rsid w:val="00B820F0"/>
    <w:rsid w:val="00B826AE"/>
    <w:rsid w:val="00B82CE6"/>
    <w:rsid w:val="00B82DA5"/>
    <w:rsid w:val="00B83046"/>
    <w:rsid w:val="00B8338B"/>
    <w:rsid w:val="00B837F1"/>
    <w:rsid w:val="00B83C1E"/>
    <w:rsid w:val="00B83FF0"/>
    <w:rsid w:val="00B84198"/>
    <w:rsid w:val="00B84747"/>
    <w:rsid w:val="00B85392"/>
    <w:rsid w:val="00B8569B"/>
    <w:rsid w:val="00B85CED"/>
    <w:rsid w:val="00B85D1D"/>
    <w:rsid w:val="00B85D54"/>
    <w:rsid w:val="00B86096"/>
    <w:rsid w:val="00B860FE"/>
    <w:rsid w:val="00B864B6"/>
    <w:rsid w:val="00B864F6"/>
    <w:rsid w:val="00B86585"/>
    <w:rsid w:val="00B86699"/>
    <w:rsid w:val="00B86A55"/>
    <w:rsid w:val="00B86BAC"/>
    <w:rsid w:val="00B87699"/>
    <w:rsid w:val="00B879C3"/>
    <w:rsid w:val="00B87B03"/>
    <w:rsid w:val="00B87CBA"/>
    <w:rsid w:val="00B87F32"/>
    <w:rsid w:val="00B87F6D"/>
    <w:rsid w:val="00B90146"/>
    <w:rsid w:val="00B90153"/>
    <w:rsid w:val="00B90453"/>
    <w:rsid w:val="00B908BC"/>
    <w:rsid w:val="00B909E2"/>
    <w:rsid w:val="00B90A53"/>
    <w:rsid w:val="00B90E8B"/>
    <w:rsid w:val="00B91DF3"/>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A9A"/>
    <w:rsid w:val="00B93D6C"/>
    <w:rsid w:val="00B93E86"/>
    <w:rsid w:val="00B94549"/>
    <w:rsid w:val="00B946D9"/>
    <w:rsid w:val="00B94772"/>
    <w:rsid w:val="00B9485D"/>
    <w:rsid w:val="00B94CE4"/>
    <w:rsid w:val="00B94FA7"/>
    <w:rsid w:val="00B9507A"/>
    <w:rsid w:val="00B950A8"/>
    <w:rsid w:val="00B95663"/>
    <w:rsid w:val="00B95A41"/>
    <w:rsid w:val="00B95B1E"/>
    <w:rsid w:val="00B95BD2"/>
    <w:rsid w:val="00B96269"/>
    <w:rsid w:val="00B962D3"/>
    <w:rsid w:val="00B96407"/>
    <w:rsid w:val="00B96468"/>
    <w:rsid w:val="00B96AB2"/>
    <w:rsid w:val="00B96D4E"/>
    <w:rsid w:val="00B96FB0"/>
    <w:rsid w:val="00B977D0"/>
    <w:rsid w:val="00B97810"/>
    <w:rsid w:val="00B97BC3"/>
    <w:rsid w:val="00BA001D"/>
    <w:rsid w:val="00BA008D"/>
    <w:rsid w:val="00BA00EC"/>
    <w:rsid w:val="00BA0360"/>
    <w:rsid w:val="00BA0369"/>
    <w:rsid w:val="00BA06E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D08"/>
    <w:rsid w:val="00BA3FAE"/>
    <w:rsid w:val="00BA404D"/>
    <w:rsid w:val="00BA4203"/>
    <w:rsid w:val="00BA44E8"/>
    <w:rsid w:val="00BA4622"/>
    <w:rsid w:val="00BA4BAF"/>
    <w:rsid w:val="00BA4F09"/>
    <w:rsid w:val="00BA5077"/>
    <w:rsid w:val="00BA508C"/>
    <w:rsid w:val="00BA5302"/>
    <w:rsid w:val="00BA543E"/>
    <w:rsid w:val="00BA5453"/>
    <w:rsid w:val="00BA55CB"/>
    <w:rsid w:val="00BA5B05"/>
    <w:rsid w:val="00BA5C32"/>
    <w:rsid w:val="00BA5C56"/>
    <w:rsid w:val="00BA5D2E"/>
    <w:rsid w:val="00BA5E98"/>
    <w:rsid w:val="00BA6429"/>
    <w:rsid w:val="00BA6738"/>
    <w:rsid w:val="00BA6A70"/>
    <w:rsid w:val="00BA7171"/>
    <w:rsid w:val="00BA745F"/>
    <w:rsid w:val="00BA7796"/>
    <w:rsid w:val="00BA77E9"/>
    <w:rsid w:val="00BA79B5"/>
    <w:rsid w:val="00BA7F9F"/>
    <w:rsid w:val="00BB00D2"/>
    <w:rsid w:val="00BB01A4"/>
    <w:rsid w:val="00BB03BF"/>
    <w:rsid w:val="00BB03EC"/>
    <w:rsid w:val="00BB06FA"/>
    <w:rsid w:val="00BB09C9"/>
    <w:rsid w:val="00BB0A89"/>
    <w:rsid w:val="00BB0E33"/>
    <w:rsid w:val="00BB0EE7"/>
    <w:rsid w:val="00BB0F4F"/>
    <w:rsid w:val="00BB1066"/>
    <w:rsid w:val="00BB119F"/>
    <w:rsid w:val="00BB1264"/>
    <w:rsid w:val="00BB12DF"/>
    <w:rsid w:val="00BB1341"/>
    <w:rsid w:val="00BB1A74"/>
    <w:rsid w:val="00BB1BA7"/>
    <w:rsid w:val="00BB228F"/>
    <w:rsid w:val="00BB2479"/>
    <w:rsid w:val="00BB28ED"/>
    <w:rsid w:val="00BB2A0F"/>
    <w:rsid w:val="00BB2FB7"/>
    <w:rsid w:val="00BB302D"/>
    <w:rsid w:val="00BB315A"/>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5FA1"/>
    <w:rsid w:val="00BB6393"/>
    <w:rsid w:val="00BB65F5"/>
    <w:rsid w:val="00BB6C0E"/>
    <w:rsid w:val="00BB73FD"/>
    <w:rsid w:val="00BB747A"/>
    <w:rsid w:val="00BB7629"/>
    <w:rsid w:val="00BB763A"/>
    <w:rsid w:val="00BB77B1"/>
    <w:rsid w:val="00BC002B"/>
    <w:rsid w:val="00BC0159"/>
    <w:rsid w:val="00BC03BA"/>
    <w:rsid w:val="00BC07E6"/>
    <w:rsid w:val="00BC0849"/>
    <w:rsid w:val="00BC1B87"/>
    <w:rsid w:val="00BC1BA9"/>
    <w:rsid w:val="00BC1CB9"/>
    <w:rsid w:val="00BC1DEC"/>
    <w:rsid w:val="00BC2546"/>
    <w:rsid w:val="00BC279E"/>
    <w:rsid w:val="00BC2892"/>
    <w:rsid w:val="00BC2935"/>
    <w:rsid w:val="00BC2CE4"/>
    <w:rsid w:val="00BC2D25"/>
    <w:rsid w:val="00BC30C7"/>
    <w:rsid w:val="00BC3486"/>
    <w:rsid w:val="00BC3CF8"/>
    <w:rsid w:val="00BC3D7B"/>
    <w:rsid w:val="00BC40CA"/>
    <w:rsid w:val="00BC41DE"/>
    <w:rsid w:val="00BC41F4"/>
    <w:rsid w:val="00BC4209"/>
    <w:rsid w:val="00BC4273"/>
    <w:rsid w:val="00BC49AA"/>
    <w:rsid w:val="00BC49B3"/>
    <w:rsid w:val="00BC49B6"/>
    <w:rsid w:val="00BC49C6"/>
    <w:rsid w:val="00BC4E65"/>
    <w:rsid w:val="00BC5110"/>
    <w:rsid w:val="00BC54E0"/>
    <w:rsid w:val="00BC55CC"/>
    <w:rsid w:val="00BC5661"/>
    <w:rsid w:val="00BC586C"/>
    <w:rsid w:val="00BC5CD5"/>
    <w:rsid w:val="00BC5E52"/>
    <w:rsid w:val="00BC629F"/>
    <w:rsid w:val="00BC650D"/>
    <w:rsid w:val="00BC6709"/>
    <w:rsid w:val="00BC6776"/>
    <w:rsid w:val="00BC6906"/>
    <w:rsid w:val="00BC6CD6"/>
    <w:rsid w:val="00BC6CF3"/>
    <w:rsid w:val="00BC7050"/>
    <w:rsid w:val="00BC707F"/>
    <w:rsid w:val="00BC71B2"/>
    <w:rsid w:val="00BC71D2"/>
    <w:rsid w:val="00BC726F"/>
    <w:rsid w:val="00BC7922"/>
    <w:rsid w:val="00BC7CAB"/>
    <w:rsid w:val="00BC7D31"/>
    <w:rsid w:val="00BC7E36"/>
    <w:rsid w:val="00BD006A"/>
    <w:rsid w:val="00BD0933"/>
    <w:rsid w:val="00BD118F"/>
    <w:rsid w:val="00BD18F1"/>
    <w:rsid w:val="00BD1B09"/>
    <w:rsid w:val="00BD1BAA"/>
    <w:rsid w:val="00BD1BB7"/>
    <w:rsid w:val="00BD1F8B"/>
    <w:rsid w:val="00BD202B"/>
    <w:rsid w:val="00BD26ED"/>
    <w:rsid w:val="00BD2A0B"/>
    <w:rsid w:val="00BD2A49"/>
    <w:rsid w:val="00BD2ED8"/>
    <w:rsid w:val="00BD3157"/>
    <w:rsid w:val="00BD3289"/>
    <w:rsid w:val="00BD3338"/>
    <w:rsid w:val="00BD34BC"/>
    <w:rsid w:val="00BD35BB"/>
    <w:rsid w:val="00BD35E2"/>
    <w:rsid w:val="00BD3DF5"/>
    <w:rsid w:val="00BD40BF"/>
    <w:rsid w:val="00BD43BE"/>
    <w:rsid w:val="00BD46F3"/>
    <w:rsid w:val="00BD4931"/>
    <w:rsid w:val="00BD4BCC"/>
    <w:rsid w:val="00BD4C54"/>
    <w:rsid w:val="00BD4D5B"/>
    <w:rsid w:val="00BD5309"/>
    <w:rsid w:val="00BD5468"/>
    <w:rsid w:val="00BD5C68"/>
    <w:rsid w:val="00BD604B"/>
    <w:rsid w:val="00BD6183"/>
    <w:rsid w:val="00BD6591"/>
    <w:rsid w:val="00BD659D"/>
    <w:rsid w:val="00BD6B2A"/>
    <w:rsid w:val="00BD6C09"/>
    <w:rsid w:val="00BD6D2D"/>
    <w:rsid w:val="00BD707D"/>
    <w:rsid w:val="00BD74A7"/>
    <w:rsid w:val="00BD7692"/>
    <w:rsid w:val="00BD7999"/>
    <w:rsid w:val="00BD7AB6"/>
    <w:rsid w:val="00BD7DE3"/>
    <w:rsid w:val="00BD7E48"/>
    <w:rsid w:val="00BD7E8D"/>
    <w:rsid w:val="00BD7F76"/>
    <w:rsid w:val="00BE010F"/>
    <w:rsid w:val="00BE035C"/>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618"/>
    <w:rsid w:val="00BE3B9C"/>
    <w:rsid w:val="00BE3E56"/>
    <w:rsid w:val="00BE417A"/>
    <w:rsid w:val="00BE45EE"/>
    <w:rsid w:val="00BE4764"/>
    <w:rsid w:val="00BE4A4B"/>
    <w:rsid w:val="00BE4EB9"/>
    <w:rsid w:val="00BE4F6F"/>
    <w:rsid w:val="00BE502D"/>
    <w:rsid w:val="00BE52EB"/>
    <w:rsid w:val="00BE53FF"/>
    <w:rsid w:val="00BE54B9"/>
    <w:rsid w:val="00BE5571"/>
    <w:rsid w:val="00BE57DB"/>
    <w:rsid w:val="00BE58BF"/>
    <w:rsid w:val="00BE595F"/>
    <w:rsid w:val="00BE67D3"/>
    <w:rsid w:val="00BE6836"/>
    <w:rsid w:val="00BE6C44"/>
    <w:rsid w:val="00BE6D0C"/>
    <w:rsid w:val="00BE6E8C"/>
    <w:rsid w:val="00BE706D"/>
    <w:rsid w:val="00BE7161"/>
    <w:rsid w:val="00BE7681"/>
    <w:rsid w:val="00BE781A"/>
    <w:rsid w:val="00BE7884"/>
    <w:rsid w:val="00BE78B9"/>
    <w:rsid w:val="00BE7A4B"/>
    <w:rsid w:val="00BF044F"/>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4D3"/>
    <w:rsid w:val="00BF37B3"/>
    <w:rsid w:val="00BF3B17"/>
    <w:rsid w:val="00BF3B2C"/>
    <w:rsid w:val="00BF3E55"/>
    <w:rsid w:val="00BF3E78"/>
    <w:rsid w:val="00BF42B9"/>
    <w:rsid w:val="00BF4654"/>
    <w:rsid w:val="00BF47D6"/>
    <w:rsid w:val="00BF4816"/>
    <w:rsid w:val="00BF49EF"/>
    <w:rsid w:val="00BF4DF1"/>
    <w:rsid w:val="00BF4E96"/>
    <w:rsid w:val="00BF4FF6"/>
    <w:rsid w:val="00BF519C"/>
    <w:rsid w:val="00BF5528"/>
    <w:rsid w:val="00BF5569"/>
    <w:rsid w:val="00BF5CDD"/>
    <w:rsid w:val="00BF5F0A"/>
    <w:rsid w:val="00BF604F"/>
    <w:rsid w:val="00BF6098"/>
    <w:rsid w:val="00BF643B"/>
    <w:rsid w:val="00BF6873"/>
    <w:rsid w:val="00BF6A49"/>
    <w:rsid w:val="00BF6CBD"/>
    <w:rsid w:val="00BF72AB"/>
    <w:rsid w:val="00BF7497"/>
    <w:rsid w:val="00BF75FD"/>
    <w:rsid w:val="00BF7927"/>
    <w:rsid w:val="00BF7BC9"/>
    <w:rsid w:val="00BF7F78"/>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2FCD"/>
    <w:rsid w:val="00C03291"/>
    <w:rsid w:val="00C032DB"/>
    <w:rsid w:val="00C032F4"/>
    <w:rsid w:val="00C03731"/>
    <w:rsid w:val="00C04363"/>
    <w:rsid w:val="00C043C9"/>
    <w:rsid w:val="00C0468A"/>
    <w:rsid w:val="00C04927"/>
    <w:rsid w:val="00C04A6F"/>
    <w:rsid w:val="00C04B50"/>
    <w:rsid w:val="00C04DC5"/>
    <w:rsid w:val="00C0535A"/>
    <w:rsid w:val="00C05818"/>
    <w:rsid w:val="00C05AAA"/>
    <w:rsid w:val="00C06247"/>
    <w:rsid w:val="00C0669C"/>
    <w:rsid w:val="00C066CA"/>
    <w:rsid w:val="00C066F6"/>
    <w:rsid w:val="00C06951"/>
    <w:rsid w:val="00C06BE2"/>
    <w:rsid w:val="00C07342"/>
    <w:rsid w:val="00C07DCB"/>
    <w:rsid w:val="00C10831"/>
    <w:rsid w:val="00C10F01"/>
    <w:rsid w:val="00C10FCD"/>
    <w:rsid w:val="00C111A1"/>
    <w:rsid w:val="00C118D8"/>
    <w:rsid w:val="00C11944"/>
    <w:rsid w:val="00C12105"/>
    <w:rsid w:val="00C125F5"/>
    <w:rsid w:val="00C126B6"/>
    <w:rsid w:val="00C12759"/>
    <w:rsid w:val="00C12942"/>
    <w:rsid w:val="00C129DE"/>
    <w:rsid w:val="00C12ACC"/>
    <w:rsid w:val="00C12DCE"/>
    <w:rsid w:val="00C12EFE"/>
    <w:rsid w:val="00C13031"/>
    <w:rsid w:val="00C130A6"/>
    <w:rsid w:val="00C13734"/>
    <w:rsid w:val="00C13D56"/>
    <w:rsid w:val="00C13DD4"/>
    <w:rsid w:val="00C1405C"/>
    <w:rsid w:val="00C14093"/>
    <w:rsid w:val="00C140E0"/>
    <w:rsid w:val="00C1424D"/>
    <w:rsid w:val="00C145C7"/>
    <w:rsid w:val="00C1464D"/>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65E"/>
    <w:rsid w:val="00C20A5B"/>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66F"/>
    <w:rsid w:val="00C23713"/>
    <w:rsid w:val="00C237EE"/>
    <w:rsid w:val="00C23B06"/>
    <w:rsid w:val="00C23BF7"/>
    <w:rsid w:val="00C23CEB"/>
    <w:rsid w:val="00C23E99"/>
    <w:rsid w:val="00C2404A"/>
    <w:rsid w:val="00C24160"/>
    <w:rsid w:val="00C244D8"/>
    <w:rsid w:val="00C246D6"/>
    <w:rsid w:val="00C24FF5"/>
    <w:rsid w:val="00C255E9"/>
    <w:rsid w:val="00C25783"/>
    <w:rsid w:val="00C25922"/>
    <w:rsid w:val="00C259DA"/>
    <w:rsid w:val="00C25A71"/>
    <w:rsid w:val="00C25A9D"/>
    <w:rsid w:val="00C25C0D"/>
    <w:rsid w:val="00C25D61"/>
    <w:rsid w:val="00C25F3D"/>
    <w:rsid w:val="00C25F7F"/>
    <w:rsid w:val="00C26929"/>
    <w:rsid w:val="00C269F2"/>
    <w:rsid w:val="00C26BB6"/>
    <w:rsid w:val="00C272DC"/>
    <w:rsid w:val="00C27466"/>
    <w:rsid w:val="00C2795C"/>
    <w:rsid w:val="00C27C9F"/>
    <w:rsid w:val="00C30025"/>
    <w:rsid w:val="00C30288"/>
    <w:rsid w:val="00C302F0"/>
    <w:rsid w:val="00C3040A"/>
    <w:rsid w:val="00C305B8"/>
    <w:rsid w:val="00C307FE"/>
    <w:rsid w:val="00C30A93"/>
    <w:rsid w:val="00C30ABC"/>
    <w:rsid w:val="00C30B7F"/>
    <w:rsid w:val="00C30C0A"/>
    <w:rsid w:val="00C30D6E"/>
    <w:rsid w:val="00C318F3"/>
    <w:rsid w:val="00C318FA"/>
    <w:rsid w:val="00C31EE5"/>
    <w:rsid w:val="00C322C9"/>
    <w:rsid w:val="00C322E5"/>
    <w:rsid w:val="00C32477"/>
    <w:rsid w:val="00C326D5"/>
    <w:rsid w:val="00C32BFC"/>
    <w:rsid w:val="00C32E68"/>
    <w:rsid w:val="00C32FD6"/>
    <w:rsid w:val="00C3312E"/>
    <w:rsid w:val="00C33749"/>
    <w:rsid w:val="00C33797"/>
    <w:rsid w:val="00C33B9A"/>
    <w:rsid w:val="00C33BE4"/>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C4C"/>
    <w:rsid w:val="00C36F1C"/>
    <w:rsid w:val="00C370E9"/>
    <w:rsid w:val="00C37A99"/>
    <w:rsid w:val="00C37F12"/>
    <w:rsid w:val="00C37F2D"/>
    <w:rsid w:val="00C37FC1"/>
    <w:rsid w:val="00C400D0"/>
    <w:rsid w:val="00C402D2"/>
    <w:rsid w:val="00C40489"/>
    <w:rsid w:val="00C40504"/>
    <w:rsid w:val="00C408EB"/>
    <w:rsid w:val="00C40C0E"/>
    <w:rsid w:val="00C40CBC"/>
    <w:rsid w:val="00C40D00"/>
    <w:rsid w:val="00C410E9"/>
    <w:rsid w:val="00C413CB"/>
    <w:rsid w:val="00C41460"/>
    <w:rsid w:val="00C41856"/>
    <w:rsid w:val="00C41C47"/>
    <w:rsid w:val="00C41D67"/>
    <w:rsid w:val="00C42143"/>
    <w:rsid w:val="00C42912"/>
    <w:rsid w:val="00C42A1F"/>
    <w:rsid w:val="00C42B0F"/>
    <w:rsid w:val="00C42B2F"/>
    <w:rsid w:val="00C42D93"/>
    <w:rsid w:val="00C42F85"/>
    <w:rsid w:val="00C431B0"/>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EB8"/>
    <w:rsid w:val="00C46F7E"/>
    <w:rsid w:val="00C47193"/>
    <w:rsid w:val="00C471B9"/>
    <w:rsid w:val="00C47993"/>
    <w:rsid w:val="00C47C63"/>
    <w:rsid w:val="00C50262"/>
    <w:rsid w:val="00C50312"/>
    <w:rsid w:val="00C503FC"/>
    <w:rsid w:val="00C508C5"/>
    <w:rsid w:val="00C508C6"/>
    <w:rsid w:val="00C50AB2"/>
    <w:rsid w:val="00C50C30"/>
    <w:rsid w:val="00C510A7"/>
    <w:rsid w:val="00C511AC"/>
    <w:rsid w:val="00C513A8"/>
    <w:rsid w:val="00C5172F"/>
    <w:rsid w:val="00C51B4B"/>
    <w:rsid w:val="00C51DB6"/>
    <w:rsid w:val="00C51FDE"/>
    <w:rsid w:val="00C51FE0"/>
    <w:rsid w:val="00C52079"/>
    <w:rsid w:val="00C52676"/>
    <w:rsid w:val="00C5316B"/>
    <w:rsid w:val="00C5319A"/>
    <w:rsid w:val="00C53460"/>
    <w:rsid w:val="00C5393E"/>
    <w:rsid w:val="00C53977"/>
    <w:rsid w:val="00C53DCD"/>
    <w:rsid w:val="00C53E6F"/>
    <w:rsid w:val="00C5409B"/>
    <w:rsid w:val="00C548CD"/>
    <w:rsid w:val="00C54A8E"/>
    <w:rsid w:val="00C54BEA"/>
    <w:rsid w:val="00C54C82"/>
    <w:rsid w:val="00C54D15"/>
    <w:rsid w:val="00C54FE0"/>
    <w:rsid w:val="00C5506E"/>
    <w:rsid w:val="00C55372"/>
    <w:rsid w:val="00C555F5"/>
    <w:rsid w:val="00C55629"/>
    <w:rsid w:val="00C55713"/>
    <w:rsid w:val="00C55AED"/>
    <w:rsid w:val="00C55BEB"/>
    <w:rsid w:val="00C55FA4"/>
    <w:rsid w:val="00C564CB"/>
    <w:rsid w:val="00C568EE"/>
    <w:rsid w:val="00C56C9D"/>
    <w:rsid w:val="00C56CE0"/>
    <w:rsid w:val="00C57269"/>
    <w:rsid w:val="00C57377"/>
    <w:rsid w:val="00C574BF"/>
    <w:rsid w:val="00C5758D"/>
    <w:rsid w:val="00C575B3"/>
    <w:rsid w:val="00C575D8"/>
    <w:rsid w:val="00C5763C"/>
    <w:rsid w:val="00C60126"/>
    <w:rsid w:val="00C604D4"/>
    <w:rsid w:val="00C604DC"/>
    <w:rsid w:val="00C60556"/>
    <w:rsid w:val="00C609ED"/>
    <w:rsid w:val="00C60A2B"/>
    <w:rsid w:val="00C60B5C"/>
    <w:rsid w:val="00C60B8C"/>
    <w:rsid w:val="00C60BCA"/>
    <w:rsid w:val="00C60C31"/>
    <w:rsid w:val="00C60CD5"/>
    <w:rsid w:val="00C60F31"/>
    <w:rsid w:val="00C610A7"/>
    <w:rsid w:val="00C6163F"/>
    <w:rsid w:val="00C61F65"/>
    <w:rsid w:val="00C62028"/>
    <w:rsid w:val="00C6231D"/>
    <w:rsid w:val="00C623C2"/>
    <w:rsid w:val="00C6264E"/>
    <w:rsid w:val="00C62A23"/>
    <w:rsid w:val="00C62D85"/>
    <w:rsid w:val="00C63094"/>
    <w:rsid w:val="00C635F3"/>
    <w:rsid w:val="00C6362A"/>
    <w:rsid w:val="00C6376A"/>
    <w:rsid w:val="00C63B59"/>
    <w:rsid w:val="00C63F92"/>
    <w:rsid w:val="00C646DB"/>
    <w:rsid w:val="00C64E5B"/>
    <w:rsid w:val="00C64FA6"/>
    <w:rsid w:val="00C64FBF"/>
    <w:rsid w:val="00C6545D"/>
    <w:rsid w:val="00C654E3"/>
    <w:rsid w:val="00C65585"/>
    <w:rsid w:val="00C656B5"/>
    <w:rsid w:val="00C657CD"/>
    <w:rsid w:val="00C658B2"/>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5F5"/>
    <w:rsid w:val="00C72AC5"/>
    <w:rsid w:val="00C72B46"/>
    <w:rsid w:val="00C72C64"/>
    <w:rsid w:val="00C7325E"/>
    <w:rsid w:val="00C735B9"/>
    <w:rsid w:val="00C7440E"/>
    <w:rsid w:val="00C7452A"/>
    <w:rsid w:val="00C749C9"/>
    <w:rsid w:val="00C74C29"/>
    <w:rsid w:val="00C75284"/>
    <w:rsid w:val="00C75367"/>
    <w:rsid w:val="00C75518"/>
    <w:rsid w:val="00C75667"/>
    <w:rsid w:val="00C75896"/>
    <w:rsid w:val="00C75A36"/>
    <w:rsid w:val="00C75C7C"/>
    <w:rsid w:val="00C76132"/>
    <w:rsid w:val="00C76C8D"/>
    <w:rsid w:val="00C76C9E"/>
    <w:rsid w:val="00C76E24"/>
    <w:rsid w:val="00C76EAE"/>
    <w:rsid w:val="00C7714F"/>
    <w:rsid w:val="00C77152"/>
    <w:rsid w:val="00C77366"/>
    <w:rsid w:val="00C77394"/>
    <w:rsid w:val="00C77563"/>
    <w:rsid w:val="00C77A33"/>
    <w:rsid w:val="00C77B1D"/>
    <w:rsid w:val="00C77C75"/>
    <w:rsid w:val="00C800AF"/>
    <w:rsid w:val="00C8041C"/>
    <w:rsid w:val="00C804CC"/>
    <w:rsid w:val="00C80561"/>
    <w:rsid w:val="00C80588"/>
    <w:rsid w:val="00C80717"/>
    <w:rsid w:val="00C8078B"/>
    <w:rsid w:val="00C80DFA"/>
    <w:rsid w:val="00C8106E"/>
    <w:rsid w:val="00C811FA"/>
    <w:rsid w:val="00C81253"/>
    <w:rsid w:val="00C81B61"/>
    <w:rsid w:val="00C8234F"/>
    <w:rsid w:val="00C826BE"/>
    <w:rsid w:val="00C827B4"/>
    <w:rsid w:val="00C827CB"/>
    <w:rsid w:val="00C82AB7"/>
    <w:rsid w:val="00C82D1F"/>
    <w:rsid w:val="00C82D95"/>
    <w:rsid w:val="00C82E46"/>
    <w:rsid w:val="00C833D1"/>
    <w:rsid w:val="00C834F0"/>
    <w:rsid w:val="00C83644"/>
    <w:rsid w:val="00C83711"/>
    <w:rsid w:val="00C8390E"/>
    <w:rsid w:val="00C8396A"/>
    <w:rsid w:val="00C83990"/>
    <w:rsid w:val="00C83AF2"/>
    <w:rsid w:val="00C83B15"/>
    <w:rsid w:val="00C84247"/>
    <w:rsid w:val="00C84696"/>
    <w:rsid w:val="00C8474A"/>
    <w:rsid w:val="00C8496A"/>
    <w:rsid w:val="00C84C4F"/>
    <w:rsid w:val="00C8501B"/>
    <w:rsid w:val="00C85A2E"/>
    <w:rsid w:val="00C85DC3"/>
    <w:rsid w:val="00C861A6"/>
    <w:rsid w:val="00C8622E"/>
    <w:rsid w:val="00C8670F"/>
    <w:rsid w:val="00C86950"/>
    <w:rsid w:val="00C86CC9"/>
    <w:rsid w:val="00C86E86"/>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CCE"/>
    <w:rsid w:val="00C930D3"/>
    <w:rsid w:val="00C931A5"/>
    <w:rsid w:val="00C9320F"/>
    <w:rsid w:val="00C93EFA"/>
    <w:rsid w:val="00C9412E"/>
    <w:rsid w:val="00C94657"/>
    <w:rsid w:val="00C9479E"/>
    <w:rsid w:val="00C94955"/>
    <w:rsid w:val="00C94D7A"/>
    <w:rsid w:val="00C950E1"/>
    <w:rsid w:val="00C95672"/>
    <w:rsid w:val="00C95800"/>
    <w:rsid w:val="00C958B9"/>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3FB"/>
    <w:rsid w:val="00CA05B3"/>
    <w:rsid w:val="00CA0830"/>
    <w:rsid w:val="00CA0DB9"/>
    <w:rsid w:val="00CA1155"/>
    <w:rsid w:val="00CA147F"/>
    <w:rsid w:val="00CA1DD8"/>
    <w:rsid w:val="00CA22B3"/>
    <w:rsid w:val="00CA2AE1"/>
    <w:rsid w:val="00CA2AE8"/>
    <w:rsid w:val="00CA2AFC"/>
    <w:rsid w:val="00CA2C80"/>
    <w:rsid w:val="00CA2DCD"/>
    <w:rsid w:val="00CA2F8A"/>
    <w:rsid w:val="00CA30BC"/>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5805"/>
    <w:rsid w:val="00CA62ED"/>
    <w:rsid w:val="00CA6347"/>
    <w:rsid w:val="00CA690C"/>
    <w:rsid w:val="00CA6943"/>
    <w:rsid w:val="00CA6952"/>
    <w:rsid w:val="00CA6BC9"/>
    <w:rsid w:val="00CA6E06"/>
    <w:rsid w:val="00CA7280"/>
    <w:rsid w:val="00CA7297"/>
    <w:rsid w:val="00CA77E5"/>
    <w:rsid w:val="00CA796E"/>
    <w:rsid w:val="00CA7A89"/>
    <w:rsid w:val="00CA7BFC"/>
    <w:rsid w:val="00CA7CD5"/>
    <w:rsid w:val="00CA7E99"/>
    <w:rsid w:val="00CB00C6"/>
    <w:rsid w:val="00CB017E"/>
    <w:rsid w:val="00CB0684"/>
    <w:rsid w:val="00CB0840"/>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BD"/>
    <w:rsid w:val="00CB3CCE"/>
    <w:rsid w:val="00CB3E76"/>
    <w:rsid w:val="00CB4160"/>
    <w:rsid w:val="00CB4273"/>
    <w:rsid w:val="00CB4A37"/>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A26"/>
    <w:rsid w:val="00CB6DC2"/>
    <w:rsid w:val="00CB7087"/>
    <w:rsid w:val="00CB718B"/>
    <w:rsid w:val="00CB71EB"/>
    <w:rsid w:val="00CB750F"/>
    <w:rsid w:val="00CB77FD"/>
    <w:rsid w:val="00CB7D73"/>
    <w:rsid w:val="00CB7E15"/>
    <w:rsid w:val="00CC028B"/>
    <w:rsid w:val="00CC0706"/>
    <w:rsid w:val="00CC0708"/>
    <w:rsid w:val="00CC0B03"/>
    <w:rsid w:val="00CC10F9"/>
    <w:rsid w:val="00CC11DD"/>
    <w:rsid w:val="00CC12A1"/>
    <w:rsid w:val="00CC1672"/>
    <w:rsid w:val="00CC1D05"/>
    <w:rsid w:val="00CC2112"/>
    <w:rsid w:val="00CC296B"/>
    <w:rsid w:val="00CC2BAF"/>
    <w:rsid w:val="00CC2CC9"/>
    <w:rsid w:val="00CC2E0A"/>
    <w:rsid w:val="00CC2E9D"/>
    <w:rsid w:val="00CC326A"/>
    <w:rsid w:val="00CC32F9"/>
    <w:rsid w:val="00CC342D"/>
    <w:rsid w:val="00CC369B"/>
    <w:rsid w:val="00CC3BDB"/>
    <w:rsid w:val="00CC40EB"/>
    <w:rsid w:val="00CC41DD"/>
    <w:rsid w:val="00CC44B0"/>
    <w:rsid w:val="00CC466F"/>
    <w:rsid w:val="00CC46AA"/>
    <w:rsid w:val="00CC4D5B"/>
    <w:rsid w:val="00CC50D5"/>
    <w:rsid w:val="00CC50EA"/>
    <w:rsid w:val="00CC52E4"/>
    <w:rsid w:val="00CC532B"/>
    <w:rsid w:val="00CC542B"/>
    <w:rsid w:val="00CC5665"/>
    <w:rsid w:val="00CC5A69"/>
    <w:rsid w:val="00CC5C57"/>
    <w:rsid w:val="00CC66D7"/>
    <w:rsid w:val="00CC67A9"/>
    <w:rsid w:val="00CC6C7B"/>
    <w:rsid w:val="00CC6EE6"/>
    <w:rsid w:val="00CC71AB"/>
    <w:rsid w:val="00CC73F8"/>
    <w:rsid w:val="00CC7573"/>
    <w:rsid w:val="00CC7638"/>
    <w:rsid w:val="00CC7C47"/>
    <w:rsid w:val="00CC7D4C"/>
    <w:rsid w:val="00CD0031"/>
    <w:rsid w:val="00CD0059"/>
    <w:rsid w:val="00CD03CE"/>
    <w:rsid w:val="00CD0D77"/>
    <w:rsid w:val="00CD0FB3"/>
    <w:rsid w:val="00CD10FC"/>
    <w:rsid w:val="00CD11DA"/>
    <w:rsid w:val="00CD139C"/>
    <w:rsid w:val="00CD1600"/>
    <w:rsid w:val="00CD16D7"/>
    <w:rsid w:val="00CD1917"/>
    <w:rsid w:val="00CD196E"/>
    <w:rsid w:val="00CD1B95"/>
    <w:rsid w:val="00CD1BDF"/>
    <w:rsid w:val="00CD1E04"/>
    <w:rsid w:val="00CD2417"/>
    <w:rsid w:val="00CD25F6"/>
    <w:rsid w:val="00CD2B5B"/>
    <w:rsid w:val="00CD2F96"/>
    <w:rsid w:val="00CD30EA"/>
    <w:rsid w:val="00CD328C"/>
    <w:rsid w:val="00CD34C3"/>
    <w:rsid w:val="00CD3593"/>
    <w:rsid w:val="00CD3604"/>
    <w:rsid w:val="00CD37A4"/>
    <w:rsid w:val="00CD3909"/>
    <w:rsid w:val="00CD397C"/>
    <w:rsid w:val="00CD3D02"/>
    <w:rsid w:val="00CD411A"/>
    <w:rsid w:val="00CD417C"/>
    <w:rsid w:val="00CD418D"/>
    <w:rsid w:val="00CD420E"/>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53C"/>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3C9"/>
    <w:rsid w:val="00CE2D9C"/>
    <w:rsid w:val="00CE2FF0"/>
    <w:rsid w:val="00CE3257"/>
    <w:rsid w:val="00CE3773"/>
    <w:rsid w:val="00CE4780"/>
    <w:rsid w:val="00CE49FD"/>
    <w:rsid w:val="00CE4F52"/>
    <w:rsid w:val="00CE5019"/>
    <w:rsid w:val="00CE5087"/>
    <w:rsid w:val="00CE5210"/>
    <w:rsid w:val="00CE524E"/>
    <w:rsid w:val="00CE5322"/>
    <w:rsid w:val="00CE5BC9"/>
    <w:rsid w:val="00CE5D96"/>
    <w:rsid w:val="00CE67EF"/>
    <w:rsid w:val="00CE6922"/>
    <w:rsid w:val="00CE6D1D"/>
    <w:rsid w:val="00CE7038"/>
    <w:rsid w:val="00CE720B"/>
    <w:rsid w:val="00CE7505"/>
    <w:rsid w:val="00CE7642"/>
    <w:rsid w:val="00CE7927"/>
    <w:rsid w:val="00CE79F3"/>
    <w:rsid w:val="00CE7DBA"/>
    <w:rsid w:val="00CF0427"/>
    <w:rsid w:val="00CF05D5"/>
    <w:rsid w:val="00CF08F8"/>
    <w:rsid w:val="00CF0E55"/>
    <w:rsid w:val="00CF0EC2"/>
    <w:rsid w:val="00CF0FBD"/>
    <w:rsid w:val="00CF1253"/>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9C8"/>
    <w:rsid w:val="00CF6BD3"/>
    <w:rsid w:val="00CF6EF8"/>
    <w:rsid w:val="00CF719F"/>
    <w:rsid w:val="00CF722A"/>
    <w:rsid w:val="00CF739C"/>
    <w:rsid w:val="00CF7455"/>
    <w:rsid w:val="00CF747A"/>
    <w:rsid w:val="00CF74C0"/>
    <w:rsid w:val="00CF7630"/>
    <w:rsid w:val="00CF7788"/>
    <w:rsid w:val="00CF7B6F"/>
    <w:rsid w:val="00CF7BBE"/>
    <w:rsid w:val="00CF7FE3"/>
    <w:rsid w:val="00D00415"/>
    <w:rsid w:val="00D007D5"/>
    <w:rsid w:val="00D00D87"/>
    <w:rsid w:val="00D01179"/>
    <w:rsid w:val="00D01555"/>
    <w:rsid w:val="00D0163B"/>
    <w:rsid w:val="00D02619"/>
    <w:rsid w:val="00D027D1"/>
    <w:rsid w:val="00D02945"/>
    <w:rsid w:val="00D02B57"/>
    <w:rsid w:val="00D02CE3"/>
    <w:rsid w:val="00D02FB0"/>
    <w:rsid w:val="00D030C4"/>
    <w:rsid w:val="00D031BD"/>
    <w:rsid w:val="00D032E1"/>
    <w:rsid w:val="00D033A4"/>
    <w:rsid w:val="00D036D7"/>
    <w:rsid w:val="00D039B2"/>
    <w:rsid w:val="00D03D4F"/>
    <w:rsid w:val="00D04478"/>
    <w:rsid w:val="00D04546"/>
    <w:rsid w:val="00D046B5"/>
    <w:rsid w:val="00D049EE"/>
    <w:rsid w:val="00D04A0F"/>
    <w:rsid w:val="00D04A4E"/>
    <w:rsid w:val="00D04AE8"/>
    <w:rsid w:val="00D04D2B"/>
    <w:rsid w:val="00D052AB"/>
    <w:rsid w:val="00D052D3"/>
    <w:rsid w:val="00D0533D"/>
    <w:rsid w:val="00D054DD"/>
    <w:rsid w:val="00D055A9"/>
    <w:rsid w:val="00D05640"/>
    <w:rsid w:val="00D05736"/>
    <w:rsid w:val="00D05BF2"/>
    <w:rsid w:val="00D05C53"/>
    <w:rsid w:val="00D061B4"/>
    <w:rsid w:val="00D0637F"/>
    <w:rsid w:val="00D065BC"/>
    <w:rsid w:val="00D06785"/>
    <w:rsid w:val="00D067B0"/>
    <w:rsid w:val="00D068A7"/>
    <w:rsid w:val="00D07037"/>
    <w:rsid w:val="00D0762A"/>
    <w:rsid w:val="00D076BB"/>
    <w:rsid w:val="00D077F3"/>
    <w:rsid w:val="00D07C5C"/>
    <w:rsid w:val="00D10061"/>
    <w:rsid w:val="00D10142"/>
    <w:rsid w:val="00D10152"/>
    <w:rsid w:val="00D101FA"/>
    <w:rsid w:val="00D104DD"/>
    <w:rsid w:val="00D104E3"/>
    <w:rsid w:val="00D10853"/>
    <w:rsid w:val="00D10A4D"/>
    <w:rsid w:val="00D10C04"/>
    <w:rsid w:val="00D11784"/>
    <w:rsid w:val="00D11C2D"/>
    <w:rsid w:val="00D120DA"/>
    <w:rsid w:val="00D1218E"/>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9AF"/>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B8"/>
    <w:rsid w:val="00D17AF1"/>
    <w:rsid w:val="00D17DAC"/>
    <w:rsid w:val="00D17DDD"/>
    <w:rsid w:val="00D17EC2"/>
    <w:rsid w:val="00D17F9C"/>
    <w:rsid w:val="00D202C5"/>
    <w:rsid w:val="00D203E6"/>
    <w:rsid w:val="00D20700"/>
    <w:rsid w:val="00D20BFC"/>
    <w:rsid w:val="00D20CE4"/>
    <w:rsid w:val="00D20FD4"/>
    <w:rsid w:val="00D210DC"/>
    <w:rsid w:val="00D21170"/>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0BA"/>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D9B"/>
    <w:rsid w:val="00D26DD4"/>
    <w:rsid w:val="00D26F57"/>
    <w:rsid w:val="00D26FCA"/>
    <w:rsid w:val="00D271C9"/>
    <w:rsid w:val="00D272A2"/>
    <w:rsid w:val="00D276BB"/>
    <w:rsid w:val="00D27853"/>
    <w:rsid w:val="00D300C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BE6"/>
    <w:rsid w:val="00D34F04"/>
    <w:rsid w:val="00D34FB1"/>
    <w:rsid w:val="00D350AF"/>
    <w:rsid w:val="00D353D1"/>
    <w:rsid w:val="00D358BB"/>
    <w:rsid w:val="00D35E39"/>
    <w:rsid w:val="00D3601B"/>
    <w:rsid w:val="00D36107"/>
    <w:rsid w:val="00D36A87"/>
    <w:rsid w:val="00D37058"/>
    <w:rsid w:val="00D371E6"/>
    <w:rsid w:val="00D37392"/>
    <w:rsid w:val="00D376CF"/>
    <w:rsid w:val="00D37785"/>
    <w:rsid w:val="00D379A8"/>
    <w:rsid w:val="00D37BDE"/>
    <w:rsid w:val="00D37E14"/>
    <w:rsid w:val="00D37F37"/>
    <w:rsid w:val="00D400D0"/>
    <w:rsid w:val="00D40B8D"/>
    <w:rsid w:val="00D40D1B"/>
    <w:rsid w:val="00D41040"/>
    <w:rsid w:val="00D410D5"/>
    <w:rsid w:val="00D411B3"/>
    <w:rsid w:val="00D413EC"/>
    <w:rsid w:val="00D41840"/>
    <w:rsid w:val="00D41BDF"/>
    <w:rsid w:val="00D41C99"/>
    <w:rsid w:val="00D41CE7"/>
    <w:rsid w:val="00D41D11"/>
    <w:rsid w:val="00D41E44"/>
    <w:rsid w:val="00D42591"/>
    <w:rsid w:val="00D4312C"/>
    <w:rsid w:val="00D433C8"/>
    <w:rsid w:val="00D43E00"/>
    <w:rsid w:val="00D43FEA"/>
    <w:rsid w:val="00D440C4"/>
    <w:rsid w:val="00D44172"/>
    <w:rsid w:val="00D4421B"/>
    <w:rsid w:val="00D4444E"/>
    <w:rsid w:val="00D445E6"/>
    <w:rsid w:val="00D447BF"/>
    <w:rsid w:val="00D449C1"/>
    <w:rsid w:val="00D44A16"/>
    <w:rsid w:val="00D4567F"/>
    <w:rsid w:val="00D45A23"/>
    <w:rsid w:val="00D45A9E"/>
    <w:rsid w:val="00D45B10"/>
    <w:rsid w:val="00D45CE4"/>
    <w:rsid w:val="00D45E05"/>
    <w:rsid w:val="00D45F34"/>
    <w:rsid w:val="00D461DE"/>
    <w:rsid w:val="00D462E4"/>
    <w:rsid w:val="00D467FA"/>
    <w:rsid w:val="00D4689B"/>
    <w:rsid w:val="00D4689C"/>
    <w:rsid w:val="00D46E18"/>
    <w:rsid w:val="00D4700A"/>
    <w:rsid w:val="00D4723D"/>
    <w:rsid w:val="00D472FC"/>
    <w:rsid w:val="00D47C7E"/>
    <w:rsid w:val="00D47D89"/>
    <w:rsid w:val="00D50409"/>
    <w:rsid w:val="00D50510"/>
    <w:rsid w:val="00D50762"/>
    <w:rsid w:val="00D508D0"/>
    <w:rsid w:val="00D50BDE"/>
    <w:rsid w:val="00D50DED"/>
    <w:rsid w:val="00D50ECC"/>
    <w:rsid w:val="00D511DD"/>
    <w:rsid w:val="00D514FE"/>
    <w:rsid w:val="00D516AB"/>
    <w:rsid w:val="00D51810"/>
    <w:rsid w:val="00D51890"/>
    <w:rsid w:val="00D518CF"/>
    <w:rsid w:val="00D519DB"/>
    <w:rsid w:val="00D51D27"/>
    <w:rsid w:val="00D51D4B"/>
    <w:rsid w:val="00D51E95"/>
    <w:rsid w:val="00D51F30"/>
    <w:rsid w:val="00D5203E"/>
    <w:rsid w:val="00D5219F"/>
    <w:rsid w:val="00D52398"/>
    <w:rsid w:val="00D5282D"/>
    <w:rsid w:val="00D52E71"/>
    <w:rsid w:val="00D52FBC"/>
    <w:rsid w:val="00D532AA"/>
    <w:rsid w:val="00D53589"/>
    <w:rsid w:val="00D5380F"/>
    <w:rsid w:val="00D53815"/>
    <w:rsid w:val="00D53EAE"/>
    <w:rsid w:val="00D540FA"/>
    <w:rsid w:val="00D542AB"/>
    <w:rsid w:val="00D542C1"/>
    <w:rsid w:val="00D54599"/>
    <w:rsid w:val="00D54A66"/>
    <w:rsid w:val="00D54C35"/>
    <w:rsid w:val="00D54CEC"/>
    <w:rsid w:val="00D54D41"/>
    <w:rsid w:val="00D54DED"/>
    <w:rsid w:val="00D551FD"/>
    <w:rsid w:val="00D5521B"/>
    <w:rsid w:val="00D55225"/>
    <w:rsid w:val="00D55561"/>
    <w:rsid w:val="00D55763"/>
    <w:rsid w:val="00D55CAA"/>
    <w:rsid w:val="00D55CED"/>
    <w:rsid w:val="00D55F06"/>
    <w:rsid w:val="00D55F8B"/>
    <w:rsid w:val="00D566C7"/>
    <w:rsid w:val="00D567E1"/>
    <w:rsid w:val="00D56A30"/>
    <w:rsid w:val="00D56CA6"/>
    <w:rsid w:val="00D570B1"/>
    <w:rsid w:val="00D5722B"/>
    <w:rsid w:val="00D57491"/>
    <w:rsid w:val="00D5791D"/>
    <w:rsid w:val="00D57A4B"/>
    <w:rsid w:val="00D57A61"/>
    <w:rsid w:val="00D57C03"/>
    <w:rsid w:val="00D60077"/>
    <w:rsid w:val="00D601E6"/>
    <w:rsid w:val="00D60296"/>
    <w:rsid w:val="00D60743"/>
    <w:rsid w:val="00D60DE4"/>
    <w:rsid w:val="00D60E3E"/>
    <w:rsid w:val="00D6125B"/>
    <w:rsid w:val="00D61438"/>
    <w:rsid w:val="00D61583"/>
    <w:rsid w:val="00D61F26"/>
    <w:rsid w:val="00D61F49"/>
    <w:rsid w:val="00D6224C"/>
    <w:rsid w:val="00D622F2"/>
    <w:rsid w:val="00D62623"/>
    <w:rsid w:val="00D62941"/>
    <w:rsid w:val="00D62EC9"/>
    <w:rsid w:val="00D634B7"/>
    <w:rsid w:val="00D635A7"/>
    <w:rsid w:val="00D63938"/>
    <w:rsid w:val="00D63C57"/>
    <w:rsid w:val="00D63D49"/>
    <w:rsid w:val="00D63D9C"/>
    <w:rsid w:val="00D63EEE"/>
    <w:rsid w:val="00D641C6"/>
    <w:rsid w:val="00D6438E"/>
    <w:rsid w:val="00D6441B"/>
    <w:rsid w:val="00D647A5"/>
    <w:rsid w:val="00D647B3"/>
    <w:rsid w:val="00D649B0"/>
    <w:rsid w:val="00D649DE"/>
    <w:rsid w:val="00D64D7A"/>
    <w:rsid w:val="00D64E6F"/>
    <w:rsid w:val="00D65430"/>
    <w:rsid w:val="00D65493"/>
    <w:rsid w:val="00D65B87"/>
    <w:rsid w:val="00D65C6F"/>
    <w:rsid w:val="00D65EDD"/>
    <w:rsid w:val="00D66130"/>
    <w:rsid w:val="00D6616A"/>
    <w:rsid w:val="00D6634E"/>
    <w:rsid w:val="00D66672"/>
    <w:rsid w:val="00D666AD"/>
    <w:rsid w:val="00D667CA"/>
    <w:rsid w:val="00D6688E"/>
    <w:rsid w:val="00D66A2A"/>
    <w:rsid w:val="00D6740B"/>
    <w:rsid w:val="00D67515"/>
    <w:rsid w:val="00D6758A"/>
    <w:rsid w:val="00D67AD0"/>
    <w:rsid w:val="00D67C2B"/>
    <w:rsid w:val="00D67C6B"/>
    <w:rsid w:val="00D67CAC"/>
    <w:rsid w:val="00D67EDB"/>
    <w:rsid w:val="00D7025B"/>
    <w:rsid w:val="00D70A73"/>
    <w:rsid w:val="00D70C0A"/>
    <w:rsid w:val="00D70EF3"/>
    <w:rsid w:val="00D71178"/>
    <w:rsid w:val="00D71264"/>
    <w:rsid w:val="00D717BB"/>
    <w:rsid w:val="00D718B4"/>
    <w:rsid w:val="00D71D41"/>
    <w:rsid w:val="00D722F2"/>
    <w:rsid w:val="00D72331"/>
    <w:rsid w:val="00D72391"/>
    <w:rsid w:val="00D725D1"/>
    <w:rsid w:val="00D7279E"/>
    <w:rsid w:val="00D72902"/>
    <w:rsid w:val="00D72D42"/>
    <w:rsid w:val="00D72FE9"/>
    <w:rsid w:val="00D738D4"/>
    <w:rsid w:val="00D73AE7"/>
    <w:rsid w:val="00D73B6D"/>
    <w:rsid w:val="00D741CE"/>
    <w:rsid w:val="00D74232"/>
    <w:rsid w:val="00D74352"/>
    <w:rsid w:val="00D74893"/>
    <w:rsid w:val="00D74913"/>
    <w:rsid w:val="00D755EE"/>
    <w:rsid w:val="00D758AB"/>
    <w:rsid w:val="00D759E0"/>
    <w:rsid w:val="00D75B73"/>
    <w:rsid w:val="00D75C6D"/>
    <w:rsid w:val="00D75DC5"/>
    <w:rsid w:val="00D75DFA"/>
    <w:rsid w:val="00D76007"/>
    <w:rsid w:val="00D76032"/>
    <w:rsid w:val="00D764F2"/>
    <w:rsid w:val="00D76A39"/>
    <w:rsid w:val="00D76CEC"/>
    <w:rsid w:val="00D76FBD"/>
    <w:rsid w:val="00D801C7"/>
    <w:rsid w:val="00D80252"/>
    <w:rsid w:val="00D80359"/>
    <w:rsid w:val="00D80AC9"/>
    <w:rsid w:val="00D80BB0"/>
    <w:rsid w:val="00D80CC9"/>
    <w:rsid w:val="00D80DFE"/>
    <w:rsid w:val="00D80ECF"/>
    <w:rsid w:val="00D80F7E"/>
    <w:rsid w:val="00D80FF9"/>
    <w:rsid w:val="00D8148B"/>
    <w:rsid w:val="00D81571"/>
    <w:rsid w:val="00D8184C"/>
    <w:rsid w:val="00D81A71"/>
    <w:rsid w:val="00D81C3E"/>
    <w:rsid w:val="00D81CB2"/>
    <w:rsid w:val="00D82110"/>
    <w:rsid w:val="00D823E4"/>
    <w:rsid w:val="00D8240A"/>
    <w:rsid w:val="00D82472"/>
    <w:rsid w:val="00D82849"/>
    <w:rsid w:val="00D8285B"/>
    <w:rsid w:val="00D83081"/>
    <w:rsid w:val="00D832A4"/>
    <w:rsid w:val="00D839E9"/>
    <w:rsid w:val="00D83A5E"/>
    <w:rsid w:val="00D83C91"/>
    <w:rsid w:val="00D83E10"/>
    <w:rsid w:val="00D8434E"/>
    <w:rsid w:val="00D84418"/>
    <w:rsid w:val="00D84527"/>
    <w:rsid w:val="00D84C25"/>
    <w:rsid w:val="00D84D13"/>
    <w:rsid w:val="00D84E86"/>
    <w:rsid w:val="00D85348"/>
    <w:rsid w:val="00D8537C"/>
    <w:rsid w:val="00D8543E"/>
    <w:rsid w:val="00D85A3B"/>
    <w:rsid w:val="00D85D8D"/>
    <w:rsid w:val="00D86038"/>
    <w:rsid w:val="00D862A5"/>
    <w:rsid w:val="00D86396"/>
    <w:rsid w:val="00D867D2"/>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34EC"/>
    <w:rsid w:val="00D93661"/>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A6A"/>
    <w:rsid w:val="00DA0CDD"/>
    <w:rsid w:val="00DA13AD"/>
    <w:rsid w:val="00DA16A8"/>
    <w:rsid w:val="00DA19D4"/>
    <w:rsid w:val="00DA1A47"/>
    <w:rsid w:val="00DA1C12"/>
    <w:rsid w:val="00DA1CA3"/>
    <w:rsid w:val="00DA23FB"/>
    <w:rsid w:val="00DA2630"/>
    <w:rsid w:val="00DA2661"/>
    <w:rsid w:val="00DA2864"/>
    <w:rsid w:val="00DA2C5B"/>
    <w:rsid w:val="00DA2FAF"/>
    <w:rsid w:val="00DA3078"/>
    <w:rsid w:val="00DA3282"/>
    <w:rsid w:val="00DA3302"/>
    <w:rsid w:val="00DA33BE"/>
    <w:rsid w:val="00DA356B"/>
    <w:rsid w:val="00DA3584"/>
    <w:rsid w:val="00DA3719"/>
    <w:rsid w:val="00DA39AF"/>
    <w:rsid w:val="00DA41D7"/>
    <w:rsid w:val="00DA4322"/>
    <w:rsid w:val="00DA4978"/>
    <w:rsid w:val="00DA49C7"/>
    <w:rsid w:val="00DA4BA5"/>
    <w:rsid w:val="00DA51A9"/>
    <w:rsid w:val="00DA5A68"/>
    <w:rsid w:val="00DA5F3B"/>
    <w:rsid w:val="00DA5FC3"/>
    <w:rsid w:val="00DA6004"/>
    <w:rsid w:val="00DA6122"/>
    <w:rsid w:val="00DA6173"/>
    <w:rsid w:val="00DA6275"/>
    <w:rsid w:val="00DA6302"/>
    <w:rsid w:val="00DA64ED"/>
    <w:rsid w:val="00DA681E"/>
    <w:rsid w:val="00DA68C4"/>
    <w:rsid w:val="00DA6ADF"/>
    <w:rsid w:val="00DA6DB6"/>
    <w:rsid w:val="00DA6DCF"/>
    <w:rsid w:val="00DA6F17"/>
    <w:rsid w:val="00DA78E7"/>
    <w:rsid w:val="00DB006F"/>
    <w:rsid w:val="00DB01E5"/>
    <w:rsid w:val="00DB04A8"/>
    <w:rsid w:val="00DB0659"/>
    <w:rsid w:val="00DB0851"/>
    <w:rsid w:val="00DB0999"/>
    <w:rsid w:val="00DB0B74"/>
    <w:rsid w:val="00DB0E39"/>
    <w:rsid w:val="00DB0F5B"/>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4F71"/>
    <w:rsid w:val="00DB5C18"/>
    <w:rsid w:val="00DB5C7A"/>
    <w:rsid w:val="00DB5F08"/>
    <w:rsid w:val="00DB60D5"/>
    <w:rsid w:val="00DB6122"/>
    <w:rsid w:val="00DB627F"/>
    <w:rsid w:val="00DB6290"/>
    <w:rsid w:val="00DB6463"/>
    <w:rsid w:val="00DB66D5"/>
    <w:rsid w:val="00DB6A46"/>
    <w:rsid w:val="00DB7236"/>
    <w:rsid w:val="00DB7699"/>
    <w:rsid w:val="00DB78A4"/>
    <w:rsid w:val="00DB7D6C"/>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583"/>
    <w:rsid w:val="00DC4653"/>
    <w:rsid w:val="00DC4CA6"/>
    <w:rsid w:val="00DC4DE8"/>
    <w:rsid w:val="00DC4EE1"/>
    <w:rsid w:val="00DC4F22"/>
    <w:rsid w:val="00DC5174"/>
    <w:rsid w:val="00DC5467"/>
    <w:rsid w:val="00DC57B3"/>
    <w:rsid w:val="00DC58E4"/>
    <w:rsid w:val="00DC5BD3"/>
    <w:rsid w:val="00DC60CC"/>
    <w:rsid w:val="00DC6786"/>
    <w:rsid w:val="00DC6B2C"/>
    <w:rsid w:val="00DC6E69"/>
    <w:rsid w:val="00DC725F"/>
    <w:rsid w:val="00DC73DA"/>
    <w:rsid w:val="00DC741A"/>
    <w:rsid w:val="00DC7483"/>
    <w:rsid w:val="00DC750F"/>
    <w:rsid w:val="00DC78E1"/>
    <w:rsid w:val="00DC7A6F"/>
    <w:rsid w:val="00DC7D98"/>
    <w:rsid w:val="00DC7E68"/>
    <w:rsid w:val="00DD0368"/>
    <w:rsid w:val="00DD07C5"/>
    <w:rsid w:val="00DD0860"/>
    <w:rsid w:val="00DD0ECF"/>
    <w:rsid w:val="00DD0FCD"/>
    <w:rsid w:val="00DD10AF"/>
    <w:rsid w:val="00DD161F"/>
    <w:rsid w:val="00DD17BD"/>
    <w:rsid w:val="00DD1862"/>
    <w:rsid w:val="00DD1E35"/>
    <w:rsid w:val="00DD2111"/>
    <w:rsid w:val="00DD237E"/>
    <w:rsid w:val="00DD256F"/>
    <w:rsid w:val="00DD2C3B"/>
    <w:rsid w:val="00DD2D0E"/>
    <w:rsid w:val="00DD3FE9"/>
    <w:rsid w:val="00DD4173"/>
    <w:rsid w:val="00DD47C9"/>
    <w:rsid w:val="00DD4A14"/>
    <w:rsid w:val="00DD4AB7"/>
    <w:rsid w:val="00DD4E61"/>
    <w:rsid w:val="00DD50A9"/>
    <w:rsid w:val="00DD55C0"/>
    <w:rsid w:val="00DD5B0E"/>
    <w:rsid w:val="00DD5E51"/>
    <w:rsid w:val="00DD5F84"/>
    <w:rsid w:val="00DD63C8"/>
    <w:rsid w:val="00DD6A3C"/>
    <w:rsid w:val="00DD6BDF"/>
    <w:rsid w:val="00DD6CD6"/>
    <w:rsid w:val="00DD76EF"/>
    <w:rsid w:val="00DD7BF9"/>
    <w:rsid w:val="00DE0386"/>
    <w:rsid w:val="00DE0D03"/>
    <w:rsid w:val="00DE1136"/>
    <w:rsid w:val="00DE1186"/>
    <w:rsid w:val="00DE120C"/>
    <w:rsid w:val="00DE166B"/>
    <w:rsid w:val="00DE19FA"/>
    <w:rsid w:val="00DE1C41"/>
    <w:rsid w:val="00DE2320"/>
    <w:rsid w:val="00DE2628"/>
    <w:rsid w:val="00DE2692"/>
    <w:rsid w:val="00DE2958"/>
    <w:rsid w:val="00DE29F9"/>
    <w:rsid w:val="00DE2AD2"/>
    <w:rsid w:val="00DE2D50"/>
    <w:rsid w:val="00DE2E8A"/>
    <w:rsid w:val="00DE2F92"/>
    <w:rsid w:val="00DE367F"/>
    <w:rsid w:val="00DE36CF"/>
    <w:rsid w:val="00DE37F7"/>
    <w:rsid w:val="00DE3EE9"/>
    <w:rsid w:val="00DE4318"/>
    <w:rsid w:val="00DE4713"/>
    <w:rsid w:val="00DE48B3"/>
    <w:rsid w:val="00DE4D0C"/>
    <w:rsid w:val="00DE4DE2"/>
    <w:rsid w:val="00DE52B6"/>
    <w:rsid w:val="00DE5CD0"/>
    <w:rsid w:val="00DE64CA"/>
    <w:rsid w:val="00DE65F1"/>
    <w:rsid w:val="00DE6649"/>
    <w:rsid w:val="00DE6A4A"/>
    <w:rsid w:val="00DE6E04"/>
    <w:rsid w:val="00DE712C"/>
    <w:rsid w:val="00DE7190"/>
    <w:rsid w:val="00DE726B"/>
    <w:rsid w:val="00DE74E7"/>
    <w:rsid w:val="00DE7770"/>
    <w:rsid w:val="00DE788D"/>
    <w:rsid w:val="00DE79BA"/>
    <w:rsid w:val="00DE7CAA"/>
    <w:rsid w:val="00DE7D84"/>
    <w:rsid w:val="00DF019D"/>
    <w:rsid w:val="00DF0206"/>
    <w:rsid w:val="00DF03E5"/>
    <w:rsid w:val="00DF08AE"/>
    <w:rsid w:val="00DF0B28"/>
    <w:rsid w:val="00DF0D4A"/>
    <w:rsid w:val="00DF106A"/>
    <w:rsid w:val="00DF12C9"/>
    <w:rsid w:val="00DF13E0"/>
    <w:rsid w:val="00DF1492"/>
    <w:rsid w:val="00DF1677"/>
    <w:rsid w:val="00DF1813"/>
    <w:rsid w:val="00DF190D"/>
    <w:rsid w:val="00DF1C33"/>
    <w:rsid w:val="00DF1DEC"/>
    <w:rsid w:val="00DF2211"/>
    <w:rsid w:val="00DF2375"/>
    <w:rsid w:val="00DF2378"/>
    <w:rsid w:val="00DF243E"/>
    <w:rsid w:val="00DF2714"/>
    <w:rsid w:val="00DF271C"/>
    <w:rsid w:val="00DF273A"/>
    <w:rsid w:val="00DF2791"/>
    <w:rsid w:val="00DF279B"/>
    <w:rsid w:val="00DF2941"/>
    <w:rsid w:val="00DF2B27"/>
    <w:rsid w:val="00DF2CBB"/>
    <w:rsid w:val="00DF35AC"/>
    <w:rsid w:val="00DF35B5"/>
    <w:rsid w:val="00DF37F3"/>
    <w:rsid w:val="00DF384A"/>
    <w:rsid w:val="00DF3AF8"/>
    <w:rsid w:val="00DF3CEC"/>
    <w:rsid w:val="00DF3E28"/>
    <w:rsid w:val="00DF3F7E"/>
    <w:rsid w:val="00DF41D0"/>
    <w:rsid w:val="00DF44F1"/>
    <w:rsid w:val="00DF4698"/>
    <w:rsid w:val="00DF47B0"/>
    <w:rsid w:val="00DF4808"/>
    <w:rsid w:val="00DF4E30"/>
    <w:rsid w:val="00DF54BA"/>
    <w:rsid w:val="00DF54D9"/>
    <w:rsid w:val="00DF5666"/>
    <w:rsid w:val="00DF56C1"/>
    <w:rsid w:val="00DF583C"/>
    <w:rsid w:val="00DF596D"/>
    <w:rsid w:val="00DF5A38"/>
    <w:rsid w:val="00DF5A74"/>
    <w:rsid w:val="00DF5B8A"/>
    <w:rsid w:val="00DF5D0E"/>
    <w:rsid w:val="00DF5D66"/>
    <w:rsid w:val="00DF5D94"/>
    <w:rsid w:val="00DF5F9B"/>
    <w:rsid w:val="00DF60E3"/>
    <w:rsid w:val="00DF60FF"/>
    <w:rsid w:val="00DF61AC"/>
    <w:rsid w:val="00DF6262"/>
    <w:rsid w:val="00DF62E4"/>
    <w:rsid w:val="00DF6603"/>
    <w:rsid w:val="00DF6660"/>
    <w:rsid w:val="00DF666E"/>
    <w:rsid w:val="00DF6A3E"/>
    <w:rsid w:val="00DF6BEB"/>
    <w:rsid w:val="00DF6E4C"/>
    <w:rsid w:val="00DF712C"/>
    <w:rsid w:val="00DF73E9"/>
    <w:rsid w:val="00DF78B6"/>
    <w:rsid w:val="00E00420"/>
    <w:rsid w:val="00E004C0"/>
    <w:rsid w:val="00E00733"/>
    <w:rsid w:val="00E00749"/>
    <w:rsid w:val="00E00863"/>
    <w:rsid w:val="00E00F61"/>
    <w:rsid w:val="00E010C5"/>
    <w:rsid w:val="00E01254"/>
    <w:rsid w:val="00E0145F"/>
    <w:rsid w:val="00E01461"/>
    <w:rsid w:val="00E014B4"/>
    <w:rsid w:val="00E015B8"/>
    <w:rsid w:val="00E015DE"/>
    <w:rsid w:val="00E01786"/>
    <w:rsid w:val="00E01835"/>
    <w:rsid w:val="00E018E0"/>
    <w:rsid w:val="00E01986"/>
    <w:rsid w:val="00E01AD6"/>
    <w:rsid w:val="00E01BF8"/>
    <w:rsid w:val="00E01F91"/>
    <w:rsid w:val="00E02134"/>
    <w:rsid w:val="00E021BF"/>
    <w:rsid w:val="00E0272B"/>
    <w:rsid w:val="00E027CF"/>
    <w:rsid w:val="00E02D55"/>
    <w:rsid w:val="00E02DDA"/>
    <w:rsid w:val="00E03C28"/>
    <w:rsid w:val="00E03CB6"/>
    <w:rsid w:val="00E03F54"/>
    <w:rsid w:val="00E04537"/>
    <w:rsid w:val="00E045FE"/>
    <w:rsid w:val="00E04779"/>
    <w:rsid w:val="00E047AF"/>
    <w:rsid w:val="00E04C46"/>
    <w:rsid w:val="00E04F58"/>
    <w:rsid w:val="00E0561E"/>
    <w:rsid w:val="00E0574C"/>
    <w:rsid w:val="00E05880"/>
    <w:rsid w:val="00E06615"/>
    <w:rsid w:val="00E066A4"/>
    <w:rsid w:val="00E07227"/>
    <w:rsid w:val="00E077BB"/>
    <w:rsid w:val="00E1005D"/>
    <w:rsid w:val="00E10711"/>
    <w:rsid w:val="00E10BBB"/>
    <w:rsid w:val="00E10EAA"/>
    <w:rsid w:val="00E11128"/>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1AA"/>
    <w:rsid w:val="00E14302"/>
    <w:rsid w:val="00E14D8B"/>
    <w:rsid w:val="00E153A7"/>
    <w:rsid w:val="00E15851"/>
    <w:rsid w:val="00E15FE1"/>
    <w:rsid w:val="00E16109"/>
    <w:rsid w:val="00E16427"/>
    <w:rsid w:val="00E16533"/>
    <w:rsid w:val="00E16E08"/>
    <w:rsid w:val="00E170BD"/>
    <w:rsid w:val="00E17C2C"/>
    <w:rsid w:val="00E17ED4"/>
    <w:rsid w:val="00E20280"/>
    <w:rsid w:val="00E20CB9"/>
    <w:rsid w:val="00E20E9A"/>
    <w:rsid w:val="00E21260"/>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0DF"/>
    <w:rsid w:val="00E2432B"/>
    <w:rsid w:val="00E243D5"/>
    <w:rsid w:val="00E244A4"/>
    <w:rsid w:val="00E245C4"/>
    <w:rsid w:val="00E24C4A"/>
    <w:rsid w:val="00E24C59"/>
    <w:rsid w:val="00E24F56"/>
    <w:rsid w:val="00E24FE1"/>
    <w:rsid w:val="00E251E2"/>
    <w:rsid w:val="00E25271"/>
    <w:rsid w:val="00E252C7"/>
    <w:rsid w:val="00E25371"/>
    <w:rsid w:val="00E25403"/>
    <w:rsid w:val="00E254E6"/>
    <w:rsid w:val="00E25B68"/>
    <w:rsid w:val="00E25FE0"/>
    <w:rsid w:val="00E261B2"/>
    <w:rsid w:val="00E26254"/>
    <w:rsid w:val="00E262AA"/>
    <w:rsid w:val="00E26431"/>
    <w:rsid w:val="00E2651F"/>
    <w:rsid w:val="00E269D1"/>
    <w:rsid w:val="00E26C03"/>
    <w:rsid w:val="00E26CDF"/>
    <w:rsid w:val="00E27011"/>
    <w:rsid w:val="00E27094"/>
    <w:rsid w:val="00E27157"/>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360"/>
    <w:rsid w:val="00E32699"/>
    <w:rsid w:val="00E32D22"/>
    <w:rsid w:val="00E32E01"/>
    <w:rsid w:val="00E32E1D"/>
    <w:rsid w:val="00E33140"/>
    <w:rsid w:val="00E336F1"/>
    <w:rsid w:val="00E33BD8"/>
    <w:rsid w:val="00E33C8A"/>
    <w:rsid w:val="00E33F61"/>
    <w:rsid w:val="00E34174"/>
    <w:rsid w:val="00E3470A"/>
    <w:rsid w:val="00E34983"/>
    <w:rsid w:val="00E34A62"/>
    <w:rsid w:val="00E34E25"/>
    <w:rsid w:val="00E35094"/>
    <w:rsid w:val="00E35484"/>
    <w:rsid w:val="00E357B0"/>
    <w:rsid w:val="00E3587D"/>
    <w:rsid w:val="00E36534"/>
    <w:rsid w:val="00E36708"/>
    <w:rsid w:val="00E36963"/>
    <w:rsid w:val="00E36B77"/>
    <w:rsid w:val="00E36F20"/>
    <w:rsid w:val="00E37307"/>
    <w:rsid w:val="00E37A4F"/>
    <w:rsid w:val="00E37C46"/>
    <w:rsid w:val="00E37D9F"/>
    <w:rsid w:val="00E4048A"/>
    <w:rsid w:val="00E40630"/>
    <w:rsid w:val="00E407DE"/>
    <w:rsid w:val="00E40CEE"/>
    <w:rsid w:val="00E40E2D"/>
    <w:rsid w:val="00E4167D"/>
    <w:rsid w:val="00E41740"/>
    <w:rsid w:val="00E418FF"/>
    <w:rsid w:val="00E41923"/>
    <w:rsid w:val="00E41CA2"/>
    <w:rsid w:val="00E41F45"/>
    <w:rsid w:val="00E424B9"/>
    <w:rsid w:val="00E426B2"/>
    <w:rsid w:val="00E429B4"/>
    <w:rsid w:val="00E42AC8"/>
    <w:rsid w:val="00E42BB6"/>
    <w:rsid w:val="00E42CB4"/>
    <w:rsid w:val="00E42D3F"/>
    <w:rsid w:val="00E42FD6"/>
    <w:rsid w:val="00E43074"/>
    <w:rsid w:val="00E43183"/>
    <w:rsid w:val="00E43433"/>
    <w:rsid w:val="00E434F7"/>
    <w:rsid w:val="00E4353E"/>
    <w:rsid w:val="00E43C57"/>
    <w:rsid w:val="00E43F4E"/>
    <w:rsid w:val="00E43FB3"/>
    <w:rsid w:val="00E440A0"/>
    <w:rsid w:val="00E446B0"/>
    <w:rsid w:val="00E44A7C"/>
    <w:rsid w:val="00E44C3E"/>
    <w:rsid w:val="00E44EE9"/>
    <w:rsid w:val="00E44F95"/>
    <w:rsid w:val="00E454EC"/>
    <w:rsid w:val="00E45615"/>
    <w:rsid w:val="00E45719"/>
    <w:rsid w:val="00E45721"/>
    <w:rsid w:val="00E45B61"/>
    <w:rsid w:val="00E45B73"/>
    <w:rsid w:val="00E45BBC"/>
    <w:rsid w:val="00E45E04"/>
    <w:rsid w:val="00E46234"/>
    <w:rsid w:val="00E46408"/>
    <w:rsid w:val="00E46574"/>
    <w:rsid w:val="00E465AD"/>
    <w:rsid w:val="00E468A3"/>
    <w:rsid w:val="00E46AC9"/>
    <w:rsid w:val="00E4705D"/>
    <w:rsid w:val="00E47305"/>
    <w:rsid w:val="00E47CE8"/>
    <w:rsid w:val="00E47F52"/>
    <w:rsid w:val="00E50071"/>
    <w:rsid w:val="00E50651"/>
    <w:rsid w:val="00E50A0E"/>
    <w:rsid w:val="00E50C35"/>
    <w:rsid w:val="00E50DB2"/>
    <w:rsid w:val="00E512FB"/>
    <w:rsid w:val="00E51DBC"/>
    <w:rsid w:val="00E51E53"/>
    <w:rsid w:val="00E51FE8"/>
    <w:rsid w:val="00E522B2"/>
    <w:rsid w:val="00E522BC"/>
    <w:rsid w:val="00E5235D"/>
    <w:rsid w:val="00E528A7"/>
    <w:rsid w:val="00E529C3"/>
    <w:rsid w:val="00E52AF4"/>
    <w:rsid w:val="00E52B68"/>
    <w:rsid w:val="00E5340D"/>
    <w:rsid w:val="00E5363B"/>
    <w:rsid w:val="00E539DD"/>
    <w:rsid w:val="00E53DDA"/>
    <w:rsid w:val="00E53DF8"/>
    <w:rsid w:val="00E54033"/>
    <w:rsid w:val="00E543E0"/>
    <w:rsid w:val="00E544A3"/>
    <w:rsid w:val="00E545C6"/>
    <w:rsid w:val="00E54AAC"/>
    <w:rsid w:val="00E54BE5"/>
    <w:rsid w:val="00E54D9C"/>
    <w:rsid w:val="00E54DB5"/>
    <w:rsid w:val="00E54DBA"/>
    <w:rsid w:val="00E55486"/>
    <w:rsid w:val="00E5576B"/>
    <w:rsid w:val="00E5595E"/>
    <w:rsid w:val="00E55AF7"/>
    <w:rsid w:val="00E55D90"/>
    <w:rsid w:val="00E55E38"/>
    <w:rsid w:val="00E55EDD"/>
    <w:rsid w:val="00E55F17"/>
    <w:rsid w:val="00E567CD"/>
    <w:rsid w:val="00E56CC1"/>
    <w:rsid w:val="00E56F6A"/>
    <w:rsid w:val="00E57056"/>
    <w:rsid w:val="00E57182"/>
    <w:rsid w:val="00E57391"/>
    <w:rsid w:val="00E5764A"/>
    <w:rsid w:val="00E57777"/>
    <w:rsid w:val="00E5793B"/>
    <w:rsid w:val="00E57D64"/>
    <w:rsid w:val="00E57E87"/>
    <w:rsid w:val="00E57EAD"/>
    <w:rsid w:val="00E600F8"/>
    <w:rsid w:val="00E6063A"/>
    <w:rsid w:val="00E607F8"/>
    <w:rsid w:val="00E6097F"/>
    <w:rsid w:val="00E60CDD"/>
    <w:rsid w:val="00E60CF7"/>
    <w:rsid w:val="00E60DDF"/>
    <w:rsid w:val="00E61030"/>
    <w:rsid w:val="00E6160F"/>
    <w:rsid w:val="00E61768"/>
    <w:rsid w:val="00E6196E"/>
    <w:rsid w:val="00E61E50"/>
    <w:rsid w:val="00E6217C"/>
    <w:rsid w:val="00E622C3"/>
    <w:rsid w:val="00E6250E"/>
    <w:rsid w:val="00E62BE9"/>
    <w:rsid w:val="00E632BF"/>
    <w:rsid w:val="00E635D6"/>
    <w:rsid w:val="00E63838"/>
    <w:rsid w:val="00E63FEB"/>
    <w:rsid w:val="00E640D4"/>
    <w:rsid w:val="00E6447B"/>
    <w:rsid w:val="00E6453A"/>
    <w:rsid w:val="00E648C0"/>
    <w:rsid w:val="00E648C7"/>
    <w:rsid w:val="00E649E0"/>
    <w:rsid w:val="00E64BF8"/>
    <w:rsid w:val="00E64DDF"/>
    <w:rsid w:val="00E64EA9"/>
    <w:rsid w:val="00E650AC"/>
    <w:rsid w:val="00E65244"/>
    <w:rsid w:val="00E65592"/>
    <w:rsid w:val="00E656FA"/>
    <w:rsid w:val="00E658EA"/>
    <w:rsid w:val="00E6595F"/>
    <w:rsid w:val="00E65BB4"/>
    <w:rsid w:val="00E65C29"/>
    <w:rsid w:val="00E65C55"/>
    <w:rsid w:val="00E65C6C"/>
    <w:rsid w:val="00E662F3"/>
    <w:rsid w:val="00E66F24"/>
    <w:rsid w:val="00E67342"/>
    <w:rsid w:val="00E67853"/>
    <w:rsid w:val="00E67A96"/>
    <w:rsid w:val="00E67ADA"/>
    <w:rsid w:val="00E67C62"/>
    <w:rsid w:val="00E67E1F"/>
    <w:rsid w:val="00E67EF0"/>
    <w:rsid w:val="00E70378"/>
    <w:rsid w:val="00E705CC"/>
    <w:rsid w:val="00E7099A"/>
    <w:rsid w:val="00E70A6F"/>
    <w:rsid w:val="00E70F82"/>
    <w:rsid w:val="00E710C9"/>
    <w:rsid w:val="00E711F6"/>
    <w:rsid w:val="00E71220"/>
    <w:rsid w:val="00E712B7"/>
    <w:rsid w:val="00E71602"/>
    <w:rsid w:val="00E718C9"/>
    <w:rsid w:val="00E71B00"/>
    <w:rsid w:val="00E723AA"/>
    <w:rsid w:val="00E7244E"/>
    <w:rsid w:val="00E727D2"/>
    <w:rsid w:val="00E72D85"/>
    <w:rsid w:val="00E73258"/>
    <w:rsid w:val="00E73627"/>
    <w:rsid w:val="00E73667"/>
    <w:rsid w:val="00E73768"/>
    <w:rsid w:val="00E743D2"/>
    <w:rsid w:val="00E747AC"/>
    <w:rsid w:val="00E754E4"/>
    <w:rsid w:val="00E755B3"/>
    <w:rsid w:val="00E75C21"/>
    <w:rsid w:val="00E75D52"/>
    <w:rsid w:val="00E75F45"/>
    <w:rsid w:val="00E75F72"/>
    <w:rsid w:val="00E7611C"/>
    <w:rsid w:val="00E77038"/>
    <w:rsid w:val="00E7772F"/>
    <w:rsid w:val="00E77807"/>
    <w:rsid w:val="00E77C00"/>
    <w:rsid w:val="00E77EB8"/>
    <w:rsid w:val="00E800ED"/>
    <w:rsid w:val="00E80113"/>
    <w:rsid w:val="00E80279"/>
    <w:rsid w:val="00E803D1"/>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58B"/>
    <w:rsid w:val="00E8565A"/>
    <w:rsid w:val="00E85675"/>
    <w:rsid w:val="00E85A36"/>
    <w:rsid w:val="00E85BF0"/>
    <w:rsid w:val="00E85E2C"/>
    <w:rsid w:val="00E864B1"/>
    <w:rsid w:val="00E8653E"/>
    <w:rsid w:val="00E86C3F"/>
    <w:rsid w:val="00E86CA8"/>
    <w:rsid w:val="00E873CB"/>
    <w:rsid w:val="00E8766F"/>
    <w:rsid w:val="00E876C6"/>
    <w:rsid w:val="00E877D1"/>
    <w:rsid w:val="00E87DB0"/>
    <w:rsid w:val="00E90089"/>
    <w:rsid w:val="00E900AA"/>
    <w:rsid w:val="00E9011C"/>
    <w:rsid w:val="00E90156"/>
    <w:rsid w:val="00E901A2"/>
    <w:rsid w:val="00E90F8F"/>
    <w:rsid w:val="00E9112C"/>
    <w:rsid w:val="00E9146F"/>
    <w:rsid w:val="00E9149B"/>
    <w:rsid w:val="00E918B9"/>
    <w:rsid w:val="00E918DF"/>
    <w:rsid w:val="00E91A6F"/>
    <w:rsid w:val="00E91DEC"/>
    <w:rsid w:val="00E91E40"/>
    <w:rsid w:val="00E92038"/>
    <w:rsid w:val="00E921ED"/>
    <w:rsid w:val="00E9235D"/>
    <w:rsid w:val="00E923C1"/>
    <w:rsid w:val="00E927A0"/>
    <w:rsid w:val="00E92825"/>
    <w:rsid w:val="00E92B1B"/>
    <w:rsid w:val="00E92B4B"/>
    <w:rsid w:val="00E92BB9"/>
    <w:rsid w:val="00E92BC1"/>
    <w:rsid w:val="00E92C0F"/>
    <w:rsid w:val="00E92C24"/>
    <w:rsid w:val="00E92F0E"/>
    <w:rsid w:val="00E93049"/>
    <w:rsid w:val="00E9304D"/>
    <w:rsid w:val="00E930E4"/>
    <w:rsid w:val="00E934BF"/>
    <w:rsid w:val="00E93639"/>
    <w:rsid w:val="00E93A74"/>
    <w:rsid w:val="00E94061"/>
    <w:rsid w:val="00E94187"/>
    <w:rsid w:val="00E9447C"/>
    <w:rsid w:val="00E94B5B"/>
    <w:rsid w:val="00E94CC7"/>
    <w:rsid w:val="00E94D73"/>
    <w:rsid w:val="00E94E51"/>
    <w:rsid w:val="00E9535E"/>
    <w:rsid w:val="00E95695"/>
    <w:rsid w:val="00E95A8F"/>
    <w:rsid w:val="00E95C7C"/>
    <w:rsid w:val="00E960AD"/>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1F7"/>
    <w:rsid w:val="00EA0331"/>
    <w:rsid w:val="00EA05D5"/>
    <w:rsid w:val="00EA0A55"/>
    <w:rsid w:val="00EA0A5B"/>
    <w:rsid w:val="00EA10A5"/>
    <w:rsid w:val="00EA15A8"/>
    <w:rsid w:val="00EA1759"/>
    <w:rsid w:val="00EA17A0"/>
    <w:rsid w:val="00EA17B6"/>
    <w:rsid w:val="00EA1911"/>
    <w:rsid w:val="00EA1945"/>
    <w:rsid w:val="00EA1DBB"/>
    <w:rsid w:val="00EA1E33"/>
    <w:rsid w:val="00EA25FF"/>
    <w:rsid w:val="00EA2AC3"/>
    <w:rsid w:val="00EA2AC6"/>
    <w:rsid w:val="00EA2E8D"/>
    <w:rsid w:val="00EA3353"/>
    <w:rsid w:val="00EA34C1"/>
    <w:rsid w:val="00EA35C4"/>
    <w:rsid w:val="00EA369E"/>
    <w:rsid w:val="00EA3A0E"/>
    <w:rsid w:val="00EA3A39"/>
    <w:rsid w:val="00EA3C36"/>
    <w:rsid w:val="00EA4424"/>
    <w:rsid w:val="00EA4475"/>
    <w:rsid w:val="00EA45B4"/>
    <w:rsid w:val="00EA4688"/>
    <w:rsid w:val="00EA4B34"/>
    <w:rsid w:val="00EA4C72"/>
    <w:rsid w:val="00EA510E"/>
    <w:rsid w:val="00EA5559"/>
    <w:rsid w:val="00EA5772"/>
    <w:rsid w:val="00EA5FD1"/>
    <w:rsid w:val="00EA619E"/>
    <w:rsid w:val="00EA6BC3"/>
    <w:rsid w:val="00EA6BE0"/>
    <w:rsid w:val="00EA6BFD"/>
    <w:rsid w:val="00EA7284"/>
    <w:rsid w:val="00EA7456"/>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38D4"/>
    <w:rsid w:val="00EB409F"/>
    <w:rsid w:val="00EB45A7"/>
    <w:rsid w:val="00EB4683"/>
    <w:rsid w:val="00EB4DE5"/>
    <w:rsid w:val="00EB4FB8"/>
    <w:rsid w:val="00EB50D3"/>
    <w:rsid w:val="00EB5380"/>
    <w:rsid w:val="00EB56B1"/>
    <w:rsid w:val="00EB59DA"/>
    <w:rsid w:val="00EB5A30"/>
    <w:rsid w:val="00EB5B82"/>
    <w:rsid w:val="00EB5CF1"/>
    <w:rsid w:val="00EB6324"/>
    <w:rsid w:val="00EB69BE"/>
    <w:rsid w:val="00EB6A2F"/>
    <w:rsid w:val="00EB6A6A"/>
    <w:rsid w:val="00EB7572"/>
    <w:rsid w:val="00EB7F43"/>
    <w:rsid w:val="00EC0284"/>
    <w:rsid w:val="00EC0A3B"/>
    <w:rsid w:val="00EC0A5C"/>
    <w:rsid w:val="00EC0C9F"/>
    <w:rsid w:val="00EC105F"/>
    <w:rsid w:val="00EC1675"/>
    <w:rsid w:val="00EC233F"/>
    <w:rsid w:val="00EC243C"/>
    <w:rsid w:val="00EC25D8"/>
    <w:rsid w:val="00EC2A11"/>
    <w:rsid w:val="00EC2A27"/>
    <w:rsid w:val="00EC33FA"/>
    <w:rsid w:val="00EC349A"/>
    <w:rsid w:val="00EC351C"/>
    <w:rsid w:val="00EC383F"/>
    <w:rsid w:val="00EC3968"/>
    <w:rsid w:val="00EC3B8D"/>
    <w:rsid w:val="00EC3F4B"/>
    <w:rsid w:val="00EC3FF3"/>
    <w:rsid w:val="00EC4379"/>
    <w:rsid w:val="00EC442A"/>
    <w:rsid w:val="00EC483C"/>
    <w:rsid w:val="00EC4C93"/>
    <w:rsid w:val="00EC4D8B"/>
    <w:rsid w:val="00EC5988"/>
    <w:rsid w:val="00EC5CF9"/>
    <w:rsid w:val="00EC5F1F"/>
    <w:rsid w:val="00EC6216"/>
    <w:rsid w:val="00EC6254"/>
    <w:rsid w:val="00EC62C0"/>
    <w:rsid w:val="00EC6474"/>
    <w:rsid w:val="00EC6530"/>
    <w:rsid w:val="00EC65B9"/>
    <w:rsid w:val="00EC67E2"/>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631"/>
    <w:rsid w:val="00ED2B08"/>
    <w:rsid w:val="00ED2B25"/>
    <w:rsid w:val="00ED2B72"/>
    <w:rsid w:val="00ED2EF1"/>
    <w:rsid w:val="00ED3125"/>
    <w:rsid w:val="00ED31E8"/>
    <w:rsid w:val="00ED3241"/>
    <w:rsid w:val="00ED3297"/>
    <w:rsid w:val="00ED372A"/>
    <w:rsid w:val="00ED383D"/>
    <w:rsid w:val="00ED398B"/>
    <w:rsid w:val="00ED3A99"/>
    <w:rsid w:val="00ED3F6D"/>
    <w:rsid w:val="00ED44A3"/>
    <w:rsid w:val="00ED44B5"/>
    <w:rsid w:val="00ED44F2"/>
    <w:rsid w:val="00ED4814"/>
    <w:rsid w:val="00ED4869"/>
    <w:rsid w:val="00ED4CA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897"/>
    <w:rsid w:val="00EE1B32"/>
    <w:rsid w:val="00EE228B"/>
    <w:rsid w:val="00EE242E"/>
    <w:rsid w:val="00EE28BB"/>
    <w:rsid w:val="00EE2B0B"/>
    <w:rsid w:val="00EE2C20"/>
    <w:rsid w:val="00EE2DDA"/>
    <w:rsid w:val="00EE2E1D"/>
    <w:rsid w:val="00EE300F"/>
    <w:rsid w:val="00EE3199"/>
    <w:rsid w:val="00EE3B57"/>
    <w:rsid w:val="00EE3D23"/>
    <w:rsid w:val="00EE40AC"/>
    <w:rsid w:val="00EE4103"/>
    <w:rsid w:val="00EE4106"/>
    <w:rsid w:val="00EE424B"/>
    <w:rsid w:val="00EE42C3"/>
    <w:rsid w:val="00EE46C5"/>
    <w:rsid w:val="00EE487A"/>
    <w:rsid w:val="00EE4C7C"/>
    <w:rsid w:val="00EE4DB1"/>
    <w:rsid w:val="00EE5642"/>
    <w:rsid w:val="00EE5AC7"/>
    <w:rsid w:val="00EE5AF9"/>
    <w:rsid w:val="00EE60EF"/>
    <w:rsid w:val="00EE6137"/>
    <w:rsid w:val="00EE6428"/>
    <w:rsid w:val="00EE674B"/>
    <w:rsid w:val="00EE6A81"/>
    <w:rsid w:val="00EE6A8E"/>
    <w:rsid w:val="00EE71C8"/>
    <w:rsid w:val="00EE71D4"/>
    <w:rsid w:val="00EE72A6"/>
    <w:rsid w:val="00EE737F"/>
    <w:rsid w:val="00EE767E"/>
    <w:rsid w:val="00EE76ED"/>
    <w:rsid w:val="00EE7B24"/>
    <w:rsid w:val="00EE7E1A"/>
    <w:rsid w:val="00EF0013"/>
    <w:rsid w:val="00EF019B"/>
    <w:rsid w:val="00EF0775"/>
    <w:rsid w:val="00EF0838"/>
    <w:rsid w:val="00EF094A"/>
    <w:rsid w:val="00EF0BC9"/>
    <w:rsid w:val="00EF0DCD"/>
    <w:rsid w:val="00EF10B2"/>
    <w:rsid w:val="00EF11D4"/>
    <w:rsid w:val="00EF1526"/>
    <w:rsid w:val="00EF1720"/>
    <w:rsid w:val="00EF2092"/>
    <w:rsid w:val="00EF210F"/>
    <w:rsid w:val="00EF2335"/>
    <w:rsid w:val="00EF2413"/>
    <w:rsid w:val="00EF29FE"/>
    <w:rsid w:val="00EF2B39"/>
    <w:rsid w:val="00EF310B"/>
    <w:rsid w:val="00EF3220"/>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BD7"/>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3F5"/>
    <w:rsid w:val="00EF74A5"/>
    <w:rsid w:val="00EF7651"/>
    <w:rsid w:val="00EF77B2"/>
    <w:rsid w:val="00EF7E81"/>
    <w:rsid w:val="00EF7F1C"/>
    <w:rsid w:val="00F00336"/>
    <w:rsid w:val="00F0039A"/>
    <w:rsid w:val="00F008B6"/>
    <w:rsid w:val="00F0093A"/>
    <w:rsid w:val="00F00AE0"/>
    <w:rsid w:val="00F00B97"/>
    <w:rsid w:val="00F00BFA"/>
    <w:rsid w:val="00F00F8C"/>
    <w:rsid w:val="00F01233"/>
    <w:rsid w:val="00F01467"/>
    <w:rsid w:val="00F017DE"/>
    <w:rsid w:val="00F01C9D"/>
    <w:rsid w:val="00F01F50"/>
    <w:rsid w:val="00F02370"/>
    <w:rsid w:val="00F025EB"/>
    <w:rsid w:val="00F02662"/>
    <w:rsid w:val="00F02871"/>
    <w:rsid w:val="00F029BA"/>
    <w:rsid w:val="00F02C83"/>
    <w:rsid w:val="00F02E24"/>
    <w:rsid w:val="00F0301F"/>
    <w:rsid w:val="00F032DC"/>
    <w:rsid w:val="00F0330D"/>
    <w:rsid w:val="00F03DFF"/>
    <w:rsid w:val="00F03E8D"/>
    <w:rsid w:val="00F0422A"/>
    <w:rsid w:val="00F043FC"/>
    <w:rsid w:val="00F0456C"/>
    <w:rsid w:val="00F046EF"/>
    <w:rsid w:val="00F049F3"/>
    <w:rsid w:val="00F04AF2"/>
    <w:rsid w:val="00F04CE7"/>
    <w:rsid w:val="00F04E85"/>
    <w:rsid w:val="00F05C75"/>
    <w:rsid w:val="00F05D9D"/>
    <w:rsid w:val="00F066D7"/>
    <w:rsid w:val="00F0681C"/>
    <w:rsid w:val="00F069B7"/>
    <w:rsid w:val="00F06DDD"/>
    <w:rsid w:val="00F06F01"/>
    <w:rsid w:val="00F06F97"/>
    <w:rsid w:val="00F070F8"/>
    <w:rsid w:val="00F0714D"/>
    <w:rsid w:val="00F07174"/>
    <w:rsid w:val="00F0728D"/>
    <w:rsid w:val="00F07437"/>
    <w:rsid w:val="00F0763C"/>
    <w:rsid w:val="00F07843"/>
    <w:rsid w:val="00F07B4B"/>
    <w:rsid w:val="00F07DCF"/>
    <w:rsid w:val="00F07F57"/>
    <w:rsid w:val="00F1013C"/>
    <w:rsid w:val="00F107B8"/>
    <w:rsid w:val="00F10BFD"/>
    <w:rsid w:val="00F10CD3"/>
    <w:rsid w:val="00F10D66"/>
    <w:rsid w:val="00F112BC"/>
    <w:rsid w:val="00F1157C"/>
    <w:rsid w:val="00F11EC8"/>
    <w:rsid w:val="00F12084"/>
    <w:rsid w:val="00F120DD"/>
    <w:rsid w:val="00F12702"/>
    <w:rsid w:val="00F128CE"/>
    <w:rsid w:val="00F12BB8"/>
    <w:rsid w:val="00F12C6F"/>
    <w:rsid w:val="00F137E4"/>
    <w:rsid w:val="00F13AE9"/>
    <w:rsid w:val="00F13C8D"/>
    <w:rsid w:val="00F13DB6"/>
    <w:rsid w:val="00F1429A"/>
    <w:rsid w:val="00F14449"/>
    <w:rsid w:val="00F14896"/>
    <w:rsid w:val="00F14A28"/>
    <w:rsid w:val="00F14A92"/>
    <w:rsid w:val="00F14A98"/>
    <w:rsid w:val="00F14C76"/>
    <w:rsid w:val="00F153DE"/>
    <w:rsid w:val="00F15596"/>
    <w:rsid w:val="00F158D7"/>
    <w:rsid w:val="00F15916"/>
    <w:rsid w:val="00F15AD5"/>
    <w:rsid w:val="00F15F0F"/>
    <w:rsid w:val="00F161E1"/>
    <w:rsid w:val="00F1621C"/>
    <w:rsid w:val="00F169C6"/>
    <w:rsid w:val="00F174C5"/>
    <w:rsid w:val="00F17518"/>
    <w:rsid w:val="00F179D9"/>
    <w:rsid w:val="00F2003F"/>
    <w:rsid w:val="00F20093"/>
    <w:rsid w:val="00F20241"/>
    <w:rsid w:val="00F20D01"/>
    <w:rsid w:val="00F21139"/>
    <w:rsid w:val="00F2113F"/>
    <w:rsid w:val="00F21296"/>
    <w:rsid w:val="00F2193C"/>
    <w:rsid w:val="00F21E9D"/>
    <w:rsid w:val="00F21FA9"/>
    <w:rsid w:val="00F21FF6"/>
    <w:rsid w:val="00F22117"/>
    <w:rsid w:val="00F2235F"/>
    <w:rsid w:val="00F22726"/>
    <w:rsid w:val="00F228E8"/>
    <w:rsid w:val="00F22C3C"/>
    <w:rsid w:val="00F22C80"/>
    <w:rsid w:val="00F23438"/>
    <w:rsid w:val="00F2356E"/>
    <w:rsid w:val="00F23684"/>
    <w:rsid w:val="00F23D0C"/>
    <w:rsid w:val="00F23D17"/>
    <w:rsid w:val="00F243F4"/>
    <w:rsid w:val="00F2482F"/>
    <w:rsid w:val="00F2490E"/>
    <w:rsid w:val="00F24DC0"/>
    <w:rsid w:val="00F24E3C"/>
    <w:rsid w:val="00F25323"/>
    <w:rsid w:val="00F2554E"/>
    <w:rsid w:val="00F25BC2"/>
    <w:rsid w:val="00F2604A"/>
    <w:rsid w:val="00F2655C"/>
    <w:rsid w:val="00F265E6"/>
    <w:rsid w:val="00F26675"/>
    <w:rsid w:val="00F26678"/>
    <w:rsid w:val="00F269CB"/>
    <w:rsid w:val="00F26A2C"/>
    <w:rsid w:val="00F26D7B"/>
    <w:rsid w:val="00F2709B"/>
    <w:rsid w:val="00F27238"/>
    <w:rsid w:val="00F27295"/>
    <w:rsid w:val="00F2765F"/>
    <w:rsid w:val="00F27875"/>
    <w:rsid w:val="00F27955"/>
    <w:rsid w:val="00F279CE"/>
    <w:rsid w:val="00F27ACD"/>
    <w:rsid w:val="00F27ED9"/>
    <w:rsid w:val="00F30003"/>
    <w:rsid w:val="00F301ED"/>
    <w:rsid w:val="00F302B8"/>
    <w:rsid w:val="00F302FE"/>
    <w:rsid w:val="00F303E3"/>
    <w:rsid w:val="00F30572"/>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3CBD"/>
    <w:rsid w:val="00F33F8A"/>
    <w:rsid w:val="00F3431C"/>
    <w:rsid w:val="00F344CB"/>
    <w:rsid w:val="00F344D7"/>
    <w:rsid w:val="00F352C3"/>
    <w:rsid w:val="00F35517"/>
    <w:rsid w:val="00F35681"/>
    <w:rsid w:val="00F35B9A"/>
    <w:rsid w:val="00F35D62"/>
    <w:rsid w:val="00F35E34"/>
    <w:rsid w:val="00F3604F"/>
    <w:rsid w:val="00F36548"/>
    <w:rsid w:val="00F3664C"/>
    <w:rsid w:val="00F36826"/>
    <w:rsid w:val="00F36AF3"/>
    <w:rsid w:val="00F36B36"/>
    <w:rsid w:val="00F36E8F"/>
    <w:rsid w:val="00F37149"/>
    <w:rsid w:val="00F3748B"/>
    <w:rsid w:val="00F374D2"/>
    <w:rsid w:val="00F37B45"/>
    <w:rsid w:val="00F37F3F"/>
    <w:rsid w:val="00F400D4"/>
    <w:rsid w:val="00F40220"/>
    <w:rsid w:val="00F40245"/>
    <w:rsid w:val="00F40662"/>
    <w:rsid w:val="00F406F8"/>
    <w:rsid w:val="00F4077C"/>
    <w:rsid w:val="00F40D4A"/>
    <w:rsid w:val="00F40F3E"/>
    <w:rsid w:val="00F41319"/>
    <w:rsid w:val="00F41343"/>
    <w:rsid w:val="00F416A5"/>
    <w:rsid w:val="00F416E7"/>
    <w:rsid w:val="00F41FAA"/>
    <w:rsid w:val="00F42366"/>
    <w:rsid w:val="00F42BE1"/>
    <w:rsid w:val="00F42BF9"/>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40"/>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7D"/>
    <w:rsid w:val="00F47950"/>
    <w:rsid w:val="00F47A2C"/>
    <w:rsid w:val="00F47EC6"/>
    <w:rsid w:val="00F5009E"/>
    <w:rsid w:val="00F506E6"/>
    <w:rsid w:val="00F508C1"/>
    <w:rsid w:val="00F511A6"/>
    <w:rsid w:val="00F517FD"/>
    <w:rsid w:val="00F51882"/>
    <w:rsid w:val="00F51E29"/>
    <w:rsid w:val="00F51ED0"/>
    <w:rsid w:val="00F5204C"/>
    <w:rsid w:val="00F5204E"/>
    <w:rsid w:val="00F52181"/>
    <w:rsid w:val="00F523E6"/>
    <w:rsid w:val="00F529BF"/>
    <w:rsid w:val="00F52D22"/>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3D1"/>
    <w:rsid w:val="00F56754"/>
    <w:rsid w:val="00F567C9"/>
    <w:rsid w:val="00F568C0"/>
    <w:rsid w:val="00F568D9"/>
    <w:rsid w:val="00F56AF3"/>
    <w:rsid w:val="00F56D12"/>
    <w:rsid w:val="00F56DD4"/>
    <w:rsid w:val="00F56DFE"/>
    <w:rsid w:val="00F5711B"/>
    <w:rsid w:val="00F571F2"/>
    <w:rsid w:val="00F574A1"/>
    <w:rsid w:val="00F57539"/>
    <w:rsid w:val="00F5759E"/>
    <w:rsid w:val="00F57647"/>
    <w:rsid w:val="00F5789C"/>
    <w:rsid w:val="00F602AB"/>
    <w:rsid w:val="00F602BD"/>
    <w:rsid w:val="00F603CA"/>
    <w:rsid w:val="00F60CEE"/>
    <w:rsid w:val="00F60E52"/>
    <w:rsid w:val="00F61B14"/>
    <w:rsid w:val="00F61B34"/>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9C8"/>
    <w:rsid w:val="00F65B34"/>
    <w:rsid w:val="00F65BEB"/>
    <w:rsid w:val="00F65D5F"/>
    <w:rsid w:val="00F6615C"/>
    <w:rsid w:val="00F66436"/>
    <w:rsid w:val="00F668DF"/>
    <w:rsid w:val="00F66957"/>
    <w:rsid w:val="00F66B2E"/>
    <w:rsid w:val="00F66B38"/>
    <w:rsid w:val="00F66BB4"/>
    <w:rsid w:val="00F6706D"/>
    <w:rsid w:val="00F67122"/>
    <w:rsid w:val="00F67579"/>
    <w:rsid w:val="00F675E3"/>
    <w:rsid w:val="00F679D8"/>
    <w:rsid w:val="00F67A7B"/>
    <w:rsid w:val="00F67BEC"/>
    <w:rsid w:val="00F67CF3"/>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0A3"/>
    <w:rsid w:val="00F722D9"/>
    <w:rsid w:val="00F72369"/>
    <w:rsid w:val="00F72744"/>
    <w:rsid w:val="00F7312F"/>
    <w:rsid w:val="00F73201"/>
    <w:rsid w:val="00F73505"/>
    <w:rsid w:val="00F735CD"/>
    <w:rsid w:val="00F736EB"/>
    <w:rsid w:val="00F73A09"/>
    <w:rsid w:val="00F73C3D"/>
    <w:rsid w:val="00F73D9F"/>
    <w:rsid w:val="00F73ECE"/>
    <w:rsid w:val="00F74231"/>
    <w:rsid w:val="00F7437E"/>
    <w:rsid w:val="00F74495"/>
    <w:rsid w:val="00F746AF"/>
    <w:rsid w:val="00F746FB"/>
    <w:rsid w:val="00F747C1"/>
    <w:rsid w:val="00F748FD"/>
    <w:rsid w:val="00F74B88"/>
    <w:rsid w:val="00F74C04"/>
    <w:rsid w:val="00F74F5C"/>
    <w:rsid w:val="00F751CB"/>
    <w:rsid w:val="00F751FD"/>
    <w:rsid w:val="00F755F2"/>
    <w:rsid w:val="00F75CE3"/>
    <w:rsid w:val="00F7606B"/>
    <w:rsid w:val="00F7637D"/>
    <w:rsid w:val="00F7638A"/>
    <w:rsid w:val="00F763F3"/>
    <w:rsid w:val="00F7691F"/>
    <w:rsid w:val="00F76B15"/>
    <w:rsid w:val="00F76F6F"/>
    <w:rsid w:val="00F7729A"/>
    <w:rsid w:val="00F772D0"/>
    <w:rsid w:val="00F773DD"/>
    <w:rsid w:val="00F779BA"/>
    <w:rsid w:val="00F77A1B"/>
    <w:rsid w:val="00F8020E"/>
    <w:rsid w:val="00F8071B"/>
    <w:rsid w:val="00F807C9"/>
    <w:rsid w:val="00F80B95"/>
    <w:rsid w:val="00F80B9E"/>
    <w:rsid w:val="00F80F70"/>
    <w:rsid w:val="00F810F8"/>
    <w:rsid w:val="00F813BA"/>
    <w:rsid w:val="00F81B69"/>
    <w:rsid w:val="00F821B2"/>
    <w:rsid w:val="00F823A4"/>
    <w:rsid w:val="00F828CA"/>
    <w:rsid w:val="00F82945"/>
    <w:rsid w:val="00F829C6"/>
    <w:rsid w:val="00F82DA6"/>
    <w:rsid w:val="00F82FC2"/>
    <w:rsid w:val="00F836C6"/>
    <w:rsid w:val="00F83712"/>
    <w:rsid w:val="00F838EB"/>
    <w:rsid w:val="00F83A8A"/>
    <w:rsid w:val="00F83F45"/>
    <w:rsid w:val="00F83FBE"/>
    <w:rsid w:val="00F848EF"/>
    <w:rsid w:val="00F852BD"/>
    <w:rsid w:val="00F852F4"/>
    <w:rsid w:val="00F85662"/>
    <w:rsid w:val="00F856C4"/>
    <w:rsid w:val="00F86117"/>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5B2"/>
    <w:rsid w:val="00F94883"/>
    <w:rsid w:val="00F94B6A"/>
    <w:rsid w:val="00F94B93"/>
    <w:rsid w:val="00F9574B"/>
    <w:rsid w:val="00F95784"/>
    <w:rsid w:val="00F958E3"/>
    <w:rsid w:val="00F959DB"/>
    <w:rsid w:val="00F95C16"/>
    <w:rsid w:val="00F95F51"/>
    <w:rsid w:val="00F96290"/>
    <w:rsid w:val="00F968AC"/>
    <w:rsid w:val="00F968C9"/>
    <w:rsid w:val="00F96AB8"/>
    <w:rsid w:val="00F96AE2"/>
    <w:rsid w:val="00F96B30"/>
    <w:rsid w:val="00F96D53"/>
    <w:rsid w:val="00F96ED9"/>
    <w:rsid w:val="00F96FB2"/>
    <w:rsid w:val="00F96FB5"/>
    <w:rsid w:val="00F974A4"/>
    <w:rsid w:val="00F97A02"/>
    <w:rsid w:val="00FA0339"/>
    <w:rsid w:val="00FA03E7"/>
    <w:rsid w:val="00FA04FF"/>
    <w:rsid w:val="00FA07BB"/>
    <w:rsid w:val="00FA09AB"/>
    <w:rsid w:val="00FA106C"/>
    <w:rsid w:val="00FA178E"/>
    <w:rsid w:val="00FA1C96"/>
    <w:rsid w:val="00FA20B3"/>
    <w:rsid w:val="00FA20F1"/>
    <w:rsid w:val="00FA2148"/>
    <w:rsid w:val="00FA2344"/>
    <w:rsid w:val="00FA25DF"/>
    <w:rsid w:val="00FA2603"/>
    <w:rsid w:val="00FA276A"/>
    <w:rsid w:val="00FA27BD"/>
    <w:rsid w:val="00FA2A61"/>
    <w:rsid w:val="00FA3226"/>
    <w:rsid w:val="00FA3E1D"/>
    <w:rsid w:val="00FA46C1"/>
    <w:rsid w:val="00FA4B12"/>
    <w:rsid w:val="00FA4DD8"/>
    <w:rsid w:val="00FA4E1E"/>
    <w:rsid w:val="00FA4F27"/>
    <w:rsid w:val="00FA4F79"/>
    <w:rsid w:val="00FA5036"/>
    <w:rsid w:val="00FA5370"/>
    <w:rsid w:val="00FA5411"/>
    <w:rsid w:val="00FA54C8"/>
    <w:rsid w:val="00FA5616"/>
    <w:rsid w:val="00FA5654"/>
    <w:rsid w:val="00FA572C"/>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96C"/>
    <w:rsid w:val="00FA7E79"/>
    <w:rsid w:val="00FB03E8"/>
    <w:rsid w:val="00FB05EA"/>
    <w:rsid w:val="00FB060B"/>
    <w:rsid w:val="00FB0A79"/>
    <w:rsid w:val="00FB0C6E"/>
    <w:rsid w:val="00FB125E"/>
    <w:rsid w:val="00FB150D"/>
    <w:rsid w:val="00FB165F"/>
    <w:rsid w:val="00FB18DA"/>
    <w:rsid w:val="00FB1BAA"/>
    <w:rsid w:val="00FB20CD"/>
    <w:rsid w:val="00FB2103"/>
    <w:rsid w:val="00FB2170"/>
    <w:rsid w:val="00FB2573"/>
    <w:rsid w:val="00FB29F6"/>
    <w:rsid w:val="00FB2C38"/>
    <w:rsid w:val="00FB2C86"/>
    <w:rsid w:val="00FB2FD0"/>
    <w:rsid w:val="00FB3400"/>
    <w:rsid w:val="00FB342E"/>
    <w:rsid w:val="00FB3509"/>
    <w:rsid w:val="00FB36BD"/>
    <w:rsid w:val="00FB3831"/>
    <w:rsid w:val="00FB38B0"/>
    <w:rsid w:val="00FB3D15"/>
    <w:rsid w:val="00FB43F0"/>
    <w:rsid w:val="00FB4913"/>
    <w:rsid w:val="00FB4AF5"/>
    <w:rsid w:val="00FB4EF8"/>
    <w:rsid w:val="00FB50A7"/>
    <w:rsid w:val="00FB528C"/>
    <w:rsid w:val="00FB554A"/>
    <w:rsid w:val="00FB554C"/>
    <w:rsid w:val="00FB5B35"/>
    <w:rsid w:val="00FB5E10"/>
    <w:rsid w:val="00FB624E"/>
    <w:rsid w:val="00FB63D3"/>
    <w:rsid w:val="00FB648A"/>
    <w:rsid w:val="00FB65F9"/>
    <w:rsid w:val="00FB695D"/>
    <w:rsid w:val="00FB6B6B"/>
    <w:rsid w:val="00FB6D52"/>
    <w:rsid w:val="00FB6DE2"/>
    <w:rsid w:val="00FB76BF"/>
    <w:rsid w:val="00FB7CC5"/>
    <w:rsid w:val="00FB7EBB"/>
    <w:rsid w:val="00FC0206"/>
    <w:rsid w:val="00FC07B9"/>
    <w:rsid w:val="00FC0C72"/>
    <w:rsid w:val="00FC0D62"/>
    <w:rsid w:val="00FC0DC9"/>
    <w:rsid w:val="00FC0EB1"/>
    <w:rsid w:val="00FC1549"/>
    <w:rsid w:val="00FC18FD"/>
    <w:rsid w:val="00FC19B0"/>
    <w:rsid w:val="00FC1F1F"/>
    <w:rsid w:val="00FC2283"/>
    <w:rsid w:val="00FC23DD"/>
    <w:rsid w:val="00FC2489"/>
    <w:rsid w:val="00FC2950"/>
    <w:rsid w:val="00FC327F"/>
    <w:rsid w:val="00FC3466"/>
    <w:rsid w:val="00FC378E"/>
    <w:rsid w:val="00FC37B9"/>
    <w:rsid w:val="00FC396D"/>
    <w:rsid w:val="00FC3A49"/>
    <w:rsid w:val="00FC3D6C"/>
    <w:rsid w:val="00FC3DF5"/>
    <w:rsid w:val="00FC401B"/>
    <w:rsid w:val="00FC40B7"/>
    <w:rsid w:val="00FC47DD"/>
    <w:rsid w:val="00FC486B"/>
    <w:rsid w:val="00FC4C85"/>
    <w:rsid w:val="00FC520C"/>
    <w:rsid w:val="00FC540C"/>
    <w:rsid w:val="00FC541E"/>
    <w:rsid w:val="00FC5540"/>
    <w:rsid w:val="00FC564A"/>
    <w:rsid w:val="00FC589F"/>
    <w:rsid w:val="00FC59E1"/>
    <w:rsid w:val="00FC5E07"/>
    <w:rsid w:val="00FC63EA"/>
    <w:rsid w:val="00FC659C"/>
    <w:rsid w:val="00FC65F0"/>
    <w:rsid w:val="00FC6966"/>
    <w:rsid w:val="00FC6CA2"/>
    <w:rsid w:val="00FC6D4A"/>
    <w:rsid w:val="00FC7375"/>
    <w:rsid w:val="00FC73C5"/>
    <w:rsid w:val="00FC783C"/>
    <w:rsid w:val="00FC7ACF"/>
    <w:rsid w:val="00FC7C90"/>
    <w:rsid w:val="00FD0291"/>
    <w:rsid w:val="00FD0311"/>
    <w:rsid w:val="00FD047B"/>
    <w:rsid w:val="00FD04B7"/>
    <w:rsid w:val="00FD05A3"/>
    <w:rsid w:val="00FD0851"/>
    <w:rsid w:val="00FD0E93"/>
    <w:rsid w:val="00FD0EBA"/>
    <w:rsid w:val="00FD1D87"/>
    <w:rsid w:val="00FD1DDC"/>
    <w:rsid w:val="00FD201A"/>
    <w:rsid w:val="00FD21EE"/>
    <w:rsid w:val="00FD2969"/>
    <w:rsid w:val="00FD2C04"/>
    <w:rsid w:val="00FD2F0A"/>
    <w:rsid w:val="00FD312D"/>
    <w:rsid w:val="00FD33B5"/>
    <w:rsid w:val="00FD35CC"/>
    <w:rsid w:val="00FD36CA"/>
    <w:rsid w:val="00FD3F5B"/>
    <w:rsid w:val="00FD4426"/>
    <w:rsid w:val="00FD4887"/>
    <w:rsid w:val="00FD49DE"/>
    <w:rsid w:val="00FD4E7C"/>
    <w:rsid w:val="00FD5010"/>
    <w:rsid w:val="00FD508A"/>
    <w:rsid w:val="00FD51DE"/>
    <w:rsid w:val="00FD546D"/>
    <w:rsid w:val="00FD549B"/>
    <w:rsid w:val="00FD5644"/>
    <w:rsid w:val="00FD57C2"/>
    <w:rsid w:val="00FD5ADF"/>
    <w:rsid w:val="00FD5B0C"/>
    <w:rsid w:val="00FD5C1A"/>
    <w:rsid w:val="00FD5DBC"/>
    <w:rsid w:val="00FD6185"/>
    <w:rsid w:val="00FD625B"/>
    <w:rsid w:val="00FD6286"/>
    <w:rsid w:val="00FD6458"/>
    <w:rsid w:val="00FD645D"/>
    <w:rsid w:val="00FD65B6"/>
    <w:rsid w:val="00FD68DC"/>
    <w:rsid w:val="00FD720D"/>
    <w:rsid w:val="00FD76C3"/>
    <w:rsid w:val="00FD7B72"/>
    <w:rsid w:val="00FD7EA2"/>
    <w:rsid w:val="00FE0641"/>
    <w:rsid w:val="00FE0679"/>
    <w:rsid w:val="00FE07ED"/>
    <w:rsid w:val="00FE0844"/>
    <w:rsid w:val="00FE0DF1"/>
    <w:rsid w:val="00FE0F1B"/>
    <w:rsid w:val="00FE14CF"/>
    <w:rsid w:val="00FE164E"/>
    <w:rsid w:val="00FE16BF"/>
    <w:rsid w:val="00FE1872"/>
    <w:rsid w:val="00FE1BE6"/>
    <w:rsid w:val="00FE1E3E"/>
    <w:rsid w:val="00FE1F71"/>
    <w:rsid w:val="00FE2142"/>
    <w:rsid w:val="00FE2173"/>
    <w:rsid w:val="00FE2375"/>
    <w:rsid w:val="00FE2874"/>
    <w:rsid w:val="00FE2AA0"/>
    <w:rsid w:val="00FE2B13"/>
    <w:rsid w:val="00FE2C1B"/>
    <w:rsid w:val="00FE2CBB"/>
    <w:rsid w:val="00FE2DC5"/>
    <w:rsid w:val="00FE34B5"/>
    <w:rsid w:val="00FE384D"/>
    <w:rsid w:val="00FE3AC9"/>
    <w:rsid w:val="00FE3BF0"/>
    <w:rsid w:val="00FE3C27"/>
    <w:rsid w:val="00FE3EB1"/>
    <w:rsid w:val="00FE42A0"/>
    <w:rsid w:val="00FE45C0"/>
    <w:rsid w:val="00FE4640"/>
    <w:rsid w:val="00FE4ED1"/>
    <w:rsid w:val="00FE51F1"/>
    <w:rsid w:val="00FE5244"/>
    <w:rsid w:val="00FE5979"/>
    <w:rsid w:val="00FE5D19"/>
    <w:rsid w:val="00FE6189"/>
    <w:rsid w:val="00FE63A4"/>
    <w:rsid w:val="00FE653F"/>
    <w:rsid w:val="00FE66F3"/>
    <w:rsid w:val="00FE67A1"/>
    <w:rsid w:val="00FE6B3B"/>
    <w:rsid w:val="00FE6C15"/>
    <w:rsid w:val="00FE6C5B"/>
    <w:rsid w:val="00FE7129"/>
    <w:rsid w:val="00FE73BF"/>
    <w:rsid w:val="00FE767F"/>
    <w:rsid w:val="00FE76E4"/>
    <w:rsid w:val="00FE76F2"/>
    <w:rsid w:val="00FE7D07"/>
    <w:rsid w:val="00FF0087"/>
    <w:rsid w:val="00FF00AB"/>
    <w:rsid w:val="00FF0125"/>
    <w:rsid w:val="00FF022D"/>
    <w:rsid w:val="00FF028A"/>
    <w:rsid w:val="00FF03F3"/>
    <w:rsid w:val="00FF0C0A"/>
    <w:rsid w:val="00FF0D27"/>
    <w:rsid w:val="00FF0DE7"/>
    <w:rsid w:val="00FF0EE5"/>
    <w:rsid w:val="00FF122A"/>
    <w:rsid w:val="00FF14BE"/>
    <w:rsid w:val="00FF1869"/>
    <w:rsid w:val="00FF1D12"/>
    <w:rsid w:val="00FF1D62"/>
    <w:rsid w:val="00FF1FCB"/>
    <w:rsid w:val="00FF23D7"/>
    <w:rsid w:val="00FF2624"/>
    <w:rsid w:val="00FF26F6"/>
    <w:rsid w:val="00FF2958"/>
    <w:rsid w:val="00FF2C73"/>
    <w:rsid w:val="00FF2F15"/>
    <w:rsid w:val="00FF2FEC"/>
    <w:rsid w:val="00FF31F9"/>
    <w:rsid w:val="00FF3365"/>
    <w:rsid w:val="00FF3601"/>
    <w:rsid w:val="00FF3774"/>
    <w:rsid w:val="00FF3859"/>
    <w:rsid w:val="00FF3BA1"/>
    <w:rsid w:val="00FF433E"/>
    <w:rsid w:val="00FF4458"/>
    <w:rsid w:val="00FF4512"/>
    <w:rsid w:val="00FF4AE0"/>
    <w:rsid w:val="00FF4D52"/>
    <w:rsid w:val="00FF4F84"/>
    <w:rsid w:val="00FF5343"/>
    <w:rsid w:val="00FF55CD"/>
    <w:rsid w:val="00FF58E1"/>
    <w:rsid w:val="00FF6033"/>
    <w:rsid w:val="00FF607F"/>
    <w:rsid w:val="00FF618D"/>
    <w:rsid w:val="00FF623A"/>
    <w:rsid w:val="00FF6388"/>
    <w:rsid w:val="00FF64BD"/>
    <w:rsid w:val="00FF6869"/>
    <w:rsid w:val="00FF6951"/>
    <w:rsid w:val="00FF6C1C"/>
    <w:rsid w:val="00FF6C9E"/>
    <w:rsid w:val="00FF6CB1"/>
    <w:rsid w:val="00FF73C1"/>
    <w:rsid w:val="00FF7537"/>
    <w:rsid w:val="00FF75EC"/>
    <w:rsid w:val="00FF7982"/>
    <w:rsid w:val="0F8E4AC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44"/>
    <w:qFormat/>
    <w:uiPriority w:val="99"/>
    <w:pPr>
      <w:keepNext/>
      <w:keepLines/>
      <w:spacing w:before="60" w:after="60" w:line="360" w:lineRule="auto"/>
      <w:jc w:val="center"/>
      <w:outlineLvl w:val="0"/>
    </w:pPr>
    <w:rPr>
      <w:rFonts w:eastAsia="黑体"/>
      <w:b/>
      <w:bCs/>
      <w:kern w:val="44"/>
      <w:sz w:val="28"/>
      <w:szCs w:val="44"/>
    </w:rPr>
  </w:style>
  <w:style w:type="paragraph" w:styleId="3">
    <w:name w:val="heading 2"/>
    <w:basedOn w:val="1"/>
    <w:next w:val="1"/>
    <w:link w:val="45"/>
    <w:qFormat/>
    <w:uiPriority w:val="0"/>
    <w:pPr>
      <w:keepNext/>
      <w:keepLines/>
      <w:spacing w:before="60" w:after="60"/>
      <w:outlineLvl w:val="1"/>
    </w:pPr>
    <w:rPr>
      <w:rFonts w:ascii="Arial" w:hAnsi="Arial"/>
      <w:b/>
      <w:bCs/>
    </w:rPr>
  </w:style>
  <w:style w:type="paragraph" w:styleId="4">
    <w:name w:val="heading 3"/>
    <w:basedOn w:val="1"/>
    <w:next w:val="1"/>
    <w:link w:val="46"/>
    <w:qFormat/>
    <w:uiPriority w:val="9"/>
    <w:pPr>
      <w:keepNext/>
      <w:keepLines/>
      <w:spacing w:before="60" w:after="60"/>
      <w:outlineLvl w:val="2"/>
    </w:pPr>
    <w:rPr>
      <w:b/>
      <w:bCs/>
      <w:szCs w:val="32"/>
    </w:rPr>
  </w:style>
  <w:style w:type="paragraph" w:styleId="5">
    <w:name w:val="heading 4"/>
    <w:basedOn w:val="1"/>
    <w:next w:val="1"/>
    <w:link w:val="47"/>
    <w:qFormat/>
    <w:uiPriority w:val="9"/>
    <w:pPr>
      <w:keepNext/>
      <w:keepLines/>
      <w:spacing w:before="60" w:after="60"/>
      <w:outlineLvl w:val="3"/>
    </w:pPr>
    <w:rPr>
      <w:rFonts w:asciiTheme="minorEastAsia" w:hAnsiTheme="minorEastAsia" w:eastAsiaTheme="minorEastAsia"/>
      <w:b/>
      <w:bCs/>
      <w:szCs w:val="28"/>
    </w:rPr>
  </w:style>
  <w:style w:type="paragraph" w:styleId="6">
    <w:name w:val="heading 5"/>
    <w:basedOn w:val="1"/>
    <w:next w:val="1"/>
    <w:link w:val="48"/>
    <w:qFormat/>
    <w:uiPriority w:val="9"/>
    <w:pPr>
      <w:keepNext/>
      <w:keepLines/>
      <w:spacing w:before="60" w:after="60"/>
      <w:ind w:left="50" w:leftChars="50"/>
      <w:outlineLvl w:val="4"/>
    </w:pPr>
    <w:rPr>
      <w:b/>
      <w:bCs/>
      <w:szCs w:val="28"/>
    </w:rPr>
  </w:style>
  <w:style w:type="paragraph" w:styleId="7">
    <w:name w:val="heading 6"/>
    <w:basedOn w:val="1"/>
    <w:next w:val="1"/>
    <w:link w:val="73"/>
    <w:unhideWhenUsed/>
    <w:qFormat/>
    <w:uiPriority w:val="9"/>
    <w:pPr>
      <w:keepNext/>
      <w:keepLines/>
      <w:widowControl/>
      <w:spacing w:before="60" w:after="60"/>
      <w:ind w:left="50" w:leftChars="50"/>
      <w:jc w:val="left"/>
      <w:outlineLvl w:val="5"/>
    </w:pPr>
    <w:rPr>
      <w:rFonts w:asciiTheme="majorHAnsi" w:hAnsiTheme="majorHAnsi" w:cstheme="majorBidi"/>
      <w:b/>
      <w:bCs/>
      <w:kern w:val="0"/>
      <w:szCs w:val="24"/>
    </w:rPr>
  </w:style>
  <w:style w:type="paragraph" w:styleId="8">
    <w:name w:val="heading 7"/>
    <w:basedOn w:val="1"/>
    <w:next w:val="1"/>
    <w:link w:val="79"/>
    <w:unhideWhenUsed/>
    <w:qFormat/>
    <w:uiPriority w:val="9"/>
    <w:pPr>
      <w:keepNext/>
      <w:keepLines/>
      <w:widowControl/>
      <w:spacing w:before="240" w:after="64" w:line="320" w:lineRule="auto"/>
      <w:jc w:val="left"/>
      <w:outlineLvl w:val="6"/>
    </w:pPr>
    <w:rPr>
      <w:rFonts w:ascii="宋体" w:hAnsi="宋体" w:cs="宋体"/>
      <w:b/>
      <w:bCs/>
      <w:kern w:val="0"/>
      <w:sz w:val="24"/>
      <w:szCs w:val="24"/>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0">
    <w:name w:val="Note Heading"/>
    <w:basedOn w:val="1"/>
    <w:next w:val="1"/>
    <w:link w:val="64"/>
    <w:qFormat/>
    <w:uiPriority w:val="99"/>
    <w:pPr>
      <w:jc w:val="center"/>
    </w:pPr>
    <w:rPr>
      <w:rFonts w:ascii="Times New Roman" w:hAnsi="Times New Roman"/>
    </w:rPr>
  </w:style>
  <w:style w:type="paragraph" w:styleId="11">
    <w:name w:val="Normal Indent"/>
    <w:basedOn w:val="1"/>
    <w:link w:val="125"/>
    <w:qFormat/>
    <w:uiPriority w:val="0"/>
    <w:pPr>
      <w:ind w:firstLine="420" w:firstLineChars="200"/>
    </w:pPr>
    <w:rPr>
      <w:rFonts w:ascii="Times New Roman" w:hAnsi="Times New Roman"/>
    </w:rPr>
  </w:style>
  <w:style w:type="paragraph" w:styleId="12">
    <w:name w:val="Document Map"/>
    <w:basedOn w:val="1"/>
    <w:link w:val="69"/>
    <w:semiHidden/>
    <w:unhideWhenUsed/>
    <w:qFormat/>
    <w:uiPriority w:val="99"/>
    <w:rPr>
      <w:sz w:val="18"/>
      <w:szCs w:val="18"/>
    </w:rPr>
  </w:style>
  <w:style w:type="paragraph" w:styleId="13">
    <w:name w:val="toa heading"/>
    <w:basedOn w:val="1"/>
    <w:next w:val="1"/>
    <w:link w:val="185"/>
    <w:semiHidden/>
    <w:qFormat/>
    <w:uiPriority w:val="0"/>
    <w:pPr>
      <w:spacing w:before="120"/>
    </w:pPr>
    <w:rPr>
      <w:rFonts w:ascii="Arial" w:hAnsi="Arial"/>
      <w:b/>
      <w:bCs/>
    </w:rPr>
  </w:style>
  <w:style w:type="paragraph" w:styleId="14">
    <w:name w:val="annotation text"/>
    <w:basedOn w:val="1"/>
    <w:link w:val="50"/>
    <w:qFormat/>
    <w:uiPriority w:val="99"/>
    <w:pPr>
      <w:jc w:val="left"/>
    </w:pPr>
    <w:rPr>
      <w:rFonts w:ascii="Times New Roman" w:hAnsi="Times New Roman"/>
    </w:rPr>
  </w:style>
  <w:style w:type="paragraph" w:styleId="15">
    <w:name w:val="Salutation"/>
    <w:basedOn w:val="1"/>
    <w:next w:val="1"/>
    <w:link w:val="52"/>
    <w:qFormat/>
    <w:uiPriority w:val="99"/>
    <w:rPr>
      <w:rFonts w:ascii="Times New Roman" w:hAnsi="Times New Roman"/>
    </w:rPr>
  </w:style>
  <w:style w:type="paragraph" w:styleId="16">
    <w:name w:val="List Bullet 3"/>
    <w:basedOn w:val="1"/>
    <w:qFormat/>
    <w:uiPriority w:val="0"/>
    <w:pPr>
      <w:tabs>
        <w:tab w:val="left" w:pos="1200"/>
      </w:tabs>
    </w:pPr>
    <w:rPr>
      <w:rFonts w:ascii="Times New Roman" w:hAnsi="Times New Roman"/>
    </w:rPr>
  </w:style>
  <w:style w:type="paragraph" w:styleId="17">
    <w:name w:val="Body Text"/>
    <w:basedOn w:val="1"/>
    <w:link w:val="61"/>
    <w:qFormat/>
    <w:uiPriority w:val="99"/>
    <w:pPr>
      <w:spacing w:after="120"/>
    </w:pPr>
    <w:rPr>
      <w:rFonts w:ascii="Times New Roman" w:hAnsi="Times New Roman"/>
    </w:rPr>
  </w:style>
  <w:style w:type="paragraph" w:styleId="18">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9">
    <w:name w:val="toc 3"/>
    <w:basedOn w:val="1"/>
    <w:next w:val="1"/>
    <w:unhideWhenUsed/>
    <w:qFormat/>
    <w:uiPriority w:val="39"/>
    <w:pPr>
      <w:widowControl/>
      <w:spacing w:after="100" w:line="276" w:lineRule="auto"/>
      <w:ind w:left="440"/>
      <w:jc w:val="left"/>
    </w:pPr>
    <w:rPr>
      <w:kern w:val="0"/>
      <w:sz w:val="22"/>
      <w:szCs w:val="22"/>
    </w:rPr>
  </w:style>
  <w:style w:type="paragraph" w:styleId="20">
    <w:name w:val="Plain Text"/>
    <w:basedOn w:val="1"/>
    <w:link w:val="59"/>
    <w:qFormat/>
    <w:uiPriority w:val="0"/>
    <w:rPr>
      <w:rFonts w:ascii="宋体" w:hAnsi="Courier New"/>
      <w:szCs w:val="20"/>
    </w:rPr>
  </w:style>
  <w:style w:type="paragraph" w:styleId="21">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2">
    <w:name w:val="Date"/>
    <w:basedOn w:val="1"/>
    <w:next w:val="1"/>
    <w:link w:val="63"/>
    <w:qFormat/>
    <w:uiPriority w:val="99"/>
    <w:pPr>
      <w:ind w:left="100" w:leftChars="2500"/>
    </w:pPr>
    <w:rPr>
      <w:rFonts w:ascii="Times New Roman" w:hAnsi="Times New Roman"/>
    </w:rPr>
  </w:style>
  <w:style w:type="paragraph" w:styleId="23">
    <w:name w:val="endnote text"/>
    <w:basedOn w:val="1"/>
    <w:link w:val="74"/>
    <w:semiHidden/>
    <w:unhideWhenUsed/>
    <w:qFormat/>
    <w:uiPriority w:val="99"/>
    <w:pPr>
      <w:snapToGrid w:val="0"/>
    </w:pPr>
  </w:style>
  <w:style w:type="paragraph" w:styleId="24">
    <w:name w:val="Balloon Text"/>
    <w:basedOn w:val="1"/>
    <w:link w:val="51"/>
    <w:unhideWhenUsed/>
    <w:qFormat/>
    <w:uiPriority w:val="99"/>
    <w:rPr>
      <w:sz w:val="18"/>
      <w:szCs w:val="18"/>
    </w:rPr>
  </w:style>
  <w:style w:type="paragraph" w:styleId="25">
    <w:name w:val="footer"/>
    <w:basedOn w:val="1"/>
    <w:link w:val="58"/>
    <w:unhideWhenUsed/>
    <w:qFormat/>
    <w:uiPriority w:val="99"/>
    <w:pPr>
      <w:tabs>
        <w:tab w:val="center" w:pos="4153"/>
        <w:tab w:val="right" w:pos="8306"/>
      </w:tabs>
      <w:snapToGrid w:val="0"/>
      <w:jc w:val="left"/>
    </w:pPr>
    <w:rPr>
      <w:sz w:val="18"/>
      <w:szCs w:val="18"/>
    </w:rPr>
  </w:style>
  <w:style w:type="paragraph" w:styleId="26">
    <w:name w:val="header"/>
    <w:basedOn w:val="1"/>
    <w:link w:val="57"/>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tabs>
        <w:tab w:val="left" w:pos="1260"/>
        <w:tab w:val="right" w:leader="dot" w:pos="8823"/>
      </w:tabs>
      <w:spacing w:line="360" w:lineRule="auto"/>
    </w:pPr>
    <w:rPr>
      <w:rFonts w:ascii="Times New Roman" w:hAnsi="Times New Roman"/>
    </w:rPr>
  </w:style>
  <w:style w:type="paragraph" w:styleId="28">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9">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30">
    <w:name w:val="toc 2"/>
    <w:basedOn w:val="1"/>
    <w:next w:val="1"/>
    <w:qFormat/>
    <w:uiPriority w:val="39"/>
    <w:pPr>
      <w:ind w:left="420" w:leftChars="200"/>
    </w:pPr>
    <w:rPr>
      <w:rFonts w:ascii="Times New Roman" w:hAnsi="Times New Roman"/>
    </w:rPr>
  </w:style>
  <w:style w:type="paragraph" w:styleId="31">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2">
    <w:name w:val="Normal (Web)"/>
    <w:basedOn w:val="1"/>
    <w:link w:val="121"/>
    <w:qFormat/>
    <w:uiPriority w:val="99"/>
    <w:pPr>
      <w:widowControl/>
      <w:spacing w:before="100" w:beforeAutospacing="1" w:after="100" w:afterAutospacing="1"/>
      <w:jc w:val="left"/>
    </w:pPr>
    <w:rPr>
      <w:rFonts w:ascii="宋体" w:hAnsi="宋体" w:cs="宋体"/>
      <w:kern w:val="0"/>
      <w:sz w:val="24"/>
      <w:szCs w:val="24"/>
    </w:rPr>
  </w:style>
  <w:style w:type="paragraph" w:styleId="33">
    <w:name w:val="index 1"/>
    <w:basedOn w:val="1"/>
    <w:next w:val="1"/>
    <w:link w:val="593"/>
    <w:semiHidden/>
    <w:qFormat/>
    <w:uiPriority w:val="0"/>
    <w:pPr>
      <w:widowControl/>
      <w:ind w:firstLine="420" w:firstLineChars="200"/>
      <w:jc w:val="left"/>
    </w:pPr>
    <w:rPr>
      <w:rFonts w:ascii="宋体" w:hAnsi="宋体"/>
      <w:color w:val="000000"/>
      <w:kern w:val="0"/>
    </w:rPr>
  </w:style>
  <w:style w:type="paragraph" w:styleId="34">
    <w:name w:val="Title"/>
    <w:basedOn w:val="1"/>
    <w:next w:val="1"/>
    <w:link w:val="71"/>
    <w:qFormat/>
    <w:uiPriority w:val="10"/>
    <w:pPr>
      <w:spacing w:before="240" w:after="60"/>
      <w:jc w:val="center"/>
      <w:outlineLvl w:val="0"/>
    </w:pPr>
    <w:rPr>
      <w:rFonts w:asciiTheme="majorHAnsi" w:hAnsiTheme="majorHAnsi" w:cstheme="majorBidi"/>
      <w:b/>
      <w:bCs/>
      <w:sz w:val="32"/>
      <w:szCs w:val="32"/>
    </w:rPr>
  </w:style>
  <w:style w:type="paragraph" w:styleId="35">
    <w:name w:val="annotation subject"/>
    <w:basedOn w:val="14"/>
    <w:next w:val="14"/>
    <w:link w:val="56"/>
    <w:unhideWhenUsed/>
    <w:qFormat/>
    <w:uiPriority w:val="99"/>
    <w:rPr>
      <w:rFonts w:ascii="Calibri" w:hAnsi="Calibri"/>
      <w:b/>
      <w:bCs/>
      <w:szCs w:val="22"/>
    </w:rPr>
  </w:style>
  <w:style w:type="table" w:styleId="37">
    <w:name w:val="Table Grid"/>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endnote reference"/>
    <w:basedOn w:val="38"/>
    <w:semiHidden/>
    <w:unhideWhenUsed/>
    <w:qFormat/>
    <w:uiPriority w:val="99"/>
    <w:rPr>
      <w:vertAlign w:val="superscript"/>
    </w:rPr>
  </w:style>
  <w:style w:type="character" w:styleId="40">
    <w:name w:val="Hyperlink"/>
    <w:basedOn w:val="38"/>
    <w:qFormat/>
    <w:uiPriority w:val="99"/>
    <w:rPr>
      <w:rFonts w:cs="Times New Roman"/>
      <w:color w:val="0000FF"/>
      <w:u w:val="single"/>
    </w:rPr>
  </w:style>
  <w:style w:type="character" w:styleId="41">
    <w:name w:val="annotation reference"/>
    <w:basedOn w:val="38"/>
    <w:link w:val="42"/>
    <w:qFormat/>
    <w:uiPriority w:val="99"/>
    <w:rPr>
      <w:rFonts w:eastAsia="宋体" w:cs="Times New Roman"/>
      <w:kern w:val="2"/>
      <w:sz w:val="21"/>
      <w:szCs w:val="21"/>
      <w:lang w:val="en-US" w:eastAsia="zh-CN" w:bidi="ar-SA"/>
    </w:rPr>
  </w:style>
  <w:style w:type="paragraph" w:customStyle="1" w:styleId="42">
    <w:name w:val="_Style 137"/>
    <w:basedOn w:val="43"/>
    <w:next w:val="1"/>
    <w:link w:val="41"/>
    <w:qFormat/>
    <w:uiPriority w:val="99"/>
    <w:pPr>
      <w:widowControl w:val="0"/>
      <w:jc w:val="center"/>
    </w:pPr>
    <w:rPr>
      <w:rFonts w:ascii="Times New Roman" w:hAnsi="Times New Roman" w:cs="Times New Roman"/>
      <w:kern w:val="2"/>
      <w:szCs w:val="21"/>
    </w:rPr>
  </w:style>
  <w:style w:type="paragraph" w:customStyle="1" w:styleId="43">
    <w:name w:val="_Style 133"/>
    <w:qFormat/>
    <w:uiPriority w:val="0"/>
    <w:rPr>
      <w:rFonts w:ascii="宋体" w:hAnsi="宋体" w:eastAsia="宋体" w:cs="宋体"/>
      <w:sz w:val="21"/>
      <w:szCs w:val="24"/>
      <w:lang w:val="en-US" w:eastAsia="zh-CN" w:bidi="ar-SA"/>
    </w:rPr>
  </w:style>
  <w:style w:type="character" w:customStyle="1" w:styleId="44">
    <w:name w:val="标题 1 字符"/>
    <w:basedOn w:val="38"/>
    <w:link w:val="2"/>
    <w:uiPriority w:val="99"/>
    <w:rPr>
      <w:rFonts w:eastAsia="黑体"/>
      <w:b/>
      <w:bCs/>
      <w:kern w:val="44"/>
      <w:sz w:val="28"/>
      <w:szCs w:val="44"/>
    </w:rPr>
  </w:style>
  <w:style w:type="character" w:customStyle="1" w:styleId="45">
    <w:name w:val="标题 2 字符"/>
    <w:basedOn w:val="38"/>
    <w:link w:val="3"/>
    <w:qFormat/>
    <w:uiPriority w:val="0"/>
    <w:rPr>
      <w:rFonts w:ascii="Arial" w:hAnsi="Arial"/>
      <w:b/>
      <w:bCs/>
      <w:kern w:val="2"/>
      <w:sz w:val="21"/>
      <w:szCs w:val="21"/>
    </w:rPr>
  </w:style>
  <w:style w:type="character" w:customStyle="1" w:styleId="46">
    <w:name w:val="标题 3 字符"/>
    <w:basedOn w:val="38"/>
    <w:link w:val="4"/>
    <w:qFormat/>
    <w:uiPriority w:val="9"/>
    <w:rPr>
      <w:b/>
      <w:bCs/>
      <w:kern w:val="2"/>
      <w:sz w:val="21"/>
      <w:szCs w:val="32"/>
    </w:rPr>
  </w:style>
  <w:style w:type="character" w:customStyle="1" w:styleId="47">
    <w:name w:val="标题 4 字符"/>
    <w:basedOn w:val="38"/>
    <w:link w:val="5"/>
    <w:qFormat/>
    <w:uiPriority w:val="9"/>
    <w:rPr>
      <w:rFonts w:asciiTheme="minorEastAsia" w:hAnsiTheme="minorEastAsia" w:eastAsiaTheme="minorEastAsia"/>
      <w:b/>
      <w:bCs/>
      <w:kern w:val="2"/>
      <w:sz w:val="21"/>
      <w:szCs w:val="28"/>
    </w:rPr>
  </w:style>
  <w:style w:type="character" w:customStyle="1" w:styleId="48">
    <w:name w:val="标题 5 字符"/>
    <w:basedOn w:val="38"/>
    <w:link w:val="6"/>
    <w:qFormat/>
    <w:uiPriority w:val="9"/>
    <w:rPr>
      <w:b/>
      <w:bCs/>
      <w:kern w:val="2"/>
      <w:sz w:val="21"/>
      <w:szCs w:val="28"/>
    </w:rPr>
  </w:style>
  <w:style w:type="paragraph" w:customStyle="1" w:styleId="49">
    <w:name w:val="TOC Heading"/>
    <w:basedOn w:val="2"/>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50">
    <w:name w:val="批注文字 字符"/>
    <w:basedOn w:val="38"/>
    <w:link w:val="14"/>
    <w:qFormat/>
    <w:uiPriority w:val="99"/>
    <w:rPr>
      <w:rFonts w:ascii="Times New Roman" w:hAnsi="Times New Roman" w:eastAsia="宋体" w:cs="Times New Roman"/>
      <w:szCs w:val="21"/>
    </w:rPr>
  </w:style>
  <w:style w:type="character" w:customStyle="1" w:styleId="51">
    <w:name w:val="批注框文本 字符"/>
    <w:basedOn w:val="38"/>
    <w:link w:val="24"/>
    <w:qFormat/>
    <w:uiPriority w:val="99"/>
    <w:rPr>
      <w:rFonts w:ascii="Calibri" w:hAnsi="Calibri" w:eastAsia="宋体" w:cs="Times New Roman"/>
      <w:sz w:val="18"/>
      <w:szCs w:val="18"/>
    </w:rPr>
  </w:style>
  <w:style w:type="character" w:customStyle="1" w:styleId="52">
    <w:name w:val="称呼 字符"/>
    <w:basedOn w:val="38"/>
    <w:link w:val="15"/>
    <w:qFormat/>
    <w:uiPriority w:val="99"/>
    <w:rPr>
      <w:rFonts w:ascii="Times New Roman" w:hAnsi="Times New Roman" w:eastAsia="宋体" w:cs="Times New Roman"/>
      <w:szCs w:val="21"/>
    </w:rPr>
  </w:style>
  <w:style w:type="character" w:customStyle="1" w:styleId="53">
    <w:name w:val="notnullcss1"/>
    <w:basedOn w:val="38"/>
    <w:qFormat/>
    <w:uiPriority w:val="99"/>
    <w:rPr>
      <w:rFonts w:eastAsia="宋体" w:cs="Times New Roman"/>
      <w:color w:val="FF0000"/>
      <w:kern w:val="2"/>
      <w:sz w:val="24"/>
      <w:szCs w:val="24"/>
      <w:lang w:val="en-US" w:eastAsia="zh-CN" w:bidi="ar-SA"/>
    </w:rPr>
  </w:style>
  <w:style w:type="paragraph" w:customStyle="1" w:styleId="54">
    <w:name w:val="xl61"/>
    <w:basedOn w:val="1"/>
    <w:qFormat/>
    <w:uiPriority w:val="99"/>
    <w:pPr>
      <w:widowControl/>
      <w:spacing w:before="100" w:after="100"/>
      <w:jc w:val="right"/>
    </w:pPr>
    <w:rPr>
      <w:rFonts w:ascii="Arial Unicode MS" w:hAnsi="Times New Roman" w:eastAsia="Arial Unicode MS"/>
      <w:kern w:val="0"/>
      <w:sz w:val="18"/>
      <w:szCs w:val="18"/>
    </w:rPr>
  </w:style>
  <w:style w:type="paragraph" w:styleId="55">
    <w:name w:val="List Paragraph"/>
    <w:basedOn w:val="1"/>
    <w:link w:val="122"/>
    <w:qFormat/>
    <w:uiPriority w:val="99"/>
    <w:pPr>
      <w:ind w:firstLine="420" w:firstLineChars="200"/>
    </w:pPr>
    <w:rPr>
      <w:szCs w:val="22"/>
    </w:rPr>
  </w:style>
  <w:style w:type="character" w:customStyle="1" w:styleId="56">
    <w:name w:val="批注主题 字符"/>
    <w:basedOn w:val="50"/>
    <w:link w:val="35"/>
    <w:qFormat/>
    <w:uiPriority w:val="99"/>
    <w:rPr>
      <w:rFonts w:ascii="Calibri" w:hAnsi="Calibri" w:eastAsia="宋体" w:cs="Times New Roman"/>
      <w:b/>
      <w:bCs/>
      <w:szCs w:val="21"/>
    </w:rPr>
  </w:style>
  <w:style w:type="character" w:customStyle="1" w:styleId="57">
    <w:name w:val="页眉 字符"/>
    <w:basedOn w:val="38"/>
    <w:link w:val="26"/>
    <w:qFormat/>
    <w:uiPriority w:val="99"/>
    <w:rPr>
      <w:rFonts w:ascii="Calibri" w:hAnsi="Calibri" w:eastAsia="宋体" w:cs="Times New Roman"/>
      <w:sz w:val="18"/>
      <w:szCs w:val="18"/>
    </w:rPr>
  </w:style>
  <w:style w:type="character" w:customStyle="1" w:styleId="58">
    <w:name w:val="页脚 字符"/>
    <w:basedOn w:val="38"/>
    <w:link w:val="25"/>
    <w:qFormat/>
    <w:uiPriority w:val="99"/>
    <w:rPr>
      <w:rFonts w:ascii="Calibri" w:hAnsi="Calibri" w:eastAsia="宋体" w:cs="Times New Roman"/>
      <w:sz w:val="18"/>
      <w:szCs w:val="18"/>
    </w:rPr>
  </w:style>
  <w:style w:type="character" w:customStyle="1" w:styleId="59">
    <w:name w:val="纯文本 字符"/>
    <w:basedOn w:val="38"/>
    <w:link w:val="20"/>
    <w:qFormat/>
    <w:uiPriority w:val="0"/>
    <w:rPr>
      <w:rFonts w:ascii="宋体" w:hAnsi="Courier New" w:eastAsia="宋体" w:cs="Times New Roman"/>
      <w:szCs w:val="20"/>
    </w:rPr>
  </w:style>
  <w:style w:type="character" w:customStyle="1" w:styleId="60">
    <w:name w:val="headline-content2"/>
    <w:basedOn w:val="38"/>
    <w:qFormat/>
    <w:uiPriority w:val="0"/>
    <w:rPr>
      <w:rFonts w:eastAsia="宋体" w:cs="Times New Roman"/>
      <w:kern w:val="2"/>
      <w:sz w:val="24"/>
      <w:szCs w:val="24"/>
      <w:lang w:val="en-US" w:eastAsia="zh-CN" w:bidi="ar-SA"/>
    </w:rPr>
  </w:style>
  <w:style w:type="character" w:customStyle="1" w:styleId="61">
    <w:name w:val="正文文本 字符"/>
    <w:basedOn w:val="38"/>
    <w:link w:val="17"/>
    <w:qFormat/>
    <w:uiPriority w:val="99"/>
    <w:rPr>
      <w:rFonts w:ascii="Times New Roman" w:hAnsi="Times New Roman" w:eastAsia="宋体" w:cs="Times New Roman"/>
      <w:szCs w:val="21"/>
    </w:rPr>
  </w:style>
  <w:style w:type="paragraph" w:customStyle="1" w:styleId="62">
    <w:name w:val="write2"/>
    <w:basedOn w:val="1"/>
    <w:qFormat/>
    <w:uiPriority w:val="99"/>
    <w:pPr>
      <w:widowControl/>
      <w:tabs>
        <w:tab w:val="left" w:pos="709"/>
      </w:tabs>
      <w:overflowPunct w:val="0"/>
      <w:autoSpaceDE w:val="0"/>
      <w:autoSpaceDN w:val="0"/>
      <w:adjustRightInd w:val="0"/>
      <w:textAlignment w:val="baseline"/>
    </w:pPr>
    <w:rPr>
      <w:rFonts w:ascii="Helvetica-Narrow" w:hAnsi="Helvetica-Narrow"/>
      <w:kern w:val="0"/>
      <w:szCs w:val="24"/>
      <w:lang w:val="en-AU"/>
    </w:rPr>
  </w:style>
  <w:style w:type="character" w:customStyle="1" w:styleId="63">
    <w:name w:val="日期 字符"/>
    <w:basedOn w:val="38"/>
    <w:link w:val="22"/>
    <w:qFormat/>
    <w:uiPriority w:val="99"/>
    <w:rPr>
      <w:rFonts w:ascii="Times New Roman" w:hAnsi="Times New Roman" w:eastAsia="宋体" w:cs="Times New Roman"/>
      <w:szCs w:val="21"/>
    </w:rPr>
  </w:style>
  <w:style w:type="character" w:customStyle="1" w:styleId="64">
    <w:name w:val="注释标题 字符"/>
    <w:basedOn w:val="38"/>
    <w:link w:val="10"/>
    <w:qFormat/>
    <w:uiPriority w:val="99"/>
    <w:rPr>
      <w:rFonts w:ascii="Times New Roman" w:hAnsi="Times New Roman" w:eastAsia="宋体" w:cs="Times New Roman"/>
      <w:szCs w:val="21"/>
    </w:rPr>
  </w:style>
  <w:style w:type="paragraph" w:customStyle="1" w:styleId="65">
    <w:name w:val="标题5"/>
    <w:basedOn w:val="1"/>
    <w:qFormat/>
    <w:uiPriority w:val="0"/>
    <w:pPr>
      <w:keepNext/>
      <w:keepLines/>
      <w:spacing w:before="60" w:after="60"/>
      <w:ind w:hanging="420" w:hangingChars="200"/>
      <w:outlineLvl w:val="4"/>
    </w:pPr>
    <w:rPr>
      <w:rFonts w:ascii="宋体" w:hAnsi="宋体"/>
      <w:b/>
      <w:bCs/>
    </w:rPr>
  </w:style>
  <w:style w:type="paragraph" w:customStyle="1" w:styleId="66">
    <w:name w:val="Revision"/>
    <w:link w:val="133"/>
    <w:semiHidden/>
    <w:qFormat/>
    <w:uiPriority w:val="99"/>
    <w:rPr>
      <w:rFonts w:ascii="Calibri" w:hAnsi="Calibri" w:eastAsia="宋体" w:cs="Times New Roman"/>
      <w:kern w:val="2"/>
      <w:sz w:val="21"/>
      <w:szCs w:val="22"/>
      <w:lang w:val="en-US" w:eastAsia="zh-CN" w:bidi="ar-SA"/>
    </w:rPr>
  </w:style>
  <w:style w:type="character" w:customStyle="1" w:styleId="67">
    <w:name w:val="正文的样式 Char"/>
    <w:basedOn w:val="38"/>
    <w:link w:val="68"/>
    <w:qFormat/>
    <w:uiPriority w:val="0"/>
    <w:rPr>
      <w:kern w:val="2"/>
      <w:sz w:val="21"/>
      <w:szCs w:val="24"/>
    </w:rPr>
  </w:style>
  <w:style w:type="paragraph" w:customStyle="1" w:styleId="68">
    <w:name w:val="正文的样式"/>
    <w:basedOn w:val="1"/>
    <w:link w:val="67"/>
    <w:qFormat/>
    <w:uiPriority w:val="0"/>
    <w:pPr>
      <w:spacing w:before="100" w:after="100"/>
    </w:pPr>
    <w:rPr>
      <w:szCs w:val="24"/>
    </w:rPr>
  </w:style>
  <w:style w:type="character" w:customStyle="1" w:styleId="69">
    <w:name w:val="文档结构图 字符"/>
    <w:basedOn w:val="38"/>
    <w:link w:val="12"/>
    <w:semiHidden/>
    <w:qFormat/>
    <w:uiPriority w:val="99"/>
    <w:rPr>
      <w:rFonts w:ascii="宋体"/>
      <w:kern w:val="2"/>
      <w:sz w:val="18"/>
      <w:szCs w:val="18"/>
    </w:rPr>
  </w:style>
  <w:style w:type="character" w:styleId="70">
    <w:name w:val="Placeholder Text"/>
    <w:basedOn w:val="38"/>
    <w:qFormat/>
    <w:uiPriority w:val="99"/>
    <w:rPr>
      <w:color w:val="auto"/>
    </w:rPr>
  </w:style>
  <w:style w:type="character" w:customStyle="1" w:styleId="71">
    <w:name w:val="标题 字符"/>
    <w:basedOn w:val="38"/>
    <w:link w:val="34"/>
    <w:qFormat/>
    <w:uiPriority w:val="10"/>
    <w:rPr>
      <w:rFonts w:asciiTheme="majorHAnsi" w:hAnsiTheme="majorHAnsi" w:cstheme="majorBidi"/>
      <w:b/>
      <w:bCs/>
      <w:kern w:val="2"/>
      <w:sz w:val="32"/>
      <w:szCs w:val="32"/>
    </w:rPr>
  </w:style>
  <w:style w:type="paragraph" w:styleId="72">
    <w:name w:val="No Spacing"/>
    <w:link w:val="124"/>
    <w:qFormat/>
    <w:uiPriority w:val="1"/>
    <w:pPr>
      <w:widowControl w:val="0"/>
      <w:jc w:val="both"/>
    </w:pPr>
    <w:rPr>
      <w:rFonts w:ascii="Calibri" w:hAnsi="Calibri" w:eastAsia="宋体" w:cs="Times New Roman"/>
      <w:kern w:val="2"/>
      <w:sz w:val="21"/>
      <w:szCs w:val="22"/>
      <w:lang w:val="en-US" w:eastAsia="zh-CN" w:bidi="ar-SA"/>
    </w:rPr>
  </w:style>
  <w:style w:type="character" w:customStyle="1" w:styleId="73">
    <w:name w:val="标题 6 字符"/>
    <w:basedOn w:val="38"/>
    <w:link w:val="7"/>
    <w:qFormat/>
    <w:uiPriority w:val="9"/>
    <w:rPr>
      <w:rFonts w:asciiTheme="majorHAnsi" w:hAnsiTheme="majorHAnsi" w:cstheme="majorBidi"/>
      <w:b/>
      <w:bCs/>
      <w:sz w:val="21"/>
      <w:szCs w:val="24"/>
    </w:rPr>
  </w:style>
  <w:style w:type="character" w:customStyle="1" w:styleId="74">
    <w:name w:val="尾注文本 字符"/>
    <w:basedOn w:val="38"/>
    <w:link w:val="23"/>
    <w:semiHidden/>
    <w:qFormat/>
    <w:uiPriority w:val="99"/>
    <w:rPr>
      <w:rFonts w:ascii="宋体" w:hAnsi="宋体" w:cs="宋体"/>
      <w:sz w:val="21"/>
      <w:szCs w:val="24"/>
    </w:rPr>
  </w:style>
  <w:style w:type="character" w:customStyle="1" w:styleId="75">
    <w:name w:val="批注主题 Char1"/>
    <w:basedOn w:val="50"/>
    <w:semiHidden/>
    <w:qFormat/>
    <w:uiPriority w:val="99"/>
    <w:rPr>
      <w:rFonts w:ascii="Times New Roman" w:hAnsi="Times New Roman" w:eastAsia="宋体" w:cs="Times New Roman"/>
      <w:b/>
      <w:bCs/>
      <w:szCs w:val="21"/>
    </w:rPr>
  </w:style>
  <w:style w:type="character" w:customStyle="1" w:styleId="76">
    <w:name w:val="span_"/>
    <w:basedOn w:val="38"/>
    <w:qFormat/>
    <w:uiPriority w:val="0"/>
  </w:style>
  <w:style w:type="paragraph" w:customStyle="1" w:styleId="77">
    <w:name w:val="标题  3"/>
    <w:basedOn w:val="1"/>
    <w:next w:val="1"/>
    <w:link w:val="78"/>
    <w:qFormat/>
    <w:uiPriority w:val="0"/>
    <w:pPr>
      <w:keepNext/>
      <w:keepLines/>
      <w:spacing w:before="100" w:beforeAutospacing="1" w:after="100" w:afterAutospacing="1" w:line="415" w:lineRule="auto"/>
    </w:pPr>
    <w:rPr>
      <w:rFonts w:ascii="Times New Roman" w:hAnsi="Times New Roman"/>
      <w:b/>
      <w:szCs w:val="24"/>
    </w:rPr>
  </w:style>
  <w:style w:type="character" w:customStyle="1" w:styleId="78">
    <w:name w:val="标题  3 Char"/>
    <w:basedOn w:val="38"/>
    <w:link w:val="77"/>
    <w:qFormat/>
    <w:uiPriority w:val="0"/>
    <w:rPr>
      <w:rFonts w:ascii="Times New Roman" w:hAnsi="Times New Roman"/>
      <w:b/>
      <w:kern w:val="2"/>
      <w:sz w:val="21"/>
      <w:szCs w:val="24"/>
    </w:rPr>
  </w:style>
  <w:style w:type="character" w:customStyle="1" w:styleId="79">
    <w:name w:val="标题 7 字符"/>
    <w:basedOn w:val="38"/>
    <w:link w:val="8"/>
    <w:qFormat/>
    <w:uiPriority w:val="9"/>
    <w:rPr>
      <w:rFonts w:ascii="宋体" w:hAnsi="宋体" w:cs="宋体"/>
      <w:b/>
      <w:bCs/>
      <w:sz w:val="24"/>
      <w:szCs w:val="24"/>
    </w:rPr>
  </w:style>
  <w:style w:type="character" w:customStyle="1" w:styleId="80">
    <w:name w:val="批注主题 字符1"/>
    <w:basedOn w:val="50"/>
    <w:semiHidden/>
    <w:qFormat/>
    <w:uiPriority w:val="99"/>
    <w:rPr>
      <w:rFonts w:ascii="Times New Roman" w:hAnsi="Times New Roman" w:eastAsia="宋体" w:cs="Times New Roman"/>
      <w:b/>
      <w:bCs/>
      <w:szCs w:val="21"/>
    </w:rPr>
  </w:style>
  <w:style w:type="character" w:customStyle="1" w:styleId="81">
    <w:name w:val="标题 4 Char"/>
    <w:qFormat/>
    <w:uiPriority w:val="9"/>
    <w:rPr>
      <w:rFonts w:ascii="Cambria" w:hAnsi="Cambria"/>
      <w:b/>
      <w:bCs/>
      <w:kern w:val="2"/>
      <w:sz w:val="21"/>
      <w:szCs w:val="28"/>
    </w:rPr>
  </w:style>
  <w:style w:type="paragraph" w:customStyle="1" w:styleId="82">
    <w:name w:val="4"/>
    <w:basedOn w:val="1"/>
    <w:next w:val="55"/>
    <w:qFormat/>
    <w:uiPriority w:val="34"/>
    <w:pPr>
      <w:ind w:firstLine="420" w:firstLineChars="200"/>
    </w:pPr>
    <w:rPr>
      <w:szCs w:val="22"/>
    </w:rPr>
  </w:style>
  <w:style w:type="paragraph" w:customStyle="1" w:styleId="83">
    <w:name w:val="3"/>
    <w:basedOn w:val="1"/>
    <w:next w:val="55"/>
    <w:qFormat/>
    <w:uiPriority w:val="34"/>
    <w:pPr>
      <w:ind w:firstLine="420" w:firstLineChars="200"/>
    </w:pPr>
    <w:rPr>
      <w:szCs w:val="22"/>
    </w:rPr>
  </w:style>
  <w:style w:type="character" w:customStyle="1" w:styleId="84">
    <w:name w:val="标题 3 Char"/>
    <w:qFormat/>
    <w:uiPriority w:val="9"/>
    <w:rPr>
      <w:b/>
      <w:bCs/>
      <w:kern w:val="2"/>
      <w:sz w:val="21"/>
      <w:szCs w:val="32"/>
    </w:rPr>
  </w:style>
  <w:style w:type="paragraph" w:customStyle="1" w:styleId="85">
    <w:name w:val="2"/>
    <w:basedOn w:val="1"/>
    <w:next w:val="55"/>
    <w:qFormat/>
    <w:uiPriority w:val="34"/>
    <w:pPr>
      <w:ind w:firstLine="420" w:firstLineChars="200"/>
    </w:pPr>
    <w:rPr>
      <w:szCs w:val="22"/>
    </w:rPr>
  </w:style>
  <w:style w:type="paragraph" w:customStyle="1" w:styleId="86">
    <w:name w:val="1"/>
    <w:basedOn w:val="1"/>
    <w:next w:val="55"/>
    <w:qFormat/>
    <w:uiPriority w:val="34"/>
    <w:pPr>
      <w:ind w:firstLine="420" w:firstLineChars="200"/>
    </w:pPr>
    <w:rPr>
      <w:szCs w:val="22"/>
    </w:rPr>
  </w:style>
  <w:style w:type="paragraph" w:customStyle="1" w:styleId="87">
    <w:name w:val="Table Paragraph"/>
    <w:basedOn w:val="1"/>
    <w:qFormat/>
    <w:uiPriority w:val="1"/>
    <w:pPr>
      <w:autoSpaceDE w:val="0"/>
      <w:autoSpaceDN w:val="0"/>
      <w:spacing w:after="160" w:line="259" w:lineRule="auto"/>
      <w:jc w:val="left"/>
    </w:pPr>
    <w:rPr>
      <w:rFonts w:ascii="Noto Sans CJK JP Regular" w:hAnsi="Noto Sans CJK JP Regular" w:eastAsia="Noto Sans CJK JP Regular" w:cs="Noto Sans CJK JP Regular"/>
      <w:kern w:val="0"/>
      <w:sz w:val="22"/>
      <w:szCs w:val="22"/>
      <w:lang w:eastAsia="en-US"/>
    </w:rPr>
  </w:style>
  <w:style w:type="character" w:customStyle="1" w:styleId="88">
    <w:name w:val="批注文字 Char"/>
    <w:qFormat/>
    <w:uiPriority w:val="0"/>
    <w:rPr>
      <w:rFonts w:ascii="Times New Roman" w:hAnsi="Times New Roman"/>
      <w:kern w:val="2"/>
      <w:sz w:val="21"/>
      <w:szCs w:val="21"/>
    </w:rPr>
  </w:style>
  <w:style w:type="character" w:customStyle="1" w:styleId="89">
    <w:name w:val="标题 3 Char1"/>
    <w:qFormat/>
    <w:uiPriority w:val="9"/>
    <w:rPr>
      <w:b/>
      <w:bCs/>
      <w:kern w:val="2"/>
      <w:sz w:val="21"/>
      <w:szCs w:val="32"/>
    </w:rPr>
  </w:style>
  <w:style w:type="character" w:customStyle="1" w:styleId="90">
    <w:name w:val="标题 2 Char"/>
    <w:qFormat/>
    <w:uiPriority w:val="0"/>
    <w:rPr>
      <w:rFonts w:ascii="Arial" w:hAnsi="Arial"/>
      <w:b/>
      <w:bCs/>
      <w:kern w:val="2"/>
      <w:sz w:val="21"/>
      <w:szCs w:val="21"/>
    </w:rPr>
  </w:style>
  <w:style w:type="character" w:customStyle="1" w:styleId="91">
    <w:name w:val="标题 5 Char"/>
    <w:qFormat/>
    <w:uiPriority w:val="9"/>
    <w:rPr>
      <w:b/>
      <w:bCs/>
      <w:kern w:val="2"/>
      <w:sz w:val="21"/>
      <w:szCs w:val="28"/>
    </w:rPr>
  </w:style>
  <w:style w:type="paragraph" w:customStyle="1" w:styleId="92">
    <w:name w:val="_Style 89"/>
    <w:basedOn w:val="1"/>
    <w:next w:val="55"/>
    <w:qFormat/>
    <w:uiPriority w:val="34"/>
    <w:pPr>
      <w:ind w:firstLine="420" w:firstLineChars="200"/>
    </w:pPr>
    <w:rPr>
      <w:szCs w:val="22"/>
    </w:rPr>
  </w:style>
  <w:style w:type="character" w:customStyle="1" w:styleId="93">
    <w:name w:val="称呼 Char"/>
    <w:qFormat/>
    <w:uiPriority w:val="99"/>
    <w:rPr>
      <w:rFonts w:ascii="Times New Roman" w:hAnsi="Times New Roman"/>
      <w:kern w:val="2"/>
      <w:sz w:val="21"/>
      <w:szCs w:val="21"/>
    </w:rPr>
  </w:style>
  <w:style w:type="character" w:customStyle="1" w:styleId="94">
    <w:name w:val="fontstyle01"/>
    <w:qFormat/>
    <w:uiPriority w:val="0"/>
    <w:rPr>
      <w:rFonts w:hint="default" w:ascii="FZLTSK--GBK1-0" w:hAnsi="FZLTSK--GBK1-0"/>
      <w:color w:val="000000"/>
      <w:sz w:val="20"/>
      <w:szCs w:val="20"/>
    </w:rPr>
  </w:style>
  <w:style w:type="paragraph" w:customStyle="1" w:styleId="95">
    <w:name w:val="_Style 92"/>
    <w:basedOn w:val="1"/>
    <w:next w:val="55"/>
    <w:qFormat/>
    <w:uiPriority w:val="34"/>
    <w:pPr>
      <w:ind w:firstLine="420" w:firstLineChars="200"/>
    </w:pPr>
    <w:rPr>
      <w:szCs w:val="22"/>
    </w:rPr>
  </w:style>
  <w:style w:type="character" w:customStyle="1" w:styleId="96">
    <w:name w:val="批注文字 Char1"/>
    <w:qFormat/>
    <w:uiPriority w:val="99"/>
    <w:rPr>
      <w:rFonts w:ascii="Times New Roman" w:hAnsi="Times New Roman"/>
      <w:kern w:val="2"/>
      <w:sz w:val="21"/>
      <w:szCs w:val="21"/>
    </w:rPr>
  </w:style>
  <w:style w:type="character" w:customStyle="1" w:styleId="97">
    <w:name w:val="标题 5 Char1"/>
    <w:qFormat/>
    <w:uiPriority w:val="9"/>
    <w:rPr>
      <w:b/>
      <w:bCs/>
      <w:kern w:val="2"/>
      <w:sz w:val="21"/>
      <w:szCs w:val="28"/>
    </w:rPr>
  </w:style>
  <w:style w:type="character" w:customStyle="1" w:styleId="98">
    <w:name w:val="批注文字 字符1"/>
    <w:semiHidden/>
    <w:qFormat/>
    <w:locked/>
    <w:uiPriority w:val="99"/>
    <w:rPr>
      <w:rFonts w:ascii="Times New Roman" w:hAnsi="Times New Roman"/>
      <w:kern w:val="2"/>
      <w:sz w:val="21"/>
      <w:szCs w:val="21"/>
    </w:rPr>
  </w:style>
  <w:style w:type="character" w:customStyle="1" w:styleId="99">
    <w:name w:val="标题 2 Char1"/>
    <w:qFormat/>
    <w:uiPriority w:val="0"/>
    <w:rPr>
      <w:rFonts w:ascii="Arial" w:hAnsi="Arial"/>
      <w:b/>
      <w:bCs/>
      <w:kern w:val="2"/>
      <w:sz w:val="21"/>
      <w:szCs w:val="21"/>
    </w:rPr>
  </w:style>
  <w:style w:type="character" w:customStyle="1" w:styleId="100">
    <w:name w:val="批注文字 Char2"/>
    <w:qFormat/>
    <w:uiPriority w:val="99"/>
    <w:rPr>
      <w:rFonts w:ascii="Times New Roman" w:hAnsi="Times New Roman"/>
      <w:kern w:val="2"/>
      <w:sz w:val="21"/>
      <w:szCs w:val="21"/>
    </w:rPr>
  </w:style>
  <w:style w:type="character" w:customStyle="1" w:styleId="101">
    <w:name w:val="标题 5 Char2"/>
    <w:qFormat/>
    <w:uiPriority w:val="9"/>
    <w:rPr>
      <w:b/>
      <w:bCs/>
      <w:kern w:val="2"/>
      <w:sz w:val="21"/>
      <w:szCs w:val="28"/>
    </w:rPr>
  </w:style>
  <w:style w:type="paragraph" w:customStyle="1" w:styleId="102">
    <w:name w:val="_Style 99"/>
    <w:basedOn w:val="1"/>
    <w:next w:val="55"/>
    <w:qFormat/>
    <w:uiPriority w:val="34"/>
    <w:pPr>
      <w:ind w:firstLine="420" w:firstLineChars="200"/>
    </w:pPr>
    <w:rPr>
      <w:szCs w:val="22"/>
    </w:rPr>
  </w:style>
  <w:style w:type="character" w:customStyle="1" w:styleId="103">
    <w:name w:val="标题 3 Char2"/>
    <w:qFormat/>
    <w:uiPriority w:val="9"/>
    <w:rPr>
      <w:b/>
      <w:bCs/>
      <w:kern w:val="2"/>
      <w:sz w:val="21"/>
      <w:szCs w:val="32"/>
    </w:rPr>
  </w:style>
  <w:style w:type="character" w:customStyle="1" w:styleId="104">
    <w:name w:val="标题 3 Char3"/>
    <w:qFormat/>
    <w:uiPriority w:val="9"/>
    <w:rPr>
      <w:b/>
      <w:bCs/>
      <w:kern w:val="2"/>
      <w:sz w:val="21"/>
      <w:szCs w:val="32"/>
    </w:rPr>
  </w:style>
  <w:style w:type="character" w:customStyle="1" w:styleId="105">
    <w:name w:val="批注文字 Char3"/>
    <w:qFormat/>
    <w:uiPriority w:val="0"/>
    <w:rPr>
      <w:rFonts w:ascii="Times New Roman" w:hAnsi="Times New Roman"/>
      <w:kern w:val="2"/>
      <w:sz w:val="21"/>
      <w:szCs w:val="21"/>
    </w:rPr>
  </w:style>
  <w:style w:type="table" w:customStyle="1" w:styleId="106">
    <w:name w:val="g26"/>
    <w:semiHidden/>
    <w:unhideWhenUsed/>
    <w:qFormat/>
    <w:uiPriority w:val="99"/>
    <w:rPr>
      <w:rFonts w:ascii="宋体" w:hAnsi="宋体" w:eastAsiaTheme="minorEastAsia"/>
      <w:kern w:val="2"/>
      <w:szCs w:val="28"/>
    </w:rPr>
    <w:tblPr>
      <w:tblCellMar>
        <w:top w:w="0" w:type="dxa"/>
        <w:left w:w="108" w:type="dxa"/>
        <w:bottom w:w="0" w:type="dxa"/>
        <w:right w:w="108" w:type="dxa"/>
      </w:tblCellMar>
    </w:tblPr>
  </w:style>
  <w:style w:type="table" w:customStyle="1" w:styleId="107">
    <w:name w:val="g1"/>
    <w:semiHidden/>
    <w:unhideWhenUsed/>
    <w:qFormat/>
    <w:uiPriority w:val="99"/>
    <w:rPr>
      <w:rFonts w:ascii="宋体" w:hAnsi="宋体" w:eastAsiaTheme="minorEastAsia"/>
      <w:kern w:val="2"/>
      <w:szCs w:val="28"/>
    </w:rPr>
    <w:tblPr>
      <w:tblCellMar>
        <w:top w:w="0" w:type="dxa"/>
        <w:left w:w="108" w:type="dxa"/>
        <w:bottom w:w="0" w:type="dxa"/>
        <w:right w:w="108" w:type="dxa"/>
      </w:tblCellMar>
    </w:tblPr>
  </w:style>
  <w:style w:type="table" w:customStyle="1" w:styleId="108">
    <w:name w:val="g101"/>
    <w:basedOn w:val="36"/>
    <w:qFormat/>
    <w:uiPriority w:val="59"/>
    <w:pPr>
      <w:widowControl w:val="0"/>
      <w:jc w:val="both"/>
    </w:pPr>
    <w:rPr>
      <w:rFonts w:ascii="Times New Roman" w:hAnsi="Times New Roman" w:eastAsiaTheme="minorEastAsia"/>
      <w:kern w:val="2"/>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9">
    <w:name w:val="887"/>
    <w:basedOn w:val="1"/>
    <w:qFormat/>
    <w:uiPriority w:val="59"/>
    <w:pPr>
      <w:jc w:val="left"/>
    </w:pPr>
    <w:rPr>
      <w:rFonts w:ascii="Times New Roman" w:hAnsi="宋体" w:eastAsiaTheme="minorEastAsia"/>
    </w:rPr>
  </w:style>
  <w:style w:type="table" w:customStyle="1" w:styleId="110">
    <w:name w:val="网格型2"/>
    <w:basedOn w:val="36"/>
    <w:qFormat/>
    <w:uiPriority w:val="59"/>
    <w:pPr>
      <w:widowControl w:val="0"/>
      <w:jc w:val="both"/>
    </w:pPr>
    <w:rPr>
      <w:rFonts w:ascii="Times New Roman" w:hAnsi="Times New Roman" w:eastAsiaTheme="minorEastAsia"/>
      <w:kern w:val="2"/>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g10"/>
    <w:semiHidden/>
    <w:unhideWhenUsed/>
    <w:qFormat/>
    <w:uiPriority w:val="99"/>
    <w:rPr>
      <w:rFonts w:ascii="宋体" w:hAnsi="宋体" w:eastAsiaTheme="minorEastAsia"/>
      <w:kern w:val="2"/>
      <w:szCs w:val="28"/>
    </w:rPr>
    <w:tblPr>
      <w:tblCellMar>
        <w:top w:w="0" w:type="dxa"/>
        <w:left w:w="108" w:type="dxa"/>
        <w:bottom w:w="0" w:type="dxa"/>
        <w:right w:w="108" w:type="dxa"/>
      </w:tblCellMar>
    </w:tblPr>
  </w:style>
  <w:style w:type="paragraph" w:customStyle="1" w:styleId="112">
    <w:name w:val="3892"/>
    <w:link w:val="113"/>
    <w:qFormat/>
    <w:uiPriority w:val="0"/>
    <w:rPr>
      <w:rFonts w:ascii="宋体" w:hAnsi="宋体" w:cs="宋体" w:eastAsiaTheme="minorEastAsia"/>
      <w:kern w:val="2"/>
      <w:sz w:val="21"/>
      <w:szCs w:val="24"/>
      <w:lang w:val="en-US" w:eastAsia="zh-CN" w:bidi="ar-SA"/>
    </w:rPr>
  </w:style>
  <w:style w:type="character" w:customStyle="1" w:styleId="113">
    <w:name w:val="733"/>
    <w:basedOn w:val="38"/>
    <w:link w:val="112"/>
    <w:qFormat/>
    <w:uiPriority w:val="0"/>
    <w:rPr>
      <w:rFonts w:ascii="宋体" w:hAnsi="宋体" w:cs="宋体" w:eastAsiaTheme="minorEastAsia"/>
      <w:kern w:val="2"/>
      <w:szCs w:val="24"/>
    </w:rPr>
  </w:style>
  <w:style w:type="table" w:customStyle="1" w:styleId="114">
    <w:name w:val="g261"/>
    <w:semiHidden/>
    <w:unhideWhenUsed/>
    <w:qFormat/>
    <w:uiPriority w:val="99"/>
    <w:rPr>
      <w:rFonts w:ascii="宋体" w:hAnsi="宋体" w:eastAsiaTheme="minorEastAsia"/>
      <w:kern w:val="2"/>
      <w:szCs w:val="28"/>
    </w:rPr>
    <w:tblPr>
      <w:tblCellMar>
        <w:top w:w="0" w:type="dxa"/>
        <w:left w:w="108" w:type="dxa"/>
        <w:bottom w:w="0" w:type="dxa"/>
        <w:right w:w="108" w:type="dxa"/>
      </w:tblCellMar>
    </w:tblPr>
  </w:style>
  <w:style w:type="paragraph" w:customStyle="1" w:styleId="115">
    <w:name w:val="2929"/>
    <w:basedOn w:val="1"/>
    <w:qFormat/>
    <w:uiPriority w:val="0"/>
    <w:pPr>
      <w:widowControl/>
      <w:spacing w:before="40"/>
      <w:ind w:left="450" w:hanging="450"/>
      <w:jc w:val="left"/>
    </w:pPr>
    <w:rPr>
      <w:rFonts w:ascii="Times New Roman" w:hAnsi="Times New Roman" w:eastAsia="华文楷体"/>
      <w:snapToGrid w:val="0"/>
      <w:color w:val="000000"/>
      <w:spacing w:val="-10"/>
      <w:sz w:val="18"/>
      <w:szCs w:val="24"/>
      <w:lang w:val="en-GB" w:eastAsia="en-US"/>
    </w:rPr>
  </w:style>
  <w:style w:type="table" w:customStyle="1" w:styleId="116">
    <w:name w:val="g114"/>
    <w:basedOn w:val="36"/>
    <w:qFormat/>
    <w:uiPriority w:val="59"/>
    <w:pPr>
      <w:widowControl w:val="0"/>
      <w:jc w:val="both"/>
    </w:pPr>
    <w:rPr>
      <w:rFonts w:ascii="Times New Roman" w:hAnsi="Times New Roman" w:eastAsia="Times New Roman"/>
      <w:kern w:val="2"/>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g2"/>
    <w:semiHidden/>
    <w:unhideWhenUsed/>
    <w:qFormat/>
    <w:uiPriority w:val="99"/>
    <w:rPr>
      <w:sz w:val="20"/>
      <w:szCs w:val="20"/>
    </w:rPr>
    <w:tblPr>
      <w:tblCellMar>
        <w:top w:w="0" w:type="dxa"/>
        <w:left w:w="108" w:type="dxa"/>
        <w:bottom w:w="0" w:type="dxa"/>
        <w:right w:w="108" w:type="dxa"/>
      </w:tblCellMar>
    </w:tblPr>
  </w:style>
  <w:style w:type="paragraph" w:customStyle="1" w:styleId="118">
    <w:name w:val="3816"/>
    <w:qFormat/>
    <w:uiPriority w:val="0"/>
    <w:rPr>
      <w:rFonts w:ascii="宋体" w:hAnsi="宋体" w:cs="宋体" w:eastAsiaTheme="minorEastAsia"/>
      <w:kern w:val="2"/>
      <w:sz w:val="21"/>
      <w:szCs w:val="24"/>
      <w:lang w:val="en-US" w:eastAsia="zh-CN" w:bidi="ar-SA"/>
    </w:rPr>
  </w:style>
  <w:style w:type="paragraph" w:customStyle="1" w:styleId="119">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120">
    <w:name w:val="引文目录标题 字符"/>
    <w:basedOn w:val="1"/>
    <w:qFormat/>
    <w:uiPriority w:val="0"/>
    <w:pPr>
      <w:pBdr>
        <w:bottom w:val="single" w:color="auto" w:sz="6" w:space="1"/>
      </w:pBdr>
      <w:tabs>
        <w:tab w:val="center" w:pos="4153"/>
        <w:tab w:val="right" w:pos="8306"/>
      </w:tabs>
      <w:snapToGrid w:val="0"/>
      <w:jc w:val="center"/>
    </w:pPr>
    <w:rPr>
      <w:sz w:val="18"/>
      <w:szCs w:val="18"/>
    </w:rPr>
  </w:style>
  <w:style w:type="character" w:customStyle="1" w:styleId="121">
    <w:name w:val="普通(网站) 字符"/>
    <w:basedOn w:val="38"/>
    <w:link w:val="32"/>
    <w:qFormat/>
    <w:uiPriority w:val="99"/>
    <w:rPr>
      <w:rFonts w:ascii="宋体" w:hAnsi="宋体" w:cs="宋体"/>
      <w:sz w:val="24"/>
      <w:szCs w:val="24"/>
    </w:rPr>
  </w:style>
  <w:style w:type="character" w:customStyle="1" w:styleId="122">
    <w:name w:val="列表段落 字符"/>
    <w:basedOn w:val="38"/>
    <w:link w:val="55"/>
    <w:qFormat/>
    <w:uiPriority w:val="99"/>
    <w:rPr>
      <w:kern w:val="2"/>
      <w:szCs w:val="22"/>
    </w:rPr>
  </w:style>
  <w:style w:type="paragraph" w:customStyle="1" w:styleId="123">
    <w:name w:val="索引 1 字符"/>
    <w:basedOn w:val="1"/>
    <w:next w:val="1"/>
    <w:qFormat/>
    <w:uiPriority w:val="99"/>
    <w:pPr>
      <w:keepNext/>
      <w:keepLines/>
      <w:spacing w:before="60" w:after="60" w:line="360" w:lineRule="auto"/>
      <w:jc w:val="center"/>
      <w:outlineLvl w:val="0"/>
    </w:pPr>
    <w:rPr>
      <w:rFonts w:eastAsia="黑体"/>
      <w:b/>
      <w:bCs/>
      <w:kern w:val="44"/>
      <w:sz w:val="28"/>
      <w:szCs w:val="44"/>
    </w:rPr>
  </w:style>
  <w:style w:type="character" w:customStyle="1" w:styleId="124">
    <w:name w:val="无间隔 字符"/>
    <w:basedOn w:val="38"/>
    <w:link w:val="72"/>
    <w:qFormat/>
    <w:uiPriority w:val="1"/>
    <w:rPr>
      <w:kern w:val="2"/>
      <w:szCs w:val="22"/>
    </w:rPr>
  </w:style>
  <w:style w:type="character" w:customStyle="1" w:styleId="125">
    <w:name w:val="正文缩进 字符"/>
    <w:basedOn w:val="38"/>
    <w:link w:val="11"/>
    <w:unhideWhenUsed/>
    <w:qFormat/>
    <w:uiPriority w:val="0"/>
    <w:rPr>
      <w:rFonts w:ascii="Times New Roman" w:hAnsi="Times New Roman"/>
      <w:kern w:val="2"/>
    </w:rPr>
  </w:style>
  <w:style w:type="paragraph" w:customStyle="1" w:styleId="126">
    <w:name w:val="TOC 1 字符"/>
    <w:basedOn w:val="1"/>
    <w:next w:val="1"/>
    <w:qFormat/>
    <w:uiPriority w:val="99"/>
    <w:pPr>
      <w:keepNext/>
      <w:keepLines/>
      <w:spacing w:before="60" w:after="60" w:line="360" w:lineRule="auto"/>
      <w:jc w:val="center"/>
      <w:outlineLvl w:val="0"/>
    </w:pPr>
    <w:rPr>
      <w:rFonts w:eastAsia="黑体"/>
      <w:b/>
      <w:bCs/>
      <w:kern w:val="44"/>
      <w:sz w:val="28"/>
      <w:szCs w:val="44"/>
    </w:rPr>
  </w:style>
  <w:style w:type="paragraph" w:customStyle="1" w:styleId="127">
    <w:name w:val="TOC 2 字符"/>
    <w:basedOn w:val="1"/>
    <w:next w:val="1"/>
    <w:qFormat/>
    <w:uiPriority w:val="0"/>
    <w:pPr>
      <w:keepNext/>
      <w:keepLines/>
      <w:spacing w:before="60" w:after="60"/>
      <w:outlineLvl w:val="1"/>
    </w:pPr>
    <w:rPr>
      <w:rFonts w:ascii="Arial" w:hAnsi="Arial"/>
      <w:b/>
      <w:bCs/>
    </w:rPr>
  </w:style>
  <w:style w:type="paragraph" w:customStyle="1" w:styleId="128">
    <w:name w:val="TOC 3 字符"/>
    <w:basedOn w:val="1"/>
    <w:next w:val="1"/>
    <w:qFormat/>
    <w:uiPriority w:val="9"/>
    <w:pPr>
      <w:keepNext/>
      <w:keepLines/>
      <w:spacing w:before="60" w:after="60"/>
      <w:outlineLvl w:val="2"/>
    </w:pPr>
    <w:rPr>
      <w:b/>
      <w:bCs/>
      <w:szCs w:val="32"/>
    </w:rPr>
  </w:style>
  <w:style w:type="paragraph" w:customStyle="1" w:styleId="129">
    <w:name w:val="TOC 4 字符"/>
    <w:basedOn w:val="1"/>
    <w:next w:val="1"/>
    <w:qFormat/>
    <w:uiPriority w:val="9"/>
    <w:pPr>
      <w:keepNext/>
      <w:keepLines/>
      <w:spacing w:before="60" w:after="60"/>
      <w:outlineLvl w:val="3"/>
    </w:pPr>
    <w:rPr>
      <w:rFonts w:asciiTheme="minorEastAsia" w:hAnsiTheme="minorEastAsia" w:eastAsiaTheme="minorEastAsia"/>
      <w:b/>
      <w:bCs/>
      <w:szCs w:val="28"/>
    </w:rPr>
  </w:style>
  <w:style w:type="paragraph" w:customStyle="1" w:styleId="130">
    <w:name w:val="TOC 6 字符"/>
    <w:basedOn w:val="1"/>
    <w:next w:val="1"/>
    <w:unhideWhenUsed/>
    <w:qFormat/>
    <w:uiPriority w:val="9"/>
    <w:pPr>
      <w:keepNext/>
      <w:keepLines/>
      <w:widowControl/>
      <w:spacing w:before="60" w:after="60"/>
      <w:jc w:val="left"/>
      <w:outlineLvl w:val="5"/>
    </w:pPr>
    <w:rPr>
      <w:rFonts w:asciiTheme="majorHAnsi" w:hAnsiTheme="majorHAnsi" w:cstheme="majorBidi"/>
      <w:b/>
      <w:bCs/>
      <w:kern w:val="0"/>
      <w:szCs w:val="24"/>
    </w:rPr>
  </w:style>
  <w:style w:type="paragraph" w:customStyle="1" w:styleId="131">
    <w:name w:val="TOC 7 字符"/>
    <w:basedOn w:val="1"/>
    <w:next w:val="1"/>
    <w:unhideWhenUsed/>
    <w:qFormat/>
    <w:uiPriority w:val="9"/>
    <w:pPr>
      <w:keepNext/>
      <w:keepLines/>
      <w:widowControl/>
      <w:spacing w:before="240" w:after="64" w:line="320" w:lineRule="auto"/>
      <w:jc w:val="left"/>
      <w:outlineLvl w:val="6"/>
    </w:pPr>
    <w:rPr>
      <w:rFonts w:ascii="宋体" w:hAnsi="宋体" w:cs="宋体"/>
      <w:b/>
      <w:bCs/>
      <w:kern w:val="0"/>
      <w:sz w:val="24"/>
      <w:szCs w:val="24"/>
    </w:rPr>
  </w:style>
  <w:style w:type="paragraph" w:customStyle="1" w:styleId="132">
    <w:name w:val="引文目录标题 字符1"/>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33">
    <w:name w:val="修订 字符"/>
    <w:basedOn w:val="38"/>
    <w:link w:val="66"/>
    <w:semiHidden/>
    <w:qFormat/>
    <w:uiPriority w:val="99"/>
    <w:rPr>
      <w:kern w:val="2"/>
      <w:szCs w:val="22"/>
    </w:rPr>
  </w:style>
  <w:style w:type="table" w:customStyle="1" w:styleId="134">
    <w:name w:val="网格型3"/>
    <w:basedOn w:val="36"/>
    <w:qFormat/>
    <w:uiPriority w:val="59"/>
    <w:pPr>
      <w:widowControl w:val="0"/>
      <w:jc w:val="both"/>
    </w:pPr>
    <w:rPr>
      <w:rFonts w:ascii="Times New Roman" w:hAnsi="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
    <w:name w:val="g4"/>
    <w:semiHidden/>
    <w:unhideWhenUsed/>
    <w:qFormat/>
    <w:uiPriority w:val="99"/>
    <w:tblPr>
      <w:tblCellMar>
        <w:top w:w="0" w:type="dxa"/>
        <w:left w:w="108" w:type="dxa"/>
        <w:bottom w:w="0" w:type="dxa"/>
        <w:right w:w="108" w:type="dxa"/>
      </w:tblCellMar>
    </w:tblPr>
  </w:style>
  <w:style w:type="paragraph" w:customStyle="1" w:styleId="136">
    <w:name w:val="_Style 134"/>
    <w:basedOn w:val="43"/>
    <w:next w:val="1"/>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customStyle="1" w:styleId="137">
    <w:name w:val="_Style 135"/>
    <w:basedOn w:val="43"/>
    <w:next w:val="1"/>
    <w:qFormat/>
    <w:uiPriority w:val="0"/>
    <w:pPr>
      <w:keepNext/>
      <w:keepLines/>
      <w:widowControl w:val="0"/>
      <w:spacing w:before="60" w:after="60"/>
      <w:jc w:val="both"/>
      <w:outlineLvl w:val="1"/>
    </w:pPr>
    <w:rPr>
      <w:rFonts w:ascii="Arial" w:hAnsi="Arial" w:cs="Times New Roman"/>
      <w:b/>
      <w:bCs/>
      <w:kern w:val="2"/>
      <w:szCs w:val="21"/>
    </w:rPr>
  </w:style>
  <w:style w:type="paragraph" w:customStyle="1" w:styleId="138">
    <w:name w:val="_Style 136"/>
    <w:basedOn w:val="43"/>
    <w:next w:val="1"/>
    <w:unhideWhenUsed/>
    <w:qFormat/>
    <w:uiPriority w:val="39"/>
    <w:pPr>
      <w:widowControl w:val="0"/>
      <w:ind w:left="2520" w:leftChars="1200"/>
      <w:jc w:val="both"/>
    </w:pPr>
    <w:rPr>
      <w:rFonts w:asciiTheme="minorHAnsi" w:hAnsiTheme="minorHAnsi" w:eastAsiaTheme="minorEastAsia" w:cstheme="minorBidi"/>
      <w:kern w:val="2"/>
      <w:szCs w:val="22"/>
    </w:rPr>
  </w:style>
  <w:style w:type="paragraph" w:customStyle="1" w:styleId="139">
    <w:name w:val="_Style 138"/>
    <w:basedOn w:val="43"/>
    <w:qFormat/>
    <w:uiPriority w:val="0"/>
    <w:pPr>
      <w:widowControl w:val="0"/>
      <w:ind w:firstLine="420" w:firstLineChars="200"/>
      <w:jc w:val="both"/>
    </w:pPr>
    <w:rPr>
      <w:rFonts w:ascii="Times New Roman" w:hAnsi="Times New Roman" w:cs="Times New Roman"/>
      <w:kern w:val="2"/>
      <w:szCs w:val="21"/>
    </w:rPr>
  </w:style>
  <w:style w:type="paragraph" w:customStyle="1" w:styleId="140">
    <w:name w:val="_Style 139"/>
    <w:basedOn w:val="43"/>
    <w:semiHidden/>
    <w:unhideWhenUsed/>
    <w:qFormat/>
    <w:uiPriority w:val="99"/>
    <w:pPr>
      <w:widowControl w:val="0"/>
      <w:jc w:val="both"/>
    </w:pPr>
    <w:rPr>
      <w:rFonts w:hAnsi="Calibri" w:cs="Times New Roman"/>
      <w:kern w:val="2"/>
      <w:sz w:val="18"/>
      <w:szCs w:val="18"/>
    </w:rPr>
  </w:style>
  <w:style w:type="paragraph" w:customStyle="1" w:styleId="141">
    <w:name w:val="_Style 140"/>
    <w:basedOn w:val="43"/>
    <w:next w:val="1"/>
    <w:semiHidden/>
    <w:qFormat/>
    <w:uiPriority w:val="0"/>
    <w:pPr>
      <w:widowControl w:val="0"/>
      <w:spacing w:before="120"/>
      <w:jc w:val="both"/>
    </w:pPr>
    <w:rPr>
      <w:rFonts w:ascii="Arial" w:hAnsi="Arial" w:cs="Times New Roman"/>
      <w:b/>
      <w:bCs/>
      <w:kern w:val="2"/>
      <w:szCs w:val="21"/>
    </w:rPr>
  </w:style>
  <w:style w:type="paragraph" w:customStyle="1" w:styleId="142">
    <w:name w:val="_Style 141"/>
    <w:basedOn w:val="43"/>
    <w:qFormat/>
    <w:uiPriority w:val="0"/>
    <w:pPr>
      <w:widowControl w:val="0"/>
    </w:pPr>
    <w:rPr>
      <w:rFonts w:ascii="Times New Roman" w:hAnsi="Times New Roman" w:cs="Times New Roman"/>
      <w:kern w:val="2"/>
      <w:szCs w:val="21"/>
    </w:rPr>
  </w:style>
  <w:style w:type="paragraph" w:customStyle="1" w:styleId="143">
    <w:name w:val="_Style 142"/>
    <w:basedOn w:val="43"/>
    <w:next w:val="1"/>
    <w:qFormat/>
    <w:uiPriority w:val="99"/>
    <w:pPr>
      <w:widowControl w:val="0"/>
      <w:jc w:val="both"/>
    </w:pPr>
    <w:rPr>
      <w:rFonts w:ascii="Times New Roman" w:hAnsi="Times New Roman" w:cs="Times New Roman"/>
      <w:kern w:val="2"/>
      <w:szCs w:val="21"/>
    </w:rPr>
  </w:style>
  <w:style w:type="paragraph" w:customStyle="1" w:styleId="144">
    <w:name w:val="_Style 143"/>
    <w:basedOn w:val="43"/>
    <w:qFormat/>
    <w:uiPriority w:val="99"/>
    <w:pPr>
      <w:widowControl w:val="0"/>
      <w:spacing w:after="120"/>
      <w:jc w:val="both"/>
    </w:pPr>
    <w:rPr>
      <w:rFonts w:ascii="Times New Roman" w:hAnsi="Times New Roman" w:cs="Times New Roman"/>
      <w:kern w:val="2"/>
      <w:szCs w:val="21"/>
    </w:rPr>
  </w:style>
  <w:style w:type="paragraph" w:customStyle="1" w:styleId="145">
    <w:name w:val="_Style 144"/>
    <w:basedOn w:val="43"/>
    <w:next w:val="1"/>
    <w:unhideWhenUsed/>
    <w:qFormat/>
    <w:uiPriority w:val="39"/>
    <w:pPr>
      <w:widowControl w:val="0"/>
      <w:ind w:left="1680" w:leftChars="800"/>
      <w:jc w:val="both"/>
    </w:pPr>
    <w:rPr>
      <w:rFonts w:asciiTheme="minorHAnsi" w:hAnsiTheme="minorHAnsi" w:eastAsiaTheme="minorEastAsia" w:cstheme="minorBidi"/>
      <w:kern w:val="2"/>
      <w:szCs w:val="22"/>
    </w:rPr>
  </w:style>
  <w:style w:type="paragraph" w:customStyle="1" w:styleId="146">
    <w:name w:val="_Style 145"/>
    <w:basedOn w:val="43"/>
    <w:next w:val="1"/>
    <w:unhideWhenUsed/>
    <w:qFormat/>
    <w:uiPriority w:val="39"/>
    <w:pPr>
      <w:spacing w:after="100" w:line="276" w:lineRule="auto"/>
      <w:ind w:left="440"/>
    </w:pPr>
    <w:rPr>
      <w:rFonts w:ascii="Calibri" w:hAnsi="Calibri" w:cs="Times New Roman"/>
      <w:sz w:val="22"/>
      <w:szCs w:val="22"/>
    </w:rPr>
  </w:style>
  <w:style w:type="paragraph" w:customStyle="1" w:styleId="147">
    <w:name w:val="_Style 146"/>
    <w:basedOn w:val="43"/>
    <w:qFormat/>
    <w:uiPriority w:val="0"/>
    <w:pPr>
      <w:widowControl w:val="0"/>
      <w:jc w:val="both"/>
    </w:pPr>
    <w:rPr>
      <w:rFonts w:hAnsi="Courier New" w:cs="Times New Roman"/>
      <w:kern w:val="2"/>
      <w:szCs w:val="20"/>
    </w:rPr>
  </w:style>
  <w:style w:type="paragraph" w:customStyle="1" w:styleId="148">
    <w:name w:val="_Style 147"/>
    <w:basedOn w:val="43"/>
    <w:next w:val="1"/>
    <w:unhideWhenUsed/>
    <w:qFormat/>
    <w:uiPriority w:val="39"/>
    <w:pPr>
      <w:widowControl w:val="0"/>
      <w:ind w:left="2940" w:leftChars="1400"/>
      <w:jc w:val="both"/>
    </w:pPr>
    <w:rPr>
      <w:rFonts w:asciiTheme="minorHAnsi" w:hAnsiTheme="minorHAnsi" w:eastAsiaTheme="minorEastAsia" w:cstheme="minorBidi"/>
      <w:kern w:val="2"/>
      <w:szCs w:val="22"/>
    </w:rPr>
  </w:style>
  <w:style w:type="paragraph" w:customStyle="1" w:styleId="149">
    <w:name w:val="_Style 148"/>
    <w:basedOn w:val="43"/>
    <w:next w:val="1"/>
    <w:qFormat/>
    <w:uiPriority w:val="99"/>
    <w:pPr>
      <w:widowControl w:val="0"/>
      <w:ind w:left="100" w:leftChars="2500"/>
      <w:jc w:val="both"/>
    </w:pPr>
    <w:rPr>
      <w:rFonts w:ascii="Times New Roman" w:hAnsi="Times New Roman" w:cs="Times New Roman"/>
      <w:kern w:val="2"/>
      <w:szCs w:val="21"/>
    </w:rPr>
  </w:style>
  <w:style w:type="paragraph" w:customStyle="1" w:styleId="150">
    <w:name w:val="_Style 149"/>
    <w:basedOn w:val="43"/>
    <w:semiHidden/>
    <w:unhideWhenUsed/>
    <w:qFormat/>
    <w:uiPriority w:val="99"/>
    <w:pPr>
      <w:snapToGrid w:val="0"/>
    </w:pPr>
  </w:style>
  <w:style w:type="paragraph" w:customStyle="1" w:styleId="151">
    <w:name w:val="_Style 150"/>
    <w:basedOn w:val="43"/>
    <w:unhideWhenUsed/>
    <w:qFormat/>
    <w:uiPriority w:val="99"/>
    <w:pPr>
      <w:widowControl w:val="0"/>
      <w:jc w:val="both"/>
    </w:pPr>
    <w:rPr>
      <w:rFonts w:ascii="Calibri" w:hAnsi="Calibri" w:cs="Times New Roman"/>
      <w:kern w:val="2"/>
      <w:sz w:val="18"/>
      <w:szCs w:val="18"/>
    </w:rPr>
  </w:style>
  <w:style w:type="paragraph" w:customStyle="1" w:styleId="152">
    <w:name w:val="_Style 151"/>
    <w:basedOn w:val="43"/>
    <w:unhideWhenUsed/>
    <w:qFormat/>
    <w:uiPriority w:val="99"/>
    <w:pPr>
      <w:widowControl w:val="0"/>
      <w:tabs>
        <w:tab w:val="center" w:pos="4153"/>
        <w:tab w:val="right" w:pos="8306"/>
      </w:tabs>
      <w:snapToGrid w:val="0"/>
    </w:pPr>
    <w:rPr>
      <w:rFonts w:ascii="Calibri" w:hAnsi="Calibri" w:cs="Times New Roman"/>
      <w:kern w:val="2"/>
      <w:sz w:val="18"/>
      <w:szCs w:val="18"/>
    </w:rPr>
  </w:style>
  <w:style w:type="paragraph" w:customStyle="1" w:styleId="153">
    <w:name w:val="_Style 152"/>
    <w:basedOn w:val="43"/>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customStyle="1" w:styleId="154">
    <w:name w:val="_Style 153"/>
    <w:basedOn w:val="43"/>
    <w:next w:val="1"/>
    <w:qFormat/>
    <w:uiPriority w:val="39"/>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55">
    <w:name w:val="_Style 154"/>
    <w:basedOn w:val="43"/>
    <w:next w:val="1"/>
    <w:unhideWhenUsed/>
    <w:qFormat/>
    <w:uiPriority w:val="39"/>
    <w:pPr>
      <w:widowControl w:val="0"/>
      <w:ind w:left="1260" w:leftChars="600"/>
      <w:jc w:val="both"/>
    </w:pPr>
    <w:rPr>
      <w:rFonts w:asciiTheme="minorHAnsi" w:hAnsiTheme="minorHAnsi" w:eastAsiaTheme="minorEastAsia" w:cstheme="minorBidi"/>
      <w:kern w:val="2"/>
      <w:szCs w:val="22"/>
    </w:rPr>
  </w:style>
  <w:style w:type="paragraph" w:customStyle="1" w:styleId="156">
    <w:name w:val="_Style 155"/>
    <w:basedOn w:val="43"/>
    <w:next w:val="1"/>
    <w:unhideWhenUsed/>
    <w:qFormat/>
    <w:uiPriority w:val="39"/>
    <w:pPr>
      <w:widowControl w:val="0"/>
      <w:ind w:left="2100" w:leftChars="1000"/>
      <w:jc w:val="both"/>
    </w:pPr>
    <w:rPr>
      <w:rFonts w:asciiTheme="minorHAnsi" w:hAnsiTheme="minorHAnsi" w:eastAsiaTheme="minorEastAsia" w:cstheme="minorBidi"/>
      <w:kern w:val="2"/>
      <w:szCs w:val="22"/>
    </w:rPr>
  </w:style>
  <w:style w:type="paragraph" w:customStyle="1" w:styleId="157">
    <w:name w:val="_Style 156"/>
    <w:basedOn w:val="43"/>
    <w:next w:val="1"/>
    <w:qFormat/>
    <w:uiPriority w:val="39"/>
    <w:pPr>
      <w:widowControl w:val="0"/>
      <w:ind w:left="420" w:leftChars="200"/>
      <w:jc w:val="both"/>
    </w:pPr>
    <w:rPr>
      <w:rFonts w:ascii="Times New Roman" w:hAnsi="Times New Roman" w:cs="Times New Roman"/>
      <w:kern w:val="2"/>
      <w:szCs w:val="21"/>
    </w:rPr>
  </w:style>
  <w:style w:type="paragraph" w:customStyle="1" w:styleId="158">
    <w:name w:val="_Style 157"/>
    <w:basedOn w:val="43"/>
    <w:next w:val="1"/>
    <w:unhideWhenUsed/>
    <w:qFormat/>
    <w:uiPriority w:val="39"/>
    <w:pPr>
      <w:widowControl w:val="0"/>
      <w:ind w:left="3360" w:leftChars="1600"/>
      <w:jc w:val="both"/>
    </w:pPr>
    <w:rPr>
      <w:rFonts w:asciiTheme="minorHAnsi" w:hAnsiTheme="minorHAnsi" w:eastAsiaTheme="minorEastAsia" w:cstheme="minorBidi"/>
      <w:kern w:val="2"/>
      <w:szCs w:val="22"/>
    </w:rPr>
  </w:style>
  <w:style w:type="paragraph" w:customStyle="1" w:styleId="159">
    <w:name w:val="_Style 158"/>
    <w:basedOn w:val="43"/>
    <w:qFormat/>
    <w:uiPriority w:val="99"/>
    <w:pPr>
      <w:spacing w:before="100" w:beforeAutospacing="1" w:after="100" w:afterAutospacing="1"/>
    </w:pPr>
    <w:rPr>
      <w:sz w:val="24"/>
    </w:rPr>
  </w:style>
  <w:style w:type="paragraph" w:customStyle="1" w:styleId="160">
    <w:name w:val="_Style 159"/>
    <w:basedOn w:val="43"/>
    <w:next w:val="1"/>
    <w:semiHidden/>
    <w:qFormat/>
    <w:uiPriority w:val="0"/>
    <w:pPr>
      <w:ind w:firstLine="420" w:firstLineChars="200"/>
    </w:pPr>
    <w:rPr>
      <w:rFonts w:cs="Times New Roman"/>
      <w:color w:val="000000"/>
      <w:szCs w:val="21"/>
    </w:rPr>
  </w:style>
  <w:style w:type="paragraph" w:customStyle="1" w:styleId="161">
    <w:name w:val="_Style 160"/>
    <w:basedOn w:val="43"/>
    <w:next w:val="1"/>
    <w:qFormat/>
    <w:uiPriority w:val="10"/>
    <w:pPr>
      <w:widowControl w:val="0"/>
      <w:spacing w:before="240" w:after="60"/>
      <w:jc w:val="center"/>
      <w:outlineLvl w:val="0"/>
    </w:pPr>
    <w:rPr>
      <w:rFonts w:asciiTheme="majorHAnsi" w:hAnsiTheme="majorHAnsi" w:cstheme="majorBidi"/>
      <w:b/>
      <w:bCs/>
      <w:kern w:val="2"/>
      <w:sz w:val="32"/>
      <w:szCs w:val="32"/>
    </w:rPr>
  </w:style>
  <w:style w:type="paragraph" w:customStyle="1" w:styleId="162">
    <w:name w:val="_Style 161"/>
    <w:basedOn w:val="142"/>
    <w:unhideWhenUsed/>
    <w:qFormat/>
    <w:uiPriority w:val="99"/>
    <w:rPr>
      <w:rFonts w:ascii="Calibri" w:hAnsi="Calibri"/>
      <w:b/>
      <w:bCs/>
      <w:szCs w:val="22"/>
    </w:rPr>
  </w:style>
  <w:style w:type="character" w:customStyle="1" w:styleId="163">
    <w:name w:val="_Style 162"/>
    <w:basedOn w:val="38"/>
    <w:semiHidden/>
    <w:unhideWhenUsed/>
    <w:qFormat/>
    <w:uiPriority w:val="99"/>
    <w:rPr>
      <w:vertAlign w:val="superscript"/>
    </w:rPr>
  </w:style>
  <w:style w:type="character" w:customStyle="1" w:styleId="164">
    <w:name w:val="_Style 163"/>
    <w:basedOn w:val="38"/>
    <w:qFormat/>
    <w:uiPriority w:val="99"/>
    <w:rPr>
      <w:rFonts w:cs="Times New Roman"/>
      <w:color w:val="0000FF"/>
      <w:u w:val="single"/>
    </w:rPr>
  </w:style>
  <w:style w:type="character" w:customStyle="1" w:styleId="165">
    <w:name w:val="_Style 164"/>
    <w:basedOn w:val="38"/>
    <w:qFormat/>
    <w:uiPriority w:val="0"/>
    <w:rPr>
      <w:rFonts w:eastAsia="宋体" w:cs="Times New Roman"/>
      <w:kern w:val="2"/>
      <w:sz w:val="21"/>
      <w:szCs w:val="21"/>
      <w:lang w:val="en-US" w:eastAsia="zh-CN" w:bidi="ar-SA"/>
    </w:rPr>
  </w:style>
  <w:style w:type="character" w:customStyle="1" w:styleId="166">
    <w:name w:val="_Style 165"/>
    <w:basedOn w:val="38"/>
    <w:qFormat/>
    <w:uiPriority w:val="99"/>
    <w:rPr>
      <w:rFonts w:eastAsia="黑体"/>
      <w:b/>
      <w:bCs/>
      <w:kern w:val="44"/>
      <w:sz w:val="28"/>
      <w:szCs w:val="44"/>
    </w:rPr>
  </w:style>
  <w:style w:type="character" w:customStyle="1" w:styleId="167">
    <w:name w:val="_Style 166"/>
    <w:basedOn w:val="38"/>
    <w:qFormat/>
    <w:uiPriority w:val="0"/>
    <w:rPr>
      <w:rFonts w:ascii="Arial" w:hAnsi="Arial"/>
      <w:b/>
      <w:bCs/>
      <w:kern w:val="2"/>
      <w:sz w:val="21"/>
      <w:szCs w:val="21"/>
    </w:rPr>
  </w:style>
  <w:style w:type="paragraph" w:customStyle="1" w:styleId="168">
    <w:name w:val="_Style 167"/>
    <w:basedOn w:val="136"/>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169">
    <w:name w:val="_Style 168"/>
    <w:basedOn w:val="38"/>
    <w:qFormat/>
    <w:uiPriority w:val="0"/>
    <w:rPr>
      <w:rFonts w:ascii="Times New Roman" w:hAnsi="Times New Roman" w:eastAsia="宋体" w:cs="Times New Roman"/>
      <w:szCs w:val="21"/>
    </w:rPr>
  </w:style>
  <w:style w:type="character" w:customStyle="1" w:styleId="170">
    <w:name w:val="_Style 169"/>
    <w:basedOn w:val="38"/>
    <w:qFormat/>
    <w:uiPriority w:val="99"/>
    <w:rPr>
      <w:rFonts w:ascii="Calibri" w:hAnsi="Calibri" w:eastAsia="宋体" w:cs="Times New Roman"/>
      <w:sz w:val="18"/>
      <w:szCs w:val="18"/>
    </w:rPr>
  </w:style>
  <w:style w:type="character" w:customStyle="1" w:styleId="171">
    <w:name w:val="_Style 170"/>
    <w:basedOn w:val="38"/>
    <w:qFormat/>
    <w:uiPriority w:val="99"/>
    <w:rPr>
      <w:rFonts w:ascii="Times New Roman" w:hAnsi="Times New Roman" w:eastAsia="宋体" w:cs="Times New Roman"/>
      <w:szCs w:val="21"/>
    </w:rPr>
  </w:style>
  <w:style w:type="paragraph" w:customStyle="1" w:styleId="172">
    <w:name w:val="_Style 171"/>
    <w:basedOn w:val="43"/>
    <w:qFormat/>
    <w:uiPriority w:val="34"/>
    <w:pPr>
      <w:widowControl w:val="0"/>
      <w:ind w:firstLine="420" w:firstLineChars="200"/>
      <w:jc w:val="both"/>
    </w:pPr>
    <w:rPr>
      <w:rFonts w:ascii="Calibri" w:hAnsi="Calibri" w:cs="Times New Roman"/>
      <w:kern w:val="2"/>
      <w:szCs w:val="22"/>
    </w:rPr>
  </w:style>
  <w:style w:type="character" w:customStyle="1" w:styleId="173">
    <w:name w:val="_Style 172"/>
    <w:basedOn w:val="169"/>
    <w:qFormat/>
    <w:uiPriority w:val="99"/>
    <w:rPr>
      <w:rFonts w:ascii="Calibri" w:hAnsi="Calibri" w:eastAsia="宋体" w:cs="Times New Roman"/>
      <w:b/>
      <w:bCs/>
      <w:szCs w:val="21"/>
    </w:rPr>
  </w:style>
  <w:style w:type="character" w:customStyle="1" w:styleId="174">
    <w:name w:val="_Style 173"/>
    <w:basedOn w:val="38"/>
    <w:qFormat/>
    <w:uiPriority w:val="99"/>
    <w:rPr>
      <w:rFonts w:ascii="Calibri" w:hAnsi="Calibri" w:eastAsia="宋体" w:cs="Times New Roman"/>
      <w:sz w:val="18"/>
      <w:szCs w:val="18"/>
    </w:rPr>
  </w:style>
  <w:style w:type="character" w:customStyle="1" w:styleId="175">
    <w:name w:val="_Style 174"/>
    <w:basedOn w:val="38"/>
    <w:qFormat/>
    <w:uiPriority w:val="99"/>
    <w:rPr>
      <w:rFonts w:ascii="Calibri" w:hAnsi="Calibri" w:eastAsia="宋体" w:cs="Times New Roman"/>
      <w:sz w:val="18"/>
      <w:szCs w:val="18"/>
    </w:rPr>
  </w:style>
  <w:style w:type="character" w:customStyle="1" w:styleId="176">
    <w:name w:val="_Style 175"/>
    <w:basedOn w:val="38"/>
    <w:qFormat/>
    <w:uiPriority w:val="0"/>
    <w:rPr>
      <w:rFonts w:ascii="宋体" w:hAnsi="Courier New" w:eastAsia="宋体" w:cs="Times New Roman"/>
      <w:szCs w:val="20"/>
    </w:rPr>
  </w:style>
  <w:style w:type="character" w:customStyle="1" w:styleId="177">
    <w:name w:val="_Style 176"/>
    <w:basedOn w:val="38"/>
    <w:qFormat/>
    <w:uiPriority w:val="99"/>
    <w:rPr>
      <w:rFonts w:ascii="Times New Roman" w:hAnsi="Times New Roman" w:eastAsia="宋体" w:cs="Times New Roman"/>
      <w:szCs w:val="21"/>
    </w:rPr>
  </w:style>
  <w:style w:type="character" w:customStyle="1" w:styleId="178">
    <w:name w:val="_Style 177"/>
    <w:basedOn w:val="38"/>
    <w:qFormat/>
    <w:uiPriority w:val="99"/>
    <w:rPr>
      <w:rFonts w:ascii="Times New Roman" w:hAnsi="Times New Roman" w:eastAsia="宋体" w:cs="Times New Roman"/>
      <w:szCs w:val="21"/>
    </w:rPr>
  </w:style>
  <w:style w:type="character" w:customStyle="1" w:styleId="179">
    <w:name w:val="_Style 178"/>
    <w:basedOn w:val="38"/>
    <w:qFormat/>
    <w:uiPriority w:val="99"/>
    <w:rPr>
      <w:rFonts w:ascii="Times New Roman" w:hAnsi="Times New Roman" w:eastAsia="宋体" w:cs="Times New Roman"/>
      <w:szCs w:val="21"/>
    </w:rPr>
  </w:style>
  <w:style w:type="paragraph" w:customStyle="1" w:styleId="180">
    <w:name w:val="_Style 179"/>
    <w:hidden/>
    <w:semiHidden/>
    <w:qFormat/>
    <w:uiPriority w:val="99"/>
    <w:rPr>
      <w:rFonts w:ascii="Calibri" w:hAnsi="Calibri" w:eastAsia="宋体" w:cs="Times New Roman"/>
      <w:kern w:val="2"/>
      <w:sz w:val="21"/>
      <w:szCs w:val="22"/>
      <w:lang w:val="en-US" w:eastAsia="zh-CN" w:bidi="ar-SA"/>
    </w:rPr>
  </w:style>
  <w:style w:type="character" w:customStyle="1" w:styleId="181">
    <w:name w:val="_Style 180"/>
    <w:basedOn w:val="38"/>
    <w:qFormat/>
    <w:uiPriority w:val="0"/>
    <w:rPr>
      <w:kern w:val="2"/>
      <w:sz w:val="21"/>
      <w:szCs w:val="24"/>
    </w:rPr>
  </w:style>
  <w:style w:type="paragraph" w:customStyle="1" w:styleId="182">
    <w:name w:val="_Style 181"/>
    <w:basedOn w:val="43"/>
    <w:qFormat/>
    <w:uiPriority w:val="0"/>
    <w:pPr>
      <w:widowControl w:val="0"/>
      <w:spacing w:before="100" w:after="100"/>
      <w:jc w:val="both"/>
    </w:pPr>
    <w:rPr>
      <w:rFonts w:ascii="Calibri" w:hAnsi="Calibri" w:cs="Times New Roman"/>
      <w:kern w:val="2"/>
    </w:rPr>
  </w:style>
  <w:style w:type="character" w:customStyle="1" w:styleId="183">
    <w:name w:val="_Style 182"/>
    <w:basedOn w:val="38"/>
    <w:semiHidden/>
    <w:qFormat/>
    <w:uiPriority w:val="99"/>
    <w:rPr>
      <w:rFonts w:ascii="宋体"/>
      <w:kern w:val="2"/>
      <w:sz w:val="18"/>
      <w:szCs w:val="18"/>
    </w:rPr>
  </w:style>
  <w:style w:type="character" w:customStyle="1" w:styleId="184">
    <w:name w:val="_Style 183"/>
    <w:basedOn w:val="38"/>
    <w:semiHidden/>
    <w:qFormat/>
    <w:uiPriority w:val="99"/>
    <w:rPr>
      <w:color w:val="auto"/>
    </w:rPr>
  </w:style>
  <w:style w:type="character" w:customStyle="1" w:styleId="185">
    <w:name w:val="引文目录标题 字符2"/>
    <w:basedOn w:val="38"/>
    <w:link w:val="13"/>
    <w:qFormat/>
    <w:uiPriority w:val="10"/>
    <w:rPr>
      <w:rFonts w:asciiTheme="majorHAnsi" w:hAnsiTheme="majorHAnsi" w:cstheme="majorBidi"/>
      <w:b/>
      <w:bCs/>
      <w:kern w:val="2"/>
      <w:sz w:val="32"/>
      <w:szCs w:val="32"/>
    </w:rPr>
  </w:style>
  <w:style w:type="paragraph" w:customStyle="1" w:styleId="186">
    <w:name w:val="_Style 185"/>
    <w:qFormat/>
    <w:uiPriority w:val="1"/>
    <w:pPr>
      <w:widowControl w:val="0"/>
      <w:jc w:val="both"/>
    </w:pPr>
    <w:rPr>
      <w:rFonts w:ascii="Calibri" w:hAnsi="Calibri" w:eastAsia="宋体" w:cs="Times New Roman"/>
      <w:kern w:val="2"/>
      <w:sz w:val="21"/>
      <w:szCs w:val="22"/>
      <w:lang w:val="en-US" w:eastAsia="zh-CN" w:bidi="ar-SA"/>
    </w:rPr>
  </w:style>
  <w:style w:type="character" w:customStyle="1" w:styleId="187">
    <w:name w:val="_Style 186"/>
    <w:basedOn w:val="38"/>
    <w:semiHidden/>
    <w:qFormat/>
    <w:uiPriority w:val="99"/>
    <w:rPr>
      <w:rFonts w:ascii="宋体" w:hAnsi="宋体" w:cs="宋体"/>
      <w:sz w:val="21"/>
      <w:szCs w:val="24"/>
    </w:rPr>
  </w:style>
  <w:style w:type="character" w:customStyle="1" w:styleId="188">
    <w:name w:val="_Style 187"/>
    <w:basedOn w:val="169"/>
    <w:semiHidden/>
    <w:qFormat/>
    <w:uiPriority w:val="99"/>
    <w:rPr>
      <w:rFonts w:ascii="Times New Roman" w:hAnsi="Times New Roman" w:eastAsia="宋体" w:cs="Times New Roman"/>
      <w:b/>
      <w:bCs/>
      <w:szCs w:val="21"/>
    </w:rPr>
  </w:style>
  <w:style w:type="character" w:customStyle="1" w:styleId="189">
    <w:name w:val="_Style 188"/>
    <w:basedOn w:val="169"/>
    <w:semiHidden/>
    <w:qFormat/>
    <w:uiPriority w:val="99"/>
    <w:rPr>
      <w:rFonts w:ascii="Times New Roman" w:hAnsi="Times New Roman" w:eastAsia="宋体" w:cs="Times New Roman"/>
      <w:b/>
      <w:bCs/>
      <w:szCs w:val="21"/>
    </w:rPr>
  </w:style>
  <w:style w:type="paragraph" w:customStyle="1" w:styleId="190">
    <w:name w:val="_Style 189"/>
    <w:basedOn w:val="43"/>
    <w:qFormat/>
    <w:uiPriority w:val="34"/>
    <w:pPr>
      <w:widowControl w:val="0"/>
      <w:ind w:firstLine="420" w:firstLineChars="200"/>
      <w:jc w:val="both"/>
    </w:pPr>
    <w:rPr>
      <w:rFonts w:ascii="Calibri" w:hAnsi="Calibri" w:cs="Times New Roman"/>
      <w:kern w:val="2"/>
      <w:szCs w:val="22"/>
    </w:rPr>
  </w:style>
  <w:style w:type="paragraph" w:customStyle="1" w:styleId="191">
    <w:name w:val="_Style 190"/>
    <w:basedOn w:val="43"/>
    <w:qFormat/>
    <w:uiPriority w:val="34"/>
    <w:pPr>
      <w:widowControl w:val="0"/>
      <w:ind w:firstLine="420" w:firstLineChars="200"/>
      <w:jc w:val="both"/>
    </w:pPr>
    <w:rPr>
      <w:rFonts w:ascii="Calibri" w:hAnsi="Calibri" w:cs="Times New Roman"/>
      <w:kern w:val="2"/>
      <w:szCs w:val="22"/>
    </w:rPr>
  </w:style>
  <w:style w:type="paragraph" w:customStyle="1" w:styleId="192">
    <w:name w:val="_Style 191"/>
    <w:basedOn w:val="43"/>
    <w:qFormat/>
    <w:uiPriority w:val="34"/>
    <w:pPr>
      <w:widowControl w:val="0"/>
      <w:ind w:firstLine="420" w:firstLineChars="200"/>
      <w:jc w:val="both"/>
    </w:pPr>
    <w:rPr>
      <w:rFonts w:ascii="Calibri" w:hAnsi="Calibri" w:cs="Times New Roman"/>
      <w:kern w:val="2"/>
      <w:szCs w:val="22"/>
    </w:rPr>
  </w:style>
  <w:style w:type="paragraph" w:customStyle="1" w:styleId="193">
    <w:name w:val="_Style 192"/>
    <w:basedOn w:val="43"/>
    <w:qFormat/>
    <w:uiPriority w:val="34"/>
    <w:pPr>
      <w:widowControl w:val="0"/>
      <w:ind w:firstLine="420" w:firstLineChars="200"/>
      <w:jc w:val="both"/>
    </w:pPr>
    <w:rPr>
      <w:rFonts w:ascii="Calibri" w:hAnsi="Calibri" w:cs="Times New Roman"/>
      <w:kern w:val="2"/>
      <w:szCs w:val="22"/>
    </w:rPr>
  </w:style>
  <w:style w:type="character" w:customStyle="1" w:styleId="194">
    <w:name w:val="_Style 193"/>
    <w:qFormat/>
    <w:uiPriority w:val="0"/>
    <w:rPr>
      <w:rFonts w:ascii="Arial" w:hAnsi="Arial"/>
      <w:b/>
      <w:bCs/>
      <w:kern w:val="2"/>
      <w:sz w:val="21"/>
      <w:szCs w:val="21"/>
    </w:rPr>
  </w:style>
  <w:style w:type="paragraph" w:customStyle="1" w:styleId="195">
    <w:name w:val="_Style 194"/>
    <w:basedOn w:val="43"/>
    <w:qFormat/>
    <w:uiPriority w:val="34"/>
    <w:pPr>
      <w:widowControl w:val="0"/>
      <w:ind w:firstLine="420" w:firstLineChars="200"/>
      <w:jc w:val="both"/>
    </w:pPr>
    <w:rPr>
      <w:rFonts w:ascii="Calibri" w:hAnsi="Calibri" w:cs="Times New Roman"/>
      <w:kern w:val="2"/>
      <w:szCs w:val="22"/>
    </w:rPr>
  </w:style>
  <w:style w:type="character" w:customStyle="1" w:styleId="196">
    <w:name w:val="_Style 195"/>
    <w:qFormat/>
    <w:uiPriority w:val="0"/>
    <w:rPr>
      <w:rFonts w:hint="default" w:ascii="FZLTSK--GBK1-0" w:hAnsi="FZLTSK--GBK1-0"/>
      <w:color w:val="000000"/>
      <w:sz w:val="20"/>
      <w:szCs w:val="20"/>
    </w:rPr>
  </w:style>
  <w:style w:type="paragraph" w:customStyle="1" w:styleId="197">
    <w:name w:val="_Style 196"/>
    <w:basedOn w:val="43"/>
    <w:qFormat/>
    <w:uiPriority w:val="34"/>
    <w:pPr>
      <w:widowControl w:val="0"/>
      <w:ind w:firstLine="420" w:firstLineChars="200"/>
      <w:jc w:val="both"/>
    </w:pPr>
    <w:rPr>
      <w:rFonts w:ascii="Calibri" w:hAnsi="Calibri" w:cs="Times New Roman"/>
      <w:kern w:val="2"/>
      <w:szCs w:val="22"/>
    </w:rPr>
  </w:style>
  <w:style w:type="character" w:customStyle="1" w:styleId="198">
    <w:name w:val="_Style 197"/>
    <w:qFormat/>
    <w:uiPriority w:val="0"/>
    <w:rPr>
      <w:rFonts w:ascii="Arial" w:hAnsi="Arial"/>
      <w:b/>
      <w:bCs/>
      <w:kern w:val="2"/>
      <w:sz w:val="21"/>
      <w:szCs w:val="21"/>
    </w:rPr>
  </w:style>
  <w:style w:type="paragraph" w:customStyle="1" w:styleId="199">
    <w:name w:val="_Style 198"/>
    <w:basedOn w:val="43"/>
    <w:qFormat/>
    <w:uiPriority w:val="34"/>
    <w:pPr>
      <w:widowControl w:val="0"/>
      <w:ind w:firstLine="420" w:firstLineChars="200"/>
      <w:jc w:val="both"/>
    </w:pPr>
    <w:rPr>
      <w:rFonts w:ascii="Calibri" w:hAnsi="Calibri" w:cs="Times New Roman"/>
      <w:kern w:val="2"/>
      <w:szCs w:val="22"/>
    </w:rPr>
  </w:style>
  <w:style w:type="character" w:customStyle="1" w:styleId="200">
    <w:name w:val="_Style 199"/>
    <w:basedOn w:val="38"/>
    <w:qFormat/>
    <w:uiPriority w:val="34"/>
    <w:rPr>
      <w:kern w:val="2"/>
      <w:szCs w:val="22"/>
    </w:rPr>
  </w:style>
  <w:style w:type="table" w:customStyle="1" w:styleId="201">
    <w:name w:val="g3"/>
    <w:semiHidden/>
    <w:unhideWhenUsed/>
    <w:qFormat/>
    <w:uiPriority w:val="99"/>
    <w:tblPr>
      <w:tblCellMar>
        <w:top w:w="0" w:type="dxa"/>
        <w:left w:w="108" w:type="dxa"/>
        <w:bottom w:w="0" w:type="dxa"/>
        <w:right w:w="108" w:type="dxa"/>
      </w:tblCellMar>
    </w:tblPr>
  </w:style>
  <w:style w:type="table" w:customStyle="1" w:styleId="202">
    <w:name w:val="g6"/>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
    <w:name w:val="g8"/>
    <w:basedOn w:val="36"/>
    <w:qFormat/>
    <w:uiPriority w:val="0"/>
    <w:rPr>
      <w:rFonts w:ascii="宋体" w:hAnsi="宋体"/>
      <w:kern w:val="2"/>
      <w:sz w:val="20"/>
      <w:szCs w:val="20"/>
    </w:rPr>
    <w:tblPr/>
  </w:style>
  <w:style w:type="table" w:customStyle="1" w:styleId="204">
    <w:name w:val="g9"/>
    <w:basedOn w:val="36"/>
    <w:qFormat/>
    <w:uiPriority w:val="0"/>
    <w:pPr>
      <w:widowControl w:val="0"/>
      <w:jc w:val="both"/>
    </w:pPr>
    <w:rPr>
      <w:rFonts w:ascii="Times New Roman" w:hAnsi="Times New Roman" w:eastAsia="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
    <w:name w:val="g13"/>
    <w:basedOn w:val="36"/>
    <w:qFormat/>
    <w:uiPriority w:val="0"/>
    <w:rPr>
      <w:rFonts w:ascii="Times New Roman" w:hAnsi="Times New Roman" w:eastAsia="Times New Roman"/>
      <w:sz w:val="20"/>
      <w:szCs w:val="20"/>
    </w:rPr>
    <w:tblPr/>
  </w:style>
  <w:style w:type="table" w:customStyle="1" w:styleId="206">
    <w:name w:val="g14"/>
    <w:basedOn w:val="36"/>
    <w:qFormat/>
    <w:uiPriority w:val="0"/>
    <w:rPr>
      <w:rFonts w:ascii="宋体" w:hAnsi="宋体"/>
      <w:kern w:val="2"/>
      <w:sz w:val="20"/>
      <w:szCs w:val="20"/>
    </w:rPr>
    <w:tblPr/>
  </w:style>
  <w:style w:type="table" w:customStyle="1" w:styleId="207">
    <w:name w:val="g15"/>
    <w:basedOn w:val="36"/>
    <w:qFormat/>
    <w:uiPriority w:val="0"/>
    <w:rPr>
      <w:rFonts w:ascii="宋体" w:hAnsi="宋体"/>
      <w:kern w:val="2"/>
    </w:rPr>
    <w:tblPr/>
  </w:style>
  <w:style w:type="character" w:customStyle="1" w:styleId="208">
    <w:name w:val="_Style 207"/>
    <w:basedOn w:val="38"/>
    <w:qFormat/>
    <w:uiPriority w:val="99"/>
    <w:rPr>
      <w:rFonts w:cs="Times New Roman"/>
      <w:color w:val="0000FF"/>
      <w:u w:val="single"/>
    </w:rPr>
  </w:style>
  <w:style w:type="character" w:customStyle="1" w:styleId="209">
    <w:name w:val="_Style 208"/>
    <w:basedOn w:val="38"/>
    <w:qFormat/>
    <w:uiPriority w:val="0"/>
    <w:rPr>
      <w:rFonts w:eastAsia="宋体" w:cs="Times New Roman"/>
      <w:kern w:val="2"/>
      <w:sz w:val="21"/>
      <w:szCs w:val="21"/>
      <w:lang w:val="en-US" w:eastAsia="zh-CN" w:bidi="ar-SA"/>
    </w:rPr>
  </w:style>
  <w:style w:type="paragraph" w:customStyle="1" w:styleId="210">
    <w:name w:val="_Style 209"/>
    <w:basedOn w:val="1"/>
    <w:qFormat/>
    <w:uiPriority w:val="0"/>
    <w:pPr>
      <w:jc w:val="left"/>
    </w:pPr>
    <w:rPr>
      <w:rFonts w:ascii="Times New Roman" w:hAnsi="Times New Roman"/>
    </w:rPr>
  </w:style>
  <w:style w:type="character" w:customStyle="1" w:styleId="211">
    <w:name w:val="_Style 210"/>
    <w:basedOn w:val="38"/>
    <w:qFormat/>
    <w:uiPriority w:val="0"/>
    <w:rPr>
      <w:rFonts w:ascii="Times New Roman" w:hAnsi="Times New Roman" w:eastAsia="宋体" w:cs="Times New Roman"/>
      <w:szCs w:val="21"/>
    </w:rPr>
  </w:style>
  <w:style w:type="paragraph" w:customStyle="1" w:styleId="212">
    <w:name w:val="_Style 211"/>
    <w:basedOn w:val="1"/>
    <w:unhideWhenUsed/>
    <w:qFormat/>
    <w:uiPriority w:val="99"/>
    <w:rPr>
      <w:sz w:val="18"/>
      <w:szCs w:val="18"/>
    </w:rPr>
  </w:style>
  <w:style w:type="character" w:customStyle="1" w:styleId="213">
    <w:name w:val="_Style 212"/>
    <w:basedOn w:val="38"/>
    <w:qFormat/>
    <w:uiPriority w:val="99"/>
    <w:rPr>
      <w:rFonts w:ascii="Calibri" w:hAnsi="Calibri" w:eastAsia="宋体" w:cs="Times New Roman"/>
      <w:sz w:val="18"/>
      <w:szCs w:val="18"/>
    </w:rPr>
  </w:style>
  <w:style w:type="paragraph" w:customStyle="1" w:styleId="214">
    <w:name w:val="_Style 213"/>
    <w:basedOn w:val="1"/>
    <w:next w:val="1"/>
    <w:qFormat/>
    <w:uiPriority w:val="99"/>
    <w:rPr>
      <w:rFonts w:ascii="Times New Roman" w:hAnsi="Times New Roman"/>
    </w:rPr>
  </w:style>
  <w:style w:type="character" w:customStyle="1" w:styleId="215">
    <w:name w:val="_Style 214"/>
    <w:basedOn w:val="38"/>
    <w:qFormat/>
    <w:uiPriority w:val="99"/>
    <w:rPr>
      <w:rFonts w:ascii="Times New Roman" w:hAnsi="Times New Roman" w:eastAsia="宋体" w:cs="Times New Roman"/>
      <w:szCs w:val="21"/>
    </w:rPr>
  </w:style>
  <w:style w:type="paragraph" w:customStyle="1" w:styleId="216">
    <w:name w:val="_Style 215"/>
    <w:basedOn w:val="1"/>
    <w:qFormat/>
    <w:uiPriority w:val="99"/>
    <w:pPr>
      <w:ind w:firstLine="420" w:firstLineChars="200"/>
    </w:pPr>
    <w:rPr>
      <w:szCs w:val="22"/>
    </w:rPr>
  </w:style>
  <w:style w:type="character" w:customStyle="1" w:styleId="217">
    <w:name w:val="_Style 216"/>
    <w:basedOn w:val="211"/>
    <w:qFormat/>
    <w:uiPriority w:val="99"/>
    <w:rPr>
      <w:rFonts w:ascii="Calibri" w:hAnsi="Calibri" w:eastAsia="宋体" w:cs="Times New Roman"/>
      <w:b/>
      <w:bCs/>
      <w:szCs w:val="21"/>
    </w:rPr>
  </w:style>
  <w:style w:type="paragraph" w:customStyle="1" w:styleId="218">
    <w:name w:val="_Style 217"/>
    <w:basedOn w:val="210"/>
    <w:unhideWhenUsed/>
    <w:qFormat/>
    <w:uiPriority w:val="99"/>
    <w:rPr>
      <w:rFonts w:ascii="Calibri" w:hAnsi="Calibri"/>
      <w:b/>
      <w:bCs/>
      <w:szCs w:val="22"/>
    </w:rPr>
  </w:style>
  <w:style w:type="paragraph" w:customStyle="1" w:styleId="219">
    <w:name w:val="_Style 218"/>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220">
    <w:name w:val="_Style 219"/>
    <w:basedOn w:val="38"/>
    <w:qFormat/>
    <w:uiPriority w:val="99"/>
    <w:rPr>
      <w:rFonts w:ascii="Calibri" w:hAnsi="Calibri" w:eastAsia="宋体" w:cs="Times New Roman"/>
      <w:sz w:val="18"/>
      <w:szCs w:val="18"/>
    </w:rPr>
  </w:style>
  <w:style w:type="paragraph" w:customStyle="1" w:styleId="221">
    <w:name w:val="_Style 220"/>
    <w:basedOn w:val="1"/>
    <w:unhideWhenUsed/>
    <w:qFormat/>
    <w:uiPriority w:val="99"/>
    <w:pPr>
      <w:tabs>
        <w:tab w:val="center" w:pos="4153"/>
        <w:tab w:val="right" w:pos="8306"/>
      </w:tabs>
      <w:snapToGrid w:val="0"/>
      <w:jc w:val="left"/>
    </w:pPr>
    <w:rPr>
      <w:sz w:val="18"/>
      <w:szCs w:val="18"/>
    </w:rPr>
  </w:style>
  <w:style w:type="character" w:customStyle="1" w:styleId="222">
    <w:name w:val="_Style 221"/>
    <w:basedOn w:val="38"/>
    <w:qFormat/>
    <w:uiPriority w:val="99"/>
    <w:rPr>
      <w:rFonts w:ascii="Calibri" w:hAnsi="Calibri" w:eastAsia="宋体" w:cs="Times New Roman"/>
      <w:sz w:val="18"/>
      <w:szCs w:val="18"/>
    </w:rPr>
  </w:style>
  <w:style w:type="paragraph" w:customStyle="1" w:styleId="223">
    <w:name w:val="_Style 222"/>
    <w:basedOn w:val="1"/>
    <w:qFormat/>
    <w:uiPriority w:val="0"/>
    <w:rPr>
      <w:rFonts w:ascii="宋体" w:hAnsi="Courier New"/>
      <w:szCs w:val="20"/>
    </w:rPr>
  </w:style>
  <w:style w:type="character" w:customStyle="1" w:styleId="224">
    <w:name w:val="_Style 223"/>
    <w:basedOn w:val="38"/>
    <w:qFormat/>
    <w:uiPriority w:val="0"/>
    <w:rPr>
      <w:rFonts w:ascii="宋体" w:hAnsi="Courier New" w:eastAsia="宋体" w:cs="Times New Roman"/>
      <w:szCs w:val="20"/>
    </w:rPr>
  </w:style>
  <w:style w:type="paragraph" w:customStyle="1" w:styleId="225">
    <w:name w:val="_Style 224"/>
    <w:basedOn w:val="1"/>
    <w:qFormat/>
    <w:uiPriority w:val="99"/>
    <w:pPr>
      <w:spacing w:after="120"/>
    </w:pPr>
    <w:rPr>
      <w:rFonts w:ascii="Times New Roman" w:hAnsi="Times New Roman"/>
    </w:rPr>
  </w:style>
  <w:style w:type="character" w:customStyle="1" w:styleId="226">
    <w:name w:val="_Style 225"/>
    <w:basedOn w:val="38"/>
    <w:qFormat/>
    <w:uiPriority w:val="99"/>
    <w:rPr>
      <w:rFonts w:ascii="Times New Roman" w:hAnsi="Times New Roman" w:eastAsia="宋体" w:cs="Times New Roman"/>
      <w:szCs w:val="21"/>
    </w:rPr>
  </w:style>
  <w:style w:type="paragraph" w:customStyle="1" w:styleId="227">
    <w:name w:val="_Style 226"/>
    <w:basedOn w:val="1"/>
    <w:next w:val="1"/>
    <w:qFormat/>
    <w:uiPriority w:val="99"/>
    <w:pPr>
      <w:ind w:left="100" w:leftChars="2500"/>
    </w:pPr>
    <w:rPr>
      <w:rFonts w:ascii="Times New Roman" w:hAnsi="Times New Roman"/>
    </w:rPr>
  </w:style>
  <w:style w:type="character" w:customStyle="1" w:styleId="228">
    <w:name w:val="_Style 227"/>
    <w:basedOn w:val="38"/>
    <w:qFormat/>
    <w:uiPriority w:val="99"/>
    <w:rPr>
      <w:rFonts w:ascii="Times New Roman" w:hAnsi="Times New Roman" w:eastAsia="宋体" w:cs="Times New Roman"/>
      <w:szCs w:val="21"/>
    </w:rPr>
  </w:style>
  <w:style w:type="paragraph" w:customStyle="1" w:styleId="229">
    <w:name w:val="_Style 228"/>
    <w:basedOn w:val="1"/>
    <w:next w:val="1"/>
    <w:qFormat/>
    <w:uiPriority w:val="99"/>
    <w:pPr>
      <w:jc w:val="center"/>
    </w:pPr>
    <w:rPr>
      <w:rFonts w:ascii="Times New Roman" w:hAnsi="Times New Roman"/>
    </w:rPr>
  </w:style>
  <w:style w:type="paragraph" w:customStyle="1" w:styleId="230">
    <w:name w:val="_Style 229"/>
    <w:basedOn w:val="1"/>
    <w:next w:val="1"/>
    <w:semiHidden/>
    <w:qFormat/>
    <w:uiPriority w:val="0"/>
    <w:pPr>
      <w:spacing w:before="120"/>
    </w:pPr>
    <w:rPr>
      <w:rFonts w:ascii="Arial" w:hAnsi="Arial"/>
      <w:b/>
      <w:bCs/>
    </w:rPr>
  </w:style>
  <w:style w:type="paragraph" w:customStyle="1" w:styleId="231">
    <w:name w:val="_Style 230"/>
    <w:hidden/>
    <w:semiHidden/>
    <w:qFormat/>
    <w:uiPriority w:val="99"/>
    <w:rPr>
      <w:rFonts w:ascii="Calibri" w:hAnsi="Calibri" w:eastAsia="宋体" w:cs="Times New Roman"/>
      <w:kern w:val="2"/>
      <w:sz w:val="21"/>
      <w:szCs w:val="22"/>
      <w:lang w:val="en-US" w:eastAsia="zh-CN" w:bidi="ar-SA"/>
    </w:rPr>
  </w:style>
  <w:style w:type="character" w:customStyle="1" w:styleId="232">
    <w:name w:val="_Style 231"/>
    <w:basedOn w:val="38"/>
    <w:qFormat/>
    <w:uiPriority w:val="0"/>
    <w:rPr>
      <w:kern w:val="2"/>
      <w:sz w:val="21"/>
      <w:szCs w:val="24"/>
    </w:rPr>
  </w:style>
  <w:style w:type="paragraph" w:customStyle="1" w:styleId="233">
    <w:name w:val="_Style 232"/>
    <w:basedOn w:val="1"/>
    <w:qFormat/>
    <w:uiPriority w:val="0"/>
    <w:pPr>
      <w:spacing w:before="100" w:after="100"/>
    </w:pPr>
    <w:rPr>
      <w:szCs w:val="24"/>
    </w:rPr>
  </w:style>
  <w:style w:type="paragraph" w:customStyle="1" w:styleId="234">
    <w:name w:val="_Style 233"/>
    <w:basedOn w:val="1"/>
    <w:semiHidden/>
    <w:unhideWhenUsed/>
    <w:qFormat/>
    <w:uiPriority w:val="99"/>
    <w:rPr>
      <w:sz w:val="18"/>
      <w:szCs w:val="18"/>
    </w:rPr>
  </w:style>
  <w:style w:type="character" w:customStyle="1" w:styleId="235">
    <w:name w:val="_Style 234"/>
    <w:basedOn w:val="38"/>
    <w:semiHidden/>
    <w:qFormat/>
    <w:uiPriority w:val="99"/>
    <w:rPr>
      <w:rFonts w:ascii="宋体"/>
      <w:kern w:val="2"/>
      <w:sz w:val="18"/>
      <w:szCs w:val="18"/>
    </w:rPr>
  </w:style>
  <w:style w:type="character" w:customStyle="1" w:styleId="236">
    <w:name w:val="_Style 235"/>
    <w:basedOn w:val="38"/>
    <w:semiHidden/>
    <w:qFormat/>
    <w:uiPriority w:val="99"/>
    <w:rPr>
      <w:color w:val="auto"/>
    </w:rPr>
  </w:style>
  <w:style w:type="paragraph" w:customStyle="1" w:styleId="237">
    <w:name w:val="_Style 236"/>
    <w:basedOn w:val="1"/>
    <w:next w:val="1"/>
    <w:qFormat/>
    <w:uiPriority w:val="10"/>
    <w:pPr>
      <w:spacing w:before="240" w:after="60"/>
      <w:jc w:val="center"/>
      <w:outlineLvl w:val="0"/>
    </w:pPr>
    <w:rPr>
      <w:rFonts w:asciiTheme="majorHAnsi" w:hAnsiTheme="majorHAnsi" w:cstheme="majorBidi"/>
      <w:b/>
      <w:bCs/>
      <w:sz w:val="32"/>
      <w:szCs w:val="32"/>
    </w:rPr>
  </w:style>
  <w:style w:type="character" w:customStyle="1" w:styleId="238">
    <w:name w:val="_Style 237"/>
    <w:basedOn w:val="38"/>
    <w:qFormat/>
    <w:uiPriority w:val="10"/>
    <w:rPr>
      <w:rFonts w:asciiTheme="majorHAnsi" w:hAnsiTheme="majorHAnsi" w:cstheme="majorBidi"/>
      <w:b/>
      <w:bCs/>
      <w:kern w:val="2"/>
      <w:sz w:val="32"/>
      <w:szCs w:val="32"/>
    </w:rPr>
  </w:style>
  <w:style w:type="paragraph" w:customStyle="1" w:styleId="239">
    <w:name w:val="_Style 238"/>
    <w:qFormat/>
    <w:uiPriority w:val="1"/>
    <w:pPr>
      <w:widowControl w:val="0"/>
      <w:jc w:val="both"/>
    </w:pPr>
    <w:rPr>
      <w:rFonts w:ascii="Calibri" w:hAnsi="Calibri" w:eastAsia="宋体" w:cs="Times New Roman"/>
      <w:kern w:val="2"/>
      <w:sz w:val="21"/>
      <w:szCs w:val="22"/>
      <w:lang w:val="en-US" w:eastAsia="zh-CN" w:bidi="ar-SA"/>
    </w:rPr>
  </w:style>
  <w:style w:type="paragraph" w:customStyle="1" w:styleId="240">
    <w:name w:val="_Style 239"/>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41">
    <w:name w:val="_Style 240"/>
    <w:basedOn w:val="1"/>
    <w:semiHidden/>
    <w:unhideWhenUsed/>
    <w:uiPriority w:val="99"/>
    <w:pPr>
      <w:snapToGrid w:val="0"/>
    </w:pPr>
  </w:style>
  <w:style w:type="character" w:customStyle="1" w:styleId="242">
    <w:name w:val="_Style 241"/>
    <w:basedOn w:val="38"/>
    <w:semiHidden/>
    <w:qFormat/>
    <w:uiPriority w:val="99"/>
    <w:rPr>
      <w:rFonts w:ascii="宋体" w:hAnsi="宋体" w:cs="宋体"/>
      <w:sz w:val="21"/>
      <w:szCs w:val="24"/>
    </w:rPr>
  </w:style>
  <w:style w:type="character" w:customStyle="1" w:styleId="243">
    <w:name w:val="_Style 242"/>
    <w:basedOn w:val="38"/>
    <w:semiHidden/>
    <w:unhideWhenUsed/>
    <w:qFormat/>
    <w:uiPriority w:val="99"/>
    <w:rPr>
      <w:vertAlign w:val="superscript"/>
    </w:rPr>
  </w:style>
  <w:style w:type="character" w:customStyle="1" w:styleId="244">
    <w:name w:val="_Style 243"/>
    <w:basedOn w:val="211"/>
    <w:semiHidden/>
    <w:qFormat/>
    <w:uiPriority w:val="99"/>
    <w:rPr>
      <w:rFonts w:ascii="Times New Roman" w:hAnsi="Times New Roman" w:eastAsia="宋体" w:cs="Times New Roman"/>
      <w:b/>
      <w:bCs/>
      <w:szCs w:val="21"/>
    </w:rPr>
  </w:style>
  <w:style w:type="paragraph" w:customStyle="1" w:styleId="245">
    <w:name w:val="_Style 244"/>
    <w:basedOn w:val="1"/>
    <w:qFormat/>
    <w:uiPriority w:val="0"/>
    <w:pPr>
      <w:ind w:firstLine="420" w:firstLineChars="200"/>
    </w:pPr>
    <w:rPr>
      <w:rFonts w:ascii="Times New Roman" w:hAnsi="Times New Roman"/>
    </w:rPr>
  </w:style>
  <w:style w:type="character" w:customStyle="1" w:styleId="246">
    <w:name w:val="_Style 245"/>
    <w:basedOn w:val="211"/>
    <w:semiHidden/>
    <w:qFormat/>
    <w:uiPriority w:val="99"/>
    <w:rPr>
      <w:rFonts w:ascii="Times New Roman" w:hAnsi="Times New Roman" w:eastAsia="宋体" w:cs="Times New Roman"/>
      <w:b/>
      <w:bCs/>
      <w:szCs w:val="21"/>
    </w:rPr>
  </w:style>
  <w:style w:type="paragraph" w:customStyle="1" w:styleId="247">
    <w:name w:val="_Style 246"/>
    <w:basedOn w:val="1"/>
    <w:qFormat/>
    <w:uiPriority w:val="34"/>
    <w:pPr>
      <w:ind w:firstLine="420" w:firstLineChars="200"/>
    </w:pPr>
    <w:rPr>
      <w:szCs w:val="22"/>
    </w:rPr>
  </w:style>
  <w:style w:type="paragraph" w:customStyle="1" w:styleId="248">
    <w:name w:val="_Style 247"/>
    <w:basedOn w:val="1"/>
    <w:qFormat/>
    <w:uiPriority w:val="34"/>
    <w:pPr>
      <w:ind w:firstLine="420" w:firstLineChars="200"/>
    </w:pPr>
    <w:rPr>
      <w:szCs w:val="22"/>
    </w:rPr>
  </w:style>
  <w:style w:type="paragraph" w:customStyle="1" w:styleId="249">
    <w:name w:val="_Style 248"/>
    <w:basedOn w:val="1"/>
    <w:qFormat/>
    <w:uiPriority w:val="34"/>
    <w:pPr>
      <w:ind w:firstLine="420" w:firstLineChars="200"/>
    </w:pPr>
    <w:rPr>
      <w:szCs w:val="22"/>
    </w:rPr>
  </w:style>
  <w:style w:type="paragraph" w:customStyle="1" w:styleId="250">
    <w:name w:val="_Style 249"/>
    <w:basedOn w:val="1"/>
    <w:qFormat/>
    <w:uiPriority w:val="34"/>
    <w:pPr>
      <w:ind w:firstLine="420" w:firstLineChars="200"/>
    </w:pPr>
    <w:rPr>
      <w:szCs w:val="22"/>
    </w:rPr>
  </w:style>
  <w:style w:type="paragraph" w:customStyle="1" w:styleId="251">
    <w:name w:val="_Style 250"/>
    <w:basedOn w:val="1"/>
    <w:qFormat/>
    <w:uiPriority w:val="34"/>
    <w:pPr>
      <w:ind w:firstLine="420" w:firstLineChars="200"/>
    </w:pPr>
    <w:rPr>
      <w:szCs w:val="22"/>
    </w:rPr>
  </w:style>
  <w:style w:type="paragraph" w:customStyle="1" w:styleId="252">
    <w:name w:val="_Style 251"/>
    <w:basedOn w:val="1"/>
    <w:qFormat/>
    <w:uiPriority w:val="34"/>
    <w:pPr>
      <w:ind w:firstLine="420" w:firstLineChars="200"/>
    </w:pPr>
    <w:rPr>
      <w:szCs w:val="22"/>
    </w:rPr>
  </w:style>
  <w:style w:type="paragraph" w:customStyle="1" w:styleId="253">
    <w:name w:val="_Style 252"/>
    <w:basedOn w:val="1"/>
    <w:qFormat/>
    <w:uiPriority w:val="34"/>
    <w:pPr>
      <w:ind w:firstLine="420" w:firstLineChars="200"/>
    </w:pPr>
    <w:rPr>
      <w:szCs w:val="22"/>
    </w:rPr>
  </w:style>
  <w:style w:type="paragraph" w:customStyle="1" w:styleId="254">
    <w:name w:val="_Style 253"/>
    <w:basedOn w:val="1"/>
    <w:qFormat/>
    <w:uiPriority w:val="0"/>
    <w:pPr>
      <w:widowControl/>
      <w:jc w:val="left"/>
    </w:pPr>
    <w:rPr>
      <w:rFonts w:ascii="宋体" w:hAnsi="宋体" w:cs="宋体"/>
      <w:bCs/>
      <w:kern w:val="0"/>
    </w:rPr>
  </w:style>
  <w:style w:type="paragraph" w:customStyle="1" w:styleId="255">
    <w:name w:val="_Style 254"/>
    <w:basedOn w:val="1"/>
    <w:qFormat/>
    <w:uiPriority w:val="0"/>
    <w:pPr>
      <w:ind w:firstLine="420" w:firstLineChars="200"/>
    </w:pPr>
  </w:style>
  <w:style w:type="paragraph" w:customStyle="1" w:styleId="256">
    <w:name w:val="_Style 255"/>
    <w:basedOn w:val="1"/>
    <w:qFormat/>
    <w:uiPriority w:val="0"/>
    <w:pPr>
      <w:widowControl/>
      <w:jc w:val="left"/>
    </w:pPr>
    <w:rPr>
      <w:rFonts w:ascii="宋体" w:hAnsi="宋体" w:cs="宋体"/>
    </w:rPr>
  </w:style>
  <w:style w:type="paragraph" w:customStyle="1" w:styleId="257">
    <w:name w:val="_Style 256"/>
    <w:basedOn w:val="1"/>
    <w:qFormat/>
    <w:uiPriority w:val="0"/>
    <w:pPr>
      <w:ind w:firstLine="420" w:firstLineChars="200"/>
    </w:pPr>
  </w:style>
  <w:style w:type="paragraph" w:customStyle="1" w:styleId="258">
    <w:name w:val="_Style 257"/>
    <w:qFormat/>
    <w:uiPriority w:val="0"/>
    <w:pPr>
      <w:jc w:val="both"/>
    </w:pPr>
    <w:rPr>
      <w:rFonts w:ascii="Calibri" w:hAnsi="Calibri" w:eastAsia="宋体" w:cs="Calibri"/>
      <w:kern w:val="2"/>
      <w:sz w:val="21"/>
      <w:szCs w:val="21"/>
      <w:lang w:val="en-US" w:eastAsia="zh-CN" w:bidi="ar-SA"/>
    </w:rPr>
  </w:style>
  <w:style w:type="paragraph" w:customStyle="1" w:styleId="259">
    <w:name w:val="正文1"/>
    <w:qFormat/>
    <w:uiPriority w:val="0"/>
    <w:pPr>
      <w:jc w:val="both"/>
    </w:pPr>
    <w:rPr>
      <w:rFonts w:ascii="Calibri" w:hAnsi="Calibri" w:eastAsia="宋体" w:cs="Calibri"/>
      <w:kern w:val="2"/>
      <w:sz w:val="21"/>
      <w:szCs w:val="21"/>
      <w:lang w:val="en-US" w:eastAsia="zh-CN" w:bidi="ar-SA"/>
    </w:rPr>
  </w:style>
  <w:style w:type="character" w:customStyle="1" w:styleId="260">
    <w:name w:val="font11"/>
    <w:basedOn w:val="38"/>
    <w:qFormat/>
    <w:uiPriority w:val="0"/>
    <w:rPr>
      <w:rFonts w:hint="eastAsia" w:ascii="宋体" w:hAnsi="宋体" w:eastAsia="宋体"/>
      <w:color w:val="000000"/>
      <w:sz w:val="21"/>
      <w:szCs w:val="21"/>
      <w:u w:val="none"/>
    </w:rPr>
  </w:style>
  <w:style w:type="paragraph" w:customStyle="1" w:styleId="261">
    <w:name w:val="_Style 260"/>
    <w:basedOn w:val="1"/>
    <w:unhideWhenUsed/>
    <w:qFormat/>
    <w:uiPriority w:val="99"/>
    <w:rPr>
      <w:sz w:val="18"/>
      <w:szCs w:val="18"/>
    </w:rPr>
  </w:style>
  <w:style w:type="character" w:customStyle="1" w:styleId="262">
    <w:name w:val="_Style 261"/>
    <w:basedOn w:val="38"/>
    <w:qFormat/>
    <w:uiPriority w:val="99"/>
    <w:rPr>
      <w:rFonts w:ascii="Calibri" w:hAnsi="Calibri" w:eastAsia="宋体" w:cs="Times New Roman"/>
      <w:sz w:val="18"/>
      <w:szCs w:val="18"/>
    </w:rPr>
  </w:style>
  <w:style w:type="paragraph" w:customStyle="1" w:styleId="263">
    <w:name w:val="_Style 262"/>
    <w:basedOn w:val="1"/>
    <w:next w:val="1"/>
    <w:qFormat/>
    <w:uiPriority w:val="99"/>
    <w:rPr>
      <w:rFonts w:ascii="Times New Roman" w:hAnsi="Times New Roman"/>
    </w:rPr>
  </w:style>
  <w:style w:type="character" w:customStyle="1" w:styleId="264">
    <w:name w:val="_Style 263"/>
    <w:basedOn w:val="38"/>
    <w:qFormat/>
    <w:uiPriority w:val="99"/>
    <w:rPr>
      <w:rFonts w:ascii="Times New Roman" w:hAnsi="Times New Roman" w:eastAsia="宋体" w:cs="Times New Roman"/>
      <w:szCs w:val="21"/>
    </w:rPr>
  </w:style>
  <w:style w:type="paragraph" w:customStyle="1" w:styleId="265">
    <w:name w:val="_Style 264"/>
    <w:basedOn w:val="1"/>
    <w:qFormat/>
    <w:uiPriority w:val="99"/>
    <w:pPr>
      <w:ind w:firstLine="420" w:firstLineChars="200"/>
    </w:pPr>
    <w:rPr>
      <w:szCs w:val="22"/>
    </w:rPr>
  </w:style>
  <w:style w:type="character" w:customStyle="1" w:styleId="266">
    <w:name w:val="_Style 265"/>
    <w:basedOn w:val="211"/>
    <w:qFormat/>
    <w:uiPriority w:val="99"/>
    <w:rPr>
      <w:rFonts w:ascii="Calibri" w:hAnsi="Calibri" w:eastAsia="宋体" w:cs="Times New Roman"/>
      <w:b/>
      <w:bCs/>
      <w:szCs w:val="21"/>
    </w:rPr>
  </w:style>
  <w:style w:type="paragraph" w:customStyle="1" w:styleId="267">
    <w:name w:val="_Style 266"/>
    <w:basedOn w:val="210"/>
    <w:unhideWhenUsed/>
    <w:qFormat/>
    <w:uiPriority w:val="99"/>
    <w:rPr>
      <w:rFonts w:ascii="Calibri" w:hAnsi="Calibri"/>
      <w:b/>
      <w:bCs/>
      <w:szCs w:val="22"/>
    </w:rPr>
  </w:style>
  <w:style w:type="paragraph" w:customStyle="1" w:styleId="268">
    <w:name w:val="_Style 267"/>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269">
    <w:name w:val="_Style 268"/>
    <w:basedOn w:val="38"/>
    <w:qFormat/>
    <w:uiPriority w:val="99"/>
    <w:rPr>
      <w:rFonts w:ascii="Calibri" w:hAnsi="Calibri" w:eastAsia="宋体" w:cs="Times New Roman"/>
      <w:sz w:val="18"/>
      <w:szCs w:val="18"/>
    </w:rPr>
  </w:style>
  <w:style w:type="paragraph" w:customStyle="1" w:styleId="270">
    <w:name w:val="_Style 269"/>
    <w:basedOn w:val="1"/>
    <w:unhideWhenUsed/>
    <w:qFormat/>
    <w:uiPriority w:val="99"/>
    <w:pPr>
      <w:tabs>
        <w:tab w:val="center" w:pos="4153"/>
        <w:tab w:val="right" w:pos="8306"/>
      </w:tabs>
      <w:snapToGrid w:val="0"/>
      <w:jc w:val="left"/>
    </w:pPr>
    <w:rPr>
      <w:sz w:val="18"/>
      <w:szCs w:val="18"/>
    </w:rPr>
  </w:style>
  <w:style w:type="character" w:customStyle="1" w:styleId="271">
    <w:name w:val="_Style 270"/>
    <w:basedOn w:val="38"/>
    <w:qFormat/>
    <w:uiPriority w:val="99"/>
    <w:rPr>
      <w:rFonts w:ascii="Calibri" w:hAnsi="Calibri" w:eastAsia="宋体" w:cs="Times New Roman"/>
      <w:sz w:val="18"/>
      <w:szCs w:val="18"/>
    </w:rPr>
  </w:style>
  <w:style w:type="paragraph" w:customStyle="1" w:styleId="272">
    <w:name w:val="_Style 271"/>
    <w:basedOn w:val="1"/>
    <w:qFormat/>
    <w:uiPriority w:val="0"/>
    <w:rPr>
      <w:rFonts w:ascii="宋体" w:hAnsi="Courier New"/>
      <w:szCs w:val="20"/>
    </w:rPr>
  </w:style>
  <w:style w:type="character" w:customStyle="1" w:styleId="273">
    <w:name w:val="_Style 272"/>
    <w:basedOn w:val="38"/>
    <w:qFormat/>
    <w:uiPriority w:val="0"/>
    <w:rPr>
      <w:rFonts w:ascii="宋体" w:hAnsi="Courier New" w:eastAsia="宋体" w:cs="Times New Roman"/>
      <w:szCs w:val="20"/>
    </w:rPr>
  </w:style>
  <w:style w:type="paragraph" w:customStyle="1" w:styleId="274">
    <w:name w:val="_Style 273"/>
    <w:basedOn w:val="1"/>
    <w:qFormat/>
    <w:uiPriority w:val="99"/>
    <w:pPr>
      <w:spacing w:after="120"/>
    </w:pPr>
    <w:rPr>
      <w:rFonts w:ascii="Times New Roman" w:hAnsi="Times New Roman"/>
    </w:rPr>
  </w:style>
  <w:style w:type="character" w:customStyle="1" w:styleId="275">
    <w:name w:val="_Style 274"/>
    <w:basedOn w:val="38"/>
    <w:qFormat/>
    <w:uiPriority w:val="99"/>
    <w:rPr>
      <w:rFonts w:ascii="Times New Roman" w:hAnsi="Times New Roman" w:eastAsia="宋体" w:cs="Times New Roman"/>
      <w:szCs w:val="21"/>
    </w:rPr>
  </w:style>
  <w:style w:type="paragraph" w:customStyle="1" w:styleId="276">
    <w:name w:val="_Style 275"/>
    <w:basedOn w:val="1"/>
    <w:next w:val="1"/>
    <w:qFormat/>
    <w:uiPriority w:val="99"/>
    <w:pPr>
      <w:ind w:left="100" w:leftChars="2500"/>
    </w:pPr>
    <w:rPr>
      <w:rFonts w:ascii="Times New Roman" w:hAnsi="Times New Roman"/>
    </w:rPr>
  </w:style>
  <w:style w:type="character" w:customStyle="1" w:styleId="277">
    <w:name w:val="_Style 276"/>
    <w:basedOn w:val="38"/>
    <w:qFormat/>
    <w:uiPriority w:val="99"/>
    <w:rPr>
      <w:rFonts w:ascii="Times New Roman" w:hAnsi="Times New Roman" w:eastAsia="宋体" w:cs="Times New Roman"/>
      <w:szCs w:val="21"/>
    </w:rPr>
  </w:style>
  <w:style w:type="paragraph" w:customStyle="1" w:styleId="278">
    <w:name w:val="_Style 277"/>
    <w:basedOn w:val="1"/>
    <w:next w:val="1"/>
    <w:qFormat/>
    <w:uiPriority w:val="99"/>
    <w:pPr>
      <w:jc w:val="center"/>
    </w:pPr>
    <w:rPr>
      <w:rFonts w:ascii="Times New Roman" w:hAnsi="Times New Roman"/>
    </w:rPr>
  </w:style>
  <w:style w:type="paragraph" w:customStyle="1" w:styleId="279">
    <w:name w:val="_Style 278"/>
    <w:basedOn w:val="1"/>
    <w:next w:val="1"/>
    <w:semiHidden/>
    <w:qFormat/>
    <w:uiPriority w:val="0"/>
    <w:pPr>
      <w:spacing w:before="120"/>
    </w:pPr>
    <w:rPr>
      <w:rFonts w:ascii="Arial" w:hAnsi="Arial"/>
      <w:b/>
      <w:bCs/>
    </w:rPr>
  </w:style>
  <w:style w:type="paragraph" w:customStyle="1" w:styleId="280">
    <w:name w:val="_Style 279"/>
    <w:hidden/>
    <w:semiHidden/>
    <w:qFormat/>
    <w:uiPriority w:val="99"/>
    <w:rPr>
      <w:rFonts w:ascii="Calibri" w:hAnsi="Calibri" w:eastAsia="宋体" w:cs="Times New Roman"/>
      <w:kern w:val="2"/>
      <w:sz w:val="21"/>
      <w:szCs w:val="22"/>
      <w:lang w:val="en-US" w:eastAsia="zh-CN" w:bidi="ar-SA"/>
    </w:rPr>
  </w:style>
  <w:style w:type="character" w:customStyle="1" w:styleId="281">
    <w:name w:val="_Style 280"/>
    <w:basedOn w:val="38"/>
    <w:qFormat/>
    <w:uiPriority w:val="0"/>
    <w:rPr>
      <w:kern w:val="2"/>
      <w:sz w:val="21"/>
      <w:szCs w:val="24"/>
    </w:rPr>
  </w:style>
  <w:style w:type="paragraph" w:customStyle="1" w:styleId="282">
    <w:name w:val="_Style 281"/>
    <w:basedOn w:val="1"/>
    <w:qFormat/>
    <w:uiPriority w:val="0"/>
    <w:pPr>
      <w:spacing w:before="100" w:after="100"/>
    </w:pPr>
    <w:rPr>
      <w:szCs w:val="24"/>
    </w:rPr>
  </w:style>
  <w:style w:type="paragraph" w:customStyle="1" w:styleId="283">
    <w:name w:val="_Style 282"/>
    <w:basedOn w:val="1"/>
    <w:semiHidden/>
    <w:unhideWhenUsed/>
    <w:qFormat/>
    <w:uiPriority w:val="99"/>
    <w:rPr>
      <w:sz w:val="18"/>
      <w:szCs w:val="18"/>
    </w:rPr>
  </w:style>
  <w:style w:type="character" w:customStyle="1" w:styleId="284">
    <w:name w:val="_Style 283"/>
    <w:basedOn w:val="38"/>
    <w:semiHidden/>
    <w:qFormat/>
    <w:uiPriority w:val="99"/>
    <w:rPr>
      <w:rFonts w:ascii="宋体"/>
      <w:kern w:val="2"/>
      <w:sz w:val="18"/>
      <w:szCs w:val="18"/>
    </w:rPr>
  </w:style>
  <w:style w:type="character" w:customStyle="1" w:styleId="285">
    <w:name w:val="_Style 284"/>
    <w:basedOn w:val="38"/>
    <w:semiHidden/>
    <w:qFormat/>
    <w:uiPriority w:val="99"/>
    <w:rPr>
      <w:color w:val="auto"/>
    </w:rPr>
  </w:style>
  <w:style w:type="paragraph" w:customStyle="1" w:styleId="286">
    <w:name w:val="_Style 285"/>
    <w:basedOn w:val="1"/>
    <w:next w:val="1"/>
    <w:qFormat/>
    <w:uiPriority w:val="10"/>
    <w:pPr>
      <w:spacing w:before="240" w:after="60"/>
      <w:jc w:val="center"/>
      <w:outlineLvl w:val="0"/>
    </w:pPr>
    <w:rPr>
      <w:rFonts w:asciiTheme="majorHAnsi" w:hAnsiTheme="majorHAnsi" w:cstheme="majorBidi"/>
      <w:b/>
      <w:bCs/>
      <w:sz w:val="32"/>
      <w:szCs w:val="32"/>
    </w:rPr>
  </w:style>
  <w:style w:type="character" w:customStyle="1" w:styleId="287">
    <w:name w:val="_Style 286"/>
    <w:basedOn w:val="38"/>
    <w:qFormat/>
    <w:uiPriority w:val="10"/>
    <w:rPr>
      <w:rFonts w:asciiTheme="majorHAnsi" w:hAnsiTheme="majorHAnsi" w:cstheme="majorBidi"/>
      <w:b/>
      <w:bCs/>
      <w:kern w:val="2"/>
      <w:sz w:val="32"/>
      <w:szCs w:val="32"/>
    </w:rPr>
  </w:style>
  <w:style w:type="paragraph" w:customStyle="1" w:styleId="288">
    <w:name w:val="_Style 287"/>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9">
    <w:name w:val="_Style 288"/>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90">
    <w:name w:val="_Style 289"/>
    <w:basedOn w:val="1"/>
    <w:semiHidden/>
    <w:unhideWhenUsed/>
    <w:qFormat/>
    <w:uiPriority w:val="99"/>
    <w:pPr>
      <w:snapToGrid w:val="0"/>
    </w:pPr>
  </w:style>
  <w:style w:type="character" w:customStyle="1" w:styleId="291">
    <w:name w:val="_Style 290"/>
    <w:basedOn w:val="38"/>
    <w:semiHidden/>
    <w:unhideWhenUsed/>
    <w:qFormat/>
    <w:uiPriority w:val="99"/>
    <w:rPr>
      <w:vertAlign w:val="superscript"/>
    </w:rPr>
  </w:style>
  <w:style w:type="character" w:customStyle="1" w:styleId="292">
    <w:name w:val="_Style 291"/>
    <w:basedOn w:val="211"/>
    <w:semiHidden/>
    <w:qFormat/>
    <w:uiPriority w:val="99"/>
    <w:rPr>
      <w:rFonts w:ascii="Times New Roman" w:hAnsi="Times New Roman" w:eastAsia="宋体" w:cs="Times New Roman"/>
      <w:b/>
      <w:bCs/>
      <w:szCs w:val="21"/>
    </w:rPr>
  </w:style>
  <w:style w:type="paragraph" w:customStyle="1" w:styleId="293">
    <w:name w:val="_Style 292"/>
    <w:basedOn w:val="1"/>
    <w:qFormat/>
    <w:uiPriority w:val="0"/>
    <w:pPr>
      <w:ind w:firstLine="420" w:firstLineChars="200"/>
    </w:pPr>
    <w:rPr>
      <w:rFonts w:ascii="Times New Roman" w:hAnsi="Times New Roman"/>
    </w:rPr>
  </w:style>
  <w:style w:type="character" w:customStyle="1" w:styleId="294">
    <w:name w:val="_Style 293"/>
    <w:basedOn w:val="211"/>
    <w:semiHidden/>
    <w:qFormat/>
    <w:uiPriority w:val="99"/>
    <w:rPr>
      <w:rFonts w:ascii="Times New Roman" w:hAnsi="Times New Roman" w:eastAsia="宋体" w:cs="Times New Roman"/>
      <w:b/>
      <w:bCs/>
      <w:szCs w:val="21"/>
    </w:rPr>
  </w:style>
  <w:style w:type="paragraph" w:customStyle="1" w:styleId="295">
    <w:name w:val="_Style 294"/>
    <w:basedOn w:val="1"/>
    <w:qFormat/>
    <w:uiPriority w:val="34"/>
    <w:pPr>
      <w:ind w:firstLine="420" w:firstLineChars="200"/>
    </w:pPr>
    <w:rPr>
      <w:szCs w:val="22"/>
    </w:rPr>
  </w:style>
  <w:style w:type="paragraph" w:customStyle="1" w:styleId="296">
    <w:name w:val="_Style 295"/>
    <w:basedOn w:val="1"/>
    <w:qFormat/>
    <w:uiPriority w:val="0"/>
    <w:pPr>
      <w:widowControl/>
      <w:jc w:val="left"/>
    </w:pPr>
    <w:rPr>
      <w:rFonts w:ascii="宋体" w:hAnsi="宋体" w:cs="宋体"/>
      <w:bCs/>
      <w:kern w:val="0"/>
    </w:rPr>
  </w:style>
  <w:style w:type="paragraph" w:customStyle="1" w:styleId="297">
    <w:name w:val="_Style 296"/>
    <w:basedOn w:val="1"/>
    <w:qFormat/>
    <w:uiPriority w:val="0"/>
    <w:pPr>
      <w:ind w:firstLine="420" w:firstLineChars="200"/>
    </w:pPr>
  </w:style>
  <w:style w:type="paragraph" w:customStyle="1" w:styleId="298">
    <w:name w:val="_Style 297"/>
    <w:basedOn w:val="1"/>
    <w:qFormat/>
    <w:uiPriority w:val="0"/>
    <w:pPr>
      <w:widowControl/>
      <w:jc w:val="left"/>
    </w:pPr>
    <w:rPr>
      <w:rFonts w:ascii="宋体" w:hAnsi="宋体" w:cs="宋体"/>
    </w:rPr>
  </w:style>
  <w:style w:type="paragraph" w:customStyle="1" w:styleId="299">
    <w:name w:val="_Style 298"/>
    <w:basedOn w:val="1"/>
    <w:qFormat/>
    <w:uiPriority w:val="0"/>
    <w:pPr>
      <w:ind w:firstLine="420" w:firstLineChars="200"/>
    </w:pPr>
  </w:style>
  <w:style w:type="paragraph" w:customStyle="1" w:styleId="300">
    <w:name w:val="_Style 299"/>
    <w:qFormat/>
    <w:uiPriority w:val="0"/>
    <w:pPr>
      <w:jc w:val="both"/>
    </w:pPr>
    <w:rPr>
      <w:rFonts w:ascii="Calibri" w:hAnsi="Calibri" w:eastAsia="宋体" w:cs="Calibri"/>
      <w:kern w:val="2"/>
      <w:sz w:val="21"/>
      <w:szCs w:val="21"/>
      <w:lang w:val="en-US" w:eastAsia="zh-CN" w:bidi="ar-SA"/>
    </w:rPr>
  </w:style>
  <w:style w:type="character" w:customStyle="1" w:styleId="301">
    <w:name w:val="_Style 300"/>
    <w:basedOn w:val="38"/>
    <w:qFormat/>
    <w:uiPriority w:val="99"/>
  </w:style>
  <w:style w:type="paragraph" w:customStyle="1" w:styleId="302">
    <w:name w:val="_Style 301"/>
    <w:basedOn w:val="1"/>
    <w:unhideWhenUsed/>
    <w:qFormat/>
    <w:uiPriority w:val="99"/>
    <w:rPr>
      <w:sz w:val="18"/>
      <w:szCs w:val="18"/>
    </w:rPr>
  </w:style>
  <w:style w:type="character" w:customStyle="1" w:styleId="303">
    <w:name w:val="_Style 302"/>
    <w:basedOn w:val="38"/>
    <w:qFormat/>
    <w:uiPriority w:val="99"/>
    <w:rPr>
      <w:rFonts w:ascii="Calibri" w:hAnsi="Calibri" w:eastAsia="宋体" w:cs="Times New Roman"/>
      <w:sz w:val="18"/>
      <w:szCs w:val="18"/>
    </w:rPr>
  </w:style>
  <w:style w:type="paragraph" w:customStyle="1" w:styleId="304">
    <w:name w:val="_Style 303"/>
    <w:basedOn w:val="1"/>
    <w:next w:val="1"/>
    <w:qFormat/>
    <w:uiPriority w:val="99"/>
    <w:rPr>
      <w:rFonts w:ascii="Times New Roman" w:hAnsi="Times New Roman"/>
    </w:rPr>
  </w:style>
  <w:style w:type="character" w:customStyle="1" w:styleId="305">
    <w:name w:val="_Style 304"/>
    <w:basedOn w:val="38"/>
    <w:qFormat/>
    <w:uiPriority w:val="99"/>
    <w:rPr>
      <w:rFonts w:ascii="Times New Roman" w:hAnsi="Times New Roman" w:eastAsia="宋体" w:cs="Times New Roman"/>
      <w:szCs w:val="21"/>
    </w:rPr>
  </w:style>
  <w:style w:type="paragraph" w:customStyle="1" w:styleId="306">
    <w:name w:val="_Style 305"/>
    <w:basedOn w:val="1"/>
    <w:qFormat/>
    <w:uiPriority w:val="99"/>
    <w:pPr>
      <w:ind w:firstLine="420" w:firstLineChars="200"/>
    </w:pPr>
    <w:rPr>
      <w:szCs w:val="22"/>
    </w:rPr>
  </w:style>
  <w:style w:type="character" w:customStyle="1" w:styleId="307">
    <w:name w:val="_Style 306"/>
    <w:basedOn w:val="211"/>
    <w:qFormat/>
    <w:uiPriority w:val="99"/>
    <w:rPr>
      <w:rFonts w:ascii="Calibri" w:hAnsi="Calibri" w:eastAsia="宋体" w:cs="Times New Roman"/>
      <w:b/>
      <w:bCs/>
      <w:szCs w:val="21"/>
    </w:rPr>
  </w:style>
  <w:style w:type="paragraph" w:customStyle="1" w:styleId="308">
    <w:name w:val="_Style 307"/>
    <w:basedOn w:val="210"/>
    <w:unhideWhenUsed/>
    <w:qFormat/>
    <w:uiPriority w:val="99"/>
    <w:rPr>
      <w:rFonts w:ascii="Calibri" w:hAnsi="Calibri"/>
      <w:b/>
      <w:bCs/>
      <w:szCs w:val="22"/>
    </w:rPr>
  </w:style>
  <w:style w:type="paragraph" w:customStyle="1" w:styleId="309">
    <w:name w:val="_Style 308"/>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310">
    <w:name w:val="_Style 309"/>
    <w:basedOn w:val="38"/>
    <w:qFormat/>
    <w:uiPriority w:val="99"/>
    <w:rPr>
      <w:rFonts w:ascii="Calibri" w:hAnsi="Calibri" w:eastAsia="宋体" w:cs="Times New Roman"/>
      <w:sz w:val="18"/>
      <w:szCs w:val="18"/>
    </w:rPr>
  </w:style>
  <w:style w:type="paragraph" w:customStyle="1" w:styleId="311">
    <w:name w:val="_Style 310"/>
    <w:basedOn w:val="1"/>
    <w:unhideWhenUsed/>
    <w:qFormat/>
    <w:uiPriority w:val="99"/>
    <w:pPr>
      <w:tabs>
        <w:tab w:val="center" w:pos="4153"/>
        <w:tab w:val="right" w:pos="8306"/>
      </w:tabs>
      <w:snapToGrid w:val="0"/>
      <w:jc w:val="left"/>
    </w:pPr>
    <w:rPr>
      <w:sz w:val="18"/>
      <w:szCs w:val="18"/>
    </w:rPr>
  </w:style>
  <w:style w:type="character" w:customStyle="1" w:styleId="312">
    <w:name w:val="_Style 311"/>
    <w:basedOn w:val="38"/>
    <w:qFormat/>
    <w:uiPriority w:val="99"/>
    <w:rPr>
      <w:rFonts w:ascii="Calibri" w:hAnsi="Calibri" w:eastAsia="宋体" w:cs="Times New Roman"/>
      <w:sz w:val="18"/>
      <w:szCs w:val="18"/>
    </w:rPr>
  </w:style>
  <w:style w:type="paragraph" w:customStyle="1" w:styleId="313">
    <w:name w:val="_Style 312"/>
    <w:basedOn w:val="1"/>
    <w:qFormat/>
    <w:uiPriority w:val="0"/>
    <w:rPr>
      <w:rFonts w:ascii="宋体" w:hAnsi="Courier New"/>
      <w:szCs w:val="20"/>
    </w:rPr>
  </w:style>
  <w:style w:type="character" w:customStyle="1" w:styleId="314">
    <w:name w:val="_Style 313"/>
    <w:basedOn w:val="38"/>
    <w:qFormat/>
    <w:uiPriority w:val="0"/>
    <w:rPr>
      <w:rFonts w:ascii="宋体" w:hAnsi="Courier New" w:eastAsia="宋体" w:cs="Times New Roman"/>
      <w:szCs w:val="20"/>
    </w:rPr>
  </w:style>
  <w:style w:type="paragraph" w:customStyle="1" w:styleId="315">
    <w:name w:val="_Style 314"/>
    <w:basedOn w:val="1"/>
    <w:qFormat/>
    <w:uiPriority w:val="99"/>
    <w:pPr>
      <w:spacing w:after="120"/>
    </w:pPr>
    <w:rPr>
      <w:rFonts w:ascii="Times New Roman" w:hAnsi="Times New Roman"/>
    </w:rPr>
  </w:style>
  <w:style w:type="character" w:customStyle="1" w:styleId="316">
    <w:name w:val="_Style 315"/>
    <w:basedOn w:val="38"/>
    <w:qFormat/>
    <w:uiPriority w:val="99"/>
    <w:rPr>
      <w:rFonts w:ascii="Times New Roman" w:hAnsi="Times New Roman" w:eastAsia="宋体" w:cs="Times New Roman"/>
      <w:szCs w:val="21"/>
    </w:rPr>
  </w:style>
  <w:style w:type="paragraph" w:customStyle="1" w:styleId="317">
    <w:name w:val="_Style 316"/>
    <w:basedOn w:val="1"/>
    <w:next w:val="1"/>
    <w:qFormat/>
    <w:uiPriority w:val="99"/>
    <w:pPr>
      <w:ind w:left="100" w:leftChars="2500"/>
    </w:pPr>
    <w:rPr>
      <w:rFonts w:ascii="Times New Roman" w:hAnsi="Times New Roman"/>
    </w:rPr>
  </w:style>
  <w:style w:type="character" w:customStyle="1" w:styleId="318">
    <w:name w:val="_Style 317"/>
    <w:basedOn w:val="38"/>
    <w:qFormat/>
    <w:uiPriority w:val="99"/>
    <w:rPr>
      <w:rFonts w:ascii="Times New Roman" w:hAnsi="Times New Roman" w:eastAsia="宋体" w:cs="Times New Roman"/>
      <w:szCs w:val="21"/>
    </w:rPr>
  </w:style>
  <w:style w:type="paragraph" w:customStyle="1" w:styleId="319">
    <w:name w:val="_Style 318"/>
    <w:basedOn w:val="1"/>
    <w:next w:val="1"/>
    <w:qFormat/>
    <w:uiPriority w:val="99"/>
    <w:pPr>
      <w:jc w:val="center"/>
    </w:pPr>
    <w:rPr>
      <w:rFonts w:ascii="Times New Roman" w:hAnsi="Times New Roman"/>
    </w:rPr>
  </w:style>
  <w:style w:type="paragraph" w:customStyle="1" w:styleId="320">
    <w:name w:val="_Style 319"/>
    <w:basedOn w:val="1"/>
    <w:next w:val="1"/>
    <w:semiHidden/>
    <w:qFormat/>
    <w:uiPriority w:val="0"/>
    <w:pPr>
      <w:spacing w:before="120"/>
    </w:pPr>
    <w:rPr>
      <w:rFonts w:ascii="Arial" w:hAnsi="Arial"/>
      <w:b/>
      <w:bCs/>
    </w:rPr>
  </w:style>
  <w:style w:type="paragraph" w:customStyle="1" w:styleId="321">
    <w:name w:val="_Style 320"/>
    <w:hidden/>
    <w:semiHidden/>
    <w:qFormat/>
    <w:uiPriority w:val="99"/>
    <w:rPr>
      <w:rFonts w:ascii="Calibri" w:hAnsi="Calibri" w:eastAsia="宋体" w:cs="Times New Roman"/>
      <w:kern w:val="2"/>
      <w:sz w:val="21"/>
      <w:szCs w:val="22"/>
      <w:lang w:val="en-US" w:eastAsia="zh-CN" w:bidi="ar-SA"/>
    </w:rPr>
  </w:style>
  <w:style w:type="character" w:customStyle="1" w:styleId="322">
    <w:name w:val="_Style 321"/>
    <w:basedOn w:val="38"/>
    <w:qFormat/>
    <w:uiPriority w:val="0"/>
    <w:rPr>
      <w:kern w:val="2"/>
      <w:sz w:val="21"/>
      <w:szCs w:val="24"/>
    </w:rPr>
  </w:style>
  <w:style w:type="paragraph" w:customStyle="1" w:styleId="323">
    <w:name w:val="_Style 322"/>
    <w:basedOn w:val="1"/>
    <w:qFormat/>
    <w:uiPriority w:val="0"/>
    <w:pPr>
      <w:spacing w:before="100" w:after="100"/>
    </w:pPr>
    <w:rPr>
      <w:szCs w:val="24"/>
    </w:rPr>
  </w:style>
  <w:style w:type="paragraph" w:customStyle="1" w:styleId="324">
    <w:name w:val="_Style 323"/>
    <w:basedOn w:val="1"/>
    <w:semiHidden/>
    <w:unhideWhenUsed/>
    <w:qFormat/>
    <w:uiPriority w:val="99"/>
    <w:rPr>
      <w:sz w:val="18"/>
      <w:szCs w:val="18"/>
    </w:rPr>
  </w:style>
  <w:style w:type="character" w:customStyle="1" w:styleId="325">
    <w:name w:val="_Style 324"/>
    <w:basedOn w:val="38"/>
    <w:semiHidden/>
    <w:qFormat/>
    <w:uiPriority w:val="99"/>
    <w:rPr>
      <w:rFonts w:ascii="宋体"/>
      <w:kern w:val="2"/>
      <w:sz w:val="18"/>
      <w:szCs w:val="18"/>
    </w:rPr>
  </w:style>
  <w:style w:type="character" w:customStyle="1" w:styleId="326">
    <w:name w:val="_Style 325"/>
    <w:basedOn w:val="38"/>
    <w:semiHidden/>
    <w:qFormat/>
    <w:uiPriority w:val="99"/>
    <w:rPr>
      <w:color w:val="auto"/>
    </w:rPr>
  </w:style>
  <w:style w:type="paragraph" w:customStyle="1" w:styleId="327">
    <w:name w:val="_Style 326"/>
    <w:basedOn w:val="1"/>
    <w:next w:val="1"/>
    <w:qFormat/>
    <w:uiPriority w:val="10"/>
    <w:pPr>
      <w:spacing w:before="240" w:after="60"/>
      <w:jc w:val="center"/>
      <w:outlineLvl w:val="0"/>
    </w:pPr>
    <w:rPr>
      <w:rFonts w:asciiTheme="majorHAnsi" w:hAnsiTheme="majorHAnsi" w:cstheme="majorBidi"/>
      <w:b/>
      <w:bCs/>
      <w:sz w:val="32"/>
      <w:szCs w:val="32"/>
    </w:rPr>
  </w:style>
  <w:style w:type="character" w:customStyle="1" w:styleId="328">
    <w:name w:val="_Style 327"/>
    <w:basedOn w:val="38"/>
    <w:qFormat/>
    <w:uiPriority w:val="10"/>
    <w:rPr>
      <w:rFonts w:asciiTheme="majorHAnsi" w:hAnsiTheme="majorHAnsi" w:cstheme="majorBidi"/>
      <w:b/>
      <w:bCs/>
      <w:kern w:val="2"/>
      <w:sz w:val="32"/>
      <w:szCs w:val="32"/>
    </w:rPr>
  </w:style>
  <w:style w:type="paragraph" w:customStyle="1" w:styleId="329">
    <w:name w:val="_Style 328"/>
    <w:qFormat/>
    <w:uiPriority w:val="1"/>
    <w:pPr>
      <w:widowControl w:val="0"/>
      <w:jc w:val="both"/>
    </w:pPr>
    <w:rPr>
      <w:rFonts w:ascii="Calibri" w:hAnsi="Calibri" w:eastAsia="宋体" w:cs="Times New Roman"/>
      <w:kern w:val="2"/>
      <w:sz w:val="21"/>
      <w:szCs w:val="22"/>
      <w:lang w:val="en-US" w:eastAsia="zh-CN" w:bidi="ar-SA"/>
    </w:rPr>
  </w:style>
  <w:style w:type="paragraph" w:customStyle="1" w:styleId="330">
    <w:name w:val="_Style 329"/>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31">
    <w:name w:val="_Style 330"/>
    <w:basedOn w:val="1"/>
    <w:semiHidden/>
    <w:unhideWhenUsed/>
    <w:qFormat/>
    <w:uiPriority w:val="99"/>
    <w:pPr>
      <w:snapToGrid w:val="0"/>
    </w:pPr>
  </w:style>
  <w:style w:type="character" w:customStyle="1" w:styleId="332">
    <w:name w:val="_Style 331"/>
    <w:basedOn w:val="38"/>
    <w:semiHidden/>
    <w:unhideWhenUsed/>
    <w:qFormat/>
    <w:uiPriority w:val="99"/>
    <w:rPr>
      <w:vertAlign w:val="superscript"/>
    </w:rPr>
  </w:style>
  <w:style w:type="character" w:customStyle="1" w:styleId="333">
    <w:name w:val="_Style 332"/>
    <w:basedOn w:val="211"/>
    <w:semiHidden/>
    <w:qFormat/>
    <w:uiPriority w:val="99"/>
    <w:rPr>
      <w:rFonts w:ascii="Times New Roman" w:hAnsi="Times New Roman" w:eastAsia="宋体" w:cs="Times New Roman"/>
      <w:b/>
      <w:bCs/>
      <w:szCs w:val="21"/>
    </w:rPr>
  </w:style>
  <w:style w:type="paragraph" w:customStyle="1" w:styleId="334">
    <w:name w:val="_Style 333"/>
    <w:basedOn w:val="1"/>
    <w:qFormat/>
    <w:uiPriority w:val="0"/>
    <w:pPr>
      <w:ind w:firstLine="420" w:firstLineChars="200"/>
    </w:pPr>
    <w:rPr>
      <w:rFonts w:ascii="Times New Roman" w:hAnsi="Times New Roman"/>
    </w:rPr>
  </w:style>
  <w:style w:type="character" w:customStyle="1" w:styleId="335">
    <w:name w:val="_Style 334"/>
    <w:basedOn w:val="211"/>
    <w:semiHidden/>
    <w:qFormat/>
    <w:uiPriority w:val="99"/>
    <w:rPr>
      <w:rFonts w:ascii="Times New Roman" w:hAnsi="Times New Roman" w:eastAsia="宋体" w:cs="Times New Roman"/>
      <w:b/>
      <w:bCs/>
      <w:szCs w:val="21"/>
    </w:rPr>
  </w:style>
  <w:style w:type="paragraph" w:customStyle="1" w:styleId="336">
    <w:name w:val="_Style 335"/>
    <w:basedOn w:val="1"/>
    <w:qFormat/>
    <w:uiPriority w:val="34"/>
    <w:pPr>
      <w:ind w:firstLine="420" w:firstLineChars="200"/>
    </w:pPr>
    <w:rPr>
      <w:szCs w:val="22"/>
    </w:rPr>
  </w:style>
  <w:style w:type="paragraph" w:customStyle="1" w:styleId="337">
    <w:name w:val="_Style 336"/>
    <w:basedOn w:val="1"/>
    <w:qFormat/>
    <w:uiPriority w:val="0"/>
    <w:pPr>
      <w:widowControl/>
      <w:jc w:val="left"/>
    </w:pPr>
    <w:rPr>
      <w:rFonts w:ascii="宋体" w:hAnsi="宋体" w:cs="宋体"/>
      <w:bCs/>
      <w:kern w:val="0"/>
    </w:rPr>
  </w:style>
  <w:style w:type="paragraph" w:customStyle="1" w:styleId="338">
    <w:name w:val="_Style 337"/>
    <w:basedOn w:val="1"/>
    <w:qFormat/>
    <w:uiPriority w:val="0"/>
    <w:pPr>
      <w:ind w:firstLine="420" w:firstLineChars="200"/>
    </w:pPr>
  </w:style>
  <w:style w:type="paragraph" w:customStyle="1" w:styleId="339">
    <w:name w:val="_Style 338"/>
    <w:basedOn w:val="1"/>
    <w:qFormat/>
    <w:uiPriority w:val="0"/>
    <w:pPr>
      <w:widowControl/>
      <w:jc w:val="left"/>
    </w:pPr>
    <w:rPr>
      <w:rFonts w:ascii="宋体" w:hAnsi="宋体" w:cs="宋体"/>
    </w:rPr>
  </w:style>
  <w:style w:type="paragraph" w:customStyle="1" w:styleId="340">
    <w:name w:val="_Style 339"/>
    <w:basedOn w:val="1"/>
    <w:qFormat/>
    <w:uiPriority w:val="0"/>
    <w:pPr>
      <w:ind w:firstLine="420" w:firstLineChars="200"/>
    </w:pPr>
  </w:style>
  <w:style w:type="paragraph" w:customStyle="1" w:styleId="341">
    <w:name w:val="_Style 340"/>
    <w:qFormat/>
    <w:uiPriority w:val="0"/>
    <w:pPr>
      <w:jc w:val="both"/>
    </w:pPr>
    <w:rPr>
      <w:rFonts w:ascii="Calibri" w:hAnsi="Calibri" w:eastAsia="宋体" w:cs="Calibri"/>
      <w:kern w:val="2"/>
      <w:sz w:val="21"/>
      <w:szCs w:val="21"/>
      <w:lang w:val="en-US" w:eastAsia="zh-CN" w:bidi="ar-SA"/>
    </w:rPr>
  </w:style>
  <w:style w:type="character" w:customStyle="1" w:styleId="342">
    <w:name w:val="_Style 341"/>
    <w:basedOn w:val="38"/>
    <w:qFormat/>
    <w:uiPriority w:val="0"/>
    <w:rPr>
      <w:snapToGrid/>
      <w:lang w:val="en-US" w:eastAsia="en-US"/>
    </w:rPr>
  </w:style>
  <w:style w:type="character" w:customStyle="1" w:styleId="343">
    <w:name w:val="_Style 342"/>
    <w:basedOn w:val="38"/>
    <w:qFormat/>
    <w:uiPriority w:val="0"/>
    <w:rPr>
      <w:rFonts w:hint="eastAsia" w:ascii="等线" w:hAnsi="等线" w:eastAsia="等线" w:cs="Times New Roman"/>
      <w:b/>
      <w:bCs/>
      <w:snapToGrid/>
      <w:color w:val="000000"/>
      <w:spacing w:val="-10"/>
      <w:kern w:val="28"/>
      <w:sz w:val="32"/>
      <w:szCs w:val="32"/>
      <w:lang w:val="en-US" w:eastAsia="en-US"/>
    </w:rPr>
  </w:style>
  <w:style w:type="paragraph" w:customStyle="1" w:styleId="344">
    <w:name w:val="_Style 343"/>
    <w:basedOn w:val="1"/>
    <w:unhideWhenUsed/>
    <w:qFormat/>
    <w:uiPriority w:val="99"/>
    <w:rPr>
      <w:sz w:val="18"/>
      <w:szCs w:val="18"/>
    </w:rPr>
  </w:style>
  <w:style w:type="character" w:customStyle="1" w:styleId="345">
    <w:name w:val="_Style 344"/>
    <w:basedOn w:val="38"/>
    <w:qFormat/>
    <w:uiPriority w:val="99"/>
    <w:rPr>
      <w:rFonts w:ascii="Calibri" w:hAnsi="Calibri" w:eastAsia="宋体" w:cs="Times New Roman"/>
      <w:sz w:val="18"/>
      <w:szCs w:val="18"/>
    </w:rPr>
  </w:style>
  <w:style w:type="paragraph" w:customStyle="1" w:styleId="346">
    <w:name w:val="_Style 345"/>
    <w:basedOn w:val="1"/>
    <w:next w:val="1"/>
    <w:qFormat/>
    <w:uiPriority w:val="99"/>
    <w:rPr>
      <w:rFonts w:ascii="Times New Roman" w:hAnsi="Times New Roman"/>
    </w:rPr>
  </w:style>
  <w:style w:type="character" w:customStyle="1" w:styleId="347">
    <w:name w:val="_Style 346"/>
    <w:basedOn w:val="38"/>
    <w:qFormat/>
    <w:uiPriority w:val="99"/>
    <w:rPr>
      <w:rFonts w:ascii="Times New Roman" w:hAnsi="Times New Roman" w:eastAsia="宋体" w:cs="Times New Roman"/>
      <w:szCs w:val="21"/>
    </w:rPr>
  </w:style>
  <w:style w:type="paragraph" w:customStyle="1" w:styleId="348">
    <w:name w:val="_Style 347"/>
    <w:basedOn w:val="1"/>
    <w:qFormat/>
    <w:uiPriority w:val="99"/>
    <w:pPr>
      <w:ind w:firstLine="420" w:firstLineChars="200"/>
    </w:pPr>
    <w:rPr>
      <w:szCs w:val="22"/>
    </w:rPr>
  </w:style>
  <w:style w:type="character" w:customStyle="1" w:styleId="349">
    <w:name w:val="_Style 348"/>
    <w:basedOn w:val="211"/>
    <w:qFormat/>
    <w:uiPriority w:val="99"/>
    <w:rPr>
      <w:rFonts w:ascii="Calibri" w:hAnsi="Calibri" w:eastAsia="宋体" w:cs="Times New Roman"/>
      <w:b/>
      <w:bCs/>
      <w:szCs w:val="21"/>
    </w:rPr>
  </w:style>
  <w:style w:type="paragraph" w:customStyle="1" w:styleId="350">
    <w:name w:val="_Style 349"/>
    <w:basedOn w:val="210"/>
    <w:unhideWhenUsed/>
    <w:qFormat/>
    <w:uiPriority w:val="99"/>
    <w:rPr>
      <w:rFonts w:ascii="Calibri" w:hAnsi="Calibri"/>
      <w:b/>
      <w:bCs/>
      <w:szCs w:val="22"/>
    </w:rPr>
  </w:style>
  <w:style w:type="paragraph" w:customStyle="1" w:styleId="351">
    <w:name w:val="_Style 350"/>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352">
    <w:name w:val="_Style 351"/>
    <w:basedOn w:val="38"/>
    <w:qFormat/>
    <w:uiPriority w:val="99"/>
    <w:rPr>
      <w:rFonts w:ascii="Calibri" w:hAnsi="Calibri" w:eastAsia="宋体" w:cs="Times New Roman"/>
      <w:sz w:val="18"/>
      <w:szCs w:val="18"/>
    </w:rPr>
  </w:style>
  <w:style w:type="paragraph" w:customStyle="1" w:styleId="353">
    <w:name w:val="_Style 352"/>
    <w:basedOn w:val="1"/>
    <w:unhideWhenUsed/>
    <w:qFormat/>
    <w:uiPriority w:val="99"/>
    <w:pPr>
      <w:tabs>
        <w:tab w:val="center" w:pos="4153"/>
        <w:tab w:val="right" w:pos="8306"/>
      </w:tabs>
      <w:snapToGrid w:val="0"/>
      <w:jc w:val="left"/>
    </w:pPr>
    <w:rPr>
      <w:sz w:val="18"/>
      <w:szCs w:val="18"/>
    </w:rPr>
  </w:style>
  <w:style w:type="character" w:customStyle="1" w:styleId="354">
    <w:name w:val="_Style 353"/>
    <w:basedOn w:val="38"/>
    <w:qFormat/>
    <w:uiPriority w:val="99"/>
    <w:rPr>
      <w:rFonts w:ascii="Calibri" w:hAnsi="Calibri" w:eastAsia="宋体" w:cs="Times New Roman"/>
      <w:sz w:val="18"/>
      <w:szCs w:val="18"/>
    </w:rPr>
  </w:style>
  <w:style w:type="paragraph" w:customStyle="1" w:styleId="355">
    <w:name w:val="_Style 354"/>
    <w:basedOn w:val="1"/>
    <w:qFormat/>
    <w:uiPriority w:val="0"/>
    <w:rPr>
      <w:rFonts w:ascii="宋体" w:hAnsi="Courier New"/>
      <w:szCs w:val="20"/>
    </w:rPr>
  </w:style>
  <w:style w:type="character" w:customStyle="1" w:styleId="356">
    <w:name w:val="_Style 355"/>
    <w:basedOn w:val="38"/>
    <w:qFormat/>
    <w:uiPriority w:val="0"/>
    <w:rPr>
      <w:rFonts w:ascii="宋体" w:hAnsi="Courier New" w:eastAsia="宋体" w:cs="Times New Roman"/>
      <w:szCs w:val="20"/>
    </w:rPr>
  </w:style>
  <w:style w:type="paragraph" w:customStyle="1" w:styleId="357">
    <w:name w:val="_Style 356"/>
    <w:basedOn w:val="1"/>
    <w:qFormat/>
    <w:uiPriority w:val="99"/>
    <w:pPr>
      <w:spacing w:after="120"/>
    </w:pPr>
    <w:rPr>
      <w:rFonts w:ascii="Times New Roman" w:hAnsi="Times New Roman"/>
    </w:rPr>
  </w:style>
  <w:style w:type="character" w:customStyle="1" w:styleId="358">
    <w:name w:val="_Style 357"/>
    <w:basedOn w:val="38"/>
    <w:qFormat/>
    <w:uiPriority w:val="99"/>
    <w:rPr>
      <w:rFonts w:ascii="Times New Roman" w:hAnsi="Times New Roman" w:eastAsia="宋体" w:cs="Times New Roman"/>
      <w:szCs w:val="21"/>
    </w:rPr>
  </w:style>
  <w:style w:type="paragraph" w:customStyle="1" w:styleId="359">
    <w:name w:val="_Style 358"/>
    <w:basedOn w:val="1"/>
    <w:next w:val="1"/>
    <w:qFormat/>
    <w:uiPriority w:val="99"/>
    <w:pPr>
      <w:ind w:left="100" w:leftChars="2500"/>
    </w:pPr>
    <w:rPr>
      <w:rFonts w:ascii="Times New Roman" w:hAnsi="Times New Roman"/>
    </w:rPr>
  </w:style>
  <w:style w:type="character" w:customStyle="1" w:styleId="360">
    <w:name w:val="_Style 359"/>
    <w:basedOn w:val="38"/>
    <w:qFormat/>
    <w:uiPriority w:val="99"/>
    <w:rPr>
      <w:rFonts w:ascii="Times New Roman" w:hAnsi="Times New Roman" w:eastAsia="宋体" w:cs="Times New Roman"/>
      <w:szCs w:val="21"/>
    </w:rPr>
  </w:style>
  <w:style w:type="paragraph" w:customStyle="1" w:styleId="361">
    <w:name w:val="_Style 360"/>
    <w:basedOn w:val="1"/>
    <w:next w:val="1"/>
    <w:qFormat/>
    <w:uiPriority w:val="99"/>
    <w:pPr>
      <w:jc w:val="center"/>
    </w:pPr>
    <w:rPr>
      <w:rFonts w:ascii="Times New Roman" w:hAnsi="Times New Roman"/>
    </w:rPr>
  </w:style>
  <w:style w:type="paragraph" w:customStyle="1" w:styleId="362">
    <w:name w:val="_Style 361"/>
    <w:basedOn w:val="1"/>
    <w:next w:val="1"/>
    <w:semiHidden/>
    <w:qFormat/>
    <w:uiPriority w:val="0"/>
    <w:pPr>
      <w:spacing w:before="120"/>
    </w:pPr>
    <w:rPr>
      <w:rFonts w:ascii="Arial" w:hAnsi="Arial"/>
      <w:b/>
      <w:bCs/>
    </w:rPr>
  </w:style>
  <w:style w:type="paragraph" w:customStyle="1" w:styleId="363">
    <w:name w:val="_Style 362"/>
    <w:hidden/>
    <w:semiHidden/>
    <w:qFormat/>
    <w:uiPriority w:val="99"/>
    <w:rPr>
      <w:rFonts w:ascii="Calibri" w:hAnsi="Calibri" w:eastAsia="宋体" w:cs="Times New Roman"/>
      <w:kern w:val="2"/>
      <w:sz w:val="21"/>
      <w:szCs w:val="22"/>
      <w:lang w:val="en-US" w:eastAsia="zh-CN" w:bidi="ar-SA"/>
    </w:rPr>
  </w:style>
  <w:style w:type="character" w:customStyle="1" w:styleId="364">
    <w:name w:val="_Style 363"/>
    <w:basedOn w:val="38"/>
    <w:qFormat/>
    <w:uiPriority w:val="0"/>
    <w:rPr>
      <w:kern w:val="2"/>
      <w:sz w:val="21"/>
      <w:szCs w:val="24"/>
    </w:rPr>
  </w:style>
  <w:style w:type="paragraph" w:customStyle="1" w:styleId="365">
    <w:name w:val="_Style 364"/>
    <w:basedOn w:val="1"/>
    <w:qFormat/>
    <w:uiPriority w:val="0"/>
    <w:pPr>
      <w:spacing w:before="100" w:after="100"/>
    </w:pPr>
    <w:rPr>
      <w:szCs w:val="24"/>
    </w:rPr>
  </w:style>
  <w:style w:type="paragraph" w:customStyle="1" w:styleId="366">
    <w:name w:val="_Style 365"/>
    <w:basedOn w:val="1"/>
    <w:semiHidden/>
    <w:unhideWhenUsed/>
    <w:qFormat/>
    <w:uiPriority w:val="99"/>
    <w:rPr>
      <w:sz w:val="18"/>
      <w:szCs w:val="18"/>
    </w:rPr>
  </w:style>
  <w:style w:type="character" w:customStyle="1" w:styleId="367">
    <w:name w:val="_Style 366"/>
    <w:basedOn w:val="38"/>
    <w:semiHidden/>
    <w:qFormat/>
    <w:uiPriority w:val="99"/>
    <w:rPr>
      <w:rFonts w:ascii="宋体"/>
      <w:kern w:val="2"/>
      <w:sz w:val="18"/>
      <w:szCs w:val="18"/>
    </w:rPr>
  </w:style>
  <w:style w:type="character" w:customStyle="1" w:styleId="368">
    <w:name w:val="_Style 367"/>
    <w:basedOn w:val="38"/>
    <w:semiHidden/>
    <w:qFormat/>
    <w:uiPriority w:val="99"/>
    <w:rPr>
      <w:color w:val="auto"/>
    </w:rPr>
  </w:style>
  <w:style w:type="paragraph" w:customStyle="1" w:styleId="369">
    <w:name w:val="_Style 368"/>
    <w:basedOn w:val="1"/>
    <w:next w:val="1"/>
    <w:qFormat/>
    <w:uiPriority w:val="10"/>
    <w:pPr>
      <w:spacing w:before="240" w:after="60"/>
      <w:jc w:val="center"/>
      <w:outlineLvl w:val="0"/>
    </w:pPr>
    <w:rPr>
      <w:rFonts w:asciiTheme="majorHAnsi" w:hAnsiTheme="majorHAnsi" w:cstheme="majorBidi"/>
      <w:b/>
      <w:bCs/>
      <w:sz w:val="32"/>
      <w:szCs w:val="32"/>
    </w:rPr>
  </w:style>
  <w:style w:type="character" w:customStyle="1" w:styleId="370">
    <w:name w:val="_Style 369"/>
    <w:basedOn w:val="38"/>
    <w:qFormat/>
    <w:uiPriority w:val="10"/>
    <w:rPr>
      <w:rFonts w:asciiTheme="majorHAnsi" w:hAnsiTheme="majorHAnsi" w:cstheme="majorBidi"/>
      <w:b/>
      <w:bCs/>
      <w:kern w:val="2"/>
      <w:sz w:val="32"/>
      <w:szCs w:val="32"/>
    </w:rPr>
  </w:style>
  <w:style w:type="paragraph" w:customStyle="1" w:styleId="371">
    <w:name w:val="_Style 370"/>
    <w:qFormat/>
    <w:uiPriority w:val="1"/>
    <w:pPr>
      <w:widowControl w:val="0"/>
      <w:jc w:val="both"/>
    </w:pPr>
    <w:rPr>
      <w:rFonts w:ascii="Calibri" w:hAnsi="Calibri" w:eastAsia="宋体" w:cs="Times New Roman"/>
      <w:kern w:val="2"/>
      <w:sz w:val="21"/>
      <w:szCs w:val="22"/>
      <w:lang w:val="en-US" w:eastAsia="zh-CN" w:bidi="ar-SA"/>
    </w:rPr>
  </w:style>
  <w:style w:type="paragraph" w:customStyle="1" w:styleId="372">
    <w:name w:val="_Style 37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73">
    <w:name w:val="_Style 372"/>
    <w:basedOn w:val="1"/>
    <w:semiHidden/>
    <w:unhideWhenUsed/>
    <w:qFormat/>
    <w:uiPriority w:val="99"/>
    <w:pPr>
      <w:snapToGrid w:val="0"/>
    </w:pPr>
  </w:style>
  <w:style w:type="character" w:customStyle="1" w:styleId="374">
    <w:name w:val="_Style 373"/>
    <w:basedOn w:val="38"/>
    <w:semiHidden/>
    <w:unhideWhenUsed/>
    <w:qFormat/>
    <w:uiPriority w:val="99"/>
    <w:rPr>
      <w:vertAlign w:val="superscript"/>
    </w:rPr>
  </w:style>
  <w:style w:type="character" w:customStyle="1" w:styleId="375">
    <w:name w:val="_Style 374"/>
    <w:basedOn w:val="211"/>
    <w:semiHidden/>
    <w:qFormat/>
    <w:uiPriority w:val="99"/>
    <w:rPr>
      <w:rFonts w:ascii="Times New Roman" w:hAnsi="Times New Roman" w:eastAsia="宋体" w:cs="Times New Roman"/>
      <w:b/>
      <w:bCs/>
      <w:szCs w:val="21"/>
    </w:rPr>
  </w:style>
  <w:style w:type="paragraph" w:customStyle="1" w:styleId="376">
    <w:name w:val="_Style 375"/>
    <w:basedOn w:val="1"/>
    <w:qFormat/>
    <w:uiPriority w:val="0"/>
    <w:pPr>
      <w:ind w:firstLine="420" w:firstLineChars="200"/>
    </w:pPr>
    <w:rPr>
      <w:rFonts w:ascii="Times New Roman" w:hAnsi="Times New Roman"/>
    </w:rPr>
  </w:style>
  <w:style w:type="character" w:customStyle="1" w:styleId="377">
    <w:name w:val="_Style 376"/>
    <w:basedOn w:val="211"/>
    <w:semiHidden/>
    <w:qFormat/>
    <w:uiPriority w:val="99"/>
    <w:rPr>
      <w:rFonts w:ascii="Times New Roman" w:hAnsi="Times New Roman" w:eastAsia="宋体" w:cs="Times New Roman"/>
      <w:b/>
      <w:bCs/>
      <w:szCs w:val="21"/>
    </w:rPr>
  </w:style>
  <w:style w:type="paragraph" w:customStyle="1" w:styleId="378">
    <w:name w:val="_Style 377"/>
    <w:basedOn w:val="1"/>
    <w:qFormat/>
    <w:uiPriority w:val="34"/>
    <w:pPr>
      <w:ind w:firstLine="420" w:firstLineChars="200"/>
    </w:pPr>
    <w:rPr>
      <w:szCs w:val="22"/>
    </w:rPr>
  </w:style>
  <w:style w:type="paragraph" w:customStyle="1" w:styleId="379">
    <w:name w:val="_Style 378"/>
    <w:basedOn w:val="1"/>
    <w:qFormat/>
    <w:uiPriority w:val="0"/>
    <w:pPr>
      <w:widowControl/>
      <w:jc w:val="left"/>
    </w:pPr>
    <w:rPr>
      <w:rFonts w:ascii="宋体" w:hAnsi="宋体" w:cs="宋体"/>
      <w:bCs/>
      <w:kern w:val="0"/>
    </w:rPr>
  </w:style>
  <w:style w:type="paragraph" w:customStyle="1" w:styleId="380">
    <w:name w:val="_Style 379"/>
    <w:basedOn w:val="1"/>
    <w:qFormat/>
    <w:uiPriority w:val="0"/>
    <w:pPr>
      <w:ind w:firstLine="420" w:firstLineChars="200"/>
    </w:pPr>
  </w:style>
  <w:style w:type="paragraph" w:customStyle="1" w:styleId="381">
    <w:name w:val="_Style 380"/>
    <w:basedOn w:val="1"/>
    <w:qFormat/>
    <w:uiPriority w:val="0"/>
    <w:pPr>
      <w:widowControl/>
      <w:jc w:val="left"/>
    </w:pPr>
    <w:rPr>
      <w:rFonts w:ascii="宋体" w:hAnsi="宋体" w:cs="宋体"/>
    </w:rPr>
  </w:style>
  <w:style w:type="paragraph" w:customStyle="1" w:styleId="382">
    <w:name w:val="_Style 381"/>
    <w:basedOn w:val="1"/>
    <w:qFormat/>
    <w:uiPriority w:val="0"/>
    <w:pPr>
      <w:ind w:firstLine="420" w:firstLineChars="200"/>
    </w:pPr>
  </w:style>
  <w:style w:type="paragraph" w:customStyle="1" w:styleId="383">
    <w:name w:val="_Style 382"/>
    <w:qFormat/>
    <w:uiPriority w:val="0"/>
    <w:pPr>
      <w:jc w:val="both"/>
    </w:pPr>
    <w:rPr>
      <w:rFonts w:ascii="Calibri" w:hAnsi="Calibri" w:eastAsia="宋体" w:cs="Calibri"/>
      <w:kern w:val="2"/>
      <w:sz w:val="21"/>
      <w:szCs w:val="21"/>
      <w:lang w:val="en-US" w:eastAsia="zh-CN" w:bidi="ar-SA"/>
    </w:rPr>
  </w:style>
  <w:style w:type="paragraph" w:customStyle="1" w:styleId="384">
    <w:name w:val="_Style 383"/>
    <w:basedOn w:val="1"/>
    <w:unhideWhenUsed/>
    <w:qFormat/>
    <w:uiPriority w:val="99"/>
    <w:rPr>
      <w:sz w:val="18"/>
      <w:szCs w:val="18"/>
    </w:rPr>
  </w:style>
  <w:style w:type="character" w:customStyle="1" w:styleId="385">
    <w:name w:val="_Style 384"/>
    <w:basedOn w:val="38"/>
    <w:qFormat/>
    <w:uiPriority w:val="99"/>
    <w:rPr>
      <w:rFonts w:ascii="Calibri" w:hAnsi="Calibri" w:eastAsia="宋体" w:cs="Times New Roman"/>
      <w:sz w:val="18"/>
      <w:szCs w:val="18"/>
    </w:rPr>
  </w:style>
  <w:style w:type="paragraph" w:customStyle="1" w:styleId="386">
    <w:name w:val="_Style 385"/>
    <w:basedOn w:val="1"/>
    <w:next w:val="1"/>
    <w:qFormat/>
    <w:uiPriority w:val="99"/>
    <w:rPr>
      <w:rFonts w:ascii="Times New Roman" w:hAnsi="Times New Roman"/>
    </w:rPr>
  </w:style>
  <w:style w:type="character" w:customStyle="1" w:styleId="387">
    <w:name w:val="_Style 386"/>
    <w:basedOn w:val="38"/>
    <w:qFormat/>
    <w:uiPriority w:val="99"/>
    <w:rPr>
      <w:rFonts w:ascii="Times New Roman" w:hAnsi="Times New Roman" w:eastAsia="宋体" w:cs="Times New Roman"/>
      <w:szCs w:val="21"/>
    </w:rPr>
  </w:style>
  <w:style w:type="paragraph" w:customStyle="1" w:styleId="388">
    <w:name w:val="_Style 387"/>
    <w:basedOn w:val="1"/>
    <w:qFormat/>
    <w:uiPriority w:val="99"/>
    <w:pPr>
      <w:ind w:firstLine="420" w:firstLineChars="200"/>
    </w:pPr>
    <w:rPr>
      <w:szCs w:val="22"/>
    </w:rPr>
  </w:style>
  <w:style w:type="character" w:customStyle="1" w:styleId="389">
    <w:name w:val="_Style 388"/>
    <w:basedOn w:val="211"/>
    <w:qFormat/>
    <w:uiPriority w:val="99"/>
    <w:rPr>
      <w:rFonts w:ascii="Calibri" w:hAnsi="Calibri" w:eastAsia="宋体" w:cs="Times New Roman"/>
      <w:b/>
      <w:bCs/>
      <w:szCs w:val="21"/>
    </w:rPr>
  </w:style>
  <w:style w:type="paragraph" w:customStyle="1" w:styleId="390">
    <w:name w:val="_Style 389"/>
    <w:basedOn w:val="210"/>
    <w:unhideWhenUsed/>
    <w:qFormat/>
    <w:uiPriority w:val="99"/>
    <w:rPr>
      <w:rFonts w:ascii="Calibri" w:hAnsi="Calibri"/>
      <w:b/>
      <w:bCs/>
      <w:szCs w:val="22"/>
    </w:rPr>
  </w:style>
  <w:style w:type="paragraph" w:customStyle="1" w:styleId="391">
    <w:name w:val="_Style 390"/>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392">
    <w:name w:val="_Style 391"/>
    <w:basedOn w:val="38"/>
    <w:qFormat/>
    <w:uiPriority w:val="99"/>
    <w:rPr>
      <w:rFonts w:ascii="Calibri" w:hAnsi="Calibri" w:eastAsia="宋体" w:cs="Times New Roman"/>
      <w:sz w:val="18"/>
      <w:szCs w:val="18"/>
    </w:rPr>
  </w:style>
  <w:style w:type="paragraph" w:customStyle="1" w:styleId="393">
    <w:name w:val="_Style 392"/>
    <w:basedOn w:val="1"/>
    <w:unhideWhenUsed/>
    <w:qFormat/>
    <w:uiPriority w:val="99"/>
    <w:pPr>
      <w:tabs>
        <w:tab w:val="center" w:pos="4153"/>
        <w:tab w:val="right" w:pos="8306"/>
      </w:tabs>
      <w:snapToGrid w:val="0"/>
      <w:jc w:val="left"/>
    </w:pPr>
    <w:rPr>
      <w:sz w:val="18"/>
      <w:szCs w:val="18"/>
    </w:rPr>
  </w:style>
  <w:style w:type="character" w:customStyle="1" w:styleId="394">
    <w:name w:val="_Style 393"/>
    <w:basedOn w:val="38"/>
    <w:qFormat/>
    <w:uiPriority w:val="99"/>
    <w:rPr>
      <w:rFonts w:ascii="Calibri" w:hAnsi="Calibri" w:eastAsia="宋体" w:cs="Times New Roman"/>
      <w:sz w:val="18"/>
      <w:szCs w:val="18"/>
    </w:rPr>
  </w:style>
  <w:style w:type="paragraph" w:customStyle="1" w:styleId="395">
    <w:name w:val="_Style 394"/>
    <w:basedOn w:val="1"/>
    <w:qFormat/>
    <w:uiPriority w:val="0"/>
    <w:rPr>
      <w:rFonts w:ascii="宋体" w:hAnsi="Courier New"/>
      <w:szCs w:val="20"/>
    </w:rPr>
  </w:style>
  <w:style w:type="character" w:customStyle="1" w:styleId="396">
    <w:name w:val="_Style 395"/>
    <w:basedOn w:val="38"/>
    <w:qFormat/>
    <w:uiPriority w:val="0"/>
    <w:rPr>
      <w:rFonts w:ascii="宋体" w:hAnsi="Courier New" w:eastAsia="宋体" w:cs="Times New Roman"/>
      <w:szCs w:val="20"/>
    </w:rPr>
  </w:style>
  <w:style w:type="paragraph" w:customStyle="1" w:styleId="397">
    <w:name w:val="_Style 396"/>
    <w:basedOn w:val="1"/>
    <w:qFormat/>
    <w:uiPriority w:val="99"/>
    <w:pPr>
      <w:spacing w:after="120"/>
    </w:pPr>
    <w:rPr>
      <w:rFonts w:ascii="Times New Roman" w:hAnsi="Times New Roman"/>
    </w:rPr>
  </w:style>
  <w:style w:type="character" w:customStyle="1" w:styleId="398">
    <w:name w:val="_Style 397"/>
    <w:basedOn w:val="38"/>
    <w:qFormat/>
    <w:uiPriority w:val="99"/>
    <w:rPr>
      <w:rFonts w:ascii="Times New Roman" w:hAnsi="Times New Roman" w:eastAsia="宋体" w:cs="Times New Roman"/>
      <w:szCs w:val="21"/>
    </w:rPr>
  </w:style>
  <w:style w:type="paragraph" w:customStyle="1" w:styleId="399">
    <w:name w:val="_Style 398"/>
    <w:basedOn w:val="1"/>
    <w:next w:val="1"/>
    <w:qFormat/>
    <w:uiPriority w:val="99"/>
    <w:pPr>
      <w:ind w:left="100" w:leftChars="2500"/>
    </w:pPr>
    <w:rPr>
      <w:rFonts w:ascii="Times New Roman" w:hAnsi="Times New Roman"/>
    </w:rPr>
  </w:style>
  <w:style w:type="character" w:customStyle="1" w:styleId="400">
    <w:name w:val="_Style 399"/>
    <w:basedOn w:val="38"/>
    <w:qFormat/>
    <w:uiPriority w:val="99"/>
    <w:rPr>
      <w:rFonts w:ascii="Times New Roman" w:hAnsi="Times New Roman" w:eastAsia="宋体" w:cs="Times New Roman"/>
      <w:szCs w:val="21"/>
    </w:rPr>
  </w:style>
  <w:style w:type="paragraph" w:customStyle="1" w:styleId="401">
    <w:name w:val="_Style 400"/>
    <w:basedOn w:val="1"/>
    <w:next w:val="1"/>
    <w:qFormat/>
    <w:uiPriority w:val="99"/>
    <w:pPr>
      <w:jc w:val="center"/>
    </w:pPr>
    <w:rPr>
      <w:rFonts w:ascii="Times New Roman" w:hAnsi="Times New Roman"/>
    </w:rPr>
  </w:style>
  <w:style w:type="paragraph" w:customStyle="1" w:styleId="402">
    <w:name w:val="_Style 401"/>
    <w:basedOn w:val="1"/>
    <w:next w:val="1"/>
    <w:semiHidden/>
    <w:qFormat/>
    <w:uiPriority w:val="0"/>
    <w:pPr>
      <w:spacing w:before="120"/>
    </w:pPr>
    <w:rPr>
      <w:rFonts w:ascii="Arial" w:hAnsi="Arial"/>
      <w:b/>
      <w:bCs/>
    </w:rPr>
  </w:style>
  <w:style w:type="paragraph" w:customStyle="1" w:styleId="403">
    <w:name w:val="_Style 402"/>
    <w:hidden/>
    <w:semiHidden/>
    <w:qFormat/>
    <w:uiPriority w:val="99"/>
    <w:rPr>
      <w:rFonts w:ascii="Calibri" w:hAnsi="Calibri" w:eastAsia="宋体" w:cs="Times New Roman"/>
      <w:kern w:val="2"/>
      <w:sz w:val="21"/>
      <w:szCs w:val="22"/>
      <w:lang w:val="en-US" w:eastAsia="zh-CN" w:bidi="ar-SA"/>
    </w:rPr>
  </w:style>
  <w:style w:type="character" w:customStyle="1" w:styleId="404">
    <w:name w:val="_Style 403"/>
    <w:basedOn w:val="38"/>
    <w:qFormat/>
    <w:uiPriority w:val="0"/>
    <w:rPr>
      <w:kern w:val="2"/>
      <w:sz w:val="21"/>
      <w:szCs w:val="24"/>
    </w:rPr>
  </w:style>
  <w:style w:type="paragraph" w:customStyle="1" w:styleId="405">
    <w:name w:val="_Style 404"/>
    <w:basedOn w:val="1"/>
    <w:qFormat/>
    <w:uiPriority w:val="0"/>
    <w:pPr>
      <w:spacing w:before="100" w:after="100"/>
    </w:pPr>
    <w:rPr>
      <w:szCs w:val="24"/>
    </w:rPr>
  </w:style>
  <w:style w:type="paragraph" w:customStyle="1" w:styleId="406">
    <w:name w:val="_Style 405"/>
    <w:basedOn w:val="1"/>
    <w:semiHidden/>
    <w:unhideWhenUsed/>
    <w:qFormat/>
    <w:uiPriority w:val="99"/>
    <w:rPr>
      <w:sz w:val="18"/>
      <w:szCs w:val="18"/>
    </w:rPr>
  </w:style>
  <w:style w:type="character" w:customStyle="1" w:styleId="407">
    <w:name w:val="_Style 406"/>
    <w:basedOn w:val="38"/>
    <w:semiHidden/>
    <w:qFormat/>
    <w:uiPriority w:val="99"/>
    <w:rPr>
      <w:rFonts w:ascii="宋体"/>
      <w:kern w:val="2"/>
      <w:sz w:val="18"/>
      <w:szCs w:val="18"/>
    </w:rPr>
  </w:style>
  <w:style w:type="character" w:customStyle="1" w:styleId="408">
    <w:name w:val="_Style 407"/>
    <w:basedOn w:val="38"/>
    <w:semiHidden/>
    <w:qFormat/>
    <w:uiPriority w:val="99"/>
    <w:rPr>
      <w:color w:val="auto"/>
    </w:rPr>
  </w:style>
  <w:style w:type="paragraph" w:customStyle="1" w:styleId="409">
    <w:name w:val="_Style 408"/>
    <w:basedOn w:val="1"/>
    <w:next w:val="1"/>
    <w:qFormat/>
    <w:uiPriority w:val="10"/>
    <w:pPr>
      <w:spacing w:before="240" w:after="60"/>
      <w:jc w:val="center"/>
      <w:outlineLvl w:val="0"/>
    </w:pPr>
    <w:rPr>
      <w:rFonts w:asciiTheme="majorHAnsi" w:hAnsiTheme="majorHAnsi" w:cstheme="majorBidi"/>
      <w:b/>
      <w:bCs/>
      <w:sz w:val="32"/>
      <w:szCs w:val="32"/>
    </w:rPr>
  </w:style>
  <w:style w:type="character" w:customStyle="1" w:styleId="410">
    <w:name w:val="_Style 409"/>
    <w:basedOn w:val="38"/>
    <w:qFormat/>
    <w:uiPriority w:val="10"/>
    <w:rPr>
      <w:rFonts w:asciiTheme="majorHAnsi" w:hAnsiTheme="majorHAnsi" w:cstheme="majorBidi"/>
      <w:b/>
      <w:bCs/>
      <w:kern w:val="2"/>
      <w:sz w:val="32"/>
      <w:szCs w:val="32"/>
    </w:rPr>
  </w:style>
  <w:style w:type="paragraph" w:customStyle="1" w:styleId="411">
    <w:name w:val="_Style 410"/>
    <w:qFormat/>
    <w:uiPriority w:val="1"/>
    <w:pPr>
      <w:widowControl w:val="0"/>
      <w:jc w:val="both"/>
    </w:pPr>
    <w:rPr>
      <w:rFonts w:ascii="Calibri" w:hAnsi="Calibri" w:eastAsia="宋体" w:cs="Times New Roman"/>
      <w:kern w:val="2"/>
      <w:sz w:val="21"/>
      <w:szCs w:val="22"/>
      <w:lang w:val="en-US" w:eastAsia="zh-CN" w:bidi="ar-SA"/>
    </w:rPr>
  </w:style>
  <w:style w:type="paragraph" w:customStyle="1" w:styleId="412">
    <w:name w:val="_Style 41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413">
    <w:name w:val="_Style 412"/>
    <w:basedOn w:val="1"/>
    <w:semiHidden/>
    <w:unhideWhenUsed/>
    <w:qFormat/>
    <w:uiPriority w:val="99"/>
    <w:pPr>
      <w:snapToGrid w:val="0"/>
    </w:pPr>
  </w:style>
  <w:style w:type="character" w:customStyle="1" w:styleId="414">
    <w:name w:val="_Style 413"/>
    <w:basedOn w:val="38"/>
    <w:semiHidden/>
    <w:unhideWhenUsed/>
    <w:qFormat/>
    <w:uiPriority w:val="99"/>
    <w:rPr>
      <w:vertAlign w:val="superscript"/>
    </w:rPr>
  </w:style>
  <w:style w:type="character" w:customStyle="1" w:styleId="415">
    <w:name w:val="_Style 414"/>
    <w:basedOn w:val="211"/>
    <w:semiHidden/>
    <w:qFormat/>
    <w:uiPriority w:val="99"/>
    <w:rPr>
      <w:rFonts w:ascii="Times New Roman" w:hAnsi="Times New Roman" w:eastAsia="宋体" w:cs="Times New Roman"/>
      <w:b/>
      <w:bCs/>
      <w:szCs w:val="21"/>
    </w:rPr>
  </w:style>
  <w:style w:type="paragraph" w:customStyle="1" w:styleId="416">
    <w:name w:val="_Style 415"/>
    <w:basedOn w:val="1"/>
    <w:qFormat/>
    <w:uiPriority w:val="0"/>
    <w:pPr>
      <w:ind w:firstLine="420" w:firstLineChars="200"/>
    </w:pPr>
    <w:rPr>
      <w:rFonts w:ascii="Times New Roman" w:hAnsi="Times New Roman"/>
    </w:rPr>
  </w:style>
  <w:style w:type="character" w:customStyle="1" w:styleId="417">
    <w:name w:val="_Style 416"/>
    <w:basedOn w:val="211"/>
    <w:semiHidden/>
    <w:qFormat/>
    <w:uiPriority w:val="99"/>
    <w:rPr>
      <w:rFonts w:ascii="Times New Roman" w:hAnsi="Times New Roman" w:eastAsia="宋体" w:cs="Times New Roman"/>
      <w:b/>
      <w:bCs/>
      <w:szCs w:val="21"/>
    </w:rPr>
  </w:style>
  <w:style w:type="paragraph" w:customStyle="1" w:styleId="418">
    <w:name w:val="_Style 417"/>
    <w:basedOn w:val="1"/>
    <w:qFormat/>
    <w:uiPriority w:val="34"/>
    <w:pPr>
      <w:ind w:firstLine="420" w:firstLineChars="200"/>
    </w:pPr>
    <w:rPr>
      <w:szCs w:val="22"/>
    </w:rPr>
  </w:style>
  <w:style w:type="paragraph" w:customStyle="1" w:styleId="419">
    <w:name w:val="_Style 418"/>
    <w:basedOn w:val="1"/>
    <w:qFormat/>
    <w:uiPriority w:val="0"/>
    <w:pPr>
      <w:widowControl/>
      <w:jc w:val="left"/>
    </w:pPr>
    <w:rPr>
      <w:rFonts w:ascii="宋体" w:hAnsi="宋体" w:cs="宋体"/>
      <w:bCs/>
      <w:kern w:val="0"/>
    </w:rPr>
  </w:style>
  <w:style w:type="paragraph" w:customStyle="1" w:styleId="420">
    <w:name w:val="_Style 419"/>
    <w:basedOn w:val="1"/>
    <w:qFormat/>
    <w:uiPriority w:val="0"/>
    <w:pPr>
      <w:ind w:firstLine="420" w:firstLineChars="200"/>
    </w:pPr>
  </w:style>
  <w:style w:type="paragraph" w:customStyle="1" w:styleId="421">
    <w:name w:val="_Style 420"/>
    <w:basedOn w:val="1"/>
    <w:qFormat/>
    <w:uiPriority w:val="0"/>
    <w:pPr>
      <w:widowControl/>
      <w:jc w:val="left"/>
    </w:pPr>
    <w:rPr>
      <w:rFonts w:ascii="宋体" w:hAnsi="宋体" w:cs="宋体"/>
    </w:rPr>
  </w:style>
  <w:style w:type="paragraph" w:customStyle="1" w:styleId="422">
    <w:name w:val="_Style 421"/>
    <w:basedOn w:val="1"/>
    <w:qFormat/>
    <w:uiPriority w:val="0"/>
    <w:pPr>
      <w:ind w:firstLine="420" w:firstLineChars="200"/>
    </w:pPr>
  </w:style>
  <w:style w:type="paragraph" w:customStyle="1" w:styleId="423">
    <w:name w:val="_Style 422"/>
    <w:qFormat/>
    <w:uiPriority w:val="0"/>
    <w:pPr>
      <w:jc w:val="both"/>
    </w:pPr>
    <w:rPr>
      <w:rFonts w:ascii="Calibri" w:hAnsi="Calibri" w:eastAsia="宋体" w:cs="Calibri"/>
      <w:kern w:val="2"/>
      <w:sz w:val="21"/>
      <w:szCs w:val="21"/>
      <w:lang w:val="en-US" w:eastAsia="zh-CN" w:bidi="ar-SA"/>
    </w:rPr>
  </w:style>
  <w:style w:type="paragraph" w:customStyle="1" w:styleId="424">
    <w:name w:val="_Style 423"/>
    <w:basedOn w:val="1"/>
    <w:unhideWhenUsed/>
    <w:qFormat/>
    <w:uiPriority w:val="99"/>
    <w:rPr>
      <w:sz w:val="18"/>
      <w:szCs w:val="18"/>
    </w:rPr>
  </w:style>
  <w:style w:type="character" w:customStyle="1" w:styleId="425">
    <w:name w:val="_Style 424"/>
    <w:basedOn w:val="38"/>
    <w:qFormat/>
    <w:uiPriority w:val="99"/>
    <w:rPr>
      <w:rFonts w:ascii="Calibri" w:hAnsi="Calibri" w:eastAsia="宋体" w:cs="Times New Roman"/>
      <w:sz w:val="18"/>
      <w:szCs w:val="18"/>
    </w:rPr>
  </w:style>
  <w:style w:type="paragraph" w:customStyle="1" w:styleId="426">
    <w:name w:val="_Style 425"/>
    <w:basedOn w:val="1"/>
    <w:next w:val="1"/>
    <w:qFormat/>
    <w:uiPriority w:val="99"/>
    <w:rPr>
      <w:rFonts w:ascii="Times New Roman" w:hAnsi="Times New Roman"/>
    </w:rPr>
  </w:style>
  <w:style w:type="character" w:customStyle="1" w:styleId="427">
    <w:name w:val="_Style 426"/>
    <w:basedOn w:val="38"/>
    <w:qFormat/>
    <w:uiPriority w:val="99"/>
    <w:rPr>
      <w:rFonts w:ascii="Times New Roman" w:hAnsi="Times New Roman" w:eastAsia="宋体" w:cs="Times New Roman"/>
      <w:szCs w:val="21"/>
    </w:rPr>
  </w:style>
  <w:style w:type="paragraph" w:customStyle="1" w:styleId="428">
    <w:name w:val="_Style 427"/>
    <w:basedOn w:val="1"/>
    <w:qFormat/>
    <w:uiPriority w:val="99"/>
    <w:pPr>
      <w:ind w:firstLine="420" w:firstLineChars="200"/>
    </w:pPr>
    <w:rPr>
      <w:szCs w:val="22"/>
    </w:rPr>
  </w:style>
  <w:style w:type="character" w:customStyle="1" w:styleId="429">
    <w:name w:val="_Style 428"/>
    <w:basedOn w:val="211"/>
    <w:qFormat/>
    <w:uiPriority w:val="99"/>
    <w:rPr>
      <w:rFonts w:ascii="Calibri" w:hAnsi="Calibri" w:eastAsia="宋体" w:cs="Times New Roman"/>
      <w:b/>
      <w:bCs/>
      <w:szCs w:val="21"/>
    </w:rPr>
  </w:style>
  <w:style w:type="paragraph" w:customStyle="1" w:styleId="430">
    <w:name w:val="_Style 429"/>
    <w:basedOn w:val="210"/>
    <w:unhideWhenUsed/>
    <w:qFormat/>
    <w:uiPriority w:val="99"/>
    <w:rPr>
      <w:rFonts w:ascii="Calibri" w:hAnsi="Calibri"/>
      <w:b/>
      <w:bCs/>
      <w:szCs w:val="22"/>
    </w:rPr>
  </w:style>
  <w:style w:type="paragraph" w:customStyle="1" w:styleId="431">
    <w:name w:val="_Style 430"/>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432">
    <w:name w:val="_Style 431"/>
    <w:basedOn w:val="38"/>
    <w:qFormat/>
    <w:uiPriority w:val="99"/>
    <w:rPr>
      <w:rFonts w:ascii="Calibri" w:hAnsi="Calibri" w:eastAsia="宋体" w:cs="Times New Roman"/>
      <w:sz w:val="18"/>
      <w:szCs w:val="18"/>
    </w:rPr>
  </w:style>
  <w:style w:type="paragraph" w:customStyle="1" w:styleId="433">
    <w:name w:val="_Style 432"/>
    <w:basedOn w:val="1"/>
    <w:unhideWhenUsed/>
    <w:qFormat/>
    <w:uiPriority w:val="99"/>
    <w:pPr>
      <w:tabs>
        <w:tab w:val="center" w:pos="4153"/>
        <w:tab w:val="right" w:pos="8306"/>
      </w:tabs>
      <w:snapToGrid w:val="0"/>
      <w:jc w:val="left"/>
    </w:pPr>
    <w:rPr>
      <w:sz w:val="18"/>
      <w:szCs w:val="18"/>
    </w:rPr>
  </w:style>
  <w:style w:type="character" w:customStyle="1" w:styleId="434">
    <w:name w:val="_Style 433"/>
    <w:basedOn w:val="38"/>
    <w:qFormat/>
    <w:uiPriority w:val="99"/>
    <w:rPr>
      <w:rFonts w:ascii="Calibri" w:hAnsi="Calibri" w:eastAsia="宋体" w:cs="Times New Roman"/>
      <w:sz w:val="18"/>
      <w:szCs w:val="18"/>
    </w:rPr>
  </w:style>
  <w:style w:type="paragraph" w:customStyle="1" w:styleId="435">
    <w:name w:val="_Style 434"/>
    <w:basedOn w:val="1"/>
    <w:qFormat/>
    <w:uiPriority w:val="0"/>
    <w:rPr>
      <w:rFonts w:ascii="宋体" w:hAnsi="Courier New"/>
      <w:szCs w:val="20"/>
    </w:rPr>
  </w:style>
  <w:style w:type="character" w:customStyle="1" w:styleId="436">
    <w:name w:val="_Style 435"/>
    <w:basedOn w:val="38"/>
    <w:qFormat/>
    <w:uiPriority w:val="0"/>
    <w:rPr>
      <w:rFonts w:ascii="宋体" w:hAnsi="Courier New" w:eastAsia="宋体" w:cs="Times New Roman"/>
      <w:szCs w:val="20"/>
    </w:rPr>
  </w:style>
  <w:style w:type="paragraph" w:customStyle="1" w:styleId="437">
    <w:name w:val="_Style 436"/>
    <w:basedOn w:val="1"/>
    <w:qFormat/>
    <w:uiPriority w:val="99"/>
    <w:pPr>
      <w:spacing w:after="120"/>
    </w:pPr>
    <w:rPr>
      <w:rFonts w:ascii="Times New Roman" w:hAnsi="Times New Roman"/>
    </w:rPr>
  </w:style>
  <w:style w:type="character" w:customStyle="1" w:styleId="438">
    <w:name w:val="_Style 437"/>
    <w:basedOn w:val="38"/>
    <w:qFormat/>
    <w:uiPriority w:val="99"/>
    <w:rPr>
      <w:rFonts w:ascii="Times New Roman" w:hAnsi="Times New Roman" w:eastAsia="宋体" w:cs="Times New Roman"/>
      <w:szCs w:val="21"/>
    </w:rPr>
  </w:style>
  <w:style w:type="paragraph" w:customStyle="1" w:styleId="439">
    <w:name w:val="_Style 438"/>
    <w:basedOn w:val="1"/>
    <w:next w:val="1"/>
    <w:qFormat/>
    <w:uiPriority w:val="99"/>
    <w:pPr>
      <w:ind w:left="100" w:leftChars="2500"/>
    </w:pPr>
    <w:rPr>
      <w:rFonts w:ascii="Times New Roman" w:hAnsi="Times New Roman"/>
    </w:rPr>
  </w:style>
  <w:style w:type="character" w:customStyle="1" w:styleId="440">
    <w:name w:val="_Style 439"/>
    <w:basedOn w:val="38"/>
    <w:qFormat/>
    <w:uiPriority w:val="99"/>
    <w:rPr>
      <w:rFonts w:ascii="Times New Roman" w:hAnsi="Times New Roman" w:eastAsia="宋体" w:cs="Times New Roman"/>
      <w:szCs w:val="21"/>
    </w:rPr>
  </w:style>
  <w:style w:type="paragraph" w:customStyle="1" w:styleId="441">
    <w:name w:val="_Style 440"/>
    <w:basedOn w:val="1"/>
    <w:next w:val="1"/>
    <w:qFormat/>
    <w:uiPriority w:val="99"/>
    <w:pPr>
      <w:jc w:val="center"/>
    </w:pPr>
    <w:rPr>
      <w:rFonts w:ascii="Times New Roman" w:hAnsi="Times New Roman"/>
    </w:rPr>
  </w:style>
  <w:style w:type="paragraph" w:customStyle="1" w:styleId="442">
    <w:name w:val="_Style 441"/>
    <w:basedOn w:val="1"/>
    <w:next w:val="1"/>
    <w:semiHidden/>
    <w:qFormat/>
    <w:uiPriority w:val="0"/>
    <w:pPr>
      <w:spacing w:before="120"/>
    </w:pPr>
    <w:rPr>
      <w:rFonts w:ascii="Arial" w:hAnsi="Arial"/>
      <w:b/>
      <w:bCs/>
    </w:rPr>
  </w:style>
  <w:style w:type="paragraph" w:customStyle="1" w:styleId="443">
    <w:name w:val="_Style 442"/>
    <w:hidden/>
    <w:semiHidden/>
    <w:qFormat/>
    <w:uiPriority w:val="99"/>
    <w:rPr>
      <w:rFonts w:ascii="Calibri" w:hAnsi="Calibri" w:eastAsia="宋体" w:cs="Times New Roman"/>
      <w:kern w:val="2"/>
      <w:sz w:val="21"/>
      <w:szCs w:val="22"/>
      <w:lang w:val="en-US" w:eastAsia="zh-CN" w:bidi="ar-SA"/>
    </w:rPr>
  </w:style>
  <w:style w:type="character" w:customStyle="1" w:styleId="444">
    <w:name w:val="_Style 443"/>
    <w:basedOn w:val="38"/>
    <w:qFormat/>
    <w:uiPriority w:val="0"/>
    <w:rPr>
      <w:kern w:val="2"/>
      <w:sz w:val="21"/>
      <w:szCs w:val="24"/>
    </w:rPr>
  </w:style>
  <w:style w:type="paragraph" w:customStyle="1" w:styleId="445">
    <w:name w:val="_Style 444"/>
    <w:basedOn w:val="1"/>
    <w:qFormat/>
    <w:uiPriority w:val="0"/>
    <w:pPr>
      <w:spacing w:before="100" w:after="100"/>
    </w:pPr>
    <w:rPr>
      <w:szCs w:val="24"/>
    </w:rPr>
  </w:style>
  <w:style w:type="paragraph" w:customStyle="1" w:styleId="446">
    <w:name w:val="_Style 445"/>
    <w:basedOn w:val="1"/>
    <w:semiHidden/>
    <w:unhideWhenUsed/>
    <w:qFormat/>
    <w:uiPriority w:val="99"/>
    <w:rPr>
      <w:sz w:val="18"/>
      <w:szCs w:val="18"/>
    </w:rPr>
  </w:style>
  <w:style w:type="character" w:customStyle="1" w:styleId="447">
    <w:name w:val="_Style 446"/>
    <w:basedOn w:val="38"/>
    <w:semiHidden/>
    <w:qFormat/>
    <w:uiPriority w:val="99"/>
    <w:rPr>
      <w:rFonts w:ascii="宋体"/>
      <w:kern w:val="2"/>
      <w:sz w:val="18"/>
      <w:szCs w:val="18"/>
    </w:rPr>
  </w:style>
  <w:style w:type="character" w:customStyle="1" w:styleId="448">
    <w:name w:val="_Style 447"/>
    <w:basedOn w:val="38"/>
    <w:semiHidden/>
    <w:qFormat/>
    <w:uiPriority w:val="99"/>
    <w:rPr>
      <w:color w:val="auto"/>
    </w:rPr>
  </w:style>
  <w:style w:type="paragraph" w:customStyle="1" w:styleId="449">
    <w:name w:val="_Style 448"/>
    <w:basedOn w:val="1"/>
    <w:next w:val="1"/>
    <w:qFormat/>
    <w:uiPriority w:val="10"/>
    <w:pPr>
      <w:spacing w:before="240" w:after="60"/>
      <w:jc w:val="center"/>
      <w:outlineLvl w:val="0"/>
    </w:pPr>
    <w:rPr>
      <w:rFonts w:asciiTheme="majorHAnsi" w:hAnsiTheme="majorHAnsi" w:cstheme="majorBidi"/>
      <w:b/>
      <w:bCs/>
      <w:sz w:val="32"/>
      <w:szCs w:val="32"/>
    </w:rPr>
  </w:style>
  <w:style w:type="character" w:customStyle="1" w:styleId="450">
    <w:name w:val="_Style 449"/>
    <w:basedOn w:val="38"/>
    <w:qFormat/>
    <w:uiPriority w:val="10"/>
    <w:rPr>
      <w:rFonts w:asciiTheme="majorHAnsi" w:hAnsiTheme="majorHAnsi" w:cstheme="majorBidi"/>
      <w:b/>
      <w:bCs/>
      <w:kern w:val="2"/>
      <w:sz w:val="32"/>
      <w:szCs w:val="32"/>
    </w:rPr>
  </w:style>
  <w:style w:type="paragraph" w:customStyle="1" w:styleId="451">
    <w:name w:val="_Style 450"/>
    <w:qFormat/>
    <w:uiPriority w:val="1"/>
    <w:pPr>
      <w:widowControl w:val="0"/>
      <w:jc w:val="both"/>
    </w:pPr>
    <w:rPr>
      <w:rFonts w:ascii="Calibri" w:hAnsi="Calibri" w:eastAsia="宋体" w:cs="Times New Roman"/>
      <w:kern w:val="2"/>
      <w:sz w:val="21"/>
      <w:szCs w:val="22"/>
      <w:lang w:val="en-US" w:eastAsia="zh-CN" w:bidi="ar-SA"/>
    </w:rPr>
  </w:style>
  <w:style w:type="paragraph" w:customStyle="1" w:styleId="452">
    <w:name w:val="_Style 45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453">
    <w:name w:val="_Style 452"/>
    <w:basedOn w:val="1"/>
    <w:semiHidden/>
    <w:unhideWhenUsed/>
    <w:qFormat/>
    <w:uiPriority w:val="99"/>
    <w:pPr>
      <w:snapToGrid w:val="0"/>
    </w:pPr>
  </w:style>
  <w:style w:type="character" w:customStyle="1" w:styleId="454">
    <w:name w:val="_Style 453"/>
    <w:basedOn w:val="38"/>
    <w:semiHidden/>
    <w:unhideWhenUsed/>
    <w:qFormat/>
    <w:uiPriority w:val="99"/>
    <w:rPr>
      <w:vertAlign w:val="superscript"/>
    </w:rPr>
  </w:style>
  <w:style w:type="character" w:customStyle="1" w:styleId="455">
    <w:name w:val="_Style 454"/>
    <w:basedOn w:val="211"/>
    <w:semiHidden/>
    <w:qFormat/>
    <w:uiPriority w:val="99"/>
    <w:rPr>
      <w:rFonts w:ascii="Times New Roman" w:hAnsi="Times New Roman" w:eastAsia="宋体" w:cs="Times New Roman"/>
      <w:b/>
      <w:bCs/>
      <w:szCs w:val="21"/>
    </w:rPr>
  </w:style>
  <w:style w:type="paragraph" w:customStyle="1" w:styleId="456">
    <w:name w:val="_Style 455"/>
    <w:basedOn w:val="1"/>
    <w:qFormat/>
    <w:uiPriority w:val="0"/>
    <w:pPr>
      <w:ind w:firstLine="420" w:firstLineChars="200"/>
    </w:pPr>
    <w:rPr>
      <w:rFonts w:ascii="Times New Roman" w:hAnsi="Times New Roman"/>
    </w:rPr>
  </w:style>
  <w:style w:type="character" w:customStyle="1" w:styleId="457">
    <w:name w:val="_Style 456"/>
    <w:basedOn w:val="211"/>
    <w:semiHidden/>
    <w:qFormat/>
    <w:uiPriority w:val="99"/>
    <w:rPr>
      <w:rFonts w:ascii="Times New Roman" w:hAnsi="Times New Roman" w:eastAsia="宋体" w:cs="Times New Roman"/>
      <w:b/>
      <w:bCs/>
      <w:szCs w:val="21"/>
    </w:rPr>
  </w:style>
  <w:style w:type="paragraph" w:customStyle="1" w:styleId="458">
    <w:name w:val="_Style 457"/>
    <w:basedOn w:val="1"/>
    <w:qFormat/>
    <w:uiPriority w:val="34"/>
    <w:pPr>
      <w:ind w:firstLine="420" w:firstLineChars="200"/>
    </w:pPr>
    <w:rPr>
      <w:szCs w:val="22"/>
    </w:rPr>
  </w:style>
  <w:style w:type="paragraph" w:customStyle="1" w:styleId="459">
    <w:name w:val="_Style 458"/>
    <w:basedOn w:val="1"/>
    <w:qFormat/>
    <w:uiPriority w:val="0"/>
    <w:pPr>
      <w:widowControl/>
      <w:jc w:val="left"/>
    </w:pPr>
    <w:rPr>
      <w:rFonts w:ascii="宋体" w:hAnsi="宋体" w:cs="宋体"/>
      <w:bCs/>
      <w:kern w:val="0"/>
    </w:rPr>
  </w:style>
  <w:style w:type="paragraph" w:customStyle="1" w:styleId="460">
    <w:name w:val="_Style 459"/>
    <w:basedOn w:val="1"/>
    <w:qFormat/>
    <w:uiPriority w:val="0"/>
    <w:pPr>
      <w:ind w:firstLine="420" w:firstLineChars="200"/>
    </w:pPr>
  </w:style>
  <w:style w:type="paragraph" w:customStyle="1" w:styleId="461">
    <w:name w:val="_Style 460"/>
    <w:basedOn w:val="1"/>
    <w:qFormat/>
    <w:uiPriority w:val="0"/>
    <w:pPr>
      <w:widowControl/>
      <w:jc w:val="left"/>
    </w:pPr>
    <w:rPr>
      <w:rFonts w:ascii="宋体" w:hAnsi="宋体" w:cs="宋体"/>
    </w:rPr>
  </w:style>
  <w:style w:type="paragraph" w:customStyle="1" w:styleId="462">
    <w:name w:val="_Style 461"/>
    <w:basedOn w:val="1"/>
    <w:qFormat/>
    <w:uiPriority w:val="0"/>
    <w:pPr>
      <w:ind w:firstLine="420" w:firstLineChars="200"/>
    </w:pPr>
  </w:style>
  <w:style w:type="paragraph" w:customStyle="1" w:styleId="463">
    <w:name w:val="_Style 462"/>
    <w:qFormat/>
    <w:uiPriority w:val="0"/>
    <w:pPr>
      <w:jc w:val="both"/>
    </w:pPr>
    <w:rPr>
      <w:rFonts w:ascii="Calibri" w:hAnsi="Calibri" w:eastAsia="宋体" w:cs="Calibri"/>
      <w:kern w:val="2"/>
      <w:sz w:val="21"/>
      <w:szCs w:val="21"/>
      <w:lang w:val="en-US" w:eastAsia="zh-CN" w:bidi="ar-SA"/>
    </w:rPr>
  </w:style>
  <w:style w:type="character" w:customStyle="1" w:styleId="464">
    <w:name w:val="_Style 463"/>
    <w:basedOn w:val="38"/>
    <w:qFormat/>
    <w:uiPriority w:val="0"/>
    <w:rPr>
      <w:rFonts w:eastAsia="宋体" w:cs="Times New Roman"/>
      <w:kern w:val="2"/>
      <w:sz w:val="21"/>
      <w:szCs w:val="21"/>
      <w:lang w:val="en-US" w:eastAsia="zh-CN" w:bidi="ar-SA"/>
    </w:rPr>
  </w:style>
  <w:style w:type="paragraph" w:customStyle="1" w:styleId="465">
    <w:name w:val="_Style 464"/>
    <w:basedOn w:val="1"/>
    <w:qFormat/>
    <w:uiPriority w:val="0"/>
    <w:pPr>
      <w:jc w:val="left"/>
    </w:pPr>
    <w:rPr>
      <w:rFonts w:ascii="Times New Roman" w:hAnsi="Times New Roman"/>
    </w:rPr>
  </w:style>
  <w:style w:type="character" w:customStyle="1" w:styleId="466">
    <w:name w:val="_Style 465"/>
    <w:basedOn w:val="38"/>
    <w:qFormat/>
    <w:uiPriority w:val="0"/>
    <w:rPr>
      <w:rFonts w:ascii="Times New Roman" w:hAnsi="Times New Roman" w:eastAsia="宋体" w:cs="Times New Roman"/>
      <w:szCs w:val="21"/>
    </w:rPr>
  </w:style>
  <w:style w:type="character" w:customStyle="1" w:styleId="467">
    <w:name w:val="_Style 466"/>
    <w:basedOn w:val="38"/>
    <w:qFormat/>
    <w:uiPriority w:val="0"/>
    <w:rPr>
      <w:rFonts w:asciiTheme="majorHAnsi" w:hAnsiTheme="majorHAnsi" w:cstheme="majorBidi"/>
      <w:b/>
      <w:bCs/>
      <w:kern w:val="2"/>
      <w:sz w:val="32"/>
      <w:szCs w:val="32"/>
    </w:rPr>
  </w:style>
  <w:style w:type="character" w:customStyle="1" w:styleId="468">
    <w:name w:val="_Style 467"/>
    <w:basedOn w:val="38"/>
    <w:uiPriority w:val="0"/>
    <w:rPr>
      <w:snapToGrid/>
      <w:lang w:val="en-US" w:eastAsia="en-US"/>
    </w:rPr>
  </w:style>
  <w:style w:type="character" w:customStyle="1" w:styleId="469">
    <w:name w:val="_Style 468"/>
    <w:basedOn w:val="38"/>
    <w:uiPriority w:val="0"/>
    <w:rPr>
      <w:snapToGrid w:val="0"/>
      <w:lang w:val="en-US" w:eastAsia="en-US"/>
    </w:rPr>
  </w:style>
  <w:style w:type="character" w:customStyle="1" w:styleId="470">
    <w:name w:val="_Style 469"/>
    <w:basedOn w:val="38"/>
    <w:qFormat/>
    <w:uiPriority w:val="22"/>
    <w:rPr>
      <w:b/>
      <w:bCs/>
    </w:rPr>
  </w:style>
  <w:style w:type="paragraph" w:customStyle="1" w:styleId="471">
    <w:name w:val="_Style 47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72">
    <w:name w:val="_Style 471"/>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473">
    <w:name w:val="_Style 472"/>
    <w:basedOn w:val="38"/>
    <w:qFormat/>
    <w:uiPriority w:val="0"/>
  </w:style>
  <w:style w:type="character" w:customStyle="1" w:styleId="474">
    <w:name w:val="_Style 473"/>
    <w:basedOn w:val="38"/>
    <w:qFormat/>
    <w:uiPriority w:val="0"/>
  </w:style>
  <w:style w:type="table" w:customStyle="1" w:styleId="475">
    <w:name w:val="g30"/>
    <w:semiHidden/>
    <w:unhideWhenUsed/>
    <w:uiPriority w:val="99"/>
    <w:tblPr>
      <w:tblCellMar>
        <w:top w:w="0" w:type="dxa"/>
        <w:left w:w="108" w:type="dxa"/>
        <w:bottom w:w="0" w:type="dxa"/>
        <w:right w:w="108" w:type="dxa"/>
      </w:tblCellMar>
    </w:tblPr>
  </w:style>
  <w:style w:type="table" w:customStyle="1" w:styleId="476">
    <w:name w:val="g31"/>
    <w:basedOn w:val="36"/>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7">
    <w:name w:val="g32"/>
    <w:basedOn w:val="36"/>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8">
    <w:name w:val="g64"/>
    <w:semiHidden/>
    <w:unhideWhenUsed/>
    <w:uiPriority w:val="99"/>
    <w:tblPr>
      <w:tblCellMar>
        <w:top w:w="0" w:type="dxa"/>
        <w:left w:w="108" w:type="dxa"/>
        <w:bottom w:w="0" w:type="dxa"/>
        <w:right w:w="108" w:type="dxa"/>
      </w:tblCellMar>
    </w:tblPr>
  </w:style>
  <w:style w:type="table" w:customStyle="1" w:styleId="479">
    <w:name w:val="g65"/>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0">
    <w:name w:val="g66"/>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1">
    <w:name w:val="g67"/>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2">
    <w:name w:val="g68"/>
    <w:semiHidden/>
    <w:unhideWhenUsed/>
    <w:uiPriority w:val="99"/>
    <w:tblPr>
      <w:tblCellMar>
        <w:top w:w="0" w:type="dxa"/>
        <w:left w:w="108" w:type="dxa"/>
        <w:bottom w:w="0" w:type="dxa"/>
        <w:right w:w="108" w:type="dxa"/>
      </w:tblCellMar>
    </w:tblPr>
  </w:style>
  <w:style w:type="table" w:customStyle="1" w:styleId="483">
    <w:name w:val="g69"/>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4">
    <w:name w:val="g70"/>
    <w:semiHidden/>
    <w:unhideWhenUsed/>
    <w:uiPriority w:val="99"/>
    <w:tblPr>
      <w:tblCellMar>
        <w:top w:w="0" w:type="dxa"/>
        <w:left w:w="108" w:type="dxa"/>
        <w:bottom w:w="0" w:type="dxa"/>
        <w:right w:w="108" w:type="dxa"/>
      </w:tblCellMar>
    </w:tblPr>
  </w:style>
  <w:style w:type="table" w:customStyle="1" w:styleId="485">
    <w:name w:val="g72"/>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6">
    <w:name w:val="g89"/>
    <w:semiHidden/>
    <w:unhideWhenUsed/>
    <w:uiPriority w:val="99"/>
    <w:tblPr>
      <w:tblCellMar>
        <w:top w:w="0" w:type="dxa"/>
        <w:left w:w="108" w:type="dxa"/>
        <w:bottom w:w="0" w:type="dxa"/>
        <w:right w:w="108" w:type="dxa"/>
      </w:tblCellMar>
    </w:tblPr>
  </w:style>
  <w:style w:type="table" w:customStyle="1" w:styleId="487">
    <w:name w:val="g90"/>
    <w:semiHidden/>
    <w:unhideWhenUsed/>
    <w:uiPriority w:val="99"/>
    <w:tblPr>
      <w:tblCellMar>
        <w:top w:w="0" w:type="dxa"/>
        <w:left w:w="108" w:type="dxa"/>
        <w:bottom w:w="0" w:type="dxa"/>
        <w:right w:w="108" w:type="dxa"/>
      </w:tblCellMar>
    </w:tblPr>
  </w:style>
  <w:style w:type="table" w:customStyle="1" w:styleId="488">
    <w:name w:val="g91"/>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9">
    <w:name w:val="g92"/>
    <w:semiHidden/>
    <w:unhideWhenUsed/>
    <w:uiPriority w:val="99"/>
    <w:tblPr>
      <w:tblCellMar>
        <w:top w:w="0" w:type="dxa"/>
        <w:left w:w="108" w:type="dxa"/>
        <w:bottom w:w="0" w:type="dxa"/>
        <w:right w:w="108" w:type="dxa"/>
      </w:tblCellMar>
    </w:tblPr>
  </w:style>
  <w:style w:type="table" w:customStyle="1" w:styleId="490">
    <w:name w:val="g93"/>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1">
    <w:name w:val="g94"/>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2">
    <w:name w:val="g95"/>
    <w:semiHidden/>
    <w:unhideWhenUsed/>
    <w:uiPriority w:val="99"/>
    <w:tblPr>
      <w:tblCellMar>
        <w:top w:w="0" w:type="dxa"/>
        <w:left w:w="108" w:type="dxa"/>
        <w:bottom w:w="0" w:type="dxa"/>
        <w:right w:w="108" w:type="dxa"/>
      </w:tblCellMar>
    </w:tblPr>
  </w:style>
  <w:style w:type="table" w:customStyle="1" w:styleId="493">
    <w:name w:val="g96"/>
    <w:semiHidden/>
    <w:unhideWhenUsed/>
    <w:uiPriority w:val="99"/>
    <w:tblPr>
      <w:tblCellMar>
        <w:top w:w="0" w:type="dxa"/>
        <w:left w:w="108" w:type="dxa"/>
        <w:bottom w:w="0" w:type="dxa"/>
        <w:right w:w="108" w:type="dxa"/>
      </w:tblCellMar>
    </w:tblPr>
  </w:style>
  <w:style w:type="table" w:customStyle="1" w:styleId="494">
    <w:name w:val="g97"/>
    <w:semiHidden/>
    <w:unhideWhenUsed/>
    <w:uiPriority w:val="99"/>
    <w:tblPr>
      <w:tblCellMar>
        <w:top w:w="0" w:type="dxa"/>
        <w:left w:w="108" w:type="dxa"/>
        <w:bottom w:w="0" w:type="dxa"/>
        <w:right w:w="108" w:type="dxa"/>
      </w:tblCellMar>
    </w:tblPr>
  </w:style>
  <w:style w:type="table" w:customStyle="1" w:styleId="495">
    <w:name w:val="g98"/>
    <w:semiHidden/>
    <w:unhideWhenUsed/>
    <w:uiPriority w:val="99"/>
    <w:tblPr>
      <w:tblCellMar>
        <w:top w:w="0" w:type="dxa"/>
        <w:left w:w="108" w:type="dxa"/>
        <w:bottom w:w="0" w:type="dxa"/>
        <w:right w:w="108" w:type="dxa"/>
      </w:tblCellMar>
    </w:tblPr>
  </w:style>
  <w:style w:type="table" w:customStyle="1" w:styleId="496">
    <w:name w:val="g99"/>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7">
    <w:name w:val="g100"/>
    <w:semiHidden/>
    <w:unhideWhenUsed/>
    <w:uiPriority w:val="99"/>
    <w:tblPr>
      <w:tblCellMar>
        <w:top w:w="0" w:type="dxa"/>
        <w:left w:w="108" w:type="dxa"/>
        <w:bottom w:w="0" w:type="dxa"/>
        <w:right w:w="108" w:type="dxa"/>
      </w:tblCellMar>
    </w:tblPr>
  </w:style>
  <w:style w:type="table" w:customStyle="1" w:styleId="498">
    <w:name w:val="g128"/>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9">
    <w:name w:val="g129"/>
    <w:semiHidden/>
    <w:unhideWhenUsed/>
    <w:uiPriority w:val="99"/>
    <w:tblPr>
      <w:tblCellMar>
        <w:top w:w="0" w:type="dxa"/>
        <w:left w:w="108" w:type="dxa"/>
        <w:bottom w:w="0" w:type="dxa"/>
        <w:right w:w="108" w:type="dxa"/>
      </w:tblCellMar>
    </w:tblPr>
  </w:style>
  <w:style w:type="table" w:customStyle="1" w:styleId="500">
    <w:name w:val="g130"/>
    <w:semiHidden/>
    <w:unhideWhenUsed/>
    <w:uiPriority w:val="99"/>
    <w:tblPr>
      <w:tblCellMar>
        <w:top w:w="0" w:type="dxa"/>
        <w:left w:w="108" w:type="dxa"/>
        <w:bottom w:w="0" w:type="dxa"/>
        <w:right w:w="108" w:type="dxa"/>
      </w:tblCellMar>
    </w:tblPr>
  </w:style>
  <w:style w:type="paragraph" w:customStyle="1" w:styleId="501">
    <w:name w:val="_Style 500"/>
    <w:qFormat/>
    <w:uiPriority w:val="0"/>
    <w:pPr>
      <w:widowControl w:val="0"/>
      <w:jc w:val="both"/>
    </w:pPr>
    <w:rPr>
      <w:rFonts w:ascii="Calibri" w:hAnsi="Calibri" w:eastAsia="宋体" w:cs="Times New Roman"/>
      <w:kern w:val="2"/>
      <w:sz w:val="21"/>
      <w:szCs w:val="21"/>
      <w:lang w:val="en-US" w:eastAsia="zh-CN" w:bidi="ar-SA"/>
    </w:rPr>
  </w:style>
  <w:style w:type="paragraph" w:customStyle="1" w:styleId="502">
    <w:name w:val="_Style 501"/>
    <w:basedOn w:val="501"/>
    <w:next w:val="1"/>
    <w:qFormat/>
    <w:uiPriority w:val="99"/>
    <w:pPr>
      <w:keepNext/>
      <w:keepLines/>
      <w:spacing w:before="60" w:after="60" w:line="360" w:lineRule="auto"/>
      <w:jc w:val="center"/>
      <w:outlineLvl w:val="0"/>
    </w:pPr>
    <w:rPr>
      <w:rFonts w:eastAsia="黑体"/>
      <w:b/>
      <w:bCs/>
      <w:kern w:val="44"/>
      <w:sz w:val="28"/>
      <w:szCs w:val="44"/>
    </w:rPr>
  </w:style>
  <w:style w:type="paragraph" w:customStyle="1" w:styleId="503">
    <w:name w:val="_Style 502"/>
    <w:basedOn w:val="501"/>
    <w:next w:val="1"/>
    <w:qFormat/>
    <w:uiPriority w:val="0"/>
    <w:pPr>
      <w:keepNext/>
      <w:keepLines/>
      <w:spacing w:before="60" w:after="60"/>
      <w:outlineLvl w:val="1"/>
    </w:pPr>
    <w:rPr>
      <w:rFonts w:ascii="Arial" w:hAnsi="Arial"/>
      <w:b/>
      <w:bCs/>
    </w:rPr>
  </w:style>
  <w:style w:type="paragraph" w:customStyle="1" w:styleId="504">
    <w:name w:val="_Style 503"/>
    <w:basedOn w:val="501"/>
    <w:next w:val="1"/>
    <w:qFormat/>
    <w:uiPriority w:val="9"/>
    <w:pPr>
      <w:keepNext/>
      <w:keepLines/>
      <w:spacing w:before="60" w:after="60"/>
      <w:outlineLvl w:val="2"/>
    </w:pPr>
    <w:rPr>
      <w:b/>
      <w:bCs/>
      <w:szCs w:val="32"/>
    </w:rPr>
  </w:style>
  <w:style w:type="paragraph" w:customStyle="1" w:styleId="505">
    <w:name w:val="_Style 504"/>
    <w:basedOn w:val="501"/>
    <w:next w:val="1"/>
    <w:qFormat/>
    <w:uiPriority w:val="9"/>
    <w:pPr>
      <w:keepNext/>
      <w:keepLines/>
      <w:spacing w:before="60" w:after="60"/>
      <w:outlineLvl w:val="3"/>
    </w:pPr>
    <w:rPr>
      <w:rFonts w:asciiTheme="minorEastAsia" w:hAnsiTheme="minorEastAsia" w:eastAsiaTheme="minorEastAsia"/>
      <w:b/>
      <w:bCs/>
      <w:szCs w:val="28"/>
    </w:rPr>
  </w:style>
  <w:style w:type="paragraph" w:customStyle="1" w:styleId="506">
    <w:name w:val="_Style 505"/>
    <w:basedOn w:val="501"/>
    <w:next w:val="1"/>
    <w:qFormat/>
    <w:uiPriority w:val="9"/>
    <w:pPr>
      <w:keepNext/>
      <w:keepLines/>
      <w:spacing w:before="60" w:after="60"/>
      <w:ind w:left="50" w:leftChars="50"/>
      <w:outlineLvl w:val="4"/>
    </w:pPr>
    <w:rPr>
      <w:b/>
      <w:bCs/>
      <w:szCs w:val="28"/>
    </w:rPr>
  </w:style>
  <w:style w:type="paragraph" w:customStyle="1" w:styleId="507">
    <w:name w:val="_Style 506"/>
    <w:basedOn w:val="501"/>
    <w:next w:val="1"/>
    <w:unhideWhenUsed/>
    <w:qFormat/>
    <w:uiPriority w:val="9"/>
    <w:pPr>
      <w:keepNext/>
      <w:keepLines/>
      <w:widowControl/>
      <w:spacing w:before="60" w:after="60"/>
      <w:ind w:left="50" w:leftChars="50"/>
      <w:jc w:val="left"/>
      <w:outlineLvl w:val="5"/>
    </w:pPr>
    <w:rPr>
      <w:rFonts w:asciiTheme="majorHAnsi" w:hAnsiTheme="majorHAnsi" w:cstheme="majorBidi"/>
      <w:b/>
      <w:bCs/>
      <w:kern w:val="0"/>
      <w:szCs w:val="24"/>
    </w:rPr>
  </w:style>
  <w:style w:type="paragraph" w:customStyle="1" w:styleId="508">
    <w:name w:val="_Style 507"/>
    <w:basedOn w:val="501"/>
    <w:next w:val="1"/>
    <w:unhideWhenUsed/>
    <w:qFormat/>
    <w:uiPriority w:val="9"/>
    <w:pPr>
      <w:keepNext/>
      <w:keepLines/>
      <w:widowControl/>
      <w:spacing w:before="240" w:after="64" w:line="320" w:lineRule="auto"/>
      <w:jc w:val="left"/>
      <w:outlineLvl w:val="6"/>
    </w:pPr>
    <w:rPr>
      <w:rFonts w:ascii="宋体" w:hAnsi="宋体" w:cs="宋体"/>
      <w:b/>
      <w:bCs/>
      <w:kern w:val="0"/>
      <w:sz w:val="24"/>
      <w:szCs w:val="24"/>
    </w:rPr>
  </w:style>
  <w:style w:type="paragraph" w:customStyle="1" w:styleId="509">
    <w:name w:val="_Style 508"/>
    <w:basedOn w:val="501"/>
    <w:next w:val="1"/>
    <w:qFormat/>
    <w:uiPriority w:val="99"/>
    <w:pPr>
      <w:jc w:val="center"/>
    </w:pPr>
    <w:rPr>
      <w:rFonts w:ascii="Times New Roman" w:hAnsi="Times New Roman"/>
    </w:rPr>
  </w:style>
  <w:style w:type="paragraph" w:customStyle="1" w:styleId="510">
    <w:name w:val="_Style 509"/>
    <w:basedOn w:val="501"/>
    <w:qFormat/>
    <w:uiPriority w:val="0"/>
    <w:pPr>
      <w:ind w:firstLine="420" w:firstLineChars="200"/>
    </w:pPr>
    <w:rPr>
      <w:rFonts w:ascii="Times New Roman" w:hAnsi="Times New Roman"/>
    </w:rPr>
  </w:style>
  <w:style w:type="paragraph" w:customStyle="1" w:styleId="511">
    <w:name w:val="_Style 510"/>
    <w:basedOn w:val="501"/>
    <w:semiHidden/>
    <w:unhideWhenUsed/>
    <w:qFormat/>
    <w:uiPriority w:val="99"/>
    <w:rPr>
      <w:sz w:val="18"/>
      <w:szCs w:val="18"/>
    </w:rPr>
  </w:style>
  <w:style w:type="paragraph" w:customStyle="1" w:styleId="512">
    <w:name w:val="_Style 511"/>
    <w:basedOn w:val="501"/>
    <w:next w:val="1"/>
    <w:semiHidden/>
    <w:qFormat/>
    <w:uiPriority w:val="0"/>
    <w:pPr>
      <w:spacing w:before="120"/>
    </w:pPr>
    <w:rPr>
      <w:rFonts w:ascii="Arial" w:hAnsi="Arial"/>
      <w:b/>
      <w:bCs/>
    </w:rPr>
  </w:style>
  <w:style w:type="paragraph" w:customStyle="1" w:styleId="513">
    <w:name w:val="_Style 512"/>
    <w:basedOn w:val="501"/>
    <w:qFormat/>
    <w:uiPriority w:val="99"/>
    <w:pPr>
      <w:jc w:val="left"/>
    </w:pPr>
    <w:rPr>
      <w:rFonts w:ascii="Times New Roman" w:hAnsi="Times New Roman"/>
    </w:rPr>
  </w:style>
  <w:style w:type="paragraph" w:customStyle="1" w:styleId="514">
    <w:name w:val="_Style 513"/>
    <w:basedOn w:val="501"/>
    <w:next w:val="1"/>
    <w:qFormat/>
    <w:uiPriority w:val="99"/>
    <w:rPr>
      <w:rFonts w:ascii="Times New Roman" w:hAnsi="Times New Roman"/>
    </w:rPr>
  </w:style>
  <w:style w:type="paragraph" w:customStyle="1" w:styleId="515">
    <w:name w:val="_Style 514"/>
    <w:basedOn w:val="501"/>
    <w:qFormat/>
    <w:uiPriority w:val="0"/>
    <w:pPr>
      <w:tabs>
        <w:tab w:val="left" w:pos="1200"/>
      </w:tabs>
    </w:pPr>
    <w:rPr>
      <w:rFonts w:ascii="Times New Roman" w:hAnsi="Times New Roman"/>
    </w:rPr>
  </w:style>
  <w:style w:type="paragraph" w:customStyle="1" w:styleId="516">
    <w:name w:val="_Style 515"/>
    <w:basedOn w:val="501"/>
    <w:qFormat/>
    <w:uiPriority w:val="99"/>
    <w:pPr>
      <w:spacing w:after="120"/>
    </w:pPr>
    <w:rPr>
      <w:rFonts w:ascii="Times New Roman" w:hAnsi="Times New Roman"/>
    </w:rPr>
  </w:style>
  <w:style w:type="paragraph" w:customStyle="1" w:styleId="517">
    <w:name w:val="_Style 516"/>
    <w:basedOn w:val="501"/>
    <w:qFormat/>
    <w:uiPriority w:val="0"/>
    <w:rPr>
      <w:rFonts w:ascii="宋体" w:hAnsi="Courier New"/>
      <w:szCs w:val="20"/>
    </w:rPr>
  </w:style>
  <w:style w:type="paragraph" w:customStyle="1" w:styleId="518">
    <w:name w:val="_Style 517"/>
    <w:basedOn w:val="501"/>
    <w:next w:val="1"/>
    <w:qFormat/>
    <w:uiPriority w:val="99"/>
    <w:pPr>
      <w:ind w:left="100" w:leftChars="2500"/>
    </w:pPr>
    <w:rPr>
      <w:rFonts w:ascii="Times New Roman" w:hAnsi="Times New Roman"/>
    </w:rPr>
  </w:style>
  <w:style w:type="paragraph" w:customStyle="1" w:styleId="519">
    <w:name w:val="_Style 518"/>
    <w:basedOn w:val="501"/>
    <w:semiHidden/>
    <w:unhideWhenUsed/>
    <w:qFormat/>
    <w:uiPriority w:val="99"/>
    <w:pPr>
      <w:snapToGrid w:val="0"/>
    </w:pPr>
  </w:style>
  <w:style w:type="paragraph" w:customStyle="1" w:styleId="520">
    <w:name w:val="_Style 519"/>
    <w:basedOn w:val="501"/>
    <w:unhideWhenUsed/>
    <w:qFormat/>
    <w:uiPriority w:val="99"/>
    <w:rPr>
      <w:sz w:val="18"/>
      <w:szCs w:val="18"/>
    </w:rPr>
  </w:style>
  <w:style w:type="paragraph" w:customStyle="1" w:styleId="521">
    <w:name w:val="_Style 520"/>
    <w:basedOn w:val="501"/>
    <w:unhideWhenUsed/>
    <w:qFormat/>
    <w:uiPriority w:val="99"/>
    <w:pPr>
      <w:tabs>
        <w:tab w:val="center" w:pos="4153"/>
        <w:tab w:val="right" w:pos="8306"/>
      </w:tabs>
      <w:snapToGrid w:val="0"/>
      <w:jc w:val="left"/>
    </w:pPr>
    <w:rPr>
      <w:sz w:val="18"/>
      <w:szCs w:val="18"/>
    </w:rPr>
  </w:style>
  <w:style w:type="paragraph" w:customStyle="1" w:styleId="522">
    <w:name w:val="_Style 521"/>
    <w:basedOn w:val="501"/>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523">
    <w:name w:val="_Style 522"/>
    <w:basedOn w:val="501"/>
    <w:qFormat/>
    <w:uiPriority w:val="99"/>
    <w:pPr>
      <w:widowControl/>
      <w:spacing w:before="100" w:beforeAutospacing="1" w:after="100" w:afterAutospacing="1"/>
      <w:jc w:val="left"/>
    </w:pPr>
    <w:rPr>
      <w:rFonts w:ascii="宋体" w:hAnsi="宋体" w:cs="宋体"/>
      <w:kern w:val="0"/>
      <w:sz w:val="24"/>
      <w:szCs w:val="24"/>
    </w:rPr>
  </w:style>
  <w:style w:type="paragraph" w:customStyle="1" w:styleId="524">
    <w:name w:val="_Style 523"/>
    <w:basedOn w:val="501"/>
    <w:next w:val="1"/>
    <w:semiHidden/>
    <w:qFormat/>
    <w:uiPriority w:val="0"/>
    <w:pPr>
      <w:widowControl/>
      <w:ind w:firstLine="420" w:firstLineChars="200"/>
      <w:jc w:val="left"/>
    </w:pPr>
    <w:rPr>
      <w:rFonts w:ascii="宋体" w:hAnsi="宋体"/>
      <w:color w:val="000000"/>
      <w:kern w:val="0"/>
    </w:rPr>
  </w:style>
  <w:style w:type="paragraph" w:customStyle="1" w:styleId="525">
    <w:name w:val="_Style 524"/>
    <w:basedOn w:val="501"/>
    <w:next w:val="1"/>
    <w:qFormat/>
    <w:uiPriority w:val="10"/>
    <w:pPr>
      <w:spacing w:before="240" w:after="60"/>
      <w:jc w:val="center"/>
      <w:outlineLvl w:val="0"/>
    </w:pPr>
    <w:rPr>
      <w:rFonts w:asciiTheme="majorHAnsi" w:hAnsiTheme="majorHAnsi" w:cstheme="majorBidi"/>
      <w:b/>
      <w:bCs/>
      <w:sz w:val="32"/>
      <w:szCs w:val="32"/>
    </w:rPr>
  </w:style>
  <w:style w:type="paragraph" w:customStyle="1" w:styleId="526">
    <w:name w:val="_Style 525"/>
    <w:basedOn w:val="513"/>
    <w:next w:val="140"/>
    <w:unhideWhenUsed/>
    <w:qFormat/>
    <w:uiPriority w:val="99"/>
    <w:rPr>
      <w:rFonts w:ascii="Calibri" w:hAnsi="Calibri"/>
      <w:b/>
      <w:bCs/>
      <w:szCs w:val="22"/>
    </w:rPr>
  </w:style>
  <w:style w:type="character" w:customStyle="1" w:styleId="527">
    <w:name w:val="_Style 526"/>
    <w:basedOn w:val="38"/>
    <w:semiHidden/>
    <w:unhideWhenUsed/>
    <w:qFormat/>
    <w:uiPriority w:val="99"/>
    <w:rPr>
      <w:vertAlign w:val="superscript"/>
    </w:rPr>
  </w:style>
  <w:style w:type="character" w:customStyle="1" w:styleId="528">
    <w:name w:val="_Style 527"/>
    <w:basedOn w:val="38"/>
    <w:qFormat/>
    <w:uiPriority w:val="99"/>
    <w:rPr>
      <w:rFonts w:cs="Times New Roman"/>
      <w:color w:val="0000FF"/>
      <w:u w:val="single"/>
    </w:rPr>
  </w:style>
  <w:style w:type="character" w:customStyle="1" w:styleId="529">
    <w:name w:val="_Style 528"/>
    <w:basedOn w:val="38"/>
    <w:qFormat/>
    <w:uiPriority w:val="99"/>
    <w:rPr>
      <w:rFonts w:eastAsia="宋体" w:cs="Times New Roman"/>
      <w:kern w:val="2"/>
      <w:sz w:val="21"/>
      <w:szCs w:val="21"/>
      <w:lang w:val="en-US" w:eastAsia="zh-CN" w:bidi="ar-SA"/>
    </w:rPr>
  </w:style>
  <w:style w:type="paragraph" w:customStyle="1" w:styleId="530">
    <w:name w:val="_Style 529"/>
    <w:next w:val="1"/>
    <w:qFormat/>
    <w:uiPriority w:val="99"/>
    <w:pPr>
      <w:widowControl w:val="0"/>
      <w:jc w:val="center"/>
    </w:pPr>
    <w:rPr>
      <w:rFonts w:ascii="Times New Roman" w:hAnsi="Times New Roman" w:eastAsia="宋体" w:cs="Times New Roman"/>
      <w:kern w:val="2"/>
      <w:sz w:val="21"/>
      <w:szCs w:val="21"/>
      <w:lang w:val="en-US" w:eastAsia="zh-CN" w:bidi="ar-SA"/>
    </w:rPr>
  </w:style>
  <w:style w:type="paragraph" w:customStyle="1" w:styleId="531">
    <w:name w:val="_Style 530"/>
    <w:qFormat/>
    <w:uiPriority w:val="0"/>
    <w:rPr>
      <w:rFonts w:ascii="宋体" w:hAnsi="宋体" w:eastAsia="宋体" w:cs="宋体"/>
      <w:sz w:val="21"/>
      <w:szCs w:val="24"/>
      <w:lang w:val="en-US" w:eastAsia="zh-CN" w:bidi="ar-SA"/>
    </w:rPr>
  </w:style>
  <w:style w:type="character" w:customStyle="1" w:styleId="532">
    <w:name w:val="_Style 531"/>
    <w:basedOn w:val="38"/>
    <w:qFormat/>
    <w:uiPriority w:val="99"/>
    <w:rPr>
      <w:rFonts w:eastAsia="黑体"/>
      <w:b/>
      <w:bCs/>
      <w:kern w:val="44"/>
      <w:sz w:val="28"/>
      <w:szCs w:val="44"/>
    </w:rPr>
  </w:style>
  <w:style w:type="character" w:customStyle="1" w:styleId="533">
    <w:name w:val="_Style 532"/>
    <w:basedOn w:val="38"/>
    <w:qFormat/>
    <w:uiPriority w:val="0"/>
    <w:rPr>
      <w:rFonts w:ascii="Arial" w:hAnsi="Arial"/>
      <w:b/>
      <w:bCs/>
      <w:kern w:val="2"/>
      <w:sz w:val="21"/>
      <w:szCs w:val="21"/>
    </w:rPr>
  </w:style>
  <w:style w:type="character" w:customStyle="1" w:styleId="534">
    <w:name w:val="_Style 533"/>
    <w:basedOn w:val="38"/>
    <w:qFormat/>
    <w:uiPriority w:val="9"/>
    <w:rPr>
      <w:b/>
      <w:bCs/>
      <w:kern w:val="2"/>
      <w:sz w:val="21"/>
      <w:szCs w:val="32"/>
    </w:rPr>
  </w:style>
  <w:style w:type="character" w:customStyle="1" w:styleId="535">
    <w:name w:val="_Style 534"/>
    <w:basedOn w:val="38"/>
    <w:qFormat/>
    <w:uiPriority w:val="9"/>
    <w:rPr>
      <w:rFonts w:asciiTheme="minorEastAsia" w:hAnsiTheme="minorEastAsia" w:eastAsiaTheme="minorEastAsia"/>
      <w:b/>
      <w:bCs/>
      <w:kern w:val="2"/>
      <w:sz w:val="21"/>
      <w:szCs w:val="28"/>
    </w:rPr>
  </w:style>
  <w:style w:type="character" w:customStyle="1" w:styleId="536">
    <w:name w:val="_Style 535"/>
    <w:basedOn w:val="38"/>
    <w:qFormat/>
    <w:uiPriority w:val="9"/>
    <w:rPr>
      <w:b/>
      <w:bCs/>
      <w:kern w:val="2"/>
      <w:sz w:val="21"/>
      <w:szCs w:val="28"/>
    </w:rPr>
  </w:style>
  <w:style w:type="paragraph" w:customStyle="1" w:styleId="537">
    <w:name w:val="_Style 536"/>
    <w:basedOn w:val="502"/>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538">
    <w:name w:val="_Style 537"/>
    <w:basedOn w:val="38"/>
    <w:qFormat/>
    <w:uiPriority w:val="99"/>
    <w:rPr>
      <w:rFonts w:ascii="Times New Roman" w:hAnsi="Times New Roman" w:eastAsia="宋体" w:cs="Times New Roman"/>
      <w:szCs w:val="21"/>
    </w:rPr>
  </w:style>
  <w:style w:type="character" w:customStyle="1" w:styleId="539">
    <w:name w:val="_Style 538"/>
    <w:basedOn w:val="38"/>
    <w:qFormat/>
    <w:uiPriority w:val="99"/>
    <w:rPr>
      <w:rFonts w:ascii="Calibri" w:hAnsi="Calibri" w:eastAsia="宋体" w:cs="Times New Roman"/>
      <w:sz w:val="18"/>
      <w:szCs w:val="18"/>
    </w:rPr>
  </w:style>
  <w:style w:type="character" w:customStyle="1" w:styleId="540">
    <w:name w:val="_Style 539"/>
    <w:basedOn w:val="38"/>
    <w:qFormat/>
    <w:uiPriority w:val="99"/>
    <w:rPr>
      <w:rFonts w:ascii="Times New Roman" w:hAnsi="Times New Roman" w:eastAsia="宋体" w:cs="Times New Roman"/>
      <w:szCs w:val="21"/>
    </w:rPr>
  </w:style>
  <w:style w:type="character" w:customStyle="1" w:styleId="541">
    <w:name w:val="_Style 540"/>
    <w:basedOn w:val="38"/>
    <w:qFormat/>
    <w:uiPriority w:val="99"/>
    <w:rPr>
      <w:rFonts w:eastAsia="宋体" w:cs="Times New Roman"/>
      <w:color w:val="FF0000"/>
      <w:kern w:val="2"/>
      <w:sz w:val="24"/>
      <w:szCs w:val="24"/>
      <w:lang w:val="en-US" w:eastAsia="zh-CN" w:bidi="ar-SA"/>
    </w:rPr>
  </w:style>
  <w:style w:type="paragraph" w:customStyle="1" w:styleId="542">
    <w:name w:val="_Style 541"/>
    <w:basedOn w:val="501"/>
    <w:qFormat/>
    <w:uiPriority w:val="99"/>
    <w:pPr>
      <w:widowControl/>
      <w:spacing w:before="100" w:after="100"/>
      <w:jc w:val="right"/>
    </w:pPr>
    <w:rPr>
      <w:rFonts w:ascii="Arial Unicode MS" w:hAnsi="Times New Roman" w:eastAsia="Arial Unicode MS"/>
      <w:kern w:val="0"/>
      <w:sz w:val="18"/>
      <w:szCs w:val="18"/>
    </w:rPr>
  </w:style>
  <w:style w:type="paragraph" w:customStyle="1" w:styleId="543">
    <w:name w:val="_Style 542"/>
    <w:basedOn w:val="501"/>
    <w:qFormat/>
    <w:uiPriority w:val="99"/>
    <w:pPr>
      <w:ind w:firstLine="420" w:firstLineChars="200"/>
    </w:pPr>
    <w:rPr>
      <w:szCs w:val="22"/>
    </w:rPr>
  </w:style>
  <w:style w:type="character" w:customStyle="1" w:styleId="544">
    <w:name w:val="_Style 543"/>
    <w:basedOn w:val="538"/>
    <w:qFormat/>
    <w:uiPriority w:val="99"/>
    <w:rPr>
      <w:rFonts w:ascii="Calibri" w:hAnsi="Calibri" w:eastAsia="宋体" w:cs="Times New Roman"/>
      <w:b/>
      <w:bCs/>
      <w:szCs w:val="21"/>
    </w:rPr>
  </w:style>
  <w:style w:type="character" w:customStyle="1" w:styleId="545">
    <w:name w:val="_Style 544"/>
    <w:basedOn w:val="38"/>
    <w:qFormat/>
    <w:uiPriority w:val="99"/>
    <w:rPr>
      <w:rFonts w:ascii="Calibri" w:hAnsi="Calibri" w:eastAsia="宋体" w:cs="Times New Roman"/>
      <w:sz w:val="18"/>
      <w:szCs w:val="18"/>
    </w:rPr>
  </w:style>
  <w:style w:type="character" w:customStyle="1" w:styleId="546">
    <w:name w:val="_Style 545"/>
    <w:basedOn w:val="38"/>
    <w:qFormat/>
    <w:uiPriority w:val="99"/>
    <w:rPr>
      <w:rFonts w:ascii="Calibri" w:hAnsi="Calibri" w:eastAsia="宋体" w:cs="Times New Roman"/>
      <w:sz w:val="18"/>
      <w:szCs w:val="18"/>
    </w:rPr>
  </w:style>
  <w:style w:type="character" w:customStyle="1" w:styleId="547">
    <w:name w:val="_Style 546"/>
    <w:basedOn w:val="38"/>
    <w:qFormat/>
    <w:uiPriority w:val="0"/>
    <w:rPr>
      <w:rFonts w:ascii="宋体" w:hAnsi="Courier New" w:eastAsia="宋体" w:cs="Times New Roman"/>
      <w:szCs w:val="20"/>
    </w:rPr>
  </w:style>
  <w:style w:type="character" w:customStyle="1" w:styleId="548">
    <w:name w:val="_Style 547"/>
    <w:basedOn w:val="38"/>
    <w:qFormat/>
    <w:uiPriority w:val="0"/>
    <w:rPr>
      <w:rFonts w:eastAsia="宋体" w:cs="Times New Roman"/>
      <w:kern w:val="2"/>
      <w:sz w:val="24"/>
      <w:szCs w:val="24"/>
      <w:lang w:val="en-US" w:eastAsia="zh-CN" w:bidi="ar-SA"/>
    </w:rPr>
  </w:style>
  <w:style w:type="character" w:customStyle="1" w:styleId="549">
    <w:name w:val="_Style 548"/>
    <w:basedOn w:val="38"/>
    <w:qFormat/>
    <w:uiPriority w:val="99"/>
    <w:rPr>
      <w:rFonts w:ascii="Times New Roman" w:hAnsi="Times New Roman" w:eastAsia="宋体" w:cs="Times New Roman"/>
      <w:szCs w:val="21"/>
    </w:rPr>
  </w:style>
  <w:style w:type="paragraph" w:customStyle="1" w:styleId="550">
    <w:name w:val="_Style 549"/>
    <w:basedOn w:val="501"/>
    <w:qFormat/>
    <w:uiPriority w:val="99"/>
    <w:pPr>
      <w:widowControl/>
      <w:tabs>
        <w:tab w:val="left" w:pos="709"/>
      </w:tabs>
      <w:overflowPunct w:val="0"/>
      <w:autoSpaceDE w:val="0"/>
      <w:autoSpaceDN w:val="0"/>
      <w:adjustRightInd w:val="0"/>
      <w:textAlignment w:val="baseline"/>
    </w:pPr>
    <w:rPr>
      <w:rFonts w:ascii="Helvetica-Narrow" w:hAnsi="Helvetica-Narrow"/>
      <w:kern w:val="0"/>
      <w:szCs w:val="24"/>
      <w:lang w:val="en-AU"/>
    </w:rPr>
  </w:style>
  <w:style w:type="character" w:customStyle="1" w:styleId="551">
    <w:name w:val="_Style 550"/>
    <w:basedOn w:val="38"/>
    <w:qFormat/>
    <w:uiPriority w:val="99"/>
    <w:rPr>
      <w:rFonts w:ascii="Times New Roman" w:hAnsi="Times New Roman" w:eastAsia="宋体" w:cs="Times New Roman"/>
      <w:szCs w:val="21"/>
    </w:rPr>
  </w:style>
  <w:style w:type="character" w:customStyle="1" w:styleId="552">
    <w:name w:val="_Style 551"/>
    <w:basedOn w:val="38"/>
    <w:qFormat/>
    <w:uiPriority w:val="99"/>
    <w:rPr>
      <w:rFonts w:ascii="Times New Roman" w:hAnsi="Times New Roman" w:eastAsia="宋体" w:cs="Times New Roman"/>
      <w:szCs w:val="21"/>
    </w:rPr>
  </w:style>
  <w:style w:type="paragraph" w:customStyle="1" w:styleId="553">
    <w:name w:val="_Style 552"/>
    <w:basedOn w:val="501"/>
    <w:qFormat/>
    <w:uiPriority w:val="0"/>
    <w:pPr>
      <w:keepNext/>
      <w:keepLines/>
      <w:spacing w:before="60" w:after="60"/>
      <w:ind w:hanging="420" w:hangingChars="200"/>
      <w:outlineLvl w:val="4"/>
    </w:pPr>
    <w:rPr>
      <w:rFonts w:ascii="宋体" w:hAnsi="宋体"/>
      <w:b/>
      <w:bCs/>
    </w:rPr>
  </w:style>
  <w:style w:type="paragraph" w:customStyle="1" w:styleId="554">
    <w:name w:val="_Style 553"/>
    <w:semiHidden/>
    <w:qFormat/>
    <w:uiPriority w:val="99"/>
    <w:rPr>
      <w:rFonts w:ascii="Calibri" w:hAnsi="Calibri" w:eastAsia="宋体" w:cs="Times New Roman"/>
      <w:kern w:val="2"/>
      <w:sz w:val="21"/>
      <w:szCs w:val="22"/>
      <w:lang w:val="en-US" w:eastAsia="zh-CN" w:bidi="ar-SA"/>
    </w:rPr>
  </w:style>
  <w:style w:type="character" w:customStyle="1" w:styleId="555">
    <w:name w:val="_Style 554"/>
    <w:basedOn w:val="38"/>
    <w:qFormat/>
    <w:uiPriority w:val="0"/>
    <w:rPr>
      <w:kern w:val="2"/>
      <w:sz w:val="21"/>
      <w:szCs w:val="24"/>
    </w:rPr>
  </w:style>
  <w:style w:type="paragraph" w:customStyle="1" w:styleId="556">
    <w:name w:val="_Style 555"/>
    <w:basedOn w:val="501"/>
    <w:qFormat/>
    <w:uiPriority w:val="0"/>
    <w:pPr>
      <w:spacing w:before="100" w:after="100"/>
    </w:pPr>
    <w:rPr>
      <w:szCs w:val="24"/>
    </w:rPr>
  </w:style>
  <w:style w:type="character" w:customStyle="1" w:styleId="557">
    <w:name w:val="_Style 556"/>
    <w:basedOn w:val="38"/>
    <w:semiHidden/>
    <w:qFormat/>
    <w:uiPriority w:val="99"/>
    <w:rPr>
      <w:rFonts w:ascii="宋体"/>
      <w:kern w:val="2"/>
      <w:sz w:val="18"/>
      <w:szCs w:val="18"/>
    </w:rPr>
  </w:style>
  <w:style w:type="character" w:customStyle="1" w:styleId="558">
    <w:name w:val="_Style 557"/>
    <w:basedOn w:val="38"/>
    <w:qFormat/>
    <w:uiPriority w:val="99"/>
    <w:rPr>
      <w:color w:val="auto"/>
    </w:rPr>
  </w:style>
  <w:style w:type="character" w:customStyle="1" w:styleId="559">
    <w:name w:val="_Style 558"/>
    <w:basedOn w:val="38"/>
    <w:qFormat/>
    <w:uiPriority w:val="10"/>
    <w:rPr>
      <w:rFonts w:asciiTheme="majorHAnsi" w:hAnsiTheme="majorHAnsi" w:cstheme="majorBidi"/>
      <w:b/>
      <w:bCs/>
      <w:kern w:val="2"/>
      <w:sz w:val="32"/>
      <w:szCs w:val="32"/>
    </w:rPr>
  </w:style>
  <w:style w:type="paragraph" w:customStyle="1" w:styleId="560">
    <w:name w:val="_Style 559"/>
    <w:qFormat/>
    <w:uiPriority w:val="1"/>
    <w:pPr>
      <w:widowControl w:val="0"/>
      <w:jc w:val="both"/>
    </w:pPr>
    <w:rPr>
      <w:rFonts w:ascii="Calibri" w:hAnsi="Calibri" w:eastAsia="宋体" w:cs="Times New Roman"/>
      <w:kern w:val="2"/>
      <w:sz w:val="21"/>
      <w:szCs w:val="22"/>
      <w:lang w:val="en-US" w:eastAsia="zh-CN" w:bidi="ar-SA"/>
    </w:rPr>
  </w:style>
  <w:style w:type="character" w:customStyle="1" w:styleId="561">
    <w:name w:val="_Style 560"/>
    <w:basedOn w:val="38"/>
    <w:qFormat/>
    <w:uiPriority w:val="9"/>
    <w:rPr>
      <w:rFonts w:asciiTheme="majorHAnsi" w:hAnsiTheme="majorHAnsi" w:cstheme="majorBidi"/>
      <w:b/>
      <w:bCs/>
      <w:sz w:val="21"/>
      <w:szCs w:val="24"/>
    </w:rPr>
  </w:style>
  <w:style w:type="character" w:customStyle="1" w:styleId="562">
    <w:name w:val="_Style 561"/>
    <w:basedOn w:val="38"/>
    <w:semiHidden/>
    <w:qFormat/>
    <w:uiPriority w:val="99"/>
    <w:rPr>
      <w:rFonts w:ascii="宋体" w:hAnsi="宋体" w:cs="宋体"/>
      <w:sz w:val="21"/>
      <w:szCs w:val="24"/>
    </w:rPr>
  </w:style>
  <w:style w:type="character" w:customStyle="1" w:styleId="563">
    <w:name w:val="_Style 562"/>
    <w:basedOn w:val="538"/>
    <w:semiHidden/>
    <w:qFormat/>
    <w:uiPriority w:val="99"/>
    <w:rPr>
      <w:rFonts w:ascii="Times New Roman" w:hAnsi="Times New Roman" w:eastAsia="宋体" w:cs="Times New Roman"/>
      <w:b/>
      <w:bCs/>
      <w:szCs w:val="21"/>
    </w:rPr>
  </w:style>
  <w:style w:type="character" w:customStyle="1" w:styleId="564">
    <w:name w:val="_Style 563"/>
    <w:basedOn w:val="38"/>
    <w:qFormat/>
    <w:uiPriority w:val="0"/>
  </w:style>
  <w:style w:type="paragraph" w:customStyle="1" w:styleId="565">
    <w:name w:val="_Style 564"/>
    <w:basedOn w:val="501"/>
    <w:next w:val="1"/>
    <w:qFormat/>
    <w:uiPriority w:val="0"/>
    <w:pPr>
      <w:keepNext/>
      <w:keepLines/>
      <w:spacing w:before="100" w:beforeAutospacing="1" w:after="100" w:afterAutospacing="1" w:line="415" w:lineRule="auto"/>
    </w:pPr>
    <w:rPr>
      <w:rFonts w:ascii="Times New Roman" w:hAnsi="Times New Roman"/>
      <w:b/>
      <w:szCs w:val="24"/>
    </w:rPr>
  </w:style>
  <w:style w:type="character" w:customStyle="1" w:styleId="566">
    <w:name w:val="_Style 565"/>
    <w:basedOn w:val="38"/>
    <w:qFormat/>
    <w:uiPriority w:val="0"/>
    <w:rPr>
      <w:rFonts w:ascii="Times New Roman" w:hAnsi="Times New Roman"/>
      <w:b/>
      <w:kern w:val="2"/>
      <w:sz w:val="21"/>
      <w:szCs w:val="24"/>
    </w:rPr>
  </w:style>
  <w:style w:type="character" w:customStyle="1" w:styleId="567">
    <w:name w:val="_Style 566"/>
    <w:basedOn w:val="38"/>
    <w:qFormat/>
    <w:uiPriority w:val="9"/>
    <w:rPr>
      <w:rFonts w:ascii="宋体" w:hAnsi="宋体" w:cs="宋体"/>
      <w:b/>
      <w:bCs/>
      <w:sz w:val="24"/>
      <w:szCs w:val="24"/>
    </w:rPr>
  </w:style>
  <w:style w:type="character" w:customStyle="1" w:styleId="568">
    <w:name w:val="_Style 567"/>
    <w:basedOn w:val="538"/>
    <w:semiHidden/>
    <w:qFormat/>
    <w:uiPriority w:val="99"/>
    <w:rPr>
      <w:rFonts w:ascii="Times New Roman" w:hAnsi="Times New Roman" w:eastAsia="宋体" w:cs="Times New Roman"/>
      <w:b/>
      <w:bCs/>
      <w:szCs w:val="21"/>
    </w:rPr>
  </w:style>
  <w:style w:type="character" w:customStyle="1" w:styleId="569">
    <w:name w:val="_Style 568"/>
    <w:qFormat/>
    <w:uiPriority w:val="9"/>
    <w:rPr>
      <w:rFonts w:ascii="Cambria" w:hAnsi="Cambria"/>
      <w:b/>
      <w:bCs/>
      <w:kern w:val="2"/>
      <w:sz w:val="21"/>
      <w:szCs w:val="28"/>
    </w:rPr>
  </w:style>
  <w:style w:type="paragraph" w:customStyle="1" w:styleId="570">
    <w:name w:val="_Style 569"/>
    <w:basedOn w:val="501"/>
    <w:qFormat/>
    <w:uiPriority w:val="34"/>
    <w:pPr>
      <w:ind w:firstLine="420" w:firstLineChars="200"/>
    </w:pPr>
    <w:rPr>
      <w:szCs w:val="22"/>
    </w:rPr>
  </w:style>
  <w:style w:type="paragraph" w:customStyle="1" w:styleId="571">
    <w:name w:val="_Style 570"/>
    <w:basedOn w:val="501"/>
    <w:qFormat/>
    <w:uiPriority w:val="34"/>
    <w:pPr>
      <w:ind w:firstLine="420" w:firstLineChars="200"/>
    </w:pPr>
    <w:rPr>
      <w:szCs w:val="22"/>
    </w:rPr>
  </w:style>
  <w:style w:type="character" w:customStyle="1" w:styleId="572">
    <w:name w:val="_Style 571"/>
    <w:qFormat/>
    <w:uiPriority w:val="9"/>
    <w:rPr>
      <w:b/>
      <w:bCs/>
      <w:kern w:val="2"/>
      <w:sz w:val="21"/>
      <w:szCs w:val="32"/>
    </w:rPr>
  </w:style>
  <w:style w:type="paragraph" w:customStyle="1" w:styleId="573">
    <w:name w:val="_Style 572"/>
    <w:basedOn w:val="501"/>
    <w:qFormat/>
    <w:uiPriority w:val="34"/>
    <w:pPr>
      <w:ind w:firstLine="420" w:firstLineChars="200"/>
    </w:pPr>
    <w:rPr>
      <w:szCs w:val="22"/>
    </w:rPr>
  </w:style>
  <w:style w:type="paragraph" w:customStyle="1" w:styleId="574">
    <w:name w:val="_Style 573"/>
    <w:basedOn w:val="501"/>
    <w:qFormat/>
    <w:uiPriority w:val="34"/>
    <w:pPr>
      <w:ind w:firstLine="420" w:firstLineChars="200"/>
    </w:pPr>
    <w:rPr>
      <w:szCs w:val="22"/>
    </w:rPr>
  </w:style>
  <w:style w:type="paragraph" w:customStyle="1" w:styleId="575">
    <w:name w:val="_Style 574"/>
    <w:basedOn w:val="501"/>
    <w:qFormat/>
    <w:uiPriority w:val="1"/>
    <w:pPr>
      <w:autoSpaceDE w:val="0"/>
      <w:autoSpaceDN w:val="0"/>
      <w:spacing w:after="160" w:line="259" w:lineRule="auto"/>
      <w:jc w:val="left"/>
    </w:pPr>
    <w:rPr>
      <w:rFonts w:ascii="Noto Sans CJK JP Regular" w:hAnsi="Noto Sans CJK JP Regular" w:eastAsia="Noto Sans CJK JP Regular" w:cs="Noto Sans CJK JP Regular"/>
      <w:kern w:val="0"/>
      <w:sz w:val="22"/>
      <w:szCs w:val="22"/>
      <w:lang w:eastAsia="en-US"/>
    </w:rPr>
  </w:style>
  <w:style w:type="character" w:customStyle="1" w:styleId="576">
    <w:name w:val="_Style 575"/>
    <w:qFormat/>
    <w:uiPriority w:val="0"/>
    <w:rPr>
      <w:rFonts w:ascii="Times New Roman" w:hAnsi="Times New Roman"/>
      <w:kern w:val="2"/>
      <w:sz w:val="21"/>
      <w:szCs w:val="21"/>
    </w:rPr>
  </w:style>
  <w:style w:type="character" w:customStyle="1" w:styleId="577">
    <w:name w:val="_Style 576"/>
    <w:qFormat/>
    <w:uiPriority w:val="9"/>
    <w:rPr>
      <w:b/>
      <w:bCs/>
      <w:kern w:val="2"/>
      <w:sz w:val="21"/>
      <w:szCs w:val="32"/>
    </w:rPr>
  </w:style>
  <w:style w:type="character" w:customStyle="1" w:styleId="578">
    <w:name w:val="_Style 577"/>
    <w:qFormat/>
    <w:uiPriority w:val="0"/>
    <w:rPr>
      <w:rFonts w:ascii="Arial" w:hAnsi="Arial"/>
      <w:b/>
      <w:bCs/>
      <w:kern w:val="2"/>
      <w:sz w:val="21"/>
      <w:szCs w:val="21"/>
    </w:rPr>
  </w:style>
  <w:style w:type="character" w:customStyle="1" w:styleId="579">
    <w:name w:val="_Style 578"/>
    <w:qFormat/>
    <w:uiPriority w:val="9"/>
    <w:rPr>
      <w:b/>
      <w:bCs/>
      <w:kern w:val="2"/>
      <w:sz w:val="21"/>
      <w:szCs w:val="28"/>
    </w:rPr>
  </w:style>
  <w:style w:type="paragraph" w:customStyle="1" w:styleId="580">
    <w:name w:val="_Style 579"/>
    <w:basedOn w:val="501"/>
    <w:qFormat/>
    <w:uiPriority w:val="34"/>
    <w:pPr>
      <w:ind w:firstLine="420" w:firstLineChars="200"/>
    </w:pPr>
    <w:rPr>
      <w:szCs w:val="22"/>
    </w:rPr>
  </w:style>
  <w:style w:type="character" w:customStyle="1" w:styleId="581">
    <w:name w:val="_Style 580"/>
    <w:qFormat/>
    <w:uiPriority w:val="0"/>
    <w:rPr>
      <w:rFonts w:hint="default" w:ascii="FZLTSK--GBK1-0" w:hAnsi="FZLTSK--GBK1-0"/>
      <w:color w:val="000000"/>
      <w:sz w:val="20"/>
      <w:szCs w:val="20"/>
    </w:rPr>
  </w:style>
  <w:style w:type="paragraph" w:customStyle="1" w:styleId="582">
    <w:name w:val="_Style 581"/>
    <w:basedOn w:val="501"/>
    <w:qFormat/>
    <w:uiPriority w:val="34"/>
    <w:pPr>
      <w:ind w:firstLine="420" w:firstLineChars="200"/>
    </w:pPr>
    <w:rPr>
      <w:szCs w:val="22"/>
    </w:rPr>
  </w:style>
  <w:style w:type="character" w:customStyle="1" w:styleId="583">
    <w:name w:val="_Style 582"/>
    <w:qFormat/>
    <w:uiPriority w:val="0"/>
    <w:rPr>
      <w:rFonts w:ascii="Arial" w:hAnsi="Arial"/>
      <w:b/>
      <w:bCs/>
      <w:kern w:val="2"/>
      <w:sz w:val="21"/>
      <w:szCs w:val="21"/>
    </w:rPr>
  </w:style>
  <w:style w:type="paragraph" w:customStyle="1" w:styleId="584">
    <w:name w:val="_Style 583"/>
    <w:basedOn w:val="501"/>
    <w:qFormat/>
    <w:uiPriority w:val="34"/>
    <w:pPr>
      <w:ind w:firstLine="420" w:firstLineChars="200"/>
    </w:pPr>
    <w:rPr>
      <w:szCs w:val="22"/>
    </w:rPr>
  </w:style>
  <w:style w:type="paragraph" w:customStyle="1" w:styleId="585">
    <w:name w:val="_Style 584"/>
    <w:qFormat/>
    <w:uiPriority w:val="0"/>
    <w:rPr>
      <w:rFonts w:ascii="宋体" w:hAnsi="宋体" w:cs="宋体" w:eastAsiaTheme="minorEastAsia"/>
      <w:kern w:val="2"/>
      <w:sz w:val="21"/>
      <w:szCs w:val="24"/>
      <w:lang w:val="en-US" w:eastAsia="zh-CN" w:bidi="ar-SA"/>
    </w:rPr>
  </w:style>
  <w:style w:type="paragraph" w:customStyle="1" w:styleId="586">
    <w:name w:val="_Style 585"/>
    <w:qFormat/>
    <w:uiPriority w:val="0"/>
    <w:rPr>
      <w:rFonts w:ascii="宋体" w:hAnsi="宋体" w:cs="宋体" w:eastAsiaTheme="minorEastAsia"/>
      <w:kern w:val="2"/>
      <w:sz w:val="21"/>
      <w:szCs w:val="24"/>
      <w:lang w:val="en-US" w:eastAsia="zh-CN" w:bidi="ar-SA"/>
    </w:rPr>
  </w:style>
  <w:style w:type="paragraph" w:customStyle="1" w:styleId="587">
    <w:name w:val="_Style 586"/>
    <w:basedOn w:val="501"/>
    <w:qFormat/>
    <w:uiPriority w:val="0"/>
    <w:pPr>
      <w:pBdr>
        <w:bottom w:val="single" w:color="auto" w:sz="6" w:space="1"/>
      </w:pBdr>
      <w:tabs>
        <w:tab w:val="center" w:pos="4153"/>
        <w:tab w:val="right" w:pos="8306"/>
      </w:tabs>
      <w:snapToGrid w:val="0"/>
      <w:jc w:val="center"/>
    </w:pPr>
    <w:rPr>
      <w:sz w:val="18"/>
      <w:szCs w:val="18"/>
    </w:rPr>
  </w:style>
  <w:style w:type="character" w:customStyle="1" w:styleId="588">
    <w:name w:val="_Style 587"/>
    <w:basedOn w:val="38"/>
    <w:qFormat/>
    <w:uiPriority w:val="99"/>
    <w:rPr>
      <w:rFonts w:ascii="宋体" w:hAnsi="宋体" w:cs="宋体"/>
      <w:sz w:val="24"/>
      <w:szCs w:val="24"/>
    </w:rPr>
  </w:style>
  <w:style w:type="character" w:customStyle="1" w:styleId="589">
    <w:name w:val="_Style 588"/>
    <w:basedOn w:val="38"/>
    <w:qFormat/>
    <w:uiPriority w:val="99"/>
    <w:rPr>
      <w:kern w:val="2"/>
      <w:szCs w:val="22"/>
    </w:rPr>
  </w:style>
  <w:style w:type="character" w:customStyle="1" w:styleId="590">
    <w:name w:val="_Style 589"/>
    <w:basedOn w:val="38"/>
    <w:qFormat/>
    <w:uiPriority w:val="1"/>
    <w:rPr>
      <w:kern w:val="2"/>
      <w:szCs w:val="22"/>
    </w:rPr>
  </w:style>
  <w:style w:type="character" w:customStyle="1" w:styleId="591">
    <w:name w:val="_Style 590"/>
    <w:basedOn w:val="38"/>
    <w:unhideWhenUsed/>
    <w:qFormat/>
    <w:uiPriority w:val="0"/>
    <w:rPr>
      <w:rFonts w:ascii="Times New Roman" w:hAnsi="Times New Roman"/>
      <w:kern w:val="2"/>
    </w:rPr>
  </w:style>
  <w:style w:type="paragraph" w:customStyle="1" w:styleId="592">
    <w:name w:val="_Style 591"/>
    <w:basedOn w:val="501"/>
    <w:next w:val="1"/>
    <w:qFormat/>
    <w:uiPriority w:val="99"/>
    <w:pPr>
      <w:keepNext/>
      <w:keepLines/>
      <w:spacing w:before="60" w:after="60" w:line="360" w:lineRule="auto"/>
      <w:jc w:val="center"/>
      <w:outlineLvl w:val="0"/>
    </w:pPr>
    <w:rPr>
      <w:rFonts w:eastAsia="黑体"/>
      <w:b/>
      <w:bCs/>
      <w:kern w:val="44"/>
      <w:sz w:val="28"/>
      <w:szCs w:val="44"/>
    </w:rPr>
  </w:style>
  <w:style w:type="character" w:customStyle="1" w:styleId="593">
    <w:name w:val="索引 1 字符1"/>
    <w:basedOn w:val="38"/>
    <w:link w:val="33"/>
    <w:semiHidden/>
    <w:qFormat/>
    <w:uiPriority w:val="99"/>
    <w:rPr>
      <w:kern w:val="2"/>
      <w:szCs w:val="22"/>
    </w:rPr>
  </w:style>
  <w:style w:type="paragraph" w:customStyle="1" w:styleId="594">
    <w:name w:val="_Style 593"/>
    <w:basedOn w:val="531"/>
    <w:next w:val="1"/>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customStyle="1" w:styleId="595">
    <w:name w:val="_Style 594"/>
    <w:basedOn w:val="531"/>
    <w:next w:val="1"/>
    <w:qFormat/>
    <w:uiPriority w:val="0"/>
    <w:pPr>
      <w:keepNext/>
      <w:keepLines/>
      <w:widowControl w:val="0"/>
      <w:spacing w:before="60" w:after="60"/>
      <w:jc w:val="both"/>
      <w:outlineLvl w:val="1"/>
    </w:pPr>
    <w:rPr>
      <w:rFonts w:ascii="Arial" w:hAnsi="Arial" w:cs="Times New Roman"/>
      <w:b/>
      <w:bCs/>
      <w:kern w:val="2"/>
      <w:szCs w:val="21"/>
    </w:rPr>
  </w:style>
  <w:style w:type="paragraph" w:customStyle="1" w:styleId="596">
    <w:name w:val="_Style 595"/>
    <w:basedOn w:val="531"/>
    <w:next w:val="1"/>
    <w:unhideWhenUsed/>
    <w:qFormat/>
    <w:uiPriority w:val="39"/>
    <w:pPr>
      <w:widowControl w:val="0"/>
      <w:ind w:left="2520" w:leftChars="1200"/>
      <w:jc w:val="both"/>
    </w:pPr>
    <w:rPr>
      <w:rFonts w:asciiTheme="minorHAnsi" w:hAnsiTheme="minorHAnsi" w:eastAsiaTheme="minorEastAsia" w:cstheme="minorBidi"/>
      <w:kern w:val="2"/>
      <w:szCs w:val="22"/>
    </w:rPr>
  </w:style>
  <w:style w:type="paragraph" w:customStyle="1" w:styleId="597">
    <w:name w:val="_Style 596"/>
    <w:basedOn w:val="531"/>
    <w:qFormat/>
    <w:uiPriority w:val="0"/>
    <w:pPr>
      <w:widowControl w:val="0"/>
      <w:ind w:firstLine="420" w:firstLineChars="200"/>
      <w:jc w:val="both"/>
    </w:pPr>
    <w:rPr>
      <w:rFonts w:ascii="Times New Roman" w:hAnsi="Times New Roman" w:cs="Times New Roman"/>
      <w:kern w:val="2"/>
      <w:szCs w:val="21"/>
    </w:rPr>
  </w:style>
  <w:style w:type="paragraph" w:customStyle="1" w:styleId="598">
    <w:name w:val="_Style 597"/>
    <w:basedOn w:val="531"/>
    <w:semiHidden/>
    <w:unhideWhenUsed/>
    <w:qFormat/>
    <w:uiPriority w:val="99"/>
    <w:pPr>
      <w:widowControl w:val="0"/>
      <w:jc w:val="both"/>
    </w:pPr>
    <w:rPr>
      <w:rFonts w:hAnsi="Calibri" w:cs="Times New Roman"/>
      <w:kern w:val="2"/>
      <w:sz w:val="18"/>
      <w:szCs w:val="18"/>
    </w:rPr>
  </w:style>
  <w:style w:type="paragraph" w:customStyle="1" w:styleId="599">
    <w:name w:val="_Style 598"/>
    <w:basedOn w:val="531"/>
    <w:next w:val="1"/>
    <w:semiHidden/>
    <w:qFormat/>
    <w:uiPriority w:val="0"/>
    <w:pPr>
      <w:widowControl w:val="0"/>
      <w:spacing w:before="120"/>
      <w:jc w:val="both"/>
    </w:pPr>
    <w:rPr>
      <w:rFonts w:ascii="Arial" w:hAnsi="Arial" w:cs="Times New Roman"/>
      <w:b/>
      <w:bCs/>
      <w:kern w:val="2"/>
      <w:szCs w:val="21"/>
    </w:rPr>
  </w:style>
  <w:style w:type="paragraph" w:customStyle="1" w:styleId="600">
    <w:name w:val="_Style 599"/>
    <w:basedOn w:val="531"/>
    <w:qFormat/>
    <w:uiPriority w:val="0"/>
    <w:pPr>
      <w:widowControl w:val="0"/>
    </w:pPr>
    <w:rPr>
      <w:rFonts w:ascii="Times New Roman" w:hAnsi="Times New Roman" w:cs="Times New Roman"/>
      <w:kern w:val="2"/>
      <w:szCs w:val="21"/>
    </w:rPr>
  </w:style>
  <w:style w:type="paragraph" w:customStyle="1" w:styleId="601">
    <w:name w:val="_Style 600"/>
    <w:basedOn w:val="531"/>
    <w:next w:val="1"/>
    <w:qFormat/>
    <w:uiPriority w:val="99"/>
    <w:pPr>
      <w:widowControl w:val="0"/>
      <w:jc w:val="both"/>
    </w:pPr>
    <w:rPr>
      <w:rFonts w:ascii="Times New Roman" w:hAnsi="Times New Roman" w:cs="Times New Roman"/>
      <w:kern w:val="2"/>
      <w:szCs w:val="21"/>
    </w:rPr>
  </w:style>
  <w:style w:type="paragraph" w:customStyle="1" w:styleId="602">
    <w:name w:val="_Style 601"/>
    <w:basedOn w:val="531"/>
    <w:qFormat/>
    <w:uiPriority w:val="99"/>
    <w:pPr>
      <w:widowControl w:val="0"/>
      <w:spacing w:after="120"/>
      <w:jc w:val="both"/>
    </w:pPr>
    <w:rPr>
      <w:rFonts w:ascii="Times New Roman" w:hAnsi="Times New Roman" w:cs="Times New Roman"/>
      <w:kern w:val="2"/>
      <w:szCs w:val="21"/>
    </w:rPr>
  </w:style>
  <w:style w:type="paragraph" w:customStyle="1" w:styleId="603">
    <w:name w:val="_Style 602"/>
    <w:basedOn w:val="531"/>
    <w:next w:val="1"/>
    <w:unhideWhenUsed/>
    <w:qFormat/>
    <w:uiPriority w:val="39"/>
    <w:pPr>
      <w:widowControl w:val="0"/>
      <w:ind w:left="1680" w:leftChars="800"/>
      <w:jc w:val="both"/>
    </w:pPr>
    <w:rPr>
      <w:rFonts w:asciiTheme="minorHAnsi" w:hAnsiTheme="minorHAnsi" w:eastAsiaTheme="minorEastAsia" w:cstheme="minorBidi"/>
      <w:kern w:val="2"/>
      <w:szCs w:val="22"/>
    </w:rPr>
  </w:style>
  <w:style w:type="paragraph" w:customStyle="1" w:styleId="604">
    <w:name w:val="_Style 603"/>
    <w:basedOn w:val="531"/>
    <w:next w:val="1"/>
    <w:unhideWhenUsed/>
    <w:qFormat/>
    <w:uiPriority w:val="39"/>
    <w:pPr>
      <w:spacing w:after="100" w:line="276" w:lineRule="auto"/>
      <w:ind w:left="440"/>
    </w:pPr>
    <w:rPr>
      <w:rFonts w:ascii="Calibri" w:hAnsi="Calibri" w:cs="Times New Roman"/>
      <w:sz w:val="22"/>
      <w:szCs w:val="22"/>
    </w:rPr>
  </w:style>
  <w:style w:type="paragraph" w:customStyle="1" w:styleId="605">
    <w:name w:val="_Style 604"/>
    <w:basedOn w:val="531"/>
    <w:qFormat/>
    <w:uiPriority w:val="0"/>
    <w:pPr>
      <w:widowControl w:val="0"/>
      <w:jc w:val="both"/>
    </w:pPr>
    <w:rPr>
      <w:rFonts w:hAnsi="Courier New" w:cs="Times New Roman"/>
      <w:kern w:val="2"/>
      <w:szCs w:val="20"/>
    </w:rPr>
  </w:style>
  <w:style w:type="paragraph" w:customStyle="1" w:styleId="606">
    <w:name w:val="_Style 605"/>
    <w:basedOn w:val="531"/>
    <w:next w:val="1"/>
    <w:unhideWhenUsed/>
    <w:qFormat/>
    <w:uiPriority w:val="39"/>
    <w:pPr>
      <w:widowControl w:val="0"/>
      <w:ind w:left="2940" w:leftChars="1400"/>
      <w:jc w:val="both"/>
    </w:pPr>
    <w:rPr>
      <w:rFonts w:asciiTheme="minorHAnsi" w:hAnsiTheme="minorHAnsi" w:eastAsiaTheme="minorEastAsia" w:cstheme="minorBidi"/>
      <w:kern w:val="2"/>
      <w:szCs w:val="22"/>
    </w:rPr>
  </w:style>
  <w:style w:type="paragraph" w:customStyle="1" w:styleId="607">
    <w:name w:val="_Style 606"/>
    <w:basedOn w:val="531"/>
    <w:next w:val="1"/>
    <w:qFormat/>
    <w:uiPriority w:val="99"/>
    <w:pPr>
      <w:widowControl w:val="0"/>
      <w:ind w:left="100" w:leftChars="2500"/>
      <w:jc w:val="both"/>
    </w:pPr>
    <w:rPr>
      <w:rFonts w:ascii="Times New Roman" w:hAnsi="Times New Roman" w:cs="Times New Roman"/>
      <w:kern w:val="2"/>
      <w:szCs w:val="21"/>
    </w:rPr>
  </w:style>
  <w:style w:type="paragraph" w:customStyle="1" w:styleId="608">
    <w:name w:val="_Style 607"/>
    <w:basedOn w:val="531"/>
    <w:semiHidden/>
    <w:unhideWhenUsed/>
    <w:qFormat/>
    <w:uiPriority w:val="99"/>
    <w:pPr>
      <w:snapToGrid w:val="0"/>
    </w:pPr>
  </w:style>
  <w:style w:type="paragraph" w:customStyle="1" w:styleId="609">
    <w:name w:val="_Style 608"/>
    <w:basedOn w:val="531"/>
    <w:unhideWhenUsed/>
    <w:qFormat/>
    <w:uiPriority w:val="99"/>
    <w:pPr>
      <w:widowControl w:val="0"/>
      <w:jc w:val="both"/>
    </w:pPr>
    <w:rPr>
      <w:rFonts w:ascii="Calibri" w:hAnsi="Calibri" w:cs="Times New Roman"/>
      <w:kern w:val="2"/>
      <w:sz w:val="18"/>
      <w:szCs w:val="18"/>
    </w:rPr>
  </w:style>
  <w:style w:type="paragraph" w:customStyle="1" w:styleId="610">
    <w:name w:val="_Style 609"/>
    <w:basedOn w:val="531"/>
    <w:unhideWhenUsed/>
    <w:qFormat/>
    <w:uiPriority w:val="99"/>
    <w:pPr>
      <w:widowControl w:val="0"/>
      <w:tabs>
        <w:tab w:val="center" w:pos="4153"/>
        <w:tab w:val="right" w:pos="8306"/>
      </w:tabs>
      <w:snapToGrid w:val="0"/>
    </w:pPr>
    <w:rPr>
      <w:rFonts w:ascii="Calibri" w:hAnsi="Calibri" w:cs="Times New Roman"/>
      <w:kern w:val="2"/>
      <w:sz w:val="18"/>
      <w:szCs w:val="18"/>
    </w:rPr>
  </w:style>
  <w:style w:type="paragraph" w:customStyle="1" w:styleId="611">
    <w:name w:val="_Style 610"/>
    <w:basedOn w:val="531"/>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customStyle="1" w:styleId="612">
    <w:name w:val="_Style 611"/>
    <w:basedOn w:val="531"/>
    <w:next w:val="1"/>
    <w:qFormat/>
    <w:uiPriority w:val="39"/>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613">
    <w:name w:val="_Style 612"/>
    <w:basedOn w:val="531"/>
    <w:next w:val="1"/>
    <w:unhideWhenUsed/>
    <w:qFormat/>
    <w:uiPriority w:val="39"/>
    <w:pPr>
      <w:widowControl w:val="0"/>
      <w:ind w:left="1260" w:leftChars="600"/>
      <w:jc w:val="both"/>
    </w:pPr>
    <w:rPr>
      <w:rFonts w:asciiTheme="minorHAnsi" w:hAnsiTheme="minorHAnsi" w:eastAsiaTheme="minorEastAsia" w:cstheme="minorBidi"/>
      <w:kern w:val="2"/>
      <w:szCs w:val="22"/>
    </w:rPr>
  </w:style>
  <w:style w:type="paragraph" w:customStyle="1" w:styleId="614">
    <w:name w:val="_Style 613"/>
    <w:basedOn w:val="531"/>
    <w:next w:val="1"/>
    <w:unhideWhenUsed/>
    <w:qFormat/>
    <w:uiPriority w:val="39"/>
    <w:pPr>
      <w:widowControl w:val="0"/>
      <w:ind w:left="2100" w:leftChars="1000"/>
      <w:jc w:val="both"/>
    </w:pPr>
    <w:rPr>
      <w:rFonts w:asciiTheme="minorHAnsi" w:hAnsiTheme="minorHAnsi" w:eastAsiaTheme="minorEastAsia" w:cstheme="minorBidi"/>
      <w:kern w:val="2"/>
      <w:szCs w:val="22"/>
    </w:rPr>
  </w:style>
  <w:style w:type="paragraph" w:customStyle="1" w:styleId="615">
    <w:name w:val="_Style 614"/>
    <w:basedOn w:val="531"/>
    <w:next w:val="1"/>
    <w:qFormat/>
    <w:uiPriority w:val="39"/>
    <w:pPr>
      <w:widowControl w:val="0"/>
      <w:ind w:left="420" w:leftChars="200"/>
      <w:jc w:val="both"/>
    </w:pPr>
    <w:rPr>
      <w:rFonts w:ascii="Times New Roman" w:hAnsi="Times New Roman" w:cs="Times New Roman"/>
      <w:kern w:val="2"/>
      <w:szCs w:val="21"/>
    </w:rPr>
  </w:style>
  <w:style w:type="paragraph" w:customStyle="1" w:styleId="616">
    <w:name w:val="_Style 615"/>
    <w:basedOn w:val="531"/>
    <w:next w:val="1"/>
    <w:unhideWhenUsed/>
    <w:qFormat/>
    <w:uiPriority w:val="39"/>
    <w:pPr>
      <w:widowControl w:val="0"/>
      <w:ind w:left="3360" w:leftChars="1600"/>
      <w:jc w:val="both"/>
    </w:pPr>
    <w:rPr>
      <w:rFonts w:asciiTheme="minorHAnsi" w:hAnsiTheme="minorHAnsi" w:eastAsiaTheme="minorEastAsia" w:cstheme="minorBidi"/>
      <w:kern w:val="2"/>
      <w:szCs w:val="22"/>
    </w:rPr>
  </w:style>
  <w:style w:type="paragraph" w:customStyle="1" w:styleId="617">
    <w:name w:val="_Style 616"/>
    <w:basedOn w:val="531"/>
    <w:qFormat/>
    <w:uiPriority w:val="99"/>
    <w:pPr>
      <w:spacing w:before="100" w:beforeAutospacing="1" w:after="100" w:afterAutospacing="1"/>
    </w:pPr>
    <w:rPr>
      <w:sz w:val="24"/>
    </w:rPr>
  </w:style>
  <w:style w:type="paragraph" w:customStyle="1" w:styleId="618">
    <w:name w:val="_Style 617"/>
    <w:basedOn w:val="531"/>
    <w:next w:val="1"/>
    <w:semiHidden/>
    <w:qFormat/>
    <w:uiPriority w:val="0"/>
    <w:pPr>
      <w:ind w:firstLine="420" w:firstLineChars="200"/>
    </w:pPr>
    <w:rPr>
      <w:rFonts w:cs="Times New Roman"/>
      <w:color w:val="000000"/>
      <w:szCs w:val="21"/>
    </w:rPr>
  </w:style>
  <w:style w:type="paragraph" w:customStyle="1" w:styleId="619">
    <w:name w:val="_Style 618"/>
    <w:basedOn w:val="531"/>
    <w:next w:val="1"/>
    <w:qFormat/>
    <w:uiPriority w:val="10"/>
    <w:pPr>
      <w:widowControl w:val="0"/>
      <w:spacing w:before="240" w:after="60"/>
      <w:jc w:val="center"/>
      <w:outlineLvl w:val="0"/>
    </w:pPr>
    <w:rPr>
      <w:rFonts w:asciiTheme="majorHAnsi" w:hAnsiTheme="majorHAnsi" w:cstheme="majorBidi"/>
      <w:b/>
      <w:bCs/>
      <w:kern w:val="2"/>
      <w:sz w:val="32"/>
      <w:szCs w:val="32"/>
    </w:rPr>
  </w:style>
  <w:style w:type="paragraph" w:customStyle="1" w:styleId="620">
    <w:name w:val="_Style 619"/>
    <w:basedOn w:val="600"/>
    <w:unhideWhenUsed/>
    <w:qFormat/>
    <w:uiPriority w:val="99"/>
    <w:rPr>
      <w:rFonts w:ascii="Calibri" w:hAnsi="Calibri"/>
      <w:b/>
      <w:bCs/>
      <w:szCs w:val="22"/>
    </w:rPr>
  </w:style>
  <w:style w:type="character" w:customStyle="1" w:styleId="621">
    <w:name w:val="_Style 620"/>
    <w:basedOn w:val="38"/>
    <w:semiHidden/>
    <w:unhideWhenUsed/>
    <w:qFormat/>
    <w:uiPriority w:val="99"/>
    <w:rPr>
      <w:vertAlign w:val="superscript"/>
    </w:rPr>
  </w:style>
  <w:style w:type="character" w:customStyle="1" w:styleId="622">
    <w:name w:val="_Style 621"/>
    <w:basedOn w:val="38"/>
    <w:qFormat/>
    <w:uiPriority w:val="99"/>
    <w:rPr>
      <w:rFonts w:cs="Times New Roman"/>
      <w:color w:val="0000FF"/>
      <w:u w:val="single"/>
    </w:rPr>
  </w:style>
  <w:style w:type="character" w:customStyle="1" w:styleId="623">
    <w:name w:val="_Style 622"/>
    <w:basedOn w:val="38"/>
    <w:qFormat/>
    <w:uiPriority w:val="0"/>
    <w:rPr>
      <w:rFonts w:eastAsia="宋体" w:cs="Times New Roman"/>
      <w:kern w:val="2"/>
      <w:sz w:val="21"/>
      <w:szCs w:val="21"/>
      <w:lang w:val="en-US" w:eastAsia="zh-CN" w:bidi="ar-SA"/>
    </w:rPr>
  </w:style>
  <w:style w:type="character" w:customStyle="1" w:styleId="624">
    <w:name w:val="_Style 623"/>
    <w:basedOn w:val="38"/>
    <w:qFormat/>
    <w:uiPriority w:val="99"/>
    <w:rPr>
      <w:rFonts w:eastAsia="黑体"/>
      <w:b/>
      <w:bCs/>
      <w:kern w:val="44"/>
      <w:sz w:val="28"/>
      <w:szCs w:val="44"/>
    </w:rPr>
  </w:style>
  <w:style w:type="character" w:customStyle="1" w:styleId="625">
    <w:name w:val="_Style 624"/>
    <w:basedOn w:val="38"/>
    <w:qFormat/>
    <w:uiPriority w:val="0"/>
    <w:rPr>
      <w:rFonts w:ascii="Arial" w:hAnsi="Arial"/>
      <w:b/>
      <w:bCs/>
      <w:kern w:val="2"/>
      <w:sz w:val="21"/>
      <w:szCs w:val="21"/>
    </w:rPr>
  </w:style>
  <w:style w:type="paragraph" w:customStyle="1" w:styleId="626">
    <w:name w:val="_Style 625"/>
    <w:basedOn w:val="594"/>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627">
    <w:name w:val="_Style 626"/>
    <w:basedOn w:val="38"/>
    <w:qFormat/>
    <w:uiPriority w:val="0"/>
    <w:rPr>
      <w:rFonts w:ascii="Times New Roman" w:hAnsi="Times New Roman" w:eastAsia="宋体" w:cs="Times New Roman"/>
      <w:szCs w:val="21"/>
    </w:rPr>
  </w:style>
  <w:style w:type="character" w:customStyle="1" w:styleId="628">
    <w:name w:val="_Style 627"/>
    <w:basedOn w:val="38"/>
    <w:qFormat/>
    <w:uiPriority w:val="99"/>
    <w:rPr>
      <w:rFonts w:ascii="Calibri" w:hAnsi="Calibri" w:eastAsia="宋体" w:cs="Times New Roman"/>
      <w:sz w:val="18"/>
      <w:szCs w:val="18"/>
    </w:rPr>
  </w:style>
  <w:style w:type="character" w:customStyle="1" w:styleId="629">
    <w:name w:val="_Style 628"/>
    <w:basedOn w:val="38"/>
    <w:qFormat/>
    <w:uiPriority w:val="99"/>
    <w:rPr>
      <w:rFonts w:ascii="Times New Roman" w:hAnsi="Times New Roman" w:eastAsia="宋体" w:cs="Times New Roman"/>
      <w:szCs w:val="21"/>
    </w:rPr>
  </w:style>
  <w:style w:type="paragraph" w:customStyle="1" w:styleId="630">
    <w:name w:val="_Style 629"/>
    <w:basedOn w:val="531"/>
    <w:qFormat/>
    <w:uiPriority w:val="34"/>
    <w:pPr>
      <w:widowControl w:val="0"/>
      <w:ind w:firstLine="420" w:firstLineChars="200"/>
      <w:jc w:val="both"/>
    </w:pPr>
    <w:rPr>
      <w:rFonts w:ascii="Calibri" w:hAnsi="Calibri" w:cs="Times New Roman"/>
      <w:kern w:val="2"/>
      <w:szCs w:val="22"/>
    </w:rPr>
  </w:style>
  <w:style w:type="character" w:customStyle="1" w:styleId="631">
    <w:name w:val="_Style 630"/>
    <w:basedOn w:val="627"/>
    <w:qFormat/>
    <w:uiPriority w:val="99"/>
    <w:rPr>
      <w:rFonts w:ascii="Calibri" w:hAnsi="Calibri" w:eastAsia="宋体" w:cs="Times New Roman"/>
      <w:b/>
      <w:bCs/>
      <w:szCs w:val="21"/>
    </w:rPr>
  </w:style>
  <w:style w:type="character" w:customStyle="1" w:styleId="632">
    <w:name w:val="_Style 631"/>
    <w:basedOn w:val="38"/>
    <w:qFormat/>
    <w:uiPriority w:val="99"/>
    <w:rPr>
      <w:rFonts w:ascii="Calibri" w:hAnsi="Calibri" w:eastAsia="宋体" w:cs="Times New Roman"/>
      <w:sz w:val="18"/>
      <w:szCs w:val="18"/>
    </w:rPr>
  </w:style>
  <w:style w:type="character" w:customStyle="1" w:styleId="633">
    <w:name w:val="_Style 632"/>
    <w:basedOn w:val="38"/>
    <w:qFormat/>
    <w:uiPriority w:val="99"/>
    <w:rPr>
      <w:rFonts w:ascii="Calibri" w:hAnsi="Calibri" w:eastAsia="宋体" w:cs="Times New Roman"/>
      <w:sz w:val="18"/>
      <w:szCs w:val="18"/>
    </w:rPr>
  </w:style>
  <w:style w:type="character" w:customStyle="1" w:styleId="634">
    <w:name w:val="_Style 633"/>
    <w:basedOn w:val="38"/>
    <w:qFormat/>
    <w:uiPriority w:val="0"/>
    <w:rPr>
      <w:rFonts w:ascii="宋体" w:hAnsi="Courier New" w:eastAsia="宋体" w:cs="Times New Roman"/>
      <w:szCs w:val="20"/>
    </w:rPr>
  </w:style>
  <w:style w:type="character" w:customStyle="1" w:styleId="635">
    <w:name w:val="_Style 634"/>
    <w:basedOn w:val="38"/>
    <w:qFormat/>
    <w:uiPriority w:val="99"/>
    <w:rPr>
      <w:rFonts w:ascii="Times New Roman" w:hAnsi="Times New Roman" w:eastAsia="宋体" w:cs="Times New Roman"/>
      <w:szCs w:val="21"/>
    </w:rPr>
  </w:style>
  <w:style w:type="character" w:customStyle="1" w:styleId="636">
    <w:name w:val="_Style 635"/>
    <w:basedOn w:val="38"/>
    <w:qFormat/>
    <w:uiPriority w:val="99"/>
    <w:rPr>
      <w:rFonts w:ascii="Times New Roman" w:hAnsi="Times New Roman" w:eastAsia="宋体" w:cs="Times New Roman"/>
      <w:szCs w:val="21"/>
    </w:rPr>
  </w:style>
  <w:style w:type="character" w:customStyle="1" w:styleId="637">
    <w:name w:val="_Style 636"/>
    <w:basedOn w:val="38"/>
    <w:qFormat/>
    <w:uiPriority w:val="99"/>
    <w:rPr>
      <w:rFonts w:ascii="Times New Roman" w:hAnsi="Times New Roman" w:eastAsia="宋体" w:cs="Times New Roman"/>
      <w:szCs w:val="21"/>
    </w:rPr>
  </w:style>
  <w:style w:type="paragraph" w:customStyle="1" w:styleId="638">
    <w:name w:val="_Style 637"/>
    <w:hidden/>
    <w:semiHidden/>
    <w:qFormat/>
    <w:uiPriority w:val="99"/>
    <w:rPr>
      <w:rFonts w:ascii="Calibri" w:hAnsi="Calibri" w:eastAsia="宋体" w:cs="Times New Roman"/>
      <w:kern w:val="2"/>
      <w:sz w:val="21"/>
      <w:szCs w:val="22"/>
      <w:lang w:val="en-US" w:eastAsia="zh-CN" w:bidi="ar-SA"/>
    </w:rPr>
  </w:style>
  <w:style w:type="character" w:customStyle="1" w:styleId="639">
    <w:name w:val="_Style 638"/>
    <w:basedOn w:val="38"/>
    <w:qFormat/>
    <w:uiPriority w:val="0"/>
    <w:rPr>
      <w:kern w:val="2"/>
      <w:sz w:val="21"/>
      <w:szCs w:val="24"/>
    </w:rPr>
  </w:style>
  <w:style w:type="paragraph" w:customStyle="1" w:styleId="640">
    <w:name w:val="_Style 639"/>
    <w:basedOn w:val="531"/>
    <w:qFormat/>
    <w:uiPriority w:val="0"/>
    <w:pPr>
      <w:widowControl w:val="0"/>
      <w:spacing w:before="100" w:after="100"/>
      <w:jc w:val="both"/>
    </w:pPr>
    <w:rPr>
      <w:rFonts w:ascii="Calibri" w:hAnsi="Calibri" w:cs="Times New Roman"/>
      <w:kern w:val="2"/>
    </w:rPr>
  </w:style>
  <w:style w:type="character" w:customStyle="1" w:styleId="641">
    <w:name w:val="_Style 640"/>
    <w:basedOn w:val="38"/>
    <w:semiHidden/>
    <w:qFormat/>
    <w:uiPriority w:val="99"/>
    <w:rPr>
      <w:rFonts w:ascii="宋体"/>
      <w:kern w:val="2"/>
      <w:sz w:val="18"/>
      <w:szCs w:val="18"/>
    </w:rPr>
  </w:style>
  <w:style w:type="character" w:customStyle="1" w:styleId="642">
    <w:name w:val="_Style 641"/>
    <w:basedOn w:val="38"/>
    <w:semiHidden/>
    <w:qFormat/>
    <w:uiPriority w:val="99"/>
    <w:rPr>
      <w:color w:val="auto"/>
    </w:rPr>
  </w:style>
  <w:style w:type="character" w:customStyle="1" w:styleId="643">
    <w:name w:val="_Style 642"/>
    <w:basedOn w:val="38"/>
    <w:qFormat/>
    <w:uiPriority w:val="10"/>
    <w:rPr>
      <w:rFonts w:asciiTheme="majorHAnsi" w:hAnsiTheme="majorHAnsi" w:cstheme="majorBidi"/>
      <w:b/>
      <w:bCs/>
      <w:kern w:val="2"/>
      <w:sz w:val="32"/>
      <w:szCs w:val="32"/>
    </w:rPr>
  </w:style>
  <w:style w:type="paragraph" w:customStyle="1" w:styleId="644">
    <w:name w:val="_Style 643"/>
    <w:qFormat/>
    <w:uiPriority w:val="1"/>
    <w:pPr>
      <w:widowControl w:val="0"/>
      <w:jc w:val="both"/>
    </w:pPr>
    <w:rPr>
      <w:rFonts w:ascii="Calibri" w:hAnsi="Calibri" w:eastAsia="宋体" w:cs="Times New Roman"/>
      <w:kern w:val="2"/>
      <w:sz w:val="21"/>
      <w:szCs w:val="22"/>
      <w:lang w:val="en-US" w:eastAsia="zh-CN" w:bidi="ar-SA"/>
    </w:rPr>
  </w:style>
  <w:style w:type="character" w:customStyle="1" w:styleId="645">
    <w:name w:val="_Style 644"/>
    <w:basedOn w:val="38"/>
    <w:semiHidden/>
    <w:qFormat/>
    <w:uiPriority w:val="99"/>
    <w:rPr>
      <w:rFonts w:ascii="宋体" w:hAnsi="宋体" w:cs="宋体"/>
      <w:sz w:val="21"/>
      <w:szCs w:val="24"/>
    </w:rPr>
  </w:style>
  <w:style w:type="character" w:customStyle="1" w:styleId="646">
    <w:name w:val="_Style 645"/>
    <w:basedOn w:val="627"/>
    <w:semiHidden/>
    <w:qFormat/>
    <w:uiPriority w:val="99"/>
    <w:rPr>
      <w:rFonts w:ascii="Times New Roman" w:hAnsi="Times New Roman" w:eastAsia="宋体" w:cs="Times New Roman"/>
      <w:b/>
      <w:bCs/>
      <w:szCs w:val="21"/>
    </w:rPr>
  </w:style>
  <w:style w:type="character" w:customStyle="1" w:styleId="647">
    <w:name w:val="_Style 646"/>
    <w:basedOn w:val="627"/>
    <w:semiHidden/>
    <w:qFormat/>
    <w:uiPriority w:val="99"/>
    <w:rPr>
      <w:rFonts w:ascii="Times New Roman" w:hAnsi="Times New Roman" w:eastAsia="宋体" w:cs="Times New Roman"/>
      <w:b/>
      <w:bCs/>
      <w:szCs w:val="21"/>
    </w:rPr>
  </w:style>
  <w:style w:type="paragraph" w:customStyle="1" w:styleId="648">
    <w:name w:val="_Style 647"/>
    <w:basedOn w:val="531"/>
    <w:qFormat/>
    <w:uiPriority w:val="34"/>
    <w:pPr>
      <w:widowControl w:val="0"/>
      <w:ind w:firstLine="420" w:firstLineChars="200"/>
      <w:jc w:val="both"/>
    </w:pPr>
    <w:rPr>
      <w:rFonts w:ascii="Calibri" w:hAnsi="Calibri" w:cs="Times New Roman"/>
      <w:kern w:val="2"/>
      <w:szCs w:val="22"/>
    </w:rPr>
  </w:style>
  <w:style w:type="paragraph" w:customStyle="1" w:styleId="649">
    <w:name w:val="_Style 648"/>
    <w:basedOn w:val="531"/>
    <w:qFormat/>
    <w:uiPriority w:val="34"/>
    <w:pPr>
      <w:widowControl w:val="0"/>
      <w:ind w:firstLine="420" w:firstLineChars="200"/>
      <w:jc w:val="both"/>
    </w:pPr>
    <w:rPr>
      <w:rFonts w:ascii="Calibri" w:hAnsi="Calibri" w:cs="Times New Roman"/>
      <w:kern w:val="2"/>
      <w:szCs w:val="22"/>
    </w:rPr>
  </w:style>
  <w:style w:type="paragraph" w:customStyle="1" w:styleId="650">
    <w:name w:val="_Style 649"/>
    <w:basedOn w:val="531"/>
    <w:qFormat/>
    <w:uiPriority w:val="34"/>
    <w:pPr>
      <w:widowControl w:val="0"/>
      <w:ind w:firstLine="420" w:firstLineChars="200"/>
      <w:jc w:val="both"/>
    </w:pPr>
    <w:rPr>
      <w:rFonts w:ascii="Calibri" w:hAnsi="Calibri" w:cs="Times New Roman"/>
      <w:kern w:val="2"/>
      <w:szCs w:val="22"/>
    </w:rPr>
  </w:style>
  <w:style w:type="paragraph" w:customStyle="1" w:styleId="651">
    <w:name w:val="_Style 650"/>
    <w:basedOn w:val="531"/>
    <w:qFormat/>
    <w:uiPriority w:val="34"/>
    <w:pPr>
      <w:widowControl w:val="0"/>
      <w:ind w:firstLine="420" w:firstLineChars="200"/>
      <w:jc w:val="both"/>
    </w:pPr>
    <w:rPr>
      <w:rFonts w:ascii="Calibri" w:hAnsi="Calibri" w:cs="Times New Roman"/>
      <w:kern w:val="2"/>
      <w:szCs w:val="22"/>
    </w:rPr>
  </w:style>
  <w:style w:type="character" w:customStyle="1" w:styleId="652">
    <w:name w:val="_Style 651"/>
    <w:qFormat/>
    <w:uiPriority w:val="0"/>
    <w:rPr>
      <w:rFonts w:ascii="Arial" w:hAnsi="Arial"/>
      <w:b/>
      <w:bCs/>
      <w:kern w:val="2"/>
      <w:sz w:val="21"/>
      <w:szCs w:val="21"/>
    </w:rPr>
  </w:style>
  <w:style w:type="paragraph" w:customStyle="1" w:styleId="653">
    <w:name w:val="_Style 652"/>
    <w:basedOn w:val="531"/>
    <w:qFormat/>
    <w:uiPriority w:val="34"/>
    <w:pPr>
      <w:widowControl w:val="0"/>
      <w:ind w:firstLine="420" w:firstLineChars="200"/>
      <w:jc w:val="both"/>
    </w:pPr>
    <w:rPr>
      <w:rFonts w:ascii="Calibri" w:hAnsi="Calibri" w:cs="Times New Roman"/>
      <w:kern w:val="2"/>
      <w:szCs w:val="22"/>
    </w:rPr>
  </w:style>
  <w:style w:type="character" w:customStyle="1" w:styleId="654">
    <w:name w:val="_Style 653"/>
    <w:qFormat/>
    <w:uiPriority w:val="0"/>
    <w:rPr>
      <w:rFonts w:hint="default" w:ascii="FZLTSK--GBK1-0" w:hAnsi="FZLTSK--GBK1-0"/>
      <w:color w:val="000000"/>
      <w:sz w:val="20"/>
      <w:szCs w:val="20"/>
    </w:rPr>
  </w:style>
  <w:style w:type="paragraph" w:customStyle="1" w:styleId="655">
    <w:name w:val="_Style 654"/>
    <w:basedOn w:val="531"/>
    <w:qFormat/>
    <w:uiPriority w:val="34"/>
    <w:pPr>
      <w:widowControl w:val="0"/>
      <w:ind w:firstLine="420" w:firstLineChars="200"/>
      <w:jc w:val="both"/>
    </w:pPr>
    <w:rPr>
      <w:rFonts w:ascii="Calibri" w:hAnsi="Calibri" w:cs="Times New Roman"/>
      <w:kern w:val="2"/>
      <w:szCs w:val="22"/>
    </w:rPr>
  </w:style>
  <w:style w:type="character" w:customStyle="1" w:styleId="656">
    <w:name w:val="_Style 655"/>
    <w:qFormat/>
    <w:uiPriority w:val="0"/>
    <w:rPr>
      <w:rFonts w:ascii="Arial" w:hAnsi="Arial"/>
      <w:b/>
      <w:bCs/>
      <w:kern w:val="2"/>
      <w:sz w:val="21"/>
      <w:szCs w:val="21"/>
    </w:rPr>
  </w:style>
  <w:style w:type="paragraph" w:customStyle="1" w:styleId="657">
    <w:name w:val="_Style 656"/>
    <w:basedOn w:val="531"/>
    <w:qFormat/>
    <w:uiPriority w:val="34"/>
    <w:pPr>
      <w:widowControl w:val="0"/>
      <w:ind w:firstLine="420" w:firstLineChars="200"/>
      <w:jc w:val="both"/>
    </w:pPr>
    <w:rPr>
      <w:rFonts w:ascii="Calibri" w:hAnsi="Calibri" w:cs="Times New Roman"/>
      <w:kern w:val="2"/>
      <w:szCs w:val="22"/>
    </w:rPr>
  </w:style>
  <w:style w:type="character" w:customStyle="1" w:styleId="658">
    <w:name w:val="_Style 657"/>
    <w:basedOn w:val="38"/>
    <w:qFormat/>
    <w:uiPriority w:val="34"/>
    <w:rPr>
      <w:kern w:val="2"/>
      <w:szCs w:val="22"/>
    </w:rPr>
  </w:style>
  <w:style w:type="character" w:customStyle="1" w:styleId="659">
    <w:name w:val="_Style 658"/>
    <w:basedOn w:val="38"/>
    <w:qFormat/>
    <w:uiPriority w:val="99"/>
    <w:rPr>
      <w:rFonts w:cs="Times New Roman"/>
      <w:color w:val="0000FF"/>
      <w:u w:val="single"/>
    </w:rPr>
  </w:style>
  <w:style w:type="character" w:customStyle="1" w:styleId="660">
    <w:name w:val="_Style 659"/>
    <w:basedOn w:val="38"/>
    <w:qFormat/>
    <w:uiPriority w:val="0"/>
    <w:rPr>
      <w:rFonts w:eastAsia="宋体" w:cs="Times New Roman"/>
      <w:kern w:val="2"/>
      <w:sz w:val="21"/>
      <w:szCs w:val="21"/>
      <w:lang w:val="en-US" w:eastAsia="zh-CN" w:bidi="ar-SA"/>
    </w:rPr>
  </w:style>
  <w:style w:type="paragraph" w:customStyle="1" w:styleId="661">
    <w:name w:val="_Style 660"/>
    <w:basedOn w:val="501"/>
    <w:qFormat/>
    <w:uiPriority w:val="0"/>
    <w:pPr>
      <w:jc w:val="left"/>
    </w:pPr>
    <w:rPr>
      <w:rFonts w:ascii="Times New Roman" w:hAnsi="Times New Roman"/>
    </w:rPr>
  </w:style>
  <w:style w:type="character" w:customStyle="1" w:styleId="662">
    <w:name w:val="_Style 661"/>
    <w:basedOn w:val="38"/>
    <w:qFormat/>
    <w:uiPriority w:val="0"/>
    <w:rPr>
      <w:rFonts w:ascii="Times New Roman" w:hAnsi="Times New Roman" w:eastAsia="宋体" w:cs="Times New Roman"/>
      <w:szCs w:val="21"/>
    </w:rPr>
  </w:style>
  <w:style w:type="paragraph" w:customStyle="1" w:styleId="663">
    <w:name w:val="_Style 662"/>
    <w:basedOn w:val="501"/>
    <w:unhideWhenUsed/>
    <w:qFormat/>
    <w:uiPriority w:val="99"/>
    <w:rPr>
      <w:sz w:val="18"/>
      <w:szCs w:val="18"/>
    </w:rPr>
  </w:style>
  <w:style w:type="character" w:customStyle="1" w:styleId="664">
    <w:name w:val="_Style 663"/>
    <w:basedOn w:val="38"/>
    <w:qFormat/>
    <w:uiPriority w:val="99"/>
    <w:rPr>
      <w:rFonts w:ascii="Calibri" w:hAnsi="Calibri" w:eastAsia="宋体" w:cs="Times New Roman"/>
      <w:sz w:val="18"/>
      <w:szCs w:val="18"/>
    </w:rPr>
  </w:style>
  <w:style w:type="paragraph" w:customStyle="1" w:styleId="665">
    <w:name w:val="_Style 664"/>
    <w:basedOn w:val="501"/>
    <w:next w:val="1"/>
    <w:qFormat/>
    <w:uiPriority w:val="99"/>
    <w:rPr>
      <w:rFonts w:ascii="Times New Roman" w:hAnsi="Times New Roman"/>
    </w:rPr>
  </w:style>
  <w:style w:type="character" w:customStyle="1" w:styleId="666">
    <w:name w:val="_Style 665"/>
    <w:basedOn w:val="38"/>
    <w:qFormat/>
    <w:uiPriority w:val="99"/>
    <w:rPr>
      <w:rFonts w:ascii="Times New Roman" w:hAnsi="Times New Roman" w:eastAsia="宋体" w:cs="Times New Roman"/>
      <w:szCs w:val="21"/>
    </w:rPr>
  </w:style>
  <w:style w:type="paragraph" w:customStyle="1" w:styleId="667">
    <w:name w:val="_Style 666"/>
    <w:basedOn w:val="501"/>
    <w:qFormat/>
    <w:uiPriority w:val="99"/>
    <w:pPr>
      <w:ind w:firstLine="420" w:firstLineChars="200"/>
    </w:pPr>
    <w:rPr>
      <w:szCs w:val="22"/>
    </w:rPr>
  </w:style>
  <w:style w:type="character" w:customStyle="1" w:styleId="668">
    <w:name w:val="_Style 667"/>
    <w:basedOn w:val="662"/>
    <w:qFormat/>
    <w:uiPriority w:val="99"/>
    <w:rPr>
      <w:rFonts w:ascii="Calibri" w:hAnsi="Calibri" w:eastAsia="宋体" w:cs="Times New Roman"/>
      <w:b/>
      <w:bCs/>
      <w:szCs w:val="21"/>
    </w:rPr>
  </w:style>
  <w:style w:type="paragraph" w:customStyle="1" w:styleId="669">
    <w:name w:val="_Style 668"/>
    <w:basedOn w:val="661"/>
    <w:unhideWhenUsed/>
    <w:qFormat/>
    <w:uiPriority w:val="99"/>
    <w:rPr>
      <w:rFonts w:ascii="Calibri" w:hAnsi="Calibri"/>
      <w:b/>
      <w:bCs/>
      <w:szCs w:val="22"/>
    </w:rPr>
  </w:style>
  <w:style w:type="paragraph" w:customStyle="1" w:styleId="670">
    <w:name w:val="_Style 669"/>
    <w:basedOn w:val="50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71">
    <w:name w:val="_Style 670"/>
    <w:basedOn w:val="38"/>
    <w:qFormat/>
    <w:uiPriority w:val="99"/>
    <w:rPr>
      <w:rFonts w:ascii="Calibri" w:hAnsi="Calibri" w:eastAsia="宋体" w:cs="Times New Roman"/>
      <w:sz w:val="18"/>
      <w:szCs w:val="18"/>
    </w:rPr>
  </w:style>
  <w:style w:type="paragraph" w:customStyle="1" w:styleId="672">
    <w:name w:val="_Style 671"/>
    <w:basedOn w:val="501"/>
    <w:unhideWhenUsed/>
    <w:qFormat/>
    <w:uiPriority w:val="99"/>
    <w:pPr>
      <w:tabs>
        <w:tab w:val="center" w:pos="4153"/>
        <w:tab w:val="right" w:pos="8306"/>
      </w:tabs>
      <w:snapToGrid w:val="0"/>
      <w:jc w:val="left"/>
    </w:pPr>
    <w:rPr>
      <w:sz w:val="18"/>
      <w:szCs w:val="18"/>
    </w:rPr>
  </w:style>
  <w:style w:type="character" w:customStyle="1" w:styleId="673">
    <w:name w:val="_Style 672"/>
    <w:basedOn w:val="38"/>
    <w:qFormat/>
    <w:uiPriority w:val="99"/>
    <w:rPr>
      <w:rFonts w:ascii="Calibri" w:hAnsi="Calibri" w:eastAsia="宋体" w:cs="Times New Roman"/>
      <w:sz w:val="18"/>
      <w:szCs w:val="18"/>
    </w:rPr>
  </w:style>
  <w:style w:type="paragraph" w:customStyle="1" w:styleId="674">
    <w:name w:val="_Style 673"/>
    <w:basedOn w:val="501"/>
    <w:qFormat/>
    <w:uiPriority w:val="0"/>
    <w:rPr>
      <w:rFonts w:ascii="宋体" w:hAnsi="Courier New"/>
      <w:szCs w:val="20"/>
    </w:rPr>
  </w:style>
  <w:style w:type="character" w:customStyle="1" w:styleId="675">
    <w:name w:val="_Style 674"/>
    <w:basedOn w:val="38"/>
    <w:qFormat/>
    <w:uiPriority w:val="0"/>
    <w:rPr>
      <w:rFonts w:ascii="宋体" w:hAnsi="Courier New" w:eastAsia="宋体" w:cs="Times New Roman"/>
      <w:szCs w:val="20"/>
    </w:rPr>
  </w:style>
  <w:style w:type="paragraph" w:customStyle="1" w:styleId="676">
    <w:name w:val="_Style 675"/>
    <w:basedOn w:val="501"/>
    <w:qFormat/>
    <w:uiPriority w:val="99"/>
    <w:pPr>
      <w:spacing w:after="120"/>
    </w:pPr>
    <w:rPr>
      <w:rFonts w:ascii="Times New Roman" w:hAnsi="Times New Roman"/>
    </w:rPr>
  </w:style>
  <w:style w:type="character" w:customStyle="1" w:styleId="677">
    <w:name w:val="_Style 676"/>
    <w:basedOn w:val="38"/>
    <w:qFormat/>
    <w:uiPriority w:val="99"/>
    <w:rPr>
      <w:rFonts w:ascii="Times New Roman" w:hAnsi="Times New Roman" w:eastAsia="宋体" w:cs="Times New Roman"/>
      <w:szCs w:val="21"/>
    </w:rPr>
  </w:style>
  <w:style w:type="paragraph" w:customStyle="1" w:styleId="678">
    <w:name w:val="_Style 677"/>
    <w:basedOn w:val="501"/>
    <w:next w:val="1"/>
    <w:qFormat/>
    <w:uiPriority w:val="99"/>
    <w:pPr>
      <w:ind w:left="100" w:leftChars="2500"/>
    </w:pPr>
    <w:rPr>
      <w:rFonts w:ascii="Times New Roman" w:hAnsi="Times New Roman"/>
    </w:rPr>
  </w:style>
  <w:style w:type="character" w:customStyle="1" w:styleId="679">
    <w:name w:val="_Style 678"/>
    <w:basedOn w:val="38"/>
    <w:qFormat/>
    <w:uiPriority w:val="99"/>
    <w:rPr>
      <w:rFonts w:ascii="Times New Roman" w:hAnsi="Times New Roman" w:eastAsia="宋体" w:cs="Times New Roman"/>
      <w:szCs w:val="21"/>
    </w:rPr>
  </w:style>
  <w:style w:type="paragraph" w:customStyle="1" w:styleId="680">
    <w:name w:val="_Style 679"/>
    <w:basedOn w:val="501"/>
    <w:next w:val="1"/>
    <w:qFormat/>
    <w:uiPriority w:val="99"/>
    <w:pPr>
      <w:jc w:val="center"/>
    </w:pPr>
    <w:rPr>
      <w:rFonts w:ascii="Times New Roman" w:hAnsi="Times New Roman"/>
    </w:rPr>
  </w:style>
  <w:style w:type="paragraph" w:customStyle="1" w:styleId="681">
    <w:name w:val="_Style 680"/>
    <w:basedOn w:val="501"/>
    <w:next w:val="1"/>
    <w:semiHidden/>
    <w:qFormat/>
    <w:uiPriority w:val="0"/>
    <w:pPr>
      <w:spacing w:before="120"/>
    </w:pPr>
    <w:rPr>
      <w:rFonts w:ascii="Arial" w:hAnsi="Arial"/>
      <w:b/>
      <w:bCs/>
    </w:rPr>
  </w:style>
  <w:style w:type="paragraph" w:customStyle="1" w:styleId="682">
    <w:name w:val="_Style 681"/>
    <w:hidden/>
    <w:semiHidden/>
    <w:qFormat/>
    <w:uiPriority w:val="99"/>
    <w:rPr>
      <w:rFonts w:ascii="Calibri" w:hAnsi="Calibri" w:eastAsia="宋体" w:cs="Times New Roman"/>
      <w:kern w:val="2"/>
      <w:sz w:val="21"/>
      <w:szCs w:val="22"/>
      <w:lang w:val="en-US" w:eastAsia="zh-CN" w:bidi="ar-SA"/>
    </w:rPr>
  </w:style>
  <w:style w:type="character" w:customStyle="1" w:styleId="683">
    <w:name w:val="_Style 682"/>
    <w:basedOn w:val="38"/>
    <w:qFormat/>
    <w:uiPriority w:val="0"/>
    <w:rPr>
      <w:kern w:val="2"/>
      <w:sz w:val="21"/>
      <w:szCs w:val="24"/>
    </w:rPr>
  </w:style>
  <w:style w:type="paragraph" w:customStyle="1" w:styleId="684">
    <w:name w:val="_Style 683"/>
    <w:basedOn w:val="501"/>
    <w:qFormat/>
    <w:uiPriority w:val="0"/>
    <w:pPr>
      <w:spacing w:before="100" w:after="100"/>
    </w:pPr>
    <w:rPr>
      <w:szCs w:val="24"/>
    </w:rPr>
  </w:style>
  <w:style w:type="paragraph" w:customStyle="1" w:styleId="685">
    <w:name w:val="_Style 684"/>
    <w:basedOn w:val="501"/>
    <w:semiHidden/>
    <w:unhideWhenUsed/>
    <w:qFormat/>
    <w:uiPriority w:val="99"/>
    <w:rPr>
      <w:sz w:val="18"/>
      <w:szCs w:val="18"/>
    </w:rPr>
  </w:style>
  <w:style w:type="character" w:customStyle="1" w:styleId="686">
    <w:name w:val="_Style 685"/>
    <w:basedOn w:val="38"/>
    <w:semiHidden/>
    <w:qFormat/>
    <w:uiPriority w:val="99"/>
    <w:rPr>
      <w:rFonts w:ascii="宋体"/>
      <w:kern w:val="2"/>
      <w:sz w:val="18"/>
      <w:szCs w:val="18"/>
    </w:rPr>
  </w:style>
  <w:style w:type="character" w:customStyle="1" w:styleId="687">
    <w:name w:val="_Style 686"/>
    <w:basedOn w:val="38"/>
    <w:semiHidden/>
    <w:uiPriority w:val="99"/>
    <w:rPr>
      <w:color w:val="auto"/>
    </w:rPr>
  </w:style>
  <w:style w:type="paragraph" w:customStyle="1" w:styleId="688">
    <w:name w:val="_Style 687"/>
    <w:basedOn w:val="501"/>
    <w:next w:val="1"/>
    <w:qFormat/>
    <w:uiPriority w:val="10"/>
    <w:pPr>
      <w:spacing w:before="240" w:after="60"/>
      <w:jc w:val="center"/>
      <w:outlineLvl w:val="0"/>
    </w:pPr>
    <w:rPr>
      <w:rFonts w:asciiTheme="majorHAnsi" w:hAnsiTheme="majorHAnsi" w:cstheme="majorBidi"/>
      <w:b/>
      <w:bCs/>
      <w:sz w:val="32"/>
      <w:szCs w:val="32"/>
    </w:rPr>
  </w:style>
  <w:style w:type="character" w:customStyle="1" w:styleId="689">
    <w:name w:val="_Style 688"/>
    <w:basedOn w:val="38"/>
    <w:qFormat/>
    <w:uiPriority w:val="10"/>
    <w:rPr>
      <w:rFonts w:asciiTheme="majorHAnsi" w:hAnsiTheme="majorHAnsi" w:cstheme="majorBidi"/>
      <w:b/>
      <w:bCs/>
      <w:kern w:val="2"/>
      <w:sz w:val="32"/>
      <w:szCs w:val="32"/>
    </w:rPr>
  </w:style>
  <w:style w:type="paragraph" w:customStyle="1" w:styleId="690">
    <w:name w:val="_Style 689"/>
    <w:qFormat/>
    <w:uiPriority w:val="1"/>
    <w:pPr>
      <w:widowControl w:val="0"/>
      <w:jc w:val="both"/>
    </w:pPr>
    <w:rPr>
      <w:rFonts w:ascii="Calibri" w:hAnsi="Calibri" w:eastAsia="宋体" w:cs="Times New Roman"/>
      <w:kern w:val="2"/>
      <w:sz w:val="21"/>
      <w:szCs w:val="22"/>
      <w:lang w:val="en-US" w:eastAsia="zh-CN" w:bidi="ar-SA"/>
    </w:rPr>
  </w:style>
  <w:style w:type="paragraph" w:customStyle="1" w:styleId="691">
    <w:name w:val="_Style 690"/>
    <w:basedOn w:val="501"/>
    <w:qFormat/>
    <w:uiPriority w:val="99"/>
    <w:pPr>
      <w:widowControl/>
      <w:spacing w:before="100" w:beforeAutospacing="1" w:after="100" w:afterAutospacing="1"/>
      <w:jc w:val="left"/>
    </w:pPr>
    <w:rPr>
      <w:rFonts w:ascii="宋体" w:hAnsi="宋体" w:cs="宋体"/>
      <w:kern w:val="0"/>
      <w:sz w:val="24"/>
      <w:szCs w:val="24"/>
    </w:rPr>
  </w:style>
  <w:style w:type="paragraph" w:customStyle="1" w:styleId="692">
    <w:name w:val="_Style 691"/>
    <w:basedOn w:val="501"/>
    <w:semiHidden/>
    <w:unhideWhenUsed/>
    <w:qFormat/>
    <w:uiPriority w:val="99"/>
    <w:pPr>
      <w:snapToGrid w:val="0"/>
    </w:pPr>
  </w:style>
  <w:style w:type="character" w:customStyle="1" w:styleId="693">
    <w:name w:val="_Style 692"/>
    <w:basedOn w:val="38"/>
    <w:semiHidden/>
    <w:qFormat/>
    <w:uiPriority w:val="99"/>
    <w:rPr>
      <w:rFonts w:ascii="宋体" w:hAnsi="宋体" w:cs="宋体"/>
      <w:sz w:val="21"/>
      <w:szCs w:val="24"/>
    </w:rPr>
  </w:style>
  <w:style w:type="character" w:customStyle="1" w:styleId="694">
    <w:name w:val="_Style 693"/>
    <w:basedOn w:val="38"/>
    <w:semiHidden/>
    <w:unhideWhenUsed/>
    <w:qFormat/>
    <w:uiPriority w:val="99"/>
    <w:rPr>
      <w:vertAlign w:val="superscript"/>
    </w:rPr>
  </w:style>
  <w:style w:type="character" w:customStyle="1" w:styleId="695">
    <w:name w:val="_Style 694"/>
    <w:basedOn w:val="662"/>
    <w:semiHidden/>
    <w:qFormat/>
    <w:uiPriority w:val="99"/>
    <w:rPr>
      <w:rFonts w:ascii="Times New Roman" w:hAnsi="Times New Roman" w:eastAsia="宋体" w:cs="Times New Roman"/>
      <w:b/>
      <w:bCs/>
      <w:szCs w:val="21"/>
    </w:rPr>
  </w:style>
  <w:style w:type="paragraph" w:customStyle="1" w:styleId="696">
    <w:name w:val="_Style 695"/>
    <w:basedOn w:val="501"/>
    <w:uiPriority w:val="0"/>
    <w:pPr>
      <w:ind w:firstLine="420" w:firstLineChars="200"/>
    </w:pPr>
    <w:rPr>
      <w:rFonts w:ascii="Times New Roman" w:hAnsi="Times New Roman"/>
    </w:rPr>
  </w:style>
  <w:style w:type="character" w:customStyle="1" w:styleId="697">
    <w:name w:val="_Style 696"/>
    <w:basedOn w:val="662"/>
    <w:semiHidden/>
    <w:uiPriority w:val="99"/>
    <w:rPr>
      <w:rFonts w:ascii="Times New Roman" w:hAnsi="Times New Roman" w:eastAsia="宋体" w:cs="Times New Roman"/>
      <w:b/>
      <w:bCs/>
      <w:szCs w:val="21"/>
    </w:rPr>
  </w:style>
  <w:style w:type="paragraph" w:customStyle="1" w:styleId="698">
    <w:name w:val="_Style 697"/>
    <w:basedOn w:val="501"/>
    <w:qFormat/>
    <w:uiPriority w:val="34"/>
    <w:pPr>
      <w:ind w:firstLine="420" w:firstLineChars="200"/>
    </w:pPr>
    <w:rPr>
      <w:szCs w:val="22"/>
    </w:rPr>
  </w:style>
  <w:style w:type="paragraph" w:customStyle="1" w:styleId="699">
    <w:name w:val="_Style 698"/>
    <w:basedOn w:val="501"/>
    <w:qFormat/>
    <w:uiPriority w:val="34"/>
    <w:pPr>
      <w:ind w:firstLine="420" w:firstLineChars="200"/>
    </w:pPr>
    <w:rPr>
      <w:szCs w:val="22"/>
    </w:rPr>
  </w:style>
  <w:style w:type="paragraph" w:customStyle="1" w:styleId="700">
    <w:name w:val="_Style 699"/>
    <w:basedOn w:val="501"/>
    <w:qFormat/>
    <w:uiPriority w:val="34"/>
    <w:pPr>
      <w:ind w:firstLine="420" w:firstLineChars="200"/>
    </w:pPr>
    <w:rPr>
      <w:szCs w:val="22"/>
    </w:rPr>
  </w:style>
  <w:style w:type="paragraph" w:customStyle="1" w:styleId="701">
    <w:name w:val="_Style 700"/>
    <w:basedOn w:val="501"/>
    <w:qFormat/>
    <w:uiPriority w:val="34"/>
    <w:pPr>
      <w:ind w:firstLine="420" w:firstLineChars="200"/>
    </w:pPr>
    <w:rPr>
      <w:szCs w:val="22"/>
    </w:rPr>
  </w:style>
  <w:style w:type="paragraph" w:customStyle="1" w:styleId="702">
    <w:name w:val="_Style 701"/>
    <w:basedOn w:val="501"/>
    <w:qFormat/>
    <w:uiPriority w:val="34"/>
    <w:pPr>
      <w:ind w:firstLine="420" w:firstLineChars="200"/>
    </w:pPr>
    <w:rPr>
      <w:szCs w:val="22"/>
    </w:rPr>
  </w:style>
  <w:style w:type="paragraph" w:customStyle="1" w:styleId="703">
    <w:name w:val="_Style 702"/>
    <w:basedOn w:val="501"/>
    <w:qFormat/>
    <w:uiPriority w:val="34"/>
    <w:pPr>
      <w:ind w:firstLine="420" w:firstLineChars="200"/>
    </w:pPr>
    <w:rPr>
      <w:szCs w:val="22"/>
    </w:rPr>
  </w:style>
  <w:style w:type="paragraph" w:customStyle="1" w:styleId="704">
    <w:name w:val="_Style 703"/>
    <w:basedOn w:val="501"/>
    <w:qFormat/>
    <w:uiPriority w:val="34"/>
    <w:pPr>
      <w:ind w:firstLine="420" w:firstLineChars="200"/>
    </w:pPr>
    <w:rPr>
      <w:szCs w:val="22"/>
    </w:rPr>
  </w:style>
  <w:style w:type="paragraph" w:customStyle="1" w:styleId="705">
    <w:name w:val="_Style 704"/>
    <w:basedOn w:val="501"/>
    <w:uiPriority w:val="0"/>
    <w:pPr>
      <w:widowControl/>
      <w:jc w:val="left"/>
    </w:pPr>
    <w:rPr>
      <w:rFonts w:ascii="宋体" w:hAnsi="宋体" w:cs="宋体"/>
      <w:bCs/>
      <w:kern w:val="0"/>
    </w:rPr>
  </w:style>
  <w:style w:type="paragraph" w:customStyle="1" w:styleId="706">
    <w:name w:val="_Style 705"/>
    <w:basedOn w:val="501"/>
    <w:uiPriority w:val="0"/>
    <w:pPr>
      <w:ind w:firstLine="420" w:firstLineChars="200"/>
    </w:pPr>
  </w:style>
  <w:style w:type="paragraph" w:customStyle="1" w:styleId="707">
    <w:name w:val="_Style 706"/>
    <w:basedOn w:val="501"/>
    <w:uiPriority w:val="0"/>
    <w:pPr>
      <w:widowControl/>
      <w:jc w:val="left"/>
    </w:pPr>
    <w:rPr>
      <w:rFonts w:ascii="宋体" w:hAnsi="宋体" w:cs="宋体"/>
    </w:rPr>
  </w:style>
  <w:style w:type="paragraph" w:customStyle="1" w:styleId="708">
    <w:name w:val="_Style 707"/>
    <w:basedOn w:val="501"/>
    <w:uiPriority w:val="0"/>
    <w:pPr>
      <w:ind w:firstLine="420" w:firstLineChars="200"/>
    </w:pPr>
  </w:style>
  <w:style w:type="paragraph" w:customStyle="1" w:styleId="709">
    <w:name w:val="_Style 708"/>
    <w:uiPriority w:val="0"/>
    <w:pPr>
      <w:jc w:val="both"/>
    </w:pPr>
    <w:rPr>
      <w:rFonts w:ascii="Calibri" w:hAnsi="Calibri" w:eastAsia="宋体" w:cs="Calibri"/>
      <w:kern w:val="2"/>
      <w:sz w:val="21"/>
      <w:szCs w:val="21"/>
      <w:lang w:val="en-US" w:eastAsia="zh-CN" w:bidi="ar-SA"/>
    </w:rPr>
  </w:style>
  <w:style w:type="paragraph" w:customStyle="1" w:styleId="710">
    <w:name w:val="_Style 709"/>
    <w:uiPriority w:val="0"/>
    <w:pPr>
      <w:jc w:val="both"/>
    </w:pPr>
    <w:rPr>
      <w:rFonts w:ascii="Calibri" w:hAnsi="Calibri" w:eastAsia="宋体" w:cs="Calibri"/>
      <w:kern w:val="2"/>
      <w:sz w:val="21"/>
      <w:szCs w:val="21"/>
      <w:lang w:val="en-US" w:eastAsia="zh-CN" w:bidi="ar-SA"/>
    </w:rPr>
  </w:style>
  <w:style w:type="character" w:customStyle="1" w:styleId="711">
    <w:name w:val="_Style 710"/>
    <w:basedOn w:val="38"/>
    <w:uiPriority w:val="0"/>
    <w:rPr>
      <w:rFonts w:hint="eastAsia" w:ascii="宋体" w:hAnsi="宋体" w:eastAsia="宋体"/>
      <w:color w:val="000000"/>
      <w:sz w:val="21"/>
      <w:szCs w:val="21"/>
      <w:u w:val="none"/>
    </w:rPr>
  </w:style>
  <w:style w:type="paragraph" w:customStyle="1" w:styleId="712">
    <w:name w:val="_Style 711"/>
    <w:basedOn w:val="501"/>
    <w:unhideWhenUsed/>
    <w:uiPriority w:val="99"/>
    <w:rPr>
      <w:sz w:val="18"/>
      <w:szCs w:val="18"/>
    </w:rPr>
  </w:style>
  <w:style w:type="character" w:customStyle="1" w:styleId="713">
    <w:name w:val="_Style 712"/>
    <w:basedOn w:val="38"/>
    <w:uiPriority w:val="99"/>
    <w:rPr>
      <w:rFonts w:ascii="Calibri" w:hAnsi="Calibri" w:eastAsia="宋体" w:cs="Times New Roman"/>
      <w:sz w:val="18"/>
      <w:szCs w:val="18"/>
    </w:rPr>
  </w:style>
  <w:style w:type="paragraph" w:customStyle="1" w:styleId="714">
    <w:name w:val="_Style 713"/>
    <w:basedOn w:val="501"/>
    <w:next w:val="1"/>
    <w:qFormat/>
    <w:uiPriority w:val="99"/>
    <w:rPr>
      <w:rFonts w:ascii="Times New Roman" w:hAnsi="Times New Roman"/>
    </w:rPr>
  </w:style>
  <w:style w:type="character" w:customStyle="1" w:styleId="715">
    <w:name w:val="_Style 714"/>
    <w:basedOn w:val="38"/>
    <w:uiPriority w:val="99"/>
    <w:rPr>
      <w:rFonts w:ascii="Times New Roman" w:hAnsi="Times New Roman" w:eastAsia="宋体" w:cs="Times New Roman"/>
      <w:szCs w:val="21"/>
    </w:rPr>
  </w:style>
  <w:style w:type="paragraph" w:customStyle="1" w:styleId="716">
    <w:name w:val="_Style 715"/>
    <w:basedOn w:val="501"/>
    <w:qFormat/>
    <w:uiPriority w:val="99"/>
    <w:pPr>
      <w:ind w:firstLine="420" w:firstLineChars="200"/>
    </w:pPr>
    <w:rPr>
      <w:szCs w:val="22"/>
    </w:rPr>
  </w:style>
  <w:style w:type="character" w:customStyle="1" w:styleId="717">
    <w:name w:val="_Style 716"/>
    <w:basedOn w:val="662"/>
    <w:uiPriority w:val="99"/>
    <w:rPr>
      <w:rFonts w:ascii="Calibri" w:hAnsi="Calibri" w:eastAsia="宋体" w:cs="Times New Roman"/>
      <w:b/>
      <w:bCs/>
      <w:szCs w:val="21"/>
    </w:rPr>
  </w:style>
  <w:style w:type="paragraph" w:customStyle="1" w:styleId="718">
    <w:name w:val="_Style 717"/>
    <w:basedOn w:val="661"/>
    <w:unhideWhenUsed/>
    <w:uiPriority w:val="99"/>
    <w:rPr>
      <w:rFonts w:ascii="Calibri" w:hAnsi="Calibri"/>
      <w:b/>
      <w:bCs/>
      <w:szCs w:val="22"/>
    </w:rPr>
  </w:style>
  <w:style w:type="paragraph" w:customStyle="1" w:styleId="719">
    <w:name w:val="_Style 718"/>
    <w:basedOn w:val="501"/>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20">
    <w:name w:val="_Style 719"/>
    <w:basedOn w:val="38"/>
    <w:uiPriority w:val="99"/>
    <w:rPr>
      <w:rFonts w:ascii="Calibri" w:hAnsi="Calibri" w:eastAsia="宋体" w:cs="Times New Roman"/>
      <w:sz w:val="18"/>
      <w:szCs w:val="18"/>
    </w:rPr>
  </w:style>
  <w:style w:type="paragraph" w:customStyle="1" w:styleId="721">
    <w:name w:val="_Style 720"/>
    <w:basedOn w:val="501"/>
    <w:unhideWhenUsed/>
    <w:uiPriority w:val="99"/>
    <w:pPr>
      <w:tabs>
        <w:tab w:val="center" w:pos="4153"/>
        <w:tab w:val="right" w:pos="8306"/>
      </w:tabs>
      <w:snapToGrid w:val="0"/>
      <w:jc w:val="left"/>
    </w:pPr>
    <w:rPr>
      <w:sz w:val="18"/>
      <w:szCs w:val="18"/>
    </w:rPr>
  </w:style>
  <w:style w:type="character" w:customStyle="1" w:styleId="722">
    <w:name w:val="_Style 721"/>
    <w:basedOn w:val="38"/>
    <w:uiPriority w:val="99"/>
    <w:rPr>
      <w:rFonts w:ascii="Calibri" w:hAnsi="Calibri" w:eastAsia="宋体" w:cs="Times New Roman"/>
      <w:sz w:val="18"/>
      <w:szCs w:val="18"/>
    </w:rPr>
  </w:style>
  <w:style w:type="paragraph" w:customStyle="1" w:styleId="723">
    <w:name w:val="_Style 722"/>
    <w:basedOn w:val="501"/>
    <w:uiPriority w:val="0"/>
    <w:rPr>
      <w:rFonts w:ascii="宋体" w:hAnsi="Courier New"/>
      <w:szCs w:val="20"/>
    </w:rPr>
  </w:style>
  <w:style w:type="character" w:customStyle="1" w:styleId="724">
    <w:name w:val="_Style 723"/>
    <w:basedOn w:val="38"/>
    <w:qFormat/>
    <w:uiPriority w:val="0"/>
    <w:rPr>
      <w:rFonts w:ascii="宋体" w:hAnsi="Courier New" w:eastAsia="宋体" w:cs="Times New Roman"/>
      <w:szCs w:val="20"/>
    </w:rPr>
  </w:style>
  <w:style w:type="paragraph" w:customStyle="1" w:styleId="725">
    <w:name w:val="_Style 724"/>
    <w:basedOn w:val="501"/>
    <w:qFormat/>
    <w:uiPriority w:val="99"/>
    <w:pPr>
      <w:spacing w:after="120"/>
    </w:pPr>
    <w:rPr>
      <w:rFonts w:ascii="Times New Roman" w:hAnsi="Times New Roman"/>
    </w:rPr>
  </w:style>
  <w:style w:type="character" w:customStyle="1" w:styleId="726">
    <w:name w:val="_Style 725"/>
    <w:basedOn w:val="38"/>
    <w:uiPriority w:val="99"/>
    <w:rPr>
      <w:rFonts w:ascii="Times New Roman" w:hAnsi="Times New Roman" w:eastAsia="宋体" w:cs="Times New Roman"/>
      <w:szCs w:val="21"/>
    </w:rPr>
  </w:style>
  <w:style w:type="paragraph" w:customStyle="1" w:styleId="727">
    <w:name w:val="_Style 726"/>
    <w:basedOn w:val="501"/>
    <w:next w:val="1"/>
    <w:qFormat/>
    <w:uiPriority w:val="99"/>
    <w:pPr>
      <w:ind w:left="100" w:leftChars="2500"/>
    </w:pPr>
    <w:rPr>
      <w:rFonts w:ascii="Times New Roman" w:hAnsi="Times New Roman"/>
    </w:rPr>
  </w:style>
  <w:style w:type="character" w:customStyle="1" w:styleId="728">
    <w:name w:val="_Style 727"/>
    <w:basedOn w:val="38"/>
    <w:qFormat/>
    <w:uiPriority w:val="99"/>
    <w:rPr>
      <w:rFonts w:ascii="Times New Roman" w:hAnsi="Times New Roman" w:eastAsia="宋体" w:cs="Times New Roman"/>
      <w:szCs w:val="21"/>
    </w:rPr>
  </w:style>
  <w:style w:type="paragraph" w:customStyle="1" w:styleId="729">
    <w:name w:val="_Style 728"/>
    <w:basedOn w:val="501"/>
    <w:next w:val="1"/>
    <w:qFormat/>
    <w:uiPriority w:val="99"/>
    <w:pPr>
      <w:jc w:val="center"/>
    </w:pPr>
    <w:rPr>
      <w:rFonts w:ascii="Times New Roman" w:hAnsi="Times New Roman"/>
    </w:rPr>
  </w:style>
  <w:style w:type="paragraph" w:customStyle="1" w:styleId="730">
    <w:name w:val="_Style 729"/>
    <w:basedOn w:val="501"/>
    <w:next w:val="1"/>
    <w:semiHidden/>
    <w:qFormat/>
    <w:uiPriority w:val="0"/>
    <w:pPr>
      <w:spacing w:before="120"/>
    </w:pPr>
    <w:rPr>
      <w:rFonts w:ascii="Arial" w:hAnsi="Arial"/>
      <w:b/>
      <w:bCs/>
    </w:rPr>
  </w:style>
  <w:style w:type="paragraph" w:customStyle="1" w:styleId="731">
    <w:name w:val="_Style 730"/>
    <w:hidden/>
    <w:semiHidden/>
    <w:qFormat/>
    <w:uiPriority w:val="99"/>
    <w:rPr>
      <w:rFonts w:ascii="Calibri" w:hAnsi="Calibri" w:eastAsia="宋体" w:cs="Times New Roman"/>
      <w:kern w:val="2"/>
      <w:sz w:val="21"/>
      <w:szCs w:val="22"/>
      <w:lang w:val="en-US" w:eastAsia="zh-CN" w:bidi="ar-SA"/>
    </w:rPr>
  </w:style>
  <w:style w:type="character" w:customStyle="1" w:styleId="732">
    <w:name w:val="_Style 731"/>
    <w:basedOn w:val="38"/>
    <w:qFormat/>
    <w:uiPriority w:val="0"/>
    <w:rPr>
      <w:kern w:val="2"/>
      <w:sz w:val="21"/>
      <w:szCs w:val="24"/>
    </w:rPr>
  </w:style>
  <w:style w:type="paragraph" w:customStyle="1" w:styleId="733">
    <w:name w:val="_Style 732"/>
    <w:basedOn w:val="501"/>
    <w:qFormat/>
    <w:uiPriority w:val="0"/>
    <w:pPr>
      <w:spacing w:before="100" w:after="100"/>
    </w:pPr>
    <w:rPr>
      <w:szCs w:val="24"/>
    </w:rPr>
  </w:style>
  <w:style w:type="paragraph" w:customStyle="1" w:styleId="734">
    <w:name w:val="_Style 733"/>
    <w:basedOn w:val="501"/>
    <w:semiHidden/>
    <w:unhideWhenUsed/>
    <w:qFormat/>
    <w:uiPriority w:val="99"/>
    <w:rPr>
      <w:sz w:val="18"/>
      <w:szCs w:val="18"/>
    </w:rPr>
  </w:style>
  <w:style w:type="character" w:customStyle="1" w:styleId="735">
    <w:name w:val="_Style 734"/>
    <w:basedOn w:val="38"/>
    <w:semiHidden/>
    <w:qFormat/>
    <w:uiPriority w:val="99"/>
    <w:rPr>
      <w:rFonts w:ascii="宋体"/>
      <w:kern w:val="2"/>
      <w:sz w:val="18"/>
      <w:szCs w:val="18"/>
    </w:rPr>
  </w:style>
  <w:style w:type="character" w:customStyle="1" w:styleId="736">
    <w:name w:val="_Style 735"/>
    <w:basedOn w:val="38"/>
    <w:semiHidden/>
    <w:qFormat/>
    <w:uiPriority w:val="99"/>
    <w:rPr>
      <w:color w:val="auto"/>
    </w:rPr>
  </w:style>
  <w:style w:type="paragraph" w:customStyle="1" w:styleId="737">
    <w:name w:val="_Style 736"/>
    <w:basedOn w:val="501"/>
    <w:next w:val="1"/>
    <w:qFormat/>
    <w:uiPriority w:val="10"/>
    <w:pPr>
      <w:spacing w:before="240" w:after="60"/>
      <w:jc w:val="center"/>
      <w:outlineLvl w:val="0"/>
    </w:pPr>
    <w:rPr>
      <w:rFonts w:asciiTheme="majorHAnsi" w:hAnsiTheme="majorHAnsi" w:cstheme="majorBidi"/>
      <w:b/>
      <w:bCs/>
      <w:sz w:val="32"/>
      <w:szCs w:val="32"/>
    </w:rPr>
  </w:style>
  <w:style w:type="character" w:customStyle="1" w:styleId="738">
    <w:name w:val="_Style 737"/>
    <w:basedOn w:val="38"/>
    <w:qFormat/>
    <w:uiPriority w:val="10"/>
    <w:rPr>
      <w:rFonts w:asciiTheme="majorHAnsi" w:hAnsiTheme="majorHAnsi" w:cstheme="majorBidi"/>
      <w:b/>
      <w:bCs/>
      <w:kern w:val="2"/>
      <w:sz w:val="32"/>
      <w:szCs w:val="32"/>
    </w:rPr>
  </w:style>
  <w:style w:type="paragraph" w:customStyle="1" w:styleId="739">
    <w:name w:val="_Style 738"/>
    <w:qFormat/>
    <w:uiPriority w:val="1"/>
    <w:pPr>
      <w:widowControl w:val="0"/>
      <w:jc w:val="both"/>
    </w:pPr>
    <w:rPr>
      <w:rFonts w:ascii="Calibri" w:hAnsi="Calibri" w:eastAsia="宋体" w:cs="Times New Roman"/>
      <w:kern w:val="2"/>
      <w:sz w:val="21"/>
      <w:szCs w:val="22"/>
      <w:lang w:val="en-US" w:eastAsia="zh-CN" w:bidi="ar-SA"/>
    </w:rPr>
  </w:style>
  <w:style w:type="paragraph" w:customStyle="1" w:styleId="740">
    <w:name w:val="_Style 739"/>
    <w:basedOn w:val="501"/>
    <w:qFormat/>
    <w:uiPriority w:val="99"/>
    <w:pPr>
      <w:widowControl/>
      <w:spacing w:before="100" w:beforeAutospacing="1" w:after="100" w:afterAutospacing="1"/>
      <w:jc w:val="left"/>
    </w:pPr>
    <w:rPr>
      <w:rFonts w:ascii="宋体" w:hAnsi="宋体" w:cs="宋体"/>
      <w:kern w:val="0"/>
      <w:sz w:val="24"/>
      <w:szCs w:val="24"/>
    </w:rPr>
  </w:style>
  <w:style w:type="paragraph" w:customStyle="1" w:styleId="741">
    <w:name w:val="_Style 740"/>
    <w:basedOn w:val="501"/>
    <w:semiHidden/>
    <w:unhideWhenUsed/>
    <w:qFormat/>
    <w:uiPriority w:val="99"/>
    <w:pPr>
      <w:snapToGrid w:val="0"/>
    </w:pPr>
  </w:style>
  <w:style w:type="character" w:customStyle="1" w:styleId="742">
    <w:name w:val="_Style 741"/>
    <w:basedOn w:val="38"/>
    <w:semiHidden/>
    <w:unhideWhenUsed/>
    <w:qFormat/>
    <w:uiPriority w:val="99"/>
    <w:rPr>
      <w:vertAlign w:val="superscript"/>
    </w:rPr>
  </w:style>
  <w:style w:type="character" w:customStyle="1" w:styleId="743">
    <w:name w:val="_Style 742"/>
    <w:basedOn w:val="662"/>
    <w:semiHidden/>
    <w:qFormat/>
    <w:uiPriority w:val="99"/>
    <w:rPr>
      <w:rFonts w:ascii="Times New Roman" w:hAnsi="Times New Roman" w:eastAsia="宋体" w:cs="Times New Roman"/>
      <w:b/>
      <w:bCs/>
      <w:szCs w:val="21"/>
    </w:rPr>
  </w:style>
  <w:style w:type="paragraph" w:customStyle="1" w:styleId="744">
    <w:name w:val="_Style 743"/>
    <w:basedOn w:val="501"/>
    <w:qFormat/>
    <w:uiPriority w:val="0"/>
    <w:pPr>
      <w:ind w:firstLine="420" w:firstLineChars="200"/>
    </w:pPr>
    <w:rPr>
      <w:rFonts w:ascii="Times New Roman" w:hAnsi="Times New Roman"/>
    </w:rPr>
  </w:style>
  <w:style w:type="character" w:customStyle="1" w:styleId="745">
    <w:name w:val="_Style 744"/>
    <w:basedOn w:val="662"/>
    <w:semiHidden/>
    <w:qFormat/>
    <w:uiPriority w:val="99"/>
    <w:rPr>
      <w:rFonts w:ascii="Times New Roman" w:hAnsi="Times New Roman" w:eastAsia="宋体" w:cs="Times New Roman"/>
      <w:b/>
      <w:bCs/>
      <w:szCs w:val="21"/>
    </w:rPr>
  </w:style>
  <w:style w:type="paragraph" w:customStyle="1" w:styleId="746">
    <w:name w:val="_Style 745"/>
    <w:basedOn w:val="501"/>
    <w:qFormat/>
    <w:uiPriority w:val="34"/>
    <w:pPr>
      <w:ind w:firstLine="420" w:firstLineChars="200"/>
    </w:pPr>
    <w:rPr>
      <w:szCs w:val="22"/>
    </w:rPr>
  </w:style>
  <w:style w:type="paragraph" w:customStyle="1" w:styleId="747">
    <w:name w:val="_Style 746"/>
    <w:basedOn w:val="501"/>
    <w:qFormat/>
    <w:uiPriority w:val="0"/>
    <w:pPr>
      <w:widowControl/>
      <w:jc w:val="left"/>
    </w:pPr>
    <w:rPr>
      <w:rFonts w:ascii="宋体" w:hAnsi="宋体" w:cs="宋体"/>
      <w:bCs/>
      <w:kern w:val="0"/>
    </w:rPr>
  </w:style>
  <w:style w:type="paragraph" w:customStyle="1" w:styleId="748">
    <w:name w:val="_Style 747"/>
    <w:basedOn w:val="501"/>
    <w:qFormat/>
    <w:uiPriority w:val="0"/>
    <w:pPr>
      <w:ind w:firstLine="420" w:firstLineChars="200"/>
    </w:pPr>
  </w:style>
  <w:style w:type="paragraph" w:customStyle="1" w:styleId="749">
    <w:name w:val="_Style 748"/>
    <w:basedOn w:val="501"/>
    <w:qFormat/>
    <w:uiPriority w:val="0"/>
    <w:pPr>
      <w:widowControl/>
      <w:jc w:val="left"/>
    </w:pPr>
    <w:rPr>
      <w:rFonts w:ascii="宋体" w:hAnsi="宋体" w:cs="宋体"/>
    </w:rPr>
  </w:style>
  <w:style w:type="paragraph" w:customStyle="1" w:styleId="750">
    <w:name w:val="_Style 749"/>
    <w:basedOn w:val="501"/>
    <w:qFormat/>
    <w:uiPriority w:val="0"/>
    <w:pPr>
      <w:ind w:firstLine="420" w:firstLineChars="200"/>
    </w:pPr>
  </w:style>
  <w:style w:type="paragraph" w:customStyle="1" w:styleId="751">
    <w:name w:val="_Style 750"/>
    <w:qFormat/>
    <w:uiPriority w:val="0"/>
    <w:pPr>
      <w:jc w:val="both"/>
    </w:pPr>
    <w:rPr>
      <w:rFonts w:ascii="Calibri" w:hAnsi="Calibri" w:eastAsia="宋体" w:cs="Calibri"/>
      <w:kern w:val="2"/>
      <w:sz w:val="21"/>
      <w:szCs w:val="21"/>
      <w:lang w:val="en-US" w:eastAsia="zh-CN" w:bidi="ar-SA"/>
    </w:rPr>
  </w:style>
  <w:style w:type="character" w:customStyle="1" w:styleId="752">
    <w:name w:val="_Style 751"/>
    <w:basedOn w:val="38"/>
    <w:qFormat/>
    <w:uiPriority w:val="99"/>
  </w:style>
  <w:style w:type="paragraph" w:customStyle="1" w:styleId="753">
    <w:name w:val="_Style 752"/>
    <w:basedOn w:val="501"/>
    <w:unhideWhenUsed/>
    <w:qFormat/>
    <w:uiPriority w:val="99"/>
    <w:rPr>
      <w:sz w:val="18"/>
      <w:szCs w:val="18"/>
    </w:rPr>
  </w:style>
  <w:style w:type="character" w:customStyle="1" w:styleId="754">
    <w:name w:val="_Style 753"/>
    <w:basedOn w:val="38"/>
    <w:qFormat/>
    <w:uiPriority w:val="99"/>
    <w:rPr>
      <w:rFonts w:ascii="Calibri" w:hAnsi="Calibri" w:eastAsia="宋体" w:cs="Times New Roman"/>
      <w:sz w:val="18"/>
      <w:szCs w:val="18"/>
    </w:rPr>
  </w:style>
  <w:style w:type="paragraph" w:customStyle="1" w:styleId="755">
    <w:name w:val="_Style 754"/>
    <w:basedOn w:val="501"/>
    <w:next w:val="1"/>
    <w:qFormat/>
    <w:uiPriority w:val="99"/>
    <w:rPr>
      <w:rFonts w:ascii="Times New Roman" w:hAnsi="Times New Roman"/>
    </w:rPr>
  </w:style>
  <w:style w:type="character" w:customStyle="1" w:styleId="756">
    <w:name w:val="_Style 755"/>
    <w:basedOn w:val="38"/>
    <w:qFormat/>
    <w:uiPriority w:val="99"/>
    <w:rPr>
      <w:rFonts w:ascii="Times New Roman" w:hAnsi="Times New Roman" w:eastAsia="宋体" w:cs="Times New Roman"/>
      <w:szCs w:val="21"/>
    </w:rPr>
  </w:style>
  <w:style w:type="paragraph" w:customStyle="1" w:styleId="757">
    <w:name w:val="_Style 756"/>
    <w:basedOn w:val="501"/>
    <w:qFormat/>
    <w:uiPriority w:val="99"/>
    <w:pPr>
      <w:ind w:firstLine="420" w:firstLineChars="200"/>
    </w:pPr>
    <w:rPr>
      <w:szCs w:val="22"/>
    </w:rPr>
  </w:style>
  <w:style w:type="character" w:customStyle="1" w:styleId="758">
    <w:name w:val="_Style 757"/>
    <w:basedOn w:val="662"/>
    <w:qFormat/>
    <w:uiPriority w:val="99"/>
    <w:rPr>
      <w:rFonts w:ascii="Calibri" w:hAnsi="Calibri" w:eastAsia="宋体" w:cs="Times New Roman"/>
      <w:b/>
      <w:bCs/>
      <w:szCs w:val="21"/>
    </w:rPr>
  </w:style>
  <w:style w:type="paragraph" w:customStyle="1" w:styleId="759">
    <w:name w:val="_Style 758"/>
    <w:basedOn w:val="661"/>
    <w:unhideWhenUsed/>
    <w:qFormat/>
    <w:uiPriority w:val="99"/>
    <w:rPr>
      <w:rFonts w:ascii="Calibri" w:hAnsi="Calibri"/>
      <w:b/>
      <w:bCs/>
      <w:szCs w:val="22"/>
    </w:rPr>
  </w:style>
  <w:style w:type="paragraph" w:customStyle="1" w:styleId="760">
    <w:name w:val="_Style 759"/>
    <w:basedOn w:val="50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61">
    <w:name w:val="_Style 760"/>
    <w:basedOn w:val="38"/>
    <w:qFormat/>
    <w:uiPriority w:val="99"/>
    <w:rPr>
      <w:rFonts w:ascii="Calibri" w:hAnsi="Calibri" w:eastAsia="宋体" w:cs="Times New Roman"/>
      <w:sz w:val="18"/>
      <w:szCs w:val="18"/>
    </w:rPr>
  </w:style>
  <w:style w:type="paragraph" w:customStyle="1" w:styleId="762">
    <w:name w:val="_Style 761"/>
    <w:basedOn w:val="501"/>
    <w:unhideWhenUsed/>
    <w:qFormat/>
    <w:uiPriority w:val="99"/>
    <w:pPr>
      <w:tabs>
        <w:tab w:val="center" w:pos="4153"/>
        <w:tab w:val="right" w:pos="8306"/>
      </w:tabs>
      <w:snapToGrid w:val="0"/>
      <w:jc w:val="left"/>
    </w:pPr>
    <w:rPr>
      <w:sz w:val="18"/>
      <w:szCs w:val="18"/>
    </w:rPr>
  </w:style>
  <w:style w:type="character" w:customStyle="1" w:styleId="763">
    <w:name w:val="_Style 762"/>
    <w:basedOn w:val="38"/>
    <w:qFormat/>
    <w:uiPriority w:val="99"/>
    <w:rPr>
      <w:rFonts w:ascii="Calibri" w:hAnsi="Calibri" w:eastAsia="宋体" w:cs="Times New Roman"/>
      <w:sz w:val="18"/>
      <w:szCs w:val="18"/>
    </w:rPr>
  </w:style>
  <w:style w:type="paragraph" w:customStyle="1" w:styleId="764">
    <w:name w:val="_Style 763"/>
    <w:basedOn w:val="501"/>
    <w:qFormat/>
    <w:uiPriority w:val="0"/>
    <w:rPr>
      <w:rFonts w:ascii="宋体" w:hAnsi="Courier New"/>
      <w:szCs w:val="20"/>
    </w:rPr>
  </w:style>
  <w:style w:type="character" w:customStyle="1" w:styleId="765">
    <w:name w:val="_Style 764"/>
    <w:basedOn w:val="38"/>
    <w:qFormat/>
    <w:uiPriority w:val="0"/>
    <w:rPr>
      <w:rFonts w:ascii="宋体" w:hAnsi="Courier New" w:eastAsia="宋体" w:cs="Times New Roman"/>
      <w:szCs w:val="20"/>
    </w:rPr>
  </w:style>
  <w:style w:type="paragraph" w:customStyle="1" w:styleId="766">
    <w:name w:val="_Style 765"/>
    <w:basedOn w:val="501"/>
    <w:qFormat/>
    <w:uiPriority w:val="99"/>
    <w:pPr>
      <w:spacing w:after="120"/>
    </w:pPr>
    <w:rPr>
      <w:rFonts w:ascii="Times New Roman" w:hAnsi="Times New Roman"/>
    </w:rPr>
  </w:style>
  <w:style w:type="character" w:customStyle="1" w:styleId="767">
    <w:name w:val="_Style 766"/>
    <w:basedOn w:val="38"/>
    <w:qFormat/>
    <w:uiPriority w:val="99"/>
    <w:rPr>
      <w:rFonts w:ascii="Times New Roman" w:hAnsi="Times New Roman" w:eastAsia="宋体" w:cs="Times New Roman"/>
      <w:szCs w:val="21"/>
    </w:rPr>
  </w:style>
  <w:style w:type="paragraph" w:customStyle="1" w:styleId="768">
    <w:name w:val="_Style 767"/>
    <w:basedOn w:val="501"/>
    <w:next w:val="1"/>
    <w:qFormat/>
    <w:uiPriority w:val="99"/>
    <w:pPr>
      <w:ind w:left="100" w:leftChars="2500"/>
    </w:pPr>
    <w:rPr>
      <w:rFonts w:ascii="Times New Roman" w:hAnsi="Times New Roman"/>
    </w:rPr>
  </w:style>
  <w:style w:type="character" w:customStyle="1" w:styleId="769">
    <w:name w:val="_Style 768"/>
    <w:basedOn w:val="38"/>
    <w:qFormat/>
    <w:uiPriority w:val="99"/>
    <w:rPr>
      <w:rFonts w:ascii="Times New Roman" w:hAnsi="Times New Roman" w:eastAsia="宋体" w:cs="Times New Roman"/>
      <w:szCs w:val="21"/>
    </w:rPr>
  </w:style>
  <w:style w:type="paragraph" w:customStyle="1" w:styleId="770">
    <w:name w:val="_Style 769"/>
    <w:basedOn w:val="501"/>
    <w:next w:val="1"/>
    <w:qFormat/>
    <w:uiPriority w:val="99"/>
    <w:pPr>
      <w:jc w:val="center"/>
    </w:pPr>
    <w:rPr>
      <w:rFonts w:ascii="Times New Roman" w:hAnsi="Times New Roman"/>
    </w:rPr>
  </w:style>
  <w:style w:type="paragraph" w:customStyle="1" w:styleId="771">
    <w:name w:val="_Style 770"/>
    <w:basedOn w:val="501"/>
    <w:next w:val="1"/>
    <w:semiHidden/>
    <w:qFormat/>
    <w:uiPriority w:val="0"/>
    <w:pPr>
      <w:spacing w:before="120"/>
    </w:pPr>
    <w:rPr>
      <w:rFonts w:ascii="Arial" w:hAnsi="Arial"/>
      <w:b/>
      <w:bCs/>
    </w:rPr>
  </w:style>
  <w:style w:type="paragraph" w:customStyle="1" w:styleId="772">
    <w:name w:val="_Style 771"/>
    <w:hidden/>
    <w:semiHidden/>
    <w:qFormat/>
    <w:uiPriority w:val="99"/>
    <w:rPr>
      <w:rFonts w:ascii="Calibri" w:hAnsi="Calibri" w:eastAsia="宋体" w:cs="Times New Roman"/>
      <w:kern w:val="2"/>
      <w:sz w:val="21"/>
      <w:szCs w:val="22"/>
      <w:lang w:val="en-US" w:eastAsia="zh-CN" w:bidi="ar-SA"/>
    </w:rPr>
  </w:style>
  <w:style w:type="character" w:customStyle="1" w:styleId="773">
    <w:name w:val="_Style 772"/>
    <w:basedOn w:val="38"/>
    <w:qFormat/>
    <w:uiPriority w:val="0"/>
    <w:rPr>
      <w:kern w:val="2"/>
      <w:sz w:val="21"/>
      <w:szCs w:val="24"/>
    </w:rPr>
  </w:style>
  <w:style w:type="paragraph" w:customStyle="1" w:styleId="774">
    <w:name w:val="_Style 773"/>
    <w:basedOn w:val="501"/>
    <w:qFormat/>
    <w:uiPriority w:val="0"/>
    <w:pPr>
      <w:spacing w:before="100" w:after="100"/>
    </w:pPr>
    <w:rPr>
      <w:szCs w:val="24"/>
    </w:rPr>
  </w:style>
  <w:style w:type="paragraph" w:customStyle="1" w:styleId="775">
    <w:name w:val="_Style 774"/>
    <w:basedOn w:val="501"/>
    <w:semiHidden/>
    <w:unhideWhenUsed/>
    <w:qFormat/>
    <w:uiPriority w:val="99"/>
    <w:rPr>
      <w:sz w:val="18"/>
      <w:szCs w:val="18"/>
    </w:rPr>
  </w:style>
  <w:style w:type="character" w:customStyle="1" w:styleId="776">
    <w:name w:val="_Style 775"/>
    <w:basedOn w:val="38"/>
    <w:semiHidden/>
    <w:qFormat/>
    <w:uiPriority w:val="99"/>
    <w:rPr>
      <w:rFonts w:ascii="宋体"/>
      <w:kern w:val="2"/>
      <w:sz w:val="18"/>
      <w:szCs w:val="18"/>
    </w:rPr>
  </w:style>
  <w:style w:type="character" w:customStyle="1" w:styleId="777">
    <w:name w:val="_Style 776"/>
    <w:basedOn w:val="38"/>
    <w:semiHidden/>
    <w:qFormat/>
    <w:uiPriority w:val="99"/>
    <w:rPr>
      <w:color w:val="auto"/>
    </w:rPr>
  </w:style>
  <w:style w:type="paragraph" w:customStyle="1" w:styleId="778">
    <w:name w:val="_Style 777"/>
    <w:basedOn w:val="501"/>
    <w:next w:val="1"/>
    <w:qFormat/>
    <w:uiPriority w:val="10"/>
    <w:pPr>
      <w:spacing w:before="240" w:after="60"/>
      <w:jc w:val="center"/>
      <w:outlineLvl w:val="0"/>
    </w:pPr>
    <w:rPr>
      <w:rFonts w:asciiTheme="majorHAnsi" w:hAnsiTheme="majorHAnsi" w:cstheme="majorBidi"/>
      <w:b/>
      <w:bCs/>
      <w:sz w:val="32"/>
      <w:szCs w:val="32"/>
    </w:rPr>
  </w:style>
  <w:style w:type="character" w:customStyle="1" w:styleId="779">
    <w:name w:val="_Style 778"/>
    <w:basedOn w:val="38"/>
    <w:qFormat/>
    <w:uiPriority w:val="10"/>
    <w:rPr>
      <w:rFonts w:asciiTheme="majorHAnsi" w:hAnsiTheme="majorHAnsi" w:cstheme="majorBidi"/>
      <w:b/>
      <w:bCs/>
      <w:kern w:val="2"/>
      <w:sz w:val="32"/>
      <w:szCs w:val="32"/>
    </w:rPr>
  </w:style>
  <w:style w:type="paragraph" w:customStyle="1" w:styleId="780">
    <w:name w:val="_Style 779"/>
    <w:qFormat/>
    <w:uiPriority w:val="1"/>
    <w:pPr>
      <w:widowControl w:val="0"/>
      <w:jc w:val="both"/>
    </w:pPr>
    <w:rPr>
      <w:rFonts w:ascii="Calibri" w:hAnsi="Calibri" w:eastAsia="宋体" w:cs="Times New Roman"/>
      <w:kern w:val="2"/>
      <w:sz w:val="21"/>
      <w:szCs w:val="22"/>
      <w:lang w:val="en-US" w:eastAsia="zh-CN" w:bidi="ar-SA"/>
    </w:rPr>
  </w:style>
  <w:style w:type="paragraph" w:customStyle="1" w:styleId="781">
    <w:name w:val="_Style 780"/>
    <w:basedOn w:val="501"/>
    <w:qFormat/>
    <w:uiPriority w:val="99"/>
    <w:pPr>
      <w:widowControl/>
      <w:spacing w:before="100" w:beforeAutospacing="1" w:after="100" w:afterAutospacing="1"/>
      <w:jc w:val="left"/>
    </w:pPr>
    <w:rPr>
      <w:rFonts w:ascii="宋体" w:hAnsi="宋体" w:cs="宋体"/>
      <w:kern w:val="0"/>
      <w:sz w:val="24"/>
      <w:szCs w:val="24"/>
    </w:rPr>
  </w:style>
  <w:style w:type="paragraph" w:customStyle="1" w:styleId="782">
    <w:name w:val="_Style 781"/>
    <w:basedOn w:val="501"/>
    <w:semiHidden/>
    <w:unhideWhenUsed/>
    <w:qFormat/>
    <w:uiPriority w:val="99"/>
    <w:pPr>
      <w:snapToGrid w:val="0"/>
    </w:pPr>
  </w:style>
  <w:style w:type="character" w:customStyle="1" w:styleId="783">
    <w:name w:val="_Style 782"/>
    <w:basedOn w:val="38"/>
    <w:semiHidden/>
    <w:unhideWhenUsed/>
    <w:qFormat/>
    <w:uiPriority w:val="99"/>
    <w:rPr>
      <w:vertAlign w:val="superscript"/>
    </w:rPr>
  </w:style>
  <w:style w:type="character" w:customStyle="1" w:styleId="784">
    <w:name w:val="_Style 783"/>
    <w:basedOn w:val="662"/>
    <w:semiHidden/>
    <w:qFormat/>
    <w:uiPriority w:val="99"/>
    <w:rPr>
      <w:rFonts w:ascii="Times New Roman" w:hAnsi="Times New Roman" w:eastAsia="宋体" w:cs="Times New Roman"/>
      <w:b/>
      <w:bCs/>
      <w:szCs w:val="21"/>
    </w:rPr>
  </w:style>
  <w:style w:type="paragraph" w:customStyle="1" w:styleId="785">
    <w:name w:val="_Style 784"/>
    <w:basedOn w:val="501"/>
    <w:uiPriority w:val="0"/>
    <w:pPr>
      <w:ind w:firstLine="420" w:firstLineChars="200"/>
    </w:pPr>
    <w:rPr>
      <w:rFonts w:ascii="Times New Roman" w:hAnsi="Times New Roman"/>
    </w:rPr>
  </w:style>
  <w:style w:type="character" w:customStyle="1" w:styleId="786">
    <w:name w:val="_Style 785"/>
    <w:basedOn w:val="662"/>
    <w:semiHidden/>
    <w:uiPriority w:val="99"/>
    <w:rPr>
      <w:rFonts w:ascii="Times New Roman" w:hAnsi="Times New Roman" w:eastAsia="宋体" w:cs="Times New Roman"/>
      <w:b/>
      <w:bCs/>
      <w:szCs w:val="21"/>
    </w:rPr>
  </w:style>
  <w:style w:type="paragraph" w:customStyle="1" w:styleId="787">
    <w:name w:val="_Style 786"/>
    <w:basedOn w:val="501"/>
    <w:qFormat/>
    <w:uiPriority w:val="34"/>
    <w:pPr>
      <w:ind w:firstLine="420" w:firstLineChars="200"/>
    </w:pPr>
    <w:rPr>
      <w:szCs w:val="22"/>
    </w:rPr>
  </w:style>
  <w:style w:type="paragraph" w:customStyle="1" w:styleId="788">
    <w:name w:val="_Style 787"/>
    <w:basedOn w:val="501"/>
    <w:uiPriority w:val="0"/>
    <w:pPr>
      <w:widowControl/>
      <w:jc w:val="left"/>
    </w:pPr>
    <w:rPr>
      <w:rFonts w:ascii="宋体" w:hAnsi="宋体" w:cs="宋体"/>
      <w:bCs/>
      <w:kern w:val="0"/>
    </w:rPr>
  </w:style>
  <w:style w:type="paragraph" w:customStyle="1" w:styleId="789">
    <w:name w:val="_Style 788"/>
    <w:basedOn w:val="501"/>
    <w:uiPriority w:val="0"/>
    <w:pPr>
      <w:ind w:firstLine="420" w:firstLineChars="200"/>
    </w:pPr>
  </w:style>
  <w:style w:type="paragraph" w:customStyle="1" w:styleId="790">
    <w:name w:val="_Style 789"/>
    <w:basedOn w:val="501"/>
    <w:uiPriority w:val="0"/>
    <w:pPr>
      <w:widowControl/>
      <w:jc w:val="left"/>
    </w:pPr>
    <w:rPr>
      <w:rFonts w:ascii="宋体" w:hAnsi="宋体" w:cs="宋体"/>
    </w:rPr>
  </w:style>
  <w:style w:type="paragraph" w:customStyle="1" w:styleId="791">
    <w:name w:val="_Style 790"/>
    <w:basedOn w:val="501"/>
    <w:uiPriority w:val="0"/>
    <w:pPr>
      <w:ind w:firstLine="420" w:firstLineChars="200"/>
    </w:pPr>
  </w:style>
  <w:style w:type="paragraph" w:customStyle="1" w:styleId="792">
    <w:name w:val="_Style 791"/>
    <w:uiPriority w:val="0"/>
    <w:pPr>
      <w:jc w:val="both"/>
    </w:pPr>
    <w:rPr>
      <w:rFonts w:ascii="Calibri" w:hAnsi="Calibri" w:eastAsia="宋体" w:cs="Calibri"/>
      <w:kern w:val="2"/>
      <w:sz w:val="21"/>
      <w:szCs w:val="21"/>
      <w:lang w:val="en-US" w:eastAsia="zh-CN" w:bidi="ar-SA"/>
    </w:rPr>
  </w:style>
  <w:style w:type="character" w:customStyle="1" w:styleId="793">
    <w:name w:val="_Style 792"/>
    <w:basedOn w:val="38"/>
    <w:uiPriority w:val="0"/>
    <w:rPr>
      <w:snapToGrid/>
      <w:lang w:val="en-US" w:eastAsia="en-US"/>
    </w:rPr>
  </w:style>
  <w:style w:type="character" w:customStyle="1" w:styleId="794">
    <w:name w:val="_Style 793"/>
    <w:basedOn w:val="38"/>
    <w:uiPriority w:val="0"/>
    <w:rPr>
      <w:rFonts w:hint="eastAsia" w:ascii="等线" w:hAnsi="等线" w:eastAsia="等线" w:cs="Times New Roman"/>
      <w:b/>
      <w:bCs/>
      <w:snapToGrid/>
      <w:color w:val="000000"/>
      <w:spacing w:val="-10"/>
      <w:kern w:val="28"/>
      <w:sz w:val="32"/>
      <w:szCs w:val="32"/>
      <w:lang w:val="en-US" w:eastAsia="en-US"/>
    </w:rPr>
  </w:style>
  <w:style w:type="paragraph" w:customStyle="1" w:styleId="795">
    <w:name w:val="_Style 794"/>
    <w:basedOn w:val="501"/>
    <w:unhideWhenUsed/>
    <w:uiPriority w:val="99"/>
    <w:rPr>
      <w:sz w:val="18"/>
      <w:szCs w:val="18"/>
    </w:rPr>
  </w:style>
  <w:style w:type="character" w:customStyle="1" w:styleId="796">
    <w:name w:val="_Style 795"/>
    <w:basedOn w:val="38"/>
    <w:uiPriority w:val="99"/>
    <w:rPr>
      <w:rFonts w:ascii="Calibri" w:hAnsi="Calibri" w:eastAsia="宋体" w:cs="Times New Roman"/>
      <w:sz w:val="18"/>
      <w:szCs w:val="18"/>
    </w:rPr>
  </w:style>
  <w:style w:type="paragraph" w:customStyle="1" w:styleId="797">
    <w:name w:val="_Style 796"/>
    <w:basedOn w:val="501"/>
    <w:next w:val="1"/>
    <w:qFormat/>
    <w:uiPriority w:val="99"/>
    <w:rPr>
      <w:rFonts w:ascii="Times New Roman" w:hAnsi="Times New Roman"/>
    </w:rPr>
  </w:style>
  <w:style w:type="character" w:customStyle="1" w:styleId="798">
    <w:name w:val="_Style 797"/>
    <w:basedOn w:val="38"/>
    <w:uiPriority w:val="99"/>
    <w:rPr>
      <w:rFonts w:ascii="Times New Roman" w:hAnsi="Times New Roman" w:eastAsia="宋体" w:cs="Times New Roman"/>
      <w:szCs w:val="21"/>
    </w:rPr>
  </w:style>
  <w:style w:type="paragraph" w:customStyle="1" w:styleId="799">
    <w:name w:val="_Style 798"/>
    <w:basedOn w:val="501"/>
    <w:qFormat/>
    <w:uiPriority w:val="99"/>
    <w:pPr>
      <w:ind w:firstLine="420" w:firstLineChars="200"/>
    </w:pPr>
    <w:rPr>
      <w:szCs w:val="22"/>
    </w:rPr>
  </w:style>
  <w:style w:type="character" w:customStyle="1" w:styleId="800">
    <w:name w:val="_Style 799"/>
    <w:basedOn w:val="662"/>
    <w:uiPriority w:val="99"/>
    <w:rPr>
      <w:rFonts w:ascii="Calibri" w:hAnsi="Calibri" w:eastAsia="宋体" w:cs="Times New Roman"/>
      <w:b/>
      <w:bCs/>
      <w:szCs w:val="21"/>
    </w:rPr>
  </w:style>
  <w:style w:type="paragraph" w:customStyle="1" w:styleId="801">
    <w:name w:val="_Style 800"/>
    <w:basedOn w:val="661"/>
    <w:unhideWhenUsed/>
    <w:uiPriority w:val="99"/>
    <w:rPr>
      <w:rFonts w:ascii="Calibri" w:hAnsi="Calibri"/>
      <w:b/>
      <w:bCs/>
      <w:szCs w:val="22"/>
    </w:rPr>
  </w:style>
  <w:style w:type="paragraph" w:customStyle="1" w:styleId="802">
    <w:name w:val="_Style 801"/>
    <w:basedOn w:val="501"/>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03">
    <w:name w:val="_Style 802"/>
    <w:basedOn w:val="38"/>
    <w:uiPriority w:val="99"/>
    <w:rPr>
      <w:rFonts w:ascii="Calibri" w:hAnsi="Calibri" w:eastAsia="宋体" w:cs="Times New Roman"/>
      <w:sz w:val="18"/>
      <w:szCs w:val="18"/>
    </w:rPr>
  </w:style>
  <w:style w:type="paragraph" w:customStyle="1" w:styleId="804">
    <w:name w:val="_Style 803"/>
    <w:basedOn w:val="501"/>
    <w:unhideWhenUsed/>
    <w:uiPriority w:val="99"/>
    <w:pPr>
      <w:tabs>
        <w:tab w:val="center" w:pos="4153"/>
        <w:tab w:val="right" w:pos="8306"/>
      </w:tabs>
      <w:snapToGrid w:val="0"/>
      <w:jc w:val="left"/>
    </w:pPr>
    <w:rPr>
      <w:sz w:val="18"/>
      <w:szCs w:val="18"/>
    </w:rPr>
  </w:style>
  <w:style w:type="character" w:customStyle="1" w:styleId="805">
    <w:name w:val="_Style 804"/>
    <w:basedOn w:val="38"/>
    <w:uiPriority w:val="99"/>
    <w:rPr>
      <w:rFonts w:ascii="Calibri" w:hAnsi="Calibri" w:eastAsia="宋体" w:cs="Times New Roman"/>
      <w:sz w:val="18"/>
      <w:szCs w:val="18"/>
    </w:rPr>
  </w:style>
  <w:style w:type="paragraph" w:customStyle="1" w:styleId="806">
    <w:name w:val="_Style 805"/>
    <w:basedOn w:val="501"/>
    <w:uiPriority w:val="0"/>
    <w:rPr>
      <w:rFonts w:ascii="宋体" w:hAnsi="Courier New"/>
      <w:szCs w:val="20"/>
    </w:rPr>
  </w:style>
  <w:style w:type="character" w:customStyle="1" w:styleId="807">
    <w:name w:val="_Style 806"/>
    <w:basedOn w:val="38"/>
    <w:uiPriority w:val="0"/>
    <w:rPr>
      <w:rFonts w:ascii="宋体" w:hAnsi="Courier New" w:eastAsia="宋体" w:cs="Times New Roman"/>
      <w:szCs w:val="20"/>
    </w:rPr>
  </w:style>
  <w:style w:type="paragraph" w:customStyle="1" w:styleId="808">
    <w:name w:val="_Style 807"/>
    <w:basedOn w:val="501"/>
    <w:uiPriority w:val="99"/>
    <w:pPr>
      <w:spacing w:after="120"/>
    </w:pPr>
    <w:rPr>
      <w:rFonts w:ascii="Times New Roman" w:hAnsi="Times New Roman"/>
    </w:rPr>
  </w:style>
  <w:style w:type="character" w:customStyle="1" w:styleId="809">
    <w:name w:val="_Style 808"/>
    <w:basedOn w:val="38"/>
    <w:uiPriority w:val="99"/>
    <w:rPr>
      <w:rFonts w:ascii="Times New Roman" w:hAnsi="Times New Roman" w:eastAsia="宋体" w:cs="Times New Roman"/>
      <w:szCs w:val="21"/>
    </w:rPr>
  </w:style>
  <w:style w:type="paragraph" w:customStyle="1" w:styleId="810">
    <w:name w:val="_Style 809"/>
    <w:basedOn w:val="501"/>
    <w:next w:val="1"/>
    <w:uiPriority w:val="99"/>
    <w:pPr>
      <w:ind w:left="100" w:leftChars="2500"/>
    </w:pPr>
    <w:rPr>
      <w:rFonts w:ascii="Times New Roman" w:hAnsi="Times New Roman"/>
    </w:rPr>
  </w:style>
  <w:style w:type="character" w:customStyle="1" w:styleId="811">
    <w:name w:val="_Style 810"/>
    <w:basedOn w:val="38"/>
    <w:uiPriority w:val="99"/>
    <w:rPr>
      <w:rFonts w:ascii="Times New Roman" w:hAnsi="Times New Roman" w:eastAsia="宋体" w:cs="Times New Roman"/>
      <w:szCs w:val="21"/>
    </w:rPr>
  </w:style>
  <w:style w:type="paragraph" w:customStyle="1" w:styleId="812">
    <w:name w:val="_Style 811"/>
    <w:basedOn w:val="501"/>
    <w:next w:val="1"/>
    <w:uiPriority w:val="99"/>
    <w:pPr>
      <w:jc w:val="center"/>
    </w:pPr>
    <w:rPr>
      <w:rFonts w:ascii="Times New Roman" w:hAnsi="Times New Roman"/>
    </w:rPr>
  </w:style>
  <w:style w:type="paragraph" w:customStyle="1" w:styleId="813">
    <w:name w:val="_Style 812"/>
    <w:basedOn w:val="501"/>
    <w:next w:val="1"/>
    <w:semiHidden/>
    <w:uiPriority w:val="0"/>
    <w:pPr>
      <w:spacing w:before="120"/>
    </w:pPr>
    <w:rPr>
      <w:rFonts w:ascii="Arial" w:hAnsi="Arial"/>
      <w:b/>
      <w:bCs/>
    </w:rPr>
  </w:style>
  <w:style w:type="paragraph" w:customStyle="1" w:styleId="814">
    <w:name w:val="_Style 813"/>
    <w:hidden/>
    <w:semiHidden/>
    <w:uiPriority w:val="99"/>
    <w:rPr>
      <w:rFonts w:ascii="Calibri" w:hAnsi="Calibri" w:eastAsia="宋体" w:cs="Times New Roman"/>
      <w:kern w:val="2"/>
      <w:sz w:val="21"/>
      <w:szCs w:val="22"/>
      <w:lang w:val="en-US" w:eastAsia="zh-CN" w:bidi="ar-SA"/>
    </w:rPr>
  </w:style>
  <w:style w:type="character" w:customStyle="1" w:styleId="815">
    <w:name w:val="_Style 814"/>
    <w:basedOn w:val="38"/>
    <w:qFormat/>
    <w:uiPriority w:val="0"/>
    <w:rPr>
      <w:kern w:val="2"/>
      <w:sz w:val="21"/>
      <w:szCs w:val="24"/>
    </w:rPr>
  </w:style>
  <w:style w:type="paragraph" w:customStyle="1" w:styleId="816">
    <w:name w:val="_Style 815"/>
    <w:basedOn w:val="501"/>
    <w:qFormat/>
    <w:uiPriority w:val="0"/>
    <w:pPr>
      <w:spacing w:before="100" w:after="100"/>
    </w:pPr>
    <w:rPr>
      <w:szCs w:val="24"/>
    </w:rPr>
  </w:style>
  <w:style w:type="paragraph" w:customStyle="1" w:styleId="817">
    <w:name w:val="_Style 816"/>
    <w:basedOn w:val="501"/>
    <w:semiHidden/>
    <w:unhideWhenUsed/>
    <w:uiPriority w:val="99"/>
    <w:rPr>
      <w:sz w:val="18"/>
      <w:szCs w:val="18"/>
    </w:rPr>
  </w:style>
  <w:style w:type="character" w:customStyle="1" w:styleId="818">
    <w:name w:val="_Style 817"/>
    <w:basedOn w:val="38"/>
    <w:semiHidden/>
    <w:uiPriority w:val="99"/>
    <w:rPr>
      <w:rFonts w:ascii="宋体"/>
      <w:kern w:val="2"/>
      <w:sz w:val="18"/>
      <w:szCs w:val="18"/>
    </w:rPr>
  </w:style>
  <w:style w:type="character" w:customStyle="1" w:styleId="819">
    <w:name w:val="_Style 818"/>
    <w:basedOn w:val="38"/>
    <w:semiHidden/>
    <w:uiPriority w:val="99"/>
    <w:rPr>
      <w:color w:val="auto"/>
    </w:rPr>
  </w:style>
  <w:style w:type="paragraph" w:customStyle="1" w:styleId="820">
    <w:name w:val="_Style 819"/>
    <w:basedOn w:val="501"/>
    <w:next w:val="1"/>
    <w:qFormat/>
    <w:uiPriority w:val="10"/>
    <w:pPr>
      <w:spacing w:before="240" w:after="60"/>
      <w:jc w:val="center"/>
      <w:outlineLvl w:val="0"/>
    </w:pPr>
    <w:rPr>
      <w:rFonts w:asciiTheme="majorHAnsi" w:hAnsiTheme="majorHAnsi" w:cstheme="majorBidi"/>
      <w:b/>
      <w:bCs/>
      <w:sz w:val="32"/>
      <w:szCs w:val="32"/>
    </w:rPr>
  </w:style>
  <w:style w:type="character" w:customStyle="1" w:styleId="821">
    <w:name w:val="_Style 820"/>
    <w:basedOn w:val="38"/>
    <w:uiPriority w:val="10"/>
    <w:rPr>
      <w:rFonts w:asciiTheme="majorHAnsi" w:hAnsiTheme="majorHAnsi" w:cstheme="majorBidi"/>
      <w:b/>
      <w:bCs/>
      <w:kern w:val="2"/>
      <w:sz w:val="32"/>
      <w:szCs w:val="32"/>
    </w:rPr>
  </w:style>
  <w:style w:type="paragraph" w:customStyle="1" w:styleId="822">
    <w:name w:val="_Style 8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823">
    <w:name w:val="_Style 822"/>
    <w:basedOn w:val="501"/>
    <w:uiPriority w:val="99"/>
    <w:pPr>
      <w:widowControl/>
      <w:spacing w:before="100" w:beforeAutospacing="1" w:after="100" w:afterAutospacing="1"/>
      <w:jc w:val="left"/>
    </w:pPr>
    <w:rPr>
      <w:rFonts w:ascii="宋体" w:hAnsi="宋体" w:cs="宋体"/>
      <w:kern w:val="0"/>
      <w:sz w:val="24"/>
      <w:szCs w:val="24"/>
    </w:rPr>
  </w:style>
  <w:style w:type="paragraph" w:customStyle="1" w:styleId="824">
    <w:name w:val="_Style 823"/>
    <w:basedOn w:val="501"/>
    <w:semiHidden/>
    <w:unhideWhenUsed/>
    <w:uiPriority w:val="99"/>
    <w:pPr>
      <w:snapToGrid w:val="0"/>
    </w:pPr>
  </w:style>
  <w:style w:type="character" w:customStyle="1" w:styleId="825">
    <w:name w:val="_Style 824"/>
    <w:basedOn w:val="38"/>
    <w:semiHidden/>
    <w:unhideWhenUsed/>
    <w:uiPriority w:val="99"/>
    <w:rPr>
      <w:vertAlign w:val="superscript"/>
    </w:rPr>
  </w:style>
  <w:style w:type="character" w:customStyle="1" w:styleId="826">
    <w:name w:val="_Style 825"/>
    <w:basedOn w:val="662"/>
    <w:semiHidden/>
    <w:uiPriority w:val="99"/>
    <w:rPr>
      <w:rFonts w:ascii="Times New Roman" w:hAnsi="Times New Roman" w:eastAsia="宋体" w:cs="Times New Roman"/>
      <w:b/>
      <w:bCs/>
      <w:szCs w:val="21"/>
    </w:rPr>
  </w:style>
  <w:style w:type="paragraph" w:customStyle="1" w:styleId="827">
    <w:name w:val="_Style 826"/>
    <w:basedOn w:val="501"/>
    <w:uiPriority w:val="0"/>
    <w:pPr>
      <w:ind w:firstLine="420" w:firstLineChars="200"/>
    </w:pPr>
    <w:rPr>
      <w:rFonts w:ascii="Times New Roman" w:hAnsi="Times New Roman"/>
    </w:rPr>
  </w:style>
  <w:style w:type="character" w:customStyle="1" w:styleId="828">
    <w:name w:val="_Style 827"/>
    <w:basedOn w:val="662"/>
    <w:semiHidden/>
    <w:uiPriority w:val="99"/>
    <w:rPr>
      <w:rFonts w:ascii="Times New Roman" w:hAnsi="Times New Roman" w:eastAsia="宋体" w:cs="Times New Roman"/>
      <w:b/>
      <w:bCs/>
      <w:szCs w:val="21"/>
    </w:rPr>
  </w:style>
  <w:style w:type="paragraph" w:customStyle="1" w:styleId="829">
    <w:name w:val="_Style 828"/>
    <w:basedOn w:val="501"/>
    <w:qFormat/>
    <w:uiPriority w:val="34"/>
    <w:pPr>
      <w:ind w:firstLine="420" w:firstLineChars="200"/>
    </w:pPr>
    <w:rPr>
      <w:szCs w:val="22"/>
    </w:rPr>
  </w:style>
  <w:style w:type="paragraph" w:customStyle="1" w:styleId="830">
    <w:name w:val="_Style 829"/>
    <w:basedOn w:val="501"/>
    <w:uiPriority w:val="0"/>
    <w:pPr>
      <w:widowControl/>
      <w:jc w:val="left"/>
    </w:pPr>
    <w:rPr>
      <w:rFonts w:ascii="宋体" w:hAnsi="宋体" w:cs="宋体"/>
      <w:bCs/>
      <w:kern w:val="0"/>
    </w:rPr>
  </w:style>
  <w:style w:type="paragraph" w:customStyle="1" w:styleId="831">
    <w:name w:val="_Style 830"/>
    <w:basedOn w:val="501"/>
    <w:uiPriority w:val="0"/>
    <w:pPr>
      <w:ind w:firstLine="420" w:firstLineChars="200"/>
    </w:pPr>
  </w:style>
  <w:style w:type="paragraph" w:customStyle="1" w:styleId="832">
    <w:name w:val="_Style 831"/>
    <w:basedOn w:val="501"/>
    <w:uiPriority w:val="0"/>
    <w:pPr>
      <w:widowControl/>
      <w:jc w:val="left"/>
    </w:pPr>
    <w:rPr>
      <w:rFonts w:ascii="宋体" w:hAnsi="宋体" w:cs="宋体"/>
    </w:rPr>
  </w:style>
  <w:style w:type="paragraph" w:customStyle="1" w:styleId="833">
    <w:name w:val="_Style 832"/>
    <w:basedOn w:val="501"/>
    <w:uiPriority w:val="0"/>
    <w:pPr>
      <w:ind w:firstLine="420" w:firstLineChars="200"/>
    </w:pPr>
  </w:style>
  <w:style w:type="paragraph" w:customStyle="1" w:styleId="834">
    <w:name w:val="_Style 833"/>
    <w:uiPriority w:val="0"/>
    <w:pPr>
      <w:jc w:val="both"/>
    </w:pPr>
    <w:rPr>
      <w:rFonts w:ascii="Calibri" w:hAnsi="Calibri" w:eastAsia="宋体" w:cs="Calibri"/>
      <w:kern w:val="2"/>
      <w:sz w:val="21"/>
      <w:szCs w:val="21"/>
      <w:lang w:val="en-US" w:eastAsia="zh-CN" w:bidi="ar-SA"/>
    </w:rPr>
  </w:style>
  <w:style w:type="paragraph" w:customStyle="1" w:styleId="835">
    <w:name w:val="_Style 834"/>
    <w:basedOn w:val="501"/>
    <w:unhideWhenUsed/>
    <w:uiPriority w:val="99"/>
    <w:rPr>
      <w:sz w:val="18"/>
      <w:szCs w:val="18"/>
    </w:rPr>
  </w:style>
  <w:style w:type="character" w:customStyle="1" w:styleId="836">
    <w:name w:val="_Style 835"/>
    <w:basedOn w:val="38"/>
    <w:uiPriority w:val="99"/>
    <w:rPr>
      <w:rFonts w:ascii="Calibri" w:hAnsi="Calibri" w:eastAsia="宋体" w:cs="Times New Roman"/>
      <w:sz w:val="18"/>
      <w:szCs w:val="18"/>
    </w:rPr>
  </w:style>
  <w:style w:type="paragraph" w:customStyle="1" w:styleId="837">
    <w:name w:val="_Style 836"/>
    <w:basedOn w:val="501"/>
    <w:next w:val="1"/>
    <w:qFormat/>
    <w:uiPriority w:val="99"/>
    <w:rPr>
      <w:rFonts w:ascii="Times New Roman" w:hAnsi="Times New Roman"/>
    </w:rPr>
  </w:style>
  <w:style w:type="character" w:customStyle="1" w:styleId="838">
    <w:name w:val="_Style 837"/>
    <w:basedOn w:val="38"/>
    <w:uiPriority w:val="99"/>
    <w:rPr>
      <w:rFonts w:ascii="Times New Roman" w:hAnsi="Times New Roman" w:eastAsia="宋体" w:cs="Times New Roman"/>
      <w:szCs w:val="21"/>
    </w:rPr>
  </w:style>
  <w:style w:type="paragraph" w:customStyle="1" w:styleId="839">
    <w:name w:val="_Style 838"/>
    <w:basedOn w:val="501"/>
    <w:qFormat/>
    <w:uiPriority w:val="99"/>
    <w:pPr>
      <w:ind w:firstLine="420" w:firstLineChars="200"/>
    </w:pPr>
    <w:rPr>
      <w:szCs w:val="22"/>
    </w:rPr>
  </w:style>
  <w:style w:type="character" w:customStyle="1" w:styleId="840">
    <w:name w:val="_Style 839"/>
    <w:basedOn w:val="662"/>
    <w:uiPriority w:val="99"/>
    <w:rPr>
      <w:rFonts w:ascii="Calibri" w:hAnsi="Calibri" w:eastAsia="宋体" w:cs="Times New Roman"/>
      <w:b/>
      <w:bCs/>
      <w:szCs w:val="21"/>
    </w:rPr>
  </w:style>
  <w:style w:type="paragraph" w:customStyle="1" w:styleId="841">
    <w:name w:val="_Style 840"/>
    <w:basedOn w:val="661"/>
    <w:unhideWhenUsed/>
    <w:uiPriority w:val="99"/>
    <w:rPr>
      <w:rFonts w:ascii="Calibri" w:hAnsi="Calibri"/>
      <w:b/>
      <w:bCs/>
      <w:szCs w:val="22"/>
    </w:rPr>
  </w:style>
  <w:style w:type="paragraph" w:customStyle="1" w:styleId="842">
    <w:name w:val="_Style 841"/>
    <w:basedOn w:val="501"/>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43">
    <w:name w:val="_Style 842"/>
    <w:basedOn w:val="38"/>
    <w:uiPriority w:val="99"/>
    <w:rPr>
      <w:rFonts w:ascii="Calibri" w:hAnsi="Calibri" w:eastAsia="宋体" w:cs="Times New Roman"/>
      <w:sz w:val="18"/>
      <w:szCs w:val="18"/>
    </w:rPr>
  </w:style>
  <w:style w:type="paragraph" w:customStyle="1" w:styleId="844">
    <w:name w:val="_Style 843"/>
    <w:basedOn w:val="501"/>
    <w:unhideWhenUsed/>
    <w:uiPriority w:val="99"/>
    <w:pPr>
      <w:tabs>
        <w:tab w:val="center" w:pos="4153"/>
        <w:tab w:val="right" w:pos="8306"/>
      </w:tabs>
      <w:snapToGrid w:val="0"/>
      <w:jc w:val="left"/>
    </w:pPr>
    <w:rPr>
      <w:sz w:val="18"/>
      <w:szCs w:val="18"/>
    </w:rPr>
  </w:style>
  <w:style w:type="character" w:customStyle="1" w:styleId="845">
    <w:name w:val="_Style 844"/>
    <w:basedOn w:val="38"/>
    <w:uiPriority w:val="99"/>
    <w:rPr>
      <w:rFonts w:ascii="Calibri" w:hAnsi="Calibri" w:eastAsia="宋体" w:cs="Times New Roman"/>
      <w:sz w:val="18"/>
      <w:szCs w:val="18"/>
    </w:rPr>
  </w:style>
  <w:style w:type="paragraph" w:customStyle="1" w:styleId="846">
    <w:name w:val="_Style 845"/>
    <w:basedOn w:val="501"/>
    <w:uiPriority w:val="0"/>
    <w:rPr>
      <w:rFonts w:ascii="宋体" w:hAnsi="Courier New"/>
      <w:szCs w:val="20"/>
    </w:rPr>
  </w:style>
  <w:style w:type="character" w:customStyle="1" w:styleId="847">
    <w:name w:val="_Style 846"/>
    <w:basedOn w:val="38"/>
    <w:uiPriority w:val="0"/>
    <w:rPr>
      <w:rFonts w:ascii="宋体" w:hAnsi="Courier New" w:eastAsia="宋体" w:cs="Times New Roman"/>
      <w:szCs w:val="20"/>
    </w:rPr>
  </w:style>
  <w:style w:type="paragraph" w:customStyle="1" w:styleId="848">
    <w:name w:val="_Style 847"/>
    <w:basedOn w:val="501"/>
    <w:uiPriority w:val="99"/>
    <w:pPr>
      <w:spacing w:after="120"/>
    </w:pPr>
    <w:rPr>
      <w:rFonts w:ascii="Times New Roman" w:hAnsi="Times New Roman"/>
    </w:rPr>
  </w:style>
  <w:style w:type="character" w:customStyle="1" w:styleId="849">
    <w:name w:val="_Style 848"/>
    <w:basedOn w:val="38"/>
    <w:uiPriority w:val="99"/>
    <w:rPr>
      <w:rFonts w:ascii="Times New Roman" w:hAnsi="Times New Roman" w:eastAsia="宋体" w:cs="Times New Roman"/>
      <w:szCs w:val="21"/>
    </w:rPr>
  </w:style>
  <w:style w:type="paragraph" w:customStyle="1" w:styleId="850">
    <w:name w:val="_Style 849"/>
    <w:basedOn w:val="501"/>
    <w:next w:val="1"/>
    <w:uiPriority w:val="99"/>
    <w:pPr>
      <w:ind w:left="100" w:leftChars="2500"/>
    </w:pPr>
    <w:rPr>
      <w:rFonts w:ascii="Times New Roman" w:hAnsi="Times New Roman"/>
    </w:rPr>
  </w:style>
  <w:style w:type="character" w:customStyle="1" w:styleId="851">
    <w:name w:val="_Style 850"/>
    <w:basedOn w:val="38"/>
    <w:uiPriority w:val="99"/>
    <w:rPr>
      <w:rFonts w:ascii="Times New Roman" w:hAnsi="Times New Roman" w:eastAsia="宋体" w:cs="Times New Roman"/>
      <w:szCs w:val="21"/>
    </w:rPr>
  </w:style>
  <w:style w:type="paragraph" w:customStyle="1" w:styleId="852">
    <w:name w:val="_Style 851"/>
    <w:basedOn w:val="501"/>
    <w:next w:val="1"/>
    <w:uiPriority w:val="99"/>
    <w:pPr>
      <w:jc w:val="center"/>
    </w:pPr>
    <w:rPr>
      <w:rFonts w:ascii="Times New Roman" w:hAnsi="Times New Roman"/>
    </w:rPr>
  </w:style>
  <w:style w:type="paragraph" w:customStyle="1" w:styleId="853">
    <w:name w:val="_Style 852"/>
    <w:basedOn w:val="501"/>
    <w:next w:val="1"/>
    <w:semiHidden/>
    <w:uiPriority w:val="0"/>
    <w:pPr>
      <w:spacing w:before="120"/>
    </w:pPr>
    <w:rPr>
      <w:rFonts w:ascii="Arial" w:hAnsi="Arial"/>
      <w:b/>
      <w:bCs/>
    </w:rPr>
  </w:style>
  <w:style w:type="paragraph" w:customStyle="1" w:styleId="854">
    <w:name w:val="_Style 853"/>
    <w:hidden/>
    <w:semiHidden/>
    <w:uiPriority w:val="99"/>
    <w:rPr>
      <w:rFonts w:ascii="Calibri" w:hAnsi="Calibri" w:eastAsia="宋体" w:cs="Times New Roman"/>
      <w:kern w:val="2"/>
      <w:sz w:val="21"/>
      <w:szCs w:val="22"/>
      <w:lang w:val="en-US" w:eastAsia="zh-CN" w:bidi="ar-SA"/>
    </w:rPr>
  </w:style>
  <w:style w:type="character" w:customStyle="1" w:styleId="855">
    <w:name w:val="_Style 854"/>
    <w:basedOn w:val="38"/>
    <w:qFormat/>
    <w:uiPriority w:val="0"/>
    <w:rPr>
      <w:kern w:val="2"/>
      <w:sz w:val="21"/>
      <w:szCs w:val="24"/>
    </w:rPr>
  </w:style>
  <w:style w:type="paragraph" w:customStyle="1" w:styleId="856">
    <w:name w:val="_Style 855"/>
    <w:basedOn w:val="501"/>
    <w:qFormat/>
    <w:uiPriority w:val="0"/>
    <w:pPr>
      <w:spacing w:before="100" w:after="100"/>
    </w:pPr>
    <w:rPr>
      <w:szCs w:val="24"/>
    </w:rPr>
  </w:style>
  <w:style w:type="paragraph" w:customStyle="1" w:styleId="857">
    <w:name w:val="_Style 856"/>
    <w:basedOn w:val="501"/>
    <w:semiHidden/>
    <w:unhideWhenUsed/>
    <w:uiPriority w:val="99"/>
    <w:rPr>
      <w:sz w:val="18"/>
      <w:szCs w:val="18"/>
    </w:rPr>
  </w:style>
  <w:style w:type="character" w:customStyle="1" w:styleId="858">
    <w:name w:val="_Style 857"/>
    <w:basedOn w:val="38"/>
    <w:semiHidden/>
    <w:uiPriority w:val="99"/>
    <w:rPr>
      <w:rFonts w:ascii="宋体"/>
      <w:kern w:val="2"/>
      <w:sz w:val="18"/>
      <w:szCs w:val="18"/>
    </w:rPr>
  </w:style>
  <w:style w:type="character" w:customStyle="1" w:styleId="859">
    <w:name w:val="_Style 858"/>
    <w:basedOn w:val="38"/>
    <w:semiHidden/>
    <w:uiPriority w:val="99"/>
    <w:rPr>
      <w:color w:val="auto"/>
    </w:rPr>
  </w:style>
  <w:style w:type="paragraph" w:customStyle="1" w:styleId="860">
    <w:name w:val="_Style 859"/>
    <w:basedOn w:val="501"/>
    <w:next w:val="1"/>
    <w:qFormat/>
    <w:uiPriority w:val="10"/>
    <w:pPr>
      <w:spacing w:before="240" w:after="60"/>
      <w:jc w:val="center"/>
      <w:outlineLvl w:val="0"/>
    </w:pPr>
    <w:rPr>
      <w:rFonts w:asciiTheme="majorHAnsi" w:hAnsiTheme="majorHAnsi" w:cstheme="majorBidi"/>
      <w:b/>
      <w:bCs/>
      <w:sz w:val="32"/>
      <w:szCs w:val="32"/>
    </w:rPr>
  </w:style>
  <w:style w:type="character" w:customStyle="1" w:styleId="861">
    <w:name w:val="_Style 860"/>
    <w:basedOn w:val="38"/>
    <w:uiPriority w:val="10"/>
    <w:rPr>
      <w:rFonts w:asciiTheme="majorHAnsi" w:hAnsiTheme="majorHAnsi" w:cstheme="majorBidi"/>
      <w:b/>
      <w:bCs/>
      <w:kern w:val="2"/>
      <w:sz w:val="32"/>
      <w:szCs w:val="32"/>
    </w:rPr>
  </w:style>
  <w:style w:type="paragraph" w:customStyle="1" w:styleId="862">
    <w:name w:val="_Style 861"/>
    <w:qFormat/>
    <w:uiPriority w:val="1"/>
    <w:pPr>
      <w:widowControl w:val="0"/>
      <w:jc w:val="both"/>
    </w:pPr>
    <w:rPr>
      <w:rFonts w:ascii="Calibri" w:hAnsi="Calibri" w:eastAsia="宋体" w:cs="Times New Roman"/>
      <w:kern w:val="2"/>
      <w:sz w:val="21"/>
      <w:szCs w:val="22"/>
      <w:lang w:val="en-US" w:eastAsia="zh-CN" w:bidi="ar-SA"/>
    </w:rPr>
  </w:style>
  <w:style w:type="paragraph" w:customStyle="1" w:styleId="863">
    <w:name w:val="_Style 862"/>
    <w:basedOn w:val="501"/>
    <w:uiPriority w:val="99"/>
    <w:pPr>
      <w:widowControl/>
      <w:spacing w:before="100" w:beforeAutospacing="1" w:after="100" w:afterAutospacing="1"/>
      <w:jc w:val="left"/>
    </w:pPr>
    <w:rPr>
      <w:rFonts w:ascii="宋体" w:hAnsi="宋体" w:cs="宋体"/>
      <w:kern w:val="0"/>
      <w:sz w:val="24"/>
      <w:szCs w:val="24"/>
    </w:rPr>
  </w:style>
  <w:style w:type="paragraph" w:customStyle="1" w:styleId="864">
    <w:name w:val="_Style 863"/>
    <w:basedOn w:val="501"/>
    <w:semiHidden/>
    <w:unhideWhenUsed/>
    <w:uiPriority w:val="99"/>
    <w:pPr>
      <w:snapToGrid w:val="0"/>
    </w:pPr>
  </w:style>
  <w:style w:type="character" w:customStyle="1" w:styleId="865">
    <w:name w:val="_Style 864"/>
    <w:basedOn w:val="38"/>
    <w:semiHidden/>
    <w:unhideWhenUsed/>
    <w:uiPriority w:val="99"/>
    <w:rPr>
      <w:vertAlign w:val="superscript"/>
    </w:rPr>
  </w:style>
  <w:style w:type="character" w:customStyle="1" w:styleId="866">
    <w:name w:val="_Style 865"/>
    <w:basedOn w:val="662"/>
    <w:semiHidden/>
    <w:uiPriority w:val="99"/>
    <w:rPr>
      <w:rFonts w:ascii="Times New Roman" w:hAnsi="Times New Roman" w:eastAsia="宋体" w:cs="Times New Roman"/>
      <w:b/>
      <w:bCs/>
      <w:szCs w:val="21"/>
    </w:rPr>
  </w:style>
  <w:style w:type="paragraph" w:customStyle="1" w:styleId="867">
    <w:name w:val="_Style 866"/>
    <w:basedOn w:val="501"/>
    <w:uiPriority w:val="0"/>
    <w:pPr>
      <w:ind w:firstLine="420" w:firstLineChars="200"/>
    </w:pPr>
    <w:rPr>
      <w:rFonts w:ascii="Times New Roman" w:hAnsi="Times New Roman"/>
    </w:rPr>
  </w:style>
  <w:style w:type="character" w:customStyle="1" w:styleId="868">
    <w:name w:val="_Style 867"/>
    <w:basedOn w:val="662"/>
    <w:semiHidden/>
    <w:uiPriority w:val="99"/>
    <w:rPr>
      <w:rFonts w:ascii="Times New Roman" w:hAnsi="Times New Roman" w:eastAsia="宋体" w:cs="Times New Roman"/>
      <w:b/>
      <w:bCs/>
      <w:szCs w:val="21"/>
    </w:rPr>
  </w:style>
  <w:style w:type="paragraph" w:customStyle="1" w:styleId="869">
    <w:name w:val="_Style 868"/>
    <w:basedOn w:val="501"/>
    <w:qFormat/>
    <w:uiPriority w:val="34"/>
    <w:pPr>
      <w:ind w:firstLine="420" w:firstLineChars="200"/>
    </w:pPr>
    <w:rPr>
      <w:szCs w:val="22"/>
    </w:rPr>
  </w:style>
  <w:style w:type="paragraph" w:customStyle="1" w:styleId="870">
    <w:name w:val="_Style 869"/>
    <w:basedOn w:val="501"/>
    <w:uiPriority w:val="0"/>
    <w:pPr>
      <w:widowControl/>
      <w:jc w:val="left"/>
    </w:pPr>
    <w:rPr>
      <w:rFonts w:ascii="宋体" w:hAnsi="宋体" w:cs="宋体"/>
      <w:bCs/>
      <w:kern w:val="0"/>
    </w:rPr>
  </w:style>
  <w:style w:type="paragraph" w:customStyle="1" w:styleId="871">
    <w:name w:val="_Style 870"/>
    <w:basedOn w:val="501"/>
    <w:uiPriority w:val="0"/>
    <w:pPr>
      <w:ind w:firstLine="420" w:firstLineChars="200"/>
    </w:pPr>
  </w:style>
  <w:style w:type="paragraph" w:customStyle="1" w:styleId="872">
    <w:name w:val="_Style 871"/>
    <w:basedOn w:val="501"/>
    <w:uiPriority w:val="0"/>
    <w:pPr>
      <w:widowControl/>
      <w:jc w:val="left"/>
    </w:pPr>
    <w:rPr>
      <w:rFonts w:ascii="宋体" w:hAnsi="宋体" w:cs="宋体"/>
    </w:rPr>
  </w:style>
  <w:style w:type="paragraph" w:customStyle="1" w:styleId="873">
    <w:name w:val="_Style 872"/>
    <w:basedOn w:val="501"/>
    <w:uiPriority w:val="0"/>
    <w:pPr>
      <w:ind w:firstLine="420" w:firstLineChars="200"/>
    </w:pPr>
  </w:style>
  <w:style w:type="paragraph" w:customStyle="1" w:styleId="874">
    <w:name w:val="_Style 873"/>
    <w:uiPriority w:val="0"/>
    <w:pPr>
      <w:jc w:val="both"/>
    </w:pPr>
    <w:rPr>
      <w:rFonts w:ascii="Calibri" w:hAnsi="Calibri" w:eastAsia="宋体" w:cs="Calibri"/>
      <w:kern w:val="2"/>
      <w:sz w:val="21"/>
      <w:szCs w:val="21"/>
      <w:lang w:val="en-US" w:eastAsia="zh-CN" w:bidi="ar-SA"/>
    </w:rPr>
  </w:style>
  <w:style w:type="paragraph" w:customStyle="1" w:styleId="875">
    <w:name w:val="_Style 874"/>
    <w:basedOn w:val="501"/>
    <w:unhideWhenUsed/>
    <w:uiPriority w:val="99"/>
    <w:rPr>
      <w:sz w:val="18"/>
      <w:szCs w:val="18"/>
    </w:rPr>
  </w:style>
  <w:style w:type="character" w:customStyle="1" w:styleId="876">
    <w:name w:val="_Style 875"/>
    <w:basedOn w:val="38"/>
    <w:uiPriority w:val="99"/>
    <w:rPr>
      <w:rFonts w:ascii="Calibri" w:hAnsi="Calibri" w:eastAsia="宋体" w:cs="Times New Roman"/>
      <w:sz w:val="18"/>
      <w:szCs w:val="18"/>
    </w:rPr>
  </w:style>
  <w:style w:type="paragraph" w:customStyle="1" w:styleId="877">
    <w:name w:val="_Style 876"/>
    <w:basedOn w:val="501"/>
    <w:next w:val="1"/>
    <w:qFormat/>
    <w:uiPriority w:val="99"/>
    <w:rPr>
      <w:rFonts w:ascii="Times New Roman" w:hAnsi="Times New Roman"/>
    </w:rPr>
  </w:style>
  <w:style w:type="character" w:customStyle="1" w:styleId="878">
    <w:name w:val="_Style 877"/>
    <w:basedOn w:val="38"/>
    <w:uiPriority w:val="99"/>
    <w:rPr>
      <w:rFonts w:ascii="Times New Roman" w:hAnsi="Times New Roman" w:eastAsia="宋体" w:cs="Times New Roman"/>
      <w:szCs w:val="21"/>
    </w:rPr>
  </w:style>
  <w:style w:type="paragraph" w:customStyle="1" w:styleId="879">
    <w:name w:val="_Style 878"/>
    <w:basedOn w:val="501"/>
    <w:qFormat/>
    <w:uiPriority w:val="99"/>
    <w:pPr>
      <w:ind w:firstLine="420" w:firstLineChars="200"/>
    </w:pPr>
    <w:rPr>
      <w:szCs w:val="22"/>
    </w:rPr>
  </w:style>
  <w:style w:type="character" w:customStyle="1" w:styleId="880">
    <w:name w:val="_Style 879"/>
    <w:basedOn w:val="662"/>
    <w:uiPriority w:val="99"/>
    <w:rPr>
      <w:rFonts w:ascii="Calibri" w:hAnsi="Calibri" w:eastAsia="宋体" w:cs="Times New Roman"/>
      <w:b/>
      <w:bCs/>
      <w:szCs w:val="21"/>
    </w:rPr>
  </w:style>
  <w:style w:type="paragraph" w:customStyle="1" w:styleId="881">
    <w:name w:val="_Style 880"/>
    <w:basedOn w:val="661"/>
    <w:unhideWhenUsed/>
    <w:uiPriority w:val="99"/>
    <w:rPr>
      <w:rFonts w:ascii="Calibri" w:hAnsi="Calibri"/>
      <w:b/>
      <w:bCs/>
      <w:szCs w:val="22"/>
    </w:rPr>
  </w:style>
  <w:style w:type="paragraph" w:customStyle="1" w:styleId="882">
    <w:name w:val="_Style 881"/>
    <w:basedOn w:val="501"/>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83">
    <w:name w:val="_Style 882"/>
    <w:basedOn w:val="38"/>
    <w:uiPriority w:val="99"/>
    <w:rPr>
      <w:rFonts w:ascii="Calibri" w:hAnsi="Calibri" w:eastAsia="宋体" w:cs="Times New Roman"/>
      <w:sz w:val="18"/>
      <w:szCs w:val="18"/>
    </w:rPr>
  </w:style>
  <w:style w:type="paragraph" w:customStyle="1" w:styleId="884">
    <w:name w:val="_Style 883"/>
    <w:basedOn w:val="501"/>
    <w:unhideWhenUsed/>
    <w:uiPriority w:val="99"/>
    <w:pPr>
      <w:tabs>
        <w:tab w:val="center" w:pos="4153"/>
        <w:tab w:val="right" w:pos="8306"/>
      </w:tabs>
      <w:snapToGrid w:val="0"/>
      <w:jc w:val="left"/>
    </w:pPr>
    <w:rPr>
      <w:sz w:val="18"/>
      <w:szCs w:val="18"/>
    </w:rPr>
  </w:style>
  <w:style w:type="character" w:customStyle="1" w:styleId="885">
    <w:name w:val="_Style 884"/>
    <w:basedOn w:val="38"/>
    <w:uiPriority w:val="99"/>
    <w:rPr>
      <w:rFonts w:ascii="Calibri" w:hAnsi="Calibri" w:eastAsia="宋体" w:cs="Times New Roman"/>
      <w:sz w:val="18"/>
      <w:szCs w:val="18"/>
    </w:rPr>
  </w:style>
  <w:style w:type="paragraph" w:customStyle="1" w:styleId="886">
    <w:name w:val="_Style 885"/>
    <w:basedOn w:val="501"/>
    <w:uiPriority w:val="0"/>
    <w:rPr>
      <w:rFonts w:ascii="宋体" w:hAnsi="Courier New"/>
      <w:szCs w:val="20"/>
    </w:rPr>
  </w:style>
  <w:style w:type="character" w:customStyle="1" w:styleId="887">
    <w:name w:val="_Style 886"/>
    <w:basedOn w:val="38"/>
    <w:uiPriority w:val="0"/>
    <w:rPr>
      <w:rFonts w:ascii="宋体" w:hAnsi="Courier New" w:eastAsia="宋体" w:cs="Times New Roman"/>
      <w:szCs w:val="20"/>
    </w:rPr>
  </w:style>
  <w:style w:type="paragraph" w:customStyle="1" w:styleId="888">
    <w:name w:val="_Style 887"/>
    <w:basedOn w:val="501"/>
    <w:uiPriority w:val="99"/>
    <w:pPr>
      <w:spacing w:after="120"/>
    </w:pPr>
    <w:rPr>
      <w:rFonts w:ascii="Times New Roman" w:hAnsi="Times New Roman"/>
    </w:rPr>
  </w:style>
  <w:style w:type="character" w:customStyle="1" w:styleId="889">
    <w:name w:val="_Style 888"/>
    <w:basedOn w:val="38"/>
    <w:uiPriority w:val="99"/>
    <w:rPr>
      <w:rFonts w:ascii="Times New Roman" w:hAnsi="Times New Roman" w:eastAsia="宋体" w:cs="Times New Roman"/>
      <w:szCs w:val="21"/>
    </w:rPr>
  </w:style>
  <w:style w:type="paragraph" w:customStyle="1" w:styleId="890">
    <w:name w:val="_Style 889"/>
    <w:basedOn w:val="501"/>
    <w:next w:val="1"/>
    <w:uiPriority w:val="99"/>
    <w:pPr>
      <w:ind w:left="100" w:leftChars="2500"/>
    </w:pPr>
    <w:rPr>
      <w:rFonts w:ascii="Times New Roman" w:hAnsi="Times New Roman"/>
    </w:rPr>
  </w:style>
  <w:style w:type="character" w:customStyle="1" w:styleId="891">
    <w:name w:val="_Style 890"/>
    <w:basedOn w:val="38"/>
    <w:uiPriority w:val="99"/>
    <w:rPr>
      <w:rFonts w:ascii="Times New Roman" w:hAnsi="Times New Roman" w:eastAsia="宋体" w:cs="Times New Roman"/>
      <w:szCs w:val="21"/>
    </w:rPr>
  </w:style>
  <w:style w:type="paragraph" w:customStyle="1" w:styleId="892">
    <w:name w:val="_Style 891"/>
    <w:basedOn w:val="501"/>
    <w:next w:val="1"/>
    <w:uiPriority w:val="99"/>
    <w:pPr>
      <w:jc w:val="center"/>
    </w:pPr>
    <w:rPr>
      <w:rFonts w:ascii="Times New Roman" w:hAnsi="Times New Roman"/>
    </w:rPr>
  </w:style>
  <w:style w:type="paragraph" w:customStyle="1" w:styleId="893">
    <w:name w:val="_Style 892"/>
    <w:basedOn w:val="501"/>
    <w:next w:val="1"/>
    <w:semiHidden/>
    <w:uiPriority w:val="0"/>
    <w:pPr>
      <w:spacing w:before="120"/>
    </w:pPr>
    <w:rPr>
      <w:rFonts w:ascii="Arial" w:hAnsi="Arial"/>
      <w:b/>
      <w:bCs/>
    </w:rPr>
  </w:style>
  <w:style w:type="paragraph" w:customStyle="1" w:styleId="894">
    <w:name w:val="_Style 893"/>
    <w:hidden/>
    <w:semiHidden/>
    <w:uiPriority w:val="99"/>
    <w:rPr>
      <w:rFonts w:ascii="Calibri" w:hAnsi="Calibri" w:eastAsia="宋体" w:cs="Times New Roman"/>
      <w:kern w:val="2"/>
      <w:sz w:val="21"/>
      <w:szCs w:val="22"/>
      <w:lang w:val="en-US" w:eastAsia="zh-CN" w:bidi="ar-SA"/>
    </w:rPr>
  </w:style>
  <w:style w:type="character" w:customStyle="1" w:styleId="895">
    <w:name w:val="_Style 894"/>
    <w:basedOn w:val="38"/>
    <w:qFormat/>
    <w:uiPriority w:val="0"/>
    <w:rPr>
      <w:kern w:val="2"/>
      <w:sz w:val="21"/>
      <w:szCs w:val="24"/>
    </w:rPr>
  </w:style>
  <w:style w:type="paragraph" w:customStyle="1" w:styleId="896">
    <w:name w:val="_Style 895"/>
    <w:basedOn w:val="501"/>
    <w:qFormat/>
    <w:uiPriority w:val="0"/>
    <w:pPr>
      <w:spacing w:before="100" w:after="100"/>
    </w:pPr>
    <w:rPr>
      <w:szCs w:val="24"/>
    </w:rPr>
  </w:style>
  <w:style w:type="paragraph" w:customStyle="1" w:styleId="897">
    <w:name w:val="_Style 896"/>
    <w:basedOn w:val="501"/>
    <w:semiHidden/>
    <w:unhideWhenUsed/>
    <w:uiPriority w:val="99"/>
    <w:rPr>
      <w:sz w:val="18"/>
      <w:szCs w:val="18"/>
    </w:rPr>
  </w:style>
  <w:style w:type="character" w:customStyle="1" w:styleId="898">
    <w:name w:val="_Style 897"/>
    <w:basedOn w:val="38"/>
    <w:semiHidden/>
    <w:uiPriority w:val="99"/>
    <w:rPr>
      <w:rFonts w:ascii="宋体"/>
      <w:kern w:val="2"/>
      <w:sz w:val="18"/>
      <w:szCs w:val="18"/>
    </w:rPr>
  </w:style>
  <w:style w:type="character" w:customStyle="1" w:styleId="899">
    <w:name w:val="_Style 898"/>
    <w:basedOn w:val="38"/>
    <w:semiHidden/>
    <w:uiPriority w:val="99"/>
    <w:rPr>
      <w:color w:val="auto"/>
    </w:rPr>
  </w:style>
  <w:style w:type="paragraph" w:customStyle="1" w:styleId="900">
    <w:name w:val="_Style 899"/>
    <w:basedOn w:val="501"/>
    <w:next w:val="1"/>
    <w:qFormat/>
    <w:uiPriority w:val="10"/>
    <w:pPr>
      <w:spacing w:before="240" w:after="60"/>
      <w:jc w:val="center"/>
      <w:outlineLvl w:val="0"/>
    </w:pPr>
    <w:rPr>
      <w:rFonts w:asciiTheme="majorHAnsi" w:hAnsiTheme="majorHAnsi" w:cstheme="majorBidi"/>
      <w:b/>
      <w:bCs/>
      <w:sz w:val="32"/>
      <w:szCs w:val="32"/>
    </w:rPr>
  </w:style>
  <w:style w:type="character" w:customStyle="1" w:styleId="901">
    <w:name w:val="_Style 900"/>
    <w:basedOn w:val="38"/>
    <w:uiPriority w:val="10"/>
    <w:rPr>
      <w:rFonts w:asciiTheme="majorHAnsi" w:hAnsiTheme="majorHAnsi" w:cstheme="majorBidi"/>
      <w:b/>
      <w:bCs/>
      <w:kern w:val="2"/>
      <w:sz w:val="32"/>
      <w:szCs w:val="32"/>
    </w:rPr>
  </w:style>
  <w:style w:type="paragraph" w:customStyle="1" w:styleId="902">
    <w:name w:val="_Style 901"/>
    <w:qFormat/>
    <w:uiPriority w:val="1"/>
    <w:pPr>
      <w:widowControl w:val="0"/>
      <w:jc w:val="both"/>
    </w:pPr>
    <w:rPr>
      <w:rFonts w:ascii="Calibri" w:hAnsi="Calibri" w:eastAsia="宋体" w:cs="Times New Roman"/>
      <w:kern w:val="2"/>
      <w:sz w:val="21"/>
      <w:szCs w:val="22"/>
      <w:lang w:val="en-US" w:eastAsia="zh-CN" w:bidi="ar-SA"/>
    </w:rPr>
  </w:style>
  <w:style w:type="paragraph" w:customStyle="1" w:styleId="903">
    <w:name w:val="_Style 902"/>
    <w:basedOn w:val="501"/>
    <w:uiPriority w:val="99"/>
    <w:pPr>
      <w:widowControl/>
      <w:spacing w:before="100" w:beforeAutospacing="1" w:after="100" w:afterAutospacing="1"/>
      <w:jc w:val="left"/>
    </w:pPr>
    <w:rPr>
      <w:rFonts w:ascii="宋体" w:hAnsi="宋体" w:cs="宋体"/>
      <w:kern w:val="0"/>
      <w:sz w:val="24"/>
      <w:szCs w:val="24"/>
    </w:rPr>
  </w:style>
  <w:style w:type="paragraph" w:customStyle="1" w:styleId="904">
    <w:name w:val="_Style 903"/>
    <w:basedOn w:val="501"/>
    <w:semiHidden/>
    <w:unhideWhenUsed/>
    <w:uiPriority w:val="99"/>
    <w:pPr>
      <w:snapToGrid w:val="0"/>
    </w:pPr>
  </w:style>
  <w:style w:type="character" w:customStyle="1" w:styleId="905">
    <w:name w:val="_Style 904"/>
    <w:basedOn w:val="38"/>
    <w:semiHidden/>
    <w:unhideWhenUsed/>
    <w:uiPriority w:val="99"/>
    <w:rPr>
      <w:vertAlign w:val="superscript"/>
    </w:rPr>
  </w:style>
  <w:style w:type="character" w:customStyle="1" w:styleId="906">
    <w:name w:val="_Style 905"/>
    <w:basedOn w:val="662"/>
    <w:semiHidden/>
    <w:uiPriority w:val="99"/>
    <w:rPr>
      <w:rFonts w:ascii="Times New Roman" w:hAnsi="Times New Roman" w:eastAsia="宋体" w:cs="Times New Roman"/>
      <w:b/>
      <w:bCs/>
      <w:szCs w:val="21"/>
    </w:rPr>
  </w:style>
  <w:style w:type="paragraph" w:customStyle="1" w:styleId="907">
    <w:name w:val="_Style 906"/>
    <w:basedOn w:val="501"/>
    <w:uiPriority w:val="0"/>
    <w:pPr>
      <w:ind w:firstLine="420" w:firstLineChars="200"/>
    </w:pPr>
    <w:rPr>
      <w:rFonts w:ascii="Times New Roman" w:hAnsi="Times New Roman"/>
    </w:rPr>
  </w:style>
  <w:style w:type="character" w:customStyle="1" w:styleId="908">
    <w:name w:val="_Style 907"/>
    <w:basedOn w:val="662"/>
    <w:semiHidden/>
    <w:uiPriority w:val="99"/>
    <w:rPr>
      <w:rFonts w:ascii="Times New Roman" w:hAnsi="Times New Roman" w:eastAsia="宋体" w:cs="Times New Roman"/>
      <w:b/>
      <w:bCs/>
      <w:szCs w:val="21"/>
    </w:rPr>
  </w:style>
  <w:style w:type="paragraph" w:customStyle="1" w:styleId="909">
    <w:name w:val="_Style 908"/>
    <w:basedOn w:val="501"/>
    <w:qFormat/>
    <w:uiPriority w:val="34"/>
    <w:pPr>
      <w:ind w:firstLine="420" w:firstLineChars="200"/>
    </w:pPr>
    <w:rPr>
      <w:szCs w:val="22"/>
    </w:rPr>
  </w:style>
  <w:style w:type="paragraph" w:customStyle="1" w:styleId="910">
    <w:name w:val="_Style 909"/>
    <w:basedOn w:val="501"/>
    <w:uiPriority w:val="0"/>
    <w:pPr>
      <w:widowControl/>
      <w:jc w:val="left"/>
    </w:pPr>
    <w:rPr>
      <w:rFonts w:ascii="宋体" w:hAnsi="宋体" w:cs="宋体"/>
      <w:bCs/>
      <w:kern w:val="0"/>
    </w:rPr>
  </w:style>
  <w:style w:type="paragraph" w:customStyle="1" w:styleId="911">
    <w:name w:val="_Style 910"/>
    <w:basedOn w:val="501"/>
    <w:uiPriority w:val="0"/>
    <w:pPr>
      <w:ind w:firstLine="420" w:firstLineChars="200"/>
    </w:pPr>
  </w:style>
  <w:style w:type="paragraph" w:customStyle="1" w:styleId="912">
    <w:name w:val="_Style 911"/>
    <w:basedOn w:val="501"/>
    <w:uiPriority w:val="0"/>
    <w:pPr>
      <w:widowControl/>
      <w:jc w:val="left"/>
    </w:pPr>
    <w:rPr>
      <w:rFonts w:ascii="宋体" w:hAnsi="宋体" w:cs="宋体"/>
    </w:rPr>
  </w:style>
  <w:style w:type="paragraph" w:customStyle="1" w:styleId="913">
    <w:name w:val="_Style 912"/>
    <w:basedOn w:val="501"/>
    <w:uiPriority w:val="0"/>
    <w:pPr>
      <w:ind w:firstLine="420" w:firstLineChars="200"/>
    </w:pPr>
  </w:style>
  <w:style w:type="paragraph" w:customStyle="1" w:styleId="914">
    <w:name w:val="_Style 913"/>
    <w:uiPriority w:val="0"/>
    <w:pPr>
      <w:jc w:val="both"/>
    </w:pPr>
    <w:rPr>
      <w:rFonts w:ascii="Calibri" w:hAnsi="Calibri" w:eastAsia="宋体" w:cs="Calibri"/>
      <w:kern w:val="2"/>
      <w:sz w:val="21"/>
      <w:szCs w:val="21"/>
      <w:lang w:val="en-US" w:eastAsia="zh-CN" w:bidi="ar-SA"/>
    </w:rPr>
  </w:style>
  <w:style w:type="character" w:customStyle="1" w:styleId="915">
    <w:name w:val="_Style 914"/>
    <w:basedOn w:val="38"/>
    <w:qFormat/>
    <w:uiPriority w:val="0"/>
    <w:rPr>
      <w:rFonts w:eastAsia="宋体" w:cs="Times New Roman"/>
      <w:kern w:val="2"/>
      <w:sz w:val="21"/>
      <w:szCs w:val="21"/>
      <w:lang w:val="en-US" w:eastAsia="zh-CN" w:bidi="ar-SA"/>
    </w:rPr>
  </w:style>
  <w:style w:type="paragraph" w:customStyle="1" w:styleId="916">
    <w:name w:val="_Style 915"/>
    <w:basedOn w:val="501"/>
    <w:qFormat/>
    <w:uiPriority w:val="0"/>
    <w:pPr>
      <w:jc w:val="left"/>
    </w:pPr>
    <w:rPr>
      <w:rFonts w:ascii="Times New Roman" w:hAnsi="Times New Roman"/>
    </w:rPr>
  </w:style>
  <w:style w:type="character" w:customStyle="1" w:styleId="917">
    <w:name w:val="_Style 916"/>
    <w:basedOn w:val="38"/>
    <w:qFormat/>
    <w:uiPriority w:val="0"/>
    <w:rPr>
      <w:rFonts w:ascii="Times New Roman" w:hAnsi="Times New Roman" w:eastAsia="宋体" w:cs="Times New Roman"/>
      <w:szCs w:val="21"/>
    </w:rPr>
  </w:style>
  <w:style w:type="character" w:customStyle="1" w:styleId="918">
    <w:name w:val="_Style 917"/>
    <w:basedOn w:val="38"/>
    <w:qFormat/>
    <w:uiPriority w:val="0"/>
    <w:rPr>
      <w:rFonts w:asciiTheme="majorHAnsi" w:hAnsiTheme="majorHAnsi" w:cstheme="majorBidi"/>
      <w:b/>
      <w:bCs/>
      <w:kern w:val="2"/>
      <w:sz w:val="32"/>
      <w:szCs w:val="32"/>
    </w:rPr>
  </w:style>
  <w:style w:type="character" w:customStyle="1" w:styleId="919">
    <w:name w:val="_Style 918"/>
    <w:basedOn w:val="38"/>
    <w:uiPriority w:val="0"/>
    <w:rPr>
      <w:snapToGrid/>
      <w:lang w:val="en-US" w:eastAsia="en-US"/>
    </w:rPr>
  </w:style>
  <w:style w:type="character" w:customStyle="1" w:styleId="920">
    <w:name w:val="_Style 919"/>
    <w:basedOn w:val="38"/>
    <w:uiPriority w:val="0"/>
    <w:rPr>
      <w:snapToGrid w:val="0"/>
      <w:lang w:val="en-US" w:eastAsia="en-US"/>
    </w:rPr>
  </w:style>
  <w:style w:type="character" w:customStyle="1" w:styleId="921">
    <w:name w:val="_Style 920"/>
    <w:basedOn w:val="38"/>
    <w:qFormat/>
    <w:uiPriority w:val="22"/>
    <w:rPr>
      <w:b/>
      <w:bCs/>
    </w:rPr>
  </w:style>
  <w:style w:type="paragraph" w:customStyle="1" w:styleId="922">
    <w:name w:val="_Style 921"/>
    <w:basedOn w:val="501"/>
    <w:qFormat/>
    <w:uiPriority w:val="0"/>
    <w:pPr>
      <w:widowControl/>
      <w:spacing w:before="100" w:beforeAutospacing="1" w:after="100" w:afterAutospacing="1"/>
      <w:jc w:val="left"/>
    </w:pPr>
    <w:rPr>
      <w:rFonts w:ascii="宋体" w:hAnsi="宋体" w:cs="宋体"/>
      <w:kern w:val="0"/>
      <w:sz w:val="24"/>
      <w:szCs w:val="24"/>
    </w:rPr>
  </w:style>
  <w:style w:type="paragraph" w:customStyle="1" w:styleId="923">
    <w:name w:val="_Style 922"/>
    <w:basedOn w:val="501"/>
    <w:qFormat/>
    <w:uiPriority w:val="0"/>
    <w:pPr>
      <w:widowControl/>
      <w:spacing w:before="100" w:beforeAutospacing="1" w:after="100" w:afterAutospacing="1"/>
      <w:jc w:val="left"/>
    </w:pPr>
    <w:rPr>
      <w:rFonts w:ascii="宋体" w:hAnsi="宋体" w:cs="宋体"/>
      <w:kern w:val="0"/>
      <w:sz w:val="24"/>
      <w:szCs w:val="24"/>
    </w:rPr>
  </w:style>
  <w:style w:type="character" w:customStyle="1" w:styleId="924">
    <w:name w:val="_Style 923"/>
    <w:basedOn w:val="38"/>
    <w:qFormat/>
    <w:uiPriority w:val="0"/>
  </w:style>
  <w:style w:type="character" w:customStyle="1" w:styleId="925">
    <w:name w:val="_Style 924"/>
    <w:basedOn w:val="38"/>
    <w:qFormat/>
    <w:uiPriority w:val="0"/>
  </w:style>
  <w:style w:type="paragraph" w:customStyle="1" w:styleId="926">
    <w:name w:val="_Style 925"/>
    <w:basedOn w:val="501"/>
    <w:semiHidden/>
    <w:unhideWhenUsed/>
    <w:uiPriority w:val="99"/>
    <w:pPr>
      <w:spacing w:after="120" w:line="480" w:lineRule="auto"/>
    </w:pPr>
  </w:style>
  <w:style w:type="character" w:customStyle="1" w:styleId="927">
    <w:name w:val="_Style 926"/>
    <w:basedOn w:val="38"/>
    <w:semiHidden/>
    <w:uiPriority w:val="99"/>
    <w:rPr>
      <w:kern w:val="2"/>
      <w:sz w:val="21"/>
      <w:szCs w:val="21"/>
    </w:rPr>
  </w:style>
  <w:style w:type="paragraph" w:customStyle="1" w:styleId="928">
    <w:name w:val="_Style 927"/>
    <w:basedOn w:val="501"/>
    <w:semiHidden/>
    <w:unhideWhenUsed/>
    <w:uiPriority w:val="99"/>
    <w:pPr>
      <w:spacing w:after="120"/>
    </w:pPr>
    <w:rPr>
      <w:sz w:val="16"/>
      <w:szCs w:val="16"/>
    </w:rPr>
  </w:style>
  <w:style w:type="character" w:customStyle="1" w:styleId="929">
    <w:name w:val="_Style 928"/>
    <w:basedOn w:val="38"/>
    <w:semiHidden/>
    <w:uiPriority w:val="99"/>
    <w:rPr>
      <w:kern w:val="2"/>
      <w:sz w:val="16"/>
      <w:szCs w:val="16"/>
    </w:rPr>
  </w:style>
  <w:style w:type="paragraph" w:customStyle="1" w:styleId="930">
    <w:name w:val="_Style 929"/>
    <w:basedOn w:val="516"/>
    <w:semiHidden/>
    <w:unhideWhenUsed/>
    <w:uiPriority w:val="99"/>
    <w:pPr>
      <w:ind w:firstLine="420" w:firstLineChars="100"/>
    </w:pPr>
    <w:rPr>
      <w:rFonts w:ascii="Calibri" w:hAnsi="Calibri"/>
    </w:rPr>
  </w:style>
  <w:style w:type="character" w:customStyle="1" w:styleId="931">
    <w:name w:val="_Style 930"/>
    <w:basedOn w:val="549"/>
    <w:semiHidden/>
    <w:uiPriority w:val="99"/>
    <w:rPr>
      <w:rFonts w:ascii="Times New Roman" w:hAnsi="Times New Roman" w:eastAsia="宋体" w:cs="Times New Roman"/>
      <w:kern w:val="2"/>
      <w:sz w:val="21"/>
      <w:szCs w:val="21"/>
    </w:rPr>
  </w:style>
  <w:style w:type="paragraph" w:customStyle="1" w:styleId="932">
    <w:name w:val="_Style 931"/>
    <w:basedOn w:val="501"/>
    <w:semiHidden/>
    <w:unhideWhenUsed/>
    <w:uiPriority w:val="99"/>
    <w:pPr>
      <w:spacing w:after="120"/>
      <w:ind w:left="420" w:leftChars="200"/>
    </w:pPr>
  </w:style>
  <w:style w:type="character" w:customStyle="1" w:styleId="933">
    <w:name w:val="_Style 932"/>
    <w:basedOn w:val="38"/>
    <w:semiHidden/>
    <w:uiPriority w:val="99"/>
    <w:rPr>
      <w:kern w:val="2"/>
      <w:sz w:val="21"/>
      <w:szCs w:val="21"/>
    </w:rPr>
  </w:style>
  <w:style w:type="paragraph" w:customStyle="1" w:styleId="934">
    <w:name w:val="_Style 933"/>
    <w:basedOn w:val="932"/>
    <w:semiHidden/>
    <w:unhideWhenUsed/>
    <w:uiPriority w:val="99"/>
    <w:pPr>
      <w:ind w:firstLine="420" w:firstLineChars="200"/>
    </w:pPr>
  </w:style>
  <w:style w:type="character" w:customStyle="1" w:styleId="935">
    <w:name w:val="_Style 934"/>
    <w:basedOn w:val="933"/>
    <w:semiHidden/>
    <w:uiPriority w:val="99"/>
    <w:rPr>
      <w:kern w:val="2"/>
      <w:sz w:val="21"/>
      <w:szCs w:val="21"/>
    </w:rPr>
  </w:style>
  <w:style w:type="paragraph" w:customStyle="1" w:styleId="936">
    <w:name w:val="_Style 935"/>
    <w:basedOn w:val="501"/>
    <w:semiHidden/>
    <w:unhideWhenUsed/>
    <w:uiPriority w:val="99"/>
    <w:pPr>
      <w:spacing w:after="120" w:line="480" w:lineRule="auto"/>
      <w:ind w:left="420" w:leftChars="200"/>
    </w:pPr>
  </w:style>
  <w:style w:type="character" w:customStyle="1" w:styleId="937">
    <w:name w:val="_Style 936"/>
    <w:basedOn w:val="38"/>
    <w:semiHidden/>
    <w:uiPriority w:val="99"/>
    <w:rPr>
      <w:kern w:val="2"/>
      <w:sz w:val="21"/>
      <w:szCs w:val="21"/>
    </w:rPr>
  </w:style>
  <w:style w:type="paragraph" w:customStyle="1" w:styleId="938">
    <w:name w:val="_Style 937"/>
    <w:basedOn w:val="501"/>
    <w:semiHidden/>
    <w:unhideWhenUsed/>
    <w:uiPriority w:val="99"/>
    <w:pPr>
      <w:spacing w:after="120"/>
      <w:ind w:left="420" w:leftChars="200"/>
    </w:pPr>
    <w:rPr>
      <w:sz w:val="16"/>
      <w:szCs w:val="16"/>
    </w:rPr>
  </w:style>
  <w:style w:type="character" w:customStyle="1" w:styleId="939">
    <w:name w:val="_Style 938"/>
    <w:basedOn w:val="38"/>
    <w:semiHidden/>
    <w:uiPriority w:val="99"/>
    <w:rPr>
      <w:kern w:val="2"/>
      <w:sz w:val="16"/>
      <w:szCs w:val="16"/>
    </w:rPr>
  </w:style>
  <w:style w:type="table" w:customStyle="1" w:styleId="940">
    <w:name w:val="g7"/>
    <w:semiHidden/>
    <w:unhideWhenUsed/>
    <w:uiPriority w:val="99"/>
    <w:tblPr>
      <w:tblCellMar>
        <w:top w:w="0" w:type="dxa"/>
        <w:left w:w="108" w:type="dxa"/>
        <w:bottom w:w="0" w:type="dxa"/>
        <w:right w:w="108" w:type="dxa"/>
      </w:tblCellMar>
    </w:tblPr>
  </w:style>
  <w:style w:type="table" w:customStyle="1" w:styleId="941">
    <w:name w:val="g17"/>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g109"/>
    <w:semiHidden/>
    <w:unhideWhenUsed/>
    <w:uiPriority w:val="99"/>
    <w:tblPr>
      <w:tblCellMar>
        <w:top w:w="0" w:type="dxa"/>
        <w:left w:w="108" w:type="dxa"/>
        <w:bottom w:w="0" w:type="dxa"/>
        <w:right w:w="108" w:type="dxa"/>
      </w:tblCellMar>
    </w:tblPr>
  </w:style>
  <w:style w:type="table" w:customStyle="1" w:styleId="943">
    <w:name w:val="g110"/>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4">
    <w:name w:val="g111"/>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g112"/>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g113"/>
    <w:semiHidden/>
    <w:unhideWhenUsed/>
    <w:uiPriority w:val="99"/>
    <w:tblPr>
      <w:tblCellMar>
        <w:top w:w="0" w:type="dxa"/>
        <w:left w:w="108" w:type="dxa"/>
        <w:bottom w:w="0" w:type="dxa"/>
        <w:right w:w="108" w:type="dxa"/>
      </w:tblCellMar>
    </w:tblPr>
  </w:style>
  <w:style w:type="table" w:customStyle="1" w:styleId="947">
    <w:name w:val="g115"/>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g116"/>
    <w:semiHidden/>
    <w:unhideWhenUsed/>
    <w:uiPriority w:val="99"/>
    <w:tblPr>
      <w:tblCellMar>
        <w:top w:w="0" w:type="dxa"/>
        <w:left w:w="108" w:type="dxa"/>
        <w:bottom w:w="0" w:type="dxa"/>
        <w:right w:w="108" w:type="dxa"/>
      </w:tblCellMar>
    </w:tblPr>
  </w:style>
  <w:style w:type="table" w:customStyle="1" w:styleId="949">
    <w:name w:val="g117"/>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0">
    <w:name w:val="g118"/>
    <w:semiHidden/>
    <w:unhideWhenUsed/>
    <w:uiPriority w:val="99"/>
    <w:tblPr>
      <w:tblCellMar>
        <w:top w:w="0" w:type="dxa"/>
        <w:left w:w="108" w:type="dxa"/>
        <w:bottom w:w="0" w:type="dxa"/>
        <w:right w:w="108" w:type="dxa"/>
      </w:tblCellMar>
    </w:tblPr>
  </w:style>
  <w:style w:type="table" w:customStyle="1" w:styleId="951">
    <w:name w:val="g119"/>
    <w:semiHidden/>
    <w:unhideWhenUsed/>
    <w:uiPriority w:val="99"/>
    <w:tblPr>
      <w:tblCellMar>
        <w:top w:w="0" w:type="dxa"/>
        <w:left w:w="108" w:type="dxa"/>
        <w:bottom w:w="0" w:type="dxa"/>
        <w:right w:w="108" w:type="dxa"/>
      </w:tblCellMar>
    </w:tblPr>
  </w:style>
  <w:style w:type="table" w:customStyle="1" w:styleId="952">
    <w:name w:val="g120"/>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g121"/>
    <w:semiHidden/>
    <w:unhideWhenUsed/>
    <w:uiPriority w:val="99"/>
    <w:tblPr>
      <w:tblCellMar>
        <w:top w:w="0" w:type="dxa"/>
        <w:left w:w="108" w:type="dxa"/>
        <w:bottom w:w="0" w:type="dxa"/>
        <w:right w:w="108" w:type="dxa"/>
      </w:tblCellMar>
    </w:tblPr>
  </w:style>
  <w:style w:type="table" w:customStyle="1" w:styleId="954">
    <w:name w:val="g122"/>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g123"/>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g124"/>
    <w:semiHidden/>
    <w:unhideWhenUsed/>
    <w:qFormat/>
    <w:uiPriority w:val="99"/>
    <w:tblPr>
      <w:tblCellMar>
        <w:top w:w="0" w:type="dxa"/>
        <w:left w:w="108" w:type="dxa"/>
        <w:bottom w:w="0" w:type="dxa"/>
        <w:right w:w="108" w:type="dxa"/>
      </w:tblCellMar>
    </w:tblPr>
  </w:style>
  <w:style w:type="table" w:customStyle="1" w:styleId="957">
    <w:name w:val="g125"/>
    <w:semiHidden/>
    <w:unhideWhenUsed/>
    <w:qFormat/>
    <w:uiPriority w:val="99"/>
    <w:tblPr>
      <w:tblCellMar>
        <w:top w:w="0" w:type="dxa"/>
        <w:left w:w="108" w:type="dxa"/>
        <w:bottom w:w="0" w:type="dxa"/>
        <w:right w:w="108" w:type="dxa"/>
      </w:tblCellMar>
    </w:tblPr>
  </w:style>
  <w:style w:type="table" w:customStyle="1" w:styleId="958">
    <w:name w:val="g126"/>
    <w:semiHidden/>
    <w:unhideWhenUsed/>
    <w:qFormat/>
    <w:uiPriority w:val="99"/>
    <w:tblPr>
      <w:tblCellMar>
        <w:top w:w="0" w:type="dxa"/>
        <w:left w:w="108" w:type="dxa"/>
        <w:bottom w:w="0" w:type="dxa"/>
        <w:right w:w="108" w:type="dxa"/>
      </w:tblCellMar>
    </w:tblPr>
  </w:style>
  <w:style w:type="table" w:customStyle="1" w:styleId="959">
    <w:name w:val="g127"/>
    <w:semiHidden/>
    <w:unhideWhenUsed/>
    <w:qFormat/>
    <w:uiPriority w:val="99"/>
    <w:tblPr>
      <w:tblCellMar>
        <w:top w:w="0" w:type="dxa"/>
        <w:left w:w="108" w:type="dxa"/>
        <w:bottom w:w="0" w:type="dxa"/>
        <w:right w:w="108" w:type="dxa"/>
      </w:tblCellMar>
    </w:tblPr>
  </w:style>
  <w:style w:type="table" w:customStyle="1" w:styleId="960">
    <w:name w:val="g131"/>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g132"/>
    <w:semiHidden/>
    <w:unhideWhenUsed/>
    <w:qFormat/>
    <w:uiPriority w:val="99"/>
    <w:tblPr>
      <w:tblCellMar>
        <w:top w:w="0" w:type="dxa"/>
        <w:left w:w="108" w:type="dxa"/>
        <w:bottom w:w="0" w:type="dxa"/>
        <w:right w:w="108" w:type="dxa"/>
      </w:tblCellMar>
    </w:tblPr>
  </w:style>
  <w:style w:type="table" w:customStyle="1" w:styleId="962">
    <w:name w:val="g133"/>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g134"/>
    <w:semiHidden/>
    <w:unhideWhenUsed/>
    <w:qFormat/>
    <w:uiPriority w:val="99"/>
    <w:tblPr>
      <w:tblCellMar>
        <w:top w:w="0" w:type="dxa"/>
        <w:left w:w="108" w:type="dxa"/>
        <w:bottom w:w="0" w:type="dxa"/>
        <w:right w:w="108" w:type="dxa"/>
      </w:tblCellMar>
    </w:tblPr>
  </w:style>
  <w:style w:type="table" w:customStyle="1" w:styleId="964">
    <w:name w:val="g135"/>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glossaryDocument" Target="glossary/document.xml"/><Relationship Id="rId13" Type="http://schemas.openxmlformats.org/officeDocument/2006/relationships/fontTable" Target="fontTable.xml"/><Relationship Id="rId12" Type="http://schemas.openxmlformats.org/officeDocument/2006/relationships/customXml" Target="../customXml/item5.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11111111111111111111111111111"/>
        <w:style w:val=""/>
        <w:category>
          <w:name w:val="常规"/>
          <w:gallery w:val="placeholder"/>
        </w:category>
        <w:types>
          <w:type w:val="bbPlcHdr"/>
        </w:types>
        <w:behaviors>
          <w:behavior w:val="content"/>
        </w:behaviors>
        <w:description w:val=""/>
        <w:guid w:val="{B960C2E6-8E28-4930-AAD5-AA36AFD6E523}"/>
      </w:docPartPr>
      <w:docPartBody>
        <w:p>
          <w:r>
            <w:rPr>
              <w:rStyle w:val="4"/>
              <w:rFonts w:hint="eastAsia"/>
            </w:rPr>
            <w:t>　</w:t>
          </w:r>
        </w:p>
      </w:docPartBody>
    </w:docPart>
    <w:docPart>
      <w:docPartPr>
        <w:name w:val="GBC22222222222222222222222222222"/>
        <w:style w:val=""/>
        <w:category>
          <w:name w:val="常规"/>
          <w:gallery w:val="placeholder"/>
        </w:category>
        <w:types>
          <w:type w:val="bbPlcHdr"/>
        </w:types>
        <w:behaviors>
          <w:behavior w:val="content"/>
        </w:behaviors>
        <w:description w:val=""/>
        <w:guid w:val="{1F823479-1B2C-4501-A4CD-13FF47B8C52B}"/>
      </w:docPartPr>
      <w:docPartBody>
        <w:p>
          <w:r>
            <w:rPr>
              <w:rStyle w:val="4"/>
              <w:rFonts w:hint="eastAsia"/>
              <w:color w:val="333399"/>
              <w:u w:val="single"/>
            </w:rPr>
            <w:t>　　　</w:t>
          </w:r>
        </w:p>
      </w:docPartBody>
    </w:docPart>
    <w:docPart>
      <w:docPartPr>
        <w:name w:val="C1346EEF5DC64C6DAB12BBEB826A4F9A"/>
        <w:style w:val=""/>
        <w:category>
          <w:name w:val="常规"/>
          <w:gallery w:val="placeholder"/>
        </w:category>
        <w:types>
          <w:type w:val="bbPlcHdr"/>
        </w:types>
        <w:behaviors>
          <w:behavior w:val="content"/>
        </w:behaviors>
        <w:description w:val=""/>
        <w:guid w:val="{712771CE-4EC1-4113-92C2-18762E1EF284}"/>
      </w:docPartPr>
      <w:docPartBody>
        <w:p>
          <w:pPr>
            <w:pStyle w:val="5"/>
          </w:pPr>
          <w:r>
            <w:rPr>
              <w:rStyle w:val="4"/>
              <w:rFonts w:hint="eastAsia"/>
            </w:rPr>
            <w:t>　</w:t>
          </w:r>
        </w:p>
      </w:docPartBody>
    </w:docPart>
    <w:docPart>
      <w:docPartPr>
        <w:name w:val="754F046E5E5F4C328669D31BFC0DFD43"/>
        <w:style w:val=""/>
        <w:category>
          <w:name w:val="常规"/>
          <w:gallery w:val="placeholder"/>
        </w:category>
        <w:types>
          <w:type w:val="bbPlcHdr"/>
        </w:types>
        <w:behaviors>
          <w:behavior w:val="content"/>
        </w:behaviors>
        <w:description w:val=""/>
        <w:guid w:val="{B1ABD564-8FAE-48AE-8BE9-717705C52D5F}"/>
      </w:docPartPr>
      <w:docPartBody>
        <w:p>
          <w:pPr>
            <w:pStyle w:val="6"/>
          </w:pPr>
          <w:r>
            <w:rPr>
              <w:rStyle w:val="4"/>
              <w:rFonts w:hint="eastAsia"/>
              <w:color w:val="333399"/>
              <w:u w:val="single"/>
            </w:rPr>
            <w:t>　　　</w:t>
          </w:r>
        </w:p>
      </w:docPartBody>
    </w:docPart>
    <w:docPart>
      <w:docPartPr>
        <w:name w:val="3ECFA30D6BBB48D485DE75A6DA261FEB"/>
        <w:style w:val=""/>
        <w:category>
          <w:name w:val="常规"/>
          <w:gallery w:val="placeholder"/>
        </w:category>
        <w:types>
          <w:type w:val="bbPlcHdr"/>
        </w:types>
        <w:behaviors>
          <w:behavior w:val="content"/>
        </w:behaviors>
        <w:description w:val=""/>
        <w:guid w:val="{F424A5F0-EB75-4F93-B9B4-76E2D856BEDF}"/>
      </w:docPartPr>
      <w:docPartBody>
        <w:p>
          <w:pPr>
            <w:pStyle w:val="7"/>
          </w:pPr>
          <w:r>
            <w:rPr>
              <w:rStyle w:val="4"/>
              <w:rFonts w:hint="eastAsia"/>
              <w:color w:val="333399"/>
              <w:u w:val="single"/>
            </w:rPr>
            <w:t>　　　</w:t>
          </w:r>
        </w:p>
      </w:docPartBody>
    </w:docPart>
    <w:docPart>
      <w:docPartPr>
        <w:name w:val="F49A525FF0F64AE7B9118478C808E6E1"/>
        <w:style w:val=""/>
        <w:category>
          <w:name w:val="常规"/>
          <w:gallery w:val="placeholder"/>
        </w:category>
        <w:types>
          <w:type w:val="bbPlcHdr"/>
        </w:types>
        <w:behaviors>
          <w:behavior w:val="content"/>
        </w:behaviors>
        <w:description w:val=""/>
        <w:guid w:val="{D9D6A742-8258-422C-9BEF-8F4B501C14CD}"/>
      </w:docPartPr>
      <w:docPartBody>
        <w:p>
          <w:pPr>
            <w:pStyle w:val="8"/>
          </w:pPr>
          <w:r>
            <w:rPr>
              <w:rStyle w:val="4"/>
              <w:rFonts w:hint="eastAsia"/>
              <w:color w:val="333399"/>
              <w:u w:val="single"/>
            </w:rPr>
            <w:t>　　　</w:t>
          </w:r>
        </w:p>
      </w:docPartBody>
    </w:docPart>
    <w:docPart>
      <w:docPartPr>
        <w:name w:val="F862E363BC5244CB873085F4CD44190D"/>
        <w:style w:val=""/>
        <w:category>
          <w:name w:val="常规"/>
          <w:gallery w:val="placeholder"/>
        </w:category>
        <w:types>
          <w:type w:val="bbPlcHdr"/>
        </w:types>
        <w:behaviors>
          <w:behavior w:val="content"/>
        </w:behaviors>
        <w:description w:val=""/>
        <w:guid w:val="{F6F2C3A5-337C-41F8-9407-DD2674530441}"/>
      </w:docPartPr>
      <w:docPartBody>
        <w:p>
          <w:pPr>
            <w:pStyle w:val="9"/>
          </w:pPr>
          <w:r>
            <w:rPr>
              <w:rStyle w:val="4"/>
              <w:rFonts w:hint="eastAsia"/>
              <w:color w:val="333399"/>
              <w:u w:val="single"/>
            </w:rPr>
            <w:t>　　　</w:t>
          </w:r>
        </w:p>
      </w:docPartBody>
    </w:docPart>
    <w:docPart>
      <w:docPartPr>
        <w:name w:val="6054E73D7047420480042DF213D98FD0"/>
        <w:style w:val=""/>
        <w:category>
          <w:name w:val="常规"/>
          <w:gallery w:val="placeholder"/>
        </w:category>
        <w:types>
          <w:type w:val="bbPlcHdr"/>
        </w:types>
        <w:behaviors>
          <w:behavior w:val="content"/>
        </w:behaviors>
        <w:description w:val=""/>
        <w:guid w:val="{55867C15-77B0-4942-A274-2ABBAF8C3C5E}"/>
      </w:docPartPr>
      <w:docPartBody>
        <w:p>
          <w:pPr>
            <w:pStyle w:val="10"/>
          </w:pPr>
          <w:r>
            <w:rPr>
              <w:rStyle w:val="4"/>
              <w:rFonts w:hint="eastAsia"/>
              <w:color w:val="333399"/>
              <w:u w:val="single"/>
            </w:rPr>
            <w:t>　　　</w:t>
          </w:r>
        </w:p>
      </w:docPartBody>
    </w:docPart>
    <w:docPart>
      <w:docPartPr>
        <w:name w:val="B260F846A55744568456836B2D984EC9"/>
        <w:style w:val=""/>
        <w:category>
          <w:name w:val="常规"/>
          <w:gallery w:val="placeholder"/>
        </w:category>
        <w:types>
          <w:type w:val="bbPlcHdr"/>
        </w:types>
        <w:behaviors>
          <w:behavior w:val="content"/>
        </w:behaviors>
        <w:description w:val=""/>
        <w:guid w:val="{5F48D90F-2F36-4A38-B9AC-028126540E4C}"/>
      </w:docPartPr>
      <w:docPartBody>
        <w:p>
          <w:pPr>
            <w:pStyle w:val="11"/>
          </w:pPr>
          <w:r>
            <w:rPr>
              <w:rStyle w:val="4"/>
              <w:rFonts w:hint="eastAsia"/>
              <w:color w:val="333399"/>
              <w:u w:val="single"/>
            </w:rPr>
            <w:t>　　　</w:t>
          </w:r>
        </w:p>
      </w:docPartBody>
    </w:docPart>
    <w:docPart>
      <w:docPartPr>
        <w:name w:val="C564243FBD514009BE916ADF348E715E"/>
        <w:style w:val=""/>
        <w:category>
          <w:name w:val="常规"/>
          <w:gallery w:val="placeholder"/>
        </w:category>
        <w:types>
          <w:type w:val="bbPlcHdr"/>
        </w:types>
        <w:behaviors>
          <w:behavior w:val="content"/>
        </w:behaviors>
        <w:description w:val=""/>
        <w:guid w:val="{8106C2D6-9EE4-4F01-AAB5-2DDE0D012C47}"/>
      </w:docPartPr>
      <w:docPartBody>
        <w:p>
          <w:pPr>
            <w:pStyle w:val="12"/>
          </w:pPr>
          <w:r>
            <w:rPr>
              <w:rStyle w:val="4"/>
              <w:rFonts w:hint="eastAsia"/>
              <w:color w:val="333399"/>
              <w:u w:val="single"/>
            </w:rPr>
            <w:t>　　　</w:t>
          </w:r>
        </w:p>
      </w:docPartBody>
    </w:docPart>
    <w:docPart>
      <w:docPartPr>
        <w:name w:val="199D8A1F681540A29E50925E47FF635A"/>
        <w:style w:val=""/>
        <w:category>
          <w:name w:val="常规"/>
          <w:gallery w:val="placeholder"/>
        </w:category>
        <w:types>
          <w:type w:val="bbPlcHdr"/>
        </w:types>
        <w:behaviors>
          <w:behavior w:val="content"/>
        </w:behaviors>
        <w:description w:val=""/>
        <w:guid w:val="{2ABA6B96-0874-4D2D-95DE-E543E2564DEF}"/>
      </w:docPartPr>
      <w:docPartBody>
        <w:p>
          <w:pPr>
            <w:pStyle w:val="13"/>
          </w:pPr>
          <w:r>
            <w:rPr>
              <w:rStyle w:val="4"/>
              <w:rFonts w:hint="eastAsia"/>
            </w:rPr>
            <w:t>　</w:t>
          </w:r>
        </w:p>
      </w:docPartBody>
    </w:docPart>
    <w:docPart>
      <w:docPartPr>
        <w:name w:val="AF00D5B7361840E2B118A138FB98214B"/>
        <w:style w:val=""/>
        <w:category>
          <w:name w:val="常规"/>
          <w:gallery w:val="placeholder"/>
        </w:category>
        <w:types>
          <w:type w:val="bbPlcHdr"/>
        </w:types>
        <w:behaviors>
          <w:behavior w:val="content"/>
        </w:behaviors>
        <w:description w:val=""/>
        <w:guid w:val="{934AFBA9-682C-4E88-BC34-D701D3C2B96D}"/>
      </w:docPartPr>
      <w:docPartBody>
        <w:p>
          <w:pPr>
            <w:pStyle w:val="14"/>
          </w:pPr>
          <w:r>
            <w:rPr>
              <w:rStyle w:val="4"/>
              <w:rFonts w:hint="eastAsia"/>
            </w:rPr>
            <w:t>单击或点击此处输入文字。</w:t>
          </w:r>
        </w:p>
      </w:docPartBody>
    </w:docPart>
    <w:docPart>
      <w:docPartPr>
        <w:name w:val="A48A9F31FFB440E6843D546D9A539B33"/>
        <w:style w:val=""/>
        <w:category>
          <w:name w:val="常规"/>
          <w:gallery w:val="placeholder"/>
        </w:category>
        <w:types>
          <w:type w:val="bbPlcHdr"/>
        </w:types>
        <w:behaviors>
          <w:behavior w:val="content"/>
        </w:behaviors>
        <w:description w:val=""/>
        <w:guid w:val="{D263FBF1-98C4-44AD-A277-B68AD7EB572B}"/>
      </w:docPartPr>
      <w:docPartBody>
        <w:p>
          <w:pPr>
            <w:pStyle w:val="15"/>
          </w:pPr>
          <w:r>
            <w:rPr>
              <w:rStyle w:val="4"/>
              <w:rFonts w:hint="eastAsia"/>
            </w:rPr>
            <w:t>　</w:t>
          </w:r>
        </w:p>
      </w:docPartBody>
    </w:docPart>
    <w:docPart>
      <w:docPartPr>
        <w:name w:val="A2322E3BDC454CFCA9D05276D4877C2B"/>
        <w:style w:val=""/>
        <w:category>
          <w:name w:val="常规"/>
          <w:gallery w:val="placeholder"/>
        </w:category>
        <w:types>
          <w:type w:val="bbPlcHdr"/>
        </w:types>
        <w:behaviors>
          <w:behavior w:val="content"/>
        </w:behaviors>
        <w:description w:val=""/>
        <w:guid w:val="{8F34E76C-091E-486C-911E-1B11F3315CF9}"/>
      </w:docPartPr>
      <w:docPartBody>
        <w:p>
          <w:pPr>
            <w:pStyle w:val="16"/>
          </w:pPr>
          <w:r>
            <w:rPr>
              <w:rStyle w:val="4"/>
              <w:rFonts w:hint="eastAsia"/>
            </w:rPr>
            <w:t>　</w:t>
          </w:r>
        </w:p>
      </w:docPartBody>
    </w:docPart>
    <w:docPart>
      <w:docPartPr>
        <w:name w:val="5878820652694359A5EA09C3BA30D7F3"/>
        <w:style w:val=""/>
        <w:category>
          <w:name w:val="常规"/>
          <w:gallery w:val="placeholder"/>
        </w:category>
        <w:types>
          <w:type w:val="bbPlcHdr"/>
        </w:types>
        <w:behaviors>
          <w:behavior w:val="content"/>
        </w:behaviors>
        <w:description w:val=""/>
        <w:guid w:val="{2708FE08-FF69-4098-A835-815CBB554ECF}"/>
      </w:docPartPr>
      <w:docPartBody>
        <w:p>
          <w:pPr>
            <w:pStyle w:val="17"/>
          </w:pPr>
          <w:r>
            <w:rPr>
              <w:rStyle w:val="4"/>
              <w:rFonts w:hint="eastAsia"/>
            </w:rPr>
            <w:t>单击或点击此处输入文字。</w:t>
          </w:r>
        </w:p>
      </w:docPartBody>
    </w:docPart>
    <w:docPart>
      <w:docPartPr>
        <w:name w:val="2E1AF27F41D44D33B2F35D9C38E13AEE"/>
        <w:style w:val=""/>
        <w:category>
          <w:name w:val="常规"/>
          <w:gallery w:val="placeholder"/>
        </w:category>
        <w:types>
          <w:type w:val="bbPlcHdr"/>
        </w:types>
        <w:behaviors>
          <w:behavior w:val="content"/>
        </w:behaviors>
        <w:description w:val=""/>
        <w:guid w:val="{E1F77DB4-848F-44D6-BEB0-EE3DF37C7838}"/>
      </w:docPartPr>
      <w:docPartBody>
        <w:p>
          <w:pPr>
            <w:pStyle w:val="18"/>
          </w:pPr>
          <w:r>
            <w:rPr>
              <w:rStyle w:val="4"/>
              <w:rFonts w:hint="eastAsia"/>
            </w:rPr>
            <w:t>　</w:t>
          </w:r>
        </w:p>
      </w:docPartBody>
    </w:docPart>
    <w:docPart>
      <w:docPartPr>
        <w:name w:val="70888E37997C408DB77B8C24FD0C181E"/>
        <w:style w:val=""/>
        <w:category>
          <w:name w:val="常规"/>
          <w:gallery w:val="placeholder"/>
        </w:category>
        <w:types>
          <w:type w:val="bbPlcHdr"/>
        </w:types>
        <w:behaviors>
          <w:behavior w:val="content"/>
        </w:behaviors>
        <w:description w:val=""/>
        <w:guid w:val="{8D17F10F-2FA0-49B4-A0E1-700CF4FD1484}"/>
      </w:docPartPr>
      <w:docPartBody>
        <w:p>
          <w:pPr>
            <w:pStyle w:val="19"/>
          </w:pPr>
          <w:r>
            <w:rPr>
              <w:rStyle w:val="4"/>
              <w:rFonts w:hint="eastAsia"/>
            </w:rPr>
            <w:t>　</w:t>
          </w:r>
        </w:p>
      </w:docPartBody>
    </w:docPart>
    <w:docPart>
      <w:docPartPr>
        <w:name w:val="81086E202D034C39837ACB69C0914051"/>
        <w:style w:val=""/>
        <w:category>
          <w:name w:val="常规"/>
          <w:gallery w:val="placeholder"/>
        </w:category>
        <w:types>
          <w:type w:val="bbPlcHdr"/>
        </w:types>
        <w:behaviors>
          <w:behavior w:val="content"/>
        </w:behaviors>
        <w:description w:val=""/>
        <w:guid w:val="{89FFDFE1-C3AA-4CDA-A806-7F158959D980}"/>
      </w:docPartPr>
      <w:docPartBody>
        <w:p>
          <w:pPr>
            <w:pStyle w:val="20"/>
          </w:pPr>
          <w:r>
            <w:rPr>
              <w:rStyle w:val="4"/>
              <w:rFonts w:hint="eastAsia"/>
            </w:rPr>
            <w:t>　</w:t>
          </w:r>
        </w:p>
      </w:docPartBody>
    </w:docPart>
    <w:docPart>
      <w:docPartPr>
        <w:name w:val="7FB72124F2144CC6A8D56503AB87A927"/>
        <w:style w:val=""/>
        <w:category>
          <w:name w:val="常规"/>
          <w:gallery w:val="placeholder"/>
        </w:category>
        <w:types>
          <w:type w:val="bbPlcHdr"/>
        </w:types>
        <w:behaviors>
          <w:behavior w:val="content"/>
        </w:behaviors>
        <w:description w:val=""/>
        <w:guid w:val="{5EAC0A6F-2FD3-428B-B35F-0806DF07A748}"/>
      </w:docPartPr>
      <w:docPartBody>
        <w:p>
          <w:pPr>
            <w:pStyle w:val="21"/>
          </w:pPr>
          <w:r>
            <w:rPr>
              <w:rStyle w:val="4"/>
              <w:rFonts w:hint="eastAsia"/>
            </w:rPr>
            <w:t>单击或点击此处输入文字。</w:t>
          </w:r>
        </w:p>
      </w:docPartBody>
    </w:docPart>
    <w:docPart>
      <w:docPartPr>
        <w:name w:val="53D586851DB44F429FCDDFC9DBD2F972"/>
        <w:style w:val=""/>
        <w:category>
          <w:name w:val="常规"/>
          <w:gallery w:val="placeholder"/>
        </w:category>
        <w:types>
          <w:type w:val="bbPlcHdr"/>
        </w:types>
        <w:behaviors>
          <w:behavior w:val="content"/>
        </w:behaviors>
        <w:description w:val=""/>
        <w:guid w:val="{5CD2A73A-6F42-4F3A-8249-DDBCC5AF1B54}"/>
      </w:docPartPr>
      <w:docPartBody>
        <w:p>
          <w:pPr>
            <w:pStyle w:val="22"/>
          </w:pPr>
          <w:r>
            <w:rPr>
              <w:rStyle w:val="4"/>
              <w:rFonts w:hint="eastAsia"/>
            </w:rPr>
            <w:t>　</w:t>
          </w:r>
        </w:p>
      </w:docPartBody>
    </w:docPart>
    <w:docPart>
      <w:docPartPr>
        <w:name w:val="7B943DD8E39D4B4892DB62B7ED653034"/>
        <w:style w:val=""/>
        <w:category>
          <w:name w:val="常规"/>
          <w:gallery w:val="placeholder"/>
        </w:category>
        <w:types>
          <w:type w:val="bbPlcHdr"/>
        </w:types>
        <w:behaviors>
          <w:behavior w:val="content"/>
        </w:behaviors>
        <w:description w:val=""/>
        <w:guid w:val="{0ABCFA6C-463A-4EAD-971F-40DDE445032A}"/>
      </w:docPartPr>
      <w:docPartBody>
        <w:p>
          <w:pPr>
            <w:pStyle w:val="23"/>
          </w:pPr>
          <w:r>
            <w:rPr>
              <w:rStyle w:val="4"/>
              <w:rFonts w:hint="eastAsia"/>
            </w:rPr>
            <w:t>　</w:t>
          </w:r>
        </w:p>
      </w:docPartBody>
    </w:docPart>
    <w:docPart>
      <w:docPartPr>
        <w:name w:val="14073CA7BC0D41E1B9C4B099AAD86488"/>
        <w:style w:val=""/>
        <w:category>
          <w:name w:val="常规"/>
          <w:gallery w:val="placeholder"/>
        </w:category>
        <w:types>
          <w:type w:val="bbPlcHdr"/>
        </w:types>
        <w:behaviors>
          <w:behavior w:val="content"/>
        </w:behaviors>
        <w:description w:val=""/>
        <w:guid w:val="{1FC65C39-078E-4EFD-A4A5-FD6FE2C54E5D}"/>
      </w:docPartPr>
      <w:docPartBody>
        <w:p>
          <w:pPr>
            <w:pStyle w:val="24"/>
          </w:pPr>
          <w:r>
            <w:rPr>
              <w:rStyle w:val="4"/>
              <w:rFonts w:hint="eastAsia"/>
            </w:rPr>
            <w:t>单击或点击此处输入文字。</w:t>
          </w:r>
        </w:p>
      </w:docPartBody>
    </w:docPart>
    <w:docPart>
      <w:docPartPr>
        <w:name w:val="8A42B123078C4C2B85C6A863314C493D"/>
        <w:style w:val=""/>
        <w:category>
          <w:name w:val="常规"/>
          <w:gallery w:val="placeholder"/>
        </w:category>
        <w:types>
          <w:type w:val="bbPlcHdr"/>
        </w:types>
        <w:behaviors>
          <w:behavior w:val="content"/>
        </w:behaviors>
        <w:description w:val=""/>
        <w:guid w:val="{07CACD3F-B52E-41E1-AA44-B900E20AE918}"/>
      </w:docPartPr>
      <w:docPartBody>
        <w:p>
          <w:pPr>
            <w:pStyle w:val="25"/>
          </w:pPr>
          <w:r>
            <w:rPr>
              <w:rStyle w:val="4"/>
              <w:rFonts w:hint="eastAsia"/>
            </w:rPr>
            <w:t>　</w:t>
          </w:r>
        </w:p>
      </w:docPartBody>
    </w:docPart>
    <w:docPart>
      <w:docPartPr>
        <w:name w:val="1CE536B17E1F49008C286F7DCB190A50"/>
        <w:style w:val=""/>
        <w:category>
          <w:name w:val="常规"/>
          <w:gallery w:val="placeholder"/>
        </w:category>
        <w:types>
          <w:type w:val="bbPlcHdr"/>
        </w:types>
        <w:behaviors>
          <w:behavior w:val="content"/>
        </w:behaviors>
        <w:description w:val=""/>
        <w:guid w:val="{E1CE9C7C-3715-4CD1-9BB3-D5CBC6F72F45}"/>
      </w:docPartPr>
      <w:docPartBody>
        <w:p>
          <w:pPr>
            <w:pStyle w:val="26"/>
          </w:pPr>
          <w:r>
            <w:rPr>
              <w:rStyle w:val="4"/>
              <w:rFonts w:hint="eastAsia"/>
            </w:rPr>
            <w:t>单击或点击此处输入文字。</w:t>
          </w:r>
        </w:p>
      </w:docPartBody>
    </w:docPart>
    <w:docPart>
      <w:docPartPr>
        <w:name w:val="DBE535E22BAB49FE8ED44002E25C1FB6"/>
        <w:style w:val=""/>
        <w:category>
          <w:name w:val="常规"/>
          <w:gallery w:val="placeholder"/>
        </w:category>
        <w:types>
          <w:type w:val="bbPlcHdr"/>
        </w:types>
        <w:behaviors>
          <w:behavior w:val="content"/>
        </w:behaviors>
        <w:description w:val=""/>
        <w:guid w:val="{FCF37509-6156-4A1D-A060-9746FDC6623C}"/>
      </w:docPartPr>
      <w:docPartBody>
        <w:p>
          <w:pPr>
            <w:pStyle w:val="27"/>
          </w:pPr>
          <w:r>
            <w:rPr>
              <w:rStyle w:val="4"/>
              <w:rFonts w:hint="eastAsia"/>
            </w:rPr>
            <w:t>　</w:t>
          </w:r>
        </w:p>
      </w:docPartBody>
    </w:docPart>
    <w:docPart>
      <w:docPartPr>
        <w:name w:val="6A526675F6F24EA4AA727F86C9C46CD8"/>
        <w:style w:val=""/>
        <w:category>
          <w:name w:val="常规"/>
          <w:gallery w:val="placeholder"/>
        </w:category>
        <w:types>
          <w:type w:val="bbPlcHdr"/>
        </w:types>
        <w:behaviors>
          <w:behavior w:val="content"/>
        </w:behaviors>
        <w:description w:val=""/>
        <w:guid w:val="{9C662F84-852C-48F9-B3AC-39AA68F84A9D}"/>
      </w:docPartPr>
      <w:docPartBody>
        <w:p>
          <w:pPr>
            <w:pStyle w:val="28"/>
          </w:pPr>
          <w:r>
            <w:rPr>
              <w:rStyle w:val="4"/>
              <w:rFonts w:hint="eastAsia"/>
            </w:rPr>
            <w:t>　</w:t>
          </w:r>
        </w:p>
      </w:docPartBody>
    </w:docPart>
    <w:docPart>
      <w:docPartPr>
        <w:name w:val="B962DF8E7D5C4E6A9E4A571F81CD4530"/>
        <w:style w:val=""/>
        <w:category>
          <w:name w:val="常规"/>
          <w:gallery w:val="placeholder"/>
        </w:category>
        <w:types>
          <w:type w:val="bbPlcHdr"/>
        </w:types>
        <w:behaviors>
          <w:behavior w:val="content"/>
        </w:behaviors>
        <w:description w:val=""/>
        <w:guid w:val="{E71C3246-8F0B-4872-A8C5-8D2CDEA1C40C}"/>
      </w:docPartPr>
      <w:docPartBody>
        <w:p>
          <w:pPr>
            <w:pStyle w:val="29"/>
          </w:pPr>
          <w:r>
            <w:rPr>
              <w:rStyle w:val="4"/>
              <w:rFonts w:hint="eastAsia"/>
            </w:rPr>
            <w:t>　</w:t>
          </w:r>
        </w:p>
      </w:docPartBody>
    </w:docPart>
    <w:docPart>
      <w:docPartPr>
        <w:name w:val="669F43E9218C4B0391F647708A48662C"/>
        <w:style w:val=""/>
        <w:category>
          <w:name w:val="常规"/>
          <w:gallery w:val="placeholder"/>
        </w:category>
        <w:types>
          <w:type w:val="bbPlcHdr"/>
        </w:types>
        <w:behaviors>
          <w:behavior w:val="content"/>
        </w:behaviors>
        <w:description w:val=""/>
        <w:guid w:val="{47AD875B-A3D2-469E-AF14-96225B2DFF5D}"/>
      </w:docPartPr>
      <w:docPartBody>
        <w:p>
          <w:pPr>
            <w:pStyle w:val="30"/>
          </w:pPr>
          <w:r>
            <w:rPr>
              <w:rStyle w:val="4"/>
              <w:rFonts w:hint="eastAsia"/>
            </w:rPr>
            <w:t>　</w:t>
          </w:r>
        </w:p>
      </w:docPartBody>
    </w:docPart>
    <w:docPart>
      <w:docPartPr>
        <w:name w:val="31D465E1482548A39C461B0022E74200"/>
        <w:style w:val=""/>
        <w:category>
          <w:name w:val="常规"/>
          <w:gallery w:val="placeholder"/>
        </w:category>
        <w:types>
          <w:type w:val="bbPlcHdr"/>
        </w:types>
        <w:behaviors>
          <w:behavior w:val="content"/>
        </w:behaviors>
        <w:description w:val=""/>
        <w:guid w:val="{495CB540-6848-41BB-8D32-B4CA7A6B03C2}"/>
      </w:docPartPr>
      <w:docPartBody>
        <w:p>
          <w:pPr>
            <w:pStyle w:val="31"/>
          </w:pPr>
          <w:r>
            <w:rPr>
              <w:rStyle w:val="4"/>
              <w:rFonts w:hint="eastAsia"/>
            </w:rPr>
            <w:t>单击或点击此处输入文字。</w:t>
          </w:r>
        </w:p>
      </w:docPartBody>
    </w:docPart>
    <w:docPart>
      <w:docPartPr>
        <w:name w:val="268272D3732E473191511F58DD95A84E"/>
        <w:style w:val=""/>
        <w:category>
          <w:name w:val="常规"/>
          <w:gallery w:val="placeholder"/>
        </w:category>
        <w:types>
          <w:type w:val="bbPlcHdr"/>
        </w:types>
        <w:behaviors>
          <w:behavior w:val="content"/>
        </w:behaviors>
        <w:description w:val=""/>
        <w:guid w:val="{7FEF08B7-693B-4188-825F-01A07880BC67}"/>
      </w:docPartPr>
      <w:docPartBody>
        <w:p>
          <w:pPr>
            <w:pStyle w:val="32"/>
          </w:pPr>
          <w:r>
            <w:rPr>
              <w:rStyle w:val="4"/>
              <w:rFonts w:hint="eastAsia"/>
            </w:rPr>
            <w:t>　</w:t>
          </w:r>
        </w:p>
      </w:docPartBody>
    </w:docPart>
    <w:docPart>
      <w:docPartPr>
        <w:name w:val="3ADA9C39604F442394AA2C0AF0F0AD8F"/>
        <w:style w:val=""/>
        <w:category>
          <w:name w:val="常规"/>
          <w:gallery w:val="placeholder"/>
        </w:category>
        <w:types>
          <w:type w:val="bbPlcHdr"/>
        </w:types>
        <w:behaviors>
          <w:behavior w:val="content"/>
        </w:behaviors>
        <w:description w:val=""/>
        <w:guid w:val="{B3F8D4B3-3D31-4806-9230-A78941AECA98}"/>
      </w:docPartPr>
      <w:docPartBody>
        <w:p>
          <w:pPr>
            <w:pStyle w:val="33"/>
          </w:pPr>
          <w:r>
            <w:rPr>
              <w:rStyle w:val="4"/>
              <w:rFonts w:hint="eastAsia"/>
              <w:color w:val="333399"/>
              <w:u w:val="single"/>
            </w:rPr>
            <w:t>　　　</w:t>
          </w:r>
        </w:p>
      </w:docPartBody>
    </w:docPart>
    <w:docPart>
      <w:docPartPr>
        <w:name w:val="FEAC71F4CBB347E0A60CDE12A52ED0F7"/>
        <w:style w:val=""/>
        <w:category>
          <w:name w:val="常规"/>
          <w:gallery w:val="placeholder"/>
        </w:category>
        <w:types>
          <w:type w:val="bbPlcHdr"/>
        </w:types>
        <w:behaviors>
          <w:behavior w:val="content"/>
        </w:behaviors>
        <w:description w:val=""/>
        <w:guid w:val="{CD37E76A-1D8D-49F8-81F8-31CFEEEC2EBD}"/>
      </w:docPartPr>
      <w:docPartBody>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E50E43"/>
    <w:rsid w:val="0000161E"/>
    <w:rsid w:val="00002689"/>
    <w:rsid w:val="00003691"/>
    <w:rsid w:val="000056ED"/>
    <w:rsid w:val="0000588D"/>
    <w:rsid w:val="000076B4"/>
    <w:rsid w:val="00007ACF"/>
    <w:rsid w:val="00007CFD"/>
    <w:rsid w:val="00010370"/>
    <w:rsid w:val="00010420"/>
    <w:rsid w:val="00010558"/>
    <w:rsid w:val="00011E75"/>
    <w:rsid w:val="000120DB"/>
    <w:rsid w:val="00012653"/>
    <w:rsid w:val="0001297A"/>
    <w:rsid w:val="00012C61"/>
    <w:rsid w:val="00013B71"/>
    <w:rsid w:val="00016D6C"/>
    <w:rsid w:val="00020100"/>
    <w:rsid w:val="00020357"/>
    <w:rsid w:val="000211F7"/>
    <w:rsid w:val="0002197F"/>
    <w:rsid w:val="00021BC4"/>
    <w:rsid w:val="00021D68"/>
    <w:rsid w:val="000234EA"/>
    <w:rsid w:val="0002361B"/>
    <w:rsid w:val="000236A0"/>
    <w:rsid w:val="0002605F"/>
    <w:rsid w:val="0002676B"/>
    <w:rsid w:val="00030279"/>
    <w:rsid w:val="0003034E"/>
    <w:rsid w:val="00032504"/>
    <w:rsid w:val="00032ECB"/>
    <w:rsid w:val="0003417E"/>
    <w:rsid w:val="00034C17"/>
    <w:rsid w:val="0003500B"/>
    <w:rsid w:val="000353DC"/>
    <w:rsid w:val="0003608F"/>
    <w:rsid w:val="000403D5"/>
    <w:rsid w:val="0004165F"/>
    <w:rsid w:val="00041675"/>
    <w:rsid w:val="00042E9C"/>
    <w:rsid w:val="00042F49"/>
    <w:rsid w:val="00044179"/>
    <w:rsid w:val="00044916"/>
    <w:rsid w:val="00045444"/>
    <w:rsid w:val="00047197"/>
    <w:rsid w:val="00051FA4"/>
    <w:rsid w:val="00053ABC"/>
    <w:rsid w:val="00055561"/>
    <w:rsid w:val="00055BDC"/>
    <w:rsid w:val="00061F65"/>
    <w:rsid w:val="00062ED3"/>
    <w:rsid w:val="0006349C"/>
    <w:rsid w:val="00063874"/>
    <w:rsid w:val="00063CC6"/>
    <w:rsid w:val="00064D04"/>
    <w:rsid w:val="0006532F"/>
    <w:rsid w:val="00065B5A"/>
    <w:rsid w:val="000667C2"/>
    <w:rsid w:val="00066E74"/>
    <w:rsid w:val="00067105"/>
    <w:rsid w:val="000674E4"/>
    <w:rsid w:val="00067DCC"/>
    <w:rsid w:val="00070ACB"/>
    <w:rsid w:val="00071C74"/>
    <w:rsid w:val="00073371"/>
    <w:rsid w:val="000743A2"/>
    <w:rsid w:val="0007487C"/>
    <w:rsid w:val="00076D57"/>
    <w:rsid w:val="0007717F"/>
    <w:rsid w:val="00082580"/>
    <w:rsid w:val="00083B00"/>
    <w:rsid w:val="00083C63"/>
    <w:rsid w:val="00084E8F"/>
    <w:rsid w:val="00087193"/>
    <w:rsid w:val="0009029E"/>
    <w:rsid w:val="00090B08"/>
    <w:rsid w:val="00091B0E"/>
    <w:rsid w:val="0009272F"/>
    <w:rsid w:val="00092CBB"/>
    <w:rsid w:val="00093BE5"/>
    <w:rsid w:val="00093C40"/>
    <w:rsid w:val="00094F43"/>
    <w:rsid w:val="000958C3"/>
    <w:rsid w:val="00095E24"/>
    <w:rsid w:val="000A07A6"/>
    <w:rsid w:val="000A1ED8"/>
    <w:rsid w:val="000A2AEC"/>
    <w:rsid w:val="000A3316"/>
    <w:rsid w:val="000A5079"/>
    <w:rsid w:val="000A632D"/>
    <w:rsid w:val="000A63E1"/>
    <w:rsid w:val="000A6DCF"/>
    <w:rsid w:val="000A7BC5"/>
    <w:rsid w:val="000A7E3C"/>
    <w:rsid w:val="000B14D6"/>
    <w:rsid w:val="000B1B4F"/>
    <w:rsid w:val="000B1E96"/>
    <w:rsid w:val="000B2987"/>
    <w:rsid w:val="000B3464"/>
    <w:rsid w:val="000B375A"/>
    <w:rsid w:val="000B5C82"/>
    <w:rsid w:val="000B5E0D"/>
    <w:rsid w:val="000B6B1C"/>
    <w:rsid w:val="000B6E5C"/>
    <w:rsid w:val="000B76C0"/>
    <w:rsid w:val="000B7F0A"/>
    <w:rsid w:val="000C11C1"/>
    <w:rsid w:val="000C26DD"/>
    <w:rsid w:val="000C428C"/>
    <w:rsid w:val="000C5F2F"/>
    <w:rsid w:val="000C600B"/>
    <w:rsid w:val="000D0276"/>
    <w:rsid w:val="000D03DD"/>
    <w:rsid w:val="000D1066"/>
    <w:rsid w:val="000D2323"/>
    <w:rsid w:val="000D3D3C"/>
    <w:rsid w:val="000E309D"/>
    <w:rsid w:val="000E37AA"/>
    <w:rsid w:val="000E5838"/>
    <w:rsid w:val="000E5FF1"/>
    <w:rsid w:val="000E6959"/>
    <w:rsid w:val="000E7B4D"/>
    <w:rsid w:val="000F147D"/>
    <w:rsid w:val="000F3B57"/>
    <w:rsid w:val="000F3EFB"/>
    <w:rsid w:val="000F41A3"/>
    <w:rsid w:val="000F440D"/>
    <w:rsid w:val="000F5144"/>
    <w:rsid w:val="000F527F"/>
    <w:rsid w:val="000F70C0"/>
    <w:rsid w:val="000F76A7"/>
    <w:rsid w:val="000F7B0F"/>
    <w:rsid w:val="001029A8"/>
    <w:rsid w:val="00102C4D"/>
    <w:rsid w:val="00103415"/>
    <w:rsid w:val="00103D62"/>
    <w:rsid w:val="00103FA8"/>
    <w:rsid w:val="00104879"/>
    <w:rsid w:val="00105328"/>
    <w:rsid w:val="00105693"/>
    <w:rsid w:val="001061D4"/>
    <w:rsid w:val="00106EBC"/>
    <w:rsid w:val="00107EAF"/>
    <w:rsid w:val="001109B9"/>
    <w:rsid w:val="00110AE1"/>
    <w:rsid w:val="001124AB"/>
    <w:rsid w:val="001127EE"/>
    <w:rsid w:val="00114109"/>
    <w:rsid w:val="00114351"/>
    <w:rsid w:val="001160EB"/>
    <w:rsid w:val="00117118"/>
    <w:rsid w:val="00120BE3"/>
    <w:rsid w:val="00122BB8"/>
    <w:rsid w:val="00123C52"/>
    <w:rsid w:val="0012740D"/>
    <w:rsid w:val="0012741E"/>
    <w:rsid w:val="001279CA"/>
    <w:rsid w:val="00131D2F"/>
    <w:rsid w:val="0013241E"/>
    <w:rsid w:val="00132E0F"/>
    <w:rsid w:val="00133739"/>
    <w:rsid w:val="00140824"/>
    <w:rsid w:val="0014233D"/>
    <w:rsid w:val="00142460"/>
    <w:rsid w:val="00142487"/>
    <w:rsid w:val="00142AC6"/>
    <w:rsid w:val="00142BBE"/>
    <w:rsid w:val="00142C80"/>
    <w:rsid w:val="00143C74"/>
    <w:rsid w:val="00143FBE"/>
    <w:rsid w:val="00144295"/>
    <w:rsid w:val="0014577A"/>
    <w:rsid w:val="001516EC"/>
    <w:rsid w:val="00151EE9"/>
    <w:rsid w:val="00152691"/>
    <w:rsid w:val="00155B0D"/>
    <w:rsid w:val="00155B88"/>
    <w:rsid w:val="00155E64"/>
    <w:rsid w:val="00156761"/>
    <w:rsid w:val="00157128"/>
    <w:rsid w:val="00157170"/>
    <w:rsid w:val="00157EC8"/>
    <w:rsid w:val="00160520"/>
    <w:rsid w:val="00164372"/>
    <w:rsid w:val="0016598F"/>
    <w:rsid w:val="001728A6"/>
    <w:rsid w:val="00172F92"/>
    <w:rsid w:val="00172F9D"/>
    <w:rsid w:val="00173BBB"/>
    <w:rsid w:val="00173E94"/>
    <w:rsid w:val="00173ED1"/>
    <w:rsid w:val="0017705F"/>
    <w:rsid w:val="0017795B"/>
    <w:rsid w:val="001812E2"/>
    <w:rsid w:val="001813EE"/>
    <w:rsid w:val="00181730"/>
    <w:rsid w:val="00183634"/>
    <w:rsid w:val="00184506"/>
    <w:rsid w:val="001850A3"/>
    <w:rsid w:val="0018593C"/>
    <w:rsid w:val="001860B6"/>
    <w:rsid w:val="00186ABA"/>
    <w:rsid w:val="001872D9"/>
    <w:rsid w:val="00190BFB"/>
    <w:rsid w:val="00191ED7"/>
    <w:rsid w:val="00192656"/>
    <w:rsid w:val="00192AB1"/>
    <w:rsid w:val="001940A4"/>
    <w:rsid w:val="001951A0"/>
    <w:rsid w:val="001967D6"/>
    <w:rsid w:val="00196E5B"/>
    <w:rsid w:val="001975E3"/>
    <w:rsid w:val="001A3135"/>
    <w:rsid w:val="001A3FF1"/>
    <w:rsid w:val="001A4390"/>
    <w:rsid w:val="001A5C0B"/>
    <w:rsid w:val="001A6392"/>
    <w:rsid w:val="001A6ECA"/>
    <w:rsid w:val="001A79B6"/>
    <w:rsid w:val="001A7EBE"/>
    <w:rsid w:val="001B0779"/>
    <w:rsid w:val="001B1217"/>
    <w:rsid w:val="001B17E0"/>
    <w:rsid w:val="001B182A"/>
    <w:rsid w:val="001B2FBB"/>
    <w:rsid w:val="001B3DB4"/>
    <w:rsid w:val="001B64A1"/>
    <w:rsid w:val="001C0932"/>
    <w:rsid w:val="001C18E2"/>
    <w:rsid w:val="001C2062"/>
    <w:rsid w:val="001C2312"/>
    <w:rsid w:val="001C319A"/>
    <w:rsid w:val="001C3593"/>
    <w:rsid w:val="001C5881"/>
    <w:rsid w:val="001C7D8B"/>
    <w:rsid w:val="001D3DF5"/>
    <w:rsid w:val="001E0886"/>
    <w:rsid w:val="001E2258"/>
    <w:rsid w:val="001E2A87"/>
    <w:rsid w:val="001E41DB"/>
    <w:rsid w:val="001E4A2E"/>
    <w:rsid w:val="001E659F"/>
    <w:rsid w:val="001E7AC2"/>
    <w:rsid w:val="001F3623"/>
    <w:rsid w:val="001F39FB"/>
    <w:rsid w:val="001F46F0"/>
    <w:rsid w:val="001F5095"/>
    <w:rsid w:val="001F66E2"/>
    <w:rsid w:val="001F792E"/>
    <w:rsid w:val="001F7AEB"/>
    <w:rsid w:val="00201E15"/>
    <w:rsid w:val="002024A1"/>
    <w:rsid w:val="00202BF5"/>
    <w:rsid w:val="00203591"/>
    <w:rsid w:val="0020502D"/>
    <w:rsid w:val="00205382"/>
    <w:rsid w:val="002107B2"/>
    <w:rsid w:val="00211935"/>
    <w:rsid w:val="00211EFC"/>
    <w:rsid w:val="0021635E"/>
    <w:rsid w:val="002203AB"/>
    <w:rsid w:val="00221373"/>
    <w:rsid w:val="00221C98"/>
    <w:rsid w:val="0022402B"/>
    <w:rsid w:val="00235779"/>
    <w:rsid w:val="00235A03"/>
    <w:rsid w:val="00236B31"/>
    <w:rsid w:val="00236B67"/>
    <w:rsid w:val="00237E37"/>
    <w:rsid w:val="0024039F"/>
    <w:rsid w:val="00240BD1"/>
    <w:rsid w:val="00240E59"/>
    <w:rsid w:val="00240E86"/>
    <w:rsid w:val="002424E5"/>
    <w:rsid w:val="00242C14"/>
    <w:rsid w:val="00243B63"/>
    <w:rsid w:val="00245286"/>
    <w:rsid w:val="00245776"/>
    <w:rsid w:val="00245E71"/>
    <w:rsid w:val="00252183"/>
    <w:rsid w:val="00252D04"/>
    <w:rsid w:val="00255510"/>
    <w:rsid w:val="00256FFA"/>
    <w:rsid w:val="0026015C"/>
    <w:rsid w:val="00261363"/>
    <w:rsid w:val="002626CD"/>
    <w:rsid w:val="00262DE3"/>
    <w:rsid w:val="00263D14"/>
    <w:rsid w:val="00263EBB"/>
    <w:rsid w:val="00264992"/>
    <w:rsid w:val="00267287"/>
    <w:rsid w:val="00267486"/>
    <w:rsid w:val="00267758"/>
    <w:rsid w:val="002725B5"/>
    <w:rsid w:val="00272B6A"/>
    <w:rsid w:val="002743C3"/>
    <w:rsid w:val="002754B4"/>
    <w:rsid w:val="002773A4"/>
    <w:rsid w:val="00277FB1"/>
    <w:rsid w:val="002806A5"/>
    <w:rsid w:val="00282709"/>
    <w:rsid w:val="00282807"/>
    <w:rsid w:val="00282931"/>
    <w:rsid w:val="00283C4E"/>
    <w:rsid w:val="0028567D"/>
    <w:rsid w:val="0028759F"/>
    <w:rsid w:val="002910AB"/>
    <w:rsid w:val="00291691"/>
    <w:rsid w:val="0029327C"/>
    <w:rsid w:val="002939B4"/>
    <w:rsid w:val="00293FEC"/>
    <w:rsid w:val="00294CBD"/>
    <w:rsid w:val="00295B2D"/>
    <w:rsid w:val="002964A2"/>
    <w:rsid w:val="00296AA3"/>
    <w:rsid w:val="0029771C"/>
    <w:rsid w:val="002A1284"/>
    <w:rsid w:val="002A133C"/>
    <w:rsid w:val="002A1B3D"/>
    <w:rsid w:val="002A29E2"/>
    <w:rsid w:val="002A3115"/>
    <w:rsid w:val="002A3D43"/>
    <w:rsid w:val="002A57BF"/>
    <w:rsid w:val="002B0A2C"/>
    <w:rsid w:val="002B4C4B"/>
    <w:rsid w:val="002B51B1"/>
    <w:rsid w:val="002C052B"/>
    <w:rsid w:val="002C1384"/>
    <w:rsid w:val="002C1DEC"/>
    <w:rsid w:val="002C1FA8"/>
    <w:rsid w:val="002C4B91"/>
    <w:rsid w:val="002C4EDD"/>
    <w:rsid w:val="002C60AD"/>
    <w:rsid w:val="002C74B0"/>
    <w:rsid w:val="002C7F45"/>
    <w:rsid w:val="002D0B31"/>
    <w:rsid w:val="002D1456"/>
    <w:rsid w:val="002D1CF1"/>
    <w:rsid w:val="002D2464"/>
    <w:rsid w:val="002D24AC"/>
    <w:rsid w:val="002D36DA"/>
    <w:rsid w:val="002D3778"/>
    <w:rsid w:val="002D3BBC"/>
    <w:rsid w:val="002D45B4"/>
    <w:rsid w:val="002D4B62"/>
    <w:rsid w:val="002D539C"/>
    <w:rsid w:val="002D5902"/>
    <w:rsid w:val="002D6EFF"/>
    <w:rsid w:val="002D76CF"/>
    <w:rsid w:val="002E2BCE"/>
    <w:rsid w:val="002E3849"/>
    <w:rsid w:val="002E5050"/>
    <w:rsid w:val="002E52A1"/>
    <w:rsid w:val="002E709E"/>
    <w:rsid w:val="002F0D46"/>
    <w:rsid w:val="002F2CFA"/>
    <w:rsid w:val="002F329F"/>
    <w:rsid w:val="002F5077"/>
    <w:rsid w:val="002F5423"/>
    <w:rsid w:val="002F77BF"/>
    <w:rsid w:val="002F7D55"/>
    <w:rsid w:val="002F7D99"/>
    <w:rsid w:val="00300265"/>
    <w:rsid w:val="0030275E"/>
    <w:rsid w:val="00302990"/>
    <w:rsid w:val="00303907"/>
    <w:rsid w:val="00304B0C"/>
    <w:rsid w:val="00305007"/>
    <w:rsid w:val="003076E0"/>
    <w:rsid w:val="003107C9"/>
    <w:rsid w:val="00311067"/>
    <w:rsid w:val="00311281"/>
    <w:rsid w:val="00312F3E"/>
    <w:rsid w:val="003145A5"/>
    <w:rsid w:val="00315260"/>
    <w:rsid w:val="003161CE"/>
    <w:rsid w:val="0031780B"/>
    <w:rsid w:val="00317AFF"/>
    <w:rsid w:val="00321D6D"/>
    <w:rsid w:val="003262C7"/>
    <w:rsid w:val="00326AAF"/>
    <w:rsid w:val="00326ECB"/>
    <w:rsid w:val="00330444"/>
    <w:rsid w:val="00331404"/>
    <w:rsid w:val="00331507"/>
    <w:rsid w:val="00331BC5"/>
    <w:rsid w:val="003327C0"/>
    <w:rsid w:val="003333AF"/>
    <w:rsid w:val="00333C79"/>
    <w:rsid w:val="003348B5"/>
    <w:rsid w:val="00334A8D"/>
    <w:rsid w:val="003352A9"/>
    <w:rsid w:val="00335DE6"/>
    <w:rsid w:val="00337400"/>
    <w:rsid w:val="00337CC9"/>
    <w:rsid w:val="003411FF"/>
    <w:rsid w:val="00342071"/>
    <w:rsid w:val="00342477"/>
    <w:rsid w:val="003428DF"/>
    <w:rsid w:val="003435A6"/>
    <w:rsid w:val="00343E54"/>
    <w:rsid w:val="00344700"/>
    <w:rsid w:val="00344D91"/>
    <w:rsid w:val="00345D7B"/>
    <w:rsid w:val="0034636A"/>
    <w:rsid w:val="00350C5B"/>
    <w:rsid w:val="00350C82"/>
    <w:rsid w:val="00350EFF"/>
    <w:rsid w:val="00352C98"/>
    <w:rsid w:val="00353213"/>
    <w:rsid w:val="00353AE0"/>
    <w:rsid w:val="003564AF"/>
    <w:rsid w:val="00356A92"/>
    <w:rsid w:val="00357296"/>
    <w:rsid w:val="00357A61"/>
    <w:rsid w:val="0036002E"/>
    <w:rsid w:val="0036031F"/>
    <w:rsid w:val="003630F2"/>
    <w:rsid w:val="003635D3"/>
    <w:rsid w:val="00365D0A"/>
    <w:rsid w:val="00366433"/>
    <w:rsid w:val="00366DBB"/>
    <w:rsid w:val="0036716E"/>
    <w:rsid w:val="0037057F"/>
    <w:rsid w:val="0037089D"/>
    <w:rsid w:val="00370BC6"/>
    <w:rsid w:val="00373786"/>
    <w:rsid w:val="00373FCD"/>
    <w:rsid w:val="003758B1"/>
    <w:rsid w:val="00381BC0"/>
    <w:rsid w:val="00382574"/>
    <w:rsid w:val="00382F4F"/>
    <w:rsid w:val="003830AC"/>
    <w:rsid w:val="00384F78"/>
    <w:rsid w:val="0038711A"/>
    <w:rsid w:val="00387347"/>
    <w:rsid w:val="00387894"/>
    <w:rsid w:val="0039064D"/>
    <w:rsid w:val="003908FA"/>
    <w:rsid w:val="00393226"/>
    <w:rsid w:val="0039324D"/>
    <w:rsid w:val="00394C27"/>
    <w:rsid w:val="00395175"/>
    <w:rsid w:val="00395486"/>
    <w:rsid w:val="00395DCF"/>
    <w:rsid w:val="003962B1"/>
    <w:rsid w:val="003A12DC"/>
    <w:rsid w:val="003A1706"/>
    <w:rsid w:val="003A2414"/>
    <w:rsid w:val="003A2DE3"/>
    <w:rsid w:val="003A4E70"/>
    <w:rsid w:val="003A601C"/>
    <w:rsid w:val="003A61DE"/>
    <w:rsid w:val="003B2E3D"/>
    <w:rsid w:val="003B4A6B"/>
    <w:rsid w:val="003B59A9"/>
    <w:rsid w:val="003B602F"/>
    <w:rsid w:val="003B676B"/>
    <w:rsid w:val="003C0692"/>
    <w:rsid w:val="003C1982"/>
    <w:rsid w:val="003C2768"/>
    <w:rsid w:val="003C2FF4"/>
    <w:rsid w:val="003C4F1F"/>
    <w:rsid w:val="003C5EE2"/>
    <w:rsid w:val="003C614B"/>
    <w:rsid w:val="003D0725"/>
    <w:rsid w:val="003D0B78"/>
    <w:rsid w:val="003D1D1A"/>
    <w:rsid w:val="003D2714"/>
    <w:rsid w:val="003D4186"/>
    <w:rsid w:val="003D46E0"/>
    <w:rsid w:val="003D56B8"/>
    <w:rsid w:val="003D6805"/>
    <w:rsid w:val="003D6AF3"/>
    <w:rsid w:val="003D76B8"/>
    <w:rsid w:val="003D7851"/>
    <w:rsid w:val="003D7CE7"/>
    <w:rsid w:val="003D7E5B"/>
    <w:rsid w:val="003E29F3"/>
    <w:rsid w:val="003E2F24"/>
    <w:rsid w:val="003E33F2"/>
    <w:rsid w:val="003E4A8D"/>
    <w:rsid w:val="003E605F"/>
    <w:rsid w:val="003E6817"/>
    <w:rsid w:val="003E72C0"/>
    <w:rsid w:val="003E773E"/>
    <w:rsid w:val="003E7B3A"/>
    <w:rsid w:val="003F0940"/>
    <w:rsid w:val="003F10C8"/>
    <w:rsid w:val="003F29BD"/>
    <w:rsid w:val="003F2B52"/>
    <w:rsid w:val="003F3961"/>
    <w:rsid w:val="003F3A03"/>
    <w:rsid w:val="003F6026"/>
    <w:rsid w:val="003F772A"/>
    <w:rsid w:val="003F788D"/>
    <w:rsid w:val="00401405"/>
    <w:rsid w:val="0040287B"/>
    <w:rsid w:val="0040661C"/>
    <w:rsid w:val="004073B3"/>
    <w:rsid w:val="00410006"/>
    <w:rsid w:val="00410E3F"/>
    <w:rsid w:val="0041290A"/>
    <w:rsid w:val="00412A83"/>
    <w:rsid w:val="004135B4"/>
    <w:rsid w:val="0041370E"/>
    <w:rsid w:val="004140D9"/>
    <w:rsid w:val="00414CEC"/>
    <w:rsid w:val="00415531"/>
    <w:rsid w:val="00415A60"/>
    <w:rsid w:val="00421130"/>
    <w:rsid w:val="004211CC"/>
    <w:rsid w:val="00423F2A"/>
    <w:rsid w:val="004244EF"/>
    <w:rsid w:val="00424809"/>
    <w:rsid w:val="00424A0C"/>
    <w:rsid w:val="0043080F"/>
    <w:rsid w:val="00431555"/>
    <w:rsid w:val="00431BE9"/>
    <w:rsid w:val="00432A1F"/>
    <w:rsid w:val="00432E0E"/>
    <w:rsid w:val="004336EF"/>
    <w:rsid w:val="00433F6F"/>
    <w:rsid w:val="0043488A"/>
    <w:rsid w:val="004361CF"/>
    <w:rsid w:val="004378F8"/>
    <w:rsid w:val="00440B78"/>
    <w:rsid w:val="00440C41"/>
    <w:rsid w:val="00440DF2"/>
    <w:rsid w:val="00440F19"/>
    <w:rsid w:val="00441562"/>
    <w:rsid w:val="00442DFF"/>
    <w:rsid w:val="00444133"/>
    <w:rsid w:val="00450514"/>
    <w:rsid w:val="004506BE"/>
    <w:rsid w:val="004506FF"/>
    <w:rsid w:val="0045153E"/>
    <w:rsid w:val="00451E8D"/>
    <w:rsid w:val="004533D1"/>
    <w:rsid w:val="00453EA8"/>
    <w:rsid w:val="00454B66"/>
    <w:rsid w:val="00455B73"/>
    <w:rsid w:val="004570B3"/>
    <w:rsid w:val="00457596"/>
    <w:rsid w:val="00457A44"/>
    <w:rsid w:val="00457C94"/>
    <w:rsid w:val="0046025C"/>
    <w:rsid w:val="00462366"/>
    <w:rsid w:val="004629D5"/>
    <w:rsid w:val="00463534"/>
    <w:rsid w:val="00464159"/>
    <w:rsid w:val="00466620"/>
    <w:rsid w:val="00470D86"/>
    <w:rsid w:val="00470F61"/>
    <w:rsid w:val="00471691"/>
    <w:rsid w:val="004719CF"/>
    <w:rsid w:val="004719D0"/>
    <w:rsid w:val="004724C4"/>
    <w:rsid w:val="0047340A"/>
    <w:rsid w:val="00473804"/>
    <w:rsid w:val="004743EC"/>
    <w:rsid w:val="004748B0"/>
    <w:rsid w:val="0048184E"/>
    <w:rsid w:val="00483329"/>
    <w:rsid w:val="00483DEE"/>
    <w:rsid w:val="00484077"/>
    <w:rsid w:val="004843D0"/>
    <w:rsid w:val="00484451"/>
    <w:rsid w:val="004850C9"/>
    <w:rsid w:val="00485A15"/>
    <w:rsid w:val="00486B60"/>
    <w:rsid w:val="00486D77"/>
    <w:rsid w:val="004902F3"/>
    <w:rsid w:val="004903CB"/>
    <w:rsid w:val="00491337"/>
    <w:rsid w:val="0049223A"/>
    <w:rsid w:val="00492496"/>
    <w:rsid w:val="004935EF"/>
    <w:rsid w:val="00493BA3"/>
    <w:rsid w:val="00494271"/>
    <w:rsid w:val="004942F5"/>
    <w:rsid w:val="004960B4"/>
    <w:rsid w:val="0049694C"/>
    <w:rsid w:val="004972B2"/>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A4"/>
    <w:rsid w:val="004C7007"/>
    <w:rsid w:val="004C72C4"/>
    <w:rsid w:val="004C76CE"/>
    <w:rsid w:val="004D20EE"/>
    <w:rsid w:val="004D2666"/>
    <w:rsid w:val="004D3594"/>
    <w:rsid w:val="004D39DB"/>
    <w:rsid w:val="004D549C"/>
    <w:rsid w:val="004D6D25"/>
    <w:rsid w:val="004D7489"/>
    <w:rsid w:val="004D7840"/>
    <w:rsid w:val="004D7FCD"/>
    <w:rsid w:val="004E04F7"/>
    <w:rsid w:val="004E0B84"/>
    <w:rsid w:val="004E10F5"/>
    <w:rsid w:val="004E1A44"/>
    <w:rsid w:val="004E1F1C"/>
    <w:rsid w:val="004E3251"/>
    <w:rsid w:val="004E3AF1"/>
    <w:rsid w:val="004E6544"/>
    <w:rsid w:val="004E7802"/>
    <w:rsid w:val="004F009B"/>
    <w:rsid w:val="004F1B57"/>
    <w:rsid w:val="004F207A"/>
    <w:rsid w:val="004F2401"/>
    <w:rsid w:val="004F244B"/>
    <w:rsid w:val="004F3A1D"/>
    <w:rsid w:val="004F4780"/>
    <w:rsid w:val="005027B4"/>
    <w:rsid w:val="00504773"/>
    <w:rsid w:val="005068BC"/>
    <w:rsid w:val="00507161"/>
    <w:rsid w:val="0050728F"/>
    <w:rsid w:val="00507773"/>
    <w:rsid w:val="00510E6A"/>
    <w:rsid w:val="00511D38"/>
    <w:rsid w:val="00513606"/>
    <w:rsid w:val="0051385A"/>
    <w:rsid w:val="00513BDD"/>
    <w:rsid w:val="00515654"/>
    <w:rsid w:val="00516D73"/>
    <w:rsid w:val="00520EDC"/>
    <w:rsid w:val="0052293F"/>
    <w:rsid w:val="00522C2A"/>
    <w:rsid w:val="00522F6B"/>
    <w:rsid w:val="00523110"/>
    <w:rsid w:val="0052491C"/>
    <w:rsid w:val="005251C1"/>
    <w:rsid w:val="005252E0"/>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686"/>
    <w:rsid w:val="00540FBE"/>
    <w:rsid w:val="00541033"/>
    <w:rsid w:val="005422E3"/>
    <w:rsid w:val="00542A0E"/>
    <w:rsid w:val="005444C1"/>
    <w:rsid w:val="00545905"/>
    <w:rsid w:val="0054615B"/>
    <w:rsid w:val="005472A5"/>
    <w:rsid w:val="005500FB"/>
    <w:rsid w:val="00550C78"/>
    <w:rsid w:val="00551BF9"/>
    <w:rsid w:val="00551DFD"/>
    <w:rsid w:val="005522D8"/>
    <w:rsid w:val="00552952"/>
    <w:rsid w:val="00552B5F"/>
    <w:rsid w:val="00553BB2"/>
    <w:rsid w:val="00555FE1"/>
    <w:rsid w:val="00556A44"/>
    <w:rsid w:val="00557E06"/>
    <w:rsid w:val="005603CF"/>
    <w:rsid w:val="00560A87"/>
    <w:rsid w:val="00560D3D"/>
    <w:rsid w:val="00560D94"/>
    <w:rsid w:val="005621D9"/>
    <w:rsid w:val="0056541D"/>
    <w:rsid w:val="005654AC"/>
    <w:rsid w:val="0056627B"/>
    <w:rsid w:val="005670C9"/>
    <w:rsid w:val="00567462"/>
    <w:rsid w:val="00567D9E"/>
    <w:rsid w:val="00570275"/>
    <w:rsid w:val="00570EF9"/>
    <w:rsid w:val="00571364"/>
    <w:rsid w:val="005724D5"/>
    <w:rsid w:val="005738C9"/>
    <w:rsid w:val="005755C7"/>
    <w:rsid w:val="00575D97"/>
    <w:rsid w:val="005762C3"/>
    <w:rsid w:val="005762D8"/>
    <w:rsid w:val="005779AE"/>
    <w:rsid w:val="00580587"/>
    <w:rsid w:val="00581310"/>
    <w:rsid w:val="00581422"/>
    <w:rsid w:val="0058143D"/>
    <w:rsid w:val="005822A8"/>
    <w:rsid w:val="00582E12"/>
    <w:rsid w:val="0058385E"/>
    <w:rsid w:val="00585A72"/>
    <w:rsid w:val="00585AC6"/>
    <w:rsid w:val="00586C9A"/>
    <w:rsid w:val="005874EF"/>
    <w:rsid w:val="00587A54"/>
    <w:rsid w:val="005908FF"/>
    <w:rsid w:val="0059105A"/>
    <w:rsid w:val="0059503F"/>
    <w:rsid w:val="0059545D"/>
    <w:rsid w:val="00596A25"/>
    <w:rsid w:val="005979DC"/>
    <w:rsid w:val="005A202E"/>
    <w:rsid w:val="005A21E3"/>
    <w:rsid w:val="005A2CE2"/>
    <w:rsid w:val="005A2E6F"/>
    <w:rsid w:val="005A37D0"/>
    <w:rsid w:val="005A4D3F"/>
    <w:rsid w:val="005A5F57"/>
    <w:rsid w:val="005A6D6C"/>
    <w:rsid w:val="005A6DB6"/>
    <w:rsid w:val="005A6ED8"/>
    <w:rsid w:val="005A70FA"/>
    <w:rsid w:val="005B0BB4"/>
    <w:rsid w:val="005B2A61"/>
    <w:rsid w:val="005B3CB6"/>
    <w:rsid w:val="005B5439"/>
    <w:rsid w:val="005B57A5"/>
    <w:rsid w:val="005B78D2"/>
    <w:rsid w:val="005C028E"/>
    <w:rsid w:val="005C1385"/>
    <w:rsid w:val="005C2D90"/>
    <w:rsid w:val="005C3EB9"/>
    <w:rsid w:val="005C5B86"/>
    <w:rsid w:val="005C5DA2"/>
    <w:rsid w:val="005C5DC2"/>
    <w:rsid w:val="005D191C"/>
    <w:rsid w:val="005D3297"/>
    <w:rsid w:val="005D3FD6"/>
    <w:rsid w:val="005D6837"/>
    <w:rsid w:val="005D6C4C"/>
    <w:rsid w:val="005E0D33"/>
    <w:rsid w:val="005E20B4"/>
    <w:rsid w:val="005E2835"/>
    <w:rsid w:val="005E2D1E"/>
    <w:rsid w:val="005E3B88"/>
    <w:rsid w:val="005E4249"/>
    <w:rsid w:val="005E4997"/>
    <w:rsid w:val="005E61F9"/>
    <w:rsid w:val="005E644B"/>
    <w:rsid w:val="005E7CE3"/>
    <w:rsid w:val="005F0430"/>
    <w:rsid w:val="005F08EC"/>
    <w:rsid w:val="005F1189"/>
    <w:rsid w:val="005F3BA5"/>
    <w:rsid w:val="005F49DC"/>
    <w:rsid w:val="005F589F"/>
    <w:rsid w:val="005F58DF"/>
    <w:rsid w:val="005F7E34"/>
    <w:rsid w:val="006007A2"/>
    <w:rsid w:val="00601014"/>
    <w:rsid w:val="0060301F"/>
    <w:rsid w:val="00605435"/>
    <w:rsid w:val="006076C3"/>
    <w:rsid w:val="006109C1"/>
    <w:rsid w:val="006116F4"/>
    <w:rsid w:val="006144EC"/>
    <w:rsid w:val="00614965"/>
    <w:rsid w:val="00614ADC"/>
    <w:rsid w:val="00616877"/>
    <w:rsid w:val="00617EEA"/>
    <w:rsid w:val="006216E7"/>
    <w:rsid w:val="0062250B"/>
    <w:rsid w:val="00622A95"/>
    <w:rsid w:val="006234DE"/>
    <w:rsid w:val="00623ABC"/>
    <w:rsid w:val="00623F07"/>
    <w:rsid w:val="0062477F"/>
    <w:rsid w:val="00624EE3"/>
    <w:rsid w:val="00625224"/>
    <w:rsid w:val="00625796"/>
    <w:rsid w:val="00626F2D"/>
    <w:rsid w:val="00627316"/>
    <w:rsid w:val="0062779C"/>
    <w:rsid w:val="006313D5"/>
    <w:rsid w:val="006316CF"/>
    <w:rsid w:val="006359D1"/>
    <w:rsid w:val="00635B65"/>
    <w:rsid w:val="00636BC7"/>
    <w:rsid w:val="00636CEB"/>
    <w:rsid w:val="00640DE1"/>
    <w:rsid w:val="0064157C"/>
    <w:rsid w:val="00642566"/>
    <w:rsid w:val="006433EC"/>
    <w:rsid w:val="006443EA"/>
    <w:rsid w:val="0064473F"/>
    <w:rsid w:val="00644864"/>
    <w:rsid w:val="00644AAA"/>
    <w:rsid w:val="0064745E"/>
    <w:rsid w:val="00650116"/>
    <w:rsid w:val="00650ADB"/>
    <w:rsid w:val="00653904"/>
    <w:rsid w:val="006539B9"/>
    <w:rsid w:val="00653DF5"/>
    <w:rsid w:val="006541EB"/>
    <w:rsid w:val="00655C16"/>
    <w:rsid w:val="00655E06"/>
    <w:rsid w:val="00655EE7"/>
    <w:rsid w:val="00656049"/>
    <w:rsid w:val="0065606C"/>
    <w:rsid w:val="00657714"/>
    <w:rsid w:val="00657EA3"/>
    <w:rsid w:val="00662179"/>
    <w:rsid w:val="00663C13"/>
    <w:rsid w:val="00664E7A"/>
    <w:rsid w:val="00666135"/>
    <w:rsid w:val="00666BBA"/>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1D1B"/>
    <w:rsid w:val="00693167"/>
    <w:rsid w:val="00694205"/>
    <w:rsid w:val="00696D0B"/>
    <w:rsid w:val="006A20D1"/>
    <w:rsid w:val="006A3BBC"/>
    <w:rsid w:val="006A6AE0"/>
    <w:rsid w:val="006A7E2E"/>
    <w:rsid w:val="006B06A3"/>
    <w:rsid w:val="006B08D7"/>
    <w:rsid w:val="006B0A7A"/>
    <w:rsid w:val="006B1B86"/>
    <w:rsid w:val="006B25FE"/>
    <w:rsid w:val="006B2F1C"/>
    <w:rsid w:val="006B428F"/>
    <w:rsid w:val="006B52B0"/>
    <w:rsid w:val="006B5B2D"/>
    <w:rsid w:val="006B5E23"/>
    <w:rsid w:val="006B6DE4"/>
    <w:rsid w:val="006C10BC"/>
    <w:rsid w:val="006C1C90"/>
    <w:rsid w:val="006C2409"/>
    <w:rsid w:val="006C425B"/>
    <w:rsid w:val="006C4D85"/>
    <w:rsid w:val="006C4D8A"/>
    <w:rsid w:val="006C5037"/>
    <w:rsid w:val="006C593D"/>
    <w:rsid w:val="006C59BD"/>
    <w:rsid w:val="006C5D74"/>
    <w:rsid w:val="006C6A36"/>
    <w:rsid w:val="006C7EDF"/>
    <w:rsid w:val="006C7F80"/>
    <w:rsid w:val="006D0081"/>
    <w:rsid w:val="006D0624"/>
    <w:rsid w:val="006D2063"/>
    <w:rsid w:val="006D21C0"/>
    <w:rsid w:val="006D2D36"/>
    <w:rsid w:val="006D2E8E"/>
    <w:rsid w:val="006D366C"/>
    <w:rsid w:val="006D7649"/>
    <w:rsid w:val="006E035E"/>
    <w:rsid w:val="006E285E"/>
    <w:rsid w:val="006E3EA5"/>
    <w:rsid w:val="006E6103"/>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1FB"/>
    <w:rsid w:val="007156A6"/>
    <w:rsid w:val="007170ED"/>
    <w:rsid w:val="00722B1B"/>
    <w:rsid w:val="0072361A"/>
    <w:rsid w:val="0072518E"/>
    <w:rsid w:val="00726010"/>
    <w:rsid w:val="007267EC"/>
    <w:rsid w:val="00726B87"/>
    <w:rsid w:val="00727B3A"/>
    <w:rsid w:val="00731723"/>
    <w:rsid w:val="00732BBD"/>
    <w:rsid w:val="00733BB5"/>
    <w:rsid w:val="00734566"/>
    <w:rsid w:val="00735018"/>
    <w:rsid w:val="007355F3"/>
    <w:rsid w:val="00735C57"/>
    <w:rsid w:val="007360D9"/>
    <w:rsid w:val="007379E5"/>
    <w:rsid w:val="00740175"/>
    <w:rsid w:val="0074099B"/>
    <w:rsid w:val="00743F53"/>
    <w:rsid w:val="007450BA"/>
    <w:rsid w:val="0074600A"/>
    <w:rsid w:val="007513C4"/>
    <w:rsid w:val="00752264"/>
    <w:rsid w:val="00752B90"/>
    <w:rsid w:val="00752E78"/>
    <w:rsid w:val="007534BD"/>
    <w:rsid w:val="00756612"/>
    <w:rsid w:val="007571F3"/>
    <w:rsid w:val="00762126"/>
    <w:rsid w:val="00762FF5"/>
    <w:rsid w:val="00763E92"/>
    <w:rsid w:val="007646FE"/>
    <w:rsid w:val="00764A07"/>
    <w:rsid w:val="00765FF6"/>
    <w:rsid w:val="007660C4"/>
    <w:rsid w:val="00766357"/>
    <w:rsid w:val="007737FB"/>
    <w:rsid w:val="00773949"/>
    <w:rsid w:val="00774941"/>
    <w:rsid w:val="00774B4F"/>
    <w:rsid w:val="00775421"/>
    <w:rsid w:val="00776D56"/>
    <w:rsid w:val="00777458"/>
    <w:rsid w:val="00780475"/>
    <w:rsid w:val="007804E6"/>
    <w:rsid w:val="00780C31"/>
    <w:rsid w:val="0078284E"/>
    <w:rsid w:val="00782C46"/>
    <w:rsid w:val="007833B9"/>
    <w:rsid w:val="00784D7A"/>
    <w:rsid w:val="0078588D"/>
    <w:rsid w:val="00785F79"/>
    <w:rsid w:val="00790D3F"/>
    <w:rsid w:val="00791146"/>
    <w:rsid w:val="00791311"/>
    <w:rsid w:val="0079224A"/>
    <w:rsid w:val="00792A72"/>
    <w:rsid w:val="00793111"/>
    <w:rsid w:val="007936C3"/>
    <w:rsid w:val="00793726"/>
    <w:rsid w:val="007945B6"/>
    <w:rsid w:val="007A22F3"/>
    <w:rsid w:val="007A2732"/>
    <w:rsid w:val="007A2B2D"/>
    <w:rsid w:val="007A357B"/>
    <w:rsid w:val="007A3FBF"/>
    <w:rsid w:val="007A5D7F"/>
    <w:rsid w:val="007A6A0B"/>
    <w:rsid w:val="007A7984"/>
    <w:rsid w:val="007B135F"/>
    <w:rsid w:val="007B2B55"/>
    <w:rsid w:val="007B3C14"/>
    <w:rsid w:val="007B548C"/>
    <w:rsid w:val="007B774E"/>
    <w:rsid w:val="007B7A67"/>
    <w:rsid w:val="007C0882"/>
    <w:rsid w:val="007C1043"/>
    <w:rsid w:val="007C14DF"/>
    <w:rsid w:val="007C32D4"/>
    <w:rsid w:val="007C4161"/>
    <w:rsid w:val="007C4BE1"/>
    <w:rsid w:val="007C51EF"/>
    <w:rsid w:val="007C6921"/>
    <w:rsid w:val="007C6F74"/>
    <w:rsid w:val="007C7751"/>
    <w:rsid w:val="007D01B5"/>
    <w:rsid w:val="007D20E3"/>
    <w:rsid w:val="007D26A7"/>
    <w:rsid w:val="007D419F"/>
    <w:rsid w:val="007D4228"/>
    <w:rsid w:val="007D6D69"/>
    <w:rsid w:val="007D6F29"/>
    <w:rsid w:val="007D709C"/>
    <w:rsid w:val="007D735A"/>
    <w:rsid w:val="007E0DDC"/>
    <w:rsid w:val="007E1014"/>
    <w:rsid w:val="007F0584"/>
    <w:rsid w:val="007F093A"/>
    <w:rsid w:val="007F11B8"/>
    <w:rsid w:val="007F3EEA"/>
    <w:rsid w:val="007F65C7"/>
    <w:rsid w:val="008023FD"/>
    <w:rsid w:val="00802845"/>
    <w:rsid w:val="00803299"/>
    <w:rsid w:val="008058CF"/>
    <w:rsid w:val="00807900"/>
    <w:rsid w:val="00810EF7"/>
    <w:rsid w:val="0081339B"/>
    <w:rsid w:val="008139F4"/>
    <w:rsid w:val="00815DEE"/>
    <w:rsid w:val="00816216"/>
    <w:rsid w:val="008165EA"/>
    <w:rsid w:val="00816907"/>
    <w:rsid w:val="00816CF0"/>
    <w:rsid w:val="0081790A"/>
    <w:rsid w:val="00821CF3"/>
    <w:rsid w:val="0082217E"/>
    <w:rsid w:val="00822E49"/>
    <w:rsid w:val="00822E96"/>
    <w:rsid w:val="00824063"/>
    <w:rsid w:val="00825C50"/>
    <w:rsid w:val="00825D16"/>
    <w:rsid w:val="008267EE"/>
    <w:rsid w:val="00826BB1"/>
    <w:rsid w:val="00827717"/>
    <w:rsid w:val="00830A74"/>
    <w:rsid w:val="008316EF"/>
    <w:rsid w:val="0083273C"/>
    <w:rsid w:val="008331C1"/>
    <w:rsid w:val="0083689B"/>
    <w:rsid w:val="008379B1"/>
    <w:rsid w:val="008424D3"/>
    <w:rsid w:val="00842FF3"/>
    <w:rsid w:val="00843E84"/>
    <w:rsid w:val="008443F6"/>
    <w:rsid w:val="00846C3B"/>
    <w:rsid w:val="00850C34"/>
    <w:rsid w:val="00850F04"/>
    <w:rsid w:val="00851B1A"/>
    <w:rsid w:val="00851C29"/>
    <w:rsid w:val="00852756"/>
    <w:rsid w:val="0085309B"/>
    <w:rsid w:val="008543E1"/>
    <w:rsid w:val="008549B6"/>
    <w:rsid w:val="00856FA0"/>
    <w:rsid w:val="0085725A"/>
    <w:rsid w:val="0086068B"/>
    <w:rsid w:val="00860A70"/>
    <w:rsid w:val="008618D8"/>
    <w:rsid w:val="008620B4"/>
    <w:rsid w:val="00862698"/>
    <w:rsid w:val="00862B0B"/>
    <w:rsid w:val="008658D2"/>
    <w:rsid w:val="00865910"/>
    <w:rsid w:val="00870DBE"/>
    <w:rsid w:val="008723EF"/>
    <w:rsid w:val="0087301D"/>
    <w:rsid w:val="00873818"/>
    <w:rsid w:val="00873F7F"/>
    <w:rsid w:val="00874239"/>
    <w:rsid w:val="00874269"/>
    <w:rsid w:val="00876326"/>
    <w:rsid w:val="00877A6D"/>
    <w:rsid w:val="00881AFF"/>
    <w:rsid w:val="00882301"/>
    <w:rsid w:val="00884C8E"/>
    <w:rsid w:val="00886903"/>
    <w:rsid w:val="00890AD4"/>
    <w:rsid w:val="00890F00"/>
    <w:rsid w:val="00891EF7"/>
    <w:rsid w:val="0089241D"/>
    <w:rsid w:val="0089283A"/>
    <w:rsid w:val="00893AB8"/>
    <w:rsid w:val="00894204"/>
    <w:rsid w:val="00895771"/>
    <w:rsid w:val="00895A94"/>
    <w:rsid w:val="0089622A"/>
    <w:rsid w:val="00896702"/>
    <w:rsid w:val="0089696C"/>
    <w:rsid w:val="00897A46"/>
    <w:rsid w:val="008A12DA"/>
    <w:rsid w:val="008A4677"/>
    <w:rsid w:val="008A5DB2"/>
    <w:rsid w:val="008A61B9"/>
    <w:rsid w:val="008A6DE5"/>
    <w:rsid w:val="008B092F"/>
    <w:rsid w:val="008B09EE"/>
    <w:rsid w:val="008B0D8A"/>
    <w:rsid w:val="008B1A1A"/>
    <w:rsid w:val="008B1FF2"/>
    <w:rsid w:val="008B2496"/>
    <w:rsid w:val="008B4302"/>
    <w:rsid w:val="008B4BFE"/>
    <w:rsid w:val="008B7A72"/>
    <w:rsid w:val="008B7D97"/>
    <w:rsid w:val="008C255E"/>
    <w:rsid w:val="008C670C"/>
    <w:rsid w:val="008C7062"/>
    <w:rsid w:val="008C73B5"/>
    <w:rsid w:val="008D1E50"/>
    <w:rsid w:val="008D48F0"/>
    <w:rsid w:val="008D51B8"/>
    <w:rsid w:val="008D7D43"/>
    <w:rsid w:val="008E0178"/>
    <w:rsid w:val="008E0B6D"/>
    <w:rsid w:val="008E1F7D"/>
    <w:rsid w:val="008E6C46"/>
    <w:rsid w:val="008F24FD"/>
    <w:rsid w:val="008F2B7D"/>
    <w:rsid w:val="008F3574"/>
    <w:rsid w:val="008F4657"/>
    <w:rsid w:val="008F73A2"/>
    <w:rsid w:val="0090042E"/>
    <w:rsid w:val="00901597"/>
    <w:rsid w:val="00904A3E"/>
    <w:rsid w:val="009062E6"/>
    <w:rsid w:val="0090687A"/>
    <w:rsid w:val="00907144"/>
    <w:rsid w:val="009078EE"/>
    <w:rsid w:val="00907A65"/>
    <w:rsid w:val="00910DEE"/>
    <w:rsid w:val="0091100D"/>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0687"/>
    <w:rsid w:val="009411A4"/>
    <w:rsid w:val="009422D4"/>
    <w:rsid w:val="009427B5"/>
    <w:rsid w:val="009450C0"/>
    <w:rsid w:val="009457DA"/>
    <w:rsid w:val="00945BA6"/>
    <w:rsid w:val="00946FD0"/>
    <w:rsid w:val="0095041C"/>
    <w:rsid w:val="00953A46"/>
    <w:rsid w:val="009548A5"/>
    <w:rsid w:val="00954A72"/>
    <w:rsid w:val="00955007"/>
    <w:rsid w:val="009550FD"/>
    <w:rsid w:val="009556CF"/>
    <w:rsid w:val="00955DFC"/>
    <w:rsid w:val="00960102"/>
    <w:rsid w:val="00960C95"/>
    <w:rsid w:val="0096111A"/>
    <w:rsid w:val="009611A2"/>
    <w:rsid w:val="00963BA6"/>
    <w:rsid w:val="009642B6"/>
    <w:rsid w:val="00966F53"/>
    <w:rsid w:val="0097078C"/>
    <w:rsid w:val="00972799"/>
    <w:rsid w:val="00972B18"/>
    <w:rsid w:val="00974899"/>
    <w:rsid w:val="00974A56"/>
    <w:rsid w:val="00975464"/>
    <w:rsid w:val="00976D34"/>
    <w:rsid w:val="009771AA"/>
    <w:rsid w:val="00977E8D"/>
    <w:rsid w:val="0098078B"/>
    <w:rsid w:val="0098634B"/>
    <w:rsid w:val="00986A33"/>
    <w:rsid w:val="00991F79"/>
    <w:rsid w:val="0099624C"/>
    <w:rsid w:val="0099658A"/>
    <w:rsid w:val="0099687C"/>
    <w:rsid w:val="00996906"/>
    <w:rsid w:val="00997435"/>
    <w:rsid w:val="009A0674"/>
    <w:rsid w:val="009A31D3"/>
    <w:rsid w:val="009A5475"/>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0B5"/>
    <w:rsid w:val="009C311B"/>
    <w:rsid w:val="009C37F6"/>
    <w:rsid w:val="009C64EC"/>
    <w:rsid w:val="009C69AB"/>
    <w:rsid w:val="009C7554"/>
    <w:rsid w:val="009D05C1"/>
    <w:rsid w:val="009D0CF4"/>
    <w:rsid w:val="009D15B0"/>
    <w:rsid w:val="009D3471"/>
    <w:rsid w:val="009D4398"/>
    <w:rsid w:val="009D69ED"/>
    <w:rsid w:val="009D754A"/>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057"/>
    <w:rsid w:val="00A02ED9"/>
    <w:rsid w:val="00A044B5"/>
    <w:rsid w:val="00A04892"/>
    <w:rsid w:val="00A05D57"/>
    <w:rsid w:val="00A05E96"/>
    <w:rsid w:val="00A061FC"/>
    <w:rsid w:val="00A0725F"/>
    <w:rsid w:val="00A07390"/>
    <w:rsid w:val="00A0798E"/>
    <w:rsid w:val="00A11F2E"/>
    <w:rsid w:val="00A13335"/>
    <w:rsid w:val="00A15BB3"/>
    <w:rsid w:val="00A16CF2"/>
    <w:rsid w:val="00A2035C"/>
    <w:rsid w:val="00A24A10"/>
    <w:rsid w:val="00A24FE8"/>
    <w:rsid w:val="00A253B3"/>
    <w:rsid w:val="00A26AB4"/>
    <w:rsid w:val="00A270B9"/>
    <w:rsid w:val="00A30A00"/>
    <w:rsid w:val="00A30C5D"/>
    <w:rsid w:val="00A31ABC"/>
    <w:rsid w:val="00A344EF"/>
    <w:rsid w:val="00A3647B"/>
    <w:rsid w:val="00A368B5"/>
    <w:rsid w:val="00A403F8"/>
    <w:rsid w:val="00A40ACE"/>
    <w:rsid w:val="00A41AB8"/>
    <w:rsid w:val="00A423C8"/>
    <w:rsid w:val="00A42B52"/>
    <w:rsid w:val="00A452C1"/>
    <w:rsid w:val="00A45DA3"/>
    <w:rsid w:val="00A472A7"/>
    <w:rsid w:val="00A50C65"/>
    <w:rsid w:val="00A52B82"/>
    <w:rsid w:val="00A52BC4"/>
    <w:rsid w:val="00A5314E"/>
    <w:rsid w:val="00A53C20"/>
    <w:rsid w:val="00A5595E"/>
    <w:rsid w:val="00A57FB9"/>
    <w:rsid w:val="00A653BB"/>
    <w:rsid w:val="00A65574"/>
    <w:rsid w:val="00A67011"/>
    <w:rsid w:val="00A67115"/>
    <w:rsid w:val="00A677A4"/>
    <w:rsid w:val="00A71BD5"/>
    <w:rsid w:val="00A7220F"/>
    <w:rsid w:val="00A72B22"/>
    <w:rsid w:val="00A74CBD"/>
    <w:rsid w:val="00A7527E"/>
    <w:rsid w:val="00A75E22"/>
    <w:rsid w:val="00A76206"/>
    <w:rsid w:val="00A80344"/>
    <w:rsid w:val="00A808C1"/>
    <w:rsid w:val="00A80911"/>
    <w:rsid w:val="00A80D61"/>
    <w:rsid w:val="00A80F35"/>
    <w:rsid w:val="00A811DB"/>
    <w:rsid w:val="00A81C90"/>
    <w:rsid w:val="00A83121"/>
    <w:rsid w:val="00A83E9B"/>
    <w:rsid w:val="00A863A7"/>
    <w:rsid w:val="00A86DF0"/>
    <w:rsid w:val="00A875E0"/>
    <w:rsid w:val="00A90637"/>
    <w:rsid w:val="00A93989"/>
    <w:rsid w:val="00A93BF0"/>
    <w:rsid w:val="00A96545"/>
    <w:rsid w:val="00AA0138"/>
    <w:rsid w:val="00AA06BA"/>
    <w:rsid w:val="00AA1BD7"/>
    <w:rsid w:val="00AA2955"/>
    <w:rsid w:val="00AA2AD3"/>
    <w:rsid w:val="00AA2B5E"/>
    <w:rsid w:val="00AA489D"/>
    <w:rsid w:val="00AA4A92"/>
    <w:rsid w:val="00AA52CC"/>
    <w:rsid w:val="00AA6848"/>
    <w:rsid w:val="00AA709D"/>
    <w:rsid w:val="00AA73AE"/>
    <w:rsid w:val="00AB3A30"/>
    <w:rsid w:val="00AB3FDB"/>
    <w:rsid w:val="00AB431D"/>
    <w:rsid w:val="00AB49FC"/>
    <w:rsid w:val="00AB4F81"/>
    <w:rsid w:val="00AB7DCC"/>
    <w:rsid w:val="00AC2467"/>
    <w:rsid w:val="00AC2C37"/>
    <w:rsid w:val="00AC3066"/>
    <w:rsid w:val="00AC5F56"/>
    <w:rsid w:val="00AC65C2"/>
    <w:rsid w:val="00AD2E39"/>
    <w:rsid w:val="00AD4280"/>
    <w:rsid w:val="00AD6C78"/>
    <w:rsid w:val="00AD751F"/>
    <w:rsid w:val="00AD76E8"/>
    <w:rsid w:val="00AE4A24"/>
    <w:rsid w:val="00AE5D0F"/>
    <w:rsid w:val="00AF0D8C"/>
    <w:rsid w:val="00AF2026"/>
    <w:rsid w:val="00AF2047"/>
    <w:rsid w:val="00AF262E"/>
    <w:rsid w:val="00AF2AA7"/>
    <w:rsid w:val="00AF2F09"/>
    <w:rsid w:val="00AF4E8C"/>
    <w:rsid w:val="00B01842"/>
    <w:rsid w:val="00B01BE5"/>
    <w:rsid w:val="00B01D33"/>
    <w:rsid w:val="00B02D4F"/>
    <w:rsid w:val="00B030CD"/>
    <w:rsid w:val="00B037C8"/>
    <w:rsid w:val="00B12C74"/>
    <w:rsid w:val="00B147AD"/>
    <w:rsid w:val="00B14DDE"/>
    <w:rsid w:val="00B15E75"/>
    <w:rsid w:val="00B16C25"/>
    <w:rsid w:val="00B224F4"/>
    <w:rsid w:val="00B22B29"/>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31CF"/>
    <w:rsid w:val="00B33D84"/>
    <w:rsid w:val="00B355DA"/>
    <w:rsid w:val="00B42691"/>
    <w:rsid w:val="00B42CA7"/>
    <w:rsid w:val="00B4425C"/>
    <w:rsid w:val="00B46921"/>
    <w:rsid w:val="00B47183"/>
    <w:rsid w:val="00B474C7"/>
    <w:rsid w:val="00B47E13"/>
    <w:rsid w:val="00B47E69"/>
    <w:rsid w:val="00B503F9"/>
    <w:rsid w:val="00B51293"/>
    <w:rsid w:val="00B514B8"/>
    <w:rsid w:val="00B521BF"/>
    <w:rsid w:val="00B525C1"/>
    <w:rsid w:val="00B53292"/>
    <w:rsid w:val="00B53A72"/>
    <w:rsid w:val="00B54516"/>
    <w:rsid w:val="00B553F8"/>
    <w:rsid w:val="00B55B1A"/>
    <w:rsid w:val="00B57015"/>
    <w:rsid w:val="00B57237"/>
    <w:rsid w:val="00B5755B"/>
    <w:rsid w:val="00B61A7E"/>
    <w:rsid w:val="00B61D84"/>
    <w:rsid w:val="00B620A5"/>
    <w:rsid w:val="00B62630"/>
    <w:rsid w:val="00B627D0"/>
    <w:rsid w:val="00B638BA"/>
    <w:rsid w:val="00B647EA"/>
    <w:rsid w:val="00B64C23"/>
    <w:rsid w:val="00B64E37"/>
    <w:rsid w:val="00B65636"/>
    <w:rsid w:val="00B657AC"/>
    <w:rsid w:val="00B703D9"/>
    <w:rsid w:val="00B70451"/>
    <w:rsid w:val="00B705F1"/>
    <w:rsid w:val="00B719E8"/>
    <w:rsid w:val="00B72BF0"/>
    <w:rsid w:val="00B730A9"/>
    <w:rsid w:val="00B7410E"/>
    <w:rsid w:val="00B7537C"/>
    <w:rsid w:val="00B75B52"/>
    <w:rsid w:val="00B76090"/>
    <w:rsid w:val="00B766FC"/>
    <w:rsid w:val="00B802D2"/>
    <w:rsid w:val="00B80B2A"/>
    <w:rsid w:val="00B80FFE"/>
    <w:rsid w:val="00B84645"/>
    <w:rsid w:val="00B84970"/>
    <w:rsid w:val="00B861F8"/>
    <w:rsid w:val="00B8792C"/>
    <w:rsid w:val="00B90EF9"/>
    <w:rsid w:val="00B93E0C"/>
    <w:rsid w:val="00B93E93"/>
    <w:rsid w:val="00B940C6"/>
    <w:rsid w:val="00B9536C"/>
    <w:rsid w:val="00BA1A64"/>
    <w:rsid w:val="00BA20CD"/>
    <w:rsid w:val="00BA53AF"/>
    <w:rsid w:val="00BA79D9"/>
    <w:rsid w:val="00BB0F16"/>
    <w:rsid w:val="00BB13D2"/>
    <w:rsid w:val="00BB25D8"/>
    <w:rsid w:val="00BB2FE6"/>
    <w:rsid w:val="00BB32B9"/>
    <w:rsid w:val="00BB4F99"/>
    <w:rsid w:val="00BB56BD"/>
    <w:rsid w:val="00BC041D"/>
    <w:rsid w:val="00BC176A"/>
    <w:rsid w:val="00BC1999"/>
    <w:rsid w:val="00BC285D"/>
    <w:rsid w:val="00BC4296"/>
    <w:rsid w:val="00BC44A2"/>
    <w:rsid w:val="00BC6153"/>
    <w:rsid w:val="00BC61CD"/>
    <w:rsid w:val="00BC6298"/>
    <w:rsid w:val="00BC62C3"/>
    <w:rsid w:val="00BD038E"/>
    <w:rsid w:val="00BD2529"/>
    <w:rsid w:val="00BD272F"/>
    <w:rsid w:val="00BD4EF3"/>
    <w:rsid w:val="00BD598C"/>
    <w:rsid w:val="00BD6FD0"/>
    <w:rsid w:val="00BD7AEB"/>
    <w:rsid w:val="00BE0542"/>
    <w:rsid w:val="00BE0D6A"/>
    <w:rsid w:val="00BE2FB1"/>
    <w:rsid w:val="00BE4748"/>
    <w:rsid w:val="00BE4F79"/>
    <w:rsid w:val="00BE5E61"/>
    <w:rsid w:val="00BE64B5"/>
    <w:rsid w:val="00BE6ECE"/>
    <w:rsid w:val="00BF278F"/>
    <w:rsid w:val="00BF4CEF"/>
    <w:rsid w:val="00BF4EE7"/>
    <w:rsid w:val="00BF5D15"/>
    <w:rsid w:val="00BF6B43"/>
    <w:rsid w:val="00BF7208"/>
    <w:rsid w:val="00C01FB9"/>
    <w:rsid w:val="00C03B2D"/>
    <w:rsid w:val="00C03C20"/>
    <w:rsid w:val="00C0413C"/>
    <w:rsid w:val="00C054C7"/>
    <w:rsid w:val="00C062B1"/>
    <w:rsid w:val="00C068D2"/>
    <w:rsid w:val="00C073E5"/>
    <w:rsid w:val="00C128C6"/>
    <w:rsid w:val="00C12A4C"/>
    <w:rsid w:val="00C152E8"/>
    <w:rsid w:val="00C15991"/>
    <w:rsid w:val="00C1663A"/>
    <w:rsid w:val="00C16784"/>
    <w:rsid w:val="00C20843"/>
    <w:rsid w:val="00C222BF"/>
    <w:rsid w:val="00C23EC6"/>
    <w:rsid w:val="00C25332"/>
    <w:rsid w:val="00C259AF"/>
    <w:rsid w:val="00C2637F"/>
    <w:rsid w:val="00C307D6"/>
    <w:rsid w:val="00C30B4B"/>
    <w:rsid w:val="00C3290A"/>
    <w:rsid w:val="00C3387C"/>
    <w:rsid w:val="00C34B0A"/>
    <w:rsid w:val="00C36EEA"/>
    <w:rsid w:val="00C371D5"/>
    <w:rsid w:val="00C3777F"/>
    <w:rsid w:val="00C37E0D"/>
    <w:rsid w:val="00C402A6"/>
    <w:rsid w:val="00C40BB5"/>
    <w:rsid w:val="00C43A82"/>
    <w:rsid w:val="00C43DF8"/>
    <w:rsid w:val="00C43F05"/>
    <w:rsid w:val="00C4655D"/>
    <w:rsid w:val="00C46A44"/>
    <w:rsid w:val="00C46AF8"/>
    <w:rsid w:val="00C47133"/>
    <w:rsid w:val="00C477F3"/>
    <w:rsid w:val="00C50473"/>
    <w:rsid w:val="00C508E4"/>
    <w:rsid w:val="00C5468E"/>
    <w:rsid w:val="00C54C77"/>
    <w:rsid w:val="00C54E4F"/>
    <w:rsid w:val="00C56B7F"/>
    <w:rsid w:val="00C60BD7"/>
    <w:rsid w:val="00C61BD6"/>
    <w:rsid w:val="00C61BE9"/>
    <w:rsid w:val="00C61C97"/>
    <w:rsid w:val="00C62834"/>
    <w:rsid w:val="00C63174"/>
    <w:rsid w:val="00C63576"/>
    <w:rsid w:val="00C63F05"/>
    <w:rsid w:val="00C64B4D"/>
    <w:rsid w:val="00C67B17"/>
    <w:rsid w:val="00C7142A"/>
    <w:rsid w:val="00C72476"/>
    <w:rsid w:val="00C73E50"/>
    <w:rsid w:val="00C74245"/>
    <w:rsid w:val="00C746FA"/>
    <w:rsid w:val="00C749FE"/>
    <w:rsid w:val="00C75831"/>
    <w:rsid w:val="00C81ED0"/>
    <w:rsid w:val="00C84339"/>
    <w:rsid w:val="00C846DB"/>
    <w:rsid w:val="00C849EA"/>
    <w:rsid w:val="00C84AFB"/>
    <w:rsid w:val="00C84E85"/>
    <w:rsid w:val="00C85D82"/>
    <w:rsid w:val="00C8703F"/>
    <w:rsid w:val="00C87130"/>
    <w:rsid w:val="00C8717A"/>
    <w:rsid w:val="00C872B0"/>
    <w:rsid w:val="00C919E7"/>
    <w:rsid w:val="00C91E20"/>
    <w:rsid w:val="00C94952"/>
    <w:rsid w:val="00C94D97"/>
    <w:rsid w:val="00C953FB"/>
    <w:rsid w:val="00C9581C"/>
    <w:rsid w:val="00CA08D7"/>
    <w:rsid w:val="00CA0E93"/>
    <w:rsid w:val="00CA2544"/>
    <w:rsid w:val="00CA2B37"/>
    <w:rsid w:val="00CA3008"/>
    <w:rsid w:val="00CA3FF7"/>
    <w:rsid w:val="00CB0F42"/>
    <w:rsid w:val="00CB13D1"/>
    <w:rsid w:val="00CB2CD8"/>
    <w:rsid w:val="00CB2E5E"/>
    <w:rsid w:val="00CB2E7E"/>
    <w:rsid w:val="00CB36A1"/>
    <w:rsid w:val="00CB4016"/>
    <w:rsid w:val="00CB5A04"/>
    <w:rsid w:val="00CB5BBC"/>
    <w:rsid w:val="00CB7F07"/>
    <w:rsid w:val="00CC0761"/>
    <w:rsid w:val="00CC1E17"/>
    <w:rsid w:val="00CC2D07"/>
    <w:rsid w:val="00CC4326"/>
    <w:rsid w:val="00CC4686"/>
    <w:rsid w:val="00CC47DD"/>
    <w:rsid w:val="00CC71B4"/>
    <w:rsid w:val="00CD088E"/>
    <w:rsid w:val="00CD1620"/>
    <w:rsid w:val="00CD23AF"/>
    <w:rsid w:val="00CD2516"/>
    <w:rsid w:val="00CD28C4"/>
    <w:rsid w:val="00CD3146"/>
    <w:rsid w:val="00CD3A69"/>
    <w:rsid w:val="00CD4BBA"/>
    <w:rsid w:val="00CD6909"/>
    <w:rsid w:val="00CE06E3"/>
    <w:rsid w:val="00CE0C77"/>
    <w:rsid w:val="00CE0DF5"/>
    <w:rsid w:val="00CE0EAA"/>
    <w:rsid w:val="00CE27E1"/>
    <w:rsid w:val="00CE3B71"/>
    <w:rsid w:val="00CE4379"/>
    <w:rsid w:val="00CE43AE"/>
    <w:rsid w:val="00CE457E"/>
    <w:rsid w:val="00CE4FC8"/>
    <w:rsid w:val="00CE6A40"/>
    <w:rsid w:val="00CE6C5B"/>
    <w:rsid w:val="00CF02B1"/>
    <w:rsid w:val="00CF113C"/>
    <w:rsid w:val="00CF1779"/>
    <w:rsid w:val="00CF1900"/>
    <w:rsid w:val="00CF1B4D"/>
    <w:rsid w:val="00CF4897"/>
    <w:rsid w:val="00CF4AA1"/>
    <w:rsid w:val="00CF52F4"/>
    <w:rsid w:val="00CF533B"/>
    <w:rsid w:val="00CF5D04"/>
    <w:rsid w:val="00CF5F3A"/>
    <w:rsid w:val="00D00B95"/>
    <w:rsid w:val="00D01753"/>
    <w:rsid w:val="00D01B76"/>
    <w:rsid w:val="00D03A8F"/>
    <w:rsid w:val="00D03E61"/>
    <w:rsid w:val="00D0472A"/>
    <w:rsid w:val="00D05F1A"/>
    <w:rsid w:val="00D068C3"/>
    <w:rsid w:val="00D06D86"/>
    <w:rsid w:val="00D1249E"/>
    <w:rsid w:val="00D13563"/>
    <w:rsid w:val="00D13A65"/>
    <w:rsid w:val="00D13C3D"/>
    <w:rsid w:val="00D162E1"/>
    <w:rsid w:val="00D16AB0"/>
    <w:rsid w:val="00D174F1"/>
    <w:rsid w:val="00D21023"/>
    <w:rsid w:val="00D22C1E"/>
    <w:rsid w:val="00D234CC"/>
    <w:rsid w:val="00D247C2"/>
    <w:rsid w:val="00D24A6D"/>
    <w:rsid w:val="00D25B49"/>
    <w:rsid w:val="00D27463"/>
    <w:rsid w:val="00D302AC"/>
    <w:rsid w:val="00D312BA"/>
    <w:rsid w:val="00D31746"/>
    <w:rsid w:val="00D32F89"/>
    <w:rsid w:val="00D3306D"/>
    <w:rsid w:val="00D346A9"/>
    <w:rsid w:val="00D35781"/>
    <w:rsid w:val="00D3690F"/>
    <w:rsid w:val="00D40381"/>
    <w:rsid w:val="00D411E6"/>
    <w:rsid w:val="00D41F03"/>
    <w:rsid w:val="00D42363"/>
    <w:rsid w:val="00D43E87"/>
    <w:rsid w:val="00D44153"/>
    <w:rsid w:val="00D443FF"/>
    <w:rsid w:val="00D5115D"/>
    <w:rsid w:val="00D514A5"/>
    <w:rsid w:val="00D52BD5"/>
    <w:rsid w:val="00D53D7A"/>
    <w:rsid w:val="00D57C08"/>
    <w:rsid w:val="00D57F45"/>
    <w:rsid w:val="00D6090F"/>
    <w:rsid w:val="00D64C79"/>
    <w:rsid w:val="00D65DDF"/>
    <w:rsid w:val="00D65F08"/>
    <w:rsid w:val="00D67118"/>
    <w:rsid w:val="00D70462"/>
    <w:rsid w:val="00D727F0"/>
    <w:rsid w:val="00D72B45"/>
    <w:rsid w:val="00D74728"/>
    <w:rsid w:val="00D75C3F"/>
    <w:rsid w:val="00D76320"/>
    <w:rsid w:val="00D766F7"/>
    <w:rsid w:val="00D8157D"/>
    <w:rsid w:val="00D8279D"/>
    <w:rsid w:val="00D82E7A"/>
    <w:rsid w:val="00D866A6"/>
    <w:rsid w:val="00D8741B"/>
    <w:rsid w:val="00D87DB3"/>
    <w:rsid w:val="00D90030"/>
    <w:rsid w:val="00D94305"/>
    <w:rsid w:val="00D94CE3"/>
    <w:rsid w:val="00D9649B"/>
    <w:rsid w:val="00DA16AE"/>
    <w:rsid w:val="00DA6308"/>
    <w:rsid w:val="00DA6EC7"/>
    <w:rsid w:val="00DB03AF"/>
    <w:rsid w:val="00DB03F4"/>
    <w:rsid w:val="00DB0983"/>
    <w:rsid w:val="00DB3743"/>
    <w:rsid w:val="00DB4CF9"/>
    <w:rsid w:val="00DB5E3A"/>
    <w:rsid w:val="00DB67B6"/>
    <w:rsid w:val="00DB6B9A"/>
    <w:rsid w:val="00DC02E5"/>
    <w:rsid w:val="00DC0A9A"/>
    <w:rsid w:val="00DC0EBA"/>
    <w:rsid w:val="00DC1EB4"/>
    <w:rsid w:val="00DC1FE5"/>
    <w:rsid w:val="00DC221B"/>
    <w:rsid w:val="00DC2C9C"/>
    <w:rsid w:val="00DC2DE1"/>
    <w:rsid w:val="00DC4405"/>
    <w:rsid w:val="00DC4D78"/>
    <w:rsid w:val="00DC4FAF"/>
    <w:rsid w:val="00DC5A17"/>
    <w:rsid w:val="00DC639E"/>
    <w:rsid w:val="00DC6750"/>
    <w:rsid w:val="00DC6752"/>
    <w:rsid w:val="00DC6B0F"/>
    <w:rsid w:val="00DC78EC"/>
    <w:rsid w:val="00DC7D1C"/>
    <w:rsid w:val="00DD032D"/>
    <w:rsid w:val="00DD0A6A"/>
    <w:rsid w:val="00DD1C13"/>
    <w:rsid w:val="00DD4CDB"/>
    <w:rsid w:val="00DD528E"/>
    <w:rsid w:val="00DD6A35"/>
    <w:rsid w:val="00DD7C5E"/>
    <w:rsid w:val="00DE264A"/>
    <w:rsid w:val="00DE45F8"/>
    <w:rsid w:val="00DE4F38"/>
    <w:rsid w:val="00DE62A6"/>
    <w:rsid w:val="00DE68D4"/>
    <w:rsid w:val="00DF0AA5"/>
    <w:rsid w:val="00DF0DC8"/>
    <w:rsid w:val="00DF14F3"/>
    <w:rsid w:val="00DF5D9B"/>
    <w:rsid w:val="00DF64A7"/>
    <w:rsid w:val="00DF6BC5"/>
    <w:rsid w:val="00E004E5"/>
    <w:rsid w:val="00E00C93"/>
    <w:rsid w:val="00E02EBD"/>
    <w:rsid w:val="00E0415A"/>
    <w:rsid w:val="00E074DA"/>
    <w:rsid w:val="00E1075D"/>
    <w:rsid w:val="00E13714"/>
    <w:rsid w:val="00E139D2"/>
    <w:rsid w:val="00E155F7"/>
    <w:rsid w:val="00E1571C"/>
    <w:rsid w:val="00E15924"/>
    <w:rsid w:val="00E17B79"/>
    <w:rsid w:val="00E212F8"/>
    <w:rsid w:val="00E21B69"/>
    <w:rsid w:val="00E22EA6"/>
    <w:rsid w:val="00E23514"/>
    <w:rsid w:val="00E23AB4"/>
    <w:rsid w:val="00E243E0"/>
    <w:rsid w:val="00E254EF"/>
    <w:rsid w:val="00E26EFF"/>
    <w:rsid w:val="00E27869"/>
    <w:rsid w:val="00E3098E"/>
    <w:rsid w:val="00E3194B"/>
    <w:rsid w:val="00E32DC0"/>
    <w:rsid w:val="00E33C52"/>
    <w:rsid w:val="00E33E97"/>
    <w:rsid w:val="00E33FB8"/>
    <w:rsid w:val="00E341EA"/>
    <w:rsid w:val="00E34401"/>
    <w:rsid w:val="00E35136"/>
    <w:rsid w:val="00E37C9D"/>
    <w:rsid w:val="00E37F3C"/>
    <w:rsid w:val="00E40A31"/>
    <w:rsid w:val="00E46646"/>
    <w:rsid w:val="00E47FCB"/>
    <w:rsid w:val="00E50265"/>
    <w:rsid w:val="00E50E43"/>
    <w:rsid w:val="00E510FD"/>
    <w:rsid w:val="00E51B74"/>
    <w:rsid w:val="00E51DAD"/>
    <w:rsid w:val="00E525E5"/>
    <w:rsid w:val="00E53389"/>
    <w:rsid w:val="00E55A89"/>
    <w:rsid w:val="00E57AFE"/>
    <w:rsid w:val="00E61729"/>
    <w:rsid w:val="00E632A3"/>
    <w:rsid w:val="00E63583"/>
    <w:rsid w:val="00E63753"/>
    <w:rsid w:val="00E63DD8"/>
    <w:rsid w:val="00E64B66"/>
    <w:rsid w:val="00E64ED2"/>
    <w:rsid w:val="00E66266"/>
    <w:rsid w:val="00E66677"/>
    <w:rsid w:val="00E66C93"/>
    <w:rsid w:val="00E67EDB"/>
    <w:rsid w:val="00E71083"/>
    <w:rsid w:val="00E71DB2"/>
    <w:rsid w:val="00E71EF9"/>
    <w:rsid w:val="00E750F1"/>
    <w:rsid w:val="00E765E8"/>
    <w:rsid w:val="00E77C76"/>
    <w:rsid w:val="00E80852"/>
    <w:rsid w:val="00E812A6"/>
    <w:rsid w:val="00E822A7"/>
    <w:rsid w:val="00E83CCB"/>
    <w:rsid w:val="00E84EBE"/>
    <w:rsid w:val="00E91C21"/>
    <w:rsid w:val="00E91C6E"/>
    <w:rsid w:val="00E928CB"/>
    <w:rsid w:val="00E93248"/>
    <w:rsid w:val="00E93972"/>
    <w:rsid w:val="00E945FE"/>
    <w:rsid w:val="00E97BCF"/>
    <w:rsid w:val="00EA1325"/>
    <w:rsid w:val="00EA1C75"/>
    <w:rsid w:val="00EA2287"/>
    <w:rsid w:val="00EA2D25"/>
    <w:rsid w:val="00EA35D2"/>
    <w:rsid w:val="00EA37AF"/>
    <w:rsid w:val="00EA3BC2"/>
    <w:rsid w:val="00EA3C19"/>
    <w:rsid w:val="00EA4000"/>
    <w:rsid w:val="00EA4F59"/>
    <w:rsid w:val="00EA5ED9"/>
    <w:rsid w:val="00EA65AC"/>
    <w:rsid w:val="00EA7A10"/>
    <w:rsid w:val="00EB0325"/>
    <w:rsid w:val="00EB03F0"/>
    <w:rsid w:val="00EB1330"/>
    <w:rsid w:val="00EB2097"/>
    <w:rsid w:val="00EB3167"/>
    <w:rsid w:val="00EB58AB"/>
    <w:rsid w:val="00EB6734"/>
    <w:rsid w:val="00EB687E"/>
    <w:rsid w:val="00EB6C14"/>
    <w:rsid w:val="00EC0A37"/>
    <w:rsid w:val="00EC2FB1"/>
    <w:rsid w:val="00EC7F75"/>
    <w:rsid w:val="00ED00B8"/>
    <w:rsid w:val="00ED26AD"/>
    <w:rsid w:val="00ED27AA"/>
    <w:rsid w:val="00ED36A0"/>
    <w:rsid w:val="00ED3BE4"/>
    <w:rsid w:val="00ED4CA9"/>
    <w:rsid w:val="00EE2D6F"/>
    <w:rsid w:val="00EE425E"/>
    <w:rsid w:val="00EF3D98"/>
    <w:rsid w:val="00EF465C"/>
    <w:rsid w:val="00EF4E02"/>
    <w:rsid w:val="00EF5435"/>
    <w:rsid w:val="00F0002B"/>
    <w:rsid w:val="00F002E1"/>
    <w:rsid w:val="00F00723"/>
    <w:rsid w:val="00F00B5C"/>
    <w:rsid w:val="00F01015"/>
    <w:rsid w:val="00F022FB"/>
    <w:rsid w:val="00F0256E"/>
    <w:rsid w:val="00F028FB"/>
    <w:rsid w:val="00F03828"/>
    <w:rsid w:val="00F03BD3"/>
    <w:rsid w:val="00F03CE1"/>
    <w:rsid w:val="00F040FD"/>
    <w:rsid w:val="00F043E8"/>
    <w:rsid w:val="00F04B76"/>
    <w:rsid w:val="00F0581B"/>
    <w:rsid w:val="00F06716"/>
    <w:rsid w:val="00F0728E"/>
    <w:rsid w:val="00F100F6"/>
    <w:rsid w:val="00F1025B"/>
    <w:rsid w:val="00F104E1"/>
    <w:rsid w:val="00F11BD4"/>
    <w:rsid w:val="00F12194"/>
    <w:rsid w:val="00F12A14"/>
    <w:rsid w:val="00F135D0"/>
    <w:rsid w:val="00F202CE"/>
    <w:rsid w:val="00F23055"/>
    <w:rsid w:val="00F24689"/>
    <w:rsid w:val="00F25901"/>
    <w:rsid w:val="00F25976"/>
    <w:rsid w:val="00F25BDF"/>
    <w:rsid w:val="00F26DBC"/>
    <w:rsid w:val="00F303F9"/>
    <w:rsid w:val="00F34C63"/>
    <w:rsid w:val="00F371A1"/>
    <w:rsid w:val="00F37756"/>
    <w:rsid w:val="00F37A07"/>
    <w:rsid w:val="00F40923"/>
    <w:rsid w:val="00F4111F"/>
    <w:rsid w:val="00F45171"/>
    <w:rsid w:val="00F456C9"/>
    <w:rsid w:val="00F45EFD"/>
    <w:rsid w:val="00F45FF5"/>
    <w:rsid w:val="00F476B3"/>
    <w:rsid w:val="00F47BE3"/>
    <w:rsid w:val="00F517F2"/>
    <w:rsid w:val="00F52533"/>
    <w:rsid w:val="00F52DE7"/>
    <w:rsid w:val="00F548A8"/>
    <w:rsid w:val="00F5495E"/>
    <w:rsid w:val="00F55470"/>
    <w:rsid w:val="00F6039B"/>
    <w:rsid w:val="00F61285"/>
    <w:rsid w:val="00F6279D"/>
    <w:rsid w:val="00F62EF9"/>
    <w:rsid w:val="00F6683B"/>
    <w:rsid w:val="00F66AD9"/>
    <w:rsid w:val="00F703C2"/>
    <w:rsid w:val="00F73699"/>
    <w:rsid w:val="00F75BB1"/>
    <w:rsid w:val="00F76D5D"/>
    <w:rsid w:val="00F77164"/>
    <w:rsid w:val="00F775FB"/>
    <w:rsid w:val="00F80652"/>
    <w:rsid w:val="00F82836"/>
    <w:rsid w:val="00F8334F"/>
    <w:rsid w:val="00F83AD2"/>
    <w:rsid w:val="00F8531C"/>
    <w:rsid w:val="00F86C53"/>
    <w:rsid w:val="00F86FA0"/>
    <w:rsid w:val="00F90514"/>
    <w:rsid w:val="00F9117D"/>
    <w:rsid w:val="00F91FDF"/>
    <w:rsid w:val="00F93001"/>
    <w:rsid w:val="00F957DE"/>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5EFB"/>
    <w:rsid w:val="00FB72AC"/>
    <w:rsid w:val="00FC1107"/>
    <w:rsid w:val="00FC148F"/>
    <w:rsid w:val="00FC19AC"/>
    <w:rsid w:val="00FC2F84"/>
    <w:rsid w:val="00FC30EB"/>
    <w:rsid w:val="00FC35AD"/>
    <w:rsid w:val="00FC3F17"/>
    <w:rsid w:val="00FC500D"/>
    <w:rsid w:val="00FC5034"/>
    <w:rsid w:val="00FC786E"/>
    <w:rsid w:val="00FC7A92"/>
    <w:rsid w:val="00FD02BE"/>
    <w:rsid w:val="00FD2092"/>
    <w:rsid w:val="00FD25B1"/>
    <w:rsid w:val="00FD2B02"/>
    <w:rsid w:val="00FD347E"/>
    <w:rsid w:val="00FD559E"/>
    <w:rsid w:val="00FD6156"/>
    <w:rsid w:val="00FD66BF"/>
    <w:rsid w:val="00FE03EB"/>
    <w:rsid w:val="00FE1DA0"/>
    <w:rsid w:val="00FE4396"/>
    <w:rsid w:val="00FE5674"/>
    <w:rsid w:val="00FE699E"/>
    <w:rsid w:val="00FF064B"/>
    <w:rsid w:val="00FF13C9"/>
    <w:rsid w:val="00FF153D"/>
    <w:rsid w:val="00FF1E70"/>
    <w:rsid w:val="00FF24FC"/>
    <w:rsid w:val="00FF28D2"/>
    <w:rsid w:val="00FF5F1B"/>
    <w:rsid w:val="00FF70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uiPriority w:val="99"/>
    <w:rPr>
      <w:color w:val="808080"/>
    </w:rPr>
  </w:style>
  <w:style w:type="paragraph" w:customStyle="1" w:styleId="5">
    <w:name w:val="C1346EEF5DC64C6DAB12BBEB826A4F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754F046E5E5F4C328669D31BFC0DFD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3ECFA30D6BBB48D485DE75A6DA261F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F49A525FF0F64AE7B9118478C808E6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F862E363BC5244CB873085F4CD4419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6054E73D7047420480042DF213D98F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B260F846A55744568456836B2D984E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C564243FBD514009BE916ADF348E71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199D8A1F681540A29E50925E47FF635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4">
    <w:name w:val="AF00D5B7361840E2B118A138FB98214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5">
    <w:name w:val="A48A9F31FFB440E6843D546D9A539B3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6">
    <w:name w:val="A2322E3BDC454CFCA9D05276D4877C2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7">
    <w:name w:val="5878820652694359A5EA09C3BA30D7F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8">
    <w:name w:val="2E1AF27F41D44D33B2F35D9C38E13AE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9">
    <w:name w:val="70888E37997C408DB77B8C24FD0C181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0">
    <w:name w:val="81086E202D034C39837ACB69C091405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1">
    <w:name w:val="7FB72124F2144CC6A8D56503AB87A92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2">
    <w:name w:val="53D586851DB44F429FCDDFC9DBD2F97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3">
    <w:name w:val="7B943DD8E39D4B4892DB62B7ED65303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4">
    <w:name w:val="14073CA7BC0D41E1B9C4B099AAD8648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5">
    <w:name w:val="8A42B123078C4C2B85C6A863314C493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6">
    <w:name w:val="1CE536B17E1F49008C286F7DCB190A5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7">
    <w:name w:val="DBE535E22BAB49FE8ED44002E25C1FB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8">
    <w:name w:val="6A526675F6F24EA4AA727F86C9C46CD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9">
    <w:name w:val="B962DF8E7D5C4E6A9E4A571F81CD453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0">
    <w:name w:val="669F43E9218C4B0391F647708A48662C"/>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1">
    <w:name w:val="31D465E1482548A39C461B0022E7420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2">
    <w:name w:val="268272D3732E473191511F58DD95A84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3">
    <w:name w:val="3ADA9C39604F442394AA2C0AF0F0AD8F"/>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]]></t:sse>
</t:template>
</file>

<file path=customXml/item2.xml><?xml version="1.0" encoding="utf-8"?>
<m:mapping xmlns:m="http://mapping.word.org/2012/mapping">
  <m:sm4><![CDATA[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]]></m:sm4>
</m:mapping>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兖矿能源集团股份有限公司</clcid-cgi:GongSiFaDingZhongWenMingCheng>
  <clcid-mr:GongSiFuZeRenXingMing xmlns:clcid-mr="clcid-mr">李伟</clcid-mr:GongSiFuZeRenXingMing>
  <clcid-mr:ZhuGuanKuaiJiGongZuoFuZeRenXingMing xmlns:clcid-mr="clcid-mr">赵治国</clcid-mr:ZhuGuanKuaiJiGongZuoFuZeRenXingMing>
  <clcid-mr:KuaiJiJiGouFuZeRenXingMing xmlns:clcid-mr="clcid-mr">于强</clcid-mr:KuaiJiJiGouFuZeRenXingMing>
  <clcid-cgi:GongSiFaDingDaiBiaoRen xmlns:clcid-cgi="clcid-cgi"/>
  <clcid-ci-ar:DanWeiKouChuFeiJingChangXingSunYiXiangMuHeJinE xmlns:clcid-ci-ar="clcid-ci-ar">千元</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-21,668</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264,378</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2,566</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2,932,102</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18,454</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58,890</clcid-pte:ChuShangShuGeXiangZhiWaiDeQiTaYingYeWaiShouZhiJingE>
  <clcid-pte:ChuShangShuGeXiangZhiWaiDeQiTaYingYeWaiShouZhiJingEShuoMing xmlns:clcid-pte="clcid-pte"/>
  <clcid-pte:QiTaFeiJingChangXingSunYiXiangMu xmlns:clcid-pte="clcid-pte">-</clcid-pte:QiTaFeiJingChangXingSunYiXiangMu>
  <clcid-pte:QiTaFeiJingChangXingSunYiXiangMuShuoMing xmlns:clcid-pte="clcid-pte"/>
  <clcid-pte:FeiJingChangXingSunYiXiangMuZhongShaoShuGuDongQuanYiYingXiangE xmlns:clcid-pte="clcid-pte">1,760,471</clcid-pte:FeiJingChangXingSunYiXiangMuZhongShaoShuGuDongQuanYiYingXiangE>
  <clcid-pte:FeiJingChangXingSunYiXiangMuZhongShaoShuGuDongQuanYiYingXiangEShuoMing xmlns:clcid-pte="clcid-pte"/>
  <clcid-pte:FeiJingChangXingSunYiDeKouChuXiangMuDuiSuoDeShuiDeYingXiang xmlns:clcid-pte="clcid-pte">136,864</clcid-pte:FeiJingChangXingSunYiDeKouChuXiangMuDuiSuoDeShuiDeYingXiang>
  <clcid-pte:FeiJingChangXingSunYiDeKouChuXiangMuDuiSuoDeShuiDeYingXiangShuoMing xmlns:clcid-pte="clcid-pte"/>
  <clcid-pte:KouChuDeFeiJingChangXingSunYiHeJi xmlns:clcid-pte="clcid-pte">1,548,555</clcid-pte:KouChuDeFeiJingChangXingSunYiHeJi>
  <clcid-pte:KouChuDeFeiJingChangXingSunYiHeJiShuoMing xmlns:clcid-pte="clcid-pte"/>
  <clcid-ci-ar:DanWeiTongShiAnZhaoGuoJiKuaiJiZhunZeYuAnZhongGuoKuaiJiZhunZePiLuDeCaiWuBaoGaoZhongJingLiRunHeJingZiChanChaYiQingKuang xmlns:clcid-ci-ar="clcid-ci-ar">千元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千元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62,770</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128,398</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千元</clcid-ci-ar:DanWeiCaiWuFuZhuYingFuPiaoJu>
</b:binding>
</file>

<file path=customXml/item4.xml><?xml version="1.0" encoding="utf-8"?>
<sc:sections xmlns:sc="http://mapping.word.org/2014/section/customize">
  <section xmlns="http://mapping.word.org/2014/section/customize" name="_SEC_3fe2ceb3f87f4c319dc247c4a8d6611b" id="e1ed87a4028786c4"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JFPT8MwDMXvSHyHKvc2LUgIVW0nceDEJCRA4hoSr8vW/FHsreu3J+sgY2g3P79fnhy7WRzMkO0hoHa2ZVVRsgysdErbvmUf78/5I8uQhFVicBZaNgGyRXd700hfSxfgNTgPgTRgFpMs1tK3bE3ka85RrsEILCJho7lywQiKMvTcC7kVPfC7snzgBkgoQYIfA3OfEtlPpJIp0u/CMAcoyWEAA5aQV0XFzyxBMHj1wez8IY2mycNV9NdM9AF1AsdxLMb7GY3zV/xz+fI2fzXX9rgrCaxrlKxJ0wBdw89lrHD3tQFJp3YSsZYBBLlwMpKIa97CNLqgMDoXKopBIC3jsVYa1NN0Av73YivAXh8P3JUzkeSsLq/YfQMAAP//AwBQSwMEFAAGAAgAAAAhAHIrCKd2AQAAygIAABAACAFkb2NQcm9wcy9hcHA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</sys>
  </section>
</sc:section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458A6-61C2-4597-8ECE-1A36111EC362}">
  <ds:schemaRefs/>
</ds:datastoreItem>
</file>

<file path=customXml/itemProps2.xml><?xml version="1.0" encoding="utf-8"?>
<ds:datastoreItem xmlns:ds="http://schemas.openxmlformats.org/officeDocument/2006/customXml" ds:itemID="{94121504-EDAC-46D8-AA6F-D21C6A3D201D}">
  <ds:schemaRefs/>
</ds:datastoreItem>
</file>

<file path=customXml/itemProps3.xml><?xml version="1.0" encoding="utf-8"?>
<ds:datastoreItem xmlns:ds="http://schemas.openxmlformats.org/officeDocument/2006/customXml" ds:itemID="{89EBAB94-44A0-46A2-B712-30D997D04A6D}">
  <ds:schemaRefs/>
</ds:datastoreItem>
</file>

<file path=customXml/itemProps4.xml><?xml version="1.0" encoding="utf-8"?>
<ds:datastoreItem xmlns:ds="http://schemas.openxmlformats.org/officeDocument/2006/customXml" ds:itemID="{1F37729E-89F6-4D70-BC0B-8EF77515B409}">
  <ds:schemaRefs/>
</ds:datastoreItem>
</file>

<file path=customXml/itemProps5.xml><?xml version="1.0" encoding="utf-8"?>
<ds:datastoreItem xmlns:ds="http://schemas.openxmlformats.org/officeDocument/2006/customXml" ds:itemID="{F0D5C2F1-EE7F-45DC-9BB7-54659DA59878}">
  <ds:schemaRefs/>
</ds:datastoreItem>
</file>

<file path=docProps/app.xml><?xml version="1.0" encoding="utf-8"?>
<Properties xmlns="http://schemas.openxmlformats.org/officeDocument/2006/extended-properties" xmlns:vt="http://schemas.openxmlformats.org/officeDocument/2006/docPropsVTypes">
  <Template>SSEReport.dotm</Template>
  <Company>Sky123.Org</Company>
  <Pages>1</Pages>
  <Words>55439</Words>
  <Characters>316005</Characters>
  <Lines>2633</Lines>
  <Paragraphs>741</Paragraphs>
  <TotalTime>21</TotalTime>
  <ScaleCrop>false</ScaleCrop>
  <LinksUpToDate>false</LinksUpToDate>
  <CharactersWithSpaces>370703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2024-03-28T06:48:00Z</dcterms:created>
  <dc:creator>czq</dc:creator>
  <cp:lastModifiedBy>金建德</cp:lastModifiedBy>
  <dcterms:modified xsi:type="dcterms:W3CDTF">2024-03-28T08:10:13Z</dcterms:modified>
  <dc:title>股份有限公司</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5B77E7CEEC58BC6AFAE8886BEB80DBEB">
    <vt:lpwstr>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</vt:lpwstr>
  </property>
  <property fmtid="{D5CDD505-2E9C-101B-9397-08002B2CF9AE}" pid="3" name="KSOProductBuildVer">
    <vt:lpwstr>2052-12.1.0.15374</vt:lpwstr>
  </property>
  <property fmtid="{D5CDD505-2E9C-101B-9397-08002B2CF9AE}" pid="4" name="ICV">
    <vt:lpwstr>CD73E7E7BF9D42809FE8E6E22F2592C7_12</vt:lpwstr>
  </property>
</Properties>
</file>